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DF9F3" w14:textId="6B93602D" w:rsidR="00033DE8" w:rsidRPr="001B6E4D" w:rsidRDefault="00033DE8" w:rsidP="003D1018">
      <w:pPr>
        <w:overflowPunct w:val="0"/>
        <w:rPr>
          <w:rFonts w:ascii="標楷體" w:eastAsia="標楷體" w:hAnsi="標楷體"/>
          <w:b/>
          <w:color w:val="000000" w:themeColor="text1"/>
          <w:sz w:val="44"/>
          <w:szCs w:val="44"/>
          <w:shd w:val="clear" w:color="auto" w:fill="FFFFFF" w:themeFill="background1"/>
        </w:rPr>
      </w:pPr>
      <w:bookmarkStart w:id="0" w:name="_Toc163381674"/>
      <w:bookmarkStart w:id="1" w:name="_Toc163899074"/>
      <w:bookmarkStart w:id="2" w:name="_Toc167872435"/>
      <w:bookmarkStart w:id="3" w:name="_Toc169687164"/>
      <w:bookmarkStart w:id="4" w:name="_Toc510167618"/>
      <w:bookmarkStart w:id="5" w:name="_Toc1401022"/>
      <w:bookmarkStart w:id="6" w:name="_Toc42531676"/>
      <w:r w:rsidRPr="001B6E4D">
        <w:rPr>
          <w:rFonts w:ascii="標楷體" w:eastAsia="標楷體" w:hAnsi="標楷體"/>
          <w:b/>
          <w:color w:val="000000" w:themeColor="text1"/>
          <w:sz w:val="44"/>
          <w:szCs w:val="44"/>
          <w:shd w:val="clear" w:color="auto" w:fill="FFFFFF" w:themeFill="background1"/>
        </w:rPr>
        <w:t>立法院第</w:t>
      </w:r>
      <w:r w:rsidRPr="001B6E4D">
        <w:rPr>
          <w:rFonts w:ascii="標楷體" w:eastAsia="標楷體" w:hAnsi="標楷體" w:hint="eastAsia"/>
          <w:b/>
          <w:color w:val="000000" w:themeColor="text1"/>
          <w:sz w:val="44"/>
          <w:szCs w:val="44"/>
          <w:shd w:val="clear" w:color="auto" w:fill="FFFFFF" w:themeFill="background1"/>
        </w:rPr>
        <w:t>11</w:t>
      </w:r>
      <w:r w:rsidRPr="001B6E4D">
        <w:rPr>
          <w:rFonts w:ascii="標楷體" w:eastAsia="標楷體" w:hAnsi="標楷體"/>
          <w:b/>
          <w:color w:val="000000" w:themeColor="text1"/>
          <w:sz w:val="44"/>
          <w:szCs w:val="44"/>
          <w:shd w:val="clear" w:color="auto" w:fill="FFFFFF" w:themeFill="background1"/>
        </w:rPr>
        <w:t>屆第</w:t>
      </w:r>
      <w:r w:rsidR="00E86248" w:rsidRPr="001B6E4D">
        <w:rPr>
          <w:rFonts w:ascii="標楷體" w:eastAsia="標楷體" w:hAnsi="標楷體" w:hint="eastAsia"/>
          <w:b/>
          <w:color w:val="000000" w:themeColor="text1"/>
          <w:sz w:val="44"/>
          <w:szCs w:val="44"/>
          <w:shd w:val="clear" w:color="auto" w:fill="FFFFFF" w:themeFill="background1"/>
        </w:rPr>
        <w:t>5</w:t>
      </w:r>
      <w:r w:rsidRPr="001B6E4D">
        <w:rPr>
          <w:rFonts w:ascii="標楷體" w:eastAsia="標楷體" w:hAnsi="標楷體"/>
          <w:b/>
          <w:color w:val="000000" w:themeColor="text1"/>
          <w:sz w:val="44"/>
          <w:szCs w:val="44"/>
          <w:shd w:val="clear" w:color="auto" w:fill="FFFFFF" w:themeFill="background1"/>
        </w:rPr>
        <w:t>會期</w:t>
      </w:r>
    </w:p>
    <w:p w14:paraId="62FADF67" w14:textId="119BE1C9" w:rsidR="00033DE8" w:rsidRPr="001B6E4D" w:rsidRDefault="00033DE8" w:rsidP="003D1018">
      <w:pPr>
        <w:overflowPunct w:val="0"/>
        <w:spacing w:beforeLines="50" w:before="180"/>
        <w:ind w:leftChars="-59" w:left="-142"/>
        <w:rPr>
          <w:rFonts w:ascii="標楷體" w:eastAsia="標楷體" w:hAnsi="標楷體"/>
          <w:color w:val="000000" w:themeColor="text1"/>
          <w:sz w:val="36"/>
          <w:szCs w:val="36"/>
          <w:shd w:val="clear" w:color="auto" w:fill="FFFFFF" w:themeFill="background1"/>
        </w:rPr>
      </w:pPr>
      <w:r w:rsidRPr="001B6E4D">
        <w:rPr>
          <w:rFonts w:ascii="標楷體" w:eastAsia="標楷體" w:hAnsi="標楷體"/>
          <w:color w:val="000000" w:themeColor="text1"/>
          <w:sz w:val="36"/>
          <w:szCs w:val="36"/>
          <w:shd w:val="clear" w:color="auto" w:fill="FFFFFF" w:themeFill="background1"/>
        </w:rPr>
        <w:t>（中華民國11</w:t>
      </w:r>
      <w:r w:rsidR="00E86248" w:rsidRPr="001B6E4D">
        <w:rPr>
          <w:rFonts w:ascii="標楷體" w:eastAsia="標楷體" w:hAnsi="標楷體" w:hint="eastAsia"/>
          <w:color w:val="000000" w:themeColor="text1"/>
          <w:sz w:val="36"/>
          <w:szCs w:val="36"/>
          <w:shd w:val="clear" w:color="auto" w:fill="FFFFFF" w:themeFill="background1"/>
        </w:rPr>
        <w:t>5</w:t>
      </w:r>
      <w:r w:rsidRPr="001B6E4D">
        <w:rPr>
          <w:rFonts w:ascii="標楷體" w:eastAsia="標楷體" w:hAnsi="標楷體"/>
          <w:color w:val="000000" w:themeColor="text1"/>
          <w:sz w:val="36"/>
          <w:szCs w:val="36"/>
          <w:shd w:val="clear" w:color="auto" w:fill="FFFFFF" w:themeFill="background1"/>
        </w:rPr>
        <w:t>年</w:t>
      </w:r>
      <w:r w:rsidR="00E86248" w:rsidRPr="001B6E4D">
        <w:rPr>
          <w:rFonts w:ascii="標楷體" w:eastAsia="標楷體" w:hAnsi="標楷體" w:hint="eastAsia"/>
          <w:color w:val="000000" w:themeColor="text1"/>
          <w:sz w:val="36"/>
          <w:szCs w:val="36"/>
          <w:shd w:val="clear" w:color="auto" w:fill="FFFFFF" w:themeFill="background1"/>
        </w:rPr>
        <w:t>2</w:t>
      </w:r>
      <w:r w:rsidRPr="001B6E4D">
        <w:rPr>
          <w:rFonts w:ascii="標楷體" w:eastAsia="標楷體" w:hAnsi="標楷體"/>
          <w:color w:val="000000" w:themeColor="text1"/>
          <w:sz w:val="36"/>
          <w:szCs w:val="36"/>
          <w:shd w:val="clear" w:color="auto" w:fill="FFFFFF" w:themeFill="background1"/>
        </w:rPr>
        <w:t>月至</w:t>
      </w:r>
      <w:r w:rsidRPr="001B6E4D">
        <w:rPr>
          <w:rFonts w:ascii="標楷體" w:eastAsia="標楷體" w:hAnsi="標楷體" w:hint="eastAsia"/>
          <w:color w:val="000000" w:themeColor="text1"/>
          <w:sz w:val="36"/>
          <w:szCs w:val="36"/>
          <w:shd w:val="clear" w:color="auto" w:fill="FFFFFF" w:themeFill="background1"/>
        </w:rPr>
        <w:t>1</w:t>
      </w:r>
      <w:r w:rsidRPr="001B6E4D">
        <w:rPr>
          <w:rFonts w:ascii="標楷體" w:eastAsia="標楷體" w:hAnsi="標楷體"/>
          <w:color w:val="000000" w:themeColor="text1"/>
          <w:sz w:val="36"/>
          <w:szCs w:val="36"/>
          <w:shd w:val="clear" w:color="auto" w:fill="FFFFFF" w:themeFill="background1"/>
        </w:rPr>
        <w:t>1</w:t>
      </w:r>
      <w:r w:rsidR="00887E51" w:rsidRPr="001B6E4D">
        <w:rPr>
          <w:rFonts w:ascii="標楷體" w:eastAsia="標楷體" w:hAnsi="標楷體" w:hint="eastAsia"/>
          <w:color w:val="000000" w:themeColor="text1"/>
          <w:sz w:val="36"/>
          <w:szCs w:val="36"/>
          <w:shd w:val="clear" w:color="auto" w:fill="FFFFFF" w:themeFill="background1"/>
        </w:rPr>
        <w:t>5</w:t>
      </w:r>
      <w:r w:rsidRPr="001B6E4D">
        <w:rPr>
          <w:rFonts w:ascii="標楷體" w:eastAsia="標楷體" w:hAnsi="標楷體" w:hint="eastAsia"/>
          <w:color w:val="000000" w:themeColor="text1"/>
          <w:sz w:val="36"/>
          <w:szCs w:val="36"/>
          <w:shd w:val="clear" w:color="auto" w:fill="FFFFFF" w:themeFill="background1"/>
        </w:rPr>
        <w:t>年</w:t>
      </w:r>
      <w:r w:rsidR="00E86248" w:rsidRPr="001B6E4D">
        <w:rPr>
          <w:rFonts w:ascii="標楷體" w:eastAsia="標楷體" w:hAnsi="標楷體" w:hint="eastAsia"/>
          <w:color w:val="000000" w:themeColor="text1"/>
          <w:sz w:val="36"/>
          <w:szCs w:val="36"/>
          <w:shd w:val="clear" w:color="auto" w:fill="FFFFFF" w:themeFill="background1"/>
        </w:rPr>
        <w:t>8</w:t>
      </w:r>
      <w:r w:rsidRPr="001B6E4D">
        <w:rPr>
          <w:rFonts w:ascii="標楷體" w:eastAsia="標楷體" w:hAnsi="標楷體"/>
          <w:color w:val="000000" w:themeColor="text1"/>
          <w:sz w:val="36"/>
          <w:szCs w:val="36"/>
          <w:shd w:val="clear" w:color="auto" w:fill="FFFFFF" w:themeFill="background1"/>
        </w:rPr>
        <w:t>月</w:t>
      </w:r>
      <w:r w:rsidRPr="001B6E4D">
        <w:rPr>
          <w:rFonts w:ascii="標楷體" w:eastAsia="標楷體" w:hAnsi="標楷體" w:hint="eastAsia"/>
          <w:color w:val="000000" w:themeColor="text1"/>
          <w:sz w:val="36"/>
          <w:szCs w:val="36"/>
          <w:shd w:val="clear" w:color="auto" w:fill="FFFFFF" w:themeFill="background1"/>
        </w:rPr>
        <w:t>）</w:t>
      </w:r>
    </w:p>
    <w:p w14:paraId="4D5963A2" w14:textId="7777777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p>
    <w:p w14:paraId="7950294C" w14:textId="7777777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p>
    <w:p w14:paraId="134D3496" w14:textId="7777777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p>
    <w:p w14:paraId="13E7083B" w14:textId="7777777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p>
    <w:p w14:paraId="21337995" w14:textId="7777777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p>
    <w:p w14:paraId="4ECBFACE" w14:textId="77777777" w:rsidR="00033DE8" w:rsidRPr="001B6E4D" w:rsidRDefault="00033DE8" w:rsidP="003D1018">
      <w:pPr>
        <w:overflowPunct w:val="0"/>
        <w:jc w:val="both"/>
        <w:rPr>
          <w:rFonts w:ascii="標楷體" w:eastAsia="標楷體" w:hAnsi="標楷體"/>
          <w:b/>
          <w:color w:val="000000" w:themeColor="text1"/>
          <w:sz w:val="68"/>
          <w:szCs w:val="68"/>
          <w:shd w:val="clear" w:color="auto" w:fill="FFFFFF" w:themeFill="background1"/>
        </w:rPr>
      </w:pPr>
      <w:r w:rsidRPr="001B6E4D">
        <w:rPr>
          <w:rFonts w:ascii="標楷體" w:eastAsia="標楷體" w:hAnsi="標楷體"/>
          <w:b/>
          <w:color w:val="000000" w:themeColor="text1"/>
          <w:sz w:val="68"/>
          <w:szCs w:val="68"/>
          <w:shd w:val="clear" w:color="auto" w:fill="FFFFFF" w:themeFill="background1"/>
        </w:rPr>
        <w:t>司法及法制委員會會務報告</w:t>
      </w:r>
    </w:p>
    <w:p w14:paraId="02619B17" w14:textId="7777777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p>
    <w:p w14:paraId="75876432" w14:textId="7777777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p>
    <w:p w14:paraId="661BBDC3" w14:textId="7777777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p>
    <w:p w14:paraId="514BCC76" w14:textId="7777777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p>
    <w:p w14:paraId="63EFB6E9" w14:textId="7777777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p>
    <w:p w14:paraId="7E4905FF" w14:textId="4CC5292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r w:rsidRPr="001B6E4D">
        <w:rPr>
          <w:rFonts w:ascii="標楷體" w:eastAsia="標楷體" w:hAnsi="標楷體" w:hint="eastAsia"/>
          <w:b/>
          <w:color w:val="000000" w:themeColor="text1"/>
          <w:sz w:val="40"/>
          <w:szCs w:val="40"/>
          <w:shd w:val="clear" w:color="auto" w:fill="FFFFFF" w:themeFill="background1"/>
        </w:rPr>
        <w:t xml:space="preserve">             立法院司法及法制委員會  編印</w:t>
      </w:r>
    </w:p>
    <w:p w14:paraId="5278036B" w14:textId="77777777" w:rsidR="00033DE8" w:rsidRPr="001B6E4D" w:rsidRDefault="00033DE8" w:rsidP="003D1018">
      <w:pPr>
        <w:overflowPunct w:val="0"/>
        <w:snapToGrid w:val="0"/>
        <w:spacing w:beforeLines="100" w:before="360" w:afterLines="50" w:after="180" w:line="560" w:lineRule="exact"/>
        <w:ind w:rightChars="-198" w:right="-475"/>
        <w:jc w:val="both"/>
        <w:rPr>
          <w:rFonts w:ascii="標楷體" w:eastAsia="標楷體" w:hAnsi="標楷體"/>
          <w:b/>
          <w:color w:val="000000" w:themeColor="text1"/>
          <w:sz w:val="40"/>
          <w:szCs w:val="40"/>
          <w:shd w:val="clear" w:color="auto" w:fill="FFFFFF" w:themeFill="background1"/>
        </w:rPr>
      </w:pPr>
    </w:p>
    <w:p w14:paraId="1F832C50" w14:textId="77777777" w:rsidR="00584080" w:rsidRPr="001B6E4D" w:rsidRDefault="00584080" w:rsidP="003D1018">
      <w:pPr>
        <w:pStyle w:val="-f3"/>
        <w:kinsoku w:val="0"/>
        <w:overflowPunct w:val="0"/>
        <w:topLinePunct/>
        <w:spacing w:before="180" w:after="180"/>
        <w:ind w:leftChars="128" w:left="307"/>
        <w:rPr>
          <w:rFonts w:ascii="標楷體" w:hAnsi="標楷體"/>
          <w:b w:val="0"/>
          <w:color w:val="000000" w:themeColor="text1"/>
          <w:sz w:val="40"/>
          <w:szCs w:val="40"/>
          <w:shd w:val="clear" w:color="auto" w:fill="FFFFFF" w:themeFill="background1"/>
        </w:rPr>
        <w:sectPr w:rsidR="00584080" w:rsidRPr="001B6E4D" w:rsidSect="003F3571">
          <w:footerReference w:type="default" r:id="rId8"/>
          <w:pgSz w:w="11906" w:h="16838" w:code="9"/>
          <w:pgMar w:top="992" w:right="1701" w:bottom="1134" w:left="1701" w:header="851" w:footer="992" w:gutter="0"/>
          <w:pgNumType w:start="1"/>
          <w:cols w:space="425"/>
          <w:titlePg/>
          <w:docGrid w:type="lines" w:linePitch="360"/>
        </w:sectPr>
      </w:pPr>
    </w:p>
    <w:p w14:paraId="28415B73" w14:textId="34223620" w:rsidR="00033DE8" w:rsidRPr="001B6E4D" w:rsidRDefault="00033DE8" w:rsidP="003D1018">
      <w:pPr>
        <w:overflowPunct w:val="0"/>
        <w:snapToGrid w:val="0"/>
        <w:spacing w:beforeLines="100" w:before="360" w:line="560" w:lineRule="exact"/>
        <w:ind w:rightChars="-198" w:right="-475"/>
        <w:jc w:val="both"/>
        <w:rPr>
          <w:rFonts w:ascii="標楷體" w:eastAsia="標楷體" w:hAnsi="標楷體"/>
          <w:b/>
          <w:color w:val="000000" w:themeColor="text1"/>
          <w:sz w:val="40"/>
          <w:szCs w:val="40"/>
          <w:shd w:val="clear" w:color="auto" w:fill="FFFFFF" w:themeFill="background1"/>
        </w:rPr>
        <w:sectPr w:rsidR="00033DE8" w:rsidRPr="001B6E4D" w:rsidSect="003F3571">
          <w:pgSz w:w="11906" w:h="16838" w:code="9"/>
          <w:pgMar w:top="992" w:right="1701" w:bottom="1134" w:left="1701" w:header="851" w:footer="992" w:gutter="0"/>
          <w:pgNumType w:start="1"/>
          <w:cols w:space="425"/>
          <w:titlePg/>
          <w:docGrid w:type="lines" w:linePitch="360"/>
        </w:sectPr>
      </w:pPr>
    </w:p>
    <w:p w14:paraId="7111DFD9" w14:textId="5B02E358" w:rsidR="00033DE8" w:rsidRPr="001B6E4D" w:rsidRDefault="00033DE8" w:rsidP="003D1018">
      <w:pPr>
        <w:overflowPunct w:val="0"/>
        <w:snapToGrid w:val="0"/>
        <w:spacing w:beforeLines="100" w:before="360" w:line="560" w:lineRule="exact"/>
        <w:ind w:leftChars="-59" w:left="-2" w:hangingChars="35" w:hanging="140"/>
        <w:jc w:val="center"/>
        <w:rPr>
          <w:rFonts w:ascii="標楷體" w:eastAsia="標楷體" w:hAnsi="標楷體"/>
          <w:b/>
          <w:color w:val="000000" w:themeColor="text1"/>
          <w:sz w:val="40"/>
          <w:szCs w:val="40"/>
          <w:shd w:val="clear" w:color="auto" w:fill="FFFFFF" w:themeFill="background1"/>
        </w:rPr>
      </w:pPr>
      <w:bookmarkStart w:id="7" w:name="_Hlk204011504"/>
      <w:r w:rsidRPr="001B6E4D">
        <w:rPr>
          <w:rFonts w:ascii="標楷體" w:eastAsia="標楷體" w:hAnsi="標楷體" w:hint="eastAsia"/>
          <w:b/>
          <w:color w:val="000000" w:themeColor="text1"/>
          <w:sz w:val="40"/>
          <w:szCs w:val="40"/>
          <w:shd w:val="clear" w:color="auto" w:fill="FFFFFF" w:themeFill="background1"/>
        </w:rPr>
        <w:lastRenderedPageBreak/>
        <w:t>立法</w:t>
      </w:r>
      <w:r w:rsidRPr="001B6E4D">
        <w:rPr>
          <w:rFonts w:ascii="標楷體" w:eastAsia="標楷體" w:hAnsi="標楷體"/>
          <w:b/>
          <w:color w:val="000000" w:themeColor="text1"/>
          <w:sz w:val="40"/>
          <w:szCs w:val="40"/>
          <w:shd w:val="clear" w:color="auto" w:fill="FFFFFF" w:themeFill="background1"/>
        </w:rPr>
        <w:t>院第</w:t>
      </w:r>
      <w:r w:rsidRPr="001B6E4D">
        <w:rPr>
          <w:rFonts w:ascii="標楷體" w:eastAsia="標楷體" w:hAnsi="標楷體" w:hint="eastAsia"/>
          <w:b/>
          <w:color w:val="000000" w:themeColor="text1"/>
          <w:sz w:val="40"/>
          <w:szCs w:val="40"/>
          <w:shd w:val="clear" w:color="auto" w:fill="FFFFFF" w:themeFill="background1"/>
        </w:rPr>
        <w:t>11</w:t>
      </w:r>
      <w:r w:rsidRPr="001B6E4D">
        <w:rPr>
          <w:rFonts w:ascii="標楷體" w:eastAsia="標楷體" w:hAnsi="標楷體"/>
          <w:b/>
          <w:color w:val="000000" w:themeColor="text1"/>
          <w:sz w:val="40"/>
          <w:szCs w:val="40"/>
          <w:shd w:val="clear" w:color="auto" w:fill="FFFFFF" w:themeFill="background1"/>
        </w:rPr>
        <w:t>屆第</w:t>
      </w:r>
      <w:r w:rsidR="00056ADA" w:rsidRPr="001B6E4D">
        <w:rPr>
          <w:rFonts w:ascii="標楷體" w:eastAsia="標楷體" w:hAnsi="標楷體" w:hint="eastAsia"/>
          <w:b/>
          <w:color w:val="000000" w:themeColor="text1"/>
          <w:sz w:val="40"/>
          <w:szCs w:val="40"/>
          <w:shd w:val="clear" w:color="auto" w:fill="FFFFFF" w:themeFill="background1"/>
        </w:rPr>
        <w:t>5</w:t>
      </w:r>
      <w:r w:rsidRPr="001B6E4D">
        <w:rPr>
          <w:rFonts w:ascii="標楷體" w:eastAsia="標楷體" w:hAnsi="標楷體"/>
          <w:b/>
          <w:color w:val="000000" w:themeColor="text1"/>
          <w:sz w:val="40"/>
          <w:szCs w:val="40"/>
          <w:shd w:val="clear" w:color="auto" w:fill="FFFFFF" w:themeFill="background1"/>
        </w:rPr>
        <w:t>會期司法及法制委員會會務報告</w:t>
      </w:r>
    </w:p>
    <w:p w14:paraId="55C582B7" w14:textId="5CD7B799" w:rsidR="00033DE8" w:rsidRPr="001B6E4D" w:rsidRDefault="00033DE8" w:rsidP="003D1018">
      <w:pPr>
        <w:tabs>
          <w:tab w:val="left" w:pos="284"/>
        </w:tabs>
        <w:overflowPunct w:val="0"/>
        <w:spacing w:line="480" w:lineRule="exact"/>
        <w:jc w:val="center"/>
        <w:rPr>
          <w:rFonts w:ascii="標楷體" w:eastAsia="標楷體" w:hAnsi="標楷體"/>
          <w:color w:val="000000" w:themeColor="text1"/>
          <w:spacing w:val="-20"/>
          <w:sz w:val="32"/>
          <w:szCs w:val="32"/>
          <w:shd w:val="clear" w:color="auto" w:fill="FFFFFF" w:themeFill="background1"/>
        </w:rPr>
      </w:pPr>
      <w:proofErr w:type="gramStart"/>
      <w:r w:rsidRPr="001B6E4D">
        <w:rPr>
          <w:rFonts w:ascii="標楷體" w:eastAsia="標楷體" w:hAnsi="標楷體"/>
          <w:color w:val="000000" w:themeColor="text1"/>
          <w:spacing w:val="-20"/>
          <w:sz w:val="32"/>
          <w:szCs w:val="32"/>
          <w:shd w:val="clear" w:color="auto" w:fill="FFFFFF" w:themeFill="background1"/>
        </w:rPr>
        <w:t>（</w:t>
      </w:r>
      <w:proofErr w:type="gramEnd"/>
      <w:r w:rsidRPr="001B6E4D">
        <w:rPr>
          <w:rFonts w:ascii="標楷體" w:eastAsia="標楷體" w:hAnsi="標楷體" w:hint="eastAsia"/>
          <w:color w:val="000000" w:themeColor="text1"/>
          <w:spacing w:val="-20"/>
          <w:sz w:val="32"/>
          <w:szCs w:val="32"/>
          <w:shd w:val="clear" w:color="auto" w:fill="FFFFFF" w:themeFill="background1"/>
        </w:rPr>
        <w:t>本會期：</w:t>
      </w:r>
      <w:r w:rsidRPr="001B6E4D">
        <w:rPr>
          <w:rFonts w:ascii="標楷體" w:eastAsia="標楷體" w:hAnsi="標楷體"/>
          <w:color w:val="000000" w:themeColor="text1"/>
          <w:spacing w:val="-20"/>
          <w:sz w:val="32"/>
          <w:szCs w:val="32"/>
          <w:shd w:val="clear" w:color="auto" w:fill="FFFFFF" w:themeFill="background1"/>
        </w:rPr>
        <w:t>11</w:t>
      </w:r>
      <w:r w:rsidR="00056ADA" w:rsidRPr="001B6E4D">
        <w:rPr>
          <w:rFonts w:ascii="標楷體" w:eastAsia="標楷體" w:hAnsi="標楷體" w:hint="eastAsia"/>
          <w:color w:val="000000" w:themeColor="text1"/>
          <w:spacing w:val="-20"/>
          <w:sz w:val="32"/>
          <w:szCs w:val="32"/>
          <w:shd w:val="clear" w:color="auto" w:fill="FFFFFF" w:themeFill="background1"/>
        </w:rPr>
        <w:t>5</w:t>
      </w:r>
      <w:r w:rsidRPr="001B6E4D">
        <w:rPr>
          <w:rFonts w:ascii="標楷體" w:eastAsia="標楷體" w:hAnsi="標楷體"/>
          <w:color w:val="000000" w:themeColor="text1"/>
          <w:spacing w:val="-20"/>
          <w:sz w:val="32"/>
          <w:szCs w:val="32"/>
          <w:shd w:val="clear" w:color="auto" w:fill="FFFFFF" w:themeFill="background1"/>
        </w:rPr>
        <w:t>年</w:t>
      </w:r>
      <w:r w:rsidR="00056ADA" w:rsidRPr="001B6E4D">
        <w:rPr>
          <w:rFonts w:ascii="標楷體" w:eastAsia="標楷體" w:hAnsi="標楷體" w:hint="eastAsia"/>
          <w:color w:val="000000" w:themeColor="text1"/>
          <w:spacing w:val="-20"/>
          <w:sz w:val="32"/>
          <w:szCs w:val="32"/>
          <w:shd w:val="clear" w:color="auto" w:fill="FFFFFF" w:themeFill="background1"/>
        </w:rPr>
        <w:t>2</w:t>
      </w:r>
      <w:r w:rsidRPr="001B6E4D">
        <w:rPr>
          <w:rFonts w:ascii="標楷體" w:eastAsia="標楷體" w:hAnsi="標楷體"/>
          <w:color w:val="000000" w:themeColor="text1"/>
          <w:spacing w:val="-20"/>
          <w:sz w:val="32"/>
          <w:szCs w:val="32"/>
          <w:shd w:val="clear" w:color="auto" w:fill="FFFFFF" w:themeFill="background1"/>
        </w:rPr>
        <w:t>月</w:t>
      </w:r>
      <w:r w:rsidR="00056ADA" w:rsidRPr="001B6E4D">
        <w:rPr>
          <w:rFonts w:ascii="標楷體" w:eastAsia="標楷體" w:hAnsi="標楷體" w:hint="eastAsia"/>
          <w:color w:val="000000" w:themeColor="text1"/>
          <w:spacing w:val="-20"/>
          <w:sz w:val="32"/>
          <w:szCs w:val="32"/>
          <w:shd w:val="clear" w:color="auto" w:fill="FFFFFF" w:themeFill="background1"/>
        </w:rPr>
        <w:t>24</w:t>
      </w:r>
      <w:r w:rsidRPr="001B6E4D">
        <w:rPr>
          <w:rFonts w:ascii="標楷體" w:eastAsia="標楷體" w:hAnsi="標楷體" w:hint="eastAsia"/>
          <w:color w:val="000000" w:themeColor="text1"/>
          <w:spacing w:val="-20"/>
          <w:sz w:val="32"/>
          <w:szCs w:val="32"/>
          <w:shd w:val="clear" w:color="auto" w:fill="FFFFFF" w:themeFill="background1"/>
        </w:rPr>
        <w:t>日</w:t>
      </w:r>
      <w:r w:rsidRPr="001B6E4D">
        <w:rPr>
          <w:rFonts w:ascii="標楷體" w:eastAsia="標楷體" w:hAnsi="標楷體"/>
          <w:color w:val="000000" w:themeColor="text1"/>
          <w:spacing w:val="-20"/>
          <w:sz w:val="32"/>
          <w:szCs w:val="32"/>
          <w:shd w:val="clear" w:color="auto" w:fill="FFFFFF" w:themeFill="background1"/>
        </w:rPr>
        <w:t>至11</w:t>
      </w:r>
      <w:r w:rsidR="00887E51" w:rsidRPr="001B6E4D">
        <w:rPr>
          <w:rFonts w:ascii="標楷體" w:eastAsia="標楷體" w:hAnsi="標楷體" w:hint="eastAsia"/>
          <w:color w:val="000000" w:themeColor="text1"/>
          <w:spacing w:val="-20"/>
          <w:sz w:val="32"/>
          <w:szCs w:val="32"/>
          <w:shd w:val="clear" w:color="auto" w:fill="FFFFFF" w:themeFill="background1"/>
        </w:rPr>
        <w:t>5</w:t>
      </w:r>
      <w:r w:rsidRPr="001B6E4D">
        <w:rPr>
          <w:rFonts w:ascii="標楷體" w:eastAsia="標楷體" w:hAnsi="標楷體"/>
          <w:color w:val="000000" w:themeColor="text1"/>
          <w:spacing w:val="-20"/>
          <w:sz w:val="32"/>
          <w:szCs w:val="32"/>
          <w:shd w:val="clear" w:color="auto" w:fill="FFFFFF" w:themeFill="background1"/>
        </w:rPr>
        <w:t>年</w:t>
      </w:r>
      <w:r w:rsidR="00056ADA" w:rsidRPr="001B6E4D">
        <w:rPr>
          <w:rFonts w:ascii="標楷體" w:eastAsia="標楷體" w:hAnsi="標楷體" w:hint="eastAsia"/>
          <w:color w:val="000000" w:themeColor="text1"/>
          <w:spacing w:val="-20"/>
          <w:sz w:val="32"/>
          <w:szCs w:val="32"/>
          <w:shd w:val="clear" w:color="auto" w:fill="FFFFFF" w:themeFill="background1"/>
        </w:rPr>
        <w:t>8</w:t>
      </w:r>
      <w:r w:rsidRPr="001B6E4D">
        <w:rPr>
          <w:rFonts w:ascii="標楷體" w:eastAsia="標楷體" w:hAnsi="標楷體" w:hint="eastAsia"/>
          <w:color w:val="000000" w:themeColor="text1"/>
          <w:spacing w:val="-20"/>
          <w:sz w:val="32"/>
          <w:szCs w:val="32"/>
          <w:shd w:val="clear" w:color="auto" w:fill="FFFFFF" w:themeFill="background1"/>
        </w:rPr>
        <w:t>月</w:t>
      </w:r>
      <w:r w:rsidR="00017B1A" w:rsidRPr="001B6E4D">
        <w:rPr>
          <w:rFonts w:ascii="標楷體" w:eastAsia="標楷體" w:hAnsi="標楷體"/>
          <w:color w:val="000000" w:themeColor="text1"/>
          <w:spacing w:val="-20"/>
          <w:sz w:val="32"/>
          <w:szCs w:val="32"/>
          <w:shd w:val="clear" w:color="auto" w:fill="FFFFFF" w:themeFill="background1"/>
        </w:rPr>
        <w:t>31</w:t>
      </w:r>
      <w:r w:rsidRPr="001B6E4D">
        <w:rPr>
          <w:rFonts w:ascii="標楷體" w:eastAsia="標楷體" w:hAnsi="標楷體" w:hint="eastAsia"/>
          <w:color w:val="000000" w:themeColor="text1"/>
          <w:spacing w:val="-20"/>
          <w:sz w:val="32"/>
          <w:szCs w:val="32"/>
          <w:shd w:val="clear" w:color="auto" w:fill="FFFFFF" w:themeFill="background1"/>
        </w:rPr>
        <w:t>日)</w:t>
      </w:r>
    </w:p>
    <w:p w14:paraId="7696AB6B" w14:textId="241EFFFC" w:rsidR="005B3B69" w:rsidRPr="001B6E4D" w:rsidRDefault="005B3B69" w:rsidP="003D1018">
      <w:pPr>
        <w:tabs>
          <w:tab w:val="left" w:pos="284"/>
        </w:tabs>
        <w:overflowPunct w:val="0"/>
        <w:spacing w:line="480" w:lineRule="exact"/>
        <w:jc w:val="center"/>
        <w:rPr>
          <w:rFonts w:ascii="標楷體" w:eastAsia="標楷體" w:hAnsi="標楷體"/>
          <w:b/>
          <w:bCs/>
          <w:color w:val="000000" w:themeColor="text1"/>
          <w:spacing w:val="-20"/>
          <w:sz w:val="32"/>
          <w:szCs w:val="32"/>
          <w:shd w:val="clear" w:color="auto" w:fill="FFFFFF" w:themeFill="background1"/>
        </w:rPr>
      </w:pPr>
      <w:r w:rsidRPr="001B6E4D">
        <w:rPr>
          <w:rFonts w:ascii="標楷體" w:eastAsia="標楷體" w:hAnsi="標楷體" w:hint="eastAsia"/>
          <w:b/>
          <w:bCs/>
          <w:color w:val="000000" w:themeColor="text1"/>
          <w:spacing w:val="-20"/>
          <w:sz w:val="32"/>
          <w:szCs w:val="32"/>
          <w:shd w:val="clear" w:color="auto" w:fill="FFFFFF" w:themeFill="background1"/>
        </w:rPr>
        <w:t>目       次</w:t>
      </w:r>
    </w:p>
    <w:p w14:paraId="5F9C085A" w14:textId="23B596D0" w:rsidR="005666DC" w:rsidRDefault="00081D3B">
      <w:pPr>
        <w:pStyle w:val="12"/>
        <w:rPr>
          <w:rFonts w:asciiTheme="minorHAnsi" w:eastAsiaTheme="minorEastAsia" w:hAnsiTheme="minorHAnsi" w:cstheme="minorBidi"/>
          <w:b w:val="0"/>
          <w:kern w:val="2"/>
          <w:sz w:val="24"/>
          <w:szCs w:val="22"/>
          <w:shd w:val="clear" w:color="auto" w:fill="auto"/>
        </w:rPr>
      </w:pPr>
      <w:r w:rsidRPr="001B6E4D">
        <w:rPr>
          <w:color w:val="000000" w:themeColor="text1"/>
          <w:spacing w:val="160"/>
        </w:rPr>
        <w:fldChar w:fldCharType="begin"/>
      </w:r>
      <w:r w:rsidRPr="001B6E4D">
        <w:rPr>
          <w:color w:val="000000" w:themeColor="text1"/>
          <w:spacing w:val="160"/>
        </w:rPr>
        <w:instrText xml:space="preserve"> TOC \o "1-3" \h \z \u </w:instrText>
      </w:r>
      <w:r w:rsidRPr="001B6E4D">
        <w:rPr>
          <w:color w:val="000000" w:themeColor="text1"/>
          <w:spacing w:val="160"/>
        </w:rPr>
        <w:fldChar w:fldCharType="separate"/>
      </w:r>
      <w:hyperlink w:anchor="_Toc240446496" w:history="1">
        <w:r w:rsidR="005666DC" w:rsidRPr="0002242D">
          <w:rPr>
            <w:rStyle w:val="af6"/>
            <w:rFonts w:hint="eastAsia"/>
            <w:bCs/>
          </w:rPr>
          <w:t>壹、組織及業務簡介</w:t>
        </w:r>
        <w:r w:rsidR="005666DC">
          <w:rPr>
            <w:webHidden/>
          </w:rPr>
          <w:tab/>
        </w:r>
        <w:r w:rsidR="005666DC">
          <w:rPr>
            <w:webHidden/>
          </w:rPr>
          <w:fldChar w:fldCharType="begin"/>
        </w:r>
        <w:r w:rsidR="005666DC">
          <w:rPr>
            <w:webHidden/>
          </w:rPr>
          <w:instrText xml:space="preserve"> PAGEREF _Toc240446496 \h </w:instrText>
        </w:r>
        <w:r w:rsidR="005666DC">
          <w:rPr>
            <w:webHidden/>
          </w:rPr>
        </w:r>
        <w:r w:rsidR="005666DC">
          <w:rPr>
            <w:webHidden/>
          </w:rPr>
          <w:fldChar w:fldCharType="separate"/>
        </w:r>
        <w:r w:rsidR="005666DC">
          <w:rPr>
            <w:webHidden/>
          </w:rPr>
          <w:t>1</w:t>
        </w:r>
        <w:r w:rsidR="005666DC">
          <w:rPr>
            <w:webHidden/>
          </w:rPr>
          <w:fldChar w:fldCharType="end"/>
        </w:r>
      </w:hyperlink>
    </w:p>
    <w:p w14:paraId="7FF954A2" w14:textId="29D720BB"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497" w:history="1">
        <w:r w:rsidR="005666DC" w:rsidRPr="0002242D">
          <w:rPr>
            <w:rStyle w:val="af6"/>
            <w:rFonts w:hint="eastAsia"/>
          </w:rPr>
          <w:t>一、組織</w:t>
        </w:r>
        <w:r w:rsidR="005666DC">
          <w:rPr>
            <w:webHidden/>
          </w:rPr>
          <w:tab/>
        </w:r>
        <w:r w:rsidR="005666DC">
          <w:rPr>
            <w:webHidden/>
          </w:rPr>
          <w:fldChar w:fldCharType="begin"/>
        </w:r>
        <w:r w:rsidR="005666DC">
          <w:rPr>
            <w:webHidden/>
          </w:rPr>
          <w:instrText xml:space="preserve"> PAGEREF _Toc240446497 \h </w:instrText>
        </w:r>
        <w:r w:rsidR="005666DC">
          <w:rPr>
            <w:webHidden/>
          </w:rPr>
        </w:r>
        <w:r w:rsidR="005666DC">
          <w:rPr>
            <w:webHidden/>
          </w:rPr>
          <w:fldChar w:fldCharType="separate"/>
        </w:r>
        <w:r w:rsidR="005666DC">
          <w:rPr>
            <w:webHidden/>
          </w:rPr>
          <w:t>1</w:t>
        </w:r>
        <w:r w:rsidR="005666DC">
          <w:rPr>
            <w:webHidden/>
          </w:rPr>
          <w:fldChar w:fldCharType="end"/>
        </w:r>
      </w:hyperlink>
    </w:p>
    <w:p w14:paraId="1B30D94B" w14:textId="0DAD02D2" w:rsidR="005666DC" w:rsidRDefault="00C72F63" w:rsidP="005666DC">
      <w:pPr>
        <w:pStyle w:val="37"/>
        <w:rPr>
          <w:rFonts w:asciiTheme="minorHAnsi" w:eastAsiaTheme="minorEastAsia" w:hAnsiTheme="minorHAnsi" w:cstheme="minorBidi"/>
          <w:w w:val="100"/>
          <w:sz w:val="24"/>
          <w:szCs w:val="22"/>
        </w:rPr>
      </w:pPr>
      <w:hyperlink w:anchor="_Toc240446498" w:history="1">
        <w:r w:rsidR="005666DC" w:rsidRPr="0002242D">
          <w:rPr>
            <w:rStyle w:val="af6"/>
            <w:shd w:val="clear" w:color="auto" w:fill="FFFFFF" w:themeFill="background1"/>
          </w:rPr>
          <w:t>(</w:t>
        </w:r>
        <w:r w:rsidR="005666DC" w:rsidRPr="0002242D">
          <w:rPr>
            <w:rStyle w:val="af6"/>
            <w:rFonts w:hint="eastAsia"/>
            <w:shd w:val="clear" w:color="auto" w:fill="FFFFFF" w:themeFill="background1"/>
          </w:rPr>
          <w:t>一</w:t>
        </w:r>
        <w:r w:rsidR="005666DC" w:rsidRPr="0002242D">
          <w:rPr>
            <w:rStyle w:val="af6"/>
            <w:shd w:val="clear" w:color="auto" w:fill="FFFFFF" w:themeFill="background1"/>
          </w:rPr>
          <w:t>)</w:t>
        </w:r>
        <w:r w:rsidR="005666DC" w:rsidRPr="0002242D">
          <w:rPr>
            <w:rStyle w:val="af6"/>
            <w:rFonts w:hint="eastAsia"/>
            <w:shd w:val="clear" w:color="auto" w:fill="FFFFFF" w:themeFill="background1"/>
          </w:rPr>
          <w:t>本會期本會委員</w:t>
        </w:r>
        <w:r w:rsidR="005666DC">
          <w:rPr>
            <w:webHidden/>
          </w:rPr>
          <w:tab/>
        </w:r>
        <w:r w:rsidR="005666DC">
          <w:rPr>
            <w:webHidden/>
          </w:rPr>
          <w:fldChar w:fldCharType="begin"/>
        </w:r>
        <w:r w:rsidR="005666DC">
          <w:rPr>
            <w:webHidden/>
          </w:rPr>
          <w:instrText xml:space="preserve"> PAGEREF _Toc240446498 \h </w:instrText>
        </w:r>
        <w:r w:rsidR="005666DC">
          <w:rPr>
            <w:webHidden/>
          </w:rPr>
        </w:r>
        <w:r w:rsidR="005666DC">
          <w:rPr>
            <w:webHidden/>
          </w:rPr>
          <w:fldChar w:fldCharType="separate"/>
        </w:r>
        <w:r w:rsidR="005666DC">
          <w:rPr>
            <w:webHidden/>
          </w:rPr>
          <w:t>1</w:t>
        </w:r>
        <w:r w:rsidR="005666DC">
          <w:rPr>
            <w:webHidden/>
          </w:rPr>
          <w:fldChar w:fldCharType="end"/>
        </w:r>
      </w:hyperlink>
    </w:p>
    <w:p w14:paraId="3C0CD143" w14:textId="4D82A576" w:rsidR="005666DC" w:rsidRDefault="00C72F63" w:rsidP="005666DC">
      <w:pPr>
        <w:pStyle w:val="37"/>
        <w:rPr>
          <w:rFonts w:asciiTheme="minorHAnsi" w:eastAsiaTheme="minorEastAsia" w:hAnsiTheme="minorHAnsi" w:cstheme="minorBidi"/>
          <w:w w:val="100"/>
          <w:sz w:val="24"/>
          <w:szCs w:val="22"/>
        </w:rPr>
      </w:pPr>
      <w:hyperlink w:anchor="_Toc240446499" w:history="1">
        <w:r w:rsidR="005666DC" w:rsidRPr="0002242D">
          <w:rPr>
            <w:rStyle w:val="af6"/>
            <w:shd w:val="clear" w:color="auto" w:fill="FFFFFF" w:themeFill="background1"/>
          </w:rPr>
          <w:t>(</w:t>
        </w:r>
        <w:r w:rsidR="005666DC" w:rsidRPr="0002242D">
          <w:rPr>
            <w:rStyle w:val="af6"/>
            <w:rFonts w:hint="eastAsia"/>
            <w:shd w:val="clear" w:color="auto" w:fill="FFFFFF" w:themeFill="background1"/>
          </w:rPr>
          <w:t>二</w:t>
        </w:r>
        <w:r w:rsidR="005666DC" w:rsidRPr="0002242D">
          <w:rPr>
            <w:rStyle w:val="af6"/>
            <w:shd w:val="clear" w:color="auto" w:fill="FFFFFF" w:themeFill="background1"/>
          </w:rPr>
          <w:t>)</w:t>
        </w:r>
        <w:r w:rsidR="005666DC" w:rsidRPr="0002242D">
          <w:rPr>
            <w:rStyle w:val="af6"/>
            <w:rFonts w:hint="eastAsia"/>
            <w:shd w:val="clear" w:color="auto" w:fill="FFFFFF" w:themeFill="background1"/>
          </w:rPr>
          <w:t>本會期本會召集委員</w:t>
        </w:r>
        <w:r w:rsidR="005666DC">
          <w:rPr>
            <w:webHidden/>
          </w:rPr>
          <w:tab/>
        </w:r>
        <w:r w:rsidR="005666DC">
          <w:rPr>
            <w:webHidden/>
          </w:rPr>
          <w:fldChar w:fldCharType="begin"/>
        </w:r>
        <w:r w:rsidR="005666DC">
          <w:rPr>
            <w:webHidden/>
          </w:rPr>
          <w:instrText xml:space="preserve"> PAGEREF _Toc240446499 \h </w:instrText>
        </w:r>
        <w:r w:rsidR="005666DC">
          <w:rPr>
            <w:webHidden/>
          </w:rPr>
        </w:r>
        <w:r w:rsidR="005666DC">
          <w:rPr>
            <w:webHidden/>
          </w:rPr>
          <w:fldChar w:fldCharType="separate"/>
        </w:r>
        <w:r w:rsidR="005666DC">
          <w:rPr>
            <w:webHidden/>
          </w:rPr>
          <w:t>1</w:t>
        </w:r>
        <w:r w:rsidR="005666DC">
          <w:rPr>
            <w:webHidden/>
          </w:rPr>
          <w:fldChar w:fldCharType="end"/>
        </w:r>
      </w:hyperlink>
    </w:p>
    <w:p w14:paraId="52C4C7F6" w14:textId="1FC938AE" w:rsidR="005666DC" w:rsidRDefault="00C72F63" w:rsidP="005666DC">
      <w:pPr>
        <w:pStyle w:val="37"/>
        <w:rPr>
          <w:rFonts w:asciiTheme="minorHAnsi" w:eastAsiaTheme="minorEastAsia" w:hAnsiTheme="minorHAnsi" w:cstheme="minorBidi"/>
          <w:w w:val="100"/>
          <w:sz w:val="24"/>
          <w:szCs w:val="22"/>
        </w:rPr>
      </w:pPr>
      <w:hyperlink w:anchor="_Toc240446500" w:history="1">
        <w:r w:rsidR="005666DC" w:rsidRPr="0002242D">
          <w:rPr>
            <w:rStyle w:val="af6"/>
            <w:shd w:val="clear" w:color="auto" w:fill="FFFFFF" w:themeFill="background1"/>
          </w:rPr>
          <w:t>(</w:t>
        </w:r>
        <w:r w:rsidR="005666DC" w:rsidRPr="0002242D">
          <w:rPr>
            <w:rStyle w:val="af6"/>
            <w:rFonts w:hint="eastAsia"/>
            <w:shd w:val="clear" w:color="auto" w:fill="FFFFFF" w:themeFill="background1"/>
          </w:rPr>
          <w:t>三</w:t>
        </w:r>
        <w:r w:rsidR="005666DC" w:rsidRPr="0002242D">
          <w:rPr>
            <w:rStyle w:val="af6"/>
            <w:shd w:val="clear" w:color="auto" w:fill="FFFFFF" w:themeFill="background1"/>
          </w:rPr>
          <w:t>)</w:t>
        </w:r>
        <w:r w:rsidR="005666DC" w:rsidRPr="0002242D">
          <w:rPr>
            <w:rStyle w:val="af6"/>
            <w:rFonts w:hint="eastAsia"/>
            <w:shd w:val="clear" w:color="auto" w:fill="FFFFFF" w:themeFill="background1"/>
          </w:rPr>
          <w:t>本會期擔任紀律委員會召集委員</w:t>
        </w:r>
        <w:r w:rsidR="005666DC">
          <w:rPr>
            <w:webHidden/>
          </w:rPr>
          <w:tab/>
        </w:r>
        <w:r w:rsidR="005666DC">
          <w:rPr>
            <w:webHidden/>
          </w:rPr>
          <w:fldChar w:fldCharType="begin"/>
        </w:r>
        <w:r w:rsidR="005666DC">
          <w:rPr>
            <w:webHidden/>
          </w:rPr>
          <w:instrText xml:space="preserve"> PAGEREF _Toc240446500 \h </w:instrText>
        </w:r>
        <w:r w:rsidR="005666DC">
          <w:rPr>
            <w:webHidden/>
          </w:rPr>
        </w:r>
        <w:r w:rsidR="005666DC">
          <w:rPr>
            <w:webHidden/>
          </w:rPr>
          <w:fldChar w:fldCharType="separate"/>
        </w:r>
        <w:r w:rsidR="005666DC">
          <w:rPr>
            <w:webHidden/>
          </w:rPr>
          <w:t>1</w:t>
        </w:r>
        <w:r w:rsidR="005666DC">
          <w:rPr>
            <w:webHidden/>
          </w:rPr>
          <w:fldChar w:fldCharType="end"/>
        </w:r>
      </w:hyperlink>
    </w:p>
    <w:p w14:paraId="6238134A" w14:textId="2C86A802"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01" w:history="1">
        <w:r w:rsidR="005666DC" w:rsidRPr="0002242D">
          <w:rPr>
            <w:rStyle w:val="af6"/>
            <w:rFonts w:hint="eastAsia"/>
          </w:rPr>
          <w:t>二、業務簡介</w:t>
        </w:r>
        <w:r w:rsidR="005666DC">
          <w:rPr>
            <w:webHidden/>
          </w:rPr>
          <w:tab/>
        </w:r>
        <w:r w:rsidR="005666DC">
          <w:rPr>
            <w:webHidden/>
          </w:rPr>
          <w:fldChar w:fldCharType="begin"/>
        </w:r>
        <w:r w:rsidR="005666DC">
          <w:rPr>
            <w:webHidden/>
          </w:rPr>
          <w:instrText xml:space="preserve"> PAGEREF _Toc240446501 \h </w:instrText>
        </w:r>
        <w:r w:rsidR="005666DC">
          <w:rPr>
            <w:webHidden/>
          </w:rPr>
        </w:r>
        <w:r w:rsidR="005666DC">
          <w:rPr>
            <w:webHidden/>
          </w:rPr>
          <w:fldChar w:fldCharType="separate"/>
        </w:r>
        <w:r w:rsidR="005666DC">
          <w:rPr>
            <w:webHidden/>
          </w:rPr>
          <w:t>1</w:t>
        </w:r>
        <w:r w:rsidR="005666DC">
          <w:rPr>
            <w:webHidden/>
          </w:rPr>
          <w:fldChar w:fldCharType="end"/>
        </w:r>
      </w:hyperlink>
    </w:p>
    <w:p w14:paraId="1C48DF71" w14:textId="5755A8D8" w:rsidR="005666DC" w:rsidRDefault="00C72F63" w:rsidP="005666DC">
      <w:pPr>
        <w:pStyle w:val="37"/>
        <w:rPr>
          <w:rFonts w:asciiTheme="minorHAnsi" w:eastAsiaTheme="minorEastAsia" w:hAnsiTheme="minorHAnsi" w:cstheme="minorBidi"/>
          <w:w w:val="100"/>
          <w:sz w:val="24"/>
          <w:szCs w:val="22"/>
        </w:rPr>
      </w:pPr>
      <w:hyperlink w:anchor="_Toc240446502" w:history="1">
        <w:r w:rsidR="005666DC" w:rsidRPr="0002242D">
          <w:rPr>
            <w:rStyle w:val="af6"/>
            <w:shd w:val="clear" w:color="auto" w:fill="FFFFFF" w:themeFill="background1"/>
          </w:rPr>
          <w:t>(</w:t>
        </w:r>
        <w:r w:rsidR="005666DC" w:rsidRPr="0002242D">
          <w:rPr>
            <w:rStyle w:val="af6"/>
            <w:rFonts w:hint="eastAsia"/>
            <w:shd w:val="clear" w:color="auto" w:fill="FFFFFF" w:themeFill="background1"/>
          </w:rPr>
          <w:t>一</w:t>
        </w:r>
        <w:r w:rsidR="005666DC" w:rsidRPr="0002242D">
          <w:rPr>
            <w:rStyle w:val="af6"/>
            <w:shd w:val="clear" w:color="auto" w:fill="FFFFFF" w:themeFill="background1"/>
          </w:rPr>
          <w:t>)</w:t>
        </w:r>
        <w:r w:rsidR="005666DC" w:rsidRPr="0002242D">
          <w:rPr>
            <w:rStyle w:val="af6"/>
            <w:rFonts w:hint="eastAsia"/>
            <w:shd w:val="clear" w:color="auto" w:fill="FFFFFF" w:themeFill="background1"/>
          </w:rPr>
          <w:t>依據</w:t>
        </w:r>
        <w:r w:rsidR="005666DC">
          <w:rPr>
            <w:webHidden/>
          </w:rPr>
          <w:tab/>
        </w:r>
        <w:r w:rsidR="005666DC">
          <w:rPr>
            <w:webHidden/>
          </w:rPr>
          <w:fldChar w:fldCharType="begin"/>
        </w:r>
        <w:r w:rsidR="005666DC">
          <w:rPr>
            <w:webHidden/>
          </w:rPr>
          <w:instrText xml:space="preserve"> PAGEREF _Toc240446502 \h </w:instrText>
        </w:r>
        <w:r w:rsidR="005666DC">
          <w:rPr>
            <w:webHidden/>
          </w:rPr>
        </w:r>
        <w:r w:rsidR="005666DC">
          <w:rPr>
            <w:webHidden/>
          </w:rPr>
          <w:fldChar w:fldCharType="separate"/>
        </w:r>
        <w:r w:rsidR="005666DC">
          <w:rPr>
            <w:webHidden/>
          </w:rPr>
          <w:t>1</w:t>
        </w:r>
        <w:r w:rsidR="005666DC">
          <w:rPr>
            <w:webHidden/>
          </w:rPr>
          <w:fldChar w:fldCharType="end"/>
        </w:r>
      </w:hyperlink>
    </w:p>
    <w:p w14:paraId="32B0B88F" w14:textId="45A98FB9" w:rsidR="005666DC" w:rsidRDefault="00C72F63" w:rsidP="005666DC">
      <w:pPr>
        <w:pStyle w:val="37"/>
        <w:rPr>
          <w:rFonts w:asciiTheme="minorHAnsi" w:eastAsiaTheme="minorEastAsia" w:hAnsiTheme="minorHAnsi" w:cstheme="minorBidi"/>
          <w:w w:val="100"/>
          <w:sz w:val="24"/>
          <w:szCs w:val="22"/>
        </w:rPr>
      </w:pPr>
      <w:hyperlink w:anchor="_Toc240446503" w:history="1">
        <w:r w:rsidR="005666DC" w:rsidRPr="0002242D">
          <w:rPr>
            <w:rStyle w:val="af6"/>
            <w:shd w:val="clear" w:color="auto" w:fill="FFFFFF" w:themeFill="background1"/>
          </w:rPr>
          <w:t>(</w:t>
        </w:r>
        <w:r w:rsidR="005666DC" w:rsidRPr="0002242D">
          <w:rPr>
            <w:rStyle w:val="af6"/>
            <w:rFonts w:hint="eastAsia"/>
            <w:shd w:val="clear" w:color="auto" w:fill="FFFFFF" w:themeFill="background1"/>
          </w:rPr>
          <w:t>二</w:t>
        </w:r>
        <w:r w:rsidR="005666DC" w:rsidRPr="0002242D">
          <w:rPr>
            <w:rStyle w:val="af6"/>
            <w:shd w:val="clear" w:color="auto" w:fill="FFFFFF" w:themeFill="background1"/>
          </w:rPr>
          <w:t>)</w:t>
        </w:r>
        <w:r w:rsidR="005666DC" w:rsidRPr="0002242D">
          <w:rPr>
            <w:rStyle w:val="af6"/>
            <w:rFonts w:hint="eastAsia"/>
            <w:shd w:val="clear" w:color="auto" w:fill="FFFFFF" w:themeFill="background1"/>
          </w:rPr>
          <w:t>職掌</w:t>
        </w:r>
        <w:r w:rsidR="005666DC">
          <w:rPr>
            <w:webHidden/>
          </w:rPr>
          <w:tab/>
        </w:r>
        <w:r w:rsidR="005666DC">
          <w:rPr>
            <w:webHidden/>
          </w:rPr>
          <w:fldChar w:fldCharType="begin"/>
        </w:r>
        <w:r w:rsidR="005666DC">
          <w:rPr>
            <w:webHidden/>
          </w:rPr>
          <w:instrText xml:space="preserve"> PAGEREF _Toc240446503 \h </w:instrText>
        </w:r>
        <w:r w:rsidR="005666DC">
          <w:rPr>
            <w:webHidden/>
          </w:rPr>
        </w:r>
        <w:r w:rsidR="005666DC">
          <w:rPr>
            <w:webHidden/>
          </w:rPr>
          <w:fldChar w:fldCharType="separate"/>
        </w:r>
        <w:r w:rsidR="005666DC">
          <w:rPr>
            <w:webHidden/>
          </w:rPr>
          <w:t>1</w:t>
        </w:r>
        <w:r w:rsidR="005666DC">
          <w:rPr>
            <w:webHidden/>
          </w:rPr>
          <w:fldChar w:fldCharType="end"/>
        </w:r>
      </w:hyperlink>
    </w:p>
    <w:p w14:paraId="40A51CDE" w14:textId="1DF330C9" w:rsidR="005666DC" w:rsidRDefault="00C72F63">
      <w:pPr>
        <w:pStyle w:val="12"/>
        <w:rPr>
          <w:rFonts w:asciiTheme="minorHAnsi" w:eastAsiaTheme="minorEastAsia" w:hAnsiTheme="minorHAnsi" w:cstheme="minorBidi"/>
          <w:b w:val="0"/>
          <w:kern w:val="2"/>
          <w:sz w:val="24"/>
          <w:szCs w:val="22"/>
          <w:shd w:val="clear" w:color="auto" w:fill="auto"/>
        </w:rPr>
      </w:pPr>
      <w:hyperlink w:anchor="_Toc240446504" w:history="1">
        <w:r w:rsidR="005666DC" w:rsidRPr="0002242D">
          <w:rPr>
            <w:rStyle w:val="af6"/>
            <w:rFonts w:hint="eastAsia"/>
            <w:bCs/>
          </w:rPr>
          <w:t>貳、本會期會務概況</w:t>
        </w:r>
        <w:r w:rsidR="005666DC">
          <w:rPr>
            <w:webHidden/>
          </w:rPr>
          <w:tab/>
        </w:r>
        <w:r w:rsidR="005666DC">
          <w:rPr>
            <w:webHidden/>
          </w:rPr>
          <w:fldChar w:fldCharType="begin"/>
        </w:r>
        <w:r w:rsidR="005666DC">
          <w:rPr>
            <w:webHidden/>
          </w:rPr>
          <w:instrText xml:space="preserve"> PAGEREF _Toc240446504 \h </w:instrText>
        </w:r>
        <w:r w:rsidR="005666DC">
          <w:rPr>
            <w:webHidden/>
          </w:rPr>
        </w:r>
        <w:r w:rsidR="005666DC">
          <w:rPr>
            <w:webHidden/>
          </w:rPr>
          <w:fldChar w:fldCharType="separate"/>
        </w:r>
        <w:r w:rsidR="005666DC">
          <w:rPr>
            <w:webHidden/>
          </w:rPr>
          <w:t>3</w:t>
        </w:r>
        <w:r w:rsidR="005666DC">
          <w:rPr>
            <w:webHidden/>
          </w:rPr>
          <w:fldChar w:fldCharType="end"/>
        </w:r>
      </w:hyperlink>
    </w:p>
    <w:p w14:paraId="19513F1A" w14:textId="02D391B8"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05" w:history="1">
        <w:r w:rsidR="005666DC" w:rsidRPr="0002242D">
          <w:rPr>
            <w:rStyle w:val="af6"/>
            <w:rFonts w:hint="eastAsia"/>
          </w:rPr>
          <w:t>一、會務概況一覽表</w:t>
        </w:r>
        <w:r w:rsidR="005666DC">
          <w:rPr>
            <w:webHidden/>
          </w:rPr>
          <w:tab/>
        </w:r>
        <w:r w:rsidR="005666DC">
          <w:rPr>
            <w:webHidden/>
          </w:rPr>
          <w:fldChar w:fldCharType="begin"/>
        </w:r>
        <w:r w:rsidR="005666DC">
          <w:rPr>
            <w:webHidden/>
          </w:rPr>
          <w:instrText xml:space="preserve"> PAGEREF _Toc240446505 \h </w:instrText>
        </w:r>
        <w:r w:rsidR="005666DC">
          <w:rPr>
            <w:webHidden/>
          </w:rPr>
        </w:r>
        <w:r w:rsidR="005666DC">
          <w:rPr>
            <w:webHidden/>
          </w:rPr>
          <w:fldChar w:fldCharType="separate"/>
        </w:r>
        <w:r w:rsidR="005666DC">
          <w:rPr>
            <w:webHidden/>
          </w:rPr>
          <w:t>3</w:t>
        </w:r>
        <w:r w:rsidR="005666DC">
          <w:rPr>
            <w:webHidden/>
          </w:rPr>
          <w:fldChar w:fldCharType="end"/>
        </w:r>
      </w:hyperlink>
    </w:p>
    <w:p w14:paraId="5CEE82BD" w14:textId="7E471E1B"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06" w:history="1">
        <w:r w:rsidR="005666DC" w:rsidRPr="0002242D">
          <w:rPr>
            <w:rStyle w:val="af6"/>
            <w:rFonts w:hint="eastAsia"/>
          </w:rPr>
          <w:t>二、公聽會</w:t>
        </w:r>
        <w:r w:rsidR="005666DC">
          <w:rPr>
            <w:webHidden/>
          </w:rPr>
          <w:tab/>
        </w:r>
        <w:r w:rsidR="005666DC">
          <w:rPr>
            <w:webHidden/>
          </w:rPr>
          <w:fldChar w:fldCharType="begin"/>
        </w:r>
        <w:r w:rsidR="005666DC">
          <w:rPr>
            <w:webHidden/>
          </w:rPr>
          <w:instrText xml:space="preserve"> PAGEREF _Toc240446506 \h </w:instrText>
        </w:r>
        <w:r w:rsidR="005666DC">
          <w:rPr>
            <w:webHidden/>
          </w:rPr>
        </w:r>
        <w:r w:rsidR="005666DC">
          <w:rPr>
            <w:webHidden/>
          </w:rPr>
          <w:fldChar w:fldCharType="separate"/>
        </w:r>
        <w:r w:rsidR="005666DC">
          <w:rPr>
            <w:webHidden/>
          </w:rPr>
          <w:t>56</w:t>
        </w:r>
        <w:r w:rsidR="005666DC">
          <w:rPr>
            <w:webHidden/>
          </w:rPr>
          <w:fldChar w:fldCharType="end"/>
        </w:r>
      </w:hyperlink>
    </w:p>
    <w:p w14:paraId="451A72A3" w14:textId="2975E4FD"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07" w:history="1">
        <w:r w:rsidR="005666DC" w:rsidRPr="0002242D">
          <w:rPr>
            <w:rStyle w:val="af6"/>
            <w:rFonts w:hint="eastAsia"/>
          </w:rPr>
          <w:t>三、考察</w:t>
        </w:r>
        <w:r w:rsidR="005666DC" w:rsidRPr="0002242D">
          <w:rPr>
            <w:rStyle w:val="af6"/>
          </w:rPr>
          <w:t>(</w:t>
        </w:r>
        <w:r w:rsidR="005666DC" w:rsidRPr="0002242D">
          <w:rPr>
            <w:rStyle w:val="af6"/>
            <w:rFonts w:hint="eastAsia"/>
          </w:rPr>
          <w:t>參訪</w:t>
        </w:r>
        <w:r w:rsidR="005666DC" w:rsidRPr="0002242D">
          <w:rPr>
            <w:rStyle w:val="af6"/>
          </w:rPr>
          <w:t>)</w:t>
        </w:r>
        <w:r w:rsidR="005666DC" w:rsidRPr="0002242D">
          <w:rPr>
            <w:rStyle w:val="af6"/>
            <w:rFonts w:hint="eastAsia"/>
          </w:rPr>
          <w:t>活動</w:t>
        </w:r>
        <w:r w:rsidR="005666DC">
          <w:rPr>
            <w:webHidden/>
          </w:rPr>
          <w:tab/>
        </w:r>
        <w:r w:rsidR="005666DC">
          <w:rPr>
            <w:webHidden/>
          </w:rPr>
          <w:fldChar w:fldCharType="begin"/>
        </w:r>
        <w:r w:rsidR="005666DC">
          <w:rPr>
            <w:webHidden/>
          </w:rPr>
          <w:instrText xml:space="preserve"> PAGEREF _Toc240446507 \h </w:instrText>
        </w:r>
        <w:r w:rsidR="005666DC">
          <w:rPr>
            <w:webHidden/>
          </w:rPr>
        </w:r>
        <w:r w:rsidR="005666DC">
          <w:rPr>
            <w:webHidden/>
          </w:rPr>
          <w:fldChar w:fldCharType="separate"/>
        </w:r>
        <w:r w:rsidR="005666DC">
          <w:rPr>
            <w:webHidden/>
          </w:rPr>
          <w:t>58</w:t>
        </w:r>
        <w:r w:rsidR="005666DC">
          <w:rPr>
            <w:webHidden/>
          </w:rPr>
          <w:fldChar w:fldCharType="end"/>
        </w:r>
      </w:hyperlink>
    </w:p>
    <w:p w14:paraId="22ACB939" w14:textId="6A651BF6"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08" w:history="1">
        <w:r w:rsidR="005666DC" w:rsidRPr="0002242D">
          <w:rPr>
            <w:rStyle w:val="af6"/>
            <w:rFonts w:hint="eastAsia"/>
          </w:rPr>
          <w:t>四、本會期本會各項議案審竣統計表</w:t>
        </w:r>
        <w:r w:rsidR="005666DC">
          <w:rPr>
            <w:webHidden/>
          </w:rPr>
          <w:tab/>
        </w:r>
        <w:r w:rsidR="005666DC">
          <w:rPr>
            <w:webHidden/>
          </w:rPr>
          <w:fldChar w:fldCharType="begin"/>
        </w:r>
        <w:r w:rsidR="005666DC">
          <w:rPr>
            <w:webHidden/>
          </w:rPr>
          <w:instrText xml:space="preserve"> PAGEREF _Toc240446508 \h </w:instrText>
        </w:r>
        <w:r w:rsidR="005666DC">
          <w:rPr>
            <w:webHidden/>
          </w:rPr>
        </w:r>
        <w:r w:rsidR="005666DC">
          <w:rPr>
            <w:webHidden/>
          </w:rPr>
          <w:fldChar w:fldCharType="separate"/>
        </w:r>
        <w:r w:rsidR="005666DC">
          <w:rPr>
            <w:webHidden/>
          </w:rPr>
          <w:t>63</w:t>
        </w:r>
        <w:r w:rsidR="005666DC">
          <w:rPr>
            <w:webHidden/>
          </w:rPr>
          <w:fldChar w:fldCharType="end"/>
        </w:r>
      </w:hyperlink>
    </w:p>
    <w:p w14:paraId="574A89A9" w14:textId="2DBB99BB"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09" w:history="1">
        <w:r w:rsidR="005666DC" w:rsidRPr="0002242D">
          <w:rPr>
            <w:rStyle w:val="af6"/>
            <w:rFonts w:hint="eastAsia"/>
          </w:rPr>
          <w:t>五、各會期院會通過各項議案統計表</w:t>
        </w:r>
        <w:r w:rsidR="005666DC">
          <w:rPr>
            <w:webHidden/>
          </w:rPr>
          <w:tab/>
        </w:r>
        <w:r w:rsidR="005666DC">
          <w:rPr>
            <w:webHidden/>
          </w:rPr>
          <w:fldChar w:fldCharType="begin"/>
        </w:r>
        <w:r w:rsidR="005666DC">
          <w:rPr>
            <w:webHidden/>
          </w:rPr>
          <w:instrText xml:space="preserve"> PAGEREF _Toc240446509 \h </w:instrText>
        </w:r>
        <w:r w:rsidR="005666DC">
          <w:rPr>
            <w:webHidden/>
          </w:rPr>
        </w:r>
        <w:r w:rsidR="005666DC">
          <w:rPr>
            <w:webHidden/>
          </w:rPr>
          <w:fldChar w:fldCharType="separate"/>
        </w:r>
        <w:r w:rsidR="005666DC">
          <w:rPr>
            <w:webHidden/>
          </w:rPr>
          <w:t>64</w:t>
        </w:r>
        <w:r w:rsidR="005666DC">
          <w:rPr>
            <w:webHidden/>
          </w:rPr>
          <w:fldChar w:fldCharType="end"/>
        </w:r>
      </w:hyperlink>
    </w:p>
    <w:p w14:paraId="618FFCF2" w14:textId="56F6090D" w:rsidR="005666DC" w:rsidRDefault="00C72F63">
      <w:pPr>
        <w:pStyle w:val="12"/>
        <w:rPr>
          <w:rFonts w:asciiTheme="minorHAnsi" w:eastAsiaTheme="minorEastAsia" w:hAnsiTheme="minorHAnsi" w:cstheme="minorBidi"/>
          <w:b w:val="0"/>
          <w:kern w:val="2"/>
          <w:sz w:val="24"/>
          <w:szCs w:val="22"/>
          <w:shd w:val="clear" w:color="auto" w:fill="auto"/>
        </w:rPr>
      </w:pPr>
      <w:hyperlink w:anchor="_Toc240446510" w:history="1">
        <w:r w:rsidR="005666DC" w:rsidRPr="0002242D">
          <w:rPr>
            <w:rStyle w:val="af6"/>
            <w:rFonts w:hint="eastAsia"/>
            <w:bCs/>
            <w:shd w:val="clear" w:color="auto" w:fill="FFFFFF"/>
          </w:rPr>
          <w:t>參、本會期審查</w:t>
        </w:r>
        <w:r w:rsidR="005666DC" w:rsidRPr="0002242D">
          <w:rPr>
            <w:rStyle w:val="af6"/>
            <w:bCs/>
            <w:shd w:val="clear" w:color="auto" w:fill="FFFFFF"/>
          </w:rPr>
          <w:t>(</w:t>
        </w:r>
        <w:r w:rsidR="005666DC" w:rsidRPr="0002242D">
          <w:rPr>
            <w:rStyle w:val="af6"/>
            <w:rFonts w:hint="eastAsia"/>
            <w:bCs/>
            <w:shd w:val="clear" w:color="auto" w:fill="FFFFFF"/>
          </w:rPr>
          <w:t>處理</w:t>
        </w:r>
        <w:r w:rsidR="005666DC" w:rsidRPr="0002242D">
          <w:rPr>
            <w:rStyle w:val="af6"/>
            <w:bCs/>
            <w:shd w:val="clear" w:color="auto" w:fill="FFFFFF"/>
          </w:rPr>
          <w:t>)</w:t>
        </w:r>
        <w:r w:rsidR="005666DC" w:rsidRPr="0002242D">
          <w:rPr>
            <w:rStyle w:val="af6"/>
            <w:rFonts w:hint="eastAsia"/>
            <w:bCs/>
            <w:shd w:val="clear" w:color="auto" w:fill="FFFFFF"/>
          </w:rPr>
          <w:t>完竣之議案</w:t>
        </w:r>
        <w:r w:rsidR="005666DC" w:rsidRPr="0002242D">
          <w:rPr>
            <w:rStyle w:val="af6"/>
            <w:bCs/>
            <w:shd w:val="clear" w:color="auto" w:fill="FFFFFF"/>
          </w:rPr>
          <w:t>226</w:t>
        </w:r>
        <w:r w:rsidR="005666DC" w:rsidRPr="0002242D">
          <w:rPr>
            <w:rStyle w:val="af6"/>
            <w:rFonts w:hint="eastAsia"/>
            <w:bCs/>
            <w:shd w:val="clear" w:color="auto" w:fill="FFFFFF"/>
          </w:rPr>
          <w:t>案</w:t>
        </w:r>
        <w:r w:rsidR="005666DC">
          <w:rPr>
            <w:webHidden/>
          </w:rPr>
          <w:tab/>
        </w:r>
        <w:r w:rsidR="005666DC">
          <w:rPr>
            <w:webHidden/>
          </w:rPr>
          <w:fldChar w:fldCharType="begin"/>
        </w:r>
        <w:r w:rsidR="005666DC">
          <w:rPr>
            <w:webHidden/>
          </w:rPr>
          <w:instrText xml:space="preserve"> PAGEREF _Toc240446510 \h </w:instrText>
        </w:r>
        <w:r w:rsidR="005666DC">
          <w:rPr>
            <w:webHidden/>
          </w:rPr>
        </w:r>
        <w:r w:rsidR="005666DC">
          <w:rPr>
            <w:webHidden/>
          </w:rPr>
          <w:fldChar w:fldCharType="separate"/>
        </w:r>
        <w:r w:rsidR="005666DC">
          <w:rPr>
            <w:webHidden/>
          </w:rPr>
          <w:t>65</w:t>
        </w:r>
        <w:r w:rsidR="005666DC">
          <w:rPr>
            <w:webHidden/>
          </w:rPr>
          <w:fldChar w:fldCharType="end"/>
        </w:r>
      </w:hyperlink>
    </w:p>
    <w:p w14:paraId="6BE7C6F9" w14:textId="35E6FB35"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11" w:history="1">
        <w:r w:rsidR="005666DC" w:rsidRPr="0002242D">
          <w:rPr>
            <w:rStyle w:val="af6"/>
            <w:rFonts w:hint="eastAsia"/>
          </w:rPr>
          <w:t>［壹］法律案</w:t>
        </w:r>
        <w:r w:rsidR="005666DC" w:rsidRPr="0002242D">
          <w:rPr>
            <w:rStyle w:val="af6"/>
          </w:rPr>
          <w:t>216</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_Toc240446511 \h </w:instrText>
        </w:r>
        <w:r w:rsidR="005666DC">
          <w:rPr>
            <w:webHidden/>
          </w:rPr>
        </w:r>
        <w:r w:rsidR="005666DC">
          <w:rPr>
            <w:webHidden/>
          </w:rPr>
          <w:fldChar w:fldCharType="separate"/>
        </w:r>
        <w:r w:rsidR="005666DC">
          <w:rPr>
            <w:webHidden/>
          </w:rPr>
          <w:t>65</w:t>
        </w:r>
        <w:r w:rsidR="005666DC">
          <w:rPr>
            <w:webHidden/>
          </w:rPr>
          <w:fldChar w:fldCharType="end"/>
        </w:r>
      </w:hyperlink>
    </w:p>
    <w:p w14:paraId="35C93059" w14:textId="52B64D9E" w:rsidR="005666DC" w:rsidRDefault="00C72F63" w:rsidP="005666DC">
      <w:pPr>
        <w:pStyle w:val="37"/>
        <w:rPr>
          <w:rFonts w:asciiTheme="minorHAnsi" w:eastAsiaTheme="minorEastAsia" w:hAnsiTheme="minorHAnsi" w:cstheme="minorBidi"/>
          <w:w w:val="100"/>
          <w:sz w:val="24"/>
          <w:szCs w:val="22"/>
        </w:rPr>
      </w:pPr>
      <w:hyperlink w:anchor="_Toc240446512" w:history="1">
        <w:r w:rsidR="005666DC" w:rsidRPr="0002242D">
          <w:rPr>
            <w:rStyle w:val="af6"/>
            <w:rFonts w:hint="eastAsia"/>
            <w:shd w:val="clear" w:color="auto" w:fill="FFFFFF" w:themeFill="background1"/>
          </w:rPr>
          <w:t>一、組織法</w:t>
        </w:r>
        <w:r w:rsidR="005666DC" w:rsidRPr="0002242D">
          <w:rPr>
            <w:rStyle w:val="af6"/>
            <w:shd w:val="clear" w:color="auto" w:fill="FFFFFF" w:themeFill="background1"/>
          </w:rPr>
          <w:t>8</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_Toc240446512 \h </w:instrText>
        </w:r>
        <w:r w:rsidR="005666DC">
          <w:rPr>
            <w:webHidden/>
          </w:rPr>
        </w:r>
        <w:r w:rsidR="005666DC">
          <w:rPr>
            <w:webHidden/>
          </w:rPr>
          <w:fldChar w:fldCharType="separate"/>
        </w:r>
        <w:r w:rsidR="005666DC">
          <w:rPr>
            <w:webHidden/>
          </w:rPr>
          <w:t>65</w:t>
        </w:r>
        <w:r w:rsidR="005666DC">
          <w:rPr>
            <w:webHidden/>
          </w:rPr>
          <w:fldChar w:fldCharType="end"/>
        </w:r>
      </w:hyperlink>
    </w:p>
    <w:p w14:paraId="0250A3C6" w14:textId="754F115B" w:rsidR="005666DC" w:rsidRDefault="00C72F63" w:rsidP="005666DC">
      <w:pPr>
        <w:pStyle w:val="37"/>
        <w:rPr>
          <w:rFonts w:asciiTheme="minorHAnsi" w:eastAsiaTheme="minorEastAsia" w:hAnsiTheme="minorHAnsi" w:cstheme="minorBidi"/>
          <w:w w:val="100"/>
          <w:sz w:val="24"/>
          <w:szCs w:val="22"/>
        </w:rPr>
      </w:pPr>
      <w:hyperlink w:anchor="_Toc240446513" w:history="1">
        <w:r w:rsidR="005666DC" w:rsidRPr="0002242D">
          <w:rPr>
            <w:rStyle w:val="af6"/>
            <w:rFonts w:hint="eastAsia"/>
            <w:shd w:val="clear" w:color="auto" w:fill="FFFFFF" w:themeFill="background1"/>
          </w:rPr>
          <w:t>（一）經院會通過之議案</w:t>
        </w:r>
        <w:r w:rsidR="005666DC" w:rsidRPr="0002242D">
          <w:rPr>
            <w:rStyle w:val="af6"/>
            <w:shd w:val="clear" w:color="auto" w:fill="FFFFFF" w:themeFill="background1"/>
          </w:rPr>
          <w:t>8</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_Toc240446513 \h </w:instrText>
        </w:r>
        <w:r w:rsidR="005666DC">
          <w:rPr>
            <w:webHidden/>
          </w:rPr>
        </w:r>
        <w:r w:rsidR="005666DC">
          <w:rPr>
            <w:webHidden/>
          </w:rPr>
          <w:fldChar w:fldCharType="separate"/>
        </w:r>
        <w:r w:rsidR="005666DC">
          <w:rPr>
            <w:webHidden/>
          </w:rPr>
          <w:t>65</w:t>
        </w:r>
        <w:r w:rsidR="005666DC">
          <w:rPr>
            <w:webHidden/>
          </w:rPr>
          <w:fldChar w:fldCharType="end"/>
        </w:r>
      </w:hyperlink>
    </w:p>
    <w:p w14:paraId="6AA78372" w14:textId="322BCF66" w:rsidR="005666DC" w:rsidRDefault="00C72F63" w:rsidP="005666DC">
      <w:pPr>
        <w:pStyle w:val="37"/>
        <w:rPr>
          <w:rFonts w:asciiTheme="minorHAnsi" w:eastAsiaTheme="minorEastAsia" w:hAnsiTheme="minorHAnsi" w:cstheme="minorBidi"/>
          <w:w w:val="100"/>
          <w:sz w:val="24"/>
          <w:szCs w:val="22"/>
        </w:rPr>
      </w:pPr>
      <w:hyperlink w:anchor="_Toc240446514" w:history="1">
        <w:r w:rsidR="005666DC" w:rsidRPr="0002242D">
          <w:rPr>
            <w:rStyle w:val="af6"/>
            <w:rFonts w:hint="eastAsia"/>
            <w:shd w:val="clear" w:color="auto" w:fill="FFFFFF" w:themeFill="background1"/>
          </w:rPr>
          <w:t>二、作用法</w:t>
        </w:r>
        <w:r w:rsidR="005666DC" w:rsidRPr="0002242D">
          <w:rPr>
            <w:rStyle w:val="af6"/>
            <w:shd w:val="clear" w:color="auto" w:fill="FFFFFF" w:themeFill="background1"/>
          </w:rPr>
          <w:t>208</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_Toc240446514 \h </w:instrText>
        </w:r>
        <w:r w:rsidR="005666DC">
          <w:rPr>
            <w:webHidden/>
          </w:rPr>
        </w:r>
        <w:r w:rsidR="005666DC">
          <w:rPr>
            <w:webHidden/>
          </w:rPr>
          <w:fldChar w:fldCharType="separate"/>
        </w:r>
        <w:r w:rsidR="005666DC">
          <w:rPr>
            <w:webHidden/>
          </w:rPr>
          <w:t>66</w:t>
        </w:r>
        <w:r w:rsidR="005666DC">
          <w:rPr>
            <w:webHidden/>
          </w:rPr>
          <w:fldChar w:fldCharType="end"/>
        </w:r>
      </w:hyperlink>
    </w:p>
    <w:p w14:paraId="376AA62D" w14:textId="3BCC0FC9" w:rsidR="005666DC" w:rsidRDefault="00C72F63" w:rsidP="005666DC">
      <w:pPr>
        <w:pStyle w:val="37"/>
        <w:rPr>
          <w:rFonts w:asciiTheme="minorHAnsi" w:eastAsiaTheme="minorEastAsia" w:hAnsiTheme="minorHAnsi" w:cstheme="minorBidi"/>
          <w:w w:val="100"/>
          <w:sz w:val="24"/>
          <w:szCs w:val="22"/>
        </w:rPr>
      </w:pPr>
      <w:hyperlink w:anchor="_Toc240446515" w:history="1">
        <w:r w:rsidR="005666DC" w:rsidRPr="0002242D">
          <w:rPr>
            <w:rStyle w:val="af6"/>
            <w:rFonts w:hint="eastAsia"/>
            <w:shd w:val="clear" w:color="auto" w:fill="FFFFFF" w:themeFill="background1"/>
          </w:rPr>
          <w:t>（一）經院會通過之議案</w:t>
        </w:r>
        <w:r w:rsidR="005666DC" w:rsidRPr="0002242D">
          <w:rPr>
            <w:rStyle w:val="af6"/>
            <w:shd w:val="clear" w:color="auto" w:fill="FFFFFF" w:themeFill="background1"/>
          </w:rPr>
          <w:t>88</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_Toc240446515 \h </w:instrText>
        </w:r>
        <w:r w:rsidR="005666DC">
          <w:rPr>
            <w:webHidden/>
          </w:rPr>
        </w:r>
        <w:r w:rsidR="005666DC">
          <w:rPr>
            <w:webHidden/>
          </w:rPr>
          <w:fldChar w:fldCharType="separate"/>
        </w:r>
        <w:r w:rsidR="005666DC">
          <w:rPr>
            <w:webHidden/>
          </w:rPr>
          <w:t>66</w:t>
        </w:r>
        <w:r w:rsidR="005666DC">
          <w:rPr>
            <w:webHidden/>
          </w:rPr>
          <w:fldChar w:fldCharType="end"/>
        </w:r>
      </w:hyperlink>
    </w:p>
    <w:p w14:paraId="1175DD33" w14:textId="17D2FCFD" w:rsidR="005666DC" w:rsidRDefault="00C72F63" w:rsidP="005666DC">
      <w:pPr>
        <w:pStyle w:val="37"/>
        <w:rPr>
          <w:rFonts w:asciiTheme="minorHAnsi" w:eastAsiaTheme="minorEastAsia" w:hAnsiTheme="minorHAnsi" w:cstheme="minorBidi"/>
          <w:w w:val="100"/>
          <w:sz w:val="24"/>
          <w:szCs w:val="22"/>
        </w:rPr>
      </w:pPr>
      <w:hyperlink w:anchor="_Toc240446516" w:history="1">
        <w:r w:rsidR="005666DC" w:rsidRPr="0002242D">
          <w:rPr>
            <w:rStyle w:val="af6"/>
            <w:rFonts w:hint="eastAsia"/>
            <w:shd w:val="clear" w:color="auto" w:fill="FFFFFF" w:themeFill="background1"/>
          </w:rPr>
          <w:t>（二）待院會審議之議案</w:t>
        </w:r>
        <w:r w:rsidR="005666DC" w:rsidRPr="0002242D">
          <w:rPr>
            <w:rStyle w:val="af6"/>
            <w:shd w:val="clear" w:color="auto" w:fill="FFFFFF" w:themeFill="background1"/>
          </w:rPr>
          <w:t>120</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_Toc240446516 \h </w:instrText>
        </w:r>
        <w:r w:rsidR="005666DC">
          <w:rPr>
            <w:webHidden/>
          </w:rPr>
        </w:r>
        <w:r w:rsidR="005666DC">
          <w:rPr>
            <w:webHidden/>
          </w:rPr>
          <w:fldChar w:fldCharType="separate"/>
        </w:r>
        <w:r w:rsidR="005666DC">
          <w:rPr>
            <w:webHidden/>
          </w:rPr>
          <w:t>77</w:t>
        </w:r>
        <w:r w:rsidR="005666DC">
          <w:rPr>
            <w:webHidden/>
          </w:rPr>
          <w:fldChar w:fldCharType="end"/>
        </w:r>
      </w:hyperlink>
    </w:p>
    <w:p w14:paraId="71B3A0A0" w14:textId="74F711EA"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17" w:history="1">
        <w:r w:rsidR="005666DC" w:rsidRPr="0002242D">
          <w:rPr>
            <w:rStyle w:val="af6"/>
            <w:rFonts w:hint="eastAsia"/>
          </w:rPr>
          <w:t>［貳］預（決）算案</w:t>
        </w:r>
        <w:r w:rsidR="005666DC" w:rsidRPr="0002242D">
          <w:rPr>
            <w:rStyle w:val="af6"/>
          </w:rPr>
          <w:t>4</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_Toc240446517 \h </w:instrText>
        </w:r>
        <w:r w:rsidR="005666DC">
          <w:rPr>
            <w:webHidden/>
          </w:rPr>
        </w:r>
        <w:r w:rsidR="005666DC">
          <w:rPr>
            <w:webHidden/>
          </w:rPr>
          <w:fldChar w:fldCharType="separate"/>
        </w:r>
        <w:r w:rsidR="005666DC">
          <w:rPr>
            <w:webHidden/>
          </w:rPr>
          <w:t>89</w:t>
        </w:r>
        <w:r w:rsidR="005666DC">
          <w:rPr>
            <w:webHidden/>
          </w:rPr>
          <w:fldChar w:fldCharType="end"/>
        </w:r>
      </w:hyperlink>
    </w:p>
    <w:p w14:paraId="132615AF" w14:textId="3C2FB0D3" w:rsidR="005666DC" w:rsidRDefault="00C72F63" w:rsidP="005666DC">
      <w:pPr>
        <w:pStyle w:val="37"/>
        <w:rPr>
          <w:rFonts w:asciiTheme="minorHAnsi" w:eastAsiaTheme="minorEastAsia" w:hAnsiTheme="minorHAnsi" w:cstheme="minorBidi"/>
          <w:w w:val="100"/>
          <w:sz w:val="24"/>
          <w:szCs w:val="22"/>
        </w:rPr>
      </w:pPr>
      <w:hyperlink w:anchor="_Toc240446518" w:history="1">
        <w:r w:rsidR="005666DC" w:rsidRPr="0002242D">
          <w:rPr>
            <w:rStyle w:val="af6"/>
            <w:rFonts w:hint="eastAsia"/>
          </w:rPr>
          <w:t>一、總預算案</w:t>
        </w:r>
        <w:r w:rsidR="005666DC" w:rsidRPr="0002242D">
          <w:rPr>
            <w:rStyle w:val="af6"/>
          </w:rPr>
          <w:t>2</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_Toc240446518 \h </w:instrText>
        </w:r>
        <w:r w:rsidR="005666DC">
          <w:rPr>
            <w:webHidden/>
          </w:rPr>
        </w:r>
        <w:r w:rsidR="005666DC">
          <w:rPr>
            <w:webHidden/>
          </w:rPr>
          <w:fldChar w:fldCharType="separate"/>
        </w:r>
        <w:r w:rsidR="005666DC">
          <w:rPr>
            <w:webHidden/>
          </w:rPr>
          <w:t>89</w:t>
        </w:r>
        <w:r w:rsidR="005666DC">
          <w:rPr>
            <w:webHidden/>
          </w:rPr>
          <w:fldChar w:fldCharType="end"/>
        </w:r>
      </w:hyperlink>
    </w:p>
    <w:p w14:paraId="371AA248" w14:textId="1F526441" w:rsidR="005666DC" w:rsidRDefault="00C72F63" w:rsidP="005666DC">
      <w:pPr>
        <w:pStyle w:val="37"/>
        <w:rPr>
          <w:rFonts w:asciiTheme="minorHAnsi" w:eastAsiaTheme="minorEastAsia" w:hAnsiTheme="minorHAnsi" w:cstheme="minorBidi"/>
          <w:w w:val="100"/>
          <w:sz w:val="24"/>
          <w:szCs w:val="22"/>
        </w:rPr>
      </w:pPr>
      <w:hyperlink w:anchor="_Toc240446519" w:history="1">
        <w:r w:rsidR="005666DC" w:rsidRPr="0002242D">
          <w:rPr>
            <w:rStyle w:val="af6"/>
            <w:rFonts w:hint="eastAsia"/>
            <w:shd w:val="clear" w:color="auto" w:fill="FFFFFF" w:themeFill="background1"/>
          </w:rPr>
          <w:t>（一）經院會通過之議案</w:t>
        </w:r>
        <w:r w:rsidR="005666DC" w:rsidRPr="0002242D">
          <w:rPr>
            <w:rStyle w:val="af6"/>
            <w:shd w:val="clear" w:color="auto" w:fill="FFFFFF" w:themeFill="background1"/>
          </w:rPr>
          <w:t>1</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_Toc240446519 \h </w:instrText>
        </w:r>
        <w:r w:rsidR="005666DC">
          <w:rPr>
            <w:webHidden/>
          </w:rPr>
        </w:r>
        <w:r w:rsidR="005666DC">
          <w:rPr>
            <w:webHidden/>
          </w:rPr>
          <w:fldChar w:fldCharType="separate"/>
        </w:r>
        <w:r w:rsidR="005666DC">
          <w:rPr>
            <w:webHidden/>
          </w:rPr>
          <w:t>89</w:t>
        </w:r>
        <w:r w:rsidR="005666DC">
          <w:rPr>
            <w:webHidden/>
          </w:rPr>
          <w:fldChar w:fldCharType="end"/>
        </w:r>
      </w:hyperlink>
    </w:p>
    <w:p w14:paraId="13D0777B" w14:textId="129E3EE4" w:rsidR="005666DC" w:rsidRDefault="00C72F63" w:rsidP="005666DC">
      <w:pPr>
        <w:pStyle w:val="37"/>
        <w:rPr>
          <w:rFonts w:asciiTheme="minorHAnsi" w:eastAsiaTheme="minorEastAsia" w:hAnsiTheme="minorHAnsi" w:cstheme="minorBidi"/>
          <w:w w:val="100"/>
          <w:sz w:val="24"/>
          <w:szCs w:val="22"/>
        </w:rPr>
      </w:pPr>
      <w:hyperlink w:anchor="_Toc240446520" w:history="1">
        <w:r w:rsidR="005666DC" w:rsidRPr="0002242D">
          <w:rPr>
            <w:rStyle w:val="af6"/>
            <w:rFonts w:hint="eastAsia"/>
            <w:shd w:val="clear" w:color="auto" w:fill="FFFFFF" w:themeFill="background1"/>
          </w:rPr>
          <w:t>（二）待院會審議之議案</w:t>
        </w:r>
        <w:r w:rsidR="005666DC" w:rsidRPr="0002242D">
          <w:rPr>
            <w:rStyle w:val="af6"/>
            <w:shd w:val="clear" w:color="auto" w:fill="FFFFFF" w:themeFill="background1"/>
          </w:rPr>
          <w:t>1</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_Toc240446520 \h </w:instrText>
        </w:r>
        <w:r w:rsidR="005666DC">
          <w:rPr>
            <w:webHidden/>
          </w:rPr>
        </w:r>
        <w:r w:rsidR="005666DC">
          <w:rPr>
            <w:webHidden/>
          </w:rPr>
          <w:fldChar w:fldCharType="separate"/>
        </w:r>
        <w:r w:rsidR="005666DC">
          <w:rPr>
            <w:webHidden/>
          </w:rPr>
          <w:t>90</w:t>
        </w:r>
        <w:r w:rsidR="005666DC">
          <w:rPr>
            <w:webHidden/>
          </w:rPr>
          <w:fldChar w:fldCharType="end"/>
        </w:r>
      </w:hyperlink>
    </w:p>
    <w:p w14:paraId="3F845C8F" w14:textId="3E49B983" w:rsidR="005666DC" w:rsidRDefault="00C72F63" w:rsidP="005666DC">
      <w:pPr>
        <w:pStyle w:val="37"/>
        <w:rPr>
          <w:rFonts w:asciiTheme="minorHAnsi" w:eastAsiaTheme="minorEastAsia" w:hAnsiTheme="minorHAnsi" w:cstheme="minorBidi"/>
          <w:w w:val="100"/>
          <w:sz w:val="24"/>
          <w:szCs w:val="22"/>
        </w:rPr>
      </w:pPr>
      <w:hyperlink w:anchor="_Toc240446521" w:history="1">
        <w:r w:rsidR="005666DC" w:rsidRPr="0002242D">
          <w:rPr>
            <w:rStyle w:val="af6"/>
            <w:rFonts w:hint="eastAsia"/>
            <w:shd w:val="clear" w:color="auto" w:fill="FFFFFF" w:themeFill="background1"/>
          </w:rPr>
          <w:t>二、財團法人</w:t>
        </w:r>
        <w:r w:rsidR="005666DC" w:rsidRPr="0002242D">
          <w:rPr>
            <w:rStyle w:val="af6"/>
            <w:shd w:val="clear" w:color="auto" w:fill="FFFFFF" w:themeFill="background1"/>
          </w:rPr>
          <w:t>2</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_Toc240446521 \h </w:instrText>
        </w:r>
        <w:r w:rsidR="005666DC">
          <w:rPr>
            <w:webHidden/>
          </w:rPr>
        </w:r>
        <w:r w:rsidR="005666DC">
          <w:rPr>
            <w:webHidden/>
          </w:rPr>
          <w:fldChar w:fldCharType="separate"/>
        </w:r>
        <w:r w:rsidR="005666DC">
          <w:rPr>
            <w:webHidden/>
          </w:rPr>
          <w:t>91</w:t>
        </w:r>
        <w:r w:rsidR="005666DC">
          <w:rPr>
            <w:webHidden/>
          </w:rPr>
          <w:fldChar w:fldCharType="end"/>
        </w:r>
      </w:hyperlink>
    </w:p>
    <w:p w14:paraId="53DFC09A" w14:textId="413DA339" w:rsidR="005666DC" w:rsidRDefault="00C72F63" w:rsidP="005666DC">
      <w:pPr>
        <w:pStyle w:val="37"/>
        <w:rPr>
          <w:rFonts w:asciiTheme="minorHAnsi" w:eastAsiaTheme="minorEastAsia" w:hAnsiTheme="minorHAnsi" w:cstheme="minorBidi"/>
          <w:w w:val="100"/>
          <w:sz w:val="24"/>
          <w:szCs w:val="22"/>
        </w:rPr>
      </w:pPr>
      <w:hyperlink w:anchor="_Toc240446522" w:history="1">
        <w:r w:rsidR="005666DC" w:rsidRPr="0002242D">
          <w:rPr>
            <w:rStyle w:val="af6"/>
            <w:rFonts w:hint="eastAsia"/>
            <w:shd w:val="clear" w:color="auto" w:fill="FFFFFF" w:themeFill="background1"/>
          </w:rPr>
          <w:t>（一）經院會通過之議案</w:t>
        </w:r>
        <w:r w:rsidR="005666DC" w:rsidRPr="0002242D">
          <w:rPr>
            <w:rStyle w:val="af6"/>
            <w:shd w:val="clear" w:color="auto" w:fill="FFFFFF" w:themeFill="background1"/>
          </w:rPr>
          <w:t>2</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_Toc240446522 \h </w:instrText>
        </w:r>
        <w:r w:rsidR="005666DC">
          <w:rPr>
            <w:webHidden/>
          </w:rPr>
        </w:r>
        <w:r w:rsidR="005666DC">
          <w:rPr>
            <w:webHidden/>
          </w:rPr>
          <w:fldChar w:fldCharType="separate"/>
        </w:r>
        <w:r w:rsidR="005666DC">
          <w:rPr>
            <w:webHidden/>
          </w:rPr>
          <w:t>91</w:t>
        </w:r>
        <w:r w:rsidR="005666DC">
          <w:rPr>
            <w:webHidden/>
          </w:rPr>
          <w:fldChar w:fldCharType="end"/>
        </w:r>
      </w:hyperlink>
    </w:p>
    <w:p w14:paraId="49ECA7F1" w14:textId="19FE460C"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23" w:history="1">
        <w:r w:rsidR="005666DC" w:rsidRPr="0002242D">
          <w:rPr>
            <w:rStyle w:val="af6"/>
            <w:rFonts w:hint="eastAsia"/>
          </w:rPr>
          <w:t>［參］行政命令案</w:t>
        </w:r>
        <w:r w:rsidR="005666DC" w:rsidRPr="0002242D">
          <w:rPr>
            <w:rStyle w:val="af6"/>
          </w:rPr>
          <w:t>4</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_Toc240446523 \h </w:instrText>
        </w:r>
        <w:r w:rsidR="005666DC">
          <w:rPr>
            <w:webHidden/>
          </w:rPr>
        </w:r>
        <w:r w:rsidR="005666DC">
          <w:rPr>
            <w:webHidden/>
          </w:rPr>
          <w:fldChar w:fldCharType="separate"/>
        </w:r>
        <w:r w:rsidR="005666DC">
          <w:rPr>
            <w:webHidden/>
          </w:rPr>
          <w:t>93</w:t>
        </w:r>
        <w:r w:rsidR="005666DC">
          <w:rPr>
            <w:webHidden/>
          </w:rPr>
          <w:fldChar w:fldCharType="end"/>
        </w:r>
      </w:hyperlink>
    </w:p>
    <w:p w14:paraId="16F393C8" w14:textId="3307EEEA"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24" w:history="1">
        <w:r w:rsidR="005666DC" w:rsidRPr="0002242D">
          <w:rPr>
            <w:rStyle w:val="af6"/>
            <w:rFonts w:hint="eastAsia"/>
          </w:rPr>
          <w:t>［肆］同意權行使案</w:t>
        </w:r>
        <w:r w:rsidR="005666DC" w:rsidRPr="0002242D">
          <w:rPr>
            <w:rStyle w:val="af6"/>
          </w:rPr>
          <w:t>1</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_Toc240446524 \h </w:instrText>
        </w:r>
        <w:r w:rsidR="005666DC">
          <w:rPr>
            <w:webHidden/>
          </w:rPr>
        </w:r>
        <w:r w:rsidR="005666DC">
          <w:rPr>
            <w:webHidden/>
          </w:rPr>
          <w:fldChar w:fldCharType="separate"/>
        </w:r>
        <w:r w:rsidR="005666DC">
          <w:rPr>
            <w:webHidden/>
          </w:rPr>
          <w:t>94</w:t>
        </w:r>
        <w:r w:rsidR="005666DC">
          <w:rPr>
            <w:webHidden/>
          </w:rPr>
          <w:fldChar w:fldCharType="end"/>
        </w:r>
      </w:hyperlink>
    </w:p>
    <w:p w14:paraId="19792139" w14:textId="234FD6C0"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25" w:history="1">
        <w:r w:rsidR="005666DC" w:rsidRPr="0002242D">
          <w:rPr>
            <w:rStyle w:val="af6"/>
            <w:rFonts w:hint="eastAsia"/>
          </w:rPr>
          <w:t>［伍］其他議案</w:t>
        </w:r>
        <w:r w:rsidR="005666DC" w:rsidRPr="0002242D">
          <w:rPr>
            <w:rStyle w:val="af6"/>
          </w:rPr>
          <w:t>1</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_Toc240446525 \h </w:instrText>
        </w:r>
        <w:r w:rsidR="005666DC">
          <w:rPr>
            <w:webHidden/>
          </w:rPr>
        </w:r>
        <w:r w:rsidR="005666DC">
          <w:rPr>
            <w:webHidden/>
          </w:rPr>
          <w:fldChar w:fldCharType="separate"/>
        </w:r>
        <w:r w:rsidR="005666DC">
          <w:rPr>
            <w:webHidden/>
          </w:rPr>
          <w:t>95</w:t>
        </w:r>
        <w:r w:rsidR="005666DC">
          <w:rPr>
            <w:webHidden/>
          </w:rPr>
          <w:fldChar w:fldCharType="end"/>
        </w:r>
      </w:hyperlink>
    </w:p>
    <w:p w14:paraId="56FC38B6" w14:textId="1B16740C" w:rsidR="005666DC" w:rsidRDefault="00C72F63">
      <w:pPr>
        <w:pStyle w:val="12"/>
        <w:rPr>
          <w:rFonts w:asciiTheme="minorHAnsi" w:eastAsiaTheme="minorEastAsia" w:hAnsiTheme="minorHAnsi" w:cstheme="minorBidi"/>
          <w:b w:val="0"/>
          <w:kern w:val="2"/>
          <w:sz w:val="24"/>
          <w:szCs w:val="22"/>
          <w:shd w:val="clear" w:color="auto" w:fill="auto"/>
        </w:rPr>
      </w:pPr>
      <w:hyperlink w:anchor="_Toc240446526" w:history="1">
        <w:r w:rsidR="005666DC" w:rsidRPr="0002242D">
          <w:rPr>
            <w:rStyle w:val="af6"/>
            <w:rFonts w:hint="eastAsia"/>
            <w:bCs/>
            <w:shd w:val="clear" w:color="auto" w:fill="FFFFFF"/>
          </w:rPr>
          <w:t>肆、本會期院會通過之議案</w:t>
        </w:r>
        <w:r w:rsidR="005666DC" w:rsidRPr="0002242D">
          <w:rPr>
            <w:rStyle w:val="af6"/>
            <w:bCs/>
            <w:shd w:val="clear" w:color="auto" w:fill="FFFFFF"/>
          </w:rPr>
          <w:t>202</w:t>
        </w:r>
        <w:r w:rsidR="005666DC" w:rsidRPr="0002242D">
          <w:rPr>
            <w:rStyle w:val="af6"/>
            <w:rFonts w:hint="eastAsia"/>
            <w:bCs/>
            <w:shd w:val="clear" w:color="auto" w:fill="FFFFFF"/>
          </w:rPr>
          <w:t>案</w:t>
        </w:r>
        <w:r w:rsidR="005666DC">
          <w:rPr>
            <w:webHidden/>
          </w:rPr>
          <w:tab/>
        </w:r>
        <w:r w:rsidR="005666DC">
          <w:rPr>
            <w:webHidden/>
          </w:rPr>
          <w:fldChar w:fldCharType="begin"/>
        </w:r>
        <w:r w:rsidR="005666DC">
          <w:rPr>
            <w:webHidden/>
          </w:rPr>
          <w:instrText xml:space="preserve"> PAGEREF _Toc240446526 \h </w:instrText>
        </w:r>
        <w:r w:rsidR="005666DC">
          <w:rPr>
            <w:webHidden/>
          </w:rPr>
        </w:r>
        <w:r w:rsidR="005666DC">
          <w:rPr>
            <w:webHidden/>
          </w:rPr>
          <w:fldChar w:fldCharType="separate"/>
        </w:r>
        <w:r w:rsidR="005666DC">
          <w:rPr>
            <w:webHidden/>
          </w:rPr>
          <w:t>96</w:t>
        </w:r>
        <w:r w:rsidR="005666DC">
          <w:rPr>
            <w:webHidden/>
          </w:rPr>
          <w:fldChar w:fldCharType="end"/>
        </w:r>
      </w:hyperlink>
    </w:p>
    <w:p w14:paraId="25187004" w14:textId="58790FFF"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27" w:history="1">
        <w:r w:rsidR="005666DC" w:rsidRPr="0002242D">
          <w:rPr>
            <w:rStyle w:val="af6"/>
            <w:rFonts w:hint="eastAsia"/>
          </w:rPr>
          <w:t>［壹］法律案</w:t>
        </w:r>
        <w:r w:rsidR="005666DC" w:rsidRPr="0002242D">
          <w:rPr>
            <w:rStyle w:val="af6"/>
          </w:rPr>
          <w:t>193</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_Toc240446527 \h </w:instrText>
        </w:r>
        <w:r w:rsidR="005666DC">
          <w:rPr>
            <w:webHidden/>
          </w:rPr>
        </w:r>
        <w:r w:rsidR="005666DC">
          <w:rPr>
            <w:webHidden/>
          </w:rPr>
          <w:fldChar w:fldCharType="separate"/>
        </w:r>
        <w:r w:rsidR="005666DC">
          <w:rPr>
            <w:webHidden/>
          </w:rPr>
          <w:t>96</w:t>
        </w:r>
        <w:r w:rsidR="005666DC">
          <w:rPr>
            <w:webHidden/>
          </w:rPr>
          <w:fldChar w:fldCharType="end"/>
        </w:r>
      </w:hyperlink>
    </w:p>
    <w:p w14:paraId="358E1163" w14:textId="688534F2" w:rsidR="005666DC" w:rsidRDefault="00C72F63" w:rsidP="005666DC">
      <w:pPr>
        <w:pStyle w:val="37"/>
        <w:rPr>
          <w:rFonts w:asciiTheme="minorHAnsi" w:eastAsiaTheme="minorEastAsia" w:hAnsiTheme="minorHAnsi" w:cstheme="minorBidi"/>
          <w:w w:val="100"/>
          <w:sz w:val="24"/>
          <w:szCs w:val="22"/>
        </w:rPr>
      </w:pPr>
      <w:hyperlink w:anchor="_Toc240446528" w:history="1">
        <w:r w:rsidR="005666DC" w:rsidRPr="0002242D">
          <w:rPr>
            <w:rStyle w:val="af6"/>
            <w:rFonts w:hint="eastAsia"/>
            <w:shd w:val="clear" w:color="auto" w:fill="FFFFFF" w:themeFill="background1"/>
          </w:rPr>
          <w:t>一、組織法</w:t>
        </w:r>
        <w:r w:rsidR="005666DC" w:rsidRPr="0002242D">
          <w:rPr>
            <w:rStyle w:val="af6"/>
            <w:shd w:val="clear" w:color="auto" w:fill="FFFFFF" w:themeFill="background1"/>
          </w:rPr>
          <w:t>1</w:t>
        </w:r>
        <w:r w:rsidR="005666DC" w:rsidRPr="0002242D">
          <w:rPr>
            <w:rStyle w:val="af6"/>
            <w:shd w:val="clear" w:color="auto" w:fill="FFFFFF" w:themeFill="background1"/>
          </w:rPr>
          <w:t>02</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_Toc240446528 \h </w:instrText>
        </w:r>
        <w:r w:rsidR="005666DC">
          <w:rPr>
            <w:webHidden/>
          </w:rPr>
        </w:r>
        <w:r w:rsidR="005666DC">
          <w:rPr>
            <w:webHidden/>
          </w:rPr>
          <w:fldChar w:fldCharType="separate"/>
        </w:r>
        <w:r w:rsidR="005666DC">
          <w:rPr>
            <w:webHidden/>
          </w:rPr>
          <w:t>96</w:t>
        </w:r>
        <w:r w:rsidR="005666DC">
          <w:rPr>
            <w:webHidden/>
          </w:rPr>
          <w:fldChar w:fldCharType="end"/>
        </w:r>
      </w:hyperlink>
    </w:p>
    <w:p w14:paraId="263DC4D4" w14:textId="5ED2FF9C" w:rsidR="005666DC" w:rsidRDefault="00C72F63" w:rsidP="005666DC">
      <w:pPr>
        <w:pStyle w:val="37"/>
        <w:rPr>
          <w:rFonts w:asciiTheme="minorHAnsi" w:eastAsiaTheme="minorEastAsia" w:hAnsiTheme="minorHAnsi" w:cstheme="minorBidi"/>
          <w:w w:val="100"/>
          <w:sz w:val="24"/>
          <w:szCs w:val="22"/>
        </w:rPr>
      </w:pPr>
      <w:hyperlink w:anchor="_Toc240446529" w:history="1">
        <w:r w:rsidR="005666DC" w:rsidRPr="0002242D">
          <w:rPr>
            <w:rStyle w:val="af6"/>
            <w:rFonts w:hint="eastAsia"/>
            <w:shd w:val="clear" w:color="auto" w:fill="FFFFFF" w:themeFill="background1"/>
          </w:rPr>
          <w:t>二、作用法</w:t>
        </w:r>
        <w:r w:rsidR="005666DC" w:rsidRPr="0002242D">
          <w:rPr>
            <w:rStyle w:val="af6"/>
            <w:shd w:val="clear" w:color="auto" w:fill="FFFFFF" w:themeFill="background1"/>
          </w:rPr>
          <w:t>91</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_Toc240446529 \h </w:instrText>
        </w:r>
        <w:r w:rsidR="005666DC">
          <w:rPr>
            <w:webHidden/>
          </w:rPr>
        </w:r>
        <w:r w:rsidR="005666DC">
          <w:rPr>
            <w:webHidden/>
          </w:rPr>
          <w:fldChar w:fldCharType="separate"/>
        </w:r>
        <w:r w:rsidR="005666DC">
          <w:rPr>
            <w:webHidden/>
          </w:rPr>
          <w:t>111</w:t>
        </w:r>
        <w:r w:rsidR="005666DC">
          <w:rPr>
            <w:webHidden/>
          </w:rPr>
          <w:fldChar w:fldCharType="end"/>
        </w:r>
      </w:hyperlink>
    </w:p>
    <w:p w14:paraId="2AB4C5E5" w14:textId="229A39C5"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30" w:history="1">
        <w:r w:rsidR="005666DC" w:rsidRPr="0002242D">
          <w:rPr>
            <w:rStyle w:val="af6"/>
            <w:rFonts w:hint="eastAsia"/>
          </w:rPr>
          <w:t>［貳］預（決）算案</w:t>
        </w:r>
        <w:r w:rsidR="005666DC" w:rsidRPr="0002242D">
          <w:rPr>
            <w:rStyle w:val="af6"/>
          </w:rPr>
          <w:t>3</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_Toc240446530 \h </w:instrText>
        </w:r>
        <w:r w:rsidR="005666DC">
          <w:rPr>
            <w:webHidden/>
          </w:rPr>
        </w:r>
        <w:r w:rsidR="005666DC">
          <w:rPr>
            <w:webHidden/>
          </w:rPr>
          <w:fldChar w:fldCharType="separate"/>
        </w:r>
        <w:r w:rsidR="005666DC">
          <w:rPr>
            <w:webHidden/>
          </w:rPr>
          <w:t>123</w:t>
        </w:r>
        <w:r w:rsidR="005666DC">
          <w:rPr>
            <w:webHidden/>
          </w:rPr>
          <w:fldChar w:fldCharType="end"/>
        </w:r>
      </w:hyperlink>
    </w:p>
    <w:p w14:paraId="7418A39A" w14:textId="5D6FA155" w:rsidR="005666DC" w:rsidRDefault="00C72F63" w:rsidP="005666DC">
      <w:pPr>
        <w:pStyle w:val="37"/>
        <w:rPr>
          <w:rFonts w:asciiTheme="minorHAnsi" w:eastAsiaTheme="minorEastAsia" w:hAnsiTheme="minorHAnsi" w:cstheme="minorBidi"/>
          <w:w w:val="100"/>
          <w:sz w:val="24"/>
          <w:szCs w:val="22"/>
        </w:rPr>
      </w:pPr>
      <w:hyperlink w:anchor="_Toc240446531" w:history="1">
        <w:r w:rsidR="005666DC" w:rsidRPr="0002242D">
          <w:rPr>
            <w:rStyle w:val="af6"/>
            <w:rFonts w:hint="eastAsia"/>
            <w:shd w:val="clear" w:color="auto" w:fill="FFFFFF" w:themeFill="background1"/>
          </w:rPr>
          <w:t>一、總預算案</w:t>
        </w:r>
        <w:r w:rsidR="005666DC" w:rsidRPr="0002242D">
          <w:rPr>
            <w:rStyle w:val="af6"/>
            <w:shd w:val="clear" w:color="auto" w:fill="FFFFFF" w:themeFill="background1"/>
          </w:rPr>
          <w:t>1</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_Toc240446531 \h </w:instrText>
        </w:r>
        <w:r w:rsidR="005666DC">
          <w:rPr>
            <w:webHidden/>
          </w:rPr>
        </w:r>
        <w:r w:rsidR="005666DC">
          <w:rPr>
            <w:webHidden/>
          </w:rPr>
          <w:fldChar w:fldCharType="separate"/>
        </w:r>
        <w:r w:rsidR="005666DC">
          <w:rPr>
            <w:webHidden/>
          </w:rPr>
          <w:t>123</w:t>
        </w:r>
        <w:r w:rsidR="005666DC">
          <w:rPr>
            <w:webHidden/>
          </w:rPr>
          <w:fldChar w:fldCharType="end"/>
        </w:r>
      </w:hyperlink>
    </w:p>
    <w:p w14:paraId="70493ABC" w14:textId="2DD8E196" w:rsidR="005666DC" w:rsidRDefault="00C72F63" w:rsidP="005666DC">
      <w:pPr>
        <w:pStyle w:val="37"/>
        <w:rPr>
          <w:rFonts w:asciiTheme="minorHAnsi" w:eastAsiaTheme="minorEastAsia" w:hAnsiTheme="minorHAnsi" w:cstheme="minorBidi"/>
          <w:w w:val="100"/>
          <w:sz w:val="24"/>
          <w:szCs w:val="22"/>
        </w:rPr>
      </w:pPr>
      <w:hyperlink w:anchor="_Toc240446532" w:history="1">
        <w:r w:rsidR="005666DC" w:rsidRPr="0002242D">
          <w:rPr>
            <w:rStyle w:val="af6"/>
            <w:rFonts w:hint="eastAsia"/>
            <w:shd w:val="clear" w:color="auto" w:fill="FFFFFF" w:themeFill="background1"/>
          </w:rPr>
          <w:t>二、財團法人</w:t>
        </w:r>
        <w:r w:rsidR="005666DC" w:rsidRPr="0002242D">
          <w:rPr>
            <w:rStyle w:val="af6"/>
            <w:shd w:val="clear" w:color="auto" w:fill="FFFFFF" w:themeFill="background1"/>
          </w:rPr>
          <w:t>2</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_Toc240446532 \h </w:instrText>
        </w:r>
        <w:r w:rsidR="005666DC">
          <w:rPr>
            <w:webHidden/>
          </w:rPr>
        </w:r>
        <w:r w:rsidR="005666DC">
          <w:rPr>
            <w:webHidden/>
          </w:rPr>
          <w:fldChar w:fldCharType="separate"/>
        </w:r>
        <w:r w:rsidR="005666DC">
          <w:rPr>
            <w:webHidden/>
          </w:rPr>
          <w:t>124</w:t>
        </w:r>
        <w:r w:rsidR="005666DC">
          <w:rPr>
            <w:webHidden/>
          </w:rPr>
          <w:fldChar w:fldCharType="end"/>
        </w:r>
      </w:hyperlink>
    </w:p>
    <w:p w14:paraId="445F3ECD" w14:textId="79DA4219"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33" w:history="1">
        <w:r w:rsidR="005666DC" w:rsidRPr="0002242D">
          <w:rPr>
            <w:rStyle w:val="af6"/>
            <w:rFonts w:hint="eastAsia"/>
          </w:rPr>
          <w:t>［參］行政命令案</w:t>
        </w:r>
        <w:r w:rsidR="005666DC" w:rsidRPr="0002242D">
          <w:rPr>
            <w:rStyle w:val="af6"/>
          </w:rPr>
          <w:t>4</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_Toc240446533 \h </w:instrText>
        </w:r>
        <w:r w:rsidR="005666DC">
          <w:rPr>
            <w:webHidden/>
          </w:rPr>
        </w:r>
        <w:r w:rsidR="005666DC">
          <w:rPr>
            <w:webHidden/>
          </w:rPr>
          <w:fldChar w:fldCharType="separate"/>
        </w:r>
        <w:r w:rsidR="005666DC">
          <w:rPr>
            <w:webHidden/>
          </w:rPr>
          <w:t>125</w:t>
        </w:r>
        <w:r w:rsidR="005666DC">
          <w:rPr>
            <w:webHidden/>
          </w:rPr>
          <w:fldChar w:fldCharType="end"/>
        </w:r>
      </w:hyperlink>
    </w:p>
    <w:p w14:paraId="14F905BB" w14:textId="1CF2BC39"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34" w:history="1">
        <w:r w:rsidR="005666DC" w:rsidRPr="0002242D">
          <w:rPr>
            <w:rStyle w:val="af6"/>
            <w:rFonts w:hint="eastAsia"/>
          </w:rPr>
          <w:t>［肆］同意權行使案</w:t>
        </w:r>
        <w:r w:rsidR="005666DC" w:rsidRPr="0002242D">
          <w:rPr>
            <w:rStyle w:val="af6"/>
          </w:rPr>
          <w:t>1</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_Toc240446534 \h </w:instrText>
        </w:r>
        <w:r w:rsidR="005666DC">
          <w:rPr>
            <w:webHidden/>
          </w:rPr>
        </w:r>
        <w:r w:rsidR="005666DC">
          <w:rPr>
            <w:webHidden/>
          </w:rPr>
          <w:fldChar w:fldCharType="separate"/>
        </w:r>
        <w:r w:rsidR="005666DC">
          <w:rPr>
            <w:webHidden/>
          </w:rPr>
          <w:t>126</w:t>
        </w:r>
        <w:r w:rsidR="005666DC">
          <w:rPr>
            <w:webHidden/>
          </w:rPr>
          <w:fldChar w:fldCharType="end"/>
        </w:r>
      </w:hyperlink>
    </w:p>
    <w:p w14:paraId="305DA6CF" w14:textId="400596B9"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35" w:history="1">
        <w:r w:rsidR="005666DC" w:rsidRPr="0002242D">
          <w:rPr>
            <w:rStyle w:val="af6"/>
            <w:rFonts w:hint="eastAsia"/>
          </w:rPr>
          <w:t>［伍］其他議案</w:t>
        </w:r>
        <w:r w:rsidR="005666DC" w:rsidRPr="0002242D">
          <w:rPr>
            <w:rStyle w:val="af6"/>
          </w:rPr>
          <w:t>1</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_Toc240446535 \h </w:instrText>
        </w:r>
        <w:r w:rsidR="005666DC">
          <w:rPr>
            <w:webHidden/>
          </w:rPr>
        </w:r>
        <w:r w:rsidR="005666DC">
          <w:rPr>
            <w:webHidden/>
          </w:rPr>
          <w:fldChar w:fldCharType="separate"/>
        </w:r>
        <w:r w:rsidR="005666DC">
          <w:rPr>
            <w:webHidden/>
          </w:rPr>
          <w:t>127</w:t>
        </w:r>
        <w:r w:rsidR="005666DC">
          <w:rPr>
            <w:webHidden/>
          </w:rPr>
          <w:fldChar w:fldCharType="end"/>
        </w:r>
      </w:hyperlink>
    </w:p>
    <w:p w14:paraId="13D51ECE" w14:textId="3A39A7CB" w:rsidR="005666DC" w:rsidRDefault="00C72F63">
      <w:pPr>
        <w:pStyle w:val="12"/>
        <w:rPr>
          <w:rFonts w:asciiTheme="minorHAnsi" w:eastAsiaTheme="minorEastAsia" w:hAnsiTheme="minorHAnsi" w:cstheme="minorBidi"/>
          <w:b w:val="0"/>
          <w:kern w:val="2"/>
          <w:sz w:val="24"/>
          <w:szCs w:val="22"/>
          <w:shd w:val="clear" w:color="auto" w:fill="auto"/>
        </w:rPr>
      </w:pPr>
      <w:hyperlink w:anchor="_Toc240446536" w:history="1">
        <w:r w:rsidR="005666DC" w:rsidRPr="0002242D">
          <w:rPr>
            <w:rStyle w:val="af6"/>
            <w:rFonts w:hint="eastAsia"/>
            <w:bCs/>
            <w:shd w:val="clear" w:color="auto" w:fill="FFFFFF"/>
          </w:rPr>
          <w:t>伍、尚待院會審議之議案</w:t>
        </w:r>
        <w:r w:rsidR="005666DC" w:rsidRPr="0002242D">
          <w:rPr>
            <w:rStyle w:val="af6"/>
            <w:bCs/>
            <w:shd w:val="clear" w:color="auto" w:fill="FFFFFF"/>
          </w:rPr>
          <w:t>145</w:t>
        </w:r>
        <w:r w:rsidR="005666DC" w:rsidRPr="0002242D">
          <w:rPr>
            <w:rStyle w:val="af6"/>
            <w:rFonts w:hint="eastAsia"/>
            <w:bCs/>
            <w:shd w:val="clear" w:color="auto" w:fill="FFFFFF"/>
          </w:rPr>
          <w:t>案</w:t>
        </w:r>
        <w:r w:rsidR="005666DC">
          <w:rPr>
            <w:webHidden/>
          </w:rPr>
          <w:tab/>
        </w:r>
        <w:r w:rsidR="005666DC">
          <w:rPr>
            <w:webHidden/>
          </w:rPr>
          <w:fldChar w:fldCharType="begin"/>
        </w:r>
        <w:r w:rsidR="005666DC">
          <w:rPr>
            <w:webHidden/>
          </w:rPr>
          <w:instrText xml:space="preserve"> PAGEREF _Toc240446536 \h </w:instrText>
        </w:r>
        <w:r w:rsidR="005666DC">
          <w:rPr>
            <w:webHidden/>
          </w:rPr>
        </w:r>
        <w:r w:rsidR="005666DC">
          <w:rPr>
            <w:webHidden/>
          </w:rPr>
          <w:fldChar w:fldCharType="separate"/>
        </w:r>
        <w:r w:rsidR="005666DC">
          <w:rPr>
            <w:webHidden/>
          </w:rPr>
          <w:t>128</w:t>
        </w:r>
        <w:r w:rsidR="005666DC">
          <w:rPr>
            <w:webHidden/>
          </w:rPr>
          <w:fldChar w:fldCharType="end"/>
        </w:r>
      </w:hyperlink>
    </w:p>
    <w:p w14:paraId="720B82E0" w14:textId="5E879DBF"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37" w:history="1">
        <w:r w:rsidR="005666DC" w:rsidRPr="0002242D">
          <w:rPr>
            <w:rStyle w:val="af6"/>
            <w:rFonts w:hint="eastAsia"/>
          </w:rPr>
          <w:t>［壹］法律案</w:t>
        </w:r>
        <w:r w:rsidR="005666DC" w:rsidRPr="0002242D">
          <w:rPr>
            <w:rStyle w:val="af6"/>
          </w:rPr>
          <w:t>138</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_Toc240446537 \h </w:instrText>
        </w:r>
        <w:r w:rsidR="005666DC">
          <w:rPr>
            <w:webHidden/>
          </w:rPr>
        </w:r>
        <w:r w:rsidR="005666DC">
          <w:rPr>
            <w:webHidden/>
          </w:rPr>
          <w:fldChar w:fldCharType="separate"/>
        </w:r>
        <w:r w:rsidR="005666DC">
          <w:rPr>
            <w:webHidden/>
          </w:rPr>
          <w:t>128</w:t>
        </w:r>
        <w:r w:rsidR="005666DC">
          <w:rPr>
            <w:webHidden/>
          </w:rPr>
          <w:fldChar w:fldCharType="end"/>
        </w:r>
      </w:hyperlink>
    </w:p>
    <w:p w14:paraId="3EA8B480" w14:textId="631EBA36" w:rsidR="005666DC" w:rsidRDefault="00C72F63" w:rsidP="005666DC">
      <w:pPr>
        <w:pStyle w:val="37"/>
        <w:rPr>
          <w:rFonts w:asciiTheme="minorHAnsi" w:eastAsiaTheme="minorEastAsia" w:hAnsiTheme="minorHAnsi" w:cstheme="minorBidi"/>
          <w:w w:val="100"/>
          <w:sz w:val="24"/>
          <w:szCs w:val="22"/>
        </w:rPr>
      </w:pPr>
      <w:hyperlink w:anchor="_Toc240446538" w:history="1">
        <w:r w:rsidR="005666DC" w:rsidRPr="0002242D">
          <w:rPr>
            <w:rStyle w:val="af6"/>
            <w:rFonts w:hint="eastAsia"/>
            <w:shd w:val="clear" w:color="auto" w:fill="FFFFFF" w:themeFill="background1"/>
          </w:rPr>
          <w:t>一、組織法</w:t>
        </w:r>
        <w:r w:rsidR="005666DC" w:rsidRPr="0002242D">
          <w:rPr>
            <w:rStyle w:val="af6"/>
            <w:shd w:val="clear" w:color="auto" w:fill="FFFFFF" w:themeFill="background1"/>
          </w:rPr>
          <w:t>16</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_Toc240446538 \h </w:instrText>
        </w:r>
        <w:r w:rsidR="005666DC">
          <w:rPr>
            <w:webHidden/>
          </w:rPr>
        </w:r>
        <w:r w:rsidR="005666DC">
          <w:rPr>
            <w:webHidden/>
          </w:rPr>
          <w:fldChar w:fldCharType="separate"/>
        </w:r>
        <w:r w:rsidR="005666DC">
          <w:rPr>
            <w:webHidden/>
          </w:rPr>
          <w:t>128</w:t>
        </w:r>
        <w:r w:rsidR="005666DC">
          <w:rPr>
            <w:webHidden/>
          </w:rPr>
          <w:fldChar w:fldCharType="end"/>
        </w:r>
      </w:hyperlink>
    </w:p>
    <w:p w14:paraId="69216658" w14:textId="3FAFFE7D" w:rsidR="005666DC" w:rsidRDefault="00C72F63" w:rsidP="005666DC">
      <w:pPr>
        <w:pStyle w:val="37"/>
        <w:rPr>
          <w:rFonts w:asciiTheme="minorHAnsi" w:eastAsiaTheme="minorEastAsia" w:hAnsiTheme="minorHAnsi" w:cstheme="minorBidi"/>
          <w:w w:val="100"/>
          <w:sz w:val="24"/>
          <w:szCs w:val="22"/>
        </w:rPr>
      </w:pPr>
      <w:hyperlink w:anchor="_Toc240446539" w:history="1">
        <w:r w:rsidR="005666DC" w:rsidRPr="0002242D">
          <w:rPr>
            <w:rStyle w:val="af6"/>
            <w:rFonts w:hint="eastAsia"/>
            <w:shd w:val="clear" w:color="auto" w:fill="FFFFFF" w:themeFill="background1"/>
          </w:rPr>
          <w:t>二、作用法</w:t>
        </w:r>
        <w:r w:rsidR="005666DC" w:rsidRPr="0002242D">
          <w:rPr>
            <w:rStyle w:val="af6"/>
            <w:shd w:val="clear" w:color="auto" w:fill="FFFFFF" w:themeFill="background1"/>
          </w:rPr>
          <w:t>122</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_Toc240446539 \h </w:instrText>
        </w:r>
        <w:r w:rsidR="005666DC">
          <w:rPr>
            <w:webHidden/>
          </w:rPr>
        </w:r>
        <w:r w:rsidR="005666DC">
          <w:rPr>
            <w:webHidden/>
          </w:rPr>
          <w:fldChar w:fldCharType="separate"/>
        </w:r>
        <w:r w:rsidR="005666DC">
          <w:rPr>
            <w:webHidden/>
          </w:rPr>
          <w:t>130</w:t>
        </w:r>
        <w:r w:rsidR="005666DC">
          <w:rPr>
            <w:webHidden/>
          </w:rPr>
          <w:fldChar w:fldCharType="end"/>
        </w:r>
      </w:hyperlink>
    </w:p>
    <w:p w14:paraId="416021A0" w14:textId="7B8BDD17"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40" w:history="1">
        <w:r w:rsidR="005666DC" w:rsidRPr="0002242D">
          <w:rPr>
            <w:rStyle w:val="af6"/>
            <w:rFonts w:hint="eastAsia"/>
          </w:rPr>
          <w:t>［貳］預（決）算案</w:t>
        </w:r>
        <w:r w:rsidR="005666DC" w:rsidRPr="0002242D">
          <w:rPr>
            <w:rStyle w:val="af6"/>
          </w:rPr>
          <w:t>4</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_Toc240446540 \h </w:instrText>
        </w:r>
        <w:r w:rsidR="005666DC">
          <w:rPr>
            <w:webHidden/>
          </w:rPr>
        </w:r>
        <w:r w:rsidR="005666DC">
          <w:rPr>
            <w:webHidden/>
          </w:rPr>
          <w:fldChar w:fldCharType="separate"/>
        </w:r>
        <w:r w:rsidR="005666DC">
          <w:rPr>
            <w:webHidden/>
          </w:rPr>
          <w:t>141</w:t>
        </w:r>
        <w:r w:rsidR="005666DC">
          <w:rPr>
            <w:webHidden/>
          </w:rPr>
          <w:fldChar w:fldCharType="end"/>
        </w:r>
      </w:hyperlink>
    </w:p>
    <w:p w14:paraId="1FF6C0EF" w14:textId="6E2ED7EC" w:rsidR="005666DC" w:rsidRDefault="00C72F63" w:rsidP="005666DC">
      <w:pPr>
        <w:pStyle w:val="37"/>
        <w:rPr>
          <w:rFonts w:asciiTheme="minorHAnsi" w:eastAsiaTheme="minorEastAsia" w:hAnsiTheme="minorHAnsi" w:cstheme="minorBidi"/>
          <w:w w:val="100"/>
          <w:sz w:val="24"/>
          <w:szCs w:val="22"/>
        </w:rPr>
      </w:pPr>
      <w:hyperlink w:anchor="_Toc240446541" w:history="1">
        <w:r w:rsidR="005666DC" w:rsidRPr="0002242D">
          <w:rPr>
            <w:rStyle w:val="af6"/>
            <w:rFonts w:hint="eastAsia"/>
            <w:shd w:val="clear" w:color="auto" w:fill="FFFFFF" w:themeFill="background1"/>
          </w:rPr>
          <w:t>一、總預算案</w:t>
        </w:r>
        <w:r w:rsidR="005666DC" w:rsidRPr="0002242D">
          <w:rPr>
            <w:rStyle w:val="af6"/>
            <w:shd w:val="clear" w:color="auto" w:fill="FFFFFF" w:themeFill="background1"/>
          </w:rPr>
          <w:t>1</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_Toc240446541 \h </w:instrText>
        </w:r>
        <w:r w:rsidR="005666DC">
          <w:rPr>
            <w:webHidden/>
          </w:rPr>
        </w:r>
        <w:r w:rsidR="005666DC">
          <w:rPr>
            <w:webHidden/>
          </w:rPr>
          <w:fldChar w:fldCharType="separate"/>
        </w:r>
        <w:r w:rsidR="005666DC">
          <w:rPr>
            <w:webHidden/>
          </w:rPr>
          <w:t>141</w:t>
        </w:r>
        <w:r w:rsidR="005666DC">
          <w:rPr>
            <w:webHidden/>
          </w:rPr>
          <w:fldChar w:fldCharType="end"/>
        </w:r>
      </w:hyperlink>
    </w:p>
    <w:p w14:paraId="58544114" w14:textId="66FE0535" w:rsidR="005666DC" w:rsidRDefault="00C72F63" w:rsidP="005666DC">
      <w:pPr>
        <w:pStyle w:val="37"/>
        <w:rPr>
          <w:rFonts w:asciiTheme="minorHAnsi" w:eastAsiaTheme="minorEastAsia" w:hAnsiTheme="minorHAnsi" w:cstheme="minorBidi"/>
          <w:w w:val="100"/>
          <w:sz w:val="24"/>
          <w:szCs w:val="22"/>
        </w:rPr>
      </w:pPr>
      <w:hyperlink w:anchor="_Toc240446542" w:history="1">
        <w:r w:rsidR="005666DC" w:rsidRPr="0002242D">
          <w:rPr>
            <w:rStyle w:val="af6"/>
            <w:rFonts w:hint="eastAsia"/>
            <w:shd w:val="clear" w:color="auto" w:fill="FFFFFF" w:themeFill="background1"/>
          </w:rPr>
          <w:t>二、財團法人</w:t>
        </w:r>
        <w:r w:rsidR="005666DC" w:rsidRPr="0002242D">
          <w:rPr>
            <w:rStyle w:val="af6"/>
            <w:shd w:val="clear" w:color="auto" w:fill="FFFFFF" w:themeFill="background1"/>
          </w:rPr>
          <w:t>3</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_Toc240446542 \h </w:instrText>
        </w:r>
        <w:r w:rsidR="005666DC">
          <w:rPr>
            <w:webHidden/>
          </w:rPr>
        </w:r>
        <w:r w:rsidR="005666DC">
          <w:rPr>
            <w:webHidden/>
          </w:rPr>
          <w:fldChar w:fldCharType="separate"/>
        </w:r>
        <w:r w:rsidR="005666DC">
          <w:rPr>
            <w:webHidden/>
          </w:rPr>
          <w:t>143</w:t>
        </w:r>
        <w:r w:rsidR="005666DC">
          <w:rPr>
            <w:webHidden/>
          </w:rPr>
          <w:fldChar w:fldCharType="end"/>
        </w:r>
      </w:hyperlink>
    </w:p>
    <w:p w14:paraId="33517535" w14:textId="1A2F6748"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43" w:history="1">
        <w:r w:rsidR="005666DC" w:rsidRPr="0002242D">
          <w:rPr>
            <w:rStyle w:val="af6"/>
            <w:rFonts w:hint="eastAsia"/>
          </w:rPr>
          <w:t>［參］立法院內規</w:t>
        </w:r>
        <w:r w:rsidR="005666DC" w:rsidRPr="0002242D">
          <w:rPr>
            <w:rStyle w:val="af6"/>
          </w:rPr>
          <w:t>3</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_Toc240446543 \h </w:instrText>
        </w:r>
        <w:r w:rsidR="005666DC">
          <w:rPr>
            <w:webHidden/>
          </w:rPr>
        </w:r>
        <w:r w:rsidR="005666DC">
          <w:rPr>
            <w:webHidden/>
          </w:rPr>
          <w:fldChar w:fldCharType="separate"/>
        </w:r>
        <w:r w:rsidR="005666DC">
          <w:rPr>
            <w:webHidden/>
          </w:rPr>
          <w:t>143</w:t>
        </w:r>
        <w:r w:rsidR="005666DC">
          <w:rPr>
            <w:webHidden/>
          </w:rPr>
          <w:fldChar w:fldCharType="end"/>
        </w:r>
      </w:hyperlink>
    </w:p>
    <w:p w14:paraId="570A3D08" w14:textId="45301433" w:rsidR="005666DC" w:rsidRDefault="00C72F63">
      <w:pPr>
        <w:pStyle w:val="12"/>
        <w:rPr>
          <w:rFonts w:asciiTheme="minorHAnsi" w:eastAsiaTheme="minorEastAsia" w:hAnsiTheme="minorHAnsi" w:cstheme="minorBidi"/>
          <w:b w:val="0"/>
          <w:kern w:val="2"/>
          <w:sz w:val="24"/>
          <w:szCs w:val="22"/>
          <w:shd w:val="clear" w:color="auto" w:fill="auto"/>
        </w:rPr>
      </w:pPr>
      <w:hyperlink w:anchor="_Toc240446544" w:history="1">
        <w:r w:rsidR="005666DC" w:rsidRPr="0002242D">
          <w:rPr>
            <w:rStyle w:val="af6"/>
            <w:rFonts w:hint="eastAsia"/>
            <w:bCs/>
          </w:rPr>
          <w:t>陸、本會待（繼續）審查之議案</w:t>
        </w:r>
        <w:r w:rsidR="005666DC" w:rsidRPr="0002242D">
          <w:rPr>
            <w:rStyle w:val="af6"/>
            <w:bCs/>
          </w:rPr>
          <w:t>1,092</w:t>
        </w:r>
        <w:r w:rsidR="005666DC" w:rsidRPr="0002242D">
          <w:rPr>
            <w:rStyle w:val="af6"/>
            <w:rFonts w:hint="eastAsia"/>
            <w:bCs/>
          </w:rPr>
          <w:t>案</w:t>
        </w:r>
        <w:r w:rsidR="005666DC">
          <w:rPr>
            <w:webHidden/>
          </w:rPr>
          <w:tab/>
        </w:r>
        <w:r w:rsidR="005666DC">
          <w:rPr>
            <w:webHidden/>
          </w:rPr>
          <w:fldChar w:fldCharType="begin"/>
        </w:r>
        <w:r w:rsidR="005666DC">
          <w:rPr>
            <w:webHidden/>
          </w:rPr>
          <w:instrText xml:space="preserve"> PAGEREF _Toc240446544 \h </w:instrText>
        </w:r>
        <w:r w:rsidR="005666DC">
          <w:rPr>
            <w:webHidden/>
          </w:rPr>
        </w:r>
        <w:r w:rsidR="005666DC">
          <w:rPr>
            <w:webHidden/>
          </w:rPr>
          <w:fldChar w:fldCharType="separate"/>
        </w:r>
        <w:r w:rsidR="005666DC">
          <w:rPr>
            <w:webHidden/>
          </w:rPr>
          <w:t>145</w:t>
        </w:r>
        <w:r w:rsidR="005666DC">
          <w:rPr>
            <w:webHidden/>
          </w:rPr>
          <w:fldChar w:fldCharType="end"/>
        </w:r>
      </w:hyperlink>
    </w:p>
    <w:p w14:paraId="3ED44063" w14:textId="081185D1"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45" w:history="1">
        <w:r w:rsidR="005666DC" w:rsidRPr="0002242D">
          <w:rPr>
            <w:rStyle w:val="af6"/>
            <w:rFonts w:hint="eastAsia"/>
          </w:rPr>
          <w:t>〔壹〕法律案</w:t>
        </w:r>
        <w:r w:rsidR="005666DC" w:rsidRPr="0002242D">
          <w:rPr>
            <w:rStyle w:val="af6"/>
          </w:rPr>
          <w:t>947</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_Toc240446545 \h </w:instrText>
        </w:r>
        <w:r w:rsidR="005666DC">
          <w:rPr>
            <w:webHidden/>
          </w:rPr>
        </w:r>
        <w:r w:rsidR="005666DC">
          <w:rPr>
            <w:webHidden/>
          </w:rPr>
          <w:fldChar w:fldCharType="separate"/>
        </w:r>
        <w:r w:rsidR="005666DC">
          <w:rPr>
            <w:webHidden/>
          </w:rPr>
          <w:t>145</w:t>
        </w:r>
        <w:r w:rsidR="005666DC">
          <w:rPr>
            <w:webHidden/>
          </w:rPr>
          <w:fldChar w:fldCharType="end"/>
        </w:r>
      </w:hyperlink>
    </w:p>
    <w:p w14:paraId="6FB6DFB1" w14:textId="781B445F" w:rsidR="005666DC" w:rsidRDefault="00C72F63" w:rsidP="005666DC">
      <w:pPr>
        <w:pStyle w:val="37"/>
        <w:rPr>
          <w:rFonts w:asciiTheme="minorHAnsi" w:eastAsiaTheme="minorEastAsia" w:hAnsiTheme="minorHAnsi" w:cstheme="minorBidi"/>
          <w:w w:val="100"/>
          <w:sz w:val="24"/>
          <w:szCs w:val="22"/>
        </w:rPr>
      </w:pPr>
      <w:hyperlink w:anchor="_Toc240446546" w:history="1">
        <w:r w:rsidR="005666DC" w:rsidRPr="0002242D">
          <w:rPr>
            <w:rStyle w:val="af6"/>
            <w:rFonts w:hint="eastAsia"/>
            <w:shd w:val="clear" w:color="auto" w:fill="FFFFFF" w:themeFill="background1"/>
          </w:rPr>
          <w:t>一、組織法</w:t>
        </w:r>
        <w:r w:rsidR="005666DC" w:rsidRPr="0002242D">
          <w:rPr>
            <w:rStyle w:val="af6"/>
            <w:shd w:val="clear" w:color="auto" w:fill="FFFFFF" w:themeFill="background1"/>
          </w:rPr>
          <w:t>373</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_Toc240446546 \h </w:instrText>
        </w:r>
        <w:r w:rsidR="005666DC">
          <w:rPr>
            <w:webHidden/>
          </w:rPr>
        </w:r>
        <w:r w:rsidR="005666DC">
          <w:rPr>
            <w:webHidden/>
          </w:rPr>
          <w:fldChar w:fldCharType="separate"/>
        </w:r>
        <w:r w:rsidR="005666DC">
          <w:rPr>
            <w:webHidden/>
          </w:rPr>
          <w:t>145</w:t>
        </w:r>
        <w:r w:rsidR="005666DC">
          <w:rPr>
            <w:webHidden/>
          </w:rPr>
          <w:fldChar w:fldCharType="end"/>
        </w:r>
      </w:hyperlink>
    </w:p>
    <w:p w14:paraId="55B07F50" w14:textId="039280A7" w:rsidR="005666DC" w:rsidRDefault="00C72F63" w:rsidP="005666DC">
      <w:pPr>
        <w:pStyle w:val="37"/>
        <w:rPr>
          <w:rFonts w:asciiTheme="minorHAnsi" w:eastAsiaTheme="minorEastAsia" w:hAnsiTheme="minorHAnsi" w:cstheme="minorBidi"/>
          <w:w w:val="100"/>
          <w:sz w:val="24"/>
          <w:szCs w:val="22"/>
        </w:rPr>
      </w:pPr>
      <w:hyperlink w:anchor="_Toc240446547" w:history="1">
        <w:r w:rsidR="005666DC" w:rsidRPr="0002242D">
          <w:rPr>
            <w:rStyle w:val="af6"/>
            <w:rFonts w:hint="eastAsia"/>
            <w:shd w:val="clear" w:color="auto" w:fill="FFFFFF" w:themeFill="background1"/>
          </w:rPr>
          <w:t>（一）總統府</w:t>
        </w:r>
        <w:r w:rsidR="005666DC" w:rsidRPr="0002242D">
          <w:rPr>
            <w:rStyle w:val="af6"/>
            <w:shd w:val="clear" w:color="auto" w:fill="FFFFFF" w:themeFill="background1"/>
          </w:rPr>
          <w:t>1</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_Toc240446547 \h </w:instrText>
        </w:r>
        <w:r w:rsidR="005666DC">
          <w:rPr>
            <w:webHidden/>
          </w:rPr>
        </w:r>
        <w:r w:rsidR="005666DC">
          <w:rPr>
            <w:webHidden/>
          </w:rPr>
          <w:fldChar w:fldCharType="separate"/>
        </w:r>
        <w:r w:rsidR="005666DC">
          <w:rPr>
            <w:webHidden/>
          </w:rPr>
          <w:t>145</w:t>
        </w:r>
        <w:r w:rsidR="005666DC">
          <w:rPr>
            <w:webHidden/>
          </w:rPr>
          <w:fldChar w:fldCharType="end"/>
        </w:r>
      </w:hyperlink>
    </w:p>
    <w:p w14:paraId="6F10FD32" w14:textId="2C37754F" w:rsidR="005666DC" w:rsidRDefault="00C72F63" w:rsidP="005666DC">
      <w:pPr>
        <w:pStyle w:val="37"/>
        <w:rPr>
          <w:rFonts w:asciiTheme="minorHAnsi" w:eastAsiaTheme="minorEastAsia" w:hAnsiTheme="minorHAnsi" w:cstheme="minorBidi"/>
          <w:w w:val="100"/>
          <w:sz w:val="24"/>
          <w:szCs w:val="22"/>
        </w:rPr>
      </w:pPr>
      <w:hyperlink w:anchor="_Toc240446548" w:history="1">
        <w:r w:rsidR="005666DC" w:rsidRPr="0002242D">
          <w:rPr>
            <w:rStyle w:val="af6"/>
            <w:rFonts w:hint="eastAsia"/>
            <w:shd w:val="clear" w:color="auto" w:fill="FFFFFF" w:themeFill="background1"/>
          </w:rPr>
          <w:t>（二）行政院</w:t>
        </w:r>
        <w:r w:rsidR="005666DC" w:rsidRPr="0002242D">
          <w:rPr>
            <w:rStyle w:val="af6"/>
            <w:shd w:val="clear" w:color="auto" w:fill="FFFFFF" w:themeFill="background1"/>
          </w:rPr>
          <w:t>310</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_Toc240446548 \h </w:instrText>
        </w:r>
        <w:r w:rsidR="005666DC">
          <w:rPr>
            <w:webHidden/>
          </w:rPr>
        </w:r>
        <w:r w:rsidR="005666DC">
          <w:rPr>
            <w:webHidden/>
          </w:rPr>
          <w:fldChar w:fldCharType="separate"/>
        </w:r>
        <w:r w:rsidR="005666DC">
          <w:rPr>
            <w:webHidden/>
          </w:rPr>
          <w:t>145</w:t>
        </w:r>
        <w:r w:rsidR="005666DC">
          <w:rPr>
            <w:webHidden/>
          </w:rPr>
          <w:fldChar w:fldCharType="end"/>
        </w:r>
      </w:hyperlink>
    </w:p>
    <w:p w14:paraId="79CE5EE5" w14:textId="54CA0451" w:rsidR="005666DC" w:rsidRDefault="00C72F63" w:rsidP="005666DC">
      <w:pPr>
        <w:pStyle w:val="37"/>
        <w:rPr>
          <w:rFonts w:asciiTheme="minorHAnsi" w:eastAsiaTheme="minorEastAsia" w:hAnsiTheme="minorHAnsi" w:cstheme="minorBidi"/>
          <w:w w:val="100"/>
          <w:sz w:val="24"/>
          <w:szCs w:val="22"/>
        </w:rPr>
      </w:pPr>
      <w:hyperlink w:anchor="_Toc240446549" w:history="1">
        <w:r w:rsidR="005666DC" w:rsidRPr="0002242D">
          <w:rPr>
            <w:rStyle w:val="af6"/>
            <w:rFonts w:hint="eastAsia"/>
            <w:shd w:val="clear" w:color="auto" w:fill="FFFFFF" w:themeFill="background1"/>
          </w:rPr>
          <w:t>（三）立法院</w:t>
        </w:r>
        <w:r w:rsidR="005666DC" w:rsidRPr="0002242D">
          <w:rPr>
            <w:rStyle w:val="af6"/>
            <w:shd w:val="clear" w:color="auto" w:fill="FFFFFF" w:themeFill="background1"/>
          </w:rPr>
          <w:t>10</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_Toc240446549 \h </w:instrText>
        </w:r>
        <w:r w:rsidR="005666DC">
          <w:rPr>
            <w:webHidden/>
          </w:rPr>
        </w:r>
        <w:r w:rsidR="005666DC">
          <w:rPr>
            <w:webHidden/>
          </w:rPr>
          <w:fldChar w:fldCharType="separate"/>
        </w:r>
        <w:r w:rsidR="005666DC">
          <w:rPr>
            <w:webHidden/>
          </w:rPr>
          <w:t>191</w:t>
        </w:r>
        <w:r w:rsidR="005666DC">
          <w:rPr>
            <w:webHidden/>
          </w:rPr>
          <w:fldChar w:fldCharType="end"/>
        </w:r>
      </w:hyperlink>
    </w:p>
    <w:p w14:paraId="7D1B8195" w14:textId="316B6407" w:rsidR="005666DC" w:rsidRDefault="00C72F63" w:rsidP="005666DC">
      <w:pPr>
        <w:pStyle w:val="37"/>
        <w:rPr>
          <w:rFonts w:asciiTheme="minorHAnsi" w:eastAsiaTheme="minorEastAsia" w:hAnsiTheme="minorHAnsi" w:cstheme="minorBidi"/>
          <w:w w:val="100"/>
          <w:sz w:val="24"/>
          <w:szCs w:val="22"/>
        </w:rPr>
      </w:pPr>
      <w:hyperlink w:anchor="_Toc240446550" w:history="1">
        <w:r w:rsidR="005666DC" w:rsidRPr="0002242D">
          <w:rPr>
            <w:rStyle w:val="af6"/>
            <w:rFonts w:hint="eastAsia"/>
            <w:shd w:val="clear" w:color="auto" w:fill="FFFFFF" w:themeFill="background1"/>
          </w:rPr>
          <w:t>（四）司法院</w:t>
        </w:r>
        <w:r w:rsidR="005666DC" w:rsidRPr="0002242D">
          <w:rPr>
            <w:rStyle w:val="af6"/>
            <w:shd w:val="clear" w:color="auto" w:fill="FFFFFF" w:themeFill="background1"/>
          </w:rPr>
          <w:t>45</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_Toc240446550 \h </w:instrText>
        </w:r>
        <w:r w:rsidR="005666DC">
          <w:rPr>
            <w:webHidden/>
          </w:rPr>
        </w:r>
        <w:r w:rsidR="005666DC">
          <w:rPr>
            <w:webHidden/>
          </w:rPr>
          <w:fldChar w:fldCharType="separate"/>
        </w:r>
        <w:r w:rsidR="005666DC">
          <w:rPr>
            <w:webHidden/>
          </w:rPr>
          <w:t>193</w:t>
        </w:r>
        <w:r w:rsidR="005666DC">
          <w:rPr>
            <w:webHidden/>
          </w:rPr>
          <w:fldChar w:fldCharType="end"/>
        </w:r>
      </w:hyperlink>
    </w:p>
    <w:p w14:paraId="23471DDA" w14:textId="46E6E40C" w:rsidR="005666DC" w:rsidRDefault="00C72F63" w:rsidP="005666DC">
      <w:pPr>
        <w:pStyle w:val="37"/>
        <w:rPr>
          <w:rFonts w:asciiTheme="minorHAnsi" w:eastAsiaTheme="minorEastAsia" w:hAnsiTheme="minorHAnsi" w:cstheme="minorBidi"/>
          <w:w w:val="100"/>
          <w:sz w:val="24"/>
          <w:szCs w:val="22"/>
        </w:rPr>
      </w:pPr>
      <w:hyperlink w:anchor="_Toc240446551" w:history="1">
        <w:r w:rsidR="005666DC" w:rsidRPr="0002242D">
          <w:rPr>
            <w:rStyle w:val="af6"/>
            <w:rFonts w:hint="eastAsia"/>
            <w:shd w:val="clear" w:color="auto" w:fill="FFFFFF" w:themeFill="background1"/>
          </w:rPr>
          <w:t>（五）考試院</w:t>
        </w:r>
        <w:r w:rsidR="005666DC" w:rsidRPr="0002242D">
          <w:rPr>
            <w:rStyle w:val="af6"/>
            <w:shd w:val="clear" w:color="auto" w:fill="FFFFFF" w:themeFill="background1"/>
          </w:rPr>
          <w:t>2</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_Toc240446551 \h </w:instrText>
        </w:r>
        <w:r w:rsidR="005666DC">
          <w:rPr>
            <w:webHidden/>
          </w:rPr>
        </w:r>
        <w:r w:rsidR="005666DC">
          <w:rPr>
            <w:webHidden/>
          </w:rPr>
          <w:fldChar w:fldCharType="separate"/>
        </w:r>
        <w:r w:rsidR="005666DC">
          <w:rPr>
            <w:webHidden/>
          </w:rPr>
          <w:t>203</w:t>
        </w:r>
        <w:r w:rsidR="005666DC">
          <w:rPr>
            <w:webHidden/>
          </w:rPr>
          <w:fldChar w:fldCharType="end"/>
        </w:r>
      </w:hyperlink>
    </w:p>
    <w:p w14:paraId="7A50FD3F" w14:textId="11B02E63" w:rsidR="005666DC" w:rsidRDefault="00C72F63" w:rsidP="005666DC">
      <w:pPr>
        <w:pStyle w:val="37"/>
        <w:rPr>
          <w:rFonts w:asciiTheme="minorHAnsi" w:eastAsiaTheme="minorEastAsia" w:hAnsiTheme="minorHAnsi" w:cstheme="minorBidi"/>
          <w:w w:val="100"/>
          <w:sz w:val="24"/>
          <w:szCs w:val="22"/>
        </w:rPr>
      </w:pPr>
      <w:hyperlink w:anchor="_Toc240446552" w:history="1">
        <w:r w:rsidR="005666DC" w:rsidRPr="0002242D">
          <w:rPr>
            <w:rStyle w:val="af6"/>
            <w:rFonts w:hint="eastAsia"/>
            <w:shd w:val="clear" w:color="auto" w:fill="FFFFFF" w:themeFill="background1"/>
          </w:rPr>
          <w:t>（六）監察院</w:t>
        </w:r>
        <w:r w:rsidR="005666DC" w:rsidRPr="0002242D">
          <w:rPr>
            <w:rStyle w:val="af6"/>
            <w:shd w:val="clear" w:color="auto" w:fill="FFFFFF" w:themeFill="background1"/>
          </w:rPr>
          <w:t>1</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_Toc240446552 \h </w:instrText>
        </w:r>
        <w:r w:rsidR="005666DC">
          <w:rPr>
            <w:webHidden/>
          </w:rPr>
        </w:r>
        <w:r w:rsidR="005666DC">
          <w:rPr>
            <w:webHidden/>
          </w:rPr>
          <w:fldChar w:fldCharType="separate"/>
        </w:r>
        <w:r w:rsidR="005666DC">
          <w:rPr>
            <w:webHidden/>
          </w:rPr>
          <w:t>203</w:t>
        </w:r>
        <w:r w:rsidR="005666DC">
          <w:rPr>
            <w:webHidden/>
          </w:rPr>
          <w:fldChar w:fldCharType="end"/>
        </w:r>
      </w:hyperlink>
    </w:p>
    <w:p w14:paraId="10105DEA" w14:textId="6E3440AD" w:rsidR="005666DC" w:rsidRDefault="00C72F63" w:rsidP="005666DC">
      <w:pPr>
        <w:pStyle w:val="37"/>
        <w:rPr>
          <w:rFonts w:asciiTheme="minorHAnsi" w:eastAsiaTheme="minorEastAsia" w:hAnsiTheme="minorHAnsi" w:cstheme="minorBidi"/>
          <w:w w:val="100"/>
          <w:sz w:val="24"/>
          <w:szCs w:val="22"/>
        </w:rPr>
      </w:pPr>
      <w:hyperlink w:anchor="_Toc240446553" w:history="1">
        <w:r w:rsidR="005666DC" w:rsidRPr="0002242D">
          <w:rPr>
            <w:rStyle w:val="af6"/>
            <w:rFonts w:hint="eastAsia"/>
            <w:shd w:val="clear" w:color="auto" w:fill="FFFFFF" w:themeFill="background1"/>
          </w:rPr>
          <w:t>（七）其他（包含交付多個委員會聯席審查）</w:t>
        </w:r>
        <w:r w:rsidR="005666DC" w:rsidRPr="0002242D">
          <w:rPr>
            <w:rStyle w:val="af6"/>
            <w:shd w:val="clear" w:color="auto" w:fill="FFFFFF" w:themeFill="background1"/>
          </w:rPr>
          <w:t>4</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_Toc240446553 \h </w:instrText>
        </w:r>
        <w:r w:rsidR="005666DC">
          <w:rPr>
            <w:webHidden/>
          </w:rPr>
        </w:r>
        <w:r w:rsidR="005666DC">
          <w:rPr>
            <w:webHidden/>
          </w:rPr>
          <w:fldChar w:fldCharType="separate"/>
        </w:r>
        <w:r w:rsidR="005666DC">
          <w:rPr>
            <w:webHidden/>
          </w:rPr>
          <w:t>204</w:t>
        </w:r>
        <w:r w:rsidR="005666DC">
          <w:rPr>
            <w:webHidden/>
          </w:rPr>
          <w:fldChar w:fldCharType="end"/>
        </w:r>
      </w:hyperlink>
    </w:p>
    <w:p w14:paraId="5EEF8F94" w14:textId="4AC8479B" w:rsidR="005666DC" w:rsidRDefault="00C72F63" w:rsidP="005666DC">
      <w:pPr>
        <w:pStyle w:val="37"/>
        <w:rPr>
          <w:rFonts w:asciiTheme="minorHAnsi" w:eastAsiaTheme="minorEastAsia" w:hAnsiTheme="minorHAnsi" w:cstheme="minorBidi"/>
          <w:w w:val="100"/>
          <w:sz w:val="24"/>
          <w:szCs w:val="22"/>
        </w:rPr>
      </w:pPr>
      <w:hyperlink w:anchor="_Toc240446554" w:history="1">
        <w:r w:rsidR="005666DC" w:rsidRPr="0002242D">
          <w:rPr>
            <w:rStyle w:val="af6"/>
            <w:rFonts w:hint="eastAsia"/>
            <w:shd w:val="clear" w:color="auto" w:fill="FFFFFF" w:themeFill="background1"/>
          </w:rPr>
          <w:t>二、作用法</w:t>
        </w:r>
        <w:r w:rsidR="005666DC" w:rsidRPr="0002242D">
          <w:rPr>
            <w:rStyle w:val="af6"/>
            <w:shd w:val="clear" w:color="auto" w:fill="FFFFFF" w:themeFill="background1"/>
          </w:rPr>
          <w:t>574</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_Toc240446554 \h </w:instrText>
        </w:r>
        <w:r w:rsidR="005666DC">
          <w:rPr>
            <w:webHidden/>
          </w:rPr>
        </w:r>
        <w:r w:rsidR="005666DC">
          <w:rPr>
            <w:webHidden/>
          </w:rPr>
          <w:fldChar w:fldCharType="separate"/>
        </w:r>
        <w:r w:rsidR="005666DC">
          <w:rPr>
            <w:webHidden/>
          </w:rPr>
          <w:t>204</w:t>
        </w:r>
        <w:r w:rsidR="005666DC">
          <w:rPr>
            <w:webHidden/>
          </w:rPr>
          <w:fldChar w:fldCharType="end"/>
        </w:r>
      </w:hyperlink>
    </w:p>
    <w:p w14:paraId="27641C19" w14:textId="4611F4A5" w:rsidR="005666DC" w:rsidRDefault="00C72F63" w:rsidP="005666DC">
      <w:pPr>
        <w:pStyle w:val="37"/>
        <w:rPr>
          <w:rFonts w:asciiTheme="minorHAnsi" w:eastAsiaTheme="minorEastAsia" w:hAnsiTheme="minorHAnsi" w:cstheme="minorBidi"/>
          <w:w w:val="100"/>
          <w:sz w:val="24"/>
          <w:szCs w:val="22"/>
        </w:rPr>
      </w:pPr>
      <w:hyperlink w:anchor="_Toc240446555" w:history="1">
        <w:r w:rsidR="005666DC" w:rsidRPr="0002242D">
          <w:rPr>
            <w:rStyle w:val="af6"/>
            <w:rFonts w:hint="eastAsia"/>
            <w:shd w:val="clear" w:color="auto" w:fill="FFFFFF" w:themeFill="background1"/>
          </w:rPr>
          <w:t>（一）行政院</w:t>
        </w:r>
        <w:r w:rsidR="005666DC" w:rsidRPr="0002242D">
          <w:rPr>
            <w:rStyle w:val="af6"/>
            <w:shd w:val="clear" w:color="auto" w:fill="FFFFFF" w:themeFill="background1"/>
          </w:rPr>
          <w:t>395</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_Toc240446555 \h </w:instrText>
        </w:r>
        <w:r w:rsidR="005666DC">
          <w:rPr>
            <w:webHidden/>
          </w:rPr>
        </w:r>
        <w:r w:rsidR="005666DC">
          <w:rPr>
            <w:webHidden/>
          </w:rPr>
          <w:fldChar w:fldCharType="separate"/>
        </w:r>
        <w:r w:rsidR="005666DC">
          <w:rPr>
            <w:webHidden/>
          </w:rPr>
          <w:t>204</w:t>
        </w:r>
        <w:r w:rsidR="005666DC">
          <w:rPr>
            <w:webHidden/>
          </w:rPr>
          <w:fldChar w:fldCharType="end"/>
        </w:r>
      </w:hyperlink>
    </w:p>
    <w:p w14:paraId="4696C42C" w14:textId="02FC08B0" w:rsidR="005666DC" w:rsidRDefault="00C72F63" w:rsidP="005666DC">
      <w:pPr>
        <w:pStyle w:val="37"/>
        <w:rPr>
          <w:rFonts w:asciiTheme="minorHAnsi" w:eastAsiaTheme="minorEastAsia" w:hAnsiTheme="minorHAnsi" w:cstheme="minorBidi"/>
          <w:w w:val="100"/>
          <w:sz w:val="24"/>
          <w:szCs w:val="22"/>
        </w:rPr>
      </w:pPr>
      <w:hyperlink w:anchor="_Toc240446556" w:history="1">
        <w:r w:rsidR="005666DC" w:rsidRPr="0002242D">
          <w:rPr>
            <w:rStyle w:val="af6"/>
            <w:rFonts w:hint="eastAsia"/>
            <w:shd w:val="clear" w:color="auto" w:fill="FFFFFF" w:themeFill="background1"/>
          </w:rPr>
          <w:t>（二）立法院</w:t>
        </w:r>
        <w:r w:rsidR="005666DC" w:rsidRPr="0002242D">
          <w:rPr>
            <w:rStyle w:val="af6"/>
            <w:shd w:val="clear" w:color="auto" w:fill="FFFFFF" w:themeFill="background1"/>
          </w:rPr>
          <w:t>15</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_Toc240446556 \h </w:instrText>
        </w:r>
        <w:r w:rsidR="005666DC">
          <w:rPr>
            <w:webHidden/>
          </w:rPr>
        </w:r>
        <w:r w:rsidR="005666DC">
          <w:rPr>
            <w:webHidden/>
          </w:rPr>
          <w:fldChar w:fldCharType="separate"/>
        </w:r>
        <w:r w:rsidR="005666DC">
          <w:rPr>
            <w:webHidden/>
          </w:rPr>
          <w:t>280</w:t>
        </w:r>
        <w:r w:rsidR="005666DC">
          <w:rPr>
            <w:webHidden/>
          </w:rPr>
          <w:fldChar w:fldCharType="end"/>
        </w:r>
      </w:hyperlink>
    </w:p>
    <w:p w14:paraId="20F0A4B4" w14:textId="1EACD49B" w:rsidR="005666DC" w:rsidRDefault="00C72F63" w:rsidP="005666DC">
      <w:pPr>
        <w:pStyle w:val="37"/>
        <w:rPr>
          <w:rFonts w:asciiTheme="minorHAnsi" w:eastAsiaTheme="minorEastAsia" w:hAnsiTheme="minorHAnsi" w:cstheme="minorBidi"/>
          <w:w w:val="100"/>
          <w:sz w:val="24"/>
          <w:szCs w:val="22"/>
        </w:rPr>
      </w:pPr>
      <w:hyperlink w:anchor="_Toc240446557" w:history="1">
        <w:r w:rsidR="005666DC" w:rsidRPr="0002242D">
          <w:rPr>
            <w:rStyle w:val="af6"/>
            <w:rFonts w:hint="eastAsia"/>
            <w:shd w:val="clear" w:color="auto" w:fill="FFFFFF" w:themeFill="background1"/>
          </w:rPr>
          <w:t>（三）司法院</w:t>
        </w:r>
        <w:r w:rsidR="005666DC" w:rsidRPr="0002242D">
          <w:rPr>
            <w:rStyle w:val="af6"/>
            <w:shd w:val="clear" w:color="auto" w:fill="FFFFFF" w:themeFill="background1"/>
          </w:rPr>
          <w:t>97</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_Toc240446557 \h </w:instrText>
        </w:r>
        <w:r w:rsidR="005666DC">
          <w:rPr>
            <w:webHidden/>
          </w:rPr>
        </w:r>
        <w:r w:rsidR="005666DC">
          <w:rPr>
            <w:webHidden/>
          </w:rPr>
          <w:fldChar w:fldCharType="separate"/>
        </w:r>
        <w:r w:rsidR="005666DC">
          <w:rPr>
            <w:webHidden/>
          </w:rPr>
          <w:t>285</w:t>
        </w:r>
        <w:r w:rsidR="005666DC">
          <w:rPr>
            <w:webHidden/>
          </w:rPr>
          <w:fldChar w:fldCharType="end"/>
        </w:r>
      </w:hyperlink>
    </w:p>
    <w:p w14:paraId="4AEB4344" w14:textId="63A2C4E2" w:rsidR="005666DC" w:rsidRDefault="00C72F63" w:rsidP="005666DC">
      <w:pPr>
        <w:pStyle w:val="37"/>
        <w:rPr>
          <w:rFonts w:asciiTheme="minorHAnsi" w:eastAsiaTheme="minorEastAsia" w:hAnsiTheme="minorHAnsi" w:cstheme="minorBidi"/>
          <w:w w:val="100"/>
          <w:sz w:val="24"/>
          <w:szCs w:val="22"/>
        </w:rPr>
      </w:pPr>
      <w:hyperlink w:anchor="_Toc240446558" w:history="1">
        <w:r w:rsidR="005666DC" w:rsidRPr="0002242D">
          <w:rPr>
            <w:rStyle w:val="af6"/>
            <w:rFonts w:hint="eastAsia"/>
            <w:shd w:val="clear" w:color="auto" w:fill="FFFFFF" w:themeFill="background1"/>
          </w:rPr>
          <w:t>（四）考試院</w:t>
        </w:r>
        <w:r w:rsidR="005666DC" w:rsidRPr="0002242D">
          <w:rPr>
            <w:rStyle w:val="af6"/>
            <w:shd w:val="clear" w:color="auto" w:fill="FFFFFF" w:themeFill="background1"/>
          </w:rPr>
          <w:t>59</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_Toc240446558 \h </w:instrText>
        </w:r>
        <w:r w:rsidR="005666DC">
          <w:rPr>
            <w:webHidden/>
          </w:rPr>
        </w:r>
        <w:r w:rsidR="005666DC">
          <w:rPr>
            <w:webHidden/>
          </w:rPr>
          <w:fldChar w:fldCharType="separate"/>
        </w:r>
        <w:r w:rsidR="005666DC">
          <w:rPr>
            <w:webHidden/>
          </w:rPr>
          <w:t>307</w:t>
        </w:r>
        <w:r w:rsidR="005666DC">
          <w:rPr>
            <w:webHidden/>
          </w:rPr>
          <w:fldChar w:fldCharType="end"/>
        </w:r>
      </w:hyperlink>
    </w:p>
    <w:p w14:paraId="3E80522F" w14:textId="116A8123" w:rsidR="005666DC" w:rsidRDefault="00C72F63" w:rsidP="005666DC">
      <w:pPr>
        <w:pStyle w:val="37"/>
        <w:rPr>
          <w:rFonts w:asciiTheme="minorHAnsi" w:eastAsiaTheme="minorEastAsia" w:hAnsiTheme="minorHAnsi" w:cstheme="minorBidi"/>
          <w:w w:val="100"/>
          <w:sz w:val="24"/>
          <w:szCs w:val="22"/>
        </w:rPr>
      </w:pPr>
      <w:hyperlink w:anchor="_Toc240446559" w:history="1">
        <w:r w:rsidR="005666DC" w:rsidRPr="0002242D">
          <w:rPr>
            <w:rStyle w:val="af6"/>
            <w:rFonts w:hint="eastAsia"/>
            <w:shd w:val="clear" w:color="auto" w:fill="FFFFFF" w:themeFill="background1"/>
          </w:rPr>
          <w:t>（五）監察院</w:t>
        </w:r>
        <w:r w:rsidR="005666DC" w:rsidRPr="0002242D">
          <w:rPr>
            <w:rStyle w:val="af6"/>
            <w:shd w:val="clear" w:color="auto" w:fill="FFFFFF" w:themeFill="background1"/>
          </w:rPr>
          <w:t>4</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_Toc240446559 \h </w:instrText>
        </w:r>
        <w:r w:rsidR="005666DC">
          <w:rPr>
            <w:webHidden/>
          </w:rPr>
        </w:r>
        <w:r w:rsidR="005666DC">
          <w:rPr>
            <w:webHidden/>
          </w:rPr>
          <w:fldChar w:fldCharType="separate"/>
        </w:r>
        <w:r w:rsidR="005666DC">
          <w:rPr>
            <w:webHidden/>
          </w:rPr>
          <w:t>318</w:t>
        </w:r>
        <w:r w:rsidR="005666DC">
          <w:rPr>
            <w:webHidden/>
          </w:rPr>
          <w:fldChar w:fldCharType="end"/>
        </w:r>
      </w:hyperlink>
    </w:p>
    <w:p w14:paraId="5BDD9DAE" w14:textId="14699723" w:rsidR="005666DC" w:rsidRDefault="00C72F63" w:rsidP="005666DC">
      <w:pPr>
        <w:pStyle w:val="37"/>
        <w:rPr>
          <w:rFonts w:asciiTheme="minorHAnsi" w:eastAsiaTheme="minorEastAsia" w:hAnsiTheme="minorHAnsi" w:cstheme="minorBidi"/>
          <w:w w:val="100"/>
          <w:sz w:val="24"/>
          <w:szCs w:val="22"/>
        </w:rPr>
      </w:pPr>
      <w:hyperlink w:anchor="_Toc240446560" w:history="1">
        <w:r w:rsidR="005666DC" w:rsidRPr="0002242D">
          <w:rPr>
            <w:rStyle w:val="af6"/>
            <w:rFonts w:hint="eastAsia"/>
            <w:shd w:val="clear" w:color="auto" w:fill="FFFFFF" w:themeFill="background1"/>
          </w:rPr>
          <w:t>（六）其他（包含交付多個委員會聯席審查）</w:t>
        </w:r>
        <w:r w:rsidR="005666DC" w:rsidRPr="0002242D">
          <w:rPr>
            <w:rStyle w:val="af6"/>
            <w:shd w:val="clear" w:color="auto" w:fill="FFFFFF" w:themeFill="background1"/>
          </w:rPr>
          <w:t>4</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_Toc240446560 \h </w:instrText>
        </w:r>
        <w:r w:rsidR="005666DC">
          <w:rPr>
            <w:webHidden/>
          </w:rPr>
        </w:r>
        <w:r w:rsidR="005666DC">
          <w:rPr>
            <w:webHidden/>
          </w:rPr>
          <w:fldChar w:fldCharType="separate"/>
        </w:r>
        <w:r w:rsidR="005666DC">
          <w:rPr>
            <w:webHidden/>
          </w:rPr>
          <w:t>319</w:t>
        </w:r>
        <w:r w:rsidR="005666DC">
          <w:rPr>
            <w:webHidden/>
          </w:rPr>
          <w:fldChar w:fldCharType="end"/>
        </w:r>
      </w:hyperlink>
    </w:p>
    <w:p w14:paraId="5FF6F66C" w14:textId="38878A36"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61" w:history="1">
        <w:r w:rsidR="005666DC" w:rsidRPr="0002242D">
          <w:rPr>
            <w:rStyle w:val="af6"/>
            <w:rFonts w:hint="eastAsia"/>
          </w:rPr>
          <w:t>〔貳〕預（決）算案</w:t>
        </w:r>
        <w:r w:rsidR="005666DC" w:rsidRPr="0002242D">
          <w:rPr>
            <w:rStyle w:val="af6"/>
          </w:rPr>
          <w:t>132</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_Toc240446561 \h </w:instrText>
        </w:r>
        <w:r w:rsidR="005666DC">
          <w:rPr>
            <w:webHidden/>
          </w:rPr>
        </w:r>
        <w:r w:rsidR="005666DC">
          <w:rPr>
            <w:webHidden/>
          </w:rPr>
          <w:fldChar w:fldCharType="separate"/>
        </w:r>
        <w:r w:rsidR="005666DC">
          <w:rPr>
            <w:webHidden/>
          </w:rPr>
          <w:t>320</w:t>
        </w:r>
        <w:r w:rsidR="005666DC">
          <w:rPr>
            <w:webHidden/>
          </w:rPr>
          <w:fldChar w:fldCharType="end"/>
        </w:r>
      </w:hyperlink>
    </w:p>
    <w:p w14:paraId="205881C0" w14:textId="1F04B972" w:rsidR="005666DC" w:rsidRDefault="00C72F63" w:rsidP="005666DC">
      <w:pPr>
        <w:pStyle w:val="37"/>
        <w:rPr>
          <w:rFonts w:asciiTheme="minorHAnsi" w:eastAsiaTheme="minorEastAsia" w:hAnsiTheme="minorHAnsi" w:cstheme="minorBidi"/>
          <w:w w:val="100"/>
          <w:sz w:val="24"/>
          <w:szCs w:val="22"/>
        </w:rPr>
      </w:pPr>
      <w:hyperlink w:anchor="_Toc240446562" w:history="1">
        <w:r w:rsidR="005666DC" w:rsidRPr="0002242D">
          <w:rPr>
            <w:rStyle w:val="af6"/>
            <w:rFonts w:hint="eastAsia"/>
            <w:shd w:val="clear" w:color="auto" w:fill="FFFFFF" w:themeFill="background1"/>
          </w:rPr>
          <w:t>一、財團法人</w:t>
        </w:r>
        <w:r w:rsidR="005666DC" w:rsidRPr="0002242D">
          <w:rPr>
            <w:rStyle w:val="af6"/>
            <w:shd w:val="clear" w:color="auto" w:fill="FFFFFF" w:themeFill="background1"/>
          </w:rPr>
          <w:t>4</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_Toc240446562 \h </w:instrText>
        </w:r>
        <w:r w:rsidR="005666DC">
          <w:rPr>
            <w:webHidden/>
          </w:rPr>
        </w:r>
        <w:r w:rsidR="005666DC">
          <w:rPr>
            <w:webHidden/>
          </w:rPr>
          <w:fldChar w:fldCharType="separate"/>
        </w:r>
        <w:r w:rsidR="005666DC">
          <w:rPr>
            <w:webHidden/>
          </w:rPr>
          <w:t>320</w:t>
        </w:r>
        <w:r w:rsidR="005666DC">
          <w:rPr>
            <w:webHidden/>
          </w:rPr>
          <w:fldChar w:fldCharType="end"/>
        </w:r>
      </w:hyperlink>
    </w:p>
    <w:p w14:paraId="7E766788" w14:textId="6EDE723E" w:rsidR="005666DC" w:rsidRDefault="00C72F63" w:rsidP="005666DC">
      <w:pPr>
        <w:pStyle w:val="37"/>
        <w:rPr>
          <w:rFonts w:asciiTheme="minorHAnsi" w:eastAsiaTheme="minorEastAsia" w:hAnsiTheme="minorHAnsi" w:cstheme="minorBidi"/>
          <w:w w:val="100"/>
          <w:sz w:val="24"/>
          <w:szCs w:val="22"/>
        </w:rPr>
      </w:pPr>
      <w:hyperlink w:anchor="_Toc240446563" w:history="1">
        <w:r w:rsidR="005666DC" w:rsidRPr="0002242D">
          <w:rPr>
            <w:rStyle w:val="af6"/>
            <w:rFonts w:hint="eastAsia"/>
            <w:shd w:val="clear" w:color="auto" w:fill="FFFFFF" w:themeFill="background1"/>
          </w:rPr>
          <w:t>二、預算凍結案</w:t>
        </w:r>
        <w:r w:rsidR="005666DC" w:rsidRPr="0002242D">
          <w:rPr>
            <w:rStyle w:val="af6"/>
            <w:shd w:val="clear" w:color="auto" w:fill="FFFFFF" w:themeFill="background1"/>
          </w:rPr>
          <w:t>15</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_Toc240446563 \h </w:instrText>
        </w:r>
        <w:r w:rsidR="005666DC">
          <w:rPr>
            <w:webHidden/>
          </w:rPr>
        </w:r>
        <w:r w:rsidR="005666DC">
          <w:rPr>
            <w:webHidden/>
          </w:rPr>
          <w:fldChar w:fldCharType="separate"/>
        </w:r>
        <w:r w:rsidR="005666DC">
          <w:rPr>
            <w:webHidden/>
          </w:rPr>
          <w:t>320</w:t>
        </w:r>
        <w:r w:rsidR="005666DC">
          <w:rPr>
            <w:webHidden/>
          </w:rPr>
          <w:fldChar w:fldCharType="end"/>
        </w:r>
      </w:hyperlink>
    </w:p>
    <w:p w14:paraId="1F6EC2DF" w14:textId="13F4E8A5" w:rsidR="005666DC" w:rsidRDefault="00C72F63" w:rsidP="005666DC">
      <w:pPr>
        <w:pStyle w:val="37"/>
        <w:rPr>
          <w:rFonts w:asciiTheme="minorHAnsi" w:eastAsiaTheme="minorEastAsia" w:hAnsiTheme="minorHAnsi" w:cstheme="minorBidi"/>
          <w:w w:val="100"/>
          <w:sz w:val="24"/>
          <w:szCs w:val="22"/>
        </w:rPr>
      </w:pPr>
      <w:hyperlink w:anchor="_Toc240446564" w:history="1">
        <w:r w:rsidR="005666DC" w:rsidRPr="0002242D">
          <w:rPr>
            <w:rStyle w:val="af6"/>
            <w:rFonts w:hint="eastAsia"/>
            <w:shd w:val="clear" w:color="auto" w:fill="FFFFFF" w:themeFill="background1"/>
          </w:rPr>
          <w:t>（一）行政院</w:t>
        </w:r>
        <w:r w:rsidR="005666DC" w:rsidRPr="0002242D">
          <w:rPr>
            <w:rStyle w:val="af6"/>
            <w:shd w:val="clear" w:color="auto" w:fill="FFFFFF" w:themeFill="background1"/>
          </w:rPr>
          <w:t>7</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_Toc240446564 \h </w:instrText>
        </w:r>
        <w:r w:rsidR="005666DC">
          <w:rPr>
            <w:webHidden/>
          </w:rPr>
        </w:r>
        <w:r w:rsidR="005666DC">
          <w:rPr>
            <w:webHidden/>
          </w:rPr>
          <w:fldChar w:fldCharType="separate"/>
        </w:r>
        <w:r w:rsidR="005666DC">
          <w:rPr>
            <w:webHidden/>
          </w:rPr>
          <w:t>320</w:t>
        </w:r>
        <w:r w:rsidR="005666DC">
          <w:rPr>
            <w:webHidden/>
          </w:rPr>
          <w:fldChar w:fldCharType="end"/>
        </w:r>
      </w:hyperlink>
    </w:p>
    <w:p w14:paraId="77369F3A" w14:textId="3004DEFD" w:rsidR="005666DC" w:rsidRDefault="00C72F63" w:rsidP="005666DC">
      <w:pPr>
        <w:pStyle w:val="37"/>
        <w:rPr>
          <w:rFonts w:asciiTheme="minorHAnsi" w:eastAsiaTheme="minorEastAsia" w:hAnsiTheme="minorHAnsi" w:cstheme="minorBidi"/>
          <w:w w:val="100"/>
          <w:sz w:val="24"/>
          <w:szCs w:val="22"/>
        </w:rPr>
      </w:pPr>
      <w:hyperlink w:anchor="_Toc240446565" w:history="1">
        <w:r w:rsidR="005666DC" w:rsidRPr="0002242D">
          <w:rPr>
            <w:rStyle w:val="af6"/>
            <w:rFonts w:hint="eastAsia"/>
            <w:shd w:val="clear" w:color="auto" w:fill="FFFFFF" w:themeFill="background1"/>
          </w:rPr>
          <w:t>（二）司法院</w:t>
        </w:r>
        <w:r w:rsidR="005666DC" w:rsidRPr="0002242D">
          <w:rPr>
            <w:rStyle w:val="af6"/>
            <w:shd w:val="clear" w:color="auto" w:fill="FFFFFF" w:themeFill="background1"/>
          </w:rPr>
          <w:t>7</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_Toc240446565 \h </w:instrText>
        </w:r>
        <w:r w:rsidR="005666DC">
          <w:rPr>
            <w:webHidden/>
          </w:rPr>
        </w:r>
        <w:r w:rsidR="005666DC">
          <w:rPr>
            <w:webHidden/>
          </w:rPr>
          <w:fldChar w:fldCharType="separate"/>
        </w:r>
        <w:r w:rsidR="005666DC">
          <w:rPr>
            <w:webHidden/>
          </w:rPr>
          <w:t>321</w:t>
        </w:r>
        <w:r w:rsidR="005666DC">
          <w:rPr>
            <w:webHidden/>
          </w:rPr>
          <w:fldChar w:fldCharType="end"/>
        </w:r>
      </w:hyperlink>
    </w:p>
    <w:p w14:paraId="05877972" w14:textId="563B3576" w:rsidR="005666DC" w:rsidRDefault="00C72F63" w:rsidP="005666DC">
      <w:pPr>
        <w:pStyle w:val="37"/>
        <w:rPr>
          <w:rFonts w:asciiTheme="minorHAnsi" w:eastAsiaTheme="minorEastAsia" w:hAnsiTheme="minorHAnsi" w:cstheme="minorBidi"/>
          <w:w w:val="100"/>
          <w:sz w:val="24"/>
          <w:szCs w:val="22"/>
        </w:rPr>
      </w:pPr>
      <w:hyperlink w:anchor="_Toc240446566" w:history="1">
        <w:r w:rsidR="005666DC" w:rsidRPr="0002242D">
          <w:rPr>
            <w:rStyle w:val="af6"/>
            <w:rFonts w:hint="eastAsia"/>
            <w:shd w:val="clear" w:color="auto" w:fill="FFFFFF" w:themeFill="background1"/>
          </w:rPr>
          <w:t>（三）考試院</w:t>
        </w:r>
        <w:r w:rsidR="005666DC" w:rsidRPr="0002242D">
          <w:rPr>
            <w:rStyle w:val="af6"/>
            <w:shd w:val="clear" w:color="auto" w:fill="FFFFFF" w:themeFill="background1"/>
          </w:rPr>
          <w:t>1</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_Toc240446566 \h </w:instrText>
        </w:r>
        <w:r w:rsidR="005666DC">
          <w:rPr>
            <w:webHidden/>
          </w:rPr>
        </w:r>
        <w:r w:rsidR="005666DC">
          <w:rPr>
            <w:webHidden/>
          </w:rPr>
          <w:fldChar w:fldCharType="separate"/>
        </w:r>
        <w:r w:rsidR="005666DC">
          <w:rPr>
            <w:webHidden/>
          </w:rPr>
          <w:t>323</w:t>
        </w:r>
        <w:r w:rsidR="005666DC">
          <w:rPr>
            <w:webHidden/>
          </w:rPr>
          <w:fldChar w:fldCharType="end"/>
        </w:r>
      </w:hyperlink>
    </w:p>
    <w:p w14:paraId="394ACA2E" w14:textId="26909B22" w:rsidR="005666DC" w:rsidRDefault="00C72F63" w:rsidP="005666DC">
      <w:pPr>
        <w:pStyle w:val="37"/>
        <w:rPr>
          <w:rFonts w:asciiTheme="minorHAnsi" w:eastAsiaTheme="minorEastAsia" w:hAnsiTheme="minorHAnsi" w:cstheme="minorBidi"/>
          <w:w w:val="100"/>
          <w:sz w:val="24"/>
          <w:szCs w:val="22"/>
        </w:rPr>
      </w:pPr>
      <w:hyperlink w:anchor="_Toc240446567" w:history="1">
        <w:r w:rsidR="005666DC" w:rsidRPr="0002242D">
          <w:rPr>
            <w:rStyle w:val="af6"/>
            <w:rFonts w:hint="eastAsia"/>
            <w:shd w:val="clear" w:color="auto" w:fill="FFFFFF" w:themeFill="background1"/>
          </w:rPr>
          <w:t>三、其他</w:t>
        </w:r>
        <w:r w:rsidR="005666DC" w:rsidRPr="0002242D">
          <w:rPr>
            <w:rStyle w:val="af6"/>
            <w:shd w:val="clear" w:color="auto" w:fill="FFFFFF" w:themeFill="background1"/>
          </w:rPr>
          <w:t>113</w:t>
        </w:r>
        <w:r w:rsidR="005666DC" w:rsidRPr="0002242D">
          <w:rPr>
            <w:rStyle w:val="af6"/>
            <w:rFonts w:hint="eastAsia"/>
            <w:shd w:val="clear" w:color="auto" w:fill="FFFFFF" w:themeFill="background1"/>
          </w:rPr>
          <w:t>案</w:t>
        </w:r>
        <w:r w:rsidR="005666DC">
          <w:rPr>
            <w:webHidden/>
          </w:rPr>
          <w:tab/>
        </w:r>
        <w:r w:rsidR="005666DC">
          <w:rPr>
            <w:webHidden/>
          </w:rPr>
          <w:fldChar w:fldCharType="begin"/>
        </w:r>
        <w:r w:rsidR="005666DC">
          <w:rPr>
            <w:webHidden/>
          </w:rPr>
          <w:instrText xml:space="preserve"> PAGEREF _Toc240446567 \h </w:instrText>
        </w:r>
        <w:r w:rsidR="005666DC">
          <w:rPr>
            <w:webHidden/>
          </w:rPr>
        </w:r>
        <w:r w:rsidR="005666DC">
          <w:rPr>
            <w:webHidden/>
          </w:rPr>
          <w:fldChar w:fldCharType="separate"/>
        </w:r>
        <w:r w:rsidR="005666DC">
          <w:rPr>
            <w:webHidden/>
          </w:rPr>
          <w:t>324</w:t>
        </w:r>
        <w:r w:rsidR="005666DC">
          <w:rPr>
            <w:webHidden/>
          </w:rPr>
          <w:fldChar w:fldCharType="end"/>
        </w:r>
      </w:hyperlink>
    </w:p>
    <w:p w14:paraId="053B104B" w14:textId="0E3CE13B"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68" w:history="1">
        <w:r w:rsidR="005666DC" w:rsidRPr="0002242D">
          <w:rPr>
            <w:rStyle w:val="af6"/>
            <w:rFonts w:hint="eastAsia"/>
          </w:rPr>
          <w:t>〔參〕行政命令案</w:t>
        </w:r>
        <w:r w:rsidR="005666DC" w:rsidRPr="0002242D">
          <w:rPr>
            <w:rStyle w:val="af6"/>
          </w:rPr>
          <w:t>3</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_Toc240446568 \h </w:instrText>
        </w:r>
        <w:r w:rsidR="005666DC">
          <w:rPr>
            <w:webHidden/>
          </w:rPr>
        </w:r>
        <w:r w:rsidR="005666DC">
          <w:rPr>
            <w:webHidden/>
          </w:rPr>
          <w:fldChar w:fldCharType="separate"/>
        </w:r>
        <w:r w:rsidR="005666DC">
          <w:rPr>
            <w:webHidden/>
          </w:rPr>
          <w:t>337</w:t>
        </w:r>
        <w:r w:rsidR="005666DC">
          <w:rPr>
            <w:webHidden/>
          </w:rPr>
          <w:fldChar w:fldCharType="end"/>
        </w:r>
      </w:hyperlink>
    </w:p>
    <w:p w14:paraId="45ECCEF5" w14:textId="108B0FB4"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69" w:history="1">
        <w:r w:rsidR="005666DC" w:rsidRPr="0002242D">
          <w:rPr>
            <w:rStyle w:val="af6"/>
            <w:rFonts w:hint="eastAsia"/>
          </w:rPr>
          <w:t>〔肆〕立法院內規</w:t>
        </w:r>
        <w:r w:rsidR="005666DC" w:rsidRPr="0002242D">
          <w:rPr>
            <w:rStyle w:val="af6"/>
          </w:rPr>
          <w:t>3</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_Toc240446569 \h </w:instrText>
        </w:r>
        <w:r w:rsidR="005666DC">
          <w:rPr>
            <w:webHidden/>
          </w:rPr>
        </w:r>
        <w:r w:rsidR="005666DC">
          <w:rPr>
            <w:webHidden/>
          </w:rPr>
          <w:fldChar w:fldCharType="separate"/>
        </w:r>
        <w:r w:rsidR="005666DC">
          <w:rPr>
            <w:webHidden/>
          </w:rPr>
          <w:t>337</w:t>
        </w:r>
        <w:r w:rsidR="005666DC">
          <w:rPr>
            <w:webHidden/>
          </w:rPr>
          <w:fldChar w:fldCharType="end"/>
        </w:r>
      </w:hyperlink>
    </w:p>
    <w:p w14:paraId="28CC724F" w14:textId="3B17685D"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70" w:history="1">
        <w:r w:rsidR="005666DC" w:rsidRPr="0002242D">
          <w:rPr>
            <w:rStyle w:val="af6"/>
            <w:rFonts w:hint="eastAsia"/>
          </w:rPr>
          <w:t>〔伍〕其他議案</w:t>
        </w:r>
        <w:r w:rsidR="005666DC" w:rsidRPr="0002242D">
          <w:rPr>
            <w:rStyle w:val="af6"/>
          </w:rPr>
          <w:t>2</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_Toc240446570 \h </w:instrText>
        </w:r>
        <w:r w:rsidR="005666DC">
          <w:rPr>
            <w:webHidden/>
          </w:rPr>
        </w:r>
        <w:r w:rsidR="005666DC">
          <w:rPr>
            <w:webHidden/>
          </w:rPr>
          <w:fldChar w:fldCharType="separate"/>
        </w:r>
        <w:r w:rsidR="005666DC">
          <w:rPr>
            <w:webHidden/>
          </w:rPr>
          <w:t>339</w:t>
        </w:r>
        <w:r w:rsidR="005666DC">
          <w:rPr>
            <w:webHidden/>
          </w:rPr>
          <w:fldChar w:fldCharType="end"/>
        </w:r>
      </w:hyperlink>
    </w:p>
    <w:p w14:paraId="464A0A5B" w14:textId="23DE61B7"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71" w:history="1">
        <w:r w:rsidR="005666DC" w:rsidRPr="0002242D">
          <w:rPr>
            <w:rStyle w:val="af6"/>
            <w:rFonts w:hint="eastAsia"/>
          </w:rPr>
          <w:t>〔陸〕人民請願案</w:t>
        </w:r>
        <w:r w:rsidR="005666DC" w:rsidRPr="0002242D">
          <w:rPr>
            <w:rStyle w:val="af6"/>
          </w:rPr>
          <w:t>5</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_Toc240446571 \h </w:instrText>
        </w:r>
        <w:r w:rsidR="005666DC">
          <w:rPr>
            <w:webHidden/>
          </w:rPr>
        </w:r>
        <w:r w:rsidR="005666DC">
          <w:rPr>
            <w:webHidden/>
          </w:rPr>
          <w:fldChar w:fldCharType="separate"/>
        </w:r>
        <w:r w:rsidR="005666DC">
          <w:rPr>
            <w:webHidden/>
          </w:rPr>
          <w:t>339</w:t>
        </w:r>
        <w:r w:rsidR="005666DC">
          <w:rPr>
            <w:webHidden/>
          </w:rPr>
          <w:fldChar w:fldCharType="end"/>
        </w:r>
      </w:hyperlink>
    </w:p>
    <w:p w14:paraId="217C0DBE" w14:textId="7E979657" w:rsidR="005666DC" w:rsidRDefault="00C72F63">
      <w:pPr>
        <w:pStyle w:val="12"/>
        <w:rPr>
          <w:rFonts w:asciiTheme="minorHAnsi" w:eastAsiaTheme="minorEastAsia" w:hAnsiTheme="minorHAnsi" w:cstheme="minorBidi"/>
          <w:b w:val="0"/>
          <w:kern w:val="2"/>
          <w:sz w:val="24"/>
          <w:szCs w:val="22"/>
          <w:shd w:val="clear" w:color="auto" w:fill="auto"/>
        </w:rPr>
      </w:pPr>
      <w:hyperlink w:anchor="_Toc240446572" w:history="1">
        <w:r w:rsidR="005666DC" w:rsidRPr="0002242D">
          <w:rPr>
            <w:rStyle w:val="af6"/>
            <w:rFonts w:hint="eastAsia"/>
          </w:rPr>
          <w:t>柒、院會逕付二讀議案</w:t>
        </w:r>
        <w:r w:rsidR="005666DC" w:rsidRPr="0002242D">
          <w:rPr>
            <w:rStyle w:val="af6"/>
          </w:rPr>
          <w:t>63</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_Toc240446572 \h </w:instrText>
        </w:r>
        <w:r w:rsidR="005666DC">
          <w:rPr>
            <w:webHidden/>
          </w:rPr>
        </w:r>
        <w:r w:rsidR="005666DC">
          <w:rPr>
            <w:webHidden/>
          </w:rPr>
          <w:fldChar w:fldCharType="separate"/>
        </w:r>
        <w:r w:rsidR="005666DC">
          <w:rPr>
            <w:webHidden/>
          </w:rPr>
          <w:t>341</w:t>
        </w:r>
        <w:r w:rsidR="005666DC">
          <w:rPr>
            <w:webHidden/>
          </w:rPr>
          <w:fldChar w:fldCharType="end"/>
        </w:r>
      </w:hyperlink>
    </w:p>
    <w:p w14:paraId="2F27ECD8" w14:textId="2C1D182C"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73" w:history="1">
        <w:r w:rsidR="005666DC" w:rsidRPr="0002242D">
          <w:rPr>
            <w:rStyle w:val="af6"/>
            <w:rFonts w:hint="eastAsia"/>
          </w:rPr>
          <w:t>［壹］法律案</w:t>
        </w:r>
        <w:r w:rsidR="005666DC" w:rsidRPr="0002242D">
          <w:rPr>
            <w:rStyle w:val="af6"/>
          </w:rPr>
          <w:t>52</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_Toc240446573 \h </w:instrText>
        </w:r>
        <w:r w:rsidR="005666DC">
          <w:rPr>
            <w:webHidden/>
          </w:rPr>
        </w:r>
        <w:r w:rsidR="005666DC">
          <w:rPr>
            <w:webHidden/>
          </w:rPr>
          <w:fldChar w:fldCharType="separate"/>
        </w:r>
        <w:r w:rsidR="005666DC">
          <w:rPr>
            <w:webHidden/>
          </w:rPr>
          <w:t>341</w:t>
        </w:r>
        <w:r w:rsidR="005666DC">
          <w:rPr>
            <w:webHidden/>
          </w:rPr>
          <w:fldChar w:fldCharType="end"/>
        </w:r>
      </w:hyperlink>
    </w:p>
    <w:p w14:paraId="29B5E480" w14:textId="21A391CC" w:rsidR="005666DC" w:rsidRDefault="00C72F63" w:rsidP="005666DC">
      <w:pPr>
        <w:pStyle w:val="37"/>
        <w:rPr>
          <w:rFonts w:asciiTheme="minorHAnsi" w:eastAsiaTheme="minorEastAsia" w:hAnsiTheme="minorHAnsi" w:cstheme="minorBidi"/>
          <w:w w:val="100"/>
          <w:sz w:val="24"/>
          <w:szCs w:val="22"/>
        </w:rPr>
      </w:pPr>
      <w:hyperlink w:anchor="_Toc240446574" w:history="1">
        <w:r w:rsidR="005666DC" w:rsidRPr="0002242D">
          <w:rPr>
            <w:rStyle w:val="af6"/>
            <w:rFonts w:hint="eastAsia"/>
          </w:rPr>
          <w:t>一、組織法</w:t>
        </w:r>
        <w:r w:rsidR="005666DC" w:rsidRPr="0002242D">
          <w:rPr>
            <w:rStyle w:val="af6"/>
          </w:rPr>
          <w:t>30</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_Toc240446574 \h </w:instrText>
        </w:r>
        <w:r w:rsidR="005666DC">
          <w:rPr>
            <w:webHidden/>
          </w:rPr>
        </w:r>
        <w:r w:rsidR="005666DC">
          <w:rPr>
            <w:webHidden/>
          </w:rPr>
          <w:fldChar w:fldCharType="separate"/>
        </w:r>
        <w:r w:rsidR="005666DC">
          <w:rPr>
            <w:webHidden/>
          </w:rPr>
          <w:t>341</w:t>
        </w:r>
        <w:r w:rsidR="005666DC">
          <w:rPr>
            <w:webHidden/>
          </w:rPr>
          <w:fldChar w:fldCharType="end"/>
        </w:r>
      </w:hyperlink>
    </w:p>
    <w:p w14:paraId="420BC7A9" w14:textId="2F34DA0C" w:rsidR="005666DC" w:rsidRDefault="00C72F63" w:rsidP="005666DC">
      <w:pPr>
        <w:pStyle w:val="37"/>
        <w:rPr>
          <w:rFonts w:asciiTheme="minorHAnsi" w:eastAsiaTheme="minorEastAsia" w:hAnsiTheme="minorHAnsi" w:cstheme="minorBidi"/>
          <w:w w:val="100"/>
          <w:sz w:val="24"/>
          <w:szCs w:val="22"/>
        </w:rPr>
      </w:pPr>
      <w:hyperlink w:anchor="_Toc240446575" w:history="1">
        <w:r w:rsidR="005666DC" w:rsidRPr="0002242D">
          <w:rPr>
            <w:rStyle w:val="af6"/>
            <w:rFonts w:hint="eastAsia"/>
          </w:rPr>
          <w:t>二、作用法</w:t>
        </w:r>
        <w:r w:rsidR="005666DC" w:rsidRPr="0002242D">
          <w:rPr>
            <w:rStyle w:val="af6"/>
          </w:rPr>
          <w:t>22</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_Toc240446575 \h </w:instrText>
        </w:r>
        <w:r w:rsidR="005666DC">
          <w:rPr>
            <w:webHidden/>
          </w:rPr>
        </w:r>
        <w:r w:rsidR="005666DC">
          <w:rPr>
            <w:webHidden/>
          </w:rPr>
          <w:fldChar w:fldCharType="separate"/>
        </w:r>
        <w:r w:rsidR="005666DC">
          <w:rPr>
            <w:webHidden/>
          </w:rPr>
          <w:t>346</w:t>
        </w:r>
        <w:r w:rsidR="005666DC">
          <w:rPr>
            <w:webHidden/>
          </w:rPr>
          <w:fldChar w:fldCharType="end"/>
        </w:r>
      </w:hyperlink>
    </w:p>
    <w:p w14:paraId="58F76AF8" w14:textId="0F088F55"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76" w:history="1">
        <w:r w:rsidR="005666DC" w:rsidRPr="0002242D">
          <w:rPr>
            <w:rStyle w:val="af6"/>
            <w:rFonts w:hint="eastAsia"/>
          </w:rPr>
          <w:t>［貳］其他議案</w:t>
        </w:r>
        <w:r w:rsidR="005666DC" w:rsidRPr="0002242D">
          <w:rPr>
            <w:rStyle w:val="af6"/>
          </w:rPr>
          <w:t>10</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_Toc240446576 \h </w:instrText>
        </w:r>
        <w:r w:rsidR="005666DC">
          <w:rPr>
            <w:webHidden/>
          </w:rPr>
        </w:r>
        <w:r w:rsidR="005666DC">
          <w:rPr>
            <w:webHidden/>
          </w:rPr>
          <w:fldChar w:fldCharType="separate"/>
        </w:r>
        <w:r w:rsidR="005666DC">
          <w:rPr>
            <w:webHidden/>
          </w:rPr>
          <w:t>349</w:t>
        </w:r>
        <w:r w:rsidR="005666DC">
          <w:rPr>
            <w:webHidden/>
          </w:rPr>
          <w:fldChar w:fldCharType="end"/>
        </w:r>
      </w:hyperlink>
    </w:p>
    <w:p w14:paraId="26CF9E5C" w14:textId="0C6DDD1D"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77" w:history="1">
        <w:r w:rsidR="005666DC" w:rsidRPr="0002242D">
          <w:rPr>
            <w:rStyle w:val="af6"/>
            <w:rFonts w:hint="eastAsia"/>
          </w:rPr>
          <w:t>［參］立法院內規</w:t>
        </w:r>
        <w:r w:rsidR="005666DC" w:rsidRPr="0002242D">
          <w:rPr>
            <w:rStyle w:val="af6"/>
          </w:rPr>
          <w:t>1</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_Toc240446577 \h </w:instrText>
        </w:r>
        <w:r w:rsidR="005666DC">
          <w:rPr>
            <w:webHidden/>
          </w:rPr>
        </w:r>
        <w:r w:rsidR="005666DC">
          <w:rPr>
            <w:webHidden/>
          </w:rPr>
          <w:fldChar w:fldCharType="separate"/>
        </w:r>
        <w:r w:rsidR="005666DC">
          <w:rPr>
            <w:webHidden/>
          </w:rPr>
          <w:t>355</w:t>
        </w:r>
        <w:r w:rsidR="005666DC">
          <w:rPr>
            <w:webHidden/>
          </w:rPr>
          <w:fldChar w:fldCharType="end"/>
        </w:r>
      </w:hyperlink>
    </w:p>
    <w:p w14:paraId="05FB0957" w14:textId="34A7A341" w:rsidR="005666DC" w:rsidRDefault="00C72F63">
      <w:pPr>
        <w:pStyle w:val="12"/>
        <w:rPr>
          <w:rFonts w:asciiTheme="minorHAnsi" w:eastAsiaTheme="minorEastAsia" w:hAnsiTheme="minorHAnsi" w:cstheme="minorBidi"/>
          <w:b w:val="0"/>
          <w:kern w:val="2"/>
          <w:sz w:val="24"/>
          <w:szCs w:val="22"/>
          <w:shd w:val="clear" w:color="auto" w:fill="auto"/>
        </w:rPr>
      </w:pPr>
      <w:hyperlink w:anchor="_Toc240446578" w:history="1">
        <w:r w:rsidR="005666DC" w:rsidRPr="0002242D">
          <w:rPr>
            <w:rStyle w:val="af6"/>
            <w:rFonts w:hint="eastAsia"/>
            <w:bCs/>
          </w:rPr>
          <w:t>捌、院會撤回或同意改交其他委員會議案</w:t>
        </w:r>
        <w:r w:rsidR="005666DC" w:rsidRPr="0002242D">
          <w:rPr>
            <w:rStyle w:val="af6"/>
            <w:bCs/>
          </w:rPr>
          <w:t>9</w:t>
        </w:r>
        <w:r w:rsidR="005666DC" w:rsidRPr="0002242D">
          <w:rPr>
            <w:rStyle w:val="af6"/>
            <w:rFonts w:hint="eastAsia"/>
            <w:bCs/>
          </w:rPr>
          <w:t>案</w:t>
        </w:r>
        <w:r w:rsidR="005666DC">
          <w:rPr>
            <w:webHidden/>
          </w:rPr>
          <w:tab/>
        </w:r>
        <w:r w:rsidR="005666DC">
          <w:rPr>
            <w:webHidden/>
          </w:rPr>
          <w:fldChar w:fldCharType="begin"/>
        </w:r>
        <w:r w:rsidR="005666DC">
          <w:rPr>
            <w:webHidden/>
          </w:rPr>
          <w:instrText xml:space="preserve"> PAGEREF _Toc240446578 \h </w:instrText>
        </w:r>
        <w:r w:rsidR="005666DC">
          <w:rPr>
            <w:webHidden/>
          </w:rPr>
        </w:r>
        <w:r w:rsidR="005666DC">
          <w:rPr>
            <w:webHidden/>
          </w:rPr>
          <w:fldChar w:fldCharType="separate"/>
        </w:r>
        <w:r w:rsidR="005666DC">
          <w:rPr>
            <w:webHidden/>
          </w:rPr>
          <w:t>356</w:t>
        </w:r>
        <w:r w:rsidR="005666DC">
          <w:rPr>
            <w:webHidden/>
          </w:rPr>
          <w:fldChar w:fldCharType="end"/>
        </w:r>
      </w:hyperlink>
    </w:p>
    <w:p w14:paraId="0AA200E3" w14:textId="5A3291AB"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79" w:history="1">
        <w:r w:rsidR="005666DC" w:rsidRPr="0002242D">
          <w:rPr>
            <w:rStyle w:val="af6"/>
            <w:rFonts w:hint="eastAsia"/>
          </w:rPr>
          <w:t>［壹］院會撤回議案</w:t>
        </w:r>
        <w:r w:rsidR="005666DC" w:rsidRPr="0002242D">
          <w:rPr>
            <w:rStyle w:val="af6"/>
          </w:rPr>
          <w:t>8</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_Toc240446579 \h </w:instrText>
        </w:r>
        <w:r w:rsidR="005666DC">
          <w:rPr>
            <w:webHidden/>
          </w:rPr>
        </w:r>
        <w:r w:rsidR="005666DC">
          <w:rPr>
            <w:webHidden/>
          </w:rPr>
          <w:fldChar w:fldCharType="separate"/>
        </w:r>
        <w:r w:rsidR="005666DC">
          <w:rPr>
            <w:webHidden/>
          </w:rPr>
          <w:t>356</w:t>
        </w:r>
        <w:r w:rsidR="005666DC">
          <w:rPr>
            <w:webHidden/>
          </w:rPr>
          <w:fldChar w:fldCharType="end"/>
        </w:r>
      </w:hyperlink>
    </w:p>
    <w:p w14:paraId="0408B360" w14:textId="4B0CAFF4"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80" w:history="1">
        <w:r w:rsidR="005666DC" w:rsidRPr="0002242D">
          <w:rPr>
            <w:rStyle w:val="af6"/>
            <w:rFonts w:hint="eastAsia"/>
          </w:rPr>
          <w:t>［貳］院會同意改交其他委員會議案</w:t>
        </w:r>
        <w:r w:rsidR="005666DC" w:rsidRPr="0002242D">
          <w:rPr>
            <w:rStyle w:val="af6"/>
          </w:rPr>
          <w:t>1</w:t>
        </w:r>
        <w:r w:rsidR="005666DC" w:rsidRPr="0002242D">
          <w:rPr>
            <w:rStyle w:val="af6"/>
            <w:rFonts w:hint="eastAsia"/>
          </w:rPr>
          <w:t>案</w:t>
        </w:r>
        <w:r w:rsidR="005666DC">
          <w:rPr>
            <w:webHidden/>
          </w:rPr>
          <w:tab/>
        </w:r>
        <w:r w:rsidR="005666DC">
          <w:rPr>
            <w:webHidden/>
          </w:rPr>
          <w:fldChar w:fldCharType="begin"/>
        </w:r>
        <w:r w:rsidR="005666DC">
          <w:rPr>
            <w:webHidden/>
          </w:rPr>
          <w:instrText xml:space="preserve"> PAGEREF _Toc240446580 \h </w:instrText>
        </w:r>
        <w:r w:rsidR="005666DC">
          <w:rPr>
            <w:webHidden/>
          </w:rPr>
        </w:r>
        <w:r w:rsidR="005666DC">
          <w:rPr>
            <w:webHidden/>
          </w:rPr>
          <w:fldChar w:fldCharType="separate"/>
        </w:r>
        <w:r w:rsidR="005666DC">
          <w:rPr>
            <w:webHidden/>
          </w:rPr>
          <w:t>358</w:t>
        </w:r>
        <w:r w:rsidR="005666DC">
          <w:rPr>
            <w:webHidden/>
          </w:rPr>
          <w:fldChar w:fldCharType="end"/>
        </w:r>
      </w:hyperlink>
    </w:p>
    <w:p w14:paraId="5CD6121C" w14:textId="4D2C97FB" w:rsidR="005666DC" w:rsidRDefault="00C72F63">
      <w:pPr>
        <w:pStyle w:val="12"/>
        <w:rPr>
          <w:rFonts w:asciiTheme="minorHAnsi" w:eastAsiaTheme="minorEastAsia" w:hAnsiTheme="minorHAnsi" w:cstheme="minorBidi"/>
          <w:b w:val="0"/>
          <w:kern w:val="2"/>
          <w:sz w:val="24"/>
          <w:szCs w:val="22"/>
          <w:shd w:val="clear" w:color="auto" w:fill="auto"/>
        </w:rPr>
      </w:pPr>
      <w:hyperlink w:anchor="_Toc240446581" w:history="1">
        <w:r w:rsidR="005666DC" w:rsidRPr="0002242D">
          <w:rPr>
            <w:rStyle w:val="af6"/>
            <w:rFonts w:hint="eastAsia"/>
            <w:bCs/>
          </w:rPr>
          <w:t>附錄</w:t>
        </w:r>
        <w:r w:rsidR="005666DC" w:rsidRPr="0002242D">
          <w:rPr>
            <w:rStyle w:val="af6"/>
            <w:rFonts w:hint="eastAsia"/>
          </w:rPr>
          <w:t>［壹］本會期歷次會議議事錄</w:t>
        </w:r>
        <w:r w:rsidR="005666DC">
          <w:rPr>
            <w:webHidden/>
          </w:rPr>
          <w:tab/>
        </w:r>
        <w:r w:rsidR="005666DC">
          <w:rPr>
            <w:webHidden/>
          </w:rPr>
          <w:fldChar w:fldCharType="begin"/>
        </w:r>
        <w:r w:rsidR="005666DC">
          <w:rPr>
            <w:webHidden/>
          </w:rPr>
          <w:instrText xml:space="preserve"> PAGEREF _Toc240446581 \h </w:instrText>
        </w:r>
        <w:r w:rsidR="005666DC">
          <w:rPr>
            <w:webHidden/>
          </w:rPr>
        </w:r>
        <w:r w:rsidR="005666DC">
          <w:rPr>
            <w:webHidden/>
          </w:rPr>
          <w:fldChar w:fldCharType="separate"/>
        </w:r>
        <w:r w:rsidR="005666DC">
          <w:rPr>
            <w:webHidden/>
          </w:rPr>
          <w:t>359</w:t>
        </w:r>
        <w:r w:rsidR="005666DC">
          <w:rPr>
            <w:webHidden/>
          </w:rPr>
          <w:fldChar w:fldCharType="end"/>
        </w:r>
      </w:hyperlink>
    </w:p>
    <w:p w14:paraId="1B81AAC5" w14:textId="2DAF1D47"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82" w:history="1">
        <w:r w:rsidR="005666DC" w:rsidRPr="0002242D">
          <w:rPr>
            <w:rStyle w:val="af6"/>
            <w:rFonts w:hint="eastAsia"/>
            <w:b/>
          </w:rPr>
          <w:t>一、召集委員會議議事錄</w:t>
        </w:r>
        <w:r w:rsidR="005666DC">
          <w:rPr>
            <w:webHidden/>
          </w:rPr>
          <w:tab/>
        </w:r>
        <w:r w:rsidR="005666DC">
          <w:rPr>
            <w:webHidden/>
          </w:rPr>
          <w:fldChar w:fldCharType="begin"/>
        </w:r>
        <w:r w:rsidR="005666DC">
          <w:rPr>
            <w:webHidden/>
          </w:rPr>
          <w:instrText xml:space="preserve"> PAGEREF _Toc240446582 \h </w:instrText>
        </w:r>
        <w:r w:rsidR="005666DC">
          <w:rPr>
            <w:webHidden/>
          </w:rPr>
        </w:r>
        <w:r w:rsidR="005666DC">
          <w:rPr>
            <w:webHidden/>
          </w:rPr>
          <w:fldChar w:fldCharType="separate"/>
        </w:r>
        <w:r w:rsidR="005666DC">
          <w:rPr>
            <w:webHidden/>
          </w:rPr>
          <w:t>359</w:t>
        </w:r>
        <w:r w:rsidR="005666DC">
          <w:rPr>
            <w:webHidden/>
          </w:rPr>
          <w:fldChar w:fldCharType="end"/>
        </w:r>
      </w:hyperlink>
    </w:p>
    <w:p w14:paraId="5880FEF0" w14:textId="0414C155" w:rsidR="005666DC" w:rsidRPr="005666DC" w:rsidRDefault="00C72F63" w:rsidP="005666DC">
      <w:pPr>
        <w:pStyle w:val="37"/>
        <w:rPr>
          <w:rFonts w:asciiTheme="minorHAnsi" w:eastAsiaTheme="minorEastAsia" w:hAnsiTheme="minorHAnsi" w:cstheme="minorBidi"/>
          <w:w w:val="100"/>
          <w:sz w:val="24"/>
          <w:szCs w:val="22"/>
        </w:rPr>
      </w:pPr>
      <w:hyperlink w:anchor="_Toc240446583" w:history="1">
        <w:r w:rsidR="005666DC" w:rsidRPr="005666DC">
          <w:rPr>
            <w:rStyle w:val="af6"/>
            <w:rFonts w:hint="eastAsia"/>
          </w:rPr>
          <w:t>立法院第</w:t>
        </w:r>
        <w:r w:rsidR="005666DC" w:rsidRPr="005666DC">
          <w:rPr>
            <w:rStyle w:val="af6"/>
          </w:rPr>
          <w:t>11</w:t>
        </w:r>
        <w:r w:rsidR="005666DC" w:rsidRPr="005666DC">
          <w:rPr>
            <w:rStyle w:val="af6"/>
            <w:rFonts w:hint="eastAsia"/>
          </w:rPr>
          <w:t>屆第</w:t>
        </w:r>
        <w:r w:rsidR="005666DC" w:rsidRPr="005666DC">
          <w:rPr>
            <w:rStyle w:val="af6"/>
          </w:rPr>
          <w:t>5</w:t>
        </w:r>
        <w:r w:rsidR="005666DC" w:rsidRPr="005666DC">
          <w:rPr>
            <w:rStyle w:val="af6"/>
            <w:rFonts w:hint="eastAsia"/>
          </w:rPr>
          <w:t>會期司法及法制委員會第</w:t>
        </w:r>
        <w:r w:rsidR="005666DC" w:rsidRPr="005666DC">
          <w:rPr>
            <w:rStyle w:val="af6"/>
          </w:rPr>
          <w:t>1</w:t>
        </w:r>
        <w:r w:rsidR="005666DC" w:rsidRPr="005666DC">
          <w:rPr>
            <w:rStyle w:val="af6"/>
            <w:rFonts w:hint="eastAsia"/>
          </w:rPr>
          <w:t>次召集委員會議議事錄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_Toc240446583 \h </w:instrText>
        </w:r>
        <w:r w:rsidR="005666DC" w:rsidRPr="005666DC">
          <w:rPr>
            <w:webHidden/>
          </w:rPr>
        </w:r>
        <w:r w:rsidR="005666DC" w:rsidRPr="005666DC">
          <w:rPr>
            <w:webHidden/>
          </w:rPr>
          <w:fldChar w:fldCharType="separate"/>
        </w:r>
        <w:r w:rsidR="005666DC" w:rsidRPr="005666DC">
          <w:rPr>
            <w:webHidden/>
          </w:rPr>
          <w:t>359</w:t>
        </w:r>
        <w:r w:rsidR="005666DC" w:rsidRPr="005666DC">
          <w:rPr>
            <w:webHidden/>
          </w:rPr>
          <w:fldChar w:fldCharType="end"/>
        </w:r>
      </w:hyperlink>
    </w:p>
    <w:p w14:paraId="67C11FF1" w14:textId="682D197D"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584" w:history="1">
        <w:r w:rsidR="005666DC" w:rsidRPr="0002242D">
          <w:rPr>
            <w:rStyle w:val="af6"/>
            <w:rFonts w:hint="eastAsia"/>
            <w:b/>
          </w:rPr>
          <w:t>二、本會全體委員會議議事錄</w:t>
        </w:r>
        <w:r w:rsidR="005666DC">
          <w:rPr>
            <w:webHidden/>
          </w:rPr>
          <w:tab/>
        </w:r>
        <w:r w:rsidR="005666DC">
          <w:rPr>
            <w:webHidden/>
          </w:rPr>
          <w:fldChar w:fldCharType="begin"/>
        </w:r>
        <w:r w:rsidR="005666DC">
          <w:rPr>
            <w:webHidden/>
          </w:rPr>
          <w:instrText xml:space="preserve"> PAGEREF _Toc240446584 \h </w:instrText>
        </w:r>
        <w:r w:rsidR="005666DC">
          <w:rPr>
            <w:webHidden/>
          </w:rPr>
        </w:r>
        <w:r w:rsidR="005666DC">
          <w:rPr>
            <w:webHidden/>
          </w:rPr>
          <w:fldChar w:fldCharType="separate"/>
        </w:r>
        <w:r w:rsidR="005666DC">
          <w:rPr>
            <w:webHidden/>
          </w:rPr>
          <w:t>365</w:t>
        </w:r>
        <w:r w:rsidR="005666DC">
          <w:rPr>
            <w:webHidden/>
          </w:rPr>
          <w:fldChar w:fldCharType="end"/>
        </w:r>
      </w:hyperlink>
    </w:p>
    <w:p w14:paraId="76F349D2" w14:textId="1C44DDD2" w:rsidR="005666DC" w:rsidRPr="005666DC" w:rsidRDefault="00C72F63" w:rsidP="005666DC">
      <w:pPr>
        <w:pStyle w:val="37"/>
        <w:rPr>
          <w:rFonts w:asciiTheme="minorHAnsi" w:eastAsiaTheme="minorEastAsia" w:hAnsiTheme="minorHAnsi" w:cstheme="minorBidi"/>
          <w:w w:val="100"/>
          <w:sz w:val="24"/>
          <w:szCs w:val="22"/>
        </w:rPr>
      </w:pPr>
      <w:hyperlink w:anchor="_Toc240446585"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1</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_Toc240446585 \h </w:instrText>
        </w:r>
        <w:r w:rsidR="005666DC" w:rsidRPr="005666DC">
          <w:rPr>
            <w:webHidden/>
          </w:rPr>
        </w:r>
        <w:r w:rsidR="005666DC" w:rsidRPr="005666DC">
          <w:rPr>
            <w:webHidden/>
          </w:rPr>
          <w:fldChar w:fldCharType="separate"/>
        </w:r>
        <w:r w:rsidR="005666DC" w:rsidRPr="005666DC">
          <w:rPr>
            <w:webHidden/>
          </w:rPr>
          <w:t>365</w:t>
        </w:r>
        <w:r w:rsidR="005666DC" w:rsidRPr="005666DC">
          <w:rPr>
            <w:webHidden/>
          </w:rPr>
          <w:fldChar w:fldCharType="end"/>
        </w:r>
      </w:hyperlink>
    </w:p>
    <w:p w14:paraId="6E64055B" w14:textId="112D680C" w:rsidR="005666DC" w:rsidRPr="005666DC" w:rsidRDefault="00C72F63" w:rsidP="005666DC">
      <w:pPr>
        <w:pStyle w:val="37"/>
        <w:rPr>
          <w:rFonts w:asciiTheme="minorHAnsi" w:eastAsiaTheme="minorEastAsia" w:hAnsiTheme="minorHAnsi" w:cstheme="minorBidi"/>
          <w:w w:val="100"/>
          <w:sz w:val="24"/>
          <w:szCs w:val="22"/>
        </w:rPr>
      </w:pPr>
      <w:hyperlink w:anchor="_Toc240446586"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2</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_Toc240446586 \h </w:instrText>
        </w:r>
        <w:r w:rsidR="005666DC" w:rsidRPr="005666DC">
          <w:rPr>
            <w:webHidden/>
          </w:rPr>
        </w:r>
        <w:r w:rsidR="005666DC" w:rsidRPr="005666DC">
          <w:rPr>
            <w:webHidden/>
          </w:rPr>
          <w:fldChar w:fldCharType="separate"/>
        </w:r>
        <w:r w:rsidR="005666DC" w:rsidRPr="005666DC">
          <w:rPr>
            <w:webHidden/>
          </w:rPr>
          <w:t>366</w:t>
        </w:r>
        <w:r w:rsidR="005666DC" w:rsidRPr="005666DC">
          <w:rPr>
            <w:webHidden/>
          </w:rPr>
          <w:fldChar w:fldCharType="end"/>
        </w:r>
      </w:hyperlink>
    </w:p>
    <w:p w14:paraId="0E2E6EDF" w14:textId="4E1E0A2C" w:rsidR="005666DC" w:rsidRPr="005666DC" w:rsidRDefault="00C72F63" w:rsidP="005666DC">
      <w:pPr>
        <w:pStyle w:val="37"/>
        <w:rPr>
          <w:rFonts w:asciiTheme="minorHAnsi" w:eastAsiaTheme="minorEastAsia" w:hAnsiTheme="minorHAnsi" w:cstheme="minorBidi"/>
          <w:w w:val="100"/>
          <w:sz w:val="24"/>
          <w:szCs w:val="22"/>
        </w:rPr>
      </w:pPr>
      <w:hyperlink w:anchor="_Toc240446587"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3</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_Toc240446587 \h </w:instrText>
        </w:r>
        <w:r w:rsidR="005666DC" w:rsidRPr="005666DC">
          <w:rPr>
            <w:webHidden/>
          </w:rPr>
        </w:r>
        <w:r w:rsidR="005666DC" w:rsidRPr="005666DC">
          <w:rPr>
            <w:webHidden/>
          </w:rPr>
          <w:fldChar w:fldCharType="separate"/>
        </w:r>
        <w:r w:rsidR="005666DC" w:rsidRPr="005666DC">
          <w:rPr>
            <w:webHidden/>
          </w:rPr>
          <w:t>368</w:t>
        </w:r>
        <w:r w:rsidR="005666DC" w:rsidRPr="005666DC">
          <w:rPr>
            <w:webHidden/>
          </w:rPr>
          <w:fldChar w:fldCharType="end"/>
        </w:r>
      </w:hyperlink>
    </w:p>
    <w:p w14:paraId="26600966" w14:textId="2EA2BD24" w:rsidR="005666DC" w:rsidRPr="005666DC" w:rsidRDefault="00C72F63" w:rsidP="005666DC">
      <w:pPr>
        <w:pStyle w:val="37"/>
        <w:rPr>
          <w:rFonts w:asciiTheme="minorHAnsi" w:eastAsiaTheme="minorEastAsia" w:hAnsiTheme="minorHAnsi" w:cstheme="minorBidi"/>
          <w:w w:val="100"/>
          <w:sz w:val="24"/>
          <w:szCs w:val="22"/>
        </w:rPr>
      </w:pPr>
      <w:hyperlink w:anchor="_Toc240446588"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4</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_Toc240446588 \h </w:instrText>
        </w:r>
        <w:r w:rsidR="005666DC" w:rsidRPr="005666DC">
          <w:rPr>
            <w:webHidden/>
          </w:rPr>
        </w:r>
        <w:r w:rsidR="005666DC" w:rsidRPr="005666DC">
          <w:rPr>
            <w:webHidden/>
          </w:rPr>
          <w:fldChar w:fldCharType="separate"/>
        </w:r>
        <w:r w:rsidR="005666DC" w:rsidRPr="005666DC">
          <w:rPr>
            <w:webHidden/>
          </w:rPr>
          <w:t>369</w:t>
        </w:r>
        <w:r w:rsidR="005666DC" w:rsidRPr="005666DC">
          <w:rPr>
            <w:webHidden/>
          </w:rPr>
          <w:fldChar w:fldCharType="end"/>
        </w:r>
      </w:hyperlink>
    </w:p>
    <w:p w14:paraId="4D556439" w14:textId="70BAFDB5" w:rsidR="005666DC" w:rsidRPr="005666DC" w:rsidRDefault="00C72F63" w:rsidP="005666DC">
      <w:pPr>
        <w:pStyle w:val="37"/>
        <w:rPr>
          <w:rFonts w:asciiTheme="minorHAnsi" w:eastAsiaTheme="minorEastAsia" w:hAnsiTheme="minorHAnsi" w:cstheme="minorBidi"/>
          <w:w w:val="100"/>
          <w:sz w:val="24"/>
          <w:szCs w:val="22"/>
        </w:rPr>
      </w:pPr>
      <w:hyperlink w:anchor="_Toc240446589"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5</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_Toc240446589 \h </w:instrText>
        </w:r>
        <w:r w:rsidR="005666DC" w:rsidRPr="005666DC">
          <w:rPr>
            <w:webHidden/>
          </w:rPr>
        </w:r>
        <w:r w:rsidR="005666DC" w:rsidRPr="005666DC">
          <w:rPr>
            <w:webHidden/>
          </w:rPr>
          <w:fldChar w:fldCharType="separate"/>
        </w:r>
        <w:r w:rsidR="005666DC" w:rsidRPr="005666DC">
          <w:rPr>
            <w:webHidden/>
          </w:rPr>
          <w:t>370</w:t>
        </w:r>
        <w:r w:rsidR="005666DC" w:rsidRPr="005666DC">
          <w:rPr>
            <w:webHidden/>
          </w:rPr>
          <w:fldChar w:fldCharType="end"/>
        </w:r>
      </w:hyperlink>
    </w:p>
    <w:p w14:paraId="5FF2B433" w14:textId="14E36C40" w:rsidR="005666DC" w:rsidRPr="005666DC" w:rsidRDefault="00C72F63" w:rsidP="005666DC">
      <w:pPr>
        <w:pStyle w:val="37"/>
        <w:rPr>
          <w:rFonts w:asciiTheme="minorHAnsi" w:eastAsiaTheme="minorEastAsia" w:hAnsiTheme="minorHAnsi" w:cstheme="minorBidi"/>
          <w:w w:val="100"/>
          <w:sz w:val="24"/>
          <w:szCs w:val="22"/>
        </w:rPr>
      </w:pPr>
      <w:hyperlink w:anchor="_Toc240446590"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6</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_Toc240446590 \h </w:instrText>
        </w:r>
        <w:r w:rsidR="005666DC" w:rsidRPr="005666DC">
          <w:rPr>
            <w:webHidden/>
          </w:rPr>
        </w:r>
        <w:r w:rsidR="005666DC" w:rsidRPr="005666DC">
          <w:rPr>
            <w:webHidden/>
          </w:rPr>
          <w:fldChar w:fldCharType="separate"/>
        </w:r>
        <w:r w:rsidR="005666DC" w:rsidRPr="005666DC">
          <w:rPr>
            <w:webHidden/>
          </w:rPr>
          <w:t>373</w:t>
        </w:r>
        <w:r w:rsidR="005666DC" w:rsidRPr="005666DC">
          <w:rPr>
            <w:webHidden/>
          </w:rPr>
          <w:fldChar w:fldCharType="end"/>
        </w:r>
      </w:hyperlink>
    </w:p>
    <w:p w14:paraId="7CF7EC07" w14:textId="3C19B59C" w:rsidR="005666DC" w:rsidRPr="005666DC" w:rsidRDefault="00C72F63" w:rsidP="005666DC">
      <w:pPr>
        <w:pStyle w:val="37"/>
        <w:rPr>
          <w:rFonts w:asciiTheme="minorHAnsi" w:eastAsiaTheme="minorEastAsia" w:hAnsiTheme="minorHAnsi" w:cstheme="minorBidi"/>
          <w:w w:val="100"/>
          <w:sz w:val="24"/>
          <w:szCs w:val="22"/>
        </w:rPr>
      </w:pPr>
      <w:hyperlink w:anchor="_Toc240446591"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7</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_Toc240446591 \h </w:instrText>
        </w:r>
        <w:r w:rsidR="005666DC" w:rsidRPr="005666DC">
          <w:rPr>
            <w:webHidden/>
          </w:rPr>
        </w:r>
        <w:r w:rsidR="005666DC" w:rsidRPr="005666DC">
          <w:rPr>
            <w:webHidden/>
          </w:rPr>
          <w:fldChar w:fldCharType="separate"/>
        </w:r>
        <w:r w:rsidR="005666DC" w:rsidRPr="005666DC">
          <w:rPr>
            <w:webHidden/>
          </w:rPr>
          <w:t>377</w:t>
        </w:r>
        <w:r w:rsidR="005666DC" w:rsidRPr="005666DC">
          <w:rPr>
            <w:webHidden/>
          </w:rPr>
          <w:fldChar w:fldCharType="end"/>
        </w:r>
      </w:hyperlink>
    </w:p>
    <w:p w14:paraId="4E26D123" w14:textId="1CA8B3A1" w:rsidR="005666DC" w:rsidRPr="005666DC" w:rsidRDefault="00C72F63" w:rsidP="005666DC">
      <w:pPr>
        <w:pStyle w:val="37"/>
        <w:rPr>
          <w:rFonts w:asciiTheme="minorHAnsi" w:eastAsiaTheme="minorEastAsia" w:hAnsiTheme="minorHAnsi" w:cstheme="minorBidi"/>
          <w:w w:val="100"/>
          <w:sz w:val="24"/>
          <w:szCs w:val="22"/>
        </w:rPr>
      </w:pPr>
      <w:hyperlink w:anchor="_Toc240446592"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8</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_Toc240446592 \h </w:instrText>
        </w:r>
        <w:r w:rsidR="005666DC" w:rsidRPr="005666DC">
          <w:rPr>
            <w:webHidden/>
          </w:rPr>
        </w:r>
        <w:r w:rsidR="005666DC" w:rsidRPr="005666DC">
          <w:rPr>
            <w:webHidden/>
          </w:rPr>
          <w:fldChar w:fldCharType="separate"/>
        </w:r>
        <w:r w:rsidR="005666DC" w:rsidRPr="005666DC">
          <w:rPr>
            <w:webHidden/>
          </w:rPr>
          <w:t>378</w:t>
        </w:r>
        <w:r w:rsidR="005666DC" w:rsidRPr="005666DC">
          <w:rPr>
            <w:webHidden/>
          </w:rPr>
          <w:fldChar w:fldCharType="end"/>
        </w:r>
      </w:hyperlink>
    </w:p>
    <w:p w14:paraId="42320AA6" w14:textId="66B5EE7A" w:rsidR="005666DC" w:rsidRPr="005666DC" w:rsidRDefault="00C72F63" w:rsidP="005666DC">
      <w:pPr>
        <w:pStyle w:val="37"/>
        <w:rPr>
          <w:rFonts w:asciiTheme="minorHAnsi" w:eastAsiaTheme="minorEastAsia" w:hAnsiTheme="minorHAnsi" w:cstheme="minorBidi"/>
          <w:w w:val="100"/>
          <w:sz w:val="24"/>
          <w:szCs w:val="22"/>
        </w:rPr>
      </w:pPr>
      <w:hyperlink w:anchor="_Toc240446593"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9</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_Toc240446593 \h </w:instrText>
        </w:r>
        <w:r w:rsidR="005666DC" w:rsidRPr="005666DC">
          <w:rPr>
            <w:webHidden/>
          </w:rPr>
        </w:r>
        <w:r w:rsidR="005666DC" w:rsidRPr="005666DC">
          <w:rPr>
            <w:webHidden/>
          </w:rPr>
          <w:fldChar w:fldCharType="separate"/>
        </w:r>
        <w:r w:rsidR="005666DC" w:rsidRPr="005666DC">
          <w:rPr>
            <w:webHidden/>
          </w:rPr>
          <w:t>381</w:t>
        </w:r>
        <w:r w:rsidR="005666DC" w:rsidRPr="005666DC">
          <w:rPr>
            <w:webHidden/>
          </w:rPr>
          <w:fldChar w:fldCharType="end"/>
        </w:r>
      </w:hyperlink>
    </w:p>
    <w:p w14:paraId="14CF6177" w14:textId="2E138580" w:rsidR="005666DC" w:rsidRPr="005666DC" w:rsidRDefault="00C72F63" w:rsidP="005666DC">
      <w:pPr>
        <w:pStyle w:val="37"/>
        <w:rPr>
          <w:rFonts w:asciiTheme="minorHAnsi" w:eastAsiaTheme="minorEastAsia" w:hAnsiTheme="minorHAnsi" w:cstheme="minorBidi"/>
          <w:w w:val="100"/>
          <w:sz w:val="24"/>
          <w:szCs w:val="22"/>
        </w:rPr>
      </w:pPr>
      <w:hyperlink w:anchor="_Toc240446594"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10</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_Toc240446594 \h </w:instrText>
        </w:r>
        <w:r w:rsidR="005666DC" w:rsidRPr="005666DC">
          <w:rPr>
            <w:webHidden/>
          </w:rPr>
        </w:r>
        <w:r w:rsidR="005666DC" w:rsidRPr="005666DC">
          <w:rPr>
            <w:webHidden/>
          </w:rPr>
          <w:fldChar w:fldCharType="separate"/>
        </w:r>
        <w:r w:rsidR="005666DC" w:rsidRPr="005666DC">
          <w:rPr>
            <w:webHidden/>
          </w:rPr>
          <w:t>382</w:t>
        </w:r>
        <w:r w:rsidR="005666DC" w:rsidRPr="005666DC">
          <w:rPr>
            <w:webHidden/>
          </w:rPr>
          <w:fldChar w:fldCharType="end"/>
        </w:r>
      </w:hyperlink>
    </w:p>
    <w:p w14:paraId="72DADFEE" w14:textId="6AF43FB9" w:rsidR="005666DC" w:rsidRPr="005666DC" w:rsidRDefault="00C72F63" w:rsidP="005666DC">
      <w:pPr>
        <w:pStyle w:val="37"/>
        <w:rPr>
          <w:rFonts w:asciiTheme="minorHAnsi" w:eastAsiaTheme="minorEastAsia" w:hAnsiTheme="minorHAnsi" w:cstheme="minorBidi"/>
          <w:w w:val="100"/>
          <w:sz w:val="24"/>
          <w:szCs w:val="22"/>
        </w:rPr>
      </w:pPr>
      <w:hyperlink w:anchor="_Toc240446595"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11</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_Toc240446595 \h </w:instrText>
        </w:r>
        <w:r w:rsidR="005666DC" w:rsidRPr="005666DC">
          <w:rPr>
            <w:webHidden/>
          </w:rPr>
        </w:r>
        <w:r w:rsidR="005666DC" w:rsidRPr="005666DC">
          <w:rPr>
            <w:webHidden/>
          </w:rPr>
          <w:fldChar w:fldCharType="separate"/>
        </w:r>
        <w:r w:rsidR="005666DC" w:rsidRPr="005666DC">
          <w:rPr>
            <w:webHidden/>
          </w:rPr>
          <w:t>384</w:t>
        </w:r>
        <w:r w:rsidR="005666DC" w:rsidRPr="005666DC">
          <w:rPr>
            <w:webHidden/>
          </w:rPr>
          <w:fldChar w:fldCharType="end"/>
        </w:r>
      </w:hyperlink>
    </w:p>
    <w:p w14:paraId="51CD9529" w14:textId="5CE0C3BA" w:rsidR="005666DC" w:rsidRPr="005666DC" w:rsidRDefault="00C72F63" w:rsidP="005666DC">
      <w:pPr>
        <w:pStyle w:val="37"/>
        <w:rPr>
          <w:rFonts w:asciiTheme="minorHAnsi" w:eastAsiaTheme="minorEastAsia" w:hAnsiTheme="minorHAnsi" w:cstheme="minorBidi"/>
          <w:w w:val="100"/>
          <w:sz w:val="24"/>
          <w:szCs w:val="22"/>
        </w:rPr>
      </w:pPr>
      <w:hyperlink w:anchor="_Toc240446596"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12</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_Toc240446596 \h </w:instrText>
        </w:r>
        <w:r w:rsidR="005666DC" w:rsidRPr="005666DC">
          <w:rPr>
            <w:webHidden/>
          </w:rPr>
        </w:r>
        <w:r w:rsidR="005666DC" w:rsidRPr="005666DC">
          <w:rPr>
            <w:webHidden/>
          </w:rPr>
          <w:fldChar w:fldCharType="separate"/>
        </w:r>
        <w:r w:rsidR="005666DC" w:rsidRPr="005666DC">
          <w:rPr>
            <w:webHidden/>
          </w:rPr>
          <w:t>386</w:t>
        </w:r>
        <w:r w:rsidR="005666DC" w:rsidRPr="005666DC">
          <w:rPr>
            <w:webHidden/>
          </w:rPr>
          <w:fldChar w:fldCharType="end"/>
        </w:r>
      </w:hyperlink>
    </w:p>
    <w:p w14:paraId="56E02EB8" w14:textId="76B6FA44" w:rsidR="005666DC" w:rsidRPr="005666DC" w:rsidRDefault="00C72F63" w:rsidP="005666DC">
      <w:pPr>
        <w:pStyle w:val="37"/>
        <w:rPr>
          <w:rFonts w:asciiTheme="minorHAnsi" w:eastAsiaTheme="minorEastAsia" w:hAnsiTheme="minorHAnsi" w:cstheme="minorBidi"/>
          <w:w w:val="100"/>
          <w:sz w:val="24"/>
          <w:szCs w:val="22"/>
        </w:rPr>
      </w:pPr>
      <w:hyperlink w:anchor="_Toc240446597"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13</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_Toc240446597 \h </w:instrText>
        </w:r>
        <w:r w:rsidR="005666DC" w:rsidRPr="005666DC">
          <w:rPr>
            <w:webHidden/>
          </w:rPr>
        </w:r>
        <w:r w:rsidR="005666DC" w:rsidRPr="005666DC">
          <w:rPr>
            <w:webHidden/>
          </w:rPr>
          <w:fldChar w:fldCharType="separate"/>
        </w:r>
        <w:r w:rsidR="005666DC" w:rsidRPr="005666DC">
          <w:rPr>
            <w:webHidden/>
          </w:rPr>
          <w:t>388</w:t>
        </w:r>
        <w:r w:rsidR="005666DC" w:rsidRPr="005666DC">
          <w:rPr>
            <w:webHidden/>
          </w:rPr>
          <w:fldChar w:fldCharType="end"/>
        </w:r>
      </w:hyperlink>
    </w:p>
    <w:p w14:paraId="716D271A" w14:textId="2B152BA2" w:rsidR="005666DC" w:rsidRPr="005666DC" w:rsidRDefault="00C72F63" w:rsidP="005666DC">
      <w:pPr>
        <w:pStyle w:val="37"/>
        <w:rPr>
          <w:rFonts w:asciiTheme="minorHAnsi" w:eastAsiaTheme="minorEastAsia" w:hAnsiTheme="minorHAnsi" w:cstheme="minorBidi"/>
          <w:w w:val="100"/>
          <w:sz w:val="24"/>
          <w:szCs w:val="22"/>
        </w:rPr>
      </w:pPr>
      <w:hyperlink w:anchor="_Toc240446598"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14</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_Toc240446598 \h </w:instrText>
        </w:r>
        <w:r w:rsidR="005666DC" w:rsidRPr="005666DC">
          <w:rPr>
            <w:webHidden/>
          </w:rPr>
        </w:r>
        <w:r w:rsidR="005666DC" w:rsidRPr="005666DC">
          <w:rPr>
            <w:webHidden/>
          </w:rPr>
          <w:fldChar w:fldCharType="separate"/>
        </w:r>
        <w:r w:rsidR="005666DC" w:rsidRPr="005666DC">
          <w:rPr>
            <w:webHidden/>
          </w:rPr>
          <w:t>390</w:t>
        </w:r>
        <w:r w:rsidR="005666DC" w:rsidRPr="005666DC">
          <w:rPr>
            <w:webHidden/>
          </w:rPr>
          <w:fldChar w:fldCharType="end"/>
        </w:r>
      </w:hyperlink>
    </w:p>
    <w:p w14:paraId="0381FD9F" w14:textId="3DC0490C" w:rsidR="005666DC" w:rsidRPr="005666DC" w:rsidRDefault="00C72F63" w:rsidP="005666DC">
      <w:pPr>
        <w:pStyle w:val="37"/>
        <w:rPr>
          <w:rFonts w:asciiTheme="minorHAnsi" w:eastAsiaTheme="minorEastAsia" w:hAnsiTheme="minorHAnsi" w:cstheme="minorBidi"/>
          <w:w w:val="100"/>
          <w:sz w:val="24"/>
          <w:szCs w:val="22"/>
        </w:rPr>
      </w:pPr>
      <w:hyperlink w:anchor="_Toc240446599"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15</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_Toc240446599 \h </w:instrText>
        </w:r>
        <w:r w:rsidR="005666DC" w:rsidRPr="005666DC">
          <w:rPr>
            <w:webHidden/>
          </w:rPr>
        </w:r>
        <w:r w:rsidR="005666DC" w:rsidRPr="005666DC">
          <w:rPr>
            <w:webHidden/>
          </w:rPr>
          <w:fldChar w:fldCharType="separate"/>
        </w:r>
        <w:r w:rsidR="005666DC" w:rsidRPr="005666DC">
          <w:rPr>
            <w:webHidden/>
          </w:rPr>
          <w:t>465</w:t>
        </w:r>
        <w:r w:rsidR="005666DC" w:rsidRPr="005666DC">
          <w:rPr>
            <w:webHidden/>
          </w:rPr>
          <w:fldChar w:fldCharType="end"/>
        </w:r>
      </w:hyperlink>
    </w:p>
    <w:p w14:paraId="2CEB62E7" w14:textId="60DAB263" w:rsidR="005666DC" w:rsidRPr="005666DC" w:rsidRDefault="00C72F63" w:rsidP="005666DC">
      <w:pPr>
        <w:pStyle w:val="37"/>
        <w:rPr>
          <w:rFonts w:asciiTheme="minorHAnsi" w:eastAsiaTheme="minorEastAsia" w:hAnsiTheme="minorHAnsi" w:cstheme="minorBidi"/>
          <w:w w:val="100"/>
          <w:sz w:val="24"/>
          <w:szCs w:val="22"/>
        </w:rPr>
      </w:pPr>
      <w:hyperlink w:anchor="_Toc240446600"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16</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_Toc240446600 \h </w:instrText>
        </w:r>
        <w:r w:rsidR="005666DC" w:rsidRPr="005666DC">
          <w:rPr>
            <w:webHidden/>
          </w:rPr>
        </w:r>
        <w:r w:rsidR="005666DC" w:rsidRPr="005666DC">
          <w:rPr>
            <w:webHidden/>
          </w:rPr>
          <w:fldChar w:fldCharType="separate"/>
        </w:r>
        <w:r w:rsidR="005666DC" w:rsidRPr="005666DC">
          <w:rPr>
            <w:webHidden/>
          </w:rPr>
          <w:t>545</w:t>
        </w:r>
        <w:r w:rsidR="005666DC" w:rsidRPr="005666DC">
          <w:rPr>
            <w:webHidden/>
          </w:rPr>
          <w:fldChar w:fldCharType="end"/>
        </w:r>
      </w:hyperlink>
    </w:p>
    <w:p w14:paraId="5D3DFCDA" w14:textId="0A9038D8" w:rsidR="005666DC" w:rsidRPr="005666DC" w:rsidRDefault="00C72F63" w:rsidP="005666DC">
      <w:pPr>
        <w:pStyle w:val="37"/>
        <w:rPr>
          <w:rFonts w:asciiTheme="minorHAnsi" w:eastAsiaTheme="minorEastAsia" w:hAnsiTheme="minorHAnsi" w:cstheme="minorBidi"/>
          <w:w w:val="100"/>
          <w:sz w:val="24"/>
          <w:szCs w:val="22"/>
        </w:rPr>
      </w:pPr>
      <w:hyperlink w:anchor="_Toc240446601"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17</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_Toc240446601 \h </w:instrText>
        </w:r>
        <w:r w:rsidR="005666DC" w:rsidRPr="005666DC">
          <w:rPr>
            <w:webHidden/>
          </w:rPr>
        </w:r>
        <w:r w:rsidR="005666DC" w:rsidRPr="005666DC">
          <w:rPr>
            <w:webHidden/>
          </w:rPr>
          <w:fldChar w:fldCharType="separate"/>
        </w:r>
        <w:r w:rsidR="005666DC" w:rsidRPr="005666DC">
          <w:rPr>
            <w:webHidden/>
          </w:rPr>
          <w:t>569</w:t>
        </w:r>
        <w:r w:rsidR="005666DC" w:rsidRPr="005666DC">
          <w:rPr>
            <w:webHidden/>
          </w:rPr>
          <w:fldChar w:fldCharType="end"/>
        </w:r>
      </w:hyperlink>
    </w:p>
    <w:p w14:paraId="2E1A153B" w14:textId="6A370F18" w:rsidR="005666DC" w:rsidRPr="005666DC" w:rsidRDefault="00C72F63" w:rsidP="005666DC">
      <w:pPr>
        <w:pStyle w:val="37"/>
        <w:rPr>
          <w:rFonts w:asciiTheme="minorHAnsi" w:eastAsiaTheme="minorEastAsia" w:hAnsiTheme="minorHAnsi" w:cstheme="minorBidi"/>
          <w:w w:val="100"/>
          <w:sz w:val="24"/>
          <w:szCs w:val="22"/>
        </w:rPr>
      </w:pPr>
      <w:hyperlink w:anchor="_Toc240446602"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18</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_Toc240446602 \h </w:instrText>
        </w:r>
        <w:r w:rsidR="005666DC" w:rsidRPr="005666DC">
          <w:rPr>
            <w:webHidden/>
          </w:rPr>
        </w:r>
        <w:r w:rsidR="005666DC" w:rsidRPr="005666DC">
          <w:rPr>
            <w:webHidden/>
          </w:rPr>
          <w:fldChar w:fldCharType="separate"/>
        </w:r>
        <w:r w:rsidR="005666DC" w:rsidRPr="005666DC">
          <w:rPr>
            <w:webHidden/>
          </w:rPr>
          <w:t>570</w:t>
        </w:r>
        <w:r w:rsidR="005666DC" w:rsidRPr="005666DC">
          <w:rPr>
            <w:webHidden/>
          </w:rPr>
          <w:fldChar w:fldCharType="end"/>
        </w:r>
      </w:hyperlink>
    </w:p>
    <w:p w14:paraId="39AD50B3" w14:textId="1B16A91F" w:rsidR="005666DC" w:rsidRPr="005666DC" w:rsidRDefault="00C72F63" w:rsidP="005666DC">
      <w:pPr>
        <w:pStyle w:val="37"/>
        <w:rPr>
          <w:rFonts w:asciiTheme="minorHAnsi" w:eastAsiaTheme="minorEastAsia" w:hAnsiTheme="minorHAnsi" w:cstheme="minorBidi"/>
          <w:w w:val="100"/>
          <w:sz w:val="24"/>
          <w:szCs w:val="22"/>
        </w:rPr>
      </w:pPr>
      <w:hyperlink w:anchor="_Toc240446603"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19</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_Toc240446603 \h </w:instrText>
        </w:r>
        <w:r w:rsidR="005666DC" w:rsidRPr="005666DC">
          <w:rPr>
            <w:webHidden/>
          </w:rPr>
        </w:r>
        <w:r w:rsidR="005666DC" w:rsidRPr="005666DC">
          <w:rPr>
            <w:webHidden/>
          </w:rPr>
          <w:fldChar w:fldCharType="separate"/>
        </w:r>
        <w:r w:rsidR="005666DC" w:rsidRPr="005666DC">
          <w:rPr>
            <w:webHidden/>
          </w:rPr>
          <w:t>577</w:t>
        </w:r>
        <w:r w:rsidR="005666DC" w:rsidRPr="005666DC">
          <w:rPr>
            <w:webHidden/>
          </w:rPr>
          <w:fldChar w:fldCharType="end"/>
        </w:r>
      </w:hyperlink>
    </w:p>
    <w:p w14:paraId="48FDBBD1" w14:textId="3C030CE5" w:rsidR="005666DC" w:rsidRPr="005666DC" w:rsidRDefault="00C72F63" w:rsidP="005666DC">
      <w:pPr>
        <w:pStyle w:val="37"/>
        <w:rPr>
          <w:rFonts w:asciiTheme="minorHAnsi" w:eastAsiaTheme="minorEastAsia" w:hAnsiTheme="minorHAnsi" w:cstheme="minorBidi"/>
          <w:w w:val="100"/>
          <w:sz w:val="24"/>
          <w:szCs w:val="22"/>
        </w:rPr>
      </w:pPr>
      <w:hyperlink w:anchor="_Toc240446604"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20</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_Toc240446604 \h </w:instrText>
        </w:r>
        <w:r w:rsidR="005666DC" w:rsidRPr="005666DC">
          <w:rPr>
            <w:webHidden/>
          </w:rPr>
        </w:r>
        <w:r w:rsidR="005666DC" w:rsidRPr="005666DC">
          <w:rPr>
            <w:webHidden/>
          </w:rPr>
          <w:fldChar w:fldCharType="separate"/>
        </w:r>
        <w:r w:rsidR="005666DC" w:rsidRPr="005666DC">
          <w:rPr>
            <w:webHidden/>
          </w:rPr>
          <w:t>579</w:t>
        </w:r>
        <w:r w:rsidR="005666DC" w:rsidRPr="005666DC">
          <w:rPr>
            <w:webHidden/>
          </w:rPr>
          <w:fldChar w:fldCharType="end"/>
        </w:r>
      </w:hyperlink>
    </w:p>
    <w:p w14:paraId="491B2421" w14:textId="61D72982" w:rsidR="005666DC" w:rsidRPr="005666DC" w:rsidRDefault="00C72F63" w:rsidP="005666DC">
      <w:pPr>
        <w:pStyle w:val="37"/>
        <w:rPr>
          <w:rFonts w:asciiTheme="minorHAnsi" w:eastAsiaTheme="minorEastAsia" w:hAnsiTheme="minorHAnsi" w:cstheme="minorBidi"/>
          <w:w w:val="100"/>
          <w:sz w:val="24"/>
          <w:szCs w:val="22"/>
        </w:rPr>
      </w:pPr>
      <w:hyperlink w:anchor="_Toc240446605"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21</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_Toc240446605 \h </w:instrText>
        </w:r>
        <w:r w:rsidR="005666DC" w:rsidRPr="005666DC">
          <w:rPr>
            <w:webHidden/>
          </w:rPr>
        </w:r>
        <w:r w:rsidR="005666DC" w:rsidRPr="005666DC">
          <w:rPr>
            <w:webHidden/>
          </w:rPr>
          <w:fldChar w:fldCharType="separate"/>
        </w:r>
        <w:r w:rsidR="005666DC" w:rsidRPr="005666DC">
          <w:rPr>
            <w:webHidden/>
          </w:rPr>
          <w:t>581</w:t>
        </w:r>
        <w:r w:rsidR="005666DC" w:rsidRPr="005666DC">
          <w:rPr>
            <w:webHidden/>
          </w:rPr>
          <w:fldChar w:fldCharType="end"/>
        </w:r>
      </w:hyperlink>
    </w:p>
    <w:p w14:paraId="3145F2B6" w14:textId="30CCCC73" w:rsidR="005666DC" w:rsidRPr="005666DC" w:rsidRDefault="00C72F63" w:rsidP="005666DC">
      <w:pPr>
        <w:pStyle w:val="37"/>
        <w:rPr>
          <w:rFonts w:asciiTheme="minorHAnsi" w:eastAsiaTheme="minorEastAsia" w:hAnsiTheme="minorHAnsi" w:cstheme="minorBidi"/>
          <w:w w:val="100"/>
          <w:sz w:val="24"/>
          <w:szCs w:val="22"/>
        </w:rPr>
      </w:pPr>
      <w:hyperlink w:anchor="_Toc240446606"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22</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_Toc240446606 \h </w:instrText>
        </w:r>
        <w:r w:rsidR="005666DC" w:rsidRPr="005666DC">
          <w:rPr>
            <w:webHidden/>
          </w:rPr>
        </w:r>
        <w:r w:rsidR="005666DC" w:rsidRPr="005666DC">
          <w:rPr>
            <w:webHidden/>
          </w:rPr>
          <w:fldChar w:fldCharType="separate"/>
        </w:r>
        <w:r w:rsidR="005666DC" w:rsidRPr="005666DC">
          <w:rPr>
            <w:webHidden/>
          </w:rPr>
          <w:t>582</w:t>
        </w:r>
        <w:r w:rsidR="005666DC" w:rsidRPr="005666DC">
          <w:rPr>
            <w:webHidden/>
          </w:rPr>
          <w:fldChar w:fldCharType="end"/>
        </w:r>
      </w:hyperlink>
    </w:p>
    <w:p w14:paraId="637CF918" w14:textId="53DB3DCD" w:rsidR="005666DC" w:rsidRPr="005666DC" w:rsidRDefault="00C72F63" w:rsidP="005666DC">
      <w:pPr>
        <w:pStyle w:val="37"/>
        <w:rPr>
          <w:rFonts w:asciiTheme="minorHAnsi" w:eastAsiaTheme="minorEastAsia" w:hAnsiTheme="minorHAnsi" w:cstheme="minorBidi"/>
          <w:w w:val="100"/>
          <w:sz w:val="24"/>
          <w:szCs w:val="22"/>
        </w:rPr>
      </w:pPr>
      <w:hyperlink w:anchor="_Toc240446607"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23</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_Toc240446607 \h </w:instrText>
        </w:r>
        <w:r w:rsidR="005666DC" w:rsidRPr="005666DC">
          <w:rPr>
            <w:webHidden/>
          </w:rPr>
        </w:r>
        <w:r w:rsidR="005666DC" w:rsidRPr="005666DC">
          <w:rPr>
            <w:webHidden/>
          </w:rPr>
          <w:fldChar w:fldCharType="separate"/>
        </w:r>
        <w:r w:rsidR="005666DC" w:rsidRPr="005666DC">
          <w:rPr>
            <w:webHidden/>
          </w:rPr>
          <w:t>584</w:t>
        </w:r>
        <w:r w:rsidR="005666DC" w:rsidRPr="005666DC">
          <w:rPr>
            <w:webHidden/>
          </w:rPr>
          <w:fldChar w:fldCharType="end"/>
        </w:r>
      </w:hyperlink>
    </w:p>
    <w:p w14:paraId="4C6D0AC6" w14:textId="4C06AC51" w:rsidR="005666DC" w:rsidRDefault="00C72F63" w:rsidP="005666DC">
      <w:pPr>
        <w:pStyle w:val="37"/>
        <w:rPr>
          <w:rFonts w:asciiTheme="minorHAnsi" w:eastAsiaTheme="minorEastAsia" w:hAnsiTheme="minorHAnsi" w:cstheme="minorBidi"/>
          <w:w w:val="100"/>
          <w:sz w:val="24"/>
          <w:szCs w:val="22"/>
        </w:rPr>
      </w:pPr>
      <w:hyperlink w:anchor="_Toc240446608"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24</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_Toc240446608 \h </w:instrText>
        </w:r>
        <w:r w:rsidR="005666DC" w:rsidRPr="005666DC">
          <w:rPr>
            <w:webHidden/>
          </w:rPr>
        </w:r>
        <w:r w:rsidR="005666DC" w:rsidRPr="005666DC">
          <w:rPr>
            <w:webHidden/>
          </w:rPr>
          <w:fldChar w:fldCharType="separate"/>
        </w:r>
        <w:r w:rsidR="005666DC" w:rsidRPr="005666DC">
          <w:rPr>
            <w:webHidden/>
          </w:rPr>
          <w:t>585</w:t>
        </w:r>
        <w:r w:rsidR="005666DC" w:rsidRPr="005666DC">
          <w:rPr>
            <w:webHidden/>
          </w:rPr>
          <w:fldChar w:fldCharType="end"/>
        </w:r>
      </w:hyperlink>
    </w:p>
    <w:p w14:paraId="0E432DD7" w14:textId="42B13D4A" w:rsidR="005666DC" w:rsidRPr="005666DC" w:rsidRDefault="00C72F63" w:rsidP="005666DC">
      <w:pPr>
        <w:pStyle w:val="37"/>
        <w:rPr>
          <w:rFonts w:asciiTheme="minorHAnsi" w:eastAsiaTheme="minorEastAsia" w:hAnsiTheme="minorHAnsi" w:cstheme="minorBidi"/>
          <w:w w:val="100"/>
          <w:sz w:val="24"/>
          <w:szCs w:val="22"/>
        </w:rPr>
      </w:pPr>
      <w:hyperlink w:anchor="_Toc240446609"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25</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_Toc240446609 \h </w:instrText>
        </w:r>
        <w:r w:rsidR="005666DC" w:rsidRPr="005666DC">
          <w:rPr>
            <w:webHidden/>
          </w:rPr>
        </w:r>
        <w:r w:rsidR="005666DC" w:rsidRPr="005666DC">
          <w:rPr>
            <w:webHidden/>
          </w:rPr>
          <w:fldChar w:fldCharType="separate"/>
        </w:r>
        <w:r w:rsidR="005666DC" w:rsidRPr="005666DC">
          <w:rPr>
            <w:webHidden/>
          </w:rPr>
          <w:t>587</w:t>
        </w:r>
        <w:r w:rsidR="005666DC" w:rsidRPr="005666DC">
          <w:rPr>
            <w:webHidden/>
          </w:rPr>
          <w:fldChar w:fldCharType="end"/>
        </w:r>
      </w:hyperlink>
    </w:p>
    <w:p w14:paraId="424257C3" w14:textId="4C41C935" w:rsidR="005666DC" w:rsidRPr="005666DC" w:rsidRDefault="00C72F63" w:rsidP="005666DC">
      <w:pPr>
        <w:pStyle w:val="37"/>
        <w:rPr>
          <w:rFonts w:asciiTheme="minorHAnsi" w:eastAsiaTheme="minorEastAsia" w:hAnsiTheme="minorHAnsi" w:cstheme="minorBidi"/>
          <w:w w:val="100"/>
          <w:sz w:val="24"/>
          <w:szCs w:val="22"/>
        </w:rPr>
      </w:pPr>
      <w:hyperlink w:anchor="_Toc240446610"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26</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_Toc240446610 \h </w:instrText>
        </w:r>
        <w:r w:rsidR="005666DC" w:rsidRPr="005666DC">
          <w:rPr>
            <w:webHidden/>
          </w:rPr>
        </w:r>
        <w:r w:rsidR="005666DC" w:rsidRPr="005666DC">
          <w:rPr>
            <w:webHidden/>
          </w:rPr>
          <w:fldChar w:fldCharType="separate"/>
        </w:r>
        <w:r w:rsidR="005666DC" w:rsidRPr="005666DC">
          <w:rPr>
            <w:webHidden/>
          </w:rPr>
          <w:t>590</w:t>
        </w:r>
        <w:r w:rsidR="005666DC" w:rsidRPr="005666DC">
          <w:rPr>
            <w:webHidden/>
          </w:rPr>
          <w:fldChar w:fldCharType="end"/>
        </w:r>
      </w:hyperlink>
    </w:p>
    <w:p w14:paraId="062DB8B2" w14:textId="60EC70F4" w:rsidR="005666DC" w:rsidRPr="005666DC" w:rsidRDefault="00C72F63" w:rsidP="005666DC">
      <w:pPr>
        <w:pStyle w:val="37"/>
        <w:rPr>
          <w:rFonts w:asciiTheme="minorHAnsi" w:eastAsiaTheme="minorEastAsia" w:hAnsiTheme="minorHAnsi" w:cstheme="minorBidi"/>
          <w:w w:val="100"/>
          <w:sz w:val="24"/>
          <w:szCs w:val="22"/>
        </w:rPr>
      </w:pPr>
      <w:hyperlink w:anchor="_Toc240446611"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27</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_Toc240446611 \h </w:instrText>
        </w:r>
        <w:r w:rsidR="005666DC" w:rsidRPr="005666DC">
          <w:rPr>
            <w:webHidden/>
          </w:rPr>
        </w:r>
        <w:r w:rsidR="005666DC" w:rsidRPr="005666DC">
          <w:rPr>
            <w:webHidden/>
          </w:rPr>
          <w:fldChar w:fldCharType="separate"/>
        </w:r>
        <w:r w:rsidR="005666DC" w:rsidRPr="005666DC">
          <w:rPr>
            <w:webHidden/>
          </w:rPr>
          <w:t>596</w:t>
        </w:r>
        <w:r w:rsidR="005666DC" w:rsidRPr="005666DC">
          <w:rPr>
            <w:webHidden/>
          </w:rPr>
          <w:fldChar w:fldCharType="end"/>
        </w:r>
      </w:hyperlink>
    </w:p>
    <w:p w14:paraId="23134AE0" w14:textId="6D3C7257" w:rsidR="005666DC" w:rsidRPr="005666DC" w:rsidRDefault="00C72F63" w:rsidP="005666DC">
      <w:pPr>
        <w:pStyle w:val="37"/>
        <w:rPr>
          <w:rFonts w:asciiTheme="minorHAnsi" w:eastAsiaTheme="minorEastAsia" w:hAnsiTheme="minorHAnsi" w:cstheme="minorBidi"/>
          <w:w w:val="100"/>
          <w:sz w:val="24"/>
          <w:szCs w:val="22"/>
        </w:rPr>
      </w:pPr>
      <w:hyperlink w:anchor="_Toc240446612"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28</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_Toc240446612 \h </w:instrText>
        </w:r>
        <w:r w:rsidR="005666DC" w:rsidRPr="005666DC">
          <w:rPr>
            <w:webHidden/>
          </w:rPr>
        </w:r>
        <w:r w:rsidR="005666DC" w:rsidRPr="005666DC">
          <w:rPr>
            <w:webHidden/>
          </w:rPr>
          <w:fldChar w:fldCharType="separate"/>
        </w:r>
        <w:r w:rsidR="005666DC" w:rsidRPr="005666DC">
          <w:rPr>
            <w:webHidden/>
          </w:rPr>
          <w:t>599</w:t>
        </w:r>
        <w:r w:rsidR="005666DC" w:rsidRPr="005666DC">
          <w:rPr>
            <w:webHidden/>
          </w:rPr>
          <w:fldChar w:fldCharType="end"/>
        </w:r>
      </w:hyperlink>
    </w:p>
    <w:p w14:paraId="362C2E6B" w14:textId="520E92E6" w:rsidR="005666DC" w:rsidRDefault="00C72F63" w:rsidP="005666DC">
      <w:pPr>
        <w:pStyle w:val="37"/>
        <w:rPr>
          <w:rFonts w:asciiTheme="minorHAnsi" w:eastAsiaTheme="minorEastAsia" w:hAnsiTheme="minorHAnsi" w:cstheme="minorBidi"/>
          <w:w w:val="100"/>
          <w:sz w:val="24"/>
          <w:szCs w:val="22"/>
        </w:rPr>
      </w:pPr>
      <w:hyperlink w:anchor="_Toc240446613" w:history="1">
        <w:r w:rsidR="005666DC" w:rsidRPr="005666DC">
          <w:rPr>
            <w:rStyle w:val="af6"/>
            <w:rFonts w:hint="eastAsia"/>
            <w:spacing w:val="-2"/>
          </w:rPr>
          <w:t>立法院第</w:t>
        </w:r>
        <w:r w:rsidR="005666DC" w:rsidRPr="005666DC">
          <w:rPr>
            <w:rStyle w:val="af6"/>
            <w:spacing w:val="-2"/>
          </w:rPr>
          <w:t>11</w:t>
        </w:r>
        <w:r w:rsidR="005666DC" w:rsidRPr="005666DC">
          <w:rPr>
            <w:rStyle w:val="af6"/>
            <w:rFonts w:hint="eastAsia"/>
            <w:spacing w:val="-2"/>
          </w:rPr>
          <w:t>屆第</w:t>
        </w:r>
        <w:r w:rsidR="005666DC" w:rsidRPr="005666DC">
          <w:rPr>
            <w:rStyle w:val="af6"/>
            <w:spacing w:val="-2"/>
          </w:rPr>
          <w:t>5</w:t>
        </w:r>
        <w:r w:rsidR="005666DC" w:rsidRPr="005666DC">
          <w:rPr>
            <w:rStyle w:val="af6"/>
            <w:rFonts w:hint="eastAsia"/>
            <w:spacing w:val="-2"/>
          </w:rPr>
          <w:t>會期司法及法制委員會第</w:t>
        </w:r>
        <w:r w:rsidR="005666DC" w:rsidRPr="005666DC">
          <w:rPr>
            <w:rStyle w:val="af6"/>
            <w:spacing w:val="-2"/>
          </w:rPr>
          <w:t>29</w:t>
        </w:r>
        <w:r w:rsidR="005666DC" w:rsidRPr="005666DC">
          <w:rPr>
            <w:rStyle w:val="af6"/>
            <w:rFonts w:hint="eastAsia"/>
            <w:spacing w:val="-2"/>
          </w:rPr>
          <w:t>次全體委員會議議事錄</w:t>
        </w:r>
        <w:r w:rsidR="005666DC" w:rsidRPr="005666DC">
          <w:rPr>
            <w:webHidden/>
          </w:rPr>
          <w:tab/>
        </w:r>
        <w:r w:rsidR="005666DC" w:rsidRPr="005666DC">
          <w:rPr>
            <w:webHidden/>
          </w:rPr>
          <w:fldChar w:fldCharType="begin"/>
        </w:r>
        <w:r w:rsidR="005666DC" w:rsidRPr="005666DC">
          <w:rPr>
            <w:webHidden/>
          </w:rPr>
          <w:instrText xml:space="preserve"> PAGEREF _Toc240446613 \h </w:instrText>
        </w:r>
        <w:r w:rsidR="005666DC" w:rsidRPr="005666DC">
          <w:rPr>
            <w:webHidden/>
          </w:rPr>
        </w:r>
        <w:r w:rsidR="005666DC" w:rsidRPr="005666DC">
          <w:rPr>
            <w:webHidden/>
          </w:rPr>
          <w:fldChar w:fldCharType="separate"/>
        </w:r>
        <w:r w:rsidR="005666DC" w:rsidRPr="005666DC">
          <w:rPr>
            <w:webHidden/>
          </w:rPr>
          <w:t>601</w:t>
        </w:r>
        <w:r w:rsidR="005666DC" w:rsidRPr="005666DC">
          <w:rPr>
            <w:webHidden/>
          </w:rPr>
          <w:fldChar w:fldCharType="end"/>
        </w:r>
      </w:hyperlink>
    </w:p>
    <w:p w14:paraId="57FD9DCE" w14:textId="6C5318E8" w:rsidR="005666DC" w:rsidRDefault="00C72F63">
      <w:pPr>
        <w:pStyle w:val="26"/>
        <w:rPr>
          <w:rFonts w:asciiTheme="minorHAnsi" w:eastAsiaTheme="minorEastAsia" w:hAnsiTheme="minorHAnsi" w:cstheme="minorBidi"/>
          <w:bCs w:val="0"/>
          <w:iCs w:val="0"/>
          <w:sz w:val="24"/>
          <w:szCs w:val="22"/>
          <w:shd w:val="clear" w:color="auto" w:fill="auto"/>
        </w:rPr>
      </w:pPr>
      <w:hyperlink w:anchor="_Toc240446614" w:history="1">
        <w:r w:rsidR="005666DC" w:rsidRPr="0002242D">
          <w:rPr>
            <w:rStyle w:val="af6"/>
            <w:rFonts w:hint="eastAsia"/>
            <w:b/>
          </w:rPr>
          <w:t>三、本會聯席委員會議議事錄</w:t>
        </w:r>
        <w:r w:rsidR="005666DC">
          <w:rPr>
            <w:webHidden/>
          </w:rPr>
          <w:tab/>
        </w:r>
        <w:r w:rsidR="005666DC">
          <w:rPr>
            <w:webHidden/>
          </w:rPr>
          <w:fldChar w:fldCharType="begin"/>
        </w:r>
        <w:r w:rsidR="005666DC">
          <w:rPr>
            <w:webHidden/>
          </w:rPr>
          <w:instrText xml:space="preserve"> PAGEREF _Toc240446614 \h </w:instrText>
        </w:r>
        <w:r w:rsidR="005666DC">
          <w:rPr>
            <w:webHidden/>
          </w:rPr>
        </w:r>
        <w:r w:rsidR="005666DC">
          <w:rPr>
            <w:webHidden/>
          </w:rPr>
          <w:fldChar w:fldCharType="separate"/>
        </w:r>
        <w:r w:rsidR="005666DC">
          <w:rPr>
            <w:webHidden/>
          </w:rPr>
          <w:t>603</w:t>
        </w:r>
        <w:r w:rsidR="005666DC">
          <w:rPr>
            <w:webHidden/>
          </w:rPr>
          <w:fldChar w:fldCharType="end"/>
        </w:r>
      </w:hyperlink>
    </w:p>
    <w:p w14:paraId="379BC6FF" w14:textId="78022EDE" w:rsidR="005666DC" w:rsidRPr="005666DC" w:rsidRDefault="00C72F63" w:rsidP="005666DC">
      <w:pPr>
        <w:pStyle w:val="37"/>
        <w:rPr>
          <w:rFonts w:asciiTheme="minorHAnsi" w:eastAsiaTheme="minorEastAsia" w:hAnsiTheme="minorHAnsi" w:cstheme="minorBidi"/>
          <w:w w:val="100"/>
          <w:sz w:val="24"/>
          <w:szCs w:val="22"/>
        </w:rPr>
      </w:pPr>
      <w:hyperlink w:anchor="_Toc240446615" w:history="1">
        <w:r w:rsidR="005666DC" w:rsidRPr="005666DC">
          <w:rPr>
            <w:rStyle w:val="af6"/>
            <w:rFonts w:hint="eastAsia"/>
            <w:spacing w:val="-18"/>
            <w:kern w:val="0"/>
          </w:rPr>
          <w:t>立法院第</w:t>
        </w:r>
        <w:r w:rsidR="005666DC" w:rsidRPr="005666DC">
          <w:rPr>
            <w:rStyle w:val="af6"/>
            <w:spacing w:val="-18"/>
            <w:kern w:val="0"/>
          </w:rPr>
          <w:t>11</w:t>
        </w:r>
        <w:r w:rsidR="005666DC" w:rsidRPr="005666DC">
          <w:rPr>
            <w:rStyle w:val="af6"/>
            <w:rFonts w:hint="eastAsia"/>
            <w:spacing w:val="-18"/>
            <w:kern w:val="0"/>
          </w:rPr>
          <w:t>屆</w:t>
        </w:r>
        <w:r w:rsidR="005666DC" w:rsidRPr="005666DC">
          <w:rPr>
            <w:rStyle w:val="af6"/>
            <w:rFonts w:hint="eastAsia"/>
          </w:rPr>
          <w:t>第</w:t>
        </w:r>
        <w:r w:rsidR="005666DC" w:rsidRPr="005666DC">
          <w:rPr>
            <w:rStyle w:val="af6"/>
          </w:rPr>
          <w:t>5</w:t>
        </w:r>
        <w:r w:rsidR="005666DC" w:rsidRPr="005666DC">
          <w:rPr>
            <w:rStyle w:val="af6"/>
            <w:rFonts w:hint="eastAsia"/>
          </w:rPr>
          <w:t>會期司法及法制、內政委員會第</w:t>
        </w:r>
        <w:r w:rsidR="005666DC" w:rsidRPr="005666DC">
          <w:rPr>
            <w:rStyle w:val="af6"/>
          </w:rPr>
          <w:t>1</w:t>
        </w:r>
        <w:r w:rsidR="005666DC" w:rsidRPr="005666DC">
          <w:rPr>
            <w:rStyle w:val="af6"/>
            <w:rFonts w:hint="eastAsia"/>
          </w:rPr>
          <w:t>次聯席會議議事錄</w:t>
        </w:r>
        <w:r w:rsidR="005666DC" w:rsidRPr="005666DC">
          <w:rPr>
            <w:webHidden/>
          </w:rPr>
          <w:tab/>
        </w:r>
        <w:r w:rsidR="005666DC" w:rsidRPr="005666DC">
          <w:rPr>
            <w:webHidden/>
          </w:rPr>
          <w:fldChar w:fldCharType="begin"/>
        </w:r>
        <w:r w:rsidR="005666DC" w:rsidRPr="005666DC">
          <w:rPr>
            <w:webHidden/>
          </w:rPr>
          <w:instrText xml:space="preserve"> PAGEREF _Toc240446615 \h </w:instrText>
        </w:r>
        <w:r w:rsidR="005666DC" w:rsidRPr="005666DC">
          <w:rPr>
            <w:webHidden/>
          </w:rPr>
        </w:r>
        <w:r w:rsidR="005666DC" w:rsidRPr="005666DC">
          <w:rPr>
            <w:webHidden/>
          </w:rPr>
          <w:fldChar w:fldCharType="separate"/>
        </w:r>
        <w:r w:rsidR="005666DC" w:rsidRPr="005666DC">
          <w:rPr>
            <w:webHidden/>
          </w:rPr>
          <w:t>603</w:t>
        </w:r>
        <w:r w:rsidR="005666DC" w:rsidRPr="005666DC">
          <w:rPr>
            <w:webHidden/>
          </w:rPr>
          <w:fldChar w:fldCharType="end"/>
        </w:r>
      </w:hyperlink>
    </w:p>
    <w:p w14:paraId="6E2DF256" w14:textId="4995921D" w:rsidR="005666DC" w:rsidRPr="005666DC" w:rsidRDefault="00C72F63" w:rsidP="005666DC">
      <w:pPr>
        <w:pStyle w:val="37"/>
        <w:rPr>
          <w:rFonts w:asciiTheme="minorHAnsi" w:eastAsiaTheme="minorEastAsia" w:hAnsiTheme="minorHAnsi" w:cstheme="minorBidi"/>
          <w:w w:val="100"/>
          <w:sz w:val="24"/>
          <w:szCs w:val="22"/>
        </w:rPr>
      </w:pPr>
      <w:hyperlink w:anchor="_Toc240446616" w:history="1">
        <w:r w:rsidR="005666DC" w:rsidRPr="005666DC">
          <w:rPr>
            <w:rStyle w:val="af6"/>
            <w:rFonts w:hint="eastAsia"/>
            <w:spacing w:val="-2"/>
            <w:w w:val="90"/>
          </w:rPr>
          <w:t>立法院第</w:t>
        </w:r>
        <w:r w:rsidR="005666DC" w:rsidRPr="005666DC">
          <w:rPr>
            <w:rStyle w:val="af6"/>
            <w:spacing w:val="-2"/>
            <w:w w:val="90"/>
          </w:rPr>
          <w:t>11</w:t>
        </w:r>
        <w:r w:rsidR="005666DC" w:rsidRPr="005666DC">
          <w:rPr>
            <w:rStyle w:val="af6"/>
            <w:rFonts w:hint="eastAsia"/>
            <w:spacing w:val="-2"/>
            <w:w w:val="90"/>
          </w:rPr>
          <w:t>屆</w:t>
        </w:r>
        <w:r w:rsidR="005666DC" w:rsidRPr="005666DC">
          <w:rPr>
            <w:rStyle w:val="af6"/>
            <w:rFonts w:hint="eastAsia"/>
            <w:kern w:val="0"/>
          </w:rPr>
          <w:t>第</w:t>
        </w:r>
        <w:r w:rsidR="005666DC" w:rsidRPr="005666DC">
          <w:rPr>
            <w:rStyle w:val="af6"/>
            <w:kern w:val="0"/>
          </w:rPr>
          <w:t>5</w:t>
        </w:r>
        <w:r w:rsidR="005666DC" w:rsidRPr="005666DC">
          <w:rPr>
            <w:rStyle w:val="af6"/>
            <w:rFonts w:hint="eastAsia"/>
            <w:kern w:val="0"/>
          </w:rPr>
          <w:t>會期司法及法制、內政委員會第</w:t>
        </w:r>
        <w:r w:rsidR="005666DC" w:rsidRPr="005666DC">
          <w:rPr>
            <w:rStyle w:val="af6"/>
            <w:kern w:val="0"/>
          </w:rPr>
          <w:t>2</w:t>
        </w:r>
        <w:r w:rsidR="005666DC" w:rsidRPr="005666DC">
          <w:rPr>
            <w:rStyle w:val="af6"/>
            <w:rFonts w:hint="eastAsia"/>
            <w:kern w:val="0"/>
          </w:rPr>
          <w:t>次聯席會議議事錄</w:t>
        </w:r>
        <w:r w:rsidR="005666DC" w:rsidRPr="005666DC">
          <w:rPr>
            <w:webHidden/>
          </w:rPr>
          <w:tab/>
        </w:r>
        <w:r w:rsidR="005666DC" w:rsidRPr="005666DC">
          <w:rPr>
            <w:webHidden/>
          </w:rPr>
          <w:fldChar w:fldCharType="begin"/>
        </w:r>
        <w:r w:rsidR="005666DC" w:rsidRPr="005666DC">
          <w:rPr>
            <w:webHidden/>
          </w:rPr>
          <w:instrText xml:space="preserve"> PAGEREF _Toc240446616 \h </w:instrText>
        </w:r>
        <w:r w:rsidR="005666DC" w:rsidRPr="005666DC">
          <w:rPr>
            <w:webHidden/>
          </w:rPr>
        </w:r>
        <w:r w:rsidR="005666DC" w:rsidRPr="005666DC">
          <w:rPr>
            <w:webHidden/>
          </w:rPr>
          <w:fldChar w:fldCharType="separate"/>
        </w:r>
        <w:r w:rsidR="005666DC" w:rsidRPr="005666DC">
          <w:rPr>
            <w:webHidden/>
          </w:rPr>
          <w:t>604</w:t>
        </w:r>
        <w:r w:rsidR="005666DC" w:rsidRPr="005666DC">
          <w:rPr>
            <w:webHidden/>
          </w:rPr>
          <w:fldChar w:fldCharType="end"/>
        </w:r>
      </w:hyperlink>
    </w:p>
    <w:p w14:paraId="73B6B4F1" w14:textId="377D7964" w:rsidR="005666DC" w:rsidRDefault="00C72F63" w:rsidP="005666DC">
      <w:pPr>
        <w:pStyle w:val="37"/>
        <w:rPr>
          <w:rFonts w:asciiTheme="minorHAnsi" w:eastAsiaTheme="minorEastAsia" w:hAnsiTheme="minorHAnsi" w:cstheme="minorBidi"/>
          <w:w w:val="100"/>
          <w:sz w:val="24"/>
          <w:szCs w:val="22"/>
        </w:rPr>
      </w:pPr>
      <w:hyperlink w:anchor="_Toc240446617" w:history="1">
        <w:r w:rsidR="005666DC" w:rsidRPr="005666DC">
          <w:rPr>
            <w:rStyle w:val="af6"/>
            <w:rFonts w:hint="eastAsia"/>
            <w:spacing w:val="-20"/>
          </w:rPr>
          <w:t>立法院第</w:t>
        </w:r>
        <w:r w:rsidR="005666DC" w:rsidRPr="005666DC">
          <w:rPr>
            <w:rStyle w:val="af6"/>
            <w:spacing w:val="-20"/>
          </w:rPr>
          <w:t>11</w:t>
        </w:r>
        <w:r w:rsidR="005666DC" w:rsidRPr="005666DC">
          <w:rPr>
            <w:rStyle w:val="af6"/>
            <w:rFonts w:hint="eastAsia"/>
            <w:spacing w:val="-20"/>
          </w:rPr>
          <w:t>屆</w:t>
        </w:r>
        <w:r w:rsidR="005666DC" w:rsidRPr="005666DC">
          <w:rPr>
            <w:rStyle w:val="af6"/>
            <w:rFonts w:hint="eastAsia"/>
            <w:spacing w:val="-20"/>
            <w:w w:val="90"/>
          </w:rPr>
          <w:t>第</w:t>
        </w:r>
        <w:r w:rsidR="005666DC" w:rsidRPr="005666DC">
          <w:rPr>
            <w:rStyle w:val="af6"/>
            <w:spacing w:val="-20"/>
            <w:w w:val="90"/>
          </w:rPr>
          <w:t>5</w:t>
        </w:r>
        <w:r w:rsidR="005666DC" w:rsidRPr="005666DC">
          <w:rPr>
            <w:rStyle w:val="af6"/>
            <w:rFonts w:hint="eastAsia"/>
            <w:spacing w:val="-20"/>
            <w:w w:val="90"/>
          </w:rPr>
          <w:t>會期司法及法制、外交及國防委員會第</w:t>
        </w:r>
        <w:r w:rsidR="005666DC" w:rsidRPr="005666DC">
          <w:rPr>
            <w:rStyle w:val="af6"/>
            <w:spacing w:val="-20"/>
            <w:w w:val="90"/>
          </w:rPr>
          <w:t>1</w:t>
        </w:r>
        <w:r w:rsidR="005666DC" w:rsidRPr="005666DC">
          <w:rPr>
            <w:rStyle w:val="af6"/>
            <w:rFonts w:hint="eastAsia"/>
            <w:spacing w:val="-20"/>
            <w:w w:val="90"/>
          </w:rPr>
          <w:t>次聯席會議議事錄</w:t>
        </w:r>
        <w:r w:rsidR="005666DC" w:rsidRPr="005666DC">
          <w:rPr>
            <w:webHidden/>
          </w:rPr>
          <w:tab/>
        </w:r>
        <w:r w:rsidR="005666DC" w:rsidRPr="005666DC">
          <w:rPr>
            <w:webHidden/>
          </w:rPr>
          <w:fldChar w:fldCharType="begin"/>
        </w:r>
        <w:r w:rsidR="005666DC" w:rsidRPr="005666DC">
          <w:rPr>
            <w:webHidden/>
          </w:rPr>
          <w:instrText xml:space="preserve"> PAGEREF _Toc240446617 \h </w:instrText>
        </w:r>
        <w:r w:rsidR="005666DC" w:rsidRPr="005666DC">
          <w:rPr>
            <w:webHidden/>
          </w:rPr>
        </w:r>
        <w:r w:rsidR="005666DC" w:rsidRPr="005666DC">
          <w:rPr>
            <w:webHidden/>
          </w:rPr>
          <w:fldChar w:fldCharType="separate"/>
        </w:r>
        <w:r w:rsidR="005666DC" w:rsidRPr="005666DC">
          <w:rPr>
            <w:webHidden/>
          </w:rPr>
          <w:t>606</w:t>
        </w:r>
        <w:r w:rsidR="005666DC" w:rsidRPr="005666DC">
          <w:rPr>
            <w:webHidden/>
          </w:rPr>
          <w:fldChar w:fldCharType="end"/>
        </w:r>
      </w:hyperlink>
    </w:p>
    <w:p w14:paraId="43486A60" w14:textId="56A7A300" w:rsidR="005666DC" w:rsidRDefault="00C72F63">
      <w:pPr>
        <w:pStyle w:val="12"/>
        <w:rPr>
          <w:rFonts w:asciiTheme="minorHAnsi" w:eastAsiaTheme="minorEastAsia" w:hAnsiTheme="minorHAnsi" w:cstheme="minorBidi"/>
          <w:b w:val="0"/>
          <w:kern w:val="2"/>
          <w:sz w:val="24"/>
          <w:szCs w:val="22"/>
          <w:shd w:val="clear" w:color="auto" w:fill="auto"/>
        </w:rPr>
      </w:pPr>
      <w:hyperlink w:anchor="_Toc240446618" w:history="1">
        <w:r w:rsidR="005666DC" w:rsidRPr="0002242D">
          <w:rPr>
            <w:rStyle w:val="af6"/>
            <w:rFonts w:hint="eastAsia"/>
            <w:bCs/>
          </w:rPr>
          <w:t>附錄［貳］本會期考察</w:t>
        </w:r>
        <w:r w:rsidR="005666DC" w:rsidRPr="0002242D">
          <w:rPr>
            <w:rStyle w:val="af6"/>
            <w:bCs/>
          </w:rPr>
          <w:t>(</w:t>
        </w:r>
        <w:r w:rsidR="005666DC" w:rsidRPr="0002242D">
          <w:rPr>
            <w:rStyle w:val="af6"/>
            <w:rFonts w:hint="eastAsia"/>
            <w:bCs/>
          </w:rPr>
          <w:t>參訪</w:t>
        </w:r>
        <w:r w:rsidR="005666DC" w:rsidRPr="0002242D">
          <w:rPr>
            <w:rStyle w:val="af6"/>
            <w:bCs/>
          </w:rPr>
          <w:t>)</w:t>
        </w:r>
        <w:r w:rsidR="005666DC" w:rsidRPr="0002242D">
          <w:rPr>
            <w:rStyle w:val="af6"/>
            <w:rFonts w:hint="eastAsia"/>
            <w:bCs/>
          </w:rPr>
          <w:t>活動紀錄</w:t>
        </w:r>
        <w:r w:rsidR="005666DC">
          <w:rPr>
            <w:webHidden/>
          </w:rPr>
          <w:tab/>
        </w:r>
        <w:r w:rsidR="005666DC">
          <w:rPr>
            <w:webHidden/>
          </w:rPr>
          <w:fldChar w:fldCharType="begin"/>
        </w:r>
        <w:r w:rsidR="005666DC">
          <w:rPr>
            <w:webHidden/>
          </w:rPr>
          <w:instrText xml:space="preserve"> PAGEREF _Toc240446618 \h </w:instrText>
        </w:r>
        <w:r w:rsidR="005666DC">
          <w:rPr>
            <w:webHidden/>
          </w:rPr>
        </w:r>
        <w:r w:rsidR="005666DC">
          <w:rPr>
            <w:webHidden/>
          </w:rPr>
          <w:fldChar w:fldCharType="separate"/>
        </w:r>
        <w:r w:rsidR="005666DC">
          <w:rPr>
            <w:webHidden/>
          </w:rPr>
          <w:t>610</w:t>
        </w:r>
        <w:r w:rsidR="005666DC">
          <w:rPr>
            <w:webHidden/>
          </w:rPr>
          <w:fldChar w:fldCharType="end"/>
        </w:r>
      </w:hyperlink>
    </w:p>
    <w:p w14:paraId="7B96EB4A" w14:textId="4C25C336" w:rsidR="00584080" w:rsidRPr="001B6E4D" w:rsidRDefault="00081D3B" w:rsidP="003D1018">
      <w:pPr>
        <w:overflowPunct w:val="0"/>
        <w:spacing w:before="20" w:after="20"/>
        <w:outlineLvl w:val="0"/>
        <w:rPr>
          <w:rFonts w:ascii="標楷體" w:eastAsia="標楷體" w:hAnsi="標楷體"/>
          <w:b/>
          <w:noProof/>
          <w:color w:val="000000" w:themeColor="text1"/>
          <w:sz w:val="28"/>
          <w:szCs w:val="28"/>
          <w:shd w:val="clear" w:color="auto" w:fill="FFFFFF" w:themeFill="background1"/>
        </w:rPr>
        <w:sectPr w:rsidR="00584080" w:rsidRPr="001B6E4D" w:rsidSect="003F3571">
          <w:pgSz w:w="11906" w:h="16838"/>
          <w:pgMar w:top="1440" w:right="1133" w:bottom="1440" w:left="1800" w:header="851" w:footer="992" w:gutter="0"/>
          <w:pgNumType w:fmt="upperRoman" w:start="1"/>
          <w:cols w:space="425"/>
          <w:docGrid w:type="lines" w:linePitch="360"/>
        </w:sectPr>
      </w:pPr>
      <w:r w:rsidRPr="001B6E4D">
        <w:rPr>
          <w:rFonts w:ascii="標楷體" w:eastAsia="標楷體" w:hAnsi="標楷體"/>
          <w:noProof/>
          <w:color w:val="000000" w:themeColor="text1"/>
          <w:spacing w:val="160"/>
          <w:kern w:val="52"/>
          <w:sz w:val="28"/>
          <w:szCs w:val="28"/>
          <w:shd w:val="clear" w:color="auto" w:fill="FFFFFF" w:themeFill="background1"/>
        </w:rPr>
        <w:fldChar w:fldCharType="end"/>
      </w:r>
    </w:p>
    <w:p w14:paraId="30CA7165" w14:textId="35E89BA5" w:rsidR="0078100D" w:rsidRPr="001B6E4D" w:rsidRDefault="0078100D" w:rsidP="003D1018">
      <w:pPr>
        <w:overflowPunct w:val="0"/>
        <w:outlineLvl w:val="0"/>
        <w:rPr>
          <w:rFonts w:ascii="標楷體" w:eastAsia="標楷體" w:hAnsi="標楷體"/>
          <w:b/>
          <w:bCs/>
          <w:color w:val="000000" w:themeColor="text1"/>
          <w:kern w:val="52"/>
          <w:sz w:val="28"/>
          <w:szCs w:val="28"/>
          <w:shd w:val="clear" w:color="auto" w:fill="FFFFFF" w:themeFill="background1"/>
        </w:rPr>
      </w:pPr>
      <w:bookmarkStart w:id="8" w:name="_Toc240446496"/>
      <w:bookmarkEnd w:id="7"/>
      <w:r w:rsidRPr="001B6E4D">
        <w:rPr>
          <w:rFonts w:ascii="標楷體" w:eastAsia="標楷體" w:hAnsi="標楷體"/>
          <w:b/>
          <w:bCs/>
          <w:color w:val="000000" w:themeColor="text1"/>
          <w:kern w:val="52"/>
          <w:sz w:val="28"/>
          <w:szCs w:val="28"/>
          <w:shd w:val="clear" w:color="auto" w:fill="FFFFFF" w:themeFill="background1"/>
        </w:rPr>
        <w:lastRenderedPageBreak/>
        <w:t>壹、組織及業務簡介</w:t>
      </w:r>
      <w:bookmarkEnd w:id="8"/>
    </w:p>
    <w:p w14:paraId="616D04CF" w14:textId="77777777" w:rsidR="0078100D" w:rsidRPr="001B6E4D" w:rsidRDefault="0078100D"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9" w:name="_一、本會期本會委員名單"/>
      <w:bookmarkStart w:id="10" w:name="_Toc240446497"/>
      <w:bookmarkStart w:id="11" w:name="_Toc42531545"/>
      <w:bookmarkStart w:id="12" w:name="_Toc163381671"/>
      <w:bookmarkStart w:id="13" w:name="_Toc163899071"/>
      <w:bookmarkStart w:id="14" w:name="_Toc167872432"/>
      <w:bookmarkStart w:id="15" w:name="_Toc169687161"/>
      <w:bookmarkStart w:id="16" w:name="_Toc510167614"/>
      <w:bookmarkStart w:id="17" w:name="_Toc1401018"/>
      <w:bookmarkEnd w:id="9"/>
      <w:r w:rsidRPr="001B6E4D">
        <w:rPr>
          <w:rFonts w:ascii="標楷體" w:hAnsi="標楷體"/>
          <w:color w:val="000000" w:themeColor="text1"/>
          <w:szCs w:val="28"/>
          <w:shd w:val="clear" w:color="auto" w:fill="FFFFFF" w:themeFill="background1"/>
        </w:rPr>
        <w:t>一、</w:t>
      </w:r>
      <w:r w:rsidRPr="001B6E4D">
        <w:rPr>
          <w:rFonts w:ascii="標楷體" w:hAnsi="標楷體" w:hint="eastAsia"/>
          <w:color w:val="000000" w:themeColor="text1"/>
          <w:szCs w:val="28"/>
          <w:shd w:val="clear" w:color="auto" w:fill="FFFFFF" w:themeFill="background1"/>
        </w:rPr>
        <w:t>組織</w:t>
      </w:r>
      <w:bookmarkEnd w:id="10"/>
    </w:p>
    <w:p w14:paraId="2E5E603A" w14:textId="77777777" w:rsidR="0078100D" w:rsidRPr="001B6E4D" w:rsidRDefault="0078100D" w:rsidP="003D1018">
      <w:pPr>
        <w:keepNext/>
        <w:overflowPunct w:val="0"/>
        <w:spacing w:line="500" w:lineRule="exact"/>
        <w:ind w:leftChars="178" w:left="1191" w:hangingChars="273" w:hanging="764"/>
        <w:jc w:val="both"/>
        <w:outlineLvl w:val="2"/>
        <w:rPr>
          <w:rFonts w:ascii="標楷體" w:eastAsia="標楷體" w:hAnsi="標楷體"/>
          <w:bCs/>
          <w:color w:val="000000" w:themeColor="text1"/>
          <w:sz w:val="28"/>
          <w:szCs w:val="28"/>
          <w:shd w:val="clear" w:color="auto" w:fill="FFFFFF" w:themeFill="background1"/>
        </w:rPr>
      </w:pPr>
      <w:bookmarkStart w:id="18" w:name="_Toc240446498"/>
      <w:r w:rsidRPr="001B6E4D">
        <w:rPr>
          <w:rFonts w:ascii="標楷體" w:eastAsia="標楷體" w:hAnsi="標楷體" w:hint="eastAsia"/>
          <w:bCs/>
          <w:color w:val="000000" w:themeColor="text1"/>
          <w:sz w:val="28"/>
          <w:szCs w:val="28"/>
          <w:shd w:val="clear" w:color="auto" w:fill="FFFFFF" w:themeFill="background1"/>
        </w:rPr>
        <w:t>(一)</w:t>
      </w:r>
      <w:r w:rsidRPr="001B6E4D">
        <w:rPr>
          <w:rFonts w:ascii="標楷體" w:eastAsia="標楷體" w:hAnsi="標楷體"/>
          <w:bCs/>
          <w:color w:val="000000" w:themeColor="text1"/>
          <w:sz w:val="28"/>
          <w:szCs w:val="28"/>
          <w:shd w:val="clear" w:color="auto" w:fill="FFFFFF" w:themeFill="background1"/>
        </w:rPr>
        <w:t>本會期本會委員</w:t>
      </w:r>
      <w:bookmarkEnd w:id="18"/>
    </w:p>
    <w:p w14:paraId="7AB6CAC5" w14:textId="344BB315" w:rsidR="003E3C25" w:rsidRPr="001B6E4D" w:rsidRDefault="0044788D" w:rsidP="003D1018">
      <w:pPr>
        <w:overflowPunct w:val="0"/>
        <w:snapToGrid w:val="0"/>
        <w:spacing w:line="500" w:lineRule="exact"/>
        <w:ind w:leftChars="414" w:left="1134" w:rightChars="-59" w:right="-142" w:hangingChars="50" w:hanging="140"/>
        <w:jc w:val="both"/>
        <w:rPr>
          <w:rFonts w:ascii="標楷體" w:eastAsia="標楷體" w:hAnsi="標楷體"/>
          <w:sz w:val="28"/>
          <w:szCs w:val="28"/>
        </w:rPr>
      </w:pPr>
      <w:r w:rsidRPr="001B6E4D">
        <w:rPr>
          <w:rFonts w:ascii="標楷體" w:eastAsia="標楷體" w:hAnsi="標楷體" w:hint="eastAsia"/>
          <w:sz w:val="28"/>
          <w:szCs w:val="28"/>
        </w:rPr>
        <w:t>江啟臣</w:t>
      </w:r>
      <w:r w:rsidRPr="001B6E4D">
        <w:rPr>
          <w:rFonts w:ascii="標楷體" w:eastAsia="標楷體" w:hAnsi="標楷體" w:hint="eastAsia"/>
          <w:color w:val="000000" w:themeColor="text1"/>
          <w:sz w:val="28"/>
          <w:szCs w:val="28"/>
        </w:rPr>
        <w:t>、</w:t>
      </w:r>
      <w:r w:rsidR="003E3C25" w:rsidRPr="001B6E4D">
        <w:rPr>
          <w:rFonts w:ascii="標楷體" w:eastAsia="標楷體" w:hAnsi="標楷體" w:hint="eastAsia"/>
          <w:sz w:val="28"/>
          <w:szCs w:val="28"/>
        </w:rPr>
        <w:t>傅崐萁</w:t>
      </w:r>
      <w:r w:rsidRPr="001B6E4D">
        <w:rPr>
          <w:rFonts w:ascii="標楷體" w:eastAsia="標楷體" w:hAnsi="標楷體" w:hint="eastAsia"/>
          <w:sz w:val="28"/>
          <w:szCs w:val="28"/>
        </w:rPr>
        <w:t>、翁曉玲</w:t>
      </w:r>
      <w:r w:rsidRPr="001B6E4D">
        <w:rPr>
          <w:rFonts w:ascii="標楷體" w:eastAsia="標楷體" w:hAnsi="標楷體"/>
          <w:color w:val="000000" w:themeColor="text1"/>
          <w:sz w:val="28"/>
          <w:szCs w:val="28"/>
        </w:rPr>
        <w:t>、</w:t>
      </w:r>
      <w:r w:rsidRPr="001B6E4D">
        <w:rPr>
          <w:rFonts w:ascii="標楷體" w:eastAsia="標楷體" w:hAnsi="標楷體" w:hint="eastAsia"/>
          <w:sz w:val="28"/>
          <w:szCs w:val="28"/>
        </w:rPr>
        <w:t>吳宗憲</w:t>
      </w:r>
      <w:r w:rsidRPr="001B6E4D">
        <w:rPr>
          <w:rFonts w:ascii="標楷體" w:eastAsia="標楷體" w:hAnsi="標楷體"/>
          <w:color w:val="000000" w:themeColor="text1"/>
          <w:sz w:val="28"/>
          <w:szCs w:val="28"/>
        </w:rPr>
        <w:t>、</w:t>
      </w:r>
      <w:r w:rsidRPr="001B6E4D">
        <w:rPr>
          <w:rFonts w:ascii="標楷體" w:eastAsia="標楷體" w:hAnsi="標楷體" w:hint="eastAsia"/>
          <w:sz w:val="28"/>
          <w:szCs w:val="28"/>
        </w:rPr>
        <w:t>林倩綺、林沛祥</w:t>
      </w:r>
      <w:r w:rsidR="004C6853" w:rsidRPr="001B6E4D">
        <w:rPr>
          <w:rFonts w:ascii="標楷體" w:eastAsia="標楷體" w:hAnsi="標楷體" w:hint="eastAsia"/>
          <w:color w:val="000000" w:themeColor="text1"/>
          <w:sz w:val="28"/>
          <w:szCs w:val="28"/>
        </w:rPr>
        <w:t>、</w:t>
      </w:r>
      <w:r w:rsidRPr="001B6E4D">
        <w:rPr>
          <w:rFonts w:ascii="標楷體" w:eastAsia="標楷體" w:hAnsi="標楷體" w:hint="eastAsia"/>
          <w:sz w:val="28"/>
          <w:szCs w:val="28"/>
        </w:rPr>
        <w:t>許宇甄</w:t>
      </w:r>
      <w:r w:rsidRPr="001B6E4D">
        <w:rPr>
          <w:rFonts w:ascii="標楷體" w:eastAsia="標楷體" w:hAnsi="標楷體" w:hint="eastAsia"/>
          <w:color w:val="000000" w:themeColor="text1"/>
          <w:sz w:val="28"/>
          <w:szCs w:val="28"/>
          <w:shd w:val="clear" w:color="auto" w:fill="FFFFFF" w:themeFill="background1"/>
        </w:rPr>
        <w:t>、</w:t>
      </w:r>
    </w:p>
    <w:p w14:paraId="308D2B79" w14:textId="6091CF8C" w:rsidR="006D5E6C" w:rsidRPr="001B6E4D" w:rsidRDefault="0044788D" w:rsidP="003D1018">
      <w:pPr>
        <w:overflowPunct w:val="0"/>
        <w:snapToGrid w:val="0"/>
        <w:spacing w:line="500" w:lineRule="exact"/>
        <w:ind w:leftChars="414" w:left="1134" w:rightChars="-59" w:right="-142" w:hangingChars="50" w:hanging="14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柯建銘</w:t>
      </w:r>
      <w:r w:rsidRPr="001B6E4D">
        <w:rPr>
          <w:rFonts w:ascii="標楷體" w:eastAsia="標楷體" w:hAnsi="標楷體" w:hint="eastAsia"/>
          <w:sz w:val="28"/>
          <w:szCs w:val="28"/>
        </w:rPr>
        <w:t>、莊瑞雄、蔡其昌</w:t>
      </w:r>
      <w:r w:rsidR="003E3C25" w:rsidRPr="001B6E4D">
        <w:rPr>
          <w:rFonts w:ascii="標楷體" w:eastAsia="標楷體" w:hAnsi="標楷體" w:hint="eastAsia"/>
          <w:sz w:val="28"/>
          <w:szCs w:val="28"/>
        </w:rPr>
        <w:t>、</w:t>
      </w:r>
      <w:r w:rsidRPr="001B6E4D">
        <w:rPr>
          <w:rFonts w:ascii="標楷體" w:eastAsia="標楷體" w:hAnsi="標楷體" w:hint="eastAsia"/>
          <w:sz w:val="28"/>
          <w:szCs w:val="28"/>
        </w:rPr>
        <w:t>沈發惠</w:t>
      </w:r>
      <w:r w:rsidR="003E3C25"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雲、張雅琳、陳昭姿</w:t>
      </w:r>
    </w:p>
    <w:p w14:paraId="1C99CE8F" w14:textId="62D63291" w:rsidR="0078100D" w:rsidRPr="001B6E4D" w:rsidRDefault="0078100D" w:rsidP="003D1018">
      <w:pPr>
        <w:keepNext/>
        <w:overflowPunct w:val="0"/>
        <w:spacing w:line="500" w:lineRule="exact"/>
        <w:ind w:leftChars="178" w:left="1191" w:hangingChars="273" w:hanging="764"/>
        <w:jc w:val="both"/>
        <w:outlineLvl w:val="2"/>
        <w:rPr>
          <w:rFonts w:ascii="標楷體" w:eastAsia="標楷體" w:hAnsi="標楷體"/>
          <w:color w:val="000000" w:themeColor="text1"/>
          <w:sz w:val="28"/>
          <w:szCs w:val="28"/>
          <w:shd w:val="clear" w:color="auto" w:fill="FFFFFF" w:themeFill="background1"/>
        </w:rPr>
      </w:pPr>
      <w:bookmarkStart w:id="19" w:name="_Toc240446499"/>
      <w:r w:rsidRPr="001B6E4D">
        <w:rPr>
          <w:rFonts w:ascii="標楷體" w:eastAsia="標楷體" w:hAnsi="標楷體" w:hint="eastAsia"/>
          <w:color w:val="000000" w:themeColor="text1"/>
          <w:sz w:val="28"/>
          <w:szCs w:val="28"/>
          <w:shd w:val="clear" w:color="auto" w:fill="FFFFFF" w:themeFill="background1"/>
        </w:rPr>
        <w:t>(</w:t>
      </w:r>
      <w:r w:rsidRPr="001B6E4D">
        <w:rPr>
          <w:rFonts w:ascii="標楷體" w:eastAsia="標楷體" w:hAnsi="標楷體"/>
          <w:color w:val="000000" w:themeColor="text1"/>
          <w:sz w:val="28"/>
          <w:szCs w:val="28"/>
          <w:shd w:val="clear" w:color="auto" w:fill="FFFFFF" w:themeFill="background1"/>
        </w:rPr>
        <w:t>二</w:t>
      </w:r>
      <w:r w:rsidRPr="001B6E4D">
        <w:rPr>
          <w:rFonts w:ascii="標楷體" w:eastAsia="標楷體" w:hAnsi="標楷體" w:hint="eastAsia"/>
          <w:color w:val="000000" w:themeColor="text1"/>
          <w:sz w:val="28"/>
          <w:szCs w:val="28"/>
          <w:shd w:val="clear" w:color="auto" w:fill="FFFFFF" w:themeFill="background1"/>
        </w:rPr>
        <w:t>)</w:t>
      </w:r>
      <w:r w:rsidRPr="001B6E4D">
        <w:rPr>
          <w:rFonts w:ascii="標楷體" w:eastAsia="標楷體" w:hAnsi="標楷體"/>
          <w:color w:val="000000" w:themeColor="text1"/>
          <w:sz w:val="28"/>
          <w:szCs w:val="28"/>
          <w:shd w:val="clear" w:color="auto" w:fill="FFFFFF" w:themeFill="background1"/>
        </w:rPr>
        <w:t>本會期本會召集委員</w:t>
      </w:r>
      <w:bookmarkEnd w:id="19"/>
    </w:p>
    <w:p w14:paraId="539610AD" w14:textId="03D04800" w:rsidR="0078100D" w:rsidRPr="001B6E4D" w:rsidRDefault="00E76CF8" w:rsidP="003D1018">
      <w:pPr>
        <w:overflowPunct w:val="0"/>
        <w:snapToGrid w:val="0"/>
        <w:spacing w:line="500" w:lineRule="exact"/>
        <w:ind w:leftChars="414" w:left="1134" w:rightChars="-59" w:right="-142" w:hangingChars="50" w:hanging="140"/>
        <w:jc w:val="both"/>
        <w:rPr>
          <w:rFonts w:ascii="標楷體" w:eastAsia="標楷體" w:hAnsi="標楷體"/>
          <w:color w:val="000000" w:themeColor="text1"/>
          <w:sz w:val="28"/>
          <w:szCs w:val="28"/>
          <w:shd w:val="clear" w:color="auto" w:fill="FFFFFF" w:themeFill="background1"/>
        </w:rPr>
      </w:pPr>
      <w:r w:rsidRPr="001B6E4D">
        <w:rPr>
          <w:rFonts w:ascii="標楷體" w:eastAsia="標楷體" w:hAnsi="標楷體" w:hint="eastAsia"/>
          <w:color w:val="000000" w:themeColor="text1"/>
          <w:sz w:val="28"/>
          <w:szCs w:val="28"/>
        </w:rPr>
        <w:t>翁曉玲</w:t>
      </w:r>
      <w:r w:rsidR="0078100D" w:rsidRPr="001B6E4D">
        <w:rPr>
          <w:rFonts w:ascii="標楷體" w:eastAsia="標楷體" w:hAnsi="標楷體" w:hint="eastAsia"/>
          <w:color w:val="000000" w:themeColor="text1"/>
          <w:sz w:val="28"/>
          <w:szCs w:val="28"/>
        </w:rPr>
        <w:t>、</w:t>
      </w:r>
      <w:r w:rsidR="003E3C25" w:rsidRPr="001B6E4D">
        <w:rPr>
          <w:rFonts w:ascii="標楷體" w:eastAsia="標楷體" w:hAnsi="標楷體" w:hint="eastAsia"/>
          <w:color w:val="000000" w:themeColor="text1"/>
          <w:sz w:val="28"/>
          <w:szCs w:val="28"/>
        </w:rPr>
        <w:t>莊瑞雄</w:t>
      </w:r>
    </w:p>
    <w:p w14:paraId="3F0A96B0" w14:textId="77777777" w:rsidR="0078100D" w:rsidRPr="001B6E4D" w:rsidRDefault="0078100D" w:rsidP="003D1018">
      <w:pPr>
        <w:keepNext/>
        <w:overflowPunct w:val="0"/>
        <w:spacing w:line="500" w:lineRule="exact"/>
        <w:ind w:leftChars="178" w:left="1191" w:hangingChars="273" w:hanging="764"/>
        <w:jc w:val="both"/>
        <w:outlineLvl w:val="2"/>
        <w:rPr>
          <w:rFonts w:ascii="標楷體" w:eastAsia="標楷體" w:hAnsi="標楷體"/>
          <w:color w:val="000000" w:themeColor="text1"/>
          <w:sz w:val="28"/>
          <w:szCs w:val="28"/>
          <w:shd w:val="clear" w:color="auto" w:fill="FFFFFF" w:themeFill="background1"/>
        </w:rPr>
      </w:pPr>
      <w:bookmarkStart w:id="20" w:name="_Toc240446500"/>
      <w:r w:rsidRPr="001B6E4D">
        <w:rPr>
          <w:rFonts w:ascii="標楷體" w:eastAsia="標楷體" w:hAnsi="標楷體" w:hint="eastAsia"/>
          <w:color w:val="000000" w:themeColor="text1"/>
          <w:sz w:val="28"/>
          <w:szCs w:val="28"/>
          <w:shd w:val="clear" w:color="auto" w:fill="FFFFFF" w:themeFill="background1"/>
        </w:rPr>
        <w:t>(</w:t>
      </w:r>
      <w:r w:rsidRPr="001B6E4D">
        <w:rPr>
          <w:rFonts w:ascii="標楷體" w:eastAsia="標楷體" w:hAnsi="標楷體"/>
          <w:color w:val="000000" w:themeColor="text1"/>
          <w:sz w:val="28"/>
          <w:szCs w:val="28"/>
          <w:shd w:val="clear" w:color="auto" w:fill="FFFFFF" w:themeFill="background1"/>
        </w:rPr>
        <w:t>三</w:t>
      </w:r>
      <w:r w:rsidRPr="001B6E4D">
        <w:rPr>
          <w:rFonts w:ascii="標楷體" w:eastAsia="標楷體" w:hAnsi="標楷體" w:hint="eastAsia"/>
          <w:color w:val="000000" w:themeColor="text1"/>
          <w:sz w:val="28"/>
          <w:szCs w:val="28"/>
          <w:shd w:val="clear" w:color="auto" w:fill="FFFFFF" w:themeFill="background1"/>
        </w:rPr>
        <w:t>)本會期擔任紀律委員會召集委員</w:t>
      </w:r>
      <w:bookmarkEnd w:id="20"/>
    </w:p>
    <w:p w14:paraId="1443AF9D" w14:textId="66997827" w:rsidR="0078100D" w:rsidRPr="001B6E4D" w:rsidRDefault="008E134D" w:rsidP="003D1018">
      <w:pPr>
        <w:overflowPunct w:val="0"/>
        <w:spacing w:line="400" w:lineRule="exact"/>
        <w:ind w:leftChars="415" w:left="1273" w:hangingChars="99" w:hanging="277"/>
        <w:rPr>
          <w:rFonts w:ascii="標楷體" w:eastAsia="標楷體" w:hAnsi="標楷體"/>
          <w:b/>
          <w:color w:val="000000" w:themeColor="text1"/>
          <w:sz w:val="28"/>
          <w:szCs w:val="28"/>
          <w:shd w:val="clear" w:color="auto" w:fill="FFFFFF" w:themeFill="background1"/>
        </w:rPr>
      </w:pPr>
      <w:r w:rsidRPr="001B6E4D">
        <w:rPr>
          <w:rFonts w:ascii="標楷體" w:eastAsia="標楷體" w:hAnsi="標楷體" w:hint="eastAsia"/>
          <w:color w:val="000000" w:themeColor="text1"/>
          <w:sz w:val="28"/>
          <w:szCs w:val="28"/>
        </w:rPr>
        <w:t>翁曉玲</w:t>
      </w:r>
    </w:p>
    <w:p w14:paraId="03B4CD11" w14:textId="6BF4BB41" w:rsidR="0078100D" w:rsidRPr="001B6E4D" w:rsidRDefault="0078100D"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21" w:name="_四、本會業務簡介"/>
      <w:bookmarkStart w:id="22" w:name="_Toc510167617"/>
      <w:bookmarkStart w:id="23" w:name="_Toc1401021"/>
      <w:bookmarkStart w:id="24" w:name="_Toc42531549"/>
      <w:bookmarkStart w:id="25" w:name="_Toc240446501"/>
      <w:bookmarkEnd w:id="11"/>
      <w:bookmarkEnd w:id="12"/>
      <w:bookmarkEnd w:id="13"/>
      <w:bookmarkEnd w:id="14"/>
      <w:bookmarkEnd w:id="15"/>
      <w:bookmarkEnd w:id="16"/>
      <w:bookmarkEnd w:id="17"/>
      <w:bookmarkEnd w:id="21"/>
      <w:r w:rsidRPr="001B6E4D">
        <w:rPr>
          <w:rFonts w:ascii="標楷體" w:hAnsi="標楷體" w:hint="eastAsia"/>
          <w:color w:val="000000" w:themeColor="text1"/>
          <w:szCs w:val="28"/>
          <w:shd w:val="clear" w:color="auto" w:fill="FFFFFF" w:themeFill="background1"/>
        </w:rPr>
        <w:t>二</w:t>
      </w:r>
      <w:r w:rsidRPr="001B6E4D">
        <w:rPr>
          <w:rFonts w:ascii="標楷體" w:hAnsi="標楷體"/>
          <w:color w:val="000000" w:themeColor="text1"/>
          <w:szCs w:val="28"/>
          <w:shd w:val="clear" w:color="auto" w:fill="FFFFFF" w:themeFill="background1"/>
        </w:rPr>
        <w:t>、業務簡介</w:t>
      </w:r>
      <w:bookmarkEnd w:id="22"/>
      <w:bookmarkEnd w:id="23"/>
      <w:bookmarkEnd w:id="24"/>
      <w:bookmarkEnd w:id="25"/>
    </w:p>
    <w:p w14:paraId="4A2BAD0A" w14:textId="21E5206C" w:rsidR="0078100D" w:rsidRPr="001B6E4D" w:rsidRDefault="0078100D" w:rsidP="003D1018">
      <w:pPr>
        <w:keepNext/>
        <w:overflowPunct w:val="0"/>
        <w:spacing w:line="500" w:lineRule="exact"/>
        <w:ind w:leftChars="178" w:left="1191" w:hangingChars="273" w:hanging="764"/>
        <w:jc w:val="both"/>
        <w:outlineLvl w:val="2"/>
        <w:rPr>
          <w:rFonts w:ascii="標楷體" w:eastAsia="標楷體" w:hAnsi="標楷體"/>
          <w:bCs/>
          <w:color w:val="000000" w:themeColor="text1"/>
          <w:sz w:val="28"/>
          <w:szCs w:val="28"/>
          <w:shd w:val="clear" w:color="auto" w:fill="FFFFFF" w:themeFill="background1"/>
        </w:rPr>
      </w:pPr>
      <w:bookmarkStart w:id="26" w:name="_Toc240446502"/>
      <w:r w:rsidRPr="001B6E4D">
        <w:rPr>
          <w:rFonts w:ascii="標楷體" w:eastAsia="標楷體" w:hAnsi="標楷體" w:hint="eastAsia"/>
          <w:bCs/>
          <w:color w:val="000000" w:themeColor="text1"/>
          <w:sz w:val="28"/>
          <w:szCs w:val="28"/>
          <w:shd w:val="clear" w:color="auto" w:fill="FFFFFF" w:themeFill="background1"/>
        </w:rPr>
        <w:t>(</w:t>
      </w:r>
      <w:proofErr w:type="gramStart"/>
      <w:r w:rsidRPr="001B6E4D">
        <w:rPr>
          <w:rFonts w:ascii="標楷體" w:eastAsia="標楷體" w:hAnsi="標楷體" w:hint="eastAsia"/>
          <w:bCs/>
          <w:color w:val="000000" w:themeColor="text1"/>
          <w:sz w:val="28"/>
          <w:szCs w:val="28"/>
          <w:shd w:val="clear" w:color="auto" w:fill="FFFFFF" w:themeFill="background1"/>
        </w:rPr>
        <w:t>一</w:t>
      </w:r>
      <w:proofErr w:type="gramEnd"/>
      <w:r w:rsidRPr="001B6E4D">
        <w:rPr>
          <w:rFonts w:ascii="標楷體" w:eastAsia="標楷體" w:hAnsi="標楷體" w:hint="eastAsia"/>
          <w:bCs/>
          <w:color w:val="000000" w:themeColor="text1"/>
          <w:sz w:val="28"/>
          <w:szCs w:val="28"/>
          <w:shd w:val="clear" w:color="auto" w:fill="FFFFFF" w:themeFill="background1"/>
        </w:rPr>
        <w:t>)依據</w:t>
      </w:r>
      <w:bookmarkEnd w:id="26"/>
    </w:p>
    <w:p w14:paraId="089A2464" w14:textId="77777777" w:rsidR="0078100D" w:rsidRPr="001B6E4D" w:rsidRDefault="0078100D" w:rsidP="003D1018">
      <w:pPr>
        <w:overflowPunct w:val="0"/>
        <w:autoSpaceDN w:val="0"/>
        <w:spacing w:line="460" w:lineRule="exact"/>
        <w:ind w:leftChars="298" w:left="995" w:hangingChars="100" w:hanging="280"/>
        <w:jc w:val="both"/>
        <w:rPr>
          <w:rFonts w:ascii="標楷體" w:eastAsia="標楷體" w:hAnsi="標楷體"/>
          <w:color w:val="000000" w:themeColor="text1"/>
          <w:sz w:val="28"/>
          <w:szCs w:val="28"/>
          <w:shd w:val="clear" w:color="auto" w:fill="FFFFFF" w:themeFill="background1"/>
        </w:rPr>
      </w:pPr>
      <w:r w:rsidRPr="001B6E4D">
        <w:rPr>
          <w:rFonts w:ascii="標楷體" w:eastAsia="標楷體" w:hAnsi="標楷體" w:hint="eastAsia"/>
          <w:color w:val="000000" w:themeColor="text1"/>
          <w:sz w:val="28"/>
          <w:szCs w:val="28"/>
          <w:shd w:val="clear" w:color="auto" w:fill="FFFFFF" w:themeFill="background1"/>
        </w:rPr>
        <w:t>1.依立法院各委員會組織法第2條規定，各委員會審查本院會議交付審查之議案及人民請願書，</w:t>
      </w:r>
      <w:r w:rsidRPr="001B6E4D">
        <w:rPr>
          <w:rFonts w:ascii="標楷體" w:eastAsia="標楷體" w:hAnsi="標楷體"/>
          <w:bCs/>
          <w:color w:val="000000" w:themeColor="text1"/>
          <w:kern w:val="3"/>
          <w:sz w:val="28"/>
          <w:szCs w:val="28"/>
          <w:shd w:val="clear" w:color="auto" w:fill="FFFFFF" w:themeFill="background1"/>
        </w:rPr>
        <w:t>並得於每會期開始時，邀請相關部會</w:t>
      </w:r>
      <w:r w:rsidRPr="001B6E4D">
        <w:rPr>
          <w:rFonts w:ascii="標楷體" w:eastAsia="標楷體" w:hAnsi="標楷體" w:hint="eastAsia"/>
          <w:bCs/>
          <w:color w:val="000000" w:themeColor="text1"/>
          <w:kern w:val="3"/>
          <w:sz w:val="28"/>
          <w:szCs w:val="28"/>
          <w:shd w:val="clear" w:color="auto" w:fill="FFFFFF" w:themeFill="background1"/>
        </w:rPr>
        <w:t>作</w:t>
      </w:r>
      <w:r w:rsidRPr="001B6E4D">
        <w:rPr>
          <w:rFonts w:ascii="標楷體" w:eastAsia="標楷體" w:hAnsi="標楷體"/>
          <w:bCs/>
          <w:color w:val="000000" w:themeColor="text1"/>
          <w:kern w:val="3"/>
          <w:sz w:val="28"/>
          <w:szCs w:val="28"/>
          <w:shd w:val="clear" w:color="auto" w:fill="FFFFFF" w:themeFill="background1"/>
        </w:rPr>
        <w:t>業務報告，並備質詢。</w:t>
      </w:r>
    </w:p>
    <w:p w14:paraId="77BABF6E" w14:textId="2D3108F3" w:rsidR="0078100D" w:rsidRPr="001B6E4D" w:rsidRDefault="0078100D" w:rsidP="003D1018">
      <w:pPr>
        <w:overflowPunct w:val="0"/>
        <w:autoSpaceDN w:val="0"/>
        <w:spacing w:line="460" w:lineRule="exact"/>
        <w:ind w:leftChars="298" w:left="995" w:hangingChars="100" w:hanging="280"/>
        <w:jc w:val="both"/>
        <w:rPr>
          <w:rFonts w:ascii="標楷體" w:eastAsia="標楷體" w:hAnsi="標楷體"/>
          <w:bCs/>
          <w:color w:val="000000" w:themeColor="text1"/>
          <w:kern w:val="3"/>
          <w:sz w:val="28"/>
          <w:szCs w:val="28"/>
          <w:shd w:val="clear" w:color="auto" w:fill="FFFFFF" w:themeFill="background1"/>
        </w:rPr>
      </w:pPr>
      <w:r w:rsidRPr="001B6E4D">
        <w:rPr>
          <w:rFonts w:ascii="標楷體" w:eastAsia="標楷體" w:hAnsi="標楷體" w:hint="eastAsia"/>
          <w:bCs/>
          <w:color w:val="000000" w:themeColor="text1"/>
          <w:kern w:val="3"/>
          <w:sz w:val="28"/>
          <w:szCs w:val="28"/>
          <w:shd w:val="clear" w:color="auto" w:fill="FFFFFF" w:themeFill="background1"/>
        </w:rPr>
        <w:t>2</w:t>
      </w:r>
      <w:r w:rsidR="00F62180" w:rsidRPr="001B6E4D">
        <w:rPr>
          <w:rFonts w:ascii="標楷體" w:eastAsia="標楷體" w:hAnsi="標楷體"/>
          <w:bCs/>
          <w:color w:val="000000" w:themeColor="text1"/>
          <w:kern w:val="3"/>
          <w:sz w:val="28"/>
          <w:szCs w:val="28"/>
          <w:shd w:val="clear" w:color="auto" w:fill="FFFFFF" w:themeFill="background1"/>
        </w:rPr>
        <w:t>.</w:t>
      </w:r>
      <w:r w:rsidRPr="001B6E4D">
        <w:rPr>
          <w:rFonts w:ascii="標楷體" w:eastAsia="標楷體" w:hAnsi="標楷體" w:hint="eastAsia"/>
          <w:bCs/>
          <w:color w:val="000000" w:themeColor="text1"/>
          <w:kern w:val="3"/>
          <w:sz w:val="28"/>
          <w:szCs w:val="28"/>
          <w:shd w:val="clear" w:color="auto" w:fill="FFFFFF" w:themeFill="background1"/>
        </w:rPr>
        <w:t>依</w:t>
      </w:r>
      <w:r w:rsidRPr="001B6E4D">
        <w:rPr>
          <w:rFonts w:ascii="標楷體" w:eastAsia="標楷體" w:hAnsi="標楷體" w:hint="eastAsia"/>
          <w:color w:val="000000" w:themeColor="text1"/>
          <w:sz w:val="28"/>
          <w:szCs w:val="28"/>
          <w:shd w:val="clear" w:color="auto" w:fill="FFFFFF" w:themeFill="background1"/>
        </w:rPr>
        <w:t>立法院</w:t>
      </w:r>
      <w:r w:rsidRPr="001B6E4D">
        <w:rPr>
          <w:rFonts w:ascii="標楷體" w:eastAsia="標楷體" w:hAnsi="標楷體" w:hint="eastAsia"/>
          <w:bCs/>
          <w:color w:val="000000" w:themeColor="text1"/>
          <w:kern w:val="3"/>
          <w:sz w:val="28"/>
          <w:szCs w:val="28"/>
          <w:shd w:val="clear" w:color="auto" w:fill="FFFFFF" w:themeFill="background1"/>
        </w:rPr>
        <w:t>職權行使法第54條規定，為審查院會交付之議案得舉行公聽會。</w:t>
      </w:r>
    </w:p>
    <w:p w14:paraId="524ED9D8" w14:textId="630D161B" w:rsidR="0078100D" w:rsidRPr="001B6E4D" w:rsidRDefault="00F62180" w:rsidP="003D1018">
      <w:pPr>
        <w:overflowPunct w:val="0"/>
        <w:autoSpaceDN w:val="0"/>
        <w:spacing w:line="460" w:lineRule="exact"/>
        <w:ind w:leftChars="298" w:left="995" w:hangingChars="100" w:hanging="280"/>
        <w:jc w:val="both"/>
        <w:rPr>
          <w:rFonts w:ascii="標楷體" w:eastAsia="標楷體" w:hAnsi="標楷體"/>
          <w:bCs/>
          <w:color w:val="000000" w:themeColor="text1"/>
          <w:kern w:val="3"/>
          <w:sz w:val="28"/>
          <w:szCs w:val="28"/>
          <w:shd w:val="clear" w:color="auto" w:fill="FFFFFF" w:themeFill="background1"/>
        </w:rPr>
      </w:pPr>
      <w:r w:rsidRPr="001B6E4D">
        <w:rPr>
          <w:rFonts w:ascii="標楷體" w:eastAsia="標楷體" w:hAnsi="標楷體"/>
          <w:bCs/>
          <w:color w:val="000000" w:themeColor="text1"/>
          <w:kern w:val="3"/>
          <w:sz w:val="28"/>
          <w:szCs w:val="28"/>
          <w:shd w:val="clear" w:color="auto" w:fill="FFFFFF" w:themeFill="background1"/>
        </w:rPr>
        <w:t>3.</w:t>
      </w:r>
      <w:r w:rsidR="0078100D" w:rsidRPr="001B6E4D">
        <w:rPr>
          <w:rFonts w:ascii="標楷體" w:eastAsia="標楷體" w:hAnsi="標楷體" w:hint="eastAsia"/>
          <w:bCs/>
          <w:color w:val="000000" w:themeColor="text1"/>
          <w:kern w:val="3"/>
          <w:sz w:val="28"/>
          <w:szCs w:val="28"/>
          <w:shd w:val="clear" w:color="auto" w:fill="FFFFFF" w:themeFill="background1"/>
        </w:rPr>
        <w:t>另依慣例，委員會得辦理考察活動等事宜</w:t>
      </w:r>
      <w:r w:rsidR="0078100D" w:rsidRPr="001B6E4D">
        <w:rPr>
          <w:rFonts w:ascii="標楷體" w:eastAsia="標楷體" w:hAnsi="標楷體"/>
          <w:bCs/>
          <w:color w:val="000000" w:themeColor="text1"/>
          <w:kern w:val="3"/>
          <w:sz w:val="28"/>
          <w:szCs w:val="28"/>
          <w:shd w:val="clear" w:color="auto" w:fill="FFFFFF" w:themeFill="background1"/>
        </w:rPr>
        <w:t>。</w:t>
      </w:r>
    </w:p>
    <w:p w14:paraId="3608091D" w14:textId="267DEEF7" w:rsidR="0078100D" w:rsidRPr="001B6E4D" w:rsidRDefault="0078100D" w:rsidP="003D1018">
      <w:pPr>
        <w:keepNext/>
        <w:overflowPunct w:val="0"/>
        <w:spacing w:line="500" w:lineRule="exact"/>
        <w:ind w:leftChars="178" w:left="1191" w:hangingChars="273" w:hanging="764"/>
        <w:jc w:val="both"/>
        <w:outlineLvl w:val="2"/>
        <w:rPr>
          <w:rFonts w:ascii="標楷體" w:eastAsia="標楷體" w:hAnsi="標楷體"/>
          <w:bCs/>
          <w:color w:val="000000" w:themeColor="text1"/>
          <w:sz w:val="28"/>
          <w:szCs w:val="28"/>
          <w:shd w:val="clear" w:color="auto" w:fill="FFFFFF" w:themeFill="background1"/>
        </w:rPr>
      </w:pPr>
      <w:bookmarkStart w:id="27" w:name="_Toc240446503"/>
      <w:r w:rsidRPr="001B6E4D">
        <w:rPr>
          <w:rFonts w:ascii="標楷體" w:eastAsia="標楷體" w:hAnsi="標楷體" w:hint="eastAsia"/>
          <w:bCs/>
          <w:color w:val="000000" w:themeColor="text1"/>
          <w:sz w:val="28"/>
          <w:szCs w:val="28"/>
          <w:shd w:val="clear" w:color="auto" w:fill="FFFFFF" w:themeFill="background1"/>
        </w:rPr>
        <w:t>(二)職掌</w:t>
      </w:r>
      <w:bookmarkEnd w:id="27"/>
    </w:p>
    <w:p w14:paraId="6D52689C" w14:textId="77777777" w:rsidR="0078100D" w:rsidRPr="001B6E4D" w:rsidRDefault="0078100D" w:rsidP="003D1018">
      <w:pPr>
        <w:overflowPunct w:val="0"/>
        <w:autoSpaceDN w:val="0"/>
        <w:spacing w:line="460" w:lineRule="exact"/>
        <w:ind w:leftChars="298" w:left="995" w:hangingChars="100" w:hanging="280"/>
        <w:jc w:val="both"/>
        <w:rPr>
          <w:rFonts w:ascii="標楷體" w:eastAsia="標楷體" w:hAnsi="標楷體"/>
          <w:color w:val="000000" w:themeColor="text1"/>
          <w:sz w:val="28"/>
          <w:szCs w:val="28"/>
          <w:shd w:val="clear" w:color="auto" w:fill="FFFFFF" w:themeFill="background1"/>
        </w:rPr>
      </w:pPr>
      <w:r w:rsidRPr="001B6E4D">
        <w:rPr>
          <w:rFonts w:ascii="標楷體" w:eastAsia="標楷體" w:hAnsi="標楷體" w:hint="eastAsia"/>
          <w:color w:val="000000" w:themeColor="text1"/>
          <w:sz w:val="28"/>
          <w:szCs w:val="28"/>
          <w:shd w:val="clear" w:color="auto" w:fill="FFFFFF" w:themeFill="background1"/>
        </w:rPr>
        <w:t>1.審查</w:t>
      </w:r>
      <w:r w:rsidRPr="001B6E4D">
        <w:rPr>
          <w:rFonts w:ascii="標楷體" w:eastAsia="標楷體" w:hAnsi="標楷體"/>
          <w:color w:val="000000" w:themeColor="text1"/>
          <w:sz w:val="28"/>
          <w:szCs w:val="28"/>
          <w:shd w:val="clear" w:color="auto" w:fill="FFFFFF" w:themeFill="background1"/>
        </w:rPr>
        <w:t xml:space="preserve">本院會議交付審查之議案及人民請願書 </w:t>
      </w:r>
    </w:p>
    <w:p w14:paraId="0D842907" w14:textId="77777777" w:rsidR="0078100D" w:rsidRPr="001B6E4D" w:rsidRDefault="0078100D" w:rsidP="003D1018">
      <w:pPr>
        <w:overflowPunct w:val="0"/>
        <w:snapToGrid w:val="0"/>
        <w:spacing w:line="490" w:lineRule="exact"/>
        <w:ind w:leftChars="414" w:left="994" w:firstLine="569"/>
        <w:jc w:val="both"/>
        <w:rPr>
          <w:rFonts w:ascii="標楷體" w:eastAsia="標楷體" w:hAnsi="標楷體"/>
          <w:color w:val="000000" w:themeColor="text1"/>
          <w:sz w:val="28"/>
          <w:szCs w:val="28"/>
          <w:shd w:val="clear" w:color="auto" w:fill="FFFFFF" w:themeFill="background1"/>
        </w:rPr>
      </w:pPr>
      <w:r w:rsidRPr="001B6E4D">
        <w:rPr>
          <w:rFonts w:ascii="標楷體" w:eastAsia="標楷體" w:hAnsi="標楷體" w:hint="eastAsia"/>
          <w:color w:val="000000" w:themeColor="text1"/>
          <w:sz w:val="28"/>
          <w:szCs w:val="28"/>
          <w:shd w:val="clear" w:color="auto" w:fill="FFFFFF" w:themeFill="background1"/>
        </w:rPr>
        <w:t>依立法院各委員會組織法第2條前段規定，各委員會審查本院會議交付審查之議案及人民請願書。另立法院程序委員會組織規程第5條第1項第7款規定：「司法及法制委員會：審查民事、刑事、行政訴訟、懲戒、大赦、機關組織與有關法務部、行政院人事行政</w:t>
      </w:r>
      <w:proofErr w:type="gramStart"/>
      <w:r w:rsidRPr="001B6E4D">
        <w:rPr>
          <w:rFonts w:ascii="標楷體" w:eastAsia="標楷體" w:hAnsi="標楷體" w:hint="eastAsia"/>
          <w:color w:val="000000" w:themeColor="text1"/>
          <w:sz w:val="28"/>
          <w:szCs w:val="28"/>
          <w:shd w:val="clear" w:color="auto" w:fill="FFFFFF" w:themeFill="background1"/>
        </w:rPr>
        <w:t>總處掌理事</w:t>
      </w:r>
      <w:proofErr w:type="gramEnd"/>
      <w:r w:rsidRPr="001B6E4D">
        <w:rPr>
          <w:rFonts w:ascii="標楷體" w:eastAsia="標楷體" w:hAnsi="標楷體" w:hint="eastAsia"/>
          <w:color w:val="000000" w:themeColor="text1"/>
          <w:sz w:val="28"/>
          <w:szCs w:val="28"/>
          <w:shd w:val="clear" w:color="auto" w:fill="FFFFFF" w:themeFill="background1"/>
        </w:rPr>
        <w:t>項及其他不屬於各委員會審查之議案；國營事業機構組織之議案應視其性質由有關委員會主持。</w:t>
      </w:r>
      <w:r w:rsidRPr="001B6E4D">
        <w:rPr>
          <w:rFonts w:ascii="標楷體" w:eastAsia="標楷體" w:hAnsi="標楷體"/>
          <w:color w:val="000000" w:themeColor="text1"/>
          <w:sz w:val="28"/>
          <w:szCs w:val="28"/>
          <w:shd w:val="clear" w:color="auto" w:fill="FFFFFF" w:themeFill="background1"/>
        </w:rPr>
        <w:t>」</w:t>
      </w:r>
      <w:r w:rsidRPr="001B6E4D">
        <w:rPr>
          <w:rFonts w:ascii="標楷體" w:eastAsia="標楷體" w:hAnsi="標楷體" w:hint="eastAsia"/>
          <w:color w:val="000000" w:themeColor="text1"/>
          <w:sz w:val="28"/>
          <w:szCs w:val="28"/>
          <w:shd w:val="clear" w:color="auto" w:fill="FFFFFF" w:themeFill="background1"/>
        </w:rPr>
        <w:t>有關院會交付本會審查之議案審查情形，本會除定期編製議案審查一覽表公布於本會網站外，每會期並編製「會務報告」，以供參考</w:t>
      </w:r>
      <w:r w:rsidRPr="001B6E4D">
        <w:rPr>
          <w:rFonts w:ascii="標楷體" w:eastAsia="標楷體" w:hAnsi="標楷體"/>
          <w:color w:val="000000" w:themeColor="text1"/>
          <w:sz w:val="28"/>
          <w:szCs w:val="28"/>
          <w:shd w:val="clear" w:color="auto" w:fill="FFFFFF" w:themeFill="background1"/>
        </w:rPr>
        <w:t>。</w:t>
      </w:r>
    </w:p>
    <w:p w14:paraId="2226AADE" w14:textId="77777777" w:rsidR="0078100D" w:rsidRPr="001B6E4D" w:rsidRDefault="0078100D" w:rsidP="003D1018">
      <w:pPr>
        <w:overflowPunct w:val="0"/>
        <w:autoSpaceDN w:val="0"/>
        <w:spacing w:line="460" w:lineRule="exact"/>
        <w:ind w:leftChars="298" w:left="995" w:hangingChars="100" w:hanging="280"/>
        <w:jc w:val="both"/>
        <w:rPr>
          <w:rFonts w:ascii="標楷體" w:eastAsia="標楷體" w:hAnsi="標楷體"/>
          <w:color w:val="000000" w:themeColor="text1"/>
          <w:sz w:val="28"/>
          <w:szCs w:val="28"/>
          <w:shd w:val="clear" w:color="auto" w:fill="FFFFFF" w:themeFill="background1"/>
        </w:rPr>
      </w:pPr>
      <w:r w:rsidRPr="001B6E4D">
        <w:rPr>
          <w:rFonts w:ascii="標楷體" w:eastAsia="標楷體" w:hAnsi="標楷體" w:hint="eastAsia"/>
          <w:color w:val="000000" w:themeColor="text1"/>
          <w:sz w:val="28"/>
          <w:szCs w:val="28"/>
          <w:shd w:val="clear" w:color="auto" w:fill="FFFFFF" w:themeFill="background1"/>
        </w:rPr>
        <w:lastRenderedPageBreak/>
        <w:t>2.</w:t>
      </w:r>
      <w:r w:rsidRPr="001B6E4D">
        <w:rPr>
          <w:rFonts w:ascii="標楷體" w:eastAsia="標楷體" w:hAnsi="標楷體"/>
          <w:color w:val="000000" w:themeColor="text1"/>
          <w:sz w:val="28"/>
          <w:szCs w:val="28"/>
          <w:shd w:val="clear" w:color="auto" w:fill="FFFFFF" w:themeFill="background1"/>
        </w:rPr>
        <w:t>得邀請相關部會作業務報告並備質詢及列席說明立法計畫</w:t>
      </w:r>
    </w:p>
    <w:p w14:paraId="4075B867" w14:textId="77777777" w:rsidR="0078100D" w:rsidRPr="001B6E4D" w:rsidRDefault="0078100D" w:rsidP="003D1018">
      <w:pPr>
        <w:kinsoku w:val="0"/>
        <w:overflowPunct w:val="0"/>
        <w:autoSpaceDE w:val="0"/>
        <w:snapToGrid w:val="0"/>
        <w:spacing w:line="490" w:lineRule="exact"/>
        <w:ind w:leftChars="414" w:left="994" w:firstLine="569"/>
        <w:jc w:val="both"/>
        <w:rPr>
          <w:rFonts w:ascii="標楷體" w:eastAsia="標楷體" w:hAnsi="標楷體"/>
          <w:color w:val="000000" w:themeColor="text1"/>
          <w:sz w:val="28"/>
          <w:szCs w:val="28"/>
          <w:shd w:val="clear" w:color="auto" w:fill="FFFFFF" w:themeFill="background1"/>
        </w:rPr>
      </w:pPr>
      <w:r w:rsidRPr="001B6E4D">
        <w:rPr>
          <w:rFonts w:ascii="標楷體" w:eastAsia="標楷體" w:hAnsi="標楷體" w:hint="eastAsia"/>
          <w:color w:val="000000" w:themeColor="text1"/>
          <w:sz w:val="28"/>
          <w:szCs w:val="28"/>
          <w:shd w:val="clear" w:color="auto" w:fill="FFFFFF" w:themeFill="background1"/>
        </w:rPr>
        <w:t>依立法院各委員會組織法第2條後段規定，各委員會並得於每會期開始時，邀請相關部會作業務報告，並備質詢。另依同法第6條之1規定，各委員會召集委員，應於每會期共同邀請各該委員會委員擬定該會期之立法計畫。必要時，得邀請相關院、部、會人員列席說明。因此，就業務報告及為擬定本會立法計畫，本會每</w:t>
      </w:r>
      <w:proofErr w:type="gramStart"/>
      <w:r w:rsidRPr="001B6E4D">
        <w:rPr>
          <w:rFonts w:ascii="標楷體" w:eastAsia="標楷體" w:hAnsi="標楷體" w:hint="eastAsia"/>
          <w:color w:val="000000" w:themeColor="text1"/>
          <w:sz w:val="28"/>
          <w:szCs w:val="28"/>
          <w:shd w:val="clear" w:color="auto" w:fill="FFFFFF" w:themeFill="background1"/>
        </w:rPr>
        <w:t>會期均由召集</w:t>
      </w:r>
      <w:proofErr w:type="gramEnd"/>
      <w:r w:rsidRPr="001B6E4D">
        <w:rPr>
          <w:rFonts w:ascii="標楷體" w:eastAsia="標楷體" w:hAnsi="標楷體" w:hint="eastAsia"/>
          <w:color w:val="000000" w:themeColor="text1"/>
          <w:sz w:val="28"/>
          <w:szCs w:val="28"/>
          <w:shd w:val="clear" w:color="auto" w:fill="FFFFFF" w:themeFill="background1"/>
        </w:rPr>
        <w:t>委員排定會議邀請受本會業務監督之院、部機關首長到會報告並備</w:t>
      </w:r>
      <w:proofErr w:type="gramStart"/>
      <w:r w:rsidRPr="001B6E4D">
        <w:rPr>
          <w:rFonts w:ascii="標楷體" w:eastAsia="標楷體" w:hAnsi="標楷體" w:hint="eastAsia"/>
          <w:color w:val="000000" w:themeColor="text1"/>
          <w:sz w:val="28"/>
          <w:szCs w:val="28"/>
          <w:shd w:val="clear" w:color="auto" w:fill="FFFFFF" w:themeFill="background1"/>
        </w:rPr>
        <w:t>詢</w:t>
      </w:r>
      <w:proofErr w:type="gramEnd"/>
      <w:r w:rsidRPr="001B6E4D">
        <w:rPr>
          <w:rFonts w:ascii="標楷體" w:eastAsia="標楷體" w:hAnsi="標楷體" w:hint="eastAsia"/>
          <w:color w:val="000000" w:themeColor="text1"/>
          <w:sz w:val="28"/>
          <w:szCs w:val="28"/>
          <w:shd w:val="clear" w:color="auto" w:fill="FFFFFF" w:themeFill="background1"/>
        </w:rPr>
        <w:t>，與邀請該院、部人員列席說明立法計畫</w:t>
      </w:r>
      <w:r w:rsidRPr="001B6E4D">
        <w:rPr>
          <w:rFonts w:ascii="標楷體" w:eastAsia="標楷體" w:hAnsi="標楷體"/>
          <w:color w:val="000000" w:themeColor="text1"/>
          <w:sz w:val="28"/>
          <w:szCs w:val="28"/>
          <w:shd w:val="clear" w:color="auto" w:fill="FFFFFF" w:themeFill="background1"/>
        </w:rPr>
        <w:t>。</w:t>
      </w:r>
    </w:p>
    <w:p w14:paraId="7F301245" w14:textId="77777777" w:rsidR="0078100D" w:rsidRPr="001B6E4D" w:rsidRDefault="0078100D" w:rsidP="003D1018">
      <w:pPr>
        <w:kinsoku w:val="0"/>
        <w:overflowPunct w:val="0"/>
        <w:autoSpaceDE w:val="0"/>
        <w:autoSpaceDN w:val="0"/>
        <w:spacing w:line="460" w:lineRule="exact"/>
        <w:ind w:leftChars="298" w:left="995" w:hangingChars="100" w:hanging="280"/>
        <w:jc w:val="both"/>
        <w:rPr>
          <w:rFonts w:ascii="標楷體" w:eastAsia="標楷體" w:hAnsi="標楷體"/>
          <w:color w:val="000000" w:themeColor="text1"/>
          <w:sz w:val="28"/>
          <w:szCs w:val="28"/>
          <w:shd w:val="clear" w:color="auto" w:fill="FFFFFF" w:themeFill="background1"/>
        </w:rPr>
      </w:pPr>
      <w:r w:rsidRPr="001B6E4D">
        <w:rPr>
          <w:rFonts w:ascii="標楷體" w:eastAsia="標楷體" w:hAnsi="標楷體" w:hint="eastAsia"/>
          <w:color w:val="000000" w:themeColor="text1"/>
          <w:sz w:val="28"/>
          <w:szCs w:val="28"/>
          <w:shd w:val="clear" w:color="auto" w:fill="FFFFFF" w:themeFill="background1"/>
        </w:rPr>
        <w:t>3.</w:t>
      </w:r>
      <w:r w:rsidRPr="001B6E4D">
        <w:rPr>
          <w:rFonts w:ascii="標楷體" w:eastAsia="標楷體" w:hAnsi="標楷體"/>
          <w:color w:val="000000" w:themeColor="text1"/>
          <w:sz w:val="28"/>
          <w:szCs w:val="28"/>
          <w:shd w:val="clear" w:color="auto" w:fill="FFFFFF" w:themeFill="background1"/>
        </w:rPr>
        <w:t>審查</w:t>
      </w:r>
      <w:r w:rsidRPr="001B6E4D">
        <w:rPr>
          <w:rFonts w:ascii="標楷體" w:eastAsia="標楷體" w:hAnsi="標楷體"/>
          <w:color w:val="000000" w:themeColor="text1"/>
          <w:spacing w:val="-2"/>
          <w:sz w:val="28"/>
          <w:szCs w:val="28"/>
          <w:shd w:val="clear" w:color="auto" w:fill="FFFFFF" w:themeFill="background1"/>
        </w:rPr>
        <w:t>總預算</w:t>
      </w:r>
      <w:r w:rsidRPr="001B6E4D">
        <w:rPr>
          <w:rFonts w:ascii="標楷體" w:eastAsia="標楷體" w:hAnsi="標楷體"/>
          <w:color w:val="000000" w:themeColor="text1"/>
          <w:sz w:val="28"/>
          <w:szCs w:val="28"/>
          <w:shd w:val="clear" w:color="auto" w:fill="FFFFFF" w:themeFill="background1"/>
        </w:rPr>
        <w:t>、決算案</w:t>
      </w:r>
    </w:p>
    <w:p w14:paraId="04AB0DB0" w14:textId="77777777" w:rsidR="00BF578B" w:rsidRPr="001B6E4D" w:rsidRDefault="0078100D" w:rsidP="003D1018">
      <w:pPr>
        <w:kinsoku w:val="0"/>
        <w:overflowPunct w:val="0"/>
        <w:autoSpaceDE w:val="0"/>
        <w:snapToGrid w:val="0"/>
        <w:spacing w:line="490" w:lineRule="exact"/>
        <w:ind w:leftChars="414" w:left="994" w:firstLine="569"/>
        <w:jc w:val="both"/>
        <w:rPr>
          <w:rFonts w:ascii="標楷體" w:eastAsia="標楷體" w:hAnsi="標楷體"/>
          <w:color w:val="000000" w:themeColor="text1"/>
          <w:sz w:val="28"/>
          <w:szCs w:val="28"/>
          <w:shd w:val="clear" w:color="auto" w:fill="FFFFFF" w:themeFill="background1"/>
        </w:rPr>
        <w:sectPr w:rsidR="00BF578B" w:rsidRPr="001B6E4D" w:rsidSect="002B13E7">
          <w:footerReference w:type="even" r:id="rId9"/>
          <w:footerReference w:type="default" r:id="rId10"/>
          <w:pgSz w:w="11906" w:h="16838"/>
          <w:pgMar w:top="1440" w:right="1133" w:bottom="1440" w:left="1800" w:header="851" w:footer="992" w:gutter="0"/>
          <w:pgNumType w:start="1"/>
          <w:cols w:space="425"/>
          <w:docGrid w:type="lines" w:linePitch="360"/>
        </w:sectPr>
      </w:pPr>
      <w:r w:rsidRPr="001B6E4D">
        <w:rPr>
          <w:rFonts w:ascii="標楷體" w:eastAsia="標楷體" w:hAnsi="標楷體" w:hint="eastAsia"/>
          <w:color w:val="000000" w:themeColor="text1"/>
          <w:sz w:val="28"/>
          <w:szCs w:val="28"/>
          <w:shd w:val="clear" w:color="auto" w:fill="FFFFFF" w:themeFill="background1"/>
        </w:rPr>
        <w:t>依中央政府總預算案審查程序第3條第1項第7款劃歸本會審查之機關，計有：總統府、國家安全會議、國史館及國史館臺灣文獻館；行政院人事行政總處、公務人力發展學院；立法院；司法院及所屬；考試院、考選部、銓敘部、公務人員保障暨培訓委員會、國家文官學院及所屬、公務人員退休撫</w:t>
      </w:r>
      <w:proofErr w:type="gramStart"/>
      <w:r w:rsidRPr="001B6E4D">
        <w:rPr>
          <w:rFonts w:ascii="標楷體" w:eastAsia="標楷體" w:hAnsi="標楷體" w:hint="eastAsia"/>
          <w:color w:val="000000" w:themeColor="text1"/>
          <w:sz w:val="28"/>
          <w:szCs w:val="28"/>
          <w:shd w:val="clear" w:color="auto" w:fill="FFFFFF" w:themeFill="background1"/>
        </w:rPr>
        <w:t>卹</w:t>
      </w:r>
      <w:proofErr w:type="gramEnd"/>
      <w:r w:rsidRPr="001B6E4D">
        <w:rPr>
          <w:rFonts w:ascii="標楷體" w:eastAsia="標楷體" w:hAnsi="標楷體" w:hint="eastAsia"/>
          <w:color w:val="000000" w:themeColor="text1"/>
          <w:sz w:val="28"/>
          <w:szCs w:val="28"/>
          <w:shd w:val="clear" w:color="auto" w:fill="FFFFFF" w:themeFill="background1"/>
        </w:rPr>
        <w:t>基金管理局；監察院；法務部及所屬。前述各機關之特種基金及其捐助基金累計超過百分之五十之財團法人預、決算書</w:t>
      </w:r>
      <w:r w:rsidRPr="001B6E4D">
        <w:rPr>
          <w:rFonts w:ascii="標楷體" w:eastAsia="標楷體" w:hAnsi="標楷體"/>
          <w:color w:val="000000" w:themeColor="text1"/>
          <w:sz w:val="28"/>
          <w:szCs w:val="28"/>
          <w:shd w:val="clear" w:color="auto" w:fill="FFFFFF" w:themeFill="background1"/>
        </w:rPr>
        <w:t>。</w:t>
      </w:r>
    </w:p>
    <w:p w14:paraId="43D14236" w14:textId="3138BD0E" w:rsidR="0078100D" w:rsidRPr="001B6E4D" w:rsidRDefault="0078100D" w:rsidP="003D1018">
      <w:pPr>
        <w:kinsoku w:val="0"/>
        <w:overflowPunct w:val="0"/>
        <w:autoSpaceDE w:val="0"/>
        <w:snapToGrid w:val="0"/>
        <w:spacing w:line="490" w:lineRule="exact"/>
        <w:jc w:val="both"/>
        <w:outlineLvl w:val="0"/>
        <w:rPr>
          <w:rFonts w:ascii="標楷體" w:eastAsia="標楷體" w:hAnsi="標楷體"/>
          <w:b/>
          <w:bCs/>
          <w:color w:val="000000" w:themeColor="text1"/>
          <w:sz w:val="28"/>
          <w:szCs w:val="28"/>
        </w:rPr>
      </w:pPr>
      <w:bookmarkStart w:id="28" w:name="_Toc240446504"/>
      <w:r w:rsidRPr="001B6E4D">
        <w:rPr>
          <w:rFonts w:ascii="標楷體" w:eastAsia="標楷體" w:hAnsi="標楷體"/>
          <w:b/>
          <w:bCs/>
          <w:color w:val="000000" w:themeColor="text1"/>
          <w:sz w:val="28"/>
          <w:szCs w:val="28"/>
        </w:rPr>
        <w:lastRenderedPageBreak/>
        <w:t>貳、本會期會務概況</w:t>
      </w:r>
      <w:bookmarkStart w:id="29" w:name="_Toc163381675"/>
      <w:bookmarkStart w:id="30" w:name="_Toc163899075"/>
      <w:bookmarkStart w:id="31" w:name="_Toc167872436"/>
      <w:bookmarkStart w:id="32" w:name="_Toc169687165"/>
      <w:bookmarkEnd w:id="0"/>
      <w:bookmarkEnd w:id="1"/>
      <w:bookmarkEnd w:id="2"/>
      <w:bookmarkEnd w:id="3"/>
      <w:bookmarkEnd w:id="4"/>
      <w:bookmarkEnd w:id="5"/>
      <w:bookmarkEnd w:id="6"/>
      <w:bookmarkEnd w:id="28"/>
    </w:p>
    <w:p w14:paraId="4DE5DE1E" w14:textId="57286CFD" w:rsidR="0078100D" w:rsidRPr="001B6E4D" w:rsidRDefault="0078100D" w:rsidP="003D1018">
      <w:pPr>
        <w:pStyle w:val="-f3"/>
        <w:kinsoku w:val="0"/>
        <w:overflowPunct w:val="0"/>
        <w:topLinePunct/>
        <w:spacing w:before="120" w:after="120"/>
        <w:ind w:leftChars="128" w:left="307"/>
        <w:rPr>
          <w:rFonts w:ascii="標楷體" w:hAnsi="標楷體"/>
          <w:color w:val="000000" w:themeColor="text1"/>
          <w:szCs w:val="28"/>
          <w:shd w:val="clear" w:color="auto" w:fill="FFFFFF" w:themeFill="background1"/>
        </w:rPr>
      </w:pPr>
      <w:bookmarkStart w:id="33" w:name="_一、本會主辦議案及人民請願案數量統計表"/>
      <w:bookmarkStart w:id="34" w:name="_二、本會各類會議次數統計表"/>
      <w:bookmarkStart w:id="35" w:name="_三、本會召開會議概況表"/>
      <w:bookmarkStart w:id="36" w:name="三、本會召開會議概況表"/>
      <w:bookmarkStart w:id="37" w:name="_Toc510167623"/>
      <w:bookmarkStart w:id="38" w:name="_Toc1401025"/>
      <w:bookmarkStart w:id="39" w:name="_Toc42531677"/>
      <w:bookmarkStart w:id="40" w:name="_Toc240446505"/>
      <w:bookmarkEnd w:id="33"/>
      <w:bookmarkEnd w:id="34"/>
      <w:bookmarkEnd w:id="35"/>
      <w:r w:rsidRPr="001B6E4D">
        <w:rPr>
          <w:rFonts w:ascii="標楷體" w:hAnsi="標楷體" w:hint="eastAsia"/>
          <w:color w:val="000000" w:themeColor="text1"/>
          <w:szCs w:val="28"/>
          <w:shd w:val="clear" w:color="auto" w:fill="FFFFFF" w:themeFill="background1"/>
        </w:rPr>
        <w:t>一、</w:t>
      </w:r>
      <w:r w:rsidRPr="001B6E4D">
        <w:rPr>
          <w:rFonts w:ascii="標楷體" w:hAnsi="標楷體"/>
          <w:color w:val="000000" w:themeColor="text1"/>
          <w:szCs w:val="28"/>
          <w:shd w:val="clear" w:color="auto" w:fill="FFFFFF" w:themeFill="background1"/>
        </w:rPr>
        <w:t>會</w:t>
      </w:r>
      <w:r w:rsidRPr="001B6E4D">
        <w:rPr>
          <w:rFonts w:ascii="標楷體" w:hAnsi="標楷體" w:hint="eastAsia"/>
          <w:color w:val="000000" w:themeColor="text1"/>
          <w:szCs w:val="28"/>
          <w:shd w:val="clear" w:color="auto" w:fill="FFFFFF" w:themeFill="background1"/>
        </w:rPr>
        <w:t>務</w:t>
      </w:r>
      <w:r w:rsidRPr="001B6E4D">
        <w:rPr>
          <w:rFonts w:ascii="標楷體" w:hAnsi="標楷體"/>
          <w:color w:val="000000" w:themeColor="text1"/>
          <w:szCs w:val="28"/>
          <w:shd w:val="clear" w:color="auto" w:fill="FFFFFF" w:themeFill="background1"/>
        </w:rPr>
        <w:t>概況</w:t>
      </w:r>
      <w:bookmarkEnd w:id="29"/>
      <w:bookmarkEnd w:id="30"/>
      <w:bookmarkEnd w:id="31"/>
      <w:bookmarkEnd w:id="32"/>
      <w:r w:rsidRPr="001B6E4D">
        <w:rPr>
          <w:rFonts w:ascii="標楷體" w:hAnsi="標楷體" w:hint="eastAsia"/>
          <w:color w:val="000000" w:themeColor="text1"/>
          <w:szCs w:val="28"/>
          <w:shd w:val="clear" w:color="auto" w:fill="FFFFFF" w:themeFill="background1"/>
        </w:rPr>
        <w:t>一覽</w:t>
      </w:r>
      <w:r w:rsidRPr="001B6E4D">
        <w:rPr>
          <w:rFonts w:ascii="標楷體" w:hAnsi="標楷體"/>
          <w:color w:val="000000" w:themeColor="text1"/>
          <w:szCs w:val="28"/>
          <w:shd w:val="clear" w:color="auto" w:fill="FFFFFF" w:themeFill="background1"/>
        </w:rPr>
        <w:t>表</w:t>
      </w:r>
      <w:bookmarkEnd w:id="36"/>
      <w:bookmarkEnd w:id="37"/>
      <w:bookmarkEnd w:id="38"/>
      <w:bookmarkEnd w:id="39"/>
      <w:bookmarkEnd w:id="40"/>
    </w:p>
    <w:p w14:paraId="06871033" w14:textId="0626F020" w:rsidR="0078100D" w:rsidRPr="001B6E4D" w:rsidRDefault="0078100D" w:rsidP="003D1018">
      <w:pPr>
        <w:overflowPunct w:val="0"/>
        <w:spacing w:beforeLines="50" w:before="120" w:afterLines="50" w:after="120"/>
        <w:jc w:val="center"/>
        <w:rPr>
          <w:rFonts w:ascii="標楷體" w:eastAsia="標楷體" w:hAnsi="標楷體"/>
          <w:b/>
          <w:color w:val="000000" w:themeColor="text1"/>
          <w:sz w:val="28"/>
          <w:szCs w:val="28"/>
          <w:shd w:val="clear" w:color="auto" w:fill="FFFFFF" w:themeFill="background1"/>
        </w:rPr>
      </w:pPr>
      <w:r w:rsidRPr="001B6E4D">
        <w:rPr>
          <w:rFonts w:ascii="標楷體" w:eastAsia="標楷體" w:hAnsi="標楷體"/>
          <w:b/>
          <w:color w:val="000000" w:themeColor="text1"/>
          <w:sz w:val="28"/>
          <w:szCs w:val="28"/>
          <w:shd w:val="clear" w:color="auto" w:fill="FFFFFF" w:themeFill="background1"/>
        </w:rPr>
        <w:t>第</w:t>
      </w:r>
      <w:r w:rsidRPr="001B6E4D">
        <w:rPr>
          <w:rFonts w:ascii="標楷體" w:eastAsia="標楷體" w:hAnsi="標楷體" w:hint="eastAsia"/>
          <w:b/>
          <w:color w:val="000000" w:themeColor="text1"/>
          <w:sz w:val="28"/>
          <w:szCs w:val="28"/>
          <w:shd w:val="clear" w:color="auto" w:fill="FFFFFF" w:themeFill="background1"/>
        </w:rPr>
        <w:t>11</w:t>
      </w:r>
      <w:r w:rsidRPr="001B6E4D">
        <w:rPr>
          <w:rFonts w:ascii="標楷體" w:eastAsia="標楷體" w:hAnsi="標楷體"/>
          <w:b/>
          <w:color w:val="000000" w:themeColor="text1"/>
          <w:sz w:val="28"/>
          <w:szCs w:val="28"/>
          <w:shd w:val="clear" w:color="auto" w:fill="FFFFFF" w:themeFill="background1"/>
        </w:rPr>
        <w:t>屆第</w:t>
      </w:r>
      <w:r w:rsidR="002C0A56" w:rsidRPr="001B6E4D">
        <w:rPr>
          <w:rFonts w:ascii="標楷體" w:eastAsia="標楷體" w:hAnsi="標楷體" w:hint="eastAsia"/>
          <w:b/>
          <w:color w:val="000000" w:themeColor="text1"/>
          <w:sz w:val="28"/>
          <w:szCs w:val="28"/>
          <w:shd w:val="clear" w:color="auto" w:fill="FFFFFF" w:themeFill="background1"/>
        </w:rPr>
        <w:t>5</w:t>
      </w:r>
      <w:r w:rsidRPr="001B6E4D">
        <w:rPr>
          <w:rFonts w:ascii="標楷體" w:eastAsia="標楷體" w:hAnsi="標楷體"/>
          <w:b/>
          <w:color w:val="000000" w:themeColor="text1"/>
          <w:sz w:val="28"/>
          <w:szCs w:val="28"/>
          <w:shd w:val="clear" w:color="auto" w:fill="FFFFFF" w:themeFill="background1"/>
        </w:rPr>
        <w:t>會期司法及法制委員會會議概況表</w:t>
      </w:r>
    </w:p>
    <w:tbl>
      <w:tblPr>
        <w:tblpPr w:leftFromText="180" w:rightFromText="180" w:vertAnchor="text" w:tblpXSpec="center" w:tblpY="1"/>
        <w:tblOverlap w:val="never"/>
        <w:tblW w:w="5517"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1326"/>
        <w:gridCol w:w="1491"/>
        <w:gridCol w:w="2262"/>
        <w:gridCol w:w="2036"/>
        <w:gridCol w:w="2218"/>
      </w:tblGrid>
      <w:tr w:rsidR="005A76C8" w:rsidRPr="001B6E4D" w14:paraId="3202991A" w14:textId="77777777" w:rsidTr="005C6B6B">
        <w:trPr>
          <w:trHeight w:val="680"/>
          <w:tblHeader/>
        </w:trPr>
        <w:tc>
          <w:tcPr>
            <w:tcW w:w="710" w:type="pct"/>
            <w:tcBorders>
              <w:top w:val="single" w:sz="18" w:space="0" w:color="auto"/>
              <w:bottom w:val="single" w:sz="4" w:space="0" w:color="auto"/>
            </w:tcBorders>
            <w:shd w:val="clear" w:color="auto" w:fill="D9D9D9"/>
            <w:vAlign w:val="center"/>
            <w:hideMark/>
          </w:tcPr>
          <w:p w14:paraId="0767BD17" w14:textId="77777777" w:rsidR="005A76C8" w:rsidRPr="001B6E4D" w:rsidRDefault="005A76C8" w:rsidP="003D1018">
            <w:pPr>
              <w:widowControl w:val="0"/>
              <w:overflowPunct w:val="0"/>
              <w:spacing w:line="300" w:lineRule="exact"/>
              <w:jc w:val="center"/>
              <w:rPr>
                <w:rFonts w:ascii="標楷體" w:eastAsia="標楷體" w:hAnsi="標楷體"/>
                <w:b/>
                <w:kern w:val="0"/>
              </w:rPr>
            </w:pPr>
            <w:bookmarkStart w:id="41" w:name="_Toc510167625"/>
            <w:bookmarkStart w:id="42" w:name="_Toc1401027"/>
            <w:bookmarkStart w:id="43" w:name="_Toc42531679"/>
            <w:r w:rsidRPr="001B6E4D">
              <w:rPr>
                <w:rFonts w:ascii="標楷體" w:eastAsia="標楷體" w:hAnsi="標楷體" w:hint="eastAsia"/>
                <w:b/>
                <w:kern w:val="0"/>
              </w:rPr>
              <w:t>會議名稱</w:t>
            </w:r>
          </w:p>
        </w:tc>
        <w:tc>
          <w:tcPr>
            <w:tcW w:w="799" w:type="pct"/>
            <w:tcBorders>
              <w:top w:val="single" w:sz="18" w:space="0" w:color="auto"/>
              <w:bottom w:val="single" w:sz="4" w:space="0" w:color="auto"/>
            </w:tcBorders>
            <w:shd w:val="clear" w:color="auto" w:fill="D9D9D9"/>
            <w:vAlign w:val="center"/>
            <w:hideMark/>
          </w:tcPr>
          <w:p w14:paraId="31CDD5A7" w14:textId="77777777" w:rsidR="005A76C8" w:rsidRPr="001B6E4D" w:rsidRDefault="005A76C8" w:rsidP="003D1018">
            <w:pPr>
              <w:widowControl w:val="0"/>
              <w:overflowPunct w:val="0"/>
              <w:spacing w:line="300" w:lineRule="exact"/>
              <w:jc w:val="center"/>
              <w:rPr>
                <w:rFonts w:ascii="標楷體" w:eastAsia="標楷體" w:hAnsi="標楷體"/>
                <w:b/>
                <w:kern w:val="0"/>
              </w:rPr>
            </w:pPr>
            <w:r w:rsidRPr="001B6E4D">
              <w:rPr>
                <w:rFonts w:ascii="標楷體" w:eastAsia="標楷體" w:hAnsi="標楷體" w:hint="eastAsia"/>
                <w:b/>
                <w:kern w:val="0"/>
              </w:rPr>
              <w:t>會議日期</w:t>
            </w:r>
          </w:p>
        </w:tc>
        <w:tc>
          <w:tcPr>
            <w:tcW w:w="1212" w:type="pct"/>
            <w:tcBorders>
              <w:top w:val="single" w:sz="18" w:space="0" w:color="auto"/>
              <w:bottom w:val="single" w:sz="4" w:space="0" w:color="auto"/>
            </w:tcBorders>
            <w:shd w:val="clear" w:color="auto" w:fill="D9D9D9"/>
            <w:vAlign w:val="center"/>
            <w:hideMark/>
          </w:tcPr>
          <w:p w14:paraId="408A2748" w14:textId="77777777" w:rsidR="005A76C8" w:rsidRPr="001B6E4D" w:rsidRDefault="005A76C8" w:rsidP="003D1018">
            <w:pPr>
              <w:widowControl w:val="0"/>
              <w:overflowPunct w:val="0"/>
              <w:spacing w:line="300" w:lineRule="exact"/>
              <w:jc w:val="center"/>
              <w:rPr>
                <w:rFonts w:ascii="標楷體" w:eastAsia="標楷體" w:hAnsi="標楷體"/>
                <w:b/>
                <w:kern w:val="0"/>
              </w:rPr>
            </w:pPr>
            <w:r w:rsidRPr="00A6702B">
              <w:rPr>
                <w:rFonts w:ascii="標楷體" w:eastAsia="標楷體" w:hAnsi="標楷體" w:hint="eastAsia"/>
                <w:b/>
                <w:spacing w:val="143"/>
                <w:kern w:val="0"/>
                <w:fitText w:val="1820" w:id="-386146559"/>
              </w:rPr>
              <w:t>會議內</w:t>
            </w:r>
            <w:r w:rsidRPr="00A6702B">
              <w:rPr>
                <w:rFonts w:ascii="標楷體" w:eastAsia="標楷體" w:hAnsi="標楷體" w:hint="eastAsia"/>
                <w:b/>
                <w:spacing w:val="1"/>
                <w:kern w:val="0"/>
                <w:fitText w:val="1820" w:id="-386146559"/>
              </w:rPr>
              <w:t>容</w:t>
            </w:r>
          </w:p>
        </w:tc>
        <w:tc>
          <w:tcPr>
            <w:tcW w:w="1091" w:type="pct"/>
            <w:tcBorders>
              <w:top w:val="single" w:sz="18" w:space="0" w:color="auto"/>
              <w:bottom w:val="single" w:sz="4" w:space="0" w:color="auto"/>
            </w:tcBorders>
            <w:shd w:val="clear" w:color="auto" w:fill="D9D9D9"/>
            <w:vAlign w:val="center"/>
            <w:hideMark/>
          </w:tcPr>
          <w:p w14:paraId="0F11D72A" w14:textId="77777777" w:rsidR="005A76C8" w:rsidRPr="001B6E4D" w:rsidRDefault="005A76C8" w:rsidP="003D1018">
            <w:pPr>
              <w:widowControl w:val="0"/>
              <w:overflowPunct w:val="0"/>
              <w:spacing w:line="300" w:lineRule="exact"/>
              <w:jc w:val="center"/>
              <w:rPr>
                <w:rFonts w:ascii="標楷體" w:eastAsia="標楷體" w:hAnsi="標楷體"/>
                <w:b/>
                <w:kern w:val="0"/>
              </w:rPr>
            </w:pPr>
            <w:r w:rsidRPr="001B6E4D">
              <w:rPr>
                <w:rFonts w:ascii="標楷體" w:eastAsia="標楷體" w:hAnsi="標楷體" w:hint="eastAsia"/>
                <w:b/>
                <w:kern w:val="0"/>
              </w:rPr>
              <w:t>主席</w:t>
            </w:r>
          </w:p>
          <w:p w14:paraId="3A783036" w14:textId="77777777" w:rsidR="005A76C8" w:rsidRPr="001B6E4D" w:rsidRDefault="005A76C8" w:rsidP="003D1018">
            <w:pPr>
              <w:widowControl w:val="0"/>
              <w:overflowPunct w:val="0"/>
              <w:spacing w:line="300" w:lineRule="exact"/>
              <w:jc w:val="center"/>
              <w:rPr>
                <w:rFonts w:ascii="標楷體" w:eastAsia="標楷體" w:hAnsi="標楷體"/>
                <w:b/>
                <w:kern w:val="0"/>
              </w:rPr>
            </w:pPr>
            <w:r w:rsidRPr="001B6E4D">
              <w:rPr>
                <w:rFonts w:ascii="標楷體" w:eastAsia="標楷體" w:hAnsi="標楷體" w:hint="eastAsia"/>
                <w:b/>
                <w:kern w:val="0"/>
              </w:rPr>
              <w:t>邀請列席機關、</w:t>
            </w:r>
          </w:p>
          <w:p w14:paraId="2FDE6C2C" w14:textId="77777777" w:rsidR="005A76C8" w:rsidRPr="001B6E4D" w:rsidRDefault="005A76C8" w:rsidP="003D1018">
            <w:pPr>
              <w:widowControl w:val="0"/>
              <w:overflowPunct w:val="0"/>
              <w:spacing w:line="300" w:lineRule="exact"/>
              <w:jc w:val="center"/>
              <w:rPr>
                <w:rFonts w:ascii="標楷體" w:eastAsia="標楷體" w:hAnsi="標楷體"/>
                <w:b/>
                <w:kern w:val="0"/>
              </w:rPr>
            </w:pPr>
            <w:r w:rsidRPr="001B6E4D">
              <w:rPr>
                <w:rFonts w:ascii="標楷體" w:eastAsia="標楷體" w:hAnsi="標楷體" w:hint="eastAsia"/>
                <w:b/>
                <w:kern w:val="0"/>
              </w:rPr>
              <w:t>人員</w:t>
            </w:r>
          </w:p>
        </w:tc>
        <w:tc>
          <w:tcPr>
            <w:tcW w:w="1188" w:type="pct"/>
            <w:tcBorders>
              <w:top w:val="single" w:sz="18" w:space="0" w:color="auto"/>
              <w:bottom w:val="single" w:sz="4" w:space="0" w:color="auto"/>
            </w:tcBorders>
            <w:shd w:val="clear" w:color="auto" w:fill="D9D9D9"/>
            <w:vAlign w:val="center"/>
            <w:hideMark/>
          </w:tcPr>
          <w:p w14:paraId="02E8A4B0" w14:textId="77777777" w:rsidR="005A76C8" w:rsidRPr="001B6E4D" w:rsidRDefault="005A76C8" w:rsidP="003D1018">
            <w:pPr>
              <w:widowControl w:val="0"/>
              <w:overflowPunct w:val="0"/>
              <w:spacing w:line="300" w:lineRule="exact"/>
              <w:jc w:val="center"/>
              <w:rPr>
                <w:rFonts w:ascii="標楷體" w:eastAsia="標楷體" w:hAnsi="標楷體"/>
                <w:b/>
                <w:kern w:val="0"/>
              </w:rPr>
            </w:pPr>
            <w:r w:rsidRPr="001B6E4D">
              <w:rPr>
                <w:rFonts w:ascii="標楷體" w:eastAsia="標楷體" w:hAnsi="標楷體" w:hint="eastAsia"/>
                <w:b/>
                <w:kern w:val="0"/>
              </w:rPr>
              <w:t>會議結果</w:t>
            </w:r>
          </w:p>
        </w:tc>
      </w:tr>
      <w:tr w:rsidR="005A76C8" w:rsidRPr="001B6E4D" w14:paraId="46946A61" w14:textId="77777777" w:rsidTr="005C6B6B">
        <w:tc>
          <w:tcPr>
            <w:tcW w:w="710" w:type="pct"/>
            <w:tcBorders>
              <w:top w:val="single" w:sz="4" w:space="0" w:color="auto"/>
            </w:tcBorders>
            <w:hideMark/>
          </w:tcPr>
          <w:p w14:paraId="28B857E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第1次全體委員會議</w:t>
            </w:r>
          </w:p>
        </w:tc>
        <w:tc>
          <w:tcPr>
            <w:tcW w:w="799" w:type="pct"/>
            <w:tcBorders>
              <w:top w:val="single" w:sz="4" w:space="0" w:color="auto"/>
            </w:tcBorders>
            <w:hideMark/>
          </w:tcPr>
          <w:p w14:paraId="431056FD"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w:t>
            </w:r>
            <w:r w:rsidRPr="001B6E4D">
              <w:rPr>
                <w:rFonts w:ascii="標楷體" w:eastAsia="標楷體" w:hAnsi="標楷體"/>
                <w:color w:val="000000"/>
                <w:spacing w:val="-20"/>
                <w:kern w:val="0"/>
              </w:rPr>
              <w:t>5</w:t>
            </w:r>
            <w:r w:rsidRPr="001B6E4D">
              <w:rPr>
                <w:rFonts w:ascii="標楷體" w:eastAsia="標楷體" w:hAnsi="標楷體" w:hint="eastAsia"/>
                <w:color w:val="000000"/>
                <w:spacing w:val="-20"/>
                <w:kern w:val="0"/>
              </w:rPr>
              <w:t>年</w:t>
            </w:r>
            <w:r w:rsidRPr="001B6E4D">
              <w:rPr>
                <w:rFonts w:ascii="標楷體" w:eastAsia="標楷體" w:hAnsi="標楷體"/>
                <w:color w:val="000000"/>
                <w:spacing w:val="-20"/>
                <w:kern w:val="0"/>
              </w:rPr>
              <w:t>3</w:t>
            </w:r>
            <w:r w:rsidRPr="001B6E4D">
              <w:rPr>
                <w:rFonts w:ascii="標楷體" w:eastAsia="標楷體" w:hAnsi="標楷體" w:hint="eastAsia"/>
                <w:color w:val="000000"/>
                <w:spacing w:val="-20"/>
                <w:kern w:val="0"/>
              </w:rPr>
              <w:t>月11日（星期三）</w:t>
            </w:r>
          </w:p>
        </w:tc>
        <w:tc>
          <w:tcPr>
            <w:tcW w:w="1212" w:type="pct"/>
            <w:tcBorders>
              <w:top w:val="single" w:sz="4" w:space="0" w:color="auto"/>
            </w:tcBorders>
            <w:hideMark/>
          </w:tcPr>
          <w:p w14:paraId="64E5F23D" w14:textId="77777777" w:rsidR="005A76C8" w:rsidRPr="001B6E4D" w:rsidRDefault="005A76C8" w:rsidP="003D1018">
            <w:pPr>
              <w:widowControl w:val="0"/>
              <w:tabs>
                <w:tab w:val="left" w:pos="-38"/>
              </w:tabs>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rPr>
              <w:t>選舉本會召集委員。</w:t>
            </w:r>
          </w:p>
        </w:tc>
        <w:tc>
          <w:tcPr>
            <w:tcW w:w="1091" w:type="pct"/>
            <w:tcBorders>
              <w:top w:val="single" w:sz="4" w:space="0" w:color="auto"/>
            </w:tcBorders>
            <w:hideMark/>
          </w:tcPr>
          <w:p w14:paraId="648AEF3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推舉柯委員建銘擔任主席。</w:t>
            </w:r>
          </w:p>
        </w:tc>
        <w:tc>
          <w:tcPr>
            <w:tcW w:w="1188" w:type="pct"/>
            <w:tcBorders>
              <w:top w:val="single" w:sz="4" w:space="0" w:color="auto"/>
            </w:tcBorders>
            <w:hideMark/>
          </w:tcPr>
          <w:p w14:paraId="6FEEDD7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由本會委員推選出翁委員曉玲及莊委員瑞雄為本會期本會召集委員。</w:t>
            </w:r>
          </w:p>
          <w:p w14:paraId="41070D42" w14:textId="287CB672"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（第115卷18期</w:t>
            </w:r>
            <w:r w:rsidRPr="001B6E4D">
              <w:rPr>
                <w:rFonts w:ascii="標楷體" w:eastAsia="標楷體" w:hAnsi="標楷體"/>
                <w:color w:val="000000"/>
                <w:kern w:val="0"/>
              </w:rPr>
              <w:t>5</w:t>
            </w:r>
            <w:r w:rsidRPr="001B6E4D">
              <w:rPr>
                <w:rFonts w:ascii="標楷體" w:eastAsia="標楷體" w:hAnsi="標楷體" w:hint="eastAsia"/>
                <w:color w:val="000000"/>
                <w:kern w:val="0"/>
              </w:rPr>
              <w:t>4</w:t>
            </w:r>
            <w:r w:rsidRPr="001B6E4D">
              <w:rPr>
                <w:rFonts w:ascii="標楷體" w:eastAsia="標楷體" w:hAnsi="標楷體"/>
                <w:color w:val="000000"/>
                <w:kern w:val="0"/>
              </w:rPr>
              <w:t>1</w:t>
            </w:r>
            <w:r w:rsidRPr="001B6E4D">
              <w:rPr>
                <w:rFonts w:ascii="標楷體" w:eastAsia="標楷體" w:hAnsi="標楷體" w:hint="eastAsia"/>
                <w:color w:val="000000"/>
                <w:kern w:val="0"/>
              </w:rPr>
              <w:t>7）</w:t>
            </w:r>
          </w:p>
        </w:tc>
      </w:tr>
      <w:tr w:rsidR="005A76C8" w:rsidRPr="001B6E4D" w14:paraId="6715D36D" w14:textId="77777777" w:rsidTr="005C6B6B">
        <w:tc>
          <w:tcPr>
            <w:tcW w:w="710" w:type="pct"/>
            <w:hideMark/>
          </w:tcPr>
          <w:p w14:paraId="46C1D71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第1次召集委員會議</w:t>
            </w:r>
          </w:p>
        </w:tc>
        <w:tc>
          <w:tcPr>
            <w:tcW w:w="799" w:type="pct"/>
            <w:hideMark/>
          </w:tcPr>
          <w:p w14:paraId="15647A20"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w:t>
            </w:r>
            <w:r w:rsidRPr="001B6E4D">
              <w:rPr>
                <w:rFonts w:ascii="標楷體" w:eastAsia="標楷體" w:hAnsi="標楷體"/>
                <w:color w:val="000000"/>
                <w:spacing w:val="-20"/>
                <w:kern w:val="0"/>
              </w:rPr>
              <w:t>5</w:t>
            </w:r>
            <w:r w:rsidRPr="001B6E4D">
              <w:rPr>
                <w:rFonts w:ascii="標楷體" w:eastAsia="標楷體" w:hAnsi="標楷體" w:hint="eastAsia"/>
                <w:color w:val="000000"/>
                <w:spacing w:val="-20"/>
                <w:kern w:val="0"/>
              </w:rPr>
              <w:t>年</w:t>
            </w:r>
            <w:r w:rsidRPr="001B6E4D">
              <w:rPr>
                <w:rFonts w:ascii="標楷體" w:eastAsia="標楷體" w:hAnsi="標楷體"/>
                <w:color w:val="000000"/>
                <w:spacing w:val="-20"/>
                <w:kern w:val="0"/>
              </w:rPr>
              <w:t>3</w:t>
            </w:r>
            <w:r w:rsidRPr="001B6E4D">
              <w:rPr>
                <w:rFonts w:ascii="標楷體" w:eastAsia="標楷體" w:hAnsi="標楷體" w:hint="eastAsia"/>
                <w:color w:val="000000"/>
                <w:spacing w:val="-20"/>
                <w:kern w:val="0"/>
              </w:rPr>
              <w:t>月11日（星期三）</w:t>
            </w:r>
          </w:p>
        </w:tc>
        <w:tc>
          <w:tcPr>
            <w:tcW w:w="1212" w:type="pct"/>
            <w:hideMark/>
          </w:tcPr>
          <w:p w14:paraId="4AADD40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討論會務。</w:t>
            </w:r>
          </w:p>
        </w:tc>
        <w:tc>
          <w:tcPr>
            <w:tcW w:w="1091" w:type="pct"/>
            <w:hideMark/>
          </w:tcPr>
          <w:p w14:paraId="09ABBF1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1CCE0E0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莊召集委員瑞雄</w:t>
            </w:r>
          </w:p>
        </w:tc>
        <w:tc>
          <w:tcPr>
            <w:tcW w:w="1188" w:type="pct"/>
          </w:tcPr>
          <w:p w14:paraId="27FCD90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一、決議本會召集委員輪值要點及輪值表。</w:t>
            </w:r>
          </w:p>
          <w:p w14:paraId="2A1E4A5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二、推舉翁召集委員曉玲為本會擔任紀律委員會召集委員。</w:t>
            </w:r>
          </w:p>
        </w:tc>
      </w:tr>
      <w:tr w:rsidR="005A76C8" w:rsidRPr="001B6E4D" w14:paraId="087BBA23" w14:textId="77777777" w:rsidTr="005C6B6B">
        <w:tc>
          <w:tcPr>
            <w:tcW w:w="710" w:type="pct"/>
          </w:tcPr>
          <w:p w14:paraId="4B5CD9C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參訪活動</w:t>
            </w:r>
          </w:p>
        </w:tc>
        <w:tc>
          <w:tcPr>
            <w:tcW w:w="799" w:type="pct"/>
          </w:tcPr>
          <w:p w14:paraId="441CB28A"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115年3月16日（星期一）</w:t>
            </w:r>
          </w:p>
        </w:tc>
        <w:tc>
          <w:tcPr>
            <w:tcW w:w="1212" w:type="pct"/>
          </w:tcPr>
          <w:p w14:paraId="1BFA37E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參訪司法博物館（原臺灣</w:t>
            </w:r>
            <w:proofErr w:type="gramStart"/>
            <w:r w:rsidRPr="001B6E4D">
              <w:rPr>
                <w:rFonts w:ascii="標楷體" w:eastAsia="標楷體" w:hAnsi="標楷體" w:hint="eastAsia"/>
                <w:color w:val="000000"/>
                <w:kern w:val="0"/>
              </w:rPr>
              <w:t>臺</w:t>
            </w:r>
            <w:proofErr w:type="gramEnd"/>
            <w:r w:rsidRPr="001B6E4D">
              <w:rPr>
                <w:rFonts w:ascii="標楷體" w:eastAsia="標楷體" w:hAnsi="標楷體" w:hint="eastAsia"/>
                <w:color w:val="000000"/>
                <w:kern w:val="0"/>
              </w:rPr>
              <w:t>南地方法院）。</w:t>
            </w:r>
          </w:p>
        </w:tc>
        <w:tc>
          <w:tcPr>
            <w:tcW w:w="1091" w:type="pct"/>
          </w:tcPr>
          <w:p w14:paraId="693F04E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翁召集委員曉玲</w:t>
            </w:r>
          </w:p>
          <w:p w14:paraId="31AC4BB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39E27D7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司法院秘書長、臺灣高等法院臺南分院院長、臺灣</w:t>
            </w:r>
            <w:proofErr w:type="gramStart"/>
            <w:r w:rsidRPr="001B6E4D">
              <w:rPr>
                <w:rFonts w:ascii="標楷體" w:eastAsia="標楷體" w:hAnsi="標楷體" w:hint="eastAsia"/>
                <w:color w:val="000000"/>
                <w:kern w:val="0"/>
              </w:rPr>
              <w:t>臺</w:t>
            </w:r>
            <w:proofErr w:type="gramEnd"/>
            <w:r w:rsidRPr="001B6E4D">
              <w:rPr>
                <w:rFonts w:ascii="標楷體" w:eastAsia="標楷體" w:hAnsi="標楷體" w:hint="eastAsia"/>
                <w:color w:val="000000"/>
                <w:kern w:val="0"/>
              </w:rPr>
              <w:t>南地方法院院長</w:t>
            </w:r>
          </w:p>
        </w:tc>
        <w:tc>
          <w:tcPr>
            <w:tcW w:w="1188" w:type="pct"/>
          </w:tcPr>
          <w:p w14:paraId="40F4C02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tc>
      </w:tr>
      <w:tr w:rsidR="005A76C8" w:rsidRPr="001B6E4D" w14:paraId="4EFF1B90" w14:textId="77777777" w:rsidTr="005C6B6B">
        <w:tc>
          <w:tcPr>
            <w:tcW w:w="710" w:type="pct"/>
          </w:tcPr>
          <w:p w14:paraId="0DA085C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第2次全體委員會議</w:t>
            </w:r>
          </w:p>
        </w:tc>
        <w:tc>
          <w:tcPr>
            <w:tcW w:w="799" w:type="pct"/>
          </w:tcPr>
          <w:p w14:paraId="62387AC1"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115年3月18日、19日（星期三、四兩天一次會）</w:t>
            </w:r>
          </w:p>
        </w:tc>
        <w:tc>
          <w:tcPr>
            <w:tcW w:w="1212" w:type="pct"/>
          </w:tcPr>
          <w:p w14:paraId="2BCA340D" w14:textId="77777777" w:rsidR="005A76C8" w:rsidRPr="00004FA9" w:rsidRDefault="005A76C8" w:rsidP="003D1018">
            <w:pPr>
              <w:widowControl w:val="0"/>
              <w:overflowPunct w:val="0"/>
              <w:spacing w:line="300" w:lineRule="exact"/>
              <w:jc w:val="both"/>
              <w:rPr>
                <w:rFonts w:ascii="標楷體" w:eastAsia="標楷體" w:hAnsi="標楷體"/>
                <w:color w:val="000000"/>
                <w:spacing w:val="-6"/>
                <w:kern w:val="0"/>
              </w:rPr>
            </w:pPr>
            <w:r w:rsidRPr="00004FA9">
              <w:rPr>
                <w:rFonts w:ascii="標楷體" w:eastAsia="標楷體" w:hAnsi="標楷體" w:hint="eastAsia"/>
                <w:color w:val="000000"/>
                <w:spacing w:val="-6"/>
                <w:kern w:val="0"/>
              </w:rPr>
              <w:t>3月18日（星期三）</w:t>
            </w:r>
          </w:p>
          <w:p w14:paraId="073BACD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邀請法務部部長率所屬單位主管列席報告業務概況及立法計畫，並備質詢。</w:t>
            </w:r>
          </w:p>
          <w:p w14:paraId="17619C74" w14:textId="77777777" w:rsidR="005A76C8" w:rsidRPr="00004FA9" w:rsidRDefault="005A76C8" w:rsidP="003D1018">
            <w:pPr>
              <w:widowControl w:val="0"/>
              <w:overflowPunct w:val="0"/>
              <w:spacing w:line="300" w:lineRule="exact"/>
              <w:jc w:val="both"/>
              <w:rPr>
                <w:rFonts w:ascii="標楷體" w:eastAsia="標楷體" w:hAnsi="標楷體"/>
                <w:color w:val="000000"/>
                <w:spacing w:val="-6"/>
                <w:kern w:val="0"/>
              </w:rPr>
            </w:pPr>
            <w:r w:rsidRPr="00004FA9">
              <w:rPr>
                <w:rFonts w:ascii="標楷體" w:eastAsia="標楷體" w:hAnsi="標楷體" w:hint="eastAsia"/>
                <w:color w:val="000000"/>
                <w:spacing w:val="-6"/>
                <w:kern w:val="0"/>
              </w:rPr>
              <w:t>3月19日（星期四）</w:t>
            </w:r>
          </w:p>
          <w:p w14:paraId="16BBCF6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邀請考試院秘書長、考選部部長、銓敘部部長及公務人員保障暨培訓委員會主任委員列席報告業務概況及立法計畫，並備質詢。</w:t>
            </w:r>
          </w:p>
        </w:tc>
        <w:tc>
          <w:tcPr>
            <w:tcW w:w="1091" w:type="pct"/>
          </w:tcPr>
          <w:p w14:paraId="3E10844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1AAF53D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532F18FF" w14:textId="77777777" w:rsidR="005A76C8" w:rsidRPr="00004FA9" w:rsidRDefault="005A76C8" w:rsidP="003D1018">
            <w:pPr>
              <w:widowControl w:val="0"/>
              <w:overflowPunct w:val="0"/>
              <w:spacing w:line="300" w:lineRule="exact"/>
              <w:jc w:val="both"/>
              <w:rPr>
                <w:rFonts w:ascii="標楷體" w:eastAsia="標楷體" w:hAnsi="標楷體"/>
                <w:color w:val="000000"/>
                <w:spacing w:val="-18"/>
                <w:kern w:val="0"/>
              </w:rPr>
            </w:pPr>
            <w:r w:rsidRPr="00004FA9">
              <w:rPr>
                <w:rFonts w:ascii="標楷體" w:eastAsia="標楷體" w:hAnsi="標楷體" w:hint="eastAsia"/>
                <w:color w:val="000000"/>
                <w:spacing w:val="-18"/>
                <w:kern w:val="0"/>
              </w:rPr>
              <w:t>3月18日（星期三）</w:t>
            </w:r>
          </w:p>
          <w:p w14:paraId="50DEBE9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法務部部長及法務部所屬機關首長</w:t>
            </w:r>
          </w:p>
          <w:p w14:paraId="0C425311" w14:textId="77777777" w:rsidR="005A76C8" w:rsidRPr="00004FA9" w:rsidRDefault="005A76C8" w:rsidP="003D1018">
            <w:pPr>
              <w:widowControl w:val="0"/>
              <w:overflowPunct w:val="0"/>
              <w:spacing w:line="300" w:lineRule="exact"/>
              <w:jc w:val="both"/>
              <w:rPr>
                <w:rFonts w:ascii="標楷體" w:eastAsia="標楷體" w:hAnsi="標楷體"/>
                <w:color w:val="000000"/>
                <w:spacing w:val="-18"/>
                <w:kern w:val="0"/>
              </w:rPr>
            </w:pPr>
            <w:r w:rsidRPr="00004FA9">
              <w:rPr>
                <w:rFonts w:ascii="標楷體" w:eastAsia="標楷體" w:hAnsi="標楷體" w:hint="eastAsia"/>
                <w:color w:val="000000"/>
                <w:spacing w:val="-18"/>
                <w:kern w:val="0"/>
              </w:rPr>
              <w:t>3月19日（星期四）</w:t>
            </w:r>
          </w:p>
          <w:p w14:paraId="67796D1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考試院秘書長及考試院所屬機關首長</w:t>
            </w:r>
          </w:p>
        </w:tc>
        <w:tc>
          <w:tcPr>
            <w:tcW w:w="1188" w:type="pct"/>
          </w:tcPr>
          <w:p w14:paraId="385B1B38" w14:textId="77777777" w:rsidR="005A76C8" w:rsidRPr="00004FA9" w:rsidRDefault="005A76C8" w:rsidP="003D1018">
            <w:pPr>
              <w:widowControl w:val="0"/>
              <w:overflowPunct w:val="0"/>
              <w:spacing w:line="300" w:lineRule="exact"/>
              <w:jc w:val="both"/>
              <w:rPr>
                <w:rFonts w:ascii="標楷體" w:eastAsia="標楷體" w:hAnsi="標楷體"/>
                <w:color w:val="000000"/>
                <w:spacing w:val="-18"/>
                <w:kern w:val="0"/>
              </w:rPr>
            </w:pPr>
            <w:r w:rsidRPr="00004FA9">
              <w:rPr>
                <w:rFonts w:ascii="標楷體" w:eastAsia="標楷體" w:hAnsi="標楷體" w:hint="eastAsia"/>
                <w:color w:val="000000"/>
                <w:spacing w:val="-18"/>
                <w:kern w:val="0"/>
              </w:rPr>
              <w:t>3月18日（星期三）</w:t>
            </w:r>
          </w:p>
          <w:p w14:paraId="1A30039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
          <w:p w14:paraId="3F06A64D" w14:textId="77777777" w:rsidR="005A76C8" w:rsidRPr="00004FA9" w:rsidRDefault="005A76C8" w:rsidP="003D1018">
            <w:pPr>
              <w:widowControl w:val="0"/>
              <w:overflowPunct w:val="0"/>
              <w:spacing w:line="300" w:lineRule="exact"/>
              <w:jc w:val="both"/>
              <w:rPr>
                <w:rFonts w:ascii="標楷體" w:eastAsia="標楷體" w:hAnsi="標楷體"/>
                <w:color w:val="000000"/>
                <w:spacing w:val="-18"/>
                <w:kern w:val="0"/>
              </w:rPr>
            </w:pPr>
            <w:r w:rsidRPr="00004FA9">
              <w:rPr>
                <w:rFonts w:ascii="標楷體" w:eastAsia="標楷體" w:hAnsi="標楷體" w:hint="eastAsia"/>
                <w:color w:val="000000"/>
                <w:spacing w:val="-18"/>
                <w:kern w:val="0"/>
              </w:rPr>
              <w:t>3月19日（星期四）</w:t>
            </w:r>
          </w:p>
          <w:p w14:paraId="7D26A7C5" w14:textId="3EE4A5DF"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r w:rsidRPr="001B6E4D">
              <w:rPr>
                <w:rFonts w:ascii="標楷體" w:eastAsia="標楷體" w:hAnsi="標楷體"/>
                <w:color w:val="000000"/>
                <w:kern w:val="0"/>
              </w:rPr>
              <w:br/>
            </w:r>
            <w:r w:rsidRPr="001B6E4D">
              <w:rPr>
                <w:rFonts w:ascii="標楷體" w:eastAsia="標楷體" w:hAnsi="標楷體" w:hint="eastAsia"/>
                <w:color w:val="000000"/>
                <w:kern w:val="0"/>
              </w:rPr>
              <w:t>（第115卷21期</w:t>
            </w:r>
            <w:r w:rsidRPr="001B6E4D">
              <w:rPr>
                <w:rFonts w:ascii="標楷體" w:eastAsia="標楷體" w:hAnsi="標楷體"/>
                <w:color w:val="000000"/>
                <w:kern w:val="0"/>
              </w:rPr>
              <w:t>5</w:t>
            </w:r>
            <w:r w:rsidRPr="001B6E4D">
              <w:rPr>
                <w:rFonts w:ascii="標楷體" w:eastAsia="標楷體" w:hAnsi="標楷體" w:hint="eastAsia"/>
                <w:color w:val="000000"/>
                <w:kern w:val="0"/>
              </w:rPr>
              <w:t>420）</w:t>
            </w:r>
          </w:p>
        </w:tc>
      </w:tr>
      <w:tr w:rsidR="005A76C8" w:rsidRPr="001B6E4D" w14:paraId="2AECF233" w14:textId="77777777" w:rsidTr="005C6B6B">
        <w:tc>
          <w:tcPr>
            <w:tcW w:w="710" w:type="pct"/>
          </w:tcPr>
          <w:p w14:paraId="2BD14BD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考察活動</w:t>
            </w:r>
          </w:p>
        </w:tc>
        <w:tc>
          <w:tcPr>
            <w:tcW w:w="799" w:type="pct"/>
          </w:tcPr>
          <w:p w14:paraId="1757397F"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115年3月23日（星期一）</w:t>
            </w:r>
          </w:p>
        </w:tc>
        <w:tc>
          <w:tcPr>
            <w:tcW w:w="1212" w:type="pct"/>
          </w:tcPr>
          <w:p w14:paraId="08456E1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考察新北市政府少年輔導委員會「少輔輔導網絡合作模</w:t>
            </w:r>
            <w:r w:rsidRPr="001B6E4D">
              <w:rPr>
                <w:rFonts w:ascii="標楷體" w:eastAsia="標楷體" w:hAnsi="標楷體" w:hint="eastAsia"/>
                <w:color w:val="000000"/>
                <w:kern w:val="0"/>
              </w:rPr>
              <w:lastRenderedPageBreak/>
              <w:t>式及現行成少共犯困境」策進概況。</w:t>
            </w:r>
          </w:p>
        </w:tc>
        <w:tc>
          <w:tcPr>
            <w:tcW w:w="1091" w:type="pct"/>
          </w:tcPr>
          <w:p w14:paraId="6A9C4D1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0946D0D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spacing w:val="-10"/>
                <w:kern w:val="0"/>
              </w:rPr>
              <w:t>(張委員雅琳領隊)</w:t>
            </w:r>
          </w:p>
          <w:p w14:paraId="7CC76FC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0A17CF5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司法院少年及家事廳法官、法務部主任檢察官、內政部警政署刑事警察局副局長、衛生福利部保護服務司司長、新北市政府少年輔導委員會總督導、新北市政府警察局副局長、新北市政府教育局副局長、新北市政府衛生局副局長、新北市政府社會局兒童少年福利科專員</w:t>
            </w:r>
          </w:p>
        </w:tc>
        <w:tc>
          <w:tcPr>
            <w:tcW w:w="1188" w:type="pct"/>
          </w:tcPr>
          <w:p w14:paraId="4E799F9C"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p>
        </w:tc>
      </w:tr>
      <w:tr w:rsidR="005A76C8" w:rsidRPr="001B6E4D" w14:paraId="03BC4759" w14:textId="77777777" w:rsidTr="005C6B6B">
        <w:tc>
          <w:tcPr>
            <w:tcW w:w="710" w:type="pct"/>
          </w:tcPr>
          <w:p w14:paraId="5F144FC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第3次全體委員會議</w:t>
            </w:r>
          </w:p>
        </w:tc>
        <w:tc>
          <w:tcPr>
            <w:tcW w:w="799" w:type="pct"/>
          </w:tcPr>
          <w:p w14:paraId="2945DA3E"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115年3月25日、26日（星期三、四兩天一次會）</w:t>
            </w:r>
          </w:p>
        </w:tc>
        <w:tc>
          <w:tcPr>
            <w:tcW w:w="1212" w:type="pct"/>
          </w:tcPr>
          <w:p w14:paraId="77D2388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邀請行政院人事行政總處人事長列席報告業務概況及立法計畫，並備質詢。</w:t>
            </w:r>
          </w:p>
        </w:tc>
        <w:tc>
          <w:tcPr>
            <w:tcW w:w="1091" w:type="pct"/>
          </w:tcPr>
          <w:p w14:paraId="56CFF2E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莊召集委員瑞雄</w:t>
            </w:r>
          </w:p>
          <w:p w14:paraId="02A7646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6AC3E2B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行政院人事行政總處人事長及行政院人事行政總處所屬機關首長</w:t>
            </w:r>
          </w:p>
        </w:tc>
        <w:tc>
          <w:tcPr>
            <w:tcW w:w="1188" w:type="pct"/>
          </w:tcPr>
          <w:p w14:paraId="227668D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
          <w:p w14:paraId="77DD66C3" w14:textId="71FB4A3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kern w:val="0"/>
              </w:rPr>
              <w:t>（第115卷23期</w:t>
            </w:r>
            <w:r w:rsidRPr="001B6E4D">
              <w:rPr>
                <w:rFonts w:ascii="標楷體" w:eastAsia="標楷體" w:hAnsi="標楷體"/>
                <w:color w:val="000000"/>
                <w:kern w:val="0"/>
              </w:rPr>
              <w:t>5</w:t>
            </w:r>
            <w:r w:rsidRPr="001B6E4D">
              <w:rPr>
                <w:rFonts w:ascii="標楷體" w:eastAsia="標楷體" w:hAnsi="標楷體" w:hint="eastAsia"/>
                <w:color w:val="000000"/>
                <w:kern w:val="0"/>
              </w:rPr>
              <w:t>422）</w:t>
            </w:r>
          </w:p>
        </w:tc>
      </w:tr>
      <w:tr w:rsidR="005A76C8" w:rsidRPr="001B6E4D" w14:paraId="3F0CF4F3" w14:textId="77777777" w:rsidTr="005C6B6B">
        <w:tc>
          <w:tcPr>
            <w:tcW w:w="710" w:type="pct"/>
          </w:tcPr>
          <w:p w14:paraId="6909C23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第4次全體委員會議</w:t>
            </w:r>
          </w:p>
        </w:tc>
        <w:tc>
          <w:tcPr>
            <w:tcW w:w="799" w:type="pct"/>
          </w:tcPr>
          <w:p w14:paraId="366CFAF2"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115年3月30日（星期一）</w:t>
            </w:r>
          </w:p>
        </w:tc>
        <w:tc>
          <w:tcPr>
            <w:tcW w:w="1212" w:type="pct"/>
          </w:tcPr>
          <w:p w14:paraId="0DE3E18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邀請司法院秘書長、法務部部長、內政部警政署就「法院安全秩序維護與法警職權行使」進行專題報告，並備質詢。</w:t>
            </w:r>
          </w:p>
        </w:tc>
        <w:tc>
          <w:tcPr>
            <w:tcW w:w="1091" w:type="pct"/>
          </w:tcPr>
          <w:p w14:paraId="7A4F695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5389B12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3224BA07" w14:textId="42BC1D08"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司法院秘書長、法務部部長、內政部警政署</w:t>
            </w:r>
          </w:p>
        </w:tc>
        <w:tc>
          <w:tcPr>
            <w:tcW w:w="1188" w:type="pct"/>
          </w:tcPr>
          <w:p w14:paraId="50031E7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
          <w:p w14:paraId="46016859" w14:textId="39423513"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（第115卷26期</w:t>
            </w:r>
            <w:r w:rsidRPr="001B6E4D">
              <w:rPr>
                <w:rFonts w:ascii="標楷體" w:eastAsia="標楷體" w:hAnsi="標楷體"/>
                <w:color w:val="000000"/>
                <w:kern w:val="0"/>
              </w:rPr>
              <w:t>5</w:t>
            </w:r>
            <w:r w:rsidRPr="001B6E4D">
              <w:rPr>
                <w:rFonts w:ascii="標楷體" w:eastAsia="標楷體" w:hAnsi="標楷體" w:hint="eastAsia"/>
                <w:color w:val="000000"/>
                <w:kern w:val="0"/>
              </w:rPr>
              <w:t>425）</w:t>
            </w:r>
          </w:p>
        </w:tc>
      </w:tr>
      <w:tr w:rsidR="005A76C8" w:rsidRPr="001B6E4D" w14:paraId="095C4E7F" w14:textId="77777777" w:rsidTr="005C6B6B">
        <w:tc>
          <w:tcPr>
            <w:tcW w:w="710" w:type="pct"/>
          </w:tcPr>
          <w:p w14:paraId="6F1DE73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第5次全體委員會議</w:t>
            </w:r>
          </w:p>
        </w:tc>
        <w:tc>
          <w:tcPr>
            <w:tcW w:w="799" w:type="pct"/>
          </w:tcPr>
          <w:p w14:paraId="693C1A1F"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115年4月1日、2日（星期三、四兩天一次會）</w:t>
            </w:r>
          </w:p>
        </w:tc>
        <w:tc>
          <w:tcPr>
            <w:tcW w:w="1212" w:type="pct"/>
          </w:tcPr>
          <w:p w14:paraId="41C2FBE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（一）委員吳宗憲等18人擬具「民法第一千二百二十三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（二）委員林倩綺等19人擬具「民法第一千二百二十三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（三）委員羅廷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等19人擬具「民法第一千二百二十三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r>
            <w:r w:rsidRPr="001B6E4D">
              <w:rPr>
                <w:rFonts w:ascii="標楷體" w:eastAsia="標楷體" w:hAnsi="標楷體" w:hint="eastAsia"/>
                <w:color w:val="000000"/>
                <w:kern w:val="0"/>
              </w:rPr>
              <w:lastRenderedPageBreak/>
              <w:t>（四）委員林沛祥等18人擬具「民法第一千二百二十三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（五）委員柯志恩等16人擬具「民法第一千二百二十三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（六）委員楊瓊瓔等28人擬具「民法第一千二百二十三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（七）委員王鴻薇等16人擬具「民法第一千二百二十三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（八）委員翁曉玲等20人擬具「民法第一千二百二十三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（九）委員徐巧芯等19人擬具「民法第一千二百二十三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（十）委員林德福等31人擬具「民法第一千二百二十三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（十一）委員</w:t>
            </w:r>
            <w:proofErr w:type="gramStart"/>
            <w:r w:rsidRPr="001B6E4D">
              <w:rPr>
                <w:rFonts w:ascii="標楷體" w:eastAsia="標楷體" w:hAnsi="標楷體" w:hint="eastAsia"/>
                <w:color w:val="000000"/>
                <w:kern w:val="0"/>
              </w:rPr>
              <w:t>涂權吉</w:t>
            </w:r>
            <w:proofErr w:type="gramEnd"/>
            <w:r w:rsidRPr="001B6E4D">
              <w:rPr>
                <w:rFonts w:ascii="標楷體" w:eastAsia="標楷體" w:hAnsi="標楷體" w:hint="eastAsia"/>
                <w:color w:val="000000"/>
                <w:kern w:val="0"/>
              </w:rPr>
              <w:t>等23人擬具「民法第一千二百二十三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（十二）委員許宇</w:t>
            </w:r>
            <w:proofErr w:type="gramStart"/>
            <w:r w:rsidRPr="001B6E4D">
              <w:rPr>
                <w:rFonts w:ascii="標楷體" w:eastAsia="標楷體" w:hAnsi="標楷體" w:hint="eastAsia"/>
                <w:color w:val="000000"/>
                <w:kern w:val="0"/>
              </w:rPr>
              <w:t>甄</w:t>
            </w:r>
            <w:proofErr w:type="gramEnd"/>
            <w:r w:rsidRPr="001B6E4D">
              <w:rPr>
                <w:rFonts w:ascii="標楷體" w:eastAsia="標楷體" w:hAnsi="標楷體" w:hint="eastAsia"/>
                <w:color w:val="000000"/>
                <w:kern w:val="0"/>
              </w:rPr>
              <w:t>等17人擬具「民法第一千二百二十三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（十三）委員張智倫等18人擬具「民</w:t>
            </w:r>
            <w:r w:rsidRPr="001B6E4D">
              <w:rPr>
                <w:rFonts w:ascii="標楷體" w:eastAsia="標楷體" w:hAnsi="標楷體" w:hint="eastAsia"/>
                <w:color w:val="000000"/>
                <w:kern w:val="0"/>
              </w:rPr>
              <w:lastRenderedPageBreak/>
              <w:t>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（十四）委員黃健豪等16人擬具「民法第一千二百二十三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（十五）委員羅智強等18人擬具「民法第一千二百二十三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（十六）委員</w:t>
            </w:r>
            <w:proofErr w:type="gramStart"/>
            <w:r w:rsidRPr="001B6E4D">
              <w:rPr>
                <w:rFonts w:ascii="標楷體" w:eastAsia="標楷體" w:hAnsi="標楷體" w:hint="eastAsia"/>
                <w:color w:val="000000"/>
                <w:kern w:val="0"/>
              </w:rPr>
              <w:t>游顥</w:t>
            </w:r>
            <w:proofErr w:type="gramEnd"/>
            <w:r w:rsidRPr="001B6E4D">
              <w:rPr>
                <w:rFonts w:ascii="標楷體" w:eastAsia="標楷體" w:hAnsi="標楷體" w:hint="eastAsia"/>
                <w:color w:val="000000"/>
                <w:kern w:val="0"/>
              </w:rPr>
              <w:t>等16人擬具「民法第一千二百二十三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（十七）委員顏寬</w:t>
            </w:r>
            <w:proofErr w:type="gramStart"/>
            <w:r w:rsidRPr="001B6E4D">
              <w:rPr>
                <w:rFonts w:ascii="標楷體" w:eastAsia="標楷體" w:hAnsi="標楷體" w:hint="eastAsia"/>
                <w:color w:val="000000"/>
                <w:kern w:val="0"/>
              </w:rPr>
              <w:t>恒</w:t>
            </w:r>
            <w:proofErr w:type="gramEnd"/>
            <w:r w:rsidRPr="001B6E4D">
              <w:rPr>
                <w:rFonts w:ascii="標楷體" w:eastAsia="標楷體" w:hAnsi="標楷體" w:hint="eastAsia"/>
                <w:color w:val="000000"/>
                <w:kern w:val="0"/>
              </w:rPr>
              <w:t>等17人擬具「民法第一千二百二十三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（十八）委員賴士葆等16人擬具「民法第一千二百二十三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（十九）委員羅明才等18人擬具「民法第一千二百二十三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（二十）委員陳菁徽等17人擬具「民法第一千二百二十三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二、審查委員吳宗憲等18人擬具「民法繼承編施行法增訂第十二條條文草案」案。</w:t>
            </w:r>
          </w:p>
        </w:tc>
        <w:tc>
          <w:tcPr>
            <w:tcW w:w="1091" w:type="pct"/>
          </w:tcPr>
          <w:p w14:paraId="7046317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4FE59C8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36B35E6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法務部次長、司法院、內政部、財政部</w:t>
            </w:r>
          </w:p>
        </w:tc>
        <w:tc>
          <w:tcPr>
            <w:tcW w:w="1188" w:type="pct"/>
          </w:tcPr>
          <w:p w14:paraId="1C4CF82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第一案及第二案均審查完竣，須交由黨團協商。</w:t>
            </w:r>
          </w:p>
          <w:p w14:paraId="1A389FEF" w14:textId="1C1A319A"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（第115卷27期</w:t>
            </w:r>
            <w:r w:rsidRPr="001B6E4D">
              <w:rPr>
                <w:rFonts w:ascii="標楷體" w:eastAsia="標楷體" w:hAnsi="標楷體"/>
                <w:color w:val="000000"/>
                <w:kern w:val="0"/>
              </w:rPr>
              <w:t>5</w:t>
            </w:r>
            <w:r w:rsidRPr="001B6E4D">
              <w:rPr>
                <w:rFonts w:ascii="標楷體" w:eastAsia="標楷體" w:hAnsi="標楷體" w:hint="eastAsia"/>
                <w:color w:val="000000"/>
                <w:kern w:val="0"/>
              </w:rPr>
              <w:t>426）</w:t>
            </w:r>
          </w:p>
        </w:tc>
      </w:tr>
      <w:tr w:rsidR="005A76C8" w:rsidRPr="001B6E4D" w14:paraId="6CDAA04F" w14:textId="77777777" w:rsidTr="005C6B6B">
        <w:tc>
          <w:tcPr>
            <w:tcW w:w="710" w:type="pct"/>
          </w:tcPr>
          <w:p w14:paraId="353C1A3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公聽會</w:t>
            </w:r>
          </w:p>
        </w:tc>
        <w:tc>
          <w:tcPr>
            <w:tcW w:w="799" w:type="pct"/>
          </w:tcPr>
          <w:p w14:paraId="5DC716D5"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115年4月8日（星期三）</w:t>
            </w:r>
          </w:p>
        </w:tc>
        <w:tc>
          <w:tcPr>
            <w:tcW w:w="1212" w:type="pct"/>
          </w:tcPr>
          <w:p w14:paraId="39C3DB9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審查「總統</w:t>
            </w:r>
            <w:proofErr w:type="gramStart"/>
            <w:r w:rsidRPr="001B6E4D">
              <w:rPr>
                <w:rFonts w:ascii="標楷體" w:eastAsia="標楷體" w:hAnsi="標楷體" w:hint="eastAsia"/>
                <w:color w:val="000000"/>
                <w:kern w:val="0"/>
              </w:rPr>
              <w:t>咨</w:t>
            </w:r>
            <w:proofErr w:type="gramEnd"/>
            <w:r w:rsidRPr="001B6E4D">
              <w:rPr>
                <w:rFonts w:ascii="標楷體" w:eastAsia="標楷體" w:hAnsi="標楷體" w:hint="eastAsia"/>
                <w:color w:val="000000"/>
                <w:kern w:val="0"/>
              </w:rPr>
              <w:t>，為最高檢察署檢察總長邢泰釗任期於115年5月7日屆</w:t>
            </w:r>
            <w:r w:rsidRPr="001B6E4D">
              <w:rPr>
                <w:rFonts w:ascii="標楷體" w:eastAsia="標楷體" w:hAnsi="標楷體" w:hint="eastAsia"/>
                <w:color w:val="000000"/>
                <w:kern w:val="0"/>
              </w:rPr>
              <w:lastRenderedPageBreak/>
              <w:t>滿，茲依法院組織法第66條第2項規定，提名徐錫祥為最高檢察署檢察總長，</w:t>
            </w:r>
            <w:proofErr w:type="gramStart"/>
            <w:r w:rsidRPr="001B6E4D">
              <w:rPr>
                <w:rFonts w:ascii="標楷體" w:eastAsia="標楷體" w:hAnsi="標楷體" w:hint="eastAsia"/>
                <w:color w:val="000000"/>
                <w:kern w:val="0"/>
              </w:rPr>
              <w:t>咨</w:t>
            </w:r>
            <w:proofErr w:type="gramEnd"/>
            <w:r w:rsidRPr="001B6E4D">
              <w:rPr>
                <w:rFonts w:ascii="標楷體" w:eastAsia="標楷體" w:hAnsi="標楷體" w:hint="eastAsia"/>
                <w:color w:val="000000"/>
                <w:kern w:val="0"/>
              </w:rPr>
              <w:t>請同意案」公聽會。</w:t>
            </w:r>
          </w:p>
        </w:tc>
        <w:tc>
          <w:tcPr>
            <w:tcW w:w="1091" w:type="pct"/>
          </w:tcPr>
          <w:p w14:paraId="29CB42F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75D59A4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1E8D9D9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w:t>
            </w:r>
          </w:p>
        </w:tc>
        <w:tc>
          <w:tcPr>
            <w:tcW w:w="1188" w:type="pct"/>
          </w:tcPr>
          <w:p w14:paraId="39E3A26A" w14:textId="0D9D22FF"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（第115卷25期</w:t>
            </w:r>
            <w:r w:rsidRPr="001B6E4D">
              <w:rPr>
                <w:rFonts w:ascii="標楷體" w:eastAsia="標楷體" w:hAnsi="標楷體"/>
                <w:color w:val="000000"/>
                <w:kern w:val="0"/>
              </w:rPr>
              <w:t>5</w:t>
            </w:r>
            <w:r w:rsidRPr="001B6E4D">
              <w:rPr>
                <w:rFonts w:ascii="標楷體" w:eastAsia="標楷體" w:hAnsi="標楷體" w:hint="eastAsia"/>
                <w:color w:val="000000"/>
                <w:kern w:val="0"/>
              </w:rPr>
              <w:t>424）</w:t>
            </w:r>
          </w:p>
        </w:tc>
      </w:tr>
      <w:tr w:rsidR="005A76C8" w:rsidRPr="001B6E4D" w14:paraId="01A78DAB" w14:textId="77777777" w:rsidTr="005C6B6B">
        <w:tc>
          <w:tcPr>
            <w:tcW w:w="710" w:type="pct"/>
          </w:tcPr>
          <w:p w14:paraId="1A44F4C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司法及法制、內政委員會第1次聯席會議</w:t>
            </w:r>
          </w:p>
        </w:tc>
        <w:tc>
          <w:tcPr>
            <w:tcW w:w="799" w:type="pct"/>
          </w:tcPr>
          <w:p w14:paraId="62705149"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115年4月9日（星期四）</w:t>
            </w:r>
          </w:p>
        </w:tc>
        <w:tc>
          <w:tcPr>
            <w:tcW w:w="1212" w:type="pct"/>
          </w:tcPr>
          <w:p w14:paraId="09EB3E2E" w14:textId="77777777" w:rsidR="005A76C8" w:rsidRPr="001B6E4D" w:rsidRDefault="005A76C8" w:rsidP="003D1018">
            <w:pPr>
              <w:widowControl w:val="0"/>
              <w:overflowPunct w:val="0"/>
              <w:spacing w:line="300" w:lineRule="exact"/>
              <w:jc w:val="both"/>
              <w:rPr>
                <w:rFonts w:ascii="標楷體" w:eastAsia="標楷體" w:hAnsi="標楷體"/>
                <w:color w:val="000000"/>
                <w:spacing w:val="-2"/>
                <w:kern w:val="0"/>
              </w:rPr>
            </w:pPr>
            <w:r w:rsidRPr="001B6E4D">
              <w:rPr>
                <w:rFonts w:ascii="標楷體" w:eastAsia="標楷體" w:hAnsi="標楷體" w:hint="eastAsia"/>
                <w:color w:val="000000"/>
                <w:spacing w:val="-2"/>
                <w:kern w:val="0"/>
              </w:rPr>
              <w:t>審查「總統</w:t>
            </w:r>
            <w:proofErr w:type="gramStart"/>
            <w:r w:rsidRPr="001B6E4D">
              <w:rPr>
                <w:rFonts w:ascii="標楷體" w:eastAsia="標楷體" w:hAnsi="標楷體" w:hint="eastAsia"/>
                <w:color w:val="000000"/>
                <w:spacing w:val="-2"/>
                <w:kern w:val="0"/>
              </w:rPr>
              <w:t>咨</w:t>
            </w:r>
            <w:proofErr w:type="gramEnd"/>
            <w:r w:rsidRPr="001B6E4D">
              <w:rPr>
                <w:rFonts w:ascii="標楷體" w:eastAsia="標楷體" w:hAnsi="標楷體" w:hint="eastAsia"/>
                <w:color w:val="000000"/>
                <w:spacing w:val="-2"/>
                <w:kern w:val="0"/>
              </w:rPr>
              <w:t>，為最高檢察署檢察總長邢泰釗任期於115年5月7日屆滿，茲依法院組織法第66條第2項規定，提名徐錫祥為最高檢察署檢察總長，</w:t>
            </w:r>
            <w:proofErr w:type="gramStart"/>
            <w:r w:rsidRPr="001B6E4D">
              <w:rPr>
                <w:rFonts w:ascii="標楷體" w:eastAsia="標楷體" w:hAnsi="標楷體" w:hint="eastAsia"/>
                <w:color w:val="000000"/>
                <w:spacing w:val="-2"/>
                <w:kern w:val="0"/>
              </w:rPr>
              <w:t>咨</w:t>
            </w:r>
            <w:proofErr w:type="gramEnd"/>
            <w:r w:rsidRPr="001B6E4D">
              <w:rPr>
                <w:rFonts w:ascii="標楷體" w:eastAsia="標楷體" w:hAnsi="標楷體" w:hint="eastAsia"/>
                <w:color w:val="000000"/>
                <w:spacing w:val="-2"/>
                <w:kern w:val="0"/>
              </w:rPr>
              <w:t>請同意案」案。</w:t>
            </w:r>
          </w:p>
        </w:tc>
        <w:tc>
          <w:tcPr>
            <w:tcW w:w="1091" w:type="pct"/>
          </w:tcPr>
          <w:p w14:paraId="20BD2A5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莊召集委員瑞雄</w:t>
            </w:r>
          </w:p>
          <w:p w14:paraId="140D942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67F9B2D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法務部、最高檢察署檢察總長被提名人徐錫祥先生</w:t>
            </w:r>
          </w:p>
        </w:tc>
        <w:tc>
          <w:tcPr>
            <w:tcW w:w="1188" w:type="pct"/>
          </w:tcPr>
          <w:p w14:paraId="3EBF69C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審查完竣。</w:t>
            </w:r>
          </w:p>
          <w:p w14:paraId="714F1362" w14:textId="0D60C6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w:t>
            </w:r>
            <w:r w:rsidR="00163570" w:rsidRPr="001B6E4D">
              <w:rPr>
                <w:rFonts w:ascii="標楷體" w:eastAsia="標楷體" w:hAnsi="標楷體" w:hint="eastAsia"/>
                <w:color w:val="000000"/>
                <w:kern w:val="0"/>
              </w:rPr>
              <w:t>29</w:t>
            </w:r>
            <w:r w:rsidRPr="001B6E4D">
              <w:rPr>
                <w:rFonts w:ascii="標楷體" w:eastAsia="標楷體" w:hAnsi="標楷體" w:hint="eastAsia"/>
                <w:color w:val="000000"/>
                <w:kern w:val="0"/>
              </w:rPr>
              <w:t>期</w:t>
            </w:r>
            <w:r w:rsidRPr="001B6E4D">
              <w:rPr>
                <w:rFonts w:ascii="標楷體" w:eastAsia="標楷體" w:hAnsi="標楷體"/>
                <w:color w:val="000000"/>
                <w:kern w:val="0"/>
              </w:rPr>
              <w:t>5</w:t>
            </w:r>
            <w:r w:rsidRPr="001B6E4D">
              <w:rPr>
                <w:rFonts w:ascii="標楷體" w:eastAsia="標楷體" w:hAnsi="標楷體" w:hint="eastAsia"/>
                <w:color w:val="000000"/>
                <w:kern w:val="0"/>
              </w:rPr>
              <w:t>4</w:t>
            </w:r>
            <w:r w:rsidR="00163570" w:rsidRPr="001B6E4D">
              <w:rPr>
                <w:rFonts w:ascii="標楷體" w:eastAsia="標楷體" w:hAnsi="標楷體" w:hint="eastAsia"/>
                <w:color w:val="000000"/>
                <w:kern w:val="0"/>
              </w:rPr>
              <w:t>28</w:t>
            </w:r>
            <w:r w:rsidRPr="001B6E4D">
              <w:rPr>
                <w:rFonts w:ascii="標楷體" w:eastAsia="標楷體" w:hAnsi="標楷體" w:hint="eastAsia"/>
                <w:color w:val="000000"/>
                <w:kern w:val="0"/>
              </w:rPr>
              <w:t>）</w:t>
            </w:r>
          </w:p>
        </w:tc>
      </w:tr>
      <w:tr w:rsidR="005A76C8" w:rsidRPr="001B6E4D" w14:paraId="717B5B37" w14:textId="77777777" w:rsidTr="005C6B6B">
        <w:tc>
          <w:tcPr>
            <w:tcW w:w="710" w:type="pct"/>
          </w:tcPr>
          <w:p w14:paraId="13F27E5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w:t>
            </w:r>
            <w:r w:rsidRPr="001B6E4D">
              <w:rPr>
                <w:rFonts w:ascii="標楷體" w:eastAsia="標楷體" w:hAnsi="標楷體"/>
                <w:color w:val="000000"/>
                <w:kern w:val="0"/>
              </w:rPr>
              <w:t>6</w:t>
            </w:r>
            <w:r w:rsidRPr="001B6E4D">
              <w:rPr>
                <w:rFonts w:ascii="標楷體" w:eastAsia="標楷體" w:hAnsi="標楷體" w:hint="eastAsia"/>
                <w:color w:val="000000"/>
                <w:kern w:val="0"/>
              </w:rPr>
              <w:t>次全體委員會議</w:t>
            </w:r>
          </w:p>
        </w:tc>
        <w:tc>
          <w:tcPr>
            <w:tcW w:w="799" w:type="pct"/>
          </w:tcPr>
          <w:p w14:paraId="58E673D3"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w:t>
            </w:r>
            <w:r w:rsidRPr="001B6E4D">
              <w:rPr>
                <w:rFonts w:ascii="標楷體" w:eastAsia="標楷體" w:hAnsi="標楷體"/>
                <w:color w:val="000000"/>
                <w:spacing w:val="-20"/>
                <w:kern w:val="0"/>
              </w:rPr>
              <w:t>4</w:t>
            </w:r>
            <w:r w:rsidRPr="001B6E4D">
              <w:rPr>
                <w:rFonts w:ascii="標楷體" w:eastAsia="標楷體" w:hAnsi="標楷體" w:hint="eastAsia"/>
                <w:color w:val="000000"/>
                <w:spacing w:val="-20"/>
                <w:kern w:val="0"/>
              </w:rPr>
              <w:t>月</w:t>
            </w:r>
            <w:r w:rsidRPr="001B6E4D">
              <w:rPr>
                <w:rFonts w:ascii="標楷體" w:eastAsia="標楷體" w:hAnsi="標楷體"/>
                <w:color w:val="000000"/>
                <w:spacing w:val="-20"/>
                <w:kern w:val="0"/>
              </w:rPr>
              <w:t>13</w:t>
            </w:r>
            <w:r w:rsidRPr="001B6E4D">
              <w:rPr>
                <w:rFonts w:ascii="標楷體" w:eastAsia="標楷體" w:hAnsi="標楷體" w:hint="eastAsia"/>
                <w:color w:val="000000"/>
                <w:spacing w:val="-20"/>
                <w:kern w:val="0"/>
              </w:rPr>
              <w:t>日（星期一）</w:t>
            </w:r>
          </w:p>
        </w:tc>
        <w:tc>
          <w:tcPr>
            <w:tcW w:w="1212" w:type="pct"/>
          </w:tcPr>
          <w:p w14:paraId="1BF65A4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54F2383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（一）委員賴瑞隆等20人擬具「貪污治罪條例第十二</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B64BCA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（二）委員林倩綺等22人擬具「貪污治罪條例第十二</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2A61E8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（三）委員蔡易餘等16人擬具「貪污治罪條例第十二</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9ECC11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（四）委員王鴻薇等17人擬具「貪污治罪條例第十二</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AB81F6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（五）委員翁曉玲等17人擬具「貪污治罪條例第十二</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499143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（六）委員林思銘等17人擬具「貪污治罪條例第十二</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FA9A0D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二、繼續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098BC1D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（一）委員洪孟楷等21人擬具「中華民國刑法第八十三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198A40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（二）委員王育敏等21人擬具「中華民國刑法增訂第八十條之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p w14:paraId="67DAA17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w:t>
            </w:r>
            <w:proofErr w:type="gramStart"/>
            <w:r w:rsidRPr="001B6E4D">
              <w:rPr>
                <w:rFonts w:ascii="標楷體" w:eastAsia="標楷體" w:hAnsi="標楷體" w:hint="eastAsia"/>
                <w:color w:val="000000"/>
                <w:kern w:val="0"/>
              </w:rPr>
              <w:t>范</w:t>
            </w:r>
            <w:proofErr w:type="gramEnd"/>
            <w:r w:rsidRPr="001B6E4D">
              <w:rPr>
                <w:rFonts w:ascii="標楷體" w:eastAsia="標楷體" w:hAnsi="標楷體" w:hint="eastAsia"/>
                <w:color w:val="000000"/>
                <w:kern w:val="0"/>
              </w:rPr>
              <w:t>雲等22人擬具「中華民國刑法第八十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497095F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（四）委員郭昱晴等16人擬具「中華民國刑法第八十三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F36E33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（五）委員李昆澤等17人擬具「中華民國刑法第八十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7B8EE0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（六）台灣民眾黨黨團擬具「中華民國刑法第八十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C8FA1F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（七）委員李坤城等21人擬具「中華民國刑法第八十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D452F1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（八）委員張雅琳等18人擬具「中華民國刑法第八十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22D2FB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（九）委員黃捷等19人擬具「中華民國刑法第八十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A8C8B1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（十）委員</w:t>
            </w:r>
            <w:proofErr w:type="gramStart"/>
            <w:r w:rsidRPr="001B6E4D">
              <w:rPr>
                <w:rFonts w:ascii="標楷體" w:eastAsia="標楷體" w:hAnsi="標楷體" w:hint="eastAsia"/>
                <w:color w:val="000000"/>
                <w:kern w:val="0"/>
              </w:rPr>
              <w:t>林楚茵等</w:t>
            </w:r>
            <w:proofErr w:type="gramEnd"/>
            <w:r w:rsidRPr="001B6E4D">
              <w:rPr>
                <w:rFonts w:ascii="標楷體" w:eastAsia="標楷體" w:hAnsi="標楷體" w:hint="eastAsia"/>
                <w:color w:val="000000"/>
                <w:kern w:val="0"/>
              </w:rPr>
              <w:t>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CC01A9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（十一）委員吳沛憶等17人擬具「中華民國刑法第八十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0C8DFC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（十二）委員林月琴等20人擬具「中華民國刑法第八十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53ED0A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（十三）委員蔡其昌等17人擬具「中華民國刑法第八十三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35D7896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（十四）委員王美惠等18人擬具「中華民國刑法第八十三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8BE51F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（十五）委員陳素月等19人擬具「中華民國刑法第八十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85B30A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（十六）委員洪孟楷等17人擬具「中華民國刑法第八十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4D66017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（十七）委員張宏陸等17人擬具「中華民國刑法第八十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D52C55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（十八）委員林倩綺等21人擬具「中華民國刑法第八十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4B695A4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（十九）委員吳思瑤等18人擬具「中華民國刑法第八十三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3B9D83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（二十）委員翁曉玲等17人擬具「中</w:t>
            </w:r>
            <w:r w:rsidRPr="001B6E4D">
              <w:rPr>
                <w:rFonts w:ascii="標楷體" w:eastAsia="標楷體" w:hAnsi="標楷體" w:hint="eastAsia"/>
                <w:color w:val="000000"/>
                <w:kern w:val="0"/>
              </w:rPr>
              <w:lastRenderedPageBreak/>
              <w:t>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BA8C88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（二十一）委員伍麗華</w:t>
            </w:r>
            <w:proofErr w:type="spellStart"/>
            <w:r w:rsidRPr="001B6E4D">
              <w:rPr>
                <w:rFonts w:ascii="標楷體" w:eastAsia="標楷體" w:hAnsi="標楷體" w:hint="eastAsia"/>
                <w:color w:val="000000"/>
                <w:kern w:val="0"/>
              </w:rPr>
              <w:t>Saidhai</w:t>
            </w:r>
            <w:proofErr w:type="spellEnd"/>
            <w:proofErr w:type="gramStart"/>
            <w:r w:rsidRPr="001B6E4D">
              <w:rPr>
                <w:rFonts w:ascii="標楷體" w:eastAsia="標楷體" w:hAnsi="標楷體" w:hint="eastAsia"/>
                <w:color w:val="000000"/>
                <w:kern w:val="0"/>
              </w:rPr>
              <w:t>‧</w:t>
            </w:r>
            <w:proofErr w:type="spellStart"/>
            <w:proofErr w:type="gramEnd"/>
            <w:r w:rsidRPr="001B6E4D">
              <w:rPr>
                <w:rFonts w:ascii="標楷體" w:eastAsia="標楷體" w:hAnsi="標楷體" w:hint="eastAsia"/>
                <w:color w:val="000000"/>
                <w:kern w:val="0"/>
              </w:rPr>
              <w:t>Tahovecahe</w:t>
            </w:r>
            <w:proofErr w:type="spellEnd"/>
            <w:r w:rsidRPr="001B6E4D">
              <w:rPr>
                <w:rFonts w:ascii="標楷體" w:eastAsia="標楷體" w:hAnsi="標楷體" w:hint="eastAsia"/>
                <w:color w:val="000000"/>
                <w:kern w:val="0"/>
              </w:rPr>
              <w:t>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5223B1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（二十二）委員羅智強等19人擬具「中華民國刑法第八十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D40A1F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（二十三）委員王鴻薇等18人擬具「中華民國刑法第八十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393443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（二十四）委員羅廷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等18人擬具「中華民國刑法第八十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43AC117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（二十五）委員王正旭等18人擬具「中華民國刑法第八十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3B272A9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（二十六）委員林思銘等20人擬具「中華民國刑法第八十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899E8A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（二十七）委員林宜瑾等19人擬具「中華民國刑法第八十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3801E6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（二十八）委員林俊憲等18人擬具「中華民國刑法第八十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51BEC7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（二十九）委員王美惠等17人擬具「中華民國刑法第</w:t>
            </w:r>
            <w:r w:rsidRPr="001B6E4D">
              <w:rPr>
                <w:rFonts w:ascii="標楷體" w:eastAsia="標楷體" w:hAnsi="標楷體" w:hint="eastAsia"/>
                <w:color w:val="000000"/>
                <w:kern w:val="0"/>
              </w:rPr>
              <w:lastRenderedPageBreak/>
              <w:t>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B4AE21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32D0CF9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（一）委員黃捷等19人擬具「中華民國刑法施行法增訂第八條之三條文草案」案。</w:t>
            </w:r>
          </w:p>
          <w:p w14:paraId="0FB9C80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w:t>
            </w:r>
            <w:proofErr w:type="gramStart"/>
            <w:r w:rsidRPr="001B6E4D">
              <w:rPr>
                <w:rFonts w:ascii="標楷體" w:eastAsia="標楷體" w:hAnsi="標楷體" w:hint="eastAsia"/>
                <w:color w:val="000000"/>
                <w:kern w:val="0"/>
              </w:rPr>
              <w:t>林楚茵等</w:t>
            </w:r>
            <w:proofErr w:type="gramEnd"/>
            <w:r w:rsidRPr="001B6E4D">
              <w:rPr>
                <w:rFonts w:ascii="標楷體" w:eastAsia="標楷體" w:hAnsi="標楷體" w:hint="eastAsia"/>
                <w:color w:val="000000"/>
                <w:kern w:val="0"/>
              </w:rPr>
              <w:t>16人擬具「中華民國刑法施行法第八條之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p>
          <w:p w14:paraId="653B700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（三）委員吳沛憶等17人擬具「中華民國刑法施行法第八條之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p>
          <w:p w14:paraId="3445EBA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（四）委員林月琴等21人擬具「中華民國刑法施行法增訂第八條之三條文草案」案。</w:t>
            </w:r>
          </w:p>
          <w:p w14:paraId="796E2C1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（五）委員蔡其昌等17人擬具「中華民國刑法施行法增訂第八條之三條文草案」案。</w:t>
            </w:r>
          </w:p>
          <w:p w14:paraId="129EB16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（六）委員王美惠等17人擬具「中華民國刑法施行法增訂第八條之三條文草案」案。</w:t>
            </w:r>
          </w:p>
          <w:p w14:paraId="6D08425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（七）委員陳素月等21人擬具「中華民國刑法施行法第八條之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p>
          <w:p w14:paraId="70E5C47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（八）委員林倩綺等21人擬具「中華民國刑法施行法第八條之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p>
          <w:p w14:paraId="39AFFB4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（九）委員吳思瑤等18人擬具「中華民國刑法施行法增訂第八條之三條文</w:t>
            </w:r>
            <w:r w:rsidRPr="001B6E4D">
              <w:rPr>
                <w:rFonts w:ascii="標楷體" w:eastAsia="標楷體" w:hAnsi="標楷體" w:hint="eastAsia"/>
                <w:color w:val="000000"/>
                <w:kern w:val="0"/>
              </w:rPr>
              <w:lastRenderedPageBreak/>
              <w:t>草案」案。</w:t>
            </w:r>
          </w:p>
          <w:p w14:paraId="2F48979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（十）委員羅智強等19人擬具「中華民國刑法施行法增訂第八條之三條文草案」案。</w:t>
            </w:r>
          </w:p>
          <w:p w14:paraId="0EECFEF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（十一）委員李坤城等20人擬具「中華民國刑法施行法第八條之二條文修正草案」案。</w:t>
            </w:r>
          </w:p>
          <w:p w14:paraId="34FDDB3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（十二）委員翁曉玲等27人擬具「中華民國刑法施行法第八條之二條文修正草案」案。</w:t>
            </w:r>
          </w:p>
          <w:p w14:paraId="09CEA6A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（十三）委員王鴻薇等18人擬具「中華民國刑法施行法第八條之二條文修正草案」案。</w:t>
            </w:r>
          </w:p>
          <w:p w14:paraId="57DBB22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（十四）委員王正旭等17人擬具「中華民國刑法施行法第八條之二條文修正草案」案。</w:t>
            </w:r>
          </w:p>
          <w:p w14:paraId="224D599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（十五）委員林俊憲等18人擬具「中華民國刑法施行法第八條之二條文修正草案」案。</w:t>
            </w:r>
          </w:p>
          <w:p w14:paraId="0C72687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（十六）委員王美惠等17人擬具「中華民國刑法施行法第八條之二條文修正草案」案。</w:t>
            </w:r>
          </w:p>
          <w:p w14:paraId="1C1DA38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38180C4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（一）委員王育敏等18人擬具「民法第一百九十七</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D9CA2A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（二）委員王世堅等16人擬具「民法增訂第一百九十七條之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p w14:paraId="4D19328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（三）委員陳素月</w:t>
            </w:r>
            <w:r w:rsidRPr="001B6E4D">
              <w:rPr>
                <w:rFonts w:ascii="標楷體" w:eastAsia="標楷體" w:hAnsi="標楷體" w:hint="eastAsia"/>
                <w:color w:val="000000"/>
                <w:kern w:val="0"/>
              </w:rPr>
              <w:lastRenderedPageBreak/>
              <w:t>等16人擬具「民法增訂第一百九十七條之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tc>
        <w:tc>
          <w:tcPr>
            <w:tcW w:w="1091" w:type="pct"/>
          </w:tcPr>
          <w:p w14:paraId="5AB4CFB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65919BC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1E1254F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一</w:t>
            </w:r>
            <w:proofErr w:type="gramEnd"/>
          </w:p>
          <w:p w14:paraId="40529DF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法務部部長、司法院</w:t>
            </w:r>
          </w:p>
          <w:p w14:paraId="3C82C77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開會事由二、三</w:t>
            </w:r>
          </w:p>
          <w:p w14:paraId="002B566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法務部部長、司法院、衛生福利部、內政部警政署</w:t>
            </w:r>
          </w:p>
          <w:p w14:paraId="199DB6E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開會事由四</w:t>
            </w:r>
          </w:p>
          <w:p w14:paraId="527DC84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法務部部長、司法院</w:t>
            </w:r>
          </w:p>
        </w:tc>
        <w:tc>
          <w:tcPr>
            <w:tcW w:w="1188" w:type="pct"/>
          </w:tcPr>
          <w:p w14:paraId="2E1C86F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第一案審查完竣，不須交由黨團協商；第二案（一）至（二十六）、第三案（一）至（十四）及第四案報告及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roofErr w:type="gramStart"/>
            <w:r w:rsidRPr="001B6E4D">
              <w:rPr>
                <w:rFonts w:ascii="標楷體" w:eastAsia="標楷體" w:hAnsi="標楷體" w:hint="eastAsia"/>
                <w:color w:val="000000"/>
                <w:kern w:val="0"/>
              </w:rPr>
              <w:t>均另定期</w:t>
            </w:r>
            <w:proofErr w:type="gramEnd"/>
            <w:r w:rsidRPr="001B6E4D">
              <w:rPr>
                <w:rFonts w:ascii="標楷體" w:eastAsia="標楷體" w:hAnsi="標楷體" w:hint="eastAsia"/>
                <w:color w:val="000000"/>
                <w:kern w:val="0"/>
              </w:rPr>
              <w:t>繼續審查；第二案（二十七）至（二十九）及第三案（十五）及（十六）各黨團未提出不復議同意書，不予審查。</w:t>
            </w:r>
          </w:p>
          <w:p w14:paraId="3E7A3621" w14:textId="0118950B" w:rsidR="00163570" w:rsidRPr="001B6E4D" w:rsidRDefault="00163570"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（第115卷30期</w:t>
            </w:r>
            <w:r w:rsidRPr="001B6E4D">
              <w:rPr>
                <w:rFonts w:ascii="標楷體" w:eastAsia="標楷體" w:hAnsi="標楷體"/>
                <w:color w:val="000000"/>
                <w:kern w:val="0"/>
              </w:rPr>
              <w:t>5</w:t>
            </w:r>
            <w:r w:rsidRPr="001B6E4D">
              <w:rPr>
                <w:rFonts w:ascii="標楷體" w:eastAsia="標楷體" w:hAnsi="標楷體" w:hint="eastAsia"/>
                <w:color w:val="000000"/>
                <w:kern w:val="0"/>
              </w:rPr>
              <w:t>429）</w:t>
            </w:r>
          </w:p>
        </w:tc>
      </w:tr>
      <w:tr w:rsidR="005A76C8" w:rsidRPr="001B6E4D" w14:paraId="50F8E854" w14:textId="77777777" w:rsidTr="005C6B6B">
        <w:tc>
          <w:tcPr>
            <w:tcW w:w="710" w:type="pct"/>
          </w:tcPr>
          <w:p w14:paraId="246734E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第7次全體委員會議</w:t>
            </w:r>
          </w:p>
        </w:tc>
        <w:tc>
          <w:tcPr>
            <w:tcW w:w="799" w:type="pct"/>
          </w:tcPr>
          <w:p w14:paraId="26657FB9"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115年4月15日（星期三）</w:t>
            </w:r>
          </w:p>
        </w:tc>
        <w:tc>
          <w:tcPr>
            <w:tcW w:w="1212" w:type="pct"/>
          </w:tcPr>
          <w:p w14:paraId="1EE1B51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邀請監察院秘書長列席說明立法計畫，並備質詢。</w:t>
            </w:r>
          </w:p>
        </w:tc>
        <w:tc>
          <w:tcPr>
            <w:tcW w:w="1091" w:type="pct"/>
          </w:tcPr>
          <w:p w14:paraId="53EC5DB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2DD3F7B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37D3173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監察院秘書長</w:t>
            </w:r>
          </w:p>
        </w:tc>
        <w:tc>
          <w:tcPr>
            <w:tcW w:w="1188" w:type="pct"/>
          </w:tcPr>
          <w:p w14:paraId="3D7D49C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
          <w:p w14:paraId="382DD2B3" w14:textId="6F532770" w:rsidR="00163570" w:rsidRPr="001B6E4D" w:rsidRDefault="00163570"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（第115卷31期</w:t>
            </w:r>
            <w:r w:rsidRPr="001B6E4D">
              <w:rPr>
                <w:rFonts w:ascii="標楷體" w:eastAsia="標楷體" w:hAnsi="標楷體"/>
                <w:color w:val="000000"/>
                <w:kern w:val="0"/>
              </w:rPr>
              <w:t>5</w:t>
            </w:r>
            <w:r w:rsidRPr="001B6E4D">
              <w:rPr>
                <w:rFonts w:ascii="標楷體" w:eastAsia="標楷體" w:hAnsi="標楷體" w:hint="eastAsia"/>
                <w:color w:val="000000"/>
                <w:kern w:val="0"/>
              </w:rPr>
              <w:t>430）</w:t>
            </w:r>
          </w:p>
        </w:tc>
      </w:tr>
      <w:tr w:rsidR="005A76C8" w:rsidRPr="001B6E4D" w14:paraId="0C1CCB48" w14:textId="77777777" w:rsidTr="005C6B6B">
        <w:tc>
          <w:tcPr>
            <w:tcW w:w="710" w:type="pct"/>
          </w:tcPr>
          <w:p w14:paraId="77F5CD6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考察活動</w:t>
            </w:r>
          </w:p>
        </w:tc>
        <w:tc>
          <w:tcPr>
            <w:tcW w:w="799" w:type="pct"/>
          </w:tcPr>
          <w:p w14:paraId="2BD60864"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115年4月20日（星期一）</w:t>
            </w:r>
          </w:p>
        </w:tc>
        <w:tc>
          <w:tcPr>
            <w:tcW w:w="1212" w:type="pct"/>
          </w:tcPr>
          <w:p w14:paraId="4D0CB6A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考察「法務部矯正署桃園</w:t>
            </w:r>
            <w:proofErr w:type="gramStart"/>
            <w:r w:rsidRPr="001B6E4D">
              <w:rPr>
                <w:rFonts w:ascii="標楷體" w:eastAsia="標楷體" w:hAnsi="標楷體" w:hint="eastAsia"/>
                <w:color w:val="000000"/>
                <w:kern w:val="0"/>
              </w:rPr>
              <w:t>敦</w:t>
            </w:r>
            <w:proofErr w:type="gramEnd"/>
            <w:r w:rsidRPr="001B6E4D">
              <w:rPr>
                <w:rFonts w:ascii="標楷體" w:eastAsia="標楷體" w:hAnsi="標楷體" w:hint="eastAsia"/>
                <w:color w:val="000000"/>
                <w:kern w:val="0"/>
              </w:rPr>
              <w:t>品中學」感化教育成效暨社會</w:t>
            </w:r>
            <w:proofErr w:type="gramStart"/>
            <w:r w:rsidRPr="001B6E4D">
              <w:rPr>
                <w:rFonts w:ascii="標楷體" w:eastAsia="標楷體" w:hAnsi="標楷體" w:hint="eastAsia"/>
                <w:color w:val="000000"/>
                <w:kern w:val="0"/>
              </w:rPr>
              <w:t>復歸轉銜</w:t>
            </w:r>
            <w:proofErr w:type="gramEnd"/>
            <w:r w:rsidRPr="001B6E4D">
              <w:rPr>
                <w:rFonts w:ascii="標楷體" w:eastAsia="標楷體" w:hAnsi="標楷體" w:hint="eastAsia"/>
                <w:color w:val="000000"/>
                <w:kern w:val="0"/>
              </w:rPr>
              <w:t>機制。</w:t>
            </w:r>
          </w:p>
        </w:tc>
        <w:tc>
          <w:tcPr>
            <w:tcW w:w="1091" w:type="pct"/>
          </w:tcPr>
          <w:p w14:paraId="7BC8D63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莊召集委員瑞雄</w:t>
            </w:r>
          </w:p>
          <w:p w14:paraId="62CF3E9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spacing w:val="-10"/>
                <w:kern w:val="0"/>
              </w:rPr>
              <w:t>(張委員雅琳領隊)</w:t>
            </w:r>
          </w:p>
          <w:p w14:paraId="43A0363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744D9BC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法務部矯正署副署長、</w:t>
            </w:r>
            <w:proofErr w:type="gramStart"/>
            <w:r w:rsidRPr="001B6E4D">
              <w:rPr>
                <w:rFonts w:ascii="標楷體" w:eastAsia="標楷體" w:hAnsi="標楷體" w:hint="eastAsia"/>
                <w:color w:val="000000"/>
                <w:kern w:val="0"/>
              </w:rPr>
              <w:t>敦</w:t>
            </w:r>
            <w:proofErr w:type="gramEnd"/>
            <w:r w:rsidRPr="001B6E4D">
              <w:rPr>
                <w:rFonts w:ascii="標楷體" w:eastAsia="標楷體" w:hAnsi="標楷體" w:hint="eastAsia"/>
                <w:color w:val="000000"/>
                <w:kern w:val="0"/>
              </w:rPr>
              <w:t>品中學校長</w:t>
            </w:r>
          </w:p>
        </w:tc>
        <w:tc>
          <w:tcPr>
            <w:tcW w:w="1188" w:type="pct"/>
          </w:tcPr>
          <w:p w14:paraId="605DDE0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tc>
      </w:tr>
      <w:tr w:rsidR="005A76C8" w:rsidRPr="001B6E4D" w14:paraId="7E4F219D" w14:textId="77777777" w:rsidTr="005C6B6B">
        <w:tc>
          <w:tcPr>
            <w:tcW w:w="710" w:type="pct"/>
          </w:tcPr>
          <w:p w14:paraId="47AF36D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司法及法制、內政委員會第2次聯席會議</w:t>
            </w:r>
          </w:p>
        </w:tc>
        <w:tc>
          <w:tcPr>
            <w:tcW w:w="799" w:type="pct"/>
          </w:tcPr>
          <w:p w14:paraId="27D88E7C"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115年4月22日（星期三）</w:t>
            </w:r>
          </w:p>
        </w:tc>
        <w:tc>
          <w:tcPr>
            <w:tcW w:w="1212" w:type="pct"/>
          </w:tcPr>
          <w:p w14:paraId="39DEE87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（一）行政院函請審議「海洋委員會海巡署組織法第三條及第十一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（二）委員張雅琳等20人擬具「海洋委員會海巡署組織法第三條及第十一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（三）委員莊瑞雄等16人擬具「海洋委員會海巡署組織法第三條及第十一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（四）委員沈發惠等19人擬具「海洋委員會海巡署組織法第三條及第十一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（五）委員羅廷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等19人擬具「海洋委員會海巡署組織法第三條及第十一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（六）委員王美惠等17人擬具「海洋委員會海巡署組織法第三條及第十一</w:t>
            </w:r>
            <w:proofErr w:type="gramStart"/>
            <w:r w:rsidRPr="001B6E4D">
              <w:rPr>
                <w:rFonts w:ascii="標楷體" w:eastAsia="標楷體" w:hAnsi="標楷體" w:hint="eastAsia"/>
                <w:color w:val="000000"/>
                <w:kern w:val="0"/>
              </w:rPr>
              <w:lastRenderedPageBreak/>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（七）委員吳沛憶等18人擬具「海洋委員會海巡署組織法第三條及第十一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（八）委員徐富</w:t>
            </w:r>
            <w:proofErr w:type="gramStart"/>
            <w:r w:rsidRPr="001B6E4D">
              <w:rPr>
                <w:rFonts w:ascii="標楷體" w:eastAsia="標楷體" w:hAnsi="標楷體" w:hint="eastAsia"/>
                <w:color w:val="000000"/>
                <w:kern w:val="0"/>
              </w:rPr>
              <w:t>癸</w:t>
            </w:r>
            <w:proofErr w:type="gramEnd"/>
            <w:r w:rsidRPr="001B6E4D">
              <w:rPr>
                <w:rFonts w:ascii="標楷體" w:eastAsia="標楷體" w:hAnsi="標楷體" w:hint="eastAsia"/>
                <w:color w:val="000000"/>
                <w:kern w:val="0"/>
              </w:rPr>
              <w:t>等18人擬具「海洋委員會海巡署組織法第三條及第十一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（九）委員郭昱晴等16人擬具「海洋委員會海巡署組織法第三條及第十一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tc>
        <w:tc>
          <w:tcPr>
            <w:tcW w:w="1091" w:type="pct"/>
          </w:tcPr>
          <w:p w14:paraId="3789DB2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3EA9358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7C77EF2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海洋委員會主任委員、銓敘部、行政院主計總處、行政院人事行政總處</w:t>
            </w:r>
          </w:p>
        </w:tc>
        <w:tc>
          <w:tcPr>
            <w:tcW w:w="1188" w:type="pct"/>
          </w:tcPr>
          <w:p w14:paraId="246C9DFF" w14:textId="77777777" w:rsidR="005A76C8" w:rsidRPr="001B6E4D" w:rsidRDefault="005A76C8" w:rsidP="005B7951">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第（一）至（八）案審查完竣，不須交由黨團協商；第（九）案各黨團未提出不復議同意書，不予審查。</w:t>
            </w:r>
          </w:p>
          <w:p w14:paraId="201FC82D" w14:textId="5B21EE98" w:rsidR="00CE6EEC" w:rsidRPr="001B6E4D" w:rsidRDefault="00CE6EEC"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（第115卷32期</w:t>
            </w:r>
            <w:r w:rsidRPr="001B6E4D">
              <w:rPr>
                <w:rFonts w:ascii="標楷體" w:eastAsia="標楷體" w:hAnsi="標楷體"/>
                <w:color w:val="000000"/>
                <w:kern w:val="0"/>
              </w:rPr>
              <w:t>5</w:t>
            </w:r>
            <w:r w:rsidRPr="001B6E4D">
              <w:rPr>
                <w:rFonts w:ascii="標楷體" w:eastAsia="標楷體" w:hAnsi="標楷體" w:hint="eastAsia"/>
                <w:color w:val="000000"/>
                <w:kern w:val="0"/>
              </w:rPr>
              <w:t>431）</w:t>
            </w:r>
          </w:p>
        </w:tc>
      </w:tr>
      <w:tr w:rsidR="005A76C8" w:rsidRPr="001B6E4D" w14:paraId="0415522A" w14:textId="77777777" w:rsidTr="005C6B6B">
        <w:tc>
          <w:tcPr>
            <w:tcW w:w="710" w:type="pct"/>
          </w:tcPr>
          <w:p w14:paraId="3CC977E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第8次全體委員會議</w:t>
            </w:r>
          </w:p>
        </w:tc>
        <w:tc>
          <w:tcPr>
            <w:tcW w:w="799" w:type="pct"/>
          </w:tcPr>
          <w:p w14:paraId="18089F53"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115年4月23日（星期四）</w:t>
            </w:r>
          </w:p>
        </w:tc>
        <w:tc>
          <w:tcPr>
            <w:tcW w:w="1212" w:type="pct"/>
          </w:tcPr>
          <w:p w14:paraId="1DD4E98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0C109B1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（一）行政院、司法院函請審議「民法親屬編部分條文修正草案」案。</w:t>
            </w:r>
          </w:p>
          <w:p w14:paraId="741BA00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w:t>
            </w:r>
            <w:proofErr w:type="gramStart"/>
            <w:r w:rsidRPr="001B6E4D">
              <w:rPr>
                <w:rFonts w:ascii="標楷體" w:eastAsia="標楷體" w:hAnsi="標楷體" w:hint="eastAsia"/>
                <w:color w:val="000000"/>
                <w:kern w:val="0"/>
              </w:rPr>
              <w:t>范</w:t>
            </w:r>
            <w:proofErr w:type="gramEnd"/>
            <w:r w:rsidRPr="001B6E4D">
              <w:rPr>
                <w:rFonts w:ascii="標楷體" w:eastAsia="標楷體" w:hAnsi="標楷體" w:hint="eastAsia"/>
                <w:color w:val="000000"/>
                <w:kern w:val="0"/>
              </w:rPr>
              <w:t>雲等19人擬具「民法部分條文修正草案」案。（11-1-3院會付委）</w:t>
            </w:r>
          </w:p>
          <w:p w14:paraId="62D6BCA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（三）委員陳素月等17人擬具「民法部分條文修正草案」案。（11-1-7院會付委）</w:t>
            </w:r>
          </w:p>
          <w:p w14:paraId="63102E9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（四）委員吳秉</w:t>
            </w:r>
            <w:proofErr w:type="gramStart"/>
            <w:r w:rsidRPr="001B6E4D">
              <w:rPr>
                <w:rFonts w:ascii="標楷體" w:eastAsia="標楷體" w:hAnsi="標楷體" w:hint="eastAsia"/>
                <w:color w:val="000000"/>
                <w:kern w:val="0"/>
              </w:rPr>
              <w:t>叡</w:t>
            </w:r>
            <w:proofErr w:type="gramEnd"/>
            <w:r w:rsidRPr="001B6E4D">
              <w:rPr>
                <w:rFonts w:ascii="標楷體" w:eastAsia="標楷體" w:hAnsi="標楷體" w:hint="eastAsia"/>
                <w:color w:val="000000"/>
                <w:kern w:val="0"/>
              </w:rPr>
              <w:t>等21人擬具「民法第一千零三十條之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p>
          <w:p w14:paraId="7ED8C54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（五）委員鄭天財</w:t>
            </w:r>
            <w:proofErr w:type="spellStart"/>
            <w:r w:rsidRPr="001B6E4D">
              <w:rPr>
                <w:rFonts w:ascii="標楷體" w:eastAsia="標楷體" w:hAnsi="標楷體" w:hint="eastAsia"/>
                <w:color w:val="000000"/>
                <w:kern w:val="0"/>
              </w:rPr>
              <w:t>Sra</w:t>
            </w:r>
            <w:proofErr w:type="spellEnd"/>
            <w:r w:rsidRPr="001B6E4D">
              <w:rPr>
                <w:rFonts w:ascii="標楷體" w:eastAsia="標楷體" w:hAnsi="標楷體" w:hint="eastAsia"/>
                <w:color w:val="000000"/>
                <w:kern w:val="0"/>
              </w:rPr>
              <w:t xml:space="preserve"> </w:t>
            </w:r>
            <w:proofErr w:type="spellStart"/>
            <w:r w:rsidRPr="001B6E4D">
              <w:rPr>
                <w:rFonts w:ascii="標楷體" w:eastAsia="標楷體" w:hAnsi="標楷體" w:hint="eastAsia"/>
                <w:color w:val="000000"/>
                <w:kern w:val="0"/>
              </w:rPr>
              <w:t>Kacaw</w:t>
            </w:r>
            <w:proofErr w:type="spellEnd"/>
            <w:r w:rsidRPr="001B6E4D">
              <w:rPr>
                <w:rFonts w:ascii="標楷體" w:eastAsia="標楷體" w:hAnsi="標楷體" w:hint="eastAsia"/>
                <w:color w:val="000000"/>
                <w:kern w:val="0"/>
              </w:rPr>
              <w:t>等16人擬具「民法部分條文修正草案」案。</w:t>
            </w:r>
          </w:p>
          <w:p w14:paraId="5D150DE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（六）委員沈發惠等17人擬具「民法部分條文修正草</w:t>
            </w:r>
            <w:r w:rsidRPr="001B6E4D">
              <w:rPr>
                <w:rFonts w:ascii="標楷體" w:eastAsia="標楷體" w:hAnsi="標楷體" w:hint="eastAsia"/>
                <w:color w:val="000000"/>
                <w:kern w:val="0"/>
              </w:rPr>
              <w:lastRenderedPageBreak/>
              <w:t>案」案。</w:t>
            </w:r>
          </w:p>
          <w:p w14:paraId="0BC26FE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（七）委員</w:t>
            </w:r>
            <w:proofErr w:type="gramStart"/>
            <w:r w:rsidRPr="001B6E4D">
              <w:rPr>
                <w:rFonts w:ascii="標楷體" w:eastAsia="標楷體" w:hAnsi="標楷體" w:hint="eastAsia"/>
                <w:color w:val="000000"/>
                <w:kern w:val="0"/>
              </w:rPr>
              <w:t>范</w:t>
            </w:r>
            <w:proofErr w:type="gramEnd"/>
            <w:r w:rsidRPr="001B6E4D">
              <w:rPr>
                <w:rFonts w:ascii="標楷體" w:eastAsia="標楷體" w:hAnsi="標楷體" w:hint="eastAsia"/>
                <w:color w:val="000000"/>
                <w:kern w:val="0"/>
              </w:rPr>
              <w:t>雲等19人擬具「民法部分條文修正草案」案。（11-3-6院會付委）</w:t>
            </w:r>
          </w:p>
          <w:p w14:paraId="3D4B610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（八）委員林月琴等22人擬具「民法部分條文修正草案」案。</w:t>
            </w:r>
          </w:p>
          <w:p w14:paraId="0FD65CA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（九）委員蔡易餘等17人擬具「民法部分條文修正草案」案。</w:t>
            </w:r>
          </w:p>
          <w:p w14:paraId="2DAC557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（十）委員林宜瑾等19人擬具「民法部分條文修正草案」案。</w:t>
            </w:r>
          </w:p>
          <w:p w14:paraId="4757B34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（十一）委員陳素月等17人擬具「民法部分條文修正草案」案。（11-3-9院會付委）</w:t>
            </w:r>
          </w:p>
          <w:p w14:paraId="0A85D76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（十二）委員黃捷等18人擬具「民法部分條文修正草案」案。</w:t>
            </w:r>
          </w:p>
          <w:p w14:paraId="4BA65D9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（十三）委員賴惠員等24人擬具「民法部分條文修正草案」案。</w:t>
            </w:r>
          </w:p>
          <w:p w14:paraId="48625B4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（十四）委員伍麗華</w:t>
            </w:r>
            <w:proofErr w:type="spellStart"/>
            <w:r w:rsidRPr="001B6E4D">
              <w:rPr>
                <w:rFonts w:ascii="標楷體" w:eastAsia="標楷體" w:hAnsi="標楷體" w:hint="eastAsia"/>
                <w:color w:val="000000"/>
                <w:kern w:val="0"/>
              </w:rPr>
              <w:t>Saidhai</w:t>
            </w:r>
            <w:proofErr w:type="spellEnd"/>
            <w:proofErr w:type="gramStart"/>
            <w:r w:rsidRPr="001B6E4D">
              <w:rPr>
                <w:rFonts w:ascii="標楷體" w:eastAsia="標楷體" w:hAnsi="標楷體" w:hint="eastAsia"/>
                <w:color w:val="000000"/>
                <w:kern w:val="0"/>
              </w:rPr>
              <w:t>‧</w:t>
            </w:r>
            <w:proofErr w:type="spellStart"/>
            <w:proofErr w:type="gramEnd"/>
            <w:r w:rsidRPr="001B6E4D">
              <w:rPr>
                <w:rFonts w:ascii="標楷體" w:eastAsia="標楷體" w:hAnsi="標楷體" w:hint="eastAsia"/>
                <w:color w:val="000000"/>
                <w:kern w:val="0"/>
              </w:rPr>
              <w:t>Tahovecahe</w:t>
            </w:r>
            <w:proofErr w:type="spellEnd"/>
            <w:r w:rsidRPr="001B6E4D">
              <w:rPr>
                <w:rFonts w:ascii="標楷體" w:eastAsia="標楷體" w:hAnsi="標楷體" w:hint="eastAsia"/>
                <w:color w:val="000000"/>
                <w:kern w:val="0"/>
              </w:rPr>
              <w:t>等18人擬具「民法部分條文修正草案」案。</w:t>
            </w:r>
          </w:p>
          <w:p w14:paraId="005392D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（十五）委員</w:t>
            </w:r>
            <w:proofErr w:type="gramStart"/>
            <w:r w:rsidRPr="001B6E4D">
              <w:rPr>
                <w:rFonts w:ascii="標楷體" w:eastAsia="標楷體" w:hAnsi="標楷體" w:hint="eastAsia"/>
                <w:color w:val="000000"/>
                <w:kern w:val="0"/>
              </w:rPr>
              <w:t>范</w:t>
            </w:r>
            <w:proofErr w:type="gramEnd"/>
            <w:r w:rsidRPr="001B6E4D">
              <w:rPr>
                <w:rFonts w:ascii="標楷體" w:eastAsia="標楷體" w:hAnsi="標楷體" w:hint="eastAsia"/>
                <w:color w:val="000000"/>
                <w:kern w:val="0"/>
              </w:rPr>
              <w:t>雲等17人擬具「民法部分條文修正草案」案。</w:t>
            </w:r>
          </w:p>
          <w:p w14:paraId="213463B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（十六）委員羅廷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等16人擬具「民法部分條文修正草案」案。</w:t>
            </w:r>
          </w:p>
          <w:p w14:paraId="71E1829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（十七）委員郭昱晴等17人擬具「民法部分條文修正草</w:t>
            </w:r>
            <w:r w:rsidRPr="001B6E4D">
              <w:rPr>
                <w:rFonts w:ascii="標楷體" w:eastAsia="標楷體" w:hAnsi="標楷體" w:hint="eastAsia"/>
                <w:color w:val="000000"/>
                <w:kern w:val="0"/>
              </w:rPr>
              <w:lastRenderedPageBreak/>
              <w:t>案」案。</w:t>
            </w:r>
          </w:p>
          <w:p w14:paraId="735C152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（十八）委員林倩綺等19人擬具「民法部分條文修正草案」案。</w:t>
            </w:r>
          </w:p>
          <w:p w14:paraId="2EA35C0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（十九）委員邱鎮軍等16人擬具「民法部分條文修正草案」案。</w:t>
            </w:r>
          </w:p>
          <w:p w14:paraId="4C0EEFB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740FBBB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（一）行政院、司法院函請審議「民法親屬編施行法增訂第七條之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p w14:paraId="1AA0383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（二）委員沈發惠等17人擬具「民法親屬編施行法增訂第七條之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p w14:paraId="0F99516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（三）委員陳素月等17人擬具「民法親屬編施行法增訂第七條之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p w14:paraId="07D4917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（四）委員賴惠員等24人擬具「民法親屬編施行法增訂第七條之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p w14:paraId="00DD732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等16人擬具「民法親屬編施行法增訂第七條之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p w14:paraId="4A97486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（六）委員郭昱晴等17人擬具「民法親屬編施行法增訂第七條之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p w14:paraId="28C0875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（七）委員林倩綺等19人擬具「民法親屬編施行法增訂第七條之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p w14:paraId="7D14A1D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（八）委員邱鎮軍等19人擬具「民法</w:t>
            </w:r>
            <w:r w:rsidRPr="001B6E4D">
              <w:rPr>
                <w:rFonts w:ascii="標楷體" w:eastAsia="標楷體" w:hAnsi="標楷體" w:hint="eastAsia"/>
                <w:color w:val="000000"/>
                <w:kern w:val="0"/>
              </w:rPr>
              <w:lastRenderedPageBreak/>
              <w:t>親屬編施行法增訂第七條之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tc>
        <w:tc>
          <w:tcPr>
            <w:tcW w:w="1091" w:type="pct"/>
          </w:tcPr>
          <w:p w14:paraId="1B92A14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6341321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572CC49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法務部部長、司法院副秘書長、銓敘部、內政部、財政部、勞動部、衛生福利部、行政院性別平等處</w:t>
            </w:r>
          </w:p>
        </w:tc>
        <w:tc>
          <w:tcPr>
            <w:tcW w:w="1188" w:type="pct"/>
          </w:tcPr>
          <w:p w14:paraId="6E517FD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第一案及第二案（一）至（七）報告及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roofErr w:type="gramStart"/>
            <w:r w:rsidRPr="001B6E4D">
              <w:rPr>
                <w:rFonts w:ascii="標楷體" w:eastAsia="標楷體" w:hAnsi="標楷體" w:hint="eastAsia"/>
                <w:color w:val="000000"/>
                <w:kern w:val="0"/>
              </w:rPr>
              <w:t>均另定期</w:t>
            </w:r>
            <w:proofErr w:type="gramEnd"/>
            <w:r w:rsidRPr="001B6E4D">
              <w:rPr>
                <w:rFonts w:ascii="標楷體" w:eastAsia="標楷體" w:hAnsi="標楷體" w:hint="eastAsia"/>
                <w:color w:val="000000"/>
                <w:kern w:val="0"/>
              </w:rPr>
              <w:t>繼續審查；第二案（八）各黨團未提出不復議同意書，不予審查。</w:t>
            </w:r>
          </w:p>
          <w:p w14:paraId="6B7F0CA7" w14:textId="3E271D45" w:rsidR="00CE6EEC" w:rsidRPr="001B6E4D" w:rsidRDefault="00CE6EEC"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（第115卷33期</w:t>
            </w:r>
            <w:r w:rsidRPr="001B6E4D">
              <w:rPr>
                <w:rFonts w:ascii="標楷體" w:eastAsia="標楷體" w:hAnsi="標楷體"/>
                <w:color w:val="000000"/>
                <w:kern w:val="0"/>
              </w:rPr>
              <w:t>5</w:t>
            </w:r>
            <w:r w:rsidRPr="001B6E4D">
              <w:rPr>
                <w:rFonts w:ascii="標楷體" w:eastAsia="標楷體" w:hAnsi="標楷體" w:hint="eastAsia"/>
                <w:color w:val="000000"/>
                <w:kern w:val="0"/>
              </w:rPr>
              <w:t>432）</w:t>
            </w:r>
          </w:p>
        </w:tc>
      </w:tr>
      <w:tr w:rsidR="005A76C8" w:rsidRPr="001B6E4D" w14:paraId="20CB57A6" w14:textId="77777777" w:rsidTr="005C6B6B">
        <w:tc>
          <w:tcPr>
            <w:tcW w:w="710" w:type="pct"/>
          </w:tcPr>
          <w:p w14:paraId="40FDD38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第9次全體委員會議</w:t>
            </w:r>
          </w:p>
        </w:tc>
        <w:tc>
          <w:tcPr>
            <w:tcW w:w="799" w:type="pct"/>
          </w:tcPr>
          <w:p w14:paraId="64A89358"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115年4月29日（星期三）</w:t>
            </w:r>
          </w:p>
        </w:tc>
        <w:tc>
          <w:tcPr>
            <w:tcW w:w="1212" w:type="pct"/>
          </w:tcPr>
          <w:p w14:paraId="322984B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年度中央政府總預算案關於監察院主管（不含審計部及所屬）收支部分。</w:t>
            </w:r>
          </w:p>
        </w:tc>
        <w:tc>
          <w:tcPr>
            <w:tcW w:w="1091" w:type="pct"/>
          </w:tcPr>
          <w:p w14:paraId="7DD6247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1B41F95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4D067DA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監察院秘書長、行政院主計總處</w:t>
            </w:r>
          </w:p>
        </w:tc>
        <w:tc>
          <w:tcPr>
            <w:tcW w:w="1188" w:type="pct"/>
          </w:tcPr>
          <w:p w14:paraId="31B8A38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答完畢，另定期繼續審查。</w:t>
            </w:r>
          </w:p>
          <w:p w14:paraId="0D0F58B9" w14:textId="5E08DAA4" w:rsidR="00CE6EEC" w:rsidRPr="001B6E4D" w:rsidRDefault="00CE6EEC"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（第115卷35期</w:t>
            </w:r>
            <w:r w:rsidRPr="001B6E4D">
              <w:rPr>
                <w:rFonts w:ascii="標楷體" w:eastAsia="標楷體" w:hAnsi="標楷體"/>
                <w:color w:val="000000"/>
                <w:kern w:val="0"/>
              </w:rPr>
              <w:t>5</w:t>
            </w:r>
            <w:r w:rsidRPr="001B6E4D">
              <w:rPr>
                <w:rFonts w:ascii="標楷體" w:eastAsia="標楷體" w:hAnsi="標楷體" w:hint="eastAsia"/>
                <w:color w:val="000000"/>
                <w:kern w:val="0"/>
              </w:rPr>
              <w:t>434）</w:t>
            </w:r>
          </w:p>
        </w:tc>
      </w:tr>
      <w:tr w:rsidR="005A76C8" w:rsidRPr="001B6E4D" w14:paraId="4D9B8DA9" w14:textId="77777777" w:rsidTr="005C6B6B">
        <w:tc>
          <w:tcPr>
            <w:tcW w:w="710" w:type="pct"/>
          </w:tcPr>
          <w:p w14:paraId="33EE35C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第10次全體委員會議</w:t>
            </w:r>
          </w:p>
        </w:tc>
        <w:tc>
          <w:tcPr>
            <w:tcW w:w="799" w:type="pct"/>
          </w:tcPr>
          <w:p w14:paraId="5490D44D"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115年4月30日（星期四）</w:t>
            </w:r>
          </w:p>
        </w:tc>
        <w:tc>
          <w:tcPr>
            <w:tcW w:w="1212" w:type="pct"/>
          </w:tcPr>
          <w:p w14:paraId="532D67B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年度中央政府總預算案關於法務部及所屬主管收支部分。</w:t>
            </w:r>
            <w:r w:rsidRPr="001B6E4D">
              <w:rPr>
                <w:rFonts w:ascii="標楷體" w:eastAsia="標楷體" w:hAnsi="標楷體" w:hint="eastAsia"/>
                <w:color w:val="000000"/>
                <w:kern w:val="0"/>
              </w:rPr>
              <w:br/>
              <w:t>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年度中央政府總預算案附屬單位預算非營業部分關於法務部主管「法務部矯正機關作業基金」收支部分。</w:t>
            </w:r>
            <w:r w:rsidRPr="001B6E4D">
              <w:rPr>
                <w:rFonts w:ascii="標楷體" w:eastAsia="標楷體" w:hAnsi="標楷體" w:hint="eastAsia"/>
                <w:color w:val="000000"/>
                <w:kern w:val="0"/>
              </w:rPr>
              <w:br/>
              <w:t>三、審查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年度中央政府總預算案附屬單位預算非營業部分關於法務部主管「毒品防制基金」收支部分。</w:t>
            </w:r>
            <w:r w:rsidRPr="001B6E4D">
              <w:rPr>
                <w:rFonts w:ascii="標楷體" w:eastAsia="標楷體" w:hAnsi="標楷體" w:hint="eastAsia"/>
                <w:color w:val="000000"/>
                <w:kern w:val="0"/>
              </w:rPr>
              <w:br/>
              <w:t>四、審查法務部函送財團法人臺灣更生保護會、財團法人福建更生保護會及財團法人犯罪被害人保護協會</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年度預算書案。</w:t>
            </w:r>
          </w:p>
        </w:tc>
        <w:tc>
          <w:tcPr>
            <w:tcW w:w="1091" w:type="pct"/>
          </w:tcPr>
          <w:p w14:paraId="0FF1885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4009354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3C4E727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法務部部長、最高檢察署檢察總長、法務部所屬機關首長、財團法人臺灣更生保護會董事長、財團法人福建更生保護會董事長、財團法人犯罪被害人保護協會董事長、行政院主計總處</w:t>
            </w:r>
          </w:p>
        </w:tc>
        <w:tc>
          <w:tcPr>
            <w:tcW w:w="1188" w:type="pct"/>
          </w:tcPr>
          <w:p w14:paraId="092A84A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第一案至第四案報告及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roofErr w:type="gramStart"/>
            <w:r w:rsidRPr="001B6E4D">
              <w:rPr>
                <w:rFonts w:ascii="標楷體" w:eastAsia="標楷體" w:hAnsi="標楷體" w:hint="eastAsia"/>
                <w:color w:val="000000"/>
                <w:kern w:val="0"/>
              </w:rPr>
              <w:t>均另定期</w:t>
            </w:r>
            <w:proofErr w:type="gramEnd"/>
            <w:r w:rsidRPr="001B6E4D">
              <w:rPr>
                <w:rFonts w:ascii="標楷體" w:eastAsia="標楷體" w:hAnsi="標楷體" w:hint="eastAsia"/>
                <w:color w:val="000000"/>
                <w:kern w:val="0"/>
              </w:rPr>
              <w:t>繼續審查。</w:t>
            </w:r>
          </w:p>
          <w:p w14:paraId="2889E825" w14:textId="123F2FB8" w:rsidR="00CE6EEC" w:rsidRPr="001B6E4D" w:rsidRDefault="00CE6EEC"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（第115卷36期</w:t>
            </w:r>
            <w:r w:rsidRPr="001B6E4D">
              <w:rPr>
                <w:rFonts w:ascii="標楷體" w:eastAsia="標楷體" w:hAnsi="標楷體"/>
                <w:color w:val="000000"/>
                <w:kern w:val="0"/>
              </w:rPr>
              <w:t>5</w:t>
            </w:r>
            <w:r w:rsidRPr="001B6E4D">
              <w:rPr>
                <w:rFonts w:ascii="標楷體" w:eastAsia="標楷體" w:hAnsi="標楷體" w:hint="eastAsia"/>
                <w:color w:val="000000"/>
                <w:kern w:val="0"/>
              </w:rPr>
              <w:t>435）</w:t>
            </w:r>
          </w:p>
        </w:tc>
      </w:tr>
      <w:tr w:rsidR="005A76C8" w:rsidRPr="001B6E4D" w14:paraId="640CB005" w14:textId="77777777" w:rsidTr="005C6B6B">
        <w:tc>
          <w:tcPr>
            <w:tcW w:w="710" w:type="pct"/>
          </w:tcPr>
          <w:p w14:paraId="63966B6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第11次全體委員會議</w:t>
            </w:r>
          </w:p>
        </w:tc>
        <w:tc>
          <w:tcPr>
            <w:tcW w:w="799" w:type="pct"/>
          </w:tcPr>
          <w:p w14:paraId="1CA3348C"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115年5月4日（星期一）</w:t>
            </w:r>
          </w:p>
        </w:tc>
        <w:tc>
          <w:tcPr>
            <w:tcW w:w="1212" w:type="pct"/>
          </w:tcPr>
          <w:p w14:paraId="3C23A87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年度中央政府總預算案關於司法院及所屬主管收支部分。</w:t>
            </w:r>
            <w:r w:rsidRPr="001B6E4D">
              <w:rPr>
                <w:rFonts w:ascii="標楷體" w:eastAsia="標楷體" w:hAnsi="標楷體" w:hint="eastAsia"/>
                <w:color w:val="000000"/>
                <w:kern w:val="0"/>
              </w:rPr>
              <w:br/>
              <w:t>二、審查司法院函送財團法人法律扶助基金會</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年度預算書案。</w:t>
            </w:r>
          </w:p>
        </w:tc>
        <w:tc>
          <w:tcPr>
            <w:tcW w:w="1091" w:type="pct"/>
          </w:tcPr>
          <w:p w14:paraId="3F01B8C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莊召集委員瑞雄</w:t>
            </w:r>
          </w:p>
          <w:p w14:paraId="4019F62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3F04B31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司法院秘書長及司法院所屬機關首長、財團法人法律扶助基金會董事長、行政院主計總處</w:t>
            </w:r>
          </w:p>
        </w:tc>
        <w:tc>
          <w:tcPr>
            <w:tcW w:w="1188" w:type="pct"/>
          </w:tcPr>
          <w:p w14:paraId="00E8886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第一案及第二案報告及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roofErr w:type="gramStart"/>
            <w:r w:rsidRPr="001B6E4D">
              <w:rPr>
                <w:rFonts w:ascii="標楷體" w:eastAsia="標楷體" w:hAnsi="標楷體" w:hint="eastAsia"/>
                <w:color w:val="000000"/>
                <w:kern w:val="0"/>
              </w:rPr>
              <w:t>均另定期</w:t>
            </w:r>
            <w:proofErr w:type="gramEnd"/>
            <w:r w:rsidRPr="001B6E4D">
              <w:rPr>
                <w:rFonts w:ascii="標楷體" w:eastAsia="標楷體" w:hAnsi="標楷體" w:hint="eastAsia"/>
                <w:color w:val="000000"/>
                <w:kern w:val="0"/>
              </w:rPr>
              <w:t>繼續審查。</w:t>
            </w:r>
          </w:p>
          <w:p w14:paraId="32578EC3" w14:textId="5F6527A2" w:rsidR="00CE6EEC" w:rsidRPr="001B6E4D" w:rsidRDefault="00CE6EEC"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（第115卷37期</w:t>
            </w:r>
            <w:r w:rsidRPr="001B6E4D">
              <w:rPr>
                <w:rFonts w:ascii="標楷體" w:eastAsia="標楷體" w:hAnsi="標楷體"/>
                <w:color w:val="000000"/>
                <w:kern w:val="0"/>
              </w:rPr>
              <w:t>5</w:t>
            </w:r>
            <w:r w:rsidRPr="001B6E4D">
              <w:rPr>
                <w:rFonts w:ascii="標楷體" w:eastAsia="標楷體" w:hAnsi="標楷體" w:hint="eastAsia"/>
                <w:color w:val="000000"/>
                <w:kern w:val="0"/>
              </w:rPr>
              <w:t>436）</w:t>
            </w:r>
          </w:p>
        </w:tc>
      </w:tr>
      <w:tr w:rsidR="005A76C8" w:rsidRPr="001B6E4D" w14:paraId="78F3B0E3" w14:textId="77777777" w:rsidTr="005C6B6B">
        <w:tc>
          <w:tcPr>
            <w:tcW w:w="710" w:type="pct"/>
          </w:tcPr>
          <w:p w14:paraId="55C9A03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第12次全體委員會議</w:t>
            </w:r>
          </w:p>
        </w:tc>
        <w:tc>
          <w:tcPr>
            <w:tcW w:w="799" w:type="pct"/>
          </w:tcPr>
          <w:p w14:paraId="3313FCC7"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115年5月6日、7日（星期三、四兩天一次會）</w:t>
            </w:r>
          </w:p>
        </w:tc>
        <w:tc>
          <w:tcPr>
            <w:tcW w:w="1212" w:type="pct"/>
          </w:tcPr>
          <w:p w14:paraId="20D52AD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5月6日（星期三）</w:t>
            </w:r>
            <w:r w:rsidRPr="001B6E4D">
              <w:rPr>
                <w:rFonts w:ascii="標楷體" w:eastAsia="標楷體" w:hAnsi="標楷體" w:hint="eastAsia"/>
                <w:color w:val="000000"/>
                <w:kern w:val="0"/>
              </w:rPr>
              <w:br/>
              <w:t>一、審查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年度中央政府總預算案關於行政院人事行政總處及所屬主管收支部分。</w:t>
            </w:r>
            <w:r w:rsidRPr="001B6E4D">
              <w:rPr>
                <w:rFonts w:ascii="標楷體" w:eastAsia="標楷體" w:hAnsi="標楷體" w:hint="eastAsia"/>
                <w:color w:val="000000"/>
                <w:kern w:val="0"/>
              </w:rPr>
              <w:br/>
            </w:r>
            <w:r w:rsidRPr="001B6E4D">
              <w:rPr>
                <w:rFonts w:ascii="標楷體" w:eastAsia="標楷體" w:hAnsi="標楷體" w:hint="eastAsia"/>
                <w:color w:val="000000"/>
                <w:kern w:val="0"/>
              </w:rPr>
              <w:lastRenderedPageBreak/>
              <w:t>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年度中央政府總預算案附屬單位預算非營業部分關於行政院人事行政總處主管「中央公教人員急難救助基金」收支部分。</w:t>
            </w:r>
            <w:r w:rsidRPr="001B6E4D">
              <w:rPr>
                <w:rFonts w:ascii="標楷體" w:eastAsia="標楷體" w:hAnsi="標楷體" w:hint="eastAsia"/>
                <w:color w:val="000000"/>
                <w:kern w:val="0"/>
              </w:rPr>
              <w:br/>
              <w:t>5月7日（星期四）</w:t>
            </w:r>
            <w:r w:rsidRPr="001B6E4D">
              <w:rPr>
                <w:rFonts w:ascii="標楷體" w:eastAsia="標楷體" w:hAnsi="標楷體" w:hint="eastAsia"/>
                <w:color w:val="000000"/>
                <w:kern w:val="0"/>
              </w:rPr>
              <w:br/>
              <w:t>一、審查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年度中央政府總預算案關於考試院及所屬主管收支部分。</w:t>
            </w:r>
            <w:r w:rsidRPr="001B6E4D">
              <w:rPr>
                <w:rFonts w:ascii="標楷體" w:eastAsia="標楷體" w:hAnsi="標楷體" w:hint="eastAsia"/>
                <w:color w:val="000000"/>
                <w:kern w:val="0"/>
              </w:rPr>
              <w:br/>
              <w:t>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年度中央政府總預算案附屬單位預算非營業部分關於考試院考選部主管「考選業務基金」收支部分。</w:t>
            </w:r>
            <w:r w:rsidRPr="001B6E4D">
              <w:rPr>
                <w:rFonts w:ascii="標楷體" w:eastAsia="標楷體" w:hAnsi="標楷體" w:hint="eastAsia"/>
                <w:color w:val="000000"/>
                <w:kern w:val="0"/>
              </w:rPr>
              <w:br/>
              <w:t>三、審查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年度中央政府總預算案附屬單位預算非營業部分關於考試院銓敘部主管「公務人員退休撫</w:t>
            </w:r>
            <w:proofErr w:type="gramStart"/>
            <w:r w:rsidRPr="001B6E4D">
              <w:rPr>
                <w:rFonts w:ascii="標楷體" w:eastAsia="標楷體" w:hAnsi="標楷體" w:hint="eastAsia"/>
                <w:color w:val="000000"/>
                <w:kern w:val="0"/>
              </w:rPr>
              <w:t>卹</w:t>
            </w:r>
            <w:proofErr w:type="gramEnd"/>
            <w:r w:rsidRPr="001B6E4D">
              <w:rPr>
                <w:rFonts w:ascii="標楷體" w:eastAsia="標楷體" w:hAnsi="標楷體" w:hint="eastAsia"/>
                <w:color w:val="000000"/>
                <w:kern w:val="0"/>
              </w:rPr>
              <w:t>基金」收支部分。</w:t>
            </w:r>
            <w:r w:rsidRPr="001B6E4D">
              <w:rPr>
                <w:rFonts w:ascii="標楷體" w:eastAsia="標楷體" w:hAnsi="標楷體" w:hint="eastAsia"/>
                <w:color w:val="000000"/>
                <w:kern w:val="0"/>
              </w:rPr>
              <w:br/>
              <w:t>四、審查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年度中央政府總預算案附屬單位預算非營業部分關於考試院銓敘部主管「公教人員個人</w:t>
            </w:r>
            <w:proofErr w:type="gramStart"/>
            <w:r w:rsidRPr="001B6E4D">
              <w:rPr>
                <w:rFonts w:ascii="標楷體" w:eastAsia="標楷體" w:hAnsi="標楷體" w:hint="eastAsia"/>
                <w:color w:val="000000"/>
                <w:kern w:val="0"/>
              </w:rPr>
              <w:t>專戶制退撫</w:t>
            </w:r>
            <w:proofErr w:type="gramEnd"/>
            <w:r w:rsidRPr="001B6E4D">
              <w:rPr>
                <w:rFonts w:ascii="標楷體" w:eastAsia="標楷體" w:hAnsi="標楷體" w:hint="eastAsia"/>
                <w:color w:val="000000"/>
                <w:kern w:val="0"/>
              </w:rPr>
              <w:t>儲金基金」收支部分。</w:t>
            </w:r>
          </w:p>
        </w:tc>
        <w:tc>
          <w:tcPr>
            <w:tcW w:w="1091" w:type="pct"/>
          </w:tcPr>
          <w:p w14:paraId="2CDA78E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545D82E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22747060"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5月6日（星期三）</w:t>
            </w:r>
          </w:p>
          <w:p w14:paraId="6807E82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行政院人事行政總處人事長及行政院人事行政總</w:t>
            </w:r>
            <w:r w:rsidRPr="001B6E4D">
              <w:rPr>
                <w:rFonts w:ascii="標楷體" w:eastAsia="標楷體" w:hAnsi="標楷體" w:hint="eastAsia"/>
                <w:color w:val="000000"/>
                <w:kern w:val="0"/>
              </w:rPr>
              <w:lastRenderedPageBreak/>
              <w:t>處所屬機關首長、行政院主計總處</w:t>
            </w:r>
          </w:p>
          <w:p w14:paraId="1261A20B"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5月7日（星期四）</w:t>
            </w:r>
          </w:p>
          <w:p w14:paraId="4692483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考試院秘書長及考試院所屬機關首長、行政院主計總處</w:t>
            </w:r>
          </w:p>
        </w:tc>
        <w:tc>
          <w:tcPr>
            <w:tcW w:w="1188" w:type="pct"/>
          </w:tcPr>
          <w:p w14:paraId="74E9B6CD"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lastRenderedPageBreak/>
              <w:t>5月6日（星期三）</w:t>
            </w:r>
          </w:p>
          <w:p w14:paraId="4516DF9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第一案及第二案報告及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roofErr w:type="gramStart"/>
            <w:r w:rsidRPr="001B6E4D">
              <w:rPr>
                <w:rFonts w:ascii="標楷體" w:eastAsia="標楷體" w:hAnsi="標楷體" w:hint="eastAsia"/>
                <w:color w:val="000000"/>
                <w:kern w:val="0"/>
              </w:rPr>
              <w:t>均另定期</w:t>
            </w:r>
            <w:proofErr w:type="gramEnd"/>
            <w:r w:rsidRPr="001B6E4D">
              <w:rPr>
                <w:rFonts w:ascii="標楷體" w:eastAsia="標楷體" w:hAnsi="標楷體" w:hint="eastAsia"/>
                <w:color w:val="000000"/>
                <w:kern w:val="0"/>
              </w:rPr>
              <w:t>繼續審查。</w:t>
            </w:r>
          </w:p>
          <w:p w14:paraId="198C8D48"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5月7日（星期四）</w:t>
            </w:r>
          </w:p>
          <w:p w14:paraId="28ABAAB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第一案至第四案報</w:t>
            </w:r>
            <w:r w:rsidRPr="001B6E4D">
              <w:rPr>
                <w:rFonts w:ascii="標楷體" w:eastAsia="標楷體" w:hAnsi="標楷體" w:hint="eastAsia"/>
                <w:color w:val="000000"/>
                <w:kern w:val="0"/>
              </w:rPr>
              <w:lastRenderedPageBreak/>
              <w:t>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roofErr w:type="gramStart"/>
            <w:r w:rsidRPr="001B6E4D">
              <w:rPr>
                <w:rFonts w:ascii="標楷體" w:eastAsia="標楷體" w:hAnsi="標楷體" w:hint="eastAsia"/>
                <w:color w:val="000000"/>
                <w:kern w:val="0"/>
              </w:rPr>
              <w:t>均另定期</w:t>
            </w:r>
            <w:proofErr w:type="gramEnd"/>
            <w:r w:rsidRPr="001B6E4D">
              <w:rPr>
                <w:rFonts w:ascii="標楷體" w:eastAsia="標楷體" w:hAnsi="標楷體" w:hint="eastAsia"/>
                <w:color w:val="000000"/>
                <w:kern w:val="0"/>
              </w:rPr>
              <w:t>繼續審查。</w:t>
            </w:r>
          </w:p>
          <w:p w14:paraId="4014CC70" w14:textId="56CFC300" w:rsidR="00CE6EEC" w:rsidRPr="001B6E4D" w:rsidRDefault="00CE6EEC"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（第115卷39期5438）</w:t>
            </w:r>
          </w:p>
        </w:tc>
      </w:tr>
      <w:tr w:rsidR="005A76C8" w:rsidRPr="001B6E4D" w14:paraId="12E4888E" w14:textId="77777777" w:rsidTr="005C6B6B">
        <w:tc>
          <w:tcPr>
            <w:tcW w:w="710" w:type="pct"/>
          </w:tcPr>
          <w:p w14:paraId="37D5EA4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第13次全體委員會議</w:t>
            </w:r>
          </w:p>
        </w:tc>
        <w:tc>
          <w:tcPr>
            <w:tcW w:w="799" w:type="pct"/>
          </w:tcPr>
          <w:p w14:paraId="248887C5"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115年5月11日（星期一）</w:t>
            </w:r>
          </w:p>
        </w:tc>
        <w:tc>
          <w:tcPr>
            <w:tcW w:w="1212" w:type="pct"/>
          </w:tcPr>
          <w:p w14:paraId="24CD675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77020EC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w:t>
            </w:r>
            <w:proofErr w:type="gramStart"/>
            <w:r w:rsidRPr="001B6E4D">
              <w:rPr>
                <w:rFonts w:ascii="標楷體" w:eastAsia="標楷體" w:hAnsi="標楷體" w:hint="eastAsia"/>
                <w:color w:val="000000"/>
                <w:kern w:val="0"/>
              </w:rPr>
              <w:t>ㄧ</w:t>
            </w:r>
            <w:proofErr w:type="gramEnd"/>
            <w:r w:rsidRPr="001B6E4D">
              <w:rPr>
                <w:rFonts w:ascii="標楷體" w:eastAsia="標楷體" w:hAnsi="標楷體" w:hint="eastAsia"/>
                <w:color w:val="000000"/>
                <w:kern w:val="0"/>
              </w:rPr>
              <w:t>）台灣民眾黨黨團擬具「法官法第九十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4FCEB0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（二）委員翁曉玲等19人擬具「法官法第四條及第九十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5D0B75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二、繼續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0315877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w:t>
            </w:r>
            <w:proofErr w:type="gramStart"/>
            <w:r w:rsidRPr="001B6E4D">
              <w:rPr>
                <w:rFonts w:ascii="標楷體" w:eastAsia="標楷體" w:hAnsi="標楷體" w:hint="eastAsia"/>
                <w:color w:val="000000"/>
                <w:kern w:val="0"/>
              </w:rPr>
              <w:t>ㄧ</w:t>
            </w:r>
            <w:proofErr w:type="gramEnd"/>
            <w:r w:rsidRPr="001B6E4D">
              <w:rPr>
                <w:rFonts w:ascii="標楷體" w:eastAsia="標楷體" w:hAnsi="標楷體" w:hint="eastAsia"/>
                <w:color w:val="000000"/>
                <w:kern w:val="0"/>
              </w:rPr>
              <w:t>）台灣民眾黨</w:t>
            </w:r>
            <w:r w:rsidRPr="001B6E4D">
              <w:rPr>
                <w:rFonts w:ascii="標楷體" w:eastAsia="標楷體" w:hAnsi="標楷體" w:hint="eastAsia"/>
                <w:color w:val="000000"/>
                <w:kern w:val="0"/>
              </w:rPr>
              <w:lastRenderedPageBreak/>
              <w:t>黨團擬具「刑事訴訟法部分條文修正草案」案。(11-2-1院會付委)</w:t>
            </w:r>
          </w:p>
          <w:p w14:paraId="6BFB201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（二）委員鍾佳濱等19人擬具「刑事訴訟法第一百五十三條之十條文修正草案」案。</w:t>
            </w:r>
          </w:p>
          <w:p w14:paraId="1C0C261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（三）委員莊瑞雄等16人擬具「刑事訴訟法第一百五十三條之十條文修正草案」案。</w:t>
            </w:r>
          </w:p>
          <w:p w14:paraId="191D652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（四）委員吳宗憲等17人擬具「刑事訴訟法第四百零四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7BEFA4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（五）委員李柏毅等16人擬具「刑事訴訟法第一百五十三條之十條文修正草案」案。</w:t>
            </w:r>
          </w:p>
          <w:p w14:paraId="1494B04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三、繼續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273BE4B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w:t>
            </w:r>
            <w:proofErr w:type="gramStart"/>
            <w:r w:rsidRPr="001B6E4D">
              <w:rPr>
                <w:rFonts w:ascii="標楷體" w:eastAsia="標楷體" w:hAnsi="標楷體" w:hint="eastAsia"/>
                <w:color w:val="000000"/>
                <w:kern w:val="0"/>
              </w:rPr>
              <w:t>ㄧ</w:t>
            </w:r>
            <w:proofErr w:type="gramEnd"/>
            <w:r w:rsidRPr="001B6E4D">
              <w:rPr>
                <w:rFonts w:ascii="標楷體" w:eastAsia="標楷體" w:hAnsi="標楷體" w:hint="eastAsia"/>
                <w:color w:val="000000"/>
                <w:kern w:val="0"/>
              </w:rPr>
              <w:t>）台灣民眾黨黨團擬具「刑事訴訟法部分條文修正草案」案。(11-3-8院會付委)</w:t>
            </w:r>
          </w:p>
          <w:p w14:paraId="3FC1440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（二）台灣民眾黨黨團擬具「刑事訴訟法第九十三條及第一百零一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45B7F5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（三）委員翁曉玲等25人擬具「刑事訴訟法第四百十三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530C1F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（四）委員翁曉玲等18人擬具「刑事訴訟法第九十三條及第一百零一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tc>
        <w:tc>
          <w:tcPr>
            <w:tcW w:w="1091" w:type="pct"/>
          </w:tcPr>
          <w:p w14:paraId="6A8DCB5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5CBF964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3CF45C4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一</w:t>
            </w:r>
            <w:proofErr w:type="gramEnd"/>
          </w:p>
          <w:p w14:paraId="05843A9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司法院秘書長、法務部</w:t>
            </w:r>
          </w:p>
          <w:p w14:paraId="3CC8EBA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開會事由二</w:t>
            </w:r>
          </w:p>
          <w:p w14:paraId="0304567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司法院秘書長、法務部、內政部、國防部、海洋委員會</w:t>
            </w:r>
          </w:p>
          <w:p w14:paraId="5876821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三</w:t>
            </w:r>
            <w:proofErr w:type="gramEnd"/>
          </w:p>
          <w:p w14:paraId="5569FBF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w:t>
            </w:r>
            <w:r w:rsidRPr="001B6E4D">
              <w:rPr>
                <w:rFonts w:ascii="標楷體" w:eastAsia="標楷體" w:hAnsi="標楷體" w:hint="eastAsia"/>
                <w:color w:val="000000"/>
                <w:kern w:val="0"/>
              </w:rPr>
              <w:lastRenderedPageBreak/>
              <w:t>法務部</w:t>
            </w:r>
          </w:p>
        </w:tc>
        <w:tc>
          <w:tcPr>
            <w:tcW w:w="1188" w:type="pct"/>
          </w:tcPr>
          <w:p w14:paraId="60A3741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第一案至第三案報告及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roofErr w:type="gramStart"/>
            <w:r w:rsidRPr="001B6E4D">
              <w:rPr>
                <w:rFonts w:ascii="標楷體" w:eastAsia="標楷體" w:hAnsi="標楷體" w:hint="eastAsia"/>
                <w:color w:val="000000"/>
                <w:kern w:val="0"/>
              </w:rPr>
              <w:t>均另定期</w:t>
            </w:r>
            <w:proofErr w:type="gramEnd"/>
            <w:r w:rsidRPr="001B6E4D">
              <w:rPr>
                <w:rFonts w:ascii="標楷體" w:eastAsia="標楷體" w:hAnsi="標楷體" w:hint="eastAsia"/>
                <w:color w:val="000000"/>
                <w:kern w:val="0"/>
              </w:rPr>
              <w:t>繼續審查。</w:t>
            </w:r>
          </w:p>
          <w:p w14:paraId="5DF4C98A" w14:textId="2A91A7D7" w:rsidR="00CE6EEC" w:rsidRPr="001B6E4D" w:rsidRDefault="00CE6EEC"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kern w:val="0"/>
              </w:rPr>
              <w:t>（第115卷4</w:t>
            </w:r>
            <w:r w:rsidR="00197EEE" w:rsidRPr="001B6E4D">
              <w:rPr>
                <w:rFonts w:ascii="標楷體" w:eastAsia="標楷體" w:hAnsi="標楷體" w:hint="eastAsia"/>
                <w:color w:val="000000"/>
                <w:kern w:val="0"/>
              </w:rPr>
              <w:t>0</w:t>
            </w:r>
            <w:r w:rsidRPr="001B6E4D">
              <w:rPr>
                <w:rFonts w:ascii="標楷體" w:eastAsia="標楷體" w:hAnsi="標楷體" w:hint="eastAsia"/>
                <w:color w:val="000000"/>
                <w:kern w:val="0"/>
              </w:rPr>
              <w:t>期</w:t>
            </w:r>
            <w:r w:rsidRPr="001B6E4D">
              <w:rPr>
                <w:rFonts w:ascii="標楷體" w:eastAsia="標楷體" w:hAnsi="標楷體"/>
                <w:color w:val="000000"/>
                <w:kern w:val="0"/>
              </w:rPr>
              <w:t>5</w:t>
            </w:r>
            <w:r w:rsidRPr="001B6E4D">
              <w:rPr>
                <w:rFonts w:ascii="標楷體" w:eastAsia="標楷體" w:hAnsi="標楷體" w:hint="eastAsia"/>
                <w:color w:val="000000"/>
                <w:kern w:val="0"/>
              </w:rPr>
              <w:t>4</w:t>
            </w:r>
            <w:r w:rsidR="00197EEE" w:rsidRPr="001B6E4D">
              <w:rPr>
                <w:rFonts w:ascii="標楷體" w:eastAsia="標楷體" w:hAnsi="標楷體" w:hint="eastAsia"/>
                <w:color w:val="000000"/>
                <w:kern w:val="0"/>
              </w:rPr>
              <w:t>39</w:t>
            </w:r>
            <w:r w:rsidRPr="001B6E4D">
              <w:rPr>
                <w:rFonts w:ascii="標楷體" w:eastAsia="標楷體" w:hAnsi="標楷體" w:hint="eastAsia"/>
                <w:color w:val="000000"/>
                <w:kern w:val="0"/>
              </w:rPr>
              <w:t>）</w:t>
            </w:r>
          </w:p>
        </w:tc>
      </w:tr>
      <w:tr w:rsidR="005A76C8" w:rsidRPr="001B6E4D" w14:paraId="7115F782" w14:textId="77777777" w:rsidTr="005C6B6B">
        <w:tc>
          <w:tcPr>
            <w:tcW w:w="710" w:type="pct"/>
          </w:tcPr>
          <w:p w14:paraId="645765C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第14次全體委員會</w:t>
            </w:r>
            <w:r w:rsidRPr="001B6E4D">
              <w:rPr>
                <w:rFonts w:ascii="標楷體" w:eastAsia="標楷體" w:hAnsi="標楷體" w:hint="eastAsia"/>
                <w:color w:val="000000"/>
                <w:kern w:val="0"/>
              </w:rPr>
              <w:lastRenderedPageBreak/>
              <w:t>議</w:t>
            </w:r>
          </w:p>
        </w:tc>
        <w:tc>
          <w:tcPr>
            <w:tcW w:w="799" w:type="pct"/>
          </w:tcPr>
          <w:p w14:paraId="07E7A9D5"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lastRenderedPageBreak/>
              <w:t>115年5月18日、20、21日</w:t>
            </w:r>
            <w:r w:rsidRPr="001B6E4D">
              <w:rPr>
                <w:rFonts w:ascii="標楷體" w:eastAsia="標楷體" w:hAnsi="標楷體" w:hint="eastAsia"/>
                <w:color w:val="000000"/>
                <w:spacing w:val="-20"/>
                <w:kern w:val="0"/>
              </w:rPr>
              <w:lastRenderedPageBreak/>
              <w:t>（星期一、三、四三天一次會）</w:t>
            </w:r>
          </w:p>
        </w:tc>
        <w:tc>
          <w:tcPr>
            <w:tcW w:w="1212" w:type="pct"/>
          </w:tcPr>
          <w:p w14:paraId="5D6B088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5C6B6B">
              <w:rPr>
                <w:rFonts w:ascii="標楷體" w:eastAsia="標楷體" w:hAnsi="標楷體" w:hint="eastAsia"/>
                <w:color w:val="000000"/>
                <w:spacing w:val="-16"/>
                <w:kern w:val="0"/>
              </w:rPr>
              <w:lastRenderedPageBreak/>
              <w:t>5月18日（星期一）</w:t>
            </w:r>
            <w:r w:rsidRPr="001B6E4D">
              <w:rPr>
                <w:rFonts w:ascii="標楷體" w:eastAsia="標楷體" w:hAnsi="標楷體" w:hint="eastAsia"/>
                <w:color w:val="000000"/>
                <w:kern w:val="0"/>
              </w:rPr>
              <w:br/>
              <w:t>一、繼續審查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lastRenderedPageBreak/>
              <w:t>年度中央政府總預算案關於司法院及所屬主管收支部分。</w:t>
            </w:r>
            <w:r w:rsidRPr="001B6E4D">
              <w:rPr>
                <w:rFonts w:ascii="標楷體" w:eastAsia="標楷體" w:hAnsi="標楷體" w:hint="eastAsia"/>
                <w:color w:val="000000"/>
                <w:kern w:val="0"/>
              </w:rPr>
              <w:br/>
              <w:t>二、繼續審查司法院函送財團法人法律扶助基金會</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年度預算書案。</w:t>
            </w:r>
            <w:r w:rsidRPr="001B6E4D">
              <w:rPr>
                <w:rFonts w:ascii="標楷體" w:eastAsia="標楷體" w:hAnsi="標楷體" w:hint="eastAsia"/>
                <w:color w:val="000000"/>
                <w:kern w:val="0"/>
              </w:rPr>
              <w:br/>
            </w:r>
            <w:r w:rsidRPr="005C6B6B">
              <w:rPr>
                <w:rFonts w:ascii="標楷體" w:eastAsia="標楷體" w:hAnsi="標楷體" w:hint="eastAsia"/>
                <w:color w:val="000000"/>
                <w:spacing w:val="-16"/>
                <w:kern w:val="0"/>
              </w:rPr>
              <w:t>5月20日（星期三）</w:t>
            </w:r>
            <w:r w:rsidRPr="001B6E4D">
              <w:rPr>
                <w:rFonts w:ascii="標楷體" w:eastAsia="標楷體" w:hAnsi="標楷體" w:hint="eastAsia"/>
                <w:color w:val="000000"/>
                <w:kern w:val="0"/>
              </w:rPr>
              <w:br/>
              <w:t>一、繼續審查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年度中央政府總預算案關於行政院人事行政總處及所屬主管收支部分。</w:t>
            </w:r>
            <w:r w:rsidRPr="001B6E4D">
              <w:rPr>
                <w:rFonts w:ascii="標楷體" w:eastAsia="標楷體" w:hAnsi="標楷體" w:hint="eastAsia"/>
                <w:color w:val="000000"/>
                <w:kern w:val="0"/>
              </w:rPr>
              <w:br/>
              <w:t>二、繼續審查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年度中央政府總預算案附屬單位預算非營業部分關於行政院人事行政總處主管「中央公教人員急難救助基金」收支部分。</w:t>
            </w:r>
            <w:r w:rsidRPr="001B6E4D">
              <w:rPr>
                <w:rFonts w:ascii="標楷體" w:eastAsia="標楷體" w:hAnsi="標楷體" w:hint="eastAsia"/>
                <w:color w:val="000000"/>
                <w:kern w:val="0"/>
              </w:rPr>
              <w:br/>
            </w:r>
            <w:r w:rsidRPr="00537A50">
              <w:rPr>
                <w:rFonts w:ascii="標楷體" w:eastAsia="標楷體" w:hAnsi="標楷體" w:hint="eastAsia"/>
                <w:color w:val="000000"/>
                <w:spacing w:val="-16"/>
                <w:kern w:val="0"/>
              </w:rPr>
              <w:t>5月21日（星期四）</w:t>
            </w:r>
            <w:r w:rsidRPr="001B6E4D">
              <w:rPr>
                <w:rFonts w:ascii="標楷體" w:eastAsia="標楷體" w:hAnsi="標楷體" w:hint="eastAsia"/>
                <w:color w:val="000000"/>
                <w:kern w:val="0"/>
              </w:rPr>
              <w:br/>
              <w:t>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年度中央政府總預算案關於總統府主管（不含中央研究院）收支部分。</w:t>
            </w:r>
          </w:p>
        </w:tc>
        <w:tc>
          <w:tcPr>
            <w:tcW w:w="1091" w:type="pct"/>
          </w:tcPr>
          <w:p w14:paraId="6E31F23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0D25E80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0243D387"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lastRenderedPageBreak/>
              <w:t>5月18日（星期一）</w:t>
            </w:r>
          </w:p>
          <w:p w14:paraId="7F169A3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司法院秘書長及司法院所屬機關首長、財團法人法律扶助基金會董事長、行政院主計總處</w:t>
            </w:r>
          </w:p>
          <w:p w14:paraId="2127F8D8"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5月20日（星期三）</w:t>
            </w:r>
          </w:p>
          <w:p w14:paraId="1582496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行政院人事行政總處人事長及行政院人事行政總處所屬機關首長、行政院主計總處</w:t>
            </w:r>
          </w:p>
          <w:p w14:paraId="42474445"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5月21日（星期四）</w:t>
            </w:r>
          </w:p>
          <w:p w14:paraId="4312DFF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總統府秘書長、國家安全會議秘書長、國史館館長、國史館臺灣文獻館館長、行政院主計總處</w:t>
            </w:r>
          </w:p>
        </w:tc>
        <w:tc>
          <w:tcPr>
            <w:tcW w:w="1188" w:type="pct"/>
          </w:tcPr>
          <w:p w14:paraId="4626B27D"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lastRenderedPageBreak/>
              <w:t>5月18日（星期一）</w:t>
            </w:r>
          </w:p>
          <w:p w14:paraId="559A423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第一案審查完竣，</w:t>
            </w:r>
            <w:r w:rsidRPr="001B6E4D">
              <w:rPr>
                <w:rFonts w:ascii="標楷體" w:eastAsia="標楷體" w:hAnsi="標楷體" w:hint="eastAsia"/>
                <w:color w:val="000000"/>
                <w:kern w:val="0"/>
              </w:rPr>
              <w:lastRenderedPageBreak/>
              <w:t>須交由黨團協商；第二案審查完竣，不須交由黨團協商。</w:t>
            </w:r>
          </w:p>
          <w:p w14:paraId="19EC46C0"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5月20日（星期三）</w:t>
            </w:r>
          </w:p>
          <w:p w14:paraId="186301C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第一案及第二案均審查完竣，須交由黨團協商。</w:t>
            </w:r>
          </w:p>
          <w:p w14:paraId="2946FFF6"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5月21日（星期四）</w:t>
            </w:r>
          </w:p>
          <w:p w14:paraId="415CFE7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審查完竣，須交由黨團協商。</w:t>
            </w:r>
          </w:p>
          <w:p w14:paraId="23D658B6" w14:textId="0B0B9B38" w:rsidR="00CE6EEC" w:rsidRPr="001B6E4D" w:rsidRDefault="00CE6EEC"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（第115卷43期</w:t>
            </w:r>
            <w:r w:rsidRPr="001B6E4D">
              <w:rPr>
                <w:rFonts w:ascii="標楷體" w:eastAsia="標楷體" w:hAnsi="標楷體"/>
                <w:color w:val="000000"/>
                <w:kern w:val="0"/>
              </w:rPr>
              <w:t>5</w:t>
            </w:r>
            <w:r w:rsidRPr="001B6E4D">
              <w:rPr>
                <w:rFonts w:ascii="標楷體" w:eastAsia="標楷體" w:hAnsi="標楷體" w:hint="eastAsia"/>
                <w:color w:val="000000"/>
                <w:kern w:val="0"/>
              </w:rPr>
              <w:t>442）</w:t>
            </w:r>
          </w:p>
        </w:tc>
      </w:tr>
      <w:tr w:rsidR="005A76C8" w:rsidRPr="001B6E4D" w14:paraId="1B249163" w14:textId="77777777" w:rsidTr="005C6B6B">
        <w:tc>
          <w:tcPr>
            <w:tcW w:w="710" w:type="pct"/>
          </w:tcPr>
          <w:p w14:paraId="72C53BA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第15次全體委員會議</w:t>
            </w:r>
          </w:p>
        </w:tc>
        <w:tc>
          <w:tcPr>
            <w:tcW w:w="799" w:type="pct"/>
          </w:tcPr>
          <w:p w14:paraId="138F22A8"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115年5月25日、27、28日（星期一、三、四三天一次會）</w:t>
            </w:r>
          </w:p>
        </w:tc>
        <w:tc>
          <w:tcPr>
            <w:tcW w:w="1212" w:type="pct"/>
          </w:tcPr>
          <w:p w14:paraId="7531538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5C6B6B">
              <w:rPr>
                <w:rFonts w:ascii="標楷體" w:eastAsia="標楷體" w:hAnsi="標楷體" w:hint="eastAsia"/>
                <w:color w:val="000000"/>
                <w:spacing w:val="-18"/>
                <w:kern w:val="0"/>
              </w:rPr>
              <w:t>5月25日（星期一）</w:t>
            </w:r>
            <w:r w:rsidRPr="001B6E4D">
              <w:rPr>
                <w:rFonts w:ascii="標楷體" w:eastAsia="標楷體" w:hAnsi="標楷體" w:hint="eastAsia"/>
                <w:color w:val="000000"/>
                <w:kern w:val="0"/>
              </w:rPr>
              <w:br/>
              <w:t>繼續審查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年度中央政府總預算案關於監察院主管（不含審計部及所屬）收支部分。</w:t>
            </w:r>
            <w:r w:rsidRPr="001B6E4D">
              <w:rPr>
                <w:rFonts w:ascii="標楷體" w:eastAsia="標楷體" w:hAnsi="標楷體" w:hint="eastAsia"/>
                <w:color w:val="000000"/>
                <w:kern w:val="0"/>
              </w:rPr>
              <w:br/>
            </w:r>
            <w:r w:rsidRPr="005C6B6B">
              <w:rPr>
                <w:rFonts w:ascii="標楷體" w:eastAsia="標楷體" w:hAnsi="標楷體" w:hint="eastAsia"/>
                <w:color w:val="000000"/>
                <w:spacing w:val="-18"/>
                <w:kern w:val="0"/>
              </w:rPr>
              <w:t>5月27日（星期三）</w:t>
            </w:r>
            <w:r w:rsidRPr="001B6E4D">
              <w:rPr>
                <w:rFonts w:ascii="標楷體" w:eastAsia="標楷體" w:hAnsi="標楷體" w:hint="eastAsia"/>
                <w:color w:val="000000"/>
                <w:kern w:val="0"/>
              </w:rPr>
              <w:br/>
              <w:t>一、繼續審查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年度中央政府總預算案關於法務部及所屬主管收支部分。</w:t>
            </w:r>
            <w:r w:rsidRPr="001B6E4D">
              <w:rPr>
                <w:rFonts w:ascii="標楷體" w:eastAsia="標楷體" w:hAnsi="標楷體" w:hint="eastAsia"/>
                <w:color w:val="000000"/>
                <w:kern w:val="0"/>
              </w:rPr>
              <w:br/>
              <w:t>二、繼續審查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年度中央政府總預算案附屬單位預算非營業部分關於法務部主管「法務部矯正機關作業基金」收支部分。</w:t>
            </w:r>
            <w:r w:rsidRPr="001B6E4D">
              <w:rPr>
                <w:rFonts w:ascii="標楷體" w:eastAsia="標楷體" w:hAnsi="標楷體" w:hint="eastAsia"/>
                <w:color w:val="000000"/>
                <w:kern w:val="0"/>
              </w:rPr>
              <w:br/>
            </w:r>
            <w:r w:rsidRPr="001B6E4D">
              <w:rPr>
                <w:rFonts w:ascii="標楷體" w:eastAsia="標楷體" w:hAnsi="標楷體" w:hint="eastAsia"/>
                <w:color w:val="000000"/>
                <w:kern w:val="0"/>
              </w:rPr>
              <w:lastRenderedPageBreak/>
              <w:t>三、繼續審查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年度中央政府總預算案附屬單位預算非營業部分關於法務部主管「毒品防制基金」收支部分。</w:t>
            </w:r>
            <w:r w:rsidRPr="001B6E4D">
              <w:rPr>
                <w:rFonts w:ascii="標楷體" w:eastAsia="標楷體" w:hAnsi="標楷體" w:hint="eastAsia"/>
                <w:color w:val="000000"/>
                <w:kern w:val="0"/>
              </w:rPr>
              <w:br/>
              <w:t>四、繼續審查法務部函送財團法人臺灣更生保護會、財團法人福建更生保護會及財團法人犯罪被害人保護協會</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年度預算書案。</w:t>
            </w:r>
            <w:r w:rsidRPr="001B6E4D">
              <w:rPr>
                <w:rFonts w:ascii="標楷體" w:eastAsia="標楷體" w:hAnsi="標楷體" w:hint="eastAsia"/>
                <w:color w:val="000000"/>
                <w:kern w:val="0"/>
              </w:rPr>
              <w:br/>
            </w:r>
            <w:r w:rsidRPr="005C6B6B">
              <w:rPr>
                <w:rFonts w:ascii="標楷體" w:eastAsia="標楷體" w:hAnsi="標楷體" w:hint="eastAsia"/>
                <w:color w:val="000000"/>
                <w:spacing w:val="-18"/>
                <w:kern w:val="0"/>
              </w:rPr>
              <w:t>5月28日（星期四）</w:t>
            </w:r>
            <w:r w:rsidRPr="001B6E4D">
              <w:rPr>
                <w:rFonts w:ascii="標楷體" w:eastAsia="標楷體" w:hAnsi="標楷體" w:hint="eastAsia"/>
                <w:color w:val="000000"/>
                <w:kern w:val="0"/>
              </w:rPr>
              <w:br/>
              <w:t>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年度中央政府總預算案關於立法院主管收支部分。</w:t>
            </w:r>
          </w:p>
        </w:tc>
        <w:tc>
          <w:tcPr>
            <w:tcW w:w="1091" w:type="pct"/>
          </w:tcPr>
          <w:p w14:paraId="005E73B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42899E6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348F93DE"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5月25日（星期一）</w:t>
            </w:r>
          </w:p>
          <w:p w14:paraId="03286C7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監察院秘書長、行政院主計總處</w:t>
            </w:r>
          </w:p>
          <w:p w14:paraId="40D5C947"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5月27日（星期三）</w:t>
            </w:r>
          </w:p>
          <w:p w14:paraId="64977D8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法務部部長、最高檢察署檢察總長、法務部所屬機關首長、財團法人臺灣更生保護會董事長、財團法人福建更生保護會董事長、財團法人犯罪被害人保護協會董事長、行政院主計總處</w:t>
            </w:r>
          </w:p>
          <w:p w14:paraId="22B7F253"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5月28日（星期四）</w:t>
            </w:r>
          </w:p>
          <w:p w14:paraId="05D80FC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立法院秘書長、行政院主計總處</w:t>
            </w:r>
          </w:p>
        </w:tc>
        <w:tc>
          <w:tcPr>
            <w:tcW w:w="1188" w:type="pct"/>
          </w:tcPr>
          <w:p w14:paraId="4CE30769"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lastRenderedPageBreak/>
              <w:t>5月25日（星期一）</w:t>
            </w:r>
          </w:p>
          <w:p w14:paraId="3CA01C1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審查完竣，須交由黨團協商。</w:t>
            </w:r>
          </w:p>
          <w:p w14:paraId="65635D9F"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5月27日（星期三）</w:t>
            </w:r>
          </w:p>
          <w:p w14:paraId="300B9BD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第一案至第三案均審查完竣，須交由黨團協商；第四案審查完竣，不須交由黨團協商。</w:t>
            </w:r>
          </w:p>
          <w:p w14:paraId="48666358"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5月28日（星期四）</w:t>
            </w:r>
          </w:p>
          <w:p w14:paraId="747B071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審查完竣，須交由黨團協商。</w:t>
            </w:r>
          </w:p>
          <w:p w14:paraId="1AFDF173" w14:textId="39F5BB80" w:rsidR="00CE6EEC" w:rsidRPr="001B6E4D" w:rsidRDefault="00CE6EEC"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kern w:val="0"/>
              </w:rPr>
              <w:t>（第115卷45期</w:t>
            </w:r>
            <w:r w:rsidRPr="001B6E4D">
              <w:rPr>
                <w:rFonts w:ascii="標楷體" w:eastAsia="標楷體" w:hAnsi="標楷體"/>
                <w:color w:val="000000"/>
                <w:kern w:val="0"/>
              </w:rPr>
              <w:t>5</w:t>
            </w:r>
            <w:r w:rsidRPr="001B6E4D">
              <w:rPr>
                <w:rFonts w:ascii="標楷體" w:eastAsia="標楷體" w:hAnsi="標楷體" w:hint="eastAsia"/>
                <w:color w:val="000000"/>
                <w:kern w:val="0"/>
              </w:rPr>
              <w:t>444）</w:t>
            </w:r>
          </w:p>
        </w:tc>
      </w:tr>
      <w:tr w:rsidR="005A76C8" w:rsidRPr="001B6E4D" w14:paraId="2000AE00" w14:textId="77777777" w:rsidTr="005C6B6B">
        <w:tc>
          <w:tcPr>
            <w:tcW w:w="710" w:type="pct"/>
          </w:tcPr>
          <w:p w14:paraId="64EA36D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參訪活動</w:t>
            </w:r>
          </w:p>
        </w:tc>
        <w:tc>
          <w:tcPr>
            <w:tcW w:w="799" w:type="pct"/>
          </w:tcPr>
          <w:p w14:paraId="0845BE14"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115年6月1日（星期一）</w:t>
            </w:r>
          </w:p>
        </w:tc>
        <w:tc>
          <w:tcPr>
            <w:tcW w:w="1212" w:type="pct"/>
          </w:tcPr>
          <w:p w14:paraId="7699CA0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參訪臺灣</w:t>
            </w:r>
            <w:proofErr w:type="gramStart"/>
            <w:r w:rsidRPr="001B6E4D">
              <w:rPr>
                <w:rFonts w:ascii="標楷體" w:eastAsia="標楷體" w:hAnsi="標楷體" w:hint="eastAsia"/>
                <w:color w:val="000000"/>
                <w:kern w:val="0"/>
              </w:rPr>
              <w:t>臺</w:t>
            </w:r>
            <w:proofErr w:type="gramEnd"/>
            <w:r w:rsidRPr="001B6E4D">
              <w:rPr>
                <w:rFonts w:ascii="標楷體" w:eastAsia="標楷體" w:hAnsi="標楷體" w:hint="eastAsia"/>
                <w:color w:val="000000"/>
                <w:kern w:val="0"/>
              </w:rPr>
              <w:t>北地方法院法庭建置中文語音辨識系統之應用。</w:t>
            </w:r>
          </w:p>
        </w:tc>
        <w:tc>
          <w:tcPr>
            <w:tcW w:w="1091" w:type="pct"/>
          </w:tcPr>
          <w:p w14:paraId="04E924D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莊召集委員瑞雄</w:t>
            </w:r>
          </w:p>
          <w:p w14:paraId="7F366CD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spacing w:val="-10"/>
                <w:kern w:val="0"/>
              </w:rPr>
              <w:t>(張委員雅琳領隊)</w:t>
            </w:r>
          </w:p>
          <w:p w14:paraId="65FB860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7D5153F1" w14:textId="05C38F9F" w:rsidR="005A76C8" w:rsidRPr="001B6E4D" w:rsidRDefault="004E31FE"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w:t>
            </w:r>
            <w:r w:rsidR="005A76C8" w:rsidRPr="001B6E4D">
              <w:rPr>
                <w:rFonts w:ascii="標楷體" w:eastAsia="標楷體" w:hAnsi="標楷體" w:hint="eastAsia"/>
                <w:color w:val="000000"/>
                <w:kern w:val="0"/>
              </w:rPr>
              <w:t>臺灣</w:t>
            </w:r>
            <w:proofErr w:type="gramStart"/>
            <w:r w:rsidR="005A76C8" w:rsidRPr="001B6E4D">
              <w:rPr>
                <w:rFonts w:ascii="標楷體" w:eastAsia="標楷體" w:hAnsi="標楷體" w:hint="eastAsia"/>
                <w:color w:val="000000"/>
                <w:kern w:val="0"/>
              </w:rPr>
              <w:t>臺</w:t>
            </w:r>
            <w:proofErr w:type="gramEnd"/>
            <w:r w:rsidR="005A76C8" w:rsidRPr="001B6E4D">
              <w:rPr>
                <w:rFonts w:ascii="標楷體" w:eastAsia="標楷體" w:hAnsi="標楷體" w:hint="eastAsia"/>
                <w:color w:val="000000"/>
                <w:kern w:val="0"/>
              </w:rPr>
              <w:t>北地方法院院長</w:t>
            </w:r>
          </w:p>
        </w:tc>
        <w:tc>
          <w:tcPr>
            <w:tcW w:w="1188" w:type="pct"/>
          </w:tcPr>
          <w:p w14:paraId="340E347F"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p>
        </w:tc>
      </w:tr>
      <w:tr w:rsidR="005A76C8" w:rsidRPr="001B6E4D" w14:paraId="37E9CB21" w14:textId="77777777" w:rsidTr="005C6B6B">
        <w:tc>
          <w:tcPr>
            <w:tcW w:w="710" w:type="pct"/>
          </w:tcPr>
          <w:p w14:paraId="552002E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第16次全體委員會議</w:t>
            </w:r>
          </w:p>
        </w:tc>
        <w:tc>
          <w:tcPr>
            <w:tcW w:w="799" w:type="pct"/>
          </w:tcPr>
          <w:p w14:paraId="481B3327"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115年6月3日、4日（星期三、四兩天一次會）</w:t>
            </w:r>
          </w:p>
        </w:tc>
        <w:tc>
          <w:tcPr>
            <w:tcW w:w="1212" w:type="pct"/>
          </w:tcPr>
          <w:p w14:paraId="5686289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一、繼續審查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年度中央政府總預算案關於考試院及所屬主管收支部分。</w:t>
            </w:r>
            <w:r w:rsidRPr="001B6E4D">
              <w:rPr>
                <w:rFonts w:ascii="標楷體" w:eastAsia="標楷體" w:hAnsi="標楷體" w:hint="eastAsia"/>
                <w:color w:val="000000"/>
                <w:kern w:val="0"/>
              </w:rPr>
              <w:br/>
              <w:t>二、繼續審查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年度中央政府總預算案附屬單位預算非營業部分關於考試院考選部主管「考選業務基金」收支部分。</w:t>
            </w:r>
            <w:r w:rsidRPr="001B6E4D">
              <w:rPr>
                <w:rFonts w:ascii="標楷體" w:eastAsia="標楷體" w:hAnsi="標楷體" w:hint="eastAsia"/>
                <w:color w:val="000000"/>
                <w:kern w:val="0"/>
              </w:rPr>
              <w:br/>
              <w:t>三、繼續審查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年度中央政府總預算案附屬單位預算非營業部分關於考試院銓敘部主管「公務人員退休撫</w:t>
            </w:r>
            <w:proofErr w:type="gramStart"/>
            <w:r w:rsidRPr="001B6E4D">
              <w:rPr>
                <w:rFonts w:ascii="標楷體" w:eastAsia="標楷體" w:hAnsi="標楷體" w:hint="eastAsia"/>
                <w:color w:val="000000"/>
                <w:kern w:val="0"/>
              </w:rPr>
              <w:t>卹</w:t>
            </w:r>
            <w:proofErr w:type="gramEnd"/>
            <w:r w:rsidRPr="001B6E4D">
              <w:rPr>
                <w:rFonts w:ascii="標楷體" w:eastAsia="標楷體" w:hAnsi="標楷體" w:hint="eastAsia"/>
                <w:color w:val="000000"/>
                <w:kern w:val="0"/>
              </w:rPr>
              <w:t>基金」收支部分。</w:t>
            </w:r>
            <w:r w:rsidRPr="001B6E4D">
              <w:rPr>
                <w:rFonts w:ascii="標楷體" w:eastAsia="標楷體" w:hAnsi="標楷體" w:hint="eastAsia"/>
                <w:color w:val="000000"/>
                <w:kern w:val="0"/>
              </w:rPr>
              <w:br/>
              <w:t>四、繼續審查</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lastRenderedPageBreak/>
              <w:t>年度中央政府總預算案附屬單位預算非營業部分關於考試院銓敘部主管「公教人員個人</w:t>
            </w:r>
            <w:proofErr w:type="gramStart"/>
            <w:r w:rsidRPr="001B6E4D">
              <w:rPr>
                <w:rFonts w:ascii="標楷體" w:eastAsia="標楷體" w:hAnsi="標楷體" w:hint="eastAsia"/>
                <w:color w:val="000000"/>
                <w:kern w:val="0"/>
              </w:rPr>
              <w:t>專戶制退撫</w:t>
            </w:r>
            <w:proofErr w:type="gramEnd"/>
            <w:r w:rsidRPr="001B6E4D">
              <w:rPr>
                <w:rFonts w:ascii="標楷體" w:eastAsia="標楷體" w:hAnsi="標楷體" w:hint="eastAsia"/>
                <w:color w:val="000000"/>
                <w:kern w:val="0"/>
              </w:rPr>
              <w:t>儲金基金」收支部分。</w:t>
            </w:r>
          </w:p>
        </w:tc>
        <w:tc>
          <w:tcPr>
            <w:tcW w:w="1091" w:type="pct"/>
          </w:tcPr>
          <w:p w14:paraId="73D04FB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198F336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25B34C6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考試院秘書長及考試院所屬機關首長、行政院主計總處</w:t>
            </w:r>
          </w:p>
        </w:tc>
        <w:tc>
          <w:tcPr>
            <w:tcW w:w="1188" w:type="pct"/>
          </w:tcPr>
          <w:p w14:paraId="2947922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第一案至第四案均審查完竣，須交由黨團協商。</w:t>
            </w:r>
          </w:p>
          <w:p w14:paraId="6A862942" w14:textId="17DC0077" w:rsidR="00CE6EEC" w:rsidRPr="001B6E4D" w:rsidRDefault="00CE6EEC"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kern w:val="0"/>
              </w:rPr>
              <w:t>（第115卷47期</w:t>
            </w:r>
            <w:r w:rsidRPr="001B6E4D">
              <w:rPr>
                <w:rFonts w:ascii="標楷體" w:eastAsia="標楷體" w:hAnsi="標楷體"/>
                <w:color w:val="000000"/>
                <w:kern w:val="0"/>
              </w:rPr>
              <w:t>5</w:t>
            </w:r>
            <w:r w:rsidRPr="001B6E4D">
              <w:rPr>
                <w:rFonts w:ascii="標楷體" w:eastAsia="標楷體" w:hAnsi="標楷體" w:hint="eastAsia"/>
                <w:color w:val="000000"/>
                <w:kern w:val="0"/>
              </w:rPr>
              <w:t>446）</w:t>
            </w:r>
          </w:p>
        </w:tc>
      </w:tr>
      <w:tr w:rsidR="005A76C8" w:rsidRPr="001B6E4D" w14:paraId="563E7119" w14:textId="77777777" w:rsidTr="005C6B6B">
        <w:tc>
          <w:tcPr>
            <w:tcW w:w="710" w:type="pct"/>
          </w:tcPr>
          <w:p w14:paraId="1F22780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w:t>
            </w:r>
            <w:r w:rsidRPr="001B6E4D">
              <w:rPr>
                <w:rFonts w:ascii="標楷體" w:eastAsia="標楷體" w:hAnsi="標楷體"/>
                <w:color w:val="000000"/>
                <w:kern w:val="0"/>
              </w:rPr>
              <w:t>7</w:t>
            </w:r>
            <w:r w:rsidRPr="001B6E4D">
              <w:rPr>
                <w:rFonts w:ascii="標楷體" w:eastAsia="標楷體" w:hAnsi="標楷體" w:hint="eastAsia"/>
                <w:color w:val="000000"/>
                <w:kern w:val="0"/>
              </w:rPr>
              <w:t>次全體委員會議</w:t>
            </w:r>
          </w:p>
        </w:tc>
        <w:tc>
          <w:tcPr>
            <w:tcW w:w="799" w:type="pct"/>
          </w:tcPr>
          <w:p w14:paraId="08633927"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115年6月</w:t>
            </w:r>
            <w:r w:rsidRPr="001B6E4D">
              <w:rPr>
                <w:rFonts w:ascii="標楷體" w:eastAsia="標楷體" w:hAnsi="標楷體"/>
                <w:color w:val="000000"/>
                <w:spacing w:val="-20"/>
                <w:kern w:val="0"/>
              </w:rPr>
              <w:t>8</w:t>
            </w:r>
            <w:r w:rsidRPr="001B6E4D">
              <w:rPr>
                <w:rFonts w:ascii="標楷體" w:eastAsia="標楷體" w:hAnsi="標楷體" w:hint="eastAsia"/>
                <w:color w:val="000000"/>
                <w:spacing w:val="-20"/>
                <w:kern w:val="0"/>
              </w:rPr>
              <w:t>日（星期一）</w:t>
            </w:r>
          </w:p>
        </w:tc>
        <w:tc>
          <w:tcPr>
            <w:tcW w:w="1212" w:type="pct"/>
          </w:tcPr>
          <w:p w14:paraId="61943EC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邀請法務部部長、內政部警政署署長、交通部、衛生福利部、海洋委員會海巡署、財政部關務署、教育部、數位</w:t>
            </w:r>
            <w:proofErr w:type="gramStart"/>
            <w:r w:rsidRPr="001B6E4D">
              <w:rPr>
                <w:rFonts w:ascii="標楷體" w:eastAsia="標楷體" w:hAnsi="標楷體" w:hint="eastAsia"/>
                <w:color w:val="000000"/>
                <w:kern w:val="0"/>
              </w:rPr>
              <w:t>發展部就</w:t>
            </w:r>
            <w:proofErr w:type="gramEnd"/>
            <w:r w:rsidRPr="001B6E4D">
              <w:rPr>
                <w:rFonts w:ascii="標楷體" w:eastAsia="標楷體" w:hAnsi="標楷體" w:hint="eastAsia"/>
                <w:color w:val="000000"/>
                <w:kern w:val="0"/>
              </w:rPr>
              <w:t>「從源頭查緝到道路安全：我國毒品犯罪與</w:t>
            </w:r>
            <w:proofErr w:type="gramStart"/>
            <w:r w:rsidRPr="001B6E4D">
              <w:rPr>
                <w:rFonts w:ascii="標楷體" w:eastAsia="標楷體" w:hAnsi="標楷體" w:hint="eastAsia"/>
                <w:color w:val="000000"/>
                <w:kern w:val="0"/>
              </w:rPr>
              <w:t>毒駕防</w:t>
            </w:r>
            <w:proofErr w:type="gramEnd"/>
            <w:r w:rsidRPr="001B6E4D">
              <w:rPr>
                <w:rFonts w:ascii="標楷體" w:eastAsia="標楷體" w:hAnsi="標楷體" w:hint="eastAsia"/>
                <w:color w:val="000000"/>
                <w:kern w:val="0"/>
              </w:rPr>
              <w:t>制政策」進行專題報告，並備質詢。</w:t>
            </w:r>
          </w:p>
        </w:tc>
        <w:tc>
          <w:tcPr>
            <w:tcW w:w="1091" w:type="pct"/>
          </w:tcPr>
          <w:p w14:paraId="0F38EED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162FC82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421E91C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法務部部長、內政部警政署署長、交通部、衛生福利部、海洋委員會海巡署、財政部關務署、教育部、數位發展部</w:t>
            </w:r>
          </w:p>
        </w:tc>
        <w:tc>
          <w:tcPr>
            <w:tcW w:w="1188" w:type="pct"/>
          </w:tcPr>
          <w:p w14:paraId="27B4FC3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
          <w:p w14:paraId="29CA702E" w14:textId="103B507C" w:rsidR="00CE6EEC" w:rsidRPr="001B6E4D" w:rsidRDefault="00CE6EEC"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（第115卷49期</w:t>
            </w:r>
            <w:r w:rsidRPr="001B6E4D">
              <w:rPr>
                <w:rFonts w:ascii="標楷體" w:eastAsia="標楷體" w:hAnsi="標楷體"/>
                <w:color w:val="000000"/>
                <w:kern w:val="0"/>
              </w:rPr>
              <w:t>5</w:t>
            </w:r>
            <w:r w:rsidRPr="001B6E4D">
              <w:rPr>
                <w:rFonts w:ascii="標楷體" w:eastAsia="標楷體" w:hAnsi="標楷體" w:hint="eastAsia"/>
                <w:color w:val="000000"/>
                <w:kern w:val="0"/>
              </w:rPr>
              <w:t>448）</w:t>
            </w:r>
          </w:p>
        </w:tc>
      </w:tr>
      <w:tr w:rsidR="005A76C8" w:rsidRPr="001B6E4D" w14:paraId="784D4028" w14:textId="77777777" w:rsidTr="005C6B6B">
        <w:tc>
          <w:tcPr>
            <w:tcW w:w="710" w:type="pct"/>
          </w:tcPr>
          <w:p w14:paraId="3485A48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第18次全體委員會議</w:t>
            </w:r>
          </w:p>
        </w:tc>
        <w:tc>
          <w:tcPr>
            <w:tcW w:w="799" w:type="pct"/>
          </w:tcPr>
          <w:p w14:paraId="060482DE"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115年6月10日、11日（星期三、四兩天一次會）</w:t>
            </w:r>
          </w:p>
        </w:tc>
        <w:tc>
          <w:tcPr>
            <w:tcW w:w="1212" w:type="pct"/>
          </w:tcPr>
          <w:p w14:paraId="761D333F"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6月10日（星期三）</w:t>
            </w:r>
          </w:p>
          <w:p w14:paraId="5943E55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1CC2BC7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（一）台灣民眾黨黨團擬具「軍公教人員待遇調整條例草案」案。</w:t>
            </w:r>
          </w:p>
          <w:p w14:paraId="75C3C92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（二）委員翁曉玲等16人擬具「軍公教人員待遇調整條例草案」案。</w:t>
            </w:r>
          </w:p>
          <w:p w14:paraId="7308233F"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6月11日（星期四）</w:t>
            </w:r>
          </w:p>
          <w:p w14:paraId="1A3D188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一、繼續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34E1E70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（一）行政院、司法院函請審議「中華民國刑法第八十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967D88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（二）委員洪孟楷等21人擬具「中華民國刑法第八十三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FEB3BC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（三）委員王育敏等21人擬具「中華民國刑法增訂第八十條之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p>
          <w:p w14:paraId="7E609DE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w:t>
            </w:r>
            <w:proofErr w:type="gramStart"/>
            <w:r w:rsidRPr="001B6E4D">
              <w:rPr>
                <w:rFonts w:ascii="標楷體" w:eastAsia="標楷體" w:hAnsi="標楷體" w:hint="eastAsia"/>
                <w:color w:val="000000"/>
                <w:kern w:val="0"/>
              </w:rPr>
              <w:t>范</w:t>
            </w:r>
            <w:proofErr w:type="gramEnd"/>
            <w:r w:rsidRPr="001B6E4D">
              <w:rPr>
                <w:rFonts w:ascii="標楷體" w:eastAsia="標楷體" w:hAnsi="標楷體" w:hint="eastAsia"/>
                <w:color w:val="000000"/>
                <w:kern w:val="0"/>
              </w:rPr>
              <w:t>雲等</w:t>
            </w:r>
            <w:r w:rsidRPr="001B6E4D">
              <w:rPr>
                <w:rFonts w:ascii="標楷體" w:eastAsia="標楷體" w:hAnsi="標楷體" w:hint="eastAsia"/>
                <w:color w:val="000000"/>
                <w:kern w:val="0"/>
              </w:rPr>
              <w:lastRenderedPageBreak/>
              <w:t>22人擬具「中華民國刑法第八十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B97712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（五）委員郭昱晴等16人擬具「中華民國刑法第八十三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BDBC55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（六）委員李昆澤等17人擬具「中華民國刑法第八十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92EB05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（七）台灣民眾黨黨團擬具「中華民國刑法第八十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F2EC3C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（八）委員李坤城等21人擬具「中華民國刑法第八十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3018A30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（九）委員張雅琳等18人擬具「中華民國刑法第八十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3C32E3D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（十）委員黃捷等19人擬具「中華民國刑法第八十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75B6D9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（十一）委員</w:t>
            </w:r>
            <w:proofErr w:type="gramStart"/>
            <w:r w:rsidRPr="001B6E4D">
              <w:rPr>
                <w:rFonts w:ascii="標楷體" w:eastAsia="標楷體" w:hAnsi="標楷體" w:hint="eastAsia"/>
                <w:color w:val="000000"/>
                <w:kern w:val="0"/>
              </w:rPr>
              <w:t>林楚茵等</w:t>
            </w:r>
            <w:proofErr w:type="gramEnd"/>
            <w:r w:rsidRPr="001B6E4D">
              <w:rPr>
                <w:rFonts w:ascii="標楷體" w:eastAsia="標楷體" w:hAnsi="標楷體" w:hint="eastAsia"/>
                <w:color w:val="000000"/>
                <w:kern w:val="0"/>
              </w:rPr>
              <w:t>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9884CC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（十二）委員吳沛憶等17人擬具「中華民國刑法第八十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CF6C2C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（十三）委員林月琴等20人擬具「中華民國刑法第八十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19B9E5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（十四）委員蔡其</w:t>
            </w:r>
            <w:r w:rsidRPr="001B6E4D">
              <w:rPr>
                <w:rFonts w:ascii="標楷體" w:eastAsia="標楷體" w:hAnsi="標楷體" w:hint="eastAsia"/>
                <w:color w:val="000000"/>
                <w:kern w:val="0"/>
              </w:rPr>
              <w:lastRenderedPageBreak/>
              <w:t>昌等17人擬具「中華民國刑法第八十三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4A15689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（十五）委員王美惠等18人擬具「中華民國刑法第八十三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325A103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（十六）委員陳素月等19人擬具「中華民國刑法第八十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442C1AF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（十七）委員洪孟楷等17人擬具「中華民國刑法第八十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B13568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（十八）委員張宏陸等17人擬具「中華民國刑法第八十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FEBB9A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（十九）委員林倩綺等21人擬具「中華民國刑法第八十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13F486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（二十）委員吳思瑤等18人擬具「中華民國刑法第八十三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3C9DC2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（二十一）委員翁曉玲等17人擬具「中華民國刑法第八十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210AA4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（二十二）委員伍麗華</w:t>
            </w:r>
            <w:proofErr w:type="spellStart"/>
            <w:r w:rsidRPr="001B6E4D">
              <w:rPr>
                <w:rFonts w:ascii="標楷體" w:eastAsia="標楷體" w:hAnsi="標楷體" w:hint="eastAsia"/>
                <w:color w:val="000000"/>
                <w:kern w:val="0"/>
              </w:rPr>
              <w:t>Saidhai</w:t>
            </w:r>
            <w:proofErr w:type="spellEnd"/>
            <w:proofErr w:type="gramStart"/>
            <w:r w:rsidRPr="001B6E4D">
              <w:rPr>
                <w:rFonts w:ascii="標楷體" w:eastAsia="標楷體" w:hAnsi="標楷體" w:hint="eastAsia"/>
                <w:color w:val="000000"/>
                <w:kern w:val="0"/>
              </w:rPr>
              <w:t>‧</w:t>
            </w:r>
            <w:proofErr w:type="spellStart"/>
            <w:proofErr w:type="gramEnd"/>
            <w:r w:rsidRPr="001B6E4D">
              <w:rPr>
                <w:rFonts w:ascii="標楷體" w:eastAsia="標楷體" w:hAnsi="標楷體" w:hint="eastAsia"/>
                <w:color w:val="000000"/>
                <w:kern w:val="0"/>
              </w:rPr>
              <w:t>Tahovecahe</w:t>
            </w:r>
            <w:proofErr w:type="spellEnd"/>
            <w:r w:rsidRPr="001B6E4D">
              <w:rPr>
                <w:rFonts w:ascii="標楷體" w:eastAsia="標楷體" w:hAnsi="標楷體" w:hint="eastAsia"/>
                <w:color w:val="000000"/>
                <w:kern w:val="0"/>
              </w:rPr>
              <w:t>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460356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（二十三）委員羅智強等19人擬具</w:t>
            </w:r>
            <w:r w:rsidRPr="001B6E4D">
              <w:rPr>
                <w:rFonts w:ascii="標楷體" w:eastAsia="標楷體" w:hAnsi="標楷體" w:hint="eastAsia"/>
                <w:color w:val="000000"/>
                <w:kern w:val="0"/>
              </w:rPr>
              <w:lastRenderedPageBreak/>
              <w:t>「中華民國刑法第八十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9EDE70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（二十四）委員王鴻薇等18人擬具「中華民國刑法第八十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6C4778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（二十五）委員羅廷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等18人擬具「中華民國刑法第八十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4A2AE95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（二十六）委員王正旭等18人擬具「中華民國刑法第八十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B4659E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（二十七）委員林思銘等20人擬具「中華民國刑法第八十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4F43F6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（二十八）委員林宜瑾等19人擬具「中華民國刑法第八十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930FA5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（二十九）委員林俊憲等18人擬具「中華民國刑法第八十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70147C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（三十）委員王美惠等17人擬具「中華民國刑法第八十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72B8B8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（三十一）委員徐巧芯等22人擬具「中華民國刑法第八十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C9401D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（三十二）委員邱議瑩等16人擬具「中華民國刑法第八十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w:t>
            </w:r>
            <w:r w:rsidRPr="001B6E4D">
              <w:rPr>
                <w:rFonts w:ascii="標楷體" w:eastAsia="標楷體" w:hAnsi="標楷體" w:hint="eastAsia"/>
                <w:color w:val="000000"/>
                <w:kern w:val="0"/>
              </w:rPr>
              <w:lastRenderedPageBreak/>
              <w:t>案」案。</w:t>
            </w:r>
          </w:p>
          <w:p w14:paraId="2517B2D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（三十三）委員何欣純等19人擬具「中華民國刑法第八十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934566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（三十四）委員張智倫等19人擬具「中華民國刑法第八十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7E413D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（三十五）委員許宇</w:t>
            </w:r>
            <w:proofErr w:type="gramStart"/>
            <w:r w:rsidRPr="001B6E4D">
              <w:rPr>
                <w:rFonts w:ascii="標楷體" w:eastAsia="標楷體" w:hAnsi="標楷體" w:hint="eastAsia"/>
                <w:color w:val="000000"/>
                <w:kern w:val="0"/>
              </w:rPr>
              <w:t>甄</w:t>
            </w:r>
            <w:proofErr w:type="gramEnd"/>
            <w:r w:rsidRPr="001B6E4D">
              <w:rPr>
                <w:rFonts w:ascii="標楷體" w:eastAsia="標楷體" w:hAnsi="標楷體" w:hint="eastAsia"/>
                <w:color w:val="000000"/>
                <w:kern w:val="0"/>
              </w:rPr>
              <w:t>等16人擬具「中華民國刑法第八十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3D94E0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（三十六）委員羅美玲等17人擬具「中華民國刑法第八十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293749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（三十七）委員陳培瑜等18人擬具「中華民國刑法第八十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DEC2C4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二、繼續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686B89D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（一）行政院、司法院函請審議「中華民國刑法施行法第八條之二條文修正草案」案。</w:t>
            </w:r>
          </w:p>
          <w:p w14:paraId="0092F1A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（二）委員黃捷等19人擬具「中華民國刑法施行法增訂第八條之三條文草案」案。</w:t>
            </w:r>
          </w:p>
          <w:p w14:paraId="204DDF5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w:t>
            </w:r>
            <w:proofErr w:type="gramStart"/>
            <w:r w:rsidRPr="001B6E4D">
              <w:rPr>
                <w:rFonts w:ascii="標楷體" w:eastAsia="標楷體" w:hAnsi="標楷體" w:hint="eastAsia"/>
                <w:color w:val="000000"/>
                <w:kern w:val="0"/>
              </w:rPr>
              <w:t>林楚茵等</w:t>
            </w:r>
            <w:proofErr w:type="gramEnd"/>
            <w:r w:rsidRPr="001B6E4D">
              <w:rPr>
                <w:rFonts w:ascii="標楷體" w:eastAsia="標楷體" w:hAnsi="標楷體" w:hint="eastAsia"/>
                <w:color w:val="000000"/>
                <w:kern w:val="0"/>
              </w:rPr>
              <w:t>16人擬具「中華民國刑法施行法第八條之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p>
          <w:p w14:paraId="667D417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（四）委員吳沛憶等17人擬具「中華民國刑法施行法第八條之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p>
          <w:p w14:paraId="6E44DD5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（五）委員林月琴等21人擬具「中華民國刑法施行法增訂第八條之三條文草案」案。</w:t>
            </w:r>
          </w:p>
          <w:p w14:paraId="62ED0F4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（六）委員蔡其昌等17人擬具「中華民國刑法施行法增訂第八條之三條文草案」案。</w:t>
            </w:r>
          </w:p>
          <w:p w14:paraId="3B6EFBC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（七）委員王美惠等17人擬具「中華民國刑法施行法增訂第八條之三條文草案」案。</w:t>
            </w:r>
          </w:p>
          <w:p w14:paraId="2BBD6F2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（八）委員陳素月等21人擬具「中華民國刑法施行法第八條之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p>
          <w:p w14:paraId="1D5E536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（九）委員林倩綺等21人擬具「中華民國刑法施行法第八條之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p>
          <w:p w14:paraId="46B1A82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（十）委員吳思瑤等18人擬具「中華民國刑法施行法增訂第八條之三條文草案」案。</w:t>
            </w:r>
          </w:p>
          <w:p w14:paraId="288B9F1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（十一）委員羅智強等19人擬具「中華民國刑法施行法增訂第八條之三條文草案」案。</w:t>
            </w:r>
          </w:p>
          <w:p w14:paraId="0F6298B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（十二）委員李坤城等20人擬具「中華民國刑法施行法第八條之二條文修正草案」案。</w:t>
            </w:r>
          </w:p>
          <w:p w14:paraId="548A2F4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（十三）委員翁曉玲等27人擬具「中華民國刑法施行法第八條之二條文修正草案」案。</w:t>
            </w:r>
          </w:p>
          <w:p w14:paraId="54456FF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（十四）委員王鴻薇等18人擬具「中</w:t>
            </w:r>
            <w:r w:rsidRPr="001B6E4D">
              <w:rPr>
                <w:rFonts w:ascii="標楷體" w:eastAsia="標楷體" w:hAnsi="標楷體" w:hint="eastAsia"/>
                <w:color w:val="000000"/>
                <w:kern w:val="0"/>
              </w:rPr>
              <w:lastRenderedPageBreak/>
              <w:t>華民國刑法施行法第八條之二條文修正草案」案。</w:t>
            </w:r>
          </w:p>
          <w:p w14:paraId="06E6470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（十五）委員王正旭等17人擬具「中華民國刑法施行法第八條之二條文修正草案」案。</w:t>
            </w:r>
          </w:p>
          <w:p w14:paraId="4B3EC22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（十六）委員林俊憲等18人擬具「中華民國刑法施行法第八條之二條文修正草案」案。</w:t>
            </w:r>
          </w:p>
          <w:p w14:paraId="41AA8B3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（十七）委員王美惠等17人擬具「中華民國刑法施行法第八條之二條文修正草案」案。</w:t>
            </w:r>
          </w:p>
          <w:p w14:paraId="46AB6FE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（十八）委員何欣純等18人擬具「中華民國刑法施行法第八條之二條文修正草案」案。</w:t>
            </w:r>
          </w:p>
          <w:p w14:paraId="39F1EB1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（十九）委員羅美玲等17人擬具「中華民國刑法施行法第八條之二條文修正草案」案。</w:t>
            </w:r>
          </w:p>
          <w:p w14:paraId="10D4548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（二十）委員陳培瑜等20人擬具「中華民國刑法施行法第八條之二條文修正草案」案。</w:t>
            </w:r>
          </w:p>
          <w:p w14:paraId="3CBAA47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三、繼續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5F444DA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（一）委員翁曉玲等20人擬具「刑事訴訟法第一百零八</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A6328F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（二）委員林倩綺等21人擬具「刑事訴訟法第一百零八</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927D29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四、繼續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77C6C78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（一）台灣民眾黨黨團擬具「刑事訴</w:t>
            </w:r>
            <w:r w:rsidRPr="001B6E4D">
              <w:rPr>
                <w:rFonts w:ascii="標楷體" w:eastAsia="標楷體" w:hAnsi="標楷體" w:hint="eastAsia"/>
                <w:color w:val="000000"/>
                <w:kern w:val="0"/>
              </w:rPr>
              <w:lastRenderedPageBreak/>
              <w:t xml:space="preserve">訟法部分條文修正草案」案。(11-3-8院會付委) </w:t>
            </w:r>
          </w:p>
          <w:p w14:paraId="1FE1ED6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（二）台灣民眾黨黨團擬具「刑事訴訟法第九十三條及第一百零一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395E1E7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（三）委員翁曉玲等25人擬具「刑事訴訟法第四百十三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AC40AC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（四）委員翁曉玲等18人擬具「刑事訴訟法第九十三條及第一百零一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DDE7A0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五、繼續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5AFCB43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w:t>
            </w:r>
            <w:proofErr w:type="gramStart"/>
            <w:r w:rsidRPr="001B6E4D">
              <w:rPr>
                <w:rFonts w:ascii="標楷體" w:eastAsia="標楷體" w:hAnsi="標楷體" w:hint="eastAsia"/>
                <w:color w:val="000000"/>
                <w:kern w:val="0"/>
              </w:rPr>
              <w:t>ㄧ</w:t>
            </w:r>
            <w:proofErr w:type="gramEnd"/>
            <w:r w:rsidRPr="001B6E4D">
              <w:rPr>
                <w:rFonts w:ascii="標楷體" w:eastAsia="標楷體" w:hAnsi="標楷體" w:hint="eastAsia"/>
                <w:color w:val="000000"/>
                <w:kern w:val="0"/>
              </w:rPr>
              <w:t>）台灣民眾黨黨團擬具「刑事訴訟法部分條文修正草案」案。(11-2-1院會付委)</w:t>
            </w:r>
          </w:p>
          <w:p w14:paraId="2B9B638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（二）委員鍾佳濱等19人擬具「刑事訴訟法第一百五十三條之十條文修正草案」案。</w:t>
            </w:r>
          </w:p>
          <w:p w14:paraId="0344E91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（三）委員莊瑞雄等16人擬具「刑事訴訟法第一百五十三條之十條文修正草案」案。</w:t>
            </w:r>
          </w:p>
          <w:p w14:paraId="05AEC4B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（四）委員吳宗憲等17人擬具「刑事訴訟法第四百零四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CBC69A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（五）委員李柏毅等16人擬具「刑事訴訟法第一百五十三條之十條文修正草案」案。</w:t>
            </w:r>
          </w:p>
        </w:tc>
        <w:tc>
          <w:tcPr>
            <w:tcW w:w="1091" w:type="pct"/>
          </w:tcPr>
          <w:p w14:paraId="032E3B1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1F9D057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65E72884"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6月10日（星期三）</w:t>
            </w:r>
          </w:p>
          <w:p w14:paraId="700A425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行政院人事行政總處副人事長、銓敘部、國防部、財政部、教育部、勞動部、國家發展委員會、行政院主計總處</w:t>
            </w:r>
          </w:p>
          <w:p w14:paraId="549F881A"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6月11日（星期四）</w:t>
            </w:r>
          </w:p>
          <w:p w14:paraId="0735236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開會事由一、二</w:t>
            </w:r>
          </w:p>
          <w:p w14:paraId="1C9B73E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法務部部長、司法院秘書長、衛生福利部、內政部</w:t>
            </w:r>
          </w:p>
          <w:p w14:paraId="12BAC7E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三</w:t>
            </w:r>
            <w:proofErr w:type="gramEnd"/>
          </w:p>
          <w:p w14:paraId="2292BD7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司法院秘書長、法務部</w:t>
            </w:r>
          </w:p>
          <w:p w14:paraId="727C011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開會事由四</w:t>
            </w:r>
          </w:p>
          <w:p w14:paraId="1A43587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司法院秘書長、法務部</w:t>
            </w:r>
          </w:p>
          <w:p w14:paraId="24A5267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開會事由五</w:t>
            </w:r>
          </w:p>
          <w:p w14:paraId="6EC28D2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司法院秘書長、法務部、內政部、國防部、海洋委員會</w:t>
            </w:r>
          </w:p>
        </w:tc>
        <w:tc>
          <w:tcPr>
            <w:tcW w:w="1188" w:type="pct"/>
          </w:tcPr>
          <w:p w14:paraId="38AD37A1"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6月10日（星期三）</w:t>
            </w:r>
          </w:p>
          <w:p w14:paraId="683BF31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答完畢，另定期繼續審查。</w:t>
            </w:r>
          </w:p>
          <w:p w14:paraId="5EE92D11"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6月11日（星期四）</w:t>
            </w:r>
          </w:p>
          <w:p w14:paraId="7AF5A57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第一案及第二案均審查完竣，不須交由黨團協商；第三案至第五</w:t>
            </w:r>
            <w:proofErr w:type="gramStart"/>
            <w:r w:rsidRPr="001B6E4D">
              <w:rPr>
                <w:rFonts w:ascii="標楷體" w:eastAsia="標楷體" w:hAnsi="標楷體" w:hint="eastAsia"/>
                <w:color w:val="000000"/>
                <w:kern w:val="0"/>
              </w:rPr>
              <w:t>案均另定期</w:t>
            </w:r>
            <w:proofErr w:type="gramEnd"/>
            <w:r w:rsidRPr="001B6E4D">
              <w:rPr>
                <w:rFonts w:ascii="標楷體" w:eastAsia="標楷體" w:hAnsi="標楷體" w:hint="eastAsia"/>
                <w:color w:val="000000"/>
                <w:kern w:val="0"/>
              </w:rPr>
              <w:t>繼續審查。</w:t>
            </w:r>
          </w:p>
          <w:p w14:paraId="3272C71C" w14:textId="6296C1CC" w:rsidR="00CE6EEC" w:rsidRPr="001B6E4D" w:rsidRDefault="00CE6EEC"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（第115卷50期</w:t>
            </w:r>
            <w:r w:rsidRPr="001B6E4D">
              <w:rPr>
                <w:rFonts w:ascii="標楷體" w:eastAsia="標楷體" w:hAnsi="標楷體"/>
                <w:color w:val="000000"/>
                <w:kern w:val="0"/>
              </w:rPr>
              <w:t>5</w:t>
            </w:r>
            <w:r w:rsidRPr="001B6E4D">
              <w:rPr>
                <w:rFonts w:ascii="標楷體" w:eastAsia="標楷體" w:hAnsi="標楷體" w:hint="eastAsia"/>
                <w:color w:val="000000"/>
                <w:kern w:val="0"/>
              </w:rPr>
              <w:t>449）</w:t>
            </w:r>
          </w:p>
        </w:tc>
      </w:tr>
      <w:tr w:rsidR="005A76C8" w:rsidRPr="001B6E4D" w14:paraId="141DA924" w14:textId="77777777" w:rsidTr="005C6B6B">
        <w:tc>
          <w:tcPr>
            <w:tcW w:w="710" w:type="pct"/>
          </w:tcPr>
          <w:p w14:paraId="46A3273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考察活動</w:t>
            </w:r>
          </w:p>
        </w:tc>
        <w:tc>
          <w:tcPr>
            <w:tcW w:w="799" w:type="pct"/>
          </w:tcPr>
          <w:p w14:paraId="7C23ECA6"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115年6月15日（星期一）</w:t>
            </w:r>
          </w:p>
        </w:tc>
        <w:tc>
          <w:tcPr>
            <w:tcW w:w="1212" w:type="pct"/>
          </w:tcPr>
          <w:p w14:paraId="093A98B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考察法務部矯正署</w:t>
            </w:r>
            <w:proofErr w:type="gramStart"/>
            <w:r w:rsidRPr="001B6E4D">
              <w:rPr>
                <w:rFonts w:ascii="標楷體" w:eastAsia="標楷體" w:hAnsi="標楷體" w:hint="eastAsia"/>
                <w:color w:val="000000"/>
                <w:kern w:val="0"/>
              </w:rPr>
              <w:t>臺</w:t>
            </w:r>
            <w:proofErr w:type="gramEnd"/>
            <w:r w:rsidRPr="001B6E4D">
              <w:rPr>
                <w:rFonts w:ascii="標楷體" w:eastAsia="標楷體" w:hAnsi="標楷體" w:hint="eastAsia"/>
                <w:color w:val="000000"/>
                <w:kern w:val="0"/>
              </w:rPr>
              <w:t>北少年觀護所少年出所轉銜機制與</w:t>
            </w:r>
            <w:r w:rsidRPr="001B6E4D">
              <w:rPr>
                <w:rFonts w:ascii="標楷體" w:eastAsia="標楷體" w:hAnsi="標楷體" w:hint="eastAsia"/>
                <w:color w:val="000000"/>
                <w:kern w:val="0"/>
              </w:rPr>
              <w:lastRenderedPageBreak/>
              <w:t>毒品防治業務概況。</w:t>
            </w:r>
          </w:p>
        </w:tc>
        <w:tc>
          <w:tcPr>
            <w:tcW w:w="1091" w:type="pct"/>
          </w:tcPr>
          <w:p w14:paraId="28005F7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315C508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spacing w:val="-10"/>
                <w:kern w:val="0"/>
              </w:rPr>
              <w:t>(張委員雅琳領隊)</w:t>
            </w:r>
          </w:p>
          <w:p w14:paraId="3D89DFC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6D5B7B0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法務部檢察司科長、法務部矯正署主任秘書、法務部矯正署</w:t>
            </w:r>
            <w:proofErr w:type="gramStart"/>
            <w:r w:rsidRPr="001B6E4D">
              <w:rPr>
                <w:rFonts w:ascii="標楷體" w:eastAsia="標楷體" w:hAnsi="標楷體" w:hint="eastAsia"/>
                <w:color w:val="000000"/>
                <w:kern w:val="0"/>
              </w:rPr>
              <w:t>臺</w:t>
            </w:r>
            <w:proofErr w:type="gramEnd"/>
            <w:r w:rsidRPr="001B6E4D">
              <w:rPr>
                <w:rFonts w:ascii="標楷體" w:eastAsia="標楷體" w:hAnsi="標楷體" w:hint="eastAsia"/>
                <w:color w:val="000000"/>
                <w:kern w:val="0"/>
              </w:rPr>
              <w:t>北少年觀護所所長、司法院少年及家事廳法官</w:t>
            </w:r>
          </w:p>
        </w:tc>
        <w:tc>
          <w:tcPr>
            <w:tcW w:w="1188" w:type="pct"/>
          </w:tcPr>
          <w:p w14:paraId="698AFD20"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p>
        </w:tc>
      </w:tr>
      <w:tr w:rsidR="005A76C8" w:rsidRPr="001B6E4D" w14:paraId="63E8BBDD" w14:textId="77777777" w:rsidTr="005C6B6B">
        <w:tc>
          <w:tcPr>
            <w:tcW w:w="710" w:type="pct"/>
          </w:tcPr>
          <w:p w14:paraId="50EE8ED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第19次全體委員會議</w:t>
            </w:r>
          </w:p>
        </w:tc>
        <w:tc>
          <w:tcPr>
            <w:tcW w:w="799" w:type="pct"/>
          </w:tcPr>
          <w:p w14:paraId="6AEB8462"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115年6月17日、18日（星期三、四兩天一次會）</w:t>
            </w:r>
          </w:p>
        </w:tc>
        <w:tc>
          <w:tcPr>
            <w:tcW w:w="1212" w:type="pct"/>
          </w:tcPr>
          <w:p w14:paraId="6842841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（一）委員賴士葆等27人擬具「律師法增訂第三十五條之一、第三十五條之二及第三十五條之三條文草案」案。</w:t>
            </w:r>
            <w:r w:rsidRPr="001B6E4D">
              <w:rPr>
                <w:rFonts w:ascii="標楷體" w:eastAsia="標楷體" w:hAnsi="標楷體" w:hint="eastAsia"/>
                <w:color w:val="000000"/>
                <w:kern w:val="0"/>
              </w:rPr>
              <w:br/>
              <w:t>（二）委員翁曉玲等16人擬具「律師法增訂第三十五條之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r w:rsidRPr="001B6E4D">
              <w:rPr>
                <w:rFonts w:ascii="標楷體" w:eastAsia="標楷體" w:hAnsi="標楷體" w:hint="eastAsia"/>
                <w:color w:val="000000"/>
                <w:kern w:val="0"/>
              </w:rPr>
              <w:br/>
              <w:t>（三）委員羅廷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等21人擬具「律師法增訂第三十五條之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r w:rsidRPr="001B6E4D">
              <w:rPr>
                <w:rFonts w:ascii="標楷體" w:eastAsia="標楷體" w:hAnsi="標楷體" w:hint="eastAsia"/>
                <w:color w:val="000000"/>
                <w:kern w:val="0"/>
              </w:rPr>
              <w:br/>
              <w:t>（四）委員廖偉翔等18人擬具「律師法增訂第三十五條之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r w:rsidRPr="001B6E4D">
              <w:rPr>
                <w:rFonts w:ascii="標楷體" w:eastAsia="標楷體" w:hAnsi="標楷體" w:hint="eastAsia"/>
                <w:color w:val="000000"/>
                <w:kern w:val="0"/>
              </w:rPr>
              <w:br/>
              <w:t>（五）委員王鴻薇等17人擬具「律師法增訂第三十五條之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r w:rsidRPr="001B6E4D">
              <w:rPr>
                <w:rFonts w:ascii="標楷體" w:eastAsia="標楷體" w:hAnsi="標楷體" w:hint="eastAsia"/>
                <w:color w:val="000000"/>
                <w:kern w:val="0"/>
              </w:rPr>
              <w:br/>
              <w:t>（六）委員李柏毅等19人擬具「律師法增訂第三十五條之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及第三十五條之二條文草案」案。</w:t>
            </w:r>
            <w:r w:rsidRPr="001B6E4D">
              <w:rPr>
                <w:rFonts w:ascii="標楷體" w:eastAsia="標楷體" w:hAnsi="標楷體" w:hint="eastAsia"/>
                <w:color w:val="000000"/>
                <w:kern w:val="0"/>
              </w:rPr>
              <w:br/>
              <w:t>（七）委員楊瓊瓔等28人擬具「律師法增訂第三十五條之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r w:rsidRPr="001B6E4D">
              <w:rPr>
                <w:rFonts w:ascii="標楷體" w:eastAsia="標楷體" w:hAnsi="標楷體" w:hint="eastAsia"/>
                <w:color w:val="000000"/>
                <w:kern w:val="0"/>
              </w:rPr>
              <w:br/>
              <w:t>（八）委員邱鎮軍</w:t>
            </w:r>
            <w:r w:rsidRPr="001B6E4D">
              <w:rPr>
                <w:rFonts w:ascii="標楷體" w:eastAsia="標楷體" w:hAnsi="標楷體" w:hint="eastAsia"/>
                <w:color w:val="000000"/>
                <w:kern w:val="0"/>
              </w:rPr>
              <w:lastRenderedPageBreak/>
              <w:t>等21人擬具「律師法增訂第三十五條之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及第三十五條之二條文草案」案。</w:t>
            </w:r>
            <w:r w:rsidRPr="001B6E4D">
              <w:rPr>
                <w:rFonts w:ascii="標楷體" w:eastAsia="標楷體" w:hAnsi="標楷體" w:hint="eastAsia"/>
                <w:color w:val="000000"/>
                <w:kern w:val="0"/>
              </w:rPr>
              <w:br/>
              <w:t>（九）委員林思銘等17人擬具「律師法增訂第三十五條之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r w:rsidRPr="001B6E4D">
              <w:rPr>
                <w:rFonts w:ascii="標楷體" w:eastAsia="標楷體" w:hAnsi="標楷體" w:hint="eastAsia"/>
                <w:color w:val="000000"/>
                <w:kern w:val="0"/>
              </w:rPr>
              <w:br/>
              <w:t>（十）委員林倩綺等17人擬具「律師法增訂第三十五條之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條文草案」案。</w:t>
            </w:r>
            <w:r w:rsidRPr="001B6E4D">
              <w:rPr>
                <w:rFonts w:ascii="標楷體" w:eastAsia="標楷體" w:hAnsi="標楷體" w:hint="eastAsia"/>
                <w:color w:val="000000"/>
                <w:kern w:val="0"/>
              </w:rPr>
              <w:br/>
              <w:t>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（一）行政院函請審議「律師法部分條文修正草案」案。</w:t>
            </w:r>
            <w:r w:rsidRPr="001B6E4D">
              <w:rPr>
                <w:rFonts w:ascii="標楷體" w:eastAsia="標楷體" w:hAnsi="標楷體" w:hint="eastAsia"/>
                <w:color w:val="000000"/>
                <w:kern w:val="0"/>
              </w:rPr>
              <w:br/>
              <w:t>（二）委員王鴻薇等18人擬具「律師法第七條及第七十四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（三）委員陳素月等18人擬具「律師法部分條文修正草案」案。</w:t>
            </w:r>
            <w:r w:rsidRPr="001B6E4D">
              <w:rPr>
                <w:rFonts w:ascii="標楷體" w:eastAsia="標楷體" w:hAnsi="標楷體" w:hint="eastAsia"/>
                <w:color w:val="000000"/>
                <w:kern w:val="0"/>
              </w:rPr>
              <w:br/>
              <w:t>（四）委員郭昱晴等17人擬具「律師法部分條文修正草案」案。</w:t>
            </w:r>
            <w:r w:rsidRPr="001B6E4D">
              <w:rPr>
                <w:rFonts w:ascii="標楷體" w:eastAsia="標楷體" w:hAnsi="標楷體" w:hint="eastAsia"/>
                <w:color w:val="000000"/>
                <w:kern w:val="0"/>
              </w:rPr>
              <w:br/>
              <w:t>（五）委員吳沛憶等17人擬具「律師法部分條文修正草案」案。</w:t>
            </w:r>
            <w:r w:rsidRPr="001B6E4D">
              <w:rPr>
                <w:rFonts w:ascii="標楷體" w:eastAsia="標楷體" w:hAnsi="標楷體" w:hint="eastAsia"/>
                <w:color w:val="000000"/>
                <w:kern w:val="0"/>
              </w:rPr>
              <w:br/>
              <w:t>（六）委員沈發惠等17人擬具「律師法部分條文修正草案」案。</w:t>
            </w:r>
            <w:r w:rsidRPr="001B6E4D">
              <w:rPr>
                <w:rFonts w:ascii="標楷體" w:eastAsia="標楷體" w:hAnsi="標楷體" w:hint="eastAsia"/>
                <w:color w:val="000000"/>
                <w:kern w:val="0"/>
              </w:rPr>
              <w:br/>
              <w:t>（七）委員羅智強等17人擬具「律師法第七條、第七十四條及第七十六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r>
            <w:r w:rsidRPr="001B6E4D">
              <w:rPr>
                <w:rFonts w:ascii="標楷體" w:eastAsia="標楷體" w:hAnsi="標楷體" w:hint="eastAsia"/>
                <w:color w:val="000000"/>
                <w:kern w:val="0"/>
              </w:rPr>
              <w:lastRenderedPageBreak/>
              <w:t>（八）委員莊瑞雄等16人擬具「律師法部分條文修正草案」案。</w:t>
            </w:r>
          </w:p>
        </w:tc>
        <w:tc>
          <w:tcPr>
            <w:tcW w:w="1091" w:type="pct"/>
          </w:tcPr>
          <w:p w14:paraId="5AD2FE3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6B6F47D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2724D8D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一</w:t>
            </w:r>
            <w:proofErr w:type="gramEnd"/>
          </w:p>
          <w:p w14:paraId="4BA00ED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法務部次長、司法院、內政部</w:t>
            </w:r>
          </w:p>
          <w:p w14:paraId="5667352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開會事由二</w:t>
            </w:r>
          </w:p>
          <w:p w14:paraId="506F4FE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法務部部長、司法院</w:t>
            </w:r>
          </w:p>
        </w:tc>
        <w:tc>
          <w:tcPr>
            <w:tcW w:w="1188" w:type="pct"/>
          </w:tcPr>
          <w:p w14:paraId="782558A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第一案及第二案報告及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roofErr w:type="gramStart"/>
            <w:r w:rsidRPr="001B6E4D">
              <w:rPr>
                <w:rFonts w:ascii="標楷體" w:eastAsia="標楷體" w:hAnsi="標楷體" w:hint="eastAsia"/>
                <w:color w:val="000000"/>
                <w:kern w:val="0"/>
              </w:rPr>
              <w:t>均另定期</w:t>
            </w:r>
            <w:proofErr w:type="gramEnd"/>
            <w:r w:rsidRPr="001B6E4D">
              <w:rPr>
                <w:rFonts w:ascii="標楷體" w:eastAsia="標楷體" w:hAnsi="標楷體" w:hint="eastAsia"/>
                <w:color w:val="000000"/>
                <w:kern w:val="0"/>
              </w:rPr>
              <w:t>繼續審查。</w:t>
            </w:r>
          </w:p>
          <w:p w14:paraId="5959C508" w14:textId="18798627" w:rsidR="00CE6EEC" w:rsidRPr="001B6E4D" w:rsidRDefault="00CE6EEC"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（第115卷51期</w:t>
            </w:r>
            <w:r w:rsidRPr="001B6E4D">
              <w:rPr>
                <w:rFonts w:ascii="標楷體" w:eastAsia="標楷體" w:hAnsi="標楷體"/>
                <w:color w:val="000000"/>
                <w:kern w:val="0"/>
              </w:rPr>
              <w:t>5</w:t>
            </w:r>
            <w:r w:rsidRPr="001B6E4D">
              <w:rPr>
                <w:rFonts w:ascii="標楷體" w:eastAsia="標楷體" w:hAnsi="標楷體" w:hint="eastAsia"/>
                <w:color w:val="000000"/>
                <w:kern w:val="0"/>
              </w:rPr>
              <w:t>450）</w:t>
            </w:r>
          </w:p>
        </w:tc>
      </w:tr>
      <w:tr w:rsidR="005A76C8" w:rsidRPr="001B6E4D" w14:paraId="0B1D3F2F" w14:textId="77777777" w:rsidTr="005C6B6B">
        <w:tc>
          <w:tcPr>
            <w:tcW w:w="710" w:type="pct"/>
          </w:tcPr>
          <w:p w14:paraId="727C061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考察活動</w:t>
            </w:r>
          </w:p>
        </w:tc>
        <w:tc>
          <w:tcPr>
            <w:tcW w:w="799" w:type="pct"/>
          </w:tcPr>
          <w:p w14:paraId="1B01B2E3"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115年6月22日（星期一）</w:t>
            </w:r>
          </w:p>
        </w:tc>
        <w:tc>
          <w:tcPr>
            <w:tcW w:w="1212" w:type="pct"/>
          </w:tcPr>
          <w:p w14:paraId="2B3879E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考察法務部調查局中和調查園區新建</w:t>
            </w:r>
            <w:proofErr w:type="gramStart"/>
            <w:r w:rsidRPr="001B6E4D">
              <w:rPr>
                <w:rFonts w:ascii="標楷體" w:eastAsia="標楷體" w:hAnsi="標楷體" w:hint="eastAsia"/>
                <w:color w:val="000000"/>
                <w:kern w:val="0"/>
              </w:rPr>
              <w:t>鑑</w:t>
            </w:r>
            <w:proofErr w:type="gramEnd"/>
            <w:r w:rsidRPr="001B6E4D">
              <w:rPr>
                <w:rFonts w:ascii="標楷體" w:eastAsia="標楷體" w:hAnsi="標楷體" w:hint="eastAsia"/>
                <w:color w:val="000000"/>
                <w:kern w:val="0"/>
              </w:rPr>
              <w:t>識科學大樓成效與展望。</w:t>
            </w:r>
          </w:p>
        </w:tc>
        <w:tc>
          <w:tcPr>
            <w:tcW w:w="1091" w:type="pct"/>
          </w:tcPr>
          <w:p w14:paraId="30AA02D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053BBD1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5FD2AE3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法務部主任秘書、法務部調查局局長、法務部調查局中和園區</w:t>
            </w:r>
            <w:proofErr w:type="gramStart"/>
            <w:r w:rsidRPr="001B6E4D">
              <w:rPr>
                <w:rFonts w:ascii="標楷體" w:eastAsia="標楷體" w:hAnsi="標楷體" w:hint="eastAsia"/>
                <w:color w:val="000000"/>
                <w:kern w:val="0"/>
              </w:rPr>
              <w:t>鑑</w:t>
            </w:r>
            <w:proofErr w:type="gramEnd"/>
            <w:r w:rsidRPr="001B6E4D">
              <w:rPr>
                <w:rFonts w:ascii="標楷體" w:eastAsia="標楷體" w:hAnsi="標楷體" w:hint="eastAsia"/>
                <w:color w:val="000000"/>
                <w:kern w:val="0"/>
              </w:rPr>
              <w:t>識科學處處長</w:t>
            </w:r>
          </w:p>
        </w:tc>
        <w:tc>
          <w:tcPr>
            <w:tcW w:w="1188" w:type="pct"/>
          </w:tcPr>
          <w:p w14:paraId="3071718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tc>
      </w:tr>
      <w:tr w:rsidR="005A76C8" w:rsidRPr="001B6E4D" w14:paraId="63A35211" w14:textId="77777777" w:rsidTr="005C6B6B">
        <w:tc>
          <w:tcPr>
            <w:tcW w:w="710" w:type="pct"/>
          </w:tcPr>
          <w:p w14:paraId="7C0D9A3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第20次全體委員會議</w:t>
            </w:r>
          </w:p>
        </w:tc>
        <w:tc>
          <w:tcPr>
            <w:tcW w:w="799" w:type="pct"/>
          </w:tcPr>
          <w:p w14:paraId="30E1BC92"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115年6月24日（星期三）</w:t>
            </w:r>
          </w:p>
        </w:tc>
        <w:tc>
          <w:tcPr>
            <w:tcW w:w="1212" w:type="pct"/>
          </w:tcPr>
          <w:p w14:paraId="5F0BF44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一、邀請考試院秘書長、銓敘部部長、行政院人事行政總處、教育部、勞動部針對「我國育嬰留職停薪實施成效與擴大育嬰津貼政策」進行專題報告，並備質詢。</w:t>
            </w:r>
            <w:r w:rsidRPr="001B6E4D">
              <w:rPr>
                <w:rFonts w:ascii="標楷體" w:eastAsia="標楷體" w:hAnsi="標楷體" w:hint="eastAsia"/>
                <w:color w:val="000000"/>
                <w:kern w:val="0"/>
              </w:rPr>
              <w:br/>
              <w:t>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（一）委員羅智強等19人擬具「公教人員保險法第三十五</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（二）委員黃健豪等18人擬具「公教人員保險法第三十五</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（三）委員翁曉玲等17人擬具「公教人員保險法第十二條及第三十五</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（四）台灣民眾黨黨團擬具「公教人員保險法部分條文修正草案」案。</w:t>
            </w:r>
            <w:r w:rsidRPr="001B6E4D">
              <w:rPr>
                <w:rFonts w:ascii="標楷體" w:eastAsia="標楷體" w:hAnsi="標楷體" w:hint="eastAsia"/>
                <w:color w:val="000000"/>
                <w:kern w:val="0"/>
              </w:rPr>
              <w:br/>
              <w:t>（五）委員翁曉玲等18人擬具「公教人員保險法第三十五條及第五十一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tc>
        <w:tc>
          <w:tcPr>
            <w:tcW w:w="1091" w:type="pct"/>
          </w:tcPr>
          <w:p w14:paraId="68A7D77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0A027BA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1C4E73B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一</w:t>
            </w:r>
            <w:proofErr w:type="gramEnd"/>
          </w:p>
          <w:p w14:paraId="08B9CFE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考試院秘書長、銓敘部部長、行政院人事行政總處、教育部、勞動部</w:t>
            </w:r>
          </w:p>
          <w:p w14:paraId="5B68BE8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開會事由二</w:t>
            </w:r>
          </w:p>
          <w:p w14:paraId="5C615DE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銓敘部部長、司法院、教育部、法務部、勞動部、衛生福利部、行政院主計總處、行政院人事行政總處</w:t>
            </w:r>
          </w:p>
        </w:tc>
        <w:tc>
          <w:tcPr>
            <w:tcW w:w="1188" w:type="pct"/>
          </w:tcPr>
          <w:p w14:paraId="4903979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答完畢；第二案報告及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答完畢，另定期繼續審查。</w:t>
            </w:r>
          </w:p>
          <w:p w14:paraId="1E5CA7F0" w14:textId="7F30273C" w:rsidR="00A753AE" w:rsidRPr="001B6E4D" w:rsidRDefault="00A753AE"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（第115卷55期</w:t>
            </w:r>
            <w:r w:rsidRPr="001B6E4D">
              <w:rPr>
                <w:rFonts w:ascii="標楷體" w:eastAsia="標楷體" w:hAnsi="標楷體"/>
                <w:color w:val="000000"/>
                <w:kern w:val="0"/>
              </w:rPr>
              <w:t>5</w:t>
            </w:r>
            <w:r w:rsidRPr="001B6E4D">
              <w:rPr>
                <w:rFonts w:ascii="標楷體" w:eastAsia="標楷體" w:hAnsi="標楷體" w:hint="eastAsia"/>
                <w:color w:val="000000"/>
                <w:kern w:val="0"/>
              </w:rPr>
              <w:t>454）</w:t>
            </w:r>
          </w:p>
        </w:tc>
      </w:tr>
      <w:tr w:rsidR="005A76C8" w:rsidRPr="001B6E4D" w14:paraId="1146D1D4" w14:textId="77777777" w:rsidTr="005C6B6B">
        <w:tc>
          <w:tcPr>
            <w:tcW w:w="710" w:type="pct"/>
          </w:tcPr>
          <w:p w14:paraId="0B9032A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第21次全</w:t>
            </w:r>
            <w:r w:rsidRPr="001B6E4D">
              <w:rPr>
                <w:rFonts w:ascii="標楷體" w:eastAsia="標楷體" w:hAnsi="標楷體" w:hint="eastAsia"/>
                <w:color w:val="000000"/>
                <w:kern w:val="0"/>
              </w:rPr>
              <w:lastRenderedPageBreak/>
              <w:t>體委員會議</w:t>
            </w:r>
          </w:p>
        </w:tc>
        <w:tc>
          <w:tcPr>
            <w:tcW w:w="799" w:type="pct"/>
          </w:tcPr>
          <w:p w14:paraId="35F37699"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lastRenderedPageBreak/>
              <w:t>115年6月25</w:t>
            </w:r>
            <w:r w:rsidRPr="001B6E4D">
              <w:rPr>
                <w:rFonts w:ascii="標楷體" w:eastAsia="標楷體" w:hAnsi="標楷體" w:hint="eastAsia"/>
                <w:color w:val="000000"/>
                <w:spacing w:val="-20"/>
                <w:kern w:val="0"/>
              </w:rPr>
              <w:lastRenderedPageBreak/>
              <w:t>日（星期四）</w:t>
            </w:r>
          </w:p>
        </w:tc>
        <w:tc>
          <w:tcPr>
            <w:tcW w:w="1212" w:type="pct"/>
          </w:tcPr>
          <w:p w14:paraId="5819AE3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邀請司法院秘書</w:t>
            </w:r>
            <w:r w:rsidRPr="001B6E4D">
              <w:rPr>
                <w:rFonts w:ascii="標楷體" w:eastAsia="標楷體" w:hAnsi="標楷體" w:hint="eastAsia"/>
                <w:color w:val="000000"/>
                <w:kern w:val="0"/>
              </w:rPr>
              <w:lastRenderedPageBreak/>
              <w:t>長、考試院秘書長、監察院秘書長、法務部部長、公平交易委員會、國家通訊傳播委員會、中央選舉委員會針對「我國憲政機關、獨立機關首長代理制度之現況與精進」進行專題報告，並備質詢。</w:t>
            </w:r>
          </w:p>
        </w:tc>
        <w:tc>
          <w:tcPr>
            <w:tcW w:w="1091" w:type="pct"/>
          </w:tcPr>
          <w:p w14:paraId="6C3C42C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5EDA8FE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01CE7E9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司法院秘書長、考試院秘書長、監察院秘書長、法務部部長、公平交易委員會、國家通訊傳播委員會、中央選舉委員會</w:t>
            </w:r>
          </w:p>
        </w:tc>
        <w:tc>
          <w:tcPr>
            <w:tcW w:w="1188" w:type="pct"/>
          </w:tcPr>
          <w:p w14:paraId="38ED300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
          <w:p w14:paraId="69DAFDC8" w14:textId="381F56BA" w:rsidR="00A753AE" w:rsidRPr="001B6E4D" w:rsidRDefault="00A753AE"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（第115卷55期</w:t>
            </w:r>
            <w:r w:rsidRPr="001B6E4D">
              <w:rPr>
                <w:rFonts w:ascii="標楷體" w:eastAsia="標楷體" w:hAnsi="標楷體"/>
                <w:color w:val="000000"/>
                <w:kern w:val="0"/>
              </w:rPr>
              <w:t>5</w:t>
            </w:r>
            <w:r w:rsidRPr="001B6E4D">
              <w:rPr>
                <w:rFonts w:ascii="標楷體" w:eastAsia="標楷體" w:hAnsi="標楷體" w:hint="eastAsia"/>
                <w:color w:val="000000"/>
                <w:kern w:val="0"/>
              </w:rPr>
              <w:t>454）</w:t>
            </w:r>
          </w:p>
        </w:tc>
      </w:tr>
      <w:tr w:rsidR="005A76C8" w:rsidRPr="001B6E4D" w14:paraId="7B78118A" w14:textId="77777777" w:rsidTr="005C6B6B">
        <w:tc>
          <w:tcPr>
            <w:tcW w:w="710" w:type="pct"/>
          </w:tcPr>
          <w:p w14:paraId="64EC794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考察活動</w:t>
            </w:r>
          </w:p>
        </w:tc>
        <w:tc>
          <w:tcPr>
            <w:tcW w:w="799" w:type="pct"/>
          </w:tcPr>
          <w:p w14:paraId="5EF5424D"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115年6月29日（星期一）</w:t>
            </w:r>
          </w:p>
        </w:tc>
        <w:tc>
          <w:tcPr>
            <w:tcW w:w="1212" w:type="pct"/>
          </w:tcPr>
          <w:p w14:paraId="01FD75F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考察臺灣</w:t>
            </w:r>
            <w:proofErr w:type="gramStart"/>
            <w:r w:rsidRPr="001B6E4D">
              <w:rPr>
                <w:rFonts w:ascii="標楷體" w:eastAsia="標楷體" w:hAnsi="標楷體" w:hint="eastAsia"/>
                <w:color w:val="000000"/>
                <w:kern w:val="0"/>
              </w:rPr>
              <w:t>臺</w:t>
            </w:r>
            <w:proofErr w:type="gramEnd"/>
            <w:r w:rsidRPr="001B6E4D">
              <w:rPr>
                <w:rFonts w:ascii="標楷體" w:eastAsia="標楷體" w:hAnsi="標楷體" w:hint="eastAsia"/>
                <w:color w:val="000000"/>
                <w:kern w:val="0"/>
              </w:rPr>
              <w:t>北地方檢察署贓證物庫管理概況。</w:t>
            </w:r>
          </w:p>
        </w:tc>
        <w:tc>
          <w:tcPr>
            <w:tcW w:w="1091" w:type="pct"/>
          </w:tcPr>
          <w:p w14:paraId="73A25C9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莊召集委員瑞雄</w:t>
            </w:r>
          </w:p>
          <w:p w14:paraId="36C6F5F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spacing w:val="-10"/>
                <w:kern w:val="0"/>
              </w:rPr>
              <w:t>(沈委員發惠領隊)</w:t>
            </w:r>
          </w:p>
          <w:p w14:paraId="09D788F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2CADF2A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法務部政務次長、臺灣</w:t>
            </w:r>
            <w:proofErr w:type="gramStart"/>
            <w:r w:rsidRPr="001B6E4D">
              <w:rPr>
                <w:rFonts w:ascii="標楷體" w:eastAsia="標楷體" w:hAnsi="標楷體" w:hint="eastAsia"/>
                <w:color w:val="000000"/>
                <w:kern w:val="0"/>
              </w:rPr>
              <w:t>臺</w:t>
            </w:r>
            <w:proofErr w:type="gramEnd"/>
            <w:r w:rsidRPr="001B6E4D">
              <w:rPr>
                <w:rFonts w:ascii="標楷體" w:eastAsia="標楷體" w:hAnsi="標楷體" w:hint="eastAsia"/>
                <w:color w:val="000000"/>
                <w:kern w:val="0"/>
              </w:rPr>
              <w:t>北地方檢察署檢察長</w:t>
            </w:r>
          </w:p>
        </w:tc>
        <w:tc>
          <w:tcPr>
            <w:tcW w:w="1188" w:type="pct"/>
          </w:tcPr>
          <w:p w14:paraId="2841B2E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tc>
      </w:tr>
      <w:tr w:rsidR="005A76C8" w:rsidRPr="001B6E4D" w14:paraId="33D43E6B" w14:textId="77777777" w:rsidTr="005C6B6B">
        <w:tc>
          <w:tcPr>
            <w:tcW w:w="710" w:type="pct"/>
          </w:tcPr>
          <w:p w14:paraId="4845D6F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第22次全體委員會議</w:t>
            </w:r>
          </w:p>
        </w:tc>
        <w:tc>
          <w:tcPr>
            <w:tcW w:w="799" w:type="pct"/>
          </w:tcPr>
          <w:p w14:paraId="3A558B7E"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115年7月1日、2日（星期三、四兩天一次會）</w:t>
            </w:r>
          </w:p>
        </w:tc>
        <w:tc>
          <w:tcPr>
            <w:tcW w:w="1212" w:type="pct"/>
          </w:tcPr>
          <w:p w14:paraId="7ED5239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7月1日（星期三）</w:t>
            </w:r>
          </w:p>
          <w:p w14:paraId="51C3F26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審查考試院函請審議「公務人員考績法修正草案」案。</w:t>
            </w:r>
          </w:p>
          <w:p w14:paraId="65377EC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7月2日（星期四）</w:t>
            </w:r>
          </w:p>
          <w:p w14:paraId="1D07BA4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一、繼續審查司法院函請審議「稅務行政事件審理法草案」案。</w:t>
            </w:r>
            <w:r w:rsidRPr="001B6E4D">
              <w:rPr>
                <w:rFonts w:ascii="標楷體" w:eastAsia="標楷體" w:hAnsi="標楷體" w:hint="eastAsia"/>
                <w:color w:val="000000"/>
                <w:kern w:val="0"/>
              </w:rPr>
              <w:br/>
              <w:t>二、繼續審查司法院函請審議「行政法院組織法部分條文修正草案」案。</w:t>
            </w:r>
          </w:p>
        </w:tc>
        <w:tc>
          <w:tcPr>
            <w:tcW w:w="1091" w:type="pct"/>
          </w:tcPr>
          <w:p w14:paraId="4C82777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莊召集委員瑞雄</w:t>
            </w:r>
          </w:p>
          <w:p w14:paraId="442E984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4A94B987"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7月1日（星期三）</w:t>
            </w:r>
          </w:p>
          <w:p w14:paraId="469E52C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考試院秘書長、銓敘部部長、公務人員保障暨培訓委員會、行政院人事行政總處、司法院、監察院、內政部、財政部、教育部、法務部、經濟部、交通部、衛生福利部</w:t>
            </w:r>
          </w:p>
          <w:p w14:paraId="42DB4562"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7月2日（星期四）</w:t>
            </w:r>
          </w:p>
          <w:p w14:paraId="7101A24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一</w:t>
            </w:r>
            <w:proofErr w:type="gramEnd"/>
          </w:p>
          <w:p w14:paraId="66BC852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司法院秘書長、財政部、法務部、經濟部</w:t>
            </w:r>
          </w:p>
          <w:p w14:paraId="694CAB3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開會事由二</w:t>
            </w:r>
          </w:p>
          <w:p w14:paraId="3D504CF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司法院秘書長、銓敘部、財政部、教育部、法務部、行政院人事行政總處、行政院主計總處</w:t>
            </w:r>
          </w:p>
        </w:tc>
        <w:tc>
          <w:tcPr>
            <w:tcW w:w="1188" w:type="pct"/>
          </w:tcPr>
          <w:p w14:paraId="4CA59B96" w14:textId="77777777" w:rsidR="005A76C8" w:rsidRPr="001B6E4D" w:rsidRDefault="005A76C8" w:rsidP="003D1018">
            <w:pPr>
              <w:widowControl w:val="0"/>
              <w:overflowPunct w:val="0"/>
              <w:spacing w:line="300" w:lineRule="exact"/>
              <w:jc w:val="both"/>
              <w:rPr>
                <w:rFonts w:ascii="標楷體" w:eastAsia="標楷體" w:hAnsi="標楷體"/>
                <w:color w:val="000000"/>
                <w:spacing w:val="-2"/>
                <w:kern w:val="0"/>
              </w:rPr>
            </w:pPr>
            <w:r w:rsidRPr="001B6E4D">
              <w:rPr>
                <w:rFonts w:ascii="標楷體" w:eastAsia="標楷體" w:hAnsi="標楷體" w:hint="eastAsia"/>
                <w:color w:val="000000"/>
                <w:spacing w:val="-2"/>
                <w:kern w:val="0"/>
              </w:rPr>
              <w:t>7月1日（星期三）</w:t>
            </w:r>
          </w:p>
          <w:p w14:paraId="084EAD0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答完畢，另定期繼續審查。</w:t>
            </w:r>
          </w:p>
          <w:p w14:paraId="4D4F94DE" w14:textId="77777777" w:rsidR="005A76C8" w:rsidRPr="001B6E4D" w:rsidRDefault="005A76C8" w:rsidP="003D1018">
            <w:pPr>
              <w:widowControl w:val="0"/>
              <w:overflowPunct w:val="0"/>
              <w:spacing w:line="300" w:lineRule="exact"/>
              <w:jc w:val="both"/>
              <w:rPr>
                <w:rFonts w:ascii="標楷體" w:eastAsia="標楷體" w:hAnsi="標楷體"/>
                <w:color w:val="000000"/>
                <w:spacing w:val="-2"/>
                <w:kern w:val="0"/>
              </w:rPr>
            </w:pPr>
            <w:r w:rsidRPr="001B6E4D">
              <w:rPr>
                <w:rFonts w:ascii="標楷體" w:eastAsia="標楷體" w:hAnsi="標楷體" w:hint="eastAsia"/>
                <w:color w:val="000000"/>
                <w:spacing w:val="-2"/>
                <w:kern w:val="0"/>
              </w:rPr>
              <w:t>7月2日（星期四）</w:t>
            </w:r>
          </w:p>
          <w:p w14:paraId="348FD22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第一案及第二</w:t>
            </w:r>
            <w:proofErr w:type="gramStart"/>
            <w:r w:rsidRPr="001B6E4D">
              <w:rPr>
                <w:rFonts w:ascii="標楷體" w:eastAsia="標楷體" w:hAnsi="標楷體" w:hint="eastAsia"/>
                <w:color w:val="000000"/>
                <w:kern w:val="0"/>
              </w:rPr>
              <w:t>案均另定期</w:t>
            </w:r>
            <w:proofErr w:type="gramEnd"/>
            <w:r w:rsidRPr="001B6E4D">
              <w:rPr>
                <w:rFonts w:ascii="標楷體" w:eastAsia="標楷體" w:hAnsi="標楷體" w:hint="eastAsia"/>
                <w:color w:val="000000"/>
                <w:kern w:val="0"/>
              </w:rPr>
              <w:t>繼續審查。</w:t>
            </w:r>
          </w:p>
          <w:p w14:paraId="010EE783" w14:textId="0515C3A1" w:rsidR="00A753AE" w:rsidRPr="001B6E4D" w:rsidRDefault="00A753AE"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（第115卷57期</w:t>
            </w:r>
            <w:r w:rsidRPr="001B6E4D">
              <w:rPr>
                <w:rFonts w:ascii="標楷體" w:eastAsia="標楷體" w:hAnsi="標楷體"/>
                <w:color w:val="000000"/>
                <w:kern w:val="0"/>
              </w:rPr>
              <w:t>5</w:t>
            </w:r>
            <w:r w:rsidRPr="001B6E4D">
              <w:rPr>
                <w:rFonts w:ascii="標楷體" w:eastAsia="標楷體" w:hAnsi="標楷體" w:hint="eastAsia"/>
                <w:color w:val="000000"/>
                <w:kern w:val="0"/>
              </w:rPr>
              <w:t>456）</w:t>
            </w:r>
          </w:p>
        </w:tc>
      </w:tr>
      <w:tr w:rsidR="005A76C8" w:rsidRPr="001B6E4D" w14:paraId="19A5E40A" w14:textId="77777777" w:rsidTr="005C6B6B">
        <w:tc>
          <w:tcPr>
            <w:tcW w:w="710" w:type="pct"/>
          </w:tcPr>
          <w:p w14:paraId="706B60B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第23次全體委員會議</w:t>
            </w:r>
          </w:p>
        </w:tc>
        <w:tc>
          <w:tcPr>
            <w:tcW w:w="799" w:type="pct"/>
          </w:tcPr>
          <w:p w14:paraId="62695920"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115年7月6日（星期一）</w:t>
            </w:r>
          </w:p>
        </w:tc>
        <w:tc>
          <w:tcPr>
            <w:tcW w:w="1212" w:type="pct"/>
          </w:tcPr>
          <w:p w14:paraId="7E8D1BB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邀請司法院秘書長、法務部部長、財團法人法律扶助基金會、財團法人</w:t>
            </w:r>
            <w:r w:rsidRPr="001B6E4D">
              <w:rPr>
                <w:rFonts w:ascii="標楷體" w:eastAsia="標楷體" w:hAnsi="標楷體" w:hint="eastAsia"/>
                <w:color w:val="000000"/>
                <w:kern w:val="0"/>
              </w:rPr>
              <w:lastRenderedPageBreak/>
              <w:t>犯罪被害人保護協會針對「犯罪被害人訴訟參與制度之現況、檢討與精進」進行專題報告，並備質詢。</w:t>
            </w:r>
          </w:p>
        </w:tc>
        <w:tc>
          <w:tcPr>
            <w:tcW w:w="1091" w:type="pct"/>
          </w:tcPr>
          <w:p w14:paraId="066DBF7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3B57B6E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2F10F1B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司法院秘書長、法務部部長、財</w:t>
            </w:r>
            <w:r w:rsidRPr="001B6E4D">
              <w:rPr>
                <w:rFonts w:ascii="標楷體" w:eastAsia="標楷體" w:hAnsi="標楷體" w:hint="eastAsia"/>
                <w:color w:val="000000"/>
                <w:kern w:val="0"/>
              </w:rPr>
              <w:lastRenderedPageBreak/>
              <w:t>團法人法律扶助基金會、財團法人犯罪被害人保護協會</w:t>
            </w:r>
          </w:p>
        </w:tc>
        <w:tc>
          <w:tcPr>
            <w:tcW w:w="1188" w:type="pct"/>
          </w:tcPr>
          <w:p w14:paraId="7B36944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
          <w:p w14:paraId="38150677" w14:textId="4D105730" w:rsidR="00A753AE" w:rsidRPr="001B6E4D" w:rsidRDefault="00A753AE" w:rsidP="003D1018">
            <w:pPr>
              <w:widowControl w:val="0"/>
              <w:overflowPunct w:val="0"/>
              <w:spacing w:line="300" w:lineRule="exact"/>
              <w:jc w:val="both"/>
              <w:rPr>
                <w:rFonts w:ascii="標楷體" w:eastAsia="標楷體" w:hAnsi="標楷體"/>
                <w:color w:val="000000"/>
                <w:spacing w:val="-2"/>
                <w:kern w:val="0"/>
              </w:rPr>
            </w:pPr>
            <w:r w:rsidRPr="001B6E4D">
              <w:rPr>
                <w:rFonts w:ascii="標楷體" w:eastAsia="標楷體" w:hAnsi="標楷體" w:hint="eastAsia"/>
                <w:color w:val="000000"/>
                <w:kern w:val="0"/>
              </w:rPr>
              <w:t>（第115卷59期</w:t>
            </w:r>
            <w:r w:rsidRPr="001B6E4D">
              <w:rPr>
                <w:rFonts w:ascii="標楷體" w:eastAsia="標楷體" w:hAnsi="標楷體"/>
                <w:color w:val="000000"/>
                <w:kern w:val="0"/>
              </w:rPr>
              <w:t>5</w:t>
            </w:r>
            <w:r w:rsidRPr="001B6E4D">
              <w:rPr>
                <w:rFonts w:ascii="標楷體" w:eastAsia="標楷體" w:hAnsi="標楷體" w:hint="eastAsia"/>
                <w:color w:val="000000"/>
                <w:kern w:val="0"/>
              </w:rPr>
              <w:t>458）</w:t>
            </w:r>
          </w:p>
        </w:tc>
      </w:tr>
      <w:tr w:rsidR="005A76C8" w:rsidRPr="001B6E4D" w14:paraId="64E377F1" w14:textId="77777777" w:rsidTr="005C6B6B">
        <w:tc>
          <w:tcPr>
            <w:tcW w:w="710" w:type="pct"/>
          </w:tcPr>
          <w:p w14:paraId="0C2A213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第24次全體委員會議</w:t>
            </w:r>
          </w:p>
        </w:tc>
        <w:tc>
          <w:tcPr>
            <w:tcW w:w="799" w:type="pct"/>
          </w:tcPr>
          <w:p w14:paraId="4747E1D7"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115年7月8日、9日（星期三、四兩天一次會）</w:t>
            </w:r>
          </w:p>
        </w:tc>
        <w:tc>
          <w:tcPr>
            <w:tcW w:w="1212" w:type="pct"/>
          </w:tcPr>
          <w:p w14:paraId="2BAFBFC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（一）行政院函請審議「監獄行刑法第一百四十八條及第一百五十六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（二）委員李柏毅等16人擬具「監獄行刑法第一百四十八</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（三）委員王義川等17人擬具「監獄行刑法第一百四十八條及第一百五十六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（四）委員吳思瑤等17人擬具「監獄行刑法第一百四十八條及第一百五十六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（五）委員羅智強等17人擬具「監獄行刑法第六十三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（六）委員徐欣瑩等17人擬具「監獄行刑法第一百四十八條及第一百五十六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（七）委員翁曉玲等24人擬具「監獄行刑法部分條文修正草案」案。</w:t>
            </w:r>
            <w:r w:rsidRPr="001B6E4D">
              <w:rPr>
                <w:rFonts w:ascii="標楷體" w:eastAsia="標楷體" w:hAnsi="標楷體" w:hint="eastAsia"/>
                <w:color w:val="000000"/>
                <w:kern w:val="0"/>
              </w:rPr>
              <w:br/>
              <w:t>（八）委員邱鎮軍等20人擬具「監獄行刑法部分條文修</w:t>
            </w:r>
            <w:r w:rsidRPr="001B6E4D">
              <w:rPr>
                <w:rFonts w:ascii="標楷體" w:eastAsia="標楷體" w:hAnsi="標楷體" w:hint="eastAsia"/>
                <w:color w:val="000000"/>
                <w:kern w:val="0"/>
              </w:rPr>
              <w:lastRenderedPageBreak/>
              <w:t>正草案」案。</w:t>
            </w:r>
            <w:r w:rsidRPr="001B6E4D">
              <w:rPr>
                <w:rFonts w:ascii="標楷體" w:eastAsia="標楷體" w:hAnsi="標楷體" w:hint="eastAsia"/>
                <w:color w:val="000000"/>
                <w:kern w:val="0"/>
              </w:rPr>
              <w:br/>
              <w:t>（九）委員林倩綺等19人擬具「監獄行刑法部分條文修正草案」案。</w:t>
            </w:r>
            <w:r w:rsidRPr="001B6E4D">
              <w:rPr>
                <w:rFonts w:ascii="標楷體" w:eastAsia="標楷體" w:hAnsi="標楷體" w:hint="eastAsia"/>
                <w:color w:val="000000"/>
                <w:kern w:val="0"/>
              </w:rPr>
              <w:br/>
              <w:t>（十）委員羅智強等17人擬具「監獄行刑法部分條文修正草案」案。</w:t>
            </w:r>
          </w:p>
        </w:tc>
        <w:tc>
          <w:tcPr>
            <w:tcW w:w="1091" w:type="pct"/>
          </w:tcPr>
          <w:p w14:paraId="105E45B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0BA524F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59880D5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法務部部長、司法院、衛生福利部</w:t>
            </w:r>
          </w:p>
        </w:tc>
        <w:tc>
          <w:tcPr>
            <w:tcW w:w="1188" w:type="pct"/>
          </w:tcPr>
          <w:p w14:paraId="65FCA45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答完畢，另定期繼續審查。</w:t>
            </w:r>
          </w:p>
          <w:p w14:paraId="5375AFBB" w14:textId="0AF0F67F" w:rsidR="00A753AE" w:rsidRPr="001B6E4D" w:rsidRDefault="00A753AE"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（第115卷59期</w:t>
            </w:r>
            <w:r w:rsidRPr="001B6E4D">
              <w:rPr>
                <w:rFonts w:ascii="標楷體" w:eastAsia="標楷體" w:hAnsi="標楷體"/>
                <w:color w:val="000000"/>
                <w:kern w:val="0"/>
              </w:rPr>
              <w:t>5</w:t>
            </w:r>
            <w:r w:rsidRPr="001B6E4D">
              <w:rPr>
                <w:rFonts w:ascii="標楷體" w:eastAsia="標楷體" w:hAnsi="標楷體" w:hint="eastAsia"/>
                <w:color w:val="000000"/>
                <w:kern w:val="0"/>
              </w:rPr>
              <w:t>458）</w:t>
            </w:r>
          </w:p>
        </w:tc>
      </w:tr>
      <w:tr w:rsidR="005A76C8" w:rsidRPr="001B6E4D" w14:paraId="40930C29" w14:textId="77777777" w:rsidTr="005C6B6B">
        <w:tc>
          <w:tcPr>
            <w:tcW w:w="710" w:type="pct"/>
          </w:tcPr>
          <w:p w14:paraId="057D3EA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考察活動</w:t>
            </w:r>
          </w:p>
        </w:tc>
        <w:tc>
          <w:tcPr>
            <w:tcW w:w="799" w:type="pct"/>
          </w:tcPr>
          <w:p w14:paraId="30DA62CB"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115年7月13日（星期一）</w:t>
            </w:r>
          </w:p>
        </w:tc>
        <w:tc>
          <w:tcPr>
            <w:tcW w:w="1212" w:type="pct"/>
          </w:tcPr>
          <w:p w14:paraId="450CC77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考察法務部司法官學院犯罪防治研究中心AI運用於毒品犯罪研究概況。</w:t>
            </w:r>
          </w:p>
        </w:tc>
        <w:tc>
          <w:tcPr>
            <w:tcW w:w="1091" w:type="pct"/>
          </w:tcPr>
          <w:p w14:paraId="164CB8C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莊召集委員瑞雄</w:t>
            </w:r>
          </w:p>
          <w:p w14:paraId="185AA6D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spacing w:val="-10"/>
                <w:kern w:val="0"/>
              </w:rPr>
              <w:t>(張委員雅琳領隊)</w:t>
            </w:r>
          </w:p>
          <w:p w14:paraId="68BFE83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253D4D5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法務部主任秘書、法務部司法官學院院長</w:t>
            </w:r>
          </w:p>
        </w:tc>
        <w:tc>
          <w:tcPr>
            <w:tcW w:w="1188" w:type="pct"/>
          </w:tcPr>
          <w:p w14:paraId="3BCCF30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tc>
      </w:tr>
      <w:tr w:rsidR="005A76C8" w:rsidRPr="001B6E4D" w14:paraId="2918892B" w14:textId="77777777" w:rsidTr="005C6B6B">
        <w:tc>
          <w:tcPr>
            <w:tcW w:w="710" w:type="pct"/>
          </w:tcPr>
          <w:p w14:paraId="64464D7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第25次全體委員會議</w:t>
            </w:r>
          </w:p>
        </w:tc>
        <w:tc>
          <w:tcPr>
            <w:tcW w:w="799" w:type="pct"/>
          </w:tcPr>
          <w:p w14:paraId="7816E6DB"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115年7月15日、16日（星期三、四兩天一次會）</w:t>
            </w:r>
          </w:p>
        </w:tc>
        <w:tc>
          <w:tcPr>
            <w:tcW w:w="1212" w:type="pct"/>
          </w:tcPr>
          <w:p w14:paraId="21A35FD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（一）考試院函請審議「公務人員考試法第四條、第五條及第二十八</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（二）台灣民眾黨黨團擬具「公務人員考試法第五條、第六條及第二十八</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（三）委員張宏陸等19人擬具「公務人員考試法第四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二、審查考試院函請審議「公務人員任用法部分條文修正草案」案。</w:t>
            </w:r>
            <w:r w:rsidRPr="001B6E4D">
              <w:rPr>
                <w:rFonts w:ascii="標楷體" w:eastAsia="標楷體" w:hAnsi="標楷體" w:hint="eastAsia"/>
                <w:color w:val="000000"/>
                <w:kern w:val="0"/>
              </w:rPr>
              <w:br/>
              <w:t>三、</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（一）行政院函請審議「毒品危害防制條例第三十三條及第三十六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（二）委員羅智強等23人擬具「毒品危害防制條例第三十三條及第三十六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w:t>
            </w:r>
            <w:r w:rsidRPr="001B6E4D">
              <w:rPr>
                <w:rFonts w:ascii="標楷體" w:eastAsia="標楷體" w:hAnsi="標楷體" w:hint="eastAsia"/>
                <w:color w:val="000000"/>
                <w:kern w:val="0"/>
              </w:rPr>
              <w:lastRenderedPageBreak/>
              <w:t>案。</w:t>
            </w:r>
            <w:r w:rsidRPr="001B6E4D">
              <w:rPr>
                <w:rFonts w:ascii="標楷體" w:eastAsia="標楷體" w:hAnsi="標楷體" w:hint="eastAsia"/>
                <w:color w:val="000000"/>
                <w:kern w:val="0"/>
              </w:rPr>
              <w:br/>
              <w:t>（三）委員羅廷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等18人擬具「毒品危害防制條例第三十三條及第三十六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（四）委員許宇</w:t>
            </w:r>
            <w:proofErr w:type="gramStart"/>
            <w:r w:rsidRPr="001B6E4D">
              <w:rPr>
                <w:rFonts w:ascii="標楷體" w:eastAsia="標楷體" w:hAnsi="標楷體" w:hint="eastAsia"/>
                <w:color w:val="000000"/>
                <w:kern w:val="0"/>
              </w:rPr>
              <w:t>甄</w:t>
            </w:r>
            <w:proofErr w:type="gramEnd"/>
            <w:r w:rsidRPr="001B6E4D">
              <w:rPr>
                <w:rFonts w:ascii="標楷體" w:eastAsia="標楷體" w:hAnsi="標楷體" w:hint="eastAsia"/>
                <w:color w:val="000000"/>
                <w:kern w:val="0"/>
              </w:rPr>
              <w:t>等25人擬具「毒品危害防制條例第三十三條及第三十六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（五）委員林淑芬等19人擬具「毒品危害防制條例第三十三條及第三十六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（六）委員羅美玲等16人擬具「毒品危害防制條例第三十三條及第三十六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（七）委員張雅琳等16人擬具「毒品危害防制條例第三十三條及第三十六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（八）委員陳培瑜等18人擬具「毒品危害防制條例第三十三條及第三十六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四、審查委員賴士葆等23人擬具「毒品危害防制條例第四條及第六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五、審查委員羅廷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等16人擬具「毒品危害防制條例第十一條之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r>
            <w:r w:rsidRPr="001B6E4D">
              <w:rPr>
                <w:rFonts w:ascii="標楷體" w:eastAsia="標楷體" w:hAnsi="標楷體" w:hint="eastAsia"/>
                <w:color w:val="000000"/>
                <w:kern w:val="0"/>
              </w:rPr>
              <w:lastRenderedPageBreak/>
              <w:t>六、審查委員羅智強等18人擬具「毒品危害防制條例部分條文修正草案」案。</w:t>
            </w:r>
            <w:r w:rsidRPr="001B6E4D">
              <w:rPr>
                <w:rFonts w:ascii="標楷體" w:eastAsia="標楷體" w:hAnsi="標楷體" w:hint="eastAsia"/>
                <w:color w:val="000000"/>
                <w:kern w:val="0"/>
              </w:rPr>
              <w:br/>
              <w:t>七、審查委員鍾佳濱等17人擬具「毒品危害防制條例第二</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八、審查委員張宏陸等22人擬具「毒品危害防制條例第三十一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九、審查委員丁學忠等16人擬具「毒品危害防制條例第三十一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color w:val="000000"/>
                <w:kern w:val="0"/>
              </w:rPr>
              <w:br/>
            </w:r>
            <w:r w:rsidRPr="001B6E4D">
              <w:rPr>
                <w:rFonts w:ascii="標楷體" w:eastAsia="標楷體" w:hAnsi="標楷體" w:hint="eastAsia"/>
                <w:color w:val="000000"/>
                <w:kern w:val="0"/>
              </w:rPr>
              <w:t>十、審查委員劉建國等</w:t>
            </w:r>
            <w:r w:rsidRPr="001B6E4D">
              <w:rPr>
                <w:rFonts w:ascii="標楷體" w:eastAsia="標楷體" w:hAnsi="標楷體"/>
                <w:color w:val="000000"/>
                <w:kern w:val="0"/>
              </w:rPr>
              <w:t>17</w:t>
            </w:r>
            <w:r w:rsidRPr="001B6E4D">
              <w:rPr>
                <w:rFonts w:ascii="標楷體" w:eastAsia="標楷體" w:hAnsi="標楷體" w:hint="eastAsia"/>
                <w:color w:val="000000"/>
                <w:kern w:val="0"/>
              </w:rPr>
              <w:t>人擬具「毒品危害防制條例第三十一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color w:val="000000"/>
                <w:kern w:val="0"/>
              </w:rPr>
              <w:br/>
            </w:r>
            <w:r w:rsidRPr="001B6E4D">
              <w:rPr>
                <w:rFonts w:ascii="標楷體" w:eastAsia="標楷體" w:hAnsi="標楷體" w:hint="eastAsia"/>
                <w:color w:val="000000"/>
                <w:kern w:val="0"/>
              </w:rPr>
              <w:t>十一、審查委員陳冠廷等</w:t>
            </w:r>
            <w:r w:rsidRPr="001B6E4D">
              <w:rPr>
                <w:rFonts w:ascii="標楷體" w:eastAsia="標楷體" w:hAnsi="標楷體"/>
                <w:color w:val="000000"/>
                <w:kern w:val="0"/>
              </w:rPr>
              <w:t>16</w:t>
            </w:r>
            <w:r w:rsidRPr="001B6E4D">
              <w:rPr>
                <w:rFonts w:ascii="標楷體" w:eastAsia="標楷體" w:hAnsi="標楷體" w:hint="eastAsia"/>
                <w:color w:val="000000"/>
                <w:kern w:val="0"/>
              </w:rPr>
              <w:t>人擬具「毒品危害防制條例部分條文修正草案」案。</w:t>
            </w:r>
            <w:r w:rsidRPr="001B6E4D">
              <w:rPr>
                <w:rFonts w:ascii="標楷體" w:eastAsia="標楷體" w:hAnsi="標楷體"/>
                <w:color w:val="000000"/>
                <w:kern w:val="0"/>
              </w:rPr>
              <w:br/>
            </w:r>
            <w:r w:rsidRPr="001B6E4D">
              <w:rPr>
                <w:rFonts w:ascii="標楷體" w:eastAsia="標楷體" w:hAnsi="標楷體" w:hint="eastAsia"/>
                <w:color w:val="000000"/>
                <w:kern w:val="0"/>
              </w:rPr>
              <w:t>十二、審查委員徐欣瑩等</w:t>
            </w:r>
            <w:r w:rsidRPr="001B6E4D">
              <w:rPr>
                <w:rFonts w:ascii="標楷體" w:eastAsia="標楷體" w:hAnsi="標楷體"/>
                <w:color w:val="000000"/>
                <w:kern w:val="0"/>
              </w:rPr>
              <w:t>25</w:t>
            </w:r>
            <w:r w:rsidRPr="001B6E4D">
              <w:rPr>
                <w:rFonts w:ascii="標楷體" w:eastAsia="標楷體" w:hAnsi="標楷體" w:hint="eastAsia"/>
                <w:color w:val="000000"/>
                <w:kern w:val="0"/>
              </w:rPr>
              <w:t>人擬具「毒品危害防制條例部分條文修正草案」案。</w:t>
            </w:r>
            <w:r w:rsidRPr="001B6E4D">
              <w:rPr>
                <w:rFonts w:ascii="標楷體" w:eastAsia="標楷體" w:hAnsi="標楷體"/>
                <w:color w:val="000000"/>
                <w:kern w:val="0"/>
              </w:rPr>
              <w:br/>
            </w:r>
            <w:r w:rsidRPr="001B6E4D">
              <w:rPr>
                <w:rFonts w:ascii="標楷體" w:eastAsia="標楷體" w:hAnsi="標楷體" w:hint="eastAsia"/>
                <w:color w:val="000000"/>
                <w:kern w:val="0"/>
              </w:rPr>
              <w:t>十三、審查委員邱若華等</w:t>
            </w:r>
            <w:r w:rsidRPr="001B6E4D">
              <w:rPr>
                <w:rFonts w:ascii="標楷體" w:eastAsia="標楷體" w:hAnsi="標楷體"/>
                <w:color w:val="000000"/>
                <w:kern w:val="0"/>
              </w:rPr>
              <w:t>17</w:t>
            </w:r>
            <w:r w:rsidRPr="001B6E4D">
              <w:rPr>
                <w:rFonts w:ascii="標楷體" w:eastAsia="標楷體" w:hAnsi="標楷體" w:hint="eastAsia"/>
                <w:color w:val="000000"/>
                <w:kern w:val="0"/>
              </w:rPr>
              <w:t>人擬具「毒品危害防制條例第三十一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color w:val="000000"/>
                <w:kern w:val="0"/>
              </w:rPr>
              <w:br/>
            </w:r>
            <w:r w:rsidRPr="001B6E4D">
              <w:rPr>
                <w:rFonts w:ascii="標楷體" w:eastAsia="標楷體" w:hAnsi="標楷體" w:hint="eastAsia"/>
                <w:color w:val="000000"/>
                <w:kern w:val="0"/>
              </w:rPr>
              <w:t>十四、審查委員林月琴等</w:t>
            </w:r>
            <w:r w:rsidRPr="001B6E4D">
              <w:rPr>
                <w:rFonts w:ascii="標楷體" w:eastAsia="標楷體" w:hAnsi="標楷體"/>
                <w:color w:val="000000"/>
                <w:kern w:val="0"/>
              </w:rPr>
              <w:t>20</w:t>
            </w:r>
            <w:r w:rsidRPr="001B6E4D">
              <w:rPr>
                <w:rFonts w:ascii="標楷體" w:eastAsia="標楷體" w:hAnsi="標楷體" w:hint="eastAsia"/>
                <w:color w:val="000000"/>
                <w:kern w:val="0"/>
              </w:rPr>
              <w:t>人擬具「毒品危害防制條例第十一條之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r w:rsidRPr="001B6E4D">
              <w:rPr>
                <w:rFonts w:ascii="標楷體" w:eastAsia="標楷體" w:hAnsi="標楷體"/>
                <w:color w:val="000000"/>
                <w:kern w:val="0"/>
              </w:rPr>
              <w:br/>
            </w:r>
            <w:r w:rsidRPr="001B6E4D">
              <w:rPr>
                <w:rFonts w:ascii="標楷體" w:eastAsia="標楷體" w:hAnsi="標楷體" w:hint="eastAsia"/>
                <w:color w:val="000000"/>
                <w:kern w:val="0"/>
              </w:rPr>
              <w:t>十五、審查委員傅崐萁等</w:t>
            </w:r>
            <w:r w:rsidRPr="001B6E4D">
              <w:rPr>
                <w:rFonts w:ascii="標楷體" w:eastAsia="標楷體" w:hAnsi="標楷體"/>
                <w:color w:val="000000"/>
                <w:kern w:val="0"/>
              </w:rPr>
              <w:t>18</w:t>
            </w:r>
            <w:r w:rsidRPr="001B6E4D">
              <w:rPr>
                <w:rFonts w:ascii="標楷體" w:eastAsia="標楷體" w:hAnsi="標楷體" w:hint="eastAsia"/>
                <w:color w:val="000000"/>
                <w:kern w:val="0"/>
              </w:rPr>
              <w:t>人擬具</w:t>
            </w:r>
            <w:r w:rsidRPr="001B6E4D">
              <w:rPr>
                <w:rFonts w:ascii="標楷體" w:eastAsia="標楷體" w:hAnsi="標楷體" w:hint="eastAsia"/>
                <w:color w:val="000000"/>
                <w:kern w:val="0"/>
              </w:rPr>
              <w:lastRenderedPageBreak/>
              <w:t>「毒品危害防制條例第四條及第九條之一條文修正草案」案。</w:t>
            </w:r>
            <w:r w:rsidRPr="001B6E4D">
              <w:rPr>
                <w:rFonts w:ascii="標楷體" w:eastAsia="標楷體" w:hAnsi="標楷體" w:hint="eastAsia"/>
                <w:color w:val="000000"/>
                <w:kern w:val="0"/>
              </w:rPr>
              <w:br/>
              <w:t>十六、審查委員李坤城等19人擬具「毒品危害防制條例部分條文修正草案」案。</w:t>
            </w:r>
          </w:p>
        </w:tc>
        <w:tc>
          <w:tcPr>
            <w:tcW w:w="1091" w:type="pct"/>
          </w:tcPr>
          <w:p w14:paraId="13A06D6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0C911DE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3633C29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一</w:t>
            </w:r>
            <w:proofErr w:type="gramEnd"/>
          </w:p>
          <w:p w14:paraId="7ABDC94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考選部部長、考試院、公務人員保障暨培訓委員會、內政部、行政院人事行政總處</w:t>
            </w:r>
          </w:p>
          <w:p w14:paraId="5DDF137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開會事由二</w:t>
            </w:r>
          </w:p>
          <w:p w14:paraId="51F9928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銓敘部部長、考試院、公務人員保障暨培訓委員會、衛生福利部、行政院人事行政總處</w:t>
            </w:r>
          </w:p>
          <w:p w14:paraId="6E76C23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三</w:t>
            </w:r>
            <w:proofErr w:type="gramEnd"/>
          </w:p>
          <w:p w14:paraId="5D04D5C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法務部部長、內政部、衛生福利部</w:t>
            </w:r>
          </w:p>
          <w:p w14:paraId="1D88FBA5"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開會事由四至十六</w:t>
            </w:r>
          </w:p>
          <w:p w14:paraId="2B2ABB1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法務部部長、司法院、內政部、經濟部、衛生福利部</w:t>
            </w:r>
          </w:p>
        </w:tc>
        <w:tc>
          <w:tcPr>
            <w:tcW w:w="1188" w:type="pct"/>
          </w:tcPr>
          <w:p w14:paraId="31B273E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第一案至第十六案報告及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roofErr w:type="gramStart"/>
            <w:r w:rsidRPr="001B6E4D">
              <w:rPr>
                <w:rFonts w:ascii="標楷體" w:eastAsia="標楷體" w:hAnsi="標楷體" w:hint="eastAsia"/>
                <w:color w:val="000000"/>
                <w:kern w:val="0"/>
              </w:rPr>
              <w:t>均另定期</w:t>
            </w:r>
            <w:proofErr w:type="gramEnd"/>
            <w:r w:rsidRPr="001B6E4D">
              <w:rPr>
                <w:rFonts w:ascii="標楷體" w:eastAsia="標楷體" w:hAnsi="標楷體" w:hint="eastAsia"/>
                <w:color w:val="000000"/>
                <w:kern w:val="0"/>
              </w:rPr>
              <w:t>繼續審查。</w:t>
            </w:r>
          </w:p>
          <w:p w14:paraId="215731A7" w14:textId="23564280" w:rsidR="00A753AE" w:rsidRPr="001B6E4D" w:rsidRDefault="00A753AE"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（第115卷63期</w:t>
            </w:r>
            <w:r w:rsidRPr="001B6E4D">
              <w:rPr>
                <w:rFonts w:ascii="標楷體" w:eastAsia="標楷體" w:hAnsi="標楷體"/>
                <w:color w:val="000000"/>
                <w:kern w:val="0"/>
              </w:rPr>
              <w:t>5</w:t>
            </w:r>
            <w:r w:rsidRPr="001B6E4D">
              <w:rPr>
                <w:rFonts w:ascii="標楷體" w:eastAsia="標楷體" w:hAnsi="標楷體" w:hint="eastAsia"/>
                <w:color w:val="000000"/>
                <w:kern w:val="0"/>
              </w:rPr>
              <w:t>462）</w:t>
            </w:r>
          </w:p>
        </w:tc>
      </w:tr>
      <w:tr w:rsidR="005A76C8" w:rsidRPr="001B6E4D" w14:paraId="0128373D" w14:textId="77777777" w:rsidTr="005C6B6B">
        <w:tc>
          <w:tcPr>
            <w:tcW w:w="710" w:type="pct"/>
          </w:tcPr>
          <w:p w14:paraId="2D53049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參訪活動</w:t>
            </w:r>
          </w:p>
        </w:tc>
        <w:tc>
          <w:tcPr>
            <w:tcW w:w="799" w:type="pct"/>
          </w:tcPr>
          <w:p w14:paraId="64E524F8"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115年7月20日（星期一）</w:t>
            </w:r>
          </w:p>
        </w:tc>
        <w:tc>
          <w:tcPr>
            <w:tcW w:w="1212" w:type="pct"/>
          </w:tcPr>
          <w:p w14:paraId="45C83CC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參訪臺灣桃園地方法院有關精神衛生法專家參審籌備進度及司法人力概況。</w:t>
            </w:r>
          </w:p>
        </w:tc>
        <w:tc>
          <w:tcPr>
            <w:tcW w:w="1091" w:type="pct"/>
          </w:tcPr>
          <w:p w14:paraId="2DD13DD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翁召集委員曉玲</w:t>
            </w:r>
          </w:p>
          <w:p w14:paraId="4F3F4CB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4A6F8F0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司法院秘書長、臺灣桃園地方法院院長</w:t>
            </w:r>
          </w:p>
        </w:tc>
        <w:tc>
          <w:tcPr>
            <w:tcW w:w="1188" w:type="pct"/>
          </w:tcPr>
          <w:p w14:paraId="34CEEB5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tc>
      </w:tr>
      <w:tr w:rsidR="005A76C8" w:rsidRPr="001B6E4D" w14:paraId="517375F2" w14:textId="77777777" w:rsidTr="005C6B6B">
        <w:tc>
          <w:tcPr>
            <w:tcW w:w="710" w:type="pct"/>
          </w:tcPr>
          <w:p w14:paraId="7EDBDA9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第26次全體委員會議</w:t>
            </w:r>
          </w:p>
        </w:tc>
        <w:tc>
          <w:tcPr>
            <w:tcW w:w="799" w:type="pct"/>
          </w:tcPr>
          <w:p w14:paraId="535D3B2E"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115年7月22日、23日（星期三、四兩天一次會）</w:t>
            </w:r>
          </w:p>
        </w:tc>
        <w:tc>
          <w:tcPr>
            <w:tcW w:w="1212" w:type="pct"/>
          </w:tcPr>
          <w:p w14:paraId="3AB429CE"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7月22日（星期三）</w:t>
            </w:r>
          </w:p>
          <w:p w14:paraId="2CB4925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265FBB0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（一）行政院、司法院函請審議「中華民國刑法第一百八十五條之三條文修正草案」案。</w:t>
            </w:r>
          </w:p>
          <w:p w14:paraId="41979D3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（二）委員翁曉玲等17人擬具「中華民國刑法第一百八十五條之三條文修正草案」案。</w:t>
            </w:r>
          </w:p>
          <w:p w14:paraId="7077295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（三）委員廖先翔等17人擬具「中華民國刑法第一百八十五條之三及第一百八十五條之四條文修正草案」案。</w:t>
            </w:r>
          </w:p>
          <w:p w14:paraId="267A9B3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（四）委員洪孟楷等18人擬具「中華民國刑法第一百八十五條之三條文修正草案」案。</w:t>
            </w:r>
          </w:p>
          <w:p w14:paraId="48A1834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（五）委員徐欣瑩等18人擬具「中華民國刑法第一百八十五條之三及第一百八十五條之四條文修正草案」案。</w:t>
            </w:r>
          </w:p>
          <w:p w14:paraId="7736A6D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（六）委員羅廷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等17人擬具「中華民國刑法第一百八十五條之三及第一</w:t>
            </w:r>
            <w:r w:rsidRPr="001B6E4D">
              <w:rPr>
                <w:rFonts w:ascii="標楷體" w:eastAsia="標楷體" w:hAnsi="標楷體" w:hint="eastAsia"/>
                <w:color w:val="000000"/>
                <w:kern w:val="0"/>
              </w:rPr>
              <w:lastRenderedPageBreak/>
              <w:t>百八十五條之四條文修正草案」案。</w:t>
            </w:r>
          </w:p>
          <w:p w14:paraId="06AA803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（七）委員柯志恩等16人擬具「中華民國刑法第一百八十五條之三條文修正草案」案。</w:t>
            </w:r>
          </w:p>
          <w:p w14:paraId="56055AD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（八）委員林倩綺等21人擬具「中華民國刑法第一百八十五條之三條文修正草案」案。</w:t>
            </w:r>
          </w:p>
          <w:p w14:paraId="267A4E3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（九）委員邱若華等19人擬具「中華民國刑法第一百八十五條之三條文修正草案」案。</w:t>
            </w:r>
          </w:p>
          <w:p w14:paraId="3D1817C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（十）委員萬美玲等19人擬具「中華民國刑法第一百八十五條之三及第一百八十五條之四條文修正草案」案。</w:t>
            </w:r>
          </w:p>
          <w:p w14:paraId="60543DA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（十一）委員</w:t>
            </w:r>
            <w:proofErr w:type="gramStart"/>
            <w:r w:rsidRPr="001B6E4D">
              <w:rPr>
                <w:rFonts w:ascii="標楷體" w:eastAsia="標楷體" w:hAnsi="標楷體" w:hint="eastAsia"/>
                <w:color w:val="000000"/>
                <w:kern w:val="0"/>
              </w:rPr>
              <w:t>陳亭妃等</w:t>
            </w:r>
            <w:proofErr w:type="gramEnd"/>
            <w:r w:rsidRPr="001B6E4D">
              <w:rPr>
                <w:rFonts w:ascii="標楷體" w:eastAsia="標楷體" w:hAnsi="標楷體" w:hint="eastAsia"/>
                <w:color w:val="000000"/>
                <w:kern w:val="0"/>
              </w:rPr>
              <w:t>16人擬具「中華民國刑法第一百八十五條之三條文修正草案」案。</w:t>
            </w:r>
          </w:p>
          <w:p w14:paraId="1ACDF0C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（十二）委員黃秀芳等20人擬具「中華民國刑法第一百八十五條之三條文修正草案」案。</w:t>
            </w:r>
          </w:p>
          <w:p w14:paraId="699AFC9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（十三）委員賴瑞隆等16人擬具「中華民國刑法第一百八十五條之三條文修正草案」案。</w:t>
            </w:r>
          </w:p>
          <w:p w14:paraId="79D87E0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（十四）委員林思銘等21人擬具「中華民國刑法第一百八十五條之三條文修正草案」案。</w:t>
            </w:r>
          </w:p>
          <w:p w14:paraId="0167983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（十五）委員傅崐萁等</w:t>
            </w:r>
            <w:r w:rsidRPr="001B6E4D">
              <w:rPr>
                <w:rFonts w:ascii="標楷體" w:eastAsia="標楷體" w:hAnsi="標楷體"/>
                <w:color w:val="000000"/>
                <w:kern w:val="0"/>
              </w:rPr>
              <w:t>17</w:t>
            </w:r>
            <w:r w:rsidRPr="001B6E4D">
              <w:rPr>
                <w:rFonts w:ascii="標楷體" w:eastAsia="標楷體" w:hAnsi="標楷體" w:hint="eastAsia"/>
                <w:color w:val="000000"/>
                <w:kern w:val="0"/>
              </w:rPr>
              <w:t>人擬具「中華民國刑法第一百八十五條之三及第</w:t>
            </w:r>
            <w:r w:rsidRPr="001B6E4D">
              <w:rPr>
                <w:rFonts w:ascii="標楷體" w:eastAsia="標楷體" w:hAnsi="標楷體" w:hint="eastAsia"/>
                <w:color w:val="000000"/>
                <w:kern w:val="0"/>
              </w:rPr>
              <w:lastRenderedPageBreak/>
              <w:t>一百八十五條之五條文修正草案」案。</w:t>
            </w:r>
          </w:p>
          <w:p w14:paraId="7E47C03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（十六）委員陳菁徽等22人擬具「中華民國刑法第一百八十五條之三條文修正草案」案。</w:t>
            </w:r>
          </w:p>
          <w:p w14:paraId="21A5BAF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（十七）委員張智倫等16人擬具「中華民國刑法第一百八十五條之三條文修正草案」案。</w:t>
            </w:r>
          </w:p>
          <w:p w14:paraId="6E02C24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（十八）委員徐巧芯等17人擬具「中華民國刑法第一百八十五條之三條文修正草案」案。</w:t>
            </w:r>
          </w:p>
          <w:p w14:paraId="7AE476E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（十九）委員邱鎮軍等20人擬具「中華民國刑法第一百八十五條之三、第一百八十五條之四及第一百八十五條之五條文修正草案」案。</w:t>
            </w:r>
          </w:p>
          <w:p w14:paraId="29B397F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（二十）台灣民眾黨黨團擬具「中華民國刑法第一百八十五條之三條文修正草案」案。</w:t>
            </w:r>
          </w:p>
          <w:p w14:paraId="69D9191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（二十一）委員洪孟楷等21人擬具「中華民國刑法第一百八十五條之三條文修正草案」案。</w:t>
            </w:r>
          </w:p>
          <w:p w14:paraId="48A59DE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（二十二）委員葉元之等18人擬具「中華民國刑法第一百八十五條之三條文修正草案」案。</w:t>
            </w:r>
          </w:p>
          <w:p w14:paraId="14A80A2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（二十三）委員王義川等17人擬具「中華民國刑法第一百八十五條之三</w:t>
            </w:r>
            <w:r w:rsidRPr="001B6E4D">
              <w:rPr>
                <w:rFonts w:ascii="標楷體" w:eastAsia="標楷體" w:hAnsi="標楷體" w:hint="eastAsia"/>
                <w:color w:val="000000"/>
                <w:kern w:val="0"/>
              </w:rPr>
              <w:lastRenderedPageBreak/>
              <w:t>條文修正草案」案。</w:t>
            </w:r>
          </w:p>
          <w:p w14:paraId="0D9B36F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（二十四）委員賴士葆等25人擬具「中華民國刑法第一百八十五條之三條文修正草案」案。</w:t>
            </w:r>
          </w:p>
          <w:p w14:paraId="16987AA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（二十五）委員</w:t>
            </w:r>
            <w:proofErr w:type="gramStart"/>
            <w:r w:rsidRPr="001B6E4D">
              <w:rPr>
                <w:rFonts w:ascii="標楷體" w:eastAsia="標楷體" w:hAnsi="標楷體" w:hint="eastAsia"/>
                <w:color w:val="000000"/>
                <w:kern w:val="0"/>
              </w:rPr>
              <w:t>涂權吉</w:t>
            </w:r>
            <w:proofErr w:type="gramEnd"/>
            <w:r w:rsidRPr="001B6E4D">
              <w:rPr>
                <w:rFonts w:ascii="標楷體" w:eastAsia="標楷體" w:hAnsi="標楷體" w:hint="eastAsia"/>
                <w:color w:val="000000"/>
                <w:kern w:val="0"/>
              </w:rPr>
              <w:t>等19人擬具「中華民國刑法第一百八十五條之三及第一百八十五條之五條文修正草案」案。</w:t>
            </w:r>
          </w:p>
          <w:p w14:paraId="72A6E34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（二十六）委員楊瓊瓔等31人擬具「中華民國刑法第一百八十五條之三條文修正草案」案。</w:t>
            </w:r>
          </w:p>
          <w:p w14:paraId="076965D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（二十七）委員魯明哲等16人擬具「中華民國刑法第一百八十五條之三條文修正草案」案。</w:t>
            </w:r>
          </w:p>
          <w:p w14:paraId="7173F31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（二十八）委員張嘉郡等21人擬具「中華民國刑法第一百八十五條之三條文修正草案」案。</w:t>
            </w:r>
          </w:p>
          <w:p w14:paraId="0841B65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（二十九）委員王育敏等19人擬具「中華民國刑法第一百八十五條之三條文修正草案」案。</w:t>
            </w:r>
          </w:p>
          <w:p w14:paraId="5BFCDA2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（三十）委員黃健豪等17人擬具「中華民國刑法第一百八十五條之三條文修正草案」案。</w:t>
            </w:r>
          </w:p>
          <w:p w14:paraId="0E4B07D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（三十一）委員王美惠等17人擬具「中華民國刑法第</w:t>
            </w:r>
            <w:r w:rsidRPr="001B6E4D">
              <w:rPr>
                <w:rFonts w:ascii="標楷體" w:eastAsia="標楷體" w:hAnsi="標楷體" w:hint="eastAsia"/>
                <w:color w:val="000000"/>
                <w:kern w:val="0"/>
              </w:rPr>
              <w:lastRenderedPageBreak/>
              <w:t>一百八十五條之三條文修正草案」案。</w:t>
            </w:r>
          </w:p>
          <w:p w14:paraId="6F791AA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（三十二）委員陳素月等17人擬具「中華民國刑法第一百八十五條之三條文修正草案」案。</w:t>
            </w:r>
          </w:p>
          <w:p w14:paraId="1401289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（三十三）委員林淑芬等26人擬具「中華民國刑法第一百八十五條之三條文修正草案」案。</w:t>
            </w:r>
          </w:p>
          <w:p w14:paraId="0B7E856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（三十四）委員李坤城等19人擬具「中華民國刑法第一百八十五條之三條文修正草案」案。</w:t>
            </w:r>
          </w:p>
          <w:p w14:paraId="0FD1109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（三十五）委員</w:t>
            </w:r>
            <w:proofErr w:type="gramStart"/>
            <w:r w:rsidRPr="001B6E4D">
              <w:rPr>
                <w:rFonts w:ascii="標楷體" w:eastAsia="標楷體" w:hAnsi="標楷體" w:hint="eastAsia"/>
                <w:color w:val="000000"/>
                <w:kern w:val="0"/>
              </w:rPr>
              <w:t>盧</w:t>
            </w:r>
            <w:proofErr w:type="gramEnd"/>
            <w:r w:rsidRPr="001B6E4D">
              <w:rPr>
                <w:rFonts w:ascii="標楷體" w:eastAsia="標楷體" w:hAnsi="標楷體" w:hint="eastAsia"/>
                <w:color w:val="000000"/>
                <w:kern w:val="0"/>
              </w:rPr>
              <w:t>縣一等16人擬具「中華民國刑法第一百八十五條之三及第一百八十五條之五條文修正草案」案。</w:t>
            </w:r>
          </w:p>
          <w:p w14:paraId="62757B7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（三十六）委員謝龍介等16人擬具「中華民國刑法第一百八十五條之三條文修正草案」案。</w:t>
            </w:r>
          </w:p>
          <w:p w14:paraId="500D860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（三十七）委員羅智強等18人擬具「中華民國刑法第一百八十五條之三條文修正草案」案。</w:t>
            </w:r>
          </w:p>
          <w:p w14:paraId="31DC7F0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（三十八）委員翁曉玲等18人擬具「中華民國刑法第一百八十五條之三條文修正草案」案。</w:t>
            </w:r>
          </w:p>
          <w:p w14:paraId="7303303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（三十九）委員李</w:t>
            </w:r>
            <w:r w:rsidRPr="001B6E4D">
              <w:rPr>
                <w:rFonts w:ascii="標楷體" w:eastAsia="標楷體" w:hAnsi="標楷體" w:hint="eastAsia"/>
                <w:color w:val="000000"/>
                <w:kern w:val="0"/>
              </w:rPr>
              <w:lastRenderedPageBreak/>
              <w:t>彥秀等18人擬具「中華民國刑法第一百八十五條之三條文修正草案」案。</w:t>
            </w:r>
          </w:p>
          <w:p w14:paraId="5C5DE96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（四十）委員許宇</w:t>
            </w:r>
            <w:proofErr w:type="gramStart"/>
            <w:r w:rsidRPr="001B6E4D">
              <w:rPr>
                <w:rFonts w:ascii="標楷體" w:eastAsia="標楷體" w:hAnsi="標楷體" w:hint="eastAsia"/>
                <w:color w:val="000000"/>
                <w:kern w:val="0"/>
              </w:rPr>
              <w:t>甄</w:t>
            </w:r>
            <w:proofErr w:type="gramEnd"/>
            <w:r w:rsidRPr="001B6E4D">
              <w:rPr>
                <w:rFonts w:ascii="標楷體" w:eastAsia="標楷體" w:hAnsi="標楷體" w:hint="eastAsia"/>
                <w:color w:val="000000"/>
                <w:kern w:val="0"/>
              </w:rPr>
              <w:t>等23人擬具「中華民國刑法第一百八十五條之三條文修正草案」案。</w:t>
            </w:r>
          </w:p>
          <w:p w14:paraId="19CEECA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（四十一）委員萬美玲等17人擬具「中華民國刑法第一百八十五條之三條文修正草案」案。</w:t>
            </w:r>
          </w:p>
          <w:p w14:paraId="3259A84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（四十二）委員</w:t>
            </w:r>
            <w:proofErr w:type="gramStart"/>
            <w:r w:rsidRPr="001B6E4D">
              <w:rPr>
                <w:rFonts w:ascii="標楷體" w:eastAsia="標楷體" w:hAnsi="標楷體" w:hint="eastAsia"/>
                <w:color w:val="000000"/>
                <w:kern w:val="0"/>
              </w:rPr>
              <w:t>林楚茵等</w:t>
            </w:r>
            <w:proofErr w:type="gramEnd"/>
            <w:r w:rsidRPr="001B6E4D">
              <w:rPr>
                <w:rFonts w:ascii="標楷體" w:eastAsia="標楷體" w:hAnsi="標楷體" w:hint="eastAsia"/>
                <w:color w:val="000000"/>
                <w:kern w:val="0"/>
              </w:rPr>
              <w:t>17人擬具「中華民國刑法第一百八十五條之三條文修正草案」案。</w:t>
            </w:r>
          </w:p>
          <w:p w14:paraId="3499449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（四十三）委員羅美玲等16人擬具「中華民國刑法第一百八十五條之三條文修正草案」案。</w:t>
            </w:r>
          </w:p>
          <w:p w14:paraId="76E959C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（四十四）委員陳培瑜等18人擬具「中華民國刑法第一百八十五條之三條文修正草案」案。</w:t>
            </w:r>
          </w:p>
          <w:p w14:paraId="712609F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（四十五）委員張宏陸等21人擬具「中華民國刑法第一百八十五條之三及第一百八十五條之五條文修正草案」案。</w:t>
            </w:r>
          </w:p>
          <w:p w14:paraId="5B5977D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（四十六）委員李柏毅等16人擬具「中華民國刑法第一百八十五條之三條文修正草案」案。</w:t>
            </w:r>
          </w:p>
          <w:p w14:paraId="1257399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（四十七）委員廖偉翔等16人擬具「中華民國刑法第一百八十五條之三條文修正草案」案。</w:t>
            </w:r>
          </w:p>
          <w:p w14:paraId="374A12F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（四十八）委員伍麗華</w:t>
            </w:r>
            <w:proofErr w:type="spellStart"/>
            <w:r w:rsidRPr="001B6E4D">
              <w:rPr>
                <w:rFonts w:ascii="標楷體" w:eastAsia="標楷體" w:hAnsi="標楷體" w:hint="eastAsia"/>
                <w:color w:val="000000"/>
                <w:kern w:val="0"/>
              </w:rPr>
              <w:t>Saidhai</w:t>
            </w:r>
            <w:proofErr w:type="spellEnd"/>
            <w:proofErr w:type="gramStart"/>
            <w:r w:rsidRPr="001B6E4D">
              <w:rPr>
                <w:rFonts w:ascii="標楷體" w:eastAsia="標楷體" w:hAnsi="標楷體" w:hint="eastAsia"/>
                <w:color w:val="000000"/>
                <w:kern w:val="0"/>
              </w:rPr>
              <w:t>‧</w:t>
            </w:r>
            <w:proofErr w:type="spellStart"/>
            <w:proofErr w:type="gramEnd"/>
            <w:r w:rsidRPr="001B6E4D">
              <w:rPr>
                <w:rFonts w:ascii="標楷體" w:eastAsia="標楷體" w:hAnsi="標楷體" w:hint="eastAsia"/>
                <w:color w:val="000000"/>
                <w:kern w:val="0"/>
              </w:rPr>
              <w:t>Tahovecahe</w:t>
            </w:r>
            <w:proofErr w:type="spellEnd"/>
            <w:r w:rsidRPr="001B6E4D">
              <w:rPr>
                <w:rFonts w:ascii="標楷體" w:eastAsia="標楷體" w:hAnsi="標楷體" w:hint="eastAsia"/>
                <w:color w:val="000000"/>
                <w:kern w:val="0"/>
              </w:rPr>
              <w:t>等18人擬具「中華民國刑法第一百八十五條之三條文修正草案」案。</w:t>
            </w:r>
          </w:p>
          <w:p w14:paraId="2FC5E91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（四十九）委員蔡易餘等16人擬具「中華民國刑法第一百八十五條之三條文修正草案」案。</w:t>
            </w:r>
          </w:p>
          <w:p w14:paraId="568BF80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（五十）委員徐富</w:t>
            </w:r>
            <w:proofErr w:type="gramStart"/>
            <w:r w:rsidRPr="001B6E4D">
              <w:rPr>
                <w:rFonts w:ascii="標楷體" w:eastAsia="標楷體" w:hAnsi="標楷體" w:hint="eastAsia"/>
                <w:color w:val="000000"/>
                <w:kern w:val="0"/>
              </w:rPr>
              <w:t>癸</w:t>
            </w:r>
            <w:proofErr w:type="gramEnd"/>
            <w:r w:rsidRPr="001B6E4D">
              <w:rPr>
                <w:rFonts w:ascii="標楷體" w:eastAsia="標楷體" w:hAnsi="標楷體" w:hint="eastAsia"/>
                <w:color w:val="000000"/>
                <w:kern w:val="0"/>
              </w:rPr>
              <w:t>等17人擬具「中華民國刑法第一百八十五條之三條文修正草案」案。</w:t>
            </w:r>
          </w:p>
          <w:p w14:paraId="52B6711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（五十一）委員何欣純等19人擬具「中華民國刑法第一百八十五條之三條文修正草案」案。</w:t>
            </w:r>
          </w:p>
          <w:p w14:paraId="3C1C7B2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（五十二）委員林宜瑾等23人擬具「中華民國刑法第一百八十五條之三條文修正草案」案。</w:t>
            </w:r>
          </w:p>
          <w:p w14:paraId="2BAE840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（五十三）委員羅廷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等17人擬具「中華民國刑法第一百八十五條之三條文修正草案」案。</w:t>
            </w:r>
          </w:p>
          <w:p w14:paraId="610BE51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（五十四）委員劉建國等19人擬具「中華民國刑法第一百八十五條之三條文修正草案」</w:t>
            </w:r>
            <w:r w:rsidRPr="001B6E4D">
              <w:rPr>
                <w:rFonts w:ascii="標楷體" w:eastAsia="標楷體" w:hAnsi="標楷體" w:hint="eastAsia"/>
                <w:color w:val="000000"/>
                <w:kern w:val="0"/>
              </w:rPr>
              <w:lastRenderedPageBreak/>
              <w:t>案。</w:t>
            </w:r>
          </w:p>
          <w:p w14:paraId="2060C0C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（五十五）委員賴惠員等17人擬具「中華民國刑法第一百八十五條之三條文修正草案」案。</w:t>
            </w:r>
          </w:p>
          <w:p w14:paraId="3AD0842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（五十六）委員郭昱晴等16人擬具「中華民國刑法第一百八十五條之三條文修正草案」案。</w:t>
            </w:r>
          </w:p>
          <w:p w14:paraId="6C6BDC82"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7月23日（星期四）</w:t>
            </w:r>
          </w:p>
          <w:p w14:paraId="00F7547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一、邀請法務部部長、衛生福利部部長、司法院、行政院消費者保護處、衛生福利部食品藥物管理署就「中聯致癌油事件之偵辦調查、消費者權益及食安監管」進行專題報告，並備質詢。</w:t>
            </w:r>
          </w:p>
          <w:p w14:paraId="2B70798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二、邀請監察院秘書長、法務部部長、經濟部部長、國家發展委員會主任委員、銓敘部部長就「現行公職人員利益衝突迴避暨離職公務員旋轉門機制之執行成效與法制缺失」進行專題報告，並備質詢。</w:t>
            </w:r>
          </w:p>
        </w:tc>
        <w:tc>
          <w:tcPr>
            <w:tcW w:w="1091" w:type="pct"/>
          </w:tcPr>
          <w:p w14:paraId="14F211A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翁召集委員曉玲</w:t>
            </w:r>
          </w:p>
          <w:p w14:paraId="259BCCB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650A05B3"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7月22日（星期三）</w:t>
            </w:r>
          </w:p>
          <w:p w14:paraId="4C898B7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法務部部長、司法院副秘書長、內政部</w:t>
            </w:r>
          </w:p>
          <w:p w14:paraId="53B837E2" w14:textId="77777777" w:rsidR="005A76C8" w:rsidRPr="005C6B6B" w:rsidRDefault="005A76C8" w:rsidP="003D1018">
            <w:pPr>
              <w:widowControl w:val="0"/>
              <w:overflowPunct w:val="0"/>
              <w:spacing w:line="300" w:lineRule="exact"/>
              <w:jc w:val="both"/>
              <w:rPr>
                <w:rFonts w:ascii="標楷體" w:eastAsia="標楷體" w:hAnsi="標楷體"/>
                <w:color w:val="000000"/>
                <w:spacing w:val="-18"/>
                <w:kern w:val="0"/>
              </w:rPr>
            </w:pPr>
            <w:r w:rsidRPr="005C6B6B">
              <w:rPr>
                <w:rFonts w:ascii="標楷體" w:eastAsia="標楷體" w:hAnsi="標楷體" w:hint="eastAsia"/>
                <w:color w:val="000000"/>
                <w:spacing w:val="-18"/>
                <w:kern w:val="0"/>
              </w:rPr>
              <w:t>7月23日（星期四）</w:t>
            </w:r>
          </w:p>
          <w:p w14:paraId="5D44C94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一</w:t>
            </w:r>
            <w:proofErr w:type="gramEnd"/>
          </w:p>
          <w:p w14:paraId="32EA32A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法務部部長、衛生福利部部長、司法院、行政院消費者保護處、衛生福利部食品藥物管理署</w:t>
            </w:r>
          </w:p>
          <w:p w14:paraId="5DA73C8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開會事由二</w:t>
            </w:r>
          </w:p>
          <w:p w14:paraId="73C95EB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監察院秘書長、法務部部長、經濟部部長、國家發展委員會主任委員、銓敘部部長</w:t>
            </w:r>
          </w:p>
        </w:tc>
        <w:tc>
          <w:tcPr>
            <w:tcW w:w="1188" w:type="pct"/>
          </w:tcPr>
          <w:p w14:paraId="0F44106A"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7月22日（星期三）</w:t>
            </w:r>
          </w:p>
          <w:p w14:paraId="41367C5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審查完竣，須交由黨團協商。</w:t>
            </w:r>
          </w:p>
          <w:p w14:paraId="624BDFAE"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7月23日（星期四）</w:t>
            </w:r>
          </w:p>
          <w:p w14:paraId="76D5D87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
          <w:p w14:paraId="13D0EF27" w14:textId="29571674" w:rsidR="00E27254" w:rsidRPr="001B6E4D" w:rsidRDefault="00E27254"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（第115卷65期</w:t>
            </w:r>
            <w:r w:rsidRPr="001B6E4D">
              <w:rPr>
                <w:rFonts w:ascii="標楷體" w:eastAsia="標楷體" w:hAnsi="標楷體"/>
                <w:color w:val="000000"/>
                <w:kern w:val="0"/>
              </w:rPr>
              <w:t>5</w:t>
            </w:r>
            <w:r w:rsidRPr="001B6E4D">
              <w:rPr>
                <w:rFonts w:ascii="標楷體" w:eastAsia="標楷體" w:hAnsi="標楷體" w:hint="eastAsia"/>
                <w:color w:val="000000"/>
                <w:kern w:val="0"/>
              </w:rPr>
              <w:t>464）</w:t>
            </w:r>
          </w:p>
        </w:tc>
      </w:tr>
      <w:tr w:rsidR="005A76C8" w:rsidRPr="001B6E4D" w14:paraId="4D81EB18" w14:textId="77777777" w:rsidTr="005C6B6B">
        <w:tc>
          <w:tcPr>
            <w:tcW w:w="710" w:type="pct"/>
          </w:tcPr>
          <w:p w14:paraId="5580A96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考察活動</w:t>
            </w:r>
          </w:p>
        </w:tc>
        <w:tc>
          <w:tcPr>
            <w:tcW w:w="799" w:type="pct"/>
          </w:tcPr>
          <w:p w14:paraId="43EF516C"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115年7月27日（星期一）</w:t>
            </w:r>
          </w:p>
        </w:tc>
        <w:tc>
          <w:tcPr>
            <w:tcW w:w="1212" w:type="pct"/>
          </w:tcPr>
          <w:p w14:paraId="4F136BE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考察法務部</w:t>
            </w:r>
            <w:proofErr w:type="gramStart"/>
            <w:r w:rsidRPr="001B6E4D">
              <w:rPr>
                <w:rFonts w:ascii="標楷體" w:eastAsia="標楷體" w:hAnsi="標楷體" w:hint="eastAsia"/>
                <w:color w:val="000000"/>
                <w:kern w:val="0"/>
              </w:rPr>
              <w:t>調查局資安犯罪</w:t>
            </w:r>
            <w:proofErr w:type="gramEnd"/>
            <w:r w:rsidRPr="001B6E4D">
              <w:rPr>
                <w:rFonts w:ascii="標楷體" w:eastAsia="標楷體" w:hAnsi="標楷體" w:hint="eastAsia"/>
                <w:color w:val="000000"/>
                <w:kern w:val="0"/>
              </w:rPr>
              <w:t>偵查及司法聯盟鏈運作情形。</w:t>
            </w:r>
          </w:p>
        </w:tc>
        <w:tc>
          <w:tcPr>
            <w:tcW w:w="1091" w:type="pct"/>
          </w:tcPr>
          <w:p w14:paraId="371E9A2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莊召集委員瑞雄</w:t>
            </w:r>
          </w:p>
          <w:p w14:paraId="2C0D07A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spacing w:val="-10"/>
                <w:kern w:val="0"/>
              </w:rPr>
              <w:t>(沈委員發惠領隊)</w:t>
            </w:r>
          </w:p>
          <w:p w14:paraId="0AEBC66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1226EF0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法務部主任秘書、法務部調查局局長</w:t>
            </w:r>
          </w:p>
        </w:tc>
        <w:tc>
          <w:tcPr>
            <w:tcW w:w="1188" w:type="pct"/>
          </w:tcPr>
          <w:p w14:paraId="7AACAD51" w14:textId="77777777" w:rsidR="005A76C8" w:rsidRPr="001B6E4D" w:rsidRDefault="005A76C8" w:rsidP="003D1018">
            <w:pPr>
              <w:widowControl w:val="0"/>
              <w:overflowPunct w:val="0"/>
              <w:spacing w:line="300" w:lineRule="exact"/>
              <w:jc w:val="both"/>
              <w:rPr>
                <w:rFonts w:ascii="標楷體" w:eastAsia="標楷體" w:hAnsi="標楷體"/>
                <w:color w:val="000000"/>
                <w:spacing w:val="-10"/>
                <w:kern w:val="0"/>
              </w:rPr>
            </w:pPr>
          </w:p>
        </w:tc>
      </w:tr>
      <w:tr w:rsidR="005A76C8" w:rsidRPr="001B6E4D" w14:paraId="6D6C7002" w14:textId="77777777" w:rsidTr="005C6B6B">
        <w:tc>
          <w:tcPr>
            <w:tcW w:w="710" w:type="pct"/>
          </w:tcPr>
          <w:p w14:paraId="0C24DC8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第27次全體委員會議</w:t>
            </w:r>
          </w:p>
        </w:tc>
        <w:tc>
          <w:tcPr>
            <w:tcW w:w="799" w:type="pct"/>
          </w:tcPr>
          <w:p w14:paraId="7D2BD9BC"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115年7月29日、30日（星期三、四兩天一次會）</w:t>
            </w:r>
          </w:p>
        </w:tc>
        <w:tc>
          <w:tcPr>
            <w:tcW w:w="1212" w:type="pct"/>
          </w:tcPr>
          <w:p w14:paraId="164D0D3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一、繼續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（一）行政院函請審議「毒品危害防制條例第三十三條</w:t>
            </w:r>
            <w:r w:rsidRPr="001B6E4D">
              <w:rPr>
                <w:rFonts w:ascii="標楷體" w:eastAsia="標楷體" w:hAnsi="標楷體" w:hint="eastAsia"/>
                <w:color w:val="000000"/>
                <w:kern w:val="0"/>
              </w:rPr>
              <w:lastRenderedPageBreak/>
              <w:t>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（二）委員羅智強等23人擬具「毒品危害防制條例第三十三條及第三十六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（三）委員羅廷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等18人擬具「毒品危害防制條例第三十三條及第三十六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（四）委員許宇</w:t>
            </w:r>
            <w:proofErr w:type="gramStart"/>
            <w:r w:rsidRPr="001B6E4D">
              <w:rPr>
                <w:rFonts w:ascii="標楷體" w:eastAsia="標楷體" w:hAnsi="標楷體" w:hint="eastAsia"/>
                <w:color w:val="000000"/>
                <w:kern w:val="0"/>
              </w:rPr>
              <w:t>甄</w:t>
            </w:r>
            <w:proofErr w:type="gramEnd"/>
            <w:r w:rsidRPr="001B6E4D">
              <w:rPr>
                <w:rFonts w:ascii="標楷體" w:eastAsia="標楷體" w:hAnsi="標楷體" w:hint="eastAsia"/>
                <w:color w:val="000000"/>
                <w:kern w:val="0"/>
              </w:rPr>
              <w:t>等25人擬具「毒品危害防制條例第三十三條及第三十六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（五）委員林淑芬等19人擬具「毒品危害防制條例第三十三條及第三十六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（六）委員羅美玲等16人擬具「毒品危害防制條例第三十三條及第三十六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（七）委員張雅琳等16人擬具「毒品危害防制條例第三十三條及第三十六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（八）委員陳培瑜等18人擬具「毒品危害防制條例第三十三條及第三十六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（九）委員鍾佳濱等20人擬具「毒品危害防制條例第三</w:t>
            </w:r>
            <w:r w:rsidRPr="001B6E4D">
              <w:rPr>
                <w:rFonts w:ascii="標楷體" w:eastAsia="標楷體" w:hAnsi="標楷體" w:hint="eastAsia"/>
                <w:color w:val="000000"/>
                <w:kern w:val="0"/>
              </w:rPr>
              <w:lastRenderedPageBreak/>
              <w:t>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（十）委員林月琴等19人擬具「毒品危害防制條例第三十三條及第三十六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（十一）委員廖偉翔等16人擬具「毒品危害防制條例第三十三條及第三十六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（十二）委員伍麗華</w:t>
            </w:r>
            <w:proofErr w:type="spellStart"/>
            <w:r w:rsidRPr="001B6E4D">
              <w:rPr>
                <w:rFonts w:ascii="標楷體" w:eastAsia="標楷體" w:hAnsi="標楷體" w:hint="eastAsia"/>
                <w:color w:val="000000"/>
                <w:kern w:val="0"/>
              </w:rPr>
              <w:t>Saidhai</w:t>
            </w:r>
            <w:proofErr w:type="spellEnd"/>
            <w:proofErr w:type="gramStart"/>
            <w:r w:rsidRPr="001B6E4D">
              <w:rPr>
                <w:rFonts w:ascii="標楷體" w:eastAsia="標楷體" w:hAnsi="標楷體" w:hint="eastAsia"/>
                <w:color w:val="000000"/>
                <w:kern w:val="0"/>
              </w:rPr>
              <w:t>‧</w:t>
            </w:r>
            <w:proofErr w:type="spellStart"/>
            <w:proofErr w:type="gramEnd"/>
            <w:r w:rsidRPr="001B6E4D">
              <w:rPr>
                <w:rFonts w:ascii="標楷體" w:eastAsia="標楷體" w:hAnsi="標楷體" w:hint="eastAsia"/>
                <w:color w:val="000000"/>
                <w:kern w:val="0"/>
              </w:rPr>
              <w:t>Tahovecahe</w:t>
            </w:r>
            <w:proofErr w:type="spellEnd"/>
            <w:r w:rsidRPr="001B6E4D">
              <w:rPr>
                <w:rFonts w:ascii="標楷體" w:eastAsia="標楷體" w:hAnsi="標楷體" w:hint="eastAsia"/>
                <w:color w:val="000000"/>
                <w:kern w:val="0"/>
              </w:rPr>
              <w:t>等16人擬具「毒品危害防制條例第三十三條及第三十六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（十三）委員謝龍介等18人擬具「毒品危害防制條例第三十三條及第三十六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（十四）委員徐富</w:t>
            </w:r>
            <w:proofErr w:type="gramStart"/>
            <w:r w:rsidRPr="001B6E4D">
              <w:rPr>
                <w:rFonts w:ascii="標楷體" w:eastAsia="標楷體" w:hAnsi="標楷體" w:hint="eastAsia"/>
                <w:color w:val="000000"/>
                <w:kern w:val="0"/>
              </w:rPr>
              <w:t>癸</w:t>
            </w:r>
            <w:proofErr w:type="gramEnd"/>
            <w:r w:rsidRPr="001B6E4D">
              <w:rPr>
                <w:rFonts w:ascii="標楷體" w:eastAsia="標楷體" w:hAnsi="標楷體" w:hint="eastAsia"/>
                <w:color w:val="000000"/>
                <w:kern w:val="0"/>
              </w:rPr>
              <w:t>等17人擬具「毒品危害防制條例第三十三條及第三十六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（十五）委員林宜瑾等24人擬具「毒品危害防制條例第三十三條及第三十六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（十六）委員吳思瑤等16人擬具「毒品危害防制條例第三十三</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（十七）委員林倩綺等20人擬具「毒</w:t>
            </w:r>
            <w:r w:rsidRPr="001B6E4D">
              <w:rPr>
                <w:rFonts w:ascii="標楷體" w:eastAsia="標楷體" w:hAnsi="標楷體" w:hint="eastAsia"/>
                <w:color w:val="000000"/>
                <w:kern w:val="0"/>
              </w:rPr>
              <w:lastRenderedPageBreak/>
              <w:t>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（十八）委員吳沛憶等20人擬具「毒品危害防制條例第三十三條及第三十六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（十九）委員賴惠員等17人擬具「毒品危害防制條例第三十三條及第三十六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（二十）委員吳琪銘等16人擬具「毒品危害防制條例第三十三條及第三十六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（二十一）委員郭昱晴等16人擬具「毒品危害防制條例第三十三條及第三十六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（二十二）委員許智傑等23人擬具「毒品危害防制條例第三十三條及第三十六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（二十三）委員翁曉玲等16人擬具「毒品危害防制條例第三十三條、第三十三條之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及第三十六</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4FFC91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二、繼續審查考試院函請審議「公務人員考績法修正草案」案。</w:t>
            </w:r>
          </w:p>
        </w:tc>
        <w:tc>
          <w:tcPr>
            <w:tcW w:w="1091" w:type="pct"/>
          </w:tcPr>
          <w:p w14:paraId="03D1A13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1C218CA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4E1C95F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一</w:t>
            </w:r>
            <w:proofErr w:type="gramEnd"/>
          </w:p>
          <w:p w14:paraId="39B1F54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法務部次長、內</w:t>
            </w:r>
            <w:r w:rsidRPr="001B6E4D">
              <w:rPr>
                <w:rFonts w:ascii="標楷體" w:eastAsia="標楷體" w:hAnsi="標楷體" w:hint="eastAsia"/>
                <w:color w:val="000000"/>
                <w:kern w:val="0"/>
              </w:rPr>
              <w:lastRenderedPageBreak/>
              <w:t>政部、衛生福利部、國防部</w:t>
            </w:r>
          </w:p>
          <w:p w14:paraId="7B1B88B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開會事由二</w:t>
            </w:r>
          </w:p>
          <w:p w14:paraId="6A59ED1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銓敘部部長、考試院、公務人員保障暨培訓委員會、行政院人事行政總處、司法院、監察院、內政部、財政部、教育部、法務部、經濟部、交通部、衛生福利部</w:t>
            </w:r>
          </w:p>
        </w:tc>
        <w:tc>
          <w:tcPr>
            <w:tcW w:w="1188" w:type="pct"/>
          </w:tcPr>
          <w:p w14:paraId="1C1B290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第一案審查完竣，須交由黨團協商；第二案另定期繼續審查。</w:t>
            </w:r>
          </w:p>
          <w:p w14:paraId="16E86B63" w14:textId="45FF1B5E" w:rsidR="00E27254" w:rsidRPr="001B6E4D" w:rsidRDefault="00E27254" w:rsidP="003D1018">
            <w:pPr>
              <w:widowControl w:val="0"/>
              <w:overflowPunct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kern w:val="0"/>
              </w:rPr>
              <w:lastRenderedPageBreak/>
              <w:t>（第115卷68期</w:t>
            </w:r>
            <w:r w:rsidRPr="001B6E4D">
              <w:rPr>
                <w:rFonts w:ascii="標楷體" w:eastAsia="標楷體" w:hAnsi="標楷體"/>
                <w:color w:val="000000"/>
                <w:kern w:val="0"/>
              </w:rPr>
              <w:t>5</w:t>
            </w:r>
            <w:r w:rsidRPr="001B6E4D">
              <w:rPr>
                <w:rFonts w:ascii="標楷體" w:eastAsia="標楷體" w:hAnsi="標楷體" w:hint="eastAsia"/>
                <w:color w:val="000000"/>
                <w:kern w:val="0"/>
              </w:rPr>
              <w:t>467）</w:t>
            </w:r>
          </w:p>
        </w:tc>
      </w:tr>
      <w:tr w:rsidR="005A76C8" w:rsidRPr="001B6E4D" w14:paraId="78F30326" w14:textId="77777777" w:rsidTr="005C6B6B">
        <w:tc>
          <w:tcPr>
            <w:tcW w:w="710" w:type="pct"/>
          </w:tcPr>
          <w:p w14:paraId="7411DBA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公聽會</w:t>
            </w:r>
          </w:p>
        </w:tc>
        <w:tc>
          <w:tcPr>
            <w:tcW w:w="799" w:type="pct"/>
          </w:tcPr>
          <w:p w14:paraId="6C24C1A0"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115年8月3日（星期一）</w:t>
            </w:r>
          </w:p>
        </w:tc>
        <w:tc>
          <w:tcPr>
            <w:tcW w:w="1212" w:type="pct"/>
          </w:tcPr>
          <w:p w14:paraId="5925123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「軍公教待遇調整法制化與人事制度</w:t>
            </w:r>
            <w:r w:rsidRPr="001B6E4D">
              <w:rPr>
                <w:rFonts w:ascii="標楷體" w:eastAsia="標楷體" w:hAnsi="標楷體" w:hint="eastAsia"/>
                <w:color w:val="000000"/>
                <w:kern w:val="0"/>
              </w:rPr>
              <w:lastRenderedPageBreak/>
              <w:t>變革」公聽會。</w:t>
            </w:r>
          </w:p>
        </w:tc>
        <w:tc>
          <w:tcPr>
            <w:tcW w:w="1091" w:type="pct"/>
          </w:tcPr>
          <w:p w14:paraId="7E394C0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翁召集委員曉玲</w:t>
            </w:r>
          </w:p>
          <w:p w14:paraId="7727A12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465D6C7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考試院秘書長、銓敘部部長、行政院人事行政總處副人事長、公務人員保障暨培訓委員會、司法院、監察院、內政部、國防部、財政部、教育部、法務部、經濟部、交通部、勞動部、衛生福利部、國家發展委員會、行政院主計總處</w:t>
            </w:r>
          </w:p>
        </w:tc>
        <w:tc>
          <w:tcPr>
            <w:tcW w:w="1188" w:type="pct"/>
          </w:tcPr>
          <w:p w14:paraId="09180135" w14:textId="749324F6" w:rsidR="005A76C8" w:rsidRPr="001B6E4D" w:rsidRDefault="00E27254"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（第115卷68期</w:t>
            </w:r>
            <w:r w:rsidRPr="001B6E4D">
              <w:rPr>
                <w:rFonts w:ascii="標楷體" w:eastAsia="標楷體" w:hAnsi="標楷體"/>
                <w:color w:val="000000"/>
                <w:kern w:val="0"/>
              </w:rPr>
              <w:t>5</w:t>
            </w:r>
            <w:r w:rsidRPr="001B6E4D">
              <w:rPr>
                <w:rFonts w:ascii="標楷體" w:eastAsia="標楷體" w:hAnsi="標楷體" w:hint="eastAsia"/>
                <w:color w:val="000000"/>
                <w:kern w:val="0"/>
              </w:rPr>
              <w:t>467）</w:t>
            </w:r>
          </w:p>
        </w:tc>
      </w:tr>
      <w:tr w:rsidR="005A76C8" w:rsidRPr="001B6E4D" w14:paraId="149DC18D" w14:textId="77777777" w:rsidTr="005C6B6B">
        <w:tc>
          <w:tcPr>
            <w:tcW w:w="710" w:type="pct"/>
          </w:tcPr>
          <w:p w14:paraId="1DCCD22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第28次全體委員會議</w:t>
            </w:r>
          </w:p>
        </w:tc>
        <w:tc>
          <w:tcPr>
            <w:tcW w:w="799" w:type="pct"/>
          </w:tcPr>
          <w:p w14:paraId="55A6D3B2"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115年8月5日（星期三）</w:t>
            </w:r>
          </w:p>
        </w:tc>
        <w:tc>
          <w:tcPr>
            <w:tcW w:w="1212" w:type="pct"/>
          </w:tcPr>
          <w:p w14:paraId="7C142FF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（一）委員翁曉玲等18人擬具「法院組織法部分條文修正草案」案。</w:t>
            </w:r>
            <w:r w:rsidRPr="001B6E4D">
              <w:rPr>
                <w:rFonts w:ascii="標楷體" w:eastAsia="標楷體" w:hAnsi="標楷體" w:hint="eastAsia"/>
                <w:color w:val="000000"/>
                <w:kern w:val="0"/>
              </w:rPr>
              <w:br/>
              <w:t>（二）委員王育敏等16人擬具「法院組織法部分條文修正草案」案。</w:t>
            </w:r>
            <w:r w:rsidRPr="001B6E4D">
              <w:rPr>
                <w:rFonts w:ascii="標楷體" w:eastAsia="標楷體" w:hAnsi="標楷體" w:hint="eastAsia"/>
                <w:color w:val="000000"/>
                <w:kern w:val="0"/>
              </w:rPr>
              <w:br/>
              <w:t>（三）委員羅智強等18人擬具「法院組織法部分條文修正草案」案。</w:t>
            </w:r>
            <w:r w:rsidRPr="001B6E4D">
              <w:rPr>
                <w:rFonts w:ascii="標楷體" w:eastAsia="標楷體" w:hAnsi="標楷體" w:hint="eastAsia"/>
                <w:color w:val="000000"/>
                <w:kern w:val="0"/>
              </w:rPr>
              <w:br/>
              <w:t>（四）委員吳宗憲等17人擬具「法院組織法部分條文修正草案」案。</w:t>
            </w:r>
            <w:r w:rsidRPr="001B6E4D">
              <w:rPr>
                <w:rFonts w:ascii="標楷體" w:eastAsia="標楷體" w:hAnsi="標楷體" w:hint="eastAsia"/>
                <w:color w:val="000000"/>
                <w:kern w:val="0"/>
              </w:rPr>
              <w:br/>
              <w:t>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（一）委員翁曉玲等18人擬具「行政法院組織法第二十一條、第二十二條及第二十四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（二）委員王育敏等19人擬具「行政法院組織法部分條文修正草案」案。</w:t>
            </w:r>
            <w:r w:rsidRPr="001B6E4D">
              <w:rPr>
                <w:rFonts w:ascii="標楷體" w:eastAsia="標楷體" w:hAnsi="標楷體" w:hint="eastAsia"/>
                <w:color w:val="000000"/>
                <w:kern w:val="0"/>
              </w:rPr>
              <w:br/>
              <w:t>（三）委員羅智強等18人擬具「行政法院組織法部分條文修正草案」案。</w:t>
            </w:r>
            <w:r w:rsidRPr="001B6E4D">
              <w:rPr>
                <w:rFonts w:ascii="標楷體" w:eastAsia="標楷體" w:hAnsi="標楷體" w:hint="eastAsia"/>
                <w:color w:val="000000"/>
                <w:kern w:val="0"/>
              </w:rPr>
              <w:br/>
            </w:r>
            <w:r w:rsidRPr="001B6E4D">
              <w:rPr>
                <w:rFonts w:ascii="標楷體" w:eastAsia="標楷體" w:hAnsi="標楷體" w:hint="eastAsia"/>
                <w:color w:val="000000"/>
                <w:kern w:val="0"/>
              </w:rPr>
              <w:lastRenderedPageBreak/>
              <w:t>三、</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（一）委員翁曉玲等18人擬具「智慧財產及商業法院組織法第十八條及第二十一</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（二）委員王育敏等20人擬具「智慧財產及商業法院組織法第十八條、第二十一條及第三十七</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（三）委員羅智強等18人擬具「智慧財產及商業法院組織法第十八條、第二十一條及第三十七</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color w:val="000000"/>
                <w:kern w:val="0"/>
              </w:rPr>
              <w:br/>
            </w:r>
            <w:r w:rsidRPr="001B6E4D">
              <w:rPr>
                <w:rFonts w:ascii="標楷體" w:eastAsia="標楷體" w:hAnsi="標楷體" w:hint="eastAsia"/>
                <w:color w:val="000000"/>
                <w:kern w:val="0"/>
              </w:rPr>
              <w:t>四、</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（一）委員翁曉玲等18人擬具「少年及家事法院組織法第十四條及第十五</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（二）委員王育敏等20人擬具「少年及家事法院組織法部分條文修正草案」案。</w:t>
            </w:r>
            <w:r w:rsidRPr="001B6E4D">
              <w:rPr>
                <w:rFonts w:ascii="標楷體" w:eastAsia="標楷體" w:hAnsi="標楷體" w:hint="eastAsia"/>
                <w:color w:val="000000"/>
                <w:kern w:val="0"/>
              </w:rPr>
              <w:br/>
              <w:t>（三）委員羅智強等18人擬具「少年及家事法院組織法部分條文修正草案」案。</w:t>
            </w:r>
            <w:r w:rsidRPr="001B6E4D">
              <w:rPr>
                <w:rFonts w:ascii="標楷體" w:eastAsia="標楷體" w:hAnsi="標楷體" w:hint="eastAsia"/>
                <w:color w:val="000000"/>
                <w:kern w:val="0"/>
              </w:rPr>
              <w:br/>
              <w:t>五、</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r w:rsidRPr="001B6E4D">
              <w:rPr>
                <w:rFonts w:ascii="標楷體" w:eastAsia="標楷體" w:hAnsi="標楷體" w:hint="eastAsia"/>
                <w:color w:val="000000"/>
                <w:kern w:val="0"/>
              </w:rPr>
              <w:br/>
              <w:t>（一）委員翁曉玲等18人擬具「懲戒法院組織法第六條及第七</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r w:rsidRPr="001B6E4D">
              <w:rPr>
                <w:rFonts w:ascii="標楷體" w:eastAsia="標楷體" w:hAnsi="標楷體" w:hint="eastAsia"/>
                <w:color w:val="000000"/>
                <w:kern w:val="0"/>
              </w:rPr>
              <w:br/>
              <w:t>（二）委員王育敏等20人擬具「懲戒法院組織法部分條</w:t>
            </w:r>
            <w:r w:rsidRPr="001B6E4D">
              <w:rPr>
                <w:rFonts w:ascii="標楷體" w:eastAsia="標楷體" w:hAnsi="標楷體" w:hint="eastAsia"/>
                <w:color w:val="000000"/>
                <w:kern w:val="0"/>
              </w:rPr>
              <w:lastRenderedPageBreak/>
              <w:t>文修正草案」案。</w:t>
            </w:r>
            <w:r w:rsidRPr="001B6E4D">
              <w:rPr>
                <w:rFonts w:ascii="標楷體" w:eastAsia="標楷體" w:hAnsi="標楷體" w:hint="eastAsia"/>
                <w:color w:val="000000"/>
                <w:kern w:val="0"/>
              </w:rPr>
              <w:br/>
              <w:t>（三）委員羅智強等18人擬具「懲戒法院組織法部分條文修正草案」案。</w:t>
            </w:r>
          </w:p>
        </w:tc>
        <w:tc>
          <w:tcPr>
            <w:tcW w:w="1091" w:type="pct"/>
          </w:tcPr>
          <w:p w14:paraId="2D815B4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翁召集委員曉玲</w:t>
            </w:r>
          </w:p>
          <w:p w14:paraId="56972AA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004B1DB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司法院秘書長、銓敘部次長、法務部次長、行政院人事行政總處副人事長、行政院主計總處</w:t>
            </w:r>
          </w:p>
        </w:tc>
        <w:tc>
          <w:tcPr>
            <w:tcW w:w="1188" w:type="pct"/>
          </w:tcPr>
          <w:p w14:paraId="64A2A86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第一案、第二案（一）及（二）、第三案、第四案（一）及（二）及第五案（一）及（二）報告及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roofErr w:type="gramStart"/>
            <w:r w:rsidRPr="001B6E4D">
              <w:rPr>
                <w:rFonts w:ascii="標楷體" w:eastAsia="標楷體" w:hAnsi="標楷體" w:hint="eastAsia"/>
                <w:color w:val="000000"/>
                <w:kern w:val="0"/>
              </w:rPr>
              <w:t>均另定期</w:t>
            </w:r>
            <w:proofErr w:type="gramEnd"/>
            <w:r w:rsidRPr="001B6E4D">
              <w:rPr>
                <w:rFonts w:ascii="標楷體" w:eastAsia="標楷體" w:hAnsi="標楷體" w:hint="eastAsia"/>
                <w:color w:val="000000"/>
                <w:kern w:val="0"/>
              </w:rPr>
              <w:t>繼續審查；第二案（三）、第四案（三）及第五案（三）各黨團未提出不復議同意書，不予審查。</w:t>
            </w:r>
          </w:p>
          <w:p w14:paraId="5CBE8915" w14:textId="28D28362" w:rsidR="00E27254" w:rsidRPr="001B6E4D" w:rsidRDefault="00E27254"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（第115卷71期</w:t>
            </w:r>
            <w:r w:rsidRPr="001B6E4D">
              <w:rPr>
                <w:rFonts w:ascii="標楷體" w:eastAsia="標楷體" w:hAnsi="標楷體"/>
                <w:color w:val="000000"/>
                <w:kern w:val="0"/>
              </w:rPr>
              <w:t>5</w:t>
            </w:r>
            <w:r w:rsidRPr="001B6E4D">
              <w:rPr>
                <w:rFonts w:ascii="標楷體" w:eastAsia="標楷體" w:hAnsi="標楷體" w:hint="eastAsia"/>
                <w:color w:val="000000"/>
                <w:kern w:val="0"/>
              </w:rPr>
              <w:t>470）</w:t>
            </w:r>
          </w:p>
        </w:tc>
      </w:tr>
      <w:tr w:rsidR="005A76C8" w:rsidRPr="001B6E4D" w14:paraId="29D9BAD1" w14:textId="77777777" w:rsidTr="005C6B6B">
        <w:tc>
          <w:tcPr>
            <w:tcW w:w="710" w:type="pct"/>
          </w:tcPr>
          <w:p w14:paraId="0316F4B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司法及法制、外交及國防委員會第1次聯席會議</w:t>
            </w:r>
          </w:p>
        </w:tc>
        <w:tc>
          <w:tcPr>
            <w:tcW w:w="799" w:type="pct"/>
          </w:tcPr>
          <w:p w14:paraId="22B62C87"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115年8月12日（星期三）</w:t>
            </w:r>
          </w:p>
        </w:tc>
        <w:tc>
          <w:tcPr>
            <w:tcW w:w="1212" w:type="pct"/>
          </w:tcPr>
          <w:p w14:paraId="41D7050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一、繼續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70E96B3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（一）行政院函請審議「陸海空軍刑法第二十四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45C2C5E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（二）委員林宜瑾等18人擬具「陸海空軍刑法第二十四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C2E9C8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（三）委員王定宇等16人擬具「陸海空軍刑法第二十四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33906E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（四）委員張雅琳等18人擬具「陸海空軍刑法第二十四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3DCA5D1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（五）委員李坤城等19人擬具「陸海空軍刑法第二十四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761929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（六）委員陳素月等16人擬具「陸海空軍刑法第二十四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541C94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（七）委員郭昱晴等16人擬具「陸海空軍刑法第二十四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7D29C01"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（八）委員沈發惠等19人擬具「陸海空軍刑法第二十四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5B7A09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（九）委員何欣純等19人擬具「陸海</w:t>
            </w:r>
            <w:r w:rsidRPr="001B6E4D">
              <w:rPr>
                <w:rFonts w:ascii="標楷體" w:eastAsia="標楷體" w:hAnsi="標楷體" w:hint="eastAsia"/>
                <w:color w:val="000000"/>
                <w:kern w:val="0"/>
              </w:rPr>
              <w:lastRenderedPageBreak/>
              <w:t>空軍刑法第二十四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0988C9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（十）委員陳冠廷等17人擬具「陸海空軍刑法第二十四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75708A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w:t>
            </w:r>
            <w:proofErr w:type="gramStart"/>
            <w:r w:rsidRPr="001B6E4D">
              <w:rPr>
                <w:rFonts w:ascii="標楷體" w:eastAsia="標楷體" w:hAnsi="標楷體" w:hint="eastAsia"/>
                <w:color w:val="000000"/>
                <w:kern w:val="0"/>
              </w:rPr>
              <w:t>併</w:t>
            </w:r>
            <w:proofErr w:type="gramEnd"/>
            <w:r w:rsidRPr="001B6E4D">
              <w:rPr>
                <w:rFonts w:ascii="標楷體" w:eastAsia="標楷體" w:hAnsi="標楷體" w:hint="eastAsia"/>
                <w:color w:val="000000"/>
                <w:kern w:val="0"/>
              </w:rPr>
              <w:t>案審查</w:t>
            </w:r>
          </w:p>
          <w:p w14:paraId="50F3A95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（一）行政院函請審議「陸海空軍刑法第五十四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EB42AB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（二）委員黃秀芳等20人擬具「陸海空軍刑法第五十四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0D6E26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（三）委員王義川等17人擬具「陸海空軍刑法第五十四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EB961C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（四）委員林淑芬等26人擬具「陸海空軍刑法第五十四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8E9555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（五）委員羅智強等20人擬具「陸海空軍刑法第五十四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7A7B544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（六）委員郭昱晴等16人擬具「陸海空軍刑法第五十四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85CFCA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（七）委員林倩綺等17人擬具「陸海空軍刑法第五十四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5256BE2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（八）委員李彥秀等18人擬具「陸海空軍刑法第五十四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w:t>
            </w:r>
            <w:r w:rsidRPr="001B6E4D">
              <w:rPr>
                <w:rFonts w:ascii="標楷體" w:eastAsia="標楷體" w:hAnsi="標楷體" w:hint="eastAsia"/>
                <w:color w:val="000000"/>
                <w:kern w:val="0"/>
              </w:rPr>
              <w:lastRenderedPageBreak/>
              <w:t>案。</w:t>
            </w:r>
          </w:p>
          <w:p w14:paraId="64C9022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（九）委員許宇</w:t>
            </w:r>
            <w:proofErr w:type="gramStart"/>
            <w:r w:rsidRPr="001B6E4D">
              <w:rPr>
                <w:rFonts w:ascii="標楷體" w:eastAsia="標楷體" w:hAnsi="標楷體" w:hint="eastAsia"/>
                <w:color w:val="000000"/>
                <w:kern w:val="0"/>
              </w:rPr>
              <w:t>甄</w:t>
            </w:r>
            <w:proofErr w:type="gramEnd"/>
            <w:r w:rsidRPr="001B6E4D">
              <w:rPr>
                <w:rFonts w:ascii="標楷體" w:eastAsia="標楷體" w:hAnsi="標楷體" w:hint="eastAsia"/>
                <w:color w:val="000000"/>
                <w:kern w:val="0"/>
              </w:rPr>
              <w:t>等22人擬具「陸海空軍刑法第五十四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E64904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（十）委員萬美玲等17人擬具「陸海空軍刑法第五十四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42FF9BC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（十一）委員張宏陸等20人擬具「陸海空軍刑法第五十四條及第五十四條之</w:t>
            </w:r>
            <w:proofErr w:type="gramStart"/>
            <w:r w:rsidRPr="001B6E4D">
              <w:rPr>
                <w:rFonts w:ascii="標楷體" w:eastAsia="標楷體" w:hAnsi="標楷體" w:hint="eastAsia"/>
                <w:color w:val="000000"/>
                <w:kern w:val="0"/>
              </w:rPr>
              <w:t>一</w:t>
            </w:r>
            <w:proofErr w:type="gramEnd"/>
            <w:r w:rsidRPr="001B6E4D">
              <w:rPr>
                <w:rFonts w:ascii="標楷體" w:eastAsia="標楷體" w:hAnsi="標楷體" w:hint="eastAsia"/>
                <w:color w:val="000000"/>
                <w:kern w:val="0"/>
              </w:rPr>
              <w:t>條文修正草案」案。</w:t>
            </w:r>
          </w:p>
          <w:p w14:paraId="6309078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（十二）委員</w:t>
            </w:r>
            <w:proofErr w:type="gramStart"/>
            <w:r w:rsidRPr="001B6E4D">
              <w:rPr>
                <w:rFonts w:ascii="標楷體" w:eastAsia="標楷體" w:hAnsi="標楷體" w:hint="eastAsia"/>
                <w:color w:val="000000"/>
                <w:kern w:val="0"/>
              </w:rPr>
              <w:t>林楚茵等</w:t>
            </w:r>
            <w:proofErr w:type="gramEnd"/>
            <w:r w:rsidRPr="001B6E4D">
              <w:rPr>
                <w:rFonts w:ascii="標楷體" w:eastAsia="標楷體" w:hAnsi="標楷體" w:hint="eastAsia"/>
                <w:color w:val="000000"/>
                <w:kern w:val="0"/>
              </w:rPr>
              <w:t>17人擬具「陸海空軍刑法第五十四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6C7289C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（十三）委員羅美玲等16人擬具「陸海空軍刑法第五十四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11C78E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（十四）委員陳培瑜等18人擬具「陸海空軍刑法第五十四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3C57E9A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（十五）委員伍麗華</w:t>
            </w:r>
            <w:proofErr w:type="spellStart"/>
            <w:r w:rsidRPr="001B6E4D">
              <w:rPr>
                <w:rFonts w:ascii="標楷體" w:eastAsia="標楷體" w:hAnsi="標楷體" w:hint="eastAsia"/>
                <w:color w:val="000000"/>
                <w:kern w:val="0"/>
              </w:rPr>
              <w:t>Saidhai</w:t>
            </w:r>
            <w:proofErr w:type="spellEnd"/>
            <w:proofErr w:type="gramStart"/>
            <w:r w:rsidRPr="001B6E4D">
              <w:rPr>
                <w:rFonts w:ascii="標楷體" w:eastAsia="標楷體" w:hAnsi="標楷體" w:hint="eastAsia"/>
                <w:color w:val="000000"/>
                <w:kern w:val="0"/>
              </w:rPr>
              <w:t>‧</w:t>
            </w:r>
            <w:proofErr w:type="spellStart"/>
            <w:proofErr w:type="gramEnd"/>
            <w:r w:rsidRPr="001B6E4D">
              <w:rPr>
                <w:rFonts w:ascii="標楷體" w:eastAsia="標楷體" w:hAnsi="標楷體" w:hint="eastAsia"/>
                <w:color w:val="000000"/>
                <w:kern w:val="0"/>
              </w:rPr>
              <w:t>Tahovecahe</w:t>
            </w:r>
            <w:proofErr w:type="spellEnd"/>
            <w:r w:rsidRPr="001B6E4D">
              <w:rPr>
                <w:rFonts w:ascii="標楷體" w:eastAsia="標楷體" w:hAnsi="標楷體" w:hint="eastAsia"/>
                <w:color w:val="000000"/>
                <w:kern w:val="0"/>
              </w:rPr>
              <w:t>等18人擬具「陸海空軍刑法第五十四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3AB5F1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（十六）委員徐富</w:t>
            </w:r>
            <w:proofErr w:type="gramStart"/>
            <w:r w:rsidRPr="001B6E4D">
              <w:rPr>
                <w:rFonts w:ascii="標楷體" w:eastAsia="標楷體" w:hAnsi="標楷體" w:hint="eastAsia"/>
                <w:color w:val="000000"/>
                <w:kern w:val="0"/>
              </w:rPr>
              <w:t>癸</w:t>
            </w:r>
            <w:proofErr w:type="gramEnd"/>
            <w:r w:rsidRPr="001B6E4D">
              <w:rPr>
                <w:rFonts w:ascii="標楷體" w:eastAsia="標楷體" w:hAnsi="標楷體" w:hint="eastAsia"/>
                <w:color w:val="000000"/>
                <w:kern w:val="0"/>
              </w:rPr>
              <w:t>等17人擬具「陸海空軍刑法第五十四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306B0BB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（十七）委員何欣純等19人擬具「陸海空軍刑法第五十四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w:t>
            </w:r>
            <w:r w:rsidRPr="001B6E4D">
              <w:rPr>
                <w:rFonts w:ascii="標楷體" w:eastAsia="標楷體" w:hAnsi="標楷體" w:hint="eastAsia"/>
                <w:color w:val="000000"/>
                <w:kern w:val="0"/>
              </w:rPr>
              <w:lastRenderedPageBreak/>
              <w:t>案」案。</w:t>
            </w:r>
          </w:p>
          <w:p w14:paraId="15ACF44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（十八）委員林宜瑾等25人擬具「陸海空軍刑法第五十四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722F86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（十九）委員羅廷</w:t>
            </w:r>
            <w:proofErr w:type="gramStart"/>
            <w:r w:rsidRPr="001B6E4D">
              <w:rPr>
                <w:rFonts w:ascii="標楷體" w:eastAsia="標楷體" w:hAnsi="標楷體" w:hint="eastAsia"/>
                <w:color w:val="000000"/>
                <w:kern w:val="0"/>
              </w:rPr>
              <w:t>瑋</w:t>
            </w:r>
            <w:proofErr w:type="gramEnd"/>
            <w:r w:rsidRPr="001B6E4D">
              <w:rPr>
                <w:rFonts w:ascii="標楷體" w:eastAsia="標楷體" w:hAnsi="標楷體" w:hint="eastAsia"/>
                <w:color w:val="000000"/>
                <w:kern w:val="0"/>
              </w:rPr>
              <w:t>等17人擬具「陸海空軍刑法第五十四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39FF690"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（二十）委員廖偉翔等19人擬具「陸海空軍刑法第五十四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AC2AAC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（二十一）委員吳沛憶等19人擬具「陸海空軍刑法第五十四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091F9F6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（二十二）委員賴惠員等17人擬具「陸海空軍刑法第五十四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1D32912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（二十三）委員徐巧芯等17人擬具「陸海空軍刑法第五十四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37F7462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（二十四）委員葉元之等18人擬具「陸海空軍刑法第五十四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p w14:paraId="244A4C56"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（二十五）委員</w:t>
            </w:r>
            <w:proofErr w:type="gramStart"/>
            <w:r w:rsidRPr="001B6E4D">
              <w:rPr>
                <w:rFonts w:ascii="標楷體" w:eastAsia="標楷體" w:hAnsi="標楷體" w:hint="eastAsia"/>
                <w:color w:val="000000"/>
                <w:kern w:val="0"/>
              </w:rPr>
              <w:t>范</w:t>
            </w:r>
            <w:proofErr w:type="gramEnd"/>
            <w:r w:rsidRPr="001B6E4D">
              <w:rPr>
                <w:rFonts w:ascii="標楷體" w:eastAsia="標楷體" w:hAnsi="標楷體" w:hint="eastAsia"/>
                <w:color w:val="000000"/>
                <w:kern w:val="0"/>
              </w:rPr>
              <w:t>雲等17人擬具「陸海空軍刑法第五十四</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tc>
        <w:tc>
          <w:tcPr>
            <w:tcW w:w="1091" w:type="pct"/>
          </w:tcPr>
          <w:p w14:paraId="515F4BB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莊召集委員瑞雄</w:t>
            </w:r>
          </w:p>
          <w:p w14:paraId="4FE9A352"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512B5ED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w:t>
            </w:r>
            <w:proofErr w:type="gramStart"/>
            <w:r w:rsidRPr="001B6E4D">
              <w:rPr>
                <w:rFonts w:ascii="標楷體" w:eastAsia="標楷體" w:hAnsi="標楷體" w:hint="eastAsia"/>
                <w:color w:val="000000"/>
                <w:kern w:val="0"/>
              </w:rPr>
              <w:t>一</w:t>
            </w:r>
            <w:proofErr w:type="gramEnd"/>
          </w:p>
          <w:p w14:paraId="07E19CEC"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國防部部長、司法院、法務部</w:t>
            </w:r>
          </w:p>
          <w:p w14:paraId="754DBC28"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開會事由二</w:t>
            </w:r>
          </w:p>
          <w:p w14:paraId="4238541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國防部部長、司法院、法務部、內政部</w:t>
            </w:r>
          </w:p>
        </w:tc>
        <w:tc>
          <w:tcPr>
            <w:tcW w:w="1188" w:type="pct"/>
          </w:tcPr>
          <w:p w14:paraId="3A8C393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第一案及第二案均審查完竣，須交由黨團協商。</w:t>
            </w:r>
          </w:p>
          <w:p w14:paraId="05FF2FCF" w14:textId="04C14AC8" w:rsidR="00E27254" w:rsidRPr="001B6E4D" w:rsidRDefault="00E27254"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（第115卷72期</w:t>
            </w:r>
            <w:r w:rsidRPr="001B6E4D">
              <w:rPr>
                <w:rFonts w:ascii="標楷體" w:eastAsia="標楷體" w:hAnsi="標楷體"/>
                <w:color w:val="000000"/>
                <w:kern w:val="0"/>
              </w:rPr>
              <w:t>5</w:t>
            </w:r>
            <w:r w:rsidRPr="001B6E4D">
              <w:rPr>
                <w:rFonts w:ascii="標楷體" w:eastAsia="標楷體" w:hAnsi="標楷體" w:hint="eastAsia"/>
                <w:color w:val="000000"/>
                <w:kern w:val="0"/>
              </w:rPr>
              <w:t>471）</w:t>
            </w:r>
          </w:p>
        </w:tc>
      </w:tr>
      <w:tr w:rsidR="005A76C8" w:rsidRPr="001B6E4D" w14:paraId="5C5CDBB6" w14:textId="77777777" w:rsidTr="005C6B6B">
        <w:tc>
          <w:tcPr>
            <w:tcW w:w="710" w:type="pct"/>
          </w:tcPr>
          <w:p w14:paraId="20E0BA9F"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第29次全體委員會議</w:t>
            </w:r>
          </w:p>
        </w:tc>
        <w:tc>
          <w:tcPr>
            <w:tcW w:w="799" w:type="pct"/>
          </w:tcPr>
          <w:p w14:paraId="68641F4E"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115年8月19日（星期三）</w:t>
            </w:r>
          </w:p>
        </w:tc>
        <w:tc>
          <w:tcPr>
            <w:tcW w:w="1212" w:type="pct"/>
          </w:tcPr>
          <w:p w14:paraId="6411E05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一、審查委員賴惠員等17人擬具「刑事訴訟法部分條文修正草案」案。</w:t>
            </w:r>
            <w:r w:rsidRPr="001B6E4D">
              <w:rPr>
                <w:rFonts w:ascii="標楷體" w:eastAsia="標楷體" w:hAnsi="標楷體" w:hint="eastAsia"/>
                <w:color w:val="000000"/>
                <w:kern w:val="0"/>
              </w:rPr>
              <w:br/>
              <w:t>二、審查委員洪孟楷等26人擬具「刑</w:t>
            </w:r>
            <w:r w:rsidRPr="001B6E4D">
              <w:rPr>
                <w:rFonts w:ascii="標楷體" w:eastAsia="標楷體" w:hAnsi="標楷體" w:hint="eastAsia"/>
                <w:color w:val="000000"/>
                <w:kern w:val="0"/>
              </w:rPr>
              <w:lastRenderedPageBreak/>
              <w:t>事訴訟法部分條文修正草案」案。</w:t>
            </w:r>
            <w:r w:rsidRPr="001B6E4D">
              <w:rPr>
                <w:rFonts w:ascii="標楷體" w:eastAsia="標楷體" w:hAnsi="標楷體" w:hint="eastAsia"/>
                <w:color w:val="000000"/>
                <w:kern w:val="0"/>
              </w:rPr>
              <w:br/>
              <w:t>三、審查委員王世堅等16人擬具「刑事訴訟法增訂部分條文草案」案。</w:t>
            </w:r>
            <w:r w:rsidRPr="001B6E4D">
              <w:rPr>
                <w:rFonts w:ascii="標楷體" w:eastAsia="標楷體" w:hAnsi="標楷體" w:hint="eastAsia"/>
                <w:color w:val="000000"/>
                <w:kern w:val="0"/>
              </w:rPr>
              <w:br/>
              <w:t>四、審查委員翁曉玲等21人擬具「刑事訴訟法第四百五十五條之四十六條文修正草案」案。</w:t>
            </w:r>
            <w:r w:rsidRPr="001B6E4D">
              <w:rPr>
                <w:rFonts w:ascii="標楷體" w:eastAsia="標楷體" w:hAnsi="標楷體" w:hint="eastAsia"/>
                <w:color w:val="000000"/>
                <w:kern w:val="0"/>
              </w:rPr>
              <w:br/>
              <w:t>五、審查委員吳宗憲等18人擬具「刑事訴訟法部分條文修正草案」案。</w:t>
            </w:r>
            <w:r w:rsidRPr="001B6E4D">
              <w:rPr>
                <w:rFonts w:ascii="標楷體" w:eastAsia="標楷體" w:hAnsi="標楷體" w:hint="eastAsia"/>
                <w:color w:val="000000"/>
                <w:kern w:val="0"/>
              </w:rPr>
              <w:br/>
              <w:t>六、審查委員翁曉玲等18人擬具「刑事訴訟法部分條文修正草案」案。</w:t>
            </w:r>
            <w:r w:rsidRPr="001B6E4D">
              <w:rPr>
                <w:rFonts w:ascii="標楷體" w:eastAsia="標楷體" w:hAnsi="標楷體" w:hint="eastAsia"/>
                <w:color w:val="000000"/>
                <w:kern w:val="0"/>
              </w:rPr>
              <w:br/>
              <w:t>七、審查委員翁曉玲等18人擬具「刑事訴訟法第三百十</w:t>
            </w:r>
            <w:proofErr w:type="gramStart"/>
            <w:r w:rsidRPr="001B6E4D">
              <w:rPr>
                <w:rFonts w:ascii="標楷體" w:eastAsia="標楷體" w:hAnsi="標楷體" w:hint="eastAsia"/>
                <w:color w:val="000000"/>
                <w:kern w:val="0"/>
              </w:rPr>
              <w:t>條</w:t>
            </w:r>
            <w:proofErr w:type="gramEnd"/>
            <w:r w:rsidRPr="001B6E4D">
              <w:rPr>
                <w:rFonts w:ascii="標楷體" w:eastAsia="標楷體" w:hAnsi="標楷體" w:hint="eastAsia"/>
                <w:color w:val="000000"/>
                <w:kern w:val="0"/>
              </w:rPr>
              <w:t>條文修正草案」案。</w:t>
            </w:r>
          </w:p>
        </w:tc>
        <w:tc>
          <w:tcPr>
            <w:tcW w:w="1091" w:type="pct"/>
          </w:tcPr>
          <w:p w14:paraId="1CD8E7EA"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翁召集委員曉玲</w:t>
            </w:r>
          </w:p>
          <w:p w14:paraId="4845C237"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37389963"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司法院秘書長、法務部次長、內政部、國防部、衛生福利部、海</w:t>
            </w:r>
            <w:r w:rsidRPr="001B6E4D">
              <w:rPr>
                <w:rFonts w:ascii="標楷體" w:eastAsia="標楷體" w:hAnsi="標楷體" w:hint="eastAsia"/>
                <w:color w:val="000000"/>
                <w:kern w:val="0"/>
              </w:rPr>
              <w:lastRenderedPageBreak/>
              <w:t>洋委員會</w:t>
            </w:r>
          </w:p>
        </w:tc>
        <w:tc>
          <w:tcPr>
            <w:tcW w:w="1188" w:type="pct"/>
          </w:tcPr>
          <w:p w14:paraId="728E3665"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第一案至第七案報告及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w:t>
            </w:r>
            <w:proofErr w:type="gramStart"/>
            <w:r w:rsidRPr="001B6E4D">
              <w:rPr>
                <w:rFonts w:ascii="標楷體" w:eastAsia="標楷體" w:hAnsi="標楷體" w:hint="eastAsia"/>
                <w:color w:val="000000"/>
                <w:kern w:val="0"/>
              </w:rPr>
              <w:t>均另定期</w:t>
            </w:r>
            <w:proofErr w:type="gramEnd"/>
            <w:r w:rsidRPr="001B6E4D">
              <w:rPr>
                <w:rFonts w:ascii="標楷體" w:eastAsia="標楷體" w:hAnsi="標楷體" w:hint="eastAsia"/>
                <w:color w:val="000000"/>
                <w:kern w:val="0"/>
              </w:rPr>
              <w:t>繼續審查。</w:t>
            </w:r>
          </w:p>
          <w:p w14:paraId="116149E7" w14:textId="4A6CC992" w:rsidR="00E27254" w:rsidRPr="001B6E4D" w:rsidRDefault="00E27254"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（第115卷75期</w:t>
            </w:r>
            <w:r w:rsidRPr="001B6E4D">
              <w:rPr>
                <w:rFonts w:ascii="標楷體" w:eastAsia="標楷體" w:hAnsi="標楷體"/>
                <w:color w:val="000000"/>
                <w:kern w:val="0"/>
              </w:rPr>
              <w:t>5</w:t>
            </w:r>
            <w:r w:rsidRPr="001B6E4D">
              <w:rPr>
                <w:rFonts w:ascii="標楷體" w:eastAsia="標楷體" w:hAnsi="標楷體" w:hint="eastAsia"/>
                <w:color w:val="000000"/>
                <w:kern w:val="0"/>
              </w:rPr>
              <w:t>474）</w:t>
            </w:r>
          </w:p>
        </w:tc>
      </w:tr>
      <w:tr w:rsidR="005A76C8" w:rsidRPr="001B6E4D" w14:paraId="5F338D97" w14:textId="77777777" w:rsidTr="005C6B6B">
        <w:tc>
          <w:tcPr>
            <w:tcW w:w="710" w:type="pct"/>
          </w:tcPr>
          <w:p w14:paraId="7165C92E"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考察活動</w:t>
            </w:r>
          </w:p>
        </w:tc>
        <w:tc>
          <w:tcPr>
            <w:tcW w:w="799" w:type="pct"/>
          </w:tcPr>
          <w:p w14:paraId="68E3D169" w14:textId="77777777" w:rsidR="005A76C8" w:rsidRPr="001B6E4D" w:rsidRDefault="005A76C8" w:rsidP="003D1018">
            <w:pPr>
              <w:widowControl w:val="0"/>
              <w:overflowPunct w:val="0"/>
              <w:spacing w:line="300" w:lineRule="exact"/>
              <w:jc w:val="both"/>
              <w:rPr>
                <w:rFonts w:ascii="標楷體" w:eastAsia="標楷體" w:hAnsi="標楷體"/>
                <w:color w:val="000000"/>
                <w:spacing w:val="-20"/>
                <w:kern w:val="0"/>
              </w:rPr>
            </w:pPr>
            <w:r w:rsidRPr="001B6E4D">
              <w:rPr>
                <w:rFonts w:ascii="標楷體" w:eastAsia="標楷體" w:hAnsi="標楷體" w:hint="eastAsia"/>
                <w:color w:val="000000"/>
                <w:spacing w:val="-20"/>
                <w:kern w:val="0"/>
              </w:rPr>
              <w:t>115年8月31日（星期一）</w:t>
            </w:r>
          </w:p>
        </w:tc>
        <w:tc>
          <w:tcPr>
            <w:tcW w:w="1212" w:type="pct"/>
          </w:tcPr>
          <w:p w14:paraId="06E591F9"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考察行政院人事行政總處公務人力發展學院因應AI時代之公務人員培訓及員額等人力運用。</w:t>
            </w:r>
          </w:p>
        </w:tc>
        <w:tc>
          <w:tcPr>
            <w:tcW w:w="1091" w:type="pct"/>
          </w:tcPr>
          <w:p w14:paraId="301DB55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翁召集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曉玲</w:t>
            </w:r>
          </w:p>
          <w:p w14:paraId="7EC32ADD"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p w14:paraId="20505314"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行政院人事行政總處副人事長、行政院人事行政總處公務人力發展學院院長</w:t>
            </w:r>
          </w:p>
        </w:tc>
        <w:tc>
          <w:tcPr>
            <w:tcW w:w="1188" w:type="pct"/>
          </w:tcPr>
          <w:p w14:paraId="448FE43B" w14:textId="77777777" w:rsidR="005A76C8" w:rsidRPr="001B6E4D" w:rsidRDefault="005A76C8" w:rsidP="003D1018">
            <w:pPr>
              <w:widowControl w:val="0"/>
              <w:overflowPunct w:val="0"/>
              <w:spacing w:line="300" w:lineRule="exact"/>
              <w:jc w:val="both"/>
              <w:rPr>
                <w:rFonts w:ascii="標楷體" w:eastAsia="標楷體" w:hAnsi="標楷體"/>
                <w:color w:val="000000"/>
                <w:kern w:val="0"/>
              </w:rPr>
            </w:pPr>
          </w:p>
        </w:tc>
      </w:tr>
    </w:tbl>
    <w:p w14:paraId="59C712AC" w14:textId="77777777" w:rsidR="0089453C" w:rsidRPr="001B6E4D" w:rsidRDefault="0089453C" w:rsidP="003D1018">
      <w:pPr>
        <w:keepNext/>
        <w:overflowPunct w:val="0"/>
        <w:snapToGrid w:val="0"/>
        <w:spacing w:afterLines="50" w:after="120" w:line="520" w:lineRule="exact"/>
        <w:jc w:val="both"/>
        <w:outlineLvl w:val="1"/>
        <w:rPr>
          <w:rFonts w:ascii="標楷體" w:eastAsia="標楷體" w:hAnsi="標楷體"/>
          <w:b/>
          <w:bCs/>
          <w:color w:val="000000" w:themeColor="text1"/>
          <w:sz w:val="28"/>
          <w:szCs w:val="28"/>
          <w:shd w:val="clear" w:color="auto" w:fill="FFFFFF"/>
        </w:rPr>
        <w:sectPr w:rsidR="0089453C" w:rsidRPr="001B6E4D" w:rsidSect="00B8553E">
          <w:pgSz w:w="11906" w:h="16838" w:code="9"/>
          <w:pgMar w:top="1134" w:right="1701" w:bottom="1134" w:left="1701" w:header="851" w:footer="992" w:gutter="0"/>
          <w:cols w:space="425"/>
          <w:docGrid w:linePitch="360"/>
        </w:sectPr>
      </w:pPr>
    </w:p>
    <w:p w14:paraId="322BAECF" w14:textId="77777777" w:rsidR="0099569B" w:rsidRPr="001B6E4D" w:rsidRDefault="0099569B"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44" w:name="_Toc240446506"/>
      <w:r w:rsidRPr="001B6E4D">
        <w:rPr>
          <w:rFonts w:ascii="標楷體" w:hAnsi="標楷體" w:hint="eastAsia"/>
          <w:color w:val="000000" w:themeColor="text1"/>
          <w:szCs w:val="28"/>
          <w:shd w:val="clear" w:color="auto" w:fill="FFFFFF" w:themeFill="background1"/>
        </w:rPr>
        <w:lastRenderedPageBreak/>
        <w:t>二</w:t>
      </w:r>
      <w:r w:rsidRPr="001B6E4D">
        <w:rPr>
          <w:rFonts w:ascii="標楷體" w:hAnsi="標楷體"/>
          <w:color w:val="000000" w:themeColor="text1"/>
          <w:szCs w:val="28"/>
          <w:shd w:val="clear" w:color="auto" w:fill="FFFFFF" w:themeFill="background1"/>
        </w:rPr>
        <w:t>、公聽會</w:t>
      </w:r>
      <w:bookmarkEnd w:id="44"/>
    </w:p>
    <w:p w14:paraId="05698ECE" w14:textId="5A437314" w:rsidR="002941C7" w:rsidRPr="001B6E4D" w:rsidRDefault="0099569B" w:rsidP="003D1018">
      <w:pPr>
        <w:overflowPunct w:val="0"/>
        <w:autoSpaceDE w:val="0"/>
        <w:autoSpaceDN w:val="0"/>
        <w:adjustRightInd w:val="0"/>
        <w:snapToGrid w:val="0"/>
        <w:spacing w:beforeLines="50" w:before="180" w:line="360" w:lineRule="exact"/>
        <w:ind w:leftChars="236" w:left="1133" w:hanging="567"/>
        <w:jc w:val="both"/>
        <w:outlineLvl w:val="3"/>
        <w:rPr>
          <w:rFonts w:ascii="標楷體" w:eastAsia="標楷體" w:hAnsi="標楷體"/>
          <w:color w:val="000000"/>
          <w:sz w:val="28"/>
          <w:szCs w:val="28"/>
          <w:shd w:val="clear" w:color="auto" w:fill="FFFFFF"/>
        </w:rPr>
      </w:pPr>
      <w:bookmarkStart w:id="45" w:name="_Toc174974022"/>
      <w:bookmarkStart w:id="46" w:name="_Toc174974986"/>
      <w:bookmarkStart w:id="47" w:name="_Hlk184309248"/>
      <w:r w:rsidRPr="001B6E4D">
        <w:rPr>
          <w:rFonts w:ascii="標楷體" w:eastAsia="標楷體" w:hAnsi="標楷體"/>
          <w:color w:val="000000"/>
          <w:sz w:val="28"/>
          <w:szCs w:val="28"/>
          <w:shd w:val="clear" w:color="auto" w:fill="FFFFFF"/>
        </w:rPr>
        <w:t>(</w:t>
      </w:r>
      <w:proofErr w:type="gramStart"/>
      <w:r w:rsidRPr="001B6E4D">
        <w:rPr>
          <w:rFonts w:ascii="標楷體" w:eastAsia="標楷體" w:hAnsi="標楷體" w:hint="eastAsia"/>
          <w:color w:val="000000"/>
          <w:sz w:val="28"/>
          <w:szCs w:val="28"/>
          <w:shd w:val="clear" w:color="auto" w:fill="FFFFFF"/>
        </w:rPr>
        <w:t>一</w:t>
      </w:r>
      <w:proofErr w:type="gramEnd"/>
      <w:r w:rsidRPr="001B6E4D">
        <w:rPr>
          <w:rFonts w:ascii="標楷體" w:eastAsia="標楷體" w:hAnsi="標楷體"/>
          <w:color w:val="000000"/>
          <w:sz w:val="28"/>
          <w:szCs w:val="28"/>
          <w:shd w:val="clear" w:color="auto" w:fill="FFFFFF"/>
        </w:rPr>
        <w:t>)</w:t>
      </w:r>
      <w:r w:rsidR="002941C7" w:rsidRPr="001B6E4D">
        <w:rPr>
          <w:rFonts w:ascii="標楷體" w:eastAsia="標楷體" w:hAnsi="標楷體" w:cs="標楷體" w:hint="eastAsia"/>
          <w:color w:val="000000"/>
          <w:sz w:val="28"/>
          <w:szCs w:val="28"/>
          <w:shd w:val="clear" w:color="auto" w:fill="FFFFFF"/>
        </w:rPr>
        <w:t>11</w:t>
      </w:r>
      <w:r w:rsidR="00925CC4" w:rsidRPr="001B6E4D">
        <w:rPr>
          <w:rFonts w:ascii="標楷體" w:eastAsia="標楷體" w:hAnsi="標楷體" w:cs="標楷體" w:hint="eastAsia"/>
          <w:color w:val="000000"/>
          <w:sz w:val="28"/>
          <w:szCs w:val="28"/>
          <w:shd w:val="clear" w:color="auto" w:fill="FFFFFF"/>
        </w:rPr>
        <w:t>5</w:t>
      </w:r>
      <w:r w:rsidR="002941C7" w:rsidRPr="001B6E4D">
        <w:rPr>
          <w:rFonts w:ascii="標楷體" w:eastAsia="標楷體" w:hAnsi="標楷體" w:cs="標楷體" w:hint="eastAsia"/>
          <w:color w:val="000000"/>
          <w:sz w:val="28"/>
          <w:szCs w:val="28"/>
          <w:shd w:val="clear" w:color="auto" w:fill="FFFFFF"/>
        </w:rPr>
        <w:t>年</w:t>
      </w:r>
      <w:r w:rsidR="00925CC4" w:rsidRPr="001B6E4D">
        <w:rPr>
          <w:rFonts w:ascii="標楷體" w:eastAsia="標楷體" w:hAnsi="標楷體" w:cs="標楷體" w:hint="eastAsia"/>
          <w:color w:val="000000"/>
          <w:sz w:val="28"/>
          <w:szCs w:val="28"/>
          <w:shd w:val="clear" w:color="auto" w:fill="FFFFFF"/>
        </w:rPr>
        <w:t>4</w:t>
      </w:r>
      <w:r w:rsidR="002941C7" w:rsidRPr="001B6E4D">
        <w:rPr>
          <w:rFonts w:ascii="標楷體" w:eastAsia="標楷體" w:hAnsi="標楷體" w:cs="標楷體" w:hint="eastAsia"/>
          <w:color w:val="000000"/>
          <w:sz w:val="28"/>
          <w:szCs w:val="28"/>
          <w:shd w:val="clear" w:color="auto" w:fill="FFFFFF"/>
        </w:rPr>
        <w:t>月</w:t>
      </w:r>
      <w:r w:rsidR="00925CC4" w:rsidRPr="001B6E4D">
        <w:rPr>
          <w:rFonts w:ascii="標楷體" w:eastAsia="標楷體" w:hAnsi="標楷體" w:cs="標楷體" w:hint="eastAsia"/>
          <w:color w:val="000000"/>
          <w:sz w:val="28"/>
          <w:szCs w:val="28"/>
          <w:shd w:val="clear" w:color="auto" w:fill="FFFFFF"/>
        </w:rPr>
        <w:t>8</w:t>
      </w:r>
      <w:r w:rsidR="002941C7" w:rsidRPr="001B6E4D">
        <w:rPr>
          <w:rFonts w:ascii="標楷體" w:eastAsia="標楷體" w:hAnsi="標楷體" w:cs="標楷體" w:hint="eastAsia"/>
          <w:color w:val="000000"/>
          <w:sz w:val="28"/>
          <w:szCs w:val="28"/>
          <w:shd w:val="clear" w:color="auto" w:fill="FFFFFF"/>
        </w:rPr>
        <w:t>日（星期</w:t>
      </w:r>
      <w:r w:rsidR="00925CC4" w:rsidRPr="001B6E4D">
        <w:rPr>
          <w:rFonts w:ascii="標楷體" w:eastAsia="標楷體" w:hAnsi="標楷體" w:cs="標楷體" w:hint="eastAsia"/>
          <w:color w:val="000000"/>
          <w:sz w:val="28"/>
          <w:szCs w:val="28"/>
          <w:shd w:val="clear" w:color="auto" w:fill="FFFFFF"/>
        </w:rPr>
        <w:t>三</w:t>
      </w:r>
      <w:r w:rsidR="002941C7" w:rsidRPr="001B6E4D">
        <w:rPr>
          <w:rFonts w:ascii="標楷體" w:eastAsia="標楷體" w:hAnsi="標楷體" w:cs="標楷體" w:hint="eastAsia"/>
          <w:color w:val="000000"/>
          <w:sz w:val="28"/>
          <w:szCs w:val="28"/>
          <w:shd w:val="clear" w:color="auto" w:fill="FFFFFF"/>
        </w:rPr>
        <w:t>）</w:t>
      </w:r>
      <w:r w:rsidR="002941C7" w:rsidRPr="001B6E4D">
        <w:rPr>
          <w:rFonts w:ascii="標楷體" w:eastAsia="標楷體" w:hAnsi="標楷體" w:hint="eastAsia"/>
          <w:color w:val="000000"/>
          <w:sz w:val="28"/>
          <w:szCs w:val="28"/>
          <w:shd w:val="clear" w:color="auto" w:fill="FFFFFF"/>
        </w:rPr>
        <w:t>舉行「</w:t>
      </w:r>
      <w:r w:rsidR="00925CC4" w:rsidRPr="001B6E4D">
        <w:rPr>
          <w:rFonts w:ascii="標楷體" w:eastAsia="標楷體" w:hAnsi="標楷體" w:hint="eastAsia"/>
          <w:color w:val="000000"/>
          <w:sz w:val="28"/>
          <w:szCs w:val="28"/>
          <w:shd w:val="clear" w:color="auto" w:fill="FFFFFF"/>
        </w:rPr>
        <w:t>總統</w:t>
      </w:r>
      <w:proofErr w:type="gramStart"/>
      <w:r w:rsidR="00925CC4" w:rsidRPr="001B6E4D">
        <w:rPr>
          <w:rFonts w:ascii="標楷體" w:eastAsia="標楷體" w:hAnsi="標楷體" w:hint="eastAsia"/>
          <w:color w:val="000000"/>
          <w:sz w:val="28"/>
          <w:szCs w:val="28"/>
          <w:shd w:val="clear" w:color="auto" w:fill="FFFFFF"/>
        </w:rPr>
        <w:t>咨</w:t>
      </w:r>
      <w:proofErr w:type="gramEnd"/>
      <w:r w:rsidR="00925CC4" w:rsidRPr="001B6E4D">
        <w:rPr>
          <w:rFonts w:ascii="標楷體" w:eastAsia="標楷體" w:hAnsi="標楷體" w:hint="eastAsia"/>
          <w:color w:val="000000"/>
          <w:sz w:val="28"/>
          <w:szCs w:val="28"/>
          <w:shd w:val="clear" w:color="auto" w:fill="FFFFFF"/>
        </w:rPr>
        <w:t>，為最高檢察署檢察總長邢泰釗任期於115年5月7日屆滿，茲依法院組織法第66條第2項規定，提名徐錫祥為最高檢察署檢察總長，</w:t>
      </w:r>
      <w:proofErr w:type="gramStart"/>
      <w:r w:rsidR="00925CC4" w:rsidRPr="001B6E4D">
        <w:rPr>
          <w:rFonts w:ascii="標楷體" w:eastAsia="標楷體" w:hAnsi="標楷體" w:hint="eastAsia"/>
          <w:color w:val="000000"/>
          <w:sz w:val="28"/>
          <w:szCs w:val="28"/>
          <w:shd w:val="clear" w:color="auto" w:fill="FFFFFF"/>
        </w:rPr>
        <w:t>咨</w:t>
      </w:r>
      <w:proofErr w:type="gramEnd"/>
      <w:r w:rsidR="00925CC4" w:rsidRPr="001B6E4D">
        <w:rPr>
          <w:rFonts w:ascii="標楷體" w:eastAsia="標楷體" w:hAnsi="標楷體" w:hint="eastAsia"/>
          <w:color w:val="000000"/>
          <w:sz w:val="28"/>
          <w:szCs w:val="28"/>
          <w:shd w:val="clear" w:color="auto" w:fill="FFFFFF"/>
        </w:rPr>
        <w:t>請同意案</w:t>
      </w:r>
      <w:r w:rsidR="00DE19F5" w:rsidRPr="001B6E4D">
        <w:rPr>
          <w:rFonts w:ascii="標楷體" w:eastAsia="標楷體" w:hAnsi="標楷體" w:hint="eastAsia"/>
          <w:color w:val="000000"/>
          <w:sz w:val="28"/>
          <w:szCs w:val="28"/>
          <w:shd w:val="clear" w:color="auto" w:fill="FFFFFF"/>
        </w:rPr>
        <w:t>」</w:t>
      </w:r>
      <w:r w:rsidR="002941C7" w:rsidRPr="001B6E4D">
        <w:rPr>
          <w:rFonts w:ascii="標楷體" w:eastAsia="標楷體" w:hAnsi="標楷體" w:hint="eastAsia"/>
          <w:color w:val="000000"/>
          <w:sz w:val="28"/>
          <w:szCs w:val="28"/>
          <w:shd w:val="clear" w:color="auto" w:fill="FFFFFF"/>
        </w:rPr>
        <w:t>公聽會。</w:t>
      </w:r>
    </w:p>
    <w:p w14:paraId="54095A38" w14:textId="4213D177" w:rsidR="00DE19F5" w:rsidRPr="001B6E4D" w:rsidRDefault="00DE19F5" w:rsidP="003D1018">
      <w:pPr>
        <w:overflowPunct w:val="0"/>
        <w:adjustRightInd w:val="0"/>
        <w:snapToGrid w:val="0"/>
        <w:spacing w:line="360" w:lineRule="exact"/>
        <w:ind w:leftChars="460" w:left="1412" w:rightChars="12" w:right="29" w:hangingChars="110" w:hanging="308"/>
        <w:jc w:val="both"/>
        <w:rPr>
          <w:rFonts w:ascii="標楷體" w:eastAsia="標楷體" w:hAnsi="標楷體"/>
          <w:color w:val="000000"/>
          <w:sz w:val="28"/>
          <w:szCs w:val="28"/>
          <w:shd w:val="clear" w:color="auto" w:fill="FFFFFF"/>
        </w:rPr>
      </w:pPr>
      <w:r w:rsidRPr="001B6E4D">
        <w:rPr>
          <w:rFonts w:ascii="標楷體" w:eastAsia="標楷體" w:hAnsi="標楷體"/>
          <w:color w:val="000000"/>
          <w:sz w:val="28"/>
          <w:szCs w:val="28"/>
          <w:shd w:val="clear" w:color="auto" w:fill="FFFFFF"/>
        </w:rPr>
        <w:t>1.主席：</w:t>
      </w:r>
      <w:r w:rsidR="00925CC4" w:rsidRPr="001B6E4D">
        <w:rPr>
          <w:rFonts w:ascii="標楷體" w:eastAsia="標楷體" w:hAnsi="標楷體" w:hint="eastAsia"/>
          <w:color w:val="000000"/>
          <w:sz w:val="28"/>
          <w:szCs w:val="28"/>
          <w:shd w:val="clear" w:color="auto" w:fill="FFFFFF"/>
        </w:rPr>
        <w:t>莊召集委員瑞雄</w:t>
      </w:r>
    </w:p>
    <w:p w14:paraId="132467AF" w14:textId="26702C5B" w:rsidR="00DE19F5" w:rsidRPr="001B6E4D" w:rsidRDefault="00DE19F5" w:rsidP="003D1018">
      <w:pPr>
        <w:overflowPunct w:val="0"/>
        <w:adjustRightInd w:val="0"/>
        <w:snapToGrid w:val="0"/>
        <w:spacing w:line="360" w:lineRule="exact"/>
        <w:ind w:leftChars="460" w:left="1412" w:rightChars="12" w:right="29" w:hangingChars="110" w:hanging="308"/>
        <w:jc w:val="both"/>
        <w:rPr>
          <w:rFonts w:ascii="標楷體" w:eastAsia="標楷體" w:hAnsi="標楷體"/>
          <w:bCs/>
          <w:color w:val="000000"/>
          <w:sz w:val="28"/>
          <w:szCs w:val="28"/>
        </w:rPr>
      </w:pPr>
      <w:r w:rsidRPr="001B6E4D">
        <w:rPr>
          <w:rFonts w:ascii="標楷體" w:eastAsia="標楷體" w:hAnsi="標楷體" w:hint="eastAsia"/>
          <w:color w:val="000000"/>
          <w:sz w:val="28"/>
          <w:szCs w:val="28"/>
          <w:shd w:val="clear" w:color="auto" w:fill="FFFFFF"/>
        </w:rPr>
        <w:t>2.</w:t>
      </w:r>
      <w:r w:rsidRPr="001B6E4D">
        <w:rPr>
          <w:rFonts w:ascii="標楷體" w:eastAsia="標楷體" w:hAnsi="標楷體"/>
          <w:color w:val="000000"/>
          <w:sz w:val="28"/>
          <w:szCs w:val="28"/>
          <w:shd w:val="clear" w:color="auto" w:fill="FFFFFF"/>
        </w:rPr>
        <w:t>邀請</w:t>
      </w:r>
      <w:r w:rsidR="00C9771A" w:rsidRPr="001B6E4D">
        <w:rPr>
          <w:rFonts w:ascii="標楷體" w:eastAsia="標楷體" w:hAnsi="標楷體" w:hint="eastAsia"/>
          <w:sz w:val="28"/>
          <w:szCs w:val="28"/>
        </w:rPr>
        <w:t>仉桂美兼任副教授</w:t>
      </w:r>
      <w:r w:rsidR="00020834" w:rsidRPr="001B6E4D">
        <w:rPr>
          <w:rFonts w:ascii="標楷體" w:eastAsia="標楷體" w:hAnsi="標楷體" w:hint="eastAsia"/>
          <w:sz w:val="28"/>
          <w:szCs w:val="28"/>
        </w:rPr>
        <w:t>、</w:t>
      </w:r>
      <w:r w:rsidR="00C9771A" w:rsidRPr="001B6E4D">
        <w:rPr>
          <w:rFonts w:ascii="標楷體" w:eastAsia="標楷體" w:hAnsi="標楷體" w:hint="eastAsia"/>
          <w:sz w:val="28"/>
          <w:szCs w:val="28"/>
        </w:rPr>
        <w:t>吳景欽教授</w:t>
      </w:r>
      <w:r w:rsidR="00020834" w:rsidRPr="001B6E4D">
        <w:rPr>
          <w:rFonts w:ascii="標楷體" w:eastAsia="標楷體" w:hAnsi="標楷體" w:hint="eastAsia"/>
          <w:sz w:val="28"/>
          <w:szCs w:val="28"/>
        </w:rPr>
        <w:t>、</w:t>
      </w:r>
      <w:r w:rsidR="00C9771A" w:rsidRPr="001B6E4D">
        <w:rPr>
          <w:rFonts w:ascii="標楷體" w:eastAsia="標楷體" w:hAnsi="標楷體" w:hint="eastAsia"/>
          <w:sz w:val="28"/>
          <w:szCs w:val="28"/>
        </w:rPr>
        <w:t>李聖傑副教授</w:t>
      </w:r>
      <w:r w:rsidR="00020834" w:rsidRPr="001B6E4D">
        <w:rPr>
          <w:rFonts w:ascii="標楷體" w:eastAsia="標楷體" w:hAnsi="標楷體" w:hint="eastAsia"/>
          <w:sz w:val="28"/>
          <w:szCs w:val="28"/>
        </w:rPr>
        <w:t>、</w:t>
      </w:r>
      <w:r w:rsidR="00C9771A" w:rsidRPr="001B6E4D">
        <w:rPr>
          <w:rFonts w:ascii="標楷體" w:eastAsia="標楷體" w:hAnsi="標楷體" w:hint="eastAsia"/>
          <w:sz w:val="28"/>
          <w:szCs w:val="28"/>
        </w:rPr>
        <w:t>陳宏達主任檢察官</w:t>
      </w:r>
      <w:r w:rsidR="00020834" w:rsidRPr="001B6E4D">
        <w:rPr>
          <w:rFonts w:ascii="標楷體" w:eastAsia="標楷體" w:hAnsi="標楷體" w:hint="eastAsia"/>
          <w:sz w:val="28"/>
          <w:szCs w:val="28"/>
        </w:rPr>
        <w:t>、</w:t>
      </w:r>
      <w:r w:rsidR="00C9771A" w:rsidRPr="001B6E4D">
        <w:rPr>
          <w:rFonts w:ascii="標楷體" w:eastAsia="標楷體" w:hAnsi="標楷體" w:hint="eastAsia"/>
          <w:sz w:val="28"/>
          <w:szCs w:val="28"/>
        </w:rPr>
        <w:t>張麗卿專任講座教授</w:t>
      </w:r>
      <w:r w:rsidR="00020834" w:rsidRPr="001B6E4D">
        <w:rPr>
          <w:rFonts w:ascii="標楷體" w:eastAsia="標楷體" w:hAnsi="標楷體" w:hint="eastAsia"/>
          <w:sz w:val="28"/>
          <w:szCs w:val="28"/>
        </w:rPr>
        <w:t>、</w:t>
      </w:r>
      <w:r w:rsidR="00C9771A" w:rsidRPr="001B6E4D">
        <w:rPr>
          <w:rFonts w:ascii="標楷體" w:eastAsia="標楷體" w:hAnsi="標楷體" w:hint="eastAsia"/>
          <w:sz w:val="28"/>
          <w:szCs w:val="28"/>
        </w:rPr>
        <w:t>葉慶元律師</w:t>
      </w:r>
      <w:r w:rsidR="00020834" w:rsidRPr="001B6E4D">
        <w:rPr>
          <w:rFonts w:ascii="標楷體" w:eastAsia="標楷體" w:hAnsi="標楷體" w:hint="eastAsia"/>
          <w:sz w:val="28"/>
          <w:szCs w:val="28"/>
        </w:rPr>
        <w:t>、</w:t>
      </w:r>
      <w:r w:rsidR="00C9771A" w:rsidRPr="001B6E4D">
        <w:rPr>
          <w:rFonts w:ascii="標楷體" w:eastAsia="標楷體" w:hAnsi="標楷體" w:hint="eastAsia"/>
          <w:sz w:val="28"/>
          <w:szCs w:val="28"/>
        </w:rPr>
        <w:t>劉芳伶副教授</w:t>
      </w:r>
      <w:r w:rsidR="00ED43D7" w:rsidRPr="001B6E4D">
        <w:rPr>
          <w:rFonts w:ascii="標楷體" w:eastAsia="標楷體" w:hAnsi="標楷體" w:hint="eastAsia"/>
          <w:sz w:val="28"/>
          <w:szCs w:val="28"/>
        </w:rPr>
        <w:t>暨</w:t>
      </w:r>
      <w:r w:rsidR="00C9771A" w:rsidRPr="001B6E4D">
        <w:rPr>
          <w:rFonts w:ascii="標楷體" w:eastAsia="標楷體" w:hAnsi="標楷體" w:hint="eastAsia"/>
          <w:sz w:val="28"/>
          <w:szCs w:val="28"/>
        </w:rPr>
        <w:t>法務部</w:t>
      </w:r>
      <w:r w:rsidRPr="001B6E4D">
        <w:rPr>
          <w:rFonts w:ascii="標楷體" w:eastAsia="標楷體" w:hAnsi="標楷體" w:hint="eastAsia"/>
          <w:color w:val="000000"/>
          <w:sz w:val="28"/>
          <w:szCs w:val="28"/>
          <w:shd w:val="clear" w:color="auto" w:fill="FFFFFF"/>
        </w:rPr>
        <w:t>等</w:t>
      </w:r>
      <w:r w:rsidRPr="001B6E4D">
        <w:rPr>
          <w:rFonts w:ascii="標楷體" w:eastAsia="標楷體" w:hAnsi="標楷體"/>
          <w:color w:val="000000"/>
          <w:sz w:val="28"/>
          <w:szCs w:val="28"/>
          <w:shd w:val="clear" w:color="auto" w:fill="FFFFFF"/>
        </w:rPr>
        <w:t>相關機關代表出席表達意見，本會並依出席者所提供之意見提出公聽會報告，送交本院全體委員及出席者，以作為審查</w:t>
      </w:r>
      <w:r w:rsidR="00B25036" w:rsidRPr="001B6E4D">
        <w:rPr>
          <w:rFonts w:ascii="標楷體" w:eastAsia="標楷體" w:hAnsi="標楷體" w:hint="eastAsia"/>
          <w:color w:val="000000"/>
          <w:sz w:val="28"/>
          <w:szCs w:val="28"/>
          <w:shd w:val="clear" w:color="auto" w:fill="FFFFFF"/>
        </w:rPr>
        <w:t>本人事</w:t>
      </w:r>
      <w:r w:rsidR="00C9771A" w:rsidRPr="001B6E4D">
        <w:rPr>
          <w:rFonts w:ascii="標楷體" w:eastAsia="標楷體" w:hAnsi="標楷體" w:hint="eastAsia"/>
          <w:color w:val="000000"/>
          <w:sz w:val="28"/>
          <w:szCs w:val="28"/>
          <w:shd w:val="clear" w:color="auto" w:fill="FFFFFF"/>
        </w:rPr>
        <w:t>同意權</w:t>
      </w:r>
      <w:r w:rsidRPr="001B6E4D">
        <w:rPr>
          <w:rFonts w:ascii="標楷體" w:eastAsia="標楷體" w:hAnsi="標楷體"/>
          <w:color w:val="000000"/>
          <w:sz w:val="28"/>
          <w:szCs w:val="28"/>
          <w:shd w:val="clear" w:color="auto" w:fill="FFFFFF"/>
        </w:rPr>
        <w:t>案之參考。</w:t>
      </w:r>
    </w:p>
    <w:p w14:paraId="50DE11BE" w14:textId="12730D5C" w:rsidR="0099569B" w:rsidRPr="001B6E4D" w:rsidRDefault="002941C7" w:rsidP="003D1018">
      <w:pPr>
        <w:overflowPunct w:val="0"/>
        <w:autoSpaceDE w:val="0"/>
        <w:autoSpaceDN w:val="0"/>
        <w:adjustRightInd w:val="0"/>
        <w:snapToGrid w:val="0"/>
        <w:spacing w:beforeLines="50" w:before="180" w:line="360" w:lineRule="exact"/>
        <w:ind w:leftChars="236" w:left="1133" w:hanging="567"/>
        <w:jc w:val="both"/>
        <w:outlineLvl w:val="3"/>
        <w:rPr>
          <w:rFonts w:ascii="標楷體" w:eastAsia="標楷體" w:hAnsi="標楷體" w:cs="標楷體"/>
          <w:color w:val="000000"/>
          <w:sz w:val="28"/>
          <w:szCs w:val="28"/>
          <w:shd w:val="clear" w:color="auto" w:fill="FFFFFF"/>
        </w:rPr>
      </w:pPr>
      <w:bookmarkStart w:id="48" w:name="_Hlk204615683"/>
      <w:r w:rsidRPr="001B6E4D">
        <w:rPr>
          <w:rFonts w:ascii="標楷體" w:eastAsia="標楷體" w:hAnsi="標楷體" w:cs="標楷體"/>
          <w:color w:val="000000"/>
          <w:sz w:val="28"/>
          <w:szCs w:val="28"/>
          <w:shd w:val="clear" w:color="auto" w:fill="FFFFFF"/>
        </w:rPr>
        <w:t>(</w:t>
      </w:r>
      <w:r w:rsidRPr="001B6E4D">
        <w:rPr>
          <w:rFonts w:ascii="標楷體" w:eastAsia="標楷體" w:hAnsi="標楷體" w:cs="標楷體" w:hint="eastAsia"/>
          <w:color w:val="000000"/>
          <w:sz w:val="28"/>
          <w:szCs w:val="28"/>
          <w:shd w:val="clear" w:color="auto" w:fill="FFFFFF"/>
        </w:rPr>
        <w:t>二</w:t>
      </w:r>
      <w:r w:rsidRPr="001B6E4D">
        <w:rPr>
          <w:rFonts w:ascii="標楷體" w:eastAsia="標楷體" w:hAnsi="標楷體" w:cs="標楷體"/>
          <w:color w:val="000000"/>
          <w:sz w:val="28"/>
          <w:szCs w:val="28"/>
          <w:shd w:val="clear" w:color="auto" w:fill="FFFFFF"/>
        </w:rPr>
        <w:t>)</w:t>
      </w:r>
      <w:r w:rsidR="0099569B" w:rsidRPr="001B6E4D">
        <w:rPr>
          <w:rFonts w:ascii="標楷體" w:eastAsia="標楷體" w:hAnsi="標楷體" w:cs="標楷體" w:hint="eastAsia"/>
          <w:color w:val="000000"/>
          <w:sz w:val="28"/>
          <w:szCs w:val="28"/>
          <w:shd w:val="clear" w:color="auto" w:fill="FFFFFF"/>
        </w:rPr>
        <w:t>11</w:t>
      </w:r>
      <w:r w:rsidR="005F3DE9" w:rsidRPr="001B6E4D">
        <w:rPr>
          <w:rFonts w:ascii="標楷體" w:eastAsia="標楷體" w:hAnsi="標楷體" w:cs="標楷體" w:hint="eastAsia"/>
          <w:color w:val="000000"/>
          <w:sz w:val="28"/>
          <w:szCs w:val="28"/>
          <w:shd w:val="clear" w:color="auto" w:fill="FFFFFF"/>
        </w:rPr>
        <w:t>5</w:t>
      </w:r>
      <w:r w:rsidR="0099569B" w:rsidRPr="001B6E4D">
        <w:rPr>
          <w:rFonts w:ascii="標楷體" w:eastAsia="標楷體" w:hAnsi="標楷體" w:cs="標楷體" w:hint="eastAsia"/>
          <w:color w:val="000000"/>
          <w:sz w:val="28"/>
          <w:szCs w:val="28"/>
          <w:shd w:val="clear" w:color="auto" w:fill="FFFFFF"/>
        </w:rPr>
        <w:t>年</w:t>
      </w:r>
      <w:r w:rsidR="005F3DE9" w:rsidRPr="001B6E4D">
        <w:rPr>
          <w:rFonts w:ascii="標楷體" w:eastAsia="標楷體" w:hAnsi="標楷體" w:cs="標楷體" w:hint="eastAsia"/>
          <w:color w:val="000000"/>
          <w:sz w:val="28"/>
          <w:szCs w:val="28"/>
          <w:shd w:val="clear" w:color="auto" w:fill="FFFFFF"/>
        </w:rPr>
        <w:t>8</w:t>
      </w:r>
      <w:r w:rsidR="0099569B" w:rsidRPr="001B6E4D">
        <w:rPr>
          <w:rFonts w:ascii="標楷體" w:eastAsia="標楷體" w:hAnsi="標楷體" w:cs="標楷體" w:hint="eastAsia"/>
          <w:color w:val="000000"/>
          <w:sz w:val="28"/>
          <w:szCs w:val="28"/>
          <w:shd w:val="clear" w:color="auto" w:fill="FFFFFF"/>
        </w:rPr>
        <w:t>月</w:t>
      </w:r>
      <w:r w:rsidR="005F3DE9" w:rsidRPr="001B6E4D">
        <w:rPr>
          <w:rFonts w:ascii="標楷體" w:eastAsia="標楷體" w:hAnsi="標楷體" w:cs="標楷體" w:hint="eastAsia"/>
          <w:color w:val="000000"/>
          <w:sz w:val="28"/>
          <w:szCs w:val="28"/>
          <w:shd w:val="clear" w:color="auto" w:fill="FFFFFF"/>
        </w:rPr>
        <w:t>3</w:t>
      </w:r>
      <w:r w:rsidR="0099569B" w:rsidRPr="001B6E4D">
        <w:rPr>
          <w:rFonts w:ascii="標楷體" w:eastAsia="標楷體" w:hAnsi="標楷體" w:cs="標楷體" w:hint="eastAsia"/>
          <w:color w:val="000000"/>
          <w:sz w:val="28"/>
          <w:szCs w:val="28"/>
          <w:shd w:val="clear" w:color="auto" w:fill="FFFFFF"/>
        </w:rPr>
        <w:t>日（星期</w:t>
      </w:r>
      <w:r w:rsidR="005F3DE9" w:rsidRPr="001B6E4D">
        <w:rPr>
          <w:rFonts w:ascii="標楷體" w:eastAsia="標楷體" w:hAnsi="標楷體" w:cs="標楷體" w:hint="eastAsia"/>
          <w:color w:val="000000"/>
          <w:sz w:val="28"/>
          <w:szCs w:val="28"/>
          <w:shd w:val="clear" w:color="auto" w:fill="FFFFFF"/>
        </w:rPr>
        <w:t>一</w:t>
      </w:r>
      <w:r w:rsidR="0099569B" w:rsidRPr="001B6E4D">
        <w:rPr>
          <w:rFonts w:ascii="標楷體" w:eastAsia="標楷體" w:hAnsi="標楷體" w:cs="標楷體" w:hint="eastAsia"/>
          <w:color w:val="000000"/>
          <w:sz w:val="28"/>
          <w:szCs w:val="28"/>
          <w:shd w:val="clear" w:color="auto" w:fill="FFFFFF"/>
        </w:rPr>
        <w:t>）</w:t>
      </w:r>
      <w:r w:rsidR="0099569B" w:rsidRPr="001B6E4D">
        <w:rPr>
          <w:rFonts w:ascii="標楷體" w:eastAsia="標楷體" w:hAnsi="標楷體" w:hint="eastAsia"/>
          <w:color w:val="000000"/>
          <w:sz w:val="28"/>
          <w:szCs w:val="28"/>
          <w:shd w:val="clear" w:color="auto" w:fill="FFFFFF"/>
        </w:rPr>
        <w:t>舉行</w:t>
      </w:r>
      <w:r w:rsidR="005F3DE9" w:rsidRPr="001B6E4D">
        <w:rPr>
          <w:rFonts w:ascii="標楷體" w:eastAsia="標楷體" w:hAnsi="標楷體" w:hint="eastAsia"/>
          <w:color w:val="000000"/>
          <w:sz w:val="28"/>
          <w:szCs w:val="28"/>
          <w:shd w:val="clear" w:color="auto" w:fill="FFFFFF"/>
        </w:rPr>
        <w:t>「軍公教待遇調整法制化與人事制度變革」公聽會</w:t>
      </w:r>
      <w:r w:rsidR="0099569B" w:rsidRPr="001B6E4D">
        <w:rPr>
          <w:rFonts w:ascii="標楷體" w:eastAsia="標楷體" w:hAnsi="標楷體" w:hint="eastAsia"/>
          <w:color w:val="000000"/>
          <w:sz w:val="28"/>
          <w:szCs w:val="28"/>
          <w:shd w:val="clear" w:color="auto" w:fill="FFFFFF"/>
        </w:rPr>
        <w:t>。</w:t>
      </w:r>
      <w:bookmarkEnd w:id="45"/>
      <w:bookmarkEnd w:id="46"/>
    </w:p>
    <w:p w14:paraId="725B77FE" w14:textId="273B3B6F" w:rsidR="0099569B" w:rsidRPr="001B6E4D" w:rsidRDefault="0099569B" w:rsidP="003D1018">
      <w:pPr>
        <w:overflowPunct w:val="0"/>
        <w:adjustRightInd w:val="0"/>
        <w:snapToGrid w:val="0"/>
        <w:spacing w:line="360" w:lineRule="exact"/>
        <w:ind w:leftChars="460" w:left="1412" w:rightChars="12" w:right="29" w:hangingChars="110" w:hanging="308"/>
        <w:jc w:val="both"/>
        <w:rPr>
          <w:rFonts w:ascii="標楷體" w:eastAsia="標楷體" w:hAnsi="標楷體"/>
          <w:color w:val="000000"/>
          <w:sz w:val="28"/>
          <w:szCs w:val="28"/>
          <w:shd w:val="clear" w:color="auto" w:fill="FFFFFF"/>
        </w:rPr>
      </w:pPr>
      <w:bookmarkStart w:id="49" w:name="_Hlk204616216"/>
      <w:bookmarkEnd w:id="48"/>
      <w:r w:rsidRPr="001B6E4D">
        <w:rPr>
          <w:rFonts w:ascii="標楷體" w:eastAsia="標楷體" w:hAnsi="標楷體"/>
          <w:color w:val="000000"/>
          <w:sz w:val="28"/>
          <w:szCs w:val="28"/>
          <w:shd w:val="clear" w:color="auto" w:fill="FFFFFF"/>
        </w:rPr>
        <w:t>1.主席：</w:t>
      </w:r>
      <w:r w:rsidR="003B5F38" w:rsidRPr="001B6E4D">
        <w:rPr>
          <w:rFonts w:ascii="標楷體" w:eastAsia="標楷體" w:hAnsi="標楷體" w:hint="eastAsia"/>
          <w:color w:val="000000"/>
          <w:sz w:val="28"/>
          <w:szCs w:val="28"/>
          <w:shd w:val="clear" w:color="auto" w:fill="FFFFFF"/>
        </w:rPr>
        <w:t>翁召集委員曉玲</w:t>
      </w:r>
    </w:p>
    <w:p w14:paraId="3A174089" w14:textId="2663E76B" w:rsidR="0099569B" w:rsidRPr="001B6E4D" w:rsidRDefault="0099569B" w:rsidP="003D1018">
      <w:pPr>
        <w:overflowPunct w:val="0"/>
        <w:adjustRightInd w:val="0"/>
        <w:snapToGrid w:val="0"/>
        <w:spacing w:line="360" w:lineRule="exact"/>
        <w:ind w:leftChars="460" w:left="1412" w:rightChars="12" w:right="29" w:hangingChars="110" w:hanging="308"/>
        <w:jc w:val="both"/>
        <w:rPr>
          <w:rFonts w:ascii="標楷體" w:eastAsia="標楷體" w:hAnsi="標楷體"/>
          <w:color w:val="000000"/>
          <w:sz w:val="28"/>
          <w:szCs w:val="28"/>
          <w:shd w:val="clear" w:color="auto" w:fill="FFFFFF"/>
        </w:rPr>
      </w:pPr>
      <w:r w:rsidRPr="001B6E4D">
        <w:rPr>
          <w:rFonts w:ascii="標楷體" w:eastAsia="標楷體" w:hAnsi="標楷體" w:hint="eastAsia"/>
          <w:color w:val="000000"/>
          <w:sz w:val="28"/>
          <w:szCs w:val="28"/>
          <w:shd w:val="clear" w:color="auto" w:fill="FFFFFF"/>
        </w:rPr>
        <w:t>2.討論提</w:t>
      </w:r>
      <w:r w:rsidRPr="001B6E4D">
        <w:rPr>
          <w:rFonts w:ascii="標楷體" w:eastAsia="標楷體" w:hAnsi="標楷體"/>
          <w:color w:val="000000"/>
          <w:sz w:val="28"/>
          <w:szCs w:val="28"/>
          <w:shd w:val="clear" w:color="auto" w:fill="FFFFFF"/>
        </w:rPr>
        <w:t>綱</w:t>
      </w:r>
      <w:r w:rsidRPr="001B6E4D">
        <w:rPr>
          <w:rFonts w:ascii="標楷體" w:eastAsia="標楷體" w:hAnsi="標楷體" w:hint="eastAsia"/>
          <w:color w:val="000000"/>
          <w:sz w:val="28"/>
          <w:szCs w:val="28"/>
          <w:shd w:val="clear" w:color="auto" w:fill="FFFFFF"/>
        </w:rPr>
        <w:t>，內容如下</w:t>
      </w:r>
      <w:r w:rsidRPr="001B6E4D">
        <w:rPr>
          <w:rFonts w:ascii="標楷體" w:eastAsia="標楷體" w:hAnsi="標楷體"/>
          <w:color w:val="000000"/>
          <w:sz w:val="28"/>
          <w:szCs w:val="28"/>
          <w:shd w:val="clear" w:color="auto" w:fill="FFFFFF"/>
        </w:rPr>
        <w:t>：</w:t>
      </w:r>
    </w:p>
    <w:p w14:paraId="61B1C265" w14:textId="67201AB1" w:rsidR="003B5F38" w:rsidRPr="001B6E4D" w:rsidRDefault="003B5F38" w:rsidP="003D1018">
      <w:pPr>
        <w:tabs>
          <w:tab w:val="left" w:pos="1843"/>
        </w:tabs>
        <w:overflowPunct w:val="0"/>
        <w:adjustRightInd w:val="0"/>
        <w:snapToGrid w:val="0"/>
        <w:spacing w:line="360" w:lineRule="exact"/>
        <w:ind w:leftChars="565" w:left="1356" w:rightChars="12" w:right="29"/>
        <w:jc w:val="both"/>
        <w:rPr>
          <w:rFonts w:ascii="標楷體" w:eastAsia="標楷體" w:hAnsi="標楷體"/>
          <w:color w:val="000000"/>
          <w:sz w:val="28"/>
          <w:szCs w:val="28"/>
          <w:shd w:val="clear" w:color="auto" w:fill="FFFFFF"/>
        </w:rPr>
      </w:pPr>
      <w:r w:rsidRPr="001B6E4D">
        <w:rPr>
          <w:rFonts w:ascii="標楷體" w:eastAsia="標楷體" w:hAnsi="標楷體" w:hint="eastAsia"/>
          <w:color w:val="000000"/>
          <w:sz w:val="28"/>
          <w:szCs w:val="28"/>
          <w:shd w:val="clear" w:color="auto" w:fill="FFFFFF"/>
        </w:rPr>
        <w:t xml:space="preserve">   </w:t>
      </w:r>
      <w:r w:rsidR="00FF0156" w:rsidRPr="001B6E4D">
        <w:rPr>
          <w:rFonts w:ascii="標楷體" w:eastAsia="標楷體" w:hAnsi="標楷體" w:hint="eastAsia"/>
          <w:color w:val="000000"/>
          <w:sz w:val="28"/>
          <w:szCs w:val="28"/>
          <w:shd w:val="clear" w:color="auto" w:fill="FFFFFF"/>
        </w:rPr>
        <w:t xml:space="preserve"> </w:t>
      </w:r>
      <w:r w:rsidR="005F3DE9" w:rsidRPr="001B6E4D">
        <w:rPr>
          <w:rFonts w:ascii="標楷體" w:eastAsia="標楷體" w:hAnsi="標楷體" w:hint="eastAsia"/>
          <w:color w:val="000000"/>
          <w:sz w:val="28"/>
          <w:szCs w:val="28"/>
          <w:shd w:val="clear" w:color="auto" w:fill="FFFFFF"/>
        </w:rPr>
        <w:t>軍公教人員為國家施政與公共服務之骨幹，其人事權益與法制完備性，直接</w:t>
      </w:r>
      <w:proofErr w:type="gramStart"/>
      <w:r w:rsidR="005F3DE9" w:rsidRPr="001B6E4D">
        <w:rPr>
          <w:rFonts w:ascii="標楷體" w:eastAsia="標楷體" w:hAnsi="標楷體" w:hint="eastAsia"/>
          <w:color w:val="000000"/>
          <w:sz w:val="28"/>
          <w:szCs w:val="28"/>
          <w:shd w:val="clear" w:color="auto" w:fill="FFFFFF"/>
        </w:rPr>
        <w:t>攸</w:t>
      </w:r>
      <w:proofErr w:type="gramEnd"/>
      <w:r w:rsidR="005F3DE9" w:rsidRPr="001B6E4D">
        <w:rPr>
          <w:rFonts w:ascii="標楷體" w:eastAsia="標楷體" w:hAnsi="標楷體" w:hint="eastAsia"/>
          <w:color w:val="000000"/>
          <w:sz w:val="28"/>
          <w:szCs w:val="28"/>
          <w:shd w:val="clear" w:color="auto" w:fill="FFFFFF"/>
        </w:rPr>
        <w:t>關文官體系的專業穩定、施政效能以及國家整體競爭力。近年來，公務人員離職率居高不下，我們正面臨嚴重的國家治理與空轉危機，宜重新檢視現行人事制度，從「待遇調整法制化」、「考績與懲戒機制改革」及「升遷任用管道優化」三大核心議題進行深入研討，</w:t>
      </w:r>
      <w:proofErr w:type="gramStart"/>
      <w:r w:rsidR="005F3DE9" w:rsidRPr="001B6E4D">
        <w:rPr>
          <w:rFonts w:ascii="標楷體" w:eastAsia="標楷體" w:hAnsi="標楷體" w:hint="eastAsia"/>
          <w:color w:val="000000"/>
          <w:sz w:val="28"/>
          <w:szCs w:val="28"/>
          <w:shd w:val="clear" w:color="auto" w:fill="FFFFFF"/>
        </w:rPr>
        <w:t>釐</w:t>
      </w:r>
      <w:proofErr w:type="gramEnd"/>
      <w:r w:rsidR="005F3DE9" w:rsidRPr="001B6E4D">
        <w:rPr>
          <w:rFonts w:ascii="標楷體" w:eastAsia="標楷體" w:hAnsi="標楷體" w:hint="eastAsia"/>
          <w:color w:val="000000"/>
          <w:sz w:val="28"/>
          <w:szCs w:val="28"/>
          <w:shd w:val="clear" w:color="auto" w:fill="FFFFFF"/>
        </w:rPr>
        <w:t>清法理爭點，集思廣益，以作為後續推動相關法案修正與政策改進之</w:t>
      </w:r>
      <w:proofErr w:type="gramStart"/>
      <w:r w:rsidR="005F3DE9" w:rsidRPr="001B6E4D">
        <w:rPr>
          <w:rFonts w:ascii="標楷體" w:eastAsia="標楷體" w:hAnsi="標楷體" w:hint="eastAsia"/>
          <w:color w:val="000000"/>
          <w:sz w:val="28"/>
          <w:szCs w:val="28"/>
          <w:shd w:val="clear" w:color="auto" w:fill="FFFFFF"/>
        </w:rPr>
        <w:t>重要參據</w:t>
      </w:r>
      <w:proofErr w:type="gramEnd"/>
      <w:r w:rsidR="005F3DE9" w:rsidRPr="001B6E4D">
        <w:rPr>
          <w:rFonts w:ascii="標楷體" w:eastAsia="標楷體" w:hAnsi="標楷體" w:hint="eastAsia"/>
          <w:color w:val="000000"/>
          <w:sz w:val="28"/>
          <w:szCs w:val="28"/>
          <w:shd w:val="clear" w:color="auto" w:fill="FFFFFF"/>
        </w:rPr>
        <w:t>。</w:t>
      </w:r>
    </w:p>
    <w:p w14:paraId="2913ABF3" w14:textId="3F8F2CCB" w:rsidR="0099569B" w:rsidRPr="001B6E4D" w:rsidRDefault="00970F56" w:rsidP="003D1018">
      <w:pPr>
        <w:overflowPunct w:val="0"/>
        <w:adjustRightInd w:val="0"/>
        <w:snapToGrid w:val="0"/>
        <w:spacing w:line="360" w:lineRule="exact"/>
        <w:ind w:leftChars="565" w:left="1923" w:rightChars="12" w:right="29" w:hanging="567"/>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rPr>
        <w:t>一、</w:t>
      </w:r>
      <w:r w:rsidRPr="001B6E4D">
        <w:rPr>
          <w:rFonts w:ascii="標楷體" w:eastAsia="標楷體" w:hAnsi="標楷體" w:hint="eastAsia"/>
          <w:bCs/>
          <w:color w:val="000000"/>
          <w:sz w:val="28"/>
          <w:szCs w:val="28"/>
          <w:shd w:val="clear" w:color="auto" w:fill="FFFFFF"/>
        </w:rPr>
        <w:t>軍公教人員待遇調整法制化與權益保障</w:t>
      </w:r>
    </w:p>
    <w:p w14:paraId="77B66545" w14:textId="2F441541" w:rsidR="00970F56" w:rsidRPr="001B6E4D" w:rsidRDefault="00970F56" w:rsidP="003D1018">
      <w:pPr>
        <w:overflowPunct w:val="0"/>
        <w:adjustRightInd w:val="0"/>
        <w:snapToGrid w:val="0"/>
        <w:spacing w:line="360" w:lineRule="exact"/>
        <w:ind w:leftChars="565" w:left="1923" w:rightChars="12" w:right="29" w:hanging="567"/>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shd w:val="clear" w:color="auto" w:fill="FFFFFF"/>
        </w:rPr>
        <w:t xml:space="preserve">   </w:t>
      </w:r>
      <w:r w:rsidR="00FF0156" w:rsidRPr="001B6E4D">
        <w:rPr>
          <w:rFonts w:ascii="標楷體" w:eastAsia="標楷體" w:hAnsi="標楷體" w:hint="eastAsia"/>
          <w:bCs/>
          <w:color w:val="000000"/>
          <w:sz w:val="28"/>
          <w:szCs w:val="28"/>
          <w:shd w:val="clear" w:color="auto" w:fill="FFFFFF"/>
        </w:rPr>
        <w:t xml:space="preserve"> </w:t>
      </w:r>
      <w:r w:rsidRPr="001B6E4D">
        <w:rPr>
          <w:rFonts w:ascii="標楷體" w:eastAsia="標楷體" w:hAnsi="標楷體" w:hint="eastAsia"/>
          <w:bCs/>
          <w:color w:val="000000"/>
          <w:sz w:val="28"/>
          <w:szCs w:val="28"/>
          <w:shd w:val="clear" w:color="auto" w:fill="FFFFFF"/>
        </w:rPr>
        <w:t>現行待遇調整機制運作多年，然界定權責與決策流程常引發討論。制度化的關鍵在於建立客觀調薪指標，以及各界代表參與之合理比例。</w:t>
      </w:r>
    </w:p>
    <w:p w14:paraId="2B58025A" w14:textId="77777777" w:rsidR="00970F56" w:rsidRPr="001B6E4D" w:rsidRDefault="00970F56" w:rsidP="003D1018">
      <w:pPr>
        <w:overflowPunct w:val="0"/>
        <w:adjustRightInd w:val="0"/>
        <w:snapToGrid w:val="0"/>
        <w:spacing w:line="360" w:lineRule="exact"/>
        <w:ind w:leftChars="565" w:left="1980" w:rightChars="12" w:right="29" w:hanging="624"/>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shd w:val="clear" w:color="auto" w:fill="FFFFFF"/>
        </w:rPr>
        <w:t>(</w:t>
      </w:r>
      <w:proofErr w:type="gramStart"/>
      <w:r w:rsidRPr="001B6E4D">
        <w:rPr>
          <w:rFonts w:ascii="標楷體" w:eastAsia="標楷體" w:hAnsi="標楷體" w:hint="eastAsia"/>
          <w:bCs/>
          <w:color w:val="000000"/>
          <w:sz w:val="28"/>
          <w:szCs w:val="28"/>
          <w:shd w:val="clear" w:color="auto" w:fill="FFFFFF"/>
        </w:rPr>
        <w:t>一</w:t>
      </w:r>
      <w:proofErr w:type="gramEnd"/>
      <w:r w:rsidRPr="001B6E4D">
        <w:rPr>
          <w:rFonts w:ascii="標楷體" w:eastAsia="標楷體" w:hAnsi="標楷體" w:hint="eastAsia"/>
          <w:bCs/>
          <w:color w:val="000000"/>
          <w:sz w:val="28"/>
          <w:szCs w:val="28"/>
          <w:shd w:val="clear" w:color="auto" w:fill="FFFFFF"/>
        </w:rPr>
        <w:t>)</w:t>
      </w:r>
      <w:r w:rsidRPr="001B6E4D">
        <w:rPr>
          <w:rFonts w:ascii="標楷體" w:eastAsia="標楷體" w:hAnsi="標楷體" w:hint="eastAsia"/>
          <w:bCs/>
          <w:color w:val="000000"/>
          <w:sz w:val="28"/>
          <w:szCs w:val="28"/>
          <w:shd w:val="clear" w:color="auto" w:fill="FFFFFF"/>
        </w:rPr>
        <w:tab/>
        <w:t>審議組織代表性：軍公教待遇審議委員會之組織結構應如何調整？如何適當納入軍公教員工代表（或團體代表）、學者專家及財政經濟專業人士，以確保審議過程之公開、透明與中立？</w:t>
      </w:r>
    </w:p>
    <w:p w14:paraId="51A89F91" w14:textId="6A5EFAF4" w:rsidR="00970F56" w:rsidRPr="001B6E4D" w:rsidRDefault="00970F56" w:rsidP="003D1018">
      <w:pPr>
        <w:overflowPunct w:val="0"/>
        <w:adjustRightInd w:val="0"/>
        <w:snapToGrid w:val="0"/>
        <w:spacing w:line="360" w:lineRule="exact"/>
        <w:ind w:leftChars="565" w:left="1980" w:rightChars="12" w:right="29" w:hanging="624"/>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shd w:val="clear" w:color="auto" w:fill="FFFFFF"/>
        </w:rPr>
        <w:t>(二)</w:t>
      </w:r>
      <w:r w:rsidRPr="001B6E4D">
        <w:rPr>
          <w:rFonts w:ascii="標楷體" w:eastAsia="標楷體" w:hAnsi="標楷體" w:hint="eastAsia"/>
          <w:bCs/>
          <w:color w:val="000000"/>
          <w:sz w:val="28"/>
          <w:szCs w:val="28"/>
          <w:shd w:val="clear" w:color="auto" w:fill="FFFFFF"/>
        </w:rPr>
        <w:tab/>
        <w:t>調薪決定權歸屬與指標：待遇調整決策權應落實於行政院最終裁決，抑或建立定期依經濟成長率、CPI（消費者物價指數）、實質薪資成長率等客觀數據「自動啟動/調整」之法定公式？</w:t>
      </w:r>
    </w:p>
    <w:p w14:paraId="6C1F7A05" w14:textId="77777777" w:rsidR="00970F56" w:rsidRPr="001B6E4D" w:rsidRDefault="00970F56" w:rsidP="003D1018">
      <w:pPr>
        <w:overflowPunct w:val="0"/>
        <w:adjustRightInd w:val="0"/>
        <w:snapToGrid w:val="0"/>
        <w:spacing w:line="360" w:lineRule="exact"/>
        <w:ind w:leftChars="565" w:left="1923" w:rightChars="12" w:right="29" w:hanging="567"/>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shd w:val="clear" w:color="auto" w:fill="FFFFFF"/>
        </w:rPr>
        <w:t>二、公務人員考績制度改革與懲戒懲處機制</w:t>
      </w:r>
      <w:proofErr w:type="gramStart"/>
      <w:r w:rsidRPr="001B6E4D">
        <w:rPr>
          <w:rFonts w:ascii="標楷體" w:eastAsia="標楷體" w:hAnsi="標楷體" w:hint="eastAsia"/>
          <w:bCs/>
          <w:color w:val="000000"/>
          <w:sz w:val="28"/>
          <w:szCs w:val="28"/>
          <w:shd w:val="clear" w:color="auto" w:fill="FFFFFF"/>
        </w:rPr>
        <w:t>釐</w:t>
      </w:r>
      <w:proofErr w:type="gramEnd"/>
      <w:r w:rsidRPr="001B6E4D">
        <w:rPr>
          <w:rFonts w:ascii="標楷體" w:eastAsia="標楷體" w:hAnsi="標楷體" w:hint="eastAsia"/>
          <w:bCs/>
          <w:color w:val="000000"/>
          <w:sz w:val="28"/>
          <w:szCs w:val="28"/>
          <w:shd w:val="clear" w:color="auto" w:fill="FFFFFF"/>
        </w:rPr>
        <w:t>清</w:t>
      </w:r>
    </w:p>
    <w:p w14:paraId="0E98F925" w14:textId="10C24BCB" w:rsidR="00970F56" w:rsidRPr="001B6E4D" w:rsidRDefault="0073197D" w:rsidP="003D1018">
      <w:pPr>
        <w:overflowPunct w:val="0"/>
        <w:adjustRightInd w:val="0"/>
        <w:snapToGrid w:val="0"/>
        <w:spacing w:line="360" w:lineRule="exact"/>
        <w:ind w:leftChars="565" w:left="1923" w:rightChars="12" w:right="29" w:hanging="567"/>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shd w:val="clear" w:color="auto" w:fill="FFFFFF"/>
        </w:rPr>
        <w:t xml:space="preserve">    </w:t>
      </w:r>
      <w:r w:rsidR="00970F56" w:rsidRPr="001B6E4D">
        <w:rPr>
          <w:rFonts w:ascii="標楷體" w:eastAsia="標楷體" w:hAnsi="標楷體" w:hint="eastAsia"/>
          <w:bCs/>
          <w:color w:val="000000"/>
          <w:sz w:val="28"/>
          <w:szCs w:val="28"/>
          <w:shd w:val="clear" w:color="auto" w:fill="FFFFFF"/>
        </w:rPr>
        <w:t>考績制度</w:t>
      </w:r>
      <w:proofErr w:type="gramStart"/>
      <w:r w:rsidR="00970F56" w:rsidRPr="001B6E4D">
        <w:rPr>
          <w:rFonts w:ascii="標楷體" w:eastAsia="標楷體" w:hAnsi="標楷體" w:hint="eastAsia"/>
          <w:bCs/>
          <w:color w:val="000000"/>
          <w:sz w:val="28"/>
          <w:szCs w:val="28"/>
          <w:shd w:val="clear" w:color="auto" w:fill="FFFFFF"/>
        </w:rPr>
        <w:t>攸</w:t>
      </w:r>
      <w:proofErr w:type="gramEnd"/>
      <w:r w:rsidR="00970F56" w:rsidRPr="001B6E4D">
        <w:rPr>
          <w:rFonts w:ascii="標楷體" w:eastAsia="標楷體" w:hAnsi="標楷體" w:hint="eastAsia"/>
          <w:bCs/>
          <w:color w:val="000000"/>
          <w:sz w:val="28"/>
          <w:szCs w:val="28"/>
          <w:shd w:val="clear" w:color="auto" w:fill="FFFFFF"/>
        </w:rPr>
        <w:t>關公務員考績等第比率、升遷與獎懲，「等第變動」與「考績評等與懲戒/懲處範圍之劃分」尚存諸多疑慮。</w:t>
      </w:r>
    </w:p>
    <w:p w14:paraId="1D9AC680" w14:textId="77777777" w:rsidR="00970F56" w:rsidRPr="001B6E4D" w:rsidRDefault="00970F56" w:rsidP="003D1018">
      <w:pPr>
        <w:overflowPunct w:val="0"/>
        <w:adjustRightInd w:val="0"/>
        <w:snapToGrid w:val="0"/>
        <w:spacing w:line="360" w:lineRule="exact"/>
        <w:ind w:leftChars="565" w:left="1980" w:rightChars="12" w:right="29" w:hanging="624"/>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shd w:val="clear" w:color="auto" w:fill="FFFFFF"/>
        </w:rPr>
        <w:lastRenderedPageBreak/>
        <w:t>(</w:t>
      </w:r>
      <w:proofErr w:type="gramStart"/>
      <w:r w:rsidRPr="001B6E4D">
        <w:rPr>
          <w:rFonts w:ascii="標楷體" w:eastAsia="標楷體" w:hAnsi="標楷體" w:hint="eastAsia"/>
          <w:bCs/>
          <w:color w:val="000000"/>
          <w:sz w:val="28"/>
          <w:szCs w:val="28"/>
          <w:shd w:val="clear" w:color="auto" w:fill="FFFFFF"/>
        </w:rPr>
        <w:t>一</w:t>
      </w:r>
      <w:proofErr w:type="gramEnd"/>
      <w:r w:rsidRPr="001B6E4D">
        <w:rPr>
          <w:rFonts w:ascii="標楷體" w:eastAsia="標楷體" w:hAnsi="標楷體" w:hint="eastAsia"/>
          <w:bCs/>
          <w:color w:val="000000"/>
          <w:sz w:val="28"/>
          <w:szCs w:val="28"/>
          <w:shd w:val="clear" w:color="auto" w:fill="FFFFFF"/>
        </w:rPr>
        <w:t>)</w:t>
      </w:r>
      <w:r w:rsidRPr="001B6E4D">
        <w:rPr>
          <w:rFonts w:ascii="標楷體" w:eastAsia="標楷體" w:hAnsi="標楷體" w:hint="eastAsia"/>
          <w:bCs/>
          <w:color w:val="000000"/>
          <w:sz w:val="28"/>
          <w:szCs w:val="28"/>
          <w:shd w:val="clear" w:color="auto" w:fill="FFFFFF"/>
        </w:rPr>
        <w:tab/>
        <w:t>考績等第與比率結構：草案能否改變現行考績僵化「</w:t>
      </w:r>
      <w:proofErr w:type="gramStart"/>
      <w:r w:rsidRPr="001B6E4D">
        <w:rPr>
          <w:rFonts w:ascii="標楷體" w:eastAsia="標楷體" w:hAnsi="標楷體" w:hint="eastAsia"/>
          <w:bCs/>
          <w:color w:val="000000"/>
          <w:sz w:val="28"/>
          <w:szCs w:val="28"/>
          <w:shd w:val="clear" w:color="auto" w:fill="FFFFFF"/>
        </w:rPr>
        <w:t>輪流吃乙</w:t>
      </w:r>
      <w:proofErr w:type="gramEnd"/>
      <w:r w:rsidRPr="001B6E4D">
        <w:rPr>
          <w:rFonts w:ascii="標楷體" w:eastAsia="標楷體" w:hAnsi="標楷體" w:hint="eastAsia"/>
          <w:bCs/>
          <w:color w:val="000000"/>
          <w:sz w:val="28"/>
          <w:szCs w:val="28"/>
          <w:shd w:val="clear" w:color="auto" w:fill="FFFFFF"/>
        </w:rPr>
        <w:t>」現象？是否造成評等扁平化？主觀裁量是否過重？</w:t>
      </w:r>
    </w:p>
    <w:p w14:paraId="55BDEFF8" w14:textId="77777777" w:rsidR="00970F56" w:rsidRPr="001B6E4D" w:rsidRDefault="00970F56" w:rsidP="003D1018">
      <w:pPr>
        <w:overflowPunct w:val="0"/>
        <w:adjustRightInd w:val="0"/>
        <w:snapToGrid w:val="0"/>
        <w:spacing w:line="360" w:lineRule="exact"/>
        <w:ind w:leftChars="565" w:left="1980" w:rightChars="12" w:right="29" w:hanging="624"/>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shd w:val="clear" w:color="auto" w:fill="FFFFFF"/>
        </w:rPr>
        <w:t>(二)</w:t>
      </w:r>
      <w:r w:rsidRPr="001B6E4D">
        <w:rPr>
          <w:rFonts w:ascii="標楷體" w:eastAsia="標楷體" w:hAnsi="標楷體" w:hint="eastAsia"/>
          <w:bCs/>
          <w:color w:val="000000"/>
          <w:sz w:val="28"/>
          <w:szCs w:val="28"/>
          <w:shd w:val="clear" w:color="auto" w:fill="FFFFFF"/>
        </w:rPr>
        <w:tab/>
        <w:t>懲戒與懲處範圍界定：考績委員會之「免職/剝奪身分」等重大懲處，與司法院懲戒法院之「懲戒」審判權界線應如何劃分？如何避免行政懲處與司法懲戒權限重疊或標準不一之問題？</w:t>
      </w:r>
    </w:p>
    <w:p w14:paraId="72ABE444" w14:textId="77777777" w:rsidR="00970F56" w:rsidRPr="001B6E4D" w:rsidRDefault="00970F56" w:rsidP="003D1018">
      <w:pPr>
        <w:overflowPunct w:val="0"/>
        <w:adjustRightInd w:val="0"/>
        <w:snapToGrid w:val="0"/>
        <w:spacing w:line="360" w:lineRule="exact"/>
        <w:ind w:leftChars="565" w:left="1923" w:rightChars="12" w:right="29" w:hanging="567"/>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shd w:val="clear" w:color="auto" w:fill="FFFFFF"/>
        </w:rPr>
        <w:t>三、公務人員任用制度與多元升遷管道</w:t>
      </w:r>
    </w:p>
    <w:p w14:paraId="4761097A" w14:textId="7FEADE6D" w:rsidR="00970F56" w:rsidRPr="001B6E4D" w:rsidRDefault="00A612AB" w:rsidP="003D1018">
      <w:pPr>
        <w:overflowPunct w:val="0"/>
        <w:adjustRightInd w:val="0"/>
        <w:snapToGrid w:val="0"/>
        <w:spacing w:line="360" w:lineRule="exact"/>
        <w:ind w:leftChars="565" w:left="1923" w:rightChars="12" w:right="29" w:hanging="567"/>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shd w:val="clear" w:color="auto" w:fill="FFFFFF"/>
        </w:rPr>
        <w:t xml:space="preserve">    </w:t>
      </w:r>
      <w:r w:rsidR="00970F56" w:rsidRPr="001B6E4D">
        <w:rPr>
          <w:rFonts w:ascii="標楷體" w:eastAsia="標楷體" w:hAnsi="標楷體" w:hint="eastAsia"/>
          <w:bCs/>
          <w:color w:val="000000"/>
          <w:sz w:val="28"/>
          <w:szCs w:val="28"/>
          <w:shd w:val="clear" w:color="auto" w:fill="FFFFFF"/>
        </w:rPr>
        <w:t>現行「</w:t>
      </w:r>
      <w:proofErr w:type="gramStart"/>
      <w:r w:rsidR="00970F56" w:rsidRPr="001B6E4D">
        <w:rPr>
          <w:rFonts w:ascii="標楷體" w:eastAsia="標楷體" w:hAnsi="標楷體" w:hint="eastAsia"/>
          <w:bCs/>
          <w:color w:val="000000"/>
          <w:sz w:val="28"/>
          <w:szCs w:val="28"/>
          <w:shd w:val="clear" w:color="auto" w:fill="FFFFFF"/>
        </w:rPr>
        <w:t>薦任升等</w:t>
      </w:r>
      <w:proofErr w:type="gramEnd"/>
      <w:r w:rsidR="00970F56" w:rsidRPr="001B6E4D">
        <w:rPr>
          <w:rFonts w:ascii="標楷體" w:eastAsia="標楷體" w:hAnsi="標楷體" w:hint="eastAsia"/>
          <w:bCs/>
          <w:color w:val="000000"/>
          <w:sz w:val="28"/>
          <w:szCs w:val="28"/>
          <w:shd w:val="clear" w:color="auto" w:fill="FFFFFF"/>
        </w:rPr>
        <w:t>簡任」多需通過受訓制度（薦升簡訓練）。針對具備豐富實務經驗或特殊專業之</w:t>
      </w:r>
      <w:proofErr w:type="gramStart"/>
      <w:r w:rsidR="00970F56" w:rsidRPr="001B6E4D">
        <w:rPr>
          <w:rFonts w:ascii="標楷體" w:eastAsia="標楷體" w:hAnsi="標楷體" w:hint="eastAsia"/>
          <w:bCs/>
          <w:color w:val="000000"/>
          <w:sz w:val="28"/>
          <w:szCs w:val="28"/>
          <w:shd w:val="clear" w:color="auto" w:fill="FFFFFF"/>
        </w:rPr>
        <w:t>資深薦</w:t>
      </w:r>
      <w:proofErr w:type="gramEnd"/>
      <w:r w:rsidR="00970F56" w:rsidRPr="001B6E4D">
        <w:rPr>
          <w:rFonts w:ascii="標楷體" w:eastAsia="標楷體" w:hAnsi="標楷體" w:hint="eastAsia"/>
          <w:bCs/>
          <w:color w:val="000000"/>
          <w:sz w:val="28"/>
          <w:szCs w:val="28"/>
          <w:shd w:val="clear" w:color="auto" w:fill="FFFFFF"/>
        </w:rPr>
        <w:t>任人員，是否開放特定條件下「免經訓練」直接晉升，各界意見不一。</w:t>
      </w:r>
    </w:p>
    <w:p w14:paraId="70B56210" w14:textId="77777777" w:rsidR="00970F56" w:rsidRPr="001B6E4D" w:rsidRDefault="00970F56" w:rsidP="003D1018">
      <w:pPr>
        <w:overflowPunct w:val="0"/>
        <w:adjustRightInd w:val="0"/>
        <w:snapToGrid w:val="0"/>
        <w:spacing w:line="360" w:lineRule="exact"/>
        <w:ind w:leftChars="565" w:left="1980" w:rightChars="12" w:right="29" w:hanging="624"/>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shd w:val="clear" w:color="auto" w:fill="FFFFFF"/>
        </w:rPr>
        <w:t>(</w:t>
      </w:r>
      <w:proofErr w:type="gramStart"/>
      <w:r w:rsidRPr="001B6E4D">
        <w:rPr>
          <w:rFonts w:ascii="標楷體" w:eastAsia="標楷體" w:hAnsi="標楷體" w:hint="eastAsia"/>
          <w:bCs/>
          <w:color w:val="000000"/>
          <w:sz w:val="28"/>
          <w:szCs w:val="28"/>
          <w:shd w:val="clear" w:color="auto" w:fill="FFFFFF"/>
        </w:rPr>
        <w:t>一</w:t>
      </w:r>
      <w:proofErr w:type="gramEnd"/>
      <w:r w:rsidRPr="001B6E4D">
        <w:rPr>
          <w:rFonts w:ascii="標楷體" w:eastAsia="標楷體" w:hAnsi="標楷體" w:hint="eastAsia"/>
          <w:bCs/>
          <w:color w:val="000000"/>
          <w:sz w:val="28"/>
          <w:szCs w:val="28"/>
          <w:shd w:val="clear" w:color="auto" w:fill="FFFFFF"/>
        </w:rPr>
        <w:t>)</w:t>
      </w:r>
      <w:r w:rsidRPr="001B6E4D">
        <w:rPr>
          <w:rFonts w:ascii="標楷體" w:eastAsia="標楷體" w:hAnsi="標楷體" w:hint="eastAsia"/>
          <w:bCs/>
          <w:color w:val="000000"/>
          <w:sz w:val="28"/>
          <w:szCs w:val="28"/>
          <w:shd w:val="clear" w:color="auto" w:fill="FFFFFF"/>
        </w:rPr>
        <w:tab/>
      </w:r>
      <w:proofErr w:type="gramStart"/>
      <w:r w:rsidRPr="001B6E4D">
        <w:rPr>
          <w:rFonts w:ascii="標楷體" w:eastAsia="標楷體" w:hAnsi="標楷體" w:hint="eastAsia"/>
          <w:bCs/>
          <w:color w:val="000000"/>
          <w:sz w:val="28"/>
          <w:szCs w:val="28"/>
          <w:shd w:val="clear" w:color="auto" w:fill="FFFFFF"/>
        </w:rPr>
        <w:t>薦轉簡免</w:t>
      </w:r>
      <w:proofErr w:type="gramEnd"/>
      <w:r w:rsidRPr="001B6E4D">
        <w:rPr>
          <w:rFonts w:ascii="標楷體" w:eastAsia="標楷體" w:hAnsi="標楷體" w:hint="eastAsia"/>
          <w:bCs/>
          <w:color w:val="000000"/>
          <w:sz w:val="28"/>
          <w:szCs w:val="28"/>
          <w:shd w:val="clear" w:color="auto" w:fill="FFFFFF"/>
        </w:rPr>
        <w:t>受訓機制可行性：在維持文官品質與拔</w:t>
      </w:r>
      <w:proofErr w:type="gramStart"/>
      <w:r w:rsidRPr="001B6E4D">
        <w:rPr>
          <w:rFonts w:ascii="標楷體" w:eastAsia="標楷體" w:hAnsi="標楷體" w:hint="eastAsia"/>
          <w:bCs/>
          <w:color w:val="000000"/>
          <w:sz w:val="28"/>
          <w:szCs w:val="28"/>
          <w:shd w:val="clear" w:color="auto" w:fill="FFFFFF"/>
        </w:rPr>
        <w:t>擢</w:t>
      </w:r>
      <w:proofErr w:type="gramEnd"/>
      <w:r w:rsidRPr="001B6E4D">
        <w:rPr>
          <w:rFonts w:ascii="標楷體" w:eastAsia="標楷體" w:hAnsi="標楷體" w:hint="eastAsia"/>
          <w:bCs/>
          <w:color w:val="000000"/>
          <w:sz w:val="28"/>
          <w:szCs w:val="28"/>
          <w:shd w:val="clear" w:color="auto" w:fill="FFFFFF"/>
        </w:rPr>
        <w:t>人才</w:t>
      </w:r>
      <w:proofErr w:type="gramStart"/>
      <w:r w:rsidRPr="001B6E4D">
        <w:rPr>
          <w:rFonts w:ascii="標楷體" w:eastAsia="標楷體" w:hAnsi="標楷體" w:hint="eastAsia"/>
          <w:bCs/>
          <w:color w:val="000000"/>
          <w:sz w:val="28"/>
          <w:szCs w:val="28"/>
          <w:shd w:val="clear" w:color="auto" w:fill="FFFFFF"/>
        </w:rPr>
        <w:t>之間，</w:t>
      </w:r>
      <w:proofErr w:type="gramEnd"/>
      <w:r w:rsidRPr="001B6E4D">
        <w:rPr>
          <w:rFonts w:ascii="標楷體" w:eastAsia="標楷體" w:hAnsi="標楷體" w:hint="eastAsia"/>
          <w:bCs/>
          <w:color w:val="000000"/>
          <w:sz w:val="28"/>
          <w:szCs w:val="28"/>
          <w:shd w:val="clear" w:color="auto" w:fill="FFFFFF"/>
        </w:rPr>
        <w:t>放寬部分具特殊績效或資歷者「免受訓轉任簡任」之妥適性、必要性？應設定何種嚴格資格門檻（如職務經歷、重大專案貢獻、考績表現等）？</w:t>
      </w:r>
    </w:p>
    <w:p w14:paraId="488BA487" w14:textId="77777777" w:rsidR="00A612AB" w:rsidRPr="001B6E4D" w:rsidRDefault="00970F56" w:rsidP="003D1018">
      <w:pPr>
        <w:overflowPunct w:val="0"/>
        <w:adjustRightInd w:val="0"/>
        <w:snapToGrid w:val="0"/>
        <w:spacing w:line="360" w:lineRule="exact"/>
        <w:ind w:leftChars="565" w:left="1980" w:rightChars="12" w:right="29" w:hanging="624"/>
        <w:jc w:val="both"/>
        <w:rPr>
          <w:rFonts w:ascii="標楷體" w:eastAsia="標楷體" w:hAnsi="標楷體"/>
          <w:bCs/>
          <w:color w:val="000000"/>
          <w:sz w:val="28"/>
          <w:szCs w:val="28"/>
          <w:shd w:val="clear" w:color="auto" w:fill="FFFFFF"/>
        </w:rPr>
      </w:pPr>
      <w:r w:rsidRPr="001B6E4D">
        <w:rPr>
          <w:rFonts w:ascii="標楷體" w:eastAsia="標楷體" w:hAnsi="標楷體" w:hint="eastAsia"/>
          <w:bCs/>
          <w:color w:val="000000"/>
          <w:sz w:val="28"/>
          <w:szCs w:val="28"/>
          <w:shd w:val="clear" w:color="auto" w:fill="FFFFFF"/>
        </w:rPr>
        <w:t>(二)</w:t>
      </w:r>
      <w:r w:rsidRPr="001B6E4D">
        <w:rPr>
          <w:rFonts w:ascii="標楷體" w:eastAsia="標楷體" w:hAnsi="標楷體" w:hint="eastAsia"/>
          <w:bCs/>
          <w:color w:val="000000"/>
          <w:sz w:val="28"/>
          <w:szCs w:val="28"/>
          <w:shd w:val="clear" w:color="auto" w:fill="FFFFFF"/>
        </w:rPr>
        <w:tab/>
        <w:t>文官中立與能力評估：免除統一培訓是否會影響簡任高階文官之領導統御與跨部會協調能力？應如何建立配套評估機制以維持公信力？</w:t>
      </w:r>
    </w:p>
    <w:p w14:paraId="5FE22D7C" w14:textId="3BE3CB16" w:rsidR="00DD0748" w:rsidRPr="001B6E4D" w:rsidRDefault="0099569B" w:rsidP="003D1018">
      <w:pPr>
        <w:overflowPunct w:val="0"/>
        <w:adjustRightInd w:val="0"/>
        <w:snapToGrid w:val="0"/>
        <w:spacing w:line="360" w:lineRule="exact"/>
        <w:ind w:leftChars="460" w:left="1412" w:rightChars="12" w:right="29" w:hangingChars="110" w:hanging="308"/>
        <w:jc w:val="both"/>
        <w:rPr>
          <w:rFonts w:ascii="標楷體" w:eastAsia="標楷體" w:hAnsi="標楷體"/>
          <w:color w:val="000000"/>
          <w:sz w:val="28"/>
          <w:szCs w:val="28"/>
          <w:shd w:val="clear" w:color="auto" w:fill="FFFFFF"/>
        </w:rPr>
        <w:sectPr w:rsidR="00DD0748" w:rsidRPr="001B6E4D" w:rsidSect="00B8553E">
          <w:footerReference w:type="default" r:id="rId11"/>
          <w:pgSz w:w="11906" w:h="16838"/>
          <w:pgMar w:top="1440" w:right="1133" w:bottom="1440" w:left="1800" w:header="851" w:footer="992" w:gutter="0"/>
          <w:cols w:space="425"/>
          <w:docGrid w:type="lines" w:linePitch="360"/>
        </w:sectPr>
      </w:pPr>
      <w:r w:rsidRPr="001B6E4D">
        <w:rPr>
          <w:rFonts w:ascii="標楷體" w:eastAsia="標楷體" w:hAnsi="標楷體" w:hint="eastAsia"/>
          <w:color w:val="000000"/>
          <w:sz w:val="28"/>
          <w:szCs w:val="28"/>
          <w:shd w:val="clear" w:color="auto" w:fill="FFFFFF"/>
        </w:rPr>
        <w:t>3</w:t>
      </w:r>
      <w:r w:rsidRPr="001B6E4D">
        <w:rPr>
          <w:rFonts w:ascii="標楷體" w:eastAsia="標楷體" w:hAnsi="標楷體"/>
          <w:color w:val="000000"/>
          <w:sz w:val="28"/>
          <w:szCs w:val="28"/>
          <w:shd w:val="clear" w:color="auto" w:fill="FFFFFF"/>
        </w:rPr>
        <w:t>.邀請</w:t>
      </w:r>
      <w:r w:rsidR="0080332A" w:rsidRPr="001B6E4D">
        <w:rPr>
          <w:rFonts w:ascii="標楷體" w:eastAsia="標楷體" w:hAnsi="標楷體" w:hint="eastAsia"/>
          <w:color w:val="000000"/>
          <w:sz w:val="28"/>
          <w:szCs w:val="28"/>
          <w:shd w:val="clear" w:color="auto" w:fill="FFFFFF"/>
        </w:rPr>
        <w:t>吳美鳳執行長</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李衍儒副教授</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吳蔚宸理事</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林文淵前處長</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郭彥成理事長</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陳清秀教授</w:t>
      </w:r>
      <w:r w:rsidRPr="001B6E4D">
        <w:rPr>
          <w:rFonts w:ascii="標楷體" w:eastAsia="標楷體" w:hAnsi="標楷體" w:hint="eastAsia"/>
          <w:color w:val="000000"/>
          <w:sz w:val="28"/>
          <w:szCs w:val="28"/>
          <w:shd w:val="clear" w:color="auto" w:fill="FFFFFF"/>
        </w:rPr>
        <w:t>、</w:t>
      </w:r>
      <w:proofErr w:type="gramStart"/>
      <w:r w:rsidR="0080332A" w:rsidRPr="001B6E4D">
        <w:rPr>
          <w:rFonts w:ascii="標楷體" w:eastAsia="標楷體" w:hAnsi="標楷體" w:hint="eastAsia"/>
          <w:color w:val="000000"/>
          <w:sz w:val="28"/>
          <w:szCs w:val="28"/>
          <w:shd w:val="clear" w:color="auto" w:fill="FFFFFF"/>
        </w:rPr>
        <w:t>高誓男</w:t>
      </w:r>
      <w:proofErr w:type="gramEnd"/>
      <w:r w:rsidR="0080332A" w:rsidRPr="001B6E4D">
        <w:rPr>
          <w:rFonts w:ascii="標楷體" w:eastAsia="標楷體" w:hAnsi="標楷體" w:hint="eastAsia"/>
          <w:color w:val="000000"/>
          <w:sz w:val="28"/>
          <w:szCs w:val="28"/>
          <w:shd w:val="clear" w:color="auto" w:fill="FFFFFF"/>
        </w:rPr>
        <w:t>副總會長</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張瓊方副理事長</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黃一峯秘書長</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程本清前處長</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黃錦堂教授</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黃耀南理事長</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黃耀輝教授</w:t>
      </w:r>
      <w:r w:rsidRPr="001B6E4D">
        <w:rPr>
          <w:rFonts w:ascii="標楷體" w:eastAsia="標楷體" w:hAnsi="標楷體" w:hint="eastAsia"/>
          <w:color w:val="000000"/>
          <w:sz w:val="28"/>
          <w:szCs w:val="28"/>
          <w:shd w:val="clear" w:color="auto" w:fill="FFFFFF"/>
        </w:rPr>
        <w:t>、</w:t>
      </w:r>
      <w:r w:rsidR="0080332A" w:rsidRPr="001B6E4D">
        <w:rPr>
          <w:rFonts w:ascii="標楷體" w:eastAsia="標楷體" w:hAnsi="標楷體" w:hint="eastAsia"/>
          <w:color w:val="000000"/>
          <w:sz w:val="28"/>
          <w:szCs w:val="28"/>
          <w:shd w:val="clear" w:color="auto" w:fill="FFFFFF"/>
        </w:rPr>
        <w:t>劉逸中律師</w:t>
      </w:r>
      <w:r w:rsidRPr="001B6E4D">
        <w:rPr>
          <w:rFonts w:ascii="標楷體" w:eastAsia="標楷體" w:hAnsi="標楷體" w:hint="eastAsia"/>
          <w:bCs/>
          <w:color w:val="000000"/>
          <w:sz w:val="28"/>
          <w:szCs w:val="28"/>
          <w:shd w:val="clear" w:color="auto" w:fill="FFFFFF"/>
        </w:rPr>
        <w:t>暨</w:t>
      </w:r>
      <w:r w:rsidR="0080332A" w:rsidRPr="001B6E4D">
        <w:rPr>
          <w:rFonts w:ascii="標楷體" w:eastAsia="標楷體" w:hAnsi="標楷體" w:hint="eastAsia"/>
          <w:bCs/>
          <w:color w:val="000000"/>
          <w:sz w:val="28"/>
          <w:szCs w:val="28"/>
          <w:shd w:val="clear" w:color="auto" w:fill="FFFFFF"/>
        </w:rPr>
        <w:t>考試院、銓敘部、行政院人事行政總處、公務人員保障暨培訓委員會、司法院、監察院、內政部、國防部、財政部、教育部、法務部、經濟部、交通部、勞動部、衛生福利部、國家發展委員會、行政院主計總處</w:t>
      </w:r>
      <w:r w:rsidRPr="001B6E4D">
        <w:rPr>
          <w:rFonts w:ascii="標楷體" w:eastAsia="標楷體" w:hAnsi="標楷體" w:hint="eastAsia"/>
          <w:color w:val="000000"/>
          <w:sz w:val="28"/>
          <w:szCs w:val="28"/>
          <w:shd w:val="clear" w:color="auto" w:fill="FFFFFF"/>
        </w:rPr>
        <w:t>等</w:t>
      </w:r>
      <w:r w:rsidRPr="001B6E4D">
        <w:rPr>
          <w:rFonts w:ascii="標楷體" w:eastAsia="標楷體" w:hAnsi="標楷體"/>
          <w:color w:val="000000"/>
          <w:sz w:val="28"/>
          <w:szCs w:val="28"/>
          <w:shd w:val="clear" w:color="auto" w:fill="FFFFFF"/>
        </w:rPr>
        <w:t>相關機關代表出席表達意見，本會並依出席者所提供之意見提出公聽會報告，送交本院全體委員及出席者，以作為審查法案之參考</w:t>
      </w:r>
      <w:bookmarkEnd w:id="47"/>
      <w:r w:rsidRPr="001B6E4D">
        <w:rPr>
          <w:rFonts w:ascii="標楷體" w:eastAsia="標楷體" w:hAnsi="標楷體"/>
          <w:color w:val="000000"/>
          <w:sz w:val="28"/>
          <w:szCs w:val="28"/>
          <w:shd w:val="clear" w:color="auto" w:fill="FFFFFF"/>
        </w:rPr>
        <w:t>。</w:t>
      </w:r>
      <w:bookmarkStart w:id="50" w:name="_Hlk189557416"/>
      <w:bookmarkEnd w:id="49"/>
    </w:p>
    <w:p w14:paraId="3ED920CA" w14:textId="1017108A" w:rsidR="004E56DC" w:rsidRPr="001B6E4D" w:rsidRDefault="004E56DC"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51" w:name="_Toc240446507"/>
      <w:r w:rsidRPr="001B6E4D">
        <w:rPr>
          <w:rFonts w:ascii="標楷體" w:hAnsi="標楷體" w:hint="eastAsia"/>
          <w:color w:val="000000" w:themeColor="text1"/>
          <w:szCs w:val="28"/>
          <w:shd w:val="clear" w:color="auto" w:fill="FFFFFF" w:themeFill="background1"/>
        </w:rPr>
        <w:lastRenderedPageBreak/>
        <w:t>三</w:t>
      </w:r>
      <w:r w:rsidRPr="001B6E4D">
        <w:rPr>
          <w:rFonts w:ascii="標楷體" w:hAnsi="標楷體"/>
          <w:color w:val="000000" w:themeColor="text1"/>
          <w:szCs w:val="28"/>
          <w:shd w:val="clear" w:color="auto" w:fill="FFFFFF" w:themeFill="background1"/>
        </w:rPr>
        <w:t>、考察</w:t>
      </w:r>
      <w:r w:rsidRPr="001B6E4D">
        <w:rPr>
          <w:rFonts w:ascii="標楷體" w:hAnsi="標楷體" w:hint="eastAsia"/>
          <w:color w:val="000000" w:themeColor="text1"/>
          <w:szCs w:val="28"/>
          <w:shd w:val="clear" w:color="auto" w:fill="FFFFFF" w:themeFill="background1"/>
        </w:rPr>
        <w:t>(參訪)</w:t>
      </w:r>
      <w:r w:rsidRPr="001B6E4D">
        <w:rPr>
          <w:rFonts w:ascii="標楷體" w:hAnsi="標楷體"/>
          <w:color w:val="000000" w:themeColor="text1"/>
          <w:szCs w:val="28"/>
          <w:shd w:val="clear" w:color="auto" w:fill="FFFFFF" w:themeFill="background1"/>
        </w:rPr>
        <w:t>活動</w:t>
      </w:r>
      <w:bookmarkEnd w:id="51"/>
    </w:p>
    <w:p w14:paraId="2ACBB110" w14:textId="719D893B" w:rsidR="004E56DC" w:rsidRPr="001B6E4D" w:rsidRDefault="004E56DC" w:rsidP="003D1018">
      <w:pPr>
        <w:overflowPunct w:val="0"/>
        <w:spacing w:line="380" w:lineRule="exact"/>
        <w:ind w:leftChars="235" w:left="1132" w:hangingChars="203" w:hanging="568"/>
        <w:jc w:val="both"/>
        <w:outlineLvl w:val="3"/>
        <w:rPr>
          <w:rFonts w:ascii="標楷體" w:eastAsia="標楷體" w:hAnsi="標楷體"/>
          <w:color w:val="000000"/>
          <w:sz w:val="28"/>
          <w:szCs w:val="28"/>
        </w:rPr>
      </w:pPr>
      <w:bookmarkStart w:id="52" w:name="_Toc174974030"/>
      <w:bookmarkStart w:id="53" w:name="_Toc174974994"/>
      <w:r w:rsidRPr="001B6E4D">
        <w:rPr>
          <w:rFonts w:ascii="標楷體" w:eastAsia="標楷體" w:hAnsi="標楷體" w:hint="eastAsia"/>
          <w:color w:val="000000"/>
          <w:sz w:val="28"/>
          <w:szCs w:val="28"/>
        </w:rPr>
        <w:t>(</w:t>
      </w:r>
      <w:proofErr w:type="gramStart"/>
      <w:r w:rsidRPr="001B6E4D">
        <w:rPr>
          <w:rFonts w:ascii="標楷體" w:eastAsia="標楷體" w:hAnsi="標楷體" w:hint="eastAsia"/>
          <w:color w:val="000000"/>
          <w:sz w:val="28"/>
          <w:szCs w:val="28"/>
        </w:rPr>
        <w:t>一</w:t>
      </w:r>
      <w:proofErr w:type="gramEnd"/>
      <w:r w:rsidRPr="001B6E4D">
        <w:rPr>
          <w:rFonts w:ascii="標楷體" w:eastAsia="標楷體" w:hAnsi="標楷體" w:hint="eastAsia"/>
          <w:color w:val="000000"/>
          <w:sz w:val="28"/>
          <w:szCs w:val="28"/>
        </w:rPr>
        <w:t>)1</w:t>
      </w:r>
      <w:r w:rsidRPr="001B6E4D">
        <w:rPr>
          <w:rFonts w:ascii="標楷體" w:eastAsia="標楷體" w:hAnsi="標楷體"/>
          <w:color w:val="000000"/>
          <w:sz w:val="28"/>
          <w:szCs w:val="28"/>
        </w:rPr>
        <w:t>1</w:t>
      </w:r>
      <w:r w:rsidR="00D62E9E" w:rsidRPr="001B6E4D">
        <w:rPr>
          <w:rFonts w:ascii="標楷體" w:eastAsia="標楷體" w:hAnsi="標楷體" w:hint="eastAsia"/>
          <w:color w:val="000000"/>
          <w:sz w:val="28"/>
          <w:szCs w:val="28"/>
        </w:rPr>
        <w:t>5</w:t>
      </w:r>
      <w:r w:rsidRPr="001B6E4D">
        <w:rPr>
          <w:rFonts w:ascii="標楷體" w:eastAsia="標楷體" w:hAnsi="標楷體" w:hint="eastAsia"/>
          <w:color w:val="000000"/>
          <w:sz w:val="28"/>
          <w:szCs w:val="28"/>
        </w:rPr>
        <w:t>年</w:t>
      </w:r>
      <w:bookmarkEnd w:id="52"/>
      <w:bookmarkEnd w:id="53"/>
      <w:r w:rsidR="00D62E9E" w:rsidRPr="001B6E4D">
        <w:rPr>
          <w:rFonts w:ascii="標楷體" w:eastAsia="標楷體" w:hAnsi="標楷體" w:hint="eastAsia"/>
          <w:color w:val="000000"/>
          <w:sz w:val="28"/>
          <w:szCs w:val="28"/>
        </w:rPr>
        <w:t>3月16日（星期一）參訪司法博物館（原臺灣</w:t>
      </w:r>
      <w:proofErr w:type="gramStart"/>
      <w:r w:rsidR="00D62E9E" w:rsidRPr="001B6E4D">
        <w:rPr>
          <w:rFonts w:ascii="標楷體" w:eastAsia="標楷體" w:hAnsi="標楷體" w:hint="eastAsia"/>
          <w:color w:val="000000"/>
          <w:sz w:val="28"/>
          <w:szCs w:val="28"/>
        </w:rPr>
        <w:t>臺</w:t>
      </w:r>
      <w:proofErr w:type="gramEnd"/>
      <w:r w:rsidR="00D62E9E" w:rsidRPr="001B6E4D">
        <w:rPr>
          <w:rFonts w:ascii="標楷體" w:eastAsia="標楷體" w:hAnsi="標楷體" w:hint="eastAsia"/>
          <w:color w:val="000000"/>
          <w:sz w:val="28"/>
          <w:szCs w:val="28"/>
        </w:rPr>
        <w:t>南地方法院）。</w:t>
      </w:r>
    </w:p>
    <w:p w14:paraId="635477D2" w14:textId="62A09B9A" w:rsidR="004E56DC" w:rsidRPr="001B6E4D" w:rsidRDefault="00D62E9E" w:rsidP="003D1018">
      <w:pPr>
        <w:overflowPunct w:val="0"/>
        <w:spacing w:line="380" w:lineRule="exact"/>
        <w:ind w:leftChars="471" w:left="1130" w:firstLineChars="205" w:firstLine="574"/>
        <w:jc w:val="both"/>
        <w:rPr>
          <w:rFonts w:ascii="標楷體" w:eastAsia="標楷體" w:hAnsi="標楷體"/>
          <w:color w:val="000000"/>
          <w:sz w:val="28"/>
          <w:szCs w:val="28"/>
        </w:rPr>
      </w:pPr>
      <w:r w:rsidRPr="001B6E4D">
        <w:rPr>
          <w:rFonts w:ascii="標楷體" w:eastAsia="標楷體" w:hAnsi="標楷體" w:hint="eastAsia"/>
          <w:color w:val="000000"/>
          <w:sz w:val="28"/>
          <w:szCs w:val="28"/>
        </w:rPr>
        <w:t>召集委員翁曉玲領隊，委員林倩綺同行，司法院秘書長高金枝、新聞及法治宣導處處長吳定亞、臺灣高等法院臺南分院院長李文賢及臺灣</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南地方法院院長陳連發等陪同。</w:t>
      </w:r>
      <w:r w:rsidR="000D7D7B" w:rsidRPr="001B6E4D">
        <w:rPr>
          <w:rFonts w:ascii="標楷體" w:eastAsia="標楷體" w:hAnsi="標楷體" w:hint="eastAsia"/>
          <w:color w:val="000000"/>
          <w:sz w:val="28"/>
          <w:szCs w:val="28"/>
        </w:rPr>
        <w:t>於</w:t>
      </w:r>
      <w:r w:rsidRPr="001B6E4D">
        <w:rPr>
          <w:rFonts w:ascii="標楷體" w:eastAsia="標楷體" w:hAnsi="標楷體" w:hint="eastAsia"/>
          <w:color w:val="000000"/>
          <w:sz w:val="28"/>
          <w:szCs w:val="28"/>
        </w:rPr>
        <w:t>高鐵台南站搭乘專車前往司法博物館。抵達現場後，隨即前往二樓會議室，首先由司法院高秘書長</w:t>
      </w:r>
      <w:proofErr w:type="gramStart"/>
      <w:r w:rsidRPr="001B6E4D">
        <w:rPr>
          <w:rFonts w:ascii="標楷體" w:eastAsia="標楷體" w:hAnsi="標楷體" w:hint="eastAsia"/>
          <w:color w:val="000000"/>
          <w:sz w:val="28"/>
          <w:szCs w:val="28"/>
        </w:rPr>
        <w:t>金枝致歡迎詞</w:t>
      </w:r>
      <w:proofErr w:type="gramEnd"/>
      <w:r w:rsidRPr="001B6E4D">
        <w:rPr>
          <w:rFonts w:ascii="標楷體" w:eastAsia="標楷體" w:hAnsi="標楷體" w:hint="eastAsia"/>
          <w:color w:val="000000"/>
          <w:sz w:val="28"/>
          <w:szCs w:val="28"/>
        </w:rPr>
        <w:t>，接續由翁召集委員曉玲致詞。</w:t>
      </w:r>
      <w:r w:rsidR="00411121" w:rsidRPr="001B6E4D">
        <w:rPr>
          <w:rFonts w:ascii="標楷體" w:eastAsia="標楷體" w:hAnsi="標楷體" w:hint="eastAsia"/>
          <w:color w:val="000000"/>
          <w:sz w:val="28"/>
          <w:szCs w:val="28"/>
        </w:rPr>
        <w:t>接著</w:t>
      </w:r>
      <w:r w:rsidRPr="001B6E4D">
        <w:rPr>
          <w:rFonts w:ascii="標楷體" w:eastAsia="標楷體" w:hAnsi="標楷體" w:hint="eastAsia"/>
          <w:color w:val="000000"/>
          <w:sz w:val="28"/>
          <w:szCs w:val="28"/>
        </w:rPr>
        <w:t>由司法院新聞及法治宣導處吳處長定亞進行專題簡報，針對「司法博物館營運情形」提出詳盡的報告，內容涵蓋館舍維護與展覽規劃等面向，使與會委員對博物館的營運現況與未來發展願景有通盤的認識。簡報</w:t>
      </w:r>
      <w:r w:rsidR="00411121" w:rsidRPr="001B6E4D">
        <w:rPr>
          <w:rFonts w:ascii="標楷體" w:eastAsia="標楷體" w:hAnsi="標楷體" w:hint="eastAsia"/>
          <w:color w:val="000000"/>
          <w:sz w:val="28"/>
          <w:szCs w:val="28"/>
        </w:rPr>
        <w:t>完畢</w:t>
      </w:r>
      <w:r w:rsidRPr="001B6E4D">
        <w:rPr>
          <w:rFonts w:ascii="標楷體" w:eastAsia="標楷體" w:hAnsi="標楷體" w:hint="eastAsia"/>
          <w:color w:val="000000"/>
          <w:sz w:val="28"/>
          <w:szCs w:val="28"/>
        </w:rPr>
        <w:t>後，</w:t>
      </w:r>
      <w:r w:rsidR="00411121" w:rsidRPr="001B6E4D">
        <w:rPr>
          <w:rFonts w:ascii="標楷體" w:eastAsia="標楷體" w:hAnsi="標楷體" w:hint="eastAsia"/>
          <w:color w:val="000000"/>
          <w:sz w:val="28"/>
          <w:szCs w:val="28"/>
        </w:rPr>
        <w:t>由</w:t>
      </w:r>
      <w:r w:rsidRPr="001B6E4D">
        <w:rPr>
          <w:rFonts w:ascii="標楷體" w:eastAsia="標楷體" w:hAnsi="標楷體" w:hint="eastAsia"/>
          <w:color w:val="000000"/>
          <w:sz w:val="28"/>
          <w:szCs w:val="28"/>
        </w:rPr>
        <w:t>館內專業</w:t>
      </w:r>
      <w:r w:rsidR="00411121" w:rsidRPr="001B6E4D">
        <w:rPr>
          <w:rFonts w:ascii="標楷體" w:eastAsia="標楷體" w:hAnsi="標楷體" w:hint="eastAsia"/>
          <w:color w:val="000000"/>
          <w:sz w:val="28"/>
          <w:szCs w:val="28"/>
        </w:rPr>
        <w:t>的</w:t>
      </w:r>
      <w:r w:rsidRPr="001B6E4D">
        <w:rPr>
          <w:rFonts w:ascii="標楷體" w:eastAsia="標楷體" w:hAnsi="標楷體" w:hint="eastAsia"/>
          <w:color w:val="000000"/>
          <w:sz w:val="28"/>
          <w:szCs w:val="28"/>
        </w:rPr>
        <w:t>志工帶領與導</w:t>
      </w:r>
      <w:proofErr w:type="gramStart"/>
      <w:r w:rsidRPr="001B6E4D">
        <w:rPr>
          <w:rFonts w:ascii="標楷體" w:eastAsia="標楷體" w:hAnsi="標楷體" w:hint="eastAsia"/>
          <w:color w:val="000000"/>
          <w:sz w:val="28"/>
          <w:szCs w:val="28"/>
        </w:rPr>
        <w:t>覽</w:t>
      </w:r>
      <w:proofErr w:type="gramEnd"/>
      <w:r w:rsidRPr="001B6E4D">
        <w:rPr>
          <w:rFonts w:ascii="標楷體" w:eastAsia="標楷體" w:hAnsi="標楷體" w:hint="eastAsia"/>
          <w:color w:val="000000"/>
          <w:sz w:val="28"/>
          <w:szCs w:val="28"/>
        </w:rPr>
        <w:t>，逐一參觀館內各項珍貴的司法文物與主題展覽，進一步</w:t>
      </w:r>
      <w:r w:rsidR="00411121" w:rsidRPr="001B6E4D">
        <w:rPr>
          <w:rFonts w:ascii="標楷體" w:eastAsia="標楷體" w:hAnsi="標楷體" w:hint="eastAsia"/>
          <w:color w:val="000000"/>
          <w:sz w:val="28"/>
          <w:szCs w:val="28"/>
        </w:rPr>
        <w:t>了解</w:t>
      </w:r>
      <w:r w:rsidRPr="001B6E4D">
        <w:rPr>
          <w:rFonts w:ascii="標楷體" w:eastAsia="標楷體" w:hAnsi="標楷體" w:hint="eastAsia"/>
          <w:color w:val="000000"/>
          <w:sz w:val="28"/>
          <w:szCs w:val="28"/>
        </w:rPr>
        <w:t>台灣法治發展的歷史軌跡。</w:t>
      </w:r>
      <w:r w:rsidR="00411121" w:rsidRPr="001B6E4D">
        <w:rPr>
          <w:rFonts w:ascii="標楷體" w:eastAsia="標楷體" w:hAnsi="標楷體" w:hint="eastAsia"/>
          <w:color w:val="000000"/>
          <w:sz w:val="28"/>
          <w:szCs w:val="28"/>
        </w:rPr>
        <w:t>導</w:t>
      </w:r>
      <w:proofErr w:type="gramStart"/>
      <w:r w:rsidR="00411121" w:rsidRPr="001B6E4D">
        <w:rPr>
          <w:rFonts w:ascii="標楷體" w:eastAsia="標楷體" w:hAnsi="標楷體" w:hint="eastAsia"/>
          <w:color w:val="000000"/>
          <w:sz w:val="28"/>
          <w:szCs w:val="28"/>
        </w:rPr>
        <w:t>覽</w:t>
      </w:r>
      <w:proofErr w:type="gramEnd"/>
      <w:r w:rsidR="00411121" w:rsidRPr="001B6E4D">
        <w:rPr>
          <w:rFonts w:ascii="標楷體" w:eastAsia="標楷體" w:hAnsi="標楷體" w:hint="eastAsia"/>
          <w:color w:val="000000"/>
          <w:sz w:val="28"/>
          <w:szCs w:val="28"/>
        </w:rPr>
        <w:t>結束</w:t>
      </w:r>
      <w:r w:rsidRPr="001B6E4D">
        <w:rPr>
          <w:rFonts w:ascii="標楷體" w:eastAsia="標楷體" w:hAnsi="標楷體" w:hint="eastAsia"/>
          <w:color w:val="000000"/>
          <w:sz w:val="28"/>
          <w:szCs w:val="28"/>
        </w:rPr>
        <w:t>後，</w:t>
      </w:r>
      <w:r w:rsidR="00411121" w:rsidRPr="001B6E4D">
        <w:rPr>
          <w:rFonts w:ascii="標楷體" w:eastAsia="標楷體" w:hAnsi="標楷體" w:hint="eastAsia"/>
          <w:color w:val="000000"/>
          <w:sz w:val="28"/>
          <w:szCs w:val="28"/>
        </w:rPr>
        <w:t>返回</w:t>
      </w:r>
      <w:r w:rsidRPr="001B6E4D">
        <w:rPr>
          <w:rFonts w:ascii="標楷體" w:eastAsia="標楷體" w:hAnsi="標楷體" w:hint="eastAsia"/>
          <w:color w:val="000000"/>
          <w:sz w:val="28"/>
          <w:szCs w:val="28"/>
        </w:rPr>
        <w:t>二樓會議室進行綜合座談及意見交流。在意見交流中，委員們針對參訪過程</w:t>
      </w:r>
      <w:r w:rsidR="005A2946" w:rsidRPr="001B6E4D">
        <w:rPr>
          <w:rFonts w:ascii="標楷體" w:eastAsia="標楷體" w:hAnsi="標楷體" w:hint="eastAsia"/>
          <w:color w:val="000000"/>
          <w:sz w:val="28"/>
          <w:szCs w:val="28"/>
        </w:rPr>
        <w:t>中</w:t>
      </w:r>
      <w:r w:rsidRPr="001B6E4D">
        <w:rPr>
          <w:rFonts w:ascii="標楷體" w:eastAsia="標楷體" w:hAnsi="標楷體" w:hint="eastAsia"/>
          <w:color w:val="000000"/>
          <w:sz w:val="28"/>
          <w:szCs w:val="28"/>
        </w:rPr>
        <w:t>所見所聞提出寶貴建言，與司法院及法院代表進行了充分且熱烈的討論，凝聚諸多推廣法治教育的共識。</w:t>
      </w:r>
    </w:p>
    <w:p w14:paraId="32304964" w14:textId="63BE49EA" w:rsidR="004E56DC" w:rsidRPr="001B6E4D" w:rsidRDefault="004E56DC" w:rsidP="003D1018">
      <w:pPr>
        <w:overflowPunct w:val="0"/>
        <w:spacing w:beforeLines="50" w:before="180" w:line="380" w:lineRule="exact"/>
        <w:ind w:leftChars="235" w:left="1132" w:hangingChars="203" w:hanging="568"/>
        <w:jc w:val="both"/>
        <w:outlineLvl w:val="3"/>
        <w:rPr>
          <w:rFonts w:ascii="標楷體" w:eastAsia="標楷體" w:hAnsi="標楷體"/>
          <w:color w:val="000000"/>
          <w:sz w:val="28"/>
          <w:szCs w:val="28"/>
        </w:rPr>
      </w:pPr>
      <w:bookmarkStart w:id="54" w:name="_Toc174974032"/>
      <w:bookmarkStart w:id="55" w:name="_Toc174974996"/>
      <w:r w:rsidRPr="001B6E4D">
        <w:rPr>
          <w:rFonts w:ascii="標楷體" w:eastAsia="標楷體" w:hAnsi="標楷體" w:hint="eastAsia"/>
          <w:color w:val="000000"/>
          <w:sz w:val="28"/>
          <w:szCs w:val="28"/>
        </w:rPr>
        <w:t>(二)1</w:t>
      </w:r>
      <w:r w:rsidRPr="001B6E4D">
        <w:rPr>
          <w:rFonts w:ascii="標楷體" w:eastAsia="標楷體" w:hAnsi="標楷體"/>
          <w:color w:val="000000"/>
          <w:sz w:val="28"/>
          <w:szCs w:val="28"/>
        </w:rPr>
        <w:t>1</w:t>
      </w:r>
      <w:r w:rsidR="0019664A" w:rsidRPr="001B6E4D">
        <w:rPr>
          <w:rFonts w:ascii="標楷體" w:eastAsia="標楷體" w:hAnsi="標楷體" w:hint="eastAsia"/>
          <w:color w:val="000000"/>
          <w:sz w:val="28"/>
          <w:szCs w:val="28"/>
        </w:rPr>
        <w:t>5</w:t>
      </w:r>
      <w:r w:rsidRPr="001B6E4D">
        <w:rPr>
          <w:rFonts w:ascii="標楷體" w:eastAsia="標楷體" w:hAnsi="標楷體" w:hint="eastAsia"/>
          <w:color w:val="000000"/>
          <w:sz w:val="28"/>
          <w:szCs w:val="28"/>
        </w:rPr>
        <w:t>年</w:t>
      </w:r>
      <w:bookmarkEnd w:id="54"/>
      <w:bookmarkEnd w:id="55"/>
      <w:r w:rsidR="0019664A" w:rsidRPr="001B6E4D">
        <w:rPr>
          <w:rFonts w:ascii="標楷體" w:eastAsia="標楷體" w:hAnsi="標楷體" w:hint="eastAsia"/>
          <w:color w:val="000000"/>
          <w:sz w:val="28"/>
          <w:szCs w:val="28"/>
        </w:rPr>
        <w:t>3月23日（星期一）考察新北市政府少年輔導委員會「少輔輔導網絡合作模式及現行成少共犯困境」策進概況。</w:t>
      </w:r>
    </w:p>
    <w:p w14:paraId="017C5A7F" w14:textId="034FE903" w:rsidR="004E56DC" w:rsidRPr="001B6E4D" w:rsidRDefault="0019664A" w:rsidP="003D1018">
      <w:pPr>
        <w:overflowPunct w:val="0"/>
        <w:spacing w:line="380" w:lineRule="exact"/>
        <w:ind w:leftChars="471" w:left="1130" w:firstLineChars="205" w:firstLine="574"/>
        <w:jc w:val="both"/>
        <w:rPr>
          <w:rFonts w:ascii="標楷體" w:eastAsia="標楷體" w:hAnsi="標楷體"/>
          <w:color w:val="000000"/>
          <w:sz w:val="28"/>
          <w:szCs w:val="28"/>
        </w:rPr>
      </w:pPr>
      <w:r w:rsidRPr="001B6E4D">
        <w:rPr>
          <w:rFonts w:ascii="標楷體" w:eastAsia="標楷體" w:hAnsi="標楷體" w:hint="eastAsia"/>
          <w:color w:val="000000"/>
          <w:sz w:val="28"/>
          <w:szCs w:val="28"/>
        </w:rPr>
        <w:t>委員張雅琳領隊，委員林倩綺同行，新北市政府副市長朱惕之、司法院少年及家事廳法官傅曉瑄、法務部主任檢察官陳貞</w:t>
      </w:r>
      <w:proofErr w:type="gramStart"/>
      <w:r w:rsidRPr="001B6E4D">
        <w:rPr>
          <w:rFonts w:ascii="標楷體" w:eastAsia="標楷體" w:hAnsi="標楷體" w:hint="eastAsia"/>
          <w:color w:val="000000"/>
          <w:sz w:val="28"/>
          <w:szCs w:val="28"/>
        </w:rPr>
        <w:t>卉</w:t>
      </w:r>
      <w:proofErr w:type="gramEnd"/>
      <w:r w:rsidRPr="001B6E4D">
        <w:rPr>
          <w:rFonts w:ascii="標楷體" w:eastAsia="標楷體" w:hAnsi="標楷體" w:hint="eastAsia"/>
          <w:color w:val="000000"/>
          <w:sz w:val="28"/>
          <w:szCs w:val="28"/>
        </w:rPr>
        <w:t>、內政部警政署刑事警察局副局長蕭欽杰、衛生福利部保護服務司司長郭彩榕、社會及</w:t>
      </w:r>
      <w:proofErr w:type="gramStart"/>
      <w:r w:rsidRPr="001B6E4D">
        <w:rPr>
          <w:rFonts w:ascii="標楷體" w:eastAsia="標楷體" w:hAnsi="標楷體" w:hint="eastAsia"/>
          <w:color w:val="000000"/>
          <w:sz w:val="28"/>
          <w:szCs w:val="28"/>
        </w:rPr>
        <w:t>家庭署兒少</w:t>
      </w:r>
      <w:proofErr w:type="gramEnd"/>
      <w:r w:rsidRPr="001B6E4D">
        <w:rPr>
          <w:rFonts w:ascii="標楷體" w:eastAsia="標楷體" w:hAnsi="標楷體" w:hint="eastAsia"/>
          <w:color w:val="000000"/>
          <w:sz w:val="28"/>
          <w:szCs w:val="28"/>
        </w:rPr>
        <w:t>福利組組長黃伶蕙、新北市政府少年輔導委員會總督導邱子雅、警察局副局長林武宏、教育局</w:t>
      </w:r>
      <w:proofErr w:type="gramStart"/>
      <w:r w:rsidRPr="001B6E4D">
        <w:rPr>
          <w:rFonts w:ascii="標楷體" w:eastAsia="標楷體" w:hAnsi="標楷體" w:hint="eastAsia"/>
          <w:color w:val="000000"/>
          <w:sz w:val="28"/>
          <w:szCs w:val="28"/>
        </w:rPr>
        <w:t>副局長歐人豪</w:t>
      </w:r>
      <w:proofErr w:type="gramEnd"/>
      <w:r w:rsidRPr="001B6E4D">
        <w:rPr>
          <w:rFonts w:ascii="標楷體" w:eastAsia="標楷體" w:hAnsi="標楷體" w:hint="eastAsia"/>
          <w:color w:val="000000"/>
          <w:sz w:val="28"/>
          <w:szCs w:val="28"/>
        </w:rPr>
        <w:t>、衛生局副局長</w:t>
      </w:r>
      <w:proofErr w:type="gramStart"/>
      <w:r w:rsidRPr="001B6E4D">
        <w:rPr>
          <w:rFonts w:ascii="標楷體" w:eastAsia="標楷體" w:hAnsi="標楷體" w:hint="eastAsia"/>
          <w:color w:val="000000"/>
          <w:sz w:val="28"/>
          <w:szCs w:val="28"/>
        </w:rPr>
        <w:t>馬景野及</w:t>
      </w:r>
      <w:proofErr w:type="gramEnd"/>
      <w:r w:rsidRPr="001B6E4D">
        <w:rPr>
          <w:rFonts w:ascii="標楷體" w:eastAsia="標楷體" w:hAnsi="標楷體" w:hint="eastAsia"/>
          <w:color w:val="000000"/>
          <w:sz w:val="28"/>
          <w:szCs w:val="28"/>
        </w:rPr>
        <w:t>社會局兒童少年福利科專員李崇榕等陪同。前往新北市政府展開實地考察。抵達新北市政府403會議室後，由新北市政府副市長朱惕之致歡迎詞及委員張雅琳說明本次考察目的。接著，由內政部警政署刑事警察局科長莊明雄就「少輔會輔導網絡合作模式及現行成少共犯困境」、司法院少年及家事廳法官傅曉瑄就「</w:t>
      </w:r>
      <w:proofErr w:type="gramStart"/>
      <w:r w:rsidRPr="001B6E4D">
        <w:rPr>
          <w:rFonts w:ascii="標楷體" w:eastAsia="標楷體" w:hAnsi="標楷體" w:hint="eastAsia"/>
          <w:color w:val="000000"/>
          <w:sz w:val="28"/>
          <w:szCs w:val="28"/>
        </w:rPr>
        <w:t>跨域協作</w:t>
      </w:r>
      <w:proofErr w:type="gramEnd"/>
      <w:r w:rsidRPr="001B6E4D">
        <w:rPr>
          <w:rFonts w:ascii="標楷體" w:eastAsia="標楷體" w:hAnsi="標楷體" w:hint="eastAsia"/>
          <w:color w:val="000000"/>
          <w:sz w:val="28"/>
          <w:szCs w:val="28"/>
        </w:rPr>
        <w:t>共築防護-少輔會輔導網絡合作模式及成少共犯困境」、法務部主任檢察官陳貞</w:t>
      </w:r>
      <w:proofErr w:type="gramStart"/>
      <w:r w:rsidRPr="001B6E4D">
        <w:rPr>
          <w:rFonts w:ascii="標楷體" w:eastAsia="標楷體" w:hAnsi="標楷體" w:hint="eastAsia"/>
          <w:color w:val="000000"/>
          <w:sz w:val="28"/>
          <w:szCs w:val="28"/>
        </w:rPr>
        <w:t>卉</w:t>
      </w:r>
      <w:proofErr w:type="gramEnd"/>
      <w:r w:rsidRPr="001B6E4D">
        <w:rPr>
          <w:rFonts w:ascii="標楷體" w:eastAsia="標楷體" w:hAnsi="標楷體" w:hint="eastAsia"/>
          <w:color w:val="000000"/>
          <w:sz w:val="28"/>
          <w:szCs w:val="28"/>
        </w:rPr>
        <w:t>就「成少共犯之偵查困境」及新北市政府警察局少年警察隊廖隊長</w:t>
      </w:r>
      <w:proofErr w:type="gramStart"/>
      <w:r w:rsidRPr="001B6E4D">
        <w:rPr>
          <w:rFonts w:ascii="標楷體" w:eastAsia="標楷體" w:hAnsi="標楷體" w:hint="eastAsia"/>
          <w:color w:val="000000"/>
          <w:sz w:val="28"/>
          <w:szCs w:val="28"/>
        </w:rPr>
        <w:t>睿辰就</w:t>
      </w:r>
      <w:proofErr w:type="gramEnd"/>
      <w:r w:rsidRPr="001B6E4D">
        <w:rPr>
          <w:rFonts w:ascii="標楷體" w:eastAsia="標楷體" w:hAnsi="標楷體" w:hint="eastAsia"/>
          <w:color w:val="000000"/>
          <w:sz w:val="28"/>
          <w:szCs w:val="28"/>
        </w:rPr>
        <w:t>「新北市政府少年輔導網絡合作及成少共犯預防工作報告」分別進行簡報，詳細說明中央及地方實務運作現況與面臨的挑戰。委員在聽取各方簡報後，隨即與內政部警政署刑事警察</w:t>
      </w:r>
      <w:r w:rsidRPr="001B6E4D">
        <w:rPr>
          <w:rFonts w:ascii="標楷體" w:eastAsia="標楷體" w:hAnsi="標楷體" w:hint="eastAsia"/>
          <w:color w:val="000000"/>
          <w:sz w:val="28"/>
          <w:szCs w:val="28"/>
        </w:rPr>
        <w:lastRenderedPageBreak/>
        <w:t>局、新北市政府警察局、新北市政府少年輔導委員會、司法院、法務部及衛生</w:t>
      </w:r>
      <w:proofErr w:type="gramStart"/>
      <w:r w:rsidRPr="001B6E4D">
        <w:rPr>
          <w:rFonts w:ascii="標楷體" w:eastAsia="標楷體" w:hAnsi="標楷體" w:hint="eastAsia"/>
          <w:color w:val="000000"/>
          <w:sz w:val="28"/>
          <w:szCs w:val="28"/>
        </w:rPr>
        <w:t>福利部等機關</w:t>
      </w:r>
      <w:proofErr w:type="gramEnd"/>
      <w:r w:rsidRPr="001B6E4D">
        <w:rPr>
          <w:rFonts w:ascii="標楷體" w:eastAsia="標楷體" w:hAnsi="標楷體" w:hint="eastAsia"/>
          <w:color w:val="000000"/>
          <w:sz w:val="28"/>
          <w:szCs w:val="28"/>
        </w:rPr>
        <w:t>，進行綜合座談及意見交流，針對跨部會與地方網絡的合作機制進行深度探討，期能改善現行成少共犯之困境。</w:t>
      </w:r>
    </w:p>
    <w:p w14:paraId="4B62279F" w14:textId="1133467A" w:rsidR="004E56DC" w:rsidRPr="001B6E4D" w:rsidRDefault="004E56DC" w:rsidP="003D1018">
      <w:pPr>
        <w:overflowPunct w:val="0"/>
        <w:spacing w:beforeLines="50" w:before="180" w:line="380" w:lineRule="exact"/>
        <w:ind w:leftChars="235" w:left="1132" w:hangingChars="203" w:hanging="568"/>
        <w:jc w:val="both"/>
        <w:outlineLvl w:val="3"/>
        <w:rPr>
          <w:rFonts w:ascii="標楷體" w:eastAsia="標楷體" w:hAnsi="標楷體"/>
          <w:color w:val="000000"/>
          <w:sz w:val="28"/>
          <w:szCs w:val="28"/>
        </w:rPr>
      </w:pPr>
      <w:bookmarkStart w:id="56" w:name="_Toc174974033"/>
      <w:bookmarkStart w:id="57" w:name="_Toc174974997"/>
      <w:r w:rsidRPr="001B6E4D">
        <w:rPr>
          <w:rFonts w:ascii="標楷體" w:eastAsia="標楷體" w:hAnsi="標楷體" w:hint="eastAsia"/>
          <w:color w:val="000000"/>
          <w:sz w:val="28"/>
          <w:szCs w:val="28"/>
        </w:rPr>
        <w:t>(三)11</w:t>
      </w:r>
      <w:r w:rsidR="00DA5349" w:rsidRPr="001B6E4D">
        <w:rPr>
          <w:rFonts w:ascii="標楷體" w:eastAsia="標楷體" w:hAnsi="標楷體" w:hint="eastAsia"/>
          <w:color w:val="000000"/>
          <w:sz w:val="28"/>
          <w:szCs w:val="28"/>
        </w:rPr>
        <w:t>5</w:t>
      </w:r>
      <w:r w:rsidRPr="001B6E4D">
        <w:rPr>
          <w:rFonts w:ascii="標楷體" w:eastAsia="標楷體" w:hAnsi="標楷體" w:hint="eastAsia"/>
          <w:color w:val="000000"/>
          <w:sz w:val="28"/>
          <w:szCs w:val="28"/>
        </w:rPr>
        <w:t>年</w:t>
      </w:r>
      <w:r w:rsidR="00DA5349" w:rsidRPr="001B6E4D">
        <w:rPr>
          <w:rFonts w:ascii="標楷體" w:eastAsia="標楷體" w:hAnsi="標楷體" w:hint="eastAsia"/>
          <w:color w:val="000000"/>
          <w:sz w:val="28"/>
          <w:szCs w:val="28"/>
        </w:rPr>
        <w:t>4月20日（星期一）考察「法務部矯正署桃園</w:t>
      </w:r>
      <w:proofErr w:type="gramStart"/>
      <w:r w:rsidR="00DA5349" w:rsidRPr="001B6E4D">
        <w:rPr>
          <w:rFonts w:ascii="標楷體" w:eastAsia="標楷體" w:hAnsi="標楷體" w:hint="eastAsia"/>
          <w:color w:val="000000"/>
          <w:sz w:val="28"/>
          <w:szCs w:val="28"/>
        </w:rPr>
        <w:t>敦</w:t>
      </w:r>
      <w:proofErr w:type="gramEnd"/>
      <w:r w:rsidR="00DA5349" w:rsidRPr="001B6E4D">
        <w:rPr>
          <w:rFonts w:ascii="標楷體" w:eastAsia="標楷體" w:hAnsi="標楷體" w:hint="eastAsia"/>
          <w:color w:val="000000"/>
          <w:sz w:val="28"/>
          <w:szCs w:val="28"/>
        </w:rPr>
        <w:t>品中學」感化教育成效暨社會</w:t>
      </w:r>
      <w:proofErr w:type="gramStart"/>
      <w:r w:rsidR="00DA5349" w:rsidRPr="001B6E4D">
        <w:rPr>
          <w:rFonts w:ascii="標楷體" w:eastAsia="標楷體" w:hAnsi="標楷體" w:hint="eastAsia"/>
          <w:color w:val="000000"/>
          <w:sz w:val="28"/>
          <w:szCs w:val="28"/>
        </w:rPr>
        <w:t>復歸轉銜</w:t>
      </w:r>
      <w:proofErr w:type="gramEnd"/>
      <w:r w:rsidR="00DA5349" w:rsidRPr="001B6E4D">
        <w:rPr>
          <w:rFonts w:ascii="標楷體" w:eastAsia="標楷體" w:hAnsi="標楷體" w:hint="eastAsia"/>
          <w:color w:val="000000"/>
          <w:sz w:val="28"/>
          <w:szCs w:val="28"/>
        </w:rPr>
        <w:t>機制。</w:t>
      </w:r>
    </w:p>
    <w:p w14:paraId="064B83D0" w14:textId="5275F192" w:rsidR="004E56DC" w:rsidRPr="001B6E4D" w:rsidRDefault="00E31304" w:rsidP="003D1018">
      <w:pPr>
        <w:overflowPunct w:val="0"/>
        <w:spacing w:line="380" w:lineRule="exact"/>
        <w:ind w:leftChars="471" w:left="1130" w:firstLineChars="205" w:firstLine="574"/>
        <w:jc w:val="both"/>
        <w:rPr>
          <w:rFonts w:ascii="標楷體" w:eastAsia="標楷體" w:hAnsi="標楷體"/>
          <w:color w:val="000000"/>
          <w:sz w:val="28"/>
          <w:szCs w:val="28"/>
        </w:rPr>
      </w:pPr>
      <w:bookmarkStart w:id="58" w:name="_Hlk193814282"/>
      <w:r w:rsidRPr="001B6E4D">
        <w:rPr>
          <w:rFonts w:ascii="標楷體" w:eastAsia="標楷體" w:hAnsi="標楷體" w:hint="eastAsia"/>
          <w:color w:val="000000"/>
          <w:sz w:val="28"/>
          <w:szCs w:val="28"/>
        </w:rPr>
        <w:t>委員張雅琳領隊，法務部矯正署副署長劉玲玲、</w:t>
      </w:r>
      <w:proofErr w:type="gramStart"/>
      <w:r w:rsidRPr="001B6E4D">
        <w:rPr>
          <w:rFonts w:ascii="標楷體" w:eastAsia="標楷體" w:hAnsi="標楷體" w:hint="eastAsia"/>
          <w:color w:val="000000"/>
          <w:sz w:val="28"/>
          <w:szCs w:val="28"/>
        </w:rPr>
        <w:t>敦</w:t>
      </w:r>
      <w:proofErr w:type="gramEnd"/>
      <w:r w:rsidRPr="001B6E4D">
        <w:rPr>
          <w:rFonts w:ascii="標楷體" w:eastAsia="標楷體" w:hAnsi="標楷體" w:hint="eastAsia"/>
          <w:color w:val="000000"/>
          <w:sz w:val="28"/>
          <w:szCs w:val="28"/>
        </w:rPr>
        <w:t>品中學校長郭宗裕等陪同。前往位於桃園市的</w:t>
      </w:r>
      <w:proofErr w:type="gramStart"/>
      <w:r w:rsidRPr="001B6E4D">
        <w:rPr>
          <w:rFonts w:ascii="標楷體" w:eastAsia="標楷體" w:hAnsi="標楷體" w:hint="eastAsia"/>
          <w:color w:val="000000"/>
          <w:sz w:val="28"/>
          <w:szCs w:val="28"/>
        </w:rPr>
        <w:t>敦</w:t>
      </w:r>
      <w:proofErr w:type="gramEnd"/>
      <w:r w:rsidRPr="001B6E4D">
        <w:rPr>
          <w:rFonts w:ascii="標楷體" w:eastAsia="標楷體" w:hAnsi="標楷體" w:hint="eastAsia"/>
          <w:color w:val="000000"/>
          <w:sz w:val="28"/>
          <w:szCs w:val="28"/>
        </w:rPr>
        <w:t>品中學展開實地考察。抵達後隨即前往行政大樓一樓簡報室，由</w:t>
      </w:r>
      <w:proofErr w:type="gramStart"/>
      <w:r w:rsidRPr="001B6E4D">
        <w:rPr>
          <w:rFonts w:ascii="標楷體" w:eastAsia="標楷體" w:hAnsi="標楷體" w:hint="eastAsia"/>
          <w:color w:val="000000"/>
          <w:sz w:val="28"/>
          <w:szCs w:val="28"/>
        </w:rPr>
        <w:t>敦</w:t>
      </w:r>
      <w:proofErr w:type="gramEnd"/>
      <w:r w:rsidRPr="001B6E4D">
        <w:rPr>
          <w:rFonts w:ascii="標楷體" w:eastAsia="標楷體" w:hAnsi="標楷體" w:hint="eastAsia"/>
          <w:color w:val="000000"/>
          <w:sz w:val="28"/>
          <w:szCs w:val="28"/>
        </w:rPr>
        <w:t>品中學校長郭宗裕進行詳盡的業務簡報，針對該校在感化教育之推動現況與具體成效進行深入淺出的說明，使與會人員能充分掌握該校之運作輪廓。簡報結束後，在</w:t>
      </w:r>
      <w:proofErr w:type="gramStart"/>
      <w:r w:rsidRPr="001B6E4D">
        <w:rPr>
          <w:rFonts w:ascii="標楷體" w:eastAsia="標楷體" w:hAnsi="標楷體" w:hint="eastAsia"/>
          <w:color w:val="000000"/>
          <w:sz w:val="28"/>
          <w:szCs w:val="28"/>
        </w:rPr>
        <w:t>敦</w:t>
      </w:r>
      <w:proofErr w:type="gramEnd"/>
      <w:r w:rsidRPr="001B6E4D">
        <w:rPr>
          <w:rFonts w:ascii="標楷體" w:eastAsia="標楷體" w:hAnsi="標楷體" w:hint="eastAsia"/>
          <w:color w:val="000000"/>
          <w:sz w:val="28"/>
          <w:szCs w:val="28"/>
        </w:rPr>
        <w:t>品中學專人的引導下，深入校園以了解</w:t>
      </w:r>
      <w:proofErr w:type="gramStart"/>
      <w:r w:rsidRPr="001B6E4D">
        <w:rPr>
          <w:rFonts w:ascii="標楷體" w:eastAsia="標楷體" w:hAnsi="標楷體" w:hint="eastAsia"/>
          <w:color w:val="000000"/>
          <w:sz w:val="28"/>
          <w:szCs w:val="28"/>
        </w:rPr>
        <w:t>敦</w:t>
      </w:r>
      <w:proofErr w:type="gramEnd"/>
      <w:r w:rsidRPr="001B6E4D">
        <w:rPr>
          <w:rFonts w:ascii="標楷體" w:eastAsia="標楷體" w:hAnsi="標楷體" w:hint="eastAsia"/>
          <w:color w:val="000000"/>
          <w:sz w:val="28"/>
          <w:szCs w:val="28"/>
        </w:rPr>
        <w:t>品中學感化教育的實際運作情形，並實地檢視社會</w:t>
      </w:r>
      <w:proofErr w:type="gramStart"/>
      <w:r w:rsidRPr="001B6E4D">
        <w:rPr>
          <w:rFonts w:ascii="標楷體" w:eastAsia="標楷體" w:hAnsi="標楷體" w:hint="eastAsia"/>
          <w:color w:val="000000"/>
          <w:sz w:val="28"/>
          <w:szCs w:val="28"/>
        </w:rPr>
        <w:t>復歸轉銜</w:t>
      </w:r>
      <w:proofErr w:type="gramEnd"/>
      <w:r w:rsidRPr="001B6E4D">
        <w:rPr>
          <w:rFonts w:ascii="標楷體" w:eastAsia="標楷體" w:hAnsi="標楷體" w:hint="eastAsia"/>
          <w:color w:val="000000"/>
          <w:sz w:val="28"/>
          <w:szCs w:val="28"/>
        </w:rPr>
        <w:t>機制的落實狀況，</w:t>
      </w:r>
      <w:r w:rsidR="00EB0883" w:rsidRPr="001B6E4D">
        <w:rPr>
          <w:rFonts w:ascii="標楷體" w:eastAsia="標楷體" w:hAnsi="標楷體" w:hint="eastAsia"/>
          <w:color w:val="000000"/>
          <w:sz w:val="28"/>
          <w:szCs w:val="28"/>
        </w:rPr>
        <w:t>最後</w:t>
      </w:r>
      <w:r w:rsidRPr="001B6E4D">
        <w:rPr>
          <w:rFonts w:ascii="標楷體" w:eastAsia="標楷體" w:hAnsi="標楷體" w:hint="eastAsia"/>
          <w:color w:val="000000"/>
          <w:sz w:val="28"/>
          <w:szCs w:val="28"/>
        </w:rPr>
        <w:t>返回行政大樓一樓簡報室進行綜合座談與意見交流。雙方針對感化教育的未來優化方向及協助少年未來順利銜接社會等核心議題，進行了熱烈、雙向且充分的探討。</w:t>
      </w:r>
    </w:p>
    <w:bookmarkEnd w:id="58"/>
    <w:p w14:paraId="1A0C6A21" w14:textId="3813C502" w:rsidR="004E56DC" w:rsidRPr="001B6E4D" w:rsidRDefault="004E56DC" w:rsidP="003D1018">
      <w:pPr>
        <w:overflowPunct w:val="0"/>
        <w:spacing w:beforeLines="50" w:before="180" w:line="380" w:lineRule="exact"/>
        <w:ind w:leftChars="235" w:left="1132" w:hangingChars="203" w:hanging="568"/>
        <w:jc w:val="both"/>
        <w:outlineLvl w:val="3"/>
        <w:rPr>
          <w:rFonts w:ascii="標楷體" w:eastAsia="標楷體" w:hAnsi="標楷體"/>
          <w:color w:val="000000"/>
          <w:sz w:val="28"/>
          <w:szCs w:val="28"/>
        </w:rPr>
      </w:pPr>
      <w:r w:rsidRPr="001B6E4D">
        <w:rPr>
          <w:rFonts w:ascii="標楷體" w:eastAsia="標楷體" w:hAnsi="標楷體" w:hint="eastAsia"/>
          <w:color w:val="000000"/>
          <w:sz w:val="28"/>
          <w:szCs w:val="28"/>
        </w:rPr>
        <w:t>(四)11</w:t>
      </w:r>
      <w:r w:rsidR="000B6191" w:rsidRPr="001B6E4D">
        <w:rPr>
          <w:rFonts w:ascii="標楷體" w:eastAsia="標楷體" w:hAnsi="標楷體" w:hint="eastAsia"/>
          <w:color w:val="000000"/>
          <w:sz w:val="28"/>
          <w:szCs w:val="28"/>
        </w:rPr>
        <w:t>5</w:t>
      </w:r>
      <w:r w:rsidRPr="001B6E4D">
        <w:rPr>
          <w:rFonts w:ascii="標楷體" w:eastAsia="標楷體" w:hAnsi="標楷體" w:hint="eastAsia"/>
          <w:color w:val="000000"/>
          <w:sz w:val="28"/>
          <w:szCs w:val="28"/>
        </w:rPr>
        <w:t>年</w:t>
      </w:r>
      <w:r w:rsidR="000B6191" w:rsidRPr="001B6E4D">
        <w:rPr>
          <w:rFonts w:ascii="標楷體" w:eastAsia="標楷體" w:hAnsi="標楷體" w:hint="eastAsia"/>
          <w:color w:val="000000"/>
          <w:sz w:val="28"/>
          <w:szCs w:val="28"/>
        </w:rPr>
        <w:t>6月1日(星期一)參訪臺灣</w:t>
      </w:r>
      <w:proofErr w:type="gramStart"/>
      <w:r w:rsidR="000B6191" w:rsidRPr="001B6E4D">
        <w:rPr>
          <w:rFonts w:ascii="標楷體" w:eastAsia="標楷體" w:hAnsi="標楷體" w:hint="eastAsia"/>
          <w:color w:val="000000"/>
          <w:sz w:val="28"/>
          <w:szCs w:val="28"/>
        </w:rPr>
        <w:t>臺</w:t>
      </w:r>
      <w:proofErr w:type="gramEnd"/>
      <w:r w:rsidR="000B6191" w:rsidRPr="001B6E4D">
        <w:rPr>
          <w:rFonts w:ascii="標楷體" w:eastAsia="標楷體" w:hAnsi="標楷體" w:hint="eastAsia"/>
          <w:color w:val="000000"/>
          <w:sz w:val="28"/>
          <w:szCs w:val="28"/>
        </w:rPr>
        <w:t>北地方法院法庭建置中文語音辨識系統之應用。</w:t>
      </w:r>
    </w:p>
    <w:bookmarkEnd w:id="56"/>
    <w:bookmarkEnd w:id="57"/>
    <w:p w14:paraId="0058EF32" w14:textId="240A9CD6" w:rsidR="004E56DC" w:rsidRPr="001B6E4D" w:rsidRDefault="00162BAC" w:rsidP="003D1018">
      <w:pPr>
        <w:overflowPunct w:val="0"/>
        <w:spacing w:line="380" w:lineRule="exact"/>
        <w:ind w:leftChars="471" w:left="1130" w:firstLineChars="205" w:firstLine="574"/>
        <w:jc w:val="both"/>
        <w:rPr>
          <w:rFonts w:ascii="標楷體" w:eastAsia="標楷體" w:hAnsi="標楷體"/>
          <w:color w:val="000000"/>
          <w:sz w:val="28"/>
          <w:szCs w:val="28"/>
        </w:rPr>
      </w:pPr>
      <w:r w:rsidRPr="001B6E4D">
        <w:rPr>
          <w:rFonts w:ascii="標楷體" w:eastAsia="標楷體" w:hAnsi="標楷體" w:hint="eastAsia"/>
          <w:color w:val="000000"/>
          <w:sz w:val="28"/>
          <w:szCs w:val="28"/>
        </w:rPr>
        <w:t>委員張雅琳領隊，司法院秘書長高金枝、臺灣</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北地方法院院長何信慶等陪同。前往臺灣</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北地方法院</w:t>
      </w:r>
      <w:proofErr w:type="gramStart"/>
      <w:r w:rsidRPr="001B6E4D">
        <w:rPr>
          <w:rFonts w:ascii="標楷體" w:eastAsia="標楷體" w:hAnsi="標楷體" w:hint="eastAsia"/>
          <w:color w:val="000000"/>
          <w:sz w:val="28"/>
          <w:szCs w:val="28"/>
        </w:rPr>
        <w:t>寶慶院區</w:t>
      </w:r>
      <w:proofErr w:type="gramEnd"/>
      <w:r w:rsidRPr="001B6E4D">
        <w:rPr>
          <w:rFonts w:ascii="標楷體" w:eastAsia="標楷體" w:hAnsi="標楷體" w:hint="eastAsia"/>
          <w:color w:val="000000"/>
          <w:sz w:val="28"/>
          <w:szCs w:val="28"/>
        </w:rPr>
        <w:t>展開實地</w:t>
      </w:r>
      <w:r w:rsidR="002E5BEC" w:rsidRPr="001B6E4D">
        <w:rPr>
          <w:rFonts w:ascii="標楷體" w:eastAsia="標楷體" w:hAnsi="標楷體" w:hint="eastAsia"/>
          <w:color w:val="000000"/>
          <w:sz w:val="28"/>
          <w:szCs w:val="28"/>
        </w:rPr>
        <w:t>參訪</w:t>
      </w:r>
      <w:r w:rsidRPr="001B6E4D">
        <w:rPr>
          <w:rFonts w:ascii="標楷體" w:eastAsia="標楷體" w:hAnsi="標楷體" w:hint="eastAsia"/>
          <w:color w:val="000000"/>
          <w:sz w:val="28"/>
          <w:szCs w:val="28"/>
        </w:rPr>
        <w:t>。抵達後前往國民法官法庭第一法庭，首先由司法院秘書長高金枝代表</w:t>
      </w:r>
      <w:proofErr w:type="gramStart"/>
      <w:r w:rsidRPr="001B6E4D">
        <w:rPr>
          <w:rFonts w:ascii="標楷體" w:eastAsia="標楷體" w:hAnsi="標楷體" w:hint="eastAsia"/>
          <w:color w:val="000000"/>
          <w:sz w:val="28"/>
          <w:szCs w:val="28"/>
        </w:rPr>
        <w:t>院方致歡迎詞</w:t>
      </w:r>
      <w:proofErr w:type="gramEnd"/>
      <w:r w:rsidRPr="001B6E4D">
        <w:rPr>
          <w:rFonts w:ascii="標楷體" w:eastAsia="標楷體" w:hAnsi="標楷體" w:hint="eastAsia"/>
          <w:color w:val="000000"/>
          <w:sz w:val="28"/>
          <w:szCs w:val="28"/>
        </w:rPr>
        <w:t>，隨後由領隊張雅琳委員致詞。緊接著，由臺灣</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北地方法院刑事庭庭長</w:t>
      </w:r>
      <w:proofErr w:type="gramStart"/>
      <w:r w:rsidRPr="001B6E4D">
        <w:rPr>
          <w:rFonts w:ascii="標楷體" w:eastAsia="標楷體" w:hAnsi="標楷體" w:hint="eastAsia"/>
          <w:color w:val="000000"/>
          <w:sz w:val="28"/>
          <w:szCs w:val="28"/>
        </w:rPr>
        <w:t>吳承學針對</w:t>
      </w:r>
      <w:proofErr w:type="gramEnd"/>
      <w:r w:rsidRPr="001B6E4D">
        <w:rPr>
          <w:rFonts w:ascii="標楷體" w:eastAsia="標楷體" w:hAnsi="標楷體" w:hint="eastAsia"/>
          <w:color w:val="000000"/>
          <w:sz w:val="28"/>
          <w:szCs w:val="28"/>
        </w:rPr>
        <w:t>「中文語音辨識系統之應用」進行詳盡的專題簡報，使委員能深入瞭解該系統在法庭實務上的運作現況與預期成效。簡報結束後，全體與會人員在院方人員的引導下，於國民法官法庭進行語音辨識系統的實地導</w:t>
      </w:r>
      <w:proofErr w:type="gramStart"/>
      <w:r w:rsidRPr="001B6E4D">
        <w:rPr>
          <w:rFonts w:ascii="標楷體" w:eastAsia="標楷體" w:hAnsi="標楷體" w:hint="eastAsia"/>
          <w:color w:val="000000"/>
          <w:sz w:val="28"/>
          <w:szCs w:val="28"/>
        </w:rPr>
        <w:t>覽</w:t>
      </w:r>
      <w:proofErr w:type="gramEnd"/>
      <w:r w:rsidRPr="001B6E4D">
        <w:rPr>
          <w:rFonts w:ascii="標楷體" w:eastAsia="標楷體" w:hAnsi="標楷體" w:hint="eastAsia"/>
          <w:color w:val="000000"/>
          <w:sz w:val="28"/>
          <w:szCs w:val="28"/>
        </w:rPr>
        <w:t>，親自體驗並檢視系統的實際運作情形。隨後，再搭乘專車轉赴臺灣</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北地方法院院本部，前往2樓刑事第二法庭進行一般刑事法庭的語音辨識系統導</w:t>
      </w:r>
      <w:proofErr w:type="gramStart"/>
      <w:r w:rsidRPr="001B6E4D">
        <w:rPr>
          <w:rFonts w:ascii="標楷體" w:eastAsia="標楷體" w:hAnsi="標楷體" w:hint="eastAsia"/>
          <w:color w:val="000000"/>
          <w:sz w:val="28"/>
          <w:szCs w:val="28"/>
        </w:rPr>
        <w:t>覽</w:t>
      </w:r>
      <w:proofErr w:type="gramEnd"/>
      <w:r w:rsidRPr="001B6E4D">
        <w:rPr>
          <w:rFonts w:ascii="標楷體" w:eastAsia="標楷體" w:hAnsi="標楷體" w:hint="eastAsia"/>
          <w:color w:val="000000"/>
          <w:sz w:val="28"/>
          <w:szCs w:val="28"/>
        </w:rPr>
        <w:t>，透過實地觀察不同法庭的配置與應用，確切掌握科技輔助司法審判的具體成效</w:t>
      </w:r>
      <w:r w:rsidR="00536F7F" w:rsidRPr="001B6E4D">
        <w:rPr>
          <w:rFonts w:ascii="標楷體" w:eastAsia="標楷體" w:hAnsi="標楷體" w:hint="eastAsia"/>
          <w:color w:val="000000"/>
          <w:sz w:val="28"/>
          <w:szCs w:val="28"/>
        </w:rPr>
        <w:t>，</w:t>
      </w:r>
      <w:r w:rsidR="00F93022" w:rsidRPr="001B6E4D">
        <w:rPr>
          <w:rFonts w:ascii="標楷體" w:eastAsia="標楷體" w:hAnsi="標楷體" w:hint="eastAsia"/>
          <w:color w:val="000000"/>
          <w:sz w:val="28"/>
          <w:szCs w:val="28"/>
        </w:rPr>
        <w:t>最後</w:t>
      </w:r>
      <w:r w:rsidRPr="001B6E4D">
        <w:rPr>
          <w:rFonts w:ascii="標楷體" w:eastAsia="標楷體" w:hAnsi="標楷體" w:hint="eastAsia"/>
          <w:color w:val="000000"/>
          <w:sz w:val="28"/>
          <w:szCs w:val="28"/>
        </w:rPr>
        <w:t>前往4樓多媒體簡報室進行綜合座談與意見交流。雙方針對語音辨識系統的未來優化方向及實務應用等核心議題，進行了熱烈、雙向且充分的探討。</w:t>
      </w:r>
    </w:p>
    <w:p w14:paraId="6EDD0623" w14:textId="0E8A62D7" w:rsidR="004E56DC" w:rsidRPr="001B6E4D" w:rsidRDefault="004E56DC" w:rsidP="003D1018">
      <w:pPr>
        <w:overflowPunct w:val="0"/>
        <w:spacing w:beforeLines="50" w:before="180" w:line="380" w:lineRule="exact"/>
        <w:ind w:leftChars="235" w:left="1132" w:hangingChars="203" w:hanging="568"/>
        <w:jc w:val="both"/>
        <w:outlineLvl w:val="3"/>
        <w:rPr>
          <w:rFonts w:ascii="標楷體" w:eastAsia="標楷體" w:hAnsi="標楷體"/>
          <w:color w:val="000000"/>
          <w:sz w:val="28"/>
          <w:szCs w:val="28"/>
        </w:rPr>
      </w:pPr>
      <w:r w:rsidRPr="001B6E4D">
        <w:rPr>
          <w:rFonts w:ascii="標楷體" w:eastAsia="標楷體" w:hAnsi="標楷體" w:hint="eastAsia"/>
          <w:color w:val="000000"/>
          <w:sz w:val="28"/>
          <w:szCs w:val="28"/>
        </w:rPr>
        <w:t>(五)11</w:t>
      </w:r>
      <w:r w:rsidR="00B94B97" w:rsidRPr="001B6E4D">
        <w:rPr>
          <w:rFonts w:ascii="標楷體" w:eastAsia="標楷體" w:hAnsi="標楷體" w:hint="eastAsia"/>
          <w:color w:val="000000"/>
          <w:sz w:val="28"/>
          <w:szCs w:val="28"/>
        </w:rPr>
        <w:t>5</w:t>
      </w:r>
      <w:r w:rsidRPr="001B6E4D">
        <w:rPr>
          <w:rFonts w:ascii="標楷體" w:eastAsia="標楷體" w:hAnsi="標楷體" w:hint="eastAsia"/>
          <w:color w:val="000000"/>
          <w:sz w:val="28"/>
          <w:szCs w:val="28"/>
        </w:rPr>
        <w:t>年</w:t>
      </w:r>
      <w:r w:rsidR="00B94B97" w:rsidRPr="001B6E4D">
        <w:rPr>
          <w:rFonts w:ascii="標楷體" w:eastAsia="標楷體" w:hAnsi="標楷體" w:hint="eastAsia"/>
          <w:color w:val="000000"/>
          <w:sz w:val="28"/>
          <w:szCs w:val="28"/>
        </w:rPr>
        <w:t>6月15日(星期一)考察法務部矯正署</w:t>
      </w:r>
      <w:proofErr w:type="gramStart"/>
      <w:r w:rsidR="00B94B97" w:rsidRPr="001B6E4D">
        <w:rPr>
          <w:rFonts w:ascii="標楷體" w:eastAsia="標楷體" w:hAnsi="標楷體" w:hint="eastAsia"/>
          <w:color w:val="000000"/>
          <w:sz w:val="28"/>
          <w:szCs w:val="28"/>
        </w:rPr>
        <w:t>臺</w:t>
      </w:r>
      <w:proofErr w:type="gramEnd"/>
      <w:r w:rsidR="00B94B97" w:rsidRPr="001B6E4D">
        <w:rPr>
          <w:rFonts w:ascii="標楷體" w:eastAsia="標楷體" w:hAnsi="標楷體" w:hint="eastAsia"/>
          <w:color w:val="000000"/>
          <w:sz w:val="28"/>
          <w:szCs w:val="28"/>
        </w:rPr>
        <w:t>北少年觀護所少年出所轉銜機制與毒品防治業務概況。</w:t>
      </w:r>
    </w:p>
    <w:p w14:paraId="55A699D7" w14:textId="5C99CCD7" w:rsidR="004E56DC" w:rsidRPr="001B6E4D" w:rsidRDefault="00B94B97" w:rsidP="003D1018">
      <w:pPr>
        <w:overflowPunct w:val="0"/>
        <w:spacing w:line="380" w:lineRule="exact"/>
        <w:ind w:leftChars="471" w:left="1130" w:firstLineChars="205" w:firstLine="574"/>
        <w:jc w:val="both"/>
        <w:rPr>
          <w:rFonts w:ascii="標楷體" w:eastAsia="標楷體" w:hAnsi="標楷體"/>
          <w:color w:val="000000"/>
          <w:sz w:val="28"/>
          <w:szCs w:val="28"/>
        </w:rPr>
      </w:pPr>
      <w:r w:rsidRPr="001B6E4D">
        <w:rPr>
          <w:rFonts w:ascii="標楷體" w:eastAsia="標楷體" w:hAnsi="標楷體" w:hint="eastAsia"/>
          <w:color w:val="000000"/>
          <w:sz w:val="28"/>
          <w:szCs w:val="28"/>
        </w:rPr>
        <w:lastRenderedPageBreak/>
        <w:t>委員張雅琳領隊，委員陳昭姿同行，法務部矯正署主任秘書蘇維闊、</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北少年觀護</w:t>
      </w:r>
      <w:proofErr w:type="gramStart"/>
      <w:r w:rsidRPr="001B6E4D">
        <w:rPr>
          <w:rFonts w:ascii="標楷體" w:eastAsia="標楷體" w:hAnsi="標楷體" w:hint="eastAsia"/>
          <w:color w:val="000000"/>
          <w:sz w:val="28"/>
          <w:szCs w:val="28"/>
        </w:rPr>
        <w:t>所</w:t>
      </w:r>
      <w:proofErr w:type="gramEnd"/>
      <w:r w:rsidRPr="001B6E4D">
        <w:rPr>
          <w:rFonts w:ascii="標楷體" w:eastAsia="標楷體" w:hAnsi="標楷體" w:hint="eastAsia"/>
          <w:color w:val="000000"/>
          <w:sz w:val="28"/>
          <w:szCs w:val="28"/>
        </w:rPr>
        <w:t>所長簡永池、司法院少年及家事廳法官傅曉瑄等陪同，前往位於新北市土城區的法務部矯正署</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北少年觀護所。抵達後隨即前往該所二樓會議室，由</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北少年觀護所副所長江旭麗進行詳盡的業務簡報，從該所成立沿革、人力配置及收容概況，再到少年出所之轉銜機制與毒品防治業務概況進行深入淺出的說明，使與會人員能充分掌握該所在保護少年及協助復歸社會上的具體執行現況。簡報結束後，在所方專業人員的引導說明下，深入了解</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北少年觀護所的收容現況，透過親身走訪與觀察，確切檢視相關收容及照護設施的實際運作情形。</w:t>
      </w:r>
      <w:r w:rsidR="00170DE8" w:rsidRPr="001B6E4D">
        <w:rPr>
          <w:rFonts w:ascii="標楷體" w:eastAsia="標楷體" w:hAnsi="標楷體" w:hint="eastAsia"/>
          <w:color w:val="000000"/>
          <w:sz w:val="28"/>
          <w:szCs w:val="28"/>
        </w:rPr>
        <w:t>最後</w:t>
      </w:r>
      <w:r w:rsidRPr="001B6E4D">
        <w:rPr>
          <w:rFonts w:ascii="標楷體" w:eastAsia="標楷體" w:hAnsi="標楷體" w:hint="eastAsia"/>
          <w:color w:val="000000"/>
          <w:sz w:val="28"/>
          <w:szCs w:val="28"/>
        </w:rPr>
        <w:t>返回二樓會議室進行綜合座談與意見交流。雙方針對少年順利銜接社會之配套措施及防制毒品之實務工作等核心議題，進行熱烈、雙向且充分的探討。</w:t>
      </w:r>
    </w:p>
    <w:p w14:paraId="0F8352FB" w14:textId="5DD1A8C5" w:rsidR="004E56DC" w:rsidRPr="001B6E4D" w:rsidRDefault="004E56DC" w:rsidP="003D1018">
      <w:pPr>
        <w:overflowPunct w:val="0"/>
        <w:spacing w:beforeLines="50" w:before="180" w:line="380" w:lineRule="exact"/>
        <w:ind w:leftChars="235" w:left="1132" w:hangingChars="203" w:hanging="568"/>
        <w:jc w:val="both"/>
        <w:outlineLvl w:val="3"/>
        <w:rPr>
          <w:rFonts w:ascii="標楷體" w:eastAsia="標楷體" w:hAnsi="標楷體"/>
          <w:color w:val="000000"/>
          <w:sz w:val="28"/>
          <w:szCs w:val="28"/>
        </w:rPr>
      </w:pPr>
      <w:r w:rsidRPr="001B6E4D">
        <w:rPr>
          <w:rFonts w:ascii="標楷體" w:eastAsia="標楷體" w:hAnsi="標楷體" w:hint="eastAsia"/>
          <w:color w:val="000000"/>
          <w:sz w:val="28"/>
          <w:szCs w:val="28"/>
        </w:rPr>
        <w:t>(六)11</w:t>
      </w:r>
      <w:r w:rsidR="00052561" w:rsidRPr="001B6E4D">
        <w:rPr>
          <w:rFonts w:ascii="標楷體" w:eastAsia="標楷體" w:hAnsi="標楷體" w:hint="eastAsia"/>
          <w:color w:val="000000"/>
          <w:sz w:val="28"/>
          <w:szCs w:val="28"/>
        </w:rPr>
        <w:t>5</w:t>
      </w:r>
      <w:r w:rsidRPr="001B6E4D">
        <w:rPr>
          <w:rFonts w:ascii="標楷體" w:eastAsia="標楷體" w:hAnsi="標楷體" w:hint="eastAsia"/>
          <w:color w:val="000000"/>
          <w:sz w:val="28"/>
          <w:szCs w:val="28"/>
        </w:rPr>
        <w:t>年</w:t>
      </w:r>
      <w:r w:rsidR="00052561" w:rsidRPr="001B6E4D">
        <w:rPr>
          <w:rFonts w:ascii="標楷體" w:eastAsia="標楷體" w:hAnsi="標楷體" w:hint="eastAsia"/>
          <w:color w:val="000000"/>
          <w:sz w:val="28"/>
          <w:szCs w:val="28"/>
        </w:rPr>
        <w:t>6月22日(星期一)考察法務部調查局中和調查園區新建</w:t>
      </w:r>
      <w:proofErr w:type="gramStart"/>
      <w:r w:rsidR="00052561" w:rsidRPr="001B6E4D">
        <w:rPr>
          <w:rFonts w:ascii="標楷體" w:eastAsia="標楷體" w:hAnsi="標楷體" w:hint="eastAsia"/>
          <w:color w:val="000000"/>
          <w:sz w:val="28"/>
          <w:szCs w:val="28"/>
        </w:rPr>
        <w:t>鑑</w:t>
      </w:r>
      <w:proofErr w:type="gramEnd"/>
      <w:r w:rsidR="00052561" w:rsidRPr="001B6E4D">
        <w:rPr>
          <w:rFonts w:ascii="標楷體" w:eastAsia="標楷體" w:hAnsi="標楷體" w:hint="eastAsia"/>
          <w:color w:val="000000"/>
          <w:sz w:val="28"/>
          <w:szCs w:val="28"/>
        </w:rPr>
        <w:t>識科學大樓成效與展望。</w:t>
      </w:r>
    </w:p>
    <w:p w14:paraId="42A52611" w14:textId="310E4004" w:rsidR="004E56DC" w:rsidRPr="001B6E4D" w:rsidRDefault="00382093" w:rsidP="003D1018">
      <w:pPr>
        <w:overflowPunct w:val="0"/>
        <w:spacing w:line="380" w:lineRule="exact"/>
        <w:ind w:leftChars="471" w:left="1130" w:firstLineChars="205" w:firstLine="574"/>
        <w:jc w:val="both"/>
        <w:rPr>
          <w:rFonts w:ascii="標楷體" w:eastAsia="標楷體" w:hAnsi="標楷體"/>
          <w:color w:val="000000"/>
          <w:sz w:val="28"/>
          <w:szCs w:val="28"/>
        </w:rPr>
      </w:pPr>
      <w:r w:rsidRPr="001B6E4D">
        <w:rPr>
          <w:rFonts w:ascii="標楷體" w:eastAsia="標楷體" w:hAnsi="標楷體" w:hint="eastAsia"/>
          <w:color w:val="000000"/>
          <w:sz w:val="28"/>
          <w:szCs w:val="28"/>
        </w:rPr>
        <w:t>召集委員翁曉玲領隊，委員張智倫同行，法務部主任秘書余麗貞、法務部調查局局長陳白立、法務部調查局中和園區</w:t>
      </w: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hint="eastAsia"/>
          <w:color w:val="000000"/>
          <w:sz w:val="28"/>
          <w:szCs w:val="28"/>
        </w:rPr>
        <w:t>識科學</w:t>
      </w:r>
      <w:proofErr w:type="gramStart"/>
      <w:r w:rsidRPr="001B6E4D">
        <w:rPr>
          <w:rFonts w:ascii="標楷體" w:eastAsia="標楷體" w:hAnsi="標楷體" w:hint="eastAsia"/>
          <w:color w:val="000000"/>
          <w:sz w:val="28"/>
          <w:szCs w:val="28"/>
        </w:rPr>
        <w:t>處</w:t>
      </w:r>
      <w:proofErr w:type="gramEnd"/>
      <w:r w:rsidRPr="001B6E4D">
        <w:rPr>
          <w:rFonts w:ascii="標楷體" w:eastAsia="標楷體" w:hAnsi="標楷體" w:hint="eastAsia"/>
          <w:color w:val="000000"/>
          <w:sz w:val="28"/>
          <w:szCs w:val="28"/>
        </w:rPr>
        <w:t>處長顏成安等陪同。前往法務部調查局中和調查園區展開實地考察。抵達後隨即前往</w:t>
      </w:r>
      <w:proofErr w:type="gramStart"/>
      <w:r w:rsidRPr="001B6E4D">
        <w:rPr>
          <w:rFonts w:ascii="標楷體" w:eastAsia="標楷體" w:hAnsi="標楷體" w:hint="eastAsia"/>
          <w:color w:val="000000"/>
          <w:sz w:val="28"/>
          <w:szCs w:val="28"/>
        </w:rPr>
        <w:t>Ｂ</w:t>
      </w:r>
      <w:proofErr w:type="gramEnd"/>
      <w:r w:rsidRPr="001B6E4D">
        <w:rPr>
          <w:rFonts w:ascii="標楷體" w:eastAsia="標楷體" w:hAnsi="標楷體" w:hint="eastAsia"/>
          <w:color w:val="000000"/>
          <w:sz w:val="28"/>
          <w:szCs w:val="28"/>
        </w:rPr>
        <w:t>棟1樓會議室，首先由法務部主任秘書余麗貞代表致歡迎詞，隨後由領隊翁曉玲委員致詞。接著，由</w:t>
      </w: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hint="eastAsia"/>
          <w:color w:val="000000"/>
          <w:sz w:val="28"/>
          <w:szCs w:val="28"/>
        </w:rPr>
        <w:t>識科學</w:t>
      </w:r>
      <w:proofErr w:type="gramStart"/>
      <w:r w:rsidRPr="001B6E4D">
        <w:rPr>
          <w:rFonts w:ascii="標楷體" w:eastAsia="標楷體" w:hAnsi="標楷體" w:hint="eastAsia"/>
          <w:color w:val="000000"/>
          <w:sz w:val="28"/>
          <w:szCs w:val="28"/>
        </w:rPr>
        <w:t>處</w:t>
      </w:r>
      <w:proofErr w:type="gramEnd"/>
      <w:r w:rsidRPr="001B6E4D">
        <w:rPr>
          <w:rFonts w:ascii="標楷體" w:eastAsia="標楷體" w:hAnsi="標楷體" w:hint="eastAsia"/>
          <w:color w:val="000000"/>
          <w:sz w:val="28"/>
          <w:szCs w:val="28"/>
        </w:rPr>
        <w:t>處長顏成安進行詳盡的簡報，使與會人員能充分掌握新建</w:t>
      </w: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hint="eastAsia"/>
          <w:color w:val="000000"/>
          <w:sz w:val="28"/>
          <w:szCs w:val="28"/>
        </w:rPr>
        <w:t>識科學大樓的成效與未來展望。</w:t>
      </w:r>
      <w:r w:rsidR="009F175E" w:rsidRPr="001B6E4D">
        <w:rPr>
          <w:rFonts w:ascii="標楷體" w:eastAsia="標楷體" w:hAnsi="標楷體" w:hint="eastAsia"/>
          <w:color w:val="000000"/>
          <w:sz w:val="28"/>
          <w:szCs w:val="28"/>
        </w:rPr>
        <w:t>接著</w:t>
      </w:r>
      <w:r w:rsidRPr="001B6E4D">
        <w:rPr>
          <w:rFonts w:ascii="標楷體" w:eastAsia="標楷體" w:hAnsi="標楷體" w:hint="eastAsia"/>
          <w:color w:val="000000"/>
          <w:sz w:val="28"/>
          <w:szCs w:val="28"/>
        </w:rPr>
        <w:t>依序參觀1樓</w:t>
      </w: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hint="eastAsia"/>
          <w:color w:val="000000"/>
          <w:sz w:val="28"/>
          <w:szCs w:val="28"/>
        </w:rPr>
        <w:t>識科學陳展區、8樓濫用藥物實驗室、7樓生物</w:t>
      </w: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hint="eastAsia"/>
          <w:color w:val="000000"/>
          <w:sz w:val="28"/>
          <w:szCs w:val="28"/>
        </w:rPr>
        <w:t>識實驗室、5樓物理</w:t>
      </w: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hint="eastAsia"/>
          <w:color w:val="000000"/>
          <w:sz w:val="28"/>
          <w:szCs w:val="28"/>
        </w:rPr>
        <w:t>識實驗室，以及3樓文書暨指紋</w:t>
      </w: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hint="eastAsia"/>
          <w:color w:val="000000"/>
          <w:sz w:val="28"/>
          <w:szCs w:val="28"/>
        </w:rPr>
        <w:t>識實驗室與科技</w:t>
      </w:r>
      <w:proofErr w:type="gramStart"/>
      <w:r w:rsidRPr="001B6E4D">
        <w:rPr>
          <w:rFonts w:ascii="標楷體" w:eastAsia="標楷體" w:hAnsi="標楷體" w:hint="eastAsia"/>
          <w:color w:val="000000"/>
          <w:sz w:val="28"/>
          <w:szCs w:val="28"/>
        </w:rPr>
        <w:t>蒐</w:t>
      </w:r>
      <w:proofErr w:type="gramEnd"/>
      <w:r w:rsidRPr="001B6E4D">
        <w:rPr>
          <w:rFonts w:ascii="標楷體" w:eastAsia="標楷體" w:hAnsi="標楷體" w:hint="eastAsia"/>
          <w:color w:val="000000"/>
          <w:sz w:val="28"/>
          <w:szCs w:val="28"/>
        </w:rPr>
        <w:t>證器材展示，透過親身走訪與觀察，確切檢視各項</w:t>
      </w: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hint="eastAsia"/>
          <w:color w:val="000000"/>
          <w:sz w:val="28"/>
          <w:szCs w:val="28"/>
        </w:rPr>
        <w:t>識科學設備的實際運作情形。</w:t>
      </w:r>
      <w:r w:rsidR="00CD5017" w:rsidRPr="001B6E4D">
        <w:rPr>
          <w:rFonts w:ascii="標楷體" w:eastAsia="標楷體" w:hAnsi="標楷體" w:hint="eastAsia"/>
          <w:color w:val="000000"/>
          <w:sz w:val="28"/>
          <w:szCs w:val="28"/>
        </w:rPr>
        <w:t>最後</w:t>
      </w:r>
      <w:r w:rsidRPr="001B6E4D">
        <w:rPr>
          <w:rFonts w:ascii="標楷體" w:eastAsia="標楷體" w:hAnsi="標楷體" w:hint="eastAsia"/>
          <w:color w:val="000000"/>
          <w:sz w:val="28"/>
          <w:szCs w:val="28"/>
        </w:rPr>
        <w:t>返回</w:t>
      </w:r>
      <w:proofErr w:type="gramStart"/>
      <w:r w:rsidRPr="001B6E4D">
        <w:rPr>
          <w:rFonts w:ascii="標楷體" w:eastAsia="標楷體" w:hAnsi="標楷體" w:hint="eastAsia"/>
          <w:color w:val="000000"/>
          <w:sz w:val="28"/>
          <w:szCs w:val="28"/>
        </w:rPr>
        <w:t>Ｂ</w:t>
      </w:r>
      <w:proofErr w:type="gramEnd"/>
      <w:r w:rsidRPr="001B6E4D">
        <w:rPr>
          <w:rFonts w:ascii="標楷體" w:eastAsia="標楷體" w:hAnsi="標楷體" w:hint="eastAsia"/>
          <w:color w:val="000000"/>
          <w:sz w:val="28"/>
          <w:szCs w:val="28"/>
        </w:rPr>
        <w:t>棟1樓會議室進行綜合座談與意見交流。雙方針對</w:t>
      </w: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hint="eastAsia"/>
          <w:color w:val="000000"/>
          <w:sz w:val="28"/>
          <w:szCs w:val="28"/>
        </w:rPr>
        <w:t>識科學之實務工作推動及未來發展等核心議題，進行了熱烈、雙向且充分的探討。</w:t>
      </w:r>
    </w:p>
    <w:p w14:paraId="54B2453F" w14:textId="62FECA37" w:rsidR="004E56DC" w:rsidRPr="001B6E4D" w:rsidRDefault="004E56DC" w:rsidP="003D1018">
      <w:pPr>
        <w:overflowPunct w:val="0"/>
        <w:spacing w:beforeLines="50" w:before="180" w:line="380" w:lineRule="exact"/>
        <w:ind w:leftChars="235" w:left="1132" w:hangingChars="203" w:hanging="568"/>
        <w:jc w:val="both"/>
        <w:outlineLvl w:val="3"/>
        <w:rPr>
          <w:rFonts w:ascii="標楷體" w:eastAsia="標楷體" w:hAnsi="標楷體"/>
          <w:color w:val="000000"/>
          <w:sz w:val="28"/>
          <w:szCs w:val="28"/>
        </w:rPr>
      </w:pPr>
      <w:r w:rsidRPr="001B6E4D">
        <w:rPr>
          <w:rFonts w:ascii="標楷體" w:eastAsia="標楷體" w:hAnsi="標楷體" w:hint="eastAsia"/>
          <w:color w:val="000000"/>
          <w:sz w:val="28"/>
          <w:szCs w:val="28"/>
        </w:rPr>
        <w:t>(七)11</w:t>
      </w:r>
      <w:r w:rsidR="00C13CC9" w:rsidRPr="001B6E4D">
        <w:rPr>
          <w:rFonts w:ascii="標楷體" w:eastAsia="標楷體" w:hAnsi="標楷體" w:hint="eastAsia"/>
          <w:color w:val="000000"/>
          <w:sz w:val="28"/>
          <w:szCs w:val="28"/>
        </w:rPr>
        <w:t>5</w:t>
      </w:r>
      <w:r w:rsidRPr="001B6E4D">
        <w:rPr>
          <w:rFonts w:ascii="標楷體" w:eastAsia="標楷體" w:hAnsi="標楷體" w:hint="eastAsia"/>
          <w:color w:val="000000"/>
          <w:sz w:val="28"/>
          <w:szCs w:val="28"/>
        </w:rPr>
        <w:t>年</w:t>
      </w:r>
      <w:r w:rsidR="00C13CC9" w:rsidRPr="001B6E4D">
        <w:rPr>
          <w:rFonts w:ascii="標楷體" w:eastAsia="標楷體" w:hAnsi="標楷體" w:hint="eastAsia"/>
          <w:color w:val="000000"/>
          <w:sz w:val="28"/>
          <w:szCs w:val="28"/>
        </w:rPr>
        <w:t>6月29日(星期一)考察臺灣</w:t>
      </w:r>
      <w:proofErr w:type="gramStart"/>
      <w:r w:rsidR="00C13CC9" w:rsidRPr="001B6E4D">
        <w:rPr>
          <w:rFonts w:ascii="標楷體" w:eastAsia="標楷體" w:hAnsi="標楷體" w:hint="eastAsia"/>
          <w:color w:val="000000"/>
          <w:sz w:val="28"/>
          <w:szCs w:val="28"/>
        </w:rPr>
        <w:t>臺</w:t>
      </w:r>
      <w:proofErr w:type="gramEnd"/>
      <w:r w:rsidR="00C13CC9" w:rsidRPr="001B6E4D">
        <w:rPr>
          <w:rFonts w:ascii="標楷體" w:eastAsia="標楷體" w:hAnsi="標楷體" w:hint="eastAsia"/>
          <w:color w:val="000000"/>
          <w:sz w:val="28"/>
          <w:szCs w:val="28"/>
        </w:rPr>
        <w:t>北地方檢察署贓證物庫管理概況。</w:t>
      </w:r>
    </w:p>
    <w:p w14:paraId="5C657ADE" w14:textId="23EC5ED0" w:rsidR="004E56DC" w:rsidRPr="001B6E4D" w:rsidRDefault="00C13CC9" w:rsidP="003D1018">
      <w:pPr>
        <w:overflowPunct w:val="0"/>
        <w:spacing w:line="380" w:lineRule="exact"/>
        <w:ind w:leftChars="471" w:left="1130" w:firstLineChars="205" w:firstLine="574"/>
        <w:jc w:val="both"/>
        <w:rPr>
          <w:rFonts w:ascii="標楷體" w:eastAsia="標楷體" w:hAnsi="標楷體"/>
          <w:color w:val="000000"/>
          <w:sz w:val="28"/>
          <w:szCs w:val="28"/>
        </w:rPr>
      </w:pPr>
      <w:r w:rsidRPr="001B6E4D">
        <w:rPr>
          <w:rFonts w:ascii="標楷體" w:eastAsia="標楷體" w:hAnsi="標楷體" w:hint="eastAsia"/>
          <w:color w:val="000000"/>
          <w:sz w:val="28"/>
          <w:szCs w:val="28"/>
        </w:rPr>
        <w:t>委員沈發惠領隊，委員陳昭姿同行，法務部政務次長黃謀信、臺灣</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北地方檢察署檢察長王俊力等陪同。前往臺灣</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北地方檢察署贓證物庫。抵達後隨即於贓物庫大樓1樓集合，首先由法務部政務次長黃謀信代表致歡迎詞，隨後由領隊沈發惠委員致詞。接著由贓物庫股長蔡宜哲進行詳盡的業務簡報，使與會人員</w:t>
      </w:r>
      <w:r w:rsidRPr="001B6E4D">
        <w:rPr>
          <w:rFonts w:ascii="標楷體" w:eastAsia="標楷體" w:hAnsi="標楷體" w:hint="eastAsia"/>
          <w:color w:val="000000"/>
          <w:sz w:val="28"/>
          <w:szCs w:val="28"/>
        </w:rPr>
        <w:lastRenderedPageBreak/>
        <w:t>能充分掌握贓證物庫的管理概況。簡報</w:t>
      </w:r>
      <w:r w:rsidR="00A20328" w:rsidRPr="001B6E4D">
        <w:rPr>
          <w:rFonts w:ascii="標楷體" w:eastAsia="標楷體" w:hAnsi="標楷體" w:hint="eastAsia"/>
          <w:color w:val="000000"/>
          <w:sz w:val="28"/>
          <w:szCs w:val="28"/>
        </w:rPr>
        <w:t>完畢</w:t>
      </w:r>
      <w:r w:rsidRPr="001B6E4D">
        <w:rPr>
          <w:rFonts w:ascii="標楷體" w:eastAsia="標楷體" w:hAnsi="標楷體" w:hint="eastAsia"/>
          <w:color w:val="000000"/>
          <w:sz w:val="28"/>
          <w:szCs w:val="28"/>
        </w:rPr>
        <w:t>後，</w:t>
      </w:r>
      <w:r w:rsidR="00A21CF8" w:rsidRPr="001B6E4D">
        <w:rPr>
          <w:rFonts w:ascii="標楷體" w:eastAsia="標楷體" w:hAnsi="標楷體" w:hint="eastAsia"/>
          <w:color w:val="000000"/>
          <w:sz w:val="28"/>
          <w:szCs w:val="28"/>
        </w:rPr>
        <w:t>由</w:t>
      </w:r>
      <w:r w:rsidRPr="001B6E4D">
        <w:rPr>
          <w:rFonts w:ascii="標楷體" w:eastAsia="標楷體" w:hAnsi="標楷體" w:hint="eastAsia"/>
          <w:color w:val="000000"/>
          <w:sz w:val="28"/>
          <w:szCs w:val="28"/>
        </w:rPr>
        <w:t>臺灣</w:t>
      </w:r>
      <w:proofErr w:type="gramStart"/>
      <w:r w:rsidRPr="001B6E4D">
        <w:rPr>
          <w:rFonts w:ascii="標楷體" w:eastAsia="標楷體" w:hAnsi="標楷體" w:hint="eastAsia"/>
          <w:color w:val="000000"/>
          <w:sz w:val="28"/>
          <w:szCs w:val="28"/>
        </w:rPr>
        <w:t>臺</w:t>
      </w:r>
      <w:proofErr w:type="gramEnd"/>
      <w:r w:rsidRPr="001B6E4D">
        <w:rPr>
          <w:rFonts w:ascii="標楷體" w:eastAsia="標楷體" w:hAnsi="標楷體" w:hint="eastAsia"/>
          <w:color w:val="000000"/>
          <w:sz w:val="28"/>
          <w:szCs w:val="28"/>
        </w:rPr>
        <w:t>北地方檢察署</w:t>
      </w:r>
      <w:r w:rsidR="00914567" w:rsidRPr="001B6E4D">
        <w:rPr>
          <w:rFonts w:ascii="標楷體" w:eastAsia="標楷體" w:hAnsi="標楷體" w:hint="eastAsia"/>
          <w:color w:val="000000"/>
          <w:sz w:val="28"/>
          <w:szCs w:val="28"/>
        </w:rPr>
        <w:t>人</w:t>
      </w:r>
      <w:r w:rsidRPr="001B6E4D">
        <w:rPr>
          <w:rFonts w:ascii="標楷體" w:eastAsia="標楷體" w:hAnsi="標楷體" w:hint="eastAsia"/>
          <w:color w:val="000000"/>
          <w:sz w:val="28"/>
          <w:szCs w:val="28"/>
        </w:rPr>
        <w:t>員</w:t>
      </w:r>
      <w:r w:rsidR="00A21CF8" w:rsidRPr="001B6E4D">
        <w:rPr>
          <w:rFonts w:ascii="標楷體" w:eastAsia="標楷體" w:hAnsi="標楷體" w:hint="eastAsia"/>
          <w:color w:val="000000"/>
          <w:sz w:val="28"/>
          <w:szCs w:val="28"/>
        </w:rPr>
        <w:t>引導說明</w:t>
      </w:r>
      <w:r w:rsidRPr="001B6E4D">
        <w:rPr>
          <w:rFonts w:ascii="標楷體" w:eastAsia="標楷體" w:hAnsi="標楷體" w:hint="eastAsia"/>
          <w:color w:val="000000"/>
          <w:sz w:val="28"/>
          <w:szCs w:val="28"/>
        </w:rPr>
        <w:t>，深入考察贓證物庫的管理情形與實際運作狀況。</w:t>
      </w:r>
      <w:r w:rsidR="00A21CF8" w:rsidRPr="001B6E4D">
        <w:rPr>
          <w:rFonts w:ascii="標楷體" w:eastAsia="標楷體" w:hAnsi="標楷體" w:hint="eastAsia"/>
          <w:color w:val="000000"/>
          <w:sz w:val="28"/>
          <w:szCs w:val="28"/>
        </w:rPr>
        <w:t>最後返回</w:t>
      </w:r>
      <w:r w:rsidRPr="001B6E4D">
        <w:rPr>
          <w:rFonts w:ascii="標楷體" w:eastAsia="標楷體" w:hAnsi="標楷體" w:hint="eastAsia"/>
          <w:color w:val="000000"/>
          <w:sz w:val="28"/>
          <w:szCs w:val="28"/>
        </w:rPr>
        <w:t>贓物庫大樓1樓進行綜合座談與意見交流。雙方針對贓證物庫之實務工作推動及後續管理優化等核心議題，進行了熱烈、雙向且充分的探討。</w:t>
      </w:r>
    </w:p>
    <w:p w14:paraId="3C276E51" w14:textId="29522C6B" w:rsidR="004E56DC" w:rsidRPr="001B6E4D" w:rsidRDefault="004E56DC" w:rsidP="003D1018">
      <w:pPr>
        <w:overflowPunct w:val="0"/>
        <w:spacing w:beforeLines="50" w:before="180" w:line="380" w:lineRule="exact"/>
        <w:ind w:leftChars="235" w:left="1132" w:hangingChars="203" w:hanging="568"/>
        <w:jc w:val="both"/>
        <w:outlineLvl w:val="3"/>
        <w:rPr>
          <w:rFonts w:ascii="標楷體" w:eastAsia="標楷體" w:hAnsi="標楷體"/>
          <w:color w:val="000000"/>
          <w:sz w:val="28"/>
          <w:szCs w:val="28"/>
        </w:rPr>
      </w:pPr>
      <w:bookmarkStart w:id="59" w:name="_Hlk198044412"/>
      <w:r w:rsidRPr="001B6E4D">
        <w:rPr>
          <w:rFonts w:ascii="標楷體" w:eastAsia="標楷體" w:hAnsi="標楷體" w:hint="eastAsia"/>
          <w:color w:val="000000"/>
          <w:sz w:val="28"/>
          <w:szCs w:val="28"/>
        </w:rPr>
        <w:t>(八)11</w:t>
      </w:r>
      <w:r w:rsidR="00914567" w:rsidRPr="001B6E4D">
        <w:rPr>
          <w:rFonts w:ascii="標楷體" w:eastAsia="標楷體" w:hAnsi="標楷體" w:hint="eastAsia"/>
          <w:color w:val="000000"/>
          <w:sz w:val="28"/>
          <w:szCs w:val="28"/>
        </w:rPr>
        <w:t>5</w:t>
      </w:r>
      <w:r w:rsidRPr="001B6E4D">
        <w:rPr>
          <w:rFonts w:ascii="標楷體" w:eastAsia="標楷體" w:hAnsi="標楷體" w:hint="eastAsia"/>
          <w:color w:val="000000"/>
          <w:sz w:val="28"/>
          <w:szCs w:val="28"/>
        </w:rPr>
        <w:t>年</w:t>
      </w:r>
      <w:r w:rsidR="00914567" w:rsidRPr="001B6E4D">
        <w:rPr>
          <w:rFonts w:ascii="標楷體" w:eastAsia="標楷體" w:hAnsi="標楷體" w:hint="eastAsia"/>
          <w:color w:val="000000"/>
          <w:sz w:val="28"/>
          <w:szCs w:val="28"/>
        </w:rPr>
        <w:t>7月13日(星期一)考察法務部司法官學院犯罪防治研究中心AI運用於毒品犯罪研究概況。</w:t>
      </w:r>
    </w:p>
    <w:bookmarkEnd w:id="59"/>
    <w:p w14:paraId="0F212931" w14:textId="2FEEC677" w:rsidR="004E56DC" w:rsidRPr="001B6E4D" w:rsidRDefault="00914567" w:rsidP="003D1018">
      <w:pPr>
        <w:overflowPunct w:val="0"/>
        <w:spacing w:line="380" w:lineRule="exact"/>
        <w:ind w:leftChars="471" w:left="1130" w:firstLineChars="205" w:firstLine="574"/>
        <w:jc w:val="both"/>
        <w:rPr>
          <w:rFonts w:ascii="標楷體" w:eastAsia="標楷體" w:hAnsi="標楷體"/>
          <w:color w:val="000000"/>
          <w:sz w:val="28"/>
          <w:szCs w:val="28"/>
        </w:rPr>
      </w:pPr>
      <w:r w:rsidRPr="001B6E4D">
        <w:rPr>
          <w:rFonts w:ascii="標楷體" w:eastAsia="標楷體" w:hAnsi="標楷體" w:hint="eastAsia"/>
          <w:color w:val="000000"/>
          <w:sz w:val="28"/>
          <w:szCs w:val="28"/>
        </w:rPr>
        <w:t>委員張雅琳領隊，法務部主任秘書余麗貞、法務部司法官學院院長吳巡龍、犯罪防治研究中心主任鄭添成等陪同。前往法務部司法官學院。抵達後隨即前往2樓電腦教室，首先由法務部主任秘書余麗貞致歡迎詞，隨後由領隊張雅琳委員致詞。接著依序由司法官學院吳巡龍院長及犯罪防治研究中心鄭添成主任進行業務簡報；隨後由蔡宜家副研究員進行「近10年毒品犯罪趨勢分析」專題簡報，並由顧以謙研究員接續進行「AI運用於毒品犯罪研究概況」專題簡報，使與會人員能充分掌握相關業務的執行現況以及AI科技在毒品犯罪防治研究上的具體應用。簡報</w:t>
      </w:r>
      <w:r w:rsidR="00F4299F" w:rsidRPr="001B6E4D">
        <w:rPr>
          <w:rFonts w:ascii="標楷體" w:eastAsia="標楷體" w:hAnsi="標楷體" w:hint="eastAsia"/>
          <w:color w:val="000000"/>
          <w:sz w:val="28"/>
          <w:szCs w:val="28"/>
        </w:rPr>
        <w:t>完畢</w:t>
      </w:r>
      <w:r w:rsidRPr="001B6E4D">
        <w:rPr>
          <w:rFonts w:ascii="標楷體" w:eastAsia="標楷體" w:hAnsi="標楷體" w:hint="eastAsia"/>
          <w:color w:val="000000"/>
          <w:sz w:val="28"/>
          <w:szCs w:val="28"/>
        </w:rPr>
        <w:t>後，</w:t>
      </w:r>
      <w:r w:rsidR="00F4299F" w:rsidRPr="001B6E4D">
        <w:rPr>
          <w:rFonts w:ascii="標楷體" w:eastAsia="標楷體" w:hAnsi="標楷體" w:hint="eastAsia"/>
          <w:color w:val="000000"/>
          <w:sz w:val="28"/>
          <w:szCs w:val="28"/>
        </w:rPr>
        <w:t>在</w:t>
      </w:r>
      <w:r w:rsidRPr="001B6E4D">
        <w:rPr>
          <w:rFonts w:ascii="標楷體" w:eastAsia="標楷體" w:hAnsi="標楷體" w:hint="eastAsia"/>
          <w:color w:val="000000"/>
          <w:sz w:val="28"/>
          <w:szCs w:val="28"/>
        </w:rPr>
        <w:t>法務部司法官學院</w:t>
      </w:r>
      <w:r w:rsidR="00F4299F" w:rsidRPr="001B6E4D">
        <w:rPr>
          <w:rFonts w:ascii="標楷體" w:eastAsia="標楷體" w:hAnsi="標楷體" w:hint="eastAsia"/>
          <w:color w:val="000000"/>
          <w:sz w:val="28"/>
          <w:szCs w:val="28"/>
        </w:rPr>
        <w:t>人</w:t>
      </w:r>
      <w:r w:rsidRPr="001B6E4D">
        <w:rPr>
          <w:rFonts w:ascii="標楷體" w:eastAsia="標楷體" w:hAnsi="標楷體" w:hint="eastAsia"/>
          <w:color w:val="000000"/>
          <w:sz w:val="28"/>
          <w:szCs w:val="28"/>
        </w:rPr>
        <w:t>員引導說明下，深入了解並考察院內的環境與相關設施。</w:t>
      </w:r>
      <w:r w:rsidR="00F4299F" w:rsidRPr="001B6E4D">
        <w:rPr>
          <w:rFonts w:ascii="標楷體" w:eastAsia="標楷體" w:hAnsi="標楷體" w:hint="eastAsia"/>
          <w:color w:val="000000"/>
          <w:sz w:val="28"/>
          <w:szCs w:val="28"/>
        </w:rPr>
        <w:t>最後</w:t>
      </w:r>
      <w:r w:rsidRPr="001B6E4D">
        <w:rPr>
          <w:rFonts w:ascii="標楷體" w:eastAsia="標楷體" w:hAnsi="標楷體" w:hint="eastAsia"/>
          <w:color w:val="000000"/>
          <w:sz w:val="28"/>
          <w:szCs w:val="28"/>
        </w:rPr>
        <w:t>返回2樓電腦教室進行綜合座談與意見交流。雙方針對AI運用於毒品犯罪防治之實務工作推動及後續發展等核心議題，進行了熱烈、雙向且充分的探討。</w:t>
      </w:r>
    </w:p>
    <w:p w14:paraId="0636002A" w14:textId="58D6F67B" w:rsidR="004E56DC" w:rsidRPr="001B6E4D" w:rsidRDefault="004E56DC" w:rsidP="003D1018">
      <w:pPr>
        <w:overflowPunct w:val="0"/>
        <w:spacing w:beforeLines="50" w:before="180" w:line="380" w:lineRule="exact"/>
        <w:ind w:leftChars="235" w:left="1132" w:hangingChars="203" w:hanging="568"/>
        <w:jc w:val="both"/>
        <w:outlineLvl w:val="3"/>
        <w:rPr>
          <w:rFonts w:ascii="標楷體" w:eastAsia="標楷體" w:hAnsi="標楷體"/>
          <w:color w:val="000000"/>
          <w:sz w:val="28"/>
          <w:szCs w:val="28"/>
        </w:rPr>
      </w:pPr>
      <w:r w:rsidRPr="001B6E4D">
        <w:rPr>
          <w:rFonts w:ascii="標楷體" w:eastAsia="標楷體" w:hAnsi="標楷體" w:hint="eastAsia"/>
          <w:color w:val="000000"/>
          <w:sz w:val="28"/>
          <w:szCs w:val="28"/>
        </w:rPr>
        <w:t>(九)11</w:t>
      </w:r>
      <w:r w:rsidR="00380C02" w:rsidRPr="001B6E4D">
        <w:rPr>
          <w:rFonts w:ascii="標楷體" w:eastAsia="標楷體" w:hAnsi="標楷體" w:hint="eastAsia"/>
          <w:color w:val="000000"/>
          <w:sz w:val="28"/>
          <w:szCs w:val="28"/>
        </w:rPr>
        <w:t>5</w:t>
      </w:r>
      <w:r w:rsidRPr="001B6E4D">
        <w:rPr>
          <w:rFonts w:ascii="標楷體" w:eastAsia="標楷體" w:hAnsi="標楷體" w:hint="eastAsia"/>
          <w:color w:val="000000"/>
          <w:sz w:val="28"/>
          <w:szCs w:val="28"/>
        </w:rPr>
        <w:t>年</w:t>
      </w:r>
      <w:r w:rsidR="00380C02" w:rsidRPr="001B6E4D">
        <w:rPr>
          <w:rFonts w:ascii="標楷體" w:eastAsia="標楷體" w:hAnsi="標楷體" w:hint="eastAsia"/>
          <w:color w:val="000000"/>
          <w:sz w:val="28"/>
          <w:szCs w:val="28"/>
        </w:rPr>
        <w:t>7月20日(星期一)參訪臺灣桃園地方法院有關精神衛生法專家參審籌備進度及司法人力概況。</w:t>
      </w:r>
    </w:p>
    <w:p w14:paraId="02DB5072" w14:textId="302E50AD" w:rsidR="004E56DC" w:rsidRPr="001B6E4D" w:rsidRDefault="00184D30" w:rsidP="003D1018">
      <w:pPr>
        <w:overflowPunct w:val="0"/>
        <w:spacing w:line="380" w:lineRule="exact"/>
        <w:ind w:leftChars="471" w:left="1130" w:firstLineChars="205" w:firstLine="574"/>
        <w:jc w:val="both"/>
        <w:rPr>
          <w:rFonts w:ascii="標楷體" w:eastAsia="標楷體" w:hAnsi="標楷體"/>
          <w:bCs/>
          <w:color w:val="000000"/>
          <w:sz w:val="28"/>
          <w:szCs w:val="28"/>
        </w:rPr>
      </w:pPr>
      <w:r w:rsidRPr="001B6E4D">
        <w:rPr>
          <w:rFonts w:ascii="標楷體" w:eastAsia="標楷體" w:hAnsi="標楷體" w:hint="eastAsia"/>
          <w:bCs/>
          <w:color w:val="000000"/>
          <w:sz w:val="28"/>
          <w:szCs w:val="28"/>
        </w:rPr>
        <w:t>召集委員翁曉玲領隊，司法院秘書長高金枝、少年及家事</w:t>
      </w:r>
      <w:proofErr w:type="gramStart"/>
      <w:r w:rsidRPr="001B6E4D">
        <w:rPr>
          <w:rFonts w:ascii="標楷體" w:eastAsia="標楷體" w:hAnsi="標楷體" w:hint="eastAsia"/>
          <w:bCs/>
          <w:color w:val="000000"/>
          <w:sz w:val="28"/>
          <w:szCs w:val="28"/>
        </w:rPr>
        <w:t>廳</w:t>
      </w:r>
      <w:proofErr w:type="gramEnd"/>
      <w:r w:rsidRPr="001B6E4D">
        <w:rPr>
          <w:rFonts w:ascii="標楷體" w:eastAsia="標楷體" w:hAnsi="標楷體" w:hint="eastAsia"/>
          <w:bCs/>
          <w:color w:val="000000"/>
          <w:sz w:val="28"/>
          <w:szCs w:val="28"/>
        </w:rPr>
        <w:t>廳長鍾宗霖、司法行政廳廳長吳祚丞、臺灣桃園地方法院院長黃莉雲等陪同</w:t>
      </w:r>
      <w:r w:rsidR="00834AAB" w:rsidRPr="001B6E4D">
        <w:rPr>
          <w:rFonts w:ascii="標楷體" w:eastAsia="標楷體" w:hAnsi="標楷體" w:hint="eastAsia"/>
          <w:bCs/>
          <w:color w:val="000000"/>
          <w:sz w:val="28"/>
          <w:szCs w:val="28"/>
        </w:rPr>
        <w:t>，</w:t>
      </w:r>
      <w:r w:rsidRPr="001B6E4D">
        <w:rPr>
          <w:rFonts w:ascii="標楷體" w:eastAsia="標楷體" w:hAnsi="標楷體" w:hint="eastAsia"/>
          <w:bCs/>
          <w:color w:val="000000"/>
          <w:sz w:val="28"/>
          <w:szCs w:val="28"/>
        </w:rPr>
        <w:t>前往臺灣桃園地方法院</w:t>
      </w:r>
      <w:r w:rsidR="00834AAB" w:rsidRPr="001B6E4D">
        <w:rPr>
          <w:rFonts w:ascii="標楷體" w:eastAsia="標楷體" w:hAnsi="標楷體" w:hint="eastAsia"/>
          <w:bCs/>
          <w:color w:val="000000"/>
          <w:sz w:val="28"/>
          <w:szCs w:val="28"/>
        </w:rPr>
        <w:t>，</w:t>
      </w:r>
      <w:r w:rsidRPr="001B6E4D">
        <w:rPr>
          <w:rFonts w:ascii="標楷體" w:eastAsia="標楷體" w:hAnsi="標楷體" w:hint="eastAsia"/>
          <w:bCs/>
          <w:color w:val="000000"/>
          <w:sz w:val="28"/>
          <w:szCs w:val="28"/>
        </w:rPr>
        <w:t>抵達後隨即前往8樓會議室，首先由司法院秘書長高金枝代表</w:t>
      </w:r>
      <w:proofErr w:type="gramStart"/>
      <w:r w:rsidRPr="001B6E4D">
        <w:rPr>
          <w:rFonts w:ascii="標楷體" w:eastAsia="標楷體" w:hAnsi="標楷體" w:hint="eastAsia"/>
          <w:bCs/>
          <w:color w:val="000000"/>
          <w:sz w:val="28"/>
          <w:szCs w:val="28"/>
        </w:rPr>
        <w:t>院方致歡迎詞</w:t>
      </w:r>
      <w:proofErr w:type="gramEnd"/>
      <w:r w:rsidRPr="001B6E4D">
        <w:rPr>
          <w:rFonts w:ascii="標楷體" w:eastAsia="標楷體" w:hAnsi="標楷體" w:hint="eastAsia"/>
          <w:bCs/>
          <w:color w:val="000000"/>
          <w:sz w:val="28"/>
          <w:szCs w:val="28"/>
        </w:rPr>
        <w:t>，隨後由領隊翁曉玲委員致詞。接著依序由司法</w:t>
      </w:r>
      <w:proofErr w:type="gramStart"/>
      <w:r w:rsidRPr="001B6E4D">
        <w:rPr>
          <w:rFonts w:ascii="標楷體" w:eastAsia="標楷體" w:hAnsi="標楷體" w:hint="eastAsia"/>
          <w:bCs/>
          <w:color w:val="000000"/>
          <w:sz w:val="28"/>
          <w:szCs w:val="28"/>
        </w:rPr>
        <w:t>院少家廳</w:t>
      </w:r>
      <w:proofErr w:type="gramEnd"/>
      <w:r w:rsidRPr="001B6E4D">
        <w:rPr>
          <w:rFonts w:ascii="標楷體" w:eastAsia="標楷體" w:hAnsi="標楷體" w:hint="eastAsia"/>
          <w:bCs/>
          <w:color w:val="000000"/>
          <w:sz w:val="28"/>
          <w:szCs w:val="28"/>
        </w:rPr>
        <w:t>鍾宗霖廳長說明「精神衛生法專家參審籌備進度」、桃園地院少家庭黃裕民庭長說明「臺灣桃園地方法院精神衛生法專家參審法庭籌備進度」，以及司法院司法行政廳吳祚丞廳長針對「司法人力概況」進行詳盡的專題簡報，使與會人員能充分掌握相關新制的實務籌備現況與司法體系人力資源配置情形。簡報結束後，轉赴家事法庭第32法庭展開實地導</w:t>
      </w:r>
      <w:proofErr w:type="gramStart"/>
      <w:r w:rsidRPr="001B6E4D">
        <w:rPr>
          <w:rFonts w:ascii="標楷體" w:eastAsia="標楷體" w:hAnsi="標楷體" w:hint="eastAsia"/>
          <w:bCs/>
          <w:color w:val="000000"/>
          <w:sz w:val="28"/>
          <w:szCs w:val="28"/>
        </w:rPr>
        <w:t>覽</w:t>
      </w:r>
      <w:proofErr w:type="gramEnd"/>
      <w:r w:rsidRPr="001B6E4D">
        <w:rPr>
          <w:rFonts w:ascii="標楷體" w:eastAsia="標楷體" w:hAnsi="標楷體" w:hint="eastAsia"/>
          <w:bCs/>
          <w:color w:val="000000"/>
          <w:sz w:val="28"/>
          <w:szCs w:val="28"/>
        </w:rPr>
        <w:t>，深入了解並親自檢視精神衛生法專家參審法庭的實際建置與空間規劃情形。最後返回8樓會議室進行綜</w:t>
      </w:r>
      <w:r w:rsidRPr="001B6E4D">
        <w:rPr>
          <w:rFonts w:ascii="標楷體" w:eastAsia="標楷體" w:hAnsi="標楷體" w:hint="eastAsia"/>
          <w:bCs/>
          <w:color w:val="000000"/>
          <w:sz w:val="28"/>
          <w:szCs w:val="28"/>
        </w:rPr>
        <w:lastRenderedPageBreak/>
        <w:t>合座談與意見交流。雙方針對專家參審法庭之實務推動、後續整備及司法人力等核心議題，進行了熱烈、雙向且充分的探討。</w:t>
      </w:r>
    </w:p>
    <w:p w14:paraId="73D5C838" w14:textId="20B2C9BD" w:rsidR="004E56DC" w:rsidRPr="001B6E4D" w:rsidRDefault="004E56DC" w:rsidP="003D1018">
      <w:pPr>
        <w:overflowPunct w:val="0"/>
        <w:spacing w:beforeLines="50" w:before="180" w:line="380" w:lineRule="exact"/>
        <w:ind w:leftChars="235" w:left="1132" w:hangingChars="203" w:hanging="568"/>
        <w:jc w:val="both"/>
        <w:outlineLvl w:val="3"/>
        <w:rPr>
          <w:rFonts w:ascii="標楷體" w:eastAsia="標楷體" w:hAnsi="標楷體"/>
          <w:color w:val="000000"/>
          <w:sz w:val="28"/>
          <w:szCs w:val="28"/>
        </w:rPr>
      </w:pPr>
      <w:r w:rsidRPr="001B6E4D">
        <w:rPr>
          <w:rFonts w:ascii="標楷體" w:eastAsia="標楷體" w:hAnsi="標楷體" w:hint="eastAsia"/>
          <w:color w:val="000000"/>
          <w:sz w:val="28"/>
          <w:szCs w:val="28"/>
        </w:rPr>
        <w:t>(十)11</w:t>
      </w:r>
      <w:r w:rsidR="007C162A" w:rsidRPr="001B6E4D">
        <w:rPr>
          <w:rFonts w:ascii="標楷體" w:eastAsia="標楷體" w:hAnsi="標楷體" w:hint="eastAsia"/>
          <w:color w:val="000000"/>
          <w:sz w:val="28"/>
          <w:szCs w:val="28"/>
        </w:rPr>
        <w:t>5</w:t>
      </w:r>
      <w:r w:rsidRPr="001B6E4D">
        <w:rPr>
          <w:rFonts w:ascii="標楷體" w:eastAsia="標楷體" w:hAnsi="標楷體" w:hint="eastAsia"/>
          <w:color w:val="000000"/>
          <w:sz w:val="28"/>
          <w:szCs w:val="28"/>
        </w:rPr>
        <w:t>年</w:t>
      </w:r>
      <w:r w:rsidR="00AD5832" w:rsidRPr="001B6E4D">
        <w:rPr>
          <w:rFonts w:ascii="標楷體" w:eastAsia="標楷體" w:hAnsi="標楷體" w:hint="eastAsia"/>
          <w:color w:val="000000"/>
          <w:sz w:val="28"/>
          <w:szCs w:val="28"/>
        </w:rPr>
        <w:t>7月27日(星期一)考察法務部</w:t>
      </w:r>
      <w:proofErr w:type="gramStart"/>
      <w:r w:rsidR="00AD5832" w:rsidRPr="001B6E4D">
        <w:rPr>
          <w:rFonts w:ascii="標楷體" w:eastAsia="標楷體" w:hAnsi="標楷體" w:hint="eastAsia"/>
          <w:color w:val="000000"/>
          <w:sz w:val="28"/>
          <w:szCs w:val="28"/>
        </w:rPr>
        <w:t>調查局資安犯罪</w:t>
      </w:r>
      <w:proofErr w:type="gramEnd"/>
      <w:r w:rsidR="00AD5832" w:rsidRPr="001B6E4D">
        <w:rPr>
          <w:rFonts w:ascii="標楷體" w:eastAsia="標楷體" w:hAnsi="標楷體" w:hint="eastAsia"/>
          <w:color w:val="000000"/>
          <w:sz w:val="28"/>
          <w:szCs w:val="28"/>
        </w:rPr>
        <w:t>偵查及司法聯盟鏈運作情形。</w:t>
      </w:r>
    </w:p>
    <w:p w14:paraId="1BD4448B" w14:textId="12D2C00F" w:rsidR="004E56DC" w:rsidRPr="001B6E4D" w:rsidRDefault="00AD5832" w:rsidP="003D1018">
      <w:pPr>
        <w:overflowPunct w:val="0"/>
        <w:spacing w:line="380" w:lineRule="exact"/>
        <w:ind w:leftChars="471" w:left="1130" w:firstLineChars="205" w:firstLine="574"/>
        <w:jc w:val="both"/>
        <w:rPr>
          <w:rFonts w:ascii="標楷體" w:eastAsia="標楷體" w:hAnsi="標楷體"/>
          <w:sz w:val="28"/>
          <w:szCs w:val="28"/>
        </w:rPr>
      </w:pPr>
      <w:r w:rsidRPr="001B6E4D">
        <w:rPr>
          <w:rFonts w:ascii="標楷體" w:eastAsia="標楷體" w:hAnsi="標楷體" w:hint="eastAsia"/>
          <w:sz w:val="28"/>
          <w:szCs w:val="28"/>
        </w:rPr>
        <w:t>委員沈發惠擔任領隊，法務部主任秘書余麗貞、調查局局長陳白立等陪同。前往法務部調查局。抵達後隨即前往中華大樓1樓簡報室，先由法務部主任秘書余麗貞代表致詞，隨後由領隊沈發惠委員致詞。接著由法務部調查局資通安全處科長魯志遠進行簡報說明，使與會人員能充分</w:t>
      </w:r>
      <w:proofErr w:type="gramStart"/>
      <w:r w:rsidRPr="001B6E4D">
        <w:rPr>
          <w:rFonts w:ascii="標楷體" w:eastAsia="標楷體" w:hAnsi="標楷體" w:hint="eastAsia"/>
          <w:sz w:val="28"/>
          <w:szCs w:val="28"/>
        </w:rPr>
        <w:t>掌握資安犯罪</w:t>
      </w:r>
      <w:proofErr w:type="gramEnd"/>
      <w:r w:rsidRPr="001B6E4D">
        <w:rPr>
          <w:rFonts w:ascii="標楷體" w:eastAsia="標楷體" w:hAnsi="標楷體" w:hint="eastAsia"/>
          <w:sz w:val="28"/>
          <w:szCs w:val="28"/>
        </w:rPr>
        <w:t>偵查及司法聯盟鏈的實務運作情形與防護現況。簡報結束後，在資通安全</w:t>
      </w:r>
      <w:proofErr w:type="gramStart"/>
      <w:r w:rsidRPr="001B6E4D">
        <w:rPr>
          <w:rFonts w:ascii="標楷體" w:eastAsia="標楷體" w:hAnsi="標楷體" w:hint="eastAsia"/>
          <w:sz w:val="28"/>
          <w:szCs w:val="28"/>
        </w:rPr>
        <w:t>處</w:t>
      </w:r>
      <w:proofErr w:type="gramEnd"/>
      <w:r w:rsidRPr="001B6E4D">
        <w:rPr>
          <w:rFonts w:ascii="標楷體" w:eastAsia="標楷體" w:hAnsi="標楷體" w:hint="eastAsia"/>
          <w:sz w:val="28"/>
          <w:szCs w:val="28"/>
        </w:rPr>
        <w:t>處長鄭健行的專業引導說明下，</w:t>
      </w:r>
      <w:proofErr w:type="gramStart"/>
      <w:r w:rsidRPr="001B6E4D">
        <w:rPr>
          <w:rFonts w:ascii="標楷體" w:eastAsia="標楷體" w:hAnsi="標楷體" w:hint="eastAsia"/>
          <w:sz w:val="28"/>
          <w:szCs w:val="28"/>
        </w:rPr>
        <w:t>轉赴廉政</w:t>
      </w:r>
      <w:proofErr w:type="gramEnd"/>
      <w:r w:rsidRPr="001B6E4D">
        <w:rPr>
          <w:rFonts w:ascii="標楷體" w:eastAsia="標楷體" w:hAnsi="標楷體" w:hint="eastAsia"/>
          <w:sz w:val="28"/>
          <w:szCs w:val="28"/>
        </w:rPr>
        <w:t>大樓地下1樓展開「資安</w:t>
      </w:r>
      <w:proofErr w:type="gramStart"/>
      <w:r w:rsidRPr="001B6E4D">
        <w:rPr>
          <w:rFonts w:ascii="標楷體" w:eastAsia="標楷體" w:hAnsi="標楷體" w:hint="eastAsia"/>
          <w:sz w:val="28"/>
          <w:szCs w:val="28"/>
        </w:rPr>
        <w:t>鑑</w:t>
      </w:r>
      <w:proofErr w:type="gramEnd"/>
      <w:r w:rsidRPr="001B6E4D">
        <w:rPr>
          <w:rFonts w:ascii="標楷體" w:eastAsia="標楷體" w:hAnsi="標楷體" w:hint="eastAsia"/>
          <w:sz w:val="28"/>
          <w:szCs w:val="28"/>
        </w:rPr>
        <w:t>識實驗室」的實地考察，深入了解並親自檢視資安</w:t>
      </w:r>
      <w:proofErr w:type="gramStart"/>
      <w:r w:rsidRPr="001B6E4D">
        <w:rPr>
          <w:rFonts w:ascii="標楷體" w:eastAsia="標楷體" w:hAnsi="標楷體" w:hint="eastAsia"/>
          <w:sz w:val="28"/>
          <w:szCs w:val="28"/>
        </w:rPr>
        <w:t>鑑</w:t>
      </w:r>
      <w:proofErr w:type="gramEnd"/>
      <w:r w:rsidRPr="001B6E4D">
        <w:rPr>
          <w:rFonts w:ascii="標楷體" w:eastAsia="標楷體" w:hAnsi="標楷體" w:hint="eastAsia"/>
          <w:sz w:val="28"/>
          <w:szCs w:val="28"/>
        </w:rPr>
        <w:t>識相關設備的實際建置與空間規劃情形。最後返回中華大樓1樓簡報室進行綜合座談與意見交流，</w:t>
      </w:r>
      <w:proofErr w:type="gramStart"/>
      <w:r w:rsidRPr="001B6E4D">
        <w:rPr>
          <w:rFonts w:ascii="標楷體" w:eastAsia="標楷體" w:hAnsi="標楷體" w:hint="eastAsia"/>
          <w:sz w:val="28"/>
          <w:szCs w:val="28"/>
        </w:rPr>
        <w:t>針對資安犯罪</w:t>
      </w:r>
      <w:proofErr w:type="gramEnd"/>
      <w:r w:rsidRPr="001B6E4D">
        <w:rPr>
          <w:rFonts w:ascii="標楷體" w:eastAsia="標楷體" w:hAnsi="標楷體" w:hint="eastAsia"/>
          <w:sz w:val="28"/>
          <w:szCs w:val="28"/>
        </w:rPr>
        <w:t>偵查之實務推動與後續發展等核心議題進行充分探討。</w:t>
      </w:r>
    </w:p>
    <w:p w14:paraId="4BD9EAB4" w14:textId="7E76499B" w:rsidR="00AD5832" w:rsidRPr="00A05B8D" w:rsidRDefault="00AD5832" w:rsidP="003D1018">
      <w:pPr>
        <w:overflowPunct w:val="0"/>
        <w:spacing w:beforeLines="50" w:before="180" w:line="380" w:lineRule="exact"/>
        <w:ind w:leftChars="235" w:left="1132" w:hangingChars="203" w:hanging="568"/>
        <w:jc w:val="both"/>
        <w:outlineLvl w:val="3"/>
        <w:rPr>
          <w:rFonts w:ascii="標楷體" w:eastAsia="標楷體" w:hAnsi="標楷體"/>
          <w:color w:val="000000"/>
          <w:sz w:val="28"/>
          <w:szCs w:val="28"/>
        </w:rPr>
      </w:pPr>
      <w:r w:rsidRPr="00A05B8D">
        <w:rPr>
          <w:rFonts w:ascii="標楷體" w:eastAsia="標楷體" w:hAnsi="標楷體" w:hint="eastAsia"/>
          <w:color w:val="000000"/>
          <w:sz w:val="28"/>
          <w:szCs w:val="28"/>
        </w:rPr>
        <w:t>(十一)115年8月31日(星期一)考察</w:t>
      </w:r>
      <w:r w:rsidR="003258E0" w:rsidRPr="00A05B8D">
        <w:rPr>
          <w:rFonts w:ascii="標楷體" w:eastAsia="標楷體" w:hAnsi="標楷體" w:hint="eastAsia"/>
          <w:color w:val="000000"/>
          <w:sz w:val="28"/>
          <w:szCs w:val="28"/>
        </w:rPr>
        <w:t>行政院人事行政總處公務人力發展學院因應AI時代之公務人員培訓及員額等人力運用。</w:t>
      </w:r>
    </w:p>
    <w:p w14:paraId="3428D24A" w14:textId="2E9A51DE" w:rsidR="00AD5832" w:rsidRPr="001B6E4D" w:rsidRDefault="003258E0" w:rsidP="003D1018">
      <w:pPr>
        <w:overflowPunct w:val="0"/>
        <w:spacing w:line="380" w:lineRule="exact"/>
        <w:ind w:leftChars="471" w:left="1130" w:firstLineChars="205" w:firstLine="574"/>
        <w:jc w:val="both"/>
        <w:rPr>
          <w:rFonts w:ascii="標楷體" w:eastAsia="標楷體" w:hAnsi="標楷體"/>
          <w:sz w:val="28"/>
          <w:szCs w:val="28"/>
        </w:rPr>
      </w:pPr>
      <w:r w:rsidRPr="001B6E4D">
        <w:rPr>
          <w:rFonts w:ascii="標楷體" w:eastAsia="標楷體" w:hAnsi="標楷體" w:hint="eastAsia"/>
          <w:sz w:val="28"/>
          <w:szCs w:val="28"/>
        </w:rPr>
        <w:t>召集委員翁曉玲領隊，行政院人事行政總處副人事長張秋元、公務人力發展學院院長陳明忠等陪同，前往行政院人事行政總處公務人力發展學院。抵達後，隨即前往</w:t>
      </w:r>
      <w:proofErr w:type="gramStart"/>
      <w:r w:rsidRPr="001B6E4D">
        <w:rPr>
          <w:rFonts w:ascii="標楷體" w:eastAsia="標楷體" w:hAnsi="標楷體" w:hint="eastAsia"/>
          <w:sz w:val="28"/>
          <w:szCs w:val="28"/>
        </w:rPr>
        <w:t>教學棟</w:t>
      </w:r>
      <w:proofErr w:type="gramEnd"/>
      <w:r w:rsidRPr="001B6E4D">
        <w:rPr>
          <w:rFonts w:ascii="標楷體" w:eastAsia="標楷體" w:hAnsi="標楷體" w:hint="eastAsia"/>
          <w:sz w:val="28"/>
          <w:szCs w:val="28"/>
        </w:rPr>
        <w:t>404教室，首先由行政院人事行政總處副人事長張秋元致歡迎詞，隨後由領隊翁曉玲召集委員致詞。緊接著進行專題簡報，深入探討因應AI時代之公務人員培訓與員額等人力運用現況。簡報結束後，進行數位互動教室功能介紹與實地體驗，深入瞭解新穎數位教學環境之各項功能與科技輔助培訓之應用成效。最後進行綜合座談與意見交流，雙方針對公務人力AI培訓課程設計、科技浪潮下之人事編制與人力資源配置等核心議題，進行了熱烈、雙向且充分的探討。</w:t>
      </w:r>
    </w:p>
    <w:p w14:paraId="5498E6F7" w14:textId="77777777" w:rsidR="00D5398B" w:rsidRPr="001B6E4D" w:rsidRDefault="00D5398B" w:rsidP="003D1018">
      <w:pPr>
        <w:pStyle w:val="40"/>
        <w:overflowPunct w:val="0"/>
        <w:rPr>
          <w:rFonts w:ascii="標楷體" w:eastAsia="標楷體" w:hAnsi="標楷體"/>
          <w:b/>
          <w:bCs/>
          <w:iCs/>
          <w:color w:val="000000"/>
          <w:sz w:val="28"/>
          <w:szCs w:val="28"/>
        </w:rPr>
        <w:sectPr w:rsidR="00D5398B" w:rsidRPr="001B6E4D" w:rsidSect="00B8553E">
          <w:pgSz w:w="11906" w:h="16838"/>
          <w:pgMar w:top="1440" w:right="1133" w:bottom="1440" w:left="1800" w:header="851" w:footer="992" w:gutter="0"/>
          <w:cols w:space="425"/>
          <w:docGrid w:type="lines" w:linePitch="360"/>
        </w:sectPr>
      </w:pPr>
      <w:proofErr w:type="gramStart"/>
      <w:r w:rsidRPr="001B6E4D">
        <w:rPr>
          <w:rFonts w:ascii="標楷體" w:eastAsia="標楷體" w:hAnsi="標楷體" w:hint="eastAsia"/>
          <w:b/>
          <w:bCs/>
          <w:color w:val="000000"/>
          <w:sz w:val="28"/>
          <w:szCs w:val="28"/>
        </w:rPr>
        <w:t>註</w:t>
      </w:r>
      <w:proofErr w:type="gramEnd"/>
      <w:r w:rsidRPr="001B6E4D">
        <w:rPr>
          <w:rFonts w:ascii="標楷體" w:eastAsia="標楷體" w:hAnsi="標楷體" w:hint="eastAsia"/>
          <w:b/>
          <w:bCs/>
          <w:color w:val="000000"/>
          <w:sz w:val="28"/>
          <w:szCs w:val="28"/>
        </w:rPr>
        <w:t>：本會期歷次考察(參訪)活動紀錄，詳見附錄〔貳〕。</w:t>
      </w:r>
    </w:p>
    <w:p w14:paraId="1B0591DD" w14:textId="43385324" w:rsidR="0078100D" w:rsidRPr="001B6E4D" w:rsidRDefault="00B26EE6"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60" w:name="_Toc42531680"/>
      <w:bookmarkStart w:id="61" w:name="_Toc240446508"/>
      <w:bookmarkEnd w:id="41"/>
      <w:bookmarkEnd w:id="42"/>
      <w:bookmarkEnd w:id="43"/>
      <w:bookmarkEnd w:id="50"/>
      <w:r w:rsidRPr="001B6E4D">
        <w:rPr>
          <w:rFonts w:ascii="標楷體" w:hAnsi="標楷體" w:hint="eastAsia"/>
          <w:color w:val="000000" w:themeColor="text1"/>
          <w:szCs w:val="28"/>
          <w:shd w:val="clear" w:color="auto" w:fill="FFFFFF" w:themeFill="background1"/>
        </w:rPr>
        <w:lastRenderedPageBreak/>
        <w:t>四、本會期本會各項議案審竣統計表</w:t>
      </w:r>
      <w:bookmarkEnd w:id="60"/>
      <w:bookmarkEnd w:id="61"/>
    </w:p>
    <w:p w14:paraId="4035D082" w14:textId="422451B3" w:rsidR="0078100D" w:rsidRPr="001B6E4D" w:rsidRDefault="0078100D" w:rsidP="003D1018">
      <w:pPr>
        <w:overflowPunct w:val="0"/>
        <w:spacing w:beforeLines="50" w:before="180" w:line="300" w:lineRule="exact"/>
        <w:ind w:leftChars="-177" w:left="1" w:rightChars="-112" w:right="-269" w:hangingChars="152" w:hanging="426"/>
        <w:jc w:val="center"/>
        <w:rPr>
          <w:rFonts w:ascii="標楷體" w:eastAsia="標楷體" w:hAnsi="標楷體"/>
          <w:b/>
          <w:bCs/>
          <w:color w:val="000000" w:themeColor="text1"/>
          <w:sz w:val="28"/>
          <w:szCs w:val="28"/>
        </w:rPr>
      </w:pPr>
      <w:bookmarkStart w:id="62" w:name="_Toc42531682"/>
      <w:r w:rsidRPr="001B6E4D">
        <w:rPr>
          <w:rFonts w:ascii="標楷體" w:eastAsia="標楷體" w:hAnsi="標楷體"/>
          <w:b/>
          <w:bCs/>
          <w:color w:val="000000" w:themeColor="text1"/>
          <w:sz w:val="28"/>
          <w:szCs w:val="28"/>
        </w:rPr>
        <w:t>第</w:t>
      </w:r>
      <w:r w:rsidRPr="001B6E4D">
        <w:rPr>
          <w:rFonts w:ascii="標楷體" w:eastAsia="標楷體" w:hAnsi="標楷體" w:hint="eastAsia"/>
          <w:b/>
          <w:bCs/>
          <w:color w:val="000000" w:themeColor="text1"/>
          <w:sz w:val="28"/>
          <w:szCs w:val="28"/>
        </w:rPr>
        <w:t>1</w:t>
      </w:r>
      <w:r w:rsidRPr="001B6E4D">
        <w:rPr>
          <w:rFonts w:ascii="標楷體" w:eastAsia="標楷體" w:hAnsi="標楷體"/>
          <w:b/>
          <w:bCs/>
          <w:color w:val="000000" w:themeColor="text1"/>
          <w:sz w:val="28"/>
          <w:szCs w:val="28"/>
        </w:rPr>
        <w:t>1屆第</w:t>
      </w:r>
      <w:r w:rsidR="00E27248" w:rsidRPr="001B6E4D">
        <w:rPr>
          <w:rFonts w:ascii="標楷體" w:eastAsia="標楷體" w:hAnsi="標楷體" w:hint="eastAsia"/>
          <w:b/>
          <w:bCs/>
          <w:color w:val="000000" w:themeColor="text1"/>
          <w:sz w:val="28"/>
          <w:szCs w:val="28"/>
        </w:rPr>
        <w:t>5</w:t>
      </w:r>
      <w:r w:rsidRPr="001B6E4D">
        <w:rPr>
          <w:rFonts w:ascii="標楷體" w:eastAsia="標楷體" w:hAnsi="標楷體"/>
          <w:b/>
          <w:bCs/>
          <w:color w:val="000000" w:themeColor="text1"/>
          <w:sz w:val="28"/>
          <w:szCs w:val="28"/>
        </w:rPr>
        <w:t>會期司法及法制委員會</w:t>
      </w:r>
      <w:r w:rsidRPr="001B6E4D">
        <w:rPr>
          <w:rFonts w:ascii="標楷體" w:eastAsia="標楷體" w:hAnsi="標楷體" w:hint="eastAsia"/>
          <w:b/>
          <w:bCs/>
          <w:color w:val="000000" w:themeColor="text1"/>
          <w:sz w:val="28"/>
          <w:szCs w:val="28"/>
        </w:rPr>
        <w:t>審</w:t>
      </w:r>
      <w:proofErr w:type="gramStart"/>
      <w:r w:rsidRPr="001B6E4D">
        <w:rPr>
          <w:rFonts w:ascii="標楷體" w:eastAsia="標楷體" w:hAnsi="標楷體" w:hint="eastAsia"/>
          <w:b/>
          <w:bCs/>
          <w:color w:val="000000" w:themeColor="text1"/>
          <w:sz w:val="28"/>
          <w:szCs w:val="28"/>
        </w:rPr>
        <w:t>竣</w:t>
      </w:r>
      <w:proofErr w:type="gramEnd"/>
      <w:r w:rsidRPr="001B6E4D">
        <w:rPr>
          <w:rFonts w:ascii="標楷體" w:eastAsia="標楷體" w:hAnsi="標楷體"/>
          <w:b/>
          <w:bCs/>
          <w:color w:val="000000" w:themeColor="text1"/>
          <w:sz w:val="28"/>
          <w:szCs w:val="28"/>
        </w:rPr>
        <w:t>案</w:t>
      </w:r>
      <w:r w:rsidRPr="001B6E4D">
        <w:rPr>
          <w:rFonts w:ascii="標楷體" w:eastAsia="標楷體" w:hAnsi="標楷體" w:hint="eastAsia"/>
          <w:b/>
          <w:bCs/>
          <w:color w:val="000000" w:themeColor="text1"/>
          <w:sz w:val="28"/>
          <w:szCs w:val="28"/>
        </w:rPr>
        <w:t>件</w:t>
      </w:r>
      <w:r w:rsidRPr="001B6E4D">
        <w:rPr>
          <w:rFonts w:ascii="標楷體" w:eastAsia="標楷體" w:hAnsi="標楷體"/>
          <w:b/>
          <w:bCs/>
          <w:color w:val="000000" w:themeColor="text1"/>
          <w:sz w:val="28"/>
          <w:szCs w:val="28"/>
        </w:rPr>
        <w:t>統計表</w:t>
      </w:r>
    </w:p>
    <w:tbl>
      <w:tblPr>
        <w:tblpPr w:leftFromText="180" w:rightFromText="180" w:vertAnchor="text" w:horzAnchor="margin" w:tblpY="217"/>
        <w:tblW w:w="8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534"/>
        <w:gridCol w:w="2268"/>
        <w:gridCol w:w="1984"/>
        <w:gridCol w:w="1985"/>
        <w:gridCol w:w="2145"/>
      </w:tblGrid>
      <w:tr w:rsidR="00C87651" w:rsidRPr="001B6E4D" w14:paraId="3713297A" w14:textId="77777777" w:rsidTr="00241136">
        <w:trPr>
          <w:trHeight w:val="664"/>
        </w:trPr>
        <w:tc>
          <w:tcPr>
            <w:tcW w:w="2802" w:type="dxa"/>
            <w:gridSpan w:val="2"/>
            <w:vMerge w:val="restart"/>
            <w:tcBorders>
              <w:top w:val="single" w:sz="12" w:space="0" w:color="auto"/>
              <w:left w:val="single" w:sz="12" w:space="0" w:color="auto"/>
              <w:bottom w:val="single" w:sz="12" w:space="0" w:color="auto"/>
              <w:right w:val="single" w:sz="12" w:space="0" w:color="auto"/>
            </w:tcBorders>
            <w:shd w:val="clear" w:color="auto" w:fill="FFFFFF"/>
            <w:vAlign w:val="center"/>
          </w:tcPr>
          <w:p w14:paraId="6B8CD75A" w14:textId="77777777" w:rsidR="0078100D" w:rsidRPr="001B6E4D" w:rsidRDefault="0078100D" w:rsidP="003D1018">
            <w:pPr>
              <w:overflowPunct w:val="0"/>
              <w:spacing w:line="360" w:lineRule="exact"/>
              <w:jc w:val="center"/>
              <w:rPr>
                <w:rFonts w:ascii="標楷體" w:eastAsia="標楷體" w:hAnsi="標楷體"/>
                <w:b/>
                <w:color w:val="000000" w:themeColor="text1"/>
                <w:sz w:val="28"/>
                <w:szCs w:val="28"/>
              </w:rPr>
            </w:pPr>
            <w:r w:rsidRPr="001B6E4D">
              <w:rPr>
                <w:rFonts w:ascii="標楷體" w:eastAsia="標楷體" w:hAnsi="標楷體" w:hint="eastAsia"/>
                <w:b/>
                <w:color w:val="000000" w:themeColor="text1"/>
                <w:sz w:val="28"/>
                <w:szCs w:val="28"/>
              </w:rPr>
              <w:t>類     別</w:t>
            </w:r>
          </w:p>
        </w:tc>
        <w:tc>
          <w:tcPr>
            <w:tcW w:w="6114" w:type="dxa"/>
            <w:gridSpan w:val="3"/>
            <w:tcBorders>
              <w:top w:val="single" w:sz="12" w:space="0" w:color="auto"/>
              <w:left w:val="single" w:sz="12" w:space="0" w:color="auto"/>
              <w:bottom w:val="single" w:sz="12" w:space="0" w:color="auto"/>
              <w:right w:val="single" w:sz="12" w:space="0" w:color="auto"/>
            </w:tcBorders>
            <w:shd w:val="clear" w:color="auto" w:fill="FFFFFF"/>
            <w:vAlign w:val="center"/>
          </w:tcPr>
          <w:p w14:paraId="152E94E7" w14:textId="06DB0912" w:rsidR="0078100D" w:rsidRPr="001B6E4D" w:rsidRDefault="0078100D" w:rsidP="003D1018">
            <w:pPr>
              <w:overflowPunct w:val="0"/>
              <w:spacing w:line="340" w:lineRule="exact"/>
              <w:ind w:leftChars="-3" w:left="-1" w:rightChars="14" w:right="34" w:hangingChars="2" w:hanging="6"/>
              <w:jc w:val="center"/>
              <w:rPr>
                <w:rFonts w:ascii="標楷體" w:eastAsia="標楷體" w:hAnsi="標楷體"/>
                <w:b/>
                <w:bCs/>
                <w:color w:val="000000" w:themeColor="text1"/>
                <w:sz w:val="28"/>
                <w:szCs w:val="28"/>
              </w:rPr>
            </w:pPr>
            <w:r w:rsidRPr="001B6E4D">
              <w:rPr>
                <w:rFonts w:ascii="標楷體" w:eastAsia="標楷體" w:hAnsi="標楷體"/>
                <w:b/>
                <w:bCs/>
                <w:color w:val="000000" w:themeColor="text1"/>
                <w:sz w:val="28"/>
                <w:szCs w:val="28"/>
              </w:rPr>
              <w:t>第11屆</w:t>
            </w:r>
            <w:r w:rsidRPr="001B6E4D">
              <w:rPr>
                <w:rFonts w:ascii="標楷體" w:eastAsia="標楷體" w:hAnsi="標楷體" w:hint="eastAsia"/>
                <w:b/>
                <w:bCs/>
                <w:color w:val="000000" w:themeColor="text1"/>
                <w:sz w:val="28"/>
                <w:szCs w:val="28"/>
              </w:rPr>
              <w:t>第</w:t>
            </w:r>
            <w:r w:rsidR="00E27248" w:rsidRPr="001B6E4D">
              <w:rPr>
                <w:rFonts w:ascii="標楷體" w:eastAsia="標楷體" w:hAnsi="標楷體" w:hint="eastAsia"/>
                <w:b/>
                <w:bCs/>
                <w:color w:val="000000" w:themeColor="text1"/>
                <w:sz w:val="28"/>
                <w:szCs w:val="28"/>
              </w:rPr>
              <w:t>5</w:t>
            </w:r>
            <w:r w:rsidRPr="001B6E4D">
              <w:rPr>
                <w:rFonts w:ascii="標楷體" w:eastAsia="標楷體" w:hAnsi="標楷體" w:hint="eastAsia"/>
                <w:b/>
                <w:bCs/>
                <w:color w:val="000000" w:themeColor="text1"/>
                <w:sz w:val="28"/>
                <w:szCs w:val="28"/>
              </w:rPr>
              <w:t>會期本會審</w:t>
            </w:r>
            <w:proofErr w:type="gramStart"/>
            <w:r w:rsidRPr="001B6E4D">
              <w:rPr>
                <w:rFonts w:ascii="標楷體" w:eastAsia="標楷體" w:hAnsi="標楷體" w:hint="eastAsia"/>
                <w:b/>
                <w:bCs/>
                <w:color w:val="000000" w:themeColor="text1"/>
                <w:sz w:val="28"/>
                <w:szCs w:val="28"/>
              </w:rPr>
              <w:t>竣</w:t>
            </w:r>
            <w:proofErr w:type="gramEnd"/>
            <w:r w:rsidRPr="001B6E4D">
              <w:rPr>
                <w:rFonts w:ascii="標楷體" w:eastAsia="標楷體" w:hAnsi="標楷體" w:hint="eastAsia"/>
                <w:b/>
                <w:bCs/>
                <w:color w:val="000000" w:themeColor="text1"/>
                <w:sz w:val="28"/>
                <w:szCs w:val="28"/>
              </w:rPr>
              <w:t>提報院會之</w:t>
            </w:r>
            <w:r w:rsidRPr="001B6E4D">
              <w:rPr>
                <w:rFonts w:ascii="標楷體" w:eastAsia="標楷體" w:hAnsi="標楷體"/>
                <w:b/>
                <w:bCs/>
                <w:color w:val="000000" w:themeColor="text1"/>
                <w:sz w:val="28"/>
                <w:szCs w:val="28"/>
                <w:bdr w:val="single" w:sz="4" w:space="0" w:color="auto"/>
              </w:rPr>
              <w:t>已</w:t>
            </w:r>
            <w:r w:rsidRPr="001B6E4D">
              <w:rPr>
                <w:rFonts w:ascii="標楷體" w:eastAsia="標楷體" w:hAnsi="標楷體" w:hint="eastAsia"/>
                <w:b/>
                <w:bCs/>
                <w:color w:val="000000" w:themeColor="text1"/>
                <w:sz w:val="28"/>
                <w:szCs w:val="28"/>
                <w:bdr w:val="single" w:sz="4" w:space="0" w:color="auto"/>
              </w:rPr>
              <w:t>結案件</w:t>
            </w:r>
            <w:r w:rsidRPr="001B6E4D">
              <w:rPr>
                <w:rFonts w:ascii="標楷體" w:eastAsia="標楷體" w:hAnsi="標楷體" w:hint="eastAsia"/>
                <w:b/>
                <w:bCs/>
                <w:color w:val="000000" w:themeColor="text1"/>
                <w:sz w:val="28"/>
                <w:szCs w:val="28"/>
              </w:rPr>
              <w:t xml:space="preserve">　</w:t>
            </w:r>
          </w:p>
        </w:tc>
      </w:tr>
      <w:tr w:rsidR="00C87651" w:rsidRPr="001B6E4D" w14:paraId="46B76453" w14:textId="77777777" w:rsidTr="00241136">
        <w:trPr>
          <w:trHeight w:val="668"/>
        </w:trPr>
        <w:tc>
          <w:tcPr>
            <w:tcW w:w="2802" w:type="dxa"/>
            <w:gridSpan w:val="2"/>
            <w:vMerge/>
            <w:tcBorders>
              <w:left w:val="single" w:sz="12" w:space="0" w:color="auto"/>
              <w:bottom w:val="single" w:sz="12" w:space="0" w:color="auto"/>
              <w:right w:val="single" w:sz="12" w:space="0" w:color="auto"/>
            </w:tcBorders>
            <w:shd w:val="clear" w:color="auto" w:fill="FFFFFF"/>
          </w:tcPr>
          <w:p w14:paraId="752AF2B3" w14:textId="77777777" w:rsidR="0078100D" w:rsidRPr="001B6E4D" w:rsidRDefault="0078100D" w:rsidP="003D1018">
            <w:pPr>
              <w:overflowPunct w:val="0"/>
              <w:spacing w:line="240" w:lineRule="exact"/>
              <w:jc w:val="center"/>
              <w:rPr>
                <w:rFonts w:ascii="標楷體" w:eastAsia="標楷體" w:hAnsi="標楷體"/>
                <w:b/>
                <w:color w:val="000000" w:themeColor="text1"/>
                <w:sz w:val="28"/>
                <w:szCs w:val="28"/>
              </w:rPr>
            </w:pPr>
          </w:p>
        </w:tc>
        <w:tc>
          <w:tcPr>
            <w:tcW w:w="1984" w:type="dxa"/>
            <w:tcBorders>
              <w:top w:val="single" w:sz="12" w:space="0" w:color="auto"/>
              <w:left w:val="single" w:sz="12" w:space="0" w:color="auto"/>
              <w:right w:val="dashed" w:sz="4" w:space="0" w:color="auto"/>
            </w:tcBorders>
            <w:shd w:val="clear" w:color="auto" w:fill="FFFFFF"/>
            <w:vAlign w:val="center"/>
          </w:tcPr>
          <w:p w14:paraId="0BADC4E0" w14:textId="77777777" w:rsidR="0078100D" w:rsidRPr="001B6E4D" w:rsidRDefault="0078100D" w:rsidP="003D1018">
            <w:pPr>
              <w:overflowPunct w:val="0"/>
              <w:adjustRightInd w:val="0"/>
              <w:snapToGrid w:val="0"/>
              <w:spacing w:line="380" w:lineRule="exact"/>
              <w:jc w:val="center"/>
              <w:rPr>
                <w:rFonts w:ascii="標楷體" w:eastAsia="標楷體" w:hAnsi="標楷體"/>
                <w:b/>
                <w:color w:val="000000" w:themeColor="text1"/>
                <w:sz w:val="28"/>
                <w:szCs w:val="28"/>
              </w:rPr>
            </w:pPr>
            <w:r w:rsidRPr="001B6E4D">
              <w:rPr>
                <w:rFonts w:ascii="標楷體" w:eastAsia="標楷體" w:hAnsi="標楷體"/>
                <w:b/>
                <w:color w:val="000000" w:themeColor="text1"/>
                <w:spacing w:val="-6"/>
                <w:sz w:val="28"/>
                <w:szCs w:val="28"/>
              </w:rPr>
              <w:t>院會通過</w:t>
            </w:r>
          </w:p>
        </w:tc>
        <w:tc>
          <w:tcPr>
            <w:tcW w:w="1985" w:type="dxa"/>
            <w:tcBorders>
              <w:top w:val="single" w:sz="12" w:space="0" w:color="auto"/>
              <w:left w:val="dashed" w:sz="4" w:space="0" w:color="auto"/>
              <w:right w:val="single" w:sz="12" w:space="0" w:color="auto"/>
            </w:tcBorders>
            <w:shd w:val="clear" w:color="auto" w:fill="FFFFFF"/>
            <w:vAlign w:val="center"/>
          </w:tcPr>
          <w:p w14:paraId="246684FE" w14:textId="77777777" w:rsidR="0078100D" w:rsidRPr="001B6E4D" w:rsidRDefault="0078100D" w:rsidP="003D1018">
            <w:pPr>
              <w:overflowPunct w:val="0"/>
              <w:spacing w:line="380" w:lineRule="exact"/>
              <w:jc w:val="center"/>
              <w:rPr>
                <w:rFonts w:ascii="標楷體" w:eastAsia="標楷體" w:hAnsi="標楷體"/>
                <w:b/>
                <w:color w:val="000000" w:themeColor="text1"/>
                <w:spacing w:val="-6"/>
                <w:sz w:val="28"/>
                <w:szCs w:val="28"/>
              </w:rPr>
            </w:pPr>
            <w:r w:rsidRPr="001B6E4D">
              <w:rPr>
                <w:rFonts w:ascii="標楷體" w:eastAsia="標楷體" w:hAnsi="標楷體"/>
                <w:b/>
                <w:color w:val="000000" w:themeColor="text1"/>
                <w:spacing w:val="-6"/>
                <w:sz w:val="28"/>
                <w:szCs w:val="28"/>
              </w:rPr>
              <w:t>院會</w:t>
            </w:r>
            <w:r w:rsidRPr="001B6E4D">
              <w:rPr>
                <w:rFonts w:ascii="標楷體" w:eastAsia="標楷體" w:hAnsi="標楷體" w:hint="eastAsia"/>
                <w:b/>
                <w:color w:val="000000" w:themeColor="text1"/>
                <w:spacing w:val="-6"/>
                <w:sz w:val="28"/>
                <w:szCs w:val="28"/>
              </w:rPr>
              <w:t>待</w:t>
            </w:r>
            <w:r w:rsidRPr="001B6E4D">
              <w:rPr>
                <w:rFonts w:ascii="標楷體" w:eastAsia="標楷體" w:hAnsi="標楷體"/>
                <w:b/>
                <w:color w:val="000000" w:themeColor="text1"/>
                <w:spacing w:val="-6"/>
                <w:sz w:val="28"/>
                <w:szCs w:val="28"/>
              </w:rPr>
              <w:t>審</w:t>
            </w:r>
          </w:p>
        </w:tc>
        <w:tc>
          <w:tcPr>
            <w:tcW w:w="2145" w:type="dxa"/>
            <w:tcBorders>
              <w:top w:val="single" w:sz="12" w:space="0" w:color="auto"/>
              <w:left w:val="single" w:sz="12" w:space="0" w:color="auto"/>
              <w:bottom w:val="single" w:sz="12" w:space="0" w:color="auto"/>
              <w:right w:val="single" w:sz="12" w:space="0" w:color="auto"/>
            </w:tcBorders>
            <w:shd w:val="clear" w:color="auto" w:fill="FFFFFF"/>
            <w:vAlign w:val="center"/>
          </w:tcPr>
          <w:p w14:paraId="0C08BFEB" w14:textId="05A81E4E" w:rsidR="0078100D" w:rsidRPr="001B6E4D" w:rsidRDefault="0078100D" w:rsidP="003D1018">
            <w:pPr>
              <w:overflowPunct w:val="0"/>
              <w:spacing w:line="380" w:lineRule="exact"/>
              <w:jc w:val="center"/>
              <w:rPr>
                <w:rFonts w:ascii="標楷體" w:eastAsia="標楷體" w:hAnsi="標楷體"/>
                <w:color w:val="000000" w:themeColor="text1"/>
                <w:sz w:val="28"/>
                <w:szCs w:val="28"/>
              </w:rPr>
            </w:pPr>
            <w:r w:rsidRPr="001B6E4D">
              <w:rPr>
                <w:rFonts w:ascii="標楷體" w:eastAsia="標楷體" w:hAnsi="標楷體" w:hint="eastAsia"/>
                <w:b/>
                <w:color w:val="000000" w:themeColor="text1"/>
                <w:sz w:val="28"/>
                <w:szCs w:val="28"/>
              </w:rPr>
              <w:t>第</w:t>
            </w:r>
            <w:r w:rsidR="00E27248" w:rsidRPr="001B6E4D">
              <w:rPr>
                <w:rFonts w:ascii="標楷體" w:eastAsia="標楷體" w:hAnsi="標楷體" w:hint="eastAsia"/>
                <w:b/>
                <w:color w:val="000000" w:themeColor="text1"/>
                <w:sz w:val="28"/>
                <w:szCs w:val="28"/>
              </w:rPr>
              <w:t>5</w:t>
            </w:r>
            <w:r w:rsidRPr="001B6E4D">
              <w:rPr>
                <w:rFonts w:ascii="標楷體" w:eastAsia="標楷體" w:hAnsi="標楷體" w:hint="eastAsia"/>
                <w:b/>
                <w:color w:val="000000" w:themeColor="text1"/>
                <w:sz w:val="28"/>
                <w:szCs w:val="28"/>
              </w:rPr>
              <w:t>會期審竣</w:t>
            </w:r>
          </w:p>
        </w:tc>
      </w:tr>
      <w:tr w:rsidR="00C87651" w:rsidRPr="001B6E4D" w14:paraId="59C72AC4" w14:textId="77777777" w:rsidTr="00241136">
        <w:trPr>
          <w:trHeight w:val="737"/>
        </w:trPr>
        <w:tc>
          <w:tcPr>
            <w:tcW w:w="534" w:type="dxa"/>
            <w:vMerge w:val="restart"/>
            <w:tcBorders>
              <w:top w:val="single" w:sz="12" w:space="0" w:color="auto"/>
              <w:left w:val="single" w:sz="12" w:space="0" w:color="auto"/>
              <w:bottom w:val="single" w:sz="18" w:space="0" w:color="auto"/>
              <w:right w:val="single" w:sz="4" w:space="0" w:color="auto"/>
            </w:tcBorders>
            <w:shd w:val="clear" w:color="auto" w:fill="FFFFFF"/>
            <w:vAlign w:val="center"/>
          </w:tcPr>
          <w:p w14:paraId="0490A8B6" w14:textId="77777777" w:rsidR="0078100D" w:rsidRPr="001B6E4D" w:rsidRDefault="0078100D" w:rsidP="003D1018">
            <w:pPr>
              <w:overflowPunct w:val="0"/>
              <w:spacing w:line="360" w:lineRule="exact"/>
              <w:ind w:left="132" w:hangingChars="55" w:hanging="132"/>
              <w:jc w:val="center"/>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院</w:t>
            </w:r>
          </w:p>
          <w:p w14:paraId="3CA4F874" w14:textId="77777777" w:rsidR="0078100D" w:rsidRPr="001B6E4D" w:rsidRDefault="0078100D" w:rsidP="003D1018">
            <w:pPr>
              <w:overflowPunct w:val="0"/>
              <w:spacing w:line="360" w:lineRule="exact"/>
              <w:ind w:left="132" w:hangingChars="55" w:hanging="132"/>
              <w:jc w:val="center"/>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會</w:t>
            </w:r>
          </w:p>
          <w:p w14:paraId="1FDC45AC" w14:textId="77777777" w:rsidR="0078100D" w:rsidRPr="001B6E4D" w:rsidRDefault="0078100D" w:rsidP="003D1018">
            <w:pPr>
              <w:overflowPunct w:val="0"/>
              <w:spacing w:line="360" w:lineRule="exact"/>
              <w:ind w:left="132" w:hangingChars="55" w:hanging="132"/>
              <w:jc w:val="center"/>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交</w:t>
            </w:r>
          </w:p>
          <w:p w14:paraId="60698E8E" w14:textId="77777777" w:rsidR="0078100D" w:rsidRPr="001B6E4D" w:rsidRDefault="0078100D" w:rsidP="003D1018">
            <w:pPr>
              <w:overflowPunct w:val="0"/>
              <w:spacing w:line="360" w:lineRule="exact"/>
              <w:ind w:left="132" w:hangingChars="55" w:hanging="132"/>
              <w:jc w:val="center"/>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付</w:t>
            </w:r>
          </w:p>
          <w:p w14:paraId="4C8ECAD5" w14:textId="77777777" w:rsidR="0078100D" w:rsidRPr="001B6E4D" w:rsidRDefault="0078100D" w:rsidP="003D1018">
            <w:pPr>
              <w:overflowPunct w:val="0"/>
              <w:spacing w:line="360" w:lineRule="exact"/>
              <w:ind w:left="132" w:hangingChars="55" w:hanging="132"/>
              <w:jc w:val="center"/>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審</w:t>
            </w:r>
          </w:p>
          <w:p w14:paraId="1D0820C7" w14:textId="77777777" w:rsidR="0078100D" w:rsidRPr="001B6E4D" w:rsidRDefault="0078100D" w:rsidP="003D1018">
            <w:pPr>
              <w:overflowPunct w:val="0"/>
              <w:spacing w:line="360" w:lineRule="exact"/>
              <w:ind w:left="132" w:hangingChars="55" w:hanging="132"/>
              <w:jc w:val="center"/>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查</w:t>
            </w:r>
          </w:p>
          <w:p w14:paraId="5BDE2C23" w14:textId="77777777" w:rsidR="0078100D" w:rsidRPr="001B6E4D" w:rsidRDefault="0078100D" w:rsidP="003D1018">
            <w:pPr>
              <w:overflowPunct w:val="0"/>
              <w:spacing w:line="360" w:lineRule="exact"/>
              <w:ind w:left="132" w:hangingChars="55" w:hanging="132"/>
              <w:jc w:val="center"/>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及</w:t>
            </w:r>
          </w:p>
          <w:p w14:paraId="75501D3E" w14:textId="77777777" w:rsidR="0078100D" w:rsidRPr="001B6E4D" w:rsidRDefault="0078100D" w:rsidP="003D1018">
            <w:pPr>
              <w:overflowPunct w:val="0"/>
              <w:spacing w:line="360" w:lineRule="exact"/>
              <w:ind w:left="132" w:hangingChars="55" w:hanging="132"/>
              <w:jc w:val="center"/>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處</w:t>
            </w:r>
          </w:p>
          <w:p w14:paraId="1D7ECE42" w14:textId="77777777" w:rsidR="0078100D" w:rsidRPr="001B6E4D" w:rsidRDefault="0078100D" w:rsidP="003D1018">
            <w:pPr>
              <w:overflowPunct w:val="0"/>
              <w:spacing w:line="360" w:lineRule="exact"/>
              <w:ind w:left="132" w:hangingChars="55" w:hanging="132"/>
              <w:jc w:val="center"/>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理</w:t>
            </w:r>
          </w:p>
        </w:tc>
        <w:tc>
          <w:tcPr>
            <w:tcW w:w="2268" w:type="dxa"/>
            <w:tcBorders>
              <w:top w:val="single" w:sz="12" w:space="0" w:color="auto"/>
              <w:left w:val="single" w:sz="4" w:space="0" w:color="auto"/>
              <w:right w:val="single" w:sz="12" w:space="0" w:color="auto"/>
            </w:tcBorders>
            <w:shd w:val="clear" w:color="auto" w:fill="FFFFFF"/>
            <w:vAlign w:val="center"/>
          </w:tcPr>
          <w:p w14:paraId="24BB81D6" w14:textId="77777777" w:rsidR="0078100D" w:rsidRPr="001B6E4D" w:rsidRDefault="0078100D" w:rsidP="003D1018">
            <w:pPr>
              <w:overflowPunct w:val="0"/>
              <w:spacing w:line="360" w:lineRule="exact"/>
              <w:ind w:leftChars="-55" w:hangingChars="55" w:hanging="132"/>
              <w:jc w:val="both"/>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［一］法律案</w:t>
            </w:r>
          </w:p>
        </w:tc>
        <w:tc>
          <w:tcPr>
            <w:tcW w:w="1984" w:type="dxa"/>
            <w:tcBorders>
              <w:top w:val="single" w:sz="12" w:space="0" w:color="auto"/>
              <w:left w:val="single" w:sz="12" w:space="0" w:color="auto"/>
              <w:right w:val="dashed" w:sz="4" w:space="0" w:color="auto"/>
            </w:tcBorders>
            <w:shd w:val="clear" w:color="auto" w:fill="FFFFFF"/>
            <w:vAlign w:val="center"/>
          </w:tcPr>
          <w:p w14:paraId="4870A9A3" w14:textId="0058727E"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96</w:t>
            </w:r>
          </w:p>
        </w:tc>
        <w:tc>
          <w:tcPr>
            <w:tcW w:w="1985" w:type="dxa"/>
            <w:tcBorders>
              <w:top w:val="single" w:sz="12" w:space="0" w:color="auto"/>
              <w:left w:val="dashed" w:sz="4" w:space="0" w:color="auto"/>
              <w:bottom w:val="single" w:sz="4" w:space="0" w:color="auto"/>
              <w:right w:val="single" w:sz="12" w:space="0" w:color="auto"/>
            </w:tcBorders>
            <w:shd w:val="clear" w:color="auto" w:fill="FFFFFF"/>
            <w:vAlign w:val="center"/>
          </w:tcPr>
          <w:p w14:paraId="2528A337" w14:textId="65CA535A"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120</w:t>
            </w:r>
          </w:p>
        </w:tc>
        <w:tc>
          <w:tcPr>
            <w:tcW w:w="2145" w:type="dxa"/>
            <w:tcBorders>
              <w:top w:val="single" w:sz="12" w:space="0" w:color="auto"/>
              <w:left w:val="single" w:sz="12" w:space="0" w:color="auto"/>
              <w:right w:val="single" w:sz="12" w:space="0" w:color="auto"/>
            </w:tcBorders>
            <w:shd w:val="clear" w:color="auto" w:fill="FFFFFF"/>
            <w:vAlign w:val="center"/>
          </w:tcPr>
          <w:p w14:paraId="230A3605" w14:textId="266BBA80"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216</w:t>
            </w:r>
          </w:p>
        </w:tc>
      </w:tr>
      <w:tr w:rsidR="00C87651" w:rsidRPr="001B6E4D" w14:paraId="65D6DD15" w14:textId="77777777" w:rsidTr="00241136">
        <w:trPr>
          <w:trHeight w:val="737"/>
        </w:trPr>
        <w:tc>
          <w:tcPr>
            <w:tcW w:w="534" w:type="dxa"/>
            <w:vMerge/>
            <w:tcBorders>
              <w:left w:val="single" w:sz="12" w:space="0" w:color="auto"/>
              <w:bottom w:val="single" w:sz="18" w:space="0" w:color="auto"/>
              <w:right w:val="single" w:sz="4" w:space="0" w:color="auto"/>
            </w:tcBorders>
            <w:shd w:val="clear" w:color="auto" w:fill="FFFFFF"/>
          </w:tcPr>
          <w:p w14:paraId="48C08FF2" w14:textId="77777777" w:rsidR="0078100D" w:rsidRPr="001B6E4D" w:rsidRDefault="0078100D" w:rsidP="003D1018">
            <w:pPr>
              <w:overflowPunct w:val="0"/>
              <w:spacing w:line="360" w:lineRule="exact"/>
              <w:ind w:leftChars="-55" w:hangingChars="55" w:hanging="132"/>
              <w:jc w:val="both"/>
              <w:rPr>
                <w:rFonts w:ascii="標楷體" w:eastAsia="標楷體" w:hAnsi="標楷體" w:cs="Mangal"/>
                <w:bCs/>
                <w:color w:val="000000" w:themeColor="text1"/>
                <w:spacing w:val="-20"/>
                <w:sz w:val="28"/>
                <w:szCs w:val="28"/>
              </w:rPr>
            </w:pPr>
          </w:p>
        </w:tc>
        <w:tc>
          <w:tcPr>
            <w:tcW w:w="2268" w:type="dxa"/>
            <w:tcBorders>
              <w:left w:val="single" w:sz="4" w:space="0" w:color="auto"/>
              <w:right w:val="single" w:sz="12" w:space="0" w:color="auto"/>
            </w:tcBorders>
            <w:shd w:val="clear" w:color="auto" w:fill="FFFFFF"/>
            <w:vAlign w:val="center"/>
          </w:tcPr>
          <w:p w14:paraId="1E5F2297" w14:textId="77777777" w:rsidR="0078100D" w:rsidRPr="001B6E4D" w:rsidRDefault="0078100D" w:rsidP="003D1018">
            <w:pPr>
              <w:overflowPunct w:val="0"/>
              <w:spacing w:line="360" w:lineRule="exact"/>
              <w:ind w:leftChars="-55" w:hangingChars="55" w:hanging="132"/>
              <w:jc w:val="both"/>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［二］預（決）算案</w:t>
            </w:r>
          </w:p>
        </w:tc>
        <w:tc>
          <w:tcPr>
            <w:tcW w:w="1984" w:type="dxa"/>
            <w:tcBorders>
              <w:left w:val="single" w:sz="12" w:space="0" w:color="auto"/>
              <w:bottom w:val="single" w:sz="4" w:space="0" w:color="auto"/>
              <w:right w:val="dashed" w:sz="4" w:space="0" w:color="auto"/>
            </w:tcBorders>
            <w:shd w:val="clear" w:color="auto" w:fill="FFFFFF"/>
            <w:vAlign w:val="center"/>
          </w:tcPr>
          <w:p w14:paraId="42BEAF01" w14:textId="00D96A1E"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3</w:t>
            </w:r>
          </w:p>
        </w:tc>
        <w:tc>
          <w:tcPr>
            <w:tcW w:w="1985" w:type="dxa"/>
            <w:tcBorders>
              <w:left w:val="dashed" w:sz="4" w:space="0" w:color="auto"/>
              <w:bottom w:val="single" w:sz="4" w:space="0" w:color="auto"/>
              <w:right w:val="single" w:sz="12" w:space="0" w:color="auto"/>
            </w:tcBorders>
            <w:shd w:val="clear" w:color="auto" w:fill="FFFFFF"/>
            <w:vAlign w:val="center"/>
          </w:tcPr>
          <w:p w14:paraId="284CA363" w14:textId="0332C1BB"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1</w:t>
            </w:r>
          </w:p>
        </w:tc>
        <w:tc>
          <w:tcPr>
            <w:tcW w:w="2145" w:type="dxa"/>
            <w:tcBorders>
              <w:left w:val="single" w:sz="12" w:space="0" w:color="auto"/>
              <w:bottom w:val="single" w:sz="4" w:space="0" w:color="auto"/>
              <w:right w:val="single" w:sz="12" w:space="0" w:color="auto"/>
            </w:tcBorders>
            <w:shd w:val="clear" w:color="auto" w:fill="FFFFFF"/>
            <w:vAlign w:val="center"/>
          </w:tcPr>
          <w:p w14:paraId="1F24E7A1" w14:textId="3C2889C8"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4</w:t>
            </w:r>
          </w:p>
        </w:tc>
      </w:tr>
      <w:tr w:rsidR="00C87651" w:rsidRPr="001B6E4D" w14:paraId="6D296CA9" w14:textId="77777777" w:rsidTr="00241136">
        <w:trPr>
          <w:trHeight w:val="737"/>
        </w:trPr>
        <w:tc>
          <w:tcPr>
            <w:tcW w:w="534" w:type="dxa"/>
            <w:vMerge/>
            <w:tcBorders>
              <w:left w:val="single" w:sz="12" w:space="0" w:color="auto"/>
              <w:bottom w:val="single" w:sz="18" w:space="0" w:color="auto"/>
              <w:right w:val="single" w:sz="4" w:space="0" w:color="auto"/>
            </w:tcBorders>
            <w:shd w:val="clear" w:color="auto" w:fill="FFFFFF"/>
          </w:tcPr>
          <w:p w14:paraId="7EEC6769" w14:textId="77777777" w:rsidR="0078100D" w:rsidRPr="001B6E4D" w:rsidRDefault="0078100D" w:rsidP="003D1018">
            <w:pPr>
              <w:overflowPunct w:val="0"/>
              <w:spacing w:line="360" w:lineRule="exact"/>
              <w:ind w:leftChars="-55" w:hangingChars="55" w:hanging="132"/>
              <w:jc w:val="both"/>
              <w:rPr>
                <w:rFonts w:ascii="標楷體" w:eastAsia="標楷體" w:hAnsi="標楷體" w:cs="Mangal"/>
                <w:bCs/>
                <w:color w:val="000000" w:themeColor="text1"/>
                <w:spacing w:val="-20"/>
                <w:sz w:val="28"/>
                <w:szCs w:val="28"/>
              </w:rPr>
            </w:pPr>
          </w:p>
        </w:tc>
        <w:tc>
          <w:tcPr>
            <w:tcW w:w="2268" w:type="dxa"/>
            <w:tcBorders>
              <w:left w:val="single" w:sz="4" w:space="0" w:color="auto"/>
              <w:right w:val="single" w:sz="12" w:space="0" w:color="auto"/>
            </w:tcBorders>
            <w:shd w:val="clear" w:color="auto" w:fill="FFFFFF"/>
            <w:vAlign w:val="center"/>
          </w:tcPr>
          <w:p w14:paraId="4E481FDA" w14:textId="77777777" w:rsidR="0078100D" w:rsidRPr="001B6E4D" w:rsidRDefault="0078100D" w:rsidP="003D1018">
            <w:pPr>
              <w:overflowPunct w:val="0"/>
              <w:spacing w:line="360" w:lineRule="exact"/>
              <w:ind w:leftChars="-55" w:hangingChars="55" w:hanging="132"/>
              <w:jc w:val="both"/>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［三］條約案</w:t>
            </w:r>
          </w:p>
        </w:tc>
        <w:tc>
          <w:tcPr>
            <w:tcW w:w="1984" w:type="dxa"/>
            <w:tcBorders>
              <w:left w:val="single" w:sz="12" w:space="0" w:color="auto"/>
              <w:right w:val="dashed" w:sz="4" w:space="0" w:color="auto"/>
            </w:tcBorders>
            <w:shd w:val="clear" w:color="auto" w:fill="FFFFFF"/>
            <w:vAlign w:val="center"/>
          </w:tcPr>
          <w:p w14:paraId="3FFAE003" w14:textId="77777777" w:rsidR="0078100D" w:rsidRPr="001B6E4D" w:rsidRDefault="0078100D"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1985" w:type="dxa"/>
            <w:tcBorders>
              <w:left w:val="dashed" w:sz="4" w:space="0" w:color="auto"/>
              <w:right w:val="single" w:sz="12" w:space="0" w:color="auto"/>
            </w:tcBorders>
            <w:shd w:val="clear" w:color="auto" w:fill="FFFFFF"/>
            <w:vAlign w:val="center"/>
          </w:tcPr>
          <w:p w14:paraId="1670A98F" w14:textId="77777777" w:rsidR="0078100D" w:rsidRPr="001B6E4D" w:rsidRDefault="0078100D"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2145" w:type="dxa"/>
            <w:tcBorders>
              <w:left w:val="single" w:sz="12" w:space="0" w:color="auto"/>
              <w:right w:val="single" w:sz="12" w:space="0" w:color="auto"/>
            </w:tcBorders>
            <w:shd w:val="clear" w:color="auto" w:fill="FFFFFF"/>
            <w:vAlign w:val="center"/>
          </w:tcPr>
          <w:p w14:paraId="7B259DF3" w14:textId="77777777" w:rsidR="0078100D" w:rsidRPr="001B6E4D" w:rsidRDefault="0078100D"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r>
      <w:tr w:rsidR="00C87651" w:rsidRPr="001B6E4D" w14:paraId="4F4D40DE" w14:textId="77777777" w:rsidTr="00241136">
        <w:trPr>
          <w:trHeight w:val="737"/>
        </w:trPr>
        <w:tc>
          <w:tcPr>
            <w:tcW w:w="534" w:type="dxa"/>
            <w:vMerge/>
            <w:tcBorders>
              <w:left w:val="single" w:sz="12" w:space="0" w:color="auto"/>
              <w:bottom w:val="single" w:sz="18" w:space="0" w:color="auto"/>
              <w:right w:val="single" w:sz="4" w:space="0" w:color="auto"/>
            </w:tcBorders>
            <w:shd w:val="clear" w:color="auto" w:fill="FFFFFF"/>
          </w:tcPr>
          <w:p w14:paraId="693A731F" w14:textId="77777777" w:rsidR="0078100D" w:rsidRPr="001B6E4D" w:rsidRDefault="0078100D" w:rsidP="003D1018">
            <w:pPr>
              <w:overflowPunct w:val="0"/>
              <w:spacing w:line="360" w:lineRule="exact"/>
              <w:ind w:leftChars="-55" w:hangingChars="55" w:hanging="132"/>
              <w:jc w:val="both"/>
              <w:rPr>
                <w:rFonts w:ascii="標楷體" w:eastAsia="標楷體" w:hAnsi="標楷體" w:cs="Mangal"/>
                <w:bCs/>
                <w:color w:val="000000" w:themeColor="text1"/>
                <w:spacing w:val="-20"/>
                <w:sz w:val="28"/>
                <w:szCs w:val="28"/>
              </w:rPr>
            </w:pPr>
          </w:p>
        </w:tc>
        <w:tc>
          <w:tcPr>
            <w:tcW w:w="2268" w:type="dxa"/>
            <w:tcBorders>
              <w:left w:val="single" w:sz="4" w:space="0" w:color="auto"/>
              <w:right w:val="single" w:sz="12" w:space="0" w:color="auto"/>
            </w:tcBorders>
            <w:shd w:val="clear" w:color="auto" w:fill="FFFFFF"/>
            <w:vAlign w:val="center"/>
          </w:tcPr>
          <w:p w14:paraId="025F637A" w14:textId="77777777" w:rsidR="0078100D" w:rsidRPr="001B6E4D" w:rsidRDefault="0078100D" w:rsidP="003D1018">
            <w:pPr>
              <w:overflowPunct w:val="0"/>
              <w:spacing w:line="360" w:lineRule="exact"/>
              <w:ind w:leftChars="-55" w:hangingChars="55" w:hanging="132"/>
              <w:jc w:val="both"/>
              <w:rPr>
                <w:rFonts w:ascii="標楷體" w:eastAsia="標楷體" w:hAnsi="標楷體" w:cs="Mangal"/>
                <w:bCs/>
                <w:color w:val="000000" w:themeColor="text1"/>
                <w:spacing w:val="-20"/>
                <w:sz w:val="28"/>
                <w:szCs w:val="28"/>
              </w:rPr>
            </w:pPr>
            <w:r w:rsidRPr="001B6E4D">
              <w:rPr>
                <w:rFonts w:ascii="標楷體" w:eastAsia="標楷體" w:hAnsi="標楷體" w:cs="Mangal" w:hint="eastAsia"/>
                <w:bCs/>
                <w:color w:val="000000" w:themeColor="text1"/>
                <w:spacing w:val="-20"/>
                <w:sz w:val="28"/>
                <w:szCs w:val="28"/>
              </w:rPr>
              <w:t>［四］行政命令案</w:t>
            </w:r>
          </w:p>
        </w:tc>
        <w:tc>
          <w:tcPr>
            <w:tcW w:w="1984" w:type="dxa"/>
            <w:tcBorders>
              <w:left w:val="single" w:sz="12" w:space="0" w:color="auto"/>
              <w:right w:val="dashed" w:sz="4" w:space="0" w:color="auto"/>
            </w:tcBorders>
            <w:shd w:val="clear" w:color="auto" w:fill="FFFFFF"/>
            <w:vAlign w:val="center"/>
          </w:tcPr>
          <w:p w14:paraId="2077F26C" w14:textId="364B43DE"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4</w:t>
            </w:r>
          </w:p>
        </w:tc>
        <w:tc>
          <w:tcPr>
            <w:tcW w:w="1985" w:type="dxa"/>
            <w:tcBorders>
              <w:left w:val="dashed" w:sz="4" w:space="0" w:color="auto"/>
              <w:right w:val="single" w:sz="12" w:space="0" w:color="auto"/>
            </w:tcBorders>
            <w:shd w:val="clear" w:color="auto" w:fill="FFFFFF"/>
            <w:vAlign w:val="center"/>
          </w:tcPr>
          <w:p w14:paraId="349BEE6E" w14:textId="77777777" w:rsidR="0078100D" w:rsidRPr="001B6E4D" w:rsidRDefault="0078100D"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2145" w:type="dxa"/>
            <w:tcBorders>
              <w:left w:val="single" w:sz="12" w:space="0" w:color="auto"/>
              <w:right w:val="single" w:sz="12" w:space="0" w:color="auto"/>
            </w:tcBorders>
            <w:shd w:val="clear" w:color="auto" w:fill="FFFFFF"/>
            <w:vAlign w:val="center"/>
          </w:tcPr>
          <w:p w14:paraId="5D16D098" w14:textId="016A5385"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4</w:t>
            </w:r>
          </w:p>
        </w:tc>
      </w:tr>
      <w:tr w:rsidR="00C87651" w:rsidRPr="001B6E4D" w14:paraId="051E6361" w14:textId="77777777" w:rsidTr="00241136">
        <w:trPr>
          <w:trHeight w:val="737"/>
        </w:trPr>
        <w:tc>
          <w:tcPr>
            <w:tcW w:w="534" w:type="dxa"/>
            <w:vMerge/>
            <w:tcBorders>
              <w:left w:val="single" w:sz="12" w:space="0" w:color="auto"/>
              <w:bottom w:val="single" w:sz="18" w:space="0" w:color="auto"/>
              <w:right w:val="single" w:sz="4" w:space="0" w:color="auto"/>
            </w:tcBorders>
            <w:shd w:val="clear" w:color="auto" w:fill="FFFFFF"/>
          </w:tcPr>
          <w:p w14:paraId="61BE62D5" w14:textId="77777777" w:rsidR="0078100D" w:rsidRPr="001B6E4D" w:rsidRDefault="0078100D" w:rsidP="003D1018">
            <w:pPr>
              <w:overflowPunct w:val="0"/>
              <w:spacing w:line="360" w:lineRule="exact"/>
              <w:ind w:leftChars="-55" w:left="242" w:hangingChars="156" w:hanging="374"/>
              <w:jc w:val="both"/>
              <w:rPr>
                <w:rFonts w:ascii="標楷體" w:eastAsia="標楷體" w:hAnsi="標楷體"/>
                <w:bCs/>
                <w:color w:val="000000" w:themeColor="text1"/>
                <w:spacing w:val="-20"/>
                <w:sz w:val="28"/>
                <w:szCs w:val="28"/>
              </w:rPr>
            </w:pPr>
          </w:p>
        </w:tc>
        <w:tc>
          <w:tcPr>
            <w:tcW w:w="2268" w:type="dxa"/>
            <w:tcBorders>
              <w:left w:val="single" w:sz="4" w:space="0" w:color="auto"/>
              <w:bottom w:val="single" w:sz="4" w:space="0" w:color="auto"/>
              <w:right w:val="single" w:sz="12" w:space="0" w:color="auto"/>
            </w:tcBorders>
            <w:shd w:val="clear" w:color="auto" w:fill="FFFFFF"/>
            <w:vAlign w:val="center"/>
          </w:tcPr>
          <w:p w14:paraId="5FE26B94" w14:textId="77777777" w:rsidR="0078100D" w:rsidRPr="001B6E4D" w:rsidRDefault="0078100D" w:rsidP="003D1018">
            <w:pPr>
              <w:overflowPunct w:val="0"/>
              <w:spacing w:line="360" w:lineRule="exact"/>
              <w:ind w:leftChars="-55" w:left="242" w:hangingChars="156" w:hanging="374"/>
              <w:jc w:val="both"/>
              <w:rPr>
                <w:rFonts w:ascii="標楷體" w:eastAsia="標楷體" w:hAnsi="標楷體"/>
                <w:bCs/>
                <w:color w:val="000000" w:themeColor="text1"/>
                <w:spacing w:val="-20"/>
                <w:sz w:val="28"/>
                <w:szCs w:val="28"/>
              </w:rPr>
            </w:pPr>
            <w:r w:rsidRPr="001B6E4D">
              <w:rPr>
                <w:rFonts w:ascii="標楷體" w:eastAsia="標楷體" w:hAnsi="標楷體" w:hint="eastAsia"/>
                <w:bCs/>
                <w:color w:val="000000" w:themeColor="text1"/>
                <w:spacing w:val="-20"/>
                <w:sz w:val="28"/>
                <w:szCs w:val="28"/>
              </w:rPr>
              <w:t>［五］同意權行使案</w:t>
            </w:r>
          </w:p>
        </w:tc>
        <w:tc>
          <w:tcPr>
            <w:tcW w:w="1984" w:type="dxa"/>
            <w:tcBorders>
              <w:left w:val="single" w:sz="12" w:space="0" w:color="auto"/>
              <w:right w:val="dashed" w:sz="4" w:space="0" w:color="auto"/>
            </w:tcBorders>
            <w:shd w:val="clear" w:color="auto" w:fill="FFFFFF"/>
            <w:vAlign w:val="center"/>
          </w:tcPr>
          <w:p w14:paraId="0C4603AE" w14:textId="53CE1206"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1</w:t>
            </w:r>
          </w:p>
        </w:tc>
        <w:tc>
          <w:tcPr>
            <w:tcW w:w="1985" w:type="dxa"/>
            <w:tcBorders>
              <w:left w:val="dashed" w:sz="4" w:space="0" w:color="auto"/>
              <w:right w:val="single" w:sz="12" w:space="0" w:color="auto"/>
            </w:tcBorders>
            <w:shd w:val="clear" w:color="auto" w:fill="FFFFFF"/>
            <w:vAlign w:val="center"/>
          </w:tcPr>
          <w:p w14:paraId="7507E7CD" w14:textId="77777777" w:rsidR="0078100D" w:rsidRPr="001B6E4D" w:rsidRDefault="0078100D"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2145" w:type="dxa"/>
            <w:tcBorders>
              <w:left w:val="single" w:sz="12" w:space="0" w:color="auto"/>
              <w:right w:val="single" w:sz="12" w:space="0" w:color="auto"/>
            </w:tcBorders>
            <w:shd w:val="clear" w:color="auto" w:fill="FFFFFF"/>
            <w:vAlign w:val="center"/>
          </w:tcPr>
          <w:p w14:paraId="4B548926" w14:textId="59320183"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1</w:t>
            </w:r>
          </w:p>
        </w:tc>
      </w:tr>
      <w:tr w:rsidR="00C87651" w:rsidRPr="001B6E4D" w14:paraId="6497EF2D" w14:textId="77777777" w:rsidTr="00241136">
        <w:trPr>
          <w:trHeight w:val="737"/>
        </w:trPr>
        <w:tc>
          <w:tcPr>
            <w:tcW w:w="534" w:type="dxa"/>
            <w:vMerge/>
            <w:tcBorders>
              <w:left w:val="single" w:sz="12" w:space="0" w:color="auto"/>
              <w:bottom w:val="single" w:sz="18" w:space="0" w:color="auto"/>
              <w:right w:val="single" w:sz="4" w:space="0" w:color="auto"/>
            </w:tcBorders>
            <w:shd w:val="clear" w:color="auto" w:fill="FFFFFF"/>
          </w:tcPr>
          <w:p w14:paraId="79D73B47" w14:textId="77777777" w:rsidR="0078100D" w:rsidRPr="001B6E4D" w:rsidRDefault="0078100D" w:rsidP="003D1018">
            <w:pPr>
              <w:overflowPunct w:val="0"/>
              <w:spacing w:line="360" w:lineRule="exact"/>
              <w:ind w:leftChars="-55" w:left="242" w:hangingChars="156" w:hanging="374"/>
              <w:jc w:val="both"/>
              <w:rPr>
                <w:rFonts w:ascii="標楷體" w:eastAsia="標楷體" w:hAnsi="標楷體"/>
                <w:bCs/>
                <w:color w:val="000000" w:themeColor="text1"/>
                <w:spacing w:val="-20"/>
                <w:sz w:val="28"/>
                <w:szCs w:val="28"/>
              </w:rPr>
            </w:pPr>
          </w:p>
        </w:tc>
        <w:tc>
          <w:tcPr>
            <w:tcW w:w="2268" w:type="dxa"/>
            <w:tcBorders>
              <w:left w:val="single" w:sz="4" w:space="0" w:color="auto"/>
              <w:bottom w:val="single" w:sz="4" w:space="0" w:color="auto"/>
              <w:right w:val="single" w:sz="12" w:space="0" w:color="auto"/>
            </w:tcBorders>
            <w:shd w:val="clear" w:color="auto" w:fill="FFFFFF"/>
            <w:vAlign w:val="center"/>
          </w:tcPr>
          <w:p w14:paraId="510A1817" w14:textId="77777777" w:rsidR="0078100D" w:rsidRPr="001B6E4D" w:rsidRDefault="0078100D" w:rsidP="003D1018">
            <w:pPr>
              <w:overflowPunct w:val="0"/>
              <w:spacing w:line="360" w:lineRule="exact"/>
              <w:ind w:leftChars="-55" w:left="242" w:hangingChars="156" w:hanging="374"/>
              <w:jc w:val="both"/>
              <w:rPr>
                <w:rFonts w:ascii="標楷體" w:eastAsia="標楷體" w:hAnsi="標楷體"/>
                <w:bCs/>
                <w:color w:val="000000" w:themeColor="text1"/>
                <w:spacing w:val="-20"/>
                <w:sz w:val="28"/>
                <w:szCs w:val="28"/>
              </w:rPr>
            </w:pPr>
            <w:r w:rsidRPr="001B6E4D">
              <w:rPr>
                <w:rFonts w:ascii="標楷體" w:eastAsia="標楷體" w:hAnsi="標楷體" w:hint="eastAsia"/>
                <w:bCs/>
                <w:color w:val="000000" w:themeColor="text1"/>
                <w:spacing w:val="-20"/>
                <w:sz w:val="28"/>
                <w:szCs w:val="28"/>
              </w:rPr>
              <w:t>［六］立法院內</w:t>
            </w:r>
            <w:proofErr w:type="gramStart"/>
            <w:r w:rsidRPr="001B6E4D">
              <w:rPr>
                <w:rFonts w:ascii="標楷體" w:eastAsia="標楷體" w:hAnsi="標楷體" w:hint="eastAsia"/>
                <w:bCs/>
                <w:color w:val="000000" w:themeColor="text1"/>
                <w:spacing w:val="-20"/>
                <w:sz w:val="28"/>
                <w:szCs w:val="28"/>
              </w:rPr>
              <w:t>規</w:t>
            </w:r>
            <w:proofErr w:type="gramEnd"/>
          </w:p>
        </w:tc>
        <w:tc>
          <w:tcPr>
            <w:tcW w:w="1984" w:type="dxa"/>
            <w:tcBorders>
              <w:left w:val="single" w:sz="12" w:space="0" w:color="auto"/>
              <w:bottom w:val="single" w:sz="2" w:space="0" w:color="auto"/>
              <w:right w:val="dashed" w:sz="4" w:space="0" w:color="auto"/>
            </w:tcBorders>
            <w:shd w:val="clear" w:color="auto" w:fill="FFFFFF"/>
            <w:vAlign w:val="center"/>
          </w:tcPr>
          <w:p w14:paraId="0B4B0998" w14:textId="0CB7FE2B" w:rsidR="0078100D" w:rsidRPr="001B6E4D" w:rsidRDefault="00450DA9"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0</w:t>
            </w:r>
          </w:p>
        </w:tc>
        <w:tc>
          <w:tcPr>
            <w:tcW w:w="1985" w:type="dxa"/>
            <w:tcBorders>
              <w:left w:val="dashed" w:sz="4" w:space="0" w:color="auto"/>
              <w:bottom w:val="single" w:sz="2" w:space="0" w:color="auto"/>
              <w:right w:val="single" w:sz="12" w:space="0" w:color="auto"/>
            </w:tcBorders>
            <w:shd w:val="clear" w:color="auto" w:fill="FFFFFF"/>
            <w:vAlign w:val="center"/>
          </w:tcPr>
          <w:p w14:paraId="58BBBA86" w14:textId="2401BB8E" w:rsidR="0078100D" w:rsidRPr="001B6E4D" w:rsidRDefault="00573C99"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0</w:t>
            </w:r>
          </w:p>
        </w:tc>
        <w:tc>
          <w:tcPr>
            <w:tcW w:w="2145" w:type="dxa"/>
            <w:tcBorders>
              <w:left w:val="single" w:sz="12" w:space="0" w:color="auto"/>
              <w:bottom w:val="single" w:sz="2" w:space="0" w:color="auto"/>
              <w:right w:val="single" w:sz="12" w:space="0" w:color="auto"/>
            </w:tcBorders>
            <w:shd w:val="clear" w:color="auto" w:fill="FFFFFF"/>
            <w:vAlign w:val="center"/>
          </w:tcPr>
          <w:p w14:paraId="34EF8A43" w14:textId="17C6FBF1" w:rsidR="0078100D" w:rsidRPr="001B6E4D" w:rsidRDefault="00573C9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r>
      <w:tr w:rsidR="00C87651" w:rsidRPr="001B6E4D" w14:paraId="47B49352" w14:textId="77777777" w:rsidTr="00241136">
        <w:trPr>
          <w:trHeight w:val="737"/>
        </w:trPr>
        <w:tc>
          <w:tcPr>
            <w:tcW w:w="534" w:type="dxa"/>
            <w:vMerge/>
            <w:tcBorders>
              <w:left w:val="single" w:sz="12" w:space="0" w:color="auto"/>
              <w:bottom w:val="single" w:sz="18" w:space="0" w:color="auto"/>
              <w:right w:val="single" w:sz="4" w:space="0" w:color="auto"/>
            </w:tcBorders>
            <w:shd w:val="clear" w:color="auto" w:fill="FFFFFF"/>
          </w:tcPr>
          <w:p w14:paraId="33BF6C16" w14:textId="77777777" w:rsidR="0078100D" w:rsidRPr="001B6E4D" w:rsidRDefault="0078100D" w:rsidP="003D1018">
            <w:pPr>
              <w:overflowPunct w:val="0"/>
              <w:spacing w:line="360" w:lineRule="exact"/>
              <w:ind w:leftChars="-55" w:left="242" w:hangingChars="156" w:hanging="374"/>
              <w:jc w:val="both"/>
              <w:rPr>
                <w:rFonts w:ascii="標楷體" w:eastAsia="標楷體" w:hAnsi="標楷體"/>
                <w:bCs/>
                <w:color w:val="000000" w:themeColor="text1"/>
                <w:spacing w:val="-20"/>
                <w:sz w:val="28"/>
                <w:szCs w:val="28"/>
              </w:rPr>
            </w:pPr>
          </w:p>
        </w:tc>
        <w:tc>
          <w:tcPr>
            <w:tcW w:w="2268" w:type="dxa"/>
            <w:tcBorders>
              <w:top w:val="single" w:sz="4" w:space="0" w:color="auto"/>
              <w:left w:val="single" w:sz="4" w:space="0" w:color="auto"/>
              <w:bottom w:val="single" w:sz="4" w:space="0" w:color="auto"/>
              <w:right w:val="single" w:sz="12" w:space="0" w:color="auto"/>
            </w:tcBorders>
            <w:shd w:val="clear" w:color="auto" w:fill="FFFFFF"/>
            <w:vAlign w:val="center"/>
          </w:tcPr>
          <w:p w14:paraId="51A2608F" w14:textId="77777777" w:rsidR="0078100D" w:rsidRPr="001B6E4D" w:rsidRDefault="0078100D" w:rsidP="003D1018">
            <w:pPr>
              <w:overflowPunct w:val="0"/>
              <w:spacing w:line="360" w:lineRule="exact"/>
              <w:ind w:leftChars="-55" w:left="242" w:hangingChars="156" w:hanging="374"/>
              <w:jc w:val="both"/>
              <w:rPr>
                <w:rFonts w:ascii="標楷體" w:eastAsia="標楷體" w:hAnsi="標楷體"/>
                <w:bCs/>
                <w:color w:val="000000" w:themeColor="text1"/>
                <w:spacing w:val="-20"/>
                <w:sz w:val="28"/>
                <w:szCs w:val="28"/>
              </w:rPr>
            </w:pPr>
            <w:r w:rsidRPr="001B6E4D">
              <w:rPr>
                <w:rFonts w:ascii="標楷體" w:eastAsia="標楷體" w:hAnsi="標楷體" w:hint="eastAsia"/>
                <w:bCs/>
                <w:color w:val="000000" w:themeColor="text1"/>
                <w:spacing w:val="-20"/>
                <w:sz w:val="28"/>
                <w:szCs w:val="28"/>
              </w:rPr>
              <w:t>［七］其他議案</w:t>
            </w:r>
          </w:p>
        </w:tc>
        <w:tc>
          <w:tcPr>
            <w:tcW w:w="1984" w:type="dxa"/>
            <w:tcBorders>
              <w:left w:val="single" w:sz="12" w:space="0" w:color="auto"/>
              <w:bottom w:val="single" w:sz="2" w:space="0" w:color="auto"/>
              <w:right w:val="dashed" w:sz="4" w:space="0" w:color="auto"/>
            </w:tcBorders>
            <w:shd w:val="clear" w:color="auto" w:fill="FFFFFF"/>
            <w:vAlign w:val="center"/>
          </w:tcPr>
          <w:p w14:paraId="5D5F1C3F" w14:textId="7A7F21E1" w:rsidR="0078100D" w:rsidRPr="001B6E4D" w:rsidRDefault="00BF4CD9"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1</w:t>
            </w:r>
          </w:p>
        </w:tc>
        <w:tc>
          <w:tcPr>
            <w:tcW w:w="1985" w:type="dxa"/>
            <w:tcBorders>
              <w:left w:val="dashed" w:sz="4" w:space="0" w:color="auto"/>
              <w:bottom w:val="single" w:sz="2" w:space="0" w:color="auto"/>
              <w:right w:val="single" w:sz="12" w:space="0" w:color="auto"/>
            </w:tcBorders>
            <w:shd w:val="clear" w:color="auto" w:fill="FFFFFF"/>
            <w:vAlign w:val="center"/>
          </w:tcPr>
          <w:p w14:paraId="24CB95F9" w14:textId="77777777" w:rsidR="0078100D" w:rsidRPr="001B6E4D" w:rsidRDefault="0078100D"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0</w:t>
            </w:r>
          </w:p>
        </w:tc>
        <w:tc>
          <w:tcPr>
            <w:tcW w:w="2145" w:type="dxa"/>
            <w:tcBorders>
              <w:left w:val="single" w:sz="12" w:space="0" w:color="auto"/>
              <w:bottom w:val="single" w:sz="2" w:space="0" w:color="auto"/>
              <w:right w:val="single" w:sz="12" w:space="0" w:color="auto"/>
            </w:tcBorders>
            <w:shd w:val="clear" w:color="auto" w:fill="FFFFFF"/>
            <w:vAlign w:val="center"/>
          </w:tcPr>
          <w:p w14:paraId="31453951" w14:textId="11C95B94"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1</w:t>
            </w:r>
          </w:p>
        </w:tc>
      </w:tr>
      <w:tr w:rsidR="00C87651" w:rsidRPr="001B6E4D" w14:paraId="28701B23" w14:textId="77777777" w:rsidTr="00241136">
        <w:trPr>
          <w:trHeight w:val="737"/>
        </w:trPr>
        <w:tc>
          <w:tcPr>
            <w:tcW w:w="2802" w:type="dxa"/>
            <w:gridSpan w:val="2"/>
            <w:tcBorders>
              <w:top w:val="thinThickSmallGap" w:sz="12" w:space="0" w:color="auto"/>
              <w:left w:val="single" w:sz="12" w:space="0" w:color="auto"/>
              <w:bottom w:val="single" w:sz="18" w:space="0" w:color="auto"/>
              <w:right w:val="single" w:sz="12" w:space="0" w:color="auto"/>
            </w:tcBorders>
            <w:shd w:val="clear" w:color="auto" w:fill="FFFFFF"/>
            <w:vAlign w:val="center"/>
          </w:tcPr>
          <w:p w14:paraId="758481C9" w14:textId="77777777" w:rsidR="0078100D" w:rsidRPr="001B6E4D" w:rsidRDefault="0078100D" w:rsidP="003D1018">
            <w:pPr>
              <w:overflowPunct w:val="0"/>
              <w:spacing w:line="300" w:lineRule="exact"/>
              <w:ind w:left="-132"/>
              <w:jc w:val="center"/>
              <w:rPr>
                <w:rFonts w:ascii="標楷體" w:eastAsia="標楷體" w:hAnsi="標楷體"/>
                <w:b/>
                <w:color w:val="000000" w:themeColor="text1"/>
                <w:spacing w:val="-20"/>
                <w:sz w:val="28"/>
                <w:szCs w:val="28"/>
              </w:rPr>
            </w:pPr>
            <w:r w:rsidRPr="001B6E4D">
              <w:rPr>
                <w:rFonts w:ascii="標楷體" w:eastAsia="標楷體" w:hAnsi="標楷體" w:hint="eastAsia"/>
                <w:b/>
                <w:color w:val="000000" w:themeColor="text1"/>
                <w:spacing w:val="-20"/>
                <w:sz w:val="28"/>
                <w:szCs w:val="28"/>
              </w:rPr>
              <w:t>［一］至［七］</w:t>
            </w:r>
          </w:p>
          <w:p w14:paraId="7773E36B" w14:textId="77777777" w:rsidR="0078100D" w:rsidRPr="001B6E4D" w:rsidRDefault="0078100D" w:rsidP="003D1018">
            <w:pPr>
              <w:overflowPunct w:val="0"/>
              <w:spacing w:line="300" w:lineRule="exact"/>
              <w:jc w:val="center"/>
              <w:rPr>
                <w:rFonts w:ascii="標楷體" w:eastAsia="標楷體" w:hAnsi="標楷體"/>
                <w:b/>
                <w:color w:val="000000" w:themeColor="text1"/>
                <w:spacing w:val="-20"/>
                <w:sz w:val="28"/>
                <w:szCs w:val="28"/>
              </w:rPr>
            </w:pPr>
            <w:r w:rsidRPr="001B6E4D">
              <w:rPr>
                <w:rFonts w:ascii="標楷體" w:eastAsia="標楷體" w:hAnsi="標楷體" w:hint="eastAsia"/>
                <w:b/>
                <w:color w:val="000000" w:themeColor="text1"/>
                <w:spacing w:val="-20"/>
                <w:sz w:val="28"/>
                <w:szCs w:val="28"/>
              </w:rPr>
              <w:t>小     計</w:t>
            </w:r>
          </w:p>
        </w:tc>
        <w:tc>
          <w:tcPr>
            <w:tcW w:w="1984" w:type="dxa"/>
            <w:tcBorders>
              <w:top w:val="thinThickSmallGap" w:sz="12" w:space="0" w:color="auto"/>
              <w:left w:val="single" w:sz="12" w:space="0" w:color="auto"/>
              <w:bottom w:val="single" w:sz="18" w:space="0" w:color="auto"/>
              <w:right w:val="dashed" w:sz="4" w:space="0" w:color="auto"/>
            </w:tcBorders>
            <w:shd w:val="clear" w:color="auto" w:fill="FFFFFF"/>
            <w:vAlign w:val="center"/>
          </w:tcPr>
          <w:p w14:paraId="33E87330" w14:textId="130C67F5" w:rsidR="0078100D" w:rsidRPr="001B6E4D" w:rsidRDefault="00BF4CD9"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105</w:t>
            </w:r>
          </w:p>
        </w:tc>
        <w:tc>
          <w:tcPr>
            <w:tcW w:w="1985" w:type="dxa"/>
            <w:tcBorders>
              <w:top w:val="thinThickSmallGap" w:sz="12" w:space="0" w:color="auto"/>
              <w:left w:val="dashed" w:sz="4" w:space="0" w:color="auto"/>
              <w:bottom w:val="single" w:sz="18" w:space="0" w:color="auto"/>
              <w:right w:val="single" w:sz="12" w:space="0" w:color="auto"/>
            </w:tcBorders>
            <w:shd w:val="clear" w:color="auto" w:fill="FFFFFF"/>
            <w:vAlign w:val="center"/>
          </w:tcPr>
          <w:p w14:paraId="7797C0E4" w14:textId="4051E6B5" w:rsidR="0078100D" w:rsidRPr="001B6E4D" w:rsidRDefault="00BF4CD9"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121</w:t>
            </w:r>
          </w:p>
        </w:tc>
        <w:tc>
          <w:tcPr>
            <w:tcW w:w="2145" w:type="dxa"/>
            <w:tcBorders>
              <w:top w:val="thinThickSmallGap" w:sz="12" w:space="0" w:color="auto"/>
              <w:left w:val="single" w:sz="12" w:space="0" w:color="auto"/>
              <w:bottom w:val="single" w:sz="18" w:space="0" w:color="auto"/>
              <w:right w:val="single" w:sz="12" w:space="0" w:color="auto"/>
            </w:tcBorders>
            <w:shd w:val="clear" w:color="auto" w:fill="FFFFFF"/>
            <w:vAlign w:val="center"/>
          </w:tcPr>
          <w:p w14:paraId="13CFDD79" w14:textId="2FED79DE" w:rsidR="0078100D" w:rsidRPr="001B6E4D" w:rsidRDefault="00BF4CD9"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226</w:t>
            </w:r>
          </w:p>
        </w:tc>
      </w:tr>
      <w:tr w:rsidR="00C87651" w:rsidRPr="001B6E4D" w14:paraId="7EA68FC5" w14:textId="77777777" w:rsidTr="00241136">
        <w:trPr>
          <w:trHeight w:val="737"/>
        </w:trPr>
        <w:tc>
          <w:tcPr>
            <w:tcW w:w="2802" w:type="dxa"/>
            <w:gridSpan w:val="2"/>
            <w:tcBorders>
              <w:top w:val="thinThickSmallGap" w:sz="12" w:space="0" w:color="auto"/>
              <w:left w:val="single" w:sz="12" w:space="0" w:color="auto"/>
              <w:bottom w:val="thinThickSmallGap" w:sz="12" w:space="0" w:color="auto"/>
              <w:right w:val="single" w:sz="12" w:space="0" w:color="auto"/>
            </w:tcBorders>
            <w:shd w:val="clear" w:color="auto" w:fill="FFFFFF"/>
            <w:vAlign w:val="center"/>
          </w:tcPr>
          <w:p w14:paraId="6FCDDFAF" w14:textId="77777777" w:rsidR="0078100D" w:rsidRPr="001B6E4D" w:rsidRDefault="0078100D" w:rsidP="003D1018">
            <w:pPr>
              <w:overflowPunct w:val="0"/>
              <w:spacing w:line="360" w:lineRule="exact"/>
              <w:ind w:leftChars="3" w:left="240" w:hangingChars="97" w:hanging="233"/>
              <w:jc w:val="both"/>
              <w:rPr>
                <w:rFonts w:ascii="標楷體" w:eastAsia="標楷體" w:hAnsi="標楷體"/>
                <w:bCs/>
                <w:color w:val="000000" w:themeColor="text1"/>
                <w:spacing w:val="-20"/>
                <w:sz w:val="28"/>
                <w:szCs w:val="28"/>
              </w:rPr>
            </w:pPr>
            <w:r w:rsidRPr="001B6E4D">
              <w:rPr>
                <w:rFonts w:ascii="標楷體" w:eastAsia="標楷體" w:hAnsi="標楷體" w:hint="eastAsia"/>
                <w:bCs/>
                <w:color w:val="000000" w:themeColor="text1"/>
                <w:spacing w:val="-20"/>
                <w:sz w:val="28"/>
                <w:szCs w:val="28"/>
              </w:rPr>
              <w:t xml:space="preserve">   ［八］人民請願案</w:t>
            </w:r>
          </w:p>
        </w:tc>
        <w:tc>
          <w:tcPr>
            <w:tcW w:w="1984" w:type="dxa"/>
            <w:tcBorders>
              <w:top w:val="thinThickSmallGap" w:sz="12" w:space="0" w:color="auto"/>
              <w:left w:val="single" w:sz="12" w:space="0" w:color="auto"/>
              <w:bottom w:val="thinThickSmallGap" w:sz="12" w:space="0" w:color="auto"/>
              <w:right w:val="dashed" w:sz="4" w:space="0" w:color="auto"/>
            </w:tcBorders>
            <w:shd w:val="clear" w:color="auto" w:fill="FFFFFF"/>
            <w:vAlign w:val="center"/>
          </w:tcPr>
          <w:p w14:paraId="480B31D6" w14:textId="35FDC076" w:rsidR="0078100D" w:rsidRPr="001B6E4D" w:rsidRDefault="00BF4CD9"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1985" w:type="dxa"/>
            <w:tcBorders>
              <w:top w:val="thinThickSmallGap" w:sz="12" w:space="0" w:color="auto"/>
              <w:left w:val="dashed" w:sz="4" w:space="0" w:color="auto"/>
              <w:bottom w:val="thinThickSmallGap" w:sz="12" w:space="0" w:color="auto"/>
              <w:right w:val="single" w:sz="12" w:space="0" w:color="auto"/>
            </w:tcBorders>
            <w:shd w:val="clear" w:color="auto" w:fill="FFFFFF"/>
            <w:vAlign w:val="center"/>
          </w:tcPr>
          <w:p w14:paraId="7083C2EB" w14:textId="77777777" w:rsidR="0078100D" w:rsidRPr="001B6E4D" w:rsidRDefault="0078100D"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2145" w:type="dxa"/>
            <w:tcBorders>
              <w:top w:val="thinThickSmallGap" w:sz="12" w:space="0" w:color="auto"/>
              <w:left w:val="single" w:sz="12" w:space="0" w:color="auto"/>
              <w:bottom w:val="thinThickSmallGap" w:sz="12" w:space="0" w:color="auto"/>
              <w:right w:val="single" w:sz="12" w:space="0" w:color="auto"/>
            </w:tcBorders>
            <w:shd w:val="clear" w:color="auto" w:fill="FFFFFF"/>
            <w:vAlign w:val="center"/>
          </w:tcPr>
          <w:p w14:paraId="09D9ABF5" w14:textId="3A44D203" w:rsidR="0078100D" w:rsidRPr="001B6E4D" w:rsidRDefault="00BF4CD9"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0</w:t>
            </w:r>
          </w:p>
        </w:tc>
      </w:tr>
      <w:tr w:rsidR="00C87651" w:rsidRPr="001B6E4D" w14:paraId="3AC220F8" w14:textId="77777777" w:rsidTr="00241136">
        <w:trPr>
          <w:trHeight w:val="660"/>
        </w:trPr>
        <w:tc>
          <w:tcPr>
            <w:tcW w:w="2802" w:type="dxa"/>
            <w:gridSpan w:val="2"/>
            <w:tcBorders>
              <w:top w:val="thinThickSmallGap" w:sz="12" w:space="0" w:color="auto"/>
              <w:left w:val="single" w:sz="12" w:space="0" w:color="auto"/>
              <w:bottom w:val="single" w:sz="12" w:space="0" w:color="auto"/>
              <w:right w:val="single" w:sz="12" w:space="0" w:color="auto"/>
            </w:tcBorders>
            <w:shd w:val="clear" w:color="auto" w:fill="FFFFFF"/>
            <w:vAlign w:val="center"/>
          </w:tcPr>
          <w:p w14:paraId="56E67A7E" w14:textId="77777777" w:rsidR="0078100D" w:rsidRPr="001B6E4D" w:rsidRDefault="0078100D" w:rsidP="003D1018">
            <w:pPr>
              <w:overflowPunct w:val="0"/>
              <w:spacing w:line="300" w:lineRule="exact"/>
              <w:ind w:leftChars="-55" w:left="243" w:hangingChars="156" w:hanging="375"/>
              <w:jc w:val="center"/>
              <w:rPr>
                <w:rFonts w:ascii="標楷體" w:eastAsia="標楷體" w:hAnsi="標楷體"/>
                <w:b/>
                <w:color w:val="000000" w:themeColor="text1"/>
                <w:spacing w:val="-20"/>
                <w:sz w:val="28"/>
                <w:szCs w:val="28"/>
              </w:rPr>
            </w:pPr>
            <w:r w:rsidRPr="001B6E4D">
              <w:rPr>
                <w:rFonts w:ascii="標楷體" w:eastAsia="標楷體" w:hAnsi="標楷體" w:hint="eastAsia"/>
                <w:b/>
                <w:color w:val="000000" w:themeColor="text1"/>
                <w:spacing w:val="-20"/>
                <w:sz w:val="28"/>
                <w:szCs w:val="28"/>
              </w:rPr>
              <w:t>［一］至［八］</w:t>
            </w:r>
          </w:p>
          <w:p w14:paraId="62F60C69" w14:textId="77777777" w:rsidR="0078100D" w:rsidRPr="001B6E4D" w:rsidRDefault="0078100D" w:rsidP="003D1018">
            <w:pPr>
              <w:overflowPunct w:val="0"/>
              <w:spacing w:line="300" w:lineRule="exact"/>
              <w:ind w:leftChars="-55" w:left="243" w:hangingChars="156" w:hanging="375"/>
              <w:jc w:val="center"/>
              <w:rPr>
                <w:rFonts w:ascii="標楷體" w:eastAsia="標楷體" w:hAnsi="標楷體"/>
                <w:b/>
                <w:color w:val="000000" w:themeColor="text1"/>
                <w:sz w:val="28"/>
                <w:szCs w:val="28"/>
              </w:rPr>
            </w:pPr>
            <w:r w:rsidRPr="001B6E4D">
              <w:rPr>
                <w:rFonts w:ascii="標楷體" w:eastAsia="標楷體" w:hAnsi="標楷體" w:hint="eastAsia"/>
                <w:b/>
                <w:color w:val="000000" w:themeColor="text1"/>
                <w:spacing w:val="-20"/>
                <w:sz w:val="28"/>
                <w:szCs w:val="28"/>
              </w:rPr>
              <w:t>總     計</w:t>
            </w:r>
          </w:p>
        </w:tc>
        <w:tc>
          <w:tcPr>
            <w:tcW w:w="1984" w:type="dxa"/>
            <w:tcBorders>
              <w:top w:val="thinThickSmallGap" w:sz="12" w:space="0" w:color="auto"/>
              <w:left w:val="single" w:sz="12" w:space="0" w:color="auto"/>
              <w:bottom w:val="single" w:sz="12" w:space="0" w:color="auto"/>
              <w:right w:val="dashed" w:sz="4" w:space="0" w:color="auto"/>
            </w:tcBorders>
            <w:shd w:val="clear" w:color="auto" w:fill="FFFFFF"/>
            <w:vAlign w:val="center"/>
          </w:tcPr>
          <w:p w14:paraId="144713C7" w14:textId="1E88B4C9" w:rsidR="0078100D" w:rsidRPr="001B6E4D" w:rsidRDefault="00AF2394"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1</w:t>
            </w:r>
            <w:r w:rsidR="00BF4CD9" w:rsidRPr="001B6E4D">
              <w:rPr>
                <w:rFonts w:ascii="標楷體" w:eastAsia="標楷體" w:hAnsi="標楷體" w:cs="新細明體" w:hint="eastAsia"/>
                <w:b/>
                <w:color w:val="000000" w:themeColor="text1"/>
                <w:spacing w:val="-20"/>
              </w:rPr>
              <w:t>05</w:t>
            </w:r>
          </w:p>
        </w:tc>
        <w:tc>
          <w:tcPr>
            <w:tcW w:w="1985" w:type="dxa"/>
            <w:tcBorders>
              <w:top w:val="thinThickSmallGap" w:sz="12" w:space="0" w:color="auto"/>
              <w:left w:val="dashed" w:sz="4" w:space="0" w:color="auto"/>
              <w:bottom w:val="single" w:sz="12" w:space="0" w:color="auto"/>
              <w:right w:val="single" w:sz="12" w:space="0" w:color="auto"/>
            </w:tcBorders>
            <w:shd w:val="clear" w:color="auto" w:fill="FFFFFF"/>
            <w:vAlign w:val="center"/>
          </w:tcPr>
          <w:p w14:paraId="05CE87E6" w14:textId="5FA8DA27" w:rsidR="0078100D" w:rsidRPr="001B6E4D" w:rsidRDefault="00BF4CD9"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121</w:t>
            </w:r>
          </w:p>
        </w:tc>
        <w:tc>
          <w:tcPr>
            <w:tcW w:w="2145" w:type="dxa"/>
            <w:tcBorders>
              <w:top w:val="thinThickSmallGap" w:sz="12" w:space="0" w:color="auto"/>
              <w:left w:val="single" w:sz="12" w:space="0" w:color="auto"/>
              <w:bottom w:val="single" w:sz="12" w:space="0" w:color="auto"/>
              <w:right w:val="single" w:sz="12" w:space="0" w:color="auto"/>
            </w:tcBorders>
            <w:shd w:val="clear" w:color="auto" w:fill="FFFFFF"/>
            <w:vAlign w:val="center"/>
          </w:tcPr>
          <w:p w14:paraId="5F40246C" w14:textId="45EC09B7" w:rsidR="0078100D" w:rsidRPr="001B6E4D" w:rsidRDefault="00BF4CD9"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226</w:t>
            </w:r>
          </w:p>
        </w:tc>
      </w:tr>
    </w:tbl>
    <w:p w14:paraId="507581E0" w14:textId="77777777" w:rsidR="00AB2225" w:rsidRPr="001B6E4D" w:rsidRDefault="00AB2225" w:rsidP="003D1018">
      <w:pPr>
        <w:overflowPunct w:val="0"/>
        <w:spacing w:beforeLines="50" w:before="180" w:afterLines="50" w:after="180" w:line="560" w:lineRule="exact"/>
        <w:ind w:leftChars="-177" w:left="-24" w:rightChars="-112" w:right="-269" w:hangingChars="152" w:hanging="401"/>
        <w:jc w:val="center"/>
        <w:rPr>
          <w:rFonts w:ascii="標楷體" w:eastAsia="標楷體" w:hAnsi="標楷體"/>
          <w:color w:val="000000" w:themeColor="text1"/>
          <w:spacing w:val="-8"/>
          <w:sz w:val="28"/>
          <w:szCs w:val="28"/>
        </w:rPr>
        <w:sectPr w:rsidR="00AB2225" w:rsidRPr="001B6E4D" w:rsidSect="00B8553E">
          <w:pgSz w:w="11906" w:h="16838"/>
          <w:pgMar w:top="1440" w:right="1133" w:bottom="1440" w:left="1800" w:header="851" w:footer="992" w:gutter="0"/>
          <w:cols w:space="425"/>
          <w:docGrid w:type="lines" w:linePitch="360"/>
        </w:sectPr>
      </w:pPr>
    </w:p>
    <w:p w14:paraId="392D2D2F" w14:textId="15442582" w:rsidR="0078100D" w:rsidRPr="001B6E4D" w:rsidRDefault="00B26EE6"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63" w:name="_Toc42531681"/>
      <w:bookmarkStart w:id="64" w:name="_Toc240446509"/>
      <w:r w:rsidRPr="001B6E4D">
        <w:rPr>
          <w:rFonts w:ascii="標楷體" w:hAnsi="標楷體" w:hint="eastAsia"/>
          <w:color w:val="000000" w:themeColor="text1"/>
          <w:szCs w:val="28"/>
          <w:shd w:val="clear" w:color="auto" w:fill="FFFFFF" w:themeFill="background1"/>
        </w:rPr>
        <w:lastRenderedPageBreak/>
        <w:t>五、各會期院會通過各項議案統計表</w:t>
      </w:r>
      <w:bookmarkEnd w:id="63"/>
      <w:bookmarkEnd w:id="64"/>
    </w:p>
    <w:p w14:paraId="3FB97911" w14:textId="13BD2D70" w:rsidR="0078100D" w:rsidRPr="001B6E4D" w:rsidRDefault="0078100D" w:rsidP="003D1018">
      <w:pPr>
        <w:overflowPunct w:val="0"/>
        <w:spacing w:line="300" w:lineRule="exact"/>
        <w:jc w:val="center"/>
        <w:rPr>
          <w:rFonts w:ascii="標楷體" w:eastAsia="標楷體" w:hAnsi="標楷體"/>
          <w:b/>
          <w:bCs/>
          <w:color w:val="000000" w:themeColor="text1"/>
          <w:sz w:val="28"/>
          <w:szCs w:val="28"/>
        </w:rPr>
      </w:pPr>
      <w:r w:rsidRPr="001B6E4D">
        <w:rPr>
          <w:rFonts w:ascii="標楷體" w:eastAsia="標楷體" w:hAnsi="標楷體"/>
          <w:b/>
          <w:bCs/>
          <w:color w:val="000000" w:themeColor="text1"/>
          <w:sz w:val="28"/>
          <w:szCs w:val="28"/>
        </w:rPr>
        <w:t>第</w:t>
      </w:r>
      <w:r w:rsidRPr="001B6E4D">
        <w:rPr>
          <w:rFonts w:ascii="標楷體" w:eastAsia="標楷體" w:hAnsi="標楷體" w:hint="eastAsia"/>
          <w:b/>
          <w:bCs/>
          <w:color w:val="000000" w:themeColor="text1"/>
          <w:sz w:val="28"/>
          <w:szCs w:val="28"/>
        </w:rPr>
        <w:t>1</w:t>
      </w:r>
      <w:r w:rsidRPr="001B6E4D">
        <w:rPr>
          <w:rFonts w:ascii="標楷體" w:eastAsia="標楷體" w:hAnsi="標楷體"/>
          <w:b/>
          <w:bCs/>
          <w:color w:val="000000" w:themeColor="text1"/>
          <w:sz w:val="28"/>
          <w:szCs w:val="28"/>
        </w:rPr>
        <w:t>1屆司法及法制委員會</w:t>
      </w:r>
      <w:r w:rsidRPr="001B6E4D">
        <w:rPr>
          <w:rFonts w:ascii="標楷體" w:eastAsia="標楷體" w:hAnsi="標楷體" w:hint="eastAsia"/>
          <w:b/>
          <w:bCs/>
          <w:color w:val="000000" w:themeColor="text1"/>
          <w:sz w:val="28"/>
          <w:szCs w:val="28"/>
        </w:rPr>
        <w:t>各會期</w:t>
      </w:r>
      <w:r w:rsidRPr="001B6E4D">
        <w:rPr>
          <w:rFonts w:ascii="標楷體" w:eastAsia="標楷體" w:hAnsi="標楷體"/>
          <w:b/>
          <w:bCs/>
          <w:color w:val="000000" w:themeColor="text1"/>
          <w:sz w:val="28"/>
          <w:szCs w:val="28"/>
        </w:rPr>
        <w:t>案</w:t>
      </w:r>
      <w:r w:rsidRPr="001B6E4D">
        <w:rPr>
          <w:rFonts w:ascii="標楷體" w:eastAsia="標楷體" w:hAnsi="標楷體" w:hint="eastAsia"/>
          <w:b/>
          <w:bCs/>
          <w:color w:val="000000" w:themeColor="text1"/>
          <w:sz w:val="28"/>
          <w:szCs w:val="28"/>
        </w:rPr>
        <w:t>件統</w:t>
      </w:r>
      <w:r w:rsidRPr="001B6E4D">
        <w:rPr>
          <w:rFonts w:ascii="標楷體" w:eastAsia="標楷體" w:hAnsi="標楷體"/>
          <w:b/>
          <w:bCs/>
          <w:color w:val="000000" w:themeColor="text1"/>
          <w:sz w:val="28"/>
          <w:szCs w:val="28"/>
        </w:rPr>
        <w:t>計表</w:t>
      </w:r>
      <w:bookmarkEnd w:id="62"/>
    </w:p>
    <w:p w14:paraId="49665A57" w14:textId="694C66B6" w:rsidR="0078100D" w:rsidRPr="001B6E4D" w:rsidRDefault="0078100D" w:rsidP="003D1018">
      <w:pPr>
        <w:overflowPunct w:val="0"/>
        <w:spacing w:beforeLines="50" w:before="180" w:afterLines="50" w:after="180" w:line="240" w:lineRule="exact"/>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 xml:space="preserve">             </w:t>
      </w:r>
      <w:r w:rsidR="000F1AF1" w:rsidRPr="001B6E4D">
        <w:rPr>
          <w:rFonts w:ascii="標楷體" w:eastAsia="標楷體" w:hAnsi="標楷體"/>
          <w:color w:val="000000" w:themeColor="text1"/>
          <w:sz w:val="28"/>
          <w:szCs w:val="28"/>
        </w:rPr>
        <w:t xml:space="preserve">     </w:t>
      </w:r>
      <w:proofErr w:type="gramStart"/>
      <w:r w:rsidRPr="001B6E4D">
        <w:rPr>
          <w:rFonts w:ascii="標楷體" w:eastAsia="標楷體" w:hAnsi="標楷體"/>
          <w:color w:val="000000" w:themeColor="text1"/>
          <w:sz w:val="28"/>
          <w:szCs w:val="28"/>
        </w:rPr>
        <w:t>（</w:t>
      </w:r>
      <w:proofErr w:type="gramEnd"/>
      <w:r w:rsidRPr="001B6E4D">
        <w:rPr>
          <w:rFonts w:ascii="標楷體" w:eastAsia="標楷體" w:hAnsi="標楷體"/>
          <w:color w:val="000000" w:themeColor="text1"/>
          <w:sz w:val="28"/>
          <w:szCs w:val="28"/>
        </w:rPr>
        <w:t>統計期間：第11屆第</w:t>
      </w:r>
      <w:r w:rsidR="00AA1A32" w:rsidRPr="001B6E4D">
        <w:rPr>
          <w:rFonts w:ascii="標楷體" w:eastAsia="標楷體" w:hAnsi="標楷體" w:hint="eastAsia"/>
          <w:color w:val="000000" w:themeColor="text1"/>
          <w:sz w:val="28"/>
          <w:szCs w:val="28"/>
        </w:rPr>
        <w:t>5</w:t>
      </w:r>
      <w:r w:rsidRPr="001B6E4D">
        <w:rPr>
          <w:rFonts w:ascii="標楷體" w:eastAsia="標楷體" w:hAnsi="標楷體"/>
          <w:color w:val="000000" w:themeColor="text1"/>
          <w:sz w:val="28"/>
          <w:szCs w:val="28"/>
        </w:rPr>
        <w:t>會期</w:t>
      </w:r>
      <w:proofErr w:type="gramStart"/>
      <w:r w:rsidRPr="001B6E4D">
        <w:rPr>
          <w:rFonts w:ascii="標楷體" w:eastAsia="標楷體" w:hAnsi="標楷體"/>
          <w:color w:val="000000" w:themeColor="text1"/>
          <w:sz w:val="28"/>
          <w:szCs w:val="28"/>
        </w:rPr>
        <w:t>）</w:t>
      </w:r>
      <w:proofErr w:type="gramEnd"/>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1813"/>
        <w:gridCol w:w="526"/>
        <w:gridCol w:w="518"/>
        <w:gridCol w:w="518"/>
        <w:gridCol w:w="577"/>
        <w:gridCol w:w="566"/>
        <w:gridCol w:w="426"/>
        <w:gridCol w:w="425"/>
        <w:gridCol w:w="428"/>
        <w:gridCol w:w="564"/>
        <w:gridCol w:w="691"/>
        <w:gridCol w:w="855"/>
        <w:gridCol w:w="846"/>
      </w:tblGrid>
      <w:tr w:rsidR="0076478F" w:rsidRPr="001B6E4D" w14:paraId="26F055CF" w14:textId="77777777" w:rsidTr="00F06A61">
        <w:trPr>
          <w:trHeight w:val="806"/>
          <w:jc w:val="center"/>
        </w:trPr>
        <w:tc>
          <w:tcPr>
            <w:tcW w:w="1224" w:type="pct"/>
            <w:gridSpan w:val="2"/>
            <w:vMerge w:val="restart"/>
            <w:tcBorders>
              <w:top w:val="single" w:sz="18" w:space="0" w:color="auto"/>
              <w:left w:val="single" w:sz="18" w:space="0" w:color="auto"/>
              <w:bottom w:val="single" w:sz="12" w:space="0" w:color="auto"/>
              <w:right w:val="single" w:sz="18" w:space="0" w:color="auto"/>
            </w:tcBorders>
            <w:shd w:val="clear" w:color="auto" w:fill="FFFFFF"/>
            <w:vAlign w:val="center"/>
          </w:tcPr>
          <w:p w14:paraId="76A49B49" w14:textId="77777777" w:rsidR="0078100D" w:rsidRPr="001B6E4D" w:rsidRDefault="0078100D" w:rsidP="003D1018">
            <w:pPr>
              <w:overflowPunct w:val="0"/>
              <w:spacing w:line="360" w:lineRule="exact"/>
              <w:jc w:val="center"/>
              <w:rPr>
                <w:rFonts w:ascii="標楷體" w:eastAsia="標楷體" w:hAnsi="標楷體"/>
                <w:b/>
                <w:color w:val="000000" w:themeColor="text1"/>
              </w:rPr>
            </w:pPr>
            <w:r w:rsidRPr="001B6E4D">
              <w:rPr>
                <w:rFonts w:ascii="標楷體" w:eastAsia="標楷體" w:hAnsi="標楷體" w:hint="eastAsia"/>
                <w:b/>
                <w:color w:val="000000" w:themeColor="text1"/>
              </w:rPr>
              <w:t>類     別</w:t>
            </w:r>
          </w:p>
        </w:tc>
        <w:tc>
          <w:tcPr>
            <w:tcW w:w="2851" w:type="pct"/>
            <w:gridSpan w:val="10"/>
            <w:tcBorders>
              <w:top w:val="single" w:sz="18" w:space="0" w:color="auto"/>
              <w:left w:val="single" w:sz="18" w:space="0" w:color="auto"/>
              <w:right w:val="single" w:sz="12" w:space="0" w:color="auto"/>
            </w:tcBorders>
            <w:shd w:val="clear" w:color="auto" w:fill="FFFFFF"/>
            <w:vAlign w:val="center"/>
          </w:tcPr>
          <w:p w14:paraId="23E63E00" w14:textId="77777777" w:rsidR="0078100D" w:rsidRPr="001B6E4D" w:rsidRDefault="0078100D" w:rsidP="003D1018">
            <w:pPr>
              <w:overflowPunct w:val="0"/>
              <w:spacing w:line="340" w:lineRule="exact"/>
              <w:ind w:leftChars="-3" w:left="-2" w:hangingChars="2" w:hanging="5"/>
              <w:jc w:val="center"/>
              <w:rPr>
                <w:rFonts w:ascii="標楷體" w:eastAsia="標楷體" w:hAnsi="標楷體"/>
                <w:b/>
                <w:bCs/>
                <w:color w:val="000000" w:themeColor="text1"/>
              </w:rPr>
            </w:pPr>
            <w:r w:rsidRPr="001B6E4D">
              <w:rPr>
                <w:rFonts w:ascii="標楷體" w:eastAsia="標楷體" w:hAnsi="標楷體"/>
                <w:b/>
                <w:bCs/>
                <w:color w:val="000000" w:themeColor="text1"/>
              </w:rPr>
              <w:t>第11屆</w:t>
            </w:r>
            <w:r w:rsidRPr="001B6E4D">
              <w:rPr>
                <w:rFonts w:ascii="標楷體" w:eastAsia="標楷體" w:hAnsi="標楷體" w:hint="eastAsia"/>
                <w:b/>
                <w:bCs/>
                <w:color w:val="000000" w:themeColor="text1"/>
              </w:rPr>
              <w:t xml:space="preserve"> 本會審</w:t>
            </w:r>
            <w:proofErr w:type="gramStart"/>
            <w:r w:rsidRPr="001B6E4D">
              <w:rPr>
                <w:rFonts w:ascii="標楷體" w:eastAsia="標楷體" w:hAnsi="標楷體" w:hint="eastAsia"/>
                <w:b/>
                <w:bCs/>
                <w:color w:val="000000" w:themeColor="text1"/>
              </w:rPr>
              <w:t>竣</w:t>
            </w:r>
            <w:proofErr w:type="gramEnd"/>
            <w:r w:rsidRPr="001B6E4D">
              <w:rPr>
                <w:rFonts w:ascii="標楷體" w:eastAsia="標楷體" w:hAnsi="標楷體" w:hint="eastAsia"/>
                <w:b/>
                <w:bCs/>
                <w:color w:val="000000" w:themeColor="text1"/>
              </w:rPr>
              <w:t>提報院會之</w:t>
            </w:r>
            <w:r w:rsidRPr="001B6E4D">
              <w:rPr>
                <w:rFonts w:ascii="標楷體" w:eastAsia="標楷體" w:hAnsi="標楷體"/>
                <w:b/>
                <w:bCs/>
                <w:color w:val="000000" w:themeColor="text1"/>
                <w:bdr w:val="single" w:sz="4" w:space="0" w:color="auto"/>
              </w:rPr>
              <w:t>已結案件</w:t>
            </w:r>
            <w:r w:rsidRPr="001B6E4D">
              <w:rPr>
                <w:rFonts w:ascii="標楷體" w:eastAsia="標楷體" w:hAnsi="標楷體" w:hint="eastAsia"/>
                <w:b/>
                <w:bCs/>
                <w:color w:val="000000" w:themeColor="text1"/>
              </w:rPr>
              <w:t xml:space="preserve">　</w:t>
            </w:r>
          </w:p>
        </w:tc>
        <w:tc>
          <w:tcPr>
            <w:tcW w:w="465" w:type="pct"/>
            <w:vMerge w:val="restart"/>
            <w:tcBorders>
              <w:top w:val="single" w:sz="18" w:space="0" w:color="auto"/>
              <w:left w:val="single" w:sz="12" w:space="0" w:color="auto"/>
              <w:right w:val="single" w:sz="18" w:space="0" w:color="auto"/>
            </w:tcBorders>
            <w:shd w:val="clear" w:color="auto" w:fill="FFFFFF"/>
          </w:tcPr>
          <w:p w14:paraId="52E550DA" w14:textId="14A11102" w:rsidR="0078100D" w:rsidRPr="001B6E4D" w:rsidRDefault="002B04D1" w:rsidP="003D1018">
            <w:pPr>
              <w:overflowPunct w:val="0"/>
              <w:spacing w:line="360" w:lineRule="exact"/>
              <w:ind w:leftChars="-74" w:left="52" w:rightChars="-75" w:right="-180" w:hangingChars="96" w:hanging="230"/>
              <w:jc w:val="center"/>
              <w:rPr>
                <w:rFonts w:ascii="標楷體" w:eastAsia="標楷體" w:hAnsi="標楷體"/>
                <w:b/>
                <w:color w:val="000000" w:themeColor="text1"/>
                <w:spacing w:val="-8"/>
              </w:rPr>
            </w:pPr>
            <w:r w:rsidRPr="001B6E4D">
              <w:rPr>
                <w:rFonts w:ascii="標楷體" w:eastAsia="標楷體" w:hAnsi="標楷體"/>
                <w:noProof/>
                <w:color w:val="000000" w:themeColor="text1"/>
              </w:rPr>
              <mc:AlternateContent>
                <mc:Choice Requires="wps">
                  <w:drawing>
                    <wp:anchor distT="45720" distB="45720" distL="0" distR="0" simplePos="0" relativeHeight="251659264" behindDoc="0" locked="0" layoutInCell="1" allowOverlap="1" wp14:anchorId="29039AAF" wp14:editId="28A67346">
                      <wp:simplePos x="0" y="0"/>
                      <wp:positionH relativeFrom="column">
                        <wp:posOffset>19685</wp:posOffset>
                      </wp:positionH>
                      <wp:positionV relativeFrom="paragraph">
                        <wp:posOffset>25400</wp:posOffset>
                      </wp:positionV>
                      <wp:extent cx="372110" cy="442595"/>
                      <wp:effectExtent l="0" t="0" r="27940" b="1460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442595"/>
                              </a:xfrm>
                              <a:prstGeom prst="rect">
                                <a:avLst/>
                              </a:prstGeom>
                              <a:noFill/>
                              <a:ln w="9525">
                                <a:solidFill>
                                  <a:srgbClr val="000000"/>
                                </a:solidFill>
                                <a:miter lim="800000"/>
                                <a:headEnd/>
                                <a:tailEnd/>
                              </a:ln>
                            </wps:spPr>
                            <wps:txbx>
                              <w:txbxContent>
                                <w:p w14:paraId="0A5203C5" w14:textId="77777777" w:rsidR="00787DE8" w:rsidRPr="006938BB" w:rsidRDefault="00787DE8" w:rsidP="00B8553E">
                                  <w:pPr>
                                    <w:adjustRightInd w:val="0"/>
                                    <w:snapToGrid w:val="0"/>
                                    <w:spacing w:line="240" w:lineRule="exact"/>
                                    <w:ind w:leftChars="-25" w:left="-60" w:rightChars="-25" w:right="-60"/>
                                    <w:jc w:val="distribute"/>
                                    <w:rPr>
                                      <w:rFonts w:ascii="標楷體" w:eastAsia="標楷體" w:hAnsi="標楷體"/>
                                      <w:b/>
                                      <w:spacing w:val="-20"/>
                                      <w:sz w:val="20"/>
                                      <w:szCs w:val="20"/>
                                    </w:rPr>
                                  </w:pPr>
                                  <w:r w:rsidRPr="006938BB">
                                    <w:rPr>
                                      <w:rFonts w:ascii="標楷體" w:eastAsia="標楷體" w:hAnsi="標楷體" w:hint="eastAsia"/>
                                      <w:b/>
                                      <w:spacing w:val="-20"/>
                                      <w:sz w:val="20"/>
                                      <w:szCs w:val="20"/>
                                    </w:rPr>
                                    <w:t>未結</w:t>
                                  </w:r>
                                </w:p>
                                <w:p w14:paraId="07674807" w14:textId="77777777" w:rsidR="00787DE8" w:rsidRPr="006938BB" w:rsidRDefault="00787DE8" w:rsidP="00B8553E">
                                  <w:pPr>
                                    <w:adjustRightInd w:val="0"/>
                                    <w:snapToGrid w:val="0"/>
                                    <w:spacing w:line="240" w:lineRule="exact"/>
                                    <w:ind w:leftChars="-25" w:left="-60" w:rightChars="-25" w:right="-60"/>
                                    <w:jc w:val="distribute"/>
                                    <w:rPr>
                                      <w:rFonts w:ascii="標楷體" w:eastAsia="標楷體" w:hAnsi="標楷體"/>
                                      <w:b/>
                                      <w:spacing w:val="-20"/>
                                      <w:sz w:val="20"/>
                                      <w:szCs w:val="20"/>
                                    </w:rPr>
                                  </w:pPr>
                                  <w:r w:rsidRPr="006938BB">
                                    <w:rPr>
                                      <w:rFonts w:ascii="標楷體" w:eastAsia="標楷體" w:hAnsi="標楷體" w:hint="eastAsia"/>
                                      <w:b/>
                                      <w:spacing w:val="-20"/>
                                      <w:sz w:val="20"/>
                                      <w:szCs w:val="20"/>
                                    </w:rPr>
                                    <w:t>案件</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039AAF" id="_x0000_t202" coordsize="21600,21600" o:spt="202" path="m,l,21600r21600,l21600,xe">
                      <v:stroke joinstyle="miter"/>
                      <v:path gradientshapeok="t" o:connecttype="rect"/>
                    </v:shapetype>
                    <v:shape id="文字方塊 2" o:spid="_x0000_s1026" type="#_x0000_t202" style="position:absolute;left:0;text-align:left;margin-left:1.55pt;margin-top:2pt;width:29.3pt;height:34.85pt;z-index:251659264;visibility:visible;mso-wrap-style:square;mso-width-percent:0;mso-height-percent:0;mso-wrap-distance-left:0;mso-wrap-distance-top:3.6pt;mso-wrap-distance-right:0;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" filled="f">
                      <v:textbox>
                        <w:txbxContent>
                          <w:p w14:paraId="0A5203C5" w14:textId="77777777" w:rsidR="00787DE8" w:rsidRPr="006938BB" w:rsidRDefault="00787DE8" w:rsidP="00B8553E">
                            <w:pPr>
                              <w:adjustRightInd w:val="0"/>
                              <w:snapToGrid w:val="0"/>
                              <w:spacing w:line="240" w:lineRule="exact"/>
                              <w:ind w:leftChars="-25" w:left="-60" w:rightChars="-25" w:right="-60"/>
                              <w:jc w:val="distribute"/>
                              <w:rPr>
                                <w:rFonts w:ascii="標楷體" w:eastAsia="標楷體" w:hAnsi="標楷體"/>
                                <w:b/>
                                <w:spacing w:val="-20"/>
                                <w:sz w:val="20"/>
                                <w:szCs w:val="20"/>
                              </w:rPr>
                            </w:pPr>
                            <w:r w:rsidRPr="006938BB">
                              <w:rPr>
                                <w:rFonts w:ascii="標楷體" w:eastAsia="標楷體" w:hAnsi="標楷體" w:hint="eastAsia"/>
                                <w:b/>
                                <w:spacing w:val="-20"/>
                                <w:sz w:val="20"/>
                                <w:szCs w:val="20"/>
                              </w:rPr>
                              <w:t>未結</w:t>
                            </w:r>
                          </w:p>
                          <w:p w14:paraId="07674807" w14:textId="77777777" w:rsidR="00787DE8" w:rsidRPr="006938BB" w:rsidRDefault="00787DE8" w:rsidP="00B8553E">
                            <w:pPr>
                              <w:adjustRightInd w:val="0"/>
                              <w:snapToGrid w:val="0"/>
                              <w:spacing w:line="240" w:lineRule="exact"/>
                              <w:ind w:leftChars="-25" w:left="-60" w:rightChars="-25" w:right="-60"/>
                              <w:jc w:val="distribute"/>
                              <w:rPr>
                                <w:rFonts w:ascii="標楷體" w:eastAsia="標楷體" w:hAnsi="標楷體"/>
                                <w:b/>
                                <w:spacing w:val="-20"/>
                                <w:sz w:val="20"/>
                                <w:szCs w:val="20"/>
                              </w:rPr>
                            </w:pPr>
                            <w:r w:rsidRPr="006938BB">
                              <w:rPr>
                                <w:rFonts w:ascii="標楷體" w:eastAsia="標楷體" w:hAnsi="標楷體" w:hint="eastAsia"/>
                                <w:b/>
                                <w:spacing w:val="-20"/>
                                <w:sz w:val="20"/>
                                <w:szCs w:val="20"/>
                              </w:rPr>
                              <w:t>案件</w:t>
                            </w:r>
                          </w:p>
                        </w:txbxContent>
                      </v:textbox>
                      <w10:wrap type="square"/>
                    </v:shape>
                  </w:pict>
                </mc:Fallback>
              </mc:AlternateContent>
            </w:r>
            <w:r w:rsidR="0078100D" w:rsidRPr="001B6E4D">
              <w:rPr>
                <w:rFonts w:ascii="標楷體" w:eastAsia="標楷體" w:hAnsi="標楷體"/>
                <w:b/>
                <w:color w:val="000000" w:themeColor="text1"/>
                <w:spacing w:val="-8"/>
              </w:rPr>
              <w:t>本</w:t>
            </w:r>
          </w:p>
          <w:p w14:paraId="425BA6A5" w14:textId="77777777" w:rsidR="0078100D" w:rsidRPr="001B6E4D" w:rsidRDefault="0078100D" w:rsidP="003D1018">
            <w:pPr>
              <w:overflowPunct w:val="0"/>
              <w:spacing w:line="320" w:lineRule="exact"/>
              <w:ind w:leftChars="-74" w:left="37" w:rightChars="-75" w:right="-180" w:hangingChars="96" w:hanging="215"/>
              <w:jc w:val="center"/>
              <w:rPr>
                <w:rFonts w:ascii="標楷體" w:eastAsia="標楷體" w:hAnsi="標楷體"/>
                <w:b/>
                <w:color w:val="000000" w:themeColor="text1"/>
                <w:spacing w:val="-8"/>
              </w:rPr>
            </w:pPr>
            <w:r w:rsidRPr="001B6E4D">
              <w:rPr>
                <w:rFonts w:ascii="標楷體" w:eastAsia="標楷體" w:hAnsi="標楷體"/>
                <w:b/>
                <w:color w:val="000000" w:themeColor="text1"/>
                <w:spacing w:val="-8"/>
              </w:rPr>
              <w:t>會</w:t>
            </w:r>
          </w:p>
          <w:p w14:paraId="5114CD8D" w14:textId="77777777" w:rsidR="0078100D" w:rsidRPr="001B6E4D" w:rsidRDefault="0078100D" w:rsidP="003D1018">
            <w:pPr>
              <w:overflowPunct w:val="0"/>
              <w:spacing w:line="320" w:lineRule="exact"/>
              <w:ind w:leftChars="-74" w:left="37" w:rightChars="-75" w:right="-180" w:hangingChars="96" w:hanging="215"/>
              <w:jc w:val="center"/>
              <w:rPr>
                <w:rFonts w:ascii="標楷體" w:eastAsia="標楷體" w:hAnsi="標楷體"/>
                <w:b/>
                <w:color w:val="000000" w:themeColor="text1"/>
                <w:spacing w:val="-8"/>
              </w:rPr>
            </w:pPr>
            <w:r w:rsidRPr="001B6E4D">
              <w:rPr>
                <w:rFonts w:ascii="標楷體" w:eastAsia="標楷體" w:hAnsi="標楷體"/>
                <w:b/>
                <w:color w:val="000000" w:themeColor="text1"/>
                <w:spacing w:val="-8"/>
              </w:rPr>
              <w:t>待</w:t>
            </w:r>
          </w:p>
          <w:p w14:paraId="261E6A3F" w14:textId="77777777" w:rsidR="0078100D" w:rsidRPr="001B6E4D" w:rsidRDefault="0078100D" w:rsidP="003D1018">
            <w:pPr>
              <w:overflowPunct w:val="0"/>
              <w:spacing w:line="320" w:lineRule="exact"/>
              <w:ind w:leftChars="-74" w:left="37" w:rightChars="-75" w:right="-180" w:hangingChars="96" w:hanging="215"/>
              <w:jc w:val="center"/>
              <w:rPr>
                <w:rFonts w:ascii="標楷體" w:eastAsia="標楷體" w:hAnsi="標楷體"/>
                <w:b/>
                <w:color w:val="000000" w:themeColor="text1"/>
                <w:spacing w:val="-8"/>
              </w:rPr>
            </w:pPr>
            <w:r w:rsidRPr="001B6E4D">
              <w:rPr>
                <w:rFonts w:ascii="標楷體" w:eastAsia="標楷體" w:hAnsi="標楷體"/>
                <w:b/>
                <w:color w:val="000000" w:themeColor="text1"/>
                <w:spacing w:val="-8"/>
              </w:rPr>
              <w:t>審</w:t>
            </w:r>
          </w:p>
          <w:p w14:paraId="77DECC6C" w14:textId="77777777" w:rsidR="0078100D" w:rsidRPr="001B6E4D" w:rsidRDefault="0078100D" w:rsidP="003D1018">
            <w:pPr>
              <w:overflowPunct w:val="0"/>
              <w:spacing w:line="320" w:lineRule="exact"/>
              <w:ind w:leftChars="-74" w:left="37" w:rightChars="-75" w:right="-180" w:hangingChars="96" w:hanging="215"/>
              <w:jc w:val="center"/>
              <w:rPr>
                <w:rFonts w:ascii="標楷體" w:eastAsia="標楷體" w:hAnsi="標楷體"/>
                <w:b/>
                <w:color w:val="000000" w:themeColor="text1"/>
                <w:spacing w:val="-8"/>
              </w:rPr>
            </w:pPr>
            <w:r w:rsidRPr="001B6E4D">
              <w:rPr>
                <w:rFonts w:ascii="標楷體" w:eastAsia="標楷體" w:hAnsi="標楷體" w:hint="eastAsia"/>
                <w:b/>
                <w:color w:val="000000" w:themeColor="text1"/>
                <w:spacing w:val="-8"/>
              </w:rPr>
              <w:t>查</w:t>
            </w:r>
          </w:p>
          <w:p w14:paraId="39554DC3" w14:textId="77777777" w:rsidR="0078100D" w:rsidRPr="001B6E4D" w:rsidRDefault="0078100D" w:rsidP="003D1018">
            <w:pPr>
              <w:overflowPunct w:val="0"/>
              <w:spacing w:line="320" w:lineRule="exact"/>
              <w:ind w:leftChars="-74" w:left="37" w:rightChars="-75" w:right="-180" w:hangingChars="96" w:hanging="215"/>
              <w:jc w:val="center"/>
              <w:rPr>
                <w:rFonts w:ascii="標楷體" w:eastAsia="標楷體" w:hAnsi="標楷體"/>
                <w:b/>
                <w:color w:val="000000" w:themeColor="text1"/>
                <w:spacing w:val="-8"/>
              </w:rPr>
            </w:pPr>
            <w:r w:rsidRPr="001B6E4D">
              <w:rPr>
                <w:rFonts w:ascii="標楷體" w:eastAsia="標楷體" w:hAnsi="標楷體" w:hint="eastAsia"/>
                <w:b/>
                <w:color w:val="000000" w:themeColor="text1"/>
                <w:spacing w:val="-8"/>
              </w:rPr>
              <w:t>案</w:t>
            </w:r>
          </w:p>
          <w:p w14:paraId="1894F581" w14:textId="77777777" w:rsidR="0078100D" w:rsidRPr="001B6E4D" w:rsidRDefault="0078100D" w:rsidP="003D1018">
            <w:pPr>
              <w:overflowPunct w:val="0"/>
              <w:spacing w:line="320" w:lineRule="exact"/>
              <w:ind w:leftChars="-74" w:left="37" w:rightChars="-75" w:right="-180" w:hangingChars="96" w:hanging="215"/>
              <w:jc w:val="center"/>
              <w:rPr>
                <w:rFonts w:ascii="標楷體" w:eastAsia="標楷體" w:hAnsi="標楷體"/>
                <w:b/>
                <w:color w:val="000000" w:themeColor="text1"/>
                <w:spacing w:val="-8"/>
              </w:rPr>
            </w:pPr>
            <w:r w:rsidRPr="001B6E4D">
              <w:rPr>
                <w:rFonts w:ascii="標楷體" w:eastAsia="標楷體" w:hAnsi="標楷體" w:hint="eastAsia"/>
                <w:b/>
                <w:color w:val="000000" w:themeColor="text1"/>
                <w:spacing w:val="-8"/>
              </w:rPr>
              <w:t>件</w:t>
            </w:r>
          </w:p>
          <w:p w14:paraId="259B0A2A" w14:textId="77777777" w:rsidR="0078100D" w:rsidRPr="001B6E4D" w:rsidRDefault="0078100D" w:rsidP="003D1018">
            <w:pPr>
              <w:overflowPunct w:val="0"/>
              <w:spacing w:line="320" w:lineRule="exact"/>
              <w:ind w:leftChars="-74" w:left="53" w:rightChars="-75" w:right="-180" w:hangingChars="96" w:hanging="231"/>
              <w:jc w:val="center"/>
              <w:rPr>
                <w:rFonts w:ascii="標楷體" w:eastAsia="標楷體" w:hAnsi="標楷體"/>
                <w:b/>
                <w:color w:val="000000" w:themeColor="text1"/>
                <w:spacing w:val="-8"/>
              </w:rPr>
            </w:pPr>
            <w:r w:rsidRPr="001B6E4D">
              <w:rPr>
                <w:rFonts w:ascii="標楷體" w:eastAsia="標楷體" w:hAnsi="標楷體" w:hint="eastAsia"/>
                <w:b/>
                <w:color w:val="000000" w:themeColor="text1"/>
              </w:rPr>
              <w:sym w:font="Wingdings" w:char="F082"/>
            </w:r>
          </w:p>
        </w:tc>
        <w:tc>
          <w:tcPr>
            <w:tcW w:w="461" w:type="pct"/>
            <w:vMerge w:val="restart"/>
            <w:tcBorders>
              <w:top w:val="single" w:sz="18" w:space="0" w:color="auto"/>
              <w:left w:val="single" w:sz="18" w:space="0" w:color="auto"/>
              <w:right w:val="single" w:sz="18" w:space="0" w:color="auto"/>
            </w:tcBorders>
            <w:shd w:val="clear" w:color="auto" w:fill="FFFFFF"/>
          </w:tcPr>
          <w:p w14:paraId="47E1BEDB" w14:textId="77777777" w:rsidR="0078100D" w:rsidRPr="001B6E4D" w:rsidRDefault="0078100D" w:rsidP="003D1018">
            <w:pPr>
              <w:overflowPunct w:val="0"/>
              <w:spacing w:beforeLines="50" w:before="180" w:line="420" w:lineRule="exact"/>
              <w:jc w:val="distribute"/>
              <w:rPr>
                <w:rFonts w:ascii="標楷體" w:eastAsia="標楷體" w:hAnsi="標楷體"/>
                <w:b/>
                <w:color w:val="000000" w:themeColor="text1"/>
              </w:rPr>
            </w:pPr>
            <w:r w:rsidRPr="001B6E4D">
              <w:rPr>
                <w:rFonts w:ascii="標楷體" w:eastAsia="標楷體" w:hAnsi="標楷體"/>
                <w:b/>
                <w:color w:val="000000" w:themeColor="text1"/>
              </w:rPr>
              <w:t>累</w:t>
            </w:r>
          </w:p>
          <w:p w14:paraId="3A63A9FB" w14:textId="77777777" w:rsidR="0078100D" w:rsidRPr="001B6E4D" w:rsidRDefault="0078100D" w:rsidP="003D1018">
            <w:pPr>
              <w:overflowPunct w:val="0"/>
              <w:spacing w:line="420" w:lineRule="exact"/>
              <w:jc w:val="distribute"/>
              <w:rPr>
                <w:rFonts w:ascii="標楷體" w:eastAsia="標楷體" w:hAnsi="標楷體"/>
                <w:b/>
                <w:color w:val="000000" w:themeColor="text1"/>
              </w:rPr>
            </w:pPr>
            <w:r w:rsidRPr="001B6E4D">
              <w:rPr>
                <w:rFonts w:ascii="標楷體" w:eastAsia="標楷體" w:hAnsi="標楷體"/>
                <w:b/>
                <w:color w:val="000000" w:themeColor="text1"/>
              </w:rPr>
              <w:t>計</w:t>
            </w:r>
          </w:p>
          <w:p w14:paraId="1C7CD488" w14:textId="77777777" w:rsidR="0078100D" w:rsidRPr="001B6E4D" w:rsidRDefault="0078100D" w:rsidP="003D1018">
            <w:pPr>
              <w:overflowPunct w:val="0"/>
              <w:spacing w:line="420" w:lineRule="exact"/>
              <w:jc w:val="distribute"/>
              <w:rPr>
                <w:rFonts w:ascii="標楷體" w:eastAsia="標楷體" w:hAnsi="標楷體"/>
                <w:b/>
                <w:color w:val="000000" w:themeColor="text1"/>
              </w:rPr>
            </w:pPr>
            <w:r w:rsidRPr="001B6E4D">
              <w:rPr>
                <w:rFonts w:ascii="標楷體" w:eastAsia="標楷體" w:hAnsi="標楷體"/>
                <w:b/>
                <w:color w:val="000000" w:themeColor="text1"/>
              </w:rPr>
              <w:t>案</w:t>
            </w:r>
          </w:p>
          <w:p w14:paraId="7BF230C8" w14:textId="77777777" w:rsidR="0078100D" w:rsidRPr="001B6E4D" w:rsidRDefault="0078100D" w:rsidP="003D1018">
            <w:pPr>
              <w:overflowPunct w:val="0"/>
              <w:spacing w:line="420" w:lineRule="exact"/>
              <w:jc w:val="distribute"/>
              <w:rPr>
                <w:rFonts w:ascii="標楷體" w:eastAsia="標楷體" w:hAnsi="標楷體"/>
                <w:b/>
                <w:color w:val="000000" w:themeColor="text1"/>
              </w:rPr>
            </w:pPr>
            <w:r w:rsidRPr="001B6E4D">
              <w:rPr>
                <w:rFonts w:ascii="標楷體" w:eastAsia="標楷體" w:hAnsi="標楷體" w:hint="eastAsia"/>
                <w:b/>
                <w:color w:val="000000" w:themeColor="text1"/>
              </w:rPr>
              <w:t>件</w:t>
            </w:r>
          </w:p>
          <w:p w14:paraId="15465E85" w14:textId="77777777" w:rsidR="0078100D" w:rsidRPr="001B6E4D" w:rsidRDefault="0078100D" w:rsidP="003D1018">
            <w:pPr>
              <w:overflowPunct w:val="0"/>
              <w:spacing w:line="420" w:lineRule="exact"/>
              <w:jc w:val="distribute"/>
              <w:rPr>
                <w:rFonts w:ascii="標楷體" w:eastAsia="標楷體" w:hAnsi="標楷體"/>
                <w:b/>
                <w:color w:val="000000" w:themeColor="text1"/>
              </w:rPr>
            </w:pPr>
            <w:r w:rsidRPr="001B6E4D">
              <w:rPr>
                <w:rFonts w:ascii="標楷體" w:eastAsia="標楷體" w:hAnsi="標楷體" w:hint="eastAsia"/>
                <w:b/>
                <w:color w:val="000000" w:themeColor="text1"/>
              </w:rPr>
              <w:sym w:font="Wingdings" w:char="F081"/>
            </w:r>
          </w:p>
          <w:p w14:paraId="47A4E384" w14:textId="77777777" w:rsidR="0078100D" w:rsidRPr="001B6E4D" w:rsidRDefault="0078100D" w:rsidP="003D1018">
            <w:pPr>
              <w:overflowPunct w:val="0"/>
              <w:spacing w:line="420" w:lineRule="exact"/>
              <w:jc w:val="distribute"/>
              <w:rPr>
                <w:rFonts w:ascii="標楷體" w:eastAsia="標楷體" w:hAnsi="標楷體"/>
                <w:b/>
                <w:color w:val="000000" w:themeColor="text1"/>
              </w:rPr>
            </w:pPr>
            <w:r w:rsidRPr="001B6E4D">
              <w:rPr>
                <w:rFonts w:ascii="標楷體" w:eastAsia="標楷體" w:hAnsi="標楷體" w:hint="eastAsia"/>
                <w:b/>
                <w:color w:val="000000" w:themeColor="text1"/>
              </w:rPr>
              <w:t>＋</w:t>
            </w:r>
          </w:p>
          <w:p w14:paraId="1BB91892" w14:textId="77777777" w:rsidR="0078100D" w:rsidRPr="001B6E4D" w:rsidRDefault="0078100D" w:rsidP="003D1018">
            <w:pPr>
              <w:overflowPunct w:val="0"/>
              <w:spacing w:line="420" w:lineRule="exact"/>
              <w:jc w:val="distribute"/>
              <w:rPr>
                <w:rFonts w:ascii="標楷體" w:eastAsia="標楷體" w:hAnsi="標楷體"/>
                <w:b/>
                <w:color w:val="000000" w:themeColor="text1"/>
              </w:rPr>
            </w:pPr>
            <w:r w:rsidRPr="001B6E4D">
              <w:rPr>
                <w:rFonts w:ascii="標楷體" w:eastAsia="標楷體" w:hAnsi="標楷體" w:hint="eastAsia"/>
                <w:b/>
                <w:color w:val="000000" w:themeColor="text1"/>
              </w:rPr>
              <w:sym w:font="Wingdings" w:char="F082"/>
            </w:r>
          </w:p>
        </w:tc>
      </w:tr>
      <w:tr w:rsidR="00F06A61" w:rsidRPr="001B6E4D" w14:paraId="414B60D5" w14:textId="77777777" w:rsidTr="00F06A61">
        <w:trPr>
          <w:trHeight w:val="546"/>
          <w:jc w:val="center"/>
        </w:trPr>
        <w:tc>
          <w:tcPr>
            <w:tcW w:w="1224" w:type="pct"/>
            <w:gridSpan w:val="2"/>
            <w:vMerge/>
            <w:tcBorders>
              <w:top w:val="single" w:sz="18" w:space="0" w:color="auto"/>
              <w:left w:val="single" w:sz="18" w:space="0" w:color="auto"/>
              <w:bottom w:val="single" w:sz="12" w:space="0" w:color="auto"/>
              <w:right w:val="single" w:sz="18" w:space="0" w:color="auto"/>
            </w:tcBorders>
            <w:shd w:val="clear" w:color="auto" w:fill="FFFFFF"/>
          </w:tcPr>
          <w:p w14:paraId="6D18A596" w14:textId="77777777" w:rsidR="0078100D" w:rsidRPr="001B6E4D" w:rsidRDefault="0078100D" w:rsidP="003D1018">
            <w:pPr>
              <w:overflowPunct w:val="0"/>
              <w:spacing w:line="240" w:lineRule="exact"/>
              <w:jc w:val="center"/>
              <w:rPr>
                <w:rFonts w:ascii="標楷體" w:eastAsia="標楷體" w:hAnsi="標楷體"/>
                <w:b/>
                <w:color w:val="000000" w:themeColor="text1"/>
              </w:rPr>
            </w:pPr>
          </w:p>
        </w:tc>
        <w:tc>
          <w:tcPr>
            <w:tcW w:w="2167" w:type="pct"/>
            <w:gridSpan w:val="8"/>
            <w:tcBorders>
              <w:left w:val="single" w:sz="18" w:space="0" w:color="auto"/>
              <w:bottom w:val="single" w:sz="4" w:space="0" w:color="auto"/>
              <w:right w:val="dashed" w:sz="4" w:space="0" w:color="auto"/>
            </w:tcBorders>
            <w:shd w:val="clear" w:color="auto" w:fill="FFFFFF"/>
            <w:vAlign w:val="center"/>
          </w:tcPr>
          <w:p w14:paraId="65955EF4" w14:textId="77777777" w:rsidR="0078100D" w:rsidRPr="001B6E4D" w:rsidRDefault="0078100D" w:rsidP="003D1018">
            <w:pPr>
              <w:overflowPunct w:val="0"/>
              <w:spacing w:line="360" w:lineRule="exact"/>
              <w:jc w:val="center"/>
              <w:rPr>
                <w:rFonts w:ascii="標楷體" w:eastAsia="標楷體" w:hAnsi="標楷體"/>
                <w:b/>
                <w:color w:val="000000" w:themeColor="text1"/>
              </w:rPr>
            </w:pPr>
            <w:r w:rsidRPr="001B6E4D">
              <w:rPr>
                <w:rFonts w:ascii="標楷體" w:eastAsia="標楷體" w:hAnsi="標楷體"/>
                <w:b/>
                <w:color w:val="000000" w:themeColor="text1"/>
              </w:rPr>
              <w:t>院會通過</w:t>
            </w:r>
            <w:r w:rsidRPr="001B6E4D">
              <w:rPr>
                <w:rFonts w:ascii="標楷體" w:eastAsia="標楷體" w:hAnsi="標楷體" w:hint="eastAsia"/>
                <w:b/>
                <w:color w:val="000000" w:themeColor="text1"/>
              </w:rPr>
              <w:t xml:space="preserve"> </w:t>
            </w:r>
            <w:proofErr w:type="gramStart"/>
            <w:r w:rsidRPr="001B6E4D">
              <w:rPr>
                <w:rFonts w:ascii="標楷體" w:eastAsia="標楷體" w:hAnsi="標楷體"/>
                <w:b/>
                <w:color w:val="000000" w:themeColor="text1"/>
              </w:rPr>
              <w:t>Ａ</w:t>
            </w:r>
            <w:proofErr w:type="gramEnd"/>
          </w:p>
        </w:tc>
        <w:tc>
          <w:tcPr>
            <w:tcW w:w="307" w:type="pct"/>
            <w:vMerge w:val="restart"/>
            <w:tcBorders>
              <w:top w:val="single" w:sz="4" w:space="0" w:color="auto"/>
              <w:left w:val="dashed" w:sz="4" w:space="0" w:color="auto"/>
              <w:right w:val="dashed" w:sz="4" w:space="0" w:color="auto"/>
            </w:tcBorders>
            <w:shd w:val="clear" w:color="auto" w:fill="FFFFFF"/>
          </w:tcPr>
          <w:p w14:paraId="2E68B366" w14:textId="77777777" w:rsidR="0078100D" w:rsidRPr="001B6E4D" w:rsidRDefault="0078100D" w:rsidP="003D1018">
            <w:pPr>
              <w:overflowPunct w:val="0"/>
              <w:spacing w:beforeLines="50" w:before="180" w:line="300" w:lineRule="exact"/>
              <w:jc w:val="center"/>
              <w:rPr>
                <w:rFonts w:ascii="標楷體" w:eastAsia="標楷體" w:hAnsi="標楷體"/>
                <w:b/>
                <w:color w:val="000000" w:themeColor="text1"/>
                <w:spacing w:val="-6"/>
              </w:rPr>
            </w:pPr>
            <w:r w:rsidRPr="001B6E4D">
              <w:rPr>
                <w:rFonts w:ascii="標楷體" w:eastAsia="標楷體" w:hAnsi="標楷體"/>
                <w:b/>
                <w:color w:val="000000" w:themeColor="text1"/>
                <w:spacing w:val="-6"/>
              </w:rPr>
              <w:t>院</w:t>
            </w:r>
          </w:p>
          <w:p w14:paraId="01B71418" w14:textId="77777777" w:rsidR="0078100D" w:rsidRPr="001B6E4D" w:rsidRDefault="0078100D" w:rsidP="003D1018">
            <w:pPr>
              <w:overflowPunct w:val="0"/>
              <w:spacing w:line="300" w:lineRule="exact"/>
              <w:jc w:val="center"/>
              <w:rPr>
                <w:rFonts w:ascii="標楷體" w:eastAsia="標楷體" w:hAnsi="標楷體"/>
                <w:b/>
                <w:color w:val="000000" w:themeColor="text1"/>
                <w:spacing w:val="-6"/>
              </w:rPr>
            </w:pPr>
            <w:r w:rsidRPr="001B6E4D">
              <w:rPr>
                <w:rFonts w:ascii="標楷體" w:eastAsia="標楷體" w:hAnsi="標楷體"/>
                <w:b/>
                <w:color w:val="000000" w:themeColor="text1"/>
                <w:spacing w:val="-6"/>
              </w:rPr>
              <w:t>會</w:t>
            </w:r>
          </w:p>
          <w:p w14:paraId="678A8D7F" w14:textId="77777777" w:rsidR="0078100D" w:rsidRPr="001B6E4D" w:rsidRDefault="0078100D" w:rsidP="003D1018">
            <w:pPr>
              <w:overflowPunct w:val="0"/>
              <w:spacing w:line="300" w:lineRule="exact"/>
              <w:jc w:val="center"/>
              <w:rPr>
                <w:rFonts w:ascii="標楷體" w:eastAsia="標楷體" w:hAnsi="標楷體"/>
                <w:b/>
                <w:color w:val="000000" w:themeColor="text1"/>
                <w:spacing w:val="-6"/>
              </w:rPr>
            </w:pPr>
            <w:r w:rsidRPr="001B6E4D">
              <w:rPr>
                <w:rFonts w:ascii="標楷體" w:eastAsia="標楷體" w:hAnsi="標楷體" w:hint="eastAsia"/>
                <w:b/>
                <w:color w:val="000000" w:themeColor="text1"/>
                <w:spacing w:val="-6"/>
              </w:rPr>
              <w:t>待</w:t>
            </w:r>
          </w:p>
          <w:p w14:paraId="4963247E" w14:textId="77777777" w:rsidR="0078100D" w:rsidRPr="001B6E4D" w:rsidRDefault="0078100D" w:rsidP="003D1018">
            <w:pPr>
              <w:overflowPunct w:val="0"/>
              <w:spacing w:line="300" w:lineRule="exact"/>
              <w:jc w:val="center"/>
              <w:rPr>
                <w:rFonts w:ascii="標楷體" w:eastAsia="標楷體" w:hAnsi="標楷體"/>
                <w:b/>
                <w:color w:val="000000" w:themeColor="text1"/>
                <w:spacing w:val="-6"/>
              </w:rPr>
            </w:pPr>
            <w:r w:rsidRPr="001B6E4D">
              <w:rPr>
                <w:rFonts w:ascii="標楷體" w:eastAsia="標楷體" w:hAnsi="標楷體"/>
                <w:b/>
                <w:color w:val="000000" w:themeColor="text1"/>
                <w:spacing w:val="-6"/>
              </w:rPr>
              <w:t>審</w:t>
            </w:r>
          </w:p>
          <w:p w14:paraId="7B7BE111" w14:textId="77777777" w:rsidR="0078100D" w:rsidRPr="001B6E4D" w:rsidRDefault="0078100D" w:rsidP="003D1018">
            <w:pPr>
              <w:overflowPunct w:val="0"/>
              <w:spacing w:line="300" w:lineRule="exact"/>
              <w:jc w:val="center"/>
              <w:rPr>
                <w:rFonts w:ascii="標楷體" w:eastAsia="標楷體" w:hAnsi="標楷體"/>
                <w:b/>
                <w:color w:val="000000" w:themeColor="text1"/>
                <w:spacing w:val="-6"/>
              </w:rPr>
            </w:pPr>
            <w:r w:rsidRPr="001B6E4D">
              <w:rPr>
                <w:rFonts w:ascii="標楷體" w:eastAsia="標楷體" w:hAnsi="標楷體"/>
                <w:b/>
                <w:color w:val="000000" w:themeColor="text1"/>
                <w:spacing w:val="-6"/>
              </w:rPr>
              <w:t>議</w:t>
            </w:r>
          </w:p>
          <w:p w14:paraId="5A764D93" w14:textId="77777777" w:rsidR="0078100D" w:rsidRPr="001B6E4D" w:rsidRDefault="0078100D" w:rsidP="003D1018">
            <w:pPr>
              <w:overflowPunct w:val="0"/>
              <w:spacing w:line="300" w:lineRule="exact"/>
              <w:jc w:val="center"/>
              <w:rPr>
                <w:rFonts w:ascii="標楷體" w:eastAsia="標楷體" w:hAnsi="標楷體"/>
                <w:b/>
                <w:color w:val="000000" w:themeColor="text1"/>
                <w:spacing w:val="-6"/>
              </w:rPr>
            </w:pPr>
            <w:r w:rsidRPr="001B6E4D">
              <w:rPr>
                <w:rFonts w:ascii="標楷體" w:eastAsia="標楷體" w:hAnsi="標楷體" w:hint="eastAsia"/>
                <w:b/>
                <w:color w:val="000000" w:themeColor="text1"/>
                <w:spacing w:val="-6"/>
              </w:rPr>
              <w:t>部</w:t>
            </w:r>
          </w:p>
          <w:p w14:paraId="078AD8BF" w14:textId="77777777" w:rsidR="0078100D" w:rsidRPr="001B6E4D" w:rsidRDefault="0078100D" w:rsidP="003D1018">
            <w:pPr>
              <w:overflowPunct w:val="0"/>
              <w:spacing w:line="300" w:lineRule="exact"/>
              <w:jc w:val="center"/>
              <w:rPr>
                <w:rFonts w:ascii="標楷體" w:eastAsia="標楷體" w:hAnsi="標楷體"/>
                <w:b/>
                <w:color w:val="000000" w:themeColor="text1"/>
                <w:spacing w:val="-6"/>
              </w:rPr>
            </w:pPr>
            <w:r w:rsidRPr="001B6E4D">
              <w:rPr>
                <w:rFonts w:ascii="標楷體" w:eastAsia="標楷體" w:hAnsi="標楷體" w:hint="eastAsia"/>
                <w:b/>
                <w:color w:val="000000" w:themeColor="text1"/>
                <w:spacing w:val="-6"/>
              </w:rPr>
              <w:t>分</w:t>
            </w:r>
          </w:p>
          <w:p w14:paraId="74A9D0C7" w14:textId="77777777" w:rsidR="0078100D" w:rsidRPr="001B6E4D" w:rsidRDefault="0078100D" w:rsidP="003D1018">
            <w:pPr>
              <w:overflowPunct w:val="0"/>
              <w:spacing w:line="300" w:lineRule="exact"/>
              <w:jc w:val="center"/>
              <w:rPr>
                <w:rFonts w:ascii="標楷體" w:eastAsia="標楷體" w:hAnsi="標楷體"/>
                <w:b/>
                <w:color w:val="000000" w:themeColor="text1"/>
                <w:spacing w:val="-6"/>
              </w:rPr>
            </w:pPr>
            <w:proofErr w:type="gramStart"/>
            <w:r w:rsidRPr="001B6E4D">
              <w:rPr>
                <w:rFonts w:ascii="標楷體" w:eastAsia="標楷體" w:hAnsi="標楷體" w:hint="eastAsia"/>
                <w:b/>
                <w:color w:val="000000" w:themeColor="text1"/>
                <w:spacing w:val="-6"/>
              </w:rPr>
              <w:t>Ｂ</w:t>
            </w:r>
            <w:proofErr w:type="gramEnd"/>
          </w:p>
        </w:tc>
        <w:tc>
          <w:tcPr>
            <w:tcW w:w="376" w:type="pct"/>
            <w:vMerge w:val="restart"/>
            <w:tcBorders>
              <w:left w:val="dashed" w:sz="4" w:space="0" w:color="auto"/>
              <w:right w:val="single" w:sz="12" w:space="0" w:color="auto"/>
            </w:tcBorders>
            <w:shd w:val="clear" w:color="auto" w:fill="FFFFFF"/>
          </w:tcPr>
          <w:p w14:paraId="31BB67BE" w14:textId="77777777" w:rsidR="0078100D" w:rsidRPr="001B6E4D" w:rsidRDefault="0078100D" w:rsidP="003D1018">
            <w:pPr>
              <w:overflowPunct w:val="0"/>
              <w:spacing w:beforeLines="50" w:before="180" w:line="300" w:lineRule="exact"/>
              <w:jc w:val="center"/>
              <w:rPr>
                <w:rFonts w:ascii="標楷體" w:eastAsia="標楷體" w:hAnsi="標楷體"/>
                <w:b/>
                <w:color w:val="000000" w:themeColor="text1"/>
              </w:rPr>
            </w:pPr>
            <w:r w:rsidRPr="001B6E4D">
              <w:rPr>
                <w:rFonts w:ascii="標楷體" w:eastAsia="標楷體" w:hAnsi="標楷體" w:hint="eastAsia"/>
                <w:b/>
                <w:color w:val="000000" w:themeColor="text1"/>
              </w:rPr>
              <w:t>小</w:t>
            </w:r>
          </w:p>
          <w:p w14:paraId="7D87AAD4" w14:textId="77777777" w:rsidR="0078100D" w:rsidRPr="001B6E4D" w:rsidRDefault="0078100D" w:rsidP="003D1018">
            <w:pPr>
              <w:overflowPunct w:val="0"/>
              <w:spacing w:line="300" w:lineRule="exact"/>
              <w:jc w:val="center"/>
              <w:rPr>
                <w:rFonts w:ascii="標楷體" w:eastAsia="標楷體" w:hAnsi="標楷體"/>
                <w:b/>
                <w:color w:val="000000" w:themeColor="text1"/>
              </w:rPr>
            </w:pPr>
          </w:p>
          <w:p w14:paraId="58B179CE" w14:textId="77777777" w:rsidR="0078100D" w:rsidRPr="001B6E4D" w:rsidRDefault="0078100D" w:rsidP="003D1018">
            <w:pPr>
              <w:overflowPunct w:val="0"/>
              <w:spacing w:line="300" w:lineRule="exact"/>
              <w:jc w:val="center"/>
              <w:rPr>
                <w:rFonts w:ascii="標楷體" w:eastAsia="標楷體" w:hAnsi="標楷體"/>
                <w:b/>
                <w:color w:val="000000" w:themeColor="text1"/>
              </w:rPr>
            </w:pPr>
            <w:r w:rsidRPr="001B6E4D">
              <w:rPr>
                <w:rFonts w:ascii="標楷體" w:eastAsia="標楷體" w:hAnsi="標楷體"/>
                <w:b/>
                <w:color w:val="000000" w:themeColor="text1"/>
              </w:rPr>
              <w:t>計</w:t>
            </w:r>
          </w:p>
          <w:p w14:paraId="2B9AB82B" w14:textId="77777777" w:rsidR="0078100D" w:rsidRPr="001B6E4D" w:rsidRDefault="0078100D" w:rsidP="003D1018">
            <w:pPr>
              <w:overflowPunct w:val="0"/>
              <w:spacing w:line="300" w:lineRule="exact"/>
              <w:ind w:leftChars="-3" w:left="-2" w:hangingChars="2" w:hanging="5"/>
              <w:jc w:val="center"/>
              <w:rPr>
                <w:rFonts w:ascii="標楷體" w:eastAsia="標楷體" w:hAnsi="標楷體"/>
                <w:b/>
                <w:color w:val="000000" w:themeColor="text1"/>
              </w:rPr>
            </w:pPr>
            <w:r w:rsidRPr="001B6E4D">
              <w:rPr>
                <w:rFonts w:ascii="標楷體" w:eastAsia="標楷體" w:hAnsi="標楷體"/>
                <w:b/>
                <w:color w:val="000000" w:themeColor="text1"/>
              </w:rPr>
              <w:sym w:font="Wingdings" w:char="F081"/>
            </w:r>
          </w:p>
          <w:p w14:paraId="69980569" w14:textId="77777777" w:rsidR="0078100D" w:rsidRPr="001B6E4D" w:rsidRDefault="0078100D" w:rsidP="003D1018">
            <w:pPr>
              <w:overflowPunct w:val="0"/>
              <w:spacing w:line="300" w:lineRule="exact"/>
              <w:jc w:val="center"/>
              <w:rPr>
                <w:rFonts w:ascii="標楷體" w:eastAsia="標楷體" w:hAnsi="標楷體"/>
                <w:b/>
                <w:color w:val="000000" w:themeColor="text1"/>
              </w:rPr>
            </w:pPr>
            <w:proofErr w:type="gramStart"/>
            <w:r w:rsidRPr="001B6E4D">
              <w:rPr>
                <w:rFonts w:ascii="標楷體" w:eastAsia="標楷體" w:hAnsi="標楷體" w:hint="eastAsia"/>
                <w:b/>
                <w:color w:val="000000" w:themeColor="text1"/>
              </w:rPr>
              <w:t>‖</w:t>
            </w:r>
            <w:proofErr w:type="gramEnd"/>
          </w:p>
          <w:p w14:paraId="08148B67" w14:textId="77777777" w:rsidR="0078100D" w:rsidRPr="001B6E4D" w:rsidRDefault="0078100D" w:rsidP="003D1018">
            <w:pPr>
              <w:overflowPunct w:val="0"/>
              <w:spacing w:line="300" w:lineRule="exact"/>
              <w:ind w:leftChars="-3" w:left="-2" w:hangingChars="2" w:hanging="5"/>
              <w:jc w:val="center"/>
              <w:rPr>
                <w:rFonts w:ascii="標楷體" w:eastAsia="標楷體" w:hAnsi="標楷體"/>
                <w:b/>
                <w:color w:val="000000" w:themeColor="text1"/>
              </w:rPr>
            </w:pPr>
            <w:proofErr w:type="gramStart"/>
            <w:r w:rsidRPr="001B6E4D">
              <w:rPr>
                <w:rFonts w:ascii="標楷體" w:eastAsia="標楷體" w:hAnsi="標楷體" w:hint="eastAsia"/>
                <w:b/>
                <w:color w:val="000000" w:themeColor="text1"/>
              </w:rPr>
              <w:t>Ａ</w:t>
            </w:r>
            <w:proofErr w:type="gramEnd"/>
          </w:p>
          <w:p w14:paraId="1734A45F" w14:textId="77777777" w:rsidR="0078100D" w:rsidRPr="001B6E4D" w:rsidRDefault="0078100D" w:rsidP="003D1018">
            <w:pPr>
              <w:overflowPunct w:val="0"/>
              <w:spacing w:line="300" w:lineRule="exact"/>
              <w:ind w:leftChars="-3" w:left="-2" w:hangingChars="2" w:hanging="5"/>
              <w:jc w:val="center"/>
              <w:rPr>
                <w:rFonts w:ascii="標楷體" w:eastAsia="標楷體" w:hAnsi="標楷體"/>
                <w:b/>
                <w:color w:val="000000" w:themeColor="text1"/>
              </w:rPr>
            </w:pPr>
            <w:r w:rsidRPr="001B6E4D">
              <w:rPr>
                <w:rFonts w:ascii="標楷體" w:eastAsia="標楷體" w:hAnsi="標楷體" w:hint="eastAsia"/>
                <w:b/>
                <w:color w:val="000000" w:themeColor="text1"/>
              </w:rPr>
              <w:t>＋</w:t>
            </w:r>
          </w:p>
          <w:p w14:paraId="59927B98" w14:textId="77777777" w:rsidR="0078100D" w:rsidRPr="001B6E4D" w:rsidRDefault="0078100D" w:rsidP="003D1018">
            <w:pPr>
              <w:overflowPunct w:val="0"/>
              <w:spacing w:line="300" w:lineRule="exact"/>
              <w:ind w:leftChars="-3" w:left="-2" w:hangingChars="2" w:hanging="5"/>
              <w:jc w:val="center"/>
              <w:rPr>
                <w:rFonts w:ascii="標楷體" w:eastAsia="標楷體" w:hAnsi="標楷體"/>
                <w:color w:val="000000" w:themeColor="text1"/>
              </w:rPr>
            </w:pPr>
            <w:proofErr w:type="gramStart"/>
            <w:r w:rsidRPr="001B6E4D">
              <w:rPr>
                <w:rFonts w:ascii="標楷體" w:eastAsia="標楷體" w:hAnsi="標楷體" w:hint="eastAsia"/>
                <w:b/>
                <w:color w:val="000000" w:themeColor="text1"/>
              </w:rPr>
              <w:t>Ｂ</w:t>
            </w:r>
            <w:proofErr w:type="gramEnd"/>
          </w:p>
        </w:tc>
        <w:tc>
          <w:tcPr>
            <w:tcW w:w="465" w:type="pct"/>
            <w:vMerge/>
            <w:tcBorders>
              <w:left w:val="single" w:sz="12" w:space="0" w:color="auto"/>
              <w:right w:val="single" w:sz="18" w:space="0" w:color="auto"/>
            </w:tcBorders>
            <w:shd w:val="clear" w:color="auto" w:fill="FFFFFF"/>
          </w:tcPr>
          <w:p w14:paraId="639C6111" w14:textId="77777777" w:rsidR="0078100D" w:rsidRPr="001B6E4D" w:rsidRDefault="0078100D" w:rsidP="003D1018">
            <w:pPr>
              <w:overflowPunct w:val="0"/>
              <w:spacing w:line="260" w:lineRule="exact"/>
              <w:jc w:val="center"/>
              <w:rPr>
                <w:rFonts w:ascii="標楷體" w:eastAsia="標楷體" w:hAnsi="標楷體"/>
                <w:color w:val="000000" w:themeColor="text1"/>
              </w:rPr>
            </w:pPr>
          </w:p>
        </w:tc>
        <w:tc>
          <w:tcPr>
            <w:tcW w:w="461" w:type="pct"/>
            <w:vMerge/>
            <w:tcBorders>
              <w:left w:val="single" w:sz="18" w:space="0" w:color="auto"/>
              <w:right w:val="single" w:sz="18" w:space="0" w:color="auto"/>
            </w:tcBorders>
            <w:shd w:val="clear" w:color="auto" w:fill="FFFFFF"/>
          </w:tcPr>
          <w:p w14:paraId="0144A3C5" w14:textId="77777777" w:rsidR="0078100D" w:rsidRPr="001B6E4D" w:rsidRDefault="0078100D" w:rsidP="003D1018">
            <w:pPr>
              <w:overflowPunct w:val="0"/>
              <w:spacing w:line="260" w:lineRule="exact"/>
              <w:jc w:val="center"/>
              <w:rPr>
                <w:rFonts w:ascii="標楷體" w:eastAsia="標楷體" w:hAnsi="標楷體"/>
                <w:color w:val="000000" w:themeColor="text1"/>
              </w:rPr>
            </w:pPr>
          </w:p>
        </w:tc>
      </w:tr>
      <w:tr w:rsidR="0076478F" w:rsidRPr="001B6E4D" w14:paraId="421C5BC1" w14:textId="77777777" w:rsidTr="00F06A61">
        <w:trPr>
          <w:trHeight w:val="1988"/>
          <w:jc w:val="center"/>
        </w:trPr>
        <w:tc>
          <w:tcPr>
            <w:tcW w:w="1224" w:type="pct"/>
            <w:gridSpan w:val="2"/>
            <w:vMerge/>
            <w:tcBorders>
              <w:top w:val="single" w:sz="18" w:space="0" w:color="auto"/>
              <w:left w:val="single" w:sz="18" w:space="0" w:color="auto"/>
              <w:bottom w:val="single" w:sz="12" w:space="0" w:color="auto"/>
              <w:right w:val="single" w:sz="18" w:space="0" w:color="auto"/>
            </w:tcBorders>
            <w:shd w:val="clear" w:color="auto" w:fill="FFFFFF"/>
          </w:tcPr>
          <w:p w14:paraId="03CEA1ED" w14:textId="77777777" w:rsidR="0078100D" w:rsidRPr="001B6E4D" w:rsidRDefault="0078100D" w:rsidP="003D1018">
            <w:pPr>
              <w:overflowPunct w:val="0"/>
              <w:spacing w:line="240" w:lineRule="exact"/>
              <w:jc w:val="center"/>
              <w:rPr>
                <w:rFonts w:ascii="標楷體" w:eastAsia="標楷體" w:hAnsi="標楷體"/>
                <w:b/>
                <w:color w:val="000000" w:themeColor="text1"/>
              </w:rPr>
            </w:pPr>
          </w:p>
        </w:tc>
        <w:tc>
          <w:tcPr>
            <w:tcW w:w="286" w:type="pct"/>
            <w:tcBorders>
              <w:left w:val="single" w:sz="18" w:space="0" w:color="auto"/>
              <w:bottom w:val="single" w:sz="18" w:space="0" w:color="auto"/>
              <w:right w:val="dashed" w:sz="4" w:space="0" w:color="auto"/>
            </w:tcBorders>
            <w:shd w:val="clear" w:color="auto" w:fill="FFFFFF"/>
          </w:tcPr>
          <w:p w14:paraId="2926B82C"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第</w:t>
            </w:r>
          </w:p>
          <w:p w14:paraId="4D7436DE"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1</w:t>
            </w:r>
          </w:p>
          <w:p w14:paraId="7E69B60A"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會</w:t>
            </w:r>
          </w:p>
          <w:p w14:paraId="3879A434"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期</w:t>
            </w:r>
          </w:p>
        </w:tc>
        <w:tc>
          <w:tcPr>
            <w:tcW w:w="282" w:type="pct"/>
            <w:tcBorders>
              <w:left w:val="dashed" w:sz="4" w:space="0" w:color="auto"/>
              <w:bottom w:val="single" w:sz="18" w:space="0" w:color="auto"/>
              <w:right w:val="dashed" w:sz="4" w:space="0" w:color="auto"/>
            </w:tcBorders>
            <w:shd w:val="clear" w:color="auto" w:fill="FFFFFF"/>
          </w:tcPr>
          <w:p w14:paraId="2D9D416C"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第</w:t>
            </w:r>
          </w:p>
          <w:p w14:paraId="04E3A09C"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2</w:t>
            </w:r>
          </w:p>
          <w:p w14:paraId="2B952204"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會</w:t>
            </w:r>
          </w:p>
          <w:p w14:paraId="1346C6C7"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期</w:t>
            </w:r>
          </w:p>
        </w:tc>
        <w:tc>
          <w:tcPr>
            <w:tcW w:w="282" w:type="pct"/>
            <w:tcBorders>
              <w:left w:val="dashed" w:sz="4" w:space="0" w:color="auto"/>
              <w:bottom w:val="single" w:sz="18" w:space="0" w:color="auto"/>
              <w:right w:val="dashed" w:sz="4" w:space="0" w:color="auto"/>
            </w:tcBorders>
            <w:shd w:val="clear" w:color="auto" w:fill="FFFFFF"/>
          </w:tcPr>
          <w:p w14:paraId="1D44732C"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第</w:t>
            </w:r>
          </w:p>
          <w:p w14:paraId="66031F45"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3</w:t>
            </w:r>
          </w:p>
          <w:p w14:paraId="20D3946D"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會</w:t>
            </w:r>
          </w:p>
          <w:p w14:paraId="6FF1E4D3"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期</w:t>
            </w:r>
          </w:p>
        </w:tc>
        <w:tc>
          <w:tcPr>
            <w:tcW w:w="314" w:type="pct"/>
            <w:tcBorders>
              <w:left w:val="dashed" w:sz="4" w:space="0" w:color="auto"/>
              <w:bottom w:val="single" w:sz="18" w:space="0" w:color="auto"/>
              <w:right w:val="dashed" w:sz="4" w:space="0" w:color="auto"/>
            </w:tcBorders>
            <w:shd w:val="clear" w:color="auto" w:fill="FFFFFF"/>
          </w:tcPr>
          <w:p w14:paraId="2DE45A94"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第</w:t>
            </w:r>
          </w:p>
          <w:p w14:paraId="2C73B735"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4</w:t>
            </w:r>
          </w:p>
          <w:p w14:paraId="6E48451E"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會</w:t>
            </w:r>
          </w:p>
          <w:p w14:paraId="65907A12"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期</w:t>
            </w:r>
          </w:p>
        </w:tc>
        <w:tc>
          <w:tcPr>
            <w:tcW w:w="308" w:type="pct"/>
            <w:tcBorders>
              <w:top w:val="single" w:sz="4" w:space="0" w:color="auto"/>
              <w:left w:val="dashed" w:sz="4" w:space="0" w:color="auto"/>
              <w:bottom w:val="single" w:sz="18" w:space="0" w:color="auto"/>
              <w:right w:val="dashed" w:sz="4" w:space="0" w:color="auto"/>
            </w:tcBorders>
            <w:shd w:val="clear" w:color="auto" w:fill="FFFFFF"/>
          </w:tcPr>
          <w:p w14:paraId="72A7ED36"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第</w:t>
            </w:r>
          </w:p>
          <w:p w14:paraId="2F44274E"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5</w:t>
            </w:r>
          </w:p>
          <w:p w14:paraId="64A4AA62"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會</w:t>
            </w:r>
          </w:p>
          <w:p w14:paraId="1C2963A5"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期</w:t>
            </w:r>
          </w:p>
        </w:tc>
        <w:tc>
          <w:tcPr>
            <w:tcW w:w="232" w:type="pct"/>
            <w:tcBorders>
              <w:top w:val="single" w:sz="4" w:space="0" w:color="auto"/>
              <w:left w:val="dashed" w:sz="4" w:space="0" w:color="auto"/>
              <w:bottom w:val="single" w:sz="18" w:space="0" w:color="auto"/>
              <w:right w:val="dashed" w:sz="4" w:space="0" w:color="auto"/>
            </w:tcBorders>
            <w:shd w:val="clear" w:color="auto" w:fill="FFFFFF"/>
          </w:tcPr>
          <w:p w14:paraId="7AE075F2"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第</w:t>
            </w:r>
          </w:p>
          <w:p w14:paraId="1019D049"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6</w:t>
            </w:r>
          </w:p>
          <w:p w14:paraId="49582E4D"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會</w:t>
            </w:r>
          </w:p>
          <w:p w14:paraId="56F51923"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期</w:t>
            </w:r>
          </w:p>
        </w:tc>
        <w:tc>
          <w:tcPr>
            <w:tcW w:w="231" w:type="pct"/>
            <w:tcBorders>
              <w:top w:val="single" w:sz="4" w:space="0" w:color="auto"/>
              <w:left w:val="dashed" w:sz="4" w:space="0" w:color="auto"/>
              <w:bottom w:val="single" w:sz="18" w:space="0" w:color="auto"/>
              <w:right w:val="dashed" w:sz="4" w:space="0" w:color="auto"/>
            </w:tcBorders>
            <w:shd w:val="clear" w:color="auto" w:fill="FFFFFF"/>
          </w:tcPr>
          <w:p w14:paraId="13D23367"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第</w:t>
            </w:r>
          </w:p>
          <w:p w14:paraId="020AA82D"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7</w:t>
            </w:r>
          </w:p>
          <w:p w14:paraId="6DE26AD6"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會</w:t>
            </w:r>
          </w:p>
          <w:p w14:paraId="22297F32"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期</w:t>
            </w:r>
          </w:p>
        </w:tc>
        <w:tc>
          <w:tcPr>
            <w:tcW w:w="233" w:type="pct"/>
            <w:tcBorders>
              <w:top w:val="single" w:sz="4" w:space="0" w:color="auto"/>
              <w:left w:val="dashed" w:sz="4" w:space="0" w:color="auto"/>
              <w:bottom w:val="single" w:sz="18" w:space="0" w:color="auto"/>
              <w:right w:val="dashed" w:sz="4" w:space="0" w:color="auto"/>
            </w:tcBorders>
            <w:shd w:val="clear" w:color="auto" w:fill="FFFFFF"/>
          </w:tcPr>
          <w:p w14:paraId="2D01577D"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第</w:t>
            </w:r>
          </w:p>
          <w:p w14:paraId="27862456"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8</w:t>
            </w:r>
          </w:p>
          <w:p w14:paraId="602CCD7C"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會</w:t>
            </w:r>
          </w:p>
          <w:p w14:paraId="31D3EA82" w14:textId="77777777" w:rsidR="0078100D" w:rsidRPr="001B6E4D" w:rsidRDefault="0078100D" w:rsidP="003D1018">
            <w:pPr>
              <w:overflowPunct w:val="0"/>
              <w:spacing w:line="460" w:lineRule="exact"/>
              <w:jc w:val="center"/>
              <w:rPr>
                <w:rFonts w:ascii="標楷體" w:eastAsia="標楷體" w:hAnsi="標楷體"/>
                <w:color w:val="000000" w:themeColor="text1"/>
                <w:spacing w:val="-20"/>
              </w:rPr>
            </w:pPr>
            <w:r w:rsidRPr="001B6E4D">
              <w:rPr>
                <w:rFonts w:ascii="標楷體" w:eastAsia="標楷體" w:hAnsi="標楷體"/>
                <w:color w:val="000000" w:themeColor="text1"/>
                <w:spacing w:val="-20"/>
              </w:rPr>
              <w:t>期</w:t>
            </w:r>
          </w:p>
        </w:tc>
        <w:tc>
          <w:tcPr>
            <w:tcW w:w="307" w:type="pct"/>
            <w:vMerge/>
            <w:tcBorders>
              <w:left w:val="dashed" w:sz="4" w:space="0" w:color="auto"/>
              <w:bottom w:val="single" w:sz="18" w:space="0" w:color="auto"/>
              <w:right w:val="dashed" w:sz="4" w:space="0" w:color="auto"/>
            </w:tcBorders>
            <w:shd w:val="clear" w:color="auto" w:fill="FFFFFF"/>
          </w:tcPr>
          <w:p w14:paraId="29D85C9D" w14:textId="77777777" w:rsidR="0078100D" w:rsidRPr="001B6E4D" w:rsidRDefault="0078100D" w:rsidP="003D1018">
            <w:pPr>
              <w:overflowPunct w:val="0"/>
              <w:spacing w:line="300" w:lineRule="exact"/>
              <w:ind w:rightChars="-45" w:right="-108"/>
              <w:rPr>
                <w:rFonts w:ascii="標楷體" w:eastAsia="標楷體" w:hAnsi="標楷體"/>
                <w:b/>
                <w:color w:val="000000" w:themeColor="text1"/>
                <w:spacing w:val="-20"/>
              </w:rPr>
            </w:pPr>
          </w:p>
        </w:tc>
        <w:tc>
          <w:tcPr>
            <w:tcW w:w="376" w:type="pct"/>
            <w:vMerge/>
            <w:tcBorders>
              <w:left w:val="dashed" w:sz="4" w:space="0" w:color="auto"/>
              <w:bottom w:val="single" w:sz="18" w:space="0" w:color="auto"/>
              <w:right w:val="single" w:sz="12" w:space="0" w:color="auto"/>
            </w:tcBorders>
            <w:shd w:val="clear" w:color="auto" w:fill="FFFFFF"/>
          </w:tcPr>
          <w:p w14:paraId="6C65AF46" w14:textId="77777777" w:rsidR="0078100D" w:rsidRPr="001B6E4D" w:rsidRDefault="0078100D" w:rsidP="003D1018">
            <w:pPr>
              <w:overflowPunct w:val="0"/>
              <w:spacing w:line="240" w:lineRule="exact"/>
              <w:jc w:val="center"/>
              <w:rPr>
                <w:rFonts w:ascii="標楷體" w:eastAsia="標楷體" w:hAnsi="標楷體"/>
                <w:color w:val="000000" w:themeColor="text1"/>
              </w:rPr>
            </w:pPr>
          </w:p>
        </w:tc>
        <w:tc>
          <w:tcPr>
            <w:tcW w:w="465" w:type="pct"/>
            <w:vMerge/>
            <w:tcBorders>
              <w:left w:val="single" w:sz="12" w:space="0" w:color="auto"/>
              <w:bottom w:val="single" w:sz="18" w:space="0" w:color="auto"/>
              <w:right w:val="single" w:sz="18" w:space="0" w:color="auto"/>
            </w:tcBorders>
            <w:shd w:val="clear" w:color="auto" w:fill="FFFFFF"/>
          </w:tcPr>
          <w:p w14:paraId="14021222" w14:textId="77777777" w:rsidR="0078100D" w:rsidRPr="001B6E4D" w:rsidRDefault="0078100D" w:rsidP="003D1018">
            <w:pPr>
              <w:overflowPunct w:val="0"/>
              <w:spacing w:line="260" w:lineRule="exact"/>
              <w:jc w:val="center"/>
              <w:rPr>
                <w:rFonts w:ascii="標楷體" w:eastAsia="標楷體" w:hAnsi="標楷體"/>
                <w:color w:val="000000" w:themeColor="text1"/>
              </w:rPr>
            </w:pPr>
          </w:p>
        </w:tc>
        <w:tc>
          <w:tcPr>
            <w:tcW w:w="461" w:type="pct"/>
            <w:vMerge/>
            <w:tcBorders>
              <w:left w:val="single" w:sz="18" w:space="0" w:color="auto"/>
              <w:bottom w:val="single" w:sz="18" w:space="0" w:color="auto"/>
              <w:right w:val="single" w:sz="18" w:space="0" w:color="auto"/>
            </w:tcBorders>
            <w:shd w:val="clear" w:color="auto" w:fill="FFFFFF"/>
          </w:tcPr>
          <w:p w14:paraId="2E7E6603" w14:textId="77777777" w:rsidR="0078100D" w:rsidRPr="001B6E4D" w:rsidRDefault="0078100D" w:rsidP="003D1018">
            <w:pPr>
              <w:overflowPunct w:val="0"/>
              <w:spacing w:line="260" w:lineRule="exact"/>
              <w:jc w:val="center"/>
              <w:rPr>
                <w:rFonts w:ascii="標楷體" w:eastAsia="標楷體" w:hAnsi="標楷體"/>
                <w:color w:val="000000" w:themeColor="text1"/>
              </w:rPr>
            </w:pPr>
          </w:p>
        </w:tc>
      </w:tr>
      <w:tr w:rsidR="00F06A61" w:rsidRPr="001B6E4D" w14:paraId="4F0B6342" w14:textId="77777777" w:rsidTr="00F06A61">
        <w:trPr>
          <w:trHeight w:val="510"/>
          <w:jc w:val="center"/>
        </w:trPr>
        <w:tc>
          <w:tcPr>
            <w:tcW w:w="238" w:type="pct"/>
            <w:vMerge w:val="restart"/>
            <w:tcBorders>
              <w:top w:val="single" w:sz="12" w:space="0" w:color="auto"/>
              <w:left w:val="single" w:sz="18" w:space="0" w:color="auto"/>
              <w:bottom w:val="single" w:sz="18" w:space="0" w:color="auto"/>
              <w:right w:val="single" w:sz="4" w:space="0" w:color="auto"/>
            </w:tcBorders>
            <w:shd w:val="clear" w:color="auto" w:fill="FFFFFF"/>
            <w:vAlign w:val="center"/>
          </w:tcPr>
          <w:p w14:paraId="54F8CCB6" w14:textId="77777777" w:rsidR="0078100D" w:rsidRPr="001B6E4D" w:rsidRDefault="0078100D" w:rsidP="003D1018">
            <w:pPr>
              <w:overflowPunct w:val="0"/>
              <w:spacing w:line="360" w:lineRule="exact"/>
              <w:jc w:val="center"/>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院</w:t>
            </w:r>
          </w:p>
          <w:p w14:paraId="67D23489" w14:textId="77777777" w:rsidR="0078100D" w:rsidRPr="001B6E4D" w:rsidRDefault="0078100D" w:rsidP="003D1018">
            <w:pPr>
              <w:overflowPunct w:val="0"/>
              <w:spacing w:line="360" w:lineRule="exact"/>
              <w:jc w:val="center"/>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會</w:t>
            </w:r>
          </w:p>
          <w:p w14:paraId="0636647C" w14:textId="77777777" w:rsidR="0078100D" w:rsidRPr="001B6E4D" w:rsidRDefault="0078100D" w:rsidP="003D1018">
            <w:pPr>
              <w:overflowPunct w:val="0"/>
              <w:spacing w:line="360" w:lineRule="exact"/>
              <w:jc w:val="center"/>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交</w:t>
            </w:r>
          </w:p>
          <w:p w14:paraId="6FB98E0F" w14:textId="77777777" w:rsidR="0078100D" w:rsidRPr="001B6E4D" w:rsidRDefault="0078100D" w:rsidP="003D1018">
            <w:pPr>
              <w:overflowPunct w:val="0"/>
              <w:spacing w:line="360" w:lineRule="exact"/>
              <w:jc w:val="center"/>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付</w:t>
            </w:r>
          </w:p>
          <w:p w14:paraId="3C8BCB50" w14:textId="77777777" w:rsidR="0078100D" w:rsidRPr="001B6E4D" w:rsidRDefault="0078100D" w:rsidP="003D1018">
            <w:pPr>
              <w:overflowPunct w:val="0"/>
              <w:spacing w:line="360" w:lineRule="exact"/>
              <w:jc w:val="center"/>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審</w:t>
            </w:r>
          </w:p>
          <w:p w14:paraId="5A038B43" w14:textId="77777777" w:rsidR="0078100D" w:rsidRPr="001B6E4D" w:rsidRDefault="0078100D" w:rsidP="003D1018">
            <w:pPr>
              <w:overflowPunct w:val="0"/>
              <w:spacing w:line="360" w:lineRule="exact"/>
              <w:jc w:val="center"/>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查</w:t>
            </w:r>
          </w:p>
          <w:p w14:paraId="550262F4" w14:textId="77777777" w:rsidR="0078100D" w:rsidRPr="001B6E4D" w:rsidRDefault="0078100D" w:rsidP="003D1018">
            <w:pPr>
              <w:overflowPunct w:val="0"/>
              <w:spacing w:line="360" w:lineRule="exact"/>
              <w:jc w:val="center"/>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及</w:t>
            </w:r>
          </w:p>
          <w:p w14:paraId="579B0DC5" w14:textId="77777777" w:rsidR="0078100D" w:rsidRPr="001B6E4D" w:rsidRDefault="0078100D" w:rsidP="003D1018">
            <w:pPr>
              <w:overflowPunct w:val="0"/>
              <w:spacing w:line="360" w:lineRule="exact"/>
              <w:jc w:val="center"/>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處</w:t>
            </w:r>
          </w:p>
          <w:p w14:paraId="726C2451" w14:textId="77777777" w:rsidR="0078100D" w:rsidRPr="001B6E4D" w:rsidRDefault="0078100D" w:rsidP="003D1018">
            <w:pPr>
              <w:overflowPunct w:val="0"/>
              <w:spacing w:line="360" w:lineRule="exact"/>
              <w:jc w:val="center"/>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理</w:t>
            </w:r>
          </w:p>
        </w:tc>
        <w:tc>
          <w:tcPr>
            <w:tcW w:w="986" w:type="pct"/>
            <w:tcBorders>
              <w:top w:val="single" w:sz="12" w:space="0" w:color="auto"/>
              <w:left w:val="single" w:sz="4" w:space="0" w:color="auto"/>
              <w:right w:val="single" w:sz="18" w:space="0" w:color="auto"/>
            </w:tcBorders>
            <w:shd w:val="clear" w:color="auto" w:fill="FFFFFF"/>
            <w:vAlign w:val="center"/>
          </w:tcPr>
          <w:p w14:paraId="39BA2AE4" w14:textId="77777777" w:rsidR="0078100D" w:rsidRPr="001B6E4D" w:rsidRDefault="0078100D" w:rsidP="003D1018">
            <w:pPr>
              <w:overflowPunct w:val="0"/>
              <w:spacing w:line="360" w:lineRule="exact"/>
              <w:ind w:leftChars="-55" w:left="-22" w:hangingChars="55" w:hanging="110"/>
              <w:jc w:val="both"/>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［一］法律案</w:t>
            </w:r>
          </w:p>
        </w:tc>
        <w:tc>
          <w:tcPr>
            <w:tcW w:w="286" w:type="pct"/>
            <w:tcBorders>
              <w:top w:val="single" w:sz="12" w:space="0" w:color="auto"/>
              <w:left w:val="single" w:sz="18" w:space="0" w:color="auto"/>
              <w:right w:val="dashed" w:sz="4" w:space="0" w:color="auto"/>
            </w:tcBorders>
            <w:shd w:val="clear" w:color="auto" w:fill="FFFFFF"/>
            <w:vAlign w:val="center"/>
          </w:tcPr>
          <w:p w14:paraId="360C4339" w14:textId="2AA078C5" w:rsidR="0078100D" w:rsidRPr="001B6E4D" w:rsidRDefault="00A60057"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color w:val="000000" w:themeColor="text1"/>
                <w:spacing w:val="-20"/>
              </w:rPr>
              <w:t>63</w:t>
            </w:r>
          </w:p>
        </w:tc>
        <w:tc>
          <w:tcPr>
            <w:tcW w:w="282" w:type="pct"/>
            <w:tcBorders>
              <w:top w:val="single" w:sz="12" w:space="0" w:color="auto"/>
              <w:left w:val="dashed" w:sz="4" w:space="0" w:color="auto"/>
              <w:right w:val="dashed" w:sz="4" w:space="0" w:color="auto"/>
            </w:tcBorders>
            <w:shd w:val="clear" w:color="auto" w:fill="FFFFFF"/>
            <w:vAlign w:val="center"/>
          </w:tcPr>
          <w:p w14:paraId="0F7BA5BF" w14:textId="51C91A6D" w:rsidR="0078100D" w:rsidRPr="001B6E4D" w:rsidRDefault="008613C3"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205</w:t>
            </w:r>
          </w:p>
        </w:tc>
        <w:tc>
          <w:tcPr>
            <w:tcW w:w="282" w:type="pct"/>
            <w:tcBorders>
              <w:top w:val="single" w:sz="12" w:space="0" w:color="auto"/>
              <w:left w:val="dashed" w:sz="4" w:space="0" w:color="auto"/>
              <w:right w:val="dashed" w:sz="4" w:space="0" w:color="auto"/>
            </w:tcBorders>
            <w:shd w:val="clear" w:color="auto" w:fill="FFFFFF"/>
            <w:vAlign w:val="center"/>
          </w:tcPr>
          <w:p w14:paraId="1592412B" w14:textId="0AE4C767" w:rsidR="0078100D" w:rsidRPr="001B6E4D" w:rsidRDefault="00352968"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55</w:t>
            </w:r>
          </w:p>
        </w:tc>
        <w:tc>
          <w:tcPr>
            <w:tcW w:w="314" w:type="pct"/>
            <w:tcBorders>
              <w:top w:val="single" w:sz="12" w:space="0" w:color="auto"/>
              <w:left w:val="dashed" w:sz="4" w:space="0" w:color="auto"/>
              <w:right w:val="dashed" w:sz="4" w:space="0" w:color="auto"/>
            </w:tcBorders>
            <w:shd w:val="clear" w:color="auto" w:fill="FFFFFF"/>
            <w:vAlign w:val="center"/>
          </w:tcPr>
          <w:p w14:paraId="26DACB9D" w14:textId="70DD8E67" w:rsidR="0078100D" w:rsidRPr="001B6E4D" w:rsidRDefault="00FC3E25"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80</w:t>
            </w:r>
          </w:p>
        </w:tc>
        <w:tc>
          <w:tcPr>
            <w:tcW w:w="308" w:type="pct"/>
            <w:tcBorders>
              <w:top w:val="single" w:sz="12" w:space="0" w:color="auto"/>
              <w:left w:val="dashed" w:sz="4" w:space="0" w:color="auto"/>
              <w:bottom w:val="single" w:sz="4" w:space="0" w:color="auto"/>
              <w:right w:val="dashed" w:sz="4" w:space="0" w:color="auto"/>
            </w:tcBorders>
            <w:shd w:val="clear" w:color="auto" w:fill="FFFFFF"/>
            <w:vAlign w:val="center"/>
          </w:tcPr>
          <w:p w14:paraId="32C21A55" w14:textId="43830070" w:rsidR="0078100D" w:rsidRPr="001B6E4D" w:rsidRDefault="00CB447B"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193</w:t>
            </w:r>
          </w:p>
        </w:tc>
        <w:tc>
          <w:tcPr>
            <w:tcW w:w="232" w:type="pct"/>
            <w:tcBorders>
              <w:top w:val="single" w:sz="12" w:space="0" w:color="auto"/>
              <w:left w:val="dashed" w:sz="4" w:space="0" w:color="auto"/>
              <w:bottom w:val="single" w:sz="4" w:space="0" w:color="auto"/>
              <w:right w:val="dashed" w:sz="4" w:space="0" w:color="auto"/>
            </w:tcBorders>
            <w:shd w:val="clear" w:color="auto" w:fill="FFFFFF"/>
            <w:vAlign w:val="center"/>
          </w:tcPr>
          <w:p w14:paraId="5B78EF9E"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231" w:type="pct"/>
            <w:tcBorders>
              <w:top w:val="single" w:sz="12" w:space="0" w:color="auto"/>
              <w:left w:val="dashed" w:sz="4" w:space="0" w:color="auto"/>
              <w:bottom w:val="single" w:sz="4" w:space="0" w:color="auto"/>
              <w:right w:val="dashed" w:sz="4" w:space="0" w:color="auto"/>
            </w:tcBorders>
            <w:shd w:val="clear" w:color="auto" w:fill="FFFFFF"/>
            <w:vAlign w:val="center"/>
          </w:tcPr>
          <w:p w14:paraId="498D57D7"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233" w:type="pct"/>
            <w:tcBorders>
              <w:top w:val="single" w:sz="12" w:space="0" w:color="auto"/>
              <w:left w:val="dashed" w:sz="4" w:space="0" w:color="auto"/>
              <w:bottom w:val="single" w:sz="4" w:space="0" w:color="auto"/>
              <w:right w:val="dashed" w:sz="4" w:space="0" w:color="auto"/>
            </w:tcBorders>
            <w:shd w:val="clear" w:color="auto" w:fill="FFFFFF"/>
            <w:vAlign w:val="center"/>
          </w:tcPr>
          <w:p w14:paraId="4E6FABF8" w14:textId="77777777" w:rsidR="0078100D" w:rsidRPr="001B6E4D" w:rsidRDefault="0078100D" w:rsidP="003D1018">
            <w:pPr>
              <w:overflowPunct w:val="0"/>
              <w:jc w:val="center"/>
              <w:rPr>
                <w:rFonts w:ascii="標楷體" w:eastAsia="標楷體" w:hAnsi="標楷體" w:cs="新細明體"/>
                <w:color w:val="000000" w:themeColor="text1"/>
                <w:spacing w:val="-20"/>
                <w:shd w:val="pct15" w:color="auto" w:fill="FFFFFF"/>
              </w:rPr>
            </w:pPr>
          </w:p>
        </w:tc>
        <w:tc>
          <w:tcPr>
            <w:tcW w:w="307" w:type="pct"/>
            <w:tcBorders>
              <w:top w:val="single" w:sz="12" w:space="0" w:color="auto"/>
              <w:left w:val="dashed" w:sz="4" w:space="0" w:color="auto"/>
              <w:bottom w:val="single" w:sz="4" w:space="0" w:color="auto"/>
              <w:right w:val="single" w:sz="4" w:space="0" w:color="auto"/>
            </w:tcBorders>
            <w:shd w:val="clear" w:color="auto" w:fill="FFFFFF"/>
            <w:vAlign w:val="center"/>
          </w:tcPr>
          <w:p w14:paraId="2D253345" w14:textId="28D00AEA" w:rsidR="0078100D" w:rsidRPr="001B6E4D" w:rsidRDefault="00CB447B"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138</w:t>
            </w:r>
          </w:p>
        </w:tc>
        <w:tc>
          <w:tcPr>
            <w:tcW w:w="376" w:type="pct"/>
            <w:tcBorders>
              <w:top w:val="single" w:sz="12" w:space="0" w:color="auto"/>
              <w:left w:val="single" w:sz="4" w:space="0" w:color="auto"/>
              <w:right w:val="single" w:sz="12" w:space="0" w:color="auto"/>
            </w:tcBorders>
            <w:shd w:val="clear" w:color="auto" w:fill="FFFFFF"/>
            <w:vAlign w:val="center"/>
          </w:tcPr>
          <w:p w14:paraId="072CA04F" w14:textId="624CF346" w:rsidR="0078100D" w:rsidRPr="001B6E4D" w:rsidRDefault="00CB447B"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734</w:t>
            </w:r>
          </w:p>
        </w:tc>
        <w:tc>
          <w:tcPr>
            <w:tcW w:w="465" w:type="pct"/>
            <w:tcBorders>
              <w:top w:val="single" w:sz="12" w:space="0" w:color="auto"/>
              <w:left w:val="single" w:sz="12" w:space="0" w:color="auto"/>
              <w:right w:val="single" w:sz="18" w:space="0" w:color="auto"/>
            </w:tcBorders>
            <w:shd w:val="clear" w:color="auto" w:fill="FFFFFF"/>
            <w:vAlign w:val="center"/>
          </w:tcPr>
          <w:p w14:paraId="560E99B1" w14:textId="3CAE897C" w:rsidR="0078100D" w:rsidRPr="001B6E4D" w:rsidRDefault="00CB447B"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947</w:t>
            </w:r>
          </w:p>
        </w:tc>
        <w:tc>
          <w:tcPr>
            <w:tcW w:w="461" w:type="pct"/>
            <w:tcBorders>
              <w:top w:val="single" w:sz="12" w:space="0" w:color="auto"/>
              <w:left w:val="single" w:sz="18" w:space="0" w:color="auto"/>
              <w:right w:val="single" w:sz="18" w:space="0" w:color="auto"/>
            </w:tcBorders>
            <w:shd w:val="clear" w:color="auto" w:fill="FFFFFF"/>
            <w:vAlign w:val="center"/>
          </w:tcPr>
          <w:p w14:paraId="092AEE7A" w14:textId="76716D26" w:rsidR="0078100D" w:rsidRPr="001B6E4D" w:rsidRDefault="00EA4A3E"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1</w:t>
            </w:r>
            <w:r w:rsidR="00E77595" w:rsidRPr="001B6E4D">
              <w:rPr>
                <w:rFonts w:ascii="標楷體" w:eastAsia="標楷體" w:hAnsi="標楷體" w:cs="新細明體"/>
                <w:color w:val="000000" w:themeColor="text1"/>
              </w:rPr>
              <w:t>,</w:t>
            </w:r>
            <w:r w:rsidR="00E77595" w:rsidRPr="001B6E4D">
              <w:rPr>
                <w:rFonts w:ascii="標楷體" w:eastAsia="標楷體" w:hAnsi="標楷體" w:cs="新細明體" w:hint="eastAsia"/>
                <w:color w:val="000000" w:themeColor="text1"/>
              </w:rPr>
              <w:t>6</w:t>
            </w:r>
            <w:r w:rsidRPr="001B6E4D">
              <w:rPr>
                <w:rFonts w:ascii="標楷體" w:eastAsia="標楷體" w:hAnsi="標楷體" w:cs="新細明體" w:hint="eastAsia"/>
                <w:color w:val="000000" w:themeColor="text1"/>
              </w:rPr>
              <w:t>8</w:t>
            </w:r>
            <w:r w:rsidR="00E77595" w:rsidRPr="001B6E4D">
              <w:rPr>
                <w:rFonts w:ascii="標楷體" w:eastAsia="標楷體" w:hAnsi="標楷體" w:cs="新細明體" w:hint="eastAsia"/>
                <w:color w:val="000000" w:themeColor="text1"/>
              </w:rPr>
              <w:t>1</w:t>
            </w:r>
          </w:p>
        </w:tc>
      </w:tr>
      <w:tr w:rsidR="00F06A61" w:rsidRPr="001B6E4D" w14:paraId="1B46C525" w14:textId="77777777" w:rsidTr="00F06A61">
        <w:trPr>
          <w:trHeight w:val="510"/>
          <w:jc w:val="center"/>
        </w:trPr>
        <w:tc>
          <w:tcPr>
            <w:tcW w:w="238" w:type="pct"/>
            <w:vMerge/>
            <w:tcBorders>
              <w:left w:val="single" w:sz="18" w:space="0" w:color="auto"/>
              <w:bottom w:val="single" w:sz="18" w:space="0" w:color="auto"/>
              <w:right w:val="single" w:sz="4" w:space="0" w:color="auto"/>
            </w:tcBorders>
            <w:shd w:val="clear" w:color="auto" w:fill="FFFFFF"/>
          </w:tcPr>
          <w:p w14:paraId="02EBC9E0" w14:textId="77777777" w:rsidR="0078100D" w:rsidRPr="001B6E4D" w:rsidRDefault="0078100D" w:rsidP="003D1018">
            <w:pPr>
              <w:overflowPunct w:val="0"/>
              <w:spacing w:line="360" w:lineRule="exact"/>
              <w:ind w:leftChars="-55" w:left="-22" w:hangingChars="55" w:hanging="110"/>
              <w:jc w:val="both"/>
              <w:rPr>
                <w:rFonts w:ascii="標楷體" w:eastAsia="標楷體" w:hAnsi="標楷體" w:cs="Mangal"/>
                <w:bCs/>
                <w:color w:val="000000" w:themeColor="text1"/>
                <w:spacing w:val="-20"/>
              </w:rPr>
            </w:pPr>
          </w:p>
        </w:tc>
        <w:tc>
          <w:tcPr>
            <w:tcW w:w="986" w:type="pct"/>
            <w:tcBorders>
              <w:left w:val="single" w:sz="4" w:space="0" w:color="auto"/>
              <w:right w:val="single" w:sz="18" w:space="0" w:color="auto"/>
            </w:tcBorders>
            <w:shd w:val="clear" w:color="auto" w:fill="FFFFFF"/>
            <w:vAlign w:val="center"/>
          </w:tcPr>
          <w:p w14:paraId="2AAC4342" w14:textId="77777777" w:rsidR="0078100D" w:rsidRPr="001B6E4D" w:rsidRDefault="0078100D" w:rsidP="003D1018">
            <w:pPr>
              <w:overflowPunct w:val="0"/>
              <w:spacing w:line="360" w:lineRule="exact"/>
              <w:ind w:leftChars="-55" w:left="-22" w:hangingChars="55" w:hanging="110"/>
              <w:jc w:val="both"/>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［二］</w:t>
            </w:r>
            <w:r w:rsidRPr="001B6E4D">
              <w:rPr>
                <w:rFonts w:ascii="標楷體" w:eastAsia="標楷體" w:hAnsi="標楷體" w:cs="Mangal" w:hint="eastAsia"/>
                <w:bCs/>
                <w:color w:val="000000" w:themeColor="text1"/>
                <w:spacing w:val="-20"/>
                <w:w w:val="90"/>
              </w:rPr>
              <w:t>預（決）算案</w:t>
            </w:r>
          </w:p>
        </w:tc>
        <w:tc>
          <w:tcPr>
            <w:tcW w:w="286" w:type="pct"/>
            <w:tcBorders>
              <w:left w:val="single" w:sz="18" w:space="0" w:color="auto"/>
              <w:bottom w:val="single" w:sz="4" w:space="0" w:color="auto"/>
              <w:right w:val="dashed" w:sz="4" w:space="0" w:color="auto"/>
            </w:tcBorders>
            <w:shd w:val="clear" w:color="auto" w:fill="FFFFFF"/>
            <w:vAlign w:val="center"/>
          </w:tcPr>
          <w:p w14:paraId="2D9D0D40" w14:textId="1C07AE27" w:rsidR="0078100D" w:rsidRPr="001B6E4D" w:rsidRDefault="00A60057"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2</w:t>
            </w:r>
            <w:r w:rsidRPr="001B6E4D">
              <w:rPr>
                <w:rFonts w:ascii="標楷體" w:eastAsia="標楷體" w:hAnsi="標楷體" w:cs="新細明體"/>
                <w:color w:val="000000" w:themeColor="text1"/>
                <w:spacing w:val="-20"/>
              </w:rPr>
              <w:t>0</w:t>
            </w:r>
          </w:p>
        </w:tc>
        <w:tc>
          <w:tcPr>
            <w:tcW w:w="282" w:type="pct"/>
            <w:tcBorders>
              <w:left w:val="dashed" w:sz="4" w:space="0" w:color="auto"/>
              <w:bottom w:val="single" w:sz="4" w:space="0" w:color="auto"/>
              <w:right w:val="dashed" w:sz="4" w:space="0" w:color="auto"/>
            </w:tcBorders>
            <w:shd w:val="clear" w:color="auto" w:fill="FFFFFF"/>
            <w:vAlign w:val="center"/>
          </w:tcPr>
          <w:p w14:paraId="7D122BA9" w14:textId="6DEF3AE1" w:rsidR="0078100D" w:rsidRPr="001B6E4D" w:rsidRDefault="008613C3"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117</w:t>
            </w:r>
          </w:p>
        </w:tc>
        <w:tc>
          <w:tcPr>
            <w:tcW w:w="282" w:type="pct"/>
            <w:tcBorders>
              <w:left w:val="dashed" w:sz="4" w:space="0" w:color="auto"/>
              <w:bottom w:val="single" w:sz="4" w:space="0" w:color="auto"/>
              <w:right w:val="dashed" w:sz="4" w:space="0" w:color="auto"/>
            </w:tcBorders>
            <w:shd w:val="clear" w:color="auto" w:fill="FFFFFF"/>
            <w:vAlign w:val="center"/>
          </w:tcPr>
          <w:p w14:paraId="3D21E350" w14:textId="0F54F7FD" w:rsidR="0078100D" w:rsidRPr="001B6E4D" w:rsidRDefault="00352968"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58</w:t>
            </w:r>
          </w:p>
        </w:tc>
        <w:tc>
          <w:tcPr>
            <w:tcW w:w="314" w:type="pct"/>
            <w:tcBorders>
              <w:left w:val="dashed" w:sz="4" w:space="0" w:color="auto"/>
              <w:bottom w:val="single" w:sz="4" w:space="0" w:color="auto"/>
              <w:right w:val="dashed" w:sz="4" w:space="0" w:color="auto"/>
            </w:tcBorders>
            <w:shd w:val="clear" w:color="auto" w:fill="FFFFFF"/>
            <w:vAlign w:val="center"/>
          </w:tcPr>
          <w:p w14:paraId="581A43B6" w14:textId="4DBDA218" w:rsidR="0078100D" w:rsidRPr="001B6E4D" w:rsidRDefault="00FC3E25"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31</w:t>
            </w:r>
          </w:p>
        </w:tc>
        <w:tc>
          <w:tcPr>
            <w:tcW w:w="308" w:type="pct"/>
            <w:tcBorders>
              <w:left w:val="dashed" w:sz="4" w:space="0" w:color="auto"/>
              <w:bottom w:val="single" w:sz="4" w:space="0" w:color="auto"/>
              <w:right w:val="dashed" w:sz="4" w:space="0" w:color="auto"/>
            </w:tcBorders>
            <w:shd w:val="clear" w:color="auto" w:fill="FFFFFF"/>
            <w:vAlign w:val="center"/>
          </w:tcPr>
          <w:p w14:paraId="02A47A2F" w14:textId="3A1235E1" w:rsidR="0078100D" w:rsidRPr="001B6E4D" w:rsidRDefault="00CB447B"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3</w:t>
            </w:r>
          </w:p>
        </w:tc>
        <w:tc>
          <w:tcPr>
            <w:tcW w:w="232" w:type="pct"/>
            <w:tcBorders>
              <w:left w:val="dashed" w:sz="4" w:space="0" w:color="auto"/>
              <w:bottom w:val="single" w:sz="4" w:space="0" w:color="auto"/>
              <w:right w:val="dashed" w:sz="4" w:space="0" w:color="auto"/>
            </w:tcBorders>
            <w:shd w:val="clear" w:color="auto" w:fill="FFFFFF"/>
            <w:vAlign w:val="center"/>
          </w:tcPr>
          <w:p w14:paraId="7AF0011D"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231" w:type="pct"/>
            <w:tcBorders>
              <w:left w:val="dashed" w:sz="4" w:space="0" w:color="auto"/>
              <w:bottom w:val="single" w:sz="4" w:space="0" w:color="auto"/>
              <w:right w:val="dashed" w:sz="4" w:space="0" w:color="auto"/>
            </w:tcBorders>
            <w:shd w:val="clear" w:color="auto" w:fill="FFFFFF"/>
            <w:vAlign w:val="center"/>
          </w:tcPr>
          <w:p w14:paraId="64679D89"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233" w:type="pct"/>
            <w:tcBorders>
              <w:left w:val="dashed" w:sz="4" w:space="0" w:color="auto"/>
              <w:bottom w:val="single" w:sz="4" w:space="0" w:color="auto"/>
              <w:right w:val="dashed" w:sz="4" w:space="0" w:color="auto"/>
            </w:tcBorders>
            <w:shd w:val="clear" w:color="auto" w:fill="FFFFFF"/>
            <w:vAlign w:val="center"/>
          </w:tcPr>
          <w:p w14:paraId="7613862E" w14:textId="77777777" w:rsidR="0078100D" w:rsidRPr="001B6E4D" w:rsidRDefault="0078100D" w:rsidP="003D1018">
            <w:pPr>
              <w:overflowPunct w:val="0"/>
              <w:jc w:val="center"/>
              <w:rPr>
                <w:rFonts w:ascii="標楷體" w:eastAsia="標楷體" w:hAnsi="標楷體" w:cs="新細明體"/>
                <w:color w:val="000000" w:themeColor="text1"/>
                <w:spacing w:val="-20"/>
                <w:shd w:val="pct15" w:color="auto" w:fill="FFFFFF"/>
              </w:rPr>
            </w:pPr>
          </w:p>
        </w:tc>
        <w:tc>
          <w:tcPr>
            <w:tcW w:w="307" w:type="pct"/>
            <w:tcBorders>
              <w:left w:val="dashed" w:sz="4" w:space="0" w:color="auto"/>
              <w:bottom w:val="single" w:sz="4" w:space="0" w:color="auto"/>
              <w:right w:val="single" w:sz="4" w:space="0" w:color="auto"/>
            </w:tcBorders>
            <w:shd w:val="clear" w:color="auto" w:fill="FFFFFF"/>
            <w:vAlign w:val="center"/>
          </w:tcPr>
          <w:p w14:paraId="660F84C0" w14:textId="2FC38140" w:rsidR="0078100D" w:rsidRPr="001B6E4D" w:rsidRDefault="00CB447B"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4</w:t>
            </w:r>
          </w:p>
        </w:tc>
        <w:tc>
          <w:tcPr>
            <w:tcW w:w="376" w:type="pct"/>
            <w:tcBorders>
              <w:left w:val="single" w:sz="4" w:space="0" w:color="auto"/>
              <w:bottom w:val="single" w:sz="4" w:space="0" w:color="auto"/>
              <w:right w:val="single" w:sz="12" w:space="0" w:color="auto"/>
            </w:tcBorders>
            <w:shd w:val="clear" w:color="auto" w:fill="FFFFFF"/>
            <w:vAlign w:val="center"/>
          </w:tcPr>
          <w:p w14:paraId="7C64A545" w14:textId="30AF50F1" w:rsidR="0078100D" w:rsidRPr="001B6E4D" w:rsidRDefault="00CB447B"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233</w:t>
            </w:r>
          </w:p>
        </w:tc>
        <w:tc>
          <w:tcPr>
            <w:tcW w:w="465" w:type="pct"/>
            <w:tcBorders>
              <w:left w:val="single" w:sz="12" w:space="0" w:color="auto"/>
              <w:bottom w:val="single" w:sz="4" w:space="0" w:color="auto"/>
              <w:right w:val="single" w:sz="18" w:space="0" w:color="auto"/>
            </w:tcBorders>
            <w:shd w:val="clear" w:color="auto" w:fill="FFFFFF"/>
            <w:vAlign w:val="center"/>
          </w:tcPr>
          <w:p w14:paraId="3C253B02" w14:textId="1481BFB5" w:rsidR="0078100D" w:rsidRPr="001B6E4D" w:rsidRDefault="00CB447B"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132</w:t>
            </w:r>
          </w:p>
        </w:tc>
        <w:tc>
          <w:tcPr>
            <w:tcW w:w="461" w:type="pct"/>
            <w:tcBorders>
              <w:left w:val="single" w:sz="18" w:space="0" w:color="auto"/>
              <w:bottom w:val="single" w:sz="4" w:space="0" w:color="auto"/>
              <w:right w:val="single" w:sz="18" w:space="0" w:color="auto"/>
            </w:tcBorders>
            <w:shd w:val="clear" w:color="auto" w:fill="FFFFFF"/>
            <w:vAlign w:val="center"/>
          </w:tcPr>
          <w:p w14:paraId="7B5587C7" w14:textId="43B2012B" w:rsidR="0078100D" w:rsidRPr="001B6E4D" w:rsidRDefault="0064577B"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36</w:t>
            </w:r>
            <w:r w:rsidR="00E77595" w:rsidRPr="001B6E4D">
              <w:rPr>
                <w:rFonts w:ascii="標楷體" w:eastAsia="標楷體" w:hAnsi="標楷體" w:cs="新細明體"/>
                <w:color w:val="000000" w:themeColor="text1"/>
              </w:rPr>
              <w:t>5</w:t>
            </w:r>
          </w:p>
        </w:tc>
      </w:tr>
      <w:tr w:rsidR="00F06A61" w:rsidRPr="001B6E4D" w14:paraId="36235777" w14:textId="77777777" w:rsidTr="00F06A61">
        <w:trPr>
          <w:trHeight w:val="510"/>
          <w:jc w:val="center"/>
        </w:trPr>
        <w:tc>
          <w:tcPr>
            <w:tcW w:w="238" w:type="pct"/>
            <w:vMerge/>
            <w:tcBorders>
              <w:left w:val="single" w:sz="18" w:space="0" w:color="auto"/>
              <w:bottom w:val="single" w:sz="18" w:space="0" w:color="auto"/>
              <w:right w:val="single" w:sz="4" w:space="0" w:color="auto"/>
            </w:tcBorders>
            <w:shd w:val="clear" w:color="auto" w:fill="FFFFFF"/>
          </w:tcPr>
          <w:p w14:paraId="0505ECFE" w14:textId="77777777" w:rsidR="0078100D" w:rsidRPr="001B6E4D" w:rsidRDefault="0078100D" w:rsidP="003D1018">
            <w:pPr>
              <w:overflowPunct w:val="0"/>
              <w:spacing w:line="360" w:lineRule="exact"/>
              <w:ind w:leftChars="-55" w:left="-22" w:hangingChars="55" w:hanging="110"/>
              <w:jc w:val="both"/>
              <w:rPr>
                <w:rFonts w:ascii="標楷體" w:eastAsia="標楷體" w:hAnsi="標楷體" w:cs="Mangal"/>
                <w:bCs/>
                <w:color w:val="000000" w:themeColor="text1"/>
                <w:spacing w:val="-20"/>
              </w:rPr>
            </w:pPr>
          </w:p>
        </w:tc>
        <w:tc>
          <w:tcPr>
            <w:tcW w:w="986" w:type="pct"/>
            <w:tcBorders>
              <w:left w:val="single" w:sz="4" w:space="0" w:color="auto"/>
              <w:right w:val="single" w:sz="18" w:space="0" w:color="auto"/>
            </w:tcBorders>
            <w:shd w:val="clear" w:color="auto" w:fill="FFFFFF"/>
            <w:vAlign w:val="center"/>
          </w:tcPr>
          <w:p w14:paraId="4F6189DD" w14:textId="77777777" w:rsidR="0078100D" w:rsidRPr="001B6E4D" w:rsidRDefault="0078100D" w:rsidP="003D1018">
            <w:pPr>
              <w:overflowPunct w:val="0"/>
              <w:spacing w:line="360" w:lineRule="exact"/>
              <w:ind w:leftChars="-55" w:left="-22" w:hangingChars="55" w:hanging="110"/>
              <w:jc w:val="both"/>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［三］條約案</w:t>
            </w:r>
          </w:p>
        </w:tc>
        <w:tc>
          <w:tcPr>
            <w:tcW w:w="286" w:type="pct"/>
            <w:tcBorders>
              <w:left w:val="single" w:sz="18" w:space="0" w:color="auto"/>
              <w:right w:val="dashed" w:sz="4" w:space="0" w:color="auto"/>
            </w:tcBorders>
            <w:shd w:val="clear" w:color="auto" w:fill="FFFFFF"/>
            <w:vAlign w:val="center"/>
          </w:tcPr>
          <w:p w14:paraId="6BF2C8F6" w14:textId="77777777" w:rsidR="0078100D" w:rsidRPr="001B6E4D" w:rsidRDefault="0078100D"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282" w:type="pct"/>
            <w:tcBorders>
              <w:left w:val="dashed" w:sz="4" w:space="0" w:color="auto"/>
              <w:right w:val="dashed" w:sz="4" w:space="0" w:color="auto"/>
            </w:tcBorders>
            <w:shd w:val="clear" w:color="auto" w:fill="FFFFFF"/>
            <w:vAlign w:val="center"/>
          </w:tcPr>
          <w:p w14:paraId="5C1471DD" w14:textId="6051C827" w:rsidR="0078100D" w:rsidRPr="001B6E4D" w:rsidRDefault="000A7DA0"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282" w:type="pct"/>
            <w:tcBorders>
              <w:left w:val="dashed" w:sz="4" w:space="0" w:color="auto"/>
              <w:right w:val="dashed" w:sz="4" w:space="0" w:color="auto"/>
            </w:tcBorders>
            <w:shd w:val="clear" w:color="auto" w:fill="FFFFFF"/>
            <w:vAlign w:val="center"/>
          </w:tcPr>
          <w:p w14:paraId="176105BA" w14:textId="49BA4F65" w:rsidR="0078100D" w:rsidRPr="001B6E4D" w:rsidRDefault="00352968"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314" w:type="pct"/>
            <w:tcBorders>
              <w:left w:val="dashed" w:sz="4" w:space="0" w:color="auto"/>
              <w:right w:val="dashed" w:sz="4" w:space="0" w:color="auto"/>
            </w:tcBorders>
            <w:shd w:val="clear" w:color="auto" w:fill="FFFFFF"/>
            <w:vAlign w:val="center"/>
          </w:tcPr>
          <w:p w14:paraId="00256D44" w14:textId="7F004942" w:rsidR="0078100D" w:rsidRPr="001B6E4D" w:rsidRDefault="00FC3E25"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308" w:type="pct"/>
            <w:tcBorders>
              <w:left w:val="dashed" w:sz="4" w:space="0" w:color="auto"/>
              <w:right w:val="dashed" w:sz="4" w:space="0" w:color="auto"/>
            </w:tcBorders>
            <w:shd w:val="clear" w:color="auto" w:fill="FFFFFF"/>
            <w:vAlign w:val="center"/>
          </w:tcPr>
          <w:p w14:paraId="36DD8220" w14:textId="67A9CD55" w:rsidR="0078100D" w:rsidRPr="001B6E4D" w:rsidRDefault="00CB447B"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232" w:type="pct"/>
            <w:tcBorders>
              <w:left w:val="dashed" w:sz="4" w:space="0" w:color="auto"/>
              <w:right w:val="dashed" w:sz="4" w:space="0" w:color="auto"/>
            </w:tcBorders>
            <w:shd w:val="clear" w:color="auto" w:fill="FFFFFF"/>
            <w:vAlign w:val="center"/>
          </w:tcPr>
          <w:p w14:paraId="6AD5D6D9"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231" w:type="pct"/>
            <w:tcBorders>
              <w:left w:val="dashed" w:sz="4" w:space="0" w:color="auto"/>
              <w:right w:val="dashed" w:sz="4" w:space="0" w:color="auto"/>
            </w:tcBorders>
            <w:shd w:val="clear" w:color="auto" w:fill="FFFFFF"/>
            <w:vAlign w:val="center"/>
          </w:tcPr>
          <w:p w14:paraId="28A0272A"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233" w:type="pct"/>
            <w:tcBorders>
              <w:left w:val="dashed" w:sz="4" w:space="0" w:color="auto"/>
              <w:right w:val="dashed" w:sz="4" w:space="0" w:color="auto"/>
            </w:tcBorders>
            <w:shd w:val="clear" w:color="auto" w:fill="FFFFFF"/>
            <w:vAlign w:val="center"/>
          </w:tcPr>
          <w:p w14:paraId="230B3221"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307" w:type="pct"/>
            <w:tcBorders>
              <w:left w:val="dashed" w:sz="4" w:space="0" w:color="auto"/>
              <w:right w:val="single" w:sz="4" w:space="0" w:color="auto"/>
            </w:tcBorders>
            <w:shd w:val="clear" w:color="auto" w:fill="FFFFFF"/>
            <w:vAlign w:val="center"/>
          </w:tcPr>
          <w:p w14:paraId="7F8ED47B" w14:textId="77777777" w:rsidR="0078100D" w:rsidRPr="001B6E4D" w:rsidRDefault="0078100D"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376" w:type="pct"/>
            <w:tcBorders>
              <w:left w:val="single" w:sz="4" w:space="0" w:color="auto"/>
              <w:right w:val="single" w:sz="12" w:space="0" w:color="auto"/>
            </w:tcBorders>
            <w:shd w:val="clear" w:color="auto" w:fill="FFFFFF"/>
            <w:vAlign w:val="center"/>
          </w:tcPr>
          <w:p w14:paraId="257A713D" w14:textId="77777777" w:rsidR="0078100D" w:rsidRPr="001B6E4D" w:rsidRDefault="0078100D"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0</w:t>
            </w:r>
          </w:p>
        </w:tc>
        <w:tc>
          <w:tcPr>
            <w:tcW w:w="465" w:type="pct"/>
            <w:tcBorders>
              <w:left w:val="single" w:sz="12" w:space="0" w:color="auto"/>
              <w:right w:val="single" w:sz="18" w:space="0" w:color="auto"/>
            </w:tcBorders>
            <w:shd w:val="clear" w:color="auto" w:fill="FFFFFF"/>
            <w:vAlign w:val="center"/>
          </w:tcPr>
          <w:p w14:paraId="6557030E" w14:textId="1D624331" w:rsidR="0078100D" w:rsidRPr="001B6E4D" w:rsidRDefault="00254294"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0</w:t>
            </w:r>
          </w:p>
        </w:tc>
        <w:tc>
          <w:tcPr>
            <w:tcW w:w="461" w:type="pct"/>
            <w:tcBorders>
              <w:left w:val="single" w:sz="18" w:space="0" w:color="auto"/>
              <w:right w:val="single" w:sz="18" w:space="0" w:color="auto"/>
            </w:tcBorders>
            <w:shd w:val="clear" w:color="auto" w:fill="FFFFFF"/>
            <w:vAlign w:val="center"/>
          </w:tcPr>
          <w:p w14:paraId="561D1E61" w14:textId="77777777" w:rsidR="0078100D" w:rsidRPr="001B6E4D" w:rsidRDefault="0078100D"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0</w:t>
            </w:r>
          </w:p>
        </w:tc>
      </w:tr>
      <w:tr w:rsidR="00F06A61" w:rsidRPr="001B6E4D" w14:paraId="689B6643" w14:textId="77777777" w:rsidTr="00F06A61">
        <w:trPr>
          <w:trHeight w:val="510"/>
          <w:jc w:val="center"/>
        </w:trPr>
        <w:tc>
          <w:tcPr>
            <w:tcW w:w="238" w:type="pct"/>
            <w:vMerge/>
            <w:tcBorders>
              <w:left w:val="single" w:sz="18" w:space="0" w:color="auto"/>
              <w:bottom w:val="single" w:sz="18" w:space="0" w:color="auto"/>
              <w:right w:val="single" w:sz="4" w:space="0" w:color="auto"/>
            </w:tcBorders>
            <w:shd w:val="clear" w:color="auto" w:fill="FFFFFF"/>
          </w:tcPr>
          <w:p w14:paraId="04DF3D1C" w14:textId="77777777" w:rsidR="0078100D" w:rsidRPr="001B6E4D" w:rsidRDefault="0078100D" w:rsidP="003D1018">
            <w:pPr>
              <w:overflowPunct w:val="0"/>
              <w:spacing w:line="360" w:lineRule="exact"/>
              <w:ind w:leftChars="-55" w:left="-22" w:hangingChars="55" w:hanging="110"/>
              <w:jc w:val="both"/>
              <w:rPr>
                <w:rFonts w:ascii="標楷體" w:eastAsia="標楷體" w:hAnsi="標楷體" w:cs="Mangal"/>
                <w:bCs/>
                <w:color w:val="000000" w:themeColor="text1"/>
                <w:spacing w:val="-20"/>
              </w:rPr>
            </w:pPr>
          </w:p>
        </w:tc>
        <w:tc>
          <w:tcPr>
            <w:tcW w:w="986" w:type="pct"/>
            <w:tcBorders>
              <w:left w:val="single" w:sz="4" w:space="0" w:color="auto"/>
              <w:right w:val="single" w:sz="18" w:space="0" w:color="auto"/>
            </w:tcBorders>
            <w:shd w:val="clear" w:color="auto" w:fill="FFFFFF"/>
            <w:vAlign w:val="center"/>
          </w:tcPr>
          <w:p w14:paraId="03381C97" w14:textId="77777777" w:rsidR="0078100D" w:rsidRPr="001B6E4D" w:rsidRDefault="0078100D" w:rsidP="003D1018">
            <w:pPr>
              <w:overflowPunct w:val="0"/>
              <w:spacing w:line="360" w:lineRule="exact"/>
              <w:ind w:leftChars="-55" w:left="-22" w:hangingChars="55" w:hanging="110"/>
              <w:jc w:val="both"/>
              <w:rPr>
                <w:rFonts w:ascii="標楷體" w:eastAsia="標楷體" w:hAnsi="標楷體" w:cs="Mangal"/>
                <w:bCs/>
                <w:color w:val="000000" w:themeColor="text1"/>
                <w:spacing w:val="-20"/>
              </w:rPr>
            </w:pPr>
            <w:r w:rsidRPr="001B6E4D">
              <w:rPr>
                <w:rFonts w:ascii="標楷體" w:eastAsia="標楷體" w:hAnsi="標楷體" w:cs="Mangal" w:hint="eastAsia"/>
                <w:bCs/>
                <w:color w:val="000000" w:themeColor="text1"/>
                <w:spacing w:val="-20"/>
              </w:rPr>
              <w:t>［四］行政命令案</w:t>
            </w:r>
          </w:p>
        </w:tc>
        <w:tc>
          <w:tcPr>
            <w:tcW w:w="286" w:type="pct"/>
            <w:tcBorders>
              <w:left w:val="single" w:sz="18" w:space="0" w:color="auto"/>
              <w:right w:val="dashed" w:sz="4" w:space="0" w:color="auto"/>
            </w:tcBorders>
            <w:shd w:val="clear" w:color="auto" w:fill="FFFFFF"/>
            <w:vAlign w:val="center"/>
          </w:tcPr>
          <w:p w14:paraId="1AAD6FED" w14:textId="3C314C28" w:rsidR="0078100D" w:rsidRPr="001B6E4D" w:rsidRDefault="0078100D"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1</w:t>
            </w:r>
            <w:r w:rsidR="00A60057" w:rsidRPr="001B6E4D">
              <w:rPr>
                <w:rFonts w:ascii="標楷體" w:eastAsia="標楷體" w:hAnsi="標楷體" w:cs="新細明體"/>
                <w:color w:val="000000" w:themeColor="text1"/>
                <w:spacing w:val="-20"/>
              </w:rPr>
              <w:t>3</w:t>
            </w:r>
          </w:p>
        </w:tc>
        <w:tc>
          <w:tcPr>
            <w:tcW w:w="282" w:type="pct"/>
            <w:tcBorders>
              <w:left w:val="dashed" w:sz="4" w:space="0" w:color="auto"/>
              <w:right w:val="dashed" w:sz="4" w:space="0" w:color="auto"/>
            </w:tcBorders>
            <w:shd w:val="clear" w:color="auto" w:fill="FFFFFF"/>
            <w:vAlign w:val="center"/>
          </w:tcPr>
          <w:p w14:paraId="0AAB8AE1" w14:textId="679BD546" w:rsidR="0078100D" w:rsidRPr="001B6E4D" w:rsidRDefault="000A7DA0"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1</w:t>
            </w:r>
          </w:p>
        </w:tc>
        <w:tc>
          <w:tcPr>
            <w:tcW w:w="282" w:type="pct"/>
            <w:tcBorders>
              <w:left w:val="dashed" w:sz="4" w:space="0" w:color="auto"/>
              <w:right w:val="dashed" w:sz="4" w:space="0" w:color="auto"/>
            </w:tcBorders>
            <w:shd w:val="clear" w:color="auto" w:fill="FFFFFF"/>
            <w:vAlign w:val="center"/>
          </w:tcPr>
          <w:p w14:paraId="71FB918F" w14:textId="0B84AF29" w:rsidR="0078100D" w:rsidRPr="001B6E4D" w:rsidRDefault="00352968"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7</w:t>
            </w:r>
          </w:p>
        </w:tc>
        <w:tc>
          <w:tcPr>
            <w:tcW w:w="314" w:type="pct"/>
            <w:tcBorders>
              <w:left w:val="dashed" w:sz="4" w:space="0" w:color="auto"/>
              <w:right w:val="dashed" w:sz="4" w:space="0" w:color="auto"/>
            </w:tcBorders>
            <w:shd w:val="clear" w:color="auto" w:fill="FFFFFF"/>
            <w:vAlign w:val="center"/>
          </w:tcPr>
          <w:p w14:paraId="5B0C0126" w14:textId="49076150" w:rsidR="0078100D" w:rsidRPr="001B6E4D" w:rsidRDefault="00FC3E25"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3</w:t>
            </w:r>
          </w:p>
        </w:tc>
        <w:tc>
          <w:tcPr>
            <w:tcW w:w="308" w:type="pct"/>
            <w:tcBorders>
              <w:left w:val="dashed" w:sz="4" w:space="0" w:color="auto"/>
              <w:right w:val="dashed" w:sz="4" w:space="0" w:color="auto"/>
            </w:tcBorders>
            <w:shd w:val="clear" w:color="auto" w:fill="FFFFFF"/>
            <w:vAlign w:val="center"/>
          </w:tcPr>
          <w:p w14:paraId="769505B6" w14:textId="7837127D" w:rsidR="0078100D" w:rsidRPr="001B6E4D" w:rsidRDefault="00CB447B"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4</w:t>
            </w:r>
          </w:p>
        </w:tc>
        <w:tc>
          <w:tcPr>
            <w:tcW w:w="232" w:type="pct"/>
            <w:tcBorders>
              <w:left w:val="dashed" w:sz="4" w:space="0" w:color="auto"/>
              <w:right w:val="dashed" w:sz="4" w:space="0" w:color="auto"/>
            </w:tcBorders>
            <w:shd w:val="clear" w:color="auto" w:fill="FFFFFF"/>
            <w:vAlign w:val="center"/>
          </w:tcPr>
          <w:p w14:paraId="4E09216F"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231" w:type="pct"/>
            <w:tcBorders>
              <w:left w:val="dashed" w:sz="4" w:space="0" w:color="auto"/>
              <w:right w:val="dashed" w:sz="4" w:space="0" w:color="auto"/>
            </w:tcBorders>
            <w:shd w:val="clear" w:color="auto" w:fill="FFFFFF"/>
            <w:vAlign w:val="center"/>
          </w:tcPr>
          <w:p w14:paraId="4F548527"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233" w:type="pct"/>
            <w:tcBorders>
              <w:left w:val="dashed" w:sz="4" w:space="0" w:color="auto"/>
              <w:right w:val="dashed" w:sz="4" w:space="0" w:color="auto"/>
            </w:tcBorders>
            <w:shd w:val="clear" w:color="auto" w:fill="FFFFFF"/>
            <w:vAlign w:val="center"/>
          </w:tcPr>
          <w:p w14:paraId="7884FD3C"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307" w:type="pct"/>
            <w:tcBorders>
              <w:left w:val="dashed" w:sz="4" w:space="0" w:color="auto"/>
              <w:right w:val="single" w:sz="4" w:space="0" w:color="auto"/>
            </w:tcBorders>
            <w:shd w:val="clear" w:color="auto" w:fill="FFFFFF"/>
            <w:vAlign w:val="center"/>
          </w:tcPr>
          <w:p w14:paraId="20F3DF5C" w14:textId="77777777" w:rsidR="0078100D" w:rsidRPr="001B6E4D" w:rsidRDefault="0078100D"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376" w:type="pct"/>
            <w:tcBorders>
              <w:left w:val="single" w:sz="4" w:space="0" w:color="auto"/>
              <w:right w:val="single" w:sz="12" w:space="0" w:color="auto"/>
            </w:tcBorders>
            <w:shd w:val="clear" w:color="auto" w:fill="FFFFFF"/>
            <w:vAlign w:val="center"/>
          </w:tcPr>
          <w:p w14:paraId="46CC89F0" w14:textId="6EF0849E" w:rsidR="0078100D" w:rsidRPr="001B6E4D" w:rsidRDefault="00E77595"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28</w:t>
            </w:r>
          </w:p>
        </w:tc>
        <w:tc>
          <w:tcPr>
            <w:tcW w:w="465" w:type="pct"/>
            <w:tcBorders>
              <w:left w:val="single" w:sz="12" w:space="0" w:color="auto"/>
              <w:right w:val="single" w:sz="18" w:space="0" w:color="auto"/>
            </w:tcBorders>
            <w:shd w:val="clear" w:color="auto" w:fill="FFFFFF"/>
            <w:vAlign w:val="center"/>
          </w:tcPr>
          <w:p w14:paraId="2FD49AE6" w14:textId="46F224E8" w:rsidR="0078100D" w:rsidRPr="001B6E4D" w:rsidRDefault="00CB447B"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3</w:t>
            </w:r>
          </w:p>
        </w:tc>
        <w:tc>
          <w:tcPr>
            <w:tcW w:w="461" w:type="pct"/>
            <w:tcBorders>
              <w:left w:val="single" w:sz="18" w:space="0" w:color="auto"/>
              <w:right w:val="single" w:sz="18" w:space="0" w:color="auto"/>
            </w:tcBorders>
            <w:shd w:val="clear" w:color="auto" w:fill="FFFFFF"/>
            <w:vAlign w:val="center"/>
          </w:tcPr>
          <w:p w14:paraId="0A4733D0" w14:textId="7E10E33F" w:rsidR="0078100D" w:rsidRPr="001B6E4D" w:rsidRDefault="00E77595"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3</w:t>
            </w:r>
            <w:r w:rsidRPr="001B6E4D">
              <w:rPr>
                <w:rFonts w:ascii="標楷體" w:eastAsia="標楷體" w:hAnsi="標楷體" w:cs="新細明體"/>
                <w:color w:val="000000" w:themeColor="text1"/>
              </w:rPr>
              <w:t>1</w:t>
            </w:r>
          </w:p>
        </w:tc>
      </w:tr>
      <w:tr w:rsidR="00F06A61" w:rsidRPr="001B6E4D" w14:paraId="5DF9250B" w14:textId="77777777" w:rsidTr="00F06A61">
        <w:trPr>
          <w:trHeight w:val="510"/>
          <w:jc w:val="center"/>
        </w:trPr>
        <w:tc>
          <w:tcPr>
            <w:tcW w:w="238" w:type="pct"/>
            <w:vMerge/>
            <w:tcBorders>
              <w:left w:val="single" w:sz="18" w:space="0" w:color="auto"/>
              <w:bottom w:val="single" w:sz="18" w:space="0" w:color="auto"/>
              <w:right w:val="single" w:sz="4" w:space="0" w:color="auto"/>
            </w:tcBorders>
            <w:shd w:val="clear" w:color="auto" w:fill="FFFFFF"/>
          </w:tcPr>
          <w:p w14:paraId="2CAEFEEB" w14:textId="77777777" w:rsidR="0078100D" w:rsidRPr="001B6E4D" w:rsidRDefault="0078100D" w:rsidP="003D1018">
            <w:pPr>
              <w:overflowPunct w:val="0"/>
              <w:spacing w:line="360" w:lineRule="exact"/>
              <w:ind w:leftChars="-55" w:left="180" w:hangingChars="156" w:hanging="312"/>
              <w:jc w:val="both"/>
              <w:rPr>
                <w:rFonts w:ascii="標楷體" w:eastAsia="標楷體" w:hAnsi="標楷體"/>
                <w:bCs/>
                <w:color w:val="000000" w:themeColor="text1"/>
                <w:spacing w:val="-20"/>
              </w:rPr>
            </w:pPr>
          </w:p>
        </w:tc>
        <w:tc>
          <w:tcPr>
            <w:tcW w:w="986" w:type="pct"/>
            <w:tcBorders>
              <w:left w:val="single" w:sz="4" w:space="0" w:color="auto"/>
              <w:bottom w:val="single" w:sz="4" w:space="0" w:color="auto"/>
              <w:right w:val="single" w:sz="18" w:space="0" w:color="auto"/>
            </w:tcBorders>
            <w:shd w:val="clear" w:color="auto" w:fill="FFFFFF"/>
            <w:vAlign w:val="center"/>
          </w:tcPr>
          <w:p w14:paraId="50764A66" w14:textId="77777777" w:rsidR="0078100D" w:rsidRPr="001B6E4D" w:rsidRDefault="0078100D" w:rsidP="003D1018">
            <w:pPr>
              <w:overflowPunct w:val="0"/>
              <w:spacing w:line="360" w:lineRule="exact"/>
              <w:ind w:leftChars="-55" w:left="180" w:hangingChars="156" w:hanging="312"/>
              <w:jc w:val="both"/>
              <w:rPr>
                <w:rFonts w:ascii="標楷體" w:eastAsia="標楷體" w:hAnsi="標楷體"/>
                <w:bCs/>
                <w:color w:val="000000" w:themeColor="text1"/>
                <w:spacing w:val="-20"/>
              </w:rPr>
            </w:pPr>
            <w:r w:rsidRPr="001B6E4D">
              <w:rPr>
                <w:rFonts w:ascii="標楷體" w:eastAsia="標楷體" w:hAnsi="標楷體" w:hint="eastAsia"/>
                <w:bCs/>
                <w:color w:val="000000" w:themeColor="text1"/>
                <w:spacing w:val="-20"/>
              </w:rPr>
              <w:t>［五］</w:t>
            </w:r>
            <w:r w:rsidRPr="001B6E4D">
              <w:rPr>
                <w:rFonts w:ascii="標楷體" w:eastAsia="標楷體" w:hAnsi="標楷體" w:cs="Mangal" w:hint="eastAsia"/>
                <w:bCs/>
                <w:color w:val="000000" w:themeColor="text1"/>
                <w:spacing w:val="-20"/>
                <w:w w:val="90"/>
              </w:rPr>
              <w:t>同意權行使案</w:t>
            </w:r>
          </w:p>
        </w:tc>
        <w:tc>
          <w:tcPr>
            <w:tcW w:w="286" w:type="pct"/>
            <w:tcBorders>
              <w:left w:val="single" w:sz="18" w:space="0" w:color="auto"/>
              <w:right w:val="dashed" w:sz="4" w:space="0" w:color="auto"/>
            </w:tcBorders>
            <w:shd w:val="clear" w:color="auto" w:fill="FFFFFF"/>
            <w:vAlign w:val="center"/>
          </w:tcPr>
          <w:p w14:paraId="6510FA67" w14:textId="15A6B6C9" w:rsidR="0078100D" w:rsidRPr="001B6E4D" w:rsidRDefault="00A60057"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282" w:type="pct"/>
            <w:tcBorders>
              <w:left w:val="dashed" w:sz="4" w:space="0" w:color="auto"/>
              <w:right w:val="dashed" w:sz="4" w:space="0" w:color="auto"/>
            </w:tcBorders>
            <w:shd w:val="clear" w:color="auto" w:fill="FFFFFF"/>
            <w:vAlign w:val="center"/>
          </w:tcPr>
          <w:p w14:paraId="576328F8" w14:textId="3C786552" w:rsidR="0078100D" w:rsidRPr="001B6E4D" w:rsidRDefault="000A7DA0"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282" w:type="pct"/>
            <w:tcBorders>
              <w:left w:val="dashed" w:sz="4" w:space="0" w:color="auto"/>
              <w:right w:val="dashed" w:sz="4" w:space="0" w:color="auto"/>
            </w:tcBorders>
            <w:shd w:val="clear" w:color="auto" w:fill="FFFFFF"/>
            <w:vAlign w:val="center"/>
          </w:tcPr>
          <w:p w14:paraId="12278CFC" w14:textId="7C4066B9" w:rsidR="0078100D" w:rsidRPr="001B6E4D" w:rsidRDefault="00352968"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314" w:type="pct"/>
            <w:tcBorders>
              <w:left w:val="dashed" w:sz="4" w:space="0" w:color="auto"/>
              <w:right w:val="dashed" w:sz="4" w:space="0" w:color="auto"/>
            </w:tcBorders>
            <w:shd w:val="clear" w:color="auto" w:fill="FFFFFF"/>
            <w:vAlign w:val="center"/>
          </w:tcPr>
          <w:p w14:paraId="12585FB0" w14:textId="3B2D091D" w:rsidR="0078100D" w:rsidRPr="001B6E4D" w:rsidRDefault="00FC3E25"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308" w:type="pct"/>
            <w:tcBorders>
              <w:left w:val="dashed" w:sz="4" w:space="0" w:color="auto"/>
              <w:right w:val="dashed" w:sz="4" w:space="0" w:color="auto"/>
            </w:tcBorders>
            <w:shd w:val="clear" w:color="auto" w:fill="FFFFFF"/>
            <w:vAlign w:val="center"/>
          </w:tcPr>
          <w:p w14:paraId="635BA8FE" w14:textId="73CD32BA" w:rsidR="0078100D" w:rsidRPr="001B6E4D" w:rsidRDefault="00CB447B"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1</w:t>
            </w:r>
          </w:p>
        </w:tc>
        <w:tc>
          <w:tcPr>
            <w:tcW w:w="232" w:type="pct"/>
            <w:tcBorders>
              <w:left w:val="dashed" w:sz="4" w:space="0" w:color="auto"/>
              <w:right w:val="dashed" w:sz="4" w:space="0" w:color="auto"/>
            </w:tcBorders>
            <w:shd w:val="clear" w:color="auto" w:fill="FFFFFF"/>
            <w:vAlign w:val="center"/>
          </w:tcPr>
          <w:p w14:paraId="4E6F121B"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231" w:type="pct"/>
            <w:tcBorders>
              <w:left w:val="dashed" w:sz="4" w:space="0" w:color="auto"/>
              <w:right w:val="dashed" w:sz="4" w:space="0" w:color="auto"/>
            </w:tcBorders>
            <w:shd w:val="clear" w:color="auto" w:fill="FFFFFF"/>
            <w:vAlign w:val="center"/>
          </w:tcPr>
          <w:p w14:paraId="16167CFD"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233" w:type="pct"/>
            <w:tcBorders>
              <w:left w:val="dashed" w:sz="4" w:space="0" w:color="auto"/>
              <w:right w:val="dashed" w:sz="4" w:space="0" w:color="auto"/>
            </w:tcBorders>
            <w:shd w:val="clear" w:color="auto" w:fill="FFFFFF"/>
            <w:vAlign w:val="center"/>
          </w:tcPr>
          <w:p w14:paraId="77C5ADF4" w14:textId="77777777" w:rsidR="0078100D" w:rsidRPr="001B6E4D" w:rsidRDefault="0078100D" w:rsidP="003D1018">
            <w:pPr>
              <w:overflowPunct w:val="0"/>
              <w:jc w:val="center"/>
              <w:rPr>
                <w:rFonts w:ascii="標楷體" w:eastAsia="標楷體" w:hAnsi="標楷體" w:cs="新細明體"/>
                <w:color w:val="000000" w:themeColor="text1"/>
                <w:spacing w:val="-20"/>
              </w:rPr>
            </w:pPr>
          </w:p>
        </w:tc>
        <w:tc>
          <w:tcPr>
            <w:tcW w:w="307" w:type="pct"/>
            <w:tcBorders>
              <w:left w:val="dashed" w:sz="4" w:space="0" w:color="auto"/>
              <w:right w:val="single" w:sz="4" w:space="0" w:color="auto"/>
            </w:tcBorders>
            <w:shd w:val="clear" w:color="auto" w:fill="FFFFFF"/>
            <w:vAlign w:val="center"/>
          </w:tcPr>
          <w:p w14:paraId="75AF64BF" w14:textId="77777777" w:rsidR="0078100D" w:rsidRPr="001B6E4D" w:rsidRDefault="0078100D" w:rsidP="003D1018">
            <w:pPr>
              <w:overflowPunct w:val="0"/>
              <w:jc w:val="center"/>
              <w:rPr>
                <w:rFonts w:ascii="標楷體" w:eastAsia="標楷體" w:hAnsi="標楷體" w:cs="新細明體"/>
                <w:color w:val="000000" w:themeColor="text1"/>
                <w:spacing w:val="-20"/>
              </w:rPr>
            </w:pPr>
            <w:r w:rsidRPr="001B6E4D">
              <w:rPr>
                <w:rFonts w:ascii="標楷體" w:eastAsia="標楷體" w:hAnsi="標楷體" w:cs="新細明體" w:hint="eastAsia"/>
                <w:color w:val="000000" w:themeColor="text1"/>
                <w:spacing w:val="-20"/>
              </w:rPr>
              <w:t>0</w:t>
            </w:r>
          </w:p>
        </w:tc>
        <w:tc>
          <w:tcPr>
            <w:tcW w:w="376" w:type="pct"/>
            <w:tcBorders>
              <w:left w:val="single" w:sz="4" w:space="0" w:color="auto"/>
              <w:right w:val="single" w:sz="12" w:space="0" w:color="auto"/>
            </w:tcBorders>
            <w:shd w:val="clear" w:color="auto" w:fill="FFFFFF"/>
            <w:vAlign w:val="center"/>
          </w:tcPr>
          <w:p w14:paraId="64B8DE02" w14:textId="0D8DCF71" w:rsidR="0078100D" w:rsidRPr="001B6E4D" w:rsidRDefault="00E77595"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1</w:t>
            </w:r>
          </w:p>
        </w:tc>
        <w:tc>
          <w:tcPr>
            <w:tcW w:w="465" w:type="pct"/>
            <w:tcBorders>
              <w:left w:val="single" w:sz="12" w:space="0" w:color="auto"/>
              <w:right w:val="single" w:sz="18" w:space="0" w:color="auto"/>
            </w:tcBorders>
            <w:shd w:val="clear" w:color="auto" w:fill="FFFFFF"/>
            <w:vAlign w:val="center"/>
          </w:tcPr>
          <w:p w14:paraId="2329DEDA" w14:textId="77777777" w:rsidR="0078100D" w:rsidRPr="001B6E4D" w:rsidRDefault="0078100D"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0</w:t>
            </w:r>
          </w:p>
        </w:tc>
        <w:tc>
          <w:tcPr>
            <w:tcW w:w="461" w:type="pct"/>
            <w:tcBorders>
              <w:left w:val="single" w:sz="18" w:space="0" w:color="auto"/>
              <w:right w:val="single" w:sz="18" w:space="0" w:color="auto"/>
            </w:tcBorders>
            <w:shd w:val="clear" w:color="auto" w:fill="FFFFFF"/>
            <w:vAlign w:val="center"/>
          </w:tcPr>
          <w:p w14:paraId="185708CB" w14:textId="174986EF" w:rsidR="0078100D" w:rsidRPr="001B6E4D" w:rsidRDefault="00E77595"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1</w:t>
            </w:r>
          </w:p>
        </w:tc>
      </w:tr>
      <w:tr w:rsidR="00F06A61" w:rsidRPr="001B6E4D" w14:paraId="287A2CFE" w14:textId="77777777" w:rsidTr="00F06A61">
        <w:trPr>
          <w:trHeight w:val="510"/>
          <w:jc w:val="center"/>
        </w:trPr>
        <w:tc>
          <w:tcPr>
            <w:tcW w:w="238" w:type="pct"/>
            <w:vMerge/>
            <w:tcBorders>
              <w:left w:val="single" w:sz="18" w:space="0" w:color="auto"/>
              <w:bottom w:val="single" w:sz="18" w:space="0" w:color="auto"/>
              <w:right w:val="single" w:sz="4" w:space="0" w:color="auto"/>
            </w:tcBorders>
            <w:shd w:val="clear" w:color="auto" w:fill="FFFFFF"/>
          </w:tcPr>
          <w:p w14:paraId="3A0EF3E8" w14:textId="77777777" w:rsidR="0078100D" w:rsidRPr="001B6E4D" w:rsidRDefault="0078100D" w:rsidP="003D1018">
            <w:pPr>
              <w:overflowPunct w:val="0"/>
              <w:spacing w:line="360" w:lineRule="exact"/>
              <w:ind w:leftChars="-55" w:left="180" w:hangingChars="156" w:hanging="312"/>
              <w:jc w:val="both"/>
              <w:rPr>
                <w:rFonts w:ascii="標楷體" w:eastAsia="標楷體" w:hAnsi="標楷體"/>
                <w:bCs/>
                <w:color w:val="000000" w:themeColor="text1"/>
                <w:spacing w:val="-20"/>
              </w:rPr>
            </w:pPr>
          </w:p>
        </w:tc>
        <w:tc>
          <w:tcPr>
            <w:tcW w:w="986" w:type="pct"/>
            <w:tcBorders>
              <w:left w:val="single" w:sz="4" w:space="0" w:color="auto"/>
              <w:bottom w:val="single" w:sz="4" w:space="0" w:color="auto"/>
              <w:right w:val="single" w:sz="18" w:space="0" w:color="auto"/>
            </w:tcBorders>
            <w:shd w:val="clear" w:color="auto" w:fill="FFFFFF"/>
            <w:vAlign w:val="center"/>
          </w:tcPr>
          <w:p w14:paraId="6AAFEE1C" w14:textId="77777777" w:rsidR="0078100D" w:rsidRPr="001B6E4D" w:rsidRDefault="0078100D" w:rsidP="003D1018">
            <w:pPr>
              <w:overflowPunct w:val="0"/>
              <w:spacing w:line="360" w:lineRule="exact"/>
              <w:ind w:leftChars="-55" w:left="180" w:hangingChars="156" w:hanging="312"/>
              <w:jc w:val="both"/>
              <w:rPr>
                <w:rFonts w:ascii="標楷體" w:eastAsia="標楷體" w:hAnsi="標楷體"/>
                <w:bCs/>
                <w:color w:val="000000" w:themeColor="text1"/>
                <w:spacing w:val="-20"/>
              </w:rPr>
            </w:pPr>
            <w:r w:rsidRPr="001B6E4D">
              <w:rPr>
                <w:rFonts w:ascii="標楷體" w:eastAsia="標楷體" w:hAnsi="標楷體" w:hint="eastAsia"/>
                <w:bCs/>
                <w:color w:val="000000" w:themeColor="text1"/>
                <w:spacing w:val="-20"/>
              </w:rPr>
              <w:t>［六］立法院內</w:t>
            </w:r>
            <w:proofErr w:type="gramStart"/>
            <w:r w:rsidRPr="001B6E4D">
              <w:rPr>
                <w:rFonts w:ascii="標楷體" w:eastAsia="標楷體" w:hAnsi="標楷體" w:hint="eastAsia"/>
                <w:bCs/>
                <w:color w:val="000000" w:themeColor="text1"/>
                <w:spacing w:val="-20"/>
              </w:rPr>
              <w:t>規</w:t>
            </w:r>
            <w:proofErr w:type="gramEnd"/>
          </w:p>
        </w:tc>
        <w:tc>
          <w:tcPr>
            <w:tcW w:w="286" w:type="pct"/>
            <w:tcBorders>
              <w:left w:val="single" w:sz="18" w:space="0" w:color="auto"/>
              <w:bottom w:val="single" w:sz="2" w:space="0" w:color="auto"/>
              <w:right w:val="dashed" w:sz="4" w:space="0" w:color="auto"/>
            </w:tcBorders>
            <w:shd w:val="clear" w:color="auto" w:fill="FFFFFF"/>
            <w:vAlign w:val="center"/>
          </w:tcPr>
          <w:p w14:paraId="7A4E9869" w14:textId="0B9DEEDB" w:rsidR="0078100D" w:rsidRPr="001B6E4D" w:rsidRDefault="00A60057"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0</w:t>
            </w:r>
          </w:p>
        </w:tc>
        <w:tc>
          <w:tcPr>
            <w:tcW w:w="282" w:type="pct"/>
            <w:tcBorders>
              <w:left w:val="dashed" w:sz="4" w:space="0" w:color="auto"/>
              <w:bottom w:val="single" w:sz="2" w:space="0" w:color="auto"/>
              <w:right w:val="dashed" w:sz="4" w:space="0" w:color="auto"/>
            </w:tcBorders>
            <w:shd w:val="clear" w:color="auto" w:fill="FFFFFF"/>
            <w:vAlign w:val="center"/>
          </w:tcPr>
          <w:p w14:paraId="3439F818" w14:textId="71D3DCDE" w:rsidR="0078100D" w:rsidRPr="001B6E4D" w:rsidRDefault="000A7DA0"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0</w:t>
            </w:r>
          </w:p>
        </w:tc>
        <w:tc>
          <w:tcPr>
            <w:tcW w:w="282" w:type="pct"/>
            <w:tcBorders>
              <w:left w:val="dashed" w:sz="4" w:space="0" w:color="auto"/>
              <w:bottom w:val="single" w:sz="2" w:space="0" w:color="auto"/>
              <w:right w:val="dashed" w:sz="4" w:space="0" w:color="auto"/>
            </w:tcBorders>
            <w:shd w:val="clear" w:color="auto" w:fill="FFFFFF"/>
            <w:vAlign w:val="center"/>
          </w:tcPr>
          <w:p w14:paraId="2EEF859D" w14:textId="4DB1B534" w:rsidR="0078100D" w:rsidRPr="001B6E4D" w:rsidRDefault="00352968"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0</w:t>
            </w:r>
          </w:p>
        </w:tc>
        <w:tc>
          <w:tcPr>
            <w:tcW w:w="314" w:type="pct"/>
            <w:tcBorders>
              <w:left w:val="dashed" w:sz="4" w:space="0" w:color="auto"/>
              <w:bottom w:val="single" w:sz="2" w:space="0" w:color="auto"/>
              <w:right w:val="dashed" w:sz="4" w:space="0" w:color="auto"/>
            </w:tcBorders>
            <w:shd w:val="clear" w:color="auto" w:fill="FFFFFF"/>
            <w:vAlign w:val="center"/>
          </w:tcPr>
          <w:p w14:paraId="35E5AA28" w14:textId="49C36936" w:rsidR="0078100D" w:rsidRPr="001B6E4D" w:rsidRDefault="00FC3E25"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0</w:t>
            </w:r>
          </w:p>
        </w:tc>
        <w:tc>
          <w:tcPr>
            <w:tcW w:w="308" w:type="pct"/>
            <w:tcBorders>
              <w:left w:val="dashed" w:sz="4" w:space="0" w:color="auto"/>
              <w:bottom w:val="single" w:sz="2" w:space="0" w:color="auto"/>
              <w:right w:val="dashed" w:sz="4" w:space="0" w:color="auto"/>
            </w:tcBorders>
            <w:shd w:val="clear" w:color="auto" w:fill="FFFFFF"/>
            <w:vAlign w:val="center"/>
          </w:tcPr>
          <w:p w14:paraId="46BD9D5E" w14:textId="22200A60" w:rsidR="0078100D" w:rsidRPr="001B6E4D" w:rsidRDefault="00CB447B"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0</w:t>
            </w:r>
          </w:p>
        </w:tc>
        <w:tc>
          <w:tcPr>
            <w:tcW w:w="232" w:type="pct"/>
            <w:tcBorders>
              <w:left w:val="dashed" w:sz="4" w:space="0" w:color="auto"/>
              <w:bottom w:val="single" w:sz="2" w:space="0" w:color="auto"/>
              <w:right w:val="dashed" w:sz="4" w:space="0" w:color="auto"/>
            </w:tcBorders>
            <w:shd w:val="clear" w:color="auto" w:fill="FFFFFF"/>
            <w:vAlign w:val="center"/>
          </w:tcPr>
          <w:p w14:paraId="734AFB02" w14:textId="77777777" w:rsidR="0078100D" w:rsidRPr="001B6E4D" w:rsidRDefault="0078100D" w:rsidP="003D1018">
            <w:pPr>
              <w:overflowPunct w:val="0"/>
              <w:jc w:val="center"/>
              <w:rPr>
                <w:rFonts w:ascii="標楷體" w:eastAsia="標楷體" w:hAnsi="標楷體"/>
                <w:color w:val="000000" w:themeColor="text1"/>
                <w:spacing w:val="-20"/>
              </w:rPr>
            </w:pPr>
          </w:p>
        </w:tc>
        <w:tc>
          <w:tcPr>
            <w:tcW w:w="231" w:type="pct"/>
            <w:tcBorders>
              <w:left w:val="dashed" w:sz="4" w:space="0" w:color="auto"/>
              <w:bottom w:val="single" w:sz="2" w:space="0" w:color="auto"/>
              <w:right w:val="dashed" w:sz="4" w:space="0" w:color="auto"/>
            </w:tcBorders>
            <w:shd w:val="clear" w:color="auto" w:fill="FFFFFF"/>
            <w:vAlign w:val="center"/>
          </w:tcPr>
          <w:p w14:paraId="1E8C7018" w14:textId="77777777" w:rsidR="0078100D" w:rsidRPr="001B6E4D" w:rsidRDefault="0078100D" w:rsidP="003D1018">
            <w:pPr>
              <w:overflowPunct w:val="0"/>
              <w:jc w:val="center"/>
              <w:rPr>
                <w:rFonts w:ascii="標楷體" w:eastAsia="標楷體" w:hAnsi="標楷體"/>
                <w:color w:val="000000" w:themeColor="text1"/>
                <w:spacing w:val="-20"/>
              </w:rPr>
            </w:pPr>
          </w:p>
        </w:tc>
        <w:tc>
          <w:tcPr>
            <w:tcW w:w="233" w:type="pct"/>
            <w:tcBorders>
              <w:left w:val="dashed" w:sz="4" w:space="0" w:color="auto"/>
              <w:bottom w:val="single" w:sz="2" w:space="0" w:color="auto"/>
              <w:right w:val="dashed" w:sz="4" w:space="0" w:color="auto"/>
            </w:tcBorders>
            <w:shd w:val="clear" w:color="auto" w:fill="FFFFFF"/>
            <w:vAlign w:val="center"/>
          </w:tcPr>
          <w:p w14:paraId="0CB4FFA5" w14:textId="77777777" w:rsidR="0078100D" w:rsidRPr="001B6E4D" w:rsidRDefault="0078100D" w:rsidP="003D1018">
            <w:pPr>
              <w:overflowPunct w:val="0"/>
              <w:jc w:val="center"/>
              <w:rPr>
                <w:rFonts w:ascii="標楷體" w:eastAsia="標楷體" w:hAnsi="標楷體"/>
                <w:color w:val="000000" w:themeColor="text1"/>
                <w:spacing w:val="-20"/>
              </w:rPr>
            </w:pPr>
          </w:p>
        </w:tc>
        <w:tc>
          <w:tcPr>
            <w:tcW w:w="307" w:type="pct"/>
            <w:tcBorders>
              <w:left w:val="dashed" w:sz="4" w:space="0" w:color="auto"/>
              <w:bottom w:val="single" w:sz="2" w:space="0" w:color="auto"/>
              <w:right w:val="single" w:sz="4" w:space="0" w:color="auto"/>
            </w:tcBorders>
            <w:shd w:val="clear" w:color="auto" w:fill="FFFFFF"/>
            <w:vAlign w:val="center"/>
          </w:tcPr>
          <w:p w14:paraId="16C015E4" w14:textId="5C03F0F5" w:rsidR="0078100D" w:rsidRPr="001B6E4D" w:rsidRDefault="00254294"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3</w:t>
            </w:r>
          </w:p>
        </w:tc>
        <w:tc>
          <w:tcPr>
            <w:tcW w:w="376" w:type="pct"/>
            <w:tcBorders>
              <w:left w:val="single" w:sz="4" w:space="0" w:color="auto"/>
              <w:bottom w:val="single" w:sz="2" w:space="0" w:color="auto"/>
              <w:right w:val="single" w:sz="12" w:space="0" w:color="auto"/>
            </w:tcBorders>
            <w:shd w:val="clear" w:color="auto" w:fill="FFFFFF"/>
            <w:vAlign w:val="center"/>
          </w:tcPr>
          <w:p w14:paraId="6214811A" w14:textId="302C2A15" w:rsidR="0078100D" w:rsidRPr="001B6E4D" w:rsidRDefault="00254294" w:rsidP="003D1018">
            <w:pPr>
              <w:overflowPunct w:val="0"/>
              <w:jc w:val="center"/>
              <w:rPr>
                <w:rFonts w:ascii="標楷體" w:eastAsia="標楷體" w:hAnsi="標楷體"/>
                <w:color w:val="000000" w:themeColor="text1"/>
              </w:rPr>
            </w:pPr>
            <w:r w:rsidRPr="001B6E4D">
              <w:rPr>
                <w:rFonts w:ascii="標楷體" w:eastAsia="標楷體" w:hAnsi="標楷體" w:hint="eastAsia"/>
                <w:color w:val="000000" w:themeColor="text1"/>
              </w:rPr>
              <w:t>3</w:t>
            </w:r>
          </w:p>
        </w:tc>
        <w:tc>
          <w:tcPr>
            <w:tcW w:w="465" w:type="pct"/>
            <w:tcBorders>
              <w:left w:val="single" w:sz="12" w:space="0" w:color="auto"/>
              <w:bottom w:val="single" w:sz="2" w:space="0" w:color="auto"/>
              <w:right w:val="single" w:sz="18" w:space="0" w:color="auto"/>
            </w:tcBorders>
            <w:shd w:val="clear" w:color="auto" w:fill="FFFFFF"/>
            <w:vAlign w:val="center"/>
          </w:tcPr>
          <w:p w14:paraId="47A9A1E7" w14:textId="3B790A05" w:rsidR="0078100D" w:rsidRPr="001B6E4D" w:rsidRDefault="00EA4A3E" w:rsidP="003D1018">
            <w:pPr>
              <w:overflowPunct w:val="0"/>
              <w:jc w:val="center"/>
              <w:rPr>
                <w:rFonts w:ascii="標楷體" w:eastAsia="標楷體" w:hAnsi="標楷體"/>
                <w:color w:val="000000" w:themeColor="text1"/>
              </w:rPr>
            </w:pPr>
            <w:r w:rsidRPr="001B6E4D">
              <w:rPr>
                <w:rFonts w:ascii="標楷體" w:eastAsia="標楷體" w:hAnsi="標楷體" w:hint="eastAsia"/>
                <w:color w:val="000000" w:themeColor="text1"/>
              </w:rPr>
              <w:t>3</w:t>
            </w:r>
          </w:p>
        </w:tc>
        <w:tc>
          <w:tcPr>
            <w:tcW w:w="461" w:type="pct"/>
            <w:tcBorders>
              <w:left w:val="single" w:sz="18" w:space="0" w:color="auto"/>
              <w:bottom w:val="single" w:sz="2" w:space="0" w:color="auto"/>
              <w:right w:val="single" w:sz="18" w:space="0" w:color="auto"/>
            </w:tcBorders>
            <w:shd w:val="clear" w:color="auto" w:fill="FFFFFF"/>
            <w:vAlign w:val="center"/>
          </w:tcPr>
          <w:p w14:paraId="51B5047E" w14:textId="780F2F83" w:rsidR="0078100D" w:rsidRPr="001B6E4D" w:rsidRDefault="00EA4A3E"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6</w:t>
            </w:r>
          </w:p>
        </w:tc>
      </w:tr>
      <w:tr w:rsidR="00F06A61" w:rsidRPr="001B6E4D" w14:paraId="3BA6A368" w14:textId="77777777" w:rsidTr="00F06A61">
        <w:trPr>
          <w:trHeight w:val="510"/>
          <w:jc w:val="center"/>
        </w:trPr>
        <w:tc>
          <w:tcPr>
            <w:tcW w:w="238" w:type="pct"/>
            <w:vMerge/>
            <w:tcBorders>
              <w:left w:val="single" w:sz="18" w:space="0" w:color="auto"/>
              <w:bottom w:val="single" w:sz="18" w:space="0" w:color="auto"/>
              <w:right w:val="single" w:sz="4" w:space="0" w:color="auto"/>
            </w:tcBorders>
            <w:shd w:val="clear" w:color="auto" w:fill="FFFFFF"/>
          </w:tcPr>
          <w:p w14:paraId="721CD03B" w14:textId="77777777" w:rsidR="0078100D" w:rsidRPr="001B6E4D" w:rsidRDefault="0078100D" w:rsidP="003D1018">
            <w:pPr>
              <w:overflowPunct w:val="0"/>
              <w:spacing w:line="360" w:lineRule="exact"/>
              <w:ind w:leftChars="-55" w:left="180" w:hangingChars="156" w:hanging="312"/>
              <w:jc w:val="both"/>
              <w:rPr>
                <w:rFonts w:ascii="標楷體" w:eastAsia="標楷體" w:hAnsi="標楷體"/>
                <w:bCs/>
                <w:color w:val="000000" w:themeColor="text1"/>
                <w:spacing w:val="-20"/>
              </w:rPr>
            </w:pPr>
          </w:p>
        </w:tc>
        <w:tc>
          <w:tcPr>
            <w:tcW w:w="986" w:type="pct"/>
            <w:tcBorders>
              <w:top w:val="single" w:sz="4" w:space="0" w:color="auto"/>
              <w:left w:val="single" w:sz="4" w:space="0" w:color="auto"/>
              <w:bottom w:val="single" w:sz="4" w:space="0" w:color="auto"/>
              <w:right w:val="single" w:sz="18" w:space="0" w:color="auto"/>
            </w:tcBorders>
            <w:shd w:val="clear" w:color="auto" w:fill="FFFFFF"/>
            <w:vAlign w:val="center"/>
          </w:tcPr>
          <w:p w14:paraId="566D5DF8" w14:textId="77777777" w:rsidR="0078100D" w:rsidRPr="001B6E4D" w:rsidRDefault="0078100D" w:rsidP="003D1018">
            <w:pPr>
              <w:overflowPunct w:val="0"/>
              <w:spacing w:line="360" w:lineRule="exact"/>
              <w:ind w:leftChars="-55" w:left="180" w:hangingChars="156" w:hanging="312"/>
              <w:jc w:val="both"/>
              <w:rPr>
                <w:rFonts w:ascii="標楷體" w:eastAsia="標楷體" w:hAnsi="標楷體"/>
                <w:bCs/>
                <w:color w:val="000000" w:themeColor="text1"/>
                <w:spacing w:val="-20"/>
              </w:rPr>
            </w:pPr>
            <w:r w:rsidRPr="001B6E4D">
              <w:rPr>
                <w:rFonts w:ascii="標楷體" w:eastAsia="標楷體" w:hAnsi="標楷體" w:hint="eastAsia"/>
                <w:bCs/>
                <w:color w:val="000000" w:themeColor="text1"/>
                <w:spacing w:val="-20"/>
              </w:rPr>
              <w:t>［七］其他議案</w:t>
            </w:r>
          </w:p>
        </w:tc>
        <w:tc>
          <w:tcPr>
            <w:tcW w:w="286" w:type="pct"/>
            <w:tcBorders>
              <w:left w:val="single" w:sz="18" w:space="0" w:color="auto"/>
              <w:bottom w:val="single" w:sz="2" w:space="0" w:color="auto"/>
              <w:right w:val="dashed" w:sz="4" w:space="0" w:color="auto"/>
            </w:tcBorders>
            <w:shd w:val="clear" w:color="auto" w:fill="FFFFFF"/>
            <w:vAlign w:val="center"/>
          </w:tcPr>
          <w:p w14:paraId="3CBADAB8" w14:textId="77777777" w:rsidR="0078100D" w:rsidRPr="001B6E4D" w:rsidRDefault="0078100D"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0</w:t>
            </w:r>
          </w:p>
        </w:tc>
        <w:tc>
          <w:tcPr>
            <w:tcW w:w="282" w:type="pct"/>
            <w:tcBorders>
              <w:left w:val="dashed" w:sz="4" w:space="0" w:color="auto"/>
              <w:bottom w:val="single" w:sz="2" w:space="0" w:color="auto"/>
              <w:right w:val="dashed" w:sz="4" w:space="0" w:color="auto"/>
            </w:tcBorders>
            <w:shd w:val="clear" w:color="auto" w:fill="FFFFFF"/>
            <w:vAlign w:val="center"/>
          </w:tcPr>
          <w:p w14:paraId="6765A6B3" w14:textId="67CD27EF" w:rsidR="0078100D" w:rsidRPr="001B6E4D" w:rsidRDefault="000A7DA0"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0</w:t>
            </w:r>
          </w:p>
        </w:tc>
        <w:tc>
          <w:tcPr>
            <w:tcW w:w="282" w:type="pct"/>
            <w:tcBorders>
              <w:left w:val="dashed" w:sz="4" w:space="0" w:color="auto"/>
              <w:bottom w:val="single" w:sz="2" w:space="0" w:color="auto"/>
              <w:right w:val="dashed" w:sz="4" w:space="0" w:color="auto"/>
            </w:tcBorders>
            <w:shd w:val="clear" w:color="auto" w:fill="FFFFFF"/>
            <w:vAlign w:val="center"/>
          </w:tcPr>
          <w:p w14:paraId="41B90369" w14:textId="3581583E" w:rsidR="0078100D" w:rsidRPr="001B6E4D" w:rsidRDefault="00352968"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1</w:t>
            </w:r>
          </w:p>
        </w:tc>
        <w:tc>
          <w:tcPr>
            <w:tcW w:w="314" w:type="pct"/>
            <w:tcBorders>
              <w:left w:val="dashed" w:sz="4" w:space="0" w:color="auto"/>
              <w:bottom w:val="single" w:sz="2" w:space="0" w:color="auto"/>
              <w:right w:val="dashed" w:sz="4" w:space="0" w:color="auto"/>
            </w:tcBorders>
            <w:shd w:val="clear" w:color="auto" w:fill="FFFFFF"/>
            <w:vAlign w:val="center"/>
          </w:tcPr>
          <w:p w14:paraId="71C49993" w14:textId="68A827FD" w:rsidR="0078100D" w:rsidRPr="001B6E4D" w:rsidRDefault="00FC3E25"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2</w:t>
            </w:r>
          </w:p>
        </w:tc>
        <w:tc>
          <w:tcPr>
            <w:tcW w:w="308" w:type="pct"/>
            <w:tcBorders>
              <w:left w:val="dashed" w:sz="4" w:space="0" w:color="auto"/>
              <w:bottom w:val="single" w:sz="2" w:space="0" w:color="auto"/>
              <w:right w:val="dashed" w:sz="4" w:space="0" w:color="auto"/>
            </w:tcBorders>
            <w:shd w:val="clear" w:color="auto" w:fill="FFFFFF"/>
            <w:vAlign w:val="center"/>
          </w:tcPr>
          <w:p w14:paraId="1E4492B7" w14:textId="423AC1A4" w:rsidR="0078100D" w:rsidRPr="001B6E4D" w:rsidRDefault="00CB447B" w:rsidP="003D1018">
            <w:pPr>
              <w:overflowPunct w:val="0"/>
              <w:jc w:val="center"/>
              <w:rPr>
                <w:rFonts w:ascii="標楷體" w:eastAsia="標楷體" w:hAnsi="標楷體"/>
                <w:color w:val="000000" w:themeColor="text1"/>
                <w:spacing w:val="-20"/>
              </w:rPr>
            </w:pPr>
            <w:r w:rsidRPr="001B6E4D">
              <w:rPr>
                <w:rFonts w:ascii="標楷體" w:eastAsia="標楷體" w:hAnsi="標楷體" w:hint="eastAsia"/>
                <w:color w:val="000000" w:themeColor="text1"/>
                <w:spacing w:val="-20"/>
              </w:rPr>
              <w:t>1</w:t>
            </w:r>
          </w:p>
        </w:tc>
        <w:tc>
          <w:tcPr>
            <w:tcW w:w="232" w:type="pct"/>
            <w:tcBorders>
              <w:left w:val="dashed" w:sz="4" w:space="0" w:color="auto"/>
              <w:bottom w:val="single" w:sz="2" w:space="0" w:color="auto"/>
              <w:right w:val="dashed" w:sz="4" w:space="0" w:color="auto"/>
            </w:tcBorders>
            <w:shd w:val="clear" w:color="auto" w:fill="FFFFFF"/>
            <w:vAlign w:val="center"/>
          </w:tcPr>
          <w:p w14:paraId="47BD4920" w14:textId="77777777" w:rsidR="0078100D" w:rsidRPr="001B6E4D" w:rsidRDefault="0078100D" w:rsidP="003D1018">
            <w:pPr>
              <w:overflowPunct w:val="0"/>
              <w:jc w:val="center"/>
              <w:rPr>
                <w:rFonts w:ascii="標楷體" w:eastAsia="標楷體" w:hAnsi="標楷體"/>
                <w:color w:val="000000" w:themeColor="text1"/>
                <w:spacing w:val="-20"/>
              </w:rPr>
            </w:pPr>
          </w:p>
        </w:tc>
        <w:tc>
          <w:tcPr>
            <w:tcW w:w="231" w:type="pct"/>
            <w:tcBorders>
              <w:left w:val="dashed" w:sz="4" w:space="0" w:color="auto"/>
              <w:bottom w:val="single" w:sz="2" w:space="0" w:color="auto"/>
              <w:right w:val="dashed" w:sz="4" w:space="0" w:color="auto"/>
            </w:tcBorders>
            <w:shd w:val="clear" w:color="auto" w:fill="FFFFFF"/>
            <w:vAlign w:val="center"/>
          </w:tcPr>
          <w:p w14:paraId="43AB37E0" w14:textId="77777777" w:rsidR="0078100D" w:rsidRPr="001B6E4D" w:rsidRDefault="0078100D" w:rsidP="003D1018">
            <w:pPr>
              <w:overflowPunct w:val="0"/>
              <w:jc w:val="center"/>
              <w:rPr>
                <w:rFonts w:ascii="標楷體" w:eastAsia="標楷體" w:hAnsi="標楷體"/>
                <w:color w:val="000000" w:themeColor="text1"/>
                <w:spacing w:val="-20"/>
              </w:rPr>
            </w:pPr>
          </w:p>
        </w:tc>
        <w:tc>
          <w:tcPr>
            <w:tcW w:w="233" w:type="pct"/>
            <w:tcBorders>
              <w:left w:val="dashed" w:sz="4" w:space="0" w:color="auto"/>
              <w:bottom w:val="single" w:sz="2" w:space="0" w:color="auto"/>
              <w:right w:val="dashed" w:sz="4" w:space="0" w:color="auto"/>
            </w:tcBorders>
            <w:shd w:val="clear" w:color="auto" w:fill="FFFFFF"/>
            <w:vAlign w:val="center"/>
          </w:tcPr>
          <w:p w14:paraId="1A8B71C1" w14:textId="77777777" w:rsidR="0078100D" w:rsidRPr="001B6E4D" w:rsidRDefault="0078100D" w:rsidP="003D1018">
            <w:pPr>
              <w:overflowPunct w:val="0"/>
              <w:jc w:val="center"/>
              <w:rPr>
                <w:rFonts w:ascii="標楷體" w:eastAsia="標楷體" w:hAnsi="標楷體"/>
                <w:color w:val="000000" w:themeColor="text1"/>
                <w:spacing w:val="-20"/>
              </w:rPr>
            </w:pPr>
          </w:p>
        </w:tc>
        <w:tc>
          <w:tcPr>
            <w:tcW w:w="307" w:type="pct"/>
            <w:tcBorders>
              <w:left w:val="dashed" w:sz="4" w:space="0" w:color="auto"/>
              <w:bottom w:val="single" w:sz="2" w:space="0" w:color="auto"/>
              <w:right w:val="single" w:sz="4" w:space="0" w:color="auto"/>
            </w:tcBorders>
            <w:shd w:val="clear" w:color="auto" w:fill="FFFFFF"/>
            <w:vAlign w:val="center"/>
          </w:tcPr>
          <w:p w14:paraId="7297C9BC" w14:textId="77777777" w:rsidR="0078100D" w:rsidRPr="001B6E4D" w:rsidRDefault="0078100D" w:rsidP="003D1018">
            <w:pPr>
              <w:overflowPunct w:val="0"/>
              <w:jc w:val="center"/>
              <w:rPr>
                <w:rFonts w:ascii="標楷體" w:eastAsia="標楷體" w:hAnsi="標楷體"/>
                <w:color w:val="000000" w:themeColor="text1"/>
                <w:spacing w:val="-20"/>
              </w:rPr>
            </w:pPr>
            <w:r w:rsidRPr="001B6E4D">
              <w:rPr>
                <w:rFonts w:ascii="標楷體" w:eastAsia="標楷體" w:hAnsi="標楷體" w:cs="新細明體" w:hint="eastAsia"/>
                <w:color w:val="000000" w:themeColor="text1"/>
                <w:spacing w:val="-20"/>
              </w:rPr>
              <w:t>0</w:t>
            </w:r>
          </w:p>
        </w:tc>
        <w:tc>
          <w:tcPr>
            <w:tcW w:w="376" w:type="pct"/>
            <w:tcBorders>
              <w:left w:val="single" w:sz="4" w:space="0" w:color="auto"/>
              <w:bottom w:val="single" w:sz="2" w:space="0" w:color="auto"/>
              <w:right w:val="single" w:sz="12" w:space="0" w:color="auto"/>
            </w:tcBorders>
            <w:shd w:val="clear" w:color="auto" w:fill="FFFFFF"/>
            <w:vAlign w:val="center"/>
          </w:tcPr>
          <w:p w14:paraId="44231C38" w14:textId="240CB758" w:rsidR="0078100D" w:rsidRPr="001B6E4D" w:rsidRDefault="00E77595" w:rsidP="003D1018">
            <w:pPr>
              <w:overflowPunct w:val="0"/>
              <w:jc w:val="center"/>
              <w:rPr>
                <w:rFonts w:ascii="標楷體" w:eastAsia="標楷體" w:hAnsi="標楷體"/>
                <w:color w:val="000000" w:themeColor="text1"/>
              </w:rPr>
            </w:pPr>
            <w:r w:rsidRPr="001B6E4D">
              <w:rPr>
                <w:rFonts w:ascii="標楷體" w:eastAsia="標楷體" w:hAnsi="標楷體" w:hint="eastAsia"/>
                <w:color w:val="000000" w:themeColor="text1"/>
              </w:rPr>
              <w:t>4</w:t>
            </w:r>
          </w:p>
        </w:tc>
        <w:tc>
          <w:tcPr>
            <w:tcW w:w="465" w:type="pct"/>
            <w:tcBorders>
              <w:left w:val="single" w:sz="12" w:space="0" w:color="auto"/>
              <w:bottom w:val="single" w:sz="2" w:space="0" w:color="auto"/>
              <w:right w:val="single" w:sz="18" w:space="0" w:color="auto"/>
            </w:tcBorders>
            <w:shd w:val="clear" w:color="auto" w:fill="FFFFFF"/>
            <w:vAlign w:val="center"/>
          </w:tcPr>
          <w:p w14:paraId="11FE71FA" w14:textId="272163E1" w:rsidR="0078100D" w:rsidRPr="001B6E4D" w:rsidRDefault="0064577B" w:rsidP="003D1018">
            <w:pPr>
              <w:overflowPunct w:val="0"/>
              <w:jc w:val="center"/>
              <w:rPr>
                <w:rFonts w:ascii="標楷體" w:eastAsia="標楷體" w:hAnsi="標楷體"/>
                <w:color w:val="000000" w:themeColor="text1"/>
              </w:rPr>
            </w:pPr>
            <w:r w:rsidRPr="001B6E4D">
              <w:rPr>
                <w:rFonts w:ascii="標楷體" w:eastAsia="標楷體" w:hAnsi="標楷體" w:hint="eastAsia"/>
                <w:color w:val="000000" w:themeColor="text1"/>
              </w:rPr>
              <w:t>2</w:t>
            </w:r>
          </w:p>
        </w:tc>
        <w:tc>
          <w:tcPr>
            <w:tcW w:w="461" w:type="pct"/>
            <w:tcBorders>
              <w:left w:val="single" w:sz="18" w:space="0" w:color="auto"/>
              <w:bottom w:val="single" w:sz="2" w:space="0" w:color="auto"/>
              <w:right w:val="single" w:sz="18" w:space="0" w:color="auto"/>
            </w:tcBorders>
            <w:shd w:val="clear" w:color="auto" w:fill="FFFFFF"/>
            <w:vAlign w:val="center"/>
          </w:tcPr>
          <w:p w14:paraId="6967514B" w14:textId="393DAE0D" w:rsidR="0078100D" w:rsidRPr="001B6E4D" w:rsidRDefault="00E77595" w:rsidP="003D1018">
            <w:pPr>
              <w:overflowPunct w:val="0"/>
              <w:jc w:val="center"/>
              <w:rPr>
                <w:rFonts w:ascii="標楷體" w:eastAsia="標楷體" w:hAnsi="標楷體" w:cs="新細明體"/>
                <w:color w:val="000000" w:themeColor="text1"/>
              </w:rPr>
            </w:pPr>
            <w:r w:rsidRPr="001B6E4D">
              <w:rPr>
                <w:rFonts w:ascii="標楷體" w:eastAsia="標楷體" w:hAnsi="標楷體" w:cs="新細明體" w:hint="eastAsia"/>
                <w:color w:val="000000" w:themeColor="text1"/>
              </w:rPr>
              <w:t>6</w:t>
            </w:r>
          </w:p>
        </w:tc>
      </w:tr>
      <w:tr w:rsidR="0076478F" w:rsidRPr="001B6E4D" w14:paraId="69FB33A8" w14:textId="77777777" w:rsidTr="00F06A61">
        <w:trPr>
          <w:trHeight w:val="510"/>
          <w:jc w:val="center"/>
        </w:trPr>
        <w:tc>
          <w:tcPr>
            <w:tcW w:w="1224" w:type="pct"/>
            <w:gridSpan w:val="2"/>
            <w:tcBorders>
              <w:top w:val="single" w:sz="18" w:space="0" w:color="auto"/>
              <w:left w:val="single" w:sz="18" w:space="0" w:color="auto"/>
              <w:bottom w:val="single" w:sz="18" w:space="0" w:color="auto"/>
              <w:right w:val="single" w:sz="18" w:space="0" w:color="auto"/>
            </w:tcBorders>
            <w:shd w:val="clear" w:color="auto" w:fill="FFFFFF"/>
          </w:tcPr>
          <w:p w14:paraId="02D79B9C" w14:textId="77777777" w:rsidR="0078100D" w:rsidRPr="001B6E4D" w:rsidRDefault="0078100D" w:rsidP="003D1018">
            <w:pPr>
              <w:overflowPunct w:val="0"/>
              <w:spacing w:line="300" w:lineRule="exact"/>
              <w:ind w:leftChars="-55" w:left="180" w:hangingChars="156" w:hanging="312"/>
              <w:jc w:val="center"/>
              <w:rPr>
                <w:rFonts w:ascii="標楷體" w:eastAsia="標楷體" w:hAnsi="標楷體"/>
                <w:b/>
                <w:color w:val="000000" w:themeColor="text1"/>
                <w:spacing w:val="-20"/>
              </w:rPr>
            </w:pPr>
            <w:r w:rsidRPr="001B6E4D">
              <w:rPr>
                <w:rFonts w:ascii="標楷體" w:eastAsia="標楷體" w:hAnsi="標楷體" w:hint="eastAsia"/>
                <w:b/>
                <w:color w:val="000000" w:themeColor="text1"/>
                <w:spacing w:val="-20"/>
              </w:rPr>
              <w:t>［一］至［七］</w:t>
            </w:r>
          </w:p>
          <w:p w14:paraId="24796672" w14:textId="77777777" w:rsidR="0078100D" w:rsidRPr="001B6E4D" w:rsidRDefault="0078100D" w:rsidP="003D1018">
            <w:pPr>
              <w:overflowPunct w:val="0"/>
              <w:spacing w:line="300" w:lineRule="exact"/>
              <w:ind w:leftChars="-55" w:left="180" w:hangingChars="156" w:hanging="312"/>
              <w:jc w:val="center"/>
              <w:rPr>
                <w:rFonts w:ascii="標楷體" w:eastAsia="標楷體" w:hAnsi="標楷體"/>
                <w:b/>
                <w:color w:val="000000" w:themeColor="text1"/>
                <w:spacing w:val="-20"/>
              </w:rPr>
            </w:pPr>
            <w:r w:rsidRPr="001B6E4D">
              <w:rPr>
                <w:rFonts w:ascii="標楷體" w:eastAsia="標楷體" w:hAnsi="標楷體" w:hint="eastAsia"/>
                <w:b/>
                <w:color w:val="000000" w:themeColor="text1"/>
                <w:spacing w:val="-20"/>
              </w:rPr>
              <w:t>小     計</w:t>
            </w:r>
          </w:p>
        </w:tc>
        <w:tc>
          <w:tcPr>
            <w:tcW w:w="286" w:type="pct"/>
            <w:tcBorders>
              <w:top w:val="single" w:sz="18" w:space="0" w:color="auto"/>
              <w:left w:val="single" w:sz="18" w:space="0" w:color="auto"/>
              <w:bottom w:val="single" w:sz="18" w:space="0" w:color="auto"/>
              <w:right w:val="dashed" w:sz="4" w:space="0" w:color="auto"/>
            </w:tcBorders>
            <w:shd w:val="clear" w:color="auto" w:fill="FFFFFF"/>
            <w:vAlign w:val="center"/>
          </w:tcPr>
          <w:p w14:paraId="605BF4C9" w14:textId="37E5906B" w:rsidR="0078100D" w:rsidRPr="001B6E4D" w:rsidRDefault="00A60057"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9</w:t>
            </w:r>
            <w:r w:rsidRPr="001B6E4D">
              <w:rPr>
                <w:rFonts w:ascii="標楷體" w:eastAsia="標楷體" w:hAnsi="標楷體" w:cs="新細明體"/>
                <w:b/>
                <w:color w:val="000000" w:themeColor="text1"/>
                <w:spacing w:val="-20"/>
              </w:rPr>
              <w:t>6</w:t>
            </w:r>
          </w:p>
        </w:tc>
        <w:tc>
          <w:tcPr>
            <w:tcW w:w="282" w:type="pct"/>
            <w:tcBorders>
              <w:top w:val="single" w:sz="18" w:space="0" w:color="auto"/>
              <w:left w:val="dashed" w:sz="4" w:space="0" w:color="auto"/>
              <w:bottom w:val="single" w:sz="18" w:space="0" w:color="auto"/>
              <w:right w:val="dashed" w:sz="4" w:space="0" w:color="auto"/>
            </w:tcBorders>
            <w:shd w:val="clear" w:color="auto" w:fill="FFFFFF"/>
            <w:vAlign w:val="center"/>
          </w:tcPr>
          <w:p w14:paraId="42CABDE7" w14:textId="1E8E37BB" w:rsidR="0078100D" w:rsidRPr="001B6E4D" w:rsidRDefault="000A7DA0"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3</w:t>
            </w:r>
            <w:r w:rsidRPr="001B6E4D">
              <w:rPr>
                <w:rFonts w:ascii="標楷體" w:eastAsia="標楷體" w:hAnsi="標楷體" w:cs="新細明體"/>
                <w:b/>
                <w:color w:val="000000" w:themeColor="text1"/>
                <w:spacing w:val="-20"/>
              </w:rPr>
              <w:t>23</w:t>
            </w:r>
          </w:p>
        </w:tc>
        <w:tc>
          <w:tcPr>
            <w:tcW w:w="282" w:type="pct"/>
            <w:tcBorders>
              <w:top w:val="single" w:sz="18" w:space="0" w:color="auto"/>
              <w:left w:val="dashed" w:sz="4" w:space="0" w:color="auto"/>
              <w:bottom w:val="single" w:sz="18" w:space="0" w:color="auto"/>
              <w:right w:val="dashed" w:sz="4" w:space="0" w:color="auto"/>
            </w:tcBorders>
            <w:shd w:val="clear" w:color="auto" w:fill="FFFFFF"/>
            <w:vAlign w:val="center"/>
          </w:tcPr>
          <w:p w14:paraId="76E41C8F" w14:textId="52AF2AF2" w:rsidR="0078100D" w:rsidRPr="001B6E4D" w:rsidRDefault="00352968"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121</w:t>
            </w:r>
          </w:p>
        </w:tc>
        <w:tc>
          <w:tcPr>
            <w:tcW w:w="314" w:type="pct"/>
            <w:tcBorders>
              <w:top w:val="single" w:sz="18" w:space="0" w:color="auto"/>
              <w:left w:val="dashed" w:sz="4" w:space="0" w:color="auto"/>
              <w:bottom w:val="single" w:sz="18" w:space="0" w:color="auto"/>
              <w:right w:val="dashed" w:sz="4" w:space="0" w:color="auto"/>
            </w:tcBorders>
            <w:shd w:val="clear" w:color="auto" w:fill="FFFFFF"/>
            <w:vAlign w:val="center"/>
          </w:tcPr>
          <w:p w14:paraId="28288B64" w14:textId="35316355" w:rsidR="0078100D" w:rsidRPr="001B6E4D" w:rsidRDefault="00FC3E25" w:rsidP="003D1018">
            <w:pPr>
              <w:overflowPunct w:val="0"/>
              <w:jc w:val="center"/>
              <w:rPr>
                <w:rFonts w:ascii="標楷體" w:eastAsia="標楷體" w:hAnsi="標楷體" w:cs="新細明體"/>
                <w:b/>
                <w:color w:val="000000" w:themeColor="text1"/>
                <w:spacing w:val="-42"/>
              </w:rPr>
            </w:pPr>
            <w:r w:rsidRPr="001B6E4D">
              <w:rPr>
                <w:rFonts w:ascii="標楷體" w:eastAsia="標楷體" w:hAnsi="標楷體" w:cs="新細明體" w:hint="eastAsia"/>
                <w:b/>
                <w:color w:val="000000" w:themeColor="text1"/>
                <w:spacing w:val="-42"/>
              </w:rPr>
              <w:t>116</w:t>
            </w:r>
          </w:p>
        </w:tc>
        <w:tc>
          <w:tcPr>
            <w:tcW w:w="308" w:type="pct"/>
            <w:tcBorders>
              <w:top w:val="single" w:sz="18" w:space="0" w:color="auto"/>
              <w:left w:val="dashed" w:sz="4" w:space="0" w:color="auto"/>
              <w:bottom w:val="single" w:sz="18" w:space="0" w:color="auto"/>
              <w:right w:val="dashed" w:sz="4" w:space="0" w:color="auto"/>
            </w:tcBorders>
            <w:shd w:val="clear" w:color="auto" w:fill="FFFFFF"/>
            <w:vAlign w:val="center"/>
          </w:tcPr>
          <w:p w14:paraId="36785578" w14:textId="447DFE80" w:rsidR="0078100D" w:rsidRPr="001B6E4D" w:rsidRDefault="00CB447B"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202</w:t>
            </w:r>
          </w:p>
        </w:tc>
        <w:tc>
          <w:tcPr>
            <w:tcW w:w="232" w:type="pct"/>
            <w:tcBorders>
              <w:top w:val="single" w:sz="18" w:space="0" w:color="auto"/>
              <w:left w:val="dashed" w:sz="4" w:space="0" w:color="auto"/>
              <w:bottom w:val="single" w:sz="18" w:space="0" w:color="auto"/>
              <w:right w:val="dashed" w:sz="4" w:space="0" w:color="auto"/>
            </w:tcBorders>
            <w:shd w:val="clear" w:color="auto" w:fill="FFFFFF"/>
            <w:vAlign w:val="center"/>
          </w:tcPr>
          <w:p w14:paraId="4173A3C7" w14:textId="77777777" w:rsidR="0078100D" w:rsidRPr="001B6E4D" w:rsidRDefault="0078100D" w:rsidP="003D1018">
            <w:pPr>
              <w:overflowPunct w:val="0"/>
              <w:jc w:val="center"/>
              <w:rPr>
                <w:rFonts w:ascii="標楷體" w:eastAsia="標楷體" w:hAnsi="標楷體" w:cs="新細明體"/>
                <w:b/>
                <w:color w:val="000000" w:themeColor="text1"/>
                <w:spacing w:val="-20"/>
              </w:rPr>
            </w:pPr>
          </w:p>
        </w:tc>
        <w:tc>
          <w:tcPr>
            <w:tcW w:w="231" w:type="pct"/>
            <w:tcBorders>
              <w:top w:val="single" w:sz="18" w:space="0" w:color="auto"/>
              <w:left w:val="dashed" w:sz="4" w:space="0" w:color="auto"/>
              <w:bottom w:val="single" w:sz="18" w:space="0" w:color="auto"/>
              <w:right w:val="dashed" w:sz="4" w:space="0" w:color="auto"/>
            </w:tcBorders>
            <w:shd w:val="clear" w:color="auto" w:fill="FFFFFF"/>
            <w:vAlign w:val="center"/>
          </w:tcPr>
          <w:p w14:paraId="0C5ED234" w14:textId="77777777" w:rsidR="0078100D" w:rsidRPr="001B6E4D" w:rsidRDefault="0078100D" w:rsidP="003D1018">
            <w:pPr>
              <w:overflowPunct w:val="0"/>
              <w:jc w:val="center"/>
              <w:rPr>
                <w:rFonts w:ascii="標楷體" w:eastAsia="標楷體" w:hAnsi="標楷體" w:cs="新細明體"/>
                <w:b/>
                <w:color w:val="000000" w:themeColor="text1"/>
                <w:spacing w:val="-20"/>
              </w:rPr>
            </w:pPr>
          </w:p>
        </w:tc>
        <w:tc>
          <w:tcPr>
            <w:tcW w:w="233" w:type="pct"/>
            <w:tcBorders>
              <w:top w:val="single" w:sz="18" w:space="0" w:color="auto"/>
              <w:left w:val="dashed" w:sz="4" w:space="0" w:color="auto"/>
              <w:bottom w:val="single" w:sz="18" w:space="0" w:color="auto"/>
              <w:right w:val="dashed" w:sz="4" w:space="0" w:color="auto"/>
            </w:tcBorders>
            <w:shd w:val="clear" w:color="auto" w:fill="FFFFFF"/>
            <w:vAlign w:val="center"/>
          </w:tcPr>
          <w:p w14:paraId="2CB2BE41" w14:textId="77777777" w:rsidR="0078100D" w:rsidRPr="001B6E4D" w:rsidRDefault="0078100D" w:rsidP="003D1018">
            <w:pPr>
              <w:overflowPunct w:val="0"/>
              <w:jc w:val="center"/>
              <w:rPr>
                <w:rFonts w:ascii="標楷體" w:eastAsia="標楷體" w:hAnsi="標楷體" w:cs="新細明體"/>
                <w:b/>
                <w:color w:val="000000" w:themeColor="text1"/>
                <w:spacing w:val="-20"/>
              </w:rPr>
            </w:pPr>
          </w:p>
        </w:tc>
        <w:tc>
          <w:tcPr>
            <w:tcW w:w="307" w:type="pct"/>
            <w:tcBorders>
              <w:top w:val="single" w:sz="18" w:space="0" w:color="auto"/>
              <w:left w:val="dashed" w:sz="4" w:space="0" w:color="auto"/>
              <w:bottom w:val="single" w:sz="18" w:space="0" w:color="auto"/>
              <w:right w:val="single" w:sz="4" w:space="0" w:color="auto"/>
            </w:tcBorders>
            <w:shd w:val="clear" w:color="auto" w:fill="FFFFFF"/>
            <w:vAlign w:val="center"/>
          </w:tcPr>
          <w:p w14:paraId="60398147" w14:textId="6A9AAA4E" w:rsidR="0078100D" w:rsidRPr="001B6E4D" w:rsidRDefault="00EA4A3E"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1</w:t>
            </w:r>
            <w:r w:rsidR="00CB447B" w:rsidRPr="001B6E4D">
              <w:rPr>
                <w:rFonts w:ascii="標楷體" w:eastAsia="標楷體" w:hAnsi="標楷體" w:cs="新細明體" w:hint="eastAsia"/>
                <w:b/>
                <w:color w:val="000000" w:themeColor="text1"/>
                <w:spacing w:val="-20"/>
              </w:rPr>
              <w:t>45</w:t>
            </w:r>
          </w:p>
        </w:tc>
        <w:tc>
          <w:tcPr>
            <w:tcW w:w="376" w:type="pct"/>
            <w:tcBorders>
              <w:top w:val="single" w:sz="18" w:space="0" w:color="auto"/>
              <w:left w:val="single" w:sz="4" w:space="0" w:color="auto"/>
              <w:bottom w:val="single" w:sz="18" w:space="0" w:color="auto"/>
              <w:right w:val="single" w:sz="12" w:space="0" w:color="auto"/>
            </w:tcBorders>
            <w:shd w:val="clear" w:color="auto" w:fill="FFFFFF"/>
            <w:vAlign w:val="center"/>
          </w:tcPr>
          <w:p w14:paraId="19216D71" w14:textId="47A27A01" w:rsidR="0078100D" w:rsidRPr="001B6E4D" w:rsidRDefault="0076478F" w:rsidP="003D1018">
            <w:pPr>
              <w:overflowPunct w:val="0"/>
              <w:jc w:val="center"/>
              <w:rPr>
                <w:rFonts w:ascii="標楷體" w:eastAsia="標楷體" w:hAnsi="標楷體" w:cs="新細明體"/>
                <w:b/>
                <w:color w:val="000000" w:themeColor="text1"/>
                <w:spacing w:val="-30"/>
              </w:rPr>
            </w:pPr>
            <w:r w:rsidRPr="001B6E4D">
              <w:rPr>
                <w:rFonts w:ascii="標楷體" w:eastAsia="標楷體" w:hAnsi="標楷體" w:cs="新細明體" w:hint="eastAsia"/>
                <w:b/>
                <w:color w:val="000000" w:themeColor="text1"/>
                <w:spacing w:val="-30"/>
              </w:rPr>
              <w:t>1</w:t>
            </w:r>
            <w:r w:rsidRPr="001B6E4D">
              <w:rPr>
                <w:rFonts w:ascii="標楷體" w:eastAsia="標楷體" w:hAnsi="標楷體" w:cs="新細明體"/>
                <w:b/>
                <w:color w:val="000000" w:themeColor="text1"/>
                <w:spacing w:val="-30"/>
              </w:rPr>
              <w:t>,</w:t>
            </w:r>
            <w:r w:rsidRPr="001B6E4D">
              <w:rPr>
                <w:rFonts w:ascii="標楷體" w:eastAsia="標楷體" w:hAnsi="標楷體" w:cs="新細明體" w:hint="eastAsia"/>
                <w:b/>
                <w:color w:val="000000" w:themeColor="text1"/>
                <w:spacing w:val="-30"/>
              </w:rPr>
              <w:t>003</w:t>
            </w:r>
          </w:p>
        </w:tc>
        <w:tc>
          <w:tcPr>
            <w:tcW w:w="465" w:type="pct"/>
            <w:tcBorders>
              <w:top w:val="single" w:sz="18" w:space="0" w:color="auto"/>
              <w:left w:val="single" w:sz="12" w:space="0" w:color="auto"/>
              <w:bottom w:val="single" w:sz="18" w:space="0" w:color="auto"/>
              <w:right w:val="single" w:sz="18" w:space="0" w:color="auto"/>
            </w:tcBorders>
            <w:shd w:val="clear" w:color="auto" w:fill="FFFFFF"/>
            <w:vAlign w:val="center"/>
          </w:tcPr>
          <w:p w14:paraId="32704A10" w14:textId="771D0042" w:rsidR="0078100D" w:rsidRPr="001B6E4D" w:rsidRDefault="00F06A61" w:rsidP="003D1018">
            <w:pPr>
              <w:overflowPunct w:val="0"/>
              <w:jc w:val="center"/>
              <w:rPr>
                <w:rFonts w:ascii="標楷體" w:eastAsia="標楷體" w:hAnsi="標楷體" w:cs="新細明體"/>
                <w:b/>
                <w:color w:val="000000" w:themeColor="text1"/>
              </w:rPr>
            </w:pPr>
            <w:r w:rsidRPr="001B6E4D">
              <w:rPr>
                <w:rFonts w:ascii="標楷體" w:eastAsia="標楷體" w:hAnsi="標楷體" w:cs="新細明體"/>
                <w:b/>
                <w:color w:val="000000" w:themeColor="text1"/>
                <w:spacing w:val="-30"/>
              </w:rPr>
              <w:t>1,087</w:t>
            </w:r>
          </w:p>
        </w:tc>
        <w:tc>
          <w:tcPr>
            <w:tcW w:w="461" w:type="pct"/>
            <w:tcBorders>
              <w:top w:val="single" w:sz="18" w:space="0" w:color="auto"/>
              <w:left w:val="single" w:sz="18" w:space="0" w:color="auto"/>
              <w:bottom w:val="single" w:sz="18" w:space="0" w:color="auto"/>
              <w:right w:val="single" w:sz="18" w:space="0" w:color="auto"/>
            </w:tcBorders>
            <w:shd w:val="clear" w:color="auto" w:fill="FFFFFF"/>
            <w:vAlign w:val="center"/>
          </w:tcPr>
          <w:p w14:paraId="18D622A1" w14:textId="47AB5CB4" w:rsidR="0078100D" w:rsidRPr="001B6E4D" w:rsidRDefault="00801155" w:rsidP="003D1018">
            <w:pPr>
              <w:overflowPunct w:val="0"/>
              <w:jc w:val="center"/>
              <w:rPr>
                <w:rFonts w:ascii="標楷體" w:eastAsia="標楷體" w:hAnsi="標楷體" w:cs="新細明體"/>
                <w:b/>
                <w:bCs/>
                <w:color w:val="000000" w:themeColor="text1"/>
                <w:spacing w:val="-20"/>
              </w:rPr>
            </w:pPr>
            <w:r w:rsidRPr="001B6E4D">
              <w:rPr>
                <w:rFonts w:ascii="標楷體" w:eastAsia="標楷體" w:hAnsi="標楷體" w:cs="新細明體"/>
                <w:b/>
                <w:color w:val="000000" w:themeColor="text1"/>
                <w:spacing w:val="-30"/>
              </w:rPr>
              <w:t>2</w:t>
            </w:r>
            <w:r w:rsidR="007A10A3" w:rsidRPr="001B6E4D">
              <w:rPr>
                <w:rFonts w:ascii="標楷體" w:eastAsia="標楷體" w:hAnsi="標楷體" w:cs="新細明體"/>
                <w:b/>
                <w:color w:val="000000" w:themeColor="text1"/>
                <w:spacing w:val="-30"/>
              </w:rPr>
              <w:t>,</w:t>
            </w:r>
            <w:r w:rsidRPr="001B6E4D">
              <w:rPr>
                <w:rFonts w:ascii="標楷體" w:eastAsia="標楷體" w:hAnsi="標楷體" w:cs="新細明體"/>
                <w:b/>
                <w:color w:val="000000" w:themeColor="text1"/>
                <w:spacing w:val="-30"/>
              </w:rPr>
              <w:t>090</w:t>
            </w:r>
          </w:p>
        </w:tc>
      </w:tr>
      <w:tr w:rsidR="0076478F" w:rsidRPr="001B6E4D" w14:paraId="2814B105" w14:textId="77777777" w:rsidTr="00F06A61">
        <w:trPr>
          <w:trHeight w:val="510"/>
          <w:jc w:val="center"/>
        </w:trPr>
        <w:tc>
          <w:tcPr>
            <w:tcW w:w="1224" w:type="pct"/>
            <w:gridSpan w:val="2"/>
            <w:tcBorders>
              <w:top w:val="single" w:sz="18" w:space="0" w:color="auto"/>
              <w:left w:val="single" w:sz="18" w:space="0" w:color="auto"/>
              <w:bottom w:val="thinThickSmallGap" w:sz="18" w:space="0" w:color="auto"/>
              <w:right w:val="single" w:sz="18" w:space="0" w:color="auto"/>
            </w:tcBorders>
            <w:shd w:val="clear" w:color="auto" w:fill="FFFFFF"/>
            <w:vAlign w:val="center"/>
          </w:tcPr>
          <w:p w14:paraId="64F9A492" w14:textId="77777777" w:rsidR="0078100D" w:rsidRPr="001B6E4D" w:rsidRDefault="0078100D" w:rsidP="003D1018">
            <w:pPr>
              <w:overflowPunct w:val="0"/>
              <w:spacing w:line="360" w:lineRule="exact"/>
              <w:ind w:left="200" w:hangingChars="100" w:hanging="200"/>
              <w:jc w:val="both"/>
              <w:rPr>
                <w:rFonts w:ascii="標楷體" w:eastAsia="標楷體" w:hAnsi="標楷體"/>
                <w:bCs/>
                <w:color w:val="000000" w:themeColor="text1"/>
                <w:spacing w:val="-20"/>
              </w:rPr>
            </w:pPr>
            <w:r w:rsidRPr="001B6E4D">
              <w:rPr>
                <w:rFonts w:ascii="標楷體" w:eastAsia="標楷體" w:hAnsi="標楷體" w:hint="eastAsia"/>
                <w:bCs/>
                <w:color w:val="000000" w:themeColor="text1"/>
                <w:spacing w:val="-20"/>
              </w:rPr>
              <w:t xml:space="preserve">  ［八］人民請願案</w:t>
            </w:r>
          </w:p>
        </w:tc>
        <w:tc>
          <w:tcPr>
            <w:tcW w:w="286" w:type="pct"/>
            <w:tcBorders>
              <w:top w:val="single" w:sz="18" w:space="0" w:color="auto"/>
              <w:left w:val="single" w:sz="18" w:space="0" w:color="auto"/>
              <w:bottom w:val="thinThickSmallGap" w:sz="18" w:space="0" w:color="auto"/>
              <w:right w:val="dashed" w:sz="4" w:space="0" w:color="auto"/>
            </w:tcBorders>
            <w:shd w:val="clear" w:color="auto" w:fill="FFFFFF"/>
            <w:vAlign w:val="center"/>
          </w:tcPr>
          <w:p w14:paraId="582B6E7F" w14:textId="77777777" w:rsidR="0078100D" w:rsidRPr="001B6E4D" w:rsidRDefault="0078100D" w:rsidP="003D1018">
            <w:pPr>
              <w:overflowPunct w:val="0"/>
              <w:jc w:val="center"/>
              <w:rPr>
                <w:rFonts w:ascii="標楷體" w:eastAsia="標楷體" w:hAnsi="標楷體" w:cs="新細明體"/>
                <w:b/>
                <w:bCs/>
                <w:color w:val="000000" w:themeColor="text1"/>
                <w:spacing w:val="-20"/>
              </w:rPr>
            </w:pPr>
            <w:r w:rsidRPr="001B6E4D">
              <w:rPr>
                <w:rFonts w:ascii="標楷體" w:eastAsia="標楷體" w:hAnsi="標楷體" w:cs="新細明體" w:hint="eastAsia"/>
                <w:b/>
                <w:bCs/>
                <w:color w:val="000000" w:themeColor="text1"/>
                <w:spacing w:val="-20"/>
              </w:rPr>
              <w:t>0</w:t>
            </w:r>
          </w:p>
        </w:tc>
        <w:tc>
          <w:tcPr>
            <w:tcW w:w="282" w:type="pct"/>
            <w:tcBorders>
              <w:top w:val="single" w:sz="18" w:space="0" w:color="auto"/>
              <w:left w:val="dashed" w:sz="4" w:space="0" w:color="auto"/>
              <w:bottom w:val="thinThickSmallGap" w:sz="18" w:space="0" w:color="auto"/>
              <w:right w:val="dashed" w:sz="4" w:space="0" w:color="auto"/>
            </w:tcBorders>
            <w:shd w:val="clear" w:color="auto" w:fill="FFFFFF"/>
            <w:vAlign w:val="center"/>
          </w:tcPr>
          <w:p w14:paraId="153AE8D6" w14:textId="50FCC9C3" w:rsidR="0078100D" w:rsidRPr="001B6E4D" w:rsidRDefault="000A7DA0" w:rsidP="003D1018">
            <w:pPr>
              <w:overflowPunct w:val="0"/>
              <w:jc w:val="center"/>
              <w:rPr>
                <w:rFonts w:ascii="標楷體" w:eastAsia="標楷體" w:hAnsi="標楷體" w:cs="新細明體"/>
                <w:b/>
                <w:bCs/>
                <w:color w:val="000000" w:themeColor="text1"/>
                <w:spacing w:val="-20"/>
              </w:rPr>
            </w:pPr>
            <w:r w:rsidRPr="001B6E4D">
              <w:rPr>
                <w:rFonts w:ascii="標楷體" w:eastAsia="標楷體" w:hAnsi="標楷體" w:cs="新細明體" w:hint="eastAsia"/>
                <w:b/>
                <w:bCs/>
                <w:color w:val="000000" w:themeColor="text1"/>
                <w:spacing w:val="-20"/>
              </w:rPr>
              <w:t>0</w:t>
            </w:r>
          </w:p>
        </w:tc>
        <w:tc>
          <w:tcPr>
            <w:tcW w:w="282" w:type="pct"/>
            <w:tcBorders>
              <w:top w:val="single" w:sz="18" w:space="0" w:color="auto"/>
              <w:left w:val="dashed" w:sz="4" w:space="0" w:color="auto"/>
              <w:bottom w:val="thinThickSmallGap" w:sz="18" w:space="0" w:color="auto"/>
              <w:right w:val="dashed" w:sz="4" w:space="0" w:color="auto"/>
            </w:tcBorders>
            <w:shd w:val="clear" w:color="auto" w:fill="FFFFFF"/>
            <w:vAlign w:val="center"/>
          </w:tcPr>
          <w:p w14:paraId="10032666" w14:textId="3E231FE2" w:rsidR="0078100D" w:rsidRPr="001B6E4D" w:rsidRDefault="00352968" w:rsidP="003D1018">
            <w:pPr>
              <w:overflowPunct w:val="0"/>
              <w:jc w:val="center"/>
              <w:rPr>
                <w:rFonts w:ascii="標楷體" w:eastAsia="標楷體" w:hAnsi="標楷體" w:cs="新細明體"/>
                <w:b/>
                <w:bCs/>
                <w:color w:val="000000" w:themeColor="text1"/>
                <w:spacing w:val="-20"/>
              </w:rPr>
            </w:pPr>
            <w:r w:rsidRPr="001B6E4D">
              <w:rPr>
                <w:rFonts w:ascii="標楷體" w:eastAsia="標楷體" w:hAnsi="標楷體" w:cs="新細明體" w:hint="eastAsia"/>
                <w:b/>
                <w:bCs/>
                <w:color w:val="000000" w:themeColor="text1"/>
                <w:spacing w:val="-20"/>
              </w:rPr>
              <w:t>0</w:t>
            </w:r>
          </w:p>
        </w:tc>
        <w:tc>
          <w:tcPr>
            <w:tcW w:w="314" w:type="pct"/>
            <w:tcBorders>
              <w:top w:val="single" w:sz="18" w:space="0" w:color="auto"/>
              <w:left w:val="dashed" w:sz="4" w:space="0" w:color="auto"/>
              <w:bottom w:val="thinThickSmallGap" w:sz="18" w:space="0" w:color="auto"/>
              <w:right w:val="dashed" w:sz="4" w:space="0" w:color="auto"/>
            </w:tcBorders>
            <w:shd w:val="clear" w:color="auto" w:fill="FFFFFF"/>
            <w:vAlign w:val="center"/>
          </w:tcPr>
          <w:p w14:paraId="63E4C38F" w14:textId="42C94D58" w:rsidR="0078100D" w:rsidRPr="001B6E4D" w:rsidRDefault="00EA4A3E" w:rsidP="003D1018">
            <w:pPr>
              <w:overflowPunct w:val="0"/>
              <w:jc w:val="center"/>
              <w:rPr>
                <w:rFonts w:ascii="標楷體" w:eastAsia="標楷體" w:hAnsi="標楷體" w:cs="新細明體"/>
                <w:b/>
                <w:bCs/>
                <w:color w:val="000000" w:themeColor="text1"/>
                <w:spacing w:val="-20"/>
              </w:rPr>
            </w:pPr>
            <w:r w:rsidRPr="001B6E4D">
              <w:rPr>
                <w:rFonts w:ascii="標楷體" w:eastAsia="標楷體" w:hAnsi="標楷體" w:cs="新細明體" w:hint="eastAsia"/>
                <w:b/>
                <w:bCs/>
                <w:color w:val="000000" w:themeColor="text1"/>
                <w:spacing w:val="-20"/>
              </w:rPr>
              <w:t>73</w:t>
            </w:r>
          </w:p>
        </w:tc>
        <w:tc>
          <w:tcPr>
            <w:tcW w:w="308" w:type="pct"/>
            <w:tcBorders>
              <w:top w:val="single" w:sz="18" w:space="0" w:color="auto"/>
              <w:left w:val="dashed" w:sz="4" w:space="0" w:color="auto"/>
              <w:bottom w:val="thinThickSmallGap" w:sz="18" w:space="0" w:color="auto"/>
              <w:right w:val="dashed" w:sz="4" w:space="0" w:color="auto"/>
            </w:tcBorders>
            <w:shd w:val="clear" w:color="auto" w:fill="FFFFFF"/>
            <w:vAlign w:val="center"/>
          </w:tcPr>
          <w:p w14:paraId="5A2F411B" w14:textId="309957EE" w:rsidR="0078100D" w:rsidRPr="001B6E4D" w:rsidRDefault="00CB447B" w:rsidP="003D1018">
            <w:pPr>
              <w:overflowPunct w:val="0"/>
              <w:jc w:val="center"/>
              <w:rPr>
                <w:rFonts w:ascii="標楷體" w:eastAsia="標楷體" w:hAnsi="標楷體" w:cs="新細明體"/>
                <w:b/>
                <w:bCs/>
                <w:color w:val="000000" w:themeColor="text1"/>
                <w:spacing w:val="-20"/>
              </w:rPr>
            </w:pPr>
            <w:r w:rsidRPr="001B6E4D">
              <w:rPr>
                <w:rFonts w:ascii="標楷體" w:eastAsia="標楷體" w:hAnsi="標楷體" w:cs="新細明體" w:hint="eastAsia"/>
                <w:b/>
                <w:bCs/>
                <w:color w:val="000000" w:themeColor="text1"/>
                <w:spacing w:val="-20"/>
              </w:rPr>
              <w:t>0</w:t>
            </w:r>
          </w:p>
        </w:tc>
        <w:tc>
          <w:tcPr>
            <w:tcW w:w="232" w:type="pct"/>
            <w:tcBorders>
              <w:top w:val="single" w:sz="18" w:space="0" w:color="auto"/>
              <w:left w:val="dashed" w:sz="4" w:space="0" w:color="auto"/>
              <w:bottom w:val="thinThickSmallGap" w:sz="18" w:space="0" w:color="auto"/>
              <w:right w:val="dashed" w:sz="4" w:space="0" w:color="auto"/>
            </w:tcBorders>
            <w:shd w:val="clear" w:color="auto" w:fill="FFFFFF"/>
            <w:vAlign w:val="center"/>
          </w:tcPr>
          <w:p w14:paraId="61E181D2" w14:textId="77777777" w:rsidR="0078100D" w:rsidRPr="001B6E4D" w:rsidRDefault="0078100D" w:rsidP="003D1018">
            <w:pPr>
              <w:overflowPunct w:val="0"/>
              <w:jc w:val="center"/>
              <w:rPr>
                <w:rFonts w:ascii="標楷體" w:eastAsia="標楷體" w:hAnsi="標楷體" w:cs="新細明體"/>
                <w:b/>
                <w:bCs/>
                <w:color w:val="000000" w:themeColor="text1"/>
                <w:spacing w:val="-20"/>
              </w:rPr>
            </w:pPr>
          </w:p>
        </w:tc>
        <w:tc>
          <w:tcPr>
            <w:tcW w:w="231" w:type="pct"/>
            <w:tcBorders>
              <w:top w:val="single" w:sz="18" w:space="0" w:color="auto"/>
              <w:left w:val="dashed" w:sz="4" w:space="0" w:color="auto"/>
              <w:bottom w:val="thinThickSmallGap" w:sz="18" w:space="0" w:color="auto"/>
              <w:right w:val="dashed" w:sz="4" w:space="0" w:color="auto"/>
            </w:tcBorders>
            <w:shd w:val="clear" w:color="auto" w:fill="FFFFFF"/>
            <w:vAlign w:val="center"/>
          </w:tcPr>
          <w:p w14:paraId="233E4D67" w14:textId="77777777" w:rsidR="0078100D" w:rsidRPr="001B6E4D" w:rsidRDefault="0078100D" w:rsidP="003D1018">
            <w:pPr>
              <w:overflowPunct w:val="0"/>
              <w:jc w:val="center"/>
              <w:rPr>
                <w:rFonts w:ascii="標楷體" w:eastAsia="標楷體" w:hAnsi="標楷體" w:cs="新細明體"/>
                <w:b/>
                <w:bCs/>
                <w:color w:val="000000" w:themeColor="text1"/>
                <w:spacing w:val="-20"/>
              </w:rPr>
            </w:pPr>
          </w:p>
        </w:tc>
        <w:tc>
          <w:tcPr>
            <w:tcW w:w="233" w:type="pct"/>
            <w:tcBorders>
              <w:top w:val="single" w:sz="18" w:space="0" w:color="auto"/>
              <w:left w:val="dashed" w:sz="4" w:space="0" w:color="auto"/>
              <w:bottom w:val="thinThickSmallGap" w:sz="18" w:space="0" w:color="auto"/>
              <w:right w:val="dashed" w:sz="4" w:space="0" w:color="auto"/>
            </w:tcBorders>
            <w:shd w:val="clear" w:color="auto" w:fill="FFFFFF"/>
            <w:vAlign w:val="center"/>
          </w:tcPr>
          <w:p w14:paraId="282C226A" w14:textId="77777777" w:rsidR="0078100D" w:rsidRPr="001B6E4D" w:rsidRDefault="0078100D" w:rsidP="003D1018">
            <w:pPr>
              <w:overflowPunct w:val="0"/>
              <w:jc w:val="center"/>
              <w:rPr>
                <w:rFonts w:ascii="標楷體" w:eastAsia="標楷體" w:hAnsi="標楷體" w:cs="新細明體"/>
                <w:b/>
                <w:bCs/>
                <w:color w:val="000000" w:themeColor="text1"/>
                <w:spacing w:val="-20"/>
              </w:rPr>
            </w:pPr>
          </w:p>
        </w:tc>
        <w:tc>
          <w:tcPr>
            <w:tcW w:w="307" w:type="pct"/>
            <w:tcBorders>
              <w:top w:val="single" w:sz="18" w:space="0" w:color="auto"/>
              <w:left w:val="dashed" w:sz="4" w:space="0" w:color="auto"/>
              <w:bottom w:val="thinThickSmallGap" w:sz="18" w:space="0" w:color="auto"/>
              <w:right w:val="single" w:sz="4" w:space="0" w:color="auto"/>
            </w:tcBorders>
            <w:shd w:val="clear" w:color="auto" w:fill="FFFFFF"/>
            <w:vAlign w:val="center"/>
          </w:tcPr>
          <w:p w14:paraId="4031069D" w14:textId="0DF8FC8B" w:rsidR="0078100D" w:rsidRPr="001B6E4D" w:rsidRDefault="00254294" w:rsidP="003D1018">
            <w:pPr>
              <w:overflowPunct w:val="0"/>
              <w:jc w:val="center"/>
              <w:rPr>
                <w:rFonts w:ascii="標楷體" w:eastAsia="標楷體" w:hAnsi="標楷體" w:cs="新細明體"/>
                <w:b/>
                <w:bCs/>
                <w:color w:val="000000" w:themeColor="text1"/>
                <w:spacing w:val="-20"/>
              </w:rPr>
            </w:pPr>
            <w:r w:rsidRPr="001B6E4D">
              <w:rPr>
                <w:rFonts w:ascii="標楷體" w:eastAsia="標楷體" w:hAnsi="標楷體" w:cs="新細明體" w:hint="eastAsia"/>
                <w:b/>
                <w:bCs/>
                <w:color w:val="000000" w:themeColor="text1"/>
                <w:spacing w:val="-20"/>
              </w:rPr>
              <w:t>0</w:t>
            </w:r>
          </w:p>
        </w:tc>
        <w:tc>
          <w:tcPr>
            <w:tcW w:w="376" w:type="pct"/>
            <w:tcBorders>
              <w:top w:val="single" w:sz="18" w:space="0" w:color="auto"/>
              <w:left w:val="single" w:sz="4" w:space="0" w:color="auto"/>
              <w:bottom w:val="thinThickSmallGap" w:sz="18" w:space="0" w:color="auto"/>
              <w:right w:val="single" w:sz="12" w:space="0" w:color="auto"/>
            </w:tcBorders>
            <w:shd w:val="clear" w:color="auto" w:fill="FFFFFF"/>
            <w:vAlign w:val="center"/>
          </w:tcPr>
          <w:p w14:paraId="33D7812A" w14:textId="67102525" w:rsidR="0078100D" w:rsidRPr="001B6E4D" w:rsidRDefault="00E3322F" w:rsidP="003D1018">
            <w:pPr>
              <w:overflowPunct w:val="0"/>
              <w:jc w:val="center"/>
              <w:rPr>
                <w:rFonts w:ascii="標楷體" w:eastAsia="標楷體" w:hAnsi="標楷體" w:cs="新細明體"/>
                <w:b/>
                <w:bCs/>
                <w:color w:val="000000" w:themeColor="text1"/>
              </w:rPr>
            </w:pPr>
            <w:r w:rsidRPr="001B6E4D">
              <w:rPr>
                <w:rFonts w:ascii="標楷體" w:eastAsia="標楷體" w:hAnsi="標楷體" w:cs="新細明體" w:hint="eastAsia"/>
                <w:b/>
                <w:bCs/>
                <w:color w:val="000000" w:themeColor="text1"/>
              </w:rPr>
              <w:t>73</w:t>
            </w:r>
          </w:p>
        </w:tc>
        <w:tc>
          <w:tcPr>
            <w:tcW w:w="465" w:type="pct"/>
            <w:tcBorders>
              <w:top w:val="single" w:sz="18" w:space="0" w:color="auto"/>
              <w:left w:val="single" w:sz="12" w:space="0" w:color="auto"/>
              <w:bottom w:val="thinThickSmallGap" w:sz="18" w:space="0" w:color="auto"/>
              <w:right w:val="single" w:sz="18" w:space="0" w:color="auto"/>
            </w:tcBorders>
            <w:shd w:val="clear" w:color="auto" w:fill="FFFFFF"/>
            <w:vAlign w:val="center"/>
          </w:tcPr>
          <w:p w14:paraId="6D82F0B6" w14:textId="6272B633" w:rsidR="0078100D" w:rsidRPr="001B6E4D" w:rsidRDefault="00CB447B" w:rsidP="003D1018">
            <w:pPr>
              <w:overflowPunct w:val="0"/>
              <w:jc w:val="center"/>
              <w:rPr>
                <w:rFonts w:ascii="標楷體" w:eastAsia="標楷體" w:hAnsi="標楷體" w:cs="新細明體"/>
                <w:b/>
                <w:bCs/>
                <w:color w:val="000000" w:themeColor="text1"/>
              </w:rPr>
            </w:pPr>
            <w:r w:rsidRPr="001B6E4D">
              <w:rPr>
                <w:rFonts w:ascii="標楷體" w:eastAsia="標楷體" w:hAnsi="標楷體" w:cs="新細明體" w:hint="eastAsia"/>
                <w:b/>
                <w:bCs/>
                <w:color w:val="000000" w:themeColor="text1"/>
              </w:rPr>
              <w:t>5</w:t>
            </w:r>
          </w:p>
        </w:tc>
        <w:tc>
          <w:tcPr>
            <w:tcW w:w="461" w:type="pct"/>
            <w:tcBorders>
              <w:top w:val="single" w:sz="18" w:space="0" w:color="auto"/>
              <w:left w:val="single" w:sz="18" w:space="0" w:color="auto"/>
              <w:bottom w:val="thinThickSmallGap" w:sz="18" w:space="0" w:color="auto"/>
              <w:right w:val="single" w:sz="18" w:space="0" w:color="auto"/>
            </w:tcBorders>
            <w:shd w:val="clear" w:color="auto" w:fill="FFFFFF"/>
            <w:vAlign w:val="center"/>
          </w:tcPr>
          <w:p w14:paraId="535968C2" w14:textId="51224BE7" w:rsidR="0078100D" w:rsidRPr="001B6E4D" w:rsidRDefault="00F66F9B" w:rsidP="003D1018">
            <w:pPr>
              <w:overflowPunct w:val="0"/>
              <w:jc w:val="center"/>
              <w:rPr>
                <w:rFonts w:ascii="標楷體" w:eastAsia="標楷體" w:hAnsi="標楷體" w:cs="新細明體"/>
                <w:b/>
                <w:bCs/>
                <w:color w:val="000000" w:themeColor="text1"/>
              </w:rPr>
            </w:pPr>
            <w:r w:rsidRPr="001B6E4D">
              <w:rPr>
                <w:rFonts w:ascii="標楷體" w:eastAsia="標楷體" w:hAnsi="標楷體" w:cs="新細明體" w:hint="eastAsia"/>
                <w:b/>
                <w:bCs/>
                <w:color w:val="000000" w:themeColor="text1"/>
              </w:rPr>
              <w:t>7</w:t>
            </w:r>
            <w:r w:rsidR="00801155" w:rsidRPr="001B6E4D">
              <w:rPr>
                <w:rFonts w:ascii="標楷體" w:eastAsia="標楷體" w:hAnsi="標楷體" w:cs="新細明體"/>
                <w:b/>
                <w:bCs/>
                <w:color w:val="000000" w:themeColor="text1"/>
              </w:rPr>
              <w:t>8</w:t>
            </w:r>
          </w:p>
        </w:tc>
      </w:tr>
      <w:tr w:rsidR="0076478F" w:rsidRPr="001B6E4D" w14:paraId="13B03AB3" w14:textId="77777777" w:rsidTr="00F06A61">
        <w:trPr>
          <w:trHeight w:val="624"/>
          <w:jc w:val="center"/>
        </w:trPr>
        <w:tc>
          <w:tcPr>
            <w:tcW w:w="1224" w:type="pct"/>
            <w:gridSpan w:val="2"/>
            <w:tcBorders>
              <w:top w:val="thinThickSmallGap" w:sz="18" w:space="0" w:color="auto"/>
              <w:left w:val="single" w:sz="18" w:space="0" w:color="auto"/>
              <w:bottom w:val="single" w:sz="18" w:space="0" w:color="auto"/>
              <w:right w:val="single" w:sz="18" w:space="0" w:color="auto"/>
            </w:tcBorders>
            <w:shd w:val="clear" w:color="auto" w:fill="FFFFFF"/>
            <w:vAlign w:val="center"/>
          </w:tcPr>
          <w:p w14:paraId="3CD7DECA" w14:textId="77777777" w:rsidR="0078100D" w:rsidRPr="001B6E4D" w:rsidRDefault="0078100D" w:rsidP="003D1018">
            <w:pPr>
              <w:overflowPunct w:val="0"/>
              <w:spacing w:line="300" w:lineRule="exact"/>
              <w:ind w:leftChars="-55" w:left="180" w:hangingChars="156" w:hanging="312"/>
              <w:jc w:val="center"/>
              <w:rPr>
                <w:rFonts w:ascii="標楷體" w:eastAsia="標楷體" w:hAnsi="標楷體"/>
                <w:b/>
                <w:color w:val="000000" w:themeColor="text1"/>
                <w:spacing w:val="-20"/>
              </w:rPr>
            </w:pPr>
            <w:r w:rsidRPr="001B6E4D">
              <w:rPr>
                <w:rFonts w:ascii="標楷體" w:eastAsia="標楷體" w:hAnsi="標楷體" w:hint="eastAsia"/>
                <w:b/>
                <w:color w:val="000000" w:themeColor="text1"/>
                <w:spacing w:val="-20"/>
              </w:rPr>
              <w:t>［一］至［八］</w:t>
            </w:r>
          </w:p>
          <w:p w14:paraId="408ABA48" w14:textId="77777777" w:rsidR="0078100D" w:rsidRPr="001B6E4D" w:rsidRDefault="0078100D" w:rsidP="003D1018">
            <w:pPr>
              <w:overflowPunct w:val="0"/>
              <w:spacing w:line="300" w:lineRule="exact"/>
              <w:ind w:leftChars="-55" w:left="180" w:hangingChars="156" w:hanging="312"/>
              <w:jc w:val="center"/>
              <w:rPr>
                <w:rFonts w:ascii="標楷體" w:eastAsia="標楷體" w:hAnsi="標楷體"/>
                <w:b/>
                <w:color w:val="000000" w:themeColor="text1"/>
              </w:rPr>
            </w:pPr>
            <w:r w:rsidRPr="001B6E4D">
              <w:rPr>
                <w:rFonts w:ascii="標楷體" w:eastAsia="標楷體" w:hAnsi="標楷體"/>
                <w:b/>
                <w:color w:val="000000" w:themeColor="text1"/>
                <w:spacing w:val="-20"/>
              </w:rPr>
              <w:t xml:space="preserve">總  </w:t>
            </w:r>
            <w:r w:rsidRPr="001B6E4D">
              <w:rPr>
                <w:rFonts w:ascii="標楷體" w:eastAsia="標楷體" w:hAnsi="標楷體" w:hint="eastAsia"/>
                <w:b/>
                <w:color w:val="000000" w:themeColor="text1"/>
                <w:spacing w:val="-20"/>
              </w:rPr>
              <w:t xml:space="preserve">   </w:t>
            </w:r>
            <w:r w:rsidRPr="001B6E4D">
              <w:rPr>
                <w:rFonts w:ascii="標楷體" w:eastAsia="標楷體" w:hAnsi="標楷體"/>
                <w:b/>
                <w:color w:val="000000" w:themeColor="text1"/>
                <w:spacing w:val="-20"/>
              </w:rPr>
              <w:t>計</w:t>
            </w:r>
          </w:p>
        </w:tc>
        <w:tc>
          <w:tcPr>
            <w:tcW w:w="286" w:type="pct"/>
            <w:tcBorders>
              <w:top w:val="thinThickSmallGap" w:sz="18" w:space="0" w:color="auto"/>
              <w:left w:val="single" w:sz="18" w:space="0" w:color="auto"/>
              <w:bottom w:val="single" w:sz="18" w:space="0" w:color="auto"/>
              <w:right w:val="dashed" w:sz="4" w:space="0" w:color="auto"/>
            </w:tcBorders>
            <w:shd w:val="clear" w:color="auto" w:fill="FFFFFF"/>
            <w:vAlign w:val="center"/>
          </w:tcPr>
          <w:p w14:paraId="25194043" w14:textId="4F166CE9" w:rsidR="0078100D" w:rsidRPr="001B6E4D" w:rsidRDefault="009334DE"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9</w:t>
            </w:r>
            <w:r w:rsidRPr="001B6E4D">
              <w:rPr>
                <w:rFonts w:ascii="標楷體" w:eastAsia="標楷體" w:hAnsi="標楷體" w:cs="新細明體"/>
                <w:b/>
                <w:color w:val="000000" w:themeColor="text1"/>
                <w:spacing w:val="-20"/>
              </w:rPr>
              <w:t>6</w:t>
            </w:r>
          </w:p>
        </w:tc>
        <w:tc>
          <w:tcPr>
            <w:tcW w:w="282" w:type="pct"/>
            <w:tcBorders>
              <w:top w:val="thinThickSmallGap" w:sz="18" w:space="0" w:color="auto"/>
              <w:left w:val="dashed" w:sz="4" w:space="0" w:color="auto"/>
              <w:bottom w:val="single" w:sz="18" w:space="0" w:color="auto"/>
              <w:right w:val="dashed" w:sz="4" w:space="0" w:color="auto"/>
            </w:tcBorders>
            <w:shd w:val="clear" w:color="auto" w:fill="FFFFFF"/>
            <w:vAlign w:val="center"/>
          </w:tcPr>
          <w:p w14:paraId="54C31797" w14:textId="228F1371" w:rsidR="0078100D" w:rsidRPr="001B6E4D" w:rsidRDefault="000A7DA0"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3</w:t>
            </w:r>
            <w:r w:rsidRPr="001B6E4D">
              <w:rPr>
                <w:rFonts w:ascii="標楷體" w:eastAsia="標楷體" w:hAnsi="標楷體" w:cs="新細明體"/>
                <w:b/>
                <w:color w:val="000000" w:themeColor="text1"/>
                <w:spacing w:val="-20"/>
              </w:rPr>
              <w:t>23</w:t>
            </w:r>
          </w:p>
        </w:tc>
        <w:tc>
          <w:tcPr>
            <w:tcW w:w="282" w:type="pct"/>
            <w:tcBorders>
              <w:top w:val="thinThickSmallGap" w:sz="18" w:space="0" w:color="auto"/>
              <w:left w:val="dashed" w:sz="4" w:space="0" w:color="auto"/>
              <w:bottom w:val="single" w:sz="18" w:space="0" w:color="auto"/>
              <w:right w:val="dashed" w:sz="4" w:space="0" w:color="auto"/>
            </w:tcBorders>
            <w:shd w:val="clear" w:color="auto" w:fill="FFFFFF"/>
            <w:vAlign w:val="center"/>
          </w:tcPr>
          <w:p w14:paraId="5B6CE01C" w14:textId="356CA497" w:rsidR="0078100D" w:rsidRPr="001B6E4D" w:rsidRDefault="00352968"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121</w:t>
            </w:r>
          </w:p>
        </w:tc>
        <w:tc>
          <w:tcPr>
            <w:tcW w:w="314" w:type="pct"/>
            <w:tcBorders>
              <w:top w:val="thinThickSmallGap" w:sz="18" w:space="0" w:color="auto"/>
              <w:left w:val="dashed" w:sz="4" w:space="0" w:color="auto"/>
              <w:bottom w:val="single" w:sz="18" w:space="0" w:color="auto"/>
              <w:right w:val="dashed" w:sz="4" w:space="0" w:color="auto"/>
            </w:tcBorders>
            <w:shd w:val="clear" w:color="auto" w:fill="FFFFFF"/>
            <w:vAlign w:val="center"/>
          </w:tcPr>
          <w:p w14:paraId="7ADE6D5B" w14:textId="5F61AB00" w:rsidR="0078100D" w:rsidRPr="001B6E4D" w:rsidRDefault="00EA4A3E"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189</w:t>
            </w:r>
          </w:p>
        </w:tc>
        <w:tc>
          <w:tcPr>
            <w:tcW w:w="308" w:type="pct"/>
            <w:tcBorders>
              <w:top w:val="thinThickSmallGap" w:sz="18" w:space="0" w:color="auto"/>
              <w:left w:val="dashed" w:sz="4" w:space="0" w:color="auto"/>
              <w:bottom w:val="single" w:sz="18" w:space="0" w:color="auto"/>
              <w:right w:val="dashed" w:sz="4" w:space="0" w:color="auto"/>
            </w:tcBorders>
            <w:shd w:val="clear" w:color="auto" w:fill="FFFFFF"/>
            <w:vAlign w:val="center"/>
          </w:tcPr>
          <w:p w14:paraId="42163E6F" w14:textId="5A3CD541" w:rsidR="0078100D" w:rsidRPr="001B6E4D" w:rsidRDefault="00CB447B"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202</w:t>
            </w:r>
          </w:p>
        </w:tc>
        <w:tc>
          <w:tcPr>
            <w:tcW w:w="232" w:type="pct"/>
            <w:tcBorders>
              <w:top w:val="thinThickSmallGap" w:sz="18" w:space="0" w:color="auto"/>
              <w:left w:val="dashed" w:sz="4" w:space="0" w:color="auto"/>
              <w:bottom w:val="single" w:sz="18" w:space="0" w:color="auto"/>
              <w:right w:val="dashed" w:sz="4" w:space="0" w:color="auto"/>
            </w:tcBorders>
            <w:shd w:val="clear" w:color="auto" w:fill="FFFFFF"/>
            <w:vAlign w:val="center"/>
          </w:tcPr>
          <w:p w14:paraId="6A660442" w14:textId="77777777" w:rsidR="0078100D" w:rsidRPr="001B6E4D" w:rsidRDefault="0078100D" w:rsidP="003D1018">
            <w:pPr>
              <w:overflowPunct w:val="0"/>
              <w:jc w:val="center"/>
              <w:rPr>
                <w:rFonts w:ascii="標楷體" w:eastAsia="標楷體" w:hAnsi="標楷體" w:cs="新細明體"/>
                <w:b/>
                <w:color w:val="000000" w:themeColor="text1"/>
                <w:spacing w:val="-20"/>
              </w:rPr>
            </w:pPr>
          </w:p>
        </w:tc>
        <w:tc>
          <w:tcPr>
            <w:tcW w:w="231" w:type="pct"/>
            <w:tcBorders>
              <w:top w:val="thinThickSmallGap" w:sz="18" w:space="0" w:color="auto"/>
              <w:left w:val="dashed" w:sz="4" w:space="0" w:color="auto"/>
              <w:bottom w:val="single" w:sz="18" w:space="0" w:color="auto"/>
              <w:right w:val="dashed" w:sz="4" w:space="0" w:color="auto"/>
            </w:tcBorders>
            <w:shd w:val="clear" w:color="auto" w:fill="FFFFFF"/>
            <w:vAlign w:val="center"/>
          </w:tcPr>
          <w:p w14:paraId="66BE534E" w14:textId="77777777" w:rsidR="0078100D" w:rsidRPr="001B6E4D" w:rsidRDefault="0078100D" w:rsidP="003D1018">
            <w:pPr>
              <w:overflowPunct w:val="0"/>
              <w:jc w:val="center"/>
              <w:rPr>
                <w:rFonts w:ascii="標楷體" w:eastAsia="標楷體" w:hAnsi="標楷體" w:cs="新細明體"/>
                <w:b/>
                <w:color w:val="000000" w:themeColor="text1"/>
                <w:spacing w:val="-20"/>
              </w:rPr>
            </w:pPr>
          </w:p>
        </w:tc>
        <w:tc>
          <w:tcPr>
            <w:tcW w:w="233" w:type="pct"/>
            <w:tcBorders>
              <w:top w:val="thinThickSmallGap" w:sz="18" w:space="0" w:color="auto"/>
              <w:left w:val="dashed" w:sz="4" w:space="0" w:color="auto"/>
              <w:bottom w:val="single" w:sz="18" w:space="0" w:color="auto"/>
              <w:right w:val="dashed" w:sz="4" w:space="0" w:color="auto"/>
            </w:tcBorders>
            <w:shd w:val="clear" w:color="auto" w:fill="FFFFFF"/>
            <w:vAlign w:val="center"/>
          </w:tcPr>
          <w:p w14:paraId="2E8ED6CA" w14:textId="77777777" w:rsidR="0078100D" w:rsidRPr="001B6E4D" w:rsidRDefault="0078100D" w:rsidP="003D1018">
            <w:pPr>
              <w:overflowPunct w:val="0"/>
              <w:jc w:val="center"/>
              <w:rPr>
                <w:rFonts w:ascii="標楷體" w:eastAsia="標楷體" w:hAnsi="標楷體" w:cs="新細明體"/>
                <w:b/>
                <w:color w:val="000000" w:themeColor="text1"/>
                <w:spacing w:val="-20"/>
              </w:rPr>
            </w:pPr>
          </w:p>
        </w:tc>
        <w:tc>
          <w:tcPr>
            <w:tcW w:w="307" w:type="pct"/>
            <w:tcBorders>
              <w:top w:val="thinThickSmallGap" w:sz="18" w:space="0" w:color="auto"/>
              <w:left w:val="dashed" w:sz="4" w:space="0" w:color="auto"/>
              <w:bottom w:val="single" w:sz="18" w:space="0" w:color="auto"/>
              <w:right w:val="single" w:sz="4" w:space="0" w:color="auto"/>
            </w:tcBorders>
            <w:shd w:val="clear" w:color="auto" w:fill="FFFFFF"/>
            <w:vAlign w:val="center"/>
          </w:tcPr>
          <w:p w14:paraId="38D2DC19" w14:textId="32C56A40" w:rsidR="0078100D" w:rsidRPr="001B6E4D" w:rsidRDefault="00EA4A3E" w:rsidP="003D1018">
            <w:pPr>
              <w:overflowPunct w:val="0"/>
              <w:jc w:val="center"/>
              <w:rPr>
                <w:rFonts w:ascii="標楷體" w:eastAsia="標楷體" w:hAnsi="標楷體" w:cs="新細明體"/>
                <w:b/>
                <w:color w:val="000000" w:themeColor="text1"/>
                <w:spacing w:val="-20"/>
              </w:rPr>
            </w:pPr>
            <w:r w:rsidRPr="001B6E4D">
              <w:rPr>
                <w:rFonts w:ascii="標楷體" w:eastAsia="標楷體" w:hAnsi="標楷體" w:cs="新細明體" w:hint="eastAsia"/>
                <w:b/>
                <w:color w:val="000000" w:themeColor="text1"/>
                <w:spacing w:val="-20"/>
              </w:rPr>
              <w:t>1</w:t>
            </w:r>
            <w:r w:rsidR="00CB447B" w:rsidRPr="001B6E4D">
              <w:rPr>
                <w:rFonts w:ascii="標楷體" w:eastAsia="標楷體" w:hAnsi="標楷體" w:cs="新細明體" w:hint="eastAsia"/>
                <w:b/>
                <w:color w:val="000000" w:themeColor="text1"/>
                <w:spacing w:val="-20"/>
              </w:rPr>
              <w:t>45</w:t>
            </w:r>
          </w:p>
        </w:tc>
        <w:tc>
          <w:tcPr>
            <w:tcW w:w="376" w:type="pct"/>
            <w:tcBorders>
              <w:top w:val="thinThickSmallGap" w:sz="18" w:space="0" w:color="auto"/>
              <w:left w:val="single" w:sz="4" w:space="0" w:color="auto"/>
              <w:bottom w:val="single" w:sz="18" w:space="0" w:color="auto"/>
              <w:right w:val="single" w:sz="12" w:space="0" w:color="auto"/>
            </w:tcBorders>
            <w:shd w:val="clear" w:color="auto" w:fill="FFFFFF"/>
            <w:vAlign w:val="center"/>
          </w:tcPr>
          <w:p w14:paraId="0C528752" w14:textId="1FF35DA2" w:rsidR="0078100D" w:rsidRPr="001B6E4D" w:rsidRDefault="006F1CA0" w:rsidP="003D1018">
            <w:pPr>
              <w:overflowPunct w:val="0"/>
              <w:jc w:val="center"/>
              <w:rPr>
                <w:rFonts w:ascii="標楷體" w:eastAsia="標楷體" w:hAnsi="標楷體" w:cs="新細明體"/>
                <w:b/>
                <w:color w:val="000000" w:themeColor="text1"/>
              </w:rPr>
            </w:pPr>
            <w:r w:rsidRPr="001B6E4D">
              <w:rPr>
                <w:rFonts w:ascii="標楷體" w:eastAsia="標楷體" w:hAnsi="標楷體" w:cs="新細明體"/>
                <w:b/>
                <w:color w:val="000000" w:themeColor="text1"/>
                <w:spacing w:val="-30"/>
              </w:rPr>
              <w:t>1,076</w:t>
            </w:r>
          </w:p>
        </w:tc>
        <w:tc>
          <w:tcPr>
            <w:tcW w:w="465" w:type="pct"/>
            <w:tcBorders>
              <w:top w:val="thinThickSmallGap" w:sz="18" w:space="0" w:color="auto"/>
              <w:left w:val="single" w:sz="12" w:space="0" w:color="auto"/>
              <w:bottom w:val="single" w:sz="18" w:space="0" w:color="auto"/>
              <w:right w:val="single" w:sz="18" w:space="0" w:color="auto"/>
            </w:tcBorders>
            <w:shd w:val="clear" w:color="auto" w:fill="FFFFFF"/>
            <w:vAlign w:val="center"/>
          </w:tcPr>
          <w:p w14:paraId="551E1F44" w14:textId="5E951AE1" w:rsidR="0078100D" w:rsidRPr="001B6E4D" w:rsidRDefault="00214F82" w:rsidP="003D1018">
            <w:pPr>
              <w:overflowPunct w:val="0"/>
              <w:jc w:val="center"/>
              <w:rPr>
                <w:rFonts w:ascii="標楷體" w:eastAsia="標楷體" w:hAnsi="標楷體" w:cs="新細明體"/>
                <w:b/>
                <w:color w:val="000000" w:themeColor="text1"/>
              </w:rPr>
            </w:pPr>
            <w:r w:rsidRPr="001B6E4D">
              <w:rPr>
                <w:rFonts w:ascii="標楷體" w:eastAsia="標楷體" w:hAnsi="標楷體" w:cs="新細明體"/>
                <w:b/>
                <w:color w:val="000000" w:themeColor="text1"/>
                <w:spacing w:val="-30"/>
              </w:rPr>
              <w:t>1,092</w:t>
            </w:r>
          </w:p>
        </w:tc>
        <w:tc>
          <w:tcPr>
            <w:tcW w:w="461" w:type="pct"/>
            <w:tcBorders>
              <w:top w:val="thinThickSmallGap" w:sz="18" w:space="0" w:color="auto"/>
              <w:left w:val="single" w:sz="18" w:space="0" w:color="auto"/>
              <w:bottom w:val="single" w:sz="18" w:space="0" w:color="auto"/>
              <w:right w:val="single" w:sz="18" w:space="0" w:color="auto"/>
            </w:tcBorders>
            <w:shd w:val="clear" w:color="auto" w:fill="FFFFFF"/>
            <w:vAlign w:val="center"/>
          </w:tcPr>
          <w:p w14:paraId="7FA262AB" w14:textId="71F14148" w:rsidR="0078100D" w:rsidRPr="001B6E4D" w:rsidRDefault="00A50C93" w:rsidP="003D1018">
            <w:pPr>
              <w:overflowPunct w:val="0"/>
              <w:jc w:val="center"/>
              <w:rPr>
                <w:rFonts w:ascii="標楷體" w:eastAsia="標楷體" w:hAnsi="標楷體" w:cs="新細明體"/>
                <w:b/>
                <w:bCs/>
                <w:color w:val="000000" w:themeColor="text1"/>
                <w:spacing w:val="-20"/>
              </w:rPr>
            </w:pPr>
            <w:r w:rsidRPr="001B6E4D">
              <w:rPr>
                <w:rFonts w:ascii="標楷體" w:eastAsia="標楷體" w:hAnsi="標楷體" w:cs="新細明體"/>
                <w:b/>
                <w:color w:val="000000" w:themeColor="text1"/>
                <w:spacing w:val="-30"/>
              </w:rPr>
              <w:t>2</w:t>
            </w:r>
            <w:r w:rsidR="007A10A3" w:rsidRPr="001B6E4D">
              <w:rPr>
                <w:rFonts w:ascii="標楷體" w:eastAsia="標楷體" w:hAnsi="標楷體" w:cs="新細明體"/>
                <w:b/>
                <w:color w:val="000000" w:themeColor="text1"/>
                <w:spacing w:val="-30"/>
              </w:rPr>
              <w:t>,</w:t>
            </w:r>
            <w:r w:rsidRPr="001B6E4D">
              <w:rPr>
                <w:rFonts w:ascii="標楷體" w:eastAsia="標楷體" w:hAnsi="標楷體" w:cs="新細明體"/>
                <w:b/>
                <w:color w:val="000000" w:themeColor="text1"/>
                <w:spacing w:val="-30"/>
              </w:rPr>
              <w:t>1</w:t>
            </w:r>
            <w:r w:rsidR="00E3322F" w:rsidRPr="001B6E4D">
              <w:rPr>
                <w:rFonts w:ascii="標楷體" w:eastAsia="標楷體" w:hAnsi="標楷體" w:cs="新細明體" w:hint="eastAsia"/>
                <w:b/>
                <w:color w:val="000000" w:themeColor="text1"/>
                <w:spacing w:val="-30"/>
              </w:rPr>
              <w:t>6</w:t>
            </w:r>
            <w:r w:rsidRPr="001B6E4D">
              <w:rPr>
                <w:rFonts w:ascii="標楷體" w:eastAsia="標楷體" w:hAnsi="標楷體" w:cs="新細明體"/>
                <w:b/>
                <w:color w:val="000000" w:themeColor="text1"/>
                <w:spacing w:val="-30"/>
              </w:rPr>
              <w:t>8</w:t>
            </w:r>
          </w:p>
        </w:tc>
      </w:tr>
    </w:tbl>
    <w:p w14:paraId="6AC8B32D" w14:textId="77777777" w:rsidR="0078100D" w:rsidRPr="001B6E4D" w:rsidRDefault="0078100D" w:rsidP="003D1018">
      <w:pPr>
        <w:overflowPunct w:val="0"/>
        <w:adjustRightInd w:val="0"/>
        <w:snapToGrid w:val="0"/>
        <w:spacing w:line="300" w:lineRule="exact"/>
        <w:jc w:val="both"/>
        <w:rPr>
          <w:rFonts w:ascii="標楷體" w:eastAsia="標楷體" w:hAnsi="標楷體"/>
          <w:color w:val="000000" w:themeColor="text1"/>
        </w:rPr>
      </w:pPr>
      <w:r w:rsidRPr="001B6E4D">
        <w:rPr>
          <w:rFonts w:ascii="標楷體" w:eastAsia="標楷體" w:hAnsi="標楷體" w:hint="eastAsia"/>
          <w:color w:val="000000" w:themeColor="text1"/>
        </w:rPr>
        <w:t>1.</w:t>
      </w:r>
      <w:r w:rsidRPr="001B6E4D">
        <w:rPr>
          <w:rFonts w:ascii="標楷體" w:eastAsia="標楷體" w:hAnsi="標楷體"/>
          <w:color w:val="000000" w:themeColor="text1"/>
        </w:rPr>
        <w:t>本統計表件數，以第11屆第1會期至第8會期</w:t>
      </w:r>
      <w:r w:rsidRPr="001B6E4D">
        <w:rPr>
          <w:rFonts w:ascii="標楷體" w:eastAsia="標楷體" w:hAnsi="標楷體" w:hint="eastAsia"/>
          <w:color w:val="000000" w:themeColor="text1"/>
        </w:rPr>
        <w:t>，</w:t>
      </w:r>
      <w:r w:rsidRPr="001B6E4D">
        <w:rPr>
          <w:rFonts w:ascii="標楷體" w:eastAsia="標楷體" w:hAnsi="標楷體"/>
          <w:color w:val="000000" w:themeColor="text1"/>
        </w:rPr>
        <w:t>院會交下之</w:t>
      </w:r>
      <w:r w:rsidRPr="001B6E4D">
        <w:rPr>
          <w:rFonts w:ascii="標楷體" w:eastAsia="標楷體" w:hAnsi="標楷體" w:hint="eastAsia"/>
          <w:color w:val="000000" w:themeColor="text1"/>
        </w:rPr>
        <w:t>議案</w:t>
      </w:r>
      <w:r w:rsidRPr="001B6E4D">
        <w:rPr>
          <w:rFonts w:ascii="標楷體" w:eastAsia="標楷體" w:hAnsi="標楷體"/>
          <w:color w:val="000000" w:themeColor="text1"/>
        </w:rPr>
        <w:t>件數為主</w:t>
      </w:r>
      <w:r w:rsidRPr="001B6E4D">
        <w:rPr>
          <w:rFonts w:ascii="標楷體" w:eastAsia="標楷體" w:hAnsi="標楷體" w:hint="eastAsia"/>
          <w:color w:val="000000" w:themeColor="text1"/>
        </w:rPr>
        <w:t>。</w:t>
      </w:r>
    </w:p>
    <w:p w14:paraId="308EB07F" w14:textId="77777777" w:rsidR="0078100D" w:rsidRPr="001B6E4D" w:rsidRDefault="0078100D" w:rsidP="003D1018">
      <w:pPr>
        <w:overflowPunct w:val="0"/>
        <w:adjustRightInd w:val="0"/>
        <w:snapToGrid w:val="0"/>
        <w:spacing w:line="300" w:lineRule="exact"/>
        <w:ind w:leftChars="100" w:left="240"/>
        <w:jc w:val="both"/>
        <w:rPr>
          <w:rFonts w:ascii="標楷體" w:eastAsia="標楷體" w:hAnsi="標楷體"/>
          <w:color w:val="000000" w:themeColor="text1"/>
        </w:rPr>
      </w:pPr>
      <w:r w:rsidRPr="001B6E4D">
        <w:rPr>
          <w:rFonts w:ascii="標楷體" w:eastAsia="標楷體" w:hAnsi="標楷體"/>
          <w:color w:val="000000" w:themeColor="text1"/>
        </w:rPr>
        <w:t>包含第</w:t>
      </w:r>
      <w:r w:rsidRPr="001B6E4D">
        <w:rPr>
          <w:rFonts w:ascii="標楷體" w:eastAsia="標楷體" w:hAnsi="標楷體" w:hint="eastAsia"/>
          <w:color w:val="000000" w:themeColor="text1"/>
        </w:rPr>
        <w:t>1</w:t>
      </w:r>
      <w:r w:rsidRPr="001B6E4D">
        <w:rPr>
          <w:rFonts w:ascii="標楷體" w:eastAsia="標楷體" w:hAnsi="標楷體"/>
          <w:color w:val="000000" w:themeColor="text1"/>
        </w:rPr>
        <w:t>1屆</w:t>
      </w:r>
      <w:r w:rsidRPr="001B6E4D">
        <w:rPr>
          <w:rFonts w:ascii="標楷體" w:eastAsia="標楷體" w:hAnsi="標楷體" w:hint="eastAsia"/>
          <w:color w:val="000000" w:themeColor="text1"/>
        </w:rPr>
        <w:t>之</w:t>
      </w:r>
      <w:r w:rsidRPr="001B6E4D">
        <w:rPr>
          <w:rFonts w:ascii="標楷體" w:eastAsia="標楷體" w:hAnsi="標楷體"/>
          <w:color w:val="000000" w:themeColor="text1"/>
        </w:rPr>
        <w:t>前</w:t>
      </w:r>
      <w:r w:rsidRPr="001B6E4D">
        <w:rPr>
          <w:rFonts w:ascii="標楷體" w:eastAsia="標楷體" w:hAnsi="標楷體" w:hint="eastAsia"/>
          <w:color w:val="000000" w:themeColor="text1"/>
        </w:rPr>
        <w:t>，</w:t>
      </w:r>
      <w:r w:rsidRPr="001B6E4D">
        <w:rPr>
          <w:rFonts w:ascii="標楷體" w:eastAsia="標楷體" w:hAnsi="標楷體"/>
          <w:color w:val="000000" w:themeColor="text1"/>
        </w:rPr>
        <w:t>院會交下預（決）算案、行政命令案及人民請願案等</w:t>
      </w:r>
      <w:proofErr w:type="gramStart"/>
      <w:r w:rsidRPr="001B6E4D">
        <w:rPr>
          <w:rFonts w:ascii="標楷體" w:eastAsia="標楷體" w:hAnsi="標楷體"/>
          <w:color w:val="000000" w:themeColor="text1"/>
        </w:rPr>
        <w:t>未結件數</w:t>
      </w:r>
      <w:proofErr w:type="gramEnd"/>
      <w:r w:rsidRPr="001B6E4D">
        <w:rPr>
          <w:rFonts w:ascii="標楷體" w:eastAsia="標楷體" w:hAnsi="標楷體" w:hint="eastAsia"/>
          <w:color w:val="000000" w:themeColor="text1"/>
        </w:rPr>
        <w:t>（</w:t>
      </w:r>
      <w:r w:rsidRPr="001B6E4D">
        <w:rPr>
          <w:rFonts w:ascii="標楷體" w:eastAsia="標楷體" w:hAnsi="標楷體"/>
          <w:color w:val="000000" w:themeColor="text1"/>
        </w:rPr>
        <w:t>無屆期不連續，故累計至本</w:t>
      </w:r>
      <w:r w:rsidRPr="001B6E4D">
        <w:rPr>
          <w:rFonts w:ascii="標楷體" w:eastAsia="標楷體" w:hAnsi="標楷體" w:hint="eastAsia"/>
          <w:color w:val="000000" w:themeColor="text1"/>
        </w:rPr>
        <w:t>屆）</w:t>
      </w:r>
      <w:r w:rsidRPr="001B6E4D">
        <w:rPr>
          <w:rFonts w:ascii="標楷體" w:eastAsia="標楷體" w:hAnsi="標楷體"/>
          <w:color w:val="000000" w:themeColor="text1"/>
        </w:rPr>
        <w:t>。</w:t>
      </w:r>
    </w:p>
    <w:p w14:paraId="6D15C862" w14:textId="12D6944C" w:rsidR="0078100D" w:rsidRPr="001B6E4D" w:rsidRDefault="0078100D" w:rsidP="003D1018">
      <w:pPr>
        <w:overflowPunct w:val="0"/>
        <w:adjustRightInd w:val="0"/>
        <w:snapToGrid w:val="0"/>
        <w:spacing w:line="300" w:lineRule="exact"/>
        <w:ind w:left="446" w:hangingChars="186" w:hanging="446"/>
        <w:jc w:val="both"/>
        <w:rPr>
          <w:rFonts w:ascii="標楷體" w:eastAsia="標楷體" w:hAnsi="標楷體"/>
          <w:color w:val="000000" w:themeColor="text1"/>
        </w:rPr>
      </w:pPr>
      <w:r w:rsidRPr="001B6E4D">
        <w:rPr>
          <w:rFonts w:ascii="標楷體" w:eastAsia="標楷體" w:hAnsi="標楷體"/>
          <w:color w:val="000000" w:themeColor="text1"/>
        </w:rPr>
        <w:t>2.本會審</w:t>
      </w:r>
      <w:proofErr w:type="gramStart"/>
      <w:r w:rsidRPr="001B6E4D">
        <w:rPr>
          <w:rFonts w:ascii="標楷體" w:eastAsia="標楷體" w:hAnsi="標楷體"/>
          <w:color w:val="000000" w:themeColor="text1"/>
        </w:rPr>
        <w:t>竣</w:t>
      </w:r>
      <w:proofErr w:type="gramEnd"/>
      <w:r w:rsidRPr="001B6E4D">
        <w:rPr>
          <w:rFonts w:ascii="標楷體" w:eastAsia="標楷體" w:hAnsi="標楷體" w:hint="eastAsia"/>
          <w:color w:val="000000" w:themeColor="text1"/>
        </w:rPr>
        <w:t>提報院會之已結案件</w:t>
      </w:r>
      <w:proofErr w:type="gramStart"/>
      <w:r w:rsidRPr="001B6E4D">
        <w:rPr>
          <w:rFonts w:ascii="標楷體" w:eastAsia="標楷體" w:hAnsi="標楷體" w:hint="eastAsia"/>
          <w:color w:val="000000" w:themeColor="text1"/>
        </w:rPr>
        <w:t>─</w:t>
      </w:r>
      <w:proofErr w:type="gramEnd"/>
      <w:r w:rsidRPr="001B6E4D">
        <w:rPr>
          <w:rFonts w:ascii="標楷體" w:eastAsia="標楷體" w:hAnsi="標楷體" w:hint="eastAsia"/>
          <w:color w:val="000000" w:themeColor="text1"/>
        </w:rPr>
        <w:t>院會待審議部分B，</w:t>
      </w:r>
      <w:r w:rsidR="0064577B" w:rsidRPr="001B6E4D">
        <w:rPr>
          <w:rFonts w:ascii="標楷體" w:eastAsia="標楷體" w:hAnsi="標楷體" w:hint="eastAsia"/>
          <w:color w:val="000000" w:themeColor="text1"/>
        </w:rPr>
        <w:t>不</w:t>
      </w:r>
      <w:r w:rsidRPr="001B6E4D">
        <w:rPr>
          <w:rFonts w:ascii="標楷體" w:eastAsia="標楷體" w:hAnsi="標楷體"/>
          <w:color w:val="000000" w:themeColor="text1"/>
        </w:rPr>
        <w:t>包含</w:t>
      </w:r>
      <w:proofErr w:type="gramStart"/>
      <w:r w:rsidRPr="001B6E4D">
        <w:rPr>
          <w:rFonts w:ascii="標楷體" w:eastAsia="標楷體" w:hAnsi="標楷體"/>
          <w:color w:val="000000" w:themeColor="text1"/>
        </w:rPr>
        <w:t>逕</w:t>
      </w:r>
      <w:proofErr w:type="gramEnd"/>
      <w:r w:rsidRPr="001B6E4D">
        <w:rPr>
          <w:rFonts w:ascii="標楷體" w:eastAsia="標楷體" w:hAnsi="標楷體"/>
          <w:color w:val="000000" w:themeColor="text1"/>
        </w:rPr>
        <w:t>付二讀之法律案。</w:t>
      </w:r>
    </w:p>
    <w:p w14:paraId="77B5460B" w14:textId="196F3CEF" w:rsidR="005A55F2" w:rsidRPr="001B6E4D" w:rsidRDefault="0078100D" w:rsidP="003D1018">
      <w:pPr>
        <w:overflowPunct w:val="0"/>
        <w:ind w:left="240" w:hangingChars="100" w:hanging="240"/>
        <w:jc w:val="both"/>
        <w:rPr>
          <w:rFonts w:ascii="標楷體" w:eastAsia="標楷體" w:hAnsi="標楷體"/>
          <w:color w:val="000000" w:themeColor="text1"/>
          <w:shd w:val="clear" w:color="auto" w:fill="FFFFFF"/>
        </w:rPr>
      </w:pPr>
      <w:r w:rsidRPr="001B6E4D">
        <w:rPr>
          <w:rFonts w:ascii="標楷體" w:eastAsia="標楷體" w:hAnsi="標楷體" w:hint="eastAsia"/>
          <w:color w:val="000000" w:themeColor="text1"/>
          <w:shd w:val="clear" w:color="auto" w:fill="FFFFFF"/>
        </w:rPr>
        <w:t>3.第1</w:t>
      </w:r>
      <w:r w:rsidRPr="001B6E4D">
        <w:rPr>
          <w:rFonts w:ascii="標楷體" w:eastAsia="標楷體" w:hAnsi="標楷體"/>
          <w:color w:val="000000" w:themeColor="text1"/>
          <w:shd w:val="clear" w:color="auto" w:fill="FFFFFF"/>
        </w:rPr>
        <w:t>1</w:t>
      </w:r>
      <w:r w:rsidRPr="001B6E4D">
        <w:rPr>
          <w:rFonts w:ascii="標楷體" w:eastAsia="標楷體" w:hAnsi="標楷體" w:hint="eastAsia"/>
          <w:color w:val="000000" w:themeColor="text1"/>
          <w:shd w:val="clear" w:color="auto" w:fill="FFFFFF"/>
        </w:rPr>
        <w:t>屆</w:t>
      </w:r>
      <w:r w:rsidR="00860DB7" w:rsidRPr="001B6E4D">
        <w:rPr>
          <w:rFonts w:ascii="標楷體" w:eastAsia="標楷體" w:hAnsi="標楷體" w:hint="eastAsia"/>
          <w:color w:val="000000" w:themeColor="text1"/>
          <w:shd w:val="clear" w:color="auto" w:fill="FFFFFF"/>
        </w:rPr>
        <w:t>第</w:t>
      </w:r>
      <w:r w:rsidR="00CB447B" w:rsidRPr="001B6E4D">
        <w:rPr>
          <w:rFonts w:ascii="標楷體" w:eastAsia="標楷體" w:hAnsi="標楷體" w:hint="eastAsia"/>
          <w:color w:val="000000" w:themeColor="text1"/>
          <w:shd w:val="clear" w:color="auto" w:fill="FFFFFF"/>
        </w:rPr>
        <w:t>4</w:t>
      </w:r>
      <w:r w:rsidR="00860DB7" w:rsidRPr="001B6E4D">
        <w:rPr>
          <w:rFonts w:ascii="標楷體" w:eastAsia="標楷體" w:hAnsi="標楷體" w:hint="eastAsia"/>
          <w:color w:val="000000" w:themeColor="text1"/>
          <w:shd w:val="clear" w:color="auto" w:fill="FFFFFF"/>
        </w:rPr>
        <w:t>會期</w:t>
      </w:r>
      <w:r w:rsidRPr="001B6E4D">
        <w:rPr>
          <w:rFonts w:ascii="標楷體" w:eastAsia="標楷體" w:hAnsi="標楷體" w:hint="eastAsia"/>
          <w:color w:val="000000" w:themeColor="text1"/>
          <w:shd w:val="clear" w:color="auto" w:fill="FFFFFF"/>
        </w:rPr>
        <w:t>之前，院會交下</w:t>
      </w:r>
      <w:r w:rsidR="00BA6C79" w:rsidRPr="001B6E4D">
        <w:rPr>
          <w:rFonts w:ascii="標楷體" w:eastAsia="標楷體" w:hAnsi="標楷體" w:hint="eastAsia"/>
          <w:color w:val="000000" w:themeColor="text1"/>
          <w:shd w:val="clear" w:color="auto" w:fill="FFFFFF"/>
        </w:rPr>
        <w:t>之議案</w:t>
      </w:r>
      <w:r w:rsidRPr="001B6E4D">
        <w:rPr>
          <w:rFonts w:ascii="標楷體" w:eastAsia="標楷體" w:hAnsi="標楷體" w:hint="eastAsia"/>
          <w:color w:val="000000" w:themeColor="text1"/>
          <w:shd w:val="clear" w:color="auto" w:fill="FFFFFF"/>
        </w:rPr>
        <w:t>件數為</w:t>
      </w:r>
      <w:r w:rsidR="00611CCD" w:rsidRPr="001B6E4D">
        <w:rPr>
          <w:rFonts w:ascii="標楷體" w:eastAsia="標楷體" w:hAnsi="標楷體" w:hint="eastAsia"/>
          <w:color w:val="000000" w:themeColor="text1"/>
          <w:shd w:val="clear" w:color="auto" w:fill="FFFFFF"/>
        </w:rPr>
        <w:t>1</w:t>
      </w:r>
      <w:r w:rsidR="00611CCD" w:rsidRPr="001B6E4D">
        <w:rPr>
          <w:rFonts w:ascii="標楷體" w:eastAsia="標楷體" w:hAnsi="標楷體"/>
          <w:color w:val="000000" w:themeColor="text1"/>
          <w:shd w:val="clear" w:color="auto" w:fill="FFFFFF"/>
        </w:rPr>
        <w:t>,</w:t>
      </w:r>
      <w:r w:rsidR="00CB447B" w:rsidRPr="001B6E4D">
        <w:rPr>
          <w:rFonts w:ascii="標楷體" w:eastAsia="標楷體" w:hAnsi="標楷體" w:hint="eastAsia"/>
          <w:color w:val="000000" w:themeColor="text1"/>
          <w:shd w:val="clear" w:color="auto" w:fill="FFFFFF"/>
        </w:rPr>
        <w:t>647</w:t>
      </w:r>
      <w:r w:rsidRPr="001B6E4D">
        <w:rPr>
          <w:rFonts w:ascii="標楷體" w:eastAsia="標楷體" w:hAnsi="標楷體" w:hint="eastAsia"/>
          <w:color w:val="000000" w:themeColor="text1"/>
          <w:shd w:val="clear" w:color="auto" w:fill="FFFFFF"/>
        </w:rPr>
        <w:t>案（見第1</w:t>
      </w:r>
      <w:r w:rsidR="00BC104A" w:rsidRPr="001B6E4D">
        <w:rPr>
          <w:rFonts w:ascii="標楷體" w:eastAsia="標楷體" w:hAnsi="標楷體"/>
          <w:color w:val="000000" w:themeColor="text1"/>
          <w:shd w:val="clear" w:color="auto" w:fill="FFFFFF"/>
        </w:rPr>
        <w:t>1</w:t>
      </w:r>
      <w:r w:rsidRPr="001B6E4D">
        <w:rPr>
          <w:rFonts w:ascii="標楷體" w:eastAsia="標楷體" w:hAnsi="標楷體" w:hint="eastAsia"/>
          <w:color w:val="000000" w:themeColor="text1"/>
          <w:shd w:val="clear" w:color="auto" w:fill="FFFFFF"/>
        </w:rPr>
        <w:t>屆第</w:t>
      </w:r>
      <w:r w:rsidR="00CB447B" w:rsidRPr="001B6E4D">
        <w:rPr>
          <w:rFonts w:ascii="標楷體" w:eastAsia="標楷體" w:hAnsi="標楷體" w:hint="eastAsia"/>
          <w:color w:val="000000" w:themeColor="text1"/>
          <w:shd w:val="clear" w:color="auto" w:fill="FFFFFF"/>
        </w:rPr>
        <w:t>4</w:t>
      </w:r>
      <w:r w:rsidRPr="001B6E4D">
        <w:rPr>
          <w:rFonts w:ascii="標楷體" w:eastAsia="標楷體" w:hAnsi="標楷體" w:hint="eastAsia"/>
          <w:color w:val="000000" w:themeColor="text1"/>
          <w:shd w:val="clear" w:color="auto" w:fill="FFFFFF"/>
        </w:rPr>
        <w:t>會期會務報告第</w:t>
      </w:r>
      <w:r w:rsidR="00860DB7" w:rsidRPr="001B6E4D">
        <w:rPr>
          <w:rFonts w:ascii="標楷體" w:eastAsia="標楷體" w:hAnsi="標楷體" w:hint="eastAsia"/>
          <w:color w:val="000000" w:themeColor="text1"/>
          <w:shd w:val="clear" w:color="auto" w:fill="FFFFFF"/>
        </w:rPr>
        <w:t>4</w:t>
      </w:r>
      <w:r w:rsidR="00CB447B" w:rsidRPr="001B6E4D">
        <w:rPr>
          <w:rFonts w:ascii="標楷體" w:eastAsia="標楷體" w:hAnsi="標楷體" w:hint="eastAsia"/>
          <w:color w:val="000000" w:themeColor="text1"/>
          <w:shd w:val="clear" w:color="auto" w:fill="FFFFFF"/>
        </w:rPr>
        <w:t>3</w:t>
      </w:r>
      <w:r w:rsidRPr="001B6E4D">
        <w:rPr>
          <w:rFonts w:ascii="標楷體" w:eastAsia="標楷體" w:hAnsi="標楷體" w:hint="eastAsia"/>
          <w:color w:val="000000" w:themeColor="text1"/>
          <w:shd w:val="clear" w:color="auto" w:fill="FFFFFF"/>
        </w:rPr>
        <w:t>頁），累計至本會期為</w:t>
      </w:r>
      <w:r w:rsidR="004B5ED4" w:rsidRPr="001B6E4D">
        <w:rPr>
          <w:rFonts w:ascii="標楷體" w:eastAsia="標楷體" w:hAnsi="標楷體"/>
          <w:color w:val="000000" w:themeColor="text1"/>
          <w:shd w:val="clear" w:color="auto" w:fill="FFFFFF"/>
        </w:rPr>
        <w:t>2</w:t>
      </w:r>
      <w:r w:rsidR="00497F42" w:rsidRPr="001B6E4D">
        <w:rPr>
          <w:rFonts w:ascii="標楷體" w:eastAsia="標楷體" w:hAnsi="標楷體"/>
          <w:color w:val="000000" w:themeColor="text1"/>
          <w:shd w:val="clear" w:color="auto" w:fill="FFFFFF"/>
        </w:rPr>
        <w:t>,</w:t>
      </w:r>
      <w:r w:rsidR="004B5ED4" w:rsidRPr="001B6E4D">
        <w:rPr>
          <w:rFonts w:ascii="標楷體" w:eastAsia="標楷體" w:hAnsi="標楷體"/>
          <w:color w:val="000000" w:themeColor="text1"/>
          <w:shd w:val="clear" w:color="auto" w:fill="FFFFFF"/>
        </w:rPr>
        <w:t>1</w:t>
      </w:r>
      <w:r w:rsidR="00611CCD" w:rsidRPr="001B6E4D">
        <w:rPr>
          <w:rFonts w:ascii="標楷體" w:eastAsia="標楷體" w:hAnsi="標楷體"/>
          <w:color w:val="000000" w:themeColor="text1"/>
          <w:shd w:val="clear" w:color="auto" w:fill="FFFFFF"/>
        </w:rPr>
        <w:t>6</w:t>
      </w:r>
      <w:r w:rsidR="004B5ED4" w:rsidRPr="001B6E4D">
        <w:rPr>
          <w:rFonts w:ascii="標楷體" w:eastAsia="標楷體" w:hAnsi="標楷體"/>
          <w:color w:val="000000" w:themeColor="text1"/>
          <w:shd w:val="clear" w:color="auto" w:fill="FFFFFF"/>
        </w:rPr>
        <w:t>8</w:t>
      </w:r>
      <w:r w:rsidRPr="001B6E4D">
        <w:rPr>
          <w:rFonts w:ascii="標楷體" w:eastAsia="標楷體" w:hAnsi="標楷體" w:hint="eastAsia"/>
          <w:color w:val="000000" w:themeColor="text1"/>
          <w:shd w:val="clear" w:color="auto" w:fill="FFFFFF"/>
        </w:rPr>
        <w:t>案，故本會期單一會期院會交下議案為</w:t>
      </w:r>
      <w:r w:rsidR="004B5ED4" w:rsidRPr="001B6E4D">
        <w:rPr>
          <w:rFonts w:ascii="標楷體" w:eastAsia="標楷體" w:hAnsi="標楷體" w:hint="eastAsia"/>
          <w:b/>
          <w:color w:val="000000" w:themeColor="text1"/>
          <w:shd w:val="clear" w:color="auto" w:fill="FFFFFF"/>
        </w:rPr>
        <w:t>5</w:t>
      </w:r>
      <w:r w:rsidR="004B5ED4" w:rsidRPr="001B6E4D">
        <w:rPr>
          <w:rFonts w:ascii="標楷體" w:eastAsia="標楷體" w:hAnsi="標楷體"/>
          <w:b/>
          <w:color w:val="000000" w:themeColor="text1"/>
          <w:shd w:val="clear" w:color="auto" w:fill="FFFFFF"/>
        </w:rPr>
        <w:t>21</w:t>
      </w:r>
      <w:r w:rsidRPr="001B6E4D">
        <w:rPr>
          <w:rFonts w:ascii="標楷體" w:eastAsia="標楷體" w:hAnsi="標楷體" w:hint="eastAsia"/>
          <w:color w:val="000000" w:themeColor="text1"/>
          <w:shd w:val="clear" w:color="auto" w:fill="FFFFFF"/>
        </w:rPr>
        <w:t>件(</w:t>
      </w:r>
      <w:r w:rsidR="004B5ED4" w:rsidRPr="001B6E4D">
        <w:rPr>
          <w:rFonts w:ascii="標楷體" w:eastAsia="標楷體" w:hAnsi="標楷體"/>
          <w:color w:val="000000" w:themeColor="text1"/>
          <w:shd w:val="clear" w:color="auto" w:fill="FFFFFF"/>
        </w:rPr>
        <w:t>2</w:t>
      </w:r>
      <w:r w:rsidR="00497F42" w:rsidRPr="001B6E4D">
        <w:rPr>
          <w:rFonts w:ascii="標楷體" w:eastAsia="標楷體" w:hAnsi="標楷體"/>
          <w:color w:val="000000" w:themeColor="text1"/>
          <w:shd w:val="clear" w:color="auto" w:fill="FFFFFF"/>
        </w:rPr>
        <w:t>,</w:t>
      </w:r>
      <w:r w:rsidR="004B5ED4" w:rsidRPr="001B6E4D">
        <w:rPr>
          <w:rFonts w:ascii="標楷體" w:eastAsia="標楷體" w:hAnsi="標楷體"/>
          <w:color w:val="000000" w:themeColor="text1"/>
          <w:shd w:val="clear" w:color="auto" w:fill="FFFFFF"/>
        </w:rPr>
        <w:t>1</w:t>
      </w:r>
      <w:r w:rsidR="00611CCD" w:rsidRPr="001B6E4D">
        <w:rPr>
          <w:rFonts w:ascii="標楷體" w:eastAsia="標楷體" w:hAnsi="標楷體"/>
          <w:color w:val="000000" w:themeColor="text1"/>
          <w:shd w:val="clear" w:color="auto" w:fill="FFFFFF"/>
        </w:rPr>
        <w:t>6</w:t>
      </w:r>
      <w:r w:rsidR="004B5ED4" w:rsidRPr="001B6E4D">
        <w:rPr>
          <w:rFonts w:ascii="標楷體" w:eastAsia="標楷體" w:hAnsi="標楷體"/>
          <w:color w:val="000000" w:themeColor="text1"/>
          <w:shd w:val="clear" w:color="auto" w:fill="FFFFFF"/>
        </w:rPr>
        <w:t>8</w:t>
      </w:r>
      <w:r w:rsidR="00951071" w:rsidRPr="001B6E4D">
        <w:rPr>
          <w:rFonts w:ascii="標楷體" w:eastAsia="標楷體" w:hAnsi="標楷體"/>
          <w:color w:val="000000" w:themeColor="text1"/>
          <w:shd w:val="clear" w:color="auto" w:fill="FFFFFF"/>
        </w:rPr>
        <w:t>-</w:t>
      </w:r>
      <w:r w:rsidR="00611CCD" w:rsidRPr="001B6E4D">
        <w:rPr>
          <w:rFonts w:ascii="標楷體" w:eastAsia="標楷體" w:hAnsi="標楷體"/>
          <w:color w:val="000000" w:themeColor="text1"/>
          <w:shd w:val="clear" w:color="auto" w:fill="FFFFFF"/>
        </w:rPr>
        <w:t>1</w:t>
      </w:r>
      <w:r w:rsidR="00611CCD" w:rsidRPr="001B6E4D">
        <w:rPr>
          <w:rFonts w:ascii="標楷體" w:eastAsia="標楷體" w:hAnsi="標楷體" w:hint="eastAsia"/>
          <w:color w:val="000000" w:themeColor="text1"/>
          <w:shd w:val="clear" w:color="auto" w:fill="FFFFFF"/>
        </w:rPr>
        <w:t>,</w:t>
      </w:r>
      <w:r w:rsidR="004B5ED4" w:rsidRPr="001B6E4D">
        <w:rPr>
          <w:rFonts w:ascii="標楷體" w:eastAsia="標楷體" w:hAnsi="標楷體"/>
          <w:color w:val="000000" w:themeColor="text1"/>
          <w:shd w:val="clear" w:color="auto" w:fill="FFFFFF"/>
        </w:rPr>
        <w:t>647</w:t>
      </w:r>
      <w:r w:rsidRPr="001B6E4D">
        <w:rPr>
          <w:rFonts w:ascii="標楷體" w:eastAsia="標楷體" w:hAnsi="標楷體" w:hint="eastAsia"/>
          <w:color w:val="000000" w:themeColor="text1"/>
          <w:shd w:val="clear" w:color="auto" w:fill="FFFFFF"/>
        </w:rPr>
        <w:t>＝</w:t>
      </w:r>
      <w:r w:rsidR="004B5ED4" w:rsidRPr="001B6E4D">
        <w:rPr>
          <w:rFonts w:ascii="標楷體" w:eastAsia="標楷體" w:hAnsi="標楷體" w:hint="eastAsia"/>
          <w:color w:val="000000" w:themeColor="text1"/>
          <w:shd w:val="clear" w:color="auto" w:fill="FFFFFF"/>
        </w:rPr>
        <w:t>5</w:t>
      </w:r>
      <w:r w:rsidR="004B5ED4" w:rsidRPr="001B6E4D">
        <w:rPr>
          <w:rFonts w:ascii="標楷體" w:eastAsia="標楷體" w:hAnsi="標楷體"/>
          <w:color w:val="000000" w:themeColor="text1"/>
          <w:shd w:val="clear" w:color="auto" w:fill="FFFFFF"/>
        </w:rPr>
        <w:t>21</w:t>
      </w:r>
      <w:r w:rsidRPr="001B6E4D">
        <w:rPr>
          <w:rFonts w:ascii="標楷體" w:eastAsia="標楷體" w:hAnsi="標楷體" w:hint="eastAsia"/>
          <w:color w:val="000000" w:themeColor="text1"/>
          <w:shd w:val="clear" w:color="auto" w:fill="FFFFFF"/>
        </w:rPr>
        <w:t>)。</w:t>
      </w:r>
    </w:p>
    <w:p w14:paraId="2D6D5714" w14:textId="77777777" w:rsidR="005A55F2" w:rsidRPr="001B6E4D" w:rsidRDefault="005A55F2" w:rsidP="003D1018">
      <w:pPr>
        <w:overflowPunct w:val="0"/>
        <w:rPr>
          <w:rFonts w:ascii="標楷體" w:eastAsia="標楷體" w:hAnsi="標楷體"/>
          <w:color w:val="000000" w:themeColor="text1"/>
          <w:shd w:val="clear" w:color="auto" w:fill="FFFFFF"/>
        </w:rPr>
      </w:pPr>
      <w:r w:rsidRPr="001B6E4D">
        <w:rPr>
          <w:rFonts w:ascii="標楷體" w:eastAsia="標楷體" w:hAnsi="標楷體"/>
          <w:color w:val="000000" w:themeColor="text1"/>
          <w:shd w:val="clear" w:color="auto" w:fill="FFFFFF"/>
        </w:rPr>
        <w:br w:type="page"/>
      </w:r>
    </w:p>
    <w:p w14:paraId="7B398BD0" w14:textId="3DED6D9F" w:rsidR="00BE1B95" w:rsidRPr="001B6E4D" w:rsidRDefault="00BE1B95" w:rsidP="003D1018">
      <w:pPr>
        <w:keepNext/>
        <w:kinsoku w:val="0"/>
        <w:overflowPunct w:val="0"/>
        <w:snapToGrid w:val="0"/>
        <w:spacing w:beforeLines="100" w:before="360" w:afterLines="50" w:after="180" w:line="520" w:lineRule="exact"/>
        <w:jc w:val="both"/>
        <w:outlineLvl w:val="0"/>
        <w:rPr>
          <w:rFonts w:ascii="標楷體" w:eastAsia="標楷體" w:hAnsi="標楷體"/>
          <w:b/>
          <w:bCs/>
          <w:color w:val="000000" w:themeColor="text1"/>
          <w:kern w:val="52"/>
          <w:sz w:val="28"/>
          <w:szCs w:val="52"/>
          <w:shd w:val="clear" w:color="auto" w:fill="FFFFFF"/>
        </w:rPr>
      </w:pPr>
      <w:bookmarkStart w:id="65" w:name="_Toc336248647"/>
      <w:bookmarkStart w:id="66" w:name="_Toc333246393"/>
      <w:bookmarkStart w:id="67" w:name="_Toc337040888"/>
      <w:bookmarkStart w:id="68" w:name="_Toc338150558"/>
      <w:bookmarkStart w:id="69" w:name="_Toc338767579"/>
      <w:bookmarkStart w:id="70" w:name="_Toc339459291"/>
      <w:bookmarkStart w:id="71" w:name="_Toc339894331"/>
      <w:bookmarkStart w:id="72" w:name="_Toc340611024"/>
      <w:bookmarkStart w:id="73" w:name="_Toc341187157"/>
      <w:bookmarkStart w:id="74" w:name="_Toc341866927"/>
      <w:bookmarkStart w:id="75" w:name="_Toc342405405"/>
      <w:bookmarkStart w:id="76" w:name="_Toc342925476"/>
      <w:bookmarkStart w:id="77" w:name="_Toc343693252"/>
      <w:bookmarkStart w:id="78" w:name="_Toc344483055"/>
      <w:bookmarkStart w:id="79" w:name="_Toc346096313"/>
      <w:bookmarkStart w:id="80" w:name="_Toc510167665"/>
      <w:bookmarkStart w:id="81" w:name="_Toc1401046"/>
      <w:bookmarkStart w:id="82" w:name="_Toc42533383"/>
      <w:bookmarkStart w:id="83" w:name="_Toc42702502"/>
      <w:bookmarkStart w:id="84" w:name="_Toc240446510"/>
      <w:bookmarkStart w:id="85" w:name="_Toc42534102"/>
      <w:bookmarkStart w:id="86" w:name="_Toc510167633"/>
      <w:bookmarkStart w:id="87" w:name="_Toc1401030"/>
      <w:bookmarkStart w:id="88" w:name="_Toc5719411"/>
      <w:bookmarkStart w:id="89" w:name="_Toc516496363"/>
      <w:bookmarkStart w:id="90" w:name="_Toc516496478"/>
      <w:bookmarkStart w:id="91" w:name="_Toc516496842"/>
      <w:bookmarkStart w:id="92" w:name="_Toc517947584"/>
      <w:bookmarkStart w:id="93" w:name="_Toc13473511"/>
      <w:bookmarkStart w:id="94" w:name="_Toc133575135"/>
      <w:bookmarkStart w:id="95" w:name="_Toc472666429"/>
      <w:bookmarkStart w:id="96" w:name="_Toc457395282"/>
      <w:bookmarkStart w:id="97" w:name="_Toc457395185"/>
      <w:bookmarkStart w:id="98" w:name="_Toc455152583"/>
      <w:bookmarkStart w:id="99" w:name="_Toc386797105"/>
      <w:bookmarkStart w:id="100" w:name="_Toc386796865"/>
      <w:r w:rsidRPr="001B6E4D">
        <w:rPr>
          <w:rFonts w:ascii="標楷體" w:eastAsia="標楷體" w:hAnsi="標楷體" w:hint="eastAsia"/>
          <w:b/>
          <w:bCs/>
          <w:color w:val="000000" w:themeColor="text1"/>
          <w:kern w:val="52"/>
          <w:sz w:val="28"/>
          <w:szCs w:val="28"/>
          <w:shd w:val="clear" w:color="auto" w:fill="FFFFFF"/>
        </w:rPr>
        <w:lastRenderedPageBreak/>
        <w:t>參</w:t>
      </w:r>
      <w:r w:rsidRPr="001B6E4D">
        <w:rPr>
          <w:rFonts w:ascii="標楷體" w:eastAsia="標楷體" w:hAnsi="標楷體"/>
          <w:b/>
          <w:bCs/>
          <w:color w:val="000000" w:themeColor="text1"/>
          <w:kern w:val="52"/>
          <w:sz w:val="28"/>
          <w:szCs w:val="28"/>
          <w:shd w:val="clear" w:color="auto" w:fill="FFFFFF"/>
        </w:rPr>
        <w:t>、</w:t>
      </w:r>
      <w:r w:rsidRPr="001B6E4D">
        <w:rPr>
          <w:rFonts w:ascii="標楷體" w:eastAsia="標楷體" w:hAnsi="標楷體" w:hint="eastAsia"/>
          <w:b/>
          <w:bCs/>
          <w:color w:val="000000" w:themeColor="text1"/>
          <w:kern w:val="52"/>
          <w:sz w:val="28"/>
          <w:szCs w:val="52"/>
          <w:shd w:val="clear" w:color="auto" w:fill="FFFFFF"/>
        </w:rPr>
        <w:t>本會期審查(處理)完竣之議案</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005278B3" w:rsidRPr="001B6E4D">
        <w:rPr>
          <w:rFonts w:ascii="標楷體" w:eastAsia="標楷體" w:hAnsi="標楷體" w:hint="eastAsia"/>
          <w:b/>
          <w:bCs/>
          <w:color w:val="000000" w:themeColor="text1"/>
          <w:kern w:val="52"/>
          <w:sz w:val="28"/>
          <w:szCs w:val="52"/>
          <w:shd w:val="clear" w:color="auto" w:fill="FFFFFF"/>
        </w:rPr>
        <w:t>226</w:t>
      </w:r>
      <w:r w:rsidRPr="001B6E4D">
        <w:rPr>
          <w:rFonts w:ascii="標楷體" w:eastAsia="標楷體" w:hAnsi="標楷體" w:hint="eastAsia"/>
          <w:b/>
          <w:bCs/>
          <w:color w:val="000000" w:themeColor="text1"/>
          <w:kern w:val="52"/>
          <w:sz w:val="28"/>
          <w:szCs w:val="52"/>
          <w:shd w:val="clear" w:color="auto" w:fill="FFFFFF"/>
        </w:rPr>
        <w:t>案</w:t>
      </w:r>
      <w:bookmarkEnd w:id="82"/>
      <w:bookmarkEnd w:id="83"/>
      <w:bookmarkEnd w:id="84"/>
    </w:p>
    <w:p w14:paraId="69B5A3CB" w14:textId="132CFD82" w:rsidR="00BE1B95" w:rsidRPr="001B6E4D" w:rsidRDefault="00BE1B95" w:rsidP="003D1018">
      <w:pPr>
        <w:keepNext/>
        <w:tabs>
          <w:tab w:val="left" w:pos="709"/>
          <w:tab w:val="left" w:pos="5954"/>
        </w:tabs>
        <w:kinsoku w:val="0"/>
        <w:overflowPunct w:val="0"/>
        <w:adjustRightInd w:val="0"/>
        <w:snapToGrid w:val="0"/>
        <w:spacing w:beforeLines="50" w:before="180" w:afterLines="50" w:after="180" w:line="400" w:lineRule="exact"/>
        <w:ind w:leftChars="236" w:left="566" w:firstLineChars="200" w:firstLine="560"/>
        <w:jc w:val="both"/>
        <w:rPr>
          <w:rFonts w:ascii="標楷體" w:eastAsia="標楷體" w:hAnsi="標楷體"/>
          <w:bCs/>
          <w:color w:val="000000" w:themeColor="text1"/>
          <w:kern w:val="52"/>
          <w:sz w:val="28"/>
          <w:szCs w:val="28"/>
          <w:shd w:val="clear" w:color="auto" w:fill="FFFFFF"/>
        </w:rPr>
      </w:pPr>
      <w:bookmarkStart w:id="101" w:name="_Toc510167666"/>
      <w:bookmarkStart w:id="102" w:name="_Toc42533384"/>
      <w:bookmarkStart w:id="103" w:name="_Toc42702503"/>
      <w:r w:rsidRPr="001B6E4D">
        <w:rPr>
          <w:rFonts w:ascii="標楷體" w:eastAsia="標楷體" w:hAnsi="標楷體"/>
          <w:bCs/>
          <w:color w:val="000000" w:themeColor="text1"/>
          <w:kern w:val="52"/>
          <w:sz w:val="28"/>
          <w:szCs w:val="28"/>
          <w:shd w:val="clear" w:color="auto" w:fill="FFFFFF"/>
        </w:rPr>
        <w:t>本會期</w:t>
      </w:r>
      <w:r w:rsidRPr="001B6E4D">
        <w:rPr>
          <w:rFonts w:ascii="標楷體" w:eastAsia="標楷體" w:hAnsi="標楷體" w:hint="eastAsia"/>
          <w:bCs/>
          <w:color w:val="000000" w:themeColor="text1"/>
          <w:kern w:val="52"/>
          <w:sz w:val="28"/>
          <w:szCs w:val="28"/>
          <w:shd w:val="clear" w:color="auto" w:fill="FFFFFF"/>
        </w:rPr>
        <w:t>，本會</w:t>
      </w:r>
      <w:r w:rsidRPr="001B6E4D">
        <w:rPr>
          <w:rFonts w:ascii="標楷體" w:eastAsia="標楷體" w:hAnsi="標楷體"/>
          <w:bCs/>
          <w:color w:val="000000" w:themeColor="text1"/>
          <w:kern w:val="52"/>
          <w:sz w:val="28"/>
          <w:szCs w:val="28"/>
          <w:shd w:val="clear" w:color="auto" w:fill="FFFFFF"/>
        </w:rPr>
        <w:t>審查（處理）完竣議案</w:t>
      </w:r>
      <w:r w:rsidRPr="001B6E4D">
        <w:rPr>
          <w:rFonts w:ascii="標楷體" w:eastAsia="標楷體" w:hAnsi="標楷體" w:hint="eastAsia"/>
          <w:bCs/>
          <w:color w:val="000000" w:themeColor="text1"/>
          <w:kern w:val="52"/>
          <w:sz w:val="28"/>
          <w:szCs w:val="28"/>
          <w:shd w:val="clear" w:color="auto" w:fill="FFFFFF"/>
        </w:rPr>
        <w:t>，法律案</w:t>
      </w:r>
      <w:r w:rsidR="005278B3" w:rsidRPr="001B6E4D">
        <w:rPr>
          <w:rFonts w:ascii="標楷體" w:eastAsia="標楷體" w:hAnsi="標楷體" w:hint="eastAsia"/>
          <w:bCs/>
          <w:color w:val="000000" w:themeColor="text1"/>
          <w:kern w:val="52"/>
          <w:sz w:val="28"/>
          <w:szCs w:val="28"/>
          <w:shd w:val="clear" w:color="auto" w:fill="FFFFFF"/>
        </w:rPr>
        <w:t>216</w:t>
      </w:r>
      <w:r w:rsidRPr="001B6E4D">
        <w:rPr>
          <w:rFonts w:ascii="標楷體" w:eastAsia="標楷體" w:hAnsi="標楷體" w:hint="eastAsia"/>
          <w:bCs/>
          <w:color w:val="000000" w:themeColor="text1"/>
          <w:kern w:val="52"/>
          <w:sz w:val="28"/>
          <w:szCs w:val="28"/>
          <w:shd w:val="clear" w:color="auto" w:fill="FFFFFF"/>
        </w:rPr>
        <w:t>案（組織法</w:t>
      </w:r>
      <w:r w:rsidR="005278B3" w:rsidRPr="001B6E4D">
        <w:rPr>
          <w:rFonts w:ascii="標楷體" w:eastAsia="標楷體" w:hAnsi="標楷體" w:hint="eastAsia"/>
          <w:bCs/>
          <w:color w:val="000000" w:themeColor="text1"/>
          <w:kern w:val="52"/>
          <w:sz w:val="28"/>
          <w:szCs w:val="28"/>
          <w:shd w:val="clear" w:color="auto" w:fill="FFFFFF"/>
        </w:rPr>
        <w:t>8</w:t>
      </w:r>
      <w:r w:rsidRPr="001B6E4D">
        <w:rPr>
          <w:rFonts w:ascii="標楷體" w:eastAsia="標楷體" w:hAnsi="標楷體" w:hint="eastAsia"/>
          <w:bCs/>
          <w:color w:val="000000" w:themeColor="text1"/>
          <w:kern w:val="52"/>
          <w:sz w:val="28"/>
          <w:szCs w:val="28"/>
          <w:shd w:val="clear" w:color="auto" w:fill="FFFFFF"/>
        </w:rPr>
        <w:t>案、作用法</w:t>
      </w:r>
      <w:r w:rsidR="00AE3EB0" w:rsidRPr="001B6E4D">
        <w:rPr>
          <w:rFonts w:ascii="標楷體" w:eastAsia="標楷體" w:hAnsi="標楷體" w:hint="eastAsia"/>
          <w:bCs/>
          <w:color w:val="000000" w:themeColor="text1"/>
          <w:kern w:val="52"/>
          <w:sz w:val="28"/>
          <w:szCs w:val="28"/>
          <w:shd w:val="clear" w:color="auto" w:fill="FFFFFF"/>
        </w:rPr>
        <w:t>208</w:t>
      </w:r>
      <w:r w:rsidRPr="001B6E4D">
        <w:rPr>
          <w:rFonts w:ascii="標楷體" w:eastAsia="標楷體" w:hAnsi="標楷體" w:hint="eastAsia"/>
          <w:bCs/>
          <w:color w:val="000000" w:themeColor="text1"/>
          <w:kern w:val="52"/>
          <w:sz w:val="28"/>
          <w:szCs w:val="28"/>
          <w:shd w:val="clear" w:color="auto" w:fill="FFFFFF"/>
        </w:rPr>
        <w:t>案）、</w:t>
      </w:r>
      <w:r w:rsidRPr="001B6E4D">
        <w:rPr>
          <w:rFonts w:ascii="標楷體" w:eastAsia="標楷體" w:hAnsi="標楷體"/>
          <w:color w:val="000000" w:themeColor="text1"/>
          <w:sz w:val="28"/>
          <w:szCs w:val="28"/>
          <w:shd w:val="clear" w:color="auto" w:fill="FFFFFF"/>
        </w:rPr>
        <w:t>預</w:t>
      </w:r>
      <w:r w:rsidRPr="001B6E4D">
        <w:rPr>
          <w:rFonts w:ascii="標楷體" w:eastAsia="標楷體" w:hAnsi="標楷體" w:hint="eastAsia"/>
          <w:color w:val="000000" w:themeColor="text1"/>
          <w:sz w:val="28"/>
          <w:szCs w:val="28"/>
          <w:shd w:val="clear" w:color="auto" w:fill="FFFFFF"/>
        </w:rPr>
        <w:t>（</w:t>
      </w:r>
      <w:r w:rsidRPr="001B6E4D">
        <w:rPr>
          <w:rFonts w:ascii="標楷體" w:eastAsia="標楷體" w:hAnsi="標楷體"/>
          <w:color w:val="000000" w:themeColor="text1"/>
          <w:sz w:val="28"/>
          <w:szCs w:val="28"/>
          <w:shd w:val="clear" w:color="auto" w:fill="FFFFFF"/>
        </w:rPr>
        <w:t>決</w:t>
      </w:r>
      <w:r w:rsidRPr="001B6E4D">
        <w:rPr>
          <w:rFonts w:ascii="標楷體" w:eastAsia="標楷體" w:hAnsi="標楷體" w:hint="eastAsia"/>
          <w:color w:val="000000" w:themeColor="text1"/>
          <w:sz w:val="28"/>
          <w:szCs w:val="28"/>
          <w:shd w:val="clear" w:color="auto" w:fill="FFFFFF"/>
        </w:rPr>
        <w:t>）</w:t>
      </w:r>
      <w:r w:rsidRPr="001B6E4D">
        <w:rPr>
          <w:rFonts w:ascii="標楷體" w:eastAsia="標楷體" w:hAnsi="標楷體"/>
          <w:color w:val="000000" w:themeColor="text1"/>
          <w:sz w:val="28"/>
          <w:szCs w:val="28"/>
          <w:shd w:val="clear" w:color="auto" w:fill="FFFFFF"/>
        </w:rPr>
        <w:t>算案</w:t>
      </w:r>
      <w:r w:rsidR="00E84C79" w:rsidRPr="001B6E4D">
        <w:rPr>
          <w:rFonts w:ascii="標楷體" w:eastAsia="標楷體" w:hAnsi="標楷體" w:hint="eastAsia"/>
          <w:color w:val="000000" w:themeColor="text1"/>
          <w:sz w:val="28"/>
          <w:szCs w:val="28"/>
          <w:shd w:val="clear" w:color="auto" w:fill="FFFFFF"/>
        </w:rPr>
        <w:t>4</w:t>
      </w:r>
      <w:r w:rsidRPr="001B6E4D">
        <w:rPr>
          <w:rFonts w:ascii="標楷體" w:eastAsia="標楷體" w:hAnsi="標楷體" w:hint="eastAsia"/>
          <w:color w:val="000000" w:themeColor="text1"/>
          <w:sz w:val="28"/>
          <w:szCs w:val="28"/>
          <w:shd w:val="clear" w:color="auto" w:fill="FFFFFF"/>
        </w:rPr>
        <w:t>案、</w:t>
      </w:r>
      <w:r w:rsidRPr="001B6E4D">
        <w:rPr>
          <w:rFonts w:ascii="標楷體" w:eastAsia="標楷體" w:hAnsi="標楷體" w:hint="eastAsia"/>
          <w:bCs/>
          <w:color w:val="000000" w:themeColor="text1"/>
          <w:kern w:val="52"/>
          <w:sz w:val="28"/>
          <w:szCs w:val="28"/>
          <w:shd w:val="clear" w:color="auto" w:fill="FFFFFF"/>
        </w:rPr>
        <w:t>行政命令案</w:t>
      </w:r>
      <w:r w:rsidR="00E84C79" w:rsidRPr="001B6E4D">
        <w:rPr>
          <w:rFonts w:ascii="標楷體" w:eastAsia="標楷體" w:hAnsi="標楷體" w:hint="eastAsia"/>
          <w:bCs/>
          <w:color w:val="000000" w:themeColor="text1"/>
          <w:kern w:val="52"/>
          <w:sz w:val="28"/>
          <w:szCs w:val="28"/>
          <w:shd w:val="clear" w:color="auto" w:fill="FFFFFF"/>
        </w:rPr>
        <w:t>4</w:t>
      </w:r>
      <w:r w:rsidRPr="001B6E4D">
        <w:rPr>
          <w:rFonts w:ascii="標楷體" w:eastAsia="標楷體" w:hAnsi="標楷體" w:hint="eastAsia"/>
          <w:bCs/>
          <w:color w:val="000000" w:themeColor="text1"/>
          <w:kern w:val="52"/>
          <w:sz w:val="28"/>
          <w:szCs w:val="28"/>
          <w:shd w:val="clear" w:color="auto" w:fill="FFFFFF"/>
        </w:rPr>
        <w:t>案、</w:t>
      </w:r>
      <w:r w:rsidR="00E84C79" w:rsidRPr="001B6E4D">
        <w:rPr>
          <w:rFonts w:ascii="標楷體" w:eastAsia="標楷體" w:hAnsi="標楷體" w:hint="eastAsia"/>
          <w:bCs/>
          <w:color w:val="000000" w:themeColor="text1"/>
          <w:kern w:val="52"/>
          <w:sz w:val="28"/>
          <w:szCs w:val="28"/>
          <w:shd w:val="clear" w:color="auto" w:fill="FFFFFF"/>
        </w:rPr>
        <w:t>同意權行使案1案、</w:t>
      </w:r>
      <w:r w:rsidRPr="001B6E4D">
        <w:rPr>
          <w:rFonts w:ascii="標楷體" w:eastAsia="標楷體" w:hAnsi="標楷體" w:hint="eastAsia"/>
          <w:bCs/>
          <w:color w:val="000000" w:themeColor="text1"/>
          <w:kern w:val="52"/>
          <w:sz w:val="28"/>
          <w:szCs w:val="28"/>
          <w:shd w:val="clear" w:color="auto" w:fill="FFFFFF"/>
        </w:rPr>
        <w:t>其他議案</w:t>
      </w:r>
      <w:r w:rsidR="00E84C79" w:rsidRPr="001B6E4D">
        <w:rPr>
          <w:rFonts w:ascii="標楷體" w:eastAsia="標楷體" w:hAnsi="標楷體" w:hint="eastAsia"/>
          <w:bCs/>
          <w:color w:val="000000" w:themeColor="text1"/>
          <w:kern w:val="52"/>
          <w:sz w:val="28"/>
          <w:szCs w:val="28"/>
          <w:shd w:val="clear" w:color="auto" w:fill="FFFFFF"/>
        </w:rPr>
        <w:t>1</w:t>
      </w:r>
      <w:r w:rsidRPr="001B6E4D">
        <w:rPr>
          <w:rFonts w:ascii="標楷體" w:eastAsia="標楷體" w:hAnsi="標楷體" w:hint="eastAsia"/>
          <w:bCs/>
          <w:color w:val="000000" w:themeColor="text1"/>
          <w:kern w:val="52"/>
          <w:sz w:val="28"/>
          <w:szCs w:val="28"/>
          <w:shd w:val="clear" w:color="auto" w:fill="FFFFFF"/>
        </w:rPr>
        <w:t>案，合</w:t>
      </w:r>
      <w:r w:rsidRPr="001B6E4D">
        <w:rPr>
          <w:rFonts w:ascii="標楷體" w:eastAsia="標楷體" w:hAnsi="標楷體"/>
          <w:bCs/>
          <w:color w:val="000000" w:themeColor="text1"/>
          <w:kern w:val="52"/>
          <w:sz w:val="28"/>
          <w:szCs w:val="28"/>
          <w:shd w:val="clear" w:color="auto" w:fill="FFFFFF"/>
        </w:rPr>
        <w:t>計</w:t>
      </w:r>
      <w:r w:rsidR="005278B3" w:rsidRPr="001B6E4D">
        <w:rPr>
          <w:rFonts w:ascii="標楷體" w:eastAsia="標楷體" w:hAnsi="標楷體" w:hint="eastAsia"/>
          <w:bCs/>
          <w:color w:val="000000" w:themeColor="text1"/>
          <w:kern w:val="52"/>
          <w:sz w:val="28"/>
          <w:szCs w:val="28"/>
          <w:shd w:val="clear" w:color="auto" w:fill="FFFFFF"/>
        </w:rPr>
        <w:t>226</w:t>
      </w:r>
      <w:r w:rsidRPr="001B6E4D">
        <w:rPr>
          <w:rFonts w:ascii="標楷體" w:eastAsia="標楷體" w:hAnsi="標楷體"/>
          <w:bCs/>
          <w:color w:val="000000" w:themeColor="text1"/>
          <w:kern w:val="52"/>
          <w:sz w:val="28"/>
          <w:szCs w:val="28"/>
          <w:shd w:val="clear" w:color="auto" w:fill="FFFFFF"/>
        </w:rPr>
        <w:t>案。詳如下列各表：</w:t>
      </w:r>
    </w:p>
    <w:p w14:paraId="78599F0D" w14:textId="34243E08" w:rsidR="00BE1B95" w:rsidRPr="001B6E4D" w:rsidRDefault="00BE1B95"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04" w:name="_Toc42534103"/>
      <w:bookmarkStart w:id="105" w:name="_Toc240446511"/>
      <w:bookmarkEnd w:id="85"/>
      <w:bookmarkEnd w:id="86"/>
      <w:bookmarkEnd w:id="87"/>
      <w:bookmarkEnd w:id="101"/>
      <w:bookmarkEnd w:id="102"/>
      <w:bookmarkEnd w:id="103"/>
      <w:r w:rsidRPr="001B6E4D">
        <w:rPr>
          <w:rFonts w:ascii="標楷體" w:hAnsi="標楷體" w:hint="eastAsia"/>
          <w:color w:val="000000" w:themeColor="text1"/>
          <w:szCs w:val="28"/>
          <w:shd w:val="clear" w:color="auto" w:fill="FFFFFF" w:themeFill="background1"/>
        </w:rPr>
        <w:t>［壹］</w:t>
      </w:r>
      <w:r w:rsidRPr="001B6E4D">
        <w:rPr>
          <w:rFonts w:ascii="標楷體" w:hAnsi="標楷體"/>
          <w:color w:val="000000" w:themeColor="text1"/>
          <w:szCs w:val="28"/>
          <w:shd w:val="clear" w:color="auto" w:fill="FFFFFF" w:themeFill="background1"/>
        </w:rPr>
        <w:t>法律案</w:t>
      </w:r>
      <w:r w:rsidR="005278B3" w:rsidRPr="001B6E4D">
        <w:rPr>
          <w:rFonts w:ascii="標楷體" w:hAnsi="標楷體" w:hint="eastAsia"/>
          <w:color w:val="000000" w:themeColor="text1"/>
          <w:szCs w:val="28"/>
          <w:shd w:val="clear" w:color="auto" w:fill="FFFFFF" w:themeFill="background1"/>
        </w:rPr>
        <w:t>216</w:t>
      </w:r>
      <w:r w:rsidRPr="001B6E4D">
        <w:rPr>
          <w:rFonts w:ascii="標楷體" w:hAnsi="標楷體"/>
          <w:color w:val="000000" w:themeColor="text1"/>
          <w:szCs w:val="28"/>
          <w:shd w:val="clear" w:color="auto" w:fill="FFFFFF" w:themeFill="background1"/>
        </w:rPr>
        <w:t>案</w:t>
      </w:r>
      <w:bookmarkEnd w:id="88"/>
      <w:bookmarkEnd w:id="104"/>
      <w:bookmarkEnd w:id="105"/>
    </w:p>
    <w:p w14:paraId="21379CAD" w14:textId="5BD7A079" w:rsidR="00BE1B95" w:rsidRPr="001B6E4D" w:rsidRDefault="00BE1B95" w:rsidP="003D1018">
      <w:pPr>
        <w:pStyle w:val="affffff0"/>
        <w:kinsoku w:val="0"/>
        <w:overflowPunct w:val="0"/>
        <w:topLinePunct/>
        <w:spacing w:before="180" w:after="180"/>
        <w:ind w:leftChars="128" w:left="307" w:firstLineChars="200" w:firstLine="561"/>
        <w:rPr>
          <w:color w:val="000000" w:themeColor="text1"/>
          <w:szCs w:val="28"/>
          <w:shd w:val="clear" w:color="auto" w:fill="FFFFFF" w:themeFill="background1"/>
        </w:rPr>
      </w:pPr>
      <w:bookmarkStart w:id="106" w:name="_Toc5719412"/>
      <w:bookmarkStart w:id="107" w:name="_Toc42534104"/>
      <w:bookmarkStart w:id="108" w:name="_Toc240446512"/>
      <w:r w:rsidRPr="001B6E4D">
        <w:rPr>
          <w:rFonts w:hint="eastAsia"/>
          <w:color w:val="000000" w:themeColor="text1"/>
          <w:szCs w:val="28"/>
          <w:shd w:val="clear" w:color="auto" w:fill="FFFFFF" w:themeFill="background1"/>
        </w:rPr>
        <w:t>一、</w:t>
      </w:r>
      <w:r w:rsidRPr="001B6E4D">
        <w:rPr>
          <w:color w:val="000000" w:themeColor="text1"/>
          <w:szCs w:val="28"/>
          <w:shd w:val="clear" w:color="auto" w:fill="FFFFFF" w:themeFill="background1"/>
        </w:rPr>
        <w:t>組織法</w:t>
      </w:r>
      <w:bookmarkEnd w:id="106"/>
      <w:bookmarkEnd w:id="107"/>
      <w:r w:rsidR="005278B3" w:rsidRPr="001B6E4D">
        <w:rPr>
          <w:rFonts w:hint="eastAsia"/>
          <w:color w:val="000000" w:themeColor="text1"/>
          <w:szCs w:val="28"/>
          <w:shd w:val="clear" w:color="auto" w:fill="FFFFFF" w:themeFill="background1"/>
        </w:rPr>
        <w:t>8</w:t>
      </w:r>
      <w:r w:rsidRPr="001B6E4D">
        <w:rPr>
          <w:rFonts w:hint="eastAsia"/>
          <w:color w:val="000000" w:themeColor="text1"/>
          <w:szCs w:val="28"/>
          <w:shd w:val="clear" w:color="auto" w:fill="FFFFFF" w:themeFill="background1"/>
        </w:rPr>
        <w:t>案</w:t>
      </w:r>
      <w:bookmarkEnd w:id="89"/>
      <w:bookmarkEnd w:id="90"/>
      <w:bookmarkEnd w:id="91"/>
      <w:bookmarkEnd w:id="92"/>
      <w:bookmarkEnd w:id="93"/>
      <w:bookmarkEnd w:id="94"/>
      <w:bookmarkEnd w:id="95"/>
      <w:bookmarkEnd w:id="96"/>
      <w:bookmarkEnd w:id="97"/>
      <w:bookmarkEnd w:id="98"/>
      <w:bookmarkEnd w:id="99"/>
      <w:bookmarkEnd w:id="100"/>
      <w:bookmarkEnd w:id="108"/>
    </w:p>
    <w:p w14:paraId="1873DAD0" w14:textId="711C006E" w:rsidR="009548F9" w:rsidRPr="001B6E4D" w:rsidRDefault="003C6BF1"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109" w:name="_Toc240446513"/>
      <w:r w:rsidRPr="001B6E4D">
        <w:rPr>
          <w:rFonts w:hint="eastAsia"/>
          <w:color w:val="000000" w:themeColor="text1"/>
          <w:shd w:val="clear" w:color="auto" w:fill="FFFFFF" w:themeFill="background1"/>
        </w:rPr>
        <w:t>（一）</w:t>
      </w:r>
      <w:r w:rsidR="00BE1B95" w:rsidRPr="001B6E4D">
        <w:rPr>
          <w:rFonts w:hint="eastAsia"/>
          <w:color w:val="000000" w:themeColor="text1"/>
          <w:shd w:val="clear" w:color="auto" w:fill="FFFFFF" w:themeFill="background1"/>
        </w:rPr>
        <w:t>經院會通過之議案</w:t>
      </w:r>
      <w:r w:rsidR="00661656" w:rsidRPr="001B6E4D">
        <w:rPr>
          <w:rFonts w:hint="eastAsia"/>
          <w:color w:val="000000" w:themeColor="text1"/>
          <w:shd w:val="clear" w:color="auto" w:fill="FFFFFF" w:themeFill="background1"/>
        </w:rPr>
        <w:t>8</w:t>
      </w:r>
      <w:r w:rsidR="00BE1B95" w:rsidRPr="001B6E4D">
        <w:rPr>
          <w:rFonts w:hint="eastAsia"/>
          <w:color w:val="000000" w:themeColor="text1"/>
          <w:shd w:val="clear" w:color="auto" w:fill="FFFFFF" w:themeFill="background1"/>
        </w:rPr>
        <w:t>案</w:t>
      </w:r>
      <w:bookmarkEnd w:id="109"/>
    </w:p>
    <w:tbl>
      <w:tblPr>
        <w:tblW w:w="8878"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516"/>
        <w:gridCol w:w="1113"/>
        <w:gridCol w:w="1500"/>
        <w:gridCol w:w="1536"/>
        <w:gridCol w:w="1460"/>
        <w:gridCol w:w="1682"/>
        <w:gridCol w:w="1071"/>
      </w:tblGrid>
      <w:tr w:rsidR="009548F9" w:rsidRPr="001B6E4D" w14:paraId="3A238503" w14:textId="77777777" w:rsidTr="009548F9">
        <w:trPr>
          <w:trHeight w:val="653"/>
          <w:jc w:val="center"/>
        </w:trPr>
        <w:tc>
          <w:tcPr>
            <w:tcW w:w="516" w:type="dxa"/>
            <w:vMerge w:val="restart"/>
          </w:tcPr>
          <w:p w14:paraId="2F9E2D23" w14:textId="77777777" w:rsidR="009548F9" w:rsidRPr="001B6E4D" w:rsidRDefault="009548F9"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序號</w:t>
            </w:r>
          </w:p>
        </w:tc>
        <w:tc>
          <w:tcPr>
            <w:tcW w:w="1113" w:type="dxa"/>
            <w:vMerge w:val="restart"/>
          </w:tcPr>
          <w:p w14:paraId="62366DCE" w14:textId="77777777" w:rsidR="009548F9" w:rsidRPr="001B6E4D" w:rsidRDefault="009548F9" w:rsidP="003D1018">
            <w:pPr>
              <w:widowControl w:val="0"/>
              <w:kinsoku w:val="0"/>
              <w:overflowPunct w:val="0"/>
              <w:spacing w:line="300" w:lineRule="exact"/>
              <w:ind w:rightChars="13" w:right="31"/>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議案名稱</w:t>
            </w:r>
          </w:p>
        </w:tc>
        <w:tc>
          <w:tcPr>
            <w:tcW w:w="1500" w:type="dxa"/>
            <w:vMerge w:val="restart"/>
          </w:tcPr>
          <w:p w14:paraId="5D1F6CB9" w14:textId="77777777" w:rsidR="009548F9" w:rsidRPr="001B6E4D" w:rsidRDefault="009548F9" w:rsidP="003D1018">
            <w:pPr>
              <w:widowControl w:val="0"/>
              <w:tabs>
                <w:tab w:val="left" w:pos="1089"/>
              </w:tabs>
              <w:kinsoku w:val="0"/>
              <w:overflowPunct w:val="0"/>
              <w:spacing w:line="300" w:lineRule="exact"/>
              <w:ind w:leftChars="-39" w:left="-94" w:rightChars="-12" w:right="-29"/>
              <w:jc w:val="both"/>
              <w:rPr>
                <w:rFonts w:ascii="標楷體" w:eastAsia="標楷體" w:hAnsi="標楷體"/>
                <w:b/>
                <w:color w:val="000000"/>
                <w:spacing w:val="-20"/>
                <w:szCs w:val="22"/>
              </w:rPr>
            </w:pPr>
            <w:r w:rsidRPr="001B6E4D">
              <w:rPr>
                <w:rFonts w:ascii="標楷體" w:eastAsia="標楷體" w:hAnsi="標楷體"/>
                <w:b/>
                <w:color w:val="000000"/>
                <w:spacing w:val="-20"/>
                <w:szCs w:val="22"/>
              </w:rPr>
              <w:t>提案委員或機關</w:t>
            </w:r>
          </w:p>
          <w:p w14:paraId="199ADCD6" w14:textId="77777777" w:rsidR="009548F9" w:rsidRPr="001B6E4D" w:rsidRDefault="009548F9"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院會交付日期</w:t>
            </w:r>
          </w:p>
          <w:p w14:paraId="6516B93C" w14:textId="77777777" w:rsidR="009548F9" w:rsidRPr="001B6E4D" w:rsidRDefault="009548F9"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(會次)</w:t>
            </w:r>
          </w:p>
        </w:tc>
        <w:tc>
          <w:tcPr>
            <w:tcW w:w="1536" w:type="dxa"/>
            <w:vMerge w:val="restart"/>
          </w:tcPr>
          <w:p w14:paraId="33CD152E" w14:textId="77777777" w:rsidR="009548F9" w:rsidRPr="001B6E4D" w:rsidRDefault="009548F9" w:rsidP="003D1018">
            <w:pPr>
              <w:widowControl w:val="0"/>
              <w:kinsoku w:val="0"/>
              <w:overflowPunct w:val="0"/>
              <w:spacing w:line="300" w:lineRule="exact"/>
              <w:ind w:leftChars="-80" w:left="-36" w:rightChars="-45" w:right="-108" w:hangingChars="78" w:hanging="156"/>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審查情形日期</w:t>
            </w:r>
            <w:r w:rsidRPr="001B6E4D">
              <w:rPr>
                <w:rFonts w:ascii="標楷體" w:eastAsia="標楷體" w:hAnsi="標楷體" w:hint="eastAsia"/>
                <w:b/>
                <w:color w:val="000000"/>
                <w:spacing w:val="-20"/>
                <w:szCs w:val="22"/>
              </w:rPr>
              <w:t xml:space="preserve"> </w:t>
            </w:r>
          </w:p>
          <w:p w14:paraId="5DB24C24" w14:textId="77777777" w:rsidR="009548F9" w:rsidRPr="001B6E4D" w:rsidRDefault="009548F9" w:rsidP="003D1018">
            <w:pPr>
              <w:widowControl w:val="0"/>
              <w:kinsoku w:val="0"/>
              <w:overflowPunct w:val="0"/>
              <w:spacing w:line="300" w:lineRule="exact"/>
              <w:ind w:leftChars="-80" w:left="-36" w:rightChars="-45" w:right="-108" w:hangingChars="78" w:hanging="156"/>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(會次)</w:t>
            </w:r>
          </w:p>
        </w:tc>
        <w:tc>
          <w:tcPr>
            <w:tcW w:w="1460" w:type="dxa"/>
            <w:vMerge w:val="restart"/>
          </w:tcPr>
          <w:p w14:paraId="1C1FF764" w14:textId="77777777" w:rsidR="009548F9" w:rsidRPr="001B6E4D" w:rsidRDefault="009548F9" w:rsidP="003D1018">
            <w:pPr>
              <w:widowControl w:val="0"/>
              <w:kinsoku w:val="0"/>
              <w:overflowPunct w:val="0"/>
              <w:spacing w:line="300" w:lineRule="exact"/>
              <w:ind w:leftChars="-45" w:hangingChars="54" w:hanging="108"/>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院會三讀通過日期(會次)</w:t>
            </w:r>
            <w:r w:rsidRPr="001B6E4D">
              <w:rPr>
                <w:rFonts w:ascii="標楷體" w:eastAsia="標楷體" w:hAnsi="標楷體" w:hint="eastAsia"/>
                <w:b/>
                <w:color w:val="000000"/>
                <w:spacing w:val="-20"/>
                <w:szCs w:val="22"/>
              </w:rPr>
              <w:t>、</w:t>
            </w:r>
            <w:proofErr w:type="gramStart"/>
            <w:r w:rsidRPr="001B6E4D">
              <w:rPr>
                <w:rFonts w:ascii="標楷體" w:eastAsia="標楷體" w:hAnsi="標楷體"/>
                <w:b/>
                <w:color w:val="000000"/>
                <w:spacing w:val="-20"/>
                <w:szCs w:val="22"/>
              </w:rPr>
              <w:t>咨</w:t>
            </w:r>
            <w:proofErr w:type="gramEnd"/>
            <w:r w:rsidRPr="001B6E4D">
              <w:rPr>
                <w:rFonts w:ascii="標楷體" w:eastAsia="標楷體" w:hAnsi="標楷體"/>
                <w:b/>
                <w:color w:val="000000"/>
                <w:spacing w:val="-20"/>
                <w:szCs w:val="22"/>
              </w:rPr>
              <w:t>請總統公布法律案名稱</w:t>
            </w:r>
          </w:p>
        </w:tc>
        <w:tc>
          <w:tcPr>
            <w:tcW w:w="1682" w:type="dxa"/>
          </w:tcPr>
          <w:p w14:paraId="116289E7" w14:textId="77777777" w:rsidR="009548F9" w:rsidRPr="001B6E4D" w:rsidRDefault="009548F9"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hint="eastAsia"/>
                <w:b/>
                <w:color w:val="000000"/>
                <w:spacing w:val="-20"/>
                <w:szCs w:val="22"/>
              </w:rPr>
              <w:t>本院</w:t>
            </w:r>
            <w:r w:rsidRPr="001B6E4D">
              <w:rPr>
                <w:rFonts w:ascii="標楷體" w:eastAsia="標楷體" w:hAnsi="標楷體"/>
                <w:b/>
                <w:color w:val="000000"/>
                <w:spacing w:val="-20"/>
                <w:szCs w:val="22"/>
              </w:rPr>
              <w:t>咨</w:t>
            </w:r>
            <w:r w:rsidRPr="001B6E4D">
              <w:rPr>
                <w:rFonts w:ascii="標楷體" w:eastAsia="標楷體" w:hAnsi="標楷體" w:hint="eastAsia"/>
                <w:b/>
                <w:color w:val="000000"/>
                <w:spacing w:val="-20"/>
                <w:szCs w:val="22"/>
              </w:rPr>
              <w:t>文</w:t>
            </w:r>
          </w:p>
          <w:p w14:paraId="0C511CD7" w14:textId="77777777" w:rsidR="009548F9" w:rsidRPr="001B6E4D" w:rsidRDefault="009548F9"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日期及文號</w:t>
            </w:r>
          </w:p>
        </w:tc>
        <w:tc>
          <w:tcPr>
            <w:tcW w:w="1071" w:type="dxa"/>
            <w:vMerge w:val="restart"/>
          </w:tcPr>
          <w:p w14:paraId="1ECC273E" w14:textId="77777777" w:rsidR="009548F9" w:rsidRPr="001B6E4D" w:rsidRDefault="009548F9"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總統府</w:t>
            </w:r>
          </w:p>
          <w:p w14:paraId="190A45C6" w14:textId="77777777" w:rsidR="009548F9" w:rsidRPr="001B6E4D" w:rsidRDefault="009548F9"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公報</w:t>
            </w:r>
          </w:p>
        </w:tc>
      </w:tr>
      <w:tr w:rsidR="009548F9" w:rsidRPr="001B6E4D" w14:paraId="6877F621" w14:textId="77777777" w:rsidTr="009548F9">
        <w:trPr>
          <w:trHeight w:val="629"/>
          <w:jc w:val="center"/>
        </w:trPr>
        <w:tc>
          <w:tcPr>
            <w:tcW w:w="516" w:type="dxa"/>
            <w:vMerge/>
          </w:tcPr>
          <w:p w14:paraId="7FB293E3" w14:textId="77777777" w:rsidR="009548F9" w:rsidRPr="001B6E4D" w:rsidRDefault="009548F9" w:rsidP="003D1018">
            <w:pPr>
              <w:widowControl w:val="0"/>
              <w:kinsoku w:val="0"/>
              <w:overflowPunct w:val="0"/>
              <w:spacing w:line="300" w:lineRule="exact"/>
              <w:jc w:val="center"/>
              <w:rPr>
                <w:rFonts w:ascii="標楷體" w:eastAsia="標楷體" w:hAnsi="標楷體"/>
                <w:color w:val="000000"/>
                <w:spacing w:val="-20"/>
                <w:szCs w:val="22"/>
              </w:rPr>
            </w:pPr>
          </w:p>
        </w:tc>
        <w:tc>
          <w:tcPr>
            <w:tcW w:w="1113" w:type="dxa"/>
            <w:vMerge/>
          </w:tcPr>
          <w:p w14:paraId="00E05677" w14:textId="77777777" w:rsidR="009548F9" w:rsidRPr="001B6E4D" w:rsidRDefault="009548F9" w:rsidP="003D1018">
            <w:pPr>
              <w:widowControl w:val="0"/>
              <w:kinsoku w:val="0"/>
              <w:overflowPunct w:val="0"/>
              <w:spacing w:line="300" w:lineRule="exact"/>
              <w:ind w:rightChars="-45" w:right="-108"/>
              <w:jc w:val="center"/>
              <w:rPr>
                <w:rFonts w:ascii="標楷體" w:eastAsia="標楷體" w:hAnsi="標楷體"/>
                <w:b/>
                <w:color w:val="000000"/>
                <w:spacing w:val="-20"/>
                <w:szCs w:val="22"/>
              </w:rPr>
            </w:pPr>
          </w:p>
        </w:tc>
        <w:tc>
          <w:tcPr>
            <w:tcW w:w="1500" w:type="dxa"/>
            <w:vMerge/>
          </w:tcPr>
          <w:p w14:paraId="3961D565" w14:textId="77777777" w:rsidR="009548F9" w:rsidRPr="001B6E4D" w:rsidRDefault="009548F9" w:rsidP="003D1018">
            <w:pPr>
              <w:widowControl w:val="0"/>
              <w:kinsoku w:val="0"/>
              <w:overflowPunct w:val="0"/>
              <w:spacing w:line="300" w:lineRule="exact"/>
              <w:ind w:leftChars="-39" w:left="-94" w:rightChars="-45" w:right="-108"/>
              <w:jc w:val="center"/>
              <w:rPr>
                <w:rFonts w:ascii="標楷體" w:eastAsia="標楷體" w:hAnsi="標楷體"/>
                <w:b/>
                <w:color w:val="000000"/>
                <w:spacing w:val="-20"/>
                <w:szCs w:val="22"/>
              </w:rPr>
            </w:pPr>
          </w:p>
        </w:tc>
        <w:tc>
          <w:tcPr>
            <w:tcW w:w="1536" w:type="dxa"/>
            <w:vMerge/>
          </w:tcPr>
          <w:p w14:paraId="79444613" w14:textId="77777777" w:rsidR="009548F9" w:rsidRPr="001B6E4D" w:rsidRDefault="009548F9" w:rsidP="003D1018">
            <w:pPr>
              <w:widowControl w:val="0"/>
              <w:kinsoku w:val="0"/>
              <w:overflowPunct w:val="0"/>
              <w:spacing w:line="300" w:lineRule="exact"/>
              <w:ind w:rightChars="-45" w:right="-108"/>
              <w:jc w:val="center"/>
              <w:rPr>
                <w:rFonts w:ascii="標楷體" w:eastAsia="標楷體" w:hAnsi="標楷體"/>
                <w:b/>
                <w:color w:val="000000"/>
                <w:spacing w:val="-20"/>
                <w:szCs w:val="22"/>
              </w:rPr>
            </w:pPr>
          </w:p>
        </w:tc>
        <w:tc>
          <w:tcPr>
            <w:tcW w:w="1460" w:type="dxa"/>
            <w:vMerge/>
          </w:tcPr>
          <w:p w14:paraId="4B415005" w14:textId="77777777" w:rsidR="009548F9" w:rsidRPr="001B6E4D" w:rsidRDefault="009548F9" w:rsidP="003D1018">
            <w:pPr>
              <w:widowControl w:val="0"/>
              <w:kinsoku w:val="0"/>
              <w:overflowPunct w:val="0"/>
              <w:spacing w:line="300" w:lineRule="exact"/>
              <w:jc w:val="center"/>
              <w:rPr>
                <w:rFonts w:ascii="標楷體" w:eastAsia="標楷體" w:hAnsi="標楷體"/>
                <w:b/>
                <w:color w:val="000000"/>
                <w:spacing w:val="-20"/>
                <w:szCs w:val="22"/>
              </w:rPr>
            </w:pPr>
          </w:p>
        </w:tc>
        <w:tc>
          <w:tcPr>
            <w:tcW w:w="1682" w:type="dxa"/>
          </w:tcPr>
          <w:p w14:paraId="23A7B93E" w14:textId="77777777" w:rsidR="009548F9" w:rsidRPr="001B6E4D" w:rsidRDefault="009548F9"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總統公布</w:t>
            </w:r>
          </w:p>
          <w:p w14:paraId="747A48CD" w14:textId="77777777" w:rsidR="009548F9" w:rsidRPr="001B6E4D" w:rsidRDefault="009548F9"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日期及文號</w:t>
            </w:r>
          </w:p>
        </w:tc>
        <w:tc>
          <w:tcPr>
            <w:tcW w:w="1071" w:type="dxa"/>
            <w:vMerge/>
          </w:tcPr>
          <w:p w14:paraId="1247D30B" w14:textId="77777777" w:rsidR="009548F9" w:rsidRPr="001B6E4D" w:rsidRDefault="009548F9" w:rsidP="003D1018">
            <w:pPr>
              <w:widowControl w:val="0"/>
              <w:kinsoku w:val="0"/>
              <w:overflowPunct w:val="0"/>
              <w:spacing w:line="300" w:lineRule="exact"/>
              <w:jc w:val="center"/>
              <w:rPr>
                <w:rFonts w:ascii="標楷體" w:eastAsia="標楷體" w:hAnsi="標楷體"/>
                <w:b/>
                <w:color w:val="000000"/>
                <w:spacing w:val="-20"/>
                <w:szCs w:val="22"/>
              </w:rPr>
            </w:pPr>
          </w:p>
        </w:tc>
      </w:tr>
      <w:tr w:rsidR="009548F9" w:rsidRPr="001B6E4D" w14:paraId="6596BEAC" w14:textId="77777777" w:rsidTr="009548F9">
        <w:trPr>
          <w:trHeight w:val="645"/>
          <w:jc w:val="center"/>
        </w:trPr>
        <w:tc>
          <w:tcPr>
            <w:tcW w:w="516" w:type="dxa"/>
          </w:tcPr>
          <w:p w14:paraId="50919BB3" w14:textId="77777777" w:rsidR="009548F9" w:rsidRPr="001B6E4D" w:rsidRDefault="009548F9" w:rsidP="003D1018">
            <w:pPr>
              <w:widowControl w:val="0"/>
              <w:numPr>
                <w:ilvl w:val="0"/>
                <w:numId w:val="24"/>
              </w:numPr>
              <w:kinsoku w:val="0"/>
              <w:overflowPunct w:val="0"/>
              <w:spacing w:line="300" w:lineRule="exact"/>
              <w:jc w:val="center"/>
              <w:rPr>
                <w:rFonts w:ascii="標楷體" w:eastAsia="標楷體" w:hAnsi="標楷體"/>
                <w:color w:val="000000"/>
                <w:spacing w:val="-20"/>
                <w:szCs w:val="22"/>
              </w:rPr>
            </w:pPr>
          </w:p>
        </w:tc>
        <w:tc>
          <w:tcPr>
            <w:tcW w:w="1113" w:type="dxa"/>
          </w:tcPr>
          <w:p w14:paraId="7D0EFE69" w14:textId="77777777" w:rsidR="009548F9" w:rsidRPr="001B6E4D" w:rsidRDefault="009548F9"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434300EC"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w:t>
            </w:r>
          </w:p>
          <w:p w14:paraId="7C874475"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115.02.24</w:t>
            </w:r>
          </w:p>
          <w:p w14:paraId="6C5A3DD4"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（11-5-1）</w:t>
            </w:r>
          </w:p>
        </w:tc>
        <w:tc>
          <w:tcPr>
            <w:tcW w:w="1536" w:type="dxa"/>
            <w:vMerge w:val="restart"/>
          </w:tcPr>
          <w:p w14:paraId="5D02DBA2" w14:textId="77777777" w:rsidR="009548F9" w:rsidRPr="001B6E4D" w:rsidRDefault="009548F9"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本會、內政委員會聯席會</w:t>
            </w:r>
          </w:p>
          <w:p w14:paraId="51B0CC2A" w14:textId="77777777" w:rsidR="009548F9" w:rsidRPr="001B6E4D" w:rsidRDefault="009548F9"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115.4.22</w:t>
            </w:r>
          </w:p>
          <w:p w14:paraId="069539D5" w14:textId="77777777" w:rsidR="009548F9" w:rsidRPr="001B6E4D" w:rsidRDefault="009548F9"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(11-5-2)審查完竣，不須交由黨團協商。</w:t>
            </w:r>
          </w:p>
        </w:tc>
        <w:tc>
          <w:tcPr>
            <w:tcW w:w="1460" w:type="dxa"/>
            <w:vMerge w:val="restart"/>
          </w:tcPr>
          <w:p w14:paraId="25D85A4D" w14:textId="77777777" w:rsidR="009548F9" w:rsidRPr="001B6E4D" w:rsidRDefault="009548F9"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780CFF1B" w14:textId="77777777" w:rsidR="009548F9" w:rsidRPr="001B6E4D" w:rsidRDefault="009548F9"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6.2</w:t>
            </w:r>
          </w:p>
          <w:p w14:paraId="25A3A56C" w14:textId="77777777" w:rsidR="009548F9" w:rsidRPr="001B6E4D" w:rsidRDefault="009548F9"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12</w:t>
            </w:r>
            <w:r w:rsidRPr="001B6E4D">
              <w:rPr>
                <w:rFonts w:ascii="標楷體" w:eastAsia="標楷體" w:hAnsi="標楷體"/>
                <w:spacing w:val="-20"/>
                <w:kern w:val="0"/>
                <w:szCs w:val="22"/>
              </w:rPr>
              <w:t>)</w:t>
            </w:r>
          </w:p>
          <w:p w14:paraId="120DE865" w14:textId="77777777" w:rsidR="009548F9" w:rsidRPr="001B6E4D" w:rsidRDefault="009548F9"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三讀修正第三條及第十一條條文。</w:t>
            </w:r>
          </w:p>
        </w:tc>
        <w:tc>
          <w:tcPr>
            <w:tcW w:w="1682" w:type="dxa"/>
            <w:vMerge w:val="restart"/>
          </w:tcPr>
          <w:p w14:paraId="3A991B19" w14:textId="77777777" w:rsidR="009548F9" w:rsidRPr="001B6E4D" w:rsidRDefault="009548F9"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115年6月9日台立院議字第1150701992號</w:t>
            </w:r>
          </w:p>
          <w:p w14:paraId="1EB14E99" w14:textId="77777777" w:rsidR="009548F9" w:rsidRPr="001B6E4D" w:rsidRDefault="009548F9" w:rsidP="003D1018">
            <w:pPr>
              <w:widowControl w:val="0"/>
              <w:kinsoku w:val="0"/>
              <w:overflowPunct w:val="0"/>
              <w:spacing w:line="300" w:lineRule="exact"/>
              <w:rPr>
                <w:rFonts w:ascii="標楷體" w:eastAsia="標楷體" w:hAnsi="標楷體"/>
                <w:color w:val="000000"/>
                <w:spacing w:val="-20"/>
                <w:szCs w:val="22"/>
              </w:rPr>
            </w:pPr>
          </w:p>
          <w:p w14:paraId="1321061F" w14:textId="77777777" w:rsidR="009548F9" w:rsidRPr="001B6E4D" w:rsidRDefault="009548F9"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115年6月17日華總</w:t>
            </w:r>
            <w:proofErr w:type="gramStart"/>
            <w:r w:rsidRPr="001B6E4D">
              <w:rPr>
                <w:rFonts w:ascii="標楷體" w:eastAsia="標楷體" w:hAnsi="標楷體" w:hint="eastAsia"/>
                <w:color w:val="000000"/>
                <w:spacing w:val="-20"/>
                <w:szCs w:val="22"/>
              </w:rPr>
              <w:t>一義字第11500054951號</w:t>
            </w:r>
            <w:proofErr w:type="gramEnd"/>
          </w:p>
        </w:tc>
        <w:tc>
          <w:tcPr>
            <w:tcW w:w="1071" w:type="dxa"/>
            <w:vMerge w:val="restart"/>
          </w:tcPr>
          <w:p w14:paraId="74F49220" w14:textId="77777777" w:rsidR="009548F9" w:rsidRPr="001B6E4D" w:rsidRDefault="009548F9" w:rsidP="003D1018">
            <w:pPr>
              <w:widowControl w:val="0"/>
              <w:kinsoku w:val="0"/>
              <w:overflowPunct w:val="0"/>
              <w:spacing w:line="300" w:lineRule="exact"/>
              <w:jc w:val="both"/>
              <w:rPr>
                <w:rFonts w:ascii="標楷體" w:eastAsia="標楷體" w:hAnsi="標楷體"/>
                <w:color w:val="000000"/>
                <w:spacing w:val="-28"/>
                <w:szCs w:val="22"/>
              </w:rPr>
            </w:pPr>
            <w:r w:rsidRPr="001B6E4D">
              <w:rPr>
                <w:rFonts w:ascii="標楷體" w:eastAsia="標楷體" w:hAnsi="標楷體" w:hint="eastAsia"/>
                <w:color w:val="000000"/>
                <w:spacing w:val="-28"/>
                <w:szCs w:val="22"/>
              </w:rPr>
              <w:t>第7867號</w:t>
            </w:r>
          </w:p>
        </w:tc>
      </w:tr>
      <w:tr w:rsidR="009548F9" w:rsidRPr="001B6E4D" w14:paraId="31F21A1C" w14:textId="77777777" w:rsidTr="009548F9">
        <w:trPr>
          <w:trHeight w:val="645"/>
          <w:jc w:val="center"/>
        </w:trPr>
        <w:tc>
          <w:tcPr>
            <w:tcW w:w="516" w:type="dxa"/>
          </w:tcPr>
          <w:p w14:paraId="631DBFCC" w14:textId="77777777" w:rsidR="009548F9" w:rsidRPr="001B6E4D" w:rsidRDefault="009548F9" w:rsidP="003D1018">
            <w:pPr>
              <w:widowControl w:val="0"/>
              <w:numPr>
                <w:ilvl w:val="0"/>
                <w:numId w:val="24"/>
              </w:numPr>
              <w:kinsoku w:val="0"/>
              <w:overflowPunct w:val="0"/>
              <w:spacing w:line="300" w:lineRule="exact"/>
              <w:jc w:val="center"/>
              <w:rPr>
                <w:rFonts w:ascii="標楷體" w:eastAsia="標楷體" w:hAnsi="標楷體"/>
                <w:color w:val="000000"/>
                <w:spacing w:val="-20"/>
                <w:szCs w:val="22"/>
              </w:rPr>
            </w:pPr>
          </w:p>
        </w:tc>
        <w:tc>
          <w:tcPr>
            <w:tcW w:w="1113" w:type="dxa"/>
          </w:tcPr>
          <w:p w14:paraId="0753E3DB" w14:textId="77777777" w:rsidR="009548F9" w:rsidRPr="001B6E4D" w:rsidRDefault="009548F9"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38590DDE"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委員張雅琳</w:t>
            </w:r>
          </w:p>
          <w:p w14:paraId="4B75D829"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02F286EC"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115.03.20</w:t>
            </w:r>
          </w:p>
          <w:p w14:paraId="2D2EC009"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（11-5-4）</w:t>
            </w:r>
          </w:p>
        </w:tc>
        <w:tc>
          <w:tcPr>
            <w:tcW w:w="1536" w:type="dxa"/>
            <w:vMerge/>
          </w:tcPr>
          <w:p w14:paraId="7589EADE" w14:textId="77777777" w:rsidR="009548F9" w:rsidRPr="001B6E4D" w:rsidRDefault="009548F9"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47043013" w14:textId="77777777" w:rsidR="009548F9" w:rsidRPr="001B6E4D" w:rsidRDefault="009548F9"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6B51243" w14:textId="77777777" w:rsidR="009548F9" w:rsidRPr="001B6E4D" w:rsidRDefault="009548F9"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B8A4125" w14:textId="77777777" w:rsidR="009548F9" w:rsidRPr="001B6E4D" w:rsidRDefault="009548F9" w:rsidP="003D1018">
            <w:pPr>
              <w:widowControl w:val="0"/>
              <w:kinsoku w:val="0"/>
              <w:overflowPunct w:val="0"/>
              <w:spacing w:line="300" w:lineRule="exact"/>
              <w:jc w:val="both"/>
              <w:rPr>
                <w:rFonts w:ascii="標楷體" w:eastAsia="標楷體" w:hAnsi="標楷體"/>
                <w:color w:val="000000"/>
                <w:spacing w:val="-28"/>
                <w:szCs w:val="22"/>
              </w:rPr>
            </w:pPr>
          </w:p>
        </w:tc>
      </w:tr>
      <w:tr w:rsidR="009548F9" w:rsidRPr="001B6E4D" w14:paraId="55F9DBA7" w14:textId="77777777" w:rsidTr="009548F9">
        <w:trPr>
          <w:trHeight w:val="645"/>
          <w:jc w:val="center"/>
        </w:trPr>
        <w:tc>
          <w:tcPr>
            <w:tcW w:w="516" w:type="dxa"/>
          </w:tcPr>
          <w:p w14:paraId="2FE06CC7" w14:textId="77777777" w:rsidR="009548F9" w:rsidRPr="001B6E4D" w:rsidRDefault="009548F9" w:rsidP="003D1018">
            <w:pPr>
              <w:widowControl w:val="0"/>
              <w:numPr>
                <w:ilvl w:val="0"/>
                <w:numId w:val="24"/>
              </w:numPr>
              <w:kinsoku w:val="0"/>
              <w:overflowPunct w:val="0"/>
              <w:spacing w:line="300" w:lineRule="exact"/>
              <w:jc w:val="center"/>
              <w:rPr>
                <w:rFonts w:ascii="標楷體" w:eastAsia="標楷體" w:hAnsi="標楷體"/>
                <w:color w:val="000000"/>
                <w:spacing w:val="-20"/>
                <w:szCs w:val="22"/>
              </w:rPr>
            </w:pPr>
          </w:p>
        </w:tc>
        <w:tc>
          <w:tcPr>
            <w:tcW w:w="1113" w:type="dxa"/>
          </w:tcPr>
          <w:p w14:paraId="4FB9E882" w14:textId="77777777" w:rsidR="009548F9" w:rsidRPr="001B6E4D" w:rsidRDefault="009548F9"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3.海洋委員會海巡署組織法第三條及第十一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2A199161"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委員莊瑞雄</w:t>
            </w:r>
          </w:p>
          <w:p w14:paraId="31EAFB06"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1EACE548"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69E4B54C"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060C2304" w14:textId="77777777" w:rsidR="009548F9" w:rsidRPr="001B6E4D" w:rsidRDefault="009548F9"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1AA81457" w14:textId="77777777" w:rsidR="009548F9" w:rsidRPr="001B6E4D" w:rsidRDefault="009548F9"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3D2116D0" w14:textId="77777777" w:rsidR="009548F9" w:rsidRPr="001B6E4D" w:rsidRDefault="009548F9"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974EECC" w14:textId="77777777" w:rsidR="009548F9" w:rsidRPr="001B6E4D" w:rsidRDefault="009548F9" w:rsidP="003D1018">
            <w:pPr>
              <w:widowControl w:val="0"/>
              <w:kinsoku w:val="0"/>
              <w:overflowPunct w:val="0"/>
              <w:spacing w:line="300" w:lineRule="exact"/>
              <w:jc w:val="both"/>
              <w:rPr>
                <w:rFonts w:ascii="標楷體" w:eastAsia="標楷體" w:hAnsi="標楷體"/>
                <w:color w:val="000000"/>
                <w:spacing w:val="-28"/>
                <w:szCs w:val="22"/>
              </w:rPr>
            </w:pPr>
          </w:p>
        </w:tc>
      </w:tr>
      <w:tr w:rsidR="009548F9" w:rsidRPr="001B6E4D" w14:paraId="31ED388B" w14:textId="77777777" w:rsidTr="009548F9">
        <w:trPr>
          <w:trHeight w:val="645"/>
          <w:jc w:val="center"/>
        </w:trPr>
        <w:tc>
          <w:tcPr>
            <w:tcW w:w="516" w:type="dxa"/>
          </w:tcPr>
          <w:p w14:paraId="6D6C83CF" w14:textId="77777777" w:rsidR="009548F9" w:rsidRPr="001B6E4D" w:rsidRDefault="009548F9" w:rsidP="003D1018">
            <w:pPr>
              <w:widowControl w:val="0"/>
              <w:numPr>
                <w:ilvl w:val="0"/>
                <w:numId w:val="24"/>
              </w:numPr>
              <w:kinsoku w:val="0"/>
              <w:overflowPunct w:val="0"/>
              <w:spacing w:line="300" w:lineRule="exact"/>
              <w:jc w:val="center"/>
              <w:rPr>
                <w:rFonts w:ascii="標楷體" w:eastAsia="標楷體" w:hAnsi="標楷體"/>
                <w:color w:val="000000"/>
                <w:spacing w:val="-20"/>
                <w:szCs w:val="22"/>
              </w:rPr>
            </w:pPr>
          </w:p>
        </w:tc>
        <w:tc>
          <w:tcPr>
            <w:tcW w:w="1113" w:type="dxa"/>
          </w:tcPr>
          <w:p w14:paraId="77099CD9" w14:textId="77777777" w:rsidR="009548F9" w:rsidRPr="001B6E4D" w:rsidRDefault="009548F9"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4.海洋委員會海巡署組織法第三條及第十一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46D32C64"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委員沈發惠</w:t>
            </w:r>
          </w:p>
          <w:p w14:paraId="2E5AC009"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6A85EC96"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2ED23619"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51721D5F" w14:textId="77777777" w:rsidR="009548F9" w:rsidRPr="001B6E4D" w:rsidRDefault="009548F9"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21DD9982" w14:textId="77777777" w:rsidR="009548F9" w:rsidRPr="001B6E4D" w:rsidRDefault="009548F9"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D56DB74" w14:textId="77777777" w:rsidR="009548F9" w:rsidRPr="001B6E4D" w:rsidRDefault="009548F9"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182DD912" w14:textId="77777777" w:rsidR="009548F9" w:rsidRPr="001B6E4D" w:rsidRDefault="009548F9" w:rsidP="003D1018">
            <w:pPr>
              <w:widowControl w:val="0"/>
              <w:kinsoku w:val="0"/>
              <w:overflowPunct w:val="0"/>
              <w:spacing w:line="300" w:lineRule="exact"/>
              <w:jc w:val="both"/>
              <w:rPr>
                <w:rFonts w:ascii="標楷體" w:eastAsia="標楷體" w:hAnsi="標楷體"/>
                <w:color w:val="000000"/>
                <w:spacing w:val="-28"/>
                <w:szCs w:val="22"/>
              </w:rPr>
            </w:pPr>
          </w:p>
        </w:tc>
      </w:tr>
      <w:tr w:rsidR="009548F9" w:rsidRPr="001B6E4D" w14:paraId="26ADAB76" w14:textId="77777777" w:rsidTr="009548F9">
        <w:trPr>
          <w:trHeight w:val="645"/>
          <w:jc w:val="center"/>
        </w:trPr>
        <w:tc>
          <w:tcPr>
            <w:tcW w:w="516" w:type="dxa"/>
          </w:tcPr>
          <w:p w14:paraId="749EFE64" w14:textId="77777777" w:rsidR="009548F9" w:rsidRPr="001B6E4D" w:rsidRDefault="009548F9" w:rsidP="003D1018">
            <w:pPr>
              <w:widowControl w:val="0"/>
              <w:numPr>
                <w:ilvl w:val="0"/>
                <w:numId w:val="24"/>
              </w:numPr>
              <w:kinsoku w:val="0"/>
              <w:overflowPunct w:val="0"/>
              <w:spacing w:line="300" w:lineRule="exact"/>
              <w:jc w:val="center"/>
              <w:rPr>
                <w:rFonts w:ascii="標楷體" w:eastAsia="標楷體" w:hAnsi="標楷體"/>
                <w:color w:val="000000"/>
                <w:spacing w:val="-20"/>
                <w:szCs w:val="22"/>
              </w:rPr>
            </w:pPr>
          </w:p>
        </w:tc>
        <w:tc>
          <w:tcPr>
            <w:tcW w:w="1113" w:type="dxa"/>
          </w:tcPr>
          <w:p w14:paraId="129230A0" w14:textId="77777777" w:rsidR="009548F9" w:rsidRPr="001B6E4D" w:rsidRDefault="009548F9"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5.海洋委員會海巡署組織法第三條及第十一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0D602BFE"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3D8455C9"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18DBE7CC"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4758468A"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2096F646" w14:textId="77777777" w:rsidR="009548F9" w:rsidRPr="001B6E4D" w:rsidRDefault="009548F9"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5A72A29C" w14:textId="77777777" w:rsidR="009548F9" w:rsidRPr="001B6E4D" w:rsidRDefault="009548F9"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AD529F0" w14:textId="77777777" w:rsidR="009548F9" w:rsidRPr="001B6E4D" w:rsidRDefault="009548F9"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5EB6D246" w14:textId="77777777" w:rsidR="009548F9" w:rsidRPr="001B6E4D" w:rsidRDefault="009548F9" w:rsidP="003D1018">
            <w:pPr>
              <w:widowControl w:val="0"/>
              <w:kinsoku w:val="0"/>
              <w:overflowPunct w:val="0"/>
              <w:spacing w:line="300" w:lineRule="exact"/>
              <w:jc w:val="both"/>
              <w:rPr>
                <w:rFonts w:ascii="標楷體" w:eastAsia="標楷體" w:hAnsi="標楷體"/>
                <w:color w:val="000000"/>
                <w:spacing w:val="-28"/>
                <w:szCs w:val="22"/>
              </w:rPr>
            </w:pPr>
          </w:p>
        </w:tc>
      </w:tr>
      <w:tr w:rsidR="009548F9" w:rsidRPr="001B6E4D" w14:paraId="2D830A6C" w14:textId="77777777" w:rsidTr="009548F9">
        <w:trPr>
          <w:trHeight w:val="645"/>
          <w:jc w:val="center"/>
        </w:trPr>
        <w:tc>
          <w:tcPr>
            <w:tcW w:w="516" w:type="dxa"/>
          </w:tcPr>
          <w:p w14:paraId="6F979426" w14:textId="77777777" w:rsidR="009548F9" w:rsidRPr="001B6E4D" w:rsidRDefault="009548F9" w:rsidP="003D1018">
            <w:pPr>
              <w:widowControl w:val="0"/>
              <w:numPr>
                <w:ilvl w:val="0"/>
                <w:numId w:val="24"/>
              </w:numPr>
              <w:kinsoku w:val="0"/>
              <w:overflowPunct w:val="0"/>
              <w:spacing w:line="300" w:lineRule="exact"/>
              <w:jc w:val="center"/>
              <w:rPr>
                <w:rFonts w:ascii="標楷體" w:eastAsia="標楷體" w:hAnsi="標楷體"/>
                <w:color w:val="000000"/>
                <w:spacing w:val="-20"/>
                <w:szCs w:val="22"/>
              </w:rPr>
            </w:pPr>
          </w:p>
        </w:tc>
        <w:tc>
          <w:tcPr>
            <w:tcW w:w="1113" w:type="dxa"/>
          </w:tcPr>
          <w:p w14:paraId="251B5E2F" w14:textId="77777777" w:rsidR="009548F9" w:rsidRPr="001B6E4D" w:rsidRDefault="009548F9"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6.海洋委員會海巡署組織法第三條及第十一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25F8E59A"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委員王美惠</w:t>
            </w:r>
          </w:p>
          <w:p w14:paraId="588D0515"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3508E30D"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30FB3D32"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316767FA" w14:textId="77777777" w:rsidR="009548F9" w:rsidRPr="001B6E4D" w:rsidRDefault="009548F9"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70CC03A" w14:textId="77777777" w:rsidR="009548F9" w:rsidRPr="001B6E4D" w:rsidRDefault="009548F9"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F376C2D" w14:textId="77777777" w:rsidR="009548F9" w:rsidRPr="001B6E4D" w:rsidRDefault="009548F9"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C3DE4E5" w14:textId="77777777" w:rsidR="009548F9" w:rsidRPr="001B6E4D" w:rsidRDefault="009548F9" w:rsidP="003D1018">
            <w:pPr>
              <w:widowControl w:val="0"/>
              <w:kinsoku w:val="0"/>
              <w:overflowPunct w:val="0"/>
              <w:spacing w:line="300" w:lineRule="exact"/>
              <w:jc w:val="both"/>
              <w:rPr>
                <w:rFonts w:ascii="標楷體" w:eastAsia="標楷體" w:hAnsi="標楷體"/>
                <w:color w:val="000000"/>
                <w:spacing w:val="-28"/>
                <w:szCs w:val="22"/>
              </w:rPr>
            </w:pPr>
          </w:p>
        </w:tc>
      </w:tr>
      <w:tr w:rsidR="009548F9" w:rsidRPr="001B6E4D" w14:paraId="78547AD0" w14:textId="77777777" w:rsidTr="009548F9">
        <w:trPr>
          <w:trHeight w:val="645"/>
          <w:jc w:val="center"/>
        </w:trPr>
        <w:tc>
          <w:tcPr>
            <w:tcW w:w="516" w:type="dxa"/>
          </w:tcPr>
          <w:p w14:paraId="173393EC" w14:textId="77777777" w:rsidR="009548F9" w:rsidRPr="001B6E4D" w:rsidRDefault="009548F9" w:rsidP="003D1018">
            <w:pPr>
              <w:widowControl w:val="0"/>
              <w:numPr>
                <w:ilvl w:val="0"/>
                <w:numId w:val="24"/>
              </w:numPr>
              <w:kinsoku w:val="0"/>
              <w:overflowPunct w:val="0"/>
              <w:spacing w:line="300" w:lineRule="exact"/>
              <w:jc w:val="center"/>
              <w:rPr>
                <w:rFonts w:ascii="標楷體" w:eastAsia="標楷體" w:hAnsi="標楷體"/>
                <w:color w:val="000000"/>
                <w:spacing w:val="-20"/>
                <w:szCs w:val="22"/>
              </w:rPr>
            </w:pPr>
          </w:p>
        </w:tc>
        <w:tc>
          <w:tcPr>
            <w:tcW w:w="1113" w:type="dxa"/>
          </w:tcPr>
          <w:p w14:paraId="30BE918A" w14:textId="77777777" w:rsidR="009548F9" w:rsidRPr="001B6E4D" w:rsidRDefault="009548F9"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7.海洋委員會海巡署組織法第三條及第十一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19E21594"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委員吳沛憶</w:t>
            </w:r>
          </w:p>
          <w:p w14:paraId="11629C52"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0F13A931"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115.04.10</w:t>
            </w:r>
          </w:p>
          <w:p w14:paraId="004E8782"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（11-5-6）</w:t>
            </w:r>
          </w:p>
        </w:tc>
        <w:tc>
          <w:tcPr>
            <w:tcW w:w="1536" w:type="dxa"/>
            <w:vMerge/>
          </w:tcPr>
          <w:p w14:paraId="5FB13D5F" w14:textId="77777777" w:rsidR="009548F9" w:rsidRPr="001B6E4D" w:rsidRDefault="009548F9"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2D8C59BA" w14:textId="77777777" w:rsidR="009548F9" w:rsidRPr="001B6E4D" w:rsidRDefault="009548F9"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C5B123A" w14:textId="77777777" w:rsidR="009548F9" w:rsidRPr="001B6E4D" w:rsidRDefault="009548F9"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CD73D38" w14:textId="77777777" w:rsidR="009548F9" w:rsidRPr="001B6E4D" w:rsidRDefault="009548F9" w:rsidP="003D1018">
            <w:pPr>
              <w:widowControl w:val="0"/>
              <w:kinsoku w:val="0"/>
              <w:overflowPunct w:val="0"/>
              <w:spacing w:line="300" w:lineRule="exact"/>
              <w:jc w:val="both"/>
              <w:rPr>
                <w:rFonts w:ascii="標楷體" w:eastAsia="標楷體" w:hAnsi="標楷體"/>
                <w:color w:val="000000"/>
                <w:spacing w:val="-28"/>
                <w:szCs w:val="22"/>
              </w:rPr>
            </w:pPr>
          </w:p>
        </w:tc>
      </w:tr>
      <w:tr w:rsidR="009548F9" w:rsidRPr="001B6E4D" w14:paraId="5A74BAB9" w14:textId="77777777" w:rsidTr="009548F9">
        <w:trPr>
          <w:trHeight w:val="645"/>
          <w:jc w:val="center"/>
        </w:trPr>
        <w:tc>
          <w:tcPr>
            <w:tcW w:w="516" w:type="dxa"/>
          </w:tcPr>
          <w:p w14:paraId="5BF865DC" w14:textId="77777777" w:rsidR="009548F9" w:rsidRPr="001B6E4D" w:rsidRDefault="009548F9" w:rsidP="003D1018">
            <w:pPr>
              <w:widowControl w:val="0"/>
              <w:numPr>
                <w:ilvl w:val="0"/>
                <w:numId w:val="24"/>
              </w:numPr>
              <w:kinsoku w:val="0"/>
              <w:overflowPunct w:val="0"/>
              <w:spacing w:line="300" w:lineRule="exact"/>
              <w:jc w:val="center"/>
              <w:rPr>
                <w:rFonts w:ascii="標楷體" w:eastAsia="標楷體" w:hAnsi="標楷體"/>
                <w:color w:val="000000"/>
                <w:spacing w:val="-20"/>
                <w:szCs w:val="22"/>
              </w:rPr>
            </w:pPr>
          </w:p>
        </w:tc>
        <w:tc>
          <w:tcPr>
            <w:tcW w:w="1113" w:type="dxa"/>
          </w:tcPr>
          <w:p w14:paraId="6368A321" w14:textId="77777777" w:rsidR="009548F9" w:rsidRPr="001B6E4D" w:rsidRDefault="009548F9"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8.海洋委員會海巡署組織法第三條及第十一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40470CA5"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委員徐富</w:t>
            </w:r>
            <w:proofErr w:type="gramStart"/>
            <w:r w:rsidRPr="001B6E4D">
              <w:rPr>
                <w:rFonts w:ascii="標楷體" w:eastAsia="標楷體" w:hAnsi="標楷體"/>
                <w:color w:val="000000"/>
                <w:kern w:val="0"/>
                <w:szCs w:val="22"/>
              </w:rPr>
              <w:t>癸</w:t>
            </w:r>
            <w:proofErr w:type="gramEnd"/>
          </w:p>
          <w:p w14:paraId="00BCDFC0"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68E07900"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115.04.10</w:t>
            </w:r>
          </w:p>
          <w:p w14:paraId="068EF44F" w14:textId="77777777" w:rsidR="009548F9" w:rsidRPr="001B6E4D" w:rsidRDefault="009548F9"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（11-5-6）</w:t>
            </w:r>
          </w:p>
        </w:tc>
        <w:tc>
          <w:tcPr>
            <w:tcW w:w="1536" w:type="dxa"/>
            <w:vMerge/>
          </w:tcPr>
          <w:p w14:paraId="353F2A94" w14:textId="77777777" w:rsidR="009548F9" w:rsidRPr="001B6E4D" w:rsidRDefault="009548F9"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53514C3A" w14:textId="77777777" w:rsidR="009548F9" w:rsidRPr="001B6E4D" w:rsidRDefault="009548F9"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0E62C74" w14:textId="77777777" w:rsidR="009548F9" w:rsidRPr="001B6E4D" w:rsidRDefault="009548F9"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94440BF" w14:textId="77777777" w:rsidR="009548F9" w:rsidRPr="001B6E4D" w:rsidRDefault="009548F9" w:rsidP="003D1018">
            <w:pPr>
              <w:widowControl w:val="0"/>
              <w:kinsoku w:val="0"/>
              <w:overflowPunct w:val="0"/>
              <w:spacing w:line="300" w:lineRule="exact"/>
              <w:jc w:val="both"/>
              <w:rPr>
                <w:rFonts w:ascii="標楷體" w:eastAsia="標楷體" w:hAnsi="標楷體"/>
                <w:color w:val="000000"/>
                <w:spacing w:val="-28"/>
                <w:szCs w:val="22"/>
              </w:rPr>
            </w:pPr>
          </w:p>
        </w:tc>
      </w:tr>
    </w:tbl>
    <w:p w14:paraId="1C10B731" w14:textId="4E9B43EC" w:rsidR="0062608B" w:rsidRPr="001B6E4D" w:rsidRDefault="00BE1B95" w:rsidP="003D1018">
      <w:pPr>
        <w:pStyle w:val="affffff0"/>
        <w:kinsoku w:val="0"/>
        <w:overflowPunct w:val="0"/>
        <w:topLinePunct/>
        <w:spacing w:before="180" w:after="180"/>
        <w:ind w:leftChars="128" w:left="307" w:firstLineChars="200" w:firstLine="561"/>
        <w:rPr>
          <w:color w:val="000000" w:themeColor="text1"/>
          <w:szCs w:val="28"/>
          <w:shd w:val="clear" w:color="auto" w:fill="FFFFFF" w:themeFill="background1"/>
        </w:rPr>
      </w:pPr>
      <w:bookmarkStart w:id="110" w:name="_Toc240446514"/>
      <w:r w:rsidRPr="001B6E4D">
        <w:rPr>
          <w:rFonts w:hint="eastAsia"/>
          <w:color w:val="000000" w:themeColor="text1"/>
          <w:szCs w:val="28"/>
          <w:shd w:val="clear" w:color="auto" w:fill="FFFFFF" w:themeFill="background1"/>
        </w:rPr>
        <w:t>二、</w:t>
      </w:r>
      <w:r w:rsidRPr="001B6E4D">
        <w:rPr>
          <w:color w:val="000000" w:themeColor="text1"/>
          <w:szCs w:val="28"/>
          <w:shd w:val="clear" w:color="auto" w:fill="FFFFFF" w:themeFill="background1"/>
        </w:rPr>
        <w:t>作用法</w:t>
      </w:r>
      <w:r w:rsidR="00AE3EB0" w:rsidRPr="001B6E4D">
        <w:rPr>
          <w:rFonts w:hint="eastAsia"/>
          <w:color w:val="000000" w:themeColor="text1"/>
          <w:szCs w:val="28"/>
          <w:shd w:val="clear" w:color="auto" w:fill="FFFFFF" w:themeFill="background1"/>
        </w:rPr>
        <w:t>208</w:t>
      </w:r>
      <w:r w:rsidRPr="001B6E4D">
        <w:rPr>
          <w:color w:val="000000" w:themeColor="text1"/>
          <w:szCs w:val="28"/>
          <w:shd w:val="clear" w:color="auto" w:fill="FFFFFF" w:themeFill="background1"/>
        </w:rPr>
        <w:t>案</w:t>
      </w:r>
      <w:bookmarkEnd w:id="110"/>
    </w:p>
    <w:p w14:paraId="352831C2" w14:textId="2C117236" w:rsidR="00FB3E5C" w:rsidRPr="001B6E4D" w:rsidRDefault="003C6BF1"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111" w:name="_Toc240446515"/>
      <w:bookmarkStart w:id="112" w:name="_Hlk174523701"/>
      <w:bookmarkStart w:id="113" w:name="_Toc386796869"/>
      <w:bookmarkStart w:id="114" w:name="_Toc386797109"/>
      <w:bookmarkStart w:id="115" w:name="_Toc455152586"/>
      <w:bookmarkStart w:id="116" w:name="_Toc457395188"/>
      <w:bookmarkStart w:id="117" w:name="_Toc472666432"/>
      <w:bookmarkStart w:id="118" w:name="_Toc516496366"/>
      <w:bookmarkStart w:id="119" w:name="_Toc516496481"/>
      <w:bookmarkStart w:id="120" w:name="_Toc516496845"/>
      <w:bookmarkStart w:id="121" w:name="_Toc517947587"/>
      <w:bookmarkStart w:id="122" w:name="_Toc13473514"/>
      <w:bookmarkStart w:id="123" w:name="_Toc133575138"/>
      <w:r w:rsidRPr="001B6E4D">
        <w:rPr>
          <w:rFonts w:hint="eastAsia"/>
          <w:color w:val="000000" w:themeColor="text1"/>
          <w:shd w:val="clear" w:color="auto" w:fill="FFFFFF" w:themeFill="background1"/>
        </w:rPr>
        <w:t>（一）</w:t>
      </w:r>
      <w:r w:rsidR="0062608B" w:rsidRPr="001B6E4D">
        <w:rPr>
          <w:rFonts w:hint="eastAsia"/>
          <w:color w:val="000000" w:themeColor="text1"/>
          <w:shd w:val="clear" w:color="auto" w:fill="FFFFFF" w:themeFill="background1"/>
        </w:rPr>
        <w:t>經院會通過之議案</w:t>
      </w:r>
      <w:r w:rsidR="00AF4F05" w:rsidRPr="001B6E4D">
        <w:rPr>
          <w:rFonts w:hint="eastAsia"/>
          <w:color w:val="000000" w:themeColor="text1"/>
          <w:shd w:val="clear" w:color="auto" w:fill="FFFFFF" w:themeFill="background1"/>
        </w:rPr>
        <w:t>88</w:t>
      </w:r>
      <w:r w:rsidR="0062608B" w:rsidRPr="001B6E4D">
        <w:rPr>
          <w:rFonts w:hint="eastAsia"/>
          <w:color w:val="000000" w:themeColor="text1"/>
          <w:shd w:val="clear" w:color="auto" w:fill="FFFFFF" w:themeFill="background1"/>
        </w:rPr>
        <w:t>案</w:t>
      </w:r>
      <w:bookmarkEnd w:id="111"/>
    </w:p>
    <w:tbl>
      <w:tblPr>
        <w:tblW w:w="8878" w:type="dxa"/>
        <w:tblInd w:w="19"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511"/>
        <w:gridCol w:w="1111"/>
        <w:gridCol w:w="1545"/>
        <w:gridCol w:w="1536"/>
        <w:gridCol w:w="1387"/>
        <w:gridCol w:w="1683"/>
        <w:gridCol w:w="1105"/>
      </w:tblGrid>
      <w:tr w:rsidR="00FB3E5C" w:rsidRPr="001B6E4D" w14:paraId="6FD9ACC9" w14:textId="77777777" w:rsidTr="00A44814">
        <w:trPr>
          <w:trHeight w:val="600"/>
        </w:trPr>
        <w:tc>
          <w:tcPr>
            <w:tcW w:w="511" w:type="dxa"/>
            <w:vMerge w:val="restart"/>
          </w:tcPr>
          <w:p w14:paraId="6209AED3" w14:textId="77777777" w:rsidR="00FB3E5C" w:rsidRPr="001B6E4D" w:rsidRDefault="00FB3E5C"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序號</w:t>
            </w:r>
          </w:p>
        </w:tc>
        <w:tc>
          <w:tcPr>
            <w:tcW w:w="1111" w:type="dxa"/>
            <w:vMerge w:val="restart"/>
          </w:tcPr>
          <w:p w14:paraId="2884BC34" w14:textId="77777777" w:rsidR="00FB3E5C" w:rsidRPr="001B6E4D" w:rsidRDefault="00FB3E5C" w:rsidP="003D1018">
            <w:pPr>
              <w:widowControl w:val="0"/>
              <w:kinsoku w:val="0"/>
              <w:overflowPunct w:val="0"/>
              <w:spacing w:line="300" w:lineRule="exact"/>
              <w:ind w:rightChars="13" w:right="31"/>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議案名稱</w:t>
            </w:r>
          </w:p>
        </w:tc>
        <w:tc>
          <w:tcPr>
            <w:tcW w:w="1545" w:type="dxa"/>
            <w:vMerge w:val="restart"/>
          </w:tcPr>
          <w:p w14:paraId="0734F1C8" w14:textId="77777777" w:rsidR="00FB3E5C" w:rsidRPr="001B6E4D" w:rsidRDefault="00FB3E5C" w:rsidP="003D1018">
            <w:pPr>
              <w:widowControl w:val="0"/>
              <w:tabs>
                <w:tab w:val="left" w:pos="1089"/>
              </w:tabs>
              <w:kinsoku w:val="0"/>
              <w:overflowPunct w:val="0"/>
              <w:spacing w:line="300" w:lineRule="exact"/>
              <w:ind w:leftChars="-39" w:left="-94" w:rightChars="-12" w:right="-29"/>
              <w:jc w:val="both"/>
              <w:rPr>
                <w:rFonts w:ascii="標楷體" w:eastAsia="標楷體" w:hAnsi="標楷體"/>
                <w:b/>
                <w:color w:val="000000"/>
                <w:spacing w:val="-20"/>
                <w:szCs w:val="22"/>
              </w:rPr>
            </w:pPr>
            <w:r w:rsidRPr="001B6E4D">
              <w:rPr>
                <w:rFonts w:ascii="標楷體" w:eastAsia="標楷體" w:hAnsi="標楷體"/>
                <w:b/>
                <w:color w:val="000000"/>
                <w:spacing w:val="-20"/>
                <w:szCs w:val="22"/>
              </w:rPr>
              <w:t>提案委員或機關</w:t>
            </w:r>
          </w:p>
          <w:p w14:paraId="152C45CC" w14:textId="77777777" w:rsidR="00FB3E5C" w:rsidRPr="001B6E4D" w:rsidRDefault="00FB3E5C"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院會交付日期</w:t>
            </w:r>
          </w:p>
          <w:p w14:paraId="5E7E692A" w14:textId="77777777" w:rsidR="00FB3E5C" w:rsidRPr="001B6E4D" w:rsidRDefault="00FB3E5C"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(會次)</w:t>
            </w:r>
          </w:p>
        </w:tc>
        <w:tc>
          <w:tcPr>
            <w:tcW w:w="1536" w:type="dxa"/>
            <w:vMerge w:val="restart"/>
          </w:tcPr>
          <w:p w14:paraId="32956A18" w14:textId="77777777" w:rsidR="00FB3E5C" w:rsidRPr="001B6E4D" w:rsidRDefault="00FB3E5C" w:rsidP="003D1018">
            <w:pPr>
              <w:widowControl w:val="0"/>
              <w:kinsoku w:val="0"/>
              <w:overflowPunct w:val="0"/>
              <w:spacing w:line="300" w:lineRule="exact"/>
              <w:ind w:leftChars="-80" w:left="-36" w:rightChars="-45" w:right="-108" w:hangingChars="78" w:hanging="156"/>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審查情形日期</w:t>
            </w:r>
            <w:r w:rsidRPr="001B6E4D">
              <w:rPr>
                <w:rFonts w:ascii="標楷體" w:eastAsia="標楷體" w:hAnsi="標楷體" w:hint="eastAsia"/>
                <w:b/>
                <w:color w:val="000000"/>
                <w:spacing w:val="-20"/>
                <w:szCs w:val="22"/>
              </w:rPr>
              <w:t xml:space="preserve"> </w:t>
            </w:r>
          </w:p>
          <w:p w14:paraId="2913DB89" w14:textId="77777777" w:rsidR="00FB3E5C" w:rsidRPr="001B6E4D" w:rsidRDefault="00FB3E5C" w:rsidP="003D1018">
            <w:pPr>
              <w:widowControl w:val="0"/>
              <w:kinsoku w:val="0"/>
              <w:overflowPunct w:val="0"/>
              <w:spacing w:line="300" w:lineRule="exact"/>
              <w:ind w:leftChars="-80" w:left="-36" w:rightChars="-45" w:right="-108" w:hangingChars="78" w:hanging="156"/>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(會次)</w:t>
            </w:r>
          </w:p>
        </w:tc>
        <w:tc>
          <w:tcPr>
            <w:tcW w:w="1387" w:type="dxa"/>
            <w:vMerge w:val="restart"/>
          </w:tcPr>
          <w:p w14:paraId="79D9CED0" w14:textId="77777777" w:rsidR="00FB3E5C" w:rsidRPr="001B6E4D" w:rsidRDefault="00FB3E5C" w:rsidP="003D1018">
            <w:pPr>
              <w:widowControl w:val="0"/>
              <w:kinsoku w:val="0"/>
              <w:overflowPunct w:val="0"/>
              <w:spacing w:line="300" w:lineRule="exact"/>
              <w:ind w:leftChars="-45" w:hangingChars="54" w:hanging="108"/>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院會三讀通過</w:t>
            </w:r>
          </w:p>
          <w:p w14:paraId="33DFFCAC" w14:textId="77777777" w:rsidR="00FB3E5C" w:rsidRPr="001B6E4D" w:rsidRDefault="00FB3E5C" w:rsidP="003D1018">
            <w:pPr>
              <w:widowControl w:val="0"/>
              <w:kinsoku w:val="0"/>
              <w:overflowPunct w:val="0"/>
              <w:spacing w:line="300" w:lineRule="exact"/>
              <w:ind w:leftChars="-45" w:hangingChars="54" w:hanging="108"/>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日期(會次)</w:t>
            </w:r>
            <w:r w:rsidRPr="001B6E4D">
              <w:rPr>
                <w:rFonts w:ascii="標楷體" w:eastAsia="標楷體" w:hAnsi="標楷體" w:hint="eastAsia"/>
                <w:b/>
                <w:color w:val="000000"/>
                <w:spacing w:val="-20"/>
                <w:szCs w:val="22"/>
              </w:rPr>
              <w:t>、</w:t>
            </w:r>
          </w:p>
          <w:p w14:paraId="32ED16BF" w14:textId="77777777" w:rsidR="00FB3E5C" w:rsidRPr="001B6E4D" w:rsidRDefault="00FB3E5C" w:rsidP="003D1018">
            <w:pPr>
              <w:widowControl w:val="0"/>
              <w:kinsoku w:val="0"/>
              <w:overflowPunct w:val="0"/>
              <w:spacing w:line="300" w:lineRule="exact"/>
              <w:ind w:leftChars="-45" w:left="-108"/>
              <w:jc w:val="center"/>
              <w:rPr>
                <w:rFonts w:ascii="標楷體" w:eastAsia="標楷體" w:hAnsi="標楷體"/>
                <w:b/>
                <w:color w:val="000000"/>
                <w:spacing w:val="-20"/>
                <w:szCs w:val="22"/>
              </w:rPr>
            </w:pPr>
            <w:proofErr w:type="gramStart"/>
            <w:r w:rsidRPr="001B6E4D">
              <w:rPr>
                <w:rFonts w:ascii="標楷體" w:eastAsia="標楷體" w:hAnsi="標楷體"/>
                <w:b/>
                <w:color w:val="000000"/>
                <w:spacing w:val="-20"/>
                <w:szCs w:val="22"/>
              </w:rPr>
              <w:t>咨</w:t>
            </w:r>
            <w:proofErr w:type="gramEnd"/>
            <w:r w:rsidRPr="001B6E4D">
              <w:rPr>
                <w:rFonts w:ascii="標楷體" w:eastAsia="標楷體" w:hAnsi="標楷體"/>
                <w:b/>
                <w:color w:val="000000"/>
                <w:spacing w:val="-20"/>
                <w:szCs w:val="22"/>
              </w:rPr>
              <w:t>請總統公布法律案名稱</w:t>
            </w:r>
          </w:p>
        </w:tc>
        <w:tc>
          <w:tcPr>
            <w:tcW w:w="1683" w:type="dxa"/>
          </w:tcPr>
          <w:p w14:paraId="4C8E6312" w14:textId="77777777" w:rsidR="00FB3E5C" w:rsidRPr="001B6E4D" w:rsidRDefault="00FB3E5C"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hint="eastAsia"/>
                <w:b/>
                <w:color w:val="000000"/>
                <w:spacing w:val="-20"/>
                <w:szCs w:val="22"/>
              </w:rPr>
              <w:t>本院</w:t>
            </w:r>
            <w:r w:rsidRPr="001B6E4D">
              <w:rPr>
                <w:rFonts w:ascii="標楷體" w:eastAsia="標楷體" w:hAnsi="標楷體"/>
                <w:b/>
                <w:color w:val="000000"/>
                <w:spacing w:val="-20"/>
                <w:szCs w:val="22"/>
              </w:rPr>
              <w:t>咨</w:t>
            </w:r>
            <w:r w:rsidRPr="001B6E4D">
              <w:rPr>
                <w:rFonts w:ascii="標楷體" w:eastAsia="標楷體" w:hAnsi="標楷體" w:hint="eastAsia"/>
                <w:b/>
                <w:color w:val="000000"/>
                <w:spacing w:val="-20"/>
                <w:szCs w:val="22"/>
              </w:rPr>
              <w:t>文</w:t>
            </w:r>
          </w:p>
          <w:p w14:paraId="0D7B8089" w14:textId="77777777" w:rsidR="00FB3E5C" w:rsidRPr="001B6E4D" w:rsidRDefault="00FB3E5C"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日期及文號</w:t>
            </w:r>
          </w:p>
        </w:tc>
        <w:tc>
          <w:tcPr>
            <w:tcW w:w="1105" w:type="dxa"/>
            <w:vMerge w:val="restart"/>
          </w:tcPr>
          <w:p w14:paraId="55FEB6D3" w14:textId="77777777" w:rsidR="00FB3E5C" w:rsidRPr="001B6E4D" w:rsidRDefault="00FB3E5C"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總統府</w:t>
            </w:r>
          </w:p>
          <w:p w14:paraId="27B89931" w14:textId="77777777" w:rsidR="00FB3E5C" w:rsidRPr="001B6E4D" w:rsidRDefault="00FB3E5C"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公報</w:t>
            </w:r>
          </w:p>
        </w:tc>
      </w:tr>
      <w:tr w:rsidR="00FB3E5C" w:rsidRPr="001B6E4D" w14:paraId="0791398E" w14:textId="77777777" w:rsidTr="00A44814">
        <w:trPr>
          <w:trHeight w:val="600"/>
        </w:trPr>
        <w:tc>
          <w:tcPr>
            <w:tcW w:w="511" w:type="dxa"/>
            <w:vMerge/>
          </w:tcPr>
          <w:p w14:paraId="0CC69FDF" w14:textId="77777777" w:rsidR="00FB3E5C" w:rsidRPr="001B6E4D" w:rsidRDefault="00FB3E5C" w:rsidP="003D1018">
            <w:pPr>
              <w:widowControl w:val="0"/>
              <w:kinsoku w:val="0"/>
              <w:overflowPunct w:val="0"/>
              <w:spacing w:line="300" w:lineRule="exact"/>
              <w:jc w:val="center"/>
              <w:rPr>
                <w:rFonts w:ascii="標楷體" w:eastAsia="標楷體" w:hAnsi="標楷體"/>
                <w:b/>
                <w:color w:val="000000"/>
                <w:spacing w:val="-20"/>
                <w:szCs w:val="22"/>
              </w:rPr>
            </w:pPr>
          </w:p>
        </w:tc>
        <w:tc>
          <w:tcPr>
            <w:tcW w:w="1111" w:type="dxa"/>
            <w:vMerge/>
          </w:tcPr>
          <w:p w14:paraId="3AEFE370" w14:textId="77777777" w:rsidR="00FB3E5C" w:rsidRPr="001B6E4D" w:rsidRDefault="00FB3E5C" w:rsidP="003D1018">
            <w:pPr>
              <w:widowControl w:val="0"/>
              <w:kinsoku w:val="0"/>
              <w:overflowPunct w:val="0"/>
              <w:spacing w:line="300" w:lineRule="exact"/>
              <w:ind w:rightChars="13" w:right="31"/>
              <w:jc w:val="center"/>
              <w:rPr>
                <w:rFonts w:ascii="標楷體" w:eastAsia="標楷體" w:hAnsi="標楷體"/>
                <w:b/>
                <w:color w:val="000000"/>
                <w:spacing w:val="-20"/>
                <w:szCs w:val="22"/>
              </w:rPr>
            </w:pPr>
          </w:p>
        </w:tc>
        <w:tc>
          <w:tcPr>
            <w:tcW w:w="1545" w:type="dxa"/>
            <w:vMerge/>
          </w:tcPr>
          <w:p w14:paraId="1FF506B9" w14:textId="77777777" w:rsidR="00FB3E5C" w:rsidRPr="001B6E4D" w:rsidRDefault="00FB3E5C" w:rsidP="003D1018">
            <w:pPr>
              <w:widowControl w:val="0"/>
              <w:tabs>
                <w:tab w:val="left" w:pos="1089"/>
              </w:tabs>
              <w:kinsoku w:val="0"/>
              <w:overflowPunct w:val="0"/>
              <w:spacing w:line="300" w:lineRule="exact"/>
              <w:ind w:leftChars="-39" w:left="-94" w:rightChars="-12" w:right="-29"/>
              <w:jc w:val="both"/>
              <w:rPr>
                <w:rFonts w:ascii="標楷體" w:eastAsia="標楷體" w:hAnsi="標楷體"/>
                <w:b/>
                <w:color w:val="000000"/>
                <w:spacing w:val="-20"/>
                <w:szCs w:val="22"/>
              </w:rPr>
            </w:pPr>
          </w:p>
        </w:tc>
        <w:tc>
          <w:tcPr>
            <w:tcW w:w="1536" w:type="dxa"/>
            <w:vMerge/>
          </w:tcPr>
          <w:p w14:paraId="160FA22E" w14:textId="77777777" w:rsidR="00FB3E5C" w:rsidRPr="001B6E4D" w:rsidRDefault="00FB3E5C" w:rsidP="003D1018">
            <w:pPr>
              <w:widowControl w:val="0"/>
              <w:kinsoku w:val="0"/>
              <w:overflowPunct w:val="0"/>
              <w:spacing w:line="300" w:lineRule="exact"/>
              <w:ind w:leftChars="-80" w:left="-36" w:rightChars="-45" w:right="-108" w:hangingChars="78" w:hanging="156"/>
              <w:jc w:val="center"/>
              <w:rPr>
                <w:rFonts w:ascii="標楷體" w:eastAsia="標楷體" w:hAnsi="標楷體"/>
                <w:b/>
                <w:color w:val="000000"/>
                <w:spacing w:val="-20"/>
                <w:szCs w:val="22"/>
              </w:rPr>
            </w:pPr>
          </w:p>
        </w:tc>
        <w:tc>
          <w:tcPr>
            <w:tcW w:w="1387" w:type="dxa"/>
            <w:vMerge/>
          </w:tcPr>
          <w:p w14:paraId="70CD7050" w14:textId="77777777" w:rsidR="00FB3E5C" w:rsidRPr="001B6E4D" w:rsidRDefault="00FB3E5C" w:rsidP="003D1018">
            <w:pPr>
              <w:widowControl w:val="0"/>
              <w:kinsoku w:val="0"/>
              <w:overflowPunct w:val="0"/>
              <w:spacing w:line="300" w:lineRule="exact"/>
              <w:ind w:leftChars="-45" w:hangingChars="54" w:hanging="108"/>
              <w:jc w:val="center"/>
              <w:rPr>
                <w:rFonts w:ascii="標楷體" w:eastAsia="標楷體" w:hAnsi="標楷體"/>
                <w:b/>
                <w:color w:val="000000"/>
                <w:spacing w:val="-20"/>
                <w:szCs w:val="22"/>
              </w:rPr>
            </w:pPr>
          </w:p>
        </w:tc>
        <w:tc>
          <w:tcPr>
            <w:tcW w:w="1683" w:type="dxa"/>
          </w:tcPr>
          <w:p w14:paraId="145A9058" w14:textId="77777777" w:rsidR="00FB3E5C" w:rsidRPr="001B6E4D" w:rsidRDefault="00FB3E5C"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總統公布</w:t>
            </w:r>
          </w:p>
          <w:p w14:paraId="71604D5E" w14:textId="77777777" w:rsidR="00FB3E5C" w:rsidRPr="001B6E4D" w:rsidRDefault="00FB3E5C"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日期及文號</w:t>
            </w:r>
          </w:p>
        </w:tc>
        <w:tc>
          <w:tcPr>
            <w:tcW w:w="1105" w:type="dxa"/>
            <w:vMerge/>
          </w:tcPr>
          <w:p w14:paraId="16850158" w14:textId="77777777" w:rsidR="00FB3E5C" w:rsidRPr="001B6E4D" w:rsidRDefault="00FB3E5C" w:rsidP="003D1018">
            <w:pPr>
              <w:widowControl w:val="0"/>
              <w:kinsoku w:val="0"/>
              <w:overflowPunct w:val="0"/>
              <w:spacing w:line="300" w:lineRule="exact"/>
              <w:jc w:val="center"/>
              <w:rPr>
                <w:rFonts w:ascii="標楷體" w:eastAsia="標楷體" w:hAnsi="標楷體"/>
                <w:b/>
                <w:color w:val="000000"/>
                <w:spacing w:val="-20"/>
                <w:szCs w:val="22"/>
              </w:rPr>
            </w:pPr>
          </w:p>
        </w:tc>
      </w:tr>
      <w:tr w:rsidR="00FB3E5C" w:rsidRPr="001B6E4D" w14:paraId="0D9370B9" w14:textId="77777777" w:rsidTr="00A44814">
        <w:trPr>
          <w:trHeight w:val="600"/>
        </w:trPr>
        <w:tc>
          <w:tcPr>
            <w:tcW w:w="511" w:type="dxa"/>
          </w:tcPr>
          <w:p w14:paraId="6959B2FB"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31344271"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中華民國刑法部分條文修正草案</w:t>
            </w:r>
          </w:p>
        </w:tc>
        <w:tc>
          <w:tcPr>
            <w:tcW w:w="1545" w:type="dxa"/>
          </w:tcPr>
          <w:p w14:paraId="3CE5BB2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行政院、</w:t>
            </w:r>
          </w:p>
          <w:p w14:paraId="544A63D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司法院</w:t>
            </w:r>
          </w:p>
          <w:p w14:paraId="44E44B2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114.12.12</w:t>
            </w:r>
          </w:p>
          <w:p w14:paraId="0523E52C" w14:textId="77777777" w:rsidR="00FB3E5C" w:rsidRPr="001B6E4D" w:rsidRDefault="00FB3E5C" w:rsidP="003D1018">
            <w:pPr>
              <w:widowControl w:val="0"/>
              <w:kinsoku w:val="0"/>
              <w:overflowPunct w:val="0"/>
              <w:topLinePunct/>
              <w:adjustRightInd w:val="0"/>
              <w:snapToGrid w:val="0"/>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（11-4-13）</w:t>
            </w:r>
          </w:p>
        </w:tc>
        <w:tc>
          <w:tcPr>
            <w:tcW w:w="1536" w:type="dxa"/>
          </w:tcPr>
          <w:p w14:paraId="4D1B7FD5"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w:t>
            </w:r>
          </w:p>
          <w:p w14:paraId="3303E6B8"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115.3.6</w:t>
            </w:r>
          </w:p>
          <w:p w14:paraId="37B7009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（11-5-2）自司法及法制委員會抽出</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w:t>
            </w:r>
          </w:p>
          <w:p w14:paraId="029EF309"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2.115.3.11黨團協商。</w:t>
            </w:r>
          </w:p>
        </w:tc>
        <w:tc>
          <w:tcPr>
            <w:tcW w:w="1387" w:type="dxa"/>
            <w:vMerge w:val="restart"/>
          </w:tcPr>
          <w:p w14:paraId="26DE40A4"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院會</w:t>
            </w:r>
          </w:p>
          <w:p w14:paraId="3762990A"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115.3.13</w:t>
            </w:r>
          </w:p>
          <w:p w14:paraId="5C95EDB9"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(11-5-3)</w:t>
            </w:r>
          </w:p>
          <w:p w14:paraId="7ECDAAEB"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三讀增訂第七十八條之</w:t>
            </w:r>
            <w:proofErr w:type="gramStart"/>
            <w:r w:rsidRPr="001B6E4D">
              <w:rPr>
                <w:rFonts w:ascii="標楷體" w:eastAsia="標楷體" w:hAnsi="標楷體" w:hint="eastAsia"/>
                <w:color w:val="000000"/>
                <w:spacing w:val="-20"/>
                <w:szCs w:val="22"/>
              </w:rPr>
              <w:t>一</w:t>
            </w:r>
            <w:proofErr w:type="gramEnd"/>
            <w:r w:rsidRPr="001B6E4D">
              <w:rPr>
                <w:rFonts w:ascii="標楷體" w:eastAsia="標楷體" w:hAnsi="標楷體" w:hint="eastAsia"/>
                <w:color w:val="000000"/>
                <w:spacing w:val="-20"/>
                <w:szCs w:val="22"/>
              </w:rPr>
              <w:t>及七十八條之二條文；並修正第</w:t>
            </w:r>
            <w:r w:rsidRPr="001B6E4D">
              <w:rPr>
                <w:rFonts w:ascii="標楷體" w:eastAsia="標楷體" w:hAnsi="標楷體" w:hint="eastAsia"/>
                <w:color w:val="000000"/>
                <w:spacing w:val="-20"/>
                <w:szCs w:val="22"/>
              </w:rPr>
              <w:lastRenderedPageBreak/>
              <w:t>七十九條之</w:t>
            </w:r>
            <w:proofErr w:type="gramStart"/>
            <w:r w:rsidRPr="001B6E4D">
              <w:rPr>
                <w:rFonts w:ascii="標楷體" w:eastAsia="標楷體" w:hAnsi="標楷體" w:hint="eastAsia"/>
                <w:color w:val="000000"/>
                <w:spacing w:val="-20"/>
                <w:szCs w:val="22"/>
              </w:rPr>
              <w:t>一</w:t>
            </w:r>
            <w:proofErr w:type="gramEnd"/>
            <w:r w:rsidRPr="001B6E4D">
              <w:rPr>
                <w:rFonts w:ascii="標楷體" w:eastAsia="標楷體" w:hAnsi="標楷體" w:hint="eastAsia"/>
                <w:color w:val="000000"/>
                <w:spacing w:val="-20"/>
                <w:szCs w:val="22"/>
              </w:rPr>
              <w:t>條文。</w:t>
            </w:r>
          </w:p>
        </w:tc>
        <w:tc>
          <w:tcPr>
            <w:tcW w:w="1683" w:type="dxa"/>
            <w:vMerge w:val="restart"/>
          </w:tcPr>
          <w:p w14:paraId="3322FBF9"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lastRenderedPageBreak/>
              <w:t>115年3月13日台立院議字第1150700696號</w:t>
            </w:r>
          </w:p>
          <w:p w14:paraId="60294A02"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p w14:paraId="2B0924AA"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115年3月13日華總</w:t>
            </w:r>
            <w:proofErr w:type="gramStart"/>
            <w:r w:rsidRPr="001B6E4D">
              <w:rPr>
                <w:rFonts w:ascii="標楷體" w:eastAsia="標楷體" w:hAnsi="標楷體" w:hint="eastAsia"/>
                <w:color w:val="000000"/>
                <w:spacing w:val="-26"/>
                <w:szCs w:val="22"/>
              </w:rPr>
              <w:t>一義字第11500025171號</w:t>
            </w:r>
            <w:proofErr w:type="gramEnd"/>
          </w:p>
        </w:tc>
        <w:tc>
          <w:tcPr>
            <w:tcW w:w="1105" w:type="dxa"/>
            <w:vMerge w:val="restart"/>
          </w:tcPr>
          <w:p w14:paraId="18D063DA"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第7847號</w:t>
            </w:r>
          </w:p>
        </w:tc>
      </w:tr>
      <w:tr w:rsidR="00FB3E5C" w:rsidRPr="001B6E4D" w14:paraId="70B750A3" w14:textId="77777777" w:rsidTr="00A44814">
        <w:trPr>
          <w:trHeight w:val="600"/>
        </w:trPr>
        <w:tc>
          <w:tcPr>
            <w:tcW w:w="511" w:type="dxa"/>
          </w:tcPr>
          <w:p w14:paraId="6C582A78"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0D621F74"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中華民國刑法第七十八條之一、第七十八條之二及第七十九條之</w:t>
            </w:r>
            <w:proofErr w:type="gramStart"/>
            <w:r w:rsidRPr="001B6E4D">
              <w:rPr>
                <w:rFonts w:ascii="標楷體" w:eastAsia="標楷體" w:hAnsi="標楷體" w:hint="eastAsia"/>
                <w:color w:val="000000"/>
                <w:kern w:val="0"/>
                <w:szCs w:val="22"/>
              </w:rPr>
              <w:t>一</w:t>
            </w:r>
            <w:proofErr w:type="gramEnd"/>
            <w:r w:rsidRPr="001B6E4D">
              <w:rPr>
                <w:rFonts w:ascii="標楷體" w:eastAsia="標楷體" w:hAnsi="標楷體" w:hint="eastAsia"/>
                <w:color w:val="000000"/>
                <w:kern w:val="0"/>
                <w:szCs w:val="22"/>
              </w:rPr>
              <w:t>條文修正草案</w:t>
            </w:r>
          </w:p>
        </w:tc>
        <w:tc>
          <w:tcPr>
            <w:tcW w:w="1545" w:type="dxa"/>
          </w:tcPr>
          <w:p w14:paraId="085D615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委員沈伯洋等18人</w:t>
            </w:r>
          </w:p>
          <w:p w14:paraId="016AE813" w14:textId="77777777" w:rsidR="00FB3E5C" w:rsidRPr="001B6E4D" w:rsidRDefault="00FB3E5C" w:rsidP="003D1018">
            <w:pPr>
              <w:widowControl w:val="0"/>
              <w:overflowPunct w:val="0"/>
              <w:topLinePunct/>
              <w:spacing w:line="36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115.03.13</w:t>
            </w:r>
          </w:p>
          <w:p w14:paraId="7D55C23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（11-5-3）</w:t>
            </w:r>
          </w:p>
        </w:tc>
        <w:tc>
          <w:tcPr>
            <w:tcW w:w="1536" w:type="dxa"/>
          </w:tcPr>
          <w:p w14:paraId="5E09BE35"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36D2DC09"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115.3.13</w:t>
            </w:r>
          </w:p>
          <w:p w14:paraId="52500482"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（11-5-3）</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案討論。</w:t>
            </w:r>
          </w:p>
        </w:tc>
        <w:tc>
          <w:tcPr>
            <w:tcW w:w="1387" w:type="dxa"/>
            <w:vMerge/>
          </w:tcPr>
          <w:p w14:paraId="62C9D4C1"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3F3CEAC"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B4C7F2A"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F0D2D50" w14:textId="77777777" w:rsidTr="00A44814">
        <w:trPr>
          <w:trHeight w:val="600"/>
        </w:trPr>
        <w:tc>
          <w:tcPr>
            <w:tcW w:w="511" w:type="dxa"/>
          </w:tcPr>
          <w:p w14:paraId="439D6A16"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08FBA4FD"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中華民國刑法施行法第七條之二、第七條之三及第七條之四條文修正草案</w:t>
            </w:r>
          </w:p>
        </w:tc>
        <w:tc>
          <w:tcPr>
            <w:tcW w:w="1545" w:type="dxa"/>
          </w:tcPr>
          <w:p w14:paraId="38F52CF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行政院、</w:t>
            </w:r>
          </w:p>
          <w:p w14:paraId="30CADC4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司法院</w:t>
            </w:r>
          </w:p>
          <w:p w14:paraId="7171030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114.12.12</w:t>
            </w:r>
          </w:p>
          <w:p w14:paraId="178F0E93" w14:textId="77777777" w:rsidR="00FB3E5C" w:rsidRPr="001B6E4D" w:rsidRDefault="00FB3E5C" w:rsidP="003D1018">
            <w:pPr>
              <w:widowControl w:val="0"/>
              <w:kinsoku w:val="0"/>
              <w:overflowPunct w:val="0"/>
              <w:adjustRightInd w:val="0"/>
              <w:snapToGrid w:val="0"/>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（11-4-13）</w:t>
            </w:r>
          </w:p>
        </w:tc>
        <w:tc>
          <w:tcPr>
            <w:tcW w:w="1536" w:type="dxa"/>
          </w:tcPr>
          <w:p w14:paraId="662ED2D3"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w:t>
            </w:r>
          </w:p>
          <w:p w14:paraId="2D5AD60D"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115.3.6</w:t>
            </w:r>
          </w:p>
          <w:p w14:paraId="10D26BB2"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（11-5-2）自司法及法制委員會抽出</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w:t>
            </w:r>
          </w:p>
          <w:p w14:paraId="737A3D44"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2.115.3.11黨團協商。</w:t>
            </w:r>
          </w:p>
        </w:tc>
        <w:tc>
          <w:tcPr>
            <w:tcW w:w="1387" w:type="dxa"/>
            <w:vMerge w:val="restart"/>
          </w:tcPr>
          <w:p w14:paraId="338D3CFC"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院會</w:t>
            </w:r>
          </w:p>
          <w:p w14:paraId="4C695CF3"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115.3.13</w:t>
            </w:r>
          </w:p>
          <w:p w14:paraId="011FA21C"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(11-5-3)</w:t>
            </w:r>
          </w:p>
          <w:p w14:paraId="359AB8C1"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三讀增訂第七條之三條文；並修正第七條之二條文。</w:t>
            </w:r>
          </w:p>
        </w:tc>
        <w:tc>
          <w:tcPr>
            <w:tcW w:w="1683" w:type="dxa"/>
            <w:vMerge w:val="restart"/>
          </w:tcPr>
          <w:p w14:paraId="0BAEA0E1"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115年3月13日台立院議字第1150700695號</w:t>
            </w:r>
          </w:p>
          <w:p w14:paraId="455E91BC"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p w14:paraId="5809A366"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115年3月13日華總</w:t>
            </w:r>
            <w:proofErr w:type="gramStart"/>
            <w:r w:rsidRPr="001B6E4D">
              <w:rPr>
                <w:rFonts w:ascii="標楷體" w:eastAsia="標楷體" w:hAnsi="標楷體" w:hint="eastAsia"/>
                <w:color w:val="000000"/>
                <w:spacing w:val="-26"/>
                <w:szCs w:val="22"/>
              </w:rPr>
              <w:t>一義字第11500025181號</w:t>
            </w:r>
            <w:proofErr w:type="gramEnd"/>
          </w:p>
        </w:tc>
        <w:tc>
          <w:tcPr>
            <w:tcW w:w="1105" w:type="dxa"/>
            <w:vMerge w:val="restart"/>
          </w:tcPr>
          <w:p w14:paraId="04CE728D"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第7847號</w:t>
            </w:r>
          </w:p>
        </w:tc>
      </w:tr>
      <w:tr w:rsidR="00FB3E5C" w:rsidRPr="001B6E4D" w14:paraId="1FA4A136" w14:textId="77777777" w:rsidTr="00A44814">
        <w:trPr>
          <w:trHeight w:val="600"/>
        </w:trPr>
        <w:tc>
          <w:tcPr>
            <w:tcW w:w="511" w:type="dxa"/>
          </w:tcPr>
          <w:p w14:paraId="379048B4"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3541F7EF"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中華民國刑法施行法第七條之二及第七條之三條文修正草案</w:t>
            </w:r>
          </w:p>
        </w:tc>
        <w:tc>
          <w:tcPr>
            <w:tcW w:w="1545" w:type="dxa"/>
          </w:tcPr>
          <w:p w14:paraId="3ED15DC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委員沈伯洋等17人</w:t>
            </w:r>
          </w:p>
          <w:p w14:paraId="01082A03" w14:textId="77777777" w:rsidR="00FB3E5C" w:rsidRPr="001B6E4D" w:rsidRDefault="00FB3E5C" w:rsidP="003D1018">
            <w:pPr>
              <w:widowControl w:val="0"/>
              <w:overflowPunct w:val="0"/>
              <w:topLinePunct/>
              <w:spacing w:line="36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115.03.13</w:t>
            </w:r>
          </w:p>
          <w:p w14:paraId="314072D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（11-5-3）</w:t>
            </w:r>
          </w:p>
        </w:tc>
        <w:tc>
          <w:tcPr>
            <w:tcW w:w="1536" w:type="dxa"/>
          </w:tcPr>
          <w:p w14:paraId="108222A2"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6B776A3E"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115.3.13</w:t>
            </w:r>
          </w:p>
          <w:p w14:paraId="5F33B65C"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（11-5-3）</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案討論。</w:t>
            </w:r>
          </w:p>
        </w:tc>
        <w:tc>
          <w:tcPr>
            <w:tcW w:w="1387" w:type="dxa"/>
            <w:vMerge/>
          </w:tcPr>
          <w:p w14:paraId="5DE7C3F5"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F55745C"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C5DA58B"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E19FCE9" w14:textId="77777777" w:rsidTr="00A44814">
        <w:trPr>
          <w:trHeight w:val="600"/>
        </w:trPr>
        <w:tc>
          <w:tcPr>
            <w:tcW w:w="511" w:type="dxa"/>
          </w:tcPr>
          <w:p w14:paraId="35CB0F79"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4A1D5F10"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3D4B4F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行政院、司法院</w:t>
            </w:r>
          </w:p>
          <w:p w14:paraId="722E4A01"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74D9FB0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val="restart"/>
          </w:tcPr>
          <w:p w14:paraId="697F2BE7"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1.第2-3案</w:t>
            </w:r>
            <w:r w:rsidRPr="001B6E4D">
              <w:rPr>
                <w:rFonts w:ascii="標楷體" w:eastAsia="標楷體" w:hAnsi="標楷體"/>
                <w:spacing w:val="-20"/>
                <w:kern w:val="0"/>
                <w:szCs w:val="22"/>
              </w:rPr>
              <w:br/>
              <w:t>本會</w:t>
            </w:r>
            <w:r w:rsidRPr="001B6E4D">
              <w:rPr>
                <w:rFonts w:ascii="標楷體" w:eastAsia="標楷體" w:hAnsi="標楷體"/>
                <w:spacing w:val="-20"/>
                <w:kern w:val="0"/>
                <w:szCs w:val="22"/>
              </w:rPr>
              <w:br/>
              <w:t>113.5.27</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t>(11-1-26)報告及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r w:rsidRPr="001B6E4D">
              <w:rPr>
                <w:rFonts w:ascii="標楷體" w:eastAsia="標楷體" w:hAnsi="標楷體"/>
                <w:spacing w:val="-20"/>
                <w:kern w:val="0"/>
                <w:szCs w:val="22"/>
              </w:rPr>
              <w:t>。</w:t>
            </w:r>
          </w:p>
          <w:p w14:paraId="4EC43554"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2.第4-27案</w:t>
            </w:r>
            <w:r w:rsidRPr="001B6E4D">
              <w:rPr>
                <w:rFonts w:ascii="標楷體" w:eastAsia="標楷體" w:hAnsi="標楷體"/>
                <w:spacing w:val="-20"/>
                <w:kern w:val="0"/>
                <w:szCs w:val="22"/>
              </w:rPr>
              <w:br/>
              <w:t>本會</w:t>
            </w:r>
            <w:r w:rsidRPr="001B6E4D">
              <w:rPr>
                <w:rFonts w:ascii="標楷體" w:eastAsia="標楷體" w:hAnsi="標楷體"/>
                <w:spacing w:val="-20"/>
                <w:kern w:val="0"/>
                <w:szCs w:val="22"/>
              </w:rPr>
              <w:br/>
              <w:t>115.4.13</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t>(11-5-6)報告及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r w:rsidRPr="001B6E4D">
              <w:rPr>
                <w:rFonts w:ascii="標楷體" w:eastAsia="標楷體" w:hAnsi="標楷體"/>
                <w:spacing w:val="-20"/>
                <w:kern w:val="0"/>
                <w:szCs w:val="22"/>
              </w:rPr>
              <w:t>。</w:t>
            </w:r>
          </w:p>
          <w:p w14:paraId="583EAD62"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3.第2-3案</w:t>
            </w:r>
            <w:r w:rsidRPr="001B6E4D">
              <w:rPr>
                <w:rFonts w:ascii="標楷體" w:eastAsia="標楷體" w:hAnsi="標楷體"/>
                <w:spacing w:val="-20"/>
                <w:kern w:val="0"/>
                <w:szCs w:val="22"/>
              </w:rPr>
              <w:br/>
              <w:t>本會</w:t>
            </w:r>
            <w:r w:rsidRPr="001B6E4D">
              <w:rPr>
                <w:rFonts w:ascii="標楷體" w:eastAsia="標楷體" w:hAnsi="標楷體"/>
                <w:spacing w:val="-20"/>
                <w:kern w:val="0"/>
                <w:szCs w:val="22"/>
              </w:rPr>
              <w:br/>
              <w:t>115.4.13</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t>(11-5-6)另定期繼續審查。</w:t>
            </w:r>
          </w:p>
          <w:p w14:paraId="778E6895"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4.第1-37案</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lastRenderedPageBreak/>
              <w:t>本</w:t>
            </w:r>
            <w:r w:rsidRPr="001B6E4D">
              <w:rPr>
                <w:rFonts w:ascii="標楷體" w:eastAsia="標楷體" w:hAnsi="標楷體"/>
                <w:spacing w:val="-20"/>
                <w:kern w:val="0"/>
                <w:szCs w:val="22"/>
              </w:rPr>
              <w:t>會</w:t>
            </w:r>
            <w:r w:rsidRPr="001B6E4D">
              <w:rPr>
                <w:rFonts w:ascii="標楷體" w:eastAsia="標楷體" w:hAnsi="標楷體"/>
                <w:spacing w:val="-20"/>
                <w:kern w:val="0"/>
                <w:szCs w:val="22"/>
              </w:rPr>
              <w:br/>
              <w:t>115.</w:t>
            </w:r>
            <w:r w:rsidRPr="001B6E4D">
              <w:rPr>
                <w:rFonts w:ascii="標楷體" w:eastAsia="標楷體" w:hAnsi="標楷體" w:hint="eastAsia"/>
                <w:spacing w:val="-20"/>
                <w:kern w:val="0"/>
                <w:szCs w:val="22"/>
              </w:rPr>
              <w:t>6</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11</w:t>
            </w:r>
            <w:r w:rsidRPr="001B6E4D">
              <w:rPr>
                <w:rFonts w:ascii="標楷體" w:eastAsia="標楷體" w:hAnsi="標楷體"/>
                <w:spacing w:val="-20"/>
                <w:kern w:val="0"/>
                <w:szCs w:val="22"/>
              </w:rPr>
              <w:b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18</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審查完竣，不須交由黨團協商。</w:t>
            </w:r>
          </w:p>
        </w:tc>
        <w:tc>
          <w:tcPr>
            <w:tcW w:w="1387" w:type="dxa"/>
            <w:vMerge w:val="restart"/>
          </w:tcPr>
          <w:p w14:paraId="2D4F101F"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lastRenderedPageBreak/>
              <w:t>院會</w:t>
            </w:r>
          </w:p>
          <w:p w14:paraId="4D2A2FA1"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7.7</w:t>
            </w:r>
          </w:p>
          <w:p w14:paraId="6672206F"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16</w:t>
            </w:r>
            <w:r w:rsidRPr="001B6E4D">
              <w:rPr>
                <w:rFonts w:ascii="標楷體" w:eastAsia="標楷體" w:hAnsi="標楷體"/>
                <w:spacing w:val="-20"/>
                <w:kern w:val="0"/>
                <w:szCs w:val="22"/>
              </w:rPr>
              <w:t>)</w:t>
            </w:r>
          </w:p>
          <w:p w14:paraId="43532036"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spacing w:val="-20"/>
                <w:kern w:val="0"/>
                <w:szCs w:val="22"/>
              </w:rPr>
              <w:t>三讀修正第八十條條文。</w:t>
            </w:r>
          </w:p>
        </w:tc>
        <w:tc>
          <w:tcPr>
            <w:tcW w:w="1683" w:type="dxa"/>
            <w:vMerge w:val="restart"/>
          </w:tcPr>
          <w:p w14:paraId="670781F2"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115年7月16日台立院議字第1150702595號</w:t>
            </w:r>
          </w:p>
          <w:p w14:paraId="261101F3"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p w14:paraId="7584835E"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115年7月22日華總</w:t>
            </w:r>
            <w:proofErr w:type="gramStart"/>
            <w:r w:rsidRPr="001B6E4D">
              <w:rPr>
                <w:rFonts w:ascii="標楷體" w:eastAsia="標楷體" w:hAnsi="標楷體" w:hint="eastAsia"/>
                <w:color w:val="000000"/>
                <w:spacing w:val="-26"/>
                <w:szCs w:val="22"/>
              </w:rPr>
              <w:t>一義字第11500067801號</w:t>
            </w:r>
            <w:proofErr w:type="gramEnd"/>
          </w:p>
        </w:tc>
        <w:tc>
          <w:tcPr>
            <w:tcW w:w="1105" w:type="dxa"/>
            <w:vMerge w:val="restart"/>
          </w:tcPr>
          <w:p w14:paraId="77B0A0E9"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第7872號</w:t>
            </w:r>
          </w:p>
        </w:tc>
      </w:tr>
      <w:tr w:rsidR="00FB3E5C" w:rsidRPr="001B6E4D" w14:paraId="4678B3B5" w14:textId="77777777" w:rsidTr="00A44814">
        <w:trPr>
          <w:trHeight w:val="600"/>
        </w:trPr>
        <w:tc>
          <w:tcPr>
            <w:tcW w:w="511" w:type="dxa"/>
          </w:tcPr>
          <w:p w14:paraId="560850A2"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180A3676"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.中華民國刑法第八十三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AD81E0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委員洪孟楷</w:t>
            </w:r>
          </w:p>
          <w:p w14:paraId="30044E6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304196A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113.03.22</w:t>
            </w:r>
          </w:p>
          <w:p w14:paraId="5F3E0D9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（11-1-6）</w:t>
            </w:r>
          </w:p>
        </w:tc>
        <w:tc>
          <w:tcPr>
            <w:tcW w:w="1536" w:type="dxa"/>
            <w:vMerge/>
          </w:tcPr>
          <w:p w14:paraId="6A9D24A9"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994656D"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D03CE01"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602DA2C"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B08511B" w14:textId="77777777" w:rsidTr="00A44814">
        <w:trPr>
          <w:trHeight w:val="600"/>
        </w:trPr>
        <w:tc>
          <w:tcPr>
            <w:tcW w:w="511" w:type="dxa"/>
          </w:tcPr>
          <w:p w14:paraId="1F930BE9"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673CA55C"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w:t>
            </w:r>
            <w:r w:rsidRPr="001B6E4D">
              <w:rPr>
                <w:rFonts w:ascii="標楷體" w:eastAsia="標楷體" w:hAnsi="標楷體"/>
                <w:color w:val="000000"/>
                <w:kern w:val="0"/>
                <w:szCs w:val="22"/>
              </w:rPr>
              <w:t>.中華民國刑法增訂第八十條之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條文草案</w:t>
            </w:r>
          </w:p>
        </w:tc>
        <w:tc>
          <w:tcPr>
            <w:tcW w:w="1545" w:type="dxa"/>
          </w:tcPr>
          <w:p w14:paraId="1CA0B1B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委員王育敏</w:t>
            </w:r>
          </w:p>
          <w:p w14:paraId="5BCE4D2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1473FB8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113.04.19</w:t>
            </w:r>
          </w:p>
          <w:p w14:paraId="4084989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（11-1-10）</w:t>
            </w:r>
          </w:p>
        </w:tc>
        <w:tc>
          <w:tcPr>
            <w:tcW w:w="1536" w:type="dxa"/>
            <w:vMerge/>
          </w:tcPr>
          <w:p w14:paraId="39DEEE6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86D2144"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DA1EF7D"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86D7AAE"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5E4B12A" w14:textId="77777777" w:rsidTr="00A44814">
        <w:trPr>
          <w:trHeight w:val="600"/>
        </w:trPr>
        <w:tc>
          <w:tcPr>
            <w:tcW w:w="511" w:type="dxa"/>
          </w:tcPr>
          <w:p w14:paraId="091C683B"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1D756CF"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D29FF9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w:t>
            </w:r>
            <w:proofErr w:type="gramStart"/>
            <w:r w:rsidRPr="001B6E4D">
              <w:rPr>
                <w:rFonts w:ascii="標楷體" w:eastAsia="標楷體" w:hAnsi="標楷體"/>
                <w:color w:val="000000"/>
                <w:kern w:val="0"/>
                <w:szCs w:val="22"/>
              </w:rPr>
              <w:t>范</w:t>
            </w:r>
            <w:proofErr w:type="gramEnd"/>
            <w:r w:rsidRPr="001B6E4D">
              <w:rPr>
                <w:rFonts w:ascii="標楷體" w:eastAsia="標楷體" w:hAnsi="標楷體"/>
                <w:color w:val="000000"/>
                <w:kern w:val="0"/>
                <w:szCs w:val="22"/>
              </w:rPr>
              <w:t>雲</w:t>
            </w:r>
          </w:p>
          <w:p w14:paraId="2F3F2D2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等22人</w:t>
            </w:r>
          </w:p>
          <w:p w14:paraId="25B32CB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114.04.18</w:t>
            </w:r>
          </w:p>
          <w:p w14:paraId="65C67D1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（11-3-8）</w:t>
            </w:r>
          </w:p>
        </w:tc>
        <w:tc>
          <w:tcPr>
            <w:tcW w:w="1536" w:type="dxa"/>
            <w:vMerge/>
          </w:tcPr>
          <w:p w14:paraId="0ABA69D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C7B7908"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7DF0186"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14A2E72"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6274668" w14:textId="77777777" w:rsidTr="00A44814">
        <w:trPr>
          <w:trHeight w:val="600"/>
        </w:trPr>
        <w:tc>
          <w:tcPr>
            <w:tcW w:w="511" w:type="dxa"/>
          </w:tcPr>
          <w:p w14:paraId="616D8BB8"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42960E99"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.中華民國刑法第八十三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1BAEDF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委員郭昱晴</w:t>
            </w:r>
          </w:p>
          <w:p w14:paraId="4B488D5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39628C8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114.04.18</w:t>
            </w:r>
          </w:p>
          <w:p w14:paraId="14B52B8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（11-3-8）</w:t>
            </w:r>
          </w:p>
        </w:tc>
        <w:tc>
          <w:tcPr>
            <w:tcW w:w="1536" w:type="dxa"/>
            <w:vMerge/>
          </w:tcPr>
          <w:p w14:paraId="0553746C"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DA6044F"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50049EE"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720F36C"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2D2E57A" w14:textId="77777777" w:rsidTr="00A44814">
        <w:trPr>
          <w:trHeight w:val="600"/>
        </w:trPr>
        <w:tc>
          <w:tcPr>
            <w:tcW w:w="511" w:type="dxa"/>
          </w:tcPr>
          <w:p w14:paraId="3BC4EB42"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0C8216E6"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6</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75B539D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委員李昆澤</w:t>
            </w:r>
          </w:p>
          <w:p w14:paraId="4477CC9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42F153D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114.05.23</w:t>
            </w:r>
          </w:p>
          <w:p w14:paraId="3F2935E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（11-3-13）</w:t>
            </w:r>
          </w:p>
        </w:tc>
        <w:tc>
          <w:tcPr>
            <w:tcW w:w="1536" w:type="dxa"/>
            <w:vMerge/>
          </w:tcPr>
          <w:p w14:paraId="2B064CAB"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BB7FCDC"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C6C5B5D"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3F9D7A6"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BFC6DD3" w14:textId="77777777" w:rsidTr="00A44814">
        <w:trPr>
          <w:trHeight w:val="600"/>
        </w:trPr>
        <w:tc>
          <w:tcPr>
            <w:tcW w:w="511" w:type="dxa"/>
          </w:tcPr>
          <w:p w14:paraId="7FBA61FE"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C4E43F6"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7</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192036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台灣民眾</w:t>
            </w:r>
            <w:proofErr w:type="gramStart"/>
            <w:r w:rsidRPr="001B6E4D">
              <w:rPr>
                <w:rFonts w:ascii="標楷體" w:eastAsia="標楷體" w:hAnsi="標楷體"/>
                <w:color w:val="000000"/>
                <w:kern w:val="0"/>
                <w:szCs w:val="22"/>
              </w:rPr>
              <w:t>黨</w:t>
            </w:r>
            <w:proofErr w:type="gramEnd"/>
            <w:r w:rsidRPr="001B6E4D">
              <w:rPr>
                <w:rFonts w:ascii="標楷體" w:eastAsia="標楷體" w:hAnsi="標楷體"/>
                <w:color w:val="000000"/>
                <w:kern w:val="0"/>
                <w:szCs w:val="22"/>
              </w:rPr>
              <w:t>黨團</w:t>
            </w:r>
          </w:p>
          <w:p w14:paraId="6999EB8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114.08.08</w:t>
            </w:r>
          </w:p>
          <w:p w14:paraId="50EE453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（11-3-24）</w:t>
            </w:r>
          </w:p>
        </w:tc>
        <w:tc>
          <w:tcPr>
            <w:tcW w:w="1536" w:type="dxa"/>
            <w:vMerge/>
          </w:tcPr>
          <w:p w14:paraId="5FE2CD6F"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AF015D6"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782658C"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07E652E"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6A4357E8" w14:textId="77777777" w:rsidTr="00A44814">
        <w:trPr>
          <w:trHeight w:val="600"/>
        </w:trPr>
        <w:tc>
          <w:tcPr>
            <w:tcW w:w="511" w:type="dxa"/>
          </w:tcPr>
          <w:p w14:paraId="1E0E28DF"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042B82C"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8</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AA03C9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委員李坤城</w:t>
            </w:r>
          </w:p>
          <w:p w14:paraId="30402C3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28ED13E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114.08.22</w:t>
            </w:r>
          </w:p>
          <w:p w14:paraId="2A2110D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（11-3-26）</w:t>
            </w:r>
          </w:p>
        </w:tc>
        <w:tc>
          <w:tcPr>
            <w:tcW w:w="1536" w:type="dxa"/>
            <w:vMerge/>
          </w:tcPr>
          <w:p w14:paraId="518F90A6"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BACFEE8"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6BBD284"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E87C953"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26FC708" w14:textId="77777777" w:rsidTr="00A44814">
        <w:trPr>
          <w:trHeight w:val="600"/>
        </w:trPr>
        <w:tc>
          <w:tcPr>
            <w:tcW w:w="511" w:type="dxa"/>
          </w:tcPr>
          <w:p w14:paraId="349048B5"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1E421109"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9</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794527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委員張雅琳</w:t>
            </w:r>
          </w:p>
          <w:p w14:paraId="402CBB6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0F1D66C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114.08.22</w:t>
            </w:r>
          </w:p>
          <w:p w14:paraId="75FBF73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（11-3-26）</w:t>
            </w:r>
          </w:p>
        </w:tc>
        <w:tc>
          <w:tcPr>
            <w:tcW w:w="1536" w:type="dxa"/>
            <w:vMerge/>
          </w:tcPr>
          <w:p w14:paraId="5E48EC66"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EA1EE08"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5356EBE"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DE62D97"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0104D65F" w14:textId="77777777" w:rsidTr="00A44814">
        <w:trPr>
          <w:trHeight w:val="600"/>
        </w:trPr>
        <w:tc>
          <w:tcPr>
            <w:tcW w:w="511" w:type="dxa"/>
          </w:tcPr>
          <w:p w14:paraId="55335B31"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E3E461C"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10</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6147BD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委員黃捷</w:t>
            </w:r>
          </w:p>
          <w:p w14:paraId="7ADE93A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47D37D9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114.08.29</w:t>
            </w:r>
          </w:p>
          <w:p w14:paraId="17867A9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（11-3-27）</w:t>
            </w:r>
          </w:p>
        </w:tc>
        <w:tc>
          <w:tcPr>
            <w:tcW w:w="1536" w:type="dxa"/>
            <w:vMerge/>
          </w:tcPr>
          <w:p w14:paraId="1D1A30E0"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0D1CD6E"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BC2B672"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7DE2A2D"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6FEF28B" w14:textId="77777777" w:rsidTr="00A44814">
        <w:trPr>
          <w:trHeight w:val="600"/>
        </w:trPr>
        <w:tc>
          <w:tcPr>
            <w:tcW w:w="511" w:type="dxa"/>
          </w:tcPr>
          <w:p w14:paraId="31A09BB5"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9823423"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11</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3170FB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委員林楚</w:t>
            </w:r>
            <w:proofErr w:type="gramStart"/>
            <w:r w:rsidRPr="001B6E4D">
              <w:rPr>
                <w:rFonts w:ascii="標楷體" w:eastAsia="標楷體" w:hAnsi="標楷體"/>
                <w:color w:val="000000"/>
                <w:kern w:val="0"/>
                <w:szCs w:val="22"/>
              </w:rPr>
              <w:t>茵</w:t>
            </w:r>
            <w:proofErr w:type="gramEnd"/>
          </w:p>
          <w:p w14:paraId="76C2145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0E92AD3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114.09.30</w:t>
            </w:r>
          </w:p>
          <w:p w14:paraId="2C0CC50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（11-4-2）</w:t>
            </w:r>
          </w:p>
        </w:tc>
        <w:tc>
          <w:tcPr>
            <w:tcW w:w="1536" w:type="dxa"/>
            <w:vMerge/>
          </w:tcPr>
          <w:p w14:paraId="00EF0BB7"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DA1161D"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7DA3DF0"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A86F8AD"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26A87FDE" w14:textId="77777777" w:rsidTr="00A44814">
        <w:trPr>
          <w:trHeight w:val="600"/>
        </w:trPr>
        <w:tc>
          <w:tcPr>
            <w:tcW w:w="511" w:type="dxa"/>
          </w:tcPr>
          <w:p w14:paraId="0DAB9557"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0A8CF217"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12</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C301AC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委員吳沛憶</w:t>
            </w:r>
          </w:p>
          <w:p w14:paraId="3C7FDD2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1054A02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114.10.14</w:t>
            </w:r>
          </w:p>
          <w:p w14:paraId="1990B05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（11-4-4）</w:t>
            </w:r>
          </w:p>
        </w:tc>
        <w:tc>
          <w:tcPr>
            <w:tcW w:w="1536" w:type="dxa"/>
            <w:vMerge/>
          </w:tcPr>
          <w:p w14:paraId="5ECAC277"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393318A"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0E03A98"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534D3A8"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138908C8" w14:textId="77777777" w:rsidTr="00A44814">
        <w:trPr>
          <w:trHeight w:val="600"/>
        </w:trPr>
        <w:tc>
          <w:tcPr>
            <w:tcW w:w="511" w:type="dxa"/>
          </w:tcPr>
          <w:p w14:paraId="293E2517"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5021BB19"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13</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9137C7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委員林月琴</w:t>
            </w:r>
          </w:p>
          <w:p w14:paraId="3B9A6E3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2E8237E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114.10.17</w:t>
            </w:r>
          </w:p>
          <w:p w14:paraId="54A7542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（11-4-5）</w:t>
            </w:r>
          </w:p>
        </w:tc>
        <w:tc>
          <w:tcPr>
            <w:tcW w:w="1536" w:type="dxa"/>
            <w:vMerge/>
          </w:tcPr>
          <w:p w14:paraId="325582E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58C1DCE"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B6036A9"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51DCE87"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F68B944" w14:textId="77777777" w:rsidTr="00A44814">
        <w:trPr>
          <w:trHeight w:val="600"/>
        </w:trPr>
        <w:tc>
          <w:tcPr>
            <w:tcW w:w="511" w:type="dxa"/>
          </w:tcPr>
          <w:p w14:paraId="0B229E53"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4A209C6F"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14</w:t>
            </w:r>
            <w:r w:rsidRPr="001B6E4D">
              <w:rPr>
                <w:rFonts w:ascii="標楷體" w:eastAsia="標楷體" w:hAnsi="標楷體"/>
                <w:color w:val="000000"/>
                <w:kern w:val="0"/>
                <w:szCs w:val="22"/>
              </w:rPr>
              <w:t>.中華民國刑法第八十三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01E36B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委員蔡其昌</w:t>
            </w:r>
          </w:p>
          <w:p w14:paraId="02254BD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6BDB56A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58979BC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4B3F4BA6"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64607E7"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7AA18A3"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37FF863"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6643EA65" w14:textId="77777777" w:rsidTr="00A44814">
        <w:trPr>
          <w:trHeight w:val="600"/>
        </w:trPr>
        <w:tc>
          <w:tcPr>
            <w:tcW w:w="511" w:type="dxa"/>
          </w:tcPr>
          <w:p w14:paraId="7F985498"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11F244D5"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15</w:t>
            </w:r>
            <w:r w:rsidRPr="001B6E4D">
              <w:rPr>
                <w:rFonts w:ascii="標楷體" w:eastAsia="標楷體" w:hAnsi="標楷體"/>
                <w:color w:val="000000"/>
                <w:kern w:val="0"/>
                <w:szCs w:val="22"/>
              </w:rPr>
              <w:t>.中華民國刑法第八十三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6474B5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委員王美惠</w:t>
            </w:r>
          </w:p>
          <w:p w14:paraId="4822FA2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00E3ECC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42FE9D9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3CF0EF98"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2246693"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97FCC66"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6D14B56"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09E0F48E" w14:textId="77777777" w:rsidTr="00A44814">
        <w:trPr>
          <w:trHeight w:val="600"/>
        </w:trPr>
        <w:tc>
          <w:tcPr>
            <w:tcW w:w="511" w:type="dxa"/>
          </w:tcPr>
          <w:p w14:paraId="568421D2"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6125C2B"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16</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966A02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委員陳素月</w:t>
            </w:r>
          </w:p>
          <w:p w14:paraId="611B03C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646C128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210F91D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（11-4-7）</w:t>
            </w:r>
          </w:p>
        </w:tc>
        <w:tc>
          <w:tcPr>
            <w:tcW w:w="1536" w:type="dxa"/>
            <w:vMerge/>
          </w:tcPr>
          <w:p w14:paraId="6D5AEC46"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4272D58"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E0362CE"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2F270DF"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37FA7F97" w14:textId="77777777" w:rsidTr="00A44814">
        <w:trPr>
          <w:trHeight w:val="600"/>
        </w:trPr>
        <w:tc>
          <w:tcPr>
            <w:tcW w:w="511" w:type="dxa"/>
          </w:tcPr>
          <w:p w14:paraId="1612A163"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63C61679"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17</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4159130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委員洪孟楷</w:t>
            </w:r>
          </w:p>
          <w:p w14:paraId="113C8D34"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5B01AF3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6AAB10E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（11-4-7）</w:t>
            </w:r>
          </w:p>
        </w:tc>
        <w:tc>
          <w:tcPr>
            <w:tcW w:w="1536" w:type="dxa"/>
            <w:vMerge/>
          </w:tcPr>
          <w:p w14:paraId="3FB4D599"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7731A56"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5C62138"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CF5423B"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04CD7681" w14:textId="77777777" w:rsidTr="00A44814">
        <w:trPr>
          <w:trHeight w:val="600"/>
        </w:trPr>
        <w:tc>
          <w:tcPr>
            <w:tcW w:w="511" w:type="dxa"/>
          </w:tcPr>
          <w:p w14:paraId="1FFD9980"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5EF68E94"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18</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3C89DC1"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委員張宏陸</w:t>
            </w:r>
          </w:p>
          <w:p w14:paraId="3258D4B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14E58E5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114.11.28</w:t>
            </w:r>
          </w:p>
          <w:p w14:paraId="4593080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w:t>
            </w:r>
          </w:p>
        </w:tc>
        <w:tc>
          <w:tcPr>
            <w:tcW w:w="1536" w:type="dxa"/>
            <w:vMerge/>
          </w:tcPr>
          <w:p w14:paraId="34A805FB"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CFA3751"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628DCB2"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8A749F8"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6FC056B" w14:textId="77777777" w:rsidTr="00A44814">
        <w:trPr>
          <w:trHeight w:val="600"/>
        </w:trPr>
        <w:tc>
          <w:tcPr>
            <w:tcW w:w="511" w:type="dxa"/>
          </w:tcPr>
          <w:p w14:paraId="5947EA4F"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36F4C26D"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19</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6D38E6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委員林倩綺</w:t>
            </w:r>
          </w:p>
          <w:p w14:paraId="5D0A4E0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6F60F34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114.11.28</w:t>
            </w:r>
          </w:p>
          <w:p w14:paraId="7561F19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w:t>
            </w:r>
          </w:p>
        </w:tc>
        <w:tc>
          <w:tcPr>
            <w:tcW w:w="1536" w:type="dxa"/>
            <w:vMerge/>
          </w:tcPr>
          <w:p w14:paraId="497DFF01"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1AC986B"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55FE62F"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B0E8473"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F14D787" w14:textId="77777777" w:rsidTr="00A44814">
        <w:trPr>
          <w:trHeight w:val="600"/>
        </w:trPr>
        <w:tc>
          <w:tcPr>
            <w:tcW w:w="511" w:type="dxa"/>
          </w:tcPr>
          <w:p w14:paraId="1D68CB51"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584C960D"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20</w:t>
            </w:r>
            <w:r w:rsidRPr="001B6E4D">
              <w:rPr>
                <w:rFonts w:ascii="標楷體" w:eastAsia="標楷體" w:hAnsi="標楷體"/>
                <w:color w:val="000000"/>
                <w:kern w:val="0"/>
                <w:szCs w:val="22"/>
              </w:rPr>
              <w:t>.中華民國刑法第八十三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0D25505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委員吳思瑤</w:t>
            </w:r>
          </w:p>
          <w:p w14:paraId="6B879E0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4CC64184"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114.12.05</w:t>
            </w:r>
          </w:p>
          <w:p w14:paraId="6CCC502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w:t>
            </w:r>
          </w:p>
        </w:tc>
        <w:tc>
          <w:tcPr>
            <w:tcW w:w="1536" w:type="dxa"/>
            <w:vMerge/>
          </w:tcPr>
          <w:p w14:paraId="752CA569"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CD2B00B"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9B87C6C"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58A20B0"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28142E88" w14:textId="77777777" w:rsidTr="00A44814">
        <w:trPr>
          <w:trHeight w:val="600"/>
        </w:trPr>
        <w:tc>
          <w:tcPr>
            <w:tcW w:w="511" w:type="dxa"/>
          </w:tcPr>
          <w:p w14:paraId="3D9D3CD8"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54340C66"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21</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BCC8E6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委員翁曉玲</w:t>
            </w:r>
          </w:p>
          <w:p w14:paraId="217FEE1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43DDDF1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114.12.12</w:t>
            </w:r>
          </w:p>
          <w:p w14:paraId="31C557E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（11-4-13）</w:t>
            </w:r>
          </w:p>
        </w:tc>
        <w:tc>
          <w:tcPr>
            <w:tcW w:w="1536" w:type="dxa"/>
            <w:vMerge/>
          </w:tcPr>
          <w:p w14:paraId="7ACA99ED"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98004D8"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F46B41A"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67816EB"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BB46474" w14:textId="77777777" w:rsidTr="00A44814">
        <w:trPr>
          <w:trHeight w:val="600"/>
        </w:trPr>
        <w:tc>
          <w:tcPr>
            <w:tcW w:w="511" w:type="dxa"/>
          </w:tcPr>
          <w:p w14:paraId="2949E63C"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13124293"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22</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E90AC6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委員伍麗華</w:t>
            </w:r>
          </w:p>
          <w:p w14:paraId="4F331C0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proofErr w:type="spellStart"/>
            <w:r w:rsidRPr="001B6E4D">
              <w:rPr>
                <w:rFonts w:ascii="標楷體" w:eastAsia="標楷體" w:hAnsi="標楷體"/>
                <w:color w:val="000000"/>
                <w:kern w:val="0"/>
                <w:szCs w:val="22"/>
              </w:rPr>
              <w:t>Saidhai</w:t>
            </w:r>
            <w:proofErr w:type="spellEnd"/>
            <w:r w:rsidRPr="001B6E4D">
              <w:rPr>
                <w:rFonts w:ascii="標楷體" w:eastAsia="標楷體" w:hAnsi="標楷體"/>
                <w:color w:val="000000"/>
                <w:kern w:val="0"/>
                <w:szCs w:val="22"/>
              </w:rPr>
              <w:t>‧</w:t>
            </w:r>
          </w:p>
          <w:p w14:paraId="76C6F0E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proofErr w:type="spellStart"/>
            <w:r w:rsidRPr="001B6E4D">
              <w:rPr>
                <w:rFonts w:ascii="標楷體" w:eastAsia="標楷體" w:hAnsi="標楷體"/>
                <w:color w:val="000000"/>
                <w:kern w:val="0"/>
                <w:szCs w:val="22"/>
              </w:rPr>
              <w:t>Tahovecahe</w:t>
            </w:r>
            <w:proofErr w:type="spellEnd"/>
          </w:p>
          <w:p w14:paraId="4914251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24DF70C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114.12.12</w:t>
            </w:r>
          </w:p>
          <w:p w14:paraId="2AF5FCC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（11-4-13）</w:t>
            </w:r>
          </w:p>
        </w:tc>
        <w:tc>
          <w:tcPr>
            <w:tcW w:w="1536" w:type="dxa"/>
            <w:vMerge/>
          </w:tcPr>
          <w:p w14:paraId="39EE1AA8"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E816EC0"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682C624"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1F83FCD"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60D2FF87" w14:textId="77777777" w:rsidTr="00A44814">
        <w:trPr>
          <w:trHeight w:val="600"/>
        </w:trPr>
        <w:tc>
          <w:tcPr>
            <w:tcW w:w="511" w:type="dxa"/>
          </w:tcPr>
          <w:p w14:paraId="627E8CD5"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BEDA74A"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23</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737888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委員羅智強</w:t>
            </w:r>
          </w:p>
          <w:p w14:paraId="087DFAF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6412821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35169A4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3F2A8145"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CAE1339"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D2465C6"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8611E45"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2688BFE5" w14:textId="77777777" w:rsidTr="00A44814">
        <w:trPr>
          <w:trHeight w:val="600"/>
        </w:trPr>
        <w:tc>
          <w:tcPr>
            <w:tcW w:w="511" w:type="dxa"/>
          </w:tcPr>
          <w:p w14:paraId="19A1BC4E"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6CC1C324"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24</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0682ED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委員王鴻薇</w:t>
            </w:r>
          </w:p>
          <w:p w14:paraId="17DADEF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42A8FEF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684A94B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1037E66F"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B8FDB68"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8E10FA0"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D216E14"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AC1D7D9" w14:textId="77777777" w:rsidTr="00A44814">
        <w:trPr>
          <w:trHeight w:val="600"/>
        </w:trPr>
        <w:tc>
          <w:tcPr>
            <w:tcW w:w="511" w:type="dxa"/>
          </w:tcPr>
          <w:p w14:paraId="67368ABB"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32752045"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25</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263C5F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58AE78D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385E76F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1B07D28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1624603C"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C8C9373"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801585B"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6A749AA"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18E858E2" w14:textId="77777777" w:rsidTr="00A44814">
        <w:trPr>
          <w:trHeight w:val="600"/>
        </w:trPr>
        <w:tc>
          <w:tcPr>
            <w:tcW w:w="511" w:type="dxa"/>
          </w:tcPr>
          <w:p w14:paraId="0982788D"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6D576F18"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26</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4E4DDC8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委員王正旭</w:t>
            </w:r>
          </w:p>
          <w:p w14:paraId="1C13491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2AE6F954"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79F7D16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332A0822"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E86C967"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3E97871"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EBE62FC"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3F1ABCC5" w14:textId="77777777" w:rsidTr="00A44814">
        <w:trPr>
          <w:trHeight w:val="600"/>
        </w:trPr>
        <w:tc>
          <w:tcPr>
            <w:tcW w:w="511" w:type="dxa"/>
          </w:tcPr>
          <w:p w14:paraId="24A688FB"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3E1C579"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27</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76186F4"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委員林思銘</w:t>
            </w:r>
          </w:p>
          <w:p w14:paraId="638309D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351E719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115.03.20</w:t>
            </w:r>
          </w:p>
          <w:p w14:paraId="6BF7EBC4"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（11-5-4）</w:t>
            </w:r>
          </w:p>
        </w:tc>
        <w:tc>
          <w:tcPr>
            <w:tcW w:w="1536" w:type="dxa"/>
            <w:vMerge/>
          </w:tcPr>
          <w:p w14:paraId="211CB677"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590BB3C"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C6BDBFD"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0E36807"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90F103A" w14:textId="77777777" w:rsidTr="00A44814">
        <w:trPr>
          <w:trHeight w:val="600"/>
        </w:trPr>
        <w:tc>
          <w:tcPr>
            <w:tcW w:w="511" w:type="dxa"/>
          </w:tcPr>
          <w:p w14:paraId="7FC89E70"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4E733CD3"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28</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5F15A8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委員林宜瑾</w:t>
            </w:r>
          </w:p>
          <w:p w14:paraId="072A816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04B3F5A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06E41DA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7853420C"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D19BC26"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F53C5F6"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BDE4522"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085AA1A4" w14:textId="77777777" w:rsidTr="00A44814">
        <w:trPr>
          <w:trHeight w:val="600"/>
        </w:trPr>
        <w:tc>
          <w:tcPr>
            <w:tcW w:w="511" w:type="dxa"/>
          </w:tcPr>
          <w:p w14:paraId="51EE69F8"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42643452"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29</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93816D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委員林俊憲</w:t>
            </w:r>
          </w:p>
          <w:p w14:paraId="17D102E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48695F1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0D71C2E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604F180B"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55A4F10"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497F654"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4D19C00"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12BC2915" w14:textId="77777777" w:rsidTr="00A44814">
        <w:trPr>
          <w:trHeight w:val="600"/>
        </w:trPr>
        <w:tc>
          <w:tcPr>
            <w:tcW w:w="511" w:type="dxa"/>
          </w:tcPr>
          <w:p w14:paraId="17F7CACD"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182BD31F"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30</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44F0C0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委員王美惠</w:t>
            </w:r>
          </w:p>
          <w:p w14:paraId="478D321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0EC8B75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452E438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1AE21B84"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F465FA2"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9CFAB08"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EE14260"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6F30AAA4" w14:textId="77777777" w:rsidTr="00A44814">
        <w:trPr>
          <w:trHeight w:val="600"/>
        </w:trPr>
        <w:tc>
          <w:tcPr>
            <w:tcW w:w="511" w:type="dxa"/>
          </w:tcPr>
          <w:p w14:paraId="5780B3B0"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F7A5574"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31</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32D404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委員徐巧芯</w:t>
            </w:r>
          </w:p>
          <w:p w14:paraId="4A077E1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等22人</w:t>
            </w:r>
          </w:p>
          <w:p w14:paraId="1C7D2F3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115.04.10</w:t>
            </w:r>
          </w:p>
          <w:p w14:paraId="098847C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（11-5-6）</w:t>
            </w:r>
          </w:p>
        </w:tc>
        <w:tc>
          <w:tcPr>
            <w:tcW w:w="1536" w:type="dxa"/>
            <w:vMerge/>
          </w:tcPr>
          <w:p w14:paraId="4C36D3D1"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E68E50B"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927DB52"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915AA3D"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64F79867" w14:textId="77777777" w:rsidTr="00A44814">
        <w:trPr>
          <w:trHeight w:val="600"/>
        </w:trPr>
        <w:tc>
          <w:tcPr>
            <w:tcW w:w="511" w:type="dxa"/>
          </w:tcPr>
          <w:p w14:paraId="390F5688"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1C776A1D"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32</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C2E91A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委員邱議瑩</w:t>
            </w:r>
          </w:p>
          <w:p w14:paraId="1197B46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03F188E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115.04.10</w:t>
            </w:r>
          </w:p>
          <w:p w14:paraId="641CB39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（11-5-6）</w:t>
            </w:r>
          </w:p>
        </w:tc>
        <w:tc>
          <w:tcPr>
            <w:tcW w:w="1536" w:type="dxa"/>
            <w:vMerge/>
          </w:tcPr>
          <w:p w14:paraId="3C22AD3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95C7033"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A491E1C"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214D9E3"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57998D1" w14:textId="77777777" w:rsidTr="00A44814">
        <w:trPr>
          <w:trHeight w:val="600"/>
        </w:trPr>
        <w:tc>
          <w:tcPr>
            <w:tcW w:w="511" w:type="dxa"/>
          </w:tcPr>
          <w:p w14:paraId="099E9770"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4246C5F"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33</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45E335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委員何欣純</w:t>
            </w:r>
          </w:p>
          <w:p w14:paraId="4CE40DE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63F668C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7F1F736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tcPr>
          <w:p w14:paraId="749B7568"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AF41723"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1285309"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3065863"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900E977" w14:textId="77777777" w:rsidTr="00A44814">
        <w:trPr>
          <w:trHeight w:val="600"/>
        </w:trPr>
        <w:tc>
          <w:tcPr>
            <w:tcW w:w="511" w:type="dxa"/>
          </w:tcPr>
          <w:p w14:paraId="54E8755F"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4EBA9A1"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34</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0FD789D1"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委員張智倫</w:t>
            </w:r>
          </w:p>
          <w:p w14:paraId="5ACEC20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48F5B19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14AA2EF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tcPr>
          <w:p w14:paraId="5FD990E7"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898C476"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7B5B4D6"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0E76B01"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34AE4D1B" w14:textId="77777777" w:rsidTr="00A44814">
        <w:trPr>
          <w:trHeight w:val="600"/>
        </w:trPr>
        <w:tc>
          <w:tcPr>
            <w:tcW w:w="511" w:type="dxa"/>
          </w:tcPr>
          <w:p w14:paraId="33096DD9"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0BC7DBCD"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35</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0D48034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委員許宇</w:t>
            </w:r>
            <w:proofErr w:type="gramStart"/>
            <w:r w:rsidRPr="001B6E4D">
              <w:rPr>
                <w:rFonts w:ascii="標楷體" w:eastAsia="標楷體" w:hAnsi="標楷體"/>
                <w:color w:val="000000"/>
                <w:kern w:val="0"/>
                <w:szCs w:val="22"/>
              </w:rPr>
              <w:t>甄</w:t>
            </w:r>
            <w:proofErr w:type="gramEnd"/>
          </w:p>
          <w:p w14:paraId="1EB21F9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3272E68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7D02C0D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tcPr>
          <w:p w14:paraId="6DAD560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DCABEBC"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6040AF0"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4246E74"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FF8BCAF" w14:textId="77777777" w:rsidTr="00A44814">
        <w:trPr>
          <w:trHeight w:val="600"/>
        </w:trPr>
        <w:tc>
          <w:tcPr>
            <w:tcW w:w="511" w:type="dxa"/>
          </w:tcPr>
          <w:p w14:paraId="1DD0CD1E"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6E59B63C"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36</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02B120C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委員羅美玲</w:t>
            </w:r>
          </w:p>
          <w:p w14:paraId="6043F57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2A2CE1C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115.05.22</w:t>
            </w:r>
          </w:p>
          <w:p w14:paraId="16DD557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（11-5-11）</w:t>
            </w:r>
          </w:p>
        </w:tc>
        <w:tc>
          <w:tcPr>
            <w:tcW w:w="1536" w:type="dxa"/>
            <w:vMerge/>
          </w:tcPr>
          <w:p w14:paraId="4424CAD0"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2856ED2"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3F93F49"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BFDBAEB"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CAF3492" w14:textId="77777777" w:rsidTr="00A44814">
        <w:trPr>
          <w:trHeight w:val="600"/>
        </w:trPr>
        <w:tc>
          <w:tcPr>
            <w:tcW w:w="511" w:type="dxa"/>
          </w:tcPr>
          <w:p w14:paraId="046B7466"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95D130C"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37</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72B06A5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委員陳培瑜</w:t>
            </w:r>
          </w:p>
          <w:p w14:paraId="74ED0B5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44D8B9D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115.05.22</w:t>
            </w:r>
          </w:p>
          <w:p w14:paraId="495E0741"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（11-5-11）</w:t>
            </w:r>
          </w:p>
        </w:tc>
        <w:tc>
          <w:tcPr>
            <w:tcW w:w="1536" w:type="dxa"/>
            <w:vMerge/>
          </w:tcPr>
          <w:p w14:paraId="37493184"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DFD53D2"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A8561FA"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A0C809E"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3922EB5B" w14:textId="77777777" w:rsidTr="00A44814">
        <w:trPr>
          <w:trHeight w:val="600"/>
        </w:trPr>
        <w:tc>
          <w:tcPr>
            <w:tcW w:w="511" w:type="dxa"/>
          </w:tcPr>
          <w:p w14:paraId="78809296"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784849E"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w:t>
            </w:r>
            <w:r w:rsidRPr="001B6E4D">
              <w:rPr>
                <w:rFonts w:ascii="標楷體" w:eastAsia="標楷體" w:hAnsi="標楷體"/>
                <w:color w:val="000000"/>
                <w:kern w:val="0"/>
                <w:szCs w:val="22"/>
              </w:rPr>
              <w:t>中華民國刑法施行法第八條之二條文修正草案</w:t>
            </w:r>
          </w:p>
        </w:tc>
        <w:tc>
          <w:tcPr>
            <w:tcW w:w="1545" w:type="dxa"/>
          </w:tcPr>
          <w:p w14:paraId="31E0929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行政院、司法院</w:t>
            </w:r>
          </w:p>
          <w:p w14:paraId="0F657C8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4368468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val="restart"/>
          </w:tcPr>
          <w:p w14:paraId="126674F3"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1.第2-15案</w:t>
            </w:r>
            <w:r w:rsidRPr="001B6E4D">
              <w:rPr>
                <w:rFonts w:ascii="標楷體" w:eastAsia="標楷體" w:hAnsi="標楷體"/>
                <w:spacing w:val="-20"/>
                <w:kern w:val="0"/>
                <w:szCs w:val="22"/>
              </w:rPr>
              <w:br/>
              <w:t>本會</w:t>
            </w:r>
            <w:r w:rsidRPr="001B6E4D">
              <w:rPr>
                <w:rFonts w:ascii="標楷體" w:eastAsia="標楷體" w:hAnsi="標楷體"/>
                <w:spacing w:val="-20"/>
                <w:kern w:val="0"/>
                <w:szCs w:val="22"/>
              </w:rPr>
              <w:br/>
              <w:t>115.4.13</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t>(11-5-6)報告及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r w:rsidRPr="001B6E4D">
              <w:rPr>
                <w:rFonts w:ascii="標楷體" w:eastAsia="標楷體" w:hAnsi="標楷體"/>
                <w:spacing w:val="-20"/>
                <w:kern w:val="0"/>
                <w:szCs w:val="22"/>
              </w:rPr>
              <w:t>。</w:t>
            </w:r>
          </w:p>
          <w:p w14:paraId="7FA141D3"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2.第1-20案</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t>本</w:t>
            </w:r>
            <w:r w:rsidRPr="001B6E4D">
              <w:rPr>
                <w:rFonts w:ascii="標楷體" w:eastAsia="標楷體" w:hAnsi="標楷體"/>
                <w:spacing w:val="-20"/>
                <w:kern w:val="0"/>
                <w:szCs w:val="22"/>
              </w:rPr>
              <w:t>會</w:t>
            </w:r>
            <w:r w:rsidRPr="001B6E4D">
              <w:rPr>
                <w:rFonts w:ascii="標楷體" w:eastAsia="標楷體" w:hAnsi="標楷體"/>
                <w:spacing w:val="-20"/>
                <w:kern w:val="0"/>
                <w:szCs w:val="22"/>
              </w:rPr>
              <w:br/>
              <w:t>115.</w:t>
            </w:r>
            <w:r w:rsidRPr="001B6E4D">
              <w:rPr>
                <w:rFonts w:ascii="標楷體" w:eastAsia="標楷體" w:hAnsi="標楷體" w:hint="eastAsia"/>
                <w:spacing w:val="-20"/>
                <w:kern w:val="0"/>
                <w:szCs w:val="22"/>
              </w:rPr>
              <w:t>6</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11</w:t>
            </w:r>
            <w:r w:rsidRPr="001B6E4D">
              <w:rPr>
                <w:rFonts w:ascii="標楷體" w:eastAsia="標楷體" w:hAnsi="標楷體"/>
                <w:spacing w:val="-20"/>
                <w:kern w:val="0"/>
                <w:szCs w:val="22"/>
              </w:rPr>
              <w:b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18</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審查完竣，不須交由黨團協商。</w:t>
            </w:r>
          </w:p>
        </w:tc>
        <w:tc>
          <w:tcPr>
            <w:tcW w:w="1387" w:type="dxa"/>
            <w:vMerge w:val="restart"/>
          </w:tcPr>
          <w:p w14:paraId="68673AA7"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5B421460"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7.7</w:t>
            </w:r>
          </w:p>
          <w:p w14:paraId="11147C72"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16</w:t>
            </w:r>
            <w:r w:rsidRPr="001B6E4D">
              <w:rPr>
                <w:rFonts w:ascii="標楷體" w:eastAsia="標楷體" w:hAnsi="標楷體"/>
                <w:spacing w:val="-20"/>
                <w:kern w:val="0"/>
                <w:szCs w:val="22"/>
              </w:rPr>
              <w:t>)</w:t>
            </w:r>
          </w:p>
          <w:p w14:paraId="59F6E586"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spacing w:val="-20"/>
                <w:kern w:val="0"/>
                <w:szCs w:val="22"/>
              </w:rPr>
              <w:t>三讀修正第八條之二條文。</w:t>
            </w:r>
          </w:p>
        </w:tc>
        <w:tc>
          <w:tcPr>
            <w:tcW w:w="1683" w:type="dxa"/>
            <w:vMerge w:val="restart"/>
          </w:tcPr>
          <w:p w14:paraId="6FD023C9"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115年7月16日台立院議字第1150702599號</w:t>
            </w:r>
          </w:p>
          <w:p w14:paraId="1EF9DB9E"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p w14:paraId="726B1124"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115年7月22日華總</w:t>
            </w:r>
            <w:proofErr w:type="gramStart"/>
            <w:r w:rsidRPr="001B6E4D">
              <w:rPr>
                <w:rFonts w:ascii="標楷體" w:eastAsia="標楷體" w:hAnsi="標楷體" w:hint="eastAsia"/>
                <w:color w:val="000000"/>
                <w:spacing w:val="-26"/>
                <w:szCs w:val="22"/>
              </w:rPr>
              <w:t>一義字第11500067811號</w:t>
            </w:r>
            <w:proofErr w:type="gramEnd"/>
          </w:p>
        </w:tc>
        <w:tc>
          <w:tcPr>
            <w:tcW w:w="1105" w:type="dxa"/>
            <w:vMerge w:val="restart"/>
          </w:tcPr>
          <w:p w14:paraId="107D7CA1"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第7872號</w:t>
            </w:r>
          </w:p>
        </w:tc>
      </w:tr>
      <w:tr w:rsidR="00FB3E5C" w:rsidRPr="001B6E4D" w14:paraId="71715F46" w14:textId="77777777" w:rsidTr="00A44814">
        <w:trPr>
          <w:trHeight w:val="600"/>
        </w:trPr>
        <w:tc>
          <w:tcPr>
            <w:tcW w:w="511" w:type="dxa"/>
          </w:tcPr>
          <w:p w14:paraId="0BABC4C0"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57A7A030"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.中華民國刑法施行法增訂第八條之三條文草案</w:t>
            </w:r>
          </w:p>
        </w:tc>
        <w:tc>
          <w:tcPr>
            <w:tcW w:w="1545" w:type="dxa"/>
          </w:tcPr>
          <w:p w14:paraId="54B9323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委員黃捷</w:t>
            </w:r>
          </w:p>
          <w:p w14:paraId="5FC9687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4CB86A7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114.08.29</w:t>
            </w:r>
          </w:p>
          <w:p w14:paraId="59D8AED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（11-3-27）</w:t>
            </w:r>
          </w:p>
        </w:tc>
        <w:tc>
          <w:tcPr>
            <w:tcW w:w="1536" w:type="dxa"/>
            <w:vMerge/>
          </w:tcPr>
          <w:p w14:paraId="68B871F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6F9780A"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B7EC08C"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8AD7514"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D45219F" w14:textId="77777777" w:rsidTr="00A44814">
        <w:trPr>
          <w:trHeight w:val="600"/>
        </w:trPr>
        <w:tc>
          <w:tcPr>
            <w:tcW w:w="511" w:type="dxa"/>
          </w:tcPr>
          <w:p w14:paraId="2560E68F"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1179C59B"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w:t>
            </w:r>
            <w:r w:rsidRPr="001B6E4D">
              <w:rPr>
                <w:rFonts w:ascii="標楷體" w:eastAsia="標楷體" w:hAnsi="標楷體"/>
                <w:color w:val="000000"/>
                <w:kern w:val="0"/>
                <w:szCs w:val="22"/>
              </w:rPr>
              <w:t>.中華民國刑法施行法第八條之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w:t>
            </w:r>
            <w:r w:rsidRPr="001B6E4D">
              <w:rPr>
                <w:rFonts w:ascii="標楷體" w:eastAsia="標楷體" w:hAnsi="標楷體"/>
                <w:color w:val="000000"/>
                <w:kern w:val="0"/>
                <w:szCs w:val="22"/>
              </w:rPr>
              <w:lastRenderedPageBreak/>
              <w:t>文修正草案</w:t>
            </w:r>
          </w:p>
        </w:tc>
        <w:tc>
          <w:tcPr>
            <w:tcW w:w="1545" w:type="dxa"/>
          </w:tcPr>
          <w:p w14:paraId="079E93F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委員林楚</w:t>
            </w:r>
            <w:proofErr w:type="gramStart"/>
            <w:r w:rsidRPr="001B6E4D">
              <w:rPr>
                <w:rFonts w:ascii="標楷體" w:eastAsia="標楷體" w:hAnsi="標楷體"/>
                <w:color w:val="000000"/>
                <w:kern w:val="0"/>
                <w:szCs w:val="22"/>
              </w:rPr>
              <w:t>茵</w:t>
            </w:r>
            <w:proofErr w:type="gramEnd"/>
          </w:p>
          <w:p w14:paraId="69A0321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41AE8CC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114.09.30</w:t>
            </w:r>
          </w:p>
          <w:p w14:paraId="605A66E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（11-4-2）</w:t>
            </w:r>
          </w:p>
        </w:tc>
        <w:tc>
          <w:tcPr>
            <w:tcW w:w="1536" w:type="dxa"/>
            <w:vMerge/>
          </w:tcPr>
          <w:p w14:paraId="072AC53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EDCE79D"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BAE2596"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2E4C421"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34B90B98" w14:textId="77777777" w:rsidTr="00A44814">
        <w:trPr>
          <w:trHeight w:val="600"/>
        </w:trPr>
        <w:tc>
          <w:tcPr>
            <w:tcW w:w="511" w:type="dxa"/>
          </w:tcPr>
          <w:p w14:paraId="70279F82"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3B1F3AC2"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.中華民國刑法施行法第八條之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條文修正草案</w:t>
            </w:r>
          </w:p>
        </w:tc>
        <w:tc>
          <w:tcPr>
            <w:tcW w:w="1545" w:type="dxa"/>
          </w:tcPr>
          <w:p w14:paraId="381DFA1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委員吳沛憶</w:t>
            </w:r>
          </w:p>
          <w:p w14:paraId="7111425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3E2ADD9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114.10.14</w:t>
            </w:r>
          </w:p>
          <w:p w14:paraId="0D83EFE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（11-4-4）</w:t>
            </w:r>
          </w:p>
        </w:tc>
        <w:tc>
          <w:tcPr>
            <w:tcW w:w="1536" w:type="dxa"/>
            <w:vMerge/>
          </w:tcPr>
          <w:p w14:paraId="19974909"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BD9A91F"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839F5B5"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2940CB9"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EC9D709" w14:textId="77777777" w:rsidTr="00A44814">
        <w:trPr>
          <w:trHeight w:val="600"/>
        </w:trPr>
        <w:tc>
          <w:tcPr>
            <w:tcW w:w="511" w:type="dxa"/>
          </w:tcPr>
          <w:p w14:paraId="39FE9FC2"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843B1A3"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.中華民國刑法施行法增訂第八條之三條文草案</w:t>
            </w:r>
          </w:p>
        </w:tc>
        <w:tc>
          <w:tcPr>
            <w:tcW w:w="1545" w:type="dxa"/>
          </w:tcPr>
          <w:p w14:paraId="5802A41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委員林月琴</w:t>
            </w:r>
          </w:p>
          <w:p w14:paraId="785DD32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427A865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114.10.17</w:t>
            </w:r>
          </w:p>
          <w:p w14:paraId="7180852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（11-4-5）</w:t>
            </w:r>
          </w:p>
        </w:tc>
        <w:tc>
          <w:tcPr>
            <w:tcW w:w="1536" w:type="dxa"/>
            <w:vMerge/>
          </w:tcPr>
          <w:p w14:paraId="6A81294B"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81A1376"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B698151"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992C62F"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166D45A0" w14:textId="77777777" w:rsidTr="00A44814">
        <w:trPr>
          <w:trHeight w:val="600"/>
        </w:trPr>
        <w:tc>
          <w:tcPr>
            <w:tcW w:w="511" w:type="dxa"/>
          </w:tcPr>
          <w:p w14:paraId="304B4591"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52B8A896"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6</w:t>
            </w:r>
            <w:r w:rsidRPr="001B6E4D">
              <w:rPr>
                <w:rFonts w:ascii="標楷體" w:eastAsia="標楷體" w:hAnsi="標楷體"/>
                <w:color w:val="000000"/>
                <w:kern w:val="0"/>
                <w:szCs w:val="22"/>
              </w:rPr>
              <w:t>.中華民國刑法施行法增訂第八條之三條文草案</w:t>
            </w:r>
          </w:p>
        </w:tc>
        <w:tc>
          <w:tcPr>
            <w:tcW w:w="1545" w:type="dxa"/>
          </w:tcPr>
          <w:p w14:paraId="1128655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委員蔡其昌</w:t>
            </w:r>
          </w:p>
          <w:p w14:paraId="55C3EB0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581C6F7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55EE099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27F2D760"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A3D3878"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9AC2F16"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D970A27"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2CD7E686" w14:textId="77777777" w:rsidTr="00A44814">
        <w:trPr>
          <w:trHeight w:val="600"/>
        </w:trPr>
        <w:tc>
          <w:tcPr>
            <w:tcW w:w="511" w:type="dxa"/>
          </w:tcPr>
          <w:p w14:paraId="7914BB3A"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B5F9170"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7</w:t>
            </w:r>
            <w:r w:rsidRPr="001B6E4D">
              <w:rPr>
                <w:rFonts w:ascii="標楷體" w:eastAsia="標楷體" w:hAnsi="標楷體"/>
                <w:color w:val="000000"/>
                <w:kern w:val="0"/>
                <w:szCs w:val="22"/>
              </w:rPr>
              <w:t>.中華民國刑法施行法增訂第八條之三條文草案</w:t>
            </w:r>
          </w:p>
        </w:tc>
        <w:tc>
          <w:tcPr>
            <w:tcW w:w="1545" w:type="dxa"/>
          </w:tcPr>
          <w:p w14:paraId="0C5B48C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委員王美惠</w:t>
            </w:r>
          </w:p>
          <w:p w14:paraId="25040B5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27346EB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21880EF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7BB3D5B3"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D1A3368"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132EE87"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9F59168"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313E20F" w14:textId="77777777" w:rsidTr="00A44814">
        <w:trPr>
          <w:trHeight w:val="600"/>
        </w:trPr>
        <w:tc>
          <w:tcPr>
            <w:tcW w:w="511" w:type="dxa"/>
          </w:tcPr>
          <w:p w14:paraId="71B36ECE"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0BAEC3A9"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8</w:t>
            </w:r>
            <w:r w:rsidRPr="001B6E4D">
              <w:rPr>
                <w:rFonts w:ascii="標楷體" w:eastAsia="標楷體" w:hAnsi="標楷體"/>
                <w:color w:val="000000"/>
                <w:kern w:val="0"/>
                <w:szCs w:val="22"/>
              </w:rPr>
              <w:t>.中華民國刑法施行法第八條之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條文修正草案</w:t>
            </w:r>
          </w:p>
        </w:tc>
        <w:tc>
          <w:tcPr>
            <w:tcW w:w="1545" w:type="dxa"/>
          </w:tcPr>
          <w:p w14:paraId="4A94D06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委員陳素月</w:t>
            </w:r>
          </w:p>
          <w:p w14:paraId="4A0B1CF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2762EFA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1990647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（11-4-7）</w:t>
            </w:r>
          </w:p>
        </w:tc>
        <w:tc>
          <w:tcPr>
            <w:tcW w:w="1536" w:type="dxa"/>
            <w:vMerge/>
          </w:tcPr>
          <w:p w14:paraId="536ABC56"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0C8154B"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6E5C738"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8189B8A"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03CF6C40" w14:textId="77777777" w:rsidTr="00A44814">
        <w:trPr>
          <w:trHeight w:val="600"/>
        </w:trPr>
        <w:tc>
          <w:tcPr>
            <w:tcW w:w="511" w:type="dxa"/>
          </w:tcPr>
          <w:p w14:paraId="5CD44CFD"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579A6358"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9</w:t>
            </w:r>
            <w:r w:rsidRPr="001B6E4D">
              <w:rPr>
                <w:rFonts w:ascii="標楷體" w:eastAsia="標楷體" w:hAnsi="標楷體"/>
                <w:color w:val="000000"/>
                <w:kern w:val="0"/>
                <w:szCs w:val="22"/>
              </w:rPr>
              <w:t>.中華民國刑法施行法第八條之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條文修正草案</w:t>
            </w:r>
          </w:p>
        </w:tc>
        <w:tc>
          <w:tcPr>
            <w:tcW w:w="1545" w:type="dxa"/>
          </w:tcPr>
          <w:p w14:paraId="58E2143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委員林倩綺</w:t>
            </w:r>
          </w:p>
          <w:p w14:paraId="742E555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308E241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114.11.28</w:t>
            </w:r>
          </w:p>
          <w:p w14:paraId="580B1C2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w:t>
            </w:r>
          </w:p>
        </w:tc>
        <w:tc>
          <w:tcPr>
            <w:tcW w:w="1536" w:type="dxa"/>
            <w:vMerge/>
          </w:tcPr>
          <w:p w14:paraId="3D442544"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A566968"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016B477"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2161278"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DE469B9" w14:textId="77777777" w:rsidTr="00A44814">
        <w:trPr>
          <w:trHeight w:val="600"/>
        </w:trPr>
        <w:tc>
          <w:tcPr>
            <w:tcW w:w="511" w:type="dxa"/>
          </w:tcPr>
          <w:p w14:paraId="477880E2"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4F52954"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10</w:t>
            </w:r>
            <w:r w:rsidRPr="001B6E4D">
              <w:rPr>
                <w:rFonts w:ascii="標楷體" w:eastAsia="標楷體" w:hAnsi="標楷體"/>
                <w:color w:val="000000"/>
                <w:kern w:val="0"/>
                <w:szCs w:val="22"/>
              </w:rPr>
              <w:t>.中華民國刑法施行法增訂第八條之三條文草案</w:t>
            </w:r>
          </w:p>
        </w:tc>
        <w:tc>
          <w:tcPr>
            <w:tcW w:w="1545" w:type="dxa"/>
          </w:tcPr>
          <w:p w14:paraId="7C3F637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委員吳思瑤</w:t>
            </w:r>
          </w:p>
          <w:p w14:paraId="26D6BD7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173063B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114.12.05</w:t>
            </w:r>
          </w:p>
          <w:p w14:paraId="366E2E4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w:t>
            </w:r>
          </w:p>
        </w:tc>
        <w:tc>
          <w:tcPr>
            <w:tcW w:w="1536" w:type="dxa"/>
            <w:vMerge/>
          </w:tcPr>
          <w:p w14:paraId="3BF17E75"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A8D183C"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1E78572"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9F7437A"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1922E1EC" w14:textId="77777777" w:rsidTr="00A44814">
        <w:trPr>
          <w:trHeight w:val="600"/>
        </w:trPr>
        <w:tc>
          <w:tcPr>
            <w:tcW w:w="511" w:type="dxa"/>
          </w:tcPr>
          <w:p w14:paraId="1EB8C636"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3198BD97"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.中華民國刑法</w:t>
            </w:r>
            <w:r w:rsidRPr="001B6E4D">
              <w:rPr>
                <w:rFonts w:ascii="標楷體" w:eastAsia="標楷體" w:hAnsi="標楷體"/>
                <w:color w:val="000000"/>
                <w:kern w:val="0"/>
                <w:szCs w:val="22"/>
              </w:rPr>
              <w:lastRenderedPageBreak/>
              <w:t>施行法增訂第八條之三條文草案</w:t>
            </w:r>
          </w:p>
        </w:tc>
        <w:tc>
          <w:tcPr>
            <w:tcW w:w="1545" w:type="dxa"/>
          </w:tcPr>
          <w:p w14:paraId="4BAE17A1"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委員羅智強</w:t>
            </w:r>
          </w:p>
          <w:p w14:paraId="70CD6A2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136E653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115.01.09</w:t>
            </w:r>
          </w:p>
          <w:p w14:paraId="0D2E8D6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4DF49E9C"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C75A4DB"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8424BC4"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2614863"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4364643" w14:textId="77777777" w:rsidTr="00A44814">
        <w:trPr>
          <w:trHeight w:val="600"/>
        </w:trPr>
        <w:tc>
          <w:tcPr>
            <w:tcW w:w="511" w:type="dxa"/>
          </w:tcPr>
          <w:p w14:paraId="6A41DA32"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B5CAA98"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.中華民國刑法施行法第八條之二條文修正草案</w:t>
            </w:r>
          </w:p>
        </w:tc>
        <w:tc>
          <w:tcPr>
            <w:tcW w:w="1545" w:type="dxa"/>
          </w:tcPr>
          <w:p w14:paraId="2D0981C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委員李坤城</w:t>
            </w:r>
          </w:p>
          <w:p w14:paraId="60C4932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704EDDB1"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115.03.06</w:t>
            </w:r>
          </w:p>
          <w:p w14:paraId="1C9BBFE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（11-5-2）</w:t>
            </w:r>
          </w:p>
        </w:tc>
        <w:tc>
          <w:tcPr>
            <w:tcW w:w="1536" w:type="dxa"/>
            <w:vMerge/>
          </w:tcPr>
          <w:p w14:paraId="1E1E7483"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1688CC6"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2ED50D5"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542F178"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E539D1C" w14:textId="77777777" w:rsidTr="00A44814">
        <w:trPr>
          <w:trHeight w:val="600"/>
        </w:trPr>
        <w:tc>
          <w:tcPr>
            <w:tcW w:w="511" w:type="dxa"/>
          </w:tcPr>
          <w:p w14:paraId="71323E9F"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F994223"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3</w:t>
            </w:r>
            <w:r w:rsidRPr="001B6E4D">
              <w:rPr>
                <w:rFonts w:ascii="標楷體" w:eastAsia="標楷體" w:hAnsi="標楷體"/>
                <w:color w:val="000000"/>
                <w:kern w:val="0"/>
                <w:szCs w:val="22"/>
              </w:rPr>
              <w:t>.中華民國刑法施行法第八條之二條文修正草案</w:t>
            </w:r>
          </w:p>
        </w:tc>
        <w:tc>
          <w:tcPr>
            <w:tcW w:w="1545" w:type="dxa"/>
          </w:tcPr>
          <w:p w14:paraId="258B139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委員翁曉玲</w:t>
            </w:r>
          </w:p>
          <w:p w14:paraId="637BE17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等27人</w:t>
            </w:r>
          </w:p>
          <w:p w14:paraId="2284BED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5999EB3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00E15DCC"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0D81327"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C63BA46"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8EE0570"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13309BC3" w14:textId="77777777" w:rsidTr="00A44814">
        <w:trPr>
          <w:trHeight w:val="600"/>
        </w:trPr>
        <w:tc>
          <w:tcPr>
            <w:tcW w:w="511" w:type="dxa"/>
          </w:tcPr>
          <w:p w14:paraId="48BF2C17"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690B3DED"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.中華民國刑法施行法第八條之二條文修正草案</w:t>
            </w:r>
          </w:p>
        </w:tc>
        <w:tc>
          <w:tcPr>
            <w:tcW w:w="1545" w:type="dxa"/>
          </w:tcPr>
          <w:p w14:paraId="6F53A98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委員王鴻薇</w:t>
            </w:r>
          </w:p>
          <w:p w14:paraId="779C7B1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492BC8C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2FC31C0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6B1794FB"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2BB49DD"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60D4D51"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75C18D0"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28EA0918" w14:textId="77777777" w:rsidTr="00A44814">
        <w:trPr>
          <w:trHeight w:val="600"/>
        </w:trPr>
        <w:tc>
          <w:tcPr>
            <w:tcW w:w="511" w:type="dxa"/>
          </w:tcPr>
          <w:p w14:paraId="4AD44428"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4C4794D6"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.中華民國刑法施行法第八條之二條文修正草案</w:t>
            </w:r>
          </w:p>
        </w:tc>
        <w:tc>
          <w:tcPr>
            <w:tcW w:w="1545" w:type="dxa"/>
          </w:tcPr>
          <w:p w14:paraId="7125BB91"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委員王正旭</w:t>
            </w:r>
          </w:p>
          <w:p w14:paraId="4F99A41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54399884"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409CF1B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5FF10929"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CF95F62"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5CD053F"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54F2923"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0C367903" w14:textId="77777777" w:rsidTr="00A44814">
        <w:trPr>
          <w:trHeight w:val="600"/>
        </w:trPr>
        <w:tc>
          <w:tcPr>
            <w:tcW w:w="511" w:type="dxa"/>
          </w:tcPr>
          <w:p w14:paraId="356BAE58"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F0C2A86"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6</w:t>
            </w:r>
            <w:r w:rsidRPr="001B6E4D">
              <w:rPr>
                <w:rFonts w:ascii="標楷體" w:eastAsia="標楷體" w:hAnsi="標楷體"/>
                <w:color w:val="000000"/>
                <w:kern w:val="0"/>
                <w:szCs w:val="22"/>
              </w:rPr>
              <w:t>.中華民國刑法施行法第八條之二條文修正草案</w:t>
            </w:r>
          </w:p>
        </w:tc>
        <w:tc>
          <w:tcPr>
            <w:tcW w:w="1545" w:type="dxa"/>
          </w:tcPr>
          <w:p w14:paraId="10C85E9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委員林俊憲</w:t>
            </w:r>
          </w:p>
          <w:p w14:paraId="71E2009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063DF8C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127E96D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1D6D325D"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131CA1E"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E239A71"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6E8CE12"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05B75FED" w14:textId="77777777" w:rsidTr="00A44814">
        <w:trPr>
          <w:trHeight w:val="600"/>
        </w:trPr>
        <w:tc>
          <w:tcPr>
            <w:tcW w:w="511" w:type="dxa"/>
          </w:tcPr>
          <w:p w14:paraId="20CD0DDB"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5995303"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7</w:t>
            </w:r>
            <w:r w:rsidRPr="001B6E4D">
              <w:rPr>
                <w:rFonts w:ascii="標楷體" w:eastAsia="標楷體" w:hAnsi="標楷體"/>
                <w:color w:val="000000"/>
                <w:kern w:val="0"/>
                <w:szCs w:val="22"/>
              </w:rPr>
              <w:t>.中華民國刑法施行法第八條之二條文修正草案</w:t>
            </w:r>
          </w:p>
        </w:tc>
        <w:tc>
          <w:tcPr>
            <w:tcW w:w="1545" w:type="dxa"/>
          </w:tcPr>
          <w:p w14:paraId="16128CB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委員王美惠</w:t>
            </w:r>
          </w:p>
          <w:p w14:paraId="60ADB87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038AF24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047DF62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6F58CD8B"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CD2411C"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918B380"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3AB17A7"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771EF8D" w14:textId="77777777" w:rsidTr="00A44814">
        <w:trPr>
          <w:trHeight w:val="600"/>
        </w:trPr>
        <w:tc>
          <w:tcPr>
            <w:tcW w:w="511" w:type="dxa"/>
          </w:tcPr>
          <w:p w14:paraId="66E7BD1E"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634F26AD"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8</w:t>
            </w:r>
            <w:r w:rsidRPr="001B6E4D">
              <w:rPr>
                <w:rFonts w:ascii="標楷體" w:eastAsia="標楷體" w:hAnsi="標楷體"/>
                <w:color w:val="000000"/>
                <w:kern w:val="0"/>
                <w:szCs w:val="22"/>
              </w:rPr>
              <w:t>.中華民國刑法施行法第八條之二條文修正草案</w:t>
            </w:r>
          </w:p>
        </w:tc>
        <w:tc>
          <w:tcPr>
            <w:tcW w:w="1545" w:type="dxa"/>
          </w:tcPr>
          <w:p w14:paraId="6E8BA19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委員何欣純</w:t>
            </w:r>
          </w:p>
          <w:p w14:paraId="7DC25F5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24D1606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0F6C45B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tcPr>
          <w:p w14:paraId="47BBE981"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EF9DA26"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232A6F1"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C3B3BCD"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9796BB8" w14:textId="77777777" w:rsidTr="00A44814">
        <w:trPr>
          <w:trHeight w:val="600"/>
        </w:trPr>
        <w:tc>
          <w:tcPr>
            <w:tcW w:w="511" w:type="dxa"/>
          </w:tcPr>
          <w:p w14:paraId="48FFEA62"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1CCF9C9A"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9</w:t>
            </w:r>
            <w:r w:rsidRPr="001B6E4D">
              <w:rPr>
                <w:rFonts w:ascii="標楷體" w:eastAsia="標楷體" w:hAnsi="標楷體"/>
                <w:color w:val="000000"/>
                <w:kern w:val="0"/>
                <w:szCs w:val="22"/>
              </w:rPr>
              <w:t>.中華民國刑法施行法第八條之二條文修正草案</w:t>
            </w:r>
          </w:p>
        </w:tc>
        <w:tc>
          <w:tcPr>
            <w:tcW w:w="1545" w:type="dxa"/>
          </w:tcPr>
          <w:p w14:paraId="63B7821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委員羅美玲</w:t>
            </w:r>
          </w:p>
          <w:p w14:paraId="12072E9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3891FB3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115.05.22</w:t>
            </w:r>
          </w:p>
          <w:p w14:paraId="5360447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（11-5-11）</w:t>
            </w:r>
          </w:p>
        </w:tc>
        <w:tc>
          <w:tcPr>
            <w:tcW w:w="1536" w:type="dxa"/>
            <w:vMerge/>
          </w:tcPr>
          <w:p w14:paraId="2F2EE232"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4A859A7"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9842C11"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E9B5E32"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3F15604C" w14:textId="77777777" w:rsidTr="00A44814">
        <w:trPr>
          <w:trHeight w:val="600"/>
        </w:trPr>
        <w:tc>
          <w:tcPr>
            <w:tcW w:w="511" w:type="dxa"/>
          </w:tcPr>
          <w:p w14:paraId="52265D97"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4E14B57"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20</w:t>
            </w:r>
            <w:r w:rsidRPr="001B6E4D">
              <w:rPr>
                <w:rFonts w:ascii="標楷體" w:eastAsia="標楷體" w:hAnsi="標楷體"/>
                <w:color w:val="000000"/>
                <w:kern w:val="0"/>
                <w:szCs w:val="22"/>
              </w:rPr>
              <w:t>.中華民國刑法施行法第八條之二條文修正草案</w:t>
            </w:r>
          </w:p>
        </w:tc>
        <w:tc>
          <w:tcPr>
            <w:tcW w:w="1545" w:type="dxa"/>
          </w:tcPr>
          <w:p w14:paraId="72140824"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委員陳培瑜</w:t>
            </w:r>
          </w:p>
          <w:p w14:paraId="05894E7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7F9492D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115.05.22</w:t>
            </w:r>
          </w:p>
          <w:p w14:paraId="01D1E08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（11-5-11）</w:t>
            </w:r>
          </w:p>
        </w:tc>
        <w:tc>
          <w:tcPr>
            <w:tcW w:w="1536" w:type="dxa"/>
            <w:vMerge/>
          </w:tcPr>
          <w:p w14:paraId="6B9F6B4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DE3E454"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ABB5165"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F2E523A"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10D6AFC2" w14:textId="77777777" w:rsidTr="00A44814">
        <w:trPr>
          <w:trHeight w:val="600"/>
        </w:trPr>
        <w:tc>
          <w:tcPr>
            <w:tcW w:w="511" w:type="dxa"/>
          </w:tcPr>
          <w:p w14:paraId="321C2CA9"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DEA1C31"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9488AF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委員吳宗憲</w:t>
            </w:r>
          </w:p>
          <w:p w14:paraId="0F08400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4A8C667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0744BA7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val="restart"/>
          </w:tcPr>
          <w:p w14:paraId="72B2B7D4"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1.本會</w:t>
            </w:r>
          </w:p>
          <w:p w14:paraId="4D43343B"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115.4.1</w:t>
            </w:r>
          </w:p>
          <w:p w14:paraId="26378AC9"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(11-5-5)審查完竣，須交由黨團協商。</w:t>
            </w:r>
          </w:p>
          <w:p w14:paraId="3BD40235"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2.115.6.2黨團協商。</w:t>
            </w:r>
          </w:p>
          <w:p w14:paraId="4F658624"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3.115.7.9黨團協商。</w:t>
            </w:r>
          </w:p>
        </w:tc>
        <w:tc>
          <w:tcPr>
            <w:tcW w:w="1387" w:type="dxa"/>
            <w:vMerge w:val="restart"/>
          </w:tcPr>
          <w:p w14:paraId="04D7F995"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6C8E8F2F"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7.28</w:t>
            </w:r>
          </w:p>
          <w:p w14:paraId="3417F7E9"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19</w:t>
            </w:r>
            <w:r w:rsidRPr="001B6E4D">
              <w:rPr>
                <w:rFonts w:ascii="標楷體" w:eastAsia="標楷體" w:hAnsi="標楷體"/>
                <w:spacing w:val="-20"/>
                <w:kern w:val="0"/>
                <w:szCs w:val="22"/>
              </w:rPr>
              <w:t>)</w:t>
            </w:r>
          </w:p>
          <w:p w14:paraId="168E669C"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spacing w:val="-20"/>
                <w:kern w:val="0"/>
                <w:szCs w:val="22"/>
              </w:rPr>
              <w:t>三讀修正第一千二百二十三條條文。</w:t>
            </w:r>
          </w:p>
        </w:tc>
        <w:tc>
          <w:tcPr>
            <w:tcW w:w="1683" w:type="dxa"/>
            <w:vMerge w:val="restart"/>
          </w:tcPr>
          <w:p w14:paraId="700334A7" w14:textId="77777777" w:rsidR="00FB3E5C" w:rsidRPr="001B6E4D" w:rsidRDefault="00FB3E5C" w:rsidP="003D1018">
            <w:pPr>
              <w:widowControl w:val="0"/>
              <w:kinsoku w:val="0"/>
              <w:overflowPunct w:val="0"/>
              <w:spacing w:line="300" w:lineRule="exact"/>
              <w:rPr>
                <w:rFonts w:ascii="標楷體" w:eastAsia="標楷體" w:hAnsi="標楷體"/>
                <w:color w:val="000000"/>
                <w:spacing w:val="-24"/>
                <w:szCs w:val="22"/>
              </w:rPr>
            </w:pPr>
            <w:r w:rsidRPr="001B6E4D">
              <w:rPr>
                <w:rFonts w:ascii="標楷體" w:eastAsia="標楷體" w:hAnsi="標楷體" w:hint="eastAsia"/>
                <w:color w:val="000000"/>
                <w:spacing w:val="-24"/>
                <w:szCs w:val="22"/>
              </w:rPr>
              <w:t>115年8月7日台立院議字第1150702964號</w:t>
            </w:r>
          </w:p>
          <w:p w14:paraId="4607DD88" w14:textId="77777777" w:rsidR="00FB3E5C" w:rsidRPr="001B6E4D" w:rsidRDefault="00FB3E5C" w:rsidP="003D1018">
            <w:pPr>
              <w:widowControl w:val="0"/>
              <w:kinsoku w:val="0"/>
              <w:overflowPunct w:val="0"/>
              <w:spacing w:line="300" w:lineRule="exact"/>
              <w:rPr>
                <w:rFonts w:ascii="標楷體" w:eastAsia="標楷體" w:hAnsi="標楷體"/>
                <w:color w:val="000000"/>
                <w:spacing w:val="-24"/>
                <w:szCs w:val="22"/>
              </w:rPr>
            </w:pPr>
          </w:p>
          <w:p w14:paraId="36CA95C8" w14:textId="77777777" w:rsidR="00FB3E5C" w:rsidRPr="001B6E4D" w:rsidRDefault="00FB3E5C" w:rsidP="003D1018">
            <w:pPr>
              <w:widowControl w:val="0"/>
              <w:kinsoku w:val="0"/>
              <w:overflowPunct w:val="0"/>
              <w:spacing w:line="300" w:lineRule="exact"/>
              <w:rPr>
                <w:rFonts w:ascii="標楷體" w:eastAsia="標楷體" w:hAnsi="標楷體"/>
                <w:color w:val="000000"/>
                <w:spacing w:val="-24"/>
                <w:szCs w:val="22"/>
              </w:rPr>
            </w:pPr>
            <w:r w:rsidRPr="001B6E4D">
              <w:rPr>
                <w:rFonts w:ascii="標楷體" w:eastAsia="標楷體" w:hAnsi="標楷體" w:hint="eastAsia"/>
                <w:color w:val="000000"/>
                <w:spacing w:val="-24"/>
                <w:szCs w:val="22"/>
              </w:rPr>
              <w:t>115年8月17日華總</w:t>
            </w:r>
            <w:proofErr w:type="gramStart"/>
            <w:r w:rsidRPr="001B6E4D">
              <w:rPr>
                <w:rFonts w:ascii="標楷體" w:eastAsia="標楷體" w:hAnsi="標楷體" w:hint="eastAsia"/>
                <w:color w:val="000000"/>
                <w:spacing w:val="-24"/>
                <w:szCs w:val="22"/>
              </w:rPr>
              <w:t>一義字第11500076161號</w:t>
            </w:r>
            <w:proofErr w:type="gramEnd"/>
          </w:p>
        </w:tc>
        <w:tc>
          <w:tcPr>
            <w:tcW w:w="1105" w:type="dxa"/>
            <w:vMerge w:val="restart"/>
          </w:tcPr>
          <w:p w14:paraId="14E0D84D"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第7876號</w:t>
            </w:r>
          </w:p>
        </w:tc>
      </w:tr>
      <w:tr w:rsidR="00FB3E5C" w:rsidRPr="001B6E4D" w14:paraId="6D9EC7AB" w14:textId="77777777" w:rsidTr="00A44814">
        <w:trPr>
          <w:trHeight w:val="600"/>
        </w:trPr>
        <w:tc>
          <w:tcPr>
            <w:tcW w:w="511" w:type="dxa"/>
          </w:tcPr>
          <w:p w14:paraId="17215848"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5447B79"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F41CF6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委員林倩綺</w:t>
            </w:r>
          </w:p>
          <w:p w14:paraId="7ABFC68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2A30879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22CE24E4"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5969F66C"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11F84E5"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13A221A"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E3B2246"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619962F2" w14:textId="77777777" w:rsidTr="00A44814">
        <w:trPr>
          <w:trHeight w:val="600"/>
        </w:trPr>
        <w:tc>
          <w:tcPr>
            <w:tcW w:w="511" w:type="dxa"/>
          </w:tcPr>
          <w:p w14:paraId="7F5EEF37"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80C1A2C"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3.民法第一千二百二十三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0354FA4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6E13409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73A22B9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2F70048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776A3E1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1DD58D7"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3A6116F"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4F7CDA7"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17FA86E" w14:textId="77777777" w:rsidTr="00A44814">
        <w:trPr>
          <w:trHeight w:val="600"/>
        </w:trPr>
        <w:tc>
          <w:tcPr>
            <w:tcW w:w="511" w:type="dxa"/>
          </w:tcPr>
          <w:p w14:paraId="5475D1AD"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46F9CC0A"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4.民法第一千二百二十三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78156E9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委員林沛祥</w:t>
            </w:r>
          </w:p>
          <w:p w14:paraId="6940008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761101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41B2FC0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（11-4-7）</w:t>
            </w:r>
          </w:p>
        </w:tc>
        <w:tc>
          <w:tcPr>
            <w:tcW w:w="1536" w:type="dxa"/>
            <w:vMerge/>
          </w:tcPr>
          <w:p w14:paraId="0A7C5352"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E952709"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B077198"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79D8839"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99CB7E7" w14:textId="77777777" w:rsidTr="00A44814">
        <w:trPr>
          <w:trHeight w:val="600"/>
        </w:trPr>
        <w:tc>
          <w:tcPr>
            <w:tcW w:w="511" w:type="dxa"/>
          </w:tcPr>
          <w:p w14:paraId="596D66DD"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5510237F"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5.民法第一千二百二十三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72E989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委員柯志恩</w:t>
            </w:r>
          </w:p>
          <w:p w14:paraId="01A1212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1D8129B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7F29F77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（11-4-7）</w:t>
            </w:r>
          </w:p>
        </w:tc>
        <w:tc>
          <w:tcPr>
            <w:tcW w:w="1536" w:type="dxa"/>
            <w:vMerge/>
          </w:tcPr>
          <w:p w14:paraId="08079F76"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77D1A1B"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55F460B"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30ECB5F"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24C24E79" w14:textId="77777777" w:rsidTr="00A44814">
        <w:trPr>
          <w:trHeight w:val="600"/>
        </w:trPr>
        <w:tc>
          <w:tcPr>
            <w:tcW w:w="511" w:type="dxa"/>
          </w:tcPr>
          <w:p w14:paraId="6C480231"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188F382"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6.民法第一千二百二十三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DF296A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委員楊瓊瓔</w:t>
            </w:r>
          </w:p>
          <w:p w14:paraId="7E8B132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等28人</w:t>
            </w:r>
          </w:p>
          <w:p w14:paraId="386ADB1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7664016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（11-4-7）</w:t>
            </w:r>
          </w:p>
        </w:tc>
        <w:tc>
          <w:tcPr>
            <w:tcW w:w="1536" w:type="dxa"/>
            <w:vMerge/>
          </w:tcPr>
          <w:p w14:paraId="7596DCE0"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7A4855F"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D9D5B10"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8BB4E93"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2E3D5909" w14:textId="77777777" w:rsidTr="00A44814">
        <w:trPr>
          <w:trHeight w:val="600"/>
        </w:trPr>
        <w:tc>
          <w:tcPr>
            <w:tcW w:w="511" w:type="dxa"/>
          </w:tcPr>
          <w:p w14:paraId="4D492F1B"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0BA0ECAA"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7.民法第一千二百二十三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w:t>
            </w:r>
            <w:r w:rsidRPr="001B6E4D">
              <w:rPr>
                <w:rFonts w:ascii="標楷體" w:eastAsia="標楷體" w:hAnsi="標楷體"/>
                <w:color w:val="000000"/>
                <w:kern w:val="0"/>
                <w:szCs w:val="22"/>
              </w:rPr>
              <w:lastRenderedPageBreak/>
              <w:t>草案</w:t>
            </w:r>
          </w:p>
        </w:tc>
        <w:tc>
          <w:tcPr>
            <w:tcW w:w="1545" w:type="dxa"/>
          </w:tcPr>
          <w:p w14:paraId="37A3DEA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委員王鴻薇</w:t>
            </w:r>
          </w:p>
          <w:p w14:paraId="24A226B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7BB3A66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114.11.07</w:t>
            </w:r>
          </w:p>
          <w:p w14:paraId="36037D2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（11-4-8）</w:t>
            </w:r>
          </w:p>
        </w:tc>
        <w:tc>
          <w:tcPr>
            <w:tcW w:w="1536" w:type="dxa"/>
            <w:vMerge/>
          </w:tcPr>
          <w:p w14:paraId="3EE63DBB"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1DAF79E"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85A2337"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505E55F"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81F95B7" w14:textId="77777777" w:rsidTr="00A44814">
        <w:trPr>
          <w:trHeight w:val="600"/>
        </w:trPr>
        <w:tc>
          <w:tcPr>
            <w:tcW w:w="511" w:type="dxa"/>
          </w:tcPr>
          <w:p w14:paraId="028D7ADA"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08AEA2BD"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8.民法第一千二百二十三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EA5E03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委員翁曉玲</w:t>
            </w:r>
          </w:p>
          <w:p w14:paraId="2C976741"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4760E591"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114.11.07</w:t>
            </w:r>
          </w:p>
          <w:p w14:paraId="6B53CFA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（11-4-8）</w:t>
            </w:r>
          </w:p>
        </w:tc>
        <w:tc>
          <w:tcPr>
            <w:tcW w:w="1536" w:type="dxa"/>
            <w:vMerge/>
          </w:tcPr>
          <w:p w14:paraId="0952A924"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32F91A3"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2F2DF9A"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A78D211"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21D1191" w14:textId="77777777" w:rsidTr="00A44814">
        <w:trPr>
          <w:trHeight w:val="600"/>
        </w:trPr>
        <w:tc>
          <w:tcPr>
            <w:tcW w:w="511" w:type="dxa"/>
          </w:tcPr>
          <w:p w14:paraId="4EBF6885"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0198465"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9.民法第一千二百二十三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0DF8D48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委員徐巧芯</w:t>
            </w:r>
          </w:p>
          <w:p w14:paraId="1DFD537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1A771C8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668F026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175CC1B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C80C3E7"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2E84BC2"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4AF3F53"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356F519C" w14:textId="77777777" w:rsidTr="00A44814">
        <w:trPr>
          <w:trHeight w:val="600"/>
        </w:trPr>
        <w:tc>
          <w:tcPr>
            <w:tcW w:w="511" w:type="dxa"/>
          </w:tcPr>
          <w:p w14:paraId="7037CD47"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7CB0253"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10.民法第一千二百二十三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224E26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委員林德福</w:t>
            </w:r>
          </w:p>
          <w:p w14:paraId="4C0F32E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等31人</w:t>
            </w:r>
          </w:p>
          <w:p w14:paraId="7E1FE64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28D264B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2A6EDDC2"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A3E1910"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B5486DB"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4C645C4"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0D513CC" w14:textId="77777777" w:rsidTr="00A44814">
        <w:trPr>
          <w:trHeight w:val="600"/>
        </w:trPr>
        <w:tc>
          <w:tcPr>
            <w:tcW w:w="511" w:type="dxa"/>
          </w:tcPr>
          <w:p w14:paraId="0A9AAC9C"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6ADC9577"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11.民法第一千二百二十三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B5EEA4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w:t>
            </w:r>
            <w:proofErr w:type="gramStart"/>
            <w:r w:rsidRPr="001B6E4D">
              <w:rPr>
                <w:rFonts w:ascii="標楷體" w:eastAsia="標楷體" w:hAnsi="標楷體"/>
                <w:color w:val="000000"/>
                <w:kern w:val="0"/>
                <w:szCs w:val="22"/>
              </w:rPr>
              <w:t>涂</w:t>
            </w:r>
            <w:proofErr w:type="gramEnd"/>
            <w:r w:rsidRPr="001B6E4D">
              <w:rPr>
                <w:rFonts w:ascii="標楷體" w:eastAsia="標楷體" w:hAnsi="標楷體"/>
                <w:color w:val="000000"/>
                <w:kern w:val="0"/>
                <w:szCs w:val="22"/>
              </w:rPr>
              <w:t>權吉</w:t>
            </w:r>
          </w:p>
          <w:p w14:paraId="734F270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等23人</w:t>
            </w:r>
          </w:p>
          <w:p w14:paraId="3E98DA9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09076CD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7CE62EBE"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59C1E4B"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142F30B"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072D7FF"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132129BB" w14:textId="77777777" w:rsidTr="00A44814">
        <w:trPr>
          <w:trHeight w:val="600"/>
        </w:trPr>
        <w:tc>
          <w:tcPr>
            <w:tcW w:w="511" w:type="dxa"/>
          </w:tcPr>
          <w:p w14:paraId="496561DC"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51680C36"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12.民法第一千二百二十三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FA964E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委員許宇</w:t>
            </w:r>
            <w:proofErr w:type="gramStart"/>
            <w:r w:rsidRPr="001B6E4D">
              <w:rPr>
                <w:rFonts w:ascii="標楷體" w:eastAsia="標楷體" w:hAnsi="標楷體"/>
                <w:color w:val="000000"/>
                <w:kern w:val="0"/>
                <w:szCs w:val="22"/>
              </w:rPr>
              <w:t>甄</w:t>
            </w:r>
            <w:proofErr w:type="gramEnd"/>
          </w:p>
          <w:p w14:paraId="40910AB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17543684"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14BC365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137DF0B7"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1886409"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8729904"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F650FEF"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7701E60" w14:textId="77777777" w:rsidTr="00A44814">
        <w:trPr>
          <w:trHeight w:val="600"/>
        </w:trPr>
        <w:tc>
          <w:tcPr>
            <w:tcW w:w="511" w:type="dxa"/>
          </w:tcPr>
          <w:p w14:paraId="7A4A9F9B"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1BD9F1C0"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13.民法第一千二百二十三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31C10B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委員張智倫</w:t>
            </w:r>
          </w:p>
          <w:p w14:paraId="36BA1EA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1D362B1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4220871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74EC81B5"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038E79A"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219D9B0"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4C0E725"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064CD897" w14:textId="77777777" w:rsidTr="00A44814">
        <w:trPr>
          <w:trHeight w:val="600"/>
        </w:trPr>
        <w:tc>
          <w:tcPr>
            <w:tcW w:w="511" w:type="dxa"/>
          </w:tcPr>
          <w:p w14:paraId="234A41F6"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2D14238"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14.民法第一千二百二十三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0E665F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委員黃健豪</w:t>
            </w:r>
          </w:p>
          <w:p w14:paraId="01E285E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6A36D7B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54FE4C31"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3ABDD3EF"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F785364"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623D574"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7C0B0D7"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3395A59" w14:textId="77777777" w:rsidTr="00A44814">
        <w:trPr>
          <w:trHeight w:val="600"/>
        </w:trPr>
        <w:tc>
          <w:tcPr>
            <w:tcW w:w="511" w:type="dxa"/>
          </w:tcPr>
          <w:p w14:paraId="4D1DB9F9"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08746A3D"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15.民法第一千二百二十三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751C656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委員羅智強</w:t>
            </w:r>
          </w:p>
          <w:p w14:paraId="5D6ADF9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681035C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114.11.21</w:t>
            </w:r>
          </w:p>
          <w:p w14:paraId="50EB637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w:t>
            </w:r>
          </w:p>
        </w:tc>
        <w:tc>
          <w:tcPr>
            <w:tcW w:w="1536" w:type="dxa"/>
            <w:vMerge/>
          </w:tcPr>
          <w:p w14:paraId="71549098"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43BFD6C"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C75E8C9"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270249C"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3B7BE6A" w14:textId="77777777" w:rsidTr="00A44814">
        <w:trPr>
          <w:trHeight w:val="600"/>
        </w:trPr>
        <w:tc>
          <w:tcPr>
            <w:tcW w:w="511" w:type="dxa"/>
          </w:tcPr>
          <w:p w14:paraId="5A4BF4E7"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2EFF2353"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16.民法第一千二百二十三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w:t>
            </w:r>
            <w:r w:rsidRPr="001B6E4D">
              <w:rPr>
                <w:rFonts w:ascii="標楷體" w:eastAsia="標楷體" w:hAnsi="標楷體"/>
                <w:color w:val="000000"/>
                <w:kern w:val="0"/>
                <w:szCs w:val="22"/>
              </w:rPr>
              <w:lastRenderedPageBreak/>
              <w:t>正草案</w:t>
            </w:r>
          </w:p>
        </w:tc>
        <w:tc>
          <w:tcPr>
            <w:tcW w:w="1545" w:type="dxa"/>
          </w:tcPr>
          <w:p w14:paraId="0CFB061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委員</w:t>
            </w:r>
            <w:proofErr w:type="gramStart"/>
            <w:r w:rsidRPr="001B6E4D">
              <w:rPr>
                <w:rFonts w:ascii="標楷體" w:eastAsia="標楷體" w:hAnsi="標楷體"/>
                <w:color w:val="000000"/>
                <w:kern w:val="0"/>
                <w:szCs w:val="22"/>
              </w:rPr>
              <w:t>游顥</w:t>
            </w:r>
            <w:proofErr w:type="gramEnd"/>
          </w:p>
          <w:p w14:paraId="1525592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54D9FAD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114.11.28</w:t>
            </w:r>
          </w:p>
          <w:p w14:paraId="4979FE5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w:t>
            </w:r>
          </w:p>
        </w:tc>
        <w:tc>
          <w:tcPr>
            <w:tcW w:w="1536" w:type="dxa"/>
            <w:vMerge/>
          </w:tcPr>
          <w:p w14:paraId="681F8528"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C442DCB"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E9D8B8D"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CFF9302"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6DCCBC68" w14:textId="77777777" w:rsidTr="00A44814">
        <w:trPr>
          <w:trHeight w:val="600"/>
        </w:trPr>
        <w:tc>
          <w:tcPr>
            <w:tcW w:w="511" w:type="dxa"/>
          </w:tcPr>
          <w:p w14:paraId="6B10F11A"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03FE5162"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17.民法第一千二百二十三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4E84D579"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委員顏寬</w:t>
            </w:r>
            <w:proofErr w:type="gramStart"/>
            <w:r w:rsidRPr="001B6E4D">
              <w:rPr>
                <w:rFonts w:ascii="標楷體" w:eastAsia="標楷體" w:hAnsi="標楷體"/>
                <w:color w:val="000000"/>
                <w:kern w:val="0"/>
                <w:szCs w:val="22"/>
              </w:rPr>
              <w:t>恒</w:t>
            </w:r>
            <w:proofErr w:type="gramEnd"/>
          </w:p>
          <w:p w14:paraId="58FE57A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307478B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7F477A9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7436CD97"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57A18DB"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8188543"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FBD5759"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6C1FC72" w14:textId="77777777" w:rsidTr="00A44814">
        <w:trPr>
          <w:trHeight w:val="600"/>
        </w:trPr>
        <w:tc>
          <w:tcPr>
            <w:tcW w:w="511" w:type="dxa"/>
          </w:tcPr>
          <w:p w14:paraId="6264E222"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53441209"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18.民法第一千二百二十三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7574BB6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委員賴士葆</w:t>
            </w:r>
          </w:p>
          <w:p w14:paraId="1A458FD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79AB307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376E785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240C071D"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C79A505"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1BCA793"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D75AEDC"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DC4335D" w14:textId="77777777" w:rsidTr="00A44814">
        <w:trPr>
          <w:trHeight w:val="600"/>
        </w:trPr>
        <w:tc>
          <w:tcPr>
            <w:tcW w:w="511" w:type="dxa"/>
          </w:tcPr>
          <w:p w14:paraId="1AFE890B"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31DC267E"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19.民法第一千二百二十三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5BD6BC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委員羅明才</w:t>
            </w:r>
          </w:p>
          <w:p w14:paraId="2EDD112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71E8E1A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0E25E2F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5E80FE29"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5A36255"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8001EE3"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7ADB34B"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0089AA91" w14:textId="77777777" w:rsidTr="00A44814">
        <w:trPr>
          <w:trHeight w:val="600"/>
        </w:trPr>
        <w:tc>
          <w:tcPr>
            <w:tcW w:w="511" w:type="dxa"/>
          </w:tcPr>
          <w:p w14:paraId="4AF35F03"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590C2F7"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20.民法第一千二百二十三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4D946581"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委員陳菁徽</w:t>
            </w:r>
          </w:p>
          <w:p w14:paraId="5106F5B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130DE80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178BB10F"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651455BA"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829B322"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2CA1523"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D99CE3C"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5AB9D53F" w14:textId="77777777" w:rsidTr="00A44814">
        <w:trPr>
          <w:trHeight w:val="600"/>
        </w:trPr>
        <w:tc>
          <w:tcPr>
            <w:tcW w:w="511" w:type="dxa"/>
          </w:tcPr>
          <w:p w14:paraId="3C613D31"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9754356"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21.民法第一千二百二十三</w:t>
            </w:r>
            <w:proofErr w:type="gramStart"/>
            <w:r w:rsidRPr="001B6E4D">
              <w:rPr>
                <w:rFonts w:ascii="標楷體" w:eastAsia="標楷體" w:hAnsi="標楷體" w:hint="eastAsia"/>
                <w:color w:val="000000"/>
                <w:kern w:val="0"/>
                <w:szCs w:val="22"/>
              </w:rPr>
              <w:t>條</w:t>
            </w:r>
            <w:proofErr w:type="gramEnd"/>
            <w:r w:rsidRPr="001B6E4D">
              <w:rPr>
                <w:rFonts w:ascii="標楷體" w:eastAsia="標楷體" w:hAnsi="標楷體" w:hint="eastAsia"/>
                <w:color w:val="000000"/>
                <w:kern w:val="0"/>
                <w:szCs w:val="22"/>
              </w:rPr>
              <w:t>條文修正草案</w:t>
            </w:r>
          </w:p>
        </w:tc>
        <w:tc>
          <w:tcPr>
            <w:tcW w:w="1545" w:type="dxa"/>
          </w:tcPr>
          <w:p w14:paraId="22A52AF0"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委員謝龍介</w:t>
            </w:r>
          </w:p>
          <w:p w14:paraId="356CF3D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等16人</w:t>
            </w:r>
          </w:p>
          <w:p w14:paraId="2FD3FB04"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10</w:t>
            </w:r>
          </w:p>
          <w:p w14:paraId="725195D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6</w:t>
            </w:r>
            <w:r w:rsidRPr="001B6E4D">
              <w:rPr>
                <w:rFonts w:ascii="標楷體" w:eastAsia="標楷體" w:hAnsi="標楷體"/>
                <w:color w:val="000000"/>
                <w:kern w:val="0"/>
                <w:szCs w:val="22"/>
              </w:rPr>
              <w:t>）</w:t>
            </w:r>
          </w:p>
        </w:tc>
        <w:tc>
          <w:tcPr>
            <w:tcW w:w="1536" w:type="dxa"/>
          </w:tcPr>
          <w:p w14:paraId="3EEEBE63"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5.4.10</w:t>
            </w:r>
          </w:p>
          <w:p w14:paraId="680AAEE9"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7CE4FD67"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2.115.6.2黨團協商。</w:t>
            </w:r>
          </w:p>
          <w:p w14:paraId="77DA53AC"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3.115.7.9黨團協商。</w:t>
            </w:r>
          </w:p>
        </w:tc>
        <w:tc>
          <w:tcPr>
            <w:tcW w:w="1387" w:type="dxa"/>
            <w:vMerge/>
          </w:tcPr>
          <w:p w14:paraId="0DC8E60C"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F2E17DF"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656CB15"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2C70B8D7" w14:textId="77777777" w:rsidTr="00A44814">
        <w:trPr>
          <w:trHeight w:val="600"/>
        </w:trPr>
        <w:tc>
          <w:tcPr>
            <w:tcW w:w="511" w:type="dxa"/>
          </w:tcPr>
          <w:p w14:paraId="2636ABF4"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1A6F6FDB"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22.民法第一千二百二十三</w:t>
            </w:r>
            <w:proofErr w:type="gramStart"/>
            <w:r w:rsidRPr="001B6E4D">
              <w:rPr>
                <w:rFonts w:ascii="標楷體" w:eastAsia="標楷體" w:hAnsi="標楷體" w:hint="eastAsia"/>
                <w:color w:val="000000"/>
                <w:kern w:val="0"/>
                <w:szCs w:val="22"/>
              </w:rPr>
              <w:t>條</w:t>
            </w:r>
            <w:proofErr w:type="gramEnd"/>
            <w:r w:rsidRPr="001B6E4D">
              <w:rPr>
                <w:rFonts w:ascii="標楷體" w:eastAsia="標楷體" w:hAnsi="標楷體" w:hint="eastAsia"/>
                <w:color w:val="000000"/>
                <w:kern w:val="0"/>
                <w:szCs w:val="22"/>
              </w:rPr>
              <w:t>條文修正草案</w:t>
            </w:r>
          </w:p>
        </w:tc>
        <w:tc>
          <w:tcPr>
            <w:tcW w:w="1545" w:type="dxa"/>
          </w:tcPr>
          <w:p w14:paraId="4022F19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委員林思銘</w:t>
            </w:r>
          </w:p>
          <w:p w14:paraId="179AD6D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等16人</w:t>
            </w:r>
          </w:p>
          <w:p w14:paraId="2A30DDA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10</w:t>
            </w:r>
          </w:p>
          <w:p w14:paraId="2FB450E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6</w:t>
            </w:r>
            <w:r w:rsidRPr="001B6E4D">
              <w:rPr>
                <w:rFonts w:ascii="標楷體" w:eastAsia="標楷體" w:hAnsi="標楷體"/>
                <w:color w:val="000000"/>
                <w:kern w:val="0"/>
                <w:szCs w:val="22"/>
              </w:rPr>
              <w:t>）</w:t>
            </w:r>
          </w:p>
        </w:tc>
        <w:tc>
          <w:tcPr>
            <w:tcW w:w="1536" w:type="dxa"/>
          </w:tcPr>
          <w:p w14:paraId="33912DE0"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5.4.10</w:t>
            </w:r>
          </w:p>
          <w:p w14:paraId="6399B06E"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1A1265CC"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2.115.6.2黨團協商。</w:t>
            </w:r>
          </w:p>
          <w:p w14:paraId="4ED803EC"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3.115.7.9黨團協商。</w:t>
            </w:r>
          </w:p>
        </w:tc>
        <w:tc>
          <w:tcPr>
            <w:tcW w:w="1387" w:type="dxa"/>
            <w:vMerge/>
          </w:tcPr>
          <w:p w14:paraId="501B5325"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351872F"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9BC00A0"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459AE871" w14:textId="77777777" w:rsidTr="00A44814">
        <w:trPr>
          <w:trHeight w:val="600"/>
        </w:trPr>
        <w:tc>
          <w:tcPr>
            <w:tcW w:w="511" w:type="dxa"/>
          </w:tcPr>
          <w:p w14:paraId="7B6FEB37"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0F9F9864"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23.民法第一千二百二十三</w:t>
            </w:r>
            <w:proofErr w:type="gramStart"/>
            <w:r w:rsidRPr="001B6E4D">
              <w:rPr>
                <w:rFonts w:ascii="標楷體" w:eastAsia="標楷體" w:hAnsi="標楷體" w:hint="eastAsia"/>
                <w:color w:val="000000"/>
                <w:kern w:val="0"/>
                <w:szCs w:val="22"/>
              </w:rPr>
              <w:t>條</w:t>
            </w:r>
            <w:proofErr w:type="gramEnd"/>
            <w:r w:rsidRPr="001B6E4D">
              <w:rPr>
                <w:rFonts w:ascii="標楷體" w:eastAsia="標楷體" w:hAnsi="標楷體" w:hint="eastAsia"/>
                <w:color w:val="000000"/>
                <w:kern w:val="0"/>
                <w:szCs w:val="22"/>
              </w:rPr>
              <w:t>條文修</w:t>
            </w:r>
            <w:r w:rsidRPr="001B6E4D">
              <w:rPr>
                <w:rFonts w:ascii="標楷體" w:eastAsia="標楷體" w:hAnsi="標楷體" w:hint="eastAsia"/>
                <w:color w:val="000000"/>
                <w:kern w:val="0"/>
                <w:szCs w:val="22"/>
              </w:rPr>
              <w:lastRenderedPageBreak/>
              <w:t>正草案</w:t>
            </w:r>
          </w:p>
        </w:tc>
        <w:tc>
          <w:tcPr>
            <w:tcW w:w="1545" w:type="dxa"/>
          </w:tcPr>
          <w:p w14:paraId="78A5EE1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lastRenderedPageBreak/>
              <w:t>台灣民眾</w:t>
            </w:r>
            <w:proofErr w:type="gramStart"/>
            <w:r w:rsidRPr="001B6E4D">
              <w:rPr>
                <w:rFonts w:ascii="標楷體" w:eastAsia="標楷體" w:hAnsi="標楷體" w:hint="eastAsia"/>
                <w:color w:val="000000"/>
                <w:kern w:val="0"/>
                <w:szCs w:val="22"/>
              </w:rPr>
              <w:t>黨</w:t>
            </w:r>
            <w:proofErr w:type="gramEnd"/>
            <w:r w:rsidRPr="001B6E4D">
              <w:rPr>
                <w:rFonts w:ascii="標楷體" w:eastAsia="標楷體" w:hAnsi="標楷體" w:hint="eastAsia"/>
                <w:color w:val="000000"/>
                <w:kern w:val="0"/>
                <w:szCs w:val="22"/>
              </w:rPr>
              <w:t>黨團</w:t>
            </w:r>
          </w:p>
          <w:p w14:paraId="10AC10A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24</w:t>
            </w:r>
          </w:p>
          <w:p w14:paraId="34076295"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8</w:t>
            </w:r>
            <w:r w:rsidRPr="001B6E4D">
              <w:rPr>
                <w:rFonts w:ascii="標楷體" w:eastAsia="標楷體" w:hAnsi="標楷體"/>
                <w:color w:val="000000"/>
                <w:kern w:val="0"/>
                <w:szCs w:val="22"/>
              </w:rPr>
              <w:t>）</w:t>
            </w:r>
          </w:p>
        </w:tc>
        <w:tc>
          <w:tcPr>
            <w:tcW w:w="1536" w:type="dxa"/>
          </w:tcPr>
          <w:p w14:paraId="1A5DC366"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5.4.24</w:t>
            </w:r>
          </w:p>
          <w:p w14:paraId="1A1DEEA8"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-5-8）</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w:t>
            </w:r>
            <w:r w:rsidRPr="001B6E4D">
              <w:rPr>
                <w:rFonts w:ascii="標楷體" w:eastAsia="標楷體" w:hAnsi="標楷體" w:hint="eastAsia"/>
                <w:spacing w:val="-20"/>
                <w:kern w:val="0"/>
                <w:szCs w:val="22"/>
              </w:rPr>
              <w:lastRenderedPageBreak/>
              <w:t>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09596B44"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2.115.6.2黨團協商。</w:t>
            </w:r>
          </w:p>
          <w:p w14:paraId="4674C713"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3.115.7.9黨團協商。</w:t>
            </w:r>
          </w:p>
        </w:tc>
        <w:tc>
          <w:tcPr>
            <w:tcW w:w="1387" w:type="dxa"/>
            <w:vMerge/>
          </w:tcPr>
          <w:p w14:paraId="090606A9"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73A444E"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15B460B"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20064BD8" w14:textId="77777777" w:rsidTr="00A44814">
        <w:trPr>
          <w:trHeight w:val="600"/>
        </w:trPr>
        <w:tc>
          <w:tcPr>
            <w:tcW w:w="511" w:type="dxa"/>
          </w:tcPr>
          <w:p w14:paraId="62D405B9"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AEC7FC4"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24.民法部分條文修正草案</w:t>
            </w:r>
          </w:p>
        </w:tc>
        <w:tc>
          <w:tcPr>
            <w:tcW w:w="1545" w:type="dxa"/>
          </w:tcPr>
          <w:p w14:paraId="5DEE822E"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委員莊瑞雄</w:t>
            </w:r>
          </w:p>
          <w:p w14:paraId="220501D8"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等17人</w:t>
            </w:r>
          </w:p>
          <w:p w14:paraId="35247AD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06</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12</w:t>
            </w:r>
          </w:p>
          <w:p w14:paraId="538A170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14</w:t>
            </w:r>
            <w:r w:rsidRPr="001B6E4D">
              <w:rPr>
                <w:rFonts w:ascii="標楷體" w:eastAsia="標楷體" w:hAnsi="標楷體"/>
                <w:color w:val="000000"/>
                <w:kern w:val="0"/>
                <w:szCs w:val="22"/>
              </w:rPr>
              <w:t>）</w:t>
            </w:r>
          </w:p>
        </w:tc>
        <w:tc>
          <w:tcPr>
            <w:tcW w:w="1536" w:type="dxa"/>
          </w:tcPr>
          <w:p w14:paraId="73A2177F"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5.6.12</w:t>
            </w:r>
          </w:p>
          <w:p w14:paraId="2C6C4691"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-5-14）</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50DC0403"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2.115.7.9黨團協商。</w:t>
            </w:r>
          </w:p>
        </w:tc>
        <w:tc>
          <w:tcPr>
            <w:tcW w:w="1387" w:type="dxa"/>
            <w:vMerge/>
          </w:tcPr>
          <w:p w14:paraId="2392D10A"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26A4054"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132AC3C"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3622758F" w14:textId="77777777" w:rsidTr="00A44814">
        <w:trPr>
          <w:trHeight w:val="600"/>
        </w:trPr>
        <w:tc>
          <w:tcPr>
            <w:tcW w:w="511" w:type="dxa"/>
          </w:tcPr>
          <w:p w14:paraId="2C987357"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6F8D8A39"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25.民法部分條文修正草案</w:t>
            </w:r>
          </w:p>
        </w:tc>
        <w:tc>
          <w:tcPr>
            <w:tcW w:w="1545" w:type="dxa"/>
          </w:tcPr>
          <w:p w14:paraId="23FCA0B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委員張雅琳</w:t>
            </w:r>
          </w:p>
          <w:p w14:paraId="2DADAD6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等16人</w:t>
            </w:r>
          </w:p>
          <w:p w14:paraId="7AE1E8A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06</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26</w:t>
            </w:r>
          </w:p>
          <w:p w14:paraId="47A6931A"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15</w:t>
            </w:r>
            <w:r w:rsidRPr="001B6E4D">
              <w:rPr>
                <w:rFonts w:ascii="標楷體" w:eastAsia="標楷體" w:hAnsi="標楷體"/>
                <w:color w:val="000000"/>
                <w:kern w:val="0"/>
                <w:szCs w:val="22"/>
              </w:rPr>
              <w:t>）</w:t>
            </w:r>
          </w:p>
        </w:tc>
        <w:tc>
          <w:tcPr>
            <w:tcW w:w="1536" w:type="dxa"/>
          </w:tcPr>
          <w:p w14:paraId="5C6616D9"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5.6.26</w:t>
            </w:r>
          </w:p>
          <w:p w14:paraId="53876AD5"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-5-15）</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0D1A4BB8"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2.115.7.9黨團協商。</w:t>
            </w:r>
          </w:p>
        </w:tc>
        <w:tc>
          <w:tcPr>
            <w:tcW w:w="1387" w:type="dxa"/>
            <w:vMerge/>
          </w:tcPr>
          <w:p w14:paraId="44D77942"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953A149"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85F2BDC"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3BA2264E" w14:textId="77777777" w:rsidTr="00A44814">
        <w:trPr>
          <w:trHeight w:val="600"/>
        </w:trPr>
        <w:tc>
          <w:tcPr>
            <w:tcW w:w="511" w:type="dxa"/>
          </w:tcPr>
          <w:p w14:paraId="6304B23C"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463685FB"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26.民法部分條文修正草案</w:t>
            </w:r>
          </w:p>
        </w:tc>
        <w:tc>
          <w:tcPr>
            <w:tcW w:w="1545" w:type="dxa"/>
          </w:tcPr>
          <w:p w14:paraId="34BED463"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委員鄭天財</w:t>
            </w:r>
          </w:p>
          <w:p w14:paraId="17E6AA84"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proofErr w:type="spellStart"/>
            <w:r w:rsidRPr="001B6E4D">
              <w:rPr>
                <w:rFonts w:ascii="標楷體" w:eastAsia="標楷體" w:hAnsi="標楷體" w:hint="eastAsia"/>
                <w:color w:val="000000"/>
                <w:kern w:val="0"/>
                <w:szCs w:val="22"/>
              </w:rPr>
              <w:t>Sra</w:t>
            </w:r>
            <w:proofErr w:type="spellEnd"/>
            <w:r w:rsidRPr="001B6E4D">
              <w:rPr>
                <w:rFonts w:ascii="標楷體" w:eastAsia="標楷體" w:hAnsi="標楷體" w:hint="eastAsia"/>
                <w:color w:val="000000"/>
                <w:kern w:val="0"/>
                <w:szCs w:val="22"/>
              </w:rPr>
              <w:t xml:space="preserve"> </w:t>
            </w:r>
            <w:proofErr w:type="spellStart"/>
            <w:r w:rsidRPr="001B6E4D">
              <w:rPr>
                <w:rFonts w:ascii="標楷體" w:eastAsia="標楷體" w:hAnsi="標楷體" w:hint="eastAsia"/>
                <w:color w:val="000000"/>
                <w:kern w:val="0"/>
                <w:szCs w:val="22"/>
              </w:rPr>
              <w:t>Kacaw</w:t>
            </w:r>
            <w:proofErr w:type="spellEnd"/>
          </w:p>
          <w:p w14:paraId="0728478C"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等17人</w:t>
            </w:r>
          </w:p>
          <w:p w14:paraId="2F4D852D"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07</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14</w:t>
            </w:r>
          </w:p>
          <w:p w14:paraId="4BFAD57B"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17</w:t>
            </w:r>
            <w:r w:rsidRPr="001B6E4D">
              <w:rPr>
                <w:rFonts w:ascii="標楷體" w:eastAsia="標楷體" w:hAnsi="標楷體"/>
                <w:color w:val="000000"/>
                <w:kern w:val="0"/>
                <w:szCs w:val="22"/>
              </w:rPr>
              <w:t>）</w:t>
            </w:r>
          </w:p>
        </w:tc>
        <w:tc>
          <w:tcPr>
            <w:tcW w:w="1536" w:type="dxa"/>
          </w:tcPr>
          <w:p w14:paraId="70DCAA1F"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5C774A51"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5.7.14</w:t>
            </w:r>
          </w:p>
          <w:p w14:paraId="676AE45C"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-5-17）</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tc>
        <w:tc>
          <w:tcPr>
            <w:tcW w:w="1387" w:type="dxa"/>
            <w:vMerge/>
          </w:tcPr>
          <w:p w14:paraId="0AC77C96"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2032DD5" w14:textId="77777777" w:rsidR="00FB3E5C" w:rsidRPr="001B6E4D" w:rsidRDefault="00FB3E5C"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F0205B7"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p>
        </w:tc>
      </w:tr>
      <w:tr w:rsidR="00FB3E5C" w:rsidRPr="001B6E4D" w14:paraId="7C3F9DCA" w14:textId="77777777" w:rsidTr="00A44814">
        <w:trPr>
          <w:trHeight w:val="600"/>
        </w:trPr>
        <w:tc>
          <w:tcPr>
            <w:tcW w:w="511" w:type="dxa"/>
          </w:tcPr>
          <w:p w14:paraId="56A45CAB" w14:textId="77777777" w:rsidR="00FB3E5C" w:rsidRPr="001B6E4D" w:rsidRDefault="00FB3E5C" w:rsidP="003D1018">
            <w:pPr>
              <w:widowControl w:val="0"/>
              <w:numPr>
                <w:ilvl w:val="0"/>
                <w:numId w:val="17"/>
              </w:numPr>
              <w:kinsoku w:val="0"/>
              <w:overflowPunct w:val="0"/>
              <w:spacing w:line="300" w:lineRule="exact"/>
              <w:jc w:val="center"/>
              <w:rPr>
                <w:rFonts w:ascii="標楷體" w:eastAsia="標楷體" w:hAnsi="標楷體"/>
                <w:color w:val="000000"/>
                <w:spacing w:val="-20"/>
                <w:szCs w:val="22"/>
              </w:rPr>
            </w:pPr>
          </w:p>
        </w:tc>
        <w:tc>
          <w:tcPr>
            <w:tcW w:w="1111" w:type="dxa"/>
          </w:tcPr>
          <w:p w14:paraId="7A840042" w14:textId="77777777" w:rsidR="00FB3E5C" w:rsidRPr="001B6E4D" w:rsidRDefault="00FB3E5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民法繼承編施行法增訂第十二條條文草案</w:t>
            </w:r>
          </w:p>
        </w:tc>
        <w:tc>
          <w:tcPr>
            <w:tcW w:w="1545" w:type="dxa"/>
          </w:tcPr>
          <w:p w14:paraId="350AD2A6"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委員吳宗憲</w:t>
            </w:r>
          </w:p>
          <w:p w14:paraId="7B3FE8B7"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DCFC07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0616BAF2" w14:textId="77777777" w:rsidR="00FB3E5C" w:rsidRPr="001B6E4D" w:rsidRDefault="00FB3E5C"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tcPr>
          <w:p w14:paraId="310E8E1D"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本會</w:t>
            </w:r>
            <w:r w:rsidRPr="001B6E4D">
              <w:rPr>
                <w:rFonts w:ascii="標楷體" w:eastAsia="標楷體" w:hAnsi="標楷體"/>
                <w:spacing w:val="-20"/>
                <w:kern w:val="0"/>
                <w:szCs w:val="22"/>
              </w:rPr>
              <w:br/>
              <w:t>115.</w:t>
            </w:r>
            <w:r w:rsidRPr="001B6E4D">
              <w:rPr>
                <w:rFonts w:ascii="標楷體" w:eastAsia="標楷體" w:hAnsi="標楷體" w:hint="eastAsia"/>
                <w:spacing w:val="-20"/>
                <w:kern w:val="0"/>
                <w:szCs w:val="22"/>
              </w:rPr>
              <w:t>4</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b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審查完竣，須交由黨團協商。</w:t>
            </w:r>
          </w:p>
          <w:p w14:paraId="166EAADB"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2.115.6.2黨團協商。</w:t>
            </w:r>
          </w:p>
          <w:p w14:paraId="2E9D4F81" w14:textId="77777777" w:rsidR="00FB3E5C" w:rsidRPr="001B6E4D" w:rsidRDefault="00FB3E5C"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3.115.7.9黨團協商。</w:t>
            </w:r>
          </w:p>
        </w:tc>
        <w:tc>
          <w:tcPr>
            <w:tcW w:w="1387" w:type="dxa"/>
          </w:tcPr>
          <w:p w14:paraId="63FFC753"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668EB595"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7.28</w:t>
            </w:r>
          </w:p>
          <w:p w14:paraId="0BD90DB1" w14:textId="77777777" w:rsidR="00FB3E5C" w:rsidRPr="001B6E4D" w:rsidRDefault="00FB3E5C"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19</w:t>
            </w:r>
            <w:r w:rsidRPr="001B6E4D">
              <w:rPr>
                <w:rFonts w:ascii="標楷體" w:eastAsia="標楷體" w:hAnsi="標楷體"/>
                <w:spacing w:val="-20"/>
                <w:kern w:val="0"/>
                <w:szCs w:val="22"/>
              </w:rPr>
              <w:t>)</w:t>
            </w:r>
          </w:p>
          <w:p w14:paraId="20EEFCBF" w14:textId="77777777" w:rsidR="00FB3E5C" w:rsidRPr="001B6E4D" w:rsidRDefault="00FB3E5C"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spacing w:val="-20"/>
                <w:kern w:val="0"/>
                <w:szCs w:val="22"/>
              </w:rPr>
              <w:t>三讀增訂第十二條條文。</w:t>
            </w:r>
          </w:p>
        </w:tc>
        <w:tc>
          <w:tcPr>
            <w:tcW w:w="1683" w:type="dxa"/>
          </w:tcPr>
          <w:p w14:paraId="0B62DCC5" w14:textId="77777777" w:rsidR="00FB3E5C" w:rsidRPr="001B6E4D" w:rsidRDefault="00FB3E5C" w:rsidP="003D1018">
            <w:pPr>
              <w:widowControl w:val="0"/>
              <w:kinsoku w:val="0"/>
              <w:overflowPunct w:val="0"/>
              <w:spacing w:line="300" w:lineRule="exact"/>
              <w:rPr>
                <w:rFonts w:ascii="標楷體" w:eastAsia="標楷體" w:hAnsi="標楷體"/>
                <w:color w:val="000000"/>
                <w:spacing w:val="-24"/>
                <w:szCs w:val="22"/>
              </w:rPr>
            </w:pPr>
            <w:r w:rsidRPr="001B6E4D">
              <w:rPr>
                <w:rFonts w:ascii="標楷體" w:eastAsia="標楷體" w:hAnsi="標楷體" w:hint="eastAsia"/>
                <w:color w:val="000000"/>
                <w:spacing w:val="-24"/>
                <w:szCs w:val="22"/>
              </w:rPr>
              <w:t xml:space="preserve">115年8月7日台立院議字第1150702968號 </w:t>
            </w:r>
          </w:p>
          <w:p w14:paraId="6ABC1993" w14:textId="77777777" w:rsidR="00FB3E5C" w:rsidRPr="001B6E4D" w:rsidRDefault="00FB3E5C" w:rsidP="003D1018">
            <w:pPr>
              <w:widowControl w:val="0"/>
              <w:kinsoku w:val="0"/>
              <w:overflowPunct w:val="0"/>
              <w:spacing w:line="300" w:lineRule="exact"/>
              <w:rPr>
                <w:rFonts w:ascii="標楷體" w:eastAsia="標楷體" w:hAnsi="標楷體"/>
                <w:color w:val="000000"/>
                <w:spacing w:val="-24"/>
                <w:szCs w:val="22"/>
              </w:rPr>
            </w:pPr>
          </w:p>
          <w:p w14:paraId="4D2E1C74" w14:textId="77777777" w:rsidR="00FB3E5C" w:rsidRPr="001B6E4D" w:rsidRDefault="00FB3E5C" w:rsidP="003D1018">
            <w:pPr>
              <w:widowControl w:val="0"/>
              <w:kinsoku w:val="0"/>
              <w:overflowPunct w:val="0"/>
              <w:spacing w:line="300" w:lineRule="exact"/>
              <w:rPr>
                <w:rFonts w:ascii="標楷體" w:eastAsia="標楷體" w:hAnsi="標楷體"/>
                <w:color w:val="000000"/>
                <w:spacing w:val="-24"/>
                <w:szCs w:val="22"/>
              </w:rPr>
            </w:pPr>
            <w:r w:rsidRPr="001B6E4D">
              <w:rPr>
                <w:rFonts w:ascii="標楷體" w:eastAsia="標楷體" w:hAnsi="標楷體" w:hint="eastAsia"/>
                <w:color w:val="000000"/>
                <w:spacing w:val="-24"/>
                <w:szCs w:val="22"/>
              </w:rPr>
              <w:t>115年8月17日華總</w:t>
            </w:r>
            <w:proofErr w:type="gramStart"/>
            <w:r w:rsidRPr="001B6E4D">
              <w:rPr>
                <w:rFonts w:ascii="標楷體" w:eastAsia="標楷體" w:hAnsi="標楷體" w:hint="eastAsia"/>
                <w:color w:val="000000"/>
                <w:spacing w:val="-24"/>
                <w:szCs w:val="22"/>
              </w:rPr>
              <w:t>一義字第11500076141號</w:t>
            </w:r>
            <w:proofErr w:type="gramEnd"/>
          </w:p>
        </w:tc>
        <w:tc>
          <w:tcPr>
            <w:tcW w:w="1105" w:type="dxa"/>
          </w:tcPr>
          <w:p w14:paraId="7D06783C" w14:textId="77777777" w:rsidR="00FB3E5C" w:rsidRPr="001B6E4D" w:rsidRDefault="00FB3E5C"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第7876號</w:t>
            </w:r>
          </w:p>
        </w:tc>
      </w:tr>
    </w:tbl>
    <w:p w14:paraId="50FA5EE9" w14:textId="3A925B16" w:rsidR="00AF4F05" w:rsidRPr="001B6E4D" w:rsidRDefault="003C6BF1"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124" w:name="_Toc240446516"/>
      <w:bookmarkEnd w:id="112"/>
      <w:r w:rsidRPr="001B6E4D">
        <w:rPr>
          <w:rFonts w:hint="eastAsia"/>
          <w:color w:val="000000" w:themeColor="text1"/>
          <w:shd w:val="clear" w:color="auto" w:fill="FFFFFF" w:themeFill="background1"/>
        </w:rPr>
        <w:t>（二）</w:t>
      </w:r>
      <w:bookmarkStart w:id="125" w:name="_Hlk239149902"/>
      <w:r w:rsidR="0062608B" w:rsidRPr="001B6E4D">
        <w:rPr>
          <w:rFonts w:hint="eastAsia"/>
          <w:color w:val="000000" w:themeColor="text1"/>
          <w:shd w:val="clear" w:color="auto" w:fill="FFFFFF" w:themeFill="background1"/>
        </w:rPr>
        <w:t>待院會審議之議案</w:t>
      </w:r>
      <w:bookmarkEnd w:id="125"/>
      <w:r w:rsidR="00AC616B" w:rsidRPr="001B6E4D">
        <w:rPr>
          <w:rFonts w:hint="eastAsia"/>
          <w:color w:val="000000" w:themeColor="text1"/>
          <w:shd w:val="clear" w:color="auto" w:fill="FFFFFF" w:themeFill="background1"/>
        </w:rPr>
        <w:t>120</w:t>
      </w:r>
      <w:r w:rsidR="0062608B" w:rsidRPr="001B6E4D">
        <w:rPr>
          <w:rFonts w:hint="eastAsia"/>
          <w:color w:val="000000" w:themeColor="text1"/>
          <w:shd w:val="clear" w:color="auto" w:fill="FFFFFF" w:themeFill="background1"/>
        </w:rPr>
        <w:t>案</w:t>
      </w:r>
      <w:bookmarkEnd w:id="124"/>
    </w:p>
    <w:tbl>
      <w:tblPr>
        <w:tblW w:w="8931" w:type="dxa"/>
        <w:tblInd w:w="-2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567"/>
        <w:gridCol w:w="2182"/>
        <w:gridCol w:w="1918"/>
        <w:gridCol w:w="1985"/>
        <w:gridCol w:w="2279"/>
      </w:tblGrid>
      <w:tr w:rsidR="00AF4F05" w:rsidRPr="001B6E4D" w14:paraId="7D0B06B0" w14:textId="77777777" w:rsidTr="00AC616B">
        <w:tc>
          <w:tcPr>
            <w:tcW w:w="567" w:type="dxa"/>
          </w:tcPr>
          <w:p w14:paraId="3017F593" w14:textId="607B7721" w:rsidR="00AF4F05" w:rsidRPr="001B6E4D" w:rsidRDefault="00AF4F05" w:rsidP="003D1018">
            <w:pPr>
              <w:widowControl w:val="0"/>
              <w:tabs>
                <w:tab w:val="center" w:pos="246"/>
              </w:tabs>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序號</w:t>
            </w:r>
          </w:p>
        </w:tc>
        <w:tc>
          <w:tcPr>
            <w:tcW w:w="2182" w:type="dxa"/>
          </w:tcPr>
          <w:p w14:paraId="2234D595" w14:textId="77777777" w:rsidR="00AF4F05" w:rsidRPr="001B6E4D" w:rsidRDefault="00AF4F0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議案名稱</w:t>
            </w:r>
          </w:p>
        </w:tc>
        <w:tc>
          <w:tcPr>
            <w:tcW w:w="1918" w:type="dxa"/>
          </w:tcPr>
          <w:p w14:paraId="5FF26C0D" w14:textId="77777777" w:rsidR="00AF4F05" w:rsidRPr="001B6E4D" w:rsidRDefault="00AF4F0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提案委員或機關</w:t>
            </w:r>
          </w:p>
          <w:p w14:paraId="72280E07" w14:textId="77777777" w:rsidR="00AF4F05" w:rsidRPr="001B6E4D" w:rsidRDefault="00AF4F0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院會交付日期</w:t>
            </w:r>
          </w:p>
          <w:p w14:paraId="05AF248C" w14:textId="77777777" w:rsidR="00AF4F05" w:rsidRPr="001B6E4D" w:rsidRDefault="00AF4F0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（會次）</w:t>
            </w:r>
          </w:p>
        </w:tc>
        <w:tc>
          <w:tcPr>
            <w:tcW w:w="1985" w:type="dxa"/>
          </w:tcPr>
          <w:p w14:paraId="2B19C808" w14:textId="77777777" w:rsidR="00AF4F05" w:rsidRPr="001B6E4D" w:rsidRDefault="00AF4F0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審查委員會</w:t>
            </w:r>
          </w:p>
          <w:p w14:paraId="171BA517" w14:textId="77777777" w:rsidR="00AF4F05" w:rsidRPr="001B6E4D" w:rsidRDefault="00AF4F0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院會說明人</w:t>
            </w:r>
          </w:p>
        </w:tc>
        <w:tc>
          <w:tcPr>
            <w:tcW w:w="2279" w:type="dxa"/>
          </w:tcPr>
          <w:p w14:paraId="1A991017" w14:textId="77777777" w:rsidR="00AF4F05" w:rsidRPr="001B6E4D" w:rsidRDefault="00AF4F0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審查情形</w:t>
            </w:r>
          </w:p>
        </w:tc>
      </w:tr>
      <w:tr w:rsidR="00AF4F05" w:rsidRPr="001B6E4D" w14:paraId="58D84135" w14:textId="77777777" w:rsidTr="00AC616B">
        <w:tc>
          <w:tcPr>
            <w:tcW w:w="567" w:type="dxa"/>
            <w:shd w:val="clear" w:color="auto" w:fill="auto"/>
          </w:tcPr>
          <w:p w14:paraId="74B3FD5E"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80BF65C"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DF700F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委員賴瑞隆</w:t>
            </w:r>
          </w:p>
          <w:p w14:paraId="47ECB98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5F9659E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114.09.30</w:t>
            </w:r>
          </w:p>
          <w:p w14:paraId="2604591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（11-4-2）</w:t>
            </w:r>
          </w:p>
        </w:tc>
        <w:tc>
          <w:tcPr>
            <w:tcW w:w="1985" w:type="dxa"/>
            <w:vMerge w:val="restart"/>
            <w:shd w:val="clear" w:color="auto" w:fill="auto"/>
          </w:tcPr>
          <w:p w14:paraId="0FDAEDE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lastRenderedPageBreak/>
              <w:t>司法及法制</w:t>
            </w:r>
          </w:p>
          <w:p w14:paraId="5CE6486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翁召集委員曉玲</w:t>
            </w:r>
          </w:p>
        </w:tc>
        <w:tc>
          <w:tcPr>
            <w:tcW w:w="2279" w:type="dxa"/>
            <w:vMerge w:val="restart"/>
            <w:shd w:val="clear" w:color="auto" w:fill="auto"/>
          </w:tcPr>
          <w:p w14:paraId="0974972D"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本會</w:t>
            </w:r>
            <w:r w:rsidRPr="001B6E4D">
              <w:rPr>
                <w:rFonts w:ascii="標楷體" w:eastAsia="標楷體" w:hAnsi="標楷體"/>
                <w:color w:val="000000"/>
                <w:kern w:val="0"/>
              </w:rPr>
              <w:br/>
              <w:t>115.</w:t>
            </w:r>
            <w:r w:rsidRPr="001B6E4D">
              <w:rPr>
                <w:rFonts w:ascii="標楷體" w:eastAsia="標楷體" w:hAnsi="標楷體" w:hint="eastAsia"/>
                <w:color w:val="000000"/>
                <w:kern w:val="0"/>
              </w:rPr>
              <w:t>4</w:t>
            </w:r>
            <w:r w:rsidRPr="001B6E4D">
              <w:rPr>
                <w:rFonts w:ascii="標楷體" w:eastAsia="標楷體" w:hAnsi="標楷體"/>
                <w:color w:val="000000"/>
                <w:kern w:val="0"/>
              </w:rPr>
              <w:t>.</w:t>
            </w:r>
            <w:r w:rsidRPr="001B6E4D">
              <w:rPr>
                <w:rFonts w:ascii="標楷體" w:eastAsia="標楷體" w:hAnsi="標楷體" w:hint="eastAsia"/>
                <w:color w:val="000000"/>
                <w:kern w:val="0"/>
              </w:rPr>
              <w:t>13</w:t>
            </w:r>
            <w:r w:rsidRPr="001B6E4D">
              <w:rPr>
                <w:rFonts w:ascii="標楷體" w:eastAsia="標楷體" w:hAnsi="標楷體"/>
                <w:color w:val="000000"/>
                <w:kern w:val="0"/>
              </w:rPr>
              <w:b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6</w:t>
            </w:r>
            <w:r w:rsidRPr="001B6E4D">
              <w:rPr>
                <w:rFonts w:ascii="標楷體" w:eastAsia="標楷體" w:hAnsi="標楷體"/>
                <w:color w:val="000000"/>
                <w:kern w:val="0"/>
              </w:rPr>
              <w:t>)</w:t>
            </w:r>
            <w:r w:rsidRPr="001B6E4D">
              <w:rPr>
                <w:rFonts w:ascii="標楷體" w:eastAsia="標楷體" w:hAnsi="標楷體" w:hint="eastAsia"/>
                <w:color w:val="000000"/>
                <w:kern w:val="0"/>
              </w:rPr>
              <w:t>審查完竣</w:t>
            </w:r>
            <w:r w:rsidRPr="001B6E4D">
              <w:rPr>
                <w:rFonts w:ascii="標楷體" w:eastAsia="標楷體" w:hAnsi="標楷體" w:hint="eastAsia"/>
                <w:color w:val="000000"/>
                <w:kern w:val="0"/>
              </w:rPr>
              <w:lastRenderedPageBreak/>
              <w:t>，不須交由黨團協商。</w:t>
            </w:r>
          </w:p>
        </w:tc>
      </w:tr>
      <w:tr w:rsidR="00AF4F05" w:rsidRPr="001B6E4D" w14:paraId="72BDB5A2" w14:textId="77777777" w:rsidTr="00AC616B">
        <w:tc>
          <w:tcPr>
            <w:tcW w:w="567" w:type="dxa"/>
            <w:shd w:val="clear" w:color="auto" w:fill="auto"/>
          </w:tcPr>
          <w:p w14:paraId="7B4A805E"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42B887C"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520047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委員林倩綺</w:t>
            </w:r>
          </w:p>
          <w:p w14:paraId="7857459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等22人</w:t>
            </w:r>
          </w:p>
          <w:p w14:paraId="4715398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114.10.28</w:t>
            </w:r>
          </w:p>
          <w:p w14:paraId="144BAB5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（11-4-6）</w:t>
            </w:r>
          </w:p>
        </w:tc>
        <w:tc>
          <w:tcPr>
            <w:tcW w:w="1985" w:type="dxa"/>
            <w:vMerge/>
            <w:shd w:val="clear" w:color="auto" w:fill="auto"/>
          </w:tcPr>
          <w:p w14:paraId="35F9A35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4FB2B6C"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00663BB1" w14:textId="77777777" w:rsidTr="00AC616B">
        <w:tc>
          <w:tcPr>
            <w:tcW w:w="567" w:type="dxa"/>
            <w:shd w:val="clear" w:color="auto" w:fill="auto"/>
          </w:tcPr>
          <w:p w14:paraId="72EDFB2A"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EC96914"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FD0F09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委員蔡易餘</w:t>
            </w:r>
          </w:p>
          <w:p w14:paraId="0DABBAC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10288AE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114.11.07</w:t>
            </w:r>
          </w:p>
          <w:p w14:paraId="7E65A55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（11-4-8）</w:t>
            </w:r>
          </w:p>
        </w:tc>
        <w:tc>
          <w:tcPr>
            <w:tcW w:w="1985" w:type="dxa"/>
            <w:vMerge/>
            <w:shd w:val="clear" w:color="auto" w:fill="auto"/>
          </w:tcPr>
          <w:p w14:paraId="1C86051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C7E9D52"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E506081" w14:textId="77777777" w:rsidTr="00AC616B">
        <w:tc>
          <w:tcPr>
            <w:tcW w:w="567" w:type="dxa"/>
            <w:shd w:val="clear" w:color="auto" w:fill="auto"/>
          </w:tcPr>
          <w:p w14:paraId="6D0CB42A"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B689850"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6A7E9E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委員王鴻薇</w:t>
            </w:r>
          </w:p>
          <w:p w14:paraId="42C4857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841754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114.11.14</w:t>
            </w:r>
          </w:p>
          <w:p w14:paraId="523C39F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（11-4-9）</w:t>
            </w:r>
          </w:p>
        </w:tc>
        <w:tc>
          <w:tcPr>
            <w:tcW w:w="1985" w:type="dxa"/>
            <w:vMerge/>
            <w:shd w:val="clear" w:color="auto" w:fill="auto"/>
          </w:tcPr>
          <w:p w14:paraId="6B87D20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4904914"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F8FDB82" w14:textId="77777777" w:rsidTr="00AC616B">
        <w:tc>
          <w:tcPr>
            <w:tcW w:w="567" w:type="dxa"/>
            <w:shd w:val="clear" w:color="auto" w:fill="auto"/>
          </w:tcPr>
          <w:p w14:paraId="2C92FF5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E5A9B94"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50F309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委員翁曉玲</w:t>
            </w:r>
          </w:p>
          <w:p w14:paraId="02C8EB8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7101450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114.12.12</w:t>
            </w:r>
          </w:p>
          <w:p w14:paraId="58C12DD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（11-4-13）</w:t>
            </w:r>
          </w:p>
        </w:tc>
        <w:tc>
          <w:tcPr>
            <w:tcW w:w="1985" w:type="dxa"/>
            <w:vMerge/>
            <w:shd w:val="clear" w:color="auto" w:fill="auto"/>
          </w:tcPr>
          <w:p w14:paraId="0607EF2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796EED3B"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007F2BD" w14:textId="77777777" w:rsidTr="00AC616B">
        <w:tc>
          <w:tcPr>
            <w:tcW w:w="567" w:type="dxa"/>
            <w:shd w:val="clear" w:color="auto" w:fill="auto"/>
          </w:tcPr>
          <w:p w14:paraId="3CE4D36F"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1900E8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6.貪污治罪條例第十二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E8B577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委員林思銘</w:t>
            </w:r>
          </w:p>
          <w:p w14:paraId="42A86AE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521A93C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115.03.27</w:t>
            </w:r>
          </w:p>
          <w:p w14:paraId="60A54F4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（11-5-5）</w:t>
            </w:r>
          </w:p>
        </w:tc>
        <w:tc>
          <w:tcPr>
            <w:tcW w:w="1985" w:type="dxa"/>
            <w:vMerge/>
            <w:shd w:val="clear" w:color="auto" w:fill="auto"/>
          </w:tcPr>
          <w:p w14:paraId="40DE4F6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B98CD47"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6A3906A" w14:textId="77777777" w:rsidTr="00AC616B">
        <w:tc>
          <w:tcPr>
            <w:tcW w:w="567" w:type="dxa"/>
            <w:shd w:val="clear" w:color="auto" w:fill="auto"/>
          </w:tcPr>
          <w:p w14:paraId="6BF7FD3F"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3BB49C2"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1.中華民國刑法第一百八十五條之三條文修正草案</w:t>
            </w:r>
          </w:p>
        </w:tc>
        <w:tc>
          <w:tcPr>
            <w:tcW w:w="1918" w:type="dxa"/>
            <w:shd w:val="clear" w:color="auto" w:fill="auto"/>
          </w:tcPr>
          <w:p w14:paraId="6309524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行政院、司法院</w:t>
            </w:r>
          </w:p>
          <w:p w14:paraId="77A6F7A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115.07.17</w:t>
            </w:r>
          </w:p>
          <w:p w14:paraId="5B7713B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（11-5-18）</w:t>
            </w:r>
          </w:p>
        </w:tc>
        <w:tc>
          <w:tcPr>
            <w:tcW w:w="1985" w:type="dxa"/>
            <w:vMerge w:val="restart"/>
            <w:shd w:val="clear" w:color="auto" w:fill="auto"/>
          </w:tcPr>
          <w:p w14:paraId="023D065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司法及法制</w:t>
            </w:r>
          </w:p>
          <w:p w14:paraId="7A27FDE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翁召集委員曉玲</w:t>
            </w:r>
          </w:p>
        </w:tc>
        <w:tc>
          <w:tcPr>
            <w:tcW w:w="2279" w:type="dxa"/>
            <w:vMerge w:val="restart"/>
            <w:shd w:val="clear" w:color="auto" w:fill="auto"/>
          </w:tcPr>
          <w:p w14:paraId="6B458F9E"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本會</w:t>
            </w:r>
            <w:r w:rsidRPr="001B6E4D">
              <w:rPr>
                <w:rFonts w:ascii="標楷體" w:eastAsia="標楷體" w:hAnsi="標楷體"/>
                <w:color w:val="000000"/>
                <w:kern w:val="0"/>
              </w:rPr>
              <w:br/>
              <w:t>115.</w:t>
            </w:r>
            <w:r w:rsidRPr="001B6E4D">
              <w:rPr>
                <w:rFonts w:ascii="標楷體" w:eastAsia="標楷體" w:hAnsi="標楷體" w:hint="eastAsia"/>
                <w:color w:val="000000"/>
                <w:kern w:val="0"/>
              </w:rPr>
              <w:t>7</w:t>
            </w:r>
            <w:r w:rsidRPr="001B6E4D">
              <w:rPr>
                <w:rFonts w:ascii="標楷體" w:eastAsia="標楷體" w:hAnsi="標楷體"/>
                <w:color w:val="000000"/>
                <w:kern w:val="0"/>
              </w:rPr>
              <w:t>.</w:t>
            </w:r>
            <w:r w:rsidRPr="001B6E4D">
              <w:rPr>
                <w:rFonts w:ascii="標楷體" w:eastAsia="標楷體" w:hAnsi="標楷體" w:hint="eastAsia"/>
                <w:color w:val="000000"/>
                <w:kern w:val="0"/>
              </w:rPr>
              <w:t>22</w:t>
            </w:r>
            <w:r w:rsidRPr="001B6E4D">
              <w:rPr>
                <w:rFonts w:ascii="標楷體" w:eastAsia="標楷體" w:hAnsi="標楷體"/>
                <w:color w:val="000000"/>
                <w:kern w:val="0"/>
              </w:rPr>
              <w:b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26</w:t>
            </w:r>
            <w:r w:rsidRPr="001B6E4D">
              <w:rPr>
                <w:rFonts w:ascii="標楷體" w:eastAsia="標楷體" w:hAnsi="標楷體"/>
                <w:color w:val="000000"/>
                <w:kern w:val="0"/>
              </w:rPr>
              <w:t>)</w:t>
            </w:r>
            <w:r w:rsidRPr="001B6E4D">
              <w:rPr>
                <w:rFonts w:ascii="標楷體" w:eastAsia="標楷體" w:hAnsi="標楷體" w:hint="eastAsia"/>
                <w:color w:val="000000"/>
                <w:kern w:val="0"/>
              </w:rPr>
              <w:t>審查完竣，須交由黨團協商。</w:t>
            </w:r>
          </w:p>
        </w:tc>
      </w:tr>
      <w:tr w:rsidR="00AF4F05" w:rsidRPr="001B6E4D" w14:paraId="71B1DF2E" w14:textId="77777777" w:rsidTr="00AC616B">
        <w:tc>
          <w:tcPr>
            <w:tcW w:w="567" w:type="dxa"/>
            <w:shd w:val="clear" w:color="auto" w:fill="auto"/>
          </w:tcPr>
          <w:p w14:paraId="2BE821A1"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35EDF48"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2.中華民國刑法第一百八十五條之三條文修正草案</w:t>
            </w:r>
          </w:p>
        </w:tc>
        <w:tc>
          <w:tcPr>
            <w:tcW w:w="1918" w:type="dxa"/>
            <w:shd w:val="clear" w:color="auto" w:fill="auto"/>
          </w:tcPr>
          <w:p w14:paraId="69A86CB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委員翁曉玲</w:t>
            </w:r>
          </w:p>
          <w:p w14:paraId="7D5EFAE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3FCD1F2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113.10.18</w:t>
            </w:r>
          </w:p>
          <w:p w14:paraId="3B30F8E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（11-2-5）</w:t>
            </w:r>
          </w:p>
        </w:tc>
        <w:tc>
          <w:tcPr>
            <w:tcW w:w="1985" w:type="dxa"/>
            <w:vMerge/>
            <w:shd w:val="clear" w:color="auto" w:fill="auto"/>
          </w:tcPr>
          <w:p w14:paraId="60C998A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0F2E7C3"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03E1A12" w14:textId="77777777" w:rsidTr="00AC616B">
        <w:tc>
          <w:tcPr>
            <w:tcW w:w="567" w:type="dxa"/>
            <w:shd w:val="clear" w:color="auto" w:fill="auto"/>
          </w:tcPr>
          <w:p w14:paraId="4FCBE285"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BBDD711"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3.中華民國刑法第一百八十五條之三及第一百八十五條之四條文修正草案</w:t>
            </w:r>
          </w:p>
        </w:tc>
        <w:tc>
          <w:tcPr>
            <w:tcW w:w="1918" w:type="dxa"/>
            <w:shd w:val="clear" w:color="auto" w:fill="auto"/>
          </w:tcPr>
          <w:p w14:paraId="1CF07D5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委員廖先翔</w:t>
            </w:r>
          </w:p>
          <w:p w14:paraId="51056E7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586B885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114.05.23</w:t>
            </w:r>
          </w:p>
          <w:p w14:paraId="305B86B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（11-3-13）</w:t>
            </w:r>
          </w:p>
        </w:tc>
        <w:tc>
          <w:tcPr>
            <w:tcW w:w="1985" w:type="dxa"/>
            <w:vMerge/>
            <w:shd w:val="clear" w:color="auto" w:fill="auto"/>
          </w:tcPr>
          <w:p w14:paraId="424D05E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FE7874B"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7491E2C0" w14:textId="77777777" w:rsidTr="00AC616B">
        <w:tc>
          <w:tcPr>
            <w:tcW w:w="567" w:type="dxa"/>
            <w:shd w:val="clear" w:color="auto" w:fill="auto"/>
          </w:tcPr>
          <w:p w14:paraId="397AE581"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AC34BD9"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4.中華民國刑法第一百八十五條之三條文修正草案</w:t>
            </w:r>
          </w:p>
        </w:tc>
        <w:tc>
          <w:tcPr>
            <w:tcW w:w="1918" w:type="dxa"/>
            <w:shd w:val="clear" w:color="auto" w:fill="auto"/>
          </w:tcPr>
          <w:p w14:paraId="7141905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委員洪孟楷</w:t>
            </w:r>
          </w:p>
          <w:p w14:paraId="7B4AF82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061FB46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114.11.07</w:t>
            </w:r>
          </w:p>
          <w:p w14:paraId="0957EBF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（11-4-8）</w:t>
            </w:r>
          </w:p>
        </w:tc>
        <w:tc>
          <w:tcPr>
            <w:tcW w:w="1985" w:type="dxa"/>
            <w:vMerge/>
            <w:shd w:val="clear" w:color="auto" w:fill="auto"/>
          </w:tcPr>
          <w:p w14:paraId="0D035C5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4F921C8"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AD34713" w14:textId="77777777" w:rsidTr="00AC616B">
        <w:tc>
          <w:tcPr>
            <w:tcW w:w="567" w:type="dxa"/>
            <w:shd w:val="clear" w:color="auto" w:fill="auto"/>
          </w:tcPr>
          <w:p w14:paraId="1BB4CB93"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1F28891"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5.中華民國刑法第一百八十五條之三及第一百八十五條之四條文修正草案</w:t>
            </w:r>
          </w:p>
        </w:tc>
        <w:tc>
          <w:tcPr>
            <w:tcW w:w="1918" w:type="dxa"/>
            <w:shd w:val="clear" w:color="auto" w:fill="auto"/>
          </w:tcPr>
          <w:p w14:paraId="506DE51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委員徐欣瑩</w:t>
            </w:r>
          </w:p>
          <w:p w14:paraId="22F96E1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5601E3B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114.12.26</w:t>
            </w:r>
          </w:p>
          <w:p w14:paraId="218AB30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（11-4-15）</w:t>
            </w:r>
          </w:p>
        </w:tc>
        <w:tc>
          <w:tcPr>
            <w:tcW w:w="1985" w:type="dxa"/>
            <w:vMerge/>
            <w:shd w:val="clear" w:color="auto" w:fill="auto"/>
          </w:tcPr>
          <w:p w14:paraId="61023C6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DD40BBE"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3848133" w14:textId="77777777" w:rsidTr="00AC616B">
        <w:tc>
          <w:tcPr>
            <w:tcW w:w="567" w:type="dxa"/>
            <w:shd w:val="clear" w:color="auto" w:fill="auto"/>
          </w:tcPr>
          <w:p w14:paraId="565A6F94"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66776C23"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6.中華民國刑法第一百八十五條之三及第一百八十五條之四條文修正草案</w:t>
            </w:r>
          </w:p>
        </w:tc>
        <w:tc>
          <w:tcPr>
            <w:tcW w:w="1918" w:type="dxa"/>
            <w:shd w:val="clear" w:color="auto" w:fill="auto"/>
          </w:tcPr>
          <w:p w14:paraId="0E7C5FB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委員羅廷</w:t>
            </w:r>
            <w:proofErr w:type="gramStart"/>
            <w:r w:rsidRPr="001B6E4D">
              <w:rPr>
                <w:rFonts w:ascii="標楷體" w:eastAsia="標楷體" w:hAnsi="標楷體"/>
                <w:color w:val="000000"/>
                <w:kern w:val="0"/>
              </w:rPr>
              <w:t>瑋</w:t>
            </w:r>
            <w:proofErr w:type="gramEnd"/>
          </w:p>
          <w:p w14:paraId="5470E9F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ACD681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115.01.09</w:t>
            </w:r>
          </w:p>
          <w:p w14:paraId="051E809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（11-4-17）</w:t>
            </w:r>
          </w:p>
        </w:tc>
        <w:tc>
          <w:tcPr>
            <w:tcW w:w="1985" w:type="dxa"/>
            <w:vMerge/>
            <w:shd w:val="clear" w:color="auto" w:fill="auto"/>
          </w:tcPr>
          <w:p w14:paraId="7E37D29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E977587"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21740D1" w14:textId="77777777" w:rsidTr="00AC616B">
        <w:tc>
          <w:tcPr>
            <w:tcW w:w="567" w:type="dxa"/>
            <w:shd w:val="clear" w:color="auto" w:fill="auto"/>
          </w:tcPr>
          <w:p w14:paraId="1D5D747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549EB80"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7.中華民國刑法第</w:t>
            </w:r>
            <w:r w:rsidRPr="001B6E4D">
              <w:rPr>
                <w:rFonts w:ascii="標楷體" w:eastAsia="標楷體" w:hAnsi="標楷體"/>
                <w:color w:val="000000"/>
                <w:kern w:val="0"/>
              </w:rPr>
              <w:lastRenderedPageBreak/>
              <w:t>一百八十五條之三條文修正草案</w:t>
            </w:r>
          </w:p>
        </w:tc>
        <w:tc>
          <w:tcPr>
            <w:tcW w:w="1918" w:type="dxa"/>
            <w:shd w:val="clear" w:color="auto" w:fill="auto"/>
          </w:tcPr>
          <w:p w14:paraId="1FDC410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委員柯志恩</w:t>
            </w:r>
          </w:p>
          <w:p w14:paraId="5FB8685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等16人</w:t>
            </w:r>
          </w:p>
          <w:p w14:paraId="40888D0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115.02.24</w:t>
            </w:r>
          </w:p>
          <w:p w14:paraId="519820A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w:t>
            </w:r>
          </w:p>
        </w:tc>
        <w:tc>
          <w:tcPr>
            <w:tcW w:w="1985" w:type="dxa"/>
            <w:vMerge/>
            <w:shd w:val="clear" w:color="auto" w:fill="auto"/>
          </w:tcPr>
          <w:p w14:paraId="542AC82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84DF75C"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47F8CC2" w14:textId="77777777" w:rsidTr="00AC616B">
        <w:tc>
          <w:tcPr>
            <w:tcW w:w="567" w:type="dxa"/>
            <w:shd w:val="clear" w:color="auto" w:fill="auto"/>
          </w:tcPr>
          <w:p w14:paraId="411E54D6"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3A97773"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8.中華民國刑法第一百八十五條之三條文修正草案</w:t>
            </w:r>
          </w:p>
        </w:tc>
        <w:tc>
          <w:tcPr>
            <w:tcW w:w="1918" w:type="dxa"/>
            <w:shd w:val="clear" w:color="auto" w:fill="auto"/>
          </w:tcPr>
          <w:p w14:paraId="57584B3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委員林倩綺</w:t>
            </w:r>
          </w:p>
          <w:p w14:paraId="714A986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等21人</w:t>
            </w:r>
          </w:p>
          <w:p w14:paraId="55C4B6C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115.03.27</w:t>
            </w:r>
          </w:p>
          <w:p w14:paraId="76A5B02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（11-5-5）</w:t>
            </w:r>
          </w:p>
        </w:tc>
        <w:tc>
          <w:tcPr>
            <w:tcW w:w="1985" w:type="dxa"/>
            <w:vMerge/>
            <w:shd w:val="clear" w:color="auto" w:fill="auto"/>
          </w:tcPr>
          <w:p w14:paraId="4D63FEF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03A37E9"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1A6F947" w14:textId="77777777" w:rsidTr="00AC616B">
        <w:tc>
          <w:tcPr>
            <w:tcW w:w="567" w:type="dxa"/>
            <w:shd w:val="clear" w:color="auto" w:fill="auto"/>
          </w:tcPr>
          <w:p w14:paraId="4C47C146"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7CE6940"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9.中華民國刑法第一百八十五條之三條文修正草案</w:t>
            </w:r>
          </w:p>
        </w:tc>
        <w:tc>
          <w:tcPr>
            <w:tcW w:w="1918" w:type="dxa"/>
            <w:shd w:val="clear" w:color="auto" w:fill="auto"/>
          </w:tcPr>
          <w:p w14:paraId="44A8BFC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委員邱若華</w:t>
            </w:r>
          </w:p>
          <w:p w14:paraId="18D0FA3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241B3B0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115.04.10</w:t>
            </w:r>
          </w:p>
          <w:p w14:paraId="43B3BCA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（11-5-6）</w:t>
            </w:r>
          </w:p>
        </w:tc>
        <w:tc>
          <w:tcPr>
            <w:tcW w:w="1985" w:type="dxa"/>
            <w:vMerge/>
            <w:shd w:val="clear" w:color="auto" w:fill="auto"/>
          </w:tcPr>
          <w:p w14:paraId="615A29D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B03F3A5"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587FDF9" w14:textId="77777777" w:rsidTr="00AC616B">
        <w:tc>
          <w:tcPr>
            <w:tcW w:w="567" w:type="dxa"/>
            <w:shd w:val="clear" w:color="auto" w:fill="auto"/>
          </w:tcPr>
          <w:p w14:paraId="3DB5E7B1"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6865569"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10.中華民國刑法第一百八十五條之三及第一百八十五條之四條文修正草案</w:t>
            </w:r>
          </w:p>
        </w:tc>
        <w:tc>
          <w:tcPr>
            <w:tcW w:w="1918" w:type="dxa"/>
            <w:shd w:val="clear" w:color="auto" w:fill="auto"/>
          </w:tcPr>
          <w:p w14:paraId="6A87440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委員萬美玲</w:t>
            </w:r>
          </w:p>
          <w:p w14:paraId="6249CB2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4403BF1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115.04.10</w:t>
            </w:r>
          </w:p>
          <w:p w14:paraId="5EC664A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（11-5-6）</w:t>
            </w:r>
          </w:p>
        </w:tc>
        <w:tc>
          <w:tcPr>
            <w:tcW w:w="1985" w:type="dxa"/>
            <w:vMerge/>
            <w:shd w:val="clear" w:color="auto" w:fill="auto"/>
          </w:tcPr>
          <w:p w14:paraId="7C0FC38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3CC73ED"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ED1FEF3" w14:textId="77777777" w:rsidTr="00AC616B">
        <w:tc>
          <w:tcPr>
            <w:tcW w:w="567" w:type="dxa"/>
            <w:shd w:val="clear" w:color="auto" w:fill="auto"/>
          </w:tcPr>
          <w:p w14:paraId="5D27201B"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107A62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11.中華民國刑法第一百八十五條之三條文修正草案</w:t>
            </w:r>
          </w:p>
        </w:tc>
        <w:tc>
          <w:tcPr>
            <w:tcW w:w="1918" w:type="dxa"/>
            <w:shd w:val="clear" w:color="auto" w:fill="auto"/>
          </w:tcPr>
          <w:p w14:paraId="5D7E8AD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委員陳亭</w:t>
            </w:r>
            <w:proofErr w:type="gramStart"/>
            <w:r w:rsidRPr="001B6E4D">
              <w:rPr>
                <w:rFonts w:ascii="標楷體" w:eastAsia="標楷體" w:hAnsi="標楷體"/>
                <w:color w:val="000000"/>
                <w:kern w:val="0"/>
              </w:rPr>
              <w:t>妃</w:t>
            </w:r>
            <w:proofErr w:type="gramEnd"/>
          </w:p>
          <w:p w14:paraId="5AA18EC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02EE7FD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115.04.10</w:t>
            </w:r>
          </w:p>
          <w:p w14:paraId="12AB535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（11-5-6）</w:t>
            </w:r>
          </w:p>
        </w:tc>
        <w:tc>
          <w:tcPr>
            <w:tcW w:w="1985" w:type="dxa"/>
            <w:vMerge/>
            <w:shd w:val="clear" w:color="auto" w:fill="auto"/>
          </w:tcPr>
          <w:p w14:paraId="51AA051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291CF7F"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8C48E5E" w14:textId="77777777" w:rsidTr="00AC616B">
        <w:tc>
          <w:tcPr>
            <w:tcW w:w="567" w:type="dxa"/>
            <w:shd w:val="clear" w:color="auto" w:fill="auto"/>
          </w:tcPr>
          <w:p w14:paraId="492E7284"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5EC1250"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12.中華民國刑法第一百八十五條之三條文修正草案</w:t>
            </w:r>
          </w:p>
        </w:tc>
        <w:tc>
          <w:tcPr>
            <w:tcW w:w="1918" w:type="dxa"/>
            <w:shd w:val="clear" w:color="auto" w:fill="auto"/>
          </w:tcPr>
          <w:p w14:paraId="1C87512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委員黃秀芳</w:t>
            </w:r>
          </w:p>
          <w:p w14:paraId="0E41AAC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0840503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115.05.22</w:t>
            </w:r>
          </w:p>
          <w:p w14:paraId="2651CD8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（11-5-11）</w:t>
            </w:r>
          </w:p>
        </w:tc>
        <w:tc>
          <w:tcPr>
            <w:tcW w:w="1985" w:type="dxa"/>
            <w:vMerge/>
            <w:shd w:val="clear" w:color="auto" w:fill="auto"/>
          </w:tcPr>
          <w:p w14:paraId="2B46B0C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1F96C82"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113EAC1" w14:textId="77777777" w:rsidTr="00AC616B">
        <w:tc>
          <w:tcPr>
            <w:tcW w:w="567" w:type="dxa"/>
            <w:shd w:val="clear" w:color="auto" w:fill="auto"/>
          </w:tcPr>
          <w:p w14:paraId="57968F81"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60C1C28"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13.中華民國刑法第一百八十五條之三條文修正草案</w:t>
            </w:r>
          </w:p>
        </w:tc>
        <w:tc>
          <w:tcPr>
            <w:tcW w:w="1918" w:type="dxa"/>
            <w:shd w:val="clear" w:color="auto" w:fill="auto"/>
          </w:tcPr>
          <w:p w14:paraId="59A111A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委員賴瑞隆</w:t>
            </w:r>
          </w:p>
          <w:p w14:paraId="132E4B4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720B551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115.05.22</w:t>
            </w:r>
          </w:p>
          <w:p w14:paraId="37CCFD5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（11-5-11）</w:t>
            </w:r>
          </w:p>
        </w:tc>
        <w:tc>
          <w:tcPr>
            <w:tcW w:w="1985" w:type="dxa"/>
            <w:vMerge/>
            <w:shd w:val="clear" w:color="auto" w:fill="auto"/>
          </w:tcPr>
          <w:p w14:paraId="4E2001A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CEBE744"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B3DBD16" w14:textId="77777777" w:rsidTr="00AC616B">
        <w:tc>
          <w:tcPr>
            <w:tcW w:w="567" w:type="dxa"/>
            <w:shd w:val="clear" w:color="auto" w:fill="auto"/>
          </w:tcPr>
          <w:p w14:paraId="3421B9CB"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CE165C2"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14.中華民國刑法第一百八十五條之三條文修正草案</w:t>
            </w:r>
          </w:p>
        </w:tc>
        <w:tc>
          <w:tcPr>
            <w:tcW w:w="1918" w:type="dxa"/>
            <w:shd w:val="clear" w:color="auto" w:fill="auto"/>
          </w:tcPr>
          <w:p w14:paraId="3E09821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委員林思銘</w:t>
            </w:r>
          </w:p>
          <w:p w14:paraId="0DD18D0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等21人</w:t>
            </w:r>
          </w:p>
          <w:p w14:paraId="3B1CB82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57D1DC9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2907F1E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0D735F5"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43C11BD" w14:textId="77777777" w:rsidTr="00AC616B">
        <w:tc>
          <w:tcPr>
            <w:tcW w:w="567" w:type="dxa"/>
            <w:shd w:val="clear" w:color="auto" w:fill="auto"/>
          </w:tcPr>
          <w:p w14:paraId="1A8BE0F7"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34233C2"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15.中華民國刑法第一百八十五條之三及第一百八十五條之五條文修正草案</w:t>
            </w:r>
          </w:p>
        </w:tc>
        <w:tc>
          <w:tcPr>
            <w:tcW w:w="1918" w:type="dxa"/>
            <w:shd w:val="clear" w:color="auto" w:fill="auto"/>
          </w:tcPr>
          <w:p w14:paraId="1DC84CA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委員傅</w:t>
            </w:r>
            <w:r w:rsidRPr="001B6E4D">
              <w:rPr>
                <w:rFonts w:ascii="標楷體" w:eastAsia="標楷體" w:hAnsi="標楷體" w:hint="eastAsia"/>
                <w:color w:val="000000"/>
                <w:kern w:val="0"/>
              </w:rPr>
              <w:t>崐萁</w:t>
            </w:r>
          </w:p>
          <w:p w14:paraId="28317ED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等</w:t>
            </w:r>
            <w:r w:rsidRPr="001B6E4D">
              <w:rPr>
                <w:rFonts w:ascii="標楷體" w:eastAsia="標楷體" w:hAnsi="標楷體"/>
                <w:color w:val="000000"/>
                <w:kern w:val="0"/>
              </w:rPr>
              <w:t>17人</w:t>
            </w:r>
          </w:p>
          <w:p w14:paraId="0DDB8BE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3A9293D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w:t>
            </w:r>
            <w:r w:rsidRPr="001B6E4D">
              <w:rPr>
                <w:rFonts w:ascii="標楷體" w:eastAsia="標楷體" w:hAnsi="標楷體"/>
                <w:color w:val="000000"/>
                <w:kern w:val="0"/>
              </w:rPr>
              <w:t>11-5-13）</w:t>
            </w:r>
          </w:p>
        </w:tc>
        <w:tc>
          <w:tcPr>
            <w:tcW w:w="1985" w:type="dxa"/>
            <w:vMerge/>
            <w:shd w:val="clear" w:color="auto" w:fill="auto"/>
          </w:tcPr>
          <w:p w14:paraId="243EECD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D118585"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CB11B51" w14:textId="77777777" w:rsidTr="00AC616B">
        <w:tc>
          <w:tcPr>
            <w:tcW w:w="567" w:type="dxa"/>
            <w:shd w:val="clear" w:color="auto" w:fill="auto"/>
          </w:tcPr>
          <w:p w14:paraId="4F815201"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F33E21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16.中華民國刑法第一百八十五條之三條文修正草案</w:t>
            </w:r>
          </w:p>
        </w:tc>
        <w:tc>
          <w:tcPr>
            <w:tcW w:w="1918" w:type="dxa"/>
            <w:shd w:val="clear" w:color="auto" w:fill="auto"/>
          </w:tcPr>
          <w:p w14:paraId="7475F54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委員陳菁徽</w:t>
            </w:r>
          </w:p>
          <w:p w14:paraId="6C50A6D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等22人</w:t>
            </w:r>
          </w:p>
          <w:p w14:paraId="6D1CBF4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02E3ADF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7394963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654C25C"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4CD61C5" w14:textId="77777777" w:rsidTr="00AC616B">
        <w:tc>
          <w:tcPr>
            <w:tcW w:w="567" w:type="dxa"/>
            <w:shd w:val="clear" w:color="auto" w:fill="auto"/>
          </w:tcPr>
          <w:p w14:paraId="5171A860"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0553C53"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17.中華民國刑法第一百八十五條之三條文修正草案</w:t>
            </w:r>
          </w:p>
        </w:tc>
        <w:tc>
          <w:tcPr>
            <w:tcW w:w="1918" w:type="dxa"/>
            <w:shd w:val="clear" w:color="auto" w:fill="auto"/>
          </w:tcPr>
          <w:p w14:paraId="30F800A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委員張智倫</w:t>
            </w:r>
          </w:p>
          <w:p w14:paraId="353D47C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0AF8747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7898CFC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1967B0E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9FA5CF8"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46F3EBA" w14:textId="77777777" w:rsidTr="00AC616B">
        <w:tc>
          <w:tcPr>
            <w:tcW w:w="567" w:type="dxa"/>
            <w:shd w:val="clear" w:color="auto" w:fill="auto"/>
          </w:tcPr>
          <w:p w14:paraId="662CADF0"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B19B531"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18.中華民國刑法第一百八十五條之三條文修正草案</w:t>
            </w:r>
          </w:p>
        </w:tc>
        <w:tc>
          <w:tcPr>
            <w:tcW w:w="1918" w:type="dxa"/>
            <w:shd w:val="clear" w:color="auto" w:fill="auto"/>
          </w:tcPr>
          <w:p w14:paraId="0448ECF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委員徐巧芯</w:t>
            </w:r>
          </w:p>
          <w:p w14:paraId="7CB6D91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DB2B3F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1BAE497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0845526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67793D5"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488B85B" w14:textId="77777777" w:rsidTr="00AC616B">
        <w:tc>
          <w:tcPr>
            <w:tcW w:w="567" w:type="dxa"/>
            <w:shd w:val="clear" w:color="auto" w:fill="auto"/>
          </w:tcPr>
          <w:p w14:paraId="0AC63213"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07BC7D5"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19.中華民國刑法第一百八十五條之三、第一百八十五條之四及第一百八十五條之五條文修正草案</w:t>
            </w:r>
          </w:p>
        </w:tc>
        <w:tc>
          <w:tcPr>
            <w:tcW w:w="1918" w:type="dxa"/>
            <w:shd w:val="clear" w:color="auto" w:fill="auto"/>
          </w:tcPr>
          <w:p w14:paraId="57AE3AC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委員邱鎮軍</w:t>
            </w:r>
          </w:p>
          <w:p w14:paraId="5211BCA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0D7E729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46FFA9C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59203E3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4FF6313"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B06DF7E" w14:textId="77777777" w:rsidTr="00AC616B">
        <w:tc>
          <w:tcPr>
            <w:tcW w:w="567" w:type="dxa"/>
            <w:shd w:val="clear" w:color="auto" w:fill="auto"/>
          </w:tcPr>
          <w:p w14:paraId="5C15367A"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4D7C1BC"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20.中華民國刑法第一百八十五條之三條文修正草案</w:t>
            </w:r>
          </w:p>
        </w:tc>
        <w:tc>
          <w:tcPr>
            <w:tcW w:w="1918" w:type="dxa"/>
            <w:shd w:val="clear" w:color="auto" w:fill="auto"/>
          </w:tcPr>
          <w:p w14:paraId="543013D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台灣民眾</w:t>
            </w:r>
            <w:proofErr w:type="gramStart"/>
            <w:r w:rsidRPr="001B6E4D">
              <w:rPr>
                <w:rFonts w:ascii="標楷體" w:eastAsia="標楷體" w:hAnsi="標楷體"/>
                <w:color w:val="000000"/>
                <w:kern w:val="0"/>
              </w:rPr>
              <w:t>黨</w:t>
            </w:r>
            <w:proofErr w:type="gramEnd"/>
            <w:r w:rsidRPr="001B6E4D">
              <w:rPr>
                <w:rFonts w:ascii="標楷體" w:eastAsia="標楷體" w:hAnsi="標楷體"/>
                <w:color w:val="000000"/>
                <w:kern w:val="0"/>
              </w:rPr>
              <w:t>黨團</w:t>
            </w:r>
          </w:p>
          <w:p w14:paraId="537661C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7F9198A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0F9A59E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F787400"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4015580" w14:textId="77777777" w:rsidTr="00AC616B">
        <w:tc>
          <w:tcPr>
            <w:tcW w:w="567" w:type="dxa"/>
            <w:shd w:val="clear" w:color="auto" w:fill="auto"/>
          </w:tcPr>
          <w:p w14:paraId="11B8C72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8BD0FF6"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21.中華民國刑法第一百八十五條之三條文修正草案</w:t>
            </w:r>
          </w:p>
        </w:tc>
        <w:tc>
          <w:tcPr>
            <w:tcW w:w="1918" w:type="dxa"/>
            <w:shd w:val="clear" w:color="auto" w:fill="auto"/>
          </w:tcPr>
          <w:p w14:paraId="081A46A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委員洪孟楷</w:t>
            </w:r>
          </w:p>
          <w:p w14:paraId="731653D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等21人</w:t>
            </w:r>
          </w:p>
          <w:p w14:paraId="3A9BDFC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08E5EDB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77DDD72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492EFAC"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0D6606FE" w14:textId="77777777" w:rsidTr="00AC616B">
        <w:tc>
          <w:tcPr>
            <w:tcW w:w="567" w:type="dxa"/>
            <w:shd w:val="clear" w:color="auto" w:fill="auto"/>
          </w:tcPr>
          <w:p w14:paraId="2239FC4C"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590BF8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22.中華民國刑法第一百八十五條之三條文修正草案</w:t>
            </w:r>
          </w:p>
        </w:tc>
        <w:tc>
          <w:tcPr>
            <w:tcW w:w="1918" w:type="dxa"/>
            <w:shd w:val="clear" w:color="auto" w:fill="auto"/>
          </w:tcPr>
          <w:p w14:paraId="3D11A38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委員葉元之</w:t>
            </w:r>
          </w:p>
          <w:p w14:paraId="68BB059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69D2A81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5186FDE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42C668D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0B01016"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362BE8D" w14:textId="77777777" w:rsidTr="00AC616B">
        <w:tc>
          <w:tcPr>
            <w:tcW w:w="567" w:type="dxa"/>
            <w:shd w:val="clear" w:color="auto" w:fill="auto"/>
          </w:tcPr>
          <w:p w14:paraId="1E270070"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9488B13"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23.中華民國刑法第一百八十五條之三條文修正草案</w:t>
            </w:r>
          </w:p>
        </w:tc>
        <w:tc>
          <w:tcPr>
            <w:tcW w:w="1918" w:type="dxa"/>
            <w:shd w:val="clear" w:color="auto" w:fill="auto"/>
          </w:tcPr>
          <w:p w14:paraId="4F0C2F3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委員王義川</w:t>
            </w:r>
          </w:p>
          <w:p w14:paraId="217B5C1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1488D0C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5FBDFD6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16AFC24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FBCA715"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7526110" w14:textId="77777777" w:rsidTr="00AC616B">
        <w:tc>
          <w:tcPr>
            <w:tcW w:w="567" w:type="dxa"/>
            <w:shd w:val="clear" w:color="auto" w:fill="auto"/>
          </w:tcPr>
          <w:p w14:paraId="6E34ECAE"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F68B7A8"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24.中華民國刑法第一百八十五條之三條文修正草案</w:t>
            </w:r>
          </w:p>
        </w:tc>
        <w:tc>
          <w:tcPr>
            <w:tcW w:w="1918" w:type="dxa"/>
            <w:shd w:val="clear" w:color="auto" w:fill="auto"/>
          </w:tcPr>
          <w:p w14:paraId="6F5AB05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委員賴士葆</w:t>
            </w:r>
          </w:p>
          <w:p w14:paraId="052B499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等25人</w:t>
            </w:r>
          </w:p>
          <w:p w14:paraId="68B27C1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2250846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05F561A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1AF2605"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902E052" w14:textId="77777777" w:rsidTr="00AC616B">
        <w:tc>
          <w:tcPr>
            <w:tcW w:w="567" w:type="dxa"/>
            <w:shd w:val="clear" w:color="auto" w:fill="auto"/>
          </w:tcPr>
          <w:p w14:paraId="1E627516"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2329167"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25.中華民國刑法第一百八十五條之三及第一百八十五條之五條文修正草案</w:t>
            </w:r>
          </w:p>
        </w:tc>
        <w:tc>
          <w:tcPr>
            <w:tcW w:w="1918" w:type="dxa"/>
            <w:shd w:val="clear" w:color="auto" w:fill="auto"/>
          </w:tcPr>
          <w:p w14:paraId="2900F00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w:t>
            </w:r>
            <w:proofErr w:type="gramStart"/>
            <w:r w:rsidRPr="001B6E4D">
              <w:rPr>
                <w:rFonts w:ascii="標楷體" w:eastAsia="標楷體" w:hAnsi="標楷體"/>
                <w:color w:val="000000"/>
                <w:kern w:val="0"/>
              </w:rPr>
              <w:t>涂</w:t>
            </w:r>
            <w:proofErr w:type="gramEnd"/>
            <w:r w:rsidRPr="001B6E4D">
              <w:rPr>
                <w:rFonts w:ascii="標楷體" w:eastAsia="標楷體" w:hAnsi="標楷體"/>
                <w:color w:val="000000"/>
                <w:kern w:val="0"/>
              </w:rPr>
              <w:t>權吉</w:t>
            </w:r>
          </w:p>
          <w:p w14:paraId="24057E6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01CE4BC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623D9A0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704C14F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1CCCDE0"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09FFE2E3" w14:textId="77777777" w:rsidTr="00AC616B">
        <w:tc>
          <w:tcPr>
            <w:tcW w:w="567" w:type="dxa"/>
            <w:shd w:val="clear" w:color="auto" w:fill="auto"/>
          </w:tcPr>
          <w:p w14:paraId="1E646A61"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D51D4B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26.中華民國刑法第一百八十五條之三條文修正草案</w:t>
            </w:r>
          </w:p>
        </w:tc>
        <w:tc>
          <w:tcPr>
            <w:tcW w:w="1918" w:type="dxa"/>
            <w:shd w:val="clear" w:color="auto" w:fill="auto"/>
          </w:tcPr>
          <w:p w14:paraId="175B5E2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委員楊瓊瓔</w:t>
            </w:r>
          </w:p>
          <w:p w14:paraId="2737016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等31人</w:t>
            </w:r>
          </w:p>
          <w:p w14:paraId="043E08C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5AE3F99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76EABEE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6AB0587"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73D31D14" w14:textId="77777777" w:rsidTr="00AC616B">
        <w:tc>
          <w:tcPr>
            <w:tcW w:w="567" w:type="dxa"/>
            <w:shd w:val="clear" w:color="auto" w:fill="auto"/>
          </w:tcPr>
          <w:p w14:paraId="38AFE5F2"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F1559B1"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27.中華民國刑法第一百八十五條之三條文修正草案</w:t>
            </w:r>
          </w:p>
        </w:tc>
        <w:tc>
          <w:tcPr>
            <w:tcW w:w="1918" w:type="dxa"/>
            <w:shd w:val="clear" w:color="auto" w:fill="auto"/>
          </w:tcPr>
          <w:p w14:paraId="011EC0E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委員魯明哲</w:t>
            </w:r>
          </w:p>
          <w:p w14:paraId="13DB437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5DB74AF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5BC420A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0E24FE3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C390DCC"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7C17656" w14:textId="77777777" w:rsidTr="00AC616B">
        <w:tc>
          <w:tcPr>
            <w:tcW w:w="567" w:type="dxa"/>
            <w:shd w:val="clear" w:color="auto" w:fill="auto"/>
          </w:tcPr>
          <w:p w14:paraId="050F7D8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E4F8839"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28.中華民國刑法第一百八十五條之三條文修正草案</w:t>
            </w:r>
          </w:p>
        </w:tc>
        <w:tc>
          <w:tcPr>
            <w:tcW w:w="1918" w:type="dxa"/>
            <w:shd w:val="clear" w:color="auto" w:fill="auto"/>
          </w:tcPr>
          <w:p w14:paraId="0C29C6E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委員張嘉郡</w:t>
            </w:r>
          </w:p>
          <w:p w14:paraId="39C1523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等21人</w:t>
            </w:r>
          </w:p>
          <w:p w14:paraId="487C7CF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6AD41B2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（11-5-15）</w:t>
            </w:r>
          </w:p>
        </w:tc>
        <w:tc>
          <w:tcPr>
            <w:tcW w:w="1985" w:type="dxa"/>
            <w:vMerge/>
            <w:shd w:val="clear" w:color="auto" w:fill="auto"/>
          </w:tcPr>
          <w:p w14:paraId="6621885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F7788A2"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CC791A1" w14:textId="77777777" w:rsidTr="00AC616B">
        <w:tc>
          <w:tcPr>
            <w:tcW w:w="567" w:type="dxa"/>
            <w:shd w:val="clear" w:color="auto" w:fill="auto"/>
          </w:tcPr>
          <w:p w14:paraId="73E57FA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65F35A2"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29.中華民國刑法第一百八十五條之三條文修正草案</w:t>
            </w:r>
          </w:p>
        </w:tc>
        <w:tc>
          <w:tcPr>
            <w:tcW w:w="1918" w:type="dxa"/>
            <w:shd w:val="clear" w:color="auto" w:fill="auto"/>
          </w:tcPr>
          <w:p w14:paraId="4D996D6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委員王育敏</w:t>
            </w:r>
          </w:p>
          <w:p w14:paraId="120600C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0B5974C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01E24BB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617E84C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DB82746"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7C52649" w14:textId="77777777" w:rsidTr="00AC616B">
        <w:tc>
          <w:tcPr>
            <w:tcW w:w="567" w:type="dxa"/>
            <w:shd w:val="clear" w:color="auto" w:fill="auto"/>
          </w:tcPr>
          <w:p w14:paraId="7F2AA839"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28491A3"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30.中華民國刑法第一百八十五條之三條文修正草案</w:t>
            </w:r>
          </w:p>
        </w:tc>
        <w:tc>
          <w:tcPr>
            <w:tcW w:w="1918" w:type="dxa"/>
            <w:shd w:val="clear" w:color="auto" w:fill="auto"/>
          </w:tcPr>
          <w:p w14:paraId="52D3E8A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委員黃健豪</w:t>
            </w:r>
          </w:p>
          <w:p w14:paraId="2691A26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3C10A27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6536510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6FD0500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59B7430"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ABDB94C" w14:textId="77777777" w:rsidTr="00AC616B">
        <w:tc>
          <w:tcPr>
            <w:tcW w:w="567" w:type="dxa"/>
            <w:shd w:val="clear" w:color="auto" w:fill="auto"/>
          </w:tcPr>
          <w:p w14:paraId="415A97FC"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B8573BD"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31.中華民國刑法第一百八十五條之三條文修正草案</w:t>
            </w:r>
          </w:p>
        </w:tc>
        <w:tc>
          <w:tcPr>
            <w:tcW w:w="1918" w:type="dxa"/>
            <w:shd w:val="clear" w:color="auto" w:fill="auto"/>
          </w:tcPr>
          <w:p w14:paraId="59B607A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委員王美惠</w:t>
            </w:r>
          </w:p>
          <w:p w14:paraId="3750846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26F380F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66A743A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39DAE87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E14B057"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D1D614B" w14:textId="77777777" w:rsidTr="00AC616B">
        <w:tc>
          <w:tcPr>
            <w:tcW w:w="567" w:type="dxa"/>
            <w:shd w:val="clear" w:color="auto" w:fill="auto"/>
          </w:tcPr>
          <w:p w14:paraId="7B7A5B3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00A5F8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32.中華民國刑法第一百八十五條之三條文修正草案</w:t>
            </w:r>
          </w:p>
        </w:tc>
        <w:tc>
          <w:tcPr>
            <w:tcW w:w="1918" w:type="dxa"/>
            <w:shd w:val="clear" w:color="auto" w:fill="auto"/>
          </w:tcPr>
          <w:p w14:paraId="4900161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委員陳素月</w:t>
            </w:r>
          </w:p>
          <w:p w14:paraId="235B30F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7C73373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6B19587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4663F59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3D1A7C2"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7FFBADD" w14:textId="77777777" w:rsidTr="00AC616B">
        <w:tc>
          <w:tcPr>
            <w:tcW w:w="567" w:type="dxa"/>
            <w:shd w:val="clear" w:color="auto" w:fill="auto"/>
          </w:tcPr>
          <w:p w14:paraId="0B2A4D5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0E5ED4D"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33.中華民國刑法第一百八十五條之三條文修正草案</w:t>
            </w:r>
          </w:p>
        </w:tc>
        <w:tc>
          <w:tcPr>
            <w:tcW w:w="1918" w:type="dxa"/>
            <w:shd w:val="clear" w:color="auto" w:fill="auto"/>
          </w:tcPr>
          <w:p w14:paraId="3FCD95F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委員林淑芬</w:t>
            </w:r>
          </w:p>
          <w:p w14:paraId="4CFFDDD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等26人</w:t>
            </w:r>
          </w:p>
          <w:p w14:paraId="0EEEF75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0092D9B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1CB5E0B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879E981"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26CF636" w14:textId="77777777" w:rsidTr="00AC616B">
        <w:tc>
          <w:tcPr>
            <w:tcW w:w="567" w:type="dxa"/>
            <w:shd w:val="clear" w:color="auto" w:fill="auto"/>
          </w:tcPr>
          <w:p w14:paraId="38B08CEF"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681B8A7C"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34.中華民國刑法第一百八十五條之三條文修正草案</w:t>
            </w:r>
          </w:p>
        </w:tc>
        <w:tc>
          <w:tcPr>
            <w:tcW w:w="1918" w:type="dxa"/>
            <w:shd w:val="clear" w:color="auto" w:fill="auto"/>
          </w:tcPr>
          <w:p w14:paraId="039C92D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委員李坤城</w:t>
            </w:r>
          </w:p>
          <w:p w14:paraId="28B9E2C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7E3DA74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1E468D4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13A7CCC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7675678"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0163877" w14:textId="77777777" w:rsidTr="00AC616B">
        <w:tc>
          <w:tcPr>
            <w:tcW w:w="567" w:type="dxa"/>
            <w:shd w:val="clear" w:color="auto" w:fill="auto"/>
          </w:tcPr>
          <w:p w14:paraId="692E4D6E"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05D70A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35.中華民國刑法第一百八十五條之三及第一百八十五條之五條文修正草案</w:t>
            </w:r>
          </w:p>
        </w:tc>
        <w:tc>
          <w:tcPr>
            <w:tcW w:w="1918" w:type="dxa"/>
            <w:shd w:val="clear" w:color="auto" w:fill="auto"/>
          </w:tcPr>
          <w:p w14:paraId="0BB825B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w:t>
            </w:r>
            <w:proofErr w:type="gramStart"/>
            <w:r w:rsidRPr="001B6E4D">
              <w:rPr>
                <w:rFonts w:ascii="標楷體" w:eastAsia="標楷體" w:hAnsi="標楷體"/>
                <w:color w:val="000000"/>
                <w:kern w:val="0"/>
              </w:rPr>
              <w:t>盧</w:t>
            </w:r>
            <w:proofErr w:type="gramEnd"/>
            <w:r w:rsidRPr="001B6E4D">
              <w:rPr>
                <w:rFonts w:ascii="標楷體" w:eastAsia="標楷體" w:hAnsi="標楷體"/>
                <w:color w:val="000000"/>
                <w:kern w:val="0"/>
              </w:rPr>
              <w:t>縣</w:t>
            </w:r>
            <w:proofErr w:type="gramStart"/>
            <w:r w:rsidRPr="001B6E4D">
              <w:rPr>
                <w:rFonts w:ascii="標楷體" w:eastAsia="標楷體" w:hAnsi="標楷體"/>
                <w:color w:val="000000"/>
                <w:kern w:val="0"/>
              </w:rPr>
              <w:t>一</w:t>
            </w:r>
            <w:proofErr w:type="gramEnd"/>
          </w:p>
          <w:p w14:paraId="328ABB6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0F44894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535261D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1A80968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21A9014"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3C70C31" w14:textId="77777777" w:rsidTr="00AC616B">
        <w:tc>
          <w:tcPr>
            <w:tcW w:w="567" w:type="dxa"/>
            <w:shd w:val="clear" w:color="auto" w:fill="auto"/>
          </w:tcPr>
          <w:p w14:paraId="4F8107F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41B8DA9"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36.中華民國刑法第一百八十五條之三條文修正草案</w:t>
            </w:r>
          </w:p>
        </w:tc>
        <w:tc>
          <w:tcPr>
            <w:tcW w:w="1918" w:type="dxa"/>
            <w:shd w:val="clear" w:color="auto" w:fill="auto"/>
          </w:tcPr>
          <w:p w14:paraId="50165AB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委員謝龍介</w:t>
            </w:r>
          </w:p>
          <w:p w14:paraId="04A2316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5D4D6AD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7E07DB8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0E7E5AD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0706B09"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CFF8692" w14:textId="77777777" w:rsidTr="00AC616B">
        <w:tc>
          <w:tcPr>
            <w:tcW w:w="567" w:type="dxa"/>
            <w:shd w:val="clear" w:color="auto" w:fill="auto"/>
          </w:tcPr>
          <w:p w14:paraId="562B780F"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CA9C37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37.中華民國刑法第一百八十五條之三條文修正草案</w:t>
            </w:r>
          </w:p>
        </w:tc>
        <w:tc>
          <w:tcPr>
            <w:tcW w:w="1918" w:type="dxa"/>
            <w:shd w:val="clear" w:color="auto" w:fill="auto"/>
          </w:tcPr>
          <w:p w14:paraId="77BDB62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委員羅智強</w:t>
            </w:r>
          </w:p>
          <w:p w14:paraId="4400E56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716DA35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161F40C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4804F0E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09B9DC0"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16BB4BB" w14:textId="77777777" w:rsidTr="00AC616B">
        <w:tc>
          <w:tcPr>
            <w:tcW w:w="567" w:type="dxa"/>
            <w:shd w:val="clear" w:color="auto" w:fill="auto"/>
          </w:tcPr>
          <w:p w14:paraId="21DA753F"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4D0A79C"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38.中華民國刑法第一百八十五條之三條文修正草案</w:t>
            </w:r>
          </w:p>
        </w:tc>
        <w:tc>
          <w:tcPr>
            <w:tcW w:w="1918" w:type="dxa"/>
            <w:shd w:val="clear" w:color="auto" w:fill="auto"/>
          </w:tcPr>
          <w:p w14:paraId="63BAEE9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委員翁曉玲</w:t>
            </w:r>
          </w:p>
          <w:p w14:paraId="155F749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0A09848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2A2CF7B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1A272F4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C4E42F5"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F3029CE" w14:textId="77777777" w:rsidTr="00AC616B">
        <w:tc>
          <w:tcPr>
            <w:tcW w:w="567" w:type="dxa"/>
            <w:shd w:val="clear" w:color="auto" w:fill="auto"/>
          </w:tcPr>
          <w:p w14:paraId="6C0129FF"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3B50118"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39.中華民國刑法第一百八十五條之三條文修正草案</w:t>
            </w:r>
          </w:p>
        </w:tc>
        <w:tc>
          <w:tcPr>
            <w:tcW w:w="1918" w:type="dxa"/>
            <w:shd w:val="clear" w:color="auto" w:fill="auto"/>
          </w:tcPr>
          <w:p w14:paraId="51F7A71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委員李彥秀</w:t>
            </w:r>
          </w:p>
          <w:p w14:paraId="24D2387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2FCCBA3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5C0FD3E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（11-5-16）</w:t>
            </w:r>
          </w:p>
        </w:tc>
        <w:tc>
          <w:tcPr>
            <w:tcW w:w="1985" w:type="dxa"/>
            <w:vMerge/>
            <w:shd w:val="clear" w:color="auto" w:fill="auto"/>
          </w:tcPr>
          <w:p w14:paraId="6641002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6B0FEE9"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804F1F2" w14:textId="77777777" w:rsidTr="00AC616B">
        <w:tc>
          <w:tcPr>
            <w:tcW w:w="567" w:type="dxa"/>
            <w:shd w:val="clear" w:color="auto" w:fill="auto"/>
          </w:tcPr>
          <w:p w14:paraId="65C092A9"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7C73A88"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40.中華民國刑法第一百八十五條之三條文修正草案</w:t>
            </w:r>
          </w:p>
        </w:tc>
        <w:tc>
          <w:tcPr>
            <w:tcW w:w="1918" w:type="dxa"/>
            <w:shd w:val="clear" w:color="auto" w:fill="auto"/>
          </w:tcPr>
          <w:p w14:paraId="211D44C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委員許宇</w:t>
            </w:r>
            <w:proofErr w:type="gramStart"/>
            <w:r w:rsidRPr="001B6E4D">
              <w:rPr>
                <w:rFonts w:ascii="標楷體" w:eastAsia="標楷體" w:hAnsi="標楷體"/>
                <w:color w:val="000000"/>
                <w:kern w:val="0"/>
              </w:rPr>
              <w:t>甄</w:t>
            </w:r>
            <w:proofErr w:type="gramEnd"/>
          </w:p>
          <w:p w14:paraId="7AE46A2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等23人</w:t>
            </w:r>
          </w:p>
          <w:p w14:paraId="27C9F8B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0A568EE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35B5A77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4E533E7"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E6607C3" w14:textId="77777777" w:rsidTr="00AC616B">
        <w:tc>
          <w:tcPr>
            <w:tcW w:w="567" w:type="dxa"/>
            <w:shd w:val="clear" w:color="auto" w:fill="auto"/>
          </w:tcPr>
          <w:p w14:paraId="30C2A044"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58B11E4"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41.中華民國刑法第一百八十五條之三條文修正草案</w:t>
            </w:r>
          </w:p>
        </w:tc>
        <w:tc>
          <w:tcPr>
            <w:tcW w:w="1918" w:type="dxa"/>
            <w:shd w:val="clear" w:color="auto" w:fill="auto"/>
          </w:tcPr>
          <w:p w14:paraId="333A32B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委員萬美玲</w:t>
            </w:r>
          </w:p>
          <w:p w14:paraId="5AB87CF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729F959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6F3B2EC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4C7E6F9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98CECD2"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386EE61" w14:textId="77777777" w:rsidTr="00AC616B">
        <w:tc>
          <w:tcPr>
            <w:tcW w:w="567" w:type="dxa"/>
            <w:shd w:val="clear" w:color="auto" w:fill="auto"/>
          </w:tcPr>
          <w:p w14:paraId="4B4484A7"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EA1D914"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42.中華民國刑法第一百八十五條之三條文修正草案</w:t>
            </w:r>
          </w:p>
        </w:tc>
        <w:tc>
          <w:tcPr>
            <w:tcW w:w="1918" w:type="dxa"/>
            <w:shd w:val="clear" w:color="auto" w:fill="auto"/>
          </w:tcPr>
          <w:p w14:paraId="4211A90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委員林楚</w:t>
            </w:r>
            <w:proofErr w:type="gramStart"/>
            <w:r w:rsidRPr="001B6E4D">
              <w:rPr>
                <w:rFonts w:ascii="標楷體" w:eastAsia="標楷體" w:hAnsi="標楷體"/>
                <w:color w:val="000000"/>
                <w:kern w:val="0"/>
              </w:rPr>
              <w:t>茵</w:t>
            </w:r>
            <w:proofErr w:type="gramEnd"/>
          </w:p>
          <w:p w14:paraId="3A8D9C4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65B10E8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54866C5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43F71AA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79C6325C"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1CD4678" w14:textId="77777777" w:rsidTr="00AC616B">
        <w:tc>
          <w:tcPr>
            <w:tcW w:w="567" w:type="dxa"/>
            <w:shd w:val="clear" w:color="auto" w:fill="auto"/>
          </w:tcPr>
          <w:p w14:paraId="2A73DBED"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9C8E106"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43.中華民國刑法第一百八十五條之三條文修正草案</w:t>
            </w:r>
          </w:p>
        </w:tc>
        <w:tc>
          <w:tcPr>
            <w:tcW w:w="1918" w:type="dxa"/>
            <w:shd w:val="clear" w:color="auto" w:fill="auto"/>
          </w:tcPr>
          <w:p w14:paraId="6A6D796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委員羅美玲</w:t>
            </w:r>
          </w:p>
          <w:p w14:paraId="04D800B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6D9F8C0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1CCC8AF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6DFC011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77C1D31F"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D19A2BF" w14:textId="77777777" w:rsidTr="00AC616B">
        <w:tc>
          <w:tcPr>
            <w:tcW w:w="567" w:type="dxa"/>
            <w:shd w:val="clear" w:color="auto" w:fill="auto"/>
          </w:tcPr>
          <w:p w14:paraId="1B154D53"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B4439ED"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44.中華民國刑法第一百八十五條之三條文修正草案</w:t>
            </w:r>
          </w:p>
        </w:tc>
        <w:tc>
          <w:tcPr>
            <w:tcW w:w="1918" w:type="dxa"/>
            <w:shd w:val="clear" w:color="auto" w:fill="auto"/>
          </w:tcPr>
          <w:p w14:paraId="236F0B9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委員陳培瑜</w:t>
            </w:r>
          </w:p>
          <w:p w14:paraId="761C9F8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4321120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66BD667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0B11C25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3598A40"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EEC0E78" w14:textId="77777777" w:rsidTr="00AC616B">
        <w:tc>
          <w:tcPr>
            <w:tcW w:w="567" w:type="dxa"/>
            <w:shd w:val="clear" w:color="auto" w:fill="auto"/>
          </w:tcPr>
          <w:p w14:paraId="3B857000"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9267816"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45.中華民國刑法第一百八十五條之三及第一百八十五條之五條文修正草案</w:t>
            </w:r>
          </w:p>
        </w:tc>
        <w:tc>
          <w:tcPr>
            <w:tcW w:w="1918" w:type="dxa"/>
            <w:shd w:val="clear" w:color="auto" w:fill="auto"/>
          </w:tcPr>
          <w:p w14:paraId="23D98D6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委員張宏陸</w:t>
            </w:r>
          </w:p>
          <w:p w14:paraId="6C13799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等21人</w:t>
            </w:r>
          </w:p>
          <w:p w14:paraId="422CA4B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45B8F5D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3BC641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D58B387"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37C28EF" w14:textId="77777777" w:rsidTr="00AC616B">
        <w:tc>
          <w:tcPr>
            <w:tcW w:w="567" w:type="dxa"/>
            <w:shd w:val="clear" w:color="auto" w:fill="auto"/>
          </w:tcPr>
          <w:p w14:paraId="20F3F5ED"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A2E40E4"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46.中華民國刑法第一百八十五條之三條文修正草案</w:t>
            </w:r>
          </w:p>
        </w:tc>
        <w:tc>
          <w:tcPr>
            <w:tcW w:w="1918" w:type="dxa"/>
            <w:shd w:val="clear" w:color="auto" w:fill="auto"/>
          </w:tcPr>
          <w:p w14:paraId="6B7C42B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委員李柏毅</w:t>
            </w:r>
          </w:p>
          <w:p w14:paraId="1918692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5886F4F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4C7105A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26F34BB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EAC4FBF"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3184DD7" w14:textId="77777777" w:rsidTr="00AC616B">
        <w:tc>
          <w:tcPr>
            <w:tcW w:w="567" w:type="dxa"/>
            <w:shd w:val="clear" w:color="auto" w:fill="auto"/>
          </w:tcPr>
          <w:p w14:paraId="1D3B046F"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C25E538"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47.中華民國刑法第一百八十五條之三條文修正草案</w:t>
            </w:r>
          </w:p>
        </w:tc>
        <w:tc>
          <w:tcPr>
            <w:tcW w:w="1918" w:type="dxa"/>
            <w:shd w:val="clear" w:color="auto" w:fill="auto"/>
          </w:tcPr>
          <w:p w14:paraId="54D79FC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委員廖偉翔</w:t>
            </w:r>
          </w:p>
          <w:p w14:paraId="6F1ABBD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6FA3FED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173734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4519BB5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735B974"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32D05C3" w14:textId="77777777" w:rsidTr="00AC616B">
        <w:tc>
          <w:tcPr>
            <w:tcW w:w="567" w:type="dxa"/>
            <w:shd w:val="clear" w:color="auto" w:fill="auto"/>
          </w:tcPr>
          <w:p w14:paraId="466EFB82"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AB3923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48.中華民國刑法第一百八十五條之三條文修正草案</w:t>
            </w:r>
          </w:p>
        </w:tc>
        <w:tc>
          <w:tcPr>
            <w:tcW w:w="1918" w:type="dxa"/>
            <w:shd w:val="clear" w:color="auto" w:fill="auto"/>
          </w:tcPr>
          <w:p w14:paraId="45FD996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委員伍麗華</w:t>
            </w:r>
          </w:p>
          <w:p w14:paraId="2CF2F88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Saidhai</w:t>
            </w:r>
            <w:proofErr w:type="spellEnd"/>
            <w:r w:rsidRPr="001B6E4D">
              <w:rPr>
                <w:rFonts w:ascii="標楷體" w:eastAsia="標楷體" w:hAnsi="標楷體"/>
                <w:color w:val="000000"/>
                <w:kern w:val="0"/>
              </w:rPr>
              <w:t>‧</w:t>
            </w:r>
          </w:p>
          <w:p w14:paraId="00364E4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Tahovecahe</w:t>
            </w:r>
            <w:proofErr w:type="spellEnd"/>
          </w:p>
          <w:p w14:paraId="3E64F85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42971A1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39CFA97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EA5D36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AAD3DE9"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0792B442" w14:textId="77777777" w:rsidTr="00AC616B">
        <w:tc>
          <w:tcPr>
            <w:tcW w:w="567" w:type="dxa"/>
            <w:shd w:val="clear" w:color="auto" w:fill="auto"/>
          </w:tcPr>
          <w:p w14:paraId="4142D5D1"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C1193C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49.中華民國刑法第一百八十五條之三條文修正草案</w:t>
            </w:r>
          </w:p>
        </w:tc>
        <w:tc>
          <w:tcPr>
            <w:tcW w:w="1918" w:type="dxa"/>
            <w:shd w:val="clear" w:color="auto" w:fill="auto"/>
          </w:tcPr>
          <w:p w14:paraId="096040B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委員蔡易餘</w:t>
            </w:r>
          </w:p>
          <w:p w14:paraId="4C9FA87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240F8E7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3DA2B6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3BFC7A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F5B95E8"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AA28E15" w14:textId="77777777" w:rsidTr="00AC616B">
        <w:tc>
          <w:tcPr>
            <w:tcW w:w="567" w:type="dxa"/>
            <w:shd w:val="clear" w:color="auto" w:fill="auto"/>
          </w:tcPr>
          <w:p w14:paraId="221A0CB0"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C658511"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50.中華民國刑法</w:t>
            </w:r>
            <w:r w:rsidRPr="001B6E4D">
              <w:rPr>
                <w:rFonts w:ascii="標楷體" w:eastAsia="標楷體" w:hAnsi="標楷體"/>
                <w:color w:val="000000"/>
                <w:kern w:val="0"/>
              </w:rPr>
              <w:lastRenderedPageBreak/>
              <w:t>第一百八十五條之三條文修正草案</w:t>
            </w:r>
          </w:p>
        </w:tc>
        <w:tc>
          <w:tcPr>
            <w:tcW w:w="1918" w:type="dxa"/>
            <w:shd w:val="clear" w:color="auto" w:fill="auto"/>
          </w:tcPr>
          <w:p w14:paraId="3DAEC1C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委員徐富</w:t>
            </w:r>
            <w:proofErr w:type="gramStart"/>
            <w:r w:rsidRPr="001B6E4D">
              <w:rPr>
                <w:rFonts w:ascii="標楷體" w:eastAsia="標楷體" w:hAnsi="標楷體"/>
                <w:color w:val="000000"/>
                <w:kern w:val="0"/>
              </w:rPr>
              <w:t>癸</w:t>
            </w:r>
            <w:proofErr w:type="gramEnd"/>
          </w:p>
          <w:p w14:paraId="744DD38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等17人</w:t>
            </w:r>
          </w:p>
          <w:p w14:paraId="68B7C34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6CCB0BF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449659F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7066020"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ED20274" w14:textId="77777777" w:rsidTr="00AC616B">
        <w:tc>
          <w:tcPr>
            <w:tcW w:w="567" w:type="dxa"/>
            <w:shd w:val="clear" w:color="auto" w:fill="auto"/>
          </w:tcPr>
          <w:p w14:paraId="3931890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C62C3BC"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51.中華民國刑法第一百八十五條之三條文修正草案</w:t>
            </w:r>
          </w:p>
        </w:tc>
        <w:tc>
          <w:tcPr>
            <w:tcW w:w="1918" w:type="dxa"/>
            <w:shd w:val="clear" w:color="auto" w:fill="auto"/>
          </w:tcPr>
          <w:p w14:paraId="33FBD63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委員何欣純</w:t>
            </w:r>
          </w:p>
          <w:p w14:paraId="5F56E54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23A6F66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574812A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02FF875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FF75704"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F562B52" w14:textId="77777777" w:rsidTr="00AC616B">
        <w:tc>
          <w:tcPr>
            <w:tcW w:w="567" w:type="dxa"/>
            <w:shd w:val="clear" w:color="auto" w:fill="auto"/>
          </w:tcPr>
          <w:p w14:paraId="09B5105C"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2414269"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52.中華民國刑法第一百八十五條之三條文修正草案</w:t>
            </w:r>
          </w:p>
        </w:tc>
        <w:tc>
          <w:tcPr>
            <w:tcW w:w="1918" w:type="dxa"/>
            <w:shd w:val="clear" w:color="auto" w:fill="auto"/>
          </w:tcPr>
          <w:p w14:paraId="1C9D775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委員林宜瑾</w:t>
            </w:r>
          </w:p>
          <w:p w14:paraId="5FF7D2C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等23人</w:t>
            </w:r>
          </w:p>
          <w:p w14:paraId="415DA6B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40D1511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3921737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3578355"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A6A0F8C" w14:textId="77777777" w:rsidTr="00AC616B">
        <w:tc>
          <w:tcPr>
            <w:tcW w:w="567" w:type="dxa"/>
            <w:shd w:val="clear" w:color="auto" w:fill="auto"/>
          </w:tcPr>
          <w:p w14:paraId="07C8C1A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BBA0DD8"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53.中華民國刑法第一百八十五條之三條文修正草案</w:t>
            </w:r>
          </w:p>
        </w:tc>
        <w:tc>
          <w:tcPr>
            <w:tcW w:w="1918" w:type="dxa"/>
            <w:shd w:val="clear" w:color="auto" w:fill="auto"/>
          </w:tcPr>
          <w:p w14:paraId="6BB1D9B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委員羅廷</w:t>
            </w:r>
            <w:proofErr w:type="gramStart"/>
            <w:r w:rsidRPr="001B6E4D">
              <w:rPr>
                <w:rFonts w:ascii="標楷體" w:eastAsia="標楷體" w:hAnsi="標楷體"/>
                <w:color w:val="000000"/>
                <w:kern w:val="0"/>
              </w:rPr>
              <w:t>瑋</w:t>
            </w:r>
            <w:proofErr w:type="gramEnd"/>
          </w:p>
          <w:p w14:paraId="20F9BE1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27FF0B6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7E65DA2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246E81D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E785BE4"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6F78906" w14:textId="77777777" w:rsidTr="00AC616B">
        <w:tc>
          <w:tcPr>
            <w:tcW w:w="567" w:type="dxa"/>
            <w:shd w:val="clear" w:color="auto" w:fill="auto"/>
          </w:tcPr>
          <w:p w14:paraId="41E33FE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6177D26"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54.中華民國刑法第一百八十五條之三條文修正草案</w:t>
            </w:r>
          </w:p>
        </w:tc>
        <w:tc>
          <w:tcPr>
            <w:tcW w:w="1918" w:type="dxa"/>
            <w:shd w:val="clear" w:color="auto" w:fill="auto"/>
          </w:tcPr>
          <w:p w14:paraId="0E28FAC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委員劉建國</w:t>
            </w:r>
          </w:p>
          <w:p w14:paraId="5529E50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43435E7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A8B9B7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28D768A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AD70C16"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7DA111A3" w14:textId="77777777" w:rsidTr="00AC616B">
        <w:tc>
          <w:tcPr>
            <w:tcW w:w="567" w:type="dxa"/>
            <w:shd w:val="clear" w:color="auto" w:fill="auto"/>
          </w:tcPr>
          <w:p w14:paraId="71508DB5"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A59537D"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55.中華民國刑法第一百八十五條之三條文修正草案</w:t>
            </w:r>
          </w:p>
        </w:tc>
        <w:tc>
          <w:tcPr>
            <w:tcW w:w="1918" w:type="dxa"/>
            <w:shd w:val="clear" w:color="auto" w:fill="auto"/>
          </w:tcPr>
          <w:p w14:paraId="0FE4AA4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委員賴惠員</w:t>
            </w:r>
          </w:p>
          <w:p w14:paraId="5264D3F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124555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69EBB82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1305D66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1FE8E2C"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7CDD1E0C" w14:textId="77777777" w:rsidTr="00AC616B">
        <w:tc>
          <w:tcPr>
            <w:tcW w:w="567" w:type="dxa"/>
            <w:shd w:val="clear" w:color="auto" w:fill="auto"/>
          </w:tcPr>
          <w:p w14:paraId="272E8A62"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F7FA84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56.中華民國刑法第一百八十五條之三條文修正草案</w:t>
            </w:r>
          </w:p>
        </w:tc>
        <w:tc>
          <w:tcPr>
            <w:tcW w:w="1918" w:type="dxa"/>
            <w:shd w:val="clear" w:color="auto" w:fill="auto"/>
          </w:tcPr>
          <w:p w14:paraId="1F68252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委員郭昱晴</w:t>
            </w:r>
          </w:p>
          <w:p w14:paraId="7966362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6139B44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115.07.17</w:t>
            </w:r>
          </w:p>
          <w:p w14:paraId="7DC6679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（11-5-18）</w:t>
            </w:r>
          </w:p>
        </w:tc>
        <w:tc>
          <w:tcPr>
            <w:tcW w:w="1985" w:type="dxa"/>
            <w:vMerge/>
            <w:shd w:val="clear" w:color="auto" w:fill="auto"/>
          </w:tcPr>
          <w:p w14:paraId="3F816E4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370E3B9"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9E08832" w14:textId="77777777" w:rsidTr="00AC616B">
        <w:tc>
          <w:tcPr>
            <w:tcW w:w="567" w:type="dxa"/>
            <w:shd w:val="clear" w:color="auto" w:fill="auto"/>
          </w:tcPr>
          <w:p w14:paraId="49D6BD80"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E30BD2D"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ED653D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行政院</w:t>
            </w:r>
          </w:p>
          <w:p w14:paraId="3F5B5FE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2F7B2A5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val="restart"/>
            <w:shd w:val="clear" w:color="auto" w:fill="auto"/>
          </w:tcPr>
          <w:p w14:paraId="23140407" w14:textId="77777777" w:rsidR="00AF4F05" w:rsidRPr="001B6E4D" w:rsidRDefault="00AF4F0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司法及法制</w:t>
            </w:r>
          </w:p>
          <w:p w14:paraId="51EB51C4" w14:textId="77777777" w:rsidR="00AF4F05" w:rsidRPr="001B6E4D" w:rsidRDefault="00AF4F0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hint="eastAsia"/>
                <w:color w:val="000000"/>
                <w:kern w:val="0"/>
              </w:rPr>
              <w:t>莊召集委員瑞雄</w:t>
            </w:r>
          </w:p>
        </w:tc>
        <w:tc>
          <w:tcPr>
            <w:tcW w:w="2279" w:type="dxa"/>
            <w:vMerge w:val="restart"/>
            <w:shd w:val="clear" w:color="auto" w:fill="auto"/>
          </w:tcPr>
          <w:p w14:paraId="4BACA225" w14:textId="77777777" w:rsidR="00AF4F05" w:rsidRPr="001B6E4D" w:rsidRDefault="00AF4F0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1</w:t>
            </w:r>
            <w:r w:rsidRPr="001B6E4D">
              <w:rPr>
                <w:rFonts w:ascii="標楷體" w:eastAsia="標楷體" w:hAnsi="標楷體"/>
                <w:color w:val="000000"/>
                <w:kern w:val="0"/>
              </w:rPr>
              <w:t>.</w:t>
            </w:r>
            <w:r w:rsidRPr="001B6E4D">
              <w:rPr>
                <w:rFonts w:ascii="標楷體" w:eastAsia="標楷體" w:hAnsi="標楷體" w:hint="eastAsia"/>
                <w:color w:val="000000"/>
                <w:kern w:val="0"/>
              </w:rPr>
              <w:t>第1-</w:t>
            </w:r>
            <w:r w:rsidRPr="001B6E4D">
              <w:rPr>
                <w:rFonts w:ascii="標楷體" w:eastAsia="標楷體" w:hAnsi="標楷體"/>
                <w:color w:val="000000"/>
                <w:kern w:val="0"/>
              </w:rPr>
              <w:t>8</w:t>
            </w:r>
            <w:r w:rsidRPr="001B6E4D">
              <w:rPr>
                <w:rFonts w:ascii="標楷體" w:eastAsia="標楷體" w:hAnsi="標楷體" w:hint="eastAsia"/>
                <w:color w:val="000000"/>
                <w:kern w:val="0"/>
              </w:rPr>
              <w:t>案</w:t>
            </w:r>
            <w:r w:rsidRPr="001B6E4D">
              <w:rPr>
                <w:rFonts w:ascii="標楷體" w:eastAsia="標楷體" w:hAnsi="標楷體"/>
                <w:color w:val="000000"/>
                <w:kern w:val="0"/>
              </w:rPr>
              <w:br/>
              <w:t>本會</w:t>
            </w:r>
            <w:r w:rsidRPr="001B6E4D">
              <w:rPr>
                <w:rFonts w:ascii="標楷體" w:eastAsia="標楷體" w:hAnsi="標楷體"/>
                <w:color w:val="000000"/>
                <w:kern w:val="0"/>
              </w:rPr>
              <w:br/>
              <w:t>115.7.15</w:t>
            </w:r>
            <w:r w:rsidRPr="001B6E4D">
              <w:rPr>
                <w:rFonts w:ascii="標楷體" w:eastAsia="標楷體" w:hAnsi="標楷體"/>
                <w:color w:val="000000"/>
                <w:kern w:val="0"/>
              </w:rPr>
              <w:br/>
              <w:t>(11-5-25)報告及</w:t>
            </w:r>
            <w:proofErr w:type="gramStart"/>
            <w:r w:rsidRPr="001B6E4D">
              <w:rPr>
                <w:rFonts w:ascii="標楷體" w:eastAsia="標楷體" w:hAnsi="標楷體"/>
                <w:color w:val="000000"/>
                <w:kern w:val="0"/>
              </w:rPr>
              <w:t>詢</w:t>
            </w:r>
            <w:proofErr w:type="gramEnd"/>
            <w:r w:rsidRPr="001B6E4D">
              <w:rPr>
                <w:rFonts w:ascii="標楷體" w:eastAsia="標楷體" w:hAnsi="標楷體"/>
                <w:color w:val="000000"/>
                <w:kern w:val="0"/>
              </w:rPr>
              <w:t>答完畢，另定期繼續審查。</w:t>
            </w:r>
          </w:p>
          <w:p w14:paraId="38D54C65" w14:textId="77777777" w:rsidR="00AF4F05" w:rsidRPr="001B6E4D" w:rsidRDefault="00AF4F0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2</w:t>
            </w:r>
            <w:r w:rsidRPr="001B6E4D">
              <w:rPr>
                <w:rFonts w:ascii="標楷體" w:eastAsia="標楷體" w:hAnsi="標楷體"/>
                <w:color w:val="000000"/>
                <w:kern w:val="0"/>
              </w:rPr>
              <w:t>.</w:t>
            </w:r>
            <w:r w:rsidRPr="001B6E4D">
              <w:rPr>
                <w:rFonts w:ascii="標楷體" w:eastAsia="標楷體" w:hAnsi="標楷體" w:hint="eastAsia"/>
                <w:color w:val="000000"/>
                <w:kern w:val="0"/>
              </w:rPr>
              <w:t>第1-</w:t>
            </w:r>
            <w:r w:rsidRPr="001B6E4D">
              <w:rPr>
                <w:rFonts w:ascii="標楷體" w:eastAsia="標楷體" w:hAnsi="標楷體"/>
                <w:color w:val="000000"/>
                <w:kern w:val="0"/>
              </w:rPr>
              <w:t>23</w:t>
            </w:r>
            <w:r w:rsidRPr="001B6E4D">
              <w:rPr>
                <w:rFonts w:ascii="標楷體" w:eastAsia="標楷體" w:hAnsi="標楷體" w:hint="eastAsia"/>
                <w:color w:val="000000"/>
                <w:kern w:val="0"/>
              </w:rPr>
              <w:t>案</w:t>
            </w:r>
            <w:r w:rsidRPr="001B6E4D">
              <w:rPr>
                <w:rFonts w:ascii="標楷體" w:eastAsia="標楷體" w:hAnsi="標楷體"/>
                <w:color w:val="000000"/>
                <w:kern w:val="0"/>
              </w:rPr>
              <w:br/>
            </w:r>
            <w:r w:rsidRPr="001B6E4D">
              <w:rPr>
                <w:rFonts w:ascii="標楷體" w:eastAsia="標楷體" w:hAnsi="標楷體" w:hint="eastAsia"/>
                <w:color w:val="000000"/>
                <w:kern w:val="0"/>
              </w:rPr>
              <w:t>本</w:t>
            </w:r>
            <w:r w:rsidRPr="001B6E4D">
              <w:rPr>
                <w:rFonts w:ascii="標楷體" w:eastAsia="標楷體" w:hAnsi="標楷體"/>
                <w:color w:val="000000"/>
                <w:kern w:val="0"/>
              </w:rPr>
              <w:t>會</w:t>
            </w:r>
            <w:r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15</w:t>
            </w:r>
            <w:r w:rsidRPr="001B6E4D">
              <w:rPr>
                <w:rFonts w:ascii="標楷體" w:eastAsia="標楷體" w:hAnsi="標楷體" w:hint="eastAsia"/>
                <w:color w:val="000000"/>
                <w:kern w:val="0"/>
              </w:rPr>
              <w:t>.</w:t>
            </w:r>
            <w:r w:rsidRPr="001B6E4D">
              <w:rPr>
                <w:rFonts w:ascii="標楷體" w:eastAsia="標楷體" w:hAnsi="標楷體"/>
                <w:color w:val="000000"/>
                <w:kern w:val="0"/>
              </w:rPr>
              <w:t>7</w:t>
            </w:r>
            <w:r w:rsidRPr="001B6E4D">
              <w:rPr>
                <w:rFonts w:ascii="標楷體" w:eastAsia="標楷體" w:hAnsi="標楷體" w:hint="eastAsia"/>
                <w:color w:val="000000"/>
                <w:kern w:val="0"/>
              </w:rPr>
              <w:t>.</w:t>
            </w:r>
            <w:r w:rsidRPr="001B6E4D">
              <w:rPr>
                <w:rFonts w:ascii="標楷體" w:eastAsia="標楷體" w:hAnsi="標楷體"/>
                <w:color w:val="000000"/>
                <w:kern w:val="0"/>
              </w:rPr>
              <w:t>29</w:t>
            </w:r>
            <w:r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w:t>
            </w:r>
            <w:r w:rsidRPr="001B6E4D">
              <w:rPr>
                <w:rFonts w:ascii="標楷體" w:eastAsia="標楷體" w:hAnsi="標楷體" w:hint="eastAsia"/>
                <w:color w:val="000000"/>
                <w:kern w:val="0"/>
              </w:rPr>
              <w:t>-</w:t>
            </w:r>
            <w:r w:rsidRPr="001B6E4D">
              <w:rPr>
                <w:rFonts w:ascii="標楷體" w:eastAsia="標楷體" w:hAnsi="標楷體"/>
                <w:color w:val="000000"/>
                <w:kern w:val="0"/>
              </w:rPr>
              <w:t>5</w:t>
            </w:r>
            <w:r w:rsidRPr="001B6E4D">
              <w:rPr>
                <w:rFonts w:ascii="標楷體" w:eastAsia="標楷體" w:hAnsi="標楷體" w:hint="eastAsia"/>
                <w:color w:val="000000"/>
                <w:kern w:val="0"/>
              </w:rPr>
              <w:t>-</w:t>
            </w:r>
            <w:r w:rsidRPr="001B6E4D">
              <w:rPr>
                <w:rFonts w:ascii="標楷體" w:eastAsia="標楷體" w:hAnsi="標楷體"/>
                <w:color w:val="000000"/>
                <w:kern w:val="0"/>
              </w:rPr>
              <w:t>27</w:t>
            </w:r>
            <w:r w:rsidRPr="001B6E4D">
              <w:rPr>
                <w:rFonts w:ascii="標楷體" w:eastAsia="標楷體" w:hAnsi="標楷體" w:hint="eastAsia"/>
                <w:color w:val="000000"/>
                <w:kern w:val="0"/>
              </w:rPr>
              <w:t>)審查完竣，須交由黨團協商。</w:t>
            </w:r>
          </w:p>
        </w:tc>
      </w:tr>
      <w:tr w:rsidR="00AF4F05" w:rsidRPr="001B6E4D" w14:paraId="6E056F84" w14:textId="77777777" w:rsidTr="00AC616B">
        <w:tc>
          <w:tcPr>
            <w:tcW w:w="567" w:type="dxa"/>
            <w:shd w:val="clear" w:color="auto" w:fill="auto"/>
          </w:tcPr>
          <w:p w14:paraId="65D5C745"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54A8B7D"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7D62A0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委員羅智強</w:t>
            </w:r>
          </w:p>
          <w:p w14:paraId="5E18274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等23人</w:t>
            </w:r>
          </w:p>
          <w:p w14:paraId="5FA8114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4DACCBD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7915675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529C207"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31DEC90" w14:textId="77777777" w:rsidTr="00AC616B">
        <w:tc>
          <w:tcPr>
            <w:tcW w:w="567" w:type="dxa"/>
            <w:shd w:val="clear" w:color="auto" w:fill="auto"/>
          </w:tcPr>
          <w:p w14:paraId="61940726"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6E321BD"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291F67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委員羅廷</w:t>
            </w:r>
            <w:proofErr w:type="gramStart"/>
            <w:r w:rsidRPr="001B6E4D">
              <w:rPr>
                <w:rFonts w:ascii="標楷體" w:eastAsia="標楷體" w:hAnsi="標楷體"/>
                <w:color w:val="000000"/>
                <w:kern w:val="0"/>
              </w:rPr>
              <w:t>瑋</w:t>
            </w:r>
            <w:proofErr w:type="gramEnd"/>
          </w:p>
          <w:p w14:paraId="44A95D3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306AF2D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11F2B10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267DC5E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21E6538"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084E5C5" w14:textId="77777777" w:rsidTr="00AC616B">
        <w:tc>
          <w:tcPr>
            <w:tcW w:w="567" w:type="dxa"/>
            <w:shd w:val="clear" w:color="auto" w:fill="auto"/>
          </w:tcPr>
          <w:p w14:paraId="4E091446"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D5B919A"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CEDA86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委員許宇</w:t>
            </w:r>
            <w:proofErr w:type="gramStart"/>
            <w:r w:rsidRPr="001B6E4D">
              <w:rPr>
                <w:rFonts w:ascii="標楷體" w:eastAsia="標楷體" w:hAnsi="標楷體"/>
                <w:color w:val="000000"/>
                <w:kern w:val="0"/>
              </w:rPr>
              <w:t>甄</w:t>
            </w:r>
            <w:proofErr w:type="gramEnd"/>
          </w:p>
          <w:p w14:paraId="54630B2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等25人</w:t>
            </w:r>
          </w:p>
          <w:p w14:paraId="76AFC1C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4FAA4E6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538FA91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9572DCD"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0B85FB6" w14:textId="77777777" w:rsidTr="00AC616B">
        <w:tc>
          <w:tcPr>
            <w:tcW w:w="567" w:type="dxa"/>
            <w:shd w:val="clear" w:color="auto" w:fill="auto"/>
          </w:tcPr>
          <w:p w14:paraId="756F774D"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040C2C7"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5.毒品危害防制條例第三十三條及第</w:t>
            </w:r>
            <w:r w:rsidRPr="001B6E4D">
              <w:rPr>
                <w:rFonts w:ascii="標楷體" w:eastAsia="標楷體" w:hAnsi="標楷體"/>
                <w:color w:val="000000"/>
                <w:kern w:val="0"/>
              </w:rPr>
              <w:lastRenderedPageBreak/>
              <w:t>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F7D253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委員林淑芬</w:t>
            </w:r>
          </w:p>
          <w:p w14:paraId="5F0A399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264FA0E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115.07.03</w:t>
            </w:r>
          </w:p>
          <w:p w14:paraId="57DBC7D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258E060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48A179A"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6B50A30" w14:textId="77777777" w:rsidTr="00AC616B">
        <w:tc>
          <w:tcPr>
            <w:tcW w:w="567" w:type="dxa"/>
            <w:shd w:val="clear" w:color="auto" w:fill="auto"/>
          </w:tcPr>
          <w:p w14:paraId="4C3CB11E"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F63AA3C"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6.毒品危害防制條例第三十三條及第三十六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D868D9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委員羅美玲</w:t>
            </w:r>
          </w:p>
          <w:p w14:paraId="6DF208B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7944EC7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6430232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25C0DF7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7348B0D6"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BEAB8E0" w14:textId="77777777" w:rsidTr="00AC616B">
        <w:tc>
          <w:tcPr>
            <w:tcW w:w="567" w:type="dxa"/>
            <w:shd w:val="clear" w:color="auto" w:fill="auto"/>
          </w:tcPr>
          <w:p w14:paraId="2A54A470"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C351DB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7.毒品危害防制條例第三十三條及第三十六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CC2358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委員張雅琳</w:t>
            </w:r>
          </w:p>
          <w:p w14:paraId="718C1E0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276A114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2B256C9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55C3C59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280A299"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57B184F" w14:textId="77777777" w:rsidTr="00AC616B">
        <w:tc>
          <w:tcPr>
            <w:tcW w:w="567" w:type="dxa"/>
            <w:shd w:val="clear" w:color="auto" w:fill="auto"/>
          </w:tcPr>
          <w:p w14:paraId="66C3356D"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69E57E72"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8.毒品危害防制條例第三十三條及第三十六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430D22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委員陳培瑜</w:t>
            </w:r>
          </w:p>
          <w:p w14:paraId="7FFBDE5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7C8E83B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025F7C3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242D0C2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F37A9D4"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B33F931" w14:textId="77777777" w:rsidTr="00AC616B">
        <w:tc>
          <w:tcPr>
            <w:tcW w:w="567" w:type="dxa"/>
            <w:shd w:val="clear" w:color="auto" w:fill="auto"/>
          </w:tcPr>
          <w:p w14:paraId="1E6076ED"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5BF2EF9"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9.毒品危害防制條例第三十三條及第三十六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279EE3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委員鍾佳濱</w:t>
            </w:r>
          </w:p>
          <w:p w14:paraId="5AB53D4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75FD941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1C26ACB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12BBCBA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980BF34"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02D52EC2" w14:textId="77777777" w:rsidTr="00AC616B">
        <w:tc>
          <w:tcPr>
            <w:tcW w:w="567" w:type="dxa"/>
            <w:shd w:val="clear" w:color="auto" w:fill="auto"/>
          </w:tcPr>
          <w:p w14:paraId="43EBBBB2"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58C6EE9"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10.毒品危害防制條例第三十三條及第三十六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787B2E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委員林月琴</w:t>
            </w:r>
          </w:p>
          <w:p w14:paraId="6BE7A5C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30CFBD4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2C9D1B8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223679A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EE64441"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21891A7" w14:textId="77777777" w:rsidTr="00AC616B">
        <w:tc>
          <w:tcPr>
            <w:tcW w:w="567" w:type="dxa"/>
            <w:shd w:val="clear" w:color="auto" w:fill="auto"/>
          </w:tcPr>
          <w:p w14:paraId="476F845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C3502D5"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8BA6E3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委員廖偉翔</w:t>
            </w:r>
          </w:p>
          <w:p w14:paraId="6322D65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4A86E2A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33B259A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5C26BAA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4D38816"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B550838" w14:textId="77777777" w:rsidTr="00AC616B">
        <w:tc>
          <w:tcPr>
            <w:tcW w:w="567" w:type="dxa"/>
            <w:shd w:val="clear" w:color="auto" w:fill="auto"/>
          </w:tcPr>
          <w:p w14:paraId="13988F75"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EC44289"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12.毒品危害防制條例第三十三條及第三十六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A39631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委員伍麗華</w:t>
            </w:r>
          </w:p>
          <w:p w14:paraId="769BB46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Saidhai</w:t>
            </w:r>
            <w:proofErr w:type="spellEnd"/>
            <w:r w:rsidRPr="001B6E4D">
              <w:rPr>
                <w:rFonts w:ascii="標楷體" w:eastAsia="標楷體" w:hAnsi="標楷體"/>
                <w:color w:val="000000"/>
                <w:kern w:val="0"/>
              </w:rPr>
              <w:t>‧</w:t>
            </w:r>
          </w:p>
          <w:p w14:paraId="4E65036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Tahovecahe</w:t>
            </w:r>
            <w:proofErr w:type="spellEnd"/>
          </w:p>
          <w:p w14:paraId="14413A0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255ADDD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29FCE0F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54F1A2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6AA38E2"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97A74D3" w14:textId="77777777" w:rsidTr="00AC616B">
        <w:tc>
          <w:tcPr>
            <w:tcW w:w="567" w:type="dxa"/>
            <w:shd w:val="clear" w:color="auto" w:fill="auto"/>
          </w:tcPr>
          <w:p w14:paraId="38294F8B"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3DD636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13.毒品危害防制條例第三十三條及第三十六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F3C6E4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委員謝龍介</w:t>
            </w:r>
          </w:p>
          <w:p w14:paraId="4C600C5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1BC6180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1994CE1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7CB3F4E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EC6BE2D"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02AABFA0" w14:textId="77777777" w:rsidTr="00AC616B">
        <w:tc>
          <w:tcPr>
            <w:tcW w:w="567" w:type="dxa"/>
            <w:shd w:val="clear" w:color="auto" w:fill="auto"/>
          </w:tcPr>
          <w:p w14:paraId="79E0B07E"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BDFDCEA"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14.毒品危害防制條例第三十三條及第三十六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62AE2B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委員徐富</w:t>
            </w:r>
            <w:proofErr w:type="gramStart"/>
            <w:r w:rsidRPr="001B6E4D">
              <w:rPr>
                <w:rFonts w:ascii="標楷體" w:eastAsia="標楷體" w:hAnsi="標楷體"/>
                <w:color w:val="000000"/>
                <w:kern w:val="0"/>
              </w:rPr>
              <w:t>癸</w:t>
            </w:r>
            <w:proofErr w:type="gramEnd"/>
          </w:p>
          <w:p w14:paraId="0647401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7671CCF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6D175E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2CA3F15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86D42DC"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F37F57F" w14:textId="77777777" w:rsidTr="00AC616B">
        <w:tc>
          <w:tcPr>
            <w:tcW w:w="567" w:type="dxa"/>
            <w:shd w:val="clear" w:color="auto" w:fill="auto"/>
          </w:tcPr>
          <w:p w14:paraId="6B861E76"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34B7DB2"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15.毒品危害防制條例第三十三條及第三十六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221E49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委員林宜瑾</w:t>
            </w:r>
          </w:p>
          <w:p w14:paraId="794A4C6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等24人</w:t>
            </w:r>
          </w:p>
          <w:p w14:paraId="3262722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5C0F39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564DCA0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14BACFC"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CFDC958" w14:textId="77777777" w:rsidTr="00AC616B">
        <w:tc>
          <w:tcPr>
            <w:tcW w:w="567" w:type="dxa"/>
            <w:shd w:val="clear" w:color="auto" w:fill="auto"/>
          </w:tcPr>
          <w:p w14:paraId="30D1DA96"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DBB7C70"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16.毒品危害防制</w:t>
            </w:r>
            <w:r w:rsidRPr="001B6E4D">
              <w:rPr>
                <w:rFonts w:ascii="標楷體" w:eastAsia="標楷體" w:hAnsi="標楷體"/>
                <w:color w:val="000000"/>
                <w:kern w:val="0"/>
              </w:rPr>
              <w:lastRenderedPageBreak/>
              <w:t>條例第三十三</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CA1CDA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委員吳思瑤</w:t>
            </w:r>
          </w:p>
          <w:p w14:paraId="065A2D3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等16人</w:t>
            </w:r>
          </w:p>
          <w:p w14:paraId="4C84A83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1836F42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0F41DE7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CFFD0E5"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E8504E4" w14:textId="77777777" w:rsidTr="00AC616B">
        <w:tc>
          <w:tcPr>
            <w:tcW w:w="567" w:type="dxa"/>
            <w:shd w:val="clear" w:color="auto" w:fill="auto"/>
          </w:tcPr>
          <w:p w14:paraId="1F21FB07"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5A80F03"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17.毒品危害防制條例第三十三條及第三十六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B54CD4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委員林倩綺</w:t>
            </w:r>
          </w:p>
          <w:p w14:paraId="0F53883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129C752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1747193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1D9FD1E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743C90F"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52378B1" w14:textId="77777777" w:rsidTr="00AC616B">
        <w:tc>
          <w:tcPr>
            <w:tcW w:w="567" w:type="dxa"/>
            <w:shd w:val="clear" w:color="auto" w:fill="auto"/>
          </w:tcPr>
          <w:p w14:paraId="70195A65"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7ADBE0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18.毒品危害防制條例第三十三條及第三十六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F606E7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委員吳沛憶</w:t>
            </w:r>
          </w:p>
          <w:p w14:paraId="317A5CC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3E45922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E05094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7241051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36C19B8"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1781FF7" w14:textId="77777777" w:rsidTr="00AC616B">
        <w:tc>
          <w:tcPr>
            <w:tcW w:w="567" w:type="dxa"/>
            <w:shd w:val="clear" w:color="auto" w:fill="auto"/>
          </w:tcPr>
          <w:p w14:paraId="5CD9F7C4"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102EF66"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19.毒品危害防制條例第三十三條及第三十六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8A6E3A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委員賴惠員</w:t>
            </w:r>
          </w:p>
          <w:p w14:paraId="1579A34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767A2B3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47D9CFC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0A05C31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A19239E"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3494065" w14:textId="77777777" w:rsidTr="00AC616B">
        <w:tc>
          <w:tcPr>
            <w:tcW w:w="567" w:type="dxa"/>
            <w:shd w:val="clear" w:color="auto" w:fill="auto"/>
          </w:tcPr>
          <w:p w14:paraId="086F3015"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C9457F1"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20.毒品危害防制條例第三十三條及第三十六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1FE88E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委員吳琪銘</w:t>
            </w:r>
          </w:p>
          <w:p w14:paraId="2CD5C86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2076C94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115.07.17</w:t>
            </w:r>
          </w:p>
          <w:p w14:paraId="08146DC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（11-5-18）</w:t>
            </w:r>
          </w:p>
        </w:tc>
        <w:tc>
          <w:tcPr>
            <w:tcW w:w="1985" w:type="dxa"/>
            <w:vMerge/>
            <w:shd w:val="clear" w:color="auto" w:fill="auto"/>
          </w:tcPr>
          <w:p w14:paraId="12C5367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2C7BA77"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D5348ED" w14:textId="77777777" w:rsidTr="00AC616B">
        <w:tc>
          <w:tcPr>
            <w:tcW w:w="567" w:type="dxa"/>
            <w:shd w:val="clear" w:color="auto" w:fill="auto"/>
          </w:tcPr>
          <w:p w14:paraId="1C384261"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55734FE"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21.毒品危害防制條例第三十三條及第三十六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D98BF2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委員郭昱晴</w:t>
            </w:r>
          </w:p>
          <w:p w14:paraId="17E91A1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649A10A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115.07.17</w:t>
            </w:r>
          </w:p>
          <w:p w14:paraId="057E015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（11-5-18）</w:t>
            </w:r>
          </w:p>
        </w:tc>
        <w:tc>
          <w:tcPr>
            <w:tcW w:w="1985" w:type="dxa"/>
            <w:vMerge/>
            <w:shd w:val="clear" w:color="auto" w:fill="auto"/>
          </w:tcPr>
          <w:p w14:paraId="4E06D15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769A6CF7"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EA43339" w14:textId="77777777" w:rsidTr="00AC616B">
        <w:tc>
          <w:tcPr>
            <w:tcW w:w="567" w:type="dxa"/>
            <w:shd w:val="clear" w:color="auto" w:fill="auto"/>
          </w:tcPr>
          <w:p w14:paraId="1F21760E"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61BAB546"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22.毒品危害防制條例第三十三條及第三十六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2C9357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委員許智傑</w:t>
            </w:r>
          </w:p>
          <w:p w14:paraId="0C15EE4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等23人</w:t>
            </w:r>
          </w:p>
          <w:p w14:paraId="4063DD6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115.07.24</w:t>
            </w:r>
          </w:p>
          <w:p w14:paraId="5231CC0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（11-5-19）</w:t>
            </w:r>
          </w:p>
        </w:tc>
        <w:tc>
          <w:tcPr>
            <w:tcW w:w="1985" w:type="dxa"/>
            <w:vMerge/>
            <w:shd w:val="clear" w:color="auto" w:fill="auto"/>
          </w:tcPr>
          <w:p w14:paraId="5B6CFBF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7F0A0664"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7556608" w14:textId="77777777" w:rsidTr="00AC616B">
        <w:tc>
          <w:tcPr>
            <w:tcW w:w="567" w:type="dxa"/>
            <w:shd w:val="clear" w:color="auto" w:fill="auto"/>
          </w:tcPr>
          <w:p w14:paraId="3C4DE627"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38334D9"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23.毒品危害防制條例第三十三條、第三十三條之</w:t>
            </w:r>
            <w:proofErr w:type="gramStart"/>
            <w:r w:rsidRPr="001B6E4D">
              <w:rPr>
                <w:rFonts w:ascii="標楷體" w:eastAsia="標楷體" w:hAnsi="標楷體"/>
                <w:color w:val="000000"/>
                <w:kern w:val="0"/>
              </w:rPr>
              <w:t>一</w:t>
            </w:r>
            <w:proofErr w:type="gramEnd"/>
            <w:r w:rsidRPr="001B6E4D">
              <w:rPr>
                <w:rFonts w:ascii="標楷體" w:eastAsia="標楷體" w:hAnsi="標楷體"/>
                <w:color w:val="000000"/>
                <w:kern w:val="0"/>
              </w:rPr>
              <w:t>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B8F11A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委員翁曉玲</w:t>
            </w:r>
          </w:p>
          <w:p w14:paraId="2AA5A6B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2FFA5D6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32DF045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30B6BDC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D9C116D"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8E7D518" w14:textId="77777777" w:rsidTr="00AC616B">
        <w:tc>
          <w:tcPr>
            <w:tcW w:w="567" w:type="dxa"/>
            <w:shd w:val="clear" w:color="auto" w:fill="auto"/>
          </w:tcPr>
          <w:p w14:paraId="4237F5E1"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7E0A2A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FCE0DA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行政院</w:t>
            </w:r>
          </w:p>
          <w:p w14:paraId="1EEDD5A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114.12.26</w:t>
            </w:r>
          </w:p>
          <w:p w14:paraId="2529F40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（11-4-15）</w:t>
            </w:r>
          </w:p>
        </w:tc>
        <w:tc>
          <w:tcPr>
            <w:tcW w:w="1985" w:type="dxa"/>
            <w:vMerge w:val="restart"/>
            <w:shd w:val="clear" w:color="auto" w:fill="auto"/>
          </w:tcPr>
          <w:p w14:paraId="65FB8DF1" w14:textId="77777777" w:rsidR="0044170C" w:rsidRPr="001B6E4D" w:rsidRDefault="00AF4F0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司法及法制、</w:t>
            </w:r>
          </w:p>
          <w:p w14:paraId="5583AF9F" w14:textId="1406DA90" w:rsidR="00AF4F05" w:rsidRPr="001B6E4D" w:rsidRDefault="00AF4F0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外交及國防</w:t>
            </w:r>
          </w:p>
          <w:p w14:paraId="37F54300" w14:textId="77777777" w:rsidR="00AF4F05" w:rsidRPr="001B6E4D" w:rsidRDefault="00AF4F0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hint="eastAsia"/>
                <w:color w:val="000000"/>
                <w:kern w:val="0"/>
              </w:rPr>
              <w:t>莊召集委員瑞雄</w:t>
            </w:r>
          </w:p>
        </w:tc>
        <w:tc>
          <w:tcPr>
            <w:tcW w:w="2279" w:type="dxa"/>
            <w:vMerge w:val="restart"/>
            <w:shd w:val="clear" w:color="auto" w:fill="auto"/>
          </w:tcPr>
          <w:p w14:paraId="5718217A" w14:textId="77777777" w:rsidR="00AF4F05" w:rsidRPr="001B6E4D" w:rsidRDefault="00AF4F0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1.第1-4案</w:t>
            </w:r>
            <w:r w:rsidRPr="001B6E4D">
              <w:rPr>
                <w:rFonts w:ascii="標楷體" w:eastAsia="標楷體" w:hAnsi="標楷體"/>
                <w:color w:val="000000"/>
                <w:kern w:val="0"/>
              </w:rPr>
              <w:br/>
              <w:t>聯席會</w:t>
            </w:r>
            <w:r w:rsidRPr="001B6E4D">
              <w:rPr>
                <w:rFonts w:ascii="標楷體" w:eastAsia="標楷體" w:hAnsi="標楷體"/>
                <w:color w:val="000000"/>
                <w:kern w:val="0"/>
              </w:rPr>
              <w:br/>
              <w:t>115.1.8</w:t>
            </w:r>
            <w:r w:rsidRPr="001B6E4D">
              <w:rPr>
                <w:rFonts w:ascii="標楷體" w:eastAsia="標楷體" w:hAnsi="標楷體"/>
                <w:color w:val="000000"/>
                <w:kern w:val="0"/>
              </w:rPr>
              <w:br/>
              <w:t>(11-4-1)報告及</w:t>
            </w:r>
            <w:proofErr w:type="gramStart"/>
            <w:r w:rsidRPr="001B6E4D">
              <w:rPr>
                <w:rFonts w:ascii="標楷體" w:eastAsia="標楷體" w:hAnsi="標楷體"/>
                <w:color w:val="000000"/>
                <w:kern w:val="0"/>
              </w:rPr>
              <w:t>詢</w:t>
            </w:r>
            <w:proofErr w:type="gramEnd"/>
            <w:r w:rsidRPr="001B6E4D">
              <w:rPr>
                <w:rFonts w:ascii="標楷體" w:eastAsia="標楷體" w:hAnsi="標楷體"/>
                <w:color w:val="000000"/>
                <w:kern w:val="0"/>
              </w:rPr>
              <w:t>答完畢，另定期繼續審查。</w:t>
            </w:r>
          </w:p>
          <w:p w14:paraId="53C9344A" w14:textId="77777777" w:rsidR="00AF4F05" w:rsidRPr="001B6E4D" w:rsidRDefault="00AF4F0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2.第1-10案</w:t>
            </w:r>
            <w:r w:rsidRPr="001B6E4D">
              <w:rPr>
                <w:rFonts w:ascii="標楷體" w:eastAsia="標楷體" w:hAnsi="標楷體"/>
                <w:color w:val="000000"/>
                <w:kern w:val="0"/>
              </w:rPr>
              <w:br/>
            </w:r>
            <w:r w:rsidRPr="001B6E4D">
              <w:rPr>
                <w:rFonts w:ascii="標楷體" w:eastAsia="標楷體" w:hAnsi="標楷體" w:hint="eastAsia"/>
                <w:color w:val="000000"/>
                <w:kern w:val="0"/>
              </w:rPr>
              <w:t>聯席</w:t>
            </w:r>
            <w:r w:rsidRPr="001B6E4D">
              <w:rPr>
                <w:rFonts w:ascii="標楷體" w:eastAsia="標楷體" w:hAnsi="標楷體"/>
                <w:color w:val="000000"/>
                <w:kern w:val="0"/>
              </w:rPr>
              <w:t>會</w:t>
            </w:r>
            <w:r w:rsidRPr="001B6E4D">
              <w:rPr>
                <w:rFonts w:ascii="標楷體" w:eastAsia="標楷體" w:hAnsi="標楷體"/>
                <w:color w:val="000000"/>
                <w:kern w:val="0"/>
              </w:rPr>
              <w:br/>
              <w:t>115.</w:t>
            </w:r>
            <w:r w:rsidRPr="001B6E4D">
              <w:rPr>
                <w:rFonts w:ascii="標楷體" w:eastAsia="標楷體" w:hAnsi="標楷體" w:hint="eastAsia"/>
                <w:color w:val="000000"/>
                <w:kern w:val="0"/>
              </w:rPr>
              <w:t>8</w:t>
            </w:r>
            <w:r w:rsidRPr="001B6E4D">
              <w:rPr>
                <w:rFonts w:ascii="標楷體" w:eastAsia="標楷體" w:hAnsi="標楷體"/>
                <w:color w:val="000000"/>
                <w:kern w:val="0"/>
              </w:rPr>
              <w:t>.</w:t>
            </w:r>
            <w:r w:rsidRPr="001B6E4D">
              <w:rPr>
                <w:rFonts w:ascii="標楷體" w:eastAsia="標楷體" w:hAnsi="標楷體" w:hint="eastAsia"/>
                <w:color w:val="000000"/>
                <w:kern w:val="0"/>
              </w:rPr>
              <w:t>12</w:t>
            </w:r>
            <w:r w:rsidRPr="001B6E4D">
              <w:rPr>
                <w:rFonts w:ascii="標楷體" w:eastAsia="標楷體" w:hAnsi="標楷體"/>
                <w:color w:val="000000"/>
                <w:kern w:val="0"/>
              </w:rPr>
              <w:b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1</w:t>
            </w:r>
            <w:r w:rsidRPr="001B6E4D">
              <w:rPr>
                <w:rFonts w:ascii="標楷體" w:eastAsia="標楷體" w:hAnsi="標楷體"/>
                <w:color w:val="000000"/>
                <w:kern w:val="0"/>
              </w:rPr>
              <w:t>)</w:t>
            </w:r>
            <w:r w:rsidRPr="001B6E4D">
              <w:rPr>
                <w:rFonts w:ascii="標楷體" w:eastAsia="標楷體" w:hAnsi="標楷體" w:hint="eastAsia"/>
                <w:color w:val="000000"/>
                <w:kern w:val="0"/>
              </w:rPr>
              <w:t>審查完竣，須交由黨團協商。</w:t>
            </w:r>
          </w:p>
        </w:tc>
      </w:tr>
      <w:tr w:rsidR="00AF4F05" w:rsidRPr="001B6E4D" w14:paraId="23E959AA" w14:textId="77777777" w:rsidTr="00AC616B">
        <w:tc>
          <w:tcPr>
            <w:tcW w:w="567" w:type="dxa"/>
            <w:shd w:val="clear" w:color="auto" w:fill="auto"/>
          </w:tcPr>
          <w:p w14:paraId="20E6EE3C"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64E3894"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2</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1DD7C3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委員林宜瑾</w:t>
            </w:r>
          </w:p>
          <w:p w14:paraId="78F39D9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34F10EC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114.04.25</w:t>
            </w:r>
          </w:p>
          <w:p w14:paraId="1ED1DF2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（11-3-9）</w:t>
            </w:r>
          </w:p>
        </w:tc>
        <w:tc>
          <w:tcPr>
            <w:tcW w:w="1985" w:type="dxa"/>
            <w:vMerge/>
            <w:shd w:val="clear" w:color="auto" w:fill="auto"/>
          </w:tcPr>
          <w:p w14:paraId="746AF81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6BB8BA7"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08E4E592" w14:textId="77777777" w:rsidTr="00AC616B">
        <w:tc>
          <w:tcPr>
            <w:tcW w:w="567" w:type="dxa"/>
            <w:shd w:val="clear" w:color="auto" w:fill="auto"/>
          </w:tcPr>
          <w:p w14:paraId="4A2199FC"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61D407A"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3</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B3F395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委員王定宇</w:t>
            </w:r>
          </w:p>
          <w:p w14:paraId="3386F70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5BC075A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114.11.28</w:t>
            </w:r>
          </w:p>
          <w:p w14:paraId="016E6FE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（11-4-11）</w:t>
            </w:r>
          </w:p>
        </w:tc>
        <w:tc>
          <w:tcPr>
            <w:tcW w:w="1985" w:type="dxa"/>
            <w:vMerge/>
            <w:shd w:val="clear" w:color="auto" w:fill="auto"/>
          </w:tcPr>
          <w:p w14:paraId="04C7711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724980F3"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CAF9789" w14:textId="77777777" w:rsidTr="00AC616B">
        <w:tc>
          <w:tcPr>
            <w:tcW w:w="567" w:type="dxa"/>
            <w:shd w:val="clear" w:color="auto" w:fill="auto"/>
          </w:tcPr>
          <w:p w14:paraId="5047CCDB"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6D8ADDF3"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4</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w:t>
            </w:r>
            <w:r w:rsidRPr="001B6E4D">
              <w:rPr>
                <w:rFonts w:ascii="標楷體" w:eastAsia="標楷體" w:hAnsi="標楷體"/>
                <w:color w:val="000000"/>
                <w:kern w:val="0"/>
              </w:rPr>
              <w:lastRenderedPageBreak/>
              <w:t>草案</w:t>
            </w:r>
          </w:p>
        </w:tc>
        <w:tc>
          <w:tcPr>
            <w:tcW w:w="1918" w:type="dxa"/>
            <w:shd w:val="clear" w:color="auto" w:fill="auto"/>
          </w:tcPr>
          <w:p w14:paraId="03719EC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委員張雅琳</w:t>
            </w:r>
          </w:p>
          <w:p w14:paraId="38E5EB2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6779FD7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114.12.12</w:t>
            </w:r>
          </w:p>
          <w:p w14:paraId="4DFEC6E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（11-4-13）</w:t>
            </w:r>
          </w:p>
        </w:tc>
        <w:tc>
          <w:tcPr>
            <w:tcW w:w="1985" w:type="dxa"/>
            <w:vMerge/>
            <w:shd w:val="clear" w:color="auto" w:fill="auto"/>
          </w:tcPr>
          <w:p w14:paraId="4222717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E682711"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FD100FE" w14:textId="77777777" w:rsidTr="00AC616B">
        <w:tc>
          <w:tcPr>
            <w:tcW w:w="567" w:type="dxa"/>
            <w:shd w:val="clear" w:color="auto" w:fill="auto"/>
          </w:tcPr>
          <w:p w14:paraId="37552CE0"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9A75980"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5</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0421725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委員李坤城</w:t>
            </w:r>
          </w:p>
          <w:p w14:paraId="122B801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29DCE29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115.01.02</w:t>
            </w:r>
          </w:p>
          <w:p w14:paraId="19ECBF1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（11-4-16）</w:t>
            </w:r>
          </w:p>
        </w:tc>
        <w:tc>
          <w:tcPr>
            <w:tcW w:w="1985" w:type="dxa"/>
            <w:vMerge/>
            <w:shd w:val="clear" w:color="auto" w:fill="auto"/>
          </w:tcPr>
          <w:p w14:paraId="2A6B130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8C67059"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529C278" w14:textId="77777777" w:rsidTr="00AC616B">
        <w:tc>
          <w:tcPr>
            <w:tcW w:w="567" w:type="dxa"/>
            <w:shd w:val="clear" w:color="auto" w:fill="auto"/>
          </w:tcPr>
          <w:p w14:paraId="301FD103"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FA23788"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6</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D39354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委員陳素月</w:t>
            </w:r>
          </w:p>
          <w:p w14:paraId="36BD823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1F3A46C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115.03.20</w:t>
            </w:r>
          </w:p>
          <w:p w14:paraId="19B9703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（11-5-4）</w:t>
            </w:r>
          </w:p>
        </w:tc>
        <w:tc>
          <w:tcPr>
            <w:tcW w:w="1985" w:type="dxa"/>
            <w:vMerge/>
            <w:shd w:val="clear" w:color="auto" w:fill="auto"/>
          </w:tcPr>
          <w:p w14:paraId="7A12015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FCA0B8C"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BB445BC" w14:textId="77777777" w:rsidTr="00AC616B">
        <w:tc>
          <w:tcPr>
            <w:tcW w:w="567" w:type="dxa"/>
            <w:shd w:val="clear" w:color="auto" w:fill="auto"/>
          </w:tcPr>
          <w:p w14:paraId="4E162972"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340C890"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7</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75B277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委員郭昱晴</w:t>
            </w:r>
          </w:p>
          <w:p w14:paraId="6F05A9F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4756493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115.03.20</w:t>
            </w:r>
          </w:p>
          <w:p w14:paraId="5444813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（11-5-4）</w:t>
            </w:r>
          </w:p>
        </w:tc>
        <w:tc>
          <w:tcPr>
            <w:tcW w:w="1985" w:type="dxa"/>
            <w:vMerge/>
            <w:shd w:val="clear" w:color="auto" w:fill="auto"/>
          </w:tcPr>
          <w:p w14:paraId="631D6BC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7ABC7A7F"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E61FF16" w14:textId="77777777" w:rsidTr="00AC616B">
        <w:tc>
          <w:tcPr>
            <w:tcW w:w="567" w:type="dxa"/>
            <w:shd w:val="clear" w:color="auto" w:fill="auto"/>
          </w:tcPr>
          <w:p w14:paraId="3DE410D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166F63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8</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601CF8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委員沈發惠</w:t>
            </w:r>
          </w:p>
          <w:p w14:paraId="5E83B65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7DF67C2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115.03.27</w:t>
            </w:r>
          </w:p>
          <w:p w14:paraId="74058A2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（11-5-5）</w:t>
            </w:r>
          </w:p>
        </w:tc>
        <w:tc>
          <w:tcPr>
            <w:tcW w:w="1985" w:type="dxa"/>
            <w:vMerge/>
            <w:shd w:val="clear" w:color="auto" w:fill="auto"/>
          </w:tcPr>
          <w:p w14:paraId="1391FDF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2C8DA0D"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0FC651D" w14:textId="77777777" w:rsidTr="00AC616B">
        <w:tc>
          <w:tcPr>
            <w:tcW w:w="567" w:type="dxa"/>
            <w:shd w:val="clear" w:color="auto" w:fill="auto"/>
          </w:tcPr>
          <w:p w14:paraId="2083CB15"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B12A12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9</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4BDE5D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委員何欣純</w:t>
            </w:r>
          </w:p>
          <w:p w14:paraId="5426F5E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75B5148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115.04.24</w:t>
            </w:r>
          </w:p>
          <w:p w14:paraId="3EE18F4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（11-5-8）</w:t>
            </w:r>
          </w:p>
        </w:tc>
        <w:tc>
          <w:tcPr>
            <w:tcW w:w="1985" w:type="dxa"/>
            <w:vMerge/>
            <w:shd w:val="clear" w:color="auto" w:fill="auto"/>
          </w:tcPr>
          <w:p w14:paraId="6E4289F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9B35CD1"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A551A85" w14:textId="77777777" w:rsidTr="00AC616B">
        <w:tc>
          <w:tcPr>
            <w:tcW w:w="567" w:type="dxa"/>
            <w:shd w:val="clear" w:color="auto" w:fill="auto"/>
          </w:tcPr>
          <w:p w14:paraId="2DBFE34D"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57FCBAD"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w:t>
            </w:r>
            <w:r w:rsidRPr="001B6E4D">
              <w:rPr>
                <w:rFonts w:ascii="標楷體" w:eastAsia="標楷體" w:hAnsi="標楷體" w:hint="eastAsia"/>
                <w:color w:val="000000"/>
                <w:kern w:val="0"/>
              </w:rPr>
              <w:t>0</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02B5895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委員陳冠廷</w:t>
            </w:r>
          </w:p>
          <w:p w14:paraId="09635C4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43D7B8B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115.07.24</w:t>
            </w:r>
          </w:p>
          <w:p w14:paraId="45D5C8F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（11-5-19）</w:t>
            </w:r>
          </w:p>
        </w:tc>
        <w:tc>
          <w:tcPr>
            <w:tcW w:w="1985" w:type="dxa"/>
            <w:vMerge/>
            <w:shd w:val="clear" w:color="auto" w:fill="auto"/>
          </w:tcPr>
          <w:p w14:paraId="358B98C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76FE29A"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84B28BF" w14:textId="77777777" w:rsidTr="00AC616B">
        <w:tc>
          <w:tcPr>
            <w:tcW w:w="567" w:type="dxa"/>
            <w:shd w:val="clear" w:color="auto" w:fill="auto"/>
          </w:tcPr>
          <w:p w14:paraId="1DE71B5D"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611775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71CBD3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行政院</w:t>
            </w:r>
          </w:p>
          <w:p w14:paraId="1493DB0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07471CB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val="restart"/>
            <w:shd w:val="clear" w:color="auto" w:fill="auto"/>
          </w:tcPr>
          <w:p w14:paraId="40E49310" w14:textId="77777777" w:rsidR="0044170C" w:rsidRPr="001B6E4D" w:rsidRDefault="00AF4F0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司法及法制、</w:t>
            </w:r>
          </w:p>
          <w:p w14:paraId="4E24C17D" w14:textId="7E814943" w:rsidR="00AF4F05" w:rsidRPr="001B6E4D" w:rsidRDefault="00AF4F0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外交及國防</w:t>
            </w:r>
          </w:p>
          <w:p w14:paraId="731FB6AB" w14:textId="77777777" w:rsidR="00AF4F05" w:rsidRPr="001B6E4D" w:rsidRDefault="00AF4F0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hint="eastAsia"/>
                <w:color w:val="000000"/>
                <w:kern w:val="0"/>
              </w:rPr>
              <w:t>莊召集委員瑞雄</w:t>
            </w:r>
          </w:p>
        </w:tc>
        <w:tc>
          <w:tcPr>
            <w:tcW w:w="2279" w:type="dxa"/>
            <w:vMerge w:val="restart"/>
            <w:shd w:val="clear" w:color="auto" w:fill="auto"/>
          </w:tcPr>
          <w:p w14:paraId="22AFAB4B"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聯席</w:t>
            </w:r>
            <w:r w:rsidRPr="001B6E4D">
              <w:rPr>
                <w:rFonts w:ascii="標楷體" w:eastAsia="標楷體" w:hAnsi="標楷體"/>
                <w:color w:val="000000"/>
                <w:kern w:val="0"/>
              </w:rPr>
              <w:t>會</w:t>
            </w:r>
            <w:r w:rsidRPr="001B6E4D">
              <w:rPr>
                <w:rFonts w:ascii="標楷體" w:eastAsia="標楷體" w:hAnsi="標楷體"/>
                <w:color w:val="000000"/>
                <w:kern w:val="0"/>
              </w:rPr>
              <w:br/>
              <w:t>115.</w:t>
            </w:r>
            <w:r w:rsidRPr="001B6E4D">
              <w:rPr>
                <w:rFonts w:ascii="標楷體" w:eastAsia="標楷體" w:hAnsi="標楷體" w:hint="eastAsia"/>
                <w:color w:val="000000"/>
                <w:kern w:val="0"/>
              </w:rPr>
              <w:t>8</w:t>
            </w:r>
            <w:r w:rsidRPr="001B6E4D">
              <w:rPr>
                <w:rFonts w:ascii="標楷體" w:eastAsia="標楷體" w:hAnsi="標楷體"/>
                <w:color w:val="000000"/>
                <w:kern w:val="0"/>
              </w:rPr>
              <w:t>.</w:t>
            </w:r>
            <w:r w:rsidRPr="001B6E4D">
              <w:rPr>
                <w:rFonts w:ascii="標楷體" w:eastAsia="標楷體" w:hAnsi="標楷體" w:hint="eastAsia"/>
                <w:color w:val="000000"/>
                <w:kern w:val="0"/>
              </w:rPr>
              <w:t>12</w:t>
            </w:r>
            <w:r w:rsidRPr="001B6E4D">
              <w:rPr>
                <w:rFonts w:ascii="標楷體" w:eastAsia="標楷體" w:hAnsi="標楷體"/>
                <w:color w:val="000000"/>
                <w:kern w:val="0"/>
              </w:rPr>
              <w:b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1</w:t>
            </w:r>
            <w:r w:rsidRPr="001B6E4D">
              <w:rPr>
                <w:rFonts w:ascii="標楷體" w:eastAsia="標楷體" w:hAnsi="標楷體"/>
                <w:color w:val="000000"/>
                <w:kern w:val="0"/>
              </w:rPr>
              <w:t>)</w:t>
            </w:r>
            <w:r w:rsidRPr="001B6E4D">
              <w:rPr>
                <w:rFonts w:ascii="標楷體" w:eastAsia="標楷體" w:hAnsi="標楷體" w:hint="eastAsia"/>
                <w:color w:val="000000"/>
                <w:kern w:val="0"/>
              </w:rPr>
              <w:t>審查完竣，須交由黨團協商。</w:t>
            </w:r>
          </w:p>
        </w:tc>
      </w:tr>
      <w:tr w:rsidR="00AF4F05" w:rsidRPr="001B6E4D" w14:paraId="7D92A0CB" w14:textId="77777777" w:rsidTr="00AC616B">
        <w:tc>
          <w:tcPr>
            <w:tcW w:w="567" w:type="dxa"/>
            <w:shd w:val="clear" w:color="auto" w:fill="auto"/>
          </w:tcPr>
          <w:p w14:paraId="066712B0"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B44A19C"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2F8B5F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委員黃秀芳</w:t>
            </w:r>
          </w:p>
          <w:p w14:paraId="2A6890F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088EAA0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115.05.22</w:t>
            </w:r>
          </w:p>
          <w:p w14:paraId="641D94E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（11-5-11）</w:t>
            </w:r>
          </w:p>
        </w:tc>
        <w:tc>
          <w:tcPr>
            <w:tcW w:w="1985" w:type="dxa"/>
            <w:vMerge/>
            <w:shd w:val="clear" w:color="auto" w:fill="auto"/>
          </w:tcPr>
          <w:p w14:paraId="5DE62AE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208903F"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4C07115" w14:textId="77777777" w:rsidTr="00AC616B">
        <w:tc>
          <w:tcPr>
            <w:tcW w:w="567" w:type="dxa"/>
            <w:shd w:val="clear" w:color="auto" w:fill="auto"/>
          </w:tcPr>
          <w:p w14:paraId="7D2F78C3"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138DC22"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D61D19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委員王義川</w:t>
            </w:r>
          </w:p>
          <w:p w14:paraId="4CB2E53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60FB0B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22FB387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1AB315B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354BC16"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C43CEF7" w14:textId="77777777" w:rsidTr="00AC616B">
        <w:tc>
          <w:tcPr>
            <w:tcW w:w="567" w:type="dxa"/>
            <w:shd w:val="clear" w:color="auto" w:fill="auto"/>
          </w:tcPr>
          <w:p w14:paraId="25BF0B59"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D230B35"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471BAB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委員林淑芬</w:t>
            </w:r>
          </w:p>
          <w:p w14:paraId="0A1586E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等26人</w:t>
            </w:r>
          </w:p>
          <w:p w14:paraId="76E5262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4FF4B48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79BD7DB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758CF945"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9F843DB" w14:textId="77777777" w:rsidTr="00AC616B">
        <w:tc>
          <w:tcPr>
            <w:tcW w:w="567" w:type="dxa"/>
            <w:shd w:val="clear" w:color="auto" w:fill="auto"/>
          </w:tcPr>
          <w:p w14:paraId="1067C029"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743A3F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8F6D22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委員羅智強</w:t>
            </w:r>
          </w:p>
          <w:p w14:paraId="2FE86F9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030DDCD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45DD9D3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61E5058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A12B00A"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4A91418" w14:textId="77777777" w:rsidTr="00AC616B">
        <w:tc>
          <w:tcPr>
            <w:tcW w:w="567" w:type="dxa"/>
            <w:shd w:val="clear" w:color="auto" w:fill="auto"/>
          </w:tcPr>
          <w:p w14:paraId="344FE254"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7AA8C13"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6.陸海空軍刑法第五十四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4CCB3C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委員郭昱晴</w:t>
            </w:r>
          </w:p>
          <w:p w14:paraId="1C18E0E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01781BE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77D3A35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0D2F324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6A9A197"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3A3EAEC5" w14:textId="77777777" w:rsidTr="00AC616B">
        <w:tc>
          <w:tcPr>
            <w:tcW w:w="567" w:type="dxa"/>
            <w:shd w:val="clear" w:color="auto" w:fill="auto"/>
          </w:tcPr>
          <w:p w14:paraId="3574A853"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76A3631"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7.陸海空軍刑法第五十四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0ADDEE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委員林倩綺</w:t>
            </w:r>
          </w:p>
          <w:p w14:paraId="494DFDD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50110A5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38C6532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2B716ED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39B6F0BF"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0A2C5D7C" w14:textId="77777777" w:rsidTr="00AC616B">
        <w:tc>
          <w:tcPr>
            <w:tcW w:w="567" w:type="dxa"/>
            <w:shd w:val="clear" w:color="auto" w:fill="auto"/>
          </w:tcPr>
          <w:p w14:paraId="11C39E2D"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897D953"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8.陸海空軍刑法第五十四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47908B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委員李彥秀</w:t>
            </w:r>
          </w:p>
          <w:p w14:paraId="02510E5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7AA08EC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7C923A5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10D5087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7B30750"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D702A6B" w14:textId="77777777" w:rsidTr="00AC616B">
        <w:tc>
          <w:tcPr>
            <w:tcW w:w="567" w:type="dxa"/>
            <w:shd w:val="clear" w:color="auto" w:fill="auto"/>
          </w:tcPr>
          <w:p w14:paraId="630B143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B138EB2"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9.陸海空軍刑法第五十四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856212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委員許宇</w:t>
            </w:r>
            <w:proofErr w:type="gramStart"/>
            <w:r w:rsidRPr="001B6E4D">
              <w:rPr>
                <w:rFonts w:ascii="標楷體" w:eastAsia="標楷體" w:hAnsi="標楷體"/>
                <w:color w:val="000000"/>
                <w:kern w:val="0"/>
              </w:rPr>
              <w:t>甄</w:t>
            </w:r>
            <w:proofErr w:type="gramEnd"/>
          </w:p>
          <w:p w14:paraId="1B428A8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等22人</w:t>
            </w:r>
          </w:p>
          <w:p w14:paraId="62C8D06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4CEEFEB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07ADA3E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B7548A2"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F973B0A" w14:textId="77777777" w:rsidTr="00AC616B">
        <w:tc>
          <w:tcPr>
            <w:tcW w:w="567" w:type="dxa"/>
            <w:shd w:val="clear" w:color="auto" w:fill="auto"/>
          </w:tcPr>
          <w:p w14:paraId="63183438"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2983105"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10.陸海空軍刑法第五十四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39D5D2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委員萬美玲</w:t>
            </w:r>
          </w:p>
          <w:p w14:paraId="170AFD2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1B9DA6A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0A0FB32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1757DDF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0EC2D6C"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03025C6B" w14:textId="77777777" w:rsidTr="00AC616B">
        <w:tc>
          <w:tcPr>
            <w:tcW w:w="567" w:type="dxa"/>
            <w:shd w:val="clear" w:color="auto" w:fill="auto"/>
          </w:tcPr>
          <w:p w14:paraId="07C0A7F5"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04F813C3"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11.陸海空軍刑法第五十四條及第五十四條之</w:t>
            </w:r>
            <w:proofErr w:type="gramStart"/>
            <w:r w:rsidRPr="001B6E4D">
              <w:rPr>
                <w:rFonts w:ascii="標楷體" w:eastAsia="標楷體" w:hAnsi="標楷體"/>
                <w:color w:val="000000"/>
                <w:kern w:val="0"/>
              </w:rPr>
              <w:t>一</w:t>
            </w:r>
            <w:proofErr w:type="gramEnd"/>
            <w:r w:rsidRPr="001B6E4D">
              <w:rPr>
                <w:rFonts w:ascii="標楷體" w:eastAsia="標楷體" w:hAnsi="標楷體"/>
                <w:color w:val="000000"/>
                <w:kern w:val="0"/>
              </w:rPr>
              <w:t>條文修正草案</w:t>
            </w:r>
          </w:p>
        </w:tc>
        <w:tc>
          <w:tcPr>
            <w:tcW w:w="1918" w:type="dxa"/>
            <w:shd w:val="clear" w:color="auto" w:fill="auto"/>
          </w:tcPr>
          <w:p w14:paraId="3C1AC45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委員張宏陸</w:t>
            </w:r>
          </w:p>
          <w:p w14:paraId="69EAB5F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6C538A5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5BEEFBA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7A38290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78ACDB4"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727DDD63" w14:textId="77777777" w:rsidTr="00AC616B">
        <w:tc>
          <w:tcPr>
            <w:tcW w:w="567" w:type="dxa"/>
            <w:shd w:val="clear" w:color="auto" w:fill="auto"/>
          </w:tcPr>
          <w:p w14:paraId="0CA0292D"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77584E95"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12.陸海空軍刑法第五十四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1CB938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委員林楚</w:t>
            </w:r>
            <w:proofErr w:type="gramStart"/>
            <w:r w:rsidRPr="001B6E4D">
              <w:rPr>
                <w:rFonts w:ascii="標楷體" w:eastAsia="標楷體" w:hAnsi="標楷體"/>
                <w:color w:val="000000"/>
                <w:kern w:val="0"/>
              </w:rPr>
              <w:t>茵</w:t>
            </w:r>
            <w:proofErr w:type="gramEnd"/>
          </w:p>
          <w:p w14:paraId="49E81BE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68844A8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362C31C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587E681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46D5C62"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040D4469" w14:textId="77777777" w:rsidTr="00AC616B">
        <w:tc>
          <w:tcPr>
            <w:tcW w:w="567" w:type="dxa"/>
            <w:shd w:val="clear" w:color="auto" w:fill="auto"/>
          </w:tcPr>
          <w:p w14:paraId="61A30B3C"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6F2E8C5"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13.陸海空軍刑法第五十四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FD89D9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委員羅美玲</w:t>
            </w:r>
          </w:p>
          <w:p w14:paraId="6422836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1B1795E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72DF95F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0688072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B8763D2"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266A00B" w14:textId="77777777" w:rsidTr="00AC616B">
        <w:tc>
          <w:tcPr>
            <w:tcW w:w="567" w:type="dxa"/>
            <w:shd w:val="clear" w:color="auto" w:fill="auto"/>
          </w:tcPr>
          <w:p w14:paraId="0C0630D0"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648B45AC"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14.陸海空軍刑法第五十四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DFCB47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委員陳培瑜</w:t>
            </w:r>
          </w:p>
          <w:p w14:paraId="72A4496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23A06D7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5C93B2D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293FADD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AFC76CF"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73CE44C0" w14:textId="77777777" w:rsidTr="00AC616B">
        <w:tc>
          <w:tcPr>
            <w:tcW w:w="567" w:type="dxa"/>
            <w:shd w:val="clear" w:color="auto" w:fill="auto"/>
          </w:tcPr>
          <w:p w14:paraId="06168C5C"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2A13480A"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15.陸海空軍刑法第五十四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0BF7E5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委員伍麗華</w:t>
            </w:r>
          </w:p>
          <w:p w14:paraId="0D5E161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Saidhai</w:t>
            </w:r>
            <w:proofErr w:type="spellEnd"/>
            <w:r w:rsidRPr="001B6E4D">
              <w:rPr>
                <w:rFonts w:ascii="標楷體" w:eastAsia="標楷體" w:hAnsi="標楷體"/>
                <w:color w:val="000000"/>
                <w:kern w:val="0"/>
              </w:rPr>
              <w:t>‧</w:t>
            </w:r>
          </w:p>
          <w:p w14:paraId="6D812A7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Tahovecahe</w:t>
            </w:r>
            <w:proofErr w:type="spellEnd"/>
          </w:p>
          <w:p w14:paraId="0F47227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37015C2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4A3873B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72BB4A5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162064F8"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9ED0C84" w14:textId="77777777" w:rsidTr="00AC616B">
        <w:tc>
          <w:tcPr>
            <w:tcW w:w="567" w:type="dxa"/>
            <w:shd w:val="clear" w:color="auto" w:fill="auto"/>
          </w:tcPr>
          <w:p w14:paraId="4B305E9A"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19AA26AB"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16.陸海空軍刑法第五十四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F9A371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委員徐富</w:t>
            </w:r>
            <w:proofErr w:type="gramStart"/>
            <w:r w:rsidRPr="001B6E4D">
              <w:rPr>
                <w:rFonts w:ascii="標楷體" w:eastAsia="標楷體" w:hAnsi="標楷體"/>
                <w:color w:val="000000"/>
                <w:kern w:val="0"/>
              </w:rPr>
              <w:t>癸</w:t>
            </w:r>
            <w:proofErr w:type="gramEnd"/>
          </w:p>
          <w:p w14:paraId="4A40B72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2FBE99A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3E1855C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（11-5-17）</w:t>
            </w:r>
          </w:p>
        </w:tc>
        <w:tc>
          <w:tcPr>
            <w:tcW w:w="1985" w:type="dxa"/>
            <w:vMerge/>
            <w:shd w:val="clear" w:color="auto" w:fill="auto"/>
          </w:tcPr>
          <w:p w14:paraId="469FBE82"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795C6DCB"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1798F641" w14:textId="77777777" w:rsidTr="00AC616B">
        <w:tc>
          <w:tcPr>
            <w:tcW w:w="567" w:type="dxa"/>
            <w:shd w:val="clear" w:color="auto" w:fill="auto"/>
          </w:tcPr>
          <w:p w14:paraId="460602E3"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6FA99D9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17.陸海空軍刑法第五十四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910D0D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委員何欣純</w:t>
            </w:r>
          </w:p>
          <w:p w14:paraId="7528166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1DF1436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4BB32D7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33E41BC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10A6A33"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26E26C3" w14:textId="77777777" w:rsidTr="00AC616B">
        <w:tc>
          <w:tcPr>
            <w:tcW w:w="567" w:type="dxa"/>
            <w:shd w:val="clear" w:color="auto" w:fill="auto"/>
          </w:tcPr>
          <w:p w14:paraId="622BD947"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73B6570"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18.陸海空軍刑法第五十四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CAF621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委員林宜瑾</w:t>
            </w:r>
          </w:p>
          <w:p w14:paraId="7F51DA9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等25人</w:t>
            </w:r>
          </w:p>
          <w:p w14:paraId="023D0BA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7AF51CA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2858E65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758AA1CD"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66C9FBE" w14:textId="77777777" w:rsidTr="00AC616B">
        <w:tc>
          <w:tcPr>
            <w:tcW w:w="567" w:type="dxa"/>
            <w:shd w:val="clear" w:color="auto" w:fill="auto"/>
          </w:tcPr>
          <w:p w14:paraId="36D1F942"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0541A77"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19.陸海空軍刑法第五十四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58817A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委員羅廷</w:t>
            </w:r>
            <w:proofErr w:type="gramStart"/>
            <w:r w:rsidRPr="001B6E4D">
              <w:rPr>
                <w:rFonts w:ascii="標楷體" w:eastAsia="標楷體" w:hAnsi="標楷體"/>
                <w:color w:val="000000"/>
                <w:kern w:val="0"/>
              </w:rPr>
              <w:t>瑋</w:t>
            </w:r>
            <w:proofErr w:type="gramEnd"/>
          </w:p>
          <w:p w14:paraId="70FF5181"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DE6AFC9"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65F2777A"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21DE6BC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CD94658"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40B9B08C" w14:textId="77777777" w:rsidTr="00AC616B">
        <w:tc>
          <w:tcPr>
            <w:tcW w:w="567" w:type="dxa"/>
            <w:shd w:val="clear" w:color="auto" w:fill="auto"/>
          </w:tcPr>
          <w:p w14:paraId="70392CF0"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C7DE920"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20.陸海空軍刑法第五十四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56546D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委員廖偉翔</w:t>
            </w:r>
          </w:p>
          <w:p w14:paraId="795C8F1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6EEB048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491A9E44"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1D36791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DD0076D"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5AB4AADE" w14:textId="77777777" w:rsidTr="00AC616B">
        <w:tc>
          <w:tcPr>
            <w:tcW w:w="567" w:type="dxa"/>
            <w:shd w:val="clear" w:color="auto" w:fill="auto"/>
          </w:tcPr>
          <w:p w14:paraId="2EB6BD6F"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338E053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21.陸海空軍刑法第五十四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A6C050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委員吳沛憶</w:t>
            </w:r>
          </w:p>
          <w:p w14:paraId="4D09876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019D4F0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AEE28CC"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D9FDEB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2931130D"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768EDAD6" w14:textId="77777777" w:rsidTr="00AC616B">
        <w:tc>
          <w:tcPr>
            <w:tcW w:w="567" w:type="dxa"/>
            <w:shd w:val="clear" w:color="auto" w:fill="auto"/>
          </w:tcPr>
          <w:p w14:paraId="600BFBFC"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6CEDD9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22.陸海空軍刑法第五十四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0918E5E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委員賴惠員</w:t>
            </w:r>
          </w:p>
          <w:p w14:paraId="1B38407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580DA02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1DC67F65"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311FD23"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44291170"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DD41A4D" w14:textId="77777777" w:rsidTr="00AC616B">
        <w:tc>
          <w:tcPr>
            <w:tcW w:w="567" w:type="dxa"/>
            <w:shd w:val="clear" w:color="auto" w:fill="auto"/>
          </w:tcPr>
          <w:p w14:paraId="616E4C2F"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5F6D9E6F"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23.陸海空軍刑法第五十四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0B63EFBB"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委員徐巧芯</w:t>
            </w:r>
          </w:p>
          <w:p w14:paraId="13F07F8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C59001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115.07.24</w:t>
            </w:r>
          </w:p>
          <w:p w14:paraId="4D642B1F"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（11-5-19）</w:t>
            </w:r>
          </w:p>
        </w:tc>
        <w:tc>
          <w:tcPr>
            <w:tcW w:w="1985" w:type="dxa"/>
            <w:vMerge/>
            <w:shd w:val="clear" w:color="auto" w:fill="auto"/>
          </w:tcPr>
          <w:p w14:paraId="16D71EC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55C47BF4"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25EF040B" w14:textId="77777777" w:rsidTr="00AC616B">
        <w:tc>
          <w:tcPr>
            <w:tcW w:w="567" w:type="dxa"/>
            <w:shd w:val="clear" w:color="auto" w:fill="auto"/>
          </w:tcPr>
          <w:p w14:paraId="7D01F3EE"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EF7EA52"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24.陸海空軍刑法第五十四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7E5252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委員葉元之</w:t>
            </w:r>
          </w:p>
          <w:p w14:paraId="4CD023F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67FF79F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115.07.24</w:t>
            </w:r>
          </w:p>
          <w:p w14:paraId="4EF5DE8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（11-5-19）</w:t>
            </w:r>
          </w:p>
        </w:tc>
        <w:tc>
          <w:tcPr>
            <w:tcW w:w="1985" w:type="dxa"/>
            <w:vMerge/>
            <w:shd w:val="clear" w:color="auto" w:fill="auto"/>
          </w:tcPr>
          <w:p w14:paraId="4966C1ED"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062A759F"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AF4F05" w:rsidRPr="001B6E4D" w14:paraId="6603D7D6" w14:textId="77777777" w:rsidTr="00AC616B">
        <w:tc>
          <w:tcPr>
            <w:tcW w:w="567" w:type="dxa"/>
            <w:shd w:val="clear" w:color="auto" w:fill="auto"/>
          </w:tcPr>
          <w:p w14:paraId="5D7AE513" w14:textId="77777777" w:rsidR="00AF4F05" w:rsidRPr="001B6E4D" w:rsidRDefault="00AF4F05" w:rsidP="003D1018">
            <w:pPr>
              <w:widowControl w:val="0"/>
              <w:numPr>
                <w:ilvl w:val="0"/>
                <w:numId w:val="18"/>
              </w:numPr>
              <w:overflowPunct w:val="0"/>
              <w:jc w:val="center"/>
              <w:rPr>
                <w:rFonts w:ascii="標楷體" w:eastAsia="標楷體" w:hAnsi="標楷體" w:cs="新細明體"/>
                <w:color w:val="000000"/>
                <w:szCs w:val="22"/>
              </w:rPr>
            </w:pPr>
          </w:p>
        </w:tc>
        <w:tc>
          <w:tcPr>
            <w:tcW w:w="2182" w:type="dxa"/>
            <w:shd w:val="clear" w:color="auto" w:fill="auto"/>
          </w:tcPr>
          <w:p w14:paraId="4EB2E3E4" w14:textId="77777777" w:rsidR="00AF4F05" w:rsidRPr="001B6E4D" w:rsidRDefault="00AF4F0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25.陸海空軍刑法第五十四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FDD8170"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w:t>
            </w:r>
            <w:proofErr w:type="gramStart"/>
            <w:r w:rsidRPr="001B6E4D">
              <w:rPr>
                <w:rFonts w:ascii="標楷體" w:eastAsia="標楷體" w:hAnsi="標楷體"/>
                <w:color w:val="000000"/>
                <w:kern w:val="0"/>
              </w:rPr>
              <w:t>范</w:t>
            </w:r>
            <w:proofErr w:type="gramEnd"/>
            <w:r w:rsidRPr="001B6E4D">
              <w:rPr>
                <w:rFonts w:ascii="標楷體" w:eastAsia="標楷體" w:hAnsi="標楷體"/>
                <w:color w:val="000000"/>
                <w:kern w:val="0"/>
              </w:rPr>
              <w:t>雲</w:t>
            </w:r>
          </w:p>
          <w:p w14:paraId="2FBB76D6"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45CABEB7"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115.07.31</w:t>
            </w:r>
          </w:p>
          <w:p w14:paraId="0E035D8E"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（11-5-20）</w:t>
            </w:r>
          </w:p>
        </w:tc>
        <w:tc>
          <w:tcPr>
            <w:tcW w:w="1985" w:type="dxa"/>
            <w:vMerge/>
            <w:shd w:val="clear" w:color="auto" w:fill="auto"/>
          </w:tcPr>
          <w:p w14:paraId="3228D9B8" w14:textId="77777777" w:rsidR="00AF4F05" w:rsidRPr="001B6E4D" w:rsidRDefault="00AF4F05" w:rsidP="003D1018">
            <w:pPr>
              <w:widowControl w:val="0"/>
              <w:kinsoku w:val="0"/>
              <w:overflowPunct w:val="0"/>
              <w:topLinePunct/>
              <w:spacing w:line="300" w:lineRule="exact"/>
              <w:rPr>
                <w:rFonts w:ascii="標楷體" w:eastAsia="標楷體" w:hAnsi="標楷體"/>
                <w:color w:val="000000"/>
                <w:kern w:val="0"/>
              </w:rPr>
            </w:pPr>
          </w:p>
        </w:tc>
        <w:tc>
          <w:tcPr>
            <w:tcW w:w="2279" w:type="dxa"/>
            <w:vMerge/>
            <w:shd w:val="clear" w:color="auto" w:fill="auto"/>
          </w:tcPr>
          <w:p w14:paraId="6435261B" w14:textId="77777777" w:rsidR="00AF4F05" w:rsidRPr="001B6E4D" w:rsidRDefault="00AF4F05"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bl>
    <w:p w14:paraId="7E25B329" w14:textId="4BC10BDE" w:rsidR="00901B12" w:rsidRPr="001B6E4D" w:rsidRDefault="00901B12" w:rsidP="003D1018">
      <w:pPr>
        <w:keepNext/>
        <w:kinsoku w:val="0"/>
        <w:overflowPunct w:val="0"/>
        <w:spacing w:beforeLines="100" w:before="360" w:afterLines="70" w:after="252" w:line="260" w:lineRule="exact"/>
        <w:ind w:left="2422"/>
        <w:jc w:val="both"/>
        <w:outlineLvl w:val="3"/>
        <w:rPr>
          <w:rFonts w:ascii="標楷體" w:eastAsia="標楷體" w:hAnsi="標楷體"/>
          <w:b/>
          <w:bCs/>
          <w:color w:val="000000" w:themeColor="text1"/>
          <w:sz w:val="28"/>
          <w:szCs w:val="28"/>
          <w:shd w:val="clear" w:color="auto" w:fill="FFFFFF"/>
        </w:rPr>
        <w:sectPr w:rsidR="00901B12" w:rsidRPr="001B6E4D" w:rsidSect="00B8553E">
          <w:pgSz w:w="11906" w:h="16838"/>
          <w:pgMar w:top="1440" w:right="1133" w:bottom="1440" w:left="1800" w:header="851" w:footer="992" w:gutter="0"/>
          <w:cols w:space="425"/>
          <w:docGrid w:type="lines" w:linePitch="360"/>
        </w:sectPr>
      </w:pPr>
    </w:p>
    <w:p w14:paraId="075729DA" w14:textId="249DC828" w:rsidR="0062608B" w:rsidRPr="001B6E4D" w:rsidRDefault="001625F1"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26" w:name="_Toc240446517"/>
      <w:r w:rsidRPr="001B6E4D">
        <w:rPr>
          <w:rFonts w:ascii="標楷體" w:hAnsi="標楷體" w:hint="eastAsia"/>
          <w:color w:val="000000" w:themeColor="text1"/>
          <w:szCs w:val="28"/>
          <w:shd w:val="clear" w:color="auto" w:fill="FFFFFF" w:themeFill="background1"/>
        </w:rPr>
        <w:lastRenderedPageBreak/>
        <w:t>［貳］</w:t>
      </w:r>
      <w:r w:rsidR="0062608B" w:rsidRPr="001B6E4D">
        <w:rPr>
          <w:rFonts w:ascii="標楷體" w:hAnsi="標楷體"/>
          <w:color w:val="000000" w:themeColor="text1"/>
          <w:szCs w:val="28"/>
          <w:shd w:val="clear" w:color="auto" w:fill="FFFFFF" w:themeFill="background1"/>
        </w:rPr>
        <w:t>預</w:t>
      </w:r>
      <w:r w:rsidR="0062608B" w:rsidRPr="001B6E4D">
        <w:rPr>
          <w:rFonts w:ascii="標楷體" w:hAnsi="標楷體" w:hint="eastAsia"/>
          <w:color w:val="000000" w:themeColor="text1"/>
          <w:szCs w:val="28"/>
          <w:shd w:val="clear" w:color="auto" w:fill="FFFFFF" w:themeFill="background1"/>
        </w:rPr>
        <w:t>（</w:t>
      </w:r>
      <w:r w:rsidR="0062608B" w:rsidRPr="001B6E4D">
        <w:rPr>
          <w:rFonts w:ascii="標楷體" w:hAnsi="標楷體"/>
          <w:color w:val="000000" w:themeColor="text1"/>
          <w:szCs w:val="28"/>
          <w:shd w:val="clear" w:color="auto" w:fill="FFFFFF" w:themeFill="background1"/>
        </w:rPr>
        <w:t>決</w:t>
      </w:r>
      <w:r w:rsidR="0062608B" w:rsidRPr="001B6E4D">
        <w:rPr>
          <w:rFonts w:ascii="標楷體" w:hAnsi="標楷體" w:hint="eastAsia"/>
          <w:color w:val="000000" w:themeColor="text1"/>
          <w:szCs w:val="28"/>
          <w:shd w:val="clear" w:color="auto" w:fill="FFFFFF" w:themeFill="background1"/>
        </w:rPr>
        <w:t>）</w:t>
      </w:r>
      <w:r w:rsidR="0062608B" w:rsidRPr="001B6E4D">
        <w:rPr>
          <w:rFonts w:ascii="標楷體" w:hAnsi="標楷體"/>
          <w:color w:val="000000" w:themeColor="text1"/>
          <w:szCs w:val="28"/>
          <w:shd w:val="clear" w:color="auto" w:fill="FFFFFF" w:themeFill="background1"/>
        </w:rPr>
        <w:t>算案</w:t>
      </w:r>
      <w:bookmarkEnd w:id="113"/>
      <w:bookmarkEnd w:id="114"/>
      <w:r w:rsidR="0030534B" w:rsidRPr="001B6E4D">
        <w:rPr>
          <w:rFonts w:ascii="標楷體" w:hAnsi="標楷體" w:hint="eastAsia"/>
          <w:color w:val="000000" w:themeColor="text1"/>
          <w:szCs w:val="28"/>
          <w:shd w:val="clear" w:color="auto" w:fill="FFFFFF" w:themeFill="background1"/>
        </w:rPr>
        <w:t>4</w:t>
      </w:r>
      <w:r w:rsidR="0062608B" w:rsidRPr="001B6E4D">
        <w:rPr>
          <w:rFonts w:ascii="標楷體" w:hAnsi="標楷體"/>
          <w:color w:val="000000" w:themeColor="text1"/>
          <w:szCs w:val="28"/>
          <w:shd w:val="clear" w:color="auto" w:fill="FFFFFF" w:themeFill="background1"/>
        </w:rPr>
        <w:t>案</w:t>
      </w:r>
      <w:bookmarkEnd w:id="115"/>
      <w:bookmarkEnd w:id="116"/>
      <w:bookmarkEnd w:id="117"/>
      <w:bookmarkEnd w:id="118"/>
      <w:bookmarkEnd w:id="119"/>
      <w:bookmarkEnd w:id="120"/>
      <w:bookmarkEnd w:id="121"/>
      <w:bookmarkEnd w:id="122"/>
      <w:bookmarkEnd w:id="123"/>
      <w:bookmarkEnd w:id="126"/>
    </w:p>
    <w:p w14:paraId="711EDC56" w14:textId="3B941436" w:rsidR="006D0B3D" w:rsidRPr="001B6E4D" w:rsidRDefault="006D0B3D" w:rsidP="003D1018">
      <w:pPr>
        <w:pStyle w:val="affffff0"/>
        <w:kinsoku w:val="0"/>
        <w:overflowPunct w:val="0"/>
        <w:topLinePunct/>
        <w:spacing w:before="180" w:after="180"/>
        <w:ind w:leftChars="128" w:left="307" w:firstLineChars="200" w:firstLine="561"/>
      </w:pPr>
      <w:bookmarkStart w:id="127" w:name="_Toc240446518"/>
      <w:r w:rsidRPr="001B6E4D">
        <w:rPr>
          <w:rFonts w:hint="eastAsia"/>
        </w:rPr>
        <w:t>一、總預算案</w:t>
      </w:r>
      <w:r w:rsidR="00D779CC" w:rsidRPr="001B6E4D">
        <w:rPr>
          <w:rFonts w:hint="eastAsia"/>
        </w:rPr>
        <w:t>2</w:t>
      </w:r>
      <w:r w:rsidRPr="001B6E4D">
        <w:rPr>
          <w:rFonts w:hint="eastAsia"/>
        </w:rPr>
        <w:t>案</w:t>
      </w:r>
      <w:bookmarkEnd w:id="127"/>
    </w:p>
    <w:p w14:paraId="4A41028E" w14:textId="511919C5" w:rsidR="00D779CC" w:rsidRPr="001B6E4D" w:rsidRDefault="00D779CC"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128" w:name="_Toc240446519"/>
      <w:r w:rsidRPr="001B6E4D">
        <w:rPr>
          <w:rFonts w:hint="eastAsia"/>
          <w:color w:val="000000" w:themeColor="text1"/>
          <w:shd w:val="clear" w:color="auto" w:fill="FFFFFF" w:themeFill="background1"/>
        </w:rPr>
        <w:t>（一）經院會通過之議案1案</w:t>
      </w:r>
      <w:bookmarkEnd w:id="128"/>
    </w:p>
    <w:tbl>
      <w:tblPr>
        <w:tblW w:w="8700" w:type="dxa"/>
        <w:tblInd w:w="52"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624"/>
        <w:gridCol w:w="1842"/>
        <w:gridCol w:w="1558"/>
        <w:gridCol w:w="1430"/>
        <w:gridCol w:w="1842"/>
        <w:gridCol w:w="1404"/>
      </w:tblGrid>
      <w:tr w:rsidR="00D779CC" w:rsidRPr="001B6E4D" w14:paraId="5CB9B2DA" w14:textId="77777777" w:rsidTr="00A35FB5">
        <w:tc>
          <w:tcPr>
            <w:tcW w:w="624" w:type="dxa"/>
            <w:hideMark/>
          </w:tcPr>
          <w:p w14:paraId="3B0BD6EE" w14:textId="77777777" w:rsidR="00D779CC" w:rsidRPr="001B6E4D" w:rsidRDefault="00D779CC" w:rsidP="003D1018">
            <w:pPr>
              <w:widowControl w:val="0"/>
              <w:overflowPunct w:val="0"/>
              <w:adjustRightInd w:val="0"/>
              <w:snapToGrid w:val="0"/>
              <w:spacing w:line="260" w:lineRule="exact"/>
              <w:jc w:val="center"/>
              <w:rPr>
                <w:rFonts w:ascii="標楷體" w:eastAsia="標楷體" w:hAnsi="標楷體"/>
                <w:b/>
                <w:szCs w:val="22"/>
              </w:rPr>
            </w:pPr>
            <w:r w:rsidRPr="001B6E4D">
              <w:rPr>
                <w:rFonts w:ascii="標楷體" w:eastAsia="標楷體" w:hAnsi="標楷體" w:hint="eastAsia"/>
                <w:b/>
                <w:szCs w:val="22"/>
              </w:rPr>
              <w:t>序號</w:t>
            </w:r>
          </w:p>
        </w:tc>
        <w:tc>
          <w:tcPr>
            <w:tcW w:w="1842" w:type="dxa"/>
            <w:hideMark/>
          </w:tcPr>
          <w:p w14:paraId="50413E07" w14:textId="77777777" w:rsidR="00D779CC" w:rsidRPr="001B6E4D" w:rsidRDefault="00D779CC" w:rsidP="003D1018">
            <w:pPr>
              <w:widowControl w:val="0"/>
              <w:overflowPunct w:val="0"/>
              <w:spacing w:line="280" w:lineRule="exact"/>
              <w:ind w:leftChars="-45" w:left="-108" w:rightChars="-45" w:right="-108"/>
              <w:jc w:val="center"/>
              <w:rPr>
                <w:rFonts w:ascii="標楷體" w:eastAsia="標楷體" w:hAnsi="標楷體"/>
                <w:b/>
                <w:szCs w:val="22"/>
              </w:rPr>
            </w:pPr>
            <w:r w:rsidRPr="001B6E4D">
              <w:rPr>
                <w:rFonts w:ascii="標楷體" w:eastAsia="標楷體" w:hAnsi="標楷體" w:hint="eastAsia"/>
                <w:b/>
                <w:szCs w:val="22"/>
              </w:rPr>
              <w:t>議案名稱</w:t>
            </w:r>
          </w:p>
        </w:tc>
        <w:tc>
          <w:tcPr>
            <w:tcW w:w="1558" w:type="dxa"/>
            <w:hideMark/>
          </w:tcPr>
          <w:p w14:paraId="71F57D03" w14:textId="77777777" w:rsidR="00D779CC" w:rsidRPr="001B6E4D" w:rsidRDefault="00D779CC" w:rsidP="003D1018">
            <w:pPr>
              <w:widowControl w:val="0"/>
              <w:overflowPunct w:val="0"/>
              <w:spacing w:line="280" w:lineRule="exact"/>
              <w:jc w:val="center"/>
              <w:rPr>
                <w:rFonts w:ascii="標楷體" w:eastAsia="標楷體" w:hAnsi="標楷體"/>
                <w:b/>
                <w:szCs w:val="22"/>
              </w:rPr>
            </w:pPr>
            <w:r w:rsidRPr="001B6E4D">
              <w:rPr>
                <w:rFonts w:ascii="標楷體" w:eastAsia="標楷體" w:hAnsi="標楷體" w:hint="eastAsia"/>
                <w:b/>
                <w:szCs w:val="22"/>
              </w:rPr>
              <w:t>提案機關</w:t>
            </w:r>
          </w:p>
          <w:p w14:paraId="71C9E08F" w14:textId="77777777" w:rsidR="00D779CC" w:rsidRPr="001B6E4D" w:rsidRDefault="00D779CC" w:rsidP="003D1018">
            <w:pPr>
              <w:widowControl w:val="0"/>
              <w:overflowPunct w:val="0"/>
              <w:spacing w:line="280" w:lineRule="exact"/>
              <w:jc w:val="center"/>
              <w:rPr>
                <w:rFonts w:ascii="標楷體" w:eastAsia="標楷體" w:hAnsi="標楷體"/>
                <w:b/>
                <w:szCs w:val="22"/>
              </w:rPr>
            </w:pPr>
            <w:r w:rsidRPr="001B6E4D">
              <w:rPr>
                <w:rFonts w:ascii="標楷體" w:eastAsia="標楷體" w:hAnsi="標楷體" w:hint="eastAsia"/>
                <w:b/>
                <w:spacing w:val="-20"/>
                <w:szCs w:val="22"/>
              </w:rPr>
              <w:t>院會交付日期</w:t>
            </w:r>
            <w:r w:rsidRPr="001B6E4D">
              <w:rPr>
                <w:rFonts w:ascii="標楷體" w:eastAsia="標楷體" w:hAnsi="標楷體" w:hint="eastAsia"/>
                <w:b/>
                <w:szCs w:val="22"/>
              </w:rPr>
              <w:t>（會次）</w:t>
            </w:r>
          </w:p>
        </w:tc>
        <w:tc>
          <w:tcPr>
            <w:tcW w:w="1430" w:type="dxa"/>
            <w:hideMark/>
          </w:tcPr>
          <w:p w14:paraId="68B8D38B" w14:textId="77777777" w:rsidR="00D779CC" w:rsidRPr="001B6E4D" w:rsidRDefault="00D779CC" w:rsidP="003D1018">
            <w:pPr>
              <w:widowControl w:val="0"/>
              <w:overflowPunct w:val="0"/>
              <w:spacing w:line="300" w:lineRule="exact"/>
              <w:jc w:val="center"/>
              <w:rPr>
                <w:rFonts w:ascii="標楷體" w:eastAsia="標楷體" w:hAnsi="標楷體"/>
                <w:b/>
                <w:szCs w:val="22"/>
              </w:rPr>
            </w:pPr>
            <w:r w:rsidRPr="001B6E4D">
              <w:rPr>
                <w:rFonts w:ascii="標楷體" w:eastAsia="標楷體" w:hAnsi="標楷體" w:hint="eastAsia"/>
                <w:b/>
                <w:szCs w:val="22"/>
              </w:rPr>
              <w:t>審查委員會</w:t>
            </w:r>
          </w:p>
          <w:p w14:paraId="1598769B" w14:textId="77777777" w:rsidR="00D779CC" w:rsidRPr="001B6E4D" w:rsidRDefault="00D779CC" w:rsidP="003D1018">
            <w:pPr>
              <w:widowControl w:val="0"/>
              <w:overflowPunct w:val="0"/>
              <w:spacing w:line="300" w:lineRule="exact"/>
              <w:jc w:val="center"/>
              <w:rPr>
                <w:rFonts w:ascii="標楷體" w:eastAsia="標楷體" w:hAnsi="標楷體"/>
                <w:b/>
                <w:szCs w:val="22"/>
              </w:rPr>
            </w:pPr>
            <w:r w:rsidRPr="001B6E4D">
              <w:rPr>
                <w:rFonts w:ascii="標楷體" w:eastAsia="標楷體" w:hAnsi="標楷體" w:hint="eastAsia"/>
                <w:b/>
                <w:szCs w:val="22"/>
              </w:rPr>
              <w:t>院會說明人</w:t>
            </w:r>
          </w:p>
        </w:tc>
        <w:tc>
          <w:tcPr>
            <w:tcW w:w="3246" w:type="dxa"/>
            <w:gridSpan w:val="2"/>
            <w:hideMark/>
          </w:tcPr>
          <w:p w14:paraId="150ADC7F" w14:textId="77777777" w:rsidR="00D779CC" w:rsidRPr="001B6E4D" w:rsidRDefault="00D779CC" w:rsidP="003D1018">
            <w:pPr>
              <w:widowControl w:val="0"/>
              <w:overflowPunct w:val="0"/>
              <w:spacing w:line="260" w:lineRule="exact"/>
              <w:jc w:val="center"/>
              <w:rPr>
                <w:rFonts w:ascii="標楷體" w:eastAsia="標楷體" w:hAnsi="標楷體"/>
                <w:b/>
                <w:szCs w:val="22"/>
              </w:rPr>
            </w:pPr>
            <w:r w:rsidRPr="001B6E4D">
              <w:rPr>
                <w:rFonts w:ascii="標楷體" w:eastAsia="標楷體" w:hAnsi="標楷體" w:hint="eastAsia"/>
                <w:b/>
                <w:szCs w:val="22"/>
              </w:rPr>
              <w:t>審查、審議情形</w:t>
            </w:r>
          </w:p>
        </w:tc>
      </w:tr>
      <w:tr w:rsidR="00D779CC" w:rsidRPr="001B6E4D" w14:paraId="7AC92B18" w14:textId="77777777" w:rsidTr="00A35FB5">
        <w:trPr>
          <w:trHeight w:val="228"/>
        </w:trPr>
        <w:tc>
          <w:tcPr>
            <w:tcW w:w="624" w:type="dxa"/>
            <w:vMerge w:val="restart"/>
          </w:tcPr>
          <w:p w14:paraId="5B0F304F" w14:textId="77777777" w:rsidR="00D779CC" w:rsidRPr="001B6E4D" w:rsidRDefault="00D779CC" w:rsidP="003D1018">
            <w:pPr>
              <w:widowControl w:val="0"/>
              <w:overflowPunct w:val="0"/>
              <w:adjustRightInd w:val="0"/>
              <w:snapToGrid w:val="0"/>
              <w:spacing w:line="260" w:lineRule="exact"/>
              <w:jc w:val="center"/>
              <w:rPr>
                <w:rFonts w:ascii="標楷體" w:eastAsia="標楷體" w:hAnsi="標楷體"/>
                <w:szCs w:val="22"/>
              </w:rPr>
            </w:pPr>
            <w:r w:rsidRPr="001B6E4D">
              <w:rPr>
                <w:rFonts w:ascii="標楷體" w:eastAsia="標楷體" w:hAnsi="標楷體"/>
                <w:szCs w:val="22"/>
              </w:rPr>
              <w:t>1</w:t>
            </w:r>
          </w:p>
        </w:tc>
        <w:tc>
          <w:tcPr>
            <w:tcW w:w="1842" w:type="dxa"/>
            <w:vMerge w:val="restart"/>
          </w:tcPr>
          <w:p w14:paraId="70BD1BBD" w14:textId="77777777" w:rsidR="00D779CC" w:rsidRPr="001B6E4D" w:rsidRDefault="00D779CC"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中華民國</w:t>
            </w:r>
            <w:proofErr w:type="gramStart"/>
            <w:r w:rsidRPr="001B6E4D">
              <w:rPr>
                <w:rFonts w:ascii="標楷體" w:eastAsia="標楷體" w:hAnsi="標楷體" w:hint="eastAsia"/>
                <w:color w:val="000000"/>
                <w:kern w:val="0"/>
                <w:szCs w:val="22"/>
              </w:rPr>
              <w:t>11</w:t>
            </w:r>
            <w:r w:rsidRPr="001B6E4D">
              <w:rPr>
                <w:rFonts w:ascii="標楷體" w:eastAsia="標楷體" w:hAnsi="標楷體"/>
                <w:color w:val="000000"/>
                <w:kern w:val="0"/>
                <w:szCs w:val="22"/>
              </w:rPr>
              <w:t>5</w:t>
            </w:r>
            <w:proofErr w:type="gramEnd"/>
            <w:r w:rsidRPr="001B6E4D">
              <w:rPr>
                <w:rFonts w:ascii="標楷體" w:eastAsia="標楷體" w:hAnsi="標楷體" w:hint="eastAsia"/>
                <w:color w:val="000000"/>
                <w:kern w:val="0"/>
                <w:szCs w:val="22"/>
              </w:rPr>
              <w:t>年度中央政府總預算案（公務預算部分）</w:t>
            </w:r>
          </w:p>
        </w:tc>
        <w:tc>
          <w:tcPr>
            <w:tcW w:w="1558" w:type="dxa"/>
            <w:vMerge w:val="restart"/>
          </w:tcPr>
          <w:p w14:paraId="21DE2815" w14:textId="77777777" w:rsidR="00D779CC" w:rsidRPr="001B6E4D" w:rsidRDefault="00D779CC" w:rsidP="003D1018">
            <w:pPr>
              <w:widowControl w:val="0"/>
              <w:overflowPunct w:val="0"/>
              <w:spacing w:line="28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行政院</w:t>
            </w:r>
          </w:p>
          <w:p w14:paraId="62B4825F" w14:textId="77777777" w:rsidR="00D779CC" w:rsidRPr="001B6E4D" w:rsidRDefault="00D779CC" w:rsidP="003D1018">
            <w:pPr>
              <w:widowControl w:val="0"/>
              <w:overflowPunct w:val="0"/>
              <w:spacing w:line="280" w:lineRule="exact"/>
              <w:rPr>
                <w:rFonts w:ascii="標楷體" w:eastAsia="標楷體" w:hAnsi="標楷體"/>
                <w:color w:val="000000"/>
                <w:kern w:val="0"/>
                <w:szCs w:val="22"/>
              </w:rPr>
            </w:pPr>
            <w:r w:rsidRPr="001B6E4D">
              <w:rPr>
                <w:rFonts w:ascii="標楷體" w:eastAsia="標楷體" w:hAnsi="標楷體"/>
                <w:color w:val="000000"/>
                <w:kern w:val="0"/>
                <w:szCs w:val="22"/>
              </w:rPr>
              <w:t>114.9.30</w:t>
            </w:r>
          </w:p>
          <w:p w14:paraId="41FA610F" w14:textId="77777777" w:rsidR="00D779CC" w:rsidRPr="001B6E4D" w:rsidRDefault="00D779CC" w:rsidP="003D1018">
            <w:pPr>
              <w:widowControl w:val="0"/>
              <w:overflowPunct w:val="0"/>
              <w:spacing w:line="28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（11-4-2）</w:t>
            </w:r>
          </w:p>
          <w:p w14:paraId="3D6A6187" w14:textId="77777777" w:rsidR="00D779CC" w:rsidRPr="001B6E4D" w:rsidRDefault="00D779CC" w:rsidP="003D1018">
            <w:pPr>
              <w:widowControl w:val="0"/>
              <w:overflowPunct w:val="0"/>
              <w:spacing w:line="260" w:lineRule="exact"/>
              <w:ind w:rightChars="-45" w:right="-108"/>
              <w:rPr>
                <w:rFonts w:ascii="標楷體" w:eastAsia="標楷體" w:hAnsi="標楷體"/>
                <w:kern w:val="0"/>
                <w:szCs w:val="22"/>
              </w:rPr>
            </w:pPr>
            <w:r w:rsidRPr="001B6E4D">
              <w:rPr>
                <w:rFonts w:ascii="標楷體" w:eastAsia="標楷體" w:hAnsi="標楷體" w:hint="eastAsia"/>
                <w:color w:val="000000"/>
                <w:kern w:val="0"/>
                <w:szCs w:val="22"/>
              </w:rPr>
              <w:t>（11-4-3提出復議，11-5-7撤回復議）</w:t>
            </w:r>
          </w:p>
        </w:tc>
        <w:tc>
          <w:tcPr>
            <w:tcW w:w="1430" w:type="dxa"/>
            <w:vMerge w:val="restart"/>
          </w:tcPr>
          <w:p w14:paraId="352C5328" w14:textId="77777777" w:rsidR="00D779CC" w:rsidRPr="001B6E4D" w:rsidRDefault="00D779CC" w:rsidP="003D1018">
            <w:pPr>
              <w:widowControl w:val="0"/>
              <w:overflowPunct w:val="0"/>
              <w:spacing w:line="300" w:lineRule="exact"/>
              <w:rPr>
                <w:rFonts w:ascii="標楷體" w:eastAsia="標楷體" w:hAnsi="標楷體"/>
                <w:kern w:val="0"/>
                <w:szCs w:val="22"/>
              </w:rPr>
            </w:pPr>
            <w:r w:rsidRPr="001B6E4D">
              <w:rPr>
                <w:rFonts w:ascii="標楷體" w:eastAsia="標楷體" w:hAnsi="標楷體" w:hint="eastAsia"/>
                <w:kern w:val="0"/>
                <w:szCs w:val="22"/>
              </w:rPr>
              <w:t>司法及法制</w:t>
            </w:r>
          </w:p>
          <w:p w14:paraId="007EFA94" w14:textId="77777777" w:rsidR="00D779CC" w:rsidRPr="001B6E4D" w:rsidRDefault="00D779CC" w:rsidP="003D1018">
            <w:pPr>
              <w:widowControl w:val="0"/>
              <w:overflowPunct w:val="0"/>
              <w:spacing w:line="300" w:lineRule="exact"/>
              <w:rPr>
                <w:rFonts w:ascii="標楷體" w:eastAsia="標楷體" w:hAnsi="標楷體"/>
                <w:kern w:val="0"/>
                <w:szCs w:val="22"/>
              </w:rPr>
            </w:pPr>
            <w:r w:rsidRPr="001B6E4D">
              <w:rPr>
                <w:rFonts w:ascii="標楷體" w:eastAsia="標楷體" w:hAnsi="標楷體" w:hint="eastAsia"/>
                <w:kern w:val="0"/>
                <w:szCs w:val="22"/>
              </w:rPr>
              <w:t>莊召集委員瑞雄</w:t>
            </w:r>
          </w:p>
        </w:tc>
        <w:tc>
          <w:tcPr>
            <w:tcW w:w="1842" w:type="dxa"/>
          </w:tcPr>
          <w:p w14:paraId="225FB976"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115.5.4</w:t>
            </w:r>
          </w:p>
          <w:p w14:paraId="73D65BDA" w14:textId="77777777" w:rsidR="00CA0B3D"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（11-5-11）</w:t>
            </w:r>
            <w:r w:rsidR="00CA0B3D" w:rsidRPr="001B6E4D">
              <w:rPr>
                <w:rFonts w:ascii="標楷體" w:eastAsia="標楷體" w:hAnsi="標楷體" w:hint="eastAsia"/>
                <w:color w:val="000000"/>
                <w:kern w:val="0"/>
                <w:szCs w:val="22"/>
              </w:rPr>
              <w:t>、</w:t>
            </w:r>
          </w:p>
          <w:p w14:paraId="7DA568C0"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115.5.18</w:t>
            </w:r>
          </w:p>
          <w:p w14:paraId="4DB07839"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（11-5-14）</w:t>
            </w:r>
          </w:p>
          <w:p w14:paraId="060100E5"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審竣司法院及所屬主管收支部分，須交由黨團協商。</w:t>
            </w:r>
          </w:p>
        </w:tc>
        <w:tc>
          <w:tcPr>
            <w:tcW w:w="1404" w:type="dxa"/>
            <w:vMerge w:val="restart"/>
          </w:tcPr>
          <w:p w14:paraId="6F8C1107" w14:textId="77777777" w:rsidR="00D779CC" w:rsidRPr="001B6E4D" w:rsidRDefault="00D779CC"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1.115.7.9黨團協商。</w:t>
            </w:r>
          </w:p>
          <w:p w14:paraId="6B763074" w14:textId="77777777" w:rsidR="00D779CC" w:rsidRPr="001B6E4D" w:rsidRDefault="00D779CC"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2.115.7.29黨團協商。</w:t>
            </w:r>
          </w:p>
          <w:p w14:paraId="302DB62C" w14:textId="77777777" w:rsidR="00D779CC" w:rsidRPr="001B6E4D" w:rsidRDefault="00D779CC"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3.115.7.30黨團協商。</w:t>
            </w:r>
          </w:p>
          <w:p w14:paraId="64B27C57" w14:textId="77777777" w:rsidR="00D779CC" w:rsidRPr="001B6E4D" w:rsidRDefault="00D779CC"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4.115.7.31黨團協商。</w:t>
            </w:r>
          </w:p>
          <w:p w14:paraId="2E5904F3" w14:textId="77777777" w:rsidR="00D779CC" w:rsidRPr="001B6E4D" w:rsidRDefault="00D779CC"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5.115.8.4黨團協商。</w:t>
            </w:r>
          </w:p>
          <w:p w14:paraId="281FB4F9" w14:textId="77777777" w:rsidR="00D779CC" w:rsidRPr="001B6E4D" w:rsidRDefault="00D779CC"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6.115.8.6黨團協商。</w:t>
            </w:r>
          </w:p>
          <w:p w14:paraId="636E6E00" w14:textId="77777777" w:rsidR="00D779CC" w:rsidRPr="001B6E4D" w:rsidRDefault="00D779CC"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7.115.8.11黨團協商。</w:t>
            </w:r>
          </w:p>
          <w:p w14:paraId="1E7EE306" w14:textId="77777777" w:rsidR="00D779CC" w:rsidRPr="001B6E4D" w:rsidRDefault="00D779CC"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spacing w:val="-12"/>
                <w:kern w:val="0"/>
                <w:szCs w:val="22"/>
              </w:rPr>
              <w:t>8</w:t>
            </w:r>
            <w:r w:rsidRPr="001B6E4D">
              <w:rPr>
                <w:rFonts w:ascii="標楷體" w:eastAsia="標楷體" w:hAnsi="標楷體" w:hint="eastAsia"/>
                <w:spacing w:val="-12"/>
                <w:kern w:val="0"/>
                <w:szCs w:val="22"/>
              </w:rPr>
              <w:t>.院會</w:t>
            </w:r>
          </w:p>
          <w:p w14:paraId="04D81BAC" w14:textId="77777777" w:rsidR="00D779CC" w:rsidRPr="001B6E4D" w:rsidRDefault="00D779CC"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spacing w:val="-12"/>
                <w:kern w:val="0"/>
                <w:szCs w:val="22"/>
              </w:rPr>
              <w:t>115.8.</w:t>
            </w:r>
            <w:r w:rsidRPr="001B6E4D">
              <w:rPr>
                <w:rFonts w:ascii="標楷體" w:eastAsia="標楷體" w:hAnsi="標楷體" w:hint="eastAsia"/>
                <w:spacing w:val="-12"/>
                <w:kern w:val="0"/>
                <w:szCs w:val="22"/>
              </w:rPr>
              <w:t>14</w:t>
            </w:r>
          </w:p>
          <w:p w14:paraId="71AA5BB1" w14:textId="77777777" w:rsidR="00D779CC" w:rsidRPr="001B6E4D" w:rsidRDefault="00D779CC"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(11-</w:t>
            </w:r>
            <w:r w:rsidRPr="001B6E4D">
              <w:rPr>
                <w:rFonts w:ascii="標楷體" w:eastAsia="標楷體" w:hAnsi="標楷體"/>
                <w:spacing w:val="-12"/>
                <w:kern w:val="0"/>
                <w:szCs w:val="22"/>
              </w:rPr>
              <w:t>5</w:t>
            </w:r>
            <w:r w:rsidRPr="001B6E4D">
              <w:rPr>
                <w:rFonts w:ascii="標楷體" w:eastAsia="標楷體" w:hAnsi="標楷體" w:hint="eastAsia"/>
                <w:spacing w:val="-12"/>
                <w:kern w:val="0"/>
                <w:szCs w:val="22"/>
              </w:rPr>
              <w:t>-</w:t>
            </w:r>
            <w:r w:rsidRPr="001B6E4D">
              <w:rPr>
                <w:rFonts w:ascii="標楷體" w:eastAsia="標楷體" w:hAnsi="標楷體"/>
                <w:spacing w:val="-12"/>
                <w:kern w:val="0"/>
                <w:szCs w:val="22"/>
              </w:rPr>
              <w:t>22</w:t>
            </w:r>
            <w:r w:rsidRPr="001B6E4D">
              <w:rPr>
                <w:rFonts w:ascii="標楷體" w:eastAsia="標楷體" w:hAnsi="標楷體" w:hint="eastAsia"/>
                <w:spacing w:val="-12"/>
                <w:kern w:val="0"/>
                <w:szCs w:val="22"/>
              </w:rPr>
              <w:t>)三讀通過。</w:t>
            </w:r>
          </w:p>
          <w:p w14:paraId="2F8C76B5" w14:textId="503B2BB6" w:rsidR="00D779CC" w:rsidRPr="00047DBA" w:rsidRDefault="00D779CC" w:rsidP="00047DBA">
            <w:pPr>
              <w:widowControl w:val="0"/>
              <w:overflowPunct w:val="0"/>
              <w:adjustRightInd w:val="0"/>
              <w:snapToGrid w:val="0"/>
              <w:spacing w:line="300" w:lineRule="exact"/>
              <w:jc w:val="both"/>
              <w:rPr>
                <w:rFonts w:ascii="標楷體" w:eastAsia="標楷體" w:hAnsi="標楷體"/>
                <w:spacing w:val="-12"/>
                <w:kern w:val="0"/>
                <w:szCs w:val="22"/>
              </w:rPr>
            </w:pPr>
            <w:r w:rsidRPr="00047DBA">
              <w:rPr>
                <w:rFonts w:ascii="標楷體" w:eastAsia="標楷體" w:hAnsi="標楷體"/>
                <w:spacing w:val="-12"/>
                <w:kern w:val="0"/>
                <w:szCs w:val="22"/>
              </w:rPr>
              <w:t>9</w:t>
            </w:r>
            <w:r w:rsidRPr="00047DBA">
              <w:rPr>
                <w:rFonts w:ascii="標楷體" w:eastAsia="標楷體" w:hAnsi="標楷體" w:hint="eastAsia"/>
                <w:spacing w:val="-12"/>
                <w:kern w:val="0"/>
                <w:szCs w:val="22"/>
              </w:rPr>
              <w:t>.本院咨文日期及文號：</w:t>
            </w:r>
            <w:r w:rsidR="00047DBA" w:rsidRPr="00047DBA">
              <w:rPr>
                <w:rFonts w:ascii="標楷體" w:eastAsia="標楷體" w:hAnsi="標楷體" w:hint="eastAsia"/>
                <w:spacing w:val="-12"/>
                <w:kern w:val="0"/>
                <w:szCs w:val="22"/>
              </w:rPr>
              <w:t>115年9月17日台立院議字第</w:t>
            </w:r>
            <w:r w:rsidR="00047DBA" w:rsidRPr="00047DBA">
              <w:rPr>
                <w:rFonts w:ascii="標楷體" w:eastAsia="標楷體" w:hAnsi="標楷體"/>
                <w:spacing w:val="-12"/>
                <w:kern w:val="0"/>
                <w:szCs w:val="22"/>
              </w:rPr>
              <w:t>1150703304</w:t>
            </w:r>
            <w:r w:rsidR="00047DBA" w:rsidRPr="00047DBA">
              <w:rPr>
                <w:rFonts w:ascii="標楷體" w:eastAsia="標楷體" w:hAnsi="標楷體" w:hint="eastAsia"/>
                <w:spacing w:val="-12"/>
                <w:kern w:val="0"/>
                <w:szCs w:val="22"/>
              </w:rPr>
              <w:t>號</w:t>
            </w:r>
            <w:r w:rsidR="00047DBA">
              <w:rPr>
                <w:rFonts w:ascii="標楷體" w:eastAsia="標楷體" w:hAnsi="標楷體" w:hint="eastAsia"/>
                <w:spacing w:val="-12"/>
                <w:kern w:val="0"/>
                <w:szCs w:val="22"/>
              </w:rPr>
              <w:t>。</w:t>
            </w:r>
          </w:p>
          <w:p w14:paraId="3AB2DCB0" w14:textId="17B3C989" w:rsidR="00D779CC" w:rsidRPr="001B6E4D" w:rsidRDefault="00FC68F7" w:rsidP="003D1018">
            <w:pPr>
              <w:widowControl w:val="0"/>
              <w:overflowPunct w:val="0"/>
              <w:adjustRightInd w:val="0"/>
              <w:snapToGrid w:val="0"/>
              <w:spacing w:line="300" w:lineRule="exact"/>
              <w:jc w:val="both"/>
              <w:rPr>
                <w:rFonts w:ascii="標楷體" w:eastAsia="標楷體" w:hAnsi="標楷體"/>
                <w:spacing w:val="-12"/>
                <w:kern w:val="0"/>
                <w:szCs w:val="22"/>
              </w:rPr>
            </w:pPr>
            <w:r w:rsidRPr="00FC68F7">
              <w:rPr>
                <w:rFonts w:ascii="標楷體" w:eastAsia="標楷體" w:hAnsi="標楷體"/>
                <w:spacing w:val="-12"/>
                <w:kern w:val="0"/>
                <w:szCs w:val="22"/>
              </w:rPr>
              <w:t>10</w:t>
            </w:r>
            <w:r w:rsidRPr="00FC68F7">
              <w:rPr>
                <w:rFonts w:ascii="標楷體" w:eastAsia="標楷體" w:hAnsi="標楷體" w:hint="eastAsia"/>
                <w:spacing w:val="-12"/>
                <w:kern w:val="0"/>
                <w:szCs w:val="22"/>
              </w:rPr>
              <w:t>.總統公布日期及文號，總統府公報：</w:t>
            </w:r>
            <w:r w:rsidRPr="00FC68F7">
              <w:rPr>
                <w:rFonts w:ascii="標楷體" w:eastAsia="標楷體" w:hAnsi="標楷體" w:hint="eastAsia"/>
                <w:spacing w:val="-16"/>
                <w:kern w:val="0"/>
                <w:szCs w:val="22"/>
              </w:rPr>
              <w:t>115年9月18日</w:t>
            </w:r>
            <w:r w:rsidRPr="00FC68F7">
              <w:rPr>
                <w:rFonts w:ascii="標楷體" w:eastAsia="標楷體" w:hAnsi="標楷體" w:hint="eastAsia"/>
                <w:spacing w:val="-22"/>
                <w:kern w:val="0"/>
                <w:szCs w:val="22"/>
              </w:rPr>
              <w:t>華總一經字第11500092741號</w:t>
            </w:r>
            <w:r w:rsidRPr="00FC68F7">
              <w:rPr>
                <w:rFonts w:ascii="標楷體" w:eastAsia="標楷體" w:hAnsi="標楷體" w:hint="eastAsia"/>
                <w:spacing w:val="-16"/>
                <w:kern w:val="0"/>
                <w:szCs w:val="22"/>
              </w:rPr>
              <w:t>，第7883號</w:t>
            </w:r>
            <w:r>
              <w:rPr>
                <w:rFonts w:ascii="標楷體" w:eastAsia="標楷體" w:hAnsi="標楷體" w:hint="eastAsia"/>
                <w:spacing w:val="-16"/>
                <w:kern w:val="0"/>
                <w:szCs w:val="22"/>
              </w:rPr>
              <w:t>。</w:t>
            </w:r>
          </w:p>
        </w:tc>
      </w:tr>
      <w:tr w:rsidR="00D779CC" w:rsidRPr="001B6E4D" w14:paraId="0FC31012" w14:textId="77777777" w:rsidTr="00A35FB5">
        <w:trPr>
          <w:trHeight w:val="228"/>
        </w:trPr>
        <w:tc>
          <w:tcPr>
            <w:tcW w:w="624" w:type="dxa"/>
            <w:vMerge/>
          </w:tcPr>
          <w:p w14:paraId="12872BC9" w14:textId="77777777" w:rsidR="00D779CC" w:rsidRPr="001B6E4D" w:rsidRDefault="00D779CC"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66A77F6E" w14:textId="77777777" w:rsidR="00D779CC" w:rsidRPr="001B6E4D" w:rsidRDefault="00D779CC"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42D08EC1" w14:textId="77777777" w:rsidR="00D779CC" w:rsidRPr="001B6E4D" w:rsidRDefault="00D779CC" w:rsidP="003D1018">
            <w:pPr>
              <w:widowControl w:val="0"/>
              <w:kinsoku w:val="0"/>
              <w:overflowPunct w:val="0"/>
              <w:topLinePunct/>
              <w:spacing w:line="300" w:lineRule="exact"/>
              <w:rPr>
                <w:rFonts w:ascii="標楷體" w:eastAsia="標楷體" w:hAnsi="標楷體"/>
                <w:szCs w:val="22"/>
              </w:rPr>
            </w:pPr>
          </w:p>
        </w:tc>
        <w:tc>
          <w:tcPr>
            <w:tcW w:w="1430" w:type="dxa"/>
            <w:vMerge/>
          </w:tcPr>
          <w:p w14:paraId="56015C40" w14:textId="77777777" w:rsidR="00D779CC" w:rsidRPr="001B6E4D" w:rsidRDefault="00D779CC" w:rsidP="003D1018">
            <w:pPr>
              <w:widowControl w:val="0"/>
              <w:overflowPunct w:val="0"/>
              <w:spacing w:line="300" w:lineRule="exact"/>
              <w:rPr>
                <w:rFonts w:ascii="標楷體" w:eastAsia="標楷體" w:hAnsi="標楷體"/>
                <w:kern w:val="0"/>
                <w:szCs w:val="22"/>
              </w:rPr>
            </w:pPr>
          </w:p>
        </w:tc>
        <w:tc>
          <w:tcPr>
            <w:tcW w:w="1842" w:type="dxa"/>
          </w:tcPr>
          <w:p w14:paraId="0D3CF0CC"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115.5.6</w:t>
            </w:r>
          </w:p>
          <w:p w14:paraId="5B57E82D" w14:textId="6A89D041"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（11-5-12）、</w:t>
            </w:r>
          </w:p>
          <w:p w14:paraId="5672EA60"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115.5.20</w:t>
            </w:r>
          </w:p>
          <w:p w14:paraId="11965186"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（11-5-14）</w:t>
            </w:r>
          </w:p>
          <w:p w14:paraId="4EC243B1"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審竣行政院人事行政總處及所屬主管收支部分，須交由黨團協商。</w:t>
            </w:r>
          </w:p>
        </w:tc>
        <w:tc>
          <w:tcPr>
            <w:tcW w:w="1404" w:type="dxa"/>
            <w:vMerge/>
          </w:tcPr>
          <w:p w14:paraId="0DABB81E" w14:textId="77777777" w:rsidR="00D779CC" w:rsidRPr="001B6E4D" w:rsidRDefault="00D779CC"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r w:rsidR="00D779CC" w:rsidRPr="001B6E4D" w14:paraId="747CBA16" w14:textId="77777777" w:rsidTr="00A35FB5">
        <w:trPr>
          <w:trHeight w:val="228"/>
        </w:trPr>
        <w:tc>
          <w:tcPr>
            <w:tcW w:w="624" w:type="dxa"/>
            <w:vMerge/>
          </w:tcPr>
          <w:p w14:paraId="494C4CB8" w14:textId="77777777" w:rsidR="00D779CC" w:rsidRPr="001B6E4D" w:rsidRDefault="00D779CC"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0F2801F1" w14:textId="77777777" w:rsidR="00D779CC" w:rsidRPr="001B6E4D" w:rsidRDefault="00D779CC"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0CDF3EE4" w14:textId="77777777" w:rsidR="00D779CC" w:rsidRPr="001B6E4D" w:rsidRDefault="00D779CC" w:rsidP="003D1018">
            <w:pPr>
              <w:widowControl w:val="0"/>
              <w:kinsoku w:val="0"/>
              <w:overflowPunct w:val="0"/>
              <w:topLinePunct/>
              <w:spacing w:line="300" w:lineRule="exact"/>
              <w:rPr>
                <w:rFonts w:ascii="標楷體" w:eastAsia="標楷體" w:hAnsi="標楷體"/>
                <w:szCs w:val="22"/>
              </w:rPr>
            </w:pPr>
          </w:p>
        </w:tc>
        <w:tc>
          <w:tcPr>
            <w:tcW w:w="1430" w:type="dxa"/>
            <w:vMerge/>
          </w:tcPr>
          <w:p w14:paraId="6B7C571D" w14:textId="77777777" w:rsidR="00D779CC" w:rsidRPr="001B6E4D" w:rsidRDefault="00D779CC" w:rsidP="003D1018">
            <w:pPr>
              <w:widowControl w:val="0"/>
              <w:overflowPunct w:val="0"/>
              <w:spacing w:line="300" w:lineRule="exact"/>
              <w:rPr>
                <w:rFonts w:ascii="標楷體" w:eastAsia="標楷體" w:hAnsi="標楷體"/>
                <w:kern w:val="0"/>
                <w:szCs w:val="22"/>
              </w:rPr>
            </w:pPr>
          </w:p>
        </w:tc>
        <w:tc>
          <w:tcPr>
            <w:tcW w:w="1842" w:type="dxa"/>
          </w:tcPr>
          <w:p w14:paraId="1C26ECC6"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21</w:t>
            </w:r>
          </w:p>
          <w:p w14:paraId="1C561783"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（11-5-14）</w:t>
            </w:r>
          </w:p>
          <w:p w14:paraId="2DD0BD2E"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審竣總統府主管（不含中央研究院）收支部分，須交由黨團協商。</w:t>
            </w:r>
          </w:p>
        </w:tc>
        <w:tc>
          <w:tcPr>
            <w:tcW w:w="1404" w:type="dxa"/>
            <w:vMerge/>
          </w:tcPr>
          <w:p w14:paraId="3BF65737" w14:textId="77777777" w:rsidR="00D779CC" w:rsidRPr="001B6E4D" w:rsidRDefault="00D779CC"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r w:rsidR="00D779CC" w:rsidRPr="001B6E4D" w14:paraId="2B186AFA" w14:textId="77777777" w:rsidTr="00A35FB5">
        <w:trPr>
          <w:trHeight w:val="228"/>
        </w:trPr>
        <w:tc>
          <w:tcPr>
            <w:tcW w:w="624" w:type="dxa"/>
            <w:vMerge/>
          </w:tcPr>
          <w:p w14:paraId="6FFBC76A" w14:textId="77777777" w:rsidR="00D779CC" w:rsidRPr="001B6E4D" w:rsidRDefault="00D779CC"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291E1D3A" w14:textId="77777777" w:rsidR="00D779CC" w:rsidRPr="001B6E4D" w:rsidRDefault="00D779CC"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03540D52" w14:textId="77777777" w:rsidR="00D779CC" w:rsidRPr="001B6E4D" w:rsidRDefault="00D779CC" w:rsidP="003D1018">
            <w:pPr>
              <w:widowControl w:val="0"/>
              <w:kinsoku w:val="0"/>
              <w:overflowPunct w:val="0"/>
              <w:topLinePunct/>
              <w:spacing w:line="300" w:lineRule="exact"/>
              <w:rPr>
                <w:rFonts w:ascii="標楷體" w:eastAsia="標楷體" w:hAnsi="標楷體"/>
                <w:szCs w:val="22"/>
              </w:rPr>
            </w:pPr>
          </w:p>
        </w:tc>
        <w:tc>
          <w:tcPr>
            <w:tcW w:w="1430" w:type="dxa"/>
            <w:vMerge/>
          </w:tcPr>
          <w:p w14:paraId="4A8FAEB2" w14:textId="77777777" w:rsidR="00D779CC" w:rsidRPr="001B6E4D" w:rsidRDefault="00D779CC" w:rsidP="003D1018">
            <w:pPr>
              <w:widowControl w:val="0"/>
              <w:overflowPunct w:val="0"/>
              <w:spacing w:line="300" w:lineRule="exact"/>
              <w:rPr>
                <w:rFonts w:ascii="標楷體" w:eastAsia="標楷體" w:hAnsi="標楷體"/>
                <w:kern w:val="0"/>
                <w:szCs w:val="22"/>
              </w:rPr>
            </w:pPr>
          </w:p>
        </w:tc>
        <w:tc>
          <w:tcPr>
            <w:tcW w:w="1842" w:type="dxa"/>
          </w:tcPr>
          <w:p w14:paraId="052DCD71"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115.5.7</w:t>
            </w:r>
          </w:p>
          <w:p w14:paraId="31C3BEBF" w14:textId="44074FD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（11-5-12）、</w:t>
            </w:r>
          </w:p>
          <w:p w14:paraId="3D797C61"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w:t>
            </w:r>
            <w:r w:rsidRPr="001B6E4D">
              <w:rPr>
                <w:rFonts w:ascii="標楷體" w:eastAsia="標楷體" w:hAnsi="標楷體"/>
                <w:color w:val="000000"/>
                <w:kern w:val="0"/>
                <w:szCs w:val="22"/>
              </w:rPr>
              <w:t>5</w:t>
            </w:r>
            <w:r w:rsidRPr="001B6E4D">
              <w:rPr>
                <w:rFonts w:ascii="標楷體" w:eastAsia="標楷體" w:hAnsi="標楷體" w:hint="eastAsia"/>
                <w:color w:val="000000"/>
                <w:kern w:val="0"/>
                <w:szCs w:val="22"/>
              </w:rPr>
              <w:t>.</w:t>
            </w:r>
            <w:r w:rsidRPr="001B6E4D">
              <w:rPr>
                <w:rFonts w:ascii="標楷體" w:eastAsia="標楷體" w:hAnsi="標楷體"/>
                <w:color w:val="000000"/>
                <w:kern w:val="0"/>
                <w:szCs w:val="22"/>
              </w:rPr>
              <w:t>6</w:t>
            </w:r>
            <w:r w:rsidRPr="001B6E4D">
              <w:rPr>
                <w:rFonts w:ascii="標楷體" w:eastAsia="標楷體" w:hAnsi="標楷體" w:hint="eastAsia"/>
                <w:color w:val="000000"/>
                <w:kern w:val="0"/>
                <w:szCs w:val="22"/>
              </w:rPr>
              <w:t>.</w:t>
            </w:r>
            <w:r w:rsidRPr="001B6E4D">
              <w:rPr>
                <w:rFonts w:ascii="標楷體" w:eastAsia="標楷體" w:hAnsi="標楷體"/>
                <w:color w:val="000000"/>
                <w:kern w:val="0"/>
                <w:szCs w:val="22"/>
              </w:rPr>
              <w:t>3</w:t>
            </w:r>
          </w:p>
          <w:p w14:paraId="78A56AA7"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w:t>
            </w:r>
            <w:r w:rsidRPr="001B6E4D">
              <w:rPr>
                <w:rFonts w:ascii="標楷體" w:eastAsia="標楷體" w:hAnsi="標楷體"/>
                <w:color w:val="000000"/>
                <w:kern w:val="0"/>
                <w:szCs w:val="22"/>
              </w:rPr>
              <w:t>5</w:t>
            </w: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6</w:t>
            </w:r>
            <w:r w:rsidRPr="001B6E4D">
              <w:rPr>
                <w:rFonts w:ascii="標楷體" w:eastAsia="標楷體" w:hAnsi="標楷體" w:hint="eastAsia"/>
                <w:color w:val="000000"/>
                <w:kern w:val="0"/>
                <w:szCs w:val="22"/>
              </w:rPr>
              <w:t>）</w:t>
            </w:r>
          </w:p>
          <w:p w14:paraId="7CF98B90"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審竣考試院及所屬主管收支部分，須交由黨團協商。</w:t>
            </w:r>
          </w:p>
        </w:tc>
        <w:tc>
          <w:tcPr>
            <w:tcW w:w="1404" w:type="dxa"/>
            <w:vMerge/>
          </w:tcPr>
          <w:p w14:paraId="0C6C201B" w14:textId="77777777" w:rsidR="00D779CC" w:rsidRPr="001B6E4D" w:rsidRDefault="00D779CC"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r w:rsidR="00D779CC" w:rsidRPr="001B6E4D" w14:paraId="180A5200" w14:textId="77777777" w:rsidTr="00A35FB5">
        <w:trPr>
          <w:trHeight w:val="228"/>
        </w:trPr>
        <w:tc>
          <w:tcPr>
            <w:tcW w:w="624" w:type="dxa"/>
            <w:vMerge/>
          </w:tcPr>
          <w:p w14:paraId="62CCB104" w14:textId="77777777" w:rsidR="00D779CC" w:rsidRPr="001B6E4D" w:rsidRDefault="00D779CC"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61AFC922" w14:textId="77777777" w:rsidR="00D779CC" w:rsidRPr="001B6E4D" w:rsidRDefault="00D779CC"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2FC3FFA9" w14:textId="77777777" w:rsidR="00D779CC" w:rsidRPr="001B6E4D" w:rsidRDefault="00D779CC" w:rsidP="003D1018">
            <w:pPr>
              <w:widowControl w:val="0"/>
              <w:kinsoku w:val="0"/>
              <w:overflowPunct w:val="0"/>
              <w:topLinePunct/>
              <w:spacing w:line="300" w:lineRule="exact"/>
              <w:rPr>
                <w:rFonts w:ascii="標楷體" w:eastAsia="標楷體" w:hAnsi="標楷體"/>
                <w:szCs w:val="22"/>
              </w:rPr>
            </w:pPr>
          </w:p>
        </w:tc>
        <w:tc>
          <w:tcPr>
            <w:tcW w:w="1430" w:type="dxa"/>
            <w:vMerge w:val="restart"/>
          </w:tcPr>
          <w:p w14:paraId="0D33B5DD" w14:textId="77777777" w:rsidR="00D779CC" w:rsidRPr="001B6E4D" w:rsidRDefault="00D779CC" w:rsidP="003D1018">
            <w:pPr>
              <w:widowControl w:val="0"/>
              <w:overflowPunct w:val="0"/>
              <w:spacing w:line="300" w:lineRule="exact"/>
              <w:rPr>
                <w:rFonts w:ascii="標楷體" w:eastAsia="標楷體" w:hAnsi="標楷體"/>
                <w:kern w:val="0"/>
                <w:szCs w:val="22"/>
              </w:rPr>
            </w:pPr>
            <w:r w:rsidRPr="001B6E4D">
              <w:rPr>
                <w:rFonts w:ascii="標楷體" w:eastAsia="標楷體" w:hAnsi="標楷體" w:hint="eastAsia"/>
                <w:kern w:val="0"/>
                <w:szCs w:val="22"/>
              </w:rPr>
              <w:t>司法及法制</w:t>
            </w:r>
          </w:p>
          <w:p w14:paraId="13D48CFF" w14:textId="77777777" w:rsidR="00D779CC" w:rsidRPr="001B6E4D" w:rsidRDefault="00D779CC" w:rsidP="003D1018">
            <w:pPr>
              <w:widowControl w:val="0"/>
              <w:overflowPunct w:val="0"/>
              <w:spacing w:line="300" w:lineRule="exact"/>
              <w:rPr>
                <w:rFonts w:ascii="標楷體" w:eastAsia="標楷體" w:hAnsi="標楷體"/>
                <w:kern w:val="0"/>
                <w:szCs w:val="22"/>
              </w:rPr>
            </w:pPr>
            <w:r w:rsidRPr="001B6E4D">
              <w:rPr>
                <w:rFonts w:ascii="標楷體" w:eastAsia="標楷體" w:hAnsi="標楷體" w:hint="eastAsia"/>
                <w:kern w:val="0"/>
                <w:szCs w:val="22"/>
              </w:rPr>
              <w:t>翁召集委員曉玲</w:t>
            </w:r>
          </w:p>
        </w:tc>
        <w:tc>
          <w:tcPr>
            <w:tcW w:w="1842" w:type="dxa"/>
          </w:tcPr>
          <w:p w14:paraId="5C31BE78"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115.4.29</w:t>
            </w:r>
          </w:p>
          <w:p w14:paraId="68C151CB" w14:textId="678EB91B"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（11-5-9）、</w:t>
            </w:r>
          </w:p>
          <w:p w14:paraId="5B6BCD8F"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115.5.25</w:t>
            </w:r>
          </w:p>
          <w:p w14:paraId="51B9C79B"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（11-5-15）</w:t>
            </w:r>
          </w:p>
          <w:p w14:paraId="5F2B6B49"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審竣監察院主</w:t>
            </w:r>
            <w:r w:rsidRPr="001B6E4D">
              <w:rPr>
                <w:rFonts w:ascii="標楷體" w:eastAsia="標楷體" w:hAnsi="標楷體" w:hint="eastAsia"/>
                <w:color w:val="000000"/>
                <w:kern w:val="0"/>
                <w:szCs w:val="22"/>
              </w:rPr>
              <w:lastRenderedPageBreak/>
              <w:t>管（不含審計部及所屬）收支部分，須交由黨團協商。</w:t>
            </w:r>
          </w:p>
        </w:tc>
        <w:tc>
          <w:tcPr>
            <w:tcW w:w="1404" w:type="dxa"/>
            <w:vMerge/>
          </w:tcPr>
          <w:p w14:paraId="1FBFB187" w14:textId="77777777" w:rsidR="00D779CC" w:rsidRPr="001B6E4D" w:rsidRDefault="00D779CC"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r w:rsidR="00D779CC" w:rsidRPr="001B6E4D" w14:paraId="327264DA" w14:textId="77777777" w:rsidTr="00A35FB5">
        <w:trPr>
          <w:trHeight w:val="228"/>
        </w:trPr>
        <w:tc>
          <w:tcPr>
            <w:tcW w:w="624" w:type="dxa"/>
            <w:vMerge/>
          </w:tcPr>
          <w:p w14:paraId="5EF88830" w14:textId="77777777" w:rsidR="00D779CC" w:rsidRPr="001B6E4D" w:rsidRDefault="00D779CC"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7F8D907F" w14:textId="77777777" w:rsidR="00D779CC" w:rsidRPr="001B6E4D" w:rsidRDefault="00D779CC"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74ED4A06" w14:textId="77777777" w:rsidR="00D779CC" w:rsidRPr="001B6E4D" w:rsidRDefault="00D779CC" w:rsidP="003D1018">
            <w:pPr>
              <w:widowControl w:val="0"/>
              <w:kinsoku w:val="0"/>
              <w:overflowPunct w:val="0"/>
              <w:topLinePunct/>
              <w:spacing w:line="300" w:lineRule="exact"/>
              <w:rPr>
                <w:rFonts w:ascii="標楷體" w:eastAsia="標楷體" w:hAnsi="標楷體"/>
                <w:szCs w:val="22"/>
              </w:rPr>
            </w:pPr>
          </w:p>
        </w:tc>
        <w:tc>
          <w:tcPr>
            <w:tcW w:w="1430" w:type="dxa"/>
            <w:vMerge/>
          </w:tcPr>
          <w:p w14:paraId="4E3DCBFA" w14:textId="77777777" w:rsidR="00D779CC" w:rsidRPr="001B6E4D" w:rsidRDefault="00D779CC" w:rsidP="003D1018">
            <w:pPr>
              <w:widowControl w:val="0"/>
              <w:overflowPunct w:val="0"/>
              <w:spacing w:line="300" w:lineRule="exact"/>
              <w:rPr>
                <w:rFonts w:ascii="標楷體" w:eastAsia="標楷體" w:hAnsi="標楷體"/>
                <w:kern w:val="0"/>
                <w:szCs w:val="22"/>
              </w:rPr>
            </w:pPr>
          </w:p>
        </w:tc>
        <w:tc>
          <w:tcPr>
            <w:tcW w:w="1842" w:type="dxa"/>
          </w:tcPr>
          <w:p w14:paraId="33C72324"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115.4.30</w:t>
            </w:r>
          </w:p>
          <w:p w14:paraId="6F4A2923" w14:textId="69601E04"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（11-5-10）、</w:t>
            </w:r>
          </w:p>
          <w:p w14:paraId="0B1906B3"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115.5.27</w:t>
            </w:r>
          </w:p>
          <w:p w14:paraId="5A22B28E"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(11-5-15)</w:t>
            </w:r>
          </w:p>
          <w:p w14:paraId="0028CDE7"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審竣法務部及所屬主管收支部分，須交由黨團協商。</w:t>
            </w:r>
          </w:p>
        </w:tc>
        <w:tc>
          <w:tcPr>
            <w:tcW w:w="1404" w:type="dxa"/>
            <w:vMerge/>
          </w:tcPr>
          <w:p w14:paraId="386FC201" w14:textId="77777777" w:rsidR="00D779CC" w:rsidRPr="001B6E4D" w:rsidRDefault="00D779CC"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r w:rsidR="00D779CC" w:rsidRPr="001B6E4D" w14:paraId="2B0A447F" w14:textId="77777777" w:rsidTr="00A35FB5">
        <w:trPr>
          <w:trHeight w:val="228"/>
        </w:trPr>
        <w:tc>
          <w:tcPr>
            <w:tcW w:w="624" w:type="dxa"/>
            <w:vMerge/>
          </w:tcPr>
          <w:p w14:paraId="6993C1CE" w14:textId="77777777" w:rsidR="00D779CC" w:rsidRPr="001B6E4D" w:rsidRDefault="00D779CC"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647EE808" w14:textId="77777777" w:rsidR="00D779CC" w:rsidRPr="001B6E4D" w:rsidRDefault="00D779CC"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73985FD5" w14:textId="77777777" w:rsidR="00D779CC" w:rsidRPr="001B6E4D" w:rsidRDefault="00D779CC" w:rsidP="003D1018">
            <w:pPr>
              <w:widowControl w:val="0"/>
              <w:kinsoku w:val="0"/>
              <w:overflowPunct w:val="0"/>
              <w:topLinePunct/>
              <w:spacing w:line="300" w:lineRule="exact"/>
              <w:rPr>
                <w:rFonts w:ascii="標楷體" w:eastAsia="標楷體" w:hAnsi="標楷體"/>
                <w:szCs w:val="22"/>
              </w:rPr>
            </w:pPr>
          </w:p>
        </w:tc>
        <w:tc>
          <w:tcPr>
            <w:tcW w:w="1430" w:type="dxa"/>
            <w:vMerge/>
          </w:tcPr>
          <w:p w14:paraId="37A161EB" w14:textId="77777777" w:rsidR="00D779CC" w:rsidRPr="001B6E4D" w:rsidRDefault="00D779CC" w:rsidP="003D1018">
            <w:pPr>
              <w:widowControl w:val="0"/>
              <w:overflowPunct w:val="0"/>
              <w:spacing w:line="300" w:lineRule="exact"/>
              <w:rPr>
                <w:rFonts w:ascii="標楷體" w:eastAsia="標楷體" w:hAnsi="標楷體"/>
                <w:kern w:val="0"/>
                <w:szCs w:val="22"/>
              </w:rPr>
            </w:pPr>
          </w:p>
        </w:tc>
        <w:tc>
          <w:tcPr>
            <w:tcW w:w="1842" w:type="dxa"/>
          </w:tcPr>
          <w:p w14:paraId="453651CF"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115.5.28</w:t>
            </w:r>
          </w:p>
          <w:p w14:paraId="4FED3915"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（11-5-15）</w:t>
            </w:r>
          </w:p>
          <w:p w14:paraId="5AB3AE06" w14:textId="77777777" w:rsidR="00D779CC" w:rsidRPr="001B6E4D" w:rsidRDefault="00D779CC"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審竣立法院主管收支部分，須交由黨團協商。</w:t>
            </w:r>
          </w:p>
        </w:tc>
        <w:tc>
          <w:tcPr>
            <w:tcW w:w="1404" w:type="dxa"/>
            <w:vMerge/>
          </w:tcPr>
          <w:p w14:paraId="3A27FC63" w14:textId="77777777" w:rsidR="00D779CC" w:rsidRPr="001B6E4D" w:rsidRDefault="00D779CC"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bl>
    <w:p w14:paraId="13609AAF" w14:textId="7297A2FB" w:rsidR="00D779CC" w:rsidRPr="001B6E4D" w:rsidRDefault="00D779CC"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129" w:name="_Toc240446520"/>
      <w:r w:rsidRPr="001B6E4D">
        <w:rPr>
          <w:rFonts w:hint="eastAsia"/>
          <w:color w:val="000000" w:themeColor="text1"/>
          <w:shd w:val="clear" w:color="auto" w:fill="FFFFFF" w:themeFill="background1"/>
        </w:rPr>
        <w:t>（二）待院會審議之議案</w:t>
      </w:r>
      <w:r w:rsidR="00F53367" w:rsidRPr="001B6E4D">
        <w:rPr>
          <w:rFonts w:hint="eastAsia"/>
          <w:color w:val="000000" w:themeColor="text1"/>
          <w:shd w:val="clear" w:color="auto" w:fill="FFFFFF" w:themeFill="background1"/>
        </w:rPr>
        <w:t>1</w:t>
      </w:r>
      <w:r w:rsidRPr="001B6E4D">
        <w:rPr>
          <w:rFonts w:hint="eastAsia"/>
          <w:color w:val="000000" w:themeColor="text1"/>
          <w:shd w:val="clear" w:color="auto" w:fill="FFFFFF" w:themeFill="background1"/>
        </w:rPr>
        <w:t>案</w:t>
      </w:r>
      <w:bookmarkEnd w:id="129"/>
    </w:p>
    <w:tbl>
      <w:tblPr>
        <w:tblW w:w="8700" w:type="dxa"/>
        <w:tblInd w:w="52"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624"/>
        <w:gridCol w:w="1842"/>
        <w:gridCol w:w="1558"/>
        <w:gridCol w:w="1430"/>
        <w:gridCol w:w="1829"/>
        <w:gridCol w:w="1417"/>
      </w:tblGrid>
      <w:tr w:rsidR="00F53367" w:rsidRPr="001B6E4D" w14:paraId="484CC37E" w14:textId="77777777" w:rsidTr="00A35FB5">
        <w:tc>
          <w:tcPr>
            <w:tcW w:w="624" w:type="dxa"/>
            <w:hideMark/>
          </w:tcPr>
          <w:p w14:paraId="115A8354" w14:textId="77777777" w:rsidR="00F53367" w:rsidRPr="001B6E4D" w:rsidRDefault="00F53367" w:rsidP="003D1018">
            <w:pPr>
              <w:widowControl w:val="0"/>
              <w:overflowPunct w:val="0"/>
              <w:adjustRightInd w:val="0"/>
              <w:snapToGrid w:val="0"/>
              <w:spacing w:line="260" w:lineRule="exact"/>
              <w:jc w:val="center"/>
              <w:rPr>
                <w:rFonts w:ascii="標楷體" w:eastAsia="標楷體" w:hAnsi="標楷體"/>
                <w:b/>
              </w:rPr>
            </w:pPr>
            <w:r w:rsidRPr="001B6E4D">
              <w:rPr>
                <w:rFonts w:ascii="標楷體" w:eastAsia="標楷體" w:hAnsi="標楷體" w:hint="eastAsia"/>
                <w:b/>
              </w:rPr>
              <w:t>序號</w:t>
            </w:r>
          </w:p>
        </w:tc>
        <w:tc>
          <w:tcPr>
            <w:tcW w:w="1842" w:type="dxa"/>
            <w:hideMark/>
          </w:tcPr>
          <w:p w14:paraId="586CF1B3" w14:textId="77777777" w:rsidR="00F53367" w:rsidRPr="001B6E4D" w:rsidRDefault="00F53367" w:rsidP="003D1018">
            <w:pPr>
              <w:widowControl w:val="0"/>
              <w:overflowPunct w:val="0"/>
              <w:spacing w:line="280" w:lineRule="exact"/>
              <w:ind w:leftChars="-45" w:left="-108" w:rightChars="-45" w:right="-108"/>
              <w:jc w:val="center"/>
              <w:rPr>
                <w:rFonts w:ascii="標楷體" w:eastAsia="標楷體" w:hAnsi="標楷體"/>
                <w:b/>
              </w:rPr>
            </w:pPr>
            <w:r w:rsidRPr="001B6E4D">
              <w:rPr>
                <w:rFonts w:ascii="標楷體" w:eastAsia="標楷體" w:hAnsi="標楷體" w:hint="eastAsia"/>
                <w:b/>
              </w:rPr>
              <w:t>議案名稱</w:t>
            </w:r>
          </w:p>
        </w:tc>
        <w:tc>
          <w:tcPr>
            <w:tcW w:w="1558" w:type="dxa"/>
            <w:hideMark/>
          </w:tcPr>
          <w:p w14:paraId="6681451B" w14:textId="77777777" w:rsidR="00F53367" w:rsidRPr="001B6E4D" w:rsidRDefault="00F53367" w:rsidP="003D1018">
            <w:pPr>
              <w:widowControl w:val="0"/>
              <w:overflowPunct w:val="0"/>
              <w:spacing w:line="280" w:lineRule="exact"/>
              <w:jc w:val="center"/>
              <w:rPr>
                <w:rFonts w:ascii="標楷體" w:eastAsia="標楷體" w:hAnsi="標楷體"/>
                <w:b/>
              </w:rPr>
            </w:pPr>
            <w:r w:rsidRPr="001B6E4D">
              <w:rPr>
                <w:rFonts w:ascii="標楷體" w:eastAsia="標楷體" w:hAnsi="標楷體" w:hint="eastAsia"/>
                <w:b/>
              </w:rPr>
              <w:t>提案機關</w:t>
            </w:r>
          </w:p>
          <w:p w14:paraId="0844F7ED" w14:textId="77777777" w:rsidR="00F53367" w:rsidRPr="001B6E4D" w:rsidRDefault="00F53367" w:rsidP="003D1018">
            <w:pPr>
              <w:widowControl w:val="0"/>
              <w:overflowPunct w:val="0"/>
              <w:spacing w:line="280" w:lineRule="exact"/>
              <w:jc w:val="center"/>
              <w:rPr>
                <w:rFonts w:ascii="標楷體" w:eastAsia="標楷體" w:hAnsi="標楷體"/>
                <w:b/>
              </w:rPr>
            </w:pPr>
            <w:r w:rsidRPr="001B6E4D">
              <w:rPr>
                <w:rFonts w:ascii="標楷體" w:eastAsia="標楷體" w:hAnsi="標楷體" w:hint="eastAsia"/>
                <w:b/>
                <w:spacing w:val="-20"/>
              </w:rPr>
              <w:t>院會交付日期</w:t>
            </w:r>
            <w:r w:rsidRPr="001B6E4D">
              <w:rPr>
                <w:rFonts w:ascii="標楷體" w:eastAsia="標楷體" w:hAnsi="標楷體" w:hint="eastAsia"/>
                <w:b/>
              </w:rPr>
              <w:t>（會次）</w:t>
            </w:r>
          </w:p>
        </w:tc>
        <w:tc>
          <w:tcPr>
            <w:tcW w:w="1430" w:type="dxa"/>
            <w:hideMark/>
          </w:tcPr>
          <w:p w14:paraId="58E7EDC7" w14:textId="77777777" w:rsidR="00F53367" w:rsidRPr="001B6E4D" w:rsidRDefault="00F53367" w:rsidP="003D1018">
            <w:pPr>
              <w:widowControl w:val="0"/>
              <w:overflowPunct w:val="0"/>
              <w:spacing w:line="300" w:lineRule="exact"/>
              <w:jc w:val="center"/>
              <w:rPr>
                <w:rFonts w:ascii="標楷體" w:eastAsia="標楷體" w:hAnsi="標楷體"/>
                <w:b/>
              </w:rPr>
            </w:pPr>
            <w:r w:rsidRPr="001B6E4D">
              <w:rPr>
                <w:rFonts w:ascii="標楷體" w:eastAsia="標楷體" w:hAnsi="標楷體" w:hint="eastAsia"/>
                <w:b/>
              </w:rPr>
              <w:t>審查委員會</w:t>
            </w:r>
          </w:p>
          <w:p w14:paraId="5499CB5A" w14:textId="77777777" w:rsidR="00F53367" w:rsidRPr="001B6E4D" w:rsidRDefault="00F53367" w:rsidP="003D1018">
            <w:pPr>
              <w:widowControl w:val="0"/>
              <w:overflowPunct w:val="0"/>
              <w:spacing w:line="300" w:lineRule="exact"/>
              <w:jc w:val="center"/>
              <w:rPr>
                <w:rFonts w:ascii="標楷體" w:eastAsia="標楷體" w:hAnsi="標楷體"/>
                <w:b/>
              </w:rPr>
            </w:pPr>
            <w:r w:rsidRPr="001B6E4D">
              <w:rPr>
                <w:rFonts w:ascii="標楷體" w:eastAsia="標楷體" w:hAnsi="標楷體" w:hint="eastAsia"/>
                <w:b/>
              </w:rPr>
              <w:t>院會說明人</w:t>
            </w:r>
          </w:p>
        </w:tc>
        <w:tc>
          <w:tcPr>
            <w:tcW w:w="3246" w:type="dxa"/>
            <w:gridSpan w:val="2"/>
            <w:hideMark/>
          </w:tcPr>
          <w:p w14:paraId="2B1B104A" w14:textId="77777777" w:rsidR="00F53367" w:rsidRPr="001B6E4D" w:rsidRDefault="00F53367" w:rsidP="003D1018">
            <w:pPr>
              <w:widowControl w:val="0"/>
              <w:overflowPunct w:val="0"/>
              <w:spacing w:line="260" w:lineRule="exact"/>
              <w:jc w:val="center"/>
              <w:rPr>
                <w:rFonts w:ascii="標楷體" w:eastAsia="標楷體" w:hAnsi="標楷體"/>
                <w:b/>
              </w:rPr>
            </w:pPr>
            <w:r w:rsidRPr="001B6E4D">
              <w:rPr>
                <w:rFonts w:ascii="標楷體" w:eastAsia="標楷體" w:hAnsi="標楷體" w:hint="eastAsia"/>
                <w:b/>
              </w:rPr>
              <w:t>審查情形</w:t>
            </w:r>
          </w:p>
        </w:tc>
      </w:tr>
      <w:tr w:rsidR="00F53367" w:rsidRPr="001B6E4D" w14:paraId="6BFCF767" w14:textId="77777777" w:rsidTr="00A35FB5">
        <w:trPr>
          <w:trHeight w:val="279"/>
        </w:trPr>
        <w:tc>
          <w:tcPr>
            <w:tcW w:w="624" w:type="dxa"/>
            <w:vMerge w:val="restart"/>
          </w:tcPr>
          <w:p w14:paraId="43F4A618" w14:textId="77777777" w:rsidR="00F53367" w:rsidRPr="001B6E4D" w:rsidRDefault="00F53367" w:rsidP="003D1018">
            <w:pPr>
              <w:widowControl w:val="0"/>
              <w:overflowPunct w:val="0"/>
              <w:adjustRightInd w:val="0"/>
              <w:snapToGrid w:val="0"/>
              <w:spacing w:line="260" w:lineRule="exact"/>
              <w:jc w:val="center"/>
              <w:rPr>
                <w:rFonts w:ascii="標楷體" w:eastAsia="標楷體" w:hAnsi="標楷體"/>
              </w:rPr>
            </w:pPr>
            <w:r w:rsidRPr="001B6E4D">
              <w:rPr>
                <w:rFonts w:ascii="標楷體" w:eastAsia="標楷體" w:hAnsi="標楷體"/>
              </w:rPr>
              <w:t>1</w:t>
            </w:r>
          </w:p>
        </w:tc>
        <w:tc>
          <w:tcPr>
            <w:tcW w:w="1842" w:type="dxa"/>
            <w:vMerge w:val="restart"/>
          </w:tcPr>
          <w:p w14:paraId="1B94C116" w14:textId="77777777" w:rsidR="00F53367" w:rsidRPr="001B6E4D" w:rsidRDefault="00F53367"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中華民國</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年度中央政府總預算案（附屬單位預算及綜計表－營業及非營業部分）</w:t>
            </w:r>
          </w:p>
        </w:tc>
        <w:tc>
          <w:tcPr>
            <w:tcW w:w="1558" w:type="dxa"/>
            <w:vMerge w:val="restart"/>
          </w:tcPr>
          <w:p w14:paraId="34C01EB7" w14:textId="77777777" w:rsidR="00F53367" w:rsidRPr="001B6E4D" w:rsidRDefault="00F53367" w:rsidP="003D1018">
            <w:pPr>
              <w:widowControl w:val="0"/>
              <w:overflowPunct w:val="0"/>
              <w:spacing w:line="280" w:lineRule="exact"/>
              <w:jc w:val="both"/>
              <w:rPr>
                <w:rFonts w:ascii="標楷體" w:eastAsia="標楷體" w:hAnsi="標楷體"/>
                <w:color w:val="000000"/>
                <w:kern w:val="0"/>
              </w:rPr>
            </w:pPr>
            <w:r w:rsidRPr="001B6E4D">
              <w:rPr>
                <w:rFonts w:ascii="標楷體" w:eastAsia="標楷體" w:hAnsi="標楷體" w:hint="eastAsia"/>
                <w:color w:val="000000"/>
                <w:kern w:val="0"/>
              </w:rPr>
              <w:t>行政院</w:t>
            </w:r>
          </w:p>
          <w:p w14:paraId="1777E7D1" w14:textId="618F8FBD" w:rsidR="00F53367" w:rsidRPr="001B6E4D" w:rsidRDefault="00F53367" w:rsidP="003D1018">
            <w:pPr>
              <w:widowControl w:val="0"/>
              <w:overflowPunct w:val="0"/>
              <w:spacing w:line="280" w:lineRule="exact"/>
              <w:jc w:val="both"/>
              <w:rPr>
                <w:rFonts w:ascii="標楷體" w:eastAsia="標楷體" w:hAnsi="標楷體"/>
                <w:color w:val="000000"/>
                <w:kern w:val="0"/>
              </w:rPr>
            </w:pPr>
            <w:r w:rsidRPr="001B6E4D">
              <w:rPr>
                <w:rFonts w:ascii="標楷體" w:eastAsia="標楷體" w:hAnsi="標楷體"/>
                <w:color w:val="000000"/>
                <w:kern w:val="0"/>
              </w:rPr>
              <w:t>114.9.30</w:t>
            </w:r>
            <w:r w:rsidR="00CA0B3D" w:rsidRPr="001B6E4D">
              <w:rPr>
                <w:rFonts w:ascii="標楷體" w:eastAsia="標楷體" w:hAnsi="標楷體"/>
                <w:color w:val="000000"/>
                <w:kern w:val="0"/>
              </w:rPr>
              <w:br/>
            </w:r>
            <w:r w:rsidRPr="001B6E4D">
              <w:rPr>
                <w:rFonts w:ascii="標楷體" w:eastAsia="標楷體" w:hAnsi="標楷體" w:hint="eastAsia"/>
                <w:color w:val="000000"/>
                <w:kern w:val="0"/>
              </w:rPr>
              <w:t>（11-4-2）</w:t>
            </w:r>
          </w:p>
          <w:p w14:paraId="6E04F006" w14:textId="77777777" w:rsidR="00F53367" w:rsidRPr="001B6E4D" w:rsidRDefault="00F53367"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（11-4-3提出復議，11-5-7撤回復議）</w:t>
            </w:r>
          </w:p>
        </w:tc>
        <w:tc>
          <w:tcPr>
            <w:tcW w:w="1430" w:type="dxa"/>
            <w:vMerge w:val="restart"/>
          </w:tcPr>
          <w:p w14:paraId="4E7911BC" w14:textId="77777777" w:rsidR="00F53367" w:rsidRPr="001B6E4D" w:rsidRDefault="00F53367" w:rsidP="003D1018">
            <w:pPr>
              <w:widowControl w:val="0"/>
              <w:overflowPunct w:val="0"/>
              <w:spacing w:line="300" w:lineRule="exact"/>
              <w:rPr>
                <w:rFonts w:ascii="標楷體" w:eastAsia="標楷體" w:hAnsi="標楷體"/>
                <w:kern w:val="0"/>
              </w:rPr>
            </w:pPr>
            <w:r w:rsidRPr="001B6E4D">
              <w:rPr>
                <w:rFonts w:ascii="標楷體" w:eastAsia="標楷體" w:hAnsi="標楷體" w:hint="eastAsia"/>
                <w:kern w:val="0"/>
              </w:rPr>
              <w:t>司法及法制</w:t>
            </w:r>
          </w:p>
          <w:p w14:paraId="15AA475F" w14:textId="77777777" w:rsidR="00F53367" w:rsidRPr="001B6E4D" w:rsidRDefault="00F53367" w:rsidP="003D1018">
            <w:pPr>
              <w:widowControl w:val="0"/>
              <w:overflowPunct w:val="0"/>
              <w:spacing w:line="300" w:lineRule="exact"/>
              <w:rPr>
                <w:rFonts w:ascii="標楷體" w:eastAsia="標楷體" w:hAnsi="標楷體"/>
                <w:kern w:val="0"/>
              </w:rPr>
            </w:pPr>
            <w:r w:rsidRPr="001B6E4D">
              <w:rPr>
                <w:rFonts w:ascii="標楷體" w:eastAsia="標楷體" w:hAnsi="標楷體" w:hint="eastAsia"/>
                <w:kern w:val="0"/>
              </w:rPr>
              <w:t>莊召集委員瑞雄</w:t>
            </w:r>
          </w:p>
        </w:tc>
        <w:tc>
          <w:tcPr>
            <w:tcW w:w="1829" w:type="dxa"/>
          </w:tcPr>
          <w:p w14:paraId="4080B478"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115.5.6</w:t>
            </w:r>
          </w:p>
          <w:p w14:paraId="249838D6"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（11-5-12）、</w:t>
            </w:r>
          </w:p>
          <w:p w14:paraId="7EC92A07"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115.5.20</w:t>
            </w:r>
          </w:p>
          <w:p w14:paraId="065E48E8"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（11-5-14）</w:t>
            </w:r>
          </w:p>
          <w:p w14:paraId="6A1F9138"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審竣行政院人事行政總處主管「中央公教人員急難救助基金」收支部分，須交由黨團協商。</w:t>
            </w:r>
          </w:p>
        </w:tc>
        <w:tc>
          <w:tcPr>
            <w:tcW w:w="1417" w:type="dxa"/>
            <w:vMerge w:val="restart"/>
          </w:tcPr>
          <w:p w14:paraId="5813003D" w14:textId="77777777" w:rsidR="00F53367" w:rsidRPr="001B6E4D" w:rsidRDefault="00F53367"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F53367" w:rsidRPr="001B6E4D" w14:paraId="0A8CC01C" w14:textId="77777777" w:rsidTr="00A35FB5">
        <w:trPr>
          <w:trHeight w:val="279"/>
        </w:trPr>
        <w:tc>
          <w:tcPr>
            <w:tcW w:w="624" w:type="dxa"/>
            <w:vMerge/>
          </w:tcPr>
          <w:p w14:paraId="62AC230D" w14:textId="77777777" w:rsidR="00F53367" w:rsidRPr="001B6E4D" w:rsidRDefault="00F53367" w:rsidP="003D1018">
            <w:pPr>
              <w:widowControl w:val="0"/>
              <w:overflowPunct w:val="0"/>
              <w:adjustRightInd w:val="0"/>
              <w:snapToGrid w:val="0"/>
              <w:spacing w:line="260" w:lineRule="exact"/>
              <w:jc w:val="center"/>
              <w:rPr>
                <w:rFonts w:ascii="標楷體" w:eastAsia="標楷體" w:hAnsi="標楷體"/>
              </w:rPr>
            </w:pPr>
          </w:p>
        </w:tc>
        <w:tc>
          <w:tcPr>
            <w:tcW w:w="1842" w:type="dxa"/>
            <w:vMerge/>
          </w:tcPr>
          <w:p w14:paraId="00C994A6" w14:textId="77777777" w:rsidR="00F53367" w:rsidRPr="001B6E4D" w:rsidRDefault="00F53367" w:rsidP="003D1018">
            <w:pPr>
              <w:widowControl w:val="0"/>
              <w:kinsoku w:val="0"/>
              <w:overflowPunct w:val="0"/>
              <w:topLinePunct/>
              <w:adjustRightInd w:val="0"/>
              <w:snapToGrid w:val="0"/>
              <w:spacing w:line="300" w:lineRule="exact"/>
              <w:jc w:val="both"/>
              <w:rPr>
                <w:rFonts w:ascii="標楷體" w:eastAsia="標楷體" w:hAnsi="標楷體"/>
                <w:kern w:val="0"/>
              </w:rPr>
            </w:pPr>
          </w:p>
        </w:tc>
        <w:tc>
          <w:tcPr>
            <w:tcW w:w="1558" w:type="dxa"/>
            <w:vMerge/>
          </w:tcPr>
          <w:p w14:paraId="50585F7F" w14:textId="77777777" w:rsidR="00F53367" w:rsidRPr="001B6E4D" w:rsidRDefault="00F53367" w:rsidP="003D1018">
            <w:pPr>
              <w:widowControl w:val="0"/>
              <w:overflowPunct w:val="0"/>
              <w:spacing w:line="280" w:lineRule="exact"/>
              <w:rPr>
                <w:rFonts w:ascii="標楷體" w:eastAsia="標楷體" w:hAnsi="標楷體"/>
                <w:kern w:val="0"/>
              </w:rPr>
            </w:pPr>
          </w:p>
        </w:tc>
        <w:tc>
          <w:tcPr>
            <w:tcW w:w="1430" w:type="dxa"/>
            <w:vMerge/>
          </w:tcPr>
          <w:p w14:paraId="69547802" w14:textId="77777777" w:rsidR="00F53367" w:rsidRPr="001B6E4D" w:rsidRDefault="00F53367" w:rsidP="003D1018">
            <w:pPr>
              <w:widowControl w:val="0"/>
              <w:overflowPunct w:val="0"/>
              <w:spacing w:line="300" w:lineRule="exact"/>
              <w:rPr>
                <w:rFonts w:ascii="標楷體" w:eastAsia="標楷體" w:hAnsi="標楷體"/>
                <w:kern w:val="0"/>
              </w:rPr>
            </w:pPr>
          </w:p>
        </w:tc>
        <w:tc>
          <w:tcPr>
            <w:tcW w:w="1829" w:type="dxa"/>
          </w:tcPr>
          <w:p w14:paraId="688CC71B"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115.5.7</w:t>
            </w:r>
          </w:p>
          <w:p w14:paraId="7BBF439A"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（11-5-12）、</w:t>
            </w:r>
          </w:p>
          <w:p w14:paraId="73916141"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w:t>
            </w:r>
            <w:r w:rsidRPr="001B6E4D">
              <w:rPr>
                <w:rFonts w:ascii="標楷體" w:eastAsia="標楷體" w:hAnsi="標楷體"/>
                <w:color w:val="000000"/>
                <w:kern w:val="0"/>
              </w:rPr>
              <w:t>5</w:t>
            </w:r>
            <w:r w:rsidRPr="001B6E4D">
              <w:rPr>
                <w:rFonts w:ascii="標楷體" w:eastAsia="標楷體" w:hAnsi="標楷體" w:hint="eastAsia"/>
                <w:color w:val="000000"/>
                <w:kern w:val="0"/>
              </w:rPr>
              <w:t>.</w:t>
            </w:r>
            <w:r w:rsidRPr="001B6E4D">
              <w:rPr>
                <w:rFonts w:ascii="標楷體" w:eastAsia="標楷體" w:hAnsi="標楷體"/>
                <w:color w:val="000000"/>
                <w:kern w:val="0"/>
              </w:rPr>
              <w:t>6</w:t>
            </w:r>
            <w:r w:rsidRPr="001B6E4D">
              <w:rPr>
                <w:rFonts w:ascii="標楷體" w:eastAsia="標楷體" w:hAnsi="標楷體" w:hint="eastAsia"/>
                <w:color w:val="000000"/>
                <w:kern w:val="0"/>
              </w:rPr>
              <w:t>.</w:t>
            </w:r>
            <w:r w:rsidRPr="001B6E4D">
              <w:rPr>
                <w:rFonts w:ascii="標楷體" w:eastAsia="標楷體" w:hAnsi="標楷體"/>
                <w:color w:val="000000"/>
                <w:kern w:val="0"/>
              </w:rPr>
              <w:t>3</w:t>
            </w:r>
          </w:p>
          <w:p w14:paraId="2B4CF3A0"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w:t>
            </w:r>
            <w:r w:rsidRPr="001B6E4D">
              <w:rPr>
                <w:rFonts w:ascii="標楷體" w:eastAsia="標楷體" w:hAnsi="標楷體"/>
                <w:color w:val="000000"/>
                <w:kern w:val="0"/>
              </w:rPr>
              <w:t>5</w:t>
            </w:r>
            <w:r w:rsidRPr="001B6E4D">
              <w:rPr>
                <w:rFonts w:ascii="標楷體" w:eastAsia="標楷體" w:hAnsi="標楷體" w:hint="eastAsia"/>
                <w:color w:val="000000"/>
                <w:kern w:val="0"/>
              </w:rPr>
              <w:t>-1</w:t>
            </w:r>
            <w:r w:rsidRPr="001B6E4D">
              <w:rPr>
                <w:rFonts w:ascii="標楷體" w:eastAsia="標楷體" w:hAnsi="標楷體"/>
                <w:color w:val="000000"/>
                <w:kern w:val="0"/>
              </w:rPr>
              <w:t>6</w:t>
            </w:r>
            <w:r w:rsidRPr="001B6E4D">
              <w:rPr>
                <w:rFonts w:ascii="標楷體" w:eastAsia="標楷體" w:hAnsi="標楷體" w:hint="eastAsia"/>
                <w:color w:val="000000"/>
                <w:kern w:val="0"/>
              </w:rPr>
              <w:t>）</w:t>
            </w:r>
          </w:p>
          <w:p w14:paraId="422B0217"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審竣考選部主管「考選業務基金」收支部分，須交由黨團協商。</w:t>
            </w:r>
          </w:p>
        </w:tc>
        <w:tc>
          <w:tcPr>
            <w:tcW w:w="1417" w:type="dxa"/>
            <w:vMerge/>
          </w:tcPr>
          <w:p w14:paraId="06FBF258" w14:textId="77777777" w:rsidR="00F53367" w:rsidRPr="001B6E4D" w:rsidRDefault="00F53367" w:rsidP="003D1018">
            <w:pPr>
              <w:widowControl w:val="0"/>
              <w:kinsoku w:val="0"/>
              <w:overflowPunct w:val="0"/>
              <w:adjustRightInd w:val="0"/>
              <w:snapToGrid w:val="0"/>
              <w:spacing w:line="300" w:lineRule="exact"/>
              <w:ind w:left="240" w:hangingChars="100" w:hanging="240"/>
              <w:jc w:val="both"/>
              <w:rPr>
                <w:rFonts w:ascii="標楷體" w:eastAsia="標楷體" w:hAnsi="標楷體"/>
                <w:kern w:val="0"/>
              </w:rPr>
            </w:pPr>
          </w:p>
        </w:tc>
      </w:tr>
      <w:tr w:rsidR="00F53367" w:rsidRPr="001B6E4D" w14:paraId="5A869082" w14:textId="77777777" w:rsidTr="00A35FB5">
        <w:trPr>
          <w:trHeight w:val="279"/>
        </w:trPr>
        <w:tc>
          <w:tcPr>
            <w:tcW w:w="624" w:type="dxa"/>
            <w:vMerge/>
          </w:tcPr>
          <w:p w14:paraId="54B2B71B" w14:textId="77777777" w:rsidR="00F53367" w:rsidRPr="001B6E4D" w:rsidRDefault="00F53367" w:rsidP="003D1018">
            <w:pPr>
              <w:widowControl w:val="0"/>
              <w:overflowPunct w:val="0"/>
              <w:adjustRightInd w:val="0"/>
              <w:snapToGrid w:val="0"/>
              <w:spacing w:line="260" w:lineRule="exact"/>
              <w:jc w:val="center"/>
              <w:rPr>
                <w:rFonts w:ascii="標楷體" w:eastAsia="標楷體" w:hAnsi="標楷體"/>
              </w:rPr>
            </w:pPr>
          </w:p>
        </w:tc>
        <w:tc>
          <w:tcPr>
            <w:tcW w:w="1842" w:type="dxa"/>
            <w:vMerge/>
          </w:tcPr>
          <w:p w14:paraId="672764D7" w14:textId="77777777" w:rsidR="00F53367" w:rsidRPr="001B6E4D" w:rsidRDefault="00F53367" w:rsidP="003D1018">
            <w:pPr>
              <w:widowControl w:val="0"/>
              <w:kinsoku w:val="0"/>
              <w:overflowPunct w:val="0"/>
              <w:topLinePunct/>
              <w:adjustRightInd w:val="0"/>
              <w:snapToGrid w:val="0"/>
              <w:spacing w:line="300" w:lineRule="exact"/>
              <w:jc w:val="both"/>
              <w:rPr>
                <w:rFonts w:ascii="標楷體" w:eastAsia="標楷體" w:hAnsi="標楷體"/>
                <w:kern w:val="0"/>
              </w:rPr>
            </w:pPr>
          </w:p>
        </w:tc>
        <w:tc>
          <w:tcPr>
            <w:tcW w:w="1558" w:type="dxa"/>
            <w:vMerge/>
          </w:tcPr>
          <w:p w14:paraId="6D548ABB" w14:textId="77777777" w:rsidR="00F53367" w:rsidRPr="001B6E4D" w:rsidRDefault="00F53367" w:rsidP="003D1018">
            <w:pPr>
              <w:widowControl w:val="0"/>
              <w:overflowPunct w:val="0"/>
              <w:spacing w:line="280" w:lineRule="exact"/>
              <w:rPr>
                <w:rFonts w:ascii="標楷體" w:eastAsia="標楷體" w:hAnsi="標楷體"/>
                <w:kern w:val="0"/>
              </w:rPr>
            </w:pPr>
          </w:p>
        </w:tc>
        <w:tc>
          <w:tcPr>
            <w:tcW w:w="1430" w:type="dxa"/>
            <w:vMerge/>
          </w:tcPr>
          <w:p w14:paraId="5F5B2716" w14:textId="77777777" w:rsidR="00F53367" w:rsidRPr="001B6E4D" w:rsidRDefault="00F53367" w:rsidP="003D1018">
            <w:pPr>
              <w:widowControl w:val="0"/>
              <w:overflowPunct w:val="0"/>
              <w:spacing w:line="300" w:lineRule="exact"/>
              <w:rPr>
                <w:rFonts w:ascii="標楷體" w:eastAsia="標楷體" w:hAnsi="標楷體"/>
                <w:kern w:val="0"/>
              </w:rPr>
            </w:pPr>
          </w:p>
        </w:tc>
        <w:tc>
          <w:tcPr>
            <w:tcW w:w="1829" w:type="dxa"/>
          </w:tcPr>
          <w:p w14:paraId="46F75A46"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115.5.7</w:t>
            </w:r>
          </w:p>
          <w:p w14:paraId="1A4EFCC2"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（11-5-12）、</w:t>
            </w:r>
          </w:p>
          <w:p w14:paraId="63436355"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11</w:t>
            </w:r>
            <w:r w:rsidRPr="001B6E4D">
              <w:rPr>
                <w:rFonts w:ascii="標楷體" w:eastAsia="標楷體" w:hAnsi="標楷體"/>
                <w:color w:val="000000"/>
                <w:kern w:val="0"/>
              </w:rPr>
              <w:t>5</w:t>
            </w:r>
            <w:r w:rsidRPr="001B6E4D">
              <w:rPr>
                <w:rFonts w:ascii="標楷體" w:eastAsia="標楷體" w:hAnsi="標楷體" w:hint="eastAsia"/>
                <w:color w:val="000000"/>
                <w:kern w:val="0"/>
              </w:rPr>
              <w:t>.</w:t>
            </w:r>
            <w:r w:rsidRPr="001B6E4D">
              <w:rPr>
                <w:rFonts w:ascii="標楷體" w:eastAsia="標楷體" w:hAnsi="標楷體"/>
                <w:color w:val="000000"/>
                <w:kern w:val="0"/>
              </w:rPr>
              <w:t>6</w:t>
            </w:r>
            <w:r w:rsidRPr="001B6E4D">
              <w:rPr>
                <w:rFonts w:ascii="標楷體" w:eastAsia="標楷體" w:hAnsi="標楷體" w:hint="eastAsia"/>
                <w:color w:val="000000"/>
                <w:kern w:val="0"/>
              </w:rPr>
              <w:t>.</w:t>
            </w:r>
            <w:r w:rsidRPr="001B6E4D">
              <w:rPr>
                <w:rFonts w:ascii="標楷體" w:eastAsia="標楷體" w:hAnsi="標楷體"/>
                <w:color w:val="000000"/>
                <w:kern w:val="0"/>
              </w:rPr>
              <w:t>3</w:t>
            </w:r>
          </w:p>
          <w:p w14:paraId="2B46B14F"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w:t>
            </w:r>
            <w:r w:rsidRPr="001B6E4D">
              <w:rPr>
                <w:rFonts w:ascii="標楷體" w:eastAsia="標楷體" w:hAnsi="標楷體"/>
                <w:color w:val="000000"/>
                <w:kern w:val="0"/>
              </w:rPr>
              <w:t>5</w:t>
            </w:r>
            <w:r w:rsidRPr="001B6E4D">
              <w:rPr>
                <w:rFonts w:ascii="標楷體" w:eastAsia="標楷體" w:hAnsi="標楷體" w:hint="eastAsia"/>
                <w:color w:val="000000"/>
                <w:kern w:val="0"/>
              </w:rPr>
              <w:t>-1</w:t>
            </w:r>
            <w:r w:rsidRPr="001B6E4D">
              <w:rPr>
                <w:rFonts w:ascii="標楷體" w:eastAsia="標楷體" w:hAnsi="標楷體"/>
                <w:color w:val="000000"/>
                <w:kern w:val="0"/>
              </w:rPr>
              <w:t>6</w:t>
            </w:r>
            <w:r w:rsidRPr="001B6E4D">
              <w:rPr>
                <w:rFonts w:ascii="標楷體" w:eastAsia="標楷體" w:hAnsi="標楷體" w:hint="eastAsia"/>
                <w:color w:val="000000"/>
                <w:kern w:val="0"/>
              </w:rPr>
              <w:t>）</w:t>
            </w:r>
          </w:p>
          <w:p w14:paraId="520D0016"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審竣銓敘部主管「公務人員退休撫</w:t>
            </w:r>
            <w:proofErr w:type="gramStart"/>
            <w:r w:rsidRPr="001B6E4D">
              <w:rPr>
                <w:rFonts w:ascii="標楷體" w:eastAsia="標楷體" w:hAnsi="標楷體" w:hint="eastAsia"/>
                <w:color w:val="000000"/>
                <w:kern w:val="0"/>
              </w:rPr>
              <w:t>卹</w:t>
            </w:r>
            <w:proofErr w:type="gramEnd"/>
            <w:r w:rsidRPr="001B6E4D">
              <w:rPr>
                <w:rFonts w:ascii="標楷體" w:eastAsia="標楷體" w:hAnsi="標楷體" w:hint="eastAsia"/>
                <w:color w:val="000000"/>
                <w:kern w:val="0"/>
              </w:rPr>
              <w:t>基金」收支部分，須交由黨團協商。</w:t>
            </w:r>
          </w:p>
        </w:tc>
        <w:tc>
          <w:tcPr>
            <w:tcW w:w="1417" w:type="dxa"/>
            <w:vMerge/>
          </w:tcPr>
          <w:p w14:paraId="57C92468" w14:textId="77777777" w:rsidR="00F53367" w:rsidRPr="001B6E4D" w:rsidRDefault="00F53367" w:rsidP="003D1018">
            <w:pPr>
              <w:widowControl w:val="0"/>
              <w:kinsoku w:val="0"/>
              <w:overflowPunct w:val="0"/>
              <w:adjustRightInd w:val="0"/>
              <w:snapToGrid w:val="0"/>
              <w:spacing w:line="300" w:lineRule="exact"/>
              <w:ind w:left="240" w:hangingChars="100" w:hanging="240"/>
              <w:jc w:val="both"/>
              <w:rPr>
                <w:rFonts w:ascii="標楷體" w:eastAsia="標楷體" w:hAnsi="標楷體"/>
                <w:kern w:val="0"/>
              </w:rPr>
            </w:pPr>
          </w:p>
        </w:tc>
      </w:tr>
      <w:tr w:rsidR="00F53367" w:rsidRPr="001B6E4D" w14:paraId="043F3EB4" w14:textId="77777777" w:rsidTr="00A35FB5">
        <w:trPr>
          <w:trHeight w:val="279"/>
        </w:trPr>
        <w:tc>
          <w:tcPr>
            <w:tcW w:w="624" w:type="dxa"/>
            <w:vMerge/>
          </w:tcPr>
          <w:p w14:paraId="7762A630" w14:textId="77777777" w:rsidR="00F53367" w:rsidRPr="001B6E4D" w:rsidRDefault="00F53367" w:rsidP="003D1018">
            <w:pPr>
              <w:widowControl w:val="0"/>
              <w:overflowPunct w:val="0"/>
              <w:adjustRightInd w:val="0"/>
              <w:snapToGrid w:val="0"/>
              <w:spacing w:line="260" w:lineRule="exact"/>
              <w:jc w:val="center"/>
              <w:rPr>
                <w:rFonts w:ascii="標楷體" w:eastAsia="標楷體" w:hAnsi="標楷體"/>
              </w:rPr>
            </w:pPr>
          </w:p>
        </w:tc>
        <w:tc>
          <w:tcPr>
            <w:tcW w:w="1842" w:type="dxa"/>
            <w:vMerge/>
          </w:tcPr>
          <w:p w14:paraId="1E8E6CE9" w14:textId="77777777" w:rsidR="00F53367" w:rsidRPr="001B6E4D" w:rsidRDefault="00F53367" w:rsidP="003D1018">
            <w:pPr>
              <w:widowControl w:val="0"/>
              <w:kinsoku w:val="0"/>
              <w:overflowPunct w:val="0"/>
              <w:topLinePunct/>
              <w:adjustRightInd w:val="0"/>
              <w:snapToGrid w:val="0"/>
              <w:spacing w:line="300" w:lineRule="exact"/>
              <w:jc w:val="both"/>
              <w:rPr>
                <w:rFonts w:ascii="標楷體" w:eastAsia="標楷體" w:hAnsi="標楷體"/>
                <w:kern w:val="0"/>
              </w:rPr>
            </w:pPr>
          </w:p>
        </w:tc>
        <w:tc>
          <w:tcPr>
            <w:tcW w:w="1558" w:type="dxa"/>
            <w:vMerge/>
          </w:tcPr>
          <w:p w14:paraId="58F4E8A8" w14:textId="77777777" w:rsidR="00F53367" w:rsidRPr="001B6E4D" w:rsidRDefault="00F53367" w:rsidP="003D1018">
            <w:pPr>
              <w:widowControl w:val="0"/>
              <w:overflowPunct w:val="0"/>
              <w:spacing w:line="280" w:lineRule="exact"/>
              <w:rPr>
                <w:rFonts w:ascii="標楷體" w:eastAsia="標楷體" w:hAnsi="標楷體"/>
                <w:kern w:val="0"/>
              </w:rPr>
            </w:pPr>
          </w:p>
        </w:tc>
        <w:tc>
          <w:tcPr>
            <w:tcW w:w="1430" w:type="dxa"/>
            <w:vMerge/>
          </w:tcPr>
          <w:p w14:paraId="468E4FD8" w14:textId="77777777" w:rsidR="00F53367" w:rsidRPr="001B6E4D" w:rsidRDefault="00F53367" w:rsidP="003D1018">
            <w:pPr>
              <w:widowControl w:val="0"/>
              <w:overflowPunct w:val="0"/>
              <w:spacing w:line="300" w:lineRule="exact"/>
              <w:rPr>
                <w:rFonts w:ascii="標楷體" w:eastAsia="標楷體" w:hAnsi="標楷體"/>
                <w:kern w:val="0"/>
              </w:rPr>
            </w:pPr>
          </w:p>
        </w:tc>
        <w:tc>
          <w:tcPr>
            <w:tcW w:w="1829" w:type="dxa"/>
          </w:tcPr>
          <w:p w14:paraId="5C99F100"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115.5.7</w:t>
            </w:r>
          </w:p>
          <w:p w14:paraId="18BF7D8C"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（11-5-12）、</w:t>
            </w:r>
          </w:p>
          <w:p w14:paraId="05401098"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w:t>
            </w:r>
            <w:r w:rsidRPr="001B6E4D">
              <w:rPr>
                <w:rFonts w:ascii="標楷體" w:eastAsia="標楷體" w:hAnsi="標楷體"/>
                <w:color w:val="000000"/>
                <w:kern w:val="0"/>
              </w:rPr>
              <w:t>5</w:t>
            </w:r>
            <w:r w:rsidRPr="001B6E4D">
              <w:rPr>
                <w:rFonts w:ascii="標楷體" w:eastAsia="標楷體" w:hAnsi="標楷體" w:hint="eastAsia"/>
                <w:color w:val="000000"/>
                <w:kern w:val="0"/>
              </w:rPr>
              <w:t>.</w:t>
            </w:r>
            <w:r w:rsidRPr="001B6E4D">
              <w:rPr>
                <w:rFonts w:ascii="標楷體" w:eastAsia="標楷體" w:hAnsi="標楷體"/>
                <w:color w:val="000000"/>
                <w:kern w:val="0"/>
              </w:rPr>
              <w:t>6</w:t>
            </w:r>
            <w:r w:rsidRPr="001B6E4D">
              <w:rPr>
                <w:rFonts w:ascii="標楷體" w:eastAsia="標楷體" w:hAnsi="標楷體" w:hint="eastAsia"/>
                <w:color w:val="000000"/>
                <w:kern w:val="0"/>
              </w:rPr>
              <w:t>.</w:t>
            </w:r>
            <w:r w:rsidRPr="001B6E4D">
              <w:rPr>
                <w:rFonts w:ascii="標楷體" w:eastAsia="標楷體" w:hAnsi="標楷體"/>
                <w:color w:val="000000"/>
                <w:kern w:val="0"/>
              </w:rPr>
              <w:t>3</w:t>
            </w:r>
          </w:p>
          <w:p w14:paraId="05C95B8F"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w:t>
            </w:r>
            <w:r w:rsidRPr="001B6E4D">
              <w:rPr>
                <w:rFonts w:ascii="標楷體" w:eastAsia="標楷體" w:hAnsi="標楷體"/>
                <w:color w:val="000000"/>
                <w:kern w:val="0"/>
              </w:rPr>
              <w:t>5</w:t>
            </w:r>
            <w:r w:rsidRPr="001B6E4D">
              <w:rPr>
                <w:rFonts w:ascii="標楷體" w:eastAsia="標楷體" w:hAnsi="標楷體" w:hint="eastAsia"/>
                <w:color w:val="000000"/>
                <w:kern w:val="0"/>
              </w:rPr>
              <w:t>-1</w:t>
            </w:r>
            <w:r w:rsidRPr="001B6E4D">
              <w:rPr>
                <w:rFonts w:ascii="標楷體" w:eastAsia="標楷體" w:hAnsi="標楷體"/>
                <w:color w:val="000000"/>
                <w:kern w:val="0"/>
              </w:rPr>
              <w:t>6</w:t>
            </w:r>
            <w:r w:rsidRPr="001B6E4D">
              <w:rPr>
                <w:rFonts w:ascii="標楷體" w:eastAsia="標楷體" w:hAnsi="標楷體" w:hint="eastAsia"/>
                <w:color w:val="000000"/>
                <w:kern w:val="0"/>
              </w:rPr>
              <w:t>）</w:t>
            </w:r>
          </w:p>
          <w:p w14:paraId="18CA233E"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審竣銓敘部主管「公教人員個人</w:t>
            </w:r>
            <w:proofErr w:type="gramStart"/>
            <w:r w:rsidRPr="001B6E4D">
              <w:rPr>
                <w:rFonts w:ascii="標楷體" w:eastAsia="標楷體" w:hAnsi="標楷體" w:hint="eastAsia"/>
                <w:color w:val="000000"/>
                <w:kern w:val="0"/>
              </w:rPr>
              <w:t>專戶制退撫</w:t>
            </w:r>
            <w:proofErr w:type="gramEnd"/>
            <w:r w:rsidRPr="001B6E4D">
              <w:rPr>
                <w:rFonts w:ascii="標楷體" w:eastAsia="標楷體" w:hAnsi="標楷體" w:hint="eastAsia"/>
                <w:color w:val="000000"/>
                <w:kern w:val="0"/>
              </w:rPr>
              <w:t>儲金基金」收支部分，須交由黨團協商。</w:t>
            </w:r>
          </w:p>
        </w:tc>
        <w:tc>
          <w:tcPr>
            <w:tcW w:w="1417" w:type="dxa"/>
            <w:vMerge/>
          </w:tcPr>
          <w:p w14:paraId="1DB6AE09" w14:textId="77777777" w:rsidR="00F53367" w:rsidRPr="001B6E4D" w:rsidRDefault="00F53367" w:rsidP="003D1018">
            <w:pPr>
              <w:widowControl w:val="0"/>
              <w:kinsoku w:val="0"/>
              <w:overflowPunct w:val="0"/>
              <w:adjustRightInd w:val="0"/>
              <w:snapToGrid w:val="0"/>
              <w:spacing w:line="300" w:lineRule="exact"/>
              <w:ind w:left="240" w:hangingChars="100" w:hanging="240"/>
              <w:jc w:val="both"/>
              <w:rPr>
                <w:rFonts w:ascii="標楷體" w:eastAsia="標楷體" w:hAnsi="標楷體"/>
                <w:kern w:val="0"/>
              </w:rPr>
            </w:pPr>
          </w:p>
        </w:tc>
      </w:tr>
      <w:tr w:rsidR="00F53367" w:rsidRPr="001B6E4D" w14:paraId="46790ED3" w14:textId="77777777" w:rsidTr="00A35FB5">
        <w:trPr>
          <w:trHeight w:val="279"/>
        </w:trPr>
        <w:tc>
          <w:tcPr>
            <w:tcW w:w="624" w:type="dxa"/>
            <w:vMerge/>
          </w:tcPr>
          <w:p w14:paraId="0955320C" w14:textId="77777777" w:rsidR="00F53367" w:rsidRPr="001B6E4D" w:rsidRDefault="00F53367" w:rsidP="003D1018">
            <w:pPr>
              <w:widowControl w:val="0"/>
              <w:overflowPunct w:val="0"/>
              <w:adjustRightInd w:val="0"/>
              <w:snapToGrid w:val="0"/>
              <w:spacing w:line="260" w:lineRule="exact"/>
              <w:jc w:val="center"/>
              <w:rPr>
                <w:rFonts w:ascii="標楷體" w:eastAsia="標楷體" w:hAnsi="標楷體"/>
              </w:rPr>
            </w:pPr>
          </w:p>
        </w:tc>
        <w:tc>
          <w:tcPr>
            <w:tcW w:w="1842" w:type="dxa"/>
            <w:vMerge/>
          </w:tcPr>
          <w:p w14:paraId="246DA1BF" w14:textId="77777777" w:rsidR="00F53367" w:rsidRPr="001B6E4D" w:rsidRDefault="00F53367" w:rsidP="003D1018">
            <w:pPr>
              <w:widowControl w:val="0"/>
              <w:kinsoku w:val="0"/>
              <w:overflowPunct w:val="0"/>
              <w:topLinePunct/>
              <w:adjustRightInd w:val="0"/>
              <w:snapToGrid w:val="0"/>
              <w:spacing w:line="300" w:lineRule="exact"/>
              <w:jc w:val="both"/>
              <w:rPr>
                <w:rFonts w:ascii="標楷體" w:eastAsia="標楷體" w:hAnsi="標楷體"/>
                <w:kern w:val="0"/>
              </w:rPr>
            </w:pPr>
          </w:p>
        </w:tc>
        <w:tc>
          <w:tcPr>
            <w:tcW w:w="1558" w:type="dxa"/>
            <w:vMerge/>
          </w:tcPr>
          <w:p w14:paraId="1CE2D662" w14:textId="77777777" w:rsidR="00F53367" w:rsidRPr="001B6E4D" w:rsidRDefault="00F53367" w:rsidP="003D1018">
            <w:pPr>
              <w:widowControl w:val="0"/>
              <w:overflowPunct w:val="0"/>
              <w:spacing w:line="280" w:lineRule="exact"/>
              <w:rPr>
                <w:rFonts w:ascii="標楷體" w:eastAsia="標楷體" w:hAnsi="標楷體"/>
                <w:kern w:val="0"/>
              </w:rPr>
            </w:pPr>
          </w:p>
        </w:tc>
        <w:tc>
          <w:tcPr>
            <w:tcW w:w="1430" w:type="dxa"/>
            <w:vMerge w:val="restart"/>
          </w:tcPr>
          <w:p w14:paraId="454737B5" w14:textId="77777777" w:rsidR="00F53367" w:rsidRPr="001B6E4D" w:rsidRDefault="00F53367" w:rsidP="003D1018">
            <w:pPr>
              <w:widowControl w:val="0"/>
              <w:overflowPunct w:val="0"/>
              <w:spacing w:line="300" w:lineRule="exact"/>
              <w:rPr>
                <w:rFonts w:ascii="標楷體" w:eastAsia="標楷體" w:hAnsi="標楷體"/>
                <w:kern w:val="0"/>
              </w:rPr>
            </w:pPr>
            <w:r w:rsidRPr="001B6E4D">
              <w:rPr>
                <w:rFonts w:ascii="標楷體" w:eastAsia="標楷體" w:hAnsi="標楷體" w:hint="eastAsia"/>
                <w:kern w:val="0"/>
              </w:rPr>
              <w:t>司法及法制</w:t>
            </w:r>
          </w:p>
          <w:p w14:paraId="5830E6E1" w14:textId="77777777" w:rsidR="00F53367" w:rsidRPr="001B6E4D" w:rsidRDefault="00F53367" w:rsidP="003D1018">
            <w:pPr>
              <w:widowControl w:val="0"/>
              <w:overflowPunct w:val="0"/>
              <w:spacing w:line="300" w:lineRule="exact"/>
              <w:rPr>
                <w:rFonts w:ascii="標楷體" w:eastAsia="標楷體" w:hAnsi="標楷體"/>
                <w:kern w:val="0"/>
              </w:rPr>
            </w:pPr>
            <w:r w:rsidRPr="001B6E4D">
              <w:rPr>
                <w:rFonts w:ascii="標楷體" w:eastAsia="標楷體" w:hAnsi="標楷體" w:hint="eastAsia"/>
                <w:kern w:val="0"/>
              </w:rPr>
              <w:t>翁召集委員曉玲</w:t>
            </w:r>
          </w:p>
        </w:tc>
        <w:tc>
          <w:tcPr>
            <w:tcW w:w="1829" w:type="dxa"/>
          </w:tcPr>
          <w:p w14:paraId="6716348E"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115.4.30</w:t>
            </w:r>
          </w:p>
          <w:p w14:paraId="46897ACB" w14:textId="77777777" w:rsidR="008E74A8"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（11-5-10）、</w:t>
            </w:r>
          </w:p>
          <w:p w14:paraId="59EB1E3A" w14:textId="32B4360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115.5.27</w:t>
            </w:r>
          </w:p>
          <w:p w14:paraId="2BF36D77"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(11-5-15)</w:t>
            </w:r>
          </w:p>
          <w:p w14:paraId="34BB3244"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審竣法務部主管「法務部矯正機關作業基金」收支部分，須交由黨團協商。</w:t>
            </w:r>
          </w:p>
        </w:tc>
        <w:tc>
          <w:tcPr>
            <w:tcW w:w="1417" w:type="dxa"/>
            <w:vMerge/>
          </w:tcPr>
          <w:p w14:paraId="0C8431D9" w14:textId="77777777" w:rsidR="00F53367" w:rsidRPr="001B6E4D" w:rsidRDefault="00F53367" w:rsidP="003D1018">
            <w:pPr>
              <w:widowControl w:val="0"/>
              <w:kinsoku w:val="0"/>
              <w:overflowPunct w:val="0"/>
              <w:adjustRightInd w:val="0"/>
              <w:snapToGrid w:val="0"/>
              <w:spacing w:line="300" w:lineRule="exact"/>
              <w:ind w:left="240" w:hangingChars="100" w:hanging="240"/>
              <w:jc w:val="both"/>
              <w:rPr>
                <w:rFonts w:ascii="標楷體" w:eastAsia="標楷體" w:hAnsi="標楷體"/>
                <w:kern w:val="0"/>
              </w:rPr>
            </w:pPr>
          </w:p>
        </w:tc>
      </w:tr>
      <w:tr w:rsidR="00F53367" w:rsidRPr="001B6E4D" w14:paraId="477E22D5" w14:textId="77777777" w:rsidTr="00A35FB5">
        <w:trPr>
          <w:trHeight w:val="279"/>
        </w:trPr>
        <w:tc>
          <w:tcPr>
            <w:tcW w:w="624" w:type="dxa"/>
            <w:vMerge/>
          </w:tcPr>
          <w:p w14:paraId="2D3A88F3" w14:textId="77777777" w:rsidR="00F53367" w:rsidRPr="001B6E4D" w:rsidRDefault="00F53367" w:rsidP="003D1018">
            <w:pPr>
              <w:widowControl w:val="0"/>
              <w:overflowPunct w:val="0"/>
              <w:adjustRightInd w:val="0"/>
              <w:snapToGrid w:val="0"/>
              <w:spacing w:line="260" w:lineRule="exact"/>
              <w:jc w:val="center"/>
              <w:rPr>
                <w:rFonts w:ascii="標楷體" w:eastAsia="標楷體" w:hAnsi="標楷體"/>
              </w:rPr>
            </w:pPr>
          </w:p>
        </w:tc>
        <w:tc>
          <w:tcPr>
            <w:tcW w:w="1842" w:type="dxa"/>
            <w:vMerge/>
          </w:tcPr>
          <w:p w14:paraId="39A49304" w14:textId="77777777" w:rsidR="00F53367" w:rsidRPr="001B6E4D" w:rsidRDefault="00F53367" w:rsidP="003D1018">
            <w:pPr>
              <w:widowControl w:val="0"/>
              <w:kinsoku w:val="0"/>
              <w:overflowPunct w:val="0"/>
              <w:topLinePunct/>
              <w:adjustRightInd w:val="0"/>
              <w:snapToGrid w:val="0"/>
              <w:spacing w:line="300" w:lineRule="exact"/>
              <w:jc w:val="both"/>
              <w:rPr>
                <w:rFonts w:ascii="標楷體" w:eastAsia="標楷體" w:hAnsi="標楷體"/>
                <w:kern w:val="0"/>
              </w:rPr>
            </w:pPr>
          </w:p>
        </w:tc>
        <w:tc>
          <w:tcPr>
            <w:tcW w:w="1558" w:type="dxa"/>
            <w:vMerge/>
          </w:tcPr>
          <w:p w14:paraId="79A8D7E4" w14:textId="77777777" w:rsidR="00F53367" w:rsidRPr="001B6E4D" w:rsidRDefault="00F53367" w:rsidP="003D1018">
            <w:pPr>
              <w:widowControl w:val="0"/>
              <w:overflowPunct w:val="0"/>
              <w:spacing w:line="280" w:lineRule="exact"/>
              <w:rPr>
                <w:rFonts w:ascii="標楷體" w:eastAsia="標楷體" w:hAnsi="標楷體"/>
                <w:kern w:val="0"/>
              </w:rPr>
            </w:pPr>
          </w:p>
        </w:tc>
        <w:tc>
          <w:tcPr>
            <w:tcW w:w="1430" w:type="dxa"/>
            <w:vMerge/>
          </w:tcPr>
          <w:p w14:paraId="5D6F450E" w14:textId="77777777" w:rsidR="00F53367" w:rsidRPr="001B6E4D" w:rsidRDefault="00F53367" w:rsidP="003D1018">
            <w:pPr>
              <w:widowControl w:val="0"/>
              <w:overflowPunct w:val="0"/>
              <w:spacing w:line="300" w:lineRule="exact"/>
              <w:rPr>
                <w:rFonts w:ascii="標楷體" w:eastAsia="標楷體" w:hAnsi="標楷體"/>
                <w:kern w:val="0"/>
              </w:rPr>
            </w:pPr>
          </w:p>
        </w:tc>
        <w:tc>
          <w:tcPr>
            <w:tcW w:w="1829" w:type="dxa"/>
          </w:tcPr>
          <w:p w14:paraId="10B9146A"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115.4.30</w:t>
            </w:r>
          </w:p>
          <w:p w14:paraId="4A72E5D0" w14:textId="77777777" w:rsidR="008E74A8"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（11-5-10）、</w:t>
            </w:r>
          </w:p>
          <w:p w14:paraId="2750D052" w14:textId="233885D4"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115.5.27</w:t>
            </w:r>
          </w:p>
          <w:p w14:paraId="62549AE6"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(11-5-15)</w:t>
            </w:r>
          </w:p>
          <w:p w14:paraId="62C763D6" w14:textId="77777777" w:rsidR="00F53367" w:rsidRPr="001B6E4D" w:rsidRDefault="00F5336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審竣法務部主管「毒品防制基金」收支部分，須交由黨團協商。</w:t>
            </w:r>
          </w:p>
        </w:tc>
        <w:tc>
          <w:tcPr>
            <w:tcW w:w="1417" w:type="dxa"/>
            <w:vMerge/>
          </w:tcPr>
          <w:p w14:paraId="164DF35E" w14:textId="77777777" w:rsidR="00F53367" w:rsidRPr="001B6E4D" w:rsidRDefault="00F53367" w:rsidP="003D1018">
            <w:pPr>
              <w:widowControl w:val="0"/>
              <w:kinsoku w:val="0"/>
              <w:overflowPunct w:val="0"/>
              <w:adjustRightInd w:val="0"/>
              <w:snapToGrid w:val="0"/>
              <w:spacing w:line="300" w:lineRule="exact"/>
              <w:ind w:left="240" w:hangingChars="100" w:hanging="240"/>
              <w:jc w:val="both"/>
              <w:rPr>
                <w:rFonts w:ascii="標楷體" w:eastAsia="標楷體" w:hAnsi="標楷體"/>
                <w:kern w:val="0"/>
              </w:rPr>
            </w:pPr>
          </w:p>
        </w:tc>
      </w:tr>
    </w:tbl>
    <w:p w14:paraId="35ED50B6" w14:textId="4C761888" w:rsidR="0062608B" w:rsidRPr="001B6E4D" w:rsidRDefault="00F53367" w:rsidP="003D1018">
      <w:pPr>
        <w:pStyle w:val="affffff0"/>
        <w:kinsoku w:val="0"/>
        <w:overflowPunct w:val="0"/>
        <w:topLinePunct/>
        <w:spacing w:before="180" w:after="180"/>
        <w:ind w:leftChars="128" w:left="307" w:firstLineChars="200" w:firstLine="561"/>
        <w:rPr>
          <w:color w:val="000000" w:themeColor="text1"/>
          <w:szCs w:val="28"/>
          <w:shd w:val="clear" w:color="auto" w:fill="FFFFFF" w:themeFill="background1"/>
        </w:rPr>
      </w:pPr>
      <w:bookmarkStart w:id="130" w:name="_Toc240446521"/>
      <w:bookmarkStart w:id="131" w:name="_Hlk221010096"/>
      <w:bookmarkStart w:id="132" w:name="_Hlk189503320"/>
      <w:bookmarkStart w:id="133" w:name="_Toc361213596"/>
      <w:bookmarkStart w:id="134" w:name="_Toc361923740"/>
      <w:bookmarkStart w:id="135" w:name="_Toc363206594"/>
      <w:bookmarkStart w:id="136" w:name="_Toc379471381"/>
      <w:bookmarkStart w:id="137" w:name="_Toc386796871"/>
      <w:bookmarkStart w:id="138" w:name="_Toc386797111"/>
      <w:bookmarkStart w:id="139" w:name="_Toc455152588"/>
      <w:bookmarkStart w:id="140" w:name="_Toc457395190"/>
      <w:bookmarkStart w:id="141" w:name="_Toc472666434"/>
      <w:bookmarkStart w:id="142" w:name="_Toc516496368"/>
      <w:bookmarkStart w:id="143" w:name="_Toc516496483"/>
      <w:bookmarkStart w:id="144" w:name="_Toc516496847"/>
      <w:bookmarkStart w:id="145" w:name="_Toc517947589"/>
      <w:bookmarkStart w:id="146" w:name="_Toc13473516"/>
      <w:bookmarkStart w:id="147" w:name="_Toc133575141"/>
      <w:r w:rsidRPr="001B6E4D">
        <w:rPr>
          <w:rFonts w:hint="eastAsia"/>
          <w:color w:val="000000" w:themeColor="text1"/>
          <w:szCs w:val="28"/>
          <w:shd w:val="clear" w:color="auto" w:fill="FFFFFF" w:themeFill="background1"/>
        </w:rPr>
        <w:t>二</w:t>
      </w:r>
      <w:r w:rsidR="0062608B" w:rsidRPr="001B6E4D">
        <w:rPr>
          <w:color w:val="000000" w:themeColor="text1"/>
          <w:szCs w:val="28"/>
          <w:shd w:val="clear" w:color="auto" w:fill="FFFFFF" w:themeFill="background1"/>
        </w:rPr>
        <w:t>、</w:t>
      </w:r>
      <w:r w:rsidR="0035510E" w:rsidRPr="001B6E4D">
        <w:rPr>
          <w:rFonts w:hint="eastAsia"/>
          <w:color w:val="000000" w:themeColor="text1"/>
          <w:szCs w:val="28"/>
          <w:shd w:val="clear" w:color="auto" w:fill="FFFFFF" w:themeFill="background1"/>
        </w:rPr>
        <w:t>財團法人2案</w:t>
      </w:r>
      <w:bookmarkEnd w:id="130"/>
    </w:p>
    <w:p w14:paraId="0BD2184A" w14:textId="77777777" w:rsidR="0030534B" w:rsidRPr="001B6E4D" w:rsidRDefault="003C6BF1"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148" w:name="_Hlk189747324"/>
      <w:bookmarkStart w:id="149" w:name="_Toc240446522"/>
      <w:bookmarkStart w:id="150" w:name="_Hlk221010127"/>
      <w:bookmarkEnd w:id="131"/>
      <w:r w:rsidRPr="001B6E4D">
        <w:rPr>
          <w:rFonts w:hint="eastAsia"/>
          <w:color w:val="000000" w:themeColor="text1"/>
          <w:shd w:val="clear" w:color="auto" w:fill="FFFFFF" w:themeFill="background1"/>
        </w:rPr>
        <w:t>（一）</w:t>
      </w:r>
      <w:r w:rsidR="0062608B" w:rsidRPr="001B6E4D">
        <w:rPr>
          <w:rFonts w:hint="eastAsia"/>
          <w:color w:val="000000" w:themeColor="text1"/>
          <w:shd w:val="clear" w:color="auto" w:fill="FFFFFF" w:themeFill="background1"/>
        </w:rPr>
        <w:t>經院會通過之議案</w:t>
      </w:r>
      <w:r w:rsidR="0035510E" w:rsidRPr="001B6E4D">
        <w:rPr>
          <w:rFonts w:hint="eastAsia"/>
          <w:color w:val="000000" w:themeColor="text1"/>
          <w:shd w:val="clear" w:color="auto" w:fill="FFFFFF" w:themeFill="background1"/>
        </w:rPr>
        <w:t>2</w:t>
      </w:r>
      <w:r w:rsidR="0062608B" w:rsidRPr="001B6E4D">
        <w:rPr>
          <w:rFonts w:hint="eastAsia"/>
          <w:color w:val="000000" w:themeColor="text1"/>
          <w:shd w:val="clear" w:color="auto" w:fill="FFFFFF" w:themeFill="background1"/>
        </w:rPr>
        <w:t>案</w:t>
      </w:r>
      <w:bookmarkEnd w:id="148"/>
      <w:bookmarkEnd w:id="149"/>
    </w:p>
    <w:tbl>
      <w:tblPr>
        <w:tblW w:w="8736" w:type="dxa"/>
        <w:tblInd w:w="1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656"/>
        <w:gridCol w:w="2694"/>
        <w:gridCol w:w="1701"/>
        <w:gridCol w:w="1701"/>
        <w:gridCol w:w="1984"/>
      </w:tblGrid>
      <w:tr w:rsidR="0030534B" w:rsidRPr="001B6E4D" w14:paraId="69606E89" w14:textId="77777777" w:rsidTr="0006693A">
        <w:tc>
          <w:tcPr>
            <w:tcW w:w="656" w:type="dxa"/>
            <w:shd w:val="clear" w:color="auto" w:fill="auto"/>
          </w:tcPr>
          <w:p w14:paraId="15FA7D44" w14:textId="77777777" w:rsidR="0030534B" w:rsidRPr="001B6E4D" w:rsidRDefault="0030534B"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序號</w:t>
            </w:r>
          </w:p>
        </w:tc>
        <w:tc>
          <w:tcPr>
            <w:tcW w:w="2694" w:type="dxa"/>
            <w:shd w:val="clear" w:color="auto" w:fill="auto"/>
          </w:tcPr>
          <w:p w14:paraId="45A45DE3" w14:textId="77777777" w:rsidR="0030534B" w:rsidRPr="001B6E4D" w:rsidRDefault="0030534B"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議案名稱</w:t>
            </w:r>
          </w:p>
        </w:tc>
        <w:tc>
          <w:tcPr>
            <w:tcW w:w="1701" w:type="dxa"/>
            <w:shd w:val="clear" w:color="auto" w:fill="auto"/>
          </w:tcPr>
          <w:p w14:paraId="4DB2B28B" w14:textId="77777777" w:rsidR="0030534B" w:rsidRPr="001B6E4D" w:rsidRDefault="0030534B" w:rsidP="003D1018">
            <w:pPr>
              <w:widowControl w:val="0"/>
              <w:kinsoku w:val="0"/>
              <w:overflowPunct w:val="0"/>
              <w:autoSpaceDE w:val="0"/>
              <w:autoSpaceDN w:val="0"/>
              <w:snapToGrid w:val="0"/>
              <w:spacing w:line="300" w:lineRule="exact"/>
              <w:ind w:rightChars="-3" w:right="-7"/>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提案機關、院會交付日期(會次)</w:t>
            </w:r>
          </w:p>
        </w:tc>
        <w:tc>
          <w:tcPr>
            <w:tcW w:w="1701" w:type="dxa"/>
            <w:shd w:val="clear" w:color="auto" w:fill="auto"/>
          </w:tcPr>
          <w:p w14:paraId="5B78599C" w14:textId="77777777" w:rsidR="0030534B" w:rsidRPr="001B6E4D" w:rsidRDefault="0030534B"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審查委員會</w:t>
            </w:r>
          </w:p>
        </w:tc>
        <w:tc>
          <w:tcPr>
            <w:tcW w:w="1984" w:type="dxa"/>
            <w:shd w:val="clear" w:color="auto" w:fill="auto"/>
          </w:tcPr>
          <w:p w14:paraId="33128AB7" w14:textId="77777777" w:rsidR="0030534B" w:rsidRPr="001B6E4D" w:rsidRDefault="0030534B"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hint="eastAsia"/>
                <w:b/>
                <w:color w:val="000000"/>
                <w:spacing w:val="-20"/>
                <w:szCs w:val="22"/>
              </w:rPr>
              <w:t>審查、審議</w:t>
            </w:r>
            <w:r w:rsidRPr="001B6E4D">
              <w:rPr>
                <w:rFonts w:ascii="標楷體" w:eastAsia="標楷體" w:hAnsi="標楷體"/>
                <w:b/>
                <w:color w:val="000000"/>
                <w:spacing w:val="-20"/>
                <w:szCs w:val="22"/>
                <w:lang w:eastAsia="ko-KR"/>
              </w:rPr>
              <w:t>情形</w:t>
            </w:r>
          </w:p>
        </w:tc>
      </w:tr>
      <w:tr w:rsidR="0030534B" w:rsidRPr="001B6E4D" w14:paraId="0EFA04A5" w14:textId="77777777" w:rsidTr="0006693A">
        <w:tc>
          <w:tcPr>
            <w:tcW w:w="656" w:type="dxa"/>
            <w:shd w:val="clear" w:color="auto" w:fill="auto"/>
          </w:tcPr>
          <w:p w14:paraId="337D78BA" w14:textId="77777777" w:rsidR="0030534B" w:rsidRPr="001B6E4D" w:rsidRDefault="0030534B" w:rsidP="003D1018">
            <w:pPr>
              <w:widowControl w:val="0"/>
              <w:kinsoku w:val="0"/>
              <w:overflowPunct w:val="0"/>
              <w:autoSpaceDE w:val="0"/>
              <w:autoSpaceDN w:val="0"/>
              <w:snapToGrid w:val="0"/>
              <w:spacing w:line="300" w:lineRule="exact"/>
              <w:jc w:val="center"/>
              <w:rPr>
                <w:rFonts w:ascii="標楷體" w:eastAsia="標楷體" w:hAnsi="標楷體"/>
                <w:bCs/>
                <w:color w:val="000000"/>
                <w:spacing w:val="-20"/>
                <w:szCs w:val="22"/>
              </w:rPr>
            </w:pPr>
            <w:r w:rsidRPr="001B6E4D">
              <w:rPr>
                <w:rFonts w:ascii="標楷體" w:eastAsia="標楷體" w:hAnsi="標楷體" w:hint="eastAsia"/>
                <w:bCs/>
                <w:color w:val="000000"/>
                <w:spacing w:val="-20"/>
                <w:szCs w:val="22"/>
              </w:rPr>
              <w:t>1</w:t>
            </w:r>
          </w:p>
        </w:tc>
        <w:tc>
          <w:tcPr>
            <w:tcW w:w="2694" w:type="dxa"/>
            <w:shd w:val="clear" w:color="auto" w:fill="auto"/>
          </w:tcPr>
          <w:p w14:paraId="6F8D542E" w14:textId="77777777" w:rsidR="0030534B" w:rsidRPr="001B6E4D" w:rsidRDefault="0030534B" w:rsidP="003D1018">
            <w:pPr>
              <w:widowControl w:val="0"/>
              <w:kinsoku w:val="0"/>
              <w:overflowPunct w:val="0"/>
              <w:topLinePunct/>
              <w:autoSpaceDE w:val="0"/>
              <w:autoSpaceDN w:val="0"/>
              <w:adjustRightInd w:val="0"/>
              <w:snapToGrid w:val="0"/>
              <w:spacing w:line="300" w:lineRule="exact"/>
              <w:jc w:val="both"/>
              <w:rPr>
                <w:rFonts w:ascii="標楷體" w:eastAsia="標楷體" w:hAnsi="標楷體"/>
                <w:szCs w:val="22"/>
              </w:rPr>
            </w:pPr>
            <w:r w:rsidRPr="001B6E4D">
              <w:rPr>
                <w:rFonts w:ascii="標楷體" w:eastAsia="標楷體" w:hAnsi="標楷體"/>
                <w:szCs w:val="22"/>
              </w:rPr>
              <w:t>法務部函送財團法人臺</w:t>
            </w:r>
            <w:r w:rsidRPr="001B6E4D">
              <w:rPr>
                <w:rFonts w:ascii="標楷體" w:eastAsia="標楷體" w:hAnsi="標楷體"/>
                <w:szCs w:val="22"/>
              </w:rPr>
              <w:lastRenderedPageBreak/>
              <w:t>灣更生保護會、財團法人福建更生保護會及財團法人犯罪被害人保護協會</w:t>
            </w:r>
            <w:proofErr w:type="gramStart"/>
            <w:r w:rsidRPr="001B6E4D">
              <w:rPr>
                <w:rFonts w:ascii="標楷體" w:eastAsia="標楷體" w:hAnsi="標楷體"/>
                <w:szCs w:val="22"/>
              </w:rPr>
              <w:t>115</w:t>
            </w:r>
            <w:proofErr w:type="gramEnd"/>
            <w:r w:rsidRPr="001B6E4D">
              <w:rPr>
                <w:rFonts w:ascii="標楷體" w:eastAsia="標楷體" w:hAnsi="標楷體"/>
                <w:szCs w:val="22"/>
              </w:rPr>
              <w:t>年度預算書案。</w:t>
            </w:r>
          </w:p>
        </w:tc>
        <w:tc>
          <w:tcPr>
            <w:tcW w:w="1701" w:type="dxa"/>
            <w:shd w:val="clear" w:color="auto" w:fill="auto"/>
          </w:tcPr>
          <w:p w14:paraId="1BE35609" w14:textId="77777777" w:rsidR="0030534B" w:rsidRPr="001B6E4D" w:rsidRDefault="0030534B" w:rsidP="003D1018">
            <w:pPr>
              <w:widowControl w:val="0"/>
              <w:overflowPunct w:val="0"/>
              <w:rPr>
                <w:rFonts w:ascii="標楷體" w:eastAsia="標楷體" w:hAnsi="標楷體"/>
                <w:szCs w:val="22"/>
              </w:rPr>
            </w:pPr>
            <w:r w:rsidRPr="001B6E4D">
              <w:rPr>
                <w:rFonts w:ascii="標楷體" w:eastAsia="標楷體" w:hAnsi="標楷體"/>
                <w:szCs w:val="22"/>
              </w:rPr>
              <w:lastRenderedPageBreak/>
              <w:t>法務部</w:t>
            </w:r>
          </w:p>
          <w:p w14:paraId="7B684B57" w14:textId="77777777" w:rsidR="0030534B" w:rsidRPr="001B6E4D" w:rsidRDefault="0030534B" w:rsidP="003D1018">
            <w:pPr>
              <w:widowControl w:val="0"/>
              <w:overflowPunct w:val="0"/>
              <w:rPr>
                <w:rFonts w:ascii="標楷體" w:eastAsia="標楷體" w:hAnsi="標楷體"/>
                <w:szCs w:val="22"/>
              </w:rPr>
            </w:pPr>
            <w:r w:rsidRPr="001B6E4D">
              <w:rPr>
                <w:rFonts w:ascii="標楷體" w:eastAsia="標楷體" w:hAnsi="標楷體"/>
                <w:szCs w:val="22"/>
              </w:rPr>
              <w:lastRenderedPageBreak/>
              <w:t>114.10.03</w:t>
            </w:r>
          </w:p>
          <w:p w14:paraId="6B1F5206" w14:textId="77777777" w:rsidR="0030534B" w:rsidRPr="001B6E4D" w:rsidRDefault="0030534B" w:rsidP="003D1018">
            <w:pPr>
              <w:widowControl w:val="0"/>
              <w:overflowPunct w:val="0"/>
              <w:rPr>
                <w:rFonts w:ascii="標楷體" w:eastAsia="標楷體" w:hAnsi="標楷體"/>
                <w:szCs w:val="22"/>
              </w:rPr>
            </w:pPr>
            <w:r w:rsidRPr="001B6E4D">
              <w:rPr>
                <w:rFonts w:ascii="標楷體" w:eastAsia="標楷體" w:hAnsi="標楷體"/>
                <w:szCs w:val="22"/>
              </w:rPr>
              <w:t>（11-4-3）</w:t>
            </w:r>
          </w:p>
        </w:tc>
        <w:tc>
          <w:tcPr>
            <w:tcW w:w="1701" w:type="dxa"/>
            <w:shd w:val="clear" w:color="auto" w:fill="auto"/>
          </w:tcPr>
          <w:p w14:paraId="2B9A8F1E" w14:textId="77777777" w:rsidR="0030534B" w:rsidRPr="001B6E4D" w:rsidRDefault="0030534B" w:rsidP="003D1018">
            <w:pPr>
              <w:widowControl w:val="0"/>
              <w:overflowPunct w:val="0"/>
              <w:spacing w:line="300" w:lineRule="exact"/>
              <w:jc w:val="both"/>
              <w:rPr>
                <w:rFonts w:ascii="標楷體" w:eastAsia="標楷體" w:hAnsi="標楷體"/>
                <w:szCs w:val="22"/>
              </w:rPr>
            </w:pPr>
            <w:r w:rsidRPr="001B6E4D">
              <w:rPr>
                <w:rFonts w:ascii="標楷體" w:eastAsia="標楷體" w:hAnsi="標楷體" w:hint="eastAsia"/>
                <w:szCs w:val="22"/>
              </w:rPr>
              <w:lastRenderedPageBreak/>
              <w:t>司法及法制</w:t>
            </w:r>
          </w:p>
        </w:tc>
        <w:tc>
          <w:tcPr>
            <w:tcW w:w="1984" w:type="dxa"/>
            <w:shd w:val="clear" w:color="auto" w:fill="auto"/>
          </w:tcPr>
          <w:p w14:paraId="63712AC4" w14:textId="77777777" w:rsidR="0030534B" w:rsidRPr="001B6E4D" w:rsidRDefault="0030534B"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1.本會</w:t>
            </w:r>
            <w:r w:rsidRPr="001B6E4D">
              <w:rPr>
                <w:rFonts w:ascii="標楷體" w:eastAsia="標楷體" w:hAnsi="標楷體"/>
                <w:szCs w:val="22"/>
              </w:rPr>
              <w:br/>
            </w:r>
            <w:r w:rsidRPr="001B6E4D">
              <w:rPr>
                <w:rFonts w:ascii="標楷體" w:eastAsia="標楷體" w:hAnsi="標楷體" w:hint="eastAsia"/>
                <w:szCs w:val="22"/>
              </w:rPr>
              <w:lastRenderedPageBreak/>
              <w:t>115.4.30</w:t>
            </w:r>
            <w:r w:rsidRPr="001B6E4D">
              <w:rPr>
                <w:rFonts w:ascii="標楷體" w:eastAsia="標楷體" w:hAnsi="標楷體"/>
                <w:szCs w:val="22"/>
              </w:rPr>
              <w:br/>
            </w:r>
            <w:r w:rsidRPr="001B6E4D">
              <w:rPr>
                <w:rFonts w:ascii="標楷體" w:eastAsia="標楷體" w:hAnsi="標楷體" w:hint="eastAsia"/>
                <w:szCs w:val="22"/>
              </w:rPr>
              <w:t>（11-5-10）、</w:t>
            </w:r>
            <w:r w:rsidRPr="001B6E4D">
              <w:rPr>
                <w:rFonts w:ascii="標楷體" w:eastAsia="標楷體" w:hAnsi="標楷體"/>
                <w:szCs w:val="22"/>
              </w:rPr>
              <w:br/>
              <w:t>115.5.27</w:t>
            </w:r>
            <w:r w:rsidRPr="001B6E4D">
              <w:rPr>
                <w:rFonts w:ascii="標楷體" w:eastAsia="標楷體" w:hAnsi="標楷體"/>
                <w:szCs w:val="22"/>
              </w:rPr>
              <w:br/>
              <w:t>(11-5-15)</w:t>
            </w:r>
            <w:r w:rsidRPr="001B6E4D">
              <w:rPr>
                <w:rFonts w:ascii="標楷體" w:eastAsia="標楷體" w:hAnsi="標楷體" w:hint="eastAsia"/>
                <w:szCs w:val="22"/>
              </w:rPr>
              <w:t>審查完竣，不須交由黨團協商。</w:t>
            </w:r>
          </w:p>
          <w:p w14:paraId="07829C3D" w14:textId="77777777" w:rsidR="0030534B" w:rsidRPr="001B6E4D" w:rsidRDefault="0030534B"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szCs w:val="22"/>
              </w:rPr>
              <w:br/>
              <w:t>11</w:t>
            </w:r>
            <w:r w:rsidRPr="001B6E4D">
              <w:rPr>
                <w:rFonts w:ascii="標楷體" w:eastAsia="標楷體" w:hAnsi="標楷體" w:hint="eastAsia"/>
                <w:szCs w:val="22"/>
              </w:rPr>
              <w:t>5</w:t>
            </w:r>
            <w:r w:rsidRPr="001B6E4D">
              <w:rPr>
                <w:rFonts w:ascii="標楷體" w:eastAsia="標楷體" w:hAnsi="標楷體"/>
                <w:szCs w:val="22"/>
              </w:rPr>
              <w:t>.</w:t>
            </w:r>
            <w:r w:rsidRPr="001B6E4D">
              <w:rPr>
                <w:rFonts w:ascii="標楷體" w:eastAsia="標楷體" w:hAnsi="標楷體" w:hint="eastAsia"/>
                <w:szCs w:val="22"/>
              </w:rPr>
              <w:t>6</w:t>
            </w:r>
            <w:r w:rsidRPr="001B6E4D">
              <w:rPr>
                <w:rFonts w:ascii="標楷體" w:eastAsia="標楷體" w:hAnsi="標楷體"/>
                <w:szCs w:val="22"/>
              </w:rPr>
              <w:t>.23</w:t>
            </w:r>
            <w:r w:rsidRPr="001B6E4D">
              <w:rPr>
                <w:rFonts w:ascii="標楷體" w:eastAsia="標楷體" w:hAnsi="標楷體"/>
                <w:szCs w:val="22"/>
              </w:rPr>
              <w:br/>
              <w:t>（1</w:t>
            </w:r>
            <w:r w:rsidRPr="001B6E4D">
              <w:rPr>
                <w:rFonts w:ascii="標楷體" w:eastAsia="標楷體" w:hAnsi="標楷體" w:hint="eastAsia"/>
                <w:szCs w:val="22"/>
              </w:rPr>
              <w:t>1</w:t>
            </w:r>
            <w:r w:rsidRPr="001B6E4D">
              <w:rPr>
                <w:rFonts w:ascii="標楷體" w:eastAsia="標楷體" w:hAnsi="標楷體"/>
                <w:szCs w:val="22"/>
              </w:rPr>
              <w:t>-</w:t>
            </w:r>
            <w:r w:rsidRPr="001B6E4D">
              <w:rPr>
                <w:rFonts w:ascii="標楷體" w:eastAsia="標楷體" w:hAnsi="標楷體" w:hint="eastAsia"/>
                <w:szCs w:val="22"/>
              </w:rPr>
              <w:t>5</w:t>
            </w:r>
            <w:r w:rsidRPr="001B6E4D">
              <w:rPr>
                <w:rFonts w:ascii="標楷體" w:eastAsia="標楷體" w:hAnsi="標楷體"/>
                <w:szCs w:val="22"/>
              </w:rPr>
              <w:t>-</w:t>
            </w:r>
            <w:r w:rsidRPr="001B6E4D">
              <w:rPr>
                <w:rFonts w:ascii="標楷體" w:eastAsia="標楷體" w:hAnsi="標楷體" w:hint="eastAsia"/>
                <w:szCs w:val="22"/>
              </w:rPr>
              <w:t>14</w:t>
            </w:r>
            <w:r w:rsidRPr="001B6E4D">
              <w:rPr>
                <w:rFonts w:ascii="標楷體" w:eastAsia="標楷體" w:hAnsi="標楷體"/>
                <w:szCs w:val="22"/>
              </w:rPr>
              <w:t>）</w:t>
            </w:r>
            <w:r w:rsidRPr="001B6E4D">
              <w:rPr>
                <w:rFonts w:ascii="標楷體" w:eastAsia="標楷體" w:hAnsi="標楷體" w:hint="eastAsia"/>
                <w:szCs w:val="22"/>
              </w:rPr>
              <w:t>三讀通過</w:t>
            </w:r>
            <w:r w:rsidRPr="001B6E4D">
              <w:rPr>
                <w:rFonts w:ascii="標楷體" w:eastAsia="標楷體" w:hAnsi="標楷體"/>
                <w:szCs w:val="22"/>
              </w:rPr>
              <w:t>。</w:t>
            </w:r>
          </w:p>
          <w:p w14:paraId="38B08D61" w14:textId="419B8C6F" w:rsidR="0030534B" w:rsidRPr="001B6E4D" w:rsidRDefault="0030534B"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3.本院咨文日期及文號：115年7月7日台立院議字第1150702302號</w:t>
            </w:r>
            <w:r w:rsidR="00B6687F" w:rsidRPr="001B6E4D">
              <w:rPr>
                <w:rFonts w:ascii="標楷體" w:eastAsia="標楷體" w:hAnsi="標楷體" w:hint="eastAsia"/>
                <w:szCs w:val="22"/>
              </w:rPr>
              <w:t>。</w:t>
            </w:r>
          </w:p>
          <w:p w14:paraId="682C8512" w14:textId="605EB915" w:rsidR="0030534B" w:rsidRPr="001B6E4D" w:rsidRDefault="0030534B"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4.總統公布日期及文號，總統府公報：115年7月15日華總一經字第11500064471號，第7871號</w:t>
            </w:r>
            <w:r w:rsidR="00B6687F" w:rsidRPr="001B6E4D">
              <w:rPr>
                <w:rFonts w:ascii="標楷體" w:eastAsia="標楷體" w:hAnsi="標楷體" w:hint="eastAsia"/>
                <w:szCs w:val="22"/>
              </w:rPr>
              <w:t>。</w:t>
            </w:r>
          </w:p>
        </w:tc>
      </w:tr>
      <w:tr w:rsidR="0030534B" w:rsidRPr="001B6E4D" w14:paraId="4027679F" w14:textId="77777777" w:rsidTr="0006693A">
        <w:tc>
          <w:tcPr>
            <w:tcW w:w="656" w:type="dxa"/>
            <w:shd w:val="clear" w:color="auto" w:fill="auto"/>
          </w:tcPr>
          <w:p w14:paraId="2890E025" w14:textId="77777777" w:rsidR="0030534B" w:rsidRPr="001B6E4D" w:rsidRDefault="0030534B" w:rsidP="003D1018">
            <w:pPr>
              <w:widowControl w:val="0"/>
              <w:kinsoku w:val="0"/>
              <w:overflowPunct w:val="0"/>
              <w:autoSpaceDE w:val="0"/>
              <w:autoSpaceDN w:val="0"/>
              <w:snapToGrid w:val="0"/>
              <w:spacing w:line="300" w:lineRule="exact"/>
              <w:jc w:val="center"/>
              <w:rPr>
                <w:rFonts w:ascii="標楷體" w:eastAsia="標楷體" w:hAnsi="標楷體"/>
                <w:bCs/>
                <w:color w:val="000000"/>
                <w:spacing w:val="-20"/>
                <w:szCs w:val="22"/>
              </w:rPr>
            </w:pPr>
            <w:r w:rsidRPr="001B6E4D">
              <w:rPr>
                <w:rFonts w:ascii="標楷體" w:eastAsia="標楷體" w:hAnsi="標楷體" w:hint="eastAsia"/>
                <w:bCs/>
                <w:color w:val="000000"/>
                <w:spacing w:val="-20"/>
                <w:szCs w:val="22"/>
              </w:rPr>
              <w:lastRenderedPageBreak/>
              <w:t>2</w:t>
            </w:r>
          </w:p>
        </w:tc>
        <w:tc>
          <w:tcPr>
            <w:tcW w:w="2694" w:type="dxa"/>
            <w:shd w:val="clear" w:color="auto" w:fill="auto"/>
          </w:tcPr>
          <w:p w14:paraId="58F3B9BE" w14:textId="77777777" w:rsidR="0030534B" w:rsidRPr="001B6E4D" w:rsidRDefault="0030534B" w:rsidP="003D1018">
            <w:pPr>
              <w:widowControl w:val="0"/>
              <w:kinsoku w:val="0"/>
              <w:overflowPunct w:val="0"/>
              <w:topLinePunct/>
              <w:autoSpaceDE w:val="0"/>
              <w:autoSpaceDN w:val="0"/>
              <w:adjustRightInd w:val="0"/>
              <w:snapToGrid w:val="0"/>
              <w:spacing w:line="300" w:lineRule="exact"/>
              <w:jc w:val="both"/>
              <w:rPr>
                <w:rFonts w:ascii="標楷體" w:eastAsia="標楷體" w:hAnsi="標楷體"/>
                <w:szCs w:val="22"/>
              </w:rPr>
            </w:pPr>
            <w:r w:rsidRPr="001B6E4D">
              <w:rPr>
                <w:rFonts w:ascii="標楷體" w:eastAsia="標楷體" w:hAnsi="標楷體"/>
                <w:szCs w:val="22"/>
              </w:rPr>
              <w:t>司法院函送財團法人法律扶助基金會</w:t>
            </w:r>
            <w:proofErr w:type="gramStart"/>
            <w:r w:rsidRPr="001B6E4D">
              <w:rPr>
                <w:rFonts w:ascii="標楷體" w:eastAsia="標楷體" w:hAnsi="標楷體"/>
                <w:szCs w:val="22"/>
              </w:rPr>
              <w:t>115</w:t>
            </w:r>
            <w:proofErr w:type="gramEnd"/>
            <w:r w:rsidRPr="001B6E4D">
              <w:rPr>
                <w:rFonts w:ascii="標楷體" w:eastAsia="標楷體" w:hAnsi="標楷體"/>
                <w:szCs w:val="22"/>
              </w:rPr>
              <w:t>年度預算書案。</w:t>
            </w:r>
          </w:p>
        </w:tc>
        <w:tc>
          <w:tcPr>
            <w:tcW w:w="1701" w:type="dxa"/>
            <w:shd w:val="clear" w:color="auto" w:fill="auto"/>
          </w:tcPr>
          <w:p w14:paraId="192980BF" w14:textId="77777777" w:rsidR="0030534B" w:rsidRPr="001B6E4D" w:rsidRDefault="0030534B" w:rsidP="003D1018">
            <w:pPr>
              <w:widowControl w:val="0"/>
              <w:overflowPunct w:val="0"/>
              <w:rPr>
                <w:rFonts w:ascii="標楷體" w:eastAsia="標楷體" w:hAnsi="標楷體"/>
                <w:szCs w:val="22"/>
              </w:rPr>
            </w:pPr>
            <w:r w:rsidRPr="001B6E4D">
              <w:rPr>
                <w:rFonts w:ascii="標楷體" w:eastAsia="標楷體" w:hAnsi="標楷體"/>
                <w:szCs w:val="22"/>
              </w:rPr>
              <w:t>司法院</w:t>
            </w:r>
          </w:p>
          <w:p w14:paraId="683CE73E" w14:textId="77777777" w:rsidR="0030534B" w:rsidRPr="001B6E4D" w:rsidRDefault="0030534B" w:rsidP="003D1018">
            <w:pPr>
              <w:widowControl w:val="0"/>
              <w:overflowPunct w:val="0"/>
              <w:rPr>
                <w:rFonts w:ascii="標楷體" w:eastAsia="標楷體" w:hAnsi="標楷體"/>
                <w:szCs w:val="22"/>
              </w:rPr>
            </w:pPr>
            <w:r w:rsidRPr="001B6E4D">
              <w:rPr>
                <w:rFonts w:ascii="標楷體" w:eastAsia="標楷體" w:hAnsi="標楷體"/>
                <w:szCs w:val="22"/>
              </w:rPr>
              <w:t>114.10.03</w:t>
            </w:r>
          </w:p>
          <w:p w14:paraId="038016C9" w14:textId="77777777" w:rsidR="0030534B" w:rsidRPr="001B6E4D" w:rsidRDefault="0030534B" w:rsidP="003D1018">
            <w:pPr>
              <w:widowControl w:val="0"/>
              <w:overflowPunct w:val="0"/>
              <w:rPr>
                <w:rFonts w:ascii="標楷體" w:eastAsia="標楷體" w:hAnsi="標楷體"/>
                <w:szCs w:val="22"/>
              </w:rPr>
            </w:pPr>
            <w:r w:rsidRPr="001B6E4D">
              <w:rPr>
                <w:rFonts w:ascii="標楷體" w:eastAsia="標楷體" w:hAnsi="標楷體"/>
                <w:szCs w:val="22"/>
              </w:rPr>
              <w:t>（11-4-3）</w:t>
            </w:r>
          </w:p>
        </w:tc>
        <w:tc>
          <w:tcPr>
            <w:tcW w:w="1701" w:type="dxa"/>
            <w:shd w:val="clear" w:color="auto" w:fill="auto"/>
          </w:tcPr>
          <w:p w14:paraId="63F6C7A7" w14:textId="77777777" w:rsidR="0030534B" w:rsidRPr="001B6E4D" w:rsidRDefault="0030534B" w:rsidP="003D1018">
            <w:pPr>
              <w:widowControl w:val="0"/>
              <w:overflowPunct w:val="0"/>
              <w:spacing w:line="300" w:lineRule="exact"/>
              <w:jc w:val="both"/>
              <w:rPr>
                <w:rFonts w:ascii="標楷體" w:eastAsia="標楷體" w:hAnsi="標楷體"/>
                <w:szCs w:val="22"/>
              </w:rPr>
            </w:pPr>
            <w:r w:rsidRPr="001B6E4D">
              <w:rPr>
                <w:rFonts w:ascii="標楷體" w:eastAsia="標楷體" w:hAnsi="標楷體" w:hint="eastAsia"/>
                <w:szCs w:val="22"/>
              </w:rPr>
              <w:t>司法及法制</w:t>
            </w:r>
          </w:p>
        </w:tc>
        <w:tc>
          <w:tcPr>
            <w:tcW w:w="1984" w:type="dxa"/>
            <w:shd w:val="clear" w:color="auto" w:fill="auto"/>
          </w:tcPr>
          <w:p w14:paraId="0D563913" w14:textId="77777777" w:rsidR="0030534B" w:rsidRPr="001B6E4D" w:rsidRDefault="0030534B"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1.本會</w:t>
            </w:r>
            <w:r w:rsidRPr="001B6E4D">
              <w:rPr>
                <w:rFonts w:ascii="標楷體" w:eastAsia="標楷體" w:hAnsi="標楷體"/>
                <w:szCs w:val="22"/>
              </w:rPr>
              <w:br/>
            </w:r>
            <w:r w:rsidRPr="001B6E4D">
              <w:rPr>
                <w:rFonts w:ascii="標楷體" w:eastAsia="標楷體" w:hAnsi="標楷體" w:hint="eastAsia"/>
                <w:szCs w:val="22"/>
              </w:rPr>
              <w:t>115.5.4</w:t>
            </w:r>
            <w:r w:rsidRPr="001B6E4D">
              <w:rPr>
                <w:rFonts w:ascii="標楷體" w:eastAsia="標楷體" w:hAnsi="標楷體"/>
                <w:szCs w:val="22"/>
              </w:rPr>
              <w:br/>
            </w:r>
            <w:r w:rsidRPr="001B6E4D">
              <w:rPr>
                <w:rFonts w:ascii="標楷體" w:eastAsia="標楷體" w:hAnsi="標楷體" w:hint="eastAsia"/>
                <w:szCs w:val="22"/>
              </w:rPr>
              <w:t>（11-5-11）、</w:t>
            </w:r>
            <w:r w:rsidRPr="001B6E4D">
              <w:rPr>
                <w:rFonts w:ascii="標楷體" w:eastAsia="標楷體" w:hAnsi="標楷體"/>
                <w:szCs w:val="22"/>
              </w:rPr>
              <w:br/>
            </w:r>
            <w:r w:rsidRPr="001B6E4D">
              <w:rPr>
                <w:rFonts w:ascii="標楷體" w:eastAsia="標楷體" w:hAnsi="標楷體" w:hint="eastAsia"/>
                <w:szCs w:val="22"/>
              </w:rPr>
              <w:t>115.5.18</w:t>
            </w:r>
            <w:r w:rsidRPr="001B6E4D">
              <w:rPr>
                <w:rFonts w:ascii="標楷體" w:eastAsia="標楷體" w:hAnsi="標楷體"/>
                <w:szCs w:val="22"/>
              </w:rPr>
              <w:br/>
            </w:r>
            <w:r w:rsidRPr="001B6E4D">
              <w:rPr>
                <w:rFonts w:ascii="標楷體" w:eastAsia="標楷體" w:hAnsi="標楷體" w:hint="eastAsia"/>
                <w:szCs w:val="22"/>
              </w:rPr>
              <w:t>（11-5-14）審查完竣，不須交由黨團協商。</w:t>
            </w:r>
          </w:p>
          <w:p w14:paraId="3FD8347E" w14:textId="77777777" w:rsidR="0030534B" w:rsidRPr="001B6E4D" w:rsidRDefault="0030534B"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szCs w:val="22"/>
              </w:rPr>
              <w:br/>
              <w:t>11</w:t>
            </w:r>
            <w:r w:rsidRPr="001B6E4D">
              <w:rPr>
                <w:rFonts w:ascii="標楷體" w:eastAsia="標楷體" w:hAnsi="標楷體" w:hint="eastAsia"/>
                <w:szCs w:val="22"/>
              </w:rPr>
              <w:t>5</w:t>
            </w:r>
            <w:r w:rsidRPr="001B6E4D">
              <w:rPr>
                <w:rFonts w:ascii="標楷體" w:eastAsia="標楷體" w:hAnsi="標楷體"/>
                <w:szCs w:val="22"/>
              </w:rPr>
              <w:t>.</w:t>
            </w:r>
            <w:r w:rsidRPr="001B6E4D">
              <w:rPr>
                <w:rFonts w:ascii="標楷體" w:eastAsia="標楷體" w:hAnsi="標楷體" w:hint="eastAsia"/>
                <w:szCs w:val="22"/>
              </w:rPr>
              <w:t>6</w:t>
            </w:r>
            <w:r w:rsidRPr="001B6E4D">
              <w:rPr>
                <w:rFonts w:ascii="標楷體" w:eastAsia="標楷體" w:hAnsi="標楷體"/>
                <w:szCs w:val="22"/>
              </w:rPr>
              <w:t>.23</w:t>
            </w:r>
            <w:r w:rsidRPr="001B6E4D">
              <w:rPr>
                <w:rFonts w:ascii="標楷體" w:eastAsia="標楷體" w:hAnsi="標楷體"/>
                <w:szCs w:val="22"/>
              </w:rPr>
              <w:br/>
              <w:t>（1</w:t>
            </w:r>
            <w:r w:rsidRPr="001B6E4D">
              <w:rPr>
                <w:rFonts w:ascii="標楷體" w:eastAsia="標楷體" w:hAnsi="標楷體" w:hint="eastAsia"/>
                <w:szCs w:val="22"/>
              </w:rPr>
              <w:t>1</w:t>
            </w:r>
            <w:r w:rsidRPr="001B6E4D">
              <w:rPr>
                <w:rFonts w:ascii="標楷體" w:eastAsia="標楷體" w:hAnsi="標楷體"/>
                <w:szCs w:val="22"/>
              </w:rPr>
              <w:t>-</w:t>
            </w:r>
            <w:r w:rsidRPr="001B6E4D">
              <w:rPr>
                <w:rFonts w:ascii="標楷體" w:eastAsia="標楷體" w:hAnsi="標楷體" w:hint="eastAsia"/>
                <w:szCs w:val="22"/>
              </w:rPr>
              <w:t>5</w:t>
            </w:r>
            <w:r w:rsidRPr="001B6E4D">
              <w:rPr>
                <w:rFonts w:ascii="標楷體" w:eastAsia="標楷體" w:hAnsi="標楷體"/>
                <w:szCs w:val="22"/>
              </w:rPr>
              <w:t>-</w:t>
            </w:r>
            <w:r w:rsidRPr="001B6E4D">
              <w:rPr>
                <w:rFonts w:ascii="標楷體" w:eastAsia="標楷體" w:hAnsi="標楷體" w:hint="eastAsia"/>
                <w:szCs w:val="22"/>
              </w:rPr>
              <w:t>14</w:t>
            </w:r>
            <w:r w:rsidRPr="001B6E4D">
              <w:rPr>
                <w:rFonts w:ascii="標楷體" w:eastAsia="標楷體" w:hAnsi="標楷體"/>
                <w:szCs w:val="22"/>
              </w:rPr>
              <w:t>）</w:t>
            </w:r>
            <w:r w:rsidRPr="001B6E4D">
              <w:rPr>
                <w:rFonts w:ascii="標楷體" w:eastAsia="標楷體" w:hAnsi="標楷體" w:hint="eastAsia"/>
                <w:szCs w:val="22"/>
              </w:rPr>
              <w:t>三讀通過</w:t>
            </w:r>
            <w:r w:rsidRPr="001B6E4D">
              <w:rPr>
                <w:rFonts w:ascii="標楷體" w:eastAsia="標楷體" w:hAnsi="標楷體"/>
                <w:szCs w:val="22"/>
              </w:rPr>
              <w:t>。</w:t>
            </w:r>
          </w:p>
          <w:p w14:paraId="64628E27" w14:textId="2D7E89A7" w:rsidR="0030534B" w:rsidRPr="001B6E4D" w:rsidRDefault="0030534B"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3.本院咨文日期及文號：115年7月7日台立院議字第1150702304號</w:t>
            </w:r>
            <w:r w:rsidR="00B6687F" w:rsidRPr="001B6E4D">
              <w:rPr>
                <w:rFonts w:ascii="標楷體" w:eastAsia="標楷體" w:hAnsi="標楷體" w:hint="eastAsia"/>
                <w:szCs w:val="22"/>
              </w:rPr>
              <w:t>。</w:t>
            </w:r>
          </w:p>
          <w:p w14:paraId="33F459D7" w14:textId="737039FD" w:rsidR="0030534B" w:rsidRPr="001B6E4D" w:rsidRDefault="0030534B" w:rsidP="0057611E">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4.總統公布日期及文號，總統府公報：115</w:t>
            </w:r>
            <w:r w:rsidRPr="001B6E4D">
              <w:rPr>
                <w:rFonts w:ascii="標楷體" w:eastAsia="標楷體" w:hAnsi="標楷體" w:hint="eastAsia"/>
                <w:szCs w:val="22"/>
              </w:rPr>
              <w:lastRenderedPageBreak/>
              <w:t>年7月15日華總一經字第11500064481號，第7871號</w:t>
            </w:r>
            <w:r w:rsidR="00B6687F" w:rsidRPr="001B6E4D">
              <w:rPr>
                <w:rFonts w:ascii="標楷體" w:eastAsia="標楷體" w:hAnsi="標楷體" w:hint="eastAsia"/>
                <w:szCs w:val="22"/>
              </w:rPr>
              <w:t>。</w:t>
            </w:r>
          </w:p>
        </w:tc>
      </w:tr>
    </w:tbl>
    <w:p w14:paraId="7E03A589" w14:textId="2AE93165" w:rsidR="00154295" w:rsidRPr="001B6E4D" w:rsidRDefault="001C6266"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51" w:name="_Toc240446523"/>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50"/>
      <w:r w:rsidRPr="001B6E4D">
        <w:rPr>
          <w:rFonts w:ascii="標楷體" w:hAnsi="標楷體" w:hint="eastAsia"/>
          <w:color w:val="000000" w:themeColor="text1"/>
          <w:szCs w:val="28"/>
          <w:shd w:val="clear" w:color="auto" w:fill="FFFFFF" w:themeFill="background1"/>
        </w:rPr>
        <w:lastRenderedPageBreak/>
        <w:t>［參］</w:t>
      </w:r>
      <w:r w:rsidR="0062608B" w:rsidRPr="001B6E4D">
        <w:rPr>
          <w:rFonts w:ascii="標楷體" w:hAnsi="標楷體" w:hint="eastAsia"/>
          <w:color w:val="000000" w:themeColor="text1"/>
          <w:szCs w:val="28"/>
          <w:shd w:val="clear" w:color="auto" w:fill="FFFFFF" w:themeFill="background1"/>
        </w:rPr>
        <w:t>行政命令案</w:t>
      </w:r>
      <w:r w:rsidR="00154295" w:rsidRPr="001B6E4D">
        <w:rPr>
          <w:rFonts w:ascii="標楷體" w:hAnsi="標楷體" w:hint="eastAsia"/>
          <w:color w:val="000000" w:themeColor="text1"/>
          <w:szCs w:val="28"/>
          <w:shd w:val="clear" w:color="auto" w:fill="FFFFFF" w:themeFill="background1"/>
        </w:rPr>
        <w:t>4</w:t>
      </w:r>
      <w:r w:rsidR="0062608B" w:rsidRPr="001B6E4D">
        <w:rPr>
          <w:rFonts w:ascii="標楷體" w:hAnsi="標楷體" w:hint="eastAsia"/>
          <w:color w:val="000000" w:themeColor="text1"/>
          <w:szCs w:val="28"/>
          <w:shd w:val="clear" w:color="auto" w:fill="FFFFFF" w:themeFill="background1"/>
        </w:rPr>
        <w:t>案</w:t>
      </w:r>
      <w:bookmarkEnd w:id="151"/>
    </w:p>
    <w:tbl>
      <w:tblPr>
        <w:tblW w:w="8722" w:type="dxa"/>
        <w:tblInd w:w="3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658"/>
        <w:gridCol w:w="2632"/>
        <w:gridCol w:w="1747"/>
        <w:gridCol w:w="1701"/>
        <w:gridCol w:w="1984"/>
      </w:tblGrid>
      <w:tr w:rsidR="00154295" w:rsidRPr="001B6E4D" w14:paraId="4533D3FC" w14:textId="77777777" w:rsidTr="00635F2A">
        <w:tc>
          <w:tcPr>
            <w:tcW w:w="658" w:type="dxa"/>
            <w:tcBorders>
              <w:top w:val="single" w:sz="18" w:space="0" w:color="auto"/>
              <w:left w:val="single" w:sz="18" w:space="0" w:color="auto"/>
              <w:bottom w:val="single" w:sz="6" w:space="0" w:color="auto"/>
              <w:right w:val="single" w:sz="6" w:space="0" w:color="auto"/>
            </w:tcBorders>
            <w:hideMark/>
          </w:tcPr>
          <w:p w14:paraId="6CF27EAA" w14:textId="77777777" w:rsidR="00154295" w:rsidRPr="001B6E4D" w:rsidRDefault="00154295"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hint="eastAsia"/>
                <w:b/>
                <w:spacing w:val="-20"/>
                <w:szCs w:val="22"/>
              </w:rPr>
              <w:t>序號</w:t>
            </w:r>
          </w:p>
        </w:tc>
        <w:tc>
          <w:tcPr>
            <w:tcW w:w="2632" w:type="dxa"/>
            <w:tcBorders>
              <w:top w:val="single" w:sz="18" w:space="0" w:color="auto"/>
              <w:left w:val="single" w:sz="6" w:space="0" w:color="auto"/>
              <w:bottom w:val="single" w:sz="6" w:space="0" w:color="auto"/>
              <w:right w:val="single" w:sz="6" w:space="0" w:color="auto"/>
            </w:tcBorders>
            <w:hideMark/>
          </w:tcPr>
          <w:p w14:paraId="2DF23060" w14:textId="77777777" w:rsidR="00154295" w:rsidRPr="001B6E4D" w:rsidRDefault="00154295"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hint="eastAsia"/>
                <w:b/>
                <w:spacing w:val="-20"/>
                <w:szCs w:val="22"/>
              </w:rPr>
              <w:t>議案名稱</w:t>
            </w:r>
          </w:p>
        </w:tc>
        <w:tc>
          <w:tcPr>
            <w:tcW w:w="1747" w:type="dxa"/>
            <w:tcBorders>
              <w:top w:val="single" w:sz="18" w:space="0" w:color="auto"/>
              <w:left w:val="single" w:sz="6" w:space="0" w:color="auto"/>
              <w:bottom w:val="single" w:sz="6" w:space="0" w:color="auto"/>
              <w:right w:val="single" w:sz="6" w:space="0" w:color="auto"/>
            </w:tcBorders>
            <w:hideMark/>
          </w:tcPr>
          <w:p w14:paraId="3F36AD04" w14:textId="77777777" w:rsidR="00154295" w:rsidRPr="001B6E4D" w:rsidRDefault="00154295" w:rsidP="003D1018">
            <w:pPr>
              <w:widowControl w:val="0"/>
              <w:kinsoku w:val="0"/>
              <w:overflowPunct w:val="0"/>
              <w:spacing w:line="300" w:lineRule="exact"/>
              <w:rPr>
                <w:rFonts w:ascii="標楷體" w:eastAsia="標楷體" w:hAnsi="標楷體"/>
                <w:b/>
                <w:spacing w:val="-20"/>
                <w:szCs w:val="22"/>
              </w:rPr>
            </w:pPr>
            <w:r w:rsidRPr="001B6E4D">
              <w:rPr>
                <w:rFonts w:ascii="標楷體" w:eastAsia="標楷體" w:hAnsi="標楷體" w:hint="eastAsia"/>
                <w:b/>
                <w:spacing w:val="-20"/>
                <w:szCs w:val="22"/>
              </w:rPr>
              <w:t>提案機關、院會交付日期 (會次)</w:t>
            </w:r>
          </w:p>
        </w:tc>
        <w:tc>
          <w:tcPr>
            <w:tcW w:w="1701" w:type="dxa"/>
            <w:tcBorders>
              <w:top w:val="single" w:sz="18" w:space="0" w:color="auto"/>
              <w:left w:val="single" w:sz="6" w:space="0" w:color="auto"/>
              <w:bottom w:val="single" w:sz="6" w:space="0" w:color="auto"/>
              <w:right w:val="single" w:sz="6" w:space="0" w:color="auto"/>
            </w:tcBorders>
            <w:hideMark/>
          </w:tcPr>
          <w:p w14:paraId="2F9839A3" w14:textId="77777777" w:rsidR="00154295" w:rsidRPr="001B6E4D" w:rsidRDefault="00154295"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hint="eastAsia"/>
                <w:b/>
                <w:spacing w:val="-20"/>
                <w:szCs w:val="22"/>
              </w:rPr>
              <w:t>委員會</w:t>
            </w:r>
          </w:p>
        </w:tc>
        <w:tc>
          <w:tcPr>
            <w:tcW w:w="1984" w:type="dxa"/>
            <w:tcBorders>
              <w:top w:val="single" w:sz="18" w:space="0" w:color="auto"/>
              <w:left w:val="single" w:sz="6" w:space="0" w:color="auto"/>
              <w:bottom w:val="single" w:sz="6" w:space="0" w:color="auto"/>
              <w:right w:val="single" w:sz="18" w:space="0" w:color="auto"/>
            </w:tcBorders>
            <w:hideMark/>
          </w:tcPr>
          <w:p w14:paraId="7DE7EB1E" w14:textId="77777777" w:rsidR="00154295" w:rsidRPr="001B6E4D" w:rsidRDefault="00154295"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hint="eastAsia"/>
                <w:b/>
                <w:color w:val="000000"/>
                <w:spacing w:val="-20"/>
                <w:szCs w:val="22"/>
              </w:rPr>
              <w:t>審查、處理</w:t>
            </w:r>
            <w:r w:rsidRPr="001B6E4D">
              <w:rPr>
                <w:rFonts w:ascii="標楷體" w:eastAsia="標楷體" w:hAnsi="標楷體" w:hint="eastAsia"/>
                <w:b/>
                <w:spacing w:val="-20"/>
                <w:szCs w:val="22"/>
              </w:rPr>
              <w:t>情形</w:t>
            </w:r>
          </w:p>
        </w:tc>
      </w:tr>
      <w:tr w:rsidR="00154295" w:rsidRPr="001B6E4D" w14:paraId="3A2FE380" w14:textId="77777777" w:rsidTr="00635F2A">
        <w:tc>
          <w:tcPr>
            <w:tcW w:w="658" w:type="dxa"/>
            <w:tcBorders>
              <w:top w:val="single" w:sz="6" w:space="0" w:color="auto"/>
              <w:left w:val="single" w:sz="18" w:space="0" w:color="auto"/>
              <w:bottom w:val="single" w:sz="6" w:space="0" w:color="auto"/>
              <w:right w:val="single" w:sz="6" w:space="0" w:color="auto"/>
            </w:tcBorders>
            <w:shd w:val="clear" w:color="auto" w:fill="auto"/>
          </w:tcPr>
          <w:p w14:paraId="70584E93" w14:textId="77777777" w:rsidR="00154295" w:rsidRPr="001B6E4D" w:rsidRDefault="00154295" w:rsidP="003D1018">
            <w:pPr>
              <w:widowControl w:val="0"/>
              <w:overflowPunct w:val="0"/>
              <w:spacing w:line="300" w:lineRule="exact"/>
              <w:jc w:val="center"/>
              <w:rPr>
                <w:rFonts w:ascii="標楷體" w:eastAsia="標楷體" w:hAnsi="標楷體"/>
                <w:spacing w:val="-20"/>
              </w:rPr>
            </w:pPr>
            <w:r w:rsidRPr="001B6E4D">
              <w:rPr>
                <w:rFonts w:ascii="標楷體" w:eastAsia="標楷體" w:hAnsi="標楷體" w:hint="eastAsia"/>
                <w:spacing w:val="-20"/>
              </w:rPr>
              <w:t>1</w:t>
            </w:r>
          </w:p>
        </w:tc>
        <w:tc>
          <w:tcPr>
            <w:tcW w:w="2632" w:type="dxa"/>
            <w:tcBorders>
              <w:top w:val="single" w:sz="6" w:space="0" w:color="auto"/>
              <w:left w:val="single" w:sz="6" w:space="0" w:color="auto"/>
              <w:bottom w:val="single" w:sz="6" w:space="0" w:color="auto"/>
              <w:right w:val="single" w:sz="6" w:space="0" w:color="auto"/>
            </w:tcBorders>
            <w:shd w:val="clear" w:color="auto" w:fill="auto"/>
          </w:tcPr>
          <w:p w14:paraId="06CB4A0D" w14:textId="77777777" w:rsidR="00154295" w:rsidRPr="001B6E4D" w:rsidRDefault="00154295" w:rsidP="003D1018">
            <w:pPr>
              <w:widowControl w:val="0"/>
              <w:overflowPunct w:val="0"/>
              <w:spacing w:line="300" w:lineRule="exact"/>
              <w:jc w:val="both"/>
              <w:rPr>
                <w:rFonts w:ascii="標楷體" w:eastAsia="標楷體" w:hAnsi="標楷體"/>
                <w:kern w:val="0"/>
                <w:szCs w:val="22"/>
              </w:rPr>
            </w:pPr>
            <w:proofErr w:type="gramStart"/>
            <w:r w:rsidRPr="001B6E4D">
              <w:rPr>
                <w:rFonts w:ascii="標楷體" w:eastAsia="標楷體" w:hAnsi="標楷體"/>
                <w:kern w:val="0"/>
                <w:szCs w:val="22"/>
              </w:rPr>
              <w:t>環境部函</w:t>
            </w:r>
            <w:proofErr w:type="gramEnd"/>
            <w:r w:rsidRPr="001B6E4D">
              <w:rPr>
                <w:rFonts w:ascii="標楷體" w:eastAsia="標楷體" w:hAnsi="標楷體"/>
                <w:kern w:val="0"/>
                <w:szCs w:val="22"/>
              </w:rPr>
              <w:t>，為修正「環境部環境影響評估審查委員會組織規程」第四條及第十一條條文，請查照案。</w:t>
            </w:r>
          </w:p>
        </w:tc>
        <w:tc>
          <w:tcPr>
            <w:tcW w:w="1747" w:type="dxa"/>
            <w:tcBorders>
              <w:top w:val="single" w:sz="6" w:space="0" w:color="auto"/>
              <w:left w:val="single" w:sz="6" w:space="0" w:color="auto"/>
              <w:bottom w:val="single" w:sz="6" w:space="0" w:color="auto"/>
              <w:right w:val="single" w:sz="6" w:space="0" w:color="auto"/>
            </w:tcBorders>
            <w:shd w:val="clear" w:color="auto" w:fill="auto"/>
          </w:tcPr>
          <w:p w14:paraId="3FE496E2"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環境部</w:t>
            </w:r>
          </w:p>
          <w:p w14:paraId="3F7D44DA"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114.10.28</w:t>
            </w:r>
          </w:p>
          <w:p w14:paraId="43C7367D"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（11-4-6）</w:t>
            </w: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4C822457" w14:textId="77777777" w:rsidR="00154295" w:rsidRPr="001B6E4D" w:rsidRDefault="00154295"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司法及法制、社會福利及衛生環境</w:t>
            </w:r>
          </w:p>
        </w:tc>
        <w:tc>
          <w:tcPr>
            <w:tcW w:w="1984" w:type="dxa"/>
            <w:tcBorders>
              <w:top w:val="single" w:sz="6" w:space="0" w:color="auto"/>
              <w:left w:val="single" w:sz="6" w:space="0" w:color="auto"/>
              <w:bottom w:val="single" w:sz="6" w:space="0" w:color="auto"/>
              <w:right w:val="single" w:sz="18" w:space="0" w:color="auto"/>
            </w:tcBorders>
            <w:shd w:val="clear" w:color="auto" w:fill="auto"/>
          </w:tcPr>
          <w:p w14:paraId="37B8E9A9" w14:textId="77777777" w:rsidR="00154295" w:rsidRPr="001B6E4D" w:rsidRDefault="0015429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1.已逾立法院職權行使法第61條所定審查期限，依規定提報院會存查。</w:t>
            </w:r>
          </w:p>
          <w:p w14:paraId="4BE8B9E2" w14:textId="77777777" w:rsidR="00154295" w:rsidRPr="001B6E4D" w:rsidRDefault="0015429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hint="eastAsia"/>
                <w:szCs w:val="22"/>
              </w:rPr>
              <w:br/>
              <w:t>115.3.27</w:t>
            </w:r>
            <w:r w:rsidRPr="001B6E4D">
              <w:rPr>
                <w:rFonts w:ascii="標楷體" w:eastAsia="標楷體" w:hAnsi="標楷體" w:hint="eastAsia"/>
                <w:szCs w:val="22"/>
              </w:rPr>
              <w:br/>
              <w:t>（11-5-5）准予備查。</w:t>
            </w:r>
          </w:p>
        </w:tc>
      </w:tr>
      <w:tr w:rsidR="00154295" w:rsidRPr="001B6E4D" w14:paraId="72207A72" w14:textId="77777777" w:rsidTr="00635F2A">
        <w:tc>
          <w:tcPr>
            <w:tcW w:w="658" w:type="dxa"/>
            <w:tcBorders>
              <w:top w:val="single" w:sz="6" w:space="0" w:color="auto"/>
              <w:left w:val="single" w:sz="18" w:space="0" w:color="auto"/>
              <w:bottom w:val="single" w:sz="6" w:space="0" w:color="auto"/>
              <w:right w:val="single" w:sz="6" w:space="0" w:color="auto"/>
            </w:tcBorders>
            <w:shd w:val="clear" w:color="auto" w:fill="auto"/>
          </w:tcPr>
          <w:p w14:paraId="5A377B84" w14:textId="77777777" w:rsidR="00154295" w:rsidRPr="001B6E4D" w:rsidRDefault="00154295" w:rsidP="003D1018">
            <w:pPr>
              <w:widowControl w:val="0"/>
              <w:overflowPunct w:val="0"/>
              <w:spacing w:line="300" w:lineRule="exact"/>
              <w:jc w:val="center"/>
              <w:rPr>
                <w:rFonts w:ascii="標楷體" w:eastAsia="標楷體" w:hAnsi="標楷體"/>
                <w:spacing w:val="-20"/>
              </w:rPr>
            </w:pPr>
            <w:r w:rsidRPr="001B6E4D">
              <w:rPr>
                <w:rFonts w:ascii="標楷體" w:eastAsia="標楷體" w:hAnsi="標楷體" w:hint="eastAsia"/>
                <w:spacing w:val="-20"/>
              </w:rPr>
              <w:t>2</w:t>
            </w:r>
          </w:p>
        </w:tc>
        <w:tc>
          <w:tcPr>
            <w:tcW w:w="2632" w:type="dxa"/>
            <w:tcBorders>
              <w:top w:val="single" w:sz="6" w:space="0" w:color="auto"/>
              <w:left w:val="single" w:sz="6" w:space="0" w:color="auto"/>
              <w:bottom w:val="single" w:sz="6" w:space="0" w:color="auto"/>
              <w:right w:val="single" w:sz="6" w:space="0" w:color="auto"/>
            </w:tcBorders>
            <w:shd w:val="clear" w:color="auto" w:fill="auto"/>
          </w:tcPr>
          <w:p w14:paraId="1D8A64E0" w14:textId="77777777" w:rsidR="00154295" w:rsidRPr="001B6E4D" w:rsidRDefault="00154295" w:rsidP="003D1018">
            <w:pPr>
              <w:widowControl w:val="0"/>
              <w:overflowPunct w:val="0"/>
              <w:spacing w:line="300" w:lineRule="exact"/>
              <w:jc w:val="both"/>
              <w:rPr>
                <w:rFonts w:ascii="標楷體" w:eastAsia="標楷體" w:hAnsi="標楷體"/>
                <w:kern w:val="0"/>
                <w:szCs w:val="22"/>
              </w:rPr>
            </w:pPr>
            <w:proofErr w:type="gramStart"/>
            <w:r w:rsidRPr="001B6E4D">
              <w:rPr>
                <w:rFonts w:ascii="標楷體" w:eastAsia="標楷體" w:hAnsi="標楷體"/>
                <w:kern w:val="0"/>
                <w:szCs w:val="22"/>
              </w:rPr>
              <w:t>勞動部函</w:t>
            </w:r>
            <w:proofErr w:type="gramEnd"/>
            <w:r w:rsidRPr="001B6E4D">
              <w:rPr>
                <w:rFonts w:ascii="標楷體" w:eastAsia="標楷體" w:hAnsi="標楷體"/>
                <w:kern w:val="0"/>
                <w:szCs w:val="22"/>
              </w:rPr>
              <w:t>，為修正「勞動部勞動力</w:t>
            </w:r>
            <w:proofErr w:type="gramStart"/>
            <w:r w:rsidRPr="001B6E4D">
              <w:rPr>
                <w:rFonts w:ascii="標楷體" w:eastAsia="標楷體" w:hAnsi="標楷體"/>
                <w:kern w:val="0"/>
                <w:szCs w:val="22"/>
              </w:rPr>
              <w:t>發展署北基</w:t>
            </w:r>
            <w:proofErr w:type="gramEnd"/>
            <w:r w:rsidRPr="001B6E4D">
              <w:rPr>
                <w:rFonts w:ascii="標楷體" w:eastAsia="標楷體" w:hAnsi="標楷體"/>
                <w:kern w:val="0"/>
                <w:szCs w:val="22"/>
              </w:rPr>
              <w:t>宜花金馬分署編制表」等6項編制表，請查照案。</w:t>
            </w:r>
          </w:p>
        </w:tc>
        <w:tc>
          <w:tcPr>
            <w:tcW w:w="1747" w:type="dxa"/>
            <w:tcBorders>
              <w:top w:val="single" w:sz="6" w:space="0" w:color="auto"/>
              <w:left w:val="single" w:sz="6" w:space="0" w:color="auto"/>
              <w:bottom w:val="single" w:sz="6" w:space="0" w:color="auto"/>
              <w:right w:val="single" w:sz="6" w:space="0" w:color="auto"/>
            </w:tcBorders>
            <w:shd w:val="clear" w:color="auto" w:fill="auto"/>
          </w:tcPr>
          <w:p w14:paraId="614CAAC2"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勞動部</w:t>
            </w:r>
          </w:p>
          <w:p w14:paraId="553FB5F5"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114.10.31</w:t>
            </w:r>
          </w:p>
          <w:p w14:paraId="08345DE9"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（11-4-7）</w:t>
            </w: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5C036851" w14:textId="77777777" w:rsidR="00154295" w:rsidRPr="001B6E4D" w:rsidRDefault="00154295"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司法及法制、社會福利及衛生環境</w:t>
            </w:r>
          </w:p>
        </w:tc>
        <w:tc>
          <w:tcPr>
            <w:tcW w:w="1984" w:type="dxa"/>
            <w:tcBorders>
              <w:top w:val="single" w:sz="6" w:space="0" w:color="auto"/>
              <w:left w:val="single" w:sz="6" w:space="0" w:color="auto"/>
              <w:bottom w:val="single" w:sz="6" w:space="0" w:color="auto"/>
              <w:right w:val="single" w:sz="18" w:space="0" w:color="auto"/>
            </w:tcBorders>
            <w:shd w:val="clear" w:color="auto" w:fill="auto"/>
          </w:tcPr>
          <w:p w14:paraId="09C5DFDE" w14:textId="77777777" w:rsidR="00154295" w:rsidRPr="001B6E4D" w:rsidRDefault="0015429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1.已逾立法院職權行使法第61條所定審查期限，依規定提報院會存查。</w:t>
            </w:r>
          </w:p>
          <w:p w14:paraId="072A0578" w14:textId="77777777" w:rsidR="00154295" w:rsidRPr="001B6E4D" w:rsidRDefault="0015429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hint="eastAsia"/>
                <w:szCs w:val="22"/>
              </w:rPr>
              <w:br/>
              <w:t>115.4.10</w:t>
            </w:r>
            <w:r w:rsidRPr="001B6E4D">
              <w:rPr>
                <w:rFonts w:ascii="標楷體" w:eastAsia="標楷體" w:hAnsi="標楷體" w:hint="eastAsia"/>
                <w:szCs w:val="22"/>
              </w:rPr>
              <w:br/>
              <w:t>（11-5-6）准予備查。</w:t>
            </w:r>
          </w:p>
        </w:tc>
      </w:tr>
      <w:tr w:rsidR="00154295" w:rsidRPr="001B6E4D" w14:paraId="0DF852CF" w14:textId="77777777" w:rsidTr="00635F2A">
        <w:tc>
          <w:tcPr>
            <w:tcW w:w="658" w:type="dxa"/>
            <w:tcBorders>
              <w:top w:val="single" w:sz="6" w:space="0" w:color="auto"/>
              <w:left w:val="single" w:sz="18" w:space="0" w:color="auto"/>
              <w:bottom w:val="single" w:sz="6" w:space="0" w:color="auto"/>
              <w:right w:val="single" w:sz="6" w:space="0" w:color="auto"/>
            </w:tcBorders>
            <w:shd w:val="clear" w:color="auto" w:fill="auto"/>
          </w:tcPr>
          <w:p w14:paraId="63066DE9" w14:textId="77777777" w:rsidR="00154295" w:rsidRPr="001B6E4D" w:rsidRDefault="00154295" w:rsidP="003D1018">
            <w:pPr>
              <w:widowControl w:val="0"/>
              <w:overflowPunct w:val="0"/>
              <w:spacing w:line="300" w:lineRule="exact"/>
              <w:jc w:val="center"/>
              <w:rPr>
                <w:rFonts w:ascii="標楷體" w:eastAsia="標楷體" w:hAnsi="標楷體"/>
                <w:spacing w:val="-20"/>
              </w:rPr>
            </w:pPr>
            <w:r w:rsidRPr="001B6E4D">
              <w:rPr>
                <w:rFonts w:ascii="標楷體" w:eastAsia="標楷體" w:hAnsi="標楷體" w:hint="eastAsia"/>
                <w:spacing w:val="-20"/>
              </w:rPr>
              <w:t>3</w:t>
            </w:r>
          </w:p>
        </w:tc>
        <w:tc>
          <w:tcPr>
            <w:tcW w:w="2632" w:type="dxa"/>
            <w:tcBorders>
              <w:top w:val="single" w:sz="6" w:space="0" w:color="auto"/>
              <w:left w:val="single" w:sz="6" w:space="0" w:color="auto"/>
              <w:bottom w:val="single" w:sz="6" w:space="0" w:color="auto"/>
              <w:right w:val="single" w:sz="6" w:space="0" w:color="auto"/>
            </w:tcBorders>
            <w:shd w:val="clear" w:color="auto" w:fill="auto"/>
          </w:tcPr>
          <w:p w14:paraId="08B35F49" w14:textId="77777777" w:rsidR="00154295" w:rsidRPr="001B6E4D" w:rsidRDefault="00154295"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國防部函送「國家軍事博物館籌備處暫行組織規程」、「國家軍事博物館籌備處辦事細則」及「國家軍事博物館籌備處編制表」，請查照案。</w:t>
            </w:r>
          </w:p>
        </w:tc>
        <w:tc>
          <w:tcPr>
            <w:tcW w:w="1747" w:type="dxa"/>
            <w:tcBorders>
              <w:top w:val="single" w:sz="6" w:space="0" w:color="auto"/>
              <w:left w:val="single" w:sz="6" w:space="0" w:color="auto"/>
              <w:bottom w:val="single" w:sz="6" w:space="0" w:color="auto"/>
              <w:right w:val="single" w:sz="6" w:space="0" w:color="auto"/>
            </w:tcBorders>
            <w:shd w:val="clear" w:color="auto" w:fill="auto"/>
          </w:tcPr>
          <w:p w14:paraId="645B2C9D"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國防部</w:t>
            </w:r>
          </w:p>
          <w:p w14:paraId="18CB6C9D"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114.11.28</w:t>
            </w:r>
          </w:p>
          <w:p w14:paraId="4F1273E3"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（11-4-11）</w:t>
            </w: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11F4B5CB" w14:textId="77777777" w:rsidR="00154295" w:rsidRPr="001B6E4D" w:rsidRDefault="00154295"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司法及法制、外交及國防</w:t>
            </w:r>
          </w:p>
        </w:tc>
        <w:tc>
          <w:tcPr>
            <w:tcW w:w="1984" w:type="dxa"/>
            <w:tcBorders>
              <w:top w:val="single" w:sz="6" w:space="0" w:color="auto"/>
              <w:left w:val="single" w:sz="6" w:space="0" w:color="auto"/>
              <w:bottom w:val="single" w:sz="6" w:space="0" w:color="auto"/>
              <w:right w:val="single" w:sz="18" w:space="0" w:color="auto"/>
            </w:tcBorders>
            <w:shd w:val="clear" w:color="auto" w:fill="auto"/>
          </w:tcPr>
          <w:p w14:paraId="73EED68E" w14:textId="77777777" w:rsidR="00154295" w:rsidRPr="001B6E4D" w:rsidRDefault="0015429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1.已逾立法院職權行使法第61條所定審查期限，依規定提報院會存查。</w:t>
            </w:r>
          </w:p>
          <w:p w14:paraId="2CA9ED10" w14:textId="77777777" w:rsidR="00154295" w:rsidRPr="001B6E4D" w:rsidRDefault="0015429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hint="eastAsia"/>
                <w:szCs w:val="22"/>
              </w:rPr>
              <w:br/>
              <w:t>115.5.8</w:t>
            </w:r>
            <w:r w:rsidRPr="001B6E4D">
              <w:rPr>
                <w:rFonts w:ascii="標楷體" w:eastAsia="標楷體" w:hAnsi="標楷體" w:hint="eastAsia"/>
                <w:szCs w:val="22"/>
              </w:rPr>
              <w:br/>
              <w:t>（11-5-9）准予備查。</w:t>
            </w:r>
          </w:p>
        </w:tc>
      </w:tr>
      <w:tr w:rsidR="00154295" w:rsidRPr="001B6E4D" w14:paraId="76F13166" w14:textId="77777777" w:rsidTr="00635F2A">
        <w:tc>
          <w:tcPr>
            <w:tcW w:w="658" w:type="dxa"/>
            <w:tcBorders>
              <w:top w:val="single" w:sz="6" w:space="0" w:color="auto"/>
              <w:left w:val="single" w:sz="18" w:space="0" w:color="auto"/>
              <w:bottom w:val="single" w:sz="18" w:space="0" w:color="auto"/>
              <w:right w:val="single" w:sz="6" w:space="0" w:color="auto"/>
            </w:tcBorders>
            <w:shd w:val="clear" w:color="auto" w:fill="auto"/>
          </w:tcPr>
          <w:p w14:paraId="0A8D9A6E" w14:textId="77777777" w:rsidR="00154295" w:rsidRPr="001B6E4D" w:rsidRDefault="00154295" w:rsidP="003D1018">
            <w:pPr>
              <w:widowControl w:val="0"/>
              <w:overflowPunct w:val="0"/>
              <w:spacing w:line="300" w:lineRule="exact"/>
              <w:jc w:val="center"/>
              <w:rPr>
                <w:rFonts w:ascii="標楷體" w:eastAsia="標楷體" w:hAnsi="標楷體"/>
                <w:spacing w:val="-20"/>
              </w:rPr>
            </w:pPr>
            <w:r w:rsidRPr="001B6E4D">
              <w:rPr>
                <w:rFonts w:ascii="標楷體" w:eastAsia="標楷體" w:hAnsi="標楷體" w:hint="eastAsia"/>
                <w:spacing w:val="-20"/>
              </w:rPr>
              <w:t>4</w:t>
            </w:r>
          </w:p>
        </w:tc>
        <w:tc>
          <w:tcPr>
            <w:tcW w:w="2632" w:type="dxa"/>
            <w:tcBorders>
              <w:top w:val="single" w:sz="6" w:space="0" w:color="auto"/>
              <w:left w:val="single" w:sz="6" w:space="0" w:color="auto"/>
              <w:bottom w:val="single" w:sz="18" w:space="0" w:color="auto"/>
              <w:right w:val="single" w:sz="6" w:space="0" w:color="auto"/>
            </w:tcBorders>
            <w:shd w:val="clear" w:color="auto" w:fill="auto"/>
          </w:tcPr>
          <w:p w14:paraId="756A2F85" w14:textId="77777777" w:rsidR="00154295" w:rsidRPr="001B6E4D" w:rsidRDefault="00154295"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司法院函送「法庭錄音錄影公開播送實施辦法」，請查照案。</w:t>
            </w:r>
          </w:p>
        </w:tc>
        <w:tc>
          <w:tcPr>
            <w:tcW w:w="1747" w:type="dxa"/>
            <w:tcBorders>
              <w:top w:val="single" w:sz="6" w:space="0" w:color="auto"/>
              <w:left w:val="single" w:sz="6" w:space="0" w:color="auto"/>
              <w:bottom w:val="single" w:sz="18" w:space="0" w:color="auto"/>
              <w:right w:val="single" w:sz="6" w:space="0" w:color="auto"/>
            </w:tcBorders>
            <w:shd w:val="clear" w:color="auto" w:fill="auto"/>
          </w:tcPr>
          <w:p w14:paraId="05ADFF0D"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司法院</w:t>
            </w:r>
          </w:p>
          <w:p w14:paraId="7F1E4167"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114.10.31</w:t>
            </w:r>
          </w:p>
          <w:p w14:paraId="46C008A6" w14:textId="77777777" w:rsidR="00154295" w:rsidRPr="001B6E4D" w:rsidRDefault="00154295"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（11-4-7）</w:t>
            </w:r>
          </w:p>
        </w:tc>
        <w:tc>
          <w:tcPr>
            <w:tcW w:w="1701" w:type="dxa"/>
            <w:tcBorders>
              <w:top w:val="single" w:sz="6" w:space="0" w:color="auto"/>
              <w:left w:val="single" w:sz="6" w:space="0" w:color="auto"/>
              <w:bottom w:val="single" w:sz="18" w:space="0" w:color="auto"/>
              <w:right w:val="single" w:sz="6" w:space="0" w:color="auto"/>
            </w:tcBorders>
            <w:shd w:val="clear" w:color="auto" w:fill="auto"/>
          </w:tcPr>
          <w:p w14:paraId="5018A870" w14:textId="77777777" w:rsidR="00154295" w:rsidRPr="001B6E4D" w:rsidRDefault="00154295"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w:t>
            </w:r>
          </w:p>
        </w:tc>
        <w:tc>
          <w:tcPr>
            <w:tcW w:w="1984" w:type="dxa"/>
            <w:tcBorders>
              <w:top w:val="single" w:sz="6" w:space="0" w:color="auto"/>
              <w:left w:val="single" w:sz="6" w:space="0" w:color="auto"/>
              <w:bottom w:val="single" w:sz="18" w:space="0" w:color="auto"/>
              <w:right w:val="single" w:sz="18" w:space="0" w:color="auto"/>
            </w:tcBorders>
            <w:shd w:val="clear" w:color="auto" w:fill="auto"/>
          </w:tcPr>
          <w:p w14:paraId="5D02AC40" w14:textId="77777777" w:rsidR="00154295" w:rsidRPr="001B6E4D" w:rsidRDefault="0015429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1.本會</w:t>
            </w:r>
            <w:r w:rsidRPr="001B6E4D">
              <w:rPr>
                <w:rFonts w:ascii="標楷體" w:eastAsia="標楷體" w:hAnsi="標楷體"/>
                <w:szCs w:val="22"/>
              </w:rPr>
              <w:br/>
              <w:t>114.11.20</w:t>
            </w:r>
            <w:r w:rsidRPr="001B6E4D">
              <w:rPr>
                <w:rFonts w:ascii="標楷體" w:eastAsia="標楷體" w:hAnsi="標楷體"/>
                <w:szCs w:val="22"/>
              </w:rPr>
              <w:br/>
            </w:r>
            <w:r w:rsidRPr="001B6E4D">
              <w:rPr>
                <w:rFonts w:ascii="標楷體" w:eastAsia="標楷體" w:hAnsi="標楷體" w:hint="eastAsia"/>
                <w:szCs w:val="22"/>
              </w:rPr>
              <w:t>(11-4-10)報告及</w:t>
            </w:r>
            <w:proofErr w:type="gramStart"/>
            <w:r w:rsidRPr="001B6E4D">
              <w:rPr>
                <w:rFonts w:ascii="標楷體" w:eastAsia="標楷體" w:hAnsi="標楷體" w:hint="eastAsia"/>
                <w:szCs w:val="22"/>
              </w:rPr>
              <w:t>詢</w:t>
            </w:r>
            <w:proofErr w:type="gramEnd"/>
            <w:r w:rsidRPr="001B6E4D">
              <w:rPr>
                <w:rFonts w:ascii="標楷體" w:eastAsia="標楷體" w:hAnsi="標楷體" w:hint="eastAsia"/>
                <w:szCs w:val="22"/>
              </w:rPr>
              <w:t>答完畢，另定期繼續審查。</w:t>
            </w:r>
          </w:p>
          <w:p w14:paraId="4A96EBBD" w14:textId="77777777" w:rsidR="00154295" w:rsidRPr="001B6E4D" w:rsidRDefault="0015429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szCs w:val="22"/>
              </w:rPr>
              <w:br/>
              <w:t>115.4.10</w:t>
            </w:r>
            <w:r w:rsidRPr="001B6E4D">
              <w:rPr>
                <w:rFonts w:ascii="標楷體" w:eastAsia="標楷體" w:hAnsi="標楷體"/>
                <w:szCs w:val="22"/>
              </w:rPr>
              <w:br/>
            </w:r>
            <w:r w:rsidRPr="001B6E4D">
              <w:rPr>
                <w:rFonts w:ascii="標楷體" w:eastAsia="標楷體" w:hAnsi="標楷體" w:hint="eastAsia"/>
                <w:szCs w:val="22"/>
              </w:rPr>
              <w:t>（11-5-6）展</w:t>
            </w:r>
            <w:r w:rsidRPr="001B6E4D">
              <w:rPr>
                <w:rFonts w:ascii="標楷體" w:eastAsia="標楷體" w:hAnsi="標楷體" w:hint="eastAsia"/>
                <w:szCs w:val="22"/>
              </w:rPr>
              <w:lastRenderedPageBreak/>
              <w:t>延。</w:t>
            </w:r>
          </w:p>
          <w:p w14:paraId="1ADE9F5C" w14:textId="77777777" w:rsidR="00154295" w:rsidRPr="001B6E4D" w:rsidRDefault="0015429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3.已逾立法院職權行使法第61條所定審查期限，依規定提報院會存查。</w:t>
            </w:r>
          </w:p>
          <w:p w14:paraId="69943CE6" w14:textId="77777777" w:rsidR="00154295" w:rsidRPr="001B6E4D" w:rsidRDefault="0015429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4.院會</w:t>
            </w:r>
            <w:r w:rsidRPr="001B6E4D">
              <w:rPr>
                <w:rFonts w:ascii="標楷體" w:eastAsia="標楷體" w:hAnsi="標楷體" w:hint="eastAsia"/>
                <w:szCs w:val="22"/>
              </w:rPr>
              <w:br/>
              <w:t>115.8.14</w:t>
            </w:r>
            <w:r w:rsidRPr="001B6E4D">
              <w:rPr>
                <w:rFonts w:ascii="標楷體" w:eastAsia="標楷體" w:hAnsi="標楷體" w:hint="eastAsia"/>
                <w:szCs w:val="22"/>
              </w:rPr>
              <w:br/>
              <w:t>（11-5-22）准予備查。</w:t>
            </w:r>
          </w:p>
        </w:tc>
      </w:tr>
    </w:tbl>
    <w:p w14:paraId="211860F1" w14:textId="61AA82D1" w:rsidR="00635F2A" w:rsidRPr="001B6E4D" w:rsidRDefault="001C6266"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52" w:name="_Toc240446524"/>
      <w:r w:rsidRPr="001B6E4D">
        <w:rPr>
          <w:rFonts w:ascii="標楷體" w:hAnsi="標楷體" w:hint="eastAsia"/>
          <w:color w:val="000000" w:themeColor="text1"/>
          <w:szCs w:val="28"/>
          <w:shd w:val="clear" w:color="auto" w:fill="FFFFFF" w:themeFill="background1"/>
        </w:rPr>
        <w:lastRenderedPageBreak/>
        <w:t>［肆］</w:t>
      </w:r>
      <w:r w:rsidR="00635F2A" w:rsidRPr="001B6E4D">
        <w:rPr>
          <w:rFonts w:ascii="標楷體" w:hAnsi="標楷體" w:hint="eastAsia"/>
          <w:color w:val="000000" w:themeColor="text1"/>
          <w:szCs w:val="28"/>
          <w:shd w:val="clear" w:color="auto" w:fill="FFFFFF" w:themeFill="background1"/>
        </w:rPr>
        <w:t>同意權行使案1案</w:t>
      </w:r>
      <w:bookmarkStart w:id="153" w:name="_Hlk221010712"/>
      <w:bookmarkEnd w:id="152"/>
    </w:p>
    <w:tbl>
      <w:tblPr>
        <w:tblW w:w="8789"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709"/>
        <w:gridCol w:w="2648"/>
        <w:gridCol w:w="1747"/>
        <w:gridCol w:w="1701"/>
        <w:gridCol w:w="1984"/>
      </w:tblGrid>
      <w:tr w:rsidR="00635F2A" w:rsidRPr="001B6E4D" w14:paraId="18C9216E" w14:textId="77777777" w:rsidTr="0006693A">
        <w:tc>
          <w:tcPr>
            <w:tcW w:w="709" w:type="dxa"/>
            <w:shd w:val="clear" w:color="auto" w:fill="auto"/>
          </w:tcPr>
          <w:p w14:paraId="3F4BCE06" w14:textId="77777777" w:rsidR="00635F2A" w:rsidRPr="001B6E4D" w:rsidRDefault="00635F2A"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b/>
                <w:spacing w:val="-20"/>
                <w:szCs w:val="22"/>
              </w:rPr>
              <w:t>序號</w:t>
            </w:r>
          </w:p>
        </w:tc>
        <w:tc>
          <w:tcPr>
            <w:tcW w:w="2648" w:type="dxa"/>
            <w:shd w:val="clear" w:color="auto" w:fill="auto"/>
          </w:tcPr>
          <w:p w14:paraId="5A2B992A" w14:textId="77777777" w:rsidR="00635F2A" w:rsidRPr="001B6E4D" w:rsidRDefault="00635F2A"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b/>
                <w:spacing w:val="-20"/>
                <w:szCs w:val="22"/>
              </w:rPr>
              <w:t>議案名稱</w:t>
            </w:r>
          </w:p>
        </w:tc>
        <w:tc>
          <w:tcPr>
            <w:tcW w:w="1747" w:type="dxa"/>
            <w:shd w:val="clear" w:color="auto" w:fill="auto"/>
          </w:tcPr>
          <w:p w14:paraId="559FCA0E" w14:textId="77777777" w:rsidR="00635F2A" w:rsidRPr="001B6E4D" w:rsidRDefault="00635F2A" w:rsidP="003D1018">
            <w:pPr>
              <w:widowControl w:val="0"/>
              <w:kinsoku w:val="0"/>
              <w:overflowPunct w:val="0"/>
              <w:spacing w:line="300" w:lineRule="exact"/>
              <w:rPr>
                <w:rFonts w:ascii="標楷體" w:eastAsia="標楷體" w:hAnsi="標楷體"/>
                <w:b/>
                <w:spacing w:val="-20"/>
                <w:szCs w:val="22"/>
              </w:rPr>
            </w:pPr>
            <w:r w:rsidRPr="001B6E4D">
              <w:rPr>
                <w:rFonts w:ascii="標楷體" w:eastAsia="標楷體" w:hAnsi="標楷體"/>
                <w:b/>
                <w:spacing w:val="-20"/>
                <w:szCs w:val="22"/>
              </w:rPr>
              <w:t>提案機關、院會交付日期 (會次)</w:t>
            </w:r>
          </w:p>
        </w:tc>
        <w:tc>
          <w:tcPr>
            <w:tcW w:w="1701" w:type="dxa"/>
            <w:shd w:val="clear" w:color="auto" w:fill="auto"/>
          </w:tcPr>
          <w:p w14:paraId="6E176734" w14:textId="77777777" w:rsidR="00635F2A" w:rsidRPr="001B6E4D" w:rsidRDefault="00635F2A"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b/>
                <w:spacing w:val="-20"/>
                <w:szCs w:val="22"/>
              </w:rPr>
              <w:t>審查委員會</w:t>
            </w:r>
          </w:p>
        </w:tc>
        <w:tc>
          <w:tcPr>
            <w:tcW w:w="1984" w:type="dxa"/>
            <w:shd w:val="clear" w:color="auto" w:fill="auto"/>
          </w:tcPr>
          <w:p w14:paraId="12DF3A38" w14:textId="77777777" w:rsidR="00635F2A" w:rsidRPr="001B6E4D" w:rsidRDefault="00635F2A"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hint="eastAsia"/>
                <w:b/>
                <w:color w:val="000000"/>
                <w:spacing w:val="-20"/>
                <w:szCs w:val="22"/>
              </w:rPr>
              <w:t>審查、審議</w:t>
            </w:r>
            <w:r w:rsidRPr="001B6E4D">
              <w:rPr>
                <w:rFonts w:ascii="標楷體" w:eastAsia="標楷體" w:hAnsi="標楷體"/>
                <w:b/>
                <w:spacing w:val="-20"/>
                <w:szCs w:val="22"/>
              </w:rPr>
              <w:t>情形</w:t>
            </w:r>
          </w:p>
        </w:tc>
      </w:tr>
      <w:tr w:rsidR="00635F2A" w:rsidRPr="001B6E4D" w14:paraId="277CA71E" w14:textId="77777777" w:rsidTr="0006693A">
        <w:tc>
          <w:tcPr>
            <w:tcW w:w="709" w:type="dxa"/>
            <w:shd w:val="clear" w:color="auto" w:fill="auto"/>
          </w:tcPr>
          <w:p w14:paraId="77143D71" w14:textId="77777777" w:rsidR="00635F2A" w:rsidRPr="001B6E4D" w:rsidRDefault="00635F2A" w:rsidP="003D1018">
            <w:pPr>
              <w:widowControl w:val="0"/>
              <w:overflowPunct w:val="0"/>
              <w:spacing w:line="300" w:lineRule="exact"/>
              <w:jc w:val="center"/>
              <w:rPr>
                <w:rFonts w:ascii="標楷體" w:eastAsia="標楷體" w:hAnsi="標楷體"/>
                <w:spacing w:val="-20"/>
              </w:rPr>
            </w:pPr>
            <w:r w:rsidRPr="001B6E4D">
              <w:rPr>
                <w:rFonts w:ascii="標楷體" w:eastAsia="標楷體" w:hAnsi="標楷體" w:hint="eastAsia"/>
                <w:bCs/>
                <w:spacing w:val="-20"/>
              </w:rPr>
              <w:t>1</w:t>
            </w:r>
          </w:p>
        </w:tc>
        <w:tc>
          <w:tcPr>
            <w:tcW w:w="2648" w:type="dxa"/>
            <w:shd w:val="clear" w:color="auto" w:fill="auto"/>
          </w:tcPr>
          <w:p w14:paraId="5E861900" w14:textId="77777777" w:rsidR="00635F2A" w:rsidRPr="001B6E4D" w:rsidRDefault="00635F2A"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hint="eastAsia"/>
                <w:kern w:val="0"/>
                <w:szCs w:val="22"/>
              </w:rPr>
              <w:t>總統</w:t>
            </w:r>
            <w:proofErr w:type="gramStart"/>
            <w:r w:rsidRPr="001B6E4D">
              <w:rPr>
                <w:rFonts w:ascii="標楷體" w:eastAsia="標楷體" w:hAnsi="標楷體" w:hint="eastAsia"/>
                <w:kern w:val="0"/>
                <w:szCs w:val="22"/>
              </w:rPr>
              <w:t>咨</w:t>
            </w:r>
            <w:proofErr w:type="gramEnd"/>
            <w:r w:rsidRPr="001B6E4D">
              <w:rPr>
                <w:rFonts w:ascii="標楷體" w:eastAsia="標楷體" w:hAnsi="標楷體" w:hint="eastAsia"/>
                <w:kern w:val="0"/>
                <w:szCs w:val="22"/>
              </w:rPr>
              <w:t>，為最高檢察署檢察總長邢泰釗任期於115年5月7日屆滿，茲依法院組織法第66條第2項規定，提名徐錫祥為最高檢察署檢察總長，</w:t>
            </w:r>
            <w:proofErr w:type="gramStart"/>
            <w:r w:rsidRPr="001B6E4D">
              <w:rPr>
                <w:rFonts w:ascii="標楷體" w:eastAsia="標楷體" w:hAnsi="標楷體" w:hint="eastAsia"/>
                <w:kern w:val="0"/>
                <w:szCs w:val="22"/>
              </w:rPr>
              <w:t>咨</w:t>
            </w:r>
            <w:proofErr w:type="gramEnd"/>
            <w:r w:rsidRPr="001B6E4D">
              <w:rPr>
                <w:rFonts w:ascii="標楷體" w:eastAsia="標楷體" w:hAnsi="標楷體" w:hint="eastAsia"/>
                <w:kern w:val="0"/>
                <w:szCs w:val="22"/>
              </w:rPr>
              <w:t>請同意案。</w:t>
            </w:r>
          </w:p>
        </w:tc>
        <w:tc>
          <w:tcPr>
            <w:tcW w:w="1747" w:type="dxa"/>
            <w:shd w:val="clear" w:color="auto" w:fill="auto"/>
          </w:tcPr>
          <w:p w14:paraId="597A0611" w14:textId="77777777" w:rsidR="00635F2A" w:rsidRPr="001B6E4D" w:rsidRDefault="00635F2A" w:rsidP="003D1018">
            <w:pPr>
              <w:widowControl w:val="0"/>
              <w:overflowPunct w:val="0"/>
              <w:rPr>
                <w:rFonts w:ascii="標楷體" w:eastAsia="標楷體" w:hAnsi="標楷體"/>
                <w:kern w:val="0"/>
                <w:szCs w:val="22"/>
              </w:rPr>
            </w:pPr>
            <w:r w:rsidRPr="001B6E4D">
              <w:rPr>
                <w:rFonts w:ascii="標楷體" w:eastAsia="標楷體" w:hAnsi="標楷體"/>
                <w:kern w:val="0"/>
                <w:szCs w:val="22"/>
              </w:rPr>
              <w:t>總統</w:t>
            </w:r>
          </w:p>
          <w:p w14:paraId="394797B0" w14:textId="77777777" w:rsidR="00635F2A" w:rsidRPr="001B6E4D" w:rsidRDefault="00635F2A" w:rsidP="003D1018">
            <w:pPr>
              <w:widowControl w:val="0"/>
              <w:overflowPunct w:val="0"/>
              <w:rPr>
                <w:rFonts w:ascii="標楷體" w:eastAsia="標楷體" w:hAnsi="標楷體"/>
                <w:kern w:val="0"/>
                <w:szCs w:val="22"/>
              </w:rPr>
            </w:pPr>
            <w:r w:rsidRPr="001B6E4D">
              <w:rPr>
                <w:rFonts w:ascii="標楷體" w:eastAsia="標楷體" w:hAnsi="標楷體"/>
                <w:kern w:val="0"/>
                <w:szCs w:val="22"/>
              </w:rPr>
              <w:t>115.03.20</w:t>
            </w:r>
          </w:p>
          <w:p w14:paraId="0A9308CB" w14:textId="77777777" w:rsidR="00635F2A" w:rsidRPr="001B6E4D" w:rsidRDefault="00635F2A" w:rsidP="003D1018">
            <w:pPr>
              <w:widowControl w:val="0"/>
              <w:overflowPunct w:val="0"/>
              <w:rPr>
                <w:rFonts w:ascii="標楷體" w:eastAsia="標楷體" w:hAnsi="標楷體"/>
                <w:kern w:val="0"/>
                <w:szCs w:val="22"/>
              </w:rPr>
            </w:pPr>
            <w:r w:rsidRPr="001B6E4D">
              <w:rPr>
                <w:rFonts w:ascii="標楷體" w:eastAsia="標楷體" w:hAnsi="標楷體"/>
                <w:kern w:val="0"/>
                <w:szCs w:val="22"/>
              </w:rPr>
              <w:t>（11-5-4）</w:t>
            </w:r>
          </w:p>
        </w:tc>
        <w:tc>
          <w:tcPr>
            <w:tcW w:w="1701" w:type="dxa"/>
            <w:shd w:val="clear" w:color="auto" w:fill="auto"/>
          </w:tcPr>
          <w:p w14:paraId="45C4FCA8" w14:textId="77777777" w:rsidR="00635F2A" w:rsidRPr="001B6E4D" w:rsidRDefault="00635F2A"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司法及法制、內政</w:t>
            </w:r>
          </w:p>
          <w:p w14:paraId="311D999D" w14:textId="77777777" w:rsidR="00635F2A" w:rsidRPr="001B6E4D" w:rsidRDefault="00635F2A"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hint="eastAsia"/>
                <w:kern w:val="0"/>
                <w:szCs w:val="22"/>
              </w:rPr>
              <w:t>莊召集委員瑞雄</w:t>
            </w:r>
          </w:p>
        </w:tc>
        <w:tc>
          <w:tcPr>
            <w:tcW w:w="1984" w:type="dxa"/>
            <w:shd w:val="clear" w:color="auto" w:fill="auto"/>
          </w:tcPr>
          <w:p w14:paraId="579AFB0B" w14:textId="77777777" w:rsidR="00635F2A" w:rsidRPr="001B6E4D" w:rsidRDefault="00635F2A"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1.本會、內政兩委員會</w:t>
            </w:r>
            <w:r w:rsidRPr="001B6E4D">
              <w:rPr>
                <w:rFonts w:ascii="標楷體" w:eastAsia="標楷體" w:hAnsi="標楷體"/>
                <w:szCs w:val="22"/>
              </w:rPr>
              <w:br/>
            </w:r>
            <w:r w:rsidRPr="001B6E4D">
              <w:rPr>
                <w:rFonts w:ascii="標楷體" w:eastAsia="標楷體" w:hAnsi="標楷體" w:hint="eastAsia"/>
                <w:szCs w:val="22"/>
              </w:rPr>
              <w:t>115.4.8舉行審查「總統</w:t>
            </w:r>
            <w:proofErr w:type="gramStart"/>
            <w:r w:rsidRPr="001B6E4D">
              <w:rPr>
                <w:rFonts w:ascii="標楷體" w:eastAsia="標楷體" w:hAnsi="標楷體" w:hint="eastAsia"/>
                <w:szCs w:val="22"/>
              </w:rPr>
              <w:t>咨</w:t>
            </w:r>
            <w:proofErr w:type="gramEnd"/>
            <w:r w:rsidRPr="001B6E4D">
              <w:rPr>
                <w:rFonts w:ascii="標楷體" w:eastAsia="標楷體" w:hAnsi="標楷體" w:hint="eastAsia"/>
                <w:szCs w:val="22"/>
              </w:rPr>
              <w:t>，為最高檢察署檢察總長邢泰釗任期於115年5月7日屆滿，茲依法院組織法第66條第2項規定，提名徐錫祥為最高檢察署檢察總長，</w:t>
            </w:r>
            <w:proofErr w:type="gramStart"/>
            <w:r w:rsidRPr="001B6E4D">
              <w:rPr>
                <w:rFonts w:ascii="標楷體" w:eastAsia="標楷體" w:hAnsi="標楷體" w:hint="eastAsia"/>
                <w:szCs w:val="22"/>
              </w:rPr>
              <w:t>咨</w:t>
            </w:r>
            <w:proofErr w:type="gramEnd"/>
            <w:r w:rsidRPr="001B6E4D">
              <w:rPr>
                <w:rFonts w:ascii="標楷體" w:eastAsia="標楷體" w:hAnsi="標楷體" w:hint="eastAsia"/>
                <w:szCs w:val="22"/>
              </w:rPr>
              <w:t>請同意案」公聽會。</w:t>
            </w:r>
          </w:p>
          <w:p w14:paraId="6F9DBB1F" w14:textId="77777777" w:rsidR="00635F2A" w:rsidRPr="001B6E4D" w:rsidRDefault="00635F2A"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2.本會、內政委員會聯席會</w:t>
            </w:r>
            <w:r w:rsidRPr="001B6E4D">
              <w:rPr>
                <w:rFonts w:ascii="標楷體" w:eastAsia="標楷體" w:hAnsi="標楷體"/>
                <w:szCs w:val="22"/>
              </w:rPr>
              <w:br/>
            </w:r>
            <w:r w:rsidRPr="001B6E4D">
              <w:rPr>
                <w:rFonts w:ascii="標楷體" w:eastAsia="標楷體" w:hAnsi="標楷體" w:hint="eastAsia"/>
                <w:szCs w:val="22"/>
              </w:rPr>
              <w:t>115.4.9</w:t>
            </w:r>
            <w:r w:rsidRPr="001B6E4D">
              <w:rPr>
                <w:rFonts w:ascii="標楷體" w:eastAsia="標楷體" w:hAnsi="標楷體"/>
                <w:szCs w:val="22"/>
              </w:rPr>
              <w:br/>
            </w:r>
            <w:r w:rsidRPr="001B6E4D">
              <w:rPr>
                <w:rFonts w:ascii="標楷體" w:eastAsia="標楷體" w:hAnsi="標楷體" w:hint="eastAsia"/>
                <w:szCs w:val="22"/>
              </w:rPr>
              <w:t>(11-</w:t>
            </w:r>
            <w:r w:rsidRPr="001B6E4D">
              <w:rPr>
                <w:rFonts w:ascii="標楷體" w:eastAsia="標楷體" w:hAnsi="標楷體"/>
                <w:szCs w:val="22"/>
              </w:rPr>
              <w:t>5</w:t>
            </w:r>
            <w:r w:rsidRPr="001B6E4D">
              <w:rPr>
                <w:rFonts w:ascii="標楷體" w:eastAsia="標楷體" w:hAnsi="標楷體" w:hint="eastAsia"/>
                <w:szCs w:val="22"/>
              </w:rPr>
              <w:t>-1)審查完竣。</w:t>
            </w:r>
          </w:p>
          <w:p w14:paraId="11208435" w14:textId="77777777" w:rsidR="00635F2A" w:rsidRPr="001B6E4D" w:rsidRDefault="00635F2A"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3.院會</w:t>
            </w:r>
            <w:r w:rsidRPr="001B6E4D">
              <w:rPr>
                <w:rFonts w:ascii="標楷體" w:eastAsia="標楷體" w:hAnsi="標楷體"/>
                <w:szCs w:val="22"/>
              </w:rPr>
              <w:br/>
            </w:r>
            <w:r w:rsidRPr="001B6E4D">
              <w:rPr>
                <w:rFonts w:ascii="標楷體" w:eastAsia="標楷體" w:hAnsi="標楷體" w:hint="eastAsia"/>
                <w:szCs w:val="22"/>
              </w:rPr>
              <w:t>115.5.5</w:t>
            </w:r>
            <w:r w:rsidRPr="001B6E4D">
              <w:rPr>
                <w:rFonts w:ascii="標楷體" w:eastAsia="標楷體" w:hAnsi="標楷體"/>
                <w:szCs w:val="22"/>
              </w:rPr>
              <w:br/>
            </w:r>
            <w:r w:rsidRPr="001B6E4D">
              <w:rPr>
                <w:rFonts w:ascii="標楷體" w:eastAsia="標楷體" w:hAnsi="標楷體" w:hint="eastAsia"/>
                <w:szCs w:val="22"/>
              </w:rPr>
              <w:t>(11-5-8)徐錫祥未獲得超過全體立法委員二分之一之同意票，依法不同意為最高檢察署檢察總長。</w:t>
            </w:r>
          </w:p>
        </w:tc>
      </w:tr>
    </w:tbl>
    <w:p w14:paraId="59738880" w14:textId="2B37031C" w:rsidR="00635F2A" w:rsidRPr="001B6E4D" w:rsidRDefault="001C6266"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54" w:name="_Toc240446525"/>
      <w:bookmarkEnd w:id="153"/>
      <w:r w:rsidRPr="001B6E4D">
        <w:rPr>
          <w:rFonts w:ascii="標楷體" w:hAnsi="標楷體" w:hint="eastAsia"/>
          <w:color w:val="000000" w:themeColor="text1"/>
          <w:szCs w:val="28"/>
          <w:shd w:val="clear" w:color="auto" w:fill="FFFFFF" w:themeFill="background1"/>
        </w:rPr>
        <w:lastRenderedPageBreak/>
        <w:t>［伍］</w:t>
      </w:r>
      <w:r w:rsidR="00635F2A" w:rsidRPr="001B6E4D">
        <w:rPr>
          <w:rFonts w:ascii="標楷體" w:hAnsi="標楷體" w:hint="eastAsia"/>
          <w:color w:val="000000" w:themeColor="text1"/>
          <w:szCs w:val="28"/>
          <w:shd w:val="clear" w:color="auto" w:fill="FFFFFF" w:themeFill="background1"/>
        </w:rPr>
        <w:t>其他議案1案</w:t>
      </w:r>
      <w:bookmarkStart w:id="155" w:name="_Hlk221181150"/>
      <w:bookmarkEnd w:id="154"/>
    </w:p>
    <w:tbl>
      <w:tblPr>
        <w:tblW w:w="8778" w:type="dxa"/>
        <w:tblInd w:w="-2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698"/>
        <w:gridCol w:w="2694"/>
        <w:gridCol w:w="1701"/>
        <w:gridCol w:w="1701"/>
        <w:gridCol w:w="1984"/>
      </w:tblGrid>
      <w:tr w:rsidR="00635F2A" w:rsidRPr="001B6E4D" w14:paraId="78241ED2" w14:textId="77777777" w:rsidTr="00635F2A">
        <w:tc>
          <w:tcPr>
            <w:tcW w:w="698" w:type="dxa"/>
            <w:shd w:val="clear" w:color="auto" w:fill="auto"/>
          </w:tcPr>
          <w:p w14:paraId="40488279" w14:textId="77777777" w:rsidR="00635F2A" w:rsidRPr="001B6E4D" w:rsidRDefault="00635F2A"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序號</w:t>
            </w:r>
          </w:p>
        </w:tc>
        <w:tc>
          <w:tcPr>
            <w:tcW w:w="2694" w:type="dxa"/>
            <w:shd w:val="clear" w:color="auto" w:fill="auto"/>
          </w:tcPr>
          <w:p w14:paraId="38C22BFB" w14:textId="77777777" w:rsidR="00635F2A" w:rsidRPr="001B6E4D" w:rsidRDefault="00635F2A"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議案名稱</w:t>
            </w:r>
          </w:p>
        </w:tc>
        <w:tc>
          <w:tcPr>
            <w:tcW w:w="1701" w:type="dxa"/>
            <w:shd w:val="clear" w:color="auto" w:fill="auto"/>
          </w:tcPr>
          <w:p w14:paraId="0C1E15BA" w14:textId="77777777" w:rsidR="00635F2A" w:rsidRPr="001B6E4D" w:rsidRDefault="00635F2A"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提案委員或機關</w:t>
            </w:r>
          </w:p>
          <w:p w14:paraId="7934365E" w14:textId="77777777" w:rsidR="00635F2A" w:rsidRPr="001B6E4D" w:rsidRDefault="00635F2A"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院會交付日期</w:t>
            </w:r>
          </w:p>
          <w:p w14:paraId="63169E05" w14:textId="77777777" w:rsidR="00635F2A" w:rsidRPr="001B6E4D" w:rsidRDefault="00635F2A" w:rsidP="003D1018">
            <w:pPr>
              <w:widowControl w:val="0"/>
              <w:kinsoku w:val="0"/>
              <w:overflowPunct w:val="0"/>
              <w:autoSpaceDE w:val="0"/>
              <w:autoSpaceDN w:val="0"/>
              <w:snapToGrid w:val="0"/>
              <w:spacing w:line="300" w:lineRule="exact"/>
              <w:ind w:rightChars="-3" w:right="-7"/>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rPr>
              <w:t>(會次)</w:t>
            </w:r>
          </w:p>
        </w:tc>
        <w:tc>
          <w:tcPr>
            <w:tcW w:w="1701" w:type="dxa"/>
            <w:shd w:val="clear" w:color="auto" w:fill="auto"/>
          </w:tcPr>
          <w:p w14:paraId="75B918FA" w14:textId="77777777" w:rsidR="00635F2A" w:rsidRPr="001B6E4D" w:rsidRDefault="00635F2A"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hint="eastAsia"/>
                <w:b/>
                <w:color w:val="000000"/>
                <w:spacing w:val="-20"/>
                <w:szCs w:val="22"/>
              </w:rPr>
              <w:t>審查</w:t>
            </w:r>
            <w:r w:rsidRPr="001B6E4D">
              <w:rPr>
                <w:rFonts w:ascii="標楷體" w:eastAsia="標楷體" w:hAnsi="標楷體"/>
                <w:b/>
                <w:color w:val="000000"/>
                <w:spacing w:val="-20"/>
                <w:szCs w:val="22"/>
                <w:lang w:eastAsia="ko-KR"/>
              </w:rPr>
              <w:t>委員會</w:t>
            </w:r>
          </w:p>
        </w:tc>
        <w:tc>
          <w:tcPr>
            <w:tcW w:w="1984" w:type="dxa"/>
            <w:shd w:val="clear" w:color="auto" w:fill="auto"/>
          </w:tcPr>
          <w:p w14:paraId="590035FD" w14:textId="77777777" w:rsidR="00635F2A" w:rsidRPr="001B6E4D" w:rsidRDefault="00635F2A"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hint="eastAsia"/>
                <w:b/>
                <w:color w:val="000000"/>
                <w:spacing w:val="-20"/>
                <w:szCs w:val="22"/>
              </w:rPr>
              <w:t>審查</w:t>
            </w:r>
            <w:r w:rsidRPr="001B6E4D">
              <w:rPr>
                <w:rFonts w:ascii="標楷體" w:eastAsia="標楷體" w:hAnsi="標楷體"/>
                <w:b/>
                <w:color w:val="000000"/>
                <w:spacing w:val="-20"/>
                <w:szCs w:val="22"/>
                <w:lang w:eastAsia="ko-KR"/>
              </w:rPr>
              <w:t>情形</w:t>
            </w:r>
          </w:p>
        </w:tc>
      </w:tr>
      <w:tr w:rsidR="00635F2A" w:rsidRPr="001B6E4D" w14:paraId="12C2E56C" w14:textId="77777777" w:rsidTr="00635F2A">
        <w:tc>
          <w:tcPr>
            <w:tcW w:w="698" w:type="dxa"/>
            <w:shd w:val="clear" w:color="auto" w:fill="auto"/>
          </w:tcPr>
          <w:p w14:paraId="1CBF5E6B" w14:textId="77777777" w:rsidR="00635F2A" w:rsidRPr="001B6E4D" w:rsidRDefault="00635F2A"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hint="eastAsia"/>
                <w:szCs w:val="22"/>
              </w:rPr>
              <w:t>1</w:t>
            </w:r>
          </w:p>
        </w:tc>
        <w:tc>
          <w:tcPr>
            <w:tcW w:w="2694" w:type="dxa"/>
            <w:shd w:val="clear" w:color="auto" w:fill="auto"/>
          </w:tcPr>
          <w:p w14:paraId="7495F9B9" w14:textId="77777777" w:rsidR="00635F2A" w:rsidRPr="001B6E4D" w:rsidRDefault="00635F2A" w:rsidP="003D1018">
            <w:pPr>
              <w:widowControl w:val="0"/>
              <w:kinsoku w:val="0"/>
              <w:overflowPunct w:val="0"/>
              <w:autoSpaceDE w:val="0"/>
              <w:autoSpaceDN w:val="0"/>
              <w:snapToGrid w:val="0"/>
              <w:spacing w:line="300" w:lineRule="exact"/>
              <w:jc w:val="both"/>
              <w:rPr>
                <w:rFonts w:ascii="標楷體" w:eastAsia="標楷體" w:hAnsi="標楷體"/>
                <w:b/>
                <w:color w:val="000000"/>
                <w:spacing w:val="-20"/>
                <w:szCs w:val="22"/>
                <w:lang w:eastAsia="ko-KR"/>
              </w:rPr>
            </w:pPr>
            <w:r w:rsidRPr="001B6E4D">
              <w:rPr>
                <w:rFonts w:ascii="標楷體" w:eastAsia="標楷體" w:hAnsi="標楷體" w:hint="eastAsia"/>
                <w:color w:val="000000"/>
                <w:szCs w:val="22"/>
              </w:rPr>
              <w:t>本院委員洪孟楷、楊瓊瓔、王鴻薇、蘇清泉、林德福、廖偉翔、黃健豪、陳玉珍等52人擬具公民投票提案主文為：「您是否同意政府制定法律，針對性侵害犯罪、凌</w:t>
            </w:r>
            <w:proofErr w:type="gramStart"/>
            <w:r w:rsidRPr="001B6E4D">
              <w:rPr>
                <w:rFonts w:ascii="標楷體" w:eastAsia="標楷體" w:hAnsi="標楷體" w:hint="eastAsia"/>
                <w:color w:val="000000"/>
                <w:szCs w:val="22"/>
              </w:rPr>
              <w:t>虐</w:t>
            </w:r>
            <w:proofErr w:type="gramEnd"/>
            <w:r w:rsidRPr="001B6E4D">
              <w:rPr>
                <w:rFonts w:ascii="標楷體" w:eastAsia="標楷體" w:hAnsi="標楷體" w:hint="eastAsia"/>
                <w:color w:val="000000"/>
                <w:szCs w:val="22"/>
              </w:rPr>
              <w:t>幼童罪、以及高額詐欺罪、複合型態加重詐欺罪，增設由法院宣告並依法執行之特別刑法制度（鞭刑），以嚇阻犯罪持續發生？」請公決案。</w:t>
            </w:r>
          </w:p>
        </w:tc>
        <w:tc>
          <w:tcPr>
            <w:tcW w:w="1701" w:type="dxa"/>
            <w:shd w:val="clear" w:color="auto" w:fill="auto"/>
          </w:tcPr>
          <w:p w14:paraId="20F7F1CB" w14:textId="348F5855" w:rsidR="000023CB" w:rsidRPr="001B6E4D" w:rsidRDefault="00635F2A" w:rsidP="003D1018">
            <w:pPr>
              <w:widowControl w:val="0"/>
              <w:overflowPunct w:val="0"/>
              <w:jc w:val="both"/>
              <w:rPr>
                <w:rFonts w:ascii="標楷體" w:eastAsia="標楷體" w:hAnsi="標楷體"/>
                <w:color w:val="000000"/>
                <w:szCs w:val="22"/>
              </w:rPr>
            </w:pPr>
            <w:r w:rsidRPr="001B6E4D">
              <w:rPr>
                <w:rFonts w:ascii="標楷體" w:eastAsia="標楷體" w:hAnsi="標楷體" w:hint="eastAsia"/>
                <w:color w:val="000000"/>
                <w:szCs w:val="22"/>
              </w:rPr>
              <w:t>委員洪孟楷、楊瓊瓔、王鴻薇、蘇清泉、林德福、廖偉翔、黃健豪、陳玉珍</w:t>
            </w:r>
            <w:r w:rsidR="0047492C" w:rsidRPr="001B6E4D">
              <w:rPr>
                <w:rFonts w:ascii="標楷體" w:eastAsia="標楷體" w:hAnsi="標楷體"/>
                <w:color w:val="000000"/>
                <w:szCs w:val="22"/>
              </w:rPr>
              <w:br/>
            </w:r>
            <w:r w:rsidRPr="001B6E4D">
              <w:rPr>
                <w:rFonts w:ascii="標楷體" w:eastAsia="標楷體" w:hAnsi="標楷體" w:hint="eastAsia"/>
                <w:color w:val="000000"/>
                <w:szCs w:val="22"/>
              </w:rPr>
              <w:t>等52人</w:t>
            </w:r>
          </w:p>
          <w:p w14:paraId="389A19A8" w14:textId="66212792" w:rsidR="00635F2A" w:rsidRPr="001B6E4D" w:rsidRDefault="00635F2A" w:rsidP="003D1018">
            <w:pPr>
              <w:widowControl w:val="0"/>
              <w:overflowPunct w:val="0"/>
              <w:jc w:val="both"/>
              <w:rPr>
                <w:rFonts w:ascii="標楷體" w:eastAsia="標楷體" w:hAnsi="標楷體"/>
                <w:color w:val="000000"/>
                <w:szCs w:val="22"/>
              </w:rPr>
            </w:pPr>
            <w:r w:rsidRPr="001B6E4D">
              <w:rPr>
                <w:rFonts w:ascii="標楷體" w:eastAsia="標楷體" w:hAnsi="標楷體"/>
                <w:color w:val="000000"/>
                <w:szCs w:val="22"/>
              </w:rPr>
              <w:t>115.</w:t>
            </w:r>
            <w:r w:rsidRPr="001B6E4D">
              <w:rPr>
                <w:rFonts w:ascii="標楷體" w:eastAsia="標楷體" w:hAnsi="標楷體" w:hint="eastAsia"/>
                <w:color w:val="000000"/>
                <w:szCs w:val="22"/>
              </w:rPr>
              <w:t>07</w:t>
            </w:r>
            <w:r w:rsidRPr="001B6E4D">
              <w:rPr>
                <w:rFonts w:ascii="標楷體" w:eastAsia="標楷體" w:hAnsi="標楷體"/>
                <w:color w:val="000000"/>
                <w:szCs w:val="22"/>
              </w:rPr>
              <w:t>.</w:t>
            </w:r>
            <w:r w:rsidRPr="001B6E4D">
              <w:rPr>
                <w:rFonts w:ascii="標楷體" w:eastAsia="標楷體" w:hAnsi="標楷體" w:hint="eastAsia"/>
                <w:color w:val="000000"/>
                <w:szCs w:val="22"/>
              </w:rPr>
              <w:t>03</w:t>
            </w:r>
          </w:p>
          <w:p w14:paraId="0AD707CB" w14:textId="77777777" w:rsidR="00635F2A" w:rsidRPr="001B6E4D" w:rsidRDefault="00635F2A" w:rsidP="003D1018">
            <w:pPr>
              <w:widowControl w:val="0"/>
              <w:tabs>
                <w:tab w:val="left" w:pos="1089"/>
              </w:tabs>
              <w:kinsoku w:val="0"/>
              <w:overflowPunct w:val="0"/>
              <w:spacing w:line="300" w:lineRule="exact"/>
              <w:ind w:leftChars="-39" w:left="-94" w:rightChars="-12" w:right="-29"/>
              <w:jc w:val="both"/>
              <w:rPr>
                <w:rFonts w:ascii="標楷體" w:eastAsia="標楷體" w:hAnsi="標楷體"/>
                <w:b/>
                <w:color w:val="000000"/>
                <w:spacing w:val="-20"/>
                <w:szCs w:val="22"/>
              </w:rPr>
            </w:pPr>
            <w:r w:rsidRPr="001B6E4D">
              <w:rPr>
                <w:rFonts w:ascii="標楷體" w:eastAsia="標楷體" w:hAnsi="標楷體"/>
                <w:color w:val="000000"/>
                <w:szCs w:val="22"/>
              </w:rPr>
              <w:t>（11-</w:t>
            </w:r>
            <w:r w:rsidRPr="001B6E4D">
              <w:rPr>
                <w:rFonts w:ascii="標楷體" w:eastAsia="標楷體" w:hAnsi="標楷體" w:hint="eastAsia"/>
                <w:color w:val="000000"/>
                <w:szCs w:val="22"/>
              </w:rPr>
              <w:t>5</w:t>
            </w:r>
            <w:r w:rsidRPr="001B6E4D">
              <w:rPr>
                <w:rFonts w:ascii="標楷體" w:eastAsia="標楷體" w:hAnsi="標楷體"/>
                <w:color w:val="000000"/>
                <w:szCs w:val="22"/>
              </w:rPr>
              <w:t>-</w:t>
            </w:r>
            <w:r w:rsidRPr="001B6E4D">
              <w:rPr>
                <w:rFonts w:ascii="標楷體" w:eastAsia="標楷體" w:hAnsi="標楷體" w:hint="eastAsia"/>
                <w:color w:val="000000"/>
                <w:szCs w:val="22"/>
              </w:rPr>
              <w:t>16</w:t>
            </w:r>
            <w:r w:rsidRPr="001B6E4D">
              <w:rPr>
                <w:rFonts w:ascii="標楷體" w:eastAsia="標楷體" w:hAnsi="標楷體"/>
                <w:color w:val="000000"/>
                <w:szCs w:val="22"/>
              </w:rPr>
              <w:t>）</w:t>
            </w:r>
          </w:p>
        </w:tc>
        <w:tc>
          <w:tcPr>
            <w:tcW w:w="1701" w:type="dxa"/>
            <w:shd w:val="clear" w:color="auto" w:fill="auto"/>
          </w:tcPr>
          <w:p w14:paraId="7652AE57" w14:textId="77777777" w:rsidR="00635F2A" w:rsidRPr="001B6E4D" w:rsidRDefault="00635F2A"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w:t>
            </w:r>
            <w:r w:rsidRPr="001B6E4D">
              <w:rPr>
                <w:rFonts w:ascii="標楷體" w:eastAsia="標楷體" w:hAnsi="標楷體" w:hint="eastAsia"/>
                <w:kern w:val="0"/>
                <w:szCs w:val="22"/>
              </w:rPr>
              <w:t>、內政</w:t>
            </w:r>
          </w:p>
        </w:tc>
        <w:tc>
          <w:tcPr>
            <w:tcW w:w="1984" w:type="dxa"/>
            <w:shd w:val="clear" w:color="auto" w:fill="auto"/>
          </w:tcPr>
          <w:p w14:paraId="5CF73744" w14:textId="77777777" w:rsidR="00635F2A" w:rsidRPr="001B6E4D" w:rsidRDefault="00635F2A" w:rsidP="003D1018">
            <w:pPr>
              <w:widowControl w:val="0"/>
              <w:kinsoku w:val="0"/>
              <w:overflowPunct w:val="0"/>
              <w:autoSpaceDE w:val="0"/>
              <w:autoSpaceDN w:val="0"/>
              <w:snapToGrid w:val="0"/>
              <w:spacing w:line="300" w:lineRule="exact"/>
              <w:ind w:left="240" w:hangingChars="100" w:hanging="240"/>
              <w:rPr>
                <w:rFonts w:ascii="標楷體" w:eastAsia="標楷體" w:hAnsi="標楷體"/>
                <w:szCs w:val="22"/>
              </w:rPr>
            </w:pPr>
            <w:r w:rsidRPr="001B6E4D">
              <w:rPr>
                <w:rFonts w:ascii="標楷體" w:eastAsia="標楷體" w:hAnsi="標楷體" w:hint="eastAsia"/>
                <w:szCs w:val="22"/>
              </w:rPr>
              <w:t>1.院會</w:t>
            </w:r>
            <w:r w:rsidRPr="001B6E4D">
              <w:rPr>
                <w:rFonts w:ascii="標楷體" w:eastAsia="標楷體" w:hAnsi="標楷體"/>
                <w:szCs w:val="22"/>
              </w:rPr>
              <w:br/>
            </w:r>
            <w:r w:rsidRPr="001B6E4D">
              <w:rPr>
                <w:rFonts w:ascii="標楷體" w:eastAsia="標楷體" w:hAnsi="標楷體" w:hint="eastAsia"/>
                <w:szCs w:val="22"/>
              </w:rPr>
              <w:t>115.7.3</w:t>
            </w:r>
            <w:r w:rsidRPr="001B6E4D">
              <w:rPr>
                <w:rFonts w:ascii="標楷體" w:eastAsia="標楷體" w:hAnsi="標楷體"/>
                <w:szCs w:val="22"/>
              </w:rPr>
              <w:br/>
            </w:r>
            <w:r w:rsidRPr="001B6E4D">
              <w:rPr>
                <w:rFonts w:ascii="標楷體" w:eastAsia="標楷體" w:hAnsi="標楷體" w:hint="eastAsia"/>
                <w:szCs w:val="22"/>
              </w:rPr>
              <w:t>（1</w:t>
            </w:r>
            <w:r w:rsidRPr="001B6E4D">
              <w:rPr>
                <w:rFonts w:ascii="標楷體" w:eastAsia="標楷體" w:hAnsi="標楷體"/>
                <w:szCs w:val="22"/>
              </w:rPr>
              <w:t>1</w:t>
            </w:r>
            <w:r w:rsidRPr="001B6E4D">
              <w:rPr>
                <w:rFonts w:ascii="標楷體" w:eastAsia="標楷體" w:hAnsi="標楷體" w:hint="eastAsia"/>
                <w:szCs w:val="22"/>
              </w:rPr>
              <w:t>-5-16）</w:t>
            </w:r>
            <w:proofErr w:type="gramStart"/>
            <w:r w:rsidRPr="001B6E4D">
              <w:rPr>
                <w:rFonts w:ascii="標楷體" w:eastAsia="標楷體" w:hAnsi="標楷體" w:hint="eastAsia"/>
                <w:szCs w:val="22"/>
              </w:rPr>
              <w:t>逕</w:t>
            </w:r>
            <w:proofErr w:type="gramEnd"/>
            <w:r w:rsidRPr="001B6E4D">
              <w:rPr>
                <w:rFonts w:ascii="標楷體" w:eastAsia="標楷體" w:hAnsi="標楷體" w:hint="eastAsia"/>
                <w:szCs w:val="22"/>
              </w:rPr>
              <w:t>付二讀。</w:t>
            </w:r>
          </w:p>
          <w:p w14:paraId="131008B1" w14:textId="77777777" w:rsidR="00635F2A" w:rsidRPr="001B6E4D" w:rsidRDefault="00635F2A" w:rsidP="003D1018">
            <w:pPr>
              <w:widowControl w:val="0"/>
              <w:kinsoku w:val="0"/>
              <w:overflowPunct w:val="0"/>
              <w:autoSpaceDE w:val="0"/>
              <w:autoSpaceDN w:val="0"/>
              <w:snapToGrid w:val="0"/>
              <w:spacing w:line="300" w:lineRule="exact"/>
              <w:ind w:left="240" w:hangingChars="100" w:hanging="240"/>
              <w:rPr>
                <w:rFonts w:ascii="標楷體" w:eastAsia="標楷體" w:hAnsi="標楷體"/>
                <w:szCs w:val="22"/>
              </w:rPr>
            </w:pPr>
            <w:r w:rsidRPr="001B6E4D">
              <w:rPr>
                <w:rFonts w:ascii="標楷體" w:eastAsia="標楷體" w:hAnsi="標楷體" w:hint="eastAsia"/>
                <w:szCs w:val="22"/>
              </w:rPr>
              <w:t>2.115.8.4黨團協商。</w:t>
            </w:r>
          </w:p>
          <w:p w14:paraId="692A31BC" w14:textId="77777777" w:rsidR="00635F2A" w:rsidRPr="001B6E4D" w:rsidRDefault="00635F2A" w:rsidP="003D1018">
            <w:pPr>
              <w:widowControl w:val="0"/>
              <w:kinsoku w:val="0"/>
              <w:overflowPunct w:val="0"/>
              <w:autoSpaceDE w:val="0"/>
              <w:autoSpaceDN w:val="0"/>
              <w:snapToGrid w:val="0"/>
              <w:spacing w:line="300" w:lineRule="exact"/>
              <w:ind w:left="240" w:hangingChars="100" w:hanging="240"/>
              <w:rPr>
                <w:rFonts w:ascii="標楷體" w:eastAsia="標楷體" w:hAnsi="標楷體"/>
                <w:szCs w:val="22"/>
              </w:rPr>
            </w:pPr>
            <w:r w:rsidRPr="001B6E4D">
              <w:rPr>
                <w:rFonts w:ascii="標楷體" w:eastAsia="標楷體" w:hAnsi="標楷體" w:hint="eastAsia"/>
                <w:szCs w:val="22"/>
              </w:rPr>
              <w:t>3.院會</w:t>
            </w:r>
            <w:r w:rsidRPr="001B6E4D">
              <w:rPr>
                <w:rFonts w:ascii="標楷體" w:eastAsia="標楷體" w:hAnsi="標楷體"/>
                <w:szCs w:val="22"/>
              </w:rPr>
              <w:br/>
            </w:r>
            <w:r w:rsidRPr="001B6E4D">
              <w:rPr>
                <w:rFonts w:ascii="標楷體" w:eastAsia="標楷體" w:hAnsi="標楷體" w:hint="eastAsia"/>
                <w:szCs w:val="22"/>
              </w:rPr>
              <w:t>115.8.14</w:t>
            </w:r>
            <w:r w:rsidRPr="001B6E4D">
              <w:rPr>
                <w:rFonts w:ascii="標楷體" w:eastAsia="標楷體" w:hAnsi="標楷體"/>
                <w:szCs w:val="22"/>
              </w:rPr>
              <w:br/>
            </w:r>
            <w:r w:rsidRPr="001B6E4D">
              <w:rPr>
                <w:rFonts w:ascii="標楷體" w:eastAsia="標楷體" w:hAnsi="標楷體" w:hint="eastAsia"/>
                <w:szCs w:val="22"/>
              </w:rPr>
              <w:t>（11-5-22）通過。</w:t>
            </w:r>
          </w:p>
        </w:tc>
      </w:tr>
    </w:tbl>
    <w:bookmarkEnd w:id="155"/>
    <w:p w14:paraId="604F4626" w14:textId="36E4C35C" w:rsidR="00D505C3" w:rsidRPr="001B6E4D" w:rsidRDefault="00D505C3" w:rsidP="003D1018">
      <w:pPr>
        <w:tabs>
          <w:tab w:val="left" w:pos="1605"/>
        </w:tabs>
        <w:overflowPunct w:val="0"/>
        <w:rPr>
          <w:rFonts w:ascii="標楷體" w:eastAsia="標楷體" w:hAnsi="標楷體"/>
          <w:sz w:val="28"/>
          <w:szCs w:val="28"/>
        </w:rPr>
        <w:sectPr w:rsidR="00D505C3" w:rsidRPr="001B6E4D" w:rsidSect="00B8553E">
          <w:pgSz w:w="11906" w:h="16838"/>
          <w:pgMar w:top="1440" w:right="1133" w:bottom="1440" w:left="1800" w:header="851" w:footer="992" w:gutter="0"/>
          <w:cols w:space="425"/>
          <w:docGrid w:type="lines" w:linePitch="360"/>
        </w:sectPr>
      </w:pPr>
      <w:r w:rsidRPr="001B6E4D">
        <w:rPr>
          <w:rFonts w:ascii="標楷體" w:eastAsia="標楷體" w:hAnsi="標楷體"/>
          <w:sz w:val="28"/>
          <w:szCs w:val="28"/>
        </w:rPr>
        <w:tab/>
      </w:r>
    </w:p>
    <w:p w14:paraId="29A5C05F" w14:textId="3FA3B83E" w:rsidR="006268B5" w:rsidRPr="001B6E4D" w:rsidRDefault="006268B5" w:rsidP="003D1018">
      <w:pPr>
        <w:keepNext/>
        <w:overflowPunct w:val="0"/>
        <w:spacing w:afterLines="50" w:after="180" w:line="520" w:lineRule="exact"/>
        <w:jc w:val="both"/>
        <w:outlineLvl w:val="0"/>
        <w:rPr>
          <w:rFonts w:ascii="標楷體" w:eastAsia="標楷體" w:hAnsi="標楷體"/>
          <w:b/>
          <w:bCs/>
          <w:color w:val="000000" w:themeColor="text1"/>
          <w:kern w:val="52"/>
          <w:sz w:val="32"/>
          <w:szCs w:val="32"/>
          <w:shd w:val="clear" w:color="auto" w:fill="FFFFFF"/>
        </w:rPr>
      </w:pPr>
      <w:bookmarkStart w:id="156" w:name="_Toc240446526"/>
      <w:r w:rsidRPr="001B6E4D">
        <w:rPr>
          <w:rFonts w:ascii="標楷體" w:eastAsia="標楷體" w:hAnsi="標楷體"/>
          <w:b/>
          <w:bCs/>
          <w:color w:val="000000" w:themeColor="text1"/>
          <w:kern w:val="52"/>
          <w:sz w:val="28"/>
          <w:szCs w:val="28"/>
          <w:shd w:val="clear" w:color="auto" w:fill="FFFFFF"/>
        </w:rPr>
        <w:lastRenderedPageBreak/>
        <w:t>肆、</w:t>
      </w:r>
      <w:r w:rsidRPr="001B6E4D">
        <w:rPr>
          <w:rFonts w:ascii="標楷體" w:eastAsia="標楷體" w:hAnsi="標楷體" w:hint="eastAsia"/>
          <w:b/>
          <w:bCs/>
          <w:color w:val="000000" w:themeColor="text1"/>
          <w:kern w:val="52"/>
          <w:sz w:val="28"/>
          <w:szCs w:val="28"/>
          <w:shd w:val="clear" w:color="auto" w:fill="FFFFFF"/>
        </w:rPr>
        <w:t>本會期院會通過之議案</w:t>
      </w:r>
      <w:r w:rsidR="00C85872" w:rsidRPr="001B6E4D">
        <w:rPr>
          <w:rFonts w:ascii="標楷體" w:eastAsia="標楷體" w:hAnsi="標楷體" w:hint="eastAsia"/>
          <w:b/>
          <w:bCs/>
          <w:color w:val="000000" w:themeColor="text1"/>
          <w:kern w:val="52"/>
          <w:sz w:val="28"/>
          <w:szCs w:val="28"/>
          <w:shd w:val="clear" w:color="auto" w:fill="FFFFFF"/>
        </w:rPr>
        <w:t>202</w:t>
      </w:r>
      <w:r w:rsidRPr="001B6E4D">
        <w:rPr>
          <w:rFonts w:ascii="標楷體" w:eastAsia="標楷體" w:hAnsi="標楷體" w:hint="eastAsia"/>
          <w:b/>
          <w:bCs/>
          <w:color w:val="000000" w:themeColor="text1"/>
          <w:kern w:val="52"/>
          <w:sz w:val="28"/>
          <w:szCs w:val="28"/>
          <w:shd w:val="clear" w:color="auto" w:fill="FFFFFF"/>
        </w:rPr>
        <w:t>案</w:t>
      </w:r>
      <w:bookmarkEnd w:id="156"/>
    </w:p>
    <w:p w14:paraId="56D1C74A" w14:textId="31534CD2" w:rsidR="006268B5" w:rsidRPr="001B6E4D" w:rsidRDefault="006268B5" w:rsidP="003D1018">
      <w:pPr>
        <w:keepNext/>
        <w:tabs>
          <w:tab w:val="left" w:pos="709"/>
          <w:tab w:val="left" w:pos="4395"/>
          <w:tab w:val="left" w:pos="5954"/>
        </w:tabs>
        <w:kinsoku w:val="0"/>
        <w:overflowPunct w:val="0"/>
        <w:topLinePunct/>
        <w:adjustRightInd w:val="0"/>
        <w:snapToGrid w:val="0"/>
        <w:spacing w:beforeLines="50" w:before="180" w:afterLines="50" w:after="180" w:line="400" w:lineRule="exact"/>
        <w:ind w:leftChars="128" w:left="307" w:firstLine="567"/>
        <w:jc w:val="both"/>
        <w:textAlignment w:val="top"/>
        <w:rPr>
          <w:rFonts w:ascii="標楷體" w:eastAsia="標楷體" w:hAnsi="標楷體"/>
          <w:bCs/>
          <w:color w:val="000000" w:themeColor="text1"/>
          <w:kern w:val="52"/>
          <w:sz w:val="32"/>
          <w:szCs w:val="32"/>
          <w:shd w:val="clear" w:color="auto" w:fill="FFFFFF"/>
        </w:rPr>
      </w:pPr>
      <w:bookmarkStart w:id="157" w:name="_Toc510167634"/>
      <w:r w:rsidRPr="001B6E4D">
        <w:rPr>
          <w:rFonts w:ascii="標楷體" w:eastAsia="標楷體" w:hAnsi="標楷體"/>
          <w:bCs/>
          <w:color w:val="000000" w:themeColor="text1"/>
          <w:kern w:val="52"/>
          <w:sz w:val="28"/>
          <w:szCs w:val="28"/>
          <w:shd w:val="clear" w:color="auto" w:fill="FFFFFF"/>
        </w:rPr>
        <w:t>本會期，院會通過本會審</w:t>
      </w:r>
      <w:proofErr w:type="gramStart"/>
      <w:r w:rsidRPr="001B6E4D">
        <w:rPr>
          <w:rFonts w:ascii="標楷體" w:eastAsia="標楷體" w:hAnsi="標楷體"/>
          <w:bCs/>
          <w:color w:val="000000" w:themeColor="text1"/>
          <w:kern w:val="52"/>
          <w:sz w:val="28"/>
          <w:szCs w:val="28"/>
          <w:shd w:val="clear" w:color="auto" w:fill="FFFFFF"/>
        </w:rPr>
        <w:t>竣</w:t>
      </w:r>
      <w:proofErr w:type="gramEnd"/>
      <w:r w:rsidRPr="001B6E4D">
        <w:rPr>
          <w:rFonts w:ascii="標楷體" w:eastAsia="標楷體" w:hAnsi="標楷體"/>
          <w:bCs/>
          <w:color w:val="000000" w:themeColor="text1"/>
          <w:kern w:val="52"/>
          <w:sz w:val="28"/>
          <w:szCs w:val="28"/>
          <w:shd w:val="clear" w:color="auto" w:fill="FFFFFF"/>
        </w:rPr>
        <w:t>提報之法律案</w:t>
      </w:r>
      <w:r w:rsidR="00C85872" w:rsidRPr="001B6E4D">
        <w:rPr>
          <w:rFonts w:ascii="標楷體" w:eastAsia="標楷體" w:hAnsi="標楷體" w:hint="eastAsia"/>
          <w:bCs/>
          <w:color w:val="000000" w:themeColor="text1"/>
          <w:kern w:val="52"/>
          <w:sz w:val="28"/>
          <w:szCs w:val="28"/>
          <w:shd w:val="clear" w:color="auto" w:fill="FFFFFF"/>
        </w:rPr>
        <w:t>193</w:t>
      </w:r>
      <w:r w:rsidRPr="001B6E4D">
        <w:rPr>
          <w:rFonts w:ascii="標楷體" w:eastAsia="標楷體" w:hAnsi="標楷體"/>
          <w:bCs/>
          <w:color w:val="000000" w:themeColor="text1"/>
          <w:kern w:val="52"/>
          <w:sz w:val="28"/>
          <w:szCs w:val="28"/>
          <w:shd w:val="clear" w:color="auto" w:fill="FFFFFF"/>
        </w:rPr>
        <w:t>案(組織法</w:t>
      </w:r>
      <w:r w:rsidRPr="001B6E4D">
        <w:rPr>
          <w:rFonts w:ascii="標楷體" w:eastAsia="標楷體" w:hAnsi="標楷體" w:hint="eastAsia"/>
          <w:bCs/>
          <w:color w:val="000000" w:themeColor="text1"/>
          <w:kern w:val="52"/>
          <w:sz w:val="28"/>
          <w:szCs w:val="28"/>
          <w:shd w:val="clear" w:color="auto" w:fill="FFFFFF"/>
        </w:rPr>
        <w:t>1</w:t>
      </w:r>
      <w:r w:rsidR="00C85872" w:rsidRPr="001B6E4D">
        <w:rPr>
          <w:rFonts w:ascii="標楷體" w:eastAsia="標楷體" w:hAnsi="標楷體" w:hint="eastAsia"/>
          <w:bCs/>
          <w:color w:val="000000" w:themeColor="text1"/>
          <w:kern w:val="52"/>
          <w:sz w:val="28"/>
          <w:szCs w:val="28"/>
          <w:shd w:val="clear" w:color="auto" w:fill="FFFFFF"/>
        </w:rPr>
        <w:t>02</w:t>
      </w:r>
      <w:r w:rsidRPr="001B6E4D">
        <w:rPr>
          <w:rFonts w:ascii="標楷體" w:eastAsia="標楷體" w:hAnsi="標楷體"/>
          <w:bCs/>
          <w:color w:val="000000" w:themeColor="text1"/>
          <w:kern w:val="52"/>
          <w:sz w:val="28"/>
          <w:szCs w:val="28"/>
          <w:shd w:val="clear" w:color="auto" w:fill="FFFFFF"/>
        </w:rPr>
        <w:t>案、作用法</w:t>
      </w:r>
      <w:r w:rsidR="00C85872" w:rsidRPr="001B6E4D">
        <w:rPr>
          <w:rFonts w:ascii="標楷體" w:eastAsia="標楷體" w:hAnsi="標楷體" w:hint="eastAsia"/>
          <w:bCs/>
          <w:color w:val="000000" w:themeColor="text1"/>
          <w:kern w:val="52"/>
          <w:sz w:val="28"/>
          <w:szCs w:val="28"/>
          <w:shd w:val="clear" w:color="auto" w:fill="FFFFFF"/>
        </w:rPr>
        <w:t>91</w:t>
      </w:r>
      <w:r w:rsidRPr="001B6E4D">
        <w:rPr>
          <w:rFonts w:ascii="標楷體" w:eastAsia="標楷體" w:hAnsi="標楷體"/>
          <w:bCs/>
          <w:color w:val="000000" w:themeColor="text1"/>
          <w:kern w:val="52"/>
          <w:sz w:val="28"/>
          <w:szCs w:val="28"/>
          <w:shd w:val="clear" w:color="auto" w:fill="FFFFFF"/>
        </w:rPr>
        <w:t>案)</w:t>
      </w:r>
      <w:r w:rsidRPr="001B6E4D">
        <w:rPr>
          <w:rFonts w:ascii="標楷體" w:eastAsia="標楷體" w:hAnsi="標楷體" w:hint="eastAsia"/>
          <w:bCs/>
          <w:color w:val="000000" w:themeColor="text1"/>
          <w:kern w:val="52"/>
          <w:sz w:val="28"/>
          <w:szCs w:val="28"/>
          <w:shd w:val="clear" w:color="auto" w:fill="FFFFFF"/>
        </w:rPr>
        <w:t>、</w:t>
      </w:r>
      <w:r w:rsidRPr="001B6E4D">
        <w:rPr>
          <w:rFonts w:ascii="標楷體" w:eastAsia="標楷體" w:hAnsi="標楷體"/>
          <w:bCs/>
          <w:color w:val="000000" w:themeColor="text1"/>
          <w:kern w:val="52"/>
          <w:sz w:val="28"/>
          <w:szCs w:val="28"/>
          <w:shd w:val="clear" w:color="auto" w:fill="FFFFFF"/>
        </w:rPr>
        <w:t>預</w:t>
      </w:r>
      <w:r w:rsidRPr="001B6E4D">
        <w:rPr>
          <w:rFonts w:ascii="標楷體" w:eastAsia="標楷體" w:hAnsi="標楷體" w:hint="eastAsia"/>
          <w:bCs/>
          <w:color w:val="000000" w:themeColor="text1"/>
          <w:kern w:val="52"/>
          <w:sz w:val="28"/>
          <w:szCs w:val="28"/>
          <w:shd w:val="clear" w:color="auto" w:fill="FFFFFF"/>
        </w:rPr>
        <w:t>（</w:t>
      </w:r>
      <w:r w:rsidRPr="001B6E4D">
        <w:rPr>
          <w:rFonts w:ascii="標楷體" w:eastAsia="標楷體" w:hAnsi="標楷體"/>
          <w:bCs/>
          <w:color w:val="000000" w:themeColor="text1"/>
          <w:kern w:val="52"/>
          <w:sz w:val="28"/>
          <w:szCs w:val="28"/>
          <w:shd w:val="clear" w:color="auto" w:fill="FFFFFF"/>
        </w:rPr>
        <w:t>決</w:t>
      </w:r>
      <w:r w:rsidRPr="001B6E4D">
        <w:rPr>
          <w:rFonts w:ascii="標楷體" w:eastAsia="標楷體" w:hAnsi="標楷體" w:hint="eastAsia"/>
          <w:bCs/>
          <w:color w:val="000000" w:themeColor="text1"/>
          <w:kern w:val="52"/>
          <w:sz w:val="28"/>
          <w:szCs w:val="28"/>
          <w:shd w:val="clear" w:color="auto" w:fill="FFFFFF"/>
        </w:rPr>
        <w:t>）</w:t>
      </w:r>
      <w:r w:rsidRPr="001B6E4D">
        <w:rPr>
          <w:rFonts w:ascii="標楷體" w:eastAsia="標楷體" w:hAnsi="標楷體"/>
          <w:bCs/>
          <w:color w:val="000000" w:themeColor="text1"/>
          <w:kern w:val="52"/>
          <w:sz w:val="28"/>
          <w:szCs w:val="28"/>
          <w:shd w:val="clear" w:color="auto" w:fill="FFFFFF"/>
        </w:rPr>
        <w:t>算案</w:t>
      </w:r>
      <w:r w:rsidR="009E498B" w:rsidRPr="001B6E4D">
        <w:rPr>
          <w:rFonts w:ascii="標楷體" w:eastAsia="標楷體" w:hAnsi="標楷體" w:hint="eastAsia"/>
          <w:bCs/>
          <w:color w:val="000000" w:themeColor="text1"/>
          <w:kern w:val="52"/>
          <w:sz w:val="28"/>
          <w:szCs w:val="28"/>
          <w:shd w:val="clear" w:color="auto" w:fill="FFFFFF"/>
        </w:rPr>
        <w:t>3</w:t>
      </w:r>
      <w:r w:rsidRPr="001B6E4D">
        <w:rPr>
          <w:rFonts w:ascii="標楷體" w:eastAsia="標楷體" w:hAnsi="標楷體"/>
          <w:bCs/>
          <w:color w:val="000000" w:themeColor="text1"/>
          <w:kern w:val="52"/>
          <w:sz w:val="28"/>
          <w:szCs w:val="28"/>
          <w:shd w:val="clear" w:color="auto" w:fill="FFFFFF"/>
        </w:rPr>
        <w:t>案</w:t>
      </w:r>
      <w:r w:rsidRPr="001B6E4D">
        <w:rPr>
          <w:rFonts w:ascii="標楷體" w:eastAsia="標楷體" w:hAnsi="標楷體" w:hint="eastAsia"/>
          <w:bCs/>
          <w:color w:val="000000" w:themeColor="text1"/>
          <w:kern w:val="52"/>
          <w:sz w:val="28"/>
          <w:szCs w:val="28"/>
          <w:shd w:val="clear" w:color="auto" w:fill="FFFFFF"/>
        </w:rPr>
        <w:t>、行政命令案</w:t>
      </w:r>
      <w:r w:rsidR="00C85872" w:rsidRPr="001B6E4D">
        <w:rPr>
          <w:rFonts w:ascii="標楷體" w:eastAsia="標楷體" w:hAnsi="標楷體" w:hint="eastAsia"/>
          <w:bCs/>
          <w:color w:val="000000" w:themeColor="text1"/>
          <w:kern w:val="52"/>
          <w:sz w:val="28"/>
          <w:szCs w:val="28"/>
          <w:shd w:val="clear" w:color="auto" w:fill="FFFFFF"/>
        </w:rPr>
        <w:t>4</w:t>
      </w:r>
      <w:r w:rsidRPr="001B6E4D">
        <w:rPr>
          <w:rFonts w:ascii="標楷體" w:eastAsia="標楷體" w:hAnsi="標楷體" w:hint="eastAsia"/>
          <w:bCs/>
          <w:color w:val="000000" w:themeColor="text1"/>
          <w:kern w:val="52"/>
          <w:sz w:val="28"/>
          <w:szCs w:val="28"/>
          <w:shd w:val="clear" w:color="auto" w:fill="FFFFFF"/>
        </w:rPr>
        <w:t>案</w:t>
      </w:r>
      <w:r w:rsidR="00EF7833" w:rsidRPr="001B6E4D">
        <w:rPr>
          <w:rFonts w:ascii="標楷體" w:eastAsia="標楷體" w:hAnsi="標楷體" w:hint="eastAsia"/>
          <w:bCs/>
          <w:color w:val="000000" w:themeColor="text1"/>
          <w:kern w:val="52"/>
          <w:sz w:val="28"/>
          <w:szCs w:val="28"/>
          <w:shd w:val="clear" w:color="auto" w:fill="FFFFFF"/>
        </w:rPr>
        <w:t>、</w:t>
      </w:r>
      <w:r w:rsidR="00C85872" w:rsidRPr="001B6E4D">
        <w:rPr>
          <w:rFonts w:ascii="標楷體" w:eastAsia="標楷體" w:hAnsi="標楷體" w:hint="eastAsia"/>
          <w:bCs/>
          <w:color w:val="000000" w:themeColor="text1"/>
          <w:kern w:val="52"/>
          <w:sz w:val="28"/>
          <w:szCs w:val="28"/>
          <w:shd w:val="clear" w:color="auto" w:fill="FFFFFF"/>
        </w:rPr>
        <w:t>同意權行使案1案、</w:t>
      </w:r>
      <w:r w:rsidR="00EF7833" w:rsidRPr="001B6E4D">
        <w:rPr>
          <w:rFonts w:ascii="標楷體" w:eastAsia="標楷體" w:hAnsi="標楷體" w:hint="eastAsia"/>
          <w:bCs/>
          <w:color w:val="000000" w:themeColor="text1"/>
          <w:kern w:val="52"/>
          <w:sz w:val="28"/>
          <w:szCs w:val="28"/>
          <w:shd w:val="clear" w:color="auto" w:fill="FFFFFF"/>
        </w:rPr>
        <w:t>其他議案</w:t>
      </w:r>
      <w:r w:rsidR="00C85872" w:rsidRPr="001B6E4D">
        <w:rPr>
          <w:rFonts w:ascii="標楷體" w:eastAsia="標楷體" w:hAnsi="標楷體" w:hint="eastAsia"/>
          <w:bCs/>
          <w:color w:val="000000" w:themeColor="text1"/>
          <w:kern w:val="52"/>
          <w:sz w:val="28"/>
          <w:szCs w:val="28"/>
          <w:shd w:val="clear" w:color="auto" w:fill="FFFFFF"/>
        </w:rPr>
        <w:t>1</w:t>
      </w:r>
      <w:r w:rsidR="00EF7833" w:rsidRPr="001B6E4D">
        <w:rPr>
          <w:rFonts w:ascii="標楷體" w:eastAsia="標楷體" w:hAnsi="標楷體" w:hint="eastAsia"/>
          <w:bCs/>
          <w:color w:val="000000" w:themeColor="text1"/>
          <w:kern w:val="52"/>
          <w:sz w:val="28"/>
          <w:szCs w:val="28"/>
          <w:shd w:val="clear" w:color="auto" w:fill="FFFFFF"/>
        </w:rPr>
        <w:t>案</w:t>
      </w:r>
      <w:r w:rsidRPr="001B6E4D">
        <w:rPr>
          <w:rFonts w:ascii="標楷體" w:eastAsia="標楷體" w:hAnsi="標楷體"/>
          <w:bCs/>
          <w:color w:val="000000" w:themeColor="text1"/>
          <w:kern w:val="52"/>
          <w:sz w:val="28"/>
          <w:szCs w:val="28"/>
          <w:shd w:val="clear" w:color="auto" w:fill="FFFFFF"/>
        </w:rPr>
        <w:t>，合計</w:t>
      </w:r>
      <w:r w:rsidR="00FA1319" w:rsidRPr="001B6E4D">
        <w:rPr>
          <w:rFonts w:ascii="標楷體" w:eastAsia="標楷體" w:hAnsi="標楷體" w:hint="eastAsia"/>
          <w:bCs/>
          <w:color w:val="000000" w:themeColor="text1"/>
          <w:kern w:val="52"/>
          <w:sz w:val="28"/>
          <w:szCs w:val="28"/>
          <w:shd w:val="clear" w:color="auto" w:fill="FFFFFF"/>
        </w:rPr>
        <w:t>202</w:t>
      </w:r>
      <w:r w:rsidRPr="001B6E4D">
        <w:rPr>
          <w:rFonts w:ascii="標楷體" w:eastAsia="標楷體" w:hAnsi="標楷體"/>
          <w:bCs/>
          <w:color w:val="000000" w:themeColor="text1"/>
          <w:kern w:val="52"/>
          <w:sz w:val="28"/>
          <w:szCs w:val="28"/>
          <w:shd w:val="clear" w:color="auto" w:fill="FFFFFF"/>
        </w:rPr>
        <w:t>案，詳如下列各表：</w:t>
      </w:r>
      <w:bookmarkEnd w:id="157"/>
    </w:p>
    <w:p w14:paraId="48D7465D" w14:textId="3EF71628" w:rsidR="006268B5" w:rsidRPr="001B6E4D" w:rsidRDefault="006268B5"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58" w:name="_Hlk221206300"/>
      <w:bookmarkStart w:id="159" w:name="_Toc240446527"/>
      <w:r w:rsidRPr="001B6E4D">
        <w:rPr>
          <w:rFonts w:ascii="標楷體" w:hAnsi="標楷體"/>
          <w:color w:val="000000" w:themeColor="text1"/>
          <w:szCs w:val="28"/>
          <w:shd w:val="clear" w:color="auto" w:fill="FFFFFF" w:themeFill="background1"/>
        </w:rPr>
        <w:t>［</w:t>
      </w:r>
      <w:r w:rsidRPr="001B6E4D">
        <w:rPr>
          <w:rFonts w:ascii="標楷體" w:hAnsi="標楷體" w:hint="eastAsia"/>
          <w:color w:val="000000" w:themeColor="text1"/>
          <w:szCs w:val="28"/>
          <w:shd w:val="clear" w:color="auto" w:fill="FFFFFF" w:themeFill="background1"/>
        </w:rPr>
        <w:t>壹</w:t>
      </w:r>
      <w:r w:rsidRPr="001B6E4D">
        <w:rPr>
          <w:rFonts w:ascii="標楷體" w:hAnsi="標楷體"/>
          <w:color w:val="000000" w:themeColor="text1"/>
          <w:szCs w:val="28"/>
          <w:shd w:val="clear" w:color="auto" w:fill="FFFFFF" w:themeFill="background1"/>
        </w:rPr>
        <w:t>］</w:t>
      </w:r>
      <w:bookmarkEnd w:id="158"/>
      <w:r w:rsidRPr="001B6E4D">
        <w:rPr>
          <w:rFonts w:ascii="標楷體" w:hAnsi="標楷體"/>
          <w:color w:val="000000" w:themeColor="text1"/>
          <w:szCs w:val="28"/>
          <w:shd w:val="clear" w:color="auto" w:fill="FFFFFF" w:themeFill="background1"/>
        </w:rPr>
        <w:t>法律</w:t>
      </w:r>
      <w:r w:rsidRPr="001B6E4D">
        <w:rPr>
          <w:rFonts w:ascii="標楷體" w:hAnsi="標楷體" w:hint="eastAsia"/>
          <w:color w:val="000000" w:themeColor="text1"/>
          <w:szCs w:val="28"/>
          <w:shd w:val="clear" w:color="auto" w:fill="FFFFFF" w:themeFill="background1"/>
        </w:rPr>
        <w:t>案</w:t>
      </w:r>
      <w:r w:rsidR="00C85872" w:rsidRPr="001B6E4D">
        <w:rPr>
          <w:rFonts w:ascii="標楷體" w:hAnsi="標楷體" w:hint="eastAsia"/>
          <w:szCs w:val="28"/>
          <w:shd w:val="clear" w:color="auto" w:fill="FFFFFF" w:themeFill="background1"/>
        </w:rPr>
        <w:t>193</w:t>
      </w:r>
      <w:r w:rsidRPr="001B6E4D">
        <w:rPr>
          <w:rFonts w:ascii="標楷體" w:hAnsi="標楷體"/>
          <w:szCs w:val="28"/>
          <w:shd w:val="clear" w:color="auto" w:fill="FFFFFF" w:themeFill="background1"/>
        </w:rPr>
        <w:t>案</w:t>
      </w:r>
      <w:bookmarkEnd w:id="159"/>
    </w:p>
    <w:p w14:paraId="2C1A6B66" w14:textId="33A42F06" w:rsidR="00B05C66" w:rsidRPr="001B6E4D" w:rsidRDefault="006268B5" w:rsidP="003D1018">
      <w:pPr>
        <w:pStyle w:val="affffff0"/>
        <w:kinsoku w:val="0"/>
        <w:overflowPunct w:val="0"/>
        <w:topLinePunct/>
        <w:spacing w:before="180" w:after="180"/>
        <w:ind w:leftChars="128" w:left="307" w:firstLineChars="200" w:firstLine="561"/>
        <w:rPr>
          <w:color w:val="000000" w:themeColor="text1"/>
          <w:szCs w:val="28"/>
          <w:shd w:val="clear" w:color="auto" w:fill="FFFFFF" w:themeFill="background1"/>
        </w:rPr>
      </w:pPr>
      <w:bookmarkStart w:id="160" w:name="_Toc240446528"/>
      <w:r w:rsidRPr="001B6E4D">
        <w:rPr>
          <w:rFonts w:hint="eastAsia"/>
          <w:color w:val="000000" w:themeColor="text1"/>
          <w:szCs w:val="28"/>
          <w:shd w:val="clear" w:color="auto" w:fill="FFFFFF" w:themeFill="background1"/>
        </w:rPr>
        <w:t>一、</w:t>
      </w:r>
      <w:r w:rsidRPr="001B6E4D">
        <w:rPr>
          <w:color w:val="000000" w:themeColor="text1"/>
          <w:szCs w:val="28"/>
          <w:shd w:val="clear" w:color="auto" w:fill="FFFFFF" w:themeFill="background1"/>
        </w:rPr>
        <w:t>組織法</w:t>
      </w:r>
      <w:r w:rsidR="00B05C66" w:rsidRPr="001B6E4D">
        <w:rPr>
          <w:rFonts w:hint="eastAsia"/>
          <w:color w:val="000000" w:themeColor="text1"/>
          <w:szCs w:val="28"/>
          <w:shd w:val="clear" w:color="auto" w:fill="FFFFFF" w:themeFill="background1"/>
        </w:rPr>
        <w:t>102</w:t>
      </w:r>
      <w:r w:rsidRPr="001B6E4D">
        <w:rPr>
          <w:rFonts w:hint="eastAsia"/>
          <w:color w:val="000000" w:themeColor="text1"/>
          <w:szCs w:val="28"/>
          <w:shd w:val="clear" w:color="auto" w:fill="FFFFFF" w:themeFill="background1"/>
        </w:rPr>
        <w:t>案</w:t>
      </w:r>
      <w:bookmarkEnd w:id="160"/>
    </w:p>
    <w:tbl>
      <w:tblPr>
        <w:tblW w:w="8878" w:type="dxa"/>
        <w:tblInd w:w="19"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516"/>
        <w:gridCol w:w="1113"/>
        <w:gridCol w:w="1500"/>
        <w:gridCol w:w="1536"/>
        <w:gridCol w:w="1460"/>
        <w:gridCol w:w="1682"/>
        <w:gridCol w:w="1071"/>
      </w:tblGrid>
      <w:tr w:rsidR="00B05C66" w:rsidRPr="001B6E4D" w14:paraId="4CC74710" w14:textId="77777777" w:rsidTr="0006693A">
        <w:trPr>
          <w:trHeight w:val="653"/>
        </w:trPr>
        <w:tc>
          <w:tcPr>
            <w:tcW w:w="516" w:type="dxa"/>
            <w:vMerge w:val="restart"/>
          </w:tcPr>
          <w:p w14:paraId="0C96DFBB"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序號</w:t>
            </w:r>
          </w:p>
        </w:tc>
        <w:tc>
          <w:tcPr>
            <w:tcW w:w="1113" w:type="dxa"/>
            <w:vMerge w:val="restart"/>
          </w:tcPr>
          <w:p w14:paraId="1311BAD7" w14:textId="77777777" w:rsidR="00B05C66" w:rsidRPr="001B6E4D" w:rsidRDefault="00B05C66" w:rsidP="003D1018">
            <w:pPr>
              <w:widowControl w:val="0"/>
              <w:kinsoku w:val="0"/>
              <w:overflowPunct w:val="0"/>
              <w:spacing w:line="300" w:lineRule="exact"/>
              <w:ind w:rightChars="13" w:right="31"/>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議案名稱</w:t>
            </w:r>
          </w:p>
        </w:tc>
        <w:tc>
          <w:tcPr>
            <w:tcW w:w="1500" w:type="dxa"/>
            <w:vMerge w:val="restart"/>
          </w:tcPr>
          <w:p w14:paraId="2A397C89" w14:textId="77777777" w:rsidR="00B05C66" w:rsidRPr="001B6E4D" w:rsidRDefault="00B05C66" w:rsidP="003D1018">
            <w:pPr>
              <w:widowControl w:val="0"/>
              <w:tabs>
                <w:tab w:val="left" w:pos="1089"/>
              </w:tabs>
              <w:kinsoku w:val="0"/>
              <w:overflowPunct w:val="0"/>
              <w:spacing w:line="300" w:lineRule="exact"/>
              <w:ind w:leftChars="-39" w:left="-94" w:rightChars="-12" w:right="-29"/>
              <w:jc w:val="both"/>
              <w:rPr>
                <w:rFonts w:ascii="標楷體" w:eastAsia="標楷體" w:hAnsi="標楷體"/>
                <w:b/>
                <w:color w:val="000000"/>
                <w:spacing w:val="-20"/>
                <w:szCs w:val="22"/>
              </w:rPr>
            </w:pPr>
            <w:r w:rsidRPr="001B6E4D">
              <w:rPr>
                <w:rFonts w:ascii="標楷體" w:eastAsia="標楷體" w:hAnsi="標楷體"/>
                <w:b/>
                <w:color w:val="000000"/>
                <w:spacing w:val="-20"/>
                <w:szCs w:val="22"/>
              </w:rPr>
              <w:t>提案委員或機關</w:t>
            </w:r>
          </w:p>
          <w:p w14:paraId="7A6B509C" w14:textId="77777777" w:rsidR="00B05C66" w:rsidRPr="001B6E4D" w:rsidRDefault="00B05C66"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院會交付日期</w:t>
            </w:r>
          </w:p>
          <w:p w14:paraId="02005D66" w14:textId="77777777" w:rsidR="00B05C66" w:rsidRPr="001B6E4D" w:rsidRDefault="00B05C66"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(會次)</w:t>
            </w:r>
          </w:p>
        </w:tc>
        <w:tc>
          <w:tcPr>
            <w:tcW w:w="1536" w:type="dxa"/>
            <w:vMerge w:val="restart"/>
          </w:tcPr>
          <w:p w14:paraId="630BB4BF" w14:textId="77777777" w:rsidR="00B05C66" w:rsidRPr="001B6E4D" w:rsidRDefault="00B05C66" w:rsidP="003D1018">
            <w:pPr>
              <w:widowControl w:val="0"/>
              <w:kinsoku w:val="0"/>
              <w:overflowPunct w:val="0"/>
              <w:spacing w:line="300" w:lineRule="exact"/>
              <w:ind w:leftChars="-80" w:left="-36" w:rightChars="-45" w:right="-108" w:hangingChars="78" w:hanging="156"/>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審查情形日期</w:t>
            </w:r>
            <w:r w:rsidRPr="001B6E4D">
              <w:rPr>
                <w:rFonts w:ascii="標楷體" w:eastAsia="標楷體" w:hAnsi="標楷體" w:hint="eastAsia"/>
                <w:b/>
                <w:color w:val="000000"/>
                <w:spacing w:val="-20"/>
                <w:szCs w:val="22"/>
              </w:rPr>
              <w:t xml:space="preserve"> </w:t>
            </w:r>
          </w:p>
          <w:p w14:paraId="5321E10C" w14:textId="77777777" w:rsidR="00B05C66" w:rsidRPr="001B6E4D" w:rsidRDefault="00B05C66" w:rsidP="003D1018">
            <w:pPr>
              <w:widowControl w:val="0"/>
              <w:kinsoku w:val="0"/>
              <w:overflowPunct w:val="0"/>
              <w:spacing w:line="300" w:lineRule="exact"/>
              <w:ind w:leftChars="-80" w:left="-36" w:rightChars="-45" w:right="-108" w:hangingChars="78" w:hanging="156"/>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(會次)</w:t>
            </w:r>
          </w:p>
        </w:tc>
        <w:tc>
          <w:tcPr>
            <w:tcW w:w="1460" w:type="dxa"/>
            <w:vMerge w:val="restart"/>
          </w:tcPr>
          <w:p w14:paraId="55C37C26" w14:textId="77777777" w:rsidR="00B05C66" w:rsidRPr="001B6E4D" w:rsidRDefault="00B05C66" w:rsidP="003D1018">
            <w:pPr>
              <w:widowControl w:val="0"/>
              <w:kinsoku w:val="0"/>
              <w:overflowPunct w:val="0"/>
              <w:spacing w:line="300" w:lineRule="exact"/>
              <w:ind w:leftChars="-45" w:hangingChars="54" w:hanging="108"/>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院會三讀通過日期(會次)</w:t>
            </w:r>
            <w:r w:rsidRPr="001B6E4D">
              <w:rPr>
                <w:rFonts w:ascii="標楷體" w:eastAsia="標楷體" w:hAnsi="標楷體" w:hint="eastAsia"/>
                <w:b/>
                <w:color w:val="000000"/>
                <w:spacing w:val="-20"/>
                <w:szCs w:val="22"/>
              </w:rPr>
              <w:t>、</w:t>
            </w:r>
            <w:proofErr w:type="gramStart"/>
            <w:r w:rsidRPr="001B6E4D">
              <w:rPr>
                <w:rFonts w:ascii="標楷體" w:eastAsia="標楷體" w:hAnsi="標楷體"/>
                <w:b/>
                <w:color w:val="000000"/>
                <w:spacing w:val="-20"/>
                <w:szCs w:val="22"/>
              </w:rPr>
              <w:t>咨</w:t>
            </w:r>
            <w:proofErr w:type="gramEnd"/>
            <w:r w:rsidRPr="001B6E4D">
              <w:rPr>
                <w:rFonts w:ascii="標楷體" w:eastAsia="標楷體" w:hAnsi="標楷體"/>
                <w:b/>
                <w:color w:val="000000"/>
                <w:spacing w:val="-20"/>
                <w:szCs w:val="22"/>
              </w:rPr>
              <w:t>請總統公布法律案名稱</w:t>
            </w:r>
          </w:p>
        </w:tc>
        <w:tc>
          <w:tcPr>
            <w:tcW w:w="1682" w:type="dxa"/>
          </w:tcPr>
          <w:p w14:paraId="477EA222"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hint="eastAsia"/>
                <w:b/>
                <w:color w:val="000000"/>
                <w:spacing w:val="-20"/>
                <w:szCs w:val="22"/>
              </w:rPr>
              <w:t>本院</w:t>
            </w:r>
            <w:r w:rsidRPr="001B6E4D">
              <w:rPr>
                <w:rFonts w:ascii="標楷體" w:eastAsia="標楷體" w:hAnsi="標楷體"/>
                <w:b/>
                <w:color w:val="000000"/>
                <w:spacing w:val="-20"/>
                <w:szCs w:val="22"/>
              </w:rPr>
              <w:t>咨</w:t>
            </w:r>
            <w:r w:rsidRPr="001B6E4D">
              <w:rPr>
                <w:rFonts w:ascii="標楷體" w:eastAsia="標楷體" w:hAnsi="標楷體" w:hint="eastAsia"/>
                <w:b/>
                <w:color w:val="000000"/>
                <w:spacing w:val="-20"/>
                <w:szCs w:val="22"/>
              </w:rPr>
              <w:t>文</w:t>
            </w:r>
          </w:p>
          <w:p w14:paraId="601ED482"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日期及文號</w:t>
            </w:r>
          </w:p>
        </w:tc>
        <w:tc>
          <w:tcPr>
            <w:tcW w:w="1071" w:type="dxa"/>
            <w:vMerge w:val="restart"/>
          </w:tcPr>
          <w:p w14:paraId="19CB571F"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總統府</w:t>
            </w:r>
          </w:p>
          <w:p w14:paraId="28D9F636"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公報</w:t>
            </w:r>
          </w:p>
        </w:tc>
      </w:tr>
      <w:tr w:rsidR="00B05C66" w:rsidRPr="001B6E4D" w14:paraId="613B238F" w14:textId="77777777" w:rsidTr="0006693A">
        <w:trPr>
          <w:trHeight w:val="629"/>
        </w:trPr>
        <w:tc>
          <w:tcPr>
            <w:tcW w:w="516" w:type="dxa"/>
            <w:vMerge/>
          </w:tcPr>
          <w:p w14:paraId="13FE1BAA" w14:textId="77777777" w:rsidR="00B05C66" w:rsidRPr="001B6E4D" w:rsidRDefault="00B05C66" w:rsidP="003D1018">
            <w:pPr>
              <w:widowControl w:val="0"/>
              <w:kinsoku w:val="0"/>
              <w:overflowPunct w:val="0"/>
              <w:spacing w:line="300" w:lineRule="exact"/>
              <w:jc w:val="center"/>
              <w:rPr>
                <w:rFonts w:ascii="標楷體" w:eastAsia="標楷體" w:hAnsi="標楷體"/>
                <w:color w:val="000000"/>
                <w:spacing w:val="-20"/>
                <w:szCs w:val="22"/>
              </w:rPr>
            </w:pPr>
          </w:p>
        </w:tc>
        <w:tc>
          <w:tcPr>
            <w:tcW w:w="1113" w:type="dxa"/>
            <w:vMerge/>
          </w:tcPr>
          <w:p w14:paraId="1677FCFC" w14:textId="77777777" w:rsidR="00B05C66" w:rsidRPr="001B6E4D" w:rsidRDefault="00B05C66" w:rsidP="003D1018">
            <w:pPr>
              <w:widowControl w:val="0"/>
              <w:kinsoku w:val="0"/>
              <w:overflowPunct w:val="0"/>
              <w:spacing w:line="300" w:lineRule="exact"/>
              <w:ind w:rightChars="-45" w:right="-108"/>
              <w:jc w:val="center"/>
              <w:rPr>
                <w:rFonts w:ascii="標楷體" w:eastAsia="標楷體" w:hAnsi="標楷體"/>
                <w:b/>
                <w:color w:val="000000"/>
                <w:spacing w:val="-20"/>
                <w:szCs w:val="22"/>
              </w:rPr>
            </w:pPr>
          </w:p>
        </w:tc>
        <w:tc>
          <w:tcPr>
            <w:tcW w:w="1500" w:type="dxa"/>
            <w:vMerge/>
          </w:tcPr>
          <w:p w14:paraId="14311A2E" w14:textId="77777777" w:rsidR="00B05C66" w:rsidRPr="001B6E4D" w:rsidRDefault="00B05C66" w:rsidP="003D1018">
            <w:pPr>
              <w:widowControl w:val="0"/>
              <w:kinsoku w:val="0"/>
              <w:overflowPunct w:val="0"/>
              <w:spacing w:line="300" w:lineRule="exact"/>
              <w:ind w:leftChars="-39" w:left="-94" w:rightChars="-45" w:right="-108"/>
              <w:jc w:val="center"/>
              <w:rPr>
                <w:rFonts w:ascii="標楷體" w:eastAsia="標楷體" w:hAnsi="標楷體"/>
                <w:b/>
                <w:color w:val="000000"/>
                <w:spacing w:val="-20"/>
                <w:szCs w:val="22"/>
              </w:rPr>
            </w:pPr>
          </w:p>
        </w:tc>
        <w:tc>
          <w:tcPr>
            <w:tcW w:w="1536" w:type="dxa"/>
            <w:vMerge/>
          </w:tcPr>
          <w:p w14:paraId="3AC606E4" w14:textId="77777777" w:rsidR="00B05C66" w:rsidRPr="001B6E4D" w:rsidRDefault="00B05C66" w:rsidP="003D1018">
            <w:pPr>
              <w:widowControl w:val="0"/>
              <w:kinsoku w:val="0"/>
              <w:overflowPunct w:val="0"/>
              <w:spacing w:line="300" w:lineRule="exact"/>
              <w:ind w:rightChars="-45" w:right="-108"/>
              <w:jc w:val="center"/>
              <w:rPr>
                <w:rFonts w:ascii="標楷體" w:eastAsia="標楷體" w:hAnsi="標楷體"/>
                <w:b/>
                <w:color w:val="000000"/>
                <w:spacing w:val="-20"/>
                <w:szCs w:val="22"/>
              </w:rPr>
            </w:pPr>
          </w:p>
        </w:tc>
        <w:tc>
          <w:tcPr>
            <w:tcW w:w="1460" w:type="dxa"/>
            <w:vMerge/>
          </w:tcPr>
          <w:p w14:paraId="5A032ACC"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p>
        </w:tc>
        <w:tc>
          <w:tcPr>
            <w:tcW w:w="1682" w:type="dxa"/>
          </w:tcPr>
          <w:p w14:paraId="468DC95F"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總統公布</w:t>
            </w:r>
          </w:p>
          <w:p w14:paraId="4873259E"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日期及文號</w:t>
            </w:r>
          </w:p>
        </w:tc>
        <w:tc>
          <w:tcPr>
            <w:tcW w:w="1071" w:type="dxa"/>
            <w:vMerge/>
          </w:tcPr>
          <w:p w14:paraId="0476EBA7"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p>
        </w:tc>
      </w:tr>
      <w:tr w:rsidR="00B05C66" w:rsidRPr="001B6E4D" w14:paraId="4ACA0A57" w14:textId="77777777" w:rsidTr="0006693A">
        <w:trPr>
          <w:trHeight w:val="645"/>
        </w:trPr>
        <w:tc>
          <w:tcPr>
            <w:tcW w:w="516" w:type="dxa"/>
          </w:tcPr>
          <w:p w14:paraId="34D00023"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AA21ABA"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法院組織法第一百零六</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27E82D8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委員翁曉玲</w:t>
            </w:r>
          </w:p>
          <w:p w14:paraId="1126A933" w14:textId="77777777" w:rsidR="00B05C66" w:rsidRPr="001B6E4D" w:rsidRDefault="00B05C66" w:rsidP="003D1018">
            <w:pPr>
              <w:widowControl w:val="0"/>
              <w:overflowPunct w:val="0"/>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1335BC42" w14:textId="77777777" w:rsidR="00B05C66" w:rsidRPr="001B6E4D" w:rsidRDefault="00B05C66" w:rsidP="003D1018">
            <w:pPr>
              <w:widowControl w:val="0"/>
              <w:overflowPunct w:val="0"/>
              <w:rPr>
                <w:rFonts w:ascii="標楷體" w:eastAsia="標楷體" w:hAnsi="標楷體"/>
                <w:color w:val="000000"/>
                <w:kern w:val="0"/>
                <w:szCs w:val="22"/>
              </w:rPr>
            </w:pPr>
            <w:r w:rsidRPr="001B6E4D">
              <w:rPr>
                <w:rFonts w:ascii="標楷體" w:eastAsia="標楷體" w:hAnsi="標楷體"/>
                <w:color w:val="000000"/>
                <w:kern w:val="0"/>
                <w:szCs w:val="22"/>
              </w:rPr>
              <w:t>114.04.25</w:t>
            </w:r>
          </w:p>
          <w:p w14:paraId="0F83E25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（11-3-9）</w:t>
            </w:r>
          </w:p>
        </w:tc>
        <w:tc>
          <w:tcPr>
            <w:tcW w:w="1536" w:type="dxa"/>
          </w:tcPr>
          <w:p w14:paraId="518E8CC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1.本會</w:t>
            </w:r>
            <w:r w:rsidRPr="001B6E4D">
              <w:rPr>
                <w:rFonts w:ascii="標楷體" w:eastAsia="標楷體" w:hAnsi="標楷體"/>
                <w:spacing w:val="-20"/>
                <w:kern w:val="0"/>
                <w:szCs w:val="22"/>
              </w:rPr>
              <w:br/>
              <w:t>114.6.11舉行「法院組織法有關司法公開透明修正立法之探討」公聽會。</w:t>
            </w:r>
          </w:p>
          <w:p w14:paraId="64BA929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2.本會</w:t>
            </w:r>
            <w:r w:rsidRPr="001B6E4D">
              <w:rPr>
                <w:rFonts w:ascii="標楷體" w:eastAsia="標楷體" w:hAnsi="標楷體"/>
                <w:spacing w:val="-20"/>
                <w:kern w:val="0"/>
                <w:szCs w:val="22"/>
              </w:rPr>
              <w:br/>
              <w:t>114.11.20</w:t>
            </w:r>
            <w:r w:rsidRPr="001B6E4D">
              <w:rPr>
                <w:rFonts w:ascii="標楷體" w:eastAsia="標楷體" w:hAnsi="標楷體"/>
                <w:spacing w:val="-20"/>
                <w:kern w:val="0"/>
                <w:szCs w:val="22"/>
              </w:rPr>
              <w:br/>
              <w:t>(11-4-10)報告及</w:t>
            </w:r>
            <w:proofErr w:type="gramStart"/>
            <w:r w:rsidRPr="001B6E4D">
              <w:rPr>
                <w:rFonts w:ascii="標楷體" w:eastAsia="標楷體" w:hAnsi="標楷體"/>
                <w:spacing w:val="-20"/>
                <w:kern w:val="0"/>
                <w:szCs w:val="22"/>
              </w:rPr>
              <w:t>詢</w:t>
            </w:r>
            <w:proofErr w:type="gramEnd"/>
            <w:r w:rsidRPr="001B6E4D">
              <w:rPr>
                <w:rFonts w:ascii="標楷體" w:eastAsia="標楷體" w:hAnsi="標楷體"/>
                <w:spacing w:val="-20"/>
                <w:kern w:val="0"/>
                <w:szCs w:val="22"/>
              </w:rPr>
              <w:t>答完畢，另定期繼續審查。</w:t>
            </w:r>
          </w:p>
          <w:p w14:paraId="649699D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w:t>
            </w:r>
            <w:r w:rsidRPr="001B6E4D">
              <w:rPr>
                <w:rFonts w:ascii="標楷體" w:eastAsia="標楷體" w:hAnsi="標楷體"/>
                <w:spacing w:val="-20"/>
                <w:kern w:val="0"/>
                <w:szCs w:val="22"/>
              </w:rPr>
              <w:t>本會</w:t>
            </w:r>
            <w:r w:rsidRPr="001B6E4D">
              <w:rPr>
                <w:rFonts w:ascii="標楷體" w:eastAsia="標楷體" w:hAnsi="標楷體"/>
                <w:spacing w:val="-20"/>
                <w:kern w:val="0"/>
                <w:szCs w:val="22"/>
              </w:rPr>
              <w:br/>
              <w:t>115.1.</w:t>
            </w:r>
            <w:r w:rsidRPr="001B6E4D">
              <w:rPr>
                <w:rFonts w:ascii="標楷體" w:eastAsia="標楷體" w:hAnsi="標楷體" w:hint="eastAsia"/>
                <w:spacing w:val="-20"/>
                <w:kern w:val="0"/>
                <w:szCs w:val="22"/>
              </w:rPr>
              <w:t>29</w:t>
            </w:r>
            <w:r w:rsidRPr="001B6E4D">
              <w:rPr>
                <w:rFonts w:ascii="標楷體" w:eastAsia="標楷體" w:hAnsi="標楷體"/>
                <w:spacing w:val="-20"/>
                <w:kern w:val="0"/>
                <w:szCs w:val="22"/>
              </w:rPr>
              <w:br/>
              <w:t>(11-4-1</w:t>
            </w:r>
            <w:r w:rsidRPr="001B6E4D">
              <w:rPr>
                <w:rFonts w:ascii="標楷體" w:eastAsia="標楷體" w:hAnsi="標楷體" w:hint="eastAsia"/>
                <w:spacing w:val="-20"/>
                <w:kern w:val="0"/>
                <w:szCs w:val="22"/>
              </w:rPr>
              <w:t>9</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審查完竣，不須交由黨團協商。</w:t>
            </w:r>
          </w:p>
        </w:tc>
        <w:tc>
          <w:tcPr>
            <w:tcW w:w="1460" w:type="dxa"/>
          </w:tcPr>
          <w:p w14:paraId="00980DDF"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6458CBCC"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4.17</w:t>
            </w:r>
          </w:p>
          <w:p w14:paraId="3D8F3C42"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7</w:t>
            </w:r>
            <w:r w:rsidRPr="001B6E4D">
              <w:rPr>
                <w:rFonts w:ascii="標楷體" w:eastAsia="標楷體" w:hAnsi="標楷體"/>
                <w:spacing w:val="-20"/>
                <w:kern w:val="0"/>
                <w:szCs w:val="22"/>
              </w:rPr>
              <w:t>)</w:t>
            </w:r>
          </w:p>
          <w:p w14:paraId="3B078B8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三讀修正第一百零六條條文。</w:t>
            </w:r>
          </w:p>
        </w:tc>
        <w:tc>
          <w:tcPr>
            <w:tcW w:w="1682" w:type="dxa"/>
          </w:tcPr>
          <w:p w14:paraId="2B8105A0"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115年5月6日台立院議字第1150701263號</w:t>
            </w:r>
          </w:p>
          <w:p w14:paraId="0FC1927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p w14:paraId="101C695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115年5月13日華總</w:t>
            </w:r>
            <w:proofErr w:type="gramStart"/>
            <w:r w:rsidRPr="001B6E4D">
              <w:rPr>
                <w:rFonts w:ascii="標楷體" w:eastAsia="標楷體" w:hAnsi="標楷體" w:hint="eastAsia"/>
                <w:color w:val="000000"/>
                <w:spacing w:val="-20"/>
                <w:szCs w:val="22"/>
              </w:rPr>
              <w:t>一義字第11500042661號</w:t>
            </w:r>
            <w:proofErr w:type="gramEnd"/>
          </w:p>
        </w:tc>
        <w:tc>
          <w:tcPr>
            <w:tcW w:w="1071" w:type="dxa"/>
          </w:tcPr>
          <w:p w14:paraId="2D0242D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r w:rsidRPr="001B6E4D">
              <w:rPr>
                <w:rFonts w:ascii="標楷體" w:eastAsia="標楷體" w:hAnsi="標楷體" w:hint="eastAsia"/>
                <w:color w:val="000000"/>
                <w:spacing w:val="-28"/>
                <w:szCs w:val="22"/>
              </w:rPr>
              <w:t>第7859號</w:t>
            </w:r>
          </w:p>
        </w:tc>
      </w:tr>
      <w:tr w:rsidR="00B05C66" w:rsidRPr="001B6E4D" w14:paraId="6201C500" w14:textId="77777777" w:rsidTr="0006693A">
        <w:trPr>
          <w:trHeight w:val="645"/>
        </w:trPr>
        <w:tc>
          <w:tcPr>
            <w:tcW w:w="516" w:type="dxa"/>
          </w:tcPr>
          <w:p w14:paraId="43FB9135"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4FE83C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53126E3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w:t>
            </w:r>
          </w:p>
          <w:p w14:paraId="051B16A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115.02.24</w:t>
            </w:r>
          </w:p>
          <w:p w14:paraId="7B4133B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（11-5-1）</w:t>
            </w:r>
          </w:p>
        </w:tc>
        <w:tc>
          <w:tcPr>
            <w:tcW w:w="1536" w:type="dxa"/>
            <w:vMerge w:val="restart"/>
          </w:tcPr>
          <w:p w14:paraId="0F693FD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本會、內政委員會聯席會</w:t>
            </w:r>
          </w:p>
          <w:p w14:paraId="53C388B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115.4.22</w:t>
            </w:r>
          </w:p>
          <w:p w14:paraId="0F603A8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(11-5-2)審查完竣，不須交由黨團協商。</w:t>
            </w:r>
          </w:p>
        </w:tc>
        <w:tc>
          <w:tcPr>
            <w:tcW w:w="1460" w:type="dxa"/>
            <w:vMerge w:val="restart"/>
          </w:tcPr>
          <w:p w14:paraId="79B33944"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6BA8E42E"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6.2</w:t>
            </w:r>
          </w:p>
          <w:p w14:paraId="4946A9ED"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12</w:t>
            </w:r>
            <w:r w:rsidRPr="001B6E4D">
              <w:rPr>
                <w:rFonts w:ascii="標楷體" w:eastAsia="標楷體" w:hAnsi="標楷體"/>
                <w:spacing w:val="-20"/>
                <w:kern w:val="0"/>
                <w:szCs w:val="22"/>
              </w:rPr>
              <w:t>)</w:t>
            </w:r>
          </w:p>
          <w:p w14:paraId="36F1D49F"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三讀修正第三條及第十一條條文。</w:t>
            </w:r>
          </w:p>
        </w:tc>
        <w:tc>
          <w:tcPr>
            <w:tcW w:w="1682" w:type="dxa"/>
            <w:vMerge w:val="restart"/>
          </w:tcPr>
          <w:p w14:paraId="7676A45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115年6月9日台立院議字第1150701992號</w:t>
            </w:r>
          </w:p>
          <w:p w14:paraId="408B698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p w14:paraId="3F5B7A3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115年6月17日華總</w:t>
            </w:r>
            <w:proofErr w:type="gramStart"/>
            <w:r w:rsidRPr="001B6E4D">
              <w:rPr>
                <w:rFonts w:ascii="標楷體" w:eastAsia="標楷體" w:hAnsi="標楷體" w:hint="eastAsia"/>
                <w:color w:val="000000"/>
                <w:spacing w:val="-20"/>
                <w:szCs w:val="22"/>
              </w:rPr>
              <w:t>一義字第11500054951號</w:t>
            </w:r>
            <w:proofErr w:type="gramEnd"/>
          </w:p>
        </w:tc>
        <w:tc>
          <w:tcPr>
            <w:tcW w:w="1071" w:type="dxa"/>
            <w:vMerge w:val="restart"/>
          </w:tcPr>
          <w:p w14:paraId="336C6F9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r w:rsidRPr="001B6E4D">
              <w:rPr>
                <w:rFonts w:ascii="標楷體" w:eastAsia="標楷體" w:hAnsi="標楷體" w:hint="eastAsia"/>
                <w:color w:val="000000"/>
                <w:spacing w:val="-28"/>
                <w:szCs w:val="22"/>
              </w:rPr>
              <w:t>第7867號</w:t>
            </w:r>
          </w:p>
        </w:tc>
      </w:tr>
      <w:tr w:rsidR="00B05C66" w:rsidRPr="001B6E4D" w14:paraId="24E1B113" w14:textId="77777777" w:rsidTr="0006693A">
        <w:trPr>
          <w:trHeight w:val="645"/>
        </w:trPr>
        <w:tc>
          <w:tcPr>
            <w:tcW w:w="516" w:type="dxa"/>
          </w:tcPr>
          <w:p w14:paraId="78EF8656"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8017C5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w:t>
            </w:r>
            <w:r w:rsidRPr="001B6E4D">
              <w:rPr>
                <w:rFonts w:ascii="標楷體" w:eastAsia="標楷體" w:hAnsi="標楷體"/>
                <w:color w:val="000000"/>
                <w:kern w:val="0"/>
                <w:szCs w:val="22"/>
              </w:rPr>
              <w:lastRenderedPageBreak/>
              <w:t>草案</w:t>
            </w:r>
          </w:p>
        </w:tc>
        <w:tc>
          <w:tcPr>
            <w:tcW w:w="1500" w:type="dxa"/>
          </w:tcPr>
          <w:p w14:paraId="0C0AF8A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委員張雅琳</w:t>
            </w:r>
          </w:p>
          <w:p w14:paraId="1BF1241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0D02338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115.03.20</w:t>
            </w:r>
          </w:p>
          <w:p w14:paraId="287FFCE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（11-5-4）</w:t>
            </w:r>
          </w:p>
        </w:tc>
        <w:tc>
          <w:tcPr>
            <w:tcW w:w="1536" w:type="dxa"/>
            <w:vMerge/>
          </w:tcPr>
          <w:p w14:paraId="5116774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5EB73B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4C38D9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2D1BF70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1F13E5D" w14:textId="77777777" w:rsidTr="0006693A">
        <w:trPr>
          <w:trHeight w:val="645"/>
        </w:trPr>
        <w:tc>
          <w:tcPr>
            <w:tcW w:w="516" w:type="dxa"/>
          </w:tcPr>
          <w:p w14:paraId="0152E958"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4CE745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3.海洋委員會海巡署組織法第三條及第十一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5F52F1B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委員莊瑞雄</w:t>
            </w:r>
          </w:p>
          <w:p w14:paraId="0C11092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0498CBB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74CB642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39CDE2A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2A7C8984"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6B461E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511D73D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AC16E6E" w14:textId="77777777" w:rsidTr="0006693A">
        <w:trPr>
          <w:trHeight w:val="645"/>
        </w:trPr>
        <w:tc>
          <w:tcPr>
            <w:tcW w:w="516" w:type="dxa"/>
          </w:tcPr>
          <w:p w14:paraId="4EF27862"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47013885"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4.海洋委員會海巡署組織法第三條及第十一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14E215E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委員沈發惠</w:t>
            </w:r>
          </w:p>
          <w:p w14:paraId="406EA1E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6F46A94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04D8309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74CD65E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06CA2BB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4FC410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2C57AE2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CCD9431" w14:textId="77777777" w:rsidTr="0006693A">
        <w:trPr>
          <w:trHeight w:val="645"/>
        </w:trPr>
        <w:tc>
          <w:tcPr>
            <w:tcW w:w="516" w:type="dxa"/>
          </w:tcPr>
          <w:p w14:paraId="29B63E64"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4F84404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5.海洋委員會海巡署組織法第三條及第十一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1FA35F6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598FCA4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7C51150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4D9FE58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0A35A3B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46D59EDB"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C3C246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7A4E66E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FE05F42" w14:textId="77777777" w:rsidTr="0006693A">
        <w:trPr>
          <w:trHeight w:val="645"/>
        </w:trPr>
        <w:tc>
          <w:tcPr>
            <w:tcW w:w="516" w:type="dxa"/>
          </w:tcPr>
          <w:p w14:paraId="65BAD62B"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4BB71C9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6.海洋委員會海巡署組織法第三條及第十一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4ACFC49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委員王美惠</w:t>
            </w:r>
          </w:p>
          <w:p w14:paraId="1FB492A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6D6A7E9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2988092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62D3048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5461FBE5"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E09714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5B4ACE7C"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277AABA" w14:textId="77777777" w:rsidTr="0006693A">
        <w:trPr>
          <w:trHeight w:val="645"/>
        </w:trPr>
        <w:tc>
          <w:tcPr>
            <w:tcW w:w="516" w:type="dxa"/>
          </w:tcPr>
          <w:p w14:paraId="3DB35C9D"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4F4D39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7.海洋委員會海巡署組織法第三條及第十一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5F67336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委員吳沛憶</w:t>
            </w:r>
          </w:p>
          <w:p w14:paraId="152C02E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4786E3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115.04.10</w:t>
            </w:r>
          </w:p>
          <w:p w14:paraId="2B2968C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（11-5-6）</w:t>
            </w:r>
          </w:p>
        </w:tc>
        <w:tc>
          <w:tcPr>
            <w:tcW w:w="1536" w:type="dxa"/>
            <w:vMerge/>
          </w:tcPr>
          <w:p w14:paraId="6EA5A5F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3DC9805"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0C0E6F0"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236846FA"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6F79461" w14:textId="77777777" w:rsidTr="0006693A">
        <w:trPr>
          <w:trHeight w:val="645"/>
        </w:trPr>
        <w:tc>
          <w:tcPr>
            <w:tcW w:w="516" w:type="dxa"/>
          </w:tcPr>
          <w:p w14:paraId="73DD8D77"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588FDA7"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8.海洋委員會海巡署組織法第三條及第十一</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4377A70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委員徐富</w:t>
            </w:r>
            <w:proofErr w:type="gramStart"/>
            <w:r w:rsidRPr="001B6E4D">
              <w:rPr>
                <w:rFonts w:ascii="標楷體" w:eastAsia="標楷體" w:hAnsi="標楷體"/>
                <w:color w:val="000000"/>
                <w:kern w:val="0"/>
                <w:szCs w:val="22"/>
              </w:rPr>
              <w:t>癸</w:t>
            </w:r>
            <w:proofErr w:type="gramEnd"/>
          </w:p>
          <w:p w14:paraId="60500D6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7A1E783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115.04.10</w:t>
            </w:r>
          </w:p>
          <w:p w14:paraId="7DF79DD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（11-5-6）</w:t>
            </w:r>
          </w:p>
        </w:tc>
        <w:tc>
          <w:tcPr>
            <w:tcW w:w="1536" w:type="dxa"/>
            <w:vMerge/>
          </w:tcPr>
          <w:p w14:paraId="1F70221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2BD8C178"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3582EEC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7B0E8454"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1142605F" w14:textId="77777777" w:rsidTr="0006693A">
        <w:trPr>
          <w:trHeight w:val="645"/>
        </w:trPr>
        <w:tc>
          <w:tcPr>
            <w:tcW w:w="516" w:type="dxa"/>
          </w:tcPr>
          <w:p w14:paraId="130455D6"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85DAB5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2C81FB3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w:t>
            </w:r>
          </w:p>
          <w:p w14:paraId="118F876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114.12.19</w:t>
            </w:r>
          </w:p>
          <w:p w14:paraId="4A4A887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（11-4-14）</w:t>
            </w:r>
          </w:p>
        </w:tc>
        <w:tc>
          <w:tcPr>
            <w:tcW w:w="1536" w:type="dxa"/>
            <w:vMerge w:val="restart"/>
          </w:tcPr>
          <w:p w14:paraId="2862BF8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1.第1-7案</w:t>
            </w:r>
          </w:p>
          <w:p w14:paraId="6F59BC7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60A0CE3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115.1.7</w:t>
            </w:r>
          </w:p>
          <w:p w14:paraId="141406D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(11-4-1)報告及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p>
          <w:p w14:paraId="5F5777C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2.第1-14案</w:t>
            </w:r>
          </w:p>
          <w:p w14:paraId="399A783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7603946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115.1.19</w:t>
            </w:r>
          </w:p>
          <w:p w14:paraId="0261F26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(11-4-2)審查完竣，須交由黨團協商。</w:t>
            </w:r>
          </w:p>
          <w:p w14:paraId="029CA34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3.115.4.9黨團協商。</w:t>
            </w:r>
          </w:p>
          <w:p w14:paraId="4E2F753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4.115.7.1黨團協商。</w:t>
            </w:r>
          </w:p>
        </w:tc>
        <w:tc>
          <w:tcPr>
            <w:tcW w:w="1460" w:type="dxa"/>
            <w:vMerge w:val="restart"/>
          </w:tcPr>
          <w:p w14:paraId="0DB09AD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院會</w:t>
            </w:r>
          </w:p>
          <w:p w14:paraId="4B30F07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w:t>
            </w:r>
            <w:r w:rsidRPr="001B6E4D">
              <w:rPr>
                <w:rFonts w:ascii="標楷體" w:eastAsia="標楷體" w:hAnsi="標楷體" w:hint="eastAsia"/>
                <w:color w:val="000000"/>
                <w:spacing w:val="-20"/>
                <w:szCs w:val="22"/>
              </w:rPr>
              <w:t>5</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8</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25</w:t>
            </w:r>
          </w:p>
          <w:p w14:paraId="2F85CE3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w:t>
            </w:r>
            <w:r w:rsidRPr="001B6E4D">
              <w:rPr>
                <w:rFonts w:ascii="標楷體" w:eastAsia="標楷體" w:hAnsi="標楷體" w:hint="eastAsia"/>
                <w:color w:val="000000"/>
                <w:spacing w:val="-20"/>
                <w:szCs w:val="22"/>
              </w:rPr>
              <w:t>5</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23</w:t>
            </w:r>
            <w:r w:rsidRPr="001B6E4D">
              <w:rPr>
                <w:rFonts w:ascii="標楷體" w:eastAsia="標楷體" w:hAnsi="標楷體"/>
                <w:color w:val="000000"/>
                <w:spacing w:val="-20"/>
                <w:szCs w:val="22"/>
              </w:rPr>
              <w:t>)</w:t>
            </w:r>
          </w:p>
          <w:p w14:paraId="3B44C44F"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三讀制定衛生</w:t>
            </w:r>
            <w:proofErr w:type="gramStart"/>
            <w:r w:rsidRPr="001B6E4D">
              <w:rPr>
                <w:rFonts w:ascii="標楷體" w:eastAsia="標楷體" w:hAnsi="標楷體" w:hint="eastAsia"/>
                <w:spacing w:val="-20"/>
                <w:kern w:val="0"/>
                <w:szCs w:val="22"/>
              </w:rPr>
              <w:t>福利部兒少</w:t>
            </w:r>
            <w:proofErr w:type="gramEnd"/>
            <w:r w:rsidRPr="001B6E4D">
              <w:rPr>
                <w:rFonts w:ascii="標楷體" w:eastAsia="標楷體" w:hAnsi="標楷體" w:hint="eastAsia"/>
                <w:spacing w:val="-20"/>
                <w:kern w:val="0"/>
                <w:szCs w:val="22"/>
              </w:rPr>
              <w:t>及家庭支持署組織法</w:t>
            </w:r>
            <w:r w:rsidRPr="001B6E4D">
              <w:rPr>
                <w:rFonts w:ascii="標楷體" w:eastAsia="標楷體" w:hAnsi="標楷體" w:hint="eastAsia"/>
                <w:color w:val="000000"/>
                <w:spacing w:val="-20"/>
                <w:szCs w:val="22"/>
              </w:rPr>
              <w:t>。</w:t>
            </w:r>
          </w:p>
        </w:tc>
        <w:tc>
          <w:tcPr>
            <w:tcW w:w="1682" w:type="dxa"/>
            <w:vMerge w:val="restart"/>
          </w:tcPr>
          <w:p w14:paraId="37745625" w14:textId="77777777" w:rsidR="00B05C66" w:rsidRDefault="00AD6D4E" w:rsidP="003D1018">
            <w:pPr>
              <w:widowControl w:val="0"/>
              <w:kinsoku w:val="0"/>
              <w:overflowPunct w:val="0"/>
              <w:spacing w:line="300" w:lineRule="exact"/>
              <w:rPr>
                <w:rFonts w:ascii="標楷體" w:eastAsia="標楷體" w:hAnsi="標楷體"/>
                <w:color w:val="000000"/>
                <w:spacing w:val="-20"/>
                <w:szCs w:val="22"/>
              </w:rPr>
            </w:pPr>
            <w:r w:rsidRPr="00AD6D4E">
              <w:rPr>
                <w:rFonts w:ascii="標楷體" w:eastAsia="標楷體" w:hAnsi="標楷體" w:hint="eastAsia"/>
                <w:color w:val="000000"/>
                <w:spacing w:val="-20"/>
                <w:szCs w:val="22"/>
              </w:rPr>
              <w:t>115年9月21日台立院議字第1150703464號</w:t>
            </w:r>
          </w:p>
          <w:p w14:paraId="406697B0" w14:textId="77777777" w:rsidR="00961046" w:rsidRDefault="00961046" w:rsidP="003D1018">
            <w:pPr>
              <w:widowControl w:val="0"/>
              <w:kinsoku w:val="0"/>
              <w:overflowPunct w:val="0"/>
              <w:spacing w:line="300" w:lineRule="exact"/>
              <w:rPr>
                <w:rFonts w:ascii="標楷體" w:eastAsia="標楷體" w:hAnsi="標楷體"/>
                <w:color w:val="000000"/>
                <w:spacing w:val="-20"/>
                <w:szCs w:val="22"/>
              </w:rPr>
            </w:pPr>
          </w:p>
          <w:p w14:paraId="582BEA9B" w14:textId="516CE2E8" w:rsidR="00961046" w:rsidRPr="001B6E4D" w:rsidRDefault="00961046" w:rsidP="003D1018">
            <w:pPr>
              <w:widowControl w:val="0"/>
              <w:kinsoku w:val="0"/>
              <w:overflowPunct w:val="0"/>
              <w:spacing w:line="300" w:lineRule="exact"/>
              <w:rPr>
                <w:rFonts w:ascii="標楷體" w:eastAsia="標楷體" w:hAnsi="標楷體" w:hint="eastAsia"/>
                <w:color w:val="000000"/>
                <w:spacing w:val="-20"/>
                <w:szCs w:val="22"/>
              </w:rPr>
            </w:pPr>
            <w:r w:rsidRPr="001B6E4D">
              <w:rPr>
                <w:rFonts w:ascii="標楷體" w:eastAsia="標楷體" w:hAnsi="標楷體" w:hint="eastAsia"/>
                <w:color w:val="000000"/>
                <w:spacing w:val="-20"/>
                <w:szCs w:val="22"/>
              </w:rPr>
              <w:t>115年</w:t>
            </w:r>
            <w:r>
              <w:rPr>
                <w:rFonts w:ascii="標楷體" w:eastAsia="標楷體" w:hAnsi="標楷體" w:hint="eastAsia"/>
                <w:color w:val="000000"/>
                <w:spacing w:val="-20"/>
                <w:szCs w:val="22"/>
              </w:rPr>
              <w:t>9</w:t>
            </w:r>
            <w:r w:rsidRPr="001B6E4D">
              <w:rPr>
                <w:rFonts w:ascii="標楷體" w:eastAsia="標楷體" w:hAnsi="標楷體" w:hint="eastAsia"/>
                <w:color w:val="000000"/>
                <w:spacing w:val="-20"/>
                <w:szCs w:val="22"/>
              </w:rPr>
              <w:t>月</w:t>
            </w:r>
            <w:r>
              <w:rPr>
                <w:rFonts w:ascii="標楷體" w:eastAsia="標楷體" w:hAnsi="標楷體" w:hint="eastAsia"/>
                <w:color w:val="000000"/>
                <w:spacing w:val="-20"/>
                <w:szCs w:val="22"/>
              </w:rPr>
              <w:t>30</w:t>
            </w:r>
            <w:r w:rsidRPr="001B6E4D">
              <w:rPr>
                <w:rFonts w:ascii="標楷體" w:eastAsia="標楷體" w:hAnsi="標楷體" w:hint="eastAsia"/>
                <w:color w:val="000000"/>
                <w:spacing w:val="-20"/>
                <w:szCs w:val="22"/>
              </w:rPr>
              <w:t>日華總</w:t>
            </w:r>
            <w:proofErr w:type="gramStart"/>
            <w:r w:rsidRPr="001B6E4D">
              <w:rPr>
                <w:rFonts w:ascii="標楷體" w:eastAsia="標楷體" w:hAnsi="標楷體" w:hint="eastAsia"/>
                <w:color w:val="000000"/>
                <w:spacing w:val="-20"/>
                <w:szCs w:val="22"/>
              </w:rPr>
              <w:t>一義字第115000</w:t>
            </w:r>
            <w:r>
              <w:rPr>
                <w:rFonts w:ascii="標楷體" w:eastAsia="標楷體" w:hAnsi="標楷體" w:hint="eastAsia"/>
                <w:color w:val="000000"/>
                <w:spacing w:val="-20"/>
                <w:szCs w:val="22"/>
              </w:rPr>
              <w:t>94151</w:t>
            </w:r>
            <w:r w:rsidRPr="001B6E4D">
              <w:rPr>
                <w:rFonts w:ascii="標楷體" w:eastAsia="標楷體" w:hAnsi="標楷體" w:hint="eastAsia"/>
                <w:color w:val="000000"/>
                <w:spacing w:val="-20"/>
                <w:szCs w:val="22"/>
              </w:rPr>
              <w:t>號</w:t>
            </w:r>
            <w:proofErr w:type="gramEnd"/>
          </w:p>
        </w:tc>
        <w:tc>
          <w:tcPr>
            <w:tcW w:w="1071" w:type="dxa"/>
            <w:vMerge w:val="restart"/>
          </w:tcPr>
          <w:p w14:paraId="27D42955" w14:textId="73325168" w:rsidR="00B05C66" w:rsidRPr="001B6E4D" w:rsidRDefault="00961046" w:rsidP="003D1018">
            <w:pPr>
              <w:widowControl w:val="0"/>
              <w:kinsoku w:val="0"/>
              <w:overflowPunct w:val="0"/>
              <w:spacing w:line="300" w:lineRule="exact"/>
              <w:jc w:val="both"/>
              <w:rPr>
                <w:rFonts w:ascii="標楷體" w:eastAsia="標楷體" w:hAnsi="標楷體"/>
                <w:color w:val="000000"/>
                <w:spacing w:val="-28"/>
                <w:szCs w:val="22"/>
              </w:rPr>
            </w:pPr>
            <w:r w:rsidRPr="00961046">
              <w:rPr>
                <w:rFonts w:ascii="標楷體" w:eastAsia="標楷體" w:hAnsi="標楷體" w:hint="eastAsia"/>
                <w:color w:val="000000"/>
                <w:spacing w:val="-28"/>
                <w:szCs w:val="22"/>
              </w:rPr>
              <w:t>第7</w:t>
            </w:r>
            <w:r>
              <w:rPr>
                <w:rFonts w:ascii="標楷體" w:eastAsia="標楷體" w:hAnsi="標楷體" w:hint="eastAsia"/>
                <w:color w:val="000000"/>
                <w:spacing w:val="-28"/>
                <w:szCs w:val="22"/>
              </w:rPr>
              <w:t>885</w:t>
            </w:r>
            <w:r w:rsidRPr="00961046">
              <w:rPr>
                <w:rFonts w:ascii="標楷體" w:eastAsia="標楷體" w:hAnsi="標楷體" w:hint="eastAsia"/>
                <w:color w:val="000000"/>
                <w:spacing w:val="-28"/>
                <w:szCs w:val="22"/>
              </w:rPr>
              <w:t>號</w:t>
            </w:r>
          </w:p>
        </w:tc>
      </w:tr>
      <w:tr w:rsidR="00B05C66" w:rsidRPr="001B6E4D" w14:paraId="0633E87F" w14:textId="77777777" w:rsidTr="0006693A">
        <w:trPr>
          <w:trHeight w:val="645"/>
        </w:trPr>
        <w:tc>
          <w:tcPr>
            <w:tcW w:w="516" w:type="dxa"/>
          </w:tcPr>
          <w:p w14:paraId="3A77E2B8"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4418E4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01FB0C3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委員林月琴</w:t>
            </w:r>
          </w:p>
          <w:p w14:paraId="170F463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4006398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114.12.19</w:t>
            </w:r>
          </w:p>
          <w:p w14:paraId="49D8BBD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（11-4-14）</w:t>
            </w:r>
          </w:p>
        </w:tc>
        <w:tc>
          <w:tcPr>
            <w:tcW w:w="1536" w:type="dxa"/>
            <w:vMerge/>
          </w:tcPr>
          <w:p w14:paraId="1AAB06D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2E332B5F"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C13A23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1844105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0617FD75" w14:textId="77777777" w:rsidTr="0006693A">
        <w:trPr>
          <w:trHeight w:val="645"/>
        </w:trPr>
        <w:tc>
          <w:tcPr>
            <w:tcW w:w="516" w:type="dxa"/>
          </w:tcPr>
          <w:p w14:paraId="106B1287"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6B275F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3.衛生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37649C6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29D04E0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374DD74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40499BB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62E8515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058457FC"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13023E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EDF42F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FA546E2" w14:textId="77777777" w:rsidTr="0006693A">
        <w:trPr>
          <w:trHeight w:val="645"/>
        </w:trPr>
        <w:tc>
          <w:tcPr>
            <w:tcW w:w="516" w:type="dxa"/>
          </w:tcPr>
          <w:p w14:paraId="6163262D"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3BC80CA"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4.衛生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61A5833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委員陳培瑜</w:t>
            </w:r>
          </w:p>
          <w:p w14:paraId="25A70FC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1513F28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394BB3E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2840973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50F679C4"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AAA2B0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D4232D8"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B52BA92" w14:textId="77777777" w:rsidTr="0006693A">
        <w:trPr>
          <w:trHeight w:val="645"/>
        </w:trPr>
        <w:tc>
          <w:tcPr>
            <w:tcW w:w="516" w:type="dxa"/>
          </w:tcPr>
          <w:p w14:paraId="429D31B4"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388ABEC"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5.衛生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4D3834E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委員郭昱晴</w:t>
            </w:r>
          </w:p>
          <w:p w14:paraId="0053712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1C28546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523A196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19EE736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BCE9D45"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074524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98480EC"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61B1332D" w14:textId="77777777" w:rsidTr="0006693A">
        <w:trPr>
          <w:trHeight w:val="645"/>
        </w:trPr>
        <w:tc>
          <w:tcPr>
            <w:tcW w:w="516" w:type="dxa"/>
          </w:tcPr>
          <w:p w14:paraId="1FCC4EE7"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BFBC1EA"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6.衛生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044B319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委員王育敏</w:t>
            </w:r>
          </w:p>
          <w:p w14:paraId="53B9F97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20A4505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5AAB6BC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7D529E6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59327C9"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596A328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5A21E73F"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69BED25E" w14:textId="77777777" w:rsidTr="0006693A">
        <w:trPr>
          <w:trHeight w:val="645"/>
        </w:trPr>
        <w:tc>
          <w:tcPr>
            <w:tcW w:w="516" w:type="dxa"/>
          </w:tcPr>
          <w:p w14:paraId="660536A3"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10DFDA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7.衛生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40C7F15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委員李坤城</w:t>
            </w:r>
          </w:p>
          <w:p w14:paraId="5182672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12BC272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5735B5F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4291A4A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867A803"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BA55E2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219903A"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5F87BDC" w14:textId="77777777" w:rsidTr="0006693A">
        <w:trPr>
          <w:trHeight w:val="645"/>
        </w:trPr>
        <w:tc>
          <w:tcPr>
            <w:tcW w:w="516" w:type="dxa"/>
          </w:tcPr>
          <w:p w14:paraId="58993D0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09C84B4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8.衛生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63FCD30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委員王正旭</w:t>
            </w:r>
          </w:p>
          <w:p w14:paraId="7538DDD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21A3EF6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2923276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44AB084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7069B401"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22B8240"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7A309CB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A5D0EC4" w14:textId="77777777" w:rsidTr="0006693A">
        <w:trPr>
          <w:trHeight w:val="645"/>
        </w:trPr>
        <w:tc>
          <w:tcPr>
            <w:tcW w:w="516" w:type="dxa"/>
          </w:tcPr>
          <w:p w14:paraId="18B47214"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5D8923DC"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9.衛生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71318A6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委員張雅琳</w:t>
            </w:r>
          </w:p>
          <w:p w14:paraId="1497AFA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1A3AFE9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644523D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4B7DED0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8FA8579"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DDF56A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7C0D6EB5"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9E9680B" w14:textId="77777777" w:rsidTr="0006693A">
        <w:trPr>
          <w:trHeight w:val="645"/>
        </w:trPr>
        <w:tc>
          <w:tcPr>
            <w:tcW w:w="516" w:type="dxa"/>
          </w:tcPr>
          <w:p w14:paraId="4F0C362A"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286D59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10.衛生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29BD67D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委員王鴻薇</w:t>
            </w:r>
          </w:p>
          <w:p w14:paraId="62445B7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7376F52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35A8714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1A0D7D3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12888B95"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B5F913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C53E79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741DCDB" w14:textId="77777777" w:rsidTr="0006693A">
        <w:trPr>
          <w:trHeight w:val="645"/>
        </w:trPr>
        <w:tc>
          <w:tcPr>
            <w:tcW w:w="516" w:type="dxa"/>
          </w:tcPr>
          <w:p w14:paraId="0A49716D"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E9106CA"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11.衛生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5CBE42F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委員徐巧芯</w:t>
            </w:r>
          </w:p>
          <w:p w14:paraId="0A1B871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D1A989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605D59E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785007A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1438098"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5A90DB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1806F7D"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732E055" w14:textId="77777777" w:rsidTr="0006693A">
        <w:trPr>
          <w:trHeight w:val="645"/>
        </w:trPr>
        <w:tc>
          <w:tcPr>
            <w:tcW w:w="516" w:type="dxa"/>
          </w:tcPr>
          <w:p w14:paraId="34C2C495"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EFC47E5"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12.衛生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1F5EE5C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委員李彥秀</w:t>
            </w:r>
          </w:p>
          <w:p w14:paraId="16A19EA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14FDEE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00264DC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5881D42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07B4E3B8"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190BBE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88526EA"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123BC39" w14:textId="77777777" w:rsidTr="0006693A">
        <w:trPr>
          <w:trHeight w:val="645"/>
        </w:trPr>
        <w:tc>
          <w:tcPr>
            <w:tcW w:w="516" w:type="dxa"/>
          </w:tcPr>
          <w:p w14:paraId="55D50A59"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8FAE0A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13.衛生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7B887AB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委員廖偉翔</w:t>
            </w:r>
          </w:p>
          <w:p w14:paraId="3DD7E25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1E122DB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3A71B69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37761C7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492ECCC2"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3720BE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93FD6E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05847FB5" w14:textId="77777777" w:rsidTr="0006693A">
        <w:trPr>
          <w:trHeight w:val="645"/>
        </w:trPr>
        <w:tc>
          <w:tcPr>
            <w:tcW w:w="516" w:type="dxa"/>
          </w:tcPr>
          <w:p w14:paraId="62F8B6EA"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A8E118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14.衛生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3743AF8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委員劉建國</w:t>
            </w:r>
          </w:p>
          <w:p w14:paraId="3AB0AFB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2752071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10E7417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12C6737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247F617"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DB8BF1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3880DC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7629BAA" w14:textId="77777777" w:rsidTr="0006693A">
        <w:trPr>
          <w:trHeight w:val="645"/>
        </w:trPr>
        <w:tc>
          <w:tcPr>
            <w:tcW w:w="516" w:type="dxa"/>
          </w:tcPr>
          <w:p w14:paraId="4723E705"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4762815C"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15.衛生</w:t>
            </w:r>
            <w:proofErr w:type="gramStart"/>
            <w:r w:rsidRPr="001B6E4D">
              <w:rPr>
                <w:rFonts w:ascii="標楷體" w:eastAsia="標楷體" w:hAnsi="標楷體" w:hint="eastAsia"/>
                <w:color w:val="000000"/>
                <w:kern w:val="0"/>
                <w:szCs w:val="22"/>
              </w:rPr>
              <w:t>福利部兒少</w:t>
            </w:r>
            <w:proofErr w:type="gramEnd"/>
            <w:r w:rsidRPr="001B6E4D">
              <w:rPr>
                <w:rFonts w:ascii="標楷體" w:eastAsia="標楷體" w:hAnsi="標楷體" w:hint="eastAsia"/>
                <w:color w:val="000000"/>
                <w:kern w:val="0"/>
                <w:szCs w:val="22"/>
              </w:rPr>
              <w:t>及家庭支持署組織法草案</w:t>
            </w:r>
          </w:p>
        </w:tc>
        <w:tc>
          <w:tcPr>
            <w:tcW w:w="1500" w:type="dxa"/>
          </w:tcPr>
          <w:p w14:paraId="2909786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委員許宇</w:t>
            </w:r>
            <w:proofErr w:type="gramStart"/>
            <w:r w:rsidRPr="001B6E4D">
              <w:rPr>
                <w:rFonts w:ascii="標楷體" w:eastAsia="標楷體" w:hAnsi="標楷體" w:hint="eastAsia"/>
                <w:color w:val="000000"/>
                <w:kern w:val="0"/>
                <w:szCs w:val="22"/>
              </w:rPr>
              <w:t>甄</w:t>
            </w:r>
            <w:proofErr w:type="gramEnd"/>
          </w:p>
          <w:p w14:paraId="6B5C899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等17人</w:t>
            </w:r>
          </w:p>
          <w:p w14:paraId="581749F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.3.</w:t>
            </w:r>
            <w:r w:rsidRPr="001B6E4D">
              <w:rPr>
                <w:rFonts w:ascii="標楷體" w:eastAsia="標楷體" w:hAnsi="標楷體" w:hint="eastAsia"/>
                <w:color w:val="000000"/>
                <w:kern w:val="0"/>
                <w:szCs w:val="22"/>
              </w:rPr>
              <w:t>20</w:t>
            </w:r>
          </w:p>
          <w:p w14:paraId="107D2F9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w:t>
            </w:r>
          </w:p>
        </w:tc>
        <w:tc>
          <w:tcPr>
            <w:tcW w:w="1536" w:type="dxa"/>
          </w:tcPr>
          <w:p w14:paraId="2D98A4A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.20</w:t>
            </w:r>
          </w:p>
          <w:p w14:paraId="53F175D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5</w:t>
            </w:r>
            <w:r w:rsidRPr="001B6E4D">
              <w:rPr>
                <w:rFonts w:ascii="標楷體" w:eastAsia="標楷體" w:hAnsi="標楷體" w:hint="eastAsia"/>
                <w:spacing w:val="-20"/>
                <w:kern w:val="0"/>
                <w:szCs w:val="22"/>
              </w:rPr>
              <w:t>-4）</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71432E9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2.115.4.9黨團協商。</w:t>
            </w:r>
          </w:p>
          <w:p w14:paraId="395E72F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776DB5DC"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6E6BF58"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1D4767B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631204BD" w14:textId="77777777" w:rsidTr="0006693A">
        <w:trPr>
          <w:trHeight w:val="645"/>
        </w:trPr>
        <w:tc>
          <w:tcPr>
            <w:tcW w:w="516" w:type="dxa"/>
          </w:tcPr>
          <w:p w14:paraId="7CFAADD5"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7EBC5D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16.</w:t>
            </w:r>
            <w:r w:rsidRPr="001B6E4D">
              <w:rPr>
                <w:rFonts w:ascii="標楷體" w:eastAsia="標楷體" w:hAnsi="標楷體"/>
                <w:color w:val="000000"/>
                <w:kern w:val="0"/>
                <w:szCs w:val="22"/>
              </w:rPr>
              <w:t>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6B12379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委員沈發惠</w:t>
            </w:r>
          </w:p>
          <w:p w14:paraId="34EBEF0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w:t>
            </w:r>
            <w:r w:rsidRPr="001B6E4D">
              <w:rPr>
                <w:rFonts w:ascii="標楷體" w:eastAsia="標楷體" w:hAnsi="標楷體"/>
                <w:color w:val="000000"/>
                <w:kern w:val="0"/>
                <w:szCs w:val="22"/>
              </w:rPr>
              <w:t>17人</w:t>
            </w:r>
          </w:p>
          <w:p w14:paraId="5A3CCE1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.3.</w:t>
            </w:r>
            <w:r w:rsidRPr="001B6E4D">
              <w:rPr>
                <w:rFonts w:ascii="標楷體" w:eastAsia="標楷體" w:hAnsi="標楷體" w:hint="eastAsia"/>
                <w:color w:val="000000"/>
                <w:kern w:val="0"/>
                <w:szCs w:val="22"/>
              </w:rPr>
              <w:t>27</w:t>
            </w:r>
          </w:p>
          <w:p w14:paraId="69BBCC5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p>
        </w:tc>
        <w:tc>
          <w:tcPr>
            <w:tcW w:w="1536" w:type="dxa"/>
          </w:tcPr>
          <w:p w14:paraId="649BA42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.27</w:t>
            </w:r>
          </w:p>
          <w:p w14:paraId="41F4ADD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5</w:t>
            </w:r>
            <w:r w:rsidRPr="001B6E4D">
              <w:rPr>
                <w:rFonts w:ascii="標楷體" w:eastAsia="標楷體" w:hAnsi="標楷體" w:hint="eastAsia"/>
                <w:spacing w:val="-20"/>
                <w:kern w:val="0"/>
                <w:szCs w:val="22"/>
              </w:rPr>
              <w:t>-5）</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62BD730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2.115.4.9黨團協商。</w:t>
            </w:r>
          </w:p>
          <w:p w14:paraId="18F3E68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5FDEDDD2"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3F09DE8"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0E66DE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E0403B7" w14:textId="77777777" w:rsidTr="0006693A">
        <w:trPr>
          <w:trHeight w:val="645"/>
        </w:trPr>
        <w:tc>
          <w:tcPr>
            <w:tcW w:w="516" w:type="dxa"/>
          </w:tcPr>
          <w:p w14:paraId="454CA2B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80C5C4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17.衛生</w:t>
            </w:r>
            <w:proofErr w:type="gramStart"/>
            <w:r w:rsidRPr="001B6E4D">
              <w:rPr>
                <w:rFonts w:ascii="標楷體" w:eastAsia="標楷體" w:hAnsi="標楷體" w:hint="eastAsia"/>
                <w:color w:val="000000"/>
                <w:kern w:val="0"/>
                <w:szCs w:val="22"/>
              </w:rPr>
              <w:t>福利部兒少</w:t>
            </w:r>
            <w:proofErr w:type="gramEnd"/>
            <w:r w:rsidRPr="001B6E4D">
              <w:rPr>
                <w:rFonts w:ascii="標楷體" w:eastAsia="標楷體" w:hAnsi="標楷體" w:hint="eastAsia"/>
                <w:color w:val="000000"/>
                <w:kern w:val="0"/>
                <w:szCs w:val="22"/>
              </w:rPr>
              <w:t>及家庭支持署組織法草案</w:t>
            </w:r>
          </w:p>
        </w:tc>
        <w:tc>
          <w:tcPr>
            <w:tcW w:w="1500" w:type="dxa"/>
          </w:tcPr>
          <w:p w14:paraId="7D3D7A1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委員蔡易餘</w:t>
            </w:r>
          </w:p>
          <w:p w14:paraId="3A81C42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等16人</w:t>
            </w:r>
          </w:p>
          <w:p w14:paraId="1F50146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29</w:t>
            </w:r>
          </w:p>
          <w:p w14:paraId="5E2C227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12</w:t>
            </w:r>
            <w:r w:rsidRPr="001B6E4D">
              <w:rPr>
                <w:rFonts w:ascii="標楷體" w:eastAsia="標楷體" w:hAnsi="標楷體"/>
                <w:color w:val="000000"/>
                <w:kern w:val="0"/>
                <w:szCs w:val="22"/>
              </w:rPr>
              <w:t>）</w:t>
            </w:r>
          </w:p>
        </w:tc>
        <w:tc>
          <w:tcPr>
            <w:tcW w:w="1536" w:type="dxa"/>
          </w:tcPr>
          <w:p w14:paraId="5E320D2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5.5.29</w:t>
            </w:r>
          </w:p>
          <w:p w14:paraId="412FBC0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-5-12）</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5F4C519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2.115.7.1黨團協商。</w:t>
            </w:r>
          </w:p>
        </w:tc>
        <w:tc>
          <w:tcPr>
            <w:tcW w:w="1460" w:type="dxa"/>
            <w:vMerge/>
          </w:tcPr>
          <w:p w14:paraId="0DE32F41"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5F988DD4"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7A85E736"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1E8A2F22" w14:textId="77777777" w:rsidTr="0006693A">
        <w:trPr>
          <w:trHeight w:val="645"/>
        </w:trPr>
        <w:tc>
          <w:tcPr>
            <w:tcW w:w="516" w:type="dxa"/>
          </w:tcPr>
          <w:p w14:paraId="7B0F827B"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D0DA465"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18.</w:t>
            </w:r>
            <w:r w:rsidRPr="001B6E4D">
              <w:rPr>
                <w:rFonts w:ascii="標楷體" w:eastAsia="標楷體" w:hAnsi="標楷體"/>
                <w:color w:val="000000"/>
                <w:kern w:val="0"/>
                <w:szCs w:val="22"/>
              </w:rPr>
              <w:t>衛生</w:t>
            </w:r>
            <w:proofErr w:type="gramStart"/>
            <w:r w:rsidRPr="001B6E4D">
              <w:rPr>
                <w:rFonts w:ascii="標楷體" w:eastAsia="標楷體" w:hAnsi="標楷體"/>
                <w:color w:val="000000"/>
                <w:kern w:val="0"/>
                <w:szCs w:val="22"/>
              </w:rPr>
              <w:t>福利部兒少</w:t>
            </w:r>
            <w:proofErr w:type="gramEnd"/>
            <w:r w:rsidRPr="001B6E4D">
              <w:rPr>
                <w:rFonts w:ascii="標楷體" w:eastAsia="標楷體" w:hAnsi="標楷體"/>
                <w:color w:val="000000"/>
                <w:kern w:val="0"/>
                <w:szCs w:val="22"/>
              </w:rPr>
              <w:t>及家庭支持署組織法草案</w:t>
            </w:r>
          </w:p>
        </w:tc>
        <w:tc>
          <w:tcPr>
            <w:tcW w:w="1500" w:type="dxa"/>
          </w:tcPr>
          <w:p w14:paraId="2F6865F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委員李昆澤</w:t>
            </w:r>
          </w:p>
          <w:p w14:paraId="531CCC8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w:t>
            </w:r>
            <w:r w:rsidRPr="001B6E4D">
              <w:rPr>
                <w:rFonts w:ascii="標楷體" w:eastAsia="標楷體" w:hAnsi="標楷體"/>
                <w:color w:val="000000"/>
                <w:kern w:val="0"/>
                <w:szCs w:val="22"/>
              </w:rPr>
              <w:t>16人</w:t>
            </w:r>
          </w:p>
          <w:p w14:paraId="12DF7DC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06</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26</w:t>
            </w:r>
          </w:p>
          <w:p w14:paraId="22E85B1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15</w:t>
            </w:r>
            <w:r w:rsidRPr="001B6E4D">
              <w:rPr>
                <w:rFonts w:ascii="標楷體" w:eastAsia="標楷體" w:hAnsi="標楷體"/>
                <w:color w:val="000000"/>
                <w:kern w:val="0"/>
                <w:szCs w:val="22"/>
              </w:rPr>
              <w:t>）</w:t>
            </w:r>
          </w:p>
        </w:tc>
        <w:tc>
          <w:tcPr>
            <w:tcW w:w="1536" w:type="dxa"/>
          </w:tcPr>
          <w:p w14:paraId="46FB2C2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5.6.26</w:t>
            </w:r>
          </w:p>
          <w:p w14:paraId="2CD9300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-5-15）</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23154DC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2.115.7.1黨團協商。</w:t>
            </w:r>
          </w:p>
        </w:tc>
        <w:tc>
          <w:tcPr>
            <w:tcW w:w="1460" w:type="dxa"/>
            <w:vMerge/>
          </w:tcPr>
          <w:p w14:paraId="0356543E"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1EA8CC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E27F90D"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83D5FBB" w14:textId="77777777" w:rsidTr="0006693A">
        <w:trPr>
          <w:trHeight w:val="645"/>
        </w:trPr>
        <w:tc>
          <w:tcPr>
            <w:tcW w:w="516" w:type="dxa"/>
          </w:tcPr>
          <w:p w14:paraId="363EE2CD"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58F95D6"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19.衛生</w:t>
            </w:r>
            <w:proofErr w:type="gramStart"/>
            <w:r w:rsidRPr="001B6E4D">
              <w:rPr>
                <w:rFonts w:ascii="標楷體" w:eastAsia="標楷體" w:hAnsi="標楷體" w:hint="eastAsia"/>
                <w:color w:val="000000"/>
                <w:kern w:val="0"/>
                <w:szCs w:val="22"/>
              </w:rPr>
              <w:t>福利部兒少</w:t>
            </w:r>
            <w:proofErr w:type="gramEnd"/>
            <w:r w:rsidRPr="001B6E4D">
              <w:rPr>
                <w:rFonts w:ascii="標楷體" w:eastAsia="標楷體" w:hAnsi="標楷體" w:hint="eastAsia"/>
                <w:color w:val="000000"/>
                <w:kern w:val="0"/>
                <w:szCs w:val="22"/>
              </w:rPr>
              <w:t>及家庭支持署組織法草案</w:t>
            </w:r>
          </w:p>
        </w:tc>
        <w:tc>
          <w:tcPr>
            <w:tcW w:w="1500" w:type="dxa"/>
          </w:tcPr>
          <w:p w14:paraId="1073F18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委員陳菁徽</w:t>
            </w:r>
          </w:p>
          <w:p w14:paraId="4B05D07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等23人</w:t>
            </w:r>
          </w:p>
          <w:p w14:paraId="391C1C5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115.07.03</w:t>
            </w:r>
          </w:p>
          <w:p w14:paraId="0677C95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（11-5-16）</w:t>
            </w:r>
          </w:p>
        </w:tc>
        <w:tc>
          <w:tcPr>
            <w:tcW w:w="1536" w:type="dxa"/>
          </w:tcPr>
          <w:p w14:paraId="3C72D32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1C1AADB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7</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3</w:t>
            </w:r>
          </w:p>
          <w:p w14:paraId="46875B0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w:t>
            </w:r>
            <w:r w:rsidRPr="001B6E4D">
              <w:rPr>
                <w:rFonts w:ascii="標楷體" w:eastAsia="標楷體" w:hAnsi="標楷體"/>
                <w:spacing w:val="-20"/>
                <w:kern w:val="0"/>
                <w:szCs w:val="22"/>
              </w:rPr>
              <w:t>6</w:t>
            </w:r>
            <w:r w:rsidRPr="001B6E4D">
              <w:rPr>
                <w:rFonts w:ascii="標楷體" w:eastAsia="標楷體" w:hAnsi="標楷體" w:hint="eastAsia"/>
                <w:spacing w:val="-20"/>
                <w:kern w:val="0"/>
                <w:szCs w:val="22"/>
              </w:rPr>
              <w:t>）</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tc>
        <w:tc>
          <w:tcPr>
            <w:tcW w:w="1460" w:type="dxa"/>
            <w:vMerge/>
          </w:tcPr>
          <w:p w14:paraId="51BC5763"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171591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47499CF"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779C6F2" w14:textId="77777777" w:rsidTr="0006693A">
        <w:trPr>
          <w:trHeight w:val="645"/>
        </w:trPr>
        <w:tc>
          <w:tcPr>
            <w:tcW w:w="516" w:type="dxa"/>
          </w:tcPr>
          <w:p w14:paraId="658E785A"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5ABF26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508048B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w:t>
            </w:r>
          </w:p>
          <w:p w14:paraId="64727DC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114.12.19</w:t>
            </w:r>
          </w:p>
          <w:p w14:paraId="174F36D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（11-4-14）</w:t>
            </w:r>
          </w:p>
        </w:tc>
        <w:tc>
          <w:tcPr>
            <w:tcW w:w="1536" w:type="dxa"/>
            <w:vMerge w:val="restart"/>
          </w:tcPr>
          <w:p w14:paraId="54F6EAB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1.第1-10案</w:t>
            </w:r>
          </w:p>
          <w:p w14:paraId="1F97FCF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24D0ABA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115.1.7</w:t>
            </w:r>
          </w:p>
          <w:p w14:paraId="745625A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(11-4-1)報告及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p>
          <w:p w14:paraId="27EF0E1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2.第1-16案</w:t>
            </w:r>
          </w:p>
          <w:p w14:paraId="18FBAE5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0A5D203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115.1.19</w:t>
            </w:r>
          </w:p>
          <w:p w14:paraId="31A9D68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(11-4-2)審查完竣，須交由黨團協商。</w:t>
            </w:r>
          </w:p>
          <w:p w14:paraId="5B984FF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3.115.4.9黨團協商。</w:t>
            </w:r>
          </w:p>
          <w:p w14:paraId="7D3F81E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4.115.7.1黨團協商。</w:t>
            </w:r>
          </w:p>
        </w:tc>
        <w:tc>
          <w:tcPr>
            <w:tcW w:w="1460" w:type="dxa"/>
            <w:vMerge w:val="restart"/>
          </w:tcPr>
          <w:p w14:paraId="086855D7"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25B1CC95"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8</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25</w:t>
            </w:r>
          </w:p>
          <w:p w14:paraId="310241CD"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23</w:t>
            </w:r>
            <w:r w:rsidRPr="001B6E4D">
              <w:rPr>
                <w:rFonts w:ascii="標楷體" w:eastAsia="標楷體" w:hAnsi="標楷體"/>
                <w:spacing w:val="-20"/>
                <w:kern w:val="0"/>
                <w:szCs w:val="22"/>
              </w:rPr>
              <w:t>)</w:t>
            </w:r>
          </w:p>
          <w:p w14:paraId="3EA32EDD"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三讀修正第二條、第五條及第八條條文。</w:t>
            </w:r>
          </w:p>
        </w:tc>
        <w:tc>
          <w:tcPr>
            <w:tcW w:w="1682" w:type="dxa"/>
            <w:vMerge w:val="restart"/>
          </w:tcPr>
          <w:p w14:paraId="31E61739" w14:textId="77777777" w:rsidR="00B05C66" w:rsidRDefault="00AD6D4E" w:rsidP="00AD6D4E">
            <w:pPr>
              <w:widowControl w:val="0"/>
              <w:kinsoku w:val="0"/>
              <w:overflowPunct w:val="0"/>
              <w:spacing w:line="300" w:lineRule="exact"/>
              <w:rPr>
                <w:rFonts w:ascii="標楷體" w:eastAsia="標楷體" w:hAnsi="標楷體"/>
                <w:color w:val="000000"/>
                <w:spacing w:val="-20"/>
                <w:szCs w:val="22"/>
              </w:rPr>
            </w:pPr>
            <w:r w:rsidRPr="00AD6D4E">
              <w:rPr>
                <w:rFonts w:ascii="標楷體" w:eastAsia="標楷體" w:hAnsi="標楷體" w:hint="eastAsia"/>
                <w:color w:val="000000"/>
                <w:spacing w:val="-20"/>
                <w:szCs w:val="22"/>
              </w:rPr>
              <w:t>115年9月21日台立院議字第1150703466號</w:t>
            </w:r>
          </w:p>
          <w:p w14:paraId="519C2F79" w14:textId="77777777" w:rsidR="00961046" w:rsidRDefault="00961046" w:rsidP="00AD6D4E">
            <w:pPr>
              <w:widowControl w:val="0"/>
              <w:kinsoku w:val="0"/>
              <w:overflowPunct w:val="0"/>
              <w:spacing w:line="300" w:lineRule="exact"/>
              <w:rPr>
                <w:rFonts w:ascii="標楷體" w:eastAsia="標楷體" w:hAnsi="標楷體"/>
                <w:color w:val="000000"/>
                <w:spacing w:val="-20"/>
                <w:szCs w:val="22"/>
              </w:rPr>
            </w:pPr>
          </w:p>
          <w:p w14:paraId="1549A283" w14:textId="29045AA6" w:rsidR="00961046" w:rsidRPr="001B6E4D" w:rsidRDefault="00961046" w:rsidP="00AD6D4E">
            <w:pPr>
              <w:widowControl w:val="0"/>
              <w:kinsoku w:val="0"/>
              <w:overflowPunct w:val="0"/>
              <w:spacing w:line="300" w:lineRule="exact"/>
              <w:rPr>
                <w:rFonts w:ascii="標楷體" w:eastAsia="標楷體" w:hAnsi="標楷體" w:hint="eastAsia"/>
                <w:color w:val="000000"/>
                <w:spacing w:val="-20"/>
                <w:szCs w:val="22"/>
              </w:rPr>
            </w:pPr>
            <w:r w:rsidRPr="001B6E4D">
              <w:rPr>
                <w:rFonts w:ascii="標楷體" w:eastAsia="標楷體" w:hAnsi="標楷體" w:hint="eastAsia"/>
                <w:color w:val="000000"/>
                <w:spacing w:val="-20"/>
                <w:szCs w:val="22"/>
              </w:rPr>
              <w:t>115年</w:t>
            </w:r>
            <w:r>
              <w:rPr>
                <w:rFonts w:ascii="標楷體" w:eastAsia="標楷體" w:hAnsi="標楷體" w:hint="eastAsia"/>
                <w:color w:val="000000"/>
                <w:spacing w:val="-20"/>
                <w:szCs w:val="22"/>
              </w:rPr>
              <w:t>9</w:t>
            </w:r>
            <w:r w:rsidRPr="001B6E4D">
              <w:rPr>
                <w:rFonts w:ascii="標楷體" w:eastAsia="標楷體" w:hAnsi="標楷體" w:hint="eastAsia"/>
                <w:color w:val="000000"/>
                <w:spacing w:val="-20"/>
                <w:szCs w:val="22"/>
              </w:rPr>
              <w:t>月</w:t>
            </w:r>
            <w:r>
              <w:rPr>
                <w:rFonts w:ascii="標楷體" w:eastAsia="標楷體" w:hAnsi="標楷體" w:hint="eastAsia"/>
                <w:color w:val="000000"/>
                <w:spacing w:val="-20"/>
                <w:szCs w:val="22"/>
              </w:rPr>
              <w:t>30</w:t>
            </w:r>
            <w:r w:rsidRPr="001B6E4D">
              <w:rPr>
                <w:rFonts w:ascii="標楷體" w:eastAsia="標楷體" w:hAnsi="標楷體" w:hint="eastAsia"/>
                <w:color w:val="000000"/>
                <w:spacing w:val="-20"/>
                <w:szCs w:val="22"/>
              </w:rPr>
              <w:t>日華總</w:t>
            </w:r>
            <w:proofErr w:type="gramStart"/>
            <w:r w:rsidRPr="001B6E4D">
              <w:rPr>
                <w:rFonts w:ascii="標楷體" w:eastAsia="標楷體" w:hAnsi="標楷體" w:hint="eastAsia"/>
                <w:color w:val="000000"/>
                <w:spacing w:val="-20"/>
                <w:szCs w:val="22"/>
              </w:rPr>
              <w:t>一義字第115000</w:t>
            </w:r>
            <w:r>
              <w:rPr>
                <w:rFonts w:ascii="標楷體" w:eastAsia="標楷體" w:hAnsi="標楷體" w:hint="eastAsia"/>
                <w:color w:val="000000"/>
                <w:spacing w:val="-20"/>
                <w:szCs w:val="22"/>
              </w:rPr>
              <w:t>941</w:t>
            </w:r>
            <w:r>
              <w:rPr>
                <w:rFonts w:ascii="標楷體" w:eastAsia="標楷體" w:hAnsi="標楷體" w:hint="eastAsia"/>
                <w:color w:val="000000"/>
                <w:spacing w:val="-20"/>
                <w:szCs w:val="22"/>
              </w:rPr>
              <w:t>9</w:t>
            </w:r>
            <w:r>
              <w:rPr>
                <w:rFonts w:ascii="標楷體" w:eastAsia="標楷體" w:hAnsi="標楷體" w:hint="eastAsia"/>
                <w:color w:val="000000"/>
                <w:spacing w:val="-20"/>
                <w:szCs w:val="22"/>
              </w:rPr>
              <w:t>1</w:t>
            </w:r>
            <w:r w:rsidRPr="001B6E4D">
              <w:rPr>
                <w:rFonts w:ascii="標楷體" w:eastAsia="標楷體" w:hAnsi="標楷體" w:hint="eastAsia"/>
                <w:color w:val="000000"/>
                <w:spacing w:val="-20"/>
                <w:szCs w:val="22"/>
              </w:rPr>
              <w:t>號</w:t>
            </w:r>
            <w:proofErr w:type="gramEnd"/>
          </w:p>
        </w:tc>
        <w:tc>
          <w:tcPr>
            <w:tcW w:w="1071" w:type="dxa"/>
            <w:vMerge w:val="restart"/>
          </w:tcPr>
          <w:p w14:paraId="44EC4758" w14:textId="41C6D346" w:rsidR="00B05C66" w:rsidRPr="001B6E4D" w:rsidRDefault="00961046" w:rsidP="003D1018">
            <w:pPr>
              <w:widowControl w:val="0"/>
              <w:kinsoku w:val="0"/>
              <w:overflowPunct w:val="0"/>
              <w:spacing w:line="300" w:lineRule="exact"/>
              <w:jc w:val="both"/>
              <w:rPr>
                <w:rFonts w:ascii="標楷體" w:eastAsia="標楷體" w:hAnsi="標楷體"/>
                <w:color w:val="000000"/>
                <w:spacing w:val="-28"/>
                <w:szCs w:val="22"/>
              </w:rPr>
            </w:pPr>
            <w:r w:rsidRPr="00961046">
              <w:rPr>
                <w:rFonts w:ascii="標楷體" w:eastAsia="標楷體" w:hAnsi="標楷體" w:hint="eastAsia"/>
                <w:color w:val="000000"/>
                <w:spacing w:val="-28"/>
                <w:szCs w:val="22"/>
              </w:rPr>
              <w:t>第7885號</w:t>
            </w:r>
          </w:p>
        </w:tc>
      </w:tr>
      <w:tr w:rsidR="00B05C66" w:rsidRPr="001B6E4D" w14:paraId="1274AB80" w14:textId="77777777" w:rsidTr="0006693A">
        <w:trPr>
          <w:trHeight w:val="645"/>
        </w:trPr>
        <w:tc>
          <w:tcPr>
            <w:tcW w:w="516" w:type="dxa"/>
          </w:tcPr>
          <w:p w14:paraId="55D212CC"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727F0A0"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2.衛生福利部組織法第二</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5247262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委員何欣純</w:t>
            </w:r>
          </w:p>
          <w:p w14:paraId="0E8EB18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133C82D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113.04.09</w:t>
            </w:r>
          </w:p>
          <w:p w14:paraId="13738DC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（11-1-8）</w:t>
            </w:r>
          </w:p>
        </w:tc>
        <w:tc>
          <w:tcPr>
            <w:tcW w:w="1536" w:type="dxa"/>
            <w:vMerge/>
          </w:tcPr>
          <w:p w14:paraId="5312DCD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15AE0962"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50AAA4B4"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D7D7EC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47FEE430" w14:textId="77777777" w:rsidTr="0006693A">
        <w:trPr>
          <w:trHeight w:val="645"/>
        </w:trPr>
        <w:tc>
          <w:tcPr>
            <w:tcW w:w="516" w:type="dxa"/>
          </w:tcPr>
          <w:p w14:paraId="20E40ADE"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781B76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3.衛生福利部組織法第二條、第五條及第八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76667CB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委員林月琴</w:t>
            </w:r>
          </w:p>
          <w:p w14:paraId="54CBEB3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2E0CBD8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114.12.19</w:t>
            </w:r>
          </w:p>
          <w:p w14:paraId="39CEF41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（11-4-14）</w:t>
            </w:r>
          </w:p>
        </w:tc>
        <w:tc>
          <w:tcPr>
            <w:tcW w:w="1536" w:type="dxa"/>
            <w:vMerge/>
          </w:tcPr>
          <w:p w14:paraId="5377550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240691C4"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B12CEF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B9AAD8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0BEF9C64" w14:textId="77777777" w:rsidTr="0006693A">
        <w:trPr>
          <w:trHeight w:val="645"/>
        </w:trPr>
        <w:tc>
          <w:tcPr>
            <w:tcW w:w="516" w:type="dxa"/>
          </w:tcPr>
          <w:p w14:paraId="1884D35E"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AAD6D07"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4.衛生福利部組織法第二條、第五條及第八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lastRenderedPageBreak/>
              <w:t>條文修正草案</w:t>
            </w:r>
          </w:p>
        </w:tc>
        <w:tc>
          <w:tcPr>
            <w:tcW w:w="1500" w:type="dxa"/>
          </w:tcPr>
          <w:p w14:paraId="2A3C820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委員</w:t>
            </w:r>
            <w:proofErr w:type="gramStart"/>
            <w:r w:rsidRPr="001B6E4D">
              <w:rPr>
                <w:rFonts w:ascii="標楷體" w:eastAsia="標楷體" w:hAnsi="標楷體"/>
                <w:color w:val="000000"/>
                <w:kern w:val="0"/>
                <w:szCs w:val="22"/>
              </w:rPr>
              <w:t>盧</w:t>
            </w:r>
            <w:proofErr w:type="gramEnd"/>
            <w:r w:rsidRPr="001B6E4D">
              <w:rPr>
                <w:rFonts w:ascii="標楷體" w:eastAsia="標楷體" w:hAnsi="標楷體"/>
                <w:color w:val="000000"/>
                <w:kern w:val="0"/>
                <w:szCs w:val="22"/>
              </w:rPr>
              <w:t>縣</w:t>
            </w:r>
            <w:proofErr w:type="gramStart"/>
            <w:r w:rsidRPr="001B6E4D">
              <w:rPr>
                <w:rFonts w:ascii="標楷體" w:eastAsia="標楷體" w:hAnsi="標楷體"/>
                <w:color w:val="000000"/>
                <w:kern w:val="0"/>
                <w:szCs w:val="22"/>
              </w:rPr>
              <w:t>一</w:t>
            </w:r>
            <w:proofErr w:type="gramEnd"/>
          </w:p>
          <w:p w14:paraId="6E543FB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311E64F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76153F9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28362D9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4181009B"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D011DF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7EE75688"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1508AFA7" w14:textId="77777777" w:rsidTr="0006693A">
        <w:trPr>
          <w:trHeight w:val="645"/>
        </w:trPr>
        <w:tc>
          <w:tcPr>
            <w:tcW w:w="516" w:type="dxa"/>
          </w:tcPr>
          <w:p w14:paraId="024F5AE9"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95F410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5.衛生福利部組織法第二條、第五條及第八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164FC0E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0CA94B3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55B683B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55E9144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69BB8BC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5AED7282"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24EC7A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34F51F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F4B078D" w14:textId="77777777" w:rsidTr="0006693A">
        <w:trPr>
          <w:trHeight w:val="645"/>
        </w:trPr>
        <w:tc>
          <w:tcPr>
            <w:tcW w:w="516" w:type="dxa"/>
          </w:tcPr>
          <w:p w14:paraId="09474642"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0E5EF90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6.衛生福利部組織法第二條、第五條及第八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6C83DA4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委員陳培瑜</w:t>
            </w:r>
          </w:p>
          <w:p w14:paraId="1959CF1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256AF54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1350A70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182438D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40A48723"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2E1220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11E452D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EA94122" w14:textId="77777777" w:rsidTr="0006693A">
        <w:trPr>
          <w:trHeight w:val="645"/>
        </w:trPr>
        <w:tc>
          <w:tcPr>
            <w:tcW w:w="516" w:type="dxa"/>
          </w:tcPr>
          <w:p w14:paraId="7C6DB051"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7121C9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7.衛生福利部組織法第二條、第五條及第八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2CE0C9B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委員郭昱晴</w:t>
            </w:r>
          </w:p>
          <w:p w14:paraId="46A7560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1C9C67F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374D609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2E80913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154F186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668478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98D595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0FAC3A8" w14:textId="77777777" w:rsidTr="0006693A">
        <w:trPr>
          <w:trHeight w:val="645"/>
        </w:trPr>
        <w:tc>
          <w:tcPr>
            <w:tcW w:w="516" w:type="dxa"/>
          </w:tcPr>
          <w:p w14:paraId="3E34B016"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065403DA"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8.衛生福利部組織法第二條、第五條及第八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60247D1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委員林倩綺</w:t>
            </w:r>
          </w:p>
          <w:p w14:paraId="72DFAC5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09E3E01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0618EC0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0523DDA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4BFB14F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A60955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64DC7E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9CC3D73" w14:textId="77777777" w:rsidTr="0006693A">
        <w:trPr>
          <w:trHeight w:val="645"/>
        </w:trPr>
        <w:tc>
          <w:tcPr>
            <w:tcW w:w="516" w:type="dxa"/>
          </w:tcPr>
          <w:p w14:paraId="3F30DC99"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508BA7E2"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9.衛生福利部組織法第二條、第五條及第八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18B45BD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委員王育敏</w:t>
            </w:r>
          </w:p>
          <w:p w14:paraId="5A33758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等22人</w:t>
            </w:r>
          </w:p>
          <w:p w14:paraId="032FDD7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5E50AF0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5858206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47DFCD02"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FC8AB6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0647AE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F5E0F87" w14:textId="77777777" w:rsidTr="0006693A">
        <w:trPr>
          <w:trHeight w:val="645"/>
        </w:trPr>
        <w:tc>
          <w:tcPr>
            <w:tcW w:w="516" w:type="dxa"/>
          </w:tcPr>
          <w:p w14:paraId="1B5E2179"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0536E5C5"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10.衛生福利部組織法第二條、第五條及第八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26195CA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委員李坤城</w:t>
            </w:r>
          </w:p>
          <w:p w14:paraId="360370D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3D0BE41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0C39D18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2127B7A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0BBC6CF0"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56ABF7A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1E495C1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DA0EC7D" w14:textId="77777777" w:rsidTr="0006693A">
        <w:trPr>
          <w:trHeight w:val="645"/>
        </w:trPr>
        <w:tc>
          <w:tcPr>
            <w:tcW w:w="516" w:type="dxa"/>
          </w:tcPr>
          <w:p w14:paraId="5686AAF3"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0758FE5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11.衛生福利部組織法第二條、第五條及第八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7C218C0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委員伍麗華</w:t>
            </w:r>
          </w:p>
          <w:p w14:paraId="2E057BC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proofErr w:type="spellStart"/>
            <w:r w:rsidRPr="001B6E4D">
              <w:rPr>
                <w:rFonts w:ascii="標楷體" w:eastAsia="標楷體" w:hAnsi="標楷體"/>
                <w:color w:val="000000"/>
                <w:kern w:val="0"/>
                <w:szCs w:val="22"/>
              </w:rPr>
              <w:t>Saidhai</w:t>
            </w:r>
            <w:proofErr w:type="spellEnd"/>
            <w:r w:rsidRPr="001B6E4D">
              <w:rPr>
                <w:rFonts w:ascii="標楷體" w:eastAsia="標楷體" w:hAnsi="標楷體"/>
                <w:color w:val="000000"/>
                <w:kern w:val="0"/>
                <w:szCs w:val="22"/>
              </w:rPr>
              <w:t>‧</w:t>
            </w:r>
          </w:p>
          <w:p w14:paraId="236B352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proofErr w:type="spellStart"/>
            <w:r w:rsidRPr="001B6E4D">
              <w:rPr>
                <w:rFonts w:ascii="標楷體" w:eastAsia="標楷體" w:hAnsi="標楷體"/>
                <w:color w:val="000000"/>
                <w:kern w:val="0"/>
                <w:szCs w:val="22"/>
              </w:rPr>
              <w:t>Tahovecahe</w:t>
            </w:r>
            <w:proofErr w:type="spellEnd"/>
          </w:p>
          <w:p w14:paraId="62E3C0A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663E26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50F1415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5263873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4F47D539"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1CBD00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52F8CB6D"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AF9AB18" w14:textId="77777777" w:rsidTr="0006693A">
        <w:trPr>
          <w:trHeight w:val="645"/>
        </w:trPr>
        <w:tc>
          <w:tcPr>
            <w:tcW w:w="516" w:type="dxa"/>
          </w:tcPr>
          <w:p w14:paraId="119D53BA"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5BA1B1A7"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12.衛生福利部組織法第二條、第五條及第八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65293E8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委員王正旭</w:t>
            </w:r>
          </w:p>
          <w:p w14:paraId="7A50288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7030271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0259CD2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4A20BCA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4F2C1FD"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5008FDE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401251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6C8FF44A" w14:textId="77777777" w:rsidTr="0006693A">
        <w:trPr>
          <w:trHeight w:val="645"/>
        </w:trPr>
        <w:tc>
          <w:tcPr>
            <w:tcW w:w="516" w:type="dxa"/>
          </w:tcPr>
          <w:p w14:paraId="17257E3B"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4684DF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13.衛生福利部組織法第二條、第五條及第八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0084B15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委員張雅琳</w:t>
            </w:r>
          </w:p>
          <w:p w14:paraId="7D94F71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56D7A03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292B582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7EE1535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25461608"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CC7EF0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D2982E8"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FD801AF" w14:textId="77777777" w:rsidTr="0006693A">
        <w:trPr>
          <w:trHeight w:val="645"/>
        </w:trPr>
        <w:tc>
          <w:tcPr>
            <w:tcW w:w="516" w:type="dxa"/>
          </w:tcPr>
          <w:p w14:paraId="699BBE61"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6E3870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14.衛生福利部組織法第二條及第五</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31C0C23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委員王鴻薇</w:t>
            </w:r>
          </w:p>
          <w:p w14:paraId="4AE745D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256F3A1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3714A7A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2E6F771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0538C8FC"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E83294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8D3C92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0DA5898" w14:textId="77777777" w:rsidTr="0006693A">
        <w:trPr>
          <w:trHeight w:val="645"/>
        </w:trPr>
        <w:tc>
          <w:tcPr>
            <w:tcW w:w="516" w:type="dxa"/>
          </w:tcPr>
          <w:p w14:paraId="0CC5525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08F5B80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15.衛生福利部組織法第二條、第五條及第八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55A233F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委員徐巧芯</w:t>
            </w:r>
          </w:p>
          <w:p w14:paraId="4AAF9C5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4E0E604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189011A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6A0224A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F453DEF"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E65F22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807DDF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16E08728" w14:textId="77777777" w:rsidTr="0006693A">
        <w:trPr>
          <w:trHeight w:val="645"/>
        </w:trPr>
        <w:tc>
          <w:tcPr>
            <w:tcW w:w="516" w:type="dxa"/>
          </w:tcPr>
          <w:p w14:paraId="7385843A"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42E8A12"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16.衛生福利部組織法第二條、第五條及第八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6873CF0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委員劉建國</w:t>
            </w:r>
          </w:p>
          <w:p w14:paraId="3DDAD88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0FB16C5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249703E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507D7FC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799B9403"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08A230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2E6FECEA"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1321D4F0" w14:textId="77777777" w:rsidTr="0006693A">
        <w:trPr>
          <w:trHeight w:val="645"/>
        </w:trPr>
        <w:tc>
          <w:tcPr>
            <w:tcW w:w="516" w:type="dxa"/>
          </w:tcPr>
          <w:p w14:paraId="3EADBB36"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9F3CA8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7.</w:t>
            </w:r>
            <w:r w:rsidRPr="001B6E4D">
              <w:rPr>
                <w:rFonts w:ascii="標楷體" w:eastAsia="標楷體" w:hAnsi="標楷體" w:hint="eastAsia"/>
                <w:color w:val="000000"/>
                <w:kern w:val="0"/>
                <w:szCs w:val="22"/>
              </w:rPr>
              <w:t>衛生福利部組織法第二條及第五</w:t>
            </w:r>
            <w:proofErr w:type="gramStart"/>
            <w:r w:rsidRPr="001B6E4D">
              <w:rPr>
                <w:rFonts w:ascii="標楷體" w:eastAsia="標楷體" w:hAnsi="標楷體" w:hint="eastAsia"/>
                <w:color w:val="000000"/>
                <w:kern w:val="0"/>
                <w:szCs w:val="22"/>
              </w:rPr>
              <w:t>條</w:t>
            </w:r>
            <w:proofErr w:type="gramEnd"/>
            <w:r w:rsidRPr="001B6E4D">
              <w:rPr>
                <w:rFonts w:ascii="標楷體" w:eastAsia="標楷體" w:hAnsi="標楷體" w:hint="eastAsia"/>
                <w:color w:val="000000"/>
                <w:kern w:val="0"/>
                <w:szCs w:val="22"/>
              </w:rPr>
              <w:t>條文修</w:t>
            </w:r>
            <w:r w:rsidRPr="001B6E4D">
              <w:rPr>
                <w:rFonts w:ascii="標楷體" w:eastAsia="標楷體" w:hAnsi="標楷體" w:hint="eastAsia"/>
                <w:color w:val="000000"/>
                <w:kern w:val="0"/>
                <w:szCs w:val="22"/>
              </w:rPr>
              <w:lastRenderedPageBreak/>
              <w:t>正草案</w:t>
            </w:r>
          </w:p>
        </w:tc>
        <w:tc>
          <w:tcPr>
            <w:tcW w:w="1500" w:type="dxa"/>
          </w:tcPr>
          <w:p w14:paraId="08AC801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lastRenderedPageBreak/>
              <w:t>委員廖偉翔</w:t>
            </w:r>
          </w:p>
          <w:p w14:paraId="5CB9F7C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等16人</w:t>
            </w:r>
          </w:p>
          <w:p w14:paraId="65633A7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.3.13</w:t>
            </w:r>
          </w:p>
          <w:p w14:paraId="2AC7221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tcPr>
          <w:p w14:paraId="347419B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13</w:t>
            </w:r>
          </w:p>
          <w:p w14:paraId="650C166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5</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r w:rsidRPr="001B6E4D">
              <w:rPr>
                <w:rFonts w:ascii="標楷體" w:eastAsia="標楷體" w:hAnsi="標楷體" w:hint="eastAsia"/>
                <w:spacing w:val="-20"/>
                <w:kern w:val="0"/>
                <w:szCs w:val="22"/>
              </w:rPr>
              <w:lastRenderedPageBreak/>
              <w:t>。</w:t>
            </w:r>
          </w:p>
          <w:p w14:paraId="1BC4C78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2.115.4.9黨團協商。</w:t>
            </w:r>
          </w:p>
          <w:p w14:paraId="6727A33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76AE5E82"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A6C8B0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511E514D"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6F5CDC2A" w14:textId="77777777" w:rsidTr="0006693A">
        <w:trPr>
          <w:trHeight w:val="645"/>
        </w:trPr>
        <w:tc>
          <w:tcPr>
            <w:tcW w:w="516" w:type="dxa"/>
          </w:tcPr>
          <w:p w14:paraId="13F2A620"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5EDBD02C"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8.</w:t>
            </w:r>
            <w:r w:rsidRPr="001B6E4D">
              <w:rPr>
                <w:rFonts w:ascii="標楷體" w:eastAsia="標楷體" w:hAnsi="標楷體" w:hint="eastAsia"/>
                <w:color w:val="000000"/>
                <w:kern w:val="0"/>
                <w:szCs w:val="22"/>
              </w:rPr>
              <w:t>衛生福利部組織法第二條、第五條及第八</w:t>
            </w:r>
            <w:proofErr w:type="gramStart"/>
            <w:r w:rsidRPr="001B6E4D">
              <w:rPr>
                <w:rFonts w:ascii="標楷體" w:eastAsia="標楷體" w:hAnsi="標楷體" w:hint="eastAsia"/>
                <w:color w:val="000000"/>
                <w:kern w:val="0"/>
                <w:szCs w:val="22"/>
              </w:rPr>
              <w:t>條</w:t>
            </w:r>
            <w:proofErr w:type="gramEnd"/>
            <w:r w:rsidRPr="001B6E4D">
              <w:rPr>
                <w:rFonts w:ascii="標楷體" w:eastAsia="標楷體" w:hAnsi="標楷體" w:hint="eastAsia"/>
                <w:color w:val="000000"/>
                <w:kern w:val="0"/>
                <w:szCs w:val="22"/>
              </w:rPr>
              <w:t>條文修正草案</w:t>
            </w:r>
          </w:p>
        </w:tc>
        <w:tc>
          <w:tcPr>
            <w:tcW w:w="1500" w:type="dxa"/>
          </w:tcPr>
          <w:p w14:paraId="31CE0AD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委員許宇</w:t>
            </w:r>
            <w:proofErr w:type="gramStart"/>
            <w:r w:rsidRPr="001B6E4D">
              <w:rPr>
                <w:rFonts w:ascii="標楷體" w:eastAsia="標楷體" w:hAnsi="標楷體" w:hint="eastAsia"/>
                <w:color w:val="000000"/>
                <w:kern w:val="0"/>
                <w:szCs w:val="22"/>
              </w:rPr>
              <w:t>甄</w:t>
            </w:r>
            <w:proofErr w:type="gramEnd"/>
          </w:p>
          <w:p w14:paraId="4881BDC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等17人</w:t>
            </w:r>
          </w:p>
          <w:p w14:paraId="345B656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.3.</w:t>
            </w:r>
            <w:r w:rsidRPr="001B6E4D">
              <w:rPr>
                <w:rFonts w:ascii="標楷體" w:eastAsia="標楷體" w:hAnsi="標楷體" w:hint="eastAsia"/>
                <w:color w:val="000000"/>
                <w:kern w:val="0"/>
                <w:szCs w:val="22"/>
              </w:rPr>
              <w:t>20</w:t>
            </w:r>
          </w:p>
          <w:p w14:paraId="314EB50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w:t>
            </w:r>
          </w:p>
        </w:tc>
        <w:tc>
          <w:tcPr>
            <w:tcW w:w="1536" w:type="dxa"/>
          </w:tcPr>
          <w:p w14:paraId="3384A53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.20</w:t>
            </w:r>
          </w:p>
          <w:p w14:paraId="02C3F61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5</w:t>
            </w:r>
            <w:r w:rsidRPr="001B6E4D">
              <w:rPr>
                <w:rFonts w:ascii="標楷體" w:eastAsia="標楷體" w:hAnsi="標楷體" w:hint="eastAsia"/>
                <w:spacing w:val="-20"/>
                <w:kern w:val="0"/>
                <w:szCs w:val="22"/>
              </w:rPr>
              <w:t>-4）</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32C5B86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2.115.4.9黨團協商。</w:t>
            </w:r>
          </w:p>
          <w:p w14:paraId="663F7F7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2D0AC0DE"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095D20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5EA8088C"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627B1B36" w14:textId="77777777" w:rsidTr="0006693A">
        <w:trPr>
          <w:trHeight w:val="645"/>
        </w:trPr>
        <w:tc>
          <w:tcPr>
            <w:tcW w:w="516" w:type="dxa"/>
          </w:tcPr>
          <w:p w14:paraId="58773A62"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10796A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9.</w:t>
            </w:r>
            <w:r w:rsidRPr="001B6E4D">
              <w:rPr>
                <w:rFonts w:ascii="標楷體" w:eastAsia="標楷體" w:hAnsi="標楷體" w:hint="eastAsia"/>
                <w:color w:val="000000"/>
                <w:kern w:val="0"/>
                <w:szCs w:val="22"/>
              </w:rPr>
              <w:t>衛生福利部組織法第二條、第五條及第八</w:t>
            </w:r>
            <w:proofErr w:type="gramStart"/>
            <w:r w:rsidRPr="001B6E4D">
              <w:rPr>
                <w:rFonts w:ascii="標楷體" w:eastAsia="標楷體" w:hAnsi="標楷體" w:hint="eastAsia"/>
                <w:color w:val="000000"/>
                <w:kern w:val="0"/>
                <w:szCs w:val="22"/>
              </w:rPr>
              <w:t>條</w:t>
            </w:r>
            <w:proofErr w:type="gramEnd"/>
            <w:r w:rsidRPr="001B6E4D">
              <w:rPr>
                <w:rFonts w:ascii="標楷體" w:eastAsia="標楷體" w:hAnsi="標楷體" w:hint="eastAsia"/>
                <w:color w:val="000000"/>
                <w:kern w:val="0"/>
                <w:szCs w:val="22"/>
              </w:rPr>
              <w:t>條文修正草案</w:t>
            </w:r>
          </w:p>
        </w:tc>
        <w:tc>
          <w:tcPr>
            <w:tcW w:w="1500" w:type="dxa"/>
          </w:tcPr>
          <w:p w14:paraId="4B2B180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委員沈發惠</w:t>
            </w:r>
          </w:p>
          <w:p w14:paraId="4F448CB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等18人</w:t>
            </w:r>
          </w:p>
          <w:p w14:paraId="13D83F9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.3.</w:t>
            </w:r>
            <w:r w:rsidRPr="001B6E4D">
              <w:rPr>
                <w:rFonts w:ascii="標楷體" w:eastAsia="標楷體" w:hAnsi="標楷體" w:hint="eastAsia"/>
                <w:color w:val="000000"/>
                <w:kern w:val="0"/>
                <w:szCs w:val="22"/>
              </w:rPr>
              <w:t>27</w:t>
            </w:r>
          </w:p>
          <w:p w14:paraId="6A0BA91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p>
        </w:tc>
        <w:tc>
          <w:tcPr>
            <w:tcW w:w="1536" w:type="dxa"/>
          </w:tcPr>
          <w:p w14:paraId="5C63BF0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.27</w:t>
            </w:r>
          </w:p>
          <w:p w14:paraId="79A3AB2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5</w:t>
            </w:r>
            <w:r w:rsidRPr="001B6E4D">
              <w:rPr>
                <w:rFonts w:ascii="標楷體" w:eastAsia="標楷體" w:hAnsi="標楷體" w:hint="eastAsia"/>
                <w:spacing w:val="-20"/>
                <w:kern w:val="0"/>
                <w:szCs w:val="22"/>
              </w:rPr>
              <w:t>-5）</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16E9176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2.115.4.9黨團協商。</w:t>
            </w:r>
          </w:p>
          <w:p w14:paraId="0733EBE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6DED4E03"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3D6AE2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1DE482D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155B7F44" w14:textId="77777777" w:rsidTr="0006693A">
        <w:trPr>
          <w:trHeight w:val="645"/>
        </w:trPr>
        <w:tc>
          <w:tcPr>
            <w:tcW w:w="516" w:type="dxa"/>
          </w:tcPr>
          <w:p w14:paraId="27CFC28E"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867968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0.衛生福利部組織法第二</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69079EA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w:t>
            </w:r>
            <w:proofErr w:type="gramStart"/>
            <w:r w:rsidRPr="001B6E4D">
              <w:rPr>
                <w:rFonts w:ascii="標楷體" w:eastAsia="標楷體" w:hAnsi="標楷體"/>
                <w:color w:val="000000"/>
                <w:kern w:val="0"/>
                <w:szCs w:val="22"/>
              </w:rPr>
              <w:t>范</w:t>
            </w:r>
            <w:proofErr w:type="gramEnd"/>
            <w:r w:rsidRPr="001B6E4D">
              <w:rPr>
                <w:rFonts w:ascii="標楷體" w:eastAsia="標楷體" w:hAnsi="標楷體"/>
                <w:color w:val="000000"/>
                <w:kern w:val="0"/>
                <w:szCs w:val="22"/>
              </w:rPr>
              <w:t>雲</w:t>
            </w:r>
          </w:p>
          <w:p w14:paraId="645F2B9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32170F8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115.01.30</w:t>
            </w:r>
          </w:p>
          <w:p w14:paraId="39BC5EB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（11-4-20）</w:t>
            </w:r>
          </w:p>
        </w:tc>
        <w:tc>
          <w:tcPr>
            <w:tcW w:w="1536" w:type="dxa"/>
          </w:tcPr>
          <w:p w14:paraId="0A89E80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5.4.17</w:t>
            </w:r>
          </w:p>
          <w:p w14:paraId="6795FBD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-5-7）自司法及法制、社會福利及衛生環境兩委員會抽出</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7FEBA85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2.115.7.1黨團協商。</w:t>
            </w:r>
          </w:p>
        </w:tc>
        <w:tc>
          <w:tcPr>
            <w:tcW w:w="1460" w:type="dxa"/>
            <w:vMerge/>
          </w:tcPr>
          <w:p w14:paraId="0EA6231F"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69E062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75EA7E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43F6621" w14:textId="77777777" w:rsidTr="0006693A">
        <w:trPr>
          <w:trHeight w:val="645"/>
        </w:trPr>
        <w:tc>
          <w:tcPr>
            <w:tcW w:w="516" w:type="dxa"/>
          </w:tcPr>
          <w:p w14:paraId="722E1856"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D6883C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1.衛生福利部組織法第五條及第八</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5D93DF0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委員李昆澤</w:t>
            </w:r>
          </w:p>
          <w:p w14:paraId="0CDFEDE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w:t>
            </w:r>
            <w:r w:rsidRPr="001B6E4D">
              <w:rPr>
                <w:rFonts w:ascii="標楷體" w:eastAsia="標楷體" w:hAnsi="標楷體"/>
                <w:color w:val="000000"/>
                <w:kern w:val="0"/>
                <w:szCs w:val="22"/>
              </w:rPr>
              <w:t>16人</w:t>
            </w:r>
          </w:p>
          <w:p w14:paraId="05B59E8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06</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26</w:t>
            </w:r>
          </w:p>
          <w:p w14:paraId="238EF64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15</w:t>
            </w:r>
            <w:r w:rsidRPr="001B6E4D">
              <w:rPr>
                <w:rFonts w:ascii="標楷體" w:eastAsia="標楷體" w:hAnsi="標楷體"/>
                <w:color w:val="000000"/>
                <w:kern w:val="0"/>
                <w:szCs w:val="22"/>
              </w:rPr>
              <w:t>）</w:t>
            </w:r>
          </w:p>
        </w:tc>
        <w:tc>
          <w:tcPr>
            <w:tcW w:w="1536" w:type="dxa"/>
          </w:tcPr>
          <w:p w14:paraId="3E8A26A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5.6.26</w:t>
            </w:r>
          </w:p>
          <w:p w14:paraId="54FABFD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-5-15）</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329EAB1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2.115.7.1黨團協商。</w:t>
            </w:r>
          </w:p>
        </w:tc>
        <w:tc>
          <w:tcPr>
            <w:tcW w:w="1460" w:type="dxa"/>
            <w:vMerge/>
          </w:tcPr>
          <w:p w14:paraId="0C177C16"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C0017D4"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2A9F16E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97280F2" w14:textId="77777777" w:rsidTr="0006693A">
        <w:trPr>
          <w:trHeight w:val="645"/>
        </w:trPr>
        <w:tc>
          <w:tcPr>
            <w:tcW w:w="516" w:type="dxa"/>
          </w:tcPr>
          <w:p w14:paraId="7F3DC644"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FEC2D70"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1.國家醫療科技評估中心設置條例草案</w:t>
            </w:r>
          </w:p>
        </w:tc>
        <w:tc>
          <w:tcPr>
            <w:tcW w:w="1500" w:type="dxa"/>
          </w:tcPr>
          <w:p w14:paraId="229822F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w:t>
            </w:r>
          </w:p>
          <w:p w14:paraId="418137C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114.12.19</w:t>
            </w:r>
          </w:p>
          <w:p w14:paraId="1545273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（11-4-14）</w:t>
            </w:r>
          </w:p>
        </w:tc>
        <w:tc>
          <w:tcPr>
            <w:tcW w:w="1536" w:type="dxa"/>
            <w:vMerge w:val="restart"/>
          </w:tcPr>
          <w:p w14:paraId="18FED1C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1.第1-4案</w:t>
            </w:r>
          </w:p>
          <w:p w14:paraId="02C2CD3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0647452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115.1.7</w:t>
            </w:r>
          </w:p>
          <w:p w14:paraId="77345C9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(11-4-1)報告及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p>
          <w:p w14:paraId="2ED09D2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2.第1-8案</w:t>
            </w:r>
          </w:p>
          <w:p w14:paraId="142ACF5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4961307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115.1.19</w:t>
            </w:r>
          </w:p>
          <w:p w14:paraId="308C583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(11-4-2)審查完竣，須交由黨團協商。</w:t>
            </w:r>
          </w:p>
          <w:p w14:paraId="1320DE7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3.115.4.9黨團協商。</w:t>
            </w:r>
          </w:p>
          <w:p w14:paraId="6F02722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4.115.7.1黨團協商。</w:t>
            </w:r>
          </w:p>
        </w:tc>
        <w:tc>
          <w:tcPr>
            <w:tcW w:w="1460" w:type="dxa"/>
            <w:vMerge w:val="restart"/>
          </w:tcPr>
          <w:p w14:paraId="4BE36CC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院會</w:t>
            </w:r>
          </w:p>
          <w:p w14:paraId="6ED2253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w:t>
            </w:r>
            <w:r w:rsidRPr="001B6E4D">
              <w:rPr>
                <w:rFonts w:ascii="標楷體" w:eastAsia="標楷體" w:hAnsi="標楷體" w:hint="eastAsia"/>
                <w:color w:val="000000"/>
                <w:spacing w:val="-20"/>
                <w:szCs w:val="22"/>
              </w:rPr>
              <w:t>5</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8</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25</w:t>
            </w:r>
          </w:p>
          <w:p w14:paraId="0EEB0EB8"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w:t>
            </w:r>
            <w:r w:rsidRPr="001B6E4D">
              <w:rPr>
                <w:rFonts w:ascii="標楷體" w:eastAsia="標楷體" w:hAnsi="標楷體" w:hint="eastAsia"/>
                <w:color w:val="000000"/>
                <w:spacing w:val="-20"/>
                <w:szCs w:val="22"/>
              </w:rPr>
              <w:t>5</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23</w:t>
            </w:r>
            <w:r w:rsidRPr="001B6E4D">
              <w:rPr>
                <w:rFonts w:ascii="標楷體" w:eastAsia="標楷體" w:hAnsi="標楷體"/>
                <w:color w:val="000000"/>
                <w:spacing w:val="-20"/>
                <w:szCs w:val="22"/>
              </w:rPr>
              <w:t>)</w:t>
            </w:r>
          </w:p>
          <w:p w14:paraId="6AA06B01"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三讀制定國家醫療科技評估中心設置條例</w:t>
            </w:r>
            <w:r w:rsidRPr="001B6E4D">
              <w:rPr>
                <w:rFonts w:ascii="標楷體" w:eastAsia="標楷體" w:hAnsi="標楷體" w:hint="eastAsia"/>
                <w:color w:val="000000"/>
                <w:spacing w:val="-20"/>
                <w:szCs w:val="22"/>
              </w:rPr>
              <w:t>。</w:t>
            </w:r>
          </w:p>
        </w:tc>
        <w:tc>
          <w:tcPr>
            <w:tcW w:w="1682" w:type="dxa"/>
            <w:vMerge w:val="restart"/>
          </w:tcPr>
          <w:p w14:paraId="4A7403DA" w14:textId="77777777" w:rsidR="00B05C66" w:rsidRDefault="003E5E33" w:rsidP="003D1018">
            <w:pPr>
              <w:widowControl w:val="0"/>
              <w:kinsoku w:val="0"/>
              <w:overflowPunct w:val="0"/>
              <w:spacing w:line="300" w:lineRule="exact"/>
              <w:rPr>
                <w:rFonts w:ascii="標楷體" w:eastAsia="標楷體" w:hAnsi="標楷體"/>
                <w:color w:val="000000"/>
                <w:spacing w:val="-20"/>
                <w:szCs w:val="22"/>
              </w:rPr>
            </w:pPr>
            <w:r w:rsidRPr="003E5E33">
              <w:rPr>
                <w:rFonts w:ascii="標楷體" w:eastAsia="標楷體" w:hAnsi="標楷體" w:hint="eastAsia"/>
                <w:color w:val="000000"/>
                <w:spacing w:val="-20"/>
                <w:szCs w:val="22"/>
              </w:rPr>
              <w:t>115年9月21日台立院議字第1150703468號</w:t>
            </w:r>
          </w:p>
          <w:p w14:paraId="15D3893C" w14:textId="77777777" w:rsidR="00BA787E" w:rsidRDefault="00BA787E" w:rsidP="003D1018">
            <w:pPr>
              <w:widowControl w:val="0"/>
              <w:kinsoku w:val="0"/>
              <w:overflowPunct w:val="0"/>
              <w:spacing w:line="300" w:lineRule="exact"/>
              <w:rPr>
                <w:rFonts w:ascii="標楷體" w:eastAsia="標楷體" w:hAnsi="標楷體"/>
                <w:color w:val="000000"/>
                <w:spacing w:val="-20"/>
                <w:szCs w:val="22"/>
              </w:rPr>
            </w:pPr>
          </w:p>
          <w:p w14:paraId="2735EE1D" w14:textId="06D87E50" w:rsidR="00BA787E" w:rsidRPr="001B6E4D" w:rsidRDefault="00BA787E" w:rsidP="003D1018">
            <w:pPr>
              <w:widowControl w:val="0"/>
              <w:kinsoku w:val="0"/>
              <w:overflowPunct w:val="0"/>
              <w:spacing w:line="300" w:lineRule="exact"/>
              <w:rPr>
                <w:rFonts w:ascii="標楷體" w:eastAsia="標楷體" w:hAnsi="標楷體" w:hint="eastAsia"/>
                <w:color w:val="000000"/>
                <w:spacing w:val="-20"/>
                <w:szCs w:val="22"/>
              </w:rPr>
            </w:pPr>
            <w:r w:rsidRPr="00BA787E">
              <w:rPr>
                <w:rFonts w:ascii="標楷體" w:eastAsia="標楷體" w:hAnsi="標楷體" w:hint="eastAsia"/>
                <w:color w:val="000000"/>
                <w:spacing w:val="-20"/>
                <w:szCs w:val="22"/>
              </w:rPr>
              <w:t>115年9月30日華總</w:t>
            </w:r>
            <w:proofErr w:type="gramStart"/>
            <w:r w:rsidRPr="00BA787E">
              <w:rPr>
                <w:rFonts w:ascii="標楷體" w:eastAsia="標楷體" w:hAnsi="標楷體" w:hint="eastAsia"/>
                <w:color w:val="000000"/>
                <w:spacing w:val="-20"/>
                <w:szCs w:val="22"/>
              </w:rPr>
              <w:t>一義字第11500094161號</w:t>
            </w:r>
            <w:proofErr w:type="gramEnd"/>
          </w:p>
        </w:tc>
        <w:tc>
          <w:tcPr>
            <w:tcW w:w="1071" w:type="dxa"/>
            <w:vMerge w:val="restart"/>
          </w:tcPr>
          <w:p w14:paraId="5AFCA5D3" w14:textId="0EB3B25E" w:rsidR="00B05C66" w:rsidRPr="001B6E4D" w:rsidRDefault="00961046" w:rsidP="003D1018">
            <w:pPr>
              <w:widowControl w:val="0"/>
              <w:kinsoku w:val="0"/>
              <w:overflowPunct w:val="0"/>
              <w:spacing w:line="300" w:lineRule="exact"/>
              <w:jc w:val="both"/>
              <w:rPr>
                <w:rFonts w:ascii="標楷體" w:eastAsia="標楷體" w:hAnsi="標楷體"/>
                <w:color w:val="000000"/>
                <w:spacing w:val="-28"/>
                <w:szCs w:val="22"/>
              </w:rPr>
            </w:pPr>
            <w:r w:rsidRPr="00961046">
              <w:rPr>
                <w:rFonts w:ascii="標楷體" w:eastAsia="標楷體" w:hAnsi="標楷體" w:hint="eastAsia"/>
                <w:color w:val="000000"/>
                <w:spacing w:val="-28"/>
                <w:szCs w:val="22"/>
              </w:rPr>
              <w:t>第7885號</w:t>
            </w:r>
          </w:p>
        </w:tc>
      </w:tr>
      <w:tr w:rsidR="00B05C66" w:rsidRPr="001B6E4D" w14:paraId="7A04E79A" w14:textId="77777777" w:rsidTr="0006693A">
        <w:trPr>
          <w:trHeight w:val="645"/>
        </w:trPr>
        <w:tc>
          <w:tcPr>
            <w:tcW w:w="516" w:type="dxa"/>
          </w:tcPr>
          <w:p w14:paraId="28C98FF8"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57A4DE9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2.國家醫療科技評估中心設置條例草案</w:t>
            </w:r>
          </w:p>
        </w:tc>
        <w:tc>
          <w:tcPr>
            <w:tcW w:w="1500" w:type="dxa"/>
          </w:tcPr>
          <w:p w14:paraId="6AFBCA8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5895730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786BF45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608AA5E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420B23D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406A2321"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2D27BC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1FE39CD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2AC12D6" w14:textId="77777777" w:rsidTr="0006693A">
        <w:trPr>
          <w:trHeight w:val="645"/>
        </w:trPr>
        <w:tc>
          <w:tcPr>
            <w:tcW w:w="516" w:type="dxa"/>
          </w:tcPr>
          <w:p w14:paraId="2935F6A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645553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3.國家醫療科技評估中心設置條例草案</w:t>
            </w:r>
          </w:p>
        </w:tc>
        <w:tc>
          <w:tcPr>
            <w:tcW w:w="1500" w:type="dxa"/>
          </w:tcPr>
          <w:p w14:paraId="7CE3F1C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委員郭昱晴</w:t>
            </w:r>
          </w:p>
          <w:p w14:paraId="4FC0543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206B768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55AE195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130FF13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5A551B9"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23D0D6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B37470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4E583954" w14:textId="77777777" w:rsidTr="0006693A">
        <w:trPr>
          <w:trHeight w:val="645"/>
        </w:trPr>
        <w:tc>
          <w:tcPr>
            <w:tcW w:w="516" w:type="dxa"/>
          </w:tcPr>
          <w:p w14:paraId="3E5B5FED"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527BEC2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4.國家醫療科技評估中心設置條例草案</w:t>
            </w:r>
          </w:p>
        </w:tc>
        <w:tc>
          <w:tcPr>
            <w:tcW w:w="1500" w:type="dxa"/>
          </w:tcPr>
          <w:p w14:paraId="7720557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委員張雅琳</w:t>
            </w:r>
          </w:p>
          <w:p w14:paraId="2E7B64E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4EDB1EC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473893D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608D110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1ED3E70F"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253DAE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2602A3F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4B4ACD3" w14:textId="77777777" w:rsidTr="0006693A">
        <w:trPr>
          <w:trHeight w:val="645"/>
        </w:trPr>
        <w:tc>
          <w:tcPr>
            <w:tcW w:w="516" w:type="dxa"/>
          </w:tcPr>
          <w:p w14:paraId="299C311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815316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5.國家醫療科技評估中心設置條例草案</w:t>
            </w:r>
          </w:p>
        </w:tc>
        <w:tc>
          <w:tcPr>
            <w:tcW w:w="1500" w:type="dxa"/>
          </w:tcPr>
          <w:p w14:paraId="1016012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委員林月琴</w:t>
            </w:r>
          </w:p>
          <w:p w14:paraId="37373E3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D5A7FE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73EA668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026D766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C635FF3"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B64B8A8"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720CEB88"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819E1C6" w14:textId="77777777" w:rsidTr="0006693A">
        <w:trPr>
          <w:trHeight w:val="645"/>
        </w:trPr>
        <w:tc>
          <w:tcPr>
            <w:tcW w:w="516" w:type="dxa"/>
          </w:tcPr>
          <w:p w14:paraId="5257148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1BCA02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6.國家醫療科技評估中心設置條例草案</w:t>
            </w:r>
          </w:p>
        </w:tc>
        <w:tc>
          <w:tcPr>
            <w:tcW w:w="1500" w:type="dxa"/>
          </w:tcPr>
          <w:p w14:paraId="6C5972E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委員王正旭</w:t>
            </w:r>
          </w:p>
          <w:p w14:paraId="3E98F2E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0CAABD8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0D353CA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4E63D7D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75CF7EC"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4A0133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C0F0AB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CEA83BF" w14:textId="77777777" w:rsidTr="0006693A">
        <w:trPr>
          <w:trHeight w:val="645"/>
        </w:trPr>
        <w:tc>
          <w:tcPr>
            <w:tcW w:w="516" w:type="dxa"/>
          </w:tcPr>
          <w:p w14:paraId="03F7289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BDE1E60"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7.國家醫療科技評估中心設置條例草案</w:t>
            </w:r>
          </w:p>
        </w:tc>
        <w:tc>
          <w:tcPr>
            <w:tcW w:w="1500" w:type="dxa"/>
          </w:tcPr>
          <w:p w14:paraId="53400EB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委員徐巧芯</w:t>
            </w:r>
          </w:p>
          <w:p w14:paraId="5B811AA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02E978C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51CA3B0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5647A79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15F4CB69"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B2C2B2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1881216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E5D2543" w14:textId="77777777" w:rsidTr="0006693A">
        <w:trPr>
          <w:trHeight w:val="645"/>
        </w:trPr>
        <w:tc>
          <w:tcPr>
            <w:tcW w:w="516" w:type="dxa"/>
          </w:tcPr>
          <w:p w14:paraId="3BCCF361"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40A1A48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8.國家醫療科技評估中心設置條例草案</w:t>
            </w:r>
          </w:p>
        </w:tc>
        <w:tc>
          <w:tcPr>
            <w:tcW w:w="1500" w:type="dxa"/>
          </w:tcPr>
          <w:p w14:paraId="1431DC8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委員劉建國</w:t>
            </w:r>
          </w:p>
          <w:p w14:paraId="57E53EA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10A1FEF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31BFF3B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2BF5C27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0E3158C6"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62750B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7D512DF6"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61BB5C33" w14:textId="77777777" w:rsidTr="0006693A">
        <w:trPr>
          <w:trHeight w:val="645"/>
        </w:trPr>
        <w:tc>
          <w:tcPr>
            <w:tcW w:w="516" w:type="dxa"/>
          </w:tcPr>
          <w:p w14:paraId="466B4E96"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DB2A2C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9</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國家醫療科技評估中心設置條例草案</w:t>
            </w:r>
          </w:p>
        </w:tc>
        <w:tc>
          <w:tcPr>
            <w:tcW w:w="1500" w:type="dxa"/>
          </w:tcPr>
          <w:p w14:paraId="691AFD9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委員林楚</w:t>
            </w:r>
            <w:proofErr w:type="gramStart"/>
            <w:r w:rsidRPr="001B6E4D">
              <w:rPr>
                <w:rFonts w:ascii="標楷體" w:eastAsia="標楷體" w:hAnsi="標楷體" w:hint="eastAsia"/>
                <w:color w:val="000000"/>
                <w:kern w:val="0"/>
                <w:szCs w:val="22"/>
              </w:rPr>
              <w:t>茵</w:t>
            </w:r>
            <w:proofErr w:type="gramEnd"/>
          </w:p>
          <w:p w14:paraId="4B8043A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等19人</w:t>
            </w:r>
          </w:p>
          <w:p w14:paraId="12B052C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.3.13</w:t>
            </w:r>
          </w:p>
          <w:p w14:paraId="116498D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tcPr>
          <w:p w14:paraId="5B47AC2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13</w:t>
            </w:r>
          </w:p>
          <w:p w14:paraId="67A3EAF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5</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1679282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lastRenderedPageBreak/>
              <w:t>2.115.4.9黨團協商。</w:t>
            </w:r>
          </w:p>
          <w:p w14:paraId="4105F24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1C2D4C2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0CFB91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BFC1B98"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88EC8A1" w14:textId="77777777" w:rsidTr="0006693A">
        <w:trPr>
          <w:trHeight w:val="645"/>
        </w:trPr>
        <w:tc>
          <w:tcPr>
            <w:tcW w:w="516" w:type="dxa"/>
          </w:tcPr>
          <w:p w14:paraId="6BCD0364"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307FEA0"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0.國家醫療科技評估中心設置條例草案</w:t>
            </w:r>
          </w:p>
        </w:tc>
        <w:tc>
          <w:tcPr>
            <w:tcW w:w="1500" w:type="dxa"/>
          </w:tcPr>
          <w:p w14:paraId="54C01E2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委員沈發惠</w:t>
            </w:r>
          </w:p>
          <w:p w14:paraId="6951E32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w:t>
            </w:r>
            <w:r w:rsidRPr="001B6E4D">
              <w:rPr>
                <w:rFonts w:ascii="標楷體" w:eastAsia="標楷體" w:hAnsi="標楷體"/>
                <w:color w:val="000000"/>
                <w:kern w:val="0"/>
                <w:szCs w:val="22"/>
              </w:rPr>
              <w:t>18人</w:t>
            </w:r>
          </w:p>
          <w:p w14:paraId="058474B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.3.</w:t>
            </w:r>
            <w:r w:rsidRPr="001B6E4D">
              <w:rPr>
                <w:rFonts w:ascii="標楷體" w:eastAsia="標楷體" w:hAnsi="標楷體" w:hint="eastAsia"/>
                <w:color w:val="000000"/>
                <w:kern w:val="0"/>
                <w:szCs w:val="22"/>
              </w:rPr>
              <w:t>27</w:t>
            </w:r>
          </w:p>
          <w:p w14:paraId="457D40C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p>
        </w:tc>
        <w:tc>
          <w:tcPr>
            <w:tcW w:w="1536" w:type="dxa"/>
          </w:tcPr>
          <w:p w14:paraId="712AFF0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.27</w:t>
            </w:r>
          </w:p>
          <w:p w14:paraId="1986057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5</w:t>
            </w:r>
            <w:r w:rsidRPr="001B6E4D">
              <w:rPr>
                <w:rFonts w:ascii="標楷體" w:eastAsia="標楷體" w:hAnsi="標楷體" w:hint="eastAsia"/>
                <w:spacing w:val="-20"/>
                <w:kern w:val="0"/>
                <w:szCs w:val="22"/>
              </w:rPr>
              <w:t>-5）</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458B4A2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2.115.4.9黨團協商。</w:t>
            </w:r>
          </w:p>
          <w:p w14:paraId="0BA91B1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71819939"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3E00550"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14388D3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0E140EE" w14:textId="77777777" w:rsidTr="0006693A">
        <w:trPr>
          <w:trHeight w:val="645"/>
        </w:trPr>
        <w:tc>
          <w:tcPr>
            <w:tcW w:w="516" w:type="dxa"/>
          </w:tcPr>
          <w:p w14:paraId="78B3AB2A"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FBA72E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1.國家醫療科技評估中心設置條例草案</w:t>
            </w:r>
          </w:p>
        </w:tc>
        <w:tc>
          <w:tcPr>
            <w:tcW w:w="1500" w:type="dxa"/>
          </w:tcPr>
          <w:p w14:paraId="4ED7D3E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台灣民眾</w:t>
            </w:r>
            <w:proofErr w:type="gramStart"/>
            <w:r w:rsidRPr="001B6E4D">
              <w:rPr>
                <w:rFonts w:ascii="標楷體" w:eastAsia="標楷體" w:hAnsi="標楷體"/>
                <w:color w:val="000000"/>
                <w:kern w:val="0"/>
                <w:szCs w:val="22"/>
              </w:rPr>
              <w:t>黨</w:t>
            </w:r>
            <w:proofErr w:type="gramEnd"/>
            <w:r w:rsidRPr="001B6E4D">
              <w:rPr>
                <w:rFonts w:ascii="標楷體" w:eastAsia="標楷體" w:hAnsi="標楷體"/>
                <w:color w:val="000000"/>
                <w:kern w:val="0"/>
                <w:szCs w:val="22"/>
              </w:rPr>
              <w:t>黨團</w:t>
            </w:r>
          </w:p>
          <w:p w14:paraId="48E9FF2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115.01.23</w:t>
            </w:r>
          </w:p>
          <w:p w14:paraId="53EEE6D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（11-4-19）</w:t>
            </w:r>
          </w:p>
        </w:tc>
        <w:tc>
          <w:tcPr>
            <w:tcW w:w="1536" w:type="dxa"/>
          </w:tcPr>
          <w:p w14:paraId="0F19C3B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5.4.17</w:t>
            </w:r>
          </w:p>
          <w:p w14:paraId="6A76B4A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-5-7）自司法及法制、社會福利及衛生環境兩委員會抽出</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66FE1F3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2.115.7.1黨團協商。</w:t>
            </w:r>
          </w:p>
        </w:tc>
        <w:tc>
          <w:tcPr>
            <w:tcW w:w="1460" w:type="dxa"/>
            <w:vMerge/>
          </w:tcPr>
          <w:p w14:paraId="3E00A766"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3A22B7C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0F1A20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0C5ACDB9" w14:textId="77777777" w:rsidTr="0006693A">
        <w:trPr>
          <w:trHeight w:val="645"/>
        </w:trPr>
        <w:tc>
          <w:tcPr>
            <w:tcW w:w="516" w:type="dxa"/>
          </w:tcPr>
          <w:p w14:paraId="4C84BD42"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B5D5BC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1.衛生福利部中央健康</w:t>
            </w:r>
            <w:proofErr w:type="gramStart"/>
            <w:r w:rsidRPr="001B6E4D">
              <w:rPr>
                <w:rFonts w:ascii="標楷體" w:eastAsia="標楷體" w:hAnsi="標楷體"/>
                <w:color w:val="000000"/>
                <w:kern w:val="0"/>
                <w:szCs w:val="22"/>
              </w:rPr>
              <w:t>保險署</w:t>
            </w:r>
            <w:proofErr w:type="gramEnd"/>
            <w:r w:rsidRPr="001B6E4D">
              <w:rPr>
                <w:rFonts w:ascii="標楷體" w:eastAsia="標楷體" w:hAnsi="標楷體"/>
                <w:color w:val="000000"/>
                <w:kern w:val="0"/>
                <w:szCs w:val="22"/>
              </w:rPr>
              <w:t>組織法第二</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6797A49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w:t>
            </w:r>
          </w:p>
          <w:p w14:paraId="3F92C60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114.12.19</w:t>
            </w:r>
          </w:p>
          <w:p w14:paraId="7CC477D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（11-4-14）</w:t>
            </w:r>
          </w:p>
        </w:tc>
        <w:tc>
          <w:tcPr>
            <w:tcW w:w="1536" w:type="dxa"/>
            <w:vMerge w:val="restart"/>
          </w:tcPr>
          <w:p w14:paraId="1837AB1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1.第1-5案</w:t>
            </w:r>
          </w:p>
          <w:p w14:paraId="2AAB353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05268BF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115.1.7</w:t>
            </w:r>
          </w:p>
          <w:p w14:paraId="32D3CFD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(11-4-1)報告及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p>
          <w:p w14:paraId="02D9D19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2.第1-8案</w:t>
            </w:r>
          </w:p>
          <w:p w14:paraId="794A36D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2F26BDA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115.1.19</w:t>
            </w:r>
          </w:p>
          <w:p w14:paraId="7C46C7F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(11-4-2)審查完竣，須交由黨團協商。</w:t>
            </w:r>
          </w:p>
          <w:p w14:paraId="4273660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3.115.4.9黨團協商。</w:t>
            </w:r>
          </w:p>
          <w:p w14:paraId="601E76C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4.115.7.1黨團協商。</w:t>
            </w:r>
          </w:p>
        </w:tc>
        <w:tc>
          <w:tcPr>
            <w:tcW w:w="1460" w:type="dxa"/>
            <w:vMerge w:val="restart"/>
          </w:tcPr>
          <w:p w14:paraId="0BBEC440"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307B8193"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8.25</w:t>
            </w:r>
          </w:p>
          <w:p w14:paraId="0D26B255"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23</w:t>
            </w:r>
            <w:r w:rsidRPr="001B6E4D">
              <w:rPr>
                <w:rFonts w:ascii="標楷體" w:eastAsia="標楷體" w:hAnsi="標楷體"/>
                <w:spacing w:val="-20"/>
                <w:kern w:val="0"/>
                <w:szCs w:val="22"/>
              </w:rPr>
              <w:t>)</w:t>
            </w:r>
          </w:p>
          <w:p w14:paraId="209416C3"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三讀修正第二條條文。</w:t>
            </w:r>
          </w:p>
        </w:tc>
        <w:tc>
          <w:tcPr>
            <w:tcW w:w="1682" w:type="dxa"/>
            <w:vMerge w:val="restart"/>
          </w:tcPr>
          <w:p w14:paraId="06325365" w14:textId="77777777" w:rsidR="00B05C66" w:rsidRDefault="001B418F" w:rsidP="003D1018">
            <w:pPr>
              <w:widowControl w:val="0"/>
              <w:kinsoku w:val="0"/>
              <w:overflowPunct w:val="0"/>
              <w:spacing w:line="300" w:lineRule="exact"/>
              <w:rPr>
                <w:rFonts w:ascii="標楷體" w:eastAsia="標楷體" w:hAnsi="標楷體"/>
                <w:color w:val="000000"/>
                <w:spacing w:val="-20"/>
                <w:szCs w:val="22"/>
              </w:rPr>
            </w:pPr>
            <w:r w:rsidRPr="001B418F">
              <w:rPr>
                <w:rFonts w:ascii="標楷體" w:eastAsia="標楷體" w:hAnsi="標楷體" w:hint="eastAsia"/>
                <w:color w:val="000000"/>
                <w:spacing w:val="-20"/>
                <w:szCs w:val="22"/>
              </w:rPr>
              <w:t>115年9月21日台立院議字第1150703470號</w:t>
            </w:r>
          </w:p>
          <w:p w14:paraId="0A2B105D" w14:textId="77777777" w:rsidR="00BA787E" w:rsidRDefault="00BA787E" w:rsidP="003D1018">
            <w:pPr>
              <w:widowControl w:val="0"/>
              <w:kinsoku w:val="0"/>
              <w:overflowPunct w:val="0"/>
              <w:spacing w:line="300" w:lineRule="exact"/>
              <w:rPr>
                <w:rFonts w:ascii="標楷體" w:eastAsia="標楷體" w:hAnsi="標楷體"/>
                <w:color w:val="000000"/>
                <w:spacing w:val="-20"/>
                <w:szCs w:val="22"/>
              </w:rPr>
            </w:pPr>
          </w:p>
          <w:p w14:paraId="6C39ECF0" w14:textId="0B5A0383" w:rsidR="00BA787E" w:rsidRPr="001B6E4D" w:rsidRDefault="00BA787E" w:rsidP="003D1018">
            <w:pPr>
              <w:widowControl w:val="0"/>
              <w:kinsoku w:val="0"/>
              <w:overflowPunct w:val="0"/>
              <w:spacing w:line="300" w:lineRule="exact"/>
              <w:rPr>
                <w:rFonts w:ascii="標楷體" w:eastAsia="標楷體" w:hAnsi="標楷體" w:hint="eastAsia"/>
                <w:color w:val="000000"/>
                <w:spacing w:val="-20"/>
                <w:szCs w:val="22"/>
              </w:rPr>
            </w:pPr>
            <w:r w:rsidRPr="00BA787E">
              <w:rPr>
                <w:rFonts w:ascii="標楷體" w:eastAsia="標楷體" w:hAnsi="標楷體" w:hint="eastAsia"/>
                <w:color w:val="000000"/>
                <w:spacing w:val="-20"/>
                <w:szCs w:val="22"/>
              </w:rPr>
              <w:t>115年9月30日華總</w:t>
            </w:r>
            <w:proofErr w:type="gramStart"/>
            <w:r w:rsidRPr="00BA787E">
              <w:rPr>
                <w:rFonts w:ascii="標楷體" w:eastAsia="標楷體" w:hAnsi="標楷體" w:hint="eastAsia"/>
                <w:color w:val="000000"/>
                <w:spacing w:val="-20"/>
                <w:szCs w:val="22"/>
              </w:rPr>
              <w:t>一義字第11500094201號</w:t>
            </w:r>
            <w:proofErr w:type="gramEnd"/>
          </w:p>
        </w:tc>
        <w:tc>
          <w:tcPr>
            <w:tcW w:w="1071" w:type="dxa"/>
            <w:vMerge w:val="restart"/>
          </w:tcPr>
          <w:p w14:paraId="05439293" w14:textId="2BA84B61" w:rsidR="00B05C66" w:rsidRPr="001B6E4D" w:rsidRDefault="00961046" w:rsidP="003D1018">
            <w:pPr>
              <w:widowControl w:val="0"/>
              <w:kinsoku w:val="0"/>
              <w:overflowPunct w:val="0"/>
              <w:spacing w:line="300" w:lineRule="exact"/>
              <w:jc w:val="both"/>
              <w:rPr>
                <w:rFonts w:ascii="標楷體" w:eastAsia="標楷體" w:hAnsi="標楷體"/>
                <w:color w:val="000000"/>
                <w:spacing w:val="-28"/>
                <w:szCs w:val="22"/>
              </w:rPr>
            </w:pPr>
            <w:r w:rsidRPr="00961046">
              <w:rPr>
                <w:rFonts w:ascii="標楷體" w:eastAsia="標楷體" w:hAnsi="標楷體" w:hint="eastAsia"/>
                <w:color w:val="000000"/>
                <w:spacing w:val="-28"/>
                <w:szCs w:val="22"/>
              </w:rPr>
              <w:t>第7885號</w:t>
            </w:r>
          </w:p>
        </w:tc>
      </w:tr>
      <w:tr w:rsidR="00B05C66" w:rsidRPr="001B6E4D" w14:paraId="2659F09B" w14:textId="77777777" w:rsidTr="0006693A">
        <w:trPr>
          <w:trHeight w:val="645"/>
        </w:trPr>
        <w:tc>
          <w:tcPr>
            <w:tcW w:w="516" w:type="dxa"/>
          </w:tcPr>
          <w:p w14:paraId="1292EE27"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9C70DA2"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2.衛生福利部中央健康</w:t>
            </w:r>
            <w:proofErr w:type="gramStart"/>
            <w:r w:rsidRPr="001B6E4D">
              <w:rPr>
                <w:rFonts w:ascii="標楷體" w:eastAsia="標楷體" w:hAnsi="標楷體"/>
                <w:color w:val="000000"/>
                <w:kern w:val="0"/>
                <w:szCs w:val="22"/>
              </w:rPr>
              <w:t>保險署</w:t>
            </w:r>
            <w:proofErr w:type="gramEnd"/>
            <w:r w:rsidRPr="001B6E4D">
              <w:rPr>
                <w:rFonts w:ascii="標楷體" w:eastAsia="標楷體" w:hAnsi="標楷體"/>
                <w:color w:val="000000"/>
                <w:kern w:val="0"/>
                <w:szCs w:val="22"/>
              </w:rPr>
              <w:t>組織法第二</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5462D3E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6E68D6E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470A4C4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711CA47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72DD77C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5495A39"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5A170E74"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192588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13AB04C" w14:textId="77777777" w:rsidTr="0006693A">
        <w:trPr>
          <w:trHeight w:val="645"/>
        </w:trPr>
        <w:tc>
          <w:tcPr>
            <w:tcW w:w="516" w:type="dxa"/>
          </w:tcPr>
          <w:p w14:paraId="6370366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2E52F2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3.衛生福利部中央健康</w:t>
            </w:r>
            <w:proofErr w:type="gramStart"/>
            <w:r w:rsidRPr="001B6E4D">
              <w:rPr>
                <w:rFonts w:ascii="標楷體" w:eastAsia="標楷體" w:hAnsi="標楷體"/>
                <w:color w:val="000000"/>
                <w:kern w:val="0"/>
                <w:szCs w:val="22"/>
              </w:rPr>
              <w:t>保險署</w:t>
            </w:r>
            <w:proofErr w:type="gramEnd"/>
            <w:r w:rsidRPr="001B6E4D">
              <w:rPr>
                <w:rFonts w:ascii="標楷體" w:eastAsia="標楷體" w:hAnsi="標楷體"/>
                <w:color w:val="000000"/>
                <w:kern w:val="0"/>
                <w:szCs w:val="22"/>
              </w:rPr>
              <w:t>組織法第二</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0D4E6AB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委員郭昱晴</w:t>
            </w:r>
          </w:p>
          <w:p w14:paraId="1460EB3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652D473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1511204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4D1133B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27F8E199"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1F36B5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269003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14271A18" w14:textId="77777777" w:rsidTr="0006693A">
        <w:trPr>
          <w:trHeight w:val="645"/>
        </w:trPr>
        <w:tc>
          <w:tcPr>
            <w:tcW w:w="516" w:type="dxa"/>
          </w:tcPr>
          <w:p w14:paraId="538A3DC8"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9710A4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4.衛生福利部中央健康</w:t>
            </w:r>
            <w:proofErr w:type="gramStart"/>
            <w:r w:rsidRPr="001B6E4D">
              <w:rPr>
                <w:rFonts w:ascii="標楷體" w:eastAsia="標楷體" w:hAnsi="標楷體"/>
                <w:color w:val="000000"/>
                <w:kern w:val="0"/>
                <w:szCs w:val="22"/>
              </w:rPr>
              <w:t>保險署</w:t>
            </w:r>
            <w:proofErr w:type="gramEnd"/>
            <w:r w:rsidRPr="001B6E4D">
              <w:rPr>
                <w:rFonts w:ascii="標楷體" w:eastAsia="標楷體" w:hAnsi="標楷體"/>
                <w:color w:val="000000"/>
                <w:kern w:val="0"/>
                <w:szCs w:val="22"/>
              </w:rPr>
              <w:t>組織法第二</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00A34F5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委員張雅琳</w:t>
            </w:r>
          </w:p>
          <w:p w14:paraId="1427432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4146F4E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5A2DEB7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2EAF168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0E006B9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12CA0A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81BF8DD"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EBCB418" w14:textId="77777777" w:rsidTr="0006693A">
        <w:trPr>
          <w:trHeight w:val="645"/>
        </w:trPr>
        <w:tc>
          <w:tcPr>
            <w:tcW w:w="516" w:type="dxa"/>
          </w:tcPr>
          <w:p w14:paraId="3B20BC19"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1DCD97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5.衛生福利部中央健康</w:t>
            </w:r>
            <w:proofErr w:type="gramStart"/>
            <w:r w:rsidRPr="001B6E4D">
              <w:rPr>
                <w:rFonts w:ascii="標楷體" w:eastAsia="標楷體" w:hAnsi="標楷體"/>
                <w:color w:val="000000"/>
                <w:kern w:val="0"/>
                <w:szCs w:val="22"/>
              </w:rPr>
              <w:t>保險署</w:t>
            </w:r>
            <w:proofErr w:type="gramEnd"/>
            <w:r w:rsidRPr="001B6E4D">
              <w:rPr>
                <w:rFonts w:ascii="標楷體" w:eastAsia="標楷體" w:hAnsi="標楷體"/>
                <w:color w:val="000000"/>
                <w:kern w:val="0"/>
                <w:szCs w:val="22"/>
              </w:rPr>
              <w:t>組織法第二</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408F373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委員王育敏</w:t>
            </w:r>
          </w:p>
          <w:p w14:paraId="51453CF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6841050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216BD9C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418F870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A3B2308"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9BBB27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0B945F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10C2BD8" w14:textId="77777777" w:rsidTr="0006693A">
        <w:trPr>
          <w:trHeight w:val="645"/>
        </w:trPr>
        <w:tc>
          <w:tcPr>
            <w:tcW w:w="516" w:type="dxa"/>
          </w:tcPr>
          <w:p w14:paraId="0855E77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29EABD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6.衛生福利部中央健康</w:t>
            </w:r>
            <w:proofErr w:type="gramStart"/>
            <w:r w:rsidRPr="001B6E4D">
              <w:rPr>
                <w:rFonts w:ascii="標楷體" w:eastAsia="標楷體" w:hAnsi="標楷體"/>
                <w:color w:val="000000"/>
                <w:kern w:val="0"/>
                <w:szCs w:val="22"/>
              </w:rPr>
              <w:t>保險署</w:t>
            </w:r>
            <w:proofErr w:type="gramEnd"/>
            <w:r w:rsidRPr="001B6E4D">
              <w:rPr>
                <w:rFonts w:ascii="標楷體" w:eastAsia="標楷體" w:hAnsi="標楷體"/>
                <w:color w:val="000000"/>
                <w:kern w:val="0"/>
                <w:szCs w:val="22"/>
              </w:rPr>
              <w:t>組織法第二</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7C33DDA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委員林月琴</w:t>
            </w:r>
          </w:p>
          <w:p w14:paraId="6CCB3B7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4BB612E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230143A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028D159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7981227B"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A14BB7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8690C5D"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FC340CF" w14:textId="77777777" w:rsidTr="0006693A">
        <w:trPr>
          <w:trHeight w:val="645"/>
        </w:trPr>
        <w:tc>
          <w:tcPr>
            <w:tcW w:w="516" w:type="dxa"/>
          </w:tcPr>
          <w:p w14:paraId="3AFAD210"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43598C6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7.衛生福利部中央健康</w:t>
            </w:r>
            <w:proofErr w:type="gramStart"/>
            <w:r w:rsidRPr="001B6E4D">
              <w:rPr>
                <w:rFonts w:ascii="標楷體" w:eastAsia="標楷體" w:hAnsi="標楷體"/>
                <w:color w:val="000000"/>
                <w:kern w:val="0"/>
                <w:szCs w:val="22"/>
              </w:rPr>
              <w:t>保險署</w:t>
            </w:r>
            <w:proofErr w:type="gramEnd"/>
            <w:r w:rsidRPr="001B6E4D">
              <w:rPr>
                <w:rFonts w:ascii="標楷體" w:eastAsia="標楷體" w:hAnsi="標楷體"/>
                <w:color w:val="000000"/>
                <w:kern w:val="0"/>
                <w:szCs w:val="22"/>
              </w:rPr>
              <w:t>組織法第二</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5D6CF88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委員王正旭</w:t>
            </w:r>
          </w:p>
          <w:p w14:paraId="388839F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5D23FB5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486F01B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65A0B42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12BEF44"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D86FF4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EFB74F8"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69E3C878" w14:textId="77777777" w:rsidTr="0006693A">
        <w:trPr>
          <w:trHeight w:val="645"/>
        </w:trPr>
        <w:tc>
          <w:tcPr>
            <w:tcW w:w="516" w:type="dxa"/>
          </w:tcPr>
          <w:p w14:paraId="409A22A3"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42F8E1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8.衛生福利部中央健康</w:t>
            </w:r>
            <w:proofErr w:type="gramStart"/>
            <w:r w:rsidRPr="001B6E4D">
              <w:rPr>
                <w:rFonts w:ascii="標楷體" w:eastAsia="標楷體" w:hAnsi="標楷體"/>
                <w:color w:val="000000"/>
                <w:kern w:val="0"/>
                <w:szCs w:val="22"/>
              </w:rPr>
              <w:t>保險署</w:t>
            </w:r>
            <w:proofErr w:type="gramEnd"/>
            <w:r w:rsidRPr="001B6E4D">
              <w:rPr>
                <w:rFonts w:ascii="標楷體" w:eastAsia="標楷體" w:hAnsi="標楷體"/>
                <w:color w:val="000000"/>
                <w:kern w:val="0"/>
                <w:szCs w:val="22"/>
              </w:rPr>
              <w:t>組織法第二</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5F6B287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委員徐巧芯</w:t>
            </w:r>
          </w:p>
          <w:p w14:paraId="2CFCB09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750FED7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7F14FEA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637A87E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6EBCF2D9"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1BD5CA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8993DC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F59D149" w14:textId="77777777" w:rsidTr="0006693A">
        <w:trPr>
          <w:trHeight w:val="645"/>
        </w:trPr>
        <w:tc>
          <w:tcPr>
            <w:tcW w:w="516" w:type="dxa"/>
          </w:tcPr>
          <w:p w14:paraId="628E80E1"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0FF3170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9.衛生福利部中央健康</w:t>
            </w:r>
            <w:proofErr w:type="gramStart"/>
            <w:r w:rsidRPr="001B6E4D">
              <w:rPr>
                <w:rFonts w:ascii="標楷體" w:eastAsia="標楷體" w:hAnsi="標楷體" w:hint="eastAsia"/>
                <w:color w:val="000000"/>
                <w:kern w:val="0"/>
                <w:szCs w:val="22"/>
              </w:rPr>
              <w:t>保險署</w:t>
            </w:r>
            <w:proofErr w:type="gramEnd"/>
            <w:r w:rsidRPr="001B6E4D">
              <w:rPr>
                <w:rFonts w:ascii="標楷體" w:eastAsia="標楷體" w:hAnsi="標楷體" w:hint="eastAsia"/>
                <w:color w:val="000000"/>
                <w:kern w:val="0"/>
                <w:szCs w:val="22"/>
              </w:rPr>
              <w:t>組織法第二</w:t>
            </w:r>
            <w:proofErr w:type="gramStart"/>
            <w:r w:rsidRPr="001B6E4D">
              <w:rPr>
                <w:rFonts w:ascii="標楷體" w:eastAsia="標楷體" w:hAnsi="標楷體" w:hint="eastAsia"/>
                <w:color w:val="000000"/>
                <w:kern w:val="0"/>
                <w:szCs w:val="22"/>
              </w:rPr>
              <w:t>條</w:t>
            </w:r>
            <w:proofErr w:type="gramEnd"/>
            <w:r w:rsidRPr="001B6E4D">
              <w:rPr>
                <w:rFonts w:ascii="標楷體" w:eastAsia="標楷體" w:hAnsi="標楷體" w:hint="eastAsia"/>
                <w:color w:val="000000"/>
                <w:kern w:val="0"/>
                <w:szCs w:val="22"/>
              </w:rPr>
              <w:t>條文修正草案</w:t>
            </w:r>
          </w:p>
        </w:tc>
        <w:tc>
          <w:tcPr>
            <w:tcW w:w="1500" w:type="dxa"/>
          </w:tcPr>
          <w:p w14:paraId="7BC802F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委員許宇</w:t>
            </w:r>
            <w:proofErr w:type="gramStart"/>
            <w:r w:rsidRPr="001B6E4D">
              <w:rPr>
                <w:rFonts w:ascii="標楷體" w:eastAsia="標楷體" w:hAnsi="標楷體" w:hint="eastAsia"/>
                <w:color w:val="000000"/>
                <w:kern w:val="0"/>
                <w:szCs w:val="22"/>
              </w:rPr>
              <w:t>甄</w:t>
            </w:r>
            <w:proofErr w:type="gramEnd"/>
          </w:p>
          <w:p w14:paraId="4327D01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等17人</w:t>
            </w:r>
          </w:p>
          <w:p w14:paraId="6967127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.3.</w:t>
            </w:r>
            <w:r w:rsidRPr="001B6E4D">
              <w:rPr>
                <w:rFonts w:ascii="標楷體" w:eastAsia="標楷體" w:hAnsi="標楷體" w:hint="eastAsia"/>
                <w:color w:val="000000"/>
                <w:kern w:val="0"/>
                <w:szCs w:val="22"/>
              </w:rPr>
              <w:t>20</w:t>
            </w:r>
          </w:p>
          <w:p w14:paraId="323B5E3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w:t>
            </w:r>
          </w:p>
        </w:tc>
        <w:tc>
          <w:tcPr>
            <w:tcW w:w="1536" w:type="dxa"/>
          </w:tcPr>
          <w:p w14:paraId="2A99D2F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.20</w:t>
            </w:r>
          </w:p>
          <w:p w14:paraId="6A3F6B6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5</w:t>
            </w:r>
            <w:r w:rsidRPr="001B6E4D">
              <w:rPr>
                <w:rFonts w:ascii="標楷體" w:eastAsia="標楷體" w:hAnsi="標楷體" w:hint="eastAsia"/>
                <w:spacing w:val="-20"/>
                <w:kern w:val="0"/>
                <w:szCs w:val="22"/>
              </w:rPr>
              <w:t>-4）</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1E0748A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2.115.4.9黨團協商。</w:t>
            </w:r>
          </w:p>
          <w:p w14:paraId="187BBF8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5E7098F4"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0A8B7D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3A1558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AD43337" w14:textId="77777777" w:rsidTr="0006693A">
        <w:trPr>
          <w:trHeight w:val="645"/>
        </w:trPr>
        <w:tc>
          <w:tcPr>
            <w:tcW w:w="516" w:type="dxa"/>
          </w:tcPr>
          <w:p w14:paraId="13BEC9CB"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950364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10.</w:t>
            </w:r>
            <w:r w:rsidRPr="001B6E4D">
              <w:rPr>
                <w:rFonts w:ascii="標楷體" w:eastAsia="標楷體" w:hAnsi="標楷體"/>
                <w:color w:val="000000"/>
                <w:kern w:val="0"/>
                <w:szCs w:val="22"/>
              </w:rPr>
              <w:t>衛生福利部中央健康</w:t>
            </w:r>
            <w:proofErr w:type="gramStart"/>
            <w:r w:rsidRPr="001B6E4D">
              <w:rPr>
                <w:rFonts w:ascii="標楷體" w:eastAsia="標楷體" w:hAnsi="標楷體"/>
                <w:color w:val="000000"/>
                <w:kern w:val="0"/>
                <w:szCs w:val="22"/>
              </w:rPr>
              <w:t>保險署</w:t>
            </w:r>
            <w:proofErr w:type="gramEnd"/>
            <w:r w:rsidRPr="001B6E4D">
              <w:rPr>
                <w:rFonts w:ascii="標楷體" w:eastAsia="標楷體" w:hAnsi="標楷體"/>
                <w:color w:val="000000"/>
                <w:kern w:val="0"/>
                <w:szCs w:val="22"/>
              </w:rPr>
              <w:t>組織法第二</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00" w:type="dxa"/>
          </w:tcPr>
          <w:p w14:paraId="353F313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委員沈發惠</w:t>
            </w:r>
          </w:p>
          <w:p w14:paraId="544FC24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w:t>
            </w:r>
            <w:r w:rsidRPr="001B6E4D">
              <w:rPr>
                <w:rFonts w:ascii="標楷體" w:eastAsia="標楷體" w:hAnsi="標楷體"/>
                <w:color w:val="000000"/>
                <w:kern w:val="0"/>
                <w:szCs w:val="22"/>
              </w:rPr>
              <w:t>18人</w:t>
            </w:r>
          </w:p>
          <w:p w14:paraId="12DCF99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.3.</w:t>
            </w:r>
            <w:r w:rsidRPr="001B6E4D">
              <w:rPr>
                <w:rFonts w:ascii="標楷體" w:eastAsia="標楷體" w:hAnsi="標楷體" w:hint="eastAsia"/>
                <w:color w:val="000000"/>
                <w:kern w:val="0"/>
                <w:szCs w:val="22"/>
              </w:rPr>
              <w:t>27</w:t>
            </w:r>
          </w:p>
          <w:p w14:paraId="425F902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p>
        </w:tc>
        <w:tc>
          <w:tcPr>
            <w:tcW w:w="1536" w:type="dxa"/>
          </w:tcPr>
          <w:p w14:paraId="672A563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.27</w:t>
            </w:r>
          </w:p>
          <w:p w14:paraId="5E3AC70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5</w:t>
            </w:r>
            <w:r w:rsidRPr="001B6E4D">
              <w:rPr>
                <w:rFonts w:ascii="標楷體" w:eastAsia="標楷體" w:hAnsi="標楷體" w:hint="eastAsia"/>
                <w:spacing w:val="-20"/>
                <w:kern w:val="0"/>
                <w:szCs w:val="22"/>
              </w:rPr>
              <w:t>-5）</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0FF2878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2.115.4.9黨團協商。</w:t>
            </w:r>
          </w:p>
          <w:p w14:paraId="6646F98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4BE05B15"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9130BB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AB4880C"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1FD8AF0D" w14:textId="77777777" w:rsidTr="0006693A">
        <w:trPr>
          <w:trHeight w:val="645"/>
        </w:trPr>
        <w:tc>
          <w:tcPr>
            <w:tcW w:w="516" w:type="dxa"/>
          </w:tcPr>
          <w:p w14:paraId="29BD8C50"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7BCAFE7"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11.衛生福利部中央健康</w:t>
            </w:r>
            <w:proofErr w:type="gramStart"/>
            <w:r w:rsidRPr="001B6E4D">
              <w:rPr>
                <w:rFonts w:ascii="標楷體" w:eastAsia="標楷體" w:hAnsi="標楷體" w:hint="eastAsia"/>
                <w:color w:val="000000"/>
                <w:kern w:val="0"/>
                <w:szCs w:val="22"/>
              </w:rPr>
              <w:t>保險署</w:t>
            </w:r>
            <w:proofErr w:type="gramEnd"/>
            <w:r w:rsidRPr="001B6E4D">
              <w:rPr>
                <w:rFonts w:ascii="標楷體" w:eastAsia="標楷體" w:hAnsi="標楷體" w:hint="eastAsia"/>
                <w:color w:val="000000"/>
                <w:kern w:val="0"/>
                <w:szCs w:val="22"/>
              </w:rPr>
              <w:t>組織法第二</w:t>
            </w:r>
            <w:proofErr w:type="gramStart"/>
            <w:r w:rsidRPr="001B6E4D">
              <w:rPr>
                <w:rFonts w:ascii="標楷體" w:eastAsia="標楷體" w:hAnsi="標楷體" w:hint="eastAsia"/>
                <w:color w:val="000000"/>
                <w:kern w:val="0"/>
                <w:szCs w:val="22"/>
              </w:rPr>
              <w:t>條</w:t>
            </w:r>
            <w:proofErr w:type="gramEnd"/>
            <w:r w:rsidRPr="001B6E4D">
              <w:rPr>
                <w:rFonts w:ascii="標楷體" w:eastAsia="標楷體" w:hAnsi="標楷體" w:hint="eastAsia"/>
                <w:color w:val="000000"/>
                <w:kern w:val="0"/>
                <w:szCs w:val="22"/>
              </w:rPr>
              <w:t>條文修正草案</w:t>
            </w:r>
          </w:p>
        </w:tc>
        <w:tc>
          <w:tcPr>
            <w:tcW w:w="1500" w:type="dxa"/>
          </w:tcPr>
          <w:p w14:paraId="4CB51EC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委員丁學忠</w:t>
            </w:r>
          </w:p>
          <w:p w14:paraId="5B6A039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等19人</w:t>
            </w:r>
          </w:p>
          <w:p w14:paraId="0D19AA0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10</w:t>
            </w:r>
          </w:p>
          <w:p w14:paraId="2C9BA78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6</w:t>
            </w:r>
            <w:r w:rsidRPr="001B6E4D">
              <w:rPr>
                <w:rFonts w:ascii="標楷體" w:eastAsia="標楷體" w:hAnsi="標楷體"/>
                <w:color w:val="000000"/>
                <w:kern w:val="0"/>
                <w:szCs w:val="22"/>
              </w:rPr>
              <w:t>）</w:t>
            </w:r>
          </w:p>
        </w:tc>
        <w:tc>
          <w:tcPr>
            <w:tcW w:w="1536" w:type="dxa"/>
          </w:tcPr>
          <w:p w14:paraId="6A76C49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5.4.10</w:t>
            </w:r>
          </w:p>
          <w:p w14:paraId="69612AA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4FAD1E6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2.115.7.1黨團協商。</w:t>
            </w:r>
          </w:p>
        </w:tc>
        <w:tc>
          <w:tcPr>
            <w:tcW w:w="1460" w:type="dxa"/>
            <w:vMerge/>
          </w:tcPr>
          <w:p w14:paraId="3F7547C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14FE47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0FC0856"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06AA5F59" w14:textId="77777777" w:rsidTr="0006693A">
        <w:trPr>
          <w:trHeight w:val="645"/>
        </w:trPr>
        <w:tc>
          <w:tcPr>
            <w:tcW w:w="516" w:type="dxa"/>
          </w:tcPr>
          <w:p w14:paraId="56C03719"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70EAED2"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1.國家中醫研究院設置條例草案</w:t>
            </w:r>
          </w:p>
        </w:tc>
        <w:tc>
          <w:tcPr>
            <w:tcW w:w="1500" w:type="dxa"/>
          </w:tcPr>
          <w:p w14:paraId="795587F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w:t>
            </w:r>
          </w:p>
          <w:p w14:paraId="614E6BE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114.12.19</w:t>
            </w:r>
          </w:p>
          <w:p w14:paraId="188EF80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（11-4-14）</w:t>
            </w:r>
          </w:p>
        </w:tc>
        <w:tc>
          <w:tcPr>
            <w:tcW w:w="1536" w:type="dxa"/>
            <w:vMerge w:val="restart"/>
          </w:tcPr>
          <w:p w14:paraId="3FCD0BD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1.第1-10案</w:t>
            </w:r>
          </w:p>
          <w:p w14:paraId="384C09E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5824B1B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115.1.7</w:t>
            </w:r>
          </w:p>
          <w:p w14:paraId="12C3A32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(11-4-1)報告及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p>
          <w:p w14:paraId="76572D4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2.第1-14案</w:t>
            </w:r>
          </w:p>
          <w:p w14:paraId="09706D9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3928CBE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115.1.19</w:t>
            </w:r>
          </w:p>
          <w:p w14:paraId="6D23A13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(11-4-2)審查完竣，須交由黨團協商。</w:t>
            </w:r>
          </w:p>
          <w:p w14:paraId="0AED2A6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3.115.4.9黨團協商。</w:t>
            </w:r>
          </w:p>
          <w:p w14:paraId="477F8BE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4.115.7.1黨團協商。</w:t>
            </w:r>
          </w:p>
        </w:tc>
        <w:tc>
          <w:tcPr>
            <w:tcW w:w="1460" w:type="dxa"/>
            <w:vMerge w:val="restart"/>
          </w:tcPr>
          <w:p w14:paraId="0326ED6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院會</w:t>
            </w:r>
          </w:p>
          <w:p w14:paraId="076DF25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w:t>
            </w:r>
            <w:r w:rsidRPr="001B6E4D">
              <w:rPr>
                <w:rFonts w:ascii="標楷體" w:eastAsia="標楷體" w:hAnsi="標楷體" w:hint="eastAsia"/>
                <w:color w:val="000000"/>
                <w:spacing w:val="-20"/>
                <w:szCs w:val="22"/>
              </w:rPr>
              <w:t>5</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8</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25</w:t>
            </w:r>
          </w:p>
          <w:p w14:paraId="1FF5D0D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w:t>
            </w:r>
            <w:r w:rsidRPr="001B6E4D">
              <w:rPr>
                <w:rFonts w:ascii="標楷體" w:eastAsia="標楷體" w:hAnsi="標楷體" w:hint="eastAsia"/>
                <w:color w:val="000000"/>
                <w:spacing w:val="-20"/>
                <w:szCs w:val="22"/>
              </w:rPr>
              <w:t>5</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23</w:t>
            </w:r>
            <w:r w:rsidRPr="001B6E4D">
              <w:rPr>
                <w:rFonts w:ascii="標楷體" w:eastAsia="標楷體" w:hAnsi="標楷體"/>
                <w:color w:val="000000"/>
                <w:spacing w:val="-20"/>
                <w:szCs w:val="22"/>
              </w:rPr>
              <w:t>)</w:t>
            </w:r>
          </w:p>
          <w:p w14:paraId="345A8B0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三讀制定國家中醫研究院設置條例</w:t>
            </w:r>
            <w:r w:rsidRPr="001B6E4D">
              <w:rPr>
                <w:rFonts w:ascii="標楷體" w:eastAsia="標楷體" w:hAnsi="標楷體" w:hint="eastAsia"/>
                <w:color w:val="000000"/>
                <w:spacing w:val="-20"/>
                <w:szCs w:val="22"/>
              </w:rPr>
              <w:t>。</w:t>
            </w:r>
          </w:p>
        </w:tc>
        <w:tc>
          <w:tcPr>
            <w:tcW w:w="1682" w:type="dxa"/>
            <w:vMerge w:val="restart"/>
          </w:tcPr>
          <w:p w14:paraId="687028CC" w14:textId="77777777" w:rsidR="00B05C66" w:rsidRDefault="001F6040" w:rsidP="003D1018">
            <w:pPr>
              <w:widowControl w:val="0"/>
              <w:kinsoku w:val="0"/>
              <w:overflowPunct w:val="0"/>
              <w:spacing w:line="300" w:lineRule="exact"/>
              <w:rPr>
                <w:rFonts w:ascii="標楷體" w:eastAsia="標楷體" w:hAnsi="標楷體"/>
                <w:color w:val="000000"/>
                <w:spacing w:val="-20"/>
                <w:szCs w:val="22"/>
              </w:rPr>
            </w:pPr>
            <w:r w:rsidRPr="001F6040">
              <w:rPr>
                <w:rFonts w:ascii="標楷體" w:eastAsia="標楷體" w:hAnsi="標楷體" w:hint="eastAsia"/>
                <w:color w:val="000000"/>
                <w:spacing w:val="-20"/>
                <w:szCs w:val="22"/>
              </w:rPr>
              <w:t>115年9月21日台立院議字第1150703472號</w:t>
            </w:r>
          </w:p>
          <w:p w14:paraId="13730BCE" w14:textId="77777777" w:rsidR="00BA787E" w:rsidRDefault="00BA787E" w:rsidP="003D1018">
            <w:pPr>
              <w:widowControl w:val="0"/>
              <w:kinsoku w:val="0"/>
              <w:overflowPunct w:val="0"/>
              <w:spacing w:line="300" w:lineRule="exact"/>
              <w:rPr>
                <w:rFonts w:ascii="標楷體" w:eastAsia="標楷體" w:hAnsi="標楷體"/>
                <w:color w:val="000000"/>
                <w:spacing w:val="-20"/>
                <w:szCs w:val="22"/>
              </w:rPr>
            </w:pPr>
          </w:p>
          <w:p w14:paraId="1094C448" w14:textId="66C1D422" w:rsidR="00BA787E" w:rsidRPr="001B6E4D" w:rsidRDefault="00BA787E" w:rsidP="003D1018">
            <w:pPr>
              <w:widowControl w:val="0"/>
              <w:kinsoku w:val="0"/>
              <w:overflowPunct w:val="0"/>
              <w:spacing w:line="300" w:lineRule="exact"/>
              <w:rPr>
                <w:rFonts w:ascii="標楷體" w:eastAsia="標楷體" w:hAnsi="標楷體" w:hint="eastAsia"/>
                <w:color w:val="000000"/>
                <w:spacing w:val="-20"/>
                <w:szCs w:val="22"/>
              </w:rPr>
            </w:pPr>
            <w:r w:rsidRPr="00BA787E">
              <w:rPr>
                <w:rFonts w:ascii="標楷體" w:eastAsia="標楷體" w:hAnsi="標楷體" w:hint="eastAsia"/>
                <w:color w:val="000000"/>
                <w:spacing w:val="-20"/>
                <w:szCs w:val="22"/>
              </w:rPr>
              <w:t>115年9月30日華總</w:t>
            </w:r>
            <w:proofErr w:type="gramStart"/>
            <w:r w:rsidRPr="00BA787E">
              <w:rPr>
                <w:rFonts w:ascii="標楷體" w:eastAsia="標楷體" w:hAnsi="標楷體" w:hint="eastAsia"/>
                <w:color w:val="000000"/>
                <w:spacing w:val="-20"/>
                <w:szCs w:val="22"/>
              </w:rPr>
              <w:t>一義字第11500094171號</w:t>
            </w:r>
            <w:proofErr w:type="gramEnd"/>
          </w:p>
        </w:tc>
        <w:tc>
          <w:tcPr>
            <w:tcW w:w="1071" w:type="dxa"/>
            <w:vMerge w:val="restart"/>
          </w:tcPr>
          <w:p w14:paraId="363ABE7C" w14:textId="72A26FE1" w:rsidR="00B05C66" w:rsidRPr="001B6E4D" w:rsidRDefault="00961046" w:rsidP="003D1018">
            <w:pPr>
              <w:widowControl w:val="0"/>
              <w:kinsoku w:val="0"/>
              <w:overflowPunct w:val="0"/>
              <w:spacing w:line="300" w:lineRule="exact"/>
              <w:jc w:val="both"/>
              <w:rPr>
                <w:rFonts w:ascii="標楷體" w:eastAsia="標楷體" w:hAnsi="標楷體"/>
                <w:color w:val="000000"/>
                <w:spacing w:val="-28"/>
                <w:szCs w:val="22"/>
              </w:rPr>
            </w:pPr>
            <w:r w:rsidRPr="00961046">
              <w:rPr>
                <w:rFonts w:ascii="標楷體" w:eastAsia="標楷體" w:hAnsi="標楷體" w:hint="eastAsia"/>
                <w:color w:val="000000"/>
                <w:spacing w:val="-28"/>
                <w:szCs w:val="22"/>
              </w:rPr>
              <w:t>第7885號</w:t>
            </w:r>
          </w:p>
        </w:tc>
      </w:tr>
      <w:tr w:rsidR="00B05C66" w:rsidRPr="001B6E4D" w14:paraId="668595E0" w14:textId="77777777" w:rsidTr="0006693A">
        <w:trPr>
          <w:trHeight w:val="645"/>
        </w:trPr>
        <w:tc>
          <w:tcPr>
            <w:tcW w:w="516" w:type="dxa"/>
          </w:tcPr>
          <w:p w14:paraId="51188F48"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63D8E9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2.國家中醫研究院設置條例草案</w:t>
            </w:r>
          </w:p>
        </w:tc>
        <w:tc>
          <w:tcPr>
            <w:tcW w:w="1500" w:type="dxa"/>
          </w:tcPr>
          <w:p w14:paraId="729494C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委員鍾佳濱</w:t>
            </w:r>
          </w:p>
          <w:p w14:paraId="491D0A5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7A224FF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113.09.27</w:t>
            </w:r>
          </w:p>
          <w:p w14:paraId="1161D46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（11-2-2）</w:t>
            </w:r>
          </w:p>
        </w:tc>
        <w:tc>
          <w:tcPr>
            <w:tcW w:w="1536" w:type="dxa"/>
            <w:vMerge/>
          </w:tcPr>
          <w:p w14:paraId="711F277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5339360D"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54DB7174"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19C5C1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31884E9" w14:textId="77777777" w:rsidTr="0006693A">
        <w:trPr>
          <w:trHeight w:val="645"/>
        </w:trPr>
        <w:tc>
          <w:tcPr>
            <w:tcW w:w="516" w:type="dxa"/>
          </w:tcPr>
          <w:p w14:paraId="2DD3A312"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B23AFAC"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3.國家中醫藥研究院設置條例草案</w:t>
            </w:r>
          </w:p>
        </w:tc>
        <w:tc>
          <w:tcPr>
            <w:tcW w:w="1500" w:type="dxa"/>
          </w:tcPr>
          <w:p w14:paraId="131733E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委員陳瑩</w:t>
            </w:r>
          </w:p>
          <w:p w14:paraId="7C2FC7C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50106F2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113.10.18</w:t>
            </w:r>
          </w:p>
          <w:p w14:paraId="218595E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（11-2-5）</w:t>
            </w:r>
          </w:p>
        </w:tc>
        <w:tc>
          <w:tcPr>
            <w:tcW w:w="1536" w:type="dxa"/>
            <w:vMerge/>
          </w:tcPr>
          <w:p w14:paraId="1CD5354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A69EDFD"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CDBCCC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74C3EF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6A522B7B" w14:textId="77777777" w:rsidTr="0006693A">
        <w:trPr>
          <w:trHeight w:val="645"/>
        </w:trPr>
        <w:tc>
          <w:tcPr>
            <w:tcW w:w="516" w:type="dxa"/>
          </w:tcPr>
          <w:p w14:paraId="0EAFD02A"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09D195E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4.國家中醫藥研究院設置條例草案</w:t>
            </w:r>
          </w:p>
        </w:tc>
        <w:tc>
          <w:tcPr>
            <w:tcW w:w="1500" w:type="dxa"/>
          </w:tcPr>
          <w:p w14:paraId="4871878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委員葉元之</w:t>
            </w:r>
          </w:p>
          <w:p w14:paraId="466A1FF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7059F8B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114.01.03</w:t>
            </w:r>
          </w:p>
          <w:p w14:paraId="46A83D9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（11-2-16）</w:t>
            </w:r>
          </w:p>
        </w:tc>
        <w:tc>
          <w:tcPr>
            <w:tcW w:w="1536" w:type="dxa"/>
            <w:vMerge/>
          </w:tcPr>
          <w:p w14:paraId="3F50402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04B9A74F"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154295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74C2A57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3060EE3" w14:textId="77777777" w:rsidTr="0006693A">
        <w:trPr>
          <w:trHeight w:val="645"/>
        </w:trPr>
        <w:tc>
          <w:tcPr>
            <w:tcW w:w="516" w:type="dxa"/>
          </w:tcPr>
          <w:p w14:paraId="6D5AED84"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5456C70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5.國家中醫研究院設置條例草案</w:t>
            </w:r>
          </w:p>
        </w:tc>
        <w:tc>
          <w:tcPr>
            <w:tcW w:w="1500" w:type="dxa"/>
          </w:tcPr>
          <w:p w14:paraId="201D5A7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委員莊瑞雄</w:t>
            </w:r>
          </w:p>
          <w:p w14:paraId="2125412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2D425E6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114.04.18</w:t>
            </w:r>
          </w:p>
          <w:p w14:paraId="662C3CF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（11-3-8）</w:t>
            </w:r>
          </w:p>
        </w:tc>
        <w:tc>
          <w:tcPr>
            <w:tcW w:w="1536" w:type="dxa"/>
            <w:vMerge/>
          </w:tcPr>
          <w:p w14:paraId="4A2C3F6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1E8A1510"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3256BFD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50A30FC"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BFEB4E5" w14:textId="77777777" w:rsidTr="0006693A">
        <w:trPr>
          <w:trHeight w:val="645"/>
        </w:trPr>
        <w:tc>
          <w:tcPr>
            <w:tcW w:w="516" w:type="dxa"/>
          </w:tcPr>
          <w:p w14:paraId="0A75DE0E"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6D46C6A"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6.國家中醫研究院設置條例草案</w:t>
            </w:r>
          </w:p>
        </w:tc>
        <w:tc>
          <w:tcPr>
            <w:tcW w:w="1500" w:type="dxa"/>
          </w:tcPr>
          <w:p w14:paraId="7E501A9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委員劉建國</w:t>
            </w:r>
          </w:p>
          <w:p w14:paraId="6218E4E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701247D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114.04.18</w:t>
            </w:r>
          </w:p>
          <w:p w14:paraId="085BA9E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（11-3-8）</w:t>
            </w:r>
          </w:p>
        </w:tc>
        <w:tc>
          <w:tcPr>
            <w:tcW w:w="1536" w:type="dxa"/>
            <w:vMerge/>
          </w:tcPr>
          <w:p w14:paraId="3F90C00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2F23BB97"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8E04AA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1F9D98E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122CC7D5" w14:textId="77777777" w:rsidTr="0006693A">
        <w:trPr>
          <w:trHeight w:val="645"/>
        </w:trPr>
        <w:tc>
          <w:tcPr>
            <w:tcW w:w="516" w:type="dxa"/>
          </w:tcPr>
          <w:p w14:paraId="756EA821"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134EC6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7.國家中醫研究院設置條例草案</w:t>
            </w:r>
          </w:p>
        </w:tc>
        <w:tc>
          <w:tcPr>
            <w:tcW w:w="1500" w:type="dxa"/>
          </w:tcPr>
          <w:p w14:paraId="565E135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委員林月琴</w:t>
            </w:r>
          </w:p>
          <w:p w14:paraId="7218EE5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等31人</w:t>
            </w:r>
          </w:p>
          <w:p w14:paraId="417C2B2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114.04.18</w:t>
            </w:r>
          </w:p>
          <w:p w14:paraId="538FCC1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（11-3-8）</w:t>
            </w:r>
          </w:p>
        </w:tc>
        <w:tc>
          <w:tcPr>
            <w:tcW w:w="1536" w:type="dxa"/>
            <w:vMerge/>
          </w:tcPr>
          <w:p w14:paraId="4E9530D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4C7ED768"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391A98E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C69CEB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2F02774" w14:textId="77777777" w:rsidTr="0006693A">
        <w:trPr>
          <w:trHeight w:val="645"/>
        </w:trPr>
        <w:tc>
          <w:tcPr>
            <w:tcW w:w="516" w:type="dxa"/>
          </w:tcPr>
          <w:p w14:paraId="5AFAFF6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A2622F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8.國家中醫研究院設置條例草案</w:t>
            </w:r>
          </w:p>
        </w:tc>
        <w:tc>
          <w:tcPr>
            <w:tcW w:w="1500" w:type="dxa"/>
          </w:tcPr>
          <w:p w14:paraId="5418F95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委員沈發惠</w:t>
            </w:r>
          </w:p>
          <w:p w14:paraId="5D221F4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0116A1C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114.04.18</w:t>
            </w:r>
          </w:p>
          <w:p w14:paraId="5C488DC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（11-3-8）</w:t>
            </w:r>
          </w:p>
        </w:tc>
        <w:tc>
          <w:tcPr>
            <w:tcW w:w="1536" w:type="dxa"/>
            <w:vMerge/>
          </w:tcPr>
          <w:p w14:paraId="6674FB1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0D286B1"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785F12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880DEC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00CEDB75" w14:textId="77777777" w:rsidTr="0006693A">
        <w:trPr>
          <w:trHeight w:val="645"/>
        </w:trPr>
        <w:tc>
          <w:tcPr>
            <w:tcW w:w="516" w:type="dxa"/>
          </w:tcPr>
          <w:p w14:paraId="622663D5"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5D0C24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9.國家中醫藥研究院設置條例草案</w:t>
            </w:r>
          </w:p>
        </w:tc>
        <w:tc>
          <w:tcPr>
            <w:tcW w:w="1500" w:type="dxa"/>
          </w:tcPr>
          <w:p w14:paraId="64BA578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委員王育敏</w:t>
            </w:r>
          </w:p>
          <w:p w14:paraId="5BBD2E0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039CE8F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114.06.13</w:t>
            </w:r>
          </w:p>
          <w:p w14:paraId="35A30F3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（11-3-16）</w:t>
            </w:r>
          </w:p>
        </w:tc>
        <w:tc>
          <w:tcPr>
            <w:tcW w:w="1536" w:type="dxa"/>
            <w:vMerge/>
          </w:tcPr>
          <w:p w14:paraId="4B8AD07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276C8D99"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A80DFA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D11D96D"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2C24710A" w14:textId="77777777" w:rsidTr="0006693A">
        <w:trPr>
          <w:trHeight w:val="645"/>
        </w:trPr>
        <w:tc>
          <w:tcPr>
            <w:tcW w:w="516" w:type="dxa"/>
          </w:tcPr>
          <w:p w14:paraId="1AC5B51A"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DC1769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10.國家中醫研究院設置條例草案</w:t>
            </w:r>
          </w:p>
        </w:tc>
        <w:tc>
          <w:tcPr>
            <w:tcW w:w="1500" w:type="dxa"/>
          </w:tcPr>
          <w:p w14:paraId="71F07E6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委員郭昱晴</w:t>
            </w:r>
          </w:p>
          <w:p w14:paraId="322D0B7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051CD92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3EC269C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435FF5B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536351B0"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441BAB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8A48F9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4C7AAA3F" w14:textId="77777777" w:rsidTr="0006693A">
        <w:trPr>
          <w:trHeight w:val="645"/>
        </w:trPr>
        <w:tc>
          <w:tcPr>
            <w:tcW w:w="516" w:type="dxa"/>
          </w:tcPr>
          <w:p w14:paraId="0D114B6D"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B875050"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11.國家中醫研究院設置條例草案</w:t>
            </w:r>
          </w:p>
        </w:tc>
        <w:tc>
          <w:tcPr>
            <w:tcW w:w="1500" w:type="dxa"/>
          </w:tcPr>
          <w:p w14:paraId="4121045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2AB0AAC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5693F24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04C255C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2E62624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0F621318"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083418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674DE2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41A332E5" w14:textId="77777777" w:rsidTr="0006693A">
        <w:trPr>
          <w:trHeight w:val="645"/>
        </w:trPr>
        <w:tc>
          <w:tcPr>
            <w:tcW w:w="516" w:type="dxa"/>
          </w:tcPr>
          <w:p w14:paraId="18E2224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64AE7F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12.國家中醫研究院設置條例草案</w:t>
            </w:r>
          </w:p>
        </w:tc>
        <w:tc>
          <w:tcPr>
            <w:tcW w:w="1500" w:type="dxa"/>
          </w:tcPr>
          <w:p w14:paraId="72B2FD6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委員王正旭</w:t>
            </w:r>
          </w:p>
          <w:p w14:paraId="57B105A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3D31D2D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3B719A4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103792E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F0B2885"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A1E3B2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4D1046A"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D3791E4" w14:textId="77777777" w:rsidTr="0006693A">
        <w:trPr>
          <w:trHeight w:val="645"/>
        </w:trPr>
        <w:tc>
          <w:tcPr>
            <w:tcW w:w="516" w:type="dxa"/>
          </w:tcPr>
          <w:p w14:paraId="2CE4539C"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4E68480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13.國家中醫研究院設置條例草案</w:t>
            </w:r>
          </w:p>
        </w:tc>
        <w:tc>
          <w:tcPr>
            <w:tcW w:w="1500" w:type="dxa"/>
          </w:tcPr>
          <w:p w14:paraId="11A05C3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委員張雅琳</w:t>
            </w:r>
          </w:p>
          <w:p w14:paraId="4FFF30E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0C03F63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0F09963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7DD3931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8BEC986"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A45F060"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8234C6C"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B1996DF" w14:textId="77777777" w:rsidTr="0006693A">
        <w:trPr>
          <w:trHeight w:val="645"/>
        </w:trPr>
        <w:tc>
          <w:tcPr>
            <w:tcW w:w="516" w:type="dxa"/>
          </w:tcPr>
          <w:p w14:paraId="17E4BCA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D274BC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14.國家中醫研究院設置條例草案</w:t>
            </w:r>
          </w:p>
        </w:tc>
        <w:tc>
          <w:tcPr>
            <w:tcW w:w="1500" w:type="dxa"/>
          </w:tcPr>
          <w:p w14:paraId="2793191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委員徐巧芯</w:t>
            </w:r>
          </w:p>
          <w:p w14:paraId="513559B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06C0D38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2E806F9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1044A8A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506D121"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6191BD3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2F16070F"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2CED9B9" w14:textId="77777777" w:rsidTr="0006693A">
        <w:trPr>
          <w:trHeight w:val="645"/>
        </w:trPr>
        <w:tc>
          <w:tcPr>
            <w:tcW w:w="516" w:type="dxa"/>
          </w:tcPr>
          <w:p w14:paraId="1FBDF3B5"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553B229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5.</w:t>
            </w:r>
            <w:r w:rsidRPr="001B6E4D">
              <w:rPr>
                <w:rFonts w:ascii="標楷體" w:eastAsia="標楷體" w:hAnsi="標楷體" w:hint="eastAsia"/>
                <w:color w:val="000000"/>
                <w:kern w:val="0"/>
                <w:szCs w:val="22"/>
              </w:rPr>
              <w:t>國家中醫研究院設置條例草案</w:t>
            </w:r>
          </w:p>
        </w:tc>
        <w:tc>
          <w:tcPr>
            <w:tcW w:w="1500" w:type="dxa"/>
          </w:tcPr>
          <w:p w14:paraId="58AC0C9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委員林倩綺</w:t>
            </w:r>
          </w:p>
          <w:p w14:paraId="5B6D07F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等18人</w:t>
            </w:r>
          </w:p>
          <w:p w14:paraId="00D6ED7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30</w:t>
            </w:r>
          </w:p>
          <w:p w14:paraId="5060AF3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w:t>
            </w:r>
            <w:r w:rsidRPr="001B6E4D">
              <w:rPr>
                <w:rFonts w:ascii="標楷體" w:eastAsia="標楷體" w:hAnsi="標楷體" w:hint="eastAsia"/>
                <w:color w:val="000000"/>
                <w:kern w:val="0"/>
                <w:szCs w:val="22"/>
              </w:rPr>
              <w:t>20</w:t>
            </w:r>
            <w:r w:rsidRPr="001B6E4D">
              <w:rPr>
                <w:rFonts w:ascii="標楷體" w:eastAsia="標楷體" w:hAnsi="標楷體"/>
                <w:color w:val="000000"/>
                <w:kern w:val="0"/>
                <w:szCs w:val="22"/>
              </w:rPr>
              <w:t>）</w:t>
            </w:r>
          </w:p>
        </w:tc>
        <w:tc>
          <w:tcPr>
            <w:tcW w:w="1536" w:type="dxa"/>
          </w:tcPr>
          <w:p w14:paraId="282DD72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5.1.30</w:t>
            </w:r>
          </w:p>
          <w:p w14:paraId="01A3A4C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-4-20）</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7DF4FCD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2.115.4.9黨團協商。</w:t>
            </w:r>
          </w:p>
          <w:p w14:paraId="3A94DE2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7C1B9B4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A21624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7DC3924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25C7F82" w14:textId="77777777" w:rsidTr="0006693A">
        <w:trPr>
          <w:trHeight w:val="645"/>
        </w:trPr>
        <w:tc>
          <w:tcPr>
            <w:tcW w:w="516" w:type="dxa"/>
          </w:tcPr>
          <w:p w14:paraId="64836FD6"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1665895"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1.衛生福利部長期照顧及社會發展署組織法草案</w:t>
            </w:r>
          </w:p>
        </w:tc>
        <w:tc>
          <w:tcPr>
            <w:tcW w:w="1500" w:type="dxa"/>
          </w:tcPr>
          <w:p w14:paraId="6E611EE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w:t>
            </w:r>
          </w:p>
          <w:p w14:paraId="1EEC38E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114.12.19</w:t>
            </w:r>
          </w:p>
          <w:p w14:paraId="675092D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（11-4-14）</w:t>
            </w:r>
          </w:p>
        </w:tc>
        <w:tc>
          <w:tcPr>
            <w:tcW w:w="1536" w:type="dxa"/>
            <w:vMerge w:val="restart"/>
          </w:tcPr>
          <w:p w14:paraId="191F466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1.第1-6案</w:t>
            </w:r>
          </w:p>
          <w:p w14:paraId="5FDC017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1631AA6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115.1.7</w:t>
            </w:r>
          </w:p>
          <w:p w14:paraId="0A62AEF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(11-4-1)報告</w:t>
            </w:r>
            <w:r w:rsidRPr="001B6E4D">
              <w:rPr>
                <w:rFonts w:ascii="標楷體" w:eastAsia="標楷體" w:hAnsi="標楷體" w:hint="eastAsia"/>
                <w:spacing w:val="-20"/>
                <w:kern w:val="0"/>
                <w:szCs w:val="22"/>
              </w:rPr>
              <w:lastRenderedPageBreak/>
              <w:t>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p>
          <w:p w14:paraId="06DE53F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2.第1-12案</w:t>
            </w:r>
          </w:p>
          <w:p w14:paraId="1A48846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本會、社會福利及衛生環境委員會聯席會</w:t>
            </w:r>
          </w:p>
          <w:p w14:paraId="6B0C0A1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115.1.19</w:t>
            </w:r>
          </w:p>
          <w:p w14:paraId="47EB96F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(11-4-2)審查完竣，須交由黨團協商。</w:t>
            </w:r>
          </w:p>
          <w:p w14:paraId="340BDC7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3.115.4.9黨團協商。</w:t>
            </w:r>
          </w:p>
          <w:p w14:paraId="4614E34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4.115.7.1黨團協商。</w:t>
            </w:r>
          </w:p>
        </w:tc>
        <w:tc>
          <w:tcPr>
            <w:tcW w:w="1460" w:type="dxa"/>
            <w:vMerge w:val="restart"/>
          </w:tcPr>
          <w:p w14:paraId="2A5FB07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lastRenderedPageBreak/>
              <w:t>院會</w:t>
            </w:r>
          </w:p>
          <w:p w14:paraId="3400F23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w:t>
            </w:r>
            <w:r w:rsidRPr="001B6E4D">
              <w:rPr>
                <w:rFonts w:ascii="標楷體" w:eastAsia="標楷體" w:hAnsi="標楷體" w:hint="eastAsia"/>
                <w:color w:val="000000"/>
                <w:spacing w:val="-20"/>
                <w:szCs w:val="22"/>
              </w:rPr>
              <w:t>5</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8</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25</w:t>
            </w:r>
          </w:p>
          <w:p w14:paraId="2358D19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w:t>
            </w:r>
            <w:r w:rsidRPr="001B6E4D">
              <w:rPr>
                <w:rFonts w:ascii="標楷體" w:eastAsia="標楷體" w:hAnsi="標楷體" w:hint="eastAsia"/>
                <w:color w:val="000000"/>
                <w:spacing w:val="-20"/>
                <w:szCs w:val="22"/>
              </w:rPr>
              <w:t>5</w:t>
            </w:r>
            <w:r w:rsidRPr="001B6E4D">
              <w:rPr>
                <w:rFonts w:ascii="標楷體" w:eastAsia="標楷體" w:hAnsi="標楷體"/>
                <w:color w:val="000000"/>
                <w:spacing w:val="-20"/>
                <w:szCs w:val="22"/>
              </w:rPr>
              <w:t>-</w:t>
            </w:r>
            <w:r w:rsidRPr="001B6E4D">
              <w:rPr>
                <w:rFonts w:ascii="標楷體" w:eastAsia="標楷體" w:hAnsi="標楷體" w:hint="eastAsia"/>
                <w:color w:val="000000"/>
                <w:spacing w:val="-20"/>
                <w:szCs w:val="22"/>
              </w:rPr>
              <w:t>23</w:t>
            </w:r>
            <w:r w:rsidRPr="001B6E4D">
              <w:rPr>
                <w:rFonts w:ascii="標楷體" w:eastAsia="標楷體" w:hAnsi="標楷體"/>
                <w:color w:val="000000"/>
                <w:spacing w:val="-20"/>
                <w:szCs w:val="22"/>
              </w:rPr>
              <w:t>)</w:t>
            </w:r>
          </w:p>
          <w:p w14:paraId="216C7A40"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三讀制定衛生福利部社會發展及長期照顧</w:t>
            </w:r>
            <w:r w:rsidRPr="001B6E4D">
              <w:rPr>
                <w:rFonts w:ascii="標楷體" w:eastAsia="標楷體" w:hAnsi="標楷體" w:hint="eastAsia"/>
                <w:spacing w:val="-20"/>
                <w:kern w:val="0"/>
                <w:szCs w:val="22"/>
              </w:rPr>
              <w:lastRenderedPageBreak/>
              <w:t>署組織法</w:t>
            </w:r>
            <w:r w:rsidRPr="001B6E4D">
              <w:rPr>
                <w:rFonts w:ascii="標楷體" w:eastAsia="標楷體" w:hAnsi="標楷體" w:hint="eastAsia"/>
                <w:color w:val="000000"/>
                <w:spacing w:val="-20"/>
                <w:szCs w:val="22"/>
              </w:rPr>
              <w:t>。</w:t>
            </w:r>
          </w:p>
        </w:tc>
        <w:tc>
          <w:tcPr>
            <w:tcW w:w="1682" w:type="dxa"/>
            <w:vMerge w:val="restart"/>
          </w:tcPr>
          <w:p w14:paraId="7D1D3E9F" w14:textId="77777777" w:rsidR="00B05C66" w:rsidRDefault="00282E6D" w:rsidP="003D1018">
            <w:pPr>
              <w:widowControl w:val="0"/>
              <w:kinsoku w:val="0"/>
              <w:overflowPunct w:val="0"/>
              <w:spacing w:line="300" w:lineRule="exact"/>
              <w:rPr>
                <w:rFonts w:ascii="標楷體" w:eastAsia="標楷體" w:hAnsi="標楷體"/>
                <w:color w:val="000000"/>
                <w:spacing w:val="-20"/>
                <w:szCs w:val="22"/>
              </w:rPr>
            </w:pPr>
            <w:r w:rsidRPr="00282E6D">
              <w:rPr>
                <w:rFonts w:ascii="標楷體" w:eastAsia="標楷體" w:hAnsi="標楷體" w:hint="eastAsia"/>
                <w:color w:val="000000"/>
                <w:spacing w:val="-20"/>
                <w:szCs w:val="22"/>
              </w:rPr>
              <w:lastRenderedPageBreak/>
              <w:t>115年9月21日台立院議字第1150703474號</w:t>
            </w:r>
          </w:p>
          <w:p w14:paraId="00980D66" w14:textId="77777777" w:rsidR="00BA787E" w:rsidRDefault="00BA787E" w:rsidP="003D1018">
            <w:pPr>
              <w:widowControl w:val="0"/>
              <w:kinsoku w:val="0"/>
              <w:overflowPunct w:val="0"/>
              <w:spacing w:line="300" w:lineRule="exact"/>
              <w:rPr>
                <w:rFonts w:ascii="標楷體" w:eastAsia="標楷體" w:hAnsi="標楷體"/>
                <w:color w:val="000000"/>
                <w:spacing w:val="-20"/>
                <w:szCs w:val="22"/>
              </w:rPr>
            </w:pPr>
          </w:p>
          <w:p w14:paraId="599AA32B" w14:textId="5C1863D7" w:rsidR="00BA787E" w:rsidRPr="001B6E4D" w:rsidRDefault="00BA787E" w:rsidP="003D1018">
            <w:pPr>
              <w:widowControl w:val="0"/>
              <w:kinsoku w:val="0"/>
              <w:overflowPunct w:val="0"/>
              <w:spacing w:line="300" w:lineRule="exact"/>
              <w:rPr>
                <w:rFonts w:ascii="標楷體" w:eastAsia="標楷體" w:hAnsi="標楷體" w:hint="eastAsia"/>
                <w:color w:val="000000"/>
                <w:spacing w:val="-20"/>
                <w:szCs w:val="22"/>
              </w:rPr>
            </w:pPr>
            <w:r w:rsidRPr="00BA787E">
              <w:rPr>
                <w:rFonts w:ascii="標楷體" w:eastAsia="標楷體" w:hAnsi="標楷體" w:hint="eastAsia"/>
                <w:color w:val="000000"/>
                <w:spacing w:val="-20"/>
                <w:szCs w:val="22"/>
              </w:rPr>
              <w:t>115年9月30日華總</w:t>
            </w:r>
            <w:proofErr w:type="gramStart"/>
            <w:r w:rsidRPr="00BA787E">
              <w:rPr>
                <w:rFonts w:ascii="標楷體" w:eastAsia="標楷體" w:hAnsi="標楷體" w:hint="eastAsia"/>
                <w:color w:val="000000"/>
                <w:spacing w:val="-20"/>
                <w:szCs w:val="22"/>
              </w:rPr>
              <w:t>一義字第</w:t>
            </w:r>
            <w:r w:rsidRPr="00BA787E">
              <w:rPr>
                <w:rFonts w:ascii="標楷體" w:eastAsia="標楷體" w:hAnsi="標楷體" w:hint="eastAsia"/>
                <w:color w:val="000000"/>
                <w:spacing w:val="-20"/>
                <w:szCs w:val="22"/>
              </w:rPr>
              <w:lastRenderedPageBreak/>
              <w:t>11500094181號</w:t>
            </w:r>
            <w:proofErr w:type="gramEnd"/>
          </w:p>
        </w:tc>
        <w:tc>
          <w:tcPr>
            <w:tcW w:w="1071" w:type="dxa"/>
            <w:vMerge w:val="restart"/>
          </w:tcPr>
          <w:p w14:paraId="1C72921F" w14:textId="559CEA2C" w:rsidR="00B05C66" w:rsidRPr="001B6E4D" w:rsidRDefault="00BA787E" w:rsidP="003D1018">
            <w:pPr>
              <w:widowControl w:val="0"/>
              <w:kinsoku w:val="0"/>
              <w:overflowPunct w:val="0"/>
              <w:spacing w:line="300" w:lineRule="exact"/>
              <w:jc w:val="both"/>
              <w:rPr>
                <w:rFonts w:ascii="標楷體" w:eastAsia="標楷體" w:hAnsi="標楷體"/>
                <w:color w:val="000000"/>
                <w:spacing w:val="-28"/>
                <w:szCs w:val="22"/>
              </w:rPr>
            </w:pPr>
            <w:r w:rsidRPr="00BA787E">
              <w:rPr>
                <w:rFonts w:ascii="標楷體" w:eastAsia="標楷體" w:hAnsi="標楷體" w:hint="eastAsia"/>
                <w:color w:val="000000"/>
                <w:spacing w:val="-28"/>
                <w:szCs w:val="22"/>
              </w:rPr>
              <w:lastRenderedPageBreak/>
              <w:t>第7885號</w:t>
            </w:r>
          </w:p>
        </w:tc>
      </w:tr>
      <w:tr w:rsidR="00B05C66" w:rsidRPr="001B6E4D" w14:paraId="65E80BFA" w14:textId="77777777" w:rsidTr="0006693A">
        <w:trPr>
          <w:trHeight w:val="645"/>
        </w:trPr>
        <w:tc>
          <w:tcPr>
            <w:tcW w:w="516" w:type="dxa"/>
          </w:tcPr>
          <w:p w14:paraId="61948CAB"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AE5726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2.衛生福利部長照及社會發展署組織法草案</w:t>
            </w:r>
          </w:p>
        </w:tc>
        <w:tc>
          <w:tcPr>
            <w:tcW w:w="1500" w:type="dxa"/>
          </w:tcPr>
          <w:p w14:paraId="6F63DEE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委員林月琴</w:t>
            </w:r>
          </w:p>
          <w:p w14:paraId="656AD77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4ED9268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114.12.19 （11-4-14）</w:t>
            </w:r>
          </w:p>
        </w:tc>
        <w:tc>
          <w:tcPr>
            <w:tcW w:w="1536" w:type="dxa"/>
            <w:vMerge/>
          </w:tcPr>
          <w:p w14:paraId="7BA8069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7812EC15"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8F7D83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272F8AA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115F808" w14:textId="77777777" w:rsidTr="0006693A">
        <w:trPr>
          <w:trHeight w:val="645"/>
        </w:trPr>
        <w:tc>
          <w:tcPr>
            <w:tcW w:w="516" w:type="dxa"/>
          </w:tcPr>
          <w:p w14:paraId="12205CB3"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7E91018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3.衛生福利部長期照顧及社會發展署組織法草案</w:t>
            </w:r>
          </w:p>
        </w:tc>
        <w:tc>
          <w:tcPr>
            <w:tcW w:w="1500" w:type="dxa"/>
          </w:tcPr>
          <w:p w14:paraId="1BF5D68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4134554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0FB798C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116BB41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6BE80AD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FF43D42"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17DEE984"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5DB12CF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018040B6" w14:textId="77777777" w:rsidTr="0006693A">
        <w:trPr>
          <w:trHeight w:val="645"/>
        </w:trPr>
        <w:tc>
          <w:tcPr>
            <w:tcW w:w="516" w:type="dxa"/>
          </w:tcPr>
          <w:p w14:paraId="72D94CFB"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156B1F9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4.衛生福利部長期照顧及社會發展署組織法草案</w:t>
            </w:r>
          </w:p>
        </w:tc>
        <w:tc>
          <w:tcPr>
            <w:tcW w:w="1500" w:type="dxa"/>
          </w:tcPr>
          <w:p w14:paraId="49A8893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委員郭昱晴</w:t>
            </w:r>
          </w:p>
          <w:p w14:paraId="61A4481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766E56A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114.12.26</w:t>
            </w:r>
          </w:p>
          <w:p w14:paraId="01FFE6C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（11-4-15）</w:t>
            </w:r>
          </w:p>
        </w:tc>
        <w:tc>
          <w:tcPr>
            <w:tcW w:w="1536" w:type="dxa"/>
            <w:vMerge/>
          </w:tcPr>
          <w:p w14:paraId="5145B93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7ADF20B0"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5CF5E92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0FDBE74"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DD1E0B8" w14:textId="77777777" w:rsidTr="0006693A">
        <w:trPr>
          <w:trHeight w:val="645"/>
        </w:trPr>
        <w:tc>
          <w:tcPr>
            <w:tcW w:w="516" w:type="dxa"/>
          </w:tcPr>
          <w:p w14:paraId="303F2E0E"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02D6A1D0"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5.衛生福利部長期照顧及社會發展署組織法草案</w:t>
            </w:r>
          </w:p>
        </w:tc>
        <w:tc>
          <w:tcPr>
            <w:tcW w:w="1500" w:type="dxa"/>
          </w:tcPr>
          <w:p w14:paraId="7F0A558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委員王育敏</w:t>
            </w:r>
          </w:p>
          <w:p w14:paraId="4A81187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5595824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63B4865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1F934EB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713F8D68"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E20C13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9A0831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914C704" w14:textId="77777777" w:rsidTr="0006693A">
        <w:trPr>
          <w:trHeight w:val="645"/>
        </w:trPr>
        <w:tc>
          <w:tcPr>
            <w:tcW w:w="516" w:type="dxa"/>
          </w:tcPr>
          <w:p w14:paraId="57A6EB1A"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99632B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6.衛生福利部長期照顧及社會發展署組織法草案</w:t>
            </w:r>
          </w:p>
        </w:tc>
        <w:tc>
          <w:tcPr>
            <w:tcW w:w="1500" w:type="dxa"/>
          </w:tcPr>
          <w:p w14:paraId="522564E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委員李坤城</w:t>
            </w:r>
          </w:p>
          <w:p w14:paraId="7F9C255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2451626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6138131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3F41D3E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5B6BA16E"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B1CE89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2F144E8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4D946BF" w14:textId="77777777" w:rsidTr="0006693A">
        <w:trPr>
          <w:trHeight w:val="645"/>
        </w:trPr>
        <w:tc>
          <w:tcPr>
            <w:tcW w:w="516" w:type="dxa"/>
          </w:tcPr>
          <w:p w14:paraId="6D23AC9B"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0CA1B37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7.衛生福利部長期照顧及社會發展署組織法草案</w:t>
            </w:r>
          </w:p>
        </w:tc>
        <w:tc>
          <w:tcPr>
            <w:tcW w:w="1500" w:type="dxa"/>
          </w:tcPr>
          <w:p w14:paraId="326DB6B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委員王正旭</w:t>
            </w:r>
          </w:p>
          <w:p w14:paraId="36075AF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53391FA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517F26E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160517D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5C710A84"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77AD619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5186A0F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1D74A722" w14:textId="77777777" w:rsidTr="0006693A">
        <w:trPr>
          <w:trHeight w:val="645"/>
        </w:trPr>
        <w:tc>
          <w:tcPr>
            <w:tcW w:w="516" w:type="dxa"/>
          </w:tcPr>
          <w:p w14:paraId="0E7BD745"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FFE294A"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8.衛生福利部長期照顧及社會發展署組織法草案</w:t>
            </w:r>
          </w:p>
        </w:tc>
        <w:tc>
          <w:tcPr>
            <w:tcW w:w="1500" w:type="dxa"/>
          </w:tcPr>
          <w:p w14:paraId="1482D0B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委員張雅琳</w:t>
            </w:r>
          </w:p>
          <w:p w14:paraId="798D548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3DF1397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6A35F2C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32AF9BC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15F6FE54"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3F878D5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E47397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4AC37D4" w14:textId="77777777" w:rsidTr="0006693A">
        <w:trPr>
          <w:trHeight w:val="645"/>
        </w:trPr>
        <w:tc>
          <w:tcPr>
            <w:tcW w:w="516" w:type="dxa"/>
          </w:tcPr>
          <w:p w14:paraId="1F3C8477"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FB29D26"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9.衛生福利部長期照顧及社會發展署組織法草</w:t>
            </w:r>
            <w:r w:rsidRPr="001B6E4D">
              <w:rPr>
                <w:rFonts w:ascii="標楷體" w:eastAsia="標楷體" w:hAnsi="標楷體"/>
                <w:color w:val="000000"/>
                <w:kern w:val="0"/>
                <w:szCs w:val="22"/>
              </w:rPr>
              <w:lastRenderedPageBreak/>
              <w:t>案</w:t>
            </w:r>
          </w:p>
        </w:tc>
        <w:tc>
          <w:tcPr>
            <w:tcW w:w="1500" w:type="dxa"/>
          </w:tcPr>
          <w:p w14:paraId="3243A56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委員王鴻薇</w:t>
            </w:r>
          </w:p>
          <w:p w14:paraId="682E32B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4F5C9AC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2EABA22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0977CF4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5457202B"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D7A01D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CA658DF"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4F66F032" w14:textId="77777777" w:rsidTr="0006693A">
        <w:trPr>
          <w:trHeight w:val="645"/>
        </w:trPr>
        <w:tc>
          <w:tcPr>
            <w:tcW w:w="516" w:type="dxa"/>
          </w:tcPr>
          <w:p w14:paraId="6DE6B188"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46358F5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10.衛生福利部長期照顧及社會發展署組織法草案</w:t>
            </w:r>
          </w:p>
        </w:tc>
        <w:tc>
          <w:tcPr>
            <w:tcW w:w="1500" w:type="dxa"/>
          </w:tcPr>
          <w:p w14:paraId="0FC9BE6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委員徐巧芯</w:t>
            </w:r>
          </w:p>
          <w:p w14:paraId="499B14B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5D75B3E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07826F9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31FFDE2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3FFB5AE2"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8DA7794"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02A3CAF"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71D3CC7F" w14:textId="77777777" w:rsidTr="0006693A">
        <w:trPr>
          <w:trHeight w:val="645"/>
        </w:trPr>
        <w:tc>
          <w:tcPr>
            <w:tcW w:w="516" w:type="dxa"/>
          </w:tcPr>
          <w:p w14:paraId="3B199A36"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603DE09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11.衛生福利部長期照顧及社會發展署組織法草案</w:t>
            </w:r>
          </w:p>
        </w:tc>
        <w:tc>
          <w:tcPr>
            <w:tcW w:w="1500" w:type="dxa"/>
          </w:tcPr>
          <w:p w14:paraId="40DE961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委員廖偉翔</w:t>
            </w:r>
          </w:p>
          <w:p w14:paraId="3630CCE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09312D2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3E9F1C3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790985E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7D61C8CC"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B61460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4DC74CA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55D7BE5A" w14:textId="77777777" w:rsidTr="0006693A">
        <w:trPr>
          <w:trHeight w:val="645"/>
        </w:trPr>
        <w:tc>
          <w:tcPr>
            <w:tcW w:w="516" w:type="dxa"/>
          </w:tcPr>
          <w:p w14:paraId="655928AF"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87AA7DA"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12.衛生福利部長期照顧及社會發展署組織法草案</w:t>
            </w:r>
          </w:p>
        </w:tc>
        <w:tc>
          <w:tcPr>
            <w:tcW w:w="1500" w:type="dxa"/>
          </w:tcPr>
          <w:p w14:paraId="04862DB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委員劉建國</w:t>
            </w:r>
          </w:p>
          <w:p w14:paraId="2A947EF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1DD7165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5F807D7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5F5B109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460" w:type="dxa"/>
            <w:vMerge/>
          </w:tcPr>
          <w:p w14:paraId="4398EF3D"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5D1EC45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005EF488"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F7C01FF" w14:textId="77777777" w:rsidTr="0006693A">
        <w:trPr>
          <w:trHeight w:val="645"/>
        </w:trPr>
        <w:tc>
          <w:tcPr>
            <w:tcW w:w="516" w:type="dxa"/>
          </w:tcPr>
          <w:p w14:paraId="50AE5E55"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4C65D0B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3.</w:t>
            </w:r>
            <w:r w:rsidRPr="001B6E4D">
              <w:rPr>
                <w:rFonts w:ascii="標楷體" w:eastAsia="標楷體" w:hAnsi="標楷體" w:hint="eastAsia"/>
                <w:color w:val="000000"/>
                <w:kern w:val="0"/>
                <w:szCs w:val="22"/>
              </w:rPr>
              <w:t>衛生福利部長期照顧及社會發展署組織法草案</w:t>
            </w:r>
          </w:p>
        </w:tc>
        <w:tc>
          <w:tcPr>
            <w:tcW w:w="1500" w:type="dxa"/>
          </w:tcPr>
          <w:p w14:paraId="79052DF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委員許宇</w:t>
            </w:r>
            <w:proofErr w:type="gramStart"/>
            <w:r w:rsidRPr="001B6E4D">
              <w:rPr>
                <w:rFonts w:ascii="標楷體" w:eastAsia="標楷體" w:hAnsi="標楷體" w:hint="eastAsia"/>
                <w:color w:val="000000"/>
                <w:kern w:val="0"/>
                <w:szCs w:val="22"/>
              </w:rPr>
              <w:t>甄</w:t>
            </w:r>
            <w:proofErr w:type="gramEnd"/>
          </w:p>
          <w:p w14:paraId="56C2022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等17人</w:t>
            </w:r>
          </w:p>
          <w:p w14:paraId="6BD9515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.3.</w:t>
            </w:r>
            <w:r w:rsidRPr="001B6E4D">
              <w:rPr>
                <w:rFonts w:ascii="標楷體" w:eastAsia="標楷體" w:hAnsi="標楷體" w:hint="eastAsia"/>
                <w:color w:val="000000"/>
                <w:kern w:val="0"/>
                <w:szCs w:val="22"/>
              </w:rPr>
              <w:t>20</w:t>
            </w:r>
          </w:p>
          <w:p w14:paraId="0B12087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w:t>
            </w:r>
          </w:p>
        </w:tc>
        <w:tc>
          <w:tcPr>
            <w:tcW w:w="1536" w:type="dxa"/>
          </w:tcPr>
          <w:p w14:paraId="4DDA938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.20</w:t>
            </w:r>
          </w:p>
          <w:p w14:paraId="555A1F3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5</w:t>
            </w:r>
            <w:r w:rsidRPr="001B6E4D">
              <w:rPr>
                <w:rFonts w:ascii="標楷體" w:eastAsia="標楷體" w:hAnsi="標楷體" w:hint="eastAsia"/>
                <w:spacing w:val="-20"/>
                <w:kern w:val="0"/>
                <w:szCs w:val="22"/>
              </w:rPr>
              <w:t>-4）</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7D6B9EB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2.115.4.9黨團協商。</w:t>
            </w:r>
          </w:p>
          <w:p w14:paraId="24B6009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7540AC30"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4D1AB4C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1495521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00ABBDD8" w14:textId="77777777" w:rsidTr="0006693A">
        <w:trPr>
          <w:trHeight w:val="645"/>
        </w:trPr>
        <w:tc>
          <w:tcPr>
            <w:tcW w:w="516" w:type="dxa"/>
          </w:tcPr>
          <w:p w14:paraId="136556DA"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31C19A0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4.衛生福利部長期照顧及社會發展署組織法草案</w:t>
            </w:r>
          </w:p>
        </w:tc>
        <w:tc>
          <w:tcPr>
            <w:tcW w:w="1500" w:type="dxa"/>
          </w:tcPr>
          <w:p w14:paraId="6B3FA8A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委員沈發惠</w:t>
            </w:r>
          </w:p>
          <w:p w14:paraId="043711C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w:t>
            </w:r>
            <w:r w:rsidRPr="001B6E4D">
              <w:rPr>
                <w:rFonts w:ascii="標楷體" w:eastAsia="標楷體" w:hAnsi="標楷體"/>
                <w:color w:val="000000"/>
                <w:kern w:val="0"/>
                <w:szCs w:val="22"/>
              </w:rPr>
              <w:t>18人</w:t>
            </w:r>
          </w:p>
          <w:p w14:paraId="4FB0B40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.3.</w:t>
            </w:r>
            <w:r w:rsidRPr="001B6E4D">
              <w:rPr>
                <w:rFonts w:ascii="標楷體" w:eastAsia="標楷體" w:hAnsi="標楷體" w:hint="eastAsia"/>
                <w:color w:val="000000"/>
                <w:kern w:val="0"/>
                <w:szCs w:val="22"/>
              </w:rPr>
              <w:t>27</w:t>
            </w:r>
          </w:p>
          <w:p w14:paraId="48F6B8F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p>
        </w:tc>
        <w:tc>
          <w:tcPr>
            <w:tcW w:w="1536" w:type="dxa"/>
          </w:tcPr>
          <w:p w14:paraId="3C21FE4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3</w:t>
            </w:r>
            <w:r w:rsidRPr="001B6E4D">
              <w:rPr>
                <w:rFonts w:ascii="標楷體" w:eastAsia="標楷體" w:hAnsi="標楷體" w:hint="eastAsia"/>
                <w:spacing w:val="-20"/>
                <w:kern w:val="0"/>
                <w:szCs w:val="22"/>
              </w:rPr>
              <w:t>.27</w:t>
            </w:r>
          </w:p>
          <w:p w14:paraId="7F25700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w:t>
            </w:r>
            <w:r w:rsidRPr="001B6E4D">
              <w:rPr>
                <w:rFonts w:ascii="標楷體" w:eastAsia="標楷體" w:hAnsi="標楷體"/>
                <w:spacing w:val="-20"/>
                <w:kern w:val="0"/>
                <w:szCs w:val="22"/>
              </w:rPr>
              <w:t>5</w:t>
            </w:r>
            <w:r w:rsidRPr="001B6E4D">
              <w:rPr>
                <w:rFonts w:ascii="標楷體" w:eastAsia="標楷體" w:hAnsi="標楷體" w:hint="eastAsia"/>
                <w:spacing w:val="-20"/>
                <w:kern w:val="0"/>
                <w:szCs w:val="22"/>
              </w:rPr>
              <w:t>-5）</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5A4825F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2.115.4.9黨團協商。</w:t>
            </w:r>
          </w:p>
          <w:p w14:paraId="1CE4879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3.115.7.1黨團協商。</w:t>
            </w:r>
          </w:p>
        </w:tc>
        <w:tc>
          <w:tcPr>
            <w:tcW w:w="1460" w:type="dxa"/>
            <w:vMerge/>
          </w:tcPr>
          <w:p w14:paraId="06316034"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2F4469E8"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6E9FB9E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3236E690" w14:textId="77777777" w:rsidTr="0006693A">
        <w:trPr>
          <w:trHeight w:val="645"/>
        </w:trPr>
        <w:tc>
          <w:tcPr>
            <w:tcW w:w="516" w:type="dxa"/>
          </w:tcPr>
          <w:p w14:paraId="579EC2BC"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00A19A2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5.</w:t>
            </w:r>
            <w:r w:rsidRPr="001B6E4D">
              <w:rPr>
                <w:rFonts w:ascii="標楷體" w:eastAsia="標楷體" w:hAnsi="標楷體" w:hint="eastAsia"/>
                <w:color w:val="000000"/>
                <w:kern w:val="0"/>
                <w:szCs w:val="22"/>
              </w:rPr>
              <w:t>衛生福利部長期照顧及社會發展署組織法</w:t>
            </w:r>
            <w:r w:rsidRPr="001B6E4D">
              <w:rPr>
                <w:rFonts w:ascii="標楷體" w:eastAsia="標楷體" w:hAnsi="標楷體" w:hint="eastAsia"/>
                <w:color w:val="000000"/>
                <w:kern w:val="0"/>
                <w:szCs w:val="22"/>
              </w:rPr>
              <w:lastRenderedPageBreak/>
              <w:t>草案</w:t>
            </w:r>
          </w:p>
        </w:tc>
        <w:tc>
          <w:tcPr>
            <w:tcW w:w="1500" w:type="dxa"/>
          </w:tcPr>
          <w:p w14:paraId="52A30EF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lastRenderedPageBreak/>
              <w:t>委員蔡易餘</w:t>
            </w:r>
          </w:p>
          <w:p w14:paraId="548253A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等16人</w:t>
            </w:r>
          </w:p>
          <w:p w14:paraId="26CF1F6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29</w:t>
            </w:r>
          </w:p>
          <w:p w14:paraId="72F3A88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12</w:t>
            </w:r>
            <w:r w:rsidRPr="001B6E4D">
              <w:rPr>
                <w:rFonts w:ascii="標楷體" w:eastAsia="標楷體" w:hAnsi="標楷體"/>
                <w:color w:val="000000"/>
                <w:kern w:val="0"/>
                <w:szCs w:val="22"/>
              </w:rPr>
              <w:t>）</w:t>
            </w:r>
          </w:p>
        </w:tc>
        <w:tc>
          <w:tcPr>
            <w:tcW w:w="1536" w:type="dxa"/>
          </w:tcPr>
          <w:p w14:paraId="0895FAA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5.5.29</w:t>
            </w:r>
          </w:p>
          <w:p w14:paraId="7CBE5D0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-5-12）</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w:t>
            </w:r>
            <w:r w:rsidRPr="001B6E4D">
              <w:rPr>
                <w:rFonts w:ascii="標楷體" w:eastAsia="標楷體" w:hAnsi="標楷體" w:hint="eastAsia"/>
                <w:spacing w:val="-20"/>
                <w:kern w:val="0"/>
                <w:szCs w:val="22"/>
              </w:rPr>
              <w:lastRenderedPageBreak/>
              <w:t>商。</w:t>
            </w:r>
          </w:p>
          <w:p w14:paraId="2E04508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2.115.7.1黨團協商。</w:t>
            </w:r>
          </w:p>
        </w:tc>
        <w:tc>
          <w:tcPr>
            <w:tcW w:w="1460" w:type="dxa"/>
            <w:vMerge/>
          </w:tcPr>
          <w:p w14:paraId="76931E3E"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04FC156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55CCF098"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r w:rsidR="00B05C66" w:rsidRPr="001B6E4D" w14:paraId="0028094F" w14:textId="77777777" w:rsidTr="0006693A">
        <w:trPr>
          <w:trHeight w:val="645"/>
        </w:trPr>
        <w:tc>
          <w:tcPr>
            <w:tcW w:w="516" w:type="dxa"/>
          </w:tcPr>
          <w:p w14:paraId="7F37F900" w14:textId="77777777" w:rsidR="00B05C66" w:rsidRPr="001B6E4D" w:rsidRDefault="00B05C66" w:rsidP="003D1018">
            <w:pPr>
              <w:widowControl w:val="0"/>
              <w:numPr>
                <w:ilvl w:val="0"/>
                <w:numId w:val="25"/>
              </w:numPr>
              <w:kinsoku w:val="0"/>
              <w:overflowPunct w:val="0"/>
              <w:spacing w:line="300" w:lineRule="exact"/>
              <w:jc w:val="center"/>
              <w:rPr>
                <w:rFonts w:ascii="標楷體" w:eastAsia="標楷體" w:hAnsi="標楷體"/>
                <w:color w:val="000000"/>
                <w:spacing w:val="-20"/>
                <w:szCs w:val="22"/>
              </w:rPr>
            </w:pPr>
          </w:p>
        </w:tc>
        <w:tc>
          <w:tcPr>
            <w:tcW w:w="1113" w:type="dxa"/>
          </w:tcPr>
          <w:p w14:paraId="21587B46"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6.衛生福利部長期照顧及社會發展署組織法草案</w:t>
            </w:r>
          </w:p>
        </w:tc>
        <w:tc>
          <w:tcPr>
            <w:tcW w:w="1500" w:type="dxa"/>
          </w:tcPr>
          <w:p w14:paraId="5A7DF31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委員李昆澤</w:t>
            </w:r>
          </w:p>
          <w:p w14:paraId="2CE377D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w:t>
            </w:r>
            <w:r w:rsidRPr="001B6E4D">
              <w:rPr>
                <w:rFonts w:ascii="標楷體" w:eastAsia="標楷體" w:hAnsi="標楷體"/>
                <w:color w:val="000000"/>
                <w:kern w:val="0"/>
                <w:szCs w:val="22"/>
              </w:rPr>
              <w:t>17人</w:t>
            </w:r>
          </w:p>
          <w:p w14:paraId="2D79860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06</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26</w:t>
            </w:r>
          </w:p>
          <w:p w14:paraId="2A180F0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15</w:t>
            </w:r>
            <w:r w:rsidRPr="001B6E4D">
              <w:rPr>
                <w:rFonts w:ascii="標楷體" w:eastAsia="標楷體" w:hAnsi="標楷體"/>
                <w:color w:val="000000"/>
                <w:kern w:val="0"/>
                <w:szCs w:val="22"/>
              </w:rPr>
              <w:t>）</w:t>
            </w:r>
          </w:p>
        </w:tc>
        <w:tc>
          <w:tcPr>
            <w:tcW w:w="1536" w:type="dxa"/>
          </w:tcPr>
          <w:p w14:paraId="7805D19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5.6.26</w:t>
            </w:r>
          </w:p>
          <w:p w14:paraId="124586D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-5-15）</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10528D9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2.115.7.1黨團協商。</w:t>
            </w:r>
          </w:p>
        </w:tc>
        <w:tc>
          <w:tcPr>
            <w:tcW w:w="1460" w:type="dxa"/>
            <w:vMerge/>
          </w:tcPr>
          <w:p w14:paraId="4A0ECF7E"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p>
        </w:tc>
        <w:tc>
          <w:tcPr>
            <w:tcW w:w="1682" w:type="dxa"/>
            <w:vMerge/>
          </w:tcPr>
          <w:p w14:paraId="353AF55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071" w:type="dxa"/>
            <w:vMerge/>
          </w:tcPr>
          <w:p w14:paraId="31E3831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8"/>
                <w:szCs w:val="22"/>
              </w:rPr>
            </w:pPr>
          </w:p>
        </w:tc>
      </w:tr>
    </w:tbl>
    <w:p w14:paraId="47BE632F" w14:textId="3F38BE94" w:rsidR="00B05C66" w:rsidRPr="001B6E4D" w:rsidRDefault="00951B6E" w:rsidP="003D1018">
      <w:pPr>
        <w:pStyle w:val="affffff0"/>
        <w:kinsoku w:val="0"/>
        <w:overflowPunct w:val="0"/>
        <w:topLinePunct/>
        <w:spacing w:before="180" w:after="180"/>
        <w:ind w:leftChars="128" w:left="307" w:firstLineChars="200" w:firstLine="561"/>
        <w:rPr>
          <w:color w:val="000000" w:themeColor="text1"/>
          <w:szCs w:val="28"/>
          <w:shd w:val="clear" w:color="auto" w:fill="FFFFFF" w:themeFill="background1"/>
        </w:rPr>
      </w:pPr>
      <w:bookmarkStart w:id="161" w:name="_Toc202524789"/>
      <w:bookmarkStart w:id="162" w:name="_Toc240446529"/>
      <w:r w:rsidRPr="001B6E4D">
        <w:rPr>
          <w:color w:val="000000" w:themeColor="text1"/>
          <w:szCs w:val="28"/>
          <w:shd w:val="clear" w:color="auto" w:fill="FFFFFF" w:themeFill="background1"/>
        </w:rPr>
        <w:t>二、作用法</w:t>
      </w:r>
      <w:r w:rsidR="00B05C66" w:rsidRPr="001B6E4D">
        <w:rPr>
          <w:rFonts w:hint="eastAsia"/>
          <w:color w:val="000000" w:themeColor="text1"/>
          <w:szCs w:val="28"/>
          <w:shd w:val="clear" w:color="auto" w:fill="FFFFFF" w:themeFill="background1"/>
        </w:rPr>
        <w:t>91</w:t>
      </w:r>
      <w:r w:rsidRPr="001B6E4D">
        <w:rPr>
          <w:color w:val="000000" w:themeColor="text1"/>
          <w:szCs w:val="28"/>
          <w:shd w:val="clear" w:color="auto" w:fill="FFFFFF" w:themeFill="background1"/>
        </w:rPr>
        <w:t>案</w:t>
      </w:r>
      <w:bookmarkEnd w:id="161"/>
      <w:bookmarkEnd w:id="162"/>
    </w:p>
    <w:tbl>
      <w:tblPr>
        <w:tblW w:w="8878" w:type="dxa"/>
        <w:tblInd w:w="19"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511"/>
        <w:gridCol w:w="1111"/>
        <w:gridCol w:w="1545"/>
        <w:gridCol w:w="1536"/>
        <w:gridCol w:w="1387"/>
        <w:gridCol w:w="1683"/>
        <w:gridCol w:w="1105"/>
      </w:tblGrid>
      <w:tr w:rsidR="00B05C66" w:rsidRPr="001B6E4D" w14:paraId="7CCE976B" w14:textId="77777777" w:rsidTr="0006693A">
        <w:trPr>
          <w:trHeight w:val="600"/>
        </w:trPr>
        <w:tc>
          <w:tcPr>
            <w:tcW w:w="511" w:type="dxa"/>
            <w:vMerge w:val="restart"/>
          </w:tcPr>
          <w:p w14:paraId="6DEFDEFC"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序號</w:t>
            </w:r>
          </w:p>
        </w:tc>
        <w:tc>
          <w:tcPr>
            <w:tcW w:w="1111" w:type="dxa"/>
            <w:vMerge w:val="restart"/>
          </w:tcPr>
          <w:p w14:paraId="264A4C61" w14:textId="77777777" w:rsidR="00B05C66" w:rsidRPr="001B6E4D" w:rsidRDefault="00B05C66" w:rsidP="003D1018">
            <w:pPr>
              <w:widowControl w:val="0"/>
              <w:kinsoku w:val="0"/>
              <w:overflowPunct w:val="0"/>
              <w:spacing w:line="300" w:lineRule="exact"/>
              <w:ind w:rightChars="13" w:right="31"/>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議案名稱</w:t>
            </w:r>
          </w:p>
        </w:tc>
        <w:tc>
          <w:tcPr>
            <w:tcW w:w="1545" w:type="dxa"/>
            <w:vMerge w:val="restart"/>
          </w:tcPr>
          <w:p w14:paraId="0B60EF32" w14:textId="77777777" w:rsidR="00B05C66" w:rsidRPr="001B6E4D" w:rsidRDefault="00B05C66" w:rsidP="003D1018">
            <w:pPr>
              <w:widowControl w:val="0"/>
              <w:tabs>
                <w:tab w:val="left" w:pos="1089"/>
              </w:tabs>
              <w:kinsoku w:val="0"/>
              <w:overflowPunct w:val="0"/>
              <w:spacing w:line="300" w:lineRule="exact"/>
              <w:ind w:leftChars="-39" w:left="-94" w:rightChars="-12" w:right="-29"/>
              <w:jc w:val="both"/>
              <w:rPr>
                <w:rFonts w:ascii="標楷體" w:eastAsia="標楷體" w:hAnsi="標楷體"/>
                <w:b/>
                <w:color w:val="000000"/>
                <w:spacing w:val="-20"/>
                <w:szCs w:val="22"/>
              </w:rPr>
            </w:pPr>
            <w:r w:rsidRPr="001B6E4D">
              <w:rPr>
                <w:rFonts w:ascii="標楷體" w:eastAsia="標楷體" w:hAnsi="標楷體"/>
                <w:b/>
                <w:color w:val="000000"/>
                <w:spacing w:val="-20"/>
                <w:szCs w:val="22"/>
              </w:rPr>
              <w:t>提案委員或機關</w:t>
            </w:r>
          </w:p>
          <w:p w14:paraId="20C50F5B" w14:textId="77777777" w:rsidR="00B05C66" w:rsidRPr="001B6E4D" w:rsidRDefault="00B05C66"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院會交付日期</w:t>
            </w:r>
          </w:p>
          <w:p w14:paraId="42EAE6C2" w14:textId="77777777" w:rsidR="00B05C66" w:rsidRPr="001B6E4D" w:rsidRDefault="00B05C66"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(會次)</w:t>
            </w:r>
          </w:p>
        </w:tc>
        <w:tc>
          <w:tcPr>
            <w:tcW w:w="1536" w:type="dxa"/>
            <w:vMerge w:val="restart"/>
          </w:tcPr>
          <w:p w14:paraId="48A36C01" w14:textId="77777777" w:rsidR="00B05C66" w:rsidRPr="001B6E4D" w:rsidRDefault="00B05C66" w:rsidP="003D1018">
            <w:pPr>
              <w:widowControl w:val="0"/>
              <w:kinsoku w:val="0"/>
              <w:overflowPunct w:val="0"/>
              <w:spacing w:line="300" w:lineRule="exact"/>
              <w:ind w:leftChars="-80" w:left="-36" w:rightChars="-45" w:right="-108" w:hangingChars="78" w:hanging="156"/>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審查情形日期</w:t>
            </w:r>
            <w:r w:rsidRPr="001B6E4D">
              <w:rPr>
                <w:rFonts w:ascii="標楷體" w:eastAsia="標楷體" w:hAnsi="標楷體" w:hint="eastAsia"/>
                <w:b/>
                <w:color w:val="000000"/>
                <w:spacing w:val="-20"/>
                <w:szCs w:val="22"/>
              </w:rPr>
              <w:t xml:space="preserve"> </w:t>
            </w:r>
          </w:p>
          <w:p w14:paraId="40733FCD" w14:textId="77777777" w:rsidR="00B05C66" w:rsidRPr="001B6E4D" w:rsidRDefault="00B05C66" w:rsidP="003D1018">
            <w:pPr>
              <w:widowControl w:val="0"/>
              <w:kinsoku w:val="0"/>
              <w:overflowPunct w:val="0"/>
              <w:spacing w:line="300" w:lineRule="exact"/>
              <w:ind w:leftChars="-80" w:left="-36" w:rightChars="-45" w:right="-108" w:hangingChars="78" w:hanging="156"/>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(會次)</w:t>
            </w:r>
          </w:p>
        </w:tc>
        <w:tc>
          <w:tcPr>
            <w:tcW w:w="1387" w:type="dxa"/>
            <w:vMerge w:val="restart"/>
          </w:tcPr>
          <w:p w14:paraId="2063625B" w14:textId="77777777" w:rsidR="00B05C66" w:rsidRPr="001B6E4D" w:rsidRDefault="00B05C66" w:rsidP="003D1018">
            <w:pPr>
              <w:widowControl w:val="0"/>
              <w:kinsoku w:val="0"/>
              <w:overflowPunct w:val="0"/>
              <w:spacing w:line="300" w:lineRule="exact"/>
              <w:ind w:leftChars="-45" w:hangingChars="54" w:hanging="108"/>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院會三讀通過</w:t>
            </w:r>
          </w:p>
          <w:p w14:paraId="1FC11075" w14:textId="77777777" w:rsidR="00B05C66" w:rsidRPr="001B6E4D" w:rsidRDefault="00B05C66" w:rsidP="003D1018">
            <w:pPr>
              <w:widowControl w:val="0"/>
              <w:kinsoku w:val="0"/>
              <w:overflowPunct w:val="0"/>
              <w:spacing w:line="300" w:lineRule="exact"/>
              <w:ind w:leftChars="-45" w:hangingChars="54" w:hanging="108"/>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日期(會次)</w:t>
            </w:r>
            <w:r w:rsidRPr="001B6E4D">
              <w:rPr>
                <w:rFonts w:ascii="標楷體" w:eastAsia="標楷體" w:hAnsi="標楷體" w:hint="eastAsia"/>
                <w:b/>
                <w:color w:val="000000"/>
                <w:spacing w:val="-20"/>
                <w:szCs w:val="22"/>
              </w:rPr>
              <w:t>、</w:t>
            </w:r>
          </w:p>
          <w:p w14:paraId="4CA11259" w14:textId="77777777" w:rsidR="00B05C66" w:rsidRPr="001B6E4D" w:rsidRDefault="00B05C66" w:rsidP="003D1018">
            <w:pPr>
              <w:widowControl w:val="0"/>
              <w:kinsoku w:val="0"/>
              <w:overflowPunct w:val="0"/>
              <w:spacing w:line="300" w:lineRule="exact"/>
              <w:ind w:leftChars="-45" w:left="-108"/>
              <w:jc w:val="center"/>
              <w:rPr>
                <w:rFonts w:ascii="標楷體" w:eastAsia="標楷體" w:hAnsi="標楷體"/>
                <w:b/>
                <w:color w:val="000000"/>
                <w:spacing w:val="-20"/>
                <w:szCs w:val="22"/>
              </w:rPr>
            </w:pPr>
            <w:proofErr w:type="gramStart"/>
            <w:r w:rsidRPr="001B6E4D">
              <w:rPr>
                <w:rFonts w:ascii="標楷體" w:eastAsia="標楷體" w:hAnsi="標楷體"/>
                <w:b/>
                <w:color w:val="000000"/>
                <w:spacing w:val="-20"/>
                <w:szCs w:val="22"/>
              </w:rPr>
              <w:t>咨</w:t>
            </w:r>
            <w:proofErr w:type="gramEnd"/>
            <w:r w:rsidRPr="001B6E4D">
              <w:rPr>
                <w:rFonts w:ascii="標楷體" w:eastAsia="標楷體" w:hAnsi="標楷體"/>
                <w:b/>
                <w:color w:val="000000"/>
                <w:spacing w:val="-20"/>
                <w:szCs w:val="22"/>
              </w:rPr>
              <w:t>請總統公布法律案名稱</w:t>
            </w:r>
          </w:p>
        </w:tc>
        <w:tc>
          <w:tcPr>
            <w:tcW w:w="1683" w:type="dxa"/>
          </w:tcPr>
          <w:p w14:paraId="5A49C2DD"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hint="eastAsia"/>
                <w:b/>
                <w:color w:val="000000"/>
                <w:spacing w:val="-20"/>
                <w:szCs w:val="22"/>
              </w:rPr>
              <w:t>本院</w:t>
            </w:r>
            <w:r w:rsidRPr="001B6E4D">
              <w:rPr>
                <w:rFonts w:ascii="標楷體" w:eastAsia="標楷體" w:hAnsi="標楷體"/>
                <w:b/>
                <w:color w:val="000000"/>
                <w:spacing w:val="-20"/>
                <w:szCs w:val="22"/>
              </w:rPr>
              <w:t>咨</w:t>
            </w:r>
            <w:r w:rsidRPr="001B6E4D">
              <w:rPr>
                <w:rFonts w:ascii="標楷體" w:eastAsia="標楷體" w:hAnsi="標楷體" w:hint="eastAsia"/>
                <w:b/>
                <w:color w:val="000000"/>
                <w:spacing w:val="-20"/>
                <w:szCs w:val="22"/>
              </w:rPr>
              <w:t>文</w:t>
            </w:r>
          </w:p>
          <w:p w14:paraId="5AC56CA7"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日期及文號</w:t>
            </w:r>
          </w:p>
        </w:tc>
        <w:tc>
          <w:tcPr>
            <w:tcW w:w="1105" w:type="dxa"/>
            <w:vMerge w:val="restart"/>
          </w:tcPr>
          <w:p w14:paraId="62E630BC"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總統府</w:t>
            </w:r>
          </w:p>
          <w:p w14:paraId="33E895FB"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公報</w:t>
            </w:r>
          </w:p>
        </w:tc>
      </w:tr>
      <w:tr w:rsidR="00B05C66" w:rsidRPr="001B6E4D" w14:paraId="34119B76" w14:textId="77777777" w:rsidTr="0006693A">
        <w:trPr>
          <w:trHeight w:val="600"/>
        </w:trPr>
        <w:tc>
          <w:tcPr>
            <w:tcW w:w="511" w:type="dxa"/>
            <w:vMerge/>
          </w:tcPr>
          <w:p w14:paraId="1C93F0E3"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p>
        </w:tc>
        <w:tc>
          <w:tcPr>
            <w:tcW w:w="1111" w:type="dxa"/>
            <w:vMerge/>
          </w:tcPr>
          <w:p w14:paraId="728D089B" w14:textId="77777777" w:rsidR="00B05C66" w:rsidRPr="001B6E4D" w:rsidRDefault="00B05C66" w:rsidP="003D1018">
            <w:pPr>
              <w:widowControl w:val="0"/>
              <w:kinsoku w:val="0"/>
              <w:overflowPunct w:val="0"/>
              <w:spacing w:line="300" w:lineRule="exact"/>
              <w:ind w:rightChars="13" w:right="31"/>
              <w:jc w:val="center"/>
              <w:rPr>
                <w:rFonts w:ascii="標楷體" w:eastAsia="標楷體" w:hAnsi="標楷體"/>
                <w:b/>
                <w:color w:val="000000"/>
                <w:spacing w:val="-20"/>
                <w:szCs w:val="22"/>
              </w:rPr>
            </w:pPr>
          </w:p>
        </w:tc>
        <w:tc>
          <w:tcPr>
            <w:tcW w:w="1545" w:type="dxa"/>
            <w:vMerge/>
          </w:tcPr>
          <w:p w14:paraId="279021D7" w14:textId="77777777" w:rsidR="00B05C66" w:rsidRPr="001B6E4D" w:rsidRDefault="00B05C66" w:rsidP="003D1018">
            <w:pPr>
              <w:widowControl w:val="0"/>
              <w:tabs>
                <w:tab w:val="left" w:pos="1089"/>
              </w:tabs>
              <w:kinsoku w:val="0"/>
              <w:overflowPunct w:val="0"/>
              <w:spacing w:line="300" w:lineRule="exact"/>
              <w:ind w:leftChars="-39" w:left="-94" w:rightChars="-12" w:right="-29"/>
              <w:jc w:val="both"/>
              <w:rPr>
                <w:rFonts w:ascii="標楷體" w:eastAsia="標楷體" w:hAnsi="標楷體"/>
                <w:b/>
                <w:color w:val="000000"/>
                <w:spacing w:val="-20"/>
                <w:szCs w:val="22"/>
              </w:rPr>
            </w:pPr>
          </w:p>
        </w:tc>
        <w:tc>
          <w:tcPr>
            <w:tcW w:w="1536" w:type="dxa"/>
            <w:vMerge/>
          </w:tcPr>
          <w:p w14:paraId="5F6EEE93" w14:textId="77777777" w:rsidR="00B05C66" w:rsidRPr="001B6E4D" w:rsidRDefault="00B05C66" w:rsidP="003D1018">
            <w:pPr>
              <w:widowControl w:val="0"/>
              <w:kinsoku w:val="0"/>
              <w:overflowPunct w:val="0"/>
              <w:spacing w:line="300" w:lineRule="exact"/>
              <w:ind w:leftChars="-80" w:left="-36" w:rightChars="-45" w:right="-108" w:hangingChars="78" w:hanging="156"/>
              <w:jc w:val="center"/>
              <w:rPr>
                <w:rFonts w:ascii="標楷體" w:eastAsia="標楷體" w:hAnsi="標楷體"/>
                <w:b/>
                <w:color w:val="000000"/>
                <w:spacing w:val="-20"/>
                <w:szCs w:val="22"/>
              </w:rPr>
            </w:pPr>
          </w:p>
        </w:tc>
        <w:tc>
          <w:tcPr>
            <w:tcW w:w="1387" w:type="dxa"/>
            <w:vMerge/>
          </w:tcPr>
          <w:p w14:paraId="3DC36375" w14:textId="77777777" w:rsidR="00B05C66" w:rsidRPr="001B6E4D" w:rsidRDefault="00B05C66" w:rsidP="003D1018">
            <w:pPr>
              <w:widowControl w:val="0"/>
              <w:kinsoku w:val="0"/>
              <w:overflowPunct w:val="0"/>
              <w:spacing w:line="300" w:lineRule="exact"/>
              <w:ind w:leftChars="-45" w:hangingChars="54" w:hanging="108"/>
              <w:jc w:val="center"/>
              <w:rPr>
                <w:rFonts w:ascii="標楷體" w:eastAsia="標楷體" w:hAnsi="標楷體"/>
                <w:b/>
                <w:color w:val="000000"/>
                <w:spacing w:val="-20"/>
                <w:szCs w:val="22"/>
              </w:rPr>
            </w:pPr>
          </w:p>
        </w:tc>
        <w:tc>
          <w:tcPr>
            <w:tcW w:w="1683" w:type="dxa"/>
          </w:tcPr>
          <w:p w14:paraId="0BCB421E"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總統公布</w:t>
            </w:r>
          </w:p>
          <w:p w14:paraId="0FB43EBC"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日期及文號</w:t>
            </w:r>
          </w:p>
        </w:tc>
        <w:tc>
          <w:tcPr>
            <w:tcW w:w="1105" w:type="dxa"/>
            <w:vMerge/>
          </w:tcPr>
          <w:p w14:paraId="10D770DD" w14:textId="77777777" w:rsidR="00B05C66" w:rsidRPr="001B6E4D" w:rsidRDefault="00B05C66" w:rsidP="003D1018">
            <w:pPr>
              <w:widowControl w:val="0"/>
              <w:kinsoku w:val="0"/>
              <w:overflowPunct w:val="0"/>
              <w:spacing w:line="300" w:lineRule="exact"/>
              <w:jc w:val="center"/>
              <w:rPr>
                <w:rFonts w:ascii="標楷體" w:eastAsia="標楷體" w:hAnsi="標楷體"/>
                <w:b/>
                <w:color w:val="000000"/>
                <w:spacing w:val="-20"/>
                <w:szCs w:val="22"/>
              </w:rPr>
            </w:pPr>
          </w:p>
        </w:tc>
      </w:tr>
      <w:tr w:rsidR="00B05C66" w:rsidRPr="001B6E4D" w14:paraId="556FBEA4" w14:textId="77777777" w:rsidTr="0006693A">
        <w:trPr>
          <w:trHeight w:val="600"/>
        </w:trPr>
        <w:tc>
          <w:tcPr>
            <w:tcW w:w="511" w:type="dxa"/>
          </w:tcPr>
          <w:p w14:paraId="2285DB28"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0435467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中華民國刑法部分條文修正草案</w:t>
            </w:r>
          </w:p>
        </w:tc>
        <w:tc>
          <w:tcPr>
            <w:tcW w:w="1545" w:type="dxa"/>
          </w:tcPr>
          <w:p w14:paraId="0ADD91F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行政院、</w:t>
            </w:r>
          </w:p>
          <w:p w14:paraId="7135437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司法院</w:t>
            </w:r>
          </w:p>
          <w:p w14:paraId="2369EF7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114.12.12</w:t>
            </w:r>
          </w:p>
          <w:p w14:paraId="32139958" w14:textId="77777777" w:rsidR="00B05C66" w:rsidRPr="001B6E4D" w:rsidRDefault="00B05C66" w:rsidP="003D1018">
            <w:pPr>
              <w:widowControl w:val="0"/>
              <w:kinsoku w:val="0"/>
              <w:overflowPunct w:val="0"/>
              <w:topLinePunct/>
              <w:adjustRightInd w:val="0"/>
              <w:snapToGrid w:val="0"/>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（11-4-13）</w:t>
            </w:r>
          </w:p>
        </w:tc>
        <w:tc>
          <w:tcPr>
            <w:tcW w:w="1536" w:type="dxa"/>
          </w:tcPr>
          <w:p w14:paraId="34EE8FE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w:t>
            </w:r>
          </w:p>
          <w:p w14:paraId="3F13369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115.3.6</w:t>
            </w:r>
          </w:p>
          <w:p w14:paraId="5F22C02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（11-5-2）自司法及法制委員會抽出</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w:t>
            </w:r>
          </w:p>
          <w:p w14:paraId="5332B54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2.115.3.11黨團協商。</w:t>
            </w:r>
          </w:p>
        </w:tc>
        <w:tc>
          <w:tcPr>
            <w:tcW w:w="1387" w:type="dxa"/>
            <w:vMerge w:val="restart"/>
          </w:tcPr>
          <w:p w14:paraId="5B61D44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院會</w:t>
            </w:r>
          </w:p>
          <w:p w14:paraId="5318FC4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115.3.13</w:t>
            </w:r>
          </w:p>
          <w:p w14:paraId="00925BB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(11-5-3)</w:t>
            </w:r>
          </w:p>
          <w:p w14:paraId="09D5A9B1" w14:textId="53E80826"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三讀增訂第七十八條之</w:t>
            </w:r>
            <w:proofErr w:type="gramStart"/>
            <w:r w:rsidRPr="001B6E4D">
              <w:rPr>
                <w:rFonts w:ascii="標楷體" w:eastAsia="標楷體" w:hAnsi="標楷體" w:hint="eastAsia"/>
                <w:color w:val="000000"/>
                <w:spacing w:val="-20"/>
                <w:szCs w:val="22"/>
              </w:rPr>
              <w:t>一</w:t>
            </w:r>
            <w:proofErr w:type="gramEnd"/>
            <w:r w:rsidRPr="001B6E4D">
              <w:rPr>
                <w:rFonts w:ascii="標楷體" w:eastAsia="標楷體" w:hAnsi="標楷體" w:hint="eastAsia"/>
                <w:color w:val="000000"/>
                <w:spacing w:val="-20"/>
                <w:szCs w:val="22"/>
              </w:rPr>
              <w:t>及</w:t>
            </w:r>
            <w:r w:rsidR="006D6966">
              <w:rPr>
                <w:rFonts w:ascii="標楷體" w:eastAsia="標楷體" w:hAnsi="標楷體" w:hint="eastAsia"/>
                <w:color w:val="000000"/>
                <w:spacing w:val="-20"/>
                <w:szCs w:val="22"/>
              </w:rPr>
              <w:t>第</w:t>
            </w:r>
            <w:r w:rsidRPr="001B6E4D">
              <w:rPr>
                <w:rFonts w:ascii="標楷體" w:eastAsia="標楷體" w:hAnsi="標楷體" w:hint="eastAsia"/>
                <w:color w:val="000000"/>
                <w:spacing w:val="-20"/>
                <w:szCs w:val="22"/>
              </w:rPr>
              <w:t>七十八條之二條文；並修正第七十九條之</w:t>
            </w:r>
            <w:proofErr w:type="gramStart"/>
            <w:r w:rsidRPr="001B6E4D">
              <w:rPr>
                <w:rFonts w:ascii="標楷體" w:eastAsia="標楷體" w:hAnsi="標楷體" w:hint="eastAsia"/>
                <w:color w:val="000000"/>
                <w:spacing w:val="-20"/>
                <w:szCs w:val="22"/>
              </w:rPr>
              <w:t>一</w:t>
            </w:r>
            <w:proofErr w:type="gramEnd"/>
            <w:r w:rsidRPr="001B6E4D">
              <w:rPr>
                <w:rFonts w:ascii="標楷體" w:eastAsia="標楷體" w:hAnsi="標楷體" w:hint="eastAsia"/>
                <w:color w:val="000000"/>
                <w:spacing w:val="-20"/>
                <w:szCs w:val="22"/>
              </w:rPr>
              <w:t>條文。</w:t>
            </w:r>
          </w:p>
        </w:tc>
        <w:tc>
          <w:tcPr>
            <w:tcW w:w="1683" w:type="dxa"/>
            <w:vMerge w:val="restart"/>
          </w:tcPr>
          <w:p w14:paraId="64DBAAD7"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115年3月13日台立院議字第1150700696號</w:t>
            </w:r>
          </w:p>
          <w:p w14:paraId="5A35E0A5"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p w14:paraId="5FF7F6B3"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115年3月13日華總</w:t>
            </w:r>
            <w:proofErr w:type="gramStart"/>
            <w:r w:rsidRPr="001B6E4D">
              <w:rPr>
                <w:rFonts w:ascii="標楷體" w:eastAsia="標楷體" w:hAnsi="標楷體" w:hint="eastAsia"/>
                <w:color w:val="000000"/>
                <w:spacing w:val="-26"/>
                <w:szCs w:val="22"/>
              </w:rPr>
              <w:t>一義字第11500025171號</w:t>
            </w:r>
            <w:proofErr w:type="gramEnd"/>
          </w:p>
        </w:tc>
        <w:tc>
          <w:tcPr>
            <w:tcW w:w="1105" w:type="dxa"/>
            <w:vMerge w:val="restart"/>
          </w:tcPr>
          <w:p w14:paraId="46C02C4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第7847號</w:t>
            </w:r>
          </w:p>
        </w:tc>
      </w:tr>
      <w:tr w:rsidR="00B05C66" w:rsidRPr="001B6E4D" w14:paraId="3DBF7782" w14:textId="77777777" w:rsidTr="0006693A">
        <w:trPr>
          <w:trHeight w:val="600"/>
        </w:trPr>
        <w:tc>
          <w:tcPr>
            <w:tcW w:w="511" w:type="dxa"/>
          </w:tcPr>
          <w:p w14:paraId="3AF1766A"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C589C5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中華民國刑法第七十八條之一、第七十八條之二及第七十九條之</w:t>
            </w:r>
            <w:proofErr w:type="gramStart"/>
            <w:r w:rsidRPr="001B6E4D">
              <w:rPr>
                <w:rFonts w:ascii="標楷體" w:eastAsia="標楷體" w:hAnsi="標楷體" w:hint="eastAsia"/>
                <w:color w:val="000000"/>
                <w:kern w:val="0"/>
                <w:szCs w:val="22"/>
              </w:rPr>
              <w:t>一</w:t>
            </w:r>
            <w:proofErr w:type="gramEnd"/>
            <w:r w:rsidRPr="001B6E4D">
              <w:rPr>
                <w:rFonts w:ascii="標楷體" w:eastAsia="標楷體" w:hAnsi="標楷體" w:hint="eastAsia"/>
                <w:color w:val="000000"/>
                <w:kern w:val="0"/>
                <w:szCs w:val="22"/>
              </w:rPr>
              <w:t>條文修正草案</w:t>
            </w:r>
          </w:p>
        </w:tc>
        <w:tc>
          <w:tcPr>
            <w:tcW w:w="1545" w:type="dxa"/>
          </w:tcPr>
          <w:p w14:paraId="4E73B68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委員沈伯洋等18人</w:t>
            </w:r>
          </w:p>
          <w:p w14:paraId="482D9CCD" w14:textId="77777777" w:rsidR="00B05C66" w:rsidRPr="001B6E4D" w:rsidRDefault="00B05C66" w:rsidP="003D1018">
            <w:pPr>
              <w:widowControl w:val="0"/>
              <w:overflowPunct w:val="0"/>
              <w:topLinePunct/>
              <w:spacing w:line="36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115.03.13</w:t>
            </w:r>
          </w:p>
          <w:p w14:paraId="18E53CD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（11-5-3）</w:t>
            </w:r>
          </w:p>
        </w:tc>
        <w:tc>
          <w:tcPr>
            <w:tcW w:w="1536" w:type="dxa"/>
          </w:tcPr>
          <w:p w14:paraId="2D5AD75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110343E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115.3.13</w:t>
            </w:r>
          </w:p>
          <w:p w14:paraId="454FAF1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（11-5-3）</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案討論。</w:t>
            </w:r>
          </w:p>
        </w:tc>
        <w:tc>
          <w:tcPr>
            <w:tcW w:w="1387" w:type="dxa"/>
            <w:vMerge/>
          </w:tcPr>
          <w:p w14:paraId="1CFD8AA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5BC2AF0"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EC81AF8"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1B128DA9" w14:textId="77777777" w:rsidTr="0006693A">
        <w:trPr>
          <w:trHeight w:val="600"/>
        </w:trPr>
        <w:tc>
          <w:tcPr>
            <w:tcW w:w="511" w:type="dxa"/>
          </w:tcPr>
          <w:p w14:paraId="755880C7"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F51483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中華民國刑法施行法第七條之二、第七條之三及第七條之四條文修正草案</w:t>
            </w:r>
          </w:p>
        </w:tc>
        <w:tc>
          <w:tcPr>
            <w:tcW w:w="1545" w:type="dxa"/>
          </w:tcPr>
          <w:p w14:paraId="4C4CD5A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行政院、</w:t>
            </w:r>
          </w:p>
          <w:p w14:paraId="3AAE2A4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司法院</w:t>
            </w:r>
          </w:p>
          <w:p w14:paraId="4699F81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114.12.12</w:t>
            </w:r>
          </w:p>
          <w:p w14:paraId="1BCF203D" w14:textId="77777777" w:rsidR="00B05C66" w:rsidRPr="001B6E4D" w:rsidRDefault="00B05C66" w:rsidP="003D1018">
            <w:pPr>
              <w:widowControl w:val="0"/>
              <w:kinsoku w:val="0"/>
              <w:overflowPunct w:val="0"/>
              <w:adjustRightInd w:val="0"/>
              <w:snapToGrid w:val="0"/>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（11-4-13）</w:t>
            </w:r>
          </w:p>
        </w:tc>
        <w:tc>
          <w:tcPr>
            <w:tcW w:w="1536" w:type="dxa"/>
          </w:tcPr>
          <w:p w14:paraId="7414792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w:t>
            </w:r>
          </w:p>
          <w:p w14:paraId="5077F74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115.3.6</w:t>
            </w:r>
          </w:p>
          <w:p w14:paraId="255718D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（11-5-2）自司法及法制委員會抽出</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w:t>
            </w:r>
          </w:p>
          <w:p w14:paraId="195FED9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2.115.3.11黨團協商。</w:t>
            </w:r>
          </w:p>
        </w:tc>
        <w:tc>
          <w:tcPr>
            <w:tcW w:w="1387" w:type="dxa"/>
            <w:vMerge w:val="restart"/>
          </w:tcPr>
          <w:p w14:paraId="102A36F0"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院會</w:t>
            </w:r>
          </w:p>
          <w:p w14:paraId="3E8A457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115.3.13</w:t>
            </w:r>
          </w:p>
          <w:p w14:paraId="5996D8F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color w:val="000000"/>
                <w:spacing w:val="-20"/>
                <w:szCs w:val="22"/>
              </w:rPr>
              <w:t>(11-5-3)</w:t>
            </w:r>
          </w:p>
          <w:p w14:paraId="0B0F530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color w:val="000000"/>
                <w:spacing w:val="-20"/>
                <w:szCs w:val="22"/>
              </w:rPr>
              <w:t>三讀增訂第七條之三條文；並修正第七條之二條文。</w:t>
            </w:r>
          </w:p>
        </w:tc>
        <w:tc>
          <w:tcPr>
            <w:tcW w:w="1683" w:type="dxa"/>
            <w:vMerge w:val="restart"/>
          </w:tcPr>
          <w:p w14:paraId="65F1FE33"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115年3月13日台立院議字第1150700695號</w:t>
            </w:r>
          </w:p>
          <w:p w14:paraId="0FB1DAA0"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p w14:paraId="351CD569"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115年3月13日華總</w:t>
            </w:r>
            <w:proofErr w:type="gramStart"/>
            <w:r w:rsidRPr="001B6E4D">
              <w:rPr>
                <w:rFonts w:ascii="標楷體" w:eastAsia="標楷體" w:hAnsi="標楷體" w:hint="eastAsia"/>
                <w:color w:val="000000"/>
                <w:spacing w:val="-26"/>
                <w:szCs w:val="22"/>
              </w:rPr>
              <w:t>一義字第11500025181號</w:t>
            </w:r>
            <w:proofErr w:type="gramEnd"/>
          </w:p>
        </w:tc>
        <w:tc>
          <w:tcPr>
            <w:tcW w:w="1105" w:type="dxa"/>
            <w:vMerge w:val="restart"/>
          </w:tcPr>
          <w:p w14:paraId="2E33FA35"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第7847號</w:t>
            </w:r>
          </w:p>
        </w:tc>
      </w:tr>
      <w:tr w:rsidR="00B05C66" w:rsidRPr="001B6E4D" w14:paraId="791B0B89" w14:textId="77777777" w:rsidTr="0006693A">
        <w:trPr>
          <w:trHeight w:val="600"/>
        </w:trPr>
        <w:tc>
          <w:tcPr>
            <w:tcW w:w="511" w:type="dxa"/>
          </w:tcPr>
          <w:p w14:paraId="31D14E08"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5AB673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中華民國刑法施</w:t>
            </w:r>
            <w:r w:rsidRPr="001B6E4D">
              <w:rPr>
                <w:rFonts w:ascii="標楷體" w:eastAsia="標楷體" w:hAnsi="標楷體" w:hint="eastAsia"/>
                <w:color w:val="000000"/>
                <w:kern w:val="0"/>
                <w:szCs w:val="22"/>
              </w:rPr>
              <w:lastRenderedPageBreak/>
              <w:t>行法第七條之二及第七條之三條文修正草案</w:t>
            </w:r>
          </w:p>
        </w:tc>
        <w:tc>
          <w:tcPr>
            <w:tcW w:w="1545" w:type="dxa"/>
          </w:tcPr>
          <w:p w14:paraId="5BA4834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lastRenderedPageBreak/>
              <w:t>委員沈伯洋等17人</w:t>
            </w:r>
          </w:p>
          <w:p w14:paraId="514DE947" w14:textId="77777777" w:rsidR="00B05C66" w:rsidRPr="001B6E4D" w:rsidRDefault="00B05C66" w:rsidP="003D1018">
            <w:pPr>
              <w:widowControl w:val="0"/>
              <w:overflowPunct w:val="0"/>
              <w:topLinePunct/>
              <w:spacing w:line="36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lastRenderedPageBreak/>
              <w:t>115.03.13</w:t>
            </w:r>
          </w:p>
          <w:p w14:paraId="34FB2D7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（11-5-3）</w:t>
            </w:r>
          </w:p>
        </w:tc>
        <w:tc>
          <w:tcPr>
            <w:tcW w:w="1536" w:type="dxa"/>
          </w:tcPr>
          <w:p w14:paraId="230D3FC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lastRenderedPageBreak/>
              <w:t>院會</w:t>
            </w:r>
          </w:p>
          <w:p w14:paraId="4E54523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115.3.13</w:t>
            </w:r>
          </w:p>
          <w:p w14:paraId="13E2E62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lastRenderedPageBreak/>
              <w:t>（11-5-3）</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案討論。</w:t>
            </w:r>
          </w:p>
        </w:tc>
        <w:tc>
          <w:tcPr>
            <w:tcW w:w="1387" w:type="dxa"/>
            <w:vMerge/>
          </w:tcPr>
          <w:p w14:paraId="02A4BF7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551E26B"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167E07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742F0DA" w14:textId="77777777" w:rsidTr="0006693A">
        <w:trPr>
          <w:trHeight w:val="600"/>
        </w:trPr>
        <w:tc>
          <w:tcPr>
            <w:tcW w:w="511" w:type="dxa"/>
          </w:tcPr>
          <w:p w14:paraId="1D968151"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1EBC9E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1.刑事訴訟法第一百零一條之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條文修正草案</w:t>
            </w:r>
          </w:p>
        </w:tc>
        <w:tc>
          <w:tcPr>
            <w:tcW w:w="1545" w:type="dxa"/>
          </w:tcPr>
          <w:p w14:paraId="3DAE909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委員陳培瑜</w:t>
            </w:r>
          </w:p>
          <w:p w14:paraId="6CECF41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595D52B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113.07.05</w:t>
            </w:r>
          </w:p>
          <w:p w14:paraId="6C3B75E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（11-1-21）</w:t>
            </w:r>
          </w:p>
        </w:tc>
        <w:tc>
          <w:tcPr>
            <w:tcW w:w="1536" w:type="dxa"/>
            <w:vMerge w:val="restart"/>
          </w:tcPr>
          <w:p w14:paraId="4027BC1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1.第1案</w:t>
            </w:r>
          </w:p>
          <w:p w14:paraId="4F67CB2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w:t>
            </w:r>
          </w:p>
          <w:p w14:paraId="5BE92FE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114.4.24</w:t>
            </w:r>
          </w:p>
          <w:p w14:paraId="1BDF3BC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(11-3-11)報告及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p>
          <w:p w14:paraId="5E054E7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2.第1案</w:t>
            </w:r>
          </w:p>
          <w:p w14:paraId="0C9FC07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w:t>
            </w:r>
          </w:p>
          <w:p w14:paraId="67A64BA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115.1.12</w:t>
            </w:r>
          </w:p>
          <w:p w14:paraId="71B1EE2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(11-4-18)另定期繼續審查。</w:t>
            </w:r>
          </w:p>
          <w:p w14:paraId="520A6B3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3.第2-3案</w:t>
            </w:r>
          </w:p>
          <w:p w14:paraId="74C0126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w:t>
            </w:r>
          </w:p>
          <w:p w14:paraId="078E785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115.1.12</w:t>
            </w:r>
          </w:p>
          <w:p w14:paraId="7FAC99A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(11-4-18)報告及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p>
          <w:p w14:paraId="1B90281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4.第1-3案</w:t>
            </w:r>
          </w:p>
          <w:p w14:paraId="045DB9D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本會</w:t>
            </w:r>
          </w:p>
          <w:p w14:paraId="1AB03B2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115.1.29</w:t>
            </w:r>
          </w:p>
          <w:p w14:paraId="75D97E1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(11-4-19)審查完竣，不須交由黨團協商。</w:t>
            </w:r>
          </w:p>
        </w:tc>
        <w:tc>
          <w:tcPr>
            <w:tcW w:w="1387" w:type="dxa"/>
            <w:vMerge w:val="restart"/>
          </w:tcPr>
          <w:p w14:paraId="33C7F48E"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18FDB325"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4.17</w:t>
            </w:r>
          </w:p>
          <w:p w14:paraId="57CE57D3"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7</w:t>
            </w:r>
            <w:r w:rsidRPr="001B6E4D">
              <w:rPr>
                <w:rFonts w:ascii="標楷體" w:eastAsia="標楷體" w:hAnsi="標楷體"/>
                <w:spacing w:val="-20"/>
                <w:kern w:val="0"/>
                <w:szCs w:val="22"/>
              </w:rPr>
              <w:t>)</w:t>
            </w:r>
          </w:p>
          <w:p w14:paraId="220C1B2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spacing w:val="-20"/>
                <w:kern w:val="0"/>
                <w:szCs w:val="22"/>
              </w:rPr>
              <w:t>三讀修正第一百零一條之</w:t>
            </w:r>
            <w:proofErr w:type="gramStart"/>
            <w:r w:rsidRPr="001B6E4D">
              <w:rPr>
                <w:rFonts w:ascii="標楷體" w:eastAsia="標楷體" w:hAnsi="標楷體" w:hint="eastAsia"/>
                <w:spacing w:val="-20"/>
                <w:kern w:val="0"/>
                <w:szCs w:val="22"/>
              </w:rPr>
              <w:t>一</w:t>
            </w:r>
            <w:proofErr w:type="gramEnd"/>
            <w:r w:rsidRPr="001B6E4D">
              <w:rPr>
                <w:rFonts w:ascii="標楷體" w:eastAsia="標楷體" w:hAnsi="標楷體" w:hint="eastAsia"/>
                <w:spacing w:val="-20"/>
                <w:kern w:val="0"/>
                <w:szCs w:val="22"/>
              </w:rPr>
              <w:t>條文。</w:t>
            </w:r>
          </w:p>
        </w:tc>
        <w:tc>
          <w:tcPr>
            <w:tcW w:w="1683" w:type="dxa"/>
            <w:vMerge w:val="restart"/>
          </w:tcPr>
          <w:p w14:paraId="4579CD41" w14:textId="77777777" w:rsidR="00B05C66" w:rsidRPr="001B6E4D" w:rsidRDefault="00B05C66" w:rsidP="003D1018">
            <w:pPr>
              <w:widowControl w:val="0"/>
              <w:kinsoku w:val="0"/>
              <w:overflowPunct w:val="0"/>
              <w:spacing w:line="300" w:lineRule="exact"/>
              <w:rPr>
                <w:rFonts w:ascii="標楷體" w:eastAsia="標楷體" w:hAnsi="標楷體"/>
                <w:color w:val="000000"/>
                <w:spacing w:val="-22"/>
                <w:szCs w:val="22"/>
              </w:rPr>
            </w:pPr>
            <w:r w:rsidRPr="001B6E4D">
              <w:rPr>
                <w:rFonts w:ascii="標楷體" w:eastAsia="標楷體" w:hAnsi="標楷體" w:hint="eastAsia"/>
                <w:color w:val="000000"/>
                <w:spacing w:val="-22"/>
                <w:szCs w:val="22"/>
              </w:rPr>
              <w:t>115年5月6日台立院議字第1150701265號</w:t>
            </w:r>
          </w:p>
          <w:p w14:paraId="6CC411A6" w14:textId="77777777" w:rsidR="00B05C66" w:rsidRPr="001B6E4D" w:rsidRDefault="00B05C66" w:rsidP="003D1018">
            <w:pPr>
              <w:widowControl w:val="0"/>
              <w:kinsoku w:val="0"/>
              <w:overflowPunct w:val="0"/>
              <w:spacing w:line="300" w:lineRule="exact"/>
              <w:rPr>
                <w:rFonts w:ascii="標楷體" w:eastAsia="標楷體" w:hAnsi="標楷體"/>
                <w:color w:val="000000"/>
                <w:spacing w:val="-22"/>
                <w:szCs w:val="22"/>
              </w:rPr>
            </w:pPr>
          </w:p>
          <w:p w14:paraId="38E601BE" w14:textId="77777777" w:rsidR="00B05C66" w:rsidRPr="001B6E4D" w:rsidRDefault="00B05C66" w:rsidP="003D1018">
            <w:pPr>
              <w:widowControl w:val="0"/>
              <w:kinsoku w:val="0"/>
              <w:overflowPunct w:val="0"/>
              <w:spacing w:line="300" w:lineRule="exact"/>
              <w:rPr>
                <w:rFonts w:ascii="標楷體" w:eastAsia="標楷體" w:hAnsi="標楷體"/>
                <w:color w:val="000000"/>
                <w:spacing w:val="-22"/>
                <w:szCs w:val="22"/>
              </w:rPr>
            </w:pPr>
            <w:r w:rsidRPr="001B6E4D">
              <w:rPr>
                <w:rFonts w:ascii="標楷體" w:eastAsia="標楷體" w:hAnsi="標楷體" w:hint="eastAsia"/>
                <w:color w:val="000000"/>
                <w:spacing w:val="-22"/>
                <w:szCs w:val="22"/>
              </w:rPr>
              <w:t>115年5月13日華總</w:t>
            </w:r>
            <w:proofErr w:type="gramStart"/>
            <w:r w:rsidRPr="001B6E4D">
              <w:rPr>
                <w:rFonts w:ascii="標楷體" w:eastAsia="標楷體" w:hAnsi="標楷體" w:hint="eastAsia"/>
                <w:color w:val="000000"/>
                <w:spacing w:val="-22"/>
                <w:szCs w:val="22"/>
              </w:rPr>
              <w:t>一義字第11500042671號</w:t>
            </w:r>
            <w:proofErr w:type="gramEnd"/>
          </w:p>
        </w:tc>
        <w:tc>
          <w:tcPr>
            <w:tcW w:w="1105" w:type="dxa"/>
            <w:vMerge w:val="restart"/>
          </w:tcPr>
          <w:p w14:paraId="6ADDBA5A"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第7859號</w:t>
            </w:r>
          </w:p>
        </w:tc>
      </w:tr>
      <w:tr w:rsidR="00B05C66" w:rsidRPr="001B6E4D" w14:paraId="5F68508D" w14:textId="77777777" w:rsidTr="0006693A">
        <w:trPr>
          <w:trHeight w:val="600"/>
        </w:trPr>
        <w:tc>
          <w:tcPr>
            <w:tcW w:w="511" w:type="dxa"/>
          </w:tcPr>
          <w:p w14:paraId="3E1EB33D"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ACEEF0C"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2.刑事訴訟法第一百零一條之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條文修正草案</w:t>
            </w:r>
          </w:p>
        </w:tc>
        <w:tc>
          <w:tcPr>
            <w:tcW w:w="1545" w:type="dxa"/>
          </w:tcPr>
          <w:p w14:paraId="2FB5689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台灣民眾</w:t>
            </w:r>
            <w:proofErr w:type="gramStart"/>
            <w:r w:rsidRPr="001B6E4D">
              <w:rPr>
                <w:rFonts w:ascii="標楷體" w:eastAsia="標楷體" w:hAnsi="標楷體"/>
                <w:color w:val="000000"/>
                <w:kern w:val="0"/>
                <w:szCs w:val="22"/>
              </w:rPr>
              <w:t>黨</w:t>
            </w:r>
            <w:proofErr w:type="gramEnd"/>
            <w:r w:rsidRPr="001B6E4D">
              <w:rPr>
                <w:rFonts w:ascii="標楷體" w:eastAsia="標楷體" w:hAnsi="標楷體"/>
                <w:color w:val="000000"/>
                <w:kern w:val="0"/>
                <w:szCs w:val="22"/>
              </w:rPr>
              <w:t>黨團</w:t>
            </w:r>
          </w:p>
          <w:p w14:paraId="5D7947E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114.05.09</w:t>
            </w:r>
          </w:p>
          <w:p w14:paraId="10C8893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（11-3-11）</w:t>
            </w:r>
          </w:p>
        </w:tc>
        <w:tc>
          <w:tcPr>
            <w:tcW w:w="1536" w:type="dxa"/>
            <w:vMerge/>
          </w:tcPr>
          <w:p w14:paraId="7843E49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FA5026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85A9810"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6888BCF"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15D45BB1" w14:textId="77777777" w:rsidTr="0006693A">
        <w:trPr>
          <w:trHeight w:val="600"/>
        </w:trPr>
        <w:tc>
          <w:tcPr>
            <w:tcW w:w="511" w:type="dxa"/>
          </w:tcPr>
          <w:p w14:paraId="3FE70E95"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E27506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3.刑事訴訟法第一百零一條之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條文修正草案</w:t>
            </w:r>
          </w:p>
        </w:tc>
        <w:tc>
          <w:tcPr>
            <w:tcW w:w="1545" w:type="dxa"/>
          </w:tcPr>
          <w:p w14:paraId="65447D4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委員吳宗憲</w:t>
            </w:r>
          </w:p>
          <w:p w14:paraId="0F87AC7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等22人</w:t>
            </w:r>
          </w:p>
          <w:p w14:paraId="62EF511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114.08.29</w:t>
            </w:r>
          </w:p>
          <w:p w14:paraId="12073B6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（11-3-27）</w:t>
            </w:r>
          </w:p>
        </w:tc>
        <w:tc>
          <w:tcPr>
            <w:tcW w:w="1536" w:type="dxa"/>
            <w:vMerge/>
          </w:tcPr>
          <w:p w14:paraId="3A7F641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42EC51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14C69FC"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B8AC5D4"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168344A" w14:textId="77777777" w:rsidTr="0006693A">
        <w:trPr>
          <w:trHeight w:val="600"/>
        </w:trPr>
        <w:tc>
          <w:tcPr>
            <w:tcW w:w="511" w:type="dxa"/>
          </w:tcPr>
          <w:p w14:paraId="0ECE4A94"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B0FC8D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4799897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行政院、司法院</w:t>
            </w:r>
          </w:p>
          <w:p w14:paraId="683CA45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7979FB0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val="restart"/>
          </w:tcPr>
          <w:p w14:paraId="579FBEF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1.第2-3案</w:t>
            </w:r>
            <w:r w:rsidRPr="001B6E4D">
              <w:rPr>
                <w:rFonts w:ascii="標楷體" w:eastAsia="標楷體" w:hAnsi="標楷體"/>
                <w:spacing w:val="-20"/>
                <w:kern w:val="0"/>
                <w:szCs w:val="22"/>
              </w:rPr>
              <w:br/>
              <w:t>本會</w:t>
            </w:r>
            <w:r w:rsidRPr="001B6E4D">
              <w:rPr>
                <w:rFonts w:ascii="標楷體" w:eastAsia="標楷體" w:hAnsi="標楷體"/>
                <w:spacing w:val="-20"/>
                <w:kern w:val="0"/>
                <w:szCs w:val="22"/>
              </w:rPr>
              <w:br/>
              <w:t>113.5.27</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t>(11-1-26)報告及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r w:rsidRPr="001B6E4D">
              <w:rPr>
                <w:rFonts w:ascii="標楷體" w:eastAsia="標楷體" w:hAnsi="標楷體"/>
                <w:spacing w:val="-20"/>
                <w:kern w:val="0"/>
                <w:szCs w:val="22"/>
              </w:rPr>
              <w:t>。</w:t>
            </w:r>
          </w:p>
          <w:p w14:paraId="266ED78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2.第4-27案</w:t>
            </w:r>
            <w:r w:rsidRPr="001B6E4D">
              <w:rPr>
                <w:rFonts w:ascii="標楷體" w:eastAsia="標楷體" w:hAnsi="標楷體"/>
                <w:spacing w:val="-20"/>
                <w:kern w:val="0"/>
                <w:szCs w:val="22"/>
              </w:rPr>
              <w:br/>
              <w:t>本會</w:t>
            </w:r>
            <w:r w:rsidRPr="001B6E4D">
              <w:rPr>
                <w:rFonts w:ascii="標楷體" w:eastAsia="標楷體" w:hAnsi="標楷體"/>
                <w:spacing w:val="-20"/>
                <w:kern w:val="0"/>
                <w:szCs w:val="22"/>
              </w:rPr>
              <w:br/>
              <w:t>115.4.13</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t>(11-5-6)報告及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r w:rsidRPr="001B6E4D">
              <w:rPr>
                <w:rFonts w:ascii="標楷體" w:eastAsia="標楷體" w:hAnsi="標楷體"/>
                <w:spacing w:val="-20"/>
                <w:kern w:val="0"/>
                <w:szCs w:val="22"/>
              </w:rPr>
              <w:t>。</w:t>
            </w:r>
          </w:p>
          <w:p w14:paraId="054F84A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3.第2-3案</w:t>
            </w:r>
            <w:r w:rsidRPr="001B6E4D">
              <w:rPr>
                <w:rFonts w:ascii="標楷體" w:eastAsia="標楷體" w:hAnsi="標楷體"/>
                <w:spacing w:val="-20"/>
                <w:kern w:val="0"/>
                <w:szCs w:val="22"/>
              </w:rPr>
              <w:br/>
            </w:r>
            <w:r w:rsidRPr="001B6E4D">
              <w:rPr>
                <w:rFonts w:ascii="標楷體" w:eastAsia="標楷體" w:hAnsi="標楷體"/>
                <w:spacing w:val="-20"/>
                <w:kern w:val="0"/>
                <w:szCs w:val="22"/>
              </w:rPr>
              <w:lastRenderedPageBreak/>
              <w:t>本會</w:t>
            </w:r>
            <w:r w:rsidRPr="001B6E4D">
              <w:rPr>
                <w:rFonts w:ascii="標楷體" w:eastAsia="標楷體" w:hAnsi="標楷體"/>
                <w:spacing w:val="-20"/>
                <w:kern w:val="0"/>
                <w:szCs w:val="22"/>
              </w:rPr>
              <w:br/>
              <w:t>115.4.13</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t>(11-5-6)另定期繼續審查。</w:t>
            </w:r>
          </w:p>
          <w:p w14:paraId="569FD08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4.第1-37案</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t>本</w:t>
            </w:r>
            <w:r w:rsidRPr="001B6E4D">
              <w:rPr>
                <w:rFonts w:ascii="標楷體" w:eastAsia="標楷體" w:hAnsi="標楷體"/>
                <w:spacing w:val="-20"/>
                <w:kern w:val="0"/>
                <w:szCs w:val="22"/>
              </w:rPr>
              <w:t>會</w:t>
            </w:r>
            <w:r w:rsidRPr="001B6E4D">
              <w:rPr>
                <w:rFonts w:ascii="標楷體" w:eastAsia="標楷體" w:hAnsi="標楷體"/>
                <w:spacing w:val="-20"/>
                <w:kern w:val="0"/>
                <w:szCs w:val="22"/>
              </w:rPr>
              <w:br/>
              <w:t>115.</w:t>
            </w:r>
            <w:r w:rsidRPr="001B6E4D">
              <w:rPr>
                <w:rFonts w:ascii="標楷體" w:eastAsia="標楷體" w:hAnsi="標楷體" w:hint="eastAsia"/>
                <w:spacing w:val="-20"/>
                <w:kern w:val="0"/>
                <w:szCs w:val="22"/>
              </w:rPr>
              <w:t>6</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11</w:t>
            </w:r>
            <w:r w:rsidRPr="001B6E4D">
              <w:rPr>
                <w:rFonts w:ascii="標楷體" w:eastAsia="標楷體" w:hAnsi="標楷體"/>
                <w:spacing w:val="-20"/>
                <w:kern w:val="0"/>
                <w:szCs w:val="22"/>
              </w:rPr>
              <w:b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18</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審查完竣，不須交由黨團協商。</w:t>
            </w:r>
          </w:p>
        </w:tc>
        <w:tc>
          <w:tcPr>
            <w:tcW w:w="1387" w:type="dxa"/>
            <w:vMerge w:val="restart"/>
          </w:tcPr>
          <w:p w14:paraId="4C0ED1A9"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lastRenderedPageBreak/>
              <w:t>院會</w:t>
            </w:r>
          </w:p>
          <w:p w14:paraId="6F8E1057"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7.7</w:t>
            </w:r>
          </w:p>
          <w:p w14:paraId="3815D28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16</w:t>
            </w:r>
            <w:r w:rsidRPr="001B6E4D">
              <w:rPr>
                <w:rFonts w:ascii="標楷體" w:eastAsia="標楷體" w:hAnsi="標楷體"/>
                <w:spacing w:val="-20"/>
                <w:kern w:val="0"/>
                <w:szCs w:val="22"/>
              </w:rPr>
              <w:t>)</w:t>
            </w:r>
          </w:p>
          <w:p w14:paraId="383AD89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spacing w:val="-20"/>
                <w:kern w:val="0"/>
                <w:szCs w:val="22"/>
              </w:rPr>
              <w:t>三讀修正第八十條條文。</w:t>
            </w:r>
          </w:p>
        </w:tc>
        <w:tc>
          <w:tcPr>
            <w:tcW w:w="1683" w:type="dxa"/>
            <w:vMerge w:val="restart"/>
          </w:tcPr>
          <w:p w14:paraId="449303C0"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115年7月16日台立院議字第1150702595號</w:t>
            </w:r>
          </w:p>
          <w:p w14:paraId="5703A4C1"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p w14:paraId="41D46F4F"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115年7月22日華總</w:t>
            </w:r>
            <w:proofErr w:type="gramStart"/>
            <w:r w:rsidRPr="001B6E4D">
              <w:rPr>
                <w:rFonts w:ascii="標楷體" w:eastAsia="標楷體" w:hAnsi="標楷體" w:hint="eastAsia"/>
                <w:color w:val="000000"/>
                <w:spacing w:val="-26"/>
                <w:szCs w:val="22"/>
              </w:rPr>
              <w:t>一義字第11500067801號</w:t>
            </w:r>
            <w:proofErr w:type="gramEnd"/>
          </w:p>
        </w:tc>
        <w:tc>
          <w:tcPr>
            <w:tcW w:w="1105" w:type="dxa"/>
            <w:vMerge w:val="restart"/>
          </w:tcPr>
          <w:p w14:paraId="0DBEF275"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第7872號</w:t>
            </w:r>
          </w:p>
        </w:tc>
      </w:tr>
      <w:tr w:rsidR="00B05C66" w:rsidRPr="001B6E4D" w14:paraId="720C8A22" w14:textId="77777777" w:rsidTr="0006693A">
        <w:trPr>
          <w:trHeight w:val="600"/>
        </w:trPr>
        <w:tc>
          <w:tcPr>
            <w:tcW w:w="511" w:type="dxa"/>
          </w:tcPr>
          <w:p w14:paraId="45AAE727"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872AF2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.中華民國刑法第八十三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72B5C81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委員洪孟楷</w:t>
            </w:r>
          </w:p>
          <w:p w14:paraId="42CA66F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69DDADC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113.03.22</w:t>
            </w:r>
          </w:p>
          <w:p w14:paraId="7860C27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（11-1-6）</w:t>
            </w:r>
          </w:p>
        </w:tc>
        <w:tc>
          <w:tcPr>
            <w:tcW w:w="1536" w:type="dxa"/>
            <w:vMerge/>
          </w:tcPr>
          <w:p w14:paraId="3312711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589F318"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83FDB33"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4C91A8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4B7C089B" w14:textId="77777777" w:rsidTr="0006693A">
        <w:trPr>
          <w:trHeight w:val="600"/>
        </w:trPr>
        <w:tc>
          <w:tcPr>
            <w:tcW w:w="511" w:type="dxa"/>
          </w:tcPr>
          <w:p w14:paraId="661C1E4E"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FC37C2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w:t>
            </w:r>
            <w:r w:rsidRPr="001B6E4D">
              <w:rPr>
                <w:rFonts w:ascii="標楷體" w:eastAsia="標楷體" w:hAnsi="標楷體"/>
                <w:color w:val="000000"/>
                <w:kern w:val="0"/>
                <w:szCs w:val="22"/>
              </w:rPr>
              <w:t>.中華民國刑法增訂第八十條之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條文草案</w:t>
            </w:r>
          </w:p>
        </w:tc>
        <w:tc>
          <w:tcPr>
            <w:tcW w:w="1545" w:type="dxa"/>
          </w:tcPr>
          <w:p w14:paraId="697F2B5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委員王育敏</w:t>
            </w:r>
          </w:p>
          <w:p w14:paraId="4EAE07B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056AB4E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113.04.19</w:t>
            </w:r>
          </w:p>
          <w:p w14:paraId="69AB997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（11-1-10）</w:t>
            </w:r>
          </w:p>
        </w:tc>
        <w:tc>
          <w:tcPr>
            <w:tcW w:w="1536" w:type="dxa"/>
            <w:vMerge/>
          </w:tcPr>
          <w:p w14:paraId="772BABB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166A55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9E257DF"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B51C84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33B7B5B" w14:textId="77777777" w:rsidTr="0006693A">
        <w:trPr>
          <w:trHeight w:val="600"/>
        </w:trPr>
        <w:tc>
          <w:tcPr>
            <w:tcW w:w="511" w:type="dxa"/>
          </w:tcPr>
          <w:p w14:paraId="7062F57A"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F703AF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F93C48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w:t>
            </w:r>
            <w:proofErr w:type="gramStart"/>
            <w:r w:rsidRPr="001B6E4D">
              <w:rPr>
                <w:rFonts w:ascii="標楷體" w:eastAsia="標楷體" w:hAnsi="標楷體"/>
                <w:color w:val="000000"/>
                <w:kern w:val="0"/>
                <w:szCs w:val="22"/>
              </w:rPr>
              <w:t>范</w:t>
            </w:r>
            <w:proofErr w:type="gramEnd"/>
            <w:r w:rsidRPr="001B6E4D">
              <w:rPr>
                <w:rFonts w:ascii="標楷體" w:eastAsia="標楷體" w:hAnsi="標楷體"/>
                <w:color w:val="000000"/>
                <w:kern w:val="0"/>
                <w:szCs w:val="22"/>
              </w:rPr>
              <w:t>雲</w:t>
            </w:r>
          </w:p>
          <w:p w14:paraId="52E6D62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等22人</w:t>
            </w:r>
          </w:p>
          <w:p w14:paraId="7CB2FDC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114.04.18</w:t>
            </w:r>
          </w:p>
          <w:p w14:paraId="79BE59B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（11-3-8）</w:t>
            </w:r>
          </w:p>
        </w:tc>
        <w:tc>
          <w:tcPr>
            <w:tcW w:w="1536" w:type="dxa"/>
            <w:vMerge/>
          </w:tcPr>
          <w:p w14:paraId="168491B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6D77B1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399F81F"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4D0A44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31C5BCB9" w14:textId="77777777" w:rsidTr="0006693A">
        <w:trPr>
          <w:trHeight w:val="600"/>
        </w:trPr>
        <w:tc>
          <w:tcPr>
            <w:tcW w:w="511" w:type="dxa"/>
          </w:tcPr>
          <w:p w14:paraId="2BF82F0C"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6B31A2CB"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.中華民國刑法第八十三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A3F31D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委員郭昱晴</w:t>
            </w:r>
          </w:p>
          <w:p w14:paraId="1568EFB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75BFE4D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114.04.18</w:t>
            </w:r>
          </w:p>
          <w:p w14:paraId="5DBAE4E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（11-3-8）</w:t>
            </w:r>
          </w:p>
        </w:tc>
        <w:tc>
          <w:tcPr>
            <w:tcW w:w="1536" w:type="dxa"/>
            <w:vMerge/>
          </w:tcPr>
          <w:p w14:paraId="65EC087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B0DD74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D08D061"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62EF04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38F48FA4" w14:textId="77777777" w:rsidTr="0006693A">
        <w:trPr>
          <w:trHeight w:val="600"/>
        </w:trPr>
        <w:tc>
          <w:tcPr>
            <w:tcW w:w="511" w:type="dxa"/>
          </w:tcPr>
          <w:p w14:paraId="09E5DDA0"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274037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6</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47B6AD5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委員李昆澤</w:t>
            </w:r>
          </w:p>
          <w:p w14:paraId="462602F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3B4D3F7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114.05.23</w:t>
            </w:r>
          </w:p>
          <w:p w14:paraId="1D894BE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（11-3-13）</w:t>
            </w:r>
          </w:p>
        </w:tc>
        <w:tc>
          <w:tcPr>
            <w:tcW w:w="1536" w:type="dxa"/>
            <w:vMerge/>
          </w:tcPr>
          <w:p w14:paraId="37314D7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97657D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C151CD0"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0FF308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098D6CCB" w14:textId="77777777" w:rsidTr="0006693A">
        <w:trPr>
          <w:trHeight w:val="600"/>
        </w:trPr>
        <w:tc>
          <w:tcPr>
            <w:tcW w:w="511" w:type="dxa"/>
          </w:tcPr>
          <w:p w14:paraId="19376B0F"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7E12E82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7</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661FC5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台灣民眾</w:t>
            </w:r>
            <w:proofErr w:type="gramStart"/>
            <w:r w:rsidRPr="001B6E4D">
              <w:rPr>
                <w:rFonts w:ascii="標楷體" w:eastAsia="標楷體" w:hAnsi="標楷體"/>
                <w:color w:val="000000"/>
                <w:kern w:val="0"/>
                <w:szCs w:val="22"/>
              </w:rPr>
              <w:t>黨</w:t>
            </w:r>
            <w:proofErr w:type="gramEnd"/>
            <w:r w:rsidRPr="001B6E4D">
              <w:rPr>
                <w:rFonts w:ascii="標楷體" w:eastAsia="標楷體" w:hAnsi="標楷體"/>
                <w:color w:val="000000"/>
                <w:kern w:val="0"/>
                <w:szCs w:val="22"/>
              </w:rPr>
              <w:t>黨團</w:t>
            </w:r>
          </w:p>
          <w:p w14:paraId="681B328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114.08.08</w:t>
            </w:r>
          </w:p>
          <w:p w14:paraId="766F695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（11-3-24）</w:t>
            </w:r>
          </w:p>
        </w:tc>
        <w:tc>
          <w:tcPr>
            <w:tcW w:w="1536" w:type="dxa"/>
            <w:vMerge/>
          </w:tcPr>
          <w:p w14:paraId="2B2852A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4F848E8"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411BD82"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79FD3CF"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8C904E0" w14:textId="77777777" w:rsidTr="0006693A">
        <w:trPr>
          <w:trHeight w:val="600"/>
        </w:trPr>
        <w:tc>
          <w:tcPr>
            <w:tcW w:w="511" w:type="dxa"/>
          </w:tcPr>
          <w:p w14:paraId="11934AE4"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AACC792"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8</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171157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委員李坤城</w:t>
            </w:r>
          </w:p>
          <w:p w14:paraId="5A513F8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79FE50C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114.08.22</w:t>
            </w:r>
          </w:p>
          <w:p w14:paraId="2C6E4B2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（11-3-26）</w:t>
            </w:r>
          </w:p>
        </w:tc>
        <w:tc>
          <w:tcPr>
            <w:tcW w:w="1536" w:type="dxa"/>
            <w:vMerge/>
          </w:tcPr>
          <w:p w14:paraId="1E469F2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653FED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F648B59"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F4297D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01A33A99" w14:textId="77777777" w:rsidTr="0006693A">
        <w:trPr>
          <w:trHeight w:val="600"/>
        </w:trPr>
        <w:tc>
          <w:tcPr>
            <w:tcW w:w="511" w:type="dxa"/>
          </w:tcPr>
          <w:p w14:paraId="52CCEE6C"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AE3988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9</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860219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委員張雅琳</w:t>
            </w:r>
          </w:p>
          <w:p w14:paraId="0AF5FC9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19E913E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114.08.22</w:t>
            </w:r>
          </w:p>
          <w:p w14:paraId="1DADBBA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（11-3-26）</w:t>
            </w:r>
          </w:p>
        </w:tc>
        <w:tc>
          <w:tcPr>
            <w:tcW w:w="1536" w:type="dxa"/>
            <w:vMerge/>
          </w:tcPr>
          <w:p w14:paraId="2D0569C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3B8159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82220D3"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051EAA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A835216" w14:textId="77777777" w:rsidTr="0006693A">
        <w:trPr>
          <w:trHeight w:val="600"/>
        </w:trPr>
        <w:tc>
          <w:tcPr>
            <w:tcW w:w="511" w:type="dxa"/>
          </w:tcPr>
          <w:p w14:paraId="6E0BA8B7"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05469F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10</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1722D4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委員黃捷</w:t>
            </w:r>
          </w:p>
          <w:p w14:paraId="243FE2F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41F4212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114.08.29</w:t>
            </w:r>
          </w:p>
          <w:p w14:paraId="4DA9EC0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（11-3-27）</w:t>
            </w:r>
          </w:p>
        </w:tc>
        <w:tc>
          <w:tcPr>
            <w:tcW w:w="1536" w:type="dxa"/>
            <w:vMerge/>
          </w:tcPr>
          <w:p w14:paraId="0AD0AE3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2B886D8"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C19C08A"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2FC778F"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17C5646" w14:textId="77777777" w:rsidTr="0006693A">
        <w:trPr>
          <w:trHeight w:val="600"/>
        </w:trPr>
        <w:tc>
          <w:tcPr>
            <w:tcW w:w="511" w:type="dxa"/>
          </w:tcPr>
          <w:p w14:paraId="0AF0E51F"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692998C"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11</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1196E0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委員林楚</w:t>
            </w:r>
            <w:proofErr w:type="gramStart"/>
            <w:r w:rsidRPr="001B6E4D">
              <w:rPr>
                <w:rFonts w:ascii="標楷體" w:eastAsia="標楷體" w:hAnsi="標楷體"/>
                <w:color w:val="000000"/>
                <w:kern w:val="0"/>
                <w:szCs w:val="22"/>
              </w:rPr>
              <w:t>茵</w:t>
            </w:r>
            <w:proofErr w:type="gramEnd"/>
          </w:p>
          <w:p w14:paraId="579F823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1D52AF1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114.09.30</w:t>
            </w:r>
          </w:p>
          <w:p w14:paraId="08134FD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（11-4-2）</w:t>
            </w:r>
          </w:p>
        </w:tc>
        <w:tc>
          <w:tcPr>
            <w:tcW w:w="1536" w:type="dxa"/>
            <w:vMerge/>
          </w:tcPr>
          <w:p w14:paraId="67EB6A3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D576C4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DE253B0"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EB143A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30EE076F" w14:textId="77777777" w:rsidTr="0006693A">
        <w:trPr>
          <w:trHeight w:val="600"/>
        </w:trPr>
        <w:tc>
          <w:tcPr>
            <w:tcW w:w="511" w:type="dxa"/>
          </w:tcPr>
          <w:p w14:paraId="2A068CA7"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84EB89C"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12</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F0D1F9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委員吳沛憶</w:t>
            </w:r>
          </w:p>
          <w:p w14:paraId="158306A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5EA22F9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114.10.14</w:t>
            </w:r>
          </w:p>
          <w:p w14:paraId="0F08C3A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（11-4-4）</w:t>
            </w:r>
          </w:p>
        </w:tc>
        <w:tc>
          <w:tcPr>
            <w:tcW w:w="1536" w:type="dxa"/>
            <w:vMerge/>
          </w:tcPr>
          <w:p w14:paraId="5E465A3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C0008E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862A212"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AF054B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6EC75833" w14:textId="77777777" w:rsidTr="0006693A">
        <w:trPr>
          <w:trHeight w:val="600"/>
        </w:trPr>
        <w:tc>
          <w:tcPr>
            <w:tcW w:w="511" w:type="dxa"/>
          </w:tcPr>
          <w:p w14:paraId="369FEDD7"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07413A5"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13</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70225FC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委員林月琴</w:t>
            </w:r>
          </w:p>
          <w:p w14:paraId="71C24AE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45BFB36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114.10.17</w:t>
            </w:r>
          </w:p>
          <w:p w14:paraId="6652D85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（11-4-5）</w:t>
            </w:r>
          </w:p>
        </w:tc>
        <w:tc>
          <w:tcPr>
            <w:tcW w:w="1536" w:type="dxa"/>
            <w:vMerge/>
          </w:tcPr>
          <w:p w14:paraId="1341DAC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073742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83B4D1D"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60A28A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CB90C5A" w14:textId="77777777" w:rsidTr="0006693A">
        <w:trPr>
          <w:trHeight w:val="600"/>
        </w:trPr>
        <w:tc>
          <w:tcPr>
            <w:tcW w:w="511" w:type="dxa"/>
          </w:tcPr>
          <w:p w14:paraId="708F972F"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FA7CD40"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14</w:t>
            </w:r>
            <w:r w:rsidRPr="001B6E4D">
              <w:rPr>
                <w:rFonts w:ascii="標楷體" w:eastAsia="標楷體" w:hAnsi="標楷體"/>
                <w:color w:val="000000"/>
                <w:kern w:val="0"/>
                <w:szCs w:val="22"/>
              </w:rPr>
              <w:t>.中華民國刑法第八十三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7379EEB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委員蔡其昌</w:t>
            </w:r>
          </w:p>
          <w:p w14:paraId="27C87E0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5196F92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27E1329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055FD55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888C47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1E71E11"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A795B86"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49086B64" w14:textId="77777777" w:rsidTr="0006693A">
        <w:trPr>
          <w:trHeight w:val="600"/>
        </w:trPr>
        <w:tc>
          <w:tcPr>
            <w:tcW w:w="511" w:type="dxa"/>
          </w:tcPr>
          <w:p w14:paraId="621BCF61"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FEFB1A6"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15</w:t>
            </w:r>
            <w:r w:rsidRPr="001B6E4D">
              <w:rPr>
                <w:rFonts w:ascii="標楷體" w:eastAsia="標楷體" w:hAnsi="標楷體"/>
                <w:color w:val="000000"/>
                <w:kern w:val="0"/>
                <w:szCs w:val="22"/>
              </w:rPr>
              <w:t>.中華民國刑法第八十三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097F1F5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委員王美惠</w:t>
            </w:r>
          </w:p>
          <w:p w14:paraId="6CE25E5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434A149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0C0578D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48F8C31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A61290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C703CC0"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8D75C9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339A4ED" w14:textId="77777777" w:rsidTr="0006693A">
        <w:trPr>
          <w:trHeight w:val="600"/>
        </w:trPr>
        <w:tc>
          <w:tcPr>
            <w:tcW w:w="511" w:type="dxa"/>
          </w:tcPr>
          <w:p w14:paraId="630CC74C"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7C46A4F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16</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D34A42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委員陳素月</w:t>
            </w:r>
          </w:p>
          <w:p w14:paraId="278B2E9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2186FAF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5256EB1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（11-4-7）</w:t>
            </w:r>
          </w:p>
        </w:tc>
        <w:tc>
          <w:tcPr>
            <w:tcW w:w="1536" w:type="dxa"/>
            <w:vMerge/>
          </w:tcPr>
          <w:p w14:paraId="6B849F0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9D59DB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30F7A85"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3DC3DBF"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701C140" w14:textId="77777777" w:rsidTr="0006693A">
        <w:trPr>
          <w:trHeight w:val="600"/>
        </w:trPr>
        <w:tc>
          <w:tcPr>
            <w:tcW w:w="511" w:type="dxa"/>
          </w:tcPr>
          <w:p w14:paraId="7578D815"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806A27A"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17</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7193FE1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委員洪孟楷</w:t>
            </w:r>
          </w:p>
          <w:p w14:paraId="55883F3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66ED8F3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429C55A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（11-4-7）</w:t>
            </w:r>
          </w:p>
        </w:tc>
        <w:tc>
          <w:tcPr>
            <w:tcW w:w="1536" w:type="dxa"/>
            <w:vMerge/>
          </w:tcPr>
          <w:p w14:paraId="028F8AC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7CB4E8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D907C45"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AFC2AC6"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66E1ADB9" w14:textId="77777777" w:rsidTr="0006693A">
        <w:trPr>
          <w:trHeight w:val="600"/>
        </w:trPr>
        <w:tc>
          <w:tcPr>
            <w:tcW w:w="511" w:type="dxa"/>
          </w:tcPr>
          <w:p w14:paraId="795F8D7D"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61C3DB0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18</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1B7C8F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委員張宏陸</w:t>
            </w:r>
          </w:p>
          <w:p w14:paraId="72A5382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4768A94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114.11.28</w:t>
            </w:r>
          </w:p>
          <w:p w14:paraId="1533ED8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w:t>
            </w:r>
          </w:p>
        </w:tc>
        <w:tc>
          <w:tcPr>
            <w:tcW w:w="1536" w:type="dxa"/>
            <w:vMerge/>
          </w:tcPr>
          <w:p w14:paraId="042C25D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CB5769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8942B05"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7432B5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472766F" w14:textId="77777777" w:rsidTr="0006693A">
        <w:trPr>
          <w:trHeight w:val="600"/>
        </w:trPr>
        <w:tc>
          <w:tcPr>
            <w:tcW w:w="511" w:type="dxa"/>
          </w:tcPr>
          <w:p w14:paraId="7AD2703D"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7628D2C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19</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72B685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委員林倩綺</w:t>
            </w:r>
          </w:p>
          <w:p w14:paraId="774E030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06D628D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114.11.28</w:t>
            </w:r>
          </w:p>
          <w:p w14:paraId="60E8795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w:t>
            </w:r>
          </w:p>
        </w:tc>
        <w:tc>
          <w:tcPr>
            <w:tcW w:w="1536" w:type="dxa"/>
            <w:vMerge/>
          </w:tcPr>
          <w:p w14:paraId="51831CC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DF2C30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5318045"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712B9E5"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77B865E" w14:textId="77777777" w:rsidTr="0006693A">
        <w:trPr>
          <w:trHeight w:val="600"/>
        </w:trPr>
        <w:tc>
          <w:tcPr>
            <w:tcW w:w="511" w:type="dxa"/>
          </w:tcPr>
          <w:p w14:paraId="46365DE9"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EBD8877"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20</w:t>
            </w:r>
            <w:r w:rsidRPr="001B6E4D">
              <w:rPr>
                <w:rFonts w:ascii="標楷體" w:eastAsia="標楷體" w:hAnsi="標楷體"/>
                <w:color w:val="000000"/>
                <w:kern w:val="0"/>
                <w:szCs w:val="22"/>
              </w:rPr>
              <w:t>.中華民國刑法第八十三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829086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委員吳思瑤</w:t>
            </w:r>
          </w:p>
          <w:p w14:paraId="1933789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66A4E16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114.12.05</w:t>
            </w:r>
          </w:p>
          <w:p w14:paraId="5E69573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w:t>
            </w:r>
          </w:p>
        </w:tc>
        <w:tc>
          <w:tcPr>
            <w:tcW w:w="1536" w:type="dxa"/>
            <w:vMerge/>
          </w:tcPr>
          <w:p w14:paraId="0A437E1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A484F0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30BCABB"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66D3AF5"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05781283" w14:textId="77777777" w:rsidTr="0006693A">
        <w:trPr>
          <w:trHeight w:val="600"/>
        </w:trPr>
        <w:tc>
          <w:tcPr>
            <w:tcW w:w="511" w:type="dxa"/>
          </w:tcPr>
          <w:p w14:paraId="58DEBB49"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73C3B22A"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21</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596DC8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委員翁曉玲</w:t>
            </w:r>
          </w:p>
          <w:p w14:paraId="77964CC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5C0B66A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114.12.12</w:t>
            </w:r>
          </w:p>
          <w:p w14:paraId="3C6EB75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（11-4-13）</w:t>
            </w:r>
          </w:p>
        </w:tc>
        <w:tc>
          <w:tcPr>
            <w:tcW w:w="1536" w:type="dxa"/>
            <w:vMerge/>
          </w:tcPr>
          <w:p w14:paraId="7E7B684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F5D55E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AB613A1"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61BD99C"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D4E0D73" w14:textId="77777777" w:rsidTr="0006693A">
        <w:trPr>
          <w:trHeight w:val="600"/>
        </w:trPr>
        <w:tc>
          <w:tcPr>
            <w:tcW w:w="511" w:type="dxa"/>
          </w:tcPr>
          <w:p w14:paraId="6A6AE116"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149FD5C"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22</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E89694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委員伍麗華</w:t>
            </w:r>
          </w:p>
          <w:p w14:paraId="6898546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proofErr w:type="spellStart"/>
            <w:r w:rsidRPr="001B6E4D">
              <w:rPr>
                <w:rFonts w:ascii="標楷體" w:eastAsia="標楷體" w:hAnsi="標楷體"/>
                <w:color w:val="000000"/>
                <w:kern w:val="0"/>
                <w:szCs w:val="22"/>
              </w:rPr>
              <w:t>Saidhai</w:t>
            </w:r>
            <w:proofErr w:type="spellEnd"/>
            <w:r w:rsidRPr="001B6E4D">
              <w:rPr>
                <w:rFonts w:ascii="標楷體" w:eastAsia="標楷體" w:hAnsi="標楷體"/>
                <w:color w:val="000000"/>
                <w:kern w:val="0"/>
                <w:szCs w:val="22"/>
              </w:rPr>
              <w:t>‧</w:t>
            </w:r>
          </w:p>
          <w:p w14:paraId="36EAF98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proofErr w:type="spellStart"/>
            <w:r w:rsidRPr="001B6E4D">
              <w:rPr>
                <w:rFonts w:ascii="標楷體" w:eastAsia="標楷體" w:hAnsi="標楷體"/>
                <w:color w:val="000000"/>
                <w:kern w:val="0"/>
                <w:szCs w:val="22"/>
              </w:rPr>
              <w:t>Tahovecahe</w:t>
            </w:r>
            <w:proofErr w:type="spellEnd"/>
          </w:p>
          <w:p w14:paraId="6F74023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5085E51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114.12.12</w:t>
            </w:r>
          </w:p>
          <w:p w14:paraId="3BB1F5B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（11-4-13）</w:t>
            </w:r>
          </w:p>
        </w:tc>
        <w:tc>
          <w:tcPr>
            <w:tcW w:w="1536" w:type="dxa"/>
            <w:vMerge/>
          </w:tcPr>
          <w:p w14:paraId="352CA2A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C68E8D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FB84EFA"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CBA976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9BDBBC2" w14:textId="77777777" w:rsidTr="0006693A">
        <w:trPr>
          <w:trHeight w:val="600"/>
        </w:trPr>
        <w:tc>
          <w:tcPr>
            <w:tcW w:w="511" w:type="dxa"/>
          </w:tcPr>
          <w:p w14:paraId="2666CADF"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0819B8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23</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738BE6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委員羅智強</w:t>
            </w:r>
          </w:p>
          <w:p w14:paraId="76ED0A8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7EBA7F3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53B0340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29C8EDE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C5B65F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963DDFE"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7483FA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0D940D0D" w14:textId="77777777" w:rsidTr="0006693A">
        <w:trPr>
          <w:trHeight w:val="600"/>
        </w:trPr>
        <w:tc>
          <w:tcPr>
            <w:tcW w:w="511" w:type="dxa"/>
          </w:tcPr>
          <w:p w14:paraId="7ED8EB1F"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62C108F5"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24</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281933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委員王鴻薇</w:t>
            </w:r>
          </w:p>
          <w:p w14:paraId="5FF99A9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05AD7FF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6C139F3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47CF00E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B63741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16A6B94"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AADEE1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08828E88" w14:textId="77777777" w:rsidTr="0006693A">
        <w:trPr>
          <w:trHeight w:val="600"/>
        </w:trPr>
        <w:tc>
          <w:tcPr>
            <w:tcW w:w="511" w:type="dxa"/>
          </w:tcPr>
          <w:p w14:paraId="03C568A5"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74C28E7"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25</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4FCA112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1600692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28CE8CD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16FD796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152857B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7B8D5E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8F2C607"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4A3BC7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D73D084" w14:textId="77777777" w:rsidTr="0006693A">
        <w:trPr>
          <w:trHeight w:val="600"/>
        </w:trPr>
        <w:tc>
          <w:tcPr>
            <w:tcW w:w="511" w:type="dxa"/>
          </w:tcPr>
          <w:p w14:paraId="13A2B4B3"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63FB00D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26</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F5BC1F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委員王正旭</w:t>
            </w:r>
          </w:p>
          <w:p w14:paraId="6E2E2C9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7C70F48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14625D2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1C9B6C5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199208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A818E5F"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73F964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45821599" w14:textId="77777777" w:rsidTr="0006693A">
        <w:trPr>
          <w:trHeight w:val="600"/>
        </w:trPr>
        <w:tc>
          <w:tcPr>
            <w:tcW w:w="511" w:type="dxa"/>
          </w:tcPr>
          <w:p w14:paraId="5F134BCA"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024F7DB2"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27</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E95CC1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委員林思銘</w:t>
            </w:r>
          </w:p>
          <w:p w14:paraId="13C256B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218546E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115.03.20</w:t>
            </w:r>
          </w:p>
          <w:p w14:paraId="10FCF98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（11-5-4）</w:t>
            </w:r>
          </w:p>
        </w:tc>
        <w:tc>
          <w:tcPr>
            <w:tcW w:w="1536" w:type="dxa"/>
            <w:vMerge/>
          </w:tcPr>
          <w:p w14:paraId="53FCCCE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44DFAE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EA07911"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D515DA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73F50DB" w14:textId="77777777" w:rsidTr="0006693A">
        <w:trPr>
          <w:trHeight w:val="600"/>
        </w:trPr>
        <w:tc>
          <w:tcPr>
            <w:tcW w:w="511" w:type="dxa"/>
          </w:tcPr>
          <w:p w14:paraId="2A837130"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0F9A19C7"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28</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5DBAAE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委員林宜瑾</w:t>
            </w:r>
          </w:p>
          <w:p w14:paraId="77374D6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1FA2710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35D7850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2817CCD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41B1A4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ECB96B2"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360E50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3DE969C8" w14:textId="77777777" w:rsidTr="0006693A">
        <w:trPr>
          <w:trHeight w:val="600"/>
        </w:trPr>
        <w:tc>
          <w:tcPr>
            <w:tcW w:w="511" w:type="dxa"/>
          </w:tcPr>
          <w:p w14:paraId="430D9915"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7BB684F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29</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4178C0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委員林俊憲</w:t>
            </w:r>
          </w:p>
          <w:p w14:paraId="366417C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38F1E7D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3358112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5497BEA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C7A7F5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274D312"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6D253E6"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35866D1" w14:textId="77777777" w:rsidTr="0006693A">
        <w:trPr>
          <w:trHeight w:val="600"/>
        </w:trPr>
        <w:tc>
          <w:tcPr>
            <w:tcW w:w="511" w:type="dxa"/>
          </w:tcPr>
          <w:p w14:paraId="3E8C0595"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CBEFC7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30</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5E9660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委員王美惠</w:t>
            </w:r>
          </w:p>
          <w:p w14:paraId="45FC2F3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76AB9FC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311C7BF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2CCD80D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2D4691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9D12912"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8215F7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DC421DE" w14:textId="77777777" w:rsidTr="0006693A">
        <w:trPr>
          <w:trHeight w:val="600"/>
        </w:trPr>
        <w:tc>
          <w:tcPr>
            <w:tcW w:w="511" w:type="dxa"/>
          </w:tcPr>
          <w:p w14:paraId="216D532B"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7A1C5A2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31</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CBC947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委員徐巧芯</w:t>
            </w:r>
          </w:p>
          <w:p w14:paraId="5997851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等22人</w:t>
            </w:r>
          </w:p>
          <w:p w14:paraId="24D9E5F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115.04.10</w:t>
            </w:r>
          </w:p>
          <w:p w14:paraId="56577B4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（11-5-6）</w:t>
            </w:r>
          </w:p>
        </w:tc>
        <w:tc>
          <w:tcPr>
            <w:tcW w:w="1536" w:type="dxa"/>
            <w:vMerge/>
          </w:tcPr>
          <w:p w14:paraId="752086F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BE6927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78DA5E3"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021DA64"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6412E866" w14:textId="77777777" w:rsidTr="0006693A">
        <w:trPr>
          <w:trHeight w:val="600"/>
        </w:trPr>
        <w:tc>
          <w:tcPr>
            <w:tcW w:w="511" w:type="dxa"/>
          </w:tcPr>
          <w:p w14:paraId="48541F15"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E3955D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32</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8A045C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委員邱議瑩</w:t>
            </w:r>
          </w:p>
          <w:p w14:paraId="17A176C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28566C7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115.04.10</w:t>
            </w:r>
          </w:p>
          <w:p w14:paraId="168BBF3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（11-5-6）</w:t>
            </w:r>
          </w:p>
        </w:tc>
        <w:tc>
          <w:tcPr>
            <w:tcW w:w="1536" w:type="dxa"/>
            <w:vMerge/>
          </w:tcPr>
          <w:p w14:paraId="0A344ED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3C26DF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5019C56"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9D74F88"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54DB8B6" w14:textId="77777777" w:rsidTr="0006693A">
        <w:trPr>
          <w:trHeight w:val="600"/>
        </w:trPr>
        <w:tc>
          <w:tcPr>
            <w:tcW w:w="511" w:type="dxa"/>
          </w:tcPr>
          <w:p w14:paraId="446A82A5"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522DBD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33</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559AB0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委員何欣純</w:t>
            </w:r>
          </w:p>
          <w:p w14:paraId="3C028A5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488266A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4DA7F05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tcPr>
          <w:p w14:paraId="3EBC799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F90BDD0"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ECEC45B"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D4FB13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6A807A8" w14:textId="77777777" w:rsidTr="0006693A">
        <w:trPr>
          <w:trHeight w:val="600"/>
        </w:trPr>
        <w:tc>
          <w:tcPr>
            <w:tcW w:w="511" w:type="dxa"/>
          </w:tcPr>
          <w:p w14:paraId="31B3E72C"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DB860A5"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34</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056075B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委員張智倫</w:t>
            </w:r>
          </w:p>
          <w:p w14:paraId="60914DF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4168DE1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6F1BE3C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tcPr>
          <w:p w14:paraId="1BFE2C9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100D0C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7573AAB"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8725EB5"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4D725EA" w14:textId="77777777" w:rsidTr="0006693A">
        <w:trPr>
          <w:trHeight w:val="600"/>
        </w:trPr>
        <w:tc>
          <w:tcPr>
            <w:tcW w:w="511" w:type="dxa"/>
          </w:tcPr>
          <w:p w14:paraId="173A7537"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8AF6B27"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35</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CAE80C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委員許宇</w:t>
            </w:r>
            <w:proofErr w:type="gramStart"/>
            <w:r w:rsidRPr="001B6E4D">
              <w:rPr>
                <w:rFonts w:ascii="標楷體" w:eastAsia="標楷體" w:hAnsi="標楷體"/>
                <w:color w:val="000000"/>
                <w:kern w:val="0"/>
                <w:szCs w:val="22"/>
              </w:rPr>
              <w:t>甄</w:t>
            </w:r>
            <w:proofErr w:type="gramEnd"/>
          </w:p>
          <w:p w14:paraId="0D8F777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53E5C40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309F01B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tcPr>
          <w:p w14:paraId="5F10840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7A6824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9E17174"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8CA52CD"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BF5FE93" w14:textId="77777777" w:rsidTr="0006693A">
        <w:trPr>
          <w:trHeight w:val="600"/>
        </w:trPr>
        <w:tc>
          <w:tcPr>
            <w:tcW w:w="511" w:type="dxa"/>
          </w:tcPr>
          <w:p w14:paraId="5CD658A0"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612CB1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36</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A0515F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委員羅美玲</w:t>
            </w:r>
          </w:p>
          <w:p w14:paraId="7028161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4CE56CF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115.05.22</w:t>
            </w:r>
          </w:p>
          <w:p w14:paraId="18931BE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（11-5-11）</w:t>
            </w:r>
          </w:p>
        </w:tc>
        <w:tc>
          <w:tcPr>
            <w:tcW w:w="1536" w:type="dxa"/>
            <w:vMerge/>
          </w:tcPr>
          <w:p w14:paraId="5EA309C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FBBA184"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C300697"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979AD3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46B5B186" w14:textId="77777777" w:rsidTr="0006693A">
        <w:trPr>
          <w:trHeight w:val="600"/>
        </w:trPr>
        <w:tc>
          <w:tcPr>
            <w:tcW w:w="511" w:type="dxa"/>
          </w:tcPr>
          <w:p w14:paraId="27343C13"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9F16352"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37</w:t>
            </w:r>
            <w:r w:rsidRPr="001B6E4D">
              <w:rPr>
                <w:rFonts w:ascii="標楷體" w:eastAsia="標楷體" w:hAnsi="標楷體"/>
                <w:color w:val="000000"/>
                <w:kern w:val="0"/>
                <w:szCs w:val="22"/>
              </w:rPr>
              <w:t>.中華民國刑法第八十</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C7C000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委員陳培瑜</w:t>
            </w:r>
          </w:p>
          <w:p w14:paraId="1C19F21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2A687B1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115.05.22</w:t>
            </w:r>
          </w:p>
          <w:p w14:paraId="054750C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（11-5-11）</w:t>
            </w:r>
          </w:p>
        </w:tc>
        <w:tc>
          <w:tcPr>
            <w:tcW w:w="1536" w:type="dxa"/>
            <w:vMerge/>
          </w:tcPr>
          <w:p w14:paraId="1BF22B2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46E104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D72FB22"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F193FE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C7E0C42" w14:textId="77777777" w:rsidTr="0006693A">
        <w:trPr>
          <w:trHeight w:val="600"/>
        </w:trPr>
        <w:tc>
          <w:tcPr>
            <w:tcW w:w="511" w:type="dxa"/>
          </w:tcPr>
          <w:p w14:paraId="43684064"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17B0696"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w:t>
            </w:r>
            <w:r w:rsidRPr="001B6E4D">
              <w:rPr>
                <w:rFonts w:ascii="標楷體" w:eastAsia="標楷體" w:hAnsi="標楷體"/>
                <w:color w:val="000000"/>
                <w:kern w:val="0"/>
                <w:szCs w:val="22"/>
              </w:rPr>
              <w:t>中華民國刑法施行法第八條之二條文修正草案</w:t>
            </w:r>
          </w:p>
        </w:tc>
        <w:tc>
          <w:tcPr>
            <w:tcW w:w="1545" w:type="dxa"/>
          </w:tcPr>
          <w:p w14:paraId="37B85C3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行政院、司法院</w:t>
            </w:r>
          </w:p>
          <w:p w14:paraId="36B5AA6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7256184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val="restart"/>
          </w:tcPr>
          <w:p w14:paraId="6BEDB80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1.第2-15案</w:t>
            </w:r>
            <w:r w:rsidRPr="001B6E4D">
              <w:rPr>
                <w:rFonts w:ascii="標楷體" w:eastAsia="標楷體" w:hAnsi="標楷體"/>
                <w:spacing w:val="-20"/>
                <w:kern w:val="0"/>
                <w:szCs w:val="22"/>
              </w:rPr>
              <w:br/>
              <w:t>本會</w:t>
            </w:r>
            <w:r w:rsidRPr="001B6E4D">
              <w:rPr>
                <w:rFonts w:ascii="標楷體" w:eastAsia="標楷體" w:hAnsi="標楷體"/>
                <w:spacing w:val="-20"/>
                <w:kern w:val="0"/>
                <w:szCs w:val="22"/>
              </w:rPr>
              <w:br/>
              <w:t>115.4.13</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t>(11-5-6)報告及</w:t>
            </w:r>
            <w:proofErr w:type="gramStart"/>
            <w:r w:rsidRPr="001B6E4D">
              <w:rPr>
                <w:rFonts w:ascii="標楷體" w:eastAsia="標楷體" w:hAnsi="標楷體" w:hint="eastAsia"/>
                <w:spacing w:val="-20"/>
                <w:kern w:val="0"/>
                <w:szCs w:val="22"/>
              </w:rPr>
              <w:t>詢</w:t>
            </w:r>
            <w:proofErr w:type="gramEnd"/>
            <w:r w:rsidRPr="001B6E4D">
              <w:rPr>
                <w:rFonts w:ascii="標楷體" w:eastAsia="標楷體" w:hAnsi="標楷體" w:hint="eastAsia"/>
                <w:spacing w:val="-20"/>
                <w:kern w:val="0"/>
                <w:szCs w:val="22"/>
              </w:rPr>
              <w:t>答完畢，另定期繼續審查</w:t>
            </w:r>
            <w:r w:rsidRPr="001B6E4D">
              <w:rPr>
                <w:rFonts w:ascii="標楷體" w:eastAsia="標楷體" w:hAnsi="標楷體"/>
                <w:spacing w:val="-20"/>
                <w:kern w:val="0"/>
                <w:szCs w:val="22"/>
              </w:rPr>
              <w:t>。</w:t>
            </w:r>
          </w:p>
          <w:p w14:paraId="19BAB25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2.第1-20案</w:t>
            </w:r>
            <w:r w:rsidRPr="001B6E4D">
              <w:rPr>
                <w:rFonts w:ascii="標楷體" w:eastAsia="標楷體" w:hAnsi="標楷體"/>
                <w:spacing w:val="-20"/>
                <w:kern w:val="0"/>
                <w:szCs w:val="22"/>
              </w:rPr>
              <w:br/>
            </w:r>
            <w:r w:rsidRPr="001B6E4D">
              <w:rPr>
                <w:rFonts w:ascii="標楷體" w:eastAsia="標楷體" w:hAnsi="標楷體" w:hint="eastAsia"/>
                <w:spacing w:val="-20"/>
                <w:kern w:val="0"/>
                <w:szCs w:val="22"/>
              </w:rPr>
              <w:t>本</w:t>
            </w:r>
            <w:r w:rsidRPr="001B6E4D">
              <w:rPr>
                <w:rFonts w:ascii="標楷體" w:eastAsia="標楷體" w:hAnsi="標楷體"/>
                <w:spacing w:val="-20"/>
                <w:kern w:val="0"/>
                <w:szCs w:val="22"/>
              </w:rPr>
              <w:t>會</w:t>
            </w:r>
            <w:r w:rsidRPr="001B6E4D">
              <w:rPr>
                <w:rFonts w:ascii="標楷體" w:eastAsia="標楷體" w:hAnsi="標楷體"/>
                <w:spacing w:val="-20"/>
                <w:kern w:val="0"/>
                <w:szCs w:val="22"/>
              </w:rPr>
              <w:br/>
              <w:t>115.</w:t>
            </w:r>
            <w:r w:rsidRPr="001B6E4D">
              <w:rPr>
                <w:rFonts w:ascii="標楷體" w:eastAsia="標楷體" w:hAnsi="標楷體" w:hint="eastAsia"/>
                <w:spacing w:val="-20"/>
                <w:kern w:val="0"/>
                <w:szCs w:val="22"/>
              </w:rPr>
              <w:t>6</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11</w:t>
            </w:r>
            <w:r w:rsidRPr="001B6E4D">
              <w:rPr>
                <w:rFonts w:ascii="標楷體" w:eastAsia="標楷體" w:hAnsi="標楷體"/>
                <w:spacing w:val="-20"/>
                <w:kern w:val="0"/>
                <w:szCs w:val="22"/>
              </w:rPr>
              <w:b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18</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審查</w:t>
            </w:r>
            <w:r w:rsidRPr="001B6E4D">
              <w:rPr>
                <w:rFonts w:ascii="標楷體" w:eastAsia="標楷體" w:hAnsi="標楷體" w:hint="eastAsia"/>
                <w:spacing w:val="-20"/>
                <w:kern w:val="0"/>
                <w:szCs w:val="22"/>
              </w:rPr>
              <w:lastRenderedPageBreak/>
              <w:t>完竣，不須交由黨團協商。</w:t>
            </w:r>
          </w:p>
        </w:tc>
        <w:tc>
          <w:tcPr>
            <w:tcW w:w="1387" w:type="dxa"/>
            <w:vMerge w:val="restart"/>
          </w:tcPr>
          <w:p w14:paraId="2A58E244"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lastRenderedPageBreak/>
              <w:t>院會</w:t>
            </w:r>
          </w:p>
          <w:p w14:paraId="2EED0DB1"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7.7</w:t>
            </w:r>
          </w:p>
          <w:p w14:paraId="5733019C"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16</w:t>
            </w:r>
            <w:r w:rsidRPr="001B6E4D">
              <w:rPr>
                <w:rFonts w:ascii="標楷體" w:eastAsia="標楷體" w:hAnsi="標楷體"/>
                <w:spacing w:val="-20"/>
                <w:kern w:val="0"/>
                <w:szCs w:val="22"/>
              </w:rPr>
              <w:t>)</w:t>
            </w:r>
          </w:p>
          <w:p w14:paraId="5AD1B45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spacing w:val="-20"/>
                <w:kern w:val="0"/>
                <w:szCs w:val="22"/>
              </w:rPr>
              <w:t>三讀修正第八條之二條文。</w:t>
            </w:r>
          </w:p>
        </w:tc>
        <w:tc>
          <w:tcPr>
            <w:tcW w:w="1683" w:type="dxa"/>
            <w:vMerge w:val="restart"/>
          </w:tcPr>
          <w:p w14:paraId="3A00FC79"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115年7月16日台立院議字第1150702599號</w:t>
            </w:r>
          </w:p>
          <w:p w14:paraId="52E279A2"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p w14:paraId="55612739"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r w:rsidRPr="001B6E4D">
              <w:rPr>
                <w:rFonts w:ascii="標楷體" w:eastAsia="標楷體" w:hAnsi="標楷體" w:hint="eastAsia"/>
                <w:color w:val="000000"/>
                <w:spacing w:val="-26"/>
                <w:szCs w:val="22"/>
              </w:rPr>
              <w:t>115年7月22日華總</w:t>
            </w:r>
            <w:proofErr w:type="gramStart"/>
            <w:r w:rsidRPr="001B6E4D">
              <w:rPr>
                <w:rFonts w:ascii="標楷體" w:eastAsia="標楷體" w:hAnsi="標楷體" w:hint="eastAsia"/>
                <w:color w:val="000000"/>
                <w:spacing w:val="-26"/>
                <w:szCs w:val="22"/>
              </w:rPr>
              <w:t>一義字第11500067811號</w:t>
            </w:r>
            <w:proofErr w:type="gramEnd"/>
          </w:p>
        </w:tc>
        <w:tc>
          <w:tcPr>
            <w:tcW w:w="1105" w:type="dxa"/>
            <w:vMerge w:val="restart"/>
          </w:tcPr>
          <w:p w14:paraId="0B2A9AB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第7872號</w:t>
            </w:r>
          </w:p>
        </w:tc>
      </w:tr>
      <w:tr w:rsidR="00B05C66" w:rsidRPr="001B6E4D" w14:paraId="367A297E" w14:textId="77777777" w:rsidTr="0006693A">
        <w:trPr>
          <w:trHeight w:val="600"/>
        </w:trPr>
        <w:tc>
          <w:tcPr>
            <w:tcW w:w="511" w:type="dxa"/>
          </w:tcPr>
          <w:p w14:paraId="0AA93F82"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9F617B3"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.中華民國刑法施行法增訂第八條之三條文草</w:t>
            </w:r>
            <w:r w:rsidRPr="001B6E4D">
              <w:rPr>
                <w:rFonts w:ascii="標楷體" w:eastAsia="標楷體" w:hAnsi="標楷體"/>
                <w:color w:val="000000"/>
                <w:kern w:val="0"/>
                <w:szCs w:val="22"/>
              </w:rPr>
              <w:lastRenderedPageBreak/>
              <w:t>案</w:t>
            </w:r>
          </w:p>
        </w:tc>
        <w:tc>
          <w:tcPr>
            <w:tcW w:w="1545" w:type="dxa"/>
          </w:tcPr>
          <w:p w14:paraId="10F7EDB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委員黃捷</w:t>
            </w:r>
          </w:p>
          <w:p w14:paraId="12676E7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2505445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114.08.29</w:t>
            </w:r>
          </w:p>
          <w:p w14:paraId="561B7C2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（11-3-27）</w:t>
            </w:r>
          </w:p>
        </w:tc>
        <w:tc>
          <w:tcPr>
            <w:tcW w:w="1536" w:type="dxa"/>
            <w:vMerge/>
          </w:tcPr>
          <w:p w14:paraId="7777712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C3D0F2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D7C3719"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15A765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38B94890" w14:textId="77777777" w:rsidTr="0006693A">
        <w:trPr>
          <w:trHeight w:val="600"/>
        </w:trPr>
        <w:tc>
          <w:tcPr>
            <w:tcW w:w="511" w:type="dxa"/>
          </w:tcPr>
          <w:p w14:paraId="07968A70"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5499EF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3</w:t>
            </w:r>
            <w:r w:rsidRPr="001B6E4D">
              <w:rPr>
                <w:rFonts w:ascii="標楷體" w:eastAsia="標楷體" w:hAnsi="標楷體"/>
                <w:color w:val="000000"/>
                <w:kern w:val="0"/>
                <w:szCs w:val="22"/>
              </w:rPr>
              <w:t>.中華民國刑法施行法第八條之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條文修正草案</w:t>
            </w:r>
          </w:p>
        </w:tc>
        <w:tc>
          <w:tcPr>
            <w:tcW w:w="1545" w:type="dxa"/>
          </w:tcPr>
          <w:p w14:paraId="6465218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委員林楚</w:t>
            </w:r>
            <w:proofErr w:type="gramStart"/>
            <w:r w:rsidRPr="001B6E4D">
              <w:rPr>
                <w:rFonts w:ascii="標楷體" w:eastAsia="標楷體" w:hAnsi="標楷體"/>
                <w:color w:val="000000"/>
                <w:kern w:val="0"/>
                <w:szCs w:val="22"/>
              </w:rPr>
              <w:t>茵</w:t>
            </w:r>
            <w:proofErr w:type="gramEnd"/>
          </w:p>
          <w:p w14:paraId="16C34AA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5D1394A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114.09.30</w:t>
            </w:r>
          </w:p>
          <w:p w14:paraId="533A960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（11-4-2）</w:t>
            </w:r>
          </w:p>
        </w:tc>
        <w:tc>
          <w:tcPr>
            <w:tcW w:w="1536" w:type="dxa"/>
            <w:vMerge/>
          </w:tcPr>
          <w:p w14:paraId="099B19D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E3BDC0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9758B01"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D628C9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08BBCD39" w14:textId="77777777" w:rsidTr="0006693A">
        <w:trPr>
          <w:trHeight w:val="600"/>
        </w:trPr>
        <w:tc>
          <w:tcPr>
            <w:tcW w:w="511" w:type="dxa"/>
          </w:tcPr>
          <w:p w14:paraId="37219ADF"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F3F3FB2"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.中華民國刑法施行法第八條之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條文修正草案</w:t>
            </w:r>
          </w:p>
        </w:tc>
        <w:tc>
          <w:tcPr>
            <w:tcW w:w="1545" w:type="dxa"/>
          </w:tcPr>
          <w:p w14:paraId="587B4B9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委員吳沛憶</w:t>
            </w:r>
          </w:p>
          <w:p w14:paraId="0D105F2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481E95C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114.10.14</w:t>
            </w:r>
          </w:p>
          <w:p w14:paraId="5865123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（11-4-4）</w:t>
            </w:r>
          </w:p>
        </w:tc>
        <w:tc>
          <w:tcPr>
            <w:tcW w:w="1536" w:type="dxa"/>
            <w:vMerge/>
          </w:tcPr>
          <w:p w14:paraId="3878ABC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86315C4"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C46A837"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DB01FAC"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1822AB21" w14:textId="77777777" w:rsidTr="0006693A">
        <w:trPr>
          <w:trHeight w:val="600"/>
        </w:trPr>
        <w:tc>
          <w:tcPr>
            <w:tcW w:w="511" w:type="dxa"/>
          </w:tcPr>
          <w:p w14:paraId="27BCBEFA"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0EF74A4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.中華民國刑法施行法增訂第八條之三條文草案</w:t>
            </w:r>
          </w:p>
        </w:tc>
        <w:tc>
          <w:tcPr>
            <w:tcW w:w="1545" w:type="dxa"/>
          </w:tcPr>
          <w:p w14:paraId="3FEA186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委員林月琴</w:t>
            </w:r>
          </w:p>
          <w:p w14:paraId="12B71C9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15D1437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114.10.17</w:t>
            </w:r>
          </w:p>
          <w:p w14:paraId="18153DC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（11-4-5）</w:t>
            </w:r>
          </w:p>
        </w:tc>
        <w:tc>
          <w:tcPr>
            <w:tcW w:w="1536" w:type="dxa"/>
            <w:vMerge/>
          </w:tcPr>
          <w:p w14:paraId="01F02BE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5D0F54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C5DFBF5"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C97D71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C88628D" w14:textId="77777777" w:rsidTr="0006693A">
        <w:trPr>
          <w:trHeight w:val="600"/>
        </w:trPr>
        <w:tc>
          <w:tcPr>
            <w:tcW w:w="511" w:type="dxa"/>
          </w:tcPr>
          <w:p w14:paraId="050BBF86"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EBF2370"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6</w:t>
            </w:r>
            <w:r w:rsidRPr="001B6E4D">
              <w:rPr>
                <w:rFonts w:ascii="標楷體" w:eastAsia="標楷體" w:hAnsi="標楷體"/>
                <w:color w:val="000000"/>
                <w:kern w:val="0"/>
                <w:szCs w:val="22"/>
              </w:rPr>
              <w:t>.中華民國刑法施行法增訂第八條之三條文草案</w:t>
            </w:r>
          </w:p>
        </w:tc>
        <w:tc>
          <w:tcPr>
            <w:tcW w:w="1545" w:type="dxa"/>
          </w:tcPr>
          <w:p w14:paraId="75BF5C8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委員蔡其昌</w:t>
            </w:r>
          </w:p>
          <w:p w14:paraId="494D5C8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37E40EA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4312BB1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40A0317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C960FA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3E32B59"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D02B938"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7AFA21D" w14:textId="77777777" w:rsidTr="0006693A">
        <w:trPr>
          <w:trHeight w:val="600"/>
        </w:trPr>
        <w:tc>
          <w:tcPr>
            <w:tcW w:w="511" w:type="dxa"/>
          </w:tcPr>
          <w:p w14:paraId="07398076"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401DC0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7</w:t>
            </w:r>
            <w:r w:rsidRPr="001B6E4D">
              <w:rPr>
                <w:rFonts w:ascii="標楷體" w:eastAsia="標楷體" w:hAnsi="標楷體"/>
                <w:color w:val="000000"/>
                <w:kern w:val="0"/>
                <w:szCs w:val="22"/>
              </w:rPr>
              <w:t>.中華民國刑法施行法增訂第八條之三條文草案</w:t>
            </w:r>
          </w:p>
        </w:tc>
        <w:tc>
          <w:tcPr>
            <w:tcW w:w="1545" w:type="dxa"/>
          </w:tcPr>
          <w:p w14:paraId="1663A68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委員王美惠</w:t>
            </w:r>
          </w:p>
          <w:p w14:paraId="07F77D2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3C89164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7228D58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23952C5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CD29604"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5D1E8D4"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0DDCA8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D2164E5" w14:textId="77777777" w:rsidTr="0006693A">
        <w:trPr>
          <w:trHeight w:val="600"/>
        </w:trPr>
        <w:tc>
          <w:tcPr>
            <w:tcW w:w="511" w:type="dxa"/>
          </w:tcPr>
          <w:p w14:paraId="07EB2328"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62B074B2"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8</w:t>
            </w:r>
            <w:r w:rsidRPr="001B6E4D">
              <w:rPr>
                <w:rFonts w:ascii="標楷體" w:eastAsia="標楷體" w:hAnsi="標楷體"/>
                <w:color w:val="000000"/>
                <w:kern w:val="0"/>
                <w:szCs w:val="22"/>
              </w:rPr>
              <w:t>.中華民國刑法施行法第八條之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條文修正草案</w:t>
            </w:r>
          </w:p>
        </w:tc>
        <w:tc>
          <w:tcPr>
            <w:tcW w:w="1545" w:type="dxa"/>
          </w:tcPr>
          <w:p w14:paraId="2679AF3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委員陳素月</w:t>
            </w:r>
          </w:p>
          <w:p w14:paraId="2544006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3CCFB84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07DD14E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（11-4-7）</w:t>
            </w:r>
          </w:p>
        </w:tc>
        <w:tc>
          <w:tcPr>
            <w:tcW w:w="1536" w:type="dxa"/>
            <w:vMerge/>
          </w:tcPr>
          <w:p w14:paraId="4777694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B0E018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35DC892"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FE48724"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BE87D57" w14:textId="77777777" w:rsidTr="0006693A">
        <w:trPr>
          <w:trHeight w:val="600"/>
        </w:trPr>
        <w:tc>
          <w:tcPr>
            <w:tcW w:w="511" w:type="dxa"/>
          </w:tcPr>
          <w:p w14:paraId="75285F8F"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8E6DDE6"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9</w:t>
            </w:r>
            <w:r w:rsidRPr="001B6E4D">
              <w:rPr>
                <w:rFonts w:ascii="標楷體" w:eastAsia="標楷體" w:hAnsi="標楷體"/>
                <w:color w:val="000000"/>
                <w:kern w:val="0"/>
                <w:szCs w:val="22"/>
              </w:rPr>
              <w:t>.中華民國刑法施行法第八條之</w:t>
            </w:r>
            <w:proofErr w:type="gramStart"/>
            <w:r w:rsidRPr="001B6E4D">
              <w:rPr>
                <w:rFonts w:ascii="標楷體" w:eastAsia="標楷體" w:hAnsi="標楷體"/>
                <w:color w:val="000000"/>
                <w:kern w:val="0"/>
                <w:szCs w:val="22"/>
              </w:rPr>
              <w:t>一</w:t>
            </w:r>
            <w:proofErr w:type="gramEnd"/>
            <w:r w:rsidRPr="001B6E4D">
              <w:rPr>
                <w:rFonts w:ascii="標楷體" w:eastAsia="標楷體" w:hAnsi="標楷體"/>
                <w:color w:val="000000"/>
                <w:kern w:val="0"/>
                <w:szCs w:val="22"/>
              </w:rPr>
              <w:t>條文修正草案</w:t>
            </w:r>
          </w:p>
        </w:tc>
        <w:tc>
          <w:tcPr>
            <w:tcW w:w="1545" w:type="dxa"/>
          </w:tcPr>
          <w:p w14:paraId="3BDB783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委員林倩綺</w:t>
            </w:r>
          </w:p>
          <w:p w14:paraId="6DA0215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等21人</w:t>
            </w:r>
          </w:p>
          <w:p w14:paraId="332BB90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114.11.28</w:t>
            </w:r>
          </w:p>
          <w:p w14:paraId="2F664B3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w:t>
            </w:r>
          </w:p>
        </w:tc>
        <w:tc>
          <w:tcPr>
            <w:tcW w:w="1536" w:type="dxa"/>
            <w:vMerge/>
          </w:tcPr>
          <w:p w14:paraId="025F3DC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AD14D1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A8635E1"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9CDEC2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CFF38BB" w14:textId="77777777" w:rsidTr="0006693A">
        <w:trPr>
          <w:trHeight w:val="600"/>
        </w:trPr>
        <w:tc>
          <w:tcPr>
            <w:tcW w:w="511" w:type="dxa"/>
          </w:tcPr>
          <w:p w14:paraId="111D33CC"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858CDA3"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10</w:t>
            </w:r>
            <w:r w:rsidRPr="001B6E4D">
              <w:rPr>
                <w:rFonts w:ascii="標楷體" w:eastAsia="標楷體" w:hAnsi="標楷體"/>
                <w:color w:val="000000"/>
                <w:kern w:val="0"/>
                <w:szCs w:val="22"/>
              </w:rPr>
              <w:t>.中華民國刑法</w:t>
            </w:r>
            <w:r w:rsidRPr="001B6E4D">
              <w:rPr>
                <w:rFonts w:ascii="標楷體" w:eastAsia="標楷體" w:hAnsi="標楷體"/>
                <w:color w:val="000000"/>
                <w:kern w:val="0"/>
                <w:szCs w:val="22"/>
              </w:rPr>
              <w:lastRenderedPageBreak/>
              <w:t>施行法增訂第八條之三條文草案</w:t>
            </w:r>
          </w:p>
        </w:tc>
        <w:tc>
          <w:tcPr>
            <w:tcW w:w="1545" w:type="dxa"/>
          </w:tcPr>
          <w:p w14:paraId="71D5A65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委員吳思瑤</w:t>
            </w:r>
          </w:p>
          <w:p w14:paraId="2C5BB71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58CCD7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114.12.05</w:t>
            </w:r>
          </w:p>
          <w:p w14:paraId="15B2563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（11-4-12）</w:t>
            </w:r>
          </w:p>
        </w:tc>
        <w:tc>
          <w:tcPr>
            <w:tcW w:w="1536" w:type="dxa"/>
            <w:vMerge/>
          </w:tcPr>
          <w:p w14:paraId="75A1967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315B54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2D78C02"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222D2D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1AF6E19C" w14:textId="77777777" w:rsidTr="0006693A">
        <w:trPr>
          <w:trHeight w:val="600"/>
        </w:trPr>
        <w:tc>
          <w:tcPr>
            <w:tcW w:w="511" w:type="dxa"/>
          </w:tcPr>
          <w:p w14:paraId="5630385F"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2EF7792"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.中華民國刑法施行法增訂第八條之三條文草案</w:t>
            </w:r>
          </w:p>
        </w:tc>
        <w:tc>
          <w:tcPr>
            <w:tcW w:w="1545" w:type="dxa"/>
          </w:tcPr>
          <w:p w14:paraId="07CAD47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委員羅智強</w:t>
            </w:r>
          </w:p>
          <w:p w14:paraId="0B45841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04E93C4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02BB169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5E5D5BD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E984209"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22A2D55"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719FC74"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6EA4A580" w14:textId="77777777" w:rsidTr="0006693A">
        <w:trPr>
          <w:trHeight w:val="600"/>
        </w:trPr>
        <w:tc>
          <w:tcPr>
            <w:tcW w:w="511" w:type="dxa"/>
          </w:tcPr>
          <w:p w14:paraId="0C39CDA1"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092568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2</w:t>
            </w:r>
            <w:r w:rsidRPr="001B6E4D">
              <w:rPr>
                <w:rFonts w:ascii="標楷體" w:eastAsia="標楷體" w:hAnsi="標楷體"/>
                <w:color w:val="000000"/>
                <w:kern w:val="0"/>
                <w:szCs w:val="22"/>
              </w:rPr>
              <w:t>.中華民國刑法施行法第八條之二條文修正草案</w:t>
            </w:r>
          </w:p>
        </w:tc>
        <w:tc>
          <w:tcPr>
            <w:tcW w:w="1545" w:type="dxa"/>
          </w:tcPr>
          <w:p w14:paraId="290F60D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委員李坤城</w:t>
            </w:r>
          </w:p>
          <w:p w14:paraId="4E0347D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6EE6CE6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115.03.06</w:t>
            </w:r>
          </w:p>
          <w:p w14:paraId="2788349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（11-5-2）</w:t>
            </w:r>
          </w:p>
        </w:tc>
        <w:tc>
          <w:tcPr>
            <w:tcW w:w="1536" w:type="dxa"/>
            <w:vMerge/>
          </w:tcPr>
          <w:p w14:paraId="2F560DC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35B300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C4D96B8"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79BCA1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9686462" w14:textId="77777777" w:rsidTr="0006693A">
        <w:trPr>
          <w:trHeight w:val="600"/>
        </w:trPr>
        <w:tc>
          <w:tcPr>
            <w:tcW w:w="511" w:type="dxa"/>
          </w:tcPr>
          <w:p w14:paraId="3D6E14D7"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32240F7"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3</w:t>
            </w:r>
            <w:r w:rsidRPr="001B6E4D">
              <w:rPr>
                <w:rFonts w:ascii="標楷體" w:eastAsia="標楷體" w:hAnsi="標楷體"/>
                <w:color w:val="000000"/>
                <w:kern w:val="0"/>
                <w:szCs w:val="22"/>
              </w:rPr>
              <w:t>.中華民國刑法施行法第八條之二條文修正草案</w:t>
            </w:r>
          </w:p>
        </w:tc>
        <w:tc>
          <w:tcPr>
            <w:tcW w:w="1545" w:type="dxa"/>
          </w:tcPr>
          <w:p w14:paraId="14231AC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委員翁曉玲</w:t>
            </w:r>
          </w:p>
          <w:p w14:paraId="21C7E08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等27人</w:t>
            </w:r>
          </w:p>
          <w:p w14:paraId="0BFC408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674547F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67E6103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009E1A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621C5CB"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8ADAA3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7DCA690" w14:textId="77777777" w:rsidTr="0006693A">
        <w:trPr>
          <w:trHeight w:val="600"/>
        </w:trPr>
        <w:tc>
          <w:tcPr>
            <w:tcW w:w="511" w:type="dxa"/>
          </w:tcPr>
          <w:p w14:paraId="24DFC7CA"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8004F1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.中華民國刑法施行法第八條之二條文修正草案</w:t>
            </w:r>
          </w:p>
        </w:tc>
        <w:tc>
          <w:tcPr>
            <w:tcW w:w="1545" w:type="dxa"/>
          </w:tcPr>
          <w:p w14:paraId="7EE74D3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委員王鴻薇</w:t>
            </w:r>
          </w:p>
          <w:p w14:paraId="0A894C3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03D6D6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5F9A4A8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3D29F58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DBD501B"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2B6CC4A"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9C7FA5E"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69EC6BA4" w14:textId="77777777" w:rsidTr="0006693A">
        <w:trPr>
          <w:trHeight w:val="600"/>
        </w:trPr>
        <w:tc>
          <w:tcPr>
            <w:tcW w:w="511" w:type="dxa"/>
          </w:tcPr>
          <w:p w14:paraId="66EEC7EA"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7178418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.中華民國刑法施行法第八條之二條文修正草案</w:t>
            </w:r>
          </w:p>
        </w:tc>
        <w:tc>
          <w:tcPr>
            <w:tcW w:w="1545" w:type="dxa"/>
          </w:tcPr>
          <w:p w14:paraId="2D77035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委員王正旭</w:t>
            </w:r>
          </w:p>
          <w:p w14:paraId="49C7905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07F9703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0752A53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089890B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FF4614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D447506"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64A42AC"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023F246E" w14:textId="77777777" w:rsidTr="0006693A">
        <w:trPr>
          <w:trHeight w:val="600"/>
        </w:trPr>
        <w:tc>
          <w:tcPr>
            <w:tcW w:w="511" w:type="dxa"/>
          </w:tcPr>
          <w:p w14:paraId="2DEA6465"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41A4D2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6</w:t>
            </w:r>
            <w:r w:rsidRPr="001B6E4D">
              <w:rPr>
                <w:rFonts w:ascii="標楷體" w:eastAsia="標楷體" w:hAnsi="標楷體"/>
                <w:color w:val="000000"/>
                <w:kern w:val="0"/>
                <w:szCs w:val="22"/>
              </w:rPr>
              <w:t>.中華民國刑法施行法第八條之二條文修正草案</w:t>
            </w:r>
          </w:p>
        </w:tc>
        <w:tc>
          <w:tcPr>
            <w:tcW w:w="1545" w:type="dxa"/>
          </w:tcPr>
          <w:p w14:paraId="500EE8E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委員林俊憲</w:t>
            </w:r>
          </w:p>
          <w:p w14:paraId="6709929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7548F52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0AF0EA2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5752A04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7DB5E5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5BE2ECE"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C166575"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1B772E99" w14:textId="77777777" w:rsidTr="0006693A">
        <w:trPr>
          <w:trHeight w:val="600"/>
        </w:trPr>
        <w:tc>
          <w:tcPr>
            <w:tcW w:w="511" w:type="dxa"/>
          </w:tcPr>
          <w:p w14:paraId="4B654B3B"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0803E3EA"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7</w:t>
            </w:r>
            <w:r w:rsidRPr="001B6E4D">
              <w:rPr>
                <w:rFonts w:ascii="標楷體" w:eastAsia="標楷體" w:hAnsi="標楷體"/>
                <w:color w:val="000000"/>
                <w:kern w:val="0"/>
                <w:szCs w:val="22"/>
              </w:rPr>
              <w:t>.中華民國刑法施行法第八條之二條文修正草案</w:t>
            </w:r>
          </w:p>
        </w:tc>
        <w:tc>
          <w:tcPr>
            <w:tcW w:w="1545" w:type="dxa"/>
          </w:tcPr>
          <w:p w14:paraId="184B4B7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委員王美惠</w:t>
            </w:r>
          </w:p>
          <w:p w14:paraId="1B9A1A2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01EAE7F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115.03.27</w:t>
            </w:r>
          </w:p>
          <w:p w14:paraId="2BD1003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（11-5-5）</w:t>
            </w:r>
          </w:p>
        </w:tc>
        <w:tc>
          <w:tcPr>
            <w:tcW w:w="1536" w:type="dxa"/>
            <w:vMerge/>
          </w:tcPr>
          <w:p w14:paraId="0C01F489"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20ED8E0"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EA2F08D"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BF32FA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987C55C" w14:textId="77777777" w:rsidTr="0006693A">
        <w:trPr>
          <w:trHeight w:val="600"/>
        </w:trPr>
        <w:tc>
          <w:tcPr>
            <w:tcW w:w="511" w:type="dxa"/>
          </w:tcPr>
          <w:p w14:paraId="464367C4"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2F0AF4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8</w:t>
            </w:r>
            <w:r w:rsidRPr="001B6E4D">
              <w:rPr>
                <w:rFonts w:ascii="標楷體" w:eastAsia="標楷體" w:hAnsi="標楷體"/>
                <w:color w:val="000000"/>
                <w:kern w:val="0"/>
                <w:szCs w:val="22"/>
              </w:rPr>
              <w:t>.中華民國刑法施行法第八條之二條文修正草案</w:t>
            </w:r>
          </w:p>
        </w:tc>
        <w:tc>
          <w:tcPr>
            <w:tcW w:w="1545" w:type="dxa"/>
          </w:tcPr>
          <w:p w14:paraId="0681384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委員何欣純</w:t>
            </w:r>
          </w:p>
          <w:p w14:paraId="2658841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2CD1063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115.04.24</w:t>
            </w:r>
          </w:p>
          <w:p w14:paraId="69E8DA0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（11-5-8）</w:t>
            </w:r>
          </w:p>
        </w:tc>
        <w:tc>
          <w:tcPr>
            <w:tcW w:w="1536" w:type="dxa"/>
            <w:vMerge/>
          </w:tcPr>
          <w:p w14:paraId="25011B2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67B947D"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DFC59C6"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50CDD05"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1293DD7D" w14:textId="77777777" w:rsidTr="0006693A">
        <w:trPr>
          <w:trHeight w:val="600"/>
        </w:trPr>
        <w:tc>
          <w:tcPr>
            <w:tcW w:w="511" w:type="dxa"/>
          </w:tcPr>
          <w:p w14:paraId="58AB2B45"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9A7CF8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w:t>
            </w:r>
            <w:r w:rsidRPr="001B6E4D">
              <w:rPr>
                <w:rFonts w:ascii="標楷體" w:eastAsia="標楷體" w:hAnsi="標楷體" w:hint="eastAsia"/>
                <w:color w:val="000000"/>
                <w:kern w:val="0"/>
                <w:szCs w:val="22"/>
              </w:rPr>
              <w:t>9</w:t>
            </w:r>
            <w:r w:rsidRPr="001B6E4D">
              <w:rPr>
                <w:rFonts w:ascii="標楷體" w:eastAsia="標楷體" w:hAnsi="標楷體"/>
                <w:color w:val="000000"/>
                <w:kern w:val="0"/>
                <w:szCs w:val="22"/>
              </w:rPr>
              <w:t>.中華民國刑法施行法第八條之二條文修正草案</w:t>
            </w:r>
          </w:p>
        </w:tc>
        <w:tc>
          <w:tcPr>
            <w:tcW w:w="1545" w:type="dxa"/>
          </w:tcPr>
          <w:p w14:paraId="75D1699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委員羅美玲</w:t>
            </w:r>
          </w:p>
          <w:p w14:paraId="7DCD009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3C9BFA1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115.05.22</w:t>
            </w:r>
          </w:p>
          <w:p w14:paraId="46D72E5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（11-5-11）</w:t>
            </w:r>
          </w:p>
        </w:tc>
        <w:tc>
          <w:tcPr>
            <w:tcW w:w="1536" w:type="dxa"/>
            <w:vMerge/>
          </w:tcPr>
          <w:p w14:paraId="4819602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0897F0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5DAC307"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4789FB6"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BAF0F99" w14:textId="77777777" w:rsidTr="0006693A">
        <w:trPr>
          <w:trHeight w:val="600"/>
        </w:trPr>
        <w:tc>
          <w:tcPr>
            <w:tcW w:w="511" w:type="dxa"/>
          </w:tcPr>
          <w:p w14:paraId="4DA4CC1E"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6376E3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20</w:t>
            </w:r>
            <w:r w:rsidRPr="001B6E4D">
              <w:rPr>
                <w:rFonts w:ascii="標楷體" w:eastAsia="標楷體" w:hAnsi="標楷體"/>
                <w:color w:val="000000"/>
                <w:kern w:val="0"/>
                <w:szCs w:val="22"/>
              </w:rPr>
              <w:t>.中華民國刑法施行法第八條之二條文修正草案</w:t>
            </w:r>
          </w:p>
        </w:tc>
        <w:tc>
          <w:tcPr>
            <w:tcW w:w="1545" w:type="dxa"/>
          </w:tcPr>
          <w:p w14:paraId="578C339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委員陳培瑜</w:t>
            </w:r>
          </w:p>
          <w:p w14:paraId="38A3C1C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7D4DE9A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115.05.22</w:t>
            </w:r>
          </w:p>
          <w:p w14:paraId="310976E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（11-5-11）</w:t>
            </w:r>
          </w:p>
        </w:tc>
        <w:tc>
          <w:tcPr>
            <w:tcW w:w="1536" w:type="dxa"/>
            <w:vMerge/>
          </w:tcPr>
          <w:p w14:paraId="5323171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43AB14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AAF4F99"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28D8EE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B9F54E2" w14:textId="77777777" w:rsidTr="0006693A">
        <w:trPr>
          <w:trHeight w:val="600"/>
        </w:trPr>
        <w:tc>
          <w:tcPr>
            <w:tcW w:w="511" w:type="dxa"/>
          </w:tcPr>
          <w:p w14:paraId="65F653D2"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5FA871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71C609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委員吳宗憲</w:t>
            </w:r>
          </w:p>
          <w:p w14:paraId="46B2F47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A58A6F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1609F44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val="restart"/>
          </w:tcPr>
          <w:p w14:paraId="16ECF12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1.本會</w:t>
            </w:r>
          </w:p>
          <w:p w14:paraId="1AEC493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115.4.1</w:t>
            </w:r>
          </w:p>
          <w:p w14:paraId="75C0EFC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(11-5-5)審查完竣，須交由黨團協商。</w:t>
            </w:r>
          </w:p>
          <w:p w14:paraId="05BCC09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2.115.6.2黨團協商。</w:t>
            </w:r>
          </w:p>
          <w:p w14:paraId="3534A24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3.115.7.9黨團協商。</w:t>
            </w:r>
          </w:p>
        </w:tc>
        <w:tc>
          <w:tcPr>
            <w:tcW w:w="1387" w:type="dxa"/>
            <w:vMerge w:val="restart"/>
          </w:tcPr>
          <w:p w14:paraId="3F42D763"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024DB707"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7.28</w:t>
            </w:r>
          </w:p>
          <w:p w14:paraId="7A7334A6"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19</w:t>
            </w:r>
            <w:r w:rsidRPr="001B6E4D">
              <w:rPr>
                <w:rFonts w:ascii="標楷體" w:eastAsia="標楷體" w:hAnsi="標楷體"/>
                <w:spacing w:val="-20"/>
                <w:kern w:val="0"/>
                <w:szCs w:val="22"/>
              </w:rPr>
              <w:t>)</w:t>
            </w:r>
          </w:p>
          <w:p w14:paraId="30B7AB7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spacing w:val="-20"/>
                <w:kern w:val="0"/>
                <w:szCs w:val="22"/>
              </w:rPr>
              <w:t>三讀修正第一千二百二十三條條文。</w:t>
            </w:r>
          </w:p>
        </w:tc>
        <w:tc>
          <w:tcPr>
            <w:tcW w:w="1683" w:type="dxa"/>
            <w:vMerge w:val="restart"/>
          </w:tcPr>
          <w:p w14:paraId="113A8319" w14:textId="77777777" w:rsidR="00B05C66" w:rsidRPr="001B6E4D" w:rsidRDefault="00B05C66" w:rsidP="003D1018">
            <w:pPr>
              <w:widowControl w:val="0"/>
              <w:kinsoku w:val="0"/>
              <w:overflowPunct w:val="0"/>
              <w:spacing w:line="300" w:lineRule="exact"/>
              <w:rPr>
                <w:rFonts w:ascii="標楷體" w:eastAsia="標楷體" w:hAnsi="標楷體"/>
                <w:color w:val="000000"/>
                <w:spacing w:val="-24"/>
                <w:szCs w:val="22"/>
              </w:rPr>
            </w:pPr>
            <w:r w:rsidRPr="001B6E4D">
              <w:rPr>
                <w:rFonts w:ascii="標楷體" w:eastAsia="標楷體" w:hAnsi="標楷體" w:hint="eastAsia"/>
                <w:color w:val="000000"/>
                <w:spacing w:val="-24"/>
                <w:szCs w:val="22"/>
              </w:rPr>
              <w:t>115年8月7日台立院議字第1150702964號</w:t>
            </w:r>
          </w:p>
          <w:p w14:paraId="0CC421C3" w14:textId="77777777" w:rsidR="00B05C66" w:rsidRPr="001B6E4D" w:rsidRDefault="00B05C66" w:rsidP="003D1018">
            <w:pPr>
              <w:widowControl w:val="0"/>
              <w:kinsoku w:val="0"/>
              <w:overflowPunct w:val="0"/>
              <w:spacing w:line="300" w:lineRule="exact"/>
              <w:rPr>
                <w:rFonts w:ascii="標楷體" w:eastAsia="標楷體" w:hAnsi="標楷體"/>
                <w:color w:val="000000"/>
                <w:spacing w:val="-24"/>
                <w:szCs w:val="22"/>
              </w:rPr>
            </w:pPr>
          </w:p>
          <w:p w14:paraId="5B4FFAD9" w14:textId="77777777" w:rsidR="00B05C66" w:rsidRPr="001B6E4D" w:rsidRDefault="00B05C66" w:rsidP="003D1018">
            <w:pPr>
              <w:widowControl w:val="0"/>
              <w:kinsoku w:val="0"/>
              <w:overflowPunct w:val="0"/>
              <w:spacing w:line="300" w:lineRule="exact"/>
              <w:rPr>
                <w:rFonts w:ascii="標楷體" w:eastAsia="標楷體" w:hAnsi="標楷體"/>
                <w:color w:val="000000"/>
                <w:spacing w:val="-24"/>
                <w:szCs w:val="22"/>
              </w:rPr>
            </w:pPr>
            <w:r w:rsidRPr="001B6E4D">
              <w:rPr>
                <w:rFonts w:ascii="標楷體" w:eastAsia="標楷體" w:hAnsi="標楷體" w:hint="eastAsia"/>
                <w:color w:val="000000"/>
                <w:spacing w:val="-24"/>
                <w:szCs w:val="22"/>
              </w:rPr>
              <w:t>115年8月17日華總</w:t>
            </w:r>
            <w:proofErr w:type="gramStart"/>
            <w:r w:rsidRPr="001B6E4D">
              <w:rPr>
                <w:rFonts w:ascii="標楷體" w:eastAsia="標楷體" w:hAnsi="標楷體" w:hint="eastAsia"/>
                <w:color w:val="000000"/>
                <w:spacing w:val="-24"/>
                <w:szCs w:val="22"/>
              </w:rPr>
              <w:t>一義字第11500076161號</w:t>
            </w:r>
            <w:proofErr w:type="gramEnd"/>
          </w:p>
        </w:tc>
        <w:tc>
          <w:tcPr>
            <w:tcW w:w="1105" w:type="dxa"/>
            <w:vMerge w:val="restart"/>
          </w:tcPr>
          <w:p w14:paraId="26573BD6"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第7876號</w:t>
            </w:r>
          </w:p>
        </w:tc>
      </w:tr>
      <w:tr w:rsidR="00B05C66" w:rsidRPr="001B6E4D" w14:paraId="4B1D1EB9" w14:textId="77777777" w:rsidTr="0006693A">
        <w:trPr>
          <w:trHeight w:val="600"/>
        </w:trPr>
        <w:tc>
          <w:tcPr>
            <w:tcW w:w="511" w:type="dxa"/>
          </w:tcPr>
          <w:p w14:paraId="2A8861A2"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D163D52"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93B58D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委員林倩綺</w:t>
            </w:r>
          </w:p>
          <w:p w14:paraId="24CC191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44EB007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067D93C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1A9BC64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512BBC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ABBAD26"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CEE4015"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13D3D85C" w14:textId="77777777" w:rsidTr="0006693A">
        <w:trPr>
          <w:trHeight w:val="600"/>
        </w:trPr>
        <w:tc>
          <w:tcPr>
            <w:tcW w:w="511" w:type="dxa"/>
          </w:tcPr>
          <w:p w14:paraId="373088C8"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BFC37D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3.民法第一千二百二十三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75F8505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委員羅廷</w:t>
            </w:r>
            <w:proofErr w:type="gramStart"/>
            <w:r w:rsidRPr="001B6E4D">
              <w:rPr>
                <w:rFonts w:ascii="標楷體" w:eastAsia="標楷體" w:hAnsi="標楷體"/>
                <w:color w:val="000000"/>
                <w:kern w:val="0"/>
                <w:szCs w:val="22"/>
              </w:rPr>
              <w:t>瑋</w:t>
            </w:r>
            <w:proofErr w:type="gramEnd"/>
          </w:p>
          <w:p w14:paraId="522EC36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670BA12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4431773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vMerge/>
          </w:tcPr>
          <w:p w14:paraId="38B70EA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1B949A5"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C4B3541"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C46D13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9F72359" w14:textId="77777777" w:rsidTr="0006693A">
        <w:trPr>
          <w:trHeight w:val="600"/>
        </w:trPr>
        <w:tc>
          <w:tcPr>
            <w:tcW w:w="511" w:type="dxa"/>
          </w:tcPr>
          <w:p w14:paraId="4120048F"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045BB234"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4.民法第一千二百二十三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4CD0169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委員林沛祥</w:t>
            </w:r>
          </w:p>
          <w:p w14:paraId="66002E7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30039C9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159B356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（11-4-7）</w:t>
            </w:r>
          </w:p>
        </w:tc>
        <w:tc>
          <w:tcPr>
            <w:tcW w:w="1536" w:type="dxa"/>
            <w:vMerge/>
          </w:tcPr>
          <w:p w14:paraId="7E5BB2F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1EEE6B34"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B9374E5"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2F8483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916CE24" w14:textId="77777777" w:rsidTr="0006693A">
        <w:trPr>
          <w:trHeight w:val="600"/>
        </w:trPr>
        <w:tc>
          <w:tcPr>
            <w:tcW w:w="511" w:type="dxa"/>
          </w:tcPr>
          <w:p w14:paraId="0913DE1C"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5A3C844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5.民法第一千二百二十三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EAC7DA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委員柯志恩</w:t>
            </w:r>
          </w:p>
          <w:p w14:paraId="1A5D36E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0510F1F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761FA90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（11-4-7）</w:t>
            </w:r>
          </w:p>
        </w:tc>
        <w:tc>
          <w:tcPr>
            <w:tcW w:w="1536" w:type="dxa"/>
            <w:vMerge/>
          </w:tcPr>
          <w:p w14:paraId="37A588D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47FFC5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CFFA990"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718AFA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2852257" w14:textId="77777777" w:rsidTr="0006693A">
        <w:trPr>
          <w:trHeight w:val="600"/>
        </w:trPr>
        <w:tc>
          <w:tcPr>
            <w:tcW w:w="511" w:type="dxa"/>
          </w:tcPr>
          <w:p w14:paraId="6AEF1151"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7078533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6.民法第一千二百二十三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lastRenderedPageBreak/>
              <w:t>條文修正草案</w:t>
            </w:r>
          </w:p>
        </w:tc>
        <w:tc>
          <w:tcPr>
            <w:tcW w:w="1545" w:type="dxa"/>
          </w:tcPr>
          <w:p w14:paraId="531E9DC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委員楊瓊瓔</w:t>
            </w:r>
          </w:p>
          <w:p w14:paraId="5897F24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等28人</w:t>
            </w:r>
          </w:p>
          <w:p w14:paraId="5836417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114.10.31</w:t>
            </w:r>
          </w:p>
          <w:p w14:paraId="347B655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（11-4-7）</w:t>
            </w:r>
          </w:p>
        </w:tc>
        <w:tc>
          <w:tcPr>
            <w:tcW w:w="1536" w:type="dxa"/>
            <w:vMerge/>
          </w:tcPr>
          <w:p w14:paraId="7CEBFAB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3FE5A8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FE4E136"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AA0B67A"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5260827" w14:textId="77777777" w:rsidTr="0006693A">
        <w:trPr>
          <w:trHeight w:val="600"/>
        </w:trPr>
        <w:tc>
          <w:tcPr>
            <w:tcW w:w="511" w:type="dxa"/>
          </w:tcPr>
          <w:p w14:paraId="68832A09"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0AF09196"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7.民法第一千二百二十三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4A0DD3B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委員王鴻薇</w:t>
            </w:r>
          </w:p>
          <w:p w14:paraId="0F7F5A5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23B8723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114.11.07</w:t>
            </w:r>
          </w:p>
          <w:p w14:paraId="7601DEC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（11-4-8）</w:t>
            </w:r>
          </w:p>
        </w:tc>
        <w:tc>
          <w:tcPr>
            <w:tcW w:w="1536" w:type="dxa"/>
            <w:vMerge/>
          </w:tcPr>
          <w:p w14:paraId="40CC406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6CE72D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917DB39"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341FA24"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7DA6B301" w14:textId="77777777" w:rsidTr="0006693A">
        <w:trPr>
          <w:trHeight w:val="600"/>
        </w:trPr>
        <w:tc>
          <w:tcPr>
            <w:tcW w:w="511" w:type="dxa"/>
          </w:tcPr>
          <w:p w14:paraId="3F13882D"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6B5BEF2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8.民法第一千二百二十三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40F3807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委員翁曉玲</w:t>
            </w:r>
          </w:p>
          <w:p w14:paraId="58943D7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等20人</w:t>
            </w:r>
          </w:p>
          <w:p w14:paraId="4A067E6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114.11.07</w:t>
            </w:r>
          </w:p>
          <w:p w14:paraId="762B370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（11-4-8）</w:t>
            </w:r>
          </w:p>
        </w:tc>
        <w:tc>
          <w:tcPr>
            <w:tcW w:w="1536" w:type="dxa"/>
            <w:vMerge/>
          </w:tcPr>
          <w:p w14:paraId="72EA5DE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420813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E0AEEC9"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4773E8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409189F9" w14:textId="77777777" w:rsidTr="0006693A">
        <w:trPr>
          <w:trHeight w:val="600"/>
        </w:trPr>
        <w:tc>
          <w:tcPr>
            <w:tcW w:w="511" w:type="dxa"/>
          </w:tcPr>
          <w:p w14:paraId="7F2E3820"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B2C331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9.民法第一千二百二十三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9B1B36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委員徐巧芯</w:t>
            </w:r>
          </w:p>
          <w:p w14:paraId="113B73E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等19人</w:t>
            </w:r>
          </w:p>
          <w:p w14:paraId="30D9E1F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31BFCA4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25BEF88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A522A5E"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D301644"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8D2F86F"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0DE5B1AC" w14:textId="77777777" w:rsidTr="0006693A">
        <w:trPr>
          <w:trHeight w:val="600"/>
        </w:trPr>
        <w:tc>
          <w:tcPr>
            <w:tcW w:w="511" w:type="dxa"/>
          </w:tcPr>
          <w:p w14:paraId="2A66F285"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A72A2B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10.民法第一千二百二十三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2AD954D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委員林德福</w:t>
            </w:r>
          </w:p>
          <w:p w14:paraId="6E98C0C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等31人</w:t>
            </w:r>
          </w:p>
          <w:p w14:paraId="75296C9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51388B7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014C2D2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626C01F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49506D3"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433AFA2"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E7C8B84" w14:textId="77777777" w:rsidTr="0006693A">
        <w:trPr>
          <w:trHeight w:val="600"/>
        </w:trPr>
        <w:tc>
          <w:tcPr>
            <w:tcW w:w="511" w:type="dxa"/>
          </w:tcPr>
          <w:p w14:paraId="3FDDC277"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97A24C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11.民法第一千二百二十三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DE2909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w:t>
            </w:r>
            <w:proofErr w:type="gramStart"/>
            <w:r w:rsidRPr="001B6E4D">
              <w:rPr>
                <w:rFonts w:ascii="標楷體" w:eastAsia="標楷體" w:hAnsi="標楷體"/>
                <w:color w:val="000000"/>
                <w:kern w:val="0"/>
                <w:szCs w:val="22"/>
              </w:rPr>
              <w:t>涂</w:t>
            </w:r>
            <w:proofErr w:type="gramEnd"/>
            <w:r w:rsidRPr="001B6E4D">
              <w:rPr>
                <w:rFonts w:ascii="標楷體" w:eastAsia="標楷體" w:hAnsi="標楷體"/>
                <w:color w:val="000000"/>
                <w:kern w:val="0"/>
                <w:szCs w:val="22"/>
              </w:rPr>
              <w:t>權吉</w:t>
            </w:r>
          </w:p>
          <w:p w14:paraId="17D1823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等23人</w:t>
            </w:r>
          </w:p>
          <w:p w14:paraId="5B7E3D6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1506205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27144D0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0DAE23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8249943"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F189E45"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6F5FF874" w14:textId="77777777" w:rsidTr="0006693A">
        <w:trPr>
          <w:trHeight w:val="600"/>
        </w:trPr>
        <w:tc>
          <w:tcPr>
            <w:tcW w:w="511" w:type="dxa"/>
          </w:tcPr>
          <w:p w14:paraId="6B01279C"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65971A7"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12.民法第一千二百二十三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069CF6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委員許宇</w:t>
            </w:r>
            <w:proofErr w:type="gramStart"/>
            <w:r w:rsidRPr="001B6E4D">
              <w:rPr>
                <w:rFonts w:ascii="標楷體" w:eastAsia="標楷體" w:hAnsi="標楷體"/>
                <w:color w:val="000000"/>
                <w:kern w:val="0"/>
                <w:szCs w:val="22"/>
              </w:rPr>
              <w:t>甄</w:t>
            </w:r>
            <w:proofErr w:type="gramEnd"/>
          </w:p>
          <w:p w14:paraId="0645D9E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40C4B9E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561C7DA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1E0C517F"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599F3DF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4D191BD9"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74E3BF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44339F6C" w14:textId="77777777" w:rsidTr="0006693A">
        <w:trPr>
          <w:trHeight w:val="600"/>
        </w:trPr>
        <w:tc>
          <w:tcPr>
            <w:tcW w:w="511" w:type="dxa"/>
          </w:tcPr>
          <w:p w14:paraId="4FCB6609"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91656B0"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13.民法第一千二百二十三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79087B9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委員張智倫</w:t>
            </w:r>
          </w:p>
          <w:p w14:paraId="557A785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6689B9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0626E4B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1D207AE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216A0A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391E89ED"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39E1FB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1FE016CC" w14:textId="77777777" w:rsidTr="0006693A">
        <w:trPr>
          <w:trHeight w:val="600"/>
        </w:trPr>
        <w:tc>
          <w:tcPr>
            <w:tcW w:w="511" w:type="dxa"/>
          </w:tcPr>
          <w:p w14:paraId="0B77DA50"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0FFEEE0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14.民法第一千二百二十三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41FD660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委員黃健豪</w:t>
            </w:r>
          </w:p>
          <w:p w14:paraId="313F968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6F7D675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114.11.14</w:t>
            </w:r>
          </w:p>
          <w:p w14:paraId="38F17ED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（11-4-9）</w:t>
            </w:r>
          </w:p>
        </w:tc>
        <w:tc>
          <w:tcPr>
            <w:tcW w:w="1536" w:type="dxa"/>
            <w:vMerge/>
          </w:tcPr>
          <w:p w14:paraId="239B037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CE01F5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D1FB1F7"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3FB044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4EF818ED" w14:textId="77777777" w:rsidTr="0006693A">
        <w:trPr>
          <w:trHeight w:val="600"/>
        </w:trPr>
        <w:tc>
          <w:tcPr>
            <w:tcW w:w="511" w:type="dxa"/>
          </w:tcPr>
          <w:p w14:paraId="72D76560"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C5908D6"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15.民法第一千二百二十三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w:t>
            </w:r>
            <w:r w:rsidRPr="001B6E4D">
              <w:rPr>
                <w:rFonts w:ascii="標楷體" w:eastAsia="標楷體" w:hAnsi="標楷體"/>
                <w:color w:val="000000"/>
                <w:kern w:val="0"/>
                <w:szCs w:val="22"/>
              </w:rPr>
              <w:lastRenderedPageBreak/>
              <w:t>正草案</w:t>
            </w:r>
          </w:p>
        </w:tc>
        <w:tc>
          <w:tcPr>
            <w:tcW w:w="1545" w:type="dxa"/>
          </w:tcPr>
          <w:p w14:paraId="0EB4E86A"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lastRenderedPageBreak/>
              <w:t>委員羅智強</w:t>
            </w:r>
          </w:p>
          <w:p w14:paraId="4D44E8D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67A5AB7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114.11.21</w:t>
            </w:r>
          </w:p>
          <w:p w14:paraId="59AFDDE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w:t>
            </w:r>
          </w:p>
        </w:tc>
        <w:tc>
          <w:tcPr>
            <w:tcW w:w="1536" w:type="dxa"/>
            <w:vMerge/>
          </w:tcPr>
          <w:p w14:paraId="4ADFDEEC"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0977E9F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58566CBC"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06964C4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48016B1" w14:textId="77777777" w:rsidTr="0006693A">
        <w:trPr>
          <w:trHeight w:val="600"/>
        </w:trPr>
        <w:tc>
          <w:tcPr>
            <w:tcW w:w="511" w:type="dxa"/>
          </w:tcPr>
          <w:p w14:paraId="1EE12899"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EDF29A8"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16.民法第一千二百二十三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124DF51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w:t>
            </w:r>
            <w:proofErr w:type="gramStart"/>
            <w:r w:rsidRPr="001B6E4D">
              <w:rPr>
                <w:rFonts w:ascii="標楷體" w:eastAsia="標楷體" w:hAnsi="標楷體"/>
                <w:color w:val="000000"/>
                <w:kern w:val="0"/>
                <w:szCs w:val="22"/>
              </w:rPr>
              <w:t>游顥</w:t>
            </w:r>
            <w:proofErr w:type="gramEnd"/>
          </w:p>
          <w:p w14:paraId="53C02BC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0E5C428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114.11.28</w:t>
            </w:r>
          </w:p>
          <w:p w14:paraId="047097E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（11-4-11）</w:t>
            </w:r>
          </w:p>
        </w:tc>
        <w:tc>
          <w:tcPr>
            <w:tcW w:w="1536" w:type="dxa"/>
            <w:vMerge/>
          </w:tcPr>
          <w:p w14:paraId="6E801324"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426B3BF2"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6E79419"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1D294D1D"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6EA8F68C" w14:textId="77777777" w:rsidTr="0006693A">
        <w:trPr>
          <w:trHeight w:val="600"/>
        </w:trPr>
        <w:tc>
          <w:tcPr>
            <w:tcW w:w="511" w:type="dxa"/>
          </w:tcPr>
          <w:p w14:paraId="50F3773D"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732516D"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17.民法第一千二百二十三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506A9C83"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委員顏寬</w:t>
            </w:r>
            <w:proofErr w:type="gramStart"/>
            <w:r w:rsidRPr="001B6E4D">
              <w:rPr>
                <w:rFonts w:ascii="標楷體" w:eastAsia="標楷體" w:hAnsi="標楷體"/>
                <w:color w:val="000000"/>
                <w:kern w:val="0"/>
                <w:szCs w:val="22"/>
              </w:rPr>
              <w:t>恒</w:t>
            </w:r>
            <w:proofErr w:type="gramEnd"/>
          </w:p>
          <w:p w14:paraId="2503263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04DE7AB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115.01.02</w:t>
            </w:r>
          </w:p>
          <w:p w14:paraId="661619F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（11-4-16）</w:t>
            </w:r>
          </w:p>
        </w:tc>
        <w:tc>
          <w:tcPr>
            <w:tcW w:w="1536" w:type="dxa"/>
            <w:vMerge/>
          </w:tcPr>
          <w:p w14:paraId="78EFED8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27774B9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69C0F6A"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4C081F6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0340B711" w14:textId="77777777" w:rsidTr="0006693A">
        <w:trPr>
          <w:trHeight w:val="600"/>
        </w:trPr>
        <w:tc>
          <w:tcPr>
            <w:tcW w:w="511" w:type="dxa"/>
          </w:tcPr>
          <w:p w14:paraId="6307540A"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2B2FF527"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18.民法第一千二百二十三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9DC93C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委員賴士葆</w:t>
            </w:r>
          </w:p>
          <w:p w14:paraId="4E1D7B5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等16人</w:t>
            </w:r>
          </w:p>
          <w:p w14:paraId="5C11170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115.01.09</w:t>
            </w:r>
          </w:p>
          <w:p w14:paraId="16ADA61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（11-4-17）</w:t>
            </w:r>
          </w:p>
        </w:tc>
        <w:tc>
          <w:tcPr>
            <w:tcW w:w="1536" w:type="dxa"/>
            <w:vMerge/>
          </w:tcPr>
          <w:p w14:paraId="1EC9707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30EC29D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F0F2308"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32BFCDA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0761151C" w14:textId="77777777" w:rsidTr="0006693A">
        <w:trPr>
          <w:trHeight w:val="600"/>
        </w:trPr>
        <w:tc>
          <w:tcPr>
            <w:tcW w:w="511" w:type="dxa"/>
          </w:tcPr>
          <w:p w14:paraId="64BBBA46"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0E60AFE"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19.民法第一千二百二十三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64406A8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委員羅明才</w:t>
            </w:r>
          </w:p>
          <w:p w14:paraId="1644402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35DA9A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115.01.16</w:t>
            </w:r>
          </w:p>
          <w:p w14:paraId="4B41455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（11-4-18）</w:t>
            </w:r>
          </w:p>
        </w:tc>
        <w:tc>
          <w:tcPr>
            <w:tcW w:w="1536" w:type="dxa"/>
            <w:vMerge/>
          </w:tcPr>
          <w:p w14:paraId="220D781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9C3E1C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AB901E1"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68A014F"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3D0B9B36" w14:textId="77777777" w:rsidTr="0006693A">
        <w:trPr>
          <w:trHeight w:val="600"/>
        </w:trPr>
        <w:tc>
          <w:tcPr>
            <w:tcW w:w="511" w:type="dxa"/>
          </w:tcPr>
          <w:p w14:paraId="32738BBE"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15C4D72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20.民法第一千二百二十三</w:t>
            </w:r>
            <w:proofErr w:type="gramStart"/>
            <w:r w:rsidRPr="001B6E4D">
              <w:rPr>
                <w:rFonts w:ascii="標楷體" w:eastAsia="標楷體" w:hAnsi="標楷體"/>
                <w:color w:val="000000"/>
                <w:kern w:val="0"/>
                <w:szCs w:val="22"/>
              </w:rPr>
              <w:t>條</w:t>
            </w:r>
            <w:proofErr w:type="gramEnd"/>
            <w:r w:rsidRPr="001B6E4D">
              <w:rPr>
                <w:rFonts w:ascii="標楷體" w:eastAsia="標楷體" w:hAnsi="標楷體"/>
                <w:color w:val="000000"/>
                <w:kern w:val="0"/>
                <w:szCs w:val="22"/>
              </w:rPr>
              <w:t>條文修正草案</w:t>
            </w:r>
          </w:p>
        </w:tc>
        <w:tc>
          <w:tcPr>
            <w:tcW w:w="1545" w:type="dxa"/>
          </w:tcPr>
          <w:p w14:paraId="3B7FF3C7"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委員陳菁徽</w:t>
            </w:r>
          </w:p>
          <w:p w14:paraId="36B7DAA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等17人</w:t>
            </w:r>
          </w:p>
          <w:p w14:paraId="464B3B5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115.03.13</w:t>
            </w:r>
          </w:p>
          <w:p w14:paraId="4F2F4A5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（11-5-3）</w:t>
            </w:r>
          </w:p>
        </w:tc>
        <w:tc>
          <w:tcPr>
            <w:tcW w:w="1536" w:type="dxa"/>
            <w:vMerge/>
          </w:tcPr>
          <w:p w14:paraId="644318F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p>
        </w:tc>
        <w:tc>
          <w:tcPr>
            <w:tcW w:w="1387" w:type="dxa"/>
            <w:vMerge/>
          </w:tcPr>
          <w:p w14:paraId="7D2161C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4B18D14"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A7DF423"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7C19C83" w14:textId="77777777" w:rsidTr="0006693A">
        <w:trPr>
          <w:trHeight w:val="600"/>
        </w:trPr>
        <w:tc>
          <w:tcPr>
            <w:tcW w:w="511" w:type="dxa"/>
          </w:tcPr>
          <w:p w14:paraId="014E3ED0"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1CC5D06"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21.民法第一千二百二十三</w:t>
            </w:r>
            <w:proofErr w:type="gramStart"/>
            <w:r w:rsidRPr="001B6E4D">
              <w:rPr>
                <w:rFonts w:ascii="標楷體" w:eastAsia="標楷體" w:hAnsi="標楷體" w:hint="eastAsia"/>
                <w:color w:val="000000"/>
                <w:kern w:val="0"/>
                <w:szCs w:val="22"/>
              </w:rPr>
              <w:t>條</w:t>
            </w:r>
            <w:proofErr w:type="gramEnd"/>
            <w:r w:rsidRPr="001B6E4D">
              <w:rPr>
                <w:rFonts w:ascii="標楷體" w:eastAsia="標楷體" w:hAnsi="標楷體" w:hint="eastAsia"/>
                <w:color w:val="000000"/>
                <w:kern w:val="0"/>
                <w:szCs w:val="22"/>
              </w:rPr>
              <w:t>條文修正草案</w:t>
            </w:r>
          </w:p>
        </w:tc>
        <w:tc>
          <w:tcPr>
            <w:tcW w:w="1545" w:type="dxa"/>
          </w:tcPr>
          <w:p w14:paraId="08197026"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委員謝龍介</w:t>
            </w:r>
          </w:p>
          <w:p w14:paraId="52F00CE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等16人</w:t>
            </w:r>
          </w:p>
          <w:p w14:paraId="5E2CBB3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10</w:t>
            </w:r>
          </w:p>
          <w:p w14:paraId="75184BA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6</w:t>
            </w:r>
            <w:r w:rsidRPr="001B6E4D">
              <w:rPr>
                <w:rFonts w:ascii="標楷體" w:eastAsia="標楷體" w:hAnsi="標楷體"/>
                <w:color w:val="000000"/>
                <w:kern w:val="0"/>
                <w:szCs w:val="22"/>
              </w:rPr>
              <w:t>）</w:t>
            </w:r>
          </w:p>
        </w:tc>
        <w:tc>
          <w:tcPr>
            <w:tcW w:w="1536" w:type="dxa"/>
          </w:tcPr>
          <w:p w14:paraId="401A6755"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5.4.10</w:t>
            </w:r>
          </w:p>
          <w:p w14:paraId="4FFB0DDB"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6D4F6C9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2.115.6.2黨團協商。</w:t>
            </w:r>
          </w:p>
          <w:p w14:paraId="1B04C0A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3.115.7.9黨團協商。</w:t>
            </w:r>
          </w:p>
        </w:tc>
        <w:tc>
          <w:tcPr>
            <w:tcW w:w="1387" w:type="dxa"/>
            <w:vMerge/>
          </w:tcPr>
          <w:p w14:paraId="205EC51F"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6EBCE790"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00C6D15"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DC8321A" w14:textId="77777777" w:rsidTr="0006693A">
        <w:trPr>
          <w:trHeight w:val="600"/>
        </w:trPr>
        <w:tc>
          <w:tcPr>
            <w:tcW w:w="511" w:type="dxa"/>
          </w:tcPr>
          <w:p w14:paraId="399E3E48"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06C8313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22.民法第一千二百二十三</w:t>
            </w:r>
            <w:proofErr w:type="gramStart"/>
            <w:r w:rsidRPr="001B6E4D">
              <w:rPr>
                <w:rFonts w:ascii="標楷體" w:eastAsia="標楷體" w:hAnsi="標楷體" w:hint="eastAsia"/>
                <w:color w:val="000000"/>
                <w:kern w:val="0"/>
                <w:szCs w:val="22"/>
              </w:rPr>
              <w:t>條</w:t>
            </w:r>
            <w:proofErr w:type="gramEnd"/>
            <w:r w:rsidRPr="001B6E4D">
              <w:rPr>
                <w:rFonts w:ascii="標楷體" w:eastAsia="標楷體" w:hAnsi="標楷體" w:hint="eastAsia"/>
                <w:color w:val="000000"/>
                <w:kern w:val="0"/>
                <w:szCs w:val="22"/>
              </w:rPr>
              <w:t>條文修正草案</w:t>
            </w:r>
          </w:p>
        </w:tc>
        <w:tc>
          <w:tcPr>
            <w:tcW w:w="1545" w:type="dxa"/>
          </w:tcPr>
          <w:p w14:paraId="4913E0E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委員林思銘</w:t>
            </w:r>
          </w:p>
          <w:p w14:paraId="1AA77E9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等16人</w:t>
            </w:r>
          </w:p>
          <w:p w14:paraId="26B0590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10</w:t>
            </w:r>
          </w:p>
          <w:p w14:paraId="5654F44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6</w:t>
            </w:r>
            <w:r w:rsidRPr="001B6E4D">
              <w:rPr>
                <w:rFonts w:ascii="標楷體" w:eastAsia="標楷體" w:hAnsi="標楷體"/>
                <w:color w:val="000000"/>
                <w:kern w:val="0"/>
                <w:szCs w:val="22"/>
              </w:rPr>
              <w:t>）</w:t>
            </w:r>
          </w:p>
        </w:tc>
        <w:tc>
          <w:tcPr>
            <w:tcW w:w="1536" w:type="dxa"/>
          </w:tcPr>
          <w:p w14:paraId="142D311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5.4.10</w:t>
            </w:r>
          </w:p>
          <w:p w14:paraId="24C160F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29B228F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2.115.6.2黨團協商。</w:t>
            </w:r>
          </w:p>
          <w:p w14:paraId="32D9826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3.115.7.9黨團</w:t>
            </w:r>
            <w:r w:rsidRPr="001B6E4D">
              <w:rPr>
                <w:rFonts w:ascii="標楷體" w:eastAsia="標楷體" w:hAnsi="標楷體" w:hint="eastAsia"/>
                <w:spacing w:val="-20"/>
                <w:kern w:val="0"/>
                <w:szCs w:val="22"/>
              </w:rPr>
              <w:lastRenderedPageBreak/>
              <w:t>協商。</w:t>
            </w:r>
          </w:p>
        </w:tc>
        <w:tc>
          <w:tcPr>
            <w:tcW w:w="1387" w:type="dxa"/>
            <w:vMerge/>
          </w:tcPr>
          <w:p w14:paraId="5D6BEBD3"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042F205"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34B60A9"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BEAFC4F" w14:textId="77777777" w:rsidTr="0006693A">
        <w:trPr>
          <w:trHeight w:val="600"/>
        </w:trPr>
        <w:tc>
          <w:tcPr>
            <w:tcW w:w="511" w:type="dxa"/>
          </w:tcPr>
          <w:p w14:paraId="7436C8EA"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74C69F0F"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23.民法第一千二百二十三</w:t>
            </w:r>
            <w:proofErr w:type="gramStart"/>
            <w:r w:rsidRPr="001B6E4D">
              <w:rPr>
                <w:rFonts w:ascii="標楷體" w:eastAsia="標楷體" w:hAnsi="標楷體" w:hint="eastAsia"/>
                <w:color w:val="000000"/>
                <w:kern w:val="0"/>
                <w:szCs w:val="22"/>
              </w:rPr>
              <w:t>條</w:t>
            </w:r>
            <w:proofErr w:type="gramEnd"/>
            <w:r w:rsidRPr="001B6E4D">
              <w:rPr>
                <w:rFonts w:ascii="標楷體" w:eastAsia="標楷體" w:hAnsi="標楷體" w:hint="eastAsia"/>
                <w:color w:val="000000"/>
                <w:kern w:val="0"/>
                <w:szCs w:val="22"/>
              </w:rPr>
              <w:t>條文修正草案</w:t>
            </w:r>
          </w:p>
        </w:tc>
        <w:tc>
          <w:tcPr>
            <w:tcW w:w="1545" w:type="dxa"/>
          </w:tcPr>
          <w:p w14:paraId="02D0EB9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台灣民眾</w:t>
            </w:r>
            <w:proofErr w:type="gramStart"/>
            <w:r w:rsidRPr="001B6E4D">
              <w:rPr>
                <w:rFonts w:ascii="標楷體" w:eastAsia="標楷體" w:hAnsi="標楷體" w:hint="eastAsia"/>
                <w:color w:val="000000"/>
                <w:kern w:val="0"/>
                <w:szCs w:val="22"/>
              </w:rPr>
              <w:t>黨</w:t>
            </w:r>
            <w:proofErr w:type="gramEnd"/>
            <w:r w:rsidRPr="001B6E4D">
              <w:rPr>
                <w:rFonts w:ascii="標楷體" w:eastAsia="標楷體" w:hAnsi="標楷體" w:hint="eastAsia"/>
                <w:color w:val="000000"/>
                <w:kern w:val="0"/>
                <w:szCs w:val="22"/>
              </w:rPr>
              <w:t>黨團</w:t>
            </w:r>
          </w:p>
          <w:p w14:paraId="23EA3A40"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4</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24</w:t>
            </w:r>
          </w:p>
          <w:p w14:paraId="6BC9668B"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8</w:t>
            </w:r>
            <w:r w:rsidRPr="001B6E4D">
              <w:rPr>
                <w:rFonts w:ascii="標楷體" w:eastAsia="標楷體" w:hAnsi="標楷體"/>
                <w:color w:val="000000"/>
                <w:kern w:val="0"/>
                <w:szCs w:val="22"/>
              </w:rPr>
              <w:t>）</w:t>
            </w:r>
          </w:p>
        </w:tc>
        <w:tc>
          <w:tcPr>
            <w:tcW w:w="1536" w:type="dxa"/>
          </w:tcPr>
          <w:p w14:paraId="286FC34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5.4.24</w:t>
            </w:r>
          </w:p>
          <w:p w14:paraId="62A454E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-5-8）</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5559623A"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2.115.6.2黨團協商。</w:t>
            </w:r>
          </w:p>
          <w:p w14:paraId="611A3C23"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3.115.7.9黨團協商。</w:t>
            </w:r>
          </w:p>
        </w:tc>
        <w:tc>
          <w:tcPr>
            <w:tcW w:w="1387" w:type="dxa"/>
            <w:vMerge/>
          </w:tcPr>
          <w:p w14:paraId="4681E83A"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00B6C6ED"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7EFA1B01"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623783F5" w14:textId="77777777" w:rsidTr="0006693A">
        <w:trPr>
          <w:trHeight w:val="600"/>
        </w:trPr>
        <w:tc>
          <w:tcPr>
            <w:tcW w:w="511" w:type="dxa"/>
          </w:tcPr>
          <w:p w14:paraId="60DE4D52"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4B492ED6"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24.民法部分條文修正草案</w:t>
            </w:r>
          </w:p>
        </w:tc>
        <w:tc>
          <w:tcPr>
            <w:tcW w:w="1545" w:type="dxa"/>
          </w:tcPr>
          <w:p w14:paraId="51969EB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委員莊瑞雄</w:t>
            </w:r>
          </w:p>
          <w:p w14:paraId="1A5467B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等17人</w:t>
            </w:r>
          </w:p>
          <w:p w14:paraId="331BB405"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06</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12</w:t>
            </w:r>
          </w:p>
          <w:p w14:paraId="48D5E3C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14</w:t>
            </w:r>
            <w:r w:rsidRPr="001B6E4D">
              <w:rPr>
                <w:rFonts w:ascii="標楷體" w:eastAsia="標楷體" w:hAnsi="標楷體"/>
                <w:color w:val="000000"/>
                <w:kern w:val="0"/>
                <w:szCs w:val="22"/>
              </w:rPr>
              <w:t>）</w:t>
            </w:r>
          </w:p>
        </w:tc>
        <w:tc>
          <w:tcPr>
            <w:tcW w:w="1536" w:type="dxa"/>
          </w:tcPr>
          <w:p w14:paraId="5091345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5.6.12</w:t>
            </w:r>
          </w:p>
          <w:p w14:paraId="6D910980"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-5-14）</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702659E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2.115.7.9黨團協商。</w:t>
            </w:r>
          </w:p>
        </w:tc>
        <w:tc>
          <w:tcPr>
            <w:tcW w:w="1387" w:type="dxa"/>
            <w:vMerge/>
          </w:tcPr>
          <w:p w14:paraId="0A54BEA1"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7021DEC2"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5E6BA220"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E98C417" w14:textId="77777777" w:rsidTr="0006693A">
        <w:trPr>
          <w:trHeight w:val="600"/>
        </w:trPr>
        <w:tc>
          <w:tcPr>
            <w:tcW w:w="511" w:type="dxa"/>
          </w:tcPr>
          <w:p w14:paraId="06CE4226"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31CC4DC0"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25.民法部分條文修正草案</w:t>
            </w:r>
          </w:p>
        </w:tc>
        <w:tc>
          <w:tcPr>
            <w:tcW w:w="1545" w:type="dxa"/>
          </w:tcPr>
          <w:p w14:paraId="05CF7D18"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委員張雅琳</w:t>
            </w:r>
          </w:p>
          <w:p w14:paraId="03FEB9F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等16人</w:t>
            </w:r>
          </w:p>
          <w:p w14:paraId="5E32088F"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06</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26</w:t>
            </w:r>
          </w:p>
          <w:p w14:paraId="407F3422"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15</w:t>
            </w:r>
            <w:r w:rsidRPr="001B6E4D">
              <w:rPr>
                <w:rFonts w:ascii="標楷體" w:eastAsia="標楷體" w:hAnsi="標楷體"/>
                <w:color w:val="000000"/>
                <w:kern w:val="0"/>
                <w:szCs w:val="22"/>
              </w:rPr>
              <w:t>）</w:t>
            </w:r>
          </w:p>
        </w:tc>
        <w:tc>
          <w:tcPr>
            <w:tcW w:w="1536" w:type="dxa"/>
          </w:tcPr>
          <w:p w14:paraId="6AFFE28D"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1.院會1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5.6.26</w:t>
            </w:r>
          </w:p>
          <w:p w14:paraId="75A3322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-5-15）</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p w14:paraId="10C7266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2.115.7.9黨團協商。</w:t>
            </w:r>
          </w:p>
        </w:tc>
        <w:tc>
          <w:tcPr>
            <w:tcW w:w="1387" w:type="dxa"/>
            <w:vMerge/>
          </w:tcPr>
          <w:p w14:paraId="431843F6"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14F3FD5A"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6F4B1606"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5D64282E" w14:textId="77777777" w:rsidTr="0006693A">
        <w:trPr>
          <w:trHeight w:val="600"/>
        </w:trPr>
        <w:tc>
          <w:tcPr>
            <w:tcW w:w="511" w:type="dxa"/>
          </w:tcPr>
          <w:p w14:paraId="35A76D04"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730DF0F1"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26.民法部分條文修正草案</w:t>
            </w:r>
          </w:p>
        </w:tc>
        <w:tc>
          <w:tcPr>
            <w:tcW w:w="1545" w:type="dxa"/>
          </w:tcPr>
          <w:p w14:paraId="78E13A1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委員鄭天財</w:t>
            </w:r>
          </w:p>
          <w:p w14:paraId="737F98BE"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proofErr w:type="spellStart"/>
            <w:r w:rsidRPr="001B6E4D">
              <w:rPr>
                <w:rFonts w:ascii="標楷體" w:eastAsia="標楷體" w:hAnsi="標楷體" w:hint="eastAsia"/>
                <w:color w:val="000000"/>
                <w:kern w:val="0"/>
                <w:szCs w:val="22"/>
              </w:rPr>
              <w:t>Sra</w:t>
            </w:r>
            <w:proofErr w:type="spellEnd"/>
            <w:r w:rsidRPr="001B6E4D">
              <w:rPr>
                <w:rFonts w:ascii="標楷體" w:eastAsia="標楷體" w:hAnsi="標楷體" w:hint="eastAsia"/>
                <w:color w:val="000000"/>
                <w:kern w:val="0"/>
                <w:szCs w:val="22"/>
              </w:rPr>
              <w:t xml:space="preserve"> </w:t>
            </w:r>
            <w:proofErr w:type="spellStart"/>
            <w:r w:rsidRPr="001B6E4D">
              <w:rPr>
                <w:rFonts w:ascii="標楷體" w:eastAsia="標楷體" w:hAnsi="標楷體" w:hint="eastAsia"/>
                <w:color w:val="000000"/>
                <w:kern w:val="0"/>
                <w:szCs w:val="22"/>
              </w:rPr>
              <w:t>Kacaw</w:t>
            </w:r>
            <w:proofErr w:type="spellEnd"/>
          </w:p>
          <w:p w14:paraId="01139701"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等17人</w:t>
            </w:r>
          </w:p>
          <w:p w14:paraId="6794BD14"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115.</w:t>
            </w:r>
            <w:r w:rsidRPr="001B6E4D">
              <w:rPr>
                <w:rFonts w:ascii="標楷體" w:eastAsia="標楷體" w:hAnsi="標楷體" w:hint="eastAsia"/>
                <w:color w:val="000000"/>
                <w:kern w:val="0"/>
                <w:szCs w:val="22"/>
              </w:rPr>
              <w:t>07</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14</w:t>
            </w:r>
          </w:p>
          <w:p w14:paraId="50269F8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17</w:t>
            </w:r>
            <w:r w:rsidRPr="001B6E4D">
              <w:rPr>
                <w:rFonts w:ascii="標楷體" w:eastAsia="標楷體" w:hAnsi="標楷體"/>
                <w:color w:val="000000"/>
                <w:kern w:val="0"/>
                <w:szCs w:val="22"/>
              </w:rPr>
              <w:t>）</w:t>
            </w:r>
          </w:p>
        </w:tc>
        <w:tc>
          <w:tcPr>
            <w:tcW w:w="1536" w:type="dxa"/>
          </w:tcPr>
          <w:p w14:paraId="74C3D01E"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1713FE52"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5.7.14</w:t>
            </w:r>
          </w:p>
          <w:p w14:paraId="75104728"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1</w:t>
            </w:r>
            <w:r w:rsidRPr="001B6E4D">
              <w:rPr>
                <w:rFonts w:ascii="標楷體" w:eastAsia="標楷體" w:hAnsi="標楷體" w:hint="eastAsia"/>
                <w:spacing w:val="-20"/>
                <w:kern w:val="0"/>
                <w:szCs w:val="22"/>
              </w:rPr>
              <w:t>-5-17）</w:t>
            </w:r>
            <w:proofErr w:type="gramStart"/>
            <w:r w:rsidRPr="001B6E4D">
              <w:rPr>
                <w:rFonts w:ascii="標楷體" w:eastAsia="標楷體" w:hAnsi="標楷體" w:hint="eastAsia"/>
                <w:spacing w:val="-20"/>
                <w:kern w:val="0"/>
                <w:szCs w:val="22"/>
              </w:rPr>
              <w:t>逕</w:t>
            </w:r>
            <w:proofErr w:type="gramEnd"/>
            <w:r w:rsidRPr="001B6E4D">
              <w:rPr>
                <w:rFonts w:ascii="標楷體" w:eastAsia="標楷體" w:hAnsi="標楷體" w:hint="eastAsia"/>
                <w:spacing w:val="-20"/>
                <w:kern w:val="0"/>
                <w:szCs w:val="22"/>
              </w:rPr>
              <w:t>付二讀，與相關提案</w:t>
            </w:r>
            <w:proofErr w:type="gramStart"/>
            <w:r w:rsidRPr="001B6E4D">
              <w:rPr>
                <w:rFonts w:ascii="標楷體" w:eastAsia="標楷體" w:hAnsi="標楷體" w:hint="eastAsia"/>
                <w:spacing w:val="-20"/>
                <w:kern w:val="0"/>
                <w:szCs w:val="22"/>
              </w:rPr>
              <w:t>併</w:t>
            </w:r>
            <w:proofErr w:type="gramEnd"/>
            <w:r w:rsidRPr="001B6E4D">
              <w:rPr>
                <w:rFonts w:ascii="標楷體" w:eastAsia="標楷體" w:hAnsi="標楷體" w:hint="eastAsia"/>
                <w:spacing w:val="-20"/>
                <w:kern w:val="0"/>
                <w:szCs w:val="22"/>
              </w:rPr>
              <w:t>案協商。</w:t>
            </w:r>
          </w:p>
        </w:tc>
        <w:tc>
          <w:tcPr>
            <w:tcW w:w="1387" w:type="dxa"/>
            <w:vMerge/>
          </w:tcPr>
          <w:p w14:paraId="0C86D2A7"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p>
        </w:tc>
        <w:tc>
          <w:tcPr>
            <w:tcW w:w="1683" w:type="dxa"/>
            <w:vMerge/>
          </w:tcPr>
          <w:p w14:paraId="2B4C13BB" w14:textId="77777777" w:rsidR="00B05C66" w:rsidRPr="001B6E4D" w:rsidRDefault="00B05C66" w:rsidP="003D1018">
            <w:pPr>
              <w:widowControl w:val="0"/>
              <w:kinsoku w:val="0"/>
              <w:overflowPunct w:val="0"/>
              <w:spacing w:line="300" w:lineRule="exact"/>
              <w:rPr>
                <w:rFonts w:ascii="標楷體" w:eastAsia="標楷體" w:hAnsi="標楷體"/>
                <w:color w:val="000000"/>
                <w:spacing w:val="-26"/>
                <w:szCs w:val="22"/>
              </w:rPr>
            </w:pPr>
          </w:p>
        </w:tc>
        <w:tc>
          <w:tcPr>
            <w:tcW w:w="1105" w:type="dxa"/>
            <w:vMerge/>
          </w:tcPr>
          <w:p w14:paraId="209DB637"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p>
        </w:tc>
      </w:tr>
      <w:tr w:rsidR="00B05C66" w:rsidRPr="001B6E4D" w14:paraId="21912958" w14:textId="77777777" w:rsidTr="0006693A">
        <w:trPr>
          <w:trHeight w:val="600"/>
        </w:trPr>
        <w:tc>
          <w:tcPr>
            <w:tcW w:w="511" w:type="dxa"/>
          </w:tcPr>
          <w:p w14:paraId="6666627F" w14:textId="77777777" w:rsidR="00B05C66" w:rsidRPr="001B6E4D" w:rsidRDefault="00B05C66" w:rsidP="003D1018">
            <w:pPr>
              <w:widowControl w:val="0"/>
              <w:numPr>
                <w:ilvl w:val="0"/>
                <w:numId w:val="26"/>
              </w:numPr>
              <w:kinsoku w:val="0"/>
              <w:overflowPunct w:val="0"/>
              <w:spacing w:line="300" w:lineRule="exact"/>
              <w:jc w:val="center"/>
              <w:rPr>
                <w:rFonts w:ascii="標楷體" w:eastAsia="標楷體" w:hAnsi="標楷體"/>
                <w:color w:val="000000"/>
                <w:spacing w:val="-20"/>
                <w:szCs w:val="22"/>
              </w:rPr>
            </w:pPr>
          </w:p>
        </w:tc>
        <w:tc>
          <w:tcPr>
            <w:tcW w:w="1111" w:type="dxa"/>
          </w:tcPr>
          <w:p w14:paraId="00DD90A9" w14:textId="77777777" w:rsidR="00B05C66" w:rsidRPr="001B6E4D" w:rsidRDefault="00B05C66"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color w:val="000000"/>
                <w:kern w:val="0"/>
                <w:szCs w:val="22"/>
              </w:rPr>
              <w:t>民法繼承編施行法增訂第十二條條文草案</w:t>
            </w:r>
          </w:p>
        </w:tc>
        <w:tc>
          <w:tcPr>
            <w:tcW w:w="1545" w:type="dxa"/>
          </w:tcPr>
          <w:p w14:paraId="4F0353C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委員吳宗憲</w:t>
            </w:r>
          </w:p>
          <w:p w14:paraId="4DB29FFD"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等18人</w:t>
            </w:r>
          </w:p>
          <w:p w14:paraId="58B07AE9"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114.10.28</w:t>
            </w:r>
          </w:p>
          <w:p w14:paraId="056819DC" w14:textId="77777777" w:rsidR="00B05C66" w:rsidRPr="001B6E4D" w:rsidRDefault="00B05C66" w:rsidP="003D1018">
            <w:pPr>
              <w:widowControl w:val="0"/>
              <w:kinsoku w:val="0"/>
              <w:overflowPunct w:val="0"/>
              <w:topLinePunct/>
              <w:spacing w:line="300" w:lineRule="exact"/>
              <w:rPr>
                <w:rFonts w:ascii="標楷體" w:eastAsia="標楷體" w:hAnsi="標楷體"/>
                <w:color w:val="000000"/>
                <w:kern w:val="0"/>
                <w:szCs w:val="22"/>
              </w:rPr>
            </w:pPr>
            <w:r w:rsidRPr="001B6E4D">
              <w:rPr>
                <w:rFonts w:ascii="標楷體" w:eastAsia="標楷體" w:hAnsi="標楷體"/>
                <w:color w:val="000000"/>
                <w:kern w:val="0"/>
                <w:szCs w:val="22"/>
              </w:rPr>
              <w:t>（11-4-6）</w:t>
            </w:r>
          </w:p>
        </w:tc>
        <w:tc>
          <w:tcPr>
            <w:tcW w:w="1536" w:type="dxa"/>
          </w:tcPr>
          <w:p w14:paraId="05B4BEE7"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t>本會</w:t>
            </w:r>
            <w:r w:rsidRPr="001B6E4D">
              <w:rPr>
                <w:rFonts w:ascii="標楷體" w:eastAsia="標楷體" w:hAnsi="標楷體"/>
                <w:spacing w:val="-20"/>
                <w:kern w:val="0"/>
                <w:szCs w:val="22"/>
              </w:rPr>
              <w:br/>
              <w:t>115.</w:t>
            </w:r>
            <w:r w:rsidRPr="001B6E4D">
              <w:rPr>
                <w:rFonts w:ascii="標楷體" w:eastAsia="標楷體" w:hAnsi="標楷體" w:hint="eastAsia"/>
                <w:spacing w:val="-20"/>
                <w:kern w:val="0"/>
                <w:szCs w:val="22"/>
              </w:rPr>
              <w:t>4</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w:t>
            </w:r>
            <w:r w:rsidRPr="001B6E4D">
              <w:rPr>
                <w:rFonts w:ascii="標楷體" w:eastAsia="標楷體" w:hAnsi="標楷體"/>
                <w:spacing w:val="-20"/>
                <w:kern w:val="0"/>
                <w:szCs w:val="22"/>
              </w:rPr>
              <w:b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審查完竣，須交由黨團協商。</w:t>
            </w:r>
          </w:p>
          <w:p w14:paraId="020C5D51"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2.115.6.2黨團協商。</w:t>
            </w:r>
          </w:p>
          <w:p w14:paraId="2F64A526" w14:textId="77777777" w:rsidR="00B05C66" w:rsidRPr="001B6E4D" w:rsidRDefault="00B05C66" w:rsidP="003D1018">
            <w:pPr>
              <w:widowControl w:val="0"/>
              <w:kinsoku w:val="0"/>
              <w:overflowPunct w:val="0"/>
              <w:topLinePunct/>
              <w:autoSpaceDE w:val="0"/>
              <w:autoSpaceDN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3.115.7.9黨團協商。</w:t>
            </w:r>
          </w:p>
        </w:tc>
        <w:tc>
          <w:tcPr>
            <w:tcW w:w="1387" w:type="dxa"/>
          </w:tcPr>
          <w:p w14:paraId="4320698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hint="eastAsia"/>
                <w:spacing w:val="-20"/>
                <w:kern w:val="0"/>
                <w:szCs w:val="22"/>
              </w:rPr>
              <w:t>院會</w:t>
            </w:r>
          </w:p>
          <w:p w14:paraId="4D7DAF98"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7.28</w:t>
            </w:r>
          </w:p>
          <w:p w14:paraId="69C6399A" w14:textId="77777777" w:rsidR="00B05C66" w:rsidRPr="001B6E4D" w:rsidRDefault="00B05C66" w:rsidP="003D1018">
            <w:pPr>
              <w:widowControl w:val="0"/>
              <w:kinsoku w:val="0"/>
              <w:overflowPunct w:val="0"/>
              <w:spacing w:line="300" w:lineRule="exact"/>
              <w:rPr>
                <w:rFonts w:ascii="標楷體" w:eastAsia="標楷體" w:hAnsi="標楷體"/>
                <w:spacing w:val="-20"/>
                <w:kern w:val="0"/>
                <w:szCs w:val="22"/>
              </w:rPr>
            </w:pPr>
            <w:r w:rsidRPr="001B6E4D">
              <w:rPr>
                <w:rFonts w:ascii="標楷體" w:eastAsia="標楷體" w:hAnsi="標楷體"/>
                <w:spacing w:val="-20"/>
                <w:kern w:val="0"/>
                <w:szCs w:val="22"/>
              </w:rPr>
              <w:t>(11-</w:t>
            </w:r>
            <w:r w:rsidRPr="001B6E4D">
              <w:rPr>
                <w:rFonts w:ascii="標楷體" w:eastAsia="標楷體" w:hAnsi="標楷體" w:hint="eastAsia"/>
                <w:spacing w:val="-20"/>
                <w:kern w:val="0"/>
                <w:szCs w:val="22"/>
              </w:rPr>
              <w:t>5</w:t>
            </w:r>
            <w:r w:rsidRPr="001B6E4D">
              <w:rPr>
                <w:rFonts w:ascii="標楷體" w:eastAsia="標楷體" w:hAnsi="標楷體"/>
                <w:spacing w:val="-20"/>
                <w:kern w:val="0"/>
                <w:szCs w:val="22"/>
              </w:rPr>
              <w:t>-</w:t>
            </w:r>
            <w:r w:rsidRPr="001B6E4D">
              <w:rPr>
                <w:rFonts w:ascii="標楷體" w:eastAsia="標楷體" w:hAnsi="標楷體" w:hint="eastAsia"/>
                <w:spacing w:val="-20"/>
                <w:kern w:val="0"/>
                <w:szCs w:val="22"/>
              </w:rPr>
              <w:t>19</w:t>
            </w:r>
            <w:r w:rsidRPr="001B6E4D">
              <w:rPr>
                <w:rFonts w:ascii="標楷體" w:eastAsia="標楷體" w:hAnsi="標楷體"/>
                <w:spacing w:val="-20"/>
                <w:kern w:val="0"/>
                <w:szCs w:val="22"/>
              </w:rPr>
              <w:t>)</w:t>
            </w:r>
          </w:p>
          <w:p w14:paraId="749CAB8C" w14:textId="77777777" w:rsidR="00B05C66" w:rsidRPr="001B6E4D" w:rsidRDefault="00B05C66" w:rsidP="003D1018">
            <w:pPr>
              <w:widowControl w:val="0"/>
              <w:kinsoku w:val="0"/>
              <w:overflowPunct w:val="0"/>
              <w:spacing w:line="300" w:lineRule="exact"/>
              <w:rPr>
                <w:rFonts w:ascii="標楷體" w:eastAsia="標楷體" w:hAnsi="標楷體"/>
                <w:color w:val="000000"/>
                <w:spacing w:val="-20"/>
                <w:szCs w:val="22"/>
              </w:rPr>
            </w:pPr>
            <w:r w:rsidRPr="001B6E4D">
              <w:rPr>
                <w:rFonts w:ascii="標楷體" w:eastAsia="標楷體" w:hAnsi="標楷體" w:hint="eastAsia"/>
                <w:spacing w:val="-20"/>
                <w:kern w:val="0"/>
                <w:szCs w:val="22"/>
              </w:rPr>
              <w:t>三讀增訂第十二條條文。</w:t>
            </w:r>
          </w:p>
        </w:tc>
        <w:tc>
          <w:tcPr>
            <w:tcW w:w="1683" w:type="dxa"/>
          </w:tcPr>
          <w:p w14:paraId="396E1B90" w14:textId="77777777" w:rsidR="00B05C66" w:rsidRPr="001B6E4D" w:rsidRDefault="00B05C66" w:rsidP="003D1018">
            <w:pPr>
              <w:widowControl w:val="0"/>
              <w:kinsoku w:val="0"/>
              <w:overflowPunct w:val="0"/>
              <w:spacing w:line="300" w:lineRule="exact"/>
              <w:rPr>
                <w:rFonts w:ascii="標楷體" w:eastAsia="標楷體" w:hAnsi="標楷體"/>
                <w:color w:val="000000"/>
                <w:spacing w:val="-24"/>
                <w:szCs w:val="22"/>
              </w:rPr>
            </w:pPr>
            <w:r w:rsidRPr="001B6E4D">
              <w:rPr>
                <w:rFonts w:ascii="標楷體" w:eastAsia="標楷體" w:hAnsi="標楷體" w:hint="eastAsia"/>
                <w:color w:val="000000"/>
                <w:spacing w:val="-24"/>
                <w:szCs w:val="22"/>
              </w:rPr>
              <w:t xml:space="preserve">115年8月7日台立院議字第1150702968號 </w:t>
            </w:r>
          </w:p>
          <w:p w14:paraId="502426F9" w14:textId="77777777" w:rsidR="00B05C66" w:rsidRPr="001B6E4D" w:rsidRDefault="00B05C66" w:rsidP="003D1018">
            <w:pPr>
              <w:widowControl w:val="0"/>
              <w:kinsoku w:val="0"/>
              <w:overflowPunct w:val="0"/>
              <w:spacing w:line="300" w:lineRule="exact"/>
              <w:rPr>
                <w:rFonts w:ascii="標楷體" w:eastAsia="標楷體" w:hAnsi="標楷體"/>
                <w:color w:val="000000"/>
                <w:spacing w:val="-24"/>
                <w:szCs w:val="22"/>
              </w:rPr>
            </w:pPr>
          </w:p>
          <w:p w14:paraId="15F7F920" w14:textId="77777777" w:rsidR="00B05C66" w:rsidRPr="001B6E4D" w:rsidRDefault="00B05C66" w:rsidP="003D1018">
            <w:pPr>
              <w:widowControl w:val="0"/>
              <w:kinsoku w:val="0"/>
              <w:overflowPunct w:val="0"/>
              <w:spacing w:line="300" w:lineRule="exact"/>
              <w:rPr>
                <w:rFonts w:ascii="標楷體" w:eastAsia="標楷體" w:hAnsi="標楷體"/>
                <w:color w:val="000000"/>
                <w:spacing w:val="-24"/>
                <w:szCs w:val="22"/>
              </w:rPr>
            </w:pPr>
            <w:r w:rsidRPr="001B6E4D">
              <w:rPr>
                <w:rFonts w:ascii="標楷體" w:eastAsia="標楷體" w:hAnsi="標楷體" w:hint="eastAsia"/>
                <w:color w:val="000000"/>
                <w:spacing w:val="-24"/>
                <w:szCs w:val="22"/>
              </w:rPr>
              <w:t>115年8月17日華總</w:t>
            </w:r>
            <w:proofErr w:type="gramStart"/>
            <w:r w:rsidRPr="001B6E4D">
              <w:rPr>
                <w:rFonts w:ascii="標楷體" w:eastAsia="標楷體" w:hAnsi="標楷體" w:hint="eastAsia"/>
                <w:color w:val="000000"/>
                <w:spacing w:val="-24"/>
                <w:szCs w:val="22"/>
              </w:rPr>
              <w:t>一義字第11500076141號</w:t>
            </w:r>
            <w:proofErr w:type="gramEnd"/>
          </w:p>
        </w:tc>
        <w:tc>
          <w:tcPr>
            <w:tcW w:w="1105" w:type="dxa"/>
          </w:tcPr>
          <w:p w14:paraId="651CEBDB" w14:textId="77777777" w:rsidR="00B05C66" w:rsidRPr="001B6E4D" w:rsidRDefault="00B05C66" w:rsidP="003D1018">
            <w:pPr>
              <w:widowControl w:val="0"/>
              <w:kinsoku w:val="0"/>
              <w:overflowPunct w:val="0"/>
              <w:spacing w:line="300" w:lineRule="exact"/>
              <w:jc w:val="both"/>
              <w:rPr>
                <w:rFonts w:ascii="標楷體" w:eastAsia="標楷體" w:hAnsi="標楷體"/>
                <w:color w:val="000000"/>
                <w:spacing w:val="-20"/>
                <w:szCs w:val="22"/>
              </w:rPr>
            </w:pPr>
            <w:r w:rsidRPr="001B6E4D">
              <w:rPr>
                <w:rFonts w:ascii="標楷體" w:eastAsia="標楷體" w:hAnsi="標楷體" w:hint="eastAsia"/>
                <w:color w:val="000000"/>
                <w:spacing w:val="-20"/>
                <w:szCs w:val="22"/>
              </w:rPr>
              <w:t>第7876號</w:t>
            </w:r>
          </w:p>
        </w:tc>
      </w:tr>
    </w:tbl>
    <w:p w14:paraId="2522414F" w14:textId="2519E4D0" w:rsidR="00A20236" w:rsidRPr="001B6E4D" w:rsidRDefault="00A20236"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63" w:name="_Toc240446530"/>
      <w:r w:rsidRPr="001B6E4D">
        <w:rPr>
          <w:rFonts w:ascii="標楷體" w:hAnsi="標楷體"/>
          <w:color w:val="000000" w:themeColor="text1"/>
          <w:szCs w:val="28"/>
          <w:shd w:val="clear" w:color="auto" w:fill="FFFFFF" w:themeFill="background1"/>
        </w:rPr>
        <w:lastRenderedPageBreak/>
        <w:t>［</w:t>
      </w:r>
      <w:r w:rsidRPr="001B6E4D">
        <w:rPr>
          <w:rFonts w:ascii="標楷體" w:hAnsi="標楷體" w:hint="eastAsia"/>
          <w:color w:val="000000" w:themeColor="text1"/>
          <w:szCs w:val="28"/>
          <w:shd w:val="clear" w:color="auto" w:fill="FFFFFF" w:themeFill="background1"/>
        </w:rPr>
        <w:t>貳</w:t>
      </w:r>
      <w:r w:rsidRPr="001B6E4D">
        <w:rPr>
          <w:rFonts w:ascii="標楷體" w:hAnsi="標楷體"/>
          <w:color w:val="000000" w:themeColor="text1"/>
          <w:szCs w:val="28"/>
          <w:shd w:val="clear" w:color="auto" w:fill="FFFFFF" w:themeFill="background1"/>
        </w:rPr>
        <w:t>］預</w:t>
      </w:r>
      <w:r w:rsidRPr="001B6E4D">
        <w:rPr>
          <w:rFonts w:ascii="標楷體" w:hAnsi="標楷體" w:hint="eastAsia"/>
          <w:color w:val="000000" w:themeColor="text1"/>
          <w:szCs w:val="28"/>
          <w:shd w:val="clear" w:color="auto" w:fill="FFFFFF" w:themeFill="background1"/>
        </w:rPr>
        <w:t>（</w:t>
      </w:r>
      <w:r w:rsidRPr="001B6E4D">
        <w:rPr>
          <w:rFonts w:ascii="標楷體" w:hAnsi="標楷體"/>
          <w:color w:val="000000" w:themeColor="text1"/>
          <w:szCs w:val="28"/>
          <w:shd w:val="clear" w:color="auto" w:fill="FFFFFF" w:themeFill="background1"/>
        </w:rPr>
        <w:t>決</w:t>
      </w:r>
      <w:r w:rsidRPr="001B6E4D">
        <w:rPr>
          <w:rFonts w:ascii="標楷體" w:hAnsi="標楷體" w:hint="eastAsia"/>
          <w:color w:val="000000" w:themeColor="text1"/>
          <w:szCs w:val="28"/>
          <w:shd w:val="clear" w:color="auto" w:fill="FFFFFF" w:themeFill="background1"/>
        </w:rPr>
        <w:t>）</w:t>
      </w:r>
      <w:r w:rsidRPr="001B6E4D">
        <w:rPr>
          <w:rFonts w:ascii="標楷體" w:hAnsi="標楷體"/>
          <w:color w:val="000000" w:themeColor="text1"/>
          <w:szCs w:val="28"/>
          <w:shd w:val="clear" w:color="auto" w:fill="FFFFFF" w:themeFill="background1"/>
        </w:rPr>
        <w:t>算案</w:t>
      </w:r>
      <w:r w:rsidR="000C644F" w:rsidRPr="001B6E4D">
        <w:rPr>
          <w:rFonts w:ascii="標楷體" w:hAnsi="標楷體"/>
          <w:color w:val="000000" w:themeColor="text1"/>
          <w:szCs w:val="28"/>
          <w:shd w:val="clear" w:color="auto" w:fill="FFFFFF" w:themeFill="background1"/>
        </w:rPr>
        <w:t>3</w:t>
      </w:r>
      <w:r w:rsidRPr="001B6E4D">
        <w:rPr>
          <w:rFonts w:ascii="標楷體" w:hAnsi="標楷體"/>
          <w:color w:val="000000" w:themeColor="text1"/>
          <w:szCs w:val="28"/>
          <w:shd w:val="clear" w:color="auto" w:fill="FFFFFF" w:themeFill="background1"/>
        </w:rPr>
        <w:t>案</w:t>
      </w:r>
      <w:bookmarkStart w:id="164" w:name="_Hlk174524656"/>
      <w:bookmarkEnd w:id="163"/>
    </w:p>
    <w:p w14:paraId="6D3CCFCB" w14:textId="77777777" w:rsidR="000E31F5" w:rsidRPr="001B6E4D" w:rsidRDefault="00A20236" w:rsidP="003D1018">
      <w:pPr>
        <w:pStyle w:val="affffff0"/>
        <w:kinsoku w:val="0"/>
        <w:overflowPunct w:val="0"/>
        <w:topLinePunct/>
        <w:spacing w:before="180" w:after="180"/>
        <w:ind w:leftChars="128" w:left="307" w:firstLineChars="200" w:firstLine="561"/>
        <w:rPr>
          <w:color w:val="000000" w:themeColor="text1"/>
          <w:szCs w:val="28"/>
          <w:shd w:val="clear" w:color="auto" w:fill="FFFFFF" w:themeFill="background1"/>
        </w:rPr>
      </w:pPr>
      <w:bookmarkStart w:id="165" w:name="_Toc240446531"/>
      <w:bookmarkStart w:id="166" w:name="_Hlk221011482"/>
      <w:bookmarkStart w:id="167" w:name="_Hlk188026849"/>
      <w:bookmarkStart w:id="168" w:name="_Hlk204095682"/>
      <w:r w:rsidRPr="001B6E4D">
        <w:rPr>
          <w:rFonts w:hint="eastAsia"/>
          <w:color w:val="000000" w:themeColor="text1"/>
          <w:szCs w:val="28"/>
          <w:shd w:val="clear" w:color="auto" w:fill="FFFFFF" w:themeFill="background1"/>
        </w:rPr>
        <w:t>一</w:t>
      </w:r>
      <w:r w:rsidRPr="001B6E4D">
        <w:rPr>
          <w:color w:val="000000" w:themeColor="text1"/>
          <w:szCs w:val="28"/>
          <w:shd w:val="clear" w:color="auto" w:fill="FFFFFF" w:themeFill="background1"/>
        </w:rPr>
        <w:t>、</w:t>
      </w:r>
      <w:r w:rsidR="000C644F" w:rsidRPr="001B6E4D">
        <w:rPr>
          <w:rFonts w:hint="eastAsia"/>
          <w:color w:val="000000" w:themeColor="text1"/>
          <w:szCs w:val="28"/>
          <w:shd w:val="clear" w:color="auto" w:fill="FFFFFF" w:themeFill="background1"/>
        </w:rPr>
        <w:t>總</w:t>
      </w:r>
      <w:r w:rsidRPr="001B6E4D">
        <w:rPr>
          <w:color w:val="000000" w:themeColor="text1"/>
          <w:szCs w:val="28"/>
          <w:shd w:val="clear" w:color="auto" w:fill="FFFFFF" w:themeFill="background1"/>
        </w:rPr>
        <w:t>預算案</w:t>
      </w:r>
      <w:r w:rsidR="000C644F" w:rsidRPr="001B6E4D">
        <w:rPr>
          <w:rFonts w:hint="eastAsia"/>
          <w:color w:val="000000" w:themeColor="text1"/>
          <w:szCs w:val="28"/>
          <w:shd w:val="clear" w:color="auto" w:fill="FFFFFF" w:themeFill="background1"/>
        </w:rPr>
        <w:t>1</w:t>
      </w:r>
      <w:r w:rsidRPr="001B6E4D">
        <w:rPr>
          <w:color w:val="000000" w:themeColor="text1"/>
          <w:szCs w:val="28"/>
          <w:shd w:val="clear" w:color="auto" w:fill="FFFFFF" w:themeFill="background1"/>
        </w:rPr>
        <w:t>案</w:t>
      </w:r>
      <w:bookmarkEnd w:id="165"/>
    </w:p>
    <w:tbl>
      <w:tblPr>
        <w:tblW w:w="8700" w:type="dxa"/>
        <w:tblInd w:w="52"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624"/>
        <w:gridCol w:w="1842"/>
        <w:gridCol w:w="1558"/>
        <w:gridCol w:w="1430"/>
        <w:gridCol w:w="1829"/>
        <w:gridCol w:w="1417"/>
      </w:tblGrid>
      <w:tr w:rsidR="000E31F5" w:rsidRPr="001B6E4D" w14:paraId="583904B1" w14:textId="77777777" w:rsidTr="00882D1E">
        <w:tc>
          <w:tcPr>
            <w:tcW w:w="624" w:type="dxa"/>
            <w:hideMark/>
          </w:tcPr>
          <w:p w14:paraId="50FC9728" w14:textId="77777777" w:rsidR="000E31F5" w:rsidRPr="001B6E4D" w:rsidRDefault="000E31F5" w:rsidP="003D1018">
            <w:pPr>
              <w:widowControl w:val="0"/>
              <w:overflowPunct w:val="0"/>
              <w:adjustRightInd w:val="0"/>
              <w:snapToGrid w:val="0"/>
              <w:spacing w:line="260" w:lineRule="exact"/>
              <w:jc w:val="center"/>
              <w:rPr>
                <w:rFonts w:ascii="標楷體" w:eastAsia="標楷體" w:hAnsi="標楷體"/>
                <w:b/>
                <w:szCs w:val="22"/>
              </w:rPr>
            </w:pPr>
            <w:r w:rsidRPr="001B6E4D">
              <w:rPr>
                <w:rFonts w:ascii="標楷體" w:eastAsia="標楷體" w:hAnsi="標楷體" w:hint="eastAsia"/>
                <w:b/>
                <w:szCs w:val="22"/>
              </w:rPr>
              <w:t>序號</w:t>
            </w:r>
          </w:p>
        </w:tc>
        <w:tc>
          <w:tcPr>
            <w:tcW w:w="1842" w:type="dxa"/>
            <w:hideMark/>
          </w:tcPr>
          <w:p w14:paraId="053FAF7A" w14:textId="77777777" w:rsidR="000E31F5" w:rsidRPr="001B6E4D" w:rsidRDefault="000E31F5" w:rsidP="003D1018">
            <w:pPr>
              <w:widowControl w:val="0"/>
              <w:overflowPunct w:val="0"/>
              <w:spacing w:line="280" w:lineRule="exact"/>
              <w:ind w:leftChars="-45" w:left="-108" w:rightChars="-45" w:right="-108"/>
              <w:jc w:val="center"/>
              <w:rPr>
                <w:rFonts w:ascii="標楷體" w:eastAsia="標楷體" w:hAnsi="標楷體"/>
                <w:b/>
                <w:szCs w:val="22"/>
              </w:rPr>
            </w:pPr>
            <w:r w:rsidRPr="001B6E4D">
              <w:rPr>
                <w:rFonts w:ascii="標楷體" w:eastAsia="標楷體" w:hAnsi="標楷體" w:hint="eastAsia"/>
                <w:b/>
                <w:szCs w:val="22"/>
              </w:rPr>
              <w:t>議案名稱</w:t>
            </w:r>
          </w:p>
        </w:tc>
        <w:tc>
          <w:tcPr>
            <w:tcW w:w="1558" w:type="dxa"/>
            <w:hideMark/>
          </w:tcPr>
          <w:p w14:paraId="773B9BE8" w14:textId="77777777" w:rsidR="000E31F5" w:rsidRPr="001B6E4D" w:rsidRDefault="000E31F5" w:rsidP="003D1018">
            <w:pPr>
              <w:widowControl w:val="0"/>
              <w:overflowPunct w:val="0"/>
              <w:spacing w:line="280" w:lineRule="exact"/>
              <w:jc w:val="center"/>
              <w:rPr>
                <w:rFonts w:ascii="標楷體" w:eastAsia="標楷體" w:hAnsi="標楷體"/>
                <w:b/>
                <w:szCs w:val="22"/>
              </w:rPr>
            </w:pPr>
            <w:r w:rsidRPr="001B6E4D">
              <w:rPr>
                <w:rFonts w:ascii="標楷體" w:eastAsia="標楷體" w:hAnsi="標楷體" w:hint="eastAsia"/>
                <w:b/>
                <w:szCs w:val="22"/>
              </w:rPr>
              <w:t>提案機關</w:t>
            </w:r>
          </w:p>
          <w:p w14:paraId="44D90326" w14:textId="77777777" w:rsidR="000E31F5" w:rsidRPr="001B6E4D" w:rsidRDefault="000E31F5" w:rsidP="003D1018">
            <w:pPr>
              <w:widowControl w:val="0"/>
              <w:overflowPunct w:val="0"/>
              <w:spacing w:line="280" w:lineRule="exact"/>
              <w:jc w:val="center"/>
              <w:rPr>
                <w:rFonts w:ascii="標楷體" w:eastAsia="標楷體" w:hAnsi="標楷體"/>
                <w:b/>
                <w:szCs w:val="22"/>
              </w:rPr>
            </w:pPr>
            <w:r w:rsidRPr="001B6E4D">
              <w:rPr>
                <w:rFonts w:ascii="標楷體" w:eastAsia="標楷體" w:hAnsi="標楷體" w:hint="eastAsia"/>
                <w:b/>
                <w:spacing w:val="-20"/>
                <w:szCs w:val="22"/>
              </w:rPr>
              <w:t>院會交付日期</w:t>
            </w:r>
            <w:r w:rsidRPr="001B6E4D">
              <w:rPr>
                <w:rFonts w:ascii="標楷體" w:eastAsia="標楷體" w:hAnsi="標楷體" w:hint="eastAsia"/>
                <w:b/>
                <w:szCs w:val="22"/>
              </w:rPr>
              <w:t>（會次）</w:t>
            </w:r>
          </w:p>
        </w:tc>
        <w:tc>
          <w:tcPr>
            <w:tcW w:w="1430" w:type="dxa"/>
            <w:hideMark/>
          </w:tcPr>
          <w:p w14:paraId="545AA9FC" w14:textId="77777777" w:rsidR="000E31F5" w:rsidRPr="001B6E4D" w:rsidRDefault="000E31F5" w:rsidP="003D1018">
            <w:pPr>
              <w:widowControl w:val="0"/>
              <w:overflowPunct w:val="0"/>
              <w:spacing w:line="300" w:lineRule="exact"/>
              <w:jc w:val="center"/>
              <w:rPr>
                <w:rFonts w:ascii="標楷體" w:eastAsia="標楷體" w:hAnsi="標楷體"/>
                <w:b/>
                <w:szCs w:val="22"/>
              </w:rPr>
            </w:pPr>
            <w:r w:rsidRPr="001B6E4D">
              <w:rPr>
                <w:rFonts w:ascii="標楷體" w:eastAsia="標楷體" w:hAnsi="標楷體" w:hint="eastAsia"/>
                <w:b/>
                <w:szCs w:val="22"/>
              </w:rPr>
              <w:t>審查委員會</w:t>
            </w:r>
          </w:p>
          <w:p w14:paraId="353818F1" w14:textId="77777777" w:rsidR="000E31F5" w:rsidRPr="001B6E4D" w:rsidRDefault="000E31F5" w:rsidP="003D1018">
            <w:pPr>
              <w:widowControl w:val="0"/>
              <w:overflowPunct w:val="0"/>
              <w:spacing w:line="300" w:lineRule="exact"/>
              <w:jc w:val="center"/>
              <w:rPr>
                <w:rFonts w:ascii="標楷體" w:eastAsia="標楷體" w:hAnsi="標楷體"/>
                <w:b/>
                <w:szCs w:val="22"/>
              </w:rPr>
            </w:pPr>
            <w:r w:rsidRPr="001B6E4D">
              <w:rPr>
                <w:rFonts w:ascii="標楷體" w:eastAsia="標楷體" w:hAnsi="標楷體" w:hint="eastAsia"/>
                <w:b/>
                <w:szCs w:val="22"/>
              </w:rPr>
              <w:t>院會說明人</w:t>
            </w:r>
          </w:p>
        </w:tc>
        <w:tc>
          <w:tcPr>
            <w:tcW w:w="3246" w:type="dxa"/>
            <w:gridSpan w:val="2"/>
            <w:hideMark/>
          </w:tcPr>
          <w:p w14:paraId="44219AB6" w14:textId="77777777" w:rsidR="000E31F5" w:rsidRPr="001B6E4D" w:rsidRDefault="000E31F5" w:rsidP="003D1018">
            <w:pPr>
              <w:widowControl w:val="0"/>
              <w:overflowPunct w:val="0"/>
              <w:spacing w:line="260" w:lineRule="exact"/>
              <w:jc w:val="center"/>
              <w:rPr>
                <w:rFonts w:ascii="標楷體" w:eastAsia="標楷體" w:hAnsi="標楷體"/>
                <w:b/>
                <w:szCs w:val="22"/>
              </w:rPr>
            </w:pPr>
            <w:r w:rsidRPr="001B6E4D">
              <w:rPr>
                <w:rFonts w:ascii="標楷體" w:eastAsia="標楷體" w:hAnsi="標楷體" w:hint="eastAsia"/>
                <w:b/>
                <w:szCs w:val="22"/>
              </w:rPr>
              <w:t>審查、審議情形</w:t>
            </w:r>
          </w:p>
        </w:tc>
      </w:tr>
      <w:tr w:rsidR="000E31F5" w:rsidRPr="001B6E4D" w14:paraId="4856A38B" w14:textId="77777777" w:rsidTr="00882D1E">
        <w:trPr>
          <w:trHeight w:val="228"/>
        </w:trPr>
        <w:tc>
          <w:tcPr>
            <w:tcW w:w="624" w:type="dxa"/>
            <w:vMerge w:val="restart"/>
          </w:tcPr>
          <w:p w14:paraId="1E75EC92" w14:textId="77777777" w:rsidR="000E31F5" w:rsidRPr="001B6E4D" w:rsidRDefault="000E31F5" w:rsidP="003D1018">
            <w:pPr>
              <w:widowControl w:val="0"/>
              <w:overflowPunct w:val="0"/>
              <w:adjustRightInd w:val="0"/>
              <w:snapToGrid w:val="0"/>
              <w:spacing w:line="260" w:lineRule="exact"/>
              <w:jc w:val="center"/>
              <w:rPr>
                <w:rFonts w:ascii="標楷體" w:eastAsia="標楷體" w:hAnsi="標楷體"/>
                <w:szCs w:val="22"/>
              </w:rPr>
            </w:pPr>
            <w:r w:rsidRPr="001B6E4D">
              <w:rPr>
                <w:rFonts w:ascii="標楷體" w:eastAsia="標楷體" w:hAnsi="標楷體"/>
                <w:szCs w:val="22"/>
              </w:rPr>
              <w:t>1</w:t>
            </w:r>
          </w:p>
        </w:tc>
        <w:tc>
          <w:tcPr>
            <w:tcW w:w="1842" w:type="dxa"/>
            <w:vMerge w:val="restart"/>
          </w:tcPr>
          <w:p w14:paraId="2D015097" w14:textId="77777777" w:rsidR="000E31F5" w:rsidRPr="001B6E4D" w:rsidRDefault="000E31F5" w:rsidP="003D1018">
            <w:pPr>
              <w:widowControl w:val="0"/>
              <w:kinsoku w:val="0"/>
              <w:overflowPunct w:val="0"/>
              <w:spacing w:line="300" w:lineRule="exact"/>
              <w:ind w:rightChars="-45" w:right="-108"/>
              <w:rPr>
                <w:rFonts w:ascii="標楷體" w:eastAsia="標楷體" w:hAnsi="標楷體"/>
                <w:color w:val="000000"/>
                <w:kern w:val="0"/>
                <w:szCs w:val="22"/>
              </w:rPr>
            </w:pPr>
            <w:r w:rsidRPr="001B6E4D">
              <w:rPr>
                <w:rFonts w:ascii="標楷體" w:eastAsia="標楷體" w:hAnsi="標楷體" w:hint="eastAsia"/>
                <w:color w:val="000000"/>
                <w:kern w:val="0"/>
                <w:szCs w:val="22"/>
              </w:rPr>
              <w:t>中華民國</w:t>
            </w:r>
            <w:proofErr w:type="gramStart"/>
            <w:r w:rsidRPr="001B6E4D">
              <w:rPr>
                <w:rFonts w:ascii="標楷體" w:eastAsia="標楷體" w:hAnsi="標楷體" w:hint="eastAsia"/>
                <w:color w:val="000000"/>
                <w:kern w:val="0"/>
                <w:szCs w:val="22"/>
              </w:rPr>
              <w:t>11</w:t>
            </w:r>
            <w:r w:rsidRPr="001B6E4D">
              <w:rPr>
                <w:rFonts w:ascii="標楷體" w:eastAsia="標楷體" w:hAnsi="標楷體"/>
                <w:color w:val="000000"/>
                <w:kern w:val="0"/>
                <w:szCs w:val="22"/>
              </w:rPr>
              <w:t>5</w:t>
            </w:r>
            <w:proofErr w:type="gramEnd"/>
            <w:r w:rsidRPr="001B6E4D">
              <w:rPr>
                <w:rFonts w:ascii="標楷體" w:eastAsia="標楷體" w:hAnsi="標楷體" w:hint="eastAsia"/>
                <w:color w:val="000000"/>
                <w:kern w:val="0"/>
                <w:szCs w:val="22"/>
              </w:rPr>
              <w:t>年度中央政府總預算案（公務預算部分）</w:t>
            </w:r>
          </w:p>
        </w:tc>
        <w:tc>
          <w:tcPr>
            <w:tcW w:w="1558" w:type="dxa"/>
            <w:vMerge w:val="restart"/>
          </w:tcPr>
          <w:p w14:paraId="267D897F" w14:textId="77777777" w:rsidR="000E31F5" w:rsidRPr="001B6E4D" w:rsidRDefault="000E31F5" w:rsidP="003D1018">
            <w:pPr>
              <w:widowControl w:val="0"/>
              <w:overflowPunct w:val="0"/>
              <w:spacing w:line="28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行政院</w:t>
            </w:r>
          </w:p>
          <w:p w14:paraId="3910A268" w14:textId="77777777" w:rsidR="000E31F5" w:rsidRPr="001B6E4D" w:rsidRDefault="000E31F5" w:rsidP="003D1018">
            <w:pPr>
              <w:widowControl w:val="0"/>
              <w:overflowPunct w:val="0"/>
              <w:spacing w:line="280" w:lineRule="exact"/>
              <w:rPr>
                <w:rFonts w:ascii="標楷體" w:eastAsia="標楷體" w:hAnsi="標楷體"/>
                <w:color w:val="000000"/>
                <w:kern w:val="0"/>
                <w:szCs w:val="22"/>
              </w:rPr>
            </w:pPr>
            <w:r w:rsidRPr="001B6E4D">
              <w:rPr>
                <w:rFonts w:ascii="標楷體" w:eastAsia="標楷體" w:hAnsi="標楷體"/>
                <w:color w:val="000000"/>
                <w:kern w:val="0"/>
                <w:szCs w:val="22"/>
              </w:rPr>
              <w:t>114.9.30</w:t>
            </w:r>
          </w:p>
          <w:p w14:paraId="4E333E61" w14:textId="77777777" w:rsidR="000E31F5" w:rsidRPr="001B6E4D" w:rsidRDefault="000E31F5" w:rsidP="003D1018">
            <w:pPr>
              <w:widowControl w:val="0"/>
              <w:overflowPunct w:val="0"/>
              <w:spacing w:line="280" w:lineRule="exact"/>
              <w:rPr>
                <w:rFonts w:ascii="標楷體" w:eastAsia="標楷體" w:hAnsi="標楷體"/>
                <w:color w:val="000000"/>
                <w:kern w:val="0"/>
                <w:szCs w:val="22"/>
              </w:rPr>
            </w:pPr>
            <w:r w:rsidRPr="001B6E4D">
              <w:rPr>
                <w:rFonts w:ascii="標楷體" w:eastAsia="標楷體" w:hAnsi="標楷體" w:hint="eastAsia"/>
                <w:color w:val="000000"/>
                <w:kern w:val="0"/>
                <w:szCs w:val="22"/>
              </w:rPr>
              <w:t>（11-4-2）</w:t>
            </w:r>
          </w:p>
          <w:p w14:paraId="1EECFDD6" w14:textId="77777777" w:rsidR="000E31F5" w:rsidRPr="001B6E4D" w:rsidRDefault="000E31F5" w:rsidP="003D1018">
            <w:pPr>
              <w:widowControl w:val="0"/>
              <w:overflowPunct w:val="0"/>
              <w:spacing w:line="260" w:lineRule="exact"/>
              <w:ind w:rightChars="-45" w:right="-108"/>
              <w:rPr>
                <w:rFonts w:ascii="標楷體" w:eastAsia="標楷體" w:hAnsi="標楷體"/>
                <w:kern w:val="0"/>
                <w:szCs w:val="22"/>
              </w:rPr>
            </w:pPr>
            <w:r w:rsidRPr="001B6E4D">
              <w:rPr>
                <w:rFonts w:ascii="標楷體" w:eastAsia="標楷體" w:hAnsi="標楷體" w:hint="eastAsia"/>
                <w:color w:val="000000"/>
                <w:kern w:val="0"/>
                <w:szCs w:val="22"/>
              </w:rPr>
              <w:t>（11-4-3提出復議，11-5-7撤回復議）</w:t>
            </w:r>
          </w:p>
        </w:tc>
        <w:tc>
          <w:tcPr>
            <w:tcW w:w="1430" w:type="dxa"/>
            <w:vMerge w:val="restart"/>
          </w:tcPr>
          <w:p w14:paraId="04D2B21E" w14:textId="77777777" w:rsidR="000E31F5" w:rsidRPr="001B6E4D" w:rsidRDefault="000E31F5" w:rsidP="003D1018">
            <w:pPr>
              <w:widowControl w:val="0"/>
              <w:overflowPunct w:val="0"/>
              <w:spacing w:line="300" w:lineRule="exact"/>
              <w:rPr>
                <w:rFonts w:ascii="標楷體" w:eastAsia="標楷體" w:hAnsi="標楷體"/>
                <w:kern w:val="0"/>
                <w:szCs w:val="22"/>
              </w:rPr>
            </w:pPr>
            <w:r w:rsidRPr="001B6E4D">
              <w:rPr>
                <w:rFonts w:ascii="標楷體" w:eastAsia="標楷體" w:hAnsi="標楷體" w:hint="eastAsia"/>
                <w:kern w:val="0"/>
                <w:szCs w:val="22"/>
              </w:rPr>
              <w:t>司法及法制</w:t>
            </w:r>
          </w:p>
          <w:p w14:paraId="2207E54B" w14:textId="77777777" w:rsidR="000E31F5" w:rsidRPr="001B6E4D" w:rsidRDefault="000E31F5" w:rsidP="003D1018">
            <w:pPr>
              <w:widowControl w:val="0"/>
              <w:overflowPunct w:val="0"/>
              <w:spacing w:line="300" w:lineRule="exact"/>
              <w:rPr>
                <w:rFonts w:ascii="標楷體" w:eastAsia="標楷體" w:hAnsi="標楷體"/>
                <w:kern w:val="0"/>
                <w:szCs w:val="22"/>
              </w:rPr>
            </w:pPr>
            <w:r w:rsidRPr="001B6E4D">
              <w:rPr>
                <w:rFonts w:ascii="標楷體" w:eastAsia="標楷體" w:hAnsi="標楷體" w:hint="eastAsia"/>
                <w:kern w:val="0"/>
                <w:szCs w:val="22"/>
              </w:rPr>
              <w:t>莊召集委員瑞雄</w:t>
            </w:r>
          </w:p>
        </w:tc>
        <w:tc>
          <w:tcPr>
            <w:tcW w:w="1829" w:type="dxa"/>
          </w:tcPr>
          <w:p w14:paraId="23F43129"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115.5.4</w:t>
            </w:r>
          </w:p>
          <w:p w14:paraId="5018D19B" w14:textId="59C82614"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（11-5-11）、</w:t>
            </w:r>
          </w:p>
          <w:p w14:paraId="632DF5FB"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115.5.18</w:t>
            </w:r>
          </w:p>
          <w:p w14:paraId="754293BE"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（11-5-14）</w:t>
            </w:r>
          </w:p>
          <w:p w14:paraId="162AE001"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審竣司法院及所屬主管收支部分，須交由黨團協商。</w:t>
            </w:r>
          </w:p>
        </w:tc>
        <w:tc>
          <w:tcPr>
            <w:tcW w:w="1417" w:type="dxa"/>
            <w:vMerge w:val="restart"/>
          </w:tcPr>
          <w:p w14:paraId="05E04322" w14:textId="77777777" w:rsidR="000E31F5" w:rsidRPr="001B6E4D" w:rsidRDefault="000E31F5"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1.115.7.9黨團協商。</w:t>
            </w:r>
          </w:p>
          <w:p w14:paraId="077C2EBF" w14:textId="77777777" w:rsidR="000E31F5" w:rsidRPr="001B6E4D" w:rsidRDefault="000E31F5"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2.115.7.29黨團協商。</w:t>
            </w:r>
          </w:p>
          <w:p w14:paraId="4219FC20" w14:textId="77777777" w:rsidR="000E31F5" w:rsidRPr="001B6E4D" w:rsidRDefault="000E31F5"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3.115.7.30黨團協商。</w:t>
            </w:r>
          </w:p>
          <w:p w14:paraId="79EA2DF0" w14:textId="77777777" w:rsidR="000E31F5" w:rsidRPr="001B6E4D" w:rsidRDefault="000E31F5"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4.115.7.31黨團協商。</w:t>
            </w:r>
          </w:p>
          <w:p w14:paraId="27F159FC" w14:textId="77777777" w:rsidR="000E31F5" w:rsidRPr="001B6E4D" w:rsidRDefault="000E31F5"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5.115.8.4黨團協商。</w:t>
            </w:r>
          </w:p>
          <w:p w14:paraId="7115CD85" w14:textId="77777777" w:rsidR="000E31F5" w:rsidRPr="001B6E4D" w:rsidRDefault="000E31F5"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6.115.8.6黨團協商。</w:t>
            </w:r>
          </w:p>
          <w:p w14:paraId="6C7A5143" w14:textId="77777777" w:rsidR="000E31F5" w:rsidRPr="001B6E4D" w:rsidRDefault="000E31F5"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7.115.8.11黨團協商。</w:t>
            </w:r>
          </w:p>
          <w:p w14:paraId="2B8C718D" w14:textId="77777777" w:rsidR="000E31F5" w:rsidRPr="001B6E4D" w:rsidRDefault="000E31F5"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spacing w:val="-12"/>
                <w:kern w:val="0"/>
                <w:szCs w:val="22"/>
              </w:rPr>
              <w:t>8</w:t>
            </w:r>
            <w:r w:rsidRPr="001B6E4D">
              <w:rPr>
                <w:rFonts w:ascii="標楷體" w:eastAsia="標楷體" w:hAnsi="標楷體" w:hint="eastAsia"/>
                <w:spacing w:val="-12"/>
                <w:kern w:val="0"/>
                <w:szCs w:val="22"/>
              </w:rPr>
              <w:t>.院會</w:t>
            </w:r>
          </w:p>
          <w:p w14:paraId="45ECEB97" w14:textId="77777777" w:rsidR="000E31F5" w:rsidRPr="001B6E4D" w:rsidRDefault="000E31F5"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spacing w:val="-12"/>
                <w:kern w:val="0"/>
                <w:szCs w:val="22"/>
              </w:rPr>
              <w:t>115.8.</w:t>
            </w:r>
            <w:r w:rsidRPr="001B6E4D">
              <w:rPr>
                <w:rFonts w:ascii="標楷體" w:eastAsia="標楷體" w:hAnsi="標楷體" w:hint="eastAsia"/>
                <w:spacing w:val="-12"/>
                <w:kern w:val="0"/>
                <w:szCs w:val="22"/>
              </w:rPr>
              <w:t>14</w:t>
            </w:r>
          </w:p>
          <w:p w14:paraId="2D16D0A1" w14:textId="77777777" w:rsidR="000E31F5" w:rsidRPr="001B6E4D" w:rsidRDefault="000E31F5" w:rsidP="003D1018">
            <w:pPr>
              <w:widowControl w:val="0"/>
              <w:overflowPunct w:val="0"/>
              <w:adjustRightInd w:val="0"/>
              <w:snapToGrid w:val="0"/>
              <w:spacing w:line="300" w:lineRule="exact"/>
              <w:jc w:val="both"/>
              <w:rPr>
                <w:rFonts w:ascii="標楷體" w:eastAsia="標楷體" w:hAnsi="標楷體"/>
                <w:spacing w:val="-12"/>
                <w:kern w:val="0"/>
                <w:szCs w:val="22"/>
              </w:rPr>
            </w:pPr>
            <w:r w:rsidRPr="001B6E4D">
              <w:rPr>
                <w:rFonts w:ascii="標楷體" w:eastAsia="標楷體" w:hAnsi="標楷體" w:hint="eastAsia"/>
                <w:spacing w:val="-12"/>
                <w:kern w:val="0"/>
                <w:szCs w:val="22"/>
              </w:rPr>
              <w:t>(11-</w:t>
            </w:r>
            <w:r w:rsidRPr="001B6E4D">
              <w:rPr>
                <w:rFonts w:ascii="標楷體" w:eastAsia="標楷體" w:hAnsi="標楷體"/>
                <w:spacing w:val="-12"/>
                <w:kern w:val="0"/>
                <w:szCs w:val="22"/>
              </w:rPr>
              <w:t>5</w:t>
            </w:r>
            <w:r w:rsidRPr="001B6E4D">
              <w:rPr>
                <w:rFonts w:ascii="標楷體" w:eastAsia="標楷體" w:hAnsi="標楷體" w:hint="eastAsia"/>
                <w:spacing w:val="-12"/>
                <w:kern w:val="0"/>
                <w:szCs w:val="22"/>
              </w:rPr>
              <w:t>-</w:t>
            </w:r>
            <w:r w:rsidRPr="001B6E4D">
              <w:rPr>
                <w:rFonts w:ascii="標楷體" w:eastAsia="標楷體" w:hAnsi="標楷體"/>
                <w:spacing w:val="-12"/>
                <w:kern w:val="0"/>
                <w:szCs w:val="22"/>
              </w:rPr>
              <w:t>22</w:t>
            </w:r>
            <w:r w:rsidRPr="001B6E4D">
              <w:rPr>
                <w:rFonts w:ascii="標楷體" w:eastAsia="標楷體" w:hAnsi="標楷體" w:hint="eastAsia"/>
                <w:spacing w:val="-12"/>
                <w:kern w:val="0"/>
                <w:szCs w:val="22"/>
              </w:rPr>
              <w:t>)三讀通過。</w:t>
            </w:r>
          </w:p>
          <w:p w14:paraId="49F189A0" w14:textId="6A6E4791" w:rsidR="00047DBA" w:rsidRPr="00047DBA" w:rsidRDefault="00047DBA" w:rsidP="00047DBA">
            <w:pPr>
              <w:widowControl w:val="0"/>
              <w:overflowPunct w:val="0"/>
              <w:adjustRightInd w:val="0"/>
              <w:snapToGrid w:val="0"/>
              <w:spacing w:line="300" w:lineRule="exact"/>
              <w:jc w:val="both"/>
              <w:rPr>
                <w:rFonts w:ascii="標楷體" w:eastAsia="標楷體" w:hAnsi="標楷體"/>
                <w:spacing w:val="-12"/>
                <w:kern w:val="0"/>
                <w:szCs w:val="22"/>
              </w:rPr>
            </w:pPr>
            <w:r w:rsidRPr="00047DBA">
              <w:rPr>
                <w:rFonts w:ascii="標楷體" w:eastAsia="標楷體" w:hAnsi="標楷體"/>
                <w:spacing w:val="-12"/>
                <w:kern w:val="0"/>
                <w:szCs w:val="22"/>
              </w:rPr>
              <w:t>9</w:t>
            </w:r>
            <w:r w:rsidRPr="00047DBA">
              <w:rPr>
                <w:rFonts w:ascii="標楷體" w:eastAsia="標楷體" w:hAnsi="標楷體" w:hint="eastAsia"/>
                <w:spacing w:val="-12"/>
                <w:kern w:val="0"/>
                <w:szCs w:val="22"/>
              </w:rPr>
              <w:t>.本院咨文日期及文號：115年9月17日台立院議字第</w:t>
            </w:r>
            <w:r w:rsidRPr="00047DBA">
              <w:rPr>
                <w:rFonts w:ascii="標楷體" w:eastAsia="標楷體" w:hAnsi="標楷體"/>
                <w:spacing w:val="-12"/>
                <w:kern w:val="0"/>
                <w:szCs w:val="22"/>
              </w:rPr>
              <w:t>1150703304</w:t>
            </w:r>
            <w:r w:rsidRPr="00047DBA">
              <w:rPr>
                <w:rFonts w:ascii="標楷體" w:eastAsia="標楷體" w:hAnsi="標楷體" w:hint="eastAsia"/>
                <w:spacing w:val="-12"/>
                <w:kern w:val="0"/>
                <w:szCs w:val="22"/>
              </w:rPr>
              <w:t>號</w:t>
            </w:r>
            <w:r>
              <w:rPr>
                <w:rFonts w:ascii="標楷體" w:eastAsia="標楷體" w:hAnsi="標楷體" w:hint="eastAsia"/>
                <w:spacing w:val="-12"/>
                <w:kern w:val="0"/>
                <w:szCs w:val="22"/>
              </w:rPr>
              <w:t>。</w:t>
            </w:r>
          </w:p>
          <w:p w14:paraId="6203D6DC" w14:textId="3387638F" w:rsidR="000E31F5" w:rsidRPr="001B6E4D" w:rsidRDefault="00493352" w:rsidP="003D1018">
            <w:pPr>
              <w:widowControl w:val="0"/>
              <w:overflowPunct w:val="0"/>
              <w:adjustRightInd w:val="0"/>
              <w:snapToGrid w:val="0"/>
              <w:spacing w:line="300" w:lineRule="exact"/>
              <w:jc w:val="both"/>
              <w:rPr>
                <w:rFonts w:ascii="標楷體" w:eastAsia="標楷體" w:hAnsi="標楷體"/>
                <w:spacing w:val="-12"/>
                <w:kern w:val="0"/>
                <w:szCs w:val="22"/>
              </w:rPr>
            </w:pPr>
            <w:r w:rsidRPr="00FC68F7">
              <w:rPr>
                <w:rFonts w:ascii="標楷體" w:eastAsia="標楷體" w:hAnsi="標楷體"/>
                <w:spacing w:val="-12"/>
                <w:kern w:val="0"/>
                <w:szCs w:val="22"/>
              </w:rPr>
              <w:t>10</w:t>
            </w:r>
            <w:r w:rsidRPr="00FC68F7">
              <w:rPr>
                <w:rFonts w:ascii="標楷體" w:eastAsia="標楷體" w:hAnsi="標楷體" w:hint="eastAsia"/>
                <w:spacing w:val="-12"/>
                <w:kern w:val="0"/>
                <w:szCs w:val="22"/>
              </w:rPr>
              <w:t>.總統公布日期及文號，總統府公報：</w:t>
            </w:r>
            <w:r w:rsidRPr="00FC68F7">
              <w:rPr>
                <w:rFonts w:ascii="標楷體" w:eastAsia="標楷體" w:hAnsi="標楷體" w:hint="eastAsia"/>
                <w:spacing w:val="-16"/>
                <w:kern w:val="0"/>
                <w:szCs w:val="22"/>
              </w:rPr>
              <w:t>115年9月18日</w:t>
            </w:r>
            <w:r w:rsidRPr="00FC68F7">
              <w:rPr>
                <w:rFonts w:ascii="標楷體" w:eastAsia="標楷體" w:hAnsi="標楷體" w:hint="eastAsia"/>
                <w:spacing w:val="-22"/>
                <w:kern w:val="0"/>
                <w:szCs w:val="22"/>
              </w:rPr>
              <w:t>華總一經字第11500092741號</w:t>
            </w:r>
            <w:r w:rsidRPr="00FC68F7">
              <w:rPr>
                <w:rFonts w:ascii="標楷體" w:eastAsia="標楷體" w:hAnsi="標楷體" w:hint="eastAsia"/>
                <w:spacing w:val="-16"/>
                <w:kern w:val="0"/>
                <w:szCs w:val="22"/>
              </w:rPr>
              <w:t>，第7883號</w:t>
            </w:r>
            <w:r>
              <w:rPr>
                <w:rFonts w:ascii="標楷體" w:eastAsia="標楷體" w:hAnsi="標楷體" w:hint="eastAsia"/>
                <w:spacing w:val="-16"/>
                <w:kern w:val="0"/>
                <w:szCs w:val="22"/>
              </w:rPr>
              <w:t>。</w:t>
            </w:r>
          </w:p>
        </w:tc>
      </w:tr>
      <w:tr w:rsidR="000E31F5" w:rsidRPr="001B6E4D" w14:paraId="6AA0FC0A" w14:textId="77777777" w:rsidTr="00882D1E">
        <w:trPr>
          <w:trHeight w:val="228"/>
        </w:trPr>
        <w:tc>
          <w:tcPr>
            <w:tcW w:w="624" w:type="dxa"/>
            <w:vMerge/>
          </w:tcPr>
          <w:p w14:paraId="3ECCDB5F" w14:textId="77777777" w:rsidR="000E31F5" w:rsidRPr="001B6E4D" w:rsidRDefault="000E31F5"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5408971D" w14:textId="77777777" w:rsidR="000E31F5" w:rsidRPr="001B6E4D" w:rsidRDefault="000E31F5"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689A17F0" w14:textId="77777777" w:rsidR="000E31F5" w:rsidRPr="001B6E4D" w:rsidRDefault="000E31F5" w:rsidP="003D1018">
            <w:pPr>
              <w:widowControl w:val="0"/>
              <w:kinsoku w:val="0"/>
              <w:overflowPunct w:val="0"/>
              <w:topLinePunct/>
              <w:spacing w:line="300" w:lineRule="exact"/>
              <w:rPr>
                <w:rFonts w:ascii="標楷體" w:eastAsia="標楷體" w:hAnsi="標楷體"/>
                <w:szCs w:val="22"/>
              </w:rPr>
            </w:pPr>
          </w:p>
        </w:tc>
        <w:tc>
          <w:tcPr>
            <w:tcW w:w="1430" w:type="dxa"/>
            <w:vMerge/>
          </w:tcPr>
          <w:p w14:paraId="7A953B4F" w14:textId="77777777" w:rsidR="000E31F5" w:rsidRPr="001B6E4D" w:rsidRDefault="000E31F5" w:rsidP="003D1018">
            <w:pPr>
              <w:widowControl w:val="0"/>
              <w:overflowPunct w:val="0"/>
              <w:spacing w:line="300" w:lineRule="exact"/>
              <w:rPr>
                <w:rFonts w:ascii="標楷體" w:eastAsia="標楷體" w:hAnsi="標楷體"/>
                <w:kern w:val="0"/>
                <w:szCs w:val="22"/>
              </w:rPr>
            </w:pPr>
          </w:p>
        </w:tc>
        <w:tc>
          <w:tcPr>
            <w:tcW w:w="1829" w:type="dxa"/>
          </w:tcPr>
          <w:p w14:paraId="4A113FD5"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115.5.6</w:t>
            </w:r>
          </w:p>
          <w:p w14:paraId="041738D9" w14:textId="6E69BC62"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（11-5-12）、</w:t>
            </w:r>
          </w:p>
          <w:p w14:paraId="09EC8479"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115.5.20</w:t>
            </w:r>
          </w:p>
          <w:p w14:paraId="51A2CCCE"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（11-5-14）</w:t>
            </w:r>
          </w:p>
          <w:p w14:paraId="6D97D32D"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審竣行政院人事行政總處及所屬主管收支部分，須交由黨團協商。</w:t>
            </w:r>
          </w:p>
        </w:tc>
        <w:tc>
          <w:tcPr>
            <w:tcW w:w="1417" w:type="dxa"/>
            <w:vMerge/>
          </w:tcPr>
          <w:p w14:paraId="748D451A" w14:textId="77777777" w:rsidR="000E31F5" w:rsidRPr="001B6E4D" w:rsidRDefault="000E31F5"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r w:rsidR="000E31F5" w:rsidRPr="001B6E4D" w14:paraId="67868F8A" w14:textId="77777777" w:rsidTr="00882D1E">
        <w:trPr>
          <w:trHeight w:val="228"/>
        </w:trPr>
        <w:tc>
          <w:tcPr>
            <w:tcW w:w="624" w:type="dxa"/>
            <w:vMerge/>
          </w:tcPr>
          <w:p w14:paraId="3CF206BE" w14:textId="77777777" w:rsidR="000E31F5" w:rsidRPr="001B6E4D" w:rsidRDefault="000E31F5"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2BF96B36" w14:textId="77777777" w:rsidR="000E31F5" w:rsidRPr="001B6E4D" w:rsidRDefault="000E31F5"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1A92B556" w14:textId="77777777" w:rsidR="000E31F5" w:rsidRPr="001B6E4D" w:rsidRDefault="000E31F5" w:rsidP="003D1018">
            <w:pPr>
              <w:widowControl w:val="0"/>
              <w:kinsoku w:val="0"/>
              <w:overflowPunct w:val="0"/>
              <w:topLinePunct/>
              <w:spacing w:line="300" w:lineRule="exact"/>
              <w:rPr>
                <w:rFonts w:ascii="標楷體" w:eastAsia="標楷體" w:hAnsi="標楷體"/>
                <w:szCs w:val="22"/>
              </w:rPr>
            </w:pPr>
          </w:p>
        </w:tc>
        <w:tc>
          <w:tcPr>
            <w:tcW w:w="1430" w:type="dxa"/>
            <w:vMerge/>
          </w:tcPr>
          <w:p w14:paraId="094358FF" w14:textId="77777777" w:rsidR="000E31F5" w:rsidRPr="001B6E4D" w:rsidRDefault="000E31F5" w:rsidP="003D1018">
            <w:pPr>
              <w:widowControl w:val="0"/>
              <w:overflowPunct w:val="0"/>
              <w:spacing w:line="300" w:lineRule="exact"/>
              <w:rPr>
                <w:rFonts w:ascii="標楷體" w:eastAsia="標楷體" w:hAnsi="標楷體"/>
                <w:kern w:val="0"/>
                <w:szCs w:val="22"/>
              </w:rPr>
            </w:pPr>
          </w:p>
        </w:tc>
        <w:tc>
          <w:tcPr>
            <w:tcW w:w="1829" w:type="dxa"/>
          </w:tcPr>
          <w:p w14:paraId="77B9DD50"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5</w:t>
            </w:r>
            <w:r w:rsidRPr="001B6E4D">
              <w:rPr>
                <w:rFonts w:ascii="標楷體" w:eastAsia="標楷體" w:hAnsi="標楷體"/>
                <w:color w:val="000000"/>
                <w:kern w:val="0"/>
                <w:szCs w:val="22"/>
              </w:rPr>
              <w:t>.</w:t>
            </w:r>
            <w:r w:rsidRPr="001B6E4D">
              <w:rPr>
                <w:rFonts w:ascii="標楷體" w:eastAsia="標楷體" w:hAnsi="標楷體" w:hint="eastAsia"/>
                <w:color w:val="000000"/>
                <w:kern w:val="0"/>
                <w:szCs w:val="22"/>
              </w:rPr>
              <w:t>21</w:t>
            </w:r>
          </w:p>
          <w:p w14:paraId="306C4C7C"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（11-5-14）</w:t>
            </w:r>
          </w:p>
          <w:p w14:paraId="45BF05CA"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審竣總統府主管（不含中央研究院）收支部分，須交由黨團協商。</w:t>
            </w:r>
          </w:p>
        </w:tc>
        <w:tc>
          <w:tcPr>
            <w:tcW w:w="1417" w:type="dxa"/>
            <w:vMerge/>
          </w:tcPr>
          <w:p w14:paraId="4C4E00EE" w14:textId="77777777" w:rsidR="000E31F5" w:rsidRPr="001B6E4D" w:rsidRDefault="000E31F5"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r w:rsidR="000E31F5" w:rsidRPr="001B6E4D" w14:paraId="12A72ABC" w14:textId="77777777" w:rsidTr="00882D1E">
        <w:trPr>
          <w:trHeight w:val="228"/>
        </w:trPr>
        <w:tc>
          <w:tcPr>
            <w:tcW w:w="624" w:type="dxa"/>
            <w:vMerge/>
          </w:tcPr>
          <w:p w14:paraId="303D7C3F" w14:textId="77777777" w:rsidR="000E31F5" w:rsidRPr="001B6E4D" w:rsidRDefault="000E31F5"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41D451EE" w14:textId="77777777" w:rsidR="000E31F5" w:rsidRPr="001B6E4D" w:rsidRDefault="000E31F5"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0957F786" w14:textId="77777777" w:rsidR="000E31F5" w:rsidRPr="001B6E4D" w:rsidRDefault="000E31F5" w:rsidP="003D1018">
            <w:pPr>
              <w:widowControl w:val="0"/>
              <w:kinsoku w:val="0"/>
              <w:overflowPunct w:val="0"/>
              <w:topLinePunct/>
              <w:spacing w:line="300" w:lineRule="exact"/>
              <w:rPr>
                <w:rFonts w:ascii="標楷體" w:eastAsia="標楷體" w:hAnsi="標楷體"/>
                <w:szCs w:val="22"/>
              </w:rPr>
            </w:pPr>
          </w:p>
        </w:tc>
        <w:tc>
          <w:tcPr>
            <w:tcW w:w="1430" w:type="dxa"/>
            <w:vMerge/>
          </w:tcPr>
          <w:p w14:paraId="0EBF7DEA" w14:textId="77777777" w:rsidR="000E31F5" w:rsidRPr="001B6E4D" w:rsidRDefault="000E31F5" w:rsidP="003D1018">
            <w:pPr>
              <w:widowControl w:val="0"/>
              <w:overflowPunct w:val="0"/>
              <w:spacing w:line="300" w:lineRule="exact"/>
              <w:rPr>
                <w:rFonts w:ascii="標楷體" w:eastAsia="標楷體" w:hAnsi="標楷體"/>
                <w:kern w:val="0"/>
                <w:szCs w:val="22"/>
              </w:rPr>
            </w:pPr>
          </w:p>
        </w:tc>
        <w:tc>
          <w:tcPr>
            <w:tcW w:w="1829" w:type="dxa"/>
          </w:tcPr>
          <w:p w14:paraId="634E3041"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115.5.7</w:t>
            </w:r>
          </w:p>
          <w:p w14:paraId="517C1D30" w14:textId="696CE3C0"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（11-5-12）、</w:t>
            </w:r>
          </w:p>
          <w:p w14:paraId="21789687"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w:t>
            </w:r>
            <w:r w:rsidRPr="001B6E4D">
              <w:rPr>
                <w:rFonts w:ascii="標楷體" w:eastAsia="標楷體" w:hAnsi="標楷體"/>
                <w:color w:val="000000"/>
                <w:kern w:val="0"/>
                <w:szCs w:val="22"/>
              </w:rPr>
              <w:t>5</w:t>
            </w:r>
            <w:r w:rsidRPr="001B6E4D">
              <w:rPr>
                <w:rFonts w:ascii="標楷體" w:eastAsia="標楷體" w:hAnsi="標楷體" w:hint="eastAsia"/>
                <w:color w:val="000000"/>
                <w:kern w:val="0"/>
                <w:szCs w:val="22"/>
              </w:rPr>
              <w:t>.</w:t>
            </w:r>
            <w:r w:rsidRPr="001B6E4D">
              <w:rPr>
                <w:rFonts w:ascii="標楷體" w:eastAsia="標楷體" w:hAnsi="標楷體"/>
                <w:color w:val="000000"/>
                <w:kern w:val="0"/>
                <w:szCs w:val="22"/>
              </w:rPr>
              <w:t>6</w:t>
            </w:r>
            <w:r w:rsidRPr="001B6E4D">
              <w:rPr>
                <w:rFonts w:ascii="標楷體" w:eastAsia="標楷體" w:hAnsi="標楷體" w:hint="eastAsia"/>
                <w:color w:val="000000"/>
                <w:kern w:val="0"/>
                <w:szCs w:val="22"/>
              </w:rPr>
              <w:t>.</w:t>
            </w:r>
            <w:r w:rsidRPr="001B6E4D">
              <w:rPr>
                <w:rFonts w:ascii="標楷體" w:eastAsia="標楷體" w:hAnsi="標楷體"/>
                <w:color w:val="000000"/>
                <w:kern w:val="0"/>
                <w:szCs w:val="22"/>
              </w:rPr>
              <w:t>3</w:t>
            </w:r>
          </w:p>
          <w:p w14:paraId="2A337596"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w:t>
            </w:r>
            <w:r w:rsidRPr="001B6E4D">
              <w:rPr>
                <w:rFonts w:ascii="標楷體" w:eastAsia="標楷體" w:hAnsi="標楷體"/>
                <w:color w:val="000000"/>
                <w:kern w:val="0"/>
                <w:szCs w:val="22"/>
              </w:rPr>
              <w:t>5</w:t>
            </w:r>
            <w:r w:rsidRPr="001B6E4D">
              <w:rPr>
                <w:rFonts w:ascii="標楷體" w:eastAsia="標楷體" w:hAnsi="標楷體" w:hint="eastAsia"/>
                <w:color w:val="000000"/>
                <w:kern w:val="0"/>
                <w:szCs w:val="22"/>
              </w:rPr>
              <w:t>-1</w:t>
            </w:r>
            <w:r w:rsidRPr="001B6E4D">
              <w:rPr>
                <w:rFonts w:ascii="標楷體" w:eastAsia="標楷體" w:hAnsi="標楷體"/>
                <w:color w:val="000000"/>
                <w:kern w:val="0"/>
                <w:szCs w:val="22"/>
              </w:rPr>
              <w:t>6</w:t>
            </w:r>
            <w:r w:rsidRPr="001B6E4D">
              <w:rPr>
                <w:rFonts w:ascii="標楷體" w:eastAsia="標楷體" w:hAnsi="標楷體" w:hint="eastAsia"/>
                <w:color w:val="000000"/>
                <w:kern w:val="0"/>
                <w:szCs w:val="22"/>
              </w:rPr>
              <w:t>）</w:t>
            </w:r>
          </w:p>
          <w:p w14:paraId="1332CC58"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審竣考試院及所屬主管收支部分，須交由黨團協商。</w:t>
            </w:r>
          </w:p>
        </w:tc>
        <w:tc>
          <w:tcPr>
            <w:tcW w:w="1417" w:type="dxa"/>
            <w:vMerge/>
          </w:tcPr>
          <w:p w14:paraId="1ED5FF12" w14:textId="77777777" w:rsidR="000E31F5" w:rsidRPr="001B6E4D" w:rsidRDefault="000E31F5"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r w:rsidR="000E31F5" w:rsidRPr="001B6E4D" w14:paraId="0FD2AA53" w14:textId="77777777" w:rsidTr="00882D1E">
        <w:trPr>
          <w:trHeight w:val="228"/>
        </w:trPr>
        <w:tc>
          <w:tcPr>
            <w:tcW w:w="624" w:type="dxa"/>
            <w:vMerge/>
          </w:tcPr>
          <w:p w14:paraId="321F35EE" w14:textId="77777777" w:rsidR="000E31F5" w:rsidRPr="001B6E4D" w:rsidRDefault="000E31F5"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7264B7CF" w14:textId="77777777" w:rsidR="000E31F5" w:rsidRPr="001B6E4D" w:rsidRDefault="000E31F5"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1CEC83ED" w14:textId="77777777" w:rsidR="000E31F5" w:rsidRPr="001B6E4D" w:rsidRDefault="000E31F5" w:rsidP="003D1018">
            <w:pPr>
              <w:widowControl w:val="0"/>
              <w:kinsoku w:val="0"/>
              <w:overflowPunct w:val="0"/>
              <w:topLinePunct/>
              <w:spacing w:line="300" w:lineRule="exact"/>
              <w:rPr>
                <w:rFonts w:ascii="標楷體" w:eastAsia="標楷體" w:hAnsi="標楷體"/>
                <w:szCs w:val="22"/>
              </w:rPr>
            </w:pPr>
          </w:p>
        </w:tc>
        <w:tc>
          <w:tcPr>
            <w:tcW w:w="1430" w:type="dxa"/>
            <w:vMerge w:val="restart"/>
          </w:tcPr>
          <w:p w14:paraId="388DDB2A" w14:textId="77777777" w:rsidR="000E31F5" w:rsidRPr="001B6E4D" w:rsidRDefault="000E31F5" w:rsidP="003D1018">
            <w:pPr>
              <w:widowControl w:val="0"/>
              <w:overflowPunct w:val="0"/>
              <w:spacing w:line="300" w:lineRule="exact"/>
              <w:rPr>
                <w:rFonts w:ascii="標楷體" w:eastAsia="標楷體" w:hAnsi="標楷體"/>
                <w:kern w:val="0"/>
                <w:szCs w:val="22"/>
              </w:rPr>
            </w:pPr>
            <w:r w:rsidRPr="001B6E4D">
              <w:rPr>
                <w:rFonts w:ascii="標楷體" w:eastAsia="標楷體" w:hAnsi="標楷體" w:hint="eastAsia"/>
                <w:kern w:val="0"/>
                <w:szCs w:val="22"/>
              </w:rPr>
              <w:t>司法及法制</w:t>
            </w:r>
          </w:p>
          <w:p w14:paraId="351D9959" w14:textId="77777777" w:rsidR="000E31F5" w:rsidRPr="001B6E4D" w:rsidRDefault="000E31F5" w:rsidP="003D1018">
            <w:pPr>
              <w:widowControl w:val="0"/>
              <w:overflowPunct w:val="0"/>
              <w:spacing w:line="300" w:lineRule="exact"/>
              <w:rPr>
                <w:rFonts w:ascii="標楷體" w:eastAsia="標楷體" w:hAnsi="標楷體"/>
                <w:kern w:val="0"/>
                <w:szCs w:val="22"/>
              </w:rPr>
            </w:pPr>
            <w:r w:rsidRPr="001B6E4D">
              <w:rPr>
                <w:rFonts w:ascii="標楷體" w:eastAsia="標楷體" w:hAnsi="標楷體" w:hint="eastAsia"/>
                <w:kern w:val="0"/>
                <w:szCs w:val="22"/>
              </w:rPr>
              <w:t>翁召集委員曉玲</w:t>
            </w:r>
          </w:p>
        </w:tc>
        <w:tc>
          <w:tcPr>
            <w:tcW w:w="1829" w:type="dxa"/>
          </w:tcPr>
          <w:p w14:paraId="4B90C2EC"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115.4.29</w:t>
            </w:r>
          </w:p>
          <w:p w14:paraId="17A46FB4" w14:textId="116A292D"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（11-5-9）、</w:t>
            </w:r>
          </w:p>
          <w:p w14:paraId="1A5E0F61"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115.5.25</w:t>
            </w:r>
          </w:p>
          <w:p w14:paraId="2580BE8D"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（11-5-15）</w:t>
            </w:r>
          </w:p>
          <w:p w14:paraId="571AF78B"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審竣監察院主管（不含審計部及所屬）收</w:t>
            </w:r>
            <w:r w:rsidRPr="001B6E4D">
              <w:rPr>
                <w:rFonts w:ascii="標楷體" w:eastAsia="標楷體" w:hAnsi="標楷體" w:hint="eastAsia"/>
                <w:color w:val="000000"/>
                <w:kern w:val="0"/>
                <w:szCs w:val="22"/>
              </w:rPr>
              <w:lastRenderedPageBreak/>
              <w:t>支部分，須交由黨團協商。</w:t>
            </w:r>
          </w:p>
        </w:tc>
        <w:tc>
          <w:tcPr>
            <w:tcW w:w="1417" w:type="dxa"/>
            <w:vMerge/>
          </w:tcPr>
          <w:p w14:paraId="409784E9" w14:textId="77777777" w:rsidR="000E31F5" w:rsidRPr="001B6E4D" w:rsidRDefault="000E31F5"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r w:rsidR="000E31F5" w:rsidRPr="001B6E4D" w14:paraId="7BEEA0A8" w14:textId="77777777" w:rsidTr="00882D1E">
        <w:trPr>
          <w:trHeight w:val="228"/>
        </w:trPr>
        <w:tc>
          <w:tcPr>
            <w:tcW w:w="624" w:type="dxa"/>
            <w:vMerge/>
          </w:tcPr>
          <w:p w14:paraId="1FDCF72A" w14:textId="77777777" w:rsidR="000E31F5" w:rsidRPr="001B6E4D" w:rsidRDefault="000E31F5"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7B02C4E5" w14:textId="77777777" w:rsidR="000E31F5" w:rsidRPr="001B6E4D" w:rsidRDefault="000E31F5"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34487FB3" w14:textId="77777777" w:rsidR="000E31F5" w:rsidRPr="001B6E4D" w:rsidRDefault="000E31F5" w:rsidP="003D1018">
            <w:pPr>
              <w:widowControl w:val="0"/>
              <w:kinsoku w:val="0"/>
              <w:overflowPunct w:val="0"/>
              <w:topLinePunct/>
              <w:spacing w:line="300" w:lineRule="exact"/>
              <w:rPr>
                <w:rFonts w:ascii="標楷體" w:eastAsia="標楷體" w:hAnsi="標楷體"/>
                <w:szCs w:val="22"/>
              </w:rPr>
            </w:pPr>
          </w:p>
        </w:tc>
        <w:tc>
          <w:tcPr>
            <w:tcW w:w="1430" w:type="dxa"/>
            <w:vMerge/>
          </w:tcPr>
          <w:p w14:paraId="5C57CF44" w14:textId="77777777" w:rsidR="000E31F5" w:rsidRPr="001B6E4D" w:rsidRDefault="000E31F5" w:rsidP="003D1018">
            <w:pPr>
              <w:widowControl w:val="0"/>
              <w:overflowPunct w:val="0"/>
              <w:spacing w:line="300" w:lineRule="exact"/>
              <w:rPr>
                <w:rFonts w:ascii="標楷體" w:eastAsia="標楷體" w:hAnsi="標楷體"/>
                <w:kern w:val="0"/>
                <w:szCs w:val="22"/>
              </w:rPr>
            </w:pPr>
          </w:p>
        </w:tc>
        <w:tc>
          <w:tcPr>
            <w:tcW w:w="1829" w:type="dxa"/>
          </w:tcPr>
          <w:p w14:paraId="2FB74A5B"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115.4.30</w:t>
            </w:r>
          </w:p>
          <w:p w14:paraId="5FE13950" w14:textId="30BA5075"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（11-5-10）、</w:t>
            </w:r>
          </w:p>
          <w:p w14:paraId="5E6099FD"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115.5.27</w:t>
            </w:r>
          </w:p>
          <w:p w14:paraId="3B005647"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(11-5-15)</w:t>
            </w:r>
          </w:p>
          <w:p w14:paraId="16FAB3B1"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審竣法務部及所屬主管收支部分，須交由黨團協商。</w:t>
            </w:r>
          </w:p>
        </w:tc>
        <w:tc>
          <w:tcPr>
            <w:tcW w:w="1417" w:type="dxa"/>
            <w:vMerge/>
          </w:tcPr>
          <w:p w14:paraId="2ACC553C" w14:textId="77777777" w:rsidR="000E31F5" w:rsidRPr="001B6E4D" w:rsidRDefault="000E31F5"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r w:rsidR="000E31F5" w:rsidRPr="001B6E4D" w14:paraId="7E5D6329" w14:textId="77777777" w:rsidTr="00882D1E">
        <w:trPr>
          <w:trHeight w:val="228"/>
        </w:trPr>
        <w:tc>
          <w:tcPr>
            <w:tcW w:w="624" w:type="dxa"/>
            <w:vMerge/>
          </w:tcPr>
          <w:p w14:paraId="0C964046" w14:textId="77777777" w:rsidR="000E31F5" w:rsidRPr="001B6E4D" w:rsidRDefault="000E31F5" w:rsidP="003D1018">
            <w:pPr>
              <w:widowControl w:val="0"/>
              <w:overflowPunct w:val="0"/>
              <w:adjustRightInd w:val="0"/>
              <w:snapToGrid w:val="0"/>
              <w:spacing w:line="260" w:lineRule="exact"/>
              <w:jc w:val="center"/>
              <w:rPr>
                <w:rFonts w:ascii="標楷體" w:eastAsia="標楷體" w:hAnsi="標楷體"/>
                <w:szCs w:val="22"/>
              </w:rPr>
            </w:pPr>
          </w:p>
        </w:tc>
        <w:tc>
          <w:tcPr>
            <w:tcW w:w="1842" w:type="dxa"/>
            <w:vMerge/>
          </w:tcPr>
          <w:p w14:paraId="7B2C7EFD" w14:textId="77777777" w:rsidR="000E31F5" w:rsidRPr="001B6E4D" w:rsidRDefault="000E31F5" w:rsidP="003D1018">
            <w:pPr>
              <w:widowControl w:val="0"/>
              <w:kinsoku w:val="0"/>
              <w:overflowPunct w:val="0"/>
              <w:spacing w:line="300" w:lineRule="exact"/>
              <w:ind w:rightChars="-45" w:right="-108"/>
              <w:rPr>
                <w:rFonts w:ascii="標楷體" w:eastAsia="標楷體" w:hAnsi="標楷體"/>
                <w:szCs w:val="22"/>
              </w:rPr>
            </w:pPr>
          </w:p>
        </w:tc>
        <w:tc>
          <w:tcPr>
            <w:tcW w:w="1558" w:type="dxa"/>
            <w:vMerge/>
          </w:tcPr>
          <w:p w14:paraId="7510ADA3" w14:textId="77777777" w:rsidR="000E31F5" w:rsidRPr="001B6E4D" w:rsidRDefault="000E31F5" w:rsidP="003D1018">
            <w:pPr>
              <w:widowControl w:val="0"/>
              <w:kinsoku w:val="0"/>
              <w:overflowPunct w:val="0"/>
              <w:topLinePunct/>
              <w:spacing w:line="300" w:lineRule="exact"/>
              <w:rPr>
                <w:rFonts w:ascii="標楷體" w:eastAsia="標楷體" w:hAnsi="標楷體"/>
                <w:szCs w:val="22"/>
              </w:rPr>
            </w:pPr>
          </w:p>
        </w:tc>
        <w:tc>
          <w:tcPr>
            <w:tcW w:w="1430" w:type="dxa"/>
            <w:vMerge/>
          </w:tcPr>
          <w:p w14:paraId="1BE23EA1" w14:textId="77777777" w:rsidR="000E31F5" w:rsidRPr="001B6E4D" w:rsidRDefault="000E31F5" w:rsidP="003D1018">
            <w:pPr>
              <w:widowControl w:val="0"/>
              <w:overflowPunct w:val="0"/>
              <w:spacing w:line="300" w:lineRule="exact"/>
              <w:rPr>
                <w:rFonts w:ascii="標楷體" w:eastAsia="標楷體" w:hAnsi="標楷體"/>
                <w:kern w:val="0"/>
                <w:szCs w:val="22"/>
              </w:rPr>
            </w:pPr>
          </w:p>
        </w:tc>
        <w:tc>
          <w:tcPr>
            <w:tcW w:w="1829" w:type="dxa"/>
          </w:tcPr>
          <w:p w14:paraId="51895611"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color w:val="000000"/>
                <w:kern w:val="0"/>
                <w:szCs w:val="22"/>
              </w:rPr>
              <w:t>115.5.28</w:t>
            </w:r>
          </w:p>
          <w:p w14:paraId="1CB7B121"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（11-5-15）</w:t>
            </w:r>
          </w:p>
          <w:p w14:paraId="4E13087E" w14:textId="77777777" w:rsidR="000E31F5" w:rsidRPr="001B6E4D" w:rsidRDefault="000E31F5" w:rsidP="003D1018">
            <w:pPr>
              <w:widowControl w:val="0"/>
              <w:kinsoku w:val="0"/>
              <w:overflowPunct w:val="0"/>
              <w:adjustRightInd w:val="0"/>
              <w:snapToGrid w:val="0"/>
              <w:spacing w:line="300" w:lineRule="exact"/>
              <w:jc w:val="both"/>
              <w:rPr>
                <w:rFonts w:ascii="標楷體" w:eastAsia="標楷體" w:hAnsi="標楷體"/>
                <w:color w:val="000000"/>
                <w:kern w:val="0"/>
                <w:szCs w:val="22"/>
              </w:rPr>
            </w:pPr>
            <w:r w:rsidRPr="001B6E4D">
              <w:rPr>
                <w:rFonts w:ascii="標楷體" w:eastAsia="標楷體" w:hAnsi="標楷體" w:hint="eastAsia"/>
                <w:color w:val="000000"/>
                <w:kern w:val="0"/>
                <w:szCs w:val="22"/>
              </w:rPr>
              <w:t>審竣立法院主管收支部分，須交由黨團協商。</w:t>
            </w:r>
          </w:p>
        </w:tc>
        <w:tc>
          <w:tcPr>
            <w:tcW w:w="1417" w:type="dxa"/>
            <w:vMerge/>
          </w:tcPr>
          <w:p w14:paraId="4B39AAE1" w14:textId="77777777" w:rsidR="000E31F5" w:rsidRPr="001B6E4D" w:rsidRDefault="000E31F5" w:rsidP="003D1018">
            <w:pPr>
              <w:widowControl w:val="0"/>
              <w:overflowPunct w:val="0"/>
              <w:adjustRightInd w:val="0"/>
              <w:snapToGrid w:val="0"/>
              <w:spacing w:line="300" w:lineRule="exact"/>
              <w:ind w:left="216" w:hangingChars="100" w:hanging="216"/>
              <w:jc w:val="both"/>
              <w:rPr>
                <w:rFonts w:ascii="標楷體" w:eastAsia="標楷體" w:hAnsi="標楷體"/>
                <w:spacing w:val="-12"/>
                <w:szCs w:val="22"/>
              </w:rPr>
            </w:pPr>
          </w:p>
        </w:tc>
      </w:tr>
    </w:tbl>
    <w:p w14:paraId="60EA891C" w14:textId="77777777" w:rsidR="00B36E53" w:rsidRPr="001B6E4D" w:rsidRDefault="00637260" w:rsidP="003D1018">
      <w:pPr>
        <w:pStyle w:val="affffff0"/>
        <w:kinsoku w:val="0"/>
        <w:overflowPunct w:val="0"/>
        <w:topLinePunct/>
        <w:spacing w:before="180" w:after="180"/>
        <w:ind w:leftChars="128" w:left="307" w:firstLineChars="200" w:firstLine="561"/>
      </w:pPr>
      <w:bookmarkStart w:id="169" w:name="_Toc240446532"/>
      <w:bookmarkEnd w:id="166"/>
      <w:r w:rsidRPr="001B6E4D">
        <w:rPr>
          <w:rFonts w:hint="eastAsia"/>
          <w:color w:val="000000" w:themeColor="text1"/>
          <w:szCs w:val="28"/>
          <w:shd w:val="clear" w:color="auto" w:fill="FFFFFF" w:themeFill="background1"/>
        </w:rPr>
        <w:t>二</w:t>
      </w:r>
      <w:r w:rsidRPr="001B6E4D">
        <w:rPr>
          <w:color w:val="000000" w:themeColor="text1"/>
          <w:szCs w:val="28"/>
          <w:shd w:val="clear" w:color="auto" w:fill="FFFFFF" w:themeFill="background1"/>
        </w:rPr>
        <w:t>、</w:t>
      </w:r>
      <w:r w:rsidRPr="001B6E4D">
        <w:rPr>
          <w:rFonts w:hint="eastAsia"/>
          <w:color w:val="000000" w:themeColor="text1"/>
          <w:szCs w:val="28"/>
          <w:shd w:val="clear" w:color="auto" w:fill="FFFFFF" w:themeFill="background1"/>
        </w:rPr>
        <w:t>財團法人2</w:t>
      </w:r>
      <w:r w:rsidRPr="001B6E4D">
        <w:rPr>
          <w:color w:val="000000" w:themeColor="text1"/>
          <w:szCs w:val="28"/>
          <w:shd w:val="clear" w:color="auto" w:fill="FFFFFF" w:themeFill="background1"/>
        </w:rPr>
        <w:t>案</w:t>
      </w:r>
      <w:bookmarkEnd w:id="169"/>
    </w:p>
    <w:tbl>
      <w:tblPr>
        <w:tblW w:w="8736" w:type="dxa"/>
        <w:tblInd w:w="1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656"/>
        <w:gridCol w:w="2694"/>
        <w:gridCol w:w="1701"/>
        <w:gridCol w:w="1428"/>
        <w:gridCol w:w="2257"/>
      </w:tblGrid>
      <w:tr w:rsidR="00B36E53" w:rsidRPr="001B6E4D" w14:paraId="25EDBE4E" w14:textId="77777777" w:rsidTr="00BC6AE7">
        <w:tc>
          <w:tcPr>
            <w:tcW w:w="656" w:type="dxa"/>
            <w:shd w:val="clear" w:color="auto" w:fill="auto"/>
          </w:tcPr>
          <w:p w14:paraId="209AF20E" w14:textId="77777777" w:rsidR="00B36E53" w:rsidRPr="001B6E4D" w:rsidRDefault="00B36E53"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序號</w:t>
            </w:r>
          </w:p>
        </w:tc>
        <w:tc>
          <w:tcPr>
            <w:tcW w:w="2694" w:type="dxa"/>
            <w:shd w:val="clear" w:color="auto" w:fill="auto"/>
          </w:tcPr>
          <w:p w14:paraId="7344D8BA" w14:textId="77777777" w:rsidR="00B36E53" w:rsidRPr="001B6E4D" w:rsidRDefault="00B36E53"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議案名稱</w:t>
            </w:r>
          </w:p>
        </w:tc>
        <w:tc>
          <w:tcPr>
            <w:tcW w:w="1701" w:type="dxa"/>
            <w:shd w:val="clear" w:color="auto" w:fill="auto"/>
          </w:tcPr>
          <w:p w14:paraId="333B4903" w14:textId="77777777" w:rsidR="00B36E53" w:rsidRPr="001B6E4D" w:rsidRDefault="00B36E53" w:rsidP="003D1018">
            <w:pPr>
              <w:widowControl w:val="0"/>
              <w:kinsoku w:val="0"/>
              <w:overflowPunct w:val="0"/>
              <w:autoSpaceDE w:val="0"/>
              <w:autoSpaceDN w:val="0"/>
              <w:snapToGrid w:val="0"/>
              <w:spacing w:line="300" w:lineRule="exact"/>
              <w:ind w:rightChars="-3" w:right="-7"/>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提案機關、院會交付日期(會次)</w:t>
            </w:r>
          </w:p>
        </w:tc>
        <w:tc>
          <w:tcPr>
            <w:tcW w:w="1428" w:type="dxa"/>
            <w:shd w:val="clear" w:color="auto" w:fill="auto"/>
          </w:tcPr>
          <w:p w14:paraId="046CD23C" w14:textId="77777777" w:rsidR="00B36E53" w:rsidRPr="001B6E4D" w:rsidRDefault="00B36E53"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審查委員會</w:t>
            </w:r>
          </w:p>
        </w:tc>
        <w:tc>
          <w:tcPr>
            <w:tcW w:w="2257" w:type="dxa"/>
            <w:shd w:val="clear" w:color="auto" w:fill="auto"/>
          </w:tcPr>
          <w:p w14:paraId="5DC9E89D" w14:textId="77777777" w:rsidR="00B36E53" w:rsidRPr="001B6E4D" w:rsidRDefault="00B36E53"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hint="eastAsia"/>
                <w:b/>
                <w:color w:val="000000"/>
                <w:spacing w:val="-20"/>
                <w:szCs w:val="22"/>
              </w:rPr>
              <w:t>審查、審議</w:t>
            </w:r>
            <w:r w:rsidRPr="001B6E4D">
              <w:rPr>
                <w:rFonts w:ascii="標楷體" w:eastAsia="標楷體" w:hAnsi="標楷體"/>
                <w:b/>
                <w:color w:val="000000"/>
                <w:spacing w:val="-20"/>
                <w:szCs w:val="22"/>
                <w:lang w:eastAsia="ko-KR"/>
              </w:rPr>
              <w:t>情形</w:t>
            </w:r>
          </w:p>
        </w:tc>
      </w:tr>
      <w:tr w:rsidR="00B36E53" w:rsidRPr="001B6E4D" w14:paraId="1D5D9E5C" w14:textId="77777777" w:rsidTr="00BC6AE7">
        <w:tc>
          <w:tcPr>
            <w:tcW w:w="656" w:type="dxa"/>
            <w:shd w:val="clear" w:color="auto" w:fill="auto"/>
          </w:tcPr>
          <w:p w14:paraId="2CAA8610" w14:textId="77777777" w:rsidR="00B36E53" w:rsidRPr="001B6E4D" w:rsidRDefault="00B36E53" w:rsidP="003D1018">
            <w:pPr>
              <w:widowControl w:val="0"/>
              <w:kinsoku w:val="0"/>
              <w:overflowPunct w:val="0"/>
              <w:autoSpaceDE w:val="0"/>
              <w:autoSpaceDN w:val="0"/>
              <w:snapToGrid w:val="0"/>
              <w:spacing w:line="300" w:lineRule="exact"/>
              <w:jc w:val="center"/>
              <w:rPr>
                <w:rFonts w:ascii="標楷體" w:eastAsia="標楷體" w:hAnsi="標楷體"/>
                <w:bCs/>
                <w:color w:val="000000"/>
                <w:spacing w:val="-20"/>
                <w:szCs w:val="22"/>
              </w:rPr>
            </w:pPr>
            <w:r w:rsidRPr="001B6E4D">
              <w:rPr>
                <w:rFonts w:ascii="標楷體" w:eastAsia="標楷體" w:hAnsi="標楷體" w:hint="eastAsia"/>
                <w:bCs/>
                <w:color w:val="000000"/>
                <w:spacing w:val="-20"/>
                <w:szCs w:val="22"/>
              </w:rPr>
              <w:t>1</w:t>
            </w:r>
          </w:p>
        </w:tc>
        <w:tc>
          <w:tcPr>
            <w:tcW w:w="2694" w:type="dxa"/>
            <w:shd w:val="clear" w:color="auto" w:fill="auto"/>
          </w:tcPr>
          <w:p w14:paraId="24E5D17B" w14:textId="77777777" w:rsidR="00B36E53" w:rsidRPr="001B6E4D" w:rsidRDefault="00B36E53" w:rsidP="003D1018">
            <w:pPr>
              <w:widowControl w:val="0"/>
              <w:kinsoku w:val="0"/>
              <w:overflowPunct w:val="0"/>
              <w:topLinePunct/>
              <w:autoSpaceDE w:val="0"/>
              <w:autoSpaceDN w:val="0"/>
              <w:adjustRightInd w:val="0"/>
              <w:snapToGrid w:val="0"/>
              <w:spacing w:line="300" w:lineRule="exact"/>
              <w:jc w:val="both"/>
              <w:rPr>
                <w:rFonts w:ascii="標楷體" w:eastAsia="標楷體" w:hAnsi="標楷體"/>
                <w:szCs w:val="22"/>
              </w:rPr>
            </w:pPr>
            <w:r w:rsidRPr="001B6E4D">
              <w:rPr>
                <w:rFonts w:ascii="標楷體" w:eastAsia="標楷體" w:hAnsi="標楷體"/>
                <w:szCs w:val="22"/>
              </w:rPr>
              <w:t>法務部函送財團法人臺灣更生保護會、財團法人福建更生保護會及財團法人犯罪被害人保護協會</w:t>
            </w:r>
            <w:proofErr w:type="gramStart"/>
            <w:r w:rsidRPr="001B6E4D">
              <w:rPr>
                <w:rFonts w:ascii="標楷體" w:eastAsia="標楷體" w:hAnsi="標楷體"/>
                <w:szCs w:val="22"/>
              </w:rPr>
              <w:t>115</w:t>
            </w:r>
            <w:proofErr w:type="gramEnd"/>
            <w:r w:rsidRPr="001B6E4D">
              <w:rPr>
                <w:rFonts w:ascii="標楷體" w:eastAsia="標楷體" w:hAnsi="標楷體"/>
                <w:szCs w:val="22"/>
              </w:rPr>
              <w:t>年度預算書案。</w:t>
            </w:r>
          </w:p>
        </w:tc>
        <w:tc>
          <w:tcPr>
            <w:tcW w:w="1701" w:type="dxa"/>
            <w:shd w:val="clear" w:color="auto" w:fill="auto"/>
          </w:tcPr>
          <w:p w14:paraId="1FA221F8" w14:textId="77777777" w:rsidR="00B36E53" w:rsidRPr="001B6E4D" w:rsidRDefault="00B36E53" w:rsidP="003D1018">
            <w:pPr>
              <w:widowControl w:val="0"/>
              <w:overflowPunct w:val="0"/>
              <w:rPr>
                <w:rFonts w:ascii="標楷體" w:eastAsia="標楷體" w:hAnsi="標楷體"/>
                <w:szCs w:val="22"/>
              </w:rPr>
            </w:pPr>
            <w:r w:rsidRPr="001B6E4D">
              <w:rPr>
                <w:rFonts w:ascii="標楷體" w:eastAsia="標楷體" w:hAnsi="標楷體"/>
                <w:szCs w:val="22"/>
              </w:rPr>
              <w:t>法務部</w:t>
            </w:r>
          </w:p>
          <w:p w14:paraId="29FDE91B" w14:textId="77777777" w:rsidR="00B36E53" w:rsidRPr="001B6E4D" w:rsidRDefault="00B36E53" w:rsidP="003D1018">
            <w:pPr>
              <w:widowControl w:val="0"/>
              <w:overflowPunct w:val="0"/>
              <w:rPr>
                <w:rFonts w:ascii="標楷體" w:eastAsia="標楷體" w:hAnsi="標楷體"/>
                <w:szCs w:val="22"/>
              </w:rPr>
            </w:pPr>
            <w:r w:rsidRPr="001B6E4D">
              <w:rPr>
                <w:rFonts w:ascii="標楷體" w:eastAsia="標楷體" w:hAnsi="標楷體"/>
                <w:szCs w:val="22"/>
              </w:rPr>
              <w:t>114.10.03</w:t>
            </w:r>
          </w:p>
          <w:p w14:paraId="0CE48BA0" w14:textId="77777777" w:rsidR="00B36E53" w:rsidRPr="001B6E4D" w:rsidRDefault="00B36E53" w:rsidP="003D1018">
            <w:pPr>
              <w:widowControl w:val="0"/>
              <w:overflowPunct w:val="0"/>
              <w:rPr>
                <w:rFonts w:ascii="標楷體" w:eastAsia="標楷體" w:hAnsi="標楷體"/>
                <w:szCs w:val="22"/>
              </w:rPr>
            </w:pPr>
            <w:r w:rsidRPr="001B6E4D">
              <w:rPr>
                <w:rFonts w:ascii="標楷體" w:eastAsia="標楷體" w:hAnsi="標楷體"/>
                <w:szCs w:val="22"/>
              </w:rPr>
              <w:t>（11-4-3）</w:t>
            </w:r>
          </w:p>
        </w:tc>
        <w:tc>
          <w:tcPr>
            <w:tcW w:w="1428" w:type="dxa"/>
            <w:shd w:val="clear" w:color="auto" w:fill="auto"/>
          </w:tcPr>
          <w:p w14:paraId="36CD324C" w14:textId="77777777" w:rsidR="00B36E53" w:rsidRPr="001B6E4D" w:rsidRDefault="00B36E53" w:rsidP="003D1018">
            <w:pPr>
              <w:widowControl w:val="0"/>
              <w:overflowPunct w:val="0"/>
              <w:spacing w:line="300" w:lineRule="exact"/>
              <w:jc w:val="both"/>
              <w:rPr>
                <w:rFonts w:ascii="標楷體" w:eastAsia="標楷體" w:hAnsi="標楷體"/>
                <w:szCs w:val="22"/>
              </w:rPr>
            </w:pPr>
            <w:r w:rsidRPr="001B6E4D">
              <w:rPr>
                <w:rFonts w:ascii="標楷體" w:eastAsia="標楷體" w:hAnsi="標楷體" w:hint="eastAsia"/>
                <w:szCs w:val="22"/>
              </w:rPr>
              <w:t>司法及法制</w:t>
            </w:r>
          </w:p>
        </w:tc>
        <w:tc>
          <w:tcPr>
            <w:tcW w:w="2257" w:type="dxa"/>
            <w:shd w:val="clear" w:color="auto" w:fill="auto"/>
          </w:tcPr>
          <w:p w14:paraId="790F57C9"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1.本會</w:t>
            </w:r>
            <w:r w:rsidRPr="001B6E4D">
              <w:rPr>
                <w:rFonts w:ascii="標楷體" w:eastAsia="標楷體" w:hAnsi="標楷體"/>
                <w:szCs w:val="22"/>
              </w:rPr>
              <w:br/>
            </w:r>
            <w:r w:rsidRPr="001B6E4D">
              <w:rPr>
                <w:rFonts w:ascii="標楷體" w:eastAsia="標楷體" w:hAnsi="標楷體" w:hint="eastAsia"/>
                <w:szCs w:val="22"/>
              </w:rPr>
              <w:t>115.4.30</w:t>
            </w:r>
            <w:r w:rsidRPr="001B6E4D">
              <w:rPr>
                <w:rFonts w:ascii="標楷體" w:eastAsia="標楷體" w:hAnsi="標楷體"/>
                <w:szCs w:val="22"/>
              </w:rPr>
              <w:br/>
            </w:r>
            <w:r w:rsidRPr="001B6E4D">
              <w:rPr>
                <w:rFonts w:ascii="標楷體" w:eastAsia="標楷體" w:hAnsi="標楷體" w:hint="eastAsia"/>
                <w:szCs w:val="22"/>
              </w:rPr>
              <w:t>（11-5-10）、</w:t>
            </w:r>
            <w:r w:rsidRPr="001B6E4D">
              <w:rPr>
                <w:rFonts w:ascii="標楷體" w:eastAsia="標楷體" w:hAnsi="標楷體"/>
                <w:szCs w:val="22"/>
              </w:rPr>
              <w:br/>
              <w:t>115.5.27</w:t>
            </w:r>
            <w:r w:rsidRPr="001B6E4D">
              <w:rPr>
                <w:rFonts w:ascii="標楷體" w:eastAsia="標楷體" w:hAnsi="標楷體"/>
                <w:szCs w:val="22"/>
              </w:rPr>
              <w:br/>
              <w:t>(11-5-15)</w:t>
            </w:r>
            <w:r w:rsidRPr="001B6E4D">
              <w:rPr>
                <w:rFonts w:ascii="標楷體" w:eastAsia="標楷體" w:hAnsi="標楷體" w:hint="eastAsia"/>
                <w:szCs w:val="22"/>
              </w:rPr>
              <w:t>審查完竣，不須交由黨團協商。</w:t>
            </w:r>
          </w:p>
          <w:p w14:paraId="5CA7B37A"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szCs w:val="22"/>
              </w:rPr>
              <w:br/>
              <w:t>11</w:t>
            </w:r>
            <w:r w:rsidRPr="001B6E4D">
              <w:rPr>
                <w:rFonts w:ascii="標楷體" w:eastAsia="標楷體" w:hAnsi="標楷體" w:hint="eastAsia"/>
                <w:szCs w:val="22"/>
              </w:rPr>
              <w:t>5</w:t>
            </w:r>
            <w:r w:rsidRPr="001B6E4D">
              <w:rPr>
                <w:rFonts w:ascii="標楷體" w:eastAsia="標楷體" w:hAnsi="標楷體"/>
                <w:szCs w:val="22"/>
              </w:rPr>
              <w:t>.</w:t>
            </w:r>
            <w:r w:rsidRPr="001B6E4D">
              <w:rPr>
                <w:rFonts w:ascii="標楷體" w:eastAsia="標楷體" w:hAnsi="標楷體" w:hint="eastAsia"/>
                <w:szCs w:val="22"/>
              </w:rPr>
              <w:t>6</w:t>
            </w:r>
            <w:r w:rsidRPr="001B6E4D">
              <w:rPr>
                <w:rFonts w:ascii="標楷體" w:eastAsia="標楷體" w:hAnsi="標楷體"/>
                <w:szCs w:val="22"/>
              </w:rPr>
              <w:t>.23</w:t>
            </w:r>
            <w:r w:rsidRPr="001B6E4D">
              <w:rPr>
                <w:rFonts w:ascii="標楷體" w:eastAsia="標楷體" w:hAnsi="標楷體"/>
                <w:szCs w:val="22"/>
              </w:rPr>
              <w:br/>
              <w:t>（1</w:t>
            </w:r>
            <w:r w:rsidRPr="001B6E4D">
              <w:rPr>
                <w:rFonts w:ascii="標楷體" w:eastAsia="標楷體" w:hAnsi="標楷體" w:hint="eastAsia"/>
                <w:szCs w:val="22"/>
              </w:rPr>
              <w:t>1</w:t>
            </w:r>
            <w:r w:rsidRPr="001B6E4D">
              <w:rPr>
                <w:rFonts w:ascii="標楷體" w:eastAsia="標楷體" w:hAnsi="標楷體"/>
                <w:szCs w:val="22"/>
              </w:rPr>
              <w:t>-</w:t>
            </w:r>
            <w:r w:rsidRPr="001B6E4D">
              <w:rPr>
                <w:rFonts w:ascii="標楷體" w:eastAsia="標楷體" w:hAnsi="標楷體" w:hint="eastAsia"/>
                <w:szCs w:val="22"/>
              </w:rPr>
              <w:t>5</w:t>
            </w:r>
            <w:r w:rsidRPr="001B6E4D">
              <w:rPr>
                <w:rFonts w:ascii="標楷體" w:eastAsia="標楷體" w:hAnsi="標楷體"/>
                <w:szCs w:val="22"/>
              </w:rPr>
              <w:t>-</w:t>
            </w:r>
            <w:r w:rsidRPr="001B6E4D">
              <w:rPr>
                <w:rFonts w:ascii="標楷體" w:eastAsia="標楷體" w:hAnsi="標楷體" w:hint="eastAsia"/>
                <w:szCs w:val="22"/>
              </w:rPr>
              <w:t>14</w:t>
            </w:r>
            <w:r w:rsidRPr="001B6E4D">
              <w:rPr>
                <w:rFonts w:ascii="標楷體" w:eastAsia="標楷體" w:hAnsi="標楷體"/>
                <w:szCs w:val="22"/>
              </w:rPr>
              <w:t>）</w:t>
            </w:r>
            <w:r w:rsidRPr="001B6E4D">
              <w:rPr>
                <w:rFonts w:ascii="標楷體" w:eastAsia="標楷體" w:hAnsi="標楷體" w:hint="eastAsia"/>
                <w:szCs w:val="22"/>
              </w:rPr>
              <w:t>三讀通過</w:t>
            </w:r>
            <w:r w:rsidRPr="001B6E4D">
              <w:rPr>
                <w:rFonts w:ascii="標楷體" w:eastAsia="標楷體" w:hAnsi="標楷體"/>
                <w:szCs w:val="22"/>
              </w:rPr>
              <w:t>。</w:t>
            </w:r>
          </w:p>
          <w:p w14:paraId="289D3A18" w14:textId="6D6FE04E"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3.本院咨文日期及文號：115年7月7日台立院議字第1150702302號</w:t>
            </w:r>
            <w:r w:rsidR="0032474A" w:rsidRPr="001B6E4D">
              <w:rPr>
                <w:rFonts w:ascii="標楷體" w:eastAsia="標楷體" w:hAnsi="標楷體" w:hint="eastAsia"/>
                <w:szCs w:val="22"/>
              </w:rPr>
              <w:t>。</w:t>
            </w:r>
          </w:p>
          <w:p w14:paraId="32CA7E57" w14:textId="64EFEA51"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4.總統公布日期及文號，總統府公報：115年7月15日華總一經字第11500064471號，第7871號</w:t>
            </w:r>
            <w:r w:rsidR="0032474A" w:rsidRPr="001B6E4D">
              <w:rPr>
                <w:rFonts w:ascii="標楷體" w:eastAsia="標楷體" w:hAnsi="標楷體" w:hint="eastAsia"/>
                <w:szCs w:val="22"/>
              </w:rPr>
              <w:t>。</w:t>
            </w:r>
          </w:p>
        </w:tc>
      </w:tr>
      <w:tr w:rsidR="00B36E53" w:rsidRPr="001B6E4D" w14:paraId="642CA3DF" w14:textId="77777777" w:rsidTr="00BC6AE7">
        <w:tc>
          <w:tcPr>
            <w:tcW w:w="656" w:type="dxa"/>
            <w:shd w:val="clear" w:color="auto" w:fill="auto"/>
          </w:tcPr>
          <w:p w14:paraId="2B90DF3A" w14:textId="77777777" w:rsidR="00B36E53" w:rsidRPr="001B6E4D" w:rsidRDefault="00B36E53" w:rsidP="003D1018">
            <w:pPr>
              <w:widowControl w:val="0"/>
              <w:kinsoku w:val="0"/>
              <w:overflowPunct w:val="0"/>
              <w:autoSpaceDE w:val="0"/>
              <w:autoSpaceDN w:val="0"/>
              <w:snapToGrid w:val="0"/>
              <w:spacing w:line="300" w:lineRule="exact"/>
              <w:jc w:val="center"/>
              <w:rPr>
                <w:rFonts w:ascii="標楷體" w:eastAsia="標楷體" w:hAnsi="標楷體"/>
                <w:bCs/>
                <w:color w:val="000000"/>
                <w:spacing w:val="-20"/>
                <w:szCs w:val="22"/>
              </w:rPr>
            </w:pPr>
            <w:r w:rsidRPr="001B6E4D">
              <w:rPr>
                <w:rFonts w:ascii="標楷體" w:eastAsia="標楷體" w:hAnsi="標楷體" w:hint="eastAsia"/>
                <w:bCs/>
                <w:color w:val="000000"/>
                <w:spacing w:val="-20"/>
                <w:szCs w:val="22"/>
              </w:rPr>
              <w:t>2</w:t>
            </w:r>
          </w:p>
        </w:tc>
        <w:tc>
          <w:tcPr>
            <w:tcW w:w="2694" w:type="dxa"/>
            <w:shd w:val="clear" w:color="auto" w:fill="auto"/>
          </w:tcPr>
          <w:p w14:paraId="6FD08990" w14:textId="77777777" w:rsidR="00B36E53" w:rsidRPr="001B6E4D" w:rsidRDefault="00B36E53" w:rsidP="003D1018">
            <w:pPr>
              <w:widowControl w:val="0"/>
              <w:kinsoku w:val="0"/>
              <w:overflowPunct w:val="0"/>
              <w:topLinePunct/>
              <w:autoSpaceDE w:val="0"/>
              <w:autoSpaceDN w:val="0"/>
              <w:adjustRightInd w:val="0"/>
              <w:snapToGrid w:val="0"/>
              <w:spacing w:line="300" w:lineRule="exact"/>
              <w:jc w:val="both"/>
              <w:rPr>
                <w:rFonts w:ascii="標楷體" w:eastAsia="標楷體" w:hAnsi="標楷體"/>
                <w:szCs w:val="22"/>
              </w:rPr>
            </w:pPr>
            <w:r w:rsidRPr="001B6E4D">
              <w:rPr>
                <w:rFonts w:ascii="標楷體" w:eastAsia="標楷體" w:hAnsi="標楷體"/>
                <w:szCs w:val="22"/>
              </w:rPr>
              <w:t>司法院函送財團法人法律扶助基金會</w:t>
            </w:r>
            <w:proofErr w:type="gramStart"/>
            <w:r w:rsidRPr="001B6E4D">
              <w:rPr>
                <w:rFonts w:ascii="標楷體" w:eastAsia="標楷體" w:hAnsi="標楷體"/>
                <w:szCs w:val="22"/>
              </w:rPr>
              <w:t>115</w:t>
            </w:r>
            <w:proofErr w:type="gramEnd"/>
            <w:r w:rsidRPr="001B6E4D">
              <w:rPr>
                <w:rFonts w:ascii="標楷體" w:eastAsia="標楷體" w:hAnsi="標楷體"/>
                <w:szCs w:val="22"/>
              </w:rPr>
              <w:t>年度預算書案。</w:t>
            </w:r>
          </w:p>
        </w:tc>
        <w:tc>
          <w:tcPr>
            <w:tcW w:w="1701" w:type="dxa"/>
            <w:shd w:val="clear" w:color="auto" w:fill="auto"/>
          </w:tcPr>
          <w:p w14:paraId="2E3A3CD2" w14:textId="77777777" w:rsidR="00B36E53" w:rsidRPr="001B6E4D" w:rsidRDefault="00B36E53" w:rsidP="003D1018">
            <w:pPr>
              <w:widowControl w:val="0"/>
              <w:overflowPunct w:val="0"/>
              <w:rPr>
                <w:rFonts w:ascii="標楷體" w:eastAsia="標楷體" w:hAnsi="標楷體"/>
                <w:szCs w:val="22"/>
              </w:rPr>
            </w:pPr>
            <w:r w:rsidRPr="001B6E4D">
              <w:rPr>
                <w:rFonts w:ascii="標楷體" w:eastAsia="標楷體" w:hAnsi="標楷體"/>
                <w:szCs w:val="22"/>
              </w:rPr>
              <w:t>司法院</w:t>
            </w:r>
          </w:p>
          <w:p w14:paraId="0B3C0029" w14:textId="77777777" w:rsidR="00B36E53" w:rsidRPr="001B6E4D" w:rsidRDefault="00B36E53" w:rsidP="003D1018">
            <w:pPr>
              <w:widowControl w:val="0"/>
              <w:overflowPunct w:val="0"/>
              <w:rPr>
                <w:rFonts w:ascii="標楷體" w:eastAsia="標楷體" w:hAnsi="標楷體"/>
                <w:szCs w:val="22"/>
              </w:rPr>
            </w:pPr>
            <w:r w:rsidRPr="001B6E4D">
              <w:rPr>
                <w:rFonts w:ascii="標楷體" w:eastAsia="標楷體" w:hAnsi="標楷體"/>
                <w:szCs w:val="22"/>
              </w:rPr>
              <w:t>114.10.03</w:t>
            </w:r>
          </w:p>
          <w:p w14:paraId="17DEDD65" w14:textId="77777777" w:rsidR="00B36E53" w:rsidRPr="001B6E4D" w:rsidRDefault="00B36E53" w:rsidP="003D1018">
            <w:pPr>
              <w:widowControl w:val="0"/>
              <w:overflowPunct w:val="0"/>
              <w:rPr>
                <w:rFonts w:ascii="標楷體" w:eastAsia="標楷體" w:hAnsi="標楷體"/>
                <w:szCs w:val="22"/>
              </w:rPr>
            </w:pPr>
            <w:r w:rsidRPr="001B6E4D">
              <w:rPr>
                <w:rFonts w:ascii="標楷體" w:eastAsia="標楷體" w:hAnsi="標楷體"/>
                <w:szCs w:val="22"/>
              </w:rPr>
              <w:t>（11-4-3）</w:t>
            </w:r>
          </w:p>
        </w:tc>
        <w:tc>
          <w:tcPr>
            <w:tcW w:w="1428" w:type="dxa"/>
            <w:shd w:val="clear" w:color="auto" w:fill="auto"/>
          </w:tcPr>
          <w:p w14:paraId="5BE01D84" w14:textId="77777777" w:rsidR="00B36E53" w:rsidRPr="001B6E4D" w:rsidRDefault="00B36E53" w:rsidP="003D1018">
            <w:pPr>
              <w:widowControl w:val="0"/>
              <w:overflowPunct w:val="0"/>
              <w:spacing w:line="300" w:lineRule="exact"/>
              <w:jc w:val="both"/>
              <w:rPr>
                <w:rFonts w:ascii="標楷體" w:eastAsia="標楷體" w:hAnsi="標楷體"/>
                <w:szCs w:val="22"/>
              </w:rPr>
            </w:pPr>
            <w:r w:rsidRPr="001B6E4D">
              <w:rPr>
                <w:rFonts w:ascii="標楷體" w:eastAsia="標楷體" w:hAnsi="標楷體" w:hint="eastAsia"/>
                <w:szCs w:val="22"/>
              </w:rPr>
              <w:t>司法及法制</w:t>
            </w:r>
          </w:p>
        </w:tc>
        <w:tc>
          <w:tcPr>
            <w:tcW w:w="2257" w:type="dxa"/>
            <w:shd w:val="clear" w:color="auto" w:fill="auto"/>
          </w:tcPr>
          <w:p w14:paraId="3FD94923"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1.本會</w:t>
            </w:r>
            <w:r w:rsidRPr="001B6E4D">
              <w:rPr>
                <w:rFonts w:ascii="標楷體" w:eastAsia="標楷體" w:hAnsi="標楷體"/>
                <w:szCs w:val="22"/>
              </w:rPr>
              <w:br/>
            </w:r>
            <w:r w:rsidRPr="001B6E4D">
              <w:rPr>
                <w:rFonts w:ascii="標楷體" w:eastAsia="標楷體" w:hAnsi="標楷體" w:hint="eastAsia"/>
                <w:szCs w:val="22"/>
              </w:rPr>
              <w:t>115.5.4</w:t>
            </w:r>
            <w:r w:rsidRPr="001B6E4D">
              <w:rPr>
                <w:rFonts w:ascii="標楷體" w:eastAsia="標楷體" w:hAnsi="標楷體"/>
                <w:szCs w:val="22"/>
              </w:rPr>
              <w:br/>
            </w:r>
            <w:r w:rsidRPr="001B6E4D">
              <w:rPr>
                <w:rFonts w:ascii="標楷體" w:eastAsia="標楷體" w:hAnsi="標楷體" w:hint="eastAsia"/>
                <w:szCs w:val="22"/>
              </w:rPr>
              <w:t>（11-5-11）、</w:t>
            </w:r>
            <w:r w:rsidRPr="001B6E4D">
              <w:rPr>
                <w:rFonts w:ascii="標楷體" w:eastAsia="標楷體" w:hAnsi="標楷體"/>
                <w:szCs w:val="22"/>
              </w:rPr>
              <w:br/>
            </w:r>
            <w:r w:rsidRPr="001B6E4D">
              <w:rPr>
                <w:rFonts w:ascii="標楷體" w:eastAsia="標楷體" w:hAnsi="標楷體" w:hint="eastAsia"/>
                <w:szCs w:val="22"/>
              </w:rPr>
              <w:t>115.5.18</w:t>
            </w:r>
            <w:r w:rsidRPr="001B6E4D">
              <w:rPr>
                <w:rFonts w:ascii="標楷體" w:eastAsia="標楷體" w:hAnsi="標楷體"/>
                <w:szCs w:val="22"/>
              </w:rPr>
              <w:br/>
            </w:r>
            <w:r w:rsidRPr="001B6E4D">
              <w:rPr>
                <w:rFonts w:ascii="標楷體" w:eastAsia="標楷體" w:hAnsi="標楷體" w:hint="eastAsia"/>
                <w:szCs w:val="22"/>
              </w:rPr>
              <w:lastRenderedPageBreak/>
              <w:t>（11-5-14）審查完竣，不須交由黨團協商。</w:t>
            </w:r>
          </w:p>
          <w:p w14:paraId="0DD7AB0B"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szCs w:val="22"/>
              </w:rPr>
              <w:br/>
              <w:t>11</w:t>
            </w:r>
            <w:r w:rsidRPr="001B6E4D">
              <w:rPr>
                <w:rFonts w:ascii="標楷體" w:eastAsia="標楷體" w:hAnsi="標楷體" w:hint="eastAsia"/>
                <w:szCs w:val="22"/>
              </w:rPr>
              <w:t>5</w:t>
            </w:r>
            <w:r w:rsidRPr="001B6E4D">
              <w:rPr>
                <w:rFonts w:ascii="標楷體" w:eastAsia="標楷體" w:hAnsi="標楷體"/>
                <w:szCs w:val="22"/>
              </w:rPr>
              <w:t>.</w:t>
            </w:r>
            <w:r w:rsidRPr="001B6E4D">
              <w:rPr>
                <w:rFonts w:ascii="標楷體" w:eastAsia="標楷體" w:hAnsi="標楷體" w:hint="eastAsia"/>
                <w:szCs w:val="22"/>
              </w:rPr>
              <w:t>6</w:t>
            </w:r>
            <w:r w:rsidRPr="001B6E4D">
              <w:rPr>
                <w:rFonts w:ascii="標楷體" w:eastAsia="標楷體" w:hAnsi="標楷體"/>
                <w:szCs w:val="22"/>
              </w:rPr>
              <w:t>.23</w:t>
            </w:r>
            <w:r w:rsidRPr="001B6E4D">
              <w:rPr>
                <w:rFonts w:ascii="標楷體" w:eastAsia="標楷體" w:hAnsi="標楷體"/>
                <w:szCs w:val="22"/>
              </w:rPr>
              <w:br/>
              <w:t>（1</w:t>
            </w:r>
            <w:r w:rsidRPr="001B6E4D">
              <w:rPr>
                <w:rFonts w:ascii="標楷體" w:eastAsia="標楷體" w:hAnsi="標楷體" w:hint="eastAsia"/>
                <w:szCs w:val="22"/>
              </w:rPr>
              <w:t>1</w:t>
            </w:r>
            <w:r w:rsidRPr="001B6E4D">
              <w:rPr>
                <w:rFonts w:ascii="標楷體" w:eastAsia="標楷體" w:hAnsi="標楷體"/>
                <w:szCs w:val="22"/>
              </w:rPr>
              <w:t>-</w:t>
            </w:r>
            <w:r w:rsidRPr="001B6E4D">
              <w:rPr>
                <w:rFonts w:ascii="標楷體" w:eastAsia="標楷體" w:hAnsi="標楷體" w:hint="eastAsia"/>
                <w:szCs w:val="22"/>
              </w:rPr>
              <w:t>5</w:t>
            </w:r>
            <w:r w:rsidRPr="001B6E4D">
              <w:rPr>
                <w:rFonts w:ascii="標楷體" w:eastAsia="標楷體" w:hAnsi="標楷體"/>
                <w:szCs w:val="22"/>
              </w:rPr>
              <w:t>-</w:t>
            </w:r>
            <w:r w:rsidRPr="001B6E4D">
              <w:rPr>
                <w:rFonts w:ascii="標楷體" w:eastAsia="標楷體" w:hAnsi="標楷體" w:hint="eastAsia"/>
                <w:szCs w:val="22"/>
              </w:rPr>
              <w:t>14</w:t>
            </w:r>
            <w:r w:rsidRPr="001B6E4D">
              <w:rPr>
                <w:rFonts w:ascii="標楷體" w:eastAsia="標楷體" w:hAnsi="標楷體"/>
                <w:szCs w:val="22"/>
              </w:rPr>
              <w:t>）</w:t>
            </w:r>
            <w:r w:rsidRPr="001B6E4D">
              <w:rPr>
                <w:rFonts w:ascii="標楷體" w:eastAsia="標楷體" w:hAnsi="標楷體" w:hint="eastAsia"/>
                <w:szCs w:val="22"/>
              </w:rPr>
              <w:t>三讀通過</w:t>
            </w:r>
            <w:r w:rsidRPr="001B6E4D">
              <w:rPr>
                <w:rFonts w:ascii="標楷體" w:eastAsia="標楷體" w:hAnsi="標楷體"/>
                <w:szCs w:val="22"/>
              </w:rPr>
              <w:t>。</w:t>
            </w:r>
          </w:p>
          <w:p w14:paraId="25C98AFB" w14:textId="0BE964BF"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3.本院咨文日期及文號：115年7月7日台立院議字第1150702304號</w:t>
            </w:r>
            <w:r w:rsidR="0032474A" w:rsidRPr="001B6E4D">
              <w:rPr>
                <w:rFonts w:ascii="標楷體" w:eastAsia="標楷體" w:hAnsi="標楷體" w:hint="eastAsia"/>
                <w:szCs w:val="22"/>
              </w:rPr>
              <w:t>。</w:t>
            </w:r>
          </w:p>
          <w:p w14:paraId="3FE58BB0" w14:textId="3AB483E9"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4.總統公布日期及文號，總統府公報：115年7月15日華總一經字第11500064481號，第7871號</w:t>
            </w:r>
            <w:r w:rsidR="0032474A" w:rsidRPr="001B6E4D">
              <w:rPr>
                <w:rFonts w:ascii="標楷體" w:eastAsia="標楷體" w:hAnsi="標楷體" w:hint="eastAsia"/>
                <w:szCs w:val="22"/>
              </w:rPr>
              <w:t>。</w:t>
            </w:r>
          </w:p>
        </w:tc>
      </w:tr>
    </w:tbl>
    <w:p w14:paraId="35EE3D78" w14:textId="77777777" w:rsidR="00B36E53" w:rsidRPr="001B6E4D" w:rsidRDefault="00B36E53"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70" w:name="_Toc240446533"/>
      <w:bookmarkStart w:id="171" w:name="_Hlk203470179"/>
      <w:r w:rsidRPr="001B6E4D">
        <w:rPr>
          <w:rFonts w:ascii="標楷體" w:hAnsi="標楷體"/>
          <w:color w:val="000000" w:themeColor="text1"/>
          <w:szCs w:val="28"/>
          <w:shd w:val="clear" w:color="auto" w:fill="FFFFFF" w:themeFill="background1"/>
        </w:rPr>
        <w:lastRenderedPageBreak/>
        <w:t>［</w:t>
      </w:r>
      <w:r w:rsidRPr="001B6E4D">
        <w:rPr>
          <w:rFonts w:ascii="標楷體" w:hAnsi="標楷體" w:hint="eastAsia"/>
          <w:color w:val="000000" w:themeColor="text1"/>
          <w:szCs w:val="28"/>
          <w:shd w:val="clear" w:color="auto" w:fill="FFFFFF" w:themeFill="background1"/>
        </w:rPr>
        <w:t>參</w:t>
      </w:r>
      <w:r w:rsidRPr="001B6E4D">
        <w:rPr>
          <w:rFonts w:ascii="標楷體" w:hAnsi="標楷體"/>
          <w:color w:val="000000" w:themeColor="text1"/>
          <w:szCs w:val="28"/>
          <w:shd w:val="clear" w:color="auto" w:fill="FFFFFF" w:themeFill="background1"/>
        </w:rPr>
        <w:t>］</w:t>
      </w:r>
      <w:r w:rsidRPr="001B6E4D">
        <w:rPr>
          <w:rFonts w:ascii="標楷體" w:hAnsi="標楷體" w:hint="eastAsia"/>
          <w:color w:val="000000" w:themeColor="text1"/>
          <w:szCs w:val="28"/>
          <w:shd w:val="clear" w:color="auto" w:fill="FFFFFF" w:themeFill="background1"/>
        </w:rPr>
        <w:t>行政命令</w:t>
      </w:r>
      <w:r w:rsidRPr="001B6E4D">
        <w:rPr>
          <w:rFonts w:ascii="標楷體" w:hAnsi="標楷體"/>
          <w:color w:val="000000" w:themeColor="text1"/>
          <w:szCs w:val="28"/>
          <w:shd w:val="clear" w:color="auto" w:fill="FFFFFF" w:themeFill="background1"/>
        </w:rPr>
        <w:t>案</w:t>
      </w:r>
      <w:r w:rsidRPr="001B6E4D">
        <w:rPr>
          <w:rFonts w:ascii="標楷體" w:hAnsi="標楷體" w:hint="eastAsia"/>
          <w:color w:val="000000" w:themeColor="text1"/>
          <w:szCs w:val="28"/>
          <w:shd w:val="clear" w:color="auto" w:fill="FFFFFF" w:themeFill="background1"/>
        </w:rPr>
        <w:t>4</w:t>
      </w:r>
      <w:r w:rsidRPr="001B6E4D">
        <w:rPr>
          <w:rFonts w:ascii="標楷體" w:hAnsi="標楷體"/>
          <w:color w:val="000000" w:themeColor="text1"/>
          <w:szCs w:val="28"/>
          <w:shd w:val="clear" w:color="auto" w:fill="FFFFFF" w:themeFill="background1"/>
        </w:rPr>
        <w:t>案</w:t>
      </w:r>
      <w:bookmarkEnd w:id="170"/>
    </w:p>
    <w:tbl>
      <w:tblPr>
        <w:tblW w:w="8789" w:type="dxa"/>
        <w:tblInd w:w="-34" w:type="dxa"/>
        <w:tblBorders>
          <w:top w:val="single" w:sz="18" w:space="0" w:color="auto"/>
          <w:left w:val="single" w:sz="18" w:space="0" w:color="auto"/>
          <w:bottom w:val="single" w:sz="18" w:space="0" w:color="auto"/>
          <w:right w:val="single" w:sz="18" w:space="0" w:color="auto"/>
          <w:insideH w:val="single" w:sz="8" w:space="0" w:color="auto"/>
          <w:insideV w:val="single" w:sz="6" w:space="0" w:color="auto"/>
        </w:tblBorders>
        <w:tblLook w:val="04A0" w:firstRow="1" w:lastRow="0" w:firstColumn="1" w:lastColumn="0" w:noHBand="0" w:noVBand="1"/>
      </w:tblPr>
      <w:tblGrid>
        <w:gridCol w:w="709"/>
        <w:gridCol w:w="2648"/>
        <w:gridCol w:w="1747"/>
        <w:gridCol w:w="1701"/>
        <w:gridCol w:w="1984"/>
      </w:tblGrid>
      <w:tr w:rsidR="00B36E53" w:rsidRPr="001B6E4D" w14:paraId="37779D67" w14:textId="77777777" w:rsidTr="000B2A53">
        <w:tc>
          <w:tcPr>
            <w:tcW w:w="709" w:type="dxa"/>
            <w:hideMark/>
          </w:tcPr>
          <w:p w14:paraId="0FB8ECE7" w14:textId="77777777" w:rsidR="00B36E53" w:rsidRPr="001B6E4D" w:rsidRDefault="00B36E53"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hint="eastAsia"/>
                <w:b/>
                <w:spacing w:val="-20"/>
                <w:szCs w:val="22"/>
              </w:rPr>
              <w:t>序號</w:t>
            </w:r>
          </w:p>
        </w:tc>
        <w:tc>
          <w:tcPr>
            <w:tcW w:w="2648" w:type="dxa"/>
            <w:hideMark/>
          </w:tcPr>
          <w:p w14:paraId="44651842" w14:textId="77777777" w:rsidR="00B36E53" w:rsidRPr="001B6E4D" w:rsidRDefault="00B36E53"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hint="eastAsia"/>
                <w:b/>
                <w:spacing w:val="-20"/>
                <w:szCs w:val="22"/>
              </w:rPr>
              <w:t>議案名稱</w:t>
            </w:r>
          </w:p>
        </w:tc>
        <w:tc>
          <w:tcPr>
            <w:tcW w:w="1747" w:type="dxa"/>
            <w:hideMark/>
          </w:tcPr>
          <w:p w14:paraId="75607A9C" w14:textId="77777777" w:rsidR="00B36E53" w:rsidRPr="001B6E4D" w:rsidRDefault="00B36E53" w:rsidP="003D1018">
            <w:pPr>
              <w:widowControl w:val="0"/>
              <w:kinsoku w:val="0"/>
              <w:overflowPunct w:val="0"/>
              <w:spacing w:line="300" w:lineRule="exact"/>
              <w:rPr>
                <w:rFonts w:ascii="標楷體" w:eastAsia="標楷體" w:hAnsi="標楷體"/>
                <w:b/>
                <w:spacing w:val="-20"/>
                <w:szCs w:val="22"/>
              </w:rPr>
            </w:pPr>
            <w:r w:rsidRPr="001B6E4D">
              <w:rPr>
                <w:rFonts w:ascii="標楷體" w:eastAsia="標楷體" w:hAnsi="標楷體" w:hint="eastAsia"/>
                <w:b/>
                <w:spacing w:val="-20"/>
                <w:szCs w:val="22"/>
              </w:rPr>
              <w:t>提案機關、院會交付日期 (會次)</w:t>
            </w:r>
          </w:p>
        </w:tc>
        <w:tc>
          <w:tcPr>
            <w:tcW w:w="1701" w:type="dxa"/>
            <w:hideMark/>
          </w:tcPr>
          <w:p w14:paraId="114C9C53" w14:textId="77777777" w:rsidR="00B36E53" w:rsidRPr="001B6E4D" w:rsidRDefault="00B36E53"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hint="eastAsia"/>
                <w:b/>
                <w:spacing w:val="-20"/>
                <w:szCs w:val="22"/>
              </w:rPr>
              <w:t>委員會</w:t>
            </w:r>
          </w:p>
        </w:tc>
        <w:tc>
          <w:tcPr>
            <w:tcW w:w="1984" w:type="dxa"/>
            <w:hideMark/>
          </w:tcPr>
          <w:p w14:paraId="4315D420" w14:textId="77777777" w:rsidR="00B36E53" w:rsidRPr="001B6E4D" w:rsidRDefault="00B36E53"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hint="eastAsia"/>
                <w:b/>
                <w:color w:val="000000"/>
                <w:spacing w:val="-20"/>
                <w:szCs w:val="22"/>
              </w:rPr>
              <w:t>審查、處理</w:t>
            </w:r>
            <w:r w:rsidRPr="001B6E4D">
              <w:rPr>
                <w:rFonts w:ascii="標楷體" w:eastAsia="標楷體" w:hAnsi="標楷體" w:hint="eastAsia"/>
                <w:b/>
                <w:spacing w:val="-20"/>
                <w:szCs w:val="22"/>
              </w:rPr>
              <w:t>情形</w:t>
            </w:r>
          </w:p>
        </w:tc>
      </w:tr>
      <w:tr w:rsidR="00B36E53" w:rsidRPr="001B6E4D" w14:paraId="6434C968" w14:textId="77777777" w:rsidTr="000B2A53">
        <w:tc>
          <w:tcPr>
            <w:tcW w:w="709" w:type="dxa"/>
            <w:shd w:val="clear" w:color="auto" w:fill="auto"/>
          </w:tcPr>
          <w:p w14:paraId="02DE40BA" w14:textId="77777777" w:rsidR="00B36E53" w:rsidRPr="001B6E4D" w:rsidRDefault="00B36E53" w:rsidP="003D1018">
            <w:pPr>
              <w:widowControl w:val="0"/>
              <w:overflowPunct w:val="0"/>
              <w:spacing w:line="300" w:lineRule="exact"/>
              <w:jc w:val="center"/>
              <w:rPr>
                <w:rFonts w:ascii="標楷體" w:eastAsia="標楷體" w:hAnsi="標楷體"/>
                <w:spacing w:val="-20"/>
              </w:rPr>
            </w:pPr>
            <w:r w:rsidRPr="001B6E4D">
              <w:rPr>
                <w:rFonts w:ascii="標楷體" w:eastAsia="標楷體" w:hAnsi="標楷體" w:hint="eastAsia"/>
                <w:spacing w:val="-20"/>
              </w:rPr>
              <w:t>1</w:t>
            </w:r>
          </w:p>
        </w:tc>
        <w:tc>
          <w:tcPr>
            <w:tcW w:w="2648" w:type="dxa"/>
            <w:shd w:val="clear" w:color="auto" w:fill="auto"/>
          </w:tcPr>
          <w:p w14:paraId="2365DDEA" w14:textId="77777777" w:rsidR="00B36E53" w:rsidRPr="001B6E4D" w:rsidRDefault="00B36E53" w:rsidP="003D1018">
            <w:pPr>
              <w:widowControl w:val="0"/>
              <w:overflowPunct w:val="0"/>
              <w:spacing w:line="300" w:lineRule="exact"/>
              <w:jc w:val="both"/>
              <w:rPr>
                <w:rFonts w:ascii="標楷體" w:eastAsia="標楷體" w:hAnsi="標楷體"/>
                <w:kern w:val="0"/>
                <w:szCs w:val="22"/>
              </w:rPr>
            </w:pPr>
            <w:proofErr w:type="gramStart"/>
            <w:r w:rsidRPr="001B6E4D">
              <w:rPr>
                <w:rFonts w:ascii="標楷體" w:eastAsia="標楷體" w:hAnsi="標楷體"/>
                <w:kern w:val="0"/>
                <w:szCs w:val="22"/>
              </w:rPr>
              <w:t>環境部函</w:t>
            </w:r>
            <w:proofErr w:type="gramEnd"/>
            <w:r w:rsidRPr="001B6E4D">
              <w:rPr>
                <w:rFonts w:ascii="標楷體" w:eastAsia="標楷體" w:hAnsi="標楷體"/>
                <w:kern w:val="0"/>
                <w:szCs w:val="22"/>
              </w:rPr>
              <w:t>，為修正「環境部環境影響評估審查委員會組織規程」第四條及第十一條條文，請查照案。</w:t>
            </w:r>
          </w:p>
        </w:tc>
        <w:tc>
          <w:tcPr>
            <w:tcW w:w="1747" w:type="dxa"/>
            <w:shd w:val="clear" w:color="auto" w:fill="auto"/>
          </w:tcPr>
          <w:p w14:paraId="15FF1249"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t>環境部</w:t>
            </w:r>
          </w:p>
          <w:p w14:paraId="756D2E71"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114.10.28</w:t>
            </w:r>
          </w:p>
          <w:p w14:paraId="789BA088"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（11-4-6）</w:t>
            </w:r>
          </w:p>
        </w:tc>
        <w:tc>
          <w:tcPr>
            <w:tcW w:w="1701" w:type="dxa"/>
            <w:shd w:val="clear" w:color="auto" w:fill="auto"/>
          </w:tcPr>
          <w:p w14:paraId="056A6870" w14:textId="77777777" w:rsidR="00B36E53" w:rsidRPr="001B6E4D" w:rsidRDefault="00B36E53"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司法及法制、社會福利及衛生環境</w:t>
            </w:r>
          </w:p>
        </w:tc>
        <w:tc>
          <w:tcPr>
            <w:tcW w:w="1984" w:type="dxa"/>
            <w:shd w:val="clear" w:color="auto" w:fill="auto"/>
          </w:tcPr>
          <w:p w14:paraId="5E353ADF"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1.已逾立法院職權行使法第61條所定審查期限，依規定提報院會存查。</w:t>
            </w:r>
          </w:p>
          <w:p w14:paraId="3B2060F7"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hint="eastAsia"/>
                <w:szCs w:val="22"/>
              </w:rPr>
              <w:br/>
              <w:t>115.3.27</w:t>
            </w:r>
            <w:r w:rsidRPr="001B6E4D">
              <w:rPr>
                <w:rFonts w:ascii="標楷體" w:eastAsia="標楷體" w:hAnsi="標楷體" w:hint="eastAsia"/>
                <w:szCs w:val="22"/>
              </w:rPr>
              <w:br/>
              <w:t>（11-5-5）准予備查。</w:t>
            </w:r>
          </w:p>
        </w:tc>
      </w:tr>
      <w:tr w:rsidR="00B36E53" w:rsidRPr="001B6E4D" w14:paraId="512231F8" w14:textId="77777777" w:rsidTr="000B2A53">
        <w:tc>
          <w:tcPr>
            <w:tcW w:w="709" w:type="dxa"/>
            <w:shd w:val="clear" w:color="auto" w:fill="auto"/>
          </w:tcPr>
          <w:p w14:paraId="581F8747" w14:textId="77777777" w:rsidR="00B36E53" w:rsidRPr="001B6E4D" w:rsidRDefault="00B36E53" w:rsidP="003D1018">
            <w:pPr>
              <w:widowControl w:val="0"/>
              <w:overflowPunct w:val="0"/>
              <w:spacing w:line="300" w:lineRule="exact"/>
              <w:jc w:val="center"/>
              <w:rPr>
                <w:rFonts w:ascii="標楷體" w:eastAsia="標楷體" w:hAnsi="標楷體"/>
                <w:spacing w:val="-20"/>
              </w:rPr>
            </w:pPr>
            <w:r w:rsidRPr="001B6E4D">
              <w:rPr>
                <w:rFonts w:ascii="標楷體" w:eastAsia="標楷體" w:hAnsi="標楷體" w:hint="eastAsia"/>
                <w:spacing w:val="-20"/>
              </w:rPr>
              <w:t>2</w:t>
            </w:r>
          </w:p>
        </w:tc>
        <w:tc>
          <w:tcPr>
            <w:tcW w:w="2648" w:type="dxa"/>
            <w:shd w:val="clear" w:color="auto" w:fill="auto"/>
          </w:tcPr>
          <w:p w14:paraId="4C95893B" w14:textId="77777777" w:rsidR="00B36E53" w:rsidRPr="001B6E4D" w:rsidRDefault="00B36E53" w:rsidP="003D1018">
            <w:pPr>
              <w:widowControl w:val="0"/>
              <w:overflowPunct w:val="0"/>
              <w:spacing w:line="300" w:lineRule="exact"/>
              <w:jc w:val="both"/>
              <w:rPr>
                <w:rFonts w:ascii="標楷體" w:eastAsia="標楷體" w:hAnsi="標楷體"/>
                <w:kern w:val="0"/>
                <w:szCs w:val="22"/>
              </w:rPr>
            </w:pPr>
            <w:proofErr w:type="gramStart"/>
            <w:r w:rsidRPr="001B6E4D">
              <w:rPr>
                <w:rFonts w:ascii="標楷體" w:eastAsia="標楷體" w:hAnsi="標楷體"/>
                <w:kern w:val="0"/>
                <w:szCs w:val="22"/>
              </w:rPr>
              <w:t>勞動部函</w:t>
            </w:r>
            <w:proofErr w:type="gramEnd"/>
            <w:r w:rsidRPr="001B6E4D">
              <w:rPr>
                <w:rFonts w:ascii="標楷體" w:eastAsia="標楷體" w:hAnsi="標楷體"/>
                <w:kern w:val="0"/>
                <w:szCs w:val="22"/>
              </w:rPr>
              <w:t>，為修正「勞動部勞動力</w:t>
            </w:r>
            <w:proofErr w:type="gramStart"/>
            <w:r w:rsidRPr="001B6E4D">
              <w:rPr>
                <w:rFonts w:ascii="標楷體" w:eastAsia="標楷體" w:hAnsi="標楷體"/>
                <w:kern w:val="0"/>
                <w:szCs w:val="22"/>
              </w:rPr>
              <w:t>發展署北基</w:t>
            </w:r>
            <w:proofErr w:type="gramEnd"/>
            <w:r w:rsidRPr="001B6E4D">
              <w:rPr>
                <w:rFonts w:ascii="標楷體" w:eastAsia="標楷體" w:hAnsi="標楷體"/>
                <w:kern w:val="0"/>
                <w:szCs w:val="22"/>
              </w:rPr>
              <w:t>宜花金馬分署編制表」等6項編制表，請查照案。</w:t>
            </w:r>
          </w:p>
        </w:tc>
        <w:tc>
          <w:tcPr>
            <w:tcW w:w="1747" w:type="dxa"/>
            <w:shd w:val="clear" w:color="auto" w:fill="auto"/>
          </w:tcPr>
          <w:p w14:paraId="1FBE7F7E"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t>勞動部</w:t>
            </w:r>
          </w:p>
          <w:p w14:paraId="6A2DBD31"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114.10.31</w:t>
            </w:r>
          </w:p>
          <w:p w14:paraId="77BFF862"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（11-4-7）</w:t>
            </w:r>
          </w:p>
        </w:tc>
        <w:tc>
          <w:tcPr>
            <w:tcW w:w="1701" w:type="dxa"/>
            <w:shd w:val="clear" w:color="auto" w:fill="auto"/>
          </w:tcPr>
          <w:p w14:paraId="1AA8C3E9" w14:textId="77777777" w:rsidR="00B36E53" w:rsidRPr="001B6E4D" w:rsidRDefault="00B36E53"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司法及法制、社會福利及衛生環境</w:t>
            </w:r>
          </w:p>
        </w:tc>
        <w:tc>
          <w:tcPr>
            <w:tcW w:w="1984" w:type="dxa"/>
            <w:shd w:val="clear" w:color="auto" w:fill="auto"/>
          </w:tcPr>
          <w:p w14:paraId="5770824E"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1.已逾立法院職權行使法第61條所定審查期限，依規定提報院會存查。</w:t>
            </w:r>
          </w:p>
          <w:p w14:paraId="1243E12D"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hint="eastAsia"/>
                <w:szCs w:val="22"/>
              </w:rPr>
              <w:br/>
              <w:t>115.4.10</w:t>
            </w:r>
            <w:r w:rsidRPr="001B6E4D">
              <w:rPr>
                <w:rFonts w:ascii="標楷體" w:eastAsia="標楷體" w:hAnsi="標楷體" w:hint="eastAsia"/>
                <w:szCs w:val="22"/>
              </w:rPr>
              <w:br/>
              <w:t>（11-5-6）准予備查。</w:t>
            </w:r>
          </w:p>
        </w:tc>
      </w:tr>
      <w:tr w:rsidR="00B36E53" w:rsidRPr="001B6E4D" w14:paraId="26C98B7C" w14:textId="77777777" w:rsidTr="000B2A53">
        <w:tc>
          <w:tcPr>
            <w:tcW w:w="709" w:type="dxa"/>
            <w:shd w:val="clear" w:color="auto" w:fill="auto"/>
          </w:tcPr>
          <w:p w14:paraId="27E3E0E5" w14:textId="77777777" w:rsidR="00B36E53" w:rsidRPr="001B6E4D" w:rsidRDefault="00B36E53" w:rsidP="003D1018">
            <w:pPr>
              <w:widowControl w:val="0"/>
              <w:overflowPunct w:val="0"/>
              <w:spacing w:line="300" w:lineRule="exact"/>
              <w:jc w:val="center"/>
              <w:rPr>
                <w:rFonts w:ascii="標楷體" w:eastAsia="標楷體" w:hAnsi="標楷體"/>
                <w:spacing w:val="-20"/>
              </w:rPr>
            </w:pPr>
            <w:r w:rsidRPr="001B6E4D">
              <w:rPr>
                <w:rFonts w:ascii="標楷體" w:eastAsia="標楷體" w:hAnsi="標楷體" w:hint="eastAsia"/>
                <w:spacing w:val="-20"/>
              </w:rPr>
              <w:t>3</w:t>
            </w:r>
          </w:p>
        </w:tc>
        <w:tc>
          <w:tcPr>
            <w:tcW w:w="2648" w:type="dxa"/>
            <w:shd w:val="clear" w:color="auto" w:fill="auto"/>
          </w:tcPr>
          <w:p w14:paraId="6C3776F3" w14:textId="77777777" w:rsidR="00B36E53" w:rsidRPr="001B6E4D" w:rsidRDefault="00B36E53"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國防部函送「國家軍事博物館籌備處暫行組織規程」、「國家軍事博物館籌備處辦事細則」及「國家軍事博物館籌備處編制表」，請查照</w:t>
            </w:r>
            <w:r w:rsidRPr="001B6E4D">
              <w:rPr>
                <w:rFonts w:ascii="標楷體" w:eastAsia="標楷體" w:hAnsi="標楷體"/>
                <w:kern w:val="0"/>
                <w:szCs w:val="22"/>
              </w:rPr>
              <w:lastRenderedPageBreak/>
              <w:t>案。</w:t>
            </w:r>
          </w:p>
        </w:tc>
        <w:tc>
          <w:tcPr>
            <w:tcW w:w="1747" w:type="dxa"/>
            <w:shd w:val="clear" w:color="auto" w:fill="auto"/>
          </w:tcPr>
          <w:p w14:paraId="26DB263D"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lastRenderedPageBreak/>
              <w:t>國防部</w:t>
            </w:r>
          </w:p>
          <w:p w14:paraId="4056C39C"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114.11.28</w:t>
            </w:r>
          </w:p>
          <w:p w14:paraId="5B9AFC28"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（11-4-11）</w:t>
            </w:r>
          </w:p>
        </w:tc>
        <w:tc>
          <w:tcPr>
            <w:tcW w:w="1701" w:type="dxa"/>
            <w:shd w:val="clear" w:color="auto" w:fill="auto"/>
          </w:tcPr>
          <w:p w14:paraId="63C8651E" w14:textId="77777777" w:rsidR="00B36E53" w:rsidRPr="001B6E4D" w:rsidRDefault="00B36E53"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司法及法制、外交及國防</w:t>
            </w:r>
          </w:p>
        </w:tc>
        <w:tc>
          <w:tcPr>
            <w:tcW w:w="1984" w:type="dxa"/>
            <w:shd w:val="clear" w:color="auto" w:fill="auto"/>
          </w:tcPr>
          <w:p w14:paraId="19DC20E5"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1.已逾立法院職權行使法第61條所定審查期限，依規定提報院會存查。</w:t>
            </w:r>
          </w:p>
          <w:p w14:paraId="2CE6A15F"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hint="eastAsia"/>
                <w:szCs w:val="22"/>
              </w:rPr>
              <w:br/>
            </w:r>
            <w:r w:rsidRPr="001B6E4D">
              <w:rPr>
                <w:rFonts w:ascii="標楷體" w:eastAsia="標楷體" w:hAnsi="標楷體" w:hint="eastAsia"/>
                <w:szCs w:val="22"/>
              </w:rPr>
              <w:lastRenderedPageBreak/>
              <w:t>115.5.8</w:t>
            </w:r>
            <w:r w:rsidRPr="001B6E4D">
              <w:rPr>
                <w:rFonts w:ascii="標楷體" w:eastAsia="標楷體" w:hAnsi="標楷體" w:hint="eastAsia"/>
                <w:szCs w:val="22"/>
              </w:rPr>
              <w:br/>
              <w:t>（11-5-9）准予備查。</w:t>
            </w:r>
          </w:p>
        </w:tc>
      </w:tr>
      <w:tr w:rsidR="00B36E53" w:rsidRPr="001B6E4D" w14:paraId="310A930C" w14:textId="77777777" w:rsidTr="000B2A53">
        <w:tc>
          <w:tcPr>
            <w:tcW w:w="709" w:type="dxa"/>
            <w:shd w:val="clear" w:color="auto" w:fill="auto"/>
          </w:tcPr>
          <w:p w14:paraId="1CF8E2F3" w14:textId="77777777" w:rsidR="00B36E53" w:rsidRPr="001B6E4D" w:rsidRDefault="00B36E53" w:rsidP="003D1018">
            <w:pPr>
              <w:widowControl w:val="0"/>
              <w:overflowPunct w:val="0"/>
              <w:spacing w:line="300" w:lineRule="exact"/>
              <w:jc w:val="center"/>
              <w:rPr>
                <w:rFonts w:ascii="標楷體" w:eastAsia="標楷體" w:hAnsi="標楷體"/>
                <w:spacing w:val="-20"/>
              </w:rPr>
            </w:pPr>
            <w:r w:rsidRPr="001B6E4D">
              <w:rPr>
                <w:rFonts w:ascii="標楷體" w:eastAsia="標楷體" w:hAnsi="標楷體" w:hint="eastAsia"/>
                <w:spacing w:val="-20"/>
              </w:rPr>
              <w:lastRenderedPageBreak/>
              <w:t>4</w:t>
            </w:r>
          </w:p>
        </w:tc>
        <w:tc>
          <w:tcPr>
            <w:tcW w:w="2648" w:type="dxa"/>
            <w:shd w:val="clear" w:color="auto" w:fill="auto"/>
          </w:tcPr>
          <w:p w14:paraId="13274205" w14:textId="77777777" w:rsidR="00B36E53" w:rsidRPr="001B6E4D" w:rsidRDefault="00B36E53"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司法院函送「法庭錄音錄影公開播送實施辦法」，請查照案。</w:t>
            </w:r>
          </w:p>
        </w:tc>
        <w:tc>
          <w:tcPr>
            <w:tcW w:w="1747" w:type="dxa"/>
            <w:shd w:val="clear" w:color="auto" w:fill="auto"/>
          </w:tcPr>
          <w:p w14:paraId="641C8711"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t>司法院</w:t>
            </w:r>
          </w:p>
          <w:p w14:paraId="35767B6E"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114.10.31</w:t>
            </w:r>
          </w:p>
          <w:p w14:paraId="1D6A0627" w14:textId="77777777" w:rsidR="00B36E53" w:rsidRPr="001B6E4D" w:rsidRDefault="00B36E53" w:rsidP="003D1018">
            <w:pPr>
              <w:widowControl w:val="0"/>
              <w:overflowPunct w:val="0"/>
              <w:rPr>
                <w:rFonts w:ascii="標楷體" w:eastAsia="標楷體" w:hAnsi="標楷體"/>
                <w:kern w:val="0"/>
                <w:szCs w:val="22"/>
              </w:rPr>
            </w:pPr>
            <w:r w:rsidRPr="001B6E4D">
              <w:rPr>
                <w:rFonts w:ascii="標楷體" w:eastAsia="標楷體" w:hAnsi="標楷體"/>
                <w:kern w:val="0"/>
                <w:szCs w:val="22"/>
              </w:rPr>
              <w:t>（11-4-7）</w:t>
            </w:r>
          </w:p>
        </w:tc>
        <w:tc>
          <w:tcPr>
            <w:tcW w:w="1701" w:type="dxa"/>
            <w:shd w:val="clear" w:color="auto" w:fill="auto"/>
          </w:tcPr>
          <w:p w14:paraId="077ABBD2" w14:textId="77777777" w:rsidR="00B36E53" w:rsidRPr="001B6E4D" w:rsidRDefault="00B36E53"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w:t>
            </w:r>
          </w:p>
        </w:tc>
        <w:tc>
          <w:tcPr>
            <w:tcW w:w="1984" w:type="dxa"/>
            <w:shd w:val="clear" w:color="auto" w:fill="auto"/>
          </w:tcPr>
          <w:p w14:paraId="0A841CDE"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1.本會</w:t>
            </w:r>
            <w:r w:rsidRPr="001B6E4D">
              <w:rPr>
                <w:rFonts w:ascii="標楷體" w:eastAsia="標楷體" w:hAnsi="標楷體"/>
                <w:szCs w:val="22"/>
              </w:rPr>
              <w:br/>
              <w:t>114.11.20</w:t>
            </w:r>
            <w:r w:rsidRPr="001B6E4D">
              <w:rPr>
                <w:rFonts w:ascii="標楷體" w:eastAsia="標楷體" w:hAnsi="標楷體"/>
                <w:szCs w:val="22"/>
              </w:rPr>
              <w:br/>
            </w:r>
            <w:r w:rsidRPr="001B6E4D">
              <w:rPr>
                <w:rFonts w:ascii="標楷體" w:eastAsia="標楷體" w:hAnsi="標楷體" w:hint="eastAsia"/>
                <w:szCs w:val="22"/>
              </w:rPr>
              <w:t>(11-4-10)報告及</w:t>
            </w:r>
            <w:proofErr w:type="gramStart"/>
            <w:r w:rsidRPr="001B6E4D">
              <w:rPr>
                <w:rFonts w:ascii="標楷體" w:eastAsia="標楷體" w:hAnsi="標楷體" w:hint="eastAsia"/>
                <w:szCs w:val="22"/>
              </w:rPr>
              <w:t>詢</w:t>
            </w:r>
            <w:proofErr w:type="gramEnd"/>
            <w:r w:rsidRPr="001B6E4D">
              <w:rPr>
                <w:rFonts w:ascii="標楷體" w:eastAsia="標楷體" w:hAnsi="標楷體" w:hint="eastAsia"/>
                <w:szCs w:val="22"/>
              </w:rPr>
              <w:t>答完畢，另定期繼續審查。</w:t>
            </w:r>
          </w:p>
          <w:p w14:paraId="09541F42"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2.院會</w:t>
            </w:r>
            <w:r w:rsidRPr="001B6E4D">
              <w:rPr>
                <w:rFonts w:ascii="標楷體" w:eastAsia="標楷體" w:hAnsi="標楷體"/>
                <w:szCs w:val="22"/>
              </w:rPr>
              <w:br/>
              <w:t>115.4.10</w:t>
            </w:r>
            <w:r w:rsidRPr="001B6E4D">
              <w:rPr>
                <w:rFonts w:ascii="標楷體" w:eastAsia="標楷體" w:hAnsi="標楷體"/>
                <w:szCs w:val="22"/>
              </w:rPr>
              <w:br/>
            </w:r>
            <w:r w:rsidRPr="001B6E4D">
              <w:rPr>
                <w:rFonts w:ascii="標楷體" w:eastAsia="標楷體" w:hAnsi="標楷體" w:hint="eastAsia"/>
                <w:szCs w:val="22"/>
              </w:rPr>
              <w:t>（11-5-6）展延。</w:t>
            </w:r>
          </w:p>
          <w:p w14:paraId="7B3FD9B3"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3.已逾立法院職權行使法第61條所定審查期限，依規定提報院會存查。</w:t>
            </w:r>
          </w:p>
          <w:p w14:paraId="5B8FA71B" w14:textId="77777777" w:rsidR="00B36E53" w:rsidRPr="001B6E4D" w:rsidRDefault="00B36E53"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4.院會</w:t>
            </w:r>
            <w:r w:rsidRPr="001B6E4D">
              <w:rPr>
                <w:rFonts w:ascii="標楷體" w:eastAsia="標楷體" w:hAnsi="標楷體" w:hint="eastAsia"/>
                <w:szCs w:val="22"/>
              </w:rPr>
              <w:br/>
              <w:t>115.8.14</w:t>
            </w:r>
            <w:r w:rsidRPr="001B6E4D">
              <w:rPr>
                <w:rFonts w:ascii="標楷體" w:eastAsia="標楷體" w:hAnsi="標楷體" w:hint="eastAsia"/>
                <w:szCs w:val="22"/>
              </w:rPr>
              <w:br/>
              <w:t>（11-5-22）准予備查。</w:t>
            </w:r>
          </w:p>
        </w:tc>
      </w:tr>
    </w:tbl>
    <w:p w14:paraId="52EC51EA" w14:textId="4FBFEA80" w:rsidR="000E31F5" w:rsidRPr="001B6E4D" w:rsidRDefault="001C2CBE"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72" w:name="_Toc240446534"/>
      <w:bookmarkEnd w:id="164"/>
      <w:bookmarkEnd w:id="167"/>
      <w:bookmarkEnd w:id="168"/>
      <w:bookmarkEnd w:id="171"/>
      <w:r w:rsidRPr="001B6E4D">
        <w:rPr>
          <w:rFonts w:ascii="標楷體" w:hAnsi="標楷體"/>
          <w:color w:val="000000" w:themeColor="text1"/>
          <w:szCs w:val="28"/>
          <w:shd w:val="clear" w:color="auto" w:fill="FFFFFF" w:themeFill="background1"/>
        </w:rPr>
        <w:t>［</w:t>
      </w:r>
      <w:r w:rsidRPr="001B6E4D">
        <w:rPr>
          <w:rFonts w:ascii="標楷體" w:hAnsi="標楷體" w:hint="eastAsia"/>
          <w:color w:val="000000" w:themeColor="text1"/>
          <w:szCs w:val="28"/>
          <w:shd w:val="clear" w:color="auto" w:fill="FFFFFF" w:themeFill="background1"/>
        </w:rPr>
        <w:t>肆</w:t>
      </w:r>
      <w:r w:rsidRPr="001B6E4D">
        <w:rPr>
          <w:rFonts w:ascii="標楷體" w:hAnsi="標楷體"/>
          <w:color w:val="000000" w:themeColor="text1"/>
          <w:szCs w:val="28"/>
          <w:shd w:val="clear" w:color="auto" w:fill="FFFFFF" w:themeFill="background1"/>
        </w:rPr>
        <w:t>］</w:t>
      </w:r>
      <w:r w:rsidR="000E31F5" w:rsidRPr="001B6E4D">
        <w:rPr>
          <w:rFonts w:ascii="標楷體" w:hAnsi="標楷體" w:hint="eastAsia"/>
          <w:color w:val="000000" w:themeColor="text1"/>
          <w:szCs w:val="28"/>
          <w:shd w:val="clear" w:color="auto" w:fill="FFFFFF" w:themeFill="background1"/>
        </w:rPr>
        <w:t>同意權行使案1案</w:t>
      </w:r>
      <w:bookmarkEnd w:id="172"/>
    </w:p>
    <w:tbl>
      <w:tblPr>
        <w:tblW w:w="8789"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709"/>
        <w:gridCol w:w="2648"/>
        <w:gridCol w:w="1747"/>
        <w:gridCol w:w="1701"/>
        <w:gridCol w:w="1984"/>
      </w:tblGrid>
      <w:tr w:rsidR="000E31F5" w:rsidRPr="001B6E4D" w14:paraId="15CFCCC0" w14:textId="77777777" w:rsidTr="0006693A">
        <w:tc>
          <w:tcPr>
            <w:tcW w:w="709" w:type="dxa"/>
            <w:shd w:val="clear" w:color="auto" w:fill="auto"/>
          </w:tcPr>
          <w:p w14:paraId="4F0F6F26" w14:textId="77777777" w:rsidR="000E31F5" w:rsidRPr="001B6E4D" w:rsidRDefault="000E31F5"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b/>
                <w:spacing w:val="-20"/>
                <w:szCs w:val="22"/>
              </w:rPr>
              <w:t>序號</w:t>
            </w:r>
          </w:p>
        </w:tc>
        <w:tc>
          <w:tcPr>
            <w:tcW w:w="2648" w:type="dxa"/>
            <w:shd w:val="clear" w:color="auto" w:fill="auto"/>
          </w:tcPr>
          <w:p w14:paraId="1E27E949" w14:textId="77777777" w:rsidR="000E31F5" w:rsidRPr="001B6E4D" w:rsidRDefault="000E31F5"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b/>
                <w:spacing w:val="-20"/>
                <w:szCs w:val="22"/>
              </w:rPr>
              <w:t>議案名稱</w:t>
            </w:r>
          </w:p>
        </w:tc>
        <w:tc>
          <w:tcPr>
            <w:tcW w:w="1747" w:type="dxa"/>
            <w:shd w:val="clear" w:color="auto" w:fill="auto"/>
          </w:tcPr>
          <w:p w14:paraId="7C2D5F3F" w14:textId="77777777" w:rsidR="000E31F5" w:rsidRPr="001B6E4D" w:rsidRDefault="000E31F5" w:rsidP="003D1018">
            <w:pPr>
              <w:widowControl w:val="0"/>
              <w:kinsoku w:val="0"/>
              <w:overflowPunct w:val="0"/>
              <w:spacing w:line="300" w:lineRule="exact"/>
              <w:rPr>
                <w:rFonts w:ascii="標楷體" w:eastAsia="標楷體" w:hAnsi="標楷體"/>
                <w:b/>
                <w:spacing w:val="-20"/>
                <w:szCs w:val="22"/>
              </w:rPr>
            </w:pPr>
            <w:r w:rsidRPr="001B6E4D">
              <w:rPr>
                <w:rFonts w:ascii="標楷體" w:eastAsia="標楷體" w:hAnsi="標楷體"/>
                <w:b/>
                <w:spacing w:val="-20"/>
                <w:szCs w:val="22"/>
              </w:rPr>
              <w:t>提案機關、院會交付日期 (會次)</w:t>
            </w:r>
          </w:p>
        </w:tc>
        <w:tc>
          <w:tcPr>
            <w:tcW w:w="1701" w:type="dxa"/>
            <w:shd w:val="clear" w:color="auto" w:fill="auto"/>
          </w:tcPr>
          <w:p w14:paraId="73ABE9E5" w14:textId="77777777" w:rsidR="000E31F5" w:rsidRPr="001B6E4D" w:rsidRDefault="000E31F5"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b/>
                <w:spacing w:val="-20"/>
                <w:szCs w:val="22"/>
              </w:rPr>
              <w:t>審查委員會</w:t>
            </w:r>
          </w:p>
        </w:tc>
        <w:tc>
          <w:tcPr>
            <w:tcW w:w="1984" w:type="dxa"/>
            <w:shd w:val="clear" w:color="auto" w:fill="auto"/>
          </w:tcPr>
          <w:p w14:paraId="2538F9B1" w14:textId="77777777" w:rsidR="000E31F5" w:rsidRPr="001B6E4D" w:rsidRDefault="000E31F5" w:rsidP="003D1018">
            <w:pPr>
              <w:widowControl w:val="0"/>
              <w:kinsoku w:val="0"/>
              <w:overflowPunct w:val="0"/>
              <w:spacing w:line="300" w:lineRule="exact"/>
              <w:jc w:val="center"/>
              <w:rPr>
                <w:rFonts w:ascii="標楷體" w:eastAsia="標楷體" w:hAnsi="標楷體"/>
                <w:b/>
                <w:spacing w:val="-20"/>
                <w:szCs w:val="22"/>
              </w:rPr>
            </w:pPr>
            <w:r w:rsidRPr="001B6E4D">
              <w:rPr>
                <w:rFonts w:ascii="標楷體" w:eastAsia="標楷體" w:hAnsi="標楷體" w:hint="eastAsia"/>
                <w:b/>
                <w:color w:val="000000"/>
                <w:spacing w:val="-20"/>
                <w:szCs w:val="22"/>
              </w:rPr>
              <w:t>審查、審議</w:t>
            </w:r>
            <w:r w:rsidRPr="001B6E4D">
              <w:rPr>
                <w:rFonts w:ascii="標楷體" w:eastAsia="標楷體" w:hAnsi="標楷體"/>
                <w:b/>
                <w:spacing w:val="-20"/>
                <w:szCs w:val="22"/>
              </w:rPr>
              <w:t>情形</w:t>
            </w:r>
          </w:p>
        </w:tc>
      </w:tr>
      <w:tr w:rsidR="000E31F5" w:rsidRPr="001B6E4D" w14:paraId="001C7A06" w14:textId="77777777" w:rsidTr="0006693A">
        <w:tc>
          <w:tcPr>
            <w:tcW w:w="709" w:type="dxa"/>
            <w:shd w:val="clear" w:color="auto" w:fill="auto"/>
          </w:tcPr>
          <w:p w14:paraId="5FEEA63C" w14:textId="77777777" w:rsidR="000E31F5" w:rsidRPr="001B6E4D" w:rsidRDefault="000E31F5" w:rsidP="003D1018">
            <w:pPr>
              <w:widowControl w:val="0"/>
              <w:overflowPunct w:val="0"/>
              <w:spacing w:line="300" w:lineRule="exact"/>
              <w:jc w:val="center"/>
              <w:rPr>
                <w:rFonts w:ascii="標楷體" w:eastAsia="標楷體" w:hAnsi="標楷體"/>
                <w:spacing w:val="-20"/>
              </w:rPr>
            </w:pPr>
            <w:r w:rsidRPr="001B6E4D">
              <w:rPr>
                <w:rFonts w:ascii="標楷體" w:eastAsia="標楷體" w:hAnsi="標楷體" w:hint="eastAsia"/>
                <w:bCs/>
                <w:spacing w:val="-20"/>
              </w:rPr>
              <w:t>1</w:t>
            </w:r>
          </w:p>
        </w:tc>
        <w:tc>
          <w:tcPr>
            <w:tcW w:w="2648" w:type="dxa"/>
            <w:shd w:val="clear" w:color="auto" w:fill="auto"/>
          </w:tcPr>
          <w:p w14:paraId="616C2662" w14:textId="77777777" w:rsidR="000E31F5" w:rsidRPr="001B6E4D" w:rsidRDefault="000E31F5"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hint="eastAsia"/>
                <w:kern w:val="0"/>
                <w:szCs w:val="22"/>
              </w:rPr>
              <w:t>總統</w:t>
            </w:r>
            <w:proofErr w:type="gramStart"/>
            <w:r w:rsidRPr="001B6E4D">
              <w:rPr>
                <w:rFonts w:ascii="標楷體" w:eastAsia="標楷體" w:hAnsi="標楷體" w:hint="eastAsia"/>
                <w:kern w:val="0"/>
                <w:szCs w:val="22"/>
              </w:rPr>
              <w:t>咨</w:t>
            </w:r>
            <w:proofErr w:type="gramEnd"/>
            <w:r w:rsidRPr="001B6E4D">
              <w:rPr>
                <w:rFonts w:ascii="標楷體" w:eastAsia="標楷體" w:hAnsi="標楷體" w:hint="eastAsia"/>
                <w:kern w:val="0"/>
                <w:szCs w:val="22"/>
              </w:rPr>
              <w:t>，為最高檢察署檢察總長邢泰釗任期於115年5月7日屆滿，茲依法院組織法第66條第2項規定，提名徐錫祥為最高檢察署檢察總長，</w:t>
            </w:r>
            <w:proofErr w:type="gramStart"/>
            <w:r w:rsidRPr="001B6E4D">
              <w:rPr>
                <w:rFonts w:ascii="標楷體" w:eastAsia="標楷體" w:hAnsi="標楷體" w:hint="eastAsia"/>
                <w:kern w:val="0"/>
                <w:szCs w:val="22"/>
              </w:rPr>
              <w:t>咨</w:t>
            </w:r>
            <w:proofErr w:type="gramEnd"/>
            <w:r w:rsidRPr="001B6E4D">
              <w:rPr>
                <w:rFonts w:ascii="標楷體" w:eastAsia="標楷體" w:hAnsi="標楷體" w:hint="eastAsia"/>
                <w:kern w:val="0"/>
                <w:szCs w:val="22"/>
              </w:rPr>
              <w:t>請同意案。</w:t>
            </w:r>
          </w:p>
        </w:tc>
        <w:tc>
          <w:tcPr>
            <w:tcW w:w="1747" w:type="dxa"/>
            <w:shd w:val="clear" w:color="auto" w:fill="auto"/>
          </w:tcPr>
          <w:p w14:paraId="0D096E99" w14:textId="77777777" w:rsidR="000E31F5" w:rsidRPr="001B6E4D" w:rsidRDefault="000E31F5" w:rsidP="003D1018">
            <w:pPr>
              <w:widowControl w:val="0"/>
              <w:overflowPunct w:val="0"/>
              <w:rPr>
                <w:rFonts w:ascii="標楷體" w:eastAsia="標楷體" w:hAnsi="標楷體"/>
                <w:kern w:val="0"/>
                <w:szCs w:val="22"/>
              </w:rPr>
            </w:pPr>
            <w:r w:rsidRPr="001B6E4D">
              <w:rPr>
                <w:rFonts w:ascii="標楷體" w:eastAsia="標楷體" w:hAnsi="標楷體"/>
                <w:kern w:val="0"/>
                <w:szCs w:val="22"/>
              </w:rPr>
              <w:t>總統</w:t>
            </w:r>
          </w:p>
          <w:p w14:paraId="3DE493C3" w14:textId="77777777" w:rsidR="000E31F5" w:rsidRPr="001B6E4D" w:rsidRDefault="000E31F5" w:rsidP="003D1018">
            <w:pPr>
              <w:widowControl w:val="0"/>
              <w:overflowPunct w:val="0"/>
              <w:rPr>
                <w:rFonts w:ascii="標楷體" w:eastAsia="標楷體" w:hAnsi="標楷體"/>
                <w:kern w:val="0"/>
                <w:szCs w:val="22"/>
              </w:rPr>
            </w:pPr>
            <w:r w:rsidRPr="001B6E4D">
              <w:rPr>
                <w:rFonts w:ascii="標楷體" w:eastAsia="標楷體" w:hAnsi="標楷體"/>
                <w:kern w:val="0"/>
                <w:szCs w:val="22"/>
              </w:rPr>
              <w:t>115.03.20</w:t>
            </w:r>
          </w:p>
          <w:p w14:paraId="050571D1" w14:textId="77777777" w:rsidR="000E31F5" w:rsidRPr="001B6E4D" w:rsidRDefault="000E31F5" w:rsidP="003D1018">
            <w:pPr>
              <w:widowControl w:val="0"/>
              <w:overflowPunct w:val="0"/>
              <w:rPr>
                <w:rFonts w:ascii="標楷體" w:eastAsia="標楷體" w:hAnsi="標楷體"/>
                <w:kern w:val="0"/>
                <w:szCs w:val="22"/>
              </w:rPr>
            </w:pPr>
            <w:r w:rsidRPr="001B6E4D">
              <w:rPr>
                <w:rFonts w:ascii="標楷體" w:eastAsia="標楷體" w:hAnsi="標楷體"/>
                <w:kern w:val="0"/>
                <w:szCs w:val="22"/>
              </w:rPr>
              <w:t>（11-5-4）</w:t>
            </w:r>
          </w:p>
        </w:tc>
        <w:tc>
          <w:tcPr>
            <w:tcW w:w="1701" w:type="dxa"/>
            <w:shd w:val="clear" w:color="auto" w:fill="auto"/>
          </w:tcPr>
          <w:p w14:paraId="3CEC0776" w14:textId="77777777" w:rsidR="000E31F5" w:rsidRPr="001B6E4D" w:rsidRDefault="000E31F5"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司法及法制、內政</w:t>
            </w:r>
          </w:p>
          <w:p w14:paraId="45E71DF9" w14:textId="77777777" w:rsidR="000E31F5" w:rsidRPr="001B6E4D" w:rsidRDefault="000E31F5"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hint="eastAsia"/>
                <w:kern w:val="0"/>
                <w:szCs w:val="22"/>
              </w:rPr>
              <w:t>莊召集委員瑞雄</w:t>
            </w:r>
          </w:p>
        </w:tc>
        <w:tc>
          <w:tcPr>
            <w:tcW w:w="1984" w:type="dxa"/>
            <w:shd w:val="clear" w:color="auto" w:fill="auto"/>
          </w:tcPr>
          <w:p w14:paraId="4E75A6B5" w14:textId="77777777" w:rsidR="000E31F5" w:rsidRPr="001B6E4D" w:rsidRDefault="000E31F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1.本會、內政兩委員會</w:t>
            </w:r>
            <w:r w:rsidRPr="001B6E4D">
              <w:rPr>
                <w:rFonts w:ascii="標楷體" w:eastAsia="標楷體" w:hAnsi="標楷體"/>
                <w:szCs w:val="22"/>
              </w:rPr>
              <w:br/>
            </w:r>
            <w:r w:rsidRPr="001B6E4D">
              <w:rPr>
                <w:rFonts w:ascii="標楷體" w:eastAsia="標楷體" w:hAnsi="標楷體" w:hint="eastAsia"/>
                <w:szCs w:val="22"/>
              </w:rPr>
              <w:t>115.4.8舉行審查「總統</w:t>
            </w:r>
            <w:proofErr w:type="gramStart"/>
            <w:r w:rsidRPr="001B6E4D">
              <w:rPr>
                <w:rFonts w:ascii="標楷體" w:eastAsia="標楷體" w:hAnsi="標楷體" w:hint="eastAsia"/>
                <w:szCs w:val="22"/>
              </w:rPr>
              <w:t>咨</w:t>
            </w:r>
            <w:proofErr w:type="gramEnd"/>
            <w:r w:rsidRPr="001B6E4D">
              <w:rPr>
                <w:rFonts w:ascii="標楷體" w:eastAsia="標楷體" w:hAnsi="標楷體" w:hint="eastAsia"/>
                <w:szCs w:val="22"/>
              </w:rPr>
              <w:t>，為最高檢察署檢察總長邢泰釗任期於115年5月7日屆滿，茲依法院組織法第66條第2項規定，提名徐錫祥為最高檢察署檢察總長，</w:t>
            </w:r>
            <w:proofErr w:type="gramStart"/>
            <w:r w:rsidRPr="001B6E4D">
              <w:rPr>
                <w:rFonts w:ascii="標楷體" w:eastAsia="標楷體" w:hAnsi="標楷體" w:hint="eastAsia"/>
                <w:szCs w:val="22"/>
              </w:rPr>
              <w:t>咨</w:t>
            </w:r>
            <w:proofErr w:type="gramEnd"/>
            <w:r w:rsidRPr="001B6E4D">
              <w:rPr>
                <w:rFonts w:ascii="標楷體" w:eastAsia="標楷體" w:hAnsi="標楷體" w:hint="eastAsia"/>
                <w:szCs w:val="22"/>
              </w:rPr>
              <w:t>請同意案」公聽會。</w:t>
            </w:r>
          </w:p>
          <w:p w14:paraId="12895203" w14:textId="77777777" w:rsidR="000E31F5" w:rsidRPr="001B6E4D" w:rsidRDefault="000E31F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2.本會、內政委員會聯席會</w:t>
            </w:r>
            <w:r w:rsidRPr="001B6E4D">
              <w:rPr>
                <w:rFonts w:ascii="標楷體" w:eastAsia="標楷體" w:hAnsi="標楷體"/>
                <w:szCs w:val="22"/>
              </w:rPr>
              <w:br/>
            </w:r>
            <w:r w:rsidRPr="001B6E4D">
              <w:rPr>
                <w:rFonts w:ascii="標楷體" w:eastAsia="標楷體" w:hAnsi="標楷體" w:hint="eastAsia"/>
                <w:szCs w:val="22"/>
              </w:rPr>
              <w:t>115.4.9</w:t>
            </w:r>
            <w:r w:rsidRPr="001B6E4D">
              <w:rPr>
                <w:rFonts w:ascii="標楷體" w:eastAsia="標楷體" w:hAnsi="標楷體"/>
                <w:szCs w:val="22"/>
              </w:rPr>
              <w:br/>
            </w:r>
            <w:r w:rsidRPr="001B6E4D">
              <w:rPr>
                <w:rFonts w:ascii="標楷體" w:eastAsia="標楷體" w:hAnsi="標楷體" w:hint="eastAsia"/>
                <w:szCs w:val="22"/>
              </w:rPr>
              <w:lastRenderedPageBreak/>
              <w:t>(11-</w:t>
            </w:r>
            <w:r w:rsidRPr="001B6E4D">
              <w:rPr>
                <w:rFonts w:ascii="標楷體" w:eastAsia="標楷體" w:hAnsi="標楷體"/>
                <w:szCs w:val="22"/>
              </w:rPr>
              <w:t>5</w:t>
            </w:r>
            <w:r w:rsidRPr="001B6E4D">
              <w:rPr>
                <w:rFonts w:ascii="標楷體" w:eastAsia="標楷體" w:hAnsi="標楷體" w:hint="eastAsia"/>
                <w:szCs w:val="22"/>
              </w:rPr>
              <w:t>-1)審查完竣。</w:t>
            </w:r>
          </w:p>
          <w:p w14:paraId="391BF1EA" w14:textId="77777777" w:rsidR="000E31F5" w:rsidRPr="001B6E4D" w:rsidRDefault="000E31F5"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szCs w:val="22"/>
              </w:rPr>
            </w:pPr>
            <w:r w:rsidRPr="001B6E4D">
              <w:rPr>
                <w:rFonts w:ascii="標楷體" w:eastAsia="標楷體" w:hAnsi="標楷體" w:hint="eastAsia"/>
                <w:szCs w:val="22"/>
              </w:rPr>
              <w:t>3.院會</w:t>
            </w:r>
            <w:r w:rsidRPr="001B6E4D">
              <w:rPr>
                <w:rFonts w:ascii="標楷體" w:eastAsia="標楷體" w:hAnsi="標楷體"/>
                <w:szCs w:val="22"/>
              </w:rPr>
              <w:br/>
            </w:r>
            <w:r w:rsidRPr="001B6E4D">
              <w:rPr>
                <w:rFonts w:ascii="標楷體" w:eastAsia="標楷體" w:hAnsi="標楷體" w:hint="eastAsia"/>
                <w:szCs w:val="22"/>
              </w:rPr>
              <w:t>115.5.5</w:t>
            </w:r>
            <w:r w:rsidRPr="001B6E4D">
              <w:rPr>
                <w:rFonts w:ascii="標楷體" w:eastAsia="標楷體" w:hAnsi="標楷體"/>
                <w:szCs w:val="22"/>
              </w:rPr>
              <w:br/>
            </w:r>
            <w:r w:rsidRPr="001B6E4D">
              <w:rPr>
                <w:rFonts w:ascii="標楷體" w:eastAsia="標楷體" w:hAnsi="標楷體" w:hint="eastAsia"/>
                <w:szCs w:val="22"/>
              </w:rPr>
              <w:t>(11-5-8)徐錫祥未獲得超過全體立法委員二分之一之同意票，依法不同意為最高檢察署檢察總長。</w:t>
            </w:r>
          </w:p>
        </w:tc>
      </w:tr>
    </w:tbl>
    <w:p w14:paraId="00D243A9" w14:textId="3660D9D4" w:rsidR="000E31F5" w:rsidRPr="001B6E4D" w:rsidRDefault="00FA0749"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73" w:name="_Toc240446535"/>
      <w:r w:rsidRPr="001B6E4D">
        <w:rPr>
          <w:rFonts w:ascii="標楷體" w:hAnsi="標楷體"/>
          <w:color w:val="000000" w:themeColor="text1"/>
          <w:szCs w:val="28"/>
          <w:shd w:val="clear" w:color="auto" w:fill="FFFFFF" w:themeFill="background1"/>
        </w:rPr>
        <w:lastRenderedPageBreak/>
        <w:t>［</w:t>
      </w:r>
      <w:r w:rsidR="00040617" w:rsidRPr="001B6E4D">
        <w:rPr>
          <w:rFonts w:ascii="標楷體" w:hAnsi="標楷體" w:hint="eastAsia"/>
          <w:color w:val="000000" w:themeColor="text1"/>
          <w:szCs w:val="28"/>
          <w:shd w:val="clear" w:color="auto" w:fill="FFFFFF" w:themeFill="background1"/>
        </w:rPr>
        <w:t>伍</w:t>
      </w:r>
      <w:r w:rsidRPr="001B6E4D">
        <w:rPr>
          <w:rFonts w:ascii="標楷體" w:hAnsi="標楷體"/>
          <w:color w:val="000000" w:themeColor="text1"/>
          <w:szCs w:val="28"/>
          <w:shd w:val="clear" w:color="auto" w:fill="FFFFFF" w:themeFill="background1"/>
        </w:rPr>
        <w:t>］</w:t>
      </w:r>
      <w:bookmarkStart w:id="174" w:name="_Toc191475888"/>
      <w:bookmarkStart w:id="175" w:name="_Toc220583117"/>
      <w:r w:rsidR="000E31F5" w:rsidRPr="001B6E4D">
        <w:rPr>
          <w:rFonts w:ascii="標楷體" w:hAnsi="標楷體" w:hint="eastAsia"/>
          <w:color w:val="000000" w:themeColor="text1"/>
          <w:szCs w:val="28"/>
          <w:shd w:val="clear" w:color="auto" w:fill="FFFFFF" w:themeFill="background1"/>
        </w:rPr>
        <w:t>其他議案1案</w:t>
      </w:r>
      <w:bookmarkEnd w:id="173"/>
      <w:bookmarkEnd w:id="174"/>
      <w:bookmarkEnd w:id="175"/>
    </w:p>
    <w:tbl>
      <w:tblPr>
        <w:tblW w:w="8736" w:type="dxa"/>
        <w:tblInd w:w="1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656"/>
        <w:gridCol w:w="2694"/>
        <w:gridCol w:w="1701"/>
        <w:gridCol w:w="1701"/>
        <w:gridCol w:w="1984"/>
      </w:tblGrid>
      <w:tr w:rsidR="000E31F5" w:rsidRPr="001B6E4D" w14:paraId="2BAFE386" w14:textId="77777777" w:rsidTr="0006693A">
        <w:tc>
          <w:tcPr>
            <w:tcW w:w="656" w:type="dxa"/>
            <w:shd w:val="clear" w:color="auto" w:fill="auto"/>
          </w:tcPr>
          <w:p w14:paraId="1D7A5AF3" w14:textId="77777777" w:rsidR="000E31F5" w:rsidRPr="001B6E4D" w:rsidRDefault="000E31F5"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序號</w:t>
            </w:r>
          </w:p>
        </w:tc>
        <w:tc>
          <w:tcPr>
            <w:tcW w:w="2694" w:type="dxa"/>
            <w:shd w:val="clear" w:color="auto" w:fill="auto"/>
          </w:tcPr>
          <w:p w14:paraId="79FFEABA" w14:textId="77777777" w:rsidR="000E31F5" w:rsidRPr="001B6E4D" w:rsidRDefault="000E31F5"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lang w:eastAsia="ko-KR"/>
              </w:rPr>
              <w:t>議案名稱</w:t>
            </w:r>
          </w:p>
        </w:tc>
        <w:tc>
          <w:tcPr>
            <w:tcW w:w="1701" w:type="dxa"/>
            <w:shd w:val="clear" w:color="auto" w:fill="auto"/>
          </w:tcPr>
          <w:p w14:paraId="69DCCDBA" w14:textId="77777777" w:rsidR="000E31F5" w:rsidRPr="001B6E4D" w:rsidRDefault="000E31F5"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提案委員或機關</w:t>
            </w:r>
          </w:p>
          <w:p w14:paraId="56CD4D3C" w14:textId="77777777" w:rsidR="000E31F5" w:rsidRPr="001B6E4D" w:rsidRDefault="000E31F5" w:rsidP="003D1018">
            <w:pPr>
              <w:widowControl w:val="0"/>
              <w:tabs>
                <w:tab w:val="left" w:pos="1089"/>
              </w:tabs>
              <w:kinsoku w:val="0"/>
              <w:overflowPunct w:val="0"/>
              <w:spacing w:line="300" w:lineRule="exact"/>
              <w:ind w:leftChars="-39" w:left="-94" w:rightChars="-12" w:right="-29"/>
              <w:jc w:val="center"/>
              <w:rPr>
                <w:rFonts w:ascii="標楷體" w:eastAsia="標楷體" w:hAnsi="標楷體"/>
                <w:b/>
                <w:color w:val="000000"/>
                <w:spacing w:val="-20"/>
                <w:szCs w:val="22"/>
              </w:rPr>
            </w:pPr>
            <w:r w:rsidRPr="001B6E4D">
              <w:rPr>
                <w:rFonts w:ascii="標楷體" w:eastAsia="標楷體" w:hAnsi="標楷體"/>
                <w:b/>
                <w:color w:val="000000"/>
                <w:spacing w:val="-20"/>
                <w:szCs w:val="22"/>
              </w:rPr>
              <w:t>院會交付日期</w:t>
            </w:r>
          </w:p>
          <w:p w14:paraId="1D18C985" w14:textId="77777777" w:rsidR="000E31F5" w:rsidRPr="001B6E4D" w:rsidRDefault="000E31F5" w:rsidP="003D1018">
            <w:pPr>
              <w:widowControl w:val="0"/>
              <w:kinsoku w:val="0"/>
              <w:overflowPunct w:val="0"/>
              <w:autoSpaceDE w:val="0"/>
              <w:autoSpaceDN w:val="0"/>
              <w:snapToGrid w:val="0"/>
              <w:spacing w:line="300" w:lineRule="exact"/>
              <w:ind w:rightChars="-3" w:right="-7"/>
              <w:jc w:val="center"/>
              <w:rPr>
                <w:rFonts w:ascii="標楷體" w:eastAsia="標楷體" w:hAnsi="標楷體"/>
                <w:b/>
                <w:color w:val="000000"/>
                <w:spacing w:val="-20"/>
                <w:szCs w:val="22"/>
                <w:lang w:eastAsia="ko-KR"/>
              </w:rPr>
            </w:pPr>
            <w:r w:rsidRPr="001B6E4D">
              <w:rPr>
                <w:rFonts w:ascii="標楷體" w:eastAsia="標楷體" w:hAnsi="標楷體"/>
                <w:b/>
                <w:color w:val="000000"/>
                <w:spacing w:val="-20"/>
                <w:szCs w:val="22"/>
              </w:rPr>
              <w:t>(會次)</w:t>
            </w:r>
          </w:p>
        </w:tc>
        <w:tc>
          <w:tcPr>
            <w:tcW w:w="1701" w:type="dxa"/>
            <w:shd w:val="clear" w:color="auto" w:fill="auto"/>
          </w:tcPr>
          <w:p w14:paraId="5AF7BB2C" w14:textId="77777777" w:rsidR="000E31F5" w:rsidRPr="001B6E4D" w:rsidRDefault="000E31F5"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hint="eastAsia"/>
                <w:b/>
                <w:color w:val="000000"/>
                <w:spacing w:val="-20"/>
                <w:szCs w:val="22"/>
              </w:rPr>
              <w:t>審查</w:t>
            </w:r>
            <w:r w:rsidRPr="001B6E4D">
              <w:rPr>
                <w:rFonts w:ascii="標楷體" w:eastAsia="標楷體" w:hAnsi="標楷體"/>
                <w:b/>
                <w:color w:val="000000"/>
                <w:spacing w:val="-20"/>
                <w:szCs w:val="22"/>
                <w:lang w:eastAsia="ko-KR"/>
              </w:rPr>
              <w:t>委員會</w:t>
            </w:r>
          </w:p>
        </w:tc>
        <w:tc>
          <w:tcPr>
            <w:tcW w:w="1984" w:type="dxa"/>
            <w:shd w:val="clear" w:color="auto" w:fill="auto"/>
          </w:tcPr>
          <w:p w14:paraId="6CD4683D" w14:textId="77777777" w:rsidR="000E31F5" w:rsidRPr="001B6E4D" w:rsidRDefault="000E31F5"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hint="eastAsia"/>
                <w:b/>
                <w:color w:val="000000"/>
                <w:spacing w:val="-20"/>
                <w:szCs w:val="22"/>
              </w:rPr>
              <w:t>審查</w:t>
            </w:r>
            <w:r w:rsidRPr="001B6E4D">
              <w:rPr>
                <w:rFonts w:ascii="標楷體" w:eastAsia="標楷體" w:hAnsi="標楷體"/>
                <w:b/>
                <w:color w:val="000000"/>
                <w:spacing w:val="-20"/>
                <w:szCs w:val="22"/>
                <w:lang w:eastAsia="ko-KR"/>
              </w:rPr>
              <w:t>情形</w:t>
            </w:r>
          </w:p>
        </w:tc>
      </w:tr>
      <w:tr w:rsidR="000E31F5" w:rsidRPr="001B6E4D" w14:paraId="1CBA55E2" w14:textId="77777777" w:rsidTr="0006693A">
        <w:tc>
          <w:tcPr>
            <w:tcW w:w="656" w:type="dxa"/>
            <w:shd w:val="clear" w:color="auto" w:fill="auto"/>
          </w:tcPr>
          <w:p w14:paraId="15B84CCC" w14:textId="77777777" w:rsidR="000E31F5" w:rsidRPr="001B6E4D" w:rsidRDefault="000E31F5" w:rsidP="003D1018">
            <w:pPr>
              <w:widowControl w:val="0"/>
              <w:kinsoku w:val="0"/>
              <w:overflowPunct w:val="0"/>
              <w:autoSpaceDE w:val="0"/>
              <w:autoSpaceDN w:val="0"/>
              <w:snapToGrid w:val="0"/>
              <w:spacing w:line="300" w:lineRule="exact"/>
              <w:jc w:val="center"/>
              <w:rPr>
                <w:rFonts w:ascii="標楷體" w:eastAsia="標楷體" w:hAnsi="標楷體"/>
                <w:b/>
                <w:color w:val="000000"/>
                <w:spacing w:val="-20"/>
                <w:szCs w:val="22"/>
                <w:lang w:eastAsia="ko-KR"/>
              </w:rPr>
            </w:pPr>
            <w:r w:rsidRPr="001B6E4D">
              <w:rPr>
                <w:rFonts w:ascii="標楷體" w:eastAsia="標楷體" w:hAnsi="標楷體" w:hint="eastAsia"/>
                <w:szCs w:val="22"/>
              </w:rPr>
              <w:t>1</w:t>
            </w:r>
          </w:p>
        </w:tc>
        <w:tc>
          <w:tcPr>
            <w:tcW w:w="2694" w:type="dxa"/>
            <w:shd w:val="clear" w:color="auto" w:fill="auto"/>
          </w:tcPr>
          <w:p w14:paraId="5A66DBAA" w14:textId="77777777" w:rsidR="000E31F5" w:rsidRPr="001B6E4D" w:rsidRDefault="000E31F5" w:rsidP="003D1018">
            <w:pPr>
              <w:widowControl w:val="0"/>
              <w:kinsoku w:val="0"/>
              <w:overflowPunct w:val="0"/>
              <w:autoSpaceDE w:val="0"/>
              <w:autoSpaceDN w:val="0"/>
              <w:snapToGrid w:val="0"/>
              <w:spacing w:line="300" w:lineRule="exact"/>
              <w:jc w:val="both"/>
              <w:rPr>
                <w:rFonts w:ascii="標楷體" w:eastAsia="標楷體" w:hAnsi="標楷體"/>
                <w:b/>
                <w:color w:val="000000"/>
                <w:spacing w:val="-20"/>
                <w:szCs w:val="22"/>
                <w:lang w:eastAsia="ko-KR"/>
              </w:rPr>
            </w:pPr>
            <w:r w:rsidRPr="001B6E4D">
              <w:rPr>
                <w:rFonts w:ascii="標楷體" w:eastAsia="標楷體" w:hAnsi="標楷體" w:hint="eastAsia"/>
                <w:color w:val="000000"/>
                <w:szCs w:val="22"/>
              </w:rPr>
              <w:t>本院委員洪孟楷、楊瓊瓔、王鴻薇、蘇清泉、林德福、廖偉翔、黃健豪、陳玉珍等52人擬具公民投票提案主文為：「您是否同意政府制定法律，針對性侵害犯罪、凌</w:t>
            </w:r>
            <w:proofErr w:type="gramStart"/>
            <w:r w:rsidRPr="001B6E4D">
              <w:rPr>
                <w:rFonts w:ascii="標楷體" w:eastAsia="標楷體" w:hAnsi="標楷體" w:hint="eastAsia"/>
                <w:color w:val="000000"/>
                <w:szCs w:val="22"/>
              </w:rPr>
              <w:t>虐</w:t>
            </w:r>
            <w:proofErr w:type="gramEnd"/>
            <w:r w:rsidRPr="001B6E4D">
              <w:rPr>
                <w:rFonts w:ascii="標楷體" w:eastAsia="標楷體" w:hAnsi="標楷體" w:hint="eastAsia"/>
                <w:color w:val="000000"/>
                <w:szCs w:val="22"/>
              </w:rPr>
              <w:t>幼童罪、以及高額詐欺罪、複合型態加重詐欺罪，增設由法院宣告並依法執行之特別刑法制度（鞭刑），以嚇阻犯罪持續發生？」請公決案。</w:t>
            </w:r>
          </w:p>
        </w:tc>
        <w:tc>
          <w:tcPr>
            <w:tcW w:w="1701" w:type="dxa"/>
            <w:shd w:val="clear" w:color="auto" w:fill="auto"/>
          </w:tcPr>
          <w:p w14:paraId="3705F362" w14:textId="77A5F405" w:rsidR="000E31F5" w:rsidRPr="001B6E4D" w:rsidRDefault="000E31F5" w:rsidP="003D1018">
            <w:pPr>
              <w:widowControl w:val="0"/>
              <w:overflowPunct w:val="0"/>
              <w:jc w:val="both"/>
              <w:rPr>
                <w:rFonts w:ascii="標楷體" w:eastAsia="標楷體" w:hAnsi="標楷體"/>
                <w:color w:val="000000"/>
                <w:szCs w:val="22"/>
              </w:rPr>
            </w:pPr>
            <w:r w:rsidRPr="001B6E4D">
              <w:rPr>
                <w:rFonts w:ascii="標楷體" w:eastAsia="標楷體" w:hAnsi="標楷體" w:hint="eastAsia"/>
                <w:color w:val="000000"/>
                <w:szCs w:val="22"/>
              </w:rPr>
              <w:t>委員洪孟楷、楊瓊瓔、王鴻薇、蘇清泉、林德福、廖偉翔、黃健豪、陳玉珍</w:t>
            </w:r>
            <w:r w:rsidR="0047492C" w:rsidRPr="001B6E4D">
              <w:rPr>
                <w:rFonts w:ascii="標楷體" w:eastAsia="標楷體" w:hAnsi="標楷體"/>
                <w:color w:val="000000"/>
                <w:szCs w:val="22"/>
              </w:rPr>
              <w:br/>
            </w:r>
            <w:r w:rsidRPr="001B6E4D">
              <w:rPr>
                <w:rFonts w:ascii="標楷體" w:eastAsia="標楷體" w:hAnsi="標楷體" w:hint="eastAsia"/>
                <w:color w:val="000000"/>
                <w:szCs w:val="22"/>
              </w:rPr>
              <w:t>等52人</w:t>
            </w:r>
            <w:r w:rsidR="00EC78B6" w:rsidRPr="001B6E4D">
              <w:rPr>
                <w:rFonts w:ascii="標楷體" w:eastAsia="標楷體" w:hAnsi="標楷體"/>
                <w:color w:val="000000"/>
                <w:szCs w:val="22"/>
              </w:rPr>
              <w:br/>
            </w:r>
            <w:r w:rsidRPr="001B6E4D">
              <w:rPr>
                <w:rFonts w:ascii="標楷體" w:eastAsia="標楷體" w:hAnsi="標楷體"/>
                <w:color w:val="000000"/>
                <w:szCs w:val="22"/>
              </w:rPr>
              <w:t>115.</w:t>
            </w:r>
            <w:r w:rsidRPr="001B6E4D">
              <w:rPr>
                <w:rFonts w:ascii="標楷體" w:eastAsia="標楷體" w:hAnsi="標楷體" w:hint="eastAsia"/>
                <w:color w:val="000000"/>
                <w:szCs w:val="22"/>
              </w:rPr>
              <w:t>07</w:t>
            </w:r>
            <w:r w:rsidRPr="001B6E4D">
              <w:rPr>
                <w:rFonts w:ascii="標楷體" w:eastAsia="標楷體" w:hAnsi="標楷體"/>
                <w:color w:val="000000"/>
                <w:szCs w:val="22"/>
              </w:rPr>
              <w:t>.</w:t>
            </w:r>
            <w:r w:rsidRPr="001B6E4D">
              <w:rPr>
                <w:rFonts w:ascii="標楷體" w:eastAsia="標楷體" w:hAnsi="標楷體" w:hint="eastAsia"/>
                <w:color w:val="000000"/>
                <w:szCs w:val="22"/>
              </w:rPr>
              <w:t>03</w:t>
            </w:r>
          </w:p>
          <w:p w14:paraId="7A56BC48" w14:textId="77777777" w:rsidR="000E31F5" w:rsidRPr="001B6E4D" w:rsidRDefault="000E31F5" w:rsidP="003D1018">
            <w:pPr>
              <w:widowControl w:val="0"/>
              <w:tabs>
                <w:tab w:val="left" w:pos="1089"/>
              </w:tabs>
              <w:kinsoku w:val="0"/>
              <w:overflowPunct w:val="0"/>
              <w:spacing w:line="300" w:lineRule="exact"/>
              <w:ind w:leftChars="-39" w:left="-94" w:rightChars="-12" w:right="-29"/>
              <w:jc w:val="both"/>
              <w:rPr>
                <w:rFonts w:ascii="標楷體" w:eastAsia="標楷體" w:hAnsi="標楷體"/>
                <w:b/>
                <w:color w:val="000000"/>
                <w:spacing w:val="-20"/>
                <w:szCs w:val="22"/>
              </w:rPr>
            </w:pPr>
            <w:r w:rsidRPr="001B6E4D">
              <w:rPr>
                <w:rFonts w:ascii="標楷體" w:eastAsia="標楷體" w:hAnsi="標楷體"/>
                <w:color w:val="000000"/>
                <w:szCs w:val="22"/>
              </w:rPr>
              <w:t>（11-</w:t>
            </w:r>
            <w:r w:rsidRPr="001B6E4D">
              <w:rPr>
                <w:rFonts w:ascii="標楷體" w:eastAsia="標楷體" w:hAnsi="標楷體" w:hint="eastAsia"/>
                <w:color w:val="000000"/>
                <w:szCs w:val="22"/>
              </w:rPr>
              <w:t>5</w:t>
            </w:r>
            <w:r w:rsidRPr="001B6E4D">
              <w:rPr>
                <w:rFonts w:ascii="標楷體" w:eastAsia="標楷體" w:hAnsi="標楷體"/>
                <w:color w:val="000000"/>
                <w:szCs w:val="22"/>
              </w:rPr>
              <w:t>-</w:t>
            </w:r>
            <w:r w:rsidRPr="001B6E4D">
              <w:rPr>
                <w:rFonts w:ascii="標楷體" w:eastAsia="標楷體" w:hAnsi="標楷體" w:hint="eastAsia"/>
                <w:color w:val="000000"/>
                <w:szCs w:val="22"/>
              </w:rPr>
              <w:t>16</w:t>
            </w:r>
            <w:r w:rsidRPr="001B6E4D">
              <w:rPr>
                <w:rFonts w:ascii="標楷體" w:eastAsia="標楷體" w:hAnsi="標楷體"/>
                <w:color w:val="000000"/>
                <w:szCs w:val="22"/>
              </w:rPr>
              <w:t>）</w:t>
            </w:r>
          </w:p>
        </w:tc>
        <w:tc>
          <w:tcPr>
            <w:tcW w:w="1701" w:type="dxa"/>
            <w:shd w:val="clear" w:color="auto" w:fill="auto"/>
          </w:tcPr>
          <w:p w14:paraId="6C821382" w14:textId="77777777" w:rsidR="000E31F5" w:rsidRPr="001B6E4D" w:rsidRDefault="000E31F5" w:rsidP="003D1018">
            <w:pPr>
              <w:widowControl w:val="0"/>
              <w:overflowPunct w:val="0"/>
              <w:spacing w:line="300" w:lineRule="exact"/>
              <w:jc w:val="both"/>
              <w:rPr>
                <w:rFonts w:ascii="標楷體" w:eastAsia="標楷體" w:hAnsi="標楷體"/>
                <w:kern w:val="0"/>
                <w:szCs w:val="22"/>
              </w:rPr>
            </w:pPr>
            <w:r w:rsidRPr="001B6E4D">
              <w:rPr>
                <w:rFonts w:ascii="標楷體" w:eastAsia="標楷體" w:hAnsi="標楷體"/>
                <w:kern w:val="0"/>
                <w:szCs w:val="22"/>
              </w:rPr>
              <w:t>司法及法制</w:t>
            </w:r>
            <w:r w:rsidRPr="001B6E4D">
              <w:rPr>
                <w:rFonts w:ascii="標楷體" w:eastAsia="標楷體" w:hAnsi="標楷體" w:hint="eastAsia"/>
                <w:kern w:val="0"/>
                <w:szCs w:val="22"/>
              </w:rPr>
              <w:t>、內政</w:t>
            </w:r>
          </w:p>
        </w:tc>
        <w:tc>
          <w:tcPr>
            <w:tcW w:w="1984" w:type="dxa"/>
            <w:shd w:val="clear" w:color="auto" w:fill="auto"/>
          </w:tcPr>
          <w:p w14:paraId="55335E15" w14:textId="77777777" w:rsidR="000E31F5" w:rsidRPr="001B6E4D" w:rsidRDefault="000E31F5" w:rsidP="003D1018">
            <w:pPr>
              <w:widowControl w:val="0"/>
              <w:kinsoku w:val="0"/>
              <w:overflowPunct w:val="0"/>
              <w:autoSpaceDE w:val="0"/>
              <w:autoSpaceDN w:val="0"/>
              <w:snapToGrid w:val="0"/>
              <w:spacing w:line="300" w:lineRule="exact"/>
              <w:ind w:left="240" w:hangingChars="100" w:hanging="240"/>
              <w:rPr>
                <w:rFonts w:ascii="標楷體" w:eastAsia="標楷體" w:hAnsi="標楷體"/>
                <w:szCs w:val="22"/>
              </w:rPr>
            </w:pPr>
            <w:r w:rsidRPr="001B6E4D">
              <w:rPr>
                <w:rFonts w:ascii="標楷體" w:eastAsia="標楷體" w:hAnsi="標楷體" w:hint="eastAsia"/>
                <w:szCs w:val="22"/>
              </w:rPr>
              <w:t>1.院會</w:t>
            </w:r>
            <w:r w:rsidRPr="001B6E4D">
              <w:rPr>
                <w:rFonts w:ascii="標楷體" w:eastAsia="標楷體" w:hAnsi="標楷體"/>
                <w:szCs w:val="22"/>
              </w:rPr>
              <w:br/>
            </w:r>
            <w:r w:rsidRPr="001B6E4D">
              <w:rPr>
                <w:rFonts w:ascii="標楷體" w:eastAsia="標楷體" w:hAnsi="標楷體" w:hint="eastAsia"/>
                <w:szCs w:val="22"/>
              </w:rPr>
              <w:t>115.7.3</w:t>
            </w:r>
            <w:r w:rsidRPr="001B6E4D">
              <w:rPr>
                <w:rFonts w:ascii="標楷體" w:eastAsia="標楷體" w:hAnsi="標楷體"/>
                <w:szCs w:val="22"/>
              </w:rPr>
              <w:br/>
            </w:r>
            <w:r w:rsidRPr="001B6E4D">
              <w:rPr>
                <w:rFonts w:ascii="標楷體" w:eastAsia="標楷體" w:hAnsi="標楷體" w:hint="eastAsia"/>
                <w:szCs w:val="22"/>
              </w:rPr>
              <w:t>（1</w:t>
            </w:r>
            <w:r w:rsidRPr="001B6E4D">
              <w:rPr>
                <w:rFonts w:ascii="標楷體" w:eastAsia="標楷體" w:hAnsi="標楷體"/>
                <w:szCs w:val="22"/>
              </w:rPr>
              <w:t>1</w:t>
            </w:r>
            <w:r w:rsidRPr="001B6E4D">
              <w:rPr>
                <w:rFonts w:ascii="標楷體" w:eastAsia="標楷體" w:hAnsi="標楷體" w:hint="eastAsia"/>
                <w:szCs w:val="22"/>
              </w:rPr>
              <w:t>-5-16）</w:t>
            </w:r>
            <w:proofErr w:type="gramStart"/>
            <w:r w:rsidRPr="001B6E4D">
              <w:rPr>
                <w:rFonts w:ascii="標楷體" w:eastAsia="標楷體" w:hAnsi="標楷體" w:hint="eastAsia"/>
                <w:szCs w:val="22"/>
              </w:rPr>
              <w:t>逕</w:t>
            </w:r>
            <w:proofErr w:type="gramEnd"/>
            <w:r w:rsidRPr="001B6E4D">
              <w:rPr>
                <w:rFonts w:ascii="標楷體" w:eastAsia="標楷體" w:hAnsi="標楷體" w:hint="eastAsia"/>
                <w:szCs w:val="22"/>
              </w:rPr>
              <w:t>付二讀。</w:t>
            </w:r>
          </w:p>
          <w:p w14:paraId="2EAD2F36" w14:textId="77777777" w:rsidR="000E31F5" w:rsidRPr="001B6E4D" w:rsidRDefault="000E31F5" w:rsidP="003D1018">
            <w:pPr>
              <w:widowControl w:val="0"/>
              <w:kinsoku w:val="0"/>
              <w:overflowPunct w:val="0"/>
              <w:autoSpaceDE w:val="0"/>
              <w:autoSpaceDN w:val="0"/>
              <w:snapToGrid w:val="0"/>
              <w:spacing w:line="300" w:lineRule="exact"/>
              <w:ind w:left="240" w:hangingChars="100" w:hanging="240"/>
              <w:rPr>
                <w:rFonts w:ascii="標楷體" w:eastAsia="標楷體" w:hAnsi="標楷體"/>
                <w:szCs w:val="22"/>
              </w:rPr>
            </w:pPr>
            <w:r w:rsidRPr="001B6E4D">
              <w:rPr>
                <w:rFonts w:ascii="標楷體" w:eastAsia="標楷體" w:hAnsi="標楷體" w:hint="eastAsia"/>
                <w:szCs w:val="22"/>
              </w:rPr>
              <w:t>2.115.8.4黨團協商。</w:t>
            </w:r>
          </w:p>
          <w:p w14:paraId="44F8ED74" w14:textId="77777777" w:rsidR="000E31F5" w:rsidRPr="001B6E4D" w:rsidRDefault="000E31F5" w:rsidP="003D1018">
            <w:pPr>
              <w:widowControl w:val="0"/>
              <w:kinsoku w:val="0"/>
              <w:overflowPunct w:val="0"/>
              <w:autoSpaceDE w:val="0"/>
              <w:autoSpaceDN w:val="0"/>
              <w:snapToGrid w:val="0"/>
              <w:spacing w:line="300" w:lineRule="exact"/>
              <w:ind w:left="240" w:hangingChars="100" w:hanging="240"/>
              <w:rPr>
                <w:rFonts w:ascii="標楷體" w:eastAsia="標楷體" w:hAnsi="標楷體"/>
                <w:szCs w:val="22"/>
              </w:rPr>
            </w:pPr>
            <w:r w:rsidRPr="001B6E4D">
              <w:rPr>
                <w:rFonts w:ascii="標楷體" w:eastAsia="標楷體" w:hAnsi="標楷體" w:hint="eastAsia"/>
                <w:szCs w:val="22"/>
              </w:rPr>
              <w:t>3.院會</w:t>
            </w:r>
            <w:r w:rsidRPr="001B6E4D">
              <w:rPr>
                <w:rFonts w:ascii="標楷體" w:eastAsia="標楷體" w:hAnsi="標楷體"/>
                <w:szCs w:val="22"/>
              </w:rPr>
              <w:br/>
            </w:r>
            <w:r w:rsidRPr="001B6E4D">
              <w:rPr>
                <w:rFonts w:ascii="標楷體" w:eastAsia="標楷體" w:hAnsi="標楷體" w:hint="eastAsia"/>
                <w:szCs w:val="22"/>
              </w:rPr>
              <w:t>115.8.14</w:t>
            </w:r>
            <w:r w:rsidRPr="001B6E4D">
              <w:rPr>
                <w:rFonts w:ascii="標楷體" w:eastAsia="標楷體" w:hAnsi="標楷體"/>
                <w:szCs w:val="22"/>
              </w:rPr>
              <w:br/>
            </w:r>
            <w:r w:rsidRPr="001B6E4D">
              <w:rPr>
                <w:rFonts w:ascii="標楷體" w:eastAsia="標楷體" w:hAnsi="標楷體" w:hint="eastAsia"/>
                <w:szCs w:val="22"/>
              </w:rPr>
              <w:t>（11-5-22）通過。</w:t>
            </w:r>
          </w:p>
        </w:tc>
      </w:tr>
    </w:tbl>
    <w:p w14:paraId="1A9A9F14" w14:textId="6A10A4CB" w:rsidR="001C2CBE" w:rsidRPr="001B6E4D" w:rsidRDefault="001C2CBE" w:rsidP="003D1018">
      <w:pPr>
        <w:keepNext/>
        <w:tabs>
          <w:tab w:val="left" w:pos="1276"/>
        </w:tabs>
        <w:kinsoku w:val="0"/>
        <w:overflowPunct w:val="0"/>
        <w:adjustRightInd w:val="0"/>
        <w:snapToGrid w:val="0"/>
        <w:spacing w:beforeLines="150" w:before="540" w:afterLines="100" w:after="360" w:line="260" w:lineRule="exact"/>
        <w:jc w:val="both"/>
        <w:outlineLvl w:val="1"/>
        <w:rPr>
          <w:rFonts w:ascii="標楷體" w:eastAsia="標楷體" w:hAnsi="標楷體"/>
          <w:b/>
          <w:bCs/>
          <w:color w:val="000000" w:themeColor="text1"/>
          <w:sz w:val="28"/>
          <w:szCs w:val="28"/>
          <w:shd w:val="clear" w:color="auto" w:fill="FFFFFF"/>
        </w:rPr>
        <w:sectPr w:rsidR="001C2CBE" w:rsidRPr="001B6E4D" w:rsidSect="00B8553E">
          <w:pgSz w:w="11906" w:h="16838"/>
          <w:pgMar w:top="1440" w:right="1133" w:bottom="1440" w:left="1800" w:header="851" w:footer="992" w:gutter="0"/>
          <w:cols w:space="425"/>
          <w:docGrid w:type="lines" w:linePitch="360"/>
        </w:sectPr>
      </w:pPr>
    </w:p>
    <w:p w14:paraId="64B8168E" w14:textId="6097604B" w:rsidR="002664B9" w:rsidRPr="001B6E4D" w:rsidRDefault="002664B9" w:rsidP="003D1018">
      <w:pPr>
        <w:keepNext/>
        <w:kinsoku w:val="0"/>
        <w:overflowPunct w:val="0"/>
        <w:topLinePunct/>
        <w:snapToGrid w:val="0"/>
        <w:spacing w:beforeLines="100" w:before="360" w:afterLines="50" w:after="180" w:line="520" w:lineRule="exact"/>
        <w:jc w:val="both"/>
        <w:outlineLvl w:val="0"/>
        <w:rPr>
          <w:rFonts w:ascii="標楷體" w:eastAsia="標楷體" w:hAnsi="標楷體"/>
          <w:b/>
          <w:bCs/>
          <w:color w:val="000000" w:themeColor="text1"/>
          <w:kern w:val="52"/>
          <w:sz w:val="28"/>
          <w:szCs w:val="28"/>
          <w:shd w:val="clear" w:color="auto" w:fill="FFFFFF"/>
        </w:rPr>
      </w:pPr>
      <w:bookmarkStart w:id="176" w:name="_Toc240446536"/>
      <w:r w:rsidRPr="001B6E4D">
        <w:rPr>
          <w:rFonts w:ascii="標楷體" w:eastAsia="標楷體" w:hAnsi="標楷體" w:hint="eastAsia"/>
          <w:b/>
          <w:bCs/>
          <w:color w:val="000000" w:themeColor="text1"/>
          <w:kern w:val="52"/>
          <w:sz w:val="28"/>
          <w:szCs w:val="28"/>
          <w:shd w:val="clear" w:color="auto" w:fill="FFFFFF"/>
        </w:rPr>
        <w:lastRenderedPageBreak/>
        <w:t>伍</w:t>
      </w:r>
      <w:r w:rsidRPr="001B6E4D">
        <w:rPr>
          <w:rFonts w:ascii="標楷體" w:eastAsia="標楷體" w:hAnsi="標楷體"/>
          <w:b/>
          <w:bCs/>
          <w:color w:val="000000" w:themeColor="text1"/>
          <w:kern w:val="52"/>
          <w:sz w:val="28"/>
          <w:szCs w:val="28"/>
          <w:shd w:val="clear" w:color="auto" w:fill="FFFFFF"/>
        </w:rPr>
        <w:t>、尚待院會審議之議案</w:t>
      </w:r>
      <w:r w:rsidR="00590008" w:rsidRPr="001B6E4D">
        <w:rPr>
          <w:rFonts w:ascii="標楷體" w:eastAsia="標楷體" w:hAnsi="標楷體" w:hint="eastAsia"/>
          <w:b/>
          <w:bCs/>
          <w:color w:val="000000" w:themeColor="text1"/>
          <w:kern w:val="52"/>
          <w:sz w:val="28"/>
          <w:szCs w:val="28"/>
          <w:shd w:val="clear" w:color="auto" w:fill="FFFFFF"/>
        </w:rPr>
        <w:t>1</w:t>
      </w:r>
      <w:r w:rsidR="00C85872" w:rsidRPr="001B6E4D">
        <w:rPr>
          <w:rFonts w:ascii="標楷體" w:eastAsia="標楷體" w:hAnsi="標楷體" w:hint="eastAsia"/>
          <w:b/>
          <w:bCs/>
          <w:color w:val="000000" w:themeColor="text1"/>
          <w:kern w:val="52"/>
          <w:sz w:val="28"/>
          <w:szCs w:val="28"/>
          <w:shd w:val="clear" w:color="auto" w:fill="FFFFFF"/>
        </w:rPr>
        <w:t>45</w:t>
      </w:r>
      <w:r w:rsidRPr="001B6E4D">
        <w:rPr>
          <w:rFonts w:ascii="標楷體" w:eastAsia="標楷體" w:hAnsi="標楷體"/>
          <w:b/>
          <w:bCs/>
          <w:color w:val="000000" w:themeColor="text1"/>
          <w:kern w:val="52"/>
          <w:sz w:val="28"/>
          <w:szCs w:val="28"/>
          <w:shd w:val="clear" w:color="auto" w:fill="FFFFFF"/>
        </w:rPr>
        <w:t>案</w:t>
      </w:r>
      <w:bookmarkEnd w:id="176"/>
    </w:p>
    <w:p w14:paraId="054632AF" w14:textId="3B63C5A0" w:rsidR="002664B9" w:rsidRPr="001B6E4D" w:rsidRDefault="002664B9" w:rsidP="003D1018">
      <w:pPr>
        <w:keepNext/>
        <w:tabs>
          <w:tab w:val="left" w:pos="709"/>
          <w:tab w:val="left" w:pos="5954"/>
        </w:tabs>
        <w:kinsoku w:val="0"/>
        <w:overflowPunct w:val="0"/>
        <w:topLinePunct/>
        <w:adjustRightInd w:val="0"/>
        <w:snapToGrid w:val="0"/>
        <w:spacing w:beforeLines="50" w:before="180" w:afterLines="50" w:after="180" w:line="400" w:lineRule="exact"/>
        <w:ind w:leftChars="128" w:left="307" w:firstLine="567"/>
        <w:jc w:val="both"/>
        <w:rPr>
          <w:rFonts w:ascii="標楷體" w:eastAsia="標楷體" w:hAnsi="標楷體"/>
          <w:bCs/>
          <w:color w:val="000000" w:themeColor="text1"/>
          <w:kern w:val="52"/>
          <w:sz w:val="28"/>
          <w:szCs w:val="28"/>
          <w:shd w:val="clear" w:color="auto" w:fill="FFFFFF"/>
        </w:rPr>
      </w:pPr>
      <w:r w:rsidRPr="001B6E4D">
        <w:rPr>
          <w:rFonts w:ascii="標楷體" w:eastAsia="標楷體" w:hAnsi="標楷體"/>
          <w:bCs/>
          <w:color w:val="000000" w:themeColor="text1"/>
          <w:kern w:val="52"/>
          <w:sz w:val="28"/>
          <w:szCs w:val="28"/>
          <w:shd w:val="clear" w:color="auto" w:fill="FFFFFF"/>
        </w:rPr>
        <w:t>本</w:t>
      </w:r>
      <w:proofErr w:type="gramStart"/>
      <w:r w:rsidRPr="001B6E4D">
        <w:rPr>
          <w:rFonts w:ascii="標楷體" w:eastAsia="標楷體" w:hAnsi="標楷體"/>
          <w:bCs/>
          <w:color w:val="000000" w:themeColor="text1"/>
          <w:kern w:val="52"/>
          <w:sz w:val="28"/>
          <w:szCs w:val="28"/>
          <w:shd w:val="clear" w:color="auto" w:fill="FFFFFF"/>
        </w:rPr>
        <w:t>會審竣</w:t>
      </w:r>
      <w:proofErr w:type="gramEnd"/>
      <w:r w:rsidRPr="001B6E4D">
        <w:rPr>
          <w:rFonts w:ascii="標楷體" w:eastAsia="標楷體" w:hAnsi="標楷體"/>
          <w:bCs/>
          <w:color w:val="000000" w:themeColor="text1"/>
          <w:kern w:val="52"/>
          <w:sz w:val="28"/>
          <w:szCs w:val="28"/>
          <w:shd w:val="clear" w:color="auto" w:fill="FFFFFF"/>
        </w:rPr>
        <w:t>，尚待院會審議之法律案</w:t>
      </w:r>
      <w:r w:rsidR="008C61A2" w:rsidRPr="001B6E4D">
        <w:rPr>
          <w:rFonts w:ascii="標楷體" w:eastAsia="標楷體" w:hAnsi="標楷體" w:hint="eastAsia"/>
          <w:bCs/>
          <w:color w:val="000000" w:themeColor="text1"/>
          <w:kern w:val="52"/>
          <w:sz w:val="28"/>
          <w:szCs w:val="28"/>
          <w:shd w:val="clear" w:color="auto" w:fill="FFFFFF"/>
        </w:rPr>
        <w:t>138</w:t>
      </w:r>
      <w:r w:rsidRPr="001B6E4D">
        <w:rPr>
          <w:rFonts w:ascii="標楷體" w:eastAsia="標楷體" w:hAnsi="標楷體"/>
          <w:bCs/>
          <w:color w:val="000000" w:themeColor="text1"/>
          <w:kern w:val="52"/>
          <w:sz w:val="28"/>
          <w:szCs w:val="28"/>
          <w:shd w:val="clear" w:color="auto" w:fill="FFFFFF"/>
        </w:rPr>
        <w:t>案(</w:t>
      </w:r>
      <w:r w:rsidRPr="001B6E4D">
        <w:rPr>
          <w:rFonts w:ascii="標楷體" w:eastAsia="標楷體" w:hAnsi="標楷體" w:hint="eastAsia"/>
          <w:bCs/>
          <w:color w:val="000000" w:themeColor="text1"/>
          <w:kern w:val="52"/>
          <w:sz w:val="28"/>
          <w:szCs w:val="28"/>
          <w:shd w:val="clear" w:color="auto" w:fill="FFFFFF"/>
        </w:rPr>
        <w:t>組織法</w:t>
      </w:r>
      <w:r w:rsidR="008C61A2" w:rsidRPr="001B6E4D">
        <w:rPr>
          <w:rFonts w:ascii="標楷體" w:eastAsia="標楷體" w:hAnsi="標楷體" w:hint="eastAsia"/>
          <w:bCs/>
          <w:color w:val="000000" w:themeColor="text1"/>
          <w:kern w:val="52"/>
          <w:sz w:val="28"/>
          <w:szCs w:val="28"/>
          <w:shd w:val="clear" w:color="auto" w:fill="FFFFFF"/>
        </w:rPr>
        <w:t>16</w:t>
      </w:r>
      <w:r w:rsidRPr="001B6E4D">
        <w:rPr>
          <w:rFonts w:ascii="標楷體" w:eastAsia="標楷體" w:hAnsi="標楷體" w:hint="eastAsia"/>
          <w:bCs/>
          <w:color w:val="000000" w:themeColor="text1"/>
          <w:kern w:val="52"/>
          <w:sz w:val="28"/>
          <w:szCs w:val="28"/>
          <w:shd w:val="clear" w:color="auto" w:fill="FFFFFF"/>
        </w:rPr>
        <w:t>案</w:t>
      </w:r>
      <w:r w:rsidR="007B79DB" w:rsidRPr="001B6E4D">
        <w:rPr>
          <w:rFonts w:ascii="標楷體" w:eastAsia="標楷體" w:hAnsi="標楷體" w:hint="eastAsia"/>
          <w:bCs/>
          <w:color w:val="000000" w:themeColor="text1"/>
          <w:kern w:val="52"/>
          <w:sz w:val="28"/>
          <w:szCs w:val="28"/>
          <w:shd w:val="clear" w:color="auto" w:fill="FFFFFF"/>
        </w:rPr>
        <w:t>、作用法</w:t>
      </w:r>
      <w:r w:rsidR="008C61A2" w:rsidRPr="001B6E4D">
        <w:rPr>
          <w:rFonts w:ascii="標楷體" w:eastAsia="標楷體" w:hAnsi="標楷體" w:hint="eastAsia"/>
          <w:bCs/>
          <w:color w:val="000000" w:themeColor="text1"/>
          <w:kern w:val="52"/>
          <w:sz w:val="28"/>
          <w:szCs w:val="28"/>
          <w:shd w:val="clear" w:color="auto" w:fill="FFFFFF"/>
        </w:rPr>
        <w:t>122</w:t>
      </w:r>
      <w:r w:rsidR="007B79DB" w:rsidRPr="001B6E4D">
        <w:rPr>
          <w:rFonts w:ascii="標楷體" w:eastAsia="標楷體" w:hAnsi="標楷體" w:hint="eastAsia"/>
          <w:bCs/>
          <w:color w:val="000000" w:themeColor="text1"/>
          <w:kern w:val="52"/>
          <w:sz w:val="28"/>
          <w:szCs w:val="28"/>
          <w:shd w:val="clear" w:color="auto" w:fill="FFFFFF"/>
        </w:rPr>
        <w:t>案</w:t>
      </w:r>
      <w:r w:rsidRPr="001B6E4D">
        <w:rPr>
          <w:rFonts w:ascii="標楷體" w:eastAsia="標楷體" w:hAnsi="標楷體"/>
          <w:bCs/>
          <w:color w:val="000000" w:themeColor="text1"/>
          <w:kern w:val="52"/>
          <w:sz w:val="28"/>
          <w:szCs w:val="28"/>
          <w:shd w:val="clear" w:color="auto" w:fill="FFFFFF"/>
        </w:rPr>
        <w:t>)</w:t>
      </w:r>
      <w:r w:rsidRPr="001B6E4D">
        <w:rPr>
          <w:rFonts w:ascii="標楷體" w:eastAsia="標楷體" w:hAnsi="標楷體" w:hint="eastAsia"/>
          <w:bCs/>
          <w:color w:val="000000" w:themeColor="text1"/>
          <w:kern w:val="52"/>
          <w:sz w:val="28"/>
          <w:szCs w:val="28"/>
          <w:shd w:val="clear" w:color="auto" w:fill="FFFFFF"/>
        </w:rPr>
        <w:t>、</w:t>
      </w:r>
      <w:r w:rsidRPr="001B6E4D">
        <w:rPr>
          <w:rFonts w:ascii="標楷體" w:eastAsia="標楷體" w:hAnsi="標楷體"/>
          <w:bCs/>
          <w:color w:val="000000" w:themeColor="text1"/>
          <w:kern w:val="52"/>
          <w:sz w:val="28"/>
          <w:szCs w:val="28"/>
          <w:shd w:val="clear" w:color="auto" w:fill="FFFFFF"/>
        </w:rPr>
        <w:t>預</w:t>
      </w:r>
      <w:r w:rsidRPr="001B6E4D">
        <w:rPr>
          <w:rFonts w:ascii="標楷體" w:eastAsia="標楷體" w:hAnsi="標楷體" w:hint="eastAsia"/>
          <w:bCs/>
          <w:color w:val="000000" w:themeColor="text1"/>
          <w:kern w:val="52"/>
          <w:sz w:val="28"/>
          <w:szCs w:val="28"/>
          <w:shd w:val="clear" w:color="auto" w:fill="FFFFFF"/>
        </w:rPr>
        <w:t>（決）</w:t>
      </w:r>
      <w:r w:rsidRPr="001B6E4D">
        <w:rPr>
          <w:rFonts w:ascii="標楷體" w:eastAsia="標楷體" w:hAnsi="標楷體"/>
          <w:bCs/>
          <w:color w:val="000000" w:themeColor="text1"/>
          <w:kern w:val="52"/>
          <w:sz w:val="28"/>
          <w:szCs w:val="28"/>
          <w:shd w:val="clear" w:color="auto" w:fill="FFFFFF"/>
        </w:rPr>
        <w:t>算案</w:t>
      </w:r>
      <w:r w:rsidR="008C61A2" w:rsidRPr="001B6E4D">
        <w:rPr>
          <w:rFonts w:ascii="標楷體" w:eastAsia="標楷體" w:hAnsi="標楷體" w:hint="eastAsia"/>
          <w:bCs/>
          <w:color w:val="000000" w:themeColor="text1"/>
          <w:kern w:val="52"/>
          <w:sz w:val="28"/>
          <w:szCs w:val="28"/>
          <w:shd w:val="clear" w:color="auto" w:fill="FFFFFF"/>
        </w:rPr>
        <w:t>4</w:t>
      </w:r>
      <w:r w:rsidRPr="001B6E4D">
        <w:rPr>
          <w:rFonts w:ascii="標楷體" w:eastAsia="標楷體" w:hAnsi="標楷體"/>
          <w:bCs/>
          <w:color w:val="000000" w:themeColor="text1"/>
          <w:kern w:val="52"/>
          <w:sz w:val="28"/>
          <w:szCs w:val="28"/>
          <w:shd w:val="clear" w:color="auto" w:fill="FFFFFF"/>
        </w:rPr>
        <w:t>案</w:t>
      </w:r>
      <w:r w:rsidRPr="001B6E4D">
        <w:rPr>
          <w:rFonts w:ascii="標楷體" w:eastAsia="標楷體" w:hAnsi="標楷體" w:hint="eastAsia"/>
          <w:bCs/>
          <w:color w:val="000000" w:themeColor="text1"/>
          <w:kern w:val="52"/>
          <w:sz w:val="28"/>
          <w:szCs w:val="28"/>
          <w:shd w:val="clear" w:color="auto" w:fill="FFFFFF"/>
        </w:rPr>
        <w:t>、立法院內</w:t>
      </w:r>
      <w:proofErr w:type="gramStart"/>
      <w:r w:rsidRPr="001B6E4D">
        <w:rPr>
          <w:rFonts w:ascii="標楷體" w:eastAsia="標楷體" w:hAnsi="標楷體" w:hint="eastAsia"/>
          <w:bCs/>
          <w:color w:val="000000" w:themeColor="text1"/>
          <w:kern w:val="52"/>
          <w:sz w:val="28"/>
          <w:szCs w:val="28"/>
          <w:shd w:val="clear" w:color="auto" w:fill="FFFFFF"/>
        </w:rPr>
        <w:t>規</w:t>
      </w:r>
      <w:proofErr w:type="gramEnd"/>
      <w:r w:rsidRPr="001B6E4D">
        <w:rPr>
          <w:rFonts w:ascii="標楷體" w:eastAsia="標楷體" w:hAnsi="標楷體" w:hint="eastAsia"/>
          <w:bCs/>
          <w:color w:val="000000" w:themeColor="text1"/>
          <w:kern w:val="52"/>
          <w:sz w:val="28"/>
          <w:szCs w:val="28"/>
          <w:shd w:val="clear" w:color="auto" w:fill="FFFFFF"/>
        </w:rPr>
        <w:t>3案</w:t>
      </w:r>
      <w:r w:rsidRPr="001B6E4D">
        <w:rPr>
          <w:rFonts w:ascii="標楷體" w:eastAsia="標楷體" w:hAnsi="標楷體"/>
          <w:bCs/>
          <w:color w:val="000000" w:themeColor="text1"/>
          <w:kern w:val="52"/>
          <w:sz w:val="28"/>
          <w:szCs w:val="28"/>
          <w:shd w:val="clear" w:color="auto" w:fill="FFFFFF"/>
        </w:rPr>
        <w:t>，合計</w:t>
      </w:r>
      <w:r w:rsidR="00590008" w:rsidRPr="001B6E4D">
        <w:rPr>
          <w:rFonts w:ascii="標楷體" w:eastAsia="標楷體" w:hAnsi="標楷體" w:hint="eastAsia"/>
          <w:bCs/>
          <w:color w:val="000000" w:themeColor="text1"/>
          <w:kern w:val="52"/>
          <w:sz w:val="28"/>
          <w:szCs w:val="28"/>
          <w:shd w:val="clear" w:color="auto" w:fill="FFFFFF"/>
        </w:rPr>
        <w:t>1</w:t>
      </w:r>
      <w:r w:rsidR="008C61A2" w:rsidRPr="001B6E4D">
        <w:rPr>
          <w:rFonts w:ascii="標楷體" w:eastAsia="標楷體" w:hAnsi="標楷體" w:hint="eastAsia"/>
          <w:bCs/>
          <w:color w:val="000000" w:themeColor="text1"/>
          <w:kern w:val="52"/>
          <w:sz w:val="28"/>
          <w:szCs w:val="28"/>
          <w:shd w:val="clear" w:color="auto" w:fill="FFFFFF"/>
        </w:rPr>
        <w:t>45</w:t>
      </w:r>
      <w:r w:rsidRPr="001B6E4D">
        <w:rPr>
          <w:rFonts w:ascii="標楷體" w:eastAsia="標楷體" w:hAnsi="標楷體"/>
          <w:bCs/>
          <w:color w:val="000000" w:themeColor="text1"/>
          <w:kern w:val="52"/>
          <w:sz w:val="28"/>
          <w:szCs w:val="28"/>
          <w:shd w:val="clear" w:color="auto" w:fill="FFFFFF"/>
        </w:rPr>
        <w:t>案，詳如下列各表：</w:t>
      </w:r>
    </w:p>
    <w:p w14:paraId="71132908" w14:textId="1C380AFC" w:rsidR="002664B9" w:rsidRPr="001B6E4D" w:rsidRDefault="002664B9"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77" w:name="_Toc240446537"/>
      <w:r w:rsidRPr="001B6E4D">
        <w:rPr>
          <w:rFonts w:ascii="標楷體" w:hAnsi="標楷體"/>
          <w:color w:val="000000" w:themeColor="text1"/>
          <w:szCs w:val="28"/>
          <w:shd w:val="clear" w:color="auto" w:fill="FFFFFF" w:themeFill="background1"/>
        </w:rPr>
        <w:t>［壹］</w:t>
      </w:r>
      <w:r w:rsidRPr="001B6E4D">
        <w:rPr>
          <w:rFonts w:ascii="標楷體" w:hAnsi="標楷體" w:hint="eastAsia"/>
          <w:color w:val="000000" w:themeColor="text1"/>
          <w:szCs w:val="28"/>
          <w:shd w:val="clear" w:color="auto" w:fill="FFFFFF" w:themeFill="background1"/>
        </w:rPr>
        <w:t>法律</w:t>
      </w:r>
      <w:r w:rsidRPr="001B6E4D">
        <w:rPr>
          <w:rFonts w:ascii="標楷體" w:hAnsi="標楷體"/>
          <w:color w:val="000000" w:themeColor="text1"/>
          <w:szCs w:val="28"/>
          <w:shd w:val="clear" w:color="auto" w:fill="FFFFFF" w:themeFill="background1"/>
        </w:rPr>
        <w:t>案</w:t>
      </w:r>
      <w:r w:rsidR="00114D45" w:rsidRPr="001B6E4D">
        <w:rPr>
          <w:rFonts w:ascii="標楷體" w:hAnsi="標楷體" w:hint="eastAsia"/>
          <w:color w:val="000000" w:themeColor="text1"/>
          <w:szCs w:val="28"/>
          <w:shd w:val="clear" w:color="auto" w:fill="FFFFFF" w:themeFill="background1"/>
        </w:rPr>
        <w:t>138</w:t>
      </w:r>
      <w:r w:rsidRPr="001B6E4D">
        <w:rPr>
          <w:rFonts w:ascii="標楷體" w:hAnsi="標楷體"/>
          <w:color w:val="000000" w:themeColor="text1"/>
          <w:szCs w:val="28"/>
          <w:shd w:val="clear" w:color="auto" w:fill="FFFFFF" w:themeFill="background1"/>
        </w:rPr>
        <w:t>案</w:t>
      </w:r>
      <w:bookmarkEnd w:id="177"/>
    </w:p>
    <w:p w14:paraId="240CECA3" w14:textId="6EAAE757" w:rsidR="00114D45" w:rsidRPr="001B6E4D" w:rsidRDefault="002664B9" w:rsidP="003D1018">
      <w:pPr>
        <w:pStyle w:val="affffff0"/>
        <w:kinsoku w:val="0"/>
        <w:overflowPunct w:val="0"/>
        <w:topLinePunct/>
        <w:spacing w:before="180" w:after="180"/>
        <w:ind w:leftChars="128" w:left="307" w:firstLineChars="200" w:firstLine="561"/>
        <w:rPr>
          <w:color w:val="000000" w:themeColor="text1"/>
          <w:szCs w:val="28"/>
          <w:shd w:val="clear" w:color="auto" w:fill="FFFFFF" w:themeFill="background1"/>
        </w:rPr>
      </w:pPr>
      <w:bookmarkStart w:id="178" w:name="_Toc240446538"/>
      <w:r w:rsidRPr="001B6E4D">
        <w:rPr>
          <w:rFonts w:hint="eastAsia"/>
          <w:color w:val="000000" w:themeColor="text1"/>
          <w:szCs w:val="28"/>
          <w:shd w:val="clear" w:color="auto" w:fill="FFFFFF" w:themeFill="background1"/>
        </w:rPr>
        <w:t>一、組織法</w:t>
      </w:r>
      <w:r w:rsidR="00114D45" w:rsidRPr="001B6E4D">
        <w:rPr>
          <w:rFonts w:hint="eastAsia"/>
          <w:color w:val="000000" w:themeColor="text1"/>
          <w:szCs w:val="28"/>
          <w:shd w:val="clear" w:color="auto" w:fill="FFFFFF" w:themeFill="background1"/>
        </w:rPr>
        <w:t>16</w:t>
      </w:r>
      <w:r w:rsidRPr="001B6E4D">
        <w:rPr>
          <w:rFonts w:hint="eastAsia"/>
          <w:color w:val="000000" w:themeColor="text1"/>
          <w:szCs w:val="28"/>
          <w:shd w:val="clear" w:color="auto" w:fill="FFFFFF" w:themeFill="background1"/>
        </w:rPr>
        <w:t>案</w:t>
      </w:r>
      <w:bookmarkEnd w:id="178"/>
    </w:p>
    <w:tbl>
      <w:tblPr>
        <w:tblW w:w="8505" w:type="dxa"/>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9"/>
        <w:gridCol w:w="1909"/>
        <w:gridCol w:w="1918"/>
        <w:gridCol w:w="1985"/>
        <w:gridCol w:w="1984"/>
      </w:tblGrid>
      <w:tr w:rsidR="00114D45" w:rsidRPr="001B6E4D" w14:paraId="01580C86" w14:textId="77777777" w:rsidTr="0006693A">
        <w:tc>
          <w:tcPr>
            <w:tcW w:w="709" w:type="dxa"/>
          </w:tcPr>
          <w:p w14:paraId="1EDEEB3B" w14:textId="77777777" w:rsidR="00114D45" w:rsidRPr="001B6E4D" w:rsidRDefault="00114D4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序號</w:t>
            </w:r>
          </w:p>
        </w:tc>
        <w:tc>
          <w:tcPr>
            <w:tcW w:w="1909" w:type="dxa"/>
          </w:tcPr>
          <w:p w14:paraId="68F2EAE2" w14:textId="77777777" w:rsidR="00114D45" w:rsidRPr="001B6E4D" w:rsidRDefault="00114D4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議案名稱</w:t>
            </w:r>
          </w:p>
        </w:tc>
        <w:tc>
          <w:tcPr>
            <w:tcW w:w="1918" w:type="dxa"/>
          </w:tcPr>
          <w:p w14:paraId="4A29BFA3" w14:textId="77777777" w:rsidR="00114D45" w:rsidRPr="001B6E4D" w:rsidRDefault="00114D4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提案委員或機關</w:t>
            </w:r>
          </w:p>
          <w:p w14:paraId="3EA99A65" w14:textId="77777777" w:rsidR="00114D45" w:rsidRPr="001B6E4D" w:rsidRDefault="00114D4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院會交付日期</w:t>
            </w:r>
          </w:p>
          <w:p w14:paraId="0B94E7CA" w14:textId="77777777" w:rsidR="00114D45" w:rsidRPr="001B6E4D" w:rsidRDefault="00114D4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（會次）</w:t>
            </w:r>
          </w:p>
        </w:tc>
        <w:tc>
          <w:tcPr>
            <w:tcW w:w="1985" w:type="dxa"/>
          </w:tcPr>
          <w:p w14:paraId="6A8CF4B7" w14:textId="77777777" w:rsidR="00114D45" w:rsidRPr="001B6E4D" w:rsidRDefault="00114D4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審查委員會</w:t>
            </w:r>
          </w:p>
          <w:p w14:paraId="3C95037F" w14:textId="77777777" w:rsidR="00114D45" w:rsidRPr="001B6E4D" w:rsidRDefault="00114D4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院會說明人</w:t>
            </w:r>
          </w:p>
        </w:tc>
        <w:tc>
          <w:tcPr>
            <w:tcW w:w="1984" w:type="dxa"/>
          </w:tcPr>
          <w:p w14:paraId="3BB3F202" w14:textId="77777777" w:rsidR="00114D45" w:rsidRPr="001B6E4D" w:rsidRDefault="00114D45"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審查情形</w:t>
            </w:r>
          </w:p>
        </w:tc>
      </w:tr>
      <w:tr w:rsidR="00114D45" w:rsidRPr="001B6E4D" w14:paraId="23A837AF" w14:textId="77777777" w:rsidTr="0006693A">
        <w:tc>
          <w:tcPr>
            <w:tcW w:w="709" w:type="dxa"/>
          </w:tcPr>
          <w:p w14:paraId="29E52355"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568945A0"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w:t>
            </w:r>
            <w:r w:rsidRPr="001B6E4D">
              <w:rPr>
                <w:rFonts w:ascii="標楷體" w:eastAsia="標楷體" w:hAnsi="標楷體"/>
                <w:color w:val="000000"/>
                <w:kern w:val="0"/>
              </w:rPr>
              <w:t>立法院組織法部分條文修正草案</w:t>
            </w:r>
          </w:p>
        </w:tc>
        <w:tc>
          <w:tcPr>
            <w:tcW w:w="1918" w:type="dxa"/>
          </w:tcPr>
          <w:p w14:paraId="6B40F6FB"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民進黨黨團 113.04.09</w:t>
            </w:r>
          </w:p>
          <w:p w14:paraId="364FFA43"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（11-1-8）</w:t>
            </w:r>
          </w:p>
        </w:tc>
        <w:tc>
          <w:tcPr>
            <w:tcW w:w="1985" w:type="dxa"/>
            <w:vMerge w:val="restart"/>
          </w:tcPr>
          <w:p w14:paraId="3540B894" w14:textId="77777777" w:rsidR="00114D45" w:rsidRPr="001B6E4D" w:rsidRDefault="00114D4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司法及法制</w:t>
            </w:r>
          </w:p>
          <w:p w14:paraId="0EF5D03F" w14:textId="77777777" w:rsidR="00114D45" w:rsidRPr="001B6E4D" w:rsidRDefault="00114D45" w:rsidP="003D1018">
            <w:pPr>
              <w:widowControl w:val="0"/>
              <w:overflowPunct w:val="0"/>
              <w:spacing w:line="300" w:lineRule="exact"/>
              <w:jc w:val="both"/>
              <w:rPr>
                <w:rFonts w:ascii="標楷體" w:eastAsia="標楷體" w:hAnsi="標楷體"/>
                <w:color w:val="000000"/>
                <w:kern w:val="0"/>
              </w:rPr>
            </w:pPr>
            <w:proofErr w:type="gramStart"/>
            <w:r w:rsidRPr="001B6E4D">
              <w:rPr>
                <w:rFonts w:ascii="標楷體" w:eastAsia="標楷體" w:hAnsi="標楷體" w:hint="eastAsia"/>
                <w:color w:val="000000"/>
                <w:kern w:val="0"/>
              </w:rPr>
              <w:t>鍾</w:t>
            </w:r>
            <w:proofErr w:type="gramEnd"/>
            <w:r w:rsidRPr="001B6E4D">
              <w:rPr>
                <w:rFonts w:ascii="標楷體" w:eastAsia="標楷體" w:hAnsi="標楷體" w:hint="eastAsia"/>
                <w:color w:val="000000"/>
                <w:kern w:val="0"/>
              </w:rPr>
              <w:t>召集委員佳濱</w:t>
            </w:r>
          </w:p>
        </w:tc>
        <w:tc>
          <w:tcPr>
            <w:tcW w:w="1984" w:type="dxa"/>
            <w:vMerge w:val="restart"/>
          </w:tcPr>
          <w:p w14:paraId="0742C97F"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1.第2、4案</w:t>
            </w:r>
            <w:r w:rsidRPr="001B6E4D">
              <w:rPr>
                <w:rFonts w:ascii="標楷體" w:eastAsia="標楷體" w:hAnsi="標楷體"/>
                <w:color w:val="000000"/>
                <w:kern w:val="0"/>
              </w:rPr>
              <w:br/>
            </w:r>
            <w:r w:rsidRPr="001B6E4D">
              <w:rPr>
                <w:rFonts w:ascii="標楷體" w:eastAsia="標楷體" w:hAnsi="標楷體" w:hint="eastAsia"/>
                <w:color w:val="000000"/>
                <w:kern w:val="0"/>
              </w:rPr>
              <w:t>本會113.4.10舉行「如何落實國會調查／</w:t>
            </w:r>
            <w:proofErr w:type="gramStart"/>
            <w:r w:rsidRPr="001B6E4D">
              <w:rPr>
                <w:rFonts w:ascii="標楷體" w:eastAsia="標楷體" w:hAnsi="標楷體" w:hint="eastAsia"/>
                <w:color w:val="000000"/>
                <w:kern w:val="0"/>
              </w:rPr>
              <w:t>聽證權以</w:t>
            </w:r>
            <w:proofErr w:type="gramEnd"/>
            <w:r w:rsidRPr="001B6E4D">
              <w:rPr>
                <w:rFonts w:ascii="標楷體" w:eastAsia="標楷體" w:hAnsi="標楷體" w:hint="eastAsia"/>
                <w:color w:val="000000"/>
                <w:kern w:val="0"/>
              </w:rPr>
              <w:t>有效監督行政機關，並避免侵犯人民</w:t>
            </w:r>
            <w:proofErr w:type="gramStart"/>
            <w:r w:rsidRPr="001B6E4D">
              <w:rPr>
                <w:rFonts w:ascii="標楷體" w:eastAsia="標楷體" w:hAnsi="標楷體" w:hint="eastAsia"/>
                <w:color w:val="000000"/>
                <w:kern w:val="0"/>
              </w:rPr>
              <w:t>自由／</w:t>
            </w:r>
            <w:proofErr w:type="gramEnd"/>
            <w:r w:rsidRPr="001B6E4D">
              <w:rPr>
                <w:rFonts w:ascii="標楷體" w:eastAsia="標楷體" w:hAnsi="標楷體" w:hint="eastAsia"/>
                <w:color w:val="000000"/>
                <w:kern w:val="0"/>
              </w:rPr>
              <w:t>隱私權」公聽會。</w:t>
            </w:r>
          </w:p>
          <w:p w14:paraId="2838C0FD"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2.第2、4案</w:t>
            </w:r>
            <w:r w:rsidRPr="001B6E4D">
              <w:rPr>
                <w:rFonts w:ascii="標楷體" w:eastAsia="標楷體" w:hAnsi="標楷體"/>
                <w:color w:val="000000"/>
                <w:kern w:val="0"/>
              </w:rPr>
              <w:br/>
            </w:r>
            <w:r w:rsidRPr="001B6E4D">
              <w:rPr>
                <w:rFonts w:ascii="標楷體" w:eastAsia="標楷體" w:hAnsi="標楷體" w:hint="eastAsia"/>
                <w:color w:val="000000"/>
                <w:kern w:val="0"/>
              </w:rPr>
              <w:t>本會113.4.11舉行「如何落實國會調查／</w:t>
            </w:r>
            <w:proofErr w:type="gramStart"/>
            <w:r w:rsidRPr="001B6E4D">
              <w:rPr>
                <w:rFonts w:ascii="標楷體" w:eastAsia="標楷體" w:hAnsi="標楷體" w:hint="eastAsia"/>
                <w:color w:val="000000"/>
                <w:kern w:val="0"/>
              </w:rPr>
              <w:t>聽證權以</w:t>
            </w:r>
            <w:proofErr w:type="gramEnd"/>
            <w:r w:rsidRPr="001B6E4D">
              <w:rPr>
                <w:rFonts w:ascii="標楷體" w:eastAsia="標楷體" w:hAnsi="標楷體" w:hint="eastAsia"/>
                <w:color w:val="000000"/>
                <w:kern w:val="0"/>
              </w:rPr>
              <w:t>有效監督行政機關，並防範機密外</w:t>
            </w:r>
            <w:proofErr w:type="gramStart"/>
            <w:r w:rsidRPr="001B6E4D">
              <w:rPr>
                <w:rFonts w:ascii="標楷體" w:eastAsia="標楷體" w:hAnsi="標楷體" w:hint="eastAsia"/>
                <w:color w:val="000000"/>
                <w:kern w:val="0"/>
              </w:rPr>
              <w:t>洩</w:t>
            </w:r>
            <w:proofErr w:type="gramEnd"/>
            <w:r w:rsidRPr="001B6E4D">
              <w:rPr>
                <w:rFonts w:ascii="標楷體" w:eastAsia="標楷體" w:hAnsi="標楷體" w:hint="eastAsia"/>
                <w:color w:val="000000"/>
                <w:kern w:val="0"/>
              </w:rPr>
              <w:t>危害國安」公聽會。</w:t>
            </w:r>
          </w:p>
          <w:p w14:paraId="24507810"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3.第1-4案</w:t>
            </w:r>
            <w:r w:rsidRPr="001B6E4D">
              <w:rPr>
                <w:rFonts w:ascii="標楷體" w:eastAsia="標楷體" w:hAnsi="標楷體"/>
                <w:color w:val="000000"/>
                <w:kern w:val="0"/>
              </w:rPr>
              <w:br/>
            </w:r>
            <w:r w:rsidRPr="001B6E4D">
              <w:rPr>
                <w:rFonts w:ascii="標楷體" w:eastAsia="標楷體" w:hAnsi="標楷體" w:hint="eastAsia"/>
                <w:color w:val="000000"/>
                <w:kern w:val="0"/>
              </w:rPr>
              <w:t>本會</w:t>
            </w:r>
            <w:r w:rsidRPr="001B6E4D">
              <w:rPr>
                <w:rFonts w:ascii="標楷體" w:eastAsia="標楷體" w:hAnsi="標楷體"/>
                <w:color w:val="000000"/>
                <w:kern w:val="0"/>
              </w:rPr>
              <w:br/>
            </w:r>
            <w:r w:rsidRPr="001B6E4D">
              <w:rPr>
                <w:rFonts w:ascii="標楷體" w:eastAsia="標楷體" w:hAnsi="標楷體" w:hint="eastAsia"/>
                <w:color w:val="000000"/>
                <w:kern w:val="0"/>
              </w:rPr>
              <w:t>113.4.22</w:t>
            </w:r>
            <w:r w:rsidRPr="001B6E4D">
              <w:rPr>
                <w:rFonts w:ascii="標楷體" w:eastAsia="標楷體" w:hAnsi="標楷體"/>
                <w:color w:val="000000"/>
                <w:kern w:val="0"/>
              </w:rPr>
              <w:br/>
            </w:r>
            <w:r w:rsidRPr="001B6E4D">
              <w:rPr>
                <w:rFonts w:ascii="標楷體" w:eastAsia="標楷體" w:hAnsi="標楷體" w:hint="eastAsia"/>
                <w:color w:val="000000"/>
                <w:kern w:val="0"/>
              </w:rPr>
              <w:t>(11-1-15)(民進黨黨團提案說明完畢)。</w:t>
            </w:r>
          </w:p>
          <w:p w14:paraId="3E1AC299"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4.第1-4案</w:t>
            </w:r>
            <w:r w:rsidRPr="001B6E4D">
              <w:rPr>
                <w:rFonts w:ascii="標楷體" w:eastAsia="標楷體" w:hAnsi="標楷體"/>
                <w:color w:val="000000"/>
                <w:kern w:val="0"/>
              </w:rPr>
              <w:br/>
            </w:r>
            <w:r w:rsidRPr="001B6E4D">
              <w:rPr>
                <w:rFonts w:ascii="標楷體" w:eastAsia="標楷體" w:hAnsi="標楷體" w:hint="eastAsia"/>
                <w:color w:val="000000"/>
                <w:kern w:val="0"/>
              </w:rPr>
              <w:t>本會</w:t>
            </w:r>
            <w:r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13</w:t>
            </w:r>
            <w:r w:rsidRPr="001B6E4D">
              <w:rPr>
                <w:rFonts w:ascii="標楷體" w:eastAsia="標楷體" w:hAnsi="標楷體" w:hint="eastAsia"/>
                <w:color w:val="000000"/>
                <w:kern w:val="0"/>
              </w:rPr>
              <w:t>.4.2</w:t>
            </w:r>
            <w:r w:rsidRPr="001B6E4D">
              <w:rPr>
                <w:rFonts w:ascii="標楷體" w:eastAsia="標楷體" w:hAnsi="標楷體"/>
                <w:color w:val="000000"/>
                <w:kern w:val="0"/>
              </w:rPr>
              <w:t>5</w:t>
            </w:r>
            <w:r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w:t>
            </w:r>
            <w:r w:rsidRPr="001B6E4D">
              <w:rPr>
                <w:rFonts w:ascii="標楷體" w:eastAsia="標楷體" w:hAnsi="標楷體" w:hint="eastAsia"/>
                <w:color w:val="000000"/>
                <w:kern w:val="0"/>
              </w:rPr>
              <w:t>-1-</w:t>
            </w:r>
            <w:r w:rsidRPr="001B6E4D">
              <w:rPr>
                <w:rFonts w:ascii="標楷體" w:eastAsia="標楷體" w:hAnsi="標楷體"/>
                <w:color w:val="000000"/>
                <w:kern w:val="0"/>
              </w:rPr>
              <w:t>1</w:t>
            </w:r>
            <w:r w:rsidRPr="001B6E4D">
              <w:rPr>
                <w:rFonts w:ascii="標楷體" w:eastAsia="標楷體" w:hAnsi="標楷體" w:hint="eastAsia"/>
                <w:color w:val="000000"/>
                <w:kern w:val="0"/>
              </w:rPr>
              <w:t>7)審查完竣，須交由黨團協商。</w:t>
            </w:r>
          </w:p>
        </w:tc>
      </w:tr>
      <w:tr w:rsidR="00114D45" w:rsidRPr="001B6E4D" w14:paraId="52B0065E" w14:textId="77777777" w:rsidTr="0006693A">
        <w:tc>
          <w:tcPr>
            <w:tcW w:w="709" w:type="dxa"/>
          </w:tcPr>
          <w:p w14:paraId="076CEEB9"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790EE0E2"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2.</w:t>
            </w:r>
            <w:r w:rsidRPr="001B6E4D">
              <w:rPr>
                <w:rFonts w:ascii="標楷體" w:eastAsia="標楷體" w:hAnsi="標楷體"/>
                <w:color w:val="000000"/>
                <w:kern w:val="0"/>
              </w:rPr>
              <w:t>立法院組織法第三十三</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tcPr>
          <w:p w14:paraId="4AD62859"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委員高金素梅</w:t>
            </w:r>
          </w:p>
          <w:p w14:paraId="14D6CE0E"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 113.03.15</w:t>
            </w:r>
          </w:p>
          <w:p w14:paraId="0FAB9BE5"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（11-1-5）</w:t>
            </w:r>
          </w:p>
        </w:tc>
        <w:tc>
          <w:tcPr>
            <w:tcW w:w="1985" w:type="dxa"/>
            <w:vMerge/>
          </w:tcPr>
          <w:p w14:paraId="45886B7F"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1D90AFAB"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65497CED" w14:textId="77777777" w:rsidTr="0006693A">
        <w:tc>
          <w:tcPr>
            <w:tcW w:w="709" w:type="dxa"/>
          </w:tcPr>
          <w:p w14:paraId="45F1166B"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4CF5F1A5"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3</w:t>
            </w:r>
            <w:r w:rsidRPr="001B6E4D">
              <w:rPr>
                <w:rFonts w:ascii="標楷體" w:eastAsia="標楷體" w:hAnsi="標楷體"/>
                <w:color w:val="000000"/>
                <w:kern w:val="0"/>
              </w:rPr>
              <w:t>.立法院組織法第三條、第五條及第三十二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tcPr>
          <w:p w14:paraId="12441A91"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委員賴瑞隆</w:t>
            </w:r>
          </w:p>
          <w:p w14:paraId="59BBD510"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 113.04.09</w:t>
            </w:r>
          </w:p>
          <w:p w14:paraId="15E99CFC"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（11-1-8）</w:t>
            </w:r>
          </w:p>
        </w:tc>
        <w:tc>
          <w:tcPr>
            <w:tcW w:w="1985" w:type="dxa"/>
            <w:vMerge/>
          </w:tcPr>
          <w:p w14:paraId="3E381EAD"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09FDB65B"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3B6303B9" w14:textId="77777777" w:rsidTr="0006693A">
        <w:tc>
          <w:tcPr>
            <w:tcW w:w="709" w:type="dxa"/>
          </w:tcPr>
          <w:p w14:paraId="4F4A6EF5"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758F8531"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4</w:t>
            </w:r>
            <w:r w:rsidRPr="001B6E4D">
              <w:rPr>
                <w:rFonts w:ascii="標楷體" w:eastAsia="標楷體" w:hAnsi="標楷體"/>
                <w:color w:val="000000"/>
                <w:kern w:val="0"/>
              </w:rPr>
              <w:t>.立法院組織法第三十二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tcPr>
          <w:p w14:paraId="1DF5A0FD"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委員高金素梅</w:t>
            </w:r>
          </w:p>
          <w:p w14:paraId="732DCADF"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w:t>
            </w:r>
            <w:r w:rsidRPr="001B6E4D">
              <w:rPr>
                <w:rFonts w:ascii="標楷體" w:eastAsia="標楷體" w:hAnsi="標楷體" w:hint="eastAsia"/>
                <w:color w:val="000000"/>
                <w:kern w:val="0"/>
              </w:rPr>
              <w:t>3</w:t>
            </w:r>
            <w:r w:rsidRPr="001B6E4D">
              <w:rPr>
                <w:rFonts w:ascii="標楷體" w:eastAsia="標楷體" w:hAnsi="標楷體"/>
                <w:color w:val="000000"/>
                <w:kern w:val="0"/>
              </w:rPr>
              <w:t>人 113.03.29</w:t>
            </w:r>
          </w:p>
          <w:p w14:paraId="3ECCB95C"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（11-1-7）</w:t>
            </w:r>
          </w:p>
        </w:tc>
        <w:tc>
          <w:tcPr>
            <w:tcW w:w="1985" w:type="dxa"/>
            <w:vMerge/>
          </w:tcPr>
          <w:p w14:paraId="4EEFCB13"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604E6AC5"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223EF48A" w14:textId="77777777" w:rsidTr="0006693A">
        <w:tc>
          <w:tcPr>
            <w:tcW w:w="709" w:type="dxa"/>
          </w:tcPr>
          <w:p w14:paraId="6092A938"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7572C173"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1.個人資料保護</w:t>
            </w:r>
            <w:r w:rsidRPr="001B6E4D">
              <w:rPr>
                <w:rFonts w:ascii="標楷體" w:eastAsia="標楷體" w:hAnsi="標楷體"/>
                <w:color w:val="000000"/>
                <w:kern w:val="0"/>
              </w:rPr>
              <w:lastRenderedPageBreak/>
              <w:t>委員會組織法草案</w:t>
            </w:r>
          </w:p>
        </w:tc>
        <w:tc>
          <w:tcPr>
            <w:tcW w:w="1918" w:type="dxa"/>
          </w:tcPr>
          <w:p w14:paraId="4E745F7F"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行政院</w:t>
            </w:r>
          </w:p>
          <w:p w14:paraId="61807BC1"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114.04.18</w:t>
            </w:r>
          </w:p>
          <w:p w14:paraId="1918752E"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（11-3-8）</w:t>
            </w:r>
          </w:p>
        </w:tc>
        <w:tc>
          <w:tcPr>
            <w:tcW w:w="1985" w:type="dxa"/>
            <w:vMerge w:val="restart"/>
          </w:tcPr>
          <w:p w14:paraId="5A5425EC" w14:textId="77777777" w:rsidR="00114D45" w:rsidRPr="001B6E4D" w:rsidRDefault="00114D4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司法及法制、</w:t>
            </w:r>
          </w:p>
          <w:p w14:paraId="693FC21F" w14:textId="77777777" w:rsidR="00114D45" w:rsidRPr="001B6E4D" w:rsidRDefault="00114D4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經濟</w:t>
            </w:r>
          </w:p>
          <w:p w14:paraId="4E0714F9" w14:textId="77777777" w:rsidR="00114D45" w:rsidRPr="001B6E4D" w:rsidRDefault="00114D4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hint="eastAsia"/>
                <w:color w:val="000000"/>
                <w:kern w:val="0"/>
              </w:rPr>
              <w:t>莊召集委員瑞雄</w:t>
            </w:r>
          </w:p>
        </w:tc>
        <w:tc>
          <w:tcPr>
            <w:tcW w:w="1984" w:type="dxa"/>
            <w:vMerge w:val="restart"/>
          </w:tcPr>
          <w:p w14:paraId="00BC7C03"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lastRenderedPageBreak/>
              <w:t>1.</w:t>
            </w:r>
            <w:r w:rsidRPr="001B6E4D">
              <w:rPr>
                <w:rFonts w:ascii="標楷體" w:eastAsia="標楷體" w:hAnsi="標楷體"/>
                <w:color w:val="000000"/>
                <w:kern w:val="0"/>
              </w:rPr>
              <w:t>聯席</w:t>
            </w:r>
            <w:r w:rsidRPr="001B6E4D">
              <w:rPr>
                <w:rFonts w:ascii="標楷體" w:eastAsia="標楷體" w:hAnsi="標楷體" w:hint="eastAsia"/>
                <w:color w:val="000000"/>
                <w:kern w:val="0"/>
              </w:rPr>
              <w:t>會</w:t>
            </w:r>
            <w:r w:rsidRPr="001B6E4D">
              <w:rPr>
                <w:rFonts w:ascii="標楷體" w:eastAsia="標楷體" w:hAnsi="標楷體"/>
                <w:color w:val="000000"/>
                <w:kern w:val="0"/>
              </w:rPr>
              <w:br/>
            </w:r>
            <w:r w:rsidRPr="001B6E4D">
              <w:rPr>
                <w:rFonts w:ascii="標楷體" w:eastAsia="標楷體" w:hAnsi="標楷體" w:hint="eastAsia"/>
                <w:color w:val="000000"/>
                <w:kern w:val="0"/>
              </w:rPr>
              <w:lastRenderedPageBreak/>
              <w:t>1</w:t>
            </w:r>
            <w:r w:rsidRPr="001B6E4D">
              <w:rPr>
                <w:rFonts w:ascii="標楷體" w:eastAsia="標楷體" w:hAnsi="標楷體"/>
                <w:color w:val="000000"/>
                <w:kern w:val="0"/>
              </w:rPr>
              <w:t>1</w:t>
            </w:r>
            <w:r w:rsidRPr="001B6E4D">
              <w:rPr>
                <w:rFonts w:ascii="標楷體" w:eastAsia="標楷體" w:hAnsi="標楷體" w:hint="eastAsia"/>
                <w:color w:val="000000"/>
                <w:kern w:val="0"/>
              </w:rPr>
              <w:t>4.</w:t>
            </w:r>
            <w:r w:rsidRPr="001B6E4D">
              <w:rPr>
                <w:rFonts w:ascii="標楷體" w:eastAsia="標楷體" w:hAnsi="標楷體"/>
                <w:color w:val="000000"/>
                <w:kern w:val="0"/>
              </w:rPr>
              <w:t>5</w:t>
            </w:r>
            <w:r w:rsidRPr="001B6E4D">
              <w:rPr>
                <w:rFonts w:ascii="標楷體" w:eastAsia="標楷體" w:hAnsi="標楷體" w:hint="eastAsia"/>
                <w:color w:val="000000"/>
                <w:kern w:val="0"/>
              </w:rPr>
              <w:t>.2</w:t>
            </w:r>
            <w:r w:rsidRPr="001B6E4D">
              <w:rPr>
                <w:rFonts w:ascii="標楷體" w:eastAsia="標楷體" w:hAnsi="標楷體"/>
                <w:color w:val="000000"/>
                <w:kern w:val="0"/>
              </w:rPr>
              <w:t>8</w:t>
            </w:r>
            <w:r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w:t>
            </w:r>
            <w:r w:rsidRPr="001B6E4D">
              <w:rPr>
                <w:rFonts w:ascii="標楷體" w:eastAsia="標楷體" w:hAnsi="標楷體" w:hint="eastAsia"/>
                <w:color w:val="000000"/>
                <w:kern w:val="0"/>
              </w:rPr>
              <w:t>-</w:t>
            </w:r>
            <w:r w:rsidRPr="001B6E4D">
              <w:rPr>
                <w:rFonts w:ascii="標楷體" w:eastAsia="標楷體" w:hAnsi="標楷體"/>
                <w:color w:val="000000"/>
                <w:kern w:val="0"/>
              </w:rPr>
              <w:t>3</w:t>
            </w:r>
            <w:r w:rsidRPr="001B6E4D">
              <w:rPr>
                <w:rFonts w:ascii="標楷體" w:eastAsia="標楷體" w:hAnsi="標楷體" w:hint="eastAsia"/>
                <w:color w:val="000000"/>
                <w:kern w:val="0"/>
              </w:rPr>
              <w:t>-</w:t>
            </w:r>
            <w:r w:rsidRPr="001B6E4D">
              <w:rPr>
                <w:rFonts w:ascii="標楷體" w:eastAsia="標楷體" w:hAnsi="標楷體"/>
                <w:color w:val="000000"/>
                <w:kern w:val="0"/>
              </w:rPr>
              <w:t>1</w:t>
            </w:r>
            <w:r w:rsidRPr="001B6E4D">
              <w:rPr>
                <w:rFonts w:ascii="標楷體" w:eastAsia="標楷體" w:hAnsi="標楷體" w:hint="eastAsia"/>
                <w:color w:val="000000"/>
                <w:kern w:val="0"/>
              </w:rPr>
              <w:t>)審查完竣，須交由黨團協商。</w:t>
            </w:r>
          </w:p>
          <w:p w14:paraId="59EE339D"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2.114.6.24黨團協商。</w:t>
            </w:r>
          </w:p>
        </w:tc>
      </w:tr>
      <w:tr w:rsidR="00114D45" w:rsidRPr="001B6E4D" w14:paraId="29084A81" w14:textId="77777777" w:rsidTr="0006693A">
        <w:tc>
          <w:tcPr>
            <w:tcW w:w="709" w:type="dxa"/>
          </w:tcPr>
          <w:p w14:paraId="643823A7"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58BCAF7C"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2.個人資料保護委員會組織法草案</w:t>
            </w:r>
          </w:p>
        </w:tc>
        <w:tc>
          <w:tcPr>
            <w:tcW w:w="1918" w:type="dxa"/>
          </w:tcPr>
          <w:p w14:paraId="59A4FE83"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委員王美惠</w:t>
            </w:r>
          </w:p>
          <w:p w14:paraId="29C4D8F5"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7FC40205"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114.04.18</w:t>
            </w:r>
          </w:p>
          <w:p w14:paraId="1D8E83E9"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（11-3-8）</w:t>
            </w:r>
          </w:p>
        </w:tc>
        <w:tc>
          <w:tcPr>
            <w:tcW w:w="1985" w:type="dxa"/>
            <w:vMerge/>
          </w:tcPr>
          <w:p w14:paraId="7F67527D"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39D4853D"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6A31D285" w14:textId="77777777" w:rsidTr="0006693A">
        <w:tc>
          <w:tcPr>
            <w:tcW w:w="709" w:type="dxa"/>
          </w:tcPr>
          <w:p w14:paraId="3E1F0C6F"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482CC26F"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3.個人資料保護委員會組織法草案</w:t>
            </w:r>
          </w:p>
        </w:tc>
        <w:tc>
          <w:tcPr>
            <w:tcW w:w="1918" w:type="dxa"/>
          </w:tcPr>
          <w:p w14:paraId="782BFA6E"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委員羅廷</w:t>
            </w:r>
            <w:proofErr w:type="gramStart"/>
            <w:r w:rsidRPr="001B6E4D">
              <w:rPr>
                <w:rFonts w:ascii="標楷體" w:eastAsia="標楷體" w:hAnsi="標楷體"/>
                <w:color w:val="000000"/>
                <w:kern w:val="0"/>
              </w:rPr>
              <w:t>瑋</w:t>
            </w:r>
            <w:proofErr w:type="gramEnd"/>
          </w:p>
          <w:p w14:paraId="4A33538F"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2E1969B2"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114.04.25</w:t>
            </w:r>
          </w:p>
          <w:p w14:paraId="1FF895DA"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（11-3-9）</w:t>
            </w:r>
          </w:p>
        </w:tc>
        <w:tc>
          <w:tcPr>
            <w:tcW w:w="1985" w:type="dxa"/>
            <w:vMerge/>
          </w:tcPr>
          <w:p w14:paraId="1E998AEA"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0372E7C3"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6F9470CC" w14:textId="77777777" w:rsidTr="0006693A">
        <w:tc>
          <w:tcPr>
            <w:tcW w:w="709" w:type="dxa"/>
          </w:tcPr>
          <w:p w14:paraId="14661861"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2BC1EF78"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4.個人資料保護委員會組織法草案</w:t>
            </w:r>
          </w:p>
        </w:tc>
        <w:tc>
          <w:tcPr>
            <w:tcW w:w="1918" w:type="dxa"/>
          </w:tcPr>
          <w:p w14:paraId="4A0CAB34"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委員李坤城</w:t>
            </w:r>
          </w:p>
          <w:p w14:paraId="6310D736"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181D0CFC"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114.04.25</w:t>
            </w:r>
          </w:p>
          <w:p w14:paraId="2D87D546"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（11-3-9）</w:t>
            </w:r>
          </w:p>
        </w:tc>
        <w:tc>
          <w:tcPr>
            <w:tcW w:w="1985" w:type="dxa"/>
            <w:vMerge/>
          </w:tcPr>
          <w:p w14:paraId="4F0D9AF9"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57FF134E"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283FFE45" w14:textId="77777777" w:rsidTr="0006693A">
        <w:tc>
          <w:tcPr>
            <w:tcW w:w="709" w:type="dxa"/>
          </w:tcPr>
          <w:p w14:paraId="2CB83DAB"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332290D4"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5.個人資料保護委員會組織法草案</w:t>
            </w:r>
          </w:p>
        </w:tc>
        <w:tc>
          <w:tcPr>
            <w:tcW w:w="1918" w:type="dxa"/>
          </w:tcPr>
          <w:p w14:paraId="501AE856"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委員吳秉</w:t>
            </w:r>
            <w:proofErr w:type="gramStart"/>
            <w:r w:rsidRPr="001B6E4D">
              <w:rPr>
                <w:rFonts w:ascii="標楷體" w:eastAsia="標楷體" w:hAnsi="標楷體"/>
                <w:color w:val="000000"/>
                <w:kern w:val="0"/>
              </w:rPr>
              <w:t>叡</w:t>
            </w:r>
            <w:proofErr w:type="gramEnd"/>
          </w:p>
          <w:p w14:paraId="3350047C"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1FC8C956"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114.05.02</w:t>
            </w:r>
          </w:p>
          <w:p w14:paraId="74E0BC3C"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（11-3-10）</w:t>
            </w:r>
          </w:p>
        </w:tc>
        <w:tc>
          <w:tcPr>
            <w:tcW w:w="1985" w:type="dxa"/>
            <w:vMerge/>
          </w:tcPr>
          <w:p w14:paraId="6CA23B63"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26CD2CE4"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632A0AD9" w14:textId="77777777" w:rsidTr="0006693A">
        <w:tc>
          <w:tcPr>
            <w:tcW w:w="709" w:type="dxa"/>
          </w:tcPr>
          <w:p w14:paraId="3A0A75EF"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3E5B15A2"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6.個人資料保護委員會組織法草案</w:t>
            </w:r>
          </w:p>
        </w:tc>
        <w:tc>
          <w:tcPr>
            <w:tcW w:w="1918" w:type="dxa"/>
          </w:tcPr>
          <w:p w14:paraId="4759D074"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委員陳亭</w:t>
            </w:r>
            <w:proofErr w:type="gramStart"/>
            <w:r w:rsidRPr="001B6E4D">
              <w:rPr>
                <w:rFonts w:ascii="標楷體" w:eastAsia="標楷體" w:hAnsi="標楷體"/>
                <w:color w:val="000000"/>
                <w:kern w:val="0"/>
              </w:rPr>
              <w:t>妃</w:t>
            </w:r>
            <w:proofErr w:type="gramEnd"/>
          </w:p>
          <w:p w14:paraId="5B9EBB7E"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738BCA4E"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114.05.09</w:t>
            </w:r>
          </w:p>
          <w:p w14:paraId="54DD0400"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（11-3-11）</w:t>
            </w:r>
          </w:p>
        </w:tc>
        <w:tc>
          <w:tcPr>
            <w:tcW w:w="1985" w:type="dxa"/>
            <w:vMerge/>
          </w:tcPr>
          <w:p w14:paraId="3DEF62F8"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23B49E4F"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3E9FF52B" w14:textId="77777777" w:rsidTr="0006693A">
        <w:tc>
          <w:tcPr>
            <w:tcW w:w="709" w:type="dxa"/>
          </w:tcPr>
          <w:p w14:paraId="5EEF11FA"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14919A49"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7.個人資料保護委員會組織法草案</w:t>
            </w:r>
          </w:p>
        </w:tc>
        <w:tc>
          <w:tcPr>
            <w:tcW w:w="1918" w:type="dxa"/>
          </w:tcPr>
          <w:p w14:paraId="30D89CAA"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委員蔡易餘</w:t>
            </w:r>
          </w:p>
          <w:p w14:paraId="00FEFDCD"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515B655B"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114.05.09</w:t>
            </w:r>
          </w:p>
          <w:p w14:paraId="3A4C43A1"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（11-3-11）</w:t>
            </w:r>
          </w:p>
        </w:tc>
        <w:tc>
          <w:tcPr>
            <w:tcW w:w="1985" w:type="dxa"/>
            <w:vMerge/>
          </w:tcPr>
          <w:p w14:paraId="1ACB4830"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039D24F8"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03A24FCA" w14:textId="77777777" w:rsidTr="0006693A">
        <w:tc>
          <w:tcPr>
            <w:tcW w:w="709" w:type="dxa"/>
          </w:tcPr>
          <w:p w14:paraId="198D3982"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59E3DD42"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8.個人資料保護委員會組織法草案</w:t>
            </w:r>
          </w:p>
        </w:tc>
        <w:tc>
          <w:tcPr>
            <w:tcW w:w="1918" w:type="dxa"/>
          </w:tcPr>
          <w:p w14:paraId="15AC0D30"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委員何欣純</w:t>
            </w:r>
          </w:p>
          <w:p w14:paraId="0482A69C"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等22人</w:t>
            </w:r>
          </w:p>
          <w:p w14:paraId="233E5CAE"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114.05.16</w:t>
            </w:r>
          </w:p>
          <w:p w14:paraId="2A7646EB"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（11-3-12）</w:t>
            </w:r>
          </w:p>
        </w:tc>
        <w:tc>
          <w:tcPr>
            <w:tcW w:w="1985" w:type="dxa"/>
            <w:vMerge/>
          </w:tcPr>
          <w:p w14:paraId="168B78B2"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7FA1F789"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4581840E" w14:textId="77777777" w:rsidTr="0006693A">
        <w:tc>
          <w:tcPr>
            <w:tcW w:w="709" w:type="dxa"/>
          </w:tcPr>
          <w:p w14:paraId="04DBA62B"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7982726B"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9.個人資料保護委員會組織法草案</w:t>
            </w:r>
          </w:p>
        </w:tc>
        <w:tc>
          <w:tcPr>
            <w:tcW w:w="1918" w:type="dxa"/>
          </w:tcPr>
          <w:p w14:paraId="1C6C78EC"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委員吳思瑤</w:t>
            </w:r>
          </w:p>
          <w:p w14:paraId="0867A791"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B941123"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114.05.23</w:t>
            </w:r>
          </w:p>
          <w:p w14:paraId="4A622CAD"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（11-3-13）</w:t>
            </w:r>
          </w:p>
        </w:tc>
        <w:tc>
          <w:tcPr>
            <w:tcW w:w="1985" w:type="dxa"/>
            <w:vMerge/>
          </w:tcPr>
          <w:p w14:paraId="3358D532"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71F7ABAA"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01F9B44C" w14:textId="77777777" w:rsidTr="0006693A">
        <w:tc>
          <w:tcPr>
            <w:tcW w:w="709" w:type="dxa"/>
          </w:tcPr>
          <w:p w14:paraId="14B3EB20"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554FDC87"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1.監察院組織法第三條之</w:t>
            </w:r>
            <w:proofErr w:type="gramStart"/>
            <w:r w:rsidRPr="001B6E4D">
              <w:rPr>
                <w:rFonts w:ascii="標楷體" w:eastAsia="標楷體" w:hAnsi="標楷體"/>
                <w:color w:val="000000"/>
                <w:kern w:val="0"/>
              </w:rPr>
              <w:t>一</w:t>
            </w:r>
            <w:proofErr w:type="gramEnd"/>
            <w:r w:rsidRPr="001B6E4D">
              <w:rPr>
                <w:rFonts w:ascii="標楷體" w:eastAsia="標楷體" w:hAnsi="標楷體"/>
                <w:color w:val="000000"/>
                <w:kern w:val="0"/>
              </w:rPr>
              <w:t>及第三條之二條文修正草案</w:t>
            </w:r>
          </w:p>
        </w:tc>
        <w:tc>
          <w:tcPr>
            <w:tcW w:w="1918" w:type="dxa"/>
          </w:tcPr>
          <w:p w14:paraId="73CBFFD5"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委員徐巧芯</w:t>
            </w:r>
          </w:p>
          <w:p w14:paraId="74227195"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686C4DD9"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113.03.29</w:t>
            </w:r>
          </w:p>
          <w:p w14:paraId="1DF36D41"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（11-1-7）</w:t>
            </w:r>
          </w:p>
        </w:tc>
        <w:tc>
          <w:tcPr>
            <w:tcW w:w="1985" w:type="dxa"/>
            <w:vMerge w:val="restart"/>
          </w:tcPr>
          <w:p w14:paraId="1EB30DEA" w14:textId="77777777" w:rsidR="00114D45" w:rsidRPr="001B6E4D" w:rsidRDefault="00114D4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司法及法制</w:t>
            </w:r>
          </w:p>
          <w:p w14:paraId="56297F6E" w14:textId="77777777" w:rsidR="00114D45" w:rsidRPr="001B6E4D" w:rsidRDefault="00114D45"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吳召集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宗憲</w:t>
            </w:r>
          </w:p>
        </w:tc>
        <w:tc>
          <w:tcPr>
            <w:tcW w:w="1984" w:type="dxa"/>
            <w:vMerge w:val="restart"/>
          </w:tcPr>
          <w:p w14:paraId="110A8C5C"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1.第1案</w:t>
            </w:r>
            <w:r w:rsidRPr="001B6E4D">
              <w:rPr>
                <w:rFonts w:ascii="標楷體" w:eastAsia="標楷體" w:hAnsi="標楷體"/>
                <w:color w:val="000000"/>
                <w:kern w:val="0"/>
              </w:rPr>
              <w:br/>
            </w:r>
            <w:r w:rsidRPr="001B6E4D">
              <w:rPr>
                <w:rFonts w:ascii="標楷體" w:eastAsia="標楷體" w:hAnsi="標楷體" w:hint="eastAsia"/>
                <w:color w:val="000000"/>
                <w:kern w:val="0"/>
              </w:rPr>
              <w:t>本會</w:t>
            </w:r>
            <w:r w:rsidRPr="001B6E4D">
              <w:rPr>
                <w:rFonts w:ascii="標楷體" w:eastAsia="標楷體" w:hAnsi="標楷體"/>
                <w:color w:val="000000"/>
                <w:kern w:val="0"/>
              </w:rPr>
              <w:br/>
              <w:t>113.4.29</w:t>
            </w:r>
            <w:r w:rsidRPr="001B6E4D">
              <w:rPr>
                <w:rFonts w:ascii="標楷體" w:eastAsia="標楷體" w:hAnsi="標楷體"/>
                <w:color w:val="000000"/>
                <w:kern w:val="0"/>
              </w:rPr>
              <w:br/>
              <w:t>(11-1-18)報告及</w:t>
            </w:r>
            <w:proofErr w:type="gramStart"/>
            <w:r w:rsidRPr="001B6E4D">
              <w:rPr>
                <w:rFonts w:ascii="標楷體" w:eastAsia="標楷體" w:hAnsi="標楷體"/>
                <w:color w:val="000000"/>
                <w:kern w:val="0"/>
              </w:rPr>
              <w:t>詢</w:t>
            </w:r>
            <w:proofErr w:type="gramEnd"/>
            <w:r w:rsidRPr="001B6E4D">
              <w:rPr>
                <w:rFonts w:ascii="標楷體" w:eastAsia="標楷體" w:hAnsi="標楷體"/>
                <w:color w:val="000000"/>
                <w:kern w:val="0"/>
              </w:rPr>
              <w:t>答完畢，另定期繼續審查。</w:t>
            </w:r>
          </w:p>
          <w:p w14:paraId="5CB76064"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2.第1-2案</w:t>
            </w:r>
            <w:r w:rsidRPr="001B6E4D">
              <w:rPr>
                <w:rFonts w:ascii="標楷體" w:eastAsia="標楷體" w:hAnsi="標楷體"/>
                <w:color w:val="000000"/>
                <w:kern w:val="0"/>
              </w:rPr>
              <w:br/>
            </w:r>
            <w:r w:rsidRPr="001B6E4D">
              <w:rPr>
                <w:rFonts w:ascii="標楷體" w:eastAsia="標楷體" w:hAnsi="標楷體" w:hint="eastAsia"/>
                <w:color w:val="000000"/>
                <w:kern w:val="0"/>
              </w:rPr>
              <w:t>本</w:t>
            </w:r>
            <w:r w:rsidRPr="001B6E4D">
              <w:rPr>
                <w:rFonts w:ascii="標楷體" w:eastAsia="標楷體" w:hAnsi="標楷體"/>
                <w:color w:val="000000"/>
                <w:kern w:val="0"/>
              </w:rPr>
              <w:t>會</w:t>
            </w:r>
            <w:r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w:t>
            </w:r>
            <w:r w:rsidRPr="001B6E4D">
              <w:rPr>
                <w:rFonts w:ascii="標楷體" w:eastAsia="標楷體" w:hAnsi="標楷體" w:hint="eastAsia"/>
                <w:color w:val="000000"/>
                <w:kern w:val="0"/>
              </w:rPr>
              <w:t>4.6.16</w:t>
            </w:r>
            <w:r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w:t>
            </w:r>
            <w:r w:rsidRPr="001B6E4D">
              <w:rPr>
                <w:rFonts w:ascii="標楷體" w:eastAsia="標楷體" w:hAnsi="標楷體" w:hint="eastAsia"/>
                <w:color w:val="000000"/>
                <w:kern w:val="0"/>
              </w:rPr>
              <w:t>-</w:t>
            </w:r>
            <w:r w:rsidRPr="001B6E4D">
              <w:rPr>
                <w:rFonts w:ascii="標楷體" w:eastAsia="標楷體" w:hAnsi="標楷體"/>
                <w:color w:val="000000"/>
                <w:kern w:val="0"/>
              </w:rPr>
              <w:t>3</w:t>
            </w:r>
            <w:r w:rsidRPr="001B6E4D">
              <w:rPr>
                <w:rFonts w:ascii="標楷體" w:eastAsia="標楷體" w:hAnsi="標楷體" w:hint="eastAsia"/>
                <w:color w:val="000000"/>
                <w:kern w:val="0"/>
              </w:rPr>
              <w:t>-20)審</w:t>
            </w:r>
            <w:r w:rsidRPr="001B6E4D">
              <w:rPr>
                <w:rFonts w:ascii="標楷體" w:eastAsia="標楷體" w:hAnsi="標楷體" w:hint="eastAsia"/>
                <w:color w:val="000000"/>
                <w:kern w:val="0"/>
              </w:rPr>
              <w:lastRenderedPageBreak/>
              <w:t>查完竣，須交由黨團協商。</w:t>
            </w:r>
          </w:p>
        </w:tc>
      </w:tr>
      <w:tr w:rsidR="00114D45" w:rsidRPr="001B6E4D" w14:paraId="7800B118" w14:textId="77777777" w:rsidTr="0006693A">
        <w:tc>
          <w:tcPr>
            <w:tcW w:w="709" w:type="dxa"/>
          </w:tcPr>
          <w:p w14:paraId="63868486"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3A96FC5F"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2.監察院組織法第三條之</w:t>
            </w:r>
            <w:proofErr w:type="gramStart"/>
            <w:r w:rsidRPr="001B6E4D">
              <w:rPr>
                <w:rFonts w:ascii="標楷體" w:eastAsia="標楷體" w:hAnsi="標楷體"/>
                <w:color w:val="000000"/>
                <w:kern w:val="0"/>
              </w:rPr>
              <w:t>一</w:t>
            </w:r>
            <w:proofErr w:type="gramEnd"/>
            <w:r w:rsidRPr="001B6E4D">
              <w:rPr>
                <w:rFonts w:ascii="標楷體" w:eastAsia="標楷體" w:hAnsi="標楷體"/>
                <w:color w:val="000000"/>
                <w:kern w:val="0"/>
              </w:rPr>
              <w:t>條文修正草案</w:t>
            </w:r>
          </w:p>
        </w:tc>
        <w:tc>
          <w:tcPr>
            <w:tcW w:w="1918" w:type="dxa"/>
          </w:tcPr>
          <w:p w14:paraId="4D5CA460"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委員王鴻薇</w:t>
            </w:r>
          </w:p>
          <w:p w14:paraId="761AC4DF"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7BFFA295"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113.05.03</w:t>
            </w:r>
          </w:p>
          <w:p w14:paraId="190D2CD6"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（11-1-12）</w:t>
            </w:r>
          </w:p>
        </w:tc>
        <w:tc>
          <w:tcPr>
            <w:tcW w:w="1985" w:type="dxa"/>
            <w:vMerge/>
          </w:tcPr>
          <w:p w14:paraId="297DC737" w14:textId="77777777" w:rsidR="00114D45" w:rsidRPr="001B6E4D" w:rsidRDefault="00114D45" w:rsidP="003D1018">
            <w:pPr>
              <w:widowControl w:val="0"/>
              <w:overflowPunct w:val="0"/>
              <w:spacing w:line="300" w:lineRule="exact"/>
              <w:rPr>
                <w:rFonts w:ascii="標楷體" w:eastAsia="標楷體" w:hAnsi="標楷體"/>
                <w:color w:val="000000"/>
                <w:kern w:val="0"/>
              </w:rPr>
            </w:pPr>
          </w:p>
        </w:tc>
        <w:tc>
          <w:tcPr>
            <w:tcW w:w="1984" w:type="dxa"/>
            <w:vMerge/>
          </w:tcPr>
          <w:p w14:paraId="595048AB" w14:textId="77777777" w:rsidR="00114D45" w:rsidRPr="001B6E4D" w:rsidRDefault="00114D45"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114D45" w:rsidRPr="001B6E4D" w14:paraId="213955D9" w14:textId="77777777" w:rsidTr="0006693A">
        <w:tc>
          <w:tcPr>
            <w:tcW w:w="709" w:type="dxa"/>
          </w:tcPr>
          <w:p w14:paraId="4D96D1EA" w14:textId="77777777" w:rsidR="00114D45" w:rsidRPr="001B6E4D" w:rsidRDefault="00114D45" w:rsidP="003D1018">
            <w:pPr>
              <w:widowControl w:val="0"/>
              <w:numPr>
                <w:ilvl w:val="0"/>
                <w:numId w:val="27"/>
              </w:numPr>
              <w:overflowPunct w:val="0"/>
              <w:jc w:val="center"/>
              <w:rPr>
                <w:rFonts w:ascii="標楷體" w:eastAsia="標楷體" w:hAnsi="標楷體" w:cs="新細明體"/>
                <w:color w:val="000000"/>
                <w:szCs w:val="22"/>
              </w:rPr>
            </w:pPr>
          </w:p>
        </w:tc>
        <w:tc>
          <w:tcPr>
            <w:tcW w:w="1909" w:type="dxa"/>
          </w:tcPr>
          <w:p w14:paraId="2DFFE2F0" w14:textId="77777777" w:rsidR="00114D45" w:rsidRPr="001B6E4D" w:rsidRDefault="00114D45"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監察院國家人權委員會組織法第三</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tcPr>
          <w:p w14:paraId="4CB1DE5D"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委員徐巧芯</w:t>
            </w:r>
          </w:p>
          <w:p w14:paraId="5EAC7312"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等22人</w:t>
            </w:r>
          </w:p>
          <w:p w14:paraId="18C758DA"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113.05.10</w:t>
            </w:r>
          </w:p>
          <w:p w14:paraId="32A85878" w14:textId="77777777" w:rsidR="00114D45" w:rsidRPr="001B6E4D" w:rsidRDefault="00114D45"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（11-1-13）</w:t>
            </w:r>
          </w:p>
        </w:tc>
        <w:tc>
          <w:tcPr>
            <w:tcW w:w="1985" w:type="dxa"/>
          </w:tcPr>
          <w:p w14:paraId="7F56D30D" w14:textId="77777777" w:rsidR="00114D45" w:rsidRPr="001B6E4D" w:rsidRDefault="00114D4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司法及法制</w:t>
            </w:r>
          </w:p>
          <w:p w14:paraId="40EB834C" w14:textId="77777777" w:rsidR="00114D45" w:rsidRPr="001B6E4D" w:rsidRDefault="00114D45"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hint="eastAsia"/>
                <w:color w:val="000000"/>
                <w:kern w:val="0"/>
              </w:rPr>
              <w:t>吳召集</w:t>
            </w:r>
            <w:r w:rsidRPr="001B6E4D">
              <w:rPr>
                <w:rFonts w:ascii="標楷體" w:eastAsia="標楷體" w:hAnsi="標楷體"/>
                <w:color w:val="000000"/>
                <w:kern w:val="0"/>
              </w:rPr>
              <w:t>委員</w:t>
            </w:r>
            <w:r w:rsidRPr="001B6E4D">
              <w:rPr>
                <w:rFonts w:ascii="標楷體" w:eastAsia="標楷體" w:hAnsi="標楷體" w:hint="eastAsia"/>
                <w:color w:val="000000"/>
                <w:kern w:val="0"/>
              </w:rPr>
              <w:t>宗憲</w:t>
            </w:r>
          </w:p>
        </w:tc>
        <w:tc>
          <w:tcPr>
            <w:tcW w:w="1984" w:type="dxa"/>
          </w:tcPr>
          <w:p w14:paraId="2618D1E7" w14:textId="77777777" w:rsidR="00114D45" w:rsidRPr="001B6E4D" w:rsidRDefault="00114D45"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本</w:t>
            </w:r>
            <w:r w:rsidRPr="001B6E4D">
              <w:rPr>
                <w:rFonts w:ascii="標楷體" w:eastAsia="標楷體" w:hAnsi="標楷體"/>
                <w:color w:val="000000"/>
                <w:kern w:val="0"/>
              </w:rPr>
              <w:t>會</w:t>
            </w:r>
            <w:r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w:t>
            </w:r>
            <w:r w:rsidRPr="001B6E4D">
              <w:rPr>
                <w:rFonts w:ascii="標楷體" w:eastAsia="標楷體" w:hAnsi="標楷體" w:hint="eastAsia"/>
                <w:color w:val="000000"/>
                <w:kern w:val="0"/>
              </w:rPr>
              <w:t>4.6.16</w:t>
            </w:r>
            <w:r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w:t>
            </w:r>
            <w:r w:rsidRPr="001B6E4D">
              <w:rPr>
                <w:rFonts w:ascii="標楷體" w:eastAsia="標楷體" w:hAnsi="標楷體" w:hint="eastAsia"/>
                <w:color w:val="000000"/>
                <w:kern w:val="0"/>
              </w:rPr>
              <w:t>-</w:t>
            </w:r>
            <w:r w:rsidRPr="001B6E4D">
              <w:rPr>
                <w:rFonts w:ascii="標楷體" w:eastAsia="標楷體" w:hAnsi="標楷體"/>
                <w:color w:val="000000"/>
                <w:kern w:val="0"/>
              </w:rPr>
              <w:t>3</w:t>
            </w:r>
            <w:r w:rsidRPr="001B6E4D">
              <w:rPr>
                <w:rFonts w:ascii="標楷體" w:eastAsia="標楷體" w:hAnsi="標楷體" w:hint="eastAsia"/>
                <w:color w:val="000000"/>
                <w:kern w:val="0"/>
              </w:rPr>
              <w:t>-20)審查完竣，須交由黨團協商。</w:t>
            </w:r>
          </w:p>
        </w:tc>
      </w:tr>
    </w:tbl>
    <w:p w14:paraId="7D316FC6" w14:textId="77777777" w:rsidR="00BC6372" w:rsidRPr="001B6E4D" w:rsidRDefault="00BC6372" w:rsidP="003D1018">
      <w:pPr>
        <w:pStyle w:val="affffff0"/>
        <w:kinsoku w:val="0"/>
        <w:overflowPunct w:val="0"/>
        <w:topLinePunct/>
        <w:spacing w:before="180" w:after="180"/>
        <w:ind w:leftChars="128" w:left="307" w:firstLineChars="200" w:firstLine="561"/>
        <w:rPr>
          <w:color w:val="000000" w:themeColor="text1"/>
          <w:szCs w:val="28"/>
          <w:shd w:val="clear" w:color="auto" w:fill="FFFFFF" w:themeFill="background1"/>
        </w:rPr>
      </w:pPr>
      <w:bookmarkStart w:id="179" w:name="_Toc240446539"/>
      <w:bookmarkStart w:id="180" w:name="_Toc361213587"/>
      <w:bookmarkStart w:id="181" w:name="_Toc361923731"/>
      <w:bookmarkStart w:id="182" w:name="_Toc363206585"/>
      <w:bookmarkStart w:id="183" w:name="_Toc380604572"/>
      <w:bookmarkStart w:id="184" w:name="_Toc206144039"/>
      <w:bookmarkStart w:id="185" w:name="_Hlk174467219"/>
      <w:r w:rsidRPr="001B6E4D">
        <w:rPr>
          <w:color w:val="000000" w:themeColor="text1"/>
          <w:szCs w:val="28"/>
          <w:shd w:val="clear" w:color="auto" w:fill="FFFFFF" w:themeFill="background1"/>
        </w:rPr>
        <w:t>二</w:t>
      </w:r>
      <w:r w:rsidRPr="001B6E4D">
        <w:rPr>
          <w:rFonts w:hint="eastAsia"/>
          <w:color w:val="000000" w:themeColor="text1"/>
          <w:szCs w:val="28"/>
          <w:shd w:val="clear" w:color="auto" w:fill="FFFFFF" w:themeFill="background1"/>
        </w:rPr>
        <w:t>、</w:t>
      </w:r>
      <w:r w:rsidRPr="001B6E4D">
        <w:rPr>
          <w:color w:val="000000" w:themeColor="text1"/>
          <w:szCs w:val="28"/>
          <w:shd w:val="clear" w:color="auto" w:fill="FFFFFF" w:themeFill="background1"/>
        </w:rPr>
        <w:t>作用法</w:t>
      </w:r>
      <w:r w:rsidRPr="001B6E4D">
        <w:rPr>
          <w:rFonts w:hint="eastAsia"/>
          <w:color w:val="000000" w:themeColor="text1"/>
          <w:szCs w:val="28"/>
          <w:shd w:val="clear" w:color="auto" w:fill="FFFFFF" w:themeFill="background1"/>
        </w:rPr>
        <w:t>122</w:t>
      </w:r>
      <w:r w:rsidRPr="001B6E4D">
        <w:rPr>
          <w:color w:val="000000" w:themeColor="text1"/>
          <w:szCs w:val="28"/>
          <w:shd w:val="clear" w:color="auto" w:fill="FFFFFF" w:themeFill="background1"/>
        </w:rPr>
        <w:t>案</w:t>
      </w:r>
      <w:bookmarkEnd w:id="179"/>
    </w:p>
    <w:tbl>
      <w:tblPr>
        <w:tblW w:w="8505" w:type="dxa"/>
        <w:tblInd w:w="10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9"/>
        <w:gridCol w:w="1909"/>
        <w:gridCol w:w="1918"/>
        <w:gridCol w:w="1985"/>
        <w:gridCol w:w="1984"/>
      </w:tblGrid>
      <w:tr w:rsidR="00BC6372" w:rsidRPr="001B6E4D" w14:paraId="67C100EE" w14:textId="77777777" w:rsidTr="00764D41">
        <w:tc>
          <w:tcPr>
            <w:tcW w:w="709" w:type="dxa"/>
          </w:tcPr>
          <w:p w14:paraId="6C99F696" w14:textId="77777777" w:rsidR="00BC6372" w:rsidRPr="001B6E4D" w:rsidRDefault="00BC6372" w:rsidP="003D1018">
            <w:pPr>
              <w:widowControl w:val="0"/>
              <w:tabs>
                <w:tab w:val="center" w:pos="246"/>
              </w:tabs>
              <w:kinsoku w:val="0"/>
              <w:overflowPunct w:val="0"/>
              <w:topLinePunct/>
              <w:adjustRightInd w:val="0"/>
              <w:snapToGrid w:val="0"/>
              <w:spacing w:line="300" w:lineRule="exact"/>
              <w:rPr>
                <w:rFonts w:ascii="標楷體" w:eastAsia="標楷體" w:hAnsi="標楷體"/>
                <w:b/>
                <w:color w:val="000000"/>
              </w:rPr>
            </w:pPr>
            <w:r w:rsidRPr="001B6E4D">
              <w:rPr>
                <w:rFonts w:ascii="標楷體" w:eastAsia="標楷體" w:hAnsi="標楷體"/>
                <w:b/>
                <w:color w:val="000000"/>
              </w:rPr>
              <w:tab/>
              <w:t>序號</w:t>
            </w:r>
          </w:p>
        </w:tc>
        <w:tc>
          <w:tcPr>
            <w:tcW w:w="1909" w:type="dxa"/>
          </w:tcPr>
          <w:p w14:paraId="6995DBD7" w14:textId="77777777" w:rsidR="00BC6372" w:rsidRPr="001B6E4D" w:rsidRDefault="00BC6372"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議案名稱</w:t>
            </w:r>
          </w:p>
        </w:tc>
        <w:tc>
          <w:tcPr>
            <w:tcW w:w="1918" w:type="dxa"/>
          </w:tcPr>
          <w:p w14:paraId="351FB0FB" w14:textId="77777777" w:rsidR="00BC6372" w:rsidRPr="001B6E4D" w:rsidRDefault="00BC6372"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提案委員或機關</w:t>
            </w:r>
          </w:p>
          <w:p w14:paraId="1BD559EA" w14:textId="77777777" w:rsidR="00BC6372" w:rsidRPr="001B6E4D" w:rsidRDefault="00BC6372"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院會交付日期</w:t>
            </w:r>
          </w:p>
          <w:p w14:paraId="62E7197B" w14:textId="77777777" w:rsidR="00BC6372" w:rsidRPr="001B6E4D" w:rsidRDefault="00BC6372"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（會次）</w:t>
            </w:r>
          </w:p>
        </w:tc>
        <w:tc>
          <w:tcPr>
            <w:tcW w:w="1985" w:type="dxa"/>
          </w:tcPr>
          <w:p w14:paraId="56C97BB8" w14:textId="77777777" w:rsidR="00BC6372" w:rsidRPr="001B6E4D" w:rsidRDefault="00BC6372"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審查委員會</w:t>
            </w:r>
          </w:p>
          <w:p w14:paraId="0A9C1B3D" w14:textId="77777777" w:rsidR="00BC6372" w:rsidRPr="001B6E4D" w:rsidRDefault="00BC6372"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院會說明人</w:t>
            </w:r>
          </w:p>
        </w:tc>
        <w:tc>
          <w:tcPr>
            <w:tcW w:w="1984" w:type="dxa"/>
          </w:tcPr>
          <w:p w14:paraId="21CD9B06" w14:textId="77777777" w:rsidR="00BC6372" w:rsidRPr="001B6E4D" w:rsidRDefault="00BC6372"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審查情形</w:t>
            </w:r>
          </w:p>
        </w:tc>
      </w:tr>
      <w:tr w:rsidR="00BC6372" w:rsidRPr="001B6E4D" w14:paraId="65B65680" w14:textId="77777777" w:rsidTr="00764D41">
        <w:tc>
          <w:tcPr>
            <w:tcW w:w="709" w:type="dxa"/>
            <w:shd w:val="clear" w:color="auto" w:fill="auto"/>
          </w:tcPr>
          <w:p w14:paraId="724D9CCC"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685455B"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1.刑事訴訟法第七十一條及第一百七十五</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1C288A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委員傅</w:t>
            </w:r>
            <w:r w:rsidRPr="001B6E4D">
              <w:rPr>
                <w:rFonts w:ascii="標楷體" w:eastAsia="標楷體" w:hAnsi="標楷體" w:hint="eastAsia"/>
                <w:color w:val="000000"/>
                <w:kern w:val="0"/>
              </w:rPr>
              <w:t>崐萁</w:t>
            </w:r>
          </w:p>
          <w:p w14:paraId="7F014B4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等</w:t>
            </w:r>
            <w:r w:rsidRPr="001B6E4D">
              <w:rPr>
                <w:rFonts w:ascii="標楷體" w:eastAsia="標楷體" w:hAnsi="標楷體"/>
                <w:color w:val="000000"/>
                <w:kern w:val="0"/>
              </w:rPr>
              <w:t>25人</w:t>
            </w:r>
          </w:p>
          <w:p w14:paraId="6FB1D01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114.01.03</w:t>
            </w:r>
          </w:p>
          <w:p w14:paraId="1389C2F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w:t>
            </w:r>
            <w:r w:rsidRPr="001B6E4D">
              <w:rPr>
                <w:rFonts w:ascii="標楷體" w:eastAsia="標楷體" w:hAnsi="標楷體"/>
                <w:color w:val="000000"/>
                <w:kern w:val="0"/>
              </w:rPr>
              <w:t>11-2-16）</w:t>
            </w:r>
          </w:p>
        </w:tc>
        <w:tc>
          <w:tcPr>
            <w:tcW w:w="1985" w:type="dxa"/>
            <w:vMerge w:val="restart"/>
            <w:shd w:val="clear" w:color="auto" w:fill="auto"/>
          </w:tcPr>
          <w:p w14:paraId="2709AD9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司法及法制</w:t>
            </w:r>
          </w:p>
          <w:p w14:paraId="3955393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吳召集委員宗憲</w:t>
            </w:r>
          </w:p>
        </w:tc>
        <w:tc>
          <w:tcPr>
            <w:tcW w:w="1984" w:type="dxa"/>
            <w:vMerge w:val="restart"/>
            <w:shd w:val="clear" w:color="auto" w:fill="auto"/>
          </w:tcPr>
          <w:p w14:paraId="1581F2FE" w14:textId="77777777" w:rsidR="00BC6372" w:rsidRPr="001B6E4D" w:rsidRDefault="00BC6372"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1.</w:t>
            </w:r>
            <w:r w:rsidRPr="001B6E4D">
              <w:rPr>
                <w:rFonts w:ascii="標楷體" w:eastAsia="標楷體" w:hAnsi="標楷體"/>
                <w:color w:val="000000"/>
                <w:kern w:val="0"/>
              </w:rPr>
              <w:t>本會</w:t>
            </w:r>
            <w:r w:rsidRPr="001B6E4D">
              <w:rPr>
                <w:rFonts w:ascii="標楷體" w:eastAsia="標楷體" w:hAnsi="標楷體"/>
                <w:color w:val="000000"/>
                <w:kern w:val="0"/>
              </w:rPr>
              <w:br/>
              <w:t>114.8.14</w:t>
            </w:r>
            <w:r w:rsidRPr="001B6E4D">
              <w:rPr>
                <w:rFonts w:ascii="標楷體" w:eastAsia="標楷體" w:hAnsi="標楷體"/>
                <w:color w:val="000000"/>
                <w:kern w:val="0"/>
              </w:rPr>
              <w:br/>
              <w:t>(11-3-24)報告及</w:t>
            </w:r>
            <w:proofErr w:type="gramStart"/>
            <w:r w:rsidRPr="001B6E4D">
              <w:rPr>
                <w:rFonts w:ascii="標楷體" w:eastAsia="標楷體" w:hAnsi="標楷體"/>
                <w:color w:val="000000"/>
                <w:kern w:val="0"/>
              </w:rPr>
              <w:t>詢</w:t>
            </w:r>
            <w:proofErr w:type="gramEnd"/>
            <w:r w:rsidRPr="001B6E4D">
              <w:rPr>
                <w:rFonts w:ascii="標楷體" w:eastAsia="標楷體" w:hAnsi="標楷體"/>
                <w:color w:val="000000"/>
                <w:kern w:val="0"/>
              </w:rPr>
              <w:t>答完畢，另定期繼續審查。</w:t>
            </w:r>
          </w:p>
          <w:p w14:paraId="3553AA3B" w14:textId="77777777" w:rsidR="00BC6372" w:rsidRPr="001B6E4D" w:rsidRDefault="00BC6372"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2.本會</w:t>
            </w:r>
            <w:r w:rsidRPr="001B6E4D">
              <w:rPr>
                <w:rFonts w:ascii="標楷體" w:eastAsia="標楷體" w:hAnsi="標楷體"/>
                <w:color w:val="000000"/>
                <w:kern w:val="0"/>
              </w:rPr>
              <w:br/>
            </w:r>
            <w:r w:rsidRPr="001B6E4D">
              <w:rPr>
                <w:rFonts w:ascii="標楷體" w:eastAsia="標楷體" w:hAnsi="標楷體" w:hint="eastAsia"/>
                <w:color w:val="000000"/>
                <w:kern w:val="0"/>
              </w:rPr>
              <w:t>114.8.27</w:t>
            </w:r>
            <w:r w:rsidRPr="001B6E4D">
              <w:rPr>
                <w:rFonts w:ascii="標楷體" w:eastAsia="標楷體" w:hAnsi="標楷體"/>
                <w:color w:val="000000"/>
                <w:kern w:val="0"/>
              </w:rPr>
              <w:br/>
            </w:r>
            <w:r w:rsidRPr="001B6E4D">
              <w:rPr>
                <w:rFonts w:ascii="標楷體" w:eastAsia="標楷體" w:hAnsi="標楷體" w:hint="eastAsia"/>
                <w:color w:val="000000"/>
                <w:kern w:val="0"/>
              </w:rPr>
              <w:t>(11-3-25)審查完竣</w:t>
            </w:r>
            <w:r w:rsidRPr="001B6E4D">
              <w:rPr>
                <w:rFonts w:ascii="標楷體" w:eastAsia="標楷體" w:hAnsi="標楷體" w:hint="eastAsia"/>
                <w:kern w:val="0"/>
              </w:rPr>
              <w:t>，須</w:t>
            </w:r>
            <w:r w:rsidRPr="001B6E4D">
              <w:rPr>
                <w:rFonts w:ascii="標楷體" w:eastAsia="標楷體" w:hAnsi="標楷體" w:hint="eastAsia"/>
                <w:color w:val="000000"/>
                <w:kern w:val="0"/>
              </w:rPr>
              <w:t>交由黨團協商。</w:t>
            </w:r>
          </w:p>
        </w:tc>
      </w:tr>
      <w:tr w:rsidR="00BC6372" w:rsidRPr="001B6E4D" w14:paraId="6175774C" w14:textId="77777777" w:rsidTr="00764D41">
        <w:tc>
          <w:tcPr>
            <w:tcW w:w="709" w:type="dxa"/>
            <w:shd w:val="clear" w:color="auto" w:fill="auto"/>
          </w:tcPr>
          <w:p w14:paraId="1F2147C4"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ACAE6D2"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2.刑事訴訟法第七十一條及第一百七十五</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505DE1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委員郭昱晴</w:t>
            </w:r>
          </w:p>
          <w:p w14:paraId="3D26872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0A1BB8B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114.04.25</w:t>
            </w:r>
          </w:p>
          <w:p w14:paraId="648AEEC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（11-3-9）</w:t>
            </w:r>
          </w:p>
        </w:tc>
        <w:tc>
          <w:tcPr>
            <w:tcW w:w="1985" w:type="dxa"/>
            <w:vMerge/>
            <w:shd w:val="clear" w:color="auto" w:fill="FDE9D9"/>
          </w:tcPr>
          <w:p w14:paraId="40F6D9A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909A115"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96242A1" w14:textId="77777777" w:rsidTr="00764D41">
        <w:tc>
          <w:tcPr>
            <w:tcW w:w="709" w:type="dxa"/>
            <w:shd w:val="clear" w:color="auto" w:fill="auto"/>
          </w:tcPr>
          <w:p w14:paraId="726E823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48554A4"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A0CCBF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委員賴瑞隆</w:t>
            </w:r>
          </w:p>
          <w:p w14:paraId="37F9283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6C88478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114.09.30</w:t>
            </w:r>
          </w:p>
          <w:p w14:paraId="432DE54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（11-4-2）</w:t>
            </w:r>
          </w:p>
        </w:tc>
        <w:tc>
          <w:tcPr>
            <w:tcW w:w="1985" w:type="dxa"/>
            <w:vMerge w:val="restart"/>
            <w:shd w:val="clear" w:color="auto" w:fill="auto"/>
          </w:tcPr>
          <w:p w14:paraId="52C2CF8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司法及法制</w:t>
            </w:r>
          </w:p>
          <w:p w14:paraId="16A15BD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翁召集委員曉玲</w:t>
            </w:r>
          </w:p>
        </w:tc>
        <w:tc>
          <w:tcPr>
            <w:tcW w:w="1984" w:type="dxa"/>
            <w:vMerge w:val="restart"/>
            <w:shd w:val="clear" w:color="auto" w:fill="auto"/>
          </w:tcPr>
          <w:p w14:paraId="474D3E7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本會</w:t>
            </w:r>
            <w:r w:rsidRPr="001B6E4D">
              <w:rPr>
                <w:rFonts w:ascii="標楷體" w:eastAsia="標楷體" w:hAnsi="標楷體"/>
                <w:color w:val="000000"/>
                <w:kern w:val="0"/>
              </w:rPr>
              <w:br/>
              <w:t>115.</w:t>
            </w:r>
            <w:r w:rsidRPr="001B6E4D">
              <w:rPr>
                <w:rFonts w:ascii="標楷體" w:eastAsia="標楷體" w:hAnsi="標楷體" w:hint="eastAsia"/>
                <w:color w:val="000000"/>
                <w:kern w:val="0"/>
              </w:rPr>
              <w:t>4</w:t>
            </w:r>
            <w:r w:rsidRPr="001B6E4D">
              <w:rPr>
                <w:rFonts w:ascii="標楷體" w:eastAsia="標楷體" w:hAnsi="標楷體"/>
                <w:color w:val="000000"/>
                <w:kern w:val="0"/>
              </w:rPr>
              <w:t>.</w:t>
            </w:r>
            <w:r w:rsidRPr="001B6E4D">
              <w:rPr>
                <w:rFonts w:ascii="標楷體" w:eastAsia="標楷體" w:hAnsi="標楷體" w:hint="eastAsia"/>
                <w:color w:val="000000"/>
                <w:kern w:val="0"/>
              </w:rPr>
              <w:t>13</w:t>
            </w:r>
            <w:r w:rsidRPr="001B6E4D">
              <w:rPr>
                <w:rFonts w:ascii="標楷體" w:eastAsia="標楷體" w:hAnsi="標楷體"/>
                <w:color w:val="000000"/>
                <w:kern w:val="0"/>
              </w:rPr>
              <w:b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6</w:t>
            </w:r>
            <w:r w:rsidRPr="001B6E4D">
              <w:rPr>
                <w:rFonts w:ascii="標楷體" w:eastAsia="標楷體" w:hAnsi="標楷體"/>
                <w:color w:val="000000"/>
                <w:kern w:val="0"/>
              </w:rPr>
              <w:t>)</w:t>
            </w:r>
            <w:r w:rsidRPr="001B6E4D">
              <w:rPr>
                <w:rFonts w:ascii="標楷體" w:eastAsia="標楷體" w:hAnsi="標楷體" w:hint="eastAsia"/>
                <w:color w:val="000000"/>
                <w:kern w:val="0"/>
              </w:rPr>
              <w:t>審查完竣，不須交由黨團協商。</w:t>
            </w:r>
          </w:p>
        </w:tc>
      </w:tr>
      <w:tr w:rsidR="00BC6372" w:rsidRPr="001B6E4D" w14:paraId="7F522D6F" w14:textId="77777777" w:rsidTr="00764D41">
        <w:tc>
          <w:tcPr>
            <w:tcW w:w="709" w:type="dxa"/>
            <w:shd w:val="clear" w:color="auto" w:fill="auto"/>
          </w:tcPr>
          <w:p w14:paraId="49A30DCD"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F55604B"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95BE98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委員林倩綺</w:t>
            </w:r>
          </w:p>
          <w:p w14:paraId="361A901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等22人</w:t>
            </w:r>
          </w:p>
          <w:p w14:paraId="3415ECF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114.10.28</w:t>
            </w:r>
          </w:p>
          <w:p w14:paraId="482F8A5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（11-4-6）</w:t>
            </w:r>
          </w:p>
        </w:tc>
        <w:tc>
          <w:tcPr>
            <w:tcW w:w="1985" w:type="dxa"/>
            <w:vMerge/>
            <w:shd w:val="clear" w:color="auto" w:fill="auto"/>
          </w:tcPr>
          <w:p w14:paraId="62DA9BD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79A8E4E"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B09CFB8" w14:textId="77777777" w:rsidTr="00764D41">
        <w:tc>
          <w:tcPr>
            <w:tcW w:w="709" w:type="dxa"/>
            <w:shd w:val="clear" w:color="auto" w:fill="auto"/>
          </w:tcPr>
          <w:p w14:paraId="0EA5F92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0533FEE"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4C8583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委員蔡易餘</w:t>
            </w:r>
          </w:p>
          <w:p w14:paraId="74EE00A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699B5D4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114.11.07</w:t>
            </w:r>
          </w:p>
          <w:p w14:paraId="08576F5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（11-4-8）</w:t>
            </w:r>
          </w:p>
        </w:tc>
        <w:tc>
          <w:tcPr>
            <w:tcW w:w="1985" w:type="dxa"/>
            <w:vMerge/>
            <w:shd w:val="clear" w:color="auto" w:fill="auto"/>
          </w:tcPr>
          <w:p w14:paraId="1D57866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1CB9B1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65D24D0" w14:textId="77777777" w:rsidTr="00764D41">
        <w:tc>
          <w:tcPr>
            <w:tcW w:w="709" w:type="dxa"/>
            <w:shd w:val="clear" w:color="auto" w:fill="auto"/>
          </w:tcPr>
          <w:p w14:paraId="0272A42F"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311467E"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8C9F1B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委員王鴻薇</w:t>
            </w:r>
          </w:p>
          <w:p w14:paraId="064AF53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4ACDA0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114.11.14</w:t>
            </w:r>
          </w:p>
          <w:p w14:paraId="7634083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（11-4-9）</w:t>
            </w:r>
          </w:p>
        </w:tc>
        <w:tc>
          <w:tcPr>
            <w:tcW w:w="1985" w:type="dxa"/>
            <w:vMerge/>
            <w:shd w:val="clear" w:color="auto" w:fill="auto"/>
          </w:tcPr>
          <w:p w14:paraId="452D0EF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CA4B914"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18A1F72" w14:textId="77777777" w:rsidTr="00764D41">
        <w:tc>
          <w:tcPr>
            <w:tcW w:w="709" w:type="dxa"/>
            <w:shd w:val="clear" w:color="auto" w:fill="auto"/>
          </w:tcPr>
          <w:p w14:paraId="3E59EC7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AD0A3B0"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1245B5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委員翁曉玲</w:t>
            </w:r>
          </w:p>
          <w:p w14:paraId="7AD138F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4782B76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114.12.12</w:t>
            </w:r>
          </w:p>
          <w:p w14:paraId="7CC24D9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（11-4-13）</w:t>
            </w:r>
          </w:p>
        </w:tc>
        <w:tc>
          <w:tcPr>
            <w:tcW w:w="1985" w:type="dxa"/>
            <w:vMerge/>
            <w:shd w:val="clear" w:color="auto" w:fill="auto"/>
          </w:tcPr>
          <w:p w14:paraId="4526B68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9342C0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56CC0E19" w14:textId="77777777" w:rsidTr="00764D41">
        <w:tc>
          <w:tcPr>
            <w:tcW w:w="709" w:type="dxa"/>
            <w:shd w:val="clear" w:color="auto" w:fill="auto"/>
          </w:tcPr>
          <w:p w14:paraId="0AE55207"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A888274"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6.貪污治罪條例第十二</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w:t>
            </w:r>
            <w:r w:rsidRPr="001B6E4D">
              <w:rPr>
                <w:rFonts w:ascii="標楷體" w:eastAsia="標楷體" w:hAnsi="標楷體"/>
                <w:color w:val="000000"/>
                <w:kern w:val="0"/>
              </w:rPr>
              <w:lastRenderedPageBreak/>
              <w:t>正草案</w:t>
            </w:r>
          </w:p>
        </w:tc>
        <w:tc>
          <w:tcPr>
            <w:tcW w:w="1918" w:type="dxa"/>
            <w:shd w:val="clear" w:color="auto" w:fill="auto"/>
          </w:tcPr>
          <w:p w14:paraId="0201608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委員林思銘</w:t>
            </w:r>
          </w:p>
          <w:p w14:paraId="09E1D4D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37AF313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115.03.27</w:t>
            </w:r>
          </w:p>
          <w:p w14:paraId="57001E8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（11-5-5）</w:t>
            </w:r>
          </w:p>
        </w:tc>
        <w:tc>
          <w:tcPr>
            <w:tcW w:w="1985" w:type="dxa"/>
            <w:vMerge/>
            <w:shd w:val="clear" w:color="auto" w:fill="auto"/>
          </w:tcPr>
          <w:p w14:paraId="3A9F1E5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55CDE62"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E85274B" w14:textId="77777777" w:rsidTr="00764D41">
        <w:tc>
          <w:tcPr>
            <w:tcW w:w="709" w:type="dxa"/>
            <w:shd w:val="clear" w:color="auto" w:fill="auto"/>
          </w:tcPr>
          <w:p w14:paraId="6D45AD45"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515284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1.中華民國刑法第一百八十五條之三條文修正草案</w:t>
            </w:r>
          </w:p>
        </w:tc>
        <w:tc>
          <w:tcPr>
            <w:tcW w:w="1918" w:type="dxa"/>
            <w:shd w:val="clear" w:color="auto" w:fill="auto"/>
          </w:tcPr>
          <w:p w14:paraId="37B6069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行政院、司法院</w:t>
            </w:r>
          </w:p>
          <w:p w14:paraId="5D2721B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115.07.17</w:t>
            </w:r>
          </w:p>
          <w:p w14:paraId="41468F4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（11-5-18）</w:t>
            </w:r>
          </w:p>
        </w:tc>
        <w:tc>
          <w:tcPr>
            <w:tcW w:w="1985" w:type="dxa"/>
            <w:vMerge w:val="restart"/>
            <w:shd w:val="clear" w:color="auto" w:fill="auto"/>
          </w:tcPr>
          <w:p w14:paraId="4AF2758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司法及法制</w:t>
            </w:r>
          </w:p>
          <w:p w14:paraId="529459E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翁召集委員曉玲</w:t>
            </w:r>
          </w:p>
        </w:tc>
        <w:tc>
          <w:tcPr>
            <w:tcW w:w="1984" w:type="dxa"/>
            <w:vMerge w:val="restart"/>
            <w:shd w:val="clear" w:color="auto" w:fill="auto"/>
          </w:tcPr>
          <w:p w14:paraId="20497E76"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本會</w:t>
            </w:r>
            <w:r w:rsidRPr="001B6E4D">
              <w:rPr>
                <w:rFonts w:ascii="標楷體" w:eastAsia="標楷體" w:hAnsi="標楷體"/>
                <w:color w:val="000000"/>
                <w:kern w:val="0"/>
              </w:rPr>
              <w:br/>
              <w:t>115.</w:t>
            </w:r>
            <w:r w:rsidRPr="001B6E4D">
              <w:rPr>
                <w:rFonts w:ascii="標楷體" w:eastAsia="標楷體" w:hAnsi="標楷體" w:hint="eastAsia"/>
                <w:color w:val="000000"/>
                <w:kern w:val="0"/>
              </w:rPr>
              <w:t>7</w:t>
            </w:r>
            <w:r w:rsidRPr="001B6E4D">
              <w:rPr>
                <w:rFonts w:ascii="標楷體" w:eastAsia="標楷體" w:hAnsi="標楷體"/>
                <w:color w:val="000000"/>
                <w:kern w:val="0"/>
              </w:rPr>
              <w:t>.</w:t>
            </w:r>
            <w:r w:rsidRPr="001B6E4D">
              <w:rPr>
                <w:rFonts w:ascii="標楷體" w:eastAsia="標楷體" w:hAnsi="標楷體" w:hint="eastAsia"/>
                <w:color w:val="000000"/>
                <w:kern w:val="0"/>
              </w:rPr>
              <w:t>22</w:t>
            </w:r>
            <w:r w:rsidRPr="001B6E4D">
              <w:rPr>
                <w:rFonts w:ascii="標楷體" w:eastAsia="標楷體" w:hAnsi="標楷體"/>
                <w:color w:val="000000"/>
                <w:kern w:val="0"/>
              </w:rPr>
              <w:b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26</w:t>
            </w:r>
            <w:r w:rsidRPr="001B6E4D">
              <w:rPr>
                <w:rFonts w:ascii="標楷體" w:eastAsia="標楷體" w:hAnsi="標楷體"/>
                <w:color w:val="000000"/>
                <w:kern w:val="0"/>
              </w:rPr>
              <w:t>)</w:t>
            </w:r>
            <w:r w:rsidRPr="001B6E4D">
              <w:rPr>
                <w:rFonts w:ascii="標楷體" w:eastAsia="標楷體" w:hAnsi="標楷體" w:hint="eastAsia"/>
                <w:color w:val="000000"/>
                <w:kern w:val="0"/>
              </w:rPr>
              <w:t>審查完竣，須交由黨團協商。</w:t>
            </w:r>
          </w:p>
        </w:tc>
      </w:tr>
      <w:tr w:rsidR="00BC6372" w:rsidRPr="001B6E4D" w14:paraId="64DA18FD" w14:textId="77777777" w:rsidTr="00764D41">
        <w:tc>
          <w:tcPr>
            <w:tcW w:w="709" w:type="dxa"/>
            <w:shd w:val="clear" w:color="auto" w:fill="auto"/>
          </w:tcPr>
          <w:p w14:paraId="15414B74"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4F8678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2.中華民國刑法第一百八十五條之三條文修正草案</w:t>
            </w:r>
          </w:p>
        </w:tc>
        <w:tc>
          <w:tcPr>
            <w:tcW w:w="1918" w:type="dxa"/>
            <w:shd w:val="clear" w:color="auto" w:fill="auto"/>
          </w:tcPr>
          <w:p w14:paraId="48A7627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委員翁曉玲</w:t>
            </w:r>
          </w:p>
          <w:p w14:paraId="5879DF6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567B45C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113.10.18</w:t>
            </w:r>
          </w:p>
          <w:p w14:paraId="5230F6A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（11-2-5）</w:t>
            </w:r>
          </w:p>
        </w:tc>
        <w:tc>
          <w:tcPr>
            <w:tcW w:w="1985" w:type="dxa"/>
            <w:vMerge/>
            <w:shd w:val="clear" w:color="auto" w:fill="auto"/>
          </w:tcPr>
          <w:p w14:paraId="3B742FB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356D29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94CA26D" w14:textId="77777777" w:rsidTr="00764D41">
        <w:tc>
          <w:tcPr>
            <w:tcW w:w="709" w:type="dxa"/>
            <w:shd w:val="clear" w:color="auto" w:fill="auto"/>
          </w:tcPr>
          <w:p w14:paraId="1DFD80D9"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144BDA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3.中華民國刑法第一百八十五條之三及第一百八十五條之四條文修正草案</w:t>
            </w:r>
          </w:p>
        </w:tc>
        <w:tc>
          <w:tcPr>
            <w:tcW w:w="1918" w:type="dxa"/>
            <w:shd w:val="clear" w:color="auto" w:fill="auto"/>
          </w:tcPr>
          <w:p w14:paraId="652B973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委員廖先翔</w:t>
            </w:r>
          </w:p>
          <w:p w14:paraId="5453F42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33C9CB8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114.05.23</w:t>
            </w:r>
          </w:p>
          <w:p w14:paraId="5F924B6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（11-3-13）</w:t>
            </w:r>
          </w:p>
        </w:tc>
        <w:tc>
          <w:tcPr>
            <w:tcW w:w="1985" w:type="dxa"/>
            <w:vMerge/>
            <w:shd w:val="clear" w:color="auto" w:fill="auto"/>
          </w:tcPr>
          <w:p w14:paraId="0A63288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91582EE"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0D777D4" w14:textId="77777777" w:rsidTr="00764D41">
        <w:tc>
          <w:tcPr>
            <w:tcW w:w="709" w:type="dxa"/>
            <w:shd w:val="clear" w:color="auto" w:fill="auto"/>
          </w:tcPr>
          <w:p w14:paraId="3C0011C1"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9B5F100"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4.中華民國刑法第一百八十五條之三條文修正草案</w:t>
            </w:r>
          </w:p>
        </w:tc>
        <w:tc>
          <w:tcPr>
            <w:tcW w:w="1918" w:type="dxa"/>
            <w:shd w:val="clear" w:color="auto" w:fill="auto"/>
          </w:tcPr>
          <w:p w14:paraId="03EB8FA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委員洪孟楷</w:t>
            </w:r>
          </w:p>
          <w:p w14:paraId="7EF3B14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65E5751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114.11.07</w:t>
            </w:r>
          </w:p>
          <w:p w14:paraId="2EC9F47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（11-4-8）</w:t>
            </w:r>
          </w:p>
        </w:tc>
        <w:tc>
          <w:tcPr>
            <w:tcW w:w="1985" w:type="dxa"/>
            <w:vMerge/>
            <w:shd w:val="clear" w:color="auto" w:fill="auto"/>
          </w:tcPr>
          <w:p w14:paraId="14B4051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93351D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80C1FAC" w14:textId="77777777" w:rsidTr="00764D41">
        <w:tc>
          <w:tcPr>
            <w:tcW w:w="709" w:type="dxa"/>
            <w:shd w:val="clear" w:color="auto" w:fill="auto"/>
          </w:tcPr>
          <w:p w14:paraId="051CC7E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C2C9745"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5.中華民國刑法第一百八十五條之三及第一百八十五條之四條文修正草案</w:t>
            </w:r>
          </w:p>
        </w:tc>
        <w:tc>
          <w:tcPr>
            <w:tcW w:w="1918" w:type="dxa"/>
            <w:shd w:val="clear" w:color="auto" w:fill="auto"/>
          </w:tcPr>
          <w:p w14:paraId="15B4031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委員徐欣瑩</w:t>
            </w:r>
          </w:p>
          <w:p w14:paraId="35E6643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629F5EE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114.12.26</w:t>
            </w:r>
          </w:p>
          <w:p w14:paraId="1709BF3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（11-4-15）</w:t>
            </w:r>
          </w:p>
        </w:tc>
        <w:tc>
          <w:tcPr>
            <w:tcW w:w="1985" w:type="dxa"/>
            <w:vMerge/>
            <w:shd w:val="clear" w:color="auto" w:fill="auto"/>
          </w:tcPr>
          <w:p w14:paraId="6BF9198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E5683D3"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C071830" w14:textId="77777777" w:rsidTr="00764D41">
        <w:tc>
          <w:tcPr>
            <w:tcW w:w="709" w:type="dxa"/>
            <w:shd w:val="clear" w:color="auto" w:fill="auto"/>
          </w:tcPr>
          <w:p w14:paraId="34280A83"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F28152F"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6.中華民國刑法第一百八十五條之三及第一百八十五條之四條文修正草案</w:t>
            </w:r>
          </w:p>
        </w:tc>
        <w:tc>
          <w:tcPr>
            <w:tcW w:w="1918" w:type="dxa"/>
            <w:shd w:val="clear" w:color="auto" w:fill="auto"/>
          </w:tcPr>
          <w:p w14:paraId="3FC1A4D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委員羅廷</w:t>
            </w:r>
            <w:proofErr w:type="gramStart"/>
            <w:r w:rsidRPr="001B6E4D">
              <w:rPr>
                <w:rFonts w:ascii="標楷體" w:eastAsia="標楷體" w:hAnsi="標楷體"/>
                <w:color w:val="000000"/>
                <w:kern w:val="0"/>
              </w:rPr>
              <w:t>瑋</w:t>
            </w:r>
            <w:proofErr w:type="gramEnd"/>
          </w:p>
          <w:p w14:paraId="02DE5E4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27D3487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115.01.09</w:t>
            </w:r>
          </w:p>
          <w:p w14:paraId="6F8F0CE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（11-4-17）</w:t>
            </w:r>
          </w:p>
        </w:tc>
        <w:tc>
          <w:tcPr>
            <w:tcW w:w="1985" w:type="dxa"/>
            <w:vMerge/>
            <w:shd w:val="clear" w:color="auto" w:fill="auto"/>
          </w:tcPr>
          <w:p w14:paraId="5DEF532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1552F5F"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9FAB9C1" w14:textId="77777777" w:rsidTr="00764D41">
        <w:tc>
          <w:tcPr>
            <w:tcW w:w="709" w:type="dxa"/>
            <w:shd w:val="clear" w:color="auto" w:fill="auto"/>
          </w:tcPr>
          <w:p w14:paraId="3737F0FC"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824BDA6"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7.中華民國刑法第一百八十五條之三條文修正草案</w:t>
            </w:r>
          </w:p>
        </w:tc>
        <w:tc>
          <w:tcPr>
            <w:tcW w:w="1918" w:type="dxa"/>
            <w:shd w:val="clear" w:color="auto" w:fill="auto"/>
          </w:tcPr>
          <w:p w14:paraId="348C7BC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委員柯志恩</w:t>
            </w:r>
          </w:p>
          <w:p w14:paraId="0C76099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2759CBF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115.02.24</w:t>
            </w:r>
          </w:p>
          <w:p w14:paraId="3AF2260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w:t>
            </w:r>
          </w:p>
        </w:tc>
        <w:tc>
          <w:tcPr>
            <w:tcW w:w="1985" w:type="dxa"/>
            <w:vMerge/>
            <w:shd w:val="clear" w:color="auto" w:fill="auto"/>
          </w:tcPr>
          <w:p w14:paraId="76A9EB4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FB4E67A"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40E53A8" w14:textId="77777777" w:rsidTr="00764D41">
        <w:tc>
          <w:tcPr>
            <w:tcW w:w="709" w:type="dxa"/>
            <w:shd w:val="clear" w:color="auto" w:fill="auto"/>
          </w:tcPr>
          <w:p w14:paraId="72B4D616"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E85F3F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8.中華民國刑法第一百八十五條之三條文修正草案</w:t>
            </w:r>
          </w:p>
        </w:tc>
        <w:tc>
          <w:tcPr>
            <w:tcW w:w="1918" w:type="dxa"/>
            <w:shd w:val="clear" w:color="auto" w:fill="auto"/>
          </w:tcPr>
          <w:p w14:paraId="13EC386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委員林倩綺</w:t>
            </w:r>
          </w:p>
          <w:p w14:paraId="683C5E5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等21人</w:t>
            </w:r>
          </w:p>
          <w:p w14:paraId="6EFC462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115.03.27</w:t>
            </w:r>
          </w:p>
          <w:p w14:paraId="5F1B835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（11-5-5）</w:t>
            </w:r>
          </w:p>
        </w:tc>
        <w:tc>
          <w:tcPr>
            <w:tcW w:w="1985" w:type="dxa"/>
            <w:vMerge/>
            <w:shd w:val="clear" w:color="auto" w:fill="auto"/>
          </w:tcPr>
          <w:p w14:paraId="3D8A2CD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8E63F10"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34CEFD8" w14:textId="77777777" w:rsidTr="00764D41">
        <w:tc>
          <w:tcPr>
            <w:tcW w:w="709" w:type="dxa"/>
            <w:shd w:val="clear" w:color="auto" w:fill="auto"/>
          </w:tcPr>
          <w:p w14:paraId="24AC1DD6"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A01715B"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9.中華民國刑法第一百八十五條之三條文修正草案</w:t>
            </w:r>
          </w:p>
        </w:tc>
        <w:tc>
          <w:tcPr>
            <w:tcW w:w="1918" w:type="dxa"/>
            <w:shd w:val="clear" w:color="auto" w:fill="auto"/>
          </w:tcPr>
          <w:p w14:paraId="2466AF5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委員邱若華</w:t>
            </w:r>
          </w:p>
          <w:p w14:paraId="12624DA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604951A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115.04.10</w:t>
            </w:r>
          </w:p>
          <w:p w14:paraId="77CEAC5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（11-5-6）</w:t>
            </w:r>
          </w:p>
        </w:tc>
        <w:tc>
          <w:tcPr>
            <w:tcW w:w="1985" w:type="dxa"/>
            <w:vMerge/>
            <w:shd w:val="clear" w:color="auto" w:fill="auto"/>
          </w:tcPr>
          <w:p w14:paraId="4EB7622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C3E0B85"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8661B3C" w14:textId="77777777" w:rsidTr="00764D41">
        <w:tc>
          <w:tcPr>
            <w:tcW w:w="709" w:type="dxa"/>
            <w:shd w:val="clear" w:color="auto" w:fill="auto"/>
          </w:tcPr>
          <w:p w14:paraId="5999F521"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25DCDA8"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10.中華民國刑法第一百八十五條之三及第一百八十五條之四條</w:t>
            </w:r>
            <w:r w:rsidRPr="001B6E4D">
              <w:rPr>
                <w:rFonts w:ascii="標楷體" w:eastAsia="標楷體" w:hAnsi="標楷體"/>
                <w:color w:val="000000"/>
                <w:kern w:val="0"/>
              </w:rPr>
              <w:lastRenderedPageBreak/>
              <w:t>文修正草案</w:t>
            </w:r>
          </w:p>
        </w:tc>
        <w:tc>
          <w:tcPr>
            <w:tcW w:w="1918" w:type="dxa"/>
            <w:shd w:val="clear" w:color="auto" w:fill="auto"/>
          </w:tcPr>
          <w:p w14:paraId="63A7514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委員萬美玲</w:t>
            </w:r>
          </w:p>
          <w:p w14:paraId="24E5702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110B64F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115.04.10</w:t>
            </w:r>
          </w:p>
          <w:p w14:paraId="7D2D8D2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（11-5-6）</w:t>
            </w:r>
          </w:p>
        </w:tc>
        <w:tc>
          <w:tcPr>
            <w:tcW w:w="1985" w:type="dxa"/>
            <w:vMerge/>
            <w:shd w:val="clear" w:color="auto" w:fill="auto"/>
          </w:tcPr>
          <w:p w14:paraId="578C21A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5F4B8E6"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47658D24" w14:textId="77777777" w:rsidTr="00764D41">
        <w:tc>
          <w:tcPr>
            <w:tcW w:w="709" w:type="dxa"/>
            <w:shd w:val="clear" w:color="auto" w:fill="auto"/>
          </w:tcPr>
          <w:p w14:paraId="502F91CE"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BF970D7"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11.中華民國刑法第一百八十五條之三條文修正草案</w:t>
            </w:r>
          </w:p>
        </w:tc>
        <w:tc>
          <w:tcPr>
            <w:tcW w:w="1918" w:type="dxa"/>
            <w:shd w:val="clear" w:color="auto" w:fill="auto"/>
          </w:tcPr>
          <w:p w14:paraId="3B6ABC4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委員陳亭</w:t>
            </w:r>
            <w:proofErr w:type="gramStart"/>
            <w:r w:rsidRPr="001B6E4D">
              <w:rPr>
                <w:rFonts w:ascii="標楷體" w:eastAsia="標楷體" w:hAnsi="標楷體"/>
                <w:color w:val="000000"/>
                <w:kern w:val="0"/>
              </w:rPr>
              <w:t>妃</w:t>
            </w:r>
            <w:proofErr w:type="gramEnd"/>
          </w:p>
          <w:p w14:paraId="08C4BC6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7E7D0E3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115.04.10</w:t>
            </w:r>
          </w:p>
          <w:p w14:paraId="1E9645E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（11-5-6）</w:t>
            </w:r>
          </w:p>
        </w:tc>
        <w:tc>
          <w:tcPr>
            <w:tcW w:w="1985" w:type="dxa"/>
            <w:vMerge/>
            <w:shd w:val="clear" w:color="auto" w:fill="auto"/>
          </w:tcPr>
          <w:p w14:paraId="0605133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BBF5D2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E179F72" w14:textId="77777777" w:rsidTr="00764D41">
        <w:tc>
          <w:tcPr>
            <w:tcW w:w="709" w:type="dxa"/>
            <w:shd w:val="clear" w:color="auto" w:fill="auto"/>
          </w:tcPr>
          <w:p w14:paraId="1DE46E1B"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F60B4FC"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12.中華民國刑法第一百八十五條之三條文修正草案</w:t>
            </w:r>
          </w:p>
        </w:tc>
        <w:tc>
          <w:tcPr>
            <w:tcW w:w="1918" w:type="dxa"/>
            <w:shd w:val="clear" w:color="auto" w:fill="auto"/>
          </w:tcPr>
          <w:p w14:paraId="1C0C03B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委員黃秀芳</w:t>
            </w:r>
          </w:p>
          <w:p w14:paraId="13F720A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0AAB8D3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115.05.22</w:t>
            </w:r>
          </w:p>
          <w:p w14:paraId="725550D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（11-5-11）</w:t>
            </w:r>
          </w:p>
        </w:tc>
        <w:tc>
          <w:tcPr>
            <w:tcW w:w="1985" w:type="dxa"/>
            <w:vMerge/>
            <w:shd w:val="clear" w:color="auto" w:fill="auto"/>
          </w:tcPr>
          <w:p w14:paraId="4E0A59F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E2A0BE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BDD0326" w14:textId="77777777" w:rsidTr="00764D41">
        <w:tc>
          <w:tcPr>
            <w:tcW w:w="709" w:type="dxa"/>
            <w:shd w:val="clear" w:color="auto" w:fill="auto"/>
          </w:tcPr>
          <w:p w14:paraId="5B4C9C13"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50C5F9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13.中華民國刑法第一百八十五條之三條文修正草案</w:t>
            </w:r>
          </w:p>
        </w:tc>
        <w:tc>
          <w:tcPr>
            <w:tcW w:w="1918" w:type="dxa"/>
            <w:shd w:val="clear" w:color="auto" w:fill="auto"/>
          </w:tcPr>
          <w:p w14:paraId="66BB0F4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委員賴瑞隆</w:t>
            </w:r>
          </w:p>
          <w:p w14:paraId="3145C2D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5C50F78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115.05.22</w:t>
            </w:r>
          </w:p>
          <w:p w14:paraId="29355AE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（11-5-11）</w:t>
            </w:r>
          </w:p>
        </w:tc>
        <w:tc>
          <w:tcPr>
            <w:tcW w:w="1985" w:type="dxa"/>
            <w:vMerge/>
            <w:shd w:val="clear" w:color="auto" w:fill="auto"/>
          </w:tcPr>
          <w:p w14:paraId="7EEC12D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19CEA80"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46C05B97" w14:textId="77777777" w:rsidTr="00764D41">
        <w:tc>
          <w:tcPr>
            <w:tcW w:w="709" w:type="dxa"/>
            <w:shd w:val="clear" w:color="auto" w:fill="auto"/>
          </w:tcPr>
          <w:p w14:paraId="28CE89B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68530AE"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14.中華民國刑法第一百八十五條之三條文修正草案</w:t>
            </w:r>
          </w:p>
        </w:tc>
        <w:tc>
          <w:tcPr>
            <w:tcW w:w="1918" w:type="dxa"/>
            <w:shd w:val="clear" w:color="auto" w:fill="auto"/>
          </w:tcPr>
          <w:p w14:paraId="0EA953D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委員林思銘</w:t>
            </w:r>
          </w:p>
          <w:p w14:paraId="1101FD4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等21人</w:t>
            </w:r>
          </w:p>
          <w:p w14:paraId="145F548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283AABE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6DE206E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330808D"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544073E4" w14:textId="77777777" w:rsidTr="00764D41">
        <w:tc>
          <w:tcPr>
            <w:tcW w:w="709" w:type="dxa"/>
            <w:shd w:val="clear" w:color="auto" w:fill="auto"/>
          </w:tcPr>
          <w:p w14:paraId="5C869CCD"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33A425C"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15.中華民國刑法第一百八十五條之三及第一百八十五條之五條文修正草案</w:t>
            </w:r>
          </w:p>
        </w:tc>
        <w:tc>
          <w:tcPr>
            <w:tcW w:w="1918" w:type="dxa"/>
            <w:shd w:val="clear" w:color="auto" w:fill="auto"/>
          </w:tcPr>
          <w:p w14:paraId="5D108DC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委員傅</w:t>
            </w:r>
            <w:r w:rsidRPr="001B6E4D">
              <w:rPr>
                <w:rFonts w:ascii="標楷體" w:eastAsia="標楷體" w:hAnsi="標楷體" w:hint="eastAsia"/>
                <w:color w:val="000000"/>
                <w:kern w:val="0"/>
              </w:rPr>
              <w:t>崐萁</w:t>
            </w:r>
          </w:p>
          <w:p w14:paraId="5F1ADFC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等</w:t>
            </w:r>
            <w:r w:rsidRPr="001B6E4D">
              <w:rPr>
                <w:rFonts w:ascii="標楷體" w:eastAsia="標楷體" w:hAnsi="標楷體"/>
                <w:color w:val="000000"/>
                <w:kern w:val="0"/>
              </w:rPr>
              <w:t>17人</w:t>
            </w:r>
          </w:p>
          <w:p w14:paraId="2507DE1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39E0CBF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w:t>
            </w:r>
            <w:r w:rsidRPr="001B6E4D">
              <w:rPr>
                <w:rFonts w:ascii="標楷體" w:eastAsia="標楷體" w:hAnsi="標楷體"/>
                <w:color w:val="000000"/>
                <w:kern w:val="0"/>
              </w:rPr>
              <w:t>11-5-13）</w:t>
            </w:r>
          </w:p>
        </w:tc>
        <w:tc>
          <w:tcPr>
            <w:tcW w:w="1985" w:type="dxa"/>
            <w:vMerge/>
            <w:shd w:val="clear" w:color="auto" w:fill="auto"/>
          </w:tcPr>
          <w:p w14:paraId="7FFC820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514A66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18C5F83" w14:textId="77777777" w:rsidTr="00764D41">
        <w:tc>
          <w:tcPr>
            <w:tcW w:w="709" w:type="dxa"/>
            <w:shd w:val="clear" w:color="auto" w:fill="auto"/>
          </w:tcPr>
          <w:p w14:paraId="47AACDB1"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EA1CD4C"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16.中華民國刑法第一百八十五條之三條文修正草案</w:t>
            </w:r>
          </w:p>
        </w:tc>
        <w:tc>
          <w:tcPr>
            <w:tcW w:w="1918" w:type="dxa"/>
            <w:shd w:val="clear" w:color="auto" w:fill="auto"/>
          </w:tcPr>
          <w:p w14:paraId="204DE03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委員陳菁徽</w:t>
            </w:r>
          </w:p>
          <w:p w14:paraId="669E436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等22人</w:t>
            </w:r>
          </w:p>
          <w:p w14:paraId="608D194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200F24C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0003201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2F3E45C"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40BE39E" w14:textId="77777777" w:rsidTr="00764D41">
        <w:tc>
          <w:tcPr>
            <w:tcW w:w="709" w:type="dxa"/>
            <w:shd w:val="clear" w:color="auto" w:fill="auto"/>
          </w:tcPr>
          <w:p w14:paraId="7138EDD4"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008E048"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17.中華民國刑法第一百八十五條之三條文修正草案</w:t>
            </w:r>
          </w:p>
        </w:tc>
        <w:tc>
          <w:tcPr>
            <w:tcW w:w="1918" w:type="dxa"/>
            <w:shd w:val="clear" w:color="auto" w:fill="auto"/>
          </w:tcPr>
          <w:p w14:paraId="5F90E89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委員張智倫</w:t>
            </w:r>
          </w:p>
          <w:p w14:paraId="55370EA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3C398F1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0733DD5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6BC041D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9AA4452"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A0DC284" w14:textId="77777777" w:rsidTr="00764D41">
        <w:tc>
          <w:tcPr>
            <w:tcW w:w="709" w:type="dxa"/>
            <w:shd w:val="clear" w:color="auto" w:fill="auto"/>
          </w:tcPr>
          <w:p w14:paraId="7727F877"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373E5CA"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18.中華民國刑法第一百八十五條之三條文修正草案</w:t>
            </w:r>
          </w:p>
        </w:tc>
        <w:tc>
          <w:tcPr>
            <w:tcW w:w="1918" w:type="dxa"/>
            <w:shd w:val="clear" w:color="auto" w:fill="auto"/>
          </w:tcPr>
          <w:p w14:paraId="20435A4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委員徐巧芯</w:t>
            </w:r>
          </w:p>
          <w:p w14:paraId="52EA9B0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D4B0BF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13174FE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006077A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FDC1B3E"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59B9EAE4" w14:textId="77777777" w:rsidTr="00764D41">
        <w:tc>
          <w:tcPr>
            <w:tcW w:w="709" w:type="dxa"/>
            <w:shd w:val="clear" w:color="auto" w:fill="auto"/>
          </w:tcPr>
          <w:p w14:paraId="4CEBEB25"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1A8C863"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19.中華民國刑法第一百八十五條之三、第一百八十五條之四及第一百八十五條之五條文修正草案</w:t>
            </w:r>
          </w:p>
        </w:tc>
        <w:tc>
          <w:tcPr>
            <w:tcW w:w="1918" w:type="dxa"/>
            <w:shd w:val="clear" w:color="auto" w:fill="auto"/>
          </w:tcPr>
          <w:p w14:paraId="131C30C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委員邱鎮軍</w:t>
            </w:r>
          </w:p>
          <w:p w14:paraId="3B87AEE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5F4D129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2ACEA8F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553590A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2FA5C7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F490DF1" w14:textId="77777777" w:rsidTr="00764D41">
        <w:tc>
          <w:tcPr>
            <w:tcW w:w="709" w:type="dxa"/>
            <w:shd w:val="clear" w:color="auto" w:fill="auto"/>
          </w:tcPr>
          <w:p w14:paraId="4C75065F"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0823750"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20.中華民國刑法第一百八十五條之三條文修正草案</w:t>
            </w:r>
          </w:p>
        </w:tc>
        <w:tc>
          <w:tcPr>
            <w:tcW w:w="1918" w:type="dxa"/>
            <w:shd w:val="clear" w:color="auto" w:fill="auto"/>
          </w:tcPr>
          <w:p w14:paraId="5E90D8D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台灣民眾</w:t>
            </w:r>
            <w:proofErr w:type="gramStart"/>
            <w:r w:rsidRPr="001B6E4D">
              <w:rPr>
                <w:rFonts w:ascii="標楷體" w:eastAsia="標楷體" w:hAnsi="標楷體"/>
                <w:color w:val="000000"/>
                <w:kern w:val="0"/>
              </w:rPr>
              <w:t>黨</w:t>
            </w:r>
            <w:proofErr w:type="gramEnd"/>
            <w:r w:rsidRPr="001B6E4D">
              <w:rPr>
                <w:rFonts w:ascii="標楷體" w:eastAsia="標楷體" w:hAnsi="標楷體"/>
                <w:color w:val="000000"/>
                <w:kern w:val="0"/>
              </w:rPr>
              <w:t>黨團</w:t>
            </w:r>
          </w:p>
          <w:p w14:paraId="75DCB08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115.06.05</w:t>
            </w:r>
          </w:p>
          <w:p w14:paraId="2E6E5E1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（11-5-13）</w:t>
            </w:r>
          </w:p>
        </w:tc>
        <w:tc>
          <w:tcPr>
            <w:tcW w:w="1985" w:type="dxa"/>
            <w:vMerge/>
            <w:shd w:val="clear" w:color="auto" w:fill="auto"/>
          </w:tcPr>
          <w:p w14:paraId="5B1BF01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9D79A5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1C86EAB2" w14:textId="77777777" w:rsidTr="00764D41">
        <w:tc>
          <w:tcPr>
            <w:tcW w:w="709" w:type="dxa"/>
            <w:shd w:val="clear" w:color="auto" w:fill="auto"/>
          </w:tcPr>
          <w:p w14:paraId="70A8A69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10B2EF2"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21.中華民國刑法第一百八十五條之三條文修正草案</w:t>
            </w:r>
          </w:p>
        </w:tc>
        <w:tc>
          <w:tcPr>
            <w:tcW w:w="1918" w:type="dxa"/>
            <w:shd w:val="clear" w:color="auto" w:fill="auto"/>
          </w:tcPr>
          <w:p w14:paraId="7514AFC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委員洪孟楷</w:t>
            </w:r>
          </w:p>
          <w:p w14:paraId="35A8A2D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等21人</w:t>
            </w:r>
          </w:p>
          <w:p w14:paraId="217CC10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4A0684C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7720D8E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22EE7FF"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FD764E8" w14:textId="77777777" w:rsidTr="00764D41">
        <w:tc>
          <w:tcPr>
            <w:tcW w:w="709" w:type="dxa"/>
            <w:shd w:val="clear" w:color="auto" w:fill="auto"/>
          </w:tcPr>
          <w:p w14:paraId="7EE665F5"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7E26A27"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22.中華民國刑法第一百八十五條之三條文修正草案</w:t>
            </w:r>
          </w:p>
        </w:tc>
        <w:tc>
          <w:tcPr>
            <w:tcW w:w="1918" w:type="dxa"/>
            <w:shd w:val="clear" w:color="auto" w:fill="auto"/>
          </w:tcPr>
          <w:p w14:paraId="740F47A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委員葉元之</w:t>
            </w:r>
          </w:p>
          <w:p w14:paraId="093C208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62B83BC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50DAE4C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7886FD0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DA50C5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4A5C9E88" w14:textId="77777777" w:rsidTr="00764D41">
        <w:tc>
          <w:tcPr>
            <w:tcW w:w="709" w:type="dxa"/>
            <w:shd w:val="clear" w:color="auto" w:fill="auto"/>
          </w:tcPr>
          <w:p w14:paraId="3547098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14438AA"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23.中華民國刑法第一百八十五條之三條文修正草案</w:t>
            </w:r>
          </w:p>
        </w:tc>
        <w:tc>
          <w:tcPr>
            <w:tcW w:w="1918" w:type="dxa"/>
            <w:shd w:val="clear" w:color="auto" w:fill="auto"/>
          </w:tcPr>
          <w:p w14:paraId="313E77F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委員王義川</w:t>
            </w:r>
          </w:p>
          <w:p w14:paraId="448D575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7D5D49D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7EE67DF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6B7C5EC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D4DBD1C"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7A9E085" w14:textId="77777777" w:rsidTr="00764D41">
        <w:tc>
          <w:tcPr>
            <w:tcW w:w="709" w:type="dxa"/>
            <w:shd w:val="clear" w:color="auto" w:fill="auto"/>
          </w:tcPr>
          <w:p w14:paraId="5E3AAC8F"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BFACC09"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24.中華民國刑法第一百八十五條之三條文修正草案</w:t>
            </w:r>
          </w:p>
        </w:tc>
        <w:tc>
          <w:tcPr>
            <w:tcW w:w="1918" w:type="dxa"/>
            <w:shd w:val="clear" w:color="auto" w:fill="auto"/>
          </w:tcPr>
          <w:p w14:paraId="2F721FD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委員賴士葆</w:t>
            </w:r>
          </w:p>
          <w:p w14:paraId="483BE87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等25人</w:t>
            </w:r>
          </w:p>
          <w:p w14:paraId="3D5154D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7430F73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15884EB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940D7F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EDDFF81" w14:textId="77777777" w:rsidTr="00764D41">
        <w:tc>
          <w:tcPr>
            <w:tcW w:w="709" w:type="dxa"/>
            <w:shd w:val="clear" w:color="auto" w:fill="auto"/>
          </w:tcPr>
          <w:p w14:paraId="0B17143A"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F6FBA9B"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25.中華民國刑法第一百八十五條之三及第一百八十五條之五條文修正草案</w:t>
            </w:r>
          </w:p>
        </w:tc>
        <w:tc>
          <w:tcPr>
            <w:tcW w:w="1918" w:type="dxa"/>
            <w:shd w:val="clear" w:color="auto" w:fill="auto"/>
          </w:tcPr>
          <w:p w14:paraId="4C56955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w:t>
            </w:r>
            <w:proofErr w:type="gramStart"/>
            <w:r w:rsidRPr="001B6E4D">
              <w:rPr>
                <w:rFonts w:ascii="標楷體" w:eastAsia="標楷體" w:hAnsi="標楷體"/>
                <w:color w:val="000000"/>
                <w:kern w:val="0"/>
              </w:rPr>
              <w:t>涂</w:t>
            </w:r>
            <w:proofErr w:type="gramEnd"/>
            <w:r w:rsidRPr="001B6E4D">
              <w:rPr>
                <w:rFonts w:ascii="標楷體" w:eastAsia="標楷體" w:hAnsi="標楷體"/>
                <w:color w:val="000000"/>
                <w:kern w:val="0"/>
              </w:rPr>
              <w:t>權吉</w:t>
            </w:r>
          </w:p>
          <w:p w14:paraId="30ACEE7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7544673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5C37FCE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6AEECB1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5F12324"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3AE0CF0" w14:textId="77777777" w:rsidTr="00764D41">
        <w:tc>
          <w:tcPr>
            <w:tcW w:w="709" w:type="dxa"/>
            <w:shd w:val="clear" w:color="auto" w:fill="auto"/>
          </w:tcPr>
          <w:p w14:paraId="559FF97D"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533138A"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26.中華民國刑法第一百八十五條之三條文修正草案</w:t>
            </w:r>
          </w:p>
        </w:tc>
        <w:tc>
          <w:tcPr>
            <w:tcW w:w="1918" w:type="dxa"/>
            <w:shd w:val="clear" w:color="auto" w:fill="auto"/>
          </w:tcPr>
          <w:p w14:paraId="43817AE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委員楊瓊瓔</w:t>
            </w:r>
          </w:p>
          <w:p w14:paraId="595423B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等31人</w:t>
            </w:r>
          </w:p>
          <w:p w14:paraId="0BEB07B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5294927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28C47B1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4B1CA64"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986BB90" w14:textId="77777777" w:rsidTr="00764D41">
        <w:tc>
          <w:tcPr>
            <w:tcW w:w="709" w:type="dxa"/>
            <w:shd w:val="clear" w:color="auto" w:fill="auto"/>
          </w:tcPr>
          <w:p w14:paraId="473305EA"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B76BABA"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27.中華民國刑法第一百八十五條之三條文修正草案</w:t>
            </w:r>
          </w:p>
        </w:tc>
        <w:tc>
          <w:tcPr>
            <w:tcW w:w="1918" w:type="dxa"/>
            <w:shd w:val="clear" w:color="auto" w:fill="auto"/>
          </w:tcPr>
          <w:p w14:paraId="64E6277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委員魯明哲</w:t>
            </w:r>
          </w:p>
          <w:p w14:paraId="6C840AE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20A2BBC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1E0B5B6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34BE2D2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ED7D802"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E05E563" w14:textId="77777777" w:rsidTr="00764D41">
        <w:tc>
          <w:tcPr>
            <w:tcW w:w="709" w:type="dxa"/>
            <w:shd w:val="clear" w:color="auto" w:fill="auto"/>
          </w:tcPr>
          <w:p w14:paraId="00D66074"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B3EED26"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28.中華民國刑法第一百八十五條之三條文修正草案</w:t>
            </w:r>
          </w:p>
        </w:tc>
        <w:tc>
          <w:tcPr>
            <w:tcW w:w="1918" w:type="dxa"/>
            <w:shd w:val="clear" w:color="auto" w:fill="auto"/>
          </w:tcPr>
          <w:p w14:paraId="781CAEA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委員張嘉郡</w:t>
            </w:r>
          </w:p>
          <w:p w14:paraId="7F6659B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等21人</w:t>
            </w:r>
          </w:p>
          <w:p w14:paraId="148DDD1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21667F3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742B10A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32A04C6"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57381AB4" w14:textId="77777777" w:rsidTr="00764D41">
        <w:tc>
          <w:tcPr>
            <w:tcW w:w="709" w:type="dxa"/>
            <w:shd w:val="clear" w:color="auto" w:fill="auto"/>
          </w:tcPr>
          <w:p w14:paraId="733DEF69"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A16977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29.中華民國刑法第一百八十五條之三條文修正草案</w:t>
            </w:r>
          </w:p>
        </w:tc>
        <w:tc>
          <w:tcPr>
            <w:tcW w:w="1918" w:type="dxa"/>
            <w:shd w:val="clear" w:color="auto" w:fill="auto"/>
          </w:tcPr>
          <w:p w14:paraId="3FBC8D1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委員王育敏</w:t>
            </w:r>
          </w:p>
          <w:p w14:paraId="3F7E5AD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6D6ED02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4F33516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7EC717A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6E3AB8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132AC9F5" w14:textId="77777777" w:rsidTr="00764D41">
        <w:tc>
          <w:tcPr>
            <w:tcW w:w="709" w:type="dxa"/>
            <w:shd w:val="clear" w:color="auto" w:fill="auto"/>
          </w:tcPr>
          <w:p w14:paraId="1E65623B"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276280F"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30.中華民國刑法第一百八十五條之三條文修正草案</w:t>
            </w:r>
          </w:p>
        </w:tc>
        <w:tc>
          <w:tcPr>
            <w:tcW w:w="1918" w:type="dxa"/>
            <w:shd w:val="clear" w:color="auto" w:fill="auto"/>
          </w:tcPr>
          <w:p w14:paraId="79EB8AE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委員黃健豪</w:t>
            </w:r>
          </w:p>
          <w:p w14:paraId="5C3BEC3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1E224B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5BA8654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6642A0A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51AE0B2"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E7F6B70" w14:textId="77777777" w:rsidTr="00764D41">
        <w:tc>
          <w:tcPr>
            <w:tcW w:w="709" w:type="dxa"/>
            <w:shd w:val="clear" w:color="auto" w:fill="auto"/>
          </w:tcPr>
          <w:p w14:paraId="6B9285CE"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F242CD0"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31.中華民國刑法第一百八十五條之三條文修正草案</w:t>
            </w:r>
          </w:p>
        </w:tc>
        <w:tc>
          <w:tcPr>
            <w:tcW w:w="1918" w:type="dxa"/>
            <w:shd w:val="clear" w:color="auto" w:fill="auto"/>
          </w:tcPr>
          <w:p w14:paraId="59D826D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委員王美惠</w:t>
            </w:r>
          </w:p>
          <w:p w14:paraId="5457DD8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49D962F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33B5C9E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600ED97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4BA69F3"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AD99F39" w14:textId="77777777" w:rsidTr="00764D41">
        <w:tc>
          <w:tcPr>
            <w:tcW w:w="709" w:type="dxa"/>
            <w:shd w:val="clear" w:color="auto" w:fill="auto"/>
          </w:tcPr>
          <w:p w14:paraId="2949919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6620E1E"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32.中華民國刑法第一百八十五條之三條文修正草案</w:t>
            </w:r>
          </w:p>
        </w:tc>
        <w:tc>
          <w:tcPr>
            <w:tcW w:w="1918" w:type="dxa"/>
            <w:shd w:val="clear" w:color="auto" w:fill="auto"/>
          </w:tcPr>
          <w:p w14:paraId="7AC44F5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委員陳素月</w:t>
            </w:r>
          </w:p>
          <w:p w14:paraId="5824B08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1294B82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6E69A83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6666AC4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BEC1476"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4FB6034B" w14:textId="77777777" w:rsidTr="00764D41">
        <w:tc>
          <w:tcPr>
            <w:tcW w:w="709" w:type="dxa"/>
            <w:shd w:val="clear" w:color="auto" w:fill="auto"/>
          </w:tcPr>
          <w:p w14:paraId="09BE3BEE"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20DD46E"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33.中華民國刑法第一百八十五條之三條文修正草案</w:t>
            </w:r>
          </w:p>
        </w:tc>
        <w:tc>
          <w:tcPr>
            <w:tcW w:w="1918" w:type="dxa"/>
            <w:shd w:val="clear" w:color="auto" w:fill="auto"/>
          </w:tcPr>
          <w:p w14:paraId="479B57E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委員林淑芬</w:t>
            </w:r>
          </w:p>
          <w:p w14:paraId="2D89026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等26人</w:t>
            </w:r>
          </w:p>
          <w:p w14:paraId="7C2D109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67E14F8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49B511E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27CFB00"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6A6AAC6" w14:textId="77777777" w:rsidTr="00764D41">
        <w:tc>
          <w:tcPr>
            <w:tcW w:w="709" w:type="dxa"/>
            <w:shd w:val="clear" w:color="auto" w:fill="auto"/>
          </w:tcPr>
          <w:p w14:paraId="14A93B5A"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B569CC6"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34.中華民國刑法第一百八十五條之三條文修正草案</w:t>
            </w:r>
          </w:p>
        </w:tc>
        <w:tc>
          <w:tcPr>
            <w:tcW w:w="1918" w:type="dxa"/>
            <w:shd w:val="clear" w:color="auto" w:fill="auto"/>
          </w:tcPr>
          <w:p w14:paraId="04C930C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委員李坤城</w:t>
            </w:r>
          </w:p>
          <w:p w14:paraId="3561C5E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02F2B0F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337C09D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389143B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7E0659B"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16D1B33F" w14:textId="77777777" w:rsidTr="00764D41">
        <w:tc>
          <w:tcPr>
            <w:tcW w:w="709" w:type="dxa"/>
            <w:shd w:val="clear" w:color="auto" w:fill="auto"/>
          </w:tcPr>
          <w:p w14:paraId="32F2420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2DACC33"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35.中華民國刑法第一百八十五條之三及第一百八十五條之五條文修正草案</w:t>
            </w:r>
          </w:p>
        </w:tc>
        <w:tc>
          <w:tcPr>
            <w:tcW w:w="1918" w:type="dxa"/>
            <w:shd w:val="clear" w:color="auto" w:fill="auto"/>
          </w:tcPr>
          <w:p w14:paraId="6ED87DF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w:t>
            </w:r>
            <w:proofErr w:type="gramStart"/>
            <w:r w:rsidRPr="001B6E4D">
              <w:rPr>
                <w:rFonts w:ascii="標楷體" w:eastAsia="標楷體" w:hAnsi="標楷體"/>
                <w:color w:val="000000"/>
                <w:kern w:val="0"/>
              </w:rPr>
              <w:t>盧</w:t>
            </w:r>
            <w:proofErr w:type="gramEnd"/>
            <w:r w:rsidRPr="001B6E4D">
              <w:rPr>
                <w:rFonts w:ascii="標楷體" w:eastAsia="標楷體" w:hAnsi="標楷體"/>
                <w:color w:val="000000"/>
                <w:kern w:val="0"/>
              </w:rPr>
              <w:t>縣</w:t>
            </w:r>
            <w:proofErr w:type="gramStart"/>
            <w:r w:rsidRPr="001B6E4D">
              <w:rPr>
                <w:rFonts w:ascii="標楷體" w:eastAsia="標楷體" w:hAnsi="標楷體"/>
                <w:color w:val="000000"/>
                <w:kern w:val="0"/>
              </w:rPr>
              <w:t>一</w:t>
            </w:r>
            <w:proofErr w:type="gramEnd"/>
          </w:p>
          <w:p w14:paraId="02656AD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07C0623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7A83D27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2E2DCF7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E7D4520"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04CBC58" w14:textId="77777777" w:rsidTr="00764D41">
        <w:tc>
          <w:tcPr>
            <w:tcW w:w="709" w:type="dxa"/>
            <w:shd w:val="clear" w:color="auto" w:fill="auto"/>
          </w:tcPr>
          <w:p w14:paraId="05D62A78"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427E203"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36.中華民國刑法第一百八十五條之三條文修正草案</w:t>
            </w:r>
          </w:p>
        </w:tc>
        <w:tc>
          <w:tcPr>
            <w:tcW w:w="1918" w:type="dxa"/>
            <w:shd w:val="clear" w:color="auto" w:fill="auto"/>
          </w:tcPr>
          <w:p w14:paraId="09164B3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委員謝龍介</w:t>
            </w:r>
          </w:p>
          <w:p w14:paraId="374FF9F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1236083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3DE5433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1F50D27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AA753F4"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4721F5EB" w14:textId="77777777" w:rsidTr="00764D41">
        <w:tc>
          <w:tcPr>
            <w:tcW w:w="709" w:type="dxa"/>
            <w:shd w:val="clear" w:color="auto" w:fill="auto"/>
          </w:tcPr>
          <w:p w14:paraId="1AE22375"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0770EC7"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37.中華民國刑法第一百八十五條之三條文修正草案</w:t>
            </w:r>
          </w:p>
        </w:tc>
        <w:tc>
          <w:tcPr>
            <w:tcW w:w="1918" w:type="dxa"/>
            <w:shd w:val="clear" w:color="auto" w:fill="auto"/>
          </w:tcPr>
          <w:p w14:paraId="227ED74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委員羅智強</w:t>
            </w:r>
          </w:p>
          <w:p w14:paraId="7714FFA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7B9F989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34AE595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1FA608C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FAC1156"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510EC11" w14:textId="77777777" w:rsidTr="00764D41">
        <w:tc>
          <w:tcPr>
            <w:tcW w:w="709" w:type="dxa"/>
            <w:shd w:val="clear" w:color="auto" w:fill="auto"/>
          </w:tcPr>
          <w:p w14:paraId="7CE424DD"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7673316"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38.中華民國刑法第一百八十五條之三條文修正草案</w:t>
            </w:r>
          </w:p>
        </w:tc>
        <w:tc>
          <w:tcPr>
            <w:tcW w:w="1918" w:type="dxa"/>
            <w:shd w:val="clear" w:color="auto" w:fill="auto"/>
          </w:tcPr>
          <w:p w14:paraId="2D1FB62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委員翁曉玲</w:t>
            </w:r>
          </w:p>
          <w:p w14:paraId="349AA90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2C52CB8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7F57DCE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68C26D5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5E9CAAC"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4AE3E64" w14:textId="77777777" w:rsidTr="00764D41">
        <w:tc>
          <w:tcPr>
            <w:tcW w:w="709" w:type="dxa"/>
            <w:shd w:val="clear" w:color="auto" w:fill="auto"/>
          </w:tcPr>
          <w:p w14:paraId="253D423C"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A22CD97"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39.中華民國刑法第一百八十五條之三條文修正草案</w:t>
            </w:r>
          </w:p>
        </w:tc>
        <w:tc>
          <w:tcPr>
            <w:tcW w:w="1918" w:type="dxa"/>
            <w:shd w:val="clear" w:color="auto" w:fill="auto"/>
          </w:tcPr>
          <w:p w14:paraId="6435F2D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委員李彥秀</w:t>
            </w:r>
          </w:p>
          <w:p w14:paraId="04B326C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67E2C0D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010C9BD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5BC39FF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ADC68D2"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46CAD79C" w14:textId="77777777" w:rsidTr="00764D41">
        <w:tc>
          <w:tcPr>
            <w:tcW w:w="709" w:type="dxa"/>
            <w:shd w:val="clear" w:color="auto" w:fill="auto"/>
          </w:tcPr>
          <w:p w14:paraId="5B9C7724"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C9380D0"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40.中華民國刑法第一百八十五條之三條文修正草案</w:t>
            </w:r>
          </w:p>
        </w:tc>
        <w:tc>
          <w:tcPr>
            <w:tcW w:w="1918" w:type="dxa"/>
            <w:shd w:val="clear" w:color="auto" w:fill="auto"/>
          </w:tcPr>
          <w:p w14:paraId="61C1722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委員許宇</w:t>
            </w:r>
            <w:proofErr w:type="gramStart"/>
            <w:r w:rsidRPr="001B6E4D">
              <w:rPr>
                <w:rFonts w:ascii="標楷體" w:eastAsia="標楷體" w:hAnsi="標楷體"/>
                <w:color w:val="000000"/>
                <w:kern w:val="0"/>
              </w:rPr>
              <w:t>甄</w:t>
            </w:r>
            <w:proofErr w:type="gramEnd"/>
          </w:p>
          <w:p w14:paraId="5544D35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等23人</w:t>
            </w:r>
          </w:p>
          <w:p w14:paraId="4C6C07D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6775CA8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2CE672F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FD4EE6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836FEB7" w14:textId="77777777" w:rsidTr="00764D41">
        <w:tc>
          <w:tcPr>
            <w:tcW w:w="709" w:type="dxa"/>
            <w:shd w:val="clear" w:color="auto" w:fill="auto"/>
          </w:tcPr>
          <w:p w14:paraId="6EBE4E9D"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5DAE02A"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41.中華民國刑法第一百八十五條之三條文修正草案</w:t>
            </w:r>
          </w:p>
        </w:tc>
        <w:tc>
          <w:tcPr>
            <w:tcW w:w="1918" w:type="dxa"/>
            <w:shd w:val="clear" w:color="auto" w:fill="auto"/>
          </w:tcPr>
          <w:p w14:paraId="08D659F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委員萬美玲</w:t>
            </w:r>
          </w:p>
          <w:p w14:paraId="22452C3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52BF417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0E3FE84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44BF729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F9AFF09"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67BFFCE" w14:textId="77777777" w:rsidTr="00764D41">
        <w:tc>
          <w:tcPr>
            <w:tcW w:w="709" w:type="dxa"/>
            <w:shd w:val="clear" w:color="auto" w:fill="auto"/>
          </w:tcPr>
          <w:p w14:paraId="70D6BBD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8F0658A"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42.中華民國刑法第一百八十五條之三條文修正草案</w:t>
            </w:r>
          </w:p>
        </w:tc>
        <w:tc>
          <w:tcPr>
            <w:tcW w:w="1918" w:type="dxa"/>
            <w:shd w:val="clear" w:color="auto" w:fill="auto"/>
          </w:tcPr>
          <w:p w14:paraId="397461E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委員林楚</w:t>
            </w:r>
            <w:proofErr w:type="gramStart"/>
            <w:r w:rsidRPr="001B6E4D">
              <w:rPr>
                <w:rFonts w:ascii="標楷體" w:eastAsia="標楷體" w:hAnsi="標楷體"/>
                <w:color w:val="000000"/>
                <w:kern w:val="0"/>
              </w:rPr>
              <w:t>茵</w:t>
            </w:r>
            <w:proofErr w:type="gramEnd"/>
          </w:p>
          <w:p w14:paraId="40DBF39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511CD58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5A39591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651AA8A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AC519CF"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D44D433" w14:textId="77777777" w:rsidTr="00764D41">
        <w:tc>
          <w:tcPr>
            <w:tcW w:w="709" w:type="dxa"/>
            <w:shd w:val="clear" w:color="auto" w:fill="auto"/>
          </w:tcPr>
          <w:p w14:paraId="5E11410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6F77B8F"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43.中華民國刑法第一百八十五條之三條文修正草案</w:t>
            </w:r>
          </w:p>
        </w:tc>
        <w:tc>
          <w:tcPr>
            <w:tcW w:w="1918" w:type="dxa"/>
            <w:shd w:val="clear" w:color="auto" w:fill="auto"/>
          </w:tcPr>
          <w:p w14:paraId="6F4BFFA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委員羅美玲</w:t>
            </w:r>
          </w:p>
          <w:p w14:paraId="519AA5C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34D7429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4121D57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4A07552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65A9CFA"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916E0A1" w14:textId="77777777" w:rsidTr="00764D41">
        <w:tc>
          <w:tcPr>
            <w:tcW w:w="709" w:type="dxa"/>
            <w:shd w:val="clear" w:color="auto" w:fill="auto"/>
          </w:tcPr>
          <w:p w14:paraId="448D76E7"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217559C"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44.中華民國刑法第一百八十五條之三條文修正草案</w:t>
            </w:r>
          </w:p>
        </w:tc>
        <w:tc>
          <w:tcPr>
            <w:tcW w:w="1918" w:type="dxa"/>
            <w:shd w:val="clear" w:color="auto" w:fill="auto"/>
          </w:tcPr>
          <w:p w14:paraId="543C056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委員陳培瑜</w:t>
            </w:r>
          </w:p>
          <w:p w14:paraId="1DA8486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5BEEEEF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785329A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2971483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9ECB634"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4370EF45" w14:textId="77777777" w:rsidTr="00764D41">
        <w:tc>
          <w:tcPr>
            <w:tcW w:w="709" w:type="dxa"/>
            <w:shd w:val="clear" w:color="auto" w:fill="auto"/>
          </w:tcPr>
          <w:p w14:paraId="4DB43E27"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6C14AD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45.中華民國刑法第一百八十五條之三及第一百八十五條之五條文修正草案</w:t>
            </w:r>
          </w:p>
        </w:tc>
        <w:tc>
          <w:tcPr>
            <w:tcW w:w="1918" w:type="dxa"/>
            <w:shd w:val="clear" w:color="auto" w:fill="auto"/>
          </w:tcPr>
          <w:p w14:paraId="105FF5F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委員張宏陸</w:t>
            </w:r>
          </w:p>
          <w:p w14:paraId="4C6AD30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等21人</w:t>
            </w:r>
          </w:p>
          <w:p w14:paraId="392D868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228EFFF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2FDE05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0958736"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48D97E22" w14:textId="77777777" w:rsidTr="00764D41">
        <w:tc>
          <w:tcPr>
            <w:tcW w:w="709" w:type="dxa"/>
            <w:shd w:val="clear" w:color="auto" w:fill="auto"/>
          </w:tcPr>
          <w:p w14:paraId="5E97FCF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7CF58FC"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46.中華民國刑法第一百八十五條之三條文修正草案</w:t>
            </w:r>
          </w:p>
        </w:tc>
        <w:tc>
          <w:tcPr>
            <w:tcW w:w="1918" w:type="dxa"/>
            <w:shd w:val="clear" w:color="auto" w:fill="auto"/>
          </w:tcPr>
          <w:p w14:paraId="38956E3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委員李柏毅</w:t>
            </w:r>
          </w:p>
          <w:p w14:paraId="57B16C4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4C9399C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557FA47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1CD61B8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CEB4596"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C53F8BD" w14:textId="77777777" w:rsidTr="00764D41">
        <w:tc>
          <w:tcPr>
            <w:tcW w:w="709" w:type="dxa"/>
            <w:shd w:val="clear" w:color="auto" w:fill="auto"/>
          </w:tcPr>
          <w:p w14:paraId="5AC8B4BE"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0CAC76C"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47.中華民國刑法第一百八十五條之三條文修正草案</w:t>
            </w:r>
          </w:p>
        </w:tc>
        <w:tc>
          <w:tcPr>
            <w:tcW w:w="1918" w:type="dxa"/>
            <w:shd w:val="clear" w:color="auto" w:fill="auto"/>
          </w:tcPr>
          <w:p w14:paraId="5E51516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委員廖偉翔</w:t>
            </w:r>
          </w:p>
          <w:p w14:paraId="70ABB33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0607B2B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706070B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3ED22DC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033BFDB"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FD80018" w14:textId="77777777" w:rsidTr="00764D41">
        <w:tc>
          <w:tcPr>
            <w:tcW w:w="709" w:type="dxa"/>
            <w:shd w:val="clear" w:color="auto" w:fill="auto"/>
          </w:tcPr>
          <w:p w14:paraId="3C7A761A"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1119EA2"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48.中華民國刑法第一百八十五條之三條文修正草案</w:t>
            </w:r>
          </w:p>
        </w:tc>
        <w:tc>
          <w:tcPr>
            <w:tcW w:w="1918" w:type="dxa"/>
            <w:shd w:val="clear" w:color="auto" w:fill="auto"/>
          </w:tcPr>
          <w:p w14:paraId="5BFF88D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委員伍麗華</w:t>
            </w:r>
          </w:p>
          <w:p w14:paraId="7532623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Saidhai</w:t>
            </w:r>
            <w:proofErr w:type="spellEnd"/>
            <w:r w:rsidRPr="001B6E4D">
              <w:rPr>
                <w:rFonts w:ascii="標楷體" w:eastAsia="標楷體" w:hAnsi="標楷體"/>
                <w:color w:val="000000"/>
                <w:kern w:val="0"/>
              </w:rPr>
              <w:t>‧</w:t>
            </w:r>
          </w:p>
          <w:p w14:paraId="28EEF9A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Tahovecahe</w:t>
            </w:r>
            <w:proofErr w:type="spellEnd"/>
          </w:p>
          <w:p w14:paraId="72ED3B1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1200A1A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3D460B1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4324242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C8BF23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187F5F2" w14:textId="77777777" w:rsidTr="00764D41">
        <w:tc>
          <w:tcPr>
            <w:tcW w:w="709" w:type="dxa"/>
            <w:shd w:val="clear" w:color="auto" w:fill="auto"/>
          </w:tcPr>
          <w:p w14:paraId="1C8889F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D208159"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49.中華民國刑法第一百八十五條之三條文修正草案</w:t>
            </w:r>
          </w:p>
        </w:tc>
        <w:tc>
          <w:tcPr>
            <w:tcW w:w="1918" w:type="dxa"/>
            <w:shd w:val="clear" w:color="auto" w:fill="auto"/>
          </w:tcPr>
          <w:p w14:paraId="230EFFE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委員蔡易餘</w:t>
            </w:r>
          </w:p>
          <w:p w14:paraId="117C598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6A8429C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6B43699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1435DB4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12B3472"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1D42F6F" w14:textId="77777777" w:rsidTr="00764D41">
        <w:tc>
          <w:tcPr>
            <w:tcW w:w="709" w:type="dxa"/>
            <w:shd w:val="clear" w:color="auto" w:fill="auto"/>
          </w:tcPr>
          <w:p w14:paraId="77F31A8E"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44EAB07"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50.中華民國刑法第一百八十五條之三條文修正草案</w:t>
            </w:r>
          </w:p>
        </w:tc>
        <w:tc>
          <w:tcPr>
            <w:tcW w:w="1918" w:type="dxa"/>
            <w:shd w:val="clear" w:color="auto" w:fill="auto"/>
          </w:tcPr>
          <w:p w14:paraId="190405A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委員徐富</w:t>
            </w:r>
            <w:proofErr w:type="gramStart"/>
            <w:r w:rsidRPr="001B6E4D">
              <w:rPr>
                <w:rFonts w:ascii="標楷體" w:eastAsia="標楷體" w:hAnsi="標楷體"/>
                <w:color w:val="000000"/>
                <w:kern w:val="0"/>
              </w:rPr>
              <w:t>癸</w:t>
            </w:r>
            <w:proofErr w:type="gramEnd"/>
          </w:p>
          <w:p w14:paraId="4A5AD1C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192DC86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C6D275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528A7F2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63DF45C"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5CEC0BA" w14:textId="77777777" w:rsidTr="00764D41">
        <w:tc>
          <w:tcPr>
            <w:tcW w:w="709" w:type="dxa"/>
            <w:shd w:val="clear" w:color="auto" w:fill="auto"/>
          </w:tcPr>
          <w:p w14:paraId="342C9023"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CA26E40"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51.中華民國刑法第一百八十五條之三條文修正草案</w:t>
            </w:r>
          </w:p>
        </w:tc>
        <w:tc>
          <w:tcPr>
            <w:tcW w:w="1918" w:type="dxa"/>
            <w:shd w:val="clear" w:color="auto" w:fill="auto"/>
          </w:tcPr>
          <w:p w14:paraId="6E6C576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委員何欣純</w:t>
            </w:r>
          </w:p>
          <w:p w14:paraId="4D62EA0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66BA05D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97F9C8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7FA54F3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3DDFA0F"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30DC354" w14:textId="77777777" w:rsidTr="00764D41">
        <w:tc>
          <w:tcPr>
            <w:tcW w:w="709" w:type="dxa"/>
            <w:shd w:val="clear" w:color="auto" w:fill="auto"/>
          </w:tcPr>
          <w:p w14:paraId="17C49104"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AFBFA3A"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52.中華民國刑法第一百八十五條之三條文修正草案</w:t>
            </w:r>
          </w:p>
        </w:tc>
        <w:tc>
          <w:tcPr>
            <w:tcW w:w="1918" w:type="dxa"/>
            <w:shd w:val="clear" w:color="auto" w:fill="auto"/>
          </w:tcPr>
          <w:p w14:paraId="5FBB709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委員林宜瑾</w:t>
            </w:r>
          </w:p>
          <w:p w14:paraId="34DC267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等23人</w:t>
            </w:r>
          </w:p>
          <w:p w14:paraId="7CBC0DC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556A4D4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A22CA7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3BD5FB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1AFED593" w14:textId="77777777" w:rsidTr="00764D41">
        <w:tc>
          <w:tcPr>
            <w:tcW w:w="709" w:type="dxa"/>
            <w:shd w:val="clear" w:color="auto" w:fill="auto"/>
          </w:tcPr>
          <w:p w14:paraId="620B2ACE"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1761100"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53.中華民國刑法第一百八十五</w:t>
            </w:r>
            <w:r w:rsidRPr="001B6E4D">
              <w:rPr>
                <w:rFonts w:ascii="標楷體" w:eastAsia="標楷體" w:hAnsi="標楷體"/>
                <w:color w:val="000000"/>
                <w:kern w:val="0"/>
              </w:rPr>
              <w:lastRenderedPageBreak/>
              <w:t>條之三條文修正草案</w:t>
            </w:r>
          </w:p>
        </w:tc>
        <w:tc>
          <w:tcPr>
            <w:tcW w:w="1918" w:type="dxa"/>
            <w:shd w:val="clear" w:color="auto" w:fill="auto"/>
          </w:tcPr>
          <w:p w14:paraId="097729F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委員羅廷</w:t>
            </w:r>
            <w:proofErr w:type="gramStart"/>
            <w:r w:rsidRPr="001B6E4D">
              <w:rPr>
                <w:rFonts w:ascii="標楷體" w:eastAsia="標楷體" w:hAnsi="標楷體"/>
                <w:color w:val="000000"/>
                <w:kern w:val="0"/>
              </w:rPr>
              <w:t>瑋</w:t>
            </w:r>
            <w:proofErr w:type="gramEnd"/>
          </w:p>
          <w:p w14:paraId="3B925B2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78BEA56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115.07.14</w:t>
            </w:r>
          </w:p>
          <w:p w14:paraId="44DC44E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514BF55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A10A109"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08A500F" w14:textId="77777777" w:rsidTr="00764D41">
        <w:tc>
          <w:tcPr>
            <w:tcW w:w="709" w:type="dxa"/>
            <w:shd w:val="clear" w:color="auto" w:fill="auto"/>
          </w:tcPr>
          <w:p w14:paraId="3D54332E"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23C5030"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54.中華民國刑法第一百八十五條之三條文修正草案</w:t>
            </w:r>
          </w:p>
        </w:tc>
        <w:tc>
          <w:tcPr>
            <w:tcW w:w="1918" w:type="dxa"/>
            <w:shd w:val="clear" w:color="auto" w:fill="auto"/>
          </w:tcPr>
          <w:p w14:paraId="3EDD318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委員劉建國</w:t>
            </w:r>
          </w:p>
          <w:p w14:paraId="46C1FE0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1B3C3C2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70DC483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4DCB014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FFBF8F2"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50E2A04" w14:textId="77777777" w:rsidTr="00764D41">
        <w:tc>
          <w:tcPr>
            <w:tcW w:w="709" w:type="dxa"/>
            <w:shd w:val="clear" w:color="auto" w:fill="auto"/>
          </w:tcPr>
          <w:p w14:paraId="552DF18A"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E982DC6"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55.中華民國刑法第一百八十五條之三條文修正草案</w:t>
            </w:r>
          </w:p>
        </w:tc>
        <w:tc>
          <w:tcPr>
            <w:tcW w:w="1918" w:type="dxa"/>
            <w:shd w:val="clear" w:color="auto" w:fill="auto"/>
          </w:tcPr>
          <w:p w14:paraId="0F20E6C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委員賴惠員</w:t>
            </w:r>
          </w:p>
          <w:p w14:paraId="7C428F6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208428D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920032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2C25750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406D460"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B7691FC" w14:textId="77777777" w:rsidTr="00764D41">
        <w:tc>
          <w:tcPr>
            <w:tcW w:w="709" w:type="dxa"/>
            <w:shd w:val="clear" w:color="auto" w:fill="auto"/>
          </w:tcPr>
          <w:p w14:paraId="0B6E8557"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9FE22B0"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56.中華民國刑法第一百八十五條之三條文修正草案</w:t>
            </w:r>
          </w:p>
        </w:tc>
        <w:tc>
          <w:tcPr>
            <w:tcW w:w="1918" w:type="dxa"/>
            <w:shd w:val="clear" w:color="auto" w:fill="auto"/>
          </w:tcPr>
          <w:p w14:paraId="158589B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委員郭昱晴</w:t>
            </w:r>
          </w:p>
          <w:p w14:paraId="3F01DC4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456D11C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115.07.17</w:t>
            </w:r>
          </w:p>
          <w:p w14:paraId="044F9B5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（11-5-18）</w:t>
            </w:r>
          </w:p>
        </w:tc>
        <w:tc>
          <w:tcPr>
            <w:tcW w:w="1985" w:type="dxa"/>
            <w:vMerge/>
            <w:shd w:val="clear" w:color="auto" w:fill="auto"/>
          </w:tcPr>
          <w:p w14:paraId="7D0649B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546E2C5"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77F7C5B" w14:textId="77777777" w:rsidTr="00764D41">
        <w:tc>
          <w:tcPr>
            <w:tcW w:w="709" w:type="dxa"/>
            <w:shd w:val="clear" w:color="auto" w:fill="auto"/>
          </w:tcPr>
          <w:p w14:paraId="4ECB321C"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44E3389"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71C070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行政院</w:t>
            </w:r>
          </w:p>
          <w:p w14:paraId="794685D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21894AF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val="restart"/>
            <w:shd w:val="clear" w:color="auto" w:fill="auto"/>
          </w:tcPr>
          <w:p w14:paraId="2B0DD90C" w14:textId="77777777" w:rsidR="00BC6372" w:rsidRPr="001B6E4D" w:rsidRDefault="00BC6372"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司法及法制</w:t>
            </w:r>
          </w:p>
          <w:p w14:paraId="4D4C69BD" w14:textId="77777777" w:rsidR="00BC6372" w:rsidRPr="001B6E4D" w:rsidRDefault="00BC6372"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hint="eastAsia"/>
                <w:color w:val="000000"/>
                <w:kern w:val="0"/>
              </w:rPr>
              <w:t>莊召集委員瑞雄</w:t>
            </w:r>
          </w:p>
        </w:tc>
        <w:tc>
          <w:tcPr>
            <w:tcW w:w="1984" w:type="dxa"/>
            <w:vMerge w:val="restart"/>
            <w:shd w:val="clear" w:color="auto" w:fill="auto"/>
          </w:tcPr>
          <w:p w14:paraId="07816356" w14:textId="77777777" w:rsidR="00BC6372" w:rsidRPr="001B6E4D" w:rsidRDefault="00BC6372"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1</w:t>
            </w:r>
            <w:r w:rsidRPr="001B6E4D">
              <w:rPr>
                <w:rFonts w:ascii="標楷體" w:eastAsia="標楷體" w:hAnsi="標楷體"/>
                <w:color w:val="000000"/>
                <w:kern w:val="0"/>
              </w:rPr>
              <w:t>.</w:t>
            </w:r>
            <w:r w:rsidRPr="001B6E4D">
              <w:rPr>
                <w:rFonts w:ascii="標楷體" w:eastAsia="標楷體" w:hAnsi="標楷體" w:hint="eastAsia"/>
                <w:color w:val="000000"/>
                <w:kern w:val="0"/>
              </w:rPr>
              <w:t>第1-</w:t>
            </w:r>
            <w:r w:rsidRPr="001B6E4D">
              <w:rPr>
                <w:rFonts w:ascii="標楷體" w:eastAsia="標楷體" w:hAnsi="標楷體"/>
                <w:color w:val="000000"/>
                <w:kern w:val="0"/>
              </w:rPr>
              <w:t>8</w:t>
            </w:r>
            <w:r w:rsidRPr="001B6E4D">
              <w:rPr>
                <w:rFonts w:ascii="標楷體" w:eastAsia="標楷體" w:hAnsi="標楷體" w:hint="eastAsia"/>
                <w:color w:val="000000"/>
                <w:kern w:val="0"/>
              </w:rPr>
              <w:t>案</w:t>
            </w:r>
            <w:r w:rsidRPr="001B6E4D">
              <w:rPr>
                <w:rFonts w:ascii="標楷體" w:eastAsia="標楷體" w:hAnsi="標楷體"/>
                <w:color w:val="000000"/>
                <w:kern w:val="0"/>
              </w:rPr>
              <w:br/>
              <w:t>本會</w:t>
            </w:r>
            <w:r w:rsidRPr="001B6E4D">
              <w:rPr>
                <w:rFonts w:ascii="標楷體" w:eastAsia="標楷體" w:hAnsi="標楷體"/>
                <w:color w:val="000000"/>
                <w:kern w:val="0"/>
              </w:rPr>
              <w:br/>
              <w:t>115.7.15</w:t>
            </w:r>
            <w:r w:rsidRPr="001B6E4D">
              <w:rPr>
                <w:rFonts w:ascii="標楷體" w:eastAsia="標楷體" w:hAnsi="標楷體"/>
                <w:color w:val="000000"/>
                <w:kern w:val="0"/>
              </w:rPr>
              <w:br/>
              <w:t>(11-5-25)報告及</w:t>
            </w:r>
            <w:proofErr w:type="gramStart"/>
            <w:r w:rsidRPr="001B6E4D">
              <w:rPr>
                <w:rFonts w:ascii="標楷體" w:eastAsia="標楷體" w:hAnsi="標楷體"/>
                <w:color w:val="000000"/>
                <w:kern w:val="0"/>
              </w:rPr>
              <w:t>詢</w:t>
            </w:r>
            <w:proofErr w:type="gramEnd"/>
            <w:r w:rsidRPr="001B6E4D">
              <w:rPr>
                <w:rFonts w:ascii="標楷體" w:eastAsia="標楷體" w:hAnsi="標楷體"/>
                <w:color w:val="000000"/>
                <w:kern w:val="0"/>
              </w:rPr>
              <w:t>答完畢，另定期繼續審查。</w:t>
            </w:r>
          </w:p>
          <w:p w14:paraId="09CC8E65" w14:textId="77777777" w:rsidR="00BC6372" w:rsidRPr="001B6E4D" w:rsidRDefault="00BC6372"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2</w:t>
            </w:r>
            <w:r w:rsidRPr="001B6E4D">
              <w:rPr>
                <w:rFonts w:ascii="標楷體" w:eastAsia="標楷體" w:hAnsi="標楷體"/>
                <w:color w:val="000000"/>
                <w:kern w:val="0"/>
              </w:rPr>
              <w:t>.</w:t>
            </w:r>
            <w:r w:rsidRPr="001B6E4D">
              <w:rPr>
                <w:rFonts w:ascii="標楷體" w:eastAsia="標楷體" w:hAnsi="標楷體" w:hint="eastAsia"/>
                <w:color w:val="000000"/>
                <w:kern w:val="0"/>
              </w:rPr>
              <w:t>第1-</w:t>
            </w:r>
            <w:r w:rsidRPr="001B6E4D">
              <w:rPr>
                <w:rFonts w:ascii="標楷體" w:eastAsia="標楷體" w:hAnsi="標楷體"/>
                <w:color w:val="000000"/>
                <w:kern w:val="0"/>
              </w:rPr>
              <w:t>23</w:t>
            </w:r>
            <w:r w:rsidRPr="001B6E4D">
              <w:rPr>
                <w:rFonts w:ascii="標楷體" w:eastAsia="標楷體" w:hAnsi="標楷體" w:hint="eastAsia"/>
                <w:color w:val="000000"/>
                <w:kern w:val="0"/>
              </w:rPr>
              <w:t>案</w:t>
            </w:r>
            <w:r w:rsidRPr="001B6E4D">
              <w:rPr>
                <w:rFonts w:ascii="標楷體" w:eastAsia="標楷體" w:hAnsi="標楷體"/>
                <w:color w:val="000000"/>
                <w:kern w:val="0"/>
              </w:rPr>
              <w:br/>
            </w:r>
            <w:r w:rsidRPr="001B6E4D">
              <w:rPr>
                <w:rFonts w:ascii="標楷體" w:eastAsia="標楷體" w:hAnsi="標楷體" w:hint="eastAsia"/>
                <w:color w:val="000000"/>
                <w:kern w:val="0"/>
              </w:rPr>
              <w:t>本</w:t>
            </w:r>
            <w:r w:rsidRPr="001B6E4D">
              <w:rPr>
                <w:rFonts w:ascii="標楷體" w:eastAsia="標楷體" w:hAnsi="標楷體"/>
                <w:color w:val="000000"/>
                <w:kern w:val="0"/>
              </w:rPr>
              <w:t>會</w:t>
            </w:r>
            <w:r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15</w:t>
            </w:r>
            <w:r w:rsidRPr="001B6E4D">
              <w:rPr>
                <w:rFonts w:ascii="標楷體" w:eastAsia="標楷體" w:hAnsi="標楷體" w:hint="eastAsia"/>
                <w:color w:val="000000"/>
                <w:kern w:val="0"/>
              </w:rPr>
              <w:t>.</w:t>
            </w:r>
            <w:r w:rsidRPr="001B6E4D">
              <w:rPr>
                <w:rFonts w:ascii="標楷體" w:eastAsia="標楷體" w:hAnsi="標楷體"/>
                <w:color w:val="000000"/>
                <w:kern w:val="0"/>
              </w:rPr>
              <w:t>7</w:t>
            </w:r>
            <w:r w:rsidRPr="001B6E4D">
              <w:rPr>
                <w:rFonts w:ascii="標楷體" w:eastAsia="標楷體" w:hAnsi="標楷體" w:hint="eastAsia"/>
                <w:color w:val="000000"/>
                <w:kern w:val="0"/>
              </w:rPr>
              <w:t>.</w:t>
            </w:r>
            <w:r w:rsidRPr="001B6E4D">
              <w:rPr>
                <w:rFonts w:ascii="標楷體" w:eastAsia="標楷體" w:hAnsi="標楷體"/>
                <w:color w:val="000000"/>
                <w:kern w:val="0"/>
              </w:rPr>
              <w:t>29</w:t>
            </w:r>
            <w:r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w:t>
            </w:r>
            <w:r w:rsidRPr="001B6E4D">
              <w:rPr>
                <w:rFonts w:ascii="標楷體" w:eastAsia="標楷體" w:hAnsi="標楷體" w:hint="eastAsia"/>
                <w:color w:val="000000"/>
                <w:kern w:val="0"/>
              </w:rPr>
              <w:t>-</w:t>
            </w:r>
            <w:r w:rsidRPr="001B6E4D">
              <w:rPr>
                <w:rFonts w:ascii="標楷體" w:eastAsia="標楷體" w:hAnsi="標楷體"/>
                <w:color w:val="000000"/>
                <w:kern w:val="0"/>
              </w:rPr>
              <w:t>5</w:t>
            </w:r>
            <w:r w:rsidRPr="001B6E4D">
              <w:rPr>
                <w:rFonts w:ascii="標楷體" w:eastAsia="標楷體" w:hAnsi="標楷體" w:hint="eastAsia"/>
                <w:color w:val="000000"/>
                <w:kern w:val="0"/>
              </w:rPr>
              <w:t>-</w:t>
            </w:r>
            <w:r w:rsidRPr="001B6E4D">
              <w:rPr>
                <w:rFonts w:ascii="標楷體" w:eastAsia="標楷體" w:hAnsi="標楷體"/>
                <w:color w:val="000000"/>
                <w:kern w:val="0"/>
              </w:rPr>
              <w:t>27</w:t>
            </w:r>
            <w:r w:rsidRPr="001B6E4D">
              <w:rPr>
                <w:rFonts w:ascii="標楷體" w:eastAsia="標楷體" w:hAnsi="標楷體" w:hint="eastAsia"/>
                <w:color w:val="000000"/>
                <w:kern w:val="0"/>
              </w:rPr>
              <w:t>)審查完竣，須交由黨團協商。</w:t>
            </w:r>
          </w:p>
        </w:tc>
      </w:tr>
      <w:tr w:rsidR="00BC6372" w:rsidRPr="001B6E4D" w14:paraId="20BE0BBB" w14:textId="77777777" w:rsidTr="00764D41">
        <w:tc>
          <w:tcPr>
            <w:tcW w:w="709" w:type="dxa"/>
            <w:shd w:val="clear" w:color="auto" w:fill="auto"/>
          </w:tcPr>
          <w:p w14:paraId="40D2635C"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23A9204"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C009C3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委員羅智強</w:t>
            </w:r>
          </w:p>
          <w:p w14:paraId="3E76A28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等23人</w:t>
            </w:r>
          </w:p>
          <w:p w14:paraId="684520A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3F0389A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05C5A33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A134801"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4DCF5169" w14:textId="77777777" w:rsidTr="00764D41">
        <w:tc>
          <w:tcPr>
            <w:tcW w:w="709" w:type="dxa"/>
            <w:shd w:val="clear" w:color="auto" w:fill="auto"/>
          </w:tcPr>
          <w:p w14:paraId="35D4D5B5"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1175340"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6E1979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委員羅廷</w:t>
            </w:r>
            <w:proofErr w:type="gramStart"/>
            <w:r w:rsidRPr="001B6E4D">
              <w:rPr>
                <w:rFonts w:ascii="標楷體" w:eastAsia="標楷體" w:hAnsi="標楷體"/>
                <w:color w:val="000000"/>
                <w:kern w:val="0"/>
              </w:rPr>
              <w:t>瑋</w:t>
            </w:r>
            <w:proofErr w:type="gramEnd"/>
          </w:p>
          <w:p w14:paraId="07805CF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627A0CB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7F45FAA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3AACD6E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3BCD1F5"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14A613A" w14:textId="77777777" w:rsidTr="00764D41">
        <w:tc>
          <w:tcPr>
            <w:tcW w:w="709" w:type="dxa"/>
            <w:shd w:val="clear" w:color="auto" w:fill="auto"/>
          </w:tcPr>
          <w:p w14:paraId="257305D5"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8B38A4E"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ACDA89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委員許宇</w:t>
            </w:r>
            <w:proofErr w:type="gramStart"/>
            <w:r w:rsidRPr="001B6E4D">
              <w:rPr>
                <w:rFonts w:ascii="標楷體" w:eastAsia="標楷體" w:hAnsi="標楷體"/>
                <w:color w:val="000000"/>
                <w:kern w:val="0"/>
              </w:rPr>
              <w:t>甄</w:t>
            </w:r>
            <w:proofErr w:type="gramEnd"/>
          </w:p>
          <w:p w14:paraId="2EC9123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等25人</w:t>
            </w:r>
          </w:p>
          <w:p w14:paraId="72CD1A7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417CB6B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687B98B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89EDB2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FC676D3" w14:textId="77777777" w:rsidTr="00764D41">
        <w:tc>
          <w:tcPr>
            <w:tcW w:w="709" w:type="dxa"/>
            <w:shd w:val="clear" w:color="auto" w:fill="auto"/>
          </w:tcPr>
          <w:p w14:paraId="0D80C3CB"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FE3EE6E"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063EC7D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委員林淑芬</w:t>
            </w:r>
          </w:p>
          <w:p w14:paraId="3184F00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53F7FDA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6BC9C3D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366B958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85353E6"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633D6DB" w14:textId="77777777" w:rsidTr="00764D41">
        <w:tc>
          <w:tcPr>
            <w:tcW w:w="709" w:type="dxa"/>
            <w:shd w:val="clear" w:color="auto" w:fill="auto"/>
          </w:tcPr>
          <w:p w14:paraId="4BC92F14"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01FF57A"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6.毒品危害防制條例第三十三條及第三十六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518E95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委員羅美玲</w:t>
            </w:r>
          </w:p>
          <w:p w14:paraId="07BB916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41C627D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69F3FE0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5065745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F2C011E"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14BCE57" w14:textId="77777777" w:rsidTr="00764D41">
        <w:tc>
          <w:tcPr>
            <w:tcW w:w="709" w:type="dxa"/>
            <w:shd w:val="clear" w:color="auto" w:fill="auto"/>
          </w:tcPr>
          <w:p w14:paraId="7DC66C2B"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0309AF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7.毒品危害防制條例第三十三條及第三十六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3B4E9F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委員張雅琳</w:t>
            </w:r>
          </w:p>
          <w:p w14:paraId="6E8171F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76FDEF8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06DA6C4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0477B03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EB0D79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485B9AB" w14:textId="77777777" w:rsidTr="00764D41">
        <w:tc>
          <w:tcPr>
            <w:tcW w:w="709" w:type="dxa"/>
            <w:shd w:val="clear" w:color="auto" w:fill="auto"/>
          </w:tcPr>
          <w:p w14:paraId="3437BDA4"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97314D8"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8.毒品危害防制條例第三十三條及第三十六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w:t>
            </w:r>
            <w:r w:rsidRPr="001B6E4D">
              <w:rPr>
                <w:rFonts w:ascii="標楷體" w:eastAsia="標楷體" w:hAnsi="標楷體"/>
                <w:color w:val="000000"/>
                <w:kern w:val="0"/>
              </w:rPr>
              <w:lastRenderedPageBreak/>
              <w:t>文修正草案</w:t>
            </w:r>
          </w:p>
        </w:tc>
        <w:tc>
          <w:tcPr>
            <w:tcW w:w="1918" w:type="dxa"/>
            <w:shd w:val="clear" w:color="auto" w:fill="auto"/>
          </w:tcPr>
          <w:p w14:paraId="2EF37B4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委員陳培瑜</w:t>
            </w:r>
          </w:p>
          <w:p w14:paraId="4DCC762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37DEAF6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74FCFE4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（11-5-16）</w:t>
            </w:r>
          </w:p>
        </w:tc>
        <w:tc>
          <w:tcPr>
            <w:tcW w:w="1985" w:type="dxa"/>
            <w:vMerge/>
            <w:shd w:val="clear" w:color="auto" w:fill="auto"/>
          </w:tcPr>
          <w:p w14:paraId="28B4CD0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B2A658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E5A72D9" w14:textId="77777777" w:rsidTr="00764D41">
        <w:tc>
          <w:tcPr>
            <w:tcW w:w="709" w:type="dxa"/>
            <w:shd w:val="clear" w:color="auto" w:fill="auto"/>
          </w:tcPr>
          <w:p w14:paraId="7930B5DA"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CBD5924"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9.毒品危害防制條例第三十三條及第三十六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711981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委員鍾佳濱</w:t>
            </w:r>
          </w:p>
          <w:p w14:paraId="290568C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4F92594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3C77428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4640BB3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C5B1C53"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2B335BC" w14:textId="77777777" w:rsidTr="00764D41">
        <w:tc>
          <w:tcPr>
            <w:tcW w:w="709" w:type="dxa"/>
            <w:shd w:val="clear" w:color="auto" w:fill="auto"/>
          </w:tcPr>
          <w:p w14:paraId="3EF4A861"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AEC57E5"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10.毒品危害防制條例第三十三條及第三十六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7F4D10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委員林月琴</w:t>
            </w:r>
          </w:p>
          <w:p w14:paraId="36047F9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659EBF1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1615679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4E32DE7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08D95A9"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DF3D863" w14:textId="77777777" w:rsidTr="00764D41">
        <w:tc>
          <w:tcPr>
            <w:tcW w:w="709" w:type="dxa"/>
            <w:shd w:val="clear" w:color="auto" w:fill="auto"/>
          </w:tcPr>
          <w:p w14:paraId="50212FC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43203BD"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DC6307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委員廖偉翔</w:t>
            </w:r>
          </w:p>
          <w:p w14:paraId="273E380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18F7FC2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7C90F99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0C43A7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304105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77CBDD7" w14:textId="77777777" w:rsidTr="00764D41">
        <w:tc>
          <w:tcPr>
            <w:tcW w:w="709" w:type="dxa"/>
            <w:shd w:val="clear" w:color="auto" w:fill="auto"/>
          </w:tcPr>
          <w:p w14:paraId="7EC10E53"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F4F877A"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12.毒品危害防制條例第三十三條及第三十六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90D40F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委員伍麗華</w:t>
            </w:r>
          </w:p>
          <w:p w14:paraId="4C812D6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Saidhai</w:t>
            </w:r>
            <w:proofErr w:type="spellEnd"/>
            <w:r w:rsidRPr="001B6E4D">
              <w:rPr>
                <w:rFonts w:ascii="標楷體" w:eastAsia="標楷體" w:hAnsi="標楷體"/>
                <w:color w:val="000000"/>
                <w:kern w:val="0"/>
              </w:rPr>
              <w:t>‧</w:t>
            </w:r>
          </w:p>
          <w:p w14:paraId="12B87A3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Tahovecahe</w:t>
            </w:r>
            <w:proofErr w:type="spellEnd"/>
          </w:p>
          <w:p w14:paraId="4A34DAE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68BFC59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200BDF4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0280EA0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69EDC7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118ED23" w14:textId="77777777" w:rsidTr="00764D41">
        <w:tc>
          <w:tcPr>
            <w:tcW w:w="709" w:type="dxa"/>
            <w:shd w:val="clear" w:color="auto" w:fill="auto"/>
          </w:tcPr>
          <w:p w14:paraId="478BAE35"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4A6FD92"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13.毒品危害防制條例第三十三條及第三十六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55AAD7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委員謝龍介</w:t>
            </w:r>
          </w:p>
          <w:p w14:paraId="22BDAFD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6210478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259550F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C4F4F9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9AE5C55"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1FB33973" w14:textId="77777777" w:rsidTr="00764D41">
        <w:tc>
          <w:tcPr>
            <w:tcW w:w="709" w:type="dxa"/>
            <w:shd w:val="clear" w:color="auto" w:fill="auto"/>
          </w:tcPr>
          <w:p w14:paraId="644E43C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98A66FC"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14.毒品危害防制條例第三十三條及第三十六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D9D8E8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委員徐富</w:t>
            </w:r>
            <w:proofErr w:type="gramStart"/>
            <w:r w:rsidRPr="001B6E4D">
              <w:rPr>
                <w:rFonts w:ascii="標楷體" w:eastAsia="標楷體" w:hAnsi="標楷體"/>
                <w:color w:val="000000"/>
                <w:kern w:val="0"/>
              </w:rPr>
              <w:t>癸</w:t>
            </w:r>
            <w:proofErr w:type="gramEnd"/>
          </w:p>
          <w:p w14:paraId="6072186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141FF4B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28FB4E7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4BFE2A7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0AFB4AD"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BA9E624" w14:textId="77777777" w:rsidTr="00764D41">
        <w:tc>
          <w:tcPr>
            <w:tcW w:w="709" w:type="dxa"/>
            <w:shd w:val="clear" w:color="auto" w:fill="auto"/>
          </w:tcPr>
          <w:p w14:paraId="39AFBA2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5847D86"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15.毒品危害防制條例第三十三條及第三十六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6D048F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委員林宜瑾</w:t>
            </w:r>
          </w:p>
          <w:p w14:paraId="5F8CB41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等24人</w:t>
            </w:r>
          </w:p>
          <w:p w14:paraId="33E5368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7B6911D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08DF0FB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069F35B"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C1CAB85" w14:textId="77777777" w:rsidTr="00764D41">
        <w:tc>
          <w:tcPr>
            <w:tcW w:w="709" w:type="dxa"/>
            <w:shd w:val="clear" w:color="auto" w:fill="auto"/>
          </w:tcPr>
          <w:p w14:paraId="2FEEC52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60D327D"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16.毒品危害防制條例第三十三</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356EBC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委員吳思瑤</w:t>
            </w:r>
          </w:p>
          <w:p w14:paraId="689F3F2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4047892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13645A0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0BDFA53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DD26941"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190C26C" w14:textId="77777777" w:rsidTr="00764D41">
        <w:tc>
          <w:tcPr>
            <w:tcW w:w="709" w:type="dxa"/>
            <w:shd w:val="clear" w:color="auto" w:fill="auto"/>
          </w:tcPr>
          <w:p w14:paraId="62ECDD0A"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3E8ACAA"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17.毒品危害防制條例第三十三條及第三十六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0034BC0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委員林倩綺</w:t>
            </w:r>
          </w:p>
          <w:p w14:paraId="021EB40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6EEC8B8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3B21B0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2C43A9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D091C56"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8E3F677" w14:textId="77777777" w:rsidTr="00764D41">
        <w:tc>
          <w:tcPr>
            <w:tcW w:w="709" w:type="dxa"/>
            <w:shd w:val="clear" w:color="auto" w:fill="auto"/>
          </w:tcPr>
          <w:p w14:paraId="297F5F09"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66D9FC9"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18.毒品危害防制條例第三十三條及第三十六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069793E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委員吳沛憶</w:t>
            </w:r>
          </w:p>
          <w:p w14:paraId="00112D9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2E0ECBF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08B2A2B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48196B9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241298E"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50D6EE82" w14:textId="77777777" w:rsidTr="00764D41">
        <w:tc>
          <w:tcPr>
            <w:tcW w:w="709" w:type="dxa"/>
            <w:shd w:val="clear" w:color="auto" w:fill="auto"/>
          </w:tcPr>
          <w:p w14:paraId="0C7310D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558F6BF"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19.毒品危害防制條例第三十三</w:t>
            </w:r>
            <w:r w:rsidRPr="001B6E4D">
              <w:rPr>
                <w:rFonts w:ascii="標楷體" w:eastAsia="標楷體" w:hAnsi="標楷體"/>
                <w:color w:val="000000"/>
                <w:kern w:val="0"/>
              </w:rPr>
              <w:lastRenderedPageBreak/>
              <w:t>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0FEC88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委員賴惠員</w:t>
            </w:r>
          </w:p>
          <w:p w14:paraId="3960371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3B2E48D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115.07.14</w:t>
            </w:r>
          </w:p>
          <w:p w14:paraId="79AD57F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0A1576B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478941C"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5217A9A7" w14:textId="77777777" w:rsidTr="00764D41">
        <w:tc>
          <w:tcPr>
            <w:tcW w:w="709" w:type="dxa"/>
            <w:shd w:val="clear" w:color="auto" w:fill="auto"/>
          </w:tcPr>
          <w:p w14:paraId="6088C046"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9452F78"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20.毒品危害防制條例第三十三條及第三十六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E3AF9F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委員吳琪銘</w:t>
            </w:r>
          </w:p>
          <w:p w14:paraId="67945DC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41DFA96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115.07.17</w:t>
            </w:r>
          </w:p>
          <w:p w14:paraId="3C7216F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（11-5-18）</w:t>
            </w:r>
          </w:p>
        </w:tc>
        <w:tc>
          <w:tcPr>
            <w:tcW w:w="1985" w:type="dxa"/>
            <w:vMerge/>
            <w:shd w:val="clear" w:color="auto" w:fill="auto"/>
          </w:tcPr>
          <w:p w14:paraId="7FE850C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E6EF773"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AD0BAF8" w14:textId="77777777" w:rsidTr="00764D41">
        <w:tc>
          <w:tcPr>
            <w:tcW w:w="709" w:type="dxa"/>
            <w:shd w:val="clear" w:color="auto" w:fill="auto"/>
          </w:tcPr>
          <w:p w14:paraId="70D45251"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C66E7C9"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21.毒品危害防制條例第三十三條及第三十六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2D6D55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委員郭昱晴</w:t>
            </w:r>
          </w:p>
          <w:p w14:paraId="76C299A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228EA1D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115.07.17</w:t>
            </w:r>
          </w:p>
          <w:p w14:paraId="54E2C7A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（11-5-18）</w:t>
            </w:r>
          </w:p>
        </w:tc>
        <w:tc>
          <w:tcPr>
            <w:tcW w:w="1985" w:type="dxa"/>
            <w:vMerge/>
            <w:shd w:val="clear" w:color="auto" w:fill="auto"/>
          </w:tcPr>
          <w:p w14:paraId="1B11839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9F22DB9"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C6C8B24" w14:textId="77777777" w:rsidTr="00764D41">
        <w:tc>
          <w:tcPr>
            <w:tcW w:w="709" w:type="dxa"/>
            <w:shd w:val="clear" w:color="auto" w:fill="auto"/>
          </w:tcPr>
          <w:p w14:paraId="24A18EBE"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4EDCFE9"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22.毒品危害防制條例第三十三條及第三十六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24E030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委員許智傑</w:t>
            </w:r>
          </w:p>
          <w:p w14:paraId="55D6CDC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等23人</w:t>
            </w:r>
          </w:p>
          <w:p w14:paraId="2CA21C6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115.07.24</w:t>
            </w:r>
          </w:p>
          <w:p w14:paraId="6228303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（11-5-19）</w:t>
            </w:r>
          </w:p>
        </w:tc>
        <w:tc>
          <w:tcPr>
            <w:tcW w:w="1985" w:type="dxa"/>
            <w:vMerge/>
            <w:shd w:val="clear" w:color="auto" w:fill="auto"/>
          </w:tcPr>
          <w:p w14:paraId="3ACFCDC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1156265"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3DB2CD3" w14:textId="77777777" w:rsidTr="00764D41">
        <w:tc>
          <w:tcPr>
            <w:tcW w:w="709" w:type="dxa"/>
            <w:shd w:val="clear" w:color="auto" w:fill="auto"/>
          </w:tcPr>
          <w:p w14:paraId="2B22C4BD"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FE24646"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23.毒品危害防制條例第三十三條、第三十三條之</w:t>
            </w:r>
            <w:proofErr w:type="gramStart"/>
            <w:r w:rsidRPr="001B6E4D">
              <w:rPr>
                <w:rFonts w:ascii="標楷體" w:eastAsia="標楷體" w:hAnsi="標楷體"/>
                <w:color w:val="000000"/>
                <w:kern w:val="0"/>
              </w:rPr>
              <w:t>一</w:t>
            </w:r>
            <w:proofErr w:type="gramEnd"/>
            <w:r w:rsidRPr="001B6E4D">
              <w:rPr>
                <w:rFonts w:ascii="標楷體" w:eastAsia="標楷體" w:hAnsi="標楷體"/>
                <w:color w:val="000000"/>
                <w:kern w:val="0"/>
              </w:rPr>
              <w:t>及第三十六</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6AECD6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委員翁曉玲</w:t>
            </w:r>
          </w:p>
          <w:p w14:paraId="0B0C0BA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6827772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4D12240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4BFDD24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377BEAF"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724396B" w14:textId="77777777" w:rsidTr="00764D41">
        <w:tc>
          <w:tcPr>
            <w:tcW w:w="709" w:type="dxa"/>
            <w:shd w:val="clear" w:color="auto" w:fill="auto"/>
          </w:tcPr>
          <w:p w14:paraId="0A5347B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7F1E4C8"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5E2AF3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行政院</w:t>
            </w:r>
          </w:p>
          <w:p w14:paraId="746798C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114.12.26</w:t>
            </w:r>
          </w:p>
          <w:p w14:paraId="455E04E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（11-4-15）</w:t>
            </w:r>
          </w:p>
        </w:tc>
        <w:tc>
          <w:tcPr>
            <w:tcW w:w="1985" w:type="dxa"/>
            <w:vMerge w:val="restart"/>
            <w:shd w:val="clear" w:color="auto" w:fill="auto"/>
          </w:tcPr>
          <w:p w14:paraId="0DAE96EE" w14:textId="77777777" w:rsidR="0044170C" w:rsidRPr="001B6E4D" w:rsidRDefault="00BC6372"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司法及法制、</w:t>
            </w:r>
          </w:p>
          <w:p w14:paraId="42EF0BAD" w14:textId="75E92EA0" w:rsidR="00BC6372" w:rsidRPr="001B6E4D" w:rsidRDefault="00BC6372"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外交及國防</w:t>
            </w:r>
          </w:p>
          <w:p w14:paraId="679FCC0E" w14:textId="77777777" w:rsidR="00BC6372" w:rsidRPr="001B6E4D" w:rsidRDefault="00BC6372"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hint="eastAsia"/>
                <w:color w:val="000000"/>
                <w:kern w:val="0"/>
              </w:rPr>
              <w:t>莊召集委員瑞雄</w:t>
            </w:r>
          </w:p>
        </w:tc>
        <w:tc>
          <w:tcPr>
            <w:tcW w:w="1984" w:type="dxa"/>
            <w:vMerge w:val="restart"/>
            <w:shd w:val="clear" w:color="auto" w:fill="auto"/>
          </w:tcPr>
          <w:p w14:paraId="7864179D" w14:textId="77777777" w:rsidR="00BC6372" w:rsidRPr="001B6E4D" w:rsidRDefault="00BC6372"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1.第1-4案</w:t>
            </w:r>
            <w:r w:rsidRPr="001B6E4D">
              <w:rPr>
                <w:rFonts w:ascii="標楷體" w:eastAsia="標楷體" w:hAnsi="標楷體"/>
                <w:color w:val="000000"/>
                <w:kern w:val="0"/>
              </w:rPr>
              <w:br/>
              <w:t>聯席會</w:t>
            </w:r>
            <w:r w:rsidRPr="001B6E4D">
              <w:rPr>
                <w:rFonts w:ascii="標楷體" w:eastAsia="標楷體" w:hAnsi="標楷體"/>
                <w:color w:val="000000"/>
                <w:kern w:val="0"/>
              </w:rPr>
              <w:br/>
              <w:t>115.1.8</w:t>
            </w:r>
            <w:r w:rsidRPr="001B6E4D">
              <w:rPr>
                <w:rFonts w:ascii="標楷體" w:eastAsia="標楷體" w:hAnsi="標楷體"/>
                <w:color w:val="000000"/>
                <w:kern w:val="0"/>
              </w:rPr>
              <w:br/>
              <w:t>(11-4-1)報告及</w:t>
            </w:r>
            <w:proofErr w:type="gramStart"/>
            <w:r w:rsidRPr="001B6E4D">
              <w:rPr>
                <w:rFonts w:ascii="標楷體" w:eastAsia="標楷體" w:hAnsi="標楷體"/>
                <w:color w:val="000000"/>
                <w:kern w:val="0"/>
              </w:rPr>
              <w:t>詢</w:t>
            </w:r>
            <w:proofErr w:type="gramEnd"/>
            <w:r w:rsidRPr="001B6E4D">
              <w:rPr>
                <w:rFonts w:ascii="標楷體" w:eastAsia="標楷體" w:hAnsi="標楷體"/>
                <w:color w:val="000000"/>
                <w:kern w:val="0"/>
              </w:rPr>
              <w:t>答完畢，另定期繼續審查。</w:t>
            </w:r>
          </w:p>
          <w:p w14:paraId="32EADCC5" w14:textId="77777777" w:rsidR="00BC6372" w:rsidRPr="001B6E4D" w:rsidRDefault="00BC6372"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2.第1-10案</w:t>
            </w:r>
            <w:r w:rsidRPr="001B6E4D">
              <w:rPr>
                <w:rFonts w:ascii="標楷體" w:eastAsia="標楷體" w:hAnsi="標楷體"/>
                <w:color w:val="000000"/>
                <w:kern w:val="0"/>
              </w:rPr>
              <w:br/>
            </w:r>
            <w:r w:rsidRPr="001B6E4D">
              <w:rPr>
                <w:rFonts w:ascii="標楷體" w:eastAsia="標楷體" w:hAnsi="標楷體" w:hint="eastAsia"/>
                <w:color w:val="000000"/>
                <w:kern w:val="0"/>
              </w:rPr>
              <w:t>聯席</w:t>
            </w:r>
            <w:r w:rsidRPr="001B6E4D">
              <w:rPr>
                <w:rFonts w:ascii="標楷體" w:eastAsia="標楷體" w:hAnsi="標楷體"/>
                <w:color w:val="000000"/>
                <w:kern w:val="0"/>
              </w:rPr>
              <w:t>會</w:t>
            </w:r>
            <w:r w:rsidRPr="001B6E4D">
              <w:rPr>
                <w:rFonts w:ascii="標楷體" w:eastAsia="標楷體" w:hAnsi="標楷體"/>
                <w:color w:val="000000"/>
                <w:kern w:val="0"/>
              </w:rPr>
              <w:br/>
              <w:t>115.</w:t>
            </w:r>
            <w:r w:rsidRPr="001B6E4D">
              <w:rPr>
                <w:rFonts w:ascii="標楷體" w:eastAsia="標楷體" w:hAnsi="標楷體" w:hint="eastAsia"/>
                <w:color w:val="000000"/>
                <w:kern w:val="0"/>
              </w:rPr>
              <w:t>8</w:t>
            </w:r>
            <w:r w:rsidRPr="001B6E4D">
              <w:rPr>
                <w:rFonts w:ascii="標楷體" w:eastAsia="標楷體" w:hAnsi="標楷體"/>
                <w:color w:val="000000"/>
                <w:kern w:val="0"/>
              </w:rPr>
              <w:t>.</w:t>
            </w:r>
            <w:r w:rsidRPr="001B6E4D">
              <w:rPr>
                <w:rFonts w:ascii="標楷體" w:eastAsia="標楷體" w:hAnsi="標楷體" w:hint="eastAsia"/>
                <w:color w:val="000000"/>
                <w:kern w:val="0"/>
              </w:rPr>
              <w:t>12</w:t>
            </w:r>
            <w:r w:rsidRPr="001B6E4D">
              <w:rPr>
                <w:rFonts w:ascii="標楷體" w:eastAsia="標楷體" w:hAnsi="標楷體"/>
                <w:color w:val="000000"/>
                <w:kern w:val="0"/>
              </w:rPr>
              <w:b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1</w:t>
            </w:r>
            <w:r w:rsidRPr="001B6E4D">
              <w:rPr>
                <w:rFonts w:ascii="標楷體" w:eastAsia="標楷體" w:hAnsi="標楷體"/>
                <w:color w:val="000000"/>
                <w:kern w:val="0"/>
              </w:rPr>
              <w:t>)</w:t>
            </w:r>
            <w:r w:rsidRPr="001B6E4D">
              <w:rPr>
                <w:rFonts w:ascii="標楷體" w:eastAsia="標楷體" w:hAnsi="標楷體" w:hint="eastAsia"/>
                <w:color w:val="000000"/>
                <w:kern w:val="0"/>
              </w:rPr>
              <w:t>審查完竣，須交由黨團協商。</w:t>
            </w:r>
          </w:p>
        </w:tc>
      </w:tr>
      <w:tr w:rsidR="00BC6372" w:rsidRPr="001B6E4D" w14:paraId="59C57C93" w14:textId="77777777" w:rsidTr="00764D41">
        <w:tc>
          <w:tcPr>
            <w:tcW w:w="709" w:type="dxa"/>
            <w:shd w:val="clear" w:color="auto" w:fill="auto"/>
          </w:tcPr>
          <w:p w14:paraId="43BBC57E"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59443EC"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2</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3FE83B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委員林宜瑾</w:t>
            </w:r>
          </w:p>
          <w:p w14:paraId="060FA1D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20C00B3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114.04.25</w:t>
            </w:r>
          </w:p>
          <w:p w14:paraId="027B4EF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（11-3-9）</w:t>
            </w:r>
          </w:p>
        </w:tc>
        <w:tc>
          <w:tcPr>
            <w:tcW w:w="1985" w:type="dxa"/>
            <w:vMerge/>
            <w:shd w:val="clear" w:color="auto" w:fill="auto"/>
          </w:tcPr>
          <w:p w14:paraId="4F90471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D0451DD"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80EF903" w14:textId="77777777" w:rsidTr="00764D41">
        <w:tc>
          <w:tcPr>
            <w:tcW w:w="709" w:type="dxa"/>
            <w:shd w:val="clear" w:color="auto" w:fill="auto"/>
          </w:tcPr>
          <w:p w14:paraId="084905D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4710AC6"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3</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FB744B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委員王定宇</w:t>
            </w:r>
          </w:p>
          <w:p w14:paraId="24D3106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5028C13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114.11.28</w:t>
            </w:r>
          </w:p>
          <w:p w14:paraId="4689429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（11-4-11）</w:t>
            </w:r>
          </w:p>
        </w:tc>
        <w:tc>
          <w:tcPr>
            <w:tcW w:w="1985" w:type="dxa"/>
            <w:vMerge/>
            <w:shd w:val="clear" w:color="auto" w:fill="auto"/>
          </w:tcPr>
          <w:p w14:paraId="1ACD162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8D82BA3"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149C697F" w14:textId="77777777" w:rsidTr="00764D41">
        <w:tc>
          <w:tcPr>
            <w:tcW w:w="709" w:type="dxa"/>
            <w:shd w:val="clear" w:color="auto" w:fill="auto"/>
          </w:tcPr>
          <w:p w14:paraId="6173B809"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F682A35"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4</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A27ED2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委員張雅琳</w:t>
            </w:r>
          </w:p>
          <w:p w14:paraId="78C29A7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5CAD574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114.12.12</w:t>
            </w:r>
          </w:p>
          <w:p w14:paraId="00FAC6C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（11-4-13）</w:t>
            </w:r>
          </w:p>
        </w:tc>
        <w:tc>
          <w:tcPr>
            <w:tcW w:w="1985" w:type="dxa"/>
            <w:vMerge/>
            <w:shd w:val="clear" w:color="auto" w:fill="auto"/>
          </w:tcPr>
          <w:p w14:paraId="2FA823F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078C7F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1F9C243A" w14:textId="77777777" w:rsidTr="00764D41">
        <w:tc>
          <w:tcPr>
            <w:tcW w:w="709" w:type="dxa"/>
            <w:shd w:val="clear" w:color="auto" w:fill="auto"/>
          </w:tcPr>
          <w:p w14:paraId="4F87FA9D"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EA62BD5"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5</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7EC593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委員李坤城</w:t>
            </w:r>
          </w:p>
          <w:p w14:paraId="0126FD0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4FC5C6E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115.01.02</w:t>
            </w:r>
          </w:p>
          <w:p w14:paraId="716CE2E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（11-4-16）</w:t>
            </w:r>
          </w:p>
        </w:tc>
        <w:tc>
          <w:tcPr>
            <w:tcW w:w="1985" w:type="dxa"/>
            <w:vMerge/>
            <w:shd w:val="clear" w:color="auto" w:fill="auto"/>
          </w:tcPr>
          <w:p w14:paraId="794908A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1DD3DE5"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FB4E4A9" w14:textId="77777777" w:rsidTr="00764D41">
        <w:tc>
          <w:tcPr>
            <w:tcW w:w="709" w:type="dxa"/>
            <w:shd w:val="clear" w:color="auto" w:fill="auto"/>
          </w:tcPr>
          <w:p w14:paraId="44269B17"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8189FEB"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6</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03BBB6B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委員陳素月</w:t>
            </w:r>
          </w:p>
          <w:p w14:paraId="535C603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19E5105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115.03.20</w:t>
            </w:r>
          </w:p>
          <w:p w14:paraId="03B120C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（11-5-4）</w:t>
            </w:r>
          </w:p>
        </w:tc>
        <w:tc>
          <w:tcPr>
            <w:tcW w:w="1985" w:type="dxa"/>
            <w:vMerge/>
            <w:shd w:val="clear" w:color="auto" w:fill="auto"/>
          </w:tcPr>
          <w:p w14:paraId="3D42D16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76819DC"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432862C" w14:textId="77777777" w:rsidTr="00764D41">
        <w:tc>
          <w:tcPr>
            <w:tcW w:w="709" w:type="dxa"/>
            <w:shd w:val="clear" w:color="auto" w:fill="auto"/>
          </w:tcPr>
          <w:p w14:paraId="59B51C2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4051E32"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7</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3640F7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委員郭昱晴</w:t>
            </w:r>
          </w:p>
          <w:p w14:paraId="50B26E5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68401A8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115.03.20</w:t>
            </w:r>
          </w:p>
          <w:p w14:paraId="7E47ABB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（11-5-4）</w:t>
            </w:r>
          </w:p>
        </w:tc>
        <w:tc>
          <w:tcPr>
            <w:tcW w:w="1985" w:type="dxa"/>
            <w:vMerge/>
            <w:shd w:val="clear" w:color="auto" w:fill="auto"/>
          </w:tcPr>
          <w:p w14:paraId="1E92E45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44FCB2F"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EAE9796" w14:textId="77777777" w:rsidTr="00764D41">
        <w:tc>
          <w:tcPr>
            <w:tcW w:w="709" w:type="dxa"/>
            <w:shd w:val="clear" w:color="auto" w:fill="auto"/>
          </w:tcPr>
          <w:p w14:paraId="2151ED06"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EFECB0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8</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FBEDEA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委員沈發惠</w:t>
            </w:r>
          </w:p>
          <w:p w14:paraId="0871494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7D13CAE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115.03.27</w:t>
            </w:r>
          </w:p>
          <w:p w14:paraId="7B5CEC8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（11-5-5）</w:t>
            </w:r>
          </w:p>
        </w:tc>
        <w:tc>
          <w:tcPr>
            <w:tcW w:w="1985" w:type="dxa"/>
            <w:vMerge/>
            <w:shd w:val="clear" w:color="auto" w:fill="auto"/>
          </w:tcPr>
          <w:p w14:paraId="36EA7F1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D194D12"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F18046F" w14:textId="77777777" w:rsidTr="00764D41">
        <w:tc>
          <w:tcPr>
            <w:tcW w:w="709" w:type="dxa"/>
            <w:shd w:val="clear" w:color="auto" w:fill="auto"/>
          </w:tcPr>
          <w:p w14:paraId="7AFA2C7B"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A896676"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9</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42CBFC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委員何欣純</w:t>
            </w:r>
          </w:p>
          <w:p w14:paraId="33C5A88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40E02E1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115.04.24</w:t>
            </w:r>
          </w:p>
          <w:p w14:paraId="7354444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（11-5-8）</w:t>
            </w:r>
          </w:p>
        </w:tc>
        <w:tc>
          <w:tcPr>
            <w:tcW w:w="1985" w:type="dxa"/>
            <w:vMerge/>
            <w:shd w:val="clear" w:color="auto" w:fill="auto"/>
          </w:tcPr>
          <w:p w14:paraId="02CB31A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83D9F60"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12E7964A" w14:textId="77777777" w:rsidTr="00764D41">
        <w:tc>
          <w:tcPr>
            <w:tcW w:w="709" w:type="dxa"/>
            <w:shd w:val="clear" w:color="auto" w:fill="auto"/>
          </w:tcPr>
          <w:p w14:paraId="576F1002"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AC5F5F7"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w:t>
            </w:r>
            <w:r w:rsidRPr="001B6E4D">
              <w:rPr>
                <w:rFonts w:ascii="標楷體" w:eastAsia="標楷體" w:hAnsi="標楷體" w:hint="eastAsia"/>
                <w:color w:val="000000"/>
                <w:kern w:val="0"/>
              </w:rPr>
              <w:t>0</w:t>
            </w:r>
            <w:r w:rsidRPr="001B6E4D">
              <w:rPr>
                <w:rFonts w:ascii="標楷體" w:eastAsia="標楷體" w:hAnsi="標楷體"/>
                <w:color w:val="000000"/>
                <w:kern w:val="0"/>
              </w:rPr>
              <w:t>.陸海空軍刑法第二十四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779EB6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委員陳冠廷</w:t>
            </w:r>
          </w:p>
          <w:p w14:paraId="1B47E29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2FCCD2E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115.07.24</w:t>
            </w:r>
          </w:p>
          <w:p w14:paraId="5FC316F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（11-5-19）</w:t>
            </w:r>
          </w:p>
        </w:tc>
        <w:tc>
          <w:tcPr>
            <w:tcW w:w="1985" w:type="dxa"/>
            <w:vMerge/>
            <w:shd w:val="clear" w:color="auto" w:fill="auto"/>
          </w:tcPr>
          <w:p w14:paraId="5A5607E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1793B60"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50C06510" w14:textId="77777777" w:rsidTr="00764D41">
        <w:tc>
          <w:tcPr>
            <w:tcW w:w="709" w:type="dxa"/>
            <w:shd w:val="clear" w:color="auto" w:fill="auto"/>
          </w:tcPr>
          <w:p w14:paraId="597D4223"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55F2DD4"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F6DF42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行政院</w:t>
            </w:r>
          </w:p>
          <w:p w14:paraId="583D849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4B13922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val="restart"/>
            <w:shd w:val="clear" w:color="auto" w:fill="auto"/>
          </w:tcPr>
          <w:p w14:paraId="15EB109E" w14:textId="77777777" w:rsidR="0044170C" w:rsidRPr="001B6E4D" w:rsidRDefault="00BC6372"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司法及法制、</w:t>
            </w:r>
          </w:p>
          <w:p w14:paraId="48DBD0F1" w14:textId="1BEAB33E" w:rsidR="00BC6372" w:rsidRPr="001B6E4D" w:rsidRDefault="00BC6372"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color w:val="000000"/>
                <w:kern w:val="0"/>
              </w:rPr>
              <w:t>外交及國防</w:t>
            </w:r>
          </w:p>
          <w:p w14:paraId="33EB8C69" w14:textId="77777777" w:rsidR="00BC6372" w:rsidRPr="001B6E4D" w:rsidRDefault="00BC6372" w:rsidP="003D1018">
            <w:pPr>
              <w:widowControl w:val="0"/>
              <w:overflowPunct w:val="0"/>
              <w:spacing w:line="300" w:lineRule="exact"/>
              <w:rPr>
                <w:rFonts w:ascii="標楷體" w:eastAsia="標楷體" w:hAnsi="標楷體"/>
                <w:color w:val="000000"/>
                <w:kern w:val="0"/>
              </w:rPr>
            </w:pPr>
            <w:r w:rsidRPr="001B6E4D">
              <w:rPr>
                <w:rFonts w:ascii="標楷體" w:eastAsia="標楷體" w:hAnsi="標楷體" w:hint="eastAsia"/>
                <w:color w:val="000000"/>
                <w:kern w:val="0"/>
              </w:rPr>
              <w:t>莊召集委員瑞雄</w:t>
            </w:r>
          </w:p>
        </w:tc>
        <w:tc>
          <w:tcPr>
            <w:tcW w:w="1984" w:type="dxa"/>
            <w:vMerge w:val="restart"/>
            <w:shd w:val="clear" w:color="auto" w:fill="auto"/>
          </w:tcPr>
          <w:p w14:paraId="6E767055"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聯席</w:t>
            </w:r>
            <w:r w:rsidRPr="001B6E4D">
              <w:rPr>
                <w:rFonts w:ascii="標楷體" w:eastAsia="標楷體" w:hAnsi="標楷體"/>
                <w:color w:val="000000"/>
                <w:kern w:val="0"/>
              </w:rPr>
              <w:t>會</w:t>
            </w:r>
            <w:r w:rsidRPr="001B6E4D">
              <w:rPr>
                <w:rFonts w:ascii="標楷體" w:eastAsia="標楷體" w:hAnsi="標楷體"/>
                <w:color w:val="000000"/>
                <w:kern w:val="0"/>
              </w:rPr>
              <w:br/>
              <w:t>115.</w:t>
            </w:r>
            <w:r w:rsidRPr="001B6E4D">
              <w:rPr>
                <w:rFonts w:ascii="標楷體" w:eastAsia="標楷體" w:hAnsi="標楷體" w:hint="eastAsia"/>
                <w:color w:val="000000"/>
                <w:kern w:val="0"/>
              </w:rPr>
              <w:t>8</w:t>
            </w:r>
            <w:r w:rsidRPr="001B6E4D">
              <w:rPr>
                <w:rFonts w:ascii="標楷體" w:eastAsia="標楷體" w:hAnsi="標楷體"/>
                <w:color w:val="000000"/>
                <w:kern w:val="0"/>
              </w:rPr>
              <w:t>.</w:t>
            </w:r>
            <w:r w:rsidRPr="001B6E4D">
              <w:rPr>
                <w:rFonts w:ascii="標楷體" w:eastAsia="標楷體" w:hAnsi="標楷體" w:hint="eastAsia"/>
                <w:color w:val="000000"/>
                <w:kern w:val="0"/>
              </w:rPr>
              <w:t>12</w:t>
            </w:r>
            <w:r w:rsidRPr="001B6E4D">
              <w:rPr>
                <w:rFonts w:ascii="標楷體" w:eastAsia="標楷體" w:hAnsi="標楷體"/>
                <w:color w:val="000000"/>
                <w:kern w:val="0"/>
              </w:rPr>
              <w:b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1</w:t>
            </w:r>
            <w:r w:rsidRPr="001B6E4D">
              <w:rPr>
                <w:rFonts w:ascii="標楷體" w:eastAsia="標楷體" w:hAnsi="標楷體"/>
                <w:color w:val="000000"/>
                <w:kern w:val="0"/>
              </w:rPr>
              <w:t>)</w:t>
            </w:r>
            <w:r w:rsidRPr="001B6E4D">
              <w:rPr>
                <w:rFonts w:ascii="標楷體" w:eastAsia="標楷體" w:hAnsi="標楷體" w:hint="eastAsia"/>
                <w:color w:val="000000"/>
                <w:kern w:val="0"/>
              </w:rPr>
              <w:t>審查完竣，須交由黨團協商。</w:t>
            </w:r>
          </w:p>
        </w:tc>
      </w:tr>
      <w:tr w:rsidR="00BC6372" w:rsidRPr="001B6E4D" w14:paraId="791ED7F2" w14:textId="77777777" w:rsidTr="00764D41">
        <w:tc>
          <w:tcPr>
            <w:tcW w:w="709" w:type="dxa"/>
            <w:shd w:val="clear" w:color="auto" w:fill="auto"/>
          </w:tcPr>
          <w:p w14:paraId="7FF1FE23"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1AF711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2913F7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委員黃秀芳</w:t>
            </w:r>
          </w:p>
          <w:p w14:paraId="593C8B1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02B1513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115.05.22</w:t>
            </w:r>
          </w:p>
          <w:p w14:paraId="6786877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（11-5-11）</w:t>
            </w:r>
          </w:p>
        </w:tc>
        <w:tc>
          <w:tcPr>
            <w:tcW w:w="1985" w:type="dxa"/>
            <w:vMerge/>
            <w:shd w:val="clear" w:color="auto" w:fill="auto"/>
          </w:tcPr>
          <w:p w14:paraId="2F07FF8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0E2D554"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C95A3AF" w14:textId="77777777" w:rsidTr="00764D41">
        <w:tc>
          <w:tcPr>
            <w:tcW w:w="709" w:type="dxa"/>
            <w:shd w:val="clear" w:color="auto" w:fill="auto"/>
          </w:tcPr>
          <w:p w14:paraId="2F4F565A"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1B082DB"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B98BBF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委員王義川</w:t>
            </w:r>
          </w:p>
          <w:p w14:paraId="6D6FB33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713C3A6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115.06.12</w:t>
            </w:r>
          </w:p>
          <w:p w14:paraId="2E9A267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（11-5-14）</w:t>
            </w:r>
          </w:p>
        </w:tc>
        <w:tc>
          <w:tcPr>
            <w:tcW w:w="1985" w:type="dxa"/>
            <w:vMerge/>
            <w:shd w:val="clear" w:color="auto" w:fill="auto"/>
          </w:tcPr>
          <w:p w14:paraId="6AC265F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ECF950B"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667BC12" w14:textId="77777777" w:rsidTr="00764D41">
        <w:tc>
          <w:tcPr>
            <w:tcW w:w="709" w:type="dxa"/>
            <w:shd w:val="clear" w:color="auto" w:fill="auto"/>
          </w:tcPr>
          <w:p w14:paraId="53B53E8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B2B8ABD"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4.陸海空軍刑法第五十四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0076777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委員林淑芬</w:t>
            </w:r>
          </w:p>
          <w:p w14:paraId="5BD2AF9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等26人</w:t>
            </w:r>
          </w:p>
          <w:p w14:paraId="3CA6B14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115.06.26</w:t>
            </w:r>
          </w:p>
          <w:p w14:paraId="61ED024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（11-5-15）</w:t>
            </w:r>
          </w:p>
        </w:tc>
        <w:tc>
          <w:tcPr>
            <w:tcW w:w="1985" w:type="dxa"/>
            <w:vMerge/>
            <w:shd w:val="clear" w:color="auto" w:fill="auto"/>
          </w:tcPr>
          <w:p w14:paraId="5C7C80A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F608F5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1675327" w14:textId="77777777" w:rsidTr="00764D41">
        <w:tc>
          <w:tcPr>
            <w:tcW w:w="709" w:type="dxa"/>
            <w:shd w:val="clear" w:color="auto" w:fill="auto"/>
          </w:tcPr>
          <w:p w14:paraId="74A6D29B"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EEA7CDE"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5.陸海空軍刑法第五十四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4C5348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委員羅智強</w:t>
            </w:r>
          </w:p>
          <w:p w14:paraId="5C7CFDC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421F9F5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5231B33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57B5053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6951C30"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5608B233" w14:textId="77777777" w:rsidTr="00764D41">
        <w:tc>
          <w:tcPr>
            <w:tcW w:w="709" w:type="dxa"/>
            <w:shd w:val="clear" w:color="auto" w:fill="auto"/>
          </w:tcPr>
          <w:p w14:paraId="63EDC05B"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32F93DF3"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6.陸海空軍刑法第五十四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ECA536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委員郭昱晴</w:t>
            </w:r>
          </w:p>
          <w:p w14:paraId="52EEF5E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345D7EE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01DB57A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56BDE6A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E455CDF"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5B07FAE" w14:textId="77777777" w:rsidTr="00764D41">
        <w:tc>
          <w:tcPr>
            <w:tcW w:w="709" w:type="dxa"/>
            <w:shd w:val="clear" w:color="auto" w:fill="auto"/>
          </w:tcPr>
          <w:p w14:paraId="26A92A8B"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2D1CC12"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7.陸海空軍刑法第五十四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058EA38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委員林倩綺</w:t>
            </w:r>
          </w:p>
          <w:p w14:paraId="4C238B5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AA47B2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6314F05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35541DE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70C15E2"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5B342C51" w14:textId="77777777" w:rsidTr="00764D41">
        <w:tc>
          <w:tcPr>
            <w:tcW w:w="709" w:type="dxa"/>
            <w:shd w:val="clear" w:color="auto" w:fill="auto"/>
          </w:tcPr>
          <w:p w14:paraId="7F1F045C"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3F7289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8.陸海空軍刑法第五十四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BDC394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委員李彥秀</w:t>
            </w:r>
          </w:p>
          <w:p w14:paraId="6A8E93F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7ACF3A8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7B05380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1243C02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4C2FA75B"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4B508008" w14:textId="77777777" w:rsidTr="00764D41">
        <w:tc>
          <w:tcPr>
            <w:tcW w:w="709" w:type="dxa"/>
            <w:shd w:val="clear" w:color="auto" w:fill="auto"/>
          </w:tcPr>
          <w:p w14:paraId="7B950C98"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0111603"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9.陸海空軍刑法</w:t>
            </w:r>
            <w:r w:rsidRPr="001B6E4D">
              <w:rPr>
                <w:rFonts w:ascii="標楷體" w:eastAsia="標楷體" w:hAnsi="標楷體"/>
                <w:color w:val="000000"/>
                <w:kern w:val="0"/>
              </w:rPr>
              <w:lastRenderedPageBreak/>
              <w:t>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A862F0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委員許宇</w:t>
            </w:r>
            <w:proofErr w:type="gramStart"/>
            <w:r w:rsidRPr="001B6E4D">
              <w:rPr>
                <w:rFonts w:ascii="標楷體" w:eastAsia="標楷體" w:hAnsi="標楷體"/>
                <w:color w:val="000000"/>
                <w:kern w:val="0"/>
              </w:rPr>
              <w:t>甄</w:t>
            </w:r>
            <w:proofErr w:type="gramEnd"/>
          </w:p>
          <w:p w14:paraId="18C80E3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lastRenderedPageBreak/>
              <w:t>等22人</w:t>
            </w:r>
          </w:p>
          <w:p w14:paraId="4DD7386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549C16D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032447B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1E0E226"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5414CB85" w14:textId="77777777" w:rsidTr="00764D41">
        <w:tc>
          <w:tcPr>
            <w:tcW w:w="709" w:type="dxa"/>
            <w:shd w:val="clear" w:color="auto" w:fill="auto"/>
          </w:tcPr>
          <w:p w14:paraId="6A4C9489"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6EB3F9D"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10.陸海空軍刑法第五十四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9F4167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委員萬美玲</w:t>
            </w:r>
          </w:p>
          <w:p w14:paraId="040EC86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462B8E0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0FF3B41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135106F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684EA14"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065E121" w14:textId="77777777" w:rsidTr="00764D41">
        <w:tc>
          <w:tcPr>
            <w:tcW w:w="709" w:type="dxa"/>
            <w:shd w:val="clear" w:color="auto" w:fill="auto"/>
          </w:tcPr>
          <w:p w14:paraId="3CD08761"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6E67AD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11.陸海空軍刑法第五十四條及第五十四條之</w:t>
            </w:r>
            <w:proofErr w:type="gramStart"/>
            <w:r w:rsidRPr="001B6E4D">
              <w:rPr>
                <w:rFonts w:ascii="標楷體" w:eastAsia="標楷體" w:hAnsi="標楷體"/>
                <w:color w:val="000000"/>
                <w:kern w:val="0"/>
              </w:rPr>
              <w:t>一</w:t>
            </w:r>
            <w:proofErr w:type="gramEnd"/>
            <w:r w:rsidRPr="001B6E4D">
              <w:rPr>
                <w:rFonts w:ascii="標楷體" w:eastAsia="標楷體" w:hAnsi="標楷體"/>
                <w:color w:val="000000"/>
                <w:kern w:val="0"/>
              </w:rPr>
              <w:t>條文修正草案</w:t>
            </w:r>
          </w:p>
        </w:tc>
        <w:tc>
          <w:tcPr>
            <w:tcW w:w="1918" w:type="dxa"/>
            <w:shd w:val="clear" w:color="auto" w:fill="auto"/>
          </w:tcPr>
          <w:p w14:paraId="730270F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委員張宏陸</w:t>
            </w:r>
          </w:p>
          <w:p w14:paraId="3FB40FF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79D6448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2C101DA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014D65A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1141B26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FF47702" w14:textId="77777777" w:rsidTr="00764D41">
        <w:tc>
          <w:tcPr>
            <w:tcW w:w="709" w:type="dxa"/>
            <w:shd w:val="clear" w:color="auto" w:fill="auto"/>
          </w:tcPr>
          <w:p w14:paraId="7F7A6771"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5DF684E"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12.陸海空軍刑法第五十四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36B1392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委員林楚</w:t>
            </w:r>
            <w:proofErr w:type="gramStart"/>
            <w:r w:rsidRPr="001B6E4D">
              <w:rPr>
                <w:rFonts w:ascii="標楷體" w:eastAsia="標楷體" w:hAnsi="標楷體"/>
                <w:color w:val="000000"/>
                <w:kern w:val="0"/>
              </w:rPr>
              <w:t>茵</w:t>
            </w:r>
            <w:proofErr w:type="gramEnd"/>
          </w:p>
          <w:p w14:paraId="47EA453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016E23B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795D5AC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0D6F833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A08D58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4910F2A" w14:textId="77777777" w:rsidTr="00764D41">
        <w:tc>
          <w:tcPr>
            <w:tcW w:w="709" w:type="dxa"/>
            <w:shd w:val="clear" w:color="auto" w:fill="auto"/>
          </w:tcPr>
          <w:p w14:paraId="30864ED6"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B8B29AE"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13.陸海空軍刑法第五十四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4CACC0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委員羅美玲</w:t>
            </w:r>
          </w:p>
          <w:p w14:paraId="430318B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等16人</w:t>
            </w:r>
          </w:p>
          <w:p w14:paraId="68D8FAD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671B6DA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2249B8C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1430E8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5AA9E0F" w14:textId="77777777" w:rsidTr="00764D41">
        <w:tc>
          <w:tcPr>
            <w:tcW w:w="709" w:type="dxa"/>
            <w:shd w:val="clear" w:color="auto" w:fill="auto"/>
          </w:tcPr>
          <w:p w14:paraId="4BFF61A0"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1F511246"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14.陸海空軍刑法第五十四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0436C52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委員陳培瑜</w:t>
            </w:r>
          </w:p>
          <w:p w14:paraId="4436F63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0B91400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115.07.03</w:t>
            </w:r>
          </w:p>
          <w:p w14:paraId="5E530DE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（11-5-16）</w:t>
            </w:r>
          </w:p>
        </w:tc>
        <w:tc>
          <w:tcPr>
            <w:tcW w:w="1985" w:type="dxa"/>
            <w:vMerge/>
            <w:shd w:val="clear" w:color="auto" w:fill="auto"/>
          </w:tcPr>
          <w:p w14:paraId="33497FA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5B32BF8"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0F94746" w14:textId="77777777" w:rsidTr="00764D41">
        <w:tc>
          <w:tcPr>
            <w:tcW w:w="709" w:type="dxa"/>
            <w:shd w:val="clear" w:color="auto" w:fill="auto"/>
          </w:tcPr>
          <w:p w14:paraId="5D7EA4E7"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5E890AA2"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15.陸海空軍刑法第五十四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A69C51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委員伍麗華</w:t>
            </w:r>
          </w:p>
          <w:p w14:paraId="56BACDD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Saidhai</w:t>
            </w:r>
            <w:proofErr w:type="spellEnd"/>
            <w:r w:rsidRPr="001B6E4D">
              <w:rPr>
                <w:rFonts w:ascii="標楷體" w:eastAsia="標楷體" w:hAnsi="標楷體"/>
                <w:color w:val="000000"/>
                <w:kern w:val="0"/>
              </w:rPr>
              <w:t>‧</w:t>
            </w:r>
          </w:p>
          <w:p w14:paraId="5777535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color w:val="000000"/>
                <w:kern w:val="0"/>
              </w:rPr>
              <w:t>Tahovecahe</w:t>
            </w:r>
            <w:proofErr w:type="spellEnd"/>
          </w:p>
          <w:p w14:paraId="17C5578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08BC640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3E558BE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72E3E07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B276277"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68855E6C" w14:textId="77777777" w:rsidTr="00764D41">
        <w:tc>
          <w:tcPr>
            <w:tcW w:w="709" w:type="dxa"/>
            <w:shd w:val="clear" w:color="auto" w:fill="auto"/>
          </w:tcPr>
          <w:p w14:paraId="16300C51"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C5548A1"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16.陸海空軍刑法第五十四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ED0341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委員徐富</w:t>
            </w:r>
            <w:proofErr w:type="gramStart"/>
            <w:r w:rsidRPr="001B6E4D">
              <w:rPr>
                <w:rFonts w:ascii="標楷體" w:eastAsia="標楷體" w:hAnsi="標楷體"/>
                <w:color w:val="000000"/>
                <w:kern w:val="0"/>
              </w:rPr>
              <w:t>癸</w:t>
            </w:r>
            <w:proofErr w:type="gramEnd"/>
          </w:p>
          <w:p w14:paraId="146B038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68738CF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33F4A72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4BBDED9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051ADCC"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FBDD8F8" w14:textId="77777777" w:rsidTr="00764D41">
        <w:tc>
          <w:tcPr>
            <w:tcW w:w="709" w:type="dxa"/>
            <w:shd w:val="clear" w:color="auto" w:fill="auto"/>
          </w:tcPr>
          <w:p w14:paraId="5F8443FA"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030B97D"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17.陸海空軍刑法第五十四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1848F14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委員何欣純</w:t>
            </w:r>
          </w:p>
          <w:p w14:paraId="415D678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375A1A29"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16AA687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22777C3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5CE45C82"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8C67DC9" w14:textId="77777777" w:rsidTr="00764D41">
        <w:tc>
          <w:tcPr>
            <w:tcW w:w="709" w:type="dxa"/>
            <w:shd w:val="clear" w:color="auto" w:fill="auto"/>
          </w:tcPr>
          <w:p w14:paraId="71397197"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3C7A358"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18.陸海空軍刑法第五十四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5CD2399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委員林宜瑾</w:t>
            </w:r>
          </w:p>
          <w:p w14:paraId="07F9234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等25人</w:t>
            </w:r>
          </w:p>
          <w:p w14:paraId="7BCB8CE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4AE9242D"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D1DBD4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8F2E1A0"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74364B93" w14:textId="77777777" w:rsidTr="00764D41">
        <w:tc>
          <w:tcPr>
            <w:tcW w:w="709" w:type="dxa"/>
            <w:shd w:val="clear" w:color="auto" w:fill="auto"/>
          </w:tcPr>
          <w:p w14:paraId="41D44683"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07A1D5CD"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19.陸海空軍刑法第五十四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693D48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委員羅廷</w:t>
            </w:r>
            <w:proofErr w:type="gramStart"/>
            <w:r w:rsidRPr="001B6E4D">
              <w:rPr>
                <w:rFonts w:ascii="標楷體" w:eastAsia="標楷體" w:hAnsi="標楷體"/>
                <w:color w:val="000000"/>
                <w:kern w:val="0"/>
              </w:rPr>
              <w:t>瑋</w:t>
            </w:r>
            <w:proofErr w:type="gramEnd"/>
          </w:p>
          <w:p w14:paraId="504CAAE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2844A5A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6C92B8D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53C95E5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6F358B84"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4BD4F196" w14:textId="77777777" w:rsidTr="00764D41">
        <w:tc>
          <w:tcPr>
            <w:tcW w:w="709" w:type="dxa"/>
            <w:shd w:val="clear" w:color="auto" w:fill="auto"/>
          </w:tcPr>
          <w:p w14:paraId="61FE33B9"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70131AA5"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20.陸海空軍刑法第五十四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7F20F0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委員廖偉翔</w:t>
            </w:r>
          </w:p>
          <w:p w14:paraId="0C362B9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15325F3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487AF53A"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301E99C6"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0FE0365"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1A3C8968" w14:textId="77777777" w:rsidTr="00764D41">
        <w:tc>
          <w:tcPr>
            <w:tcW w:w="709" w:type="dxa"/>
            <w:shd w:val="clear" w:color="auto" w:fill="auto"/>
          </w:tcPr>
          <w:p w14:paraId="4344F4AA"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76AEA2F"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21.陸海空軍刑法第五十四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BA6F16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委員吳沛憶</w:t>
            </w:r>
          </w:p>
          <w:p w14:paraId="7E87DE9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等19人</w:t>
            </w:r>
          </w:p>
          <w:p w14:paraId="3D72857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6D762A5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944750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024B34FD"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0FA8205B" w14:textId="77777777" w:rsidTr="00764D41">
        <w:tc>
          <w:tcPr>
            <w:tcW w:w="709" w:type="dxa"/>
            <w:shd w:val="clear" w:color="auto" w:fill="auto"/>
          </w:tcPr>
          <w:p w14:paraId="1F7016CE"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A2793E9"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22.陸海空軍刑法第五十四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4B621887"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委員賴惠員</w:t>
            </w:r>
          </w:p>
          <w:p w14:paraId="0D53C67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61F096E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115.07.14</w:t>
            </w:r>
          </w:p>
          <w:p w14:paraId="65D9B1B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（11-5-17）</w:t>
            </w:r>
          </w:p>
        </w:tc>
        <w:tc>
          <w:tcPr>
            <w:tcW w:w="1985" w:type="dxa"/>
            <w:vMerge/>
            <w:shd w:val="clear" w:color="auto" w:fill="auto"/>
          </w:tcPr>
          <w:p w14:paraId="6B83DA9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3C652779"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54D08CC5" w14:textId="77777777" w:rsidTr="00764D41">
        <w:tc>
          <w:tcPr>
            <w:tcW w:w="709" w:type="dxa"/>
            <w:shd w:val="clear" w:color="auto" w:fill="auto"/>
          </w:tcPr>
          <w:p w14:paraId="3FEDFCE7"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280C0C73"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23.陸海空軍刑法第五十四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71466C2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委員徐巧芯</w:t>
            </w:r>
          </w:p>
          <w:p w14:paraId="35AFB583"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30D335FC"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115.07.24</w:t>
            </w:r>
          </w:p>
          <w:p w14:paraId="31CAE4C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（11-5-19）</w:t>
            </w:r>
          </w:p>
        </w:tc>
        <w:tc>
          <w:tcPr>
            <w:tcW w:w="1985" w:type="dxa"/>
            <w:vMerge/>
            <w:shd w:val="clear" w:color="auto" w:fill="auto"/>
          </w:tcPr>
          <w:p w14:paraId="4FB6A2A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C8A6850"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3F2BC4DA" w14:textId="77777777" w:rsidTr="00764D41">
        <w:tc>
          <w:tcPr>
            <w:tcW w:w="709" w:type="dxa"/>
            <w:shd w:val="clear" w:color="auto" w:fill="auto"/>
          </w:tcPr>
          <w:p w14:paraId="5FB534E3"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45BAC1B4"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24.陸海空軍刑法第五十四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28A5FD0B"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委員葉元之</w:t>
            </w:r>
          </w:p>
          <w:p w14:paraId="02E962F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等18人</w:t>
            </w:r>
          </w:p>
          <w:p w14:paraId="4E877580"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115.07.24</w:t>
            </w:r>
          </w:p>
          <w:p w14:paraId="3DB3976E"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（11-5-19）</w:t>
            </w:r>
          </w:p>
        </w:tc>
        <w:tc>
          <w:tcPr>
            <w:tcW w:w="1985" w:type="dxa"/>
            <w:vMerge/>
            <w:shd w:val="clear" w:color="auto" w:fill="auto"/>
          </w:tcPr>
          <w:p w14:paraId="2DC51EF8"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7E41D8EC"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r w:rsidR="00BC6372" w:rsidRPr="001B6E4D" w14:paraId="2803E80D" w14:textId="77777777" w:rsidTr="00764D41">
        <w:tc>
          <w:tcPr>
            <w:tcW w:w="709" w:type="dxa"/>
            <w:shd w:val="clear" w:color="auto" w:fill="auto"/>
          </w:tcPr>
          <w:p w14:paraId="0D2BC76D" w14:textId="77777777" w:rsidR="00BC6372" w:rsidRPr="001B6E4D" w:rsidRDefault="00BC6372" w:rsidP="003D1018">
            <w:pPr>
              <w:widowControl w:val="0"/>
              <w:numPr>
                <w:ilvl w:val="0"/>
                <w:numId w:val="28"/>
              </w:numPr>
              <w:overflowPunct w:val="0"/>
              <w:jc w:val="center"/>
              <w:rPr>
                <w:rFonts w:ascii="標楷體" w:eastAsia="標楷體" w:hAnsi="標楷體" w:cs="新細明體"/>
                <w:color w:val="000000"/>
                <w:szCs w:val="22"/>
              </w:rPr>
            </w:pPr>
          </w:p>
        </w:tc>
        <w:tc>
          <w:tcPr>
            <w:tcW w:w="1909" w:type="dxa"/>
            <w:shd w:val="clear" w:color="auto" w:fill="auto"/>
          </w:tcPr>
          <w:p w14:paraId="638E471C" w14:textId="77777777" w:rsidR="00BC6372" w:rsidRPr="001B6E4D" w:rsidRDefault="00BC6372"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25.陸海空軍刑法第五十四</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shd w:val="clear" w:color="auto" w:fill="auto"/>
          </w:tcPr>
          <w:p w14:paraId="644AE4F2"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委員</w:t>
            </w:r>
            <w:proofErr w:type="gramStart"/>
            <w:r w:rsidRPr="001B6E4D">
              <w:rPr>
                <w:rFonts w:ascii="標楷體" w:eastAsia="標楷體" w:hAnsi="標楷體"/>
                <w:color w:val="000000"/>
                <w:kern w:val="0"/>
              </w:rPr>
              <w:t>范</w:t>
            </w:r>
            <w:proofErr w:type="gramEnd"/>
            <w:r w:rsidRPr="001B6E4D">
              <w:rPr>
                <w:rFonts w:ascii="標楷體" w:eastAsia="標楷體" w:hAnsi="標楷體"/>
                <w:color w:val="000000"/>
                <w:kern w:val="0"/>
              </w:rPr>
              <w:t>雲</w:t>
            </w:r>
          </w:p>
          <w:p w14:paraId="283E07B5"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等17人</w:t>
            </w:r>
          </w:p>
          <w:p w14:paraId="6EBA84E4"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115.07.31</w:t>
            </w:r>
          </w:p>
          <w:p w14:paraId="04890C61"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（11-5-20）</w:t>
            </w:r>
          </w:p>
        </w:tc>
        <w:tc>
          <w:tcPr>
            <w:tcW w:w="1985" w:type="dxa"/>
            <w:vMerge/>
            <w:shd w:val="clear" w:color="auto" w:fill="auto"/>
          </w:tcPr>
          <w:p w14:paraId="18AC87EF" w14:textId="77777777" w:rsidR="00BC6372" w:rsidRPr="001B6E4D" w:rsidRDefault="00BC6372" w:rsidP="003D1018">
            <w:pPr>
              <w:widowControl w:val="0"/>
              <w:kinsoku w:val="0"/>
              <w:overflowPunct w:val="0"/>
              <w:topLinePunct/>
              <w:spacing w:line="300" w:lineRule="exact"/>
              <w:rPr>
                <w:rFonts w:ascii="標楷體" w:eastAsia="標楷體" w:hAnsi="標楷體"/>
                <w:color w:val="000000"/>
                <w:kern w:val="0"/>
              </w:rPr>
            </w:pPr>
          </w:p>
        </w:tc>
        <w:tc>
          <w:tcPr>
            <w:tcW w:w="1984" w:type="dxa"/>
            <w:vMerge/>
            <w:shd w:val="clear" w:color="auto" w:fill="auto"/>
          </w:tcPr>
          <w:p w14:paraId="2DE7931F" w14:textId="77777777" w:rsidR="00BC6372" w:rsidRPr="001B6E4D" w:rsidRDefault="00BC6372" w:rsidP="003D1018">
            <w:pPr>
              <w:widowControl w:val="0"/>
              <w:kinsoku w:val="0"/>
              <w:overflowPunct w:val="0"/>
              <w:adjustRightInd w:val="0"/>
              <w:snapToGrid w:val="0"/>
              <w:spacing w:line="300" w:lineRule="exact"/>
              <w:jc w:val="both"/>
              <w:rPr>
                <w:rFonts w:ascii="標楷體" w:eastAsia="標楷體" w:hAnsi="標楷體"/>
                <w:color w:val="000000"/>
                <w:kern w:val="0"/>
              </w:rPr>
            </w:pPr>
          </w:p>
        </w:tc>
      </w:tr>
    </w:tbl>
    <w:p w14:paraId="4E886164" w14:textId="33109C6A" w:rsidR="002664B9" w:rsidRPr="001B6E4D" w:rsidRDefault="002664B9"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186" w:name="_Toc240446540"/>
      <w:bookmarkEnd w:id="180"/>
      <w:bookmarkEnd w:id="181"/>
      <w:bookmarkEnd w:id="182"/>
      <w:bookmarkEnd w:id="183"/>
      <w:bookmarkEnd w:id="184"/>
      <w:r w:rsidRPr="001B6E4D">
        <w:rPr>
          <w:rFonts w:ascii="標楷體" w:hAnsi="標楷體" w:hint="eastAsia"/>
          <w:color w:val="000000" w:themeColor="text1"/>
          <w:szCs w:val="28"/>
          <w:shd w:val="clear" w:color="auto" w:fill="FFFFFF" w:themeFill="background1"/>
        </w:rPr>
        <w:t>［貳］</w:t>
      </w:r>
      <w:r w:rsidRPr="001B6E4D">
        <w:rPr>
          <w:rFonts w:ascii="標楷體" w:hAnsi="標楷體"/>
          <w:color w:val="000000" w:themeColor="text1"/>
          <w:szCs w:val="28"/>
          <w:shd w:val="clear" w:color="auto" w:fill="FFFFFF" w:themeFill="background1"/>
        </w:rPr>
        <w:t>預</w:t>
      </w:r>
      <w:r w:rsidRPr="001B6E4D">
        <w:rPr>
          <w:rFonts w:ascii="標楷體" w:hAnsi="標楷體" w:hint="eastAsia"/>
          <w:color w:val="000000" w:themeColor="text1"/>
          <w:szCs w:val="28"/>
          <w:shd w:val="clear" w:color="auto" w:fill="FFFFFF" w:themeFill="background1"/>
        </w:rPr>
        <w:t>（</w:t>
      </w:r>
      <w:r w:rsidRPr="001B6E4D">
        <w:rPr>
          <w:rFonts w:ascii="標楷體" w:hAnsi="標楷體"/>
          <w:color w:val="000000" w:themeColor="text1"/>
          <w:szCs w:val="28"/>
          <w:shd w:val="clear" w:color="auto" w:fill="FFFFFF" w:themeFill="background1"/>
        </w:rPr>
        <w:t>決</w:t>
      </w:r>
      <w:r w:rsidRPr="001B6E4D">
        <w:rPr>
          <w:rFonts w:ascii="標楷體" w:hAnsi="標楷體" w:hint="eastAsia"/>
          <w:color w:val="000000" w:themeColor="text1"/>
          <w:szCs w:val="28"/>
          <w:shd w:val="clear" w:color="auto" w:fill="FFFFFF" w:themeFill="background1"/>
        </w:rPr>
        <w:t>）</w:t>
      </w:r>
      <w:r w:rsidRPr="001B6E4D">
        <w:rPr>
          <w:rFonts w:ascii="標楷體" w:hAnsi="標楷體"/>
          <w:color w:val="000000" w:themeColor="text1"/>
          <w:szCs w:val="28"/>
          <w:shd w:val="clear" w:color="auto" w:fill="FFFFFF" w:themeFill="background1"/>
        </w:rPr>
        <w:t>算案</w:t>
      </w:r>
      <w:r w:rsidR="00114D45" w:rsidRPr="001B6E4D">
        <w:rPr>
          <w:rFonts w:ascii="標楷體" w:hAnsi="標楷體" w:hint="eastAsia"/>
          <w:color w:val="000000" w:themeColor="text1"/>
          <w:szCs w:val="28"/>
          <w:shd w:val="clear" w:color="auto" w:fill="FFFFFF" w:themeFill="background1"/>
        </w:rPr>
        <w:t>4</w:t>
      </w:r>
      <w:r w:rsidRPr="001B6E4D">
        <w:rPr>
          <w:rFonts w:ascii="標楷體" w:hAnsi="標楷體"/>
          <w:color w:val="000000" w:themeColor="text1"/>
          <w:szCs w:val="28"/>
          <w:shd w:val="clear" w:color="auto" w:fill="FFFFFF" w:themeFill="background1"/>
        </w:rPr>
        <w:t>案</w:t>
      </w:r>
      <w:bookmarkEnd w:id="186"/>
    </w:p>
    <w:p w14:paraId="2C4542BF" w14:textId="77777777" w:rsidR="00B90798" w:rsidRPr="001B6E4D" w:rsidRDefault="002664B9" w:rsidP="003D1018">
      <w:pPr>
        <w:pStyle w:val="affffff0"/>
        <w:kinsoku w:val="0"/>
        <w:overflowPunct w:val="0"/>
        <w:topLinePunct/>
        <w:spacing w:before="180" w:after="180"/>
        <w:ind w:leftChars="128" w:left="307" w:firstLineChars="200" w:firstLine="561"/>
        <w:rPr>
          <w:color w:val="000000" w:themeColor="text1"/>
          <w:szCs w:val="28"/>
          <w:shd w:val="clear" w:color="auto" w:fill="FFFFFF" w:themeFill="background1"/>
        </w:rPr>
      </w:pPr>
      <w:bookmarkStart w:id="187" w:name="_Toc240446541"/>
      <w:bookmarkStart w:id="188" w:name="_Hlk174523642"/>
      <w:bookmarkEnd w:id="185"/>
      <w:r w:rsidRPr="001B6E4D">
        <w:rPr>
          <w:color w:val="000000" w:themeColor="text1"/>
          <w:szCs w:val="28"/>
          <w:shd w:val="clear" w:color="auto" w:fill="FFFFFF" w:themeFill="background1"/>
        </w:rPr>
        <w:t>一</w:t>
      </w:r>
      <w:r w:rsidRPr="001B6E4D">
        <w:rPr>
          <w:rFonts w:hint="eastAsia"/>
          <w:color w:val="000000" w:themeColor="text1"/>
          <w:szCs w:val="28"/>
          <w:shd w:val="clear" w:color="auto" w:fill="FFFFFF" w:themeFill="background1"/>
        </w:rPr>
        <w:t>、</w:t>
      </w:r>
      <w:bookmarkStart w:id="189" w:name="_Hlk174721383"/>
      <w:r w:rsidR="00B90798" w:rsidRPr="001B6E4D">
        <w:rPr>
          <w:rFonts w:hint="eastAsia"/>
          <w:color w:val="000000" w:themeColor="text1"/>
          <w:szCs w:val="28"/>
          <w:shd w:val="clear" w:color="auto" w:fill="FFFFFF" w:themeFill="background1"/>
        </w:rPr>
        <w:t>總預算案1</w:t>
      </w:r>
      <w:r w:rsidRPr="001B6E4D">
        <w:rPr>
          <w:color w:val="000000" w:themeColor="text1"/>
          <w:szCs w:val="28"/>
          <w:shd w:val="clear" w:color="auto" w:fill="FFFFFF" w:themeFill="background1"/>
        </w:rPr>
        <w:t>案</w:t>
      </w:r>
      <w:bookmarkEnd w:id="187"/>
      <w:bookmarkEnd w:id="189"/>
    </w:p>
    <w:tbl>
      <w:tblPr>
        <w:tblW w:w="8700" w:type="dxa"/>
        <w:tblInd w:w="52"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624"/>
        <w:gridCol w:w="1842"/>
        <w:gridCol w:w="1558"/>
        <w:gridCol w:w="1430"/>
        <w:gridCol w:w="1829"/>
        <w:gridCol w:w="1417"/>
      </w:tblGrid>
      <w:tr w:rsidR="00B90798" w:rsidRPr="001B6E4D" w14:paraId="54697C21" w14:textId="77777777" w:rsidTr="00BC6372">
        <w:tc>
          <w:tcPr>
            <w:tcW w:w="624" w:type="dxa"/>
            <w:hideMark/>
          </w:tcPr>
          <w:p w14:paraId="781E722C" w14:textId="77777777" w:rsidR="00B90798" w:rsidRPr="001B6E4D" w:rsidRDefault="00B90798" w:rsidP="003D1018">
            <w:pPr>
              <w:widowControl w:val="0"/>
              <w:overflowPunct w:val="0"/>
              <w:adjustRightInd w:val="0"/>
              <w:snapToGrid w:val="0"/>
              <w:spacing w:line="260" w:lineRule="exact"/>
              <w:jc w:val="center"/>
              <w:rPr>
                <w:rFonts w:ascii="標楷體" w:eastAsia="標楷體" w:hAnsi="標楷體"/>
                <w:b/>
              </w:rPr>
            </w:pPr>
            <w:r w:rsidRPr="001B6E4D">
              <w:rPr>
                <w:rFonts w:ascii="標楷體" w:eastAsia="標楷體" w:hAnsi="標楷體" w:hint="eastAsia"/>
                <w:b/>
              </w:rPr>
              <w:t>序號</w:t>
            </w:r>
          </w:p>
        </w:tc>
        <w:tc>
          <w:tcPr>
            <w:tcW w:w="1842" w:type="dxa"/>
            <w:hideMark/>
          </w:tcPr>
          <w:p w14:paraId="430F0B8E" w14:textId="77777777" w:rsidR="00B90798" w:rsidRPr="001B6E4D" w:rsidRDefault="00B90798" w:rsidP="003D1018">
            <w:pPr>
              <w:widowControl w:val="0"/>
              <w:overflowPunct w:val="0"/>
              <w:spacing w:line="280" w:lineRule="exact"/>
              <w:ind w:leftChars="-45" w:left="-108" w:rightChars="-45" w:right="-108"/>
              <w:jc w:val="center"/>
              <w:rPr>
                <w:rFonts w:ascii="標楷體" w:eastAsia="標楷體" w:hAnsi="標楷體"/>
                <w:b/>
              </w:rPr>
            </w:pPr>
            <w:r w:rsidRPr="001B6E4D">
              <w:rPr>
                <w:rFonts w:ascii="標楷體" w:eastAsia="標楷體" w:hAnsi="標楷體" w:hint="eastAsia"/>
                <w:b/>
              </w:rPr>
              <w:t>議案名稱</w:t>
            </w:r>
          </w:p>
        </w:tc>
        <w:tc>
          <w:tcPr>
            <w:tcW w:w="1558" w:type="dxa"/>
            <w:hideMark/>
          </w:tcPr>
          <w:p w14:paraId="333B0CF2" w14:textId="77777777" w:rsidR="00B90798" w:rsidRPr="001B6E4D" w:rsidRDefault="00B90798" w:rsidP="003D1018">
            <w:pPr>
              <w:widowControl w:val="0"/>
              <w:overflowPunct w:val="0"/>
              <w:spacing w:line="280" w:lineRule="exact"/>
              <w:jc w:val="center"/>
              <w:rPr>
                <w:rFonts w:ascii="標楷體" w:eastAsia="標楷體" w:hAnsi="標楷體"/>
                <w:b/>
              </w:rPr>
            </w:pPr>
            <w:r w:rsidRPr="001B6E4D">
              <w:rPr>
                <w:rFonts w:ascii="標楷體" w:eastAsia="標楷體" w:hAnsi="標楷體" w:hint="eastAsia"/>
                <w:b/>
              </w:rPr>
              <w:t>提案機關</w:t>
            </w:r>
          </w:p>
          <w:p w14:paraId="7B6C68E4" w14:textId="77777777" w:rsidR="00B90798" w:rsidRPr="001B6E4D" w:rsidRDefault="00B90798" w:rsidP="003D1018">
            <w:pPr>
              <w:widowControl w:val="0"/>
              <w:overflowPunct w:val="0"/>
              <w:spacing w:line="280" w:lineRule="exact"/>
              <w:jc w:val="center"/>
              <w:rPr>
                <w:rFonts w:ascii="標楷體" w:eastAsia="標楷體" w:hAnsi="標楷體"/>
                <w:b/>
              </w:rPr>
            </w:pPr>
            <w:r w:rsidRPr="001B6E4D">
              <w:rPr>
                <w:rFonts w:ascii="標楷體" w:eastAsia="標楷體" w:hAnsi="標楷體" w:hint="eastAsia"/>
                <w:b/>
                <w:spacing w:val="-20"/>
              </w:rPr>
              <w:t>院會交付日期</w:t>
            </w:r>
            <w:r w:rsidRPr="001B6E4D">
              <w:rPr>
                <w:rFonts w:ascii="標楷體" w:eastAsia="標楷體" w:hAnsi="標楷體" w:hint="eastAsia"/>
                <w:b/>
              </w:rPr>
              <w:t>（會次）</w:t>
            </w:r>
          </w:p>
        </w:tc>
        <w:tc>
          <w:tcPr>
            <w:tcW w:w="1430" w:type="dxa"/>
            <w:hideMark/>
          </w:tcPr>
          <w:p w14:paraId="0900EFE3" w14:textId="77777777" w:rsidR="00B90798" w:rsidRPr="001B6E4D" w:rsidRDefault="00B90798" w:rsidP="003D1018">
            <w:pPr>
              <w:widowControl w:val="0"/>
              <w:overflowPunct w:val="0"/>
              <w:spacing w:line="300" w:lineRule="exact"/>
              <w:jc w:val="center"/>
              <w:rPr>
                <w:rFonts w:ascii="標楷體" w:eastAsia="標楷體" w:hAnsi="標楷體"/>
                <w:b/>
              </w:rPr>
            </w:pPr>
            <w:r w:rsidRPr="001B6E4D">
              <w:rPr>
                <w:rFonts w:ascii="標楷體" w:eastAsia="標楷體" w:hAnsi="標楷體" w:hint="eastAsia"/>
                <w:b/>
              </w:rPr>
              <w:t>審查委員會</w:t>
            </w:r>
          </w:p>
          <w:p w14:paraId="03FF9117" w14:textId="77777777" w:rsidR="00B90798" w:rsidRPr="001B6E4D" w:rsidRDefault="00B90798" w:rsidP="003D1018">
            <w:pPr>
              <w:widowControl w:val="0"/>
              <w:overflowPunct w:val="0"/>
              <w:spacing w:line="300" w:lineRule="exact"/>
              <w:jc w:val="center"/>
              <w:rPr>
                <w:rFonts w:ascii="標楷體" w:eastAsia="標楷體" w:hAnsi="標楷體"/>
                <w:b/>
              </w:rPr>
            </w:pPr>
            <w:r w:rsidRPr="001B6E4D">
              <w:rPr>
                <w:rFonts w:ascii="標楷體" w:eastAsia="標楷體" w:hAnsi="標楷體" w:hint="eastAsia"/>
                <w:b/>
              </w:rPr>
              <w:t>院會說明人</w:t>
            </w:r>
          </w:p>
        </w:tc>
        <w:tc>
          <w:tcPr>
            <w:tcW w:w="3246" w:type="dxa"/>
            <w:gridSpan w:val="2"/>
            <w:hideMark/>
          </w:tcPr>
          <w:p w14:paraId="7E6DC69D" w14:textId="77777777" w:rsidR="00B90798" w:rsidRPr="001B6E4D" w:rsidRDefault="00B90798" w:rsidP="003D1018">
            <w:pPr>
              <w:widowControl w:val="0"/>
              <w:overflowPunct w:val="0"/>
              <w:spacing w:line="260" w:lineRule="exact"/>
              <w:jc w:val="center"/>
              <w:rPr>
                <w:rFonts w:ascii="標楷體" w:eastAsia="標楷體" w:hAnsi="標楷體"/>
                <w:b/>
              </w:rPr>
            </w:pPr>
            <w:r w:rsidRPr="001B6E4D">
              <w:rPr>
                <w:rFonts w:ascii="標楷體" w:eastAsia="標楷體" w:hAnsi="標楷體" w:hint="eastAsia"/>
                <w:b/>
              </w:rPr>
              <w:t>審查情形</w:t>
            </w:r>
          </w:p>
        </w:tc>
      </w:tr>
      <w:tr w:rsidR="00B90798" w:rsidRPr="001B6E4D" w14:paraId="2825E93B" w14:textId="77777777" w:rsidTr="00BC6372">
        <w:trPr>
          <w:trHeight w:val="279"/>
        </w:trPr>
        <w:tc>
          <w:tcPr>
            <w:tcW w:w="624" w:type="dxa"/>
            <w:vMerge w:val="restart"/>
          </w:tcPr>
          <w:p w14:paraId="6DCBEB02" w14:textId="77777777" w:rsidR="00B90798" w:rsidRPr="001B6E4D" w:rsidRDefault="00B90798" w:rsidP="003D1018">
            <w:pPr>
              <w:widowControl w:val="0"/>
              <w:overflowPunct w:val="0"/>
              <w:adjustRightInd w:val="0"/>
              <w:snapToGrid w:val="0"/>
              <w:spacing w:line="260" w:lineRule="exact"/>
              <w:jc w:val="center"/>
              <w:rPr>
                <w:rFonts w:ascii="標楷體" w:eastAsia="標楷體" w:hAnsi="標楷體"/>
              </w:rPr>
            </w:pPr>
            <w:r w:rsidRPr="001B6E4D">
              <w:rPr>
                <w:rFonts w:ascii="標楷體" w:eastAsia="標楷體" w:hAnsi="標楷體"/>
              </w:rPr>
              <w:t>1</w:t>
            </w:r>
          </w:p>
        </w:tc>
        <w:tc>
          <w:tcPr>
            <w:tcW w:w="1842" w:type="dxa"/>
            <w:vMerge w:val="restart"/>
          </w:tcPr>
          <w:p w14:paraId="43039095" w14:textId="77777777" w:rsidR="00B90798" w:rsidRPr="001B6E4D" w:rsidRDefault="00B90798"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中華民國</w:t>
            </w:r>
            <w:proofErr w:type="gramStart"/>
            <w:r w:rsidRPr="001B6E4D">
              <w:rPr>
                <w:rFonts w:ascii="標楷體" w:eastAsia="標楷體" w:hAnsi="標楷體" w:hint="eastAsia"/>
                <w:color w:val="000000"/>
                <w:kern w:val="0"/>
              </w:rPr>
              <w:t>115</w:t>
            </w:r>
            <w:proofErr w:type="gramEnd"/>
            <w:r w:rsidRPr="001B6E4D">
              <w:rPr>
                <w:rFonts w:ascii="標楷體" w:eastAsia="標楷體" w:hAnsi="標楷體" w:hint="eastAsia"/>
                <w:color w:val="000000"/>
                <w:kern w:val="0"/>
              </w:rPr>
              <w:t>年度中央政府總預算案（附屬單位預算及綜計表－營業及非營業部分）</w:t>
            </w:r>
          </w:p>
        </w:tc>
        <w:tc>
          <w:tcPr>
            <w:tcW w:w="1558" w:type="dxa"/>
            <w:vMerge w:val="restart"/>
          </w:tcPr>
          <w:p w14:paraId="7ACE6A7C" w14:textId="77777777" w:rsidR="00B90798" w:rsidRPr="001B6E4D" w:rsidRDefault="00B90798" w:rsidP="003D1018">
            <w:pPr>
              <w:widowControl w:val="0"/>
              <w:overflowPunct w:val="0"/>
              <w:spacing w:line="280" w:lineRule="exact"/>
              <w:rPr>
                <w:rFonts w:ascii="標楷體" w:eastAsia="標楷體" w:hAnsi="標楷體"/>
                <w:color w:val="000000"/>
                <w:kern w:val="0"/>
              </w:rPr>
            </w:pPr>
            <w:r w:rsidRPr="001B6E4D">
              <w:rPr>
                <w:rFonts w:ascii="標楷體" w:eastAsia="標楷體" w:hAnsi="標楷體" w:hint="eastAsia"/>
                <w:color w:val="000000"/>
                <w:kern w:val="0"/>
              </w:rPr>
              <w:t>行政院</w:t>
            </w:r>
          </w:p>
          <w:p w14:paraId="5BD80664" w14:textId="77777777" w:rsidR="00B90798" w:rsidRPr="001B6E4D" w:rsidRDefault="00B90798" w:rsidP="003D1018">
            <w:pPr>
              <w:widowControl w:val="0"/>
              <w:overflowPunct w:val="0"/>
              <w:spacing w:line="280" w:lineRule="exact"/>
              <w:rPr>
                <w:rFonts w:ascii="標楷體" w:eastAsia="標楷體" w:hAnsi="標楷體"/>
                <w:color w:val="000000"/>
                <w:kern w:val="0"/>
              </w:rPr>
            </w:pPr>
            <w:r w:rsidRPr="001B6E4D">
              <w:rPr>
                <w:rFonts w:ascii="標楷體" w:eastAsia="標楷體" w:hAnsi="標楷體"/>
                <w:color w:val="000000"/>
                <w:kern w:val="0"/>
              </w:rPr>
              <w:t>114.9.30</w:t>
            </w:r>
          </w:p>
          <w:p w14:paraId="097A012C" w14:textId="77777777" w:rsidR="00B90798" w:rsidRPr="001B6E4D" w:rsidRDefault="00B90798" w:rsidP="003D1018">
            <w:pPr>
              <w:widowControl w:val="0"/>
              <w:overflowPunct w:val="0"/>
              <w:spacing w:line="280" w:lineRule="exact"/>
              <w:rPr>
                <w:rFonts w:ascii="標楷體" w:eastAsia="標楷體" w:hAnsi="標楷體"/>
                <w:color w:val="000000"/>
                <w:kern w:val="0"/>
              </w:rPr>
            </w:pPr>
            <w:r w:rsidRPr="001B6E4D">
              <w:rPr>
                <w:rFonts w:ascii="標楷體" w:eastAsia="標楷體" w:hAnsi="標楷體" w:hint="eastAsia"/>
                <w:color w:val="000000"/>
                <w:kern w:val="0"/>
              </w:rPr>
              <w:t>（11-4-2）</w:t>
            </w:r>
          </w:p>
          <w:p w14:paraId="288BBC78" w14:textId="77777777" w:rsidR="00B90798" w:rsidRPr="001B6E4D" w:rsidRDefault="00B90798" w:rsidP="003D1018">
            <w:pPr>
              <w:widowControl w:val="0"/>
              <w:kinsoku w:val="0"/>
              <w:overflowPunct w:val="0"/>
              <w:topLinePunct/>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（11-4-3提出復議，11-5-7撤回復議）</w:t>
            </w:r>
          </w:p>
        </w:tc>
        <w:tc>
          <w:tcPr>
            <w:tcW w:w="1430" w:type="dxa"/>
            <w:vMerge w:val="restart"/>
          </w:tcPr>
          <w:p w14:paraId="13CA0603" w14:textId="77777777" w:rsidR="00B90798" w:rsidRPr="001B6E4D" w:rsidRDefault="00B90798" w:rsidP="003D1018">
            <w:pPr>
              <w:widowControl w:val="0"/>
              <w:overflowPunct w:val="0"/>
              <w:spacing w:line="300" w:lineRule="exact"/>
              <w:rPr>
                <w:rFonts w:ascii="標楷體" w:eastAsia="標楷體" w:hAnsi="標楷體"/>
                <w:kern w:val="0"/>
              </w:rPr>
            </w:pPr>
            <w:r w:rsidRPr="001B6E4D">
              <w:rPr>
                <w:rFonts w:ascii="標楷體" w:eastAsia="標楷體" w:hAnsi="標楷體" w:hint="eastAsia"/>
                <w:kern w:val="0"/>
              </w:rPr>
              <w:t>司法及法制</w:t>
            </w:r>
          </w:p>
          <w:p w14:paraId="48556054" w14:textId="77777777" w:rsidR="00B90798" w:rsidRPr="001B6E4D" w:rsidRDefault="00B90798" w:rsidP="003D1018">
            <w:pPr>
              <w:widowControl w:val="0"/>
              <w:overflowPunct w:val="0"/>
              <w:spacing w:line="300" w:lineRule="exact"/>
              <w:rPr>
                <w:rFonts w:ascii="標楷體" w:eastAsia="標楷體" w:hAnsi="標楷體"/>
                <w:kern w:val="0"/>
              </w:rPr>
            </w:pPr>
            <w:r w:rsidRPr="001B6E4D">
              <w:rPr>
                <w:rFonts w:ascii="標楷體" w:eastAsia="標楷體" w:hAnsi="標楷體" w:hint="eastAsia"/>
                <w:kern w:val="0"/>
              </w:rPr>
              <w:t>莊召集委員瑞雄</w:t>
            </w:r>
          </w:p>
        </w:tc>
        <w:tc>
          <w:tcPr>
            <w:tcW w:w="1829" w:type="dxa"/>
          </w:tcPr>
          <w:p w14:paraId="0E5D5C0C"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115.5.6</w:t>
            </w:r>
          </w:p>
          <w:p w14:paraId="2EA0F08F"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（11-5-12）、</w:t>
            </w:r>
          </w:p>
          <w:p w14:paraId="6F395A44"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115.5.20</w:t>
            </w:r>
          </w:p>
          <w:p w14:paraId="0648C503"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（11-5-14）</w:t>
            </w:r>
          </w:p>
          <w:p w14:paraId="30BAC38E"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審竣行政院人事行政總處主管「中央公教人員急難救助基金」收支部分，須交由黨團協商。</w:t>
            </w:r>
          </w:p>
        </w:tc>
        <w:tc>
          <w:tcPr>
            <w:tcW w:w="1417" w:type="dxa"/>
            <w:vMerge w:val="restart"/>
          </w:tcPr>
          <w:p w14:paraId="07ECF2A9" w14:textId="77777777" w:rsidR="00B90798" w:rsidRPr="001B6E4D" w:rsidRDefault="00B90798"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p>
        </w:tc>
      </w:tr>
      <w:tr w:rsidR="00B90798" w:rsidRPr="001B6E4D" w14:paraId="6D29B720" w14:textId="77777777" w:rsidTr="00BC6372">
        <w:trPr>
          <w:trHeight w:val="279"/>
        </w:trPr>
        <w:tc>
          <w:tcPr>
            <w:tcW w:w="624" w:type="dxa"/>
            <w:vMerge/>
          </w:tcPr>
          <w:p w14:paraId="517139E0" w14:textId="77777777" w:rsidR="00B90798" w:rsidRPr="001B6E4D" w:rsidRDefault="00B90798" w:rsidP="003D1018">
            <w:pPr>
              <w:widowControl w:val="0"/>
              <w:overflowPunct w:val="0"/>
              <w:adjustRightInd w:val="0"/>
              <w:snapToGrid w:val="0"/>
              <w:spacing w:line="260" w:lineRule="exact"/>
              <w:jc w:val="center"/>
              <w:rPr>
                <w:rFonts w:ascii="標楷體" w:eastAsia="標楷體" w:hAnsi="標楷體"/>
              </w:rPr>
            </w:pPr>
          </w:p>
        </w:tc>
        <w:tc>
          <w:tcPr>
            <w:tcW w:w="1842" w:type="dxa"/>
            <w:vMerge/>
          </w:tcPr>
          <w:p w14:paraId="7FC61E1D" w14:textId="77777777" w:rsidR="00B90798" w:rsidRPr="001B6E4D" w:rsidRDefault="00B90798" w:rsidP="003D1018">
            <w:pPr>
              <w:widowControl w:val="0"/>
              <w:kinsoku w:val="0"/>
              <w:overflowPunct w:val="0"/>
              <w:topLinePunct/>
              <w:adjustRightInd w:val="0"/>
              <w:snapToGrid w:val="0"/>
              <w:spacing w:line="300" w:lineRule="exact"/>
              <w:jc w:val="both"/>
              <w:rPr>
                <w:rFonts w:ascii="標楷體" w:eastAsia="標楷體" w:hAnsi="標楷體"/>
                <w:kern w:val="0"/>
              </w:rPr>
            </w:pPr>
          </w:p>
        </w:tc>
        <w:tc>
          <w:tcPr>
            <w:tcW w:w="1558" w:type="dxa"/>
            <w:vMerge/>
          </w:tcPr>
          <w:p w14:paraId="6E7E3345" w14:textId="77777777" w:rsidR="00B90798" w:rsidRPr="001B6E4D" w:rsidRDefault="00B90798" w:rsidP="003D1018">
            <w:pPr>
              <w:widowControl w:val="0"/>
              <w:overflowPunct w:val="0"/>
              <w:spacing w:line="280" w:lineRule="exact"/>
              <w:rPr>
                <w:rFonts w:ascii="標楷體" w:eastAsia="標楷體" w:hAnsi="標楷體"/>
                <w:kern w:val="0"/>
              </w:rPr>
            </w:pPr>
          </w:p>
        </w:tc>
        <w:tc>
          <w:tcPr>
            <w:tcW w:w="1430" w:type="dxa"/>
            <w:vMerge/>
          </w:tcPr>
          <w:p w14:paraId="7A81DE44" w14:textId="77777777" w:rsidR="00B90798" w:rsidRPr="001B6E4D" w:rsidRDefault="00B90798" w:rsidP="003D1018">
            <w:pPr>
              <w:widowControl w:val="0"/>
              <w:overflowPunct w:val="0"/>
              <w:spacing w:line="300" w:lineRule="exact"/>
              <w:rPr>
                <w:rFonts w:ascii="標楷體" w:eastAsia="標楷體" w:hAnsi="標楷體"/>
                <w:kern w:val="0"/>
              </w:rPr>
            </w:pPr>
          </w:p>
        </w:tc>
        <w:tc>
          <w:tcPr>
            <w:tcW w:w="1829" w:type="dxa"/>
          </w:tcPr>
          <w:p w14:paraId="6338CED0"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115.5.7</w:t>
            </w:r>
          </w:p>
          <w:p w14:paraId="1562E200"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（11-5-12）、</w:t>
            </w:r>
          </w:p>
          <w:p w14:paraId="0D84C4B6"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w:t>
            </w:r>
            <w:r w:rsidRPr="001B6E4D">
              <w:rPr>
                <w:rFonts w:ascii="標楷體" w:eastAsia="標楷體" w:hAnsi="標楷體"/>
                <w:color w:val="000000"/>
                <w:kern w:val="0"/>
              </w:rPr>
              <w:t>5</w:t>
            </w:r>
            <w:r w:rsidRPr="001B6E4D">
              <w:rPr>
                <w:rFonts w:ascii="標楷體" w:eastAsia="標楷體" w:hAnsi="標楷體" w:hint="eastAsia"/>
                <w:color w:val="000000"/>
                <w:kern w:val="0"/>
              </w:rPr>
              <w:t>.</w:t>
            </w:r>
            <w:r w:rsidRPr="001B6E4D">
              <w:rPr>
                <w:rFonts w:ascii="標楷體" w:eastAsia="標楷體" w:hAnsi="標楷體"/>
                <w:color w:val="000000"/>
                <w:kern w:val="0"/>
              </w:rPr>
              <w:t>6</w:t>
            </w:r>
            <w:r w:rsidRPr="001B6E4D">
              <w:rPr>
                <w:rFonts w:ascii="標楷體" w:eastAsia="標楷體" w:hAnsi="標楷體" w:hint="eastAsia"/>
                <w:color w:val="000000"/>
                <w:kern w:val="0"/>
              </w:rPr>
              <w:t>.</w:t>
            </w:r>
            <w:r w:rsidRPr="001B6E4D">
              <w:rPr>
                <w:rFonts w:ascii="標楷體" w:eastAsia="標楷體" w:hAnsi="標楷體"/>
                <w:color w:val="000000"/>
                <w:kern w:val="0"/>
              </w:rPr>
              <w:t>3</w:t>
            </w:r>
          </w:p>
          <w:p w14:paraId="397B4220"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lastRenderedPageBreak/>
              <w:t>（11-</w:t>
            </w:r>
            <w:r w:rsidRPr="001B6E4D">
              <w:rPr>
                <w:rFonts w:ascii="標楷體" w:eastAsia="標楷體" w:hAnsi="標楷體"/>
                <w:color w:val="000000"/>
                <w:kern w:val="0"/>
              </w:rPr>
              <w:t>5</w:t>
            </w:r>
            <w:r w:rsidRPr="001B6E4D">
              <w:rPr>
                <w:rFonts w:ascii="標楷體" w:eastAsia="標楷體" w:hAnsi="標楷體" w:hint="eastAsia"/>
                <w:color w:val="000000"/>
                <w:kern w:val="0"/>
              </w:rPr>
              <w:t>-1</w:t>
            </w:r>
            <w:r w:rsidRPr="001B6E4D">
              <w:rPr>
                <w:rFonts w:ascii="標楷體" w:eastAsia="標楷體" w:hAnsi="標楷體"/>
                <w:color w:val="000000"/>
                <w:kern w:val="0"/>
              </w:rPr>
              <w:t>6</w:t>
            </w:r>
            <w:r w:rsidRPr="001B6E4D">
              <w:rPr>
                <w:rFonts w:ascii="標楷體" w:eastAsia="標楷體" w:hAnsi="標楷體" w:hint="eastAsia"/>
                <w:color w:val="000000"/>
                <w:kern w:val="0"/>
              </w:rPr>
              <w:t>）</w:t>
            </w:r>
          </w:p>
          <w:p w14:paraId="48A48E75"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審竣考選部主管「考選業務基金」收支部分，須交由黨團協商。</w:t>
            </w:r>
          </w:p>
        </w:tc>
        <w:tc>
          <w:tcPr>
            <w:tcW w:w="1417" w:type="dxa"/>
            <w:vMerge/>
          </w:tcPr>
          <w:p w14:paraId="6BF9E742" w14:textId="77777777" w:rsidR="00B90798" w:rsidRPr="001B6E4D" w:rsidRDefault="00B90798" w:rsidP="003D1018">
            <w:pPr>
              <w:widowControl w:val="0"/>
              <w:kinsoku w:val="0"/>
              <w:overflowPunct w:val="0"/>
              <w:adjustRightInd w:val="0"/>
              <w:snapToGrid w:val="0"/>
              <w:spacing w:line="300" w:lineRule="exact"/>
              <w:ind w:left="240" w:hangingChars="100" w:hanging="240"/>
              <w:jc w:val="both"/>
              <w:rPr>
                <w:rFonts w:ascii="標楷體" w:eastAsia="標楷體" w:hAnsi="標楷體"/>
                <w:kern w:val="0"/>
              </w:rPr>
            </w:pPr>
          </w:p>
        </w:tc>
      </w:tr>
      <w:tr w:rsidR="00B90798" w:rsidRPr="001B6E4D" w14:paraId="3EBB7C71" w14:textId="77777777" w:rsidTr="00BC6372">
        <w:trPr>
          <w:trHeight w:val="279"/>
        </w:trPr>
        <w:tc>
          <w:tcPr>
            <w:tcW w:w="624" w:type="dxa"/>
            <w:vMerge/>
          </w:tcPr>
          <w:p w14:paraId="7463330B" w14:textId="77777777" w:rsidR="00B90798" w:rsidRPr="001B6E4D" w:rsidRDefault="00B90798" w:rsidP="003D1018">
            <w:pPr>
              <w:widowControl w:val="0"/>
              <w:overflowPunct w:val="0"/>
              <w:adjustRightInd w:val="0"/>
              <w:snapToGrid w:val="0"/>
              <w:spacing w:line="260" w:lineRule="exact"/>
              <w:jc w:val="center"/>
              <w:rPr>
                <w:rFonts w:ascii="標楷體" w:eastAsia="標楷體" w:hAnsi="標楷體"/>
              </w:rPr>
            </w:pPr>
          </w:p>
        </w:tc>
        <w:tc>
          <w:tcPr>
            <w:tcW w:w="1842" w:type="dxa"/>
            <w:vMerge/>
          </w:tcPr>
          <w:p w14:paraId="1CAA26E8" w14:textId="77777777" w:rsidR="00B90798" w:rsidRPr="001B6E4D" w:rsidRDefault="00B90798" w:rsidP="003D1018">
            <w:pPr>
              <w:widowControl w:val="0"/>
              <w:kinsoku w:val="0"/>
              <w:overflowPunct w:val="0"/>
              <w:topLinePunct/>
              <w:adjustRightInd w:val="0"/>
              <w:snapToGrid w:val="0"/>
              <w:spacing w:line="300" w:lineRule="exact"/>
              <w:jc w:val="both"/>
              <w:rPr>
                <w:rFonts w:ascii="標楷體" w:eastAsia="標楷體" w:hAnsi="標楷體"/>
                <w:kern w:val="0"/>
              </w:rPr>
            </w:pPr>
          </w:p>
        </w:tc>
        <w:tc>
          <w:tcPr>
            <w:tcW w:w="1558" w:type="dxa"/>
            <w:vMerge/>
          </w:tcPr>
          <w:p w14:paraId="46A35A23" w14:textId="77777777" w:rsidR="00B90798" w:rsidRPr="001B6E4D" w:rsidRDefault="00B90798" w:rsidP="003D1018">
            <w:pPr>
              <w:widowControl w:val="0"/>
              <w:overflowPunct w:val="0"/>
              <w:spacing w:line="280" w:lineRule="exact"/>
              <w:rPr>
                <w:rFonts w:ascii="標楷體" w:eastAsia="標楷體" w:hAnsi="標楷體"/>
                <w:kern w:val="0"/>
              </w:rPr>
            </w:pPr>
          </w:p>
        </w:tc>
        <w:tc>
          <w:tcPr>
            <w:tcW w:w="1430" w:type="dxa"/>
            <w:vMerge/>
          </w:tcPr>
          <w:p w14:paraId="03C5D1FA" w14:textId="77777777" w:rsidR="00B90798" w:rsidRPr="001B6E4D" w:rsidRDefault="00B90798" w:rsidP="003D1018">
            <w:pPr>
              <w:widowControl w:val="0"/>
              <w:overflowPunct w:val="0"/>
              <w:spacing w:line="300" w:lineRule="exact"/>
              <w:rPr>
                <w:rFonts w:ascii="標楷體" w:eastAsia="標楷體" w:hAnsi="標楷體"/>
                <w:kern w:val="0"/>
              </w:rPr>
            </w:pPr>
          </w:p>
        </w:tc>
        <w:tc>
          <w:tcPr>
            <w:tcW w:w="1829" w:type="dxa"/>
          </w:tcPr>
          <w:p w14:paraId="57150E74"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115.5.7</w:t>
            </w:r>
          </w:p>
          <w:p w14:paraId="5DD85F8A"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（11-5-12）、</w:t>
            </w:r>
          </w:p>
          <w:p w14:paraId="50D62472"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w:t>
            </w:r>
            <w:r w:rsidRPr="001B6E4D">
              <w:rPr>
                <w:rFonts w:ascii="標楷體" w:eastAsia="標楷體" w:hAnsi="標楷體"/>
                <w:color w:val="000000"/>
                <w:kern w:val="0"/>
              </w:rPr>
              <w:t>5</w:t>
            </w:r>
            <w:r w:rsidRPr="001B6E4D">
              <w:rPr>
                <w:rFonts w:ascii="標楷體" w:eastAsia="標楷體" w:hAnsi="標楷體" w:hint="eastAsia"/>
                <w:color w:val="000000"/>
                <w:kern w:val="0"/>
              </w:rPr>
              <w:t>.</w:t>
            </w:r>
            <w:r w:rsidRPr="001B6E4D">
              <w:rPr>
                <w:rFonts w:ascii="標楷體" w:eastAsia="標楷體" w:hAnsi="標楷體"/>
                <w:color w:val="000000"/>
                <w:kern w:val="0"/>
              </w:rPr>
              <w:t>6</w:t>
            </w:r>
            <w:r w:rsidRPr="001B6E4D">
              <w:rPr>
                <w:rFonts w:ascii="標楷體" w:eastAsia="標楷體" w:hAnsi="標楷體" w:hint="eastAsia"/>
                <w:color w:val="000000"/>
                <w:kern w:val="0"/>
              </w:rPr>
              <w:t>.</w:t>
            </w:r>
            <w:r w:rsidRPr="001B6E4D">
              <w:rPr>
                <w:rFonts w:ascii="標楷體" w:eastAsia="標楷體" w:hAnsi="標楷體"/>
                <w:color w:val="000000"/>
                <w:kern w:val="0"/>
              </w:rPr>
              <w:t>3</w:t>
            </w:r>
          </w:p>
          <w:p w14:paraId="42411829"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w:t>
            </w:r>
            <w:r w:rsidRPr="001B6E4D">
              <w:rPr>
                <w:rFonts w:ascii="標楷體" w:eastAsia="標楷體" w:hAnsi="標楷體"/>
                <w:color w:val="000000"/>
                <w:kern w:val="0"/>
              </w:rPr>
              <w:t>5</w:t>
            </w:r>
            <w:r w:rsidRPr="001B6E4D">
              <w:rPr>
                <w:rFonts w:ascii="標楷體" w:eastAsia="標楷體" w:hAnsi="標楷體" w:hint="eastAsia"/>
                <w:color w:val="000000"/>
                <w:kern w:val="0"/>
              </w:rPr>
              <w:t>-1</w:t>
            </w:r>
            <w:r w:rsidRPr="001B6E4D">
              <w:rPr>
                <w:rFonts w:ascii="標楷體" w:eastAsia="標楷體" w:hAnsi="標楷體"/>
                <w:color w:val="000000"/>
                <w:kern w:val="0"/>
              </w:rPr>
              <w:t>6</w:t>
            </w:r>
            <w:r w:rsidRPr="001B6E4D">
              <w:rPr>
                <w:rFonts w:ascii="標楷體" w:eastAsia="標楷體" w:hAnsi="標楷體" w:hint="eastAsia"/>
                <w:color w:val="000000"/>
                <w:kern w:val="0"/>
              </w:rPr>
              <w:t>）</w:t>
            </w:r>
          </w:p>
          <w:p w14:paraId="5648A234"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審竣銓敘部主管「公務人員退休撫</w:t>
            </w:r>
            <w:proofErr w:type="gramStart"/>
            <w:r w:rsidRPr="001B6E4D">
              <w:rPr>
                <w:rFonts w:ascii="標楷體" w:eastAsia="標楷體" w:hAnsi="標楷體" w:hint="eastAsia"/>
                <w:color w:val="000000"/>
                <w:kern w:val="0"/>
              </w:rPr>
              <w:t>卹</w:t>
            </w:r>
            <w:proofErr w:type="gramEnd"/>
            <w:r w:rsidRPr="001B6E4D">
              <w:rPr>
                <w:rFonts w:ascii="標楷體" w:eastAsia="標楷體" w:hAnsi="標楷體" w:hint="eastAsia"/>
                <w:color w:val="000000"/>
                <w:kern w:val="0"/>
              </w:rPr>
              <w:t>基金」收支部分，須交由黨團協商。</w:t>
            </w:r>
          </w:p>
        </w:tc>
        <w:tc>
          <w:tcPr>
            <w:tcW w:w="1417" w:type="dxa"/>
            <w:vMerge/>
          </w:tcPr>
          <w:p w14:paraId="3B837F68" w14:textId="77777777" w:rsidR="00B90798" w:rsidRPr="001B6E4D" w:rsidRDefault="00B90798" w:rsidP="003D1018">
            <w:pPr>
              <w:widowControl w:val="0"/>
              <w:kinsoku w:val="0"/>
              <w:overflowPunct w:val="0"/>
              <w:adjustRightInd w:val="0"/>
              <w:snapToGrid w:val="0"/>
              <w:spacing w:line="300" w:lineRule="exact"/>
              <w:ind w:left="240" w:hangingChars="100" w:hanging="240"/>
              <w:jc w:val="both"/>
              <w:rPr>
                <w:rFonts w:ascii="標楷體" w:eastAsia="標楷體" w:hAnsi="標楷體"/>
                <w:kern w:val="0"/>
              </w:rPr>
            </w:pPr>
          </w:p>
        </w:tc>
      </w:tr>
      <w:tr w:rsidR="00B90798" w:rsidRPr="001B6E4D" w14:paraId="2848CA72" w14:textId="77777777" w:rsidTr="00BC6372">
        <w:trPr>
          <w:trHeight w:val="279"/>
        </w:trPr>
        <w:tc>
          <w:tcPr>
            <w:tcW w:w="624" w:type="dxa"/>
            <w:vMerge/>
          </w:tcPr>
          <w:p w14:paraId="39A1D5B7" w14:textId="77777777" w:rsidR="00B90798" w:rsidRPr="001B6E4D" w:rsidRDefault="00B90798" w:rsidP="003D1018">
            <w:pPr>
              <w:widowControl w:val="0"/>
              <w:overflowPunct w:val="0"/>
              <w:adjustRightInd w:val="0"/>
              <w:snapToGrid w:val="0"/>
              <w:spacing w:line="260" w:lineRule="exact"/>
              <w:jc w:val="center"/>
              <w:rPr>
                <w:rFonts w:ascii="標楷體" w:eastAsia="標楷體" w:hAnsi="標楷體"/>
              </w:rPr>
            </w:pPr>
          </w:p>
        </w:tc>
        <w:tc>
          <w:tcPr>
            <w:tcW w:w="1842" w:type="dxa"/>
            <w:vMerge/>
          </w:tcPr>
          <w:p w14:paraId="10909F15" w14:textId="77777777" w:rsidR="00B90798" w:rsidRPr="001B6E4D" w:rsidRDefault="00B90798" w:rsidP="003D1018">
            <w:pPr>
              <w:widowControl w:val="0"/>
              <w:kinsoku w:val="0"/>
              <w:overflowPunct w:val="0"/>
              <w:topLinePunct/>
              <w:adjustRightInd w:val="0"/>
              <w:snapToGrid w:val="0"/>
              <w:spacing w:line="300" w:lineRule="exact"/>
              <w:jc w:val="both"/>
              <w:rPr>
                <w:rFonts w:ascii="標楷體" w:eastAsia="標楷體" w:hAnsi="標楷體"/>
                <w:kern w:val="0"/>
              </w:rPr>
            </w:pPr>
          </w:p>
        </w:tc>
        <w:tc>
          <w:tcPr>
            <w:tcW w:w="1558" w:type="dxa"/>
            <w:vMerge/>
          </w:tcPr>
          <w:p w14:paraId="173394B1" w14:textId="77777777" w:rsidR="00B90798" w:rsidRPr="001B6E4D" w:rsidRDefault="00B90798" w:rsidP="003D1018">
            <w:pPr>
              <w:widowControl w:val="0"/>
              <w:overflowPunct w:val="0"/>
              <w:spacing w:line="280" w:lineRule="exact"/>
              <w:rPr>
                <w:rFonts w:ascii="標楷體" w:eastAsia="標楷體" w:hAnsi="標楷體"/>
                <w:kern w:val="0"/>
              </w:rPr>
            </w:pPr>
          </w:p>
        </w:tc>
        <w:tc>
          <w:tcPr>
            <w:tcW w:w="1430" w:type="dxa"/>
            <w:vMerge/>
          </w:tcPr>
          <w:p w14:paraId="30DBF649" w14:textId="77777777" w:rsidR="00B90798" w:rsidRPr="001B6E4D" w:rsidRDefault="00B90798" w:rsidP="003D1018">
            <w:pPr>
              <w:widowControl w:val="0"/>
              <w:overflowPunct w:val="0"/>
              <w:spacing w:line="300" w:lineRule="exact"/>
              <w:rPr>
                <w:rFonts w:ascii="標楷體" w:eastAsia="標楷體" w:hAnsi="標楷體"/>
                <w:kern w:val="0"/>
              </w:rPr>
            </w:pPr>
          </w:p>
        </w:tc>
        <w:tc>
          <w:tcPr>
            <w:tcW w:w="1829" w:type="dxa"/>
          </w:tcPr>
          <w:p w14:paraId="018419E7"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115.5.7</w:t>
            </w:r>
          </w:p>
          <w:p w14:paraId="43E25C0E"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（11-5-12）、</w:t>
            </w:r>
          </w:p>
          <w:p w14:paraId="5DF25436"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w:t>
            </w:r>
            <w:r w:rsidRPr="001B6E4D">
              <w:rPr>
                <w:rFonts w:ascii="標楷體" w:eastAsia="標楷體" w:hAnsi="標楷體"/>
                <w:color w:val="000000"/>
                <w:kern w:val="0"/>
              </w:rPr>
              <w:t>5</w:t>
            </w:r>
            <w:r w:rsidRPr="001B6E4D">
              <w:rPr>
                <w:rFonts w:ascii="標楷體" w:eastAsia="標楷體" w:hAnsi="標楷體" w:hint="eastAsia"/>
                <w:color w:val="000000"/>
                <w:kern w:val="0"/>
              </w:rPr>
              <w:t>.</w:t>
            </w:r>
            <w:r w:rsidRPr="001B6E4D">
              <w:rPr>
                <w:rFonts w:ascii="標楷體" w:eastAsia="標楷體" w:hAnsi="標楷體"/>
                <w:color w:val="000000"/>
                <w:kern w:val="0"/>
              </w:rPr>
              <w:t>6</w:t>
            </w:r>
            <w:r w:rsidRPr="001B6E4D">
              <w:rPr>
                <w:rFonts w:ascii="標楷體" w:eastAsia="標楷體" w:hAnsi="標楷體" w:hint="eastAsia"/>
                <w:color w:val="000000"/>
                <w:kern w:val="0"/>
              </w:rPr>
              <w:t>.</w:t>
            </w:r>
            <w:r w:rsidRPr="001B6E4D">
              <w:rPr>
                <w:rFonts w:ascii="標楷體" w:eastAsia="標楷體" w:hAnsi="標楷體"/>
                <w:color w:val="000000"/>
                <w:kern w:val="0"/>
              </w:rPr>
              <w:t>3</w:t>
            </w:r>
          </w:p>
          <w:p w14:paraId="349579BA"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w:t>
            </w:r>
            <w:r w:rsidRPr="001B6E4D">
              <w:rPr>
                <w:rFonts w:ascii="標楷體" w:eastAsia="標楷體" w:hAnsi="標楷體"/>
                <w:color w:val="000000"/>
                <w:kern w:val="0"/>
              </w:rPr>
              <w:t>5</w:t>
            </w:r>
            <w:r w:rsidRPr="001B6E4D">
              <w:rPr>
                <w:rFonts w:ascii="標楷體" w:eastAsia="標楷體" w:hAnsi="標楷體" w:hint="eastAsia"/>
                <w:color w:val="000000"/>
                <w:kern w:val="0"/>
              </w:rPr>
              <w:t>-1</w:t>
            </w:r>
            <w:r w:rsidRPr="001B6E4D">
              <w:rPr>
                <w:rFonts w:ascii="標楷體" w:eastAsia="標楷體" w:hAnsi="標楷體"/>
                <w:color w:val="000000"/>
                <w:kern w:val="0"/>
              </w:rPr>
              <w:t>6</w:t>
            </w:r>
            <w:r w:rsidRPr="001B6E4D">
              <w:rPr>
                <w:rFonts w:ascii="標楷體" w:eastAsia="標楷體" w:hAnsi="標楷體" w:hint="eastAsia"/>
                <w:color w:val="000000"/>
                <w:kern w:val="0"/>
              </w:rPr>
              <w:t>）</w:t>
            </w:r>
          </w:p>
          <w:p w14:paraId="656BB3CD"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審竣銓敘部主管「公教人員個人</w:t>
            </w:r>
            <w:proofErr w:type="gramStart"/>
            <w:r w:rsidRPr="001B6E4D">
              <w:rPr>
                <w:rFonts w:ascii="標楷體" w:eastAsia="標楷體" w:hAnsi="標楷體" w:hint="eastAsia"/>
                <w:color w:val="000000"/>
                <w:kern w:val="0"/>
              </w:rPr>
              <w:t>專戶制退撫</w:t>
            </w:r>
            <w:proofErr w:type="gramEnd"/>
            <w:r w:rsidRPr="001B6E4D">
              <w:rPr>
                <w:rFonts w:ascii="標楷體" w:eastAsia="標楷體" w:hAnsi="標楷體" w:hint="eastAsia"/>
                <w:color w:val="000000"/>
                <w:kern w:val="0"/>
              </w:rPr>
              <w:t>儲金基金」收支部分，須交由黨團協商。</w:t>
            </w:r>
          </w:p>
        </w:tc>
        <w:tc>
          <w:tcPr>
            <w:tcW w:w="1417" w:type="dxa"/>
            <w:vMerge/>
          </w:tcPr>
          <w:p w14:paraId="6FDDBA81" w14:textId="77777777" w:rsidR="00B90798" w:rsidRPr="001B6E4D" w:rsidRDefault="00B90798" w:rsidP="003D1018">
            <w:pPr>
              <w:widowControl w:val="0"/>
              <w:kinsoku w:val="0"/>
              <w:overflowPunct w:val="0"/>
              <w:adjustRightInd w:val="0"/>
              <w:snapToGrid w:val="0"/>
              <w:spacing w:line="300" w:lineRule="exact"/>
              <w:ind w:left="240" w:hangingChars="100" w:hanging="240"/>
              <w:jc w:val="both"/>
              <w:rPr>
                <w:rFonts w:ascii="標楷體" w:eastAsia="標楷體" w:hAnsi="標楷體"/>
                <w:kern w:val="0"/>
              </w:rPr>
            </w:pPr>
          </w:p>
        </w:tc>
      </w:tr>
      <w:tr w:rsidR="00B90798" w:rsidRPr="001B6E4D" w14:paraId="139A8081" w14:textId="77777777" w:rsidTr="00BC6372">
        <w:trPr>
          <w:trHeight w:val="279"/>
        </w:trPr>
        <w:tc>
          <w:tcPr>
            <w:tcW w:w="624" w:type="dxa"/>
            <w:vMerge/>
          </w:tcPr>
          <w:p w14:paraId="0B8B3A54" w14:textId="77777777" w:rsidR="00B90798" w:rsidRPr="001B6E4D" w:rsidRDefault="00B90798" w:rsidP="003D1018">
            <w:pPr>
              <w:widowControl w:val="0"/>
              <w:overflowPunct w:val="0"/>
              <w:adjustRightInd w:val="0"/>
              <w:snapToGrid w:val="0"/>
              <w:spacing w:line="260" w:lineRule="exact"/>
              <w:jc w:val="center"/>
              <w:rPr>
                <w:rFonts w:ascii="標楷體" w:eastAsia="標楷體" w:hAnsi="標楷體"/>
              </w:rPr>
            </w:pPr>
          </w:p>
        </w:tc>
        <w:tc>
          <w:tcPr>
            <w:tcW w:w="1842" w:type="dxa"/>
            <w:vMerge/>
          </w:tcPr>
          <w:p w14:paraId="774963DB" w14:textId="77777777" w:rsidR="00B90798" w:rsidRPr="001B6E4D" w:rsidRDefault="00B90798" w:rsidP="003D1018">
            <w:pPr>
              <w:widowControl w:val="0"/>
              <w:kinsoku w:val="0"/>
              <w:overflowPunct w:val="0"/>
              <w:topLinePunct/>
              <w:adjustRightInd w:val="0"/>
              <w:snapToGrid w:val="0"/>
              <w:spacing w:line="300" w:lineRule="exact"/>
              <w:jc w:val="both"/>
              <w:rPr>
                <w:rFonts w:ascii="標楷體" w:eastAsia="標楷體" w:hAnsi="標楷體"/>
                <w:kern w:val="0"/>
              </w:rPr>
            </w:pPr>
          </w:p>
        </w:tc>
        <w:tc>
          <w:tcPr>
            <w:tcW w:w="1558" w:type="dxa"/>
            <w:vMerge/>
          </w:tcPr>
          <w:p w14:paraId="5588C35D" w14:textId="77777777" w:rsidR="00B90798" w:rsidRPr="001B6E4D" w:rsidRDefault="00B90798" w:rsidP="003D1018">
            <w:pPr>
              <w:widowControl w:val="0"/>
              <w:overflowPunct w:val="0"/>
              <w:spacing w:line="280" w:lineRule="exact"/>
              <w:rPr>
                <w:rFonts w:ascii="標楷體" w:eastAsia="標楷體" w:hAnsi="標楷體"/>
                <w:kern w:val="0"/>
              </w:rPr>
            </w:pPr>
          </w:p>
        </w:tc>
        <w:tc>
          <w:tcPr>
            <w:tcW w:w="1430" w:type="dxa"/>
            <w:vMerge w:val="restart"/>
          </w:tcPr>
          <w:p w14:paraId="7ABBBBE5" w14:textId="77777777" w:rsidR="00B90798" w:rsidRPr="001B6E4D" w:rsidRDefault="00B90798" w:rsidP="003D1018">
            <w:pPr>
              <w:widowControl w:val="0"/>
              <w:overflowPunct w:val="0"/>
              <w:spacing w:line="300" w:lineRule="exact"/>
              <w:rPr>
                <w:rFonts w:ascii="標楷體" w:eastAsia="標楷體" w:hAnsi="標楷體"/>
                <w:kern w:val="0"/>
              </w:rPr>
            </w:pPr>
            <w:r w:rsidRPr="001B6E4D">
              <w:rPr>
                <w:rFonts w:ascii="標楷體" w:eastAsia="標楷體" w:hAnsi="標楷體" w:hint="eastAsia"/>
                <w:kern w:val="0"/>
              </w:rPr>
              <w:t>司法及法制</w:t>
            </w:r>
          </w:p>
          <w:p w14:paraId="0F243CBA" w14:textId="77777777" w:rsidR="00B90798" w:rsidRPr="001B6E4D" w:rsidRDefault="00B90798" w:rsidP="003D1018">
            <w:pPr>
              <w:widowControl w:val="0"/>
              <w:overflowPunct w:val="0"/>
              <w:spacing w:line="300" w:lineRule="exact"/>
              <w:rPr>
                <w:rFonts w:ascii="標楷體" w:eastAsia="標楷體" w:hAnsi="標楷體"/>
                <w:kern w:val="0"/>
              </w:rPr>
            </w:pPr>
            <w:r w:rsidRPr="001B6E4D">
              <w:rPr>
                <w:rFonts w:ascii="標楷體" w:eastAsia="標楷體" w:hAnsi="標楷體" w:hint="eastAsia"/>
                <w:kern w:val="0"/>
              </w:rPr>
              <w:t>翁召集委員曉玲</w:t>
            </w:r>
          </w:p>
        </w:tc>
        <w:tc>
          <w:tcPr>
            <w:tcW w:w="1829" w:type="dxa"/>
          </w:tcPr>
          <w:p w14:paraId="7C3A5AD9"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115.4.30</w:t>
            </w:r>
          </w:p>
          <w:p w14:paraId="65BC2846"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（11-5-10）、115.5.27</w:t>
            </w:r>
          </w:p>
          <w:p w14:paraId="7E61DF91"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(11-5-15)</w:t>
            </w:r>
          </w:p>
          <w:p w14:paraId="0BCAAB39"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審竣法務部主管「法務部矯正機關作業基金」收支部分，須交由黨團協商。</w:t>
            </w:r>
          </w:p>
        </w:tc>
        <w:tc>
          <w:tcPr>
            <w:tcW w:w="1417" w:type="dxa"/>
            <w:vMerge/>
          </w:tcPr>
          <w:p w14:paraId="791772C2" w14:textId="77777777" w:rsidR="00B90798" w:rsidRPr="001B6E4D" w:rsidRDefault="00B90798" w:rsidP="003D1018">
            <w:pPr>
              <w:widowControl w:val="0"/>
              <w:kinsoku w:val="0"/>
              <w:overflowPunct w:val="0"/>
              <w:adjustRightInd w:val="0"/>
              <w:snapToGrid w:val="0"/>
              <w:spacing w:line="300" w:lineRule="exact"/>
              <w:ind w:left="240" w:hangingChars="100" w:hanging="240"/>
              <w:jc w:val="both"/>
              <w:rPr>
                <w:rFonts w:ascii="標楷體" w:eastAsia="標楷體" w:hAnsi="標楷體"/>
                <w:kern w:val="0"/>
              </w:rPr>
            </w:pPr>
          </w:p>
        </w:tc>
      </w:tr>
      <w:tr w:rsidR="00B90798" w:rsidRPr="001B6E4D" w14:paraId="0B9BEC8C" w14:textId="77777777" w:rsidTr="00BC6372">
        <w:trPr>
          <w:trHeight w:val="279"/>
        </w:trPr>
        <w:tc>
          <w:tcPr>
            <w:tcW w:w="624" w:type="dxa"/>
            <w:vMerge/>
          </w:tcPr>
          <w:p w14:paraId="29408A70" w14:textId="77777777" w:rsidR="00B90798" w:rsidRPr="001B6E4D" w:rsidRDefault="00B90798" w:rsidP="003D1018">
            <w:pPr>
              <w:widowControl w:val="0"/>
              <w:overflowPunct w:val="0"/>
              <w:adjustRightInd w:val="0"/>
              <w:snapToGrid w:val="0"/>
              <w:spacing w:line="260" w:lineRule="exact"/>
              <w:jc w:val="center"/>
              <w:rPr>
                <w:rFonts w:ascii="標楷體" w:eastAsia="標楷體" w:hAnsi="標楷體"/>
              </w:rPr>
            </w:pPr>
          </w:p>
        </w:tc>
        <w:tc>
          <w:tcPr>
            <w:tcW w:w="1842" w:type="dxa"/>
            <w:vMerge/>
          </w:tcPr>
          <w:p w14:paraId="2C0BBFA8" w14:textId="77777777" w:rsidR="00B90798" w:rsidRPr="001B6E4D" w:rsidRDefault="00B90798" w:rsidP="003D1018">
            <w:pPr>
              <w:widowControl w:val="0"/>
              <w:kinsoku w:val="0"/>
              <w:overflowPunct w:val="0"/>
              <w:topLinePunct/>
              <w:adjustRightInd w:val="0"/>
              <w:snapToGrid w:val="0"/>
              <w:spacing w:line="300" w:lineRule="exact"/>
              <w:jc w:val="both"/>
              <w:rPr>
                <w:rFonts w:ascii="標楷體" w:eastAsia="標楷體" w:hAnsi="標楷體"/>
                <w:kern w:val="0"/>
              </w:rPr>
            </w:pPr>
          </w:p>
        </w:tc>
        <w:tc>
          <w:tcPr>
            <w:tcW w:w="1558" w:type="dxa"/>
            <w:vMerge/>
          </w:tcPr>
          <w:p w14:paraId="59C4691F" w14:textId="77777777" w:rsidR="00B90798" w:rsidRPr="001B6E4D" w:rsidRDefault="00B90798" w:rsidP="003D1018">
            <w:pPr>
              <w:widowControl w:val="0"/>
              <w:overflowPunct w:val="0"/>
              <w:spacing w:line="280" w:lineRule="exact"/>
              <w:rPr>
                <w:rFonts w:ascii="標楷體" w:eastAsia="標楷體" w:hAnsi="標楷體"/>
                <w:kern w:val="0"/>
              </w:rPr>
            </w:pPr>
          </w:p>
        </w:tc>
        <w:tc>
          <w:tcPr>
            <w:tcW w:w="1430" w:type="dxa"/>
            <w:vMerge/>
          </w:tcPr>
          <w:p w14:paraId="5F01A2FA" w14:textId="77777777" w:rsidR="00B90798" w:rsidRPr="001B6E4D" w:rsidRDefault="00B90798" w:rsidP="003D1018">
            <w:pPr>
              <w:widowControl w:val="0"/>
              <w:overflowPunct w:val="0"/>
              <w:spacing w:line="300" w:lineRule="exact"/>
              <w:rPr>
                <w:rFonts w:ascii="標楷體" w:eastAsia="標楷體" w:hAnsi="標楷體"/>
                <w:kern w:val="0"/>
              </w:rPr>
            </w:pPr>
          </w:p>
        </w:tc>
        <w:tc>
          <w:tcPr>
            <w:tcW w:w="1829" w:type="dxa"/>
          </w:tcPr>
          <w:p w14:paraId="5CD62D0E"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115.4.30</w:t>
            </w:r>
          </w:p>
          <w:p w14:paraId="1F8B62EE"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（11-5-10）、115.5.27</w:t>
            </w:r>
          </w:p>
          <w:p w14:paraId="415F0D11"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(11-5-15)</w:t>
            </w:r>
          </w:p>
          <w:p w14:paraId="76851F63" w14:textId="77777777" w:rsidR="00B90798" w:rsidRPr="001B6E4D" w:rsidRDefault="00B90798"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審竣法務部主管「毒品防制基金」收支部分，須交由黨團協商。</w:t>
            </w:r>
          </w:p>
        </w:tc>
        <w:tc>
          <w:tcPr>
            <w:tcW w:w="1417" w:type="dxa"/>
            <w:vMerge/>
          </w:tcPr>
          <w:p w14:paraId="6C120D7A" w14:textId="77777777" w:rsidR="00B90798" w:rsidRPr="001B6E4D" w:rsidRDefault="00B90798" w:rsidP="003D1018">
            <w:pPr>
              <w:widowControl w:val="0"/>
              <w:kinsoku w:val="0"/>
              <w:overflowPunct w:val="0"/>
              <w:adjustRightInd w:val="0"/>
              <w:snapToGrid w:val="0"/>
              <w:spacing w:line="300" w:lineRule="exact"/>
              <w:ind w:left="240" w:hangingChars="100" w:hanging="240"/>
              <w:jc w:val="both"/>
              <w:rPr>
                <w:rFonts w:ascii="標楷體" w:eastAsia="標楷體" w:hAnsi="標楷體"/>
                <w:kern w:val="0"/>
              </w:rPr>
            </w:pPr>
          </w:p>
        </w:tc>
      </w:tr>
    </w:tbl>
    <w:p w14:paraId="210D267B" w14:textId="0974101F" w:rsidR="00D52CE7" w:rsidRPr="001B6E4D" w:rsidRDefault="00D52CE7" w:rsidP="003D1018">
      <w:pPr>
        <w:pStyle w:val="affffff0"/>
        <w:kinsoku w:val="0"/>
        <w:overflowPunct w:val="0"/>
        <w:topLinePunct/>
        <w:spacing w:before="180" w:after="180"/>
        <w:ind w:leftChars="128" w:left="307" w:firstLineChars="200" w:firstLine="561"/>
      </w:pPr>
      <w:bookmarkStart w:id="190" w:name="_Toc240446542"/>
      <w:r w:rsidRPr="001B6E4D">
        <w:rPr>
          <w:rFonts w:hint="eastAsia"/>
          <w:color w:val="000000" w:themeColor="text1"/>
          <w:szCs w:val="28"/>
          <w:shd w:val="clear" w:color="auto" w:fill="FFFFFF" w:themeFill="background1"/>
        </w:rPr>
        <w:lastRenderedPageBreak/>
        <w:t>二</w:t>
      </w:r>
      <w:r w:rsidR="00114D45" w:rsidRPr="001B6E4D">
        <w:rPr>
          <w:rFonts w:hint="eastAsia"/>
          <w:color w:val="000000" w:themeColor="text1"/>
          <w:szCs w:val="28"/>
          <w:shd w:val="clear" w:color="auto" w:fill="FFFFFF" w:themeFill="background1"/>
        </w:rPr>
        <w:t>、財團法人3</w:t>
      </w:r>
      <w:r w:rsidR="00114D45" w:rsidRPr="001B6E4D">
        <w:rPr>
          <w:color w:val="000000" w:themeColor="text1"/>
          <w:szCs w:val="28"/>
          <w:shd w:val="clear" w:color="auto" w:fill="FFFFFF" w:themeFill="background1"/>
        </w:rPr>
        <w:t>案</w:t>
      </w:r>
      <w:bookmarkEnd w:id="190"/>
    </w:p>
    <w:tbl>
      <w:tblPr>
        <w:tblW w:w="8713"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761"/>
        <w:gridCol w:w="1947"/>
        <w:gridCol w:w="1984"/>
        <w:gridCol w:w="1985"/>
        <w:gridCol w:w="2036"/>
      </w:tblGrid>
      <w:tr w:rsidR="00D52CE7" w:rsidRPr="001B6E4D" w14:paraId="384B1FBE" w14:textId="77777777" w:rsidTr="00D52CE7">
        <w:trPr>
          <w:jc w:val="center"/>
        </w:trPr>
        <w:tc>
          <w:tcPr>
            <w:tcW w:w="761" w:type="dxa"/>
          </w:tcPr>
          <w:p w14:paraId="1089F28F" w14:textId="77777777" w:rsidR="00D52CE7" w:rsidRPr="001B6E4D" w:rsidRDefault="00D52CE7" w:rsidP="003D1018">
            <w:pPr>
              <w:widowControl w:val="0"/>
              <w:kinsoku w:val="0"/>
              <w:overflowPunct w:val="0"/>
              <w:topLinePunct/>
              <w:adjustRightInd w:val="0"/>
              <w:snapToGrid w:val="0"/>
              <w:spacing w:line="300" w:lineRule="exact"/>
              <w:jc w:val="center"/>
              <w:rPr>
                <w:rFonts w:ascii="標楷體" w:eastAsia="標楷體" w:hAnsi="標楷體"/>
                <w:b/>
                <w:color w:val="000000"/>
              </w:rPr>
            </w:pPr>
            <w:bookmarkStart w:id="191" w:name="_Toc339894275"/>
            <w:bookmarkStart w:id="192" w:name="_Toc339459235"/>
            <w:bookmarkStart w:id="193" w:name="_Toc338767523"/>
            <w:bookmarkStart w:id="194" w:name="_Toc338150502"/>
            <w:bookmarkStart w:id="195" w:name="_Toc337040832"/>
            <w:bookmarkStart w:id="196" w:name="_Toc337039818"/>
            <w:bookmarkStart w:id="197" w:name="_Toc337039706"/>
            <w:bookmarkStart w:id="198" w:name="_Toc336248591"/>
            <w:bookmarkStart w:id="199" w:name="_Toc340610968"/>
            <w:bookmarkStart w:id="200" w:name="_Toc341187101"/>
            <w:bookmarkStart w:id="201" w:name="_Toc341866871"/>
            <w:bookmarkStart w:id="202" w:name="_Toc342405349"/>
            <w:bookmarkStart w:id="203" w:name="_Toc342925420"/>
            <w:bookmarkStart w:id="204" w:name="_Toc343693196"/>
            <w:bookmarkStart w:id="205" w:name="_Toc344482999"/>
            <w:bookmarkStart w:id="206" w:name="_Toc346096257"/>
            <w:r w:rsidRPr="001B6E4D">
              <w:rPr>
                <w:rFonts w:ascii="標楷體" w:eastAsia="標楷體" w:hAnsi="標楷體"/>
                <w:b/>
                <w:color w:val="000000"/>
              </w:rPr>
              <w:t>序號</w:t>
            </w:r>
          </w:p>
        </w:tc>
        <w:tc>
          <w:tcPr>
            <w:tcW w:w="1947" w:type="dxa"/>
          </w:tcPr>
          <w:p w14:paraId="172B226E" w14:textId="77777777" w:rsidR="00D52CE7" w:rsidRPr="001B6E4D" w:rsidRDefault="00D52CE7"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議案名稱</w:t>
            </w:r>
          </w:p>
        </w:tc>
        <w:tc>
          <w:tcPr>
            <w:tcW w:w="1984" w:type="dxa"/>
          </w:tcPr>
          <w:p w14:paraId="6CD49E90" w14:textId="77777777" w:rsidR="00D52CE7" w:rsidRPr="001B6E4D" w:rsidRDefault="00D52CE7"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提案機關</w:t>
            </w:r>
          </w:p>
          <w:p w14:paraId="33D3FAE4" w14:textId="77777777" w:rsidR="00D52CE7" w:rsidRPr="001B6E4D" w:rsidRDefault="00D52CE7" w:rsidP="003D1018">
            <w:pPr>
              <w:widowControl w:val="0"/>
              <w:kinsoku w:val="0"/>
              <w:overflowPunct w:val="0"/>
              <w:topLinePunct/>
              <w:adjustRightInd w:val="0"/>
              <w:snapToGrid w:val="0"/>
              <w:spacing w:line="300" w:lineRule="exact"/>
              <w:jc w:val="center"/>
              <w:rPr>
                <w:rFonts w:ascii="標楷體" w:eastAsia="標楷體" w:hAnsi="標楷體"/>
                <w:b/>
                <w:color w:val="000000"/>
                <w:spacing w:val="-20"/>
              </w:rPr>
            </w:pPr>
            <w:r w:rsidRPr="001B6E4D">
              <w:rPr>
                <w:rFonts w:ascii="標楷體" w:eastAsia="標楷體" w:hAnsi="標楷體"/>
                <w:b/>
                <w:color w:val="000000"/>
                <w:spacing w:val="-20"/>
              </w:rPr>
              <w:t>院會交付日期</w:t>
            </w:r>
          </w:p>
          <w:p w14:paraId="664CCAFA" w14:textId="77777777" w:rsidR="00D52CE7" w:rsidRPr="001B6E4D" w:rsidRDefault="00D52CE7"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（會次）</w:t>
            </w:r>
          </w:p>
        </w:tc>
        <w:tc>
          <w:tcPr>
            <w:tcW w:w="1985" w:type="dxa"/>
          </w:tcPr>
          <w:p w14:paraId="2B13C3F8" w14:textId="77777777" w:rsidR="00D52CE7" w:rsidRPr="001B6E4D" w:rsidRDefault="00D52CE7"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審查委員會</w:t>
            </w:r>
          </w:p>
          <w:p w14:paraId="3051D132" w14:textId="77777777" w:rsidR="00D52CE7" w:rsidRPr="001B6E4D" w:rsidRDefault="00D52CE7"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院會說明人</w:t>
            </w:r>
          </w:p>
        </w:tc>
        <w:tc>
          <w:tcPr>
            <w:tcW w:w="2036" w:type="dxa"/>
          </w:tcPr>
          <w:p w14:paraId="4DD3254F" w14:textId="77777777" w:rsidR="00D52CE7" w:rsidRPr="001B6E4D" w:rsidRDefault="00D52CE7"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審查情形</w:t>
            </w:r>
          </w:p>
        </w:tc>
      </w:tr>
      <w:tr w:rsidR="00D52CE7" w:rsidRPr="001B6E4D" w14:paraId="6FCFF532" w14:textId="77777777" w:rsidTr="00D52CE7">
        <w:trPr>
          <w:jc w:val="center"/>
        </w:trPr>
        <w:tc>
          <w:tcPr>
            <w:tcW w:w="761" w:type="dxa"/>
          </w:tcPr>
          <w:p w14:paraId="350D7FE9" w14:textId="77777777" w:rsidR="00D52CE7" w:rsidRPr="001B6E4D" w:rsidRDefault="00D52CE7" w:rsidP="003D1018">
            <w:pPr>
              <w:widowControl w:val="0"/>
              <w:kinsoku w:val="0"/>
              <w:overflowPunct w:val="0"/>
              <w:topLinePunct/>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t>1</w:t>
            </w:r>
          </w:p>
        </w:tc>
        <w:tc>
          <w:tcPr>
            <w:tcW w:w="1947" w:type="dxa"/>
          </w:tcPr>
          <w:p w14:paraId="61F0D6D9" w14:textId="77777777" w:rsidR="00D52CE7" w:rsidRPr="001B6E4D" w:rsidRDefault="00D52CE7" w:rsidP="003D1018">
            <w:pPr>
              <w:widowControl w:val="0"/>
              <w:kinsoku w:val="0"/>
              <w:overflowPunct w:val="0"/>
              <w:topLinePunct/>
              <w:autoSpaceDE w:val="0"/>
              <w:autoSpaceDN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法務部函送財團法人臺灣更生保護會、財團法人福建更生保護會及財團法人犯罪被害人保護協會</w:t>
            </w:r>
            <w:proofErr w:type="gramStart"/>
            <w:r w:rsidRPr="001B6E4D">
              <w:rPr>
                <w:rFonts w:ascii="標楷體" w:eastAsia="標楷體" w:hAnsi="標楷體" w:hint="eastAsia"/>
                <w:color w:val="000000"/>
                <w:kern w:val="0"/>
              </w:rPr>
              <w:t>106</w:t>
            </w:r>
            <w:proofErr w:type="gramEnd"/>
            <w:r w:rsidRPr="001B6E4D">
              <w:rPr>
                <w:rFonts w:ascii="標楷體" w:eastAsia="標楷體" w:hAnsi="標楷體" w:hint="eastAsia"/>
                <w:color w:val="000000"/>
                <w:kern w:val="0"/>
              </w:rPr>
              <w:t>年度預算書案。</w:t>
            </w:r>
          </w:p>
        </w:tc>
        <w:tc>
          <w:tcPr>
            <w:tcW w:w="1984" w:type="dxa"/>
          </w:tcPr>
          <w:p w14:paraId="6F6F2E6D" w14:textId="77777777" w:rsidR="00D52CE7" w:rsidRPr="001B6E4D" w:rsidRDefault="00D52CE7" w:rsidP="003D1018">
            <w:pPr>
              <w:widowControl w:val="0"/>
              <w:kinsoku w:val="0"/>
              <w:overflowPunct w:val="0"/>
              <w:topLinePunct/>
              <w:autoSpaceDE w:val="0"/>
              <w:autoSpaceDN w:val="0"/>
              <w:adjustRightInd w:val="0"/>
              <w:snapToGrid w:val="0"/>
              <w:spacing w:line="300" w:lineRule="exact"/>
              <w:rPr>
                <w:rFonts w:ascii="標楷體" w:eastAsia="標楷體" w:hAnsi="標楷體"/>
                <w:color w:val="000000"/>
                <w:kern w:val="0"/>
              </w:rPr>
            </w:pPr>
            <w:r w:rsidRPr="001B6E4D">
              <w:rPr>
                <w:rFonts w:ascii="標楷體" w:eastAsia="標楷體" w:hAnsi="標楷體" w:hint="eastAsia"/>
                <w:color w:val="000000"/>
                <w:kern w:val="0"/>
              </w:rPr>
              <w:t>法務部 105.09.13</w:t>
            </w:r>
          </w:p>
          <w:p w14:paraId="17550582" w14:textId="77777777" w:rsidR="00D52CE7" w:rsidRPr="001B6E4D" w:rsidRDefault="00D52CE7" w:rsidP="003D1018">
            <w:pPr>
              <w:widowControl w:val="0"/>
              <w:kinsoku w:val="0"/>
              <w:overflowPunct w:val="0"/>
              <w:topLinePunct/>
              <w:autoSpaceDE w:val="0"/>
              <w:autoSpaceDN w:val="0"/>
              <w:adjustRightInd w:val="0"/>
              <w:snapToGrid w:val="0"/>
              <w:spacing w:line="300" w:lineRule="exact"/>
              <w:rPr>
                <w:rFonts w:ascii="標楷體" w:eastAsia="標楷體" w:hAnsi="標楷體"/>
                <w:color w:val="000000"/>
                <w:kern w:val="0"/>
              </w:rPr>
            </w:pPr>
            <w:r w:rsidRPr="001B6E4D">
              <w:rPr>
                <w:rFonts w:ascii="標楷體" w:eastAsia="標楷體" w:hAnsi="標楷體" w:hint="eastAsia"/>
                <w:color w:val="000000"/>
                <w:kern w:val="0"/>
              </w:rPr>
              <w:t>（9-2-1）</w:t>
            </w:r>
          </w:p>
        </w:tc>
        <w:tc>
          <w:tcPr>
            <w:tcW w:w="1985" w:type="dxa"/>
          </w:tcPr>
          <w:p w14:paraId="33C11415" w14:textId="77777777" w:rsidR="00D52CE7" w:rsidRPr="001B6E4D" w:rsidRDefault="00D52CE7" w:rsidP="003D1018">
            <w:pPr>
              <w:widowControl w:val="0"/>
              <w:kinsoku w:val="0"/>
              <w:overflowPunct w:val="0"/>
              <w:topLinePunct/>
              <w:adjustRightInd w:val="0"/>
              <w:snapToGrid w:val="0"/>
              <w:spacing w:line="300" w:lineRule="exact"/>
              <w:rPr>
                <w:rFonts w:ascii="標楷體" w:eastAsia="標楷體" w:hAnsi="標楷體"/>
                <w:color w:val="000000"/>
                <w:kern w:val="0"/>
              </w:rPr>
            </w:pPr>
            <w:r w:rsidRPr="001B6E4D">
              <w:rPr>
                <w:rFonts w:ascii="標楷體" w:eastAsia="標楷體" w:hAnsi="標楷體" w:hint="eastAsia"/>
                <w:color w:val="000000"/>
                <w:kern w:val="0"/>
              </w:rPr>
              <w:t>司法及法制</w:t>
            </w:r>
          </w:p>
          <w:p w14:paraId="112C4AE4" w14:textId="77777777" w:rsidR="00D52CE7" w:rsidRPr="001B6E4D" w:rsidRDefault="00D52CE7" w:rsidP="003D1018">
            <w:pPr>
              <w:widowControl w:val="0"/>
              <w:kinsoku w:val="0"/>
              <w:overflowPunct w:val="0"/>
              <w:topLinePunct/>
              <w:adjustRightInd w:val="0"/>
              <w:snapToGrid w:val="0"/>
              <w:spacing w:line="300" w:lineRule="exact"/>
              <w:rPr>
                <w:rFonts w:ascii="標楷體" w:eastAsia="標楷體" w:hAnsi="標楷體"/>
                <w:color w:val="000000"/>
                <w:kern w:val="0"/>
              </w:rPr>
            </w:pPr>
            <w:r w:rsidRPr="001B6E4D">
              <w:rPr>
                <w:rFonts w:ascii="標楷體" w:eastAsia="標楷體" w:hAnsi="標楷體" w:hint="eastAsia"/>
                <w:color w:val="000000"/>
                <w:kern w:val="0"/>
              </w:rPr>
              <w:t>許召集委員淑華</w:t>
            </w:r>
          </w:p>
        </w:tc>
        <w:tc>
          <w:tcPr>
            <w:tcW w:w="2036" w:type="dxa"/>
          </w:tcPr>
          <w:p w14:paraId="6B41B776" w14:textId="77777777" w:rsidR="00D52CE7" w:rsidRPr="001B6E4D" w:rsidRDefault="00D52CE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本會</w:t>
            </w:r>
          </w:p>
          <w:p w14:paraId="53281144" w14:textId="77777777" w:rsidR="00D52CE7" w:rsidRPr="001B6E4D" w:rsidRDefault="00D52CE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105.12.19</w:t>
            </w:r>
          </w:p>
          <w:p w14:paraId="432B5105" w14:textId="77777777" w:rsidR="00D52CE7" w:rsidRPr="001B6E4D" w:rsidRDefault="00D52CE7" w:rsidP="003D1018">
            <w:pPr>
              <w:widowControl w:val="0"/>
              <w:kinsoku w:val="0"/>
              <w:overflowPunct w:val="0"/>
              <w:adjustRightInd w:val="0"/>
              <w:snapToGrid w:val="0"/>
              <w:spacing w:line="300" w:lineRule="exact"/>
              <w:jc w:val="both"/>
              <w:rPr>
                <w:rFonts w:ascii="標楷體" w:eastAsia="標楷體" w:hAnsi="標楷體"/>
                <w:color w:val="000000"/>
              </w:rPr>
            </w:pPr>
            <w:r w:rsidRPr="001B6E4D">
              <w:rPr>
                <w:rFonts w:ascii="標楷體" w:eastAsia="標楷體" w:hAnsi="標楷體" w:hint="eastAsia"/>
                <w:color w:val="000000"/>
                <w:kern w:val="0"/>
              </w:rPr>
              <w:t>（9-2-22）審查完竣，須交由黨團協商。</w:t>
            </w:r>
          </w:p>
        </w:tc>
      </w:tr>
      <w:tr w:rsidR="00D52CE7" w:rsidRPr="001B6E4D" w14:paraId="3FD5DCA6" w14:textId="77777777" w:rsidTr="00D52CE7">
        <w:trPr>
          <w:jc w:val="center"/>
        </w:trPr>
        <w:tc>
          <w:tcPr>
            <w:tcW w:w="761" w:type="dxa"/>
          </w:tcPr>
          <w:p w14:paraId="17FE6AD7" w14:textId="77777777" w:rsidR="00D52CE7" w:rsidRPr="001B6E4D" w:rsidRDefault="00D52CE7" w:rsidP="003D1018">
            <w:pPr>
              <w:widowControl w:val="0"/>
              <w:kinsoku w:val="0"/>
              <w:overflowPunct w:val="0"/>
              <w:topLinePunct/>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t>2</w:t>
            </w:r>
          </w:p>
        </w:tc>
        <w:tc>
          <w:tcPr>
            <w:tcW w:w="1947" w:type="dxa"/>
          </w:tcPr>
          <w:p w14:paraId="16556E55" w14:textId="77777777" w:rsidR="00D52CE7" w:rsidRPr="001B6E4D" w:rsidRDefault="00D52CE7" w:rsidP="003D1018">
            <w:pPr>
              <w:widowControl w:val="0"/>
              <w:kinsoku w:val="0"/>
              <w:overflowPunct w:val="0"/>
              <w:topLinePunct/>
              <w:autoSpaceDE w:val="0"/>
              <w:autoSpaceDN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司法院函送財團法人法律扶助基金會</w:t>
            </w:r>
            <w:proofErr w:type="gramStart"/>
            <w:r w:rsidRPr="001B6E4D">
              <w:rPr>
                <w:rFonts w:ascii="標楷體" w:eastAsia="標楷體" w:hAnsi="標楷體" w:hint="eastAsia"/>
                <w:color w:val="000000"/>
                <w:kern w:val="0"/>
              </w:rPr>
              <w:t>110</w:t>
            </w:r>
            <w:proofErr w:type="gramEnd"/>
            <w:r w:rsidRPr="001B6E4D">
              <w:rPr>
                <w:rFonts w:ascii="標楷體" w:eastAsia="標楷體" w:hAnsi="標楷體" w:hint="eastAsia"/>
                <w:color w:val="000000"/>
                <w:kern w:val="0"/>
              </w:rPr>
              <w:t>年度預算書案。</w:t>
            </w:r>
          </w:p>
        </w:tc>
        <w:tc>
          <w:tcPr>
            <w:tcW w:w="1984" w:type="dxa"/>
          </w:tcPr>
          <w:p w14:paraId="66767D81" w14:textId="77777777" w:rsidR="00D52CE7" w:rsidRPr="001B6E4D" w:rsidRDefault="00D52CE7" w:rsidP="003D1018">
            <w:pPr>
              <w:widowControl w:val="0"/>
              <w:kinsoku w:val="0"/>
              <w:overflowPunct w:val="0"/>
              <w:topLinePunct/>
              <w:autoSpaceDE w:val="0"/>
              <w:autoSpaceDN w:val="0"/>
              <w:adjustRightInd w:val="0"/>
              <w:snapToGrid w:val="0"/>
              <w:spacing w:line="300" w:lineRule="exact"/>
              <w:rPr>
                <w:rFonts w:ascii="標楷體" w:eastAsia="標楷體" w:hAnsi="標楷體"/>
                <w:color w:val="000000"/>
                <w:kern w:val="0"/>
              </w:rPr>
            </w:pPr>
            <w:r w:rsidRPr="001B6E4D">
              <w:rPr>
                <w:rFonts w:ascii="標楷體" w:eastAsia="標楷體" w:hAnsi="標楷體" w:hint="eastAsia"/>
                <w:color w:val="000000"/>
                <w:kern w:val="0"/>
              </w:rPr>
              <w:t>司法院 109.10.06</w:t>
            </w:r>
          </w:p>
          <w:p w14:paraId="6AB9BAC4" w14:textId="77777777" w:rsidR="00D52CE7" w:rsidRPr="001B6E4D" w:rsidRDefault="00D52CE7" w:rsidP="003D1018">
            <w:pPr>
              <w:widowControl w:val="0"/>
              <w:kinsoku w:val="0"/>
              <w:overflowPunct w:val="0"/>
              <w:topLinePunct/>
              <w:autoSpaceDE w:val="0"/>
              <w:autoSpaceDN w:val="0"/>
              <w:adjustRightInd w:val="0"/>
              <w:snapToGrid w:val="0"/>
              <w:spacing w:line="300" w:lineRule="exact"/>
              <w:rPr>
                <w:rFonts w:ascii="標楷體" w:eastAsia="標楷體" w:hAnsi="標楷體"/>
                <w:color w:val="000000"/>
                <w:kern w:val="0"/>
              </w:rPr>
            </w:pPr>
            <w:r w:rsidRPr="001B6E4D">
              <w:rPr>
                <w:rFonts w:ascii="標楷體" w:eastAsia="標楷體" w:hAnsi="標楷體" w:hint="eastAsia"/>
                <w:color w:val="000000"/>
                <w:kern w:val="0"/>
              </w:rPr>
              <w:t>（10-2-3）</w:t>
            </w:r>
          </w:p>
        </w:tc>
        <w:tc>
          <w:tcPr>
            <w:tcW w:w="1985" w:type="dxa"/>
          </w:tcPr>
          <w:p w14:paraId="723EE989" w14:textId="77777777" w:rsidR="00D52CE7" w:rsidRPr="001B6E4D" w:rsidRDefault="00D52CE7" w:rsidP="003D1018">
            <w:pPr>
              <w:widowControl w:val="0"/>
              <w:kinsoku w:val="0"/>
              <w:overflowPunct w:val="0"/>
              <w:topLinePunct/>
              <w:adjustRightInd w:val="0"/>
              <w:snapToGrid w:val="0"/>
              <w:spacing w:line="300" w:lineRule="exact"/>
              <w:rPr>
                <w:rFonts w:ascii="標楷體" w:eastAsia="標楷體" w:hAnsi="標楷體"/>
                <w:color w:val="000000"/>
                <w:kern w:val="0"/>
              </w:rPr>
            </w:pPr>
            <w:r w:rsidRPr="001B6E4D">
              <w:rPr>
                <w:rFonts w:ascii="標楷體" w:eastAsia="標楷體" w:hAnsi="標楷體" w:hint="eastAsia"/>
                <w:color w:val="000000"/>
                <w:kern w:val="0"/>
              </w:rPr>
              <w:t>司法及法制</w:t>
            </w:r>
          </w:p>
          <w:p w14:paraId="72922208" w14:textId="77777777" w:rsidR="00D52CE7" w:rsidRPr="001B6E4D" w:rsidRDefault="00D52CE7" w:rsidP="003D1018">
            <w:pPr>
              <w:widowControl w:val="0"/>
              <w:kinsoku w:val="0"/>
              <w:overflowPunct w:val="0"/>
              <w:topLinePunct/>
              <w:adjustRightInd w:val="0"/>
              <w:snapToGrid w:val="0"/>
              <w:spacing w:line="300" w:lineRule="exact"/>
              <w:rPr>
                <w:rFonts w:ascii="標楷體" w:eastAsia="標楷體" w:hAnsi="標楷體"/>
                <w:color w:val="000000"/>
                <w:kern w:val="0"/>
              </w:rPr>
            </w:pPr>
            <w:proofErr w:type="gramStart"/>
            <w:r w:rsidRPr="001B6E4D">
              <w:rPr>
                <w:rFonts w:ascii="標楷體" w:eastAsia="標楷體" w:hAnsi="標楷體" w:hint="eastAsia"/>
                <w:color w:val="000000"/>
                <w:kern w:val="0"/>
              </w:rPr>
              <w:t>蔡</w:t>
            </w:r>
            <w:proofErr w:type="gramEnd"/>
            <w:r w:rsidRPr="001B6E4D">
              <w:rPr>
                <w:rFonts w:ascii="標楷體" w:eastAsia="標楷體" w:hAnsi="標楷體"/>
                <w:color w:val="000000"/>
                <w:kern w:val="0"/>
              </w:rPr>
              <w:t>召集委員</w:t>
            </w:r>
            <w:r w:rsidRPr="001B6E4D">
              <w:rPr>
                <w:rFonts w:ascii="標楷體" w:eastAsia="標楷體" w:hAnsi="標楷體" w:hint="eastAsia"/>
                <w:color w:val="000000"/>
                <w:kern w:val="0"/>
              </w:rPr>
              <w:t>易餘</w:t>
            </w:r>
          </w:p>
        </w:tc>
        <w:tc>
          <w:tcPr>
            <w:tcW w:w="2036" w:type="dxa"/>
          </w:tcPr>
          <w:p w14:paraId="6B307115" w14:textId="77777777" w:rsidR="00D52CE7" w:rsidRPr="001B6E4D" w:rsidRDefault="00D52CE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本會</w:t>
            </w:r>
          </w:p>
          <w:p w14:paraId="3C6F2D49" w14:textId="77777777" w:rsidR="00D52CE7" w:rsidRPr="001B6E4D" w:rsidRDefault="00D52CE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109.11.9、</w:t>
            </w:r>
          </w:p>
          <w:p w14:paraId="102930B3" w14:textId="77777777" w:rsidR="00D52CE7" w:rsidRPr="001B6E4D" w:rsidRDefault="00D52CE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109.11.11</w:t>
            </w:r>
          </w:p>
          <w:p w14:paraId="173DFB14" w14:textId="77777777" w:rsidR="00D52CE7" w:rsidRPr="001B6E4D" w:rsidRDefault="00D52CE7" w:rsidP="003D1018">
            <w:pPr>
              <w:widowControl w:val="0"/>
              <w:kinsoku w:val="0"/>
              <w:overflowPunct w:val="0"/>
              <w:adjustRightInd w:val="0"/>
              <w:snapToGrid w:val="0"/>
              <w:spacing w:line="300" w:lineRule="exact"/>
              <w:jc w:val="both"/>
              <w:rPr>
                <w:rFonts w:ascii="標楷體" w:eastAsia="標楷體" w:hAnsi="標楷體"/>
                <w:color w:val="000000"/>
              </w:rPr>
            </w:pPr>
            <w:r w:rsidRPr="001B6E4D">
              <w:rPr>
                <w:rFonts w:ascii="標楷體" w:eastAsia="標楷體" w:hAnsi="標楷體" w:hint="eastAsia"/>
                <w:color w:val="000000"/>
                <w:kern w:val="0"/>
              </w:rPr>
              <w:t>（10-2-10）審查完竣，須交由黨團協商。</w:t>
            </w:r>
          </w:p>
        </w:tc>
      </w:tr>
      <w:tr w:rsidR="00D52CE7" w:rsidRPr="001B6E4D" w14:paraId="2E482513" w14:textId="77777777" w:rsidTr="00D52CE7">
        <w:trPr>
          <w:jc w:val="center"/>
        </w:trPr>
        <w:tc>
          <w:tcPr>
            <w:tcW w:w="761" w:type="dxa"/>
          </w:tcPr>
          <w:p w14:paraId="0A7E907E" w14:textId="77777777" w:rsidR="00D52CE7" w:rsidRPr="001B6E4D" w:rsidRDefault="00D52CE7" w:rsidP="003D1018">
            <w:pPr>
              <w:widowControl w:val="0"/>
              <w:kinsoku w:val="0"/>
              <w:overflowPunct w:val="0"/>
              <w:topLinePunct/>
              <w:adjustRightInd w:val="0"/>
              <w:snapToGrid w:val="0"/>
              <w:spacing w:line="300" w:lineRule="exact"/>
              <w:jc w:val="center"/>
              <w:rPr>
                <w:rFonts w:ascii="標楷體" w:eastAsia="標楷體" w:hAnsi="標楷體"/>
                <w:color w:val="000000"/>
              </w:rPr>
            </w:pPr>
            <w:bookmarkStart w:id="207" w:name="_Toc1401113"/>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Pr="001B6E4D">
              <w:rPr>
                <w:rFonts w:ascii="標楷體" w:eastAsia="標楷體" w:hAnsi="標楷體" w:hint="eastAsia"/>
                <w:color w:val="000000"/>
              </w:rPr>
              <w:t>3</w:t>
            </w:r>
          </w:p>
        </w:tc>
        <w:tc>
          <w:tcPr>
            <w:tcW w:w="1947" w:type="dxa"/>
          </w:tcPr>
          <w:p w14:paraId="3479F07D" w14:textId="77777777" w:rsidR="00D52CE7" w:rsidRPr="001B6E4D" w:rsidRDefault="00D52CE7" w:rsidP="003D1018">
            <w:pPr>
              <w:widowControl w:val="0"/>
              <w:kinsoku w:val="0"/>
              <w:overflowPunct w:val="0"/>
              <w:topLinePunct/>
              <w:autoSpaceDE w:val="0"/>
              <w:autoSpaceDN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司法院函送財團法人法律扶助基金會</w:t>
            </w:r>
            <w:proofErr w:type="gramStart"/>
            <w:r w:rsidRPr="001B6E4D">
              <w:rPr>
                <w:rFonts w:ascii="標楷體" w:eastAsia="標楷體" w:hAnsi="標楷體" w:hint="eastAsia"/>
                <w:color w:val="000000"/>
                <w:kern w:val="0"/>
              </w:rPr>
              <w:t>111</w:t>
            </w:r>
            <w:proofErr w:type="gramEnd"/>
            <w:r w:rsidRPr="001B6E4D">
              <w:rPr>
                <w:rFonts w:ascii="標楷體" w:eastAsia="標楷體" w:hAnsi="標楷體" w:hint="eastAsia"/>
                <w:color w:val="000000"/>
                <w:kern w:val="0"/>
              </w:rPr>
              <w:t>年度預算書案。</w:t>
            </w:r>
          </w:p>
        </w:tc>
        <w:tc>
          <w:tcPr>
            <w:tcW w:w="1984" w:type="dxa"/>
          </w:tcPr>
          <w:p w14:paraId="450BC686" w14:textId="77777777" w:rsidR="00D52CE7" w:rsidRPr="001B6E4D" w:rsidRDefault="00D52CE7" w:rsidP="003D1018">
            <w:pPr>
              <w:widowControl w:val="0"/>
              <w:kinsoku w:val="0"/>
              <w:overflowPunct w:val="0"/>
              <w:topLinePunct/>
              <w:autoSpaceDE w:val="0"/>
              <w:autoSpaceDN w:val="0"/>
              <w:adjustRightInd w:val="0"/>
              <w:snapToGrid w:val="0"/>
              <w:spacing w:line="300" w:lineRule="exact"/>
              <w:rPr>
                <w:rFonts w:ascii="標楷體" w:eastAsia="標楷體" w:hAnsi="標楷體"/>
                <w:color w:val="000000"/>
                <w:kern w:val="0"/>
              </w:rPr>
            </w:pPr>
            <w:r w:rsidRPr="001B6E4D">
              <w:rPr>
                <w:rFonts w:ascii="標楷體" w:eastAsia="標楷體" w:hAnsi="標楷體" w:hint="eastAsia"/>
                <w:color w:val="000000"/>
                <w:kern w:val="0"/>
              </w:rPr>
              <w:t>司法院 110.09.24</w:t>
            </w:r>
          </w:p>
          <w:p w14:paraId="6FCBD7B9" w14:textId="77777777" w:rsidR="00D52CE7" w:rsidRPr="001B6E4D" w:rsidRDefault="00D52CE7" w:rsidP="003D1018">
            <w:pPr>
              <w:widowControl w:val="0"/>
              <w:kinsoku w:val="0"/>
              <w:overflowPunct w:val="0"/>
              <w:topLinePunct/>
              <w:autoSpaceDE w:val="0"/>
              <w:autoSpaceDN w:val="0"/>
              <w:adjustRightInd w:val="0"/>
              <w:snapToGrid w:val="0"/>
              <w:spacing w:line="300" w:lineRule="exact"/>
              <w:rPr>
                <w:rFonts w:ascii="標楷體" w:eastAsia="標楷體" w:hAnsi="標楷體"/>
                <w:color w:val="000000"/>
                <w:kern w:val="0"/>
              </w:rPr>
            </w:pPr>
            <w:r w:rsidRPr="001B6E4D">
              <w:rPr>
                <w:rFonts w:ascii="標楷體" w:eastAsia="標楷體" w:hAnsi="標楷體" w:hint="eastAsia"/>
                <w:color w:val="000000"/>
                <w:kern w:val="0"/>
              </w:rPr>
              <w:t>（10-4-2）</w:t>
            </w:r>
          </w:p>
        </w:tc>
        <w:tc>
          <w:tcPr>
            <w:tcW w:w="1985" w:type="dxa"/>
          </w:tcPr>
          <w:p w14:paraId="7A1FB443" w14:textId="77777777" w:rsidR="00D52CE7" w:rsidRPr="001B6E4D" w:rsidRDefault="00D52CE7" w:rsidP="003D1018">
            <w:pPr>
              <w:widowControl w:val="0"/>
              <w:kinsoku w:val="0"/>
              <w:overflowPunct w:val="0"/>
              <w:topLinePunct/>
              <w:adjustRightInd w:val="0"/>
              <w:snapToGrid w:val="0"/>
              <w:spacing w:line="300" w:lineRule="exact"/>
              <w:rPr>
                <w:rFonts w:ascii="標楷體" w:eastAsia="標楷體" w:hAnsi="標楷體"/>
                <w:color w:val="000000"/>
                <w:kern w:val="0"/>
              </w:rPr>
            </w:pPr>
            <w:r w:rsidRPr="001B6E4D">
              <w:rPr>
                <w:rFonts w:ascii="標楷體" w:eastAsia="標楷體" w:hAnsi="標楷體" w:hint="eastAsia"/>
                <w:color w:val="000000"/>
                <w:kern w:val="0"/>
              </w:rPr>
              <w:t>司法及法制</w:t>
            </w:r>
          </w:p>
          <w:p w14:paraId="2D536973" w14:textId="77777777" w:rsidR="00D52CE7" w:rsidRPr="001B6E4D" w:rsidRDefault="00D52CE7" w:rsidP="003D1018">
            <w:pPr>
              <w:widowControl w:val="0"/>
              <w:kinsoku w:val="0"/>
              <w:overflowPunct w:val="0"/>
              <w:topLinePunct/>
              <w:adjustRightInd w:val="0"/>
              <w:snapToGrid w:val="0"/>
              <w:spacing w:line="300" w:lineRule="exact"/>
              <w:rPr>
                <w:rFonts w:ascii="標楷體" w:eastAsia="標楷體" w:hAnsi="標楷體"/>
                <w:color w:val="000000"/>
                <w:kern w:val="0"/>
              </w:rPr>
            </w:pPr>
            <w:r w:rsidRPr="001B6E4D">
              <w:rPr>
                <w:rFonts w:ascii="標楷體" w:eastAsia="標楷體" w:hAnsi="標楷體" w:hint="eastAsia"/>
                <w:color w:val="000000"/>
                <w:kern w:val="0"/>
              </w:rPr>
              <w:t>黃召集委員</w:t>
            </w:r>
            <w:proofErr w:type="gramStart"/>
            <w:r w:rsidRPr="001B6E4D">
              <w:rPr>
                <w:rFonts w:ascii="標楷體" w:eastAsia="標楷體" w:hAnsi="標楷體" w:hint="eastAsia"/>
                <w:color w:val="000000"/>
                <w:kern w:val="0"/>
              </w:rPr>
              <w:t>世杰</w:t>
            </w:r>
            <w:proofErr w:type="gramEnd"/>
          </w:p>
        </w:tc>
        <w:tc>
          <w:tcPr>
            <w:tcW w:w="2036" w:type="dxa"/>
          </w:tcPr>
          <w:p w14:paraId="74012509" w14:textId="77777777" w:rsidR="00D52CE7" w:rsidRPr="001B6E4D" w:rsidRDefault="00D52CE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本會</w:t>
            </w:r>
          </w:p>
          <w:p w14:paraId="6AF6B650" w14:textId="77777777" w:rsidR="00D52CE7" w:rsidRPr="001B6E4D" w:rsidRDefault="00D52CE7" w:rsidP="003D1018">
            <w:pPr>
              <w:widowControl w:val="0"/>
              <w:kinsoku w:val="0"/>
              <w:overflowPunct w:val="0"/>
              <w:adjustRightInd w:val="0"/>
              <w:snapToGrid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110.12.1、</w:t>
            </w:r>
          </w:p>
          <w:p w14:paraId="15BD1892" w14:textId="77777777" w:rsidR="00D52CE7" w:rsidRPr="001B6E4D" w:rsidRDefault="00D52CE7" w:rsidP="003D1018">
            <w:pPr>
              <w:widowControl w:val="0"/>
              <w:kinsoku w:val="0"/>
              <w:overflowPunct w:val="0"/>
              <w:adjustRightInd w:val="0"/>
              <w:snapToGrid w:val="0"/>
              <w:spacing w:line="300" w:lineRule="exact"/>
              <w:jc w:val="both"/>
              <w:rPr>
                <w:rFonts w:ascii="標楷體" w:eastAsia="標楷體" w:hAnsi="標楷體"/>
                <w:color w:val="000000"/>
                <w:spacing w:val="10"/>
                <w:kern w:val="0"/>
              </w:rPr>
            </w:pPr>
            <w:r w:rsidRPr="001B6E4D">
              <w:rPr>
                <w:rFonts w:ascii="標楷體" w:eastAsia="標楷體" w:hAnsi="標楷體" w:hint="eastAsia"/>
                <w:color w:val="000000"/>
                <w:spacing w:val="10"/>
                <w:kern w:val="0"/>
              </w:rPr>
              <w:t>110.12.2</w:t>
            </w:r>
          </w:p>
          <w:p w14:paraId="1264561C" w14:textId="77777777" w:rsidR="00D52CE7" w:rsidRPr="001B6E4D" w:rsidRDefault="00D52CE7" w:rsidP="003D1018">
            <w:pPr>
              <w:widowControl w:val="0"/>
              <w:kinsoku w:val="0"/>
              <w:overflowPunct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hint="eastAsia"/>
                <w:color w:val="000000"/>
                <w:spacing w:val="10"/>
                <w:kern w:val="0"/>
              </w:rPr>
              <w:t>（10-4-17</w:t>
            </w:r>
            <w:r w:rsidRPr="001B6E4D">
              <w:rPr>
                <w:rFonts w:ascii="標楷體" w:eastAsia="標楷體" w:hAnsi="標楷體" w:hint="eastAsia"/>
                <w:color w:val="000000"/>
                <w:kern w:val="0"/>
              </w:rPr>
              <w:t>）審查完竣，須交由黨團協商。</w:t>
            </w:r>
          </w:p>
        </w:tc>
      </w:tr>
    </w:tbl>
    <w:p w14:paraId="3C315AB6" w14:textId="149BB340" w:rsidR="002664B9" w:rsidRPr="001B6E4D" w:rsidRDefault="002664B9"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208" w:name="_Toc240446543"/>
      <w:bookmarkStart w:id="209" w:name="_Hlk174721546"/>
      <w:bookmarkStart w:id="210" w:name="_Hlk174526311"/>
      <w:bookmarkEnd w:id="188"/>
      <w:r w:rsidRPr="001B6E4D">
        <w:rPr>
          <w:rFonts w:ascii="標楷體" w:hAnsi="標楷體" w:hint="eastAsia"/>
          <w:color w:val="000000" w:themeColor="text1"/>
          <w:szCs w:val="28"/>
          <w:shd w:val="clear" w:color="auto" w:fill="FFFFFF" w:themeFill="background1"/>
        </w:rPr>
        <w:t>［</w:t>
      </w:r>
      <w:r w:rsidR="007B79DB" w:rsidRPr="001B6E4D">
        <w:rPr>
          <w:rFonts w:ascii="標楷體" w:hAnsi="標楷體" w:hint="eastAsia"/>
          <w:color w:val="000000" w:themeColor="text1"/>
          <w:szCs w:val="28"/>
          <w:shd w:val="clear" w:color="auto" w:fill="FFFFFF" w:themeFill="background1"/>
        </w:rPr>
        <w:t>參</w:t>
      </w:r>
      <w:r w:rsidRPr="001B6E4D">
        <w:rPr>
          <w:rFonts w:ascii="標楷體" w:hAnsi="標楷體" w:hint="eastAsia"/>
          <w:color w:val="000000" w:themeColor="text1"/>
          <w:szCs w:val="28"/>
          <w:shd w:val="clear" w:color="auto" w:fill="FFFFFF" w:themeFill="background1"/>
        </w:rPr>
        <w:t>］立法院內</w:t>
      </w:r>
      <w:proofErr w:type="gramStart"/>
      <w:r w:rsidRPr="001B6E4D">
        <w:rPr>
          <w:rFonts w:ascii="標楷體" w:hAnsi="標楷體" w:hint="eastAsia"/>
          <w:color w:val="000000" w:themeColor="text1"/>
          <w:szCs w:val="28"/>
          <w:shd w:val="clear" w:color="auto" w:fill="FFFFFF" w:themeFill="background1"/>
        </w:rPr>
        <w:t>規</w:t>
      </w:r>
      <w:proofErr w:type="gramEnd"/>
      <w:r w:rsidRPr="001B6E4D">
        <w:rPr>
          <w:rFonts w:ascii="標楷體" w:hAnsi="標楷體" w:hint="eastAsia"/>
          <w:color w:val="000000" w:themeColor="text1"/>
          <w:szCs w:val="28"/>
          <w:shd w:val="clear" w:color="auto" w:fill="FFFFFF" w:themeFill="background1"/>
        </w:rPr>
        <w:t>3</w:t>
      </w:r>
      <w:r w:rsidRPr="001B6E4D">
        <w:rPr>
          <w:rFonts w:ascii="標楷體" w:hAnsi="標楷體"/>
          <w:color w:val="000000" w:themeColor="text1"/>
          <w:szCs w:val="28"/>
          <w:shd w:val="clear" w:color="auto" w:fill="FFFFFF" w:themeFill="background1"/>
        </w:rPr>
        <w:t>案</w:t>
      </w:r>
      <w:bookmarkEnd w:id="208"/>
    </w:p>
    <w:tbl>
      <w:tblPr>
        <w:tblW w:w="8595" w:type="dxa"/>
        <w:tblInd w:w="15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14"/>
        <w:gridCol w:w="1853"/>
        <w:gridCol w:w="1918"/>
        <w:gridCol w:w="1985"/>
        <w:gridCol w:w="2125"/>
      </w:tblGrid>
      <w:tr w:rsidR="00E57289" w:rsidRPr="001B6E4D" w14:paraId="3037CACB" w14:textId="77777777" w:rsidTr="00E57289">
        <w:tc>
          <w:tcPr>
            <w:tcW w:w="714" w:type="dxa"/>
          </w:tcPr>
          <w:bookmarkEnd w:id="209"/>
          <w:bookmarkEnd w:id="210"/>
          <w:p w14:paraId="0B0BAFE0" w14:textId="6DAA7EC7" w:rsidR="00E57289" w:rsidRPr="001B6E4D" w:rsidRDefault="00E57289"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序號</w:t>
            </w:r>
          </w:p>
        </w:tc>
        <w:tc>
          <w:tcPr>
            <w:tcW w:w="1853" w:type="dxa"/>
          </w:tcPr>
          <w:p w14:paraId="5A66CB90" w14:textId="77777777" w:rsidR="00E57289" w:rsidRPr="001B6E4D" w:rsidRDefault="00E57289"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議案名稱</w:t>
            </w:r>
          </w:p>
        </w:tc>
        <w:tc>
          <w:tcPr>
            <w:tcW w:w="1918" w:type="dxa"/>
          </w:tcPr>
          <w:p w14:paraId="349C2D14" w14:textId="77777777" w:rsidR="00E57289" w:rsidRPr="001B6E4D" w:rsidRDefault="00E57289"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提案委員或機關</w:t>
            </w:r>
          </w:p>
          <w:p w14:paraId="667A22F8" w14:textId="77777777" w:rsidR="00E57289" w:rsidRPr="001B6E4D" w:rsidRDefault="00E57289"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院會交付日期</w:t>
            </w:r>
          </w:p>
          <w:p w14:paraId="769C619A" w14:textId="77777777" w:rsidR="00E57289" w:rsidRPr="001B6E4D" w:rsidRDefault="00E57289"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（會次）</w:t>
            </w:r>
          </w:p>
        </w:tc>
        <w:tc>
          <w:tcPr>
            <w:tcW w:w="1985" w:type="dxa"/>
          </w:tcPr>
          <w:p w14:paraId="68594528" w14:textId="77777777" w:rsidR="00E57289" w:rsidRPr="001B6E4D" w:rsidRDefault="00E57289"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審查委員會</w:t>
            </w:r>
          </w:p>
          <w:p w14:paraId="43BF053E" w14:textId="77777777" w:rsidR="00E57289" w:rsidRPr="001B6E4D" w:rsidRDefault="00E57289"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院會說明人</w:t>
            </w:r>
          </w:p>
        </w:tc>
        <w:tc>
          <w:tcPr>
            <w:tcW w:w="2125" w:type="dxa"/>
          </w:tcPr>
          <w:p w14:paraId="12390314" w14:textId="77777777" w:rsidR="00E57289" w:rsidRPr="001B6E4D" w:rsidRDefault="00E57289" w:rsidP="003D1018">
            <w:pPr>
              <w:widowControl w:val="0"/>
              <w:kinsoku w:val="0"/>
              <w:overflowPunct w:val="0"/>
              <w:topLinePunct/>
              <w:adjustRightInd w:val="0"/>
              <w:snapToGrid w:val="0"/>
              <w:spacing w:line="300" w:lineRule="exact"/>
              <w:jc w:val="center"/>
              <w:rPr>
                <w:rFonts w:ascii="標楷體" w:eastAsia="標楷體" w:hAnsi="標楷體"/>
                <w:b/>
                <w:color w:val="000000"/>
              </w:rPr>
            </w:pPr>
            <w:r w:rsidRPr="001B6E4D">
              <w:rPr>
                <w:rFonts w:ascii="標楷體" w:eastAsia="標楷體" w:hAnsi="標楷體"/>
                <w:b/>
                <w:color w:val="000000"/>
              </w:rPr>
              <w:t>審查情形</w:t>
            </w:r>
          </w:p>
        </w:tc>
      </w:tr>
      <w:tr w:rsidR="00E57289" w:rsidRPr="001B6E4D" w14:paraId="35FE3183" w14:textId="77777777" w:rsidTr="00E57289">
        <w:trPr>
          <w:trHeight w:val="983"/>
        </w:trPr>
        <w:tc>
          <w:tcPr>
            <w:tcW w:w="714" w:type="dxa"/>
          </w:tcPr>
          <w:p w14:paraId="676B8DE2" w14:textId="77777777" w:rsidR="00E57289" w:rsidRPr="001B6E4D" w:rsidRDefault="00E57289" w:rsidP="003D1018">
            <w:pPr>
              <w:widowControl w:val="0"/>
              <w:overflowPunct w:val="0"/>
              <w:jc w:val="center"/>
              <w:rPr>
                <w:rFonts w:ascii="標楷體" w:eastAsia="標楷體" w:hAnsi="標楷體" w:cs="新細明體"/>
                <w:color w:val="000000"/>
              </w:rPr>
            </w:pPr>
            <w:r w:rsidRPr="001B6E4D">
              <w:rPr>
                <w:rFonts w:ascii="標楷體" w:eastAsia="標楷體" w:hAnsi="標楷體" w:cs="新細明體" w:hint="eastAsia"/>
                <w:color w:val="000000"/>
              </w:rPr>
              <w:t>1</w:t>
            </w:r>
          </w:p>
        </w:tc>
        <w:tc>
          <w:tcPr>
            <w:tcW w:w="1853" w:type="dxa"/>
          </w:tcPr>
          <w:p w14:paraId="242F0386" w14:textId="77777777" w:rsidR="00E57289" w:rsidRPr="001B6E4D" w:rsidRDefault="00E57289" w:rsidP="003D1018">
            <w:pPr>
              <w:widowControl w:val="0"/>
              <w:kinsoku w:val="0"/>
              <w:overflowPunct w:val="0"/>
              <w:topLinePunct/>
              <w:autoSpaceDE w:val="0"/>
              <w:autoSpaceDN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1.立法委員互選院長副院長辦法第一</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tcPr>
          <w:p w14:paraId="3AA6FF27" w14:textId="77777777" w:rsidR="00E57289" w:rsidRPr="001B6E4D" w:rsidRDefault="00E57289" w:rsidP="003D1018">
            <w:pPr>
              <w:widowControl w:val="0"/>
              <w:kinsoku w:val="0"/>
              <w:overflowPunct w:val="0"/>
              <w:topLinePunct/>
              <w:autoSpaceDE w:val="0"/>
              <w:autoSpaceDN w:val="0"/>
              <w:spacing w:line="300" w:lineRule="exact"/>
              <w:rPr>
                <w:rFonts w:ascii="標楷體" w:eastAsia="標楷體" w:hAnsi="標楷體"/>
                <w:color w:val="000000"/>
                <w:kern w:val="0"/>
              </w:rPr>
            </w:pPr>
            <w:r w:rsidRPr="001B6E4D">
              <w:rPr>
                <w:rFonts w:ascii="標楷體" w:eastAsia="標楷體" w:hAnsi="標楷體"/>
                <w:color w:val="000000"/>
                <w:kern w:val="0"/>
              </w:rPr>
              <w:t>委員羅智強</w:t>
            </w:r>
          </w:p>
          <w:p w14:paraId="33973BFB" w14:textId="77777777" w:rsidR="00E57289" w:rsidRPr="001B6E4D" w:rsidRDefault="00E57289" w:rsidP="003D1018">
            <w:pPr>
              <w:widowControl w:val="0"/>
              <w:kinsoku w:val="0"/>
              <w:overflowPunct w:val="0"/>
              <w:topLinePunct/>
              <w:autoSpaceDE w:val="0"/>
              <w:autoSpaceDN w:val="0"/>
              <w:spacing w:line="300" w:lineRule="exact"/>
              <w:rPr>
                <w:rFonts w:ascii="標楷體" w:eastAsia="標楷體" w:hAnsi="標楷體"/>
                <w:color w:val="000000"/>
                <w:kern w:val="0"/>
              </w:rPr>
            </w:pPr>
            <w:r w:rsidRPr="001B6E4D">
              <w:rPr>
                <w:rFonts w:ascii="標楷體" w:eastAsia="標楷體" w:hAnsi="標楷體"/>
                <w:color w:val="000000"/>
                <w:kern w:val="0"/>
              </w:rPr>
              <w:t>等20人</w:t>
            </w:r>
          </w:p>
          <w:p w14:paraId="4BE4EA98" w14:textId="77777777" w:rsidR="00E57289" w:rsidRPr="001B6E4D" w:rsidRDefault="00E57289" w:rsidP="003D1018">
            <w:pPr>
              <w:widowControl w:val="0"/>
              <w:kinsoku w:val="0"/>
              <w:overflowPunct w:val="0"/>
              <w:topLinePunct/>
              <w:autoSpaceDE w:val="0"/>
              <w:autoSpaceDN w:val="0"/>
              <w:spacing w:line="300" w:lineRule="exact"/>
              <w:rPr>
                <w:rFonts w:ascii="標楷體" w:eastAsia="標楷體" w:hAnsi="標楷體"/>
                <w:color w:val="000000"/>
                <w:kern w:val="0"/>
              </w:rPr>
            </w:pPr>
            <w:r w:rsidRPr="001B6E4D">
              <w:rPr>
                <w:rFonts w:ascii="標楷體" w:eastAsia="標楷體" w:hAnsi="標楷體"/>
                <w:color w:val="000000"/>
                <w:kern w:val="0"/>
              </w:rPr>
              <w:t>113.02.20</w:t>
            </w:r>
          </w:p>
          <w:p w14:paraId="28089DF7" w14:textId="77777777" w:rsidR="00E57289" w:rsidRPr="001B6E4D" w:rsidRDefault="00E57289" w:rsidP="003D1018">
            <w:pPr>
              <w:widowControl w:val="0"/>
              <w:kinsoku w:val="0"/>
              <w:overflowPunct w:val="0"/>
              <w:topLinePunct/>
              <w:autoSpaceDE w:val="0"/>
              <w:autoSpaceDN w:val="0"/>
              <w:spacing w:line="300" w:lineRule="exact"/>
              <w:rPr>
                <w:rFonts w:ascii="標楷體" w:eastAsia="標楷體" w:hAnsi="標楷體"/>
                <w:color w:val="000000"/>
                <w:kern w:val="0"/>
              </w:rPr>
            </w:pPr>
            <w:r w:rsidRPr="001B6E4D">
              <w:rPr>
                <w:rFonts w:ascii="標楷體" w:eastAsia="標楷體" w:hAnsi="標楷體"/>
                <w:color w:val="000000"/>
                <w:kern w:val="0"/>
              </w:rPr>
              <w:t>（11-1-1）</w:t>
            </w:r>
          </w:p>
        </w:tc>
        <w:tc>
          <w:tcPr>
            <w:tcW w:w="1985" w:type="dxa"/>
            <w:vMerge w:val="restart"/>
          </w:tcPr>
          <w:p w14:paraId="6DA0D0EA" w14:textId="77777777" w:rsidR="00E57289" w:rsidRPr="001B6E4D" w:rsidRDefault="00E57289"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司法及法制</w:t>
            </w:r>
          </w:p>
          <w:p w14:paraId="4D7B8616" w14:textId="77777777" w:rsidR="00E57289" w:rsidRPr="001B6E4D" w:rsidRDefault="00E57289" w:rsidP="003D1018">
            <w:pPr>
              <w:widowControl w:val="0"/>
              <w:overflowPunct w:val="0"/>
              <w:spacing w:line="300" w:lineRule="exact"/>
              <w:jc w:val="both"/>
              <w:rPr>
                <w:rFonts w:ascii="標楷體" w:eastAsia="標楷體" w:hAnsi="標楷體"/>
                <w:color w:val="000000"/>
                <w:kern w:val="0"/>
              </w:rPr>
            </w:pPr>
            <w:r w:rsidRPr="001B6E4D">
              <w:rPr>
                <w:rFonts w:ascii="標楷體" w:eastAsia="標楷體" w:hAnsi="標楷體" w:hint="eastAsia"/>
                <w:color w:val="000000"/>
                <w:kern w:val="0"/>
              </w:rPr>
              <w:t>吳召集委員宗憲</w:t>
            </w:r>
          </w:p>
        </w:tc>
        <w:tc>
          <w:tcPr>
            <w:tcW w:w="2125" w:type="dxa"/>
            <w:vMerge w:val="restart"/>
          </w:tcPr>
          <w:p w14:paraId="16D3D52F" w14:textId="13CB9CBA" w:rsidR="00E57289" w:rsidRPr="001B6E4D" w:rsidRDefault="00E57289"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1.本會</w:t>
            </w:r>
            <w:r w:rsidRPr="001B6E4D">
              <w:rPr>
                <w:rFonts w:ascii="標楷體" w:eastAsia="標楷體" w:hAnsi="標楷體"/>
                <w:color w:val="000000"/>
                <w:kern w:val="0"/>
              </w:rPr>
              <w:t>113.4.1</w:t>
            </w:r>
            <w:r w:rsidRPr="001B6E4D">
              <w:rPr>
                <w:rFonts w:ascii="標楷體" w:eastAsia="標楷體" w:hAnsi="標楷體"/>
                <w:color w:val="000000"/>
                <w:kern w:val="0"/>
              </w:rPr>
              <w:br/>
              <w:t>(11-1-11)</w:t>
            </w:r>
            <w:r w:rsidRPr="001B6E4D">
              <w:rPr>
                <w:rFonts w:ascii="標楷體" w:eastAsia="標楷體" w:hAnsi="標楷體" w:hint="eastAsia"/>
                <w:color w:val="000000"/>
                <w:kern w:val="0"/>
              </w:rPr>
              <w:t>報告及</w:t>
            </w:r>
            <w:proofErr w:type="gramStart"/>
            <w:r w:rsidRPr="001B6E4D">
              <w:rPr>
                <w:rFonts w:ascii="標楷體" w:eastAsia="標楷體" w:hAnsi="標楷體" w:hint="eastAsia"/>
                <w:color w:val="000000"/>
                <w:kern w:val="0"/>
              </w:rPr>
              <w:t>詢</w:t>
            </w:r>
            <w:proofErr w:type="gramEnd"/>
            <w:r w:rsidRPr="001B6E4D">
              <w:rPr>
                <w:rFonts w:ascii="標楷體" w:eastAsia="標楷體" w:hAnsi="標楷體" w:hint="eastAsia"/>
                <w:color w:val="000000"/>
                <w:kern w:val="0"/>
              </w:rPr>
              <w:t>答完畢，另定期繼續審查。</w:t>
            </w:r>
          </w:p>
          <w:p w14:paraId="57A621B9" w14:textId="77777777" w:rsidR="00E57289" w:rsidRPr="001B6E4D" w:rsidRDefault="00E57289"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2.本會113.4.10舉行「如何落實國會調查／</w:t>
            </w:r>
            <w:proofErr w:type="gramStart"/>
            <w:r w:rsidRPr="001B6E4D">
              <w:rPr>
                <w:rFonts w:ascii="標楷體" w:eastAsia="標楷體" w:hAnsi="標楷體" w:hint="eastAsia"/>
                <w:color w:val="000000"/>
                <w:kern w:val="0"/>
              </w:rPr>
              <w:t>聽證權以</w:t>
            </w:r>
            <w:proofErr w:type="gramEnd"/>
            <w:r w:rsidRPr="001B6E4D">
              <w:rPr>
                <w:rFonts w:ascii="標楷體" w:eastAsia="標楷體" w:hAnsi="標楷體" w:hint="eastAsia"/>
                <w:color w:val="000000"/>
                <w:kern w:val="0"/>
              </w:rPr>
              <w:t>有效監督行政機關，並避免侵犯人民</w:t>
            </w:r>
            <w:proofErr w:type="gramStart"/>
            <w:r w:rsidRPr="001B6E4D">
              <w:rPr>
                <w:rFonts w:ascii="標楷體" w:eastAsia="標楷體" w:hAnsi="標楷體" w:hint="eastAsia"/>
                <w:color w:val="000000"/>
                <w:kern w:val="0"/>
              </w:rPr>
              <w:t>自由／</w:t>
            </w:r>
            <w:proofErr w:type="gramEnd"/>
            <w:r w:rsidRPr="001B6E4D">
              <w:rPr>
                <w:rFonts w:ascii="標楷體" w:eastAsia="標楷體" w:hAnsi="標楷體" w:hint="eastAsia"/>
                <w:color w:val="000000"/>
                <w:kern w:val="0"/>
              </w:rPr>
              <w:t>隱私權」公聽會。</w:t>
            </w:r>
          </w:p>
          <w:p w14:paraId="1B689226" w14:textId="77777777" w:rsidR="00E57289" w:rsidRPr="001B6E4D" w:rsidRDefault="00E57289"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3.本會113.4.11</w:t>
            </w:r>
            <w:r w:rsidRPr="001B6E4D">
              <w:rPr>
                <w:rFonts w:ascii="標楷體" w:eastAsia="標楷體" w:hAnsi="標楷體" w:hint="eastAsia"/>
                <w:color w:val="000000"/>
                <w:kern w:val="0"/>
              </w:rPr>
              <w:lastRenderedPageBreak/>
              <w:t>舉行「如何落實國會調查／</w:t>
            </w:r>
            <w:proofErr w:type="gramStart"/>
            <w:r w:rsidRPr="001B6E4D">
              <w:rPr>
                <w:rFonts w:ascii="標楷體" w:eastAsia="標楷體" w:hAnsi="標楷體" w:hint="eastAsia"/>
                <w:color w:val="000000"/>
                <w:kern w:val="0"/>
              </w:rPr>
              <w:t>聽證權以</w:t>
            </w:r>
            <w:proofErr w:type="gramEnd"/>
            <w:r w:rsidRPr="001B6E4D">
              <w:rPr>
                <w:rFonts w:ascii="標楷體" w:eastAsia="標楷體" w:hAnsi="標楷體" w:hint="eastAsia"/>
                <w:color w:val="000000"/>
                <w:kern w:val="0"/>
              </w:rPr>
              <w:t>有效監督行政機關，並防範機密外</w:t>
            </w:r>
            <w:proofErr w:type="gramStart"/>
            <w:r w:rsidRPr="001B6E4D">
              <w:rPr>
                <w:rFonts w:ascii="標楷體" w:eastAsia="標楷體" w:hAnsi="標楷體" w:hint="eastAsia"/>
                <w:color w:val="000000"/>
                <w:kern w:val="0"/>
              </w:rPr>
              <w:t>洩</w:t>
            </w:r>
            <w:proofErr w:type="gramEnd"/>
            <w:r w:rsidRPr="001B6E4D">
              <w:rPr>
                <w:rFonts w:ascii="標楷體" w:eastAsia="標楷體" w:hAnsi="標楷體" w:hint="eastAsia"/>
                <w:color w:val="000000"/>
                <w:kern w:val="0"/>
              </w:rPr>
              <w:t>危害國安」公聽會。</w:t>
            </w:r>
          </w:p>
          <w:p w14:paraId="15BB6A6A" w14:textId="4F3E16AF" w:rsidR="00E57289" w:rsidRPr="001B6E4D" w:rsidRDefault="00E57289"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4</w:t>
            </w:r>
            <w:r w:rsidRPr="001B6E4D">
              <w:rPr>
                <w:rFonts w:ascii="標楷體" w:eastAsia="標楷體" w:hAnsi="標楷體"/>
                <w:color w:val="000000"/>
                <w:kern w:val="0"/>
              </w:rPr>
              <w:t>.</w:t>
            </w:r>
            <w:r w:rsidRPr="001B6E4D">
              <w:rPr>
                <w:rFonts w:ascii="標楷體" w:eastAsia="標楷體" w:hAnsi="標楷體" w:hint="eastAsia"/>
                <w:color w:val="000000"/>
                <w:kern w:val="0"/>
              </w:rPr>
              <w:t>本會1</w:t>
            </w:r>
            <w:r w:rsidRPr="001B6E4D">
              <w:rPr>
                <w:rFonts w:ascii="標楷體" w:eastAsia="標楷體" w:hAnsi="標楷體"/>
                <w:color w:val="000000"/>
                <w:kern w:val="0"/>
              </w:rPr>
              <w:t>13</w:t>
            </w:r>
            <w:r w:rsidRPr="001B6E4D">
              <w:rPr>
                <w:rFonts w:ascii="標楷體" w:eastAsia="標楷體" w:hAnsi="標楷體" w:hint="eastAsia"/>
                <w:color w:val="000000"/>
                <w:kern w:val="0"/>
              </w:rPr>
              <w:t>.4.</w:t>
            </w:r>
            <w:r w:rsidRPr="001B6E4D">
              <w:rPr>
                <w:rFonts w:ascii="標楷體" w:eastAsia="標楷體" w:hAnsi="標楷體"/>
                <w:color w:val="000000"/>
                <w:kern w:val="0"/>
              </w:rPr>
              <w:t>15</w:t>
            </w:r>
            <w:r w:rsidR="00C75C58" w:rsidRPr="001B6E4D">
              <w:rPr>
                <w:rFonts w:ascii="標楷體" w:eastAsia="標楷體" w:hAnsi="標楷體"/>
                <w:color w:val="000000"/>
                <w:kern w:val="0"/>
              </w:rPr>
              <w:br/>
            </w:r>
            <w:r w:rsidRPr="001B6E4D">
              <w:rPr>
                <w:rFonts w:ascii="標楷體" w:eastAsia="標楷體" w:hAnsi="標楷體" w:hint="eastAsia"/>
                <w:color w:val="000000"/>
                <w:kern w:val="0"/>
              </w:rPr>
              <w:t>(1</w:t>
            </w:r>
            <w:r w:rsidRPr="001B6E4D">
              <w:rPr>
                <w:rFonts w:ascii="標楷體" w:eastAsia="標楷體" w:hAnsi="標楷體"/>
                <w:color w:val="000000"/>
                <w:kern w:val="0"/>
              </w:rPr>
              <w:t>1</w:t>
            </w:r>
            <w:r w:rsidRPr="001B6E4D">
              <w:rPr>
                <w:rFonts w:ascii="標楷體" w:eastAsia="標楷體" w:hAnsi="標楷體" w:hint="eastAsia"/>
                <w:color w:val="000000"/>
                <w:kern w:val="0"/>
              </w:rPr>
              <w:t>-1-</w:t>
            </w:r>
            <w:r w:rsidRPr="001B6E4D">
              <w:rPr>
                <w:rFonts w:ascii="標楷體" w:eastAsia="標楷體" w:hAnsi="標楷體"/>
                <w:color w:val="000000"/>
                <w:kern w:val="0"/>
              </w:rPr>
              <w:t>12</w:t>
            </w:r>
            <w:r w:rsidRPr="001B6E4D">
              <w:rPr>
                <w:rFonts w:ascii="標楷體" w:eastAsia="標楷體" w:hAnsi="標楷體" w:hint="eastAsia"/>
                <w:color w:val="000000"/>
                <w:kern w:val="0"/>
              </w:rPr>
              <w:t>)審查完竣，須交由黨團協商。</w:t>
            </w:r>
          </w:p>
          <w:p w14:paraId="51EE173C" w14:textId="77777777" w:rsidR="00E57289" w:rsidRPr="001B6E4D" w:rsidRDefault="00E57289" w:rsidP="003D1018">
            <w:pPr>
              <w:widowControl w:val="0"/>
              <w:kinsoku w:val="0"/>
              <w:overflowPunct w:val="0"/>
              <w:adjustRightInd w:val="0"/>
              <w:snapToGrid w:val="0"/>
              <w:spacing w:line="300" w:lineRule="exact"/>
              <w:ind w:left="240" w:hangingChars="100" w:hanging="240"/>
              <w:jc w:val="both"/>
              <w:rPr>
                <w:rFonts w:ascii="標楷體" w:eastAsia="標楷體" w:hAnsi="標楷體"/>
                <w:color w:val="000000"/>
                <w:kern w:val="0"/>
              </w:rPr>
            </w:pPr>
            <w:r w:rsidRPr="001B6E4D">
              <w:rPr>
                <w:rFonts w:ascii="標楷體" w:eastAsia="標楷體" w:hAnsi="標楷體" w:hint="eastAsia"/>
                <w:color w:val="000000"/>
                <w:kern w:val="0"/>
              </w:rPr>
              <w:t>5.113.5.16黨團協商。</w:t>
            </w:r>
          </w:p>
        </w:tc>
      </w:tr>
      <w:tr w:rsidR="00E57289" w:rsidRPr="001B6E4D" w14:paraId="4D412EAB" w14:textId="77777777" w:rsidTr="00E57289">
        <w:tc>
          <w:tcPr>
            <w:tcW w:w="714" w:type="dxa"/>
          </w:tcPr>
          <w:p w14:paraId="73BE4AD3" w14:textId="77777777" w:rsidR="00E57289" w:rsidRPr="001B6E4D" w:rsidRDefault="00E57289" w:rsidP="003D1018">
            <w:pPr>
              <w:widowControl w:val="0"/>
              <w:overflowPunct w:val="0"/>
              <w:jc w:val="center"/>
              <w:rPr>
                <w:rFonts w:ascii="標楷體" w:eastAsia="標楷體" w:hAnsi="標楷體" w:cs="新細明體"/>
                <w:color w:val="000000"/>
              </w:rPr>
            </w:pPr>
            <w:r w:rsidRPr="001B6E4D">
              <w:rPr>
                <w:rFonts w:ascii="標楷體" w:eastAsia="標楷體" w:hAnsi="標楷體" w:cs="新細明體" w:hint="eastAsia"/>
                <w:color w:val="000000"/>
              </w:rPr>
              <w:t>2</w:t>
            </w:r>
          </w:p>
        </w:tc>
        <w:tc>
          <w:tcPr>
            <w:tcW w:w="1853" w:type="dxa"/>
          </w:tcPr>
          <w:p w14:paraId="6649717E" w14:textId="77777777" w:rsidR="00E57289" w:rsidRPr="001B6E4D" w:rsidRDefault="00E57289" w:rsidP="003D1018">
            <w:pPr>
              <w:widowControl w:val="0"/>
              <w:kinsoku w:val="0"/>
              <w:overflowPunct w:val="0"/>
              <w:topLinePunct/>
              <w:autoSpaceDE w:val="0"/>
              <w:autoSpaceDN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2.立法委員互選院長副院長辦法第一條及第一條之</w:t>
            </w:r>
            <w:proofErr w:type="gramStart"/>
            <w:r w:rsidRPr="001B6E4D">
              <w:rPr>
                <w:rFonts w:ascii="標楷體" w:eastAsia="標楷體" w:hAnsi="標楷體"/>
                <w:color w:val="000000"/>
                <w:kern w:val="0"/>
              </w:rPr>
              <w:t>一</w:t>
            </w:r>
            <w:proofErr w:type="gramEnd"/>
            <w:r w:rsidRPr="001B6E4D">
              <w:rPr>
                <w:rFonts w:ascii="標楷體" w:eastAsia="標楷體" w:hAnsi="標楷體"/>
                <w:color w:val="000000"/>
                <w:kern w:val="0"/>
              </w:rPr>
              <w:t>條文修正草案</w:t>
            </w:r>
          </w:p>
        </w:tc>
        <w:tc>
          <w:tcPr>
            <w:tcW w:w="1918" w:type="dxa"/>
          </w:tcPr>
          <w:p w14:paraId="2A93DDE5" w14:textId="77777777" w:rsidR="00E57289" w:rsidRPr="001B6E4D" w:rsidRDefault="00E57289" w:rsidP="003D1018">
            <w:pPr>
              <w:widowControl w:val="0"/>
              <w:kinsoku w:val="0"/>
              <w:overflowPunct w:val="0"/>
              <w:topLinePunct/>
              <w:autoSpaceDE w:val="0"/>
              <w:autoSpaceDN w:val="0"/>
              <w:spacing w:line="300" w:lineRule="exact"/>
              <w:rPr>
                <w:rFonts w:ascii="標楷體" w:eastAsia="標楷體" w:hAnsi="標楷體"/>
                <w:color w:val="000000"/>
                <w:kern w:val="0"/>
              </w:rPr>
            </w:pPr>
            <w:r w:rsidRPr="001B6E4D">
              <w:rPr>
                <w:rFonts w:ascii="標楷體" w:eastAsia="標楷體" w:hAnsi="標楷體"/>
                <w:color w:val="000000"/>
                <w:kern w:val="0"/>
              </w:rPr>
              <w:t>台灣民眾</w:t>
            </w:r>
            <w:proofErr w:type="gramStart"/>
            <w:r w:rsidRPr="001B6E4D">
              <w:rPr>
                <w:rFonts w:ascii="標楷體" w:eastAsia="標楷體" w:hAnsi="標楷體"/>
                <w:color w:val="000000"/>
                <w:kern w:val="0"/>
              </w:rPr>
              <w:t>黨</w:t>
            </w:r>
            <w:proofErr w:type="gramEnd"/>
            <w:r w:rsidRPr="001B6E4D">
              <w:rPr>
                <w:rFonts w:ascii="標楷體" w:eastAsia="標楷體" w:hAnsi="標楷體"/>
                <w:color w:val="000000"/>
                <w:kern w:val="0"/>
              </w:rPr>
              <w:t>黨團 113.02.20</w:t>
            </w:r>
          </w:p>
          <w:p w14:paraId="05B45BFB" w14:textId="77777777" w:rsidR="00E57289" w:rsidRPr="001B6E4D" w:rsidRDefault="00E57289" w:rsidP="003D1018">
            <w:pPr>
              <w:widowControl w:val="0"/>
              <w:kinsoku w:val="0"/>
              <w:overflowPunct w:val="0"/>
              <w:topLinePunct/>
              <w:autoSpaceDE w:val="0"/>
              <w:autoSpaceDN w:val="0"/>
              <w:spacing w:line="300" w:lineRule="exact"/>
              <w:rPr>
                <w:rFonts w:ascii="標楷體" w:eastAsia="標楷體" w:hAnsi="標楷體"/>
                <w:color w:val="000000"/>
                <w:kern w:val="0"/>
              </w:rPr>
            </w:pPr>
            <w:r w:rsidRPr="001B6E4D">
              <w:rPr>
                <w:rFonts w:ascii="標楷體" w:eastAsia="標楷體" w:hAnsi="標楷體"/>
                <w:color w:val="000000"/>
                <w:kern w:val="0"/>
              </w:rPr>
              <w:t>（11-1-1）</w:t>
            </w:r>
          </w:p>
        </w:tc>
        <w:tc>
          <w:tcPr>
            <w:tcW w:w="1985" w:type="dxa"/>
            <w:vMerge/>
          </w:tcPr>
          <w:p w14:paraId="73397217" w14:textId="77777777" w:rsidR="00E57289" w:rsidRPr="001B6E4D" w:rsidRDefault="00E57289" w:rsidP="003D1018">
            <w:pPr>
              <w:widowControl w:val="0"/>
              <w:kinsoku w:val="0"/>
              <w:overflowPunct w:val="0"/>
              <w:topLinePunct/>
              <w:spacing w:line="300" w:lineRule="exact"/>
              <w:rPr>
                <w:rFonts w:ascii="標楷體" w:eastAsia="標楷體" w:hAnsi="標楷體"/>
                <w:color w:val="000000"/>
                <w:kern w:val="0"/>
              </w:rPr>
            </w:pPr>
          </w:p>
        </w:tc>
        <w:tc>
          <w:tcPr>
            <w:tcW w:w="2125" w:type="dxa"/>
            <w:vMerge/>
          </w:tcPr>
          <w:p w14:paraId="7DDAC840" w14:textId="77777777" w:rsidR="00E57289" w:rsidRPr="001B6E4D" w:rsidRDefault="00E57289" w:rsidP="003D1018">
            <w:pPr>
              <w:widowControl w:val="0"/>
              <w:kinsoku w:val="0"/>
              <w:overflowPunct w:val="0"/>
              <w:adjustRightInd w:val="0"/>
              <w:snapToGrid w:val="0"/>
              <w:spacing w:line="300" w:lineRule="exact"/>
              <w:ind w:left="360"/>
              <w:jc w:val="both"/>
              <w:rPr>
                <w:rFonts w:ascii="標楷體" w:eastAsia="標楷體" w:hAnsi="標楷體"/>
                <w:color w:val="000000"/>
                <w:kern w:val="0"/>
                <w:szCs w:val="22"/>
              </w:rPr>
            </w:pPr>
          </w:p>
        </w:tc>
      </w:tr>
      <w:tr w:rsidR="00E57289" w:rsidRPr="001B6E4D" w14:paraId="01AD2BA0" w14:textId="77777777" w:rsidTr="00E57289">
        <w:tc>
          <w:tcPr>
            <w:tcW w:w="714" w:type="dxa"/>
          </w:tcPr>
          <w:p w14:paraId="58A833DB" w14:textId="77777777" w:rsidR="00E57289" w:rsidRPr="001B6E4D" w:rsidRDefault="00E57289" w:rsidP="003D1018">
            <w:pPr>
              <w:widowControl w:val="0"/>
              <w:overflowPunct w:val="0"/>
              <w:jc w:val="center"/>
              <w:rPr>
                <w:rFonts w:ascii="標楷體" w:eastAsia="標楷體" w:hAnsi="標楷體" w:cs="新細明體"/>
                <w:color w:val="000000"/>
              </w:rPr>
            </w:pPr>
            <w:r w:rsidRPr="001B6E4D">
              <w:rPr>
                <w:rFonts w:ascii="標楷體" w:eastAsia="標楷體" w:hAnsi="標楷體" w:cs="新細明體" w:hint="eastAsia"/>
                <w:color w:val="000000"/>
              </w:rPr>
              <w:t>3</w:t>
            </w:r>
          </w:p>
        </w:tc>
        <w:tc>
          <w:tcPr>
            <w:tcW w:w="1853" w:type="dxa"/>
          </w:tcPr>
          <w:p w14:paraId="47DA3B50" w14:textId="77777777" w:rsidR="00E57289" w:rsidRPr="001B6E4D" w:rsidRDefault="00E57289" w:rsidP="003D1018">
            <w:pPr>
              <w:widowControl w:val="0"/>
              <w:kinsoku w:val="0"/>
              <w:overflowPunct w:val="0"/>
              <w:topLinePunct/>
              <w:autoSpaceDE w:val="0"/>
              <w:autoSpaceDN w:val="0"/>
              <w:adjustRightInd w:val="0"/>
              <w:snapToGrid w:val="0"/>
              <w:spacing w:line="300" w:lineRule="exact"/>
              <w:jc w:val="both"/>
              <w:rPr>
                <w:rFonts w:ascii="標楷體" w:eastAsia="標楷體" w:hAnsi="標楷體"/>
                <w:color w:val="000000"/>
                <w:kern w:val="0"/>
              </w:rPr>
            </w:pPr>
            <w:r w:rsidRPr="001B6E4D">
              <w:rPr>
                <w:rFonts w:ascii="標楷體" w:eastAsia="標楷體" w:hAnsi="標楷體"/>
                <w:color w:val="000000"/>
                <w:kern w:val="0"/>
              </w:rPr>
              <w:t>3.立法委員互選院長副院長辦法第一</w:t>
            </w:r>
            <w:proofErr w:type="gramStart"/>
            <w:r w:rsidRPr="001B6E4D">
              <w:rPr>
                <w:rFonts w:ascii="標楷體" w:eastAsia="標楷體" w:hAnsi="標楷體"/>
                <w:color w:val="000000"/>
                <w:kern w:val="0"/>
              </w:rPr>
              <w:t>條</w:t>
            </w:r>
            <w:proofErr w:type="gramEnd"/>
            <w:r w:rsidRPr="001B6E4D">
              <w:rPr>
                <w:rFonts w:ascii="標楷體" w:eastAsia="標楷體" w:hAnsi="標楷體"/>
                <w:color w:val="000000"/>
                <w:kern w:val="0"/>
              </w:rPr>
              <w:t>條文修正草案</w:t>
            </w:r>
          </w:p>
        </w:tc>
        <w:tc>
          <w:tcPr>
            <w:tcW w:w="1918" w:type="dxa"/>
          </w:tcPr>
          <w:p w14:paraId="1A225557" w14:textId="77777777" w:rsidR="00E57289" w:rsidRPr="001B6E4D" w:rsidRDefault="00E57289" w:rsidP="003D1018">
            <w:pPr>
              <w:widowControl w:val="0"/>
              <w:kinsoku w:val="0"/>
              <w:overflowPunct w:val="0"/>
              <w:topLinePunct/>
              <w:autoSpaceDE w:val="0"/>
              <w:autoSpaceDN w:val="0"/>
              <w:spacing w:line="300" w:lineRule="exact"/>
              <w:rPr>
                <w:rFonts w:ascii="標楷體" w:eastAsia="標楷體" w:hAnsi="標楷體"/>
                <w:color w:val="000000"/>
                <w:kern w:val="0"/>
              </w:rPr>
            </w:pPr>
            <w:r w:rsidRPr="001B6E4D">
              <w:rPr>
                <w:rFonts w:ascii="標楷體" w:eastAsia="標楷體" w:hAnsi="標楷體"/>
                <w:color w:val="000000"/>
                <w:kern w:val="0"/>
              </w:rPr>
              <w:t>委員魯明哲</w:t>
            </w:r>
          </w:p>
          <w:p w14:paraId="3230A5F3" w14:textId="77777777" w:rsidR="00E57289" w:rsidRPr="001B6E4D" w:rsidRDefault="00E57289" w:rsidP="003D1018">
            <w:pPr>
              <w:widowControl w:val="0"/>
              <w:kinsoku w:val="0"/>
              <w:overflowPunct w:val="0"/>
              <w:topLinePunct/>
              <w:autoSpaceDE w:val="0"/>
              <w:autoSpaceDN w:val="0"/>
              <w:spacing w:line="300" w:lineRule="exact"/>
              <w:rPr>
                <w:rFonts w:ascii="標楷體" w:eastAsia="標楷體" w:hAnsi="標楷體"/>
                <w:color w:val="000000"/>
                <w:kern w:val="0"/>
              </w:rPr>
            </w:pPr>
            <w:r w:rsidRPr="001B6E4D">
              <w:rPr>
                <w:rFonts w:ascii="標楷體" w:eastAsia="標楷體" w:hAnsi="標楷體"/>
                <w:color w:val="000000"/>
                <w:kern w:val="0"/>
              </w:rPr>
              <w:t>等24人</w:t>
            </w:r>
          </w:p>
          <w:p w14:paraId="0F5B2FBA" w14:textId="77777777" w:rsidR="00E57289" w:rsidRPr="001B6E4D" w:rsidRDefault="00E57289" w:rsidP="003D1018">
            <w:pPr>
              <w:widowControl w:val="0"/>
              <w:kinsoku w:val="0"/>
              <w:overflowPunct w:val="0"/>
              <w:topLinePunct/>
              <w:autoSpaceDE w:val="0"/>
              <w:autoSpaceDN w:val="0"/>
              <w:spacing w:line="300" w:lineRule="exact"/>
              <w:rPr>
                <w:rFonts w:ascii="標楷體" w:eastAsia="標楷體" w:hAnsi="標楷體"/>
                <w:color w:val="000000"/>
                <w:kern w:val="0"/>
              </w:rPr>
            </w:pPr>
            <w:r w:rsidRPr="001B6E4D">
              <w:rPr>
                <w:rFonts w:ascii="標楷體" w:eastAsia="標楷體" w:hAnsi="標楷體"/>
                <w:color w:val="000000"/>
                <w:kern w:val="0"/>
              </w:rPr>
              <w:t>113.03.15</w:t>
            </w:r>
          </w:p>
          <w:p w14:paraId="38429AE2" w14:textId="77777777" w:rsidR="00E57289" w:rsidRPr="001B6E4D" w:rsidRDefault="00E57289" w:rsidP="003D1018">
            <w:pPr>
              <w:widowControl w:val="0"/>
              <w:kinsoku w:val="0"/>
              <w:overflowPunct w:val="0"/>
              <w:topLinePunct/>
              <w:autoSpaceDE w:val="0"/>
              <w:autoSpaceDN w:val="0"/>
              <w:spacing w:line="300" w:lineRule="exact"/>
              <w:rPr>
                <w:rFonts w:ascii="標楷體" w:eastAsia="標楷體" w:hAnsi="標楷體"/>
                <w:color w:val="000000"/>
                <w:kern w:val="0"/>
              </w:rPr>
            </w:pPr>
            <w:r w:rsidRPr="001B6E4D">
              <w:rPr>
                <w:rFonts w:ascii="標楷體" w:eastAsia="標楷體" w:hAnsi="標楷體"/>
                <w:color w:val="000000"/>
                <w:kern w:val="0"/>
              </w:rPr>
              <w:t>（11-1-5）</w:t>
            </w:r>
          </w:p>
        </w:tc>
        <w:tc>
          <w:tcPr>
            <w:tcW w:w="1985" w:type="dxa"/>
            <w:vMerge/>
          </w:tcPr>
          <w:p w14:paraId="6E3C9F4C" w14:textId="77777777" w:rsidR="00E57289" w:rsidRPr="001B6E4D" w:rsidRDefault="00E57289" w:rsidP="003D1018">
            <w:pPr>
              <w:widowControl w:val="0"/>
              <w:kinsoku w:val="0"/>
              <w:overflowPunct w:val="0"/>
              <w:topLinePunct/>
              <w:spacing w:line="300" w:lineRule="exact"/>
              <w:rPr>
                <w:rFonts w:ascii="標楷體" w:eastAsia="標楷體" w:hAnsi="標楷體"/>
                <w:color w:val="000000"/>
                <w:kern w:val="0"/>
              </w:rPr>
            </w:pPr>
          </w:p>
        </w:tc>
        <w:tc>
          <w:tcPr>
            <w:tcW w:w="2125" w:type="dxa"/>
            <w:vMerge/>
          </w:tcPr>
          <w:p w14:paraId="26B82697" w14:textId="77777777" w:rsidR="00E57289" w:rsidRPr="001B6E4D" w:rsidRDefault="00E57289" w:rsidP="003D1018">
            <w:pPr>
              <w:widowControl w:val="0"/>
              <w:kinsoku w:val="0"/>
              <w:overflowPunct w:val="0"/>
              <w:adjustRightInd w:val="0"/>
              <w:snapToGrid w:val="0"/>
              <w:spacing w:line="300" w:lineRule="exact"/>
              <w:ind w:left="360"/>
              <w:jc w:val="both"/>
              <w:rPr>
                <w:rFonts w:ascii="標楷體" w:eastAsia="標楷體" w:hAnsi="標楷體"/>
                <w:color w:val="000000"/>
                <w:kern w:val="0"/>
                <w:szCs w:val="22"/>
              </w:rPr>
            </w:pPr>
          </w:p>
        </w:tc>
      </w:tr>
    </w:tbl>
    <w:p w14:paraId="0046D7FD" w14:textId="77777777" w:rsidR="009B28A5" w:rsidRPr="001B6E4D" w:rsidRDefault="009B28A5" w:rsidP="003D1018">
      <w:pPr>
        <w:keepNext/>
        <w:overflowPunct w:val="0"/>
        <w:spacing w:line="500" w:lineRule="exact"/>
        <w:ind w:leftChars="250" w:left="600"/>
        <w:jc w:val="both"/>
        <w:outlineLvl w:val="1"/>
        <w:rPr>
          <w:rFonts w:ascii="標楷體" w:eastAsia="標楷體" w:hAnsi="標楷體"/>
          <w:color w:val="000000" w:themeColor="text1"/>
        </w:rPr>
        <w:sectPr w:rsidR="009B28A5" w:rsidRPr="001B6E4D" w:rsidSect="00B8553E">
          <w:pgSz w:w="11906" w:h="16838"/>
          <w:pgMar w:top="1440" w:right="1133" w:bottom="1440" w:left="1800" w:header="851" w:footer="992" w:gutter="0"/>
          <w:cols w:space="425"/>
          <w:docGrid w:type="lines" w:linePitch="360"/>
        </w:sectPr>
      </w:pPr>
    </w:p>
    <w:p w14:paraId="69F3447E" w14:textId="3F249888" w:rsidR="009B28A5" w:rsidRPr="001B6E4D" w:rsidRDefault="009B28A5" w:rsidP="003D1018">
      <w:pPr>
        <w:keepNext/>
        <w:kinsoku w:val="0"/>
        <w:overflowPunct w:val="0"/>
        <w:topLinePunct/>
        <w:spacing w:beforeLines="100" w:before="360" w:afterLines="50" w:after="180" w:line="520" w:lineRule="exact"/>
        <w:jc w:val="both"/>
        <w:textAlignment w:val="top"/>
        <w:outlineLvl w:val="0"/>
        <w:rPr>
          <w:rFonts w:ascii="標楷體" w:eastAsia="標楷體" w:hAnsi="標楷體"/>
          <w:b/>
          <w:bCs/>
          <w:color w:val="FF0000"/>
          <w:kern w:val="52"/>
          <w:sz w:val="28"/>
          <w:szCs w:val="28"/>
          <w:shd w:val="clear" w:color="auto" w:fill="FFFFFF" w:themeFill="background1"/>
        </w:rPr>
      </w:pPr>
      <w:bookmarkStart w:id="211" w:name="_Toc240446544"/>
      <w:r w:rsidRPr="001B6E4D">
        <w:rPr>
          <w:rFonts w:ascii="標楷體" w:eastAsia="標楷體" w:hAnsi="標楷體" w:hint="eastAsia"/>
          <w:b/>
          <w:bCs/>
          <w:color w:val="000000" w:themeColor="text1"/>
          <w:kern w:val="52"/>
          <w:sz w:val="28"/>
          <w:szCs w:val="28"/>
          <w:shd w:val="clear" w:color="auto" w:fill="FFFFFF" w:themeFill="background1"/>
        </w:rPr>
        <w:lastRenderedPageBreak/>
        <w:t>陸</w:t>
      </w:r>
      <w:r w:rsidRPr="001B6E4D">
        <w:rPr>
          <w:rFonts w:ascii="標楷體" w:eastAsia="標楷體" w:hAnsi="標楷體"/>
          <w:b/>
          <w:bCs/>
          <w:color w:val="000000" w:themeColor="text1"/>
          <w:kern w:val="52"/>
          <w:sz w:val="28"/>
          <w:szCs w:val="28"/>
          <w:shd w:val="clear" w:color="auto" w:fill="FFFFFF" w:themeFill="background1"/>
        </w:rPr>
        <w:t>、本會待</w:t>
      </w:r>
      <w:r w:rsidRPr="001B6E4D">
        <w:rPr>
          <w:rFonts w:ascii="標楷體" w:eastAsia="標楷體" w:hAnsi="標楷體" w:hint="eastAsia"/>
          <w:b/>
          <w:bCs/>
          <w:color w:val="000000" w:themeColor="text1"/>
          <w:kern w:val="52"/>
          <w:sz w:val="28"/>
          <w:szCs w:val="28"/>
          <w:shd w:val="clear" w:color="auto" w:fill="FFFFFF" w:themeFill="background1"/>
        </w:rPr>
        <w:t>（</w:t>
      </w:r>
      <w:r w:rsidRPr="001B6E4D">
        <w:rPr>
          <w:rFonts w:ascii="標楷體" w:eastAsia="標楷體" w:hAnsi="標楷體"/>
          <w:b/>
          <w:bCs/>
          <w:color w:val="000000" w:themeColor="text1"/>
          <w:kern w:val="52"/>
          <w:sz w:val="28"/>
          <w:szCs w:val="28"/>
          <w:shd w:val="clear" w:color="auto" w:fill="FFFFFF" w:themeFill="background1"/>
        </w:rPr>
        <w:t>繼續</w:t>
      </w:r>
      <w:r w:rsidRPr="001B6E4D">
        <w:rPr>
          <w:rFonts w:ascii="標楷體" w:eastAsia="標楷體" w:hAnsi="標楷體" w:hint="eastAsia"/>
          <w:b/>
          <w:bCs/>
          <w:color w:val="000000" w:themeColor="text1"/>
          <w:kern w:val="52"/>
          <w:sz w:val="28"/>
          <w:szCs w:val="28"/>
          <w:shd w:val="clear" w:color="auto" w:fill="FFFFFF" w:themeFill="background1"/>
        </w:rPr>
        <w:t>）</w:t>
      </w:r>
      <w:r w:rsidRPr="001B6E4D">
        <w:rPr>
          <w:rFonts w:ascii="標楷體" w:eastAsia="標楷體" w:hAnsi="標楷體"/>
          <w:b/>
          <w:bCs/>
          <w:color w:val="000000" w:themeColor="text1"/>
          <w:kern w:val="52"/>
          <w:sz w:val="28"/>
          <w:szCs w:val="28"/>
          <w:shd w:val="clear" w:color="auto" w:fill="FFFFFF" w:themeFill="background1"/>
        </w:rPr>
        <w:t>審查之議案</w:t>
      </w:r>
      <w:r w:rsidR="00F5051C" w:rsidRPr="001B6E4D">
        <w:rPr>
          <w:rFonts w:ascii="標楷體" w:eastAsia="標楷體" w:hAnsi="標楷體" w:hint="eastAsia"/>
          <w:b/>
          <w:bCs/>
          <w:color w:val="000000" w:themeColor="text1"/>
          <w:kern w:val="52"/>
          <w:sz w:val="28"/>
          <w:szCs w:val="28"/>
          <w:shd w:val="clear" w:color="auto" w:fill="FFFFFF" w:themeFill="background1"/>
        </w:rPr>
        <w:t>1</w:t>
      </w:r>
      <w:r w:rsidR="000B741E" w:rsidRPr="001B6E4D">
        <w:rPr>
          <w:rFonts w:ascii="標楷體" w:eastAsia="標楷體" w:hAnsi="標楷體"/>
          <w:b/>
          <w:bCs/>
          <w:color w:val="000000" w:themeColor="text1"/>
          <w:kern w:val="52"/>
          <w:sz w:val="28"/>
          <w:szCs w:val="28"/>
          <w:shd w:val="clear" w:color="auto" w:fill="FFFFFF" w:themeFill="background1"/>
        </w:rPr>
        <w:t>,</w:t>
      </w:r>
      <w:r w:rsidR="00F5051C" w:rsidRPr="001B6E4D">
        <w:rPr>
          <w:rFonts w:ascii="標楷體" w:eastAsia="標楷體" w:hAnsi="標楷體" w:hint="eastAsia"/>
          <w:b/>
          <w:bCs/>
          <w:color w:val="000000" w:themeColor="text1"/>
          <w:kern w:val="52"/>
          <w:sz w:val="28"/>
          <w:szCs w:val="28"/>
          <w:shd w:val="clear" w:color="auto" w:fill="FFFFFF" w:themeFill="background1"/>
        </w:rPr>
        <w:t>0</w:t>
      </w:r>
      <w:r w:rsidR="000B741E" w:rsidRPr="001B6E4D">
        <w:rPr>
          <w:rFonts w:ascii="標楷體" w:eastAsia="標楷體" w:hAnsi="標楷體" w:hint="eastAsia"/>
          <w:b/>
          <w:bCs/>
          <w:color w:val="000000" w:themeColor="text1"/>
          <w:kern w:val="52"/>
          <w:sz w:val="28"/>
          <w:szCs w:val="28"/>
          <w:shd w:val="clear" w:color="auto" w:fill="FFFFFF" w:themeFill="background1"/>
        </w:rPr>
        <w:t>92</w:t>
      </w:r>
      <w:r w:rsidRPr="001B6E4D">
        <w:rPr>
          <w:rFonts w:ascii="標楷體" w:eastAsia="標楷體" w:hAnsi="標楷體"/>
          <w:b/>
          <w:bCs/>
          <w:color w:val="000000" w:themeColor="text1"/>
          <w:kern w:val="52"/>
          <w:sz w:val="28"/>
          <w:szCs w:val="28"/>
          <w:shd w:val="clear" w:color="auto" w:fill="FFFFFF" w:themeFill="background1"/>
        </w:rPr>
        <w:t>案</w:t>
      </w:r>
      <w:bookmarkEnd w:id="211"/>
    </w:p>
    <w:p w14:paraId="34979527" w14:textId="73CB30F7" w:rsidR="009B28A5" w:rsidRPr="001B6E4D" w:rsidRDefault="009B28A5" w:rsidP="003D1018">
      <w:pPr>
        <w:keepNext/>
        <w:tabs>
          <w:tab w:val="left" w:pos="709"/>
          <w:tab w:val="left" w:pos="4395"/>
          <w:tab w:val="left" w:pos="5954"/>
        </w:tabs>
        <w:kinsoku w:val="0"/>
        <w:overflowPunct w:val="0"/>
        <w:topLinePunct/>
        <w:adjustRightInd w:val="0"/>
        <w:spacing w:beforeLines="50" w:before="180" w:afterLines="50" w:after="180" w:line="400" w:lineRule="exact"/>
        <w:ind w:leftChars="128" w:left="307" w:firstLine="567"/>
        <w:jc w:val="both"/>
        <w:textAlignment w:val="top"/>
        <w:rPr>
          <w:rFonts w:ascii="標楷體" w:eastAsia="標楷體" w:hAnsi="標楷體"/>
          <w:bCs/>
          <w:color w:val="000000" w:themeColor="text1"/>
          <w:kern w:val="52"/>
          <w:sz w:val="28"/>
          <w:szCs w:val="28"/>
          <w:shd w:val="clear" w:color="auto" w:fill="FFFFFF" w:themeFill="background1"/>
        </w:rPr>
      </w:pPr>
      <w:bookmarkStart w:id="212" w:name="_Toc510167674"/>
      <w:r w:rsidRPr="001B6E4D">
        <w:rPr>
          <w:rFonts w:ascii="標楷體" w:eastAsia="標楷體" w:hAnsi="標楷體"/>
          <w:bCs/>
          <w:color w:val="000000" w:themeColor="text1"/>
          <w:kern w:val="52"/>
          <w:sz w:val="28"/>
          <w:szCs w:val="28"/>
          <w:shd w:val="clear" w:color="auto" w:fill="FFFFFF" w:themeFill="background1"/>
        </w:rPr>
        <w:t>院會交付本會尚待(繼續)本會審查、處理之法律案</w:t>
      </w:r>
      <w:r w:rsidR="00F5051C" w:rsidRPr="001B6E4D">
        <w:rPr>
          <w:rFonts w:ascii="標楷體" w:eastAsia="標楷體" w:hAnsi="標楷體" w:hint="eastAsia"/>
          <w:bCs/>
          <w:color w:val="000000" w:themeColor="text1"/>
          <w:kern w:val="52"/>
          <w:sz w:val="28"/>
          <w:szCs w:val="28"/>
          <w:shd w:val="clear" w:color="auto" w:fill="FFFFFF" w:themeFill="background1"/>
        </w:rPr>
        <w:t>947</w:t>
      </w:r>
      <w:r w:rsidRPr="001B6E4D">
        <w:rPr>
          <w:rFonts w:ascii="標楷體" w:eastAsia="標楷體" w:hAnsi="標楷體"/>
          <w:bCs/>
          <w:color w:val="000000" w:themeColor="text1"/>
          <w:kern w:val="52"/>
          <w:sz w:val="28"/>
          <w:szCs w:val="28"/>
          <w:shd w:val="clear" w:color="auto" w:fill="FFFFFF" w:themeFill="background1"/>
        </w:rPr>
        <w:t>案</w:t>
      </w:r>
      <w:r w:rsidRPr="001B6E4D">
        <w:rPr>
          <w:rFonts w:ascii="標楷體" w:eastAsia="標楷體" w:hAnsi="標楷體" w:hint="eastAsia"/>
          <w:bCs/>
          <w:color w:val="000000" w:themeColor="text1"/>
          <w:kern w:val="52"/>
          <w:sz w:val="28"/>
          <w:szCs w:val="28"/>
          <w:shd w:val="clear" w:color="auto" w:fill="FFFFFF" w:themeFill="background1"/>
        </w:rPr>
        <w:t>(組織法</w:t>
      </w:r>
      <w:r w:rsidR="00F5051C" w:rsidRPr="001B6E4D">
        <w:rPr>
          <w:rFonts w:ascii="標楷體" w:eastAsia="標楷體" w:hAnsi="標楷體" w:hint="eastAsia"/>
          <w:bCs/>
          <w:color w:val="000000" w:themeColor="text1"/>
          <w:kern w:val="52"/>
          <w:sz w:val="28"/>
          <w:szCs w:val="28"/>
          <w:shd w:val="clear" w:color="auto" w:fill="FFFFFF" w:themeFill="background1"/>
        </w:rPr>
        <w:t>373</w:t>
      </w:r>
      <w:r w:rsidRPr="001B6E4D">
        <w:rPr>
          <w:rFonts w:ascii="標楷體" w:eastAsia="標楷體" w:hAnsi="標楷體" w:hint="eastAsia"/>
          <w:bCs/>
          <w:color w:val="000000" w:themeColor="text1"/>
          <w:kern w:val="52"/>
          <w:sz w:val="28"/>
          <w:szCs w:val="28"/>
          <w:shd w:val="clear" w:color="auto" w:fill="FFFFFF" w:themeFill="background1"/>
        </w:rPr>
        <w:t>案、作用法</w:t>
      </w:r>
      <w:r w:rsidR="00F5051C" w:rsidRPr="001B6E4D">
        <w:rPr>
          <w:rFonts w:ascii="標楷體" w:eastAsia="標楷體" w:hAnsi="標楷體" w:hint="eastAsia"/>
          <w:bCs/>
          <w:color w:val="000000" w:themeColor="text1"/>
          <w:kern w:val="52"/>
          <w:sz w:val="28"/>
          <w:szCs w:val="28"/>
          <w:shd w:val="clear" w:color="auto" w:fill="FFFFFF" w:themeFill="background1"/>
        </w:rPr>
        <w:t>574</w:t>
      </w:r>
      <w:r w:rsidRPr="001B6E4D">
        <w:rPr>
          <w:rFonts w:ascii="標楷體" w:eastAsia="標楷體" w:hAnsi="標楷體" w:hint="eastAsia"/>
          <w:bCs/>
          <w:color w:val="000000" w:themeColor="text1"/>
          <w:kern w:val="52"/>
          <w:sz w:val="28"/>
          <w:szCs w:val="28"/>
          <w:shd w:val="clear" w:color="auto" w:fill="FFFFFF" w:themeFill="background1"/>
        </w:rPr>
        <w:t>案)</w:t>
      </w:r>
      <w:r w:rsidRPr="001B6E4D">
        <w:rPr>
          <w:rFonts w:ascii="標楷體" w:eastAsia="標楷體" w:hAnsi="標楷體"/>
          <w:bCs/>
          <w:color w:val="000000" w:themeColor="text1"/>
          <w:kern w:val="52"/>
          <w:sz w:val="28"/>
          <w:szCs w:val="28"/>
          <w:shd w:val="clear" w:color="auto" w:fill="FFFFFF" w:themeFill="background1"/>
        </w:rPr>
        <w:t>、預</w:t>
      </w:r>
      <w:r w:rsidRPr="001B6E4D">
        <w:rPr>
          <w:rFonts w:ascii="標楷體" w:eastAsia="標楷體" w:hAnsi="標楷體" w:hint="eastAsia"/>
          <w:bCs/>
          <w:color w:val="000000" w:themeColor="text1"/>
          <w:kern w:val="52"/>
          <w:sz w:val="28"/>
          <w:szCs w:val="28"/>
          <w:shd w:val="clear" w:color="auto" w:fill="FFFFFF" w:themeFill="background1"/>
        </w:rPr>
        <w:t>（</w:t>
      </w:r>
      <w:r w:rsidRPr="001B6E4D">
        <w:rPr>
          <w:rFonts w:ascii="標楷體" w:eastAsia="標楷體" w:hAnsi="標楷體"/>
          <w:bCs/>
          <w:color w:val="000000" w:themeColor="text1"/>
          <w:kern w:val="52"/>
          <w:sz w:val="28"/>
          <w:szCs w:val="28"/>
          <w:shd w:val="clear" w:color="auto" w:fill="FFFFFF" w:themeFill="background1"/>
        </w:rPr>
        <w:t>決</w:t>
      </w:r>
      <w:r w:rsidRPr="001B6E4D">
        <w:rPr>
          <w:rFonts w:ascii="標楷體" w:eastAsia="標楷體" w:hAnsi="標楷體" w:hint="eastAsia"/>
          <w:bCs/>
          <w:color w:val="000000" w:themeColor="text1"/>
          <w:kern w:val="52"/>
          <w:sz w:val="28"/>
          <w:szCs w:val="28"/>
          <w:shd w:val="clear" w:color="auto" w:fill="FFFFFF" w:themeFill="background1"/>
        </w:rPr>
        <w:t>）</w:t>
      </w:r>
      <w:r w:rsidRPr="001B6E4D">
        <w:rPr>
          <w:rFonts w:ascii="標楷體" w:eastAsia="標楷體" w:hAnsi="標楷體"/>
          <w:bCs/>
          <w:color w:val="000000" w:themeColor="text1"/>
          <w:kern w:val="52"/>
          <w:sz w:val="28"/>
          <w:szCs w:val="28"/>
          <w:shd w:val="clear" w:color="auto" w:fill="FFFFFF" w:themeFill="background1"/>
        </w:rPr>
        <w:t>算案</w:t>
      </w:r>
      <w:r w:rsidR="00F5051C" w:rsidRPr="001B6E4D">
        <w:rPr>
          <w:rFonts w:ascii="標楷體" w:eastAsia="標楷體" w:hAnsi="標楷體" w:hint="eastAsia"/>
          <w:bCs/>
          <w:color w:val="000000" w:themeColor="text1"/>
          <w:kern w:val="52"/>
          <w:sz w:val="28"/>
          <w:szCs w:val="28"/>
          <w:shd w:val="clear" w:color="auto" w:fill="FFFFFF" w:themeFill="background1"/>
        </w:rPr>
        <w:t>132</w:t>
      </w:r>
      <w:r w:rsidRPr="001B6E4D">
        <w:rPr>
          <w:rFonts w:ascii="標楷體" w:eastAsia="標楷體" w:hAnsi="標楷體"/>
          <w:bCs/>
          <w:color w:val="000000" w:themeColor="text1"/>
          <w:kern w:val="52"/>
          <w:sz w:val="28"/>
          <w:szCs w:val="28"/>
          <w:shd w:val="clear" w:color="auto" w:fill="FFFFFF" w:themeFill="background1"/>
        </w:rPr>
        <w:t>案、行政命令案</w:t>
      </w:r>
      <w:r w:rsidR="00F5051C" w:rsidRPr="001B6E4D">
        <w:rPr>
          <w:rFonts w:ascii="標楷體" w:eastAsia="標楷體" w:hAnsi="標楷體" w:hint="eastAsia"/>
          <w:bCs/>
          <w:color w:val="000000" w:themeColor="text1"/>
          <w:kern w:val="52"/>
          <w:sz w:val="28"/>
          <w:szCs w:val="28"/>
          <w:shd w:val="clear" w:color="auto" w:fill="FFFFFF" w:themeFill="background1"/>
        </w:rPr>
        <w:t>3</w:t>
      </w:r>
      <w:r w:rsidRPr="001B6E4D">
        <w:rPr>
          <w:rFonts w:ascii="標楷體" w:eastAsia="標楷體" w:hAnsi="標楷體"/>
          <w:bCs/>
          <w:color w:val="000000" w:themeColor="text1"/>
          <w:kern w:val="52"/>
          <w:sz w:val="28"/>
          <w:szCs w:val="28"/>
          <w:shd w:val="clear" w:color="auto" w:fill="FFFFFF" w:themeFill="background1"/>
        </w:rPr>
        <w:t>案、立法院內</w:t>
      </w:r>
      <w:proofErr w:type="gramStart"/>
      <w:r w:rsidRPr="001B6E4D">
        <w:rPr>
          <w:rFonts w:ascii="標楷體" w:eastAsia="標楷體" w:hAnsi="標楷體"/>
          <w:bCs/>
          <w:color w:val="000000" w:themeColor="text1"/>
          <w:kern w:val="52"/>
          <w:sz w:val="28"/>
          <w:szCs w:val="28"/>
          <w:shd w:val="clear" w:color="auto" w:fill="FFFFFF" w:themeFill="background1"/>
        </w:rPr>
        <w:t>規</w:t>
      </w:r>
      <w:proofErr w:type="gramEnd"/>
      <w:r w:rsidR="007608A3" w:rsidRPr="001B6E4D">
        <w:rPr>
          <w:rFonts w:ascii="標楷體" w:eastAsia="標楷體" w:hAnsi="標楷體" w:hint="eastAsia"/>
          <w:bCs/>
          <w:color w:val="000000" w:themeColor="text1"/>
          <w:kern w:val="52"/>
          <w:sz w:val="28"/>
          <w:szCs w:val="28"/>
          <w:shd w:val="clear" w:color="auto" w:fill="FFFFFF" w:themeFill="background1"/>
        </w:rPr>
        <w:t>3</w:t>
      </w:r>
      <w:r w:rsidRPr="001B6E4D">
        <w:rPr>
          <w:rFonts w:ascii="標楷體" w:eastAsia="標楷體" w:hAnsi="標楷體"/>
          <w:bCs/>
          <w:color w:val="000000" w:themeColor="text1"/>
          <w:kern w:val="52"/>
          <w:sz w:val="28"/>
          <w:szCs w:val="28"/>
          <w:shd w:val="clear" w:color="auto" w:fill="FFFFFF" w:themeFill="background1"/>
        </w:rPr>
        <w:t>案、其他議案</w:t>
      </w:r>
      <w:r w:rsidR="00B9784F" w:rsidRPr="001B6E4D">
        <w:rPr>
          <w:rFonts w:ascii="標楷體" w:eastAsia="標楷體" w:hAnsi="標楷體" w:hint="eastAsia"/>
          <w:bCs/>
          <w:color w:val="000000" w:themeColor="text1"/>
          <w:kern w:val="52"/>
          <w:sz w:val="28"/>
          <w:szCs w:val="28"/>
          <w:shd w:val="clear" w:color="auto" w:fill="FFFFFF" w:themeFill="background1"/>
        </w:rPr>
        <w:t>2</w:t>
      </w:r>
      <w:r w:rsidRPr="001B6E4D">
        <w:rPr>
          <w:rFonts w:ascii="標楷體" w:eastAsia="標楷體" w:hAnsi="標楷體"/>
          <w:bCs/>
          <w:color w:val="000000" w:themeColor="text1"/>
          <w:kern w:val="52"/>
          <w:sz w:val="28"/>
          <w:szCs w:val="28"/>
          <w:shd w:val="clear" w:color="auto" w:fill="FFFFFF" w:themeFill="background1"/>
        </w:rPr>
        <w:t>案</w:t>
      </w:r>
      <w:r w:rsidRPr="001B6E4D">
        <w:rPr>
          <w:rFonts w:ascii="標楷體" w:eastAsia="標楷體" w:hAnsi="標楷體" w:hint="eastAsia"/>
          <w:bCs/>
          <w:color w:val="000000" w:themeColor="text1"/>
          <w:kern w:val="52"/>
          <w:sz w:val="28"/>
          <w:szCs w:val="28"/>
          <w:shd w:val="clear" w:color="auto" w:fill="FFFFFF" w:themeFill="background1"/>
        </w:rPr>
        <w:t>及人民請願案</w:t>
      </w:r>
      <w:r w:rsidR="007E6AED" w:rsidRPr="001B6E4D">
        <w:rPr>
          <w:rFonts w:ascii="標楷體" w:eastAsia="標楷體" w:hAnsi="標楷體" w:hint="eastAsia"/>
          <w:bCs/>
          <w:color w:val="000000" w:themeColor="text1"/>
          <w:kern w:val="52"/>
          <w:sz w:val="28"/>
          <w:szCs w:val="28"/>
          <w:shd w:val="clear" w:color="auto" w:fill="FFFFFF" w:themeFill="background1"/>
        </w:rPr>
        <w:t>5</w:t>
      </w:r>
      <w:r w:rsidRPr="001B6E4D">
        <w:rPr>
          <w:rFonts w:ascii="標楷體" w:eastAsia="標楷體" w:hAnsi="標楷體" w:hint="eastAsia"/>
          <w:bCs/>
          <w:color w:val="000000" w:themeColor="text1"/>
          <w:kern w:val="52"/>
          <w:sz w:val="28"/>
          <w:szCs w:val="28"/>
          <w:shd w:val="clear" w:color="auto" w:fill="FFFFFF" w:themeFill="background1"/>
        </w:rPr>
        <w:t>案</w:t>
      </w:r>
      <w:r w:rsidRPr="001B6E4D">
        <w:rPr>
          <w:rFonts w:ascii="標楷體" w:eastAsia="標楷體" w:hAnsi="標楷體"/>
          <w:bCs/>
          <w:color w:val="000000" w:themeColor="text1"/>
          <w:kern w:val="52"/>
          <w:sz w:val="28"/>
          <w:szCs w:val="28"/>
          <w:shd w:val="clear" w:color="auto" w:fill="FFFFFF" w:themeFill="background1"/>
        </w:rPr>
        <w:t>，合計</w:t>
      </w:r>
      <w:r w:rsidR="007E6AED" w:rsidRPr="001B6E4D">
        <w:rPr>
          <w:rFonts w:ascii="標楷體" w:eastAsia="標楷體" w:hAnsi="標楷體" w:hint="eastAsia"/>
          <w:bCs/>
          <w:color w:val="000000" w:themeColor="text1"/>
          <w:kern w:val="52"/>
          <w:sz w:val="28"/>
          <w:szCs w:val="28"/>
          <w:shd w:val="clear" w:color="auto" w:fill="FFFFFF" w:themeFill="background1"/>
        </w:rPr>
        <w:t>1</w:t>
      </w:r>
      <w:r w:rsidR="00496D40" w:rsidRPr="001B6E4D">
        <w:rPr>
          <w:rFonts w:ascii="標楷體" w:eastAsia="標楷體" w:hAnsi="標楷體"/>
          <w:bCs/>
          <w:color w:val="000000" w:themeColor="text1"/>
          <w:kern w:val="52"/>
          <w:sz w:val="28"/>
          <w:szCs w:val="28"/>
          <w:shd w:val="clear" w:color="auto" w:fill="FFFFFF" w:themeFill="background1"/>
        </w:rPr>
        <w:t>,</w:t>
      </w:r>
      <w:r w:rsidR="007E6AED" w:rsidRPr="001B6E4D">
        <w:rPr>
          <w:rFonts w:ascii="標楷體" w:eastAsia="標楷體" w:hAnsi="標楷體" w:hint="eastAsia"/>
          <w:bCs/>
          <w:color w:val="000000" w:themeColor="text1"/>
          <w:kern w:val="52"/>
          <w:sz w:val="28"/>
          <w:szCs w:val="28"/>
          <w:shd w:val="clear" w:color="auto" w:fill="FFFFFF" w:themeFill="background1"/>
        </w:rPr>
        <w:t>092</w:t>
      </w:r>
      <w:r w:rsidRPr="001B6E4D">
        <w:rPr>
          <w:rFonts w:ascii="標楷體" w:eastAsia="標楷體" w:hAnsi="標楷體"/>
          <w:bCs/>
          <w:color w:val="000000" w:themeColor="text1"/>
          <w:kern w:val="52"/>
          <w:sz w:val="28"/>
          <w:szCs w:val="28"/>
          <w:shd w:val="clear" w:color="auto" w:fill="FFFFFF" w:themeFill="background1"/>
        </w:rPr>
        <w:t>案，</w:t>
      </w:r>
      <w:proofErr w:type="gramStart"/>
      <w:r w:rsidRPr="001B6E4D">
        <w:rPr>
          <w:rFonts w:ascii="標楷體" w:eastAsia="標楷體" w:hAnsi="標楷體"/>
          <w:bCs/>
          <w:color w:val="000000" w:themeColor="text1"/>
          <w:kern w:val="52"/>
          <w:sz w:val="28"/>
          <w:szCs w:val="28"/>
          <w:shd w:val="clear" w:color="auto" w:fill="FFFFFF" w:themeFill="background1"/>
        </w:rPr>
        <w:t>均詳如</w:t>
      </w:r>
      <w:proofErr w:type="gramEnd"/>
      <w:r w:rsidRPr="001B6E4D">
        <w:rPr>
          <w:rFonts w:ascii="標楷體" w:eastAsia="標楷體" w:hAnsi="標楷體"/>
          <w:bCs/>
          <w:color w:val="000000" w:themeColor="text1"/>
          <w:kern w:val="52"/>
          <w:sz w:val="28"/>
          <w:szCs w:val="28"/>
          <w:shd w:val="clear" w:color="auto" w:fill="FFFFFF" w:themeFill="background1"/>
        </w:rPr>
        <w:t>下列各表：</w:t>
      </w:r>
      <w:bookmarkEnd w:id="212"/>
    </w:p>
    <w:p w14:paraId="3641CAEA" w14:textId="5A8F73A3" w:rsidR="009B28A5" w:rsidRPr="001B6E4D" w:rsidRDefault="009B28A5" w:rsidP="003D1018">
      <w:pPr>
        <w:pStyle w:val="-f3"/>
        <w:kinsoku w:val="0"/>
        <w:overflowPunct w:val="0"/>
        <w:topLinePunct/>
        <w:spacing w:before="180" w:after="180"/>
        <w:ind w:leftChars="128" w:left="307"/>
        <w:rPr>
          <w:rFonts w:ascii="標楷體" w:hAnsi="標楷體"/>
          <w:color w:val="000000" w:themeColor="text1"/>
          <w:szCs w:val="28"/>
          <w:shd w:val="clear" w:color="auto" w:fill="FFFFFF" w:themeFill="background1"/>
        </w:rPr>
      </w:pPr>
      <w:bookmarkStart w:id="213" w:name="_Toc351131485"/>
      <w:bookmarkStart w:id="214" w:name="_Toc350521148"/>
      <w:bookmarkStart w:id="215" w:name="_Toc350245059"/>
      <w:bookmarkStart w:id="216" w:name="_Toc346096258"/>
      <w:bookmarkStart w:id="217" w:name="_Toc344483000"/>
      <w:bookmarkStart w:id="218" w:name="_Toc343693197"/>
      <w:bookmarkStart w:id="219" w:name="_Toc342925421"/>
      <w:bookmarkStart w:id="220" w:name="_Toc342405350"/>
      <w:bookmarkStart w:id="221" w:name="_Toc341866872"/>
      <w:bookmarkStart w:id="222" w:name="_Toc341187102"/>
      <w:bookmarkStart w:id="223" w:name="_Toc340610969"/>
      <w:bookmarkStart w:id="224" w:name="_Toc327367279"/>
      <w:bookmarkStart w:id="225" w:name="_Toc328150076"/>
      <w:bookmarkStart w:id="226" w:name="_Toc333246338"/>
      <w:bookmarkStart w:id="227" w:name="_Toc336248592"/>
      <w:bookmarkStart w:id="228" w:name="_Toc337039707"/>
      <w:bookmarkStart w:id="229" w:name="_Toc337039819"/>
      <w:bookmarkStart w:id="230" w:name="_Toc337040833"/>
      <w:bookmarkStart w:id="231" w:name="_Toc338150503"/>
      <w:bookmarkStart w:id="232" w:name="_Toc338767524"/>
      <w:bookmarkStart w:id="233" w:name="_Toc339459236"/>
      <w:bookmarkStart w:id="234" w:name="_Toc339894276"/>
      <w:bookmarkStart w:id="235" w:name="_Toc352054384"/>
      <w:bookmarkStart w:id="236" w:name="_Toc352591156"/>
      <w:bookmarkStart w:id="237" w:name="_Toc353357977"/>
      <w:bookmarkStart w:id="238" w:name="_Toc354409928"/>
      <w:bookmarkStart w:id="239" w:name="_Toc355012901"/>
      <w:bookmarkStart w:id="240" w:name="_Toc355708554"/>
      <w:bookmarkStart w:id="241" w:name="_Toc356398149"/>
      <w:bookmarkStart w:id="242" w:name="_Toc356919245"/>
      <w:bookmarkStart w:id="243" w:name="_Toc357670167"/>
      <w:bookmarkStart w:id="244" w:name="_Toc361217324"/>
      <w:bookmarkStart w:id="245" w:name="_Toc362968384"/>
      <w:bookmarkStart w:id="246" w:name="_Toc136594831"/>
      <w:bookmarkStart w:id="247" w:name="_Toc240446545"/>
      <w:r w:rsidRPr="001B6E4D">
        <w:rPr>
          <w:rFonts w:ascii="標楷體" w:hAnsi="標楷體"/>
          <w:color w:val="000000" w:themeColor="text1"/>
          <w:szCs w:val="28"/>
          <w:shd w:val="clear" w:color="auto" w:fill="FFFFFF" w:themeFill="background1"/>
        </w:rPr>
        <w:t>〔壹〕</w:t>
      </w:r>
      <w:r w:rsidRPr="001B6E4D">
        <w:rPr>
          <w:rFonts w:ascii="標楷體" w:hAnsi="標楷體" w:hint="eastAsia"/>
          <w:color w:val="000000" w:themeColor="text1"/>
          <w:szCs w:val="28"/>
          <w:shd w:val="clear" w:color="auto" w:fill="FFFFFF" w:themeFill="background1"/>
        </w:rPr>
        <w:t>法律案</w:t>
      </w:r>
      <w:r w:rsidR="00496D40" w:rsidRPr="001B6E4D">
        <w:rPr>
          <w:rFonts w:ascii="標楷體" w:hAnsi="標楷體"/>
          <w:color w:val="000000" w:themeColor="text1"/>
          <w:szCs w:val="28"/>
          <w:shd w:val="clear" w:color="auto" w:fill="FFFFFF" w:themeFill="background1"/>
        </w:rPr>
        <w:t>947</w:t>
      </w:r>
      <w:r w:rsidRPr="001B6E4D">
        <w:rPr>
          <w:rFonts w:ascii="標楷體" w:hAnsi="標楷體" w:hint="eastAsia"/>
          <w:color w:val="000000" w:themeColor="text1"/>
          <w:szCs w:val="28"/>
          <w:shd w:val="clear" w:color="auto" w:fill="FFFFFF" w:themeFill="background1"/>
        </w:rPr>
        <w:t>案</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19E772B3" w14:textId="2DD7FB7A" w:rsidR="0016696C" w:rsidRPr="001B6E4D" w:rsidRDefault="009B28A5" w:rsidP="003D1018">
      <w:pPr>
        <w:pStyle w:val="affffff0"/>
        <w:kinsoku w:val="0"/>
        <w:overflowPunct w:val="0"/>
        <w:topLinePunct/>
        <w:spacing w:before="180" w:after="180"/>
        <w:ind w:leftChars="128" w:left="307" w:firstLineChars="200" w:firstLine="561"/>
        <w:rPr>
          <w:color w:val="000000" w:themeColor="text1"/>
          <w:szCs w:val="28"/>
          <w:shd w:val="clear" w:color="auto" w:fill="FFFFFF" w:themeFill="background1"/>
        </w:rPr>
      </w:pPr>
      <w:bookmarkStart w:id="248" w:name="_Toc361217325"/>
      <w:bookmarkStart w:id="249" w:name="_Toc362968385"/>
      <w:bookmarkStart w:id="250" w:name="_Toc136594832"/>
      <w:bookmarkStart w:id="251" w:name="_Toc240446546"/>
      <w:r w:rsidRPr="001B6E4D">
        <w:rPr>
          <w:color w:val="000000" w:themeColor="text1"/>
          <w:szCs w:val="28"/>
          <w:shd w:val="clear" w:color="auto" w:fill="FFFFFF" w:themeFill="background1"/>
        </w:rPr>
        <w:t>一、組織法</w:t>
      </w:r>
      <w:r w:rsidR="00496D40" w:rsidRPr="001B6E4D">
        <w:rPr>
          <w:color w:val="000000" w:themeColor="text1"/>
          <w:szCs w:val="28"/>
          <w:shd w:val="clear" w:color="auto" w:fill="FFFFFF" w:themeFill="background1"/>
        </w:rPr>
        <w:t>373</w:t>
      </w:r>
      <w:r w:rsidRPr="001B6E4D">
        <w:rPr>
          <w:color w:val="000000" w:themeColor="text1"/>
          <w:szCs w:val="28"/>
          <w:shd w:val="clear" w:color="auto" w:fill="FFFFFF" w:themeFill="background1"/>
        </w:rPr>
        <w:t>案</w:t>
      </w:r>
      <w:bookmarkEnd w:id="248"/>
      <w:bookmarkEnd w:id="249"/>
      <w:bookmarkEnd w:id="250"/>
      <w:bookmarkEnd w:id="251"/>
    </w:p>
    <w:p w14:paraId="6DEE10EA" w14:textId="62E7D97B" w:rsidR="0016696C" w:rsidRPr="001B6E4D" w:rsidRDefault="0016696C"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252" w:name="_Toc240446547"/>
      <w:r w:rsidRPr="001B6E4D">
        <w:rPr>
          <w:color w:val="000000" w:themeColor="text1"/>
          <w:shd w:val="clear" w:color="auto" w:fill="FFFFFF" w:themeFill="background1"/>
        </w:rPr>
        <w:t>（</w:t>
      </w:r>
      <w:r w:rsidRPr="001B6E4D">
        <w:rPr>
          <w:rFonts w:hint="eastAsia"/>
          <w:color w:val="000000" w:themeColor="text1"/>
          <w:shd w:val="clear" w:color="auto" w:fill="FFFFFF" w:themeFill="background1"/>
        </w:rPr>
        <w:t>一</w:t>
      </w:r>
      <w:r w:rsidRPr="001B6E4D">
        <w:rPr>
          <w:color w:val="000000" w:themeColor="text1"/>
          <w:shd w:val="clear" w:color="auto" w:fill="FFFFFF" w:themeFill="background1"/>
        </w:rPr>
        <w:t>）總統府</w:t>
      </w:r>
      <w:r w:rsidRPr="001B6E4D">
        <w:rPr>
          <w:rFonts w:hint="eastAsia"/>
          <w:color w:val="000000" w:themeColor="text1"/>
          <w:shd w:val="clear" w:color="auto" w:fill="FFFFFF" w:themeFill="background1"/>
        </w:rPr>
        <w:t>1</w:t>
      </w:r>
      <w:r w:rsidRPr="001B6E4D">
        <w:rPr>
          <w:color w:val="000000" w:themeColor="text1"/>
          <w:shd w:val="clear" w:color="auto" w:fill="FFFFFF" w:themeFill="background1"/>
        </w:rPr>
        <w:t>案</w:t>
      </w:r>
      <w:bookmarkEnd w:id="252"/>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547"/>
        <w:gridCol w:w="3192"/>
        <w:gridCol w:w="2092"/>
        <w:gridCol w:w="1605"/>
        <w:gridCol w:w="1491"/>
      </w:tblGrid>
      <w:tr w:rsidR="0016696C" w:rsidRPr="001B6E4D" w14:paraId="1559539A" w14:textId="77777777" w:rsidTr="0016696C">
        <w:tc>
          <w:tcPr>
            <w:tcW w:w="306" w:type="pct"/>
            <w:vAlign w:val="center"/>
          </w:tcPr>
          <w:p w14:paraId="610BDAEA" w14:textId="77777777" w:rsidR="0016696C" w:rsidRPr="001B6E4D" w:rsidRDefault="0016696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788" w:type="pct"/>
            <w:vAlign w:val="center"/>
          </w:tcPr>
          <w:p w14:paraId="1EDA313B" w14:textId="77777777" w:rsidR="0016696C" w:rsidRPr="001B6E4D" w:rsidRDefault="0016696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72" w:type="pct"/>
            <w:vAlign w:val="center"/>
          </w:tcPr>
          <w:p w14:paraId="339F5F54" w14:textId="77777777" w:rsidR="0016696C" w:rsidRPr="001B6E4D" w:rsidRDefault="0016696C"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0418EA84" w14:textId="77777777" w:rsidR="0016696C" w:rsidRPr="001B6E4D" w:rsidRDefault="0016696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4AE98AFE" w14:textId="77777777" w:rsidR="0016696C" w:rsidRPr="001B6E4D" w:rsidRDefault="0016696C"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99" w:type="pct"/>
            <w:vAlign w:val="center"/>
          </w:tcPr>
          <w:p w14:paraId="7C85FF39" w14:textId="77777777" w:rsidR="0016696C" w:rsidRPr="001B6E4D" w:rsidRDefault="0016696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35" w:type="pct"/>
            <w:vAlign w:val="center"/>
          </w:tcPr>
          <w:p w14:paraId="3B9D1C74" w14:textId="77777777" w:rsidR="0016696C" w:rsidRPr="001B6E4D" w:rsidRDefault="0016696C" w:rsidP="003D1018">
            <w:pPr>
              <w:kinsoku w:val="0"/>
              <w:overflowPunct w:val="0"/>
              <w:autoSpaceDE w:val="0"/>
              <w:autoSpaceDN w:val="0"/>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16696C" w:rsidRPr="001B6E4D" w14:paraId="7CAD6833" w14:textId="77777777" w:rsidTr="0016696C">
        <w:tc>
          <w:tcPr>
            <w:tcW w:w="306" w:type="pct"/>
          </w:tcPr>
          <w:p w14:paraId="02BA59D0" w14:textId="77777777" w:rsidR="0016696C" w:rsidRPr="001B6E4D" w:rsidRDefault="0016696C" w:rsidP="003D1018">
            <w:pPr>
              <w:pStyle w:val="01"/>
              <w:overflowPunct w:val="0"/>
              <w:jc w:val="center"/>
              <w:rPr>
                <w:rFonts w:hAnsi="標楷體"/>
                <w:color w:val="000000" w:themeColor="text1"/>
                <w:sz w:val="24"/>
                <w:szCs w:val="24"/>
              </w:rPr>
            </w:pPr>
            <w:r w:rsidRPr="001B6E4D">
              <w:rPr>
                <w:rFonts w:hAnsi="標楷體"/>
                <w:color w:val="000000" w:themeColor="text1"/>
                <w:sz w:val="24"/>
                <w:szCs w:val="24"/>
              </w:rPr>
              <w:t>1</w:t>
            </w:r>
          </w:p>
        </w:tc>
        <w:tc>
          <w:tcPr>
            <w:tcW w:w="1788" w:type="pct"/>
          </w:tcPr>
          <w:p w14:paraId="421441FA" w14:textId="77777777" w:rsidR="0016696C" w:rsidRPr="001B6E4D" w:rsidRDefault="0016696C" w:rsidP="003D1018">
            <w:pPr>
              <w:pStyle w:val="01"/>
              <w:overflowPunct w:val="0"/>
              <w:rPr>
                <w:rFonts w:hAnsi="標楷體"/>
                <w:color w:val="000000" w:themeColor="text1"/>
                <w:sz w:val="24"/>
                <w:szCs w:val="24"/>
              </w:rPr>
            </w:pPr>
            <w:r w:rsidRPr="001B6E4D">
              <w:rPr>
                <w:rFonts w:hAnsi="標楷體"/>
                <w:color w:val="000000" w:themeColor="text1"/>
                <w:sz w:val="24"/>
                <w:szCs w:val="24"/>
              </w:rPr>
              <w:t>中華民國總統府組織法第十七</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修正重點：將財團法人國家衛生研究院改隸中華民國總統府。）</w:t>
            </w:r>
          </w:p>
        </w:tc>
        <w:tc>
          <w:tcPr>
            <w:tcW w:w="1172" w:type="pct"/>
          </w:tcPr>
          <w:p w14:paraId="1E33DD41" w14:textId="77777777" w:rsidR="0016696C" w:rsidRPr="001B6E4D" w:rsidRDefault="001669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委員陳超明</w:t>
            </w:r>
          </w:p>
          <w:p w14:paraId="46BBD164" w14:textId="77777777" w:rsidR="0016696C" w:rsidRPr="001B6E4D" w:rsidRDefault="001669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等41人</w:t>
            </w:r>
          </w:p>
          <w:p w14:paraId="2E5CCDCF" w14:textId="77777777" w:rsidR="0016696C" w:rsidRPr="001B6E4D" w:rsidRDefault="001669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395047EE" w14:textId="77777777" w:rsidR="0016696C" w:rsidRPr="001B6E4D" w:rsidRDefault="001669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899" w:type="pct"/>
          </w:tcPr>
          <w:p w14:paraId="57E4451C" w14:textId="77777777" w:rsidR="0016696C" w:rsidRPr="001B6E4D" w:rsidRDefault="0016696C" w:rsidP="003D1018">
            <w:pPr>
              <w:pStyle w:val="01"/>
              <w:overflowPunct w:val="0"/>
              <w:rPr>
                <w:rFonts w:hAnsi="標楷體"/>
                <w:color w:val="000000" w:themeColor="text1"/>
                <w:sz w:val="24"/>
                <w:szCs w:val="24"/>
              </w:rPr>
            </w:pPr>
            <w:r w:rsidRPr="001B6E4D">
              <w:rPr>
                <w:rFonts w:hAnsi="標楷體"/>
                <w:color w:val="000000" w:themeColor="text1"/>
                <w:sz w:val="24"/>
                <w:szCs w:val="24"/>
              </w:rPr>
              <w:t>司法及法制</w:t>
            </w:r>
          </w:p>
        </w:tc>
        <w:tc>
          <w:tcPr>
            <w:tcW w:w="835" w:type="pct"/>
          </w:tcPr>
          <w:p w14:paraId="6B3C203B" w14:textId="77777777" w:rsidR="0016696C" w:rsidRPr="001B6E4D" w:rsidRDefault="0016696C" w:rsidP="003D1018">
            <w:pPr>
              <w:pStyle w:val="01"/>
              <w:overflowPunct w:val="0"/>
              <w:rPr>
                <w:rFonts w:hAnsi="標楷體"/>
                <w:color w:val="000000" w:themeColor="text1"/>
                <w:sz w:val="24"/>
                <w:szCs w:val="24"/>
              </w:rPr>
            </w:pPr>
            <w:r w:rsidRPr="001B6E4D">
              <w:rPr>
                <w:rFonts w:hAnsi="標楷體"/>
                <w:color w:val="000000" w:themeColor="text1"/>
                <w:sz w:val="24"/>
                <w:szCs w:val="24"/>
              </w:rPr>
              <w:t>尚未審查</w:t>
            </w:r>
          </w:p>
        </w:tc>
      </w:tr>
    </w:tbl>
    <w:p w14:paraId="7B150740" w14:textId="55290A72" w:rsidR="009B28A5" w:rsidRPr="001B6E4D" w:rsidRDefault="009B28A5"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253" w:name="_Toc361217327"/>
      <w:bookmarkStart w:id="254" w:name="_Toc362968387"/>
      <w:bookmarkStart w:id="255" w:name="_Toc136594834"/>
      <w:bookmarkStart w:id="256" w:name="_Toc240446548"/>
      <w:r w:rsidRPr="001B6E4D">
        <w:rPr>
          <w:color w:val="000000" w:themeColor="text1"/>
          <w:shd w:val="clear" w:color="auto" w:fill="FFFFFF" w:themeFill="background1"/>
        </w:rPr>
        <w:t>（</w:t>
      </w:r>
      <w:r w:rsidR="0016696C" w:rsidRPr="001B6E4D">
        <w:rPr>
          <w:rFonts w:hint="eastAsia"/>
          <w:color w:val="000000" w:themeColor="text1"/>
          <w:shd w:val="clear" w:color="auto" w:fill="FFFFFF" w:themeFill="background1"/>
        </w:rPr>
        <w:t>二</w:t>
      </w:r>
      <w:r w:rsidRPr="001B6E4D">
        <w:rPr>
          <w:color w:val="000000" w:themeColor="text1"/>
          <w:shd w:val="clear" w:color="auto" w:fill="FFFFFF" w:themeFill="background1"/>
        </w:rPr>
        <w:t>）行政院</w:t>
      </w:r>
      <w:r w:rsidR="00496D40" w:rsidRPr="001B6E4D">
        <w:rPr>
          <w:color w:val="000000" w:themeColor="text1"/>
          <w:shd w:val="clear" w:color="auto" w:fill="FFFFFF" w:themeFill="background1"/>
        </w:rPr>
        <w:t>310</w:t>
      </w:r>
      <w:r w:rsidRPr="001B6E4D">
        <w:rPr>
          <w:color w:val="000000" w:themeColor="text1"/>
          <w:shd w:val="clear" w:color="auto" w:fill="FFFFFF" w:themeFill="background1"/>
        </w:rPr>
        <w:t>案</w:t>
      </w:r>
      <w:bookmarkStart w:id="257" w:name="_Hlk203384003"/>
      <w:bookmarkEnd w:id="253"/>
      <w:bookmarkEnd w:id="254"/>
      <w:bookmarkEnd w:id="255"/>
      <w:bookmarkEnd w:id="256"/>
    </w:p>
    <w:p w14:paraId="70C414BD" w14:textId="1C3BC384" w:rsidR="009B28A5" w:rsidRPr="001B6E4D" w:rsidRDefault="009B28A5" w:rsidP="003D1018">
      <w:pPr>
        <w:pStyle w:val="1-5"/>
        <w:kinsoku w:val="0"/>
        <w:overflowPunct w:val="0"/>
        <w:topLinePunct/>
        <w:spacing w:before="180" w:after="180" w:line="240" w:lineRule="auto"/>
        <w:ind w:leftChars="128" w:left="307" w:firstLineChars="535" w:firstLine="1499"/>
        <w:rPr>
          <w:color w:val="000000" w:themeColor="text1"/>
          <w:shd w:val="clear" w:color="auto" w:fill="FFFFFF" w:themeFill="background1"/>
        </w:rPr>
      </w:pPr>
      <w:bookmarkStart w:id="258" w:name="_Toc361217334"/>
      <w:bookmarkStart w:id="259" w:name="_Toc362968394"/>
      <w:bookmarkStart w:id="260" w:name="_Toc136594835"/>
      <w:bookmarkEnd w:id="257"/>
      <w:r w:rsidRPr="001B6E4D">
        <w:rPr>
          <w:rFonts w:hint="eastAsia"/>
          <w:color w:val="000000" w:themeColor="text1"/>
          <w:shd w:val="clear" w:color="auto" w:fill="FFFFFF" w:themeFill="background1"/>
        </w:rPr>
        <w:t>1</w:t>
      </w:r>
      <w:r w:rsidRPr="001B6E4D">
        <w:rPr>
          <w:color w:val="000000" w:themeColor="text1"/>
          <w:shd w:val="clear" w:color="auto" w:fill="FFFFFF" w:themeFill="background1"/>
        </w:rPr>
        <w:t>.本會審查</w:t>
      </w:r>
      <w:r w:rsidR="00301D2B" w:rsidRPr="001B6E4D">
        <w:rPr>
          <w:rFonts w:hint="eastAsia"/>
          <w:color w:val="000000" w:themeColor="text1"/>
          <w:shd w:val="clear" w:color="auto" w:fill="FFFFFF" w:themeFill="background1"/>
        </w:rPr>
        <w:t>13</w:t>
      </w:r>
      <w:r w:rsidRPr="001B6E4D">
        <w:rPr>
          <w:rFonts w:hint="eastAsia"/>
          <w:color w:val="000000" w:themeColor="text1"/>
          <w:shd w:val="clear" w:color="auto" w:fill="FFFFFF" w:themeFill="background1"/>
        </w:rPr>
        <w:t>案</w:t>
      </w:r>
      <w:bookmarkEnd w:id="258"/>
      <w:bookmarkEnd w:id="259"/>
      <w:bookmarkEnd w:id="260"/>
    </w:p>
    <w:p w14:paraId="2D5C857B" w14:textId="45B67820" w:rsidR="009B28A5" w:rsidRPr="001B6E4D" w:rsidRDefault="009B28A5" w:rsidP="003D1018">
      <w:pPr>
        <w:pStyle w:val="1-6"/>
        <w:kinsoku w:val="0"/>
        <w:overflowPunct w:val="0"/>
        <w:topLinePunct/>
        <w:spacing w:beforeLines="70" w:before="252" w:afterLines="70" w:after="252" w:line="260" w:lineRule="exact"/>
        <w:ind w:leftChars="128" w:left="307" w:firstLineChars="620" w:firstLine="1738"/>
        <w:rPr>
          <w:color w:val="000000" w:themeColor="text1"/>
          <w:shd w:val="clear" w:color="auto" w:fill="FFFFFF" w:themeFill="background1"/>
        </w:rPr>
      </w:pPr>
      <w:bookmarkStart w:id="261" w:name="_Toc361217335"/>
      <w:bookmarkStart w:id="262" w:name="_Toc362968395"/>
      <w:bookmarkStart w:id="263" w:name="_Toc136594836"/>
      <w:bookmarkStart w:id="264" w:name="_Toc361217336"/>
      <w:bookmarkStart w:id="265" w:name="_Toc362968396"/>
      <w:bookmarkStart w:id="266" w:name="_Toc136594837"/>
      <w:bookmarkStart w:id="267" w:name="_Toc361217328"/>
      <w:bookmarkStart w:id="268" w:name="_Toc362968388"/>
      <w:r w:rsidRPr="001B6E4D">
        <w:rPr>
          <w:color w:val="000000" w:themeColor="text1"/>
          <w:shd w:val="clear" w:color="auto" w:fill="FFFFFF" w:themeFill="background1"/>
        </w:rPr>
        <w:t>（1）行政院院本部</w:t>
      </w:r>
      <w:r w:rsidR="007978B5" w:rsidRPr="001B6E4D">
        <w:rPr>
          <w:rFonts w:hint="eastAsia"/>
          <w:color w:val="000000" w:themeColor="text1"/>
          <w:shd w:val="clear" w:color="auto" w:fill="FFFFFF" w:themeFill="background1"/>
        </w:rPr>
        <w:t>7</w:t>
      </w:r>
      <w:r w:rsidRPr="001B6E4D">
        <w:rPr>
          <w:color w:val="000000" w:themeColor="text1"/>
          <w:shd w:val="clear" w:color="auto" w:fill="FFFFFF" w:themeFill="background1"/>
        </w:rPr>
        <w:t>案</w:t>
      </w:r>
      <w:bookmarkEnd w:id="261"/>
      <w:bookmarkEnd w:id="262"/>
      <w:bookmarkEnd w:id="263"/>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547"/>
        <w:gridCol w:w="3192"/>
        <w:gridCol w:w="2092"/>
        <w:gridCol w:w="1605"/>
        <w:gridCol w:w="1491"/>
      </w:tblGrid>
      <w:tr w:rsidR="00C87651" w:rsidRPr="001B6E4D" w14:paraId="6F8DD300" w14:textId="77777777" w:rsidTr="00E05071">
        <w:tc>
          <w:tcPr>
            <w:tcW w:w="306" w:type="pct"/>
            <w:vAlign w:val="center"/>
          </w:tcPr>
          <w:p w14:paraId="51798C0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269" w:name="_Hlk174028570"/>
            <w:bookmarkStart w:id="270" w:name="_Hlk203383991"/>
            <w:r w:rsidRPr="001B6E4D">
              <w:rPr>
                <w:rFonts w:ascii="標楷體" w:eastAsia="標楷體" w:hAnsi="標楷體"/>
                <w:b/>
                <w:color w:val="000000" w:themeColor="text1"/>
                <w:sz w:val="24"/>
                <w:shd w:val="clear" w:color="auto" w:fill="FFFFFF" w:themeFill="background1"/>
              </w:rPr>
              <w:t>序號</w:t>
            </w:r>
          </w:p>
        </w:tc>
        <w:tc>
          <w:tcPr>
            <w:tcW w:w="1788" w:type="pct"/>
            <w:vAlign w:val="center"/>
          </w:tcPr>
          <w:p w14:paraId="3EFE12A1"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72" w:type="pct"/>
            <w:vAlign w:val="center"/>
          </w:tcPr>
          <w:p w14:paraId="341D90C4"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6D4786B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6C0820AD"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99" w:type="pct"/>
            <w:vAlign w:val="center"/>
          </w:tcPr>
          <w:p w14:paraId="0EDA72F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35" w:type="pct"/>
            <w:vAlign w:val="center"/>
          </w:tcPr>
          <w:p w14:paraId="6D79AA79" w14:textId="77777777" w:rsidR="009B28A5" w:rsidRPr="001B6E4D" w:rsidRDefault="009B28A5" w:rsidP="003D1018">
            <w:pPr>
              <w:kinsoku w:val="0"/>
              <w:overflowPunct w:val="0"/>
              <w:autoSpaceDE w:val="0"/>
              <w:autoSpaceDN w:val="0"/>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C87651" w:rsidRPr="001B6E4D" w14:paraId="5B8DA458" w14:textId="77777777" w:rsidTr="00E05071">
        <w:tc>
          <w:tcPr>
            <w:tcW w:w="306" w:type="pct"/>
          </w:tcPr>
          <w:p w14:paraId="2EE48855" w14:textId="77777777" w:rsidR="009B28A5" w:rsidRPr="001B6E4D" w:rsidRDefault="009B28A5" w:rsidP="003D1018">
            <w:pPr>
              <w:overflowPunct w:val="0"/>
              <w:jc w:val="center"/>
              <w:rPr>
                <w:rFonts w:ascii="標楷體" w:eastAsia="標楷體" w:hAnsi="標楷體"/>
                <w:b/>
                <w:color w:val="000000" w:themeColor="text1"/>
                <w:sz w:val="24"/>
              </w:rPr>
            </w:pPr>
            <w:bookmarkStart w:id="271" w:name="_Hlk174028362"/>
            <w:r w:rsidRPr="001B6E4D">
              <w:rPr>
                <w:rFonts w:ascii="標楷體" w:eastAsia="標楷體" w:hAnsi="標楷體"/>
                <w:color w:val="000000" w:themeColor="text1"/>
                <w:sz w:val="24"/>
              </w:rPr>
              <w:t>1</w:t>
            </w:r>
          </w:p>
        </w:tc>
        <w:tc>
          <w:tcPr>
            <w:tcW w:w="1788" w:type="pct"/>
          </w:tcPr>
          <w:p w14:paraId="104EFCEC"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行政院組織法第九</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修正重點：成立二級獨立機關「個人資料保護委員會」。）</w:t>
            </w:r>
          </w:p>
        </w:tc>
        <w:tc>
          <w:tcPr>
            <w:tcW w:w="1172" w:type="pct"/>
          </w:tcPr>
          <w:p w14:paraId="4149AD9F"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委員賴瑞隆</w:t>
            </w:r>
          </w:p>
          <w:p w14:paraId="429675F8"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1387054"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0D3A1A1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（11-1-3）</w:t>
            </w:r>
          </w:p>
        </w:tc>
        <w:tc>
          <w:tcPr>
            <w:tcW w:w="899" w:type="pct"/>
          </w:tcPr>
          <w:p w14:paraId="09069F99"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835" w:type="pct"/>
          </w:tcPr>
          <w:p w14:paraId="5E256481"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尚未審查</w:t>
            </w:r>
          </w:p>
        </w:tc>
      </w:tr>
      <w:tr w:rsidR="00E05071" w:rsidRPr="001B6E4D" w14:paraId="08E13E96" w14:textId="77777777" w:rsidTr="00E05071">
        <w:tc>
          <w:tcPr>
            <w:tcW w:w="306" w:type="pct"/>
          </w:tcPr>
          <w:p w14:paraId="5DB4B162" w14:textId="77777777" w:rsidR="00E05071" w:rsidRPr="001B6E4D" w:rsidRDefault="00E05071" w:rsidP="003D1018">
            <w:pPr>
              <w:overflowPunct w:val="0"/>
              <w:jc w:val="center"/>
              <w:rPr>
                <w:rFonts w:ascii="標楷體" w:eastAsia="標楷體" w:hAnsi="標楷體"/>
                <w:sz w:val="24"/>
              </w:rPr>
            </w:pPr>
            <w:r w:rsidRPr="001B6E4D">
              <w:rPr>
                <w:rFonts w:ascii="標楷體" w:eastAsia="標楷體" w:hAnsi="標楷體"/>
                <w:color w:val="000000" w:themeColor="text1"/>
                <w:sz w:val="24"/>
              </w:rPr>
              <w:t>2</w:t>
            </w:r>
          </w:p>
        </w:tc>
        <w:tc>
          <w:tcPr>
            <w:tcW w:w="1788" w:type="pct"/>
          </w:tcPr>
          <w:p w14:paraId="7805D95C" w14:textId="77777777" w:rsidR="00E05071" w:rsidRPr="001B6E4D" w:rsidRDefault="00E05071" w:rsidP="003D1018">
            <w:pPr>
              <w:pStyle w:val="01"/>
              <w:overflowPunct w:val="0"/>
              <w:rPr>
                <w:rFonts w:hAnsi="標楷體"/>
                <w:sz w:val="24"/>
                <w:szCs w:val="24"/>
              </w:rPr>
            </w:pPr>
            <w:r w:rsidRPr="001B6E4D">
              <w:rPr>
                <w:rFonts w:hAnsi="標楷體"/>
                <w:sz w:val="24"/>
                <w:szCs w:val="24"/>
              </w:rPr>
              <w:t>行政院組織法增訂第十二條之</w:t>
            </w:r>
            <w:proofErr w:type="gramStart"/>
            <w:r w:rsidRPr="001B6E4D">
              <w:rPr>
                <w:rFonts w:hAnsi="標楷體"/>
                <w:sz w:val="24"/>
                <w:szCs w:val="24"/>
              </w:rPr>
              <w:t>一</w:t>
            </w:r>
            <w:proofErr w:type="gramEnd"/>
            <w:r w:rsidRPr="001B6E4D">
              <w:rPr>
                <w:rFonts w:hAnsi="標楷體"/>
                <w:sz w:val="24"/>
                <w:szCs w:val="24"/>
              </w:rPr>
              <w:t>條文草案</w:t>
            </w:r>
            <w:proofErr w:type="gramStart"/>
            <w:r w:rsidRPr="001B6E4D">
              <w:rPr>
                <w:rFonts w:hAnsi="標楷體"/>
                <w:sz w:val="24"/>
                <w:szCs w:val="24"/>
              </w:rPr>
              <w:t>（</w:t>
            </w:r>
            <w:proofErr w:type="gramEnd"/>
            <w:r w:rsidRPr="001B6E4D">
              <w:rPr>
                <w:rFonts w:hAnsi="標楷體"/>
                <w:sz w:val="24"/>
                <w:szCs w:val="24"/>
              </w:rPr>
              <w:t>增訂重點：提升婦女平等參與擔任高階內閣。）</w:t>
            </w:r>
          </w:p>
        </w:tc>
        <w:tc>
          <w:tcPr>
            <w:tcW w:w="1172" w:type="pct"/>
          </w:tcPr>
          <w:p w14:paraId="137099AF"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w:t>
            </w:r>
            <w:proofErr w:type="gramStart"/>
            <w:r w:rsidRPr="001B6E4D">
              <w:rPr>
                <w:rFonts w:ascii="標楷體" w:eastAsia="標楷體" w:hAnsi="標楷體"/>
                <w:color w:val="000000" w:themeColor="text1"/>
                <w:sz w:val="24"/>
              </w:rPr>
              <w:t>范</w:t>
            </w:r>
            <w:proofErr w:type="gramEnd"/>
            <w:r w:rsidRPr="001B6E4D">
              <w:rPr>
                <w:rFonts w:ascii="標楷體" w:eastAsia="標楷體" w:hAnsi="標楷體"/>
                <w:color w:val="000000" w:themeColor="text1"/>
                <w:sz w:val="24"/>
              </w:rPr>
              <w:t>雲</w:t>
            </w:r>
          </w:p>
          <w:p w14:paraId="61C47A68"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4998CB96"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114.02.25</w:t>
            </w:r>
          </w:p>
          <w:p w14:paraId="05C7113D"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（11-3-2）</w:t>
            </w:r>
          </w:p>
        </w:tc>
        <w:tc>
          <w:tcPr>
            <w:tcW w:w="899" w:type="pct"/>
          </w:tcPr>
          <w:p w14:paraId="40ECF92C" w14:textId="77777777" w:rsidR="00E05071" w:rsidRPr="001B6E4D" w:rsidRDefault="00E05071"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35" w:type="pct"/>
          </w:tcPr>
          <w:p w14:paraId="5E1FE6AC" w14:textId="77777777" w:rsidR="00E05071" w:rsidRPr="001B6E4D" w:rsidRDefault="00E05071"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AB3E17" w:rsidRPr="001B6E4D" w14:paraId="4A90EC49" w14:textId="77777777" w:rsidTr="009548F9">
        <w:tc>
          <w:tcPr>
            <w:tcW w:w="306" w:type="pct"/>
          </w:tcPr>
          <w:p w14:paraId="3AD91543" w14:textId="404DD1B0" w:rsidR="00AB3E17" w:rsidRPr="001B6E4D" w:rsidRDefault="00AB3E17" w:rsidP="003D1018">
            <w:pPr>
              <w:overflowPunct w:val="0"/>
              <w:jc w:val="center"/>
              <w:rPr>
                <w:rFonts w:ascii="標楷體" w:eastAsia="標楷體" w:hAnsi="標楷體"/>
                <w:color w:val="000000" w:themeColor="text1"/>
                <w:sz w:val="24"/>
              </w:rPr>
            </w:pPr>
            <w:r w:rsidRPr="001B6E4D">
              <w:rPr>
                <w:rFonts w:ascii="標楷體" w:eastAsia="標楷體" w:hAnsi="標楷體" w:hint="eastAsia"/>
                <w:color w:val="000000" w:themeColor="text1"/>
                <w:sz w:val="24"/>
              </w:rPr>
              <w:lastRenderedPageBreak/>
              <w:t>3</w:t>
            </w:r>
          </w:p>
        </w:tc>
        <w:tc>
          <w:tcPr>
            <w:tcW w:w="1788" w:type="pct"/>
            <w:shd w:val="clear" w:color="auto" w:fill="auto"/>
          </w:tcPr>
          <w:p w14:paraId="35116D47" w14:textId="419DD851" w:rsidR="00AB3E17" w:rsidRPr="001B6E4D" w:rsidRDefault="00AB3E17" w:rsidP="003D1018">
            <w:pPr>
              <w:pStyle w:val="01"/>
              <w:overflowPunct w:val="0"/>
              <w:rPr>
                <w:rFonts w:hAnsi="標楷體"/>
                <w:sz w:val="24"/>
                <w:szCs w:val="24"/>
              </w:rPr>
            </w:pPr>
            <w:r w:rsidRPr="001B6E4D">
              <w:rPr>
                <w:rFonts w:hAnsi="標楷體"/>
                <w:color w:val="000000" w:themeColor="text1"/>
                <w:sz w:val="24"/>
                <w:szCs w:val="24"/>
              </w:rPr>
              <w:t>1.行政院組織法第四</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修正重點：設置「兒童及少年事務委員會」。）</w:t>
            </w:r>
          </w:p>
        </w:tc>
        <w:tc>
          <w:tcPr>
            <w:tcW w:w="1172" w:type="pct"/>
            <w:shd w:val="clear" w:color="auto" w:fill="auto"/>
          </w:tcPr>
          <w:p w14:paraId="5F8074BD" w14:textId="77777777"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委員陳菁徽</w:t>
            </w:r>
          </w:p>
          <w:p w14:paraId="5E0B6447" w14:textId="77777777"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7612EE07" w14:textId="77777777"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114.12.12</w:t>
            </w:r>
          </w:p>
          <w:p w14:paraId="789A10A2" w14:textId="4F427482"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（11-4-13）</w:t>
            </w:r>
          </w:p>
        </w:tc>
        <w:tc>
          <w:tcPr>
            <w:tcW w:w="899" w:type="pct"/>
            <w:shd w:val="clear" w:color="auto" w:fill="auto"/>
          </w:tcPr>
          <w:p w14:paraId="497D20DF" w14:textId="437C83B5" w:rsidR="00AB3E17" w:rsidRPr="001B6E4D" w:rsidRDefault="00AB3E17"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35" w:type="pct"/>
            <w:shd w:val="clear" w:color="auto" w:fill="auto"/>
          </w:tcPr>
          <w:p w14:paraId="6062D4F7" w14:textId="1AD5807C" w:rsidR="00AB3E17" w:rsidRPr="001B6E4D" w:rsidRDefault="00AB3E17"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AB3E17" w:rsidRPr="001B6E4D" w14:paraId="687191BF" w14:textId="77777777" w:rsidTr="009548F9">
        <w:tc>
          <w:tcPr>
            <w:tcW w:w="306" w:type="pct"/>
          </w:tcPr>
          <w:p w14:paraId="6E9D1813" w14:textId="04723338" w:rsidR="00AB3E17" w:rsidRPr="001B6E4D" w:rsidRDefault="00AB3E17" w:rsidP="003D1018">
            <w:pPr>
              <w:overflowPunct w:val="0"/>
              <w:jc w:val="center"/>
              <w:rPr>
                <w:rFonts w:ascii="標楷體" w:eastAsia="標楷體" w:hAnsi="標楷體"/>
                <w:color w:val="000000" w:themeColor="text1"/>
                <w:sz w:val="24"/>
              </w:rPr>
            </w:pPr>
            <w:r w:rsidRPr="001B6E4D">
              <w:rPr>
                <w:rFonts w:ascii="標楷體" w:eastAsia="標楷體" w:hAnsi="標楷體" w:hint="eastAsia"/>
                <w:color w:val="000000" w:themeColor="text1"/>
                <w:sz w:val="24"/>
              </w:rPr>
              <w:t>4</w:t>
            </w:r>
          </w:p>
        </w:tc>
        <w:tc>
          <w:tcPr>
            <w:tcW w:w="1788" w:type="pct"/>
            <w:shd w:val="clear" w:color="auto" w:fill="auto"/>
          </w:tcPr>
          <w:p w14:paraId="1BB17875" w14:textId="0BAEE4B3" w:rsidR="00AB3E17" w:rsidRPr="001B6E4D" w:rsidRDefault="00AB3E17" w:rsidP="003D1018">
            <w:pPr>
              <w:pStyle w:val="01"/>
              <w:overflowPunct w:val="0"/>
              <w:rPr>
                <w:rFonts w:hAnsi="標楷體"/>
                <w:sz w:val="24"/>
                <w:szCs w:val="24"/>
              </w:rPr>
            </w:pPr>
            <w:r w:rsidRPr="001B6E4D">
              <w:rPr>
                <w:rFonts w:hAnsi="標楷體"/>
                <w:color w:val="000000" w:themeColor="text1"/>
                <w:sz w:val="24"/>
                <w:szCs w:val="24"/>
              </w:rPr>
              <w:t>2.行政院組織法第四</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修正重點：設置「兒童及少年事務委員會」。）</w:t>
            </w:r>
          </w:p>
        </w:tc>
        <w:tc>
          <w:tcPr>
            <w:tcW w:w="1172" w:type="pct"/>
            <w:shd w:val="clear" w:color="auto" w:fill="auto"/>
          </w:tcPr>
          <w:p w14:paraId="4F885DB9" w14:textId="77777777"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委員王育敏</w:t>
            </w:r>
          </w:p>
          <w:p w14:paraId="3D8072F9" w14:textId="77777777"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03C7A276" w14:textId="77777777"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115.01.02</w:t>
            </w:r>
          </w:p>
          <w:p w14:paraId="0266D52F" w14:textId="1CB040D7"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（11-4-16）</w:t>
            </w:r>
          </w:p>
        </w:tc>
        <w:tc>
          <w:tcPr>
            <w:tcW w:w="899" w:type="pct"/>
            <w:shd w:val="clear" w:color="auto" w:fill="auto"/>
          </w:tcPr>
          <w:p w14:paraId="3E0D13C9" w14:textId="30B445E2" w:rsidR="00AB3E17" w:rsidRPr="001B6E4D" w:rsidRDefault="00AB3E17"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35" w:type="pct"/>
            <w:shd w:val="clear" w:color="auto" w:fill="auto"/>
          </w:tcPr>
          <w:p w14:paraId="16BCEA34" w14:textId="0EE9B769" w:rsidR="00AB3E17" w:rsidRPr="001B6E4D" w:rsidRDefault="00AB3E17"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AB3E17" w:rsidRPr="001B6E4D" w14:paraId="549CAE53" w14:textId="77777777" w:rsidTr="009548F9">
        <w:tc>
          <w:tcPr>
            <w:tcW w:w="306" w:type="pct"/>
          </w:tcPr>
          <w:p w14:paraId="39994EC3" w14:textId="2C239C80" w:rsidR="00AB3E17" w:rsidRPr="001B6E4D" w:rsidRDefault="00AB3E17" w:rsidP="003D1018">
            <w:pPr>
              <w:overflowPunct w:val="0"/>
              <w:jc w:val="center"/>
              <w:rPr>
                <w:rFonts w:ascii="標楷體" w:eastAsia="標楷體" w:hAnsi="標楷體"/>
                <w:color w:val="000000" w:themeColor="text1"/>
                <w:sz w:val="24"/>
              </w:rPr>
            </w:pPr>
            <w:r w:rsidRPr="001B6E4D">
              <w:rPr>
                <w:rFonts w:ascii="標楷體" w:eastAsia="標楷體" w:hAnsi="標楷體" w:hint="eastAsia"/>
                <w:color w:val="000000" w:themeColor="text1"/>
                <w:sz w:val="24"/>
              </w:rPr>
              <w:t>5</w:t>
            </w:r>
          </w:p>
        </w:tc>
        <w:tc>
          <w:tcPr>
            <w:tcW w:w="1788" w:type="pct"/>
            <w:shd w:val="clear" w:color="auto" w:fill="auto"/>
          </w:tcPr>
          <w:p w14:paraId="496F67C8" w14:textId="372DF57C" w:rsidR="00AB3E17" w:rsidRPr="001B6E4D" w:rsidRDefault="00AB3E17" w:rsidP="003D1018">
            <w:pPr>
              <w:pStyle w:val="01"/>
              <w:overflowPunct w:val="0"/>
              <w:rPr>
                <w:rFonts w:hAnsi="標楷體"/>
                <w:sz w:val="24"/>
                <w:szCs w:val="24"/>
              </w:rPr>
            </w:pPr>
            <w:r w:rsidRPr="001B6E4D">
              <w:rPr>
                <w:rFonts w:hAnsi="標楷體"/>
                <w:color w:val="000000" w:themeColor="text1"/>
                <w:sz w:val="24"/>
                <w:szCs w:val="24"/>
              </w:rPr>
              <w:t>3.行政院組織法第四</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修正重點：設置「兒童及少年事務委員會」。）</w:t>
            </w:r>
          </w:p>
        </w:tc>
        <w:tc>
          <w:tcPr>
            <w:tcW w:w="1172" w:type="pct"/>
            <w:shd w:val="clear" w:color="auto" w:fill="auto"/>
          </w:tcPr>
          <w:p w14:paraId="792F74AE" w14:textId="77777777"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委員徐巧芯</w:t>
            </w:r>
          </w:p>
          <w:p w14:paraId="2C9C20DD" w14:textId="77777777"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7CA57641" w14:textId="77777777"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115.01.16</w:t>
            </w:r>
          </w:p>
          <w:p w14:paraId="51ED2E6F" w14:textId="72B68FC0" w:rsidR="00AB3E17" w:rsidRPr="001B6E4D" w:rsidRDefault="00AB3E1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（11-4-18）</w:t>
            </w:r>
          </w:p>
        </w:tc>
        <w:tc>
          <w:tcPr>
            <w:tcW w:w="899" w:type="pct"/>
            <w:shd w:val="clear" w:color="auto" w:fill="auto"/>
          </w:tcPr>
          <w:p w14:paraId="131B3CCE" w14:textId="60B5A791" w:rsidR="00AB3E17" w:rsidRPr="001B6E4D" w:rsidRDefault="00AB3E17"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35" w:type="pct"/>
            <w:shd w:val="clear" w:color="auto" w:fill="auto"/>
          </w:tcPr>
          <w:p w14:paraId="16F87491" w14:textId="33EA5864" w:rsidR="00AB3E17" w:rsidRPr="001B6E4D" w:rsidRDefault="00AB3E17"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05071" w:rsidRPr="001B6E4D" w14:paraId="53B48E5E" w14:textId="77777777" w:rsidTr="00E05071">
        <w:tc>
          <w:tcPr>
            <w:tcW w:w="306" w:type="pct"/>
          </w:tcPr>
          <w:p w14:paraId="442ABBC3" w14:textId="08347726" w:rsidR="00E05071" w:rsidRPr="001B6E4D" w:rsidRDefault="00AB3E17" w:rsidP="003D1018">
            <w:pPr>
              <w:overflowPunct w:val="0"/>
              <w:jc w:val="center"/>
              <w:rPr>
                <w:rFonts w:ascii="標楷體" w:eastAsia="標楷體" w:hAnsi="標楷體"/>
                <w:color w:val="000000" w:themeColor="text1"/>
                <w:sz w:val="24"/>
              </w:rPr>
            </w:pPr>
            <w:r w:rsidRPr="001B6E4D">
              <w:rPr>
                <w:rFonts w:ascii="標楷體" w:eastAsia="標楷體" w:hAnsi="標楷體" w:hint="eastAsia"/>
                <w:color w:val="000000" w:themeColor="text1"/>
                <w:sz w:val="24"/>
              </w:rPr>
              <w:t>6</w:t>
            </w:r>
          </w:p>
        </w:tc>
        <w:tc>
          <w:tcPr>
            <w:tcW w:w="1788" w:type="pct"/>
          </w:tcPr>
          <w:p w14:paraId="3671F551" w14:textId="77777777" w:rsidR="00E05071" w:rsidRPr="001B6E4D" w:rsidRDefault="00E05071" w:rsidP="003D1018">
            <w:pPr>
              <w:pStyle w:val="01"/>
              <w:overflowPunct w:val="0"/>
              <w:rPr>
                <w:rFonts w:hAnsi="標楷體"/>
                <w:sz w:val="24"/>
                <w:szCs w:val="24"/>
              </w:rPr>
            </w:pPr>
            <w:r w:rsidRPr="001B6E4D">
              <w:rPr>
                <w:rFonts w:hAnsi="標楷體"/>
                <w:sz w:val="24"/>
                <w:szCs w:val="24"/>
              </w:rPr>
              <w:t>促進轉型正義條例第三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修正重點：威權時間之定義擴增至日據時期。）</w:t>
            </w:r>
          </w:p>
        </w:tc>
        <w:tc>
          <w:tcPr>
            <w:tcW w:w="1172" w:type="pct"/>
          </w:tcPr>
          <w:p w14:paraId="4CDCF739"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委員高金素梅</w:t>
            </w:r>
          </w:p>
          <w:p w14:paraId="54051488"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61F1828A"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0929DFDF"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（11-2-16）</w:t>
            </w:r>
          </w:p>
        </w:tc>
        <w:tc>
          <w:tcPr>
            <w:tcW w:w="899" w:type="pct"/>
          </w:tcPr>
          <w:p w14:paraId="267E2B88" w14:textId="77777777" w:rsidR="00E05071" w:rsidRPr="001B6E4D" w:rsidRDefault="00E05071"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35" w:type="pct"/>
          </w:tcPr>
          <w:p w14:paraId="5158B8C0" w14:textId="77777777" w:rsidR="00E05071" w:rsidRPr="001B6E4D" w:rsidRDefault="00E05071"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05071" w:rsidRPr="001B6E4D" w14:paraId="2B449BD3" w14:textId="77777777" w:rsidTr="00E05071">
        <w:tc>
          <w:tcPr>
            <w:tcW w:w="306" w:type="pct"/>
          </w:tcPr>
          <w:p w14:paraId="50C68636" w14:textId="241B2173" w:rsidR="00E05071" w:rsidRPr="001B6E4D" w:rsidRDefault="00AB3E17" w:rsidP="003D1018">
            <w:pPr>
              <w:overflowPunct w:val="0"/>
              <w:jc w:val="center"/>
              <w:rPr>
                <w:rFonts w:ascii="標楷體" w:eastAsia="標楷體" w:hAnsi="標楷體"/>
                <w:color w:val="000000" w:themeColor="text1"/>
                <w:sz w:val="24"/>
              </w:rPr>
            </w:pPr>
            <w:r w:rsidRPr="001B6E4D">
              <w:rPr>
                <w:rFonts w:ascii="標楷體" w:eastAsia="標楷體" w:hAnsi="標楷體" w:hint="eastAsia"/>
                <w:color w:val="000000" w:themeColor="text1"/>
                <w:sz w:val="24"/>
              </w:rPr>
              <w:t>7</w:t>
            </w:r>
          </w:p>
        </w:tc>
        <w:tc>
          <w:tcPr>
            <w:tcW w:w="1788" w:type="pct"/>
          </w:tcPr>
          <w:p w14:paraId="6B17AC31" w14:textId="77777777" w:rsidR="00E05071" w:rsidRPr="001B6E4D" w:rsidRDefault="00E05071" w:rsidP="003D1018">
            <w:pPr>
              <w:pStyle w:val="01"/>
              <w:overflowPunct w:val="0"/>
              <w:rPr>
                <w:rFonts w:hAnsi="標楷體"/>
                <w:sz w:val="24"/>
                <w:szCs w:val="24"/>
              </w:rPr>
            </w:pPr>
            <w:proofErr w:type="gramStart"/>
            <w:r w:rsidRPr="001B6E4D">
              <w:rPr>
                <w:rFonts w:hAnsi="標楷體"/>
                <w:sz w:val="24"/>
                <w:szCs w:val="24"/>
              </w:rPr>
              <w:t>慰</w:t>
            </w:r>
            <w:proofErr w:type="gramEnd"/>
            <w:r w:rsidRPr="001B6E4D">
              <w:rPr>
                <w:rFonts w:hAnsi="標楷體"/>
                <w:sz w:val="24"/>
                <w:szCs w:val="24"/>
              </w:rPr>
              <w:t>安婦名譽恢復及賠償條例草案</w:t>
            </w:r>
            <w:proofErr w:type="gramStart"/>
            <w:r w:rsidRPr="001B6E4D">
              <w:rPr>
                <w:rFonts w:hAnsi="標楷體"/>
                <w:sz w:val="24"/>
                <w:szCs w:val="24"/>
              </w:rPr>
              <w:t>（</w:t>
            </w:r>
            <w:proofErr w:type="gramEnd"/>
            <w:r w:rsidRPr="001B6E4D">
              <w:rPr>
                <w:rFonts w:hAnsi="標楷體"/>
                <w:sz w:val="24"/>
                <w:szCs w:val="24"/>
              </w:rPr>
              <w:t>共18條。制定重點：為處理二戰期間</w:t>
            </w:r>
            <w:proofErr w:type="gramStart"/>
            <w:r w:rsidRPr="001B6E4D">
              <w:rPr>
                <w:rFonts w:hAnsi="標楷體"/>
                <w:sz w:val="24"/>
                <w:szCs w:val="24"/>
              </w:rPr>
              <w:t>慰</w:t>
            </w:r>
            <w:proofErr w:type="gramEnd"/>
            <w:r w:rsidRPr="001B6E4D">
              <w:rPr>
                <w:rFonts w:hAnsi="標楷體"/>
                <w:sz w:val="24"/>
                <w:szCs w:val="24"/>
              </w:rPr>
              <w:t>安婦人權受損及賠償事宜，並要求日本政府公開道歉及賠償，恢復</w:t>
            </w:r>
            <w:proofErr w:type="gramStart"/>
            <w:r w:rsidRPr="001B6E4D">
              <w:rPr>
                <w:rFonts w:hAnsi="標楷體"/>
                <w:sz w:val="24"/>
                <w:szCs w:val="24"/>
              </w:rPr>
              <w:t>慰</w:t>
            </w:r>
            <w:proofErr w:type="gramEnd"/>
            <w:r w:rsidRPr="001B6E4D">
              <w:rPr>
                <w:rFonts w:hAnsi="標楷體"/>
                <w:sz w:val="24"/>
                <w:szCs w:val="24"/>
              </w:rPr>
              <w:t>安婦名譽，落實歷史教育，撫平歷史傷痛，特制定本條例。）</w:t>
            </w:r>
          </w:p>
        </w:tc>
        <w:tc>
          <w:tcPr>
            <w:tcW w:w="1172" w:type="pct"/>
          </w:tcPr>
          <w:p w14:paraId="0635C732"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委員王育敏</w:t>
            </w:r>
          </w:p>
          <w:p w14:paraId="58277226"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C53035A"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114.05.09</w:t>
            </w:r>
          </w:p>
          <w:p w14:paraId="17B494F3"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w:t>
            </w:r>
          </w:p>
        </w:tc>
        <w:tc>
          <w:tcPr>
            <w:tcW w:w="899" w:type="pct"/>
          </w:tcPr>
          <w:p w14:paraId="05C2EE7F" w14:textId="77777777" w:rsidR="00E05071" w:rsidRPr="001B6E4D" w:rsidRDefault="00E05071"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35" w:type="pct"/>
          </w:tcPr>
          <w:p w14:paraId="224424CD" w14:textId="77777777" w:rsidR="00E05071" w:rsidRPr="001B6E4D" w:rsidRDefault="00E05071" w:rsidP="003D1018">
            <w:pPr>
              <w:overflowPunct w:val="0"/>
              <w:jc w:val="both"/>
              <w:rPr>
                <w:rFonts w:ascii="標楷體" w:eastAsia="標楷體" w:hAnsi="標楷體"/>
                <w:sz w:val="24"/>
              </w:rPr>
            </w:pPr>
            <w:r w:rsidRPr="001B6E4D">
              <w:rPr>
                <w:rFonts w:ascii="標楷體" w:eastAsia="標楷體" w:hAnsi="標楷體"/>
                <w:sz w:val="24"/>
              </w:rPr>
              <w:t>尚未審查</w:t>
            </w:r>
          </w:p>
        </w:tc>
      </w:tr>
    </w:tbl>
    <w:p w14:paraId="4B4EB5CA" w14:textId="084102A9" w:rsidR="009B28A5" w:rsidRPr="001B6E4D" w:rsidRDefault="009B28A5" w:rsidP="003D1018">
      <w:pPr>
        <w:pStyle w:val="1-6"/>
        <w:kinsoku w:val="0"/>
        <w:overflowPunct w:val="0"/>
        <w:topLinePunct/>
        <w:spacing w:beforeLines="100" w:before="360" w:afterLines="70" w:after="252" w:line="260" w:lineRule="exact"/>
        <w:ind w:leftChars="128" w:left="307" w:firstLineChars="620" w:firstLine="1738"/>
        <w:rPr>
          <w:color w:val="000000" w:themeColor="text1"/>
          <w:shd w:val="clear" w:color="auto" w:fill="FFFFFF" w:themeFill="background1"/>
        </w:rPr>
      </w:pPr>
      <w:bookmarkStart w:id="272" w:name="_Toc173310602"/>
      <w:bookmarkStart w:id="273" w:name="_Toc136594838"/>
      <w:bookmarkEnd w:id="264"/>
      <w:bookmarkEnd w:id="265"/>
      <w:bookmarkEnd w:id="266"/>
      <w:bookmarkEnd w:id="269"/>
      <w:bookmarkEnd w:id="270"/>
      <w:bookmarkEnd w:id="271"/>
      <w:r w:rsidRPr="001B6E4D">
        <w:rPr>
          <w:color w:val="000000" w:themeColor="text1"/>
        </w:rPr>
        <w:t>（2）法務部</w:t>
      </w:r>
      <w:r w:rsidR="007978B5" w:rsidRPr="001B6E4D">
        <w:rPr>
          <w:rFonts w:hint="eastAsia"/>
          <w:color w:val="000000" w:themeColor="text1"/>
        </w:rPr>
        <w:t>3</w:t>
      </w:r>
      <w:r w:rsidRPr="001B6E4D">
        <w:rPr>
          <w:color w:val="000000" w:themeColor="text1"/>
        </w:rPr>
        <w:t>案</w:t>
      </w:r>
      <w:bookmarkEnd w:id="272"/>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547"/>
        <w:gridCol w:w="3192"/>
        <w:gridCol w:w="2092"/>
        <w:gridCol w:w="1605"/>
        <w:gridCol w:w="1491"/>
      </w:tblGrid>
      <w:tr w:rsidR="00C87651" w:rsidRPr="001B6E4D" w14:paraId="55F6B9AA" w14:textId="77777777" w:rsidTr="009E1230">
        <w:tc>
          <w:tcPr>
            <w:tcW w:w="306" w:type="pct"/>
            <w:vAlign w:val="center"/>
          </w:tcPr>
          <w:p w14:paraId="25A0F5B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274" w:name="_Hlk203386634"/>
            <w:r w:rsidRPr="001B6E4D">
              <w:rPr>
                <w:rFonts w:ascii="標楷體" w:eastAsia="標楷體" w:hAnsi="標楷體"/>
                <w:b/>
                <w:color w:val="000000" w:themeColor="text1"/>
                <w:sz w:val="24"/>
                <w:shd w:val="clear" w:color="auto" w:fill="FFFFFF" w:themeFill="background1"/>
              </w:rPr>
              <w:t>序號</w:t>
            </w:r>
          </w:p>
        </w:tc>
        <w:tc>
          <w:tcPr>
            <w:tcW w:w="1788" w:type="pct"/>
            <w:vAlign w:val="center"/>
          </w:tcPr>
          <w:p w14:paraId="2AFFB744"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72" w:type="pct"/>
            <w:vAlign w:val="center"/>
          </w:tcPr>
          <w:p w14:paraId="2F266540"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6F070EE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7CD3BF22"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99" w:type="pct"/>
            <w:vAlign w:val="center"/>
          </w:tcPr>
          <w:p w14:paraId="62586812"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35" w:type="pct"/>
            <w:vAlign w:val="center"/>
          </w:tcPr>
          <w:p w14:paraId="749D69F4" w14:textId="77777777" w:rsidR="009B28A5" w:rsidRPr="001B6E4D" w:rsidRDefault="009B28A5" w:rsidP="003D1018">
            <w:pPr>
              <w:kinsoku w:val="0"/>
              <w:overflowPunct w:val="0"/>
              <w:autoSpaceDE w:val="0"/>
              <w:autoSpaceDN w:val="0"/>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C87651" w:rsidRPr="001B6E4D" w14:paraId="3982674C" w14:textId="77777777" w:rsidTr="009E1230">
        <w:tc>
          <w:tcPr>
            <w:tcW w:w="306" w:type="pct"/>
          </w:tcPr>
          <w:p w14:paraId="753D8AB1"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1</w:t>
            </w:r>
          </w:p>
        </w:tc>
        <w:tc>
          <w:tcPr>
            <w:tcW w:w="1788" w:type="pct"/>
          </w:tcPr>
          <w:p w14:paraId="54FEA3A2"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法務部調查局組織法第三條及第十一條之</w:t>
            </w:r>
            <w:proofErr w:type="gramStart"/>
            <w:r w:rsidRPr="001B6E4D">
              <w:rPr>
                <w:rFonts w:hAnsi="標楷體"/>
                <w:color w:val="000000" w:themeColor="text1"/>
                <w:sz w:val="24"/>
                <w:szCs w:val="24"/>
              </w:rPr>
              <w:t>一</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修正重點：將資通安全處提升為資訊犯罪防制中心；訂定</w:t>
            </w:r>
            <w:proofErr w:type="gramStart"/>
            <w:r w:rsidRPr="001B6E4D">
              <w:rPr>
                <w:rFonts w:hAnsi="標楷體"/>
                <w:color w:val="000000" w:themeColor="text1"/>
                <w:sz w:val="24"/>
                <w:szCs w:val="24"/>
              </w:rPr>
              <w:t>調查署得聘用</w:t>
            </w:r>
            <w:proofErr w:type="gramEnd"/>
            <w:r w:rsidRPr="001B6E4D">
              <w:rPr>
                <w:rFonts w:hAnsi="標楷體"/>
                <w:color w:val="000000" w:themeColor="text1"/>
                <w:sz w:val="24"/>
                <w:szCs w:val="24"/>
              </w:rPr>
              <w:t>專業人員及其人數上限。）</w:t>
            </w:r>
          </w:p>
        </w:tc>
        <w:tc>
          <w:tcPr>
            <w:tcW w:w="1172" w:type="pct"/>
          </w:tcPr>
          <w:p w14:paraId="47D8571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委員鍾佳濱</w:t>
            </w:r>
          </w:p>
          <w:p w14:paraId="5191F402"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674AC4B8"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113.04.09</w:t>
            </w:r>
          </w:p>
          <w:p w14:paraId="3A69B870"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（11-1-8）</w:t>
            </w:r>
          </w:p>
        </w:tc>
        <w:tc>
          <w:tcPr>
            <w:tcW w:w="899" w:type="pct"/>
          </w:tcPr>
          <w:p w14:paraId="04D56241"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835" w:type="pct"/>
          </w:tcPr>
          <w:p w14:paraId="0927089F"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尚未審查</w:t>
            </w:r>
          </w:p>
        </w:tc>
      </w:tr>
      <w:tr w:rsidR="007978B5" w:rsidRPr="001B6E4D" w14:paraId="687E43C9" w14:textId="77777777" w:rsidTr="009548F9">
        <w:tc>
          <w:tcPr>
            <w:tcW w:w="306" w:type="pct"/>
            <w:shd w:val="clear" w:color="auto" w:fill="auto"/>
          </w:tcPr>
          <w:p w14:paraId="62C4D2CF" w14:textId="18AAB129" w:rsidR="007978B5" w:rsidRPr="001B6E4D" w:rsidRDefault="007978B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w:t>
            </w:r>
          </w:p>
        </w:tc>
        <w:tc>
          <w:tcPr>
            <w:tcW w:w="1788" w:type="pct"/>
            <w:shd w:val="clear" w:color="auto" w:fill="auto"/>
          </w:tcPr>
          <w:p w14:paraId="33D82D16" w14:textId="675B3D58" w:rsidR="007978B5" w:rsidRPr="001B6E4D" w:rsidRDefault="007978B5" w:rsidP="003D1018">
            <w:pPr>
              <w:pStyle w:val="01"/>
              <w:overflowPunct w:val="0"/>
              <w:rPr>
                <w:rFonts w:hAnsi="標楷體"/>
                <w:color w:val="000000" w:themeColor="text1"/>
                <w:sz w:val="24"/>
                <w:szCs w:val="24"/>
              </w:rPr>
            </w:pPr>
            <w:r w:rsidRPr="001B6E4D">
              <w:rPr>
                <w:rFonts w:hAnsi="標楷體"/>
                <w:color w:val="000000" w:themeColor="text1"/>
                <w:sz w:val="24"/>
                <w:szCs w:val="24"/>
              </w:rPr>
              <w:t>1.法務部矯正署組織法第二條、第五條及第九</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w:t>
            </w:r>
            <w:r w:rsidRPr="001B6E4D">
              <w:rPr>
                <w:rFonts w:hAnsi="標楷體"/>
                <w:color w:val="000000" w:themeColor="text1"/>
                <w:sz w:val="24"/>
                <w:szCs w:val="24"/>
              </w:rPr>
              <w:lastRenderedPageBreak/>
              <w:t>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修正重點：以生活輔導紀錄及獎懲紀錄替代性行報告；累進處遇制度修正為階段處遇制度；少年輔育院及技能訓練所</w:t>
            </w:r>
            <w:proofErr w:type="gramStart"/>
            <w:r w:rsidRPr="001B6E4D">
              <w:rPr>
                <w:rFonts w:hAnsi="標楷體"/>
                <w:color w:val="000000" w:themeColor="text1"/>
                <w:sz w:val="24"/>
                <w:szCs w:val="24"/>
              </w:rPr>
              <w:t>已裁改為</w:t>
            </w:r>
            <w:proofErr w:type="gramEnd"/>
            <w:r w:rsidRPr="001B6E4D">
              <w:rPr>
                <w:rFonts w:hAnsi="標楷體"/>
                <w:color w:val="000000" w:themeColor="text1"/>
                <w:sz w:val="24"/>
                <w:szCs w:val="24"/>
              </w:rPr>
              <w:t>少年矯正學校及監獄。）</w:t>
            </w:r>
          </w:p>
        </w:tc>
        <w:tc>
          <w:tcPr>
            <w:tcW w:w="1172" w:type="pct"/>
            <w:shd w:val="clear" w:color="auto" w:fill="auto"/>
          </w:tcPr>
          <w:p w14:paraId="324D55CD" w14:textId="77777777"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委員莊瑞雄</w:t>
            </w:r>
          </w:p>
          <w:p w14:paraId="5BE16479" w14:textId="77777777"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0D86F57" w14:textId="77777777"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114.10.17</w:t>
            </w:r>
          </w:p>
          <w:p w14:paraId="07466F53" w14:textId="3A344056"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（11-4-5）</w:t>
            </w:r>
          </w:p>
        </w:tc>
        <w:tc>
          <w:tcPr>
            <w:tcW w:w="899" w:type="pct"/>
            <w:shd w:val="clear" w:color="auto" w:fill="auto"/>
          </w:tcPr>
          <w:p w14:paraId="34297DD2" w14:textId="0194F418"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35" w:type="pct"/>
            <w:shd w:val="clear" w:color="auto" w:fill="auto"/>
          </w:tcPr>
          <w:p w14:paraId="36CCC3BF" w14:textId="4A64EFD2"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7978B5" w:rsidRPr="001B6E4D" w14:paraId="47DA8B02" w14:textId="77777777" w:rsidTr="009548F9">
        <w:tc>
          <w:tcPr>
            <w:tcW w:w="306" w:type="pct"/>
            <w:shd w:val="clear" w:color="auto" w:fill="auto"/>
          </w:tcPr>
          <w:p w14:paraId="5012FF51" w14:textId="1D51207C" w:rsidR="007978B5" w:rsidRPr="001B6E4D" w:rsidRDefault="007978B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w:t>
            </w:r>
          </w:p>
        </w:tc>
        <w:tc>
          <w:tcPr>
            <w:tcW w:w="1788" w:type="pct"/>
            <w:shd w:val="clear" w:color="auto" w:fill="auto"/>
          </w:tcPr>
          <w:p w14:paraId="03D9AB95" w14:textId="4C580824" w:rsidR="007978B5" w:rsidRPr="001B6E4D" w:rsidRDefault="007978B5" w:rsidP="003D1018">
            <w:pPr>
              <w:pStyle w:val="01"/>
              <w:overflowPunct w:val="0"/>
              <w:rPr>
                <w:rFonts w:hAnsi="標楷體"/>
                <w:color w:val="000000" w:themeColor="text1"/>
                <w:sz w:val="24"/>
                <w:szCs w:val="24"/>
              </w:rPr>
            </w:pPr>
            <w:r w:rsidRPr="001B6E4D">
              <w:rPr>
                <w:rFonts w:hAnsi="標楷體"/>
                <w:color w:val="000000" w:themeColor="text1"/>
                <w:sz w:val="24"/>
                <w:szCs w:val="24"/>
              </w:rPr>
              <w:t>2.法務部矯正署組織法第二條、第五條及第九</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修正重點：性行報告用語修正為生活輔導紀錄及獎懲紀錄；增訂階段處遇制度取代原有之行刑累進處遇條例；少年輔育院及技能訓練所已改制為少年矯正學校及監獄。）</w:t>
            </w:r>
          </w:p>
        </w:tc>
        <w:tc>
          <w:tcPr>
            <w:tcW w:w="1172" w:type="pct"/>
            <w:shd w:val="clear" w:color="auto" w:fill="auto"/>
          </w:tcPr>
          <w:p w14:paraId="683D37C6" w14:textId="77777777"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委員沈發惠</w:t>
            </w:r>
          </w:p>
          <w:p w14:paraId="0F9199F3" w14:textId="77777777"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FCBABC8" w14:textId="77777777"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114.10.17</w:t>
            </w:r>
          </w:p>
          <w:p w14:paraId="50982ED9" w14:textId="238A13D1"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（11-4-5）</w:t>
            </w:r>
          </w:p>
        </w:tc>
        <w:tc>
          <w:tcPr>
            <w:tcW w:w="899" w:type="pct"/>
            <w:shd w:val="clear" w:color="auto" w:fill="auto"/>
          </w:tcPr>
          <w:p w14:paraId="794A0BC0" w14:textId="0326EB95"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35" w:type="pct"/>
            <w:shd w:val="clear" w:color="auto" w:fill="auto"/>
          </w:tcPr>
          <w:p w14:paraId="28B1CB8C" w14:textId="07285E84" w:rsidR="007978B5" w:rsidRPr="001B6E4D" w:rsidRDefault="007978B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bookmarkEnd w:id="274"/>
    <w:p w14:paraId="5AC1968A" w14:textId="5F23F28D" w:rsidR="009B28A5" w:rsidRPr="001B6E4D" w:rsidRDefault="009B28A5" w:rsidP="003D1018">
      <w:pPr>
        <w:pStyle w:val="1-6"/>
        <w:kinsoku w:val="0"/>
        <w:overflowPunct w:val="0"/>
        <w:topLinePunct/>
        <w:spacing w:beforeLines="100" w:before="360" w:afterLines="70" w:after="252" w:line="260" w:lineRule="exact"/>
        <w:ind w:leftChars="128" w:left="307" w:firstLineChars="620" w:firstLine="1738"/>
        <w:rPr>
          <w:color w:val="000000" w:themeColor="text1"/>
        </w:rPr>
      </w:pPr>
      <w:r w:rsidRPr="001B6E4D">
        <w:rPr>
          <w:color w:val="000000" w:themeColor="text1"/>
        </w:rPr>
        <w:t>（</w:t>
      </w:r>
      <w:r w:rsidRPr="001B6E4D">
        <w:rPr>
          <w:rFonts w:hint="eastAsia"/>
          <w:color w:val="000000" w:themeColor="text1"/>
        </w:rPr>
        <w:t>3</w:t>
      </w:r>
      <w:r w:rsidRPr="001B6E4D">
        <w:rPr>
          <w:color w:val="000000" w:themeColor="text1"/>
        </w:rPr>
        <w:t>）</w:t>
      </w:r>
      <w:r w:rsidRPr="001B6E4D">
        <w:rPr>
          <w:rFonts w:hint="eastAsia"/>
          <w:color w:val="000000" w:themeColor="text1"/>
        </w:rPr>
        <w:t>行政院人事行政總處</w:t>
      </w:r>
      <w:r w:rsidR="00B538B6" w:rsidRPr="001B6E4D">
        <w:rPr>
          <w:rFonts w:hint="eastAsia"/>
          <w:color w:val="000000" w:themeColor="text1"/>
        </w:rPr>
        <w:t>3</w:t>
      </w:r>
      <w:r w:rsidRPr="001B6E4D">
        <w:rPr>
          <w:color w:val="000000" w:themeColor="text1"/>
        </w:rPr>
        <w:t>案</w:t>
      </w:r>
      <w:bookmarkEnd w:id="273"/>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540"/>
        <w:gridCol w:w="3196"/>
        <w:gridCol w:w="2075"/>
        <w:gridCol w:w="1607"/>
        <w:gridCol w:w="1509"/>
      </w:tblGrid>
      <w:tr w:rsidR="00C87651" w:rsidRPr="001B6E4D" w14:paraId="29A9AB5E" w14:textId="77777777" w:rsidTr="00E05071">
        <w:tc>
          <w:tcPr>
            <w:tcW w:w="302" w:type="pct"/>
            <w:vAlign w:val="center"/>
          </w:tcPr>
          <w:p w14:paraId="4FB9145C"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hint="eastAsia"/>
                <w:b/>
                <w:color w:val="000000" w:themeColor="text1"/>
                <w:sz w:val="24"/>
                <w:shd w:val="clear" w:color="auto" w:fill="FFFFFF" w:themeFill="background1"/>
              </w:rPr>
              <w:t>序號</w:t>
            </w:r>
          </w:p>
        </w:tc>
        <w:tc>
          <w:tcPr>
            <w:tcW w:w="1790" w:type="pct"/>
            <w:vAlign w:val="center"/>
          </w:tcPr>
          <w:p w14:paraId="0A4EDA4D"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hint="eastAsia"/>
                <w:b/>
                <w:color w:val="000000" w:themeColor="text1"/>
                <w:sz w:val="24"/>
                <w:shd w:val="clear" w:color="auto" w:fill="FFFFFF" w:themeFill="background1"/>
              </w:rPr>
              <w:t>議案名稱</w:t>
            </w:r>
          </w:p>
        </w:tc>
        <w:tc>
          <w:tcPr>
            <w:tcW w:w="1162" w:type="pct"/>
            <w:vAlign w:val="center"/>
          </w:tcPr>
          <w:p w14:paraId="0E197D63"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02EC086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340AE4D5"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00" w:type="pct"/>
            <w:vAlign w:val="center"/>
          </w:tcPr>
          <w:p w14:paraId="20F98691"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hint="eastAsia"/>
                <w:b/>
                <w:color w:val="000000" w:themeColor="text1"/>
                <w:sz w:val="24"/>
                <w:shd w:val="clear" w:color="auto" w:fill="FFFFFF" w:themeFill="background1"/>
              </w:rPr>
              <w:t>審查委員會</w:t>
            </w:r>
          </w:p>
        </w:tc>
        <w:tc>
          <w:tcPr>
            <w:tcW w:w="845" w:type="pct"/>
            <w:vAlign w:val="center"/>
          </w:tcPr>
          <w:p w14:paraId="1FAC223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hint="eastAsia"/>
                <w:b/>
                <w:color w:val="000000" w:themeColor="text1"/>
                <w:sz w:val="24"/>
                <w:shd w:val="clear" w:color="auto" w:fill="FFFFFF" w:themeFill="background1"/>
              </w:rPr>
              <w:t>審查情形</w:t>
            </w:r>
          </w:p>
        </w:tc>
      </w:tr>
      <w:tr w:rsidR="00C87651" w:rsidRPr="001B6E4D" w14:paraId="7BD60863" w14:textId="77777777" w:rsidTr="00E05071">
        <w:tc>
          <w:tcPr>
            <w:tcW w:w="302" w:type="pct"/>
          </w:tcPr>
          <w:p w14:paraId="6D1FF3A3"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1</w:t>
            </w:r>
          </w:p>
        </w:tc>
        <w:tc>
          <w:tcPr>
            <w:tcW w:w="1790" w:type="pct"/>
          </w:tcPr>
          <w:p w14:paraId="7DD2A0C8"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中央行政機關組織基準法第三十二</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修正重點：為增設個人資料保護委員會，修正二級獨立機關上限為四個。）</w:t>
            </w:r>
          </w:p>
        </w:tc>
        <w:tc>
          <w:tcPr>
            <w:tcW w:w="1162" w:type="pct"/>
          </w:tcPr>
          <w:p w14:paraId="146F2081"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委員賴瑞隆</w:t>
            </w:r>
          </w:p>
          <w:p w14:paraId="063EB47B"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E9E8E54"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13C6F679" w14:textId="77777777" w:rsidR="009B28A5" w:rsidRPr="001B6E4D" w:rsidRDefault="009B28A5" w:rsidP="003D1018">
            <w:pPr>
              <w:overflowPunct w:val="0"/>
              <w:jc w:val="both"/>
              <w:rPr>
                <w:rFonts w:ascii="標楷體" w:eastAsia="標楷體" w:hAnsi="標楷體" w:cstheme="minorBidi"/>
                <w:color w:val="000000" w:themeColor="text1"/>
                <w:sz w:val="24"/>
              </w:rPr>
            </w:pPr>
            <w:r w:rsidRPr="001B6E4D">
              <w:rPr>
                <w:rFonts w:ascii="標楷體" w:eastAsia="標楷體" w:hAnsi="標楷體"/>
                <w:color w:val="000000" w:themeColor="text1"/>
                <w:sz w:val="24"/>
              </w:rPr>
              <w:t>（11-1-3）</w:t>
            </w:r>
          </w:p>
        </w:tc>
        <w:tc>
          <w:tcPr>
            <w:tcW w:w="900" w:type="pct"/>
          </w:tcPr>
          <w:p w14:paraId="52EA3E26"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845" w:type="pct"/>
          </w:tcPr>
          <w:p w14:paraId="7F5F0880"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尚未審查</w:t>
            </w:r>
          </w:p>
        </w:tc>
      </w:tr>
      <w:tr w:rsidR="00E05071" w:rsidRPr="001B6E4D" w14:paraId="5A6D6315" w14:textId="77777777" w:rsidTr="00E05071">
        <w:tc>
          <w:tcPr>
            <w:tcW w:w="302" w:type="pct"/>
          </w:tcPr>
          <w:p w14:paraId="74986FAF" w14:textId="77777777" w:rsidR="00E05071" w:rsidRPr="001B6E4D" w:rsidRDefault="00E05071" w:rsidP="003D1018">
            <w:pPr>
              <w:overflowPunct w:val="0"/>
              <w:jc w:val="center"/>
              <w:rPr>
                <w:rFonts w:ascii="標楷體" w:eastAsia="標楷體" w:hAnsi="標楷體"/>
                <w:sz w:val="24"/>
              </w:rPr>
            </w:pPr>
            <w:bookmarkStart w:id="275" w:name="_Toc136594839"/>
            <w:r w:rsidRPr="001B6E4D">
              <w:rPr>
                <w:rFonts w:ascii="標楷體" w:eastAsia="標楷體" w:hAnsi="標楷體"/>
                <w:color w:val="000000" w:themeColor="text1"/>
                <w:sz w:val="24"/>
              </w:rPr>
              <w:t>2</w:t>
            </w:r>
          </w:p>
        </w:tc>
        <w:tc>
          <w:tcPr>
            <w:tcW w:w="1790" w:type="pct"/>
          </w:tcPr>
          <w:p w14:paraId="1701830A" w14:textId="77777777" w:rsidR="00E05071" w:rsidRPr="001B6E4D" w:rsidRDefault="00E05071" w:rsidP="003D1018">
            <w:pPr>
              <w:pStyle w:val="01"/>
              <w:overflowPunct w:val="0"/>
              <w:rPr>
                <w:rFonts w:hAnsi="標楷體"/>
                <w:sz w:val="24"/>
                <w:szCs w:val="24"/>
              </w:rPr>
            </w:pPr>
            <w:r w:rsidRPr="001B6E4D">
              <w:rPr>
                <w:rFonts w:hAnsi="標楷體"/>
                <w:sz w:val="24"/>
                <w:szCs w:val="24"/>
              </w:rPr>
              <w:t>中央行政機關組織基準法第二十八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修正重點：明定除法律另有規定外，機關依其處</w:t>
            </w:r>
            <w:proofErr w:type="gramStart"/>
            <w:r w:rsidRPr="001B6E4D">
              <w:rPr>
                <w:rFonts w:hAnsi="標楷體"/>
                <w:sz w:val="24"/>
                <w:szCs w:val="24"/>
              </w:rPr>
              <w:t>務</w:t>
            </w:r>
            <w:proofErr w:type="gramEnd"/>
            <w:r w:rsidRPr="001B6E4D">
              <w:rPr>
                <w:rFonts w:hAnsi="標楷體"/>
                <w:sz w:val="24"/>
                <w:szCs w:val="24"/>
              </w:rPr>
              <w:t>規程，應業務需要所設常設性任務編組，所需人員應由相關機關人員派充或兼任。）</w:t>
            </w:r>
          </w:p>
        </w:tc>
        <w:tc>
          <w:tcPr>
            <w:tcW w:w="1162" w:type="pct"/>
          </w:tcPr>
          <w:p w14:paraId="300CD0DA"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76B51A34"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1CBB2305"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114.03.14</w:t>
            </w:r>
          </w:p>
          <w:p w14:paraId="523B4078" w14:textId="77777777" w:rsidR="00E05071" w:rsidRPr="001B6E4D" w:rsidRDefault="00E0507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w:t>
            </w:r>
          </w:p>
        </w:tc>
        <w:tc>
          <w:tcPr>
            <w:tcW w:w="900" w:type="pct"/>
          </w:tcPr>
          <w:p w14:paraId="46252AA3" w14:textId="77777777" w:rsidR="00E05071" w:rsidRPr="001B6E4D" w:rsidRDefault="00E05071"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45" w:type="pct"/>
          </w:tcPr>
          <w:p w14:paraId="1AE19066" w14:textId="77777777" w:rsidR="00E05071" w:rsidRPr="001B6E4D" w:rsidRDefault="00E05071"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B538B6" w:rsidRPr="001B6E4D" w14:paraId="02F2B27A" w14:textId="77777777" w:rsidTr="009548F9">
        <w:tc>
          <w:tcPr>
            <w:tcW w:w="302" w:type="pct"/>
          </w:tcPr>
          <w:p w14:paraId="65C9D657" w14:textId="33B59756" w:rsidR="00B538B6" w:rsidRPr="001B6E4D" w:rsidRDefault="00B538B6" w:rsidP="003D1018">
            <w:pPr>
              <w:overflowPunct w:val="0"/>
              <w:jc w:val="center"/>
              <w:rPr>
                <w:rFonts w:ascii="標楷體" w:eastAsia="標楷體" w:hAnsi="標楷體"/>
                <w:color w:val="000000" w:themeColor="text1"/>
                <w:sz w:val="24"/>
              </w:rPr>
            </w:pPr>
            <w:r w:rsidRPr="001B6E4D">
              <w:rPr>
                <w:rFonts w:ascii="標楷體" w:eastAsia="標楷體" w:hAnsi="標楷體" w:hint="eastAsia"/>
                <w:color w:val="000000" w:themeColor="text1"/>
                <w:sz w:val="24"/>
              </w:rPr>
              <w:t>3</w:t>
            </w:r>
          </w:p>
        </w:tc>
        <w:tc>
          <w:tcPr>
            <w:tcW w:w="1790" w:type="pct"/>
            <w:shd w:val="clear" w:color="auto" w:fill="auto"/>
          </w:tcPr>
          <w:p w14:paraId="0B30B1A2" w14:textId="695DE114" w:rsidR="00B538B6" w:rsidRPr="001B6E4D" w:rsidRDefault="00B538B6" w:rsidP="003D1018">
            <w:pPr>
              <w:pStyle w:val="01"/>
              <w:overflowPunct w:val="0"/>
              <w:rPr>
                <w:rFonts w:hAnsi="標楷體"/>
                <w:sz w:val="24"/>
                <w:szCs w:val="24"/>
              </w:rPr>
            </w:pPr>
            <w:r w:rsidRPr="001B6E4D">
              <w:rPr>
                <w:rFonts w:hAnsi="標楷體"/>
                <w:color w:val="000000" w:themeColor="text1"/>
                <w:sz w:val="24"/>
                <w:szCs w:val="24"/>
              </w:rPr>
              <w:t>中央行政機關組織基準法第一條、第二十一條及第三十五</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修正重點：明確規範制定之法源依據，增訂三級獨立機關正副首長人事同意權，及相關組</w:t>
            </w:r>
            <w:r w:rsidRPr="001B6E4D">
              <w:rPr>
                <w:rFonts w:hAnsi="標楷體"/>
                <w:color w:val="000000" w:themeColor="text1"/>
                <w:sz w:val="24"/>
                <w:szCs w:val="24"/>
              </w:rPr>
              <w:lastRenderedPageBreak/>
              <w:t>織法不得排除本法之適用。）</w:t>
            </w:r>
          </w:p>
        </w:tc>
        <w:tc>
          <w:tcPr>
            <w:tcW w:w="1162" w:type="pct"/>
            <w:shd w:val="clear" w:color="auto" w:fill="auto"/>
          </w:tcPr>
          <w:p w14:paraId="5190AE4E" w14:textId="77777777" w:rsidR="00B538B6" w:rsidRPr="001B6E4D" w:rsidRDefault="00B538B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委員翁曉玲</w:t>
            </w:r>
          </w:p>
          <w:p w14:paraId="367BD1B6" w14:textId="77777777" w:rsidR="00B538B6" w:rsidRPr="001B6E4D" w:rsidRDefault="00B538B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w:t>
            </w:r>
            <w:r w:rsidRPr="001B6E4D">
              <w:rPr>
                <w:rFonts w:ascii="標楷體" w:eastAsia="標楷體" w:hAnsi="標楷體" w:hint="eastAsia"/>
                <w:color w:val="000000" w:themeColor="text1"/>
                <w:sz w:val="24"/>
              </w:rPr>
              <w:t>1</w:t>
            </w:r>
            <w:r w:rsidRPr="001B6E4D">
              <w:rPr>
                <w:rFonts w:ascii="標楷體" w:eastAsia="標楷體" w:hAnsi="標楷體"/>
                <w:color w:val="000000" w:themeColor="text1"/>
                <w:sz w:val="24"/>
              </w:rPr>
              <w:t>人</w:t>
            </w:r>
          </w:p>
          <w:p w14:paraId="4728F1C2" w14:textId="77777777" w:rsidR="00B538B6" w:rsidRPr="001B6E4D" w:rsidRDefault="00B538B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114.11.14</w:t>
            </w:r>
          </w:p>
          <w:p w14:paraId="661B4826" w14:textId="08CF73A0" w:rsidR="00B538B6" w:rsidRPr="001B6E4D" w:rsidRDefault="00B538B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（11-4-9）</w:t>
            </w:r>
          </w:p>
        </w:tc>
        <w:tc>
          <w:tcPr>
            <w:tcW w:w="900" w:type="pct"/>
            <w:shd w:val="clear" w:color="auto" w:fill="auto"/>
          </w:tcPr>
          <w:p w14:paraId="3FABD1C4" w14:textId="199373EE" w:rsidR="00B538B6" w:rsidRPr="001B6E4D" w:rsidRDefault="00B538B6" w:rsidP="003D1018">
            <w:pPr>
              <w:overflowPunct w:val="0"/>
              <w:jc w:val="both"/>
              <w:rPr>
                <w:rFonts w:ascii="標楷體" w:eastAsia="標楷體" w:hAnsi="標楷體" w:cstheme="minorBidi"/>
                <w:sz w:val="24"/>
              </w:rPr>
            </w:pPr>
            <w:r w:rsidRPr="001B6E4D">
              <w:rPr>
                <w:rFonts w:ascii="標楷體" w:eastAsia="標楷體" w:hAnsi="標楷體" w:cstheme="minorBidi"/>
                <w:sz w:val="24"/>
              </w:rPr>
              <w:t>司法及法制</w:t>
            </w:r>
          </w:p>
        </w:tc>
        <w:tc>
          <w:tcPr>
            <w:tcW w:w="845" w:type="pct"/>
            <w:shd w:val="clear" w:color="auto" w:fill="auto"/>
          </w:tcPr>
          <w:p w14:paraId="3D9B1EA0" w14:textId="48D32AC8" w:rsidR="00B538B6" w:rsidRPr="001B6E4D" w:rsidRDefault="00B538B6" w:rsidP="003D1018">
            <w:pPr>
              <w:overflowPunct w:val="0"/>
              <w:jc w:val="both"/>
              <w:rPr>
                <w:rFonts w:ascii="標楷體" w:eastAsia="標楷體" w:hAnsi="標楷體" w:cstheme="minorBidi"/>
                <w:sz w:val="24"/>
              </w:rPr>
            </w:pPr>
            <w:r w:rsidRPr="001B6E4D">
              <w:rPr>
                <w:rFonts w:ascii="標楷體" w:eastAsia="標楷體" w:hAnsi="標楷體" w:cstheme="minorBidi"/>
                <w:sz w:val="24"/>
              </w:rPr>
              <w:t>尚未審查</w:t>
            </w:r>
          </w:p>
        </w:tc>
      </w:tr>
    </w:tbl>
    <w:p w14:paraId="5D0CC1C3" w14:textId="74CA3DB0" w:rsidR="009B28A5" w:rsidRPr="001B6E4D" w:rsidRDefault="009B28A5"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r w:rsidRPr="001B6E4D">
        <w:rPr>
          <w:rFonts w:hint="eastAsia"/>
          <w:color w:val="000000" w:themeColor="text1"/>
          <w:shd w:val="clear" w:color="auto" w:fill="FFFFFF" w:themeFill="background1"/>
        </w:rPr>
        <w:t>2</w:t>
      </w:r>
      <w:r w:rsidRPr="001B6E4D">
        <w:rPr>
          <w:color w:val="000000" w:themeColor="text1"/>
          <w:shd w:val="clear" w:color="auto" w:fill="FFFFFF" w:themeFill="background1"/>
        </w:rPr>
        <w:t>.本會、內政委員會聯席審查</w:t>
      </w:r>
      <w:r w:rsidR="00496D40" w:rsidRPr="001B6E4D">
        <w:rPr>
          <w:color w:val="000000" w:themeColor="text1"/>
          <w:shd w:val="clear" w:color="auto" w:fill="FFFFFF" w:themeFill="background1"/>
        </w:rPr>
        <w:t>59</w:t>
      </w:r>
      <w:r w:rsidRPr="001B6E4D">
        <w:rPr>
          <w:color w:val="000000" w:themeColor="text1"/>
          <w:shd w:val="clear" w:color="auto" w:fill="FFFFFF" w:themeFill="background1"/>
        </w:rPr>
        <w:t>案</w:t>
      </w:r>
      <w:bookmarkEnd w:id="267"/>
      <w:bookmarkEnd w:id="268"/>
      <w:bookmarkEnd w:id="275"/>
    </w:p>
    <w:tbl>
      <w:tblPr>
        <w:tblStyle w:val="ae"/>
        <w:tblW w:w="8931" w:type="dxa"/>
        <w:tblInd w:w="18" w:type="dxa"/>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549"/>
        <w:gridCol w:w="3379"/>
        <w:gridCol w:w="1910"/>
        <w:gridCol w:w="1736"/>
        <w:gridCol w:w="1357"/>
      </w:tblGrid>
      <w:tr w:rsidR="00D37A31" w:rsidRPr="001B6E4D" w14:paraId="122259DA" w14:textId="77777777" w:rsidTr="00331E47">
        <w:tc>
          <w:tcPr>
            <w:tcW w:w="549" w:type="dxa"/>
          </w:tcPr>
          <w:p w14:paraId="724E9DE7" w14:textId="77777777" w:rsidR="00D37A31" w:rsidRPr="001B6E4D" w:rsidRDefault="00D37A31" w:rsidP="003D1018">
            <w:pPr>
              <w:kinsoku w:val="0"/>
              <w:overflowPunct w:val="0"/>
              <w:topLinePunct/>
              <w:spacing w:line="300" w:lineRule="exact"/>
              <w:jc w:val="center"/>
              <w:rPr>
                <w:rFonts w:ascii="標楷體" w:eastAsia="標楷體" w:hAnsi="標楷體"/>
                <w:b/>
                <w:sz w:val="24"/>
              </w:rPr>
            </w:pPr>
            <w:r w:rsidRPr="001B6E4D">
              <w:rPr>
                <w:rFonts w:ascii="標楷體" w:eastAsia="標楷體" w:hAnsi="標楷體"/>
                <w:b/>
                <w:color w:val="000000" w:themeColor="text1"/>
                <w:sz w:val="24"/>
                <w:shd w:val="clear" w:color="auto" w:fill="FFFFFF" w:themeFill="background1"/>
              </w:rPr>
              <w:t>序號</w:t>
            </w:r>
          </w:p>
        </w:tc>
        <w:tc>
          <w:tcPr>
            <w:tcW w:w="3379" w:type="dxa"/>
            <w:vAlign w:val="center"/>
          </w:tcPr>
          <w:p w14:paraId="4D0C8D45" w14:textId="77777777" w:rsidR="00D37A31" w:rsidRPr="001B6E4D" w:rsidRDefault="00D37A3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910" w:type="dxa"/>
            <w:vAlign w:val="center"/>
          </w:tcPr>
          <w:p w14:paraId="124C2429" w14:textId="77777777" w:rsidR="00331E47" w:rsidRPr="001B6E4D" w:rsidRDefault="00D37A3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2CB631D1" w14:textId="77777777" w:rsidR="00331E47" w:rsidRPr="001B6E4D" w:rsidRDefault="00D37A3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75946EB3" w14:textId="0E13E7F4" w:rsidR="00D37A31" w:rsidRPr="001B6E4D" w:rsidRDefault="00D37A3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1736" w:type="dxa"/>
            <w:vAlign w:val="center"/>
          </w:tcPr>
          <w:p w14:paraId="5A67B2AD" w14:textId="77777777" w:rsidR="00D37A31" w:rsidRPr="001B6E4D" w:rsidRDefault="00D37A3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1357" w:type="dxa"/>
            <w:vAlign w:val="center"/>
          </w:tcPr>
          <w:p w14:paraId="573E752E" w14:textId="77777777" w:rsidR="00D37A31" w:rsidRPr="001B6E4D" w:rsidRDefault="00D37A3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D37A31" w:rsidRPr="001B6E4D" w14:paraId="5430678B" w14:textId="77777777" w:rsidTr="00331E47">
        <w:tc>
          <w:tcPr>
            <w:tcW w:w="549" w:type="dxa"/>
          </w:tcPr>
          <w:p w14:paraId="4ADDC880"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1</w:t>
            </w:r>
          </w:p>
        </w:tc>
        <w:tc>
          <w:tcPr>
            <w:tcW w:w="3379" w:type="dxa"/>
          </w:tcPr>
          <w:p w14:paraId="3961BB34"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廢止「內政部營建署組織條例」、「內政部消防署組織條例」、「內政部役政署組織法」及「內政部消防署港務消防隊組織通則」(廢止重點：配合組織調整作業，內政部及所屬消防署、國土管理署、國家公園署組織法均自112年9月20日施行，且內政部役政署業務已全數移入內政部辦理，應配合辦理廢止。)</w:t>
            </w:r>
          </w:p>
        </w:tc>
        <w:tc>
          <w:tcPr>
            <w:tcW w:w="1910" w:type="dxa"/>
          </w:tcPr>
          <w:p w14:paraId="7557988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行政院</w:t>
            </w:r>
          </w:p>
          <w:p w14:paraId="3C83365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113.03.01</w:t>
            </w:r>
          </w:p>
          <w:p w14:paraId="10C812D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（11-1-3）</w:t>
            </w:r>
          </w:p>
        </w:tc>
        <w:tc>
          <w:tcPr>
            <w:tcW w:w="1736" w:type="dxa"/>
          </w:tcPr>
          <w:p w14:paraId="668802F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0AE6D2C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0E639DBE" w14:textId="77777777" w:rsidTr="00331E47">
        <w:tc>
          <w:tcPr>
            <w:tcW w:w="549" w:type="dxa"/>
          </w:tcPr>
          <w:p w14:paraId="60011E21"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2</w:t>
            </w:r>
          </w:p>
        </w:tc>
        <w:tc>
          <w:tcPr>
            <w:tcW w:w="3379" w:type="dxa"/>
          </w:tcPr>
          <w:p w14:paraId="25EDC1A4"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2.廢止「內政部營建署組織條例」(廢止重點：因應國土管理署、國家公園署組織法業已施行，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2D2A686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委員吳思瑤</w:t>
            </w:r>
          </w:p>
          <w:p w14:paraId="4EF3F74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00616F8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114.03.04</w:t>
            </w:r>
          </w:p>
          <w:p w14:paraId="35004BA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（11-3-3）</w:t>
            </w:r>
          </w:p>
        </w:tc>
        <w:tc>
          <w:tcPr>
            <w:tcW w:w="1736" w:type="dxa"/>
          </w:tcPr>
          <w:p w14:paraId="67626B8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45C414E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64C9E37A" w14:textId="77777777" w:rsidTr="00331E47">
        <w:tc>
          <w:tcPr>
            <w:tcW w:w="549" w:type="dxa"/>
          </w:tcPr>
          <w:p w14:paraId="1EA74D1B"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3</w:t>
            </w:r>
          </w:p>
        </w:tc>
        <w:tc>
          <w:tcPr>
            <w:tcW w:w="3379" w:type="dxa"/>
          </w:tcPr>
          <w:p w14:paraId="1345B870"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3.廢止「內政部營建署組織條例」(廢止重點：營建署改制為國土管理署，</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74C159E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委員王美惠</w:t>
            </w:r>
          </w:p>
          <w:p w14:paraId="38A3F6F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等23人</w:t>
            </w:r>
          </w:p>
          <w:p w14:paraId="05467D8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114.03.04</w:t>
            </w:r>
          </w:p>
          <w:p w14:paraId="7C49AFE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（11-3-3）</w:t>
            </w:r>
          </w:p>
        </w:tc>
        <w:tc>
          <w:tcPr>
            <w:tcW w:w="1736" w:type="dxa"/>
          </w:tcPr>
          <w:p w14:paraId="31EE1C4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16C027F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43366EAD" w14:textId="77777777" w:rsidTr="00331E47">
        <w:tc>
          <w:tcPr>
            <w:tcW w:w="549" w:type="dxa"/>
          </w:tcPr>
          <w:p w14:paraId="3028BABA"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4</w:t>
            </w:r>
          </w:p>
        </w:tc>
        <w:tc>
          <w:tcPr>
            <w:tcW w:w="3379" w:type="dxa"/>
          </w:tcPr>
          <w:p w14:paraId="259051A1"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4.廢止「內政部營建署組織條例」(廢止重點：營建署已併入國土管理署，</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2C98621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委員林思銘</w:t>
            </w:r>
          </w:p>
          <w:p w14:paraId="6CF79C3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等19人</w:t>
            </w:r>
          </w:p>
          <w:p w14:paraId="7231BD7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114.03.07</w:t>
            </w:r>
          </w:p>
          <w:p w14:paraId="793EF21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（11-3-4）</w:t>
            </w:r>
          </w:p>
        </w:tc>
        <w:tc>
          <w:tcPr>
            <w:tcW w:w="1736" w:type="dxa"/>
          </w:tcPr>
          <w:p w14:paraId="7EDB726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43C04C2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1DE1DAEF" w14:textId="77777777" w:rsidTr="00331E47">
        <w:tc>
          <w:tcPr>
            <w:tcW w:w="549" w:type="dxa"/>
          </w:tcPr>
          <w:p w14:paraId="1A40BC04"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5</w:t>
            </w:r>
          </w:p>
        </w:tc>
        <w:tc>
          <w:tcPr>
            <w:tcW w:w="3379" w:type="dxa"/>
          </w:tcPr>
          <w:p w14:paraId="40799EC6"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5.廢止「內政部營建署組織條例」(廢止重點：營建署已併入國土管理署，</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14CCEA0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委員許宇</w:t>
            </w:r>
            <w:proofErr w:type="gramStart"/>
            <w:r w:rsidRPr="001B6E4D">
              <w:rPr>
                <w:rFonts w:ascii="標楷體" w:eastAsia="標楷體" w:hAnsi="標楷體" w:cstheme="minorBidi"/>
                <w:color w:val="000000" w:themeColor="text1"/>
                <w:sz w:val="24"/>
              </w:rPr>
              <w:t>甄</w:t>
            </w:r>
            <w:proofErr w:type="gramEnd"/>
          </w:p>
          <w:p w14:paraId="143B993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4D71981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114.05.02</w:t>
            </w:r>
          </w:p>
          <w:p w14:paraId="19E389C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（11-3-10）</w:t>
            </w:r>
          </w:p>
        </w:tc>
        <w:tc>
          <w:tcPr>
            <w:tcW w:w="1736" w:type="dxa"/>
          </w:tcPr>
          <w:p w14:paraId="4929B40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5FECE38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35537B96" w14:textId="77777777" w:rsidTr="00331E47">
        <w:tc>
          <w:tcPr>
            <w:tcW w:w="549" w:type="dxa"/>
          </w:tcPr>
          <w:p w14:paraId="7C98C655"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6</w:t>
            </w:r>
          </w:p>
        </w:tc>
        <w:tc>
          <w:tcPr>
            <w:tcW w:w="3379" w:type="dxa"/>
          </w:tcPr>
          <w:p w14:paraId="0BFD9DF9"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6.廢止「內政部營建署組織條例」(廢止重點：營建署已併入國土管理署，</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1BA20CE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委員王鴻薇</w:t>
            </w:r>
          </w:p>
          <w:p w14:paraId="32D6FE7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等17人</w:t>
            </w:r>
          </w:p>
          <w:p w14:paraId="7CEE278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114.06.13</w:t>
            </w:r>
          </w:p>
          <w:p w14:paraId="576F344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（11-3-16）</w:t>
            </w:r>
          </w:p>
        </w:tc>
        <w:tc>
          <w:tcPr>
            <w:tcW w:w="1736" w:type="dxa"/>
          </w:tcPr>
          <w:p w14:paraId="603506D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6D53724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2DC201F1" w14:textId="77777777" w:rsidTr="00331E47">
        <w:tc>
          <w:tcPr>
            <w:tcW w:w="549" w:type="dxa"/>
          </w:tcPr>
          <w:p w14:paraId="5EB8FE16"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lastRenderedPageBreak/>
              <w:t>7</w:t>
            </w:r>
          </w:p>
        </w:tc>
        <w:tc>
          <w:tcPr>
            <w:tcW w:w="3379" w:type="dxa"/>
          </w:tcPr>
          <w:p w14:paraId="79F86E9A"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7.廢止「內政部營建署組織條例」(廢止重點：政府組織調整已完成，</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4AB7F74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委員羅廷</w:t>
            </w:r>
            <w:proofErr w:type="gramStart"/>
            <w:r w:rsidRPr="001B6E4D">
              <w:rPr>
                <w:rFonts w:ascii="標楷體" w:eastAsia="標楷體" w:hAnsi="標楷體" w:cstheme="minorBidi"/>
                <w:color w:val="000000" w:themeColor="text1"/>
                <w:sz w:val="24"/>
              </w:rPr>
              <w:t>瑋</w:t>
            </w:r>
            <w:proofErr w:type="gramEnd"/>
          </w:p>
          <w:p w14:paraId="0E95C62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22DF362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114.11.21</w:t>
            </w:r>
          </w:p>
          <w:p w14:paraId="682C952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（11-4-10）</w:t>
            </w:r>
          </w:p>
        </w:tc>
        <w:tc>
          <w:tcPr>
            <w:tcW w:w="1736" w:type="dxa"/>
          </w:tcPr>
          <w:p w14:paraId="116230F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7EFC3D2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2CDA0D14" w14:textId="77777777" w:rsidTr="00331E47">
        <w:tc>
          <w:tcPr>
            <w:tcW w:w="549" w:type="dxa"/>
          </w:tcPr>
          <w:p w14:paraId="06D14436"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8</w:t>
            </w:r>
          </w:p>
        </w:tc>
        <w:tc>
          <w:tcPr>
            <w:tcW w:w="3379" w:type="dxa"/>
          </w:tcPr>
          <w:p w14:paraId="25326DF0"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8.廢止「內政部營建署組織條例」(廢止重點：營建署業務已併入國土管理署，</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1AB04B0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委員廖偉翔</w:t>
            </w:r>
          </w:p>
          <w:p w14:paraId="783A55C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70F8B8A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115.01.09</w:t>
            </w:r>
          </w:p>
          <w:p w14:paraId="10D011D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（11-4-17）</w:t>
            </w:r>
          </w:p>
        </w:tc>
        <w:tc>
          <w:tcPr>
            <w:tcW w:w="1736" w:type="dxa"/>
          </w:tcPr>
          <w:p w14:paraId="194A449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513657F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7163FA4D" w14:textId="77777777" w:rsidTr="00331E47">
        <w:tc>
          <w:tcPr>
            <w:tcW w:w="549" w:type="dxa"/>
          </w:tcPr>
          <w:p w14:paraId="44348A63"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9</w:t>
            </w:r>
          </w:p>
        </w:tc>
        <w:tc>
          <w:tcPr>
            <w:tcW w:w="3379" w:type="dxa"/>
          </w:tcPr>
          <w:p w14:paraId="2EADD4CD"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9.廢止「內政部營建署組織條例」(廢止重點：營建署業務已併入國土管理署，</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5DC9985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委員謝衣</w:t>
            </w:r>
            <w:r w:rsidRPr="001B6E4D">
              <w:rPr>
                <w:rFonts w:ascii="標楷體" w:eastAsia="標楷體" w:hAnsi="標楷體" w:cstheme="minorBidi" w:hint="eastAsia"/>
                <w:color w:val="000000" w:themeColor="text1"/>
                <w:sz w:val="24"/>
              </w:rPr>
              <w:t>鳯</w:t>
            </w:r>
          </w:p>
          <w:p w14:paraId="19E5E93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hint="eastAsia"/>
                <w:color w:val="000000" w:themeColor="text1"/>
                <w:sz w:val="24"/>
              </w:rPr>
              <w:t>等</w:t>
            </w:r>
            <w:r w:rsidRPr="001B6E4D">
              <w:rPr>
                <w:rFonts w:ascii="標楷體" w:eastAsia="標楷體" w:hAnsi="標楷體" w:cstheme="minorBidi"/>
                <w:color w:val="000000" w:themeColor="text1"/>
                <w:sz w:val="24"/>
              </w:rPr>
              <w:t>17人</w:t>
            </w:r>
          </w:p>
          <w:p w14:paraId="2431CCB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115.01.23</w:t>
            </w:r>
          </w:p>
          <w:p w14:paraId="258820A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hint="eastAsia"/>
                <w:color w:val="000000" w:themeColor="text1"/>
                <w:sz w:val="24"/>
              </w:rPr>
              <w:t>（</w:t>
            </w:r>
            <w:r w:rsidRPr="001B6E4D">
              <w:rPr>
                <w:rFonts w:ascii="標楷體" w:eastAsia="標楷體" w:hAnsi="標楷體" w:cstheme="minorBidi"/>
                <w:color w:val="000000" w:themeColor="text1"/>
                <w:sz w:val="24"/>
              </w:rPr>
              <w:t>11-4-19）</w:t>
            </w:r>
          </w:p>
        </w:tc>
        <w:tc>
          <w:tcPr>
            <w:tcW w:w="1736" w:type="dxa"/>
          </w:tcPr>
          <w:p w14:paraId="7258ECF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5887EB8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306E6419" w14:textId="77777777" w:rsidTr="00331E47">
        <w:tc>
          <w:tcPr>
            <w:tcW w:w="549" w:type="dxa"/>
          </w:tcPr>
          <w:p w14:paraId="23864EC4"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10</w:t>
            </w:r>
          </w:p>
        </w:tc>
        <w:tc>
          <w:tcPr>
            <w:tcW w:w="3379" w:type="dxa"/>
          </w:tcPr>
          <w:p w14:paraId="7288732B"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10.廢止「內政部營建署組織條例」(廢止重點：營建署業務已併入國土管理署，</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77B71AC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w:t>
            </w:r>
            <w:proofErr w:type="gramStart"/>
            <w:r w:rsidRPr="001B6E4D">
              <w:rPr>
                <w:rFonts w:ascii="標楷體" w:eastAsia="標楷體" w:hAnsi="標楷體" w:cstheme="minorBidi"/>
                <w:color w:val="000000" w:themeColor="text1"/>
                <w:sz w:val="24"/>
              </w:rPr>
              <w:t>游顥</w:t>
            </w:r>
            <w:proofErr w:type="gramEnd"/>
          </w:p>
          <w:p w14:paraId="468B1C5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61CAD33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115.01.30</w:t>
            </w:r>
          </w:p>
          <w:p w14:paraId="3D15421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（11-4-20）</w:t>
            </w:r>
          </w:p>
        </w:tc>
        <w:tc>
          <w:tcPr>
            <w:tcW w:w="1736" w:type="dxa"/>
          </w:tcPr>
          <w:p w14:paraId="7394474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1A7FB5C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4E5EA73C" w14:textId="77777777" w:rsidTr="00331E47">
        <w:tc>
          <w:tcPr>
            <w:tcW w:w="549" w:type="dxa"/>
          </w:tcPr>
          <w:p w14:paraId="1602D8C5"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11</w:t>
            </w:r>
          </w:p>
        </w:tc>
        <w:tc>
          <w:tcPr>
            <w:tcW w:w="3379" w:type="dxa"/>
          </w:tcPr>
          <w:p w14:paraId="0642AE33"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11.廢止「內政部營建署組織條例」(廢止重點：營建署業務已併入國土管理署，</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4721899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台灣民眾</w:t>
            </w:r>
            <w:proofErr w:type="gramStart"/>
            <w:r w:rsidRPr="001B6E4D">
              <w:rPr>
                <w:rFonts w:ascii="標楷體" w:eastAsia="標楷體" w:hAnsi="標楷體" w:cstheme="minorBidi"/>
                <w:color w:val="000000" w:themeColor="text1"/>
                <w:sz w:val="24"/>
              </w:rPr>
              <w:t>黨</w:t>
            </w:r>
            <w:proofErr w:type="gramEnd"/>
            <w:r w:rsidRPr="001B6E4D">
              <w:rPr>
                <w:rFonts w:ascii="標楷體" w:eastAsia="標楷體" w:hAnsi="標楷體" w:cstheme="minorBidi"/>
                <w:color w:val="000000" w:themeColor="text1"/>
                <w:sz w:val="24"/>
              </w:rPr>
              <w:t>黨團</w:t>
            </w:r>
          </w:p>
          <w:p w14:paraId="6CA7F5A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115.03.27</w:t>
            </w:r>
          </w:p>
          <w:p w14:paraId="0288611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（11-5-5）</w:t>
            </w:r>
          </w:p>
        </w:tc>
        <w:tc>
          <w:tcPr>
            <w:tcW w:w="1736" w:type="dxa"/>
          </w:tcPr>
          <w:p w14:paraId="45024DC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046FC17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2DBAF40B" w14:textId="77777777" w:rsidTr="00331E47">
        <w:tc>
          <w:tcPr>
            <w:tcW w:w="549" w:type="dxa"/>
          </w:tcPr>
          <w:p w14:paraId="204285EF"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12</w:t>
            </w:r>
          </w:p>
        </w:tc>
        <w:tc>
          <w:tcPr>
            <w:tcW w:w="3379" w:type="dxa"/>
          </w:tcPr>
          <w:p w14:paraId="3318F333"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12.廢止「內政部營建署組織條例」(廢止重點：營建署已改制為國土管理署，</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5F36A90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委員羅智強</w:t>
            </w:r>
          </w:p>
          <w:p w14:paraId="4EFFE9B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等19人</w:t>
            </w:r>
          </w:p>
          <w:p w14:paraId="4AB58F0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115.07.03</w:t>
            </w:r>
          </w:p>
          <w:p w14:paraId="323C19C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（11-5-16）</w:t>
            </w:r>
          </w:p>
        </w:tc>
        <w:tc>
          <w:tcPr>
            <w:tcW w:w="1736" w:type="dxa"/>
          </w:tcPr>
          <w:p w14:paraId="46B640F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58E6EA6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06464AAF" w14:textId="77777777" w:rsidTr="00331E47">
        <w:tc>
          <w:tcPr>
            <w:tcW w:w="549" w:type="dxa"/>
          </w:tcPr>
          <w:p w14:paraId="78310B2E"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13</w:t>
            </w:r>
          </w:p>
        </w:tc>
        <w:tc>
          <w:tcPr>
            <w:tcW w:w="3379" w:type="dxa"/>
          </w:tcPr>
          <w:p w14:paraId="0C86E4F7"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2.廢止「內政部消防署組織條例」(廢止重點：消防署組織法已施行，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2E0A97F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委員林思銘</w:t>
            </w:r>
          </w:p>
          <w:p w14:paraId="6773EBF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等19人</w:t>
            </w:r>
          </w:p>
          <w:p w14:paraId="652F4BE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114.03.07</w:t>
            </w:r>
          </w:p>
          <w:p w14:paraId="627F9E1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（11-3-4）</w:t>
            </w:r>
          </w:p>
        </w:tc>
        <w:tc>
          <w:tcPr>
            <w:tcW w:w="1736" w:type="dxa"/>
          </w:tcPr>
          <w:p w14:paraId="54E14CB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62482F2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40187E27" w14:textId="77777777" w:rsidTr="00331E47">
        <w:tc>
          <w:tcPr>
            <w:tcW w:w="549" w:type="dxa"/>
          </w:tcPr>
          <w:p w14:paraId="51ABC8AE"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14</w:t>
            </w:r>
          </w:p>
        </w:tc>
        <w:tc>
          <w:tcPr>
            <w:tcW w:w="3379" w:type="dxa"/>
          </w:tcPr>
          <w:p w14:paraId="463EA263"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3.廢止「內政部消防署組織條例」(廢止重點：消防署組織法已施行，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6BE88E5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委員許宇</w:t>
            </w:r>
            <w:proofErr w:type="gramStart"/>
            <w:r w:rsidRPr="001B6E4D">
              <w:rPr>
                <w:rFonts w:ascii="標楷體" w:eastAsia="標楷體" w:hAnsi="標楷體" w:cstheme="minorBidi"/>
                <w:color w:val="000000" w:themeColor="text1"/>
                <w:sz w:val="24"/>
              </w:rPr>
              <w:t>甄</w:t>
            </w:r>
            <w:proofErr w:type="gramEnd"/>
          </w:p>
          <w:p w14:paraId="53AACD9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5A9F110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114.05.02</w:t>
            </w:r>
          </w:p>
          <w:p w14:paraId="235CD8D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（11-3-10）</w:t>
            </w:r>
          </w:p>
        </w:tc>
        <w:tc>
          <w:tcPr>
            <w:tcW w:w="1736" w:type="dxa"/>
          </w:tcPr>
          <w:p w14:paraId="3BF86D4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4485123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643D8C92" w14:textId="77777777" w:rsidTr="00331E47">
        <w:tc>
          <w:tcPr>
            <w:tcW w:w="549" w:type="dxa"/>
          </w:tcPr>
          <w:p w14:paraId="06AC8486"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15</w:t>
            </w:r>
          </w:p>
        </w:tc>
        <w:tc>
          <w:tcPr>
            <w:tcW w:w="3379" w:type="dxa"/>
          </w:tcPr>
          <w:p w14:paraId="2364C0CE"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4.廢止「內政部消防署組織條例」(廢止重點：消防署組織法已施行，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6B45542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委員王鴻薇</w:t>
            </w:r>
          </w:p>
          <w:p w14:paraId="5DBB758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7B97950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114.06.13</w:t>
            </w:r>
          </w:p>
          <w:p w14:paraId="013D0C1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（11-3-16）</w:t>
            </w:r>
          </w:p>
        </w:tc>
        <w:tc>
          <w:tcPr>
            <w:tcW w:w="1736" w:type="dxa"/>
          </w:tcPr>
          <w:p w14:paraId="1E06244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6CAA81A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64261184" w14:textId="77777777" w:rsidTr="00331E47">
        <w:tc>
          <w:tcPr>
            <w:tcW w:w="549" w:type="dxa"/>
          </w:tcPr>
          <w:p w14:paraId="2846A09F"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16</w:t>
            </w:r>
          </w:p>
        </w:tc>
        <w:tc>
          <w:tcPr>
            <w:tcW w:w="3379" w:type="dxa"/>
          </w:tcPr>
          <w:p w14:paraId="388CB699"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5.廢止「內政部消防署組織條例」(廢止重點：政府組織調</w:t>
            </w:r>
            <w:r w:rsidRPr="001B6E4D">
              <w:rPr>
                <w:rFonts w:hAnsi="標楷體"/>
                <w:color w:val="000000" w:themeColor="text1"/>
                <w:sz w:val="24"/>
                <w:szCs w:val="24"/>
              </w:rPr>
              <w:lastRenderedPageBreak/>
              <w:t>整已完成，</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0945E65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委員羅廷</w:t>
            </w:r>
            <w:proofErr w:type="gramStart"/>
            <w:r w:rsidRPr="001B6E4D">
              <w:rPr>
                <w:rFonts w:ascii="標楷體" w:eastAsia="標楷體" w:hAnsi="標楷體" w:cstheme="minorBidi"/>
                <w:color w:val="000000" w:themeColor="text1"/>
                <w:sz w:val="24"/>
              </w:rPr>
              <w:t>瑋</w:t>
            </w:r>
            <w:proofErr w:type="gramEnd"/>
          </w:p>
          <w:p w14:paraId="59A1B05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2AF7615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114.11.21</w:t>
            </w:r>
          </w:p>
          <w:p w14:paraId="6F5ED92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（11-4-10）</w:t>
            </w:r>
          </w:p>
        </w:tc>
        <w:tc>
          <w:tcPr>
            <w:tcW w:w="1736" w:type="dxa"/>
          </w:tcPr>
          <w:p w14:paraId="24BD284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司法及法制、內政</w:t>
            </w:r>
          </w:p>
        </w:tc>
        <w:tc>
          <w:tcPr>
            <w:tcW w:w="1357" w:type="dxa"/>
          </w:tcPr>
          <w:p w14:paraId="07BFCCF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540E349E" w14:textId="77777777" w:rsidTr="00331E47">
        <w:tc>
          <w:tcPr>
            <w:tcW w:w="549" w:type="dxa"/>
          </w:tcPr>
          <w:p w14:paraId="237AD83C"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17</w:t>
            </w:r>
          </w:p>
        </w:tc>
        <w:tc>
          <w:tcPr>
            <w:tcW w:w="3379" w:type="dxa"/>
          </w:tcPr>
          <w:p w14:paraId="3AC64320"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6.廢止「內政部消</w:t>
            </w:r>
            <w:proofErr w:type="gramStart"/>
            <w:r w:rsidRPr="001B6E4D">
              <w:rPr>
                <w:rFonts w:hAnsi="標楷體"/>
                <w:color w:val="000000" w:themeColor="text1"/>
                <w:sz w:val="24"/>
                <w:szCs w:val="24"/>
              </w:rPr>
              <w:t>防署</w:t>
            </w:r>
            <w:proofErr w:type="gramEnd"/>
            <w:r w:rsidRPr="001B6E4D">
              <w:rPr>
                <w:rFonts w:hAnsi="標楷體"/>
                <w:color w:val="000000" w:themeColor="text1"/>
                <w:sz w:val="24"/>
                <w:szCs w:val="24"/>
              </w:rPr>
              <w:t>組織條例」(廢止重點：消防署組織法已施行，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6309E77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委員廖偉翔</w:t>
            </w:r>
          </w:p>
          <w:p w14:paraId="0E02571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等17人</w:t>
            </w:r>
          </w:p>
          <w:p w14:paraId="0AD4CFE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115.01.09</w:t>
            </w:r>
          </w:p>
          <w:p w14:paraId="2139692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（11-4-17）</w:t>
            </w:r>
          </w:p>
        </w:tc>
        <w:tc>
          <w:tcPr>
            <w:tcW w:w="1736" w:type="dxa"/>
          </w:tcPr>
          <w:p w14:paraId="3283BD8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030AE56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50F94C29" w14:textId="77777777" w:rsidTr="00331E47">
        <w:tc>
          <w:tcPr>
            <w:tcW w:w="549" w:type="dxa"/>
          </w:tcPr>
          <w:p w14:paraId="400579B4"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18</w:t>
            </w:r>
          </w:p>
        </w:tc>
        <w:tc>
          <w:tcPr>
            <w:tcW w:w="3379" w:type="dxa"/>
          </w:tcPr>
          <w:p w14:paraId="2D1AB2E0"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7.廢止「內政部消防署組織條例」(廢止重點：消防署組織法已施行，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744D15F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委員謝衣</w:t>
            </w:r>
            <w:r w:rsidRPr="001B6E4D">
              <w:rPr>
                <w:rFonts w:ascii="標楷體" w:eastAsia="標楷體" w:hAnsi="標楷體" w:cstheme="minorBidi" w:hint="eastAsia"/>
                <w:color w:val="000000" w:themeColor="text1"/>
                <w:sz w:val="24"/>
              </w:rPr>
              <w:t>鳯</w:t>
            </w:r>
          </w:p>
          <w:p w14:paraId="4C506F5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hint="eastAsia"/>
                <w:color w:val="000000" w:themeColor="text1"/>
                <w:sz w:val="24"/>
              </w:rPr>
              <w:t>等</w:t>
            </w:r>
            <w:r w:rsidRPr="001B6E4D">
              <w:rPr>
                <w:rFonts w:ascii="標楷體" w:eastAsia="標楷體" w:hAnsi="標楷體" w:cstheme="minorBidi"/>
                <w:color w:val="000000" w:themeColor="text1"/>
                <w:sz w:val="24"/>
              </w:rPr>
              <w:t>17人</w:t>
            </w:r>
          </w:p>
          <w:p w14:paraId="44CCF2F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115.01.23</w:t>
            </w:r>
          </w:p>
          <w:p w14:paraId="0591BFB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hint="eastAsia"/>
                <w:color w:val="000000" w:themeColor="text1"/>
                <w:sz w:val="24"/>
              </w:rPr>
              <w:t>（</w:t>
            </w:r>
            <w:r w:rsidRPr="001B6E4D">
              <w:rPr>
                <w:rFonts w:ascii="標楷體" w:eastAsia="標楷體" w:hAnsi="標楷體" w:cstheme="minorBidi"/>
                <w:color w:val="000000" w:themeColor="text1"/>
                <w:sz w:val="24"/>
              </w:rPr>
              <w:t>11-4-19）</w:t>
            </w:r>
          </w:p>
        </w:tc>
        <w:tc>
          <w:tcPr>
            <w:tcW w:w="1736" w:type="dxa"/>
          </w:tcPr>
          <w:p w14:paraId="43742B4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5AAD99F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5E4B9FBD" w14:textId="77777777" w:rsidTr="00331E47">
        <w:tc>
          <w:tcPr>
            <w:tcW w:w="549" w:type="dxa"/>
          </w:tcPr>
          <w:p w14:paraId="06EBA527"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19</w:t>
            </w:r>
          </w:p>
        </w:tc>
        <w:tc>
          <w:tcPr>
            <w:tcW w:w="3379" w:type="dxa"/>
          </w:tcPr>
          <w:p w14:paraId="192B7DFF"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8.廢止「內政部消防署組織條例」(廢止重點：消防署組織法已施行，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348D554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w:t>
            </w:r>
            <w:proofErr w:type="gramStart"/>
            <w:r w:rsidRPr="001B6E4D">
              <w:rPr>
                <w:rFonts w:ascii="標楷體" w:eastAsia="標楷體" w:hAnsi="標楷體" w:cstheme="minorBidi"/>
                <w:color w:val="000000" w:themeColor="text1"/>
                <w:sz w:val="24"/>
              </w:rPr>
              <w:t>游顥</w:t>
            </w:r>
            <w:proofErr w:type="gramEnd"/>
          </w:p>
          <w:p w14:paraId="2D0DAD7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00C4367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115.01.30</w:t>
            </w:r>
          </w:p>
          <w:p w14:paraId="026A990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（11-4-20）</w:t>
            </w:r>
          </w:p>
        </w:tc>
        <w:tc>
          <w:tcPr>
            <w:tcW w:w="1736" w:type="dxa"/>
          </w:tcPr>
          <w:p w14:paraId="4E7E3A1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5B86D2A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3627DD10" w14:textId="77777777" w:rsidTr="00331E47">
        <w:tc>
          <w:tcPr>
            <w:tcW w:w="549" w:type="dxa"/>
          </w:tcPr>
          <w:p w14:paraId="163BFE6A"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20</w:t>
            </w:r>
          </w:p>
        </w:tc>
        <w:tc>
          <w:tcPr>
            <w:tcW w:w="3379" w:type="dxa"/>
          </w:tcPr>
          <w:p w14:paraId="169BD970"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9.廢止「內政部消防署組織條例」(廢止重點：消防署組織法已施行，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73F1689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委員王美惠</w:t>
            </w:r>
          </w:p>
          <w:p w14:paraId="0F47417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等17人</w:t>
            </w:r>
          </w:p>
          <w:p w14:paraId="3BA6C0B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115.04.10</w:t>
            </w:r>
          </w:p>
          <w:p w14:paraId="073B90C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（11-5-6）</w:t>
            </w:r>
          </w:p>
        </w:tc>
        <w:tc>
          <w:tcPr>
            <w:tcW w:w="1736" w:type="dxa"/>
          </w:tcPr>
          <w:p w14:paraId="132D346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483F0EC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727AFD93" w14:textId="77777777" w:rsidTr="00331E47">
        <w:tc>
          <w:tcPr>
            <w:tcW w:w="549" w:type="dxa"/>
          </w:tcPr>
          <w:p w14:paraId="32587BB1"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21</w:t>
            </w:r>
          </w:p>
        </w:tc>
        <w:tc>
          <w:tcPr>
            <w:tcW w:w="3379" w:type="dxa"/>
          </w:tcPr>
          <w:p w14:paraId="078DF6B8"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10.廢止「內政部消防署組織條例」(廢止重點：消防署組織法已施行，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6C3E93E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委員羅智強</w:t>
            </w:r>
          </w:p>
          <w:p w14:paraId="37BD2BC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6F45854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115.06.12</w:t>
            </w:r>
          </w:p>
          <w:p w14:paraId="5916C4A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（11-5-14）</w:t>
            </w:r>
          </w:p>
        </w:tc>
        <w:tc>
          <w:tcPr>
            <w:tcW w:w="1736" w:type="dxa"/>
          </w:tcPr>
          <w:p w14:paraId="59839FD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2999205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4C84E15B" w14:textId="77777777" w:rsidTr="00331E47">
        <w:tc>
          <w:tcPr>
            <w:tcW w:w="549" w:type="dxa"/>
          </w:tcPr>
          <w:p w14:paraId="735EEB48"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22</w:t>
            </w:r>
          </w:p>
        </w:tc>
        <w:tc>
          <w:tcPr>
            <w:tcW w:w="3379" w:type="dxa"/>
          </w:tcPr>
          <w:p w14:paraId="1B75252A"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2.廢止「內政部役政署組織法」(廢止重點：役政署業務已全數移入內政部辦理，</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781F876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委員林思銘</w:t>
            </w:r>
          </w:p>
          <w:p w14:paraId="6C9AA81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等18人</w:t>
            </w:r>
          </w:p>
          <w:p w14:paraId="042FC91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114.03.07</w:t>
            </w:r>
          </w:p>
          <w:p w14:paraId="38420A2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（11-3-4）</w:t>
            </w:r>
          </w:p>
        </w:tc>
        <w:tc>
          <w:tcPr>
            <w:tcW w:w="1736" w:type="dxa"/>
          </w:tcPr>
          <w:p w14:paraId="588CB77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296616C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4F0D8490" w14:textId="77777777" w:rsidTr="00331E47">
        <w:tc>
          <w:tcPr>
            <w:tcW w:w="549" w:type="dxa"/>
          </w:tcPr>
          <w:p w14:paraId="20C62CB6"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23</w:t>
            </w:r>
          </w:p>
        </w:tc>
        <w:tc>
          <w:tcPr>
            <w:tcW w:w="3379" w:type="dxa"/>
          </w:tcPr>
          <w:p w14:paraId="6DAE14FC"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3.廢止「內政部役政署組織法」(廢止重點：役政署業務已全數移入內政部辦理，</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4A6803B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委員許宇</w:t>
            </w:r>
            <w:proofErr w:type="gramStart"/>
            <w:r w:rsidRPr="001B6E4D">
              <w:rPr>
                <w:rFonts w:ascii="標楷體" w:eastAsia="標楷體" w:hAnsi="標楷體" w:cstheme="minorBidi"/>
                <w:color w:val="000000" w:themeColor="text1"/>
                <w:sz w:val="24"/>
              </w:rPr>
              <w:t>甄</w:t>
            </w:r>
            <w:proofErr w:type="gramEnd"/>
          </w:p>
          <w:p w14:paraId="1362E97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54A3EC6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114.05.02</w:t>
            </w:r>
          </w:p>
          <w:p w14:paraId="2FB0E14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（11-3-10）</w:t>
            </w:r>
          </w:p>
        </w:tc>
        <w:tc>
          <w:tcPr>
            <w:tcW w:w="1736" w:type="dxa"/>
          </w:tcPr>
          <w:p w14:paraId="2FBFC4B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6AEADC2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601C3245" w14:textId="77777777" w:rsidTr="00331E47">
        <w:tc>
          <w:tcPr>
            <w:tcW w:w="549" w:type="dxa"/>
          </w:tcPr>
          <w:p w14:paraId="54A35676"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24</w:t>
            </w:r>
          </w:p>
        </w:tc>
        <w:tc>
          <w:tcPr>
            <w:tcW w:w="3379" w:type="dxa"/>
          </w:tcPr>
          <w:p w14:paraId="1938D804"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4.廢止「內政部役政署組織法」(廢止重點：役政署業務已全數移入內政部辦理，</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34C3E18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委員王鴻薇</w:t>
            </w:r>
          </w:p>
          <w:p w14:paraId="59B0BEB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等18人</w:t>
            </w:r>
          </w:p>
          <w:p w14:paraId="6C91E3F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114.06.13</w:t>
            </w:r>
          </w:p>
          <w:p w14:paraId="33E3B1B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（11-3-16）</w:t>
            </w:r>
          </w:p>
        </w:tc>
        <w:tc>
          <w:tcPr>
            <w:tcW w:w="1736" w:type="dxa"/>
          </w:tcPr>
          <w:p w14:paraId="4125361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4B99A35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41C57355" w14:textId="77777777" w:rsidTr="00331E47">
        <w:tc>
          <w:tcPr>
            <w:tcW w:w="549" w:type="dxa"/>
          </w:tcPr>
          <w:p w14:paraId="34C16FF6"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25</w:t>
            </w:r>
          </w:p>
        </w:tc>
        <w:tc>
          <w:tcPr>
            <w:tcW w:w="3379" w:type="dxa"/>
          </w:tcPr>
          <w:p w14:paraId="7BF1039C"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5.廢止「內政部役政署組織法」(廢止重點：政府組織調整已完成，</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6824704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委員羅廷</w:t>
            </w:r>
            <w:proofErr w:type="gramStart"/>
            <w:r w:rsidRPr="001B6E4D">
              <w:rPr>
                <w:rFonts w:ascii="標楷體" w:eastAsia="標楷體" w:hAnsi="標楷體" w:cstheme="minorBidi"/>
                <w:color w:val="000000" w:themeColor="text1"/>
                <w:sz w:val="24"/>
              </w:rPr>
              <w:t>瑋</w:t>
            </w:r>
            <w:proofErr w:type="gramEnd"/>
          </w:p>
          <w:p w14:paraId="58F54B4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5555048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114.11.21</w:t>
            </w:r>
          </w:p>
          <w:p w14:paraId="399BC24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（11-4-10）</w:t>
            </w:r>
          </w:p>
        </w:tc>
        <w:tc>
          <w:tcPr>
            <w:tcW w:w="1736" w:type="dxa"/>
          </w:tcPr>
          <w:p w14:paraId="2778F4B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6650B89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7C26A34B" w14:textId="77777777" w:rsidTr="00331E47">
        <w:tc>
          <w:tcPr>
            <w:tcW w:w="549" w:type="dxa"/>
          </w:tcPr>
          <w:p w14:paraId="4EE669DB"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lastRenderedPageBreak/>
              <w:t>26</w:t>
            </w:r>
          </w:p>
        </w:tc>
        <w:tc>
          <w:tcPr>
            <w:tcW w:w="3379" w:type="dxa"/>
          </w:tcPr>
          <w:p w14:paraId="7877D890"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6.廢止「內政部役政署組織法」(廢止重點：役政署業務已全數移入內政部辦理，</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28BBFCA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委員廖偉翔</w:t>
            </w:r>
          </w:p>
          <w:p w14:paraId="4ED7911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3EE7039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115.01.09</w:t>
            </w:r>
          </w:p>
          <w:p w14:paraId="3F80991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（11-4-17）</w:t>
            </w:r>
          </w:p>
        </w:tc>
        <w:tc>
          <w:tcPr>
            <w:tcW w:w="1736" w:type="dxa"/>
          </w:tcPr>
          <w:p w14:paraId="437D987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444DEA6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481E83CA" w14:textId="77777777" w:rsidTr="00331E47">
        <w:tc>
          <w:tcPr>
            <w:tcW w:w="549" w:type="dxa"/>
          </w:tcPr>
          <w:p w14:paraId="71537CB0"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t>27</w:t>
            </w:r>
          </w:p>
        </w:tc>
        <w:tc>
          <w:tcPr>
            <w:tcW w:w="3379" w:type="dxa"/>
          </w:tcPr>
          <w:p w14:paraId="2AE3634D"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7.廢止「內政部役政署組織法」(廢止重點：役政署業務已全數移入內政部辦理，</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7065421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委員謝衣</w:t>
            </w:r>
            <w:r w:rsidRPr="001B6E4D">
              <w:rPr>
                <w:rFonts w:ascii="標楷體" w:eastAsia="標楷體" w:hAnsi="標楷體" w:cstheme="minorBidi" w:hint="eastAsia"/>
                <w:color w:val="000000" w:themeColor="text1"/>
                <w:sz w:val="24"/>
              </w:rPr>
              <w:t>鳯</w:t>
            </w:r>
          </w:p>
          <w:p w14:paraId="77A519E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hint="eastAsia"/>
                <w:color w:val="000000" w:themeColor="text1"/>
                <w:sz w:val="24"/>
              </w:rPr>
              <w:t>等</w:t>
            </w:r>
            <w:r w:rsidRPr="001B6E4D">
              <w:rPr>
                <w:rFonts w:ascii="標楷體" w:eastAsia="標楷體" w:hAnsi="標楷體" w:cstheme="minorBidi"/>
                <w:color w:val="000000" w:themeColor="text1"/>
                <w:sz w:val="24"/>
              </w:rPr>
              <w:t>17人</w:t>
            </w:r>
          </w:p>
          <w:p w14:paraId="13DFEA4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115.01.23</w:t>
            </w:r>
          </w:p>
          <w:p w14:paraId="102B1ED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hint="eastAsia"/>
                <w:color w:val="000000" w:themeColor="text1"/>
                <w:sz w:val="24"/>
              </w:rPr>
              <w:t>（</w:t>
            </w:r>
            <w:r w:rsidRPr="001B6E4D">
              <w:rPr>
                <w:rFonts w:ascii="標楷體" w:eastAsia="標楷體" w:hAnsi="標楷體" w:cstheme="minorBidi"/>
                <w:color w:val="000000" w:themeColor="text1"/>
                <w:sz w:val="24"/>
              </w:rPr>
              <w:t>11-4-19）</w:t>
            </w:r>
          </w:p>
        </w:tc>
        <w:tc>
          <w:tcPr>
            <w:tcW w:w="1736" w:type="dxa"/>
          </w:tcPr>
          <w:p w14:paraId="614A629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7DB5F25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498C2E03" w14:textId="77777777" w:rsidTr="00331E47">
        <w:tc>
          <w:tcPr>
            <w:tcW w:w="549" w:type="dxa"/>
          </w:tcPr>
          <w:p w14:paraId="55B2BF36"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t>28</w:t>
            </w:r>
          </w:p>
        </w:tc>
        <w:tc>
          <w:tcPr>
            <w:tcW w:w="3379" w:type="dxa"/>
          </w:tcPr>
          <w:p w14:paraId="455E6ADC"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8.廢止「內政部役政署組織法」(廢止重點：役政署業務已全數移入內政部辦理，</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5236578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w:t>
            </w:r>
            <w:proofErr w:type="gramStart"/>
            <w:r w:rsidRPr="001B6E4D">
              <w:rPr>
                <w:rFonts w:ascii="標楷體" w:eastAsia="標楷體" w:hAnsi="標楷體" w:cstheme="minorBidi"/>
                <w:color w:val="000000" w:themeColor="text1"/>
                <w:sz w:val="24"/>
              </w:rPr>
              <w:t>游顥</w:t>
            </w:r>
            <w:proofErr w:type="gramEnd"/>
          </w:p>
          <w:p w14:paraId="09C7EB0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5590F68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115.01.30</w:t>
            </w:r>
          </w:p>
          <w:p w14:paraId="354DE08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（11-4-20）</w:t>
            </w:r>
          </w:p>
        </w:tc>
        <w:tc>
          <w:tcPr>
            <w:tcW w:w="1736" w:type="dxa"/>
          </w:tcPr>
          <w:p w14:paraId="07AC365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74ADC5D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67ACFBAE" w14:textId="77777777" w:rsidTr="00331E47">
        <w:tc>
          <w:tcPr>
            <w:tcW w:w="549" w:type="dxa"/>
          </w:tcPr>
          <w:p w14:paraId="21CDFFA2"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t>29</w:t>
            </w:r>
          </w:p>
        </w:tc>
        <w:tc>
          <w:tcPr>
            <w:tcW w:w="3379" w:type="dxa"/>
          </w:tcPr>
          <w:p w14:paraId="76D4BBD2"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9.廢止「內政部役政署組織法」(廢止重點：役政署業務已全數移入內政部辦理，</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5A365C8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台灣民眾</w:t>
            </w:r>
            <w:proofErr w:type="gramStart"/>
            <w:r w:rsidRPr="001B6E4D">
              <w:rPr>
                <w:rFonts w:ascii="標楷體" w:eastAsia="標楷體" w:hAnsi="標楷體" w:cstheme="minorBidi"/>
                <w:color w:val="000000" w:themeColor="text1"/>
                <w:sz w:val="24"/>
              </w:rPr>
              <w:t>黨</w:t>
            </w:r>
            <w:proofErr w:type="gramEnd"/>
            <w:r w:rsidRPr="001B6E4D">
              <w:rPr>
                <w:rFonts w:ascii="標楷體" w:eastAsia="標楷體" w:hAnsi="標楷體" w:cstheme="minorBidi"/>
                <w:color w:val="000000" w:themeColor="text1"/>
                <w:sz w:val="24"/>
              </w:rPr>
              <w:t>黨團</w:t>
            </w:r>
          </w:p>
          <w:p w14:paraId="7289716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115.03.27</w:t>
            </w:r>
          </w:p>
          <w:p w14:paraId="1DD050A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（11-5-5）</w:t>
            </w:r>
          </w:p>
        </w:tc>
        <w:tc>
          <w:tcPr>
            <w:tcW w:w="1736" w:type="dxa"/>
          </w:tcPr>
          <w:p w14:paraId="5BB25D5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64B3FAE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66CB012D" w14:textId="77777777" w:rsidTr="00331E47">
        <w:tc>
          <w:tcPr>
            <w:tcW w:w="549" w:type="dxa"/>
          </w:tcPr>
          <w:p w14:paraId="72402FE7"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t>30</w:t>
            </w:r>
          </w:p>
        </w:tc>
        <w:tc>
          <w:tcPr>
            <w:tcW w:w="3379" w:type="dxa"/>
          </w:tcPr>
          <w:p w14:paraId="237AAE20"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10.廢止「內政部役政署組織法」(廢止重點：役政署業務已全數移入內政部辦理，</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3476C92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委員王美惠</w:t>
            </w:r>
          </w:p>
          <w:p w14:paraId="4C10D57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等17人</w:t>
            </w:r>
          </w:p>
          <w:p w14:paraId="3CD9CAF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115.04.10</w:t>
            </w:r>
          </w:p>
          <w:p w14:paraId="0A4D0B7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（11-5-6）</w:t>
            </w:r>
          </w:p>
        </w:tc>
        <w:tc>
          <w:tcPr>
            <w:tcW w:w="1736" w:type="dxa"/>
          </w:tcPr>
          <w:p w14:paraId="48BD15D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18FAC10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40082727" w14:textId="77777777" w:rsidTr="00331E47">
        <w:tc>
          <w:tcPr>
            <w:tcW w:w="549" w:type="dxa"/>
          </w:tcPr>
          <w:p w14:paraId="14F915EF"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t>31</w:t>
            </w:r>
          </w:p>
        </w:tc>
        <w:tc>
          <w:tcPr>
            <w:tcW w:w="3379" w:type="dxa"/>
          </w:tcPr>
          <w:p w14:paraId="32CB2B98"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11.廢止「內政部役政署組織法」(廢止重點：役政署業務已全數移入內政部辦理，</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375441C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委員羅智強</w:t>
            </w:r>
          </w:p>
          <w:p w14:paraId="366C6E2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78CA6F2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115.06.26</w:t>
            </w:r>
          </w:p>
          <w:p w14:paraId="0916688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（11-5-15）</w:t>
            </w:r>
          </w:p>
        </w:tc>
        <w:tc>
          <w:tcPr>
            <w:tcW w:w="1736" w:type="dxa"/>
          </w:tcPr>
          <w:p w14:paraId="3BB5FD8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4FCB299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363FF822" w14:textId="77777777" w:rsidTr="00331E47">
        <w:tc>
          <w:tcPr>
            <w:tcW w:w="549" w:type="dxa"/>
          </w:tcPr>
          <w:p w14:paraId="13D2E913"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t>32</w:t>
            </w:r>
          </w:p>
        </w:tc>
        <w:tc>
          <w:tcPr>
            <w:tcW w:w="3379" w:type="dxa"/>
          </w:tcPr>
          <w:p w14:paraId="1D443294"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2.廢止「內政部消防署港務消防隊組織通則」(廢止重點：消防署組織法已施行，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5C5525D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委員許宇</w:t>
            </w:r>
            <w:proofErr w:type="gramStart"/>
            <w:r w:rsidRPr="001B6E4D">
              <w:rPr>
                <w:rFonts w:ascii="標楷體" w:eastAsia="標楷體" w:hAnsi="標楷體" w:cstheme="minorBidi"/>
                <w:color w:val="000000" w:themeColor="text1"/>
                <w:sz w:val="24"/>
              </w:rPr>
              <w:t>甄</w:t>
            </w:r>
            <w:proofErr w:type="gramEnd"/>
          </w:p>
          <w:p w14:paraId="49998D4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22CDFDB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114.06.27</w:t>
            </w:r>
          </w:p>
          <w:p w14:paraId="538C1BC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（11-3-18）</w:t>
            </w:r>
          </w:p>
        </w:tc>
        <w:tc>
          <w:tcPr>
            <w:tcW w:w="1736" w:type="dxa"/>
          </w:tcPr>
          <w:p w14:paraId="4113164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144BAD3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5514E03C" w14:textId="77777777" w:rsidTr="00331E47">
        <w:tc>
          <w:tcPr>
            <w:tcW w:w="549" w:type="dxa"/>
          </w:tcPr>
          <w:p w14:paraId="4F1F0731"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t>33</w:t>
            </w:r>
          </w:p>
        </w:tc>
        <w:tc>
          <w:tcPr>
            <w:tcW w:w="3379" w:type="dxa"/>
          </w:tcPr>
          <w:p w14:paraId="7463D0A5"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3.廢止「內政部消防署港務消防隊組織通則」(廢止重點：政府組織調整已完成，</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34482EB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委員羅廷</w:t>
            </w:r>
            <w:proofErr w:type="gramStart"/>
            <w:r w:rsidRPr="001B6E4D">
              <w:rPr>
                <w:rFonts w:ascii="標楷體" w:eastAsia="標楷體" w:hAnsi="標楷體" w:cstheme="minorBidi"/>
                <w:color w:val="000000" w:themeColor="text1"/>
                <w:sz w:val="24"/>
              </w:rPr>
              <w:t>瑋</w:t>
            </w:r>
            <w:proofErr w:type="gramEnd"/>
          </w:p>
          <w:p w14:paraId="50352E8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234690D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114.11.21</w:t>
            </w:r>
          </w:p>
          <w:p w14:paraId="652E560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（11-4-10）</w:t>
            </w:r>
          </w:p>
        </w:tc>
        <w:tc>
          <w:tcPr>
            <w:tcW w:w="1736" w:type="dxa"/>
          </w:tcPr>
          <w:p w14:paraId="3DA6210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294EF4D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3A02ECA7" w14:textId="77777777" w:rsidTr="00331E47">
        <w:tc>
          <w:tcPr>
            <w:tcW w:w="549" w:type="dxa"/>
          </w:tcPr>
          <w:p w14:paraId="1CEB33BE"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t>34</w:t>
            </w:r>
          </w:p>
        </w:tc>
        <w:tc>
          <w:tcPr>
            <w:tcW w:w="3379" w:type="dxa"/>
          </w:tcPr>
          <w:p w14:paraId="062CC09E"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4.廢止「內政部消防署港務消防隊組織通則」(廢止重點：消防署組織法已施行，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7DE6108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委員謝衣</w:t>
            </w:r>
            <w:r w:rsidRPr="001B6E4D">
              <w:rPr>
                <w:rFonts w:ascii="標楷體" w:eastAsia="標楷體" w:hAnsi="標楷體" w:cstheme="minorBidi" w:hint="eastAsia"/>
                <w:color w:val="000000" w:themeColor="text1"/>
                <w:sz w:val="24"/>
              </w:rPr>
              <w:t>鳯</w:t>
            </w:r>
          </w:p>
          <w:p w14:paraId="7E155F3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hint="eastAsia"/>
                <w:color w:val="000000" w:themeColor="text1"/>
                <w:sz w:val="24"/>
              </w:rPr>
              <w:t>等</w:t>
            </w:r>
            <w:r w:rsidRPr="001B6E4D">
              <w:rPr>
                <w:rFonts w:ascii="標楷體" w:eastAsia="標楷體" w:hAnsi="標楷體" w:cstheme="minorBidi"/>
                <w:color w:val="000000" w:themeColor="text1"/>
                <w:sz w:val="24"/>
              </w:rPr>
              <w:t>17人</w:t>
            </w:r>
          </w:p>
          <w:p w14:paraId="14F3909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115.01.23</w:t>
            </w:r>
          </w:p>
          <w:p w14:paraId="5EFE93D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hint="eastAsia"/>
                <w:color w:val="000000" w:themeColor="text1"/>
                <w:sz w:val="24"/>
              </w:rPr>
              <w:t>（</w:t>
            </w:r>
            <w:r w:rsidRPr="001B6E4D">
              <w:rPr>
                <w:rFonts w:ascii="標楷體" w:eastAsia="標楷體" w:hAnsi="標楷體" w:cstheme="minorBidi"/>
                <w:color w:val="000000" w:themeColor="text1"/>
                <w:sz w:val="24"/>
              </w:rPr>
              <w:t>11-4-19）</w:t>
            </w:r>
          </w:p>
        </w:tc>
        <w:tc>
          <w:tcPr>
            <w:tcW w:w="1736" w:type="dxa"/>
          </w:tcPr>
          <w:p w14:paraId="677ABF0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6AFE54A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1867342E" w14:textId="77777777" w:rsidTr="00331E47">
        <w:tc>
          <w:tcPr>
            <w:tcW w:w="549" w:type="dxa"/>
          </w:tcPr>
          <w:p w14:paraId="1D3D95EA"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t>35</w:t>
            </w:r>
          </w:p>
        </w:tc>
        <w:tc>
          <w:tcPr>
            <w:tcW w:w="3379" w:type="dxa"/>
          </w:tcPr>
          <w:p w14:paraId="5EAD0447"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5.廢止「內政部消防署港務消防隊組織通則」(廢止重點：</w:t>
            </w:r>
            <w:r w:rsidRPr="001B6E4D">
              <w:rPr>
                <w:rFonts w:hAnsi="標楷體"/>
                <w:color w:val="000000" w:themeColor="text1"/>
                <w:sz w:val="24"/>
                <w:szCs w:val="24"/>
              </w:rPr>
              <w:lastRenderedPageBreak/>
              <w:t>消防署組織法已施行，</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2E8A029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委員王美惠</w:t>
            </w:r>
          </w:p>
          <w:p w14:paraId="7F91484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等17人</w:t>
            </w:r>
          </w:p>
          <w:p w14:paraId="038F5A5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115.04.10</w:t>
            </w:r>
          </w:p>
          <w:p w14:paraId="2D8A51A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（11-5-6）</w:t>
            </w:r>
          </w:p>
        </w:tc>
        <w:tc>
          <w:tcPr>
            <w:tcW w:w="1736" w:type="dxa"/>
          </w:tcPr>
          <w:p w14:paraId="2E6BC33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司法及法制、內政</w:t>
            </w:r>
          </w:p>
        </w:tc>
        <w:tc>
          <w:tcPr>
            <w:tcW w:w="1357" w:type="dxa"/>
          </w:tcPr>
          <w:p w14:paraId="772D1AB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3DC5967A" w14:textId="77777777" w:rsidTr="00331E47">
        <w:tc>
          <w:tcPr>
            <w:tcW w:w="549" w:type="dxa"/>
          </w:tcPr>
          <w:p w14:paraId="4A497DAF"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t>36</w:t>
            </w:r>
          </w:p>
        </w:tc>
        <w:tc>
          <w:tcPr>
            <w:tcW w:w="3379" w:type="dxa"/>
          </w:tcPr>
          <w:p w14:paraId="00678C87"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1.廢止「行政院原住民族委員會文化園區管理局組織條例」(廢止重點：配合組織調整作業，已改制為「原住民族委員會原住民族文化發展中心」，該中心組織法業於105年1月15日施行，應配合辦理廢止。)</w:t>
            </w:r>
          </w:p>
        </w:tc>
        <w:tc>
          <w:tcPr>
            <w:tcW w:w="1910" w:type="dxa"/>
          </w:tcPr>
          <w:p w14:paraId="1F86C46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行政院</w:t>
            </w:r>
          </w:p>
          <w:p w14:paraId="10286C9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113.03.01</w:t>
            </w:r>
          </w:p>
          <w:p w14:paraId="79DAE3A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（11-1-3）</w:t>
            </w:r>
          </w:p>
        </w:tc>
        <w:tc>
          <w:tcPr>
            <w:tcW w:w="1736" w:type="dxa"/>
          </w:tcPr>
          <w:p w14:paraId="5D5C4EB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3945972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72EEDB6A" w14:textId="77777777" w:rsidTr="00331E47">
        <w:tc>
          <w:tcPr>
            <w:tcW w:w="549" w:type="dxa"/>
          </w:tcPr>
          <w:p w14:paraId="602AAD32" w14:textId="77777777" w:rsidR="00D37A31" w:rsidRPr="001B6E4D" w:rsidRDefault="00D37A31" w:rsidP="003D1018">
            <w:pPr>
              <w:overflowPunct w:val="0"/>
              <w:jc w:val="center"/>
              <w:rPr>
                <w:rFonts w:ascii="標楷體" w:eastAsia="標楷體" w:hAnsi="標楷體"/>
                <w:sz w:val="24"/>
              </w:rPr>
            </w:pPr>
            <w:r w:rsidRPr="001B6E4D">
              <w:rPr>
                <w:rFonts w:ascii="標楷體" w:eastAsia="標楷體" w:hAnsi="標楷體"/>
                <w:sz w:val="24"/>
              </w:rPr>
              <w:t>37</w:t>
            </w:r>
          </w:p>
        </w:tc>
        <w:tc>
          <w:tcPr>
            <w:tcW w:w="3379" w:type="dxa"/>
          </w:tcPr>
          <w:p w14:paraId="60434010"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2.廢止「行政院原住民族委員會文化園區管理局組織條例」(廢止重點：已改制為「原住民族委員會原住民族文化發展中心」，</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0EFD8B0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委員鄭天財</w:t>
            </w:r>
          </w:p>
          <w:p w14:paraId="2FCBE7A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proofErr w:type="spellStart"/>
            <w:r w:rsidRPr="001B6E4D">
              <w:rPr>
                <w:rFonts w:ascii="標楷體" w:eastAsia="標楷體" w:hAnsi="標楷體" w:cstheme="minorBidi"/>
                <w:color w:val="000000" w:themeColor="text1"/>
                <w:sz w:val="24"/>
              </w:rPr>
              <w:t>Sra</w:t>
            </w:r>
            <w:proofErr w:type="spellEnd"/>
            <w:r w:rsidRPr="001B6E4D">
              <w:rPr>
                <w:rFonts w:ascii="標楷體" w:eastAsia="標楷體" w:hAnsi="標楷體" w:cstheme="minorBidi"/>
                <w:color w:val="000000" w:themeColor="text1"/>
                <w:sz w:val="24"/>
              </w:rPr>
              <w:t xml:space="preserve"> </w:t>
            </w:r>
            <w:proofErr w:type="spellStart"/>
            <w:r w:rsidRPr="001B6E4D">
              <w:rPr>
                <w:rFonts w:ascii="標楷體" w:eastAsia="標楷體" w:hAnsi="標楷體" w:cstheme="minorBidi"/>
                <w:color w:val="000000" w:themeColor="text1"/>
                <w:sz w:val="24"/>
              </w:rPr>
              <w:t>Kacaw</w:t>
            </w:r>
            <w:proofErr w:type="spellEnd"/>
          </w:p>
          <w:p w14:paraId="3C83F16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2CCFD0A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113.04.26</w:t>
            </w:r>
          </w:p>
          <w:p w14:paraId="3B85972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（11-1-11）</w:t>
            </w:r>
          </w:p>
        </w:tc>
        <w:tc>
          <w:tcPr>
            <w:tcW w:w="1736" w:type="dxa"/>
          </w:tcPr>
          <w:p w14:paraId="0F03806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1461470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2764D72B" w14:textId="77777777" w:rsidTr="00331E47">
        <w:tc>
          <w:tcPr>
            <w:tcW w:w="549" w:type="dxa"/>
          </w:tcPr>
          <w:p w14:paraId="506465B9"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38</w:t>
            </w:r>
          </w:p>
        </w:tc>
        <w:tc>
          <w:tcPr>
            <w:tcW w:w="3379" w:type="dxa"/>
          </w:tcPr>
          <w:p w14:paraId="369F398F"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3.廢止「行政院原住民族委員會文化園區管理局組織條例」(廢止重點：已改制為「原住民族委員會原住民族文化發展中心」，</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156FE42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委員伍麗華</w:t>
            </w:r>
          </w:p>
          <w:p w14:paraId="008FED9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proofErr w:type="spellStart"/>
            <w:r w:rsidRPr="001B6E4D">
              <w:rPr>
                <w:rFonts w:ascii="標楷體" w:eastAsia="標楷體" w:hAnsi="標楷體" w:cstheme="minorBidi"/>
                <w:color w:val="000000" w:themeColor="text1"/>
                <w:sz w:val="24"/>
              </w:rPr>
              <w:t>Saidhai</w:t>
            </w:r>
            <w:proofErr w:type="spellEnd"/>
            <w:r w:rsidRPr="001B6E4D">
              <w:rPr>
                <w:rFonts w:ascii="標楷體" w:eastAsia="標楷體" w:hAnsi="標楷體" w:cstheme="minorBidi"/>
                <w:color w:val="000000" w:themeColor="text1"/>
                <w:sz w:val="24"/>
              </w:rPr>
              <w:t>‧</w:t>
            </w:r>
          </w:p>
          <w:p w14:paraId="2C9B137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proofErr w:type="spellStart"/>
            <w:r w:rsidRPr="001B6E4D">
              <w:rPr>
                <w:rFonts w:ascii="標楷體" w:eastAsia="標楷體" w:hAnsi="標楷體" w:cstheme="minorBidi"/>
                <w:color w:val="000000" w:themeColor="text1"/>
                <w:sz w:val="24"/>
              </w:rPr>
              <w:t>Tahovecahe</w:t>
            </w:r>
            <w:proofErr w:type="spellEnd"/>
          </w:p>
          <w:p w14:paraId="5445E8D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等19人</w:t>
            </w:r>
          </w:p>
          <w:p w14:paraId="190238B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114.05.16</w:t>
            </w:r>
          </w:p>
          <w:p w14:paraId="054693E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（11-3-12）</w:t>
            </w:r>
          </w:p>
        </w:tc>
        <w:tc>
          <w:tcPr>
            <w:tcW w:w="1736" w:type="dxa"/>
          </w:tcPr>
          <w:p w14:paraId="7FA4F36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761BE67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0EC475B5" w14:textId="77777777" w:rsidTr="00331E47">
        <w:tc>
          <w:tcPr>
            <w:tcW w:w="549" w:type="dxa"/>
          </w:tcPr>
          <w:p w14:paraId="629F5D2B"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39</w:t>
            </w:r>
          </w:p>
        </w:tc>
        <w:tc>
          <w:tcPr>
            <w:tcW w:w="3379" w:type="dxa"/>
          </w:tcPr>
          <w:p w14:paraId="16C61E94"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4.廢止「行政院原住民族委員會文化園區管理局組織條例」(廢止重點：已改制為「原住民族委員會原住民族文化發展中心」，</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498FD31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委員王美惠</w:t>
            </w:r>
          </w:p>
          <w:p w14:paraId="2DA192C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等17人</w:t>
            </w:r>
          </w:p>
          <w:p w14:paraId="2A881D4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115.04.10</w:t>
            </w:r>
          </w:p>
          <w:p w14:paraId="42D80FD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（11-5-6）</w:t>
            </w:r>
          </w:p>
        </w:tc>
        <w:tc>
          <w:tcPr>
            <w:tcW w:w="1736" w:type="dxa"/>
          </w:tcPr>
          <w:p w14:paraId="75E4D69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670A3C9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7AB99C26" w14:textId="77777777" w:rsidTr="00331E47">
        <w:tc>
          <w:tcPr>
            <w:tcW w:w="549" w:type="dxa"/>
          </w:tcPr>
          <w:p w14:paraId="21E46158"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40</w:t>
            </w:r>
          </w:p>
        </w:tc>
        <w:tc>
          <w:tcPr>
            <w:tcW w:w="3379" w:type="dxa"/>
          </w:tcPr>
          <w:p w14:paraId="51773679"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5.廢止「行政院原住民族委員會文化園區管理局組織條例」(廢止重點：已改制為「原住民族委員會原住民族文化發展中心」，</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910" w:type="dxa"/>
          </w:tcPr>
          <w:p w14:paraId="6571A11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委員賴士葆</w:t>
            </w:r>
          </w:p>
          <w:p w14:paraId="533CCC3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等18人</w:t>
            </w:r>
          </w:p>
          <w:p w14:paraId="5E74097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115.04.17</w:t>
            </w:r>
          </w:p>
          <w:p w14:paraId="249B004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（11-5-7）</w:t>
            </w:r>
          </w:p>
        </w:tc>
        <w:tc>
          <w:tcPr>
            <w:tcW w:w="1736" w:type="dxa"/>
          </w:tcPr>
          <w:p w14:paraId="69658D0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77E080C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37D80A3F" w14:textId="77777777" w:rsidTr="00331E47">
        <w:tc>
          <w:tcPr>
            <w:tcW w:w="549" w:type="dxa"/>
          </w:tcPr>
          <w:p w14:paraId="3DA844D5"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41</w:t>
            </w:r>
          </w:p>
        </w:tc>
        <w:tc>
          <w:tcPr>
            <w:tcW w:w="3379" w:type="dxa"/>
          </w:tcPr>
          <w:p w14:paraId="7B656FEC"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1.廢止「行政院大陸委員會組織條例」(廢止重點：配合組織調整作業，已改制為「大陸委員會」，該會組織法業於107年7月2日施行，應配合辦理廢止。)</w:t>
            </w:r>
          </w:p>
        </w:tc>
        <w:tc>
          <w:tcPr>
            <w:tcW w:w="1910" w:type="dxa"/>
          </w:tcPr>
          <w:p w14:paraId="7D83BB0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行政院</w:t>
            </w:r>
          </w:p>
          <w:p w14:paraId="41ABC78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113.03.01</w:t>
            </w:r>
          </w:p>
          <w:p w14:paraId="7613405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（11-1-3）</w:t>
            </w:r>
          </w:p>
        </w:tc>
        <w:tc>
          <w:tcPr>
            <w:tcW w:w="1736" w:type="dxa"/>
          </w:tcPr>
          <w:p w14:paraId="5B992F5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1EB8EFE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3EB55013" w14:textId="77777777" w:rsidTr="00331E47">
        <w:tc>
          <w:tcPr>
            <w:tcW w:w="549" w:type="dxa"/>
          </w:tcPr>
          <w:p w14:paraId="760DD57F"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42</w:t>
            </w:r>
          </w:p>
        </w:tc>
        <w:tc>
          <w:tcPr>
            <w:tcW w:w="3379" w:type="dxa"/>
          </w:tcPr>
          <w:p w14:paraId="0BC45556"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2.廢止「行政院大陸委員會組</w:t>
            </w:r>
            <w:r w:rsidRPr="001B6E4D">
              <w:rPr>
                <w:rFonts w:hAnsi="標楷體"/>
                <w:color w:val="000000" w:themeColor="text1"/>
                <w:sz w:val="24"/>
                <w:szCs w:val="24"/>
              </w:rPr>
              <w:lastRenderedPageBreak/>
              <w:t>織條例」(廢止重點：已改制為「大陸委員會」，應配合辦理廢止。)</w:t>
            </w:r>
          </w:p>
        </w:tc>
        <w:tc>
          <w:tcPr>
            <w:tcW w:w="1910" w:type="dxa"/>
          </w:tcPr>
          <w:p w14:paraId="060A82D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委員賴士葆</w:t>
            </w:r>
          </w:p>
          <w:p w14:paraId="5C490C6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等18人</w:t>
            </w:r>
          </w:p>
          <w:p w14:paraId="796C9C2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115.04.17</w:t>
            </w:r>
          </w:p>
          <w:p w14:paraId="56AFB03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（11-5-7）</w:t>
            </w:r>
          </w:p>
        </w:tc>
        <w:tc>
          <w:tcPr>
            <w:tcW w:w="1736" w:type="dxa"/>
          </w:tcPr>
          <w:p w14:paraId="2D07968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司法及法制、</w:t>
            </w:r>
            <w:r w:rsidRPr="001B6E4D">
              <w:rPr>
                <w:rFonts w:ascii="標楷體" w:eastAsia="標楷體" w:hAnsi="標楷體" w:cstheme="minorBidi"/>
                <w:color w:val="000000" w:themeColor="text1"/>
                <w:sz w:val="24"/>
              </w:rPr>
              <w:lastRenderedPageBreak/>
              <w:t>內政</w:t>
            </w:r>
          </w:p>
        </w:tc>
        <w:tc>
          <w:tcPr>
            <w:tcW w:w="1357" w:type="dxa"/>
          </w:tcPr>
          <w:p w14:paraId="1726988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尚未審查</w:t>
            </w:r>
          </w:p>
        </w:tc>
      </w:tr>
      <w:tr w:rsidR="00D37A31" w:rsidRPr="001B6E4D" w14:paraId="763A89B7" w14:textId="77777777" w:rsidTr="00331E47">
        <w:tc>
          <w:tcPr>
            <w:tcW w:w="549" w:type="dxa"/>
          </w:tcPr>
          <w:p w14:paraId="4CCDC01E"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43</w:t>
            </w:r>
          </w:p>
        </w:tc>
        <w:tc>
          <w:tcPr>
            <w:tcW w:w="3379" w:type="dxa"/>
          </w:tcPr>
          <w:p w14:paraId="0C50293A"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1.中央選舉委員會組織法第三</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修正重點：規定選舉委員須一定人數具有原住民族身分。）</w:t>
            </w:r>
          </w:p>
        </w:tc>
        <w:tc>
          <w:tcPr>
            <w:tcW w:w="1910" w:type="dxa"/>
          </w:tcPr>
          <w:p w14:paraId="7A4A3FE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委員鄭天財</w:t>
            </w:r>
          </w:p>
          <w:p w14:paraId="0D81823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proofErr w:type="spellStart"/>
            <w:r w:rsidRPr="001B6E4D">
              <w:rPr>
                <w:rFonts w:ascii="標楷體" w:eastAsia="標楷體" w:hAnsi="標楷體" w:cstheme="minorBidi"/>
                <w:color w:val="000000" w:themeColor="text1"/>
                <w:sz w:val="24"/>
              </w:rPr>
              <w:t>Sra</w:t>
            </w:r>
            <w:proofErr w:type="spellEnd"/>
            <w:r w:rsidRPr="001B6E4D">
              <w:rPr>
                <w:rFonts w:ascii="標楷體" w:eastAsia="標楷體" w:hAnsi="標楷體" w:cstheme="minorBidi"/>
                <w:color w:val="000000" w:themeColor="text1"/>
                <w:sz w:val="24"/>
              </w:rPr>
              <w:t xml:space="preserve"> </w:t>
            </w:r>
            <w:proofErr w:type="spellStart"/>
            <w:r w:rsidRPr="001B6E4D">
              <w:rPr>
                <w:rFonts w:ascii="標楷體" w:eastAsia="標楷體" w:hAnsi="標楷體" w:cstheme="minorBidi"/>
                <w:color w:val="000000" w:themeColor="text1"/>
                <w:sz w:val="24"/>
              </w:rPr>
              <w:t>Kacaw</w:t>
            </w:r>
            <w:proofErr w:type="spellEnd"/>
          </w:p>
          <w:p w14:paraId="3C6D4BF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等18人</w:t>
            </w:r>
          </w:p>
          <w:p w14:paraId="4808810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113.03.29</w:t>
            </w:r>
          </w:p>
          <w:p w14:paraId="094B914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（11-1-7）</w:t>
            </w:r>
          </w:p>
        </w:tc>
        <w:tc>
          <w:tcPr>
            <w:tcW w:w="1736" w:type="dxa"/>
          </w:tcPr>
          <w:p w14:paraId="331174E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3FBDFA5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42D2CCCB" w14:textId="77777777" w:rsidTr="00331E47">
        <w:tc>
          <w:tcPr>
            <w:tcW w:w="549" w:type="dxa"/>
          </w:tcPr>
          <w:p w14:paraId="3EC219B5"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44</w:t>
            </w:r>
          </w:p>
        </w:tc>
        <w:tc>
          <w:tcPr>
            <w:tcW w:w="3379" w:type="dxa"/>
          </w:tcPr>
          <w:p w14:paraId="376101B5"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2.中央選舉委員會組織法第三</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修正重點：中央選舉會委員中應有一名具原住民身分。）</w:t>
            </w:r>
          </w:p>
        </w:tc>
        <w:tc>
          <w:tcPr>
            <w:tcW w:w="1910" w:type="dxa"/>
          </w:tcPr>
          <w:p w14:paraId="3CE81506" w14:textId="3340AE1E"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委員高金素梅</w:t>
            </w:r>
          </w:p>
          <w:p w14:paraId="2E7B61B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等26人</w:t>
            </w:r>
          </w:p>
          <w:p w14:paraId="4E5FAD5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113.03.29</w:t>
            </w:r>
          </w:p>
          <w:p w14:paraId="478923D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（11-1-7）</w:t>
            </w:r>
          </w:p>
        </w:tc>
        <w:tc>
          <w:tcPr>
            <w:tcW w:w="1736" w:type="dxa"/>
          </w:tcPr>
          <w:p w14:paraId="732FDA8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0DDF191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1C0F9C5B" w14:textId="77777777" w:rsidTr="00331E47">
        <w:tc>
          <w:tcPr>
            <w:tcW w:w="549" w:type="dxa"/>
          </w:tcPr>
          <w:p w14:paraId="2C075320"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45</w:t>
            </w:r>
          </w:p>
        </w:tc>
        <w:tc>
          <w:tcPr>
            <w:tcW w:w="3379" w:type="dxa"/>
          </w:tcPr>
          <w:p w14:paraId="300CC220"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1.中央選舉委員會組織法第一條、第二條及第六</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修正重點：將選政、選</w:t>
            </w:r>
            <w:proofErr w:type="gramStart"/>
            <w:r w:rsidRPr="001B6E4D">
              <w:rPr>
                <w:rFonts w:hAnsi="標楷體"/>
                <w:color w:val="000000" w:themeColor="text1"/>
                <w:sz w:val="24"/>
                <w:szCs w:val="24"/>
              </w:rPr>
              <w:t>務</w:t>
            </w:r>
            <w:proofErr w:type="gramEnd"/>
            <w:r w:rsidRPr="001B6E4D">
              <w:rPr>
                <w:rFonts w:hAnsi="標楷體"/>
                <w:color w:val="000000" w:themeColor="text1"/>
                <w:sz w:val="24"/>
                <w:szCs w:val="24"/>
              </w:rPr>
              <w:t>事權均統籌在中央選舉委員會。）</w:t>
            </w:r>
          </w:p>
        </w:tc>
        <w:tc>
          <w:tcPr>
            <w:tcW w:w="1910" w:type="dxa"/>
          </w:tcPr>
          <w:p w14:paraId="748014B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委員徐欣瑩</w:t>
            </w:r>
          </w:p>
          <w:p w14:paraId="70A8DC6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等17人</w:t>
            </w:r>
          </w:p>
          <w:p w14:paraId="191BF60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113.05.03</w:t>
            </w:r>
          </w:p>
          <w:p w14:paraId="60B9E3D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（11-1-12）</w:t>
            </w:r>
          </w:p>
        </w:tc>
        <w:tc>
          <w:tcPr>
            <w:tcW w:w="1736" w:type="dxa"/>
          </w:tcPr>
          <w:p w14:paraId="5667DBD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6969D4A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13204A70" w14:textId="77777777" w:rsidTr="00331E47">
        <w:tc>
          <w:tcPr>
            <w:tcW w:w="549" w:type="dxa"/>
          </w:tcPr>
          <w:p w14:paraId="1DEDFD71"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46</w:t>
            </w:r>
          </w:p>
        </w:tc>
        <w:tc>
          <w:tcPr>
            <w:tcW w:w="3379" w:type="dxa"/>
          </w:tcPr>
          <w:p w14:paraId="4E209C3C"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2.中央選舉委員會組織法第二</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修正重點：刪除中選會對於政黨競選費用補貼之職掌。）</w:t>
            </w:r>
          </w:p>
        </w:tc>
        <w:tc>
          <w:tcPr>
            <w:tcW w:w="1910" w:type="dxa"/>
          </w:tcPr>
          <w:p w14:paraId="54168EE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委員伍麗華</w:t>
            </w:r>
          </w:p>
          <w:p w14:paraId="0074027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proofErr w:type="spellStart"/>
            <w:r w:rsidRPr="001B6E4D">
              <w:rPr>
                <w:rFonts w:ascii="標楷體" w:eastAsia="標楷體" w:hAnsi="標楷體" w:cstheme="minorBidi"/>
                <w:color w:val="000000" w:themeColor="text1"/>
                <w:sz w:val="24"/>
              </w:rPr>
              <w:t>Saidhai</w:t>
            </w:r>
            <w:proofErr w:type="spellEnd"/>
            <w:r w:rsidRPr="001B6E4D">
              <w:rPr>
                <w:rFonts w:ascii="標楷體" w:eastAsia="標楷體" w:hAnsi="標楷體" w:cstheme="minorBidi"/>
                <w:color w:val="000000" w:themeColor="text1"/>
                <w:sz w:val="24"/>
              </w:rPr>
              <w:t>‧</w:t>
            </w:r>
          </w:p>
          <w:p w14:paraId="7D904A7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proofErr w:type="spellStart"/>
            <w:r w:rsidRPr="001B6E4D">
              <w:rPr>
                <w:rFonts w:ascii="標楷體" w:eastAsia="標楷體" w:hAnsi="標楷體" w:cstheme="minorBidi"/>
                <w:color w:val="000000" w:themeColor="text1"/>
                <w:sz w:val="24"/>
              </w:rPr>
              <w:t>Tahovecahe</w:t>
            </w:r>
            <w:proofErr w:type="spellEnd"/>
          </w:p>
          <w:p w14:paraId="2385243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等19人</w:t>
            </w:r>
          </w:p>
          <w:p w14:paraId="45CA98A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114.05.16</w:t>
            </w:r>
          </w:p>
          <w:p w14:paraId="084F66F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（11-3-12）</w:t>
            </w:r>
          </w:p>
        </w:tc>
        <w:tc>
          <w:tcPr>
            <w:tcW w:w="1736" w:type="dxa"/>
          </w:tcPr>
          <w:p w14:paraId="692D9D7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15FFD87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25413980" w14:textId="77777777" w:rsidTr="00331E47">
        <w:tc>
          <w:tcPr>
            <w:tcW w:w="549" w:type="dxa"/>
          </w:tcPr>
          <w:p w14:paraId="58D4722B"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47</w:t>
            </w:r>
          </w:p>
        </w:tc>
        <w:tc>
          <w:tcPr>
            <w:tcW w:w="3379" w:type="dxa"/>
          </w:tcPr>
          <w:p w14:paraId="692CC066"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中央選舉委員會組織法第四</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修正重點：代理主任委員之代理期間不得逾6個月，且卸任代理主任委員之委員不得再代理主任委員。）</w:t>
            </w:r>
          </w:p>
        </w:tc>
        <w:tc>
          <w:tcPr>
            <w:tcW w:w="1910" w:type="dxa"/>
          </w:tcPr>
          <w:p w14:paraId="74DDEEA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委員翁曉玲</w:t>
            </w:r>
          </w:p>
          <w:p w14:paraId="0119889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等17人</w:t>
            </w:r>
          </w:p>
          <w:p w14:paraId="4B98B49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115.05.29</w:t>
            </w:r>
          </w:p>
          <w:p w14:paraId="3C54A1C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（11-5-12）</w:t>
            </w:r>
          </w:p>
        </w:tc>
        <w:tc>
          <w:tcPr>
            <w:tcW w:w="1736" w:type="dxa"/>
          </w:tcPr>
          <w:p w14:paraId="15CF38F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49C853B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20B9A4DD" w14:textId="77777777" w:rsidTr="00331E47">
        <w:tc>
          <w:tcPr>
            <w:tcW w:w="549" w:type="dxa"/>
          </w:tcPr>
          <w:p w14:paraId="5247B40C"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48</w:t>
            </w:r>
          </w:p>
        </w:tc>
        <w:tc>
          <w:tcPr>
            <w:tcW w:w="3379" w:type="dxa"/>
          </w:tcPr>
          <w:p w14:paraId="23D31451"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中央選舉委員會組織法刪除第十二條條文草案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刪除重點：條文已失時效性，</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提案刪除。）</w:t>
            </w:r>
          </w:p>
        </w:tc>
        <w:tc>
          <w:tcPr>
            <w:tcW w:w="1910" w:type="dxa"/>
          </w:tcPr>
          <w:p w14:paraId="73BF26B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委員傅</w:t>
            </w:r>
            <w:r w:rsidRPr="001B6E4D">
              <w:rPr>
                <w:rFonts w:ascii="標楷體" w:eastAsia="標楷體" w:hAnsi="標楷體" w:cstheme="minorBidi" w:hint="eastAsia"/>
                <w:color w:val="000000" w:themeColor="text1"/>
                <w:sz w:val="24"/>
              </w:rPr>
              <w:t>崐萁</w:t>
            </w:r>
          </w:p>
          <w:p w14:paraId="073E0D2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hint="eastAsia"/>
                <w:color w:val="000000" w:themeColor="text1"/>
                <w:sz w:val="24"/>
              </w:rPr>
              <w:t>等</w:t>
            </w:r>
            <w:r w:rsidRPr="001B6E4D">
              <w:rPr>
                <w:rFonts w:ascii="標楷體" w:eastAsia="標楷體" w:hAnsi="標楷體" w:cstheme="minorBidi"/>
                <w:color w:val="000000" w:themeColor="text1"/>
                <w:sz w:val="24"/>
              </w:rPr>
              <w:t>18人</w:t>
            </w:r>
          </w:p>
          <w:p w14:paraId="728B91F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115.06.12</w:t>
            </w:r>
          </w:p>
          <w:p w14:paraId="6F6BBA2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hint="eastAsia"/>
                <w:color w:val="000000" w:themeColor="text1"/>
                <w:sz w:val="24"/>
              </w:rPr>
              <w:t>（</w:t>
            </w:r>
            <w:r w:rsidRPr="001B6E4D">
              <w:rPr>
                <w:rFonts w:ascii="標楷體" w:eastAsia="標楷體" w:hAnsi="標楷體" w:cstheme="minorBidi"/>
                <w:color w:val="000000" w:themeColor="text1"/>
                <w:sz w:val="24"/>
              </w:rPr>
              <w:t>11-5-14）</w:t>
            </w:r>
          </w:p>
        </w:tc>
        <w:tc>
          <w:tcPr>
            <w:tcW w:w="1736" w:type="dxa"/>
          </w:tcPr>
          <w:p w14:paraId="12D122B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7C2E8BE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088EC961" w14:textId="77777777" w:rsidTr="00331E47">
        <w:tc>
          <w:tcPr>
            <w:tcW w:w="549" w:type="dxa"/>
          </w:tcPr>
          <w:p w14:paraId="0CF66FA8"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49</w:t>
            </w:r>
          </w:p>
        </w:tc>
        <w:tc>
          <w:tcPr>
            <w:tcW w:w="3379" w:type="dxa"/>
          </w:tcPr>
          <w:p w14:paraId="65262A70"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內政部組織法第二</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修正重點：將選政、選</w:t>
            </w:r>
            <w:proofErr w:type="gramStart"/>
            <w:r w:rsidRPr="001B6E4D">
              <w:rPr>
                <w:rFonts w:hAnsi="標楷體"/>
                <w:color w:val="000000" w:themeColor="text1"/>
                <w:sz w:val="24"/>
                <w:szCs w:val="24"/>
              </w:rPr>
              <w:t>務</w:t>
            </w:r>
            <w:proofErr w:type="gramEnd"/>
            <w:r w:rsidRPr="001B6E4D">
              <w:rPr>
                <w:rFonts w:hAnsi="標楷體"/>
                <w:color w:val="000000" w:themeColor="text1"/>
                <w:sz w:val="24"/>
                <w:szCs w:val="24"/>
              </w:rPr>
              <w:t>事權均統籌在中央選舉委員會。）</w:t>
            </w:r>
          </w:p>
        </w:tc>
        <w:tc>
          <w:tcPr>
            <w:tcW w:w="1910" w:type="dxa"/>
          </w:tcPr>
          <w:p w14:paraId="0437038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委員徐欣瑩</w:t>
            </w:r>
          </w:p>
          <w:p w14:paraId="4D8FEB2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253DE49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113.05.03</w:t>
            </w:r>
          </w:p>
          <w:p w14:paraId="5277DE2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（11-1-12）</w:t>
            </w:r>
          </w:p>
        </w:tc>
        <w:tc>
          <w:tcPr>
            <w:tcW w:w="1736" w:type="dxa"/>
          </w:tcPr>
          <w:p w14:paraId="5B937CA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4422DD4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5CB0CAE3" w14:textId="77777777" w:rsidTr="00331E47">
        <w:tc>
          <w:tcPr>
            <w:tcW w:w="549" w:type="dxa"/>
          </w:tcPr>
          <w:p w14:paraId="68D03BA5"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50</w:t>
            </w:r>
          </w:p>
        </w:tc>
        <w:tc>
          <w:tcPr>
            <w:tcW w:w="3379" w:type="dxa"/>
          </w:tcPr>
          <w:p w14:paraId="178D05A1"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內政部國土管理署組織法第二</w:t>
            </w:r>
            <w:proofErr w:type="gramStart"/>
            <w:r w:rsidRPr="001B6E4D">
              <w:rPr>
                <w:rFonts w:hAnsi="標楷體"/>
                <w:color w:val="000000" w:themeColor="text1"/>
                <w:sz w:val="24"/>
                <w:szCs w:val="24"/>
              </w:rPr>
              <w:lastRenderedPageBreak/>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修正重點：增列「公園政策、制度、計畫、建設與管理之規劃、審核、督導及推動」為掌理事項。）</w:t>
            </w:r>
          </w:p>
        </w:tc>
        <w:tc>
          <w:tcPr>
            <w:tcW w:w="1910" w:type="dxa"/>
          </w:tcPr>
          <w:p w14:paraId="181DBF6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委員張雅琳</w:t>
            </w:r>
          </w:p>
          <w:p w14:paraId="48451BC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等19人</w:t>
            </w:r>
          </w:p>
          <w:p w14:paraId="1E46713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113.11.08</w:t>
            </w:r>
          </w:p>
          <w:p w14:paraId="0F72040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（11-2-8）</w:t>
            </w:r>
          </w:p>
        </w:tc>
        <w:tc>
          <w:tcPr>
            <w:tcW w:w="1736" w:type="dxa"/>
          </w:tcPr>
          <w:p w14:paraId="2410569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司法及法制、</w:t>
            </w:r>
            <w:r w:rsidRPr="001B6E4D">
              <w:rPr>
                <w:rFonts w:ascii="標楷體" w:eastAsia="標楷體" w:hAnsi="標楷體" w:cstheme="minorBidi"/>
                <w:color w:val="000000" w:themeColor="text1"/>
                <w:sz w:val="24"/>
              </w:rPr>
              <w:lastRenderedPageBreak/>
              <w:t>內政</w:t>
            </w:r>
          </w:p>
        </w:tc>
        <w:tc>
          <w:tcPr>
            <w:tcW w:w="1357" w:type="dxa"/>
          </w:tcPr>
          <w:p w14:paraId="21D753A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尚未審查</w:t>
            </w:r>
          </w:p>
        </w:tc>
      </w:tr>
      <w:tr w:rsidR="00D37A31" w:rsidRPr="001B6E4D" w14:paraId="5EC64FE5" w14:textId="77777777" w:rsidTr="00331E47">
        <w:tc>
          <w:tcPr>
            <w:tcW w:w="549" w:type="dxa"/>
          </w:tcPr>
          <w:p w14:paraId="05646087"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51</w:t>
            </w:r>
          </w:p>
        </w:tc>
        <w:tc>
          <w:tcPr>
            <w:tcW w:w="3379" w:type="dxa"/>
          </w:tcPr>
          <w:p w14:paraId="76D7CA65"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1.原住民族委員會組織法增訂第五條之</w:t>
            </w:r>
            <w:proofErr w:type="gramStart"/>
            <w:r w:rsidRPr="001B6E4D">
              <w:rPr>
                <w:rFonts w:hAnsi="標楷體"/>
                <w:color w:val="000000" w:themeColor="text1"/>
                <w:sz w:val="24"/>
                <w:szCs w:val="24"/>
              </w:rPr>
              <w:t>一</w:t>
            </w:r>
            <w:proofErr w:type="gramEnd"/>
            <w:r w:rsidRPr="001B6E4D">
              <w:rPr>
                <w:rFonts w:hAnsi="標楷體"/>
                <w:color w:val="000000" w:themeColor="text1"/>
                <w:sz w:val="24"/>
                <w:szCs w:val="24"/>
              </w:rPr>
              <w:t>條文草案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增訂重點：土地管理處改制為土地管理署。）</w:t>
            </w:r>
          </w:p>
        </w:tc>
        <w:tc>
          <w:tcPr>
            <w:tcW w:w="1910" w:type="dxa"/>
          </w:tcPr>
          <w:p w14:paraId="4F7C7D1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委員陳瑩</w:t>
            </w:r>
          </w:p>
          <w:p w14:paraId="75D8246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等17人</w:t>
            </w:r>
          </w:p>
          <w:p w14:paraId="7FF8D0E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114.03.21</w:t>
            </w:r>
          </w:p>
          <w:p w14:paraId="0773910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（11-3-6）</w:t>
            </w:r>
          </w:p>
        </w:tc>
        <w:tc>
          <w:tcPr>
            <w:tcW w:w="1736" w:type="dxa"/>
          </w:tcPr>
          <w:p w14:paraId="778F824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578685C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661D0710" w14:textId="77777777" w:rsidTr="00331E47">
        <w:tc>
          <w:tcPr>
            <w:tcW w:w="549" w:type="dxa"/>
          </w:tcPr>
          <w:p w14:paraId="78F3FE06"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52</w:t>
            </w:r>
          </w:p>
        </w:tc>
        <w:tc>
          <w:tcPr>
            <w:tcW w:w="3379" w:type="dxa"/>
          </w:tcPr>
          <w:p w14:paraId="4365135B"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2.原住民族委員會組織法第三條、第四條及第六條之</w:t>
            </w:r>
            <w:proofErr w:type="gramStart"/>
            <w:r w:rsidRPr="001B6E4D">
              <w:rPr>
                <w:rFonts w:hAnsi="標楷體"/>
                <w:color w:val="000000" w:themeColor="text1"/>
                <w:sz w:val="24"/>
                <w:szCs w:val="24"/>
              </w:rPr>
              <w:t>一</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修正重點：主委兼任行政院政務委員；明定族群委員產生之公開招募、</w:t>
            </w:r>
            <w:proofErr w:type="gramStart"/>
            <w:r w:rsidRPr="001B6E4D">
              <w:rPr>
                <w:rFonts w:hAnsi="標楷體"/>
                <w:color w:val="000000" w:themeColor="text1"/>
                <w:sz w:val="24"/>
                <w:szCs w:val="24"/>
              </w:rPr>
              <w:t>遴</w:t>
            </w:r>
            <w:proofErr w:type="gramEnd"/>
            <w:r w:rsidRPr="001B6E4D">
              <w:rPr>
                <w:rFonts w:hAnsi="標楷體"/>
                <w:color w:val="000000" w:themeColor="text1"/>
                <w:sz w:val="24"/>
                <w:szCs w:val="24"/>
              </w:rPr>
              <w:t>聘條件、審查程序及資格標準等相關規範；增訂設置次級機關規定。）</w:t>
            </w:r>
          </w:p>
        </w:tc>
        <w:tc>
          <w:tcPr>
            <w:tcW w:w="1910" w:type="dxa"/>
          </w:tcPr>
          <w:p w14:paraId="17A4688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委員高金素梅</w:t>
            </w:r>
          </w:p>
          <w:p w14:paraId="194B783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等19人</w:t>
            </w:r>
          </w:p>
          <w:p w14:paraId="7F4F6FA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114.08.15</w:t>
            </w:r>
          </w:p>
          <w:p w14:paraId="257C4BA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（11-3-25）</w:t>
            </w:r>
          </w:p>
        </w:tc>
        <w:tc>
          <w:tcPr>
            <w:tcW w:w="1736" w:type="dxa"/>
          </w:tcPr>
          <w:p w14:paraId="2C6F908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4F074CE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5361AEF4" w14:textId="77777777" w:rsidTr="00331E47">
        <w:tc>
          <w:tcPr>
            <w:tcW w:w="549" w:type="dxa"/>
          </w:tcPr>
          <w:p w14:paraId="02A4DAEA"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53</w:t>
            </w:r>
          </w:p>
        </w:tc>
        <w:tc>
          <w:tcPr>
            <w:tcW w:w="3379" w:type="dxa"/>
          </w:tcPr>
          <w:p w14:paraId="096EFE48"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3.原住民族委員會組織法第三條、第四條及第五條之</w:t>
            </w:r>
            <w:proofErr w:type="gramStart"/>
            <w:r w:rsidRPr="001B6E4D">
              <w:rPr>
                <w:rFonts w:hAnsi="標楷體"/>
                <w:color w:val="000000" w:themeColor="text1"/>
                <w:sz w:val="24"/>
                <w:szCs w:val="24"/>
              </w:rPr>
              <w:t>一</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修正重點：增設土地管理署，並使主委兼任行政院政務委員、各族族群代表得依法聘用之。）</w:t>
            </w:r>
          </w:p>
        </w:tc>
        <w:tc>
          <w:tcPr>
            <w:tcW w:w="1910" w:type="dxa"/>
          </w:tcPr>
          <w:p w14:paraId="021DB74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委員伍麗華</w:t>
            </w:r>
          </w:p>
          <w:p w14:paraId="490CBBD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proofErr w:type="spellStart"/>
            <w:r w:rsidRPr="001B6E4D">
              <w:rPr>
                <w:rFonts w:ascii="標楷體" w:eastAsia="標楷體" w:hAnsi="標楷體" w:cstheme="minorBidi"/>
                <w:color w:val="000000" w:themeColor="text1"/>
                <w:sz w:val="24"/>
              </w:rPr>
              <w:t>Saidhai</w:t>
            </w:r>
            <w:proofErr w:type="spellEnd"/>
            <w:r w:rsidRPr="001B6E4D">
              <w:rPr>
                <w:rFonts w:ascii="標楷體" w:eastAsia="標楷體" w:hAnsi="標楷體" w:cstheme="minorBidi"/>
                <w:color w:val="000000" w:themeColor="text1"/>
                <w:sz w:val="24"/>
              </w:rPr>
              <w:t>‧</w:t>
            </w:r>
          </w:p>
          <w:p w14:paraId="088F9D6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proofErr w:type="spellStart"/>
            <w:r w:rsidRPr="001B6E4D">
              <w:rPr>
                <w:rFonts w:ascii="標楷體" w:eastAsia="標楷體" w:hAnsi="標楷體" w:cstheme="minorBidi"/>
                <w:color w:val="000000" w:themeColor="text1"/>
                <w:sz w:val="24"/>
              </w:rPr>
              <w:t>Tahovecahe</w:t>
            </w:r>
            <w:proofErr w:type="spellEnd"/>
          </w:p>
          <w:p w14:paraId="0897328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等18人</w:t>
            </w:r>
          </w:p>
          <w:p w14:paraId="2B79DC9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114.08.29</w:t>
            </w:r>
          </w:p>
          <w:p w14:paraId="7D0FDF72"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（11-3-27）</w:t>
            </w:r>
          </w:p>
        </w:tc>
        <w:tc>
          <w:tcPr>
            <w:tcW w:w="1736" w:type="dxa"/>
          </w:tcPr>
          <w:p w14:paraId="64FC15C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35DBFC0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7C600322" w14:textId="77777777" w:rsidTr="00331E47">
        <w:tc>
          <w:tcPr>
            <w:tcW w:w="549" w:type="dxa"/>
          </w:tcPr>
          <w:p w14:paraId="6581A8DF"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54</w:t>
            </w:r>
          </w:p>
        </w:tc>
        <w:tc>
          <w:tcPr>
            <w:tcW w:w="3379" w:type="dxa"/>
          </w:tcPr>
          <w:p w14:paraId="3A3851DF"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4.原住民族委員會組織法增訂第五條之</w:t>
            </w:r>
            <w:proofErr w:type="gramStart"/>
            <w:r w:rsidRPr="001B6E4D">
              <w:rPr>
                <w:rFonts w:hAnsi="標楷體"/>
                <w:color w:val="000000" w:themeColor="text1"/>
                <w:sz w:val="24"/>
                <w:szCs w:val="24"/>
              </w:rPr>
              <w:t>一</w:t>
            </w:r>
            <w:proofErr w:type="gramEnd"/>
            <w:r w:rsidRPr="001B6E4D">
              <w:rPr>
                <w:rFonts w:hAnsi="標楷體"/>
                <w:color w:val="000000" w:themeColor="text1"/>
                <w:sz w:val="24"/>
                <w:szCs w:val="24"/>
              </w:rPr>
              <w:t>條文草案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增訂重點：得因業務需求，報請行政院同意後，派員於駐外機構執行原住民族外交相關事務。）</w:t>
            </w:r>
          </w:p>
        </w:tc>
        <w:tc>
          <w:tcPr>
            <w:tcW w:w="1910" w:type="dxa"/>
          </w:tcPr>
          <w:p w14:paraId="1DA9B034"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委員陳瑩</w:t>
            </w:r>
          </w:p>
          <w:p w14:paraId="11D98CB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等18人</w:t>
            </w:r>
          </w:p>
          <w:p w14:paraId="61F8097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114.09.30</w:t>
            </w:r>
          </w:p>
          <w:p w14:paraId="038F2067"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（11-4-2）</w:t>
            </w:r>
          </w:p>
        </w:tc>
        <w:tc>
          <w:tcPr>
            <w:tcW w:w="1736" w:type="dxa"/>
          </w:tcPr>
          <w:p w14:paraId="24DAB58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7573F3E1"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75F935C4" w14:textId="77777777" w:rsidTr="00331E47">
        <w:tc>
          <w:tcPr>
            <w:tcW w:w="549" w:type="dxa"/>
          </w:tcPr>
          <w:p w14:paraId="0A652E0F"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55</w:t>
            </w:r>
          </w:p>
        </w:tc>
        <w:tc>
          <w:tcPr>
            <w:tcW w:w="3379" w:type="dxa"/>
          </w:tcPr>
          <w:p w14:paraId="66A4AEEB"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1.海洋委員會海巡署組織法第三條及第十一</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w:t>
            </w:r>
            <w:proofErr w:type="gramStart"/>
            <w:r w:rsidRPr="001B6E4D">
              <w:rPr>
                <w:rFonts w:hAnsi="標楷體"/>
                <w:color w:val="000000" w:themeColor="text1"/>
                <w:sz w:val="24"/>
                <w:szCs w:val="24"/>
              </w:rPr>
              <w:t>增置副署長</w:t>
            </w:r>
            <w:proofErr w:type="gramEnd"/>
            <w:r w:rsidRPr="001B6E4D">
              <w:rPr>
                <w:rFonts w:hAnsi="標楷體"/>
                <w:color w:val="000000" w:themeColor="text1"/>
                <w:sz w:val="24"/>
                <w:szCs w:val="24"/>
              </w:rPr>
              <w:t>1人。）</w:t>
            </w:r>
          </w:p>
        </w:tc>
        <w:tc>
          <w:tcPr>
            <w:tcW w:w="1910" w:type="dxa"/>
          </w:tcPr>
          <w:p w14:paraId="56D7536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委員郭昱晴</w:t>
            </w:r>
          </w:p>
          <w:p w14:paraId="1DA83F3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5A8DC07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115.04.17</w:t>
            </w:r>
          </w:p>
          <w:p w14:paraId="0B1CE0B6"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（11-5-7）</w:t>
            </w:r>
          </w:p>
        </w:tc>
        <w:tc>
          <w:tcPr>
            <w:tcW w:w="1736" w:type="dxa"/>
          </w:tcPr>
          <w:p w14:paraId="6DE54CE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10C523C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74B8B8FF" w14:textId="77777777" w:rsidTr="00331E47">
        <w:tc>
          <w:tcPr>
            <w:tcW w:w="549" w:type="dxa"/>
          </w:tcPr>
          <w:p w14:paraId="7490A92B"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56</w:t>
            </w:r>
          </w:p>
        </w:tc>
        <w:tc>
          <w:tcPr>
            <w:tcW w:w="3379" w:type="dxa"/>
          </w:tcPr>
          <w:p w14:paraId="6CB6D852"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2.海洋委員會海巡署組織法第三條及第十一</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w:t>
            </w:r>
            <w:proofErr w:type="gramStart"/>
            <w:r w:rsidRPr="001B6E4D">
              <w:rPr>
                <w:rFonts w:hAnsi="標楷體"/>
                <w:color w:val="000000" w:themeColor="text1"/>
                <w:sz w:val="24"/>
                <w:szCs w:val="24"/>
              </w:rPr>
              <w:t>增置副署長</w:t>
            </w:r>
            <w:proofErr w:type="gramEnd"/>
            <w:r w:rsidRPr="001B6E4D">
              <w:rPr>
                <w:rFonts w:hAnsi="標楷體"/>
                <w:color w:val="000000" w:themeColor="text1"/>
                <w:sz w:val="24"/>
                <w:szCs w:val="24"/>
              </w:rPr>
              <w:t>1人。）</w:t>
            </w:r>
          </w:p>
        </w:tc>
        <w:tc>
          <w:tcPr>
            <w:tcW w:w="1910" w:type="dxa"/>
          </w:tcPr>
          <w:p w14:paraId="3D95ABD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委員劉建國</w:t>
            </w:r>
          </w:p>
          <w:p w14:paraId="31ED254D"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71BCD38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115.04.24</w:t>
            </w:r>
          </w:p>
          <w:p w14:paraId="740C236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（11-5-8）</w:t>
            </w:r>
          </w:p>
        </w:tc>
        <w:tc>
          <w:tcPr>
            <w:tcW w:w="1736" w:type="dxa"/>
          </w:tcPr>
          <w:p w14:paraId="10B82C2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0481702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4325CF6B" w14:textId="77777777" w:rsidTr="00331E47">
        <w:tc>
          <w:tcPr>
            <w:tcW w:w="549" w:type="dxa"/>
          </w:tcPr>
          <w:p w14:paraId="6D9E0240"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57</w:t>
            </w:r>
          </w:p>
        </w:tc>
        <w:tc>
          <w:tcPr>
            <w:tcW w:w="3379" w:type="dxa"/>
          </w:tcPr>
          <w:p w14:paraId="61C93594"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3.海洋委員會海巡署組織法第三條及第十一</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修正重點：增設副署長1人</w:t>
            </w:r>
            <w:r w:rsidRPr="001B6E4D">
              <w:rPr>
                <w:rFonts w:hAnsi="標楷體"/>
                <w:color w:val="000000" w:themeColor="text1"/>
                <w:sz w:val="24"/>
                <w:szCs w:val="24"/>
              </w:rPr>
              <w:lastRenderedPageBreak/>
              <w:t>。）</w:t>
            </w:r>
          </w:p>
        </w:tc>
        <w:tc>
          <w:tcPr>
            <w:tcW w:w="1910" w:type="dxa"/>
          </w:tcPr>
          <w:p w14:paraId="7F1950F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委員黃捷</w:t>
            </w:r>
          </w:p>
          <w:p w14:paraId="09452580"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等23人</w:t>
            </w:r>
          </w:p>
          <w:p w14:paraId="3CBC517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115.04.24</w:t>
            </w:r>
          </w:p>
          <w:p w14:paraId="1F8E951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（11-5-8）</w:t>
            </w:r>
          </w:p>
        </w:tc>
        <w:tc>
          <w:tcPr>
            <w:tcW w:w="1736" w:type="dxa"/>
          </w:tcPr>
          <w:p w14:paraId="3BF9FF5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lastRenderedPageBreak/>
              <w:t>司法及法制、內政</w:t>
            </w:r>
          </w:p>
        </w:tc>
        <w:tc>
          <w:tcPr>
            <w:tcW w:w="1357" w:type="dxa"/>
          </w:tcPr>
          <w:p w14:paraId="00C5E66F"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02445FB3" w14:textId="77777777" w:rsidTr="00331E47">
        <w:tc>
          <w:tcPr>
            <w:tcW w:w="549" w:type="dxa"/>
          </w:tcPr>
          <w:p w14:paraId="1C932453"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58</w:t>
            </w:r>
          </w:p>
        </w:tc>
        <w:tc>
          <w:tcPr>
            <w:tcW w:w="3379" w:type="dxa"/>
          </w:tcPr>
          <w:p w14:paraId="53E54B09"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4.海洋委員會海巡署組織法第三條及第十一</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修正重點：增設副署長1人。）</w:t>
            </w:r>
          </w:p>
        </w:tc>
        <w:tc>
          <w:tcPr>
            <w:tcW w:w="1910" w:type="dxa"/>
          </w:tcPr>
          <w:p w14:paraId="1E7C6BA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委員許宇</w:t>
            </w:r>
            <w:proofErr w:type="gramStart"/>
            <w:r w:rsidRPr="001B6E4D">
              <w:rPr>
                <w:rFonts w:ascii="標楷體" w:eastAsia="標楷體" w:hAnsi="標楷體" w:cstheme="minorBidi"/>
                <w:color w:val="000000" w:themeColor="text1"/>
                <w:sz w:val="24"/>
              </w:rPr>
              <w:t>甄</w:t>
            </w:r>
            <w:proofErr w:type="gramEnd"/>
          </w:p>
          <w:p w14:paraId="263B38F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等19人</w:t>
            </w:r>
          </w:p>
          <w:p w14:paraId="49053E4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115.05.08</w:t>
            </w:r>
          </w:p>
          <w:p w14:paraId="693264B5"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（11-5-9）</w:t>
            </w:r>
          </w:p>
        </w:tc>
        <w:tc>
          <w:tcPr>
            <w:tcW w:w="1736" w:type="dxa"/>
          </w:tcPr>
          <w:p w14:paraId="4D4E61D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530BAEF9"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r w:rsidR="00D37A31" w:rsidRPr="001B6E4D" w14:paraId="6E5CC84E" w14:textId="77777777" w:rsidTr="00331E47">
        <w:tc>
          <w:tcPr>
            <w:tcW w:w="549" w:type="dxa"/>
          </w:tcPr>
          <w:p w14:paraId="14181652" w14:textId="77777777" w:rsidR="00D37A31" w:rsidRPr="001B6E4D" w:rsidRDefault="00D37A31" w:rsidP="003D1018">
            <w:pPr>
              <w:overflowPunct w:val="0"/>
              <w:jc w:val="center"/>
              <w:rPr>
                <w:rFonts w:ascii="標楷體" w:eastAsia="標楷體" w:hAnsi="標楷體"/>
                <w:b/>
                <w:sz w:val="24"/>
              </w:rPr>
            </w:pPr>
            <w:r w:rsidRPr="001B6E4D">
              <w:rPr>
                <w:rFonts w:ascii="標楷體" w:eastAsia="標楷體" w:hAnsi="標楷體"/>
                <w:sz w:val="24"/>
              </w:rPr>
              <w:t>59</w:t>
            </w:r>
          </w:p>
        </w:tc>
        <w:tc>
          <w:tcPr>
            <w:tcW w:w="3379" w:type="dxa"/>
          </w:tcPr>
          <w:p w14:paraId="7B1CF56B" w14:textId="77777777" w:rsidR="00D37A31" w:rsidRPr="001B6E4D" w:rsidRDefault="00D37A31"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5.海洋委員會海巡署組織法第三條及第十一</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w:t>
            </w:r>
            <w:proofErr w:type="gramStart"/>
            <w:r w:rsidRPr="001B6E4D">
              <w:rPr>
                <w:rFonts w:hAnsi="標楷體"/>
                <w:color w:val="000000" w:themeColor="text1"/>
                <w:sz w:val="24"/>
                <w:szCs w:val="24"/>
              </w:rPr>
              <w:t>增置副署長</w:t>
            </w:r>
            <w:proofErr w:type="gramEnd"/>
            <w:r w:rsidRPr="001B6E4D">
              <w:rPr>
                <w:rFonts w:hAnsi="標楷體"/>
                <w:color w:val="000000" w:themeColor="text1"/>
                <w:sz w:val="24"/>
                <w:szCs w:val="24"/>
              </w:rPr>
              <w:t>1人。）</w:t>
            </w:r>
          </w:p>
        </w:tc>
        <w:tc>
          <w:tcPr>
            <w:tcW w:w="1910" w:type="dxa"/>
          </w:tcPr>
          <w:p w14:paraId="21001278"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委員林岱樺</w:t>
            </w:r>
          </w:p>
          <w:p w14:paraId="1AD13E2B"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等16人</w:t>
            </w:r>
          </w:p>
          <w:p w14:paraId="684AB06A"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115.05.29</w:t>
            </w:r>
          </w:p>
          <w:p w14:paraId="145EC693"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（11-5-12）</w:t>
            </w:r>
          </w:p>
        </w:tc>
        <w:tc>
          <w:tcPr>
            <w:tcW w:w="1736" w:type="dxa"/>
          </w:tcPr>
          <w:p w14:paraId="12F4B6BE"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司法及法制、內政</w:t>
            </w:r>
          </w:p>
        </w:tc>
        <w:tc>
          <w:tcPr>
            <w:tcW w:w="1357" w:type="dxa"/>
          </w:tcPr>
          <w:p w14:paraId="5113597C" w14:textId="77777777" w:rsidR="00D37A31" w:rsidRPr="001B6E4D" w:rsidRDefault="00D37A31" w:rsidP="003D1018">
            <w:pPr>
              <w:kinsoku w:val="0"/>
              <w:overflowPunct w:val="0"/>
              <w:topLinePunct/>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bl>
    <w:p w14:paraId="203C7C1A" w14:textId="5787984B" w:rsidR="00715947" w:rsidRPr="001B6E4D" w:rsidRDefault="009B28A5"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bookmarkStart w:id="276" w:name="_Hlk189470174"/>
      <w:bookmarkStart w:id="277" w:name="_Toc361217331"/>
      <w:bookmarkStart w:id="278" w:name="_Toc362968391"/>
      <w:bookmarkStart w:id="279" w:name="_Toc136594842"/>
      <w:r w:rsidRPr="001B6E4D">
        <w:rPr>
          <w:rFonts w:hint="eastAsia"/>
          <w:color w:val="000000" w:themeColor="text1"/>
          <w:shd w:val="clear" w:color="auto" w:fill="FFFFFF" w:themeFill="background1"/>
        </w:rPr>
        <w:t>3</w:t>
      </w:r>
      <w:r w:rsidR="00772EE4" w:rsidRPr="001B6E4D">
        <w:rPr>
          <w:color w:val="000000" w:themeColor="text1"/>
          <w:shd w:val="clear" w:color="auto" w:fill="FFFFFF" w:themeFill="background1"/>
        </w:rPr>
        <w:t>.本會、</w:t>
      </w:r>
      <w:r w:rsidR="00772EE4" w:rsidRPr="001B6E4D">
        <w:rPr>
          <w:rFonts w:hint="eastAsia"/>
          <w:color w:val="000000" w:themeColor="text1"/>
          <w:shd w:val="clear" w:color="auto" w:fill="FFFFFF" w:themeFill="background1"/>
        </w:rPr>
        <w:t>外交</w:t>
      </w:r>
      <w:r w:rsidR="003D0E34" w:rsidRPr="001B6E4D">
        <w:rPr>
          <w:rFonts w:hint="eastAsia"/>
          <w:color w:val="000000" w:themeColor="text1"/>
          <w:shd w:val="clear" w:color="auto" w:fill="FFFFFF" w:themeFill="background1"/>
        </w:rPr>
        <w:t>及國防</w:t>
      </w:r>
      <w:r w:rsidR="00772EE4" w:rsidRPr="001B6E4D">
        <w:rPr>
          <w:color w:val="000000" w:themeColor="text1"/>
          <w:shd w:val="clear" w:color="auto" w:fill="FFFFFF" w:themeFill="background1"/>
        </w:rPr>
        <w:t>委員會聯席審查</w:t>
      </w:r>
      <w:r w:rsidR="006345F2" w:rsidRPr="001B6E4D">
        <w:rPr>
          <w:rFonts w:hint="eastAsia"/>
          <w:color w:val="000000" w:themeColor="text1"/>
          <w:shd w:val="clear" w:color="auto" w:fill="FFFFFF" w:themeFill="background1"/>
        </w:rPr>
        <w:t>2</w:t>
      </w:r>
      <w:r w:rsidR="00772EE4" w:rsidRPr="001B6E4D">
        <w:rPr>
          <w:rFonts w:hint="eastAsia"/>
          <w:color w:val="000000" w:themeColor="text1"/>
          <w:shd w:val="clear" w:color="auto" w:fill="FFFFFF" w:themeFill="background1"/>
        </w:rPr>
        <w:t>案</w:t>
      </w:r>
    </w:p>
    <w:tbl>
      <w:tblPr>
        <w:tblStyle w:val="ae"/>
        <w:tblW w:w="5002"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547"/>
        <w:gridCol w:w="3194"/>
        <w:gridCol w:w="1906"/>
        <w:gridCol w:w="1793"/>
        <w:gridCol w:w="1491"/>
      </w:tblGrid>
      <w:tr w:rsidR="00715947" w:rsidRPr="001B6E4D" w14:paraId="607B4D13" w14:textId="77777777" w:rsidTr="004C172B">
        <w:trPr>
          <w:trHeight w:val="950"/>
        </w:trPr>
        <w:tc>
          <w:tcPr>
            <w:tcW w:w="306" w:type="pct"/>
            <w:vAlign w:val="center"/>
          </w:tcPr>
          <w:p w14:paraId="4B71AB70" w14:textId="22BCF1B5" w:rsidR="00715947" w:rsidRPr="001B6E4D" w:rsidRDefault="00715947"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280" w:name="_Hlk221111027"/>
            <w:bookmarkStart w:id="281" w:name="_Hlk203386773"/>
            <w:r w:rsidRPr="001B6E4D">
              <w:rPr>
                <w:rFonts w:ascii="標楷體" w:eastAsia="標楷體" w:hAnsi="標楷體"/>
                <w:b/>
                <w:color w:val="000000" w:themeColor="text1"/>
                <w:sz w:val="24"/>
                <w:shd w:val="clear" w:color="auto" w:fill="FFFFFF" w:themeFill="background1"/>
              </w:rPr>
              <w:t>序號</w:t>
            </w:r>
          </w:p>
        </w:tc>
        <w:tc>
          <w:tcPr>
            <w:tcW w:w="1788" w:type="pct"/>
            <w:vAlign w:val="center"/>
          </w:tcPr>
          <w:p w14:paraId="62CAD827" w14:textId="77777777" w:rsidR="00715947" w:rsidRPr="001B6E4D" w:rsidRDefault="00715947"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067" w:type="pct"/>
            <w:vAlign w:val="center"/>
          </w:tcPr>
          <w:p w14:paraId="1AD342A9" w14:textId="77777777" w:rsidR="00715947" w:rsidRPr="001B6E4D" w:rsidRDefault="00715947"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35B115DA" w14:textId="77777777" w:rsidR="00715947" w:rsidRPr="001B6E4D" w:rsidRDefault="00715947"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65A01878" w14:textId="77777777" w:rsidR="00715947" w:rsidRPr="001B6E4D" w:rsidRDefault="00715947"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1004" w:type="pct"/>
            <w:vAlign w:val="center"/>
          </w:tcPr>
          <w:p w14:paraId="49D7B059" w14:textId="77777777" w:rsidR="00715947" w:rsidRPr="001B6E4D" w:rsidRDefault="00715947"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35" w:type="pct"/>
            <w:vAlign w:val="center"/>
          </w:tcPr>
          <w:p w14:paraId="729530BA" w14:textId="77777777" w:rsidR="00715947" w:rsidRPr="001B6E4D" w:rsidRDefault="00715947" w:rsidP="003D1018">
            <w:pPr>
              <w:kinsoku w:val="0"/>
              <w:overflowPunct w:val="0"/>
              <w:autoSpaceDE w:val="0"/>
              <w:autoSpaceDN w:val="0"/>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bookmarkEnd w:id="280"/>
      <w:tr w:rsidR="00715947" w:rsidRPr="001B6E4D" w14:paraId="5519F671" w14:textId="77777777" w:rsidTr="00715947">
        <w:tc>
          <w:tcPr>
            <w:tcW w:w="306" w:type="pct"/>
          </w:tcPr>
          <w:p w14:paraId="0B2E63F1" w14:textId="77777777" w:rsidR="00715947" w:rsidRPr="001B6E4D" w:rsidRDefault="00715947" w:rsidP="003D1018">
            <w:pPr>
              <w:kinsoku w:val="0"/>
              <w:overflowPunct w:val="0"/>
              <w:topLinePunct/>
              <w:spacing w:line="360" w:lineRule="exact"/>
              <w:jc w:val="center"/>
              <w:rPr>
                <w:rFonts w:ascii="標楷體" w:eastAsia="標楷體" w:hAnsi="標楷體"/>
                <w:b/>
                <w:sz w:val="24"/>
              </w:rPr>
            </w:pPr>
            <w:r w:rsidRPr="001B6E4D">
              <w:rPr>
                <w:rFonts w:ascii="標楷體" w:eastAsia="標楷體" w:hAnsi="標楷體"/>
                <w:color w:val="000000" w:themeColor="text1"/>
                <w:sz w:val="24"/>
              </w:rPr>
              <w:t>1</w:t>
            </w:r>
          </w:p>
        </w:tc>
        <w:tc>
          <w:tcPr>
            <w:tcW w:w="1788" w:type="pct"/>
          </w:tcPr>
          <w:p w14:paraId="0DBCD25F" w14:textId="77777777" w:rsidR="00715947" w:rsidRPr="001B6E4D" w:rsidRDefault="00715947" w:rsidP="003D1018">
            <w:pPr>
              <w:pStyle w:val="01"/>
              <w:overflowPunct w:val="0"/>
              <w:rPr>
                <w:rFonts w:hAnsi="標楷體"/>
                <w:b/>
                <w:sz w:val="24"/>
                <w:szCs w:val="24"/>
              </w:rPr>
            </w:pPr>
            <w:r w:rsidRPr="001B6E4D">
              <w:rPr>
                <w:rFonts w:hAnsi="標楷體"/>
                <w:sz w:val="24"/>
                <w:szCs w:val="24"/>
              </w:rPr>
              <w:t>國家安全局組織法第二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修正重點：增列國防部資通電軍指揮部、數位發展</w:t>
            </w:r>
            <w:proofErr w:type="gramStart"/>
            <w:r w:rsidRPr="001B6E4D">
              <w:rPr>
                <w:rFonts w:hAnsi="標楷體"/>
                <w:sz w:val="24"/>
                <w:szCs w:val="24"/>
              </w:rPr>
              <w:t>部資通安全署</w:t>
            </w:r>
            <w:proofErr w:type="gramEnd"/>
            <w:r w:rsidRPr="001B6E4D">
              <w:rPr>
                <w:rFonts w:hAnsi="標楷體"/>
                <w:sz w:val="24"/>
                <w:szCs w:val="24"/>
              </w:rPr>
              <w:t>等單位作為國安局統合指導、協調、支援之機關。）</w:t>
            </w:r>
          </w:p>
        </w:tc>
        <w:tc>
          <w:tcPr>
            <w:tcW w:w="1067" w:type="pct"/>
          </w:tcPr>
          <w:p w14:paraId="1FDF345F" w14:textId="77777777" w:rsidR="00715947" w:rsidRPr="001B6E4D" w:rsidRDefault="0071594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委員羅美玲</w:t>
            </w:r>
          </w:p>
          <w:p w14:paraId="50E8DA48" w14:textId="77777777" w:rsidR="00715947" w:rsidRPr="001B6E4D" w:rsidRDefault="0071594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00AD7B9" w14:textId="77777777" w:rsidR="00715947" w:rsidRPr="001B6E4D" w:rsidRDefault="0071594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114.06.03</w:t>
            </w:r>
          </w:p>
          <w:p w14:paraId="0B028656" w14:textId="77777777" w:rsidR="00715947" w:rsidRPr="001B6E4D" w:rsidRDefault="00715947"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（11-3-14）</w:t>
            </w:r>
          </w:p>
        </w:tc>
        <w:tc>
          <w:tcPr>
            <w:tcW w:w="1004" w:type="pct"/>
          </w:tcPr>
          <w:p w14:paraId="7AE85892" w14:textId="77777777" w:rsidR="00715947" w:rsidRPr="001B6E4D" w:rsidRDefault="00715947" w:rsidP="003D1018">
            <w:pPr>
              <w:overflowPunct w:val="0"/>
              <w:jc w:val="both"/>
              <w:rPr>
                <w:rFonts w:ascii="標楷體" w:eastAsia="標楷體" w:hAnsi="標楷體"/>
                <w:b/>
                <w:sz w:val="24"/>
              </w:rPr>
            </w:pPr>
            <w:r w:rsidRPr="001B6E4D">
              <w:rPr>
                <w:rFonts w:ascii="標楷體" w:eastAsia="標楷體" w:hAnsi="標楷體"/>
                <w:sz w:val="24"/>
              </w:rPr>
              <w:t>司法及法制、外交及國防</w:t>
            </w:r>
          </w:p>
        </w:tc>
        <w:tc>
          <w:tcPr>
            <w:tcW w:w="835" w:type="pct"/>
          </w:tcPr>
          <w:p w14:paraId="3E9AD63F" w14:textId="77777777" w:rsidR="00715947" w:rsidRPr="001B6E4D" w:rsidRDefault="00715947" w:rsidP="003D1018">
            <w:pPr>
              <w:overflowPunct w:val="0"/>
              <w:jc w:val="both"/>
              <w:rPr>
                <w:rFonts w:ascii="標楷體" w:eastAsia="標楷體" w:hAnsi="標楷體"/>
                <w:b/>
                <w:sz w:val="24"/>
              </w:rPr>
            </w:pPr>
            <w:r w:rsidRPr="001B6E4D">
              <w:rPr>
                <w:rFonts w:ascii="標楷體" w:eastAsia="標楷體" w:hAnsi="標楷體"/>
                <w:sz w:val="24"/>
              </w:rPr>
              <w:t>尚未審查</w:t>
            </w:r>
          </w:p>
        </w:tc>
      </w:tr>
      <w:tr w:rsidR="00F505FE" w:rsidRPr="001B6E4D" w14:paraId="4D02DD1F" w14:textId="77777777" w:rsidTr="009548F9">
        <w:tc>
          <w:tcPr>
            <w:tcW w:w="306" w:type="pct"/>
          </w:tcPr>
          <w:p w14:paraId="3B8FE31B" w14:textId="01E9C555" w:rsidR="00F505FE" w:rsidRPr="001B6E4D" w:rsidRDefault="00F505FE"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hint="eastAsia"/>
                <w:color w:val="000000" w:themeColor="text1"/>
                <w:sz w:val="24"/>
              </w:rPr>
              <w:t>2</w:t>
            </w:r>
          </w:p>
        </w:tc>
        <w:tc>
          <w:tcPr>
            <w:tcW w:w="1788" w:type="pct"/>
            <w:shd w:val="clear" w:color="auto" w:fill="auto"/>
          </w:tcPr>
          <w:p w14:paraId="1A086425" w14:textId="00F272C1" w:rsidR="00F505FE" w:rsidRPr="001B6E4D" w:rsidRDefault="00F505FE" w:rsidP="003D1018">
            <w:pPr>
              <w:pStyle w:val="01"/>
              <w:overflowPunct w:val="0"/>
              <w:rPr>
                <w:rFonts w:hAnsi="標楷體"/>
                <w:sz w:val="24"/>
                <w:szCs w:val="24"/>
              </w:rPr>
            </w:pPr>
            <w:r w:rsidRPr="001B6E4D">
              <w:rPr>
                <w:rFonts w:hAnsi="標楷體"/>
                <w:sz w:val="24"/>
                <w:szCs w:val="24"/>
              </w:rPr>
              <w:t>僑務委員會組織法第四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修正重點：調整僑務委員人數設置標準。）</w:t>
            </w:r>
          </w:p>
        </w:tc>
        <w:tc>
          <w:tcPr>
            <w:tcW w:w="1067" w:type="pct"/>
            <w:shd w:val="clear" w:color="auto" w:fill="auto"/>
          </w:tcPr>
          <w:p w14:paraId="7028F701" w14:textId="77777777" w:rsidR="00F505FE" w:rsidRPr="001B6E4D" w:rsidRDefault="00F505F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委員邱志偉</w:t>
            </w:r>
          </w:p>
          <w:p w14:paraId="6E98D799" w14:textId="77777777" w:rsidR="00F505FE" w:rsidRPr="001B6E4D" w:rsidRDefault="00F505F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78940615" w14:textId="77777777" w:rsidR="00F505FE" w:rsidRPr="001B6E4D" w:rsidRDefault="00F505F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114.11.28</w:t>
            </w:r>
          </w:p>
          <w:p w14:paraId="4EF6910B" w14:textId="61BA5D6C" w:rsidR="00F505FE" w:rsidRPr="001B6E4D" w:rsidRDefault="00F505F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w:t>
            </w:r>
          </w:p>
        </w:tc>
        <w:tc>
          <w:tcPr>
            <w:tcW w:w="1004" w:type="pct"/>
            <w:shd w:val="clear" w:color="auto" w:fill="auto"/>
          </w:tcPr>
          <w:p w14:paraId="64273646" w14:textId="459ED392" w:rsidR="00F505FE" w:rsidRPr="001B6E4D" w:rsidRDefault="00F505FE" w:rsidP="003D1018">
            <w:pPr>
              <w:overflowPunct w:val="0"/>
              <w:jc w:val="both"/>
              <w:rPr>
                <w:rFonts w:ascii="標楷體" w:eastAsia="標楷體" w:hAnsi="標楷體" w:cstheme="minorBidi"/>
                <w:sz w:val="24"/>
              </w:rPr>
            </w:pPr>
            <w:r w:rsidRPr="001B6E4D">
              <w:rPr>
                <w:rFonts w:ascii="標楷體" w:eastAsia="標楷體" w:hAnsi="標楷體" w:cstheme="minorBidi"/>
                <w:sz w:val="24"/>
              </w:rPr>
              <w:t>司法及法制、外交及國防</w:t>
            </w:r>
          </w:p>
        </w:tc>
        <w:tc>
          <w:tcPr>
            <w:tcW w:w="835" w:type="pct"/>
            <w:shd w:val="clear" w:color="auto" w:fill="auto"/>
          </w:tcPr>
          <w:p w14:paraId="4F5A0F1E" w14:textId="792771FC" w:rsidR="00F505FE" w:rsidRPr="001B6E4D" w:rsidRDefault="00F505FE" w:rsidP="003D1018">
            <w:pPr>
              <w:overflowPunct w:val="0"/>
              <w:jc w:val="both"/>
              <w:rPr>
                <w:rFonts w:ascii="標楷體" w:eastAsia="標楷體" w:hAnsi="標楷體" w:cstheme="minorBidi"/>
                <w:sz w:val="24"/>
              </w:rPr>
            </w:pPr>
            <w:r w:rsidRPr="001B6E4D">
              <w:rPr>
                <w:rFonts w:ascii="標楷體" w:eastAsia="標楷體" w:hAnsi="標楷體" w:cstheme="minorBidi"/>
                <w:sz w:val="24"/>
              </w:rPr>
              <w:t>尚未審查</w:t>
            </w:r>
          </w:p>
        </w:tc>
      </w:tr>
    </w:tbl>
    <w:bookmarkEnd w:id="281"/>
    <w:p w14:paraId="4C0DDC30" w14:textId="30337F2C" w:rsidR="008804E9" w:rsidRPr="001B6E4D" w:rsidRDefault="00715947"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r w:rsidRPr="001B6E4D">
        <w:rPr>
          <w:rFonts w:hint="eastAsia"/>
          <w:color w:val="000000" w:themeColor="text1"/>
          <w:shd w:val="clear" w:color="auto" w:fill="FFFFFF" w:themeFill="background1"/>
        </w:rPr>
        <w:t>4</w:t>
      </w:r>
      <w:r w:rsidRPr="001B6E4D">
        <w:rPr>
          <w:color w:val="000000" w:themeColor="text1"/>
          <w:shd w:val="clear" w:color="auto" w:fill="FFFFFF" w:themeFill="background1"/>
        </w:rPr>
        <w:t>.</w:t>
      </w:r>
      <w:r w:rsidR="009B28A5" w:rsidRPr="001B6E4D">
        <w:rPr>
          <w:color w:val="000000" w:themeColor="text1"/>
          <w:shd w:val="clear" w:color="auto" w:fill="FFFFFF" w:themeFill="background1"/>
        </w:rPr>
        <w:t>本會、經濟委員會聯席審查</w:t>
      </w:r>
      <w:bookmarkEnd w:id="276"/>
      <w:r w:rsidR="000A6781" w:rsidRPr="001B6E4D">
        <w:rPr>
          <w:rFonts w:hint="eastAsia"/>
          <w:color w:val="000000" w:themeColor="text1"/>
          <w:shd w:val="clear" w:color="auto" w:fill="FFFFFF" w:themeFill="background1"/>
        </w:rPr>
        <w:t>1</w:t>
      </w:r>
      <w:r w:rsidR="0034443C" w:rsidRPr="001B6E4D">
        <w:rPr>
          <w:color w:val="000000" w:themeColor="text1"/>
          <w:shd w:val="clear" w:color="auto" w:fill="FFFFFF" w:themeFill="background1"/>
        </w:rPr>
        <w:t>2</w:t>
      </w:r>
      <w:r w:rsidR="000A6781" w:rsidRPr="001B6E4D">
        <w:rPr>
          <w:rFonts w:hint="eastAsia"/>
          <w:color w:val="000000" w:themeColor="text1"/>
          <w:shd w:val="clear" w:color="auto" w:fill="FFFFFF" w:themeFill="background1"/>
        </w:rPr>
        <w:t>4</w:t>
      </w:r>
      <w:r w:rsidR="009B28A5" w:rsidRPr="001B6E4D">
        <w:rPr>
          <w:rFonts w:hint="eastAsia"/>
          <w:color w:val="000000" w:themeColor="text1"/>
          <w:shd w:val="clear" w:color="auto" w:fill="FFFFFF" w:themeFill="background1"/>
        </w:rPr>
        <w:t>案</w:t>
      </w:r>
    </w:p>
    <w:tbl>
      <w:tblPr>
        <w:tblW w:w="8959"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576"/>
        <w:gridCol w:w="3191"/>
        <w:gridCol w:w="2022"/>
        <w:gridCol w:w="1700"/>
        <w:gridCol w:w="1470"/>
      </w:tblGrid>
      <w:tr w:rsidR="00A262E7" w:rsidRPr="001B6E4D" w14:paraId="46C6BFA7" w14:textId="77777777" w:rsidTr="004C172B">
        <w:trPr>
          <w:trHeight w:val="935"/>
          <w:jc w:val="center"/>
        </w:trPr>
        <w:tc>
          <w:tcPr>
            <w:tcW w:w="576" w:type="dxa"/>
            <w:shd w:val="clear" w:color="auto" w:fill="auto"/>
            <w:vAlign w:val="center"/>
          </w:tcPr>
          <w:p w14:paraId="4A2EA10D" w14:textId="77777777" w:rsidR="00A262E7" w:rsidRPr="001B6E4D" w:rsidRDefault="00A262E7" w:rsidP="003D1018">
            <w:pPr>
              <w:widowControl w:val="0"/>
              <w:kinsoku w:val="0"/>
              <w:overflowPunct w:val="0"/>
              <w:topLinePunct/>
              <w:spacing w:line="30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序號</w:t>
            </w:r>
          </w:p>
        </w:tc>
        <w:tc>
          <w:tcPr>
            <w:tcW w:w="3191" w:type="dxa"/>
            <w:shd w:val="clear" w:color="auto" w:fill="auto"/>
            <w:vAlign w:val="center"/>
          </w:tcPr>
          <w:p w14:paraId="79E5497C" w14:textId="77777777" w:rsidR="00A262E7" w:rsidRPr="001B6E4D" w:rsidRDefault="00A262E7" w:rsidP="003D1018">
            <w:pPr>
              <w:widowControl w:val="0"/>
              <w:kinsoku w:val="0"/>
              <w:overflowPunct w:val="0"/>
              <w:topLinePunct/>
              <w:spacing w:line="30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議案名稱</w:t>
            </w:r>
          </w:p>
        </w:tc>
        <w:tc>
          <w:tcPr>
            <w:tcW w:w="2022" w:type="dxa"/>
            <w:shd w:val="clear" w:color="auto" w:fill="auto"/>
            <w:vAlign w:val="center"/>
          </w:tcPr>
          <w:p w14:paraId="47C94D14" w14:textId="77777777" w:rsidR="00E97EB8" w:rsidRPr="001B6E4D" w:rsidRDefault="00E97EB8" w:rsidP="003D1018">
            <w:pPr>
              <w:widowControl w:val="0"/>
              <w:kinsoku w:val="0"/>
              <w:overflowPunct w:val="0"/>
              <w:topLinePunct/>
              <w:spacing w:line="30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提案委員或機關</w:t>
            </w:r>
          </w:p>
          <w:p w14:paraId="109EDC13" w14:textId="77777777" w:rsidR="00E97EB8" w:rsidRPr="001B6E4D" w:rsidRDefault="00E97EB8" w:rsidP="003D1018">
            <w:pPr>
              <w:widowControl w:val="0"/>
              <w:kinsoku w:val="0"/>
              <w:overflowPunct w:val="0"/>
              <w:topLinePunct/>
              <w:spacing w:line="30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院會交付日期</w:t>
            </w:r>
          </w:p>
          <w:p w14:paraId="6C410B1C" w14:textId="396D7648" w:rsidR="00A262E7" w:rsidRPr="001B6E4D" w:rsidRDefault="00E97EB8" w:rsidP="003D1018">
            <w:pPr>
              <w:widowControl w:val="0"/>
              <w:kinsoku w:val="0"/>
              <w:overflowPunct w:val="0"/>
              <w:topLinePunct/>
              <w:spacing w:line="30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(會次)</w:t>
            </w:r>
          </w:p>
        </w:tc>
        <w:tc>
          <w:tcPr>
            <w:tcW w:w="1700" w:type="dxa"/>
            <w:shd w:val="clear" w:color="auto" w:fill="auto"/>
            <w:vAlign w:val="center"/>
          </w:tcPr>
          <w:p w14:paraId="16543520" w14:textId="77777777" w:rsidR="00A262E7" w:rsidRPr="001B6E4D" w:rsidRDefault="00A262E7" w:rsidP="003D1018">
            <w:pPr>
              <w:widowControl w:val="0"/>
              <w:kinsoku w:val="0"/>
              <w:overflowPunct w:val="0"/>
              <w:topLinePunct/>
              <w:spacing w:line="30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審查委員會</w:t>
            </w:r>
          </w:p>
        </w:tc>
        <w:tc>
          <w:tcPr>
            <w:tcW w:w="1470" w:type="dxa"/>
            <w:shd w:val="clear" w:color="auto" w:fill="auto"/>
            <w:vAlign w:val="center"/>
          </w:tcPr>
          <w:p w14:paraId="3786BB28" w14:textId="77777777" w:rsidR="00A262E7" w:rsidRPr="001B6E4D" w:rsidRDefault="00A262E7" w:rsidP="003D1018">
            <w:pPr>
              <w:widowControl w:val="0"/>
              <w:kinsoku w:val="0"/>
              <w:overflowPunct w:val="0"/>
              <w:topLinePunct/>
              <w:spacing w:line="30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審查情形</w:t>
            </w:r>
          </w:p>
        </w:tc>
      </w:tr>
      <w:tr w:rsidR="003C4019" w:rsidRPr="001B6E4D" w14:paraId="34ADA6F5" w14:textId="77777777" w:rsidTr="00DF0B8F">
        <w:trPr>
          <w:trHeight w:val="952"/>
          <w:jc w:val="center"/>
        </w:trPr>
        <w:tc>
          <w:tcPr>
            <w:tcW w:w="576" w:type="dxa"/>
            <w:shd w:val="clear" w:color="auto" w:fill="auto"/>
          </w:tcPr>
          <w:p w14:paraId="2A42164C" w14:textId="6EA9F05D" w:rsidR="003C4019" w:rsidRPr="001B6E4D" w:rsidRDefault="003C4019" w:rsidP="003D1018">
            <w:pPr>
              <w:widowControl w:val="0"/>
              <w:kinsoku w:val="0"/>
              <w:overflowPunct w:val="0"/>
              <w:topLinePunct/>
              <w:spacing w:line="36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color w:val="000000" w:themeColor="text1"/>
              </w:rPr>
              <w:t>1</w:t>
            </w:r>
          </w:p>
        </w:tc>
        <w:tc>
          <w:tcPr>
            <w:tcW w:w="3191" w:type="dxa"/>
            <w:shd w:val="clear" w:color="auto" w:fill="auto"/>
          </w:tcPr>
          <w:p w14:paraId="445E384D" w14:textId="08771880" w:rsidR="003C4019" w:rsidRPr="001B6E4D" w:rsidRDefault="003C4019" w:rsidP="003D1018">
            <w:pPr>
              <w:pStyle w:val="01"/>
              <w:widowControl w:val="0"/>
              <w:overflowPunct w:val="0"/>
              <w:rPr>
                <w:rFonts w:hAnsi="標楷體"/>
                <w:sz w:val="24"/>
                <w:szCs w:val="24"/>
              </w:rPr>
            </w:pPr>
            <w:r w:rsidRPr="001B6E4D">
              <w:rPr>
                <w:rFonts w:hAnsi="標楷體"/>
                <w:sz w:val="24"/>
                <w:szCs w:val="24"/>
              </w:rPr>
              <w:t>1.個人資料保護委員會組織法草案</w:t>
            </w:r>
            <w:proofErr w:type="gramStart"/>
            <w:r w:rsidRPr="001B6E4D">
              <w:rPr>
                <w:rFonts w:hAnsi="標楷體"/>
                <w:sz w:val="24"/>
                <w:szCs w:val="24"/>
              </w:rPr>
              <w:t>（</w:t>
            </w:r>
            <w:proofErr w:type="gramEnd"/>
            <w:r w:rsidRPr="001B6E4D">
              <w:rPr>
                <w:rFonts w:hAnsi="標楷體"/>
                <w:sz w:val="24"/>
                <w:szCs w:val="24"/>
              </w:rPr>
              <w:t>共13條。制定重點：為落實憲法保障之隱私權，確保個人資料使用之安全，維護人民基本人權及弱勢保障，促進社會之安定與</w:t>
            </w:r>
            <w:proofErr w:type="gramStart"/>
            <w:r w:rsidRPr="001B6E4D">
              <w:rPr>
                <w:rFonts w:hAnsi="標楷體"/>
                <w:sz w:val="24"/>
                <w:szCs w:val="24"/>
              </w:rPr>
              <w:t>繁榮，</w:t>
            </w:r>
            <w:proofErr w:type="gramEnd"/>
            <w:r w:rsidRPr="001B6E4D">
              <w:rPr>
                <w:rFonts w:hAnsi="標楷體"/>
                <w:sz w:val="24"/>
                <w:szCs w:val="24"/>
              </w:rPr>
              <w:t>推動資料治理發展，提升國家之國際參與力，特</w:t>
            </w:r>
            <w:r w:rsidRPr="001B6E4D">
              <w:rPr>
                <w:rFonts w:hAnsi="標楷體"/>
                <w:sz w:val="24"/>
                <w:szCs w:val="24"/>
              </w:rPr>
              <w:lastRenderedPageBreak/>
              <w:t>設個人資料保護委員會。）</w:t>
            </w:r>
          </w:p>
        </w:tc>
        <w:tc>
          <w:tcPr>
            <w:tcW w:w="2022" w:type="dxa"/>
            <w:shd w:val="clear" w:color="auto" w:fill="auto"/>
          </w:tcPr>
          <w:p w14:paraId="5BF38B97" w14:textId="77777777" w:rsidR="003C4019" w:rsidRPr="001B6E4D" w:rsidRDefault="003C4019" w:rsidP="003D1018">
            <w:pPr>
              <w:pStyle w:val="01"/>
              <w:widowControl w:val="0"/>
              <w:overflowPunct w:val="0"/>
              <w:rPr>
                <w:rFonts w:hAnsi="標楷體"/>
                <w:sz w:val="24"/>
                <w:szCs w:val="24"/>
              </w:rPr>
            </w:pPr>
            <w:r w:rsidRPr="001B6E4D">
              <w:rPr>
                <w:rFonts w:hAnsi="標楷體"/>
                <w:sz w:val="24"/>
                <w:szCs w:val="24"/>
              </w:rPr>
              <w:lastRenderedPageBreak/>
              <w:t>委員賴瑞隆</w:t>
            </w:r>
          </w:p>
          <w:p w14:paraId="293EF653" w14:textId="77777777" w:rsidR="003C4019" w:rsidRPr="001B6E4D" w:rsidRDefault="003C4019" w:rsidP="003D1018">
            <w:pPr>
              <w:pStyle w:val="01"/>
              <w:widowControl w:val="0"/>
              <w:overflowPunct w:val="0"/>
              <w:rPr>
                <w:rFonts w:hAnsi="標楷體"/>
                <w:sz w:val="24"/>
                <w:szCs w:val="24"/>
              </w:rPr>
            </w:pPr>
            <w:r w:rsidRPr="001B6E4D">
              <w:rPr>
                <w:rFonts w:hAnsi="標楷體"/>
                <w:sz w:val="24"/>
                <w:szCs w:val="24"/>
              </w:rPr>
              <w:t>等17人</w:t>
            </w:r>
          </w:p>
          <w:p w14:paraId="6F7C9927" w14:textId="77777777" w:rsidR="003C4019" w:rsidRPr="001B6E4D" w:rsidRDefault="003C4019" w:rsidP="003D1018">
            <w:pPr>
              <w:pStyle w:val="01"/>
              <w:widowControl w:val="0"/>
              <w:overflowPunct w:val="0"/>
              <w:rPr>
                <w:rFonts w:hAnsi="標楷體"/>
                <w:sz w:val="24"/>
                <w:szCs w:val="24"/>
              </w:rPr>
            </w:pPr>
            <w:r w:rsidRPr="001B6E4D">
              <w:rPr>
                <w:rFonts w:hAnsi="標楷體"/>
                <w:sz w:val="24"/>
                <w:szCs w:val="24"/>
              </w:rPr>
              <w:t>113.03.01</w:t>
            </w:r>
          </w:p>
          <w:p w14:paraId="6DA2C1E1" w14:textId="1A0C668E" w:rsidR="003C4019" w:rsidRPr="001B6E4D" w:rsidRDefault="003C4019" w:rsidP="003D1018">
            <w:pPr>
              <w:pStyle w:val="01"/>
              <w:widowControl w:val="0"/>
              <w:overflowPunct w:val="0"/>
              <w:rPr>
                <w:rFonts w:hAnsi="標楷體"/>
                <w:sz w:val="24"/>
                <w:szCs w:val="24"/>
              </w:rPr>
            </w:pPr>
            <w:r w:rsidRPr="001B6E4D">
              <w:rPr>
                <w:rFonts w:hAnsi="標楷體"/>
                <w:sz w:val="24"/>
                <w:szCs w:val="24"/>
              </w:rPr>
              <w:t>（11-1-3）</w:t>
            </w:r>
          </w:p>
        </w:tc>
        <w:tc>
          <w:tcPr>
            <w:tcW w:w="1700" w:type="dxa"/>
            <w:shd w:val="clear" w:color="auto" w:fill="auto"/>
          </w:tcPr>
          <w:p w14:paraId="17F4C1C3" w14:textId="68C712F3" w:rsidR="003C4019" w:rsidRPr="001B6E4D" w:rsidRDefault="003C4019" w:rsidP="003D1018">
            <w:pPr>
              <w:pStyle w:val="01"/>
              <w:widowControl w:val="0"/>
              <w:overflowPunct w:val="0"/>
              <w:rPr>
                <w:rFonts w:hAnsi="標楷體"/>
                <w:sz w:val="24"/>
                <w:szCs w:val="24"/>
              </w:rPr>
            </w:pPr>
            <w:r w:rsidRPr="001B6E4D">
              <w:rPr>
                <w:rFonts w:hAnsi="標楷體"/>
                <w:sz w:val="24"/>
                <w:szCs w:val="24"/>
              </w:rPr>
              <w:t>司法及法制、經濟</w:t>
            </w:r>
          </w:p>
        </w:tc>
        <w:tc>
          <w:tcPr>
            <w:tcW w:w="1470" w:type="dxa"/>
            <w:shd w:val="clear" w:color="auto" w:fill="auto"/>
          </w:tcPr>
          <w:p w14:paraId="382EEB6A" w14:textId="77777777" w:rsidR="003C4019" w:rsidRPr="001B6E4D" w:rsidRDefault="003C4019" w:rsidP="003D1018">
            <w:pPr>
              <w:pStyle w:val="01"/>
              <w:widowControl w:val="0"/>
              <w:overflowPunct w:val="0"/>
              <w:rPr>
                <w:rFonts w:hAnsi="標楷體"/>
                <w:sz w:val="24"/>
                <w:szCs w:val="24"/>
              </w:rPr>
            </w:pPr>
            <w:r w:rsidRPr="001B6E4D">
              <w:rPr>
                <w:rFonts w:hAnsi="標楷體"/>
                <w:sz w:val="24"/>
                <w:szCs w:val="24"/>
              </w:rPr>
              <w:t>本會</w:t>
            </w:r>
          </w:p>
          <w:p w14:paraId="23BA1468" w14:textId="7B0A1400" w:rsidR="003C4019" w:rsidRPr="001B6E4D" w:rsidRDefault="003C4019" w:rsidP="003D1018">
            <w:pPr>
              <w:pStyle w:val="01"/>
              <w:widowControl w:val="0"/>
              <w:overflowPunct w:val="0"/>
              <w:rPr>
                <w:rFonts w:hAnsi="標楷體"/>
                <w:sz w:val="24"/>
                <w:szCs w:val="24"/>
              </w:rPr>
            </w:pPr>
            <w:r w:rsidRPr="001B6E4D">
              <w:rPr>
                <w:rFonts w:hAnsi="標楷體"/>
                <w:sz w:val="24"/>
                <w:szCs w:val="24"/>
              </w:rPr>
              <w:t>113.3.25舉行「個人資料保護委員會組織籌設及相關配套措施」公聽會。</w:t>
            </w:r>
          </w:p>
        </w:tc>
      </w:tr>
      <w:tr w:rsidR="003C4019" w:rsidRPr="001B6E4D" w14:paraId="17296E2C" w14:textId="77777777" w:rsidTr="00DF0B8F">
        <w:trPr>
          <w:jc w:val="center"/>
        </w:trPr>
        <w:tc>
          <w:tcPr>
            <w:tcW w:w="576" w:type="dxa"/>
          </w:tcPr>
          <w:p w14:paraId="51B34681" w14:textId="5467317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2</w:t>
            </w:r>
          </w:p>
        </w:tc>
        <w:tc>
          <w:tcPr>
            <w:tcW w:w="3191" w:type="dxa"/>
          </w:tcPr>
          <w:p w14:paraId="65A49EB9" w14:textId="0AA2FF3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2.個人資料保護委員會組織法草案</w:t>
            </w:r>
            <w:proofErr w:type="gramStart"/>
            <w:r w:rsidRPr="001B6E4D">
              <w:rPr>
                <w:rFonts w:ascii="標楷體" w:eastAsia="標楷體" w:hAnsi="標楷體" w:cstheme="minorBidi"/>
              </w:rPr>
              <w:t>（</w:t>
            </w:r>
            <w:proofErr w:type="gramEnd"/>
            <w:r w:rsidRPr="001B6E4D">
              <w:rPr>
                <w:rFonts w:ascii="標楷體" w:eastAsia="標楷體" w:hAnsi="標楷體" w:cstheme="minorBidi"/>
              </w:rPr>
              <w:t>共13條。制定重點：行政院為落實憲法保障之隱私權，確保個人資料使用之安全，維護人民基本人權及弱勢保障，促進社會之安定與</w:t>
            </w:r>
            <w:proofErr w:type="gramStart"/>
            <w:r w:rsidRPr="001B6E4D">
              <w:rPr>
                <w:rFonts w:ascii="標楷體" w:eastAsia="標楷體" w:hAnsi="標楷體" w:cstheme="minorBidi"/>
              </w:rPr>
              <w:t>繁榮，</w:t>
            </w:r>
            <w:proofErr w:type="gramEnd"/>
            <w:r w:rsidRPr="001B6E4D">
              <w:rPr>
                <w:rFonts w:ascii="標楷體" w:eastAsia="標楷體" w:hAnsi="標楷體" w:cstheme="minorBidi"/>
              </w:rPr>
              <w:t>推動資料治理發展，提升國家之國際參與力，特設個人資料保護委員會。）</w:t>
            </w:r>
          </w:p>
        </w:tc>
        <w:tc>
          <w:tcPr>
            <w:tcW w:w="2022" w:type="dxa"/>
          </w:tcPr>
          <w:p w14:paraId="695374C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委員黃捷</w:t>
            </w:r>
          </w:p>
          <w:p w14:paraId="41B4B03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等23人</w:t>
            </w:r>
          </w:p>
          <w:p w14:paraId="4BDA173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113.03.01</w:t>
            </w:r>
          </w:p>
          <w:p w14:paraId="5A3B609D" w14:textId="08B9408C"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（11-1-3）</w:t>
            </w:r>
          </w:p>
        </w:tc>
        <w:tc>
          <w:tcPr>
            <w:tcW w:w="1700" w:type="dxa"/>
          </w:tcPr>
          <w:p w14:paraId="32F6461F" w14:textId="5353311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099098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本會</w:t>
            </w:r>
          </w:p>
          <w:p w14:paraId="1573D119" w14:textId="3A101B3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113.3.25舉行「個人資料保護委員會組織籌設及相關配套措施」公聽會。</w:t>
            </w:r>
          </w:p>
        </w:tc>
      </w:tr>
      <w:tr w:rsidR="003C4019" w:rsidRPr="001B6E4D" w14:paraId="745505AF" w14:textId="77777777" w:rsidTr="00DF0B8F">
        <w:trPr>
          <w:jc w:val="center"/>
        </w:trPr>
        <w:tc>
          <w:tcPr>
            <w:tcW w:w="576" w:type="dxa"/>
          </w:tcPr>
          <w:p w14:paraId="2B744967" w14:textId="1882071A"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3</w:t>
            </w:r>
          </w:p>
        </w:tc>
        <w:tc>
          <w:tcPr>
            <w:tcW w:w="3191" w:type="dxa"/>
          </w:tcPr>
          <w:p w14:paraId="2730CFD5" w14:textId="618D726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廢止「經濟部工業局組織條例」、「經濟部國際貿易局組織條例」、「經濟部國際貿易局所屬各辦事處組織通則」、「經濟部能源局組織條例」、「經濟部中小企業處組織條例」、「經濟部水利署組織條例」、「經濟部水利署</w:t>
            </w:r>
            <w:proofErr w:type="gramStart"/>
            <w:r w:rsidRPr="001B6E4D">
              <w:rPr>
                <w:rFonts w:ascii="標楷體" w:eastAsia="標楷體" w:hAnsi="標楷體" w:cstheme="minorBidi"/>
              </w:rPr>
              <w:t>臺</w:t>
            </w:r>
            <w:proofErr w:type="gramEnd"/>
            <w:r w:rsidRPr="001B6E4D">
              <w:rPr>
                <w:rFonts w:ascii="標楷體" w:eastAsia="標楷體" w:hAnsi="標楷體" w:cstheme="minorBidi"/>
              </w:rPr>
              <w:t>北水源特定區管理局組織條例」、「經濟部水利署各區水資源局組織通則」、「經濟部水利署各河川局組織通則」、「經濟部水利署水利規劃試驗所組織條例」、「經濟部加工出口區管理處組織條例」、「經濟部加工出口區管理處所屬各分處組織通則」、「經濟部智慧財產局組織條例」、「經濟部標準檢驗局組織條例」、「經濟部標準檢驗局所屬各分局組織通則」及「經濟部中央地質調查所組織條例」(廢止重點：配合組織調整作業，經濟部暨所屬三級機關組織法業於112年9月</w:t>
            </w:r>
            <w:r w:rsidRPr="001B6E4D">
              <w:rPr>
                <w:rFonts w:ascii="標楷體" w:eastAsia="標楷體" w:hAnsi="標楷體" w:cstheme="minorBidi"/>
              </w:rPr>
              <w:lastRenderedPageBreak/>
              <w:t>26日施行，應配合辦理廢止。)</w:t>
            </w:r>
          </w:p>
        </w:tc>
        <w:tc>
          <w:tcPr>
            <w:tcW w:w="2022" w:type="dxa"/>
          </w:tcPr>
          <w:p w14:paraId="504B40B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行政院</w:t>
            </w:r>
          </w:p>
          <w:p w14:paraId="71FEC8B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113.03.01</w:t>
            </w:r>
          </w:p>
          <w:p w14:paraId="669AEB54" w14:textId="566696E1"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（11-1-3）</w:t>
            </w:r>
          </w:p>
        </w:tc>
        <w:tc>
          <w:tcPr>
            <w:tcW w:w="1700" w:type="dxa"/>
          </w:tcPr>
          <w:p w14:paraId="6042DD24" w14:textId="60C97ED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BE0A634" w14:textId="004A160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D9A6D11" w14:textId="77777777" w:rsidTr="00DF0B8F">
        <w:trPr>
          <w:jc w:val="center"/>
        </w:trPr>
        <w:tc>
          <w:tcPr>
            <w:tcW w:w="576" w:type="dxa"/>
          </w:tcPr>
          <w:p w14:paraId="7CC80F45" w14:textId="5284FA01"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4</w:t>
            </w:r>
          </w:p>
        </w:tc>
        <w:tc>
          <w:tcPr>
            <w:tcW w:w="3191" w:type="dxa"/>
          </w:tcPr>
          <w:p w14:paraId="21FEBE48" w14:textId="590A2F1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經濟部工業局組織條例」、「經濟部中小企業處組織條例」、「經濟部中央地質調查所組織條例」、「經濟部水利署水利規劃試驗所組織條例」、「經濟部水利署各河川局組織通則」、「經濟部水利署各區水資源局組織通則」、「經濟部水利署組織條例」、「經濟部能源局組織條例」、「經濟部產業園區管理局組織條例」、「經濟部智慧財產局組織條例」、「經濟部標準檢驗局所屬各分局組織通則」及「經濟部標準檢驗局組織條例」(廢止重點：機關裁</w:t>
            </w:r>
            <w:proofErr w:type="gramStart"/>
            <w:r w:rsidRPr="001B6E4D">
              <w:rPr>
                <w:rFonts w:ascii="標楷體" w:eastAsia="標楷體" w:hAnsi="標楷體" w:cstheme="minorBidi"/>
              </w:rPr>
              <w:t>併</w:t>
            </w:r>
            <w:proofErr w:type="gramEnd"/>
            <w:r w:rsidRPr="001B6E4D">
              <w:rPr>
                <w:rFonts w:ascii="標楷體" w:eastAsia="標楷體" w:hAnsi="標楷體" w:cstheme="minorBidi"/>
              </w:rPr>
              <w:t>，配合辦理廢止。)</w:t>
            </w:r>
          </w:p>
        </w:tc>
        <w:tc>
          <w:tcPr>
            <w:tcW w:w="2022" w:type="dxa"/>
          </w:tcPr>
          <w:p w14:paraId="65EC493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委員沈發惠</w:t>
            </w:r>
          </w:p>
          <w:p w14:paraId="34C250F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等17人</w:t>
            </w:r>
          </w:p>
          <w:p w14:paraId="1DA83F1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113.04.12</w:t>
            </w:r>
          </w:p>
          <w:p w14:paraId="5FA06065" w14:textId="5A8818E9"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（11-1-9）</w:t>
            </w:r>
          </w:p>
        </w:tc>
        <w:tc>
          <w:tcPr>
            <w:tcW w:w="1700" w:type="dxa"/>
          </w:tcPr>
          <w:p w14:paraId="269EE945" w14:textId="0A24473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967C918" w14:textId="421C6C1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0FF34D6" w14:textId="77777777" w:rsidTr="00DF0B8F">
        <w:trPr>
          <w:jc w:val="center"/>
        </w:trPr>
        <w:tc>
          <w:tcPr>
            <w:tcW w:w="576" w:type="dxa"/>
          </w:tcPr>
          <w:p w14:paraId="08570CBB" w14:textId="337F867A"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5</w:t>
            </w:r>
          </w:p>
        </w:tc>
        <w:tc>
          <w:tcPr>
            <w:tcW w:w="3191" w:type="dxa"/>
          </w:tcPr>
          <w:p w14:paraId="0E901676" w14:textId="20C7C5B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3.廢止「經濟部工業局組織條例」(廢止重點：經濟部及所屬機關組織法業已施行，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372D38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2729FF3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1131CA8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12FECF97" w14:textId="3E32C707"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（11-3-27）</w:t>
            </w:r>
          </w:p>
        </w:tc>
        <w:tc>
          <w:tcPr>
            <w:tcW w:w="1700" w:type="dxa"/>
          </w:tcPr>
          <w:p w14:paraId="546E8BFA" w14:textId="4812F0E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2FFCD189" w14:textId="55D6CC2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3CD9361" w14:textId="77777777" w:rsidTr="00DF0B8F">
        <w:trPr>
          <w:jc w:val="center"/>
        </w:trPr>
        <w:tc>
          <w:tcPr>
            <w:tcW w:w="576" w:type="dxa"/>
          </w:tcPr>
          <w:p w14:paraId="299AB4D5" w14:textId="039D99CF"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6</w:t>
            </w:r>
          </w:p>
        </w:tc>
        <w:tc>
          <w:tcPr>
            <w:tcW w:w="3191" w:type="dxa"/>
          </w:tcPr>
          <w:p w14:paraId="2F1826F9" w14:textId="4F9A710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4.廢止「經濟部工業局組織條例」(廢止重點：經濟部及所屬機關組織法業已施行，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A06921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委員林思銘</w:t>
            </w:r>
          </w:p>
          <w:p w14:paraId="6920648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等23人</w:t>
            </w:r>
          </w:p>
          <w:p w14:paraId="1ABDBB4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114.11.07</w:t>
            </w:r>
          </w:p>
          <w:p w14:paraId="07CA405A" w14:textId="7BC76983"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（11-4-8）</w:t>
            </w:r>
          </w:p>
        </w:tc>
        <w:tc>
          <w:tcPr>
            <w:tcW w:w="1700" w:type="dxa"/>
          </w:tcPr>
          <w:p w14:paraId="751366A7" w14:textId="0BFF772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4560A16" w14:textId="6905ED3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4429CBD" w14:textId="77777777" w:rsidTr="00DF0B8F">
        <w:trPr>
          <w:jc w:val="center"/>
        </w:trPr>
        <w:tc>
          <w:tcPr>
            <w:tcW w:w="576" w:type="dxa"/>
          </w:tcPr>
          <w:p w14:paraId="309BE295" w14:textId="2FD364BB"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7</w:t>
            </w:r>
          </w:p>
        </w:tc>
        <w:tc>
          <w:tcPr>
            <w:tcW w:w="3191" w:type="dxa"/>
          </w:tcPr>
          <w:p w14:paraId="675028CC" w14:textId="3F9E162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5.廢止「經濟部工業局組織條例」(廢止重點：經濟部及所屬機關組織法業已施行，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EA2F0C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委員許宇</w:t>
            </w:r>
            <w:proofErr w:type="gramStart"/>
            <w:r w:rsidRPr="001B6E4D">
              <w:rPr>
                <w:rFonts w:ascii="標楷體" w:eastAsia="標楷體" w:hAnsi="標楷體" w:cstheme="minorBidi"/>
              </w:rPr>
              <w:t>甄</w:t>
            </w:r>
            <w:proofErr w:type="gramEnd"/>
          </w:p>
          <w:p w14:paraId="3BFD070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等20人</w:t>
            </w:r>
          </w:p>
          <w:p w14:paraId="7503322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114.12.26</w:t>
            </w:r>
          </w:p>
          <w:p w14:paraId="3B75DEAA" w14:textId="16A77B6D"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（11-4-15）</w:t>
            </w:r>
          </w:p>
        </w:tc>
        <w:tc>
          <w:tcPr>
            <w:tcW w:w="1700" w:type="dxa"/>
          </w:tcPr>
          <w:p w14:paraId="33EBFC85" w14:textId="7C06571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F434F35" w14:textId="00DFF02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CA5D4D6" w14:textId="77777777" w:rsidTr="00DF0B8F">
        <w:trPr>
          <w:jc w:val="center"/>
        </w:trPr>
        <w:tc>
          <w:tcPr>
            <w:tcW w:w="576" w:type="dxa"/>
          </w:tcPr>
          <w:p w14:paraId="1A83DB80" w14:textId="6D9A8D0C"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8</w:t>
            </w:r>
          </w:p>
        </w:tc>
        <w:tc>
          <w:tcPr>
            <w:tcW w:w="3191" w:type="dxa"/>
          </w:tcPr>
          <w:p w14:paraId="4F887300" w14:textId="7CA82DA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6.廢止「經濟部工業局組織條例」(廢止重點：經濟部及所屬機關組織法業已施行，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F28E9E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3FA29DD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17人</w:t>
            </w:r>
          </w:p>
          <w:p w14:paraId="5C8ED15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115.01.23</w:t>
            </w:r>
          </w:p>
          <w:p w14:paraId="3363D7C3" w14:textId="6E010CCE"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11-4-19）</w:t>
            </w:r>
          </w:p>
        </w:tc>
        <w:tc>
          <w:tcPr>
            <w:tcW w:w="1700" w:type="dxa"/>
          </w:tcPr>
          <w:p w14:paraId="185932ED" w14:textId="13095FF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10374D5" w14:textId="75BF2B3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83964ED" w14:textId="77777777" w:rsidTr="00DF0B8F">
        <w:trPr>
          <w:jc w:val="center"/>
        </w:trPr>
        <w:tc>
          <w:tcPr>
            <w:tcW w:w="576" w:type="dxa"/>
          </w:tcPr>
          <w:p w14:paraId="30E2FE32" w14:textId="38940776"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9</w:t>
            </w:r>
          </w:p>
        </w:tc>
        <w:tc>
          <w:tcPr>
            <w:tcW w:w="3191" w:type="dxa"/>
          </w:tcPr>
          <w:p w14:paraId="0F3E7FBC" w14:textId="6A4A0A2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2.廢止「經濟部國際貿易局組織條例」(廢止重點：國</w:t>
            </w:r>
            <w:r w:rsidRPr="001B6E4D">
              <w:rPr>
                <w:rFonts w:ascii="標楷體" w:eastAsia="標楷體" w:hAnsi="標楷體" w:cstheme="minorBidi"/>
              </w:rPr>
              <w:lastRenderedPageBreak/>
              <w:t>貿局、國際合作處及貿易調查委員會整</w:t>
            </w:r>
            <w:proofErr w:type="gramStart"/>
            <w:r w:rsidRPr="001B6E4D">
              <w:rPr>
                <w:rFonts w:ascii="標楷體" w:eastAsia="標楷體" w:hAnsi="標楷體" w:cstheme="minorBidi"/>
              </w:rPr>
              <w:t>併</w:t>
            </w:r>
            <w:proofErr w:type="gramEnd"/>
            <w:r w:rsidRPr="001B6E4D">
              <w:rPr>
                <w:rFonts w:ascii="標楷體" w:eastAsia="標楷體" w:hAnsi="標楷體" w:cstheme="minorBidi"/>
              </w:rPr>
              <w:t>為國際貿易署，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3D961A5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委員許宇</w:t>
            </w:r>
            <w:proofErr w:type="gramStart"/>
            <w:r w:rsidRPr="001B6E4D">
              <w:rPr>
                <w:rFonts w:ascii="標楷體" w:eastAsia="標楷體" w:hAnsi="標楷體" w:cstheme="minorBidi"/>
              </w:rPr>
              <w:t>甄</w:t>
            </w:r>
            <w:proofErr w:type="gramEnd"/>
          </w:p>
          <w:p w14:paraId="427DF6E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7576516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114.06.27</w:t>
            </w:r>
          </w:p>
          <w:p w14:paraId="26D4B350" w14:textId="571D2FC2"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（11-3-18）</w:t>
            </w:r>
          </w:p>
        </w:tc>
        <w:tc>
          <w:tcPr>
            <w:tcW w:w="1700" w:type="dxa"/>
          </w:tcPr>
          <w:p w14:paraId="48EFCB9E" w14:textId="393CE6F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lastRenderedPageBreak/>
              <w:t>司法及法制、經濟</w:t>
            </w:r>
          </w:p>
        </w:tc>
        <w:tc>
          <w:tcPr>
            <w:tcW w:w="1470" w:type="dxa"/>
          </w:tcPr>
          <w:p w14:paraId="32635825" w14:textId="53648D3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FB34793" w14:textId="77777777" w:rsidTr="00DF0B8F">
        <w:trPr>
          <w:jc w:val="center"/>
        </w:trPr>
        <w:tc>
          <w:tcPr>
            <w:tcW w:w="576" w:type="dxa"/>
          </w:tcPr>
          <w:p w14:paraId="3CE197A3" w14:textId="179A1F71"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10</w:t>
            </w:r>
          </w:p>
        </w:tc>
        <w:tc>
          <w:tcPr>
            <w:tcW w:w="3191" w:type="dxa"/>
          </w:tcPr>
          <w:p w14:paraId="35832341" w14:textId="5114CCD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3.廢止「經濟部國際貿易局組織條例」(廢止重點：經濟部及所屬機關組織法業已施行，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3FA9BE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503B046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032461A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114.08.22</w:t>
            </w:r>
          </w:p>
          <w:p w14:paraId="15E44B0A" w14:textId="25C1DCD1"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（11-3-26）</w:t>
            </w:r>
          </w:p>
        </w:tc>
        <w:tc>
          <w:tcPr>
            <w:tcW w:w="1700" w:type="dxa"/>
          </w:tcPr>
          <w:p w14:paraId="721F6AC3" w14:textId="6D936CE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A4FBA85" w14:textId="041EFD0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F03044E" w14:textId="77777777" w:rsidTr="00DF0B8F">
        <w:trPr>
          <w:jc w:val="center"/>
        </w:trPr>
        <w:tc>
          <w:tcPr>
            <w:tcW w:w="576" w:type="dxa"/>
          </w:tcPr>
          <w:p w14:paraId="3BCDA247" w14:textId="6EA0A509"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11</w:t>
            </w:r>
          </w:p>
        </w:tc>
        <w:tc>
          <w:tcPr>
            <w:tcW w:w="3191" w:type="dxa"/>
          </w:tcPr>
          <w:p w14:paraId="5AD74965" w14:textId="1E395B4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4.廢止「經濟部國際貿易局組織條例」(廢止重點：已整</w:t>
            </w:r>
            <w:proofErr w:type="gramStart"/>
            <w:r w:rsidRPr="001B6E4D">
              <w:rPr>
                <w:rFonts w:ascii="標楷體" w:eastAsia="標楷體" w:hAnsi="標楷體" w:cstheme="minorBidi"/>
              </w:rPr>
              <w:t>併</w:t>
            </w:r>
            <w:proofErr w:type="gramEnd"/>
            <w:r w:rsidRPr="001B6E4D">
              <w:rPr>
                <w:rFonts w:ascii="標楷體" w:eastAsia="標楷體" w:hAnsi="標楷體" w:cstheme="minorBidi"/>
              </w:rPr>
              <w:t>為國際貿易署，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1E10CF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41BAFA1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16人</w:t>
            </w:r>
          </w:p>
          <w:p w14:paraId="3D19B54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78452FD8" w14:textId="1E4B311E"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11-3-27）</w:t>
            </w:r>
          </w:p>
        </w:tc>
        <w:tc>
          <w:tcPr>
            <w:tcW w:w="1700" w:type="dxa"/>
          </w:tcPr>
          <w:p w14:paraId="114965C3" w14:textId="5B6F7B5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7D199B8" w14:textId="3D1484A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F6AE3A3" w14:textId="77777777" w:rsidTr="00DF0B8F">
        <w:trPr>
          <w:jc w:val="center"/>
        </w:trPr>
        <w:tc>
          <w:tcPr>
            <w:tcW w:w="576" w:type="dxa"/>
          </w:tcPr>
          <w:p w14:paraId="41C903B8" w14:textId="53C2DA7C"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12</w:t>
            </w:r>
          </w:p>
        </w:tc>
        <w:tc>
          <w:tcPr>
            <w:tcW w:w="3191" w:type="dxa"/>
          </w:tcPr>
          <w:p w14:paraId="57A08C73" w14:textId="63E0018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5.廢止「經濟部國際貿易局組織條例」(廢止重點：經濟部及所屬機關組織法業已施行，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B18E5E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委員林思銘</w:t>
            </w:r>
          </w:p>
          <w:p w14:paraId="6539C85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74C73BC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114.10.28</w:t>
            </w:r>
          </w:p>
          <w:p w14:paraId="7C3DA7BD" w14:textId="1A4DCF90"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（11-4-6）</w:t>
            </w:r>
          </w:p>
        </w:tc>
        <w:tc>
          <w:tcPr>
            <w:tcW w:w="1700" w:type="dxa"/>
          </w:tcPr>
          <w:p w14:paraId="6458F611" w14:textId="181BDD2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3E4E67B" w14:textId="20A8443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CCDA795" w14:textId="77777777" w:rsidTr="00DF0B8F">
        <w:trPr>
          <w:jc w:val="center"/>
        </w:trPr>
        <w:tc>
          <w:tcPr>
            <w:tcW w:w="576" w:type="dxa"/>
          </w:tcPr>
          <w:p w14:paraId="02ABADB9" w14:textId="17A61332"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13</w:t>
            </w:r>
          </w:p>
        </w:tc>
        <w:tc>
          <w:tcPr>
            <w:tcW w:w="3191" w:type="dxa"/>
          </w:tcPr>
          <w:p w14:paraId="0F344CF4" w14:textId="4BC2968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2.廢止「經濟部國際貿易局所屬各辦事處組織通則」(廢止重點：配合組織調整作業，</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6A41215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委員翁曉玲</w:t>
            </w:r>
          </w:p>
          <w:p w14:paraId="5FA927C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7767E2F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114.06.13</w:t>
            </w:r>
          </w:p>
          <w:p w14:paraId="48CD32CB" w14:textId="677B3096"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（11-3-16）</w:t>
            </w:r>
          </w:p>
        </w:tc>
        <w:tc>
          <w:tcPr>
            <w:tcW w:w="1700" w:type="dxa"/>
          </w:tcPr>
          <w:p w14:paraId="03228432" w14:textId="3D667F4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E361B99" w14:textId="34BA227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8BB0B66" w14:textId="77777777" w:rsidTr="00DF0B8F">
        <w:trPr>
          <w:jc w:val="center"/>
        </w:trPr>
        <w:tc>
          <w:tcPr>
            <w:tcW w:w="576" w:type="dxa"/>
          </w:tcPr>
          <w:p w14:paraId="58A2D84B" w14:textId="0E1DAB74"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14</w:t>
            </w:r>
          </w:p>
        </w:tc>
        <w:tc>
          <w:tcPr>
            <w:tcW w:w="3191" w:type="dxa"/>
          </w:tcPr>
          <w:p w14:paraId="7A5094ED" w14:textId="7FF9493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3.廢止「經濟部國際貿易局所屬各辦事處組織通則」(廢止重點：國貿局、國際合作處及貿易調查委員會整</w:t>
            </w:r>
            <w:proofErr w:type="gramStart"/>
            <w:r w:rsidRPr="001B6E4D">
              <w:rPr>
                <w:rFonts w:ascii="標楷體" w:eastAsia="標楷體" w:hAnsi="標楷體" w:cstheme="minorBidi"/>
              </w:rPr>
              <w:t>併</w:t>
            </w:r>
            <w:proofErr w:type="gramEnd"/>
            <w:r w:rsidRPr="001B6E4D">
              <w:rPr>
                <w:rFonts w:ascii="標楷體" w:eastAsia="標楷體" w:hAnsi="標楷體" w:cstheme="minorBidi"/>
              </w:rPr>
              <w:t>為國際貿易署，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01855B5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委員許宇</w:t>
            </w:r>
            <w:proofErr w:type="gramStart"/>
            <w:r w:rsidRPr="001B6E4D">
              <w:rPr>
                <w:rFonts w:ascii="標楷體" w:eastAsia="標楷體" w:hAnsi="標楷體" w:cstheme="minorBidi"/>
              </w:rPr>
              <w:t>甄</w:t>
            </w:r>
            <w:proofErr w:type="gramEnd"/>
          </w:p>
          <w:p w14:paraId="740CF75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307A627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114.06.27</w:t>
            </w:r>
          </w:p>
          <w:p w14:paraId="686CA3F1" w14:textId="62200662"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（11-3-18）</w:t>
            </w:r>
          </w:p>
        </w:tc>
        <w:tc>
          <w:tcPr>
            <w:tcW w:w="1700" w:type="dxa"/>
          </w:tcPr>
          <w:p w14:paraId="2ADA3339" w14:textId="34C2135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FEBEBA0" w14:textId="0A29817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B502456" w14:textId="77777777" w:rsidTr="00DF0B8F">
        <w:trPr>
          <w:jc w:val="center"/>
        </w:trPr>
        <w:tc>
          <w:tcPr>
            <w:tcW w:w="576" w:type="dxa"/>
          </w:tcPr>
          <w:p w14:paraId="6AB143AF" w14:textId="03C73FC2"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15</w:t>
            </w:r>
          </w:p>
        </w:tc>
        <w:tc>
          <w:tcPr>
            <w:tcW w:w="3191" w:type="dxa"/>
          </w:tcPr>
          <w:p w14:paraId="2D7E858A" w14:textId="3DC073A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4.廢止「經濟部國際貿易局所屬各辦事處組織通則」(廢止重點：經濟部及所屬機關組織法業已施行，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B4D99C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7B10D75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等18人</w:t>
            </w:r>
          </w:p>
          <w:p w14:paraId="5021BDA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114.08.22</w:t>
            </w:r>
          </w:p>
          <w:p w14:paraId="730A60CF" w14:textId="3974BD1A"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（11-3-26）</w:t>
            </w:r>
          </w:p>
        </w:tc>
        <w:tc>
          <w:tcPr>
            <w:tcW w:w="1700" w:type="dxa"/>
          </w:tcPr>
          <w:p w14:paraId="7030ED44" w14:textId="3D48183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200B4483" w14:textId="52E5D93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158C6F9" w14:textId="77777777" w:rsidTr="00DF0B8F">
        <w:trPr>
          <w:jc w:val="center"/>
        </w:trPr>
        <w:tc>
          <w:tcPr>
            <w:tcW w:w="576" w:type="dxa"/>
          </w:tcPr>
          <w:p w14:paraId="7C8EF3C5" w14:textId="3B717095"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16</w:t>
            </w:r>
          </w:p>
        </w:tc>
        <w:tc>
          <w:tcPr>
            <w:tcW w:w="3191" w:type="dxa"/>
          </w:tcPr>
          <w:p w14:paraId="132AC893" w14:textId="2B3D26B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5.廢止「經濟部國際貿易局所屬各辦事處組織通則」(廢止重點：經濟部及所屬機關組織法業已施行，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7629E6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委員楊瓊瓔</w:t>
            </w:r>
          </w:p>
          <w:p w14:paraId="7D63AFA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等26人</w:t>
            </w:r>
          </w:p>
          <w:p w14:paraId="7455A80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114.10.14</w:t>
            </w:r>
          </w:p>
          <w:p w14:paraId="01EBB1E4" w14:textId="151AF33A"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（11-4-4）</w:t>
            </w:r>
          </w:p>
        </w:tc>
        <w:tc>
          <w:tcPr>
            <w:tcW w:w="1700" w:type="dxa"/>
          </w:tcPr>
          <w:p w14:paraId="4A141BA5" w14:textId="62E7702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0755C0B" w14:textId="7F93AE0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046220A" w14:textId="77777777" w:rsidTr="00DF0B8F">
        <w:trPr>
          <w:jc w:val="center"/>
        </w:trPr>
        <w:tc>
          <w:tcPr>
            <w:tcW w:w="576" w:type="dxa"/>
          </w:tcPr>
          <w:p w14:paraId="35D6020B" w14:textId="0ED92D0F"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17</w:t>
            </w:r>
          </w:p>
        </w:tc>
        <w:tc>
          <w:tcPr>
            <w:tcW w:w="3191" w:type="dxa"/>
          </w:tcPr>
          <w:p w14:paraId="6E193F31" w14:textId="3CC58C8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3.廢止「經濟部能源局組織條例」(廢止重點：經濟部及所屬機關組織法業已施行</w:t>
            </w:r>
            <w:r w:rsidRPr="001B6E4D">
              <w:rPr>
                <w:rFonts w:ascii="標楷體" w:eastAsia="標楷體" w:hAnsi="標楷體" w:cstheme="minorBidi"/>
              </w:rPr>
              <w:lastRenderedPageBreak/>
              <w:t>，</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02B64E4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委員羅智強</w:t>
            </w:r>
          </w:p>
          <w:p w14:paraId="26E649F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等18人</w:t>
            </w:r>
          </w:p>
          <w:p w14:paraId="6BAFAA5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7A83EF64" w14:textId="4D25BCB7"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lastRenderedPageBreak/>
              <w:t>（11-3-27）</w:t>
            </w:r>
          </w:p>
        </w:tc>
        <w:tc>
          <w:tcPr>
            <w:tcW w:w="1700" w:type="dxa"/>
          </w:tcPr>
          <w:p w14:paraId="3283C39E" w14:textId="2911BCD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lastRenderedPageBreak/>
              <w:t>司法及法制、經濟</w:t>
            </w:r>
          </w:p>
        </w:tc>
        <w:tc>
          <w:tcPr>
            <w:tcW w:w="1470" w:type="dxa"/>
          </w:tcPr>
          <w:p w14:paraId="03F45AA5" w14:textId="588986D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A3578C4" w14:textId="77777777" w:rsidTr="00DF0B8F">
        <w:trPr>
          <w:jc w:val="center"/>
        </w:trPr>
        <w:tc>
          <w:tcPr>
            <w:tcW w:w="576" w:type="dxa"/>
          </w:tcPr>
          <w:p w14:paraId="2D94B905" w14:textId="5DE2B38A"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18</w:t>
            </w:r>
          </w:p>
        </w:tc>
        <w:tc>
          <w:tcPr>
            <w:tcW w:w="3191" w:type="dxa"/>
          </w:tcPr>
          <w:p w14:paraId="3D8AB10F" w14:textId="158695F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4.廢止「經濟部能源局組織條例」(廢止重點：經濟部及所屬機關組織法業已施行，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11643F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委員林思銘</w:t>
            </w:r>
          </w:p>
          <w:p w14:paraId="7E3B506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44882CE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114.10.28</w:t>
            </w:r>
          </w:p>
          <w:p w14:paraId="66A04F2C" w14:textId="372F5749"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（11-4-6）</w:t>
            </w:r>
          </w:p>
        </w:tc>
        <w:tc>
          <w:tcPr>
            <w:tcW w:w="1700" w:type="dxa"/>
          </w:tcPr>
          <w:p w14:paraId="2F0A4A5D" w14:textId="29C57BB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8D3A388" w14:textId="78252DD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4B402CC" w14:textId="77777777" w:rsidTr="00DF0B8F">
        <w:trPr>
          <w:jc w:val="center"/>
        </w:trPr>
        <w:tc>
          <w:tcPr>
            <w:tcW w:w="576" w:type="dxa"/>
          </w:tcPr>
          <w:p w14:paraId="6066C14E" w14:textId="267FBBA6"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19</w:t>
            </w:r>
          </w:p>
        </w:tc>
        <w:tc>
          <w:tcPr>
            <w:tcW w:w="3191" w:type="dxa"/>
          </w:tcPr>
          <w:p w14:paraId="6112BFD3" w14:textId="1BA7FA0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5.廢止「經濟部能源局組織條例」(廢止重點：經濟部及所屬機關組織法業已施行，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0347BC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委員許宇</w:t>
            </w:r>
            <w:proofErr w:type="gramStart"/>
            <w:r w:rsidRPr="001B6E4D">
              <w:rPr>
                <w:rFonts w:ascii="標楷體" w:eastAsia="標楷體" w:hAnsi="標楷體" w:cstheme="minorBidi"/>
              </w:rPr>
              <w:t>甄</w:t>
            </w:r>
            <w:proofErr w:type="gramEnd"/>
          </w:p>
          <w:p w14:paraId="087EA5A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等20人</w:t>
            </w:r>
          </w:p>
          <w:p w14:paraId="7DA55E9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114.12.26</w:t>
            </w:r>
          </w:p>
          <w:p w14:paraId="1AA6ADD7" w14:textId="4C29C049"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（11-4-15）</w:t>
            </w:r>
          </w:p>
        </w:tc>
        <w:tc>
          <w:tcPr>
            <w:tcW w:w="1700" w:type="dxa"/>
          </w:tcPr>
          <w:p w14:paraId="0767C1E3" w14:textId="58F54C1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285DE75" w14:textId="0957379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7398C8A" w14:textId="77777777" w:rsidTr="00DF0B8F">
        <w:trPr>
          <w:jc w:val="center"/>
        </w:trPr>
        <w:tc>
          <w:tcPr>
            <w:tcW w:w="576" w:type="dxa"/>
          </w:tcPr>
          <w:p w14:paraId="18DC3337" w14:textId="25DBEB70"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20</w:t>
            </w:r>
          </w:p>
        </w:tc>
        <w:tc>
          <w:tcPr>
            <w:tcW w:w="3191" w:type="dxa"/>
          </w:tcPr>
          <w:p w14:paraId="52A5760F" w14:textId="424A15B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6.廢止「經濟部能源局組織條例」(廢止重點：經濟部及所屬機關組織法業已施行，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30BD41C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6790A1A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17人</w:t>
            </w:r>
          </w:p>
          <w:p w14:paraId="3296F01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115.01.23</w:t>
            </w:r>
          </w:p>
          <w:p w14:paraId="19E7CD6A" w14:textId="638498EF"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11-4-19）</w:t>
            </w:r>
          </w:p>
        </w:tc>
        <w:tc>
          <w:tcPr>
            <w:tcW w:w="1700" w:type="dxa"/>
          </w:tcPr>
          <w:p w14:paraId="6CC00850" w14:textId="29656BC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E0BD6BB" w14:textId="5CEF335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5763903" w14:textId="77777777" w:rsidTr="00DF0B8F">
        <w:trPr>
          <w:jc w:val="center"/>
        </w:trPr>
        <w:tc>
          <w:tcPr>
            <w:tcW w:w="576" w:type="dxa"/>
          </w:tcPr>
          <w:p w14:paraId="05D1645A" w14:textId="7DE634A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21</w:t>
            </w:r>
          </w:p>
        </w:tc>
        <w:tc>
          <w:tcPr>
            <w:tcW w:w="3191" w:type="dxa"/>
          </w:tcPr>
          <w:p w14:paraId="4D03787B" w14:textId="3C8B7F2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3.廢止「經濟部產業園區管理局組織條例」(廢止重點：經濟部及所屬機關組織法業已施行，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DE3979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7F3C018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等18人</w:t>
            </w:r>
          </w:p>
          <w:p w14:paraId="3C1296C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1BDDAD0F" w14:textId="302FB700"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（11-3-27）</w:t>
            </w:r>
          </w:p>
        </w:tc>
        <w:tc>
          <w:tcPr>
            <w:tcW w:w="1700" w:type="dxa"/>
          </w:tcPr>
          <w:p w14:paraId="2244DC56" w14:textId="6B6F5E0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6C59872" w14:textId="2337002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CD23F13" w14:textId="77777777" w:rsidTr="00DF0B8F">
        <w:trPr>
          <w:jc w:val="center"/>
        </w:trPr>
        <w:tc>
          <w:tcPr>
            <w:tcW w:w="576" w:type="dxa"/>
          </w:tcPr>
          <w:p w14:paraId="4375FBA3" w14:textId="0EB6E7F3"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22</w:t>
            </w:r>
          </w:p>
        </w:tc>
        <w:tc>
          <w:tcPr>
            <w:tcW w:w="3191" w:type="dxa"/>
          </w:tcPr>
          <w:p w14:paraId="20436400" w14:textId="354A87B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3.廢止「經濟部中小企業處組織條例」(廢止重點：已升格並改名為中小及新創企業署，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83F7C5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委員翁曉玲</w:t>
            </w:r>
          </w:p>
          <w:p w14:paraId="56917CB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266AE01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114.06.13</w:t>
            </w:r>
          </w:p>
          <w:p w14:paraId="773C9233" w14:textId="6D2370C6"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（11-3-16）</w:t>
            </w:r>
          </w:p>
        </w:tc>
        <w:tc>
          <w:tcPr>
            <w:tcW w:w="1700" w:type="dxa"/>
          </w:tcPr>
          <w:p w14:paraId="69C1A281" w14:textId="3827A6E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48426D3" w14:textId="4A0747C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08F7D23" w14:textId="77777777" w:rsidTr="00DF0B8F">
        <w:trPr>
          <w:jc w:val="center"/>
        </w:trPr>
        <w:tc>
          <w:tcPr>
            <w:tcW w:w="576" w:type="dxa"/>
          </w:tcPr>
          <w:p w14:paraId="48CA8E40" w14:textId="618B1603"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23</w:t>
            </w:r>
          </w:p>
        </w:tc>
        <w:tc>
          <w:tcPr>
            <w:tcW w:w="3191" w:type="dxa"/>
          </w:tcPr>
          <w:p w14:paraId="1DBFF8A1" w14:textId="19772A5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4.廢止「經濟部中小企業處組織條例」(廢止重點：經濟部及所屬機關組織法業已施行，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2B6914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50EFF47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等18人</w:t>
            </w:r>
          </w:p>
          <w:p w14:paraId="2082180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114.08.22</w:t>
            </w:r>
          </w:p>
          <w:p w14:paraId="4411FB42" w14:textId="39E0911F"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（11-3-26）</w:t>
            </w:r>
          </w:p>
        </w:tc>
        <w:tc>
          <w:tcPr>
            <w:tcW w:w="1700" w:type="dxa"/>
          </w:tcPr>
          <w:p w14:paraId="00E0F85C" w14:textId="728E0B2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1A48BAE" w14:textId="587A227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74A8564" w14:textId="77777777" w:rsidTr="00DF0B8F">
        <w:trPr>
          <w:jc w:val="center"/>
        </w:trPr>
        <w:tc>
          <w:tcPr>
            <w:tcW w:w="576" w:type="dxa"/>
          </w:tcPr>
          <w:p w14:paraId="0BC06E60" w14:textId="0949AE5F"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24</w:t>
            </w:r>
          </w:p>
        </w:tc>
        <w:tc>
          <w:tcPr>
            <w:tcW w:w="3191" w:type="dxa"/>
          </w:tcPr>
          <w:p w14:paraId="7057175D" w14:textId="7669053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5.廢止「經濟部中小企業處組織條例」(廢止重點：整</w:t>
            </w:r>
            <w:proofErr w:type="gramStart"/>
            <w:r w:rsidRPr="001B6E4D">
              <w:rPr>
                <w:rFonts w:ascii="標楷體" w:eastAsia="標楷體" w:hAnsi="標楷體" w:cstheme="minorBidi"/>
              </w:rPr>
              <w:t>併</w:t>
            </w:r>
            <w:proofErr w:type="gramEnd"/>
            <w:r w:rsidRPr="001B6E4D">
              <w:rPr>
                <w:rFonts w:ascii="標楷體" w:eastAsia="標楷體" w:hAnsi="標楷體" w:cstheme="minorBidi"/>
              </w:rPr>
              <w:t>為中小及新創企業署，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8DF7D4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委員楊瓊瓔</w:t>
            </w:r>
          </w:p>
          <w:p w14:paraId="40D4D10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等25人</w:t>
            </w:r>
          </w:p>
          <w:p w14:paraId="3F63A5A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114.10.14</w:t>
            </w:r>
          </w:p>
          <w:p w14:paraId="423FAF4F" w14:textId="6CD7B729"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（11-4-4）</w:t>
            </w:r>
          </w:p>
        </w:tc>
        <w:tc>
          <w:tcPr>
            <w:tcW w:w="1700" w:type="dxa"/>
          </w:tcPr>
          <w:p w14:paraId="203537C7" w14:textId="0633D0E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4A98B1C" w14:textId="55399BB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D705865" w14:textId="77777777" w:rsidTr="00DF0B8F">
        <w:trPr>
          <w:jc w:val="center"/>
        </w:trPr>
        <w:tc>
          <w:tcPr>
            <w:tcW w:w="576" w:type="dxa"/>
          </w:tcPr>
          <w:p w14:paraId="30EC2D76" w14:textId="69A28EB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25</w:t>
            </w:r>
          </w:p>
        </w:tc>
        <w:tc>
          <w:tcPr>
            <w:tcW w:w="3191" w:type="dxa"/>
          </w:tcPr>
          <w:p w14:paraId="6F98E36D" w14:textId="616C41A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6.廢止「經濟部中小企業處組織條例」(廢止重點：經濟部及所屬機關組織法業已施行，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AEF28C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委員林思銘</w:t>
            </w:r>
          </w:p>
          <w:p w14:paraId="33FC430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6FA4D44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114.10.28</w:t>
            </w:r>
          </w:p>
          <w:p w14:paraId="4ECE29D8" w14:textId="2170E5D0"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（11-4-6）</w:t>
            </w:r>
          </w:p>
        </w:tc>
        <w:tc>
          <w:tcPr>
            <w:tcW w:w="1700" w:type="dxa"/>
          </w:tcPr>
          <w:p w14:paraId="5628289F" w14:textId="767BF6E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DAB3DD7" w14:textId="049B354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08A03E2" w14:textId="77777777" w:rsidTr="00DF0B8F">
        <w:trPr>
          <w:jc w:val="center"/>
        </w:trPr>
        <w:tc>
          <w:tcPr>
            <w:tcW w:w="576" w:type="dxa"/>
          </w:tcPr>
          <w:p w14:paraId="29FBD4C3" w14:textId="581DDC02"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26</w:t>
            </w:r>
          </w:p>
        </w:tc>
        <w:tc>
          <w:tcPr>
            <w:tcW w:w="3191" w:type="dxa"/>
          </w:tcPr>
          <w:p w14:paraId="3D1E0DEA" w14:textId="428D694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7.廢止「經濟部中小企業處組織條例」(廢止重點：經濟部及所屬機關組織法業已施行，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A1384E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59DEC65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17人</w:t>
            </w:r>
          </w:p>
          <w:p w14:paraId="526C06C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115.01.23</w:t>
            </w:r>
          </w:p>
          <w:p w14:paraId="164266A8" w14:textId="154D7802"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11-4-19）</w:t>
            </w:r>
          </w:p>
        </w:tc>
        <w:tc>
          <w:tcPr>
            <w:tcW w:w="1700" w:type="dxa"/>
          </w:tcPr>
          <w:p w14:paraId="0C6907E9" w14:textId="531E733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461370F" w14:textId="02E2A8E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41E86FA" w14:textId="77777777" w:rsidTr="00DF0B8F">
        <w:trPr>
          <w:jc w:val="center"/>
        </w:trPr>
        <w:tc>
          <w:tcPr>
            <w:tcW w:w="576" w:type="dxa"/>
          </w:tcPr>
          <w:p w14:paraId="19C3A8E1" w14:textId="21037B03"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27</w:t>
            </w:r>
          </w:p>
        </w:tc>
        <w:tc>
          <w:tcPr>
            <w:tcW w:w="3191" w:type="dxa"/>
          </w:tcPr>
          <w:p w14:paraId="023286ED" w14:textId="2748742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8.廢止「經濟部中小企業處</w:t>
            </w:r>
            <w:r w:rsidRPr="001B6E4D">
              <w:rPr>
                <w:rFonts w:ascii="標楷體" w:eastAsia="標楷體" w:hAnsi="標楷體" w:cstheme="minorBidi"/>
              </w:rPr>
              <w:lastRenderedPageBreak/>
              <w:t>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688C6F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委員許宇</w:t>
            </w:r>
            <w:proofErr w:type="gramStart"/>
            <w:r w:rsidRPr="001B6E4D">
              <w:rPr>
                <w:rFonts w:ascii="標楷體" w:eastAsia="標楷體" w:hAnsi="標楷體" w:cstheme="minorBidi"/>
              </w:rPr>
              <w:t>甄</w:t>
            </w:r>
            <w:proofErr w:type="gramEnd"/>
          </w:p>
          <w:p w14:paraId="78460E0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等21人</w:t>
            </w:r>
          </w:p>
          <w:p w14:paraId="32951F2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115.04.17</w:t>
            </w:r>
          </w:p>
          <w:p w14:paraId="34EF39F2" w14:textId="1DD8D158"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（11-5-7）</w:t>
            </w:r>
          </w:p>
        </w:tc>
        <w:tc>
          <w:tcPr>
            <w:tcW w:w="1700" w:type="dxa"/>
          </w:tcPr>
          <w:p w14:paraId="588EBBC0" w14:textId="3DA0817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lastRenderedPageBreak/>
              <w:t>司法及法制、</w:t>
            </w:r>
            <w:r w:rsidRPr="001B6E4D">
              <w:rPr>
                <w:rFonts w:ascii="標楷體" w:eastAsia="標楷體" w:hAnsi="標楷體" w:cstheme="minorBidi"/>
              </w:rPr>
              <w:lastRenderedPageBreak/>
              <w:t>經濟</w:t>
            </w:r>
          </w:p>
        </w:tc>
        <w:tc>
          <w:tcPr>
            <w:tcW w:w="1470" w:type="dxa"/>
          </w:tcPr>
          <w:p w14:paraId="76C58F7C" w14:textId="4737AFB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lastRenderedPageBreak/>
              <w:t>尚未審查</w:t>
            </w:r>
          </w:p>
        </w:tc>
      </w:tr>
      <w:tr w:rsidR="003C4019" w:rsidRPr="001B6E4D" w14:paraId="31F793C0" w14:textId="77777777" w:rsidTr="00DF0B8F">
        <w:trPr>
          <w:jc w:val="center"/>
        </w:trPr>
        <w:tc>
          <w:tcPr>
            <w:tcW w:w="576" w:type="dxa"/>
          </w:tcPr>
          <w:p w14:paraId="722CF344" w14:textId="64894BEB"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28</w:t>
            </w:r>
          </w:p>
        </w:tc>
        <w:tc>
          <w:tcPr>
            <w:tcW w:w="3191" w:type="dxa"/>
          </w:tcPr>
          <w:p w14:paraId="417D7EB9" w14:textId="612D42E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3.廢止「經濟部水利署組織條例」(廢止重點：經濟部及所屬機關組織法業已施行，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0EE746B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599187E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3F18123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114.08.22</w:t>
            </w:r>
          </w:p>
          <w:p w14:paraId="25C6BA17" w14:textId="1980C67E"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（11-3-26）</w:t>
            </w:r>
          </w:p>
        </w:tc>
        <w:tc>
          <w:tcPr>
            <w:tcW w:w="1700" w:type="dxa"/>
          </w:tcPr>
          <w:p w14:paraId="53DDCE02" w14:textId="798C4DA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F3511C4" w14:textId="40FBD86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0AB9B81" w14:textId="77777777" w:rsidTr="00DF0B8F">
        <w:trPr>
          <w:jc w:val="center"/>
        </w:trPr>
        <w:tc>
          <w:tcPr>
            <w:tcW w:w="576" w:type="dxa"/>
          </w:tcPr>
          <w:p w14:paraId="01EBF6DC" w14:textId="2B0D0B2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29</w:t>
            </w:r>
          </w:p>
        </w:tc>
        <w:tc>
          <w:tcPr>
            <w:tcW w:w="3191" w:type="dxa"/>
          </w:tcPr>
          <w:p w14:paraId="5469FBAF" w14:textId="604C0A1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2.廢止「經濟部水利署</w:t>
            </w:r>
            <w:proofErr w:type="gramStart"/>
            <w:r w:rsidRPr="001B6E4D">
              <w:rPr>
                <w:rFonts w:ascii="標楷體" w:eastAsia="標楷體" w:hAnsi="標楷體" w:cstheme="minorBidi"/>
              </w:rPr>
              <w:t>臺</w:t>
            </w:r>
            <w:proofErr w:type="gramEnd"/>
            <w:r w:rsidRPr="001B6E4D">
              <w:rPr>
                <w:rFonts w:ascii="標楷體" w:eastAsia="標楷體" w:hAnsi="標楷體" w:cstheme="minorBidi"/>
              </w:rPr>
              <w:t>北水源特定區管理局組織條例」(廢止重點：經濟部及所屬機關組織法業已施行，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0EDF770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2DE678A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等18人</w:t>
            </w:r>
          </w:p>
          <w:p w14:paraId="7DB0479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25E51862" w14:textId="6EB7FF70"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（11-3-27）</w:t>
            </w:r>
          </w:p>
        </w:tc>
        <w:tc>
          <w:tcPr>
            <w:tcW w:w="1700" w:type="dxa"/>
          </w:tcPr>
          <w:p w14:paraId="60E526F4" w14:textId="67DDD66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2145271" w14:textId="24A3690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9573208" w14:textId="77777777" w:rsidTr="00DF0B8F">
        <w:trPr>
          <w:jc w:val="center"/>
        </w:trPr>
        <w:tc>
          <w:tcPr>
            <w:tcW w:w="576" w:type="dxa"/>
          </w:tcPr>
          <w:p w14:paraId="027997A2" w14:textId="673192B5"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30</w:t>
            </w:r>
          </w:p>
        </w:tc>
        <w:tc>
          <w:tcPr>
            <w:tcW w:w="3191" w:type="dxa"/>
          </w:tcPr>
          <w:p w14:paraId="0DBAC765" w14:textId="77C7282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3.廢止「經濟部水利署各區水資源局組織通則」(廢止重點：經濟部及所屬機關組織法業已施行，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6F91BC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2DAAF5D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12A5DF1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114.08.22</w:t>
            </w:r>
          </w:p>
          <w:p w14:paraId="23C5C614" w14:textId="006C7915"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（11-3-26）</w:t>
            </w:r>
          </w:p>
        </w:tc>
        <w:tc>
          <w:tcPr>
            <w:tcW w:w="1700" w:type="dxa"/>
          </w:tcPr>
          <w:p w14:paraId="754CB56B" w14:textId="7D65DE0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AD8C701" w14:textId="36CC280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95FC4AF" w14:textId="77777777" w:rsidTr="00DF0B8F">
        <w:trPr>
          <w:jc w:val="center"/>
        </w:trPr>
        <w:tc>
          <w:tcPr>
            <w:tcW w:w="576" w:type="dxa"/>
          </w:tcPr>
          <w:p w14:paraId="71270703" w14:textId="6EA4E97E"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31</w:t>
            </w:r>
          </w:p>
        </w:tc>
        <w:tc>
          <w:tcPr>
            <w:tcW w:w="3191" w:type="dxa"/>
          </w:tcPr>
          <w:p w14:paraId="01450171" w14:textId="2354888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3.廢止「經濟部水利署各河川局組織通則」(廢止重點：經濟部及所屬機關組織法業已施行，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169F00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2829831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5B963D8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7E3F88D7" w14:textId="2DC344C7"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（11-3-27）</w:t>
            </w:r>
          </w:p>
        </w:tc>
        <w:tc>
          <w:tcPr>
            <w:tcW w:w="1700" w:type="dxa"/>
          </w:tcPr>
          <w:p w14:paraId="66718F26" w14:textId="1FBC0B4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2D8D8623" w14:textId="49AD282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9B822A6" w14:textId="77777777" w:rsidTr="00DF0B8F">
        <w:trPr>
          <w:jc w:val="center"/>
        </w:trPr>
        <w:tc>
          <w:tcPr>
            <w:tcW w:w="576" w:type="dxa"/>
          </w:tcPr>
          <w:p w14:paraId="5A092A7D" w14:textId="400AC187"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32</w:t>
            </w:r>
          </w:p>
        </w:tc>
        <w:tc>
          <w:tcPr>
            <w:tcW w:w="3191" w:type="dxa"/>
          </w:tcPr>
          <w:p w14:paraId="2CAFF11A" w14:textId="14FFF4F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3.廢止「經濟部水利署水利規劃試驗所組織條例」(廢止重點：經濟部及所屬機關組織法業已施行，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81C0EF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47770E1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3D648BE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5245C7FE" w14:textId="555901CD"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（11-3-27）</w:t>
            </w:r>
          </w:p>
        </w:tc>
        <w:tc>
          <w:tcPr>
            <w:tcW w:w="1700" w:type="dxa"/>
          </w:tcPr>
          <w:p w14:paraId="5A1639E8" w14:textId="6A1AB78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21B862EF" w14:textId="61E3282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ADE2BD8" w14:textId="77777777" w:rsidTr="00DF0B8F">
        <w:trPr>
          <w:jc w:val="center"/>
        </w:trPr>
        <w:tc>
          <w:tcPr>
            <w:tcW w:w="576" w:type="dxa"/>
          </w:tcPr>
          <w:p w14:paraId="6815FA24" w14:textId="4994E7AD"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33</w:t>
            </w:r>
          </w:p>
        </w:tc>
        <w:tc>
          <w:tcPr>
            <w:tcW w:w="3191" w:type="dxa"/>
          </w:tcPr>
          <w:p w14:paraId="2E2A2DFE" w14:textId="4751DBE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2.廢止「經濟部加工出口區管理處所屬各分處組織通則」(廢止重點：經濟部及所屬機關組織法業已施行，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CFFA82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06E3440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57B5822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642116B9" w14:textId="694FFD0B"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（11-3-27）</w:t>
            </w:r>
          </w:p>
        </w:tc>
        <w:tc>
          <w:tcPr>
            <w:tcW w:w="1700" w:type="dxa"/>
          </w:tcPr>
          <w:p w14:paraId="64719A43" w14:textId="1AD29E0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537DB1F" w14:textId="65716EF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4746D08" w14:textId="77777777" w:rsidTr="00DF0B8F">
        <w:trPr>
          <w:jc w:val="center"/>
        </w:trPr>
        <w:tc>
          <w:tcPr>
            <w:tcW w:w="576" w:type="dxa"/>
          </w:tcPr>
          <w:p w14:paraId="3844F9C7" w14:textId="44B2E74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34</w:t>
            </w:r>
          </w:p>
        </w:tc>
        <w:tc>
          <w:tcPr>
            <w:tcW w:w="3191" w:type="dxa"/>
          </w:tcPr>
          <w:p w14:paraId="492F07F5" w14:textId="54D7E8F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3.廢止「經濟部智慧財產局組織條例」(廢止重點：經濟部及所屬機關組織法業已施行，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061EF00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6BEB75D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等18人</w:t>
            </w:r>
          </w:p>
          <w:p w14:paraId="43149A8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114.08.22</w:t>
            </w:r>
          </w:p>
          <w:p w14:paraId="08485D7A" w14:textId="08787287"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（11-3-26）</w:t>
            </w:r>
          </w:p>
        </w:tc>
        <w:tc>
          <w:tcPr>
            <w:tcW w:w="1700" w:type="dxa"/>
          </w:tcPr>
          <w:p w14:paraId="5B36C8EA" w14:textId="7AF2CEC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FC6B0AB" w14:textId="76261C9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0B2B511" w14:textId="77777777" w:rsidTr="00DF0B8F">
        <w:trPr>
          <w:jc w:val="center"/>
        </w:trPr>
        <w:tc>
          <w:tcPr>
            <w:tcW w:w="576" w:type="dxa"/>
          </w:tcPr>
          <w:p w14:paraId="6187AEBC" w14:textId="0C2822A5"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35</w:t>
            </w:r>
          </w:p>
        </w:tc>
        <w:tc>
          <w:tcPr>
            <w:tcW w:w="3191" w:type="dxa"/>
          </w:tcPr>
          <w:p w14:paraId="2D47528A" w14:textId="109444A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4.廢止「經濟部智慧財產局組織條例」(廢止重點：經濟部及所屬機關組織法業已</w:t>
            </w:r>
            <w:r w:rsidRPr="001B6E4D">
              <w:rPr>
                <w:rFonts w:ascii="標楷體" w:eastAsia="標楷體" w:hAnsi="標楷體" w:cstheme="minorBidi"/>
              </w:rPr>
              <w:lastRenderedPageBreak/>
              <w:t>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381FC9F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委員許宇</w:t>
            </w:r>
            <w:proofErr w:type="gramStart"/>
            <w:r w:rsidRPr="001B6E4D">
              <w:rPr>
                <w:rFonts w:ascii="標楷體" w:eastAsia="標楷體" w:hAnsi="標楷體" w:cstheme="minorBidi"/>
              </w:rPr>
              <w:t>甄</w:t>
            </w:r>
            <w:proofErr w:type="gramEnd"/>
          </w:p>
          <w:p w14:paraId="3694778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等20人</w:t>
            </w:r>
          </w:p>
          <w:p w14:paraId="78BA4B9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114.12.26</w:t>
            </w:r>
          </w:p>
          <w:p w14:paraId="5C6A079A" w14:textId="1DF38A26"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lastRenderedPageBreak/>
              <w:t>（11-4-15）</w:t>
            </w:r>
          </w:p>
        </w:tc>
        <w:tc>
          <w:tcPr>
            <w:tcW w:w="1700" w:type="dxa"/>
          </w:tcPr>
          <w:p w14:paraId="6AB27A95" w14:textId="73845F5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lastRenderedPageBreak/>
              <w:t>司法及法制、經濟</w:t>
            </w:r>
          </w:p>
        </w:tc>
        <w:tc>
          <w:tcPr>
            <w:tcW w:w="1470" w:type="dxa"/>
          </w:tcPr>
          <w:p w14:paraId="5C158596" w14:textId="06A54BD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A04C8D4" w14:textId="77777777" w:rsidTr="00DF0B8F">
        <w:trPr>
          <w:jc w:val="center"/>
        </w:trPr>
        <w:tc>
          <w:tcPr>
            <w:tcW w:w="576" w:type="dxa"/>
          </w:tcPr>
          <w:p w14:paraId="22D92465" w14:textId="630EA520"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36</w:t>
            </w:r>
          </w:p>
        </w:tc>
        <w:tc>
          <w:tcPr>
            <w:tcW w:w="3191" w:type="dxa"/>
          </w:tcPr>
          <w:p w14:paraId="7F55FAA6" w14:textId="407B833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5.廢止「經濟部智慧財產局組織條例」(廢止重點：經濟部及所屬機關組織法業已施行，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A17369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5794F6A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17人</w:t>
            </w:r>
          </w:p>
          <w:p w14:paraId="08C70AF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115.01.23</w:t>
            </w:r>
          </w:p>
          <w:p w14:paraId="1855B1C4" w14:textId="56FC2BE0"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11-4-19）</w:t>
            </w:r>
          </w:p>
        </w:tc>
        <w:tc>
          <w:tcPr>
            <w:tcW w:w="1700" w:type="dxa"/>
          </w:tcPr>
          <w:p w14:paraId="2A9172A3" w14:textId="6AF578A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28E7A72A" w14:textId="3B407BC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FDD9EF8" w14:textId="77777777" w:rsidTr="00DF0B8F">
        <w:trPr>
          <w:jc w:val="center"/>
        </w:trPr>
        <w:tc>
          <w:tcPr>
            <w:tcW w:w="576" w:type="dxa"/>
          </w:tcPr>
          <w:p w14:paraId="04994D4D" w14:textId="55B81ADD"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37</w:t>
            </w:r>
          </w:p>
        </w:tc>
        <w:tc>
          <w:tcPr>
            <w:tcW w:w="3191" w:type="dxa"/>
          </w:tcPr>
          <w:p w14:paraId="0837461D" w14:textId="6F865A7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3.廢止「經濟部標準檢驗局組織條例」(廢止重點：經濟部暨所屬三級機關組織法已施行，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404982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委員許宇</w:t>
            </w:r>
            <w:proofErr w:type="gramStart"/>
            <w:r w:rsidRPr="001B6E4D">
              <w:rPr>
                <w:rFonts w:ascii="標楷體" w:eastAsia="標楷體" w:hAnsi="標楷體" w:cstheme="minorBidi"/>
              </w:rPr>
              <w:t>甄</w:t>
            </w:r>
            <w:proofErr w:type="gramEnd"/>
          </w:p>
          <w:p w14:paraId="7F4E56B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7B6204B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114.06.27</w:t>
            </w:r>
          </w:p>
          <w:p w14:paraId="457FDBC8" w14:textId="7A5CF1DE"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（11-3-18）</w:t>
            </w:r>
          </w:p>
        </w:tc>
        <w:tc>
          <w:tcPr>
            <w:tcW w:w="1700" w:type="dxa"/>
          </w:tcPr>
          <w:p w14:paraId="551F50C9" w14:textId="5945269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2D6B13A6" w14:textId="2A6B340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0993F08" w14:textId="77777777" w:rsidTr="00DF0B8F">
        <w:trPr>
          <w:jc w:val="center"/>
        </w:trPr>
        <w:tc>
          <w:tcPr>
            <w:tcW w:w="576" w:type="dxa"/>
          </w:tcPr>
          <w:p w14:paraId="74287DDC" w14:textId="34D4F6C3"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38</w:t>
            </w:r>
          </w:p>
        </w:tc>
        <w:tc>
          <w:tcPr>
            <w:tcW w:w="3191" w:type="dxa"/>
          </w:tcPr>
          <w:p w14:paraId="5071652B" w14:textId="7675DA5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4.廢止「經濟部標準檢驗局組織條例」(廢止重點：經濟部及所屬機關組織法業已施行，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053368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2360D92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等18人</w:t>
            </w:r>
          </w:p>
          <w:p w14:paraId="55767DE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114.08.22</w:t>
            </w:r>
          </w:p>
          <w:p w14:paraId="083237F5" w14:textId="3DC932F4"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（11-3-26）</w:t>
            </w:r>
          </w:p>
        </w:tc>
        <w:tc>
          <w:tcPr>
            <w:tcW w:w="1700" w:type="dxa"/>
          </w:tcPr>
          <w:p w14:paraId="099953F3" w14:textId="2CF6014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A364F9E" w14:textId="743CBED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A964C19" w14:textId="77777777" w:rsidTr="00DF0B8F">
        <w:trPr>
          <w:jc w:val="center"/>
        </w:trPr>
        <w:tc>
          <w:tcPr>
            <w:tcW w:w="576" w:type="dxa"/>
          </w:tcPr>
          <w:p w14:paraId="4213FF8E" w14:textId="33C404B5"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39</w:t>
            </w:r>
          </w:p>
        </w:tc>
        <w:tc>
          <w:tcPr>
            <w:tcW w:w="3191" w:type="dxa"/>
          </w:tcPr>
          <w:p w14:paraId="143FC8EC" w14:textId="3CD0F08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5.廢止「經濟部標準檢驗局組織條例」(廢止重點：經濟部及所屬機關組織法業已施行，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0438F68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185605A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16人</w:t>
            </w:r>
          </w:p>
          <w:p w14:paraId="3723165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5A40E0B2" w14:textId="581C85BB"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11-3-27）</w:t>
            </w:r>
          </w:p>
        </w:tc>
        <w:tc>
          <w:tcPr>
            <w:tcW w:w="1700" w:type="dxa"/>
          </w:tcPr>
          <w:p w14:paraId="05F8F232" w14:textId="04566F3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A70205C" w14:textId="14D77F1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4F2F4A6" w14:textId="77777777" w:rsidTr="00DF0B8F">
        <w:trPr>
          <w:jc w:val="center"/>
        </w:trPr>
        <w:tc>
          <w:tcPr>
            <w:tcW w:w="576" w:type="dxa"/>
          </w:tcPr>
          <w:p w14:paraId="72F263C0" w14:textId="3AD50654"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40</w:t>
            </w:r>
          </w:p>
        </w:tc>
        <w:tc>
          <w:tcPr>
            <w:tcW w:w="3191" w:type="dxa"/>
          </w:tcPr>
          <w:p w14:paraId="57E9A294" w14:textId="2755010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3.廢止「經濟部標準檢驗局所屬各分局組織通則」(廢止重點：配合組織調整作業，</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98BAF5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委員翁曉玲</w:t>
            </w:r>
          </w:p>
          <w:p w14:paraId="0ED32EC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56B61DF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114.06.13</w:t>
            </w:r>
          </w:p>
          <w:p w14:paraId="4FD1EC37" w14:textId="23A7B9B6"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（11-3-16）</w:t>
            </w:r>
          </w:p>
        </w:tc>
        <w:tc>
          <w:tcPr>
            <w:tcW w:w="1700" w:type="dxa"/>
          </w:tcPr>
          <w:p w14:paraId="435FEB32" w14:textId="45289DB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1CEC89C" w14:textId="0DE5B15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7687E18" w14:textId="77777777" w:rsidTr="00DF0B8F">
        <w:trPr>
          <w:jc w:val="center"/>
        </w:trPr>
        <w:tc>
          <w:tcPr>
            <w:tcW w:w="576" w:type="dxa"/>
          </w:tcPr>
          <w:p w14:paraId="77A02DF6" w14:textId="770EA893"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41</w:t>
            </w:r>
          </w:p>
        </w:tc>
        <w:tc>
          <w:tcPr>
            <w:tcW w:w="3191" w:type="dxa"/>
          </w:tcPr>
          <w:p w14:paraId="57103645" w14:textId="4BE21C8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4.廢止「經濟部標準檢驗局所屬各分局組織通則」(廢止重點：經濟部暨所屬三級機關組織法已施行，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B6C9D4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委員許宇</w:t>
            </w:r>
            <w:proofErr w:type="gramStart"/>
            <w:r w:rsidRPr="001B6E4D">
              <w:rPr>
                <w:rFonts w:ascii="標楷體" w:eastAsia="標楷體" w:hAnsi="標楷體" w:cstheme="minorBidi"/>
              </w:rPr>
              <w:t>甄</w:t>
            </w:r>
            <w:proofErr w:type="gramEnd"/>
          </w:p>
          <w:p w14:paraId="70DAE94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19357C3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114.06.27</w:t>
            </w:r>
          </w:p>
          <w:p w14:paraId="6E8E8C9F" w14:textId="33EA9E26"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（11-3-18）</w:t>
            </w:r>
          </w:p>
        </w:tc>
        <w:tc>
          <w:tcPr>
            <w:tcW w:w="1700" w:type="dxa"/>
          </w:tcPr>
          <w:p w14:paraId="6DB594EA" w14:textId="0BE1C9D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6A1EB73D" w14:textId="011930D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D5BBA01" w14:textId="77777777" w:rsidTr="00DF0B8F">
        <w:trPr>
          <w:jc w:val="center"/>
        </w:trPr>
        <w:tc>
          <w:tcPr>
            <w:tcW w:w="576" w:type="dxa"/>
          </w:tcPr>
          <w:p w14:paraId="3EBA3DE1" w14:textId="0665F414"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42</w:t>
            </w:r>
          </w:p>
        </w:tc>
        <w:tc>
          <w:tcPr>
            <w:tcW w:w="3191" w:type="dxa"/>
          </w:tcPr>
          <w:p w14:paraId="09E4AE71" w14:textId="1ACA309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5.廢止「經濟部標準檢驗局所屬各分局組織通則」(廢止重點：經濟部及所屬機關組織法業已施行，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0F340F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1F0F404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等17人</w:t>
            </w:r>
          </w:p>
          <w:p w14:paraId="2722D99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05D9E3C1" w14:textId="7F031760"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（11-3-27）</w:t>
            </w:r>
          </w:p>
        </w:tc>
        <w:tc>
          <w:tcPr>
            <w:tcW w:w="1700" w:type="dxa"/>
          </w:tcPr>
          <w:p w14:paraId="1303092E" w14:textId="2E4DE05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683E7AC" w14:textId="2D306D4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A88CFC3" w14:textId="77777777" w:rsidTr="00DF0B8F">
        <w:trPr>
          <w:jc w:val="center"/>
        </w:trPr>
        <w:tc>
          <w:tcPr>
            <w:tcW w:w="576" w:type="dxa"/>
          </w:tcPr>
          <w:p w14:paraId="02FB9068" w14:textId="04EF8380"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43</w:t>
            </w:r>
          </w:p>
        </w:tc>
        <w:tc>
          <w:tcPr>
            <w:tcW w:w="3191" w:type="dxa"/>
          </w:tcPr>
          <w:p w14:paraId="07DFA9AC" w14:textId="22145EF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6.廢止「經濟部標準檢驗局所屬各分局組織通則」(廢止重點：已完成組織改造，</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C3E6AA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委員楊瓊瓔</w:t>
            </w:r>
          </w:p>
          <w:p w14:paraId="718E950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等26人</w:t>
            </w:r>
          </w:p>
          <w:p w14:paraId="05F766B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114.10.14</w:t>
            </w:r>
          </w:p>
          <w:p w14:paraId="5A0AC492" w14:textId="7F2D219F"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（11-4-4）</w:t>
            </w:r>
          </w:p>
        </w:tc>
        <w:tc>
          <w:tcPr>
            <w:tcW w:w="1700" w:type="dxa"/>
          </w:tcPr>
          <w:p w14:paraId="6A23FD1D" w14:textId="36B6A7D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1B226D8" w14:textId="7AC021E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129368B" w14:textId="77777777" w:rsidTr="00DF0B8F">
        <w:trPr>
          <w:jc w:val="center"/>
        </w:trPr>
        <w:tc>
          <w:tcPr>
            <w:tcW w:w="576" w:type="dxa"/>
          </w:tcPr>
          <w:p w14:paraId="5D973485" w14:textId="11B3838E"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44</w:t>
            </w:r>
          </w:p>
        </w:tc>
        <w:tc>
          <w:tcPr>
            <w:tcW w:w="3191" w:type="dxa"/>
          </w:tcPr>
          <w:p w14:paraId="0CC6CA81" w14:textId="2B6F2BB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3.廢止「經濟部中央地質調查所組織條例」(廢止重點：已升格並改名為地質調查</w:t>
            </w:r>
            <w:r w:rsidRPr="001B6E4D">
              <w:rPr>
                <w:rFonts w:ascii="標楷體" w:eastAsia="標楷體" w:hAnsi="標楷體" w:cstheme="minorBidi"/>
              </w:rPr>
              <w:lastRenderedPageBreak/>
              <w:t>及礦業管理中心，</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0E1D5E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委員翁曉玲</w:t>
            </w:r>
          </w:p>
          <w:p w14:paraId="12D7879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717A483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114.06.13</w:t>
            </w:r>
          </w:p>
          <w:p w14:paraId="533FABCC" w14:textId="7B30FF9A"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lastRenderedPageBreak/>
              <w:t>（11-3-16）</w:t>
            </w:r>
          </w:p>
        </w:tc>
        <w:tc>
          <w:tcPr>
            <w:tcW w:w="1700" w:type="dxa"/>
          </w:tcPr>
          <w:p w14:paraId="4CAE8F25" w14:textId="7998F64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lastRenderedPageBreak/>
              <w:t>司法及法制、經濟</w:t>
            </w:r>
          </w:p>
        </w:tc>
        <w:tc>
          <w:tcPr>
            <w:tcW w:w="1470" w:type="dxa"/>
          </w:tcPr>
          <w:p w14:paraId="5FB656B5" w14:textId="5BE4F65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FC94AFB" w14:textId="77777777" w:rsidTr="00DF0B8F">
        <w:trPr>
          <w:jc w:val="center"/>
        </w:trPr>
        <w:tc>
          <w:tcPr>
            <w:tcW w:w="576" w:type="dxa"/>
          </w:tcPr>
          <w:p w14:paraId="551E55B3" w14:textId="231CB03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45</w:t>
            </w:r>
          </w:p>
        </w:tc>
        <w:tc>
          <w:tcPr>
            <w:tcW w:w="3191" w:type="dxa"/>
          </w:tcPr>
          <w:p w14:paraId="07CAA0C1" w14:textId="26A9A77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4.廢止「經濟部中央地質調查所組織條例」(廢止重點：中央地質調查所與經濟部礦務局整</w:t>
            </w:r>
            <w:proofErr w:type="gramStart"/>
            <w:r w:rsidRPr="001B6E4D">
              <w:rPr>
                <w:rFonts w:ascii="標楷體" w:eastAsia="標楷體" w:hAnsi="標楷體" w:cstheme="minorBidi"/>
              </w:rPr>
              <w:t>併</w:t>
            </w:r>
            <w:proofErr w:type="gramEnd"/>
            <w:r w:rsidRPr="001B6E4D">
              <w:rPr>
                <w:rFonts w:ascii="標楷體" w:eastAsia="標楷體" w:hAnsi="標楷體" w:cstheme="minorBidi"/>
              </w:rPr>
              <w:t>為地質調查及礦業管理中心，</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072BA1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委員許宇</w:t>
            </w:r>
            <w:proofErr w:type="gramStart"/>
            <w:r w:rsidRPr="001B6E4D">
              <w:rPr>
                <w:rFonts w:ascii="標楷體" w:eastAsia="標楷體" w:hAnsi="標楷體" w:cstheme="minorBidi"/>
              </w:rPr>
              <w:t>甄</w:t>
            </w:r>
            <w:proofErr w:type="gramEnd"/>
          </w:p>
          <w:p w14:paraId="1C59510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2986697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114.06.27</w:t>
            </w:r>
          </w:p>
          <w:p w14:paraId="7CDA73EC" w14:textId="2489A220"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（11-3-18）</w:t>
            </w:r>
          </w:p>
        </w:tc>
        <w:tc>
          <w:tcPr>
            <w:tcW w:w="1700" w:type="dxa"/>
          </w:tcPr>
          <w:p w14:paraId="639E2FF3" w14:textId="35A7D85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6A26A00" w14:textId="7066382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8E7B014" w14:textId="77777777" w:rsidTr="00DF0B8F">
        <w:trPr>
          <w:jc w:val="center"/>
        </w:trPr>
        <w:tc>
          <w:tcPr>
            <w:tcW w:w="576" w:type="dxa"/>
          </w:tcPr>
          <w:p w14:paraId="484E55E0" w14:textId="17C09DD7"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46</w:t>
            </w:r>
          </w:p>
        </w:tc>
        <w:tc>
          <w:tcPr>
            <w:tcW w:w="3191" w:type="dxa"/>
          </w:tcPr>
          <w:p w14:paraId="0041524A" w14:textId="25ED421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5.廢止「經濟部中央地質調查所組織條例」(廢止重點：經濟部及所屬機關組織法業已施行，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5D898C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委員羅智強</w:t>
            </w:r>
          </w:p>
          <w:p w14:paraId="316935A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等18人</w:t>
            </w:r>
          </w:p>
          <w:p w14:paraId="2C3B0B3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00B9B4AA" w14:textId="702A6A36"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（11-3-27）</w:t>
            </w:r>
          </w:p>
        </w:tc>
        <w:tc>
          <w:tcPr>
            <w:tcW w:w="1700" w:type="dxa"/>
          </w:tcPr>
          <w:p w14:paraId="6F547E59" w14:textId="0A89E22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7801D10" w14:textId="54AE31B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E83E42E" w14:textId="77777777" w:rsidTr="00DF0B8F">
        <w:trPr>
          <w:jc w:val="center"/>
        </w:trPr>
        <w:tc>
          <w:tcPr>
            <w:tcW w:w="576" w:type="dxa"/>
          </w:tcPr>
          <w:p w14:paraId="5B5AAAC2" w14:textId="296C2609"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47</w:t>
            </w:r>
          </w:p>
        </w:tc>
        <w:tc>
          <w:tcPr>
            <w:tcW w:w="3191" w:type="dxa"/>
          </w:tcPr>
          <w:p w14:paraId="4055B6DC" w14:textId="3FBE23A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6.廢止「經濟部中央地質調查所組織條例」(廢止重點：升格並更名為地質調查及礦業管理中心，</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02DADA9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委員楊瓊瓔</w:t>
            </w:r>
          </w:p>
          <w:p w14:paraId="21012C6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等26人</w:t>
            </w:r>
          </w:p>
          <w:p w14:paraId="45101DF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114.10.14</w:t>
            </w:r>
          </w:p>
          <w:p w14:paraId="1DAA1DE5" w14:textId="165A7B54"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（11-4-4）</w:t>
            </w:r>
          </w:p>
        </w:tc>
        <w:tc>
          <w:tcPr>
            <w:tcW w:w="1700" w:type="dxa"/>
          </w:tcPr>
          <w:p w14:paraId="22499D67" w14:textId="53A7733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D284FA2" w14:textId="36AFD31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FF2E8F3" w14:textId="77777777" w:rsidTr="00DF0B8F">
        <w:trPr>
          <w:jc w:val="center"/>
        </w:trPr>
        <w:tc>
          <w:tcPr>
            <w:tcW w:w="576" w:type="dxa"/>
          </w:tcPr>
          <w:p w14:paraId="74D56298" w14:textId="1D4B974A"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48</w:t>
            </w:r>
          </w:p>
        </w:tc>
        <w:tc>
          <w:tcPr>
            <w:tcW w:w="3191" w:type="dxa"/>
          </w:tcPr>
          <w:p w14:paraId="39344FAA" w14:textId="76B71C3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7.廢止「經濟部中央地質調查所組織條例」(廢止重點：升格並更名為地質調查及礦業管理中心，</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0653418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4304793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17人</w:t>
            </w:r>
          </w:p>
          <w:p w14:paraId="1DAAB87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115.01.23</w:t>
            </w:r>
          </w:p>
          <w:p w14:paraId="4E7B89D3" w14:textId="3972F795"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11-4-19）</w:t>
            </w:r>
          </w:p>
        </w:tc>
        <w:tc>
          <w:tcPr>
            <w:tcW w:w="1700" w:type="dxa"/>
          </w:tcPr>
          <w:p w14:paraId="746333E6" w14:textId="73F5C76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CCAED00" w14:textId="0912C2D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8964831" w14:textId="77777777" w:rsidTr="00DF0B8F">
        <w:trPr>
          <w:jc w:val="center"/>
        </w:trPr>
        <w:tc>
          <w:tcPr>
            <w:tcW w:w="576" w:type="dxa"/>
          </w:tcPr>
          <w:p w14:paraId="14DF84DA" w14:textId="6440DB1B"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49</w:t>
            </w:r>
          </w:p>
        </w:tc>
        <w:tc>
          <w:tcPr>
            <w:tcW w:w="3191" w:type="dxa"/>
          </w:tcPr>
          <w:p w14:paraId="5DF8591D" w14:textId="74A1BF4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1.廢止「行政院農業委員會組織條例」、「行政院農業委員會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條例」、「行政院農業委員會</w:t>
            </w:r>
            <w:proofErr w:type="gramStart"/>
            <w:r w:rsidRPr="001B6E4D">
              <w:rPr>
                <w:rFonts w:ascii="標楷體" w:eastAsia="標楷體" w:hAnsi="標楷體" w:cstheme="minorBidi"/>
              </w:rPr>
              <w:t>農糧署各</w:t>
            </w:r>
            <w:proofErr w:type="gramEnd"/>
            <w:r w:rsidRPr="001B6E4D">
              <w:rPr>
                <w:rFonts w:ascii="標楷體" w:eastAsia="標楷體" w:hAnsi="標楷體" w:cstheme="minorBidi"/>
              </w:rPr>
              <w:t>分署組織通則」、「行政院農業委員會漁業署組織條例」、「行政院農業委員會動植物防疫檢疫局組織條例」、「行政院農業委員會動植物防疫檢疫局所屬各分局組織通則」、「行政院農業委員會水土保持局組織法」及「行政院農業委員會農業金融局組織條例」(廢止重點：配合組織調整作業，農業部暨所屬三級機關（構）組織法業於</w:t>
            </w:r>
            <w:r w:rsidRPr="001B6E4D">
              <w:rPr>
                <w:rFonts w:ascii="標楷體" w:eastAsia="標楷體" w:hAnsi="標楷體" w:cstheme="minorBidi"/>
              </w:rPr>
              <w:lastRenderedPageBreak/>
              <w:t>112年8月1日施行，應配合辦理廢止。)</w:t>
            </w:r>
          </w:p>
        </w:tc>
        <w:tc>
          <w:tcPr>
            <w:tcW w:w="2022" w:type="dxa"/>
          </w:tcPr>
          <w:p w14:paraId="64E5B89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行政院</w:t>
            </w:r>
          </w:p>
          <w:p w14:paraId="5BE8316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113.03.01</w:t>
            </w:r>
          </w:p>
          <w:p w14:paraId="7C042A65" w14:textId="75BB47FA"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（11-1-3）</w:t>
            </w:r>
          </w:p>
        </w:tc>
        <w:tc>
          <w:tcPr>
            <w:tcW w:w="1700" w:type="dxa"/>
          </w:tcPr>
          <w:p w14:paraId="46DB5ADA" w14:textId="24F603C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68394844" w14:textId="2BB163A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185C41B" w14:textId="77777777" w:rsidTr="00DF0B8F">
        <w:trPr>
          <w:jc w:val="center"/>
        </w:trPr>
        <w:tc>
          <w:tcPr>
            <w:tcW w:w="576" w:type="dxa"/>
          </w:tcPr>
          <w:p w14:paraId="385C8ACB" w14:textId="120B42D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50</w:t>
            </w:r>
          </w:p>
        </w:tc>
        <w:tc>
          <w:tcPr>
            <w:tcW w:w="3191" w:type="dxa"/>
          </w:tcPr>
          <w:p w14:paraId="5145657D" w14:textId="631FFAA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2.廢止「行政院農業委員會組織條例」(廢止重點：行政院已通過廢止本條例，並公告施行「農業部組織法」。)</w:t>
            </w:r>
          </w:p>
        </w:tc>
        <w:tc>
          <w:tcPr>
            <w:tcW w:w="2022" w:type="dxa"/>
          </w:tcPr>
          <w:p w14:paraId="1E45CDC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委員陳素月</w:t>
            </w:r>
          </w:p>
          <w:p w14:paraId="76F4E2E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等18人</w:t>
            </w:r>
          </w:p>
          <w:p w14:paraId="2BB2737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113.03.22</w:t>
            </w:r>
          </w:p>
          <w:p w14:paraId="7AD68BB2" w14:textId="78038BB1"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（11-1-6）</w:t>
            </w:r>
          </w:p>
        </w:tc>
        <w:tc>
          <w:tcPr>
            <w:tcW w:w="1700" w:type="dxa"/>
          </w:tcPr>
          <w:p w14:paraId="13BA1B63" w14:textId="6190B12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65B951D8" w14:textId="41FF3AF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7B5FAC3" w14:textId="77777777" w:rsidTr="00DF0B8F">
        <w:trPr>
          <w:jc w:val="center"/>
        </w:trPr>
        <w:tc>
          <w:tcPr>
            <w:tcW w:w="576" w:type="dxa"/>
          </w:tcPr>
          <w:p w14:paraId="53C10438" w14:textId="5B40FB99"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51</w:t>
            </w:r>
          </w:p>
        </w:tc>
        <w:tc>
          <w:tcPr>
            <w:tcW w:w="3191" w:type="dxa"/>
          </w:tcPr>
          <w:p w14:paraId="2ECBABF7" w14:textId="2DCEBE5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3.廢止「行政院農業委員會組織條例」(廢止重點：農業部暨所屬三級機關相關組織法業已施行，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03D95ED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委員鄭天財</w:t>
            </w:r>
          </w:p>
          <w:p w14:paraId="4516F1DB" w14:textId="77777777" w:rsidR="003C4019" w:rsidRPr="001B6E4D" w:rsidRDefault="003C4019" w:rsidP="003D1018">
            <w:pPr>
              <w:overflowPunct w:val="0"/>
              <w:jc w:val="both"/>
              <w:rPr>
                <w:rFonts w:ascii="標楷體" w:eastAsia="標楷體" w:hAnsi="標楷體" w:cstheme="minorBidi"/>
              </w:rPr>
            </w:pPr>
            <w:proofErr w:type="spellStart"/>
            <w:r w:rsidRPr="001B6E4D">
              <w:rPr>
                <w:rFonts w:ascii="標楷體" w:eastAsia="標楷體" w:hAnsi="標楷體" w:cstheme="minorBidi"/>
              </w:rPr>
              <w:t>Sra</w:t>
            </w:r>
            <w:proofErr w:type="spellEnd"/>
            <w:r w:rsidRPr="001B6E4D">
              <w:rPr>
                <w:rFonts w:ascii="標楷體" w:eastAsia="標楷體" w:hAnsi="標楷體" w:cstheme="minorBidi"/>
              </w:rPr>
              <w:t xml:space="preserve"> </w:t>
            </w:r>
            <w:proofErr w:type="spellStart"/>
            <w:r w:rsidRPr="001B6E4D">
              <w:rPr>
                <w:rFonts w:ascii="標楷體" w:eastAsia="標楷體" w:hAnsi="標楷體" w:cstheme="minorBidi"/>
              </w:rPr>
              <w:t>Kacaw</w:t>
            </w:r>
            <w:proofErr w:type="spellEnd"/>
          </w:p>
          <w:p w14:paraId="1C49436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41ABFFB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113.04.26</w:t>
            </w:r>
          </w:p>
          <w:p w14:paraId="5894BD48" w14:textId="7E7DF0E2"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（11-1-11）</w:t>
            </w:r>
          </w:p>
        </w:tc>
        <w:tc>
          <w:tcPr>
            <w:tcW w:w="1700" w:type="dxa"/>
          </w:tcPr>
          <w:p w14:paraId="5D2E5204" w14:textId="4BE80F4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50D3BA5" w14:textId="1CFB2AC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E6DA663" w14:textId="77777777" w:rsidTr="00DF0B8F">
        <w:trPr>
          <w:jc w:val="center"/>
        </w:trPr>
        <w:tc>
          <w:tcPr>
            <w:tcW w:w="576" w:type="dxa"/>
          </w:tcPr>
          <w:p w14:paraId="1B61F22B" w14:textId="791C183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52</w:t>
            </w:r>
          </w:p>
        </w:tc>
        <w:tc>
          <w:tcPr>
            <w:tcW w:w="3191" w:type="dxa"/>
          </w:tcPr>
          <w:p w14:paraId="179421AF" w14:textId="5B551AE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4.廢止「行政院農業委員會組織條例」(廢止重點：農業部暨所屬三級機關相關組織法業已施行，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59CAAA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委員葉元之</w:t>
            </w:r>
          </w:p>
          <w:p w14:paraId="764C443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66E14FD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113.11.29</w:t>
            </w:r>
          </w:p>
          <w:p w14:paraId="25B8549F" w14:textId="6CBFBEFE"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（11-2-11）</w:t>
            </w:r>
          </w:p>
        </w:tc>
        <w:tc>
          <w:tcPr>
            <w:tcW w:w="1700" w:type="dxa"/>
          </w:tcPr>
          <w:p w14:paraId="2B931BF3" w14:textId="438DC74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5A3F7FE" w14:textId="1842280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84B9FDE" w14:textId="77777777" w:rsidTr="00DF0B8F">
        <w:trPr>
          <w:jc w:val="center"/>
        </w:trPr>
        <w:tc>
          <w:tcPr>
            <w:tcW w:w="576" w:type="dxa"/>
          </w:tcPr>
          <w:p w14:paraId="0F94F903" w14:textId="4E4676A2"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53</w:t>
            </w:r>
          </w:p>
        </w:tc>
        <w:tc>
          <w:tcPr>
            <w:tcW w:w="3191" w:type="dxa"/>
          </w:tcPr>
          <w:p w14:paraId="6121A1C8" w14:textId="011C23B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5.廢止「行政院農業委員會組織條例」(廢止重點：農業委員會已升格至農業部，</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3BD8249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委員萬美玲</w:t>
            </w:r>
          </w:p>
          <w:p w14:paraId="6E00A4C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等17人</w:t>
            </w:r>
          </w:p>
          <w:p w14:paraId="29BF0E3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113.12.13</w:t>
            </w:r>
          </w:p>
          <w:p w14:paraId="6B217AB3" w14:textId="21900674"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（11-2-13）</w:t>
            </w:r>
          </w:p>
        </w:tc>
        <w:tc>
          <w:tcPr>
            <w:tcW w:w="1700" w:type="dxa"/>
          </w:tcPr>
          <w:p w14:paraId="7E6D2779" w14:textId="191103C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C90564D" w14:textId="33D5DC9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EBD12F4" w14:textId="77777777" w:rsidTr="00DF0B8F">
        <w:trPr>
          <w:jc w:val="center"/>
        </w:trPr>
        <w:tc>
          <w:tcPr>
            <w:tcW w:w="576" w:type="dxa"/>
          </w:tcPr>
          <w:p w14:paraId="5840BD98" w14:textId="4CCE40E2"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54</w:t>
            </w:r>
          </w:p>
        </w:tc>
        <w:tc>
          <w:tcPr>
            <w:tcW w:w="3191" w:type="dxa"/>
          </w:tcPr>
          <w:p w14:paraId="46B66807" w14:textId="3E893E7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6.廢止「行政院農業委員會組織條例」(廢止重點：農業部暨所屬三級機關相關組織法業已施行，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1B0DDC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委員翁曉玲</w:t>
            </w:r>
          </w:p>
          <w:p w14:paraId="1938400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1DFD439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114.03.04</w:t>
            </w:r>
          </w:p>
          <w:p w14:paraId="3FA3518B" w14:textId="18175CD7"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（11-3-3）</w:t>
            </w:r>
          </w:p>
        </w:tc>
        <w:tc>
          <w:tcPr>
            <w:tcW w:w="1700" w:type="dxa"/>
          </w:tcPr>
          <w:p w14:paraId="777C1377" w14:textId="7323BA9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6E03B17E" w14:textId="4D4E635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2DFC40D" w14:textId="77777777" w:rsidTr="00DF0B8F">
        <w:trPr>
          <w:jc w:val="center"/>
        </w:trPr>
        <w:tc>
          <w:tcPr>
            <w:tcW w:w="576" w:type="dxa"/>
          </w:tcPr>
          <w:p w14:paraId="568CEEEF" w14:textId="19B46B59"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55</w:t>
            </w:r>
          </w:p>
        </w:tc>
        <w:tc>
          <w:tcPr>
            <w:tcW w:w="3191" w:type="dxa"/>
          </w:tcPr>
          <w:p w14:paraId="77B72DEC" w14:textId="0AB49B4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7.廢止「行政院農業委員會組織條例」(廢止重點：原農委會改制為農業部，</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D48A76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委員林岱樺</w:t>
            </w:r>
          </w:p>
          <w:p w14:paraId="674B032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43C5601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114.04.18</w:t>
            </w:r>
          </w:p>
          <w:p w14:paraId="68B5B1D6" w14:textId="06031EAE"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（11-3-8）</w:t>
            </w:r>
          </w:p>
        </w:tc>
        <w:tc>
          <w:tcPr>
            <w:tcW w:w="1700" w:type="dxa"/>
          </w:tcPr>
          <w:p w14:paraId="1D745CC6" w14:textId="23AC516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417DF57" w14:textId="64D2673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2EA02F1" w14:textId="77777777" w:rsidTr="00DF0B8F">
        <w:trPr>
          <w:jc w:val="center"/>
        </w:trPr>
        <w:tc>
          <w:tcPr>
            <w:tcW w:w="576" w:type="dxa"/>
          </w:tcPr>
          <w:p w14:paraId="0D711073" w14:textId="118E0D8D"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56</w:t>
            </w:r>
          </w:p>
        </w:tc>
        <w:tc>
          <w:tcPr>
            <w:tcW w:w="3191" w:type="dxa"/>
          </w:tcPr>
          <w:p w14:paraId="4590CAA4" w14:textId="560DE91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8.廢止「行政院農業委員會組織條例」(廢止重點：已升格為農業部，</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983464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3C2AFA5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16人</w:t>
            </w:r>
          </w:p>
          <w:p w14:paraId="57D3980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389379DA" w14:textId="6B7C2101"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11-3-27）</w:t>
            </w:r>
          </w:p>
        </w:tc>
        <w:tc>
          <w:tcPr>
            <w:tcW w:w="1700" w:type="dxa"/>
          </w:tcPr>
          <w:p w14:paraId="0CB67A0A" w14:textId="05753C1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F747CF1" w14:textId="5466668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4029BD3" w14:textId="77777777" w:rsidTr="00DF0B8F">
        <w:trPr>
          <w:jc w:val="center"/>
        </w:trPr>
        <w:tc>
          <w:tcPr>
            <w:tcW w:w="576" w:type="dxa"/>
          </w:tcPr>
          <w:p w14:paraId="267FA5C7" w14:textId="3F059C76"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57</w:t>
            </w:r>
          </w:p>
        </w:tc>
        <w:tc>
          <w:tcPr>
            <w:tcW w:w="3191" w:type="dxa"/>
          </w:tcPr>
          <w:p w14:paraId="0A078F0D" w14:textId="01E8CB1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9.廢止「行政院農業委員會組織條例」(廢止重點：已改制為農業部，</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EF3BB5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委員賴士葆</w:t>
            </w:r>
          </w:p>
          <w:p w14:paraId="07678DF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等24人</w:t>
            </w:r>
          </w:p>
          <w:p w14:paraId="2ABF0D6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115.03.27</w:t>
            </w:r>
          </w:p>
          <w:p w14:paraId="01D04313" w14:textId="7E7146B5"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（11-5-5）</w:t>
            </w:r>
          </w:p>
        </w:tc>
        <w:tc>
          <w:tcPr>
            <w:tcW w:w="1700" w:type="dxa"/>
          </w:tcPr>
          <w:p w14:paraId="2DA9E388" w14:textId="0FCBB87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698A91A7" w14:textId="733D61D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FAEAA2D" w14:textId="77777777" w:rsidTr="00DF0B8F">
        <w:trPr>
          <w:jc w:val="center"/>
        </w:trPr>
        <w:tc>
          <w:tcPr>
            <w:tcW w:w="576" w:type="dxa"/>
          </w:tcPr>
          <w:p w14:paraId="73208D32" w14:textId="09D2F575"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lastRenderedPageBreak/>
              <w:t>58</w:t>
            </w:r>
          </w:p>
        </w:tc>
        <w:tc>
          <w:tcPr>
            <w:tcW w:w="3191" w:type="dxa"/>
          </w:tcPr>
          <w:p w14:paraId="42D5A310" w14:textId="3361D01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10.廢止「行政院農業委員會組織條例」(廢止重點：已改制為農業部，</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80F653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委員傅</w:t>
            </w:r>
            <w:r w:rsidRPr="001B6E4D">
              <w:rPr>
                <w:rFonts w:ascii="標楷體" w:eastAsia="標楷體" w:hAnsi="標楷體" w:cstheme="minorBidi" w:hint="eastAsia"/>
              </w:rPr>
              <w:t>崐萁</w:t>
            </w:r>
          </w:p>
          <w:p w14:paraId="11AA522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18人</w:t>
            </w:r>
          </w:p>
          <w:p w14:paraId="4E1DBED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115.07.14</w:t>
            </w:r>
          </w:p>
          <w:p w14:paraId="1411D772" w14:textId="662E10F2"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11-5-17）</w:t>
            </w:r>
          </w:p>
        </w:tc>
        <w:tc>
          <w:tcPr>
            <w:tcW w:w="1700" w:type="dxa"/>
          </w:tcPr>
          <w:p w14:paraId="0B82F6E3" w14:textId="739A27A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A4622B7" w14:textId="4560503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02F4835" w14:textId="77777777" w:rsidTr="00DF0B8F">
        <w:trPr>
          <w:jc w:val="center"/>
        </w:trPr>
        <w:tc>
          <w:tcPr>
            <w:tcW w:w="576" w:type="dxa"/>
          </w:tcPr>
          <w:p w14:paraId="5AC33A7E" w14:textId="00A81464"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59</w:t>
            </w:r>
          </w:p>
        </w:tc>
        <w:tc>
          <w:tcPr>
            <w:tcW w:w="3191" w:type="dxa"/>
          </w:tcPr>
          <w:p w14:paraId="0EA7CBD1" w14:textId="15D6443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5A006F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委員鄭天財</w:t>
            </w:r>
          </w:p>
          <w:p w14:paraId="173812FD" w14:textId="77777777" w:rsidR="003C4019" w:rsidRPr="001B6E4D" w:rsidRDefault="003C4019" w:rsidP="003D1018">
            <w:pPr>
              <w:overflowPunct w:val="0"/>
              <w:jc w:val="both"/>
              <w:rPr>
                <w:rFonts w:ascii="標楷體" w:eastAsia="標楷體" w:hAnsi="標楷體" w:cstheme="minorBidi"/>
              </w:rPr>
            </w:pPr>
            <w:proofErr w:type="spellStart"/>
            <w:r w:rsidRPr="001B6E4D">
              <w:rPr>
                <w:rFonts w:ascii="標楷體" w:eastAsia="標楷體" w:hAnsi="標楷體" w:cstheme="minorBidi"/>
              </w:rPr>
              <w:t>Sra</w:t>
            </w:r>
            <w:proofErr w:type="spellEnd"/>
            <w:r w:rsidRPr="001B6E4D">
              <w:rPr>
                <w:rFonts w:ascii="標楷體" w:eastAsia="標楷體" w:hAnsi="標楷體" w:cstheme="minorBidi"/>
              </w:rPr>
              <w:t xml:space="preserve"> </w:t>
            </w:r>
            <w:proofErr w:type="spellStart"/>
            <w:r w:rsidRPr="001B6E4D">
              <w:rPr>
                <w:rFonts w:ascii="標楷體" w:eastAsia="標楷體" w:hAnsi="標楷體" w:cstheme="minorBidi"/>
              </w:rPr>
              <w:t>Kacaw</w:t>
            </w:r>
            <w:proofErr w:type="spellEnd"/>
          </w:p>
          <w:p w14:paraId="5D3D450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128F1F6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113.04.26</w:t>
            </w:r>
          </w:p>
          <w:p w14:paraId="36192605" w14:textId="17B55D4F"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（11-1-11）</w:t>
            </w:r>
          </w:p>
        </w:tc>
        <w:tc>
          <w:tcPr>
            <w:tcW w:w="1700" w:type="dxa"/>
          </w:tcPr>
          <w:p w14:paraId="7DD45598" w14:textId="00C771A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5E4A8DF" w14:textId="35548E1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693A237" w14:textId="77777777" w:rsidTr="00DF0B8F">
        <w:trPr>
          <w:jc w:val="center"/>
        </w:trPr>
        <w:tc>
          <w:tcPr>
            <w:tcW w:w="576" w:type="dxa"/>
          </w:tcPr>
          <w:p w14:paraId="70F1E0E2" w14:textId="0A981596"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60</w:t>
            </w:r>
          </w:p>
        </w:tc>
        <w:tc>
          <w:tcPr>
            <w:tcW w:w="3191" w:type="dxa"/>
          </w:tcPr>
          <w:p w14:paraId="0A4D30D2" w14:textId="7185A94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B8A019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委員葉元之</w:t>
            </w:r>
          </w:p>
          <w:p w14:paraId="786CD1E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01BC89A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113.11.29</w:t>
            </w:r>
          </w:p>
          <w:p w14:paraId="386A703D" w14:textId="38FA325F"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（11-2-11）</w:t>
            </w:r>
          </w:p>
        </w:tc>
        <w:tc>
          <w:tcPr>
            <w:tcW w:w="1700" w:type="dxa"/>
          </w:tcPr>
          <w:p w14:paraId="6660974C" w14:textId="3C20336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22991A53" w14:textId="229A55F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CEF2C28" w14:textId="77777777" w:rsidTr="00DF0B8F">
        <w:trPr>
          <w:jc w:val="center"/>
        </w:trPr>
        <w:tc>
          <w:tcPr>
            <w:tcW w:w="576" w:type="dxa"/>
          </w:tcPr>
          <w:p w14:paraId="48C2FD6F" w14:textId="7A7D3A99"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61</w:t>
            </w:r>
          </w:p>
        </w:tc>
        <w:tc>
          <w:tcPr>
            <w:tcW w:w="3191" w:type="dxa"/>
          </w:tcPr>
          <w:p w14:paraId="7B8162E9" w14:textId="32FD8E9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6D16348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委員萬美玲</w:t>
            </w:r>
          </w:p>
          <w:p w14:paraId="07E9F7C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等18人</w:t>
            </w:r>
          </w:p>
          <w:p w14:paraId="35D2A9B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114.01.03</w:t>
            </w:r>
          </w:p>
          <w:p w14:paraId="68128EEA" w14:textId="6DC59BF5"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（11-2-16）</w:t>
            </w:r>
          </w:p>
        </w:tc>
        <w:tc>
          <w:tcPr>
            <w:tcW w:w="1700" w:type="dxa"/>
          </w:tcPr>
          <w:p w14:paraId="2B019DB2" w14:textId="134ECEC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80B84B6" w14:textId="295D1DE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B5E6B45" w14:textId="77777777" w:rsidTr="00DF0B8F">
        <w:trPr>
          <w:jc w:val="center"/>
        </w:trPr>
        <w:tc>
          <w:tcPr>
            <w:tcW w:w="576" w:type="dxa"/>
          </w:tcPr>
          <w:p w14:paraId="2E7DE60E" w14:textId="4FF05AF5"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62</w:t>
            </w:r>
          </w:p>
        </w:tc>
        <w:tc>
          <w:tcPr>
            <w:tcW w:w="3191" w:type="dxa"/>
          </w:tcPr>
          <w:p w14:paraId="2EEF73BD" w14:textId="361E4E7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290553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委員翁曉玲</w:t>
            </w:r>
          </w:p>
          <w:p w14:paraId="4621D20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1A8264F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114.03.04</w:t>
            </w:r>
          </w:p>
          <w:p w14:paraId="0C47DA3F" w14:textId="1767B065"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（11-3-3）</w:t>
            </w:r>
          </w:p>
        </w:tc>
        <w:tc>
          <w:tcPr>
            <w:tcW w:w="1700" w:type="dxa"/>
          </w:tcPr>
          <w:p w14:paraId="3B8C5CF5" w14:textId="56F9270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2D6F414" w14:textId="306F049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4E3A379" w14:textId="77777777" w:rsidTr="00DF0B8F">
        <w:trPr>
          <w:jc w:val="center"/>
        </w:trPr>
        <w:tc>
          <w:tcPr>
            <w:tcW w:w="576" w:type="dxa"/>
          </w:tcPr>
          <w:p w14:paraId="50462542" w14:textId="59AEC56C"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63</w:t>
            </w:r>
          </w:p>
        </w:tc>
        <w:tc>
          <w:tcPr>
            <w:tcW w:w="3191" w:type="dxa"/>
          </w:tcPr>
          <w:p w14:paraId="2E104419" w14:textId="30F1D8B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6.廢止「行政院農業委員會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7617C0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委員楊瓊瓔</w:t>
            </w:r>
          </w:p>
          <w:p w14:paraId="71E0FA4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等24人</w:t>
            </w:r>
          </w:p>
          <w:p w14:paraId="5EEE63D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114.03.14</w:t>
            </w:r>
          </w:p>
          <w:p w14:paraId="736F8B1E" w14:textId="7A79E8AD"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（11-3-5）</w:t>
            </w:r>
          </w:p>
        </w:tc>
        <w:tc>
          <w:tcPr>
            <w:tcW w:w="1700" w:type="dxa"/>
          </w:tcPr>
          <w:p w14:paraId="19390200" w14:textId="02545A6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B0E7678" w14:textId="670E0E1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F8D72B5" w14:textId="77777777" w:rsidTr="00DF0B8F">
        <w:trPr>
          <w:jc w:val="center"/>
        </w:trPr>
        <w:tc>
          <w:tcPr>
            <w:tcW w:w="576" w:type="dxa"/>
          </w:tcPr>
          <w:p w14:paraId="1C03368C" w14:textId="1A1F4D63"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64</w:t>
            </w:r>
          </w:p>
        </w:tc>
        <w:tc>
          <w:tcPr>
            <w:tcW w:w="3191" w:type="dxa"/>
          </w:tcPr>
          <w:p w14:paraId="42504751" w14:textId="1DEC233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7.廢止「行政院農業委員會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90414B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委員林思銘</w:t>
            </w:r>
          </w:p>
          <w:p w14:paraId="0C9B611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等18人</w:t>
            </w:r>
          </w:p>
          <w:p w14:paraId="3FE9449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114.03.14</w:t>
            </w:r>
          </w:p>
          <w:p w14:paraId="1C40DD43" w14:textId="72F93164"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（11-3-5）</w:t>
            </w:r>
          </w:p>
        </w:tc>
        <w:tc>
          <w:tcPr>
            <w:tcW w:w="1700" w:type="dxa"/>
          </w:tcPr>
          <w:p w14:paraId="7F7525D5" w14:textId="65A884D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C395C0E" w14:textId="69F8291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13A4098" w14:textId="77777777" w:rsidTr="00DF0B8F">
        <w:trPr>
          <w:jc w:val="center"/>
        </w:trPr>
        <w:tc>
          <w:tcPr>
            <w:tcW w:w="576" w:type="dxa"/>
          </w:tcPr>
          <w:p w14:paraId="007659A2" w14:textId="52BFEBED"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65</w:t>
            </w:r>
          </w:p>
        </w:tc>
        <w:tc>
          <w:tcPr>
            <w:tcW w:w="3191" w:type="dxa"/>
          </w:tcPr>
          <w:p w14:paraId="57594117" w14:textId="2946034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8.廢止「行政院農業委員會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w:t>
            </w:r>
            <w:r w:rsidRPr="001B6E4D">
              <w:rPr>
                <w:rFonts w:ascii="標楷體" w:eastAsia="標楷體" w:hAnsi="標楷體" w:cstheme="minorBidi"/>
              </w:rPr>
              <w:lastRenderedPageBreak/>
              <w:t>案廢止。)</w:t>
            </w:r>
          </w:p>
        </w:tc>
        <w:tc>
          <w:tcPr>
            <w:tcW w:w="2022" w:type="dxa"/>
          </w:tcPr>
          <w:p w14:paraId="3B1907D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委員廖偉翔</w:t>
            </w:r>
          </w:p>
          <w:p w14:paraId="4A4F88D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等17人</w:t>
            </w:r>
          </w:p>
          <w:p w14:paraId="6840AA7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114.04.18</w:t>
            </w:r>
          </w:p>
          <w:p w14:paraId="505E4F70" w14:textId="13D890B1"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（11-3-8）</w:t>
            </w:r>
          </w:p>
        </w:tc>
        <w:tc>
          <w:tcPr>
            <w:tcW w:w="1700" w:type="dxa"/>
          </w:tcPr>
          <w:p w14:paraId="4D1A5C92" w14:textId="34C02BD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75E2190" w14:textId="31ECC1F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997E0D7" w14:textId="77777777" w:rsidTr="00DF0B8F">
        <w:trPr>
          <w:jc w:val="center"/>
        </w:trPr>
        <w:tc>
          <w:tcPr>
            <w:tcW w:w="576" w:type="dxa"/>
          </w:tcPr>
          <w:p w14:paraId="72CCD24B" w14:textId="75AFC462"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66</w:t>
            </w:r>
          </w:p>
        </w:tc>
        <w:tc>
          <w:tcPr>
            <w:tcW w:w="3191" w:type="dxa"/>
          </w:tcPr>
          <w:p w14:paraId="36AC8799" w14:textId="775C226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9.廢止「行政院農業委員會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C6B709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委員王鴻薇</w:t>
            </w:r>
          </w:p>
          <w:p w14:paraId="50CA6C9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等23人</w:t>
            </w:r>
          </w:p>
          <w:p w14:paraId="00B5287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114.04.18</w:t>
            </w:r>
          </w:p>
          <w:p w14:paraId="2E1C2787" w14:textId="40DD1805"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（11-3-8）</w:t>
            </w:r>
          </w:p>
        </w:tc>
        <w:tc>
          <w:tcPr>
            <w:tcW w:w="1700" w:type="dxa"/>
          </w:tcPr>
          <w:p w14:paraId="09252BA8" w14:textId="03A97C5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20875B0" w14:textId="5048B4E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712370E" w14:textId="77777777" w:rsidTr="00DF0B8F">
        <w:trPr>
          <w:jc w:val="center"/>
        </w:trPr>
        <w:tc>
          <w:tcPr>
            <w:tcW w:w="576" w:type="dxa"/>
          </w:tcPr>
          <w:p w14:paraId="62997457" w14:textId="188480F1"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67</w:t>
            </w:r>
          </w:p>
        </w:tc>
        <w:tc>
          <w:tcPr>
            <w:tcW w:w="3191" w:type="dxa"/>
          </w:tcPr>
          <w:p w14:paraId="34111E73" w14:textId="4D1ECDC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10.廢止「行政院農業委員會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FEA04A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委員許宇</w:t>
            </w:r>
            <w:proofErr w:type="gramStart"/>
            <w:r w:rsidRPr="001B6E4D">
              <w:rPr>
                <w:rFonts w:ascii="標楷體" w:eastAsia="標楷體" w:hAnsi="標楷體" w:cstheme="minorBidi"/>
              </w:rPr>
              <w:t>甄</w:t>
            </w:r>
            <w:proofErr w:type="gramEnd"/>
          </w:p>
          <w:p w14:paraId="3FC2730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21C3E25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114.04.25</w:t>
            </w:r>
          </w:p>
          <w:p w14:paraId="66B5CDD2" w14:textId="72CF9ED6"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（11-3-9）</w:t>
            </w:r>
          </w:p>
        </w:tc>
        <w:tc>
          <w:tcPr>
            <w:tcW w:w="1700" w:type="dxa"/>
          </w:tcPr>
          <w:p w14:paraId="67A5D1CB" w14:textId="79FBADD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F6E5726" w14:textId="7FDE37B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B335DCE" w14:textId="77777777" w:rsidTr="00DF0B8F">
        <w:trPr>
          <w:jc w:val="center"/>
        </w:trPr>
        <w:tc>
          <w:tcPr>
            <w:tcW w:w="576" w:type="dxa"/>
          </w:tcPr>
          <w:p w14:paraId="00D6DD4C" w14:textId="0D560903"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68</w:t>
            </w:r>
          </w:p>
        </w:tc>
        <w:tc>
          <w:tcPr>
            <w:tcW w:w="3191" w:type="dxa"/>
          </w:tcPr>
          <w:p w14:paraId="4DF44B7B" w14:textId="1A26642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11.廢止「行政院農業委員會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條例」(廢止重點：已升格農業部農</w:t>
            </w:r>
            <w:proofErr w:type="gramStart"/>
            <w:r w:rsidRPr="001B6E4D">
              <w:rPr>
                <w:rFonts w:ascii="標楷體" w:eastAsia="標楷體" w:hAnsi="標楷體" w:cstheme="minorBidi"/>
              </w:rPr>
              <w:t>糧署，爰</w:t>
            </w:r>
            <w:proofErr w:type="gramEnd"/>
            <w:r w:rsidRPr="001B6E4D">
              <w:rPr>
                <w:rFonts w:ascii="標楷體" w:eastAsia="標楷體" w:hAnsi="標楷體" w:cstheme="minorBidi"/>
              </w:rPr>
              <w:t>提案廢止。)</w:t>
            </w:r>
          </w:p>
        </w:tc>
        <w:tc>
          <w:tcPr>
            <w:tcW w:w="2022" w:type="dxa"/>
          </w:tcPr>
          <w:p w14:paraId="41428AD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30D65FE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16人</w:t>
            </w:r>
          </w:p>
          <w:p w14:paraId="2B2936E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7E8D8974" w14:textId="672BC834"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11-3-27）</w:t>
            </w:r>
          </w:p>
        </w:tc>
        <w:tc>
          <w:tcPr>
            <w:tcW w:w="1700" w:type="dxa"/>
          </w:tcPr>
          <w:p w14:paraId="16DF2134" w14:textId="1291BF5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9097753" w14:textId="150C652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E9F37EE" w14:textId="77777777" w:rsidTr="00DF0B8F">
        <w:trPr>
          <w:jc w:val="center"/>
        </w:trPr>
        <w:tc>
          <w:tcPr>
            <w:tcW w:w="576" w:type="dxa"/>
          </w:tcPr>
          <w:p w14:paraId="0CA27996" w14:textId="59B3E854"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69</w:t>
            </w:r>
          </w:p>
        </w:tc>
        <w:tc>
          <w:tcPr>
            <w:tcW w:w="3191" w:type="dxa"/>
          </w:tcPr>
          <w:p w14:paraId="501F297C" w14:textId="11FD12A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12.廢止「行政院農業委員會</w:t>
            </w:r>
            <w:proofErr w:type="gramStart"/>
            <w:r w:rsidRPr="001B6E4D">
              <w:rPr>
                <w:rFonts w:ascii="標楷體" w:eastAsia="標楷體" w:hAnsi="標楷體" w:cstheme="minorBidi"/>
              </w:rPr>
              <w:t>農糧署組織</w:t>
            </w:r>
            <w:proofErr w:type="gramEnd"/>
            <w:r w:rsidRPr="001B6E4D">
              <w:rPr>
                <w:rFonts w:ascii="標楷體" w:eastAsia="標楷體" w:hAnsi="標楷體" w:cstheme="minorBidi"/>
              </w:rPr>
              <w:t>條例」(廢止重點：已調整為農業部農</w:t>
            </w:r>
            <w:proofErr w:type="gramStart"/>
            <w:r w:rsidRPr="001B6E4D">
              <w:rPr>
                <w:rFonts w:ascii="標楷體" w:eastAsia="標楷體" w:hAnsi="標楷體" w:cstheme="minorBidi"/>
              </w:rPr>
              <w:t>糧署，爰</w:t>
            </w:r>
            <w:proofErr w:type="gramEnd"/>
            <w:r w:rsidRPr="001B6E4D">
              <w:rPr>
                <w:rFonts w:ascii="標楷體" w:eastAsia="標楷體" w:hAnsi="標楷體" w:cstheme="minorBidi"/>
              </w:rPr>
              <w:t>提案廢止。)</w:t>
            </w:r>
          </w:p>
        </w:tc>
        <w:tc>
          <w:tcPr>
            <w:tcW w:w="2022" w:type="dxa"/>
          </w:tcPr>
          <w:p w14:paraId="22F6840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委員賴士葆</w:t>
            </w:r>
          </w:p>
          <w:p w14:paraId="6634BB0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等24人</w:t>
            </w:r>
          </w:p>
          <w:p w14:paraId="0FF76F8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115.03.27</w:t>
            </w:r>
          </w:p>
          <w:p w14:paraId="6C7AD444" w14:textId="227F7208"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（11-5-5）</w:t>
            </w:r>
          </w:p>
        </w:tc>
        <w:tc>
          <w:tcPr>
            <w:tcW w:w="1700" w:type="dxa"/>
          </w:tcPr>
          <w:p w14:paraId="3F2E3176" w14:textId="3A6132F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6A2C3FFA" w14:textId="3A3F4AE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B0A4784" w14:textId="77777777" w:rsidTr="00DF0B8F">
        <w:trPr>
          <w:jc w:val="center"/>
        </w:trPr>
        <w:tc>
          <w:tcPr>
            <w:tcW w:w="576" w:type="dxa"/>
          </w:tcPr>
          <w:p w14:paraId="7D3184B1" w14:textId="0EE6F1F3"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70</w:t>
            </w:r>
          </w:p>
        </w:tc>
        <w:tc>
          <w:tcPr>
            <w:tcW w:w="3191" w:type="dxa"/>
          </w:tcPr>
          <w:p w14:paraId="6FBC7555" w14:textId="4BB73B7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2.廢止「行政院農業委員會</w:t>
            </w:r>
            <w:proofErr w:type="gramStart"/>
            <w:r w:rsidRPr="001B6E4D">
              <w:rPr>
                <w:rFonts w:ascii="標楷體" w:eastAsia="標楷體" w:hAnsi="標楷體" w:cstheme="minorBidi"/>
              </w:rPr>
              <w:t>農糧署各</w:t>
            </w:r>
            <w:proofErr w:type="gramEnd"/>
            <w:r w:rsidRPr="001B6E4D">
              <w:rPr>
                <w:rFonts w:ascii="標楷體" w:eastAsia="標楷體" w:hAnsi="標楷體" w:cstheme="minorBidi"/>
              </w:rPr>
              <w:t>分署組織通則」(廢止重點：農業部暨所屬三級機關相關組織法業已施行，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3BA625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委員鄭天財</w:t>
            </w:r>
          </w:p>
          <w:p w14:paraId="405BC3F4" w14:textId="77777777" w:rsidR="003C4019" w:rsidRPr="001B6E4D" w:rsidRDefault="003C4019" w:rsidP="003D1018">
            <w:pPr>
              <w:overflowPunct w:val="0"/>
              <w:jc w:val="both"/>
              <w:rPr>
                <w:rFonts w:ascii="標楷體" w:eastAsia="標楷體" w:hAnsi="標楷體" w:cstheme="minorBidi"/>
              </w:rPr>
            </w:pPr>
            <w:proofErr w:type="spellStart"/>
            <w:r w:rsidRPr="001B6E4D">
              <w:rPr>
                <w:rFonts w:ascii="標楷體" w:eastAsia="標楷體" w:hAnsi="標楷體" w:cstheme="minorBidi"/>
              </w:rPr>
              <w:t>Sra</w:t>
            </w:r>
            <w:proofErr w:type="spellEnd"/>
            <w:r w:rsidRPr="001B6E4D">
              <w:rPr>
                <w:rFonts w:ascii="標楷體" w:eastAsia="標楷體" w:hAnsi="標楷體" w:cstheme="minorBidi"/>
              </w:rPr>
              <w:t xml:space="preserve"> </w:t>
            </w:r>
            <w:proofErr w:type="spellStart"/>
            <w:r w:rsidRPr="001B6E4D">
              <w:rPr>
                <w:rFonts w:ascii="標楷體" w:eastAsia="標楷體" w:hAnsi="標楷體" w:cstheme="minorBidi"/>
              </w:rPr>
              <w:t>Kacaw</w:t>
            </w:r>
            <w:proofErr w:type="spellEnd"/>
          </w:p>
          <w:p w14:paraId="1B79366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1428708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113.04.26</w:t>
            </w:r>
          </w:p>
          <w:p w14:paraId="02A336DB" w14:textId="6E708DA1"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（11-1-11）</w:t>
            </w:r>
          </w:p>
        </w:tc>
        <w:tc>
          <w:tcPr>
            <w:tcW w:w="1700" w:type="dxa"/>
          </w:tcPr>
          <w:p w14:paraId="4A7C10D4" w14:textId="778EBE8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49E615F" w14:textId="40C9265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DCCA6B4" w14:textId="77777777" w:rsidTr="00DF0B8F">
        <w:trPr>
          <w:jc w:val="center"/>
        </w:trPr>
        <w:tc>
          <w:tcPr>
            <w:tcW w:w="576" w:type="dxa"/>
          </w:tcPr>
          <w:p w14:paraId="746649CC" w14:textId="092D9ACC"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71</w:t>
            </w:r>
          </w:p>
        </w:tc>
        <w:tc>
          <w:tcPr>
            <w:tcW w:w="3191" w:type="dxa"/>
          </w:tcPr>
          <w:p w14:paraId="132A15D1" w14:textId="2DE96C8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3.廢止「行政院農業委員會</w:t>
            </w:r>
            <w:proofErr w:type="gramStart"/>
            <w:r w:rsidRPr="001B6E4D">
              <w:rPr>
                <w:rFonts w:ascii="標楷體" w:eastAsia="標楷體" w:hAnsi="標楷體" w:cstheme="minorBidi"/>
              </w:rPr>
              <w:t>農糧署各</w:t>
            </w:r>
            <w:proofErr w:type="gramEnd"/>
            <w:r w:rsidRPr="001B6E4D">
              <w:rPr>
                <w:rFonts w:ascii="標楷體" w:eastAsia="標楷體" w:hAnsi="標楷體" w:cstheme="minorBidi"/>
              </w:rPr>
              <w:t>分署組織通則」(廢止重點：農業部暨所屬三級機關相關組織法業已施行，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D9E0B4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委員葉元之</w:t>
            </w:r>
          </w:p>
          <w:p w14:paraId="4324585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645D295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113.11.22</w:t>
            </w:r>
          </w:p>
          <w:p w14:paraId="0B75E750" w14:textId="6507C97E"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（11-2-10）</w:t>
            </w:r>
          </w:p>
        </w:tc>
        <w:tc>
          <w:tcPr>
            <w:tcW w:w="1700" w:type="dxa"/>
          </w:tcPr>
          <w:p w14:paraId="45378EE0" w14:textId="36D4E2D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F7104A8" w14:textId="116378C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E7875F9" w14:textId="77777777" w:rsidTr="00DF0B8F">
        <w:trPr>
          <w:jc w:val="center"/>
        </w:trPr>
        <w:tc>
          <w:tcPr>
            <w:tcW w:w="576" w:type="dxa"/>
          </w:tcPr>
          <w:p w14:paraId="1F242308" w14:textId="161B0DBF"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72</w:t>
            </w:r>
          </w:p>
        </w:tc>
        <w:tc>
          <w:tcPr>
            <w:tcW w:w="3191" w:type="dxa"/>
          </w:tcPr>
          <w:p w14:paraId="4860A300" w14:textId="242CD83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4.廢止「行政院農業委員會</w:t>
            </w:r>
            <w:proofErr w:type="gramStart"/>
            <w:r w:rsidRPr="001B6E4D">
              <w:rPr>
                <w:rFonts w:ascii="標楷體" w:eastAsia="標楷體" w:hAnsi="標楷體" w:cstheme="minorBidi"/>
              </w:rPr>
              <w:t>農糧署各</w:t>
            </w:r>
            <w:proofErr w:type="gramEnd"/>
            <w:r w:rsidRPr="001B6E4D">
              <w:rPr>
                <w:rFonts w:ascii="標楷體" w:eastAsia="標楷體" w:hAnsi="標楷體" w:cstheme="minorBidi"/>
              </w:rPr>
              <w:t>分署組織通則」(廢止重點：農業部暨所屬三級機關相關組織法業已施行，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1A7429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委員翁曉玲</w:t>
            </w:r>
          </w:p>
          <w:p w14:paraId="28B2FA1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75303C2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114.03.04</w:t>
            </w:r>
          </w:p>
          <w:p w14:paraId="14E65262" w14:textId="567FDC03"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（11-3-3）</w:t>
            </w:r>
          </w:p>
        </w:tc>
        <w:tc>
          <w:tcPr>
            <w:tcW w:w="1700" w:type="dxa"/>
          </w:tcPr>
          <w:p w14:paraId="62F33AB7" w14:textId="5C958EB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28206968" w14:textId="6C1F87C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CB34FDB" w14:textId="77777777" w:rsidTr="00DF0B8F">
        <w:trPr>
          <w:jc w:val="center"/>
        </w:trPr>
        <w:tc>
          <w:tcPr>
            <w:tcW w:w="576" w:type="dxa"/>
          </w:tcPr>
          <w:p w14:paraId="6E52BE53" w14:textId="256647CB"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73</w:t>
            </w:r>
          </w:p>
        </w:tc>
        <w:tc>
          <w:tcPr>
            <w:tcW w:w="3191" w:type="dxa"/>
          </w:tcPr>
          <w:p w14:paraId="775C7381" w14:textId="3AD5AA1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5.廢止「行政院農業委員會</w:t>
            </w:r>
            <w:proofErr w:type="gramStart"/>
            <w:r w:rsidRPr="001B6E4D">
              <w:rPr>
                <w:rFonts w:ascii="標楷體" w:eastAsia="標楷體" w:hAnsi="標楷體" w:cstheme="minorBidi"/>
              </w:rPr>
              <w:t>農糧署各</w:t>
            </w:r>
            <w:proofErr w:type="gramEnd"/>
            <w:r w:rsidRPr="001B6E4D">
              <w:rPr>
                <w:rFonts w:ascii="標楷體" w:eastAsia="標楷體" w:hAnsi="標楷體" w:cstheme="minorBidi"/>
              </w:rPr>
              <w:t>分署組織通則」(廢止重點：已升格農業部農</w:t>
            </w:r>
            <w:proofErr w:type="gramStart"/>
            <w:r w:rsidRPr="001B6E4D">
              <w:rPr>
                <w:rFonts w:ascii="標楷體" w:eastAsia="標楷體" w:hAnsi="標楷體" w:cstheme="minorBidi"/>
              </w:rPr>
              <w:t>糧署，爰</w:t>
            </w:r>
            <w:proofErr w:type="gramEnd"/>
            <w:r w:rsidRPr="001B6E4D">
              <w:rPr>
                <w:rFonts w:ascii="標楷體" w:eastAsia="標楷體" w:hAnsi="標楷體" w:cstheme="minorBidi"/>
              </w:rPr>
              <w:t>提案廢止。)</w:t>
            </w:r>
          </w:p>
        </w:tc>
        <w:tc>
          <w:tcPr>
            <w:tcW w:w="2022" w:type="dxa"/>
          </w:tcPr>
          <w:p w14:paraId="0B42868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12308B2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16人</w:t>
            </w:r>
          </w:p>
          <w:p w14:paraId="6B57B01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3D024E10" w14:textId="1E0B1010"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11-3-27）</w:t>
            </w:r>
          </w:p>
        </w:tc>
        <w:tc>
          <w:tcPr>
            <w:tcW w:w="1700" w:type="dxa"/>
          </w:tcPr>
          <w:p w14:paraId="1C799461" w14:textId="6369D84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F3E1B89" w14:textId="4281AD9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735C317" w14:textId="77777777" w:rsidTr="00DF0B8F">
        <w:trPr>
          <w:jc w:val="center"/>
        </w:trPr>
        <w:tc>
          <w:tcPr>
            <w:tcW w:w="576" w:type="dxa"/>
          </w:tcPr>
          <w:p w14:paraId="560B4C6A" w14:textId="3BDCF3F7"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lastRenderedPageBreak/>
              <w:t>74</w:t>
            </w:r>
          </w:p>
        </w:tc>
        <w:tc>
          <w:tcPr>
            <w:tcW w:w="3191" w:type="dxa"/>
          </w:tcPr>
          <w:p w14:paraId="0A7F5FC5" w14:textId="51AA72C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2.廢止「行政院農業委員會漁業署組織條例」(廢止重點：農業部暨所屬三級機關相關組織法業已施行，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6BA641A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委員鄭天財</w:t>
            </w:r>
          </w:p>
          <w:p w14:paraId="643276B7" w14:textId="77777777" w:rsidR="003C4019" w:rsidRPr="001B6E4D" w:rsidRDefault="003C4019" w:rsidP="003D1018">
            <w:pPr>
              <w:overflowPunct w:val="0"/>
              <w:jc w:val="both"/>
              <w:rPr>
                <w:rFonts w:ascii="標楷體" w:eastAsia="標楷體" w:hAnsi="標楷體" w:cstheme="minorBidi"/>
              </w:rPr>
            </w:pPr>
            <w:proofErr w:type="spellStart"/>
            <w:r w:rsidRPr="001B6E4D">
              <w:rPr>
                <w:rFonts w:ascii="標楷體" w:eastAsia="標楷體" w:hAnsi="標楷體" w:cstheme="minorBidi"/>
              </w:rPr>
              <w:t>Sra</w:t>
            </w:r>
            <w:proofErr w:type="spellEnd"/>
            <w:r w:rsidRPr="001B6E4D">
              <w:rPr>
                <w:rFonts w:ascii="標楷體" w:eastAsia="標楷體" w:hAnsi="標楷體" w:cstheme="minorBidi"/>
              </w:rPr>
              <w:t xml:space="preserve"> </w:t>
            </w:r>
            <w:proofErr w:type="spellStart"/>
            <w:r w:rsidRPr="001B6E4D">
              <w:rPr>
                <w:rFonts w:ascii="標楷體" w:eastAsia="標楷體" w:hAnsi="標楷體" w:cstheme="minorBidi"/>
              </w:rPr>
              <w:t>Kacaw</w:t>
            </w:r>
            <w:proofErr w:type="spellEnd"/>
          </w:p>
          <w:p w14:paraId="7F0147D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6F2DB22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113.04.26</w:t>
            </w:r>
          </w:p>
          <w:p w14:paraId="0EAA87E4" w14:textId="4718AB6E"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（11-1-11）</w:t>
            </w:r>
          </w:p>
        </w:tc>
        <w:tc>
          <w:tcPr>
            <w:tcW w:w="1700" w:type="dxa"/>
          </w:tcPr>
          <w:p w14:paraId="3F2BFB23" w14:textId="6EF1986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54E483B" w14:textId="1EC44DB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CEDA8B8" w14:textId="77777777" w:rsidTr="00DF0B8F">
        <w:trPr>
          <w:jc w:val="center"/>
        </w:trPr>
        <w:tc>
          <w:tcPr>
            <w:tcW w:w="576" w:type="dxa"/>
          </w:tcPr>
          <w:p w14:paraId="648A4A61" w14:textId="2597F4F7"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75</w:t>
            </w:r>
          </w:p>
        </w:tc>
        <w:tc>
          <w:tcPr>
            <w:tcW w:w="3191" w:type="dxa"/>
          </w:tcPr>
          <w:p w14:paraId="2854635A" w14:textId="1F0B378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3.廢止「行政院農業委員會漁業署組織條例」</w:t>
            </w:r>
            <w:proofErr w:type="gramStart"/>
            <w:r w:rsidRPr="001B6E4D">
              <w:rPr>
                <w:rFonts w:ascii="標楷體" w:eastAsia="標楷體" w:hAnsi="標楷體" w:cstheme="minorBidi"/>
              </w:rPr>
              <w:t>（</w:t>
            </w:r>
            <w:proofErr w:type="gramEnd"/>
            <w:r w:rsidRPr="001B6E4D">
              <w:rPr>
                <w:rFonts w:ascii="標楷體" w:eastAsia="標楷體" w:hAnsi="標楷體" w:cstheme="minorBidi"/>
              </w:rPr>
              <w:t>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700550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委員葉元之</w:t>
            </w:r>
          </w:p>
          <w:p w14:paraId="52C9B73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1F87A1F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113.11.08</w:t>
            </w:r>
          </w:p>
          <w:p w14:paraId="773FA119" w14:textId="315E1FEF"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（11-2-8）</w:t>
            </w:r>
          </w:p>
        </w:tc>
        <w:tc>
          <w:tcPr>
            <w:tcW w:w="1700" w:type="dxa"/>
          </w:tcPr>
          <w:p w14:paraId="5F142EB9" w14:textId="1169F78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245145C0" w14:textId="7B2406D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3E9A8B1" w14:textId="77777777" w:rsidTr="00DF0B8F">
        <w:trPr>
          <w:jc w:val="center"/>
        </w:trPr>
        <w:tc>
          <w:tcPr>
            <w:tcW w:w="576" w:type="dxa"/>
          </w:tcPr>
          <w:p w14:paraId="246E901C" w14:textId="5F5393DA"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76</w:t>
            </w:r>
          </w:p>
        </w:tc>
        <w:tc>
          <w:tcPr>
            <w:tcW w:w="3191" w:type="dxa"/>
          </w:tcPr>
          <w:p w14:paraId="409B3FEA" w14:textId="75EB01E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4.廢止「行政院農業委員會漁業署組織條例」</w:t>
            </w:r>
            <w:proofErr w:type="gramStart"/>
            <w:r w:rsidRPr="001B6E4D">
              <w:rPr>
                <w:rFonts w:ascii="標楷體" w:eastAsia="標楷體" w:hAnsi="標楷體" w:cstheme="minorBidi"/>
              </w:rPr>
              <w:t>（</w:t>
            </w:r>
            <w:proofErr w:type="gramEnd"/>
            <w:r w:rsidRPr="001B6E4D">
              <w:rPr>
                <w:rFonts w:ascii="標楷體" w:eastAsia="標楷體" w:hAnsi="標楷體" w:cstheme="minorBidi"/>
              </w:rPr>
              <w:t>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46B17A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委員萬美玲</w:t>
            </w:r>
          </w:p>
          <w:p w14:paraId="2B78707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等17人</w:t>
            </w:r>
          </w:p>
          <w:p w14:paraId="467E46B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114.01.03</w:t>
            </w:r>
          </w:p>
          <w:p w14:paraId="757426D8" w14:textId="756AAB25"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（11-2-16）</w:t>
            </w:r>
          </w:p>
        </w:tc>
        <w:tc>
          <w:tcPr>
            <w:tcW w:w="1700" w:type="dxa"/>
          </w:tcPr>
          <w:p w14:paraId="040335BE" w14:textId="3749D04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A316483" w14:textId="02D49EA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9C8071B" w14:textId="77777777" w:rsidTr="00DF0B8F">
        <w:trPr>
          <w:jc w:val="center"/>
        </w:trPr>
        <w:tc>
          <w:tcPr>
            <w:tcW w:w="576" w:type="dxa"/>
          </w:tcPr>
          <w:p w14:paraId="55F9637E" w14:textId="3338B901"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77</w:t>
            </w:r>
          </w:p>
        </w:tc>
        <w:tc>
          <w:tcPr>
            <w:tcW w:w="3191" w:type="dxa"/>
          </w:tcPr>
          <w:p w14:paraId="5B6AC6C4" w14:textId="77B8CDE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5.廢止「行政院農業委員會漁業署組織條例」(廢止重點：農業部暨所屬三級機關相關組織法業已施行，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2B3B9D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委員翁曉玲</w:t>
            </w:r>
          </w:p>
          <w:p w14:paraId="13EDE60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289E110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114.03.04</w:t>
            </w:r>
          </w:p>
          <w:p w14:paraId="016F9A23" w14:textId="530010C2"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（11-3-3）</w:t>
            </w:r>
          </w:p>
        </w:tc>
        <w:tc>
          <w:tcPr>
            <w:tcW w:w="1700" w:type="dxa"/>
          </w:tcPr>
          <w:p w14:paraId="3178EA30" w14:textId="5BB0A4A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6BCF322" w14:textId="50731DC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98B517A" w14:textId="77777777" w:rsidTr="00DF0B8F">
        <w:trPr>
          <w:jc w:val="center"/>
        </w:trPr>
        <w:tc>
          <w:tcPr>
            <w:tcW w:w="576" w:type="dxa"/>
          </w:tcPr>
          <w:p w14:paraId="29C544EE" w14:textId="2CA84769"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78</w:t>
            </w:r>
          </w:p>
        </w:tc>
        <w:tc>
          <w:tcPr>
            <w:tcW w:w="3191" w:type="dxa"/>
          </w:tcPr>
          <w:p w14:paraId="0FF21D71" w14:textId="77D5F9D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6.廢止「行政院農業委員會漁業署組織條例」(廢止重點：農業部暨所屬三級機關相關組織法業已施行，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34D4B94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委員楊瓊瓔</w:t>
            </w:r>
          </w:p>
          <w:p w14:paraId="5FD5770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等24人</w:t>
            </w:r>
          </w:p>
          <w:p w14:paraId="1B43CF9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114.03.14</w:t>
            </w:r>
          </w:p>
          <w:p w14:paraId="399F16B6" w14:textId="137E8B80"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（11-3-5）</w:t>
            </w:r>
          </w:p>
        </w:tc>
        <w:tc>
          <w:tcPr>
            <w:tcW w:w="1700" w:type="dxa"/>
          </w:tcPr>
          <w:p w14:paraId="27372347" w14:textId="22D6551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951287F" w14:textId="62596EE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39C3429" w14:textId="77777777" w:rsidTr="00DF0B8F">
        <w:trPr>
          <w:jc w:val="center"/>
        </w:trPr>
        <w:tc>
          <w:tcPr>
            <w:tcW w:w="576" w:type="dxa"/>
          </w:tcPr>
          <w:p w14:paraId="40C177C8" w14:textId="50F6886A"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79</w:t>
            </w:r>
          </w:p>
        </w:tc>
        <w:tc>
          <w:tcPr>
            <w:tcW w:w="3191" w:type="dxa"/>
          </w:tcPr>
          <w:p w14:paraId="591D11EA" w14:textId="47569A6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7.廢止「行政院農業委員會漁業署組織條例」(廢止重點：農業部暨所屬三級機關相關組織法業已施行，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DBBEE0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委員林思銘</w:t>
            </w:r>
          </w:p>
          <w:p w14:paraId="0DA8864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1534EB1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114.03.14</w:t>
            </w:r>
          </w:p>
          <w:p w14:paraId="6FEC0F26" w14:textId="2A2B0D19"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（11-3-5）</w:t>
            </w:r>
          </w:p>
        </w:tc>
        <w:tc>
          <w:tcPr>
            <w:tcW w:w="1700" w:type="dxa"/>
          </w:tcPr>
          <w:p w14:paraId="4E0E230F" w14:textId="7B731BD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F63D2D7" w14:textId="2D6D141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20BC966" w14:textId="77777777" w:rsidTr="00DF0B8F">
        <w:trPr>
          <w:jc w:val="center"/>
        </w:trPr>
        <w:tc>
          <w:tcPr>
            <w:tcW w:w="576" w:type="dxa"/>
          </w:tcPr>
          <w:p w14:paraId="1A89C943" w14:textId="75AE6E01"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80</w:t>
            </w:r>
          </w:p>
        </w:tc>
        <w:tc>
          <w:tcPr>
            <w:tcW w:w="3191" w:type="dxa"/>
          </w:tcPr>
          <w:p w14:paraId="32FAC3F1" w14:textId="1DE9443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8.廢止「行政院農業委員會漁業署組織條例」(廢止重點：原農委會漁業署改制為農業部漁業署，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CAEDDB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委員林岱樺</w:t>
            </w:r>
          </w:p>
          <w:p w14:paraId="3B7BC5F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166749F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114.04.18</w:t>
            </w:r>
          </w:p>
          <w:p w14:paraId="617C10DC" w14:textId="138D2E0C"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（11-3-8）</w:t>
            </w:r>
          </w:p>
        </w:tc>
        <w:tc>
          <w:tcPr>
            <w:tcW w:w="1700" w:type="dxa"/>
          </w:tcPr>
          <w:p w14:paraId="6F9FB816" w14:textId="7FBAC62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D6620F9" w14:textId="1E3CC84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C8C467C" w14:textId="77777777" w:rsidTr="00DF0B8F">
        <w:trPr>
          <w:jc w:val="center"/>
        </w:trPr>
        <w:tc>
          <w:tcPr>
            <w:tcW w:w="576" w:type="dxa"/>
          </w:tcPr>
          <w:p w14:paraId="093A18D6" w14:textId="6906861E"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81</w:t>
            </w:r>
          </w:p>
        </w:tc>
        <w:tc>
          <w:tcPr>
            <w:tcW w:w="3191" w:type="dxa"/>
          </w:tcPr>
          <w:p w14:paraId="14D787DC" w14:textId="4822895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9.廢止「行政院農業委員會漁業署組織條例」(廢止重點：農業部暨所屬三級機關</w:t>
            </w:r>
            <w:r w:rsidRPr="001B6E4D">
              <w:rPr>
                <w:rFonts w:ascii="標楷體" w:eastAsia="標楷體" w:hAnsi="標楷體" w:cstheme="minorBidi"/>
              </w:rPr>
              <w:lastRenderedPageBreak/>
              <w:t>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E5B559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委員王鴻薇</w:t>
            </w:r>
          </w:p>
          <w:p w14:paraId="30EE8A0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等20人</w:t>
            </w:r>
          </w:p>
          <w:p w14:paraId="4A32B73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114.04.18</w:t>
            </w:r>
          </w:p>
          <w:p w14:paraId="07DA87F8" w14:textId="16AA9B8F"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lastRenderedPageBreak/>
              <w:t>（11-3-8）</w:t>
            </w:r>
          </w:p>
        </w:tc>
        <w:tc>
          <w:tcPr>
            <w:tcW w:w="1700" w:type="dxa"/>
          </w:tcPr>
          <w:p w14:paraId="659EDE4D" w14:textId="6EF0DE9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lastRenderedPageBreak/>
              <w:t>司法及法制、經濟</w:t>
            </w:r>
          </w:p>
        </w:tc>
        <w:tc>
          <w:tcPr>
            <w:tcW w:w="1470" w:type="dxa"/>
          </w:tcPr>
          <w:p w14:paraId="1AC32C6E" w14:textId="2C616C7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5C91D3D" w14:textId="77777777" w:rsidTr="00DF0B8F">
        <w:trPr>
          <w:jc w:val="center"/>
        </w:trPr>
        <w:tc>
          <w:tcPr>
            <w:tcW w:w="576" w:type="dxa"/>
          </w:tcPr>
          <w:p w14:paraId="3C78EAAC" w14:textId="517C010B"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82</w:t>
            </w:r>
          </w:p>
        </w:tc>
        <w:tc>
          <w:tcPr>
            <w:tcW w:w="3191" w:type="dxa"/>
          </w:tcPr>
          <w:p w14:paraId="05CFAA58" w14:textId="5F530DA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10.廢止「行政院農業委員會漁業署組織條例」(廢止重點：農業部暨所屬三級機關相關組織法業已施行，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E2880B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委員許宇</w:t>
            </w:r>
            <w:proofErr w:type="gramStart"/>
            <w:r w:rsidRPr="001B6E4D">
              <w:rPr>
                <w:rFonts w:ascii="標楷體" w:eastAsia="標楷體" w:hAnsi="標楷體" w:cstheme="minorBidi"/>
              </w:rPr>
              <w:t>甄</w:t>
            </w:r>
            <w:proofErr w:type="gramEnd"/>
          </w:p>
          <w:p w14:paraId="72DE46B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544BC5B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114.04.25</w:t>
            </w:r>
          </w:p>
          <w:p w14:paraId="63F23DD6" w14:textId="79EC6187"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（11-3-9）</w:t>
            </w:r>
          </w:p>
        </w:tc>
        <w:tc>
          <w:tcPr>
            <w:tcW w:w="1700" w:type="dxa"/>
          </w:tcPr>
          <w:p w14:paraId="5F3B1B2C" w14:textId="038CEA4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98E5E6B" w14:textId="61774A3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663659B" w14:textId="77777777" w:rsidTr="00DF0B8F">
        <w:trPr>
          <w:jc w:val="center"/>
        </w:trPr>
        <w:tc>
          <w:tcPr>
            <w:tcW w:w="576" w:type="dxa"/>
          </w:tcPr>
          <w:p w14:paraId="6F739C6D" w14:textId="7DA2BB62"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83</w:t>
            </w:r>
          </w:p>
        </w:tc>
        <w:tc>
          <w:tcPr>
            <w:tcW w:w="3191" w:type="dxa"/>
          </w:tcPr>
          <w:p w14:paraId="4144F7AF" w14:textId="5F4A081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11.廢止「行政院農業委員會漁業署組織條例」(廢止重點：農業部暨所屬三級機關相關組織法業已施行，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89BC63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委員廖偉翔</w:t>
            </w:r>
          </w:p>
          <w:p w14:paraId="6B10606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6E4F5E9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114.05.23</w:t>
            </w:r>
          </w:p>
          <w:p w14:paraId="06B2AF40" w14:textId="75ED3EA4"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（11-3-13）</w:t>
            </w:r>
          </w:p>
        </w:tc>
        <w:tc>
          <w:tcPr>
            <w:tcW w:w="1700" w:type="dxa"/>
          </w:tcPr>
          <w:p w14:paraId="0FF9E36C" w14:textId="09E2F41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096706B" w14:textId="406B45F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4BCC11F" w14:textId="77777777" w:rsidTr="00DF0B8F">
        <w:trPr>
          <w:jc w:val="center"/>
        </w:trPr>
        <w:tc>
          <w:tcPr>
            <w:tcW w:w="576" w:type="dxa"/>
          </w:tcPr>
          <w:p w14:paraId="4E3DAFA5" w14:textId="14DEB981"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84</w:t>
            </w:r>
          </w:p>
        </w:tc>
        <w:tc>
          <w:tcPr>
            <w:tcW w:w="3191" w:type="dxa"/>
          </w:tcPr>
          <w:p w14:paraId="2F882519" w14:textId="0E6F8F2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12.廢止「行政院農業委員會漁業署組織條例」(廢止重點：已升格為農業部漁業署，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0940154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7A7CB8B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16人</w:t>
            </w:r>
          </w:p>
          <w:p w14:paraId="1DC7AE6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5F99AA47" w14:textId="107AA8EC"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11-3-27）</w:t>
            </w:r>
          </w:p>
        </w:tc>
        <w:tc>
          <w:tcPr>
            <w:tcW w:w="1700" w:type="dxa"/>
          </w:tcPr>
          <w:p w14:paraId="25264674" w14:textId="73222CE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8698FC1" w14:textId="7C1D82B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E2A7382" w14:textId="77777777" w:rsidTr="00DF0B8F">
        <w:trPr>
          <w:jc w:val="center"/>
        </w:trPr>
        <w:tc>
          <w:tcPr>
            <w:tcW w:w="576" w:type="dxa"/>
          </w:tcPr>
          <w:p w14:paraId="28498C38" w14:textId="558A771B"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85</w:t>
            </w:r>
          </w:p>
        </w:tc>
        <w:tc>
          <w:tcPr>
            <w:tcW w:w="3191" w:type="dxa"/>
          </w:tcPr>
          <w:p w14:paraId="2894FE89" w14:textId="228547B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13.廢止「行政院農業委員會漁業署組織條例」(廢止重點：已調整為農業部漁業署，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324012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台灣民眾</w:t>
            </w:r>
            <w:proofErr w:type="gramStart"/>
            <w:r w:rsidRPr="001B6E4D">
              <w:rPr>
                <w:rFonts w:ascii="標楷體" w:eastAsia="標楷體" w:hAnsi="標楷體" w:cstheme="minorBidi"/>
              </w:rPr>
              <w:t>黨</w:t>
            </w:r>
            <w:proofErr w:type="gramEnd"/>
            <w:r w:rsidRPr="001B6E4D">
              <w:rPr>
                <w:rFonts w:ascii="標楷體" w:eastAsia="標楷體" w:hAnsi="標楷體" w:cstheme="minorBidi"/>
              </w:rPr>
              <w:t>黨團</w:t>
            </w:r>
          </w:p>
          <w:p w14:paraId="574CD9F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115.03.20</w:t>
            </w:r>
          </w:p>
          <w:p w14:paraId="772128E8" w14:textId="3A526CF6"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（11-5-4）</w:t>
            </w:r>
          </w:p>
        </w:tc>
        <w:tc>
          <w:tcPr>
            <w:tcW w:w="1700" w:type="dxa"/>
          </w:tcPr>
          <w:p w14:paraId="4E2B460A" w14:textId="1600471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6D2ACDEA" w14:textId="4143481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B7E0BC5" w14:textId="77777777" w:rsidTr="00DF0B8F">
        <w:trPr>
          <w:jc w:val="center"/>
        </w:trPr>
        <w:tc>
          <w:tcPr>
            <w:tcW w:w="576" w:type="dxa"/>
          </w:tcPr>
          <w:p w14:paraId="5D9E1279" w14:textId="0689C904"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86</w:t>
            </w:r>
          </w:p>
        </w:tc>
        <w:tc>
          <w:tcPr>
            <w:tcW w:w="3191" w:type="dxa"/>
          </w:tcPr>
          <w:p w14:paraId="14379A68" w14:textId="3C5C581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14.廢止「行政院農業委員會漁業署組織條例」(廢止重點：已調整為農業部漁業署，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6B6EDFC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委員賴士葆</w:t>
            </w:r>
          </w:p>
          <w:p w14:paraId="178AD47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等24人</w:t>
            </w:r>
          </w:p>
          <w:p w14:paraId="4406B67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115.03.27</w:t>
            </w:r>
          </w:p>
          <w:p w14:paraId="5D896214" w14:textId="50930B7C"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（11-5-5）</w:t>
            </w:r>
          </w:p>
        </w:tc>
        <w:tc>
          <w:tcPr>
            <w:tcW w:w="1700" w:type="dxa"/>
          </w:tcPr>
          <w:p w14:paraId="7A848D67" w14:textId="280A68E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A319716" w14:textId="654CC2C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BD22F46" w14:textId="77777777" w:rsidTr="00DF0B8F">
        <w:trPr>
          <w:jc w:val="center"/>
        </w:trPr>
        <w:tc>
          <w:tcPr>
            <w:tcW w:w="576" w:type="dxa"/>
          </w:tcPr>
          <w:p w14:paraId="5D966A2B" w14:textId="31A6EFAB"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87</w:t>
            </w:r>
          </w:p>
        </w:tc>
        <w:tc>
          <w:tcPr>
            <w:tcW w:w="3191" w:type="dxa"/>
          </w:tcPr>
          <w:p w14:paraId="6E73D925" w14:textId="36EEAA5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2.廢止「行政院農業委員會動植物防疫檢疫局組織條例」(廢止重點：農業部暨所屬三級機關相關組織法業已施行，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0461B5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委員鄭天財</w:t>
            </w:r>
          </w:p>
          <w:p w14:paraId="4C938663" w14:textId="77777777" w:rsidR="003C4019" w:rsidRPr="001B6E4D" w:rsidRDefault="003C4019" w:rsidP="003D1018">
            <w:pPr>
              <w:overflowPunct w:val="0"/>
              <w:jc w:val="both"/>
              <w:rPr>
                <w:rFonts w:ascii="標楷體" w:eastAsia="標楷體" w:hAnsi="標楷體" w:cstheme="minorBidi"/>
              </w:rPr>
            </w:pPr>
            <w:proofErr w:type="spellStart"/>
            <w:r w:rsidRPr="001B6E4D">
              <w:rPr>
                <w:rFonts w:ascii="標楷體" w:eastAsia="標楷體" w:hAnsi="標楷體" w:cstheme="minorBidi"/>
              </w:rPr>
              <w:t>Sra</w:t>
            </w:r>
            <w:proofErr w:type="spellEnd"/>
            <w:r w:rsidRPr="001B6E4D">
              <w:rPr>
                <w:rFonts w:ascii="標楷體" w:eastAsia="標楷體" w:hAnsi="標楷體" w:cstheme="minorBidi"/>
              </w:rPr>
              <w:t xml:space="preserve"> </w:t>
            </w:r>
            <w:proofErr w:type="spellStart"/>
            <w:r w:rsidRPr="001B6E4D">
              <w:rPr>
                <w:rFonts w:ascii="標楷體" w:eastAsia="標楷體" w:hAnsi="標楷體" w:cstheme="minorBidi"/>
              </w:rPr>
              <w:t>Kacaw</w:t>
            </w:r>
            <w:proofErr w:type="spellEnd"/>
          </w:p>
          <w:p w14:paraId="52975D3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13DF7A8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113.04.26</w:t>
            </w:r>
          </w:p>
          <w:p w14:paraId="44DC7740" w14:textId="7F6CFA7D"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（11-1-11）</w:t>
            </w:r>
          </w:p>
        </w:tc>
        <w:tc>
          <w:tcPr>
            <w:tcW w:w="1700" w:type="dxa"/>
          </w:tcPr>
          <w:p w14:paraId="58D7A2F2" w14:textId="305F0AE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63930FCE" w14:textId="4432902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E11B6F7" w14:textId="77777777" w:rsidTr="00DF0B8F">
        <w:trPr>
          <w:jc w:val="center"/>
        </w:trPr>
        <w:tc>
          <w:tcPr>
            <w:tcW w:w="576" w:type="dxa"/>
          </w:tcPr>
          <w:p w14:paraId="696C574F" w14:textId="6219649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88</w:t>
            </w:r>
          </w:p>
        </w:tc>
        <w:tc>
          <w:tcPr>
            <w:tcW w:w="3191" w:type="dxa"/>
          </w:tcPr>
          <w:p w14:paraId="7C5E6B74" w14:textId="2578864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3.廢止「行政院農業委員會動植物防疫檢疫局組織條例」(廢止重點：農業部暨所屬三級機關相關組織法業已施行，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31508A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委員葉元之</w:t>
            </w:r>
          </w:p>
          <w:p w14:paraId="68F9135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36676D9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113.10.25</w:t>
            </w:r>
          </w:p>
          <w:p w14:paraId="479AE38E" w14:textId="38E4C952"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（11-2-6）</w:t>
            </w:r>
          </w:p>
        </w:tc>
        <w:tc>
          <w:tcPr>
            <w:tcW w:w="1700" w:type="dxa"/>
          </w:tcPr>
          <w:p w14:paraId="1C1891E9" w14:textId="39FB149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5A24A85" w14:textId="18AC477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5BA0F64" w14:textId="77777777" w:rsidTr="00DF0B8F">
        <w:trPr>
          <w:jc w:val="center"/>
        </w:trPr>
        <w:tc>
          <w:tcPr>
            <w:tcW w:w="576" w:type="dxa"/>
          </w:tcPr>
          <w:p w14:paraId="38A51C3D" w14:textId="0A11EAE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89</w:t>
            </w:r>
          </w:p>
        </w:tc>
        <w:tc>
          <w:tcPr>
            <w:tcW w:w="3191" w:type="dxa"/>
          </w:tcPr>
          <w:p w14:paraId="31392967" w14:textId="3FE78D8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4.廢止「行政院農業委員會動植物防疫檢疫局組織條例」(廢止重點：農業部暨所屬三級機關相關組織法業已</w:t>
            </w:r>
            <w:r w:rsidRPr="001B6E4D">
              <w:rPr>
                <w:rFonts w:ascii="標楷體" w:eastAsia="標楷體" w:hAnsi="標楷體" w:cstheme="minorBidi"/>
              </w:rPr>
              <w:lastRenderedPageBreak/>
              <w:t>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72A5EA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委員翁曉玲</w:t>
            </w:r>
          </w:p>
          <w:p w14:paraId="4F7D7B4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1BEFAB3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114.03.04</w:t>
            </w:r>
          </w:p>
          <w:p w14:paraId="5AE1BD9D" w14:textId="54871A17"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（11-3-3）</w:t>
            </w:r>
          </w:p>
        </w:tc>
        <w:tc>
          <w:tcPr>
            <w:tcW w:w="1700" w:type="dxa"/>
          </w:tcPr>
          <w:p w14:paraId="213429A5" w14:textId="60BAD13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692E7136" w14:textId="015AABF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6424B36" w14:textId="77777777" w:rsidTr="00DF0B8F">
        <w:trPr>
          <w:jc w:val="center"/>
        </w:trPr>
        <w:tc>
          <w:tcPr>
            <w:tcW w:w="576" w:type="dxa"/>
          </w:tcPr>
          <w:p w14:paraId="3DED42F3" w14:textId="70C397B0"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90</w:t>
            </w:r>
          </w:p>
        </w:tc>
        <w:tc>
          <w:tcPr>
            <w:tcW w:w="3191" w:type="dxa"/>
          </w:tcPr>
          <w:p w14:paraId="522E3307" w14:textId="650AEB3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5.廢止「行政院農業委員會動植物防疫檢疫局組織條例」(廢止重點：已升格為動植物防疫檢疫署，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51BE68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5A6683C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16人</w:t>
            </w:r>
          </w:p>
          <w:p w14:paraId="29D9795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630ED09F" w14:textId="17113D4D"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11-3-27）</w:t>
            </w:r>
          </w:p>
        </w:tc>
        <w:tc>
          <w:tcPr>
            <w:tcW w:w="1700" w:type="dxa"/>
          </w:tcPr>
          <w:p w14:paraId="4A666251" w14:textId="6721693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4D68F3F" w14:textId="0D17407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F3B6E3A" w14:textId="77777777" w:rsidTr="00DF0B8F">
        <w:trPr>
          <w:jc w:val="center"/>
        </w:trPr>
        <w:tc>
          <w:tcPr>
            <w:tcW w:w="576" w:type="dxa"/>
          </w:tcPr>
          <w:p w14:paraId="784C42F6" w14:textId="0AA91B4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91</w:t>
            </w:r>
          </w:p>
        </w:tc>
        <w:tc>
          <w:tcPr>
            <w:tcW w:w="3191" w:type="dxa"/>
          </w:tcPr>
          <w:p w14:paraId="20B1CA3C" w14:textId="4C554FF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2.廢止「行政院農業委員會動植物防疫檢疫局所屬各分局組織通則」(廢止重點：農業部暨所屬三級機關相關組織法業已施行，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6DAA41D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委員鄭天財</w:t>
            </w:r>
          </w:p>
          <w:p w14:paraId="37AD7EF2" w14:textId="77777777" w:rsidR="003C4019" w:rsidRPr="001B6E4D" w:rsidRDefault="003C4019" w:rsidP="003D1018">
            <w:pPr>
              <w:overflowPunct w:val="0"/>
              <w:jc w:val="both"/>
              <w:rPr>
                <w:rFonts w:ascii="標楷體" w:eastAsia="標楷體" w:hAnsi="標楷體" w:cstheme="minorBidi"/>
              </w:rPr>
            </w:pPr>
            <w:proofErr w:type="spellStart"/>
            <w:r w:rsidRPr="001B6E4D">
              <w:rPr>
                <w:rFonts w:ascii="標楷體" w:eastAsia="標楷體" w:hAnsi="標楷體" w:cstheme="minorBidi"/>
              </w:rPr>
              <w:t>Sra</w:t>
            </w:r>
            <w:proofErr w:type="spellEnd"/>
            <w:r w:rsidRPr="001B6E4D">
              <w:rPr>
                <w:rFonts w:ascii="標楷體" w:eastAsia="標楷體" w:hAnsi="標楷體" w:cstheme="minorBidi"/>
              </w:rPr>
              <w:t xml:space="preserve"> </w:t>
            </w:r>
            <w:proofErr w:type="spellStart"/>
            <w:r w:rsidRPr="001B6E4D">
              <w:rPr>
                <w:rFonts w:ascii="標楷體" w:eastAsia="標楷體" w:hAnsi="標楷體" w:cstheme="minorBidi"/>
              </w:rPr>
              <w:t>Kacaw</w:t>
            </w:r>
            <w:proofErr w:type="spellEnd"/>
          </w:p>
          <w:p w14:paraId="15EBE4A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15AFB33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113.04.26</w:t>
            </w:r>
          </w:p>
          <w:p w14:paraId="31F79B6A" w14:textId="107BD31A"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（11-1-11）</w:t>
            </w:r>
          </w:p>
        </w:tc>
        <w:tc>
          <w:tcPr>
            <w:tcW w:w="1700" w:type="dxa"/>
          </w:tcPr>
          <w:p w14:paraId="03121132" w14:textId="2EB5FEB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672A5CEA" w14:textId="5D29F7D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4045CE6" w14:textId="77777777" w:rsidTr="00DF0B8F">
        <w:trPr>
          <w:jc w:val="center"/>
        </w:trPr>
        <w:tc>
          <w:tcPr>
            <w:tcW w:w="576" w:type="dxa"/>
          </w:tcPr>
          <w:p w14:paraId="06008329" w14:textId="744FEE94"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92</w:t>
            </w:r>
          </w:p>
        </w:tc>
        <w:tc>
          <w:tcPr>
            <w:tcW w:w="3191" w:type="dxa"/>
          </w:tcPr>
          <w:p w14:paraId="5CB4786F" w14:textId="13FA570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3.廢止「行政院農業委員會動植物防疫檢疫局所屬各分局組織通則」</w:t>
            </w:r>
            <w:proofErr w:type="gramStart"/>
            <w:r w:rsidRPr="001B6E4D">
              <w:rPr>
                <w:rFonts w:ascii="標楷體" w:eastAsia="標楷體" w:hAnsi="標楷體" w:cstheme="minorBidi"/>
              </w:rPr>
              <w:t>（</w:t>
            </w:r>
            <w:proofErr w:type="gramEnd"/>
            <w:r w:rsidRPr="001B6E4D">
              <w:rPr>
                <w:rFonts w:ascii="標楷體" w:eastAsia="標楷體" w:hAnsi="標楷體" w:cstheme="minorBidi"/>
              </w:rPr>
              <w:t>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0E00E09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委員葉元之</w:t>
            </w:r>
          </w:p>
          <w:p w14:paraId="52B3B50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53358B2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113.11.08</w:t>
            </w:r>
          </w:p>
          <w:p w14:paraId="0DD83FE9" w14:textId="4828A31F"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（11-2-8）</w:t>
            </w:r>
          </w:p>
        </w:tc>
        <w:tc>
          <w:tcPr>
            <w:tcW w:w="1700" w:type="dxa"/>
          </w:tcPr>
          <w:p w14:paraId="3C1873A2" w14:textId="50F778E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118EB37" w14:textId="74FD664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F193289" w14:textId="77777777" w:rsidTr="00DF0B8F">
        <w:trPr>
          <w:jc w:val="center"/>
        </w:trPr>
        <w:tc>
          <w:tcPr>
            <w:tcW w:w="576" w:type="dxa"/>
          </w:tcPr>
          <w:p w14:paraId="366C94B5" w14:textId="2A0E9CC1"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93</w:t>
            </w:r>
          </w:p>
        </w:tc>
        <w:tc>
          <w:tcPr>
            <w:tcW w:w="3191" w:type="dxa"/>
          </w:tcPr>
          <w:p w14:paraId="7E91C395" w14:textId="5F4ECEA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4.廢止「行政院農業委員會動植物防疫檢疫局所屬各分局組織通則」(廢止重點：農業部暨所屬三級機關相關組織法業已施行，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FEFA66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委員翁曉玲</w:t>
            </w:r>
          </w:p>
          <w:p w14:paraId="07CEB7D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206ED24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114.03.04</w:t>
            </w:r>
          </w:p>
          <w:p w14:paraId="46686118" w14:textId="568693BC"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（11-3-3）</w:t>
            </w:r>
          </w:p>
        </w:tc>
        <w:tc>
          <w:tcPr>
            <w:tcW w:w="1700" w:type="dxa"/>
          </w:tcPr>
          <w:p w14:paraId="2D61A3A5" w14:textId="0A5DA33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5CFC730" w14:textId="1392211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9DEE17A" w14:textId="77777777" w:rsidTr="00DF0B8F">
        <w:trPr>
          <w:jc w:val="center"/>
        </w:trPr>
        <w:tc>
          <w:tcPr>
            <w:tcW w:w="576" w:type="dxa"/>
          </w:tcPr>
          <w:p w14:paraId="64B49127" w14:textId="490DCBCF"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94</w:t>
            </w:r>
          </w:p>
        </w:tc>
        <w:tc>
          <w:tcPr>
            <w:tcW w:w="3191" w:type="dxa"/>
          </w:tcPr>
          <w:p w14:paraId="7E3167C5" w14:textId="7A6D329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5.廢止「行政院農業委員會動植物防疫檢疫局所屬各分局組織通則」(廢止重點：已升格為動植物防疫檢疫署，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A90072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126F97C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16人</w:t>
            </w:r>
          </w:p>
          <w:p w14:paraId="5E1D4AC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0AE58566" w14:textId="24CAD70A"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11-3-27）</w:t>
            </w:r>
          </w:p>
        </w:tc>
        <w:tc>
          <w:tcPr>
            <w:tcW w:w="1700" w:type="dxa"/>
          </w:tcPr>
          <w:p w14:paraId="223B461D" w14:textId="1ACBB73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6FD98E1" w14:textId="5F74987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2D94D8B" w14:textId="77777777" w:rsidTr="00DF0B8F">
        <w:trPr>
          <w:jc w:val="center"/>
        </w:trPr>
        <w:tc>
          <w:tcPr>
            <w:tcW w:w="576" w:type="dxa"/>
          </w:tcPr>
          <w:p w14:paraId="567CFB2E" w14:textId="149EDFDB"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95</w:t>
            </w:r>
          </w:p>
        </w:tc>
        <w:tc>
          <w:tcPr>
            <w:tcW w:w="3191" w:type="dxa"/>
          </w:tcPr>
          <w:p w14:paraId="13BD0934" w14:textId="1A42411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2.廢止「行政院農業委員會水土保持局組織法」(廢止重點：農業部暨所屬三級機關相關組織法業已施行，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68FB27C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委員鄭天財</w:t>
            </w:r>
          </w:p>
          <w:p w14:paraId="0631161F" w14:textId="77777777" w:rsidR="003C4019" w:rsidRPr="001B6E4D" w:rsidRDefault="003C4019" w:rsidP="003D1018">
            <w:pPr>
              <w:overflowPunct w:val="0"/>
              <w:jc w:val="both"/>
              <w:rPr>
                <w:rFonts w:ascii="標楷體" w:eastAsia="標楷體" w:hAnsi="標楷體" w:cstheme="minorBidi"/>
              </w:rPr>
            </w:pPr>
            <w:proofErr w:type="spellStart"/>
            <w:r w:rsidRPr="001B6E4D">
              <w:rPr>
                <w:rFonts w:ascii="標楷體" w:eastAsia="標楷體" w:hAnsi="標楷體" w:cstheme="minorBidi"/>
              </w:rPr>
              <w:t>Sra</w:t>
            </w:r>
            <w:proofErr w:type="spellEnd"/>
            <w:r w:rsidRPr="001B6E4D">
              <w:rPr>
                <w:rFonts w:ascii="標楷體" w:eastAsia="標楷體" w:hAnsi="標楷體" w:cstheme="minorBidi"/>
              </w:rPr>
              <w:t xml:space="preserve"> </w:t>
            </w:r>
            <w:proofErr w:type="spellStart"/>
            <w:r w:rsidRPr="001B6E4D">
              <w:rPr>
                <w:rFonts w:ascii="標楷體" w:eastAsia="標楷體" w:hAnsi="標楷體" w:cstheme="minorBidi"/>
              </w:rPr>
              <w:t>Kacaw</w:t>
            </w:r>
            <w:proofErr w:type="spellEnd"/>
          </w:p>
          <w:p w14:paraId="242A522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069F0A3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113.04.26</w:t>
            </w:r>
          </w:p>
          <w:p w14:paraId="7F1C68F8" w14:textId="1E57F4F1"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（11-1-11）</w:t>
            </w:r>
          </w:p>
        </w:tc>
        <w:tc>
          <w:tcPr>
            <w:tcW w:w="1700" w:type="dxa"/>
          </w:tcPr>
          <w:p w14:paraId="7FF3DD03" w14:textId="0997D87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972C416" w14:textId="72AE474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AC54BBC" w14:textId="77777777" w:rsidTr="00DF0B8F">
        <w:trPr>
          <w:jc w:val="center"/>
        </w:trPr>
        <w:tc>
          <w:tcPr>
            <w:tcW w:w="576" w:type="dxa"/>
          </w:tcPr>
          <w:p w14:paraId="7580A742" w14:textId="226D07B2"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96</w:t>
            </w:r>
          </w:p>
        </w:tc>
        <w:tc>
          <w:tcPr>
            <w:tcW w:w="3191" w:type="dxa"/>
          </w:tcPr>
          <w:p w14:paraId="639D800B" w14:textId="149879E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3.廢止「行政院農業委員會水土保持局組織法」(廢止重點：農業部暨所屬三級機關相關組織法業已施行，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lastRenderedPageBreak/>
              <w:t>提案廢止。)</w:t>
            </w:r>
          </w:p>
        </w:tc>
        <w:tc>
          <w:tcPr>
            <w:tcW w:w="2022" w:type="dxa"/>
          </w:tcPr>
          <w:p w14:paraId="5E93012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委員葉元之</w:t>
            </w:r>
          </w:p>
          <w:p w14:paraId="48A146E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6E2B170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113.10.25</w:t>
            </w:r>
          </w:p>
          <w:p w14:paraId="6DB414EA" w14:textId="061EC647"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（11-2-6）</w:t>
            </w:r>
          </w:p>
        </w:tc>
        <w:tc>
          <w:tcPr>
            <w:tcW w:w="1700" w:type="dxa"/>
          </w:tcPr>
          <w:p w14:paraId="309356DC" w14:textId="2BD8A27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F780785" w14:textId="3620E27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B3C48F0" w14:textId="77777777" w:rsidTr="00DF0B8F">
        <w:trPr>
          <w:jc w:val="center"/>
        </w:trPr>
        <w:tc>
          <w:tcPr>
            <w:tcW w:w="576" w:type="dxa"/>
          </w:tcPr>
          <w:p w14:paraId="5DF76401" w14:textId="4BBCCD0B"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97</w:t>
            </w:r>
          </w:p>
        </w:tc>
        <w:tc>
          <w:tcPr>
            <w:tcW w:w="3191" w:type="dxa"/>
          </w:tcPr>
          <w:p w14:paraId="76C46C1A" w14:textId="63B8BD3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4.廢止「行政院農業委員會水土保持局組織法」(廢止重點：農業部暨所屬三級機關相關組織法業已施行，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428E4F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委員萬美玲</w:t>
            </w:r>
          </w:p>
          <w:p w14:paraId="3FE3C83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等17人</w:t>
            </w:r>
          </w:p>
          <w:p w14:paraId="2085D26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114.01.03</w:t>
            </w:r>
          </w:p>
          <w:p w14:paraId="45B0C1C0" w14:textId="48E6B2FB"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（11-2-16）</w:t>
            </w:r>
          </w:p>
        </w:tc>
        <w:tc>
          <w:tcPr>
            <w:tcW w:w="1700" w:type="dxa"/>
          </w:tcPr>
          <w:p w14:paraId="2905C894" w14:textId="583F41D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DECA9D5" w14:textId="27DF9E8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3FDACF0" w14:textId="77777777" w:rsidTr="00DF0B8F">
        <w:trPr>
          <w:jc w:val="center"/>
        </w:trPr>
        <w:tc>
          <w:tcPr>
            <w:tcW w:w="576" w:type="dxa"/>
          </w:tcPr>
          <w:p w14:paraId="32C702FE" w14:textId="22705ACF"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98</w:t>
            </w:r>
          </w:p>
        </w:tc>
        <w:tc>
          <w:tcPr>
            <w:tcW w:w="3191" w:type="dxa"/>
          </w:tcPr>
          <w:p w14:paraId="17CAA204" w14:textId="1C15089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5.廢止「行政院農業委員會水土保持局組織法」(廢止重點：農業部暨所屬三級機關相關組織法業已施行，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CFB6E7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委員翁曉玲</w:t>
            </w:r>
          </w:p>
          <w:p w14:paraId="64CAA44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4D0CFCB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114.03.04</w:t>
            </w:r>
          </w:p>
          <w:p w14:paraId="2554670B" w14:textId="0648499C"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（11-3-3）</w:t>
            </w:r>
          </w:p>
        </w:tc>
        <w:tc>
          <w:tcPr>
            <w:tcW w:w="1700" w:type="dxa"/>
          </w:tcPr>
          <w:p w14:paraId="3201DE79" w14:textId="158FBB3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CC09AC2" w14:textId="0211551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17F9CEE" w14:textId="77777777" w:rsidTr="00DF0B8F">
        <w:trPr>
          <w:jc w:val="center"/>
        </w:trPr>
        <w:tc>
          <w:tcPr>
            <w:tcW w:w="576" w:type="dxa"/>
          </w:tcPr>
          <w:p w14:paraId="45E05053" w14:textId="295E2827"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99</w:t>
            </w:r>
          </w:p>
        </w:tc>
        <w:tc>
          <w:tcPr>
            <w:tcW w:w="3191" w:type="dxa"/>
          </w:tcPr>
          <w:p w14:paraId="49765186" w14:textId="0C54C07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6.廢止「行政院農業委員會水土保持局組織法」(廢止重點：農業部暨所屬三級機關相關組織法業已施行，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742147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委員楊瓊瓔</w:t>
            </w:r>
          </w:p>
          <w:p w14:paraId="1D19269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等24人</w:t>
            </w:r>
          </w:p>
          <w:p w14:paraId="68E9B87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114.03.14</w:t>
            </w:r>
          </w:p>
          <w:p w14:paraId="59E9E85E" w14:textId="69563F49"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（11-3-5）</w:t>
            </w:r>
          </w:p>
        </w:tc>
        <w:tc>
          <w:tcPr>
            <w:tcW w:w="1700" w:type="dxa"/>
          </w:tcPr>
          <w:p w14:paraId="7D8444B9" w14:textId="616AA0C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64D6098" w14:textId="3DAADEE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72AF98DE" w14:textId="77777777" w:rsidTr="00DF0B8F">
        <w:trPr>
          <w:jc w:val="center"/>
        </w:trPr>
        <w:tc>
          <w:tcPr>
            <w:tcW w:w="576" w:type="dxa"/>
          </w:tcPr>
          <w:p w14:paraId="47B43E03" w14:textId="2FB7C509"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100</w:t>
            </w:r>
          </w:p>
        </w:tc>
        <w:tc>
          <w:tcPr>
            <w:tcW w:w="3191" w:type="dxa"/>
          </w:tcPr>
          <w:p w14:paraId="68BBD420" w14:textId="270AF46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7.廢止「行政院農業委員會水土保持局組織法」(廢止重點：農業部暨所屬三級機關相關組織法業已施行，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1DFB35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委員林思銘</w:t>
            </w:r>
          </w:p>
          <w:p w14:paraId="4DEFC10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01CC509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114.03.14</w:t>
            </w:r>
          </w:p>
          <w:p w14:paraId="144D31D9" w14:textId="163D0CD9"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（11-3-5）</w:t>
            </w:r>
          </w:p>
        </w:tc>
        <w:tc>
          <w:tcPr>
            <w:tcW w:w="1700" w:type="dxa"/>
          </w:tcPr>
          <w:p w14:paraId="707E03F5" w14:textId="2E556FB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2D6ABBB3" w14:textId="3A95746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C9FCD20" w14:textId="77777777" w:rsidTr="00DF0B8F">
        <w:trPr>
          <w:jc w:val="center"/>
        </w:trPr>
        <w:tc>
          <w:tcPr>
            <w:tcW w:w="576" w:type="dxa"/>
          </w:tcPr>
          <w:p w14:paraId="55886A7E" w14:textId="01954635"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101</w:t>
            </w:r>
          </w:p>
        </w:tc>
        <w:tc>
          <w:tcPr>
            <w:tcW w:w="3191" w:type="dxa"/>
          </w:tcPr>
          <w:p w14:paraId="6D6A48B3" w14:textId="2D3BD49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8.廢止「行政院農業委員會水土保持局組織法」(廢止重點：農業部暨所屬三級機關相關組織法業已施行，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3F556FA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委員廖偉翔</w:t>
            </w:r>
          </w:p>
          <w:p w14:paraId="4BA9748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等17人</w:t>
            </w:r>
          </w:p>
          <w:p w14:paraId="3EE8E3A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114.04.18</w:t>
            </w:r>
          </w:p>
          <w:p w14:paraId="1E841D6B" w14:textId="0772010B"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（11-3-8）</w:t>
            </w:r>
          </w:p>
        </w:tc>
        <w:tc>
          <w:tcPr>
            <w:tcW w:w="1700" w:type="dxa"/>
          </w:tcPr>
          <w:p w14:paraId="4D6959A7" w14:textId="53CAE61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DA135F4" w14:textId="3618360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7293760" w14:textId="77777777" w:rsidTr="00DF0B8F">
        <w:trPr>
          <w:jc w:val="center"/>
        </w:trPr>
        <w:tc>
          <w:tcPr>
            <w:tcW w:w="576" w:type="dxa"/>
          </w:tcPr>
          <w:p w14:paraId="698D0549" w14:textId="081701B3"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102</w:t>
            </w:r>
          </w:p>
        </w:tc>
        <w:tc>
          <w:tcPr>
            <w:tcW w:w="3191" w:type="dxa"/>
          </w:tcPr>
          <w:p w14:paraId="6210B85B" w14:textId="6E379A7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9.廢止「行政院農業委員會水土保持局組織法」(廢止重點：農業部暨所屬三級機關相關組織法業已施行，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1553C0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委員王鴻薇</w:t>
            </w:r>
          </w:p>
          <w:p w14:paraId="5DEC38C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等20人</w:t>
            </w:r>
          </w:p>
          <w:p w14:paraId="4A4ADD2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114.04.18</w:t>
            </w:r>
          </w:p>
          <w:p w14:paraId="1D0ABC9D" w14:textId="3513A146"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（11-3-8）</w:t>
            </w:r>
          </w:p>
        </w:tc>
        <w:tc>
          <w:tcPr>
            <w:tcW w:w="1700" w:type="dxa"/>
          </w:tcPr>
          <w:p w14:paraId="3FF28979" w14:textId="31E1F6D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690AC27" w14:textId="1D3BD92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076B2F4" w14:textId="77777777" w:rsidTr="00DF0B8F">
        <w:trPr>
          <w:jc w:val="center"/>
        </w:trPr>
        <w:tc>
          <w:tcPr>
            <w:tcW w:w="576" w:type="dxa"/>
          </w:tcPr>
          <w:p w14:paraId="533E243B" w14:textId="2386C22F"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103</w:t>
            </w:r>
          </w:p>
        </w:tc>
        <w:tc>
          <w:tcPr>
            <w:tcW w:w="3191" w:type="dxa"/>
          </w:tcPr>
          <w:p w14:paraId="1200DAC8" w14:textId="01B2321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10.廢止「行政院農業委員會水土保持局組織法」(廢止重點：農業部暨所屬三級機關相關組織法業已施行，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66F3A54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委員許宇</w:t>
            </w:r>
            <w:proofErr w:type="gramStart"/>
            <w:r w:rsidRPr="001B6E4D">
              <w:rPr>
                <w:rFonts w:ascii="標楷體" w:eastAsia="標楷體" w:hAnsi="標楷體" w:cstheme="minorBidi"/>
              </w:rPr>
              <w:t>甄</w:t>
            </w:r>
            <w:proofErr w:type="gramEnd"/>
          </w:p>
          <w:p w14:paraId="2C18D2A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4F5681D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114.04.25</w:t>
            </w:r>
          </w:p>
          <w:p w14:paraId="6C65F9BF" w14:textId="44C1381B"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（11-3-9）</w:t>
            </w:r>
          </w:p>
        </w:tc>
        <w:tc>
          <w:tcPr>
            <w:tcW w:w="1700" w:type="dxa"/>
          </w:tcPr>
          <w:p w14:paraId="1F2B00F6" w14:textId="5ACCEC9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FD0987C" w14:textId="3F79844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961320F" w14:textId="77777777" w:rsidTr="00DF0B8F">
        <w:trPr>
          <w:jc w:val="center"/>
        </w:trPr>
        <w:tc>
          <w:tcPr>
            <w:tcW w:w="576" w:type="dxa"/>
          </w:tcPr>
          <w:p w14:paraId="34BBEF51" w14:textId="67857B69"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104</w:t>
            </w:r>
          </w:p>
        </w:tc>
        <w:tc>
          <w:tcPr>
            <w:tcW w:w="3191" w:type="dxa"/>
          </w:tcPr>
          <w:p w14:paraId="28D8C481" w14:textId="4D1294E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11.廢止「行政院農業委員會水土保持局組織法」(廢</w:t>
            </w:r>
            <w:r w:rsidRPr="001B6E4D">
              <w:rPr>
                <w:rFonts w:ascii="標楷體" w:eastAsia="標楷體" w:hAnsi="標楷體" w:cstheme="minorBidi"/>
              </w:rPr>
              <w:lastRenderedPageBreak/>
              <w:t>止重點：已升格為農村發展及水土保持署，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3FE0A45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委員謝衣</w:t>
            </w:r>
            <w:r w:rsidRPr="001B6E4D">
              <w:rPr>
                <w:rFonts w:ascii="標楷體" w:eastAsia="標楷體" w:hAnsi="標楷體" w:cstheme="minorBidi" w:hint="eastAsia"/>
              </w:rPr>
              <w:t>鳯</w:t>
            </w:r>
          </w:p>
          <w:p w14:paraId="280E195E" w14:textId="6B96361E"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16人</w:t>
            </w:r>
          </w:p>
          <w:p w14:paraId="3FEFEA9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14.08.29</w:t>
            </w:r>
          </w:p>
          <w:p w14:paraId="2EFD9D48" w14:textId="72085D1A"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11-3-27）</w:t>
            </w:r>
          </w:p>
        </w:tc>
        <w:tc>
          <w:tcPr>
            <w:tcW w:w="1700" w:type="dxa"/>
          </w:tcPr>
          <w:p w14:paraId="5287ABA5" w14:textId="095BB53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lastRenderedPageBreak/>
              <w:t>司法及法制、經濟</w:t>
            </w:r>
          </w:p>
        </w:tc>
        <w:tc>
          <w:tcPr>
            <w:tcW w:w="1470" w:type="dxa"/>
          </w:tcPr>
          <w:p w14:paraId="39D0C6A3" w14:textId="54DACA0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FD79992" w14:textId="77777777" w:rsidTr="00DF0B8F">
        <w:trPr>
          <w:jc w:val="center"/>
        </w:trPr>
        <w:tc>
          <w:tcPr>
            <w:tcW w:w="576" w:type="dxa"/>
          </w:tcPr>
          <w:p w14:paraId="40CA30EE" w14:textId="7EBDBB9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105</w:t>
            </w:r>
          </w:p>
        </w:tc>
        <w:tc>
          <w:tcPr>
            <w:tcW w:w="3191" w:type="dxa"/>
          </w:tcPr>
          <w:p w14:paraId="27C3FF3E" w14:textId="5FC1950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12.廢止「行政院農業委員會水土保持局組織法」(廢止重點：已改制為農村發展及水土保持署，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3AD99909"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委員賴士葆</w:t>
            </w:r>
          </w:p>
          <w:p w14:paraId="48D0D4C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等24人</w:t>
            </w:r>
          </w:p>
          <w:p w14:paraId="0E7F75F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115.03.27</w:t>
            </w:r>
          </w:p>
          <w:p w14:paraId="1E749070" w14:textId="4ADE3E61"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（11-5-5）</w:t>
            </w:r>
          </w:p>
        </w:tc>
        <w:tc>
          <w:tcPr>
            <w:tcW w:w="1700" w:type="dxa"/>
          </w:tcPr>
          <w:p w14:paraId="78D5D4A1" w14:textId="24F91EE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E4B0A51" w14:textId="720C2D1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5B784E7" w14:textId="77777777" w:rsidTr="00DF0B8F">
        <w:trPr>
          <w:jc w:val="center"/>
        </w:trPr>
        <w:tc>
          <w:tcPr>
            <w:tcW w:w="576" w:type="dxa"/>
          </w:tcPr>
          <w:p w14:paraId="6D2B4F34" w14:textId="6D3FF1F0"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106</w:t>
            </w:r>
          </w:p>
        </w:tc>
        <w:tc>
          <w:tcPr>
            <w:tcW w:w="3191" w:type="dxa"/>
          </w:tcPr>
          <w:p w14:paraId="318A5D93" w14:textId="0C041E4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2.廢止「行政院農業委員會農業金融局組織條例」(廢止重點：農業部暨所屬三級機關相關組織法業已施行，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21A4077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委員鄭天財</w:t>
            </w:r>
          </w:p>
          <w:p w14:paraId="2CBE060A" w14:textId="77777777" w:rsidR="003C4019" w:rsidRPr="001B6E4D" w:rsidRDefault="003C4019" w:rsidP="003D1018">
            <w:pPr>
              <w:overflowPunct w:val="0"/>
              <w:jc w:val="both"/>
              <w:rPr>
                <w:rFonts w:ascii="標楷體" w:eastAsia="標楷體" w:hAnsi="標楷體" w:cstheme="minorBidi"/>
              </w:rPr>
            </w:pPr>
            <w:proofErr w:type="spellStart"/>
            <w:r w:rsidRPr="001B6E4D">
              <w:rPr>
                <w:rFonts w:ascii="標楷體" w:eastAsia="標楷體" w:hAnsi="標楷體" w:cstheme="minorBidi"/>
              </w:rPr>
              <w:t>Sra</w:t>
            </w:r>
            <w:proofErr w:type="spellEnd"/>
            <w:r w:rsidRPr="001B6E4D">
              <w:rPr>
                <w:rFonts w:ascii="標楷體" w:eastAsia="標楷體" w:hAnsi="標楷體" w:cstheme="minorBidi"/>
              </w:rPr>
              <w:t xml:space="preserve"> </w:t>
            </w:r>
            <w:proofErr w:type="spellStart"/>
            <w:r w:rsidRPr="001B6E4D">
              <w:rPr>
                <w:rFonts w:ascii="標楷體" w:eastAsia="標楷體" w:hAnsi="標楷體" w:cstheme="minorBidi"/>
              </w:rPr>
              <w:t>Kacaw</w:t>
            </w:r>
            <w:proofErr w:type="spellEnd"/>
          </w:p>
          <w:p w14:paraId="10FA89D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7687FA7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113.04.26</w:t>
            </w:r>
          </w:p>
          <w:p w14:paraId="20C01A5A" w14:textId="59A17C61"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（11-1-11）</w:t>
            </w:r>
          </w:p>
        </w:tc>
        <w:tc>
          <w:tcPr>
            <w:tcW w:w="1700" w:type="dxa"/>
          </w:tcPr>
          <w:p w14:paraId="04BFBB33" w14:textId="211C632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A7D5876" w14:textId="161DE83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005C991" w14:textId="77777777" w:rsidTr="00DF0B8F">
        <w:trPr>
          <w:jc w:val="center"/>
        </w:trPr>
        <w:tc>
          <w:tcPr>
            <w:tcW w:w="576" w:type="dxa"/>
          </w:tcPr>
          <w:p w14:paraId="2C726A2F" w14:textId="11FC0BF6"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107</w:t>
            </w:r>
          </w:p>
        </w:tc>
        <w:tc>
          <w:tcPr>
            <w:tcW w:w="3191" w:type="dxa"/>
          </w:tcPr>
          <w:p w14:paraId="3C6065DD" w14:textId="424F839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3.廢止「行政院農業委員會農業金融局組織條例」(廢止重點：農業部暨所屬三級機關相關組織法業已施行，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35443C4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委員葉元之</w:t>
            </w:r>
          </w:p>
          <w:p w14:paraId="15C9EC1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7E72852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113.11.29</w:t>
            </w:r>
          </w:p>
          <w:p w14:paraId="19E4B293" w14:textId="0A6ABA08"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（11-2-11）</w:t>
            </w:r>
          </w:p>
        </w:tc>
        <w:tc>
          <w:tcPr>
            <w:tcW w:w="1700" w:type="dxa"/>
          </w:tcPr>
          <w:p w14:paraId="75A36B05" w14:textId="3DAC61C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194D92CF" w14:textId="0C80782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1F800C6" w14:textId="77777777" w:rsidTr="00DF0B8F">
        <w:trPr>
          <w:jc w:val="center"/>
        </w:trPr>
        <w:tc>
          <w:tcPr>
            <w:tcW w:w="576" w:type="dxa"/>
          </w:tcPr>
          <w:p w14:paraId="0912ACA0" w14:textId="4A351FE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108</w:t>
            </w:r>
          </w:p>
        </w:tc>
        <w:tc>
          <w:tcPr>
            <w:tcW w:w="3191" w:type="dxa"/>
          </w:tcPr>
          <w:p w14:paraId="2C752DA6" w14:textId="2930B68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4.廢止「行政院農業委員會農業金融局組織條例」(廢止重點：農業部暨所屬三級機關相關組織法業已施行，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6C1754E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委員萬美玲</w:t>
            </w:r>
          </w:p>
          <w:p w14:paraId="5620926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3A9D890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114.01.03</w:t>
            </w:r>
          </w:p>
          <w:p w14:paraId="65E5A959" w14:textId="489FBFCB"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（11-2-16）</w:t>
            </w:r>
          </w:p>
        </w:tc>
        <w:tc>
          <w:tcPr>
            <w:tcW w:w="1700" w:type="dxa"/>
          </w:tcPr>
          <w:p w14:paraId="369EAD99" w14:textId="5BBA5D7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076A080" w14:textId="11D227E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02BFF14" w14:textId="77777777" w:rsidTr="00DF0B8F">
        <w:trPr>
          <w:jc w:val="center"/>
        </w:trPr>
        <w:tc>
          <w:tcPr>
            <w:tcW w:w="576" w:type="dxa"/>
          </w:tcPr>
          <w:p w14:paraId="0242A791" w14:textId="6E805E9B"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109</w:t>
            </w:r>
          </w:p>
        </w:tc>
        <w:tc>
          <w:tcPr>
            <w:tcW w:w="3191" w:type="dxa"/>
          </w:tcPr>
          <w:p w14:paraId="52231960" w14:textId="002CA95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5.廢止「行政院農業委員會農業金融局組織條例」(廢止重點：農業部暨所屬三級機關相關組織法業已施行，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63C99D9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委員翁曉玲</w:t>
            </w:r>
          </w:p>
          <w:p w14:paraId="48AF288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02B1D2B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114.03.04</w:t>
            </w:r>
          </w:p>
          <w:p w14:paraId="00CE0B15" w14:textId="7AEDF8B1"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（11-3-3）</w:t>
            </w:r>
          </w:p>
        </w:tc>
        <w:tc>
          <w:tcPr>
            <w:tcW w:w="1700" w:type="dxa"/>
          </w:tcPr>
          <w:p w14:paraId="7B8BD926" w14:textId="123BAFF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F1693AC" w14:textId="443D051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295653E9" w14:textId="77777777" w:rsidTr="00DF0B8F">
        <w:trPr>
          <w:jc w:val="center"/>
        </w:trPr>
        <w:tc>
          <w:tcPr>
            <w:tcW w:w="576" w:type="dxa"/>
          </w:tcPr>
          <w:p w14:paraId="12E59B0E" w14:textId="33AE9DB2"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110</w:t>
            </w:r>
          </w:p>
        </w:tc>
        <w:tc>
          <w:tcPr>
            <w:tcW w:w="3191" w:type="dxa"/>
          </w:tcPr>
          <w:p w14:paraId="0D7A1412" w14:textId="751D73A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6.廢止「行政院農業委員會農業金融局組織條例」(廢止重點：農業部暨所屬三級機關相關組織法業已施行，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FDC883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委員楊瓊瓔</w:t>
            </w:r>
          </w:p>
          <w:p w14:paraId="6A634D5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等24人</w:t>
            </w:r>
          </w:p>
          <w:p w14:paraId="7E9B2A3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114.03.14</w:t>
            </w:r>
          </w:p>
          <w:p w14:paraId="65479E5C" w14:textId="21AF8CD9"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（11-3-5）</w:t>
            </w:r>
          </w:p>
        </w:tc>
        <w:tc>
          <w:tcPr>
            <w:tcW w:w="1700" w:type="dxa"/>
          </w:tcPr>
          <w:p w14:paraId="079316AD" w14:textId="34CFCC4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0D9A9DD" w14:textId="22BD0B6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6E8730E" w14:textId="77777777" w:rsidTr="00DF0B8F">
        <w:trPr>
          <w:jc w:val="center"/>
        </w:trPr>
        <w:tc>
          <w:tcPr>
            <w:tcW w:w="576" w:type="dxa"/>
          </w:tcPr>
          <w:p w14:paraId="6FDDD634" w14:textId="5B3A96F0"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111</w:t>
            </w:r>
          </w:p>
        </w:tc>
        <w:tc>
          <w:tcPr>
            <w:tcW w:w="3191" w:type="dxa"/>
          </w:tcPr>
          <w:p w14:paraId="2C6F6A73" w14:textId="083CBDD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7.廢止「行政院農業委員會農業金融局組織條例」(廢止重點：農業部暨所屬三級機關相關組織法業已施行，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A193D2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委員林思銘</w:t>
            </w:r>
          </w:p>
          <w:p w14:paraId="154BD5C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19547674"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114.03.14</w:t>
            </w:r>
          </w:p>
          <w:p w14:paraId="117C4A3B" w14:textId="58510719"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（11-3-5）</w:t>
            </w:r>
          </w:p>
        </w:tc>
        <w:tc>
          <w:tcPr>
            <w:tcW w:w="1700" w:type="dxa"/>
          </w:tcPr>
          <w:p w14:paraId="6838723A" w14:textId="49A5058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8830F22" w14:textId="1A8A80A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A61796D" w14:textId="77777777" w:rsidTr="00DF0B8F">
        <w:trPr>
          <w:jc w:val="center"/>
        </w:trPr>
        <w:tc>
          <w:tcPr>
            <w:tcW w:w="576" w:type="dxa"/>
          </w:tcPr>
          <w:p w14:paraId="0E92A28D" w14:textId="0BD45AD6"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lastRenderedPageBreak/>
              <w:t>112</w:t>
            </w:r>
          </w:p>
        </w:tc>
        <w:tc>
          <w:tcPr>
            <w:tcW w:w="3191" w:type="dxa"/>
          </w:tcPr>
          <w:p w14:paraId="2A72B31F" w14:textId="58C8AE3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8.廢止「行政院農業委員會農業金融局組織條例」(廢止重點：原農委會農業金融局改制為農業部農業金融署，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550F761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委員林岱樺</w:t>
            </w:r>
          </w:p>
          <w:p w14:paraId="4D32E39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等21人</w:t>
            </w:r>
          </w:p>
          <w:p w14:paraId="345111E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114.04.18</w:t>
            </w:r>
          </w:p>
          <w:p w14:paraId="6B30969A" w14:textId="2527EDA2"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（11-3-8）</w:t>
            </w:r>
          </w:p>
        </w:tc>
        <w:tc>
          <w:tcPr>
            <w:tcW w:w="1700" w:type="dxa"/>
          </w:tcPr>
          <w:p w14:paraId="420E9033" w14:textId="72E4366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43BED0EA" w14:textId="3284C54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5BD0B8C" w14:textId="77777777" w:rsidTr="00DF0B8F">
        <w:trPr>
          <w:jc w:val="center"/>
        </w:trPr>
        <w:tc>
          <w:tcPr>
            <w:tcW w:w="576" w:type="dxa"/>
          </w:tcPr>
          <w:p w14:paraId="587C0AF6" w14:textId="795845B2"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113</w:t>
            </w:r>
          </w:p>
        </w:tc>
        <w:tc>
          <w:tcPr>
            <w:tcW w:w="3191" w:type="dxa"/>
          </w:tcPr>
          <w:p w14:paraId="29BD5A55" w14:textId="462E388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9.廢止「行政院農業委員會農業金融局組織條例」(廢止重點：農業部暨所屬三級機關相關組織法業已施行，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1AD496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委員王鴻薇</w:t>
            </w:r>
          </w:p>
          <w:p w14:paraId="1FE5961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等20人</w:t>
            </w:r>
          </w:p>
          <w:p w14:paraId="45BAACB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114.04.18</w:t>
            </w:r>
          </w:p>
          <w:p w14:paraId="7F5B1493" w14:textId="2580DE92"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（11-3-8）</w:t>
            </w:r>
          </w:p>
        </w:tc>
        <w:tc>
          <w:tcPr>
            <w:tcW w:w="1700" w:type="dxa"/>
          </w:tcPr>
          <w:p w14:paraId="64314289" w14:textId="52439A0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0D27AC7" w14:textId="72BF1BC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456D749" w14:textId="77777777" w:rsidTr="00DF0B8F">
        <w:trPr>
          <w:jc w:val="center"/>
        </w:trPr>
        <w:tc>
          <w:tcPr>
            <w:tcW w:w="576" w:type="dxa"/>
          </w:tcPr>
          <w:p w14:paraId="3070B8E0" w14:textId="01719C90"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114</w:t>
            </w:r>
          </w:p>
        </w:tc>
        <w:tc>
          <w:tcPr>
            <w:tcW w:w="3191" w:type="dxa"/>
          </w:tcPr>
          <w:p w14:paraId="6F7139FF" w14:textId="7390FDA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10.廢止「行政院農業委員會農業金融局組織條例」(廢止重點：農業部暨所屬三級機關相關組織法業已施行，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38934B2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委員許宇</w:t>
            </w:r>
            <w:proofErr w:type="gramStart"/>
            <w:r w:rsidRPr="001B6E4D">
              <w:rPr>
                <w:rFonts w:ascii="標楷體" w:eastAsia="標楷體" w:hAnsi="標楷體" w:cstheme="minorBidi"/>
              </w:rPr>
              <w:t>甄</w:t>
            </w:r>
            <w:proofErr w:type="gramEnd"/>
          </w:p>
          <w:p w14:paraId="05B81FA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03A2C10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114.04.25</w:t>
            </w:r>
          </w:p>
          <w:p w14:paraId="17363F1B" w14:textId="15D4EDD6"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（11-3-9）</w:t>
            </w:r>
          </w:p>
        </w:tc>
        <w:tc>
          <w:tcPr>
            <w:tcW w:w="1700" w:type="dxa"/>
          </w:tcPr>
          <w:p w14:paraId="171FBDA3" w14:textId="4A8CD2B4"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7BACCFD" w14:textId="10EFE14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304969C" w14:textId="77777777" w:rsidTr="00DF0B8F">
        <w:trPr>
          <w:jc w:val="center"/>
        </w:trPr>
        <w:tc>
          <w:tcPr>
            <w:tcW w:w="576" w:type="dxa"/>
          </w:tcPr>
          <w:p w14:paraId="628DC909" w14:textId="4AD1A01D"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115</w:t>
            </w:r>
          </w:p>
        </w:tc>
        <w:tc>
          <w:tcPr>
            <w:tcW w:w="3191" w:type="dxa"/>
          </w:tcPr>
          <w:p w14:paraId="74663CFA" w14:textId="5DC2527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11.廢止「行政院農業委員會農業金融局組織條例」(廢止重點：農業部暨所屬三級機關相關組織法業已施行，</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4299984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委員廖偉翔</w:t>
            </w:r>
          </w:p>
          <w:p w14:paraId="1972A04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5D7A8F4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114.05.23</w:t>
            </w:r>
          </w:p>
          <w:p w14:paraId="16F87A6F" w14:textId="41D7F422" w:rsidR="003C4019" w:rsidRPr="001B6E4D" w:rsidRDefault="003C4019" w:rsidP="003D1018">
            <w:pPr>
              <w:widowControl w:val="0"/>
              <w:overflowPunct w:val="0"/>
              <w:jc w:val="both"/>
              <w:rPr>
                <w:rFonts w:ascii="標楷體" w:eastAsia="標楷體" w:hAnsi="標楷體" w:cstheme="minorBidi"/>
              </w:rPr>
            </w:pPr>
            <w:r w:rsidRPr="001B6E4D">
              <w:rPr>
                <w:rFonts w:ascii="標楷體" w:eastAsia="標楷體" w:hAnsi="標楷體" w:cstheme="minorBidi"/>
              </w:rPr>
              <w:t>（11-3-13）</w:t>
            </w:r>
          </w:p>
        </w:tc>
        <w:tc>
          <w:tcPr>
            <w:tcW w:w="1700" w:type="dxa"/>
          </w:tcPr>
          <w:p w14:paraId="557DC40C" w14:textId="45B9842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4D6E463" w14:textId="156CE58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02F0C078" w14:textId="77777777" w:rsidTr="00DF0B8F">
        <w:trPr>
          <w:jc w:val="center"/>
        </w:trPr>
        <w:tc>
          <w:tcPr>
            <w:tcW w:w="576" w:type="dxa"/>
          </w:tcPr>
          <w:p w14:paraId="59E9F6F2" w14:textId="69146D7E"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116</w:t>
            </w:r>
          </w:p>
        </w:tc>
        <w:tc>
          <w:tcPr>
            <w:tcW w:w="3191" w:type="dxa"/>
          </w:tcPr>
          <w:p w14:paraId="7FB398C0" w14:textId="4FB979EE"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12.廢止「行政院農業委員會農業金融局組織條例」(廢止重點：已升格為農業金融署，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1987734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委員謝衣</w:t>
            </w:r>
            <w:r w:rsidRPr="001B6E4D">
              <w:rPr>
                <w:rFonts w:ascii="標楷體" w:eastAsia="標楷體" w:hAnsi="標楷體" w:cstheme="minorBidi" w:hint="eastAsia"/>
              </w:rPr>
              <w:t>鳯</w:t>
            </w:r>
          </w:p>
          <w:p w14:paraId="7C5F5AF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等</w:t>
            </w:r>
            <w:r w:rsidRPr="001B6E4D">
              <w:rPr>
                <w:rFonts w:ascii="標楷體" w:eastAsia="標楷體" w:hAnsi="標楷體" w:cstheme="minorBidi"/>
              </w:rPr>
              <w:t>16人</w:t>
            </w:r>
          </w:p>
          <w:p w14:paraId="71328C1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114.08.29</w:t>
            </w:r>
          </w:p>
          <w:p w14:paraId="27F7F1BE" w14:textId="3B34B1F5"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hint="eastAsia"/>
              </w:rPr>
              <w:t>（</w:t>
            </w:r>
            <w:r w:rsidRPr="001B6E4D">
              <w:rPr>
                <w:rFonts w:ascii="標楷體" w:eastAsia="標楷體" w:hAnsi="標楷體" w:cstheme="minorBidi"/>
              </w:rPr>
              <w:t>11-3-27）</w:t>
            </w:r>
          </w:p>
        </w:tc>
        <w:tc>
          <w:tcPr>
            <w:tcW w:w="1700" w:type="dxa"/>
          </w:tcPr>
          <w:p w14:paraId="6E01C064" w14:textId="6F9BE3F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43EA946" w14:textId="4A862E8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8644D4B" w14:textId="77777777" w:rsidTr="00DF0B8F">
        <w:trPr>
          <w:jc w:val="center"/>
        </w:trPr>
        <w:tc>
          <w:tcPr>
            <w:tcW w:w="576" w:type="dxa"/>
          </w:tcPr>
          <w:p w14:paraId="2A346BE5" w14:textId="1AF60A3E"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117</w:t>
            </w:r>
          </w:p>
        </w:tc>
        <w:tc>
          <w:tcPr>
            <w:tcW w:w="3191" w:type="dxa"/>
          </w:tcPr>
          <w:p w14:paraId="381C0490" w14:textId="6BF3B7C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13.廢止「行政院農業委員會農業金融局組織條例」(廢止重點：已改制為農業金融署，</w:t>
            </w:r>
            <w:proofErr w:type="gramStart"/>
            <w:r w:rsidRPr="001B6E4D">
              <w:rPr>
                <w:rFonts w:ascii="標楷體" w:eastAsia="標楷體" w:hAnsi="標楷體" w:cstheme="minorBidi"/>
              </w:rPr>
              <w:t>爰</w:t>
            </w:r>
            <w:proofErr w:type="gramEnd"/>
            <w:r w:rsidRPr="001B6E4D">
              <w:rPr>
                <w:rFonts w:ascii="標楷體" w:eastAsia="標楷體" w:hAnsi="標楷體" w:cstheme="minorBidi"/>
              </w:rPr>
              <w:t>提案廢止。)</w:t>
            </w:r>
          </w:p>
        </w:tc>
        <w:tc>
          <w:tcPr>
            <w:tcW w:w="2022" w:type="dxa"/>
          </w:tcPr>
          <w:p w14:paraId="7FDD28AC"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委員賴士葆</w:t>
            </w:r>
          </w:p>
          <w:p w14:paraId="626E4C4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等24人</w:t>
            </w:r>
          </w:p>
          <w:p w14:paraId="3C718BD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115.03.27</w:t>
            </w:r>
          </w:p>
          <w:p w14:paraId="25E7D005" w14:textId="6B0DE86E"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（11-5-5）</w:t>
            </w:r>
          </w:p>
        </w:tc>
        <w:tc>
          <w:tcPr>
            <w:tcW w:w="1700" w:type="dxa"/>
          </w:tcPr>
          <w:p w14:paraId="49242323" w14:textId="0F9AA87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A64CEF5" w14:textId="3B3CC0D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3B083669" w14:textId="77777777" w:rsidTr="00DF0B8F">
        <w:trPr>
          <w:jc w:val="center"/>
        </w:trPr>
        <w:tc>
          <w:tcPr>
            <w:tcW w:w="576" w:type="dxa"/>
          </w:tcPr>
          <w:p w14:paraId="31980D75" w14:textId="451C2273"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118</w:t>
            </w:r>
          </w:p>
        </w:tc>
        <w:tc>
          <w:tcPr>
            <w:tcW w:w="3191" w:type="dxa"/>
          </w:tcPr>
          <w:p w14:paraId="31491E91" w14:textId="63627A7B"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1.公平交易委員會組織法第四條及第五</w:t>
            </w:r>
            <w:proofErr w:type="gramStart"/>
            <w:r w:rsidRPr="001B6E4D">
              <w:rPr>
                <w:rFonts w:ascii="標楷體" w:eastAsia="標楷體" w:hAnsi="標楷體" w:cstheme="minorBidi"/>
              </w:rPr>
              <w:t>條</w:t>
            </w:r>
            <w:proofErr w:type="gramEnd"/>
            <w:r w:rsidRPr="001B6E4D">
              <w:rPr>
                <w:rFonts w:ascii="標楷體" w:eastAsia="標楷體" w:hAnsi="標楷體" w:cstheme="minorBidi"/>
              </w:rPr>
              <w:t>條文修正草案</w:t>
            </w:r>
            <w:proofErr w:type="gramStart"/>
            <w:r w:rsidRPr="001B6E4D">
              <w:rPr>
                <w:rFonts w:ascii="標楷體" w:eastAsia="標楷體" w:hAnsi="標楷體" w:cstheme="minorBidi"/>
              </w:rPr>
              <w:t>（</w:t>
            </w:r>
            <w:proofErr w:type="gramEnd"/>
            <w:r w:rsidRPr="001B6E4D">
              <w:rPr>
                <w:rFonts w:ascii="標楷體" w:eastAsia="標楷體" w:hAnsi="標楷體" w:cstheme="minorBidi"/>
              </w:rPr>
              <w:t>修正重點：公平會委員任期屆滿後，當然解任；主任委員及副主任委員均出缺時，由委員彼此互推代理主任委員。）</w:t>
            </w:r>
          </w:p>
        </w:tc>
        <w:tc>
          <w:tcPr>
            <w:tcW w:w="2022" w:type="dxa"/>
          </w:tcPr>
          <w:p w14:paraId="54019F5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委員李彥秀</w:t>
            </w:r>
          </w:p>
          <w:p w14:paraId="5D49D01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等20人</w:t>
            </w:r>
          </w:p>
          <w:p w14:paraId="73C04716"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113.05.31</w:t>
            </w:r>
          </w:p>
          <w:p w14:paraId="3273FD3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（11-1-16）</w:t>
            </w:r>
          </w:p>
          <w:p w14:paraId="5D266B14" w14:textId="26C537B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（11-1-17提出復議，11-1-22復議不通過）</w:t>
            </w:r>
          </w:p>
        </w:tc>
        <w:tc>
          <w:tcPr>
            <w:tcW w:w="1700" w:type="dxa"/>
          </w:tcPr>
          <w:p w14:paraId="25E6C645" w14:textId="76F72512"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2150FD0A" w14:textId="02560939"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150E9AD" w14:textId="77777777" w:rsidTr="00DF0B8F">
        <w:trPr>
          <w:jc w:val="center"/>
        </w:trPr>
        <w:tc>
          <w:tcPr>
            <w:tcW w:w="576" w:type="dxa"/>
          </w:tcPr>
          <w:p w14:paraId="6735A047" w14:textId="78217FC4"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119</w:t>
            </w:r>
          </w:p>
        </w:tc>
        <w:tc>
          <w:tcPr>
            <w:tcW w:w="3191" w:type="dxa"/>
          </w:tcPr>
          <w:p w14:paraId="0F52A5BA" w14:textId="382F6DF3"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2.公平交易委員會組織法第五</w:t>
            </w:r>
            <w:proofErr w:type="gramStart"/>
            <w:r w:rsidRPr="001B6E4D">
              <w:rPr>
                <w:rFonts w:ascii="標楷體" w:eastAsia="標楷體" w:hAnsi="標楷體" w:cstheme="minorBidi"/>
              </w:rPr>
              <w:t>條</w:t>
            </w:r>
            <w:proofErr w:type="gramEnd"/>
            <w:r w:rsidRPr="001B6E4D">
              <w:rPr>
                <w:rFonts w:ascii="標楷體" w:eastAsia="標楷體" w:hAnsi="標楷體" w:cstheme="minorBidi"/>
              </w:rPr>
              <w:t>條文修正草案</w:t>
            </w:r>
            <w:proofErr w:type="gramStart"/>
            <w:r w:rsidRPr="001B6E4D">
              <w:rPr>
                <w:rFonts w:ascii="標楷體" w:eastAsia="標楷體" w:hAnsi="標楷體" w:cstheme="minorBidi"/>
              </w:rPr>
              <w:t>（</w:t>
            </w:r>
            <w:proofErr w:type="gramEnd"/>
            <w:r w:rsidRPr="001B6E4D">
              <w:rPr>
                <w:rFonts w:ascii="標楷體" w:eastAsia="標楷體" w:hAnsi="標楷體" w:cstheme="minorBidi"/>
              </w:rPr>
              <w:t>修正重點：代理主任委員期間不得</w:t>
            </w:r>
            <w:r w:rsidRPr="001B6E4D">
              <w:rPr>
                <w:rFonts w:ascii="標楷體" w:eastAsia="標楷體" w:hAnsi="標楷體" w:cstheme="minorBidi"/>
              </w:rPr>
              <w:lastRenderedPageBreak/>
              <w:t>逾6個月，且卸任代理主任委員之委員不得再代理主任委員。）</w:t>
            </w:r>
          </w:p>
        </w:tc>
        <w:tc>
          <w:tcPr>
            <w:tcW w:w="2022" w:type="dxa"/>
          </w:tcPr>
          <w:p w14:paraId="0E99E4E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委員翁曉玲</w:t>
            </w:r>
          </w:p>
          <w:p w14:paraId="40EF8C1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等17人</w:t>
            </w:r>
          </w:p>
          <w:p w14:paraId="40DF540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115.05.29</w:t>
            </w:r>
          </w:p>
          <w:p w14:paraId="70AC938E" w14:textId="52A89246"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lastRenderedPageBreak/>
              <w:t>（11-5-12）</w:t>
            </w:r>
          </w:p>
        </w:tc>
        <w:tc>
          <w:tcPr>
            <w:tcW w:w="1700" w:type="dxa"/>
          </w:tcPr>
          <w:p w14:paraId="27A59743" w14:textId="2800649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lastRenderedPageBreak/>
              <w:t>司法及法制、經濟</w:t>
            </w:r>
          </w:p>
        </w:tc>
        <w:tc>
          <w:tcPr>
            <w:tcW w:w="1470" w:type="dxa"/>
          </w:tcPr>
          <w:p w14:paraId="16A8B5BE" w14:textId="321EE00D"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60A6D593" w14:textId="77777777" w:rsidTr="00DF0B8F">
        <w:trPr>
          <w:jc w:val="center"/>
        </w:trPr>
        <w:tc>
          <w:tcPr>
            <w:tcW w:w="576" w:type="dxa"/>
          </w:tcPr>
          <w:p w14:paraId="562E2BAE" w14:textId="7B5C623C"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120</w:t>
            </w:r>
          </w:p>
        </w:tc>
        <w:tc>
          <w:tcPr>
            <w:tcW w:w="3191" w:type="dxa"/>
          </w:tcPr>
          <w:p w14:paraId="444EA7EC" w14:textId="22317EF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公平交易委員會組織法第二條及第九</w:t>
            </w:r>
            <w:proofErr w:type="gramStart"/>
            <w:r w:rsidRPr="001B6E4D">
              <w:rPr>
                <w:rFonts w:ascii="標楷體" w:eastAsia="標楷體" w:hAnsi="標楷體" w:cstheme="minorBidi"/>
              </w:rPr>
              <w:t>條</w:t>
            </w:r>
            <w:proofErr w:type="gramEnd"/>
            <w:r w:rsidRPr="001B6E4D">
              <w:rPr>
                <w:rFonts w:ascii="標楷體" w:eastAsia="標楷體" w:hAnsi="標楷體" w:cstheme="minorBidi"/>
              </w:rPr>
              <w:t>條文修正草案</w:t>
            </w:r>
            <w:proofErr w:type="gramStart"/>
            <w:r w:rsidRPr="001B6E4D">
              <w:rPr>
                <w:rFonts w:ascii="標楷體" w:eastAsia="標楷體" w:hAnsi="標楷體" w:cstheme="minorBidi"/>
              </w:rPr>
              <w:t>（</w:t>
            </w:r>
            <w:proofErr w:type="gramEnd"/>
            <w:r w:rsidRPr="001B6E4D">
              <w:rPr>
                <w:rFonts w:ascii="標楷體" w:eastAsia="標楷體" w:hAnsi="標楷體" w:cstheme="minorBidi"/>
              </w:rPr>
              <w:t>修正重點：刪除對於多層次傳銷產業管理之職掌法源依據，移轉由經濟部職掌。）</w:t>
            </w:r>
          </w:p>
        </w:tc>
        <w:tc>
          <w:tcPr>
            <w:tcW w:w="2022" w:type="dxa"/>
          </w:tcPr>
          <w:p w14:paraId="5FE0F4F1"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委員林岱樺</w:t>
            </w:r>
          </w:p>
          <w:p w14:paraId="54219D43"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等16人</w:t>
            </w:r>
          </w:p>
          <w:p w14:paraId="289AF9C5"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113.12.06</w:t>
            </w:r>
          </w:p>
          <w:p w14:paraId="188CF04A" w14:textId="5C6CB9A8"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（11-2-12）</w:t>
            </w:r>
          </w:p>
        </w:tc>
        <w:tc>
          <w:tcPr>
            <w:tcW w:w="1700" w:type="dxa"/>
          </w:tcPr>
          <w:p w14:paraId="71EAFB68" w14:textId="521B399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5EBBAB48" w14:textId="797E6F8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5E5E415D" w14:textId="77777777" w:rsidTr="00DF0B8F">
        <w:trPr>
          <w:jc w:val="center"/>
        </w:trPr>
        <w:tc>
          <w:tcPr>
            <w:tcW w:w="576" w:type="dxa"/>
          </w:tcPr>
          <w:p w14:paraId="1D6177D0" w14:textId="60FE6E44"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121</w:t>
            </w:r>
          </w:p>
        </w:tc>
        <w:tc>
          <w:tcPr>
            <w:tcW w:w="3191" w:type="dxa"/>
          </w:tcPr>
          <w:p w14:paraId="3F3E16E4" w14:textId="1BD90C9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經濟部組織法第二</w:t>
            </w:r>
            <w:proofErr w:type="gramStart"/>
            <w:r w:rsidRPr="001B6E4D">
              <w:rPr>
                <w:rFonts w:ascii="標楷體" w:eastAsia="標楷體" w:hAnsi="標楷體" w:cstheme="minorBidi"/>
              </w:rPr>
              <w:t>條</w:t>
            </w:r>
            <w:proofErr w:type="gramEnd"/>
            <w:r w:rsidRPr="001B6E4D">
              <w:rPr>
                <w:rFonts w:ascii="標楷體" w:eastAsia="標楷體" w:hAnsi="標楷體" w:cstheme="minorBidi"/>
              </w:rPr>
              <w:t>條文修正草案</w:t>
            </w:r>
            <w:proofErr w:type="gramStart"/>
            <w:r w:rsidRPr="001B6E4D">
              <w:rPr>
                <w:rFonts w:ascii="標楷體" w:eastAsia="標楷體" w:hAnsi="標楷體" w:cstheme="minorBidi"/>
              </w:rPr>
              <w:t>（</w:t>
            </w:r>
            <w:proofErr w:type="gramEnd"/>
            <w:r w:rsidRPr="001B6E4D">
              <w:rPr>
                <w:rFonts w:ascii="標楷體" w:eastAsia="標楷體" w:hAnsi="標楷體" w:cstheme="minorBidi"/>
              </w:rPr>
              <w:t>修正重點：原公平交易委員會職掌之多層次傳銷管理事項，轉由經濟部管理。）</w:t>
            </w:r>
          </w:p>
        </w:tc>
        <w:tc>
          <w:tcPr>
            <w:tcW w:w="2022" w:type="dxa"/>
          </w:tcPr>
          <w:p w14:paraId="70C5715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委員林岱樺</w:t>
            </w:r>
          </w:p>
          <w:p w14:paraId="619A316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等19人</w:t>
            </w:r>
          </w:p>
          <w:p w14:paraId="7366471B"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113.12.06</w:t>
            </w:r>
          </w:p>
          <w:p w14:paraId="4C0108BC" w14:textId="35C2DF54"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（11-2-12）</w:t>
            </w:r>
          </w:p>
        </w:tc>
        <w:tc>
          <w:tcPr>
            <w:tcW w:w="1700" w:type="dxa"/>
          </w:tcPr>
          <w:p w14:paraId="5EB90151" w14:textId="0FFE718F"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A746547" w14:textId="2F573ED6"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F0A8D40" w14:textId="77777777" w:rsidTr="00DF0B8F">
        <w:trPr>
          <w:jc w:val="center"/>
        </w:trPr>
        <w:tc>
          <w:tcPr>
            <w:tcW w:w="576" w:type="dxa"/>
          </w:tcPr>
          <w:p w14:paraId="54B6EC9B" w14:textId="62D9B208"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122</w:t>
            </w:r>
          </w:p>
        </w:tc>
        <w:tc>
          <w:tcPr>
            <w:tcW w:w="3191" w:type="dxa"/>
          </w:tcPr>
          <w:p w14:paraId="089FDDB7" w14:textId="548FB851"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經濟部產業園區管理局組織法增訂第六條之</w:t>
            </w:r>
            <w:proofErr w:type="gramStart"/>
            <w:r w:rsidRPr="001B6E4D">
              <w:rPr>
                <w:rFonts w:ascii="標楷體" w:eastAsia="標楷體" w:hAnsi="標楷體" w:cstheme="minorBidi"/>
              </w:rPr>
              <w:t>一</w:t>
            </w:r>
            <w:proofErr w:type="gramEnd"/>
            <w:r w:rsidRPr="001B6E4D">
              <w:rPr>
                <w:rFonts w:ascii="標楷體" w:eastAsia="標楷體" w:hAnsi="標楷體" w:cstheme="minorBidi"/>
              </w:rPr>
              <w:t>條文草案</w:t>
            </w:r>
            <w:proofErr w:type="gramStart"/>
            <w:r w:rsidRPr="001B6E4D">
              <w:rPr>
                <w:rFonts w:ascii="標楷體" w:eastAsia="標楷體" w:hAnsi="標楷體" w:cstheme="minorBidi"/>
              </w:rPr>
              <w:t>（</w:t>
            </w:r>
            <w:proofErr w:type="gramEnd"/>
            <w:r w:rsidRPr="001B6E4D">
              <w:rPr>
                <w:rFonts w:ascii="標楷體" w:eastAsia="標楷體" w:hAnsi="標楷體" w:cstheme="minorBidi"/>
              </w:rPr>
              <w:t>增訂重點：明定產業園區服務中心主任、副主任任用資格及現職人員得繼續任用一定期間以資過渡。）</w:t>
            </w:r>
          </w:p>
        </w:tc>
        <w:tc>
          <w:tcPr>
            <w:tcW w:w="2022" w:type="dxa"/>
          </w:tcPr>
          <w:p w14:paraId="289EEC58"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w:t>
            </w:r>
            <w:proofErr w:type="gramStart"/>
            <w:r w:rsidRPr="001B6E4D">
              <w:rPr>
                <w:rFonts w:ascii="標楷體" w:eastAsia="標楷體" w:hAnsi="標楷體" w:cstheme="minorBidi"/>
              </w:rPr>
              <w:t>游顥</w:t>
            </w:r>
            <w:proofErr w:type="gramEnd"/>
          </w:p>
          <w:p w14:paraId="73DDBB8A"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等23人</w:t>
            </w:r>
          </w:p>
          <w:p w14:paraId="1C709997"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113.12.06</w:t>
            </w:r>
          </w:p>
          <w:p w14:paraId="78095C11" w14:textId="26C10475"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（11-2-12）</w:t>
            </w:r>
          </w:p>
        </w:tc>
        <w:tc>
          <w:tcPr>
            <w:tcW w:w="1700" w:type="dxa"/>
          </w:tcPr>
          <w:p w14:paraId="1A1DE6EC" w14:textId="55D4C4BC"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0830B132" w14:textId="5E8C3E08"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1567E701" w14:textId="77777777" w:rsidTr="00DF0B8F">
        <w:trPr>
          <w:jc w:val="center"/>
        </w:trPr>
        <w:tc>
          <w:tcPr>
            <w:tcW w:w="576" w:type="dxa"/>
          </w:tcPr>
          <w:p w14:paraId="6F2A0D90" w14:textId="4E15DCD1"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123</w:t>
            </w:r>
          </w:p>
        </w:tc>
        <w:tc>
          <w:tcPr>
            <w:tcW w:w="3191" w:type="dxa"/>
          </w:tcPr>
          <w:p w14:paraId="3B574952" w14:textId="37C5146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雙語國家發展中心設置條例草案(共五章33條。制定重點：為厚植國人英語力、培育雙語人才、提升國家競爭力，打造我國成為雙語國家，特設雙語國家發展中心，並制定本條例。)</w:t>
            </w:r>
          </w:p>
        </w:tc>
        <w:tc>
          <w:tcPr>
            <w:tcW w:w="2022" w:type="dxa"/>
          </w:tcPr>
          <w:p w14:paraId="1EAC31B2"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委員陳亭</w:t>
            </w:r>
            <w:proofErr w:type="gramStart"/>
            <w:r w:rsidRPr="001B6E4D">
              <w:rPr>
                <w:rFonts w:ascii="標楷體" w:eastAsia="標楷體" w:hAnsi="標楷體" w:cstheme="minorBidi"/>
              </w:rPr>
              <w:t>妃</w:t>
            </w:r>
            <w:proofErr w:type="gramEnd"/>
          </w:p>
          <w:p w14:paraId="4EFB4CAF"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等17人</w:t>
            </w:r>
          </w:p>
          <w:p w14:paraId="19B9B94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114.10.14</w:t>
            </w:r>
          </w:p>
          <w:p w14:paraId="1EA499F2" w14:textId="0506B61D"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（11-4-4）</w:t>
            </w:r>
          </w:p>
        </w:tc>
        <w:tc>
          <w:tcPr>
            <w:tcW w:w="1700" w:type="dxa"/>
          </w:tcPr>
          <w:p w14:paraId="2BB29382" w14:textId="6D8522AA"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7CD1BDB6" w14:textId="278FD37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r w:rsidR="003C4019" w:rsidRPr="001B6E4D" w14:paraId="41C03E8E" w14:textId="77777777" w:rsidTr="00DF0B8F">
        <w:trPr>
          <w:jc w:val="center"/>
        </w:trPr>
        <w:tc>
          <w:tcPr>
            <w:tcW w:w="576" w:type="dxa"/>
          </w:tcPr>
          <w:p w14:paraId="2E535A30" w14:textId="072CAC13" w:rsidR="003C4019" w:rsidRPr="001B6E4D" w:rsidRDefault="003C4019" w:rsidP="003D1018">
            <w:pPr>
              <w:widowControl w:val="0"/>
              <w:kinsoku w:val="0"/>
              <w:overflowPunct w:val="0"/>
              <w:topLinePunct/>
              <w:spacing w:line="360" w:lineRule="exact"/>
              <w:jc w:val="center"/>
              <w:rPr>
                <w:rFonts w:ascii="標楷體" w:eastAsia="標楷體" w:hAnsi="標楷體" w:cstheme="minorBidi"/>
              </w:rPr>
            </w:pPr>
            <w:r w:rsidRPr="001B6E4D">
              <w:rPr>
                <w:rFonts w:ascii="標楷體" w:eastAsia="標楷體" w:hAnsi="標楷體" w:cstheme="minorBidi"/>
              </w:rPr>
              <w:t>124</w:t>
            </w:r>
          </w:p>
        </w:tc>
        <w:tc>
          <w:tcPr>
            <w:tcW w:w="3191" w:type="dxa"/>
          </w:tcPr>
          <w:p w14:paraId="4EB7C020" w14:textId="57D20A40"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農田水利會組織通則部分條文修正草案</w:t>
            </w:r>
            <w:proofErr w:type="gramStart"/>
            <w:r w:rsidRPr="001B6E4D">
              <w:rPr>
                <w:rFonts w:ascii="標楷體" w:eastAsia="標楷體" w:hAnsi="標楷體" w:cstheme="minorBidi"/>
              </w:rPr>
              <w:t>（</w:t>
            </w:r>
            <w:proofErr w:type="gramEnd"/>
            <w:r w:rsidRPr="001B6E4D">
              <w:rPr>
                <w:rFonts w:ascii="標楷體" w:eastAsia="標楷體" w:hAnsi="標楷體" w:cstheme="minorBidi"/>
              </w:rPr>
              <w:t>修正§4、15-1、19-1、40、41；增訂§6-1~6。修正重點：修正主管機關名稱；賦予</w:t>
            </w:r>
            <w:proofErr w:type="gramStart"/>
            <w:r w:rsidRPr="001B6E4D">
              <w:rPr>
                <w:rFonts w:ascii="標楷體" w:eastAsia="標楷體" w:hAnsi="標楷體" w:cstheme="minorBidi"/>
              </w:rPr>
              <w:t>改制前既存</w:t>
            </w:r>
            <w:proofErr w:type="gramEnd"/>
            <w:r w:rsidRPr="001B6E4D">
              <w:rPr>
                <w:rFonts w:ascii="標楷體" w:eastAsia="標楷體" w:hAnsi="標楷體" w:cstheme="minorBidi"/>
              </w:rPr>
              <w:t>之農田水利會恢復設置或重新改選，再請求政府發還資產與撥給人力等；修正選舉人及被選舉人資格。）</w:t>
            </w:r>
          </w:p>
        </w:tc>
        <w:tc>
          <w:tcPr>
            <w:tcW w:w="2022" w:type="dxa"/>
          </w:tcPr>
          <w:p w14:paraId="2FE01FAE"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委員</w:t>
            </w:r>
            <w:proofErr w:type="gramStart"/>
            <w:r w:rsidRPr="001B6E4D">
              <w:rPr>
                <w:rFonts w:ascii="標楷體" w:eastAsia="標楷體" w:hAnsi="標楷體" w:cstheme="minorBidi"/>
              </w:rPr>
              <w:t>涂</w:t>
            </w:r>
            <w:proofErr w:type="gramEnd"/>
            <w:r w:rsidRPr="001B6E4D">
              <w:rPr>
                <w:rFonts w:ascii="標楷體" w:eastAsia="標楷體" w:hAnsi="標楷體" w:cstheme="minorBidi"/>
              </w:rPr>
              <w:t>權吉</w:t>
            </w:r>
          </w:p>
          <w:p w14:paraId="442C154D"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等27人</w:t>
            </w:r>
          </w:p>
          <w:p w14:paraId="6A3A0290" w14:textId="77777777"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115.04.24</w:t>
            </w:r>
          </w:p>
          <w:p w14:paraId="7A52598C" w14:textId="4E81351D" w:rsidR="003C4019" w:rsidRPr="001B6E4D" w:rsidRDefault="003C4019" w:rsidP="003D1018">
            <w:pPr>
              <w:overflowPunct w:val="0"/>
              <w:jc w:val="both"/>
              <w:rPr>
                <w:rFonts w:ascii="標楷體" w:eastAsia="標楷體" w:hAnsi="標楷體" w:cstheme="minorBidi"/>
              </w:rPr>
            </w:pPr>
            <w:r w:rsidRPr="001B6E4D">
              <w:rPr>
                <w:rFonts w:ascii="標楷體" w:eastAsia="標楷體" w:hAnsi="標楷體" w:cstheme="minorBidi"/>
              </w:rPr>
              <w:t>（11-5-8）</w:t>
            </w:r>
          </w:p>
        </w:tc>
        <w:tc>
          <w:tcPr>
            <w:tcW w:w="1700" w:type="dxa"/>
          </w:tcPr>
          <w:p w14:paraId="44424C77" w14:textId="4DDF7B77"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司法及法制、經濟</w:t>
            </w:r>
          </w:p>
        </w:tc>
        <w:tc>
          <w:tcPr>
            <w:tcW w:w="1470" w:type="dxa"/>
          </w:tcPr>
          <w:p w14:paraId="3E7C4DC4" w14:textId="11906D95" w:rsidR="003C4019" w:rsidRPr="001B6E4D" w:rsidRDefault="003C4019" w:rsidP="003D1018">
            <w:pPr>
              <w:widowControl w:val="0"/>
              <w:kinsoku w:val="0"/>
              <w:overflowPunct w:val="0"/>
              <w:topLinePunct/>
              <w:spacing w:line="360" w:lineRule="exact"/>
              <w:jc w:val="both"/>
              <w:rPr>
                <w:rFonts w:ascii="標楷體" w:eastAsia="標楷體" w:hAnsi="標楷體" w:cstheme="minorBidi"/>
              </w:rPr>
            </w:pPr>
            <w:r w:rsidRPr="001B6E4D">
              <w:rPr>
                <w:rFonts w:ascii="標楷體" w:eastAsia="標楷體" w:hAnsi="標楷體" w:cstheme="minorBidi"/>
              </w:rPr>
              <w:t>尚未審查</w:t>
            </w:r>
          </w:p>
        </w:tc>
      </w:tr>
    </w:tbl>
    <w:p w14:paraId="17C1DF4E" w14:textId="2E930F03" w:rsidR="009B28A5" w:rsidRPr="001B6E4D" w:rsidRDefault="003E1C9F"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r w:rsidRPr="001B6E4D">
        <w:rPr>
          <w:color w:val="000000" w:themeColor="text1"/>
          <w:shd w:val="clear" w:color="auto" w:fill="FFFFFF" w:themeFill="background1"/>
        </w:rPr>
        <w:lastRenderedPageBreak/>
        <w:t>5</w:t>
      </w:r>
      <w:r w:rsidR="009B28A5" w:rsidRPr="001B6E4D">
        <w:rPr>
          <w:color w:val="000000" w:themeColor="text1"/>
          <w:shd w:val="clear" w:color="auto" w:fill="FFFFFF" w:themeFill="background1"/>
        </w:rPr>
        <w:t>.本會、財政委員會聯席審查</w:t>
      </w:r>
      <w:r w:rsidRPr="001B6E4D">
        <w:rPr>
          <w:rFonts w:hint="eastAsia"/>
          <w:color w:val="000000" w:themeColor="text1"/>
          <w:shd w:val="clear" w:color="auto" w:fill="FFFFFF" w:themeFill="background1"/>
        </w:rPr>
        <w:t>7</w:t>
      </w:r>
      <w:r w:rsidR="009B28A5" w:rsidRPr="001B6E4D">
        <w:rPr>
          <w:color w:val="000000" w:themeColor="text1"/>
          <w:shd w:val="clear" w:color="auto" w:fill="FFFFFF" w:themeFill="background1"/>
        </w:rPr>
        <w:t>案</w:t>
      </w:r>
    </w:p>
    <w:tbl>
      <w:tblPr>
        <w:tblStyle w:val="ae"/>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41"/>
        <w:gridCol w:w="3212"/>
        <w:gridCol w:w="2178"/>
        <w:gridCol w:w="1684"/>
        <w:gridCol w:w="1312"/>
      </w:tblGrid>
      <w:tr w:rsidR="00C87651" w:rsidRPr="001B6E4D" w14:paraId="6ADE6D57" w14:textId="77777777" w:rsidTr="00710A90">
        <w:tc>
          <w:tcPr>
            <w:tcW w:w="303" w:type="pct"/>
            <w:vAlign w:val="center"/>
          </w:tcPr>
          <w:p w14:paraId="03A08250"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799" w:type="pct"/>
            <w:vAlign w:val="center"/>
          </w:tcPr>
          <w:p w14:paraId="3FB3FBC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220" w:type="pct"/>
            <w:vAlign w:val="center"/>
          </w:tcPr>
          <w:p w14:paraId="76CEA40F"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7078B813"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623AAF01"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43" w:type="pct"/>
            <w:vAlign w:val="center"/>
          </w:tcPr>
          <w:p w14:paraId="0058AE2E"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735" w:type="pct"/>
            <w:vAlign w:val="center"/>
          </w:tcPr>
          <w:p w14:paraId="651ED501"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710A90" w:rsidRPr="001B6E4D" w14:paraId="388C3CB4" w14:textId="77777777" w:rsidTr="00710A90">
        <w:tc>
          <w:tcPr>
            <w:tcW w:w="303" w:type="pct"/>
          </w:tcPr>
          <w:p w14:paraId="366C439E" w14:textId="77777777" w:rsidR="00710A90" w:rsidRPr="001B6E4D" w:rsidRDefault="00710A90"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w:t>
            </w:r>
          </w:p>
        </w:tc>
        <w:tc>
          <w:tcPr>
            <w:tcW w:w="1799" w:type="pct"/>
          </w:tcPr>
          <w:p w14:paraId="726AD757" w14:textId="77777777" w:rsidR="00710A90" w:rsidRPr="001B6E4D" w:rsidRDefault="00710A90"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1.金融監督管理委員會組織法第二條及第四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修正重點：新增「電子支付機構」範圍；刪除都市更新投資信託事業之文字；將「公開發行公司之監督及管理」加入證券期貨局之業務。）</w:t>
            </w:r>
          </w:p>
        </w:tc>
        <w:tc>
          <w:tcPr>
            <w:tcW w:w="1220" w:type="pct"/>
          </w:tcPr>
          <w:p w14:paraId="07D427BC"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委員林楚</w:t>
            </w:r>
            <w:proofErr w:type="gramStart"/>
            <w:r w:rsidRPr="001B6E4D">
              <w:rPr>
                <w:rFonts w:ascii="標楷體" w:eastAsia="標楷體" w:hAnsi="標楷體"/>
                <w:color w:val="000000" w:themeColor="text1"/>
                <w:sz w:val="24"/>
              </w:rPr>
              <w:t>茵</w:t>
            </w:r>
            <w:proofErr w:type="gramEnd"/>
          </w:p>
          <w:p w14:paraId="710505F9"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68C327E0"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21DDB77C"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（11-1-5）</w:t>
            </w:r>
          </w:p>
        </w:tc>
        <w:tc>
          <w:tcPr>
            <w:tcW w:w="943" w:type="pct"/>
          </w:tcPr>
          <w:p w14:paraId="51D4D43B"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司法及法制、財政</w:t>
            </w:r>
          </w:p>
        </w:tc>
        <w:tc>
          <w:tcPr>
            <w:tcW w:w="735" w:type="pct"/>
          </w:tcPr>
          <w:p w14:paraId="6CDEC082"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710A90" w:rsidRPr="001B6E4D" w14:paraId="03DCBDC8" w14:textId="77777777" w:rsidTr="00710A90">
        <w:tc>
          <w:tcPr>
            <w:tcW w:w="303" w:type="pct"/>
          </w:tcPr>
          <w:p w14:paraId="77019A6E" w14:textId="77777777" w:rsidR="00710A90" w:rsidRPr="001B6E4D" w:rsidRDefault="00710A90"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w:t>
            </w:r>
          </w:p>
        </w:tc>
        <w:tc>
          <w:tcPr>
            <w:tcW w:w="1799" w:type="pct"/>
          </w:tcPr>
          <w:p w14:paraId="138E7463" w14:textId="77777777" w:rsidR="00710A90" w:rsidRPr="001B6E4D" w:rsidRDefault="00710A90"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2.金融監督管理委員會組織法第二條、第三條及第七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修正重點：金融服務業增列電子支付業；明定綠色及永續金融發展為掌理事項；明定促進綠色及永續金融發展為基金支出用途。）</w:t>
            </w:r>
          </w:p>
        </w:tc>
        <w:tc>
          <w:tcPr>
            <w:tcW w:w="1220" w:type="pct"/>
          </w:tcPr>
          <w:p w14:paraId="5B13A858"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委員沈發惠</w:t>
            </w:r>
          </w:p>
          <w:p w14:paraId="1C2E2285"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0EF0708"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113.04.12</w:t>
            </w:r>
          </w:p>
          <w:p w14:paraId="5CED9905"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（11-1-9）</w:t>
            </w:r>
          </w:p>
        </w:tc>
        <w:tc>
          <w:tcPr>
            <w:tcW w:w="943" w:type="pct"/>
          </w:tcPr>
          <w:p w14:paraId="221429DD"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司法及法制、財政</w:t>
            </w:r>
          </w:p>
        </w:tc>
        <w:tc>
          <w:tcPr>
            <w:tcW w:w="735" w:type="pct"/>
          </w:tcPr>
          <w:p w14:paraId="7A96BCFA"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710A90" w:rsidRPr="001B6E4D" w14:paraId="4FC5F2AD" w14:textId="77777777" w:rsidTr="00710A90">
        <w:tc>
          <w:tcPr>
            <w:tcW w:w="303" w:type="pct"/>
          </w:tcPr>
          <w:p w14:paraId="466957FB" w14:textId="77777777" w:rsidR="00710A90" w:rsidRPr="001B6E4D" w:rsidRDefault="00710A90"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w:t>
            </w:r>
          </w:p>
        </w:tc>
        <w:tc>
          <w:tcPr>
            <w:tcW w:w="1799" w:type="pct"/>
          </w:tcPr>
          <w:p w14:paraId="5261061C" w14:textId="77777777" w:rsidR="00710A90" w:rsidRPr="001B6E4D" w:rsidRDefault="00710A90"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3.金融監督管理委員會組織法第二條、第三條及第四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修正重點：推動金融科技相關業務，並納管新興金融科技業者；新設金融科技局、金融消費者保護局。）</w:t>
            </w:r>
          </w:p>
        </w:tc>
        <w:tc>
          <w:tcPr>
            <w:tcW w:w="1220" w:type="pct"/>
          </w:tcPr>
          <w:p w14:paraId="6F343669"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41185CF8"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113.05.03</w:t>
            </w:r>
          </w:p>
          <w:p w14:paraId="5EB375A0"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（11-1-12）</w:t>
            </w:r>
          </w:p>
        </w:tc>
        <w:tc>
          <w:tcPr>
            <w:tcW w:w="943" w:type="pct"/>
          </w:tcPr>
          <w:p w14:paraId="25B46BAB"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司法及法制、財政</w:t>
            </w:r>
          </w:p>
        </w:tc>
        <w:tc>
          <w:tcPr>
            <w:tcW w:w="735" w:type="pct"/>
          </w:tcPr>
          <w:p w14:paraId="15935238"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710A90" w:rsidRPr="001B6E4D" w14:paraId="6DB07F7D" w14:textId="77777777" w:rsidTr="00710A90">
        <w:tc>
          <w:tcPr>
            <w:tcW w:w="303" w:type="pct"/>
          </w:tcPr>
          <w:p w14:paraId="77FBC9DC" w14:textId="77777777" w:rsidR="00710A90" w:rsidRPr="001B6E4D" w:rsidRDefault="00710A90"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w:t>
            </w:r>
          </w:p>
        </w:tc>
        <w:tc>
          <w:tcPr>
            <w:tcW w:w="1799" w:type="pct"/>
          </w:tcPr>
          <w:p w14:paraId="117BF629" w14:textId="77777777" w:rsidR="00710A90" w:rsidRPr="001B6E4D" w:rsidRDefault="00710A90"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4.金融監督管理委員會組織法第二條及第四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修正重點：設置虛擬資產局。）</w:t>
            </w:r>
          </w:p>
        </w:tc>
        <w:tc>
          <w:tcPr>
            <w:tcW w:w="1220" w:type="pct"/>
          </w:tcPr>
          <w:p w14:paraId="5B9F3279"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委員羅明才</w:t>
            </w:r>
          </w:p>
          <w:p w14:paraId="056032EA"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68DDE26"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113.06.07</w:t>
            </w:r>
          </w:p>
          <w:p w14:paraId="1B9038EA"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（11-1-17）</w:t>
            </w:r>
          </w:p>
        </w:tc>
        <w:tc>
          <w:tcPr>
            <w:tcW w:w="943" w:type="pct"/>
          </w:tcPr>
          <w:p w14:paraId="06E42C13"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司法及法制、財政</w:t>
            </w:r>
          </w:p>
        </w:tc>
        <w:tc>
          <w:tcPr>
            <w:tcW w:w="735" w:type="pct"/>
          </w:tcPr>
          <w:p w14:paraId="7A7B77D1"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710A90" w:rsidRPr="001B6E4D" w14:paraId="26B973E1" w14:textId="77777777" w:rsidTr="00710A90">
        <w:tc>
          <w:tcPr>
            <w:tcW w:w="303" w:type="pct"/>
          </w:tcPr>
          <w:p w14:paraId="2717D446" w14:textId="77777777" w:rsidR="00710A90" w:rsidRPr="001B6E4D" w:rsidRDefault="00710A90"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w:t>
            </w:r>
          </w:p>
        </w:tc>
        <w:tc>
          <w:tcPr>
            <w:tcW w:w="1799" w:type="pct"/>
          </w:tcPr>
          <w:p w14:paraId="583750A1" w14:textId="77777777" w:rsidR="00710A90" w:rsidRPr="001B6E4D" w:rsidRDefault="00710A90"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5.金融監督管理委員會組織法第二條及第四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修正重點：明定先買後付業務為金管會主管。）</w:t>
            </w:r>
          </w:p>
        </w:tc>
        <w:tc>
          <w:tcPr>
            <w:tcW w:w="1220" w:type="pct"/>
          </w:tcPr>
          <w:p w14:paraId="5D1D0A1A"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委員何欣純</w:t>
            </w:r>
          </w:p>
          <w:p w14:paraId="3E196A93"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701A6F27"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41271EA2"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43" w:type="pct"/>
          </w:tcPr>
          <w:p w14:paraId="14CF033F"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司法及法制、財政</w:t>
            </w:r>
          </w:p>
        </w:tc>
        <w:tc>
          <w:tcPr>
            <w:tcW w:w="735" w:type="pct"/>
          </w:tcPr>
          <w:p w14:paraId="64BC4BEB"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710A90" w:rsidRPr="001B6E4D" w14:paraId="5DC50E26" w14:textId="77777777" w:rsidTr="00710A90">
        <w:tc>
          <w:tcPr>
            <w:tcW w:w="303" w:type="pct"/>
          </w:tcPr>
          <w:p w14:paraId="339F3BBB" w14:textId="77777777" w:rsidR="00710A90" w:rsidRPr="001B6E4D" w:rsidRDefault="00710A90"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6</w:t>
            </w:r>
          </w:p>
        </w:tc>
        <w:tc>
          <w:tcPr>
            <w:tcW w:w="1799" w:type="pct"/>
          </w:tcPr>
          <w:p w14:paraId="7EC34939" w14:textId="77777777" w:rsidR="00710A90" w:rsidRPr="001B6E4D" w:rsidRDefault="00710A90"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金融監督管理委員會金融科技局組織法草案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共6條。制定重點：金融監督管理委</w:t>
            </w:r>
            <w:r w:rsidRPr="001B6E4D">
              <w:rPr>
                <w:rFonts w:hAnsi="標楷體" w:cs="Times New Roman"/>
                <w:color w:val="000000" w:themeColor="text1"/>
                <w:sz w:val="24"/>
                <w:szCs w:val="24"/>
              </w:rPr>
              <w:lastRenderedPageBreak/>
              <w:t>員會為辦理金融科技業者及其他非金融機構辦理金融相關業務者之監督、管理及其政策、法令之擬定、規劃、執行等業務，特設金融科技局。）</w:t>
            </w:r>
          </w:p>
        </w:tc>
        <w:tc>
          <w:tcPr>
            <w:tcW w:w="1220" w:type="pct"/>
          </w:tcPr>
          <w:p w14:paraId="24DD1D2C"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51B4F86D"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113.05.03</w:t>
            </w:r>
          </w:p>
          <w:p w14:paraId="26AB4677"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（11-1-12）</w:t>
            </w:r>
          </w:p>
        </w:tc>
        <w:tc>
          <w:tcPr>
            <w:tcW w:w="943" w:type="pct"/>
          </w:tcPr>
          <w:p w14:paraId="13BB070B"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司法及法制、財政</w:t>
            </w:r>
          </w:p>
        </w:tc>
        <w:tc>
          <w:tcPr>
            <w:tcW w:w="735" w:type="pct"/>
          </w:tcPr>
          <w:p w14:paraId="0909F33D"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710A90" w:rsidRPr="001B6E4D" w14:paraId="75185851" w14:textId="77777777" w:rsidTr="00710A90">
        <w:tc>
          <w:tcPr>
            <w:tcW w:w="303" w:type="pct"/>
          </w:tcPr>
          <w:p w14:paraId="6BBCC156" w14:textId="77777777" w:rsidR="00710A90" w:rsidRPr="001B6E4D" w:rsidRDefault="00710A90"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7</w:t>
            </w:r>
          </w:p>
        </w:tc>
        <w:tc>
          <w:tcPr>
            <w:tcW w:w="1799" w:type="pct"/>
          </w:tcPr>
          <w:p w14:paraId="4351F1E9" w14:textId="77777777" w:rsidR="00710A90" w:rsidRPr="001B6E4D" w:rsidRDefault="00710A90"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金融監督管理委員會金融消費者保護局組織法草案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共6條。制定重點：金融監督管理委員會為辦理金融消費者保護及其政策、法令之擬定、規劃、執行等業務，特設金融消費者保護局。）</w:t>
            </w:r>
          </w:p>
        </w:tc>
        <w:tc>
          <w:tcPr>
            <w:tcW w:w="1220" w:type="pct"/>
          </w:tcPr>
          <w:p w14:paraId="39BA4040"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393FB177"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113.05.03</w:t>
            </w:r>
          </w:p>
          <w:p w14:paraId="5B87F061"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（11-1-12）</w:t>
            </w:r>
          </w:p>
        </w:tc>
        <w:tc>
          <w:tcPr>
            <w:tcW w:w="943" w:type="pct"/>
          </w:tcPr>
          <w:p w14:paraId="091DA464"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司法及法制、財政</w:t>
            </w:r>
          </w:p>
        </w:tc>
        <w:tc>
          <w:tcPr>
            <w:tcW w:w="735" w:type="pct"/>
          </w:tcPr>
          <w:p w14:paraId="51383A10" w14:textId="77777777" w:rsidR="00710A90" w:rsidRPr="001B6E4D" w:rsidRDefault="00710A90"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p w14:paraId="2A9C9CE9" w14:textId="739C1F80" w:rsidR="009B28A5" w:rsidRPr="001B6E4D" w:rsidRDefault="00B63879"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bookmarkStart w:id="282" w:name="_Toc361217332"/>
      <w:bookmarkStart w:id="283" w:name="_Toc362968392"/>
      <w:bookmarkStart w:id="284" w:name="_Toc136594843"/>
      <w:bookmarkEnd w:id="277"/>
      <w:bookmarkEnd w:id="278"/>
      <w:bookmarkEnd w:id="279"/>
      <w:r w:rsidRPr="001B6E4D">
        <w:rPr>
          <w:color w:val="000000" w:themeColor="text1"/>
          <w:shd w:val="clear" w:color="auto" w:fill="FFFFFF" w:themeFill="background1"/>
        </w:rPr>
        <w:t>6</w:t>
      </w:r>
      <w:r w:rsidR="009B28A5" w:rsidRPr="001B6E4D">
        <w:rPr>
          <w:color w:val="000000" w:themeColor="text1"/>
          <w:shd w:val="clear" w:color="auto" w:fill="FFFFFF" w:themeFill="background1"/>
        </w:rPr>
        <w:t>.本會、教育及文化委員會聯席審查</w:t>
      </w:r>
      <w:r w:rsidR="0034443C" w:rsidRPr="001B6E4D">
        <w:rPr>
          <w:color w:val="000000" w:themeColor="text1"/>
          <w:shd w:val="clear" w:color="auto" w:fill="FFFFFF" w:themeFill="background1"/>
        </w:rPr>
        <w:t>64</w:t>
      </w:r>
      <w:r w:rsidR="009B28A5" w:rsidRPr="001B6E4D">
        <w:rPr>
          <w:color w:val="000000" w:themeColor="text1"/>
          <w:shd w:val="clear" w:color="auto" w:fill="FFFFFF" w:themeFill="background1"/>
        </w:rPr>
        <w:t>案</w:t>
      </w:r>
      <w:bookmarkEnd w:id="282"/>
      <w:bookmarkEnd w:id="283"/>
      <w:bookmarkEnd w:id="284"/>
    </w:p>
    <w:tbl>
      <w:tblPr>
        <w:tblStyle w:val="ae"/>
        <w:tblW w:w="4989"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549"/>
        <w:gridCol w:w="3219"/>
        <w:gridCol w:w="2066"/>
        <w:gridCol w:w="1657"/>
        <w:gridCol w:w="1416"/>
      </w:tblGrid>
      <w:tr w:rsidR="00C87651" w:rsidRPr="001B6E4D" w14:paraId="40D63811" w14:textId="77777777" w:rsidTr="00853490">
        <w:tc>
          <w:tcPr>
            <w:tcW w:w="308" w:type="pct"/>
            <w:vAlign w:val="center"/>
          </w:tcPr>
          <w:p w14:paraId="553C56B5"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285" w:name="_Toc361217333"/>
            <w:bookmarkStart w:id="286" w:name="_Toc362968393"/>
            <w:r w:rsidRPr="001B6E4D">
              <w:rPr>
                <w:rFonts w:ascii="標楷體" w:eastAsia="標楷體" w:hAnsi="標楷體"/>
                <w:b/>
                <w:color w:val="000000" w:themeColor="text1"/>
                <w:sz w:val="24"/>
                <w:shd w:val="clear" w:color="auto" w:fill="FFFFFF" w:themeFill="background1"/>
              </w:rPr>
              <w:t>序號</w:t>
            </w:r>
          </w:p>
        </w:tc>
        <w:tc>
          <w:tcPr>
            <w:tcW w:w="1807" w:type="pct"/>
            <w:vAlign w:val="center"/>
          </w:tcPr>
          <w:p w14:paraId="06D74EB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60" w:type="pct"/>
            <w:vAlign w:val="center"/>
          </w:tcPr>
          <w:p w14:paraId="0CF35BF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6F1B968D"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106B832E"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30" w:type="pct"/>
            <w:vAlign w:val="center"/>
          </w:tcPr>
          <w:p w14:paraId="07943B2E"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795" w:type="pct"/>
            <w:vAlign w:val="center"/>
          </w:tcPr>
          <w:p w14:paraId="5CAF016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34443C" w:rsidRPr="001B6E4D" w14:paraId="1C4BE638" w14:textId="77777777" w:rsidTr="00853490">
        <w:tc>
          <w:tcPr>
            <w:tcW w:w="308" w:type="pct"/>
          </w:tcPr>
          <w:p w14:paraId="74079FEC" w14:textId="6CBBC827"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w:t>
            </w:r>
          </w:p>
        </w:tc>
        <w:tc>
          <w:tcPr>
            <w:tcW w:w="1807" w:type="pct"/>
          </w:tcPr>
          <w:p w14:paraId="638F226F" w14:textId="7AFA60F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運動發展部運動產業發展局組織法草案</w:t>
            </w:r>
            <w:proofErr w:type="gramStart"/>
            <w:r w:rsidRPr="001B6E4D">
              <w:rPr>
                <w:rFonts w:ascii="標楷體" w:eastAsia="標楷體" w:hAnsi="標楷體"/>
                <w:color w:val="000000" w:themeColor="text1"/>
                <w:sz w:val="24"/>
              </w:rPr>
              <w:t>（</w:t>
            </w:r>
            <w:proofErr w:type="gramEnd"/>
            <w:r w:rsidRPr="001B6E4D">
              <w:rPr>
                <w:rFonts w:ascii="標楷體" w:eastAsia="標楷體" w:hAnsi="標楷體"/>
                <w:color w:val="000000" w:themeColor="text1"/>
                <w:sz w:val="24"/>
              </w:rPr>
              <w:t>共6條。制定重點：運動</w:t>
            </w:r>
            <w:proofErr w:type="gramStart"/>
            <w:r w:rsidRPr="001B6E4D">
              <w:rPr>
                <w:rFonts w:ascii="標楷體" w:eastAsia="標楷體" w:hAnsi="標楷體"/>
                <w:color w:val="000000" w:themeColor="text1"/>
                <w:sz w:val="24"/>
              </w:rPr>
              <w:t>發展部為辦理</w:t>
            </w:r>
            <w:proofErr w:type="gramEnd"/>
            <w:r w:rsidRPr="001B6E4D">
              <w:rPr>
                <w:rFonts w:ascii="標楷體" w:eastAsia="標楷體" w:hAnsi="標楷體"/>
                <w:color w:val="000000" w:themeColor="text1"/>
                <w:sz w:val="24"/>
              </w:rPr>
              <w:t>運動產業之正向發展，營造運動產業良好之經營環境，積極提升競爭力與國際接軌，並為國人建構優質運動休閒環境，特設運動發展部運動產業發展局。）</w:t>
            </w:r>
          </w:p>
        </w:tc>
        <w:tc>
          <w:tcPr>
            <w:tcW w:w="1160" w:type="pct"/>
          </w:tcPr>
          <w:p w14:paraId="7267245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委員萬美玲</w:t>
            </w:r>
          </w:p>
          <w:p w14:paraId="79EB2A5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DC4907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113.11.15</w:t>
            </w:r>
          </w:p>
          <w:p w14:paraId="0528E65A" w14:textId="08E61F7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（11-2-9）</w:t>
            </w:r>
          </w:p>
        </w:tc>
        <w:tc>
          <w:tcPr>
            <w:tcW w:w="930" w:type="pct"/>
          </w:tcPr>
          <w:p w14:paraId="0D19BF00" w14:textId="7F52A91E"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212ED24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聯席會</w:t>
            </w:r>
          </w:p>
          <w:p w14:paraId="1C4569F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113.11.28</w:t>
            </w:r>
          </w:p>
          <w:p w14:paraId="2FC10E3C" w14:textId="2DFF452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(11-2-2)另定期繼續審查。</w:t>
            </w:r>
          </w:p>
        </w:tc>
      </w:tr>
      <w:tr w:rsidR="0034443C" w:rsidRPr="001B6E4D" w14:paraId="36DBADC7" w14:textId="77777777" w:rsidTr="00853490">
        <w:tc>
          <w:tcPr>
            <w:tcW w:w="308" w:type="pct"/>
          </w:tcPr>
          <w:p w14:paraId="5106EBF7" w14:textId="6F67144E"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w:t>
            </w:r>
          </w:p>
        </w:tc>
        <w:tc>
          <w:tcPr>
            <w:tcW w:w="1807" w:type="pct"/>
          </w:tcPr>
          <w:p w14:paraId="11974C02" w14:textId="175A0D02"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廢止重點：體育署調整為</w:t>
            </w:r>
            <w:proofErr w:type="gramStart"/>
            <w:r w:rsidRPr="001B6E4D">
              <w:rPr>
                <w:rFonts w:hAnsi="標楷體" w:cs="Times New Roman"/>
                <w:color w:val="000000" w:themeColor="text1"/>
                <w:sz w:val="24"/>
                <w:szCs w:val="24"/>
              </w:rPr>
              <w:t>運動部及全民</w:t>
            </w:r>
            <w:proofErr w:type="gramEnd"/>
            <w:r w:rsidRPr="001B6E4D">
              <w:rPr>
                <w:rFonts w:hAnsi="標楷體" w:cs="Times New Roman"/>
                <w:color w:val="000000" w:themeColor="text1"/>
                <w:sz w:val="24"/>
                <w:szCs w:val="24"/>
              </w:rPr>
              <w:t>運動署，</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63009BB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w:t>
            </w:r>
          </w:p>
          <w:p w14:paraId="2962424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114.11.07</w:t>
            </w:r>
          </w:p>
          <w:p w14:paraId="744BA411" w14:textId="39964BC1"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w:t>
            </w:r>
          </w:p>
        </w:tc>
        <w:tc>
          <w:tcPr>
            <w:tcW w:w="930" w:type="pct"/>
          </w:tcPr>
          <w:p w14:paraId="14E21AFC" w14:textId="4E0D158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4132044C" w14:textId="086AD59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5CB70FF7" w14:textId="77777777" w:rsidTr="00853490">
        <w:tc>
          <w:tcPr>
            <w:tcW w:w="308" w:type="pct"/>
          </w:tcPr>
          <w:p w14:paraId="63C39E49" w14:textId="16424C56"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w:t>
            </w:r>
          </w:p>
        </w:tc>
        <w:tc>
          <w:tcPr>
            <w:tcW w:w="1807" w:type="pct"/>
          </w:tcPr>
          <w:p w14:paraId="629C3BF8" w14:textId="629EEEF5"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廢止重點：體育署升格為運動部，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32856AA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w:t>
            </w:r>
            <w:proofErr w:type="gramStart"/>
            <w:r w:rsidRPr="001B6E4D">
              <w:rPr>
                <w:rFonts w:ascii="標楷體" w:eastAsia="標楷體" w:hAnsi="標楷體"/>
                <w:color w:val="000000" w:themeColor="text1"/>
                <w:sz w:val="24"/>
              </w:rPr>
              <w:t>范</w:t>
            </w:r>
            <w:proofErr w:type="gramEnd"/>
            <w:r w:rsidRPr="001B6E4D">
              <w:rPr>
                <w:rFonts w:ascii="標楷體" w:eastAsia="標楷體" w:hAnsi="標楷體"/>
                <w:color w:val="000000" w:themeColor="text1"/>
                <w:sz w:val="24"/>
              </w:rPr>
              <w:t>雲</w:t>
            </w:r>
          </w:p>
          <w:p w14:paraId="435A04F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6F7CCE8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562F3400" w14:textId="220BA1E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930" w:type="pct"/>
          </w:tcPr>
          <w:p w14:paraId="6BEACCD3" w14:textId="7652D0AE"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29C098EA" w14:textId="0028E61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5205A8FC" w14:textId="77777777" w:rsidTr="00853490">
        <w:tc>
          <w:tcPr>
            <w:tcW w:w="308" w:type="pct"/>
          </w:tcPr>
          <w:p w14:paraId="75EC5117" w14:textId="3AF82EAD"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w:t>
            </w:r>
          </w:p>
        </w:tc>
        <w:tc>
          <w:tcPr>
            <w:tcW w:w="1807" w:type="pct"/>
          </w:tcPr>
          <w:p w14:paraId="05EFE1CF" w14:textId="0EB048F0"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廢止重點：全國運動相關業務將移由運動部辦</w:t>
            </w:r>
            <w:r w:rsidRPr="001B6E4D">
              <w:rPr>
                <w:rFonts w:hAnsi="標楷體" w:cs="Times New Roman"/>
                <w:color w:val="000000" w:themeColor="text1"/>
                <w:sz w:val="24"/>
                <w:szCs w:val="24"/>
              </w:rPr>
              <w:lastRenderedPageBreak/>
              <w:t>理，</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1A7B371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委員林宜瑾</w:t>
            </w:r>
          </w:p>
          <w:p w14:paraId="03FE15C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4596164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67A1E8B7" w14:textId="29E1C1B1"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（11-2-7）</w:t>
            </w:r>
          </w:p>
        </w:tc>
        <w:tc>
          <w:tcPr>
            <w:tcW w:w="930" w:type="pct"/>
          </w:tcPr>
          <w:p w14:paraId="49699EF4" w14:textId="5B2FF8D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司法及法制、教育及文化</w:t>
            </w:r>
          </w:p>
        </w:tc>
        <w:tc>
          <w:tcPr>
            <w:tcW w:w="795" w:type="pct"/>
          </w:tcPr>
          <w:p w14:paraId="7403D4BF" w14:textId="34DB05F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9EF254F" w14:textId="77777777" w:rsidTr="00853490">
        <w:tc>
          <w:tcPr>
            <w:tcW w:w="308" w:type="pct"/>
          </w:tcPr>
          <w:p w14:paraId="3E30A04B" w14:textId="533F8B7B"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w:t>
            </w:r>
          </w:p>
        </w:tc>
        <w:tc>
          <w:tcPr>
            <w:tcW w:w="1807" w:type="pct"/>
          </w:tcPr>
          <w:p w14:paraId="6A82216E" w14:textId="19C78248"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廢止重點：配合行政院增設運動部，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7533DB0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委員張雅琳</w:t>
            </w:r>
          </w:p>
          <w:p w14:paraId="6166576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2E34361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113.11.08</w:t>
            </w:r>
          </w:p>
          <w:p w14:paraId="7AFA0004" w14:textId="240B7C6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（11-2-8）</w:t>
            </w:r>
          </w:p>
        </w:tc>
        <w:tc>
          <w:tcPr>
            <w:tcW w:w="930" w:type="pct"/>
          </w:tcPr>
          <w:p w14:paraId="63DF9469" w14:textId="13705E5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134D5CD5" w14:textId="7A1823F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A52EDA2" w14:textId="77777777" w:rsidTr="00853490">
        <w:tc>
          <w:tcPr>
            <w:tcW w:w="308" w:type="pct"/>
          </w:tcPr>
          <w:p w14:paraId="0676F795" w14:textId="097FE4ED"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6</w:t>
            </w:r>
          </w:p>
        </w:tc>
        <w:tc>
          <w:tcPr>
            <w:tcW w:w="1807" w:type="pct"/>
          </w:tcPr>
          <w:p w14:paraId="1D04C53B" w14:textId="232C99F1"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廢止重點：配合增設運動部，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724C4CB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委員陳秀</w:t>
            </w:r>
            <w:r w:rsidRPr="001B6E4D">
              <w:rPr>
                <w:rFonts w:ascii="標楷體" w:eastAsia="標楷體" w:hAnsi="標楷體" w:hint="eastAsia"/>
                <w:color w:val="000000" w:themeColor="text1"/>
                <w:sz w:val="24"/>
              </w:rPr>
              <w:t>寳</w:t>
            </w:r>
          </w:p>
          <w:p w14:paraId="7427EBAF"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19人</w:t>
            </w:r>
          </w:p>
          <w:p w14:paraId="3A8990D6"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113.11.15</w:t>
            </w:r>
          </w:p>
          <w:p w14:paraId="4C60FE3B" w14:textId="4A8629B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11-2-9）</w:t>
            </w:r>
          </w:p>
        </w:tc>
        <w:tc>
          <w:tcPr>
            <w:tcW w:w="930" w:type="pct"/>
          </w:tcPr>
          <w:p w14:paraId="4005F819" w14:textId="4AEAE3E2"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400BA8AE" w14:textId="057BAC8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25D9D002" w14:textId="77777777" w:rsidTr="00853490">
        <w:tc>
          <w:tcPr>
            <w:tcW w:w="308" w:type="pct"/>
          </w:tcPr>
          <w:p w14:paraId="7A733232" w14:textId="46764509"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7</w:t>
            </w:r>
          </w:p>
        </w:tc>
        <w:tc>
          <w:tcPr>
            <w:tcW w:w="1807" w:type="pct"/>
          </w:tcPr>
          <w:p w14:paraId="305999E8" w14:textId="2A2E311F"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廢止重點：原體育署升格為體育暨運動發展部，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4D47BAB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委員羅廷</w:t>
            </w:r>
            <w:proofErr w:type="gramStart"/>
            <w:r w:rsidRPr="001B6E4D">
              <w:rPr>
                <w:rFonts w:ascii="標楷體" w:eastAsia="標楷體" w:hAnsi="標楷體"/>
                <w:color w:val="000000" w:themeColor="text1"/>
                <w:sz w:val="24"/>
              </w:rPr>
              <w:t>瑋</w:t>
            </w:r>
            <w:proofErr w:type="gramEnd"/>
          </w:p>
          <w:p w14:paraId="53D1ECB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37742A10"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113.11.15</w:t>
            </w:r>
          </w:p>
          <w:p w14:paraId="3E60975F" w14:textId="7E7E7702"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（11-2-9）</w:t>
            </w:r>
          </w:p>
        </w:tc>
        <w:tc>
          <w:tcPr>
            <w:tcW w:w="930" w:type="pct"/>
          </w:tcPr>
          <w:p w14:paraId="1A9BED9B" w14:textId="606AE78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6AF721D5" w14:textId="4EEEE2A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4D83474B" w14:textId="77777777" w:rsidTr="00853490">
        <w:tc>
          <w:tcPr>
            <w:tcW w:w="308" w:type="pct"/>
          </w:tcPr>
          <w:p w14:paraId="300D984C" w14:textId="79C5DA01"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8</w:t>
            </w:r>
          </w:p>
        </w:tc>
        <w:tc>
          <w:tcPr>
            <w:tcW w:w="1807" w:type="pct"/>
          </w:tcPr>
          <w:p w14:paraId="14985E99" w14:textId="36562A51"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廢止重點：因應運動部成立，</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4672F91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委員劉建國</w:t>
            </w:r>
          </w:p>
          <w:p w14:paraId="43CAB8E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53235B3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113.11.15</w:t>
            </w:r>
          </w:p>
          <w:p w14:paraId="124CDF0B" w14:textId="0E6E3D4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（11-2-9）</w:t>
            </w:r>
          </w:p>
        </w:tc>
        <w:tc>
          <w:tcPr>
            <w:tcW w:w="930" w:type="pct"/>
          </w:tcPr>
          <w:p w14:paraId="2A156E02" w14:textId="1C19C49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132A015F" w14:textId="609334FB"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394F7028" w14:textId="77777777" w:rsidTr="00853490">
        <w:tc>
          <w:tcPr>
            <w:tcW w:w="308" w:type="pct"/>
          </w:tcPr>
          <w:p w14:paraId="4052E169" w14:textId="4BAAD14F"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9</w:t>
            </w:r>
          </w:p>
        </w:tc>
        <w:tc>
          <w:tcPr>
            <w:tcW w:w="1807" w:type="pct"/>
          </w:tcPr>
          <w:p w14:paraId="469E58D4" w14:textId="149B66AA"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w:t>
            </w:r>
            <w:proofErr w:type="gramStart"/>
            <w:r w:rsidRPr="001B6E4D">
              <w:rPr>
                <w:rFonts w:hAnsi="標楷體" w:cs="Times New Roman"/>
                <w:color w:val="000000" w:themeColor="text1"/>
                <w:sz w:val="24"/>
                <w:szCs w:val="24"/>
              </w:rPr>
              <w:t>體育署組將</w:t>
            </w:r>
            <w:proofErr w:type="gramEnd"/>
            <w:r w:rsidRPr="001B6E4D">
              <w:rPr>
                <w:rFonts w:hAnsi="標楷體" w:cs="Times New Roman"/>
                <w:color w:val="000000" w:themeColor="text1"/>
                <w:sz w:val="24"/>
                <w:szCs w:val="24"/>
              </w:rPr>
              <w:t>升格至運動部，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2896949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委員萬美玲</w:t>
            </w:r>
          </w:p>
          <w:p w14:paraId="33CE5F8F"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F34C57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113.12.13</w:t>
            </w:r>
          </w:p>
          <w:p w14:paraId="7D7B1136" w14:textId="7688623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（11-2-13）</w:t>
            </w:r>
          </w:p>
        </w:tc>
        <w:tc>
          <w:tcPr>
            <w:tcW w:w="930" w:type="pct"/>
          </w:tcPr>
          <w:p w14:paraId="75503B00" w14:textId="12F6C34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21F46EE8" w14:textId="1DA44F7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34ED331" w14:textId="77777777" w:rsidTr="00853490">
        <w:tc>
          <w:tcPr>
            <w:tcW w:w="308" w:type="pct"/>
          </w:tcPr>
          <w:p w14:paraId="378E7903" w14:textId="5EC1DF2C"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10</w:t>
            </w:r>
          </w:p>
        </w:tc>
        <w:tc>
          <w:tcPr>
            <w:tcW w:w="1807" w:type="pct"/>
          </w:tcPr>
          <w:p w14:paraId="6FC530B1" w14:textId="3FAF13DD"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廢止重點：體育署將改制為體育暨運動發展部，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3C36FE9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委員林思銘</w:t>
            </w:r>
          </w:p>
          <w:p w14:paraId="24D2BD9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43BFA9D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113.12.13</w:t>
            </w:r>
          </w:p>
          <w:p w14:paraId="4E274514" w14:textId="2AE4479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（11-2-13）</w:t>
            </w:r>
          </w:p>
        </w:tc>
        <w:tc>
          <w:tcPr>
            <w:tcW w:w="930" w:type="pct"/>
          </w:tcPr>
          <w:p w14:paraId="5391F39F" w14:textId="15D19462"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213BEF0F" w14:textId="4BEAC2E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6401118B" w14:textId="77777777" w:rsidTr="00853490">
        <w:tc>
          <w:tcPr>
            <w:tcW w:w="308" w:type="pct"/>
          </w:tcPr>
          <w:p w14:paraId="5208AFE1" w14:textId="4D26B40A"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11</w:t>
            </w:r>
          </w:p>
        </w:tc>
        <w:tc>
          <w:tcPr>
            <w:tcW w:w="1807" w:type="pct"/>
          </w:tcPr>
          <w:p w14:paraId="3250239B" w14:textId="0636B594"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廢止重點：體育署將升格至運動發展部，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7122143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委員王鴻薇</w:t>
            </w:r>
          </w:p>
          <w:p w14:paraId="436DBF1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6447E79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58CEC7BA" w14:textId="358C3B5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（11-2-16）</w:t>
            </w:r>
          </w:p>
        </w:tc>
        <w:tc>
          <w:tcPr>
            <w:tcW w:w="930" w:type="pct"/>
          </w:tcPr>
          <w:p w14:paraId="0FD11C3D" w14:textId="008B1B6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643518B0" w14:textId="73229F8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7DFA347D" w14:textId="77777777" w:rsidTr="00853490">
        <w:tc>
          <w:tcPr>
            <w:tcW w:w="308" w:type="pct"/>
          </w:tcPr>
          <w:p w14:paraId="180AFA22" w14:textId="03922B86"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12</w:t>
            </w:r>
          </w:p>
        </w:tc>
        <w:tc>
          <w:tcPr>
            <w:tcW w:w="1807" w:type="pct"/>
          </w:tcPr>
          <w:p w14:paraId="782AAEC2" w14:textId="1F2E66B7"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廢止重點：體育署將升格為運動部，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47429D56"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委員徐巧芯</w:t>
            </w:r>
          </w:p>
          <w:p w14:paraId="619ABE83"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88B925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3F1D962B" w14:textId="6D7ACD6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（11-2-16）</w:t>
            </w:r>
          </w:p>
        </w:tc>
        <w:tc>
          <w:tcPr>
            <w:tcW w:w="930" w:type="pct"/>
          </w:tcPr>
          <w:p w14:paraId="6D16D320" w14:textId="3D0D80A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1FAE54DC" w14:textId="78E10A9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7BBE4022" w14:textId="77777777" w:rsidTr="00853490">
        <w:tc>
          <w:tcPr>
            <w:tcW w:w="308" w:type="pct"/>
          </w:tcPr>
          <w:p w14:paraId="02BCA4F0" w14:textId="39CA3D6C"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13</w:t>
            </w:r>
          </w:p>
        </w:tc>
        <w:tc>
          <w:tcPr>
            <w:tcW w:w="1807" w:type="pct"/>
          </w:tcPr>
          <w:p w14:paraId="1A1032AD" w14:textId="7271FADA"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12.廢止「教育部體育署組織法」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廢止重點：體育署將升格為體育暨運動發展部，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47E8520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委員葉元之</w:t>
            </w:r>
          </w:p>
          <w:p w14:paraId="369FAFD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272A522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24F83EF5" w14:textId="1D9F7E9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（11-2-16）</w:t>
            </w:r>
          </w:p>
        </w:tc>
        <w:tc>
          <w:tcPr>
            <w:tcW w:w="930" w:type="pct"/>
          </w:tcPr>
          <w:p w14:paraId="62940D7A" w14:textId="3784D92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64D5DE4E" w14:textId="1E13A0B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77A146CA" w14:textId="77777777" w:rsidTr="00853490">
        <w:tc>
          <w:tcPr>
            <w:tcW w:w="308" w:type="pct"/>
          </w:tcPr>
          <w:p w14:paraId="4CAF4479" w14:textId="0AD8D938"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14</w:t>
            </w:r>
          </w:p>
        </w:tc>
        <w:tc>
          <w:tcPr>
            <w:tcW w:w="1807" w:type="pct"/>
          </w:tcPr>
          <w:p w14:paraId="7AE2B3FD" w14:textId="14F69A24"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13.廢止「教育部體育署組織</w:t>
            </w:r>
            <w:r w:rsidRPr="001B6E4D">
              <w:rPr>
                <w:rFonts w:hAnsi="標楷體" w:cs="Times New Roman"/>
                <w:color w:val="000000" w:themeColor="text1"/>
                <w:sz w:val="24"/>
                <w:szCs w:val="24"/>
              </w:rPr>
              <w:lastRenderedPageBreak/>
              <w:t>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廢止重點：體育署將改制為體育暨運動發展部，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0A200C13"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委員羅明才</w:t>
            </w:r>
          </w:p>
          <w:p w14:paraId="0A7BE69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等17人</w:t>
            </w:r>
          </w:p>
          <w:p w14:paraId="4E49A603"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775CD8D6" w14:textId="7A72B0A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（11-2-16）</w:t>
            </w:r>
          </w:p>
        </w:tc>
        <w:tc>
          <w:tcPr>
            <w:tcW w:w="930" w:type="pct"/>
          </w:tcPr>
          <w:p w14:paraId="3FF787C6" w14:textId="3F87DC0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r w:rsidRPr="001B6E4D">
              <w:rPr>
                <w:rFonts w:ascii="標楷體" w:eastAsia="標楷體" w:hAnsi="標楷體"/>
                <w:color w:val="000000" w:themeColor="text1"/>
                <w:sz w:val="24"/>
              </w:rPr>
              <w:lastRenderedPageBreak/>
              <w:t>教育及文化</w:t>
            </w:r>
          </w:p>
        </w:tc>
        <w:tc>
          <w:tcPr>
            <w:tcW w:w="795" w:type="pct"/>
          </w:tcPr>
          <w:p w14:paraId="16207E7D" w14:textId="5B2E860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尚未審查</w:t>
            </w:r>
          </w:p>
        </w:tc>
      </w:tr>
      <w:tr w:rsidR="0034443C" w:rsidRPr="001B6E4D" w14:paraId="625813D5" w14:textId="77777777" w:rsidTr="00853490">
        <w:tc>
          <w:tcPr>
            <w:tcW w:w="308" w:type="pct"/>
          </w:tcPr>
          <w:p w14:paraId="7A9227F2" w14:textId="520D3648"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15</w:t>
            </w:r>
          </w:p>
        </w:tc>
        <w:tc>
          <w:tcPr>
            <w:tcW w:w="1807" w:type="pct"/>
          </w:tcPr>
          <w:p w14:paraId="54136599" w14:textId="6AD15579"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14.廢止「教育部體育署組織法」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廢止重點：體育署將升格為體育暨運動發展部，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662F943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4A569FD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83E86A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114.03.04</w:t>
            </w:r>
          </w:p>
          <w:p w14:paraId="0EDC4068" w14:textId="11C040B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（11-3-3）</w:t>
            </w:r>
          </w:p>
        </w:tc>
        <w:tc>
          <w:tcPr>
            <w:tcW w:w="930" w:type="pct"/>
          </w:tcPr>
          <w:p w14:paraId="329F8A88" w14:textId="2AB9F04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2D925874" w14:textId="7C42040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5C01649" w14:textId="77777777" w:rsidTr="00853490">
        <w:tc>
          <w:tcPr>
            <w:tcW w:w="308" w:type="pct"/>
          </w:tcPr>
          <w:p w14:paraId="67FDCD56" w14:textId="3737B599"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16</w:t>
            </w:r>
          </w:p>
        </w:tc>
        <w:tc>
          <w:tcPr>
            <w:tcW w:w="1807" w:type="pct"/>
          </w:tcPr>
          <w:p w14:paraId="0EBB38DB" w14:textId="4A3E68D9"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15.廢止「教育部體育署組織法」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廢止重點：體育署將改制為體育暨運動發展部，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2F5FC380"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委員吳思瑤</w:t>
            </w:r>
          </w:p>
          <w:p w14:paraId="07DBC09F"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479534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114.03.04</w:t>
            </w:r>
          </w:p>
          <w:p w14:paraId="344D097F" w14:textId="0D7D8C0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（11-3-3）</w:t>
            </w:r>
          </w:p>
        </w:tc>
        <w:tc>
          <w:tcPr>
            <w:tcW w:w="930" w:type="pct"/>
          </w:tcPr>
          <w:p w14:paraId="0A721DFD" w14:textId="2278B87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56F52603" w14:textId="52B9C86A"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0667456A" w14:textId="77777777" w:rsidTr="00853490">
        <w:tc>
          <w:tcPr>
            <w:tcW w:w="308" w:type="pct"/>
          </w:tcPr>
          <w:p w14:paraId="0523B628" w14:textId="0D3A9908"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17</w:t>
            </w:r>
          </w:p>
        </w:tc>
        <w:tc>
          <w:tcPr>
            <w:tcW w:w="1807" w:type="pct"/>
          </w:tcPr>
          <w:p w14:paraId="460FC285" w14:textId="4F3CEE00"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16.廢止「教育部體育署組織法」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廢止重點：體育署將改制為運動部，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1E9A3A40"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委員郭昱晴</w:t>
            </w:r>
          </w:p>
          <w:p w14:paraId="1DB9689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6CED48C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38167FEA" w14:textId="660F07A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30" w:type="pct"/>
          </w:tcPr>
          <w:p w14:paraId="5235F3B2" w14:textId="747FA4B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7AD2DCA3" w14:textId="0D011F1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529AAD77" w14:textId="77777777" w:rsidTr="00853490">
        <w:tc>
          <w:tcPr>
            <w:tcW w:w="308" w:type="pct"/>
          </w:tcPr>
          <w:p w14:paraId="42DEB213" w14:textId="08878642"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18</w:t>
            </w:r>
          </w:p>
        </w:tc>
        <w:tc>
          <w:tcPr>
            <w:tcW w:w="1807" w:type="pct"/>
          </w:tcPr>
          <w:p w14:paraId="74625013" w14:textId="08833443"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17.廢止「教育部體育署組織法」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廢止重點：體育署將升格為運動部，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2C4350D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委員羅美玲</w:t>
            </w:r>
          </w:p>
          <w:p w14:paraId="2D805DA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094E56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114.04.25</w:t>
            </w:r>
          </w:p>
          <w:p w14:paraId="0CCD944B" w14:textId="5B32245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（11-3-9）</w:t>
            </w:r>
          </w:p>
        </w:tc>
        <w:tc>
          <w:tcPr>
            <w:tcW w:w="930" w:type="pct"/>
          </w:tcPr>
          <w:p w14:paraId="45BEC7AE" w14:textId="4C8D388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42FF2E29" w14:textId="5B5F643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02C2E342" w14:textId="77777777" w:rsidTr="00853490">
        <w:tc>
          <w:tcPr>
            <w:tcW w:w="308" w:type="pct"/>
          </w:tcPr>
          <w:p w14:paraId="0125BB3B" w14:textId="4547774F"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19</w:t>
            </w:r>
          </w:p>
        </w:tc>
        <w:tc>
          <w:tcPr>
            <w:tcW w:w="1807" w:type="pct"/>
          </w:tcPr>
          <w:p w14:paraId="1F8C860D" w14:textId="0E02E0E1"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18.廢止「教育部體育署組織法」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廢止重點：體育署升格為運動部，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1CC6A20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委員馬文君</w:t>
            </w:r>
          </w:p>
          <w:p w14:paraId="0B43AA76"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3DEF2D43"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114.11.14</w:t>
            </w:r>
          </w:p>
          <w:p w14:paraId="41B5ACB9" w14:textId="1BA82641"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（11-4-9）</w:t>
            </w:r>
          </w:p>
        </w:tc>
        <w:tc>
          <w:tcPr>
            <w:tcW w:w="930" w:type="pct"/>
          </w:tcPr>
          <w:p w14:paraId="71AFFA83" w14:textId="7D3EF972"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072A7478" w14:textId="05CA547E"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FAC241F" w14:textId="77777777" w:rsidTr="00853490">
        <w:tc>
          <w:tcPr>
            <w:tcW w:w="308" w:type="pct"/>
          </w:tcPr>
          <w:p w14:paraId="09950F48" w14:textId="3F9E6620"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20</w:t>
            </w:r>
          </w:p>
        </w:tc>
        <w:tc>
          <w:tcPr>
            <w:tcW w:w="1807" w:type="pct"/>
          </w:tcPr>
          <w:p w14:paraId="3677E865" w14:textId="0EF95F2A"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19.廢止「教育部體育署組織法」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廢止重點：體育署升格為運動部，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7F366C0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委員黃秀芳</w:t>
            </w:r>
          </w:p>
          <w:p w14:paraId="65DB9BEA"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34F9499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114.12.05</w:t>
            </w:r>
          </w:p>
          <w:p w14:paraId="4DE623B5" w14:textId="5A88B05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w:t>
            </w:r>
          </w:p>
        </w:tc>
        <w:tc>
          <w:tcPr>
            <w:tcW w:w="930" w:type="pct"/>
          </w:tcPr>
          <w:p w14:paraId="10F4A2F6" w14:textId="22B1AF6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141C606E" w14:textId="3CF2C141"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444D4FCB" w14:textId="77777777" w:rsidTr="00853490">
        <w:tc>
          <w:tcPr>
            <w:tcW w:w="308" w:type="pct"/>
          </w:tcPr>
          <w:p w14:paraId="29F269AB" w14:textId="5B97BD0F"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21</w:t>
            </w:r>
          </w:p>
        </w:tc>
        <w:tc>
          <w:tcPr>
            <w:tcW w:w="1807" w:type="pct"/>
          </w:tcPr>
          <w:p w14:paraId="53CC85A2" w14:textId="20892779"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20.廢止「教育部體育署組織法」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廢止重點：體育署調整為運動部，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6FD0EF56"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委員王鴻薇</w:t>
            </w:r>
          </w:p>
          <w:p w14:paraId="3D7ABB1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8683D2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114.12.19</w:t>
            </w:r>
          </w:p>
          <w:p w14:paraId="07BAB4D1" w14:textId="41FE7B7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（11-4-14）</w:t>
            </w:r>
          </w:p>
        </w:tc>
        <w:tc>
          <w:tcPr>
            <w:tcW w:w="930" w:type="pct"/>
          </w:tcPr>
          <w:p w14:paraId="20B77BE0" w14:textId="066B98DA"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3A17F636" w14:textId="19B245D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53013E0B" w14:textId="77777777" w:rsidTr="00853490">
        <w:tc>
          <w:tcPr>
            <w:tcW w:w="308" w:type="pct"/>
          </w:tcPr>
          <w:p w14:paraId="64FAFC8E" w14:textId="0F590683"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22</w:t>
            </w:r>
          </w:p>
        </w:tc>
        <w:tc>
          <w:tcPr>
            <w:tcW w:w="1807" w:type="pct"/>
          </w:tcPr>
          <w:p w14:paraId="0BB7BD50" w14:textId="0321B074"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21.廢止「教育部體育署組織法」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廢止重點：體育署升格為運動部，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1281B9D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委員許宇</w:t>
            </w:r>
            <w:proofErr w:type="gramStart"/>
            <w:r w:rsidRPr="001B6E4D">
              <w:rPr>
                <w:rFonts w:ascii="標楷體" w:eastAsia="標楷體" w:hAnsi="標楷體"/>
                <w:color w:val="000000" w:themeColor="text1"/>
                <w:sz w:val="24"/>
              </w:rPr>
              <w:t>甄</w:t>
            </w:r>
            <w:proofErr w:type="gramEnd"/>
          </w:p>
          <w:p w14:paraId="15C2D82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6EEA22DB"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114.12.26</w:t>
            </w:r>
          </w:p>
          <w:p w14:paraId="316219EA" w14:textId="2748269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（11-4-15）</w:t>
            </w:r>
          </w:p>
        </w:tc>
        <w:tc>
          <w:tcPr>
            <w:tcW w:w="930" w:type="pct"/>
          </w:tcPr>
          <w:p w14:paraId="1B88F715" w14:textId="3256154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707BA8A2" w14:textId="1AFA11D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3D75B1CF" w14:textId="77777777" w:rsidTr="00853490">
        <w:tc>
          <w:tcPr>
            <w:tcW w:w="308" w:type="pct"/>
          </w:tcPr>
          <w:p w14:paraId="71B61B1D" w14:textId="29F17972"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23</w:t>
            </w:r>
          </w:p>
        </w:tc>
        <w:tc>
          <w:tcPr>
            <w:tcW w:w="1807" w:type="pct"/>
          </w:tcPr>
          <w:p w14:paraId="723B0FAF" w14:textId="603B3BDB"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22.廢止「教育部體育署組織法」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廢止重點：體育署升格為運動部，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w:t>
            </w:r>
            <w:r w:rsidRPr="001B6E4D">
              <w:rPr>
                <w:rFonts w:hAnsi="標楷體" w:cs="Times New Roman"/>
                <w:color w:val="000000" w:themeColor="text1"/>
                <w:sz w:val="24"/>
                <w:szCs w:val="24"/>
              </w:rPr>
              <w:lastRenderedPageBreak/>
              <w:t>止。）</w:t>
            </w:r>
          </w:p>
        </w:tc>
        <w:tc>
          <w:tcPr>
            <w:tcW w:w="1160" w:type="pct"/>
          </w:tcPr>
          <w:p w14:paraId="126FF25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委員葛如鈞</w:t>
            </w:r>
          </w:p>
          <w:p w14:paraId="6BB0F6A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EF358F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115.01.02</w:t>
            </w:r>
          </w:p>
          <w:p w14:paraId="62EDC7D8" w14:textId="58A8853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（11-4-16）</w:t>
            </w:r>
          </w:p>
        </w:tc>
        <w:tc>
          <w:tcPr>
            <w:tcW w:w="930" w:type="pct"/>
          </w:tcPr>
          <w:p w14:paraId="5718A4F3" w14:textId="03267B9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司法及法制、教育及文化</w:t>
            </w:r>
          </w:p>
        </w:tc>
        <w:tc>
          <w:tcPr>
            <w:tcW w:w="795" w:type="pct"/>
          </w:tcPr>
          <w:p w14:paraId="677CE54D" w14:textId="5D1EDD8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07199A3A" w14:textId="77777777" w:rsidTr="00853490">
        <w:tc>
          <w:tcPr>
            <w:tcW w:w="308" w:type="pct"/>
          </w:tcPr>
          <w:p w14:paraId="67332F2F" w14:textId="33A77900"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24</w:t>
            </w:r>
          </w:p>
        </w:tc>
        <w:tc>
          <w:tcPr>
            <w:tcW w:w="1807" w:type="pct"/>
          </w:tcPr>
          <w:p w14:paraId="31A607E0" w14:textId="500C2959"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23.廢止「教育部體育署組織法」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廢止重點：體育署升格為運動部，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412C0ECB"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委員謝衣</w:t>
            </w:r>
            <w:r w:rsidRPr="001B6E4D">
              <w:rPr>
                <w:rFonts w:ascii="標楷體" w:eastAsia="標楷體" w:hAnsi="標楷體" w:hint="eastAsia"/>
                <w:color w:val="000000" w:themeColor="text1"/>
                <w:sz w:val="24"/>
              </w:rPr>
              <w:t>鳯</w:t>
            </w:r>
          </w:p>
          <w:p w14:paraId="52406C1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17人</w:t>
            </w:r>
          </w:p>
          <w:p w14:paraId="0C7EBEB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115.01.23</w:t>
            </w:r>
          </w:p>
          <w:p w14:paraId="55A60C55" w14:textId="7567339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11-4-19）</w:t>
            </w:r>
          </w:p>
        </w:tc>
        <w:tc>
          <w:tcPr>
            <w:tcW w:w="930" w:type="pct"/>
          </w:tcPr>
          <w:p w14:paraId="5E33FBB5" w14:textId="2BB1835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0B4C3F00" w14:textId="6148FBD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EB4D17C" w14:textId="77777777" w:rsidTr="00853490">
        <w:tc>
          <w:tcPr>
            <w:tcW w:w="308" w:type="pct"/>
          </w:tcPr>
          <w:p w14:paraId="7C3E5186" w14:textId="66C66948"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25</w:t>
            </w:r>
          </w:p>
        </w:tc>
        <w:tc>
          <w:tcPr>
            <w:tcW w:w="1807" w:type="pct"/>
          </w:tcPr>
          <w:p w14:paraId="7DCA7331" w14:textId="7B28BAB5"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24.廢止「教育部體育署組織法」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廢止重點：體育署升格為運動部，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77F2B27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34B47E8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B65F29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115.03.06</w:t>
            </w:r>
          </w:p>
          <w:p w14:paraId="08981C21" w14:textId="6118F2A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w:t>
            </w:r>
          </w:p>
        </w:tc>
        <w:tc>
          <w:tcPr>
            <w:tcW w:w="930" w:type="pct"/>
          </w:tcPr>
          <w:p w14:paraId="4E7BD8E2" w14:textId="7A5ADD6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003C271A" w14:textId="659C5E5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5D82E209" w14:textId="77777777" w:rsidTr="00853490">
        <w:tc>
          <w:tcPr>
            <w:tcW w:w="308" w:type="pct"/>
          </w:tcPr>
          <w:p w14:paraId="19D54F01" w14:textId="26604C38"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26</w:t>
            </w:r>
          </w:p>
        </w:tc>
        <w:tc>
          <w:tcPr>
            <w:tcW w:w="1807" w:type="pct"/>
          </w:tcPr>
          <w:p w14:paraId="274489C5" w14:textId="01842AA1"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25.廢止「教育部體育署組織法」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廢止重點：體育署升格為運動部，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071628A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w:t>
            </w:r>
            <w:proofErr w:type="gramStart"/>
            <w:r w:rsidRPr="001B6E4D">
              <w:rPr>
                <w:rFonts w:ascii="標楷體" w:eastAsia="標楷體" w:hAnsi="標楷體"/>
                <w:color w:val="000000" w:themeColor="text1"/>
                <w:sz w:val="24"/>
              </w:rPr>
              <w:t>游顥</w:t>
            </w:r>
            <w:proofErr w:type="gramEnd"/>
          </w:p>
          <w:p w14:paraId="7821DFAF"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68F410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115.03.06</w:t>
            </w:r>
          </w:p>
          <w:p w14:paraId="7D53B2E8" w14:textId="00BF489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w:t>
            </w:r>
          </w:p>
        </w:tc>
        <w:tc>
          <w:tcPr>
            <w:tcW w:w="930" w:type="pct"/>
          </w:tcPr>
          <w:p w14:paraId="0F036233" w14:textId="4677BF0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0FDAF202" w14:textId="57580F1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7694DB05" w14:textId="77777777" w:rsidTr="00853490">
        <w:tc>
          <w:tcPr>
            <w:tcW w:w="308" w:type="pct"/>
          </w:tcPr>
          <w:p w14:paraId="01264CAA" w14:textId="490B025F"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27</w:t>
            </w:r>
          </w:p>
        </w:tc>
        <w:tc>
          <w:tcPr>
            <w:tcW w:w="1807" w:type="pct"/>
          </w:tcPr>
          <w:p w14:paraId="3557BD9F" w14:textId="7000ADA0"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26.廢止「教育部體育署組織法」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廢止重點：體育署業務併入運動部，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75F6A58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1238388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115.03.27</w:t>
            </w:r>
          </w:p>
          <w:p w14:paraId="004CEBB6" w14:textId="11DC836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（11-5-5）</w:t>
            </w:r>
          </w:p>
        </w:tc>
        <w:tc>
          <w:tcPr>
            <w:tcW w:w="930" w:type="pct"/>
          </w:tcPr>
          <w:p w14:paraId="21FB5E7A" w14:textId="3B9F010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436436BD" w14:textId="5C6BAF6A"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69AE1CF3" w14:textId="77777777" w:rsidTr="00853490">
        <w:tc>
          <w:tcPr>
            <w:tcW w:w="308" w:type="pct"/>
          </w:tcPr>
          <w:p w14:paraId="47A3359E" w14:textId="5BC16907"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28</w:t>
            </w:r>
          </w:p>
        </w:tc>
        <w:tc>
          <w:tcPr>
            <w:tcW w:w="1807" w:type="pct"/>
          </w:tcPr>
          <w:p w14:paraId="5B4CD054" w14:textId="2BFFDC86"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27.廢止「教育部體育署組織法」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廢止重點：運動部業已成立，</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6E001A6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委員吳沛憶</w:t>
            </w:r>
          </w:p>
          <w:p w14:paraId="15016D6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72CF0B0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68185B5F" w14:textId="0BE6894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30" w:type="pct"/>
          </w:tcPr>
          <w:p w14:paraId="097636E3" w14:textId="4B9164E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1724611C" w14:textId="7FCEB19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77191B99" w14:textId="77777777" w:rsidTr="00853490">
        <w:tc>
          <w:tcPr>
            <w:tcW w:w="308" w:type="pct"/>
          </w:tcPr>
          <w:p w14:paraId="579995CE" w14:textId="61D716E0"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29</w:t>
            </w:r>
          </w:p>
        </w:tc>
        <w:tc>
          <w:tcPr>
            <w:tcW w:w="1807" w:type="pct"/>
          </w:tcPr>
          <w:p w14:paraId="3A14DF85" w14:textId="67484543"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28.廢止「教育部體育署組織法」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廢止重點：體育署已升格為運動部，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471989C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委員王美惠</w:t>
            </w:r>
          </w:p>
          <w:p w14:paraId="39C87283"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9DDDACA"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38103EB8" w14:textId="2F1F510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30" w:type="pct"/>
          </w:tcPr>
          <w:p w14:paraId="6242E8DE" w14:textId="601629F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3BEC6630" w14:textId="3A51072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395C4401" w14:textId="77777777" w:rsidTr="00853490">
        <w:tc>
          <w:tcPr>
            <w:tcW w:w="308" w:type="pct"/>
          </w:tcPr>
          <w:p w14:paraId="1944A675" w14:textId="653F0659"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30</w:t>
            </w:r>
          </w:p>
        </w:tc>
        <w:tc>
          <w:tcPr>
            <w:tcW w:w="1807" w:type="pct"/>
          </w:tcPr>
          <w:p w14:paraId="79B2A34D" w14:textId="57FF3FE1"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29.廢止「教育部體育署組織法」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廢止重點：體育署已改制為運動部，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6DD2AB3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45FE87C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50AC162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115.04.17</w:t>
            </w:r>
          </w:p>
          <w:p w14:paraId="55D74C56" w14:textId="74DA410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w:t>
            </w:r>
          </w:p>
        </w:tc>
        <w:tc>
          <w:tcPr>
            <w:tcW w:w="930" w:type="pct"/>
          </w:tcPr>
          <w:p w14:paraId="3F985CC1" w14:textId="6F9DA072"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532B25F7" w14:textId="4ABA26A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0E8DC2EF" w14:textId="77777777" w:rsidTr="00853490">
        <w:tc>
          <w:tcPr>
            <w:tcW w:w="308" w:type="pct"/>
          </w:tcPr>
          <w:p w14:paraId="23A9BAF3" w14:textId="3A61C527"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31</w:t>
            </w:r>
          </w:p>
        </w:tc>
        <w:tc>
          <w:tcPr>
            <w:tcW w:w="1807" w:type="pct"/>
          </w:tcPr>
          <w:p w14:paraId="4175B4EC" w14:textId="37759587"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30.廢止「教育部體育署組織法」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廢止重點：體育署改制為運動部，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650ACA6F"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6A04F9F6"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5BF632F3"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115.05.15</w:t>
            </w:r>
          </w:p>
          <w:p w14:paraId="25197EBA" w14:textId="0F0D734A"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（11-5-10）</w:t>
            </w:r>
          </w:p>
        </w:tc>
        <w:tc>
          <w:tcPr>
            <w:tcW w:w="930" w:type="pct"/>
          </w:tcPr>
          <w:p w14:paraId="5E1F6F39" w14:textId="0908B2E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76FACCBF" w14:textId="3DB353A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FDCAEE7" w14:textId="77777777" w:rsidTr="00853490">
        <w:tc>
          <w:tcPr>
            <w:tcW w:w="308" w:type="pct"/>
          </w:tcPr>
          <w:p w14:paraId="6FD49EAB" w14:textId="57C8F3D5"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32</w:t>
            </w:r>
          </w:p>
        </w:tc>
        <w:tc>
          <w:tcPr>
            <w:tcW w:w="1807" w:type="pct"/>
          </w:tcPr>
          <w:p w14:paraId="4AD7EE92" w14:textId="35DE4558"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31.廢止「教育部體育署組織法」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廢止重點：體育署改制為運動部，</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2D52EC9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委員魯明哲</w:t>
            </w:r>
          </w:p>
          <w:p w14:paraId="614A429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8E901A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115.05.29</w:t>
            </w:r>
          </w:p>
          <w:p w14:paraId="328ACDE5" w14:textId="1DF248DB"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（11-5-12）</w:t>
            </w:r>
          </w:p>
        </w:tc>
        <w:tc>
          <w:tcPr>
            <w:tcW w:w="930" w:type="pct"/>
          </w:tcPr>
          <w:p w14:paraId="1209993E" w14:textId="560B8BB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1548AB34" w14:textId="2852985A"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38DA4C78" w14:textId="77777777" w:rsidTr="00853490">
        <w:tc>
          <w:tcPr>
            <w:tcW w:w="308" w:type="pct"/>
          </w:tcPr>
          <w:p w14:paraId="6F7C14ED" w14:textId="671AB45B"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33</w:t>
            </w:r>
          </w:p>
        </w:tc>
        <w:tc>
          <w:tcPr>
            <w:tcW w:w="1807" w:type="pct"/>
          </w:tcPr>
          <w:p w14:paraId="063BBA98" w14:textId="59792492"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教育部國民及學前教育署組</w:t>
            </w:r>
            <w:r w:rsidRPr="001B6E4D">
              <w:rPr>
                <w:rFonts w:hAnsi="標楷體" w:cs="Times New Roman"/>
                <w:color w:val="000000" w:themeColor="text1"/>
                <w:sz w:val="24"/>
                <w:szCs w:val="24"/>
              </w:rPr>
              <w:lastRenderedPageBreak/>
              <w:t>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修正重點：配合增設運動部，學校體育包括十二年國民教育課程綱要及體育教學等事項由教育部辦理。）</w:t>
            </w:r>
          </w:p>
        </w:tc>
        <w:tc>
          <w:tcPr>
            <w:tcW w:w="1160" w:type="pct"/>
          </w:tcPr>
          <w:p w14:paraId="2ACB976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委員張雅琳</w:t>
            </w:r>
          </w:p>
          <w:p w14:paraId="5F7BBDC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等19人</w:t>
            </w:r>
          </w:p>
          <w:p w14:paraId="292B7A9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113.11.08</w:t>
            </w:r>
          </w:p>
          <w:p w14:paraId="01BDF800" w14:textId="0409E44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（11-2-8）</w:t>
            </w:r>
          </w:p>
        </w:tc>
        <w:tc>
          <w:tcPr>
            <w:tcW w:w="930" w:type="pct"/>
          </w:tcPr>
          <w:p w14:paraId="6FDFDC1B" w14:textId="750595CB"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r w:rsidRPr="001B6E4D">
              <w:rPr>
                <w:rFonts w:ascii="標楷體" w:eastAsia="標楷體" w:hAnsi="標楷體"/>
                <w:color w:val="000000" w:themeColor="text1"/>
                <w:sz w:val="24"/>
              </w:rPr>
              <w:lastRenderedPageBreak/>
              <w:t>教育及文化</w:t>
            </w:r>
          </w:p>
        </w:tc>
        <w:tc>
          <w:tcPr>
            <w:tcW w:w="795" w:type="pct"/>
          </w:tcPr>
          <w:p w14:paraId="7A0BFC48" w14:textId="13CF5F8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尚未審查</w:t>
            </w:r>
          </w:p>
        </w:tc>
      </w:tr>
      <w:tr w:rsidR="0034443C" w:rsidRPr="001B6E4D" w14:paraId="521E3B10" w14:textId="77777777" w:rsidTr="00853490">
        <w:tc>
          <w:tcPr>
            <w:tcW w:w="308" w:type="pct"/>
          </w:tcPr>
          <w:p w14:paraId="319A8F9B" w14:textId="7ECAFA27"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34</w:t>
            </w:r>
          </w:p>
        </w:tc>
        <w:tc>
          <w:tcPr>
            <w:tcW w:w="1807" w:type="pct"/>
          </w:tcPr>
          <w:p w14:paraId="11840D72" w14:textId="28532E86"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共五章32條。制定重點：為辦理面臨傳承危機國家語言之保存、研究及交流，促進語言文化之傳承、</w:t>
            </w:r>
            <w:proofErr w:type="gramStart"/>
            <w:r w:rsidRPr="001B6E4D">
              <w:rPr>
                <w:rFonts w:hAnsi="標楷體" w:cs="Times New Roman"/>
                <w:color w:val="000000" w:themeColor="text1"/>
                <w:sz w:val="24"/>
                <w:szCs w:val="24"/>
              </w:rPr>
              <w:t>復振及</w:t>
            </w:r>
            <w:proofErr w:type="gramEnd"/>
            <w:r w:rsidRPr="001B6E4D">
              <w:rPr>
                <w:rFonts w:hAnsi="標楷體" w:cs="Times New Roman"/>
                <w:color w:val="000000" w:themeColor="text1"/>
                <w:sz w:val="24"/>
                <w:szCs w:val="24"/>
              </w:rPr>
              <w:t>發展，特設國家語言研究發展中心，並制定本條例。）</w:t>
            </w:r>
          </w:p>
        </w:tc>
        <w:tc>
          <w:tcPr>
            <w:tcW w:w="1160" w:type="pct"/>
          </w:tcPr>
          <w:p w14:paraId="39B3E1E6"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w:t>
            </w:r>
          </w:p>
          <w:p w14:paraId="44EE131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113.07.05</w:t>
            </w:r>
          </w:p>
          <w:p w14:paraId="408519B8" w14:textId="7C60223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（11-1-21）</w:t>
            </w:r>
          </w:p>
        </w:tc>
        <w:tc>
          <w:tcPr>
            <w:tcW w:w="930" w:type="pct"/>
          </w:tcPr>
          <w:p w14:paraId="4D386F53" w14:textId="1319285A"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0913A7EF" w14:textId="3F21EB9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25FC96A5" w14:textId="77777777" w:rsidTr="00853490">
        <w:tc>
          <w:tcPr>
            <w:tcW w:w="308" w:type="pct"/>
          </w:tcPr>
          <w:p w14:paraId="29B46A3E" w14:textId="504414D9"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35</w:t>
            </w:r>
          </w:p>
        </w:tc>
        <w:tc>
          <w:tcPr>
            <w:tcW w:w="1807" w:type="pct"/>
          </w:tcPr>
          <w:p w14:paraId="095C8D6A" w14:textId="6915A5F1"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共五章32條。制定重點：為辦理國家語言之保存、研究、推廣及交流，促進語言文化之傳承、</w:t>
            </w:r>
            <w:proofErr w:type="gramStart"/>
            <w:r w:rsidRPr="001B6E4D">
              <w:rPr>
                <w:rFonts w:hAnsi="標楷體" w:cs="Times New Roman"/>
                <w:color w:val="000000" w:themeColor="text1"/>
                <w:sz w:val="24"/>
                <w:szCs w:val="24"/>
              </w:rPr>
              <w:t>復振及</w:t>
            </w:r>
            <w:proofErr w:type="gramEnd"/>
            <w:r w:rsidRPr="001B6E4D">
              <w:rPr>
                <w:rFonts w:hAnsi="標楷體" w:cs="Times New Roman"/>
                <w:color w:val="000000" w:themeColor="text1"/>
                <w:sz w:val="24"/>
                <w:szCs w:val="24"/>
              </w:rPr>
              <w:t>發展，特設國家語言研究發展中心，並制定本條例。）</w:t>
            </w:r>
          </w:p>
        </w:tc>
        <w:tc>
          <w:tcPr>
            <w:tcW w:w="1160" w:type="pct"/>
          </w:tcPr>
          <w:p w14:paraId="5ACED9EF"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4C8B99B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2295C16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1ECF65C0" w14:textId="662A3D4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（11-1-3）</w:t>
            </w:r>
          </w:p>
        </w:tc>
        <w:tc>
          <w:tcPr>
            <w:tcW w:w="930" w:type="pct"/>
          </w:tcPr>
          <w:p w14:paraId="157F3D43" w14:textId="7B79B2E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4D5DE3E5" w14:textId="18B6B58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3484CA52" w14:textId="77777777" w:rsidTr="00853490">
        <w:tc>
          <w:tcPr>
            <w:tcW w:w="308" w:type="pct"/>
          </w:tcPr>
          <w:p w14:paraId="662BF23C" w14:textId="4D729A13"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36</w:t>
            </w:r>
          </w:p>
        </w:tc>
        <w:tc>
          <w:tcPr>
            <w:tcW w:w="1807" w:type="pct"/>
          </w:tcPr>
          <w:p w14:paraId="3EF8CDC6" w14:textId="17CD1DFB"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共五章32條。制定重點：為辦理國家語言之保存、研究、推廣及交流，促進語言文化之傳承、</w:t>
            </w:r>
            <w:proofErr w:type="gramStart"/>
            <w:r w:rsidRPr="001B6E4D">
              <w:rPr>
                <w:rFonts w:hAnsi="標楷體" w:cs="Times New Roman"/>
                <w:color w:val="000000" w:themeColor="text1"/>
                <w:sz w:val="24"/>
                <w:szCs w:val="24"/>
              </w:rPr>
              <w:t>復振及</w:t>
            </w:r>
            <w:proofErr w:type="gramEnd"/>
            <w:r w:rsidRPr="001B6E4D">
              <w:rPr>
                <w:rFonts w:hAnsi="標楷體" w:cs="Times New Roman"/>
                <w:color w:val="000000" w:themeColor="text1"/>
                <w:sz w:val="24"/>
                <w:szCs w:val="24"/>
              </w:rPr>
              <w:t>發展，特設國家語言研究發展中心，並制定本條例。）</w:t>
            </w:r>
          </w:p>
        </w:tc>
        <w:tc>
          <w:tcPr>
            <w:tcW w:w="1160" w:type="pct"/>
          </w:tcPr>
          <w:p w14:paraId="34AB269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委員張雅琳</w:t>
            </w:r>
          </w:p>
          <w:p w14:paraId="24F5182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69AD203B"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1EFB438D" w14:textId="31BA65E1"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（11-1-5）</w:t>
            </w:r>
          </w:p>
        </w:tc>
        <w:tc>
          <w:tcPr>
            <w:tcW w:w="930" w:type="pct"/>
          </w:tcPr>
          <w:p w14:paraId="285B43C1" w14:textId="65FCCAC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5042FA2F" w14:textId="2AAB2D52"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5B4032F9" w14:textId="77777777" w:rsidTr="00853490">
        <w:tc>
          <w:tcPr>
            <w:tcW w:w="308" w:type="pct"/>
          </w:tcPr>
          <w:p w14:paraId="1EF5DC8A" w14:textId="21B6428F"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37</w:t>
            </w:r>
          </w:p>
        </w:tc>
        <w:tc>
          <w:tcPr>
            <w:tcW w:w="1807" w:type="pct"/>
          </w:tcPr>
          <w:p w14:paraId="591A57A6" w14:textId="4FEBCBDA"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共五章32條。制定重點：為辦理國家語言之保存、研究、發揚及交流，促進臺灣語言文化之傳承、</w:t>
            </w:r>
            <w:proofErr w:type="gramStart"/>
            <w:r w:rsidRPr="001B6E4D">
              <w:rPr>
                <w:rFonts w:hAnsi="標楷體" w:cs="Times New Roman"/>
                <w:color w:val="000000" w:themeColor="text1"/>
                <w:sz w:val="24"/>
                <w:szCs w:val="24"/>
              </w:rPr>
              <w:t>復振及</w:t>
            </w:r>
            <w:proofErr w:type="gramEnd"/>
            <w:r w:rsidRPr="001B6E4D">
              <w:rPr>
                <w:rFonts w:hAnsi="標楷體" w:cs="Times New Roman"/>
                <w:color w:val="000000" w:themeColor="text1"/>
                <w:sz w:val="24"/>
                <w:szCs w:val="24"/>
              </w:rPr>
              <w:t>發展，特設國家語言研究發展中心，並制定本條例。）</w:t>
            </w:r>
          </w:p>
        </w:tc>
        <w:tc>
          <w:tcPr>
            <w:tcW w:w="1160" w:type="pct"/>
          </w:tcPr>
          <w:p w14:paraId="04ECAF3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委員陳秀</w:t>
            </w:r>
            <w:r w:rsidRPr="001B6E4D">
              <w:rPr>
                <w:rFonts w:ascii="標楷體" w:eastAsia="標楷體" w:hAnsi="標楷體" w:hint="eastAsia"/>
                <w:color w:val="000000" w:themeColor="text1"/>
                <w:sz w:val="24"/>
              </w:rPr>
              <w:t>寳</w:t>
            </w:r>
          </w:p>
          <w:p w14:paraId="070B7EB8"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22人</w:t>
            </w:r>
          </w:p>
          <w:p w14:paraId="5F091E3A"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0DB82A82" w14:textId="7BD9788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11-1-5）</w:t>
            </w:r>
          </w:p>
        </w:tc>
        <w:tc>
          <w:tcPr>
            <w:tcW w:w="930" w:type="pct"/>
          </w:tcPr>
          <w:p w14:paraId="6D4363E3" w14:textId="56CF69A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4D5BF12D" w14:textId="46FD0B8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2FBE9DB5" w14:textId="77777777" w:rsidTr="00853490">
        <w:tc>
          <w:tcPr>
            <w:tcW w:w="308" w:type="pct"/>
          </w:tcPr>
          <w:p w14:paraId="48F05C50" w14:textId="4F20CEA0"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38</w:t>
            </w:r>
          </w:p>
        </w:tc>
        <w:tc>
          <w:tcPr>
            <w:tcW w:w="1807" w:type="pct"/>
          </w:tcPr>
          <w:p w14:paraId="48124B71" w14:textId="79603E8A"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5.國家語言研究發展中心設</w:t>
            </w:r>
            <w:r w:rsidRPr="001B6E4D">
              <w:rPr>
                <w:rFonts w:hAnsi="標楷體" w:cs="Times New Roman"/>
                <w:color w:val="000000" w:themeColor="text1"/>
                <w:sz w:val="24"/>
                <w:szCs w:val="24"/>
              </w:rPr>
              <w:lastRenderedPageBreak/>
              <w:t>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共五章32條。制定重點：為進行國家語言之傳承、</w:t>
            </w:r>
            <w:proofErr w:type="gramStart"/>
            <w:r w:rsidRPr="001B6E4D">
              <w:rPr>
                <w:rFonts w:hAnsi="標楷體" w:cs="Times New Roman"/>
                <w:color w:val="000000" w:themeColor="text1"/>
                <w:sz w:val="24"/>
                <w:szCs w:val="24"/>
              </w:rPr>
              <w:t>復振</w:t>
            </w:r>
            <w:proofErr w:type="gramEnd"/>
            <w:r w:rsidRPr="001B6E4D">
              <w:rPr>
                <w:rFonts w:hAnsi="標楷體" w:cs="Times New Roman"/>
                <w:color w:val="000000" w:themeColor="text1"/>
                <w:sz w:val="24"/>
                <w:szCs w:val="24"/>
              </w:rPr>
              <w:t>、發展、推廣及人才培育並拯救瀕危之國家語言，特設國家語言研究發展中心，並制定本條例。）</w:t>
            </w:r>
          </w:p>
        </w:tc>
        <w:tc>
          <w:tcPr>
            <w:tcW w:w="1160" w:type="pct"/>
          </w:tcPr>
          <w:p w14:paraId="0F337F0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委員吳沛憶</w:t>
            </w:r>
          </w:p>
          <w:p w14:paraId="459C667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等18人</w:t>
            </w:r>
          </w:p>
          <w:p w14:paraId="1C149F6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3C27D1E5" w14:textId="5E35068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（11-1-7）</w:t>
            </w:r>
          </w:p>
        </w:tc>
        <w:tc>
          <w:tcPr>
            <w:tcW w:w="930" w:type="pct"/>
          </w:tcPr>
          <w:p w14:paraId="5EAC005A" w14:textId="67AA7182"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r w:rsidRPr="001B6E4D">
              <w:rPr>
                <w:rFonts w:ascii="標楷體" w:eastAsia="標楷體" w:hAnsi="標楷體"/>
                <w:color w:val="000000" w:themeColor="text1"/>
                <w:sz w:val="24"/>
              </w:rPr>
              <w:lastRenderedPageBreak/>
              <w:t>教育及文化</w:t>
            </w:r>
          </w:p>
        </w:tc>
        <w:tc>
          <w:tcPr>
            <w:tcW w:w="795" w:type="pct"/>
          </w:tcPr>
          <w:p w14:paraId="07966573" w14:textId="4D7AC30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尚未審查</w:t>
            </w:r>
          </w:p>
        </w:tc>
      </w:tr>
      <w:tr w:rsidR="0034443C" w:rsidRPr="001B6E4D" w14:paraId="76B8C3FD" w14:textId="77777777" w:rsidTr="00853490">
        <w:tc>
          <w:tcPr>
            <w:tcW w:w="308" w:type="pct"/>
          </w:tcPr>
          <w:p w14:paraId="3EB4F3AF" w14:textId="71E2DE93"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39</w:t>
            </w:r>
          </w:p>
        </w:tc>
        <w:tc>
          <w:tcPr>
            <w:tcW w:w="1807" w:type="pct"/>
          </w:tcPr>
          <w:p w14:paraId="3EF54CA0" w14:textId="34192EA0"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共五章32條。制定重點：為辦理國家語言之保存、研究、推廣及交流，促進語言文化之傳承、</w:t>
            </w:r>
            <w:proofErr w:type="gramStart"/>
            <w:r w:rsidRPr="001B6E4D">
              <w:rPr>
                <w:rFonts w:hAnsi="標楷體" w:cs="Times New Roman"/>
                <w:color w:val="000000" w:themeColor="text1"/>
                <w:sz w:val="24"/>
                <w:szCs w:val="24"/>
              </w:rPr>
              <w:t>復振及</w:t>
            </w:r>
            <w:proofErr w:type="gramEnd"/>
            <w:r w:rsidRPr="001B6E4D">
              <w:rPr>
                <w:rFonts w:hAnsi="標楷體" w:cs="Times New Roman"/>
                <w:color w:val="000000" w:themeColor="text1"/>
                <w:sz w:val="24"/>
                <w:szCs w:val="24"/>
              </w:rPr>
              <w:t>發展，特設國家語言研究發展中心，並制定本條例。）</w:t>
            </w:r>
          </w:p>
        </w:tc>
        <w:tc>
          <w:tcPr>
            <w:tcW w:w="1160" w:type="pct"/>
          </w:tcPr>
          <w:p w14:paraId="404EF28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委員陳培瑜</w:t>
            </w:r>
          </w:p>
          <w:p w14:paraId="2FBA762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1F5301C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113.04.26</w:t>
            </w:r>
          </w:p>
          <w:p w14:paraId="6CA8F957" w14:textId="4E78A3D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（11-1-11）</w:t>
            </w:r>
          </w:p>
        </w:tc>
        <w:tc>
          <w:tcPr>
            <w:tcW w:w="930" w:type="pct"/>
          </w:tcPr>
          <w:p w14:paraId="29726A5B" w14:textId="112BFACB"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2566E054" w14:textId="58A9B26E"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52B4193D" w14:textId="77777777" w:rsidTr="00853490">
        <w:tc>
          <w:tcPr>
            <w:tcW w:w="308" w:type="pct"/>
          </w:tcPr>
          <w:p w14:paraId="5E94686D" w14:textId="06038B86"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40</w:t>
            </w:r>
          </w:p>
        </w:tc>
        <w:tc>
          <w:tcPr>
            <w:tcW w:w="1807" w:type="pct"/>
          </w:tcPr>
          <w:p w14:paraId="7E77061E" w14:textId="5F68E2D2"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共五章32條。制定重點：為辦理面臨傳承危機國家語言之保存、研究及交流，促進語言文化之傳承、</w:t>
            </w:r>
            <w:proofErr w:type="gramStart"/>
            <w:r w:rsidRPr="001B6E4D">
              <w:rPr>
                <w:rFonts w:hAnsi="標楷體" w:cs="Times New Roman"/>
                <w:color w:val="000000" w:themeColor="text1"/>
                <w:sz w:val="24"/>
                <w:szCs w:val="24"/>
              </w:rPr>
              <w:t>復振及</w:t>
            </w:r>
            <w:proofErr w:type="gramEnd"/>
            <w:r w:rsidRPr="001B6E4D">
              <w:rPr>
                <w:rFonts w:hAnsi="標楷體" w:cs="Times New Roman"/>
                <w:color w:val="000000" w:themeColor="text1"/>
                <w:sz w:val="24"/>
                <w:szCs w:val="24"/>
              </w:rPr>
              <w:t>發展，特設國家語言研究發展中心，並制定本條例。）</w:t>
            </w:r>
          </w:p>
        </w:tc>
        <w:tc>
          <w:tcPr>
            <w:tcW w:w="1160" w:type="pct"/>
          </w:tcPr>
          <w:p w14:paraId="0440430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委員伍麗華</w:t>
            </w:r>
          </w:p>
          <w:p w14:paraId="30580EA1" w14:textId="77777777" w:rsidR="0034443C" w:rsidRPr="001B6E4D" w:rsidRDefault="0034443C"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Saidhai</w:t>
            </w:r>
            <w:proofErr w:type="spellEnd"/>
            <w:r w:rsidRPr="001B6E4D">
              <w:rPr>
                <w:rFonts w:ascii="標楷體" w:eastAsia="標楷體" w:hAnsi="標楷體"/>
                <w:color w:val="000000" w:themeColor="text1"/>
                <w:sz w:val="24"/>
              </w:rPr>
              <w:t>‧</w:t>
            </w:r>
          </w:p>
          <w:p w14:paraId="3D35FAF9" w14:textId="77777777" w:rsidR="0034443C" w:rsidRPr="001B6E4D" w:rsidRDefault="0034443C"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Tahovecahe</w:t>
            </w:r>
            <w:proofErr w:type="spellEnd"/>
          </w:p>
          <w:p w14:paraId="5AE9FD0B"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5D9D7FF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113.10.18</w:t>
            </w:r>
          </w:p>
          <w:p w14:paraId="3732BC03" w14:textId="7E43E37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（11-2-5）</w:t>
            </w:r>
          </w:p>
        </w:tc>
        <w:tc>
          <w:tcPr>
            <w:tcW w:w="930" w:type="pct"/>
          </w:tcPr>
          <w:p w14:paraId="30639688" w14:textId="0FA6469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7792B845" w14:textId="7882C0F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4A9AAE66" w14:textId="77777777" w:rsidTr="00853490">
        <w:tc>
          <w:tcPr>
            <w:tcW w:w="308" w:type="pct"/>
          </w:tcPr>
          <w:p w14:paraId="73B60EFB" w14:textId="736418E1"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41</w:t>
            </w:r>
          </w:p>
        </w:tc>
        <w:tc>
          <w:tcPr>
            <w:tcW w:w="1807" w:type="pct"/>
          </w:tcPr>
          <w:p w14:paraId="2A69AAFF" w14:textId="51F59E79"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共五章32條。制定重點：為辦理國家語言之保存、研究、推廣及交流，促進語言文化之傳承、</w:t>
            </w:r>
            <w:proofErr w:type="gramStart"/>
            <w:r w:rsidRPr="001B6E4D">
              <w:rPr>
                <w:rFonts w:hAnsi="標楷體" w:cs="Times New Roman"/>
                <w:color w:val="000000" w:themeColor="text1"/>
                <w:sz w:val="24"/>
                <w:szCs w:val="24"/>
              </w:rPr>
              <w:t>復振</w:t>
            </w:r>
            <w:proofErr w:type="gramEnd"/>
            <w:r w:rsidRPr="001B6E4D">
              <w:rPr>
                <w:rFonts w:hAnsi="標楷體" w:cs="Times New Roman"/>
                <w:color w:val="000000" w:themeColor="text1"/>
                <w:sz w:val="24"/>
                <w:szCs w:val="24"/>
              </w:rPr>
              <w:t>、向下紮根及發展，特設國家語言研究發展中心，並制定本條例。）</w:t>
            </w:r>
          </w:p>
        </w:tc>
        <w:tc>
          <w:tcPr>
            <w:tcW w:w="1160" w:type="pct"/>
          </w:tcPr>
          <w:p w14:paraId="1F72C93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委員郭昱晴</w:t>
            </w:r>
          </w:p>
          <w:p w14:paraId="119D0F28"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15B276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32D1BD32" w14:textId="31038B4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930" w:type="pct"/>
          </w:tcPr>
          <w:p w14:paraId="335408B9" w14:textId="240E8B21"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39DF67B7" w14:textId="540F0CD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73C06D7" w14:textId="77777777" w:rsidTr="00853490">
        <w:tc>
          <w:tcPr>
            <w:tcW w:w="308" w:type="pct"/>
          </w:tcPr>
          <w:p w14:paraId="5605543D" w14:textId="5BCB721C"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42</w:t>
            </w:r>
          </w:p>
        </w:tc>
        <w:tc>
          <w:tcPr>
            <w:tcW w:w="1807" w:type="pct"/>
          </w:tcPr>
          <w:p w14:paraId="257D7C88" w14:textId="4BA825DD"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共五章32條。制定重點：為辦理國家語言之保存、傳承、研究及交流，促進語言文化之傳承、</w:t>
            </w:r>
            <w:proofErr w:type="gramStart"/>
            <w:r w:rsidRPr="001B6E4D">
              <w:rPr>
                <w:rFonts w:hAnsi="標楷體" w:cs="Times New Roman"/>
                <w:color w:val="000000" w:themeColor="text1"/>
                <w:sz w:val="24"/>
                <w:szCs w:val="24"/>
              </w:rPr>
              <w:t>復振及</w:t>
            </w:r>
            <w:proofErr w:type="gramEnd"/>
            <w:r w:rsidRPr="001B6E4D">
              <w:rPr>
                <w:rFonts w:hAnsi="標楷體" w:cs="Times New Roman"/>
                <w:color w:val="000000" w:themeColor="text1"/>
                <w:sz w:val="24"/>
                <w:szCs w:val="24"/>
              </w:rPr>
              <w:t>發展，特設國家語言研究發展中心，並制定本條</w:t>
            </w:r>
            <w:r w:rsidRPr="001B6E4D">
              <w:rPr>
                <w:rFonts w:hAnsi="標楷體" w:cs="Times New Roman"/>
                <w:color w:val="000000" w:themeColor="text1"/>
                <w:sz w:val="24"/>
                <w:szCs w:val="24"/>
              </w:rPr>
              <w:lastRenderedPageBreak/>
              <w:t>例。）</w:t>
            </w:r>
          </w:p>
        </w:tc>
        <w:tc>
          <w:tcPr>
            <w:tcW w:w="1160" w:type="pct"/>
          </w:tcPr>
          <w:p w14:paraId="762C5CCA"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委員鄭天財</w:t>
            </w:r>
          </w:p>
          <w:p w14:paraId="1EF0AB4B" w14:textId="77777777" w:rsidR="0034443C" w:rsidRPr="001B6E4D" w:rsidRDefault="0034443C"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Sra</w:t>
            </w:r>
            <w:proofErr w:type="spellEnd"/>
            <w:r w:rsidRPr="001B6E4D">
              <w:rPr>
                <w:rFonts w:ascii="標楷體" w:eastAsia="標楷體" w:hAnsi="標楷體"/>
                <w:color w:val="000000" w:themeColor="text1"/>
                <w:sz w:val="24"/>
              </w:rPr>
              <w:t xml:space="preserve"> </w:t>
            </w:r>
            <w:proofErr w:type="spellStart"/>
            <w:r w:rsidRPr="001B6E4D">
              <w:rPr>
                <w:rFonts w:ascii="標楷體" w:eastAsia="標楷體" w:hAnsi="標楷體"/>
                <w:color w:val="000000" w:themeColor="text1"/>
                <w:sz w:val="24"/>
              </w:rPr>
              <w:t>Kacaw</w:t>
            </w:r>
            <w:proofErr w:type="spellEnd"/>
          </w:p>
          <w:p w14:paraId="11E8241B"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11BDDAB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5A1F351D" w14:textId="3B7BFC6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930" w:type="pct"/>
          </w:tcPr>
          <w:p w14:paraId="7A456CDA" w14:textId="53A1681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546DE6CC" w14:textId="556C0B5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4D58BA1A" w14:textId="77777777" w:rsidTr="00853490">
        <w:tc>
          <w:tcPr>
            <w:tcW w:w="308" w:type="pct"/>
          </w:tcPr>
          <w:p w14:paraId="3EF46516" w14:textId="3F48C8A7"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43</w:t>
            </w:r>
          </w:p>
        </w:tc>
        <w:tc>
          <w:tcPr>
            <w:tcW w:w="1807" w:type="pct"/>
          </w:tcPr>
          <w:p w14:paraId="40D6C719" w14:textId="3A713A97"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共五章32條。制定重點：為辦理面臨傳承危機國家語言之保存、研究及交流，促進語言文化之傳承、</w:t>
            </w:r>
            <w:proofErr w:type="gramStart"/>
            <w:r w:rsidRPr="001B6E4D">
              <w:rPr>
                <w:rFonts w:hAnsi="標楷體" w:cs="Times New Roman"/>
                <w:color w:val="000000" w:themeColor="text1"/>
                <w:sz w:val="24"/>
                <w:szCs w:val="24"/>
              </w:rPr>
              <w:t>復振及</w:t>
            </w:r>
            <w:proofErr w:type="gramEnd"/>
            <w:r w:rsidRPr="001B6E4D">
              <w:rPr>
                <w:rFonts w:hAnsi="標楷體" w:cs="Times New Roman"/>
                <w:color w:val="000000" w:themeColor="text1"/>
                <w:sz w:val="24"/>
                <w:szCs w:val="24"/>
              </w:rPr>
              <w:t>發展，特設國家語言研究發展中心，並制定本條例。）</w:t>
            </w:r>
          </w:p>
        </w:tc>
        <w:tc>
          <w:tcPr>
            <w:tcW w:w="1160" w:type="pct"/>
          </w:tcPr>
          <w:p w14:paraId="7A3BAD3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w:t>
            </w:r>
            <w:proofErr w:type="gramStart"/>
            <w:r w:rsidRPr="001B6E4D">
              <w:rPr>
                <w:rFonts w:ascii="標楷體" w:eastAsia="標楷體" w:hAnsi="標楷體"/>
                <w:color w:val="000000" w:themeColor="text1"/>
                <w:sz w:val="24"/>
              </w:rPr>
              <w:t>范</w:t>
            </w:r>
            <w:proofErr w:type="gramEnd"/>
            <w:r w:rsidRPr="001B6E4D">
              <w:rPr>
                <w:rFonts w:ascii="標楷體" w:eastAsia="標楷體" w:hAnsi="標楷體"/>
                <w:color w:val="000000" w:themeColor="text1"/>
                <w:sz w:val="24"/>
              </w:rPr>
              <w:t>雲</w:t>
            </w:r>
          </w:p>
          <w:p w14:paraId="5E710A98"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31B04D8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113.11.08</w:t>
            </w:r>
          </w:p>
          <w:p w14:paraId="0AA0D636" w14:textId="539BD60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（11-2-8）</w:t>
            </w:r>
          </w:p>
        </w:tc>
        <w:tc>
          <w:tcPr>
            <w:tcW w:w="930" w:type="pct"/>
          </w:tcPr>
          <w:p w14:paraId="57469E12" w14:textId="4A1B1F4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4B2B0B2E" w14:textId="49E7A4CB"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0CA337A5" w14:textId="77777777" w:rsidTr="00853490">
        <w:tc>
          <w:tcPr>
            <w:tcW w:w="308" w:type="pct"/>
          </w:tcPr>
          <w:p w14:paraId="448AE6F7" w14:textId="4D29DFDF"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44</w:t>
            </w:r>
          </w:p>
        </w:tc>
        <w:tc>
          <w:tcPr>
            <w:tcW w:w="1807" w:type="pct"/>
          </w:tcPr>
          <w:p w14:paraId="1FCB5F22" w14:textId="3918CD8F"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共五章32條。制定重點：為辦理面臨傳承危機國家語言之保存、研究及交流，促進語言文化之傳承、</w:t>
            </w:r>
            <w:proofErr w:type="gramStart"/>
            <w:r w:rsidRPr="001B6E4D">
              <w:rPr>
                <w:rFonts w:hAnsi="標楷體" w:cs="Times New Roman"/>
                <w:color w:val="000000" w:themeColor="text1"/>
                <w:sz w:val="24"/>
                <w:szCs w:val="24"/>
              </w:rPr>
              <w:t>復振</w:t>
            </w:r>
            <w:proofErr w:type="gramEnd"/>
            <w:r w:rsidRPr="001B6E4D">
              <w:rPr>
                <w:rFonts w:hAnsi="標楷體" w:cs="Times New Roman"/>
                <w:color w:val="000000" w:themeColor="text1"/>
                <w:sz w:val="24"/>
                <w:szCs w:val="24"/>
              </w:rPr>
              <w:t>、發展及應用，特設國家語言研究發展中心，並制定本條例。）</w:t>
            </w:r>
          </w:p>
        </w:tc>
        <w:tc>
          <w:tcPr>
            <w:tcW w:w="1160" w:type="pct"/>
          </w:tcPr>
          <w:p w14:paraId="225729F0"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委員吳思瑤</w:t>
            </w:r>
          </w:p>
          <w:p w14:paraId="04F0A97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FA111F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113.11.22</w:t>
            </w:r>
          </w:p>
          <w:p w14:paraId="580D672E" w14:textId="013A25BE"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（11-2-10）</w:t>
            </w:r>
          </w:p>
        </w:tc>
        <w:tc>
          <w:tcPr>
            <w:tcW w:w="930" w:type="pct"/>
          </w:tcPr>
          <w:p w14:paraId="153C22A9" w14:textId="14E8656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3F0A63CB" w14:textId="1CF8A122"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57E6E3F9" w14:textId="77777777" w:rsidTr="00853490">
        <w:tc>
          <w:tcPr>
            <w:tcW w:w="308" w:type="pct"/>
          </w:tcPr>
          <w:p w14:paraId="484019CA" w14:textId="01BD6FEC"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45</w:t>
            </w:r>
          </w:p>
        </w:tc>
        <w:tc>
          <w:tcPr>
            <w:tcW w:w="1807" w:type="pct"/>
          </w:tcPr>
          <w:p w14:paraId="5E2A2E14" w14:textId="24ED4DD2"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12.國家語言研究發展中心設置條例草案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共五章32條。制定重點：為辦理國家語言之保存、研究、推廣及交流，促進語言文化之傳承、</w:t>
            </w:r>
            <w:proofErr w:type="gramStart"/>
            <w:r w:rsidRPr="001B6E4D">
              <w:rPr>
                <w:rFonts w:hAnsi="標楷體" w:cs="Times New Roman"/>
                <w:color w:val="000000" w:themeColor="text1"/>
                <w:sz w:val="24"/>
                <w:szCs w:val="24"/>
              </w:rPr>
              <w:t>復振及</w:t>
            </w:r>
            <w:proofErr w:type="gramEnd"/>
            <w:r w:rsidRPr="001B6E4D">
              <w:rPr>
                <w:rFonts w:hAnsi="標楷體" w:cs="Times New Roman"/>
                <w:color w:val="000000" w:themeColor="text1"/>
                <w:sz w:val="24"/>
                <w:szCs w:val="24"/>
              </w:rPr>
              <w:t>發展，特設國家語言研究發展中心，並制定本條例。）</w:t>
            </w:r>
          </w:p>
        </w:tc>
        <w:tc>
          <w:tcPr>
            <w:tcW w:w="1160" w:type="pct"/>
          </w:tcPr>
          <w:p w14:paraId="2C5A9E06"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委員葉元之</w:t>
            </w:r>
          </w:p>
          <w:p w14:paraId="2B6D0AF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114AAE2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13368AFD" w14:textId="7908C54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（11-2-16）</w:t>
            </w:r>
          </w:p>
        </w:tc>
        <w:tc>
          <w:tcPr>
            <w:tcW w:w="930" w:type="pct"/>
          </w:tcPr>
          <w:p w14:paraId="2E7EB798" w14:textId="610CA7A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4E561816" w14:textId="32FC40DE"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46236471" w14:textId="77777777" w:rsidTr="00853490">
        <w:tc>
          <w:tcPr>
            <w:tcW w:w="308" w:type="pct"/>
          </w:tcPr>
          <w:p w14:paraId="291973DD" w14:textId="5421AFEC"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46</w:t>
            </w:r>
          </w:p>
        </w:tc>
        <w:tc>
          <w:tcPr>
            <w:tcW w:w="1807" w:type="pct"/>
          </w:tcPr>
          <w:p w14:paraId="507EBDA0" w14:textId="2122DED4"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13.國家語言研究發展中心設置條例草案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共五章32條。制定重點：為辦理面臨傳承危機國家語言之保存、研究及交流，促進語言文化之傳承、</w:t>
            </w:r>
            <w:proofErr w:type="gramStart"/>
            <w:r w:rsidRPr="001B6E4D">
              <w:rPr>
                <w:rFonts w:hAnsi="標楷體" w:cs="Times New Roman"/>
                <w:color w:val="000000" w:themeColor="text1"/>
                <w:sz w:val="24"/>
                <w:szCs w:val="24"/>
              </w:rPr>
              <w:t>復振及</w:t>
            </w:r>
            <w:proofErr w:type="gramEnd"/>
            <w:r w:rsidRPr="001B6E4D">
              <w:rPr>
                <w:rFonts w:hAnsi="標楷體" w:cs="Times New Roman"/>
                <w:color w:val="000000" w:themeColor="text1"/>
                <w:sz w:val="24"/>
                <w:szCs w:val="24"/>
              </w:rPr>
              <w:t>發展，特設國家語言研究發展中心，並制定本條例。）</w:t>
            </w:r>
          </w:p>
        </w:tc>
        <w:tc>
          <w:tcPr>
            <w:tcW w:w="1160" w:type="pct"/>
          </w:tcPr>
          <w:p w14:paraId="78F5F296"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委員羅廷</w:t>
            </w:r>
            <w:proofErr w:type="gramStart"/>
            <w:r w:rsidRPr="001B6E4D">
              <w:rPr>
                <w:rFonts w:ascii="標楷體" w:eastAsia="標楷體" w:hAnsi="標楷體"/>
                <w:color w:val="000000" w:themeColor="text1"/>
                <w:sz w:val="24"/>
              </w:rPr>
              <w:t>瑋</w:t>
            </w:r>
            <w:proofErr w:type="gramEnd"/>
          </w:p>
          <w:p w14:paraId="0E687003"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579DDEF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293D82E3" w14:textId="5E7F3BD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30" w:type="pct"/>
          </w:tcPr>
          <w:p w14:paraId="37D2F730" w14:textId="72C9CB2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3361B32C" w14:textId="38595AD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5CF8FC95" w14:textId="77777777" w:rsidTr="00853490">
        <w:tc>
          <w:tcPr>
            <w:tcW w:w="308" w:type="pct"/>
          </w:tcPr>
          <w:p w14:paraId="74439D10" w14:textId="05BB9795"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47</w:t>
            </w:r>
          </w:p>
        </w:tc>
        <w:tc>
          <w:tcPr>
            <w:tcW w:w="1807" w:type="pct"/>
          </w:tcPr>
          <w:p w14:paraId="60ED5A2F" w14:textId="525B7E17"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14.國家語言研究發展中心設置條例草案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共五章32條。制定重點：為辦理面臨傳承危機國家語言之保存、研究及交流，促進語言文化之傳</w:t>
            </w:r>
            <w:r w:rsidRPr="001B6E4D">
              <w:rPr>
                <w:rFonts w:hAnsi="標楷體" w:cs="Times New Roman"/>
                <w:color w:val="000000" w:themeColor="text1"/>
                <w:sz w:val="24"/>
                <w:szCs w:val="24"/>
              </w:rPr>
              <w:lastRenderedPageBreak/>
              <w:t>承、</w:t>
            </w:r>
            <w:proofErr w:type="gramStart"/>
            <w:r w:rsidRPr="001B6E4D">
              <w:rPr>
                <w:rFonts w:hAnsi="標楷體" w:cs="Times New Roman"/>
                <w:color w:val="000000" w:themeColor="text1"/>
                <w:sz w:val="24"/>
                <w:szCs w:val="24"/>
              </w:rPr>
              <w:t>復振及</w:t>
            </w:r>
            <w:proofErr w:type="gramEnd"/>
            <w:r w:rsidRPr="001B6E4D">
              <w:rPr>
                <w:rFonts w:hAnsi="標楷體" w:cs="Times New Roman"/>
                <w:color w:val="000000" w:themeColor="text1"/>
                <w:sz w:val="24"/>
                <w:szCs w:val="24"/>
              </w:rPr>
              <w:t>發展，特設國家語言研究發展中心，並制定本條例。）</w:t>
            </w:r>
          </w:p>
        </w:tc>
        <w:tc>
          <w:tcPr>
            <w:tcW w:w="1160" w:type="pct"/>
          </w:tcPr>
          <w:p w14:paraId="15A4DD00"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委員王美惠</w:t>
            </w:r>
          </w:p>
          <w:p w14:paraId="70BEFDBF"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6A1983CB"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114.10.28</w:t>
            </w:r>
          </w:p>
          <w:p w14:paraId="0CA9A228" w14:textId="6FE1E2E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（11-4-6）</w:t>
            </w:r>
          </w:p>
        </w:tc>
        <w:tc>
          <w:tcPr>
            <w:tcW w:w="930" w:type="pct"/>
          </w:tcPr>
          <w:p w14:paraId="62BE8D47" w14:textId="1F0A3B9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433ED833" w14:textId="4E8D3DE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7C10EBD5" w14:textId="77777777" w:rsidTr="00853490">
        <w:tc>
          <w:tcPr>
            <w:tcW w:w="308" w:type="pct"/>
          </w:tcPr>
          <w:p w14:paraId="01A0125C" w14:textId="2E1A2E9C"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48</w:t>
            </w:r>
          </w:p>
        </w:tc>
        <w:tc>
          <w:tcPr>
            <w:tcW w:w="1807" w:type="pct"/>
          </w:tcPr>
          <w:p w14:paraId="74ECF7E9" w14:textId="2BFFF617"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廢止「行政院原子能委員會組織條例」、「行政院原子能委員會核能研究所組織條例」、「行政院原子能委員會放射性物料管理局組織條例」及「行政院原子能委員會輻射偵測中心組織條例」(廢止重點：配合組織調整作業，將原原子能委員會及所屬機關整</w:t>
            </w:r>
            <w:proofErr w:type="gramStart"/>
            <w:r w:rsidRPr="001B6E4D">
              <w:rPr>
                <w:rFonts w:hAnsi="標楷體" w:cs="Times New Roman"/>
                <w:color w:val="000000" w:themeColor="text1"/>
                <w:sz w:val="24"/>
                <w:szCs w:val="24"/>
              </w:rPr>
              <w:t>併</w:t>
            </w:r>
            <w:proofErr w:type="gramEnd"/>
            <w:r w:rsidRPr="001B6E4D">
              <w:rPr>
                <w:rFonts w:hAnsi="標楷體" w:cs="Times New Roman"/>
                <w:color w:val="000000" w:themeColor="text1"/>
                <w:sz w:val="24"/>
                <w:szCs w:val="24"/>
              </w:rPr>
              <w:t>納入核能安全委員會及所屬，其中原能會核能研究所改制行政法人，</w:t>
            </w:r>
            <w:proofErr w:type="gramStart"/>
            <w:r w:rsidRPr="001B6E4D">
              <w:rPr>
                <w:rFonts w:hAnsi="標楷體" w:cs="Times New Roman"/>
                <w:color w:val="000000" w:themeColor="text1"/>
                <w:sz w:val="24"/>
                <w:szCs w:val="24"/>
              </w:rPr>
              <w:t>又核安</w:t>
            </w:r>
            <w:proofErr w:type="gramEnd"/>
            <w:r w:rsidRPr="001B6E4D">
              <w:rPr>
                <w:rFonts w:hAnsi="標楷體" w:cs="Times New Roman"/>
                <w:color w:val="000000" w:themeColor="text1"/>
                <w:sz w:val="24"/>
                <w:szCs w:val="24"/>
              </w:rPr>
              <w:t>會組織法及國原院設置條例業於112年9月27日施行，應配合辦理廢止。)</w:t>
            </w:r>
          </w:p>
        </w:tc>
        <w:tc>
          <w:tcPr>
            <w:tcW w:w="1160" w:type="pct"/>
          </w:tcPr>
          <w:p w14:paraId="654C2678"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w:t>
            </w:r>
          </w:p>
          <w:p w14:paraId="356CBEA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41EF9118" w14:textId="27DA1C0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（11-1-3）</w:t>
            </w:r>
          </w:p>
        </w:tc>
        <w:tc>
          <w:tcPr>
            <w:tcW w:w="930" w:type="pct"/>
          </w:tcPr>
          <w:p w14:paraId="1E9E16DE" w14:textId="56ADDE5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31E011A0" w14:textId="086A85AE"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3AE7C8B5" w14:textId="77777777" w:rsidTr="00853490">
        <w:tc>
          <w:tcPr>
            <w:tcW w:w="308" w:type="pct"/>
          </w:tcPr>
          <w:p w14:paraId="554E3B8B" w14:textId="334F59CD"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49</w:t>
            </w:r>
          </w:p>
        </w:tc>
        <w:tc>
          <w:tcPr>
            <w:tcW w:w="1807" w:type="pct"/>
          </w:tcPr>
          <w:p w14:paraId="354F329E" w14:textId="364A3D5B"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2.廢止「行政院原子能委員會組織條例」(廢止重點：已降級成三級單位核能安全委員會，</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54837A7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委員萬美玲</w:t>
            </w:r>
          </w:p>
          <w:p w14:paraId="52FEC8A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136588B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114.03.04</w:t>
            </w:r>
          </w:p>
          <w:p w14:paraId="3A559930" w14:textId="39399AB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（11-3-3）</w:t>
            </w:r>
          </w:p>
        </w:tc>
        <w:tc>
          <w:tcPr>
            <w:tcW w:w="930" w:type="pct"/>
          </w:tcPr>
          <w:p w14:paraId="00E28C5A" w14:textId="69229B6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0E2EF7DE" w14:textId="5DCC3E59"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247B07AA" w14:textId="77777777" w:rsidTr="00853490">
        <w:tc>
          <w:tcPr>
            <w:tcW w:w="308" w:type="pct"/>
          </w:tcPr>
          <w:p w14:paraId="70B84BAA" w14:textId="07FC061C"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50</w:t>
            </w:r>
          </w:p>
        </w:tc>
        <w:tc>
          <w:tcPr>
            <w:tcW w:w="1807" w:type="pct"/>
          </w:tcPr>
          <w:p w14:paraId="693BBD01" w14:textId="3FE0ACA2"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3.廢止「行政院原子能委員會組織條例」(廢止重點：已改制為核能安全委員會，</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5698AF0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3A7F432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3F3F53E8"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115.04.17</w:t>
            </w:r>
          </w:p>
          <w:p w14:paraId="33CEC022" w14:textId="7B82BBFA"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w:t>
            </w:r>
          </w:p>
        </w:tc>
        <w:tc>
          <w:tcPr>
            <w:tcW w:w="930" w:type="pct"/>
          </w:tcPr>
          <w:p w14:paraId="1DAD99FE" w14:textId="7A9BBE8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27F95D3F" w14:textId="0620132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3E639518" w14:textId="77777777" w:rsidTr="00853490">
        <w:tc>
          <w:tcPr>
            <w:tcW w:w="308" w:type="pct"/>
          </w:tcPr>
          <w:p w14:paraId="70A1FE11" w14:textId="4D85B936"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51</w:t>
            </w:r>
          </w:p>
        </w:tc>
        <w:tc>
          <w:tcPr>
            <w:tcW w:w="1807" w:type="pct"/>
          </w:tcPr>
          <w:p w14:paraId="119CD574" w14:textId="2B5E1053"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4.廢止「行政院原子能委員會組織條例」(廢止重點：已改制為核能安全委員會，</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217BA71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委員謝衣</w:t>
            </w:r>
            <w:r w:rsidRPr="001B6E4D">
              <w:rPr>
                <w:rFonts w:ascii="標楷體" w:eastAsia="標楷體" w:hAnsi="標楷體" w:hint="eastAsia"/>
                <w:color w:val="000000" w:themeColor="text1"/>
                <w:sz w:val="24"/>
              </w:rPr>
              <w:t>鳯</w:t>
            </w:r>
          </w:p>
          <w:p w14:paraId="1FC6C6F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16人</w:t>
            </w:r>
          </w:p>
          <w:p w14:paraId="27CC0438"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48B57F9C" w14:textId="58CA8FF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11-5-23）</w:t>
            </w:r>
          </w:p>
        </w:tc>
        <w:tc>
          <w:tcPr>
            <w:tcW w:w="930" w:type="pct"/>
          </w:tcPr>
          <w:p w14:paraId="75ED4D8C" w14:textId="32E51EB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2BC4F7CF" w14:textId="1BC03871"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FF12FB4" w14:textId="77777777" w:rsidTr="00853490">
        <w:tc>
          <w:tcPr>
            <w:tcW w:w="308" w:type="pct"/>
          </w:tcPr>
          <w:p w14:paraId="1FEED434" w14:textId="56C4983F"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52</w:t>
            </w:r>
          </w:p>
        </w:tc>
        <w:tc>
          <w:tcPr>
            <w:tcW w:w="1807" w:type="pct"/>
          </w:tcPr>
          <w:p w14:paraId="284FA489" w14:textId="715D425F"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1.中央廣播電臺設置條例部分條文修正草案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修正§3、4、7、19。修正重點：修正主管機關為文化部；促進資訊傳播並提升國際能見度；增訂董監事性別比例規定。）</w:t>
            </w:r>
          </w:p>
        </w:tc>
        <w:tc>
          <w:tcPr>
            <w:tcW w:w="1160" w:type="pct"/>
          </w:tcPr>
          <w:p w14:paraId="1927196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委員陳秀</w:t>
            </w:r>
            <w:r w:rsidRPr="001B6E4D">
              <w:rPr>
                <w:rFonts w:ascii="標楷體" w:eastAsia="標楷體" w:hAnsi="標楷體" w:hint="eastAsia"/>
                <w:color w:val="000000" w:themeColor="text1"/>
                <w:sz w:val="24"/>
              </w:rPr>
              <w:t>寳</w:t>
            </w:r>
          </w:p>
          <w:p w14:paraId="0C05970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21人</w:t>
            </w:r>
          </w:p>
          <w:p w14:paraId="4D7F9386"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1267E6DA" w14:textId="324B6D6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11-1-5）</w:t>
            </w:r>
          </w:p>
        </w:tc>
        <w:tc>
          <w:tcPr>
            <w:tcW w:w="930" w:type="pct"/>
          </w:tcPr>
          <w:p w14:paraId="370FECD2" w14:textId="4216D66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78FD13E5" w14:textId="2CCA01FE"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007A2CB0" w14:textId="77777777" w:rsidTr="00853490">
        <w:tc>
          <w:tcPr>
            <w:tcW w:w="308" w:type="pct"/>
          </w:tcPr>
          <w:p w14:paraId="6A758162" w14:textId="6A111209"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53</w:t>
            </w:r>
          </w:p>
        </w:tc>
        <w:tc>
          <w:tcPr>
            <w:tcW w:w="1807" w:type="pct"/>
          </w:tcPr>
          <w:p w14:paraId="38F1853D" w14:textId="2BEDC2A8"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2.中央廣播電臺設置條例第三條、第四條及第十九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修正重點：修正主管機關為文化部；製播臺灣觀點之新聞資訊向國際傳遞及多元語種之新聞、文化及生活資訊等非營利性廣播節目。）</w:t>
            </w:r>
          </w:p>
        </w:tc>
        <w:tc>
          <w:tcPr>
            <w:tcW w:w="1160" w:type="pct"/>
          </w:tcPr>
          <w:p w14:paraId="5B516EB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委員羅美玲</w:t>
            </w:r>
          </w:p>
          <w:p w14:paraId="5E121BFB"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77C8456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24913992" w14:textId="591C26E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930" w:type="pct"/>
          </w:tcPr>
          <w:p w14:paraId="725A69A8" w14:textId="280CA69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11944726" w14:textId="086087D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267D7BBD" w14:textId="77777777" w:rsidTr="00853490">
        <w:tc>
          <w:tcPr>
            <w:tcW w:w="308" w:type="pct"/>
          </w:tcPr>
          <w:p w14:paraId="6884CB63" w14:textId="3700D67B"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54</w:t>
            </w:r>
          </w:p>
        </w:tc>
        <w:tc>
          <w:tcPr>
            <w:tcW w:w="1807" w:type="pct"/>
          </w:tcPr>
          <w:p w14:paraId="497B8CA0" w14:textId="3630F7D6"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3.中央廣播電臺設置條例第三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修正重點：主管機關名稱更為文化部。）</w:t>
            </w:r>
          </w:p>
        </w:tc>
        <w:tc>
          <w:tcPr>
            <w:tcW w:w="1160" w:type="pct"/>
          </w:tcPr>
          <w:p w14:paraId="0FA0ADB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w:t>
            </w:r>
            <w:proofErr w:type="gramStart"/>
            <w:r w:rsidRPr="001B6E4D">
              <w:rPr>
                <w:rFonts w:ascii="標楷體" w:eastAsia="標楷體" w:hAnsi="標楷體"/>
                <w:color w:val="000000" w:themeColor="text1"/>
                <w:sz w:val="24"/>
              </w:rPr>
              <w:t>游顥</w:t>
            </w:r>
            <w:proofErr w:type="gramEnd"/>
          </w:p>
          <w:p w14:paraId="2234878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543FA47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114.03.04</w:t>
            </w:r>
          </w:p>
          <w:p w14:paraId="23CEB30A" w14:textId="2895A7C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（11-3-3）</w:t>
            </w:r>
          </w:p>
        </w:tc>
        <w:tc>
          <w:tcPr>
            <w:tcW w:w="930" w:type="pct"/>
          </w:tcPr>
          <w:p w14:paraId="4BB74319" w14:textId="10522D6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50960653" w14:textId="3BA46D0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B9005B5" w14:textId="77777777" w:rsidTr="00853490">
        <w:tc>
          <w:tcPr>
            <w:tcW w:w="308" w:type="pct"/>
          </w:tcPr>
          <w:p w14:paraId="4B799307" w14:textId="7F37AE0B"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55</w:t>
            </w:r>
          </w:p>
        </w:tc>
        <w:tc>
          <w:tcPr>
            <w:tcW w:w="1807" w:type="pct"/>
          </w:tcPr>
          <w:p w14:paraId="120A436B" w14:textId="161CCC2B"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4.中央廣播電臺設置條例部分條文修正草案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修正§3、4、7、19。修正重點：修正主管機關為文化部；推動多語服務與資訊平權；增訂董監事性別比例規定。）</w:t>
            </w:r>
          </w:p>
        </w:tc>
        <w:tc>
          <w:tcPr>
            <w:tcW w:w="1160" w:type="pct"/>
          </w:tcPr>
          <w:p w14:paraId="69D13DF3"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委員郭昱晴</w:t>
            </w:r>
          </w:p>
          <w:p w14:paraId="1B427330"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5F49BF18"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114.09.30</w:t>
            </w:r>
          </w:p>
          <w:p w14:paraId="2EC92B7A" w14:textId="2B34E093"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（11-4-2）</w:t>
            </w:r>
          </w:p>
        </w:tc>
        <w:tc>
          <w:tcPr>
            <w:tcW w:w="930" w:type="pct"/>
          </w:tcPr>
          <w:p w14:paraId="7695A55C" w14:textId="26982D9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65F5A38B" w14:textId="371A9B1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65B85DA" w14:textId="77777777" w:rsidTr="00853490">
        <w:tc>
          <w:tcPr>
            <w:tcW w:w="308" w:type="pct"/>
          </w:tcPr>
          <w:p w14:paraId="3B84AFA4" w14:textId="502AB00C"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56</w:t>
            </w:r>
          </w:p>
        </w:tc>
        <w:tc>
          <w:tcPr>
            <w:tcW w:w="1807" w:type="pct"/>
          </w:tcPr>
          <w:p w14:paraId="6C52ED88" w14:textId="10B08A83"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5.中央廣播電臺設置條例第三條、第四條及第十九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修正重點：修正主管機關為文化部；促進多元平權、傳播內容與技術之提升。）</w:t>
            </w:r>
          </w:p>
        </w:tc>
        <w:tc>
          <w:tcPr>
            <w:tcW w:w="1160" w:type="pct"/>
          </w:tcPr>
          <w:p w14:paraId="5FBE885F"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委員吳沛憶</w:t>
            </w:r>
          </w:p>
          <w:p w14:paraId="2B829AFA"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4C8022F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114.10.14</w:t>
            </w:r>
          </w:p>
          <w:p w14:paraId="446F7B22" w14:textId="6ACA35C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（11-4-4）</w:t>
            </w:r>
          </w:p>
        </w:tc>
        <w:tc>
          <w:tcPr>
            <w:tcW w:w="930" w:type="pct"/>
          </w:tcPr>
          <w:p w14:paraId="03D3A398" w14:textId="6A7DB0D0"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6937A255" w14:textId="72F50B4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627039FA" w14:textId="77777777" w:rsidTr="00853490">
        <w:tc>
          <w:tcPr>
            <w:tcW w:w="308" w:type="pct"/>
          </w:tcPr>
          <w:p w14:paraId="70928B24" w14:textId="066D0E81"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57</w:t>
            </w:r>
          </w:p>
        </w:tc>
        <w:tc>
          <w:tcPr>
            <w:tcW w:w="1807" w:type="pct"/>
          </w:tcPr>
          <w:p w14:paraId="40F0DB37" w14:textId="20D226CF"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6.中央廣播電臺設置條例第三條、第四條及第十九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修正重點：修正主管機關為文化部；將我國文化、立場及觀點傳播至國際社會；營造新住民語言友善之公共環境。）</w:t>
            </w:r>
          </w:p>
        </w:tc>
        <w:tc>
          <w:tcPr>
            <w:tcW w:w="1160" w:type="pct"/>
          </w:tcPr>
          <w:p w14:paraId="392792AA"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3E3257D4"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115.01.16</w:t>
            </w:r>
          </w:p>
          <w:p w14:paraId="73169FA0" w14:textId="2C60323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（11-4-18）</w:t>
            </w:r>
          </w:p>
        </w:tc>
        <w:tc>
          <w:tcPr>
            <w:tcW w:w="930" w:type="pct"/>
          </w:tcPr>
          <w:p w14:paraId="45F6A460" w14:textId="0173256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220CDC68" w14:textId="396F77FA"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545D00F3" w14:textId="77777777" w:rsidTr="00853490">
        <w:tc>
          <w:tcPr>
            <w:tcW w:w="308" w:type="pct"/>
          </w:tcPr>
          <w:p w14:paraId="6AA0173B" w14:textId="0EFA562D"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58</w:t>
            </w:r>
          </w:p>
        </w:tc>
        <w:tc>
          <w:tcPr>
            <w:tcW w:w="1807" w:type="pct"/>
          </w:tcPr>
          <w:p w14:paraId="1AA820CE" w14:textId="34C8C567"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中央通訊社設置條例第三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修正重點：要求中央社遵循新聞中立原則，促成媒體自律機制。）</w:t>
            </w:r>
          </w:p>
        </w:tc>
        <w:tc>
          <w:tcPr>
            <w:tcW w:w="1160" w:type="pct"/>
          </w:tcPr>
          <w:p w14:paraId="1549DE1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委員葉元之</w:t>
            </w:r>
          </w:p>
          <w:p w14:paraId="4DD9810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2C38BD1F"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113.11.22</w:t>
            </w:r>
          </w:p>
          <w:p w14:paraId="3EFF47AB" w14:textId="17BC093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（11-2-10）</w:t>
            </w:r>
          </w:p>
        </w:tc>
        <w:tc>
          <w:tcPr>
            <w:tcW w:w="930" w:type="pct"/>
          </w:tcPr>
          <w:p w14:paraId="626D33E0" w14:textId="23BAF46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126C0087" w14:textId="563ED05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77C27ED4" w14:textId="77777777" w:rsidTr="00853490">
        <w:tc>
          <w:tcPr>
            <w:tcW w:w="308" w:type="pct"/>
          </w:tcPr>
          <w:p w14:paraId="7EBE1811" w14:textId="7B88916F"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59</w:t>
            </w:r>
          </w:p>
        </w:tc>
        <w:tc>
          <w:tcPr>
            <w:tcW w:w="1807" w:type="pct"/>
          </w:tcPr>
          <w:p w14:paraId="5DAE4580" w14:textId="41404A6F"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國家表演藝術中心設置條例第二十</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修正重點：完善國家交響樂團</w:t>
            </w:r>
            <w:r w:rsidRPr="001B6E4D">
              <w:rPr>
                <w:rFonts w:hAnsi="標楷體" w:cs="Times New Roman"/>
                <w:color w:val="000000" w:themeColor="text1"/>
                <w:sz w:val="24"/>
                <w:szCs w:val="24"/>
              </w:rPr>
              <w:lastRenderedPageBreak/>
              <w:t>法律定位。）</w:t>
            </w:r>
          </w:p>
        </w:tc>
        <w:tc>
          <w:tcPr>
            <w:tcW w:w="1160" w:type="pct"/>
          </w:tcPr>
          <w:p w14:paraId="5A74489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委員陳培瑜</w:t>
            </w:r>
          </w:p>
          <w:p w14:paraId="3A11682D"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8D65D57"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01AD2D20" w14:textId="62C7A80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（11-3-8）</w:t>
            </w:r>
          </w:p>
        </w:tc>
        <w:tc>
          <w:tcPr>
            <w:tcW w:w="930" w:type="pct"/>
          </w:tcPr>
          <w:p w14:paraId="6BA8CE22" w14:textId="2085CAB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司法及法制、教育及文化</w:t>
            </w:r>
          </w:p>
        </w:tc>
        <w:tc>
          <w:tcPr>
            <w:tcW w:w="795" w:type="pct"/>
          </w:tcPr>
          <w:p w14:paraId="45F8E052" w14:textId="47BEB4D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59B9697E" w14:textId="77777777" w:rsidTr="00853490">
        <w:tc>
          <w:tcPr>
            <w:tcW w:w="308" w:type="pct"/>
          </w:tcPr>
          <w:p w14:paraId="2B5D31CA" w14:textId="3910FC09"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60</w:t>
            </w:r>
          </w:p>
        </w:tc>
        <w:tc>
          <w:tcPr>
            <w:tcW w:w="1807" w:type="pct"/>
          </w:tcPr>
          <w:p w14:paraId="314BEC13" w14:textId="5BA1C95F"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1.廢止「國立中正紀念堂管理處組織法」(廢止重點：考量轉型正義工作的推動與民主深化，</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68B73520"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577DF0E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158EC2EE"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114.10.28</w:t>
            </w:r>
          </w:p>
          <w:p w14:paraId="48AC58A3" w14:textId="20D8DA1D"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（11-4-6）</w:t>
            </w:r>
          </w:p>
        </w:tc>
        <w:tc>
          <w:tcPr>
            <w:tcW w:w="930" w:type="pct"/>
          </w:tcPr>
          <w:p w14:paraId="16D146D9" w14:textId="3A34401C"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7597C04E" w14:textId="018C4725"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4C5B1357" w14:textId="77777777" w:rsidTr="00853490">
        <w:tc>
          <w:tcPr>
            <w:tcW w:w="308" w:type="pct"/>
          </w:tcPr>
          <w:p w14:paraId="6D7B59CC" w14:textId="5D01C63F"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61</w:t>
            </w:r>
          </w:p>
        </w:tc>
        <w:tc>
          <w:tcPr>
            <w:tcW w:w="1807" w:type="pct"/>
          </w:tcPr>
          <w:p w14:paraId="3030DD59" w14:textId="281F5054"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2.廢止「國立中正紀念堂管理處組織法」(廢止重點：為轉型為公共記憶與人權教育空間，</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0" w:type="pct"/>
          </w:tcPr>
          <w:p w14:paraId="5459808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委員張雅琳</w:t>
            </w:r>
          </w:p>
          <w:p w14:paraId="08A3B47A"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0B4F571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115.03.20</w:t>
            </w:r>
          </w:p>
          <w:p w14:paraId="5DA86B15" w14:textId="7DCD75C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w:t>
            </w:r>
          </w:p>
        </w:tc>
        <w:tc>
          <w:tcPr>
            <w:tcW w:w="930" w:type="pct"/>
          </w:tcPr>
          <w:p w14:paraId="2120F6F9" w14:textId="4E2C64BA"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08AF68FB" w14:textId="18212324"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4208FCAE" w14:textId="77777777" w:rsidTr="00853490">
        <w:tc>
          <w:tcPr>
            <w:tcW w:w="308" w:type="pct"/>
          </w:tcPr>
          <w:p w14:paraId="7301544A" w14:textId="6DD287BC"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62</w:t>
            </w:r>
          </w:p>
        </w:tc>
        <w:tc>
          <w:tcPr>
            <w:tcW w:w="1807" w:type="pct"/>
          </w:tcPr>
          <w:p w14:paraId="150B91B9" w14:textId="40AE200C"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1.國立民主教育園區管理處組織法草案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共5條。制定重點：</w:t>
            </w:r>
            <w:proofErr w:type="gramStart"/>
            <w:r w:rsidRPr="001B6E4D">
              <w:rPr>
                <w:rFonts w:hAnsi="標楷體" w:cs="Times New Roman"/>
                <w:color w:val="000000" w:themeColor="text1"/>
                <w:sz w:val="24"/>
                <w:szCs w:val="24"/>
              </w:rPr>
              <w:t>文化部為辦理</w:t>
            </w:r>
            <w:proofErr w:type="gramEnd"/>
            <w:r w:rsidRPr="001B6E4D">
              <w:rPr>
                <w:rFonts w:hAnsi="標楷體" w:cs="Times New Roman"/>
                <w:color w:val="000000" w:themeColor="text1"/>
                <w:sz w:val="24"/>
                <w:szCs w:val="24"/>
              </w:rPr>
              <w:t>政治檔案研究、臺灣轉型正義資料庫維運，以及不義遺址保存相關資料之蒐集、典藏、展覽及藝文推廣活動業務，特設國立民主教育園區管理處。）</w:t>
            </w:r>
          </w:p>
        </w:tc>
        <w:tc>
          <w:tcPr>
            <w:tcW w:w="1160" w:type="pct"/>
          </w:tcPr>
          <w:p w14:paraId="731043C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5205E856"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47AF1591"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114.10.28</w:t>
            </w:r>
          </w:p>
          <w:p w14:paraId="77E21CFA" w14:textId="22DB2BDA"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（11-4-6）</w:t>
            </w:r>
          </w:p>
        </w:tc>
        <w:tc>
          <w:tcPr>
            <w:tcW w:w="930" w:type="pct"/>
          </w:tcPr>
          <w:p w14:paraId="387E9A8E" w14:textId="4D2E0B4F"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6BFC1D9D" w14:textId="7A74A99E"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1C779C14" w14:textId="77777777" w:rsidTr="00853490">
        <w:tc>
          <w:tcPr>
            <w:tcW w:w="308" w:type="pct"/>
          </w:tcPr>
          <w:p w14:paraId="25C3D7E4" w14:textId="33AB7226"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63</w:t>
            </w:r>
          </w:p>
        </w:tc>
        <w:tc>
          <w:tcPr>
            <w:tcW w:w="1807" w:type="pct"/>
          </w:tcPr>
          <w:p w14:paraId="653E0FC8" w14:textId="5346EF33"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2.國家民主教育園區設置條例草案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六章42條。制定重點：為辦理本園區範圍內空間轉型、保存、活化及政治檔案研究、臺灣轉型正義資料庫維運，以及不義遺址保存相關資料之蒐集、典藏、展覽等民主教育推廣活動業務，特設國家民主教育園區，並制定本條例。）</w:t>
            </w:r>
          </w:p>
        </w:tc>
        <w:tc>
          <w:tcPr>
            <w:tcW w:w="1160" w:type="pct"/>
          </w:tcPr>
          <w:p w14:paraId="635357BC"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委員張雅琳</w:t>
            </w:r>
          </w:p>
          <w:p w14:paraId="0F59A9D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7DD4FE62"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115.03.20</w:t>
            </w:r>
          </w:p>
          <w:p w14:paraId="18F05036" w14:textId="6F2FE3AB"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w:t>
            </w:r>
          </w:p>
        </w:tc>
        <w:tc>
          <w:tcPr>
            <w:tcW w:w="930" w:type="pct"/>
          </w:tcPr>
          <w:p w14:paraId="5641F850" w14:textId="1B3E10E2"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3BE006F4" w14:textId="371A6806"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34443C" w:rsidRPr="001B6E4D" w14:paraId="47278B62" w14:textId="77777777" w:rsidTr="00853490">
        <w:tc>
          <w:tcPr>
            <w:tcW w:w="308" w:type="pct"/>
          </w:tcPr>
          <w:p w14:paraId="778E3CD9" w14:textId="531B103B" w:rsidR="0034443C" w:rsidRPr="001B6E4D" w:rsidRDefault="0034443C"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64</w:t>
            </w:r>
          </w:p>
        </w:tc>
        <w:tc>
          <w:tcPr>
            <w:tcW w:w="1807" w:type="pct"/>
          </w:tcPr>
          <w:p w14:paraId="26C15BD3" w14:textId="504A9B46" w:rsidR="0034443C" w:rsidRPr="001B6E4D" w:rsidRDefault="0034443C"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國家樂生醫療人權文化館組織法草案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共5條。制定重點：</w:t>
            </w:r>
            <w:proofErr w:type="gramStart"/>
            <w:r w:rsidRPr="001B6E4D">
              <w:rPr>
                <w:rFonts w:hAnsi="標楷體" w:cs="Times New Roman"/>
                <w:color w:val="000000" w:themeColor="text1"/>
                <w:sz w:val="24"/>
                <w:szCs w:val="24"/>
              </w:rPr>
              <w:t>文化部為推動漢生文資</w:t>
            </w:r>
            <w:proofErr w:type="gramEnd"/>
            <w:r w:rsidRPr="001B6E4D">
              <w:rPr>
                <w:rFonts w:hAnsi="標楷體" w:cs="Times New Roman"/>
                <w:color w:val="000000" w:themeColor="text1"/>
                <w:sz w:val="24"/>
                <w:szCs w:val="24"/>
              </w:rPr>
              <w:t>保存及醫療人權教育，辦理相關研究、典藏、展示及教育推廣等業務，特設國家樂生醫療人權文化館。）</w:t>
            </w:r>
          </w:p>
        </w:tc>
        <w:tc>
          <w:tcPr>
            <w:tcW w:w="1160" w:type="pct"/>
          </w:tcPr>
          <w:p w14:paraId="59339F39"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委員蘇巧慧</w:t>
            </w:r>
          </w:p>
          <w:p w14:paraId="2C7042E5"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69C32853" w14:textId="77777777"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115.06.05</w:t>
            </w:r>
          </w:p>
          <w:p w14:paraId="62EC8564" w14:textId="7EEEEFE2"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（11-5-13）</w:t>
            </w:r>
          </w:p>
        </w:tc>
        <w:tc>
          <w:tcPr>
            <w:tcW w:w="930" w:type="pct"/>
          </w:tcPr>
          <w:p w14:paraId="26C64211" w14:textId="2F75BB58"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司法及法制、教育及文化</w:t>
            </w:r>
          </w:p>
        </w:tc>
        <w:tc>
          <w:tcPr>
            <w:tcW w:w="795" w:type="pct"/>
          </w:tcPr>
          <w:p w14:paraId="1EE15FDE" w14:textId="52A0FDC1" w:rsidR="0034443C" w:rsidRPr="001B6E4D" w:rsidRDefault="0034443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p w14:paraId="6A9B3B25" w14:textId="4DCA17A7" w:rsidR="009B28A5" w:rsidRPr="001B6E4D" w:rsidRDefault="003E1C9F"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bookmarkStart w:id="287" w:name="_Toc136594844"/>
      <w:r w:rsidRPr="001B6E4D">
        <w:rPr>
          <w:color w:val="000000" w:themeColor="text1"/>
          <w:shd w:val="clear" w:color="auto" w:fill="FFFFFF" w:themeFill="background1"/>
        </w:rPr>
        <w:lastRenderedPageBreak/>
        <w:t>7</w:t>
      </w:r>
      <w:r w:rsidR="009B28A5" w:rsidRPr="001B6E4D">
        <w:rPr>
          <w:color w:val="000000" w:themeColor="text1"/>
          <w:shd w:val="clear" w:color="auto" w:fill="FFFFFF" w:themeFill="background1"/>
        </w:rPr>
        <w:t>.本會、交通委員會聯席審查</w:t>
      </w:r>
      <w:r w:rsidR="00F52D9F" w:rsidRPr="001B6E4D">
        <w:rPr>
          <w:color w:val="000000" w:themeColor="text1"/>
          <w:shd w:val="clear" w:color="auto" w:fill="FFFFFF" w:themeFill="background1"/>
        </w:rPr>
        <w:t>22</w:t>
      </w:r>
      <w:r w:rsidR="009B28A5" w:rsidRPr="001B6E4D">
        <w:rPr>
          <w:color w:val="000000" w:themeColor="text1"/>
          <w:shd w:val="clear" w:color="auto" w:fill="FFFFFF" w:themeFill="background1"/>
        </w:rPr>
        <w:t>案</w:t>
      </w:r>
      <w:bookmarkEnd w:id="285"/>
      <w:bookmarkEnd w:id="286"/>
      <w:bookmarkEnd w:id="287"/>
    </w:p>
    <w:tbl>
      <w:tblPr>
        <w:tblStyle w:val="ae"/>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26"/>
        <w:gridCol w:w="3239"/>
        <w:gridCol w:w="2082"/>
        <w:gridCol w:w="1784"/>
        <w:gridCol w:w="1296"/>
      </w:tblGrid>
      <w:tr w:rsidR="00C87651" w:rsidRPr="001B6E4D" w14:paraId="60B7DB20" w14:textId="77777777" w:rsidTr="003E1C9F">
        <w:tc>
          <w:tcPr>
            <w:tcW w:w="295" w:type="pct"/>
            <w:vAlign w:val="center"/>
          </w:tcPr>
          <w:p w14:paraId="6038F11E"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288" w:name="_Toc361217339"/>
            <w:bookmarkStart w:id="289" w:name="_Toc362968399"/>
            <w:r w:rsidRPr="001B6E4D">
              <w:rPr>
                <w:rFonts w:ascii="標楷體" w:eastAsia="標楷體" w:hAnsi="標楷體"/>
                <w:b/>
                <w:color w:val="000000" w:themeColor="text1"/>
                <w:sz w:val="24"/>
                <w:shd w:val="clear" w:color="auto" w:fill="FFFFFF" w:themeFill="background1"/>
              </w:rPr>
              <w:t>序號</w:t>
            </w:r>
          </w:p>
        </w:tc>
        <w:tc>
          <w:tcPr>
            <w:tcW w:w="1814" w:type="pct"/>
            <w:vAlign w:val="center"/>
          </w:tcPr>
          <w:p w14:paraId="0386F20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66" w:type="pct"/>
            <w:vAlign w:val="center"/>
          </w:tcPr>
          <w:p w14:paraId="6AFFC01F"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707A4D5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1EF5C19F"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99" w:type="pct"/>
            <w:vAlign w:val="center"/>
          </w:tcPr>
          <w:p w14:paraId="5511C175"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726" w:type="pct"/>
            <w:vAlign w:val="center"/>
          </w:tcPr>
          <w:p w14:paraId="2537976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F52D9F" w:rsidRPr="001B6E4D" w14:paraId="60F4914D" w14:textId="77777777" w:rsidTr="009C502D">
        <w:tc>
          <w:tcPr>
            <w:tcW w:w="295" w:type="pct"/>
          </w:tcPr>
          <w:p w14:paraId="3034F959" w14:textId="1DA34A6D"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w:t>
            </w:r>
          </w:p>
        </w:tc>
        <w:tc>
          <w:tcPr>
            <w:tcW w:w="1814" w:type="pct"/>
          </w:tcPr>
          <w:p w14:paraId="7B4E8A1E" w14:textId="1C6B0035"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廢止「交通部觀光局組織條例」、「國家風景區管理處組織通則」、「交通部中央氣象局組織條例」、「交通部中央氣象局附屬氣象測報機構組織通則」、「交通部公路總局組織法」、「交通部民用航空局組織條例」、「交通部民用航空局飛航服務總</w:t>
            </w:r>
            <w:proofErr w:type="gramStart"/>
            <w:r w:rsidRPr="001B6E4D">
              <w:rPr>
                <w:rFonts w:ascii="標楷體" w:eastAsia="標楷體" w:hAnsi="標楷體"/>
                <w:color w:val="000000" w:themeColor="text1"/>
                <w:sz w:val="24"/>
              </w:rPr>
              <w:t>臺</w:t>
            </w:r>
            <w:proofErr w:type="gramEnd"/>
            <w:r w:rsidRPr="001B6E4D">
              <w:rPr>
                <w:rFonts w:ascii="標楷體" w:eastAsia="標楷體" w:hAnsi="標楷體"/>
                <w:color w:val="000000" w:themeColor="text1"/>
                <w:sz w:val="24"/>
              </w:rPr>
              <w:t>組織條例」、「交通部民用航空局民航人員訓練所組織條例」、「交通部民用航空局所屬航空站組織通則」、「交通部運輸研究所組織條例」及「交通部航政局組織法」(廢止重點：配合組織調整作業，交通部暨所屬三級機關（構）組織法業於112年9月15日施行，應配合辦理廢止。)</w:t>
            </w:r>
          </w:p>
        </w:tc>
        <w:tc>
          <w:tcPr>
            <w:tcW w:w="1166" w:type="pct"/>
          </w:tcPr>
          <w:p w14:paraId="4FF3A51B"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w:t>
            </w:r>
          </w:p>
          <w:p w14:paraId="5111CAF5"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0F15A959" w14:textId="32A4042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（11-1-3）</w:t>
            </w:r>
          </w:p>
        </w:tc>
        <w:tc>
          <w:tcPr>
            <w:tcW w:w="999" w:type="pct"/>
          </w:tcPr>
          <w:p w14:paraId="4D0E65F7" w14:textId="59401C44"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3C6A9C22" w14:textId="0B893D3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5262ED07" w14:textId="77777777" w:rsidTr="003E1C9F">
        <w:tc>
          <w:tcPr>
            <w:tcW w:w="295" w:type="pct"/>
          </w:tcPr>
          <w:p w14:paraId="7517ADF6" w14:textId="7104CF47"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w:t>
            </w:r>
          </w:p>
        </w:tc>
        <w:tc>
          <w:tcPr>
            <w:tcW w:w="1814" w:type="pct"/>
          </w:tcPr>
          <w:p w14:paraId="2879B359" w14:textId="2D16A318"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2.廢止「交通部觀光局組織條例」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廢止重點：交通部觀光局已改制為觀光署。）</w:t>
            </w:r>
          </w:p>
        </w:tc>
        <w:tc>
          <w:tcPr>
            <w:tcW w:w="1166" w:type="pct"/>
          </w:tcPr>
          <w:p w14:paraId="1B3E8376"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委員陳素月</w:t>
            </w:r>
          </w:p>
          <w:p w14:paraId="4845FA2B"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F9B1538"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5FE23645" w14:textId="3B89D7C4"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（11-1-7）</w:t>
            </w:r>
          </w:p>
        </w:tc>
        <w:tc>
          <w:tcPr>
            <w:tcW w:w="999" w:type="pct"/>
          </w:tcPr>
          <w:p w14:paraId="0448E636" w14:textId="28B0889A"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7BB463BB" w14:textId="09DC238B"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6DE3ABE5" w14:textId="77777777" w:rsidTr="003E1C9F">
        <w:tc>
          <w:tcPr>
            <w:tcW w:w="295" w:type="pct"/>
          </w:tcPr>
          <w:p w14:paraId="008A8046" w14:textId="5004B48B"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w:t>
            </w:r>
          </w:p>
        </w:tc>
        <w:tc>
          <w:tcPr>
            <w:tcW w:w="1814" w:type="pct"/>
          </w:tcPr>
          <w:p w14:paraId="5C67BCD1" w14:textId="1079EB00"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3.廢止「交通部觀光局組織條例」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廢止重點：觀光局已升格為觀光署。）</w:t>
            </w:r>
          </w:p>
        </w:tc>
        <w:tc>
          <w:tcPr>
            <w:tcW w:w="1166" w:type="pct"/>
          </w:tcPr>
          <w:p w14:paraId="1B160682"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委員林思銘</w:t>
            </w:r>
          </w:p>
          <w:p w14:paraId="37046FBC"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03F5637"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115.01.30</w:t>
            </w:r>
          </w:p>
          <w:p w14:paraId="2024210C" w14:textId="58DB4A6E"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（11-4-20）</w:t>
            </w:r>
          </w:p>
        </w:tc>
        <w:tc>
          <w:tcPr>
            <w:tcW w:w="999" w:type="pct"/>
          </w:tcPr>
          <w:p w14:paraId="251498EF" w14:textId="30461961"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223BDEEB" w14:textId="4EAFDCED"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1573C116" w14:textId="77777777" w:rsidTr="003E1C9F">
        <w:tc>
          <w:tcPr>
            <w:tcW w:w="295" w:type="pct"/>
          </w:tcPr>
          <w:p w14:paraId="524657D1" w14:textId="6C0D427A"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w:t>
            </w:r>
          </w:p>
        </w:tc>
        <w:tc>
          <w:tcPr>
            <w:tcW w:w="1814" w:type="pct"/>
          </w:tcPr>
          <w:p w14:paraId="6FA3CEDB" w14:textId="75A4BF34"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4.廢止「交通部觀光局組織條例」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廢止重點：觀光局改制為觀光署。）</w:t>
            </w:r>
          </w:p>
        </w:tc>
        <w:tc>
          <w:tcPr>
            <w:tcW w:w="1166" w:type="pct"/>
          </w:tcPr>
          <w:p w14:paraId="069911DA"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394E9E7B"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182296B3"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115.05.15</w:t>
            </w:r>
          </w:p>
          <w:p w14:paraId="5F6CD324" w14:textId="01FC057B"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（11-5-10）</w:t>
            </w:r>
          </w:p>
        </w:tc>
        <w:tc>
          <w:tcPr>
            <w:tcW w:w="999" w:type="pct"/>
          </w:tcPr>
          <w:p w14:paraId="6CED0037" w14:textId="6ED9B3BD"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5B2E2CA6" w14:textId="67214B1B"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7B75DA26" w14:textId="77777777" w:rsidTr="003E1C9F">
        <w:tc>
          <w:tcPr>
            <w:tcW w:w="295" w:type="pct"/>
          </w:tcPr>
          <w:p w14:paraId="14C3283C" w14:textId="78AF3919"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w:t>
            </w:r>
          </w:p>
        </w:tc>
        <w:tc>
          <w:tcPr>
            <w:tcW w:w="1814" w:type="pct"/>
          </w:tcPr>
          <w:p w14:paraId="1DEB44F7" w14:textId="10897049"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5.廢止「交通部觀光局組織條例」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廢止重點：觀光局</w:t>
            </w:r>
            <w:r w:rsidRPr="001B6E4D">
              <w:rPr>
                <w:rFonts w:hAnsi="標楷體" w:cs="Times New Roman"/>
                <w:color w:val="000000" w:themeColor="text1"/>
                <w:sz w:val="24"/>
                <w:szCs w:val="24"/>
              </w:rPr>
              <w:lastRenderedPageBreak/>
              <w:t>改制為觀光署。）</w:t>
            </w:r>
          </w:p>
        </w:tc>
        <w:tc>
          <w:tcPr>
            <w:tcW w:w="1166" w:type="pct"/>
          </w:tcPr>
          <w:p w14:paraId="7701C169"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委員葉元之</w:t>
            </w:r>
          </w:p>
          <w:p w14:paraId="1965DA66"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73783B44"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115.06.12</w:t>
            </w:r>
          </w:p>
          <w:p w14:paraId="172C786A" w14:textId="6686931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（11-5-14）</w:t>
            </w:r>
          </w:p>
        </w:tc>
        <w:tc>
          <w:tcPr>
            <w:tcW w:w="999" w:type="pct"/>
          </w:tcPr>
          <w:p w14:paraId="20142837" w14:textId="66A5A6BA"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司法及法制、交通</w:t>
            </w:r>
          </w:p>
        </w:tc>
        <w:tc>
          <w:tcPr>
            <w:tcW w:w="726" w:type="pct"/>
          </w:tcPr>
          <w:p w14:paraId="4057982D" w14:textId="42235702"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17A72493" w14:textId="77777777" w:rsidTr="003E1C9F">
        <w:tc>
          <w:tcPr>
            <w:tcW w:w="295" w:type="pct"/>
          </w:tcPr>
          <w:p w14:paraId="733EE1E8" w14:textId="4D90CB7D"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6</w:t>
            </w:r>
          </w:p>
        </w:tc>
        <w:tc>
          <w:tcPr>
            <w:tcW w:w="1814" w:type="pct"/>
          </w:tcPr>
          <w:p w14:paraId="4E6D7618" w14:textId="693B95E6"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6.廢止「交通部觀光局組織條例」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廢止重點：交通部及所屬三級機關組織法已施行，</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6" w:type="pct"/>
          </w:tcPr>
          <w:p w14:paraId="4E17A4F1"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7C1F96A0"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62E27999"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115.06.12</w:t>
            </w:r>
          </w:p>
          <w:p w14:paraId="5820590C" w14:textId="255FDDFE"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（11-5-14）</w:t>
            </w:r>
          </w:p>
        </w:tc>
        <w:tc>
          <w:tcPr>
            <w:tcW w:w="999" w:type="pct"/>
          </w:tcPr>
          <w:p w14:paraId="6C050264" w14:textId="07E888B1"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173998C9" w14:textId="25457C2F"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443E6BBC" w14:textId="77777777" w:rsidTr="003E1C9F">
        <w:tc>
          <w:tcPr>
            <w:tcW w:w="295" w:type="pct"/>
          </w:tcPr>
          <w:p w14:paraId="07313D4D" w14:textId="73B353DB"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7</w:t>
            </w:r>
          </w:p>
        </w:tc>
        <w:tc>
          <w:tcPr>
            <w:tcW w:w="1814" w:type="pct"/>
          </w:tcPr>
          <w:p w14:paraId="07097417" w14:textId="71AB99CA"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7.廢止「交通部觀光局組織條例」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廢止重點：觀光局已改制為觀光署，</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6" w:type="pct"/>
          </w:tcPr>
          <w:p w14:paraId="7C03273C"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委員謝衣</w:t>
            </w:r>
            <w:r w:rsidRPr="001B6E4D">
              <w:rPr>
                <w:rFonts w:ascii="標楷體" w:eastAsia="標楷體" w:hAnsi="標楷體" w:hint="eastAsia"/>
                <w:color w:val="000000" w:themeColor="text1"/>
                <w:sz w:val="24"/>
              </w:rPr>
              <w:t>鳯</w:t>
            </w:r>
          </w:p>
          <w:p w14:paraId="20051FEF"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16人</w:t>
            </w:r>
          </w:p>
          <w:p w14:paraId="7FA6E677"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2D7254BE" w14:textId="40E470D8"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11-5-23）</w:t>
            </w:r>
          </w:p>
        </w:tc>
        <w:tc>
          <w:tcPr>
            <w:tcW w:w="999" w:type="pct"/>
          </w:tcPr>
          <w:p w14:paraId="1629D285" w14:textId="5CA25C32"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5D7DF575" w14:textId="353A5CC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5C715163" w14:textId="77777777" w:rsidTr="003E1C9F">
        <w:tc>
          <w:tcPr>
            <w:tcW w:w="295" w:type="pct"/>
          </w:tcPr>
          <w:p w14:paraId="0232CECF" w14:textId="4FE4CF8C"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8</w:t>
            </w:r>
          </w:p>
        </w:tc>
        <w:tc>
          <w:tcPr>
            <w:tcW w:w="1814" w:type="pct"/>
          </w:tcPr>
          <w:p w14:paraId="72347F89" w14:textId="133DFCE5"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2.廢止「交通部中央氣象局組織條例」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廢止重點：中央氣象局已升格為中央氣象署，</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6" w:type="pct"/>
          </w:tcPr>
          <w:p w14:paraId="5839456A"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委員林思銘</w:t>
            </w:r>
          </w:p>
          <w:p w14:paraId="2828CD33"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4054E143"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115.01.30</w:t>
            </w:r>
          </w:p>
          <w:p w14:paraId="5891DAB9" w14:textId="1352A8F9"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（11-4-20）</w:t>
            </w:r>
          </w:p>
        </w:tc>
        <w:tc>
          <w:tcPr>
            <w:tcW w:w="999" w:type="pct"/>
          </w:tcPr>
          <w:p w14:paraId="6E80CA83" w14:textId="76A1149E"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5DE60597" w14:textId="63BAE5A0"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7614BA30" w14:textId="77777777" w:rsidTr="003E1C9F">
        <w:tc>
          <w:tcPr>
            <w:tcW w:w="295" w:type="pct"/>
          </w:tcPr>
          <w:p w14:paraId="4E855777" w14:textId="172E35CE"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9</w:t>
            </w:r>
          </w:p>
        </w:tc>
        <w:tc>
          <w:tcPr>
            <w:tcW w:w="1814" w:type="pct"/>
          </w:tcPr>
          <w:p w14:paraId="6C793D08" w14:textId="4DBC4D54"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3.廢止「交通部中央氣象局組織條例」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廢止重點：交通部及所屬三級機關組織法已施行，</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6" w:type="pct"/>
          </w:tcPr>
          <w:p w14:paraId="3AB23958"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624EB1FE"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000F52FD"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115.06.26</w:t>
            </w:r>
          </w:p>
          <w:p w14:paraId="02273CB8" w14:textId="66EF7519"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（11-5-15）</w:t>
            </w:r>
          </w:p>
        </w:tc>
        <w:tc>
          <w:tcPr>
            <w:tcW w:w="999" w:type="pct"/>
          </w:tcPr>
          <w:p w14:paraId="36510608" w14:textId="4D53903B"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5D613AAC" w14:textId="0549C82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1C6F1838" w14:textId="77777777" w:rsidTr="003E1C9F">
        <w:tc>
          <w:tcPr>
            <w:tcW w:w="295" w:type="pct"/>
          </w:tcPr>
          <w:p w14:paraId="2790262B" w14:textId="09D20A57"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10</w:t>
            </w:r>
          </w:p>
        </w:tc>
        <w:tc>
          <w:tcPr>
            <w:tcW w:w="1814" w:type="pct"/>
          </w:tcPr>
          <w:p w14:paraId="601519AF" w14:textId="036FF28C"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4.廢止「交通部中央氣象局組織條例」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廢止重點：交通部及所屬三級機關組織法已施行，</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6" w:type="pct"/>
          </w:tcPr>
          <w:p w14:paraId="5A184B2D"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委員謝衣</w:t>
            </w:r>
            <w:r w:rsidRPr="001B6E4D">
              <w:rPr>
                <w:rFonts w:ascii="標楷體" w:eastAsia="標楷體" w:hAnsi="標楷體" w:hint="eastAsia"/>
                <w:color w:val="000000" w:themeColor="text1"/>
                <w:sz w:val="24"/>
              </w:rPr>
              <w:t>鳯</w:t>
            </w:r>
          </w:p>
          <w:p w14:paraId="7108DBFB"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16人</w:t>
            </w:r>
          </w:p>
          <w:p w14:paraId="7BEC15D4"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24873527" w14:textId="2B0E6AB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11-5-23）</w:t>
            </w:r>
          </w:p>
        </w:tc>
        <w:tc>
          <w:tcPr>
            <w:tcW w:w="999" w:type="pct"/>
          </w:tcPr>
          <w:p w14:paraId="720EE631" w14:textId="79E5D826"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40A1DB83" w14:textId="463514D5"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0E6F4A6F" w14:textId="77777777" w:rsidTr="003E1C9F">
        <w:tc>
          <w:tcPr>
            <w:tcW w:w="295" w:type="pct"/>
          </w:tcPr>
          <w:p w14:paraId="2EF24001" w14:textId="5E873EC4"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11</w:t>
            </w:r>
          </w:p>
        </w:tc>
        <w:tc>
          <w:tcPr>
            <w:tcW w:w="1814" w:type="pct"/>
          </w:tcPr>
          <w:p w14:paraId="1E8E26E1" w14:textId="057FD91F"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2.廢止「交通部公路總局組織法」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廢止重點：已更名為公路局，</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6" w:type="pct"/>
          </w:tcPr>
          <w:p w14:paraId="14B92DAA"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委員林思銘</w:t>
            </w:r>
          </w:p>
          <w:p w14:paraId="1F199D77"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4BA9561"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4E764846" w14:textId="75017816"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99" w:type="pct"/>
          </w:tcPr>
          <w:p w14:paraId="2ABF8AA9" w14:textId="5468D9A1"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11373815" w14:textId="5571D638"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1E12D255" w14:textId="77777777" w:rsidTr="003E1C9F">
        <w:tc>
          <w:tcPr>
            <w:tcW w:w="295" w:type="pct"/>
          </w:tcPr>
          <w:p w14:paraId="5E807588" w14:textId="531BC585"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12</w:t>
            </w:r>
          </w:p>
        </w:tc>
        <w:tc>
          <w:tcPr>
            <w:tcW w:w="1814" w:type="pct"/>
          </w:tcPr>
          <w:p w14:paraId="0129C11F" w14:textId="6B755375"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3.廢止「交通部公路總局組織法」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廢止重點：已更名為公路局，</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6" w:type="pct"/>
          </w:tcPr>
          <w:p w14:paraId="0F0FAF09"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委員謝衣</w:t>
            </w:r>
            <w:r w:rsidRPr="001B6E4D">
              <w:rPr>
                <w:rFonts w:ascii="標楷體" w:eastAsia="標楷體" w:hAnsi="標楷體" w:hint="eastAsia"/>
                <w:color w:val="000000" w:themeColor="text1"/>
                <w:sz w:val="24"/>
              </w:rPr>
              <w:t>鳯</w:t>
            </w:r>
          </w:p>
          <w:p w14:paraId="67BAA5BD"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16人</w:t>
            </w:r>
          </w:p>
          <w:p w14:paraId="7E7529B6"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39E26627" w14:textId="6FCE141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11-5-23）</w:t>
            </w:r>
          </w:p>
        </w:tc>
        <w:tc>
          <w:tcPr>
            <w:tcW w:w="999" w:type="pct"/>
          </w:tcPr>
          <w:p w14:paraId="3D75C03C" w14:textId="4FE5A2A0"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695C8979" w14:textId="379CC019"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0EF3DC3D" w14:textId="77777777" w:rsidTr="003E1C9F">
        <w:tc>
          <w:tcPr>
            <w:tcW w:w="295" w:type="pct"/>
          </w:tcPr>
          <w:p w14:paraId="76695ABE" w14:textId="3C54C3A3"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13</w:t>
            </w:r>
          </w:p>
        </w:tc>
        <w:tc>
          <w:tcPr>
            <w:tcW w:w="1814" w:type="pct"/>
          </w:tcPr>
          <w:p w14:paraId="42CB230F" w14:textId="1AE215E4"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2.交通部民用航空局所屬航空站組織通則部分條文修正草案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修正§5~9。修正重點：增列護理師職務並分別明定其列等。）</w:t>
            </w:r>
          </w:p>
        </w:tc>
        <w:tc>
          <w:tcPr>
            <w:tcW w:w="1166" w:type="pct"/>
          </w:tcPr>
          <w:p w14:paraId="6E6E7EDA"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200565C9"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115.03.13</w:t>
            </w:r>
          </w:p>
          <w:p w14:paraId="060CCFFE" w14:textId="0A1E9BC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（11-5-3）</w:t>
            </w:r>
          </w:p>
        </w:tc>
        <w:tc>
          <w:tcPr>
            <w:tcW w:w="999" w:type="pct"/>
          </w:tcPr>
          <w:p w14:paraId="3493F913" w14:textId="534AC6E8"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2BC7116A" w14:textId="76BD9329"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490C2CCD" w14:textId="77777777" w:rsidTr="003E1C9F">
        <w:tc>
          <w:tcPr>
            <w:tcW w:w="295" w:type="pct"/>
          </w:tcPr>
          <w:p w14:paraId="77E875CA" w14:textId="731F92F4"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14</w:t>
            </w:r>
          </w:p>
        </w:tc>
        <w:tc>
          <w:tcPr>
            <w:tcW w:w="1814" w:type="pct"/>
          </w:tcPr>
          <w:p w14:paraId="2BFBBBB9" w14:textId="1D559CB8"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2.廢止「交通部航政局組織法」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廢止重點：鑒於政府組織調整作業，</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w:t>
            </w:r>
            <w:r w:rsidRPr="001B6E4D">
              <w:rPr>
                <w:rFonts w:hAnsi="標楷體" w:cs="Times New Roman"/>
                <w:color w:val="000000" w:themeColor="text1"/>
                <w:sz w:val="24"/>
                <w:szCs w:val="24"/>
              </w:rPr>
              <w:lastRenderedPageBreak/>
              <w:t>止。）</w:t>
            </w:r>
          </w:p>
        </w:tc>
        <w:tc>
          <w:tcPr>
            <w:tcW w:w="1166" w:type="pct"/>
          </w:tcPr>
          <w:p w14:paraId="7869FEE8"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委員林思銘</w:t>
            </w:r>
          </w:p>
          <w:p w14:paraId="1564EFBD"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5C4DD709"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735D6D10" w14:textId="313F6902"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（11-5-6）</w:t>
            </w:r>
          </w:p>
        </w:tc>
        <w:tc>
          <w:tcPr>
            <w:tcW w:w="999" w:type="pct"/>
          </w:tcPr>
          <w:p w14:paraId="622DFC3E" w14:textId="68AC4B6A"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司法及法制、交通</w:t>
            </w:r>
          </w:p>
        </w:tc>
        <w:tc>
          <w:tcPr>
            <w:tcW w:w="726" w:type="pct"/>
          </w:tcPr>
          <w:p w14:paraId="1932B310" w14:textId="34D60B9B"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160C6010" w14:textId="77777777" w:rsidTr="003E1C9F">
        <w:tc>
          <w:tcPr>
            <w:tcW w:w="295" w:type="pct"/>
          </w:tcPr>
          <w:p w14:paraId="06C4C575" w14:textId="73CE12D6"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15</w:t>
            </w:r>
          </w:p>
        </w:tc>
        <w:tc>
          <w:tcPr>
            <w:tcW w:w="1814" w:type="pct"/>
          </w:tcPr>
          <w:p w14:paraId="45D7D705" w14:textId="43B59174"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3.廢止「交通部航政局組織法」</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廢止重點：原業務已改由航港局承受與辦理，</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6" w:type="pct"/>
          </w:tcPr>
          <w:p w14:paraId="2799F6C5"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委員謝衣</w:t>
            </w:r>
            <w:r w:rsidRPr="001B6E4D">
              <w:rPr>
                <w:rFonts w:ascii="標楷體" w:eastAsia="標楷體" w:hAnsi="標楷體" w:hint="eastAsia"/>
                <w:color w:val="000000" w:themeColor="text1"/>
                <w:sz w:val="24"/>
              </w:rPr>
              <w:t>鳯</w:t>
            </w:r>
          </w:p>
          <w:p w14:paraId="589C9F0F"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16人</w:t>
            </w:r>
          </w:p>
          <w:p w14:paraId="0B8EE4D5"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0460B988" w14:textId="03ED85D1"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11-5-23）</w:t>
            </w:r>
          </w:p>
        </w:tc>
        <w:tc>
          <w:tcPr>
            <w:tcW w:w="999" w:type="pct"/>
          </w:tcPr>
          <w:p w14:paraId="0DBA3A4D" w14:textId="4A334C83"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3C5B4FAC" w14:textId="2D0B102A"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11E3707A" w14:textId="77777777" w:rsidTr="003E1C9F">
        <w:tc>
          <w:tcPr>
            <w:tcW w:w="295" w:type="pct"/>
          </w:tcPr>
          <w:p w14:paraId="463AE301" w14:textId="5D5EB9CE"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16</w:t>
            </w:r>
          </w:p>
        </w:tc>
        <w:tc>
          <w:tcPr>
            <w:tcW w:w="1814" w:type="pct"/>
          </w:tcPr>
          <w:p w14:paraId="5C2385E3" w14:textId="160B0A9A"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廢止「交通部臺灣區國道高速公路局組織條例」、「交通部公路總局各區養護工程處組織通則」、「交通部公路總局各區監理所組織通則」、「交通部公路總局材料試驗所組織條例」、「交通部基隆港務局棧埠管理處組織條例」、「交通部基隆港務局港埠工程處組織條例」、「交通部基隆港務局船舶機械修造工廠組織條例」、「交通部基隆港務局船舶管理所組織條例」、「交通部基隆港務局蘇澳港分局組織條例」、「交通部基隆港務局臺北港分局組織條例」、「交通部臺中港務局棧埠管理處組織條例」、「交通部臺中港務局港埠工程處組織條例」、「交通部臺中港務局船舶機械修造工廠組織條例」、「交通部高雄港務局棧埠管理處組織條例」、「交通部高雄港務局港埠工程處組織條例」、「交通部高雄港務局船舶機械修造工廠組織條例」、「交通部高雄港務局各地辦事處組織通則」、「交通部高雄港務局安平港分局組織條例」、「交通部花蓮港務局棧埠管理處組織條例」及</w:t>
            </w:r>
            <w:r w:rsidRPr="001B6E4D">
              <w:rPr>
                <w:rFonts w:hAnsi="標楷體" w:cs="Times New Roman"/>
                <w:color w:val="000000" w:themeColor="text1"/>
                <w:sz w:val="24"/>
                <w:szCs w:val="24"/>
              </w:rPr>
              <w:lastRenderedPageBreak/>
              <w:t>「交通部花蓮港務局港埠工程處組織條例」(廢止重點：配合組織調整作業，原臺灣區國道高速公路局與臺灣區國道新建工程局整</w:t>
            </w:r>
            <w:proofErr w:type="gramStart"/>
            <w:r w:rsidRPr="001B6E4D">
              <w:rPr>
                <w:rFonts w:hAnsi="標楷體" w:cs="Times New Roman"/>
                <w:color w:val="000000" w:themeColor="text1"/>
                <w:sz w:val="24"/>
                <w:szCs w:val="24"/>
              </w:rPr>
              <w:t>併</w:t>
            </w:r>
            <w:proofErr w:type="gramEnd"/>
            <w:r w:rsidRPr="001B6E4D">
              <w:rPr>
                <w:rFonts w:hAnsi="標楷體" w:cs="Times New Roman"/>
                <w:color w:val="000000" w:themeColor="text1"/>
                <w:sz w:val="24"/>
                <w:szCs w:val="24"/>
              </w:rPr>
              <w:t>為高速公路局，另配合「交通部公路總局組織條例」修正為「交通部公路總局組織法」，公路總局所屬機關組織法規於107年1月15日施行；交通部基隆、</w:t>
            </w:r>
            <w:proofErr w:type="gramStart"/>
            <w:r w:rsidRPr="001B6E4D">
              <w:rPr>
                <w:rFonts w:hAnsi="標楷體" w:cs="Times New Roman"/>
                <w:color w:val="000000" w:themeColor="text1"/>
                <w:sz w:val="24"/>
                <w:szCs w:val="24"/>
              </w:rPr>
              <w:t>臺</w:t>
            </w:r>
            <w:proofErr w:type="gramEnd"/>
            <w:r w:rsidRPr="001B6E4D">
              <w:rPr>
                <w:rFonts w:hAnsi="標楷體" w:cs="Times New Roman"/>
                <w:color w:val="000000" w:themeColor="text1"/>
                <w:sz w:val="24"/>
                <w:szCs w:val="24"/>
              </w:rPr>
              <w:t>中、高雄、花蓮港務局組織條例業經106年11月22日公布廢止，依各該組織條例制定之「交通部基隆港務局棧埠管理處組織條例」等16項組織法律，已失其依據，應配合辦理廢止。)</w:t>
            </w:r>
          </w:p>
        </w:tc>
        <w:tc>
          <w:tcPr>
            <w:tcW w:w="1166" w:type="pct"/>
          </w:tcPr>
          <w:p w14:paraId="40A2659A"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行政院</w:t>
            </w:r>
          </w:p>
          <w:p w14:paraId="31208C81"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59D43E37" w14:textId="48BAF63F"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（11-1-3）</w:t>
            </w:r>
          </w:p>
        </w:tc>
        <w:tc>
          <w:tcPr>
            <w:tcW w:w="999" w:type="pct"/>
          </w:tcPr>
          <w:p w14:paraId="3E639B46" w14:textId="4785B05E"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0E48975D" w14:textId="6ECBEC0C"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7DB05A78" w14:textId="77777777" w:rsidTr="003E1C9F">
        <w:tc>
          <w:tcPr>
            <w:tcW w:w="295" w:type="pct"/>
          </w:tcPr>
          <w:p w14:paraId="0CD82831" w14:textId="718BAE65"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17</w:t>
            </w:r>
          </w:p>
        </w:tc>
        <w:tc>
          <w:tcPr>
            <w:tcW w:w="1814" w:type="pct"/>
          </w:tcPr>
          <w:p w14:paraId="5B8AA3AF" w14:textId="16AE3BD3"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2.廢止「交通部臺灣區國道高速公路局組織條例」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廢止重點：交通部高速公路局組織法已經公布施行，</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6" w:type="pct"/>
          </w:tcPr>
          <w:p w14:paraId="3539CD1E"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委員邱志偉</w:t>
            </w:r>
          </w:p>
          <w:p w14:paraId="057ECBF9"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6C63BB4A"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113.10.18</w:t>
            </w:r>
          </w:p>
          <w:p w14:paraId="70B66024" w14:textId="4914E9B0"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（11-2-5）</w:t>
            </w:r>
          </w:p>
        </w:tc>
        <w:tc>
          <w:tcPr>
            <w:tcW w:w="999" w:type="pct"/>
          </w:tcPr>
          <w:p w14:paraId="1F9330AD" w14:textId="4255DCAE"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6CBF3064" w14:textId="72FFCD95"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558F0C51" w14:textId="77777777" w:rsidTr="003E1C9F">
        <w:tc>
          <w:tcPr>
            <w:tcW w:w="295" w:type="pct"/>
          </w:tcPr>
          <w:p w14:paraId="5E27AA1F" w14:textId="6BD862EE"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18</w:t>
            </w:r>
          </w:p>
        </w:tc>
        <w:tc>
          <w:tcPr>
            <w:tcW w:w="1814" w:type="pct"/>
          </w:tcPr>
          <w:p w14:paraId="32B65209" w14:textId="67583513"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國家運輸安全調查委員會組織法第一條及第三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條文修正草案(修正重點：納入太空事故調查為業務職掌。)</w:t>
            </w:r>
          </w:p>
        </w:tc>
        <w:tc>
          <w:tcPr>
            <w:tcW w:w="1166" w:type="pct"/>
          </w:tcPr>
          <w:p w14:paraId="3DF91A68"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委員李柏毅</w:t>
            </w:r>
          </w:p>
          <w:p w14:paraId="1876CEF7"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20EEA2A3"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113.03.22</w:t>
            </w:r>
          </w:p>
          <w:p w14:paraId="1775F6E4" w14:textId="7DE216EF"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（11-1-6）</w:t>
            </w:r>
          </w:p>
        </w:tc>
        <w:tc>
          <w:tcPr>
            <w:tcW w:w="999" w:type="pct"/>
          </w:tcPr>
          <w:p w14:paraId="238D5794" w14:textId="6596D93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00659EF0" w14:textId="6717FFB3"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74766705" w14:textId="77777777" w:rsidTr="003E1C9F">
        <w:tc>
          <w:tcPr>
            <w:tcW w:w="295" w:type="pct"/>
          </w:tcPr>
          <w:p w14:paraId="371AEFAD" w14:textId="7D5B30E6"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19</w:t>
            </w:r>
          </w:p>
        </w:tc>
        <w:tc>
          <w:tcPr>
            <w:tcW w:w="1814" w:type="pct"/>
          </w:tcPr>
          <w:p w14:paraId="1F69A155" w14:textId="2E6FD660"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國家運輸安全調查委員會組織法第八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條文修正草案(修正重點：針對實際執行調查業務之人員，得比照教育人員任用條例相關規定聘任之。)</w:t>
            </w:r>
          </w:p>
        </w:tc>
        <w:tc>
          <w:tcPr>
            <w:tcW w:w="1166" w:type="pct"/>
          </w:tcPr>
          <w:p w14:paraId="137FED3B"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委員蔡其昌</w:t>
            </w:r>
          </w:p>
          <w:p w14:paraId="2DBCA76F"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39700D3D"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114.03.21</w:t>
            </w:r>
          </w:p>
          <w:p w14:paraId="325EF96B" w14:textId="1AB8B4AE"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（11-3-6）</w:t>
            </w:r>
          </w:p>
        </w:tc>
        <w:tc>
          <w:tcPr>
            <w:tcW w:w="999" w:type="pct"/>
          </w:tcPr>
          <w:p w14:paraId="009358EA" w14:textId="3AF830AE"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2FC6B0B9" w14:textId="5E706943"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78ECF3F1" w14:textId="77777777" w:rsidTr="003E1C9F">
        <w:tc>
          <w:tcPr>
            <w:tcW w:w="295" w:type="pct"/>
          </w:tcPr>
          <w:p w14:paraId="425E07B1" w14:textId="35575B17"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20</w:t>
            </w:r>
          </w:p>
        </w:tc>
        <w:tc>
          <w:tcPr>
            <w:tcW w:w="1814" w:type="pct"/>
          </w:tcPr>
          <w:p w14:paraId="2C59ECF1" w14:textId="734E429D"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國家通訊傳播委員會組織法第四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修正重點：若委員任期屆滿而未能依</w:t>
            </w:r>
            <w:proofErr w:type="gramStart"/>
            <w:r w:rsidRPr="001B6E4D">
              <w:rPr>
                <w:rFonts w:hAnsi="標楷體" w:cs="Times New Roman"/>
                <w:color w:val="000000" w:themeColor="text1"/>
                <w:sz w:val="24"/>
                <w:szCs w:val="24"/>
              </w:rPr>
              <w:t>規定提任新任</w:t>
            </w:r>
            <w:proofErr w:type="gramEnd"/>
            <w:r w:rsidRPr="001B6E4D">
              <w:rPr>
                <w:rFonts w:hAnsi="標楷體" w:cs="Times New Roman"/>
                <w:color w:val="000000" w:themeColor="text1"/>
                <w:sz w:val="24"/>
                <w:szCs w:val="24"/>
              </w:rPr>
              <w:t>委員，原任委員需經立法院同意方能</w:t>
            </w:r>
            <w:r w:rsidRPr="001B6E4D">
              <w:rPr>
                <w:rFonts w:hAnsi="標楷體" w:cs="Times New Roman"/>
                <w:color w:val="000000" w:themeColor="text1"/>
                <w:sz w:val="24"/>
                <w:szCs w:val="24"/>
              </w:rPr>
              <w:lastRenderedPageBreak/>
              <w:t>延任至新任委員就職前一日。）</w:t>
            </w:r>
          </w:p>
        </w:tc>
        <w:tc>
          <w:tcPr>
            <w:tcW w:w="1166" w:type="pct"/>
          </w:tcPr>
          <w:p w14:paraId="1C5E8942"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委員葉元之</w:t>
            </w:r>
          </w:p>
          <w:p w14:paraId="71C46524"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166910D0"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113.07.12</w:t>
            </w:r>
          </w:p>
          <w:p w14:paraId="10E392A6" w14:textId="57B6C36B"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（11-1-22）</w:t>
            </w:r>
          </w:p>
        </w:tc>
        <w:tc>
          <w:tcPr>
            <w:tcW w:w="999" w:type="pct"/>
          </w:tcPr>
          <w:p w14:paraId="057DAD85" w14:textId="1973C121"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4176782B" w14:textId="08C4DFFD"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1FF1FA8E" w14:textId="77777777" w:rsidTr="003E1C9F">
        <w:tc>
          <w:tcPr>
            <w:tcW w:w="295" w:type="pct"/>
          </w:tcPr>
          <w:p w14:paraId="2ECD72B9" w14:textId="2125E916"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21</w:t>
            </w:r>
          </w:p>
        </w:tc>
        <w:tc>
          <w:tcPr>
            <w:tcW w:w="1814" w:type="pct"/>
          </w:tcPr>
          <w:p w14:paraId="1AB6FDDF" w14:textId="466BC01E"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國家通訊傳播委員會組織法第五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修正重點：代理主任委員期間不得逾6個月，且卸任代理主任委員之委員不得再代理主任委員。）</w:t>
            </w:r>
          </w:p>
        </w:tc>
        <w:tc>
          <w:tcPr>
            <w:tcW w:w="1166" w:type="pct"/>
          </w:tcPr>
          <w:p w14:paraId="2EB6118C"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19CBE8C0"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EACCCC4"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115.05.29</w:t>
            </w:r>
          </w:p>
          <w:p w14:paraId="7936259B" w14:textId="06384BD4"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（11-5-12）</w:t>
            </w:r>
          </w:p>
        </w:tc>
        <w:tc>
          <w:tcPr>
            <w:tcW w:w="999" w:type="pct"/>
          </w:tcPr>
          <w:p w14:paraId="2D4DA418" w14:textId="38C1C893"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169CFF11" w14:textId="7D3890F5"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52D9F" w:rsidRPr="001B6E4D" w14:paraId="7CBC8D43" w14:textId="77777777" w:rsidTr="003E1C9F">
        <w:tc>
          <w:tcPr>
            <w:tcW w:w="295" w:type="pct"/>
          </w:tcPr>
          <w:p w14:paraId="1A5746C9" w14:textId="68842EA3" w:rsidR="00F52D9F" w:rsidRPr="001B6E4D" w:rsidRDefault="00F52D9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22</w:t>
            </w:r>
          </w:p>
        </w:tc>
        <w:tc>
          <w:tcPr>
            <w:tcW w:w="1814" w:type="pct"/>
          </w:tcPr>
          <w:p w14:paraId="21433ED9" w14:textId="31FE0140" w:rsidR="00F52D9F" w:rsidRPr="001B6E4D" w:rsidRDefault="00F52D9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廢止「交通部臺灣鐵路管理局組織條例」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廢止重點：已有新法規替代，</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166" w:type="pct"/>
          </w:tcPr>
          <w:p w14:paraId="7882CC83"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委員郭昱晴</w:t>
            </w:r>
          </w:p>
          <w:p w14:paraId="4CECBCBE"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111A84E" w14:textId="77777777"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115.08.14</w:t>
            </w:r>
          </w:p>
          <w:p w14:paraId="2BCEDCA8" w14:textId="0D7285AA"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（11-5-22）</w:t>
            </w:r>
          </w:p>
        </w:tc>
        <w:tc>
          <w:tcPr>
            <w:tcW w:w="999" w:type="pct"/>
          </w:tcPr>
          <w:p w14:paraId="39F3D9FF" w14:textId="7D7E8F9D"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司法及法制、交通</w:t>
            </w:r>
          </w:p>
        </w:tc>
        <w:tc>
          <w:tcPr>
            <w:tcW w:w="726" w:type="pct"/>
          </w:tcPr>
          <w:p w14:paraId="5AFED19E" w14:textId="7B587776" w:rsidR="00F52D9F" w:rsidRPr="001B6E4D" w:rsidRDefault="00F52D9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p w14:paraId="024C3383" w14:textId="47C389AD" w:rsidR="009B28A5" w:rsidRPr="001B6E4D" w:rsidRDefault="00BD37C0"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bookmarkStart w:id="290" w:name="_Toc136594845"/>
      <w:r w:rsidRPr="001B6E4D">
        <w:tab/>
      </w:r>
      <w:r w:rsidR="00B63879" w:rsidRPr="001B6E4D">
        <w:rPr>
          <w:color w:val="000000" w:themeColor="text1"/>
          <w:shd w:val="clear" w:color="auto" w:fill="FFFFFF" w:themeFill="background1"/>
        </w:rPr>
        <w:t>8</w:t>
      </w:r>
      <w:r w:rsidR="009B28A5" w:rsidRPr="001B6E4D">
        <w:rPr>
          <w:color w:val="000000" w:themeColor="text1"/>
          <w:shd w:val="clear" w:color="auto" w:fill="FFFFFF" w:themeFill="background1"/>
        </w:rPr>
        <w:t>.本會、社會福利及衛生環境委員會聯席審查</w:t>
      </w:r>
      <w:r w:rsidR="003E1C9F" w:rsidRPr="001B6E4D">
        <w:rPr>
          <w:rFonts w:hint="eastAsia"/>
          <w:color w:val="000000" w:themeColor="text1"/>
          <w:shd w:val="clear" w:color="auto" w:fill="FFFFFF" w:themeFill="background1"/>
        </w:rPr>
        <w:t>1</w:t>
      </w:r>
      <w:r w:rsidR="00650DDE" w:rsidRPr="001B6E4D">
        <w:rPr>
          <w:color w:val="000000" w:themeColor="text1"/>
          <w:shd w:val="clear" w:color="auto" w:fill="FFFFFF" w:themeFill="background1"/>
        </w:rPr>
        <w:t>9</w:t>
      </w:r>
      <w:r w:rsidR="009B28A5" w:rsidRPr="001B6E4D">
        <w:rPr>
          <w:color w:val="000000" w:themeColor="text1"/>
          <w:shd w:val="clear" w:color="auto" w:fill="FFFFFF" w:themeFill="background1"/>
        </w:rPr>
        <w:t>案</w:t>
      </w:r>
      <w:bookmarkEnd w:id="288"/>
      <w:bookmarkEnd w:id="289"/>
      <w:bookmarkEnd w:id="290"/>
    </w:p>
    <w:tbl>
      <w:tblPr>
        <w:tblStyle w:val="ae"/>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41"/>
        <w:gridCol w:w="3226"/>
        <w:gridCol w:w="2009"/>
        <w:gridCol w:w="1739"/>
        <w:gridCol w:w="1412"/>
      </w:tblGrid>
      <w:tr w:rsidR="00C87651" w:rsidRPr="001B6E4D" w14:paraId="366AEB26" w14:textId="77777777" w:rsidTr="003E1C9F">
        <w:tc>
          <w:tcPr>
            <w:tcW w:w="303" w:type="pct"/>
            <w:vAlign w:val="center"/>
          </w:tcPr>
          <w:p w14:paraId="4060D553"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807" w:type="pct"/>
            <w:vAlign w:val="center"/>
          </w:tcPr>
          <w:p w14:paraId="5DE4957D"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25" w:type="pct"/>
            <w:vAlign w:val="center"/>
          </w:tcPr>
          <w:p w14:paraId="2547C011"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4CA015FB"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347814CD"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74" w:type="pct"/>
            <w:vAlign w:val="center"/>
          </w:tcPr>
          <w:p w14:paraId="7DC2D56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791" w:type="pct"/>
            <w:vAlign w:val="center"/>
          </w:tcPr>
          <w:p w14:paraId="36820E4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650DDE" w:rsidRPr="001B6E4D" w14:paraId="60110912" w14:textId="77777777" w:rsidTr="00A52A85">
        <w:tc>
          <w:tcPr>
            <w:tcW w:w="303" w:type="pct"/>
          </w:tcPr>
          <w:p w14:paraId="12AB818F" w14:textId="622901D9"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w:t>
            </w:r>
          </w:p>
        </w:tc>
        <w:tc>
          <w:tcPr>
            <w:tcW w:w="1807" w:type="pct"/>
          </w:tcPr>
          <w:p w14:paraId="5895F9A1" w14:textId="5A38CAF5"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廢止「行政院環境保護署組織條例」、「行政院環境保護署環境檢驗所組織條例」、「行政院環境保護署環境保護人員訓練所組織條例」及「行政院環境保護署毒物及化學物質局組織法」(廢止重點：配合組織調整作業，</w:t>
            </w:r>
            <w:proofErr w:type="gramStart"/>
            <w:r w:rsidRPr="001B6E4D">
              <w:rPr>
                <w:rFonts w:ascii="標楷體" w:eastAsia="標楷體" w:hAnsi="標楷體"/>
                <w:color w:val="000000" w:themeColor="text1"/>
                <w:sz w:val="24"/>
              </w:rPr>
              <w:t>環境部暨所屬</w:t>
            </w:r>
            <w:proofErr w:type="gramEnd"/>
            <w:r w:rsidRPr="001B6E4D">
              <w:rPr>
                <w:rFonts w:ascii="標楷體" w:eastAsia="標楷體" w:hAnsi="標楷體"/>
                <w:color w:val="000000" w:themeColor="text1"/>
                <w:sz w:val="24"/>
              </w:rPr>
              <w:t>三級機關（構）組織法業於112年8月22日施行，應配合辦理廢止。)</w:t>
            </w:r>
          </w:p>
        </w:tc>
        <w:tc>
          <w:tcPr>
            <w:tcW w:w="1125" w:type="pct"/>
          </w:tcPr>
          <w:p w14:paraId="4FCEECC6"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w:t>
            </w:r>
          </w:p>
          <w:p w14:paraId="505E449E"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0C96758D" w14:textId="4B7B2F53"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（11-1-3）</w:t>
            </w:r>
          </w:p>
        </w:tc>
        <w:tc>
          <w:tcPr>
            <w:tcW w:w="974" w:type="pct"/>
          </w:tcPr>
          <w:p w14:paraId="03285075" w14:textId="4FD35965"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3CA34EC1" w14:textId="7A195426"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31943F86" w14:textId="77777777" w:rsidTr="003E1C9F">
        <w:tc>
          <w:tcPr>
            <w:tcW w:w="303" w:type="pct"/>
          </w:tcPr>
          <w:p w14:paraId="6A3FBFC7" w14:textId="74FF72E6"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w:t>
            </w:r>
          </w:p>
        </w:tc>
        <w:tc>
          <w:tcPr>
            <w:tcW w:w="1807" w:type="pct"/>
          </w:tcPr>
          <w:p w14:paraId="2AAD17AD" w14:textId="0A11728A"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2.廢止「行政院環境保護署組織條例」、「行政院環境保護署毒物及化學物質局組織法」及「行政院環境保護署環境檢驗所組織條例」(廢止重點：原</w:t>
            </w:r>
            <w:proofErr w:type="gramStart"/>
            <w:r w:rsidRPr="001B6E4D">
              <w:rPr>
                <w:rFonts w:hAnsi="標楷體" w:cs="Times New Roman"/>
                <w:color w:val="000000" w:themeColor="text1"/>
                <w:sz w:val="24"/>
                <w:szCs w:val="24"/>
              </w:rPr>
              <w:t>機關均已完成</w:t>
            </w:r>
            <w:proofErr w:type="gramEnd"/>
            <w:r w:rsidRPr="001B6E4D">
              <w:rPr>
                <w:rFonts w:hAnsi="標楷體" w:cs="Times New Roman"/>
                <w:color w:val="000000" w:themeColor="text1"/>
                <w:sz w:val="24"/>
                <w:szCs w:val="24"/>
              </w:rPr>
              <w:t>裁</w:t>
            </w:r>
            <w:proofErr w:type="gramStart"/>
            <w:r w:rsidRPr="001B6E4D">
              <w:rPr>
                <w:rFonts w:hAnsi="標楷體" w:cs="Times New Roman"/>
                <w:color w:val="000000" w:themeColor="text1"/>
                <w:sz w:val="24"/>
                <w:szCs w:val="24"/>
              </w:rPr>
              <w:t>併</w:t>
            </w:r>
            <w:proofErr w:type="gramEnd"/>
            <w:r w:rsidRPr="001B6E4D">
              <w:rPr>
                <w:rFonts w:hAnsi="標楷體" w:cs="Times New Roman"/>
                <w:color w:val="000000" w:themeColor="text1"/>
                <w:sz w:val="24"/>
                <w:szCs w:val="24"/>
              </w:rPr>
              <w:t>。)</w:t>
            </w:r>
          </w:p>
        </w:tc>
        <w:tc>
          <w:tcPr>
            <w:tcW w:w="1125" w:type="pct"/>
          </w:tcPr>
          <w:p w14:paraId="40A99B4D"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委員沈發惠</w:t>
            </w:r>
          </w:p>
          <w:p w14:paraId="45B7BCC7"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4D1F609"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113.04.12</w:t>
            </w:r>
          </w:p>
          <w:p w14:paraId="4D720E48" w14:textId="75D885A4"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（11-1-9）</w:t>
            </w:r>
          </w:p>
        </w:tc>
        <w:tc>
          <w:tcPr>
            <w:tcW w:w="974" w:type="pct"/>
          </w:tcPr>
          <w:p w14:paraId="2B9AB01B" w14:textId="27CEDEAA"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6862CE61" w14:textId="422ABCFE"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6ADEF804" w14:textId="77777777" w:rsidTr="003E1C9F">
        <w:tc>
          <w:tcPr>
            <w:tcW w:w="303" w:type="pct"/>
          </w:tcPr>
          <w:p w14:paraId="0049032D" w14:textId="4EA5F3B7"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w:t>
            </w:r>
          </w:p>
        </w:tc>
        <w:tc>
          <w:tcPr>
            <w:tcW w:w="1807" w:type="pct"/>
          </w:tcPr>
          <w:p w14:paraId="0C0B787E" w14:textId="07FBEFFF"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1.衛生福利部原住民健康照顧署組織法草案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共6條。</w:t>
            </w:r>
            <w:r w:rsidRPr="001B6E4D">
              <w:rPr>
                <w:rFonts w:hAnsi="標楷體" w:cs="Times New Roman"/>
                <w:color w:val="000000" w:themeColor="text1"/>
                <w:sz w:val="24"/>
                <w:szCs w:val="24"/>
              </w:rPr>
              <w:lastRenderedPageBreak/>
              <w:t>制定重點：衛生</w:t>
            </w:r>
            <w:proofErr w:type="gramStart"/>
            <w:r w:rsidRPr="001B6E4D">
              <w:rPr>
                <w:rFonts w:hAnsi="標楷體" w:cs="Times New Roman"/>
                <w:color w:val="000000" w:themeColor="text1"/>
                <w:sz w:val="24"/>
                <w:szCs w:val="24"/>
              </w:rPr>
              <w:t>福利部為辦理</w:t>
            </w:r>
            <w:proofErr w:type="gramEnd"/>
            <w:r w:rsidRPr="001B6E4D">
              <w:rPr>
                <w:rFonts w:hAnsi="標楷體" w:cs="Times New Roman"/>
                <w:color w:val="000000" w:themeColor="text1"/>
                <w:sz w:val="24"/>
                <w:szCs w:val="24"/>
              </w:rPr>
              <w:t>原住民族健康促進、文化安全醫療照護及消弭健康不平等之業務，特設原住民健康照顧署。）</w:t>
            </w:r>
          </w:p>
        </w:tc>
        <w:tc>
          <w:tcPr>
            <w:tcW w:w="1125" w:type="pct"/>
          </w:tcPr>
          <w:p w14:paraId="1ECD6762"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w:t>
            </w:r>
            <w:proofErr w:type="gramStart"/>
            <w:r w:rsidRPr="001B6E4D">
              <w:rPr>
                <w:rFonts w:ascii="標楷體" w:eastAsia="標楷體" w:hAnsi="標楷體"/>
                <w:color w:val="000000" w:themeColor="text1"/>
                <w:sz w:val="24"/>
              </w:rPr>
              <w:t>盧</w:t>
            </w:r>
            <w:proofErr w:type="gramEnd"/>
            <w:r w:rsidRPr="001B6E4D">
              <w:rPr>
                <w:rFonts w:ascii="標楷體" w:eastAsia="標楷體" w:hAnsi="標楷體"/>
                <w:color w:val="000000" w:themeColor="text1"/>
                <w:sz w:val="24"/>
              </w:rPr>
              <w:t>縣</w:t>
            </w:r>
            <w:proofErr w:type="gramStart"/>
            <w:r w:rsidRPr="001B6E4D">
              <w:rPr>
                <w:rFonts w:ascii="標楷體" w:eastAsia="標楷體" w:hAnsi="標楷體"/>
                <w:color w:val="000000" w:themeColor="text1"/>
                <w:sz w:val="24"/>
              </w:rPr>
              <w:t>一</w:t>
            </w:r>
            <w:proofErr w:type="gramEnd"/>
          </w:p>
          <w:p w14:paraId="4903EAB3"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64FB589"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114.12.26</w:t>
            </w:r>
          </w:p>
          <w:p w14:paraId="67BB7B45" w14:textId="2AF420D0"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（11-4-15）</w:t>
            </w:r>
          </w:p>
        </w:tc>
        <w:tc>
          <w:tcPr>
            <w:tcW w:w="974" w:type="pct"/>
          </w:tcPr>
          <w:p w14:paraId="1E7504EC" w14:textId="54DAF7FB"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司法及法制、社會福利及衛</w:t>
            </w:r>
            <w:r w:rsidRPr="001B6E4D">
              <w:rPr>
                <w:rFonts w:ascii="標楷體" w:eastAsia="標楷體" w:hAnsi="標楷體"/>
                <w:color w:val="000000" w:themeColor="text1"/>
                <w:sz w:val="24"/>
              </w:rPr>
              <w:lastRenderedPageBreak/>
              <w:t>生環境</w:t>
            </w:r>
          </w:p>
        </w:tc>
        <w:tc>
          <w:tcPr>
            <w:tcW w:w="791" w:type="pct"/>
          </w:tcPr>
          <w:p w14:paraId="0A4A9912" w14:textId="0E000313"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尚未審查</w:t>
            </w:r>
          </w:p>
        </w:tc>
      </w:tr>
      <w:tr w:rsidR="00650DDE" w:rsidRPr="001B6E4D" w14:paraId="3EC93259" w14:textId="77777777" w:rsidTr="003E1C9F">
        <w:tc>
          <w:tcPr>
            <w:tcW w:w="303" w:type="pct"/>
          </w:tcPr>
          <w:p w14:paraId="06DD9F4D" w14:textId="7E2F75F9"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w:t>
            </w:r>
          </w:p>
        </w:tc>
        <w:tc>
          <w:tcPr>
            <w:tcW w:w="1807" w:type="pct"/>
          </w:tcPr>
          <w:p w14:paraId="7F350B89" w14:textId="5AB4E05E"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2.衛生福利部原住民健康照顧署組織法草案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共6條。制定重點：衛生</w:t>
            </w:r>
            <w:proofErr w:type="gramStart"/>
            <w:r w:rsidRPr="001B6E4D">
              <w:rPr>
                <w:rFonts w:hAnsi="標楷體" w:cs="Times New Roman"/>
                <w:color w:val="000000" w:themeColor="text1"/>
                <w:sz w:val="24"/>
                <w:szCs w:val="24"/>
              </w:rPr>
              <w:t>福利部為辦理</w:t>
            </w:r>
            <w:proofErr w:type="gramEnd"/>
            <w:r w:rsidRPr="001B6E4D">
              <w:rPr>
                <w:rFonts w:hAnsi="標楷體" w:cs="Times New Roman"/>
                <w:color w:val="000000" w:themeColor="text1"/>
                <w:sz w:val="24"/>
                <w:szCs w:val="24"/>
              </w:rPr>
              <w:t>原住民族文化安全醫療照護、消弭健康不平等及健康促進之業務特設原住民健康照顧署。）</w:t>
            </w:r>
          </w:p>
        </w:tc>
        <w:tc>
          <w:tcPr>
            <w:tcW w:w="1125" w:type="pct"/>
          </w:tcPr>
          <w:p w14:paraId="54C82F5B"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1ECDA82D"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2B99253"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115.01.02</w:t>
            </w:r>
          </w:p>
          <w:p w14:paraId="0F3147FB" w14:textId="342F5B09"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（11-4-16）</w:t>
            </w:r>
          </w:p>
        </w:tc>
        <w:tc>
          <w:tcPr>
            <w:tcW w:w="974" w:type="pct"/>
          </w:tcPr>
          <w:p w14:paraId="70A32207" w14:textId="5E5CE706"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3D5D4913" w14:textId="039227C1"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3B4FDA38" w14:textId="77777777" w:rsidTr="003E1C9F">
        <w:tc>
          <w:tcPr>
            <w:tcW w:w="303" w:type="pct"/>
          </w:tcPr>
          <w:p w14:paraId="479D4F02" w14:textId="75452A91"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w:t>
            </w:r>
          </w:p>
        </w:tc>
        <w:tc>
          <w:tcPr>
            <w:tcW w:w="1807" w:type="pct"/>
          </w:tcPr>
          <w:p w14:paraId="78ECCEEC" w14:textId="16174851"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3.衛生福利部原住民健康照顧署組織法草案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共6條。制定重點：衛生</w:t>
            </w:r>
            <w:proofErr w:type="gramStart"/>
            <w:r w:rsidRPr="001B6E4D">
              <w:rPr>
                <w:rFonts w:hAnsi="標楷體" w:cs="Times New Roman"/>
                <w:color w:val="000000" w:themeColor="text1"/>
                <w:sz w:val="24"/>
                <w:szCs w:val="24"/>
              </w:rPr>
              <w:t>福利部為統籌</w:t>
            </w:r>
            <w:proofErr w:type="gramEnd"/>
            <w:r w:rsidRPr="001B6E4D">
              <w:rPr>
                <w:rFonts w:hAnsi="標楷體" w:cs="Times New Roman"/>
                <w:color w:val="000000" w:themeColor="text1"/>
                <w:sz w:val="24"/>
                <w:szCs w:val="24"/>
              </w:rPr>
              <w:t>規劃並推動原住民族健康促進、文化安全之醫療照護，強化原鄉醫療資源布建、並辦理健康不平等之改善及其相關調查研究事項等事務，特設原住民健康照顧署。）</w:t>
            </w:r>
          </w:p>
        </w:tc>
        <w:tc>
          <w:tcPr>
            <w:tcW w:w="1125" w:type="pct"/>
          </w:tcPr>
          <w:p w14:paraId="63013A3E"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委員伍麗華</w:t>
            </w:r>
          </w:p>
          <w:p w14:paraId="4124572E" w14:textId="77777777" w:rsidR="00650DDE" w:rsidRPr="001B6E4D" w:rsidRDefault="00650DDE"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Saidhai</w:t>
            </w:r>
            <w:proofErr w:type="spellEnd"/>
            <w:r w:rsidRPr="001B6E4D">
              <w:rPr>
                <w:rFonts w:ascii="標楷體" w:eastAsia="標楷體" w:hAnsi="標楷體"/>
                <w:color w:val="000000" w:themeColor="text1"/>
                <w:sz w:val="24"/>
              </w:rPr>
              <w:t>‧</w:t>
            </w:r>
          </w:p>
          <w:p w14:paraId="2A3166D0" w14:textId="77777777" w:rsidR="00650DDE" w:rsidRPr="001B6E4D" w:rsidRDefault="00650DDE"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Tahovecahe</w:t>
            </w:r>
            <w:proofErr w:type="spellEnd"/>
          </w:p>
          <w:p w14:paraId="44421101"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35932C3B"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0AA3CEAF" w14:textId="6A14973E"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74" w:type="pct"/>
          </w:tcPr>
          <w:p w14:paraId="493CBF87" w14:textId="6459AAFA"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3A8C8179" w14:textId="4BF5985C"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3F4CE3E5" w14:textId="77777777" w:rsidTr="003E1C9F">
        <w:tc>
          <w:tcPr>
            <w:tcW w:w="303" w:type="pct"/>
          </w:tcPr>
          <w:p w14:paraId="01737954" w14:textId="482A26AC"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6</w:t>
            </w:r>
          </w:p>
        </w:tc>
        <w:tc>
          <w:tcPr>
            <w:tcW w:w="1807" w:type="pct"/>
          </w:tcPr>
          <w:p w14:paraId="46023CF8" w14:textId="53E4E4E3"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1.衛生福利部疾病管制署組織法第二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修正重點：將外籍勞工更名</w:t>
            </w:r>
            <w:proofErr w:type="gramStart"/>
            <w:r w:rsidRPr="001B6E4D">
              <w:rPr>
                <w:rFonts w:hAnsi="標楷體" w:cs="Times New Roman"/>
                <w:color w:val="000000" w:themeColor="text1"/>
                <w:sz w:val="24"/>
                <w:szCs w:val="24"/>
              </w:rPr>
              <w:t>為移工</w:t>
            </w:r>
            <w:proofErr w:type="gramEnd"/>
            <w:r w:rsidRPr="001B6E4D">
              <w:rPr>
                <w:rFonts w:hAnsi="標楷體" w:cs="Times New Roman"/>
                <w:color w:val="000000" w:themeColor="text1"/>
                <w:sz w:val="24"/>
                <w:szCs w:val="24"/>
              </w:rPr>
              <w:t>。）</w:t>
            </w:r>
          </w:p>
        </w:tc>
        <w:tc>
          <w:tcPr>
            <w:tcW w:w="1125" w:type="pct"/>
          </w:tcPr>
          <w:p w14:paraId="662F96BD"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w:t>
            </w:r>
            <w:proofErr w:type="gramStart"/>
            <w:r w:rsidRPr="001B6E4D">
              <w:rPr>
                <w:rFonts w:ascii="標楷體" w:eastAsia="標楷體" w:hAnsi="標楷體"/>
                <w:color w:val="000000" w:themeColor="text1"/>
                <w:sz w:val="24"/>
              </w:rPr>
              <w:t>游顥</w:t>
            </w:r>
            <w:proofErr w:type="gramEnd"/>
          </w:p>
          <w:p w14:paraId="4AB6CD31"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61EAA64B"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114.03.04</w:t>
            </w:r>
          </w:p>
          <w:p w14:paraId="13608060" w14:textId="01FA6EC1"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（11-3-3）</w:t>
            </w:r>
          </w:p>
        </w:tc>
        <w:tc>
          <w:tcPr>
            <w:tcW w:w="974" w:type="pct"/>
          </w:tcPr>
          <w:p w14:paraId="7829AEC6" w14:textId="2AF4850C"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7222E234" w14:textId="14AE8E6E"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1B588F97" w14:textId="77777777" w:rsidTr="003E1C9F">
        <w:tc>
          <w:tcPr>
            <w:tcW w:w="303" w:type="pct"/>
          </w:tcPr>
          <w:p w14:paraId="03CF9D8A" w14:textId="591C2545"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7</w:t>
            </w:r>
          </w:p>
        </w:tc>
        <w:tc>
          <w:tcPr>
            <w:tcW w:w="1807" w:type="pct"/>
          </w:tcPr>
          <w:p w14:paraId="4EDB6656" w14:textId="4185B09E"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2.衛生福利部疾病管制署組織法第二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修正重點：將外籍勞工更名</w:t>
            </w:r>
            <w:proofErr w:type="gramStart"/>
            <w:r w:rsidRPr="001B6E4D">
              <w:rPr>
                <w:rFonts w:hAnsi="標楷體" w:cs="Times New Roman"/>
                <w:color w:val="000000" w:themeColor="text1"/>
                <w:sz w:val="24"/>
                <w:szCs w:val="24"/>
              </w:rPr>
              <w:t>為移工</w:t>
            </w:r>
            <w:proofErr w:type="gramEnd"/>
            <w:r w:rsidRPr="001B6E4D">
              <w:rPr>
                <w:rFonts w:hAnsi="標楷體" w:cs="Times New Roman"/>
                <w:color w:val="000000" w:themeColor="text1"/>
                <w:sz w:val="24"/>
                <w:szCs w:val="24"/>
              </w:rPr>
              <w:t>。）</w:t>
            </w:r>
          </w:p>
        </w:tc>
        <w:tc>
          <w:tcPr>
            <w:tcW w:w="1125" w:type="pct"/>
          </w:tcPr>
          <w:p w14:paraId="59AAE10E"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0B88AB6F"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110B2807" w14:textId="15257088"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74" w:type="pct"/>
          </w:tcPr>
          <w:p w14:paraId="740B51C2" w14:textId="2FBE0710"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714C68AC" w14:textId="34373108"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394EFC1E" w14:textId="77777777" w:rsidTr="003E1C9F">
        <w:tc>
          <w:tcPr>
            <w:tcW w:w="303" w:type="pct"/>
          </w:tcPr>
          <w:p w14:paraId="2F894622" w14:textId="4E443776"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8</w:t>
            </w:r>
          </w:p>
        </w:tc>
        <w:tc>
          <w:tcPr>
            <w:tcW w:w="1807" w:type="pct"/>
          </w:tcPr>
          <w:p w14:paraId="40545B9F" w14:textId="56BC06DF"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3.衛生福利部疾病管制署組織法第二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修正重點：將外籍勞工更名</w:t>
            </w:r>
            <w:proofErr w:type="gramStart"/>
            <w:r w:rsidRPr="001B6E4D">
              <w:rPr>
                <w:rFonts w:hAnsi="標楷體" w:cs="Times New Roman"/>
                <w:color w:val="000000" w:themeColor="text1"/>
                <w:sz w:val="24"/>
                <w:szCs w:val="24"/>
              </w:rPr>
              <w:t>為移工</w:t>
            </w:r>
            <w:proofErr w:type="gramEnd"/>
            <w:r w:rsidRPr="001B6E4D">
              <w:rPr>
                <w:rFonts w:hAnsi="標楷體" w:cs="Times New Roman"/>
                <w:color w:val="000000" w:themeColor="text1"/>
                <w:sz w:val="24"/>
                <w:szCs w:val="24"/>
              </w:rPr>
              <w:t>。）</w:t>
            </w:r>
          </w:p>
        </w:tc>
        <w:tc>
          <w:tcPr>
            <w:tcW w:w="1125" w:type="pct"/>
          </w:tcPr>
          <w:p w14:paraId="4127F892"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委員馬文君</w:t>
            </w:r>
          </w:p>
          <w:p w14:paraId="3577C0E5"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E2FF273"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3A373C32" w14:textId="2074F6C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74" w:type="pct"/>
          </w:tcPr>
          <w:p w14:paraId="740D0D12" w14:textId="2AD616D5"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33BB739C" w14:textId="374E4B26"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5AA75769" w14:textId="77777777" w:rsidTr="003E1C9F">
        <w:tc>
          <w:tcPr>
            <w:tcW w:w="303" w:type="pct"/>
          </w:tcPr>
          <w:p w14:paraId="262AD993" w14:textId="6078AC51"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9</w:t>
            </w:r>
          </w:p>
        </w:tc>
        <w:tc>
          <w:tcPr>
            <w:tcW w:w="1807" w:type="pct"/>
          </w:tcPr>
          <w:p w14:paraId="54E9AB9A" w14:textId="57B53AD9"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4.衛生福利部疾病管制署組織法第二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修正重點：將外籍勞工更名</w:t>
            </w:r>
            <w:proofErr w:type="gramStart"/>
            <w:r w:rsidRPr="001B6E4D">
              <w:rPr>
                <w:rFonts w:hAnsi="標楷體" w:cs="Times New Roman"/>
                <w:color w:val="000000" w:themeColor="text1"/>
                <w:sz w:val="24"/>
                <w:szCs w:val="24"/>
              </w:rPr>
              <w:t>為移工</w:t>
            </w:r>
            <w:proofErr w:type="gramEnd"/>
            <w:r w:rsidRPr="001B6E4D">
              <w:rPr>
                <w:rFonts w:hAnsi="標楷體" w:cs="Times New Roman"/>
                <w:color w:val="000000" w:themeColor="text1"/>
                <w:sz w:val="24"/>
                <w:szCs w:val="24"/>
              </w:rPr>
              <w:t>。）</w:t>
            </w:r>
          </w:p>
        </w:tc>
        <w:tc>
          <w:tcPr>
            <w:tcW w:w="1125" w:type="pct"/>
          </w:tcPr>
          <w:p w14:paraId="29CE58D3"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6C3263E7"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642F792C"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04FD92EC" w14:textId="0C486853"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74" w:type="pct"/>
          </w:tcPr>
          <w:p w14:paraId="0EFA17B1" w14:textId="6284555A"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2B6B9E5E" w14:textId="593FF95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7AD0B63E" w14:textId="77777777" w:rsidTr="003E1C9F">
        <w:tc>
          <w:tcPr>
            <w:tcW w:w="303" w:type="pct"/>
          </w:tcPr>
          <w:p w14:paraId="60D13A20" w14:textId="5FAE85F0"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10</w:t>
            </w:r>
          </w:p>
        </w:tc>
        <w:tc>
          <w:tcPr>
            <w:tcW w:w="1807" w:type="pct"/>
          </w:tcPr>
          <w:p w14:paraId="55AFB571" w14:textId="71F26B14"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5.衛生福利部疾病管制署組織法第二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修正重點：外籍勞工</w:t>
            </w:r>
            <w:proofErr w:type="gramStart"/>
            <w:r w:rsidRPr="001B6E4D">
              <w:rPr>
                <w:rFonts w:hAnsi="標楷體" w:cs="Times New Roman"/>
                <w:color w:val="000000" w:themeColor="text1"/>
                <w:sz w:val="24"/>
                <w:szCs w:val="24"/>
              </w:rPr>
              <w:t>改稱移工</w:t>
            </w:r>
            <w:proofErr w:type="gramEnd"/>
            <w:r w:rsidRPr="001B6E4D">
              <w:rPr>
                <w:rFonts w:hAnsi="標楷體" w:cs="Times New Roman"/>
                <w:color w:val="000000" w:themeColor="text1"/>
                <w:sz w:val="24"/>
                <w:szCs w:val="24"/>
              </w:rPr>
              <w:t>。）</w:t>
            </w:r>
          </w:p>
        </w:tc>
        <w:tc>
          <w:tcPr>
            <w:tcW w:w="1125" w:type="pct"/>
          </w:tcPr>
          <w:p w14:paraId="123AB4A8"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71314301"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09E4837D"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114.05.02</w:t>
            </w:r>
          </w:p>
          <w:p w14:paraId="670340E3" w14:textId="1E950B48"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w:t>
            </w:r>
          </w:p>
        </w:tc>
        <w:tc>
          <w:tcPr>
            <w:tcW w:w="974" w:type="pct"/>
          </w:tcPr>
          <w:p w14:paraId="02DD23B4" w14:textId="35598B3C"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78AF5EB1" w14:textId="6079049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78793970" w14:textId="77777777" w:rsidTr="003E1C9F">
        <w:tc>
          <w:tcPr>
            <w:tcW w:w="303" w:type="pct"/>
          </w:tcPr>
          <w:p w14:paraId="33EC68BA" w14:textId="4DEE1689"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11</w:t>
            </w:r>
          </w:p>
        </w:tc>
        <w:tc>
          <w:tcPr>
            <w:tcW w:w="1807" w:type="pct"/>
          </w:tcPr>
          <w:p w14:paraId="0F7A7952" w14:textId="49C6A1A1"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6.衛生福利部疾病管制署組織法第二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修正重點：外籍勞工修正</w:t>
            </w:r>
            <w:proofErr w:type="gramStart"/>
            <w:r w:rsidRPr="001B6E4D">
              <w:rPr>
                <w:rFonts w:hAnsi="標楷體" w:cs="Times New Roman"/>
                <w:color w:val="000000" w:themeColor="text1"/>
                <w:sz w:val="24"/>
                <w:szCs w:val="24"/>
              </w:rPr>
              <w:t>為移工</w:t>
            </w:r>
            <w:proofErr w:type="gramEnd"/>
            <w:r w:rsidRPr="001B6E4D">
              <w:rPr>
                <w:rFonts w:hAnsi="標楷體" w:cs="Times New Roman"/>
                <w:color w:val="000000" w:themeColor="text1"/>
                <w:sz w:val="24"/>
                <w:szCs w:val="24"/>
              </w:rPr>
              <w:t>。）</w:t>
            </w:r>
          </w:p>
        </w:tc>
        <w:tc>
          <w:tcPr>
            <w:tcW w:w="1125" w:type="pct"/>
          </w:tcPr>
          <w:p w14:paraId="26923663"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委員楊瓊瓔</w:t>
            </w:r>
          </w:p>
          <w:p w14:paraId="523D3500"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11273451"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114.05.23</w:t>
            </w:r>
          </w:p>
          <w:p w14:paraId="7B2E5891" w14:textId="280ECFCF"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（11-3-13）</w:t>
            </w:r>
          </w:p>
        </w:tc>
        <w:tc>
          <w:tcPr>
            <w:tcW w:w="974" w:type="pct"/>
          </w:tcPr>
          <w:p w14:paraId="3C08BC4F" w14:textId="4D783EBD"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362D072E" w14:textId="73388E3C"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695BD8EF" w14:textId="77777777" w:rsidTr="003E1C9F">
        <w:tc>
          <w:tcPr>
            <w:tcW w:w="303" w:type="pct"/>
          </w:tcPr>
          <w:p w14:paraId="5D9D73B3" w14:textId="5EBF63F9"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12</w:t>
            </w:r>
          </w:p>
        </w:tc>
        <w:tc>
          <w:tcPr>
            <w:tcW w:w="1807" w:type="pct"/>
          </w:tcPr>
          <w:p w14:paraId="7C6C7729" w14:textId="7BD5132F"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7.衛生福利部疾病管制署組織法第二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修正重點：外籍勞工改</w:t>
            </w:r>
            <w:proofErr w:type="gramStart"/>
            <w:r w:rsidRPr="001B6E4D">
              <w:rPr>
                <w:rFonts w:hAnsi="標楷體" w:cs="Times New Roman"/>
                <w:color w:val="000000" w:themeColor="text1"/>
                <w:sz w:val="24"/>
                <w:szCs w:val="24"/>
              </w:rPr>
              <w:t>以移工為</w:t>
            </w:r>
            <w:proofErr w:type="gramEnd"/>
            <w:r w:rsidRPr="001B6E4D">
              <w:rPr>
                <w:rFonts w:hAnsi="標楷體" w:cs="Times New Roman"/>
                <w:color w:val="000000" w:themeColor="text1"/>
                <w:sz w:val="24"/>
                <w:szCs w:val="24"/>
              </w:rPr>
              <w:t>表述。）</w:t>
            </w:r>
          </w:p>
        </w:tc>
        <w:tc>
          <w:tcPr>
            <w:tcW w:w="1125" w:type="pct"/>
          </w:tcPr>
          <w:p w14:paraId="1FD8F09D"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委員廖偉翔</w:t>
            </w:r>
          </w:p>
          <w:p w14:paraId="609377EC"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146C7E1E"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115.01.09</w:t>
            </w:r>
          </w:p>
          <w:p w14:paraId="126F10F6" w14:textId="212EEF29"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（11-4-17）</w:t>
            </w:r>
          </w:p>
        </w:tc>
        <w:tc>
          <w:tcPr>
            <w:tcW w:w="974" w:type="pct"/>
          </w:tcPr>
          <w:p w14:paraId="49EA61E4" w14:textId="44DF8FB3"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3FBA4E55" w14:textId="2A543AB0"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6E63ED6A" w14:textId="77777777" w:rsidTr="003E1C9F">
        <w:tc>
          <w:tcPr>
            <w:tcW w:w="303" w:type="pct"/>
          </w:tcPr>
          <w:p w14:paraId="039E42A9" w14:textId="7A1EF69E"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13</w:t>
            </w:r>
          </w:p>
        </w:tc>
        <w:tc>
          <w:tcPr>
            <w:tcW w:w="1807" w:type="pct"/>
          </w:tcPr>
          <w:p w14:paraId="69700E35" w14:textId="32E94F7C"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8.衛生福利部疾病管制署組織法第二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修正重點：將外籍勞工更名</w:t>
            </w:r>
            <w:proofErr w:type="gramStart"/>
            <w:r w:rsidRPr="001B6E4D">
              <w:rPr>
                <w:rFonts w:hAnsi="標楷體" w:cs="Times New Roman"/>
                <w:color w:val="000000" w:themeColor="text1"/>
                <w:sz w:val="24"/>
                <w:szCs w:val="24"/>
              </w:rPr>
              <w:t>為移工</w:t>
            </w:r>
            <w:proofErr w:type="gramEnd"/>
            <w:r w:rsidRPr="001B6E4D">
              <w:rPr>
                <w:rFonts w:hAnsi="標楷體" w:cs="Times New Roman"/>
                <w:color w:val="000000" w:themeColor="text1"/>
                <w:sz w:val="24"/>
                <w:szCs w:val="24"/>
              </w:rPr>
              <w:t>。）</w:t>
            </w:r>
          </w:p>
        </w:tc>
        <w:tc>
          <w:tcPr>
            <w:tcW w:w="1125" w:type="pct"/>
          </w:tcPr>
          <w:p w14:paraId="46DD90C1"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委員王鴻薇</w:t>
            </w:r>
          </w:p>
          <w:p w14:paraId="3D070625"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51837E99"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115.01.30</w:t>
            </w:r>
          </w:p>
          <w:p w14:paraId="54547D96" w14:textId="3C9CA686"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（11-4-20）</w:t>
            </w:r>
          </w:p>
        </w:tc>
        <w:tc>
          <w:tcPr>
            <w:tcW w:w="974" w:type="pct"/>
          </w:tcPr>
          <w:p w14:paraId="4862CC8B" w14:textId="6EE0E40A"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114DBD4D" w14:textId="49040C8F"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79A32459" w14:textId="77777777" w:rsidTr="003E1C9F">
        <w:tc>
          <w:tcPr>
            <w:tcW w:w="303" w:type="pct"/>
          </w:tcPr>
          <w:p w14:paraId="0A97EF6D" w14:textId="518E756D"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14</w:t>
            </w:r>
          </w:p>
        </w:tc>
        <w:tc>
          <w:tcPr>
            <w:tcW w:w="1807" w:type="pct"/>
          </w:tcPr>
          <w:p w14:paraId="01C8DC14" w14:textId="4A9062FD"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9.衛生福利部疾病管制署組織法第二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修正重點：將外籍勞工更名</w:t>
            </w:r>
            <w:proofErr w:type="gramStart"/>
            <w:r w:rsidRPr="001B6E4D">
              <w:rPr>
                <w:rFonts w:hAnsi="標楷體" w:cs="Times New Roman"/>
                <w:color w:val="000000" w:themeColor="text1"/>
                <w:sz w:val="24"/>
                <w:szCs w:val="24"/>
              </w:rPr>
              <w:t>為移工</w:t>
            </w:r>
            <w:proofErr w:type="gramEnd"/>
            <w:r w:rsidRPr="001B6E4D">
              <w:rPr>
                <w:rFonts w:hAnsi="標楷體" w:cs="Times New Roman"/>
                <w:color w:val="000000" w:themeColor="text1"/>
                <w:sz w:val="24"/>
                <w:szCs w:val="24"/>
              </w:rPr>
              <w:t>。）</w:t>
            </w:r>
          </w:p>
        </w:tc>
        <w:tc>
          <w:tcPr>
            <w:tcW w:w="1125" w:type="pct"/>
          </w:tcPr>
          <w:p w14:paraId="467D0958"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w:t>
            </w:r>
            <w:proofErr w:type="gramStart"/>
            <w:r w:rsidRPr="001B6E4D">
              <w:rPr>
                <w:rFonts w:ascii="標楷體" w:eastAsia="標楷體" w:hAnsi="標楷體"/>
                <w:color w:val="000000" w:themeColor="text1"/>
                <w:sz w:val="24"/>
              </w:rPr>
              <w:t>涂</w:t>
            </w:r>
            <w:proofErr w:type="gramEnd"/>
            <w:r w:rsidRPr="001B6E4D">
              <w:rPr>
                <w:rFonts w:ascii="標楷體" w:eastAsia="標楷體" w:hAnsi="標楷體"/>
                <w:color w:val="000000" w:themeColor="text1"/>
                <w:sz w:val="24"/>
              </w:rPr>
              <w:t>權吉</w:t>
            </w:r>
          </w:p>
          <w:p w14:paraId="45DC5E2B"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3215725C"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115.04.17</w:t>
            </w:r>
          </w:p>
          <w:p w14:paraId="12B176FA" w14:textId="7BD10BFC"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w:t>
            </w:r>
          </w:p>
        </w:tc>
        <w:tc>
          <w:tcPr>
            <w:tcW w:w="974" w:type="pct"/>
          </w:tcPr>
          <w:p w14:paraId="3D2E1782" w14:textId="4512656A"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2C48A308" w14:textId="61CE3403"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210CA8E8" w14:textId="77777777" w:rsidTr="003E1C9F">
        <w:tc>
          <w:tcPr>
            <w:tcW w:w="303" w:type="pct"/>
          </w:tcPr>
          <w:p w14:paraId="02B65E40" w14:textId="4015B867"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15</w:t>
            </w:r>
          </w:p>
        </w:tc>
        <w:tc>
          <w:tcPr>
            <w:tcW w:w="1807" w:type="pct"/>
          </w:tcPr>
          <w:p w14:paraId="294A70BA" w14:textId="4935715B"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10.衛生福利部疾病管制署組織法第二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修正重點：將外籍勞工更名</w:t>
            </w:r>
            <w:proofErr w:type="gramStart"/>
            <w:r w:rsidRPr="001B6E4D">
              <w:rPr>
                <w:rFonts w:hAnsi="標楷體" w:cs="Times New Roman"/>
                <w:color w:val="000000" w:themeColor="text1"/>
                <w:sz w:val="24"/>
                <w:szCs w:val="24"/>
              </w:rPr>
              <w:t>為移工</w:t>
            </w:r>
            <w:proofErr w:type="gramEnd"/>
            <w:r w:rsidRPr="001B6E4D">
              <w:rPr>
                <w:rFonts w:hAnsi="標楷體" w:cs="Times New Roman"/>
                <w:color w:val="000000" w:themeColor="text1"/>
                <w:sz w:val="24"/>
                <w:szCs w:val="24"/>
              </w:rPr>
              <w:t>。）</w:t>
            </w:r>
          </w:p>
        </w:tc>
        <w:tc>
          <w:tcPr>
            <w:tcW w:w="1125" w:type="pct"/>
          </w:tcPr>
          <w:p w14:paraId="201A93EB"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委員林思銘</w:t>
            </w:r>
          </w:p>
          <w:p w14:paraId="36A96D45"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CD1D42C"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115.05.08</w:t>
            </w:r>
          </w:p>
          <w:p w14:paraId="6C26290E" w14:textId="38C5693C"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（11-5-9）</w:t>
            </w:r>
          </w:p>
        </w:tc>
        <w:tc>
          <w:tcPr>
            <w:tcW w:w="974" w:type="pct"/>
          </w:tcPr>
          <w:p w14:paraId="0F01F766" w14:textId="5A1258E9"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597CBA87" w14:textId="7E440EF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43C971BC" w14:textId="77777777" w:rsidTr="003E1C9F">
        <w:tc>
          <w:tcPr>
            <w:tcW w:w="303" w:type="pct"/>
          </w:tcPr>
          <w:p w14:paraId="7DB89A47" w14:textId="3BD7E00D"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16</w:t>
            </w:r>
          </w:p>
        </w:tc>
        <w:tc>
          <w:tcPr>
            <w:tcW w:w="1807" w:type="pct"/>
          </w:tcPr>
          <w:p w14:paraId="2E03995E" w14:textId="2094EBDF"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11.衛生福利部疾病管制署組織法第二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修正重點：將外籍勞工修正</w:t>
            </w:r>
            <w:proofErr w:type="gramStart"/>
            <w:r w:rsidRPr="001B6E4D">
              <w:rPr>
                <w:rFonts w:hAnsi="標楷體" w:cs="Times New Roman"/>
                <w:color w:val="000000" w:themeColor="text1"/>
                <w:sz w:val="24"/>
                <w:szCs w:val="24"/>
              </w:rPr>
              <w:t>為移工</w:t>
            </w:r>
            <w:proofErr w:type="gramEnd"/>
            <w:r w:rsidRPr="001B6E4D">
              <w:rPr>
                <w:rFonts w:hAnsi="標楷體" w:cs="Times New Roman"/>
                <w:color w:val="000000" w:themeColor="text1"/>
                <w:sz w:val="24"/>
                <w:szCs w:val="24"/>
              </w:rPr>
              <w:t>。）</w:t>
            </w:r>
          </w:p>
        </w:tc>
        <w:tc>
          <w:tcPr>
            <w:tcW w:w="1125" w:type="pct"/>
          </w:tcPr>
          <w:p w14:paraId="324F2D16"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委員傅</w:t>
            </w:r>
            <w:r w:rsidRPr="001B6E4D">
              <w:rPr>
                <w:rFonts w:ascii="標楷體" w:eastAsia="標楷體" w:hAnsi="標楷體" w:hint="eastAsia"/>
                <w:color w:val="000000" w:themeColor="text1"/>
                <w:sz w:val="24"/>
              </w:rPr>
              <w:t>崐萁</w:t>
            </w:r>
          </w:p>
          <w:p w14:paraId="22817C5C"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18人</w:t>
            </w:r>
          </w:p>
          <w:p w14:paraId="5C8CA751"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115.06.26</w:t>
            </w:r>
          </w:p>
          <w:p w14:paraId="7441387C" w14:textId="1AFBBCB9"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11-5-15）</w:t>
            </w:r>
          </w:p>
        </w:tc>
        <w:tc>
          <w:tcPr>
            <w:tcW w:w="974" w:type="pct"/>
          </w:tcPr>
          <w:p w14:paraId="0520D8DF" w14:textId="4878CA6A"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582CA52C" w14:textId="0481B5F4"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4DBD2830" w14:textId="77777777" w:rsidTr="003E1C9F">
        <w:tc>
          <w:tcPr>
            <w:tcW w:w="303" w:type="pct"/>
          </w:tcPr>
          <w:p w14:paraId="274E65E3" w14:textId="6CBB8BB5"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17</w:t>
            </w:r>
          </w:p>
        </w:tc>
        <w:tc>
          <w:tcPr>
            <w:tcW w:w="1807" w:type="pct"/>
          </w:tcPr>
          <w:p w14:paraId="05A7777B" w14:textId="71EB8986"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衛生福利部中央健康</w:t>
            </w:r>
            <w:proofErr w:type="gramStart"/>
            <w:r w:rsidRPr="001B6E4D">
              <w:rPr>
                <w:rFonts w:hAnsi="標楷體" w:cs="Times New Roman"/>
                <w:color w:val="000000" w:themeColor="text1"/>
                <w:sz w:val="24"/>
                <w:szCs w:val="24"/>
              </w:rPr>
              <w:t>保險署</w:t>
            </w:r>
            <w:proofErr w:type="gramEnd"/>
            <w:r w:rsidRPr="001B6E4D">
              <w:rPr>
                <w:rFonts w:hAnsi="標楷體" w:cs="Times New Roman"/>
                <w:color w:val="000000" w:themeColor="text1"/>
                <w:sz w:val="24"/>
                <w:szCs w:val="24"/>
              </w:rPr>
              <w:t>組織法第二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w:t>
            </w:r>
            <w:proofErr w:type="gramStart"/>
            <w:r w:rsidRPr="001B6E4D">
              <w:rPr>
                <w:rFonts w:hAnsi="標楷體" w:cs="Times New Roman"/>
                <w:color w:val="000000" w:themeColor="text1"/>
                <w:sz w:val="24"/>
                <w:szCs w:val="24"/>
              </w:rPr>
              <w:t>社會保險司掌理</w:t>
            </w:r>
            <w:proofErr w:type="gramEnd"/>
            <w:r w:rsidRPr="001B6E4D">
              <w:rPr>
                <w:rFonts w:hAnsi="標楷體" w:cs="Times New Roman"/>
                <w:color w:val="000000" w:themeColor="text1"/>
                <w:sz w:val="24"/>
                <w:szCs w:val="24"/>
              </w:rPr>
              <w:t>之健保政策業務移撥至健保署。）</w:t>
            </w:r>
          </w:p>
        </w:tc>
        <w:tc>
          <w:tcPr>
            <w:tcW w:w="1125" w:type="pct"/>
          </w:tcPr>
          <w:p w14:paraId="7407D3BC"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委員廖偉翔</w:t>
            </w:r>
          </w:p>
          <w:p w14:paraId="6B52CF73"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62ED6E3B"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115.01.23</w:t>
            </w:r>
          </w:p>
          <w:p w14:paraId="049F5E23" w14:textId="49AAA639"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（11-4-19）</w:t>
            </w:r>
          </w:p>
        </w:tc>
        <w:tc>
          <w:tcPr>
            <w:tcW w:w="974" w:type="pct"/>
          </w:tcPr>
          <w:p w14:paraId="70EB1DE2" w14:textId="32B7BBEA"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06E657A6" w14:textId="4DB0C65D"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7B3ECA09" w14:textId="77777777" w:rsidTr="003E1C9F">
        <w:tc>
          <w:tcPr>
            <w:tcW w:w="303" w:type="pct"/>
          </w:tcPr>
          <w:p w14:paraId="0BC2766E" w14:textId="32D9A7D7"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18</w:t>
            </w:r>
          </w:p>
        </w:tc>
        <w:tc>
          <w:tcPr>
            <w:tcW w:w="1807" w:type="pct"/>
          </w:tcPr>
          <w:p w14:paraId="3E4622F1" w14:textId="6308C496"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國家氣候變遷調適韌性中心設置條例草案(共33條。制定重點：為推動國家氣候變遷調適及韌性治理策略之執行，協助中央及地方政府進</w:t>
            </w:r>
            <w:r w:rsidRPr="001B6E4D">
              <w:rPr>
                <w:rFonts w:hAnsi="標楷體" w:cs="Times New Roman"/>
                <w:color w:val="000000" w:themeColor="text1"/>
                <w:sz w:val="24"/>
                <w:szCs w:val="24"/>
              </w:rPr>
              <w:lastRenderedPageBreak/>
              <w:t>行科學評估、政策整合與決策支援，強化氣候科學實證應用</w:t>
            </w:r>
            <w:proofErr w:type="gramStart"/>
            <w:r w:rsidRPr="001B6E4D">
              <w:rPr>
                <w:rFonts w:hAnsi="標楷體" w:cs="Times New Roman"/>
                <w:color w:val="000000" w:themeColor="text1"/>
                <w:sz w:val="24"/>
                <w:szCs w:val="24"/>
              </w:rPr>
              <w:t>與跨域整合</w:t>
            </w:r>
            <w:proofErr w:type="gramEnd"/>
            <w:r w:rsidRPr="001B6E4D">
              <w:rPr>
                <w:rFonts w:hAnsi="標楷體" w:cs="Times New Roman"/>
                <w:color w:val="000000" w:themeColor="text1"/>
                <w:sz w:val="24"/>
                <w:szCs w:val="24"/>
              </w:rPr>
              <w:t>，並提升我國在氣候變遷調適領域之研究、技術與政策能力，且不取代各主管機關依法定職權所為之決策與執行，特設「國家氣候變遷調適韌性中心」，並制定本條例。)</w:t>
            </w:r>
          </w:p>
        </w:tc>
        <w:tc>
          <w:tcPr>
            <w:tcW w:w="1125" w:type="pct"/>
          </w:tcPr>
          <w:p w14:paraId="626A9465"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委員徐欣瑩</w:t>
            </w:r>
          </w:p>
          <w:p w14:paraId="2DCBC1BB"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CD3F101"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115.04.17</w:t>
            </w:r>
          </w:p>
          <w:p w14:paraId="23B74E3F" w14:textId="69D1BDE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w:t>
            </w:r>
          </w:p>
        </w:tc>
        <w:tc>
          <w:tcPr>
            <w:tcW w:w="974" w:type="pct"/>
          </w:tcPr>
          <w:p w14:paraId="4A41806E" w14:textId="2E6F4194"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4DE8E8FB" w14:textId="7D338B80"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650DDE" w:rsidRPr="001B6E4D" w14:paraId="069011F3" w14:textId="77777777" w:rsidTr="003E1C9F">
        <w:tc>
          <w:tcPr>
            <w:tcW w:w="303" w:type="pct"/>
          </w:tcPr>
          <w:p w14:paraId="5A9C6F02" w14:textId="600D3938" w:rsidR="00650DDE" w:rsidRPr="001B6E4D" w:rsidRDefault="00650DDE"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19</w:t>
            </w:r>
          </w:p>
        </w:tc>
        <w:tc>
          <w:tcPr>
            <w:tcW w:w="1807" w:type="pct"/>
          </w:tcPr>
          <w:p w14:paraId="3E5B7CCA" w14:textId="7658FE0B" w:rsidR="00650DDE" w:rsidRPr="001B6E4D" w:rsidRDefault="00650DD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環境部組織法第二條及第五條之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修正重點：強化氣候治理效能與組織運作彈性。）</w:t>
            </w:r>
          </w:p>
        </w:tc>
        <w:tc>
          <w:tcPr>
            <w:tcW w:w="1125" w:type="pct"/>
          </w:tcPr>
          <w:p w14:paraId="4F16F0FE"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委員徐欣瑩</w:t>
            </w:r>
          </w:p>
          <w:p w14:paraId="3E2829FF"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5E000CB" w14:textId="77777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115.04.17</w:t>
            </w:r>
          </w:p>
          <w:p w14:paraId="56CF1BC9" w14:textId="1D8B2777"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w:t>
            </w:r>
          </w:p>
        </w:tc>
        <w:tc>
          <w:tcPr>
            <w:tcW w:w="974" w:type="pct"/>
          </w:tcPr>
          <w:p w14:paraId="6269D605" w14:textId="7E75D126"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司法及法制、社會福利及衛生環境</w:t>
            </w:r>
          </w:p>
        </w:tc>
        <w:tc>
          <w:tcPr>
            <w:tcW w:w="791" w:type="pct"/>
          </w:tcPr>
          <w:p w14:paraId="11445C28" w14:textId="08E5A59B" w:rsidR="00650DDE" w:rsidRPr="001B6E4D" w:rsidRDefault="00650DD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p w14:paraId="66B6B1C0" w14:textId="45573447" w:rsidR="009B28A5" w:rsidRPr="001B6E4D" w:rsidRDefault="009B28A5" w:rsidP="003D1018">
      <w:pPr>
        <w:pStyle w:val="-40"/>
        <w:kinsoku w:val="0"/>
        <w:overflowPunct w:val="0"/>
        <w:topLinePunct/>
        <w:spacing w:beforeLines="100" w:before="360" w:afterLines="70" w:after="252" w:line="260" w:lineRule="exact"/>
        <w:ind w:leftChars="128" w:left="307" w:firstLineChars="400" w:firstLine="1121"/>
        <w:outlineLvl w:val="2"/>
        <w:rPr>
          <w:color w:val="000000" w:themeColor="text1"/>
          <w:shd w:val="clear" w:color="auto" w:fill="FFFFFF" w:themeFill="background1"/>
        </w:rPr>
      </w:pPr>
      <w:bookmarkStart w:id="291" w:name="_Toc136594846"/>
      <w:bookmarkStart w:id="292" w:name="_Toc240446549"/>
      <w:r w:rsidRPr="001B6E4D">
        <w:rPr>
          <w:color w:val="000000" w:themeColor="text1"/>
          <w:shd w:val="clear" w:color="auto" w:fill="FFFFFF" w:themeFill="background1"/>
        </w:rPr>
        <w:t>（</w:t>
      </w:r>
      <w:r w:rsidR="0081047B" w:rsidRPr="001B6E4D">
        <w:rPr>
          <w:rFonts w:hint="eastAsia"/>
          <w:color w:val="000000" w:themeColor="text1"/>
          <w:shd w:val="clear" w:color="auto" w:fill="FFFFFF" w:themeFill="background1"/>
        </w:rPr>
        <w:t>三</w:t>
      </w:r>
      <w:r w:rsidRPr="001B6E4D">
        <w:rPr>
          <w:color w:val="000000" w:themeColor="text1"/>
          <w:shd w:val="clear" w:color="auto" w:fill="FFFFFF" w:themeFill="background1"/>
        </w:rPr>
        <w:t>）立法院</w:t>
      </w:r>
      <w:r w:rsidR="00491815" w:rsidRPr="001B6E4D">
        <w:rPr>
          <w:color w:val="000000" w:themeColor="text1"/>
          <w:shd w:val="clear" w:color="auto" w:fill="FFFFFF" w:themeFill="background1"/>
        </w:rPr>
        <w:t>10</w:t>
      </w:r>
      <w:r w:rsidRPr="001B6E4D">
        <w:rPr>
          <w:color w:val="000000" w:themeColor="text1"/>
          <w:shd w:val="clear" w:color="auto" w:fill="FFFFFF" w:themeFill="background1"/>
        </w:rPr>
        <w:t>案</w:t>
      </w:r>
      <w:bookmarkEnd w:id="291"/>
      <w:bookmarkEnd w:id="292"/>
    </w:p>
    <w:tbl>
      <w:tblPr>
        <w:tblStyle w:val="ae"/>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27"/>
        <w:gridCol w:w="3224"/>
        <w:gridCol w:w="2164"/>
        <w:gridCol w:w="1518"/>
        <w:gridCol w:w="1494"/>
      </w:tblGrid>
      <w:tr w:rsidR="00C87651" w:rsidRPr="001B6E4D" w14:paraId="659B462D" w14:textId="77777777" w:rsidTr="009E1230">
        <w:tc>
          <w:tcPr>
            <w:tcW w:w="295" w:type="pct"/>
            <w:vAlign w:val="center"/>
          </w:tcPr>
          <w:p w14:paraId="09CDF30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293" w:name="_Toc361217341"/>
            <w:bookmarkStart w:id="294" w:name="_Toc362968401"/>
            <w:r w:rsidRPr="001B6E4D">
              <w:rPr>
                <w:rFonts w:ascii="標楷體" w:eastAsia="標楷體" w:hAnsi="標楷體"/>
                <w:b/>
                <w:color w:val="000000" w:themeColor="text1"/>
                <w:sz w:val="24"/>
                <w:shd w:val="clear" w:color="auto" w:fill="FFFFFF" w:themeFill="background1"/>
              </w:rPr>
              <w:t>序號</w:t>
            </w:r>
          </w:p>
        </w:tc>
        <w:tc>
          <w:tcPr>
            <w:tcW w:w="1806" w:type="pct"/>
            <w:vAlign w:val="center"/>
          </w:tcPr>
          <w:p w14:paraId="3CF1636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212" w:type="pct"/>
            <w:vAlign w:val="center"/>
          </w:tcPr>
          <w:p w14:paraId="137F5D0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1820C3FD"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3C0B90B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50" w:type="pct"/>
            <w:vAlign w:val="center"/>
          </w:tcPr>
          <w:p w14:paraId="22BB5AC1"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37" w:type="pct"/>
            <w:vAlign w:val="center"/>
          </w:tcPr>
          <w:p w14:paraId="08956047"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ED6B2B" w:rsidRPr="001B6E4D" w14:paraId="7642F01A" w14:textId="77777777" w:rsidTr="009E1230">
        <w:tc>
          <w:tcPr>
            <w:tcW w:w="295" w:type="pct"/>
          </w:tcPr>
          <w:p w14:paraId="60F88C8A" w14:textId="2387DE68" w:rsidR="00ED6B2B" w:rsidRPr="001B6E4D" w:rsidRDefault="00ED6B2B"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w:t>
            </w:r>
          </w:p>
        </w:tc>
        <w:tc>
          <w:tcPr>
            <w:tcW w:w="1806" w:type="pct"/>
          </w:tcPr>
          <w:p w14:paraId="3A3473A2" w14:textId="2E6BF879" w:rsidR="00ED6B2B" w:rsidRPr="001B6E4D" w:rsidRDefault="00ED6B2B"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立法院各委員會組織法第四條、第九條及第二十二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修正重點：召集委員因故無法主持會議時，應指定該委員會成員</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人為代理主席主持會議，未指定時由該委員會互推</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人為臨時主席；改開秘密會議時，出列席人員</w:t>
            </w:r>
            <w:proofErr w:type="gramStart"/>
            <w:r w:rsidRPr="001B6E4D">
              <w:rPr>
                <w:rFonts w:hAnsi="標楷體" w:cs="Times New Roman"/>
                <w:color w:val="000000" w:themeColor="text1"/>
                <w:sz w:val="24"/>
                <w:szCs w:val="24"/>
              </w:rPr>
              <w:t>均須切</w:t>
            </w:r>
            <w:proofErr w:type="gramEnd"/>
            <w:r w:rsidRPr="001B6E4D">
              <w:rPr>
                <w:rFonts w:hAnsi="標楷體" w:cs="Times New Roman"/>
                <w:color w:val="000000" w:themeColor="text1"/>
                <w:sz w:val="24"/>
                <w:szCs w:val="24"/>
              </w:rPr>
              <w:t>結保密協議；</w:t>
            </w:r>
            <w:proofErr w:type="gramStart"/>
            <w:r w:rsidRPr="001B6E4D">
              <w:rPr>
                <w:rFonts w:hAnsi="標楷體" w:cs="Times New Roman"/>
                <w:color w:val="000000" w:themeColor="text1"/>
                <w:sz w:val="24"/>
                <w:szCs w:val="24"/>
              </w:rPr>
              <w:t>明確化否准</w:t>
            </w:r>
            <w:proofErr w:type="gramEnd"/>
            <w:r w:rsidRPr="001B6E4D">
              <w:rPr>
                <w:rFonts w:hAnsi="標楷體" w:cs="Times New Roman"/>
                <w:color w:val="000000" w:themeColor="text1"/>
                <w:sz w:val="24"/>
                <w:szCs w:val="24"/>
              </w:rPr>
              <w:t>採訪、旁聽之事由。）</w:t>
            </w:r>
          </w:p>
        </w:tc>
        <w:tc>
          <w:tcPr>
            <w:tcW w:w="1212" w:type="pct"/>
          </w:tcPr>
          <w:p w14:paraId="7F2818BD"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委員賴瑞隆</w:t>
            </w:r>
          </w:p>
          <w:p w14:paraId="404A023F"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24500D4"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0944DE1A" w14:textId="5C3DABF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（11-1-3）</w:t>
            </w:r>
          </w:p>
        </w:tc>
        <w:tc>
          <w:tcPr>
            <w:tcW w:w="850" w:type="pct"/>
          </w:tcPr>
          <w:p w14:paraId="32095387" w14:textId="44FB12C0"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37" w:type="pct"/>
          </w:tcPr>
          <w:p w14:paraId="6F0B186E"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17B51525"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113.4.10舉行「如何落實國會調查／</w:t>
            </w:r>
            <w:proofErr w:type="gramStart"/>
            <w:r w:rsidRPr="001B6E4D">
              <w:rPr>
                <w:rFonts w:ascii="標楷體" w:eastAsia="標楷體" w:hAnsi="標楷體"/>
                <w:color w:val="000000" w:themeColor="text1"/>
                <w:sz w:val="24"/>
              </w:rPr>
              <w:t>聽證權以</w:t>
            </w:r>
            <w:proofErr w:type="gramEnd"/>
            <w:r w:rsidRPr="001B6E4D">
              <w:rPr>
                <w:rFonts w:ascii="標楷體" w:eastAsia="標楷體" w:hAnsi="標楷體"/>
                <w:color w:val="000000" w:themeColor="text1"/>
                <w:sz w:val="24"/>
              </w:rPr>
              <w:t>有效監督行政機關，並避免侵犯人民</w:t>
            </w:r>
            <w:proofErr w:type="gramStart"/>
            <w:r w:rsidRPr="001B6E4D">
              <w:rPr>
                <w:rFonts w:ascii="標楷體" w:eastAsia="標楷體" w:hAnsi="標楷體"/>
                <w:color w:val="000000" w:themeColor="text1"/>
                <w:sz w:val="24"/>
              </w:rPr>
              <w:t>自由／</w:t>
            </w:r>
            <w:proofErr w:type="gramEnd"/>
            <w:r w:rsidRPr="001B6E4D">
              <w:rPr>
                <w:rFonts w:ascii="標楷體" w:eastAsia="標楷體" w:hAnsi="標楷體"/>
                <w:color w:val="000000" w:themeColor="text1"/>
                <w:sz w:val="24"/>
              </w:rPr>
              <w:t>隱私權」公聽會。</w:t>
            </w:r>
          </w:p>
          <w:p w14:paraId="18F8F68C"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2AD631D8" w14:textId="221724FD"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113.4.11舉行「如何落實國會調查／</w:t>
            </w:r>
            <w:proofErr w:type="gramStart"/>
            <w:r w:rsidRPr="001B6E4D">
              <w:rPr>
                <w:rFonts w:ascii="標楷體" w:eastAsia="標楷體" w:hAnsi="標楷體"/>
                <w:color w:val="000000" w:themeColor="text1"/>
                <w:sz w:val="24"/>
              </w:rPr>
              <w:t>聽證權以</w:t>
            </w:r>
            <w:proofErr w:type="gramEnd"/>
            <w:r w:rsidRPr="001B6E4D">
              <w:rPr>
                <w:rFonts w:ascii="標楷體" w:eastAsia="標楷體" w:hAnsi="標楷體"/>
                <w:color w:val="000000" w:themeColor="text1"/>
                <w:sz w:val="24"/>
              </w:rPr>
              <w:t>有效監督行政機關，並防範機密外</w:t>
            </w:r>
            <w:proofErr w:type="gramStart"/>
            <w:r w:rsidRPr="001B6E4D">
              <w:rPr>
                <w:rFonts w:ascii="標楷體" w:eastAsia="標楷體" w:hAnsi="標楷體"/>
                <w:color w:val="000000" w:themeColor="text1"/>
                <w:sz w:val="24"/>
              </w:rPr>
              <w:t>洩</w:t>
            </w:r>
            <w:proofErr w:type="gramEnd"/>
            <w:r w:rsidRPr="001B6E4D">
              <w:rPr>
                <w:rFonts w:ascii="標楷體" w:eastAsia="標楷體" w:hAnsi="標楷體"/>
                <w:color w:val="000000" w:themeColor="text1"/>
                <w:sz w:val="24"/>
              </w:rPr>
              <w:t>危害國</w:t>
            </w:r>
            <w:r w:rsidRPr="001B6E4D">
              <w:rPr>
                <w:rFonts w:ascii="標楷體" w:eastAsia="標楷體" w:hAnsi="標楷體"/>
                <w:color w:val="000000" w:themeColor="text1"/>
                <w:sz w:val="24"/>
              </w:rPr>
              <w:lastRenderedPageBreak/>
              <w:t>安」公聽會。</w:t>
            </w:r>
          </w:p>
        </w:tc>
      </w:tr>
      <w:tr w:rsidR="00ED6B2B" w:rsidRPr="001B6E4D" w14:paraId="1835693E" w14:textId="77777777" w:rsidTr="009E1230">
        <w:tc>
          <w:tcPr>
            <w:tcW w:w="295" w:type="pct"/>
          </w:tcPr>
          <w:p w14:paraId="6C938475" w14:textId="38B0D06D" w:rsidR="00ED6B2B" w:rsidRPr="001B6E4D" w:rsidRDefault="00ED6B2B"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w:t>
            </w:r>
          </w:p>
        </w:tc>
        <w:tc>
          <w:tcPr>
            <w:tcW w:w="1806" w:type="pct"/>
          </w:tcPr>
          <w:p w14:paraId="724D7E94" w14:textId="0596830E" w:rsidR="00ED6B2B" w:rsidRPr="001B6E4D" w:rsidRDefault="00ED6B2B"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立法院各委員會組織法增訂第五條之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增訂重點：輪值召集委員於委員會進行中，明定具體時間，宣告休息之權。）</w:t>
            </w:r>
          </w:p>
        </w:tc>
        <w:tc>
          <w:tcPr>
            <w:tcW w:w="1212" w:type="pct"/>
          </w:tcPr>
          <w:p w14:paraId="5F106F9B"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149678D5"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6BA64FF4"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113.05.17</w:t>
            </w:r>
          </w:p>
          <w:p w14:paraId="1BDF6396" w14:textId="665635E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（11-1-14）</w:t>
            </w:r>
          </w:p>
        </w:tc>
        <w:tc>
          <w:tcPr>
            <w:tcW w:w="850" w:type="pct"/>
          </w:tcPr>
          <w:p w14:paraId="63FC2D6F" w14:textId="16A839AE"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37" w:type="pct"/>
          </w:tcPr>
          <w:p w14:paraId="5C67E126" w14:textId="3B7D6F9D"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ED6B2B" w:rsidRPr="001B6E4D" w14:paraId="18016214" w14:textId="77777777" w:rsidTr="009E1230">
        <w:tc>
          <w:tcPr>
            <w:tcW w:w="295" w:type="pct"/>
          </w:tcPr>
          <w:p w14:paraId="54131B5B" w14:textId="7BE9CE83" w:rsidR="00ED6B2B" w:rsidRPr="001B6E4D" w:rsidRDefault="00ED6B2B"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w:t>
            </w:r>
          </w:p>
        </w:tc>
        <w:tc>
          <w:tcPr>
            <w:tcW w:w="1806" w:type="pct"/>
          </w:tcPr>
          <w:p w14:paraId="7C0D55DC" w14:textId="693265DE" w:rsidR="00ED6B2B" w:rsidRPr="001B6E4D" w:rsidRDefault="00ED6B2B"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1.立法院組織法第五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修正重點：於國會議事轉播中，以即時或後製等方式，提供多元族群語言相互翻譯之字幕或語音。）</w:t>
            </w:r>
          </w:p>
        </w:tc>
        <w:tc>
          <w:tcPr>
            <w:tcW w:w="1212" w:type="pct"/>
          </w:tcPr>
          <w:p w14:paraId="7F7EB1A7"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委員伍麗華</w:t>
            </w:r>
          </w:p>
          <w:p w14:paraId="3A723DC4" w14:textId="77777777" w:rsidR="00ED6B2B" w:rsidRPr="001B6E4D" w:rsidRDefault="00ED6B2B"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Saidhai</w:t>
            </w:r>
            <w:proofErr w:type="spellEnd"/>
            <w:r w:rsidRPr="001B6E4D">
              <w:rPr>
                <w:rFonts w:ascii="標楷體" w:eastAsia="標楷體" w:hAnsi="標楷體"/>
                <w:color w:val="000000" w:themeColor="text1"/>
                <w:sz w:val="24"/>
              </w:rPr>
              <w:t>‧</w:t>
            </w:r>
          </w:p>
          <w:p w14:paraId="4BB869D6" w14:textId="77777777" w:rsidR="00ED6B2B" w:rsidRPr="001B6E4D" w:rsidRDefault="00ED6B2B"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Tahovecahe</w:t>
            </w:r>
            <w:proofErr w:type="spellEnd"/>
          </w:p>
          <w:p w14:paraId="7CC10437"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3CBAB24"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113.04.26</w:t>
            </w:r>
          </w:p>
          <w:p w14:paraId="162EF370" w14:textId="077152FB"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（11-1-11）</w:t>
            </w:r>
          </w:p>
        </w:tc>
        <w:tc>
          <w:tcPr>
            <w:tcW w:w="850" w:type="pct"/>
          </w:tcPr>
          <w:p w14:paraId="223DD167" w14:textId="255A655A"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37" w:type="pct"/>
          </w:tcPr>
          <w:p w14:paraId="38971B5C" w14:textId="43D0B4AE"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ED6B2B" w:rsidRPr="001B6E4D" w14:paraId="0DF83813" w14:textId="77777777" w:rsidTr="009E1230">
        <w:tc>
          <w:tcPr>
            <w:tcW w:w="295" w:type="pct"/>
          </w:tcPr>
          <w:p w14:paraId="081C61F3" w14:textId="5F758DA4" w:rsidR="00ED6B2B" w:rsidRPr="001B6E4D" w:rsidRDefault="00ED6B2B"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w:t>
            </w:r>
          </w:p>
        </w:tc>
        <w:tc>
          <w:tcPr>
            <w:tcW w:w="1806" w:type="pct"/>
          </w:tcPr>
          <w:p w14:paraId="43E66219" w14:textId="7A4D0EBB" w:rsidR="00ED6B2B" w:rsidRPr="001B6E4D" w:rsidRDefault="00ED6B2B"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2.立法院組織法第五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修正重點：於國會議事轉播中，以即時或後製等方式，逐步提供多元族群語言相互翻譯之字幕或語音。）</w:t>
            </w:r>
          </w:p>
        </w:tc>
        <w:tc>
          <w:tcPr>
            <w:tcW w:w="1212" w:type="pct"/>
          </w:tcPr>
          <w:p w14:paraId="6B881E53"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委員李昆澤</w:t>
            </w:r>
          </w:p>
          <w:p w14:paraId="60004711"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等25人</w:t>
            </w:r>
          </w:p>
          <w:p w14:paraId="05B34D31"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181D5F4D" w14:textId="4AA50780"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850" w:type="pct"/>
          </w:tcPr>
          <w:p w14:paraId="39DDBC67" w14:textId="5F5A1CEB"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37" w:type="pct"/>
          </w:tcPr>
          <w:p w14:paraId="0A919470" w14:textId="67298A8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ED6B2B" w:rsidRPr="001B6E4D" w14:paraId="010255D8" w14:textId="77777777" w:rsidTr="009E1230">
        <w:tc>
          <w:tcPr>
            <w:tcW w:w="295" w:type="pct"/>
          </w:tcPr>
          <w:p w14:paraId="068BEAE7" w14:textId="02C969D3" w:rsidR="00ED6B2B" w:rsidRPr="001B6E4D" w:rsidRDefault="00ED6B2B"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w:t>
            </w:r>
          </w:p>
        </w:tc>
        <w:tc>
          <w:tcPr>
            <w:tcW w:w="1806" w:type="pct"/>
          </w:tcPr>
          <w:p w14:paraId="40BF43A9" w14:textId="48B7F663" w:rsidR="00ED6B2B" w:rsidRPr="001B6E4D" w:rsidRDefault="00ED6B2B"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立法院組織法第十九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修正重點：將心理衛生服務納入立法院院內服務事項。）</w:t>
            </w:r>
          </w:p>
        </w:tc>
        <w:tc>
          <w:tcPr>
            <w:tcW w:w="1212" w:type="pct"/>
          </w:tcPr>
          <w:p w14:paraId="019B8083"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委員李昆澤</w:t>
            </w:r>
          </w:p>
          <w:p w14:paraId="459DCA80"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等26人</w:t>
            </w:r>
          </w:p>
          <w:p w14:paraId="516E7115"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1E445BAB" w14:textId="14F51D1B"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850" w:type="pct"/>
          </w:tcPr>
          <w:p w14:paraId="3F7D7328" w14:textId="7B07C2D1"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37" w:type="pct"/>
          </w:tcPr>
          <w:p w14:paraId="4AB79CAC" w14:textId="1EE288BC"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ED6B2B" w:rsidRPr="001B6E4D" w14:paraId="63D12936" w14:textId="77777777" w:rsidTr="009E1230">
        <w:tc>
          <w:tcPr>
            <w:tcW w:w="295" w:type="pct"/>
          </w:tcPr>
          <w:p w14:paraId="51A3ED66" w14:textId="04C915E9" w:rsidR="00ED6B2B" w:rsidRPr="001B6E4D" w:rsidRDefault="00ED6B2B"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6</w:t>
            </w:r>
          </w:p>
        </w:tc>
        <w:tc>
          <w:tcPr>
            <w:tcW w:w="1806" w:type="pct"/>
          </w:tcPr>
          <w:p w14:paraId="18D74929" w14:textId="6D87E1B1" w:rsidR="00ED6B2B" w:rsidRPr="001B6E4D" w:rsidRDefault="00ED6B2B"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1.立法院組織法第三十二條及第三十二條之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修正重點：增訂立法院公費助理之會期津貼、子女教育補助、結婚補助、生育補助、進修補助等相關生活津貼、並建立資訊公開機制。）</w:t>
            </w:r>
          </w:p>
        </w:tc>
        <w:tc>
          <w:tcPr>
            <w:tcW w:w="1212" w:type="pct"/>
          </w:tcPr>
          <w:p w14:paraId="02EAE31E"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委員林月琴</w:t>
            </w:r>
          </w:p>
          <w:p w14:paraId="0817B5BE"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0A3E437"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115.01.09</w:t>
            </w:r>
          </w:p>
          <w:p w14:paraId="76162EFD" w14:textId="7A76C033"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（11-4-17）</w:t>
            </w:r>
          </w:p>
        </w:tc>
        <w:tc>
          <w:tcPr>
            <w:tcW w:w="850" w:type="pct"/>
          </w:tcPr>
          <w:p w14:paraId="4C158DE8" w14:textId="131E9141"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37" w:type="pct"/>
          </w:tcPr>
          <w:p w14:paraId="71F1C9A1" w14:textId="0AE1C055"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ED6B2B" w:rsidRPr="001B6E4D" w14:paraId="453AB618" w14:textId="77777777" w:rsidTr="009E1230">
        <w:tc>
          <w:tcPr>
            <w:tcW w:w="295" w:type="pct"/>
          </w:tcPr>
          <w:p w14:paraId="71566786" w14:textId="786885EA" w:rsidR="00ED6B2B" w:rsidRPr="001B6E4D" w:rsidRDefault="00ED6B2B"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7</w:t>
            </w:r>
          </w:p>
        </w:tc>
        <w:tc>
          <w:tcPr>
            <w:tcW w:w="1806" w:type="pct"/>
          </w:tcPr>
          <w:p w14:paraId="1ACE6BBB" w14:textId="5CE661FC" w:rsidR="00ED6B2B" w:rsidRPr="001B6E4D" w:rsidRDefault="00ED6B2B"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2.立法院組織法第三十二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修正重點：編列預算補助心理諮商費用。）</w:t>
            </w:r>
          </w:p>
        </w:tc>
        <w:tc>
          <w:tcPr>
            <w:tcW w:w="1212" w:type="pct"/>
          </w:tcPr>
          <w:p w14:paraId="0D49E3AE"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委員蘇巧慧</w:t>
            </w:r>
          </w:p>
          <w:p w14:paraId="66B04999"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404660D" w14:textId="7777777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115.01.16</w:t>
            </w:r>
          </w:p>
          <w:p w14:paraId="7C0795B5" w14:textId="07CBB0AE"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（11-4-18）</w:t>
            </w:r>
          </w:p>
        </w:tc>
        <w:tc>
          <w:tcPr>
            <w:tcW w:w="850" w:type="pct"/>
          </w:tcPr>
          <w:p w14:paraId="4A074A79" w14:textId="2C45C047"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37" w:type="pct"/>
          </w:tcPr>
          <w:p w14:paraId="14C0D867" w14:textId="0AEE3F0F" w:rsidR="00ED6B2B" w:rsidRPr="001B6E4D" w:rsidRDefault="00ED6B2B"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91815" w:rsidRPr="001B6E4D" w14:paraId="06EE7948" w14:textId="77777777" w:rsidTr="009E1230">
        <w:tc>
          <w:tcPr>
            <w:tcW w:w="295" w:type="pct"/>
          </w:tcPr>
          <w:p w14:paraId="3FAF5D80" w14:textId="2E59D1B3" w:rsidR="00491815" w:rsidRPr="001B6E4D" w:rsidRDefault="0049181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8</w:t>
            </w:r>
          </w:p>
        </w:tc>
        <w:tc>
          <w:tcPr>
            <w:tcW w:w="1806" w:type="pct"/>
          </w:tcPr>
          <w:p w14:paraId="45A2DB9B" w14:textId="46CE9A51" w:rsidR="00491815" w:rsidRPr="001B6E4D" w:rsidRDefault="00491815"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1.立法院組織法第二十四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修正重點：明定護理師之職務列舉及任</w:t>
            </w:r>
            <w:r w:rsidRPr="001B6E4D">
              <w:rPr>
                <w:rFonts w:hAnsi="標楷體" w:cs="Times New Roman"/>
                <w:color w:val="000000" w:themeColor="text1"/>
                <w:sz w:val="24"/>
                <w:szCs w:val="24"/>
              </w:rPr>
              <w:lastRenderedPageBreak/>
              <w:t>用分級。）</w:t>
            </w:r>
          </w:p>
        </w:tc>
        <w:tc>
          <w:tcPr>
            <w:tcW w:w="1212" w:type="pct"/>
          </w:tcPr>
          <w:p w14:paraId="7F02EA8A" w14:textId="77777777"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2DECBD86" w14:textId="77777777"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115.03.13</w:t>
            </w:r>
          </w:p>
          <w:p w14:paraId="13CF9690" w14:textId="6E2F8E3A"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（11-5-3）</w:t>
            </w:r>
          </w:p>
        </w:tc>
        <w:tc>
          <w:tcPr>
            <w:tcW w:w="850" w:type="pct"/>
          </w:tcPr>
          <w:p w14:paraId="1DCFD035" w14:textId="31702B07"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37" w:type="pct"/>
          </w:tcPr>
          <w:p w14:paraId="48733614" w14:textId="372F6B02"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91815" w:rsidRPr="001B6E4D" w14:paraId="62BCC6EC" w14:textId="77777777" w:rsidTr="009E1230">
        <w:tc>
          <w:tcPr>
            <w:tcW w:w="295" w:type="pct"/>
          </w:tcPr>
          <w:p w14:paraId="0E9D89A3" w14:textId="3128FFCC" w:rsidR="00491815" w:rsidRPr="001B6E4D" w:rsidRDefault="0049181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9</w:t>
            </w:r>
          </w:p>
        </w:tc>
        <w:tc>
          <w:tcPr>
            <w:tcW w:w="1806" w:type="pct"/>
          </w:tcPr>
          <w:p w14:paraId="4CB5EDC8" w14:textId="0CEA074F" w:rsidR="00491815" w:rsidRPr="001B6E4D" w:rsidRDefault="00491815"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2.立法院組織法第二十四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修正重點：規範護理師</w:t>
            </w:r>
            <w:proofErr w:type="gramStart"/>
            <w:r w:rsidRPr="001B6E4D">
              <w:rPr>
                <w:rFonts w:hAnsi="標楷體" w:cs="Times New Roman"/>
                <w:color w:val="000000" w:themeColor="text1"/>
                <w:sz w:val="24"/>
                <w:szCs w:val="24"/>
              </w:rPr>
              <w:t>職務列師</w:t>
            </w:r>
            <w:proofErr w:type="gramEnd"/>
            <w:r w:rsidRPr="001B6E4D">
              <w:rPr>
                <w:rFonts w:hAnsi="標楷體" w:cs="Times New Roman"/>
                <w:color w:val="000000" w:themeColor="text1"/>
                <w:sz w:val="24"/>
                <w:szCs w:val="24"/>
              </w:rPr>
              <w:t>(三)級、護士職務列士(生)級。）</w:t>
            </w:r>
          </w:p>
        </w:tc>
        <w:tc>
          <w:tcPr>
            <w:tcW w:w="1212" w:type="pct"/>
          </w:tcPr>
          <w:p w14:paraId="09271F25" w14:textId="77777777"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委員劉建國</w:t>
            </w:r>
          </w:p>
          <w:p w14:paraId="3CE27FD2" w14:textId="77777777"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584E69AA" w14:textId="77777777"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115.04.24</w:t>
            </w:r>
          </w:p>
          <w:p w14:paraId="7A6FFB01" w14:textId="53387872"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w:t>
            </w:r>
          </w:p>
        </w:tc>
        <w:tc>
          <w:tcPr>
            <w:tcW w:w="850" w:type="pct"/>
          </w:tcPr>
          <w:p w14:paraId="34FD3E0A" w14:textId="38719783"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37" w:type="pct"/>
          </w:tcPr>
          <w:p w14:paraId="7241D607" w14:textId="78CE5E38"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91815" w:rsidRPr="001B6E4D" w14:paraId="29B86ACB" w14:textId="77777777" w:rsidTr="009E1230">
        <w:tc>
          <w:tcPr>
            <w:tcW w:w="295" w:type="pct"/>
          </w:tcPr>
          <w:p w14:paraId="0EDEF001" w14:textId="7452A404" w:rsidR="00491815" w:rsidRPr="001B6E4D" w:rsidRDefault="0049181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10</w:t>
            </w:r>
          </w:p>
        </w:tc>
        <w:tc>
          <w:tcPr>
            <w:tcW w:w="1806" w:type="pct"/>
          </w:tcPr>
          <w:p w14:paraId="19AA0F3D" w14:textId="283372D0" w:rsidR="00491815" w:rsidRPr="001B6E4D" w:rsidRDefault="00491815"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廢止「三一九槍擊事件真相調查特別委員會條例」</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廢止重點：大法官二次宣告違憲，</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提案廢止。）</w:t>
            </w:r>
          </w:p>
        </w:tc>
        <w:tc>
          <w:tcPr>
            <w:tcW w:w="1212" w:type="pct"/>
          </w:tcPr>
          <w:p w14:paraId="17956B93" w14:textId="77777777"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5A4C9CA6" w14:textId="77777777"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482279A0" w14:textId="77777777"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113.10.18</w:t>
            </w:r>
          </w:p>
          <w:p w14:paraId="2C174578" w14:textId="6DA0C97C"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（11-2-5）</w:t>
            </w:r>
          </w:p>
        </w:tc>
        <w:tc>
          <w:tcPr>
            <w:tcW w:w="850" w:type="pct"/>
          </w:tcPr>
          <w:p w14:paraId="13D0C9D0" w14:textId="64A6971D"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37" w:type="pct"/>
          </w:tcPr>
          <w:p w14:paraId="4BDAF366" w14:textId="30800ED3" w:rsidR="00491815" w:rsidRPr="001B6E4D" w:rsidRDefault="0049181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p w14:paraId="6A26E30B" w14:textId="6C5F2C75" w:rsidR="009B28A5" w:rsidRPr="001B6E4D" w:rsidRDefault="009B28A5" w:rsidP="003D1018">
      <w:pPr>
        <w:pStyle w:val="-40"/>
        <w:kinsoku w:val="0"/>
        <w:overflowPunct w:val="0"/>
        <w:topLinePunct/>
        <w:spacing w:beforeLines="100" w:before="360" w:afterLines="70" w:after="252" w:line="260" w:lineRule="exact"/>
        <w:ind w:leftChars="128" w:left="307" w:firstLineChars="400" w:firstLine="1121"/>
        <w:outlineLvl w:val="2"/>
        <w:rPr>
          <w:color w:val="000000" w:themeColor="text1"/>
          <w:shd w:val="clear" w:color="auto" w:fill="FFFFFF" w:themeFill="background1"/>
        </w:rPr>
      </w:pPr>
      <w:bookmarkStart w:id="295" w:name="_Toc136594849"/>
      <w:bookmarkStart w:id="296" w:name="_Toc240446550"/>
      <w:r w:rsidRPr="001B6E4D">
        <w:rPr>
          <w:color w:val="000000" w:themeColor="text1"/>
          <w:shd w:val="clear" w:color="auto" w:fill="FFFFFF" w:themeFill="background1"/>
        </w:rPr>
        <w:t>（</w:t>
      </w:r>
      <w:r w:rsidR="0081047B" w:rsidRPr="001B6E4D">
        <w:rPr>
          <w:rFonts w:hint="eastAsia"/>
          <w:color w:val="000000" w:themeColor="text1"/>
          <w:shd w:val="clear" w:color="auto" w:fill="FFFFFF" w:themeFill="background1"/>
        </w:rPr>
        <w:t>四</w:t>
      </w:r>
      <w:r w:rsidRPr="001B6E4D">
        <w:rPr>
          <w:color w:val="000000" w:themeColor="text1"/>
          <w:shd w:val="clear" w:color="auto" w:fill="FFFFFF" w:themeFill="background1"/>
        </w:rPr>
        <w:t>）司法院</w:t>
      </w:r>
      <w:r w:rsidR="004B493F" w:rsidRPr="001B6E4D">
        <w:rPr>
          <w:color w:val="000000" w:themeColor="text1"/>
          <w:shd w:val="clear" w:color="auto" w:fill="FFFFFF" w:themeFill="background1"/>
        </w:rPr>
        <w:t>45</w:t>
      </w:r>
      <w:r w:rsidRPr="001B6E4D">
        <w:rPr>
          <w:color w:val="000000" w:themeColor="text1"/>
          <w:shd w:val="clear" w:color="auto" w:fill="FFFFFF" w:themeFill="background1"/>
        </w:rPr>
        <w:t>案</w:t>
      </w:r>
      <w:bookmarkStart w:id="297" w:name="_Hlk188008989"/>
      <w:bookmarkEnd w:id="293"/>
      <w:bookmarkEnd w:id="294"/>
      <w:bookmarkEnd w:id="295"/>
      <w:bookmarkEnd w:id="296"/>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461"/>
        <w:gridCol w:w="3344"/>
        <w:gridCol w:w="2126"/>
        <w:gridCol w:w="1559"/>
        <w:gridCol w:w="1437"/>
      </w:tblGrid>
      <w:tr w:rsidR="00C87651" w:rsidRPr="001B6E4D" w14:paraId="68F89B32" w14:textId="77777777" w:rsidTr="00E12B04">
        <w:tc>
          <w:tcPr>
            <w:tcW w:w="258" w:type="pct"/>
            <w:vAlign w:val="center"/>
            <w:hideMark/>
          </w:tcPr>
          <w:p w14:paraId="70E10272"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298" w:name="_Toc361217342"/>
            <w:bookmarkStart w:id="299" w:name="_Toc362968402"/>
            <w:r w:rsidRPr="001B6E4D">
              <w:rPr>
                <w:rFonts w:ascii="標楷體" w:eastAsia="標楷體" w:hAnsi="標楷體"/>
                <w:b/>
                <w:color w:val="000000" w:themeColor="text1"/>
                <w:sz w:val="24"/>
                <w:shd w:val="clear" w:color="auto" w:fill="FFFFFF" w:themeFill="background1"/>
              </w:rPr>
              <w:t>序號</w:t>
            </w:r>
          </w:p>
        </w:tc>
        <w:tc>
          <w:tcPr>
            <w:tcW w:w="1873" w:type="pct"/>
            <w:vAlign w:val="center"/>
            <w:hideMark/>
          </w:tcPr>
          <w:p w14:paraId="0327CD5F"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91" w:type="pct"/>
            <w:vAlign w:val="center"/>
            <w:hideMark/>
          </w:tcPr>
          <w:p w14:paraId="28FE7607"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4502AD15"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12B6D480"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73" w:type="pct"/>
            <w:vAlign w:val="center"/>
            <w:hideMark/>
          </w:tcPr>
          <w:p w14:paraId="0B02EC20"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05" w:type="pct"/>
            <w:vAlign w:val="center"/>
            <w:hideMark/>
          </w:tcPr>
          <w:p w14:paraId="0A292EE4"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4B493F" w:rsidRPr="001B6E4D" w14:paraId="60F25BE1" w14:textId="77777777" w:rsidTr="00E12B04">
        <w:tc>
          <w:tcPr>
            <w:tcW w:w="258" w:type="pct"/>
          </w:tcPr>
          <w:p w14:paraId="7BB67D77" w14:textId="7FCED63A"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w:t>
            </w:r>
          </w:p>
        </w:tc>
        <w:tc>
          <w:tcPr>
            <w:tcW w:w="1873" w:type="pct"/>
          </w:tcPr>
          <w:p w14:paraId="22F83E0F" w14:textId="3CFD5D5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法院組織法第六十三條之</w:t>
            </w:r>
            <w:proofErr w:type="gramStart"/>
            <w:r w:rsidRPr="001B6E4D">
              <w:rPr>
                <w:rFonts w:ascii="標楷體" w:eastAsia="標楷體" w:hAnsi="標楷體"/>
                <w:color w:val="000000" w:themeColor="text1"/>
                <w:sz w:val="24"/>
              </w:rPr>
              <w:t>一</w:t>
            </w:r>
            <w:proofErr w:type="gramEnd"/>
            <w:r w:rsidRPr="001B6E4D">
              <w:rPr>
                <w:rFonts w:ascii="標楷體" w:eastAsia="標楷體" w:hAnsi="標楷體"/>
                <w:color w:val="000000" w:themeColor="text1"/>
                <w:sz w:val="24"/>
              </w:rPr>
              <w:t>條文修正草案</w:t>
            </w:r>
            <w:proofErr w:type="gramStart"/>
            <w:r w:rsidRPr="001B6E4D">
              <w:rPr>
                <w:rFonts w:ascii="標楷體" w:eastAsia="標楷體" w:hAnsi="標楷體"/>
                <w:color w:val="000000" w:themeColor="text1"/>
                <w:sz w:val="24"/>
              </w:rPr>
              <w:t>（</w:t>
            </w:r>
            <w:proofErr w:type="gramEnd"/>
            <w:r w:rsidRPr="001B6E4D">
              <w:rPr>
                <w:rFonts w:ascii="標楷體" w:eastAsia="標楷體" w:hAnsi="標楷體"/>
                <w:color w:val="000000" w:themeColor="text1"/>
                <w:sz w:val="24"/>
              </w:rPr>
              <w:t>修正重點：確立最高檢察署設特別偵查組及所職掌相關事項，以及人數、</w:t>
            </w:r>
            <w:proofErr w:type="gramStart"/>
            <w:r w:rsidRPr="001B6E4D">
              <w:rPr>
                <w:rFonts w:ascii="標楷體" w:eastAsia="標楷體" w:hAnsi="標楷體"/>
                <w:color w:val="000000" w:themeColor="text1"/>
                <w:sz w:val="24"/>
              </w:rPr>
              <w:t>人員調辦或</w:t>
            </w:r>
            <w:proofErr w:type="gramEnd"/>
            <w:r w:rsidRPr="001B6E4D">
              <w:rPr>
                <w:rFonts w:ascii="標楷體" w:eastAsia="標楷體" w:hAnsi="標楷體"/>
                <w:color w:val="000000" w:themeColor="text1"/>
                <w:sz w:val="24"/>
              </w:rPr>
              <w:t>借調規範等；另包含特</w:t>
            </w:r>
            <w:proofErr w:type="gramStart"/>
            <w:r w:rsidRPr="001B6E4D">
              <w:rPr>
                <w:rFonts w:ascii="標楷體" w:eastAsia="標楷體" w:hAnsi="標楷體"/>
                <w:color w:val="000000" w:themeColor="text1"/>
                <w:sz w:val="24"/>
              </w:rPr>
              <w:t>偵</w:t>
            </w:r>
            <w:proofErr w:type="gramEnd"/>
            <w:r w:rsidRPr="001B6E4D">
              <w:rPr>
                <w:rFonts w:ascii="標楷體" w:eastAsia="標楷體" w:hAnsi="標楷體"/>
                <w:color w:val="000000" w:themeColor="text1"/>
                <w:sz w:val="24"/>
              </w:rPr>
              <w:t>組所受國會監督，所應配合決議赴立法院報告之規範。）</w:t>
            </w:r>
          </w:p>
        </w:tc>
        <w:tc>
          <w:tcPr>
            <w:tcW w:w="1191" w:type="pct"/>
          </w:tcPr>
          <w:p w14:paraId="5EF3A102"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委員廖偉翔</w:t>
            </w:r>
          </w:p>
          <w:p w14:paraId="4374BCF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7082378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113.02.23</w:t>
            </w:r>
          </w:p>
          <w:p w14:paraId="28719ACB" w14:textId="4E983FA8"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w:t>
            </w:r>
          </w:p>
        </w:tc>
        <w:tc>
          <w:tcPr>
            <w:tcW w:w="873" w:type="pct"/>
          </w:tcPr>
          <w:p w14:paraId="294C3351" w14:textId="41CEEA2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6B596E89" w14:textId="39FA612B"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2DF35851" w14:textId="77777777" w:rsidTr="00E12B04">
        <w:tc>
          <w:tcPr>
            <w:tcW w:w="258" w:type="pct"/>
          </w:tcPr>
          <w:p w14:paraId="3C36FF22" w14:textId="09EC45C5"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w:t>
            </w:r>
          </w:p>
        </w:tc>
        <w:tc>
          <w:tcPr>
            <w:tcW w:w="1873" w:type="pct"/>
          </w:tcPr>
          <w:p w14:paraId="24E68BFA" w14:textId="73D54814"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法院組織法第八十三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修正重點：檢察官於案件偵查終結後，應公開起訴書、聲請簡易處刑書、不起訴處分書及緩起訴處分書等檢察書類。）</w:t>
            </w:r>
          </w:p>
        </w:tc>
        <w:tc>
          <w:tcPr>
            <w:tcW w:w="1191" w:type="pct"/>
          </w:tcPr>
          <w:p w14:paraId="6CD3E17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177D78BC"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438D8A5B"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114.10.14</w:t>
            </w:r>
          </w:p>
          <w:p w14:paraId="3B94BA61" w14:textId="28019888"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（11-4-4）</w:t>
            </w:r>
          </w:p>
        </w:tc>
        <w:tc>
          <w:tcPr>
            <w:tcW w:w="873" w:type="pct"/>
          </w:tcPr>
          <w:p w14:paraId="53BEFCCB" w14:textId="5FA2F4C0"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1CEE101C"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3ECC0E2"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114.11.20</w:t>
            </w:r>
          </w:p>
          <w:p w14:paraId="60F4E49D" w14:textId="3AD10560"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r w:rsidR="00E12B04" w:rsidRPr="001B6E4D">
              <w:rPr>
                <w:rFonts w:ascii="標楷體" w:eastAsia="標楷體" w:hAnsi="標楷體" w:hint="eastAsia"/>
                <w:color w:val="000000" w:themeColor="text1"/>
                <w:sz w:val="24"/>
              </w:rPr>
              <w:t>。</w:t>
            </w:r>
          </w:p>
        </w:tc>
      </w:tr>
      <w:tr w:rsidR="004B493F" w:rsidRPr="001B6E4D" w14:paraId="5FEC312C" w14:textId="77777777" w:rsidTr="00E12B04">
        <w:tc>
          <w:tcPr>
            <w:tcW w:w="258" w:type="pct"/>
          </w:tcPr>
          <w:p w14:paraId="6132F91F" w14:textId="763F7641"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w:t>
            </w:r>
          </w:p>
        </w:tc>
        <w:tc>
          <w:tcPr>
            <w:tcW w:w="1873" w:type="pct"/>
          </w:tcPr>
          <w:p w14:paraId="7B8C11C5" w14:textId="0DAAFB78"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1.法院組織法第九十七條及第九十八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修正重點：將「國語」正式改為「國家語言」。）</w:t>
            </w:r>
          </w:p>
        </w:tc>
        <w:tc>
          <w:tcPr>
            <w:tcW w:w="1191" w:type="pct"/>
          </w:tcPr>
          <w:p w14:paraId="417A8AA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委員郭昱晴</w:t>
            </w:r>
          </w:p>
          <w:p w14:paraId="1526207B"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72B8D32A"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114.10.17</w:t>
            </w:r>
          </w:p>
          <w:p w14:paraId="6A6707D3" w14:textId="3789F336"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（11-4-5）</w:t>
            </w:r>
          </w:p>
        </w:tc>
        <w:tc>
          <w:tcPr>
            <w:tcW w:w="873" w:type="pct"/>
          </w:tcPr>
          <w:p w14:paraId="0DA4286F" w14:textId="4BF20C4D"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10CB3CE7" w14:textId="57D574ED"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4B665119" w14:textId="77777777" w:rsidTr="00E12B04">
        <w:tc>
          <w:tcPr>
            <w:tcW w:w="258" w:type="pct"/>
          </w:tcPr>
          <w:p w14:paraId="4622258B" w14:textId="43CF5A38"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w:t>
            </w:r>
          </w:p>
        </w:tc>
        <w:tc>
          <w:tcPr>
            <w:tcW w:w="1873" w:type="pct"/>
          </w:tcPr>
          <w:p w14:paraId="2707258E" w14:textId="1416778A"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2.法院組織法第九十七條、第九十八條及第九十九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修正重點：將「國語」改為「國家語言」。）</w:t>
            </w:r>
          </w:p>
        </w:tc>
        <w:tc>
          <w:tcPr>
            <w:tcW w:w="1191" w:type="pct"/>
          </w:tcPr>
          <w:p w14:paraId="114B05C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委員陳培瑜</w:t>
            </w:r>
          </w:p>
          <w:p w14:paraId="0629469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7885B12B"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114.11.28</w:t>
            </w:r>
          </w:p>
          <w:p w14:paraId="176C091D" w14:textId="3BEAC62B"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w:t>
            </w:r>
          </w:p>
        </w:tc>
        <w:tc>
          <w:tcPr>
            <w:tcW w:w="873" w:type="pct"/>
          </w:tcPr>
          <w:p w14:paraId="26A6518A" w14:textId="656A90B2"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1142D15B" w14:textId="167FC054"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7C8570CF" w14:textId="77777777" w:rsidTr="00E12B04">
        <w:tc>
          <w:tcPr>
            <w:tcW w:w="258" w:type="pct"/>
          </w:tcPr>
          <w:p w14:paraId="224AA721" w14:textId="6EC1ECE4"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5</w:t>
            </w:r>
          </w:p>
        </w:tc>
        <w:tc>
          <w:tcPr>
            <w:tcW w:w="1873" w:type="pct"/>
          </w:tcPr>
          <w:p w14:paraId="24FA6EE3" w14:textId="30A9744F"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3.法院組織法第九十七條及第九十八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修正重點：將「國語」改為「國家語言」。）</w:t>
            </w:r>
          </w:p>
        </w:tc>
        <w:tc>
          <w:tcPr>
            <w:tcW w:w="1191" w:type="pct"/>
          </w:tcPr>
          <w:p w14:paraId="7920215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委員張雅琳</w:t>
            </w:r>
          </w:p>
          <w:p w14:paraId="60AC2B39"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4803061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367CC266" w14:textId="370D9F23"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873" w:type="pct"/>
          </w:tcPr>
          <w:p w14:paraId="6B3A84EA" w14:textId="0588543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3F09F83F" w14:textId="517DF06F"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11A49C5F" w14:textId="77777777" w:rsidTr="00E12B04">
        <w:tc>
          <w:tcPr>
            <w:tcW w:w="258" w:type="pct"/>
          </w:tcPr>
          <w:p w14:paraId="1C8D2BA7" w14:textId="5A5CA346"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6</w:t>
            </w:r>
          </w:p>
        </w:tc>
        <w:tc>
          <w:tcPr>
            <w:tcW w:w="1873" w:type="pct"/>
          </w:tcPr>
          <w:p w14:paraId="6ED06641" w14:textId="60E75833"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法院組織法第十七條之二條文修正草案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w:t>
            </w:r>
            <w:proofErr w:type="gramStart"/>
            <w:r w:rsidRPr="001B6E4D">
              <w:rPr>
                <w:rFonts w:hAnsi="標楷體" w:cs="Times New Roman"/>
                <w:color w:val="000000" w:themeColor="text1"/>
                <w:sz w:val="24"/>
                <w:szCs w:val="24"/>
              </w:rPr>
              <w:t>借調具軍法官</w:t>
            </w:r>
            <w:proofErr w:type="gramEnd"/>
            <w:r w:rsidRPr="001B6E4D">
              <w:rPr>
                <w:rFonts w:hAnsi="標楷體" w:cs="Times New Roman"/>
                <w:color w:val="000000" w:themeColor="text1"/>
                <w:sz w:val="24"/>
                <w:szCs w:val="24"/>
              </w:rPr>
              <w:t>資格人員至法院擔任司法事務官。）</w:t>
            </w:r>
          </w:p>
        </w:tc>
        <w:tc>
          <w:tcPr>
            <w:tcW w:w="1191" w:type="pct"/>
          </w:tcPr>
          <w:p w14:paraId="05BA476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委員邱志偉</w:t>
            </w:r>
          </w:p>
          <w:p w14:paraId="5650EBFD"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797A390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114.11.28</w:t>
            </w:r>
          </w:p>
          <w:p w14:paraId="4BEFBB7B" w14:textId="60E9AB03"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w:t>
            </w:r>
          </w:p>
        </w:tc>
        <w:tc>
          <w:tcPr>
            <w:tcW w:w="873" w:type="pct"/>
          </w:tcPr>
          <w:p w14:paraId="46F83EDE" w14:textId="1881D572"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3C9094AE" w14:textId="6568CFE9"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407FFFF5" w14:textId="77777777" w:rsidTr="00E12B04">
        <w:tc>
          <w:tcPr>
            <w:tcW w:w="258" w:type="pct"/>
          </w:tcPr>
          <w:p w14:paraId="705B6731" w14:textId="05DCC8A2"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7</w:t>
            </w:r>
          </w:p>
        </w:tc>
        <w:tc>
          <w:tcPr>
            <w:tcW w:w="1873" w:type="pct"/>
          </w:tcPr>
          <w:p w14:paraId="7D92A507" w14:textId="477FC3DB"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22、23、38、39、52、53、69、95；增訂§23-1~5、114-3。修正重點：提高三等書記官、法警長及副法警長之職務列等，並增訂法警得分小隊辦事之規定；賦予法警在執行職務時，可適當採取限制或干涉人民自由或財產措施之權限；對違反法庭秩序者得直接採取罰鍰。）</w:t>
            </w:r>
          </w:p>
        </w:tc>
        <w:tc>
          <w:tcPr>
            <w:tcW w:w="1191" w:type="pct"/>
          </w:tcPr>
          <w:p w14:paraId="35670542"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司法院、行政院、考試院</w:t>
            </w:r>
          </w:p>
          <w:p w14:paraId="4C4189B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115.08.14</w:t>
            </w:r>
          </w:p>
          <w:p w14:paraId="7DD202D6" w14:textId="094D4265"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（11-5-22）</w:t>
            </w:r>
          </w:p>
        </w:tc>
        <w:tc>
          <w:tcPr>
            <w:tcW w:w="873" w:type="pct"/>
          </w:tcPr>
          <w:p w14:paraId="7CC3D156" w14:textId="2D05FFE5"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7F42CB59" w14:textId="02D2E2D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01F08E2E" w14:textId="77777777" w:rsidTr="00E12B04">
        <w:tc>
          <w:tcPr>
            <w:tcW w:w="258" w:type="pct"/>
          </w:tcPr>
          <w:p w14:paraId="6CBD569D" w14:textId="47B974C8"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8</w:t>
            </w:r>
          </w:p>
        </w:tc>
        <w:tc>
          <w:tcPr>
            <w:tcW w:w="1873" w:type="pct"/>
          </w:tcPr>
          <w:p w14:paraId="36B0C58A" w14:textId="1CBB3092"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修正§22、23、38、39、52、53、69；增訂§114-3。修正重點：提高書記官及法警職務列等，並明定法警之司法警察身分及職權依據。）</w:t>
            </w:r>
          </w:p>
        </w:tc>
        <w:tc>
          <w:tcPr>
            <w:tcW w:w="1191" w:type="pct"/>
          </w:tcPr>
          <w:p w14:paraId="29E8CF7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636AC20B"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11A30F5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115.06.12</w:t>
            </w:r>
          </w:p>
          <w:p w14:paraId="36970664" w14:textId="3790534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（11-5-14）</w:t>
            </w:r>
          </w:p>
        </w:tc>
        <w:tc>
          <w:tcPr>
            <w:tcW w:w="873" w:type="pct"/>
          </w:tcPr>
          <w:p w14:paraId="5ADCFA33" w14:textId="277B36FA"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30CF6A4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02CBA7A"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6A77687E" w14:textId="6EFA92E3"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4B493F" w:rsidRPr="001B6E4D" w14:paraId="4BC4E85C" w14:textId="77777777" w:rsidTr="00E12B04">
        <w:tc>
          <w:tcPr>
            <w:tcW w:w="258" w:type="pct"/>
          </w:tcPr>
          <w:p w14:paraId="0F415A69" w14:textId="5C12F29A"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9</w:t>
            </w:r>
          </w:p>
        </w:tc>
        <w:tc>
          <w:tcPr>
            <w:tcW w:w="1873" w:type="pct"/>
          </w:tcPr>
          <w:p w14:paraId="593637B9" w14:textId="5DF1EE56"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修正§22、23、38、39、52、53、69、95；增訂§23-1~5、114-3。修正重點：調高書記官及法警長、副法警長職務列等，並明確法警辦理事務，增訂相關職權、程序及授權辦法。）</w:t>
            </w:r>
          </w:p>
        </w:tc>
        <w:tc>
          <w:tcPr>
            <w:tcW w:w="1191" w:type="pct"/>
          </w:tcPr>
          <w:p w14:paraId="255144C4"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委員王育敏</w:t>
            </w:r>
          </w:p>
          <w:p w14:paraId="39C7DFC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3E0C78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10049C49" w14:textId="215492D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873" w:type="pct"/>
          </w:tcPr>
          <w:p w14:paraId="1BEC5B76" w14:textId="449300ED"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5697595D"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074C39C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557D8785" w14:textId="125042F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4B493F" w:rsidRPr="001B6E4D" w14:paraId="51AE6C9E" w14:textId="77777777" w:rsidTr="00E12B04">
        <w:tc>
          <w:tcPr>
            <w:tcW w:w="258" w:type="pct"/>
          </w:tcPr>
          <w:p w14:paraId="04CC96B3" w14:textId="2B89BFB8"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10</w:t>
            </w:r>
          </w:p>
        </w:tc>
        <w:tc>
          <w:tcPr>
            <w:tcW w:w="1873" w:type="pct"/>
          </w:tcPr>
          <w:p w14:paraId="37BDF9DD" w14:textId="5E8CB2E9"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修正§22、23、38、39、52、53、69、95；增訂§23-1~5、114-3。修正重點：調高</w:t>
            </w:r>
            <w:r w:rsidRPr="001B6E4D">
              <w:rPr>
                <w:rFonts w:hAnsi="標楷體" w:cs="Times New Roman"/>
                <w:color w:val="000000" w:themeColor="text1"/>
                <w:sz w:val="24"/>
                <w:szCs w:val="24"/>
              </w:rPr>
              <w:lastRenderedPageBreak/>
              <w:t>書記官及法警長、副法警長職務列等，明確法警職權、勤務範圍及安全維護措施之法律依據。）</w:t>
            </w:r>
          </w:p>
        </w:tc>
        <w:tc>
          <w:tcPr>
            <w:tcW w:w="1191" w:type="pct"/>
          </w:tcPr>
          <w:p w14:paraId="56B86FE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委員羅智強</w:t>
            </w:r>
          </w:p>
          <w:p w14:paraId="7CA9FA42"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1FF2B42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115.07.24</w:t>
            </w:r>
          </w:p>
          <w:p w14:paraId="0E276CE7" w14:textId="3CF637E0"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w:t>
            </w:r>
          </w:p>
        </w:tc>
        <w:tc>
          <w:tcPr>
            <w:tcW w:w="873" w:type="pct"/>
          </w:tcPr>
          <w:p w14:paraId="198996B0" w14:textId="4CCA61F1"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0B1C450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690D54A"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4E669D54" w14:textId="0D53571F"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w:t>
            </w:r>
            <w:r w:rsidRPr="001B6E4D">
              <w:rPr>
                <w:rFonts w:ascii="標楷體" w:eastAsia="標楷體" w:hAnsi="標楷體"/>
                <w:color w:val="000000" w:themeColor="text1"/>
                <w:sz w:val="24"/>
              </w:rPr>
              <w:lastRenderedPageBreak/>
              <w:t>完畢，另定期繼續審查。</w:t>
            </w:r>
          </w:p>
        </w:tc>
      </w:tr>
      <w:tr w:rsidR="004B493F" w:rsidRPr="001B6E4D" w14:paraId="0D6DACF0" w14:textId="77777777" w:rsidTr="00E12B04">
        <w:tc>
          <w:tcPr>
            <w:tcW w:w="258" w:type="pct"/>
          </w:tcPr>
          <w:p w14:paraId="2A4F5E6F" w14:textId="439019C7"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w:t>
            </w:r>
          </w:p>
        </w:tc>
        <w:tc>
          <w:tcPr>
            <w:tcW w:w="1873" w:type="pct"/>
          </w:tcPr>
          <w:p w14:paraId="41E69B0C" w14:textId="0A39AFAD"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修正§22、23、38、39、52、53、69、95；增訂§23-1~5、114-3。修正重點：調高書記官及法警之職務列等，明確法警職權及相應損失補償機制，並將違反法庭秩序之行為，改</w:t>
            </w:r>
            <w:proofErr w:type="gramStart"/>
            <w:r w:rsidRPr="001B6E4D">
              <w:rPr>
                <w:rFonts w:hAnsi="標楷體" w:cs="Times New Roman"/>
                <w:color w:val="000000" w:themeColor="text1"/>
                <w:sz w:val="24"/>
                <w:szCs w:val="24"/>
              </w:rPr>
              <w:t>採</w:t>
            </w:r>
            <w:proofErr w:type="gramEnd"/>
            <w:r w:rsidRPr="001B6E4D">
              <w:rPr>
                <w:rFonts w:hAnsi="標楷體" w:cs="Times New Roman"/>
                <w:color w:val="000000" w:themeColor="text1"/>
                <w:sz w:val="24"/>
                <w:szCs w:val="24"/>
              </w:rPr>
              <w:t>罰鍰先行、再犯加重刑罰之層級化處置。）</w:t>
            </w:r>
          </w:p>
        </w:tc>
        <w:tc>
          <w:tcPr>
            <w:tcW w:w="1191" w:type="pct"/>
          </w:tcPr>
          <w:p w14:paraId="6215452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委員吳宗憲</w:t>
            </w:r>
          </w:p>
          <w:p w14:paraId="650AEA0B"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6EC19204"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115.07.24</w:t>
            </w:r>
          </w:p>
          <w:p w14:paraId="46D6E337" w14:textId="130BA47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w:t>
            </w:r>
          </w:p>
        </w:tc>
        <w:tc>
          <w:tcPr>
            <w:tcW w:w="873" w:type="pct"/>
          </w:tcPr>
          <w:p w14:paraId="3CD7963D" w14:textId="40B1D46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012F6053"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18EF3E5"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35AB7329" w14:textId="342F6452"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4B493F" w:rsidRPr="001B6E4D" w14:paraId="16AB3A5B" w14:textId="77777777" w:rsidTr="00E12B04">
        <w:tc>
          <w:tcPr>
            <w:tcW w:w="258" w:type="pct"/>
          </w:tcPr>
          <w:p w14:paraId="13E2A1D9" w14:textId="41EA641D"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12</w:t>
            </w:r>
          </w:p>
        </w:tc>
        <w:tc>
          <w:tcPr>
            <w:tcW w:w="1873" w:type="pct"/>
          </w:tcPr>
          <w:p w14:paraId="7867C2F1" w14:textId="580F8912"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修正§22、23、38、39、52、53、69、95；增訂§23-1~5、114-3。修正重點：提高三等書記官、法警長及副法警長職務列等，對違反維持法庭秩序命令之行為者，得處罰鍰。）</w:t>
            </w:r>
          </w:p>
        </w:tc>
        <w:tc>
          <w:tcPr>
            <w:tcW w:w="1191" w:type="pct"/>
          </w:tcPr>
          <w:p w14:paraId="670A5DE4"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委員鄭天財</w:t>
            </w:r>
          </w:p>
          <w:p w14:paraId="13C0D251" w14:textId="77777777" w:rsidR="004B493F" w:rsidRPr="001B6E4D" w:rsidRDefault="004B493F"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Sra</w:t>
            </w:r>
            <w:proofErr w:type="spellEnd"/>
            <w:r w:rsidRPr="001B6E4D">
              <w:rPr>
                <w:rFonts w:ascii="標楷體" w:eastAsia="標楷體" w:hAnsi="標楷體"/>
                <w:color w:val="000000" w:themeColor="text1"/>
                <w:sz w:val="24"/>
              </w:rPr>
              <w:t xml:space="preserve"> </w:t>
            </w:r>
            <w:proofErr w:type="spellStart"/>
            <w:r w:rsidRPr="001B6E4D">
              <w:rPr>
                <w:rFonts w:ascii="標楷體" w:eastAsia="標楷體" w:hAnsi="標楷體"/>
                <w:color w:val="000000" w:themeColor="text1"/>
                <w:sz w:val="24"/>
              </w:rPr>
              <w:t>Kacaw</w:t>
            </w:r>
            <w:proofErr w:type="spellEnd"/>
          </w:p>
          <w:p w14:paraId="675122C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2EAFEC5C"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115.08.07</w:t>
            </w:r>
          </w:p>
          <w:p w14:paraId="3FAE91D6" w14:textId="2E0B4483"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（11-5-21）</w:t>
            </w:r>
          </w:p>
        </w:tc>
        <w:tc>
          <w:tcPr>
            <w:tcW w:w="873" w:type="pct"/>
          </w:tcPr>
          <w:p w14:paraId="271D8301" w14:textId="01502D2F"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3237830C" w14:textId="7BE22482"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2415691F" w14:textId="77777777" w:rsidTr="00E12B04">
        <w:tc>
          <w:tcPr>
            <w:tcW w:w="258" w:type="pct"/>
          </w:tcPr>
          <w:p w14:paraId="40B32615" w14:textId="646E8AC6"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13</w:t>
            </w:r>
          </w:p>
        </w:tc>
        <w:tc>
          <w:tcPr>
            <w:tcW w:w="1873" w:type="pct"/>
          </w:tcPr>
          <w:p w14:paraId="33C8BCE9" w14:textId="7FCEB6D3"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修正§22、23、38、39、52、53、69、95；增訂§23-1~5、114-3。修正重點：提高書記官及法警之職務列等，明確法警職權及相應之損失補償機制；違反法庭秩序之處罰改</w:t>
            </w:r>
            <w:proofErr w:type="gramStart"/>
            <w:r w:rsidRPr="001B6E4D">
              <w:rPr>
                <w:rFonts w:hAnsi="標楷體" w:cs="Times New Roman"/>
                <w:color w:val="000000" w:themeColor="text1"/>
                <w:sz w:val="24"/>
                <w:szCs w:val="24"/>
              </w:rPr>
              <w:t>採</w:t>
            </w:r>
            <w:proofErr w:type="gramEnd"/>
            <w:r w:rsidRPr="001B6E4D">
              <w:rPr>
                <w:rFonts w:hAnsi="標楷體" w:cs="Times New Roman"/>
                <w:color w:val="000000" w:themeColor="text1"/>
                <w:sz w:val="24"/>
                <w:szCs w:val="24"/>
              </w:rPr>
              <w:t>行政罰鍰先行、再犯始加重刑罰之層級化處置機制。）</w:t>
            </w:r>
          </w:p>
        </w:tc>
        <w:tc>
          <w:tcPr>
            <w:tcW w:w="1191" w:type="pct"/>
          </w:tcPr>
          <w:p w14:paraId="3848C83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5B36DBA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115.08.14</w:t>
            </w:r>
          </w:p>
          <w:p w14:paraId="370402D9" w14:textId="62954313"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（11-5-22）</w:t>
            </w:r>
          </w:p>
        </w:tc>
        <w:tc>
          <w:tcPr>
            <w:tcW w:w="873" w:type="pct"/>
          </w:tcPr>
          <w:p w14:paraId="2FEE0E42" w14:textId="133B0C9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5AA5C222" w14:textId="5B5ECAC8"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56DD8F80" w14:textId="77777777" w:rsidTr="00E12B04">
        <w:tc>
          <w:tcPr>
            <w:tcW w:w="258" w:type="pct"/>
          </w:tcPr>
          <w:p w14:paraId="171D4713" w14:textId="0CD7115F"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14</w:t>
            </w:r>
          </w:p>
        </w:tc>
        <w:tc>
          <w:tcPr>
            <w:tcW w:w="1873" w:type="pct"/>
          </w:tcPr>
          <w:p w14:paraId="593C513C" w14:textId="31C22442"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修正§22、23、38、39、52、53、69、95；增訂§23-1~5、114-3。修正重點：調整書記官及法警之職務列等；違反法庭秩序之處置方式修正為以罰鍰先行、短期再犯始加重刑事處罰之分級制度。）</w:t>
            </w:r>
          </w:p>
        </w:tc>
        <w:tc>
          <w:tcPr>
            <w:tcW w:w="1191" w:type="pct"/>
          </w:tcPr>
          <w:p w14:paraId="7FF5BB09"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委員傅</w:t>
            </w:r>
            <w:r w:rsidRPr="001B6E4D">
              <w:rPr>
                <w:rFonts w:ascii="標楷體" w:eastAsia="標楷體" w:hAnsi="標楷體" w:hint="eastAsia"/>
                <w:color w:val="000000" w:themeColor="text1"/>
                <w:sz w:val="24"/>
              </w:rPr>
              <w:t>崐萁</w:t>
            </w:r>
          </w:p>
          <w:p w14:paraId="111537EA"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19人</w:t>
            </w:r>
          </w:p>
          <w:p w14:paraId="760ED85B"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7A054083" w14:textId="328F1EC9"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11-5-23）</w:t>
            </w:r>
          </w:p>
        </w:tc>
        <w:tc>
          <w:tcPr>
            <w:tcW w:w="873" w:type="pct"/>
          </w:tcPr>
          <w:p w14:paraId="3688DA00" w14:textId="379CC516"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3B2007F2" w14:textId="14419C16"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2F3FF8D1" w14:textId="77777777" w:rsidTr="00E12B04">
        <w:tc>
          <w:tcPr>
            <w:tcW w:w="258" w:type="pct"/>
          </w:tcPr>
          <w:p w14:paraId="1F83FBE8" w14:textId="443945F0"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15</w:t>
            </w:r>
          </w:p>
        </w:tc>
        <w:tc>
          <w:tcPr>
            <w:tcW w:w="1873" w:type="pct"/>
          </w:tcPr>
          <w:p w14:paraId="2563C255" w14:textId="643CE41F"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修正§22、23、38、39、52、53、69、95；增訂§23-1~5、114-3。修正重點：調高三等書記官、法警長、副法警長及法警之職務列等；對初次違反維持法庭秩序命令並妨害法院執行職務者，先由法院裁定處以罰鍰。）</w:t>
            </w:r>
          </w:p>
        </w:tc>
        <w:tc>
          <w:tcPr>
            <w:tcW w:w="1191" w:type="pct"/>
          </w:tcPr>
          <w:p w14:paraId="0F087499"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526DC44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5810E36A"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7F23028E" w14:textId="1AF135BF"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（11-5-23）</w:t>
            </w:r>
          </w:p>
        </w:tc>
        <w:tc>
          <w:tcPr>
            <w:tcW w:w="873" w:type="pct"/>
          </w:tcPr>
          <w:p w14:paraId="7D25ECF4" w14:textId="32A7AAD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33005815" w14:textId="6552CF41"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277097A7" w14:textId="77777777" w:rsidTr="00E12B04">
        <w:tc>
          <w:tcPr>
            <w:tcW w:w="258" w:type="pct"/>
          </w:tcPr>
          <w:p w14:paraId="6C2C9494" w14:textId="25769898"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16</w:t>
            </w:r>
          </w:p>
        </w:tc>
        <w:tc>
          <w:tcPr>
            <w:tcW w:w="1873" w:type="pct"/>
          </w:tcPr>
          <w:p w14:paraId="054CD8A5" w14:textId="51C8B82A"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法院組織法第十二條、第三十四條及第五十一</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修正重點：限縮法官可命法官助理辦理事務之範圍。）</w:t>
            </w:r>
          </w:p>
        </w:tc>
        <w:tc>
          <w:tcPr>
            <w:tcW w:w="1191" w:type="pct"/>
          </w:tcPr>
          <w:p w14:paraId="1C4DFEE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773876A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115.06.12</w:t>
            </w:r>
          </w:p>
          <w:p w14:paraId="701FF48D" w14:textId="4C2CA7E1"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（11-5-14）</w:t>
            </w:r>
          </w:p>
        </w:tc>
        <w:tc>
          <w:tcPr>
            <w:tcW w:w="873" w:type="pct"/>
          </w:tcPr>
          <w:p w14:paraId="14F5B16C" w14:textId="68313A0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30A43ACD" w14:textId="438C0FD6"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6263576A" w14:textId="77777777" w:rsidTr="00E12B04">
        <w:tc>
          <w:tcPr>
            <w:tcW w:w="258" w:type="pct"/>
          </w:tcPr>
          <w:p w14:paraId="242F7A92" w14:textId="181D6489"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17</w:t>
            </w:r>
          </w:p>
        </w:tc>
        <w:tc>
          <w:tcPr>
            <w:tcW w:w="1873" w:type="pct"/>
          </w:tcPr>
          <w:p w14:paraId="4C7DE71D" w14:textId="3AA6AC3E"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行政法院組織法部分條文修正草案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修正§5、§5附表</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~二、10、15；增訂第四章之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章名、§20-1~3；刪除§10-1~2。修正重點：修正行政法院遴選進用法官助理規定；配合稅務行政事件審理法草案設置稅務審查官。）</w:t>
            </w:r>
          </w:p>
        </w:tc>
        <w:tc>
          <w:tcPr>
            <w:tcW w:w="1191" w:type="pct"/>
          </w:tcPr>
          <w:p w14:paraId="272AA383"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司法院</w:t>
            </w:r>
          </w:p>
          <w:p w14:paraId="29CF9C0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113.10.18</w:t>
            </w:r>
          </w:p>
          <w:p w14:paraId="15182698" w14:textId="1CA17E4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（11-2-5）</w:t>
            </w:r>
          </w:p>
        </w:tc>
        <w:tc>
          <w:tcPr>
            <w:tcW w:w="873" w:type="pct"/>
          </w:tcPr>
          <w:p w14:paraId="5A8D4DA3" w14:textId="7A772DE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4929FB1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6A93B13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113.10.30</w:t>
            </w:r>
          </w:p>
          <w:p w14:paraId="3F03A7B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(11-2-10)報告及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0A44D0B3"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0D071AA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113.11.25</w:t>
            </w:r>
          </w:p>
          <w:p w14:paraId="64953D6C"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(11-2-16)另定期繼續審查。</w:t>
            </w:r>
          </w:p>
          <w:p w14:paraId="4C623525"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3.本會</w:t>
            </w:r>
          </w:p>
          <w:p w14:paraId="6E9DAF45"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113.12.30</w:t>
            </w:r>
          </w:p>
          <w:p w14:paraId="3259DA4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(11-2-23)另定期繼續審查。</w:t>
            </w:r>
          </w:p>
          <w:p w14:paraId="3C18E66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4.本會</w:t>
            </w:r>
          </w:p>
          <w:p w14:paraId="224D1315"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w:t>
            </w:r>
          </w:p>
          <w:p w14:paraId="01E1CF8B"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(11-2-24)另定期繼續審查。</w:t>
            </w:r>
          </w:p>
          <w:p w14:paraId="4EE3C2D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5.本會</w:t>
            </w:r>
          </w:p>
          <w:p w14:paraId="12B6868E"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114.1.8</w:t>
            </w:r>
          </w:p>
          <w:p w14:paraId="7F54B4E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(11-2-26)</w:t>
            </w:r>
            <w:r w:rsidRPr="001B6E4D">
              <w:rPr>
                <w:rFonts w:ascii="標楷體" w:eastAsia="標楷體" w:hAnsi="標楷體"/>
                <w:color w:val="000000" w:themeColor="text1"/>
                <w:sz w:val="24"/>
              </w:rPr>
              <w:lastRenderedPageBreak/>
              <w:t>另定期繼續審查。</w:t>
            </w:r>
          </w:p>
          <w:p w14:paraId="6FACC80C"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6.本會</w:t>
            </w:r>
          </w:p>
          <w:p w14:paraId="52837529"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115.7.2</w:t>
            </w:r>
          </w:p>
          <w:p w14:paraId="79E85DCC" w14:textId="1832890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(11-5-22)另定期繼續審查。</w:t>
            </w:r>
          </w:p>
        </w:tc>
      </w:tr>
      <w:tr w:rsidR="004B493F" w:rsidRPr="001B6E4D" w14:paraId="4FE138CE" w14:textId="77777777" w:rsidTr="00E12B04">
        <w:tc>
          <w:tcPr>
            <w:tcW w:w="258" w:type="pct"/>
          </w:tcPr>
          <w:p w14:paraId="5D00E0B6" w14:textId="0E4D279B"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18</w:t>
            </w:r>
          </w:p>
        </w:tc>
        <w:tc>
          <w:tcPr>
            <w:tcW w:w="1873" w:type="pct"/>
          </w:tcPr>
          <w:p w14:paraId="05B98B59" w14:textId="40F526F2"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1.「行政法院組織法部分條文修正草案」、「智慧財產及商業法院組織法第十八條、第二十一條及第三十七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條文修正草案」、「少年及家事法院組織法部分條文修正草案」及「懲戒法院組織法部分條文修正草案」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1】行政法院組織法修正§21、22、24、38。修正重點：提高三等書記官、法警長及副法警長職務列等；增訂法警得視業務需要分小隊辦事；對違反維持法庭秩序命令之行為者得處罰鍰；再違反者科處刑事處罰。【2】智慧財產及商業法院組織法修正重點：提高三等書記官、法警長及副法警長職務列等；增訂法警得視業務需要分小隊辦事；對違反維持法庭秩序命令之行為者得處罰鍰；再違反者科處刑事處罰。【3】少年及家事法院組織法修正§11、14、15、27、44。修正重點：提高三等書記官、法警長及副法警長職務列等；增訂法警得視業務需要分小隊辦事；對違反維持法庭秩序命令之行為者得處罰鍰；再違反者科處刑事處罰。【4】懲戒法院組織法修正§3、6、7、20。修正重點：</w:t>
            </w:r>
            <w:r w:rsidRPr="001B6E4D">
              <w:rPr>
                <w:rFonts w:hAnsi="標楷體" w:cs="Times New Roman"/>
                <w:color w:val="000000" w:themeColor="text1"/>
                <w:sz w:val="24"/>
                <w:szCs w:val="24"/>
              </w:rPr>
              <w:lastRenderedPageBreak/>
              <w:t>提高三等書記官及法警長職務列等；增訂法警得視業務需要分小隊辦事；對違反維持法庭秩序命令之行為者得處罰鍰；再違反者科處刑事處罰。）</w:t>
            </w:r>
          </w:p>
        </w:tc>
        <w:tc>
          <w:tcPr>
            <w:tcW w:w="1191" w:type="pct"/>
          </w:tcPr>
          <w:p w14:paraId="17E3F04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司法院、考試院</w:t>
            </w:r>
          </w:p>
          <w:p w14:paraId="1E84950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115.08.14</w:t>
            </w:r>
          </w:p>
          <w:p w14:paraId="3A239805" w14:textId="5F55F5D9"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（11-5-22）</w:t>
            </w:r>
          </w:p>
        </w:tc>
        <w:tc>
          <w:tcPr>
            <w:tcW w:w="873" w:type="pct"/>
          </w:tcPr>
          <w:p w14:paraId="028BC49F" w14:textId="7FC56A88"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4702C235" w14:textId="5394E86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1F068A6A" w14:textId="77777777" w:rsidTr="00E12B04">
        <w:tc>
          <w:tcPr>
            <w:tcW w:w="258" w:type="pct"/>
          </w:tcPr>
          <w:p w14:paraId="6BEE4F45" w14:textId="58F8C685"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19</w:t>
            </w:r>
          </w:p>
        </w:tc>
        <w:tc>
          <w:tcPr>
            <w:tcW w:w="1873" w:type="pct"/>
          </w:tcPr>
          <w:p w14:paraId="3063F870" w14:textId="5AE4C584"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2.行政法院組織法第二十一條、第二十二條及第二十四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修正重點：調高三等書記官及各級法警同仁之職務列等，放寬中高階書記官員額比例，增設兼任小隊長之彈性組織規定，並明定法警之司法警察身分及職權依據。）</w:t>
            </w:r>
          </w:p>
        </w:tc>
        <w:tc>
          <w:tcPr>
            <w:tcW w:w="1191" w:type="pct"/>
          </w:tcPr>
          <w:p w14:paraId="157A33B2"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0C1DE5D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720843F2"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115.06.12</w:t>
            </w:r>
          </w:p>
          <w:p w14:paraId="063EA999" w14:textId="42239400"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（11-5-14）</w:t>
            </w:r>
          </w:p>
        </w:tc>
        <w:tc>
          <w:tcPr>
            <w:tcW w:w="873" w:type="pct"/>
          </w:tcPr>
          <w:p w14:paraId="2CFCFBF2" w14:textId="69F18BDB"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728F31D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A76EFEC"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005A3096" w14:textId="3FDF1836"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4B493F" w:rsidRPr="001B6E4D" w14:paraId="70C5BC58" w14:textId="77777777" w:rsidTr="00E12B04">
        <w:tc>
          <w:tcPr>
            <w:tcW w:w="258" w:type="pct"/>
          </w:tcPr>
          <w:p w14:paraId="0CB85F9F" w14:textId="6CD77503"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20</w:t>
            </w:r>
          </w:p>
        </w:tc>
        <w:tc>
          <w:tcPr>
            <w:tcW w:w="1873" w:type="pct"/>
          </w:tcPr>
          <w:p w14:paraId="183918A0" w14:textId="20B0F20C"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3.行政法院組織法部分條文修正草案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修正§21、22、24、38。修正重點：調高三等書記官、法警長及副法警長之職務列等；違反維持法庭秩序命令者</w:t>
            </w:r>
            <w:proofErr w:type="gramStart"/>
            <w:r w:rsidRPr="001B6E4D">
              <w:rPr>
                <w:rFonts w:hAnsi="標楷體" w:cs="Times New Roman"/>
                <w:color w:val="000000" w:themeColor="text1"/>
                <w:sz w:val="24"/>
                <w:szCs w:val="24"/>
              </w:rPr>
              <w:t>採</w:t>
            </w:r>
            <w:proofErr w:type="gramEnd"/>
            <w:r w:rsidRPr="001B6E4D">
              <w:rPr>
                <w:rFonts w:hAnsi="標楷體" w:cs="Times New Roman"/>
                <w:color w:val="000000" w:themeColor="text1"/>
                <w:sz w:val="24"/>
                <w:szCs w:val="24"/>
              </w:rPr>
              <w:t>層級化處置。）</w:t>
            </w:r>
          </w:p>
        </w:tc>
        <w:tc>
          <w:tcPr>
            <w:tcW w:w="1191" w:type="pct"/>
          </w:tcPr>
          <w:p w14:paraId="3F4276D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委員王育敏</w:t>
            </w:r>
          </w:p>
          <w:p w14:paraId="73D731E9"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21A29CE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115.07.17</w:t>
            </w:r>
          </w:p>
          <w:p w14:paraId="61727F00" w14:textId="76690022"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（11-5-18）</w:t>
            </w:r>
          </w:p>
        </w:tc>
        <w:tc>
          <w:tcPr>
            <w:tcW w:w="873" w:type="pct"/>
          </w:tcPr>
          <w:p w14:paraId="007F0AC8" w14:textId="3537127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1CCCFBE3"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EE7E8F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24CD3DBA" w14:textId="21E119B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4B493F" w:rsidRPr="001B6E4D" w14:paraId="74903CF4" w14:textId="77777777" w:rsidTr="00E12B04">
        <w:tc>
          <w:tcPr>
            <w:tcW w:w="258" w:type="pct"/>
          </w:tcPr>
          <w:p w14:paraId="060E680D" w14:textId="5C7F58DF"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21</w:t>
            </w:r>
          </w:p>
        </w:tc>
        <w:tc>
          <w:tcPr>
            <w:tcW w:w="1873" w:type="pct"/>
          </w:tcPr>
          <w:p w14:paraId="71BA66A1" w14:textId="1C814326"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4.行政法院組織法部分條文修正草案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修正§21、22、24、38。修正重點：調高三等書記官、法警長及副法警長之職務列等；對違反維持法庭秩序命令之行為，得直接採取罰鍰。）</w:t>
            </w:r>
          </w:p>
        </w:tc>
        <w:tc>
          <w:tcPr>
            <w:tcW w:w="1191" w:type="pct"/>
          </w:tcPr>
          <w:p w14:paraId="25F9BE0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78FB04DA"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50F60CE4"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115.07.31</w:t>
            </w:r>
          </w:p>
          <w:p w14:paraId="17001944" w14:textId="0A595DA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（11-5-20）</w:t>
            </w:r>
          </w:p>
        </w:tc>
        <w:tc>
          <w:tcPr>
            <w:tcW w:w="873" w:type="pct"/>
          </w:tcPr>
          <w:p w14:paraId="79D5F308" w14:textId="216B56F8"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1FD975FD" w14:textId="2DF42683"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525C4096" w14:textId="77777777" w:rsidTr="00E12B04">
        <w:tc>
          <w:tcPr>
            <w:tcW w:w="258" w:type="pct"/>
          </w:tcPr>
          <w:p w14:paraId="384CC3D6" w14:textId="3826AAA9"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22</w:t>
            </w:r>
          </w:p>
        </w:tc>
        <w:tc>
          <w:tcPr>
            <w:tcW w:w="1873" w:type="pct"/>
          </w:tcPr>
          <w:p w14:paraId="7401BD8F" w14:textId="3E6DEC03"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5.行政法院組織法部分條文修正草案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修正§21、22、24、38。修正重點：調高三等書記官、法警長及副法警長之職務列等；對違反維持法庭秩序命令之行為，得直接採取罰鍰。）</w:t>
            </w:r>
          </w:p>
        </w:tc>
        <w:tc>
          <w:tcPr>
            <w:tcW w:w="1191" w:type="pct"/>
          </w:tcPr>
          <w:p w14:paraId="1A04080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委員許宇</w:t>
            </w:r>
            <w:proofErr w:type="gramStart"/>
            <w:r w:rsidRPr="001B6E4D">
              <w:rPr>
                <w:rFonts w:ascii="標楷體" w:eastAsia="標楷體" w:hAnsi="標楷體"/>
                <w:color w:val="000000" w:themeColor="text1"/>
                <w:sz w:val="24"/>
              </w:rPr>
              <w:t>甄</w:t>
            </w:r>
            <w:proofErr w:type="gramEnd"/>
          </w:p>
          <w:p w14:paraId="27B4E5B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61DC4F0D"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115.08.07</w:t>
            </w:r>
          </w:p>
          <w:p w14:paraId="01D20878" w14:textId="5BD195D0"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（11-5-21）</w:t>
            </w:r>
          </w:p>
        </w:tc>
        <w:tc>
          <w:tcPr>
            <w:tcW w:w="873" w:type="pct"/>
          </w:tcPr>
          <w:p w14:paraId="719B9E43" w14:textId="126D4294"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7A1352CB" w14:textId="049FDE78"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4F322547" w14:textId="77777777" w:rsidTr="00E12B04">
        <w:tc>
          <w:tcPr>
            <w:tcW w:w="258" w:type="pct"/>
          </w:tcPr>
          <w:p w14:paraId="7D49D7AE" w14:textId="51CCFC7E"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23</w:t>
            </w:r>
          </w:p>
        </w:tc>
        <w:tc>
          <w:tcPr>
            <w:tcW w:w="1873" w:type="pct"/>
          </w:tcPr>
          <w:p w14:paraId="14E42B1F" w14:textId="3FFF5699"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6.行政法院組織法部分條文修正草案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修正§21、22、24、38。修正重點：提高書記官及</w:t>
            </w:r>
            <w:r w:rsidRPr="001B6E4D">
              <w:rPr>
                <w:rFonts w:hAnsi="標楷體" w:cs="Times New Roman"/>
                <w:color w:val="000000" w:themeColor="text1"/>
                <w:sz w:val="24"/>
                <w:szCs w:val="24"/>
              </w:rPr>
              <w:lastRenderedPageBreak/>
              <w:t>法警之職務列等；違反法庭秩序之處罰改</w:t>
            </w:r>
            <w:proofErr w:type="gramStart"/>
            <w:r w:rsidRPr="001B6E4D">
              <w:rPr>
                <w:rFonts w:hAnsi="標楷體" w:cs="Times New Roman"/>
                <w:color w:val="000000" w:themeColor="text1"/>
                <w:sz w:val="24"/>
                <w:szCs w:val="24"/>
              </w:rPr>
              <w:t>採</w:t>
            </w:r>
            <w:proofErr w:type="gramEnd"/>
            <w:r w:rsidRPr="001B6E4D">
              <w:rPr>
                <w:rFonts w:hAnsi="標楷體" w:cs="Times New Roman"/>
                <w:color w:val="000000" w:themeColor="text1"/>
                <w:sz w:val="24"/>
                <w:szCs w:val="24"/>
              </w:rPr>
              <w:t>行政罰鍰先行、再犯始加重刑罰之層級化處置機制。）</w:t>
            </w:r>
          </w:p>
        </w:tc>
        <w:tc>
          <w:tcPr>
            <w:tcW w:w="1191" w:type="pct"/>
          </w:tcPr>
          <w:p w14:paraId="41AA09D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33486A4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115.08.14</w:t>
            </w:r>
          </w:p>
          <w:p w14:paraId="1056EFF3" w14:textId="7C21F23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（11-5-22）</w:t>
            </w:r>
          </w:p>
        </w:tc>
        <w:tc>
          <w:tcPr>
            <w:tcW w:w="873" w:type="pct"/>
          </w:tcPr>
          <w:p w14:paraId="723FECC7" w14:textId="3D5632A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196B94A4" w14:textId="2EE2D2B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3D8D07C6" w14:textId="77777777" w:rsidTr="00E12B04">
        <w:tc>
          <w:tcPr>
            <w:tcW w:w="258" w:type="pct"/>
          </w:tcPr>
          <w:p w14:paraId="1E8F4BA7" w14:textId="666FFDBC"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24</w:t>
            </w:r>
          </w:p>
        </w:tc>
        <w:tc>
          <w:tcPr>
            <w:tcW w:w="1873" w:type="pct"/>
          </w:tcPr>
          <w:p w14:paraId="7A560A99" w14:textId="71660816"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7.行政法院組織法部分條文修正草案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修正§21、22、24、38。修正重點：調高三等書記官、法警長及副法警長職務列等；違反法庭秩序命令者改</w:t>
            </w:r>
            <w:proofErr w:type="gramStart"/>
            <w:r w:rsidRPr="001B6E4D">
              <w:rPr>
                <w:rFonts w:hAnsi="標楷體" w:cs="Times New Roman"/>
                <w:color w:val="000000" w:themeColor="text1"/>
                <w:sz w:val="24"/>
                <w:szCs w:val="24"/>
              </w:rPr>
              <w:t>採</w:t>
            </w:r>
            <w:proofErr w:type="gramEnd"/>
            <w:r w:rsidRPr="001B6E4D">
              <w:rPr>
                <w:rFonts w:hAnsi="標楷體" w:cs="Times New Roman"/>
                <w:color w:val="000000" w:themeColor="text1"/>
                <w:sz w:val="24"/>
                <w:szCs w:val="24"/>
              </w:rPr>
              <w:t>分級處置機制。）</w:t>
            </w:r>
          </w:p>
        </w:tc>
        <w:tc>
          <w:tcPr>
            <w:tcW w:w="1191" w:type="pct"/>
          </w:tcPr>
          <w:p w14:paraId="72511852"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委員傅</w:t>
            </w:r>
            <w:r w:rsidRPr="001B6E4D">
              <w:rPr>
                <w:rFonts w:ascii="標楷體" w:eastAsia="標楷體" w:hAnsi="標楷體" w:hint="eastAsia"/>
                <w:color w:val="000000" w:themeColor="text1"/>
                <w:sz w:val="24"/>
              </w:rPr>
              <w:t>崐萁</w:t>
            </w:r>
          </w:p>
          <w:p w14:paraId="2C1EE40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19人</w:t>
            </w:r>
          </w:p>
          <w:p w14:paraId="381E72C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51E193FB" w14:textId="03250EEA"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11-5-23）</w:t>
            </w:r>
          </w:p>
        </w:tc>
        <w:tc>
          <w:tcPr>
            <w:tcW w:w="873" w:type="pct"/>
          </w:tcPr>
          <w:p w14:paraId="55F6DC86" w14:textId="3FB9CE58"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7A76E06F" w14:textId="562DEDA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336E498E" w14:textId="77777777" w:rsidTr="00E12B04">
        <w:tc>
          <w:tcPr>
            <w:tcW w:w="258" w:type="pct"/>
          </w:tcPr>
          <w:p w14:paraId="5B522C76" w14:textId="29088F59"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25</w:t>
            </w:r>
          </w:p>
        </w:tc>
        <w:tc>
          <w:tcPr>
            <w:tcW w:w="1873" w:type="pct"/>
          </w:tcPr>
          <w:p w14:paraId="7A809051" w14:textId="48701D1A"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8.行政法院組織法部分條文修正草案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修正§21、22、24、38。修正重點：提高三等書記官、法警長及副法警長職務列等；對初次違反維持法庭秩序命令並妨害法院執行職務者，先由法院裁定處以罰鍰。）</w:t>
            </w:r>
          </w:p>
        </w:tc>
        <w:tc>
          <w:tcPr>
            <w:tcW w:w="1191" w:type="pct"/>
          </w:tcPr>
          <w:p w14:paraId="10194B23"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3564254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5DF6EB09"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312D7162" w14:textId="64A394BB"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（11-5-23）</w:t>
            </w:r>
          </w:p>
        </w:tc>
        <w:tc>
          <w:tcPr>
            <w:tcW w:w="873" w:type="pct"/>
          </w:tcPr>
          <w:p w14:paraId="37637D1E" w14:textId="728DA951"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7EC3AA6E" w14:textId="3FA56B08"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0D9EFBAC" w14:textId="77777777" w:rsidTr="00E12B04">
        <w:tc>
          <w:tcPr>
            <w:tcW w:w="258" w:type="pct"/>
          </w:tcPr>
          <w:p w14:paraId="2EE9FCCC" w14:textId="2729B759"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26</w:t>
            </w:r>
          </w:p>
        </w:tc>
        <w:tc>
          <w:tcPr>
            <w:tcW w:w="1873" w:type="pct"/>
          </w:tcPr>
          <w:p w14:paraId="6193DAF3" w14:textId="066B9E36"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2.智慧財產及商業法院組織法第十八條及第二十一</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修正重點：調高三等書記官及法警之職務列等，放寬一等、二等書記官之員額比例，增設法警兼任小隊長之彈性組織規定，並明定法警之司法警察身分及職權依據。）</w:t>
            </w:r>
          </w:p>
        </w:tc>
        <w:tc>
          <w:tcPr>
            <w:tcW w:w="1191" w:type="pct"/>
          </w:tcPr>
          <w:p w14:paraId="69A13F0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69FBDF55"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7EB3C06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115.06.12</w:t>
            </w:r>
          </w:p>
          <w:p w14:paraId="00438901" w14:textId="50E836C8"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（11-5-14）</w:t>
            </w:r>
          </w:p>
        </w:tc>
        <w:tc>
          <w:tcPr>
            <w:tcW w:w="873" w:type="pct"/>
          </w:tcPr>
          <w:p w14:paraId="39EB8DFB" w14:textId="778A8612"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1846649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F8CC43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1CB2ACE1" w14:textId="3651A038"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4B493F" w:rsidRPr="001B6E4D" w14:paraId="6C82D244" w14:textId="77777777" w:rsidTr="00E12B04">
        <w:tc>
          <w:tcPr>
            <w:tcW w:w="258" w:type="pct"/>
          </w:tcPr>
          <w:p w14:paraId="28A2CD45" w14:textId="71C969F8"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27</w:t>
            </w:r>
          </w:p>
        </w:tc>
        <w:tc>
          <w:tcPr>
            <w:tcW w:w="1873" w:type="pct"/>
          </w:tcPr>
          <w:p w14:paraId="08A99CF2" w14:textId="56F34541"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3.智慧財產及商業法院組織法第十八條、第二十一條及第三十七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修正重點：提高三等書記官、法警長及副法警長之職務列等；違反維持法庭秩序命令之行為者，得處罰鍰及相關救濟程序，</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年內再有違反者，</w:t>
            </w:r>
            <w:proofErr w:type="gramStart"/>
            <w:r w:rsidRPr="001B6E4D">
              <w:rPr>
                <w:rFonts w:hAnsi="標楷體" w:cs="Times New Roman"/>
                <w:color w:val="000000" w:themeColor="text1"/>
                <w:sz w:val="24"/>
                <w:szCs w:val="24"/>
              </w:rPr>
              <w:t>始科處</w:t>
            </w:r>
            <w:proofErr w:type="gramEnd"/>
            <w:r w:rsidRPr="001B6E4D">
              <w:rPr>
                <w:rFonts w:hAnsi="標楷體" w:cs="Times New Roman"/>
                <w:color w:val="000000" w:themeColor="text1"/>
                <w:sz w:val="24"/>
                <w:szCs w:val="24"/>
              </w:rPr>
              <w:t>刑事處罰。）</w:t>
            </w:r>
          </w:p>
        </w:tc>
        <w:tc>
          <w:tcPr>
            <w:tcW w:w="1191" w:type="pct"/>
          </w:tcPr>
          <w:p w14:paraId="4DB4B9A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委員王育敏</w:t>
            </w:r>
          </w:p>
          <w:p w14:paraId="29445E12"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3ED996CE"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115.07.17</w:t>
            </w:r>
          </w:p>
          <w:p w14:paraId="6DF6B153" w14:textId="3C7B3481"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（11-5-18）</w:t>
            </w:r>
          </w:p>
        </w:tc>
        <w:tc>
          <w:tcPr>
            <w:tcW w:w="873" w:type="pct"/>
          </w:tcPr>
          <w:p w14:paraId="2BFDACF2" w14:textId="5D9A0045"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780934E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43E5F1A"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3DE09A0E" w14:textId="37D32750"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4B493F" w:rsidRPr="001B6E4D" w14:paraId="2698C00E" w14:textId="77777777" w:rsidTr="00E12B04">
        <w:tc>
          <w:tcPr>
            <w:tcW w:w="258" w:type="pct"/>
          </w:tcPr>
          <w:p w14:paraId="4C0E99C5" w14:textId="4D0CAA9C"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28</w:t>
            </w:r>
          </w:p>
        </w:tc>
        <w:tc>
          <w:tcPr>
            <w:tcW w:w="1873" w:type="pct"/>
          </w:tcPr>
          <w:p w14:paraId="672DF826" w14:textId="79F9EE1F"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4.智慧財產及商業法院組織法第十八條、第二十一條及第三十七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修正重點：提高三等書記官、法警長</w:t>
            </w:r>
            <w:r w:rsidRPr="001B6E4D">
              <w:rPr>
                <w:rFonts w:hAnsi="標楷體" w:cs="Times New Roman"/>
                <w:color w:val="000000" w:themeColor="text1"/>
                <w:sz w:val="24"/>
                <w:szCs w:val="24"/>
              </w:rPr>
              <w:lastRenderedPageBreak/>
              <w:t>及副法警長之職務列等；違反維持法庭秩序命令之行為，於刑事追訴處罰前，得直接採取罰鍰。）</w:t>
            </w:r>
          </w:p>
        </w:tc>
        <w:tc>
          <w:tcPr>
            <w:tcW w:w="1191" w:type="pct"/>
          </w:tcPr>
          <w:p w14:paraId="04311819"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委員羅智強</w:t>
            </w:r>
          </w:p>
          <w:p w14:paraId="6A761BD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50181AF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115.07.24</w:t>
            </w:r>
          </w:p>
          <w:p w14:paraId="6995C4FC" w14:textId="47CF7795"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w:t>
            </w:r>
          </w:p>
        </w:tc>
        <w:tc>
          <w:tcPr>
            <w:tcW w:w="873" w:type="pct"/>
          </w:tcPr>
          <w:p w14:paraId="31B2E910" w14:textId="7D2B60A6"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0427B22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01E925C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37A3EBC5" w14:textId="685C21C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w:t>
            </w:r>
            <w:r w:rsidRPr="001B6E4D">
              <w:rPr>
                <w:rFonts w:ascii="標楷體" w:eastAsia="標楷體" w:hAnsi="標楷體"/>
                <w:color w:val="000000" w:themeColor="text1"/>
                <w:sz w:val="24"/>
              </w:rPr>
              <w:lastRenderedPageBreak/>
              <w:t>完畢，另定期繼續審查。</w:t>
            </w:r>
          </w:p>
        </w:tc>
      </w:tr>
      <w:tr w:rsidR="004B493F" w:rsidRPr="001B6E4D" w14:paraId="765E3C25" w14:textId="77777777" w:rsidTr="00E12B04">
        <w:tc>
          <w:tcPr>
            <w:tcW w:w="258" w:type="pct"/>
          </w:tcPr>
          <w:p w14:paraId="38F30013" w14:textId="1836485C"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29</w:t>
            </w:r>
          </w:p>
        </w:tc>
        <w:tc>
          <w:tcPr>
            <w:tcW w:w="1873" w:type="pct"/>
          </w:tcPr>
          <w:p w14:paraId="5D56B4D7" w14:textId="7582C111"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5.智慧財產及商業法院組織法第十八條、第二十一條及第三十七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修正重點：提高書記官及法警之職務列等；違反法庭秩序之處罰改</w:t>
            </w:r>
            <w:proofErr w:type="gramStart"/>
            <w:r w:rsidRPr="001B6E4D">
              <w:rPr>
                <w:rFonts w:hAnsi="標楷體" w:cs="Times New Roman"/>
                <w:color w:val="000000" w:themeColor="text1"/>
                <w:sz w:val="24"/>
                <w:szCs w:val="24"/>
              </w:rPr>
              <w:t>採</w:t>
            </w:r>
            <w:proofErr w:type="gramEnd"/>
            <w:r w:rsidRPr="001B6E4D">
              <w:rPr>
                <w:rFonts w:hAnsi="標楷體" w:cs="Times New Roman"/>
                <w:color w:val="000000" w:themeColor="text1"/>
                <w:sz w:val="24"/>
                <w:szCs w:val="24"/>
              </w:rPr>
              <w:t>行政罰鍰先行、再犯始加重刑罰之層級化處置機制。）</w:t>
            </w:r>
          </w:p>
        </w:tc>
        <w:tc>
          <w:tcPr>
            <w:tcW w:w="1191" w:type="pct"/>
          </w:tcPr>
          <w:p w14:paraId="3435AC9A"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0A2B5A8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115.08.14</w:t>
            </w:r>
          </w:p>
          <w:p w14:paraId="62647113" w14:textId="3C3BB013"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（11-5-22）</w:t>
            </w:r>
          </w:p>
        </w:tc>
        <w:tc>
          <w:tcPr>
            <w:tcW w:w="873" w:type="pct"/>
          </w:tcPr>
          <w:p w14:paraId="4252BEFE" w14:textId="58DE9EF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7B75EEFC" w14:textId="6F866B29"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44D23324" w14:textId="77777777" w:rsidTr="00E12B04">
        <w:tc>
          <w:tcPr>
            <w:tcW w:w="258" w:type="pct"/>
          </w:tcPr>
          <w:p w14:paraId="03001A15" w14:textId="4F00BA14"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30</w:t>
            </w:r>
          </w:p>
        </w:tc>
        <w:tc>
          <w:tcPr>
            <w:tcW w:w="1873" w:type="pct"/>
          </w:tcPr>
          <w:p w14:paraId="35F538D3" w14:textId="69EF6E79"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6.智慧財產及商業法院組織法第十八條、第二十一條及第三十七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修正重點：調高三等書記官、法警、法警長及副法警長之職務列等；建立違反法庭秩序命令之分級處罰及救濟制度。）</w:t>
            </w:r>
          </w:p>
        </w:tc>
        <w:tc>
          <w:tcPr>
            <w:tcW w:w="1191" w:type="pct"/>
          </w:tcPr>
          <w:p w14:paraId="216E16AA"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委員傅</w:t>
            </w:r>
            <w:r w:rsidRPr="001B6E4D">
              <w:rPr>
                <w:rFonts w:ascii="標楷體" w:eastAsia="標楷體" w:hAnsi="標楷體" w:hint="eastAsia"/>
                <w:color w:val="000000" w:themeColor="text1"/>
                <w:sz w:val="24"/>
              </w:rPr>
              <w:t>崐萁</w:t>
            </w:r>
          </w:p>
          <w:p w14:paraId="1768312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21人</w:t>
            </w:r>
          </w:p>
          <w:p w14:paraId="1332844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1B91BC0A" w14:textId="14087859"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11-5-23）</w:t>
            </w:r>
          </w:p>
        </w:tc>
        <w:tc>
          <w:tcPr>
            <w:tcW w:w="873" w:type="pct"/>
          </w:tcPr>
          <w:p w14:paraId="40E79DC1" w14:textId="23FDB3CB"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109BD1F4" w14:textId="56E734D5"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4E0A05A9" w14:textId="77777777" w:rsidTr="00E12B04">
        <w:tc>
          <w:tcPr>
            <w:tcW w:w="258" w:type="pct"/>
          </w:tcPr>
          <w:p w14:paraId="7FDF71ED" w14:textId="7187F371"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31</w:t>
            </w:r>
          </w:p>
        </w:tc>
        <w:tc>
          <w:tcPr>
            <w:tcW w:w="1873" w:type="pct"/>
          </w:tcPr>
          <w:p w14:paraId="3A229F16" w14:textId="07932818"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7.智慧財產及商業法院組織法第十八條、第二十一條及第三十七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修正重點：提高三等書記官、法警長、副法警長及法警之職務列等；對初次違反維持法庭秩序命令並妨害法院執行職務者，先由法院裁定處以罰鍰。）</w:t>
            </w:r>
          </w:p>
        </w:tc>
        <w:tc>
          <w:tcPr>
            <w:tcW w:w="1191" w:type="pct"/>
          </w:tcPr>
          <w:p w14:paraId="3375E5E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4D00B55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2F38B054"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5D3DF0EC" w14:textId="2CD1606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（11-5-23）</w:t>
            </w:r>
          </w:p>
        </w:tc>
        <w:tc>
          <w:tcPr>
            <w:tcW w:w="873" w:type="pct"/>
          </w:tcPr>
          <w:p w14:paraId="2C507716" w14:textId="776D3499"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25F5494E" w14:textId="3387CD3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5EF4ADDB" w14:textId="77777777" w:rsidTr="00E12B04">
        <w:tc>
          <w:tcPr>
            <w:tcW w:w="258" w:type="pct"/>
          </w:tcPr>
          <w:p w14:paraId="7B6A31AB" w14:textId="6BBEA510"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32</w:t>
            </w:r>
          </w:p>
        </w:tc>
        <w:tc>
          <w:tcPr>
            <w:tcW w:w="1873" w:type="pct"/>
          </w:tcPr>
          <w:p w14:paraId="340064A2" w14:textId="0BCF5658"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2.少年及家事法院組織法第十四條及第十五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修正重點：調高三等書記官及法警之職務列等，放寬一等、二等書記官之員額比例，增設法警兼任小隊長之彈性組織規定，並明定法警之司法警察身分及職權依據。）</w:t>
            </w:r>
          </w:p>
        </w:tc>
        <w:tc>
          <w:tcPr>
            <w:tcW w:w="1191" w:type="pct"/>
          </w:tcPr>
          <w:p w14:paraId="2C30277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4E65D9BD"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345F10A3"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115.06.12</w:t>
            </w:r>
          </w:p>
          <w:p w14:paraId="0E2169E7" w14:textId="3E0E030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（11-5-14）</w:t>
            </w:r>
          </w:p>
        </w:tc>
        <w:tc>
          <w:tcPr>
            <w:tcW w:w="873" w:type="pct"/>
          </w:tcPr>
          <w:p w14:paraId="32E88E99" w14:textId="3A97C84A"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6BEB8C0E"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4668F8BC"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1EB34898" w14:textId="441B23A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4B493F" w:rsidRPr="001B6E4D" w14:paraId="6DBB394A" w14:textId="77777777" w:rsidTr="00E12B04">
        <w:tc>
          <w:tcPr>
            <w:tcW w:w="258" w:type="pct"/>
          </w:tcPr>
          <w:p w14:paraId="7B23F517" w14:textId="4291C917"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33</w:t>
            </w:r>
          </w:p>
        </w:tc>
        <w:tc>
          <w:tcPr>
            <w:tcW w:w="1873" w:type="pct"/>
          </w:tcPr>
          <w:p w14:paraId="2D7E6F97" w14:textId="6DDC3EE9"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3.少年及家事法院組織法部分條文修正草案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修正§11、14、15、27、44。修正重點：調高三等書記官、法警長與副</w:t>
            </w:r>
            <w:r w:rsidRPr="001B6E4D">
              <w:rPr>
                <w:rFonts w:hAnsi="標楷體" w:cs="Times New Roman"/>
                <w:color w:val="000000" w:themeColor="text1"/>
                <w:sz w:val="24"/>
                <w:szCs w:val="24"/>
              </w:rPr>
              <w:lastRenderedPageBreak/>
              <w:t>法警長職等；建立「先行政罰鍰、後刑事處罰」之層級化處置，明定抗告期間停止執行。）</w:t>
            </w:r>
          </w:p>
        </w:tc>
        <w:tc>
          <w:tcPr>
            <w:tcW w:w="1191" w:type="pct"/>
          </w:tcPr>
          <w:p w14:paraId="35665C64"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委員王育敏</w:t>
            </w:r>
          </w:p>
          <w:p w14:paraId="32F349F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3A692FD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115.07.17</w:t>
            </w:r>
          </w:p>
          <w:p w14:paraId="668BADA0" w14:textId="705D4443"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（11-5-18）</w:t>
            </w:r>
          </w:p>
        </w:tc>
        <w:tc>
          <w:tcPr>
            <w:tcW w:w="873" w:type="pct"/>
          </w:tcPr>
          <w:p w14:paraId="1790AEB1" w14:textId="4510B38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2CC41F2E"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AECF914"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248A6E6E" w14:textId="701C7E81"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w:t>
            </w:r>
            <w:r w:rsidRPr="001B6E4D">
              <w:rPr>
                <w:rFonts w:ascii="標楷體" w:eastAsia="標楷體" w:hAnsi="標楷體"/>
                <w:color w:val="000000" w:themeColor="text1"/>
                <w:sz w:val="24"/>
              </w:rPr>
              <w:lastRenderedPageBreak/>
              <w:t>完畢，另定期繼續審查。</w:t>
            </w:r>
          </w:p>
        </w:tc>
      </w:tr>
      <w:tr w:rsidR="004B493F" w:rsidRPr="001B6E4D" w14:paraId="3B74066F" w14:textId="77777777" w:rsidTr="00E12B04">
        <w:tc>
          <w:tcPr>
            <w:tcW w:w="258" w:type="pct"/>
          </w:tcPr>
          <w:p w14:paraId="1B7796F1" w14:textId="6D279388"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34</w:t>
            </w:r>
          </w:p>
        </w:tc>
        <w:tc>
          <w:tcPr>
            <w:tcW w:w="1873" w:type="pct"/>
          </w:tcPr>
          <w:p w14:paraId="55E64A01" w14:textId="2253C5FD"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4.少年及家事法院組織法部分條文修正草案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修正§11、14、15、27、44。修正重點：調高三等書記官、法警長與副法警長職等；對違反維持法庭秩序命令之行為，得直接採取罰鍰。）</w:t>
            </w:r>
          </w:p>
        </w:tc>
        <w:tc>
          <w:tcPr>
            <w:tcW w:w="1191" w:type="pct"/>
          </w:tcPr>
          <w:p w14:paraId="02DF3EE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497BC12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2BAF0F8E"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115.07.31</w:t>
            </w:r>
          </w:p>
          <w:p w14:paraId="7EB1F9E0" w14:textId="75F47F24"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（11-5-20）</w:t>
            </w:r>
          </w:p>
        </w:tc>
        <w:tc>
          <w:tcPr>
            <w:tcW w:w="873" w:type="pct"/>
          </w:tcPr>
          <w:p w14:paraId="0CCC0DB3" w14:textId="3FBE9000"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0B36414E" w14:textId="0CA716A9"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16AE1B2E" w14:textId="77777777" w:rsidTr="00E12B04">
        <w:tc>
          <w:tcPr>
            <w:tcW w:w="258" w:type="pct"/>
          </w:tcPr>
          <w:p w14:paraId="1E2CEFF9" w14:textId="3055731A"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35</w:t>
            </w:r>
          </w:p>
        </w:tc>
        <w:tc>
          <w:tcPr>
            <w:tcW w:w="1873" w:type="pct"/>
          </w:tcPr>
          <w:p w14:paraId="3CFEF7E7" w14:textId="592D798C"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5.少年及家事法院組織法部分條文修正草案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修正§11、14、15、27、44。修正重點：調高三等書記官、法警長與副法警長職等；對違反維持法庭秩序命令之行為，得直接採取罰鍰。）</w:t>
            </w:r>
          </w:p>
        </w:tc>
        <w:tc>
          <w:tcPr>
            <w:tcW w:w="1191" w:type="pct"/>
          </w:tcPr>
          <w:p w14:paraId="409CC62D"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委員許宇</w:t>
            </w:r>
            <w:proofErr w:type="gramStart"/>
            <w:r w:rsidRPr="001B6E4D">
              <w:rPr>
                <w:rFonts w:ascii="標楷體" w:eastAsia="標楷體" w:hAnsi="標楷體"/>
                <w:color w:val="000000" w:themeColor="text1"/>
                <w:sz w:val="24"/>
              </w:rPr>
              <w:t>甄</w:t>
            </w:r>
            <w:proofErr w:type="gramEnd"/>
          </w:p>
          <w:p w14:paraId="596B8FC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0E77A08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115.08.07</w:t>
            </w:r>
          </w:p>
          <w:p w14:paraId="1C792798" w14:textId="1E574A92"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（11-5-21）</w:t>
            </w:r>
          </w:p>
        </w:tc>
        <w:tc>
          <w:tcPr>
            <w:tcW w:w="873" w:type="pct"/>
          </w:tcPr>
          <w:p w14:paraId="6EF0C16A" w14:textId="15D4747F"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2538FF7D" w14:textId="1285DB1F"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03AEED03" w14:textId="77777777" w:rsidTr="00E12B04">
        <w:tc>
          <w:tcPr>
            <w:tcW w:w="258" w:type="pct"/>
          </w:tcPr>
          <w:p w14:paraId="30496550" w14:textId="68C72D95"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36</w:t>
            </w:r>
          </w:p>
        </w:tc>
        <w:tc>
          <w:tcPr>
            <w:tcW w:w="1873" w:type="pct"/>
          </w:tcPr>
          <w:p w14:paraId="0AC070E7" w14:textId="3C2C8E63"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6.少年及家事法院組織法部分條文修正草案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修正§11、14、15、27、44。修正重點：提高書記官及法警之職務列等；違反法庭秩序之處罰改</w:t>
            </w:r>
            <w:proofErr w:type="gramStart"/>
            <w:r w:rsidRPr="001B6E4D">
              <w:rPr>
                <w:rFonts w:hAnsi="標楷體" w:cs="Times New Roman"/>
                <w:color w:val="000000" w:themeColor="text1"/>
                <w:sz w:val="24"/>
                <w:szCs w:val="24"/>
              </w:rPr>
              <w:t>採</w:t>
            </w:r>
            <w:proofErr w:type="gramEnd"/>
            <w:r w:rsidRPr="001B6E4D">
              <w:rPr>
                <w:rFonts w:hAnsi="標楷體" w:cs="Times New Roman"/>
                <w:color w:val="000000" w:themeColor="text1"/>
                <w:sz w:val="24"/>
                <w:szCs w:val="24"/>
              </w:rPr>
              <w:t>行政罰鍰先行、再犯始加重刑罰之層級化處置機制。）</w:t>
            </w:r>
          </w:p>
        </w:tc>
        <w:tc>
          <w:tcPr>
            <w:tcW w:w="1191" w:type="pct"/>
          </w:tcPr>
          <w:p w14:paraId="145F3CF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24B290C5"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115.08.14</w:t>
            </w:r>
          </w:p>
          <w:p w14:paraId="13B8024C" w14:textId="7168A284"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（11-5-22）</w:t>
            </w:r>
          </w:p>
        </w:tc>
        <w:tc>
          <w:tcPr>
            <w:tcW w:w="873" w:type="pct"/>
          </w:tcPr>
          <w:p w14:paraId="153CCFD0" w14:textId="562F90B2"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58FD2CDD" w14:textId="79CEE87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70A60375" w14:textId="77777777" w:rsidTr="00E12B04">
        <w:tc>
          <w:tcPr>
            <w:tcW w:w="258" w:type="pct"/>
          </w:tcPr>
          <w:p w14:paraId="4D099EA7" w14:textId="2BDF90F2"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37</w:t>
            </w:r>
          </w:p>
        </w:tc>
        <w:tc>
          <w:tcPr>
            <w:tcW w:w="1873" w:type="pct"/>
          </w:tcPr>
          <w:p w14:paraId="0518386D" w14:textId="3AC86E0E"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7.少年及家事法院組織法部分條文修正草案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修正§11、14、15、27、44。修正重點：提高三等書記官、法警長、副法警長及法警之職務列等；對初次違反維持法庭秩序命令並妨害法院執行職務者，先由法院裁定處以罰鍰。）</w:t>
            </w:r>
          </w:p>
        </w:tc>
        <w:tc>
          <w:tcPr>
            <w:tcW w:w="1191" w:type="pct"/>
          </w:tcPr>
          <w:p w14:paraId="3632D645"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5752DDF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211A692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0D395337" w14:textId="0D41EDB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（11-5-23）</w:t>
            </w:r>
          </w:p>
        </w:tc>
        <w:tc>
          <w:tcPr>
            <w:tcW w:w="873" w:type="pct"/>
          </w:tcPr>
          <w:p w14:paraId="6B3A1F7F" w14:textId="354A584F"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2FD74605" w14:textId="002A90B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42EC395F" w14:textId="77777777" w:rsidTr="00E12B04">
        <w:tc>
          <w:tcPr>
            <w:tcW w:w="258" w:type="pct"/>
          </w:tcPr>
          <w:p w14:paraId="67AAAD93" w14:textId="7B61BC83"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38</w:t>
            </w:r>
          </w:p>
        </w:tc>
        <w:tc>
          <w:tcPr>
            <w:tcW w:w="1873" w:type="pct"/>
          </w:tcPr>
          <w:p w14:paraId="19D1C15D" w14:textId="6F89E6F9"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2.懲戒法院組織法第六條及第七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修正重點：調高三等書記官、法警長及法警同仁之職務列等，並將各職等書記官員額合併編列、</w:t>
            </w:r>
            <w:r w:rsidRPr="001B6E4D">
              <w:rPr>
                <w:rFonts w:hAnsi="標楷體" w:cs="Times New Roman"/>
                <w:color w:val="000000" w:themeColor="text1"/>
                <w:sz w:val="24"/>
                <w:szCs w:val="24"/>
              </w:rPr>
              <w:lastRenderedPageBreak/>
              <w:t>明定中高階員額比例上限，增設法警兼任小隊長之彈性組織規定，並明定法警之司法警察身分及職權依據。）</w:t>
            </w:r>
          </w:p>
        </w:tc>
        <w:tc>
          <w:tcPr>
            <w:tcW w:w="1191" w:type="pct"/>
          </w:tcPr>
          <w:p w14:paraId="186EC23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委員翁曉玲</w:t>
            </w:r>
          </w:p>
          <w:p w14:paraId="6C1C7C4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1BD8D5FD"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115.06.12</w:t>
            </w:r>
          </w:p>
          <w:p w14:paraId="1EF3C1E9" w14:textId="6895F9E3"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（11-5-14）</w:t>
            </w:r>
          </w:p>
        </w:tc>
        <w:tc>
          <w:tcPr>
            <w:tcW w:w="873" w:type="pct"/>
          </w:tcPr>
          <w:p w14:paraId="0862D92C" w14:textId="5CA07565"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12C48E2B"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98EBF5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53321213" w14:textId="14505863"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w:t>
            </w:r>
            <w:r w:rsidRPr="001B6E4D">
              <w:rPr>
                <w:rFonts w:ascii="標楷體" w:eastAsia="標楷體" w:hAnsi="標楷體"/>
                <w:color w:val="000000" w:themeColor="text1"/>
                <w:sz w:val="24"/>
              </w:rPr>
              <w:lastRenderedPageBreak/>
              <w:t>期繼續審查。</w:t>
            </w:r>
          </w:p>
        </w:tc>
      </w:tr>
      <w:tr w:rsidR="004B493F" w:rsidRPr="001B6E4D" w14:paraId="7F5D9776" w14:textId="77777777" w:rsidTr="00E12B04">
        <w:tc>
          <w:tcPr>
            <w:tcW w:w="258" w:type="pct"/>
          </w:tcPr>
          <w:p w14:paraId="425FBE39" w14:textId="4488814E"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39</w:t>
            </w:r>
          </w:p>
        </w:tc>
        <w:tc>
          <w:tcPr>
            <w:tcW w:w="1873" w:type="pct"/>
          </w:tcPr>
          <w:p w14:paraId="6E11715D" w14:textId="43D5557E"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3.懲戒法院組織法部分條文修正草案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修正§3、6、7、20。修正重點：調高三等書記官及法警長職等；建立「先行政罰鍰、後刑事處罰」之層級化處置，並明定抗告期間停止執行。）</w:t>
            </w:r>
          </w:p>
        </w:tc>
        <w:tc>
          <w:tcPr>
            <w:tcW w:w="1191" w:type="pct"/>
          </w:tcPr>
          <w:p w14:paraId="6A3D998A"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委員王育敏</w:t>
            </w:r>
          </w:p>
          <w:p w14:paraId="58382A02"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7DB0779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115.07.17</w:t>
            </w:r>
          </w:p>
          <w:p w14:paraId="2E36E2C4" w14:textId="75EA1A5A"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（11-5-18）</w:t>
            </w:r>
          </w:p>
        </w:tc>
        <w:tc>
          <w:tcPr>
            <w:tcW w:w="873" w:type="pct"/>
          </w:tcPr>
          <w:p w14:paraId="0AA634ED" w14:textId="3101D7D2"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2EC16723"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4C9E670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115.8.5</w:t>
            </w:r>
          </w:p>
          <w:p w14:paraId="254912A9" w14:textId="73E2818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4B493F" w:rsidRPr="001B6E4D" w14:paraId="4289166A" w14:textId="77777777" w:rsidTr="00E12B04">
        <w:tc>
          <w:tcPr>
            <w:tcW w:w="258" w:type="pct"/>
          </w:tcPr>
          <w:p w14:paraId="5C356E5A" w14:textId="202DA8D1"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40</w:t>
            </w:r>
          </w:p>
        </w:tc>
        <w:tc>
          <w:tcPr>
            <w:tcW w:w="1873" w:type="pct"/>
          </w:tcPr>
          <w:p w14:paraId="08D74FC3" w14:textId="12B21845"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4.懲戒法院組織法部分條文修正草案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修正§3、6、7、20。修正重點：調高三等書記官及法警長職等；對違反維持法庭秩序命令之行為，得直接採取罰鍰。）</w:t>
            </w:r>
          </w:p>
        </w:tc>
        <w:tc>
          <w:tcPr>
            <w:tcW w:w="1191" w:type="pct"/>
          </w:tcPr>
          <w:p w14:paraId="5559C75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704117E3"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0C3E6404"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115.07.31</w:t>
            </w:r>
          </w:p>
          <w:p w14:paraId="471B8FE1" w14:textId="508FAD5E"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（11-5-20）</w:t>
            </w:r>
          </w:p>
        </w:tc>
        <w:tc>
          <w:tcPr>
            <w:tcW w:w="873" w:type="pct"/>
          </w:tcPr>
          <w:p w14:paraId="076B92BE" w14:textId="32FAC6AA"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44E93AFF" w14:textId="59A4479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789C82D8" w14:textId="77777777" w:rsidTr="00E12B04">
        <w:tc>
          <w:tcPr>
            <w:tcW w:w="258" w:type="pct"/>
          </w:tcPr>
          <w:p w14:paraId="5922CC8B" w14:textId="275482CB"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41</w:t>
            </w:r>
          </w:p>
        </w:tc>
        <w:tc>
          <w:tcPr>
            <w:tcW w:w="1873" w:type="pct"/>
          </w:tcPr>
          <w:p w14:paraId="270DCFCF" w14:textId="702A75FE"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5.懲戒法院組織法部分條文修正草案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修正§3、6、7、20。修正重點：調高三等書記官及法警長職等；對違反維持法庭秩序命令之行為，得直接採取罰鍰。）</w:t>
            </w:r>
          </w:p>
        </w:tc>
        <w:tc>
          <w:tcPr>
            <w:tcW w:w="1191" w:type="pct"/>
          </w:tcPr>
          <w:p w14:paraId="27FD7FB8"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委員許宇</w:t>
            </w:r>
            <w:proofErr w:type="gramStart"/>
            <w:r w:rsidRPr="001B6E4D">
              <w:rPr>
                <w:rFonts w:ascii="標楷體" w:eastAsia="標楷體" w:hAnsi="標楷體"/>
                <w:color w:val="000000" w:themeColor="text1"/>
                <w:sz w:val="24"/>
              </w:rPr>
              <w:t>甄</w:t>
            </w:r>
            <w:proofErr w:type="gramEnd"/>
          </w:p>
          <w:p w14:paraId="431985CB"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452E8F51"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115.08.07</w:t>
            </w:r>
          </w:p>
          <w:p w14:paraId="57E9ED79" w14:textId="263CF6B6"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（11-5-21）</w:t>
            </w:r>
          </w:p>
        </w:tc>
        <w:tc>
          <w:tcPr>
            <w:tcW w:w="873" w:type="pct"/>
          </w:tcPr>
          <w:p w14:paraId="44481A6A" w14:textId="0BD16742"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1D2A3E16" w14:textId="7B72F8D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75B87A74" w14:textId="77777777" w:rsidTr="00E12B04">
        <w:tc>
          <w:tcPr>
            <w:tcW w:w="258" w:type="pct"/>
          </w:tcPr>
          <w:p w14:paraId="6532208A" w14:textId="413EB1CC"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42</w:t>
            </w:r>
          </w:p>
        </w:tc>
        <w:tc>
          <w:tcPr>
            <w:tcW w:w="1873" w:type="pct"/>
          </w:tcPr>
          <w:p w14:paraId="4F173C94" w14:textId="1D37AA1D"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6.懲戒法院組織法部分條文修正草案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修正§3、6、7、20。修正重點：調高三等書記官及法警長職等；對違反維持法庭秩序命令之行為，得直接採取罰鍰。）</w:t>
            </w:r>
          </w:p>
        </w:tc>
        <w:tc>
          <w:tcPr>
            <w:tcW w:w="1191" w:type="pct"/>
          </w:tcPr>
          <w:p w14:paraId="7B85ED8D"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5BF7445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115.08.14</w:t>
            </w:r>
          </w:p>
          <w:p w14:paraId="497BC990" w14:textId="3804A846"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（11-5-22）</w:t>
            </w:r>
          </w:p>
        </w:tc>
        <w:tc>
          <w:tcPr>
            <w:tcW w:w="873" w:type="pct"/>
          </w:tcPr>
          <w:p w14:paraId="2CF08450" w14:textId="25B85EE5"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2210B33A" w14:textId="2D1D4C63"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61A62FFD" w14:textId="77777777" w:rsidTr="00E12B04">
        <w:tc>
          <w:tcPr>
            <w:tcW w:w="258" w:type="pct"/>
          </w:tcPr>
          <w:p w14:paraId="0FAAC853" w14:textId="3F8BEEF4"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43</w:t>
            </w:r>
          </w:p>
        </w:tc>
        <w:tc>
          <w:tcPr>
            <w:tcW w:w="1873" w:type="pct"/>
          </w:tcPr>
          <w:p w14:paraId="25D3D3B9" w14:textId="765ACBA6"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7.懲戒法院組織法部分條文修正草案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修正§3、6、7、20。修正重點：提高三等書記官及法警長職等；對初次違反維持法庭秩序命令並妨害法院執行職務者，先由法院裁定處以罰鍰。）</w:t>
            </w:r>
          </w:p>
        </w:tc>
        <w:tc>
          <w:tcPr>
            <w:tcW w:w="1191" w:type="pct"/>
          </w:tcPr>
          <w:p w14:paraId="14438450"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7D379ED7"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59D59DA2"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4A6E2331" w14:textId="730D2FAF"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（11-5-23）</w:t>
            </w:r>
          </w:p>
        </w:tc>
        <w:tc>
          <w:tcPr>
            <w:tcW w:w="873" w:type="pct"/>
          </w:tcPr>
          <w:p w14:paraId="7E48F779" w14:textId="5BEB32A0"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504AD3A5" w14:textId="69020D3F"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2E20F9EE" w14:textId="77777777" w:rsidTr="00E12B04">
        <w:tc>
          <w:tcPr>
            <w:tcW w:w="258" w:type="pct"/>
          </w:tcPr>
          <w:p w14:paraId="653C84BF" w14:textId="4220DFE6"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44</w:t>
            </w:r>
          </w:p>
        </w:tc>
        <w:tc>
          <w:tcPr>
            <w:tcW w:w="1873" w:type="pct"/>
          </w:tcPr>
          <w:p w14:paraId="5DBD71DF" w14:textId="023A5C7D"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司法院組織法第十七條及第十七條之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w:t>
            </w:r>
            <w:r w:rsidRPr="001B6E4D">
              <w:rPr>
                <w:rFonts w:hAnsi="標楷體" w:cs="Times New Roman"/>
                <w:color w:val="000000" w:themeColor="text1"/>
                <w:sz w:val="24"/>
                <w:szCs w:val="24"/>
              </w:rPr>
              <w:lastRenderedPageBreak/>
              <w:t>重點：司法院會議相關規範提升至法律位階，並對司法院依法律授權所訂定之授權命令提升國會監督力道。）</w:t>
            </w:r>
          </w:p>
        </w:tc>
        <w:tc>
          <w:tcPr>
            <w:tcW w:w="1191" w:type="pct"/>
          </w:tcPr>
          <w:p w14:paraId="13FAEA66"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1BFF0D5F"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114.11.21</w:t>
            </w:r>
          </w:p>
          <w:p w14:paraId="22B0B67A"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（11-4-10）</w:t>
            </w:r>
          </w:p>
          <w:p w14:paraId="47C653B9" w14:textId="70552C4D"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（11-4-11提出復議，11-4-13復議不通過）</w:t>
            </w:r>
          </w:p>
        </w:tc>
        <w:tc>
          <w:tcPr>
            <w:tcW w:w="873" w:type="pct"/>
          </w:tcPr>
          <w:p w14:paraId="1E86C6A3" w14:textId="0E9178D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05" w:type="pct"/>
          </w:tcPr>
          <w:p w14:paraId="337F1A4E" w14:textId="7DD5951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4B493F" w:rsidRPr="001B6E4D" w14:paraId="6E026B20" w14:textId="77777777" w:rsidTr="00E12B04">
        <w:tc>
          <w:tcPr>
            <w:tcW w:w="258" w:type="pct"/>
          </w:tcPr>
          <w:p w14:paraId="09F695F1" w14:textId="6DD4947F" w:rsidR="004B493F" w:rsidRPr="001B6E4D" w:rsidRDefault="004B493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45</w:t>
            </w:r>
          </w:p>
        </w:tc>
        <w:tc>
          <w:tcPr>
            <w:tcW w:w="1873" w:type="pct"/>
          </w:tcPr>
          <w:p w14:paraId="53E303A2" w14:textId="0F51BF4E" w:rsidR="004B493F" w:rsidRPr="001B6E4D" w:rsidRDefault="004B493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司法院組織法第七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修正重點：代理院長期間不得逾6個月；增訂卸任代理院長之大法官不得再代理院長。）</w:t>
            </w:r>
          </w:p>
        </w:tc>
        <w:tc>
          <w:tcPr>
            <w:tcW w:w="1191" w:type="pct"/>
          </w:tcPr>
          <w:p w14:paraId="4E24CDDB"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74FA1F13"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3A8717E9" w14:textId="77777777"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115.05.29</w:t>
            </w:r>
          </w:p>
          <w:p w14:paraId="470F49D3" w14:textId="6BAD10CC"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（11-5-12）</w:t>
            </w:r>
          </w:p>
        </w:tc>
        <w:tc>
          <w:tcPr>
            <w:tcW w:w="873" w:type="pct"/>
          </w:tcPr>
          <w:p w14:paraId="308FF3AD" w14:textId="696A4310"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5" w:type="pct"/>
          </w:tcPr>
          <w:p w14:paraId="1D840D64" w14:textId="2C9BBED1" w:rsidR="004B493F" w:rsidRPr="001B6E4D" w:rsidRDefault="004B493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p w14:paraId="2F41F909" w14:textId="397183A5" w:rsidR="009B28A5" w:rsidRPr="001B6E4D" w:rsidRDefault="009B28A5" w:rsidP="003D1018">
      <w:pPr>
        <w:pStyle w:val="-40"/>
        <w:kinsoku w:val="0"/>
        <w:overflowPunct w:val="0"/>
        <w:topLinePunct/>
        <w:spacing w:beforeLines="100" w:before="360" w:afterLines="70" w:after="252" w:line="260" w:lineRule="exact"/>
        <w:ind w:leftChars="128" w:left="307" w:firstLineChars="400" w:firstLine="1121"/>
        <w:outlineLvl w:val="2"/>
        <w:rPr>
          <w:color w:val="000000" w:themeColor="text1"/>
          <w:shd w:val="clear" w:color="auto" w:fill="FFFFFF" w:themeFill="background1"/>
        </w:rPr>
      </w:pPr>
      <w:bookmarkStart w:id="300" w:name="_Toc240446551"/>
      <w:bookmarkStart w:id="301" w:name="_Toc361217343"/>
      <w:bookmarkStart w:id="302" w:name="_Toc362968403"/>
      <w:bookmarkStart w:id="303" w:name="_Toc136594851"/>
      <w:bookmarkEnd w:id="297"/>
      <w:bookmarkEnd w:id="298"/>
      <w:bookmarkEnd w:id="299"/>
      <w:r w:rsidRPr="001B6E4D">
        <w:rPr>
          <w:color w:val="000000" w:themeColor="text1"/>
          <w:shd w:val="clear" w:color="auto" w:fill="FFFFFF" w:themeFill="background1"/>
        </w:rPr>
        <w:t>（</w:t>
      </w:r>
      <w:r w:rsidR="0081047B" w:rsidRPr="001B6E4D">
        <w:rPr>
          <w:rFonts w:hint="eastAsia"/>
          <w:color w:val="000000" w:themeColor="text1"/>
          <w:shd w:val="clear" w:color="auto" w:fill="FFFFFF" w:themeFill="background1"/>
        </w:rPr>
        <w:t>五</w:t>
      </w:r>
      <w:r w:rsidRPr="001B6E4D">
        <w:rPr>
          <w:color w:val="000000" w:themeColor="text1"/>
          <w:shd w:val="clear" w:color="auto" w:fill="FFFFFF" w:themeFill="background1"/>
        </w:rPr>
        <w:t>）</w:t>
      </w:r>
      <w:r w:rsidRPr="001B6E4D">
        <w:rPr>
          <w:rFonts w:hint="eastAsia"/>
          <w:color w:val="000000" w:themeColor="text1"/>
          <w:shd w:val="clear" w:color="auto" w:fill="FFFFFF" w:themeFill="background1"/>
        </w:rPr>
        <w:t>考試院</w:t>
      </w:r>
      <w:r w:rsidR="005362F6" w:rsidRPr="001B6E4D">
        <w:rPr>
          <w:rFonts w:hint="eastAsia"/>
          <w:color w:val="000000" w:themeColor="text1"/>
          <w:shd w:val="clear" w:color="auto" w:fill="FFFFFF" w:themeFill="background1"/>
        </w:rPr>
        <w:t>2</w:t>
      </w:r>
      <w:r w:rsidRPr="001B6E4D">
        <w:rPr>
          <w:color w:val="000000" w:themeColor="text1"/>
          <w:shd w:val="clear" w:color="auto" w:fill="FFFFFF" w:themeFill="background1"/>
        </w:rPr>
        <w:t>案</w:t>
      </w:r>
      <w:bookmarkEnd w:id="300"/>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461"/>
        <w:gridCol w:w="2926"/>
        <w:gridCol w:w="1993"/>
        <w:gridCol w:w="1685"/>
        <w:gridCol w:w="1862"/>
      </w:tblGrid>
      <w:tr w:rsidR="00C87651" w:rsidRPr="001B6E4D" w14:paraId="2031389F" w14:textId="77777777" w:rsidTr="003939F8">
        <w:tc>
          <w:tcPr>
            <w:tcW w:w="258" w:type="pct"/>
            <w:vAlign w:val="center"/>
            <w:hideMark/>
          </w:tcPr>
          <w:p w14:paraId="10FB96A7"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639" w:type="pct"/>
            <w:vAlign w:val="center"/>
            <w:hideMark/>
          </w:tcPr>
          <w:p w14:paraId="1ECF49FB"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16" w:type="pct"/>
            <w:vAlign w:val="center"/>
            <w:hideMark/>
          </w:tcPr>
          <w:p w14:paraId="1155D65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250C64E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6787CC94"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44" w:type="pct"/>
            <w:vAlign w:val="center"/>
            <w:hideMark/>
          </w:tcPr>
          <w:p w14:paraId="5FC041B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1043" w:type="pct"/>
            <w:vAlign w:val="center"/>
            <w:hideMark/>
          </w:tcPr>
          <w:p w14:paraId="6DA64EFD"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C87651" w:rsidRPr="001B6E4D" w14:paraId="53E4D0BE" w14:textId="77777777" w:rsidTr="003939F8">
        <w:tc>
          <w:tcPr>
            <w:tcW w:w="258" w:type="pct"/>
          </w:tcPr>
          <w:p w14:paraId="1B55F738" w14:textId="77777777" w:rsidR="009B28A5" w:rsidRPr="001B6E4D" w:rsidRDefault="009B28A5" w:rsidP="003D1018">
            <w:pPr>
              <w:overflowPunct w:val="0"/>
              <w:jc w:val="center"/>
              <w:rPr>
                <w:rFonts w:ascii="標楷體" w:eastAsia="標楷體" w:hAnsi="標楷體"/>
                <w:color w:val="000000" w:themeColor="text1"/>
                <w:sz w:val="24"/>
              </w:rPr>
            </w:pPr>
            <w:r w:rsidRPr="001B6E4D">
              <w:rPr>
                <w:rFonts w:ascii="標楷體" w:eastAsia="標楷體" w:hAnsi="標楷體" w:hint="eastAsia"/>
                <w:color w:val="000000" w:themeColor="text1"/>
                <w:sz w:val="24"/>
              </w:rPr>
              <w:t>1</w:t>
            </w:r>
          </w:p>
        </w:tc>
        <w:tc>
          <w:tcPr>
            <w:tcW w:w="1639" w:type="pct"/>
          </w:tcPr>
          <w:p w14:paraId="4BF9CF73"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考試院組織法第七條、第十條及第十一</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修正重點：考選部、銓敘部、保訓會主管應列席院會；考試院會議規則及處</w:t>
            </w:r>
            <w:proofErr w:type="gramStart"/>
            <w:r w:rsidRPr="001B6E4D">
              <w:rPr>
                <w:rFonts w:hAnsi="標楷體"/>
                <w:color w:val="000000" w:themeColor="text1"/>
                <w:sz w:val="24"/>
                <w:szCs w:val="24"/>
              </w:rPr>
              <w:t>務</w:t>
            </w:r>
            <w:proofErr w:type="gramEnd"/>
            <w:r w:rsidRPr="001B6E4D">
              <w:rPr>
                <w:rFonts w:hAnsi="標楷體"/>
                <w:color w:val="000000" w:themeColor="text1"/>
                <w:sz w:val="24"/>
                <w:szCs w:val="24"/>
              </w:rPr>
              <w:t>規程應送立法院備查。）</w:t>
            </w:r>
          </w:p>
        </w:tc>
        <w:tc>
          <w:tcPr>
            <w:tcW w:w="1116" w:type="pct"/>
          </w:tcPr>
          <w:p w14:paraId="499839C8"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6FED80AD"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056E5095"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113.10.18</w:t>
            </w:r>
          </w:p>
          <w:p w14:paraId="74160E9C"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（11-2-5）</w:t>
            </w:r>
          </w:p>
          <w:p w14:paraId="0D3B7681"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（11-</w:t>
            </w: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-6提出復議，11-</w:t>
            </w: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8</w:t>
            </w:r>
            <w:r w:rsidRPr="001B6E4D">
              <w:rPr>
                <w:rFonts w:ascii="標楷體" w:eastAsia="標楷體" w:hAnsi="標楷體"/>
                <w:color w:val="000000" w:themeColor="text1"/>
                <w:sz w:val="24"/>
              </w:rPr>
              <w:t>復議不通過）</w:t>
            </w:r>
          </w:p>
        </w:tc>
        <w:tc>
          <w:tcPr>
            <w:tcW w:w="944" w:type="pct"/>
          </w:tcPr>
          <w:p w14:paraId="3D3DE1D8"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1043" w:type="pct"/>
          </w:tcPr>
          <w:p w14:paraId="0A0DF10A"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尚未審查</w:t>
            </w:r>
          </w:p>
        </w:tc>
      </w:tr>
      <w:tr w:rsidR="005362F6" w:rsidRPr="001B6E4D" w14:paraId="4750B786" w14:textId="77777777" w:rsidTr="003939F8">
        <w:tc>
          <w:tcPr>
            <w:tcW w:w="258" w:type="pct"/>
          </w:tcPr>
          <w:p w14:paraId="380AB0B0" w14:textId="34265652" w:rsidR="005362F6" w:rsidRPr="001B6E4D" w:rsidRDefault="005362F6" w:rsidP="003D1018">
            <w:pPr>
              <w:overflowPunct w:val="0"/>
              <w:jc w:val="center"/>
              <w:rPr>
                <w:rFonts w:ascii="標楷體" w:eastAsia="標楷體" w:hAnsi="標楷體"/>
                <w:color w:val="000000" w:themeColor="text1"/>
                <w:sz w:val="24"/>
              </w:rPr>
            </w:pPr>
            <w:r w:rsidRPr="001B6E4D">
              <w:rPr>
                <w:rFonts w:ascii="標楷體" w:eastAsia="標楷體" w:hAnsi="標楷體" w:hint="eastAsia"/>
                <w:color w:val="000000" w:themeColor="text1"/>
                <w:sz w:val="24"/>
              </w:rPr>
              <w:t>2</w:t>
            </w:r>
          </w:p>
        </w:tc>
        <w:tc>
          <w:tcPr>
            <w:tcW w:w="1639" w:type="pct"/>
            <w:shd w:val="clear" w:color="auto" w:fill="auto"/>
          </w:tcPr>
          <w:p w14:paraId="0D291733" w14:textId="025DDF75" w:rsidR="005362F6" w:rsidRPr="001B6E4D" w:rsidRDefault="005362F6" w:rsidP="003D1018">
            <w:pPr>
              <w:pStyle w:val="01"/>
              <w:overflowPunct w:val="0"/>
              <w:rPr>
                <w:rFonts w:hAnsi="標楷體"/>
                <w:color w:val="000000" w:themeColor="text1"/>
                <w:sz w:val="24"/>
                <w:szCs w:val="24"/>
              </w:rPr>
            </w:pPr>
            <w:r w:rsidRPr="001B6E4D">
              <w:rPr>
                <w:rFonts w:hAnsi="標楷體"/>
                <w:color w:val="000000" w:themeColor="text1"/>
                <w:sz w:val="24"/>
                <w:szCs w:val="24"/>
              </w:rPr>
              <w:t>考試院組織法第八</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修正重點：考試院院長、副院長同時出缺時，由總統就考試委員中指定一人代理院長；其代理期間不得逾6個月，且卸任代理院長之考試委員，不得再代理院長。）</w:t>
            </w:r>
          </w:p>
        </w:tc>
        <w:tc>
          <w:tcPr>
            <w:tcW w:w="1116" w:type="pct"/>
            <w:shd w:val="clear" w:color="auto" w:fill="auto"/>
          </w:tcPr>
          <w:p w14:paraId="66522B46" w14:textId="77777777" w:rsidR="005362F6" w:rsidRPr="001B6E4D" w:rsidRDefault="005362F6" w:rsidP="003D1018">
            <w:pPr>
              <w:overflowPunct w:val="0"/>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委員翁曉玲</w:t>
            </w:r>
          </w:p>
          <w:p w14:paraId="7953025D" w14:textId="77777777" w:rsidR="005362F6" w:rsidRPr="001B6E4D" w:rsidRDefault="005362F6" w:rsidP="003D1018">
            <w:pPr>
              <w:overflowPunct w:val="0"/>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等20人</w:t>
            </w:r>
          </w:p>
          <w:p w14:paraId="008EAAE4" w14:textId="77777777" w:rsidR="005362F6" w:rsidRPr="001B6E4D" w:rsidRDefault="005362F6" w:rsidP="003D1018">
            <w:pPr>
              <w:overflowPunct w:val="0"/>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115.05.29</w:t>
            </w:r>
          </w:p>
          <w:p w14:paraId="7C6BA909" w14:textId="7C3E9F1A" w:rsidR="005362F6" w:rsidRPr="001B6E4D" w:rsidRDefault="005362F6" w:rsidP="003D1018">
            <w:pPr>
              <w:overflowPunct w:val="0"/>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（11-5-12）</w:t>
            </w:r>
          </w:p>
        </w:tc>
        <w:tc>
          <w:tcPr>
            <w:tcW w:w="944" w:type="pct"/>
            <w:shd w:val="clear" w:color="auto" w:fill="auto"/>
          </w:tcPr>
          <w:p w14:paraId="4940B03C" w14:textId="096AA415" w:rsidR="005362F6" w:rsidRPr="001B6E4D" w:rsidRDefault="005362F6" w:rsidP="003D1018">
            <w:pPr>
              <w:overflowPunct w:val="0"/>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司法及法制</w:t>
            </w:r>
          </w:p>
        </w:tc>
        <w:tc>
          <w:tcPr>
            <w:tcW w:w="1043" w:type="pct"/>
            <w:shd w:val="clear" w:color="auto" w:fill="auto"/>
          </w:tcPr>
          <w:p w14:paraId="51B5D246" w14:textId="5B256D67" w:rsidR="005362F6" w:rsidRPr="001B6E4D" w:rsidRDefault="005362F6" w:rsidP="003D1018">
            <w:pPr>
              <w:overflowPunct w:val="0"/>
              <w:jc w:val="both"/>
              <w:rPr>
                <w:rFonts w:ascii="標楷體" w:eastAsia="標楷體" w:hAnsi="標楷體" w:cstheme="minorBidi"/>
                <w:color w:val="000000" w:themeColor="text1"/>
                <w:sz w:val="24"/>
              </w:rPr>
            </w:pPr>
            <w:r w:rsidRPr="001B6E4D">
              <w:rPr>
                <w:rFonts w:ascii="標楷體" w:eastAsia="標楷體" w:hAnsi="標楷體" w:cstheme="minorBidi"/>
                <w:color w:val="000000" w:themeColor="text1"/>
                <w:sz w:val="24"/>
              </w:rPr>
              <w:t>尚未審查</w:t>
            </w:r>
          </w:p>
        </w:tc>
      </w:tr>
    </w:tbl>
    <w:p w14:paraId="04F65AF0" w14:textId="068987B8" w:rsidR="00F359BB" w:rsidRPr="001B6E4D" w:rsidRDefault="009B28A5" w:rsidP="003D1018">
      <w:pPr>
        <w:pStyle w:val="-40"/>
        <w:kinsoku w:val="0"/>
        <w:overflowPunct w:val="0"/>
        <w:topLinePunct/>
        <w:spacing w:beforeLines="100" w:before="360" w:afterLines="70" w:after="252" w:line="260" w:lineRule="exact"/>
        <w:ind w:leftChars="128" w:left="307" w:firstLineChars="400" w:firstLine="1121"/>
        <w:outlineLvl w:val="2"/>
        <w:rPr>
          <w:color w:val="000000" w:themeColor="text1"/>
          <w:shd w:val="clear" w:color="auto" w:fill="FFFFFF" w:themeFill="background1"/>
        </w:rPr>
      </w:pPr>
      <w:bookmarkStart w:id="304" w:name="_Toc361217344"/>
      <w:bookmarkStart w:id="305" w:name="_Toc362968404"/>
      <w:bookmarkStart w:id="306" w:name="_Toc136594852"/>
      <w:bookmarkStart w:id="307" w:name="_Toc240446552"/>
      <w:bookmarkEnd w:id="301"/>
      <w:bookmarkEnd w:id="302"/>
      <w:bookmarkEnd w:id="303"/>
      <w:r w:rsidRPr="001B6E4D">
        <w:rPr>
          <w:color w:val="000000" w:themeColor="text1"/>
          <w:shd w:val="clear" w:color="auto" w:fill="FFFFFF" w:themeFill="background1"/>
        </w:rPr>
        <w:t>（</w:t>
      </w:r>
      <w:r w:rsidRPr="001B6E4D">
        <w:rPr>
          <w:rFonts w:hint="eastAsia"/>
          <w:color w:val="000000" w:themeColor="text1"/>
          <w:shd w:val="clear" w:color="auto" w:fill="FFFFFF" w:themeFill="background1"/>
        </w:rPr>
        <w:t>六</w:t>
      </w:r>
      <w:r w:rsidRPr="001B6E4D">
        <w:rPr>
          <w:color w:val="000000" w:themeColor="text1"/>
          <w:shd w:val="clear" w:color="auto" w:fill="FFFFFF" w:themeFill="background1"/>
        </w:rPr>
        <w:t>）</w:t>
      </w:r>
      <w:r w:rsidR="003939F8" w:rsidRPr="001B6E4D">
        <w:rPr>
          <w:rFonts w:hint="eastAsia"/>
          <w:color w:val="000000" w:themeColor="text1"/>
          <w:shd w:val="clear" w:color="auto" w:fill="FFFFFF" w:themeFill="background1"/>
        </w:rPr>
        <w:t>監察院1</w:t>
      </w:r>
      <w:r w:rsidRPr="001B6E4D">
        <w:rPr>
          <w:color w:val="000000" w:themeColor="text1"/>
          <w:shd w:val="clear" w:color="auto" w:fill="FFFFFF" w:themeFill="background1"/>
        </w:rPr>
        <w:t>案</w:t>
      </w:r>
      <w:bookmarkEnd w:id="304"/>
      <w:bookmarkEnd w:id="305"/>
      <w:bookmarkEnd w:id="306"/>
      <w:bookmarkEnd w:id="307"/>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454"/>
        <w:gridCol w:w="2925"/>
        <w:gridCol w:w="2002"/>
        <w:gridCol w:w="1684"/>
        <w:gridCol w:w="1862"/>
      </w:tblGrid>
      <w:tr w:rsidR="00F359BB" w:rsidRPr="001B6E4D" w14:paraId="4E509E6A" w14:textId="77777777" w:rsidTr="0006693A">
        <w:tc>
          <w:tcPr>
            <w:tcW w:w="254" w:type="pct"/>
            <w:vAlign w:val="center"/>
          </w:tcPr>
          <w:p w14:paraId="7A0B6354" w14:textId="77777777" w:rsidR="00F359BB" w:rsidRPr="001B6E4D" w:rsidRDefault="00F359BB"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638" w:type="pct"/>
            <w:vAlign w:val="center"/>
          </w:tcPr>
          <w:p w14:paraId="21EE8BEC" w14:textId="77777777" w:rsidR="00F359BB" w:rsidRPr="001B6E4D" w:rsidRDefault="00F359BB"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21" w:type="pct"/>
            <w:vAlign w:val="center"/>
          </w:tcPr>
          <w:p w14:paraId="577AA0B1" w14:textId="77777777" w:rsidR="00F359BB" w:rsidRPr="001B6E4D" w:rsidRDefault="00F359BB"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16739CD7" w14:textId="77777777" w:rsidR="00F359BB" w:rsidRPr="001B6E4D" w:rsidRDefault="00F359BB"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6C54A537" w14:textId="77777777" w:rsidR="00F359BB" w:rsidRPr="001B6E4D" w:rsidRDefault="00F359BB"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43" w:type="pct"/>
            <w:vAlign w:val="center"/>
          </w:tcPr>
          <w:p w14:paraId="06532944" w14:textId="77777777" w:rsidR="00F359BB" w:rsidRPr="001B6E4D" w:rsidRDefault="00F359BB"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1043" w:type="pct"/>
            <w:vAlign w:val="center"/>
          </w:tcPr>
          <w:p w14:paraId="3F62D9F7" w14:textId="77777777" w:rsidR="00F359BB" w:rsidRPr="001B6E4D" w:rsidRDefault="00F359BB"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F359BB" w:rsidRPr="001B6E4D" w14:paraId="2D2ADC9A" w14:textId="77777777" w:rsidTr="00055072">
        <w:tc>
          <w:tcPr>
            <w:tcW w:w="254" w:type="pct"/>
          </w:tcPr>
          <w:p w14:paraId="05DA1F81" w14:textId="77777777" w:rsidR="00F359BB" w:rsidRPr="001B6E4D" w:rsidRDefault="00F359BB"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1</w:t>
            </w:r>
          </w:p>
        </w:tc>
        <w:tc>
          <w:tcPr>
            <w:tcW w:w="1638" w:type="pct"/>
            <w:shd w:val="clear" w:color="auto" w:fill="auto"/>
          </w:tcPr>
          <w:p w14:paraId="1BF746EC" w14:textId="346F36A5" w:rsidR="00F359BB" w:rsidRPr="001B6E4D" w:rsidRDefault="00F359BB" w:rsidP="003D1018">
            <w:pPr>
              <w:pStyle w:val="01"/>
              <w:overflowPunct w:val="0"/>
              <w:rPr>
                <w:rFonts w:hAnsi="標楷體"/>
                <w:color w:val="000000" w:themeColor="text1"/>
                <w:sz w:val="24"/>
                <w:szCs w:val="24"/>
              </w:rPr>
            </w:pPr>
            <w:r w:rsidRPr="001B6E4D">
              <w:rPr>
                <w:rFonts w:hAnsi="標楷體"/>
                <w:color w:val="000000" w:themeColor="text1"/>
                <w:sz w:val="24"/>
                <w:szCs w:val="24"/>
              </w:rPr>
              <w:t>監察院組織法第六</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修正重點：代理院長期間不得逾6個月；卸任代理院長之監察</w:t>
            </w:r>
            <w:r w:rsidRPr="001B6E4D">
              <w:rPr>
                <w:rFonts w:hAnsi="標楷體"/>
                <w:color w:val="000000" w:themeColor="text1"/>
                <w:sz w:val="24"/>
                <w:szCs w:val="24"/>
              </w:rPr>
              <w:lastRenderedPageBreak/>
              <w:t>委員不得再代理院長。）</w:t>
            </w:r>
          </w:p>
        </w:tc>
        <w:tc>
          <w:tcPr>
            <w:tcW w:w="1121" w:type="pct"/>
            <w:shd w:val="clear" w:color="auto" w:fill="auto"/>
          </w:tcPr>
          <w:p w14:paraId="1909B767" w14:textId="77777777" w:rsidR="00F359BB" w:rsidRPr="001B6E4D" w:rsidRDefault="00F359BB" w:rsidP="003D1018">
            <w:pPr>
              <w:pStyle w:val="01"/>
              <w:overflowPunct w:val="0"/>
              <w:rPr>
                <w:rFonts w:hAnsi="標楷體"/>
                <w:color w:val="000000" w:themeColor="text1"/>
                <w:sz w:val="24"/>
                <w:szCs w:val="24"/>
              </w:rPr>
            </w:pPr>
            <w:r w:rsidRPr="001B6E4D">
              <w:rPr>
                <w:rFonts w:hAnsi="標楷體"/>
                <w:color w:val="000000" w:themeColor="text1"/>
                <w:sz w:val="24"/>
                <w:szCs w:val="24"/>
              </w:rPr>
              <w:lastRenderedPageBreak/>
              <w:t>委員翁曉玲</w:t>
            </w:r>
          </w:p>
          <w:p w14:paraId="24CDB606" w14:textId="77777777" w:rsidR="00F359BB" w:rsidRPr="001B6E4D" w:rsidRDefault="00F359BB" w:rsidP="003D1018">
            <w:pPr>
              <w:pStyle w:val="01"/>
              <w:overflowPunct w:val="0"/>
              <w:rPr>
                <w:rFonts w:hAnsi="標楷體"/>
                <w:color w:val="000000" w:themeColor="text1"/>
                <w:sz w:val="24"/>
                <w:szCs w:val="24"/>
              </w:rPr>
            </w:pPr>
            <w:r w:rsidRPr="001B6E4D">
              <w:rPr>
                <w:rFonts w:hAnsi="標楷體"/>
                <w:color w:val="000000" w:themeColor="text1"/>
                <w:sz w:val="24"/>
                <w:szCs w:val="24"/>
              </w:rPr>
              <w:t>等20人</w:t>
            </w:r>
          </w:p>
          <w:p w14:paraId="02CCC239" w14:textId="77777777" w:rsidR="00F359BB" w:rsidRPr="001B6E4D" w:rsidRDefault="00F359BB" w:rsidP="003D1018">
            <w:pPr>
              <w:pStyle w:val="01"/>
              <w:overflowPunct w:val="0"/>
              <w:rPr>
                <w:rFonts w:hAnsi="標楷體"/>
                <w:color w:val="000000" w:themeColor="text1"/>
                <w:sz w:val="24"/>
                <w:szCs w:val="24"/>
              </w:rPr>
            </w:pPr>
            <w:r w:rsidRPr="001B6E4D">
              <w:rPr>
                <w:rFonts w:hAnsi="標楷體"/>
                <w:color w:val="000000" w:themeColor="text1"/>
                <w:sz w:val="24"/>
                <w:szCs w:val="24"/>
              </w:rPr>
              <w:t>115.05.29</w:t>
            </w:r>
          </w:p>
          <w:p w14:paraId="2BDCEEB3" w14:textId="0443C779" w:rsidR="00F359BB" w:rsidRPr="001B6E4D" w:rsidRDefault="00F359BB" w:rsidP="003D1018">
            <w:pPr>
              <w:pStyle w:val="01"/>
              <w:overflowPunct w:val="0"/>
              <w:rPr>
                <w:rFonts w:hAnsi="標楷體"/>
                <w:color w:val="000000" w:themeColor="text1"/>
                <w:sz w:val="24"/>
                <w:szCs w:val="24"/>
              </w:rPr>
            </w:pPr>
            <w:r w:rsidRPr="001B6E4D">
              <w:rPr>
                <w:rFonts w:hAnsi="標楷體"/>
                <w:color w:val="000000" w:themeColor="text1"/>
                <w:sz w:val="24"/>
                <w:szCs w:val="24"/>
              </w:rPr>
              <w:t>（11-5-12）</w:t>
            </w:r>
          </w:p>
        </w:tc>
        <w:tc>
          <w:tcPr>
            <w:tcW w:w="943" w:type="pct"/>
            <w:shd w:val="clear" w:color="auto" w:fill="auto"/>
          </w:tcPr>
          <w:p w14:paraId="55BE00FF" w14:textId="64285577" w:rsidR="00F359BB" w:rsidRPr="001B6E4D" w:rsidRDefault="00F359BB" w:rsidP="003D1018">
            <w:pPr>
              <w:pStyle w:val="01"/>
              <w:overflowPunct w:val="0"/>
              <w:rPr>
                <w:rFonts w:hAnsi="標楷體"/>
                <w:color w:val="000000" w:themeColor="text1"/>
                <w:sz w:val="24"/>
                <w:szCs w:val="24"/>
              </w:rPr>
            </w:pPr>
            <w:r w:rsidRPr="001B6E4D">
              <w:rPr>
                <w:rFonts w:hAnsi="標楷體"/>
                <w:color w:val="000000" w:themeColor="text1"/>
                <w:sz w:val="24"/>
                <w:szCs w:val="24"/>
              </w:rPr>
              <w:t>司法及法制</w:t>
            </w:r>
          </w:p>
        </w:tc>
        <w:tc>
          <w:tcPr>
            <w:tcW w:w="1043" w:type="pct"/>
            <w:shd w:val="clear" w:color="auto" w:fill="auto"/>
          </w:tcPr>
          <w:p w14:paraId="75392AC6" w14:textId="58EB5097" w:rsidR="00F359BB" w:rsidRPr="001B6E4D" w:rsidRDefault="00F359BB" w:rsidP="003D1018">
            <w:pPr>
              <w:pStyle w:val="01"/>
              <w:overflowPunct w:val="0"/>
              <w:rPr>
                <w:rFonts w:hAnsi="標楷體"/>
                <w:color w:val="000000" w:themeColor="text1"/>
                <w:sz w:val="24"/>
                <w:szCs w:val="24"/>
              </w:rPr>
            </w:pPr>
            <w:r w:rsidRPr="001B6E4D">
              <w:rPr>
                <w:rFonts w:hAnsi="標楷體"/>
                <w:color w:val="000000" w:themeColor="text1"/>
                <w:sz w:val="24"/>
                <w:szCs w:val="24"/>
              </w:rPr>
              <w:t>尚未審查</w:t>
            </w:r>
          </w:p>
        </w:tc>
      </w:tr>
    </w:tbl>
    <w:p w14:paraId="6094EF72" w14:textId="2A2CF0FA" w:rsidR="003939F8" w:rsidRPr="001B6E4D" w:rsidRDefault="003939F8" w:rsidP="003D1018">
      <w:pPr>
        <w:pStyle w:val="-40"/>
        <w:kinsoku w:val="0"/>
        <w:overflowPunct w:val="0"/>
        <w:topLinePunct/>
        <w:spacing w:beforeLines="100" w:before="360" w:afterLines="70" w:after="252" w:line="260" w:lineRule="exact"/>
        <w:ind w:leftChars="128" w:left="307" w:firstLineChars="400" w:firstLine="1121"/>
        <w:outlineLvl w:val="2"/>
        <w:rPr>
          <w:color w:val="000000" w:themeColor="text1"/>
          <w:shd w:val="clear" w:color="auto" w:fill="FFFFFF" w:themeFill="background1"/>
        </w:rPr>
      </w:pPr>
      <w:bookmarkStart w:id="308" w:name="_Toc240446553"/>
      <w:r w:rsidRPr="001B6E4D">
        <w:rPr>
          <w:color w:val="000000" w:themeColor="text1"/>
          <w:shd w:val="clear" w:color="auto" w:fill="FFFFFF" w:themeFill="background1"/>
        </w:rPr>
        <w:t>（</w:t>
      </w:r>
      <w:r w:rsidRPr="001B6E4D">
        <w:rPr>
          <w:rFonts w:hint="eastAsia"/>
          <w:color w:val="000000" w:themeColor="text1"/>
          <w:shd w:val="clear" w:color="auto" w:fill="FFFFFF" w:themeFill="background1"/>
        </w:rPr>
        <w:t>七</w:t>
      </w:r>
      <w:r w:rsidRPr="001B6E4D">
        <w:rPr>
          <w:color w:val="000000" w:themeColor="text1"/>
          <w:shd w:val="clear" w:color="auto" w:fill="FFFFFF" w:themeFill="background1"/>
        </w:rPr>
        <w:t>）其他（包含交付多個委員會聯席審查）</w:t>
      </w:r>
      <w:r w:rsidR="00463949" w:rsidRPr="001B6E4D">
        <w:rPr>
          <w:rFonts w:hint="eastAsia"/>
          <w:color w:val="000000" w:themeColor="text1"/>
          <w:shd w:val="clear" w:color="auto" w:fill="FFFFFF" w:themeFill="background1"/>
        </w:rPr>
        <w:t>4</w:t>
      </w:r>
      <w:r w:rsidRPr="001B6E4D">
        <w:rPr>
          <w:color w:val="000000" w:themeColor="text1"/>
          <w:shd w:val="clear" w:color="auto" w:fill="FFFFFF" w:themeFill="background1"/>
        </w:rPr>
        <w:t>案</w:t>
      </w:r>
      <w:bookmarkEnd w:id="308"/>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454"/>
        <w:gridCol w:w="2925"/>
        <w:gridCol w:w="2002"/>
        <w:gridCol w:w="1684"/>
        <w:gridCol w:w="1862"/>
      </w:tblGrid>
      <w:tr w:rsidR="00C87651" w:rsidRPr="001B6E4D" w14:paraId="4FD12D78" w14:textId="77777777" w:rsidTr="007F7506">
        <w:tc>
          <w:tcPr>
            <w:tcW w:w="254" w:type="pct"/>
            <w:vAlign w:val="center"/>
          </w:tcPr>
          <w:p w14:paraId="5032368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638" w:type="pct"/>
            <w:vAlign w:val="center"/>
          </w:tcPr>
          <w:p w14:paraId="31629357"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21" w:type="pct"/>
            <w:vAlign w:val="center"/>
          </w:tcPr>
          <w:p w14:paraId="2DBB303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0135B65B"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04A164A7"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43" w:type="pct"/>
            <w:vAlign w:val="center"/>
          </w:tcPr>
          <w:p w14:paraId="3E9F18DC"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1043" w:type="pct"/>
            <w:vAlign w:val="center"/>
          </w:tcPr>
          <w:p w14:paraId="78898C1D"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C87651" w:rsidRPr="001B6E4D" w14:paraId="5FE59E71" w14:textId="77777777" w:rsidTr="007F7506">
        <w:tc>
          <w:tcPr>
            <w:tcW w:w="254" w:type="pct"/>
          </w:tcPr>
          <w:p w14:paraId="26CA3507"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1</w:t>
            </w:r>
          </w:p>
        </w:tc>
        <w:tc>
          <w:tcPr>
            <w:tcW w:w="1638" w:type="pct"/>
          </w:tcPr>
          <w:p w14:paraId="36611E9E"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廢止「國民大會組織法」</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廢止重點：任務型國民大會業已被廢止，</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121" w:type="pct"/>
          </w:tcPr>
          <w:p w14:paraId="46E05B68"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281F6D9D"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58BCE8CA"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113.02.23</w:t>
            </w:r>
          </w:p>
          <w:p w14:paraId="623B7588"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（11-1-2）</w:t>
            </w:r>
          </w:p>
        </w:tc>
        <w:tc>
          <w:tcPr>
            <w:tcW w:w="943" w:type="pct"/>
          </w:tcPr>
          <w:p w14:paraId="1E18CEAE"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1043" w:type="pct"/>
          </w:tcPr>
          <w:p w14:paraId="38BDAEBF"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尚未審查</w:t>
            </w:r>
          </w:p>
        </w:tc>
      </w:tr>
      <w:tr w:rsidR="0081047B" w:rsidRPr="001B6E4D" w14:paraId="40AA5D2F" w14:textId="77777777" w:rsidTr="007F7506">
        <w:tc>
          <w:tcPr>
            <w:tcW w:w="254" w:type="pct"/>
          </w:tcPr>
          <w:p w14:paraId="1E0FEB13" w14:textId="77777777" w:rsidR="0081047B" w:rsidRPr="001B6E4D" w:rsidRDefault="0081047B" w:rsidP="003D1018">
            <w:pPr>
              <w:overflowPunct w:val="0"/>
              <w:jc w:val="center"/>
              <w:rPr>
                <w:rFonts w:ascii="標楷體" w:eastAsia="標楷體" w:hAnsi="標楷體"/>
                <w:sz w:val="24"/>
              </w:rPr>
            </w:pPr>
            <w:r w:rsidRPr="001B6E4D">
              <w:rPr>
                <w:rFonts w:ascii="標楷體" w:eastAsia="標楷體" w:hAnsi="標楷體"/>
                <w:sz w:val="24"/>
              </w:rPr>
              <w:t>2</w:t>
            </w:r>
          </w:p>
        </w:tc>
        <w:tc>
          <w:tcPr>
            <w:tcW w:w="1638" w:type="pct"/>
          </w:tcPr>
          <w:p w14:paraId="63B9F8F0" w14:textId="0E5EDA62" w:rsidR="0081047B" w:rsidRPr="001B6E4D" w:rsidRDefault="0081047B" w:rsidP="003D1018">
            <w:pPr>
              <w:pStyle w:val="01"/>
              <w:overflowPunct w:val="0"/>
              <w:rPr>
                <w:rFonts w:hAnsi="標楷體"/>
                <w:sz w:val="24"/>
                <w:szCs w:val="24"/>
              </w:rPr>
            </w:pPr>
            <w:r w:rsidRPr="001B6E4D">
              <w:rPr>
                <w:rFonts w:hAnsi="標楷體"/>
                <w:sz w:val="24"/>
                <w:szCs w:val="24"/>
              </w:rPr>
              <w:t>臺灣警察專科學校組織條例第三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w:t>
            </w:r>
            <w:r w:rsidR="00FC0B46" w:rsidRPr="001B6E4D">
              <w:rPr>
                <w:rFonts w:hAnsi="標楷體" w:hint="eastAsia"/>
                <w:sz w:val="24"/>
                <w:szCs w:val="24"/>
              </w:rPr>
              <w:t>定</w:t>
            </w:r>
            <w:r w:rsidRPr="001B6E4D">
              <w:rPr>
                <w:rFonts w:hAnsi="標楷體"/>
                <w:sz w:val="24"/>
                <w:szCs w:val="24"/>
              </w:rPr>
              <w:t>學生事務處職掌範圍。）</w:t>
            </w:r>
          </w:p>
        </w:tc>
        <w:tc>
          <w:tcPr>
            <w:tcW w:w="1121" w:type="pct"/>
          </w:tcPr>
          <w:p w14:paraId="70900280" w14:textId="77777777" w:rsidR="0081047B" w:rsidRPr="001B6E4D" w:rsidRDefault="0081047B" w:rsidP="003D1018">
            <w:pPr>
              <w:overflowPunct w:val="0"/>
              <w:rPr>
                <w:rFonts w:ascii="標楷體" w:eastAsia="標楷體" w:hAnsi="標楷體"/>
                <w:sz w:val="24"/>
              </w:rPr>
            </w:pPr>
            <w:r w:rsidRPr="001B6E4D">
              <w:rPr>
                <w:rFonts w:ascii="標楷體" w:eastAsia="標楷體" w:hAnsi="標楷體"/>
                <w:sz w:val="24"/>
              </w:rPr>
              <w:t>委員蔡易餘</w:t>
            </w:r>
          </w:p>
          <w:p w14:paraId="5FBCD73E" w14:textId="77777777" w:rsidR="0081047B" w:rsidRPr="001B6E4D" w:rsidRDefault="0081047B" w:rsidP="003D1018">
            <w:pPr>
              <w:overflowPunct w:val="0"/>
              <w:rPr>
                <w:rFonts w:ascii="標楷體" w:eastAsia="標楷體" w:hAnsi="標楷體"/>
                <w:sz w:val="24"/>
              </w:rPr>
            </w:pPr>
            <w:r w:rsidRPr="001B6E4D">
              <w:rPr>
                <w:rFonts w:ascii="標楷體" w:eastAsia="標楷體" w:hAnsi="標楷體"/>
                <w:sz w:val="24"/>
              </w:rPr>
              <w:t>等17人</w:t>
            </w:r>
          </w:p>
          <w:p w14:paraId="6A9A5158" w14:textId="77777777" w:rsidR="0081047B" w:rsidRPr="001B6E4D" w:rsidRDefault="0081047B" w:rsidP="003D1018">
            <w:pPr>
              <w:overflowPunct w:val="0"/>
              <w:rPr>
                <w:rFonts w:ascii="標楷體" w:eastAsia="標楷體" w:hAnsi="標楷體"/>
                <w:sz w:val="24"/>
              </w:rPr>
            </w:pPr>
            <w:r w:rsidRPr="001B6E4D">
              <w:rPr>
                <w:rFonts w:ascii="標楷體" w:eastAsia="標楷體" w:hAnsi="標楷體"/>
                <w:sz w:val="24"/>
              </w:rPr>
              <w:t>114.05.09</w:t>
            </w:r>
          </w:p>
          <w:p w14:paraId="3D2F856B" w14:textId="77777777" w:rsidR="0081047B" w:rsidRPr="001B6E4D" w:rsidRDefault="0081047B" w:rsidP="003D1018">
            <w:pPr>
              <w:overflowPunct w:val="0"/>
              <w:rPr>
                <w:rFonts w:ascii="標楷體" w:eastAsia="標楷體" w:hAnsi="標楷體"/>
                <w:sz w:val="24"/>
              </w:rPr>
            </w:pPr>
            <w:r w:rsidRPr="001B6E4D">
              <w:rPr>
                <w:rFonts w:ascii="標楷體" w:eastAsia="標楷體" w:hAnsi="標楷體"/>
                <w:sz w:val="24"/>
              </w:rPr>
              <w:t>（11-3-11）</w:t>
            </w:r>
          </w:p>
        </w:tc>
        <w:tc>
          <w:tcPr>
            <w:tcW w:w="943" w:type="pct"/>
          </w:tcPr>
          <w:p w14:paraId="631E3BA7" w14:textId="093C501E" w:rsidR="0081047B" w:rsidRPr="001B6E4D" w:rsidRDefault="0081047B" w:rsidP="003D1018">
            <w:pPr>
              <w:overflowPunct w:val="0"/>
              <w:jc w:val="both"/>
              <w:rPr>
                <w:rFonts w:ascii="標楷體" w:eastAsia="標楷體" w:hAnsi="標楷體"/>
                <w:sz w:val="24"/>
              </w:rPr>
            </w:pPr>
            <w:r w:rsidRPr="001B6E4D">
              <w:rPr>
                <w:rFonts w:ascii="標楷體" w:eastAsia="標楷體" w:hAnsi="標楷體"/>
                <w:sz w:val="24"/>
              </w:rPr>
              <w:t>司法及法制、內政、教育及文化</w:t>
            </w:r>
          </w:p>
        </w:tc>
        <w:tc>
          <w:tcPr>
            <w:tcW w:w="1043" w:type="pct"/>
          </w:tcPr>
          <w:p w14:paraId="19E35115" w14:textId="77777777" w:rsidR="0081047B" w:rsidRPr="001B6E4D" w:rsidRDefault="0081047B" w:rsidP="003D1018">
            <w:pPr>
              <w:overflowPunct w:val="0"/>
              <w:rPr>
                <w:rFonts w:ascii="標楷體" w:eastAsia="標楷體" w:hAnsi="標楷體"/>
                <w:sz w:val="24"/>
              </w:rPr>
            </w:pPr>
            <w:r w:rsidRPr="001B6E4D">
              <w:rPr>
                <w:rFonts w:ascii="標楷體" w:eastAsia="標楷體" w:hAnsi="標楷體"/>
                <w:sz w:val="24"/>
              </w:rPr>
              <w:t>尚未審查</w:t>
            </w:r>
          </w:p>
        </w:tc>
      </w:tr>
      <w:tr w:rsidR="00463949" w:rsidRPr="001B6E4D" w14:paraId="32A2F733" w14:textId="77777777" w:rsidTr="007F7506">
        <w:tc>
          <w:tcPr>
            <w:tcW w:w="254" w:type="pct"/>
          </w:tcPr>
          <w:p w14:paraId="486A4BC7" w14:textId="178657B2" w:rsidR="00463949" w:rsidRPr="001B6E4D" w:rsidRDefault="00463949" w:rsidP="003D1018">
            <w:pPr>
              <w:overflowPunct w:val="0"/>
              <w:jc w:val="center"/>
              <w:rPr>
                <w:rFonts w:ascii="標楷體" w:eastAsia="標楷體" w:hAnsi="標楷體"/>
                <w:sz w:val="24"/>
              </w:rPr>
            </w:pPr>
            <w:r w:rsidRPr="001B6E4D">
              <w:rPr>
                <w:rFonts w:ascii="標楷體" w:eastAsia="標楷體" w:hAnsi="標楷體"/>
                <w:sz w:val="24"/>
              </w:rPr>
              <w:t>3</w:t>
            </w:r>
          </w:p>
        </w:tc>
        <w:tc>
          <w:tcPr>
            <w:tcW w:w="1638" w:type="pct"/>
          </w:tcPr>
          <w:p w14:paraId="30E9E4FD" w14:textId="17DF0688" w:rsidR="00463949" w:rsidRPr="001B6E4D" w:rsidRDefault="00463949" w:rsidP="003D1018">
            <w:pPr>
              <w:pStyle w:val="01"/>
              <w:overflowPunct w:val="0"/>
              <w:rPr>
                <w:rFonts w:hAnsi="標楷體"/>
                <w:sz w:val="24"/>
                <w:szCs w:val="24"/>
              </w:rPr>
            </w:pPr>
            <w:r w:rsidRPr="001B6E4D">
              <w:rPr>
                <w:rFonts w:hAnsi="標楷體"/>
                <w:sz w:val="24"/>
                <w:szCs w:val="24"/>
              </w:rPr>
              <w:t>臺灣警察專科學校組織條例第八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修正重點：調整藥師與藥劑生、護理師與護士之職務列等規範。）</w:t>
            </w:r>
          </w:p>
        </w:tc>
        <w:tc>
          <w:tcPr>
            <w:tcW w:w="1121" w:type="pct"/>
          </w:tcPr>
          <w:p w14:paraId="620A5217" w14:textId="77777777" w:rsidR="00463949" w:rsidRPr="001B6E4D" w:rsidRDefault="00463949" w:rsidP="003D1018">
            <w:pPr>
              <w:overflowPunct w:val="0"/>
              <w:jc w:val="both"/>
              <w:rPr>
                <w:rFonts w:ascii="標楷體" w:eastAsia="標楷體" w:hAnsi="標楷體" w:cstheme="minorBidi"/>
                <w:sz w:val="24"/>
              </w:rPr>
            </w:pPr>
            <w:r w:rsidRPr="001B6E4D">
              <w:rPr>
                <w:rFonts w:ascii="標楷體" w:eastAsia="標楷體" w:hAnsi="標楷體" w:cstheme="minorBidi"/>
                <w:sz w:val="24"/>
              </w:rPr>
              <w:t>台灣民眾</w:t>
            </w:r>
            <w:proofErr w:type="gramStart"/>
            <w:r w:rsidRPr="001B6E4D">
              <w:rPr>
                <w:rFonts w:ascii="標楷體" w:eastAsia="標楷體" w:hAnsi="標楷體" w:cstheme="minorBidi"/>
                <w:sz w:val="24"/>
              </w:rPr>
              <w:t>黨</w:t>
            </w:r>
            <w:proofErr w:type="gramEnd"/>
            <w:r w:rsidRPr="001B6E4D">
              <w:rPr>
                <w:rFonts w:ascii="標楷體" w:eastAsia="標楷體" w:hAnsi="標楷體" w:cstheme="minorBidi"/>
                <w:sz w:val="24"/>
              </w:rPr>
              <w:t>黨團</w:t>
            </w:r>
          </w:p>
          <w:p w14:paraId="40FC2F85" w14:textId="77777777" w:rsidR="00463949" w:rsidRPr="001B6E4D" w:rsidRDefault="00463949" w:rsidP="003D1018">
            <w:pPr>
              <w:overflowPunct w:val="0"/>
              <w:jc w:val="both"/>
              <w:rPr>
                <w:rFonts w:ascii="標楷體" w:eastAsia="標楷體" w:hAnsi="標楷體" w:cstheme="minorBidi"/>
                <w:sz w:val="24"/>
              </w:rPr>
            </w:pPr>
            <w:r w:rsidRPr="001B6E4D">
              <w:rPr>
                <w:rFonts w:ascii="標楷體" w:eastAsia="標楷體" w:hAnsi="標楷體" w:cstheme="minorBidi"/>
                <w:sz w:val="24"/>
              </w:rPr>
              <w:t>115.03.20</w:t>
            </w:r>
          </w:p>
          <w:p w14:paraId="180293A2" w14:textId="25B7E220" w:rsidR="00463949" w:rsidRPr="001B6E4D" w:rsidRDefault="00463949" w:rsidP="003D1018">
            <w:pPr>
              <w:overflowPunct w:val="0"/>
              <w:jc w:val="both"/>
              <w:rPr>
                <w:rFonts w:ascii="標楷體" w:eastAsia="標楷體" w:hAnsi="標楷體" w:cstheme="minorBidi"/>
                <w:sz w:val="24"/>
              </w:rPr>
            </w:pPr>
            <w:r w:rsidRPr="001B6E4D">
              <w:rPr>
                <w:rFonts w:ascii="標楷體" w:eastAsia="標楷體" w:hAnsi="標楷體" w:cstheme="minorBidi"/>
                <w:sz w:val="24"/>
              </w:rPr>
              <w:t>（11-5-4）</w:t>
            </w:r>
          </w:p>
        </w:tc>
        <w:tc>
          <w:tcPr>
            <w:tcW w:w="943" w:type="pct"/>
          </w:tcPr>
          <w:p w14:paraId="35E65989" w14:textId="1A6AB32E" w:rsidR="00463949" w:rsidRPr="001B6E4D" w:rsidRDefault="00463949" w:rsidP="003D1018">
            <w:pPr>
              <w:overflowPunct w:val="0"/>
              <w:jc w:val="both"/>
              <w:rPr>
                <w:rFonts w:ascii="標楷體" w:eastAsia="標楷體" w:hAnsi="標楷體" w:cstheme="minorBidi"/>
                <w:sz w:val="24"/>
              </w:rPr>
            </w:pPr>
            <w:r w:rsidRPr="001B6E4D">
              <w:rPr>
                <w:rFonts w:ascii="標楷體" w:eastAsia="標楷體" w:hAnsi="標楷體" w:cstheme="minorBidi"/>
                <w:sz w:val="24"/>
              </w:rPr>
              <w:t>司法及法制、內政、教育及文化</w:t>
            </w:r>
          </w:p>
        </w:tc>
        <w:tc>
          <w:tcPr>
            <w:tcW w:w="1043" w:type="pct"/>
          </w:tcPr>
          <w:p w14:paraId="6105B2A3" w14:textId="0A689F1E" w:rsidR="00463949" w:rsidRPr="001B6E4D" w:rsidRDefault="00463949" w:rsidP="003D1018">
            <w:pPr>
              <w:overflowPunct w:val="0"/>
              <w:jc w:val="both"/>
              <w:rPr>
                <w:rFonts w:ascii="標楷體" w:eastAsia="標楷體" w:hAnsi="標楷體" w:cstheme="minorBidi"/>
                <w:sz w:val="24"/>
              </w:rPr>
            </w:pPr>
            <w:r w:rsidRPr="001B6E4D">
              <w:rPr>
                <w:rFonts w:ascii="標楷體" w:eastAsia="標楷體" w:hAnsi="標楷體" w:cstheme="minorBidi"/>
                <w:sz w:val="24"/>
              </w:rPr>
              <w:t>尚未審查</w:t>
            </w:r>
          </w:p>
        </w:tc>
      </w:tr>
      <w:tr w:rsidR="00463949" w:rsidRPr="001B6E4D" w14:paraId="0986A7C2" w14:textId="77777777" w:rsidTr="007F7506">
        <w:tc>
          <w:tcPr>
            <w:tcW w:w="254" w:type="pct"/>
          </w:tcPr>
          <w:p w14:paraId="2A3CD3C8" w14:textId="0DDE608C" w:rsidR="00463949" w:rsidRPr="001B6E4D" w:rsidRDefault="00463949" w:rsidP="003D1018">
            <w:pPr>
              <w:overflowPunct w:val="0"/>
              <w:jc w:val="center"/>
              <w:rPr>
                <w:rFonts w:ascii="標楷體" w:eastAsia="標楷體" w:hAnsi="標楷體"/>
                <w:sz w:val="24"/>
              </w:rPr>
            </w:pPr>
            <w:r w:rsidRPr="001B6E4D">
              <w:rPr>
                <w:rFonts w:ascii="標楷體" w:eastAsia="標楷體" w:hAnsi="標楷體"/>
                <w:sz w:val="24"/>
              </w:rPr>
              <w:t>4</w:t>
            </w:r>
          </w:p>
        </w:tc>
        <w:tc>
          <w:tcPr>
            <w:tcW w:w="1638" w:type="pct"/>
          </w:tcPr>
          <w:p w14:paraId="7A955F6B" w14:textId="272A8EA3" w:rsidR="00463949" w:rsidRPr="001B6E4D" w:rsidRDefault="00463949" w:rsidP="003D1018">
            <w:pPr>
              <w:pStyle w:val="01"/>
              <w:overflowPunct w:val="0"/>
              <w:rPr>
                <w:rFonts w:hAnsi="標楷體"/>
                <w:sz w:val="24"/>
                <w:szCs w:val="24"/>
              </w:rPr>
            </w:pPr>
            <w:r w:rsidRPr="001B6E4D">
              <w:rPr>
                <w:rFonts w:hAnsi="標楷體"/>
                <w:sz w:val="24"/>
                <w:szCs w:val="24"/>
              </w:rPr>
              <w:t>中央警察大學組織條例第八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修正重點：明定護理師或護士之設置。）</w:t>
            </w:r>
          </w:p>
        </w:tc>
        <w:tc>
          <w:tcPr>
            <w:tcW w:w="1121" w:type="pct"/>
          </w:tcPr>
          <w:p w14:paraId="26AECA66" w14:textId="77777777" w:rsidR="00463949" w:rsidRPr="001B6E4D" w:rsidRDefault="00463949" w:rsidP="003D1018">
            <w:pPr>
              <w:overflowPunct w:val="0"/>
              <w:jc w:val="both"/>
              <w:rPr>
                <w:rFonts w:ascii="標楷體" w:eastAsia="標楷體" w:hAnsi="標楷體" w:cstheme="minorBidi"/>
                <w:sz w:val="24"/>
              </w:rPr>
            </w:pPr>
            <w:r w:rsidRPr="001B6E4D">
              <w:rPr>
                <w:rFonts w:ascii="標楷體" w:eastAsia="標楷體" w:hAnsi="標楷體" w:cstheme="minorBidi"/>
                <w:sz w:val="24"/>
              </w:rPr>
              <w:t>台灣民眾</w:t>
            </w:r>
            <w:proofErr w:type="gramStart"/>
            <w:r w:rsidRPr="001B6E4D">
              <w:rPr>
                <w:rFonts w:ascii="標楷體" w:eastAsia="標楷體" w:hAnsi="標楷體" w:cstheme="minorBidi"/>
                <w:sz w:val="24"/>
              </w:rPr>
              <w:t>黨</w:t>
            </w:r>
            <w:proofErr w:type="gramEnd"/>
            <w:r w:rsidRPr="001B6E4D">
              <w:rPr>
                <w:rFonts w:ascii="標楷體" w:eastAsia="標楷體" w:hAnsi="標楷體" w:cstheme="minorBidi"/>
                <w:sz w:val="24"/>
              </w:rPr>
              <w:t>黨團</w:t>
            </w:r>
          </w:p>
          <w:p w14:paraId="1A9773F6" w14:textId="77777777" w:rsidR="00463949" w:rsidRPr="001B6E4D" w:rsidRDefault="00463949" w:rsidP="003D1018">
            <w:pPr>
              <w:overflowPunct w:val="0"/>
              <w:jc w:val="both"/>
              <w:rPr>
                <w:rFonts w:ascii="標楷體" w:eastAsia="標楷體" w:hAnsi="標楷體" w:cstheme="minorBidi"/>
                <w:sz w:val="24"/>
              </w:rPr>
            </w:pPr>
            <w:r w:rsidRPr="001B6E4D">
              <w:rPr>
                <w:rFonts w:ascii="標楷體" w:eastAsia="標楷體" w:hAnsi="標楷體" w:cstheme="minorBidi"/>
                <w:sz w:val="24"/>
              </w:rPr>
              <w:t>115.03.20</w:t>
            </w:r>
          </w:p>
          <w:p w14:paraId="4F7A7BD0" w14:textId="3F487417" w:rsidR="00463949" w:rsidRPr="001B6E4D" w:rsidRDefault="00463949" w:rsidP="003D1018">
            <w:pPr>
              <w:overflowPunct w:val="0"/>
              <w:jc w:val="both"/>
              <w:rPr>
                <w:rFonts w:ascii="標楷體" w:eastAsia="標楷體" w:hAnsi="標楷體" w:cstheme="minorBidi"/>
                <w:sz w:val="24"/>
              </w:rPr>
            </w:pPr>
            <w:r w:rsidRPr="001B6E4D">
              <w:rPr>
                <w:rFonts w:ascii="標楷體" w:eastAsia="標楷體" w:hAnsi="標楷體" w:cstheme="minorBidi"/>
                <w:sz w:val="24"/>
              </w:rPr>
              <w:t>（11-5-4）</w:t>
            </w:r>
          </w:p>
        </w:tc>
        <w:tc>
          <w:tcPr>
            <w:tcW w:w="943" w:type="pct"/>
          </w:tcPr>
          <w:p w14:paraId="28ECC2CA" w14:textId="599A7A62" w:rsidR="00463949" w:rsidRPr="001B6E4D" w:rsidRDefault="00463949" w:rsidP="003D1018">
            <w:pPr>
              <w:overflowPunct w:val="0"/>
              <w:jc w:val="both"/>
              <w:rPr>
                <w:rFonts w:ascii="標楷體" w:eastAsia="標楷體" w:hAnsi="標楷體" w:cstheme="minorBidi"/>
                <w:sz w:val="24"/>
              </w:rPr>
            </w:pPr>
            <w:r w:rsidRPr="001B6E4D">
              <w:rPr>
                <w:rFonts w:ascii="標楷體" w:eastAsia="標楷體" w:hAnsi="標楷體" w:cstheme="minorBidi"/>
                <w:sz w:val="24"/>
              </w:rPr>
              <w:t>司法及法制、內政、教育及文化</w:t>
            </w:r>
          </w:p>
        </w:tc>
        <w:tc>
          <w:tcPr>
            <w:tcW w:w="1043" w:type="pct"/>
          </w:tcPr>
          <w:p w14:paraId="1DF98C43" w14:textId="1655EE40" w:rsidR="00463949" w:rsidRPr="001B6E4D" w:rsidRDefault="00463949" w:rsidP="003D1018">
            <w:pPr>
              <w:overflowPunct w:val="0"/>
              <w:jc w:val="both"/>
              <w:rPr>
                <w:rFonts w:ascii="標楷體" w:eastAsia="標楷體" w:hAnsi="標楷體" w:cstheme="minorBidi"/>
                <w:sz w:val="24"/>
              </w:rPr>
            </w:pPr>
            <w:r w:rsidRPr="001B6E4D">
              <w:rPr>
                <w:rFonts w:ascii="標楷體" w:eastAsia="標楷體" w:hAnsi="標楷體" w:cstheme="minorBidi"/>
                <w:sz w:val="24"/>
              </w:rPr>
              <w:t>尚未審查</w:t>
            </w:r>
          </w:p>
        </w:tc>
      </w:tr>
    </w:tbl>
    <w:p w14:paraId="06FC32B7" w14:textId="48FE2D58" w:rsidR="009B28A5" w:rsidRPr="001B6E4D" w:rsidRDefault="009B28A5" w:rsidP="003D1018">
      <w:pPr>
        <w:pStyle w:val="affffff0"/>
        <w:kinsoku w:val="0"/>
        <w:overflowPunct w:val="0"/>
        <w:topLinePunct/>
        <w:spacing w:beforeLines="150" w:before="540" w:after="180"/>
        <w:ind w:leftChars="128" w:left="307" w:firstLineChars="280" w:firstLine="785"/>
        <w:rPr>
          <w:color w:val="000000" w:themeColor="text1"/>
          <w:szCs w:val="28"/>
          <w:shd w:val="clear" w:color="auto" w:fill="FFFFFF" w:themeFill="background1"/>
        </w:rPr>
      </w:pPr>
      <w:bookmarkStart w:id="309" w:name="_Toc361217345"/>
      <w:bookmarkStart w:id="310" w:name="_Toc362968405"/>
      <w:bookmarkStart w:id="311" w:name="_Toc136594853"/>
      <w:bookmarkStart w:id="312" w:name="_Toc240446554"/>
      <w:r w:rsidRPr="001B6E4D">
        <w:rPr>
          <w:color w:val="000000" w:themeColor="text1"/>
          <w:szCs w:val="28"/>
          <w:shd w:val="clear" w:color="auto" w:fill="FFFFFF" w:themeFill="background1"/>
        </w:rPr>
        <w:t>二、作用法</w:t>
      </w:r>
      <w:r w:rsidR="00A3485E" w:rsidRPr="001B6E4D">
        <w:rPr>
          <w:rFonts w:hint="eastAsia"/>
          <w:color w:val="000000" w:themeColor="text1"/>
          <w:szCs w:val="28"/>
          <w:shd w:val="clear" w:color="auto" w:fill="FFFFFF" w:themeFill="background1"/>
        </w:rPr>
        <w:t>574</w:t>
      </w:r>
      <w:r w:rsidRPr="001B6E4D">
        <w:rPr>
          <w:color w:val="000000" w:themeColor="text1"/>
          <w:szCs w:val="28"/>
          <w:shd w:val="clear" w:color="auto" w:fill="FFFFFF" w:themeFill="background1"/>
        </w:rPr>
        <w:t>案</w:t>
      </w:r>
      <w:bookmarkEnd w:id="309"/>
      <w:bookmarkEnd w:id="310"/>
      <w:bookmarkEnd w:id="311"/>
      <w:bookmarkEnd w:id="312"/>
    </w:p>
    <w:p w14:paraId="14324BE8" w14:textId="6CAFDBD8" w:rsidR="009B28A5" w:rsidRPr="001B6E4D" w:rsidRDefault="009B28A5"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313" w:name="_Toc361217346"/>
      <w:bookmarkStart w:id="314" w:name="_Toc362968406"/>
      <w:bookmarkStart w:id="315" w:name="_Toc136594854"/>
      <w:bookmarkStart w:id="316" w:name="_Toc240446555"/>
      <w:r w:rsidRPr="001B6E4D">
        <w:rPr>
          <w:color w:val="000000" w:themeColor="text1"/>
          <w:shd w:val="clear" w:color="auto" w:fill="FFFFFF" w:themeFill="background1"/>
        </w:rPr>
        <w:t>（一）</w:t>
      </w:r>
      <w:bookmarkStart w:id="317" w:name="_Toc361217347"/>
      <w:bookmarkStart w:id="318" w:name="_Toc362968407"/>
      <w:bookmarkStart w:id="319" w:name="_Toc136594855"/>
      <w:bookmarkEnd w:id="313"/>
      <w:bookmarkEnd w:id="314"/>
      <w:bookmarkEnd w:id="315"/>
      <w:r w:rsidRPr="001B6E4D">
        <w:rPr>
          <w:color w:val="000000" w:themeColor="text1"/>
          <w:shd w:val="clear" w:color="auto" w:fill="FFFFFF" w:themeFill="background1"/>
        </w:rPr>
        <w:t>行政院</w:t>
      </w:r>
      <w:r w:rsidR="00725B39" w:rsidRPr="001B6E4D">
        <w:rPr>
          <w:rFonts w:hint="eastAsia"/>
          <w:color w:val="000000" w:themeColor="text1"/>
          <w:shd w:val="clear" w:color="auto" w:fill="FFFFFF" w:themeFill="background1"/>
        </w:rPr>
        <w:t>3</w:t>
      </w:r>
      <w:r w:rsidR="00A3485E" w:rsidRPr="001B6E4D">
        <w:rPr>
          <w:rFonts w:hint="eastAsia"/>
          <w:color w:val="000000" w:themeColor="text1"/>
          <w:shd w:val="clear" w:color="auto" w:fill="FFFFFF" w:themeFill="background1"/>
        </w:rPr>
        <w:t>95</w:t>
      </w:r>
      <w:r w:rsidRPr="001B6E4D">
        <w:rPr>
          <w:color w:val="000000" w:themeColor="text1"/>
          <w:shd w:val="clear" w:color="auto" w:fill="FFFFFF" w:themeFill="background1"/>
        </w:rPr>
        <w:t>案</w:t>
      </w:r>
      <w:bookmarkEnd w:id="316"/>
      <w:bookmarkEnd w:id="317"/>
      <w:bookmarkEnd w:id="318"/>
      <w:bookmarkEnd w:id="319"/>
    </w:p>
    <w:p w14:paraId="6896CA50" w14:textId="4F4901BA" w:rsidR="009B28A5" w:rsidRPr="001B6E4D" w:rsidRDefault="009B28A5" w:rsidP="003D1018">
      <w:pPr>
        <w:pStyle w:val="1-5"/>
        <w:kinsoku w:val="0"/>
        <w:overflowPunct w:val="0"/>
        <w:topLinePunct/>
        <w:spacing w:before="180" w:after="180" w:line="240" w:lineRule="auto"/>
        <w:ind w:leftChars="128" w:left="307" w:firstLineChars="500" w:firstLine="1401"/>
        <w:rPr>
          <w:color w:val="000000" w:themeColor="text1"/>
          <w:shd w:val="clear" w:color="auto" w:fill="FFFFFF" w:themeFill="background1"/>
        </w:rPr>
      </w:pPr>
      <w:bookmarkStart w:id="320" w:name="_Toc361217354"/>
      <w:bookmarkStart w:id="321" w:name="_Toc362968414"/>
      <w:bookmarkStart w:id="322" w:name="_Toc136594856"/>
      <w:bookmarkStart w:id="323" w:name="_Toc361217348"/>
      <w:bookmarkStart w:id="324" w:name="_Toc362968408"/>
      <w:r w:rsidRPr="001B6E4D">
        <w:rPr>
          <w:rFonts w:hint="eastAsia"/>
          <w:color w:val="000000" w:themeColor="text1"/>
          <w:shd w:val="clear" w:color="auto" w:fill="FFFFFF" w:themeFill="background1"/>
        </w:rPr>
        <w:t>1</w:t>
      </w:r>
      <w:r w:rsidRPr="001B6E4D">
        <w:rPr>
          <w:color w:val="000000" w:themeColor="text1"/>
          <w:shd w:val="clear" w:color="auto" w:fill="FFFFFF" w:themeFill="background1"/>
        </w:rPr>
        <w:t>.本會審查</w:t>
      </w:r>
      <w:bookmarkEnd w:id="320"/>
      <w:bookmarkEnd w:id="321"/>
      <w:bookmarkEnd w:id="322"/>
      <w:r w:rsidR="00A3485E" w:rsidRPr="001B6E4D">
        <w:rPr>
          <w:rFonts w:hint="eastAsia"/>
          <w:color w:val="000000" w:themeColor="text1"/>
          <w:shd w:val="clear" w:color="auto" w:fill="FFFFFF" w:themeFill="background1"/>
        </w:rPr>
        <w:t>306</w:t>
      </w:r>
      <w:r w:rsidRPr="001B6E4D">
        <w:rPr>
          <w:rFonts w:hint="eastAsia"/>
          <w:color w:val="000000" w:themeColor="text1"/>
          <w:shd w:val="clear" w:color="auto" w:fill="FFFFFF" w:themeFill="background1"/>
        </w:rPr>
        <w:t>案</w:t>
      </w:r>
    </w:p>
    <w:p w14:paraId="7BDC4064" w14:textId="68869629" w:rsidR="009B28A5" w:rsidRPr="001B6E4D" w:rsidRDefault="009B28A5" w:rsidP="003D1018">
      <w:pPr>
        <w:pStyle w:val="1-6"/>
        <w:kinsoku w:val="0"/>
        <w:overflowPunct w:val="0"/>
        <w:topLinePunct/>
        <w:spacing w:before="180" w:after="180" w:line="240" w:lineRule="auto"/>
        <w:ind w:leftChars="128" w:left="307" w:firstLineChars="620" w:firstLine="1738"/>
        <w:rPr>
          <w:color w:val="000000" w:themeColor="text1"/>
          <w:shd w:val="clear" w:color="auto" w:fill="FFFFFF" w:themeFill="background1"/>
        </w:rPr>
      </w:pPr>
      <w:bookmarkStart w:id="325" w:name="_Toc361217355"/>
      <w:bookmarkStart w:id="326" w:name="_Toc362968415"/>
      <w:bookmarkStart w:id="327" w:name="_Toc136594857"/>
      <w:bookmarkStart w:id="328" w:name="_Hlk188012174"/>
      <w:r w:rsidRPr="001B6E4D">
        <w:rPr>
          <w:color w:val="000000" w:themeColor="text1"/>
          <w:shd w:val="clear" w:color="auto" w:fill="FFFFFF" w:themeFill="background1"/>
        </w:rPr>
        <w:t>（1）行政院院本部</w:t>
      </w:r>
      <w:r w:rsidR="00A3485E" w:rsidRPr="001B6E4D">
        <w:rPr>
          <w:rFonts w:hint="eastAsia"/>
          <w:color w:val="000000" w:themeColor="text1"/>
          <w:shd w:val="clear" w:color="auto" w:fill="FFFFFF" w:themeFill="background1"/>
        </w:rPr>
        <w:t>6</w:t>
      </w:r>
      <w:r w:rsidRPr="001B6E4D">
        <w:rPr>
          <w:color w:val="000000" w:themeColor="text1"/>
          <w:shd w:val="clear" w:color="auto" w:fill="FFFFFF" w:themeFill="background1"/>
        </w:rPr>
        <w:t>案</w:t>
      </w:r>
      <w:bookmarkEnd w:id="325"/>
      <w:bookmarkEnd w:id="326"/>
      <w:bookmarkEnd w:id="327"/>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598"/>
        <w:gridCol w:w="3124"/>
        <w:gridCol w:w="2191"/>
        <w:gridCol w:w="1550"/>
        <w:gridCol w:w="1464"/>
      </w:tblGrid>
      <w:tr w:rsidR="00C87651" w:rsidRPr="001B6E4D" w14:paraId="5F4FB9F1" w14:textId="77777777" w:rsidTr="0081047B">
        <w:tc>
          <w:tcPr>
            <w:tcW w:w="335" w:type="pct"/>
            <w:vAlign w:val="center"/>
          </w:tcPr>
          <w:p w14:paraId="4B9F3AA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329" w:name="_Toc361217356"/>
            <w:bookmarkStart w:id="330" w:name="_Toc362968416"/>
            <w:r w:rsidRPr="001B6E4D">
              <w:rPr>
                <w:rFonts w:ascii="標楷體" w:eastAsia="標楷體" w:hAnsi="標楷體"/>
                <w:b/>
                <w:color w:val="000000" w:themeColor="text1"/>
                <w:sz w:val="24"/>
                <w:shd w:val="clear" w:color="auto" w:fill="FFFFFF" w:themeFill="background1"/>
              </w:rPr>
              <w:t>序號</w:t>
            </w:r>
          </w:p>
        </w:tc>
        <w:tc>
          <w:tcPr>
            <w:tcW w:w="1750" w:type="pct"/>
            <w:vAlign w:val="center"/>
          </w:tcPr>
          <w:p w14:paraId="369A227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227" w:type="pct"/>
            <w:vAlign w:val="center"/>
          </w:tcPr>
          <w:p w14:paraId="5228E421"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05C4A8F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649309E8"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68" w:type="pct"/>
            <w:vAlign w:val="center"/>
          </w:tcPr>
          <w:p w14:paraId="77F004FC"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20" w:type="pct"/>
            <w:vAlign w:val="center"/>
          </w:tcPr>
          <w:p w14:paraId="4DFC337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C87651" w:rsidRPr="001B6E4D" w14:paraId="294A3030" w14:textId="77777777" w:rsidTr="0081047B">
        <w:tc>
          <w:tcPr>
            <w:tcW w:w="335" w:type="pct"/>
          </w:tcPr>
          <w:p w14:paraId="109D3E9A"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1</w:t>
            </w:r>
          </w:p>
        </w:tc>
        <w:tc>
          <w:tcPr>
            <w:tcW w:w="1750" w:type="pct"/>
          </w:tcPr>
          <w:p w14:paraId="7B774A92"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赦免法第三條及第六</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修正重點：總統行使赦免權力時，或命令</w:t>
            </w:r>
            <w:proofErr w:type="gramStart"/>
            <w:r w:rsidRPr="001B6E4D">
              <w:rPr>
                <w:rFonts w:hAnsi="標楷體"/>
                <w:color w:val="000000" w:themeColor="text1"/>
                <w:sz w:val="24"/>
                <w:szCs w:val="24"/>
              </w:rPr>
              <w:t>行</w:t>
            </w:r>
            <w:r w:rsidRPr="001B6E4D">
              <w:rPr>
                <w:rFonts w:hAnsi="標楷體"/>
                <w:color w:val="000000" w:themeColor="text1"/>
                <w:sz w:val="24"/>
                <w:szCs w:val="24"/>
              </w:rPr>
              <w:lastRenderedPageBreak/>
              <w:t>政院轉令主管</w:t>
            </w:r>
            <w:proofErr w:type="gramEnd"/>
            <w:r w:rsidRPr="001B6E4D">
              <w:rPr>
                <w:rFonts w:hAnsi="標楷體"/>
                <w:color w:val="000000" w:themeColor="text1"/>
                <w:sz w:val="24"/>
                <w:szCs w:val="24"/>
              </w:rPr>
              <w:t>部</w:t>
            </w:r>
            <w:proofErr w:type="gramStart"/>
            <w:r w:rsidRPr="001B6E4D">
              <w:rPr>
                <w:rFonts w:hAnsi="標楷體"/>
                <w:color w:val="000000" w:themeColor="text1"/>
                <w:sz w:val="24"/>
                <w:szCs w:val="24"/>
              </w:rPr>
              <w:t>研</w:t>
            </w:r>
            <w:proofErr w:type="gramEnd"/>
            <w:r w:rsidRPr="001B6E4D">
              <w:rPr>
                <w:rFonts w:hAnsi="標楷體"/>
                <w:color w:val="000000" w:themeColor="text1"/>
                <w:sz w:val="24"/>
                <w:szCs w:val="24"/>
              </w:rPr>
              <w:t>議赦免時，應考量憲法罪刑相當原則。）</w:t>
            </w:r>
          </w:p>
        </w:tc>
        <w:tc>
          <w:tcPr>
            <w:tcW w:w="1227" w:type="pct"/>
          </w:tcPr>
          <w:p w14:paraId="2A74BED2"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委員林德福</w:t>
            </w:r>
          </w:p>
          <w:p w14:paraId="5BC95AD3"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等28人</w:t>
            </w:r>
          </w:p>
          <w:p w14:paraId="56AE3701"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113.05.17</w:t>
            </w:r>
          </w:p>
          <w:p w14:paraId="7480FFD8"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lastRenderedPageBreak/>
              <w:t>（11-1-14）</w:t>
            </w:r>
          </w:p>
        </w:tc>
        <w:tc>
          <w:tcPr>
            <w:tcW w:w="868" w:type="pct"/>
          </w:tcPr>
          <w:p w14:paraId="13E4038C"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lastRenderedPageBreak/>
              <w:t>司法及法制</w:t>
            </w:r>
          </w:p>
        </w:tc>
        <w:tc>
          <w:tcPr>
            <w:tcW w:w="820" w:type="pct"/>
          </w:tcPr>
          <w:p w14:paraId="2D68D1ED"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尚未審查</w:t>
            </w:r>
          </w:p>
        </w:tc>
      </w:tr>
      <w:tr w:rsidR="00C87651" w:rsidRPr="001B6E4D" w14:paraId="1715890D" w14:textId="77777777" w:rsidTr="0081047B">
        <w:tc>
          <w:tcPr>
            <w:tcW w:w="335" w:type="pct"/>
          </w:tcPr>
          <w:p w14:paraId="1E277908" w14:textId="77777777" w:rsidR="009B28A5" w:rsidRPr="001B6E4D" w:rsidRDefault="009B28A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w:t>
            </w:r>
          </w:p>
        </w:tc>
        <w:tc>
          <w:tcPr>
            <w:tcW w:w="1750" w:type="pct"/>
          </w:tcPr>
          <w:p w14:paraId="6B5AE858" w14:textId="362C53D7" w:rsidR="009B28A5" w:rsidRPr="001B6E4D" w:rsidRDefault="0081047B" w:rsidP="003D1018">
            <w:pPr>
              <w:pStyle w:val="01"/>
              <w:overflowPunct w:val="0"/>
              <w:rPr>
                <w:rFonts w:hAnsi="標楷體"/>
                <w:color w:val="000000" w:themeColor="text1"/>
                <w:sz w:val="24"/>
                <w:szCs w:val="24"/>
              </w:rPr>
            </w:pPr>
            <w:r w:rsidRPr="001B6E4D">
              <w:rPr>
                <w:rFonts w:hAnsi="標楷體" w:hint="eastAsia"/>
                <w:color w:val="000000" w:themeColor="text1"/>
                <w:sz w:val="24"/>
                <w:szCs w:val="24"/>
              </w:rPr>
              <w:t>1</w:t>
            </w:r>
            <w:r w:rsidRPr="001B6E4D">
              <w:rPr>
                <w:rFonts w:hAnsi="標楷體"/>
                <w:color w:val="000000" w:themeColor="text1"/>
                <w:sz w:val="24"/>
                <w:szCs w:val="24"/>
              </w:rPr>
              <w:t>.</w:t>
            </w:r>
            <w:r w:rsidR="009B28A5" w:rsidRPr="001B6E4D">
              <w:rPr>
                <w:rFonts w:hAnsi="標楷體"/>
                <w:color w:val="000000" w:themeColor="text1"/>
                <w:sz w:val="24"/>
                <w:szCs w:val="24"/>
              </w:rPr>
              <w:t>中央法規標準法第七</w:t>
            </w:r>
            <w:proofErr w:type="gramStart"/>
            <w:r w:rsidR="009B28A5" w:rsidRPr="001B6E4D">
              <w:rPr>
                <w:rFonts w:hAnsi="標楷體"/>
                <w:color w:val="000000" w:themeColor="text1"/>
                <w:sz w:val="24"/>
                <w:szCs w:val="24"/>
              </w:rPr>
              <w:t>條</w:t>
            </w:r>
            <w:proofErr w:type="gramEnd"/>
            <w:r w:rsidR="009B28A5" w:rsidRPr="001B6E4D">
              <w:rPr>
                <w:rFonts w:hAnsi="標楷體"/>
                <w:color w:val="000000" w:themeColor="text1"/>
                <w:sz w:val="24"/>
                <w:szCs w:val="24"/>
              </w:rPr>
              <w:t>條文修正草案</w:t>
            </w:r>
            <w:proofErr w:type="gramStart"/>
            <w:r w:rsidR="009B28A5" w:rsidRPr="001B6E4D">
              <w:rPr>
                <w:rFonts w:hAnsi="標楷體"/>
                <w:color w:val="000000" w:themeColor="text1"/>
                <w:sz w:val="24"/>
                <w:szCs w:val="24"/>
              </w:rPr>
              <w:t>（</w:t>
            </w:r>
            <w:proofErr w:type="gramEnd"/>
            <w:r w:rsidR="009B28A5" w:rsidRPr="001B6E4D">
              <w:rPr>
                <w:rFonts w:hAnsi="標楷體"/>
                <w:color w:val="000000" w:themeColor="text1"/>
                <w:sz w:val="24"/>
                <w:szCs w:val="24"/>
              </w:rPr>
              <w:t>修正重點：行政機關應於行政命令下達或發布後7日內送立法院，逾期該命令失效。）</w:t>
            </w:r>
          </w:p>
        </w:tc>
        <w:tc>
          <w:tcPr>
            <w:tcW w:w="1227" w:type="pct"/>
          </w:tcPr>
          <w:p w14:paraId="199059E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51D5B5FA"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0EB32778"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113.06.07</w:t>
            </w:r>
          </w:p>
          <w:p w14:paraId="09FDCC7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（11-1-17）</w:t>
            </w:r>
          </w:p>
        </w:tc>
        <w:tc>
          <w:tcPr>
            <w:tcW w:w="868" w:type="pct"/>
          </w:tcPr>
          <w:p w14:paraId="68988DBF"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20" w:type="pct"/>
          </w:tcPr>
          <w:p w14:paraId="3F82C6E8"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81047B" w:rsidRPr="001B6E4D" w14:paraId="071C05ED" w14:textId="77777777" w:rsidTr="0081047B">
        <w:tc>
          <w:tcPr>
            <w:tcW w:w="335" w:type="pct"/>
          </w:tcPr>
          <w:p w14:paraId="12B613D0" w14:textId="488BED72" w:rsidR="0081047B" w:rsidRPr="001B6E4D" w:rsidRDefault="0081047B" w:rsidP="003D1018">
            <w:pPr>
              <w:overflowPunct w:val="0"/>
              <w:jc w:val="center"/>
              <w:rPr>
                <w:rFonts w:ascii="標楷體" w:eastAsia="標楷體" w:hAnsi="標楷體"/>
                <w:sz w:val="24"/>
              </w:rPr>
            </w:pPr>
            <w:r w:rsidRPr="001B6E4D">
              <w:rPr>
                <w:rFonts w:ascii="標楷體" w:eastAsia="標楷體" w:hAnsi="標楷體" w:hint="eastAsia"/>
                <w:sz w:val="24"/>
              </w:rPr>
              <w:t>3</w:t>
            </w:r>
          </w:p>
        </w:tc>
        <w:tc>
          <w:tcPr>
            <w:tcW w:w="1750" w:type="pct"/>
          </w:tcPr>
          <w:p w14:paraId="6E22D013" w14:textId="77777777" w:rsidR="0081047B" w:rsidRPr="001B6E4D" w:rsidRDefault="0081047B" w:rsidP="003D1018">
            <w:pPr>
              <w:pStyle w:val="01"/>
              <w:overflowPunct w:val="0"/>
              <w:rPr>
                <w:rFonts w:hAnsi="標楷體"/>
                <w:sz w:val="24"/>
                <w:szCs w:val="24"/>
              </w:rPr>
            </w:pPr>
            <w:r w:rsidRPr="001B6E4D">
              <w:rPr>
                <w:rFonts w:hAnsi="標楷體" w:hint="eastAsia"/>
                <w:sz w:val="24"/>
                <w:szCs w:val="24"/>
              </w:rPr>
              <w:t>2.中央法規標準法第三條之一、第七條及第二十四</w:t>
            </w:r>
            <w:proofErr w:type="gramStart"/>
            <w:r w:rsidRPr="001B6E4D">
              <w:rPr>
                <w:rFonts w:hAnsi="標楷體" w:hint="eastAsia"/>
                <w:sz w:val="24"/>
                <w:szCs w:val="24"/>
              </w:rPr>
              <w:t>條</w:t>
            </w:r>
            <w:proofErr w:type="gramEnd"/>
            <w:r w:rsidRPr="001B6E4D">
              <w:rPr>
                <w:rFonts w:hAnsi="標楷體" w:hint="eastAsia"/>
                <w:sz w:val="24"/>
                <w:szCs w:val="24"/>
              </w:rPr>
              <w:t>條文修正草案</w:t>
            </w:r>
            <w:proofErr w:type="gramStart"/>
            <w:r w:rsidRPr="001B6E4D">
              <w:rPr>
                <w:rFonts w:hAnsi="標楷體" w:hint="eastAsia"/>
                <w:sz w:val="24"/>
                <w:szCs w:val="24"/>
              </w:rPr>
              <w:t>（</w:t>
            </w:r>
            <w:proofErr w:type="gramEnd"/>
            <w:r w:rsidRPr="001B6E4D">
              <w:rPr>
                <w:rFonts w:hAnsi="標楷體" w:hint="eastAsia"/>
                <w:sz w:val="24"/>
                <w:szCs w:val="24"/>
              </w:rPr>
              <w:t>修正重點：納入行政機關預擬制定或修正法律的草案預告相關規定；行政命令下達或發布時，應即時送達立法院；法律定有施行期限，有需要延長者，修訂為6個月前送立法院審議。）</w:t>
            </w:r>
          </w:p>
        </w:tc>
        <w:tc>
          <w:tcPr>
            <w:tcW w:w="1227" w:type="pct"/>
          </w:tcPr>
          <w:p w14:paraId="48956DFA" w14:textId="77777777" w:rsidR="0081047B" w:rsidRPr="001B6E4D" w:rsidRDefault="0081047B" w:rsidP="003D1018">
            <w:pPr>
              <w:overflowPunct w:val="0"/>
              <w:jc w:val="both"/>
              <w:rPr>
                <w:rFonts w:ascii="標楷體" w:eastAsia="標楷體" w:hAnsi="標楷體"/>
                <w:sz w:val="24"/>
              </w:rPr>
            </w:pPr>
            <w:r w:rsidRPr="001B6E4D">
              <w:rPr>
                <w:rFonts w:ascii="標楷體" w:eastAsia="標楷體" w:hAnsi="標楷體" w:hint="eastAsia"/>
                <w:sz w:val="24"/>
              </w:rPr>
              <w:t>委員徐欣瑩</w:t>
            </w:r>
          </w:p>
          <w:p w14:paraId="27A8DA13" w14:textId="77777777" w:rsidR="0081047B" w:rsidRPr="001B6E4D" w:rsidRDefault="0081047B" w:rsidP="003D1018">
            <w:pPr>
              <w:overflowPunct w:val="0"/>
              <w:jc w:val="both"/>
              <w:rPr>
                <w:rFonts w:ascii="標楷體" w:eastAsia="標楷體" w:hAnsi="標楷體"/>
                <w:sz w:val="24"/>
              </w:rPr>
            </w:pPr>
            <w:r w:rsidRPr="001B6E4D">
              <w:rPr>
                <w:rFonts w:ascii="標楷體" w:eastAsia="標楷體" w:hAnsi="標楷體" w:hint="eastAsia"/>
                <w:sz w:val="24"/>
              </w:rPr>
              <w:t>等21人</w:t>
            </w:r>
          </w:p>
          <w:p w14:paraId="13C2E4F8" w14:textId="77777777" w:rsidR="0081047B" w:rsidRPr="001B6E4D" w:rsidRDefault="0081047B" w:rsidP="003D1018">
            <w:pPr>
              <w:overflowPunct w:val="0"/>
              <w:jc w:val="both"/>
              <w:rPr>
                <w:rFonts w:ascii="標楷體" w:eastAsia="標楷體" w:hAnsi="標楷體"/>
                <w:sz w:val="24"/>
              </w:rPr>
            </w:pPr>
            <w:r w:rsidRPr="001B6E4D">
              <w:rPr>
                <w:rFonts w:ascii="標楷體" w:eastAsia="標楷體" w:hAnsi="標楷體"/>
                <w:sz w:val="24"/>
              </w:rPr>
              <w:t>114.03.07</w:t>
            </w:r>
          </w:p>
          <w:p w14:paraId="36D6BE4F" w14:textId="77777777" w:rsidR="0081047B" w:rsidRPr="001B6E4D" w:rsidRDefault="0081047B" w:rsidP="003D1018">
            <w:pPr>
              <w:overflowPunct w:val="0"/>
              <w:jc w:val="both"/>
              <w:rPr>
                <w:rFonts w:ascii="標楷體" w:eastAsia="標楷體" w:hAnsi="標楷體"/>
                <w:sz w:val="24"/>
              </w:rPr>
            </w:pPr>
            <w:r w:rsidRPr="001B6E4D">
              <w:rPr>
                <w:rFonts w:ascii="標楷體" w:eastAsia="標楷體" w:hAnsi="標楷體" w:hint="eastAsia"/>
                <w:sz w:val="24"/>
              </w:rPr>
              <w:t>（11-3-4）</w:t>
            </w:r>
          </w:p>
        </w:tc>
        <w:tc>
          <w:tcPr>
            <w:tcW w:w="868" w:type="pct"/>
          </w:tcPr>
          <w:p w14:paraId="674FA9B9" w14:textId="77777777" w:rsidR="0081047B" w:rsidRPr="001B6E4D" w:rsidRDefault="0081047B" w:rsidP="003D1018">
            <w:pPr>
              <w:overflowPunct w:val="0"/>
              <w:jc w:val="both"/>
              <w:rPr>
                <w:rFonts w:ascii="標楷體" w:eastAsia="標楷體" w:hAnsi="標楷體"/>
                <w:sz w:val="24"/>
              </w:rPr>
            </w:pPr>
            <w:r w:rsidRPr="001B6E4D">
              <w:rPr>
                <w:rFonts w:ascii="標楷體" w:eastAsia="標楷體" w:hAnsi="標楷體" w:hint="eastAsia"/>
                <w:sz w:val="24"/>
              </w:rPr>
              <w:t>司法及法制</w:t>
            </w:r>
          </w:p>
        </w:tc>
        <w:tc>
          <w:tcPr>
            <w:tcW w:w="820" w:type="pct"/>
          </w:tcPr>
          <w:p w14:paraId="762F13EB" w14:textId="77777777" w:rsidR="0081047B" w:rsidRPr="001B6E4D" w:rsidRDefault="0081047B" w:rsidP="003D1018">
            <w:pPr>
              <w:overflowPunct w:val="0"/>
              <w:jc w:val="both"/>
              <w:rPr>
                <w:rFonts w:ascii="標楷體" w:eastAsia="標楷體" w:hAnsi="標楷體"/>
                <w:sz w:val="24"/>
              </w:rPr>
            </w:pPr>
            <w:r w:rsidRPr="001B6E4D">
              <w:rPr>
                <w:rFonts w:ascii="標楷體" w:eastAsia="標楷體" w:hAnsi="標楷體" w:hint="eastAsia"/>
                <w:sz w:val="24"/>
              </w:rPr>
              <w:t>尚未審查</w:t>
            </w:r>
          </w:p>
        </w:tc>
      </w:tr>
      <w:tr w:rsidR="00C87651" w:rsidRPr="001B6E4D" w14:paraId="04376853" w14:textId="77777777" w:rsidTr="0081047B">
        <w:tc>
          <w:tcPr>
            <w:tcW w:w="335" w:type="pct"/>
          </w:tcPr>
          <w:p w14:paraId="3037783D" w14:textId="7D0FD9BD" w:rsidR="009B28A5" w:rsidRPr="001B6E4D" w:rsidRDefault="0081047B" w:rsidP="003D1018">
            <w:pPr>
              <w:overflowPunct w:val="0"/>
              <w:jc w:val="center"/>
              <w:rPr>
                <w:rFonts w:ascii="標楷體" w:eastAsia="標楷體" w:hAnsi="標楷體"/>
                <w:color w:val="000000" w:themeColor="text1"/>
                <w:sz w:val="24"/>
              </w:rPr>
            </w:pPr>
            <w:bookmarkStart w:id="331" w:name="_Toc136594858"/>
            <w:r w:rsidRPr="001B6E4D">
              <w:rPr>
                <w:rFonts w:ascii="標楷體" w:eastAsia="標楷體" w:hAnsi="標楷體"/>
                <w:color w:val="000000" w:themeColor="text1"/>
                <w:sz w:val="24"/>
              </w:rPr>
              <w:t>4</w:t>
            </w:r>
          </w:p>
        </w:tc>
        <w:tc>
          <w:tcPr>
            <w:tcW w:w="1750" w:type="pct"/>
          </w:tcPr>
          <w:p w14:paraId="5B0C7EB2" w14:textId="77777777" w:rsidR="009B28A5" w:rsidRPr="001B6E4D" w:rsidRDefault="009B28A5" w:rsidP="003D1018">
            <w:pPr>
              <w:pStyle w:val="01"/>
              <w:overflowPunct w:val="0"/>
              <w:rPr>
                <w:rFonts w:hAnsi="標楷體"/>
                <w:color w:val="000000" w:themeColor="text1"/>
                <w:sz w:val="24"/>
                <w:szCs w:val="24"/>
              </w:rPr>
            </w:pPr>
            <w:r w:rsidRPr="001B6E4D">
              <w:rPr>
                <w:rFonts w:hAnsi="標楷體"/>
                <w:color w:val="000000" w:themeColor="text1"/>
                <w:sz w:val="24"/>
                <w:szCs w:val="24"/>
              </w:rPr>
              <w:t>訴願法部分條文修正草案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修正§49~51、56、75。修正重點：授權受理訴願機關得建置電子方式辦理並增加閱卷方式；明定律師擔任訴願代理人時，訴願書上得僅載明其姓名、事務所名稱與地址及律師證書字號。）</w:t>
            </w:r>
          </w:p>
        </w:tc>
        <w:tc>
          <w:tcPr>
            <w:tcW w:w="1227" w:type="pct"/>
          </w:tcPr>
          <w:p w14:paraId="096557E5"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委員牛煦庭</w:t>
            </w:r>
          </w:p>
          <w:p w14:paraId="0FE9AEE1"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2E6BA8B"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388F20F1"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868" w:type="pct"/>
          </w:tcPr>
          <w:p w14:paraId="65EF8B19"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20" w:type="pct"/>
          </w:tcPr>
          <w:p w14:paraId="31B83E36"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2C7DDF" w:rsidRPr="001B6E4D" w14:paraId="14B48B1F" w14:textId="77777777" w:rsidTr="009548F9">
        <w:tc>
          <w:tcPr>
            <w:tcW w:w="335" w:type="pct"/>
            <w:shd w:val="clear" w:color="auto" w:fill="auto"/>
          </w:tcPr>
          <w:p w14:paraId="1566AAC1" w14:textId="2CBC59DD" w:rsidR="002C7DDF" w:rsidRPr="001B6E4D" w:rsidRDefault="002C7DDF"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5</w:t>
            </w:r>
          </w:p>
        </w:tc>
        <w:tc>
          <w:tcPr>
            <w:tcW w:w="1750" w:type="pct"/>
            <w:shd w:val="clear" w:color="auto" w:fill="auto"/>
          </w:tcPr>
          <w:p w14:paraId="1EB15FCB" w14:textId="50D02D94" w:rsidR="002C7DDF" w:rsidRPr="001B6E4D" w:rsidRDefault="002C7DDF"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殘害人群治罪條例修正草案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共9條。修正重點：納入無差別殺害行為，加重相關刑罰，及提高假釋門檻。）</w:t>
            </w:r>
          </w:p>
        </w:tc>
        <w:tc>
          <w:tcPr>
            <w:tcW w:w="1227" w:type="pct"/>
            <w:shd w:val="clear" w:color="auto" w:fill="auto"/>
          </w:tcPr>
          <w:p w14:paraId="5D716CBE" w14:textId="77777777" w:rsidR="002C7DDF" w:rsidRPr="001B6E4D" w:rsidRDefault="002C7DD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63659707" w14:textId="77777777" w:rsidR="002C7DDF" w:rsidRPr="001B6E4D" w:rsidRDefault="002C7DD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4B5FD7DC" w14:textId="77777777" w:rsidR="002C7DDF" w:rsidRPr="001B6E4D" w:rsidRDefault="002C7DD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115.01.16</w:t>
            </w:r>
          </w:p>
          <w:p w14:paraId="15B4B2A2" w14:textId="36E8F77A" w:rsidR="002C7DDF" w:rsidRPr="001B6E4D" w:rsidRDefault="002C7DD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（11-4-18）</w:t>
            </w:r>
          </w:p>
        </w:tc>
        <w:tc>
          <w:tcPr>
            <w:tcW w:w="868" w:type="pct"/>
            <w:shd w:val="clear" w:color="auto" w:fill="auto"/>
          </w:tcPr>
          <w:p w14:paraId="5035BA0E" w14:textId="226AD405" w:rsidR="002C7DDF" w:rsidRPr="001B6E4D" w:rsidRDefault="002C7DD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20" w:type="pct"/>
            <w:shd w:val="clear" w:color="auto" w:fill="auto"/>
          </w:tcPr>
          <w:p w14:paraId="382F96AF" w14:textId="77548F57" w:rsidR="002C7DDF" w:rsidRPr="001B6E4D" w:rsidRDefault="002C7DDF"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A3485E" w:rsidRPr="001B6E4D" w14:paraId="3FD583C7" w14:textId="77777777" w:rsidTr="009548F9">
        <w:tc>
          <w:tcPr>
            <w:tcW w:w="335" w:type="pct"/>
            <w:shd w:val="clear" w:color="auto" w:fill="auto"/>
          </w:tcPr>
          <w:p w14:paraId="04DA612D" w14:textId="7D2D3724" w:rsidR="00A3485E" w:rsidRPr="001B6E4D" w:rsidRDefault="00A3485E" w:rsidP="003D1018">
            <w:pPr>
              <w:overflowPunct w:val="0"/>
              <w:jc w:val="center"/>
              <w:rPr>
                <w:rFonts w:ascii="標楷體" w:eastAsia="標楷體" w:hAnsi="標楷體"/>
                <w:color w:val="000000" w:themeColor="text1"/>
                <w:sz w:val="24"/>
              </w:rPr>
            </w:pPr>
            <w:r w:rsidRPr="001B6E4D">
              <w:rPr>
                <w:rFonts w:ascii="標楷體" w:eastAsia="標楷體" w:hAnsi="標楷體" w:hint="eastAsia"/>
                <w:color w:val="000000" w:themeColor="text1"/>
                <w:sz w:val="24"/>
              </w:rPr>
              <w:t>6</w:t>
            </w:r>
          </w:p>
        </w:tc>
        <w:tc>
          <w:tcPr>
            <w:tcW w:w="1750" w:type="pct"/>
            <w:shd w:val="clear" w:color="auto" w:fill="auto"/>
          </w:tcPr>
          <w:p w14:paraId="48CEA4A2" w14:textId="0AEC23FE" w:rsidR="00A3485E" w:rsidRPr="001B6E4D" w:rsidRDefault="00A3485E"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公文程式條例第十三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修正重點：機關致送人民之公文，經申請應檢附特定國家語言翻譯之副本；致送身心障礙者之公文，應符合身心障礙者權利公約規範之通用設計。）</w:t>
            </w:r>
          </w:p>
        </w:tc>
        <w:tc>
          <w:tcPr>
            <w:tcW w:w="1227" w:type="pct"/>
            <w:shd w:val="clear" w:color="auto" w:fill="auto"/>
          </w:tcPr>
          <w:p w14:paraId="202D7B47" w14:textId="77777777" w:rsidR="00A3485E" w:rsidRPr="001B6E4D" w:rsidRDefault="00A3485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委員李昆澤</w:t>
            </w:r>
          </w:p>
          <w:p w14:paraId="0BDF0885" w14:textId="77777777" w:rsidR="00A3485E" w:rsidRPr="001B6E4D" w:rsidRDefault="00A3485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65692DD" w14:textId="77777777" w:rsidR="00A3485E" w:rsidRPr="001B6E4D" w:rsidRDefault="00A3485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115.04.17</w:t>
            </w:r>
          </w:p>
          <w:p w14:paraId="3A8EB7EA" w14:textId="424CD2C5" w:rsidR="00A3485E" w:rsidRPr="001B6E4D" w:rsidRDefault="00A3485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w:t>
            </w:r>
          </w:p>
        </w:tc>
        <w:tc>
          <w:tcPr>
            <w:tcW w:w="868" w:type="pct"/>
            <w:shd w:val="clear" w:color="auto" w:fill="auto"/>
          </w:tcPr>
          <w:p w14:paraId="1032566A" w14:textId="183EA909" w:rsidR="00A3485E" w:rsidRPr="001B6E4D" w:rsidRDefault="00A3485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20" w:type="pct"/>
            <w:shd w:val="clear" w:color="auto" w:fill="auto"/>
          </w:tcPr>
          <w:p w14:paraId="7629E224" w14:textId="36E76D1A" w:rsidR="00A3485E" w:rsidRPr="001B6E4D" w:rsidRDefault="00A3485E"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bookmarkEnd w:id="328"/>
    <w:p w14:paraId="5CA9EF4C" w14:textId="3D641937" w:rsidR="009B28A5" w:rsidRPr="001B6E4D" w:rsidRDefault="009B28A5" w:rsidP="003D1018">
      <w:pPr>
        <w:pStyle w:val="1-6"/>
        <w:kinsoku w:val="0"/>
        <w:overflowPunct w:val="0"/>
        <w:topLinePunct/>
        <w:spacing w:beforeLines="100" w:before="360" w:afterLines="70" w:after="252" w:line="260" w:lineRule="exact"/>
        <w:ind w:leftChars="128" w:left="307" w:firstLineChars="620" w:firstLine="1738"/>
        <w:rPr>
          <w:color w:val="000000" w:themeColor="text1"/>
        </w:rPr>
      </w:pPr>
      <w:r w:rsidRPr="001B6E4D">
        <w:rPr>
          <w:color w:val="000000" w:themeColor="text1"/>
        </w:rPr>
        <w:lastRenderedPageBreak/>
        <w:t>（2）法務部</w:t>
      </w:r>
      <w:r w:rsidR="00245590" w:rsidRPr="001B6E4D">
        <w:rPr>
          <w:rFonts w:hint="eastAsia"/>
          <w:color w:val="000000" w:themeColor="text1"/>
        </w:rPr>
        <w:t>2</w:t>
      </w:r>
      <w:r w:rsidR="00FC42F6" w:rsidRPr="001B6E4D">
        <w:rPr>
          <w:rFonts w:hint="eastAsia"/>
          <w:color w:val="000000" w:themeColor="text1"/>
        </w:rPr>
        <w:t>94</w:t>
      </w:r>
      <w:r w:rsidRPr="001B6E4D">
        <w:rPr>
          <w:color w:val="000000" w:themeColor="text1"/>
        </w:rPr>
        <w:t>案</w:t>
      </w:r>
      <w:bookmarkEnd w:id="329"/>
      <w:bookmarkEnd w:id="330"/>
      <w:bookmarkEnd w:id="331"/>
    </w:p>
    <w:tbl>
      <w:tblPr>
        <w:tblStyle w:val="ae"/>
        <w:tblW w:w="4989"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635"/>
        <w:gridCol w:w="3044"/>
        <w:gridCol w:w="2029"/>
        <w:gridCol w:w="1653"/>
        <w:gridCol w:w="1546"/>
      </w:tblGrid>
      <w:tr w:rsidR="00C87651" w:rsidRPr="001B6E4D" w14:paraId="38454E96" w14:textId="77777777" w:rsidTr="0086120E">
        <w:tc>
          <w:tcPr>
            <w:tcW w:w="356" w:type="pct"/>
            <w:vAlign w:val="center"/>
          </w:tcPr>
          <w:p w14:paraId="7E4E2AD2" w14:textId="77777777" w:rsidR="009B28A5" w:rsidRPr="001B6E4D" w:rsidRDefault="009B28A5" w:rsidP="003D1018">
            <w:pPr>
              <w:kinsoku w:val="0"/>
              <w:overflowPunct w:val="0"/>
              <w:topLinePunct/>
              <w:spacing w:line="360" w:lineRule="exact"/>
              <w:jc w:val="center"/>
              <w:rPr>
                <w:rFonts w:ascii="標楷體" w:eastAsia="標楷體" w:hAnsi="標楷體"/>
                <w:b/>
                <w:color w:val="000000" w:themeColor="text1"/>
                <w:sz w:val="24"/>
                <w:shd w:val="clear" w:color="auto" w:fill="FFFFFF" w:themeFill="background1"/>
              </w:rPr>
            </w:pPr>
            <w:bookmarkStart w:id="332" w:name="_Toc361217358"/>
            <w:bookmarkStart w:id="333" w:name="_Toc362968418"/>
            <w:r w:rsidRPr="001B6E4D">
              <w:rPr>
                <w:rFonts w:ascii="標楷體" w:eastAsia="標楷體" w:hAnsi="標楷體"/>
                <w:b/>
                <w:color w:val="000000" w:themeColor="text1"/>
                <w:sz w:val="24"/>
                <w:shd w:val="clear" w:color="auto" w:fill="FFFFFF" w:themeFill="background1"/>
              </w:rPr>
              <w:t>序號</w:t>
            </w:r>
          </w:p>
        </w:tc>
        <w:tc>
          <w:tcPr>
            <w:tcW w:w="1709" w:type="pct"/>
            <w:vAlign w:val="center"/>
          </w:tcPr>
          <w:p w14:paraId="17CDAFEE" w14:textId="77777777" w:rsidR="009B28A5" w:rsidRPr="001B6E4D" w:rsidRDefault="009B28A5" w:rsidP="003D1018">
            <w:pPr>
              <w:kinsoku w:val="0"/>
              <w:overflowPunct w:val="0"/>
              <w:topLinePunct/>
              <w:spacing w:line="36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39" w:type="pct"/>
            <w:vAlign w:val="center"/>
          </w:tcPr>
          <w:p w14:paraId="48E2F7D4" w14:textId="77777777" w:rsidR="009B28A5" w:rsidRPr="001B6E4D" w:rsidRDefault="009B28A5" w:rsidP="003D1018">
            <w:pPr>
              <w:kinsoku w:val="0"/>
              <w:overflowPunct w:val="0"/>
              <w:topLinePunct/>
              <w:spacing w:beforeLines="50" w:before="180" w:line="36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464A6CF6" w14:textId="77777777" w:rsidR="009B28A5" w:rsidRPr="001B6E4D" w:rsidRDefault="009B28A5" w:rsidP="003D1018">
            <w:pPr>
              <w:kinsoku w:val="0"/>
              <w:overflowPunct w:val="0"/>
              <w:topLinePunct/>
              <w:spacing w:line="36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3042F741" w14:textId="77777777" w:rsidR="009B28A5" w:rsidRPr="001B6E4D" w:rsidRDefault="009B28A5" w:rsidP="003D1018">
            <w:pPr>
              <w:kinsoku w:val="0"/>
              <w:overflowPunct w:val="0"/>
              <w:topLinePunct/>
              <w:spacing w:afterLines="50" w:after="180" w:line="36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28" w:type="pct"/>
            <w:vAlign w:val="center"/>
          </w:tcPr>
          <w:p w14:paraId="141442F2" w14:textId="77777777" w:rsidR="009B28A5" w:rsidRPr="001B6E4D" w:rsidRDefault="009B28A5" w:rsidP="003D1018">
            <w:pPr>
              <w:kinsoku w:val="0"/>
              <w:overflowPunct w:val="0"/>
              <w:topLinePunct/>
              <w:spacing w:line="36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68" w:type="pct"/>
            <w:vAlign w:val="center"/>
          </w:tcPr>
          <w:p w14:paraId="6858F895" w14:textId="77777777" w:rsidR="009B28A5" w:rsidRPr="001B6E4D" w:rsidRDefault="009B28A5" w:rsidP="003D1018">
            <w:pPr>
              <w:kinsoku w:val="0"/>
              <w:overflowPunct w:val="0"/>
              <w:topLinePunct/>
              <w:spacing w:line="36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FC42F6" w:rsidRPr="001B6E4D" w14:paraId="60F6292F" w14:textId="77777777" w:rsidTr="0086120E">
        <w:tc>
          <w:tcPr>
            <w:tcW w:w="356" w:type="pct"/>
          </w:tcPr>
          <w:p w14:paraId="2E3722C2" w14:textId="27BA514B" w:rsidR="00FC42F6" w:rsidRPr="001B6E4D" w:rsidRDefault="00FC42F6"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w:t>
            </w:r>
          </w:p>
        </w:tc>
        <w:tc>
          <w:tcPr>
            <w:tcW w:w="1709" w:type="pct"/>
          </w:tcPr>
          <w:p w14:paraId="143D44F8" w14:textId="31CD83A3" w:rsidR="00FC42F6" w:rsidRPr="001B6E4D" w:rsidRDefault="00FC42F6" w:rsidP="003D1018">
            <w:pPr>
              <w:kinsoku w:val="0"/>
              <w:overflowPunct w:val="0"/>
              <w:topLinePunct/>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貪污治罪條例部分條文修正草案</w:t>
            </w:r>
            <w:proofErr w:type="gramStart"/>
            <w:r w:rsidRPr="001B6E4D">
              <w:rPr>
                <w:rFonts w:ascii="標楷體" w:eastAsia="標楷體" w:hAnsi="標楷體"/>
                <w:color w:val="000000" w:themeColor="text1"/>
                <w:sz w:val="24"/>
              </w:rPr>
              <w:t>（</w:t>
            </w:r>
            <w:proofErr w:type="gramEnd"/>
            <w:r w:rsidRPr="001B6E4D">
              <w:rPr>
                <w:rFonts w:ascii="標楷體" w:eastAsia="標楷體" w:hAnsi="標楷體"/>
                <w:color w:val="000000" w:themeColor="text1"/>
                <w:sz w:val="24"/>
              </w:rPr>
              <w:t>修正§4、5、11、17；增訂§5-1~2。修正重點：補完我國公部門反貪腐法制之缺漏；增設「不法饋贈罪」與「影響力交易罪」。）</w:t>
            </w:r>
          </w:p>
        </w:tc>
        <w:tc>
          <w:tcPr>
            <w:tcW w:w="1139" w:type="pct"/>
          </w:tcPr>
          <w:p w14:paraId="343FD27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0F7904C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113.02.20</w:t>
            </w:r>
          </w:p>
          <w:p w14:paraId="0D8BA56E" w14:textId="30BA1ED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w:t>
            </w:r>
          </w:p>
        </w:tc>
        <w:tc>
          <w:tcPr>
            <w:tcW w:w="928" w:type="pct"/>
          </w:tcPr>
          <w:p w14:paraId="41561D71" w14:textId="6F3CF271" w:rsidR="00FC42F6" w:rsidRPr="001B6E4D" w:rsidRDefault="00FC42F6" w:rsidP="003D1018">
            <w:pPr>
              <w:kinsoku w:val="0"/>
              <w:overflowPunct w:val="0"/>
              <w:topLinePunct/>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FB43F89" w14:textId="102DD3F0" w:rsidR="00FC42F6" w:rsidRPr="001B6E4D" w:rsidRDefault="00FC42F6" w:rsidP="003D1018">
            <w:pPr>
              <w:kinsoku w:val="0"/>
              <w:overflowPunct w:val="0"/>
              <w:topLinePunct/>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808EE90" w14:textId="77777777" w:rsidTr="0086120E">
        <w:tc>
          <w:tcPr>
            <w:tcW w:w="356" w:type="pct"/>
          </w:tcPr>
          <w:p w14:paraId="3603E33C" w14:textId="2A30BFA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w:t>
            </w:r>
          </w:p>
        </w:tc>
        <w:tc>
          <w:tcPr>
            <w:tcW w:w="1709" w:type="pct"/>
          </w:tcPr>
          <w:p w14:paraId="4E3133A9" w14:textId="5230189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貪污治罪條例第十二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修正重點：針對極小額利益，明確增列免除其刑。）</w:t>
            </w:r>
          </w:p>
        </w:tc>
        <w:tc>
          <w:tcPr>
            <w:tcW w:w="1139" w:type="pct"/>
          </w:tcPr>
          <w:p w14:paraId="08D5C4A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委員許宇</w:t>
            </w:r>
            <w:proofErr w:type="gramStart"/>
            <w:r w:rsidRPr="001B6E4D">
              <w:rPr>
                <w:rFonts w:ascii="標楷體" w:eastAsia="標楷體" w:hAnsi="標楷體"/>
                <w:color w:val="000000" w:themeColor="text1"/>
                <w:sz w:val="24"/>
              </w:rPr>
              <w:t>甄</w:t>
            </w:r>
            <w:proofErr w:type="gramEnd"/>
          </w:p>
          <w:p w14:paraId="0BE5193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6F0482A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115.05.08</w:t>
            </w:r>
          </w:p>
          <w:p w14:paraId="339B53CA" w14:textId="1B154BA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（11-5-9）</w:t>
            </w:r>
          </w:p>
        </w:tc>
        <w:tc>
          <w:tcPr>
            <w:tcW w:w="928" w:type="pct"/>
          </w:tcPr>
          <w:p w14:paraId="68EA39EE" w14:textId="13688F1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CBD5F96" w14:textId="7AED731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A8C6FC5" w14:textId="77777777" w:rsidTr="0086120E">
        <w:tc>
          <w:tcPr>
            <w:tcW w:w="356" w:type="pct"/>
          </w:tcPr>
          <w:p w14:paraId="2B9B6393" w14:textId="0188E74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3</w:t>
            </w:r>
          </w:p>
        </w:tc>
        <w:tc>
          <w:tcPr>
            <w:tcW w:w="1709" w:type="pct"/>
          </w:tcPr>
          <w:p w14:paraId="0347C6A3" w14:textId="6143295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詐欺組織犯罪防制條例草案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共11條。制定重點：為打擊詐欺組織犯罪，以維護社會秩序，保障人民權益，特制定本條例。）</w:t>
            </w:r>
          </w:p>
        </w:tc>
        <w:tc>
          <w:tcPr>
            <w:tcW w:w="1139" w:type="pct"/>
          </w:tcPr>
          <w:p w14:paraId="7F8C678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486C802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057E525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113.02.23</w:t>
            </w:r>
          </w:p>
          <w:p w14:paraId="739C1296" w14:textId="5A2956C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w:t>
            </w:r>
          </w:p>
        </w:tc>
        <w:tc>
          <w:tcPr>
            <w:tcW w:w="928" w:type="pct"/>
          </w:tcPr>
          <w:p w14:paraId="4581E740" w14:textId="236C51E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37668D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3915C3E" w14:textId="10A0DCC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113.3.14舉行「詐欺犯罪防制立法及各部會</w:t>
            </w:r>
            <w:proofErr w:type="gramStart"/>
            <w:r w:rsidRPr="001B6E4D">
              <w:rPr>
                <w:rFonts w:ascii="標楷體" w:eastAsia="標楷體" w:hAnsi="標楷體"/>
                <w:color w:val="000000" w:themeColor="text1"/>
                <w:sz w:val="24"/>
              </w:rPr>
              <w:t>打詐機制</w:t>
            </w:r>
            <w:proofErr w:type="gramEnd"/>
            <w:r w:rsidRPr="001B6E4D">
              <w:rPr>
                <w:rFonts w:ascii="標楷體" w:eastAsia="標楷體" w:hAnsi="標楷體"/>
                <w:color w:val="000000" w:themeColor="text1"/>
                <w:sz w:val="24"/>
              </w:rPr>
              <w:t>盤點」公聽會。</w:t>
            </w:r>
          </w:p>
        </w:tc>
      </w:tr>
      <w:tr w:rsidR="00FC42F6" w:rsidRPr="001B6E4D" w14:paraId="462AE014" w14:textId="77777777" w:rsidTr="0086120E">
        <w:tc>
          <w:tcPr>
            <w:tcW w:w="356" w:type="pct"/>
          </w:tcPr>
          <w:p w14:paraId="59B4C189" w14:textId="59090DB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4</w:t>
            </w:r>
          </w:p>
        </w:tc>
        <w:tc>
          <w:tcPr>
            <w:tcW w:w="1709" w:type="pct"/>
          </w:tcPr>
          <w:p w14:paraId="06717998" w14:textId="4E76934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修正重點：將犯有普通詐欺罪且對象逾二人之要件列入加重詐欺罪之定義當中，並加重刑度及罰金，且新增首謀者加重刑期之內容。）</w:t>
            </w:r>
          </w:p>
        </w:tc>
        <w:tc>
          <w:tcPr>
            <w:tcW w:w="1139" w:type="pct"/>
          </w:tcPr>
          <w:p w14:paraId="546B76B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委員廖偉翔</w:t>
            </w:r>
          </w:p>
          <w:p w14:paraId="39B7675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4C0421F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113.02.23</w:t>
            </w:r>
          </w:p>
          <w:p w14:paraId="12551256" w14:textId="5596C9E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w:t>
            </w:r>
          </w:p>
        </w:tc>
        <w:tc>
          <w:tcPr>
            <w:tcW w:w="928" w:type="pct"/>
          </w:tcPr>
          <w:p w14:paraId="64AD38B1" w14:textId="086FBB6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D290E1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1B0F75A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3B208E6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6B05163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3D31DFF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0C37725C" w14:textId="3D6927F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08895718" w14:textId="77777777" w:rsidTr="0086120E">
        <w:tc>
          <w:tcPr>
            <w:tcW w:w="356" w:type="pct"/>
          </w:tcPr>
          <w:p w14:paraId="75E342FE" w14:textId="39F476E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5</w:t>
            </w:r>
          </w:p>
        </w:tc>
        <w:tc>
          <w:tcPr>
            <w:tcW w:w="1709" w:type="pct"/>
          </w:tcPr>
          <w:p w14:paraId="2A8E0169" w14:textId="1C4676B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2.中華民國刑法第三百三十九條及第三百三十九條</w:t>
            </w:r>
            <w:r w:rsidRPr="001B6E4D">
              <w:rPr>
                <w:rFonts w:hAnsi="標楷體" w:cs="Times New Roman"/>
                <w:color w:val="000000" w:themeColor="text1"/>
                <w:sz w:val="24"/>
                <w:szCs w:val="24"/>
              </w:rPr>
              <w:lastRenderedPageBreak/>
              <w:t>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修正重點：提高現行普通詐欺罪及加重詐欺罪刑責，且新增首謀者加重刑期之內容。）</w:t>
            </w:r>
          </w:p>
        </w:tc>
        <w:tc>
          <w:tcPr>
            <w:tcW w:w="1139" w:type="pct"/>
          </w:tcPr>
          <w:p w14:paraId="0DC3F9C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委員徐巧芯</w:t>
            </w:r>
          </w:p>
          <w:p w14:paraId="3252AEB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2906B29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113.03.08</w:t>
            </w:r>
          </w:p>
          <w:p w14:paraId="6554C70E" w14:textId="00FE6FE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（11-1-4）</w:t>
            </w:r>
          </w:p>
        </w:tc>
        <w:tc>
          <w:tcPr>
            <w:tcW w:w="928" w:type="pct"/>
          </w:tcPr>
          <w:p w14:paraId="00654F03" w14:textId="156C10D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505854B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67B6552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58ECC7B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0EB7044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1E2B421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046DEF7E" w14:textId="7C92B48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3743DE90" w14:textId="77777777" w:rsidTr="0086120E">
        <w:tc>
          <w:tcPr>
            <w:tcW w:w="356" w:type="pct"/>
          </w:tcPr>
          <w:p w14:paraId="17DEEE8A" w14:textId="52E378D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6</w:t>
            </w:r>
          </w:p>
        </w:tc>
        <w:tc>
          <w:tcPr>
            <w:tcW w:w="1709" w:type="pct"/>
          </w:tcPr>
          <w:p w14:paraId="5E71EE29" w14:textId="2C3819F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3.中華民國刑法第三百三十九條及第三百三十九條之四條文修正草案(修正重點：加重詐欺罪刑責。)</w:t>
            </w:r>
          </w:p>
        </w:tc>
        <w:tc>
          <w:tcPr>
            <w:tcW w:w="1139" w:type="pct"/>
          </w:tcPr>
          <w:p w14:paraId="36E8E57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委員馬文君</w:t>
            </w:r>
          </w:p>
          <w:p w14:paraId="1FB82AB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774AE36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35A25320" w14:textId="0F02C01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（11-1-5）</w:t>
            </w:r>
          </w:p>
        </w:tc>
        <w:tc>
          <w:tcPr>
            <w:tcW w:w="928" w:type="pct"/>
          </w:tcPr>
          <w:p w14:paraId="2F5BCB44" w14:textId="05A246C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C38740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2CC8BBA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2BD4314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0673B72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20453F4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41DF86D1" w14:textId="1B98B1C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50206C74" w14:textId="77777777" w:rsidTr="0086120E">
        <w:tc>
          <w:tcPr>
            <w:tcW w:w="356" w:type="pct"/>
          </w:tcPr>
          <w:p w14:paraId="41BDFD99" w14:textId="1A7D994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7</w:t>
            </w:r>
          </w:p>
        </w:tc>
        <w:tc>
          <w:tcPr>
            <w:tcW w:w="1709" w:type="pct"/>
          </w:tcPr>
          <w:p w14:paraId="30B6B4C5" w14:textId="0541D1B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4.中華民國刑法第三百三十九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條文修正草案(修正重點：提高詐欺罪最低刑期。)</w:t>
            </w:r>
          </w:p>
        </w:tc>
        <w:tc>
          <w:tcPr>
            <w:tcW w:w="1139" w:type="pct"/>
          </w:tcPr>
          <w:p w14:paraId="214B2F9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5C6C862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等29人</w:t>
            </w:r>
          </w:p>
          <w:p w14:paraId="4A641E2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4A697624" w14:textId="7DE6762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（11-1-5）</w:t>
            </w:r>
          </w:p>
        </w:tc>
        <w:tc>
          <w:tcPr>
            <w:tcW w:w="928" w:type="pct"/>
          </w:tcPr>
          <w:p w14:paraId="4AE62B74" w14:textId="5958CE5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D53094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659860A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21C0E1C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7FA2537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1169546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7C9A8D01" w14:textId="10D7A83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0B350814" w14:textId="77777777" w:rsidTr="0086120E">
        <w:tc>
          <w:tcPr>
            <w:tcW w:w="356" w:type="pct"/>
          </w:tcPr>
          <w:p w14:paraId="06ED792F" w14:textId="042C19B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8</w:t>
            </w:r>
          </w:p>
        </w:tc>
        <w:tc>
          <w:tcPr>
            <w:tcW w:w="1709" w:type="pct"/>
          </w:tcPr>
          <w:p w14:paraId="5F4EA7C9" w14:textId="62F8D74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修正重點：提高加重詐欺罪刑度。）</w:t>
            </w:r>
          </w:p>
        </w:tc>
        <w:tc>
          <w:tcPr>
            <w:tcW w:w="1139" w:type="pct"/>
          </w:tcPr>
          <w:p w14:paraId="60EAE76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委員黃健豪</w:t>
            </w:r>
          </w:p>
          <w:p w14:paraId="2EBBB1E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71A3FAA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794E8AE0" w14:textId="3AD494F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（11-1-5）</w:t>
            </w:r>
          </w:p>
        </w:tc>
        <w:tc>
          <w:tcPr>
            <w:tcW w:w="928" w:type="pct"/>
          </w:tcPr>
          <w:p w14:paraId="5532B23A" w14:textId="4D0C906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736062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4E96562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78736C5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7F10D19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4346B6A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113.5.27</w:t>
            </w:r>
          </w:p>
          <w:p w14:paraId="3D76A216" w14:textId="0AD8E75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7A6DDE0E" w14:textId="77777777" w:rsidTr="0086120E">
        <w:tc>
          <w:tcPr>
            <w:tcW w:w="356" w:type="pct"/>
          </w:tcPr>
          <w:p w14:paraId="0C8391D4" w14:textId="3408265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9</w:t>
            </w:r>
          </w:p>
        </w:tc>
        <w:tc>
          <w:tcPr>
            <w:tcW w:w="1709" w:type="pct"/>
          </w:tcPr>
          <w:p w14:paraId="2E7E2C16" w14:textId="79F4C3F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修正重點：提高加重詐欺罪刑度。）</w:t>
            </w:r>
          </w:p>
        </w:tc>
        <w:tc>
          <w:tcPr>
            <w:tcW w:w="1139" w:type="pct"/>
          </w:tcPr>
          <w:p w14:paraId="436BC36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委員蔡易餘</w:t>
            </w:r>
          </w:p>
          <w:p w14:paraId="1835549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0FAE17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5C70A509" w14:textId="43A8B6C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（11-1-5）</w:t>
            </w:r>
          </w:p>
        </w:tc>
        <w:tc>
          <w:tcPr>
            <w:tcW w:w="928" w:type="pct"/>
          </w:tcPr>
          <w:p w14:paraId="6878326B" w14:textId="4083160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BF68A4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2C23CB6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743E8FF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1F270D3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3832E04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6471BD09" w14:textId="12D1FF5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7997DC0B" w14:textId="77777777" w:rsidTr="0086120E">
        <w:tc>
          <w:tcPr>
            <w:tcW w:w="356" w:type="pct"/>
          </w:tcPr>
          <w:p w14:paraId="63ECAC7B" w14:textId="3ECDE97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10</w:t>
            </w:r>
          </w:p>
        </w:tc>
        <w:tc>
          <w:tcPr>
            <w:tcW w:w="1709" w:type="pct"/>
          </w:tcPr>
          <w:p w14:paraId="09A1CC05" w14:textId="38C7562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修正重點：提高加重詐欺罪刑度；增訂「犯罪所得達</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百萬元以上」之加重詐欺罪事由。）</w:t>
            </w:r>
          </w:p>
        </w:tc>
        <w:tc>
          <w:tcPr>
            <w:tcW w:w="1139" w:type="pct"/>
          </w:tcPr>
          <w:p w14:paraId="162942C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委員謝衣</w:t>
            </w:r>
            <w:r w:rsidRPr="001B6E4D">
              <w:rPr>
                <w:rFonts w:ascii="標楷體" w:eastAsia="標楷體" w:hAnsi="標楷體" w:hint="eastAsia"/>
                <w:color w:val="000000" w:themeColor="text1"/>
                <w:sz w:val="24"/>
              </w:rPr>
              <w:t>鳯</w:t>
            </w:r>
          </w:p>
          <w:p w14:paraId="47F432D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17人</w:t>
            </w:r>
          </w:p>
          <w:p w14:paraId="7E4F852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0E0BCB00" w14:textId="4BB3E63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11-1-5）</w:t>
            </w:r>
          </w:p>
        </w:tc>
        <w:tc>
          <w:tcPr>
            <w:tcW w:w="928" w:type="pct"/>
          </w:tcPr>
          <w:p w14:paraId="75776FC6" w14:textId="0B456D4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EC9D3D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1FD0B12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242906A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54F0F43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3AD5704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00167BCB" w14:textId="2941BB5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1DD92B55" w14:textId="77777777" w:rsidTr="0086120E">
        <w:tc>
          <w:tcPr>
            <w:tcW w:w="356" w:type="pct"/>
          </w:tcPr>
          <w:p w14:paraId="51E18A85" w14:textId="20B02A5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11</w:t>
            </w:r>
          </w:p>
        </w:tc>
        <w:tc>
          <w:tcPr>
            <w:tcW w:w="1709" w:type="pct"/>
          </w:tcPr>
          <w:p w14:paraId="548BEB34" w14:textId="333D9CB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修正重點：提高加重詐欺罪刑度，增列犯罪所得達</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百萬元以上為加重詐欺罪之法定情形。）</w:t>
            </w:r>
          </w:p>
        </w:tc>
        <w:tc>
          <w:tcPr>
            <w:tcW w:w="1139" w:type="pct"/>
          </w:tcPr>
          <w:p w14:paraId="1FB5812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委員洪孟楷</w:t>
            </w:r>
          </w:p>
          <w:p w14:paraId="11283F4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50109B0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113.03.22</w:t>
            </w:r>
          </w:p>
          <w:p w14:paraId="67905885" w14:textId="281733C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（11-1-6）</w:t>
            </w:r>
          </w:p>
        </w:tc>
        <w:tc>
          <w:tcPr>
            <w:tcW w:w="928" w:type="pct"/>
          </w:tcPr>
          <w:p w14:paraId="27A0C4BA" w14:textId="78BBBCB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2C5FB4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2044902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015A1F9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797A1F3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5D0C98D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153498DE" w14:textId="47511C7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3CFD50A7" w14:textId="77777777" w:rsidTr="0086120E">
        <w:tc>
          <w:tcPr>
            <w:tcW w:w="356" w:type="pct"/>
          </w:tcPr>
          <w:p w14:paraId="2F601593" w14:textId="70EA96A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12</w:t>
            </w:r>
          </w:p>
        </w:tc>
        <w:tc>
          <w:tcPr>
            <w:tcW w:w="1709" w:type="pct"/>
          </w:tcPr>
          <w:p w14:paraId="14287D00" w14:textId="4F5D0E4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9.中華民國刑法第三百三</w:t>
            </w:r>
            <w:r w:rsidRPr="001B6E4D">
              <w:rPr>
                <w:rFonts w:hAnsi="標楷體" w:cs="Times New Roman"/>
                <w:color w:val="000000" w:themeColor="text1"/>
                <w:sz w:val="24"/>
                <w:szCs w:val="24"/>
              </w:rPr>
              <w:lastRenderedPageBreak/>
              <w:t>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修正重點：明定金融機構、電信事業或類似事業從業人員，利用業務上機會犯詐欺罪者，應以本條之加重刑度嚴懲之。）</w:t>
            </w:r>
          </w:p>
        </w:tc>
        <w:tc>
          <w:tcPr>
            <w:tcW w:w="1139" w:type="pct"/>
          </w:tcPr>
          <w:p w14:paraId="7FCDC68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委員徐欣瑩</w:t>
            </w:r>
          </w:p>
          <w:p w14:paraId="1447107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等19人</w:t>
            </w:r>
          </w:p>
          <w:p w14:paraId="054FD88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4895915B" w14:textId="6332CCC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（11-1-7）</w:t>
            </w:r>
          </w:p>
        </w:tc>
        <w:tc>
          <w:tcPr>
            <w:tcW w:w="928" w:type="pct"/>
          </w:tcPr>
          <w:p w14:paraId="2CF62ED8" w14:textId="01C4D90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4675DEF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32F7608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113.5.16</w:t>
            </w:r>
          </w:p>
          <w:p w14:paraId="573E063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01820FA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75A03E8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556273B2" w14:textId="1F8CBE3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25A44239" w14:textId="77777777" w:rsidTr="0086120E">
        <w:tc>
          <w:tcPr>
            <w:tcW w:w="356" w:type="pct"/>
          </w:tcPr>
          <w:p w14:paraId="5D0BDA1A" w14:textId="738DC52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13</w:t>
            </w:r>
          </w:p>
        </w:tc>
        <w:tc>
          <w:tcPr>
            <w:tcW w:w="1709" w:type="pct"/>
          </w:tcPr>
          <w:p w14:paraId="2ABB0392" w14:textId="33DA295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修正重點：提高加重詐欺刑度。）</w:t>
            </w:r>
          </w:p>
        </w:tc>
        <w:tc>
          <w:tcPr>
            <w:tcW w:w="1139" w:type="pct"/>
          </w:tcPr>
          <w:p w14:paraId="4D0E0D3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w:t>
            </w:r>
            <w:proofErr w:type="gramStart"/>
            <w:r w:rsidRPr="001B6E4D">
              <w:rPr>
                <w:rFonts w:ascii="標楷體" w:eastAsia="標楷體" w:hAnsi="標楷體"/>
                <w:color w:val="000000" w:themeColor="text1"/>
                <w:sz w:val="24"/>
              </w:rPr>
              <w:t>涂</w:t>
            </w:r>
            <w:proofErr w:type="gramEnd"/>
            <w:r w:rsidRPr="001B6E4D">
              <w:rPr>
                <w:rFonts w:ascii="標楷體" w:eastAsia="標楷體" w:hAnsi="標楷體"/>
                <w:color w:val="000000" w:themeColor="text1"/>
                <w:sz w:val="24"/>
              </w:rPr>
              <w:t>權吉</w:t>
            </w:r>
          </w:p>
          <w:p w14:paraId="2F1E8D1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421874F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30F4F055" w14:textId="3F4C02F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（11-1-7）</w:t>
            </w:r>
          </w:p>
        </w:tc>
        <w:tc>
          <w:tcPr>
            <w:tcW w:w="928" w:type="pct"/>
          </w:tcPr>
          <w:p w14:paraId="3FB4B6C2" w14:textId="5AD26E6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B3350E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4AB3986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66EA127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3CD231E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66D1FF6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4E0B6165" w14:textId="213FF60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332EB16D" w14:textId="77777777" w:rsidTr="0086120E">
        <w:tc>
          <w:tcPr>
            <w:tcW w:w="356" w:type="pct"/>
          </w:tcPr>
          <w:p w14:paraId="298D5914" w14:textId="31718C7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14</w:t>
            </w:r>
          </w:p>
        </w:tc>
        <w:tc>
          <w:tcPr>
            <w:tcW w:w="1709" w:type="pct"/>
          </w:tcPr>
          <w:p w14:paraId="2E9F1BF9" w14:textId="34801C8D"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11.中華民國刑法第三百三十九條、第三百三十九條之三及第三百三十九條之四條文修正草案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修正重點：加重處罰詐欺罪；將投資詐騙列為詐欺加重事由。）</w:t>
            </w:r>
          </w:p>
        </w:tc>
        <w:tc>
          <w:tcPr>
            <w:tcW w:w="1139" w:type="pct"/>
          </w:tcPr>
          <w:p w14:paraId="31DD2EA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委員王世堅</w:t>
            </w:r>
          </w:p>
          <w:p w14:paraId="0D5326B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4A010BD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113.04.12</w:t>
            </w:r>
          </w:p>
          <w:p w14:paraId="50AA3871" w14:textId="25308E1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（11-1-9）</w:t>
            </w:r>
          </w:p>
        </w:tc>
        <w:tc>
          <w:tcPr>
            <w:tcW w:w="928" w:type="pct"/>
          </w:tcPr>
          <w:p w14:paraId="2D4438A5" w14:textId="42F94A4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7E0747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58E1D2E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6A63B1B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0DA4B6B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0302FF3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21D994D0" w14:textId="2505042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382D6BF6" w14:textId="77777777" w:rsidTr="0086120E">
        <w:tc>
          <w:tcPr>
            <w:tcW w:w="356" w:type="pct"/>
          </w:tcPr>
          <w:p w14:paraId="21596F7A" w14:textId="6C5AEB5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15</w:t>
            </w:r>
          </w:p>
        </w:tc>
        <w:tc>
          <w:tcPr>
            <w:tcW w:w="1709" w:type="pct"/>
          </w:tcPr>
          <w:p w14:paraId="7F165CBB" w14:textId="3A1A410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12.中華民國刑法第三百三十九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修正重點：提高詐欺最低刑期，並</w:t>
            </w:r>
            <w:proofErr w:type="gramStart"/>
            <w:r w:rsidRPr="001B6E4D">
              <w:rPr>
                <w:rFonts w:hAnsi="標楷體" w:cs="Times New Roman"/>
                <w:color w:val="000000" w:themeColor="text1"/>
                <w:sz w:val="24"/>
                <w:szCs w:val="24"/>
              </w:rPr>
              <w:t>刪除僅科處</w:t>
            </w:r>
            <w:proofErr w:type="gramEnd"/>
            <w:r w:rsidRPr="001B6E4D">
              <w:rPr>
                <w:rFonts w:hAnsi="標楷體" w:cs="Times New Roman"/>
                <w:color w:val="000000" w:themeColor="text1"/>
                <w:sz w:val="24"/>
                <w:szCs w:val="24"/>
              </w:rPr>
              <w:t>罰金而</w:t>
            </w:r>
            <w:proofErr w:type="gramStart"/>
            <w:r w:rsidRPr="001B6E4D">
              <w:rPr>
                <w:rFonts w:hAnsi="標楷體" w:cs="Times New Roman"/>
                <w:color w:val="000000" w:themeColor="text1"/>
                <w:sz w:val="24"/>
                <w:szCs w:val="24"/>
              </w:rPr>
              <w:t>不</w:t>
            </w:r>
            <w:proofErr w:type="gramEnd"/>
            <w:r w:rsidRPr="001B6E4D">
              <w:rPr>
                <w:rFonts w:hAnsi="標楷體" w:cs="Times New Roman"/>
                <w:color w:val="000000" w:themeColor="text1"/>
                <w:sz w:val="24"/>
                <w:szCs w:val="24"/>
              </w:rPr>
              <w:t>處有期徒刑之量刑選項。）</w:t>
            </w:r>
          </w:p>
        </w:tc>
        <w:tc>
          <w:tcPr>
            <w:tcW w:w="1139" w:type="pct"/>
          </w:tcPr>
          <w:p w14:paraId="11D47E3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委員謝衣</w:t>
            </w:r>
            <w:r w:rsidRPr="001B6E4D">
              <w:rPr>
                <w:rFonts w:ascii="標楷體" w:eastAsia="標楷體" w:hAnsi="標楷體" w:hint="eastAsia"/>
                <w:color w:val="000000" w:themeColor="text1"/>
                <w:sz w:val="24"/>
              </w:rPr>
              <w:t>鳯</w:t>
            </w:r>
          </w:p>
          <w:p w14:paraId="1FFB727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17人</w:t>
            </w:r>
          </w:p>
          <w:p w14:paraId="0C63926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113.04.19</w:t>
            </w:r>
          </w:p>
          <w:p w14:paraId="0B9B3208" w14:textId="62F367D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11-1-10）</w:t>
            </w:r>
          </w:p>
        </w:tc>
        <w:tc>
          <w:tcPr>
            <w:tcW w:w="928" w:type="pct"/>
          </w:tcPr>
          <w:p w14:paraId="5BDB1434" w14:textId="5D28013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678843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2874551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11F0646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4E48036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2.本會</w:t>
            </w:r>
          </w:p>
          <w:p w14:paraId="3BB8682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010F0487" w14:textId="2C808E2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2DC6A81E" w14:textId="77777777" w:rsidTr="0086120E">
        <w:tc>
          <w:tcPr>
            <w:tcW w:w="356" w:type="pct"/>
          </w:tcPr>
          <w:p w14:paraId="419389B2" w14:textId="1243170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16</w:t>
            </w:r>
          </w:p>
        </w:tc>
        <w:tc>
          <w:tcPr>
            <w:tcW w:w="1709" w:type="pct"/>
          </w:tcPr>
          <w:p w14:paraId="541641FC" w14:textId="0E91069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13.中華民國刑法第三百三十九條之四條文修正草案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修正重點：明定金融、電信、網際網路事業之負責人或從業人員，利用業務上機會或方法犯詐欺罪者，以本條之加重刑度嚴懲之。）</w:t>
            </w:r>
          </w:p>
        </w:tc>
        <w:tc>
          <w:tcPr>
            <w:tcW w:w="1139" w:type="pct"/>
          </w:tcPr>
          <w:p w14:paraId="37587BF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委員謝衣</w:t>
            </w:r>
            <w:r w:rsidRPr="001B6E4D">
              <w:rPr>
                <w:rFonts w:ascii="標楷體" w:eastAsia="標楷體" w:hAnsi="標楷體" w:hint="eastAsia"/>
                <w:color w:val="000000" w:themeColor="text1"/>
                <w:sz w:val="24"/>
              </w:rPr>
              <w:t>鳯</w:t>
            </w:r>
          </w:p>
          <w:p w14:paraId="5899820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16人</w:t>
            </w:r>
          </w:p>
          <w:p w14:paraId="141E670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113.04.19</w:t>
            </w:r>
          </w:p>
          <w:p w14:paraId="3DC3C1F8" w14:textId="6D63C75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11-1-10）</w:t>
            </w:r>
          </w:p>
        </w:tc>
        <w:tc>
          <w:tcPr>
            <w:tcW w:w="928" w:type="pct"/>
          </w:tcPr>
          <w:p w14:paraId="19F519F8" w14:textId="32F1DCB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2545C8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696DA37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2E250DE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5E944D6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7A6A88D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06A61D82" w14:textId="641075D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7009B99E" w14:textId="77777777" w:rsidTr="0086120E">
        <w:tc>
          <w:tcPr>
            <w:tcW w:w="356" w:type="pct"/>
          </w:tcPr>
          <w:p w14:paraId="392C60F7" w14:textId="153935E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17</w:t>
            </w:r>
          </w:p>
        </w:tc>
        <w:tc>
          <w:tcPr>
            <w:tcW w:w="1709" w:type="pct"/>
          </w:tcPr>
          <w:p w14:paraId="7690A3F1" w14:textId="6D89F5F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14.中華民國刑法第三百三十九條及第三百三十九條之四條文修正草案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修正重點：加重現行詐欺罪刑責。）</w:t>
            </w:r>
          </w:p>
        </w:tc>
        <w:tc>
          <w:tcPr>
            <w:tcW w:w="1139" w:type="pct"/>
          </w:tcPr>
          <w:p w14:paraId="15C8487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委員陳菁徽</w:t>
            </w:r>
          </w:p>
          <w:p w14:paraId="3F90955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8BEB0A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113.04.19</w:t>
            </w:r>
          </w:p>
          <w:p w14:paraId="792518B2" w14:textId="368AF1E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（11-1-10）</w:t>
            </w:r>
          </w:p>
        </w:tc>
        <w:tc>
          <w:tcPr>
            <w:tcW w:w="928" w:type="pct"/>
          </w:tcPr>
          <w:p w14:paraId="1F314B2B" w14:textId="325A53C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DFA618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097CFA5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1A9BFA2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6CD76B6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1F4016B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707C6A5F" w14:textId="78B49BF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17D98C93" w14:textId="77777777" w:rsidTr="0086120E">
        <w:tc>
          <w:tcPr>
            <w:tcW w:w="356" w:type="pct"/>
          </w:tcPr>
          <w:p w14:paraId="4022CD06" w14:textId="42CCAF5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18</w:t>
            </w:r>
          </w:p>
        </w:tc>
        <w:tc>
          <w:tcPr>
            <w:tcW w:w="1709" w:type="pct"/>
          </w:tcPr>
          <w:p w14:paraId="122024F1" w14:textId="6155615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15.中華民國刑法第三百三十九條及第三百三十九條之四條文修正草案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修正重點：加重現行普通詐欺罪及加重詐欺罪刑責。）</w:t>
            </w:r>
          </w:p>
        </w:tc>
        <w:tc>
          <w:tcPr>
            <w:tcW w:w="1139" w:type="pct"/>
          </w:tcPr>
          <w:p w14:paraId="486088F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委員葉元之</w:t>
            </w:r>
          </w:p>
          <w:p w14:paraId="3A73662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78232B7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113.04.19</w:t>
            </w:r>
          </w:p>
          <w:p w14:paraId="0E5547C3" w14:textId="7846E4F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（11-1-10）</w:t>
            </w:r>
          </w:p>
        </w:tc>
        <w:tc>
          <w:tcPr>
            <w:tcW w:w="928" w:type="pct"/>
          </w:tcPr>
          <w:p w14:paraId="78AEC998" w14:textId="27FBCE7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8FE609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71CC162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3D7A1DA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10D12B2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437023B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4B33A8A5" w14:textId="4017336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13942161" w14:textId="77777777" w:rsidTr="0086120E">
        <w:tc>
          <w:tcPr>
            <w:tcW w:w="356" w:type="pct"/>
          </w:tcPr>
          <w:p w14:paraId="0FF29396" w14:textId="3DABA15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19</w:t>
            </w:r>
          </w:p>
        </w:tc>
        <w:tc>
          <w:tcPr>
            <w:tcW w:w="1709" w:type="pct"/>
          </w:tcPr>
          <w:p w14:paraId="68148D19" w14:textId="67E4850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16.中華民國刑法第三百三十九條之四條文修正草案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修正重點：加重處罰透過組織犯罪進行加重詐欺之犯行。）</w:t>
            </w:r>
          </w:p>
        </w:tc>
        <w:tc>
          <w:tcPr>
            <w:tcW w:w="1139" w:type="pct"/>
          </w:tcPr>
          <w:p w14:paraId="300734A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1F7B5F8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113.04.19</w:t>
            </w:r>
          </w:p>
          <w:p w14:paraId="04195F6E" w14:textId="5B0BAF3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（11-1-10）</w:t>
            </w:r>
          </w:p>
        </w:tc>
        <w:tc>
          <w:tcPr>
            <w:tcW w:w="928" w:type="pct"/>
          </w:tcPr>
          <w:p w14:paraId="5C6EA46B" w14:textId="566D50C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F240B7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64D908B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113.5.16</w:t>
            </w:r>
          </w:p>
          <w:p w14:paraId="7530DDB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(11-1-23)報告及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6EB702B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7DEFC75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113.5.27</w:t>
            </w:r>
          </w:p>
          <w:p w14:paraId="681BF508" w14:textId="72C07DD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(11-1-26)另定期繼續審查。</w:t>
            </w:r>
          </w:p>
        </w:tc>
      </w:tr>
      <w:tr w:rsidR="00FC42F6" w:rsidRPr="001B6E4D" w14:paraId="31E13B70" w14:textId="77777777" w:rsidTr="0086120E">
        <w:tc>
          <w:tcPr>
            <w:tcW w:w="356" w:type="pct"/>
          </w:tcPr>
          <w:p w14:paraId="34D1482D" w14:textId="0B6E7CF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20</w:t>
            </w:r>
          </w:p>
        </w:tc>
        <w:tc>
          <w:tcPr>
            <w:tcW w:w="1709" w:type="pct"/>
          </w:tcPr>
          <w:p w14:paraId="5BCABA31" w14:textId="4721697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17.中華民國刑法第三百三十九條之四條文修正草案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修正重點：提高加重詐欺罪刑度與罰金。）</w:t>
            </w:r>
          </w:p>
        </w:tc>
        <w:tc>
          <w:tcPr>
            <w:tcW w:w="1139" w:type="pct"/>
          </w:tcPr>
          <w:p w14:paraId="7D4BFF0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委員魯明哲</w:t>
            </w:r>
          </w:p>
          <w:p w14:paraId="6782A1A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97F766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113.05.17</w:t>
            </w:r>
          </w:p>
          <w:p w14:paraId="26FF6C51" w14:textId="49EF24B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（11-1-14）</w:t>
            </w:r>
          </w:p>
        </w:tc>
        <w:tc>
          <w:tcPr>
            <w:tcW w:w="928" w:type="pct"/>
          </w:tcPr>
          <w:p w14:paraId="2FEB385E" w14:textId="0D8C6DD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E6132A8" w14:textId="1E4BFAE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5FC3898" w14:textId="77777777" w:rsidTr="0086120E">
        <w:tc>
          <w:tcPr>
            <w:tcW w:w="356" w:type="pct"/>
          </w:tcPr>
          <w:p w14:paraId="28B1FA73" w14:textId="607BC83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21</w:t>
            </w:r>
          </w:p>
        </w:tc>
        <w:tc>
          <w:tcPr>
            <w:tcW w:w="1709" w:type="pct"/>
          </w:tcPr>
          <w:p w14:paraId="4EE1E18C" w14:textId="7583E2F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18.中華民國刑法第三百三十九條之四條文修正草案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修正重點：提高加重詐欺刑度與罰金。）</w:t>
            </w:r>
          </w:p>
        </w:tc>
        <w:tc>
          <w:tcPr>
            <w:tcW w:w="1139" w:type="pct"/>
          </w:tcPr>
          <w:p w14:paraId="43523EC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委員羅廷</w:t>
            </w:r>
            <w:proofErr w:type="gramStart"/>
            <w:r w:rsidRPr="001B6E4D">
              <w:rPr>
                <w:rFonts w:ascii="標楷體" w:eastAsia="標楷體" w:hAnsi="標楷體"/>
                <w:color w:val="000000" w:themeColor="text1"/>
                <w:sz w:val="24"/>
              </w:rPr>
              <w:t>瑋</w:t>
            </w:r>
            <w:proofErr w:type="gramEnd"/>
          </w:p>
          <w:p w14:paraId="453E7E1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977AAC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113.06.07</w:t>
            </w:r>
          </w:p>
          <w:p w14:paraId="64CED3CD" w14:textId="4EE00C4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（11-1-17）</w:t>
            </w:r>
          </w:p>
        </w:tc>
        <w:tc>
          <w:tcPr>
            <w:tcW w:w="928" w:type="pct"/>
          </w:tcPr>
          <w:p w14:paraId="6DA03EDB" w14:textId="63924EC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7983A2A" w14:textId="179CDA6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8417748" w14:textId="77777777" w:rsidTr="0086120E">
        <w:tc>
          <w:tcPr>
            <w:tcW w:w="356" w:type="pct"/>
          </w:tcPr>
          <w:p w14:paraId="1814092C" w14:textId="28ECAF5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22</w:t>
            </w:r>
          </w:p>
        </w:tc>
        <w:tc>
          <w:tcPr>
            <w:tcW w:w="1709" w:type="pct"/>
          </w:tcPr>
          <w:p w14:paraId="53B08A51" w14:textId="61F7072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19.中華民國刑法第三百三十九條之四條文修正草案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修正重點：提高加重詐欺刑責與罰金上限。）</w:t>
            </w:r>
          </w:p>
        </w:tc>
        <w:tc>
          <w:tcPr>
            <w:tcW w:w="1139" w:type="pct"/>
          </w:tcPr>
          <w:p w14:paraId="55D1D6F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委員邱鎮軍</w:t>
            </w:r>
          </w:p>
          <w:p w14:paraId="6E30A01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A7979F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113.10.11</w:t>
            </w:r>
          </w:p>
          <w:p w14:paraId="37D4BCC7" w14:textId="01484E1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（11-2-4）</w:t>
            </w:r>
          </w:p>
        </w:tc>
        <w:tc>
          <w:tcPr>
            <w:tcW w:w="928" w:type="pct"/>
          </w:tcPr>
          <w:p w14:paraId="775AEBFE" w14:textId="7A1A5CD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61C56F9" w14:textId="7FA95DC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856E689" w14:textId="77777777" w:rsidTr="0086120E">
        <w:tc>
          <w:tcPr>
            <w:tcW w:w="356" w:type="pct"/>
          </w:tcPr>
          <w:p w14:paraId="4289E37E" w14:textId="1473805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23</w:t>
            </w:r>
          </w:p>
        </w:tc>
        <w:tc>
          <w:tcPr>
            <w:tcW w:w="1709" w:type="pct"/>
          </w:tcPr>
          <w:p w14:paraId="3EE9268D" w14:textId="1B702BB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20.中華民國刑法第三百三十九條、第三百三十九條之三及第三百三十九條之四條文修正草案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修正重點：提高詐欺罪與加重詐欺罪刑責。）</w:t>
            </w:r>
          </w:p>
        </w:tc>
        <w:tc>
          <w:tcPr>
            <w:tcW w:w="1139" w:type="pct"/>
          </w:tcPr>
          <w:p w14:paraId="04E6A54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1F5E638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031C7B9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114.03.14</w:t>
            </w:r>
          </w:p>
          <w:p w14:paraId="7F0C5976" w14:textId="76BD67D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（11-3-5）</w:t>
            </w:r>
          </w:p>
        </w:tc>
        <w:tc>
          <w:tcPr>
            <w:tcW w:w="928" w:type="pct"/>
          </w:tcPr>
          <w:p w14:paraId="17D1086B" w14:textId="2A29B77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93CB0C9" w14:textId="16AB8BD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F1CB5F3" w14:textId="77777777" w:rsidTr="0086120E">
        <w:tc>
          <w:tcPr>
            <w:tcW w:w="356" w:type="pct"/>
          </w:tcPr>
          <w:p w14:paraId="78D6F59A" w14:textId="6FF0315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24</w:t>
            </w:r>
          </w:p>
        </w:tc>
        <w:tc>
          <w:tcPr>
            <w:tcW w:w="1709" w:type="pct"/>
          </w:tcPr>
          <w:p w14:paraId="6998FAFF" w14:textId="02CF65C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21.中華民國刑法第三百三十九條之四條文修正草案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修正重點：提高加重詐欺刑度，並明定「以偽造不實內容犯之」為加重詐欺罪之類型。）</w:t>
            </w:r>
          </w:p>
        </w:tc>
        <w:tc>
          <w:tcPr>
            <w:tcW w:w="1139" w:type="pct"/>
          </w:tcPr>
          <w:p w14:paraId="256C5BC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4909272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7F2FB87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32E3E16C" w14:textId="64C3A68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6B4BC971" w14:textId="2DF8F96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57BF2C1" w14:textId="7FFE1DE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D5DA555" w14:textId="77777777" w:rsidTr="0086120E">
        <w:tc>
          <w:tcPr>
            <w:tcW w:w="356" w:type="pct"/>
          </w:tcPr>
          <w:p w14:paraId="5B7CEAF7" w14:textId="5BFBCFF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25</w:t>
            </w:r>
          </w:p>
        </w:tc>
        <w:tc>
          <w:tcPr>
            <w:tcW w:w="1709" w:type="pct"/>
          </w:tcPr>
          <w:p w14:paraId="624EEEB4" w14:textId="0FB46A6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22.中華民國刑法第三百三十九條及第三百三十九條之四條文修正草案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w:t>
            </w:r>
            <w:r w:rsidRPr="001B6E4D">
              <w:rPr>
                <w:rFonts w:hAnsi="標楷體" w:cs="Times New Roman"/>
                <w:color w:val="000000" w:themeColor="text1"/>
                <w:sz w:val="24"/>
                <w:szCs w:val="24"/>
              </w:rPr>
              <w:lastRenderedPageBreak/>
              <w:t>重點：加重現行詐欺刑責。）</w:t>
            </w:r>
          </w:p>
        </w:tc>
        <w:tc>
          <w:tcPr>
            <w:tcW w:w="1139" w:type="pct"/>
          </w:tcPr>
          <w:p w14:paraId="305C382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委員王育敏</w:t>
            </w:r>
          </w:p>
          <w:p w14:paraId="5CE2480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6FF1AF3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44D68395" w14:textId="25DBFB8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（11-3-8）</w:t>
            </w:r>
          </w:p>
        </w:tc>
        <w:tc>
          <w:tcPr>
            <w:tcW w:w="928" w:type="pct"/>
          </w:tcPr>
          <w:p w14:paraId="7482B202" w14:textId="3754320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54F3F07C" w14:textId="404F698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B1B026D" w14:textId="77777777" w:rsidTr="0086120E">
        <w:tc>
          <w:tcPr>
            <w:tcW w:w="356" w:type="pct"/>
          </w:tcPr>
          <w:p w14:paraId="7C9C7103" w14:textId="7CE8B98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26</w:t>
            </w:r>
          </w:p>
        </w:tc>
        <w:tc>
          <w:tcPr>
            <w:tcW w:w="1709" w:type="pct"/>
          </w:tcPr>
          <w:p w14:paraId="18A876B4" w14:textId="58096D0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23.中華民國刑法第三百三十九條及第三百三十九條之四條文修正草案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修正重點：加重詐欺刑責。）</w:t>
            </w:r>
          </w:p>
        </w:tc>
        <w:tc>
          <w:tcPr>
            <w:tcW w:w="1139" w:type="pct"/>
          </w:tcPr>
          <w:p w14:paraId="7679940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委員邱鎮軍</w:t>
            </w:r>
          </w:p>
          <w:p w14:paraId="312FB3D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0E142CD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114.05.02</w:t>
            </w:r>
          </w:p>
          <w:p w14:paraId="7743D9E6" w14:textId="3708B16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（11-3-10）</w:t>
            </w:r>
          </w:p>
        </w:tc>
        <w:tc>
          <w:tcPr>
            <w:tcW w:w="928" w:type="pct"/>
          </w:tcPr>
          <w:p w14:paraId="010B31C9" w14:textId="5F1952E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581AEC8" w14:textId="20A6129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56A1DEF" w14:textId="77777777" w:rsidTr="0086120E">
        <w:tc>
          <w:tcPr>
            <w:tcW w:w="356" w:type="pct"/>
          </w:tcPr>
          <w:p w14:paraId="5638F7C9" w14:textId="38A9062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27</w:t>
            </w:r>
          </w:p>
        </w:tc>
        <w:tc>
          <w:tcPr>
            <w:tcW w:w="1709" w:type="pct"/>
          </w:tcPr>
          <w:p w14:paraId="6286B6B4" w14:textId="4D7A214D"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24.中華民國刑法第三百三十九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修正重點：加重詐欺刑責。）</w:t>
            </w:r>
          </w:p>
        </w:tc>
        <w:tc>
          <w:tcPr>
            <w:tcW w:w="1139" w:type="pct"/>
          </w:tcPr>
          <w:p w14:paraId="3090568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委員廖偉翔</w:t>
            </w:r>
          </w:p>
          <w:p w14:paraId="2C53A28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F8DEA3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114.05.23</w:t>
            </w:r>
          </w:p>
          <w:p w14:paraId="480AA17B" w14:textId="225EC7B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（11-3-13）</w:t>
            </w:r>
          </w:p>
        </w:tc>
        <w:tc>
          <w:tcPr>
            <w:tcW w:w="928" w:type="pct"/>
          </w:tcPr>
          <w:p w14:paraId="5AE1B5DC" w14:textId="48C8849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00AB262" w14:textId="6601D4B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E422232" w14:textId="77777777" w:rsidTr="0086120E">
        <w:tc>
          <w:tcPr>
            <w:tcW w:w="356" w:type="pct"/>
          </w:tcPr>
          <w:p w14:paraId="630B4CD6" w14:textId="1D5A847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28</w:t>
            </w:r>
          </w:p>
        </w:tc>
        <w:tc>
          <w:tcPr>
            <w:tcW w:w="1709" w:type="pct"/>
          </w:tcPr>
          <w:p w14:paraId="438FA6FA" w14:textId="63F03EF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25.中華民國刑法第三百三十九條及第三百三十九條之四條文修正草案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修正重點：加重詐欺犯罪刑責。）</w:t>
            </w:r>
          </w:p>
        </w:tc>
        <w:tc>
          <w:tcPr>
            <w:tcW w:w="1139" w:type="pct"/>
          </w:tcPr>
          <w:p w14:paraId="5D4E797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委員柯志恩</w:t>
            </w:r>
          </w:p>
          <w:p w14:paraId="2695B85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58CDEF1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114.05.23</w:t>
            </w:r>
          </w:p>
          <w:p w14:paraId="166F71F4" w14:textId="6F595CF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（11-3-13）</w:t>
            </w:r>
          </w:p>
        </w:tc>
        <w:tc>
          <w:tcPr>
            <w:tcW w:w="928" w:type="pct"/>
          </w:tcPr>
          <w:p w14:paraId="4C7367E5" w14:textId="03FCD0B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2659642" w14:textId="3ABD1BD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BDDD688" w14:textId="77777777" w:rsidTr="0086120E">
        <w:tc>
          <w:tcPr>
            <w:tcW w:w="356" w:type="pct"/>
          </w:tcPr>
          <w:p w14:paraId="1A267ED5" w14:textId="2D1AD28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29</w:t>
            </w:r>
          </w:p>
        </w:tc>
        <w:tc>
          <w:tcPr>
            <w:tcW w:w="1709" w:type="pct"/>
          </w:tcPr>
          <w:p w14:paraId="51DC715E" w14:textId="2FFF5F3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26.中華民國刑法第三百三十九條及第三百三十九條之四條文修正草案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修正重點：加重詐欺罪刑度，並增訂科技詐術及累犯之加重處罰規定。）</w:t>
            </w:r>
          </w:p>
        </w:tc>
        <w:tc>
          <w:tcPr>
            <w:tcW w:w="1139" w:type="pct"/>
          </w:tcPr>
          <w:p w14:paraId="20BE07E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委員王義川</w:t>
            </w:r>
          </w:p>
          <w:p w14:paraId="3541980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3073564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114.06.06</w:t>
            </w:r>
          </w:p>
          <w:p w14:paraId="05A3411E" w14:textId="53C2ECE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（11-3-15）</w:t>
            </w:r>
          </w:p>
        </w:tc>
        <w:tc>
          <w:tcPr>
            <w:tcW w:w="928" w:type="pct"/>
          </w:tcPr>
          <w:p w14:paraId="6305CD20" w14:textId="34E69FA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09B2B6D" w14:textId="64E2F11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7E5CA82" w14:textId="77777777" w:rsidTr="0086120E">
        <w:tc>
          <w:tcPr>
            <w:tcW w:w="356" w:type="pct"/>
          </w:tcPr>
          <w:p w14:paraId="587BE277" w14:textId="10E2408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30</w:t>
            </w:r>
          </w:p>
        </w:tc>
        <w:tc>
          <w:tcPr>
            <w:tcW w:w="1709" w:type="pct"/>
          </w:tcPr>
          <w:p w14:paraId="23ABDEE0" w14:textId="694BBC9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27.中華民國刑法第二百九十七條及第三百三十九條之四條文修正草案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修正重點：詐騙他人出國，施以拘禁、凌</w:t>
            </w:r>
            <w:proofErr w:type="gramStart"/>
            <w:r w:rsidRPr="001B6E4D">
              <w:rPr>
                <w:rFonts w:hAnsi="標楷體" w:cs="Times New Roman"/>
                <w:color w:val="000000" w:themeColor="text1"/>
                <w:sz w:val="24"/>
                <w:szCs w:val="24"/>
              </w:rPr>
              <w:t>虐</w:t>
            </w:r>
            <w:proofErr w:type="gramEnd"/>
            <w:r w:rsidRPr="001B6E4D">
              <w:rPr>
                <w:rFonts w:hAnsi="標楷體" w:cs="Times New Roman"/>
                <w:color w:val="000000" w:themeColor="text1"/>
                <w:sz w:val="24"/>
                <w:szCs w:val="24"/>
              </w:rPr>
              <w:t>而致被害人死亡、重傷者，課以刑責，並提高加重詐欺行為者之刑責。）</w:t>
            </w:r>
          </w:p>
        </w:tc>
        <w:tc>
          <w:tcPr>
            <w:tcW w:w="1139" w:type="pct"/>
          </w:tcPr>
          <w:p w14:paraId="749A263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58B9541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58DCBCA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114.08.29</w:t>
            </w:r>
          </w:p>
          <w:p w14:paraId="418E84C5" w14:textId="273EC7A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（11-3-27）</w:t>
            </w:r>
          </w:p>
        </w:tc>
        <w:tc>
          <w:tcPr>
            <w:tcW w:w="928" w:type="pct"/>
          </w:tcPr>
          <w:p w14:paraId="13886072" w14:textId="67221C8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1E8B7F3" w14:textId="4E6D400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CFB982A" w14:textId="77777777" w:rsidTr="0086120E">
        <w:tc>
          <w:tcPr>
            <w:tcW w:w="356" w:type="pct"/>
          </w:tcPr>
          <w:p w14:paraId="15969FFE" w14:textId="717780D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31</w:t>
            </w:r>
          </w:p>
        </w:tc>
        <w:tc>
          <w:tcPr>
            <w:tcW w:w="1709" w:type="pct"/>
          </w:tcPr>
          <w:p w14:paraId="4E8480AE" w14:textId="606B798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1.中華民國刑法第二百七十六</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修正重點：法院得依過失致死個案情形具體審酌違反注意義務之情節而妥適量刑。）</w:t>
            </w:r>
          </w:p>
        </w:tc>
        <w:tc>
          <w:tcPr>
            <w:tcW w:w="1139" w:type="pct"/>
          </w:tcPr>
          <w:p w14:paraId="633E67C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委員陳亭</w:t>
            </w:r>
            <w:proofErr w:type="gramStart"/>
            <w:r w:rsidRPr="001B6E4D">
              <w:rPr>
                <w:rFonts w:ascii="標楷體" w:eastAsia="標楷體" w:hAnsi="標楷體"/>
                <w:color w:val="000000" w:themeColor="text1"/>
                <w:sz w:val="24"/>
              </w:rPr>
              <w:t>妃</w:t>
            </w:r>
            <w:proofErr w:type="gramEnd"/>
          </w:p>
          <w:p w14:paraId="6C1FB06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6BF565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2BD96C90" w14:textId="455FB88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（11-1-5）</w:t>
            </w:r>
          </w:p>
        </w:tc>
        <w:tc>
          <w:tcPr>
            <w:tcW w:w="928" w:type="pct"/>
          </w:tcPr>
          <w:p w14:paraId="4F26897B" w14:textId="63FAE27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475243B" w14:textId="48EAAE2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3D261A9" w14:textId="77777777" w:rsidTr="0086120E">
        <w:tc>
          <w:tcPr>
            <w:tcW w:w="356" w:type="pct"/>
          </w:tcPr>
          <w:p w14:paraId="0B096DF6" w14:textId="2C22142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32</w:t>
            </w:r>
          </w:p>
        </w:tc>
        <w:tc>
          <w:tcPr>
            <w:tcW w:w="1709" w:type="pct"/>
          </w:tcPr>
          <w:p w14:paraId="03CC1CA9" w14:textId="5E54280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2.中華民國刑法第二百七十六</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修正重點：提高過失致死罪</w:t>
            </w:r>
            <w:r w:rsidRPr="001B6E4D">
              <w:rPr>
                <w:rFonts w:hAnsi="標楷體" w:cs="Times New Roman"/>
                <w:color w:val="000000" w:themeColor="text1"/>
                <w:sz w:val="24"/>
                <w:szCs w:val="24"/>
              </w:rPr>
              <w:lastRenderedPageBreak/>
              <w:t>之法定刑。）</w:t>
            </w:r>
          </w:p>
        </w:tc>
        <w:tc>
          <w:tcPr>
            <w:tcW w:w="1139" w:type="pct"/>
          </w:tcPr>
          <w:p w14:paraId="0CFDC83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委員魯明哲</w:t>
            </w:r>
          </w:p>
          <w:p w14:paraId="7EF6220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383FD5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113.11.22</w:t>
            </w:r>
          </w:p>
          <w:p w14:paraId="37444F19" w14:textId="399A150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（11-2-10）</w:t>
            </w:r>
          </w:p>
        </w:tc>
        <w:tc>
          <w:tcPr>
            <w:tcW w:w="928" w:type="pct"/>
          </w:tcPr>
          <w:p w14:paraId="529B5270" w14:textId="1B08A80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2BB68328" w14:textId="052B9E7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334F311" w14:textId="77777777" w:rsidTr="0086120E">
        <w:tc>
          <w:tcPr>
            <w:tcW w:w="356" w:type="pct"/>
          </w:tcPr>
          <w:p w14:paraId="08F958DB" w14:textId="2ADA254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33</w:t>
            </w:r>
          </w:p>
        </w:tc>
        <w:tc>
          <w:tcPr>
            <w:tcW w:w="1709" w:type="pct"/>
          </w:tcPr>
          <w:p w14:paraId="60D26F78" w14:textId="2E34F6E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140、309、310、313；增訂§313-1。修正重點：刪除現行侮辱職務罪，修正侮辱公務員罪之構成要件；提高公然侮辱罪之罰金刑度；增訂以散布影像、聲音或電磁紀錄方式犯誹謗罪，加重處罰之規定，並修正提高誹謗罪及加重誹謗罪之罰金刑度；修正妨害信用罪之構成要件；增訂對於以廣播、電視、電子通訊、網際網路、其他傳播工具，或以電腦合成或其他科技方法製作關於他人不實影像、聲音或電磁紀錄之方法，犯公然侮辱罪、誹謗罪或妨害信用罪者，加重處罰之規定。）</w:t>
            </w:r>
          </w:p>
        </w:tc>
        <w:tc>
          <w:tcPr>
            <w:tcW w:w="1139" w:type="pct"/>
          </w:tcPr>
          <w:p w14:paraId="772A8CC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行政院、司法院</w:t>
            </w:r>
          </w:p>
          <w:p w14:paraId="3666F48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115.04.24</w:t>
            </w:r>
          </w:p>
          <w:p w14:paraId="2A62BC42" w14:textId="26BF90D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w:t>
            </w:r>
          </w:p>
        </w:tc>
        <w:tc>
          <w:tcPr>
            <w:tcW w:w="928" w:type="pct"/>
          </w:tcPr>
          <w:p w14:paraId="28DD0446" w14:textId="2198AEB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1F9B22B" w14:textId="4FFBEE2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3FFDA0A" w14:textId="77777777" w:rsidTr="0086120E">
        <w:tc>
          <w:tcPr>
            <w:tcW w:w="356" w:type="pct"/>
          </w:tcPr>
          <w:p w14:paraId="415D85AD" w14:textId="22E7C3B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34</w:t>
            </w:r>
          </w:p>
        </w:tc>
        <w:tc>
          <w:tcPr>
            <w:tcW w:w="1709" w:type="pct"/>
          </w:tcPr>
          <w:p w14:paraId="3BDE2806" w14:textId="66B3B2B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2.中華民國刑法第一百三十五條、第一百三十六條及第一百四十</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修正重點：提高妨害公務罪法定刑及增設得</w:t>
            </w:r>
            <w:proofErr w:type="gramStart"/>
            <w:r w:rsidRPr="001B6E4D">
              <w:rPr>
                <w:rFonts w:hAnsi="標楷體" w:cs="Times New Roman"/>
                <w:color w:val="000000" w:themeColor="text1"/>
                <w:sz w:val="24"/>
                <w:szCs w:val="24"/>
              </w:rPr>
              <w:t>併</w:t>
            </w:r>
            <w:proofErr w:type="gramEnd"/>
            <w:r w:rsidRPr="001B6E4D">
              <w:rPr>
                <w:rFonts w:hAnsi="標楷體" w:cs="Times New Roman"/>
                <w:color w:val="000000" w:themeColor="text1"/>
                <w:sz w:val="24"/>
                <w:szCs w:val="24"/>
              </w:rPr>
              <w:t>科罰金規定。）</w:t>
            </w:r>
          </w:p>
        </w:tc>
        <w:tc>
          <w:tcPr>
            <w:tcW w:w="1139" w:type="pct"/>
          </w:tcPr>
          <w:p w14:paraId="153F3F2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委員陳亭</w:t>
            </w:r>
            <w:proofErr w:type="gramStart"/>
            <w:r w:rsidRPr="001B6E4D">
              <w:rPr>
                <w:rFonts w:ascii="標楷體" w:eastAsia="標楷體" w:hAnsi="標楷體"/>
                <w:color w:val="000000" w:themeColor="text1"/>
                <w:sz w:val="24"/>
              </w:rPr>
              <w:t>妃</w:t>
            </w:r>
            <w:proofErr w:type="gramEnd"/>
          </w:p>
          <w:p w14:paraId="3666D2C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21AFD4D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113.04.12</w:t>
            </w:r>
          </w:p>
          <w:p w14:paraId="4F24DBD3" w14:textId="7184DB5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（11-1-9）</w:t>
            </w:r>
          </w:p>
        </w:tc>
        <w:tc>
          <w:tcPr>
            <w:tcW w:w="928" w:type="pct"/>
          </w:tcPr>
          <w:p w14:paraId="54121C8C" w14:textId="76FCFB6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FD0B015" w14:textId="01BDB4D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B5DBE84" w14:textId="77777777" w:rsidTr="0086120E">
        <w:tc>
          <w:tcPr>
            <w:tcW w:w="356" w:type="pct"/>
          </w:tcPr>
          <w:p w14:paraId="495C8541" w14:textId="058AA7E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35</w:t>
            </w:r>
          </w:p>
        </w:tc>
        <w:tc>
          <w:tcPr>
            <w:tcW w:w="1709" w:type="pct"/>
          </w:tcPr>
          <w:p w14:paraId="7D70DD5C" w14:textId="3151F2C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3.中華民國刑法第一百四十</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修正重點：新增侮辱公務員罪之構成要件，刪除侮辱職務罪之規定。）</w:t>
            </w:r>
          </w:p>
        </w:tc>
        <w:tc>
          <w:tcPr>
            <w:tcW w:w="1139" w:type="pct"/>
          </w:tcPr>
          <w:p w14:paraId="7191CCD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委員鍾佳濱</w:t>
            </w:r>
          </w:p>
          <w:p w14:paraId="016C8F5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3CC4468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113.09.27</w:t>
            </w:r>
          </w:p>
          <w:p w14:paraId="271BF272" w14:textId="50D2E39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（11-2-2）</w:t>
            </w:r>
          </w:p>
        </w:tc>
        <w:tc>
          <w:tcPr>
            <w:tcW w:w="928" w:type="pct"/>
          </w:tcPr>
          <w:p w14:paraId="7630B489" w14:textId="652BF76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C4C6F7B" w14:textId="31D41F9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7B71F77" w14:textId="77777777" w:rsidTr="0086120E">
        <w:tc>
          <w:tcPr>
            <w:tcW w:w="356" w:type="pct"/>
          </w:tcPr>
          <w:p w14:paraId="7662991A" w14:textId="28E6746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36</w:t>
            </w:r>
          </w:p>
        </w:tc>
        <w:tc>
          <w:tcPr>
            <w:tcW w:w="1709" w:type="pct"/>
          </w:tcPr>
          <w:p w14:paraId="3F9881C4" w14:textId="7848FAC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4.中華民國刑法刪除第一百四十一條之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刪除重點：經憲法法庭判決違憲，</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提案刪</w:t>
            </w:r>
            <w:r w:rsidRPr="001B6E4D">
              <w:rPr>
                <w:rFonts w:hAnsi="標楷體" w:cs="Times New Roman"/>
                <w:color w:val="000000" w:themeColor="text1"/>
                <w:sz w:val="24"/>
                <w:szCs w:val="24"/>
              </w:rPr>
              <w:lastRenderedPageBreak/>
              <w:t>除。）</w:t>
            </w:r>
          </w:p>
        </w:tc>
        <w:tc>
          <w:tcPr>
            <w:tcW w:w="1139" w:type="pct"/>
          </w:tcPr>
          <w:p w14:paraId="37B68F5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委員李坤城</w:t>
            </w:r>
          </w:p>
          <w:p w14:paraId="71A62A4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0EB1346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113.11.08</w:t>
            </w:r>
          </w:p>
          <w:p w14:paraId="1931C6B0" w14:textId="3F32F21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（11-2-8）</w:t>
            </w:r>
          </w:p>
        </w:tc>
        <w:tc>
          <w:tcPr>
            <w:tcW w:w="928" w:type="pct"/>
          </w:tcPr>
          <w:p w14:paraId="25A0028A" w14:textId="40940F9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68E2F3E" w14:textId="4AD05D9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0B50C56" w14:textId="77777777" w:rsidTr="0086120E">
        <w:tc>
          <w:tcPr>
            <w:tcW w:w="356" w:type="pct"/>
          </w:tcPr>
          <w:p w14:paraId="673EC5B6" w14:textId="290E0A0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37</w:t>
            </w:r>
          </w:p>
        </w:tc>
        <w:tc>
          <w:tcPr>
            <w:tcW w:w="1709" w:type="pct"/>
          </w:tcPr>
          <w:p w14:paraId="6E33BAC5" w14:textId="27B5694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5.中華民國刑法第三百十條、第三百十三條及第三百十三條之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修正重點：增列以散佈影音、媒體素材方式犯誹謗罪之加重處罰規定；涉及妨害信用行為之處罰，限以妨害經濟、金融或商業交易者；加重處罰網路發表或以電子通訊方式散布之妨害名譽或信用之言論，或藉</w:t>
            </w:r>
            <w:proofErr w:type="gramStart"/>
            <w:r w:rsidRPr="001B6E4D">
              <w:rPr>
                <w:rFonts w:hAnsi="標楷體" w:cs="Times New Roman"/>
                <w:color w:val="000000" w:themeColor="text1"/>
                <w:sz w:val="24"/>
                <w:szCs w:val="24"/>
              </w:rPr>
              <w:t>由深偽合成</w:t>
            </w:r>
            <w:proofErr w:type="gramEnd"/>
            <w:r w:rsidRPr="001B6E4D">
              <w:rPr>
                <w:rFonts w:hAnsi="標楷體" w:cs="Times New Roman"/>
                <w:color w:val="000000" w:themeColor="text1"/>
                <w:sz w:val="24"/>
                <w:szCs w:val="24"/>
              </w:rPr>
              <w:t>技術產製不實影像、聲音或電磁紀錄遂行犯罪者。）</w:t>
            </w:r>
          </w:p>
        </w:tc>
        <w:tc>
          <w:tcPr>
            <w:tcW w:w="1139" w:type="pct"/>
          </w:tcPr>
          <w:p w14:paraId="4F8F291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42279F8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0520184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114.03.07</w:t>
            </w:r>
          </w:p>
          <w:p w14:paraId="486EF8F2" w14:textId="3B4EFBA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（11-3-4）</w:t>
            </w:r>
          </w:p>
        </w:tc>
        <w:tc>
          <w:tcPr>
            <w:tcW w:w="928" w:type="pct"/>
          </w:tcPr>
          <w:p w14:paraId="645140C4" w14:textId="68CC213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C2E8BC7" w14:textId="0B1F49D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FB07BEF" w14:textId="77777777" w:rsidTr="0086120E">
        <w:tc>
          <w:tcPr>
            <w:tcW w:w="356" w:type="pct"/>
          </w:tcPr>
          <w:p w14:paraId="7CA71E2C" w14:textId="19C7BDC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38</w:t>
            </w:r>
          </w:p>
        </w:tc>
        <w:tc>
          <w:tcPr>
            <w:tcW w:w="1709" w:type="pct"/>
          </w:tcPr>
          <w:p w14:paraId="323D8382" w14:textId="6EE25A9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6.中華民國刑法刪除第一百四十一條之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刪除重點：經憲法法庭判決違憲，</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提案刪除。）</w:t>
            </w:r>
          </w:p>
        </w:tc>
        <w:tc>
          <w:tcPr>
            <w:tcW w:w="1139" w:type="pct"/>
          </w:tcPr>
          <w:p w14:paraId="279D8B8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委員羅美玲</w:t>
            </w:r>
          </w:p>
          <w:p w14:paraId="61FEAA8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1E02FB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114.04.25</w:t>
            </w:r>
          </w:p>
          <w:p w14:paraId="1D87BF3C" w14:textId="10936E4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（11-3-9）</w:t>
            </w:r>
          </w:p>
        </w:tc>
        <w:tc>
          <w:tcPr>
            <w:tcW w:w="928" w:type="pct"/>
          </w:tcPr>
          <w:p w14:paraId="7BC01851" w14:textId="7DA920A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371CC1F" w14:textId="732CDB6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528FEFF" w14:textId="77777777" w:rsidTr="0086120E">
        <w:tc>
          <w:tcPr>
            <w:tcW w:w="356" w:type="pct"/>
          </w:tcPr>
          <w:p w14:paraId="008F3BEC" w14:textId="1268CF3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39</w:t>
            </w:r>
          </w:p>
        </w:tc>
        <w:tc>
          <w:tcPr>
            <w:tcW w:w="1709" w:type="pct"/>
          </w:tcPr>
          <w:p w14:paraId="11FA73C6" w14:textId="5BF52E1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7.中華民國刑法刪除第五章之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章名及第一百四十一條之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刪除重點：經憲法法庭判決違憲，</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提案刪除。）</w:t>
            </w:r>
          </w:p>
        </w:tc>
        <w:tc>
          <w:tcPr>
            <w:tcW w:w="1139" w:type="pct"/>
          </w:tcPr>
          <w:p w14:paraId="5EFF208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委員李柏毅</w:t>
            </w:r>
          </w:p>
          <w:p w14:paraId="7C90386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43CFD0C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114.05.16</w:t>
            </w:r>
          </w:p>
          <w:p w14:paraId="76FB272E" w14:textId="168A5A8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（11-3-12）</w:t>
            </w:r>
          </w:p>
        </w:tc>
        <w:tc>
          <w:tcPr>
            <w:tcW w:w="928" w:type="pct"/>
          </w:tcPr>
          <w:p w14:paraId="1C1AFBAF" w14:textId="3F98C7A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23638AC" w14:textId="781F78C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2CBF383" w14:textId="77777777" w:rsidTr="0086120E">
        <w:tc>
          <w:tcPr>
            <w:tcW w:w="356" w:type="pct"/>
          </w:tcPr>
          <w:p w14:paraId="10CB2E51" w14:textId="458C55E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40</w:t>
            </w:r>
          </w:p>
        </w:tc>
        <w:tc>
          <w:tcPr>
            <w:tcW w:w="1709" w:type="pct"/>
          </w:tcPr>
          <w:p w14:paraId="5DBC9D4F" w14:textId="25D7151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修正§140、309、310、313；增訂§313-1；刪除§141-1。修正重點：刪除現行侮辱職務罪，新增侮辱公務員罪構成要件；藐視國會罪經憲法法庭判決違憲，</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提案刪除；毀謗罪之散佈方式不僅限於文字或圖畫，</w:t>
            </w:r>
            <w:proofErr w:type="gramStart"/>
            <w:r w:rsidRPr="001B6E4D">
              <w:rPr>
                <w:rFonts w:hAnsi="標楷體" w:cs="Times New Roman"/>
                <w:color w:val="000000" w:themeColor="text1"/>
                <w:sz w:val="24"/>
                <w:szCs w:val="24"/>
              </w:rPr>
              <w:t>深偽合成</w:t>
            </w:r>
            <w:proofErr w:type="gramEnd"/>
            <w:r w:rsidRPr="001B6E4D">
              <w:rPr>
                <w:rFonts w:hAnsi="標楷體" w:cs="Times New Roman"/>
                <w:color w:val="000000" w:themeColor="text1"/>
                <w:sz w:val="24"/>
                <w:szCs w:val="24"/>
              </w:rPr>
              <w:t>技術也可產製不實影像、聲音或電磁紀錄</w:t>
            </w:r>
            <w:r w:rsidRPr="001B6E4D">
              <w:rPr>
                <w:rFonts w:hAnsi="標楷體" w:cs="Times New Roman"/>
                <w:color w:val="000000" w:themeColor="text1"/>
                <w:sz w:val="24"/>
                <w:szCs w:val="24"/>
              </w:rPr>
              <w:lastRenderedPageBreak/>
              <w:t>進行毀謗。）</w:t>
            </w:r>
          </w:p>
        </w:tc>
        <w:tc>
          <w:tcPr>
            <w:tcW w:w="1139" w:type="pct"/>
          </w:tcPr>
          <w:p w14:paraId="21CC104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委員張雅琳</w:t>
            </w:r>
          </w:p>
          <w:p w14:paraId="2C9874D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6FC827A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114.05.23</w:t>
            </w:r>
          </w:p>
          <w:p w14:paraId="67EC8618" w14:textId="6CA6756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（11-3-13）</w:t>
            </w:r>
          </w:p>
        </w:tc>
        <w:tc>
          <w:tcPr>
            <w:tcW w:w="928" w:type="pct"/>
          </w:tcPr>
          <w:p w14:paraId="77E1475E" w14:textId="0557078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87BDCA2" w14:textId="07D0281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C283F5C" w14:textId="77777777" w:rsidTr="0086120E">
        <w:tc>
          <w:tcPr>
            <w:tcW w:w="356" w:type="pct"/>
          </w:tcPr>
          <w:p w14:paraId="4549DF6D" w14:textId="241A196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41</w:t>
            </w:r>
          </w:p>
        </w:tc>
        <w:tc>
          <w:tcPr>
            <w:tcW w:w="1709" w:type="pct"/>
          </w:tcPr>
          <w:p w14:paraId="3E0D3596" w14:textId="118121E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80、140、309、310、313；增訂§313-1。修正重點：性侵害案件被害人20歲以前不算入追訴權期間；刪除現行侮辱職務罪，修正侮辱公務員罪構成要件；增訂以散布「影像、聲音或電磁紀錄」方式犯誹謗罪，加重處罰之規定，並修正提高誹謗罪罰金刑度；修正妨害信用罪構成要件；加重處罰透過網路媒體或</w:t>
            </w:r>
            <w:proofErr w:type="gramStart"/>
            <w:r w:rsidRPr="001B6E4D">
              <w:rPr>
                <w:rFonts w:hAnsi="標楷體" w:cs="Times New Roman"/>
                <w:color w:val="000000" w:themeColor="text1"/>
                <w:sz w:val="24"/>
                <w:szCs w:val="24"/>
              </w:rPr>
              <w:t>合成假影音</w:t>
            </w:r>
            <w:proofErr w:type="gramEnd"/>
            <w:r w:rsidRPr="001B6E4D">
              <w:rPr>
                <w:rFonts w:hAnsi="標楷體" w:cs="Times New Roman"/>
                <w:color w:val="000000" w:themeColor="text1"/>
                <w:sz w:val="24"/>
                <w:szCs w:val="24"/>
              </w:rPr>
              <w:t>，犯公然侮辱罪者。）</w:t>
            </w:r>
          </w:p>
        </w:tc>
        <w:tc>
          <w:tcPr>
            <w:tcW w:w="1139" w:type="pct"/>
          </w:tcPr>
          <w:p w14:paraId="0C07D78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23E4A51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159D788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115.03.06</w:t>
            </w:r>
          </w:p>
          <w:p w14:paraId="34C8E1A2" w14:textId="5524EC5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（11-5-2）</w:t>
            </w:r>
          </w:p>
        </w:tc>
        <w:tc>
          <w:tcPr>
            <w:tcW w:w="928" w:type="pct"/>
          </w:tcPr>
          <w:p w14:paraId="1984E0C4" w14:textId="58C7195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9AF7BAC" w14:textId="7F3346E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A7E8446" w14:textId="77777777" w:rsidTr="0086120E">
        <w:tc>
          <w:tcPr>
            <w:tcW w:w="356" w:type="pct"/>
          </w:tcPr>
          <w:p w14:paraId="2F13B05F" w14:textId="64117D5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42</w:t>
            </w:r>
          </w:p>
        </w:tc>
        <w:tc>
          <w:tcPr>
            <w:tcW w:w="1709" w:type="pct"/>
          </w:tcPr>
          <w:p w14:paraId="21620168" w14:textId="28951A0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中華民國刑法第三百五十四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修正重點：若有不肖人士隨意開封或污染食品業者之食品、食品器具、食品容器或包裝，得加重其刑。）</w:t>
            </w:r>
          </w:p>
        </w:tc>
        <w:tc>
          <w:tcPr>
            <w:tcW w:w="1139" w:type="pct"/>
          </w:tcPr>
          <w:p w14:paraId="3A327FF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委員林德福</w:t>
            </w:r>
          </w:p>
          <w:p w14:paraId="3E63740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0866255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113.03.22</w:t>
            </w:r>
          </w:p>
          <w:p w14:paraId="04B22DF9" w14:textId="51B2CE9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（11-1-6）</w:t>
            </w:r>
          </w:p>
        </w:tc>
        <w:tc>
          <w:tcPr>
            <w:tcW w:w="928" w:type="pct"/>
          </w:tcPr>
          <w:p w14:paraId="429A6E3E" w14:textId="44C943A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984109F" w14:textId="33D794B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3E5D55A" w14:textId="77777777" w:rsidTr="0086120E">
        <w:tc>
          <w:tcPr>
            <w:tcW w:w="356" w:type="pct"/>
          </w:tcPr>
          <w:p w14:paraId="02A5231C" w14:textId="636B336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43</w:t>
            </w:r>
          </w:p>
        </w:tc>
        <w:tc>
          <w:tcPr>
            <w:tcW w:w="1709" w:type="pct"/>
          </w:tcPr>
          <w:p w14:paraId="1440AD0F" w14:textId="53E62D6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1.中華民國刑法增訂第八十九條之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增訂重點：以醫療介入協助</w:t>
            </w:r>
            <w:proofErr w:type="gramStart"/>
            <w:r w:rsidRPr="001B6E4D">
              <w:rPr>
                <w:rFonts w:hAnsi="標楷體" w:cs="Times New Roman"/>
                <w:color w:val="000000" w:themeColor="text1"/>
                <w:sz w:val="24"/>
                <w:szCs w:val="24"/>
              </w:rPr>
              <w:t>解決酒駕的</w:t>
            </w:r>
            <w:proofErr w:type="gramEnd"/>
            <w:r w:rsidRPr="001B6E4D">
              <w:rPr>
                <w:rFonts w:hAnsi="標楷體" w:cs="Times New Roman"/>
                <w:color w:val="000000" w:themeColor="text1"/>
                <w:sz w:val="24"/>
                <w:szCs w:val="24"/>
              </w:rPr>
              <w:t>根本成因。）</w:t>
            </w:r>
          </w:p>
        </w:tc>
        <w:tc>
          <w:tcPr>
            <w:tcW w:w="1139" w:type="pct"/>
          </w:tcPr>
          <w:p w14:paraId="0634718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委員張智倫</w:t>
            </w:r>
          </w:p>
          <w:p w14:paraId="24F44D5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B47E1C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09E43678" w14:textId="1FACE9E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（11-1-7）</w:t>
            </w:r>
          </w:p>
        </w:tc>
        <w:tc>
          <w:tcPr>
            <w:tcW w:w="928" w:type="pct"/>
          </w:tcPr>
          <w:p w14:paraId="130A4D86" w14:textId="66EDD83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D4CBC70" w14:textId="309F50E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E9494DB" w14:textId="77777777" w:rsidTr="0086120E">
        <w:tc>
          <w:tcPr>
            <w:tcW w:w="356" w:type="pct"/>
          </w:tcPr>
          <w:p w14:paraId="3336AE2B" w14:textId="0035664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44</w:t>
            </w:r>
          </w:p>
        </w:tc>
        <w:tc>
          <w:tcPr>
            <w:tcW w:w="1709" w:type="pct"/>
          </w:tcPr>
          <w:p w14:paraId="53C4849B" w14:textId="3D773DF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2.中華民國刑法增訂第八十九條之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增訂重點：從法律、教育與醫療多方面同步</w:t>
            </w:r>
            <w:proofErr w:type="gramStart"/>
            <w:r w:rsidRPr="001B6E4D">
              <w:rPr>
                <w:rFonts w:hAnsi="標楷體" w:cs="Times New Roman"/>
                <w:color w:val="000000" w:themeColor="text1"/>
                <w:sz w:val="24"/>
                <w:szCs w:val="24"/>
              </w:rPr>
              <w:t>介入酒駕治理</w:t>
            </w:r>
            <w:proofErr w:type="gramEnd"/>
            <w:r w:rsidRPr="001B6E4D">
              <w:rPr>
                <w:rFonts w:hAnsi="標楷體" w:cs="Times New Roman"/>
                <w:color w:val="000000" w:themeColor="text1"/>
                <w:sz w:val="24"/>
                <w:szCs w:val="24"/>
              </w:rPr>
              <w:t>。）</w:t>
            </w:r>
          </w:p>
        </w:tc>
        <w:tc>
          <w:tcPr>
            <w:tcW w:w="1139" w:type="pct"/>
          </w:tcPr>
          <w:p w14:paraId="329E8AB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委員葉元之</w:t>
            </w:r>
          </w:p>
          <w:p w14:paraId="073CD0E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4327AEE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114.03.04</w:t>
            </w:r>
          </w:p>
          <w:p w14:paraId="23FBCF89" w14:textId="646E6E9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（11-3-3）</w:t>
            </w:r>
          </w:p>
        </w:tc>
        <w:tc>
          <w:tcPr>
            <w:tcW w:w="928" w:type="pct"/>
          </w:tcPr>
          <w:p w14:paraId="0E557152" w14:textId="5EF4E6C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EE91341" w14:textId="2D408FB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42570EE" w14:textId="77777777" w:rsidTr="0086120E">
        <w:tc>
          <w:tcPr>
            <w:tcW w:w="356" w:type="pct"/>
          </w:tcPr>
          <w:p w14:paraId="351F734B" w14:textId="0376BDB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45</w:t>
            </w:r>
          </w:p>
        </w:tc>
        <w:tc>
          <w:tcPr>
            <w:tcW w:w="1709" w:type="pct"/>
          </w:tcPr>
          <w:p w14:paraId="1296E701" w14:textId="4D202A5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1.中華民國刑法增訂第三百十九條之七條文草案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增訂重點：增訂無正當理由</w:t>
            </w:r>
            <w:proofErr w:type="gramStart"/>
            <w:r w:rsidRPr="001B6E4D">
              <w:rPr>
                <w:rFonts w:hAnsi="標楷體" w:cs="Times New Roman"/>
                <w:color w:val="000000" w:themeColor="text1"/>
                <w:sz w:val="24"/>
                <w:szCs w:val="24"/>
              </w:rPr>
              <w:t>持有性私密</w:t>
            </w:r>
            <w:proofErr w:type="gramEnd"/>
            <w:r w:rsidRPr="001B6E4D">
              <w:rPr>
                <w:rFonts w:hAnsi="標楷體" w:cs="Times New Roman"/>
                <w:color w:val="000000" w:themeColor="text1"/>
                <w:sz w:val="24"/>
                <w:szCs w:val="24"/>
              </w:rPr>
              <w:t>影像行為之罰則。）</w:t>
            </w:r>
          </w:p>
        </w:tc>
        <w:tc>
          <w:tcPr>
            <w:tcW w:w="1139" w:type="pct"/>
          </w:tcPr>
          <w:p w14:paraId="04E3D5F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委員黃捷</w:t>
            </w:r>
          </w:p>
          <w:p w14:paraId="3393BB2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457F5B8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113.04.19</w:t>
            </w:r>
          </w:p>
          <w:p w14:paraId="735E9591" w14:textId="41E7F34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（11-1-10）</w:t>
            </w:r>
          </w:p>
        </w:tc>
        <w:tc>
          <w:tcPr>
            <w:tcW w:w="928" w:type="pct"/>
          </w:tcPr>
          <w:p w14:paraId="0E9CD13E" w14:textId="42C484A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113EADA" w14:textId="35D4157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F7BDBB2" w14:textId="77777777" w:rsidTr="0086120E">
        <w:tc>
          <w:tcPr>
            <w:tcW w:w="356" w:type="pct"/>
          </w:tcPr>
          <w:p w14:paraId="0B6A3C19" w14:textId="78A1250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46</w:t>
            </w:r>
          </w:p>
        </w:tc>
        <w:tc>
          <w:tcPr>
            <w:tcW w:w="1709" w:type="pct"/>
          </w:tcPr>
          <w:p w14:paraId="05903233" w14:textId="731BF8ED"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2.中華民國刑法部分條文</w:t>
            </w:r>
            <w:r w:rsidRPr="001B6E4D">
              <w:rPr>
                <w:rFonts w:hAnsi="標楷體" w:cs="Times New Roman"/>
                <w:color w:val="000000" w:themeColor="text1"/>
                <w:sz w:val="24"/>
                <w:szCs w:val="24"/>
              </w:rPr>
              <w:lastRenderedPageBreak/>
              <w:t>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修正§319-3~5；增訂§319-7~10。修正重點：性影像犯罪，新增散布被害人</w:t>
            </w:r>
            <w:proofErr w:type="gramStart"/>
            <w:r w:rsidRPr="001B6E4D">
              <w:rPr>
                <w:rFonts w:hAnsi="標楷體" w:cs="Times New Roman"/>
                <w:color w:val="000000" w:themeColor="text1"/>
                <w:sz w:val="24"/>
                <w:szCs w:val="24"/>
              </w:rPr>
              <w:t>個</w:t>
            </w:r>
            <w:proofErr w:type="gramEnd"/>
            <w:r w:rsidRPr="001B6E4D">
              <w:rPr>
                <w:rFonts w:hAnsi="標楷體" w:cs="Times New Roman"/>
                <w:color w:val="000000" w:themeColor="text1"/>
                <w:sz w:val="24"/>
                <w:szCs w:val="24"/>
              </w:rPr>
              <w:t>資者，加重其刑；增訂無故持有遭侵害之性影像者之罰則；增訂利用性影像傷害被害人之犯罪樣態。）</w:t>
            </w:r>
          </w:p>
        </w:tc>
        <w:tc>
          <w:tcPr>
            <w:tcW w:w="1139" w:type="pct"/>
          </w:tcPr>
          <w:p w14:paraId="3C39005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w:t>
            </w:r>
            <w:proofErr w:type="gramStart"/>
            <w:r w:rsidRPr="001B6E4D">
              <w:rPr>
                <w:rFonts w:ascii="標楷體" w:eastAsia="標楷體" w:hAnsi="標楷體"/>
                <w:color w:val="000000" w:themeColor="text1"/>
                <w:sz w:val="24"/>
              </w:rPr>
              <w:t>范</w:t>
            </w:r>
            <w:proofErr w:type="gramEnd"/>
            <w:r w:rsidRPr="001B6E4D">
              <w:rPr>
                <w:rFonts w:ascii="標楷體" w:eastAsia="標楷體" w:hAnsi="標楷體"/>
                <w:color w:val="000000" w:themeColor="text1"/>
                <w:sz w:val="24"/>
              </w:rPr>
              <w:t>雲</w:t>
            </w:r>
          </w:p>
          <w:p w14:paraId="71CF1D3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等18人</w:t>
            </w:r>
          </w:p>
          <w:p w14:paraId="31A09A6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113.04.26</w:t>
            </w:r>
          </w:p>
          <w:p w14:paraId="6FF81A8F" w14:textId="794F352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（11-1-11）</w:t>
            </w:r>
          </w:p>
        </w:tc>
        <w:tc>
          <w:tcPr>
            <w:tcW w:w="928" w:type="pct"/>
          </w:tcPr>
          <w:p w14:paraId="1C1FC3D5" w14:textId="03ADE82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09A87ACE" w14:textId="1A304CB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3090C74" w14:textId="77777777" w:rsidTr="0086120E">
        <w:tc>
          <w:tcPr>
            <w:tcW w:w="356" w:type="pct"/>
          </w:tcPr>
          <w:p w14:paraId="6DA8119B" w14:textId="4FDB259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47</w:t>
            </w:r>
          </w:p>
        </w:tc>
        <w:tc>
          <w:tcPr>
            <w:tcW w:w="1709" w:type="pct"/>
          </w:tcPr>
          <w:p w14:paraId="63B84E42" w14:textId="667C030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3.中華民國刑法第三百十五條之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修正重點：新增違反妨礙秘密並加以盈利販售或獲取報酬者，加重本刑並沒收犯罪所得。）</w:t>
            </w:r>
          </w:p>
        </w:tc>
        <w:tc>
          <w:tcPr>
            <w:tcW w:w="1139" w:type="pct"/>
          </w:tcPr>
          <w:p w14:paraId="4B6CBC5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25826FE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80B0AD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113.05.03</w:t>
            </w:r>
          </w:p>
          <w:p w14:paraId="0243A2B5" w14:textId="7AACB15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（11-1-12）</w:t>
            </w:r>
          </w:p>
        </w:tc>
        <w:tc>
          <w:tcPr>
            <w:tcW w:w="928" w:type="pct"/>
          </w:tcPr>
          <w:p w14:paraId="77C5988C" w14:textId="3C476A1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27A25CD" w14:textId="1405CF3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CD7640D" w14:textId="77777777" w:rsidTr="0086120E">
        <w:tc>
          <w:tcPr>
            <w:tcW w:w="356" w:type="pct"/>
          </w:tcPr>
          <w:p w14:paraId="1D2F9609" w14:textId="01A8C54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48</w:t>
            </w:r>
          </w:p>
        </w:tc>
        <w:tc>
          <w:tcPr>
            <w:tcW w:w="1709" w:type="pct"/>
          </w:tcPr>
          <w:p w14:paraId="459B8D38" w14:textId="2C40F7E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修正§319-3、319-5~6；增訂§319-7。修正重點：將觀賞、持有偷拍外流影片、威脅等犯行</w:t>
            </w:r>
            <w:proofErr w:type="gramStart"/>
            <w:r w:rsidRPr="001B6E4D">
              <w:rPr>
                <w:rFonts w:hAnsi="標楷體" w:cs="Times New Roman"/>
                <w:color w:val="000000" w:themeColor="text1"/>
                <w:sz w:val="24"/>
                <w:szCs w:val="24"/>
              </w:rPr>
              <w:t>明定入法</w:t>
            </w:r>
            <w:proofErr w:type="gramEnd"/>
            <w:r w:rsidRPr="001B6E4D">
              <w:rPr>
                <w:rFonts w:hAnsi="標楷體" w:cs="Times New Roman"/>
                <w:color w:val="000000" w:themeColor="text1"/>
                <w:sz w:val="24"/>
                <w:szCs w:val="24"/>
              </w:rPr>
              <w:t>。）</w:t>
            </w:r>
          </w:p>
        </w:tc>
        <w:tc>
          <w:tcPr>
            <w:tcW w:w="1139" w:type="pct"/>
          </w:tcPr>
          <w:p w14:paraId="60A0761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委員吳思瑤</w:t>
            </w:r>
          </w:p>
          <w:p w14:paraId="06DEBB9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29CFD0B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113.05.03</w:t>
            </w:r>
          </w:p>
          <w:p w14:paraId="0344F08E" w14:textId="2487118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（11-1-12）</w:t>
            </w:r>
          </w:p>
        </w:tc>
        <w:tc>
          <w:tcPr>
            <w:tcW w:w="928" w:type="pct"/>
          </w:tcPr>
          <w:p w14:paraId="06CD1FAD" w14:textId="5E6622E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644EA26" w14:textId="4A3FC30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5B1A686" w14:textId="77777777" w:rsidTr="0086120E">
        <w:tc>
          <w:tcPr>
            <w:tcW w:w="356" w:type="pct"/>
          </w:tcPr>
          <w:p w14:paraId="0E261069" w14:textId="510FE07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49</w:t>
            </w:r>
          </w:p>
        </w:tc>
        <w:tc>
          <w:tcPr>
            <w:tcW w:w="1709" w:type="pct"/>
          </w:tcPr>
          <w:p w14:paraId="655035E1" w14:textId="1342253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5.中華民國刑法第三百十九條之三及第三百十九條之四條文修正草案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修正重點：將「販賣性影像」修正為「收受對價轉讓性影像」。）</w:t>
            </w:r>
          </w:p>
        </w:tc>
        <w:tc>
          <w:tcPr>
            <w:tcW w:w="1139" w:type="pct"/>
          </w:tcPr>
          <w:p w14:paraId="7795603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389A19A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0AD690C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113.10.25</w:t>
            </w:r>
          </w:p>
          <w:p w14:paraId="6E23DA89" w14:textId="647DFBB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（11-2-6）</w:t>
            </w:r>
          </w:p>
        </w:tc>
        <w:tc>
          <w:tcPr>
            <w:tcW w:w="928" w:type="pct"/>
          </w:tcPr>
          <w:p w14:paraId="7083A55D" w14:textId="1DAE86A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56BDAB3" w14:textId="0A25741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4AD5191" w14:textId="77777777" w:rsidTr="0086120E">
        <w:tc>
          <w:tcPr>
            <w:tcW w:w="356" w:type="pct"/>
          </w:tcPr>
          <w:p w14:paraId="5B4E1D92" w14:textId="1409966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50</w:t>
            </w:r>
          </w:p>
        </w:tc>
        <w:tc>
          <w:tcPr>
            <w:tcW w:w="1709" w:type="pct"/>
          </w:tcPr>
          <w:p w14:paraId="5ED16166" w14:textId="78FDE63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6.中華民國刑法第三百十五條之二、第三百十九條之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及第三百十九條之二條文修正草案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修正重點：強化對利用場所管理權限從事偷拍及</w:t>
            </w:r>
            <w:proofErr w:type="gramStart"/>
            <w:r w:rsidRPr="001B6E4D">
              <w:rPr>
                <w:rFonts w:hAnsi="標楷體" w:cs="Times New Roman"/>
                <w:color w:val="000000" w:themeColor="text1"/>
                <w:sz w:val="24"/>
                <w:szCs w:val="24"/>
              </w:rPr>
              <w:t>其他態</w:t>
            </w:r>
            <w:proofErr w:type="gramEnd"/>
            <w:r w:rsidRPr="001B6E4D">
              <w:rPr>
                <w:rFonts w:hAnsi="標楷體" w:cs="Times New Roman"/>
                <w:color w:val="000000" w:themeColor="text1"/>
                <w:sz w:val="24"/>
                <w:szCs w:val="24"/>
              </w:rPr>
              <w:t>樣行為之處罰。）</w:t>
            </w:r>
          </w:p>
        </w:tc>
        <w:tc>
          <w:tcPr>
            <w:tcW w:w="1139" w:type="pct"/>
          </w:tcPr>
          <w:p w14:paraId="0A95EAC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345DC75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CB51AA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115.06.26</w:t>
            </w:r>
          </w:p>
          <w:p w14:paraId="73A7B7C5" w14:textId="1ACCBF3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（11-5-15）</w:t>
            </w:r>
          </w:p>
        </w:tc>
        <w:tc>
          <w:tcPr>
            <w:tcW w:w="928" w:type="pct"/>
          </w:tcPr>
          <w:p w14:paraId="04420172" w14:textId="5B437E4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33E3612" w14:textId="093AAD3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7FAF6C9" w14:textId="77777777" w:rsidTr="0086120E">
        <w:tc>
          <w:tcPr>
            <w:tcW w:w="356" w:type="pct"/>
          </w:tcPr>
          <w:p w14:paraId="781EF96B" w14:textId="60F7D70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51</w:t>
            </w:r>
          </w:p>
        </w:tc>
        <w:tc>
          <w:tcPr>
            <w:tcW w:w="1709" w:type="pct"/>
          </w:tcPr>
          <w:p w14:paraId="57538497" w14:textId="31E4D4D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7.中華民國刑法第三百十五條之二、第三百十九條之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及第三百十九條之二條文修正草案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修正重點：強化對於利用管理場</w:t>
            </w:r>
            <w:r w:rsidRPr="001B6E4D">
              <w:rPr>
                <w:rFonts w:hAnsi="標楷體" w:cs="Times New Roman"/>
                <w:color w:val="000000" w:themeColor="text1"/>
                <w:sz w:val="24"/>
                <w:szCs w:val="24"/>
              </w:rPr>
              <w:lastRenderedPageBreak/>
              <w:t>所機會從事偷拍、竊錄或相關侵害隱私行為之處罰。）</w:t>
            </w:r>
          </w:p>
        </w:tc>
        <w:tc>
          <w:tcPr>
            <w:tcW w:w="1139" w:type="pct"/>
          </w:tcPr>
          <w:p w14:paraId="67FC041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委員葉元之</w:t>
            </w:r>
          </w:p>
          <w:p w14:paraId="4A34ED7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6B87FB7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5E59B2CB" w14:textId="5AC8399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928" w:type="pct"/>
          </w:tcPr>
          <w:p w14:paraId="322CEC11" w14:textId="570F83C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069053F" w14:textId="54930AF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D69E817" w14:textId="77777777" w:rsidTr="0086120E">
        <w:tc>
          <w:tcPr>
            <w:tcW w:w="356" w:type="pct"/>
          </w:tcPr>
          <w:p w14:paraId="51DA6000" w14:textId="7F5EE74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52</w:t>
            </w:r>
          </w:p>
        </w:tc>
        <w:tc>
          <w:tcPr>
            <w:tcW w:w="1709" w:type="pct"/>
          </w:tcPr>
          <w:p w14:paraId="41A1C634" w14:textId="60D8951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中華民國刑法增訂第一百二十二條之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增訂重點：新增「影響力交易受賄罪」、「公務員斡旋罪」及「影響力交易行賄罪及向公務員斡旋行賄罪」。）</w:t>
            </w:r>
          </w:p>
        </w:tc>
        <w:tc>
          <w:tcPr>
            <w:tcW w:w="1139" w:type="pct"/>
          </w:tcPr>
          <w:p w14:paraId="5C1B16F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委員沈伯洋</w:t>
            </w:r>
          </w:p>
          <w:p w14:paraId="164BF2B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7AAA53A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113.04.19</w:t>
            </w:r>
          </w:p>
          <w:p w14:paraId="5B3317D9" w14:textId="7358285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（11-1-10）</w:t>
            </w:r>
          </w:p>
        </w:tc>
        <w:tc>
          <w:tcPr>
            <w:tcW w:w="928" w:type="pct"/>
          </w:tcPr>
          <w:p w14:paraId="5226D864" w14:textId="33F7780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7485822" w14:textId="603AF38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5D2C323" w14:textId="77777777" w:rsidTr="0086120E">
        <w:tc>
          <w:tcPr>
            <w:tcW w:w="356" w:type="pct"/>
          </w:tcPr>
          <w:p w14:paraId="12F9AF19" w14:textId="589741D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53</w:t>
            </w:r>
          </w:p>
        </w:tc>
        <w:tc>
          <w:tcPr>
            <w:tcW w:w="1709" w:type="pct"/>
          </w:tcPr>
          <w:p w14:paraId="0FBF0590" w14:textId="0E04C5B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1.中華民國刑法第一百三十七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修正重點：提高妨害考試罪相關刑責。）</w:t>
            </w:r>
          </w:p>
        </w:tc>
        <w:tc>
          <w:tcPr>
            <w:tcW w:w="1139" w:type="pct"/>
          </w:tcPr>
          <w:p w14:paraId="6C21C01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65D4359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19188A8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113.04.26</w:t>
            </w:r>
          </w:p>
          <w:p w14:paraId="37E46172" w14:textId="5D87C22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（11-1-11）</w:t>
            </w:r>
          </w:p>
        </w:tc>
        <w:tc>
          <w:tcPr>
            <w:tcW w:w="928" w:type="pct"/>
          </w:tcPr>
          <w:p w14:paraId="4F7B1E64" w14:textId="3E74711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149C336" w14:textId="0208FE2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CE3D7EB" w14:textId="77777777" w:rsidTr="0086120E">
        <w:tc>
          <w:tcPr>
            <w:tcW w:w="356" w:type="pct"/>
          </w:tcPr>
          <w:p w14:paraId="4194EB5C" w14:textId="0DB8637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54</w:t>
            </w:r>
          </w:p>
        </w:tc>
        <w:tc>
          <w:tcPr>
            <w:tcW w:w="1709" w:type="pct"/>
          </w:tcPr>
          <w:p w14:paraId="0915F381" w14:textId="37002B0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2.中華民國刑法第一百三十七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修正重點：將國營事業招考納入刑法妨害考試罪。）</w:t>
            </w:r>
          </w:p>
        </w:tc>
        <w:tc>
          <w:tcPr>
            <w:tcW w:w="1139" w:type="pct"/>
          </w:tcPr>
          <w:p w14:paraId="54C7B81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委員楊曜</w:t>
            </w:r>
          </w:p>
          <w:p w14:paraId="0CED58F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87BC29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114.11.14</w:t>
            </w:r>
          </w:p>
          <w:p w14:paraId="7E4F60B4" w14:textId="0EE41AA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（11-4-9）</w:t>
            </w:r>
          </w:p>
        </w:tc>
        <w:tc>
          <w:tcPr>
            <w:tcW w:w="928" w:type="pct"/>
          </w:tcPr>
          <w:p w14:paraId="463DC477" w14:textId="16A668C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AA6D26F" w14:textId="2EA38E3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1D900DA" w14:textId="77777777" w:rsidTr="0086120E">
        <w:tc>
          <w:tcPr>
            <w:tcW w:w="356" w:type="pct"/>
          </w:tcPr>
          <w:p w14:paraId="4BDF4C47" w14:textId="09994C2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55</w:t>
            </w:r>
          </w:p>
        </w:tc>
        <w:tc>
          <w:tcPr>
            <w:tcW w:w="1709" w:type="pct"/>
          </w:tcPr>
          <w:p w14:paraId="507E2E03" w14:textId="2A64B0B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修正第二十四章章名；刪除§288~290、292。修正重點：刪除對女性終止妊娠之懲罰性條文。）</w:t>
            </w:r>
          </w:p>
        </w:tc>
        <w:tc>
          <w:tcPr>
            <w:tcW w:w="1139" w:type="pct"/>
          </w:tcPr>
          <w:p w14:paraId="3AD2DDF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委員郭昱晴</w:t>
            </w:r>
          </w:p>
          <w:p w14:paraId="469A6DE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D77059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113.05.17</w:t>
            </w:r>
          </w:p>
          <w:p w14:paraId="53BC3E52" w14:textId="4A1E676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（11-1-14）</w:t>
            </w:r>
          </w:p>
        </w:tc>
        <w:tc>
          <w:tcPr>
            <w:tcW w:w="928" w:type="pct"/>
          </w:tcPr>
          <w:p w14:paraId="77AFBE88" w14:textId="3B13712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C2D5314" w14:textId="673BFF8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C28265B" w14:textId="77777777" w:rsidTr="0086120E">
        <w:tc>
          <w:tcPr>
            <w:tcW w:w="356" w:type="pct"/>
          </w:tcPr>
          <w:p w14:paraId="5D029C30" w14:textId="15C3A5A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56</w:t>
            </w:r>
          </w:p>
        </w:tc>
        <w:tc>
          <w:tcPr>
            <w:tcW w:w="1709" w:type="pct"/>
          </w:tcPr>
          <w:p w14:paraId="482EB3FB" w14:textId="336900C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修正第二十四章章名；刪除§288~290、292。修正重點：刪除處罰自願人工流產相關行為之條文。）</w:t>
            </w:r>
          </w:p>
        </w:tc>
        <w:tc>
          <w:tcPr>
            <w:tcW w:w="1139" w:type="pct"/>
          </w:tcPr>
          <w:p w14:paraId="2537340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委員吳沛憶</w:t>
            </w:r>
          </w:p>
          <w:p w14:paraId="51D3A19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3EEC29A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113.11.15</w:t>
            </w:r>
          </w:p>
          <w:p w14:paraId="6AF07C6D" w14:textId="0505C94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（11-2-9）</w:t>
            </w:r>
          </w:p>
        </w:tc>
        <w:tc>
          <w:tcPr>
            <w:tcW w:w="928" w:type="pct"/>
          </w:tcPr>
          <w:p w14:paraId="26E245DB" w14:textId="3C204DF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19E9788" w14:textId="6EC317C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37453A6" w14:textId="77777777" w:rsidTr="0086120E">
        <w:tc>
          <w:tcPr>
            <w:tcW w:w="356" w:type="pct"/>
          </w:tcPr>
          <w:p w14:paraId="3B5444C1" w14:textId="0BA96A0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57</w:t>
            </w:r>
          </w:p>
        </w:tc>
        <w:tc>
          <w:tcPr>
            <w:tcW w:w="1709" w:type="pct"/>
          </w:tcPr>
          <w:p w14:paraId="2ADE75D5" w14:textId="60AF2FB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修正第二十四章章名、§291；刪除§288~290、292。修正重點：修訂視終止懷孕為犯罪的法律。）</w:t>
            </w:r>
          </w:p>
        </w:tc>
        <w:tc>
          <w:tcPr>
            <w:tcW w:w="1139" w:type="pct"/>
          </w:tcPr>
          <w:p w14:paraId="1FF3485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w:t>
            </w:r>
            <w:proofErr w:type="gramStart"/>
            <w:r w:rsidRPr="001B6E4D">
              <w:rPr>
                <w:rFonts w:ascii="標楷體" w:eastAsia="標楷體" w:hAnsi="標楷體"/>
                <w:color w:val="000000" w:themeColor="text1"/>
                <w:sz w:val="24"/>
              </w:rPr>
              <w:t>范</w:t>
            </w:r>
            <w:proofErr w:type="gramEnd"/>
            <w:r w:rsidRPr="001B6E4D">
              <w:rPr>
                <w:rFonts w:ascii="標楷體" w:eastAsia="標楷體" w:hAnsi="標楷體"/>
                <w:color w:val="000000" w:themeColor="text1"/>
                <w:sz w:val="24"/>
              </w:rPr>
              <w:t>雲</w:t>
            </w:r>
          </w:p>
          <w:p w14:paraId="532B9D1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4B36EAA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113.11.15</w:t>
            </w:r>
          </w:p>
          <w:p w14:paraId="4EF8C59B" w14:textId="14D5CED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（11-2-9）</w:t>
            </w:r>
          </w:p>
        </w:tc>
        <w:tc>
          <w:tcPr>
            <w:tcW w:w="928" w:type="pct"/>
          </w:tcPr>
          <w:p w14:paraId="38C1AC0B" w14:textId="04B6FA1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8F1E893" w14:textId="3420F2A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70D9AE8" w14:textId="77777777" w:rsidTr="0086120E">
        <w:tc>
          <w:tcPr>
            <w:tcW w:w="356" w:type="pct"/>
          </w:tcPr>
          <w:p w14:paraId="50B9F812" w14:textId="57DB0DF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58</w:t>
            </w:r>
          </w:p>
        </w:tc>
        <w:tc>
          <w:tcPr>
            <w:tcW w:w="1709" w:type="pct"/>
          </w:tcPr>
          <w:p w14:paraId="096EB29E" w14:textId="501066B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修正§289、</w:t>
            </w:r>
            <w:r w:rsidRPr="001B6E4D">
              <w:rPr>
                <w:rFonts w:hAnsi="標楷體" w:cs="Times New Roman"/>
                <w:color w:val="000000" w:themeColor="text1"/>
                <w:sz w:val="24"/>
                <w:szCs w:val="24"/>
              </w:rPr>
              <w:lastRenderedPageBreak/>
              <w:t>290、292；刪除§288。修正重點：刪除處罰懷胎婦女墮胎之刑罰規定。）</w:t>
            </w:r>
          </w:p>
        </w:tc>
        <w:tc>
          <w:tcPr>
            <w:tcW w:w="1139" w:type="pct"/>
          </w:tcPr>
          <w:p w14:paraId="252A707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委員賴惠員</w:t>
            </w:r>
          </w:p>
          <w:p w14:paraId="682830F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68EB10A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114.06.13</w:t>
            </w:r>
          </w:p>
          <w:p w14:paraId="17CE40DF" w14:textId="1CEAB4D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（11-3-16）</w:t>
            </w:r>
          </w:p>
        </w:tc>
        <w:tc>
          <w:tcPr>
            <w:tcW w:w="928" w:type="pct"/>
          </w:tcPr>
          <w:p w14:paraId="5E9B7111" w14:textId="055B1A9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0C4D9303" w14:textId="2AA6621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0AE7940" w14:textId="77777777" w:rsidTr="0086120E">
        <w:tc>
          <w:tcPr>
            <w:tcW w:w="356" w:type="pct"/>
          </w:tcPr>
          <w:p w14:paraId="7FFC6E53" w14:textId="5FB1BE1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59</w:t>
            </w:r>
          </w:p>
        </w:tc>
        <w:tc>
          <w:tcPr>
            <w:tcW w:w="1709" w:type="pct"/>
          </w:tcPr>
          <w:p w14:paraId="12216143" w14:textId="0B35C95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中華民國刑法第一百八十五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修正重點：提高「損壞或壅塞道路」行為罰金金額。）</w:t>
            </w:r>
          </w:p>
        </w:tc>
        <w:tc>
          <w:tcPr>
            <w:tcW w:w="1139" w:type="pct"/>
          </w:tcPr>
          <w:p w14:paraId="6652ED6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166BAE5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113.06.14</w:t>
            </w:r>
          </w:p>
          <w:p w14:paraId="1F3A971B" w14:textId="3C0C127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（11-1-18）</w:t>
            </w:r>
          </w:p>
        </w:tc>
        <w:tc>
          <w:tcPr>
            <w:tcW w:w="928" w:type="pct"/>
          </w:tcPr>
          <w:p w14:paraId="25C39CFC" w14:textId="1097398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C6A2F89" w14:textId="3343B57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9DA7AC2" w14:textId="77777777" w:rsidTr="0086120E">
        <w:tc>
          <w:tcPr>
            <w:tcW w:w="356" w:type="pct"/>
          </w:tcPr>
          <w:p w14:paraId="706E8E53" w14:textId="375E560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60</w:t>
            </w:r>
          </w:p>
        </w:tc>
        <w:tc>
          <w:tcPr>
            <w:tcW w:w="1709" w:type="pct"/>
          </w:tcPr>
          <w:p w14:paraId="5C56EC94" w14:textId="340179E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1.中華民國刑法第二百十一條及第二百十二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修正重點：考量偽變造公文書具體情節顯著輕微之犯罪行為人，賦予法院量刑空間；刪除偽變造特種文書罪。）</w:t>
            </w:r>
          </w:p>
        </w:tc>
        <w:tc>
          <w:tcPr>
            <w:tcW w:w="1139" w:type="pct"/>
          </w:tcPr>
          <w:p w14:paraId="55C99B0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行政院、司法院</w:t>
            </w:r>
          </w:p>
          <w:p w14:paraId="324D0C5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115.04.24</w:t>
            </w:r>
          </w:p>
          <w:p w14:paraId="22FA0556" w14:textId="50DE892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w:t>
            </w:r>
          </w:p>
        </w:tc>
        <w:tc>
          <w:tcPr>
            <w:tcW w:w="928" w:type="pct"/>
          </w:tcPr>
          <w:p w14:paraId="6CAB7AAC" w14:textId="2BCE276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98E0ECD" w14:textId="51BF200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D82CC93" w14:textId="77777777" w:rsidTr="0086120E">
        <w:tc>
          <w:tcPr>
            <w:tcW w:w="356" w:type="pct"/>
          </w:tcPr>
          <w:p w14:paraId="3DA4255D" w14:textId="0330A29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61</w:t>
            </w:r>
          </w:p>
        </w:tc>
        <w:tc>
          <w:tcPr>
            <w:tcW w:w="1709" w:type="pct"/>
          </w:tcPr>
          <w:p w14:paraId="5D3A4629" w14:textId="79B7E10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2.中華民國刑法第二百十二條及第二百十六</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修正重點：針對偽造、變造汽車牌照及其行使、冒名行為加強刑罰。）</w:t>
            </w:r>
          </w:p>
        </w:tc>
        <w:tc>
          <w:tcPr>
            <w:tcW w:w="1139" w:type="pct"/>
          </w:tcPr>
          <w:p w14:paraId="0F91F6E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委員蔡其昌</w:t>
            </w:r>
          </w:p>
          <w:p w14:paraId="6DB9861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15AAEA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113.09.27</w:t>
            </w:r>
          </w:p>
          <w:p w14:paraId="4B361A26" w14:textId="0EE9EA7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（11-2-2）</w:t>
            </w:r>
          </w:p>
        </w:tc>
        <w:tc>
          <w:tcPr>
            <w:tcW w:w="928" w:type="pct"/>
          </w:tcPr>
          <w:p w14:paraId="7595FACB" w14:textId="2BB50C3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5C33988" w14:textId="1921698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F84902C" w14:textId="77777777" w:rsidTr="0086120E">
        <w:tc>
          <w:tcPr>
            <w:tcW w:w="356" w:type="pct"/>
          </w:tcPr>
          <w:p w14:paraId="1DEF301F" w14:textId="1725BBB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62</w:t>
            </w:r>
          </w:p>
        </w:tc>
        <w:tc>
          <w:tcPr>
            <w:tcW w:w="1709" w:type="pct"/>
          </w:tcPr>
          <w:p w14:paraId="7C15CD88" w14:textId="203DC6D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3.中華民國刑法第二百十二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修正重點：加重偽造汽車牌照刑罰。）</w:t>
            </w:r>
          </w:p>
        </w:tc>
        <w:tc>
          <w:tcPr>
            <w:tcW w:w="1139" w:type="pct"/>
          </w:tcPr>
          <w:p w14:paraId="4EBC6FF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委員鍾佳濱</w:t>
            </w:r>
          </w:p>
          <w:p w14:paraId="2E214DB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4EB0767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113.09.27</w:t>
            </w:r>
          </w:p>
          <w:p w14:paraId="64C6C744" w14:textId="62BEC55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（11-2-2）</w:t>
            </w:r>
          </w:p>
        </w:tc>
        <w:tc>
          <w:tcPr>
            <w:tcW w:w="928" w:type="pct"/>
          </w:tcPr>
          <w:p w14:paraId="38D75C49" w14:textId="52A8A24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8FC3B88" w14:textId="46C9325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3AA21BF" w14:textId="77777777" w:rsidTr="0086120E">
        <w:tc>
          <w:tcPr>
            <w:tcW w:w="356" w:type="pct"/>
          </w:tcPr>
          <w:p w14:paraId="5B9BB190" w14:textId="5F26F2C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63</w:t>
            </w:r>
          </w:p>
        </w:tc>
        <w:tc>
          <w:tcPr>
            <w:tcW w:w="1709" w:type="pct"/>
          </w:tcPr>
          <w:p w14:paraId="7EF7C962" w14:textId="5807121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4.中華民國刑法第二百十二條及第二百十四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修正重點：提高偽造特種文書</w:t>
            </w:r>
            <w:proofErr w:type="gramStart"/>
            <w:r w:rsidRPr="001B6E4D">
              <w:rPr>
                <w:rFonts w:hAnsi="標楷體" w:cs="Times New Roman"/>
                <w:color w:val="000000" w:themeColor="text1"/>
                <w:sz w:val="24"/>
                <w:szCs w:val="24"/>
              </w:rPr>
              <w:t>及致使</w:t>
            </w:r>
            <w:proofErr w:type="gramEnd"/>
            <w:r w:rsidRPr="001B6E4D">
              <w:rPr>
                <w:rFonts w:hAnsi="標楷體" w:cs="Times New Roman"/>
                <w:color w:val="000000" w:themeColor="text1"/>
                <w:sz w:val="24"/>
                <w:szCs w:val="24"/>
              </w:rPr>
              <w:t>公務員登載不實刑罰。）</w:t>
            </w:r>
          </w:p>
        </w:tc>
        <w:tc>
          <w:tcPr>
            <w:tcW w:w="1139" w:type="pct"/>
          </w:tcPr>
          <w:p w14:paraId="25FE3EB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委員黃健豪</w:t>
            </w:r>
          </w:p>
          <w:p w14:paraId="25B7C93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16AF36A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113.10.25</w:t>
            </w:r>
          </w:p>
          <w:p w14:paraId="00A0B9A7" w14:textId="5AD1295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（11-2-6）</w:t>
            </w:r>
          </w:p>
        </w:tc>
        <w:tc>
          <w:tcPr>
            <w:tcW w:w="928" w:type="pct"/>
          </w:tcPr>
          <w:p w14:paraId="30FEFCA2" w14:textId="210AF1A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12E98D6" w14:textId="7130062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481B58B" w14:textId="77777777" w:rsidTr="0086120E">
        <w:tc>
          <w:tcPr>
            <w:tcW w:w="356" w:type="pct"/>
          </w:tcPr>
          <w:p w14:paraId="20DD7002" w14:textId="7352634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64</w:t>
            </w:r>
          </w:p>
        </w:tc>
        <w:tc>
          <w:tcPr>
            <w:tcW w:w="1709" w:type="pct"/>
          </w:tcPr>
          <w:p w14:paraId="6A1ECB79" w14:textId="07057B2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修正§210~212、216。修正重點：加重偽變造公私文書罰則。）</w:t>
            </w:r>
          </w:p>
        </w:tc>
        <w:tc>
          <w:tcPr>
            <w:tcW w:w="1139" w:type="pct"/>
          </w:tcPr>
          <w:p w14:paraId="1A8BCCA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委員牛煦庭</w:t>
            </w:r>
          </w:p>
          <w:p w14:paraId="003803C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FF6D27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113.11.22</w:t>
            </w:r>
          </w:p>
          <w:p w14:paraId="3DCD566C" w14:textId="3AF44CB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（11-2-10）</w:t>
            </w:r>
          </w:p>
        </w:tc>
        <w:tc>
          <w:tcPr>
            <w:tcW w:w="928" w:type="pct"/>
          </w:tcPr>
          <w:p w14:paraId="09794F78" w14:textId="6C07D08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DEA6718" w14:textId="1D4366E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7A89B97" w14:textId="77777777" w:rsidTr="0086120E">
        <w:tc>
          <w:tcPr>
            <w:tcW w:w="356" w:type="pct"/>
          </w:tcPr>
          <w:p w14:paraId="2F1E8DAF" w14:textId="6B68899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65</w:t>
            </w:r>
          </w:p>
        </w:tc>
        <w:tc>
          <w:tcPr>
            <w:tcW w:w="1709" w:type="pct"/>
          </w:tcPr>
          <w:p w14:paraId="422E338A" w14:textId="72C733C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6.中華民國刑法第二百十二條及第二百十四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修正重點：提高偽造特種文書</w:t>
            </w:r>
            <w:proofErr w:type="gramStart"/>
            <w:r w:rsidRPr="001B6E4D">
              <w:rPr>
                <w:rFonts w:hAnsi="標楷體" w:cs="Times New Roman"/>
                <w:color w:val="000000" w:themeColor="text1"/>
                <w:sz w:val="24"/>
                <w:szCs w:val="24"/>
              </w:rPr>
              <w:t>及致使</w:t>
            </w:r>
            <w:proofErr w:type="gramEnd"/>
            <w:r w:rsidRPr="001B6E4D">
              <w:rPr>
                <w:rFonts w:hAnsi="標楷體" w:cs="Times New Roman"/>
                <w:color w:val="000000" w:themeColor="text1"/>
                <w:sz w:val="24"/>
                <w:szCs w:val="24"/>
              </w:rPr>
              <w:t>公</w:t>
            </w:r>
            <w:r w:rsidRPr="001B6E4D">
              <w:rPr>
                <w:rFonts w:hAnsi="標楷體" w:cs="Times New Roman"/>
                <w:color w:val="000000" w:themeColor="text1"/>
                <w:sz w:val="24"/>
                <w:szCs w:val="24"/>
              </w:rPr>
              <w:lastRenderedPageBreak/>
              <w:t>務員登載不實刑罰。）</w:t>
            </w:r>
          </w:p>
        </w:tc>
        <w:tc>
          <w:tcPr>
            <w:tcW w:w="1139" w:type="pct"/>
          </w:tcPr>
          <w:p w14:paraId="07D8772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委員邱若華</w:t>
            </w:r>
          </w:p>
          <w:p w14:paraId="1660C6D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19B85F7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113.11.29</w:t>
            </w:r>
          </w:p>
          <w:p w14:paraId="6288143B" w14:textId="51328D9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（11-2-11）</w:t>
            </w:r>
          </w:p>
        </w:tc>
        <w:tc>
          <w:tcPr>
            <w:tcW w:w="928" w:type="pct"/>
          </w:tcPr>
          <w:p w14:paraId="197D0276" w14:textId="12AE390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BD43956" w14:textId="2A6ECE7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4C6E61C" w14:textId="77777777" w:rsidTr="0086120E">
        <w:tc>
          <w:tcPr>
            <w:tcW w:w="356" w:type="pct"/>
          </w:tcPr>
          <w:p w14:paraId="2A65D9BB" w14:textId="3AEFF8F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66</w:t>
            </w:r>
          </w:p>
        </w:tc>
        <w:tc>
          <w:tcPr>
            <w:tcW w:w="1709" w:type="pct"/>
          </w:tcPr>
          <w:p w14:paraId="205EA7AA" w14:textId="633DDB4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7.中華民國刑法第二百十二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修正重點：提高偽造特種文書罰金。）</w:t>
            </w:r>
          </w:p>
        </w:tc>
        <w:tc>
          <w:tcPr>
            <w:tcW w:w="1139" w:type="pct"/>
          </w:tcPr>
          <w:p w14:paraId="452E622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委員王鴻薇</w:t>
            </w:r>
          </w:p>
          <w:p w14:paraId="1F77F94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58A3492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113.11.29</w:t>
            </w:r>
          </w:p>
          <w:p w14:paraId="2C2E54C6" w14:textId="0B3B0D2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（11-2-11）</w:t>
            </w:r>
          </w:p>
        </w:tc>
        <w:tc>
          <w:tcPr>
            <w:tcW w:w="928" w:type="pct"/>
          </w:tcPr>
          <w:p w14:paraId="0876FBB0" w14:textId="53BE62F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7A2348D" w14:textId="47E449C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40FD42E" w14:textId="77777777" w:rsidTr="0086120E">
        <w:tc>
          <w:tcPr>
            <w:tcW w:w="356" w:type="pct"/>
          </w:tcPr>
          <w:p w14:paraId="5D766E54" w14:textId="5633911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67</w:t>
            </w:r>
          </w:p>
        </w:tc>
        <w:tc>
          <w:tcPr>
            <w:tcW w:w="1709" w:type="pct"/>
          </w:tcPr>
          <w:p w14:paraId="23736229" w14:textId="3F46C9C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8.中華民國刑法第二百十一條及第二百十二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修正重點：偽變造公文書罪列入罰金規定；提高偽造特種文書罰金。）</w:t>
            </w:r>
          </w:p>
        </w:tc>
        <w:tc>
          <w:tcPr>
            <w:tcW w:w="1139" w:type="pct"/>
          </w:tcPr>
          <w:p w14:paraId="3F3A192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委員林思銘</w:t>
            </w:r>
          </w:p>
          <w:p w14:paraId="32E3073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4A97B47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113.11.29</w:t>
            </w:r>
          </w:p>
          <w:p w14:paraId="0D6A5F55" w14:textId="38F35F5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（11-2-11）</w:t>
            </w:r>
          </w:p>
        </w:tc>
        <w:tc>
          <w:tcPr>
            <w:tcW w:w="928" w:type="pct"/>
          </w:tcPr>
          <w:p w14:paraId="44D7E87D" w14:textId="1A31E4B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9FEEE7C" w14:textId="624E6BE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851C17F" w14:textId="77777777" w:rsidTr="0086120E">
        <w:tc>
          <w:tcPr>
            <w:tcW w:w="356" w:type="pct"/>
          </w:tcPr>
          <w:p w14:paraId="5E4BA6FA" w14:textId="6F38F27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68</w:t>
            </w:r>
          </w:p>
        </w:tc>
        <w:tc>
          <w:tcPr>
            <w:tcW w:w="1709" w:type="pct"/>
          </w:tcPr>
          <w:p w14:paraId="17519C7D" w14:textId="501303E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9.中華民國刑法第二百十二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修正重點：提高偽造特種文書罰金。）</w:t>
            </w:r>
          </w:p>
        </w:tc>
        <w:tc>
          <w:tcPr>
            <w:tcW w:w="1139" w:type="pct"/>
          </w:tcPr>
          <w:p w14:paraId="3FA91A2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委員楊瓊瓔</w:t>
            </w:r>
          </w:p>
          <w:p w14:paraId="555D47D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等29人</w:t>
            </w:r>
          </w:p>
          <w:p w14:paraId="7699349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113.12.06</w:t>
            </w:r>
          </w:p>
          <w:p w14:paraId="42346FF8" w14:textId="6E83042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（11-2-12）</w:t>
            </w:r>
          </w:p>
        </w:tc>
        <w:tc>
          <w:tcPr>
            <w:tcW w:w="928" w:type="pct"/>
          </w:tcPr>
          <w:p w14:paraId="70B85F2C" w14:textId="5C7084A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C281245" w14:textId="3E88B05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5A25018" w14:textId="77777777" w:rsidTr="0086120E">
        <w:tc>
          <w:tcPr>
            <w:tcW w:w="356" w:type="pct"/>
          </w:tcPr>
          <w:p w14:paraId="53791CA5" w14:textId="432E475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69</w:t>
            </w:r>
          </w:p>
        </w:tc>
        <w:tc>
          <w:tcPr>
            <w:tcW w:w="1709" w:type="pct"/>
          </w:tcPr>
          <w:p w14:paraId="684CDB47" w14:textId="103993A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10.中華民國刑法第二百十二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修正重點：提高偽造特種文書罰金。）</w:t>
            </w:r>
          </w:p>
        </w:tc>
        <w:tc>
          <w:tcPr>
            <w:tcW w:w="1139" w:type="pct"/>
          </w:tcPr>
          <w:p w14:paraId="1D04CAB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委員羅明才</w:t>
            </w:r>
          </w:p>
          <w:p w14:paraId="5BE1074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62E1D96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45BB197A" w14:textId="0D5D583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（11-2-16）</w:t>
            </w:r>
          </w:p>
        </w:tc>
        <w:tc>
          <w:tcPr>
            <w:tcW w:w="928" w:type="pct"/>
          </w:tcPr>
          <w:p w14:paraId="35CD2BB3" w14:textId="2D57CBA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B123C5C" w14:textId="13080C5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3A0ECC6" w14:textId="77777777" w:rsidTr="0086120E">
        <w:tc>
          <w:tcPr>
            <w:tcW w:w="356" w:type="pct"/>
          </w:tcPr>
          <w:p w14:paraId="5EE764CF" w14:textId="0BA7C47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70</w:t>
            </w:r>
          </w:p>
        </w:tc>
        <w:tc>
          <w:tcPr>
            <w:tcW w:w="1709" w:type="pct"/>
          </w:tcPr>
          <w:p w14:paraId="6E134CF6" w14:textId="3B9D004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11.中華民國刑法第二百十二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修正重點：針對偽造、變造汽車牌照以及假車牌媒合、販賣業者加強刑罰。）</w:t>
            </w:r>
          </w:p>
        </w:tc>
        <w:tc>
          <w:tcPr>
            <w:tcW w:w="1139" w:type="pct"/>
          </w:tcPr>
          <w:p w14:paraId="1D066EA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委員張宏陸</w:t>
            </w:r>
          </w:p>
          <w:p w14:paraId="1AD0AF5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52E3D4A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032FF569" w14:textId="0961028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（11-2-16）</w:t>
            </w:r>
          </w:p>
        </w:tc>
        <w:tc>
          <w:tcPr>
            <w:tcW w:w="928" w:type="pct"/>
          </w:tcPr>
          <w:p w14:paraId="61E664EE" w14:textId="52D36AB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EBAE99C" w14:textId="1686D9F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B3A9FC9" w14:textId="77777777" w:rsidTr="0086120E">
        <w:tc>
          <w:tcPr>
            <w:tcW w:w="356" w:type="pct"/>
          </w:tcPr>
          <w:p w14:paraId="0FA83F60" w14:textId="631E271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71</w:t>
            </w:r>
          </w:p>
        </w:tc>
        <w:tc>
          <w:tcPr>
            <w:tcW w:w="1709" w:type="pct"/>
          </w:tcPr>
          <w:p w14:paraId="4493F860" w14:textId="1627DBE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12.中華民國刑法第二百十二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修正重點：提高偽造文書之罰金金額上限。）</w:t>
            </w:r>
          </w:p>
        </w:tc>
        <w:tc>
          <w:tcPr>
            <w:tcW w:w="1139" w:type="pct"/>
          </w:tcPr>
          <w:p w14:paraId="67F0CFA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委員魯明哲</w:t>
            </w:r>
          </w:p>
          <w:p w14:paraId="1C5A5B4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516BD1E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114.05.23</w:t>
            </w:r>
          </w:p>
          <w:p w14:paraId="188B2761" w14:textId="3060B6C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（11-3-13）</w:t>
            </w:r>
          </w:p>
        </w:tc>
        <w:tc>
          <w:tcPr>
            <w:tcW w:w="928" w:type="pct"/>
          </w:tcPr>
          <w:p w14:paraId="2D727F8B" w14:textId="21D3D17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C93C007" w14:textId="6AC9D42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19F586C" w14:textId="77777777" w:rsidTr="0086120E">
        <w:tc>
          <w:tcPr>
            <w:tcW w:w="356" w:type="pct"/>
          </w:tcPr>
          <w:p w14:paraId="4310DAA7" w14:textId="1DA6686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72</w:t>
            </w:r>
          </w:p>
        </w:tc>
        <w:tc>
          <w:tcPr>
            <w:tcW w:w="1709" w:type="pct"/>
          </w:tcPr>
          <w:p w14:paraId="78A12396" w14:textId="58C128F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13.中華民國刑法第二百十二條及第二百十四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修正重點：提高偽造特種文書、致使公務員登載不實，足以生損害於公眾或他人者之刑罰。）</w:t>
            </w:r>
          </w:p>
        </w:tc>
        <w:tc>
          <w:tcPr>
            <w:tcW w:w="1139" w:type="pct"/>
          </w:tcPr>
          <w:p w14:paraId="6843518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委員張嘉郡</w:t>
            </w:r>
          </w:p>
          <w:p w14:paraId="799A7EB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36FBAC1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114.06.03</w:t>
            </w:r>
          </w:p>
          <w:p w14:paraId="6F535CBE" w14:textId="70069D9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（11-3-14）</w:t>
            </w:r>
          </w:p>
        </w:tc>
        <w:tc>
          <w:tcPr>
            <w:tcW w:w="928" w:type="pct"/>
          </w:tcPr>
          <w:p w14:paraId="6C19C66E" w14:textId="35D3AEE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3DE48E5" w14:textId="51C1AC3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D7F7BA9" w14:textId="77777777" w:rsidTr="0086120E">
        <w:tc>
          <w:tcPr>
            <w:tcW w:w="356" w:type="pct"/>
          </w:tcPr>
          <w:p w14:paraId="09102245" w14:textId="7D219BC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73</w:t>
            </w:r>
          </w:p>
        </w:tc>
        <w:tc>
          <w:tcPr>
            <w:tcW w:w="1709" w:type="pct"/>
          </w:tcPr>
          <w:p w14:paraId="4AFF6E6F" w14:textId="699FDC8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14.中華民國刑法第二百十一條及第二百十二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修正重點：考</w:t>
            </w:r>
            <w:r w:rsidRPr="001B6E4D">
              <w:rPr>
                <w:rFonts w:hAnsi="標楷體" w:cs="Times New Roman"/>
                <w:color w:val="000000" w:themeColor="text1"/>
                <w:sz w:val="24"/>
                <w:szCs w:val="24"/>
              </w:rPr>
              <w:lastRenderedPageBreak/>
              <w:t>量偽變造公</w:t>
            </w:r>
            <w:proofErr w:type="gramStart"/>
            <w:r w:rsidRPr="001B6E4D">
              <w:rPr>
                <w:rFonts w:hAnsi="標楷體" w:cs="Times New Roman"/>
                <w:color w:val="000000" w:themeColor="text1"/>
                <w:sz w:val="24"/>
                <w:szCs w:val="24"/>
              </w:rPr>
              <w:t>文書罪輕罪</w:t>
            </w:r>
            <w:proofErr w:type="gramEnd"/>
            <w:r w:rsidRPr="001B6E4D">
              <w:rPr>
                <w:rFonts w:hAnsi="標楷體" w:cs="Times New Roman"/>
                <w:color w:val="000000" w:themeColor="text1"/>
                <w:sz w:val="24"/>
                <w:szCs w:val="24"/>
              </w:rPr>
              <w:t>狀況，給予法院量刑空間；刪除偽變造特種文書罪。）</w:t>
            </w:r>
          </w:p>
        </w:tc>
        <w:tc>
          <w:tcPr>
            <w:tcW w:w="1139" w:type="pct"/>
          </w:tcPr>
          <w:p w14:paraId="103EAE3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委員林宜瑾</w:t>
            </w:r>
          </w:p>
          <w:p w14:paraId="4FAE398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69E1460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115.03.27</w:t>
            </w:r>
          </w:p>
          <w:p w14:paraId="66185DE2" w14:textId="0247986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（11-5-5）</w:t>
            </w:r>
          </w:p>
        </w:tc>
        <w:tc>
          <w:tcPr>
            <w:tcW w:w="928" w:type="pct"/>
          </w:tcPr>
          <w:p w14:paraId="4FD69D56" w14:textId="1DED582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775EDE34" w14:textId="11A8503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BF9DAE3" w14:textId="77777777" w:rsidTr="0086120E">
        <w:tc>
          <w:tcPr>
            <w:tcW w:w="356" w:type="pct"/>
          </w:tcPr>
          <w:p w14:paraId="6EB7C527" w14:textId="4281D08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74</w:t>
            </w:r>
          </w:p>
        </w:tc>
        <w:tc>
          <w:tcPr>
            <w:tcW w:w="1709" w:type="pct"/>
          </w:tcPr>
          <w:p w14:paraId="1B13634E" w14:textId="24F69B0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1.中華民國刑法第二百二十二條及第二百二十七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修正重點：落實對未滿七歲的被害人性自主權保障。）</w:t>
            </w:r>
          </w:p>
        </w:tc>
        <w:tc>
          <w:tcPr>
            <w:tcW w:w="1139" w:type="pct"/>
          </w:tcPr>
          <w:p w14:paraId="5639414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委員鍾佳濱</w:t>
            </w:r>
          </w:p>
          <w:p w14:paraId="6D8A757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73C86DC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113.09.27</w:t>
            </w:r>
          </w:p>
          <w:p w14:paraId="3BA709C6" w14:textId="6B2863B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（11-2-2）</w:t>
            </w:r>
          </w:p>
        </w:tc>
        <w:tc>
          <w:tcPr>
            <w:tcW w:w="928" w:type="pct"/>
          </w:tcPr>
          <w:p w14:paraId="122ED4C6" w14:textId="321691E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9A57803" w14:textId="372F661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8BD6541" w14:textId="77777777" w:rsidTr="0086120E">
        <w:tc>
          <w:tcPr>
            <w:tcW w:w="356" w:type="pct"/>
          </w:tcPr>
          <w:p w14:paraId="4B4F2176" w14:textId="55B0C1D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75</w:t>
            </w:r>
          </w:p>
        </w:tc>
        <w:tc>
          <w:tcPr>
            <w:tcW w:w="1709" w:type="pct"/>
          </w:tcPr>
          <w:p w14:paraId="35C39465" w14:textId="0DB7996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2.中華民國刑法第二百二十二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修正重點：補足14至未滿18歲遭受強制性交等重大侵害青少年的防護網。）</w:t>
            </w:r>
          </w:p>
        </w:tc>
        <w:tc>
          <w:tcPr>
            <w:tcW w:w="1139" w:type="pct"/>
          </w:tcPr>
          <w:p w14:paraId="1A08586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委員黃健豪</w:t>
            </w:r>
          </w:p>
          <w:p w14:paraId="4D35601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13B3E39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115.07.24</w:t>
            </w:r>
          </w:p>
          <w:p w14:paraId="4C052ECA" w14:textId="772EE92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（11-5-19）</w:t>
            </w:r>
          </w:p>
        </w:tc>
        <w:tc>
          <w:tcPr>
            <w:tcW w:w="928" w:type="pct"/>
          </w:tcPr>
          <w:p w14:paraId="7DE0E33B" w14:textId="4493941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77A4532" w14:textId="1C8656F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4D04265" w14:textId="77777777" w:rsidTr="0086120E">
        <w:tc>
          <w:tcPr>
            <w:tcW w:w="356" w:type="pct"/>
          </w:tcPr>
          <w:p w14:paraId="44E26380" w14:textId="0E0890E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76</w:t>
            </w:r>
          </w:p>
        </w:tc>
        <w:tc>
          <w:tcPr>
            <w:tcW w:w="1709" w:type="pct"/>
          </w:tcPr>
          <w:p w14:paraId="3C100D20" w14:textId="3D4EF09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增訂§33-1；修正§64、65、77。修正重點：賦予法院於宣告無期徒刑時，得宣告不得假釋。）</w:t>
            </w:r>
          </w:p>
        </w:tc>
        <w:tc>
          <w:tcPr>
            <w:tcW w:w="1139" w:type="pct"/>
          </w:tcPr>
          <w:p w14:paraId="618EC2C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3CD3B5D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113.10.11</w:t>
            </w:r>
          </w:p>
          <w:p w14:paraId="1B1A919F" w14:textId="20F3FFF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（11-2-4）</w:t>
            </w:r>
          </w:p>
        </w:tc>
        <w:tc>
          <w:tcPr>
            <w:tcW w:w="928" w:type="pct"/>
          </w:tcPr>
          <w:p w14:paraId="65515355" w14:textId="37DE6F2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81C810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388F09D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114.5.22舉行「回應民意，</w:t>
            </w:r>
            <w:proofErr w:type="gramStart"/>
            <w:r w:rsidRPr="001B6E4D">
              <w:rPr>
                <w:rFonts w:ascii="標楷體" w:eastAsia="標楷體" w:hAnsi="標楷體"/>
                <w:color w:val="000000" w:themeColor="text1"/>
                <w:sz w:val="24"/>
              </w:rPr>
              <w:t>虐</w:t>
            </w:r>
            <w:proofErr w:type="gramEnd"/>
            <w:r w:rsidRPr="001B6E4D">
              <w:rPr>
                <w:rFonts w:ascii="標楷體" w:eastAsia="標楷體" w:hAnsi="標楷體"/>
                <w:color w:val="000000" w:themeColor="text1"/>
                <w:sz w:val="24"/>
              </w:rPr>
              <w:t>童刑責法制總檢討」公聽會。</w:t>
            </w:r>
          </w:p>
          <w:p w14:paraId="62785EB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3ED6200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114.8.27</w:t>
            </w:r>
          </w:p>
          <w:p w14:paraId="7BF6C429" w14:textId="37981B1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436CA9D6" w14:textId="77777777" w:rsidTr="0086120E">
        <w:tc>
          <w:tcPr>
            <w:tcW w:w="356" w:type="pct"/>
          </w:tcPr>
          <w:p w14:paraId="048FECF2" w14:textId="171C7AC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77</w:t>
            </w:r>
          </w:p>
        </w:tc>
        <w:tc>
          <w:tcPr>
            <w:tcW w:w="1709" w:type="pct"/>
          </w:tcPr>
          <w:p w14:paraId="2081A1A2" w14:textId="0C80662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修正重點：未逾一年之羈押日數亦算入無期徒刑假釋之已執行期間。）</w:t>
            </w:r>
          </w:p>
        </w:tc>
        <w:tc>
          <w:tcPr>
            <w:tcW w:w="1139" w:type="pct"/>
          </w:tcPr>
          <w:p w14:paraId="7B9EBA6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委員陳秀</w:t>
            </w:r>
            <w:r w:rsidRPr="001B6E4D">
              <w:rPr>
                <w:rFonts w:ascii="標楷體" w:eastAsia="標楷體" w:hAnsi="標楷體" w:hint="eastAsia"/>
                <w:color w:val="000000" w:themeColor="text1"/>
                <w:sz w:val="24"/>
              </w:rPr>
              <w:t>寳</w:t>
            </w:r>
          </w:p>
          <w:p w14:paraId="136245C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21人</w:t>
            </w:r>
          </w:p>
          <w:p w14:paraId="3C1CCCD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113.10.18</w:t>
            </w:r>
          </w:p>
          <w:p w14:paraId="34FD9CE3" w14:textId="37EA7E1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11-2-5）</w:t>
            </w:r>
          </w:p>
        </w:tc>
        <w:tc>
          <w:tcPr>
            <w:tcW w:w="928" w:type="pct"/>
          </w:tcPr>
          <w:p w14:paraId="007887C3" w14:textId="60687C7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97AB03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42C7D0A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114.5.22舉行「回應民意，</w:t>
            </w:r>
            <w:proofErr w:type="gramStart"/>
            <w:r w:rsidRPr="001B6E4D">
              <w:rPr>
                <w:rFonts w:ascii="標楷體" w:eastAsia="標楷體" w:hAnsi="標楷體"/>
                <w:color w:val="000000" w:themeColor="text1"/>
                <w:sz w:val="24"/>
              </w:rPr>
              <w:t>虐</w:t>
            </w:r>
            <w:proofErr w:type="gramEnd"/>
            <w:r w:rsidRPr="001B6E4D">
              <w:rPr>
                <w:rFonts w:ascii="標楷體" w:eastAsia="標楷體" w:hAnsi="標楷體"/>
                <w:color w:val="000000" w:themeColor="text1"/>
                <w:sz w:val="24"/>
              </w:rPr>
              <w:t>童刑責法制總檢討」公聽會。</w:t>
            </w:r>
          </w:p>
          <w:p w14:paraId="069B7A5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15B245B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114.8.27</w:t>
            </w:r>
          </w:p>
          <w:p w14:paraId="2AFCE868" w14:textId="732A121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w:t>
            </w:r>
            <w:r w:rsidRPr="001B6E4D">
              <w:rPr>
                <w:rFonts w:ascii="標楷體" w:eastAsia="標楷體" w:hAnsi="標楷體"/>
                <w:color w:val="000000" w:themeColor="text1"/>
                <w:sz w:val="24"/>
              </w:rPr>
              <w:lastRenderedPageBreak/>
              <w:t>畢，另定期繼續審查。</w:t>
            </w:r>
          </w:p>
        </w:tc>
      </w:tr>
      <w:tr w:rsidR="00FC42F6" w:rsidRPr="001B6E4D" w14:paraId="7B01C028" w14:textId="77777777" w:rsidTr="0086120E">
        <w:tc>
          <w:tcPr>
            <w:tcW w:w="356" w:type="pct"/>
          </w:tcPr>
          <w:p w14:paraId="3ABC43BB" w14:textId="6AA4D7C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78</w:t>
            </w:r>
          </w:p>
        </w:tc>
        <w:tc>
          <w:tcPr>
            <w:tcW w:w="1709" w:type="pct"/>
          </w:tcPr>
          <w:p w14:paraId="637F3BF1" w14:textId="050E537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修正重點：無期徒刑或有期徒刑裁判確定前之羈押日數，</w:t>
            </w:r>
            <w:proofErr w:type="gramStart"/>
            <w:r w:rsidRPr="001B6E4D">
              <w:rPr>
                <w:rFonts w:hAnsi="標楷體" w:cs="Times New Roman"/>
                <w:color w:val="000000" w:themeColor="text1"/>
                <w:sz w:val="24"/>
                <w:szCs w:val="24"/>
              </w:rPr>
              <w:t>均算入</w:t>
            </w:r>
            <w:proofErr w:type="gramEnd"/>
            <w:r w:rsidRPr="001B6E4D">
              <w:rPr>
                <w:rFonts w:hAnsi="標楷體" w:cs="Times New Roman"/>
                <w:color w:val="000000" w:themeColor="text1"/>
                <w:sz w:val="24"/>
                <w:szCs w:val="24"/>
              </w:rPr>
              <w:t>第1項已執行之期間內。）</w:t>
            </w:r>
          </w:p>
        </w:tc>
        <w:tc>
          <w:tcPr>
            <w:tcW w:w="1139" w:type="pct"/>
          </w:tcPr>
          <w:p w14:paraId="571D47A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1953E15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41F8752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114.03.07</w:t>
            </w:r>
          </w:p>
          <w:p w14:paraId="7B379B74" w14:textId="73B291D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（11-3-4）</w:t>
            </w:r>
          </w:p>
        </w:tc>
        <w:tc>
          <w:tcPr>
            <w:tcW w:w="928" w:type="pct"/>
          </w:tcPr>
          <w:p w14:paraId="1F53BCCF" w14:textId="010A58B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D3B908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7123D5C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114.5.22舉行「回應民意，</w:t>
            </w:r>
            <w:proofErr w:type="gramStart"/>
            <w:r w:rsidRPr="001B6E4D">
              <w:rPr>
                <w:rFonts w:ascii="標楷體" w:eastAsia="標楷體" w:hAnsi="標楷體"/>
                <w:color w:val="000000" w:themeColor="text1"/>
                <w:sz w:val="24"/>
              </w:rPr>
              <w:t>虐</w:t>
            </w:r>
            <w:proofErr w:type="gramEnd"/>
            <w:r w:rsidRPr="001B6E4D">
              <w:rPr>
                <w:rFonts w:ascii="標楷體" w:eastAsia="標楷體" w:hAnsi="標楷體"/>
                <w:color w:val="000000" w:themeColor="text1"/>
                <w:sz w:val="24"/>
              </w:rPr>
              <w:t>童刑責法制總檢討」公聽會。</w:t>
            </w:r>
          </w:p>
          <w:p w14:paraId="06CDFCC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2766458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114.8.27</w:t>
            </w:r>
          </w:p>
          <w:p w14:paraId="6D2336FF" w14:textId="1985A4C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F1309B0" w14:textId="77777777" w:rsidTr="0086120E">
        <w:tc>
          <w:tcPr>
            <w:tcW w:w="356" w:type="pct"/>
          </w:tcPr>
          <w:p w14:paraId="0D35B18D" w14:textId="63D373B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79</w:t>
            </w:r>
          </w:p>
        </w:tc>
        <w:tc>
          <w:tcPr>
            <w:tcW w:w="1709" w:type="pct"/>
          </w:tcPr>
          <w:p w14:paraId="5FE91ACE" w14:textId="30CDA16D"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增訂§33-1；修正§64、65、77。修正重點：賦予法院在宣告無期徒刑時，得依個案情節，明確宣告不得假釋。）</w:t>
            </w:r>
          </w:p>
        </w:tc>
        <w:tc>
          <w:tcPr>
            <w:tcW w:w="1139" w:type="pct"/>
          </w:tcPr>
          <w:p w14:paraId="0A75113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委員許宇</w:t>
            </w:r>
            <w:proofErr w:type="gramStart"/>
            <w:r w:rsidRPr="001B6E4D">
              <w:rPr>
                <w:rFonts w:ascii="標楷體" w:eastAsia="標楷體" w:hAnsi="標楷體"/>
                <w:color w:val="000000" w:themeColor="text1"/>
                <w:sz w:val="24"/>
              </w:rPr>
              <w:t>甄</w:t>
            </w:r>
            <w:proofErr w:type="gramEnd"/>
          </w:p>
          <w:p w14:paraId="48212C7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3BB2A1E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114.05.09</w:t>
            </w:r>
          </w:p>
          <w:p w14:paraId="304A70E3" w14:textId="4EF9CCE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（11-3-11）</w:t>
            </w:r>
          </w:p>
        </w:tc>
        <w:tc>
          <w:tcPr>
            <w:tcW w:w="928" w:type="pct"/>
          </w:tcPr>
          <w:p w14:paraId="32D99054" w14:textId="1E32E55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EDF9EC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33DAFA6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114.5.22舉行「回應民意，</w:t>
            </w:r>
            <w:proofErr w:type="gramStart"/>
            <w:r w:rsidRPr="001B6E4D">
              <w:rPr>
                <w:rFonts w:ascii="標楷體" w:eastAsia="標楷體" w:hAnsi="標楷體"/>
                <w:color w:val="000000" w:themeColor="text1"/>
                <w:sz w:val="24"/>
              </w:rPr>
              <w:t>虐</w:t>
            </w:r>
            <w:proofErr w:type="gramEnd"/>
            <w:r w:rsidRPr="001B6E4D">
              <w:rPr>
                <w:rFonts w:ascii="標楷體" w:eastAsia="標楷體" w:hAnsi="標楷體"/>
                <w:color w:val="000000" w:themeColor="text1"/>
                <w:sz w:val="24"/>
              </w:rPr>
              <w:t>童刑責法制總檢討」公聽會。</w:t>
            </w:r>
          </w:p>
          <w:p w14:paraId="72C43D0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6D65C43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114.8.27</w:t>
            </w:r>
          </w:p>
          <w:p w14:paraId="1FE99558" w14:textId="7425D5F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01B483FA" w14:textId="77777777" w:rsidTr="0086120E">
        <w:tc>
          <w:tcPr>
            <w:tcW w:w="356" w:type="pct"/>
          </w:tcPr>
          <w:p w14:paraId="78679208" w14:textId="0EFABD1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80</w:t>
            </w:r>
          </w:p>
        </w:tc>
        <w:tc>
          <w:tcPr>
            <w:tcW w:w="1709" w:type="pct"/>
          </w:tcPr>
          <w:p w14:paraId="385A28BB" w14:textId="37AAC1A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修正重點：針對犯§286妨害幼童發育罪並受2年以上徒刑之宣告者，列為不適用有期徒刑假釋之情形。）</w:t>
            </w:r>
          </w:p>
        </w:tc>
        <w:tc>
          <w:tcPr>
            <w:tcW w:w="1139" w:type="pct"/>
          </w:tcPr>
          <w:p w14:paraId="6DAB46D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委員廖偉翔</w:t>
            </w:r>
          </w:p>
          <w:p w14:paraId="5EC9CCE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EC653E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114.06.03</w:t>
            </w:r>
          </w:p>
          <w:p w14:paraId="3A83B223" w14:textId="198E395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（11-3-14）</w:t>
            </w:r>
          </w:p>
        </w:tc>
        <w:tc>
          <w:tcPr>
            <w:tcW w:w="928" w:type="pct"/>
          </w:tcPr>
          <w:p w14:paraId="6955AC86" w14:textId="5A6E815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1D33A1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F69288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114.8.27</w:t>
            </w:r>
          </w:p>
          <w:p w14:paraId="6CA7F024" w14:textId="704398A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4D7399A2" w14:textId="77777777" w:rsidTr="0086120E">
        <w:tc>
          <w:tcPr>
            <w:tcW w:w="356" w:type="pct"/>
          </w:tcPr>
          <w:p w14:paraId="0537BAB5" w14:textId="10E2062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81</w:t>
            </w:r>
          </w:p>
        </w:tc>
        <w:tc>
          <w:tcPr>
            <w:tcW w:w="1709" w:type="pct"/>
          </w:tcPr>
          <w:p w14:paraId="46025DAA" w14:textId="22F6D27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修正重點：排除犯§286</w:t>
            </w:r>
            <w:proofErr w:type="gramStart"/>
            <w:r w:rsidRPr="001B6E4D">
              <w:rPr>
                <w:rFonts w:hAnsi="標楷體" w:cs="Times New Roman"/>
                <w:color w:val="000000" w:themeColor="text1"/>
                <w:sz w:val="24"/>
                <w:szCs w:val="24"/>
              </w:rPr>
              <w:t>虐童罪</w:t>
            </w:r>
            <w:proofErr w:type="gramEnd"/>
            <w:r w:rsidRPr="001B6E4D">
              <w:rPr>
                <w:rFonts w:hAnsi="標楷體" w:cs="Times New Roman"/>
                <w:color w:val="000000" w:themeColor="text1"/>
                <w:sz w:val="24"/>
                <w:szCs w:val="24"/>
              </w:rPr>
              <w:t>者適用假釋之規定。）</w:t>
            </w:r>
          </w:p>
        </w:tc>
        <w:tc>
          <w:tcPr>
            <w:tcW w:w="1139" w:type="pct"/>
          </w:tcPr>
          <w:p w14:paraId="40D2497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委員邱鎮軍</w:t>
            </w:r>
          </w:p>
          <w:p w14:paraId="5E58F26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1559598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114.06.03</w:t>
            </w:r>
          </w:p>
          <w:p w14:paraId="692EF51C" w14:textId="1FCB60C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（11-3-14）</w:t>
            </w:r>
          </w:p>
        </w:tc>
        <w:tc>
          <w:tcPr>
            <w:tcW w:w="928" w:type="pct"/>
          </w:tcPr>
          <w:p w14:paraId="497E285C" w14:textId="17FA182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73036B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FAF485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114.8.27</w:t>
            </w:r>
          </w:p>
          <w:p w14:paraId="34AC34D5" w14:textId="72763CB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w:t>
            </w:r>
            <w:r w:rsidRPr="001B6E4D">
              <w:rPr>
                <w:rFonts w:ascii="標楷體" w:eastAsia="標楷體" w:hAnsi="標楷體"/>
                <w:color w:val="000000" w:themeColor="text1"/>
                <w:sz w:val="24"/>
              </w:rPr>
              <w:lastRenderedPageBreak/>
              <w:t>畢，另定期繼續審查。</w:t>
            </w:r>
          </w:p>
        </w:tc>
      </w:tr>
      <w:tr w:rsidR="00FC42F6" w:rsidRPr="001B6E4D" w14:paraId="123E6967" w14:textId="77777777" w:rsidTr="0086120E">
        <w:tc>
          <w:tcPr>
            <w:tcW w:w="356" w:type="pct"/>
          </w:tcPr>
          <w:p w14:paraId="66D9B5EA" w14:textId="63EE7B1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82</w:t>
            </w:r>
          </w:p>
        </w:tc>
        <w:tc>
          <w:tcPr>
            <w:tcW w:w="1709" w:type="pct"/>
          </w:tcPr>
          <w:p w14:paraId="4924B896" w14:textId="4F34D39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修正重點：犯§286者不得假釋。）</w:t>
            </w:r>
          </w:p>
        </w:tc>
        <w:tc>
          <w:tcPr>
            <w:tcW w:w="1139" w:type="pct"/>
          </w:tcPr>
          <w:p w14:paraId="66F7B39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47B1E7D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0F174B1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114.06.27</w:t>
            </w:r>
          </w:p>
          <w:p w14:paraId="3ED7EE96" w14:textId="0BA7949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（11-3-18）</w:t>
            </w:r>
          </w:p>
        </w:tc>
        <w:tc>
          <w:tcPr>
            <w:tcW w:w="928" w:type="pct"/>
          </w:tcPr>
          <w:p w14:paraId="7CE8D6FE" w14:textId="1D087AF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E7E652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01FB6D3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114.8.27</w:t>
            </w:r>
          </w:p>
          <w:p w14:paraId="30E31236" w14:textId="259903E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309AF216" w14:textId="77777777" w:rsidTr="0086120E">
        <w:tc>
          <w:tcPr>
            <w:tcW w:w="356" w:type="pct"/>
          </w:tcPr>
          <w:p w14:paraId="7F5E4857" w14:textId="26E6D71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83</w:t>
            </w:r>
          </w:p>
        </w:tc>
        <w:tc>
          <w:tcPr>
            <w:tcW w:w="1709" w:type="pct"/>
          </w:tcPr>
          <w:p w14:paraId="5F0A2D16" w14:textId="588D74E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修正§33、51、64、65、77、79、79-1。修正重點：將無期徒刑分級；調整有期徒刑合併定應執行刑之上限。）</w:t>
            </w:r>
          </w:p>
        </w:tc>
        <w:tc>
          <w:tcPr>
            <w:tcW w:w="1139" w:type="pct"/>
          </w:tcPr>
          <w:p w14:paraId="3867DA0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委員吳宗憲</w:t>
            </w:r>
          </w:p>
          <w:p w14:paraId="0323829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04561BC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114.08.08</w:t>
            </w:r>
          </w:p>
          <w:p w14:paraId="397C4173" w14:textId="7675306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（11-3-24）</w:t>
            </w:r>
          </w:p>
        </w:tc>
        <w:tc>
          <w:tcPr>
            <w:tcW w:w="928" w:type="pct"/>
          </w:tcPr>
          <w:p w14:paraId="6EE79E88" w14:textId="655C068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157A55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A6F4FD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114.8.27</w:t>
            </w:r>
          </w:p>
          <w:p w14:paraId="60C99661" w14:textId="0B57361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7D4F2488" w14:textId="77777777" w:rsidTr="0086120E">
        <w:tc>
          <w:tcPr>
            <w:tcW w:w="356" w:type="pct"/>
          </w:tcPr>
          <w:p w14:paraId="43461095" w14:textId="6A3E6FC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84</w:t>
            </w:r>
          </w:p>
        </w:tc>
        <w:tc>
          <w:tcPr>
            <w:tcW w:w="1709" w:type="pct"/>
          </w:tcPr>
          <w:p w14:paraId="71F6EEC1" w14:textId="2B5ECD7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63-1、78-1~2；修正§77、79-1。修正重點：增訂於行為時有§19第2項之情形，或審判時有精神障礙或其他心智缺陷，致訴訟上自我辯護能力明顯不足者，不得科處死刑；增訂故意殺人、殺人未遂或犯§286第6或7項之罪，經判處無期徒刑或有期徒刑逾10年者，不適用關於假釋之規定；無期徒刑或有期徒刑裁判確定前之羈押日數，</w:t>
            </w:r>
            <w:proofErr w:type="gramStart"/>
            <w:r w:rsidRPr="001B6E4D">
              <w:rPr>
                <w:rFonts w:hAnsi="標楷體" w:cs="Times New Roman"/>
                <w:color w:val="000000" w:themeColor="text1"/>
                <w:sz w:val="24"/>
                <w:szCs w:val="24"/>
              </w:rPr>
              <w:t>均算入</w:t>
            </w:r>
            <w:proofErr w:type="gramEnd"/>
            <w:r w:rsidRPr="001B6E4D">
              <w:rPr>
                <w:rFonts w:hAnsi="標楷體" w:cs="Times New Roman"/>
                <w:color w:val="000000" w:themeColor="text1"/>
                <w:sz w:val="24"/>
                <w:szCs w:val="24"/>
              </w:rPr>
              <w:t>假釋之已執行之期間內；增訂無期徒刑、有期徒刑受刑人，於經依§78或其他法律規定撤銷假釋後，其執行殘餘刑期長短之認定、最低應執行期間之計算、接續執行他刑之方法及合併計算最低應執行期間等規定。）</w:t>
            </w:r>
          </w:p>
        </w:tc>
        <w:tc>
          <w:tcPr>
            <w:tcW w:w="1139" w:type="pct"/>
          </w:tcPr>
          <w:p w14:paraId="6D732CF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委員王義川</w:t>
            </w:r>
          </w:p>
          <w:p w14:paraId="7691670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432A939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114.11.28</w:t>
            </w:r>
          </w:p>
          <w:p w14:paraId="32E41027" w14:textId="536DFC0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（11-4-11）</w:t>
            </w:r>
          </w:p>
        </w:tc>
        <w:tc>
          <w:tcPr>
            <w:tcW w:w="928" w:type="pct"/>
          </w:tcPr>
          <w:p w14:paraId="724C75CA" w14:textId="3326BFA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28AAE57" w14:textId="59A9256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7E4E4C1" w14:textId="77777777" w:rsidTr="0086120E">
        <w:tc>
          <w:tcPr>
            <w:tcW w:w="356" w:type="pct"/>
          </w:tcPr>
          <w:p w14:paraId="603968F2" w14:textId="7BBED87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85</w:t>
            </w:r>
          </w:p>
        </w:tc>
        <w:tc>
          <w:tcPr>
            <w:tcW w:w="1709" w:type="pct"/>
          </w:tcPr>
          <w:p w14:paraId="157BE95A" w14:textId="63778BDD"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修正重點：增訂故意殺人、殺人未遂或犯§286經判處無期徒刑或有期徒刑逾10年者，或犯兒童及少年性剝削防制條例§31~40、44、45第2及3項之罪，不適用假釋之規定。）</w:t>
            </w:r>
          </w:p>
        </w:tc>
        <w:tc>
          <w:tcPr>
            <w:tcW w:w="1139" w:type="pct"/>
          </w:tcPr>
          <w:p w14:paraId="60AA8EC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委員陳亭</w:t>
            </w:r>
            <w:proofErr w:type="gramStart"/>
            <w:r w:rsidRPr="001B6E4D">
              <w:rPr>
                <w:rFonts w:ascii="標楷體" w:eastAsia="標楷體" w:hAnsi="標楷體"/>
                <w:color w:val="000000" w:themeColor="text1"/>
                <w:sz w:val="24"/>
              </w:rPr>
              <w:t>妃</w:t>
            </w:r>
            <w:proofErr w:type="gramEnd"/>
          </w:p>
          <w:p w14:paraId="0A347BF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A85003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114.11.28</w:t>
            </w:r>
          </w:p>
          <w:p w14:paraId="72B3E9F9" w14:textId="7B64E72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（11-4-11）</w:t>
            </w:r>
          </w:p>
        </w:tc>
        <w:tc>
          <w:tcPr>
            <w:tcW w:w="928" w:type="pct"/>
          </w:tcPr>
          <w:p w14:paraId="7B23F030" w14:textId="7DE3735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576C15D" w14:textId="3EE694F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23AF8EB" w14:textId="77777777" w:rsidTr="0086120E">
        <w:tc>
          <w:tcPr>
            <w:tcW w:w="356" w:type="pct"/>
          </w:tcPr>
          <w:p w14:paraId="13287D08" w14:textId="6138DB8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86</w:t>
            </w:r>
          </w:p>
        </w:tc>
        <w:tc>
          <w:tcPr>
            <w:tcW w:w="1709" w:type="pct"/>
          </w:tcPr>
          <w:p w14:paraId="1351693C" w14:textId="7D22C84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修正重點：故意殺人、兒</w:t>
            </w:r>
            <w:proofErr w:type="gramStart"/>
            <w:r w:rsidRPr="001B6E4D">
              <w:rPr>
                <w:rFonts w:hAnsi="標楷體" w:cs="Times New Roman"/>
                <w:color w:val="000000" w:themeColor="text1"/>
                <w:sz w:val="24"/>
                <w:szCs w:val="24"/>
              </w:rPr>
              <w:t>虐</w:t>
            </w:r>
            <w:proofErr w:type="gramEnd"/>
            <w:r w:rsidRPr="001B6E4D">
              <w:rPr>
                <w:rFonts w:hAnsi="標楷體" w:cs="Times New Roman"/>
                <w:color w:val="000000" w:themeColor="text1"/>
                <w:sz w:val="24"/>
                <w:szCs w:val="24"/>
              </w:rPr>
              <w:t>致死及致重傷等惡性重大案件，相關重刑犯不適用假釋規定。）</w:t>
            </w:r>
          </w:p>
        </w:tc>
        <w:tc>
          <w:tcPr>
            <w:tcW w:w="1139" w:type="pct"/>
          </w:tcPr>
          <w:p w14:paraId="7D6D3B7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委員王鴻薇</w:t>
            </w:r>
          </w:p>
          <w:p w14:paraId="628EC84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1AA61E7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114.12.19</w:t>
            </w:r>
          </w:p>
          <w:p w14:paraId="58A8CA02" w14:textId="71EA95F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（11-4-14）</w:t>
            </w:r>
          </w:p>
        </w:tc>
        <w:tc>
          <w:tcPr>
            <w:tcW w:w="928" w:type="pct"/>
          </w:tcPr>
          <w:p w14:paraId="5E5A9574" w14:textId="08BA746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4245E1A" w14:textId="0AD916D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BF5CBD0" w14:textId="77777777" w:rsidTr="0086120E">
        <w:tc>
          <w:tcPr>
            <w:tcW w:w="356" w:type="pct"/>
          </w:tcPr>
          <w:p w14:paraId="7B6C114E" w14:textId="72F1205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87</w:t>
            </w:r>
          </w:p>
        </w:tc>
        <w:tc>
          <w:tcPr>
            <w:tcW w:w="1709" w:type="pct"/>
          </w:tcPr>
          <w:p w14:paraId="7BE0D78A" w14:textId="4D01479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12.中華民國刑法第七十七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修正重點：故意殺人、殺人未遂、犯§286第6或7項之罪，及其他犯最重本刑為死刑、無期徒刑或10年以上有期徒刑之罪情節重大者，經判處無期徒刑或有期徒刑逾10年者，法院得同時宣告不得假釋。）</w:t>
            </w:r>
          </w:p>
        </w:tc>
        <w:tc>
          <w:tcPr>
            <w:tcW w:w="1139" w:type="pct"/>
          </w:tcPr>
          <w:p w14:paraId="7E863DE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委員洪孟楷</w:t>
            </w:r>
          </w:p>
          <w:p w14:paraId="7F019C7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7BDD2BA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114.12.19</w:t>
            </w:r>
          </w:p>
          <w:p w14:paraId="019DFECF" w14:textId="6EE12B3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（11-4-14）</w:t>
            </w:r>
          </w:p>
        </w:tc>
        <w:tc>
          <w:tcPr>
            <w:tcW w:w="928" w:type="pct"/>
          </w:tcPr>
          <w:p w14:paraId="25450EB6" w14:textId="1CA8914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55228D8" w14:textId="23C4A9A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16AB120" w14:textId="77777777" w:rsidTr="0086120E">
        <w:tc>
          <w:tcPr>
            <w:tcW w:w="356" w:type="pct"/>
          </w:tcPr>
          <w:p w14:paraId="3F98A48F" w14:textId="02B2983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88</w:t>
            </w:r>
          </w:p>
        </w:tc>
        <w:tc>
          <w:tcPr>
            <w:tcW w:w="1709" w:type="pct"/>
          </w:tcPr>
          <w:p w14:paraId="5DEDCC0D" w14:textId="0CE07AE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13.中華民國刑法部分條文修正草案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修正§77、79-1；增訂§78-1~2。修正重點：增訂故意殺人、殺人未遂或犯§286第6或7項之罪，經判處無期徒刑或有期徒刑逾10年者，不適用關於假釋之規定；無期徒刑或有期徒刑裁判確定前之羈押日數，</w:t>
            </w:r>
            <w:proofErr w:type="gramStart"/>
            <w:r w:rsidRPr="001B6E4D">
              <w:rPr>
                <w:rFonts w:hAnsi="標楷體" w:cs="Times New Roman"/>
                <w:color w:val="000000" w:themeColor="text1"/>
                <w:sz w:val="24"/>
                <w:szCs w:val="24"/>
              </w:rPr>
              <w:t>均算入</w:t>
            </w:r>
            <w:proofErr w:type="gramEnd"/>
            <w:r w:rsidRPr="001B6E4D">
              <w:rPr>
                <w:rFonts w:hAnsi="標楷體" w:cs="Times New Roman"/>
                <w:color w:val="000000" w:themeColor="text1"/>
                <w:sz w:val="24"/>
                <w:szCs w:val="24"/>
              </w:rPr>
              <w:t>假釋之已執行之期間內；增訂無期徒刑、有期徒刑受刑人，於經依§78或其他法</w:t>
            </w:r>
            <w:r w:rsidRPr="001B6E4D">
              <w:rPr>
                <w:rFonts w:hAnsi="標楷體" w:cs="Times New Roman"/>
                <w:color w:val="000000" w:themeColor="text1"/>
                <w:sz w:val="24"/>
                <w:szCs w:val="24"/>
              </w:rPr>
              <w:lastRenderedPageBreak/>
              <w:t>律規定撤銷假釋後，其執行殘餘刑期長短之認定、最低應執行期間之計算、接續執行他刑之方法及合併計算最低應執行期間等規定。）</w:t>
            </w:r>
          </w:p>
        </w:tc>
        <w:tc>
          <w:tcPr>
            <w:tcW w:w="1139" w:type="pct"/>
          </w:tcPr>
          <w:p w14:paraId="4A5409C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委員邱鎮軍</w:t>
            </w:r>
          </w:p>
          <w:p w14:paraId="1508F43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138E77D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115.01.02</w:t>
            </w:r>
          </w:p>
          <w:p w14:paraId="6142591F" w14:textId="5B97547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（11-4-16）</w:t>
            </w:r>
          </w:p>
        </w:tc>
        <w:tc>
          <w:tcPr>
            <w:tcW w:w="928" w:type="pct"/>
          </w:tcPr>
          <w:p w14:paraId="4961E4A9" w14:textId="6BB2037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B8DFE89" w14:textId="1A7ACAA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4C18C6D" w14:textId="77777777" w:rsidTr="0086120E">
        <w:tc>
          <w:tcPr>
            <w:tcW w:w="356" w:type="pct"/>
          </w:tcPr>
          <w:p w14:paraId="1519ECEC" w14:textId="65282BB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89</w:t>
            </w:r>
          </w:p>
        </w:tc>
        <w:tc>
          <w:tcPr>
            <w:tcW w:w="1709" w:type="pct"/>
          </w:tcPr>
          <w:p w14:paraId="1EA2DA7A" w14:textId="04939EE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14.中華民國刑法第七十七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修正重點：故意殺人、殺人未遂及兒</w:t>
            </w:r>
            <w:proofErr w:type="gramStart"/>
            <w:r w:rsidRPr="001B6E4D">
              <w:rPr>
                <w:rFonts w:hAnsi="標楷體" w:cs="Times New Roman"/>
                <w:color w:val="000000" w:themeColor="text1"/>
                <w:sz w:val="24"/>
                <w:szCs w:val="24"/>
              </w:rPr>
              <w:t>虐</w:t>
            </w:r>
            <w:proofErr w:type="gramEnd"/>
            <w:r w:rsidRPr="001B6E4D">
              <w:rPr>
                <w:rFonts w:hAnsi="標楷體" w:cs="Times New Roman"/>
                <w:color w:val="000000" w:themeColor="text1"/>
                <w:sz w:val="24"/>
                <w:szCs w:val="24"/>
              </w:rPr>
              <w:t>致死之罪，經判處無期徒刑或有期徒刑逾10年者，不適用假釋規定。）</w:t>
            </w:r>
          </w:p>
        </w:tc>
        <w:tc>
          <w:tcPr>
            <w:tcW w:w="1139" w:type="pct"/>
          </w:tcPr>
          <w:p w14:paraId="6B03F7E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委員徐巧芯</w:t>
            </w:r>
          </w:p>
          <w:p w14:paraId="124B4FA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6E3AE28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115.01.16</w:t>
            </w:r>
          </w:p>
          <w:p w14:paraId="0AC37A2D" w14:textId="6411255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（11-4-18）</w:t>
            </w:r>
          </w:p>
        </w:tc>
        <w:tc>
          <w:tcPr>
            <w:tcW w:w="928" w:type="pct"/>
          </w:tcPr>
          <w:p w14:paraId="0832BA50" w14:textId="469EAE3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D2237C0" w14:textId="6FADB6C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7BE5E15" w14:textId="77777777" w:rsidTr="0086120E">
        <w:tc>
          <w:tcPr>
            <w:tcW w:w="356" w:type="pct"/>
          </w:tcPr>
          <w:p w14:paraId="50351CF8" w14:textId="33CC31F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90</w:t>
            </w:r>
          </w:p>
        </w:tc>
        <w:tc>
          <w:tcPr>
            <w:tcW w:w="1709" w:type="pct"/>
          </w:tcPr>
          <w:p w14:paraId="20A53B19" w14:textId="6707878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15.中華民國刑法第七十七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修正重點：故意殺人及兒</w:t>
            </w:r>
            <w:proofErr w:type="gramStart"/>
            <w:r w:rsidRPr="001B6E4D">
              <w:rPr>
                <w:rFonts w:hAnsi="標楷體" w:cs="Times New Roman"/>
                <w:color w:val="000000" w:themeColor="text1"/>
                <w:sz w:val="24"/>
                <w:szCs w:val="24"/>
              </w:rPr>
              <w:t>虐</w:t>
            </w:r>
            <w:proofErr w:type="gramEnd"/>
            <w:r w:rsidRPr="001B6E4D">
              <w:rPr>
                <w:rFonts w:hAnsi="標楷體" w:cs="Times New Roman"/>
                <w:color w:val="000000" w:themeColor="text1"/>
                <w:sz w:val="24"/>
                <w:szCs w:val="24"/>
              </w:rPr>
              <w:t>致死及致重傷等惡性重大案件，經法院判處重刑者，不得假釋。）</w:t>
            </w:r>
          </w:p>
        </w:tc>
        <w:tc>
          <w:tcPr>
            <w:tcW w:w="1139" w:type="pct"/>
          </w:tcPr>
          <w:p w14:paraId="3B9A0B9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委員羅廷</w:t>
            </w:r>
            <w:proofErr w:type="gramStart"/>
            <w:r w:rsidRPr="001B6E4D">
              <w:rPr>
                <w:rFonts w:ascii="標楷體" w:eastAsia="標楷體" w:hAnsi="標楷體"/>
                <w:color w:val="000000" w:themeColor="text1"/>
                <w:sz w:val="24"/>
              </w:rPr>
              <w:t>瑋</w:t>
            </w:r>
            <w:proofErr w:type="gramEnd"/>
          </w:p>
          <w:p w14:paraId="1FBB595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15EAB3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115.01.23</w:t>
            </w:r>
          </w:p>
          <w:p w14:paraId="284191A2" w14:textId="57DAD2D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（11-4-19）</w:t>
            </w:r>
          </w:p>
        </w:tc>
        <w:tc>
          <w:tcPr>
            <w:tcW w:w="928" w:type="pct"/>
          </w:tcPr>
          <w:p w14:paraId="767CB38A" w14:textId="0630B77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9009E1C" w14:textId="79C4A39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5E3F1B5" w14:textId="77777777" w:rsidTr="0086120E">
        <w:tc>
          <w:tcPr>
            <w:tcW w:w="356" w:type="pct"/>
          </w:tcPr>
          <w:p w14:paraId="7D2C1129" w14:textId="32793D3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91</w:t>
            </w:r>
          </w:p>
        </w:tc>
        <w:tc>
          <w:tcPr>
            <w:tcW w:w="1709" w:type="pct"/>
          </w:tcPr>
          <w:p w14:paraId="1E9B4151" w14:textId="45F31A4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16.中華民國刑法第十八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修正重點：明定排除特定重大暴力犯罪之少年減刑適用，與少年事件處理法§81重大案件假釋限制規定相互配套。）</w:t>
            </w:r>
          </w:p>
        </w:tc>
        <w:tc>
          <w:tcPr>
            <w:tcW w:w="1139" w:type="pct"/>
          </w:tcPr>
          <w:p w14:paraId="3F0180D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委員洪孟楷</w:t>
            </w:r>
          </w:p>
          <w:p w14:paraId="37B8CCF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479CDCA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115.03.06</w:t>
            </w:r>
          </w:p>
          <w:p w14:paraId="795A41A7" w14:textId="67CABFB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（11-5-2）</w:t>
            </w:r>
          </w:p>
        </w:tc>
        <w:tc>
          <w:tcPr>
            <w:tcW w:w="928" w:type="pct"/>
          </w:tcPr>
          <w:p w14:paraId="16959E7A" w14:textId="2F12C20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4ED7D13" w14:textId="1A07629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B43E9F2" w14:textId="77777777" w:rsidTr="0086120E">
        <w:tc>
          <w:tcPr>
            <w:tcW w:w="356" w:type="pct"/>
          </w:tcPr>
          <w:p w14:paraId="34BC8240" w14:textId="3D5AF62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92</w:t>
            </w:r>
          </w:p>
        </w:tc>
        <w:tc>
          <w:tcPr>
            <w:tcW w:w="1709" w:type="pct"/>
          </w:tcPr>
          <w:p w14:paraId="3EDD8E64" w14:textId="3CEA262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17.中華民國刑法第十八條及第七十七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修正重點：明定少年重大犯罪不得減輕其刑；提高假釋門檻。）</w:t>
            </w:r>
          </w:p>
        </w:tc>
        <w:tc>
          <w:tcPr>
            <w:tcW w:w="1139" w:type="pct"/>
          </w:tcPr>
          <w:p w14:paraId="2C30670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57EC3C2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CCC4CC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115.03.13</w:t>
            </w:r>
          </w:p>
          <w:p w14:paraId="4EE10739" w14:textId="64AA595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（11-5-3）</w:t>
            </w:r>
          </w:p>
        </w:tc>
        <w:tc>
          <w:tcPr>
            <w:tcW w:w="928" w:type="pct"/>
          </w:tcPr>
          <w:p w14:paraId="29DF0401" w14:textId="25696C6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BA95C39" w14:textId="0C233F3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9DBD9CC" w14:textId="77777777" w:rsidTr="0086120E">
        <w:tc>
          <w:tcPr>
            <w:tcW w:w="356" w:type="pct"/>
          </w:tcPr>
          <w:p w14:paraId="5772D0D7" w14:textId="04AAA74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93</w:t>
            </w:r>
          </w:p>
        </w:tc>
        <w:tc>
          <w:tcPr>
            <w:tcW w:w="1709" w:type="pct"/>
          </w:tcPr>
          <w:p w14:paraId="6AC29F78" w14:textId="47AD8A3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18.中華民國刑法第七十七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修正重點：犯故意殺人、殺人未遂或凌</w:t>
            </w:r>
            <w:proofErr w:type="gramStart"/>
            <w:r w:rsidRPr="001B6E4D">
              <w:rPr>
                <w:rFonts w:hAnsi="標楷體" w:cs="Times New Roman"/>
                <w:color w:val="000000" w:themeColor="text1"/>
                <w:sz w:val="24"/>
                <w:szCs w:val="24"/>
              </w:rPr>
              <w:t>虐</w:t>
            </w:r>
            <w:proofErr w:type="gramEnd"/>
            <w:r w:rsidRPr="001B6E4D">
              <w:rPr>
                <w:rFonts w:hAnsi="標楷體" w:cs="Times New Roman"/>
                <w:color w:val="000000" w:themeColor="text1"/>
                <w:sz w:val="24"/>
                <w:szCs w:val="24"/>
              </w:rPr>
              <w:t>或妨害未成年人身心發展罪，經判處無期徒刑或有期徒刑逾10年者，不得假釋。）</w:t>
            </w:r>
          </w:p>
        </w:tc>
        <w:tc>
          <w:tcPr>
            <w:tcW w:w="1139" w:type="pct"/>
          </w:tcPr>
          <w:p w14:paraId="6E54CB1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46011B0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等26人</w:t>
            </w:r>
          </w:p>
          <w:p w14:paraId="3376F9B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115.03.13</w:t>
            </w:r>
          </w:p>
          <w:p w14:paraId="24E72018" w14:textId="7656CC5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（11-5-3）</w:t>
            </w:r>
          </w:p>
        </w:tc>
        <w:tc>
          <w:tcPr>
            <w:tcW w:w="928" w:type="pct"/>
          </w:tcPr>
          <w:p w14:paraId="51C6FA21" w14:textId="6CD70F8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976B3C8" w14:textId="34A97D3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C5FF8F5" w14:textId="77777777" w:rsidTr="0086120E">
        <w:tc>
          <w:tcPr>
            <w:tcW w:w="356" w:type="pct"/>
          </w:tcPr>
          <w:p w14:paraId="423F2E4B" w14:textId="77B1E7C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94</w:t>
            </w:r>
          </w:p>
        </w:tc>
        <w:tc>
          <w:tcPr>
            <w:tcW w:w="1709" w:type="pct"/>
          </w:tcPr>
          <w:p w14:paraId="0CDFBC28" w14:textId="7AA161A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19.中華民國刑法第七十七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修正重點：法院於判決時，得針對犯罪情節極端重大者宣告不得假釋。）</w:t>
            </w:r>
          </w:p>
        </w:tc>
        <w:tc>
          <w:tcPr>
            <w:tcW w:w="1139" w:type="pct"/>
          </w:tcPr>
          <w:p w14:paraId="0E4DE87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委員柯志恩</w:t>
            </w:r>
          </w:p>
          <w:p w14:paraId="5DDC009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5C0F4EC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115.03.20</w:t>
            </w:r>
          </w:p>
          <w:p w14:paraId="12535624" w14:textId="524E5C1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（11-5-4）</w:t>
            </w:r>
          </w:p>
        </w:tc>
        <w:tc>
          <w:tcPr>
            <w:tcW w:w="928" w:type="pct"/>
          </w:tcPr>
          <w:p w14:paraId="221C5369" w14:textId="265C1A4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3B89CB1" w14:textId="52B21C9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6D71EC5" w14:textId="77777777" w:rsidTr="0086120E">
        <w:tc>
          <w:tcPr>
            <w:tcW w:w="356" w:type="pct"/>
          </w:tcPr>
          <w:p w14:paraId="18DEB3DC" w14:textId="3730571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95</w:t>
            </w:r>
          </w:p>
        </w:tc>
        <w:tc>
          <w:tcPr>
            <w:tcW w:w="1709" w:type="pct"/>
          </w:tcPr>
          <w:p w14:paraId="32A6C521" w14:textId="2A8ADF0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20.中華民國刑法第十八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修正重點：針對犯特定重罪之少年，取消其法定減刑之適用。）</w:t>
            </w:r>
          </w:p>
        </w:tc>
        <w:tc>
          <w:tcPr>
            <w:tcW w:w="1139" w:type="pct"/>
          </w:tcPr>
          <w:p w14:paraId="24BD012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委員萬美玲</w:t>
            </w:r>
          </w:p>
          <w:p w14:paraId="01E2464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等26人</w:t>
            </w:r>
          </w:p>
          <w:p w14:paraId="60AFF1F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07E91BCA" w14:textId="58E212C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28" w:type="pct"/>
          </w:tcPr>
          <w:p w14:paraId="14DBCE9B" w14:textId="4E4BB3F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F91C8F4" w14:textId="31783FA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9B9CA98" w14:textId="77777777" w:rsidTr="0086120E">
        <w:tc>
          <w:tcPr>
            <w:tcW w:w="356" w:type="pct"/>
          </w:tcPr>
          <w:p w14:paraId="25C43526" w14:textId="5E0297C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96</w:t>
            </w:r>
          </w:p>
        </w:tc>
        <w:tc>
          <w:tcPr>
            <w:tcW w:w="1709" w:type="pct"/>
          </w:tcPr>
          <w:p w14:paraId="7337B484" w14:textId="139D4E9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21.中華民國刑法第七十七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修正重點：調整特定犯罪類型受刑人假釋制度。）</w:t>
            </w:r>
          </w:p>
        </w:tc>
        <w:tc>
          <w:tcPr>
            <w:tcW w:w="1139" w:type="pct"/>
          </w:tcPr>
          <w:p w14:paraId="6ADC517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委員萬美玲</w:t>
            </w:r>
          </w:p>
          <w:p w14:paraId="212E658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0BF8B18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2D09DF97" w14:textId="5EC01DB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28" w:type="pct"/>
          </w:tcPr>
          <w:p w14:paraId="6ED36DF5" w14:textId="62893D3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02E427F" w14:textId="4152404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A2AFEAD" w14:textId="77777777" w:rsidTr="0086120E">
        <w:tc>
          <w:tcPr>
            <w:tcW w:w="356" w:type="pct"/>
          </w:tcPr>
          <w:p w14:paraId="779DF57E" w14:textId="32AAFA8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97</w:t>
            </w:r>
          </w:p>
        </w:tc>
        <w:tc>
          <w:tcPr>
            <w:tcW w:w="1709" w:type="pct"/>
          </w:tcPr>
          <w:p w14:paraId="01DFDF88" w14:textId="7A4E6AB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22.中華民國刑法第三十三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修正重點：將主刑有期徒刑15年之刑期上修至20年。）</w:t>
            </w:r>
          </w:p>
        </w:tc>
        <w:tc>
          <w:tcPr>
            <w:tcW w:w="1139" w:type="pct"/>
          </w:tcPr>
          <w:p w14:paraId="7314990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委員劉建國</w:t>
            </w:r>
          </w:p>
          <w:p w14:paraId="783E954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3F19D7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115.04.24</w:t>
            </w:r>
          </w:p>
          <w:p w14:paraId="5E86EC58" w14:textId="373180A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w:t>
            </w:r>
          </w:p>
        </w:tc>
        <w:tc>
          <w:tcPr>
            <w:tcW w:w="928" w:type="pct"/>
          </w:tcPr>
          <w:p w14:paraId="7925C667" w14:textId="0EDB4B6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93966D6" w14:textId="38E37D5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5D3FAC2" w14:textId="77777777" w:rsidTr="0086120E">
        <w:tc>
          <w:tcPr>
            <w:tcW w:w="356" w:type="pct"/>
          </w:tcPr>
          <w:p w14:paraId="0E791203" w14:textId="39089E4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98</w:t>
            </w:r>
          </w:p>
        </w:tc>
        <w:tc>
          <w:tcPr>
            <w:tcW w:w="1709" w:type="pct"/>
          </w:tcPr>
          <w:p w14:paraId="55B4A46D" w14:textId="5AAD062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23.中華民國刑法增訂第六十三條之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增訂重點：於行為時有§19第2項之情形，或審判時有精神障礙或其他心智缺陷，致訴訟上自我辯護能力明顯不足者，不得科處死刑。）</w:t>
            </w:r>
          </w:p>
        </w:tc>
        <w:tc>
          <w:tcPr>
            <w:tcW w:w="1139" w:type="pct"/>
          </w:tcPr>
          <w:p w14:paraId="31E1B6B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委員莊瑞雄</w:t>
            </w:r>
          </w:p>
          <w:p w14:paraId="3B2B8FA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131E4B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115.04.24</w:t>
            </w:r>
          </w:p>
          <w:p w14:paraId="0CBA824E" w14:textId="421FF00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w:t>
            </w:r>
          </w:p>
        </w:tc>
        <w:tc>
          <w:tcPr>
            <w:tcW w:w="928" w:type="pct"/>
          </w:tcPr>
          <w:p w14:paraId="6A259066" w14:textId="3E8476E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E217D62" w14:textId="10064D8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BDDB987" w14:textId="77777777" w:rsidTr="0086120E">
        <w:tc>
          <w:tcPr>
            <w:tcW w:w="356" w:type="pct"/>
          </w:tcPr>
          <w:p w14:paraId="5047BC5E" w14:textId="113DC30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99</w:t>
            </w:r>
          </w:p>
        </w:tc>
        <w:tc>
          <w:tcPr>
            <w:tcW w:w="1709" w:type="pct"/>
          </w:tcPr>
          <w:p w14:paraId="6B123E75" w14:textId="05948C3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24.中華民國刑法第七十七條及第七十九條之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修正重點：犯不能安全駕駛罪及特殊重大暴力犯罪，於一定要件下不得假釋；修正受刑人</w:t>
            </w:r>
            <w:proofErr w:type="gramStart"/>
            <w:r w:rsidRPr="001B6E4D">
              <w:rPr>
                <w:rFonts w:hAnsi="標楷體" w:cs="Times New Roman"/>
                <w:color w:val="000000" w:themeColor="text1"/>
                <w:sz w:val="24"/>
                <w:szCs w:val="24"/>
              </w:rPr>
              <w:t>併</w:t>
            </w:r>
            <w:proofErr w:type="gramEnd"/>
            <w:r w:rsidRPr="001B6E4D">
              <w:rPr>
                <w:rFonts w:hAnsi="標楷體" w:cs="Times New Roman"/>
                <w:color w:val="000000" w:themeColor="text1"/>
                <w:sz w:val="24"/>
                <w:szCs w:val="24"/>
              </w:rPr>
              <w:t>執行無期徒刑或有期徒刑計算許其假釋之規定。）</w:t>
            </w:r>
          </w:p>
        </w:tc>
        <w:tc>
          <w:tcPr>
            <w:tcW w:w="1139" w:type="pct"/>
          </w:tcPr>
          <w:p w14:paraId="1EC017E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委員王美惠</w:t>
            </w:r>
          </w:p>
          <w:p w14:paraId="4A62306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33E84C7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115.07.03</w:t>
            </w:r>
          </w:p>
          <w:p w14:paraId="5F7C4051" w14:textId="71CB4C8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（11-5-16）</w:t>
            </w:r>
          </w:p>
        </w:tc>
        <w:tc>
          <w:tcPr>
            <w:tcW w:w="928" w:type="pct"/>
          </w:tcPr>
          <w:p w14:paraId="3CBC3A58" w14:textId="7C99087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C17106C" w14:textId="5947523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A60CF1B" w14:textId="77777777" w:rsidTr="0086120E">
        <w:tc>
          <w:tcPr>
            <w:tcW w:w="356" w:type="pct"/>
          </w:tcPr>
          <w:p w14:paraId="44235605" w14:textId="623E923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100</w:t>
            </w:r>
          </w:p>
        </w:tc>
        <w:tc>
          <w:tcPr>
            <w:tcW w:w="1709" w:type="pct"/>
          </w:tcPr>
          <w:p w14:paraId="1AA7DFD3" w14:textId="7724AB2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25.中華民國刑法第七十七條及第七十九條之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修正重點：區</w:t>
            </w:r>
            <w:r w:rsidRPr="001B6E4D">
              <w:rPr>
                <w:rFonts w:hAnsi="標楷體" w:cs="Times New Roman"/>
                <w:color w:val="000000" w:themeColor="text1"/>
                <w:sz w:val="24"/>
                <w:szCs w:val="24"/>
              </w:rPr>
              <w:lastRenderedPageBreak/>
              <w:t>分不同犯罪類型之處遇，強化刑罰嚇阻功能，健全假釋制度。）</w:t>
            </w:r>
          </w:p>
        </w:tc>
        <w:tc>
          <w:tcPr>
            <w:tcW w:w="1139" w:type="pct"/>
          </w:tcPr>
          <w:p w14:paraId="4AA0186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委員羅智強</w:t>
            </w:r>
          </w:p>
          <w:p w14:paraId="7AD4039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等28人</w:t>
            </w:r>
          </w:p>
          <w:p w14:paraId="329BE86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469BAA13" w14:textId="22301BE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（11-5-17）</w:t>
            </w:r>
          </w:p>
        </w:tc>
        <w:tc>
          <w:tcPr>
            <w:tcW w:w="928" w:type="pct"/>
          </w:tcPr>
          <w:p w14:paraId="5CD87857" w14:textId="5E828D6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778D7F7D" w14:textId="0C2FD43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8C32BD6" w14:textId="77777777" w:rsidTr="0086120E">
        <w:tc>
          <w:tcPr>
            <w:tcW w:w="356" w:type="pct"/>
          </w:tcPr>
          <w:p w14:paraId="3EF5F97A" w14:textId="2BBC757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101</w:t>
            </w:r>
          </w:p>
        </w:tc>
        <w:tc>
          <w:tcPr>
            <w:tcW w:w="1709" w:type="pct"/>
          </w:tcPr>
          <w:p w14:paraId="7D709FC6" w14:textId="1DCB74E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26.中華民國刑法第七十七條及第七十九條之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修正重點：犯不能安全駕駛罪及特殊重大暴力犯罪，於一定要件下不得假釋。）</w:t>
            </w:r>
          </w:p>
        </w:tc>
        <w:tc>
          <w:tcPr>
            <w:tcW w:w="1139" w:type="pct"/>
          </w:tcPr>
          <w:p w14:paraId="3F4B9A2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526526B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0D8B8AA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10385F80" w14:textId="3D52334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928" w:type="pct"/>
          </w:tcPr>
          <w:p w14:paraId="5DB46067" w14:textId="310D615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BE34461" w14:textId="3A84AA3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8C4B921" w14:textId="77777777" w:rsidTr="0086120E">
        <w:tc>
          <w:tcPr>
            <w:tcW w:w="356" w:type="pct"/>
          </w:tcPr>
          <w:p w14:paraId="4275681D" w14:textId="264DBBB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102</w:t>
            </w:r>
          </w:p>
        </w:tc>
        <w:tc>
          <w:tcPr>
            <w:tcW w:w="1709" w:type="pct"/>
          </w:tcPr>
          <w:p w14:paraId="2D28034B" w14:textId="6AD4236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27.中華民國刑法第七十七條及第七十九條之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修正重點：依犯罪性質及危害程度，建立合理之假釋制度處遇標準。）</w:t>
            </w:r>
          </w:p>
        </w:tc>
        <w:tc>
          <w:tcPr>
            <w:tcW w:w="1139" w:type="pct"/>
          </w:tcPr>
          <w:p w14:paraId="2D75092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委員洪孟楷</w:t>
            </w:r>
          </w:p>
          <w:p w14:paraId="7DED9A9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1F4FDF1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115.07.24</w:t>
            </w:r>
          </w:p>
          <w:p w14:paraId="247873FC" w14:textId="562DEED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（11-5-19）</w:t>
            </w:r>
          </w:p>
        </w:tc>
        <w:tc>
          <w:tcPr>
            <w:tcW w:w="928" w:type="pct"/>
          </w:tcPr>
          <w:p w14:paraId="3C0659BF" w14:textId="4B3EB5B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AADCE00" w14:textId="01462FF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22243C2" w14:textId="77777777" w:rsidTr="0086120E">
        <w:tc>
          <w:tcPr>
            <w:tcW w:w="356" w:type="pct"/>
          </w:tcPr>
          <w:p w14:paraId="0DFF0CBF" w14:textId="696E1D7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103</w:t>
            </w:r>
          </w:p>
        </w:tc>
        <w:tc>
          <w:tcPr>
            <w:tcW w:w="1709" w:type="pct"/>
          </w:tcPr>
          <w:p w14:paraId="0C98A221" w14:textId="6971EED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28.中華民國刑法第七十七條及第七十九條之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修正重點：修正</w:t>
            </w:r>
            <w:proofErr w:type="gramStart"/>
            <w:r w:rsidRPr="001B6E4D">
              <w:rPr>
                <w:rFonts w:hAnsi="標楷體" w:cs="Times New Roman"/>
                <w:color w:val="000000" w:themeColor="text1"/>
                <w:sz w:val="24"/>
                <w:szCs w:val="24"/>
              </w:rPr>
              <w:t>毒駕及酒駕</w:t>
            </w:r>
            <w:proofErr w:type="gramEnd"/>
            <w:r w:rsidRPr="001B6E4D">
              <w:rPr>
                <w:rFonts w:hAnsi="標楷體" w:cs="Times New Roman"/>
                <w:color w:val="000000" w:themeColor="text1"/>
                <w:sz w:val="24"/>
                <w:szCs w:val="24"/>
              </w:rPr>
              <w:t>、重大暴力與凌</w:t>
            </w:r>
            <w:proofErr w:type="gramStart"/>
            <w:r w:rsidRPr="001B6E4D">
              <w:rPr>
                <w:rFonts w:hAnsi="標楷體" w:cs="Times New Roman"/>
                <w:color w:val="000000" w:themeColor="text1"/>
                <w:sz w:val="24"/>
                <w:szCs w:val="24"/>
              </w:rPr>
              <w:t>虐兒少致死傷</w:t>
            </w:r>
            <w:proofErr w:type="gramEnd"/>
            <w:r w:rsidRPr="001B6E4D">
              <w:rPr>
                <w:rFonts w:hAnsi="標楷體" w:cs="Times New Roman"/>
                <w:color w:val="000000" w:themeColor="text1"/>
                <w:sz w:val="24"/>
                <w:szCs w:val="24"/>
              </w:rPr>
              <w:t>等案件之假釋門檻。）</w:t>
            </w:r>
          </w:p>
        </w:tc>
        <w:tc>
          <w:tcPr>
            <w:tcW w:w="1139" w:type="pct"/>
          </w:tcPr>
          <w:p w14:paraId="01C1ADE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委員廖偉翔</w:t>
            </w:r>
          </w:p>
          <w:p w14:paraId="7E3843C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4F8C846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115.07.24</w:t>
            </w:r>
          </w:p>
          <w:p w14:paraId="72A6F78B" w14:textId="5CC152C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（11-5-19）</w:t>
            </w:r>
          </w:p>
        </w:tc>
        <w:tc>
          <w:tcPr>
            <w:tcW w:w="928" w:type="pct"/>
          </w:tcPr>
          <w:p w14:paraId="0A737541" w14:textId="1F087AB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A65E581" w14:textId="125ADE3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639367B" w14:textId="77777777" w:rsidTr="0086120E">
        <w:tc>
          <w:tcPr>
            <w:tcW w:w="356" w:type="pct"/>
          </w:tcPr>
          <w:p w14:paraId="778E1E4C" w14:textId="2F31300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104</w:t>
            </w:r>
          </w:p>
        </w:tc>
        <w:tc>
          <w:tcPr>
            <w:tcW w:w="1709" w:type="pct"/>
          </w:tcPr>
          <w:p w14:paraId="222D4BFD" w14:textId="0916210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29.中華民國刑法第七十七條及第七十九條之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修正重點：針對不能安全駕駛罪之累犯、故意殺人及以</w:t>
            </w:r>
            <w:proofErr w:type="gramStart"/>
            <w:r w:rsidRPr="001B6E4D">
              <w:rPr>
                <w:rFonts w:hAnsi="標楷體" w:cs="Times New Roman"/>
                <w:color w:val="000000" w:themeColor="text1"/>
                <w:sz w:val="24"/>
                <w:szCs w:val="24"/>
              </w:rPr>
              <w:t>虐</w:t>
            </w:r>
            <w:proofErr w:type="gramEnd"/>
            <w:r w:rsidRPr="001B6E4D">
              <w:rPr>
                <w:rFonts w:hAnsi="標楷體" w:cs="Times New Roman"/>
                <w:color w:val="000000" w:themeColor="text1"/>
                <w:sz w:val="24"/>
                <w:szCs w:val="24"/>
              </w:rPr>
              <w:t>童致死或致重傷等重大暴力犯罪案件，不得適用假釋制度。）</w:t>
            </w:r>
          </w:p>
        </w:tc>
        <w:tc>
          <w:tcPr>
            <w:tcW w:w="1139" w:type="pct"/>
          </w:tcPr>
          <w:p w14:paraId="68D18C9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委員伍麗華</w:t>
            </w:r>
          </w:p>
          <w:p w14:paraId="4A0AE8D9" w14:textId="77777777" w:rsidR="00FC42F6" w:rsidRPr="001B6E4D" w:rsidRDefault="00FC42F6"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Saidhai</w:t>
            </w:r>
            <w:proofErr w:type="spellEnd"/>
            <w:r w:rsidRPr="001B6E4D">
              <w:rPr>
                <w:rFonts w:ascii="標楷體" w:eastAsia="標楷體" w:hAnsi="標楷體"/>
                <w:color w:val="000000" w:themeColor="text1"/>
                <w:sz w:val="24"/>
              </w:rPr>
              <w:t>‧</w:t>
            </w:r>
          </w:p>
          <w:p w14:paraId="1F93B9EE" w14:textId="77777777" w:rsidR="00FC42F6" w:rsidRPr="001B6E4D" w:rsidRDefault="00FC42F6"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Tahovecahe</w:t>
            </w:r>
            <w:proofErr w:type="spellEnd"/>
          </w:p>
          <w:p w14:paraId="0150A4E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DD3B3D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115.07.24</w:t>
            </w:r>
          </w:p>
          <w:p w14:paraId="73AA8138" w14:textId="0DA6611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（11-5-19）</w:t>
            </w:r>
          </w:p>
        </w:tc>
        <w:tc>
          <w:tcPr>
            <w:tcW w:w="928" w:type="pct"/>
          </w:tcPr>
          <w:p w14:paraId="6F2C31F5" w14:textId="2CBDF95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D858482" w14:textId="787C0DC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31DA41A" w14:textId="77777777" w:rsidTr="0086120E">
        <w:tc>
          <w:tcPr>
            <w:tcW w:w="356" w:type="pct"/>
          </w:tcPr>
          <w:p w14:paraId="6BEC02EB" w14:textId="6530633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105</w:t>
            </w:r>
          </w:p>
        </w:tc>
        <w:tc>
          <w:tcPr>
            <w:tcW w:w="1709" w:type="pct"/>
          </w:tcPr>
          <w:p w14:paraId="5838E356" w14:textId="3372F5A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30.中華民國刑法第七十七條及第七十九條之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修正重點：針對犯不能安全駕駛罪及特殊重大暴力犯罪，規定於一定要件下不得假釋。）</w:t>
            </w:r>
          </w:p>
        </w:tc>
        <w:tc>
          <w:tcPr>
            <w:tcW w:w="1139" w:type="pct"/>
          </w:tcPr>
          <w:p w14:paraId="4D67A73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委員王育敏</w:t>
            </w:r>
          </w:p>
          <w:p w14:paraId="1C861AE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5FC305C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115.08.07</w:t>
            </w:r>
          </w:p>
          <w:p w14:paraId="6BD024CD" w14:textId="57C198C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（11-5-21）</w:t>
            </w:r>
          </w:p>
        </w:tc>
        <w:tc>
          <w:tcPr>
            <w:tcW w:w="928" w:type="pct"/>
          </w:tcPr>
          <w:p w14:paraId="2B20BD3E" w14:textId="0FFE883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208B53D" w14:textId="11BA949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7E80BE4" w14:textId="77777777" w:rsidTr="0086120E">
        <w:tc>
          <w:tcPr>
            <w:tcW w:w="356" w:type="pct"/>
          </w:tcPr>
          <w:p w14:paraId="632D4319" w14:textId="76F6D98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106</w:t>
            </w:r>
          </w:p>
        </w:tc>
        <w:tc>
          <w:tcPr>
            <w:tcW w:w="1709" w:type="pct"/>
          </w:tcPr>
          <w:p w14:paraId="5A740520" w14:textId="1D08624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31.中華民國刑法第七十七條及第七十九條之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修正重點：針</w:t>
            </w:r>
            <w:r w:rsidRPr="001B6E4D">
              <w:rPr>
                <w:rFonts w:hAnsi="標楷體" w:cs="Times New Roman"/>
                <w:color w:val="000000" w:themeColor="text1"/>
                <w:sz w:val="24"/>
                <w:szCs w:val="24"/>
              </w:rPr>
              <w:lastRenderedPageBreak/>
              <w:t>對不能安全駕駛罪之累犯於五年內再犯，以及故意殺人、殺人未遂或兒</w:t>
            </w:r>
            <w:proofErr w:type="gramStart"/>
            <w:r w:rsidRPr="001B6E4D">
              <w:rPr>
                <w:rFonts w:hAnsi="標楷體" w:cs="Times New Roman"/>
                <w:color w:val="000000" w:themeColor="text1"/>
                <w:sz w:val="24"/>
                <w:szCs w:val="24"/>
              </w:rPr>
              <w:t>虐</w:t>
            </w:r>
            <w:proofErr w:type="gramEnd"/>
            <w:r w:rsidRPr="001B6E4D">
              <w:rPr>
                <w:rFonts w:hAnsi="標楷體" w:cs="Times New Roman"/>
                <w:color w:val="000000" w:themeColor="text1"/>
                <w:sz w:val="24"/>
                <w:szCs w:val="24"/>
              </w:rPr>
              <w:t>致死致重傷且經判處重刑者，增訂不得假釋之規定。）</w:t>
            </w:r>
          </w:p>
        </w:tc>
        <w:tc>
          <w:tcPr>
            <w:tcW w:w="1139" w:type="pct"/>
          </w:tcPr>
          <w:p w14:paraId="0E4378D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委員郭昱晴</w:t>
            </w:r>
          </w:p>
          <w:p w14:paraId="4D7E7F6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08EB7DD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115.08.14</w:t>
            </w:r>
          </w:p>
          <w:p w14:paraId="22C1F498" w14:textId="4D46B97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（11-5-22）</w:t>
            </w:r>
          </w:p>
        </w:tc>
        <w:tc>
          <w:tcPr>
            <w:tcW w:w="928" w:type="pct"/>
          </w:tcPr>
          <w:p w14:paraId="05D137E0" w14:textId="0316BD3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465938E2" w14:textId="272AD98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0A313AD" w14:textId="77777777" w:rsidTr="0086120E">
        <w:tc>
          <w:tcPr>
            <w:tcW w:w="356" w:type="pct"/>
          </w:tcPr>
          <w:p w14:paraId="4C1D2935" w14:textId="2395135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107</w:t>
            </w:r>
          </w:p>
        </w:tc>
        <w:tc>
          <w:tcPr>
            <w:tcW w:w="1709" w:type="pct"/>
          </w:tcPr>
          <w:p w14:paraId="15C2A801" w14:textId="1F6BBAE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修正§104；增訂§104-1~3。修正重點：修正現行外患罪章規定。）</w:t>
            </w:r>
          </w:p>
        </w:tc>
        <w:tc>
          <w:tcPr>
            <w:tcW w:w="1139" w:type="pct"/>
          </w:tcPr>
          <w:p w14:paraId="5916F48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委員沈伯洋</w:t>
            </w:r>
          </w:p>
          <w:p w14:paraId="60AF348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3C80432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113.10.18</w:t>
            </w:r>
          </w:p>
          <w:p w14:paraId="3C44DE71" w14:textId="1F9D8DB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（11-2-5）</w:t>
            </w:r>
          </w:p>
        </w:tc>
        <w:tc>
          <w:tcPr>
            <w:tcW w:w="928" w:type="pct"/>
          </w:tcPr>
          <w:p w14:paraId="39166154" w14:textId="3B63A5C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AA0A9E9" w14:textId="4A1A61D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7F574CE" w14:textId="77777777" w:rsidTr="0086120E">
        <w:tc>
          <w:tcPr>
            <w:tcW w:w="356" w:type="pct"/>
          </w:tcPr>
          <w:p w14:paraId="3B36D15A" w14:textId="18179AB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108</w:t>
            </w:r>
          </w:p>
        </w:tc>
        <w:tc>
          <w:tcPr>
            <w:tcW w:w="1709" w:type="pct"/>
          </w:tcPr>
          <w:p w14:paraId="410A4D20" w14:textId="40613AC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中華民國刑法第二百八十三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修正重點：提高聚眾暴力案件最低刑度。）</w:t>
            </w:r>
          </w:p>
        </w:tc>
        <w:tc>
          <w:tcPr>
            <w:tcW w:w="1139" w:type="pct"/>
          </w:tcPr>
          <w:p w14:paraId="7266C6C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委員魯明哲</w:t>
            </w:r>
          </w:p>
          <w:p w14:paraId="6BE3A29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6E0876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113.11.22</w:t>
            </w:r>
          </w:p>
          <w:p w14:paraId="38ED3FC7" w14:textId="3EB6E4C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（11-2-10）</w:t>
            </w:r>
          </w:p>
        </w:tc>
        <w:tc>
          <w:tcPr>
            <w:tcW w:w="928" w:type="pct"/>
          </w:tcPr>
          <w:p w14:paraId="00B48ADE" w14:textId="1AF0F16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9400466" w14:textId="6942D18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9B8F811" w14:textId="77777777" w:rsidTr="0086120E">
        <w:tc>
          <w:tcPr>
            <w:tcW w:w="356" w:type="pct"/>
          </w:tcPr>
          <w:p w14:paraId="3E8EC735" w14:textId="35DCFCD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109</w:t>
            </w:r>
          </w:p>
        </w:tc>
        <w:tc>
          <w:tcPr>
            <w:tcW w:w="1709" w:type="pct"/>
          </w:tcPr>
          <w:p w14:paraId="067D1F93" w14:textId="3B68BEC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1.中華民國刑法第四十七條及第四十八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修正重點：增訂再犯之罪為得易科罰金或易服社會勞動之罪，因構成</w:t>
            </w:r>
            <w:proofErr w:type="gramStart"/>
            <w:r w:rsidRPr="001B6E4D">
              <w:rPr>
                <w:rFonts w:hAnsi="標楷體" w:cs="Times New Roman"/>
                <w:color w:val="000000" w:themeColor="text1"/>
                <w:sz w:val="24"/>
                <w:szCs w:val="24"/>
              </w:rPr>
              <w:t>累犯致應宣告</w:t>
            </w:r>
            <w:proofErr w:type="gramEnd"/>
            <w:r w:rsidRPr="001B6E4D">
              <w:rPr>
                <w:rFonts w:hAnsi="標楷體" w:cs="Times New Roman"/>
                <w:color w:val="000000" w:themeColor="text1"/>
                <w:sz w:val="24"/>
                <w:szCs w:val="24"/>
              </w:rPr>
              <w:t>不得易科罰金或不得易服社會勞動之有期徒刑，或再犯§61</w:t>
            </w:r>
            <w:proofErr w:type="gramStart"/>
            <w:r w:rsidRPr="001B6E4D">
              <w:rPr>
                <w:rFonts w:hAnsi="標楷體" w:cs="Times New Roman"/>
                <w:color w:val="000000" w:themeColor="text1"/>
                <w:sz w:val="24"/>
                <w:szCs w:val="24"/>
              </w:rPr>
              <w:t>各</w:t>
            </w:r>
            <w:proofErr w:type="gramEnd"/>
            <w:r w:rsidRPr="001B6E4D">
              <w:rPr>
                <w:rFonts w:hAnsi="標楷體" w:cs="Times New Roman"/>
                <w:color w:val="000000" w:themeColor="text1"/>
                <w:sz w:val="24"/>
                <w:szCs w:val="24"/>
              </w:rPr>
              <w:t>款之罪之一，且有過</w:t>
            </w:r>
            <w:proofErr w:type="gramStart"/>
            <w:r w:rsidRPr="001B6E4D">
              <w:rPr>
                <w:rFonts w:hAnsi="標楷體" w:cs="Times New Roman"/>
                <w:color w:val="000000" w:themeColor="text1"/>
                <w:sz w:val="24"/>
                <w:szCs w:val="24"/>
              </w:rPr>
              <w:t>苛</w:t>
            </w:r>
            <w:proofErr w:type="gramEnd"/>
            <w:r w:rsidRPr="001B6E4D">
              <w:rPr>
                <w:rFonts w:hAnsi="標楷體" w:cs="Times New Roman"/>
                <w:color w:val="000000" w:themeColor="text1"/>
                <w:sz w:val="24"/>
                <w:szCs w:val="24"/>
              </w:rPr>
              <w:t>之虞者，得不加重本刑。）</w:t>
            </w:r>
          </w:p>
        </w:tc>
        <w:tc>
          <w:tcPr>
            <w:tcW w:w="1139" w:type="pct"/>
          </w:tcPr>
          <w:p w14:paraId="758D06A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行政院、司法院</w:t>
            </w:r>
          </w:p>
          <w:p w14:paraId="3E4488A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114.06.20</w:t>
            </w:r>
          </w:p>
          <w:p w14:paraId="542B445E" w14:textId="663C89F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（11-3-17）</w:t>
            </w:r>
          </w:p>
        </w:tc>
        <w:tc>
          <w:tcPr>
            <w:tcW w:w="928" w:type="pct"/>
          </w:tcPr>
          <w:p w14:paraId="1AEAAD35" w14:textId="79E0F3E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80382AD" w14:textId="057FEBF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0BEFCDD" w14:textId="77777777" w:rsidTr="0086120E">
        <w:tc>
          <w:tcPr>
            <w:tcW w:w="356" w:type="pct"/>
          </w:tcPr>
          <w:p w14:paraId="4811A07B" w14:textId="0459A75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110</w:t>
            </w:r>
          </w:p>
        </w:tc>
        <w:tc>
          <w:tcPr>
            <w:tcW w:w="1709" w:type="pct"/>
          </w:tcPr>
          <w:p w14:paraId="674675B5" w14:textId="03B7A59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2.中華民國刑法第四十七條及第四十八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修正重點：因應司法院釋字解釋，構成累犯者是否加重本刑，應由法官視個案情節予以裁量；刪除裁判確定後發覺為累犯更定其刑之規定。）</w:t>
            </w:r>
          </w:p>
        </w:tc>
        <w:tc>
          <w:tcPr>
            <w:tcW w:w="1139" w:type="pct"/>
          </w:tcPr>
          <w:p w14:paraId="6C9D5AA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委員沈發惠</w:t>
            </w:r>
          </w:p>
          <w:p w14:paraId="6BACCAF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EF2FBA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114.10.17</w:t>
            </w:r>
          </w:p>
          <w:p w14:paraId="37319F0A" w14:textId="2AAE4AF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（11-4-5）</w:t>
            </w:r>
          </w:p>
        </w:tc>
        <w:tc>
          <w:tcPr>
            <w:tcW w:w="928" w:type="pct"/>
          </w:tcPr>
          <w:p w14:paraId="05AF2099" w14:textId="3A201BA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A823885" w14:textId="7B33F52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4DB944A" w14:textId="77777777" w:rsidTr="0086120E">
        <w:tc>
          <w:tcPr>
            <w:tcW w:w="356" w:type="pct"/>
          </w:tcPr>
          <w:p w14:paraId="19F78D1E" w14:textId="386F463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111</w:t>
            </w:r>
          </w:p>
        </w:tc>
        <w:tc>
          <w:tcPr>
            <w:tcW w:w="1709" w:type="pct"/>
          </w:tcPr>
          <w:p w14:paraId="48ED81C7" w14:textId="51299B3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3.中華民國刑法第四十七條及第四十八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修正重點：因應司法院釋字解釋，明確累犯制度之適用範圍與司法裁量基準，並刪除§48有違一</w:t>
            </w:r>
            <w:r w:rsidRPr="001B6E4D">
              <w:rPr>
                <w:rFonts w:hAnsi="標楷體" w:cs="Times New Roman"/>
                <w:color w:val="000000" w:themeColor="text1"/>
                <w:sz w:val="24"/>
                <w:szCs w:val="24"/>
              </w:rPr>
              <w:lastRenderedPageBreak/>
              <w:t>事不再理原則規定。）</w:t>
            </w:r>
          </w:p>
        </w:tc>
        <w:tc>
          <w:tcPr>
            <w:tcW w:w="1139" w:type="pct"/>
          </w:tcPr>
          <w:p w14:paraId="5371D31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委員郭昱晴</w:t>
            </w:r>
          </w:p>
          <w:p w14:paraId="50BD09D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F2FD5D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114.12.05</w:t>
            </w:r>
          </w:p>
          <w:p w14:paraId="0A382368" w14:textId="692CB88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（11-4-12）</w:t>
            </w:r>
          </w:p>
        </w:tc>
        <w:tc>
          <w:tcPr>
            <w:tcW w:w="928" w:type="pct"/>
          </w:tcPr>
          <w:p w14:paraId="26B301E8" w14:textId="2277B5D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C5CF2CE" w14:textId="7F39A64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5491FDF" w14:textId="77777777" w:rsidTr="0086120E">
        <w:tc>
          <w:tcPr>
            <w:tcW w:w="356" w:type="pct"/>
          </w:tcPr>
          <w:p w14:paraId="06D4B15B" w14:textId="57F9E17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112</w:t>
            </w:r>
          </w:p>
        </w:tc>
        <w:tc>
          <w:tcPr>
            <w:tcW w:w="1709" w:type="pct"/>
          </w:tcPr>
          <w:p w14:paraId="28A494B3" w14:textId="7F4775E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4.中華民國刑法刪除第四十八條條文草案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刪除重點：司法院釋字第775號解釋宣告違憲，</w:t>
            </w:r>
            <w:proofErr w:type="gramStart"/>
            <w:r w:rsidRPr="001B6E4D">
              <w:rPr>
                <w:rFonts w:hAnsi="標楷體" w:cs="Times New Roman"/>
                <w:color w:val="000000" w:themeColor="text1"/>
                <w:sz w:val="24"/>
                <w:szCs w:val="24"/>
              </w:rPr>
              <w:t>爰</w:t>
            </w:r>
            <w:proofErr w:type="gramEnd"/>
            <w:r w:rsidRPr="001B6E4D">
              <w:rPr>
                <w:rFonts w:hAnsi="標楷體" w:cs="Times New Roman"/>
                <w:color w:val="000000" w:themeColor="text1"/>
                <w:sz w:val="24"/>
                <w:szCs w:val="24"/>
              </w:rPr>
              <w:t>提案刪除。）</w:t>
            </w:r>
          </w:p>
        </w:tc>
        <w:tc>
          <w:tcPr>
            <w:tcW w:w="1139" w:type="pct"/>
          </w:tcPr>
          <w:p w14:paraId="6E83032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331C802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676E212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115.04.24</w:t>
            </w:r>
          </w:p>
          <w:p w14:paraId="79C35D7B" w14:textId="06FBAB9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w:t>
            </w:r>
          </w:p>
        </w:tc>
        <w:tc>
          <w:tcPr>
            <w:tcW w:w="928" w:type="pct"/>
          </w:tcPr>
          <w:p w14:paraId="56E6375C" w14:textId="198ECCD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8E6B20A" w14:textId="089AF63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A4D93A0" w14:textId="77777777" w:rsidTr="0086120E">
        <w:tc>
          <w:tcPr>
            <w:tcW w:w="356" w:type="pct"/>
          </w:tcPr>
          <w:p w14:paraId="0158799E" w14:textId="46C8081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113</w:t>
            </w:r>
          </w:p>
        </w:tc>
        <w:tc>
          <w:tcPr>
            <w:tcW w:w="1709" w:type="pct"/>
          </w:tcPr>
          <w:p w14:paraId="3A3E6071" w14:textId="3A547D2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5.中華民國刑法第四十七條及第四十八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修正重點：將構成累犯者應加重其刑修正為得加重其刑，並刪除§48。）</w:t>
            </w:r>
          </w:p>
        </w:tc>
        <w:tc>
          <w:tcPr>
            <w:tcW w:w="1139" w:type="pct"/>
          </w:tcPr>
          <w:p w14:paraId="35E9175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委員吳思瑤</w:t>
            </w:r>
          </w:p>
          <w:p w14:paraId="4A32257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00D37E6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115.05.08</w:t>
            </w:r>
          </w:p>
          <w:p w14:paraId="7C7172DF" w14:textId="4CA3FB4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（11-5-9）</w:t>
            </w:r>
          </w:p>
        </w:tc>
        <w:tc>
          <w:tcPr>
            <w:tcW w:w="928" w:type="pct"/>
          </w:tcPr>
          <w:p w14:paraId="2750BE36" w14:textId="0CE9E1D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F9DF85B" w14:textId="619426D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D34E4C4" w14:textId="77777777" w:rsidTr="0086120E">
        <w:tc>
          <w:tcPr>
            <w:tcW w:w="356" w:type="pct"/>
          </w:tcPr>
          <w:p w14:paraId="1D252F6D" w14:textId="0439644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114</w:t>
            </w:r>
          </w:p>
        </w:tc>
        <w:tc>
          <w:tcPr>
            <w:tcW w:w="1709" w:type="pct"/>
          </w:tcPr>
          <w:p w14:paraId="36993B52" w14:textId="4193DB2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中華民國刑法第二百五十一</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修正重點：將以電腦合成等科技方法納入妨害農工商罪規範。）</w:t>
            </w:r>
          </w:p>
        </w:tc>
        <w:tc>
          <w:tcPr>
            <w:tcW w:w="1139" w:type="pct"/>
          </w:tcPr>
          <w:p w14:paraId="4ECE085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51235F2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5505472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114.10.14</w:t>
            </w:r>
          </w:p>
          <w:p w14:paraId="6D7EB014" w14:textId="4688B9E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（11-4-4）</w:t>
            </w:r>
          </w:p>
        </w:tc>
        <w:tc>
          <w:tcPr>
            <w:tcW w:w="928" w:type="pct"/>
          </w:tcPr>
          <w:p w14:paraId="3035E295" w14:textId="3D31710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E423696" w14:textId="0882F6D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63384D0" w14:textId="77777777" w:rsidTr="0086120E">
        <w:tc>
          <w:tcPr>
            <w:tcW w:w="356" w:type="pct"/>
          </w:tcPr>
          <w:p w14:paraId="21392FF6" w14:textId="6C742AA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115</w:t>
            </w:r>
          </w:p>
        </w:tc>
        <w:tc>
          <w:tcPr>
            <w:tcW w:w="1709" w:type="pct"/>
          </w:tcPr>
          <w:p w14:paraId="29F1B47B" w14:textId="450C39C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中華民國刑法第五十九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修正重點：行為人於犯罪後積極修復被害人損害或取得諒解者，得作為法院酌量減輕其刑之獨立法定減輕事由。）</w:t>
            </w:r>
          </w:p>
        </w:tc>
        <w:tc>
          <w:tcPr>
            <w:tcW w:w="1139" w:type="pct"/>
          </w:tcPr>
          <w:p w14:paraId="0E92378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委員邱志偉</w:t>
            </w:r>
          </w:p>
          <w:p w14:paraId="1A68CD9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41A340B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115.01.09</w:t>
            </w:r>
          </w:p>
          <w:p w14:paraId="7E01BDF5" w14:textId="2EF70A3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（11-4-17）</w:t>
            </w:r>
          </w:p>
        </w:tc>
        <w:tc>
          <w:tcPr>
            <w:tcW w:w="928" w:type="pct"/>
          </w:tcPr>
          <w:p w14:paraId="23E14948" w14:textId="62F651D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4C50A94" w14:textId="1E55E2A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C63FFEE" w14:textId="77777777" w:rsidTr="0086120E">
        <w:tc>
          <w:tcPr>
            <w:tcW w:w="356" w:type="pct"/>
          </w:tcPr>
          <w:p w14:paraId="617B107A" w14:textId="77A314B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116</w:t>
            </w:r>
          </w:p>
        </w:tc>
        <w:tc>
          <w:tcPr>
            <w:tcW w:w="1709" w:type="pct"/>
          </w:tcPr>
          <w:p w14:paraId="49340E42" w14:textId="3E3EE6C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中華民國刑法增訂第二百七十二條之二條文草案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增訂重點：增訂無差別殺害人群罪，並加重其處罰。）</w:t>
            </w:r>
          </w:p>
        </w:tc>
        <w:tc>
          <w:tcPr>
            <w:tcW w:w="1139" w:type="pct"/>
          </w:tcPr>
          <w:p w14:paraId="1F2CBD5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1267FE2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3A8E18A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115.01.16</w:t>
            </w:r>
          </w:p>
          <w:p w14:paraId="3166FC8C" w14:textId="78557E0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（11-4-18）</w:t>
            </w:r>
          </w:p>
        </w:tc>
        <w:tc>
          <w:tcPr>
            <w:tcW w:w="928" w:type="pct"/>
          </w:tcPr>
          <w:p w14:paraId="56F342E0" w14:textId="04533C2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D59782C" w14:textId="24B87AF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DFA4380" w14:textId="77777777" w:rsidTr="0086120E">
        <w:tc>
          <w:tcPr>
            <w:tcW w:w="356" w:type="pct"/>
          </w:tcPr>
          <w:p w14:paraId="235E4666" w14:textId="5819AC9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117</w:t>
            </w:r>
          </w:p>
        </w:tc>
        <w:tc>
          <w:tcPr>
            <w:tcW w:w="1709" w:type="pct"/>
          </w:tcPr>
          <w:p w14:paraId="72BF711F" w14:textId="598B95A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中華民國刑法第一百五十一</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修正重點：明定恐嚇內容涉及關鍵基礎設施者，加重其刑。）</w:t>
            </w:r>
          </w:p>
        </w:tc>
        <w:tc>
          <w:tcPr>
            <w:tcW w:w="1139" w:type="pct"/>
          </w:tcPr>
          <w:p w14:paraId="4A5AE7F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委員王義川</w:t>
            </w:r>
          </w:p>
          <w:p w14:paraId="1C817F7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2F02D8E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115.01.23</w:t>
            </w:r>
          </w:p>
          <w:p w14:paraId="4B4DDBFB" w14:textId="1B491C3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（11-4-19）</w:t>
            </w:r>
          </w:p>
        </w:tc>
        <w:tc>
          <w:tcPr>
            <w:tcW w:w="928" w:type="pct"/>
          </w:tcPr>
          <w:p w14:paraId="04FD1529" w14:textId="6406B3C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C218BB9" w14:textId="3433A7C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27456F0" w14:textId="77777777" w:rsidTr="0086120E">
        <w:tc>
          <w:tcPr>
            <w:tcW w:w="356" w:type="pct"/>
          </w:tcPr>
          <w:p w14:paraId="74FC52C0" w14:textId="637DDD6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118</w:t>
            </w:r>
          </w:p>
        </w:tc>
        <w:tc>
          <w:tcPr>
            <w:tcW w:w="1709" w:type="pct"/>
          </w:tcPr>
          <w:p w14:paraId="0EFF7402" w14:textId="437A1EE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中華民國刑法增訂第二百七十三條之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增訂重點：增訂長照殺人罪。）</w:t>
            </w:r>
          </w:p>
        </w:tc>
        <w:tc>
          <w:tcPr>
            <w:tcW w:w="1139" w:type="pct"/>
          </w:tcPr>
          <w:p w14:paraId="31A5FCA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委員王鴻薇</w:t>
            </w:r>
          </w:p>
          <w:p w14:paraId="47DB969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4E2C467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115.01.30</w:t>
            </w:r>
          </w:p>
          <w:p w14:paraId="68A89469" w14:textId="13972A0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（11-4-20）</w:t>
            </w:r>
          </w:p>
        </w:tc>
        <w:tc>
          <w:tcPr>
            <w:tcW w:w="928" w:type="pct"/>
          </w:tcPr>
          <w:p w14:paraId="26527077" w14:textId="2BE1D4B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3B1436C" w14:textId="304D275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3BD5727" w14:textId="77777777" w:rsidTr="0086120E">
        <w:tc>
          <w:tcPr>
            <w:tcW w:w="356" w:type="pct"/>
          </w:tcPr>
          <w:p w14:paraId="4437DA5A" w14:textId="74B389F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119</w:t>
            </w:r>
          </w:p>
        </w:tc>
        <w:tc>
          <w:tcPr>
            <w:tcW w:w="1709" w:type="pct"/>
          </w:tcPr>
          <w:p w14:paraId="2DC08C22" w14:textId="294E449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1.「中華民國刑法部分條文修正草案」及「中華民國刑法施行法增訂第九條之五條文草案」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【1】刑法修正§85、87、91-1、92、98；刪除§86、90。修正重點：增訂假釋中施以監護規定，修正行刑權時效停止進行及刑之免除執行規定；刪除感化教育、強制工作規定；增訂檢察官得於假釋中施以監護之「</w:t>
            </w:r>
            <w:proofErr w:type="gramStart"/>
            <w:r w:rsidRPr="001B6E4D">
              <w:rPr>
                <w:rFonts w:hAnsi="標楷體" w:cs="Times New Roman"/>
                <w:color w:val="000000" w:themeColor="text1"/>
                <w:sz w:val="24"/>
                <w:szCs w:val="24"/>
              </w:rPr>
              <w:t>刑中監護</w:t>
            </w:r>
            <w:proofErr w:type="gramEnd"/>
            <w:r w:rsidRPr="001B6E4D">
              <w:rPr>
                <w:rFonts w:hAnsi="標楷體" w:cs="Times New Roman"/>
                <w:color w:val="000000" w:themeColor="text1"/>
                <w:sz w:val="24"/>
                <w:szCs w:val="24"/>
              </w:rPr>
              <w:t>」制度。【2】刑法施行法增訂重點：配合刑法修正§87，明定修正施行前，已經法院裁判於刑之執行完畢或赦免後施以監護而其監護未執行或未執行完畢者之法律適用。）</w:t>
            </w:r>
          </w:p>
        </w:tc>
        <w:tc>
          <w:tcPr>
            <w:tcW w:w="1139" w:type="pct"/>
          </w:tcPr>
          <w:p w14:paraId="2BA36D4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行政院、司法院</w:t>
            </w:r>
          </w:p>
          <w:p w14:paraId="37A4CBB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115.04.24</w:t>
            </w:r>
          </w:p>
          <w:p w14:paraId="51BF7581" w14:textId="4828BDF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w:t>
            </w:r>
          </w:p>
        </w:tc>
        <w:tc>
          <w:tcPr>
            <w:tcW w:w="928" w:type="pct"/>
          </w:tcPr>
          <w:p w14:paraId="390BC9C7" w14:textId="011776D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448B10F" w14:textId="727D91D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193DEC8" w14:textId="77777777" w:rsidTr="0086120E">
        <w:tc>
          <w:tcPr>
            <w:tcW w:w="356" w:type="pct"/>
          </w:tcPr>
          <w:p w14:paraId="51C550AD" w14:textId="011F35D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120</w:t>
            </w:r>
          </w:p>
        </w:tc>
        <w:tc>
          <w:tcPr>
            <w:tcW w:w="1709" w:type="pct"/>
          </w:tcPr>
          <w:p w14:paraId="19B4F110" w14:textId="46D4142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修正§85、87、91-1、92、98；刪除§86、90。修正重點：增訂假釋中施以監護之規定，修正行刑權時效停止進行及刑之免除執行規定；刪除感化教育、強制工作規定；增訂檢察官得於假釋中施以監護之「</w:t>
            </w:r>
            <w:proofErr w:type="gramStart"/>
            <w:r w:rsidRPr="001B6E4D">
              <w:rPr>
                <w:rFonts w:hAnsi="標楷體" w:cs="Times New Roman"/>
                <w:color w:val="000000" w:themeColor="text1"/>
                <w:sz w:val="24"/>
                <w:szCs w:val="24"/>
              </w:rPr>
              <w:t>刑中監護</w:t>
            </w:r>
            <w:proofErr w:type="gramEnd"/>
            <w:r w:rsidRPr="001B6E4D">
              <w:rPr>
                <w:rFonts w:hAnsi="標楷體" w:cs="Times New Roman"/>
                <w:color w:val="000000" w:themeColor="text1"/>
                <w:sz w:val="24"/>
                <w:szCs w:val="24"/>
              </w:rPr>
              <w:t>」制度。）</w:t>
            </w:r>
          </w:p>
        </w:tc>
        <w:tc>
          <w:tcPr>
            <w:tcW w:w="1139" w:type="pct"/>
          </w:tcPr>
          <w:p w14:paraId="6547949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061BE51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77301F0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115.05.15</w:t>
            </w:r>
          </w:p>
          <w:p w14:paraId="2A808646" w14:textId="0C227B6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（11-5-10）</w:t>
            </w:r>
          </w:p>
        </w:tc>
        <w:tc>
          <w:tcPr>
            <w:tcW w:w="928" w:type="pct"/>
          </w:tcPr>
          <w:p w14:paraId="1FABF503" w14:textId="6271CE9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2E335CE" w14:textId="205A5F1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C07A094" w14:textId="77777777" w:rsidTr="0086120E">
        <w:tc>
          <w:tcPr>
            <w:tcW w:w="356" w:type="pct"/>
          </w:tcPr>
          <w:p w14:paraId="20D641F3" w14:textId="6AFB0F1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121</w:t>
            </w:r>
          </w:p>
        </w:tc>
        <w:tc>
          <w:tcPr>
            <w:tcW w:w="1709" w:type="pct"/>
          </w:tcPr>
          <w:p w14:paraId="56ACCFF5" w14:textId="4C97D17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中華民國刑法第二百七十五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修正重點：依尊嚴善終法規定執行者，不在處罰之列。）</w:t>
            </w:r>
          </w:p>
        </w:tc>
        <w:tc>
          <w:tcPr>
            <w:tcW w:w="1139" w:type="pct"/>
          </w:tcPr>
          <w:p w14:paraId="59EC302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54FF8B1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115.05.29</w:t>
            </w:r>
          </w:p>
          <w:p w14:paraId="784FCED5" w14:textId="6A883CD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（11-5-12）</w:t>
            </w:r>
          </w:p>
        </w:tc>
        <w:tc>
          <w:tcPr>
            <w:tcW w:w="928" w:type="pct"/>
          </w:tcPr>
          <w:p w14:paraId="28BEB751" w14:textId="47067D4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78B74AB" w14:textId="324E8B4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DCF275A" w14:textId="77777777" w:rsidTr="0086120E">
        <w:tc>
          <w:tcPr>
            <w:tcW w:w="356" w:type="pct"/>
          </w:tcPr>
          <w:p w14:paraId="4BA85383" w14:textId="2B1F2A7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122</w:t>
            </w:r>
          </w:p>
        </w:tc>
        <w:tc>
          <w:tcPr>
            <w:tcW w:w="1709" w:type="pct"/>
          </w:tcPr>
          <w:p w14:paraId="1398AB46" w14:textId="11C37A2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中華民國刑法第八十三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w:t>
            </w:r>
            <w:r w:rsidRPr="001B6E4D">
              <w:rPr>
                <w:rFonts w:hAnsi="標楷體" w:cs="Times New Roman"/>
                <w:color w:val="000000" w:themeColor="text1"/>
                <w:sz w:val="24"/>
                <w:szCs w:val="24"/>
              </w:rPr>
              <w:lastRenderedPageBreak/>
              <w:t>點：明定刑事訴訟法§294第2項關於被告因疾病停止審判之情形，不適用停止原因視為消滅之規定。）</w:t>
            </w:r>
          </w:p>
        </w:tc>
        <w:tc>
          <w:tcPr>
            <w:tcW w:w="1139" w:type="pct"/>
          </w:tcPr>
          <w:p w14:paraId="232C86A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委員翁曉玲</w:t>
            </w:r>
          </w:p>
          <w:p w14:paraId="7E36E5D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1B1D8C1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115.06.12</w:t>
            </w:r>
          </w:p>
          <w:p w14:paraId="6C2E720B" w14:textId="5794B77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（11-5-14）</w:t>
            </w:r>
          </w:p>
        </w:tc>
        <w:tc>
          <w:tcPr>
            <w:tcW w:w="928" w:type="pct"/>
          </w:tcPr>
          <w:p w14:paraId="4CD9F3CD" w14:textId="1009E51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606AD736" w14:textId="0D00A6E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45024C6" w14:textId="77777777" w:rsidTr="0086120E">
        <w:tc>
          <w:tcPr>
            <w:tcW w:w="356" w:type="pct"/>
          </w:tcPr>
          <w:p w14:paraId="0F25A7C0" w14:textId="1A350CA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123</w:t>
            </w:r>
          </w:p>
        </w:tc>
        <w:tc>
          <w:tcPr>
            <w:tcW w:w="1709" w:type="pct"/>
          </w:tcPr>
          <w:p w14:paraId="32A13490" w14:textId="49C48BF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中華民國刑法第三百十二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修正重點：周延保護死者之人格名譽權。）</w:t>
            </w:r>
          </w:p>
        </w:tc>
        <w:tc>
          <w:tcPr>
            <w:tcW w:w="1139" w:type="pct"/>
          </w:tcPr>
          <w:p w14:paraId="1F685CC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01BD0AE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C57FF0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04B07E5D" w14:textId="66DEC75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928" w:type="pct"/>
          </w:tcPr>
          <w:p w14:paraId="01EC7A33" w14:textId="64F1EC4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818A3C8" w14:textId="7F9B264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54806ED" w14:textId="77777777" w:rsidTr="0086120E">
        <w:tc>
          <w:tcPr>
            <w:tcW w:w="356" w:type="pct"/>
          </w:tcPr>
          <w:p w14:paraId="619F86BC" w14:textId="65E33F1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124</w:t>
            </w:r>
          </w:p>
        </w:tc>
        <w:tc>
          <w:tcPr>
            <w:tcW w:w="1709" w:type="pct"/>
          </w:tcPr>
          <w:p w14:paraId="4000CD16" w14:textId="53D59BD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1.中華民國刑法施行法第七條之二、第七條之三及第七條之四條文修正草案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修正重點：配合刑法修正§77及79-1，增訂§78-1~2，使新舊法規適用明確。）</w:t>
            </w:r>
          </w:p>
        </w:tc>
        <w:tc>
          <w:tcPr>
            <w:tcW w:w="1139" w:type="pct"/>
          </w:tcPr>
          <w:p w14:paraId="4EEF89A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委員王義川</w:t>
            </w:r>
          </w:p>
          <w:p w14:paraId="568077F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19868C8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114.11.28</w:t>
            </w:r>
          </w:p>
          <w:p w14:paraId="267F59E4" w14:textId="59C9FC6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（11-4-11）</w:t>
            </w:r>
          </w:p>
        </w:tc>
        <w:tc>
          <w:tcPr>
            <w:tcW w:w="928" w:type="pct"/>
          </w:tcPr>
          <w:p w14:paraId="7EA84908" w14:textId="65333B7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EBB5F69" w14:textId="681E740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A027987" w14:textId="77777777" w:rsidTr="0086120E">
        <w:tc>
          <w:tcPr>
            <w:tcW w:w="356" w:type="pct"/>
          </w:tcPr>
          <w:p w14:paraId="173E8C64" w14:textId="4C2BA5F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125</w:t>
            </w:r>
          </w:p>
        </w:tc>
        <w:tc>
          <w:tcPr>
            <w:tcW w:w="1709" w:type="pct"/>
          </w:tcPr>
          <w:p w14:paraId="559C8715" w14:textId="110A7FA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2.中華民國刑法施行法部分條文修正草案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修正§7-2~3、10-4；增訂§7-4。修正重點：配合刑法修正§77，定明新舊法規之適用情形。）</w:t>
            </w:r>
          </w:p>
        </w:tc>
        <w:tc>
          <w:tcPr>
            <w:tcW w:w="1139" w:type="pct"/>
          </w:tcPr>
          <w:p w14:paraId="51976B6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委員王美惠</w:t>
            </w:r>
          </w:p>
          <w:p w14:paraId="38FF750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3B3972F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115.07.03</w:t>
            </w:r>
          </w:p>
          <w:p w14:paraId="10931360" w14:textId="25FD783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（11-5-16）</w:t>
            </w:r>
          </w:p>
        </w:tc>
        <w:tc>
          <w:tcPr>
            <w:tcW w:w="928" w:type="pct"/>
          </w:tcPr>
          <w:p w14:paraId="755B0763" w14:textId="240B5FF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85257E3" w14:textId="55F3253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ED6F22F" w14:textId="77777777" w:rsidTr="0086120E">
        <w:tc>
          <w:tcPr>
            <w:tcW w:w="356" w:type="pct"/>
          </w:tcPr>
          <w:p w14:paraId="4BFD169F" w14:textId="420A998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126</w:t>
            </w:r>
          </w:p>
        </w:tc>
        <w:tc>
          <w:tcPr>
            <w:tcW w:w="1709" w:type="pct"/>
          </w:tcPr>
          <w:p w14:paraId="47599EDD" w14:textId="3155AD1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3.中華民國刑法施行法部分條文修正草案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修正§7-2~3、10-4；增訂§7-4。修正重點：配合刑法修正§77，定明新舊法規之適用情形。）</w:t>
            </w:r>
          </w:p>
        </w:tc>
        <w:tc>
          <w:tcPr>
            <w:tcW w:w="1139" w:type="pct"/>
          </w:tcPr>
          <w:p w14:paraId="669436E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5F0AC4D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3B2E10D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3E0558B2" w14:textId="7148224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928" w:type="pct"/>
          </w:tcPr>
          <w:p w14:paraId="6E287C7A" w14:textId="00D5899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23C5007" w14:textId="1BD8014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F25317E" w14:textId="77777777" w:rsidTr="0086120E">
        <w:tc>
          <w:tcPr>
            <w:tcW w:w="356" w:type="pct"/>
          </w:tcPr>
          <w:p w14:paraId="1715E685" w14:textId="59ED3A2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127</w:t>
            </w:r>
          </w:p>
        </w:tc>
        <w:tc>
          <w:tcPr>
            <w:tcW w:w="1709" w:type="pct"/>
          </w:tcPr>
          <w:p w14:paraId="3E393018" w14:textId="190DC8D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4.中華民國刑法施行法第七條之二、第七條之三及第十條之四條文修正草案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修正重點：配合刑法修正§77，修正相關過渡條文。）</w:t>
            </w:r>
          </w:p>
        </w:tc>
        <w:tc>
          <w:tcPr>
            <w:tcW w:w="1139" w:type="pct"/>
          </w:tcPr>
          <w:p w14:paraId="675AD23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委員廖偉翔</w:t>
            </w:r>
          </w:p>
          <w:p w14:paraId="223F637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74D7C41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115.07.24</w:t>
            </w:r>
          </w:p>
          <w:p w14:paraId="70A25DE7" w14:textId="148B7E5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（11-5-19）</w:t>
            </w:r>
          </w:p>
        </w:tc>
        <w:tc>
          <w:tcPr>
            <w:tcW w:w="928" w:type="pct"/>
          </w:tcPr>
          <w:p w14:paraId="1FF95391" w14:textId="7B840B2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B07A3D7" w14:textId="44AD096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8CBA20A" w14:textId="77777777" w:rsidTr="0086120E">
        <w:tc>
          <w:tcPr>
            <w:tcW w:w="356" w:type="pct"/>
          </w:tcPr>
          <w:p w14:paraId="40E88611" w14:textId="311AE5D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128</w:t>
            </w:r>
          </w:p>
        </w:tc>
        <w:tc>
          <w:tcPr>
            <w:tcW w:w="1709" w:type="pct"/>
          </w:tcPr>
          <w:p w14:paraId="336C051B" w14:textId="7546EA6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5.中華民國刑法施行法部分條文修正草案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修正§7-2~3、10-4；增訂§7-4。修正重點：配合刑法修正§77，定明新舊法規之適用</w:t>
            </w:r>
            <w:r w:rsidRPr="001B6E4D">
              <w:rPr>
                <w:rFonts w:hAnsi="標楷體" w:cs="Times New Roman"/>
                <w:color w:val="000000" w:themeColor="text1"/>
                <w:sz w:val="24"/>
                <w:szCs w:val="24"/>
              </w:rPr>
              <w:lastRenderedPageBreak/>
              <w:t>情形。）</w:t>
            </w:r>
          </w:p>
        </w:tc>
        <w:tc>
          <w:tcPr>
            <w:tcW w:w="1139" w:type="pct"/>
          </w:tcPr>
          <w:p w14:paraId="242016C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委員王育敏</w:t>
            </w:r>
          </w:p>
          <w:p w14:paraId="7E15B47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1B8341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115.08.07</w:t>
            </w:r>
          </w:p>
          <w:p w14:paraId="5316D788" w14:textId="32B2EC2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（11-5-21）</w:t>
            </w:r>
          </w:p>
        </w:tc>
        <w:tc>
          <w:tcPr>
            <w:tcW w:w="928" w:type="pct"/>
          </w:tcPr>
          <w:p w14:paraId="2E576A54" w14:textId="3CA8B96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A96DDE6" w14:textId="69C6E27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CF3E8A3" w14:textId="77777777" w:rsidTr="0086120E">
        <w:tc>
          <w:tcPr>
            <w:tcW w:w="356" w:type="pct"/>
          </w:tcPr>
          <w:p w14:paraId="7714192B" w14:textId="0ADBD0E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129</w:t>
            </w:r>
          </w:p>
        </w:tc>
        <w:tc>
          <w:tcPr>
            <w:tcW w:w="1709" w:type="pct"/>
          </w:tcPr>
          <w:p w14:paraId="59168805" w14:textId="6749337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6.中華民國刑法施行法部分條文修正草案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修正§7-2~3；增訂§7-4、10-4。修正重點：配合刑法修正§77，明確規範新舊法規之適用原則。）</w:t>
            </w:r>
          </w:p>
        </w:tc>
        <w:tc>
          <w:tcPr>
            <w:tcW w:w="1139" w:type="pct"/>
          </w:tcPr>
          <w:p w14:paraId="1071D3C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委員郭昱晴</w:t>
            </w:r>
          </w:p>
          <w:p w14:paraId="79D5F49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2014743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115.08.14</w:t>
            </w:r>
          </w:p>
          <w:p w14:paraId="65310C10" w14:textId="4BBBEA8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（11-5-22）</w:t>
            </w:r>
          </w:p>
        </w:tc>
        <w:tc>
          <w:tcPr>
            <w:tcW w:w="928" w:type="pct"/>
          </w:tcPr>
          <w:p w14:paraId="25A8C038" w14:textId="4C1B27C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5E2E83A" w14:textId="3DAB9AA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5274A51" w14:textId="77777777" w:rsidTr="0086120E">
        <w:tc>
          <w:tcPr>
            <w:tcW w:w="356" w:type="pct"/>
          </w:tcPr>
          <w:p w14:paraId="3430A0D0" w14:textId="0D47E46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130</w:t>
            </w:r>
          </w:p>
        </w:tc>
        <w:tc>
          <w:tcPr>
            <w:tcW w:w="1709" w:type="pct"/>
          </w:tcPr>
          <w:p w14:paraId="48961F1B" w14:textId="24662A5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1.中華民國刑法施行法第八條之二條文修正草案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修正重點：配合刑法修正§80，明確規範修正後法律之適用範圍。）</w:t>
            </w:r>
          </w:p>
        </w:tc>
        <w:tc>
          <w:tcPr>
            <w:tcW w:w="1139" w:type="pct"/>
          </w:tcPr>
          <w:p w14:paraId="7A8863B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委員徐巧芯</w:t>
            </w:r>
          </w:p>
          <w:p w14:paraId="5D660DF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F32964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115.06.26</w:t>
            </w:r>
          </w:p>
          <w:p w14:paraId="278E9DCB" w14:textId="42BBB13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（11-5-15）</w:t>
            </w:r>
          </w:p>
        </w:tc>
        <w:tc>
          <w:tcPr>
            <w:tcW w:w="928" w:type="pct"/>
          </w:tcPr>
          <w:p w14:paraId="25484539" w14:textId="2CF0FBA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0945254" w14:textId="7D67868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BF8DC3E" w14:textId="77777777" w:rsidTr="0086120E">
        <w:tc>
          <w:tcPr>
            <w:tcW w:w="356" w:type="pct"/>
          </w:tcPr>
          <w:p w14:paraId="3F5ACB2F" w14:textId="544EE1C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131</w:t>
            </w:r>
          </w:p>
        </w:tc>
        <w:tc>
          <w:tcPr>
            <w:tcW w:w="1709" w:type="pct"/>
          </w:tcPr>
          <w:p w14:paraId="1931A809" w14:textId="09D5C1F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2.中華民國刑法施行法第八條之二條文修正草案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修正重點：配合刑法修正§80，明確新舊法轉換之適用標準。）</w:t>
            </w:r>
          </w:p>
        </w:tc>
        <w:tc>
          <w:tcPr>
            <w:tcW w:w="1139" w:type="pct"/>
          </w:tcPr>
          <w:p w14:paraId="5A3FBE6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委員廖偉翔</w:t>
            </w:r>
          </w:p>
          <w:p w14:paraId="5A79188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72AE4D4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115.07.03</w:t>
            </w:r>
          </w:p>
          <w:p w14:paraId="799C8C07" w14:textId="23D7880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（11-5-16）</w:t>
            </w:r>
          </w:p>
        </w:tc>
        <w:tc>
          <w:tcPr>
            <w:tcW w:w="928" w:type="pct"/>
          </w:tcPr>
          <w:p w14:paraId="05B4EC7F" w14:textId="2947229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8E172AC" w14:textId="6E46D4C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AA26ED4" w14:textId="77777777" w:rsidTr="0086120E">
        <w:tc>
          <w:tcPr>
            <w:tcW w:w="356" w:type="pct"/>
          </w:tcPr>
          <w:p w14:paraId="2526135D" w14:textId="499FA4E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132</w:t>
            </w:r>
          </w:p>
        </w:tc>
        <w:tc>
          <w:tcPr>
            <w:tcW w:w="1709" w:type="pct"/>
          </w:tcPr>
          <w:p w14:paraId="40C18C49" w14:textId="6E7D683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1.「民法親屬編部分條文修正草案」及「民法親屬編施行法增訂第七條之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1】民法修正§999-1、1022、1052~1054、1057、1115、1116、1116-1、1118、1118-1、1119；增訂§1057-1~5。修正重點：檢討現行裁判離婚原因及離婚後財產上效力規範相關規定。【2】民法親屬編施行法增訂重點：施行前所發生之事實，依修正後規定得為離婚之原因者，亦得提起離婚之訴。)</w:t>
            </w:r>
          </w:p>
        </w:tc>
        <w:tc>
          <w:tcPr>
            <w:tcW w:w="1139" w:type="pct"/>
          </w:tcPr>
          <w:p w14:paraId="04D4068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行政院、司法院</w:t>
            </w:r>
          </w:p>
          <w:p w14:paraId="550C2C4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114.09.30</w:t>
            </w:r>
          </w:p>
          <w:p w14:paraId="41CDDB5C" w14:textId="4F0BB6E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（11-4-2）</w:t>
            </w:r>
          </w:p>
        </w:tc>
        <w:tc>
          <w:tcPr>
            <w:tcW w:w="928" w:type="pct"/>
          </w:tcPr>
          <w:p w14:paraId="11653782" w14:textId="258001A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9D2F5C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D2C517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730F3CF5" w14:textId="483D876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30C755D3" w14:textId="77777777" w:rsidTr="0086120E">
        <w:tc>
          <w:tcPr>
            <w:tcW w:w="356" w:type="pct"/>
          </w:tcPr>
          <w:p w14:paraId="34827D2E" w14:textId="130B39E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133</w:t>
            </w:r>
          </w:p>
        </w:tc>
        <w:tc>
          <w:tcPr>
            <w:tcW w:w="1709" w:type="pct"/>
          </w:tcPr>
          <w:p w14:paraId="0D09101A" w14:textId="75123B2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修正§999-1、1057；增訂§1057-1~5。修正重點：平衡婚姻存續</w:t>
            </w:r>
            <w:proofErr w:type="gramStart"/>
            <w:r w:rsidRPr="001B6E4D">
              <w:rPr>
                <w:rFonts w:hAnsi="標楷體" w:cs="Times New Roman"/>
                <w:color w:val="000000" w:themeColor="text1"/>
                <w:sz w:val="24"/>
                <w:szCs w:val="24"/>
              </w:rPr>
              <w:t>期間，</w:t>
            </w:r>
            <w:proofErr w:type="gramEnd"/>
            <w:r w:rsidRPr="001B6E4D">
              <w:rPr>
                <w:rFonts w:hAnsi="標楷體" w:cs="Times New Roman"/>
                <w:color w:val="000000" w:themeColor="text1"/>
                <w:sz w:val="24"/>
                <w:szCs w:val="24"/>
              </w:rPr>
              <w:t>婚姻之一方因投入婚姻家庭至</w:t>
            </w:r>
            <w:r w:rsidRPr="001B6E4D">
              <w:rPr>
                <w:rFonts w:hAnsi="標楷體" w:cs="Times New Roman"/>
                <w:color w:val="000000" w:themeColor="text1"/>
                <w:sz w:val="24"/>
                <w:szCs w:val="24"/>
              </w:rPr>
              <w:lastRenderedPageBreak/>
              <w:t>就業能力降低或喪失，造成經濟之不平等，並補償其對婚姻家庭之貢獻，</w:t>
            </w:r>
            <w:proofErr w:type="gramStart"/>
            <w:r w:rsidRPr="001B6E4D">
              <w:rPr>
                <w:rFonts w:hAnsi="標楷體" w:cs="Times New Roman"/>
                <w:color w:val="000000" w:themeColor="text1"/>
                <w:sz w:val="24"/>
                <w:szCs w:val="24"/>
              </w:rPr>
              <w:t>俾</w:t>
            </w:r>
            <w:proofErr w:type="gramEnd"/>
            <w:r w:rsidRPr="001B6E4D">
              <w:rPr>
                <w:rFonts w:hAnsi="標楷體" w:cs="Times New Roman"/>
                <w:color w:val="000000" w:themeColor="text1"/>
                <w:sz w:val="24"/>
                <w:szCs w:val="24"/>
              </w:rPr>
              <w:t>使因離婚後面臨</w:t>
            </w:r>
            <w:proofErr w:type="gramStart"/>
            <w:r w:rsidRPr="001B6E4D">
              <w:rPr>
                <w:rFonts w:hAnsi="標楷體" w:cs="Times New Roman"/>
                <w:color w:val="000000" w:themeColor="text1"/>
                <w:sz w:val="24"/>
                <w:szCs w:val="24"/>
              </w:rPr>
              <w:t>復歸職場</w:t>
            </w:r>
            <w:proofErr w:type="gramEnd"/>
            <w:r w:rsidRPr="001B6E4D">
              <w:rPr>
                <w:rFonts w:hAnsi="標楷體" w:cs="Times New Roman"/>
                <w:color w:val="000000" w:themeColor="text1"/>
                <w:sz w:val="24"/>
                <w:szCs w:val="24"/>
              </w:rPr>
              <w:t>之困境，得向他方請求贍養費。）</w:t>
            </w:r>
          </w:p>
        </w:tc>
        <w:tc>
          <w:tcPr>
            <w:tcW w:w="1139" w:type="pct"/>
          </w:tcPr>
          <w:p w14:paraId="408783D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w:t>
            </w:r>
            <w:proofErr w:type="gramStart"/>
            <w:r w:rsidRPr="001B6E4D">
              <w:rPr>
                <w:rFonts w:ascii="標楷體" w:eastAsia="標楷體" w:hAnsi="標楷體"/>
                <w:color w:val="000000" w:themeColor="text1"/>
                <w:sz w:val="24"/>
              </w:rPr>
              <w:t>范</w:t>
            </w:r>
            <w:proofErr w:type="gramEnd"/>
            <w:r w:rsidRPr="001B6E4D">
              <w:rPr>
                <w:rFonts w:ascii="標楷體" w:eastAsia="標楷體" w:hAnsi="標楷體"/>
                <w:color w:val="000000" w:themeColor="text1"/>
                <w:sz w:val="24"/>
              </w:rPr>
              <w:t>雲</w:t>
            </w:r>
          </w:p>
          <w:p w14:paraId="29D998B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1BC359A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49300151" w14:textId="30531A9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（11-1-3）</w:t>
            </w:r>
          </w:p>
        </w:tc>
        <w:tc>
          <w:tcPr>
            <w:tcW w:w="928" w:type="pct"/>
          </w:tcPr>
          <w:p w14:paraId="51AF50F9" w14:textId="06EA0B3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482061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6B30F6B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4DC24469" w14:textId="50760AE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w:t>
            </w:r>
            <w:r w:rsidRPr="001B6E4D">
              <w:rPr>
                <w:rFonts w:ascii="標楷體" w:eastAsia="標楷體" w:hAnsi="標楷體"/>
                <w:color w:val="000000" w:themeColor="text1"/>
                <w:sz w:val="24"/>
              </w:rPr>
              <w:lastRenderedPageBreak/>
              <w:t>繼續審查。</w:t>
            </w:r>
          </w:p>
        </w:tc>
      </w:tr>
      <w:tr w:rsidR="00FC42F6" w:rsidRPr="001B6E4D" w14:paraId="4CA3CDA6" w14:textId="77777777" w:rsidTr="0086120E">
        <w:tc>
          <w:tcPr>
            <w:tcW w:w="356" w:type="pct"/>
          </w:tcPr>
          <w:p w14:paraId="6A3445C8" w14:textId="463D5F9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134</w:t>
            </w:r>
          </w:p>
        </w:tc>
        <w:tc>
          <w:tcPr>
            <w:tcW w:w="1709" w:type="pct"/>
          </w:tcPr>
          <w:p w14:paraId="72660A75" w14:textId="7ADC2BC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修正§999-1、1057；增訂§1057-1~5。修正重點：通盤檢討贍養費制度，並刪除現行請求贍養費限於「無過失」及「裁判離婚」條件。）</w:t>
            </w:r>
          </w:p>
        </w:tc>
        <w:tc>
          <w:tcPr>
            <w:tcW w:w="1139" w:type="pct"/>
          </w:tcPr>
          <w:p w14:paraId="056447C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委員陳素月</w:t>
            </w:r>
          </w:p>
          <w:p w14:paraId="732291C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104076F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6EAD6E0A" w14:textId="142171C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（11-1-7）</w:t>
            </w:r>
          </w:p>
        </w:tc>
        <w:tc>
          <w:tcPr>
            <w:tcW w:w="928" w:type="pct"/>
          </w:tcPr>
          <w:p w14:paraId="0E635D56" w14:textId="36DE929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DC3304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64206FA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15006EB5" w14:textId="4B67712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5500EBC" w14:textId="77777777" w:rsidTr="0086120E">
        <w:tc>
          <w:tcPr>
            <w:tcW w:w="356" w:type="pct"/>
          </w:tcPr>
          <w:p w14:paraId="4315467A" w14:textId="0B2CFF9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135</w:t>
            </w:r>
          </w:p>
        </w:tc>
        <w:tc>
          <w:tcPr>
            <w:tcW w:w="1709" w:type="pct"/>
          </w:tcPr>
          <w:p w14:paraId="223D82C0" w14:textId="54995EA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4.民法第一千零三十條之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修正重點：增訂夫妻間無償贈與，若有意思表示贈與為受贈人特定財產者，始得不列入剩餘財產範圍。）</w:t>
            </w:r>
          </w:p>
        </w:tc>
        <w:tc>
          <w:tcPr>
            <w:tcW w:w="1139" w:type="pct"/>
          </w:tcPr>
          <w:p w14:paraId="65209F4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委員吳秉</w:t>
            </w:r>
            <w:proofErr w:type="gramStart"/>
            <w:r w:rsidRPr="001B6E4D">
              <w:rPr>
                <w:rFonts w:ascii="標楷體" w:eastAsia="標楷體" w:hAnsi="標楷體"/>
                <w:color w:val="000000" w:themeColor="text1"/>
                <w:sz w:val="24"/>
              </w:rPr>
              <w:t>叡</w:t>
            </w:r>
            <w:proofErr w:type="gramEnd"/>
          </w:p>
          <w:p w14:paraId="2F8B528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0EEA599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113.04.09</w:t>
            </w:r>
          </w:p>
          <w:p w14:paraId="28C0E832" w14:textId="4F7CC1F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（11-1-8）</w:t>
            </w:r>
          </w:p>
        </w:tc>
        <w:tc>
          <w:tcPr>
            <w:tcW w:w="928" w:type="pct"/>
          </w:tcPr>
          <w:p w14:paraId="0B989E95" w14:textId="3D6E522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9796B5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218D07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79087A7D" w14:textId="5D030EF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F8D795F" w14:textId="77777777" w:rsidTr="0086120E">
        <w:tc>
          <w:tcPr>
            <w:tcW w:w="356" w:type="pct"/>
          </w:tcPr>
          <w:p w14:paraId="7B522FEA" w14:textId="4ADC329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136</w:t>
            </w:r>
          </w:p>
        </w:tc>
        <w:tc>
          <w:tcPr>
            <w:tcW w:w="1709" w:type="pct"/>
          </w:tcPr>
          <w:p w14:paraId="1B051A3F" w14:textId="6B489B5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修正§999-1、1022、1052~1054、1057、1115、1116、1116-1、1118、1118-1、1119；增訂§1057-1~5。修正重點：檢討現行裁判離婚原因及離婚後財產上效力規範相關規定。）</w:t>
            </w:r>
          </w:p>
        </w:tc>
        <w:tc>
          <w:tcPr>
            <w:tcW w:w="1139" w:type="pct"/>
          </w:tcPr>
          <w:p w14:paraId="5E987D7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委員鄭天財</w:t>
            </w:r>
          </w:p>
          <w:p w14:paraId="1B111126" w14:textId="77777777" w:rsidR="00FC42F6" w:rsidRPr="001B6E4D" w:rsidRDefault="00FC42F6"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Sra</w:t>
            </w:r>
            <w:proofErr w:type="spellEnd"/>
            <w:r w:rsidRPr="001B6E4D">
              <w:rPr>
                <w:rFonts w:ascii="標楷體" w:eastAsia="標楷體" w:hAnsi="標楷體"/>
                <w:color w:val="000000" w:themeColor="text1"/>
                <w:sz w:val="24"/>
              </w:rPr>
              <w:t xml:space="preserve"> </w:t>
            </w:r>
            <w:proofErr w:type="spellStart"/>
            <w:r w:rsidRPr="001B6E4D">
              <w:rPr>
                <w:rFonts w:ascii="標楷體" w:eastAsia="標楷體" w:hAnsi="標楷體"/>
                <w:color w:val="000000" w:themeColor="text1"/>
                <w:sz w:val="24"/>
              </w:rPr>
              <w:t>Kacaw</w:t>
            </w:r>
            <w:proofErr w:type="spellEnd"/>
          </w:p>
          <w:p w14:paraId="78CBA20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37134AA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114.03.07</w:t>
            </w:r>
          </w:p>
          <w:p w14:paraId="07E1551E" w14:textId="7A246C7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（11-3-4）</w:t>
            </w:r>
          </w:p>
        </w:tc>
        <w:tc>
          <w:tcPr>
            <w:tcW w:w="928" w:type="pct"/>
          </w:tcPr>
          <w:p w14:paraId="6A8B0F2D" w14:textId="43525F1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189457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A3BDF9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73D222C9" w14:textId="45FCB3F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0773DC43" w14:textId="77777777" w:rsidTr="0086120E">
        <w:tc>
          <w:tcPr>
            <w:tcW w:w="356" w:type="pct"/>
          </w:tcPr>
          <w:p w14:paraId="51761132" w14:textId="150525F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137</w:t>
            </w:r>
          </w:p>
        </w:tc>
        <w:tc>
          <w:tcPr>
            <w:tcW w:w="1709" w:type="pct"/>
          </w:tcPr>
          <w:p w14:paraId="397E8348" w14:textId="4DC1CDA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修正§999-1、1022、1052~1054、1057、1115、1116、1116-1、1118、1118-1、1119；增訂§1057-1~5、1058-1~2；刪除§1089-1。修正重點：檢討現行裁判離婚原因及離婚後財產上效力規範。）</w:t>
            </w:r>
          </w:p>
        </w:tc>
        <w:tc>
          <w:tcPr>
            <w:tcW w:w="1139" w:type="pct"/>
          </w:tcPr>
          <w:p w14:paraId="56FA5A4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委員沈發惠</w:t>
            </w:r>
          </w:p>
          <w:p w14:paraId="5D66D23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4C9BD2E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114.03.21</w:t>
            </w:r>
          </w:p>
          <w:p w14:paraId="184EF208" w14:textId="10F623D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（11-3-6）</w:t>
            </w:r>
          </w:p>
        </w:tc>
        <w:tc>
          <w:tcPr>
            <w:tcW w:w="928" w:type="pct"/>
          </w:tcPr>
          <w:p w14:paraId="27A7D016" w14:textId="228CF6A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6901E3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1E4DED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6BE691CA" w14:textId="14454EC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19DFB411" w14:textId="77777777" w:rsidTr="0086120E">
        <w:tc>
          <w:tcPr>
            <w:tcW w:w="356" w:type="pct"/>
          </w:tcPr>
          <w:p w14:paraId="02D59CC8" w14:textId="66C0E56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138</w:t>
            </w:r>
          </w:p>
        </w:tc>
        <w:tc>
          <w:tcPr>
            <w:tcW w:w="1709" w:type="pct"/>
          </w:tcPr>
          <w:p w14:paraId="57EC5F19" w14:textId="0764AF3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7.民法部分條文修正草案</w:t>
            </w:r>
            <w:proofErr w:type="gramStart"/>
            <w:r w:rsidRPr="001B6E4D">
              <w:rPr>
                <w:rFonts w:hAnsi="標楷體" w:cs="Times New Roman"/>
                <w:color w:val="000000" w:themeColor="text1"/>
                <w:sz w:val="24"/>
                <w:szCs w:val="24"/>
              </w:rPr>
              <w:lastRenderedPageBreak/>
              <w:t>（</w:t>
            </w:r>
            <w:proofErr w:type="gramEnd"/>
            <w:r w:rsidRPr="001B6E4D">
              <w:rPr>
                <w:rFonts w:hAnsi="標楷體" w:cs="Times New Roman"/>
                <w:color w:val="000000" w:themeColor="text1"/>
                <w:sz w:val="24"/>
                <w:szCs w:val="24"/>
              </w:rPr>
              <w:t>修正§999-1、1022、1030-1、1041、1052~1054、1057；增訂§1057-1~5、1058-1~2；刪除§1089-1。修正重點：修正婚姻制度之離婚事由、贍養費、剩餘財產分配相關規範。）</w:t>
            </w:r>
          </w:p>
        </w:tc>
        <w:tc>
          <w:tcPr>
            <w:tcW w:w="1139" w:type="pct"/>
          </w:tcPr>
          <w:p w14:paraId="2F02C60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w:t>
            </w:r>
            <w:proofErr w:type="gramStart"/>
            <w:r w:rsidRPr="001B6E4D">
              <w:rPr>
                <w:rFonts w:ascii="標楷體" w:eastAsia="標楷體" w:hAnsi="標楷體"/>
                <w:color w:val="000000" w:themeColor="text1"/>
                <w:sz w:val="24"/>
              </w:rPr>
              <w:t>范</w:t>
            </w:r>
            <w:proofErr w:type="gramEnd"/>
            <w:r w:rsidRPr="001B6E4D">
              <w:rPr>
                <w:rFonts w:ascii="標楷體" w:eastAsia="標楷體" w:hAnsi="標楷體"/>
                <w:color w:val="000000" w:themeColor="text1"/>
                <w:sz w:val="24"/>
              </w:rPr>
              <w:t>雲</w:t>
            </w:r>
          </w:p>
          <w:p w14:paraId="1873923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等19人</w:t>
            </w:r>
          </w:p>
          <w:p w14:paraId="24BD577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114.03.21</w:t>
            </w:r>
          </w:p>
          <w:p w14:paraId="6BDD2A34" w14:textId="0ED16A5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（11-3-6）</w:t>
            </w:r>
          </w:p>
        </w:tc>
        <w:tc>
          <w:tcPr>
            <w:tcW w:w="928" w:type="pct"/>
          </w:tcPr>
          <w:p w14:paraId="1EA90108" w14:textId="41D145E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12099D6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5E9645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115.4.23</w:t>
            </w:r>
          </w:p>
          <w:p w14:paraId="5499585C" w14:textId="35BB669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43359C1F" w14:textId="77777777" w:rsidTr="0086120E">
        <w:tc>
          <w:tcPr>
            <w:tcW w:w="356" w:type="pct"/>
          </w:tcPr>
          <w:p w14:paraId="360BA035" w14:textId="48D26C9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139</w:t>
            </w:r>
          </w:p>
        </w:tc>
        <w:tc>
          <w:tcPr>
            <w:tcW w:w="1709" w:type="pct"/>
          </w:tcPr>
          <w:p w14:paraId="770DD549" w14:textId="71F25B9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修正§999-1、1022、1052~1054、1056、1057、1115、1116、1116-1、1118、1118-1、1119；增訂§1057-1~5。修正重點：檢討現行裁判離婚原因及離婚後財產上效力規範。）</w:t>
            </w:r>
          </w:p>
        </w:tc>
        <w:tc>
          <w:tcPr>
            <w:tcW w:w="1139" w:type="pct"/>
          </w:tcPr>
          <w:p w14:paraId="1EF6D40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委員林月琴</w:t>
            </w:r>
          </w:p>
          <w:p w14:paraId="7E30571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1F89418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00B97ECF" w14:textId="6FA3B8C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67427CA6" w14:textId="1A9B1F6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D278FC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31C4B0E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7CB4E802" w14:textId="61C4147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6AAEC0D5" w14:textId="77777777" w:rsidTr="0086120E">
        <w:tc>
          <w:tcPr>
            <w:tcW w:w="356" w:type="pct"/>
          </w:tcPr>
          <w:p w14:paraId="7AB333CA" w14:textId="7798AC2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140</w:t>
            </w:r>
          </w:p>
        </w:tc>
        <w:tc>
          <w:tcPr>
            <w:tcW w:w="1709" w:type="pct"/>
          </w:tcPr>
          <w:p w14:paraId="47D6C71D" w14:textId="470E3BB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修正§999-1、1022、1052~1054、1057、1115、1116、1116-1、1118、1118-1、1119；增訂§1057-1~5。修正重點：檢討現行裁判離婚原因及離婚後財產上效力規範。）</w:t>
            </w:r>
          </w:p>
        </w:tc>
        <w:tc>
          <w:tcPr>
            <w:tcW w:w="1139" w:type="pct"/>
          </w:tcPr>
          <w:p w14:paraId="201C581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委員蔡易餘</w:t>
            </w:r>
          </w:p>
          <w:p w14:paraId="7A6CDA4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CFEA0C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437CE5B4" w14:textId="0F6B853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2984FE50" w14:textId="3C239B8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7C49DD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CE9736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6E1D0752" w14:textId="22FC951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0A23F449" w14:textId="77777777" w:rsidTr="0086120E">
        <w:tc>
          <w:tcPr>
            <w:tcW w:w="356" w:type="pct"/>
          </w:tcPr>
          <w:p w14:paraId="4D28A8E2" w14:textId="6297E65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141</w:t>
            </w:r>
          </w:p>
        </w:tc>
        <w:tc>
          <w:tcPr>
            <w:tcW w:w="1709" w:type="pct"/>
          </w:tcPr>
          <w:p w14:paraId="2BE3C975" w14:textId="4E1E602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修正§999-1、1022、1052~1054、1057、1115、1116、1116-1、1118、1118-1、1119；增訂§1057-1~5。修正重點：檢討現行裁判離婚原因及離婚後財產上效力規範。）</w:t>
            </w:r>
          </w:p>
        </w:tc>
        <w:tc>
          <w:tcPr>
            <w:tcW w:w="1139" w:type="pct"/>
          </w:tcPr>
          <w:p w14:paraId="1D2D83A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7621238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705D5EF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6FE8D150" w14:textId="4911110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51B2D43C" w14:textId="514678B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74BB58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6E7F5DB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5484EA79" w14:textId="273A603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93CA85D" w14:textId="77777777" w:rsidTr="0086120E">
        <w:tc>
          <w:tcPr>
            <w:tcW w:w="356" w:type="pct"/>
          </w:tcPr>
          <w:p w14:paraId="205F3D35" w14:textId="14EA338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142</w:t>
            </w:r>
          </w:p>
        </w:tc>
        <w:tc>
          <w:tcPr>
            <w:tcW w:w="1709" w:type="pct"/>
          </w:tcPr>
          <w:p w14:paraId="00BBE5F0" w14:textId="324059B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11.「民法部分條文修正草案」及「民法親屬編施行法增訂第七條之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條文草案」(【1】民法修正§1022、1052~1054、</w:t>
            </w:r>
            <w:r w:rsidRPr="001B6E4D">
              <w:rPr>
                <w:rFonts w:hAnsi="標楷體" w:cs="Times New Roman"/>
                <w:color w:val="000000" w:themeColor="text1"/>
                <w:sz w:val="24"/>
                <w:szCs w:val="24"/>
              </w:rPr>
              <w:lastRenderedPageBreak/>
              <w:t>1115、1116、1116-1、1118、1118-1、1119。修正重點：修正裁判離婚相關規定，並修正直系血親尊親屬及卑親屬負扶養義務及受扶養權利之順序。【2】民法親屬編施行法增訂重點：施行前所發生之事實，依修正後規定得為離婚之原因者，亦得提起離婚之訴。)</w:t>
            </w:r>
          </w:p>
        </w:tc>
        <w:tc>
          <w:tcPr>
            <w:tcW w:w="1139" w:type="pct"/>
          </w:tcPr>
          <w:p w14:paraId="4302841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委員陳素月</w:t>
            </w:r>
          </w:p>
          <w:p w14:paraId="5292A42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EB0235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114.04.25</w:t>
            </w:r>
          </w:p>
          <w:p w14:paraId="44F509C4" w14:textId="2647A84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（11-3-9）</w:t>
            </w:r>
          </w:p>
        </w:tc>
        <w:tc>
          <w:tcPr>
            <w:tcW w:w="928" w:type="pct"/>
          </w:tcPr>
          <w:p w14:paraId="0784732E" w14:textId="3AF11BC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05F3B2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006DF6E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7F43706B" w14:textId="15A6CA2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w:t>
            </w:r>
            <w:r w:rsidRPr="001B6E4D">
              <w:rPr>
                <w:rFonts w:ascii="標楷體" w:eastAsia="標楷體" w:hAnsi="標楷體"/>
                <w:color w:val="000000" w:themeColor="text1"/>
                <w:sz w:val="24"/>
              </w:rPr>
              <w:lastRenderedPageBreak/>
              <w:t>繼續審查。</w:t>
            </w:r>
          </w:p>
        </w:tc>
      </w:tr>
      <w:tr w:rsidR="00FC42F6" w:rsidRPr="001B6E4D" w14:paraId="35120475" w14:textId="77777777" w:rsidTr="0086120E">
        <w:tc>
          <w:tcPr>
            <w:tcW w:w="356" w:type="pct"/>
          </w:tcPr>
          <w:p w14:paraId="0713DC6B" w14:textId="2ED0EF0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143</w:t>
            </w:r>
          </w:p>
        </w:tc>
        <w:tc>
          <w:tcPr>
            <w:tcW w:w="1709" w:type="pct"/>
          </w:tcPr>
          <w:p w14:paraId="1FFBA62D" w14:textId="63AB13E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12.民法部分條文修正草案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修正§999-1、1022、1052~1054、1057；增訂§1057-1~5。修正重點：放寬裁判離婚之要件，並強化離婚後之補償制度。）</w:t>
            </w:r>
          </w:p>
        </w:tc>
        <w:tc>
          <w:tcPr>
            <w:tcW w:w="1139" w:type="pct"/>
          </w:tcPr>
          <w:p w14:paraId="39FC4B4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委員黃捷</w:t>
            </w:r>
          </w:p>
          <w:p w14:paraId="1EE0894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27005D1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114.04.25</w:t>
            </w:r>
          </w:p>
          <w:p w14:paraId="1F52F776" w14:textId="5400EAF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（11-3-9）</w:t>
            </w:r>
          </w:p>
        </w:tc>
        <w:tc>
          <w:tcPr>
            <w:tcW w:w="928" w:type="pct"/>
          </w:tcPr>
          <w:p w14:paraId="4CEC28A8" w14:textId="1A93353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AACEA4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6A3F05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1AE0971D" w14:textId="7A4932C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72273A74" w14:textId="77777777" w:rsidTr="0086120E">
        <w:tc>
          <w:tcPr>
            <w:tcW w:w="356" w:type="pct"/>
          </w:tcPr>
          <w:p w14:paraId="0F41DCF1" w14:textId="43A9462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144</w:t>
            </w:r>
          </w:p>
        </w:tc>
        <w:tc>
          <w:tcPr>
            <w:tcW w:w="1709" w:type="pct"/>
          </w:tcPr>
          <w:p w14:paraId="6CC5B442" w14:textId="05FFCAC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13.民法部分條文修正草案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修正§999-1、1022、1052~1054、1057、1115、1116、1116-1、1118；增訂§1057-1~5。修正重點：增訂客觀之離婚條件，並配合增訂、修正贍養費之相關規定。）</w:t>
            </w:r>
          </w:p>
        </w:tc>
        <w:tc>
          <w:tcPr>
            <w:tcW w:w="1139" w:type="pct"/>
          </w:tcPr>
          <w:p w14:paraId="755EF61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委員賴惠員</w:t>
            </w:r>
          </w:p>
          <w:p w14:paraId="5713AEC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292469F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114.05.02</w:t>
            </w:r>
          </w:p>
          <w:p w14:paraId="2FF84E14" w14:textId="7501537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（11-3-10）</w:t>
            </w:r>
          </w:p>
        </w:tc>
        <w:tc>
          <w:tcPr>
            <w:tcW w:w="928" w:type="pct"/>
          </w:tcPr>
          <w:p w14:paraId="63D81E65" w14:textId="446FB11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D397A7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11B160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7512ED51" w14:textId="572896E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0FD4D606" w14:textId="77777777" w:rsidTr="0086120E">
        <w:tc>
          <w:tcPr>
            <w:tcW w:w="356" w:type="pct"/>
          </w:tcPr>
          <w:p w14:paraId="65FA620F" w14:textId="5C4284D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145</w:t>
            </w:r>
          </w:p>
        </w:tc>
        <w:tc>
          <w:tcPr>
            <w:tcW w:w="1709" w:type="pct"/>
          </w:tcPr>
          <w:p w14:paraId="5190C545" w14:textId="64344D2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14.民法部分條文修正草案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修正§999-1、1022、1052~1054、1056、1057、1115、1116、1116-1、1118、1118-1、1119；增訂§1057-1~5。修正重點：檢討並修正現行關於裁判離婚原因及離婚後財產上法律效力之相關規定。）</w:t>
            </w:r>
          </w:p>
        </w:tc>
        <w:tc>
          <w:tcPr>
            <w:tcW w:w="1139" w:type="pct"/>
          </w:tcPr>
          <w:p w14:paraId="057DB5F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委員伍麗華</w:t>
            </w:r>
          </w:p>
          <w:p w14:paraId="42BB1ED9" w14:textId="77777777" w:rsidR="00FC42F6" w:rsidRPr="001B6E4D" w:rsidRDefault="00FC42F6"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Saidhai</w:t>
            </w:r>
            <w:proofErr w:type="spellEnd"/>
            <w:r w:rsidRPr="001B6E4D">
              <w:rPr>
                <w:rFonts w:ascii="標楷體" w:eastAsia="標楷體" w:hAnsi="標楷體"/>
                <w:color w:val="000000" w:themeColor="text1"/>
                <w:sz w:val="24"/>
              </w:rPr>
              <w:t>‧</w:t>
            </w:r>
          </w:p>
          <w:p w14:paraId="1F9B3B4F" w14:textId="77777777" w:rsidR="00FC42F6" w:rsidRPr="001B6E4D" w:rsidRDefault="00FC42F6" w:rsidP="003D1018">
            <w:pPr>
              <w:overflowPunct w:val="0"/>
              <w:jc w:val="both"/>
              <w:rPr>
                <w:rFonts w:ascii="標楷體" w:eastAsia="標楷體" w:hAnsi="標楷體"/>
                <w:color w:val="000000" w:themeColor="text1"/>
                <w:sz w:val="24"/>
              </w:rPr>
            </w:pPr>
            <w:proofErr w:type="spellStart"/>
            <w:r w:rsidRPr="001B6E4D">
              <w:rPr>
                <w:rFonts w:ascii="標楷體" w:eastAsia="標楷體" w:hAnsi="標楷體"/>
                <w:color w:val="000000" w:themeColor="text1"/>
                <w:sz w:val="24"/>
              </w:rPr>
              <w:t>Tahovecahe</w:t>
            </w:r>
            <w:proofErr w:type="spellEnd"/>
          </w:p>
          <w:p w14:paraId="213EFC5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0862BF9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114.05.16</w:t>
            </w:r>
          </w:p>
          <w:p w14:paraId="24A35CAC" w14:textId="4F5CC99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（11-3-12）</w:t>
            </w:r>
          </w:p>
        </w:tc>
        <w:tc>
          <w:tcPr>
            <w:tcW w:w="928" w:type="pct"/>
          </w:tcPr>
          <w:p w14:paraId="2A27020F" w14:textId="25822CF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736742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F11DFD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3586CF8B" w14:textId="0BC6253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75491C66" w14:textId="77777777" w:rsidTr="0086120E">
        <w:tc>
          <w:tcPr>
            <w:tcW w:w="356" w:type="pct"/>
          </w:tcPr>
          <w:p w14:paraId="73236570" w14:textId="5221CF8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146</w:t>
            </w:r>
          </w:p>
        </w:tc>
        <w:tc>
          <w:tcPr>
            <w:tcW w:w="1709" w:type="pct"/>
          </w:tcPr>
          <w:p w14:paraId="2FF781E9" w14:textId="6619013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15.民法部分條文修正草案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修正§999-1、1022、1030-1、1041、1052~1054、1056、1057；</w:t>
            </w:r>
            <w:r w:rsidRPr="001B6E4D">
              <w:rPr>
                <w:rFonts w:hAnsi="標楷體" w:cs="Times New Roman"/>
                <w:color w:val="000000" w:themeColor="text1"/>
                <w:sz w:val="24"/>
                <w:szCs w:val="24"/>
              </w:rPr>
              <w:lastRenderedPageBreak/>
              <w:t>增訂§1057-1~5、1058-1~2；刪除§1089-1。修正重點：修正現行關於婚姻制度之離婚事由、贍養費及剩餘財產分配相關規範。）</w:t>
            </w:r>
          </w:p>
        </w:tc>
        <w:tc>
          <w:tcPr>
            <w:tcW w:w="1139" w:type="pct"/>
          </w:tcPr>
          <w:p w14:paraId="5963450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w:t>
            </w:r>
            <w:proofErr w:type="gramStart"/>
            <w:r w:rsidRPr="001B6E4D">
              <w:rPr>
                <w:rFonts w:ascii="標楷體" w:eastAsia="標楷體" w:hAnsi="標楷體"/>
                <w:color w:val="000000" w:themeColor="text1"/>
                <w:sz w:val="24"/>
              </w:rPr>
              <w:t>范</w:t>
            </w:r>
            <w:proofErr w:type="gramEnd"/>
            <w:r w:rsidRPr="001B6E4D">
              <w:rPr>
                <w:rFonts w:ascii="標楷體" w:eastAsia="標楷體" w:hAnsi="標楷體"/>
                <w:color w:val="000000" w:themeColor="text1"/>
                <w:sz w:val="24"/>
              </w:rPr>
              <w:t>雲</w:t>
            </w:r>
          </w:p>
          <w:p w14:paraId="505CAFB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ECD7E2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114.06.13</w:t>
            </w:r>
          </w:p>
          <w:p w14:paraId="35BC32BA" w14:textId="7C6CADD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（11-3-16）</w:t>
            </w:r>
          </w:p>
        </w:tc>
        <w:tc>
          <w:tcPr>
            <w:tcW w:w="928" w:type="pct"/>
          </w:tcPr>
          <w:p w14:paraId="0FF2E2D0" w14:textId="3AC7437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7212CA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6EBACF2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73F41150" w14:textId="0FAA8FE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w:t>
            </w:r>
            <w:r w:rsidRPr="001B6E4D">
              <w:rPr>
                <w:rFonts w:ascii="標楷體" w:eastAsia="標楷體" w:hAnsi="標楷體"/>
                <w:color w:val="000000" w:themeColor="text1"/>
                <w:sz w:val="24"/>
              </w:rPr>
              <w:lastRenderedPageBreak/>
              <w:t>畢，另定期繼續審查。</w:t>
            </w:r>
          </w:p>
        </w:tc>
      </w:tr>
      <w:tr w:rsidR="00FC42F6" w:rsidRPr="001B6E4D" w14:paraId="1DCF0C73" w14:textId="77777777" w:rsidTr="0086120E">
        <w:tc>
          <w:tcPr>
            <w:tcW w:w="356" w:type="pct"/>
          </w:tcPr>
          <w:p w14:paraId="10D37C74" w14:textId="082F560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147</w:t>
            </w:r>
          </w:p>
        </w:tc>
        <w:tc>
          <w:tcPr>
            <w:tcW w:w="1709" w:type="pct"/>
          </w:tcPr>
          <w:p w14:paraId="1C5A2A50" w14:textId="258B0C0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16.民法部分條文修正草案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修正§999-1、1022、1052~1054、1057；增訂§1057-1~5。修正重點：增訂客觀離婚條件，並調整贍養費制度。）</w:t>
            </w:r>
          </w:p>
        </w:tc>
        <w:tc>
          <w:tcPr>
            <w:tcW w:w="1139" w:type="pct"/>
          </w:tcPr>
          <w:p w14:paraId="7B6A25C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委員羅廷</w:t>
            </w:r>
            <w:proofErr w:type="gramStart"/>
            <w:r w:rsidRPr="001B6E4D">
              <w:rPr>
                <w:rFonts w:ascii="標楷體" w:eastAsia="標楷體" w:hAnsi="標楷體"/>
                <w:color w:val="000000" w:themeColor="text1"/>
                <w:sz w:val="24"/>
              </w:rPr>
              <w:t>瑋</w:t>
            </w:r>
            <w:proofErr w:type="gramEnd"/>
          </w:p>
          <w:p w14:paraId="32375A2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08B039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114.12.05</w:t>
            </w:r>
          </w:p>
          <w:p w14:paraId="5D11E97E" w14:textId="40161EE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（11-4-12）</w:t>
            </w:r>
          </w:p>
        </w:tc>
        <w:tc>
          <w:tcPr>
            <w:tcW w:w="928" w:type="pct"/>
          </w:tcPr>
          <w:p w14:paraId="13376D6E" w14:textId="3D9C0F8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D20B19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A49356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506DC297" w14:textId="4593C5C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16936649" w14:textId="77777777" w:rsidTr="0086120E">
        <w:tc>
          <w:tcPr>
            <w:tcW w:w="356" w:type="pct"/>
          </w:tcPr>
          <w:p w14:paraId="2B1D5957" w14:textId="0773A64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148</w:t>
            </w:r>
          </w:p>
        </w:tc>
        <w:tc>
          <w:tcPr>
            <w:tcW w:w="1709" w:type="pct"/>
          </w:tcPr>
          <w:p w14:paraId="1FF935F9" w14:textId="038E636D"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17.「民法部分條文修正草案」及「民法親屬編施行法增訂第七條之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1】民法修正§999-1、1030-1、1052~1054、1057、1115、1116、1116-1、1118、1118-1、1119、1120；增訂§1057-1~5。修正重點：檢討現行民法親屬編關於裁判離婚原因及離婚後財產上效力相關規定。【2】民法親屬編施行法增訂重點：確保新法規定的適用性。)</w:t>
            </w:r>
          </w:p>
        </w:tc>
        <w:tc>
          <w:tcPr>
            <w:tcW w:w="1139" w:type="pct"/>
          </w:tcPr>
          <w:p w14:paraId="0A1CB2D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委員郭昱晴</w:t>
            </w:r>
          </w:p>
          <w:p w14:paraId="0A0629C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297E06F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114.12.19</w:t>
            </w:r>
          </w:p>
          <w:p w14:paraId="1B440F23" w14:textId="62DF2B9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（11-4-14）</w:t>
            </w:r>
          </w:p>
        </w:tc>
        <w:tc>
          <w:tcPr>
            <w:tcW w:w="928" w:type="pct"/>
          </w:tcPr>
          <w:p w14:paraId="1D057E98" w14:textId="39F2703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0A5655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042C878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76D64EA1" w14:textId="3B581B3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2287D48C" w14:textId="77777777" w:rsidTr="0086120E">
        <w:tc>
          <w:tcPr>
            <w:tcW w:w="356" w:type="pct"/>
          </w:tcPr>
          <w:p w14:paraId="2FC7B24C" w14:textId="7C1FCA1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149</w:t>
            </w:r>
          </w:p>
        </w:tc>
        <w:tc>
          <w:tcPr>
            <w:tcW w:w="1709" w:type="pct"/>
          </w:tcPr>
          <w:p w14:paraId="1B0FD4CB" w14:textId="0A661B7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18.民法部分條文修正草案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修正§999-1、1052~1054、1057；增訂§1057-1~5。修正重點：離婚制度回歸婚姻是否已難以維持之實質判斷核心，並建立兼具扶養延伸與家庭分工補償功能之贍養費制度。）</w:t>
            </w:r>
          </w:p>
        </w:tc>
        <w:tc>
          <w:tcPr>
            <w:tcW w:w="1139" w:type="pct"/>
          </w:tcPr>
          <w:p w14:paraId="47460F8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65CE481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35B188D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3CDD965C" w14:textId="76DB165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28" w:type="pct"/>
          </w:tcPr>
          <w:p w14:paraId="1BDE0DC8" w14:textId="6B313D4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41B93C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1008B9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78F322B8" w14:textId="5CF7DAF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76451F02" w14:textId="77777777" w:rsidTr="0086120E">
        <w:tc>
          <w:tcPr>
            <w:tcW w:w="356" w:type="pct"/>
          </w:tcPr>
          <w:p w14:paraId="4FF1C152" w14:textId="10E86C7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150</w:t>
            </w:r>
          </w:p>
        </w:tc>
        <w:tc>
          <w:tcPr>
            <w:tcW w:w="1709" w:type="pct"/>
          </w:tcPr>
          <w:p w14:paraId="0892450D" w14:textId="6DE4D9B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19.民法部分條文修正草案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修正§999-1、1022、1052~1054、1057、1115、</w:t>
            </w:r>
            <w:r w:rsidRPr="001B6E4D">
              <w:rPr>
                <w:rFonts w:hAnsi="標楷體" w:cs="Times New Roman"/>
                <w:color w:val="000000" w:themeColor="text1"/>
                <w:sz w:val="24"/>
                <w:szCs w:val="24"/>
              </w:rPr>
              <w:lastRenderedPageBreak/>
              <w:t>1116、1116-1、1118；增訂§1057-1~5。修正重點：放寬離婚事由；使無責或弱勢配偶及未成年子女之權益，在裁判離婚程序中受到及時有效之法律保護與救濟，並獲取公平之實質補償。）</w:t>
            </w:r>
          </w:p>
        </w:tc>
        <w:tc>
          <w:tcPr>
            <w:tcW w:w="1139" w:type="pct"/>
          </w:tcPr>
          <w:p w14:paraId="2D294B4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委員邱鎮軍</w:t>
            </w:r>
          </w:p>
          <w:p w14:paraId="243AA49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8C9D42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7B6D7BE8" w14:textId="71DBDF8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（11-5-6）</w:t>
            </w:r>
          </w:p>
        </w:tc>
        <w:tc>
          <w:tcPr>
            <w:tcW w:w="928" w:type="pct"/>
          </w:tcPr>
          <w:p w14:paraId="32377189" w14:textId="2CCBFB5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2B6AAC5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3663163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432179A9" w14:textId="12574EA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w:t>
            </w:r>
            <w:r w:rsidRPr="001B6E4D">
              <w:rPr>
                <w:rFonts w:ascii="標楷體" w:eastAsia="標楷體" w:hAnsi="標楷體"/>
                <w:color w:val="000000" w:themeColor="text1"/>
                <w:sz w:val="24"/>
              </w:rPr>
              <w:lastRenderedPageBreak/>
              <w:t>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33F734D7" w14:textId="77777777" w:rsidTr="0086120E">
        <w:tc>
          <w:tcPr>
            <w:tcW w:w="356" w:type="pct"/>
          </w:tcPr>
          <w:p w14:paraId="54C38F07" w14:textId="2FB0476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151</w:t>
            </w:r>
          </w:p>
        </w:tc>
        <w:tc>
          <w:tcPr>
            <w:tcW w:w="1709" w:type="pct"/>
          </w:tcPr>
          <w:p w14:paraId="6D52F0C2" w14:textId="0C497A5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20.民法部分條文修正草案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修正§999-1、1052~1054、1057；增訂§1057-1~5。修正重點：調整離婚事由，並檢討現行離婚後財產上效力規範。）</w:t>
            </w:r>
          </w:p>
        </w:tc>
        <w:tc>
          <w:tcPr>
            <w:tcW w:w="1139" w:type="pct"/>
          </w:tcPr>
          <w:p w14:paraId="48CEAF3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委員吳思瑤</w:t>
            </w:r>
          </w:p>
          <w:p w14:paraId="3C24581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59549AB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115.05.08</w:t>
            </w:r>
          </w:p>
          <w:p w14:paraId="3441849D" w14:textId="1DC10E7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（11-5-9）</w:t>
            </w:r>
          </w:p>
        </w:tc>
        <w:tc>
          <w:tcPr>
            <w:tcW w:w="928" w:type="pct"/>
          </w:tcPr>
          <w:p w14:paraId="50895805" w14:textId="589D7AC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B415218" w14:textId="23CFAC3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8C18988" w14:textId="77777777" w:rsidTr="0086120E">
        <w:tc>
          <w:tcPr>
            <w:tcW w:w="356" w:type="pct"/>
          </w:tcPr>
          <w:p w14:paraId="2DB2F8F1" w14:textId="719E61B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152</w:t>
            </w:r>
          </w:p>
        </w:tc>
        <w:tc>
          <w:tcPr>
            <w:tcW w:w="1709" w:type="pct"/>
          </w:tcPr>
          <w:p w14:paraId="4605116A" w14:textId="5315BA2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修正重點：父母不得對子女為身心暴力行為。）</w:t>
            </w:r>
          </w:p>
        </w:tc>
        <w:tc>
          <w:tcPr>
            <w:tcW w:w="1139" w:type="pct"/>
          </w:tcPr>
          <w:p w14:paraId="2972A01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行政院、司法院</w:t>
            </w:r>
          </w:p>
          <w:p w14:paraId="2D75698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114.02.25</w:t>
            </w:r>
          </w:p>
          <w:p w14:paraId="051DD24E" w14:textId="0C5E369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（11-3-2）</w:t>
            </w:r>
          </w:p>
        </w:tc>
        <w:tc>
          <w:tcPr>
            <w:tcW w:w="928" w:type="pct"/>
          </w:tcPr>
          <w:p w14:paraId="6419B30E" w14:textId="420FA62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8F70D2E" w14:textId="5C2679F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3701E9F" w14:textId="77777777" w:rsidTr="0086120E">
        <w:tc>
          <w:tcPr>
            <w:tcW w:w="356" w:type="pct"/>
          </w:tcPr>
          <w:p w14:paraId="43C60EDB" w14:textId="72EA286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153</w:t>
            </w:r>
          </w:p>
        </w:tc>
        <w:tc>
          <w:tcPr>
            <w:tcW w:w="1709" w:type="pct"/>
          </w:tcPr>
          <w:p w14:paraId="2034C958" w14:textId="070AACB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修正重點：父母或監護人不得對子女或被監護人為身心暴力行為。）</w:t>
            </w:r>
          </w:p>
        </w:tc>
        <w:tc>
          <w:tcPr>
            <w:tcW w:w="1139" w:type="pct"/>
          </w:tcPr>
          <w:p w14:paraId="4643EF0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委員賴瑞隆</w:t>
            </w:r>
          </w:p>
          <w:p w14:paraId="3736ED6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513EC29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538F6A15" w14:textId="6FBCE95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（11-1-3）</w:t>
            </w:r>
          </w:p>
        </w:tc>
        <w:tc>
          <w:tcPr>
            <w:tcW w:w="928" w:type="pct"/>
          </w:tcPr>
          <w:p w14:paraId="3FE59C84" w14:textId="4EE99BB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6B25B94" w14:textId="0F1BE7A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60CDD3B" w14:textId="77777777" w:rsidTr="0086120E">
        <w:tc>
          <w:tcPr>
            <w:tcW w:w="356" w:type="pct"/>
          </w:tcPr>
          <w:p w14:paraId="5F539C24" w14:textId="0EC2FD2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154</w:t>
            </w:r>
          </w:p>
        </w:tc>
        <w:tc>
          <w:tcPr>
            <w:tcW w:w="1709" w:type="pct"/>
          </w:tcPr>
          <w:p w14:paraId="2599FDE0" w14:textId="20C7BAA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修正重點：指明對子女之身心暴力行為，並非親權之內涵。）</w:t>
            </w:r>
          </w:p>
        </w:tc>
        <w:tc>
          <w:tcPr>
            <w:tcW w:w="1139" w:type="pct"/>
          </w:tcPr>
          <w:p w14:paraId="7854F39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委員陳亭</w:t>
            </w:r>
            <w:proofErr w:type="gramStart"/>
            <w:r w:rsidRPr="001B6E4D">
              <w:rPr>
                <w:rFonts w:ascii="標楷體" w:eastAsia="標楷體" w:hAnsi="標楷體"/>
                <w:color w:val="000000" w:themeColor="text1"/>
                <w:sz w:val="24"/>
              </w:rPr>
              <w:t>妃</w:t>
            </w:r>
            <w:proofErr w:type="gramEnd"/>
          </w:p>
          <w:p w14:paraId="6E12309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ADEDC0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113.10.04</w:t>
            </w:r>
          </w:p>
          <w:p w14:paraId="28567DE9" w14:textId="62AB19C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（11-2-3）</w:t>
            </w:r>
          </w:p>
        </w:tc>
        <w:tc>
          <w:tcPr>
            <w:tcW w:w="928" w:type="pct"/>
          </w:tcPr>
          <w:p w14:paraId="192923E5" w14:textId="2471E33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A52D045" w14:textId="3167918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ECB6362" w14:textId="77777777" w:rsidTr="0086120E">
        <w:tc>
          <w:tcPr>
            <w:tcW w:w="356" w:type="pct"/>
          </w:tcPr>
          <w:p w14:paraId="268FE512" w14:textId="26BAB73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155</w:t>
            </w:r>
          </w:p>
        </w:tc>
        <w:tc>
          <w:tcPr>
            <w:tcW w:w="1709" w:type="pct"/>
          </w:tcPr>
          <w:p w14:paraId="7953A5B3" w14:textId="798DD61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修正重點：教養者應避免以身心暴力之手段教養。）</w:t>
            </w:r>
          </w:p>
        </w:tc>
        <w:tc>
          <w:tcPr>
            <w:tcW w:w="1139" w:type="pct"/>
          </w:tcPr>
          <w:p w14:paraId="1B133C2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4BF86B0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142DEB5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113.10.25</w:t>
            </w:r>
          </w:p>
          <w:p w14:paraId="0186ED39" w14:textId="40AA4A9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（11-2-6）</w:t>
            </w:r>
          </w:p>
        </w:tc>
        <w:tc>
          <w:tcPr>
            <w:tcW w:w="928" w:type="pct"/>
          </w:tcPr>
          <w:p w14:paraId="30474D85" w14:textId="0F99F87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A75A86E" w14:textId="75CC1EF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2B5D53F" w14:textId="77777777" w:rsidTr="0086120E">
        <w:tc>
          <w:tcPr>
            <w:tcW w:w="356" w:type="pct"/>
          </w:tcPr>
          <w:p w14:paraId="6BB07978" w14:textId="177FF64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156</w:t>
            </w:r>
          </w:p>
        </w:tc>
        <w:tc>
          <w:tcPr>
            <w:tcW w:w="1709" w:type="pct"/>
          </w:tcPr>
          <w:p w14:paraId="6C30ECBF" w14:textId="76A4FFF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修正重點：父母不得對子女為身心暴力行為。）</w:t>
            </w:r>
          </w:p>
        </w:tc>
        <w:tc>
          <w:tcPr>
            <w:tcW w:w="1139" w:type="pct"/>
          </w:tcPr>
          <w:p w14:paraId="28B87EA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委員陳俊宇</w:t>
            </w:r>
          </w:p>
          <w:p w14:paraId="48DEE65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等29人</w:t>
            </w:r>
          </w:p>
          <w:p w14:paraId="2A36869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50504569" w14:textId="08D7496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928" w:type="pct"/>
          </w:tcPr>
          <w:p w14:paraId="3283BC90" w14:textId="729BA75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2E5BDFA" w14:textId="63949ED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7BEC48A" w14:textId="77777777" w:rsidTr="0086120E">
        <w:tc>
          <w:tcPr>
            <w:tcW w:w="356" w:type="pct"/>
          </w:tcPr>
          <w:p w14:paraId="54C298EC" w14:textId="6BDE1EA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157</w:t>
            </w:r>
          </w:p>
        </w:tc>
        <w:tc>
          <w:tcPr>
            <w:tcW w:w="1709" w:type="pct"/>
          </w:tcPr>
          <w:p w14:paraId="487167B5" w14:textId="17C206ED"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lastRenderedPageBreak/>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修正重點：家長不得對子女為身心暴力之行為。）</w:t>
            </w:r>
          </w:p>
        </w:tc>
        <w:tc>
          <w:tcPr>
            <w:tcW w:w="1139" w:type="pct"/>
          </w:tcPr>
          <w:p w14:paraId="043F227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委員陳培瑜</w:t>
            </w:r>
          </w:p>
          <w:p w14:paraId="05193BD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等18人</w:t>
            </w:r>
          </w:p>
          <w:p w14:paraId="34198B6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34BC34F7" w14:textId="5307037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928" w:type="pct"/>
          </w:tcPr>
          <w:p w14:paraId="3348C2EB" w14:textId="349BACB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096A8D63" w14:textId="0212A3F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5DE4BFB" w14:textId="77777777" w:rsidTr="0086120E">
        <w:tc>
          <w:tcPr>
            <w:tcW w:w="356" w:type="pct"/>
          </w:tcPr>
          <w:p w14:paraId="4C86B71A" w14:textId="4665007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158</w:t>
            </w:r>
          </w:p>
        </w:tc>
        <w:tc>
          <w:tcPr>
            <w:tcW w:w="1709" w:type="pct"/>
          </w:tcPr>
          <w:p w14:paraId="672B3988" w14:textId="04AE45B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修正重點：教養者應避免以身心暴力之手段教養。）</w:t>
            </w:r>
          </w:p>
        </w:tc>
        <w:tc>
          <w:tcPr>
            <w:tcW w:w="1139" w:type="pct"/>
          </w:tcPr>
          <w:p w14:paraId="25A0F2F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2A96E6E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7A25ADB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113.11.08</w:t>
            </w:r>
          </w:p>
          <w:p w14:paraId="4269E7FE" w14:textId="1287533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（11-2-8）</w:t>
            </w:r>
          </w:p>
        </w:tc>
        <w:tc>
          <w:tcPr>
            <w:tcW w:w="928" w:type="pct"/>
          </w:tcPr>
          <w:p w14:paraId="73F5D0C4" w14:textId="5EA24EF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856D2B5" w14:textId="5D54759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6B00503" w14:textId="77777777" w:rsidTr="0086120E">
        <w:tc>
          <w:tcPr>
            <w:tcW w:w="356" w:type="pct"/>
          </w:tcPr>
          <w:p w14:paraId="6C15E167" w14:textId="24A1925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159</w:t>
            </w:r>
          </w:p>
        </w:tc>
        <w:tc>
          <w:tcPr>
            <w:tcW w:w="1709" w:type="pct"/>
          </w:tcPr>
          <w:p w14:paraId="1E752B20" w14:textId="2C349C1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修正重點：父母應以保護教養的手段，不可對子女為身心暴力行為。）</w:t>
            </w:r>
          </w:p>
        </w:tc>
        <w:tc>
          <w:tcPr>
            <w:tcW w:w="1139" w:type="pct"/>
          </w:tcPr>
          <w:p w14:paraId="455BF18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委員林月琴</w:t>
            </w:r>
          </w:p>
          <w:p w14:paraId="734E907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2808910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113.11.15</w:t>
            </w:r>
          </w:p>
          <w:p w14:paraId="6D0D3254" w14:textId="6BAF855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（11-2-9）</w:t>
            </w:r>
          </w:p>
        </w:tc>
        <w:tc>
          <w:tcPr>
            <w:tcW w:w="928" w:type="pct"/>
          </w:tcPr>
          <w:p w14:paraId="2E50A572" w14:textId="291AE10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6E7D3AA" w14:textId="703DE5A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F818F78" w14:textId="77777777" w:rsidTr="0086120E">
        <w:tc>
          <w:tcPr>
            <w:tcW w:w="356" w:type="pct"/>
          </w:tcPr>
          <w:p w14:paraId="09BD1F48" w14:textId="1EDB8EE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160</w:t>
            </w:r>
          </w:p>
        </w:tc>
        <w:tc>
          <w:tcPr>
            <w:tcW w:w="1709" w:type="pct"/>
          </w:tcPr>
          <w:p w14:paraId="3765C2CE" w14:textId="39DA85F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修正重點：父母不得對子女為身心暴力行為。）</w:t>
            </w:r>
          </w:p>
        </w:tc>
        <w:tc>
          <w:tcPr>
            <w:tcW w:w="1139" w:type="pct"/>
          </w:tcPr>
          <w:p w14:paraId="05FE857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委員蔡易餘</w:t>
            </w:r>
          </w:p>
          <w:p w14:paraId="1054140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049147E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206026A9" w14:textId="5480505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23B7D745" w14:textId="70590F6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ECA3C8B" w14:textId="50DF22F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4601EE3" w14:textId="77777777" w:rsidTr="0086120E">
        <w:tc>
          <w:tcPr>
            <w:tcW w:w="356" w:type="pct"/>
          </w:tcPr>
          <w:p w14:paraId="7869A271" w14:textId="5D53730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161</w:t>
            </w:r>
          </w:p>
        </w:tc>
        <w:tc>
          <w:tcPr>
            <w:tcW w:w="1709" w:type="pct"/>
          </w:tcPr>
          <w:p w14:paraId="0789BD91" w14:textId="3EC9C13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修正重點：父母不得對子女為身心暴力行為。）</w:t>
            </w:r>
          </w:p>
        </w:tc>
        <w:tc>
          <w:tcPr>
            <w:tcW w:w="1139" w:type="pct"/>
          </w:tcPr>
          <w:p w14:paraId="482F80A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委員林岱樺</w:t>
            </w:r>
          </w:p>
          <w:p w14:paraId="61682AB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743C6FD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11B3D668" w14:textId="4D9BB3D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3B351425" w14:textId="208D07C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E52AA67" w14:textId="0CA4F5D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ABF7CAA" w14:textId="77777777" w:rsidTr="0086120E">
        <w:tc>
          <w:tcPr>
            <w:tcW w:w="356" w:type="pct"/>
          </w:tcPr>
          <w:p w14:paraId="368DD2D7" w14:textId="1018E68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162</w:t>
            </w:r>
          </w:p>
        </w:tc>
        <w:tc>
          <w:tcPr>
            <w:tcW w:w="1709" w:type="pct"/>
          </w:tcPr>
          <w:p w14:paraId="79DE5CEA" w14:textId="7630A9B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修正重點：父母不得對子女為身心暴力行為。）</w:t>
            </w:r>
          </w:p>
        </w:tc>
        <w:tc>
          <w:tcPr>
            <w:tcW w:w="1139" w:type="pct"/>
          </w:tcPr>
          <w:p w14:paraId="5E1683A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委員馬文君</w:t>
            </w:r>
          </w:p>
          <w:p w14:paraId="20C4DB4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B1D358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018D16F6" w14:textId="6A9BEDE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1CB68208" w14:textId="39E6197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0A73C42" w14:textId="0EC411A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98CE0C1" w14:textId="77777777" w:rsidTr="0086120E">
        <w:tc>
          <w:tcPr>
            <w:tcW w:w="356" w:type="pct"/>
          </w:tcPr>
          <w:p w14:paraId="2F1E6F4C" w14:textId="0B3FA51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163</w:t>
            </w:r>
          </w:p>
        </w:tc>
        <w:tc>
          <w:tcPr>
            <w:tcW w:w="1709" w:type="pct"/>
          </w:tcPr>
          <w:p w14:paraId="3DA07733" w14:textId="6CDA512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12.民法第一千零八十五條、第一千零九十七條及第一千一百零八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修正重點：確保合理教養精神及保障未成年受監護人的財產權益。）</w:t>
            </w:r>
          </w:p>
        </w:tc>
        <w:tc>
          <w:tcPr>
            <w:tcW w:w="1139" w:type="pct"/>
          </w:tcPr>
          <w:p w14:paraId="5D26D5E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委員吳秉</w:t>
            </w:r>
            <w:proofErr w:type="gramStart"/>
            <w:r w:rsidRPr="001B6E4D">
              <w:rPr>
                <w:rFonts w:ascii="標楷體" w:eastAsia="標楷體" w:hAnsi="標楷體"/>
                <w:color w:val="000000" w:themeColor="text1"/>
                <w:sz w:val="24"/>
              </w:rPr>
              <w:t>叡</w:t>
            </w:r>
            <w:proofErr w:type="gramEnd"/>
          </w:p>
          <w:p w14:paraId="35E94F3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5290EFA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114.05.02</w:t>
            </w:r>
          </w:p>
          <w:p w14:paraId="60ACFE3B" w14:textId="1D47EC5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（11-3-10）</w:t>
            </w:r>
          </w:p>
        </w:tc>
        <w:tc>
          <w:tcPr>
            <w:tcW w:w="928" w:type="pct"/>
          </w:tcPr>
          <w:p w14:paraId="67A20FFF" w14:textId="6B35657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F4C9F6C" w14:textId="739E877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B406051" w14:textId="77777777" w:rsidTr="0086120E">
        <w:tc>
          <w:tcPr>
            <w:tcW w:w="356" w:type="pct"/>
          </w:tcPr>
          <w:p w14:paraId="3C9722E1" w14:textId="09D13EA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164</w:t>
            </w:r>
          </w:p>
        </w:tc>
        <w:tc>
          <w:tcPr>
            <w:tcW w:w="1709" w:type="pct"/>
          </w:tcPr>
          <w:p w14:paraId="0D21F89E" w14:textId="7064989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13.民法第一千零八十五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修正重點：修正父母保護及教養未成年子女規定。）</w:t>
            </w:r>
          </w:p>
        </w:tc>
        <w:tc>
          <w:tcPr>
            <w:tcW w:w="1139" w:type="pct"/>
          </w:tcPr>
          <w:p w14:paraId="16BBBC3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委員陳秀</w:t>
            </w:r>
            <w:r w:rsidRPr="001B6E4D">
              <w:rPr>
                <w:rFonts w:ascii="標楷體" w:eastAsia="標楷體" w:hAnsi="標楷體" w:hint="eastAsia"/>
                <w:color w:val="000000" w:themeColor="text1"/>
                <w:sz w:val="24"/>
              </w:rPr>
              <w:t>寳</w:t>
            </w:r>
          </w:p>
          <w:p w14:paraId="3B30E6B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18人</w:t>
            </w:r>
          </w:p>
          <w:p w14:paraId="5E0FFF0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114.10.31</w:t>
            </w:r>
          </w:p>
          <w:p w14:paraId="1CA3709B" w14:textId="26B795B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11-4-7）</w:t>
            </w:r>
          </w:p>
        </w:tc>
        <w:tc>
          <w:tcPr>
            <w:tcW w:w="928" w:type="pct"/>
          </w:tcPr>
          <w:p w14:paraId="4523A0C8" w14:textId="39DD04C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2DBF486" w14:textId="6762755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41CE113" w14:textId="77777777" w:rsidTr="0086120E">
        <w:tc>
          <w:tcPr>
            <w:tcW w:w="356" w:type="pct"/>
          </w:tcPr>
          <w:p w14:paraId="7FBBE0A3" w14:textId="66474C7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165</w:t>
            </w:r>
          </w:p>
        </w:tc>
        <w:tc>
          <w:tcPr>
            <w:tcW w:w="1709" w:type="pct"/>
          </w:tcPr>
          <w:p w14:paraId="65A5BC8E" w14:textId="0FBA1DE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14.民法第一千零八十五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修正重點：刪除懲戒權規定。）</w:t>
            </w:r>
          </w:p>
        </w:tc>
        <w:tc>
          <w:tcPr>
            <w:tcW w:w="1139" w:type="pct"/>
          </w:tcPr>
          <w:p w14:paraId="0086E7B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委員郭昱晴</w:t>
            </w:r>
          </w:p>
          <w:p w14:paraId="5273C9E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3F161AE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114.12.05</w:t>
            </w:r>
          </w:p>
          <w:p w14:paraId="70726682" w14:textId="4E140A9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（11-4-12）</w:t>
            </w:r>
          </w:p>
        </w:tc>
        <w:tc>
          <w:tcPr>
            <w:tcW w:w="928" w:type="pct"/>
          </w:tcPr>
          <w:p w14:paraId="6FD375B8" w14:textId="6154E0B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1E5814A6" w14:textId="131D5B9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3C68824" w14:textId="77777777" w:rsidTr="0086120E">
        <w:tc>
          <w:tcPr>
            <w:tcW w:w="356" w:type="pct"/>
          </w:tcPr>
          <w:p w14:paraId="52F3554A" w14:textId="20DD0FA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166</w:t>
            </w:r>
          </w:p>
        </w:tc>
        <w:tc>
          <w:tcPr>
            <w:tcW w:w="1709" w:type="pct"/>
          </w:tcPr>
          <w:p w14:paraId="5C1BEB59" w14:textId="1E85E61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15.民法第一千零八十五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修正重點：調整父母懲戒規定。）</w:t>
            </w:r>
          </w:p>
        </w:tc>
        <w:tc>
          <w:tcPr>
            <w:tcW w:w="1139" w:type="pct"/>
          </w:tcPr>
          <w:p w14:paraId="1DB1A01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委員張雅琳</w:t>
            </w:r>
          </w:p>
          <w:p w14:paraId="4257287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24B800C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115.01.09</w:t>
            </w:r>
          </w:p>
          <w:p w14:paraId="4DFF018F" w14:textId="42017CF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（11-4-17）</w:t>
            </w:r>
          </w:p>
        </w:tc>
        <w:tc>
          <w:tcPr>
            <w:tcW w:w="928" w:type="pct"/>
          </w:tcPr>
          <w:p w14:paraId="4AEBADEE" w14:textId="5D833BF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E7C5B47" w14:textId="1AF8AD8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8834340" w14:textId="77777777" w:rsidTr="0086120E">
        <w:tc>
          <w:tcPr>
            <w:tcW w:w="356" w:type="pct"/>
          </w:tcPr>
          <w:p w14:paraId="42617C48" w14:textId="0DA686A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167</w:t>
            </w:r>
          </w:p>
        </w:tc>
        <w:tc>
          <w:tcPr>
            <w:tcW w:w="1709" w:type="pct"/>
          </w:tcPr>
          <w:p w14:paraId="30E9C0A1" w14:textId="1C8FD3C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16.民法第一千零八十五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修正重點：父母不得對子女有身心暴力行為。）</w:t>
            </w:r>
          </w:p>
        </w:tc>
        <w:tc>
          <w:tcPr>
            <w:tcW w:w="1139" w:type="pct"/>
          </w:tcPr>
          <w:p w14:paraId="6DC773E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17B7689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等28人</w:t>
            </w:r>
          </w:p>
          <w:p w14:paraId="7234883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115.03.13</w:t>
            </w:r>
          </w:p>
          <w:p w14:paraId="3BC75ACD" w14:textId="645B005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（11-5-3）</w:t>
            </w:r>
          </w:p>
        </w:tc>
        <w:tc>
          <w:tcPr>
            <w:tcW w:w="928" w:type="pct"/>
          </w:tcPr>
          <w:p w14:paraId="69F32D4E" w14:textId="2AAC14F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11E0A70" w14:textId="78FF956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B5B5E83" w14:textId="77777777" w:rsidTr="0086120E">
        <w:tc>
          <w:tcPr>
            <w:tcW w:w="356" w:type="pct"/>
          </w:tcPr>
          <w:p w14:paraId="0EB7E2EB" w14:textId="5D6DF28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168</w:t>
            </w:r>
          </w:p>
        </w:tc>
        <w:tc>
          <w:tcPr>
            <w:tcW w:w="1709" w:type="pct"/>
          </w:tcPr>
          <w:p w14:paraId="3F88FDBB" w14:textId="7F8DA02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民法第一百九十五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修正重點：增列肖像權及聲音權等明文例示項目。）</w:t>
            </w:r>
          </w:p>
        </w:tc>
        <w:tc>
          <w:tcPr>
            <w:tcW w:w="1139" w:type="pct"/>
          </w:tcPr>
          <w:p w14:paraId="412B0C1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委員葛如鈞</w:t>
            </w:r>
          </w:p>
          <w:p w14:paraId="2B7AFF7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8A6FB1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113.03.08</w:t>
            </w:r>
          </w:p>
          <w:p w14:paraId="0A14A6CF" w14:textId="28FB045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（11-1-4）</w:t>
            </w:r>
          </w:p>
        </w:tc>
        <w:tc>
          <w:tcPr>
            <w:tcW w:w="928" w:type="pct"/>
          </w:tcPr>
          <w:p w14:paraId="554FF9C9" w14:textId="614E2A8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82E82C3" w14:textId="62FEB94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9E91496" w14:textId="77777777" w:rsidTr="0086120E">
        <w:tc>
          <w:tcPr>
            <w:tcW w:w="356" w:type="pct"/>
          </w:tcPr>
          <w:p w14:paraId="6B45A22D" w14:textId="52E63B2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169</w:t>
            </w:r>
          </w:p>
        </w:tc>
        <w:tc>
          <w:tcPr>
            <w:tcW w:w="1709" w:type="pct"/>
          </w:tcPr>
          <w:p w14:paraId="696B8956" w14:textId="56FFC38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修正§1138、1144、1223、1225。修正重點：明定旁系血親</w:t>
            </w:r>
            <w:proofErr w:type="gramStart"/>
            <w:r w:rsidRPr="001B6E4D">
              <w:rPr>
                <w:rFonts w:hAnsi="標楷體" w:cs="Times New Roman"/>
                <w:color w:val="000000" w:themeColor="text1"/>
                <w:sz w:val="24"/>
                <w:szCs w:val="24"/>
              </w:rPr>
              <w:t>卑</w:t>
            </w:r>
            <w:proofErr w:type="gramEnd"/>
            <w:r w:rsidRPr="001B6E4D">
              <w:rPr>
                <w:rFonts w:hAnsi="標楷體" w:cs="Times New Roman"/>
                <w:color w:val="000000" w:themeColor="text1"/>
                <w:sz w:val="24"/>
                <w:szCs w:val="24"/>
              </w:rPr>
              <w:t>親屬為第五順位之遺產繼承人。）</w:t>
            </w:r>
          </w:p>
        </w:tc>
        <w:tc>
          <w:tcPr>
            <w:tcW w:w="1139" w:type="pct"/>
          </w:tcPr>
          <w:p w14:paraId="694BDC9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1E5AEE6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2178422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113.03.22</w:t>
            </w:r>
          </w:p>
          <w:p w14:paraId="4A21CCE8" w14:textId="1D8DB0A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（11-1-6）</w:t>
            </w:r>
          </w:p>
        </w:tc>
        <w:tc>
          <w:tcPr>
            <w:tcW w:w="928" w:type="pct"/>
          </w:tcPr>
          <w:p w14:paraId="0DBEAD89" w14:textId="0A87554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7141EA9" w14:textId="7C5D075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B2D3F58" w14:textId="77777777" w:rsidTr="0086120E">
        <w:tc>
          <w:tcPr>
            <w:tcW w:w="356" w:type="pct"/>
          </w:tcPr>
          <w:p w14:paraId="4DC77424" w14:textId="669B2E4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170</w:t>
            </w:r>
          </w:p>
        </w:tc>
        <w:tc>
          <w:tcPr>
            <w:tcW w:w="1709" w:type="pct"/>
          </w:tcPr>
          <w:p w14:paraId="77BF6503" w14:textId="15676FD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2.民法第一千二百二十五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修正重點：賦予</w:t>
            </w:r>
            <w:proofErr w:type="gramStart"/>
            <w:r w:rsidRPr="001B6E4D">
              <w:rPr>
                <w:rFonts w:hAnsi="標楷體" w:cs="Times New Roman"/>
                <w:color w:val="000000" w:themeColor="text1"/>
                <w:sz w:val="24"/>
                <w:szCs w:val="24"/>
              </w:rPr>
              <w:t>扣減權於特留分受</w:t>
            </w:r>
            <w:proofErr w:type="gramEnd"/>
            <w:r w:rsidRPr="001B6E4D">
              <w:rPr>
                <w:rFonts w:hAnsi="標楷體" w:cs="Times New Roman"/>
                <w:color w:val="000000" w:themeColor="text1"/>
                <w:sz w:val="24"/>
                <w:szCs w:val="24"/>
              </w:rPr>
              <w:t>侵害之範圍內予以調整；增訂消滅期間。）</w:t>
            </w:r>
          </w:p>
        </w:tc>
        <w:tc>
          <w:tcPr>
            <w:tcW w:w="1139" w:type="pct"/>
          </w:tcPr>
          <w:p w14:paraId="414F1D6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1328851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等28人</w:t>
            </w:r>
          </w:p>
          <w:p w14:paraId="14876AF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115.03.13</w:t>
            </w:r>
          </w:p>
          <w:p w14:paraId="5564FFAA" w14:textId="2A1EB5B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（11-5-3）</w:t>
            </w:r>
          </w:p>
        </w:tc>
        <w:tc>
          <w:tcPr>
            <w:tcW w:w="928" w:type="pct"/>
          </w:tcPr>
          <w:p w14:paraId="1EB10E5A" w14:textId="3067AA6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9805443" w14:textId="5C57A11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CB413E8" w14:textId="77777777" w:rsidTr="0086120E">
        <w:tc>
          <w:tcPr>
            <w:tcW w:w="356" w:type="pct"/>
          </w:tcPr>
          <w:p w14:paraId="31E3E4DE" w14:textId="5B3AFFC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171</w:t>
            </w:r>
          </w:p>
        </w:tc>
        <w:tc>
          <w:tcPr>
            <w:tcW w:w="1709" w:type="pct"/>
          </w:tcPr>
          <w:p w14:paraId="0ECFE095" w14:textId="1E509D6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3.民法第一千二百二十三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修正重點：刪除兄弟姊妹</w:t>
            </w:r>
            <w:proofErr w:type="gramStart"/>
            <w:r w:rsidRPr="001B6E4D">
              <w:rPr>
                <w:rFonts w:hAnsi="標楷體" w:cs="Times New Roman"/>
                <w:color w:val="000000" w:themeColor="text1"/>
                <w:sz w:val="24"/>
                <w:szCs w:val="24"/>
              </w:rPr>
              <w:t>特留分規定</w:t>
            </w:r>
            <w:proofErr w:type="gramEnd"/>
            <w:r w:rsidRPr="001B6E4D">
              <w:rPr>
                <w:rFonts w:hAnsi="標楷體" w:cs="Times New Roman"/>
                <w:color w:val="000000" w:themeColor="text1"/>
                <w:sz w:val="24"/>
                <w:szCs w:val="24"/>
              </w:rPr>
              <w:t>。）</w:t>
            </w:r>
          </w:p>
        </w:tc>
        <w:tc>
          <w:tcPr>
            <w:tcW w:w="1139" w:type="pct"/>
          </w:tcPr>
          <w:p w14:paraId="7A53482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委員陳亭</w:t>
            </w:r>
            <w:proofErr w:type="gramStart"/>
            <w:r w:rsidRPr="001B6E4D">
              <w:rPr>
                <w:rFonts w:ascii="標楷體" w:eastAsia="標楷體" w:hAnsi="標楷體"/>
                <w:color w:val="000000" w:themeColor="text1"/>
                <w:sz w:val="24"/>
              </w:rPr>
              <w:t>妃</w:t>
            </w:r>
            <w:proofErr w:type="gramEnd"/>
          </w:p>
          <w:p w14:paraId="680386F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6A5CEFD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78A0808E" w14:textId="0A6AFE7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28" w:type="pct"/>
          </w:tcPr>
          <w:p w14:paraId="4070C817" w14:textId="1AEE001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1B8E19D" w14:textId="499E4B9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31BC7D4" w14:textId="77777777" w:rsidTr="0086120E">
        <w:tc>
          <w:tcPr>
            <w:tcW w:w="356" w:type="pct"/>
          </w:tcPr>
          <w:p w14:paraId="536C9D3F" w14:textId="5371082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172</w:t>
            </w:r>
          </w:p>
        </w:tc>
        <w:tc>
          <w:tcPr>
            <w:tcW w:w="1709" w:type="pct"/>
          </w:tcPr>
          <w:p w14:paraId="08D95E5F" w14:textId="454A671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民法第一千零五十五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修正重點：賦予祖父母或與該未成年人有特殊關係之父母以外第三人會面交往權。）</w:t>
            </w:r>
          </w:p>
        </w:tc>
        <w:tc>
          <w:tcPr>
            <w:tcW w:w="1139" w:type="pct"/>
          </w:tcPr>
          <w:p w14:paraId="60A5242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委員黃秀芳</w:t>
            </w:r>
          </w:p>
          <w:p w14:paraId="3A69654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7860397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113.03.22</w:t>
            </w:r>
          </w:p>
          <w:p w14:paraId="3BE8F5F3" w14:textId="1E88E1F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（11-1-6）</w:t>
            </w:r>
          </w:p>
        </w:tc>
        <w:tc>
          <w:tcPr>
            <w:tcW w:w="928" w:type="pct"/>
          </w:tcPr>
          <w:p w14:paraId="73303B4C" w14:textId="748836A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C5FD284" w14:textId="219A171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F10C466" w14:textId="77777777" w:rsidTr="0086120E">
        <w:tc>
          <w:tcPr>
            <w:tcW w:w="356" w:type="pct"/>
          </w:tcPr>
          <w:p w14:paraId="4CE458B7" w14:textId="2FDC0EA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173</w:t>
            </w:r>
          </w:p>
        </w:tc>
        <w:tc>
          <w:tcPr>
            <w:tcW w:w="1709" w:type="pct"/>
          </w:tcPr>
          <w:p w14:paraId="6F2C418A" w14:textId="22DE170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民法第二百三十三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修正重點：明定訴訟期間</w:t>
            </w:r>
            <w:proofErr w:type="gramStart"/>
            <w:r w:rsidRPr="001B6E4D">
              <w:rPr>
                <w:rFonts w:hAnsi="標楷體" w:cs="Times New Roman"/>
                <w:color w:val="000000" w:themeColor="text1"/>
                <w:sz w:val="24"/>
                <w:szCs w:val="24"/>
              </w:rPr>
              <w:t>已逾各級</w:t>
            </w:r>
            <w:proofErr w:type="gramEnd"/>
            <w:r w:rsidRPr="001B6E4D">
              <w:rPr>
                <w:rFonts w:hAnsi="標楷體" w:cs="Times New Roman"/>
                <w:color w:val="000000" w:themeColor="text1"/>
                <w:sz w:val="24"/>
                <w:szCs w:val="24"/>
              </w:rPr>
              <w:t>法院所訂辦案期限，且遲延非可歸責於債務人者，不應責由債務人負遲延責</w:t>
            </w:r>
            <w:r w:rsidRPr="001B6E4D">
              <w:rPr>
                <w:rFonts w:hAnsi="標楷體" w:cs="Times New Roman"/>
                <w:color w:val="000000" w:themeColor="text1"/>
                <w:sz w:val="24"/>
                <w:szCs w:val="24"/>
              </w:rPr>
              <w:lastRenderedPageBreak/>
              <w:t>任。）</w:t>
            </w:r>
          </w:p>
        </w:tc>
        <w:tc>
          <w:tcPr>
            <w:tcW w:w="1139" w:type="pct"/>
          </w:tcPr>
          <w:p w14:paraId="6067663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委員賴士葆</w:t>
            </w:r>
          </w:p>
          <w:p w14:paraId="79C8171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等27人</w:t>
            </w:r>
          </w:p>
          <w:p w14:paraId="0C2B2E3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0FDB3BE7" w14:textId="6F98D1D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（11-1-7）</w:t>
            </w:r>
          </w:p>
        </w:tc>
        <w:tc>
          <w:tcPr>
            <w:tcW w:w="928" w:type="pct"/>
          </w:tcPr>
          <w:p w14:paraId="6895CEA1" w14:textId="314A86D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624DBCA" w14:textId="7011431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0EA607F" w14:textId="77777777" w:rsidTr="0086120E">
        <w:tc>
          <w:tcPr>
            <w:tcW w:w="356" w:type="pct"/>
          </w:tcPr>
          <w:p w14:paraId="346EFF3C" w14:textId="75744A1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174</w:t>
            </w:r>
          </w:p>
        </w:tc>
        <w:tc>
          <w:tcPr>
            <w:tcW w:w="1709" w:type="pct"/>
          </w:tcPr>
          <w:p w14:paraId="21427FA9" w14:textId="2A67DEB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1.民法第一百九十七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修正重點：對未成年人為性侵害或其他妨害性自主行為所生的損害，其損害賠償請求權不受消滅時限之規範。）</w:t>
            </w:r>
          </w:p>
        </w:tc>
        <w:tc>
          <w:tcPr>
            <w:tcW w:w="1139" w:type="pct"/>
          </w:tcPr>
          <w:p w14:paraId="21BFA61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委員王育敏</w:t>
            </w:r>
          </w:p>
          <w:p w14:paraId="5053505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273D015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113.04.19</w:t>
            </w:r>
          </w:p>
          <w:p w14:paraId="0F28283A" w14:textId="6A69AFEF"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（11-1-10）</w:t>
            </w:r>
          </w:p>
        </w:tc>
        <w:tc>
          <w:tcPr>
            <w:tcW w:w="928" w:type="pct"/>
          </w:tcPr>
          <w:p w14:paraId="129BE488" w14:textId="5F61CDB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7567EB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C47A53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115.4.13</w:t>
            </w:r>
          </w:p>
          <w:p w14:paraId="019AF660" w14:textId="539A296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(11-5-6)報告及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1FD1F965" w14:textId="77777777" w:rsidTr="0086120E">
        <w:tc>
          <w:tcPr>
            <w:tcW w:w="356" w:type="pct"/>
          </w:tcPr>
          <w:p w14:paraId="328ACAEA" w14:textId="429C723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175</w:t>
            </w:r>
          </w:p>
        </w:tc>
        <w:tc>
          <w:tcPr>
            <w:tcW w:w="1709" w:type="pct"/>
          </w:tcPr>
          <w:p w14:paraId="11974DF9" w14:textId="512FF5A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2.民法增訂第一百九十七條之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增訂重點：妨礙性自主案件未成年受害人之損害賠償請求權，延長消滅時效。）</w:t>
            </w:r>
          </w:p>
        </w:tc>
        <w:tc>
          <w:tcPr>
            <w:tcW w:w="1139" w:type="pct"/>
          </w:tcPr>
          <w:p w14:paraId="0E6507F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委員王世堅</w:t>
            </w:r>
          </w:p>
          <w:p w14:paraId="54EE8A2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5E37FA8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113.05.10</w:t>
            </w:r>
          </w:p>
          <w:p w14:paraId="74971090" w14:textId="2493C60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（11-1-13）</w:t>
            </w:r>
          </w:p>
        </w:tc>
        <w:tc>
          <w:tcPr>
            <w:tcW w:w="928" w:type="pct"/>
          </w:tcPr>
          <w:p w14:paraId="62634C9C" w14:textId="7D5A7CB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F71143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021BB5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115.4.13</w:t>
            </w:r>
          </w:p>
          <w:p w14:paraId="167EF6E2" w14:textId="491D541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(11-5-6)報告及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01DDB17B" w14:textId="77777777" w:rsidTr="0086120E">
        <w:tc>
          <w:tcPr>
            <w:tcW w:w="356" w:type="pct"/>
          </w:tcPr>
          <w:p w14:paraId="1E5B66D0" w14:textId="79B9893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176</w:t>
            </w:r>
          </w:p>
        </w:tc>
        <w:tc>
          <w:tcPr>
            <w:tcW w:w="1709" w:type="pct"/>
          </w:tcPr>
          <w:p w14:paraId="3383F1D6" w14:textId="6BB7684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3.民法增訂第一百九十七條之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增訂重點：對未成年人為性侵害或其他妨害性自主行為所生之損害賠償請求權，自被害人成年時起20年間不行使而消滅。）</w:t>
            </w:r>
          </w:p>
        </w:tc>
        <w:tc>
          <w:tcPr>
            <w:tcW w:w="1139" w:type="pct"/>
          </w:tcPr>
          <w:p w14:paraId="06A1948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委員陳素月</w:t>
            </w:r>
          </w:p>
          <w:p w14:paraId="7FCB93F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3FF79EC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115.03.20</w:t>
            </w:r>
          </w:p>
          <w:p w14:paraId="67E16207" w14:textId="1992251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w:t>
            </w:r>
          </w:p>
        </w:tc>
        <w:tc>
          <w:tcPr>
            <w:tcW w:w="928" w:type="pct"/>
          </w:tcPr>
          <w:p w14:paraId="4C7A84BA" w14:textId="41CA258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70BF6F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310DCA8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115.4.13</w:t>
            </w:r>
          </w:p>
          <w:p w14:paraId="1342B9C7" w14:textId="791E9BD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(11-5-6)報告及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06A74944" w14:textId="77777777" w:rsidTr="0086120E">
        <w:tc>
          <w:tcPr>
            <w:tcW w:w="356" w:type="pct"/>
          </w:tcPr>
          <w:p w14:paraId="03101835" w14:textId="28F0AFF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177</w:t>
            </w:r>
          </w:p>
        </w:tc>
        <w:tc>
          <w:tcPr>
            <w:tcW w:w="1709" w:type="pct"/>
          </w:tcPr>
          <w:p w14:paraId="1B7D61E7" w14:textId="68E4A18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4.民法增訂第一百九十七條之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增訂重點：對未成年人為性侵害或其他妨害性自主行為所生之損害賠償請求權，應自被害人成年後起算20年。）</w:t>
            </w:r>
          </w:p>
        </w:tc>
        <w:tc>
          <w:tcPr>
            <w:tcW w:w="1139" w:type="pct"/>
          </w:tcPr>
          <w:p w14:paraId="1C9A183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委員林月琴</w:t>
            </w:r>
          </w:p>
          <w:p w14:paraId="5E9F809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281625A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115.04.24</w:t>
            </w:r>
          </w:p>
          <w:p w14:paraId="34219AAF" w14:textId="74AF8C5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w:t>
            </w:r>
          </w:p>
        </w:tc>
        <w:tc>
          <w:tcPr>
            <w:tcW w:w="928" w:type="pct"/>
          </w:tcPr>
          <w:p w14:paraId="08380C29" w14:textId="62913A3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937398A" w14:textId="4FFBFA6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87947D5" w14:textId="77777777" w:rsidTr="0086120E">
        <w:tc>
          <w:tcPr>
            <w:tcW w:w="356" w:type="pct"/>
          </w:tcPr>
          <w:p w14:paraId="6140CE6A" w14:textId="64FA8E6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178</w:t>
            </w:r>
          </w:p>
        </w:tc>
        <w:tc>
          <w:tcPr>
            <w:tcW w:w="1709" w:type="pct"/>
          </w:tcPr>
          <w:p w14:paraId="0E3BA0A9" w14:textId="04826ED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1.民法第二百零五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修正重點：明定約定利率與手續費及違約費用等總和，超過週年16%之約定無效。）</w:t>
            </w:r>
          </w:p>
        </w:tc>
        <w:tc>
          <w:tcPr>
            <w:tcW w:w="1139" w:type="pct"/>
          </w:tcPr>
          <w:p w14:paraId="0B56F56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委員郭國文</w:t>
            </w:r>
          </w:p>
          <w:p w14:paraId="22121B9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2BB9EE5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113.05.10</w:t>
            </w:r>
          </w:p>
          <w:p w14:paraId="208F394E" w14:textId="16F8473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（11-1-13）</w:t>
            </w:r>
          </w:p>
        </w:tc>
        <w:tc>
          <w:tcPr>
            <w:tcW w:w="928" w:type="pct"/>
          </w:tcPr>
          <w:p w14:paraId="31962ADF" w14:textId="5601098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89C183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E7B6AFF" w14:textId="77777777" w:rsidR="00876A8F"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113.7.3</w:t>
            </w:r>
          </w:p>
          <w:p w14:paraId="68F77611" w14:textId="3690723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(11-1-34)報告及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6C561C9" w14:textId="77777777" w:rsidTr="0086120E">
        <w:tc>
          <w:tcPr>
            <w:tcW w:w="356" w:type="pct"/>
          </w:tcPr>
          <w:p w14:paraId="1ADC3139" w14:textId="079BAB6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179</w:t>
            </w:r>
          </w:p>
        </w:tc>
        <w:tc>
          <w:tcPr>
            <w:tcW w:w="1709" w:type="pct"/>
          </w:tcPr>
          <w:p w14:paraId="0C591680" w14:textId="0956A16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2.民法第二百零五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修正重點：明定相關規費、違約利率應納入共同計算。）</w:t>
            </w:r>
          </w:p>
        </w:tc>
        <w:tc>
          <w:tcPr>
            <w:tcW w:w="1139" w:type="pct"/>
          </w:tcPr>
          <w:p w14:paraId="17C2CB3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委員鍾佳濱</w:t>
            </w:r>
          </w:p>
          <w:p w14:paraId="26F9DDE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等25人</w:t>
            </w:r>
          </w:p>
          <w:p w14:paraId="5AC2F59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113.05.10</w:t>
            </w:r>
          </w:p>
          <w:p w14:paraId="50C0E838" w14:textId="045428F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（11-1-13）</w:t>
            </w:r>
          </w:p>
        </w:tc>
        <w:tc>
          <w:tcPr>
            <w:tcW w:w="928" w:type="pct"/>
          </w:tcPr>
          <w:p w14:paraId="13997D45" w14:textId="4FA16E5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0B121A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381C07F" w14:textId="77777777" w:rsidR="00876A8F"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113.7.3</w:t>
            </w:r>
          </w:p>
          <w:p w14:paraId="02677A24" w14:textId="3FC4948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(11-1-34)報告及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w:t>
            </w:r>
            <w:r w:rsidRPr="001B6E4D">
              <w:rPr>
                <w:rFonts w:ascii="標楷體" w:eastAsia="標楷體" w:hAnsi="標楷體"/>
                <w:color w:val="000000" w:themeColor="text1"/>
                <w:sz w:val="24"/>
              </w:rPr>
              <w:lastRenderedPageBreak/>
              <w:t>繼續審查。</w:t>
            </w:r>
          </w:p>
        </w:tc>
      </w:tr>
      <w:tr w:rsidR="00FC42F6" w:rsidRPr="001B6E4D" w14:paraId="7DCB3163" w14:textId="77777777" w:rsidTr="0086120E">
        <w:tc>
          <w:tcPr>
            <w:tcW w:w="356" w:type="pct"/>
          </w:tcPr>
          <w:p w14:paraId="2C66F4C6" w14:textId="5CB6EFF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180</w:t>
            </w:r>
          </w:p>
        </w:tc>
        <w:tc>
          <w:tcPr>
            <w:tcW w:w="1709" w:type="pct"/>
          </w:tcPr>
          <w:p w14:paraId="04C92547" w14:textId="6C4248E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3.民法第二百零五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修正重點：所有與借貸相關之費用，合併視為利息，約定利率超過法定上限者，其契約自始無效。）</w:t>
            </w:r>
          </w:p>
        </w:tc>
        <w:tc>
          <w:tcPr>
            <w:tcW w:w="1139" w:type="pct"/>
          </w:tcPr>
          <w:p w14:paraId="17BE6AA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委員葉元之</w:t>
            </w:r>
          </w:p>
          <w:p w14:paraId="7F0E556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63EEDD8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114.11.28</w:t>
            </w:r>
          </w:p>
          <w:p w14:paraId="33A7C400" w14:textId="5DB57C2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w:t>
            </w:r>
          </w:p>
        </w:tc>
        <w:tc>
          <w:tcPr>
            <w:tcW w:w="928" w:type="pct"/>
          </w:tcPr>
          <w:p w14:paraId="4616F81C" w14:textId="4C48392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A392847" w14:textId="6D3FC34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9EC5C37" w14:textId="77777777" w:rsidTr="0086120E">
        <w:tc>
          <w:tcPr>
            <w:tcW w:w="356" w:type="pct"/>
          </w:tcPr>
          <w:p w14:paraId="1F253584" w14:textId="49FA11D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181</w:t>
            </w:r>
          </w:p>
        </w:tc>
        <w:tc>
          <w:tcPr>
            <w:tcW w:w="1709" w:type="pct"/>
          </w:tcPr>
          <w:p w14:paraId="7182DC45" w14:textId="350AF9A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民法第四百三十五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修正重點：納入租賃物功能減少之條件。）</w:t>
            </w:r>
          </w:p>
        </w:tc>
        <w:tc>
          <w:tcPr>
            <w:tcW w:w="1139" w:type="pct"/>
          </w:tcPr>
          <w:p w14:paraId="2A9E77C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委員林俊憲</w:t>
            </w:r>
          </w:p>
          <w:p w14:paraId="1C64E50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65B23E0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444942AB" w14:textId="0203636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（11-2-16）</w:t>
            </w:r>
          </w:p>
        </w:tc>
        <w:tc>
          <w:tcPr>
            <w:tcW w:w="928" w:type="pct"/>
          </w:tcPr>
          <w:p w14:paraId="498F80D9" w14:textId="7C931C7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14EDFCC" w14:textId="471BD4D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4001CCE" w14:textId="77777777" w:rsidTr="0086120E">
        <w:tc>
          <w:tcPr>
            <w:tcW w:w="356" w:type="pct"/>
          </w:tcPr>
          <w:p w14:paraId="69B705E8" w14:textId="645511A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182</w:t>
            </w:r>
          </w:p>
        </w:tc>
        <w:tc>
          <w:tcPr>
            <w:tcW w:w="1709" w:type="pct"/>
          </w:tcPr>
          <w:p w14:paraId="2D6A957C" w14:textId="750DF3C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民法增訂第一千一百六十五條之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增訂重點：明定在遺產分割前，繼承人得於一定額度範圍內，</w:t>
            </w:r>
            <w:proofErr w:type="gramStart"/>
            <w:r w:rsidRPr="001B6E4D">
              <w:rPr>
                <w:rFonts w:hAnsi="標楷體" w:cs="Times New Roman"/>
                <w:color w:val="000000" w:themeColor="text1"/>
                <w:sz w:val="24"/>
                <w:szCs w:val="24"/>
              </w:rPr>
              <w:t>逕</w:t>
            </w:r>
            <w:proofErr w:type="gramEnd"/>
            <w:r w:rsidRPr="001B6E4D">
              <w:rPr>
                <w:rFonts w:hAnsi="標楷體" w:cs="Times New Roman"/>
                <w:color w:val="000000" w:themeColor="text1"/>
                <w:sz w:val="24"/>
                <w:szCs w:val="24"/>
              </w:rPr>
              <w:t>向金融機構請求返還存款債權。）</w:t>
            </w:r>
          </w:p>
        </w:tc>
        <w:tc>
          <w:tcPr>
            <w:tcW w:w="1139" w:type="pct"/>
          </w:tcPr>
          <w:p w14:paraId="5A599F1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委員林俊憲</w:t>
            </w:r>
          </w:p>
          <w:p w14:paraId="3B38F63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134B8DE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6CF587B7" w14:textId="548FA78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（11-2-16）</w:t>
            </w:r>
          </w:p>
        </w:tc>
        <w:tc>
          <w:tcPr>
            <w:tcW w:w="928" w:type="pct"/>
          </w:tcPr>
          <w:p w14:paraId="2264773C" w14:textId="7F0EAEA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33F071A" w14:textId="73BA30C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1D42ED6" w14:textId="77777777" w:rsidTr="0086120E">
        <w:tc>
          <w:tcPr>
            <w:tcW w:w="356" w:type="pct"/>
          </w:tcPr>
          <w:p w14:paraId="1F8C9CC2" w14:textId="6593E20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183</w:t>
            </w:r>
          </w:p>
        </w:tc>
        <w:tc>
          <w:tcPr>
            <w:tcW w:w="1709" w:type="pct"/>
          </w:tcPr>
          <w:p w14:paraId="706685A8" w14:textId="0E8FC6C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1.民法第一千一百九十五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修正重點：增訂錄影為口授遺囑保存方式，並放寬儲存載體限制。）</w:t>
            </w:r>
          </w:p>
        </w:tc>
        <w:tc>
          <w:tcPr>
            <w:tcW w:w="1139" w:type="pct"/>
          </w:tcPr>
          <w:p w14:paraId="05FDE6F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委員林楚</w:t>
            </w:r>
            <w:proofErr w:type="gramStart"/>
            <w:r w:rsidRPr="001B6E4D">
              <w:rPr>
                <w:rFonts w:ascii="標楷體" w:eastAsia="標楷體" w:hAnsi="標楷體"/>
                <w:color w:val="000000" w:themeColor="text1"/>
                <w:sz w:val="24"/>
              </w:rPr>
              <w:t>茵</w:t>
            </w:r>
            <w:proofErr w:type="gramEnd"/>
          </w:p>
          <w:p w14:paraId="7891ED3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11472BC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114.11.07</w:t>
            </w:r>
          </w:p>
          <w:p w14:paraId="28226D4D" w14:textId="726668D9"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w:t>
            </w:r>
          </w:p>
        </w:tc>
        <w:tc>
          <w:tcPr>
            <w:tcW w:w="928" w:type="pct"/>
          </w:tcPr>
          <w:p w14:paraId="4BC7F2C5" w14:textId="3D1B76E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0B95A90" w14:textId="664378D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1F58E2D" w14:textId="77777777" w:rsidTr="0086120E">
        <w:tc>
          <w:tcPr>
            <w:tcW w:w="356" w:type="pct"/>
          </w:tcPr>
          <w:p w14:paraId="6BFFDD0C" w14:textId="7A15DAD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184</w:t>
            </w:r>
          </w:p>
        </w:tc>
        <w:tc>
          <w:tcPr>
            <w:tcW w:w="1709" w:type="pct"/>
          </w:tcPr>
          <w:p w14:paraId="51D017E2" w14:textId="537A4FD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2.民法第一千一百九十五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修正重點：口授遺囑刪除錄音帶修正為錄音檔案及其儲存載體。）</w:t>
            </w:r>
          </w:p>
        </w:tc>
        <w:tc>
          <w:tcPr>
            <w:tcW w:w="1139" w:type="pct"/>
          </w:tcPr>
          <w:p w14:paraId="5B0B029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5070047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115.04.17</w:t>
            </w:r>
          </w:p>
          <w:p w14:paraId="37312320" w14:textId="74685BB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w:t>
            </w:r>
          </w:p>
        </w:tc>
        <w:tc>
          <w:tcPr>
            <w:tcW w:w="928" w:type="pct"/>
          </w:tcPr>
          <w:p w14:paraId="731D5D49" w14:textId="49DB157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890B17B" w14:textId="1A3E052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5A88D8F" w14:textId="77777777" w:rsidTr="0086120E">
        <w:tc>
          <w:tcPr>
            <w:tcW w:w="356" w:type="pct"/>
          </w:tcPr>
          <w:p w14:paraId="3AE68AD0" w14:textId="3D63186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185</w:t>
            </w:r>
          </w:p>
        </w:tc>
        <w:tc>
          <w:tcPr>
            <w:tcW w:w="1709" w:type="pct"/>
          </w:tcPr>
          <w:p w14:paraId="39682BD3" w14:textId="4C2E726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民法債編施行法增訂第三條之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增訂重點：配合增訂民法§197-1，避免適用疑義。）</w:t>
            </w:r>
          </w:p>
        </w:tc>
        <w:tc>
          <w:tcPr>
            <w:tcW w:w="1139" w:type="pct"/>
          </w:tcPr>
          <w:p w14:paraId="6216AA5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委員王世堅</w:t>
            </w:r>
          </w:p>
          <w:p w14:paraId="1A9297E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04DAB59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113.05.10</w:t>
            </w:r>
          </w:p>
          <w:p w14:paraId="6C660475" w14:textId="5575239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（11-1-13）</w:t>
            </w:r>
          </w:p>
        </w:tc>
        <w:tc>
          <w:tcPr>
            <w:tcW w:w="928" w:type="pct"/>
          </w:tcPr>
          <w:p w14:paraId="20C5EF4C" w14:textId="4B2FA4D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479F493" w14:textId="38FFC43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2E9F742" w14:textId="77777777" w:rsidTr="0086120E">
        <w:tc>
          <w:tcPr>
            <w:tcW w:w="356" w:type="pct"/>
          </w:tcPr>
          <w:p w14:paraId="623D601F" w14:textId="5029AAC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186</w:t>
            </w:r>
          </w:p>
        </w:tc>
        <w:tc>
          <w:tcPr>
            <w:tcW w:w="1709" w:type="pct"/>
          </w:tcPr>
          <w:p w14:paraId="679D6132" w14:textId="4478C4A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1.民法親屬編施行法增訂第七條之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增訂重點：配合民法親屬編§1052修正，增訂修正施行前所發生之事實，依修正後之規定得為離婚之原因者，亦得提起離婚之</w:t>
            </w:r>
            <w:r w:rsidRPr="001B6E4D">
              <w:rPr>
                <w:rFonts w:hAnsi="標楷體" w:cs="Times New Roman"/>
                <w:color w:val="000000" w:themeColor="text1"/>
                <w:sz w:val="24"/>
                <w:szCs w:val="24"/>
              </w:rPr>
              <w:lastRenderedPageBreak/>
              <w:t>訴。）</w:t>
            </w:r>
          </w:p>
        </w:tc>
        <w:tc>
          <w:tcPr>
            <w:tcW w:w="1139" w:type="pct"/>
          </w:tcPr>
          <w:p w14:paraId="5AE30BC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委員沈發惠</w:t>
            </w:r>
          </w:p>
          <w:p w14:paraId="5347821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7955CFE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114.03.21</w:t>
            </w:r>
          </w:p>
          <w:p w14:paraId="1BA6B680" w14:textId="6C15587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（11-3-6）</w:t>
            </w:r>
          </w:p>
        </w:tc>
        <w:tc>
          <w:tcPr>
            <w:tcW w:w="928" w:type="pct"/>
          </w:tcPr>
          <w:p w14:paraId="65B3FF39" w14:textId="68A78D3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2AFC40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BFFB2F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45532CC9" w14:textId="0B8225C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B12ECAC" w14:textId="77777777" w:rsidTr="0086120E">
        <w:tc>
          <w:tcPr>
            <w:tcW w:w="356" w:type="pct"/>
          </w:tcPr>
          <w:p w14:paraId="4AB2C847" w14:textId="59A26FF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187</w:t>
            </w:r>
          </w:p>
        </w:tc>
        <w:tc>
          <w:tcPr>
            <w:tcW w:w="1709" w:type="pct"/>
          </w:tcPr>
          <w:p w14:paraId="47BA22EF" w14:textId="2AB3DD1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2.民法親屬編施行法增訂第七條之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增訂重點：規定事實發生於實體法修正通過前之適用。）</w:t>
            </w:r>
          </w:p>
        </w:tc>
        <w:tc>
          <w:tcPr>
            <w:tcW w:w="1139" w:type="pct"/>
          </w:tcPr>
          <w:p w14:paraId="1338A7D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委員賴惠員</w:t>
            </w:r>
          </w:p>
          <w:p w14:paraId="7F8BBA7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2E7D85D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114.05.02</w:t>
            </w:r>
          </w:p>
          <w:p w14:paraId="4ADB0E2E" w14:textId="2084EA9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w:t>
            </w:r>
          </w:p>
        </w:tc>
        <w:tc>
          <w:tcPr>
            <w:tcW w:w="928" w:type="pct"/>
          </w:tcPr>
          <w:p w14:paraId="50BBCF01" w14:textId="553994FB"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4AB2E2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461653B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50014077" w14:textId="6195E97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219672EC" w14:textId="77777777" w:rsidTr="0086120E">
        <w:tc>
          <w:tcPr>
            <w:tcW w:w="356" w:type="pct"/>
          </w:tcPr>
          <w:p w14:paraId="6577B020" w14:textId="09BBECB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188</w:t>
            </w:r>
          </w:p>
        </w:tc>
        <w:tc>
          <w:tcPr>
            <w:tcW w:w="1709" w:type="pct"/>
          </w:tcPr>
          <w:p w14:paraId="3BAC97B6" w14:textId="4396E33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3.民法親屬編施行法增訂第七條之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增訂重點：確保修法前後制度之銜接與法律適用之公平。）</w:t>
            </w:r>
          </w:p>
        </w:tc>
        <w:tc>
          <w:tcPr>
            <w:tcW w:w="1139" w:type="pct"/>
          </w:tcPr>
          <w:p w14:paraId="6147456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委員羅廷</w:t>
            </w:r>
            <w:proofErr w:type="gramStart"/>
            <w:r w:rsidRPr="001B6E4D">
              <w:rPr>
                <w:rFonts w:ascii="標楷體" w:eastAsia="標楷體" w:hAnsi="標楷體"/>
                <w:color w:val="000000" w:themeColor="text1"/>
                <w:sz w:val="24"/>
              </w:rPr>
              <w:t>瑋</w:t>
            </w:r>
            <w:proofErr w:type="gramEnd"/>
          </w:p>
          <w:p w14:paraId="063E9A7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AB8D8D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114.11.07</w:t>
            </w:r>
          </w:p>
          <w:p w14:paraId="67450405" w14:textId="1062A0FF"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w:t>
            </w:r>
          </w:p>
        </w:tc>
        <w:tc>
          <w:tcPr>
            <w:tcW w:w="928" w:type="pct"/>
          </w:tcPr>
          <w:p w14:paraId="5DB82B07" w14:textId="193D87D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600BD0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561D5E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7D578501" w14:textId="655880B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28D63E1E" w14:textId="77777777" w:rsidTr="0086120E">
        <w:tc>
          <w:tcPr>
            <w:tcW w:w="356" w:type="pct"/>
          </w:tcPr>
          <w:p w14:paraId="076B76D3" w14:textId="0A3E561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189</w:t>
            </w:r>
          </w:p>
        </w:tc>
        <w:tc>
          <w:tcPr>
            <w:tcW w:w="1709" w:type="pct"/>
          </w:tcPr>
          <w:p w14:paraId="40BA306E" w14:textId="6B207C5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4.民法親屬編施行法增訂第七條之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增訂重點：確保法律適用之明確性與制度銜接之完整性。）</w:t>
            </w:r>
          </w:p>
        </w:tc>
        <w:tc>
          <w:tcPr>
            <w:tcW w:w="1139" w:type="pct"/>
          </w:tcPr>
          <w:p w14:paraId="1209AD7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185140E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00344D2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41E0B325" w14:textId="71811D4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28" w:type="pct"/>
          </w:tcPr>
          <w:p w14:paraId="64455B58" w14:textId="7C0E252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FA68F7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3DB716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115.4.23</w:t>
            </w:r>
          </w:p>
          <w:p w14:paraId="53CE350E" w14:textId="449A185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(11-5-8)報告及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1F71905A" w14:textId="77777777" w:rsidTr="0086120E">
        <w:tc>
          <w:tcPr>
            <w:tcW w:w="356" w:type="pct"/>
          </w:tcPr>
          <w:p w14:paraId="78386F8E" w14:textId="7AC036E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190</w:t>
            </w:r>
          </w:p>
        </w:tc>
        <w:tc>
          <w:tcPr>
            <w:tcW w:w="1709" w:type="pct"/>
          </w:tcPr>
          <w:p w14:paraId="281C8DE7" w14:textId="749EB21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5.民法親屬編施行法增訂第七條之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增訂重點：增訂民法親屬編修正條文施行前所發生之事實，依修正後民法§1052得為離婚之原因者，亦得提起離婚之訴。）</w:t>
            </w:r>
          </w:p>
        </w:tc>
        <w:tc>
          <w:tcPr>
            <w:tcW w:w="1139" w:type="pct"/>
          </w:tcPr>
          <w:p w14:paraId="42FDC20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委員邱鎮軍</w:t>
            </w:r>
          </w:p>
          <w:p w14:paraId="1C0A7C7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595496F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115.04.17</w:t>
            </w:r>
          </w:p>
          <w:p w14:paraId="6A7C9F5F" w14:textId="1D31AB5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w:t>
            </w:r>
          </w:p>
        </w:tc>
        <w:tc>
          <w:tcPr>
            <w:tcW w:w="928" w:type="pct"/>
          </w:tcPr>
          <w:p w14:paraId="49FAF227" w14:textId="5ED8BC9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B289890" w14:textId="5A409B5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566C961" w14:textId="77777777" w:rsidTr="0086120E">
        <w:tc>
          <w:tcPr>
            <w:tcW w:w="356" w:type="pct"/>
          </w:tcPr>
          <w:p w14:paraId="18BC3DD5" w14:textId="21040DA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191</w:t>
            </w:r>
          </w:p>
        </w:tc>
        <w:tc>
          <w:tcPr>
            <w:tcW w:w="1709" w:type="pct"/>
          </w:tcPr>
          <w:p w14:paraId="089CC310" w14:textId="0C91A70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6.民法親屬編施行法增訂第七條之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增訂重點：配合民法§1052修正。）</w:t>
            </w:r>
          </w:p>
        </w:tc>
        <w:tc>
          <w:tcPr>
            <w:tcW w:w="1139" w:type="pct"/>
          </w:tcPr>
          <w:p w14:paraId="297604A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委員吳思瑤</w:t>
            </w:r>
          </w:p>
          <w:p w14:paraId="2F9D12D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37E9C23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115.05.08</w:t>
            </w:r>
          </w:p>
          <w:p w14:paraId="00F3F683" w14:textId="1DCB88B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（11-5-9）</w:t>
            </w:r>
          </w:p>
        </w:tc>
        <w:tc>
          <w:tcPr>
            <w:tcW w:w="928" w:type="pct"/>
          </w:tcPr>
          <w:p w14:paraId="2A44ADD2" w14:textId="1FA5A39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7CD2DE7" w14:textId="7B6261A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8470F88" w14:textId="77777777" w:rsidTr="0086120E">
        <w:tc>
          <w:tcPr>
            <w:tcW w:w="356" w:type="pct"/>
          </w:tcPr>
          <w:p w14:paraId="00E4BD7F" w14:textId="609A434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192</w:t>
            </w:r>
          </w:p>
        </w:tc>
        <w:tc>
          <w:tcPr>
            <w:tcW w:w="1709" w:type="pct"/>
          </w:tcPr>
          <w:p w14:paraId="62465FD1" w14:textId="32DDC8C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行政罰法第十四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條文修正草案(修正重點：對於教唆或共同謀議而未實際實施違反行政法上義務之行為人，予以懲治。)</w:t>
            </w:r>
          </w:p>
        </w:tc>
        <w:tc>
          <w:tcPr>
            <w:tcW w:w="1139" w:type="pct"/>
          </w:tcPr>
          <w:p w14:paraId="3301583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55A3083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6A7EBBB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40D6B4FC" w14:textId="1AF5727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（11-1-5）</w:t>
            </w:r>
          </w:p>
        </w:tc>
        <w:tc>
          <w:tcPr>
            <w:tcW w:w="928" w:type="pct"/>
          </w:tcPr>
          <w:p w14:paraId="07EA079C" w14:textId="176ADF7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83299E7" w14:textId="7FF0FD9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D5D932F" w14:textId="77777777" w:rsidTr="0086120E">
        <w:tc>
          <w:tcPr>
            <w:tcW w:w="356" w:type="pct"/>
          </w:tcPr>
          <w:p w14:paraId="170E01B8" w14:textId="6EB62B2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193</w:t>
            </w:r>
          </w:p>
        </w:tc>
        <w:tc>
          <w:tcPr>
            <w:tcW w:w="1709" w:type="pct"/>
          </w:tcPr>
          <w:p w14:paraId="0F64B275" w14:textId="2C79A53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行政罰法第九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修正重點：新增長者減輕處罰之規定。）</w:t>
            </w:r>
          </w:p>
        </w:tc>
        <w:tc>
          <w:tcPr>
            <w:tcW w:w="1139" w:type="pct"/>
          </w:tcPr>
          <w:p w14:paraId="1352659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委員陳俊宇</w:t>
            </w:r>
          </w:p>
          <w:p w14:paraId="5B11398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等28人</w:t>
            </w:r>
          </w:p>
          <w:p w14:paraId="3ED82BA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251EF857" w14:textId="060EC5E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（11-2-7）</w:t>
            </w:r>
          </w:p>
        </w:tc>
        <w:tc>
          <w:tcPr>
            <w:tcW w:w="928" w:type="pct"/>
          </w:tcPr>
          <w:p w14:paraId="3029E02C" w14:textId="35D210C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5189C529" w14:textId="0E44D8D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0D32E4E" w14:textId="77777777" w:rsidTr="0086120E">
        <w:tc>
          <w:tcPr>
            <w:tcW w:w="356" w:type="pct"/>
          </w:tcPr>
          <w:p w14:paraId="25B7C08A" w14:textId="49B2DD5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194</w:t>
            </w:r>
          </w:p>
        </w:tc>
        <w:tc>
          <w:tcPr>
            <w:tcW w:w="1709" w:type="pct"/>
          </w:tcPr>
          <w:p w14:paraId="15622CA0" w14:textId="28B642F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組織犯罪防制條例第四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修正重點：提高成年人招募未滿十八歲之人加入犯罪組織處罰刑度。）</w:t>
            </w:r>
          </w:p>
        </w:tc>
        <w:tc>
          <w:tcPr>
            <w:tcW w:w="1139" w:type="pct"/>
          </w:tcPr>
          <w:p w14:paraId="24D6A54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委員陳亭</w:t>
            </w:r>
            <w:proofErr w:type="gramStart"/>
            <w:r w:rsidRPr="001B6E4D">
              <w:rPr>
                <w:rFonts w:ascii="標楷體" w:eastAsia="標楷體" w:hAnsi="標楷體"/>
                <w:color w:val="000000" w:themeColor="text1"/>
                <w:sz w:val="24"/>
              </w:rPr>
              <w:t>妃</w:t>
            </w:r>
            <w:proofErr w:type="gramEnd"/>
          </w:p>
          <w:p w14:paraId="598E506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43AF7C8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113.03.15</w:t>
            </w:r>
          </w:p>
          <w:p w14:paraId="7256BC54" w14:textId="3E49EDB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（11-1-5）</w:t>
            </w:r>
          </w:p>
        </w:tc>
        <w:tc>
          <w:tcPr>
            <w:tcW w:w="928" w:type="pct"/>
          </w:tcPr>
          <w:p w14:paraId="0483EA4A" w14:textId="6123196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3BFD174" w14:textId="6D3F280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1E0D5E3" w14:textId="77777777" w:rsidTr="0086120E">
        <w:tc>
          <w:tcPr>
            <w:tcW w:w="356" w:type="pct"/>
          </w:tcPr>
          <w:p w14:paraId="3EFB7F2B" w14:textId="50B5049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195</w:t>
            </w:r>
          </w:p>
        </w:tc>
        <w:tc>
          <w:tcPr>
            <w:tcW w:w="1709" w:type="pct"/>
          </w:tcPr>
          <w:p w14:paraId="514A623F" w14:textId="4A774DD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公職人員利益衝突迴避法第十四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修正重點：明定利益迴避與相關資訊揭露之具體規範。）</w:t>
            </w:r>
          </w:p>
        </w:tc>
        <w:tc>
          <w:tcPr>
            <w:tcW w:w="1139" w:type="pct"/>
          </w:tcPr>
          <w:p w14:paraId="0D68DC5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0AD92B6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4863D52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113.03.22</w:t>
            </w:r>
          </w:p>
          <w:p w14:paraId="2DA7EB9F" w14:textId="38F624B9"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（11-1-6）</w:t>
            </w:r>
          </w:p>
        </w:tc>
        <w:tc>
          <w:tcPr>
            <w:tcW w:w="928" w:type="pct"/>
          </w:tcPr>
          <w:p w14:paraId="1E06F959" w14:textId="488BF60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C9882DB" w14:textId="616FD84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7C049C9" w14:textId="77777777" w:rsidTr="0086120E">
        <w:tc>
          <w:tcPr>
            <w:tcW w:w="356" w:type="pct"/>
          </w:tcPr>
          <w:p w14:paraId="45A75E47" w14:textId="225777A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196</w:t>
            </w:r>
          </w:p>
        </w:tc>
        <w:tc>
          <w:tcPr>
            <w:tcW w:w="1709" w:type="pct"/>
          </w:tcPr>
          <w:p w14:paraId="40D8B6E4" w14:textId="0782842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公職人員財產申報法第五</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修正重點：公職人員財產申報應納入虛擬貨幣項目。)</w:t>
            </w:r>
          </w:p>
        </w:tc>
        <w:tc>
          <w:tcPr>
            <w:tcW w:w="1139" w:type="pct"/>
          </w:tcPr>
          <w:p w14:paraId="7118101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委員賴瑞隆</w:t>
            </w:r>
          </w:p>
          <w:p w14:paraId="432E349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EA591C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113.03.22</w:t>
            </w:r>
          </w:p>
          <w:p w14:paraId="54ED0E49" w14:textId="10D5525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（11-1-6）</w:t>
            </w:r>
          </w:p>
        </w:tc>
        <w:tc>
          <w:tcPr>
            <w:tcW w:w="928" w:type="pct"/>
          </w:tcPr>
          <w:p w14:paraId="2549EEF9" w14:textId="49B0040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06181E1" w14:textId="35095E64"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5E48533" w14:textId="77777777" w:rsidTr="0086120E">
        <w:tc>
          <w:tcPr>
            <w:tcW w:w="356" w:type="pct"/>
          </w:tcPr>
          <w:p w14:paraId="1BD06184" w14:textId="42930A6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197</w:t>
            </w:r>
          </w:p>
        </w:tc>
        <w:tc>
          <w:tcPr>
            <w:tcW w:w="1709" w:type="pct"/>
          </w:tcPr>
          <w:p w14:paraId="2439CEE9" w14:textId="5976841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公職人員財產申報法第六條及第十一</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修正重點：增訂鄉鎮市長及直轄市原住民區長之財產申報內容，應定期刊登於政府公報並上網公告；提高對立法委員及各縣市議會正副議長之查核比例。)</w:t>
            </w:r>
          </w:p>
        </w:tc>
        <w:tc>
          <w:tcPr>
            <w:tcW w:w="1139" w:type="pct"/>
          </w:tcPr>
          <w:p w14:paraId="28B7CA4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委員賴瑞隆</w:t>
            </w:r>
          </w:p>
          <w:p w14:paraId="2DD8120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5539A47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58C37ED5" w14:textId="1F681D7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5EE5A870" w14:textId="4AA23F4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B7BC295" w14:textId="6452A70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65A06BA" w14:textId="77777777" w:rsidTr="0086120E">
        <w:tc>
          <w:tcPr>
            <w:tcW w:w="356" w:type="pct"/>
          </w:tcPr>
          <w:p w14:paraId="3C1F79C1" w14:textId="5109373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198</w:t>
            </w:r>
          </w:p>
        </w:tc>
        <w:tc>
          <w:tcPr>
            <w:tcW w:w="1709" w:type="pct"/>
          </w:tcPr>
          <w:p w14:paraId="1E8EAA78" w14:textId="37A1C76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國家機密保護法第十一</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修正重點：機關非依國家機密保護法、其他法律或法律明確授權之法規命令，保密期限不得逾3年並應送請立法院查照，保密期限或解密條件變更時亦同。）</w:t>
            </w:r>
          </w:p>
        </w:tc>
        <w:tc>
          <w:tcPr>
            <w:tcW w:w="1139" w:type="pct"/>
          </w:tcPr>
          <w:p w14:paraId="5106601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委員徐巧芯</w:t>
            </w:r>
          </w:p>
          <w:p w14:paraId="7CA26AC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等34人</w:t>
            </w:r>
          </w:p>
          <w:p w14:paraId="7DE7A5F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113.03.22</w:t>
            </w:r>
          </w:p>
          <w:p w14:paraId="622E90C3" w14:textId="3AD5F16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（11-1-6）</w:t>
            </w:r>
          </w:p>
        </w:tc>
        <w:tc>
          <w:tcPr>
            <w:tcW w:w="928" w:type="pct"/>
          </w:tcPr>
          <w:p w14:paraId="2F747A82" w14:textId="7BFA5A2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28C95C2" w14:textId="76A888E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EC260EB" w14:textId="77777777" w:rsidTr="0086120E">
        <w:tc>
          <w:tcPr>
            <w:tcW w:w="356" w:type="pct"/>
          </w:tcPr>
          <w:p w14:paraId="195D7D88" w14:textId="0BE2B95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199</w:t>
            </w:r>
          </w:p>
        </w:tc>
        <w:tc>
          <w:tcPr>
            <w:tcW w:w="1709" w:type="pct"/>
          </w:tcPr>
          <w:p w14:paraId="32A595C9" w14:textId="0EA6875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國家機密保護法第三十九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修正重點：明定「一般公務機密」法律定義；增訂保密期限規定。）</w:t>
            </w:r>
          </w:p>
        </w:tc>
        <w:tc>
          <w:tcPr>
            <w:tcW w:w="1139" w:type="pct"/>
          </w:tcPr>
          <w:p w14:paraId="0058CD3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69C5B9C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6175F33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113.05.31</w:t>
            </w:r>
          </w:p>
          <w:p w14:paraId="15700F85" w14:textId="05009C5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（11-1-16）</w:t>
            </w:r>
          </w:p>
        </w:tc>
        <w:tc>
          <w:tcPr>
            <w:tcW w:w="928" w:type="pct"/>
          </w:tcPr>
          <w:p w14:paraId="07103072" w14:textId="099FA1F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31F31B3" w14:textId="10DAE81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11A0FD3" w14:textId="77777777" w:rsidTr="0086120E">
        <w:tc>
          <w:tcPr>
            <w:tcW w:w="356" w:type="pct"/>
          </w:tcPr>
          <w:p w14:paraId="49B6C727" w14:textId="4A8D299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200</w:t>
            </w:r>
          </w:p>
        </w:tc>
        <w:tc>
          <w:tcPr>
            <w:tcW w:w="1709" w:type="pct"/>
          </w:tcPr>
          <w:p w14:paraId="0402F54B" w14:textId="6A368E8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國家機密保護法增訂第三</w:t>
            </w:r>
            <w:r w:rsidRPr="001B6E4D">
              <w:rPr>
                <w:rFonts w:hAnsi="標楷體" w:cs="Times New Roman"/>
                <w:color w:val="000000" w:themeColor="text1"/>
                <w:sz w:val="24"/>
                <w:szCs w:val="24"/>
              </w:rPr>
              <w:lastRenderedPageBreak/>
              <w:t>十八條之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增訂重點：國安案件應由具國安專業知識之法官於國家安全專業法庭中審理。）</w:t>
            </w:r>
          </w:p>
        </w:tc>
        <w:tc>
          <w:tcPr>
            <w:tcW w:w="1139" w:type="pct"/>
          </w:tcPr>
          <w:p w14:paraId="6627F70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委員陳冠廷</w:t>
            </w:r>
          </w:p>
          <w:p w14:paraId="263C072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等19人</w:t>
            </w:r>
          </w:p>
          <w:p w14:paraId="67EC486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113.11.15</w:t>
            </w:r>
          </w:p>
          <w:p w14:paraId="0088F4B9" w14:textId="6EA359D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（11-2-9）</w:t>
            </w:r>
          </w:p>
        </w:tc>
        <w:tc>
          <w:tcPr>
            <w:tcW w:w="928" w:type="pct"/>
          </w:tcPr>
          <w:p w14:paraId="212112B5" w14:textId="00FF207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0CD777C2" w14:textId="028480BB"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B293215" w14:textId="77777777" w:rsidTr="0086120E">
        <w:tc>
          <w:tcPr>
            <w:tcW w:w="356" w:type="pct"/>
          </w:tcPr>
          <w:p w14:paraId="5394CC4E" w14:textId="4F93121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201</w:t>
            </w:r>
          </w:p>
        </w:tc>
        <w:tc>
          <w:tcPr>
            <w:tcW w:w="1709" w:type="pct"/>
          </w:tcPr>
          <w:p w14:paraId="0E6EBD42" w14:textId="484FE30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國家機密保護法第十四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修正重點：中央政府應建立跨機關統合性之安全許可機制。）</w:t>
            </w:r>
          </w:p>
        </w:tc>
        <w:tc>
          <w:tcPr>
            <w:tcW w:w="1139" w:type="pct"/>
          </w:tcPr>
          <w:p w14:paraId="14E88E8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委員陳冠廷</w:t>
            </w:r>
          </w:p>
          <w:p w14:paraId="38AFA78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45BBD15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114.05.02</w:t>
            </w:r>
          </w:p>
          <w:p w14:paraId="495F3630" w14:textId="515BFAB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w:t>
            </w:r>
          </w:p>
        </w:tc>
        <w:tc>
          <w:tcPr>
            <w:tcW w:w="928" w:type="pct"/>
          </w:tcPr>
          <w:p w14:paraId="64AEA587" w14:textId="5E110F1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B1120EF" w14:textId="1FCB81B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7028E10" w14:textId="77777777" w:rsidTr="0086120E">
        <w:tc>
          <w:tcPr>
            <w:tcW w:w="356" w:type="pct"/>
          </w:tcPr>
          <w:p w14:paraId="3008DAA2" w14:textId="0BF82A4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202</w:t>
            </w:r>
          </w:p>
        </w:tc>
        <w:tc>
          <w:tcPr>
            <w:tcW w:w="1709" w:type="pct"/>
          </w:tcPr>
          <w:p w14:paraId="5EB84E31" w14:textId="5A4B954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國家機密保護法第三十二條、第三十三條及第三十四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修正重點：根據洩漏、交付對象是否屬大陸地區、香港、澳門、境外敵對勢力或其派遣之人，分別訂定不同程度之處罰。）</w:t>
            </w:r>
          </w:p>
        </w:tc>
        <w:tc>
          <w:tcPr>
            <w:tcW w:w="1139" w:type="pct"/>
          </w:tcPr>
          <w:p w14:paraId="49EE1D0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委員吳宗憲</w:t>
            </w:r>
          </w:p>
          <w:p w14:paraId="4EDD15D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29CF4E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114.10.28</w:t>
            </w:r>
          </w:p>
          <w:p w14:paraId="5F9CA9BB" w14:textId="2A6C73E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（11-4-6）</w:t>
            </w:r>
          </w:p>
        </w:tc>
        <w:tc>
          <w:tcPr>
            <w:tcW w:w="928" w:type="pct"/>
          </w:tcPr>
          <w:p w14:paraId="18285569" w14:textId="0869019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E6154E4" w14:textId="3DDF600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C10AAA7" w14:textId="77777777" w:rsidTr="0086120E">
        <w:tc>
          <w:tcPr>
            <w:tcW w:w="356" w:type="pct"/>
          </w:tcPr>
          <w:p w14:paraId="5CD43A65" w14:textId="120C13D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203</w:t>
            </w:r>
          </w:p>
        </w:tc>
        <w:tc>
          <w:tcPr>
            <w:tcW w:w="1709" w:type="pct"/>
          </w:tcPr>
          <w:p w14:paraId="54D10ADC" w14:textId="62A58BAD"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更生保護法第十一</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修正重點：更生保護措施中「間接保護」，增列「轉</w:t>
            </w:r>
            <w:proofErr w:type="gramStart"/>
            <w:r w:rsidRPr="001B6E4D">
              <w:rPr>
                <w:rFonts w:hAnsi="標楷體" w:cs="Times New Roman"/>
                <w:color w:val="000000" w:themeColor="text1"/>
                <w:sz w:val="24"/>
                <w:szCs w:val="24"/>
              </w:rPr>
              <w:t>介</w:t>
            </w:r>
            <w:proofErr w:type="gramEnd"/>
            <w:r w:rsidRPr="001B6E4D">
              <w:rPr>
                <w:rFonts w:hAnsi="標楷體" w:cs="Times New Roman"/>
                <w:color w:val="000000" w:themeColor="text1"/>
                <w:sz w:val="24"/>
                <w:szCs w:val="24"/>
              </w:rPr>
              <w:t>進行修復」之修法。）</w:t>
            </w:r>
          </w:p>
        </w:tc>
        <w:tc>
          <w:tcPr>
            <w:tcW w:w="1139" w:type="pct"/>
          </w:tcPr>
          <w:p w14:paraId="1E67928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066C136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等26人</w:t>
            </w:r>
          </w:p>
          <w:p w14:paraId="7B30A37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729A6F6A" w14:textId="13FBF8A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（11-1-7）</w:t>
            </w:r>
          </w:p>
        </w:tc>
        <w:tc>
          <w:tcPr>
            <w:tcW w:w="928" w:type="pct"/>
          </w:tcPr>
          <w:p w14:paraId="29B11904" w14:textId="551EEFC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A196A53" w14:textId="34E9551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F139ABD" w14:textId="77777777" w:rsidTr="0086120E">
        <w:tc>
          <w:tcPr>
            <w:tcW w:w="356" w:type="pct"/>
          </w:tcPr>
          <w:p w14:paraId="37DF9E17" w14:textId="2E35893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204</w:t>
            </w:r>
          </w:p>
        </w:tc>
        <w:tc>
          <w:tcPr>
            <w:tcW w:w="1709" w:type="pct"/>
          </w:tcPr>
          <w:p w14:paraId="18C0BA5D" w14:textId="18EBB04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1.律師法增訂第三十五條之一、第三十五條之二及第三十五條之三條文草案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增訂重點：遇有他人</w:t>
            </w:r>
            <w:proofErr w:type="gramStart"/>
            <w:r w:rsidRPr="001B6E4D">
              <w:rPr>
                <w:rFonts w:hAnsi="標楷體" w:cs="Times New Roman"/>
                <w:color w:val="000000" w:themeColor="text1"/>
                <w:sz w:val="24"/>
                <w:szCs w:val="24"/>
              </w:rPr>
              <w:t>無故滋擾或</w:t>
            </w:r>
            <w:proofErr w:type="gramEnd"/>
            <w:r w:rsidRPr="001B6E4D">
              <w:rPr>
                <w:rFonts w:hAnsi="標楷體" w:cs="Times New Roman"/>
                <w:color w:val="000000" w:themeColor="text1"/>
                <w:sz w:val="24"/>
                <w:szCs w:val="24"/>
              </w:rPr>
              <w:t>妨害而無法排除，警察機關應主動協助，並對肇事者明定其刑事責任及處罰未遂犯行為。）</w:t>
            </w:r>
          </w:p>
        </w:tc>
        <w:tc>
          <w:tcPr>
            <w:tcW w:w="1139" w:type="pct"/>
          </w:tcPr>
          <w:p w14:paraId="473A64A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2633186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等27人</w:t>
            </w:r>
          </w:p>
          <w:p w14:paraId="113B1B4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113.04.26</w:t>
            </w:r>
          </w:p>
          <w:p w14:paraId="34BA4BBE" w14:textId="23933F8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（11-1-11）</w:t>
            </w:r>
          </w:p>
        </w:tc>
        <w:tc>
          <w:tcPr>
            <w:tcW w:w="928" w:type="pct"/>
          </w:tcPr>
          <w:p w14:paraId="69F87636" w14:textId="24DD539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DC17F3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33B2DA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7BDBECAD" w14:textId="205398D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E997225" w14:textId="77777777" w:rsidTr="0086120E">
        <w:tc>
          <w:tcPr>
            <w:tcW w:w="356" w:type="pct"/>
          </w:tcPr>
          <w:p w14:paraId="038F4830" w14:textId="087DD2D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205</w:t>
            </w:r>
          </w:p>
        </w:tc>
        <w:tc>
          <w:tcPr>
            <w:tcW w:w="1709" w:type="pct"/>
          </w:tcPr>
          <w:p w14:paraId="2AD118FA" w14:textId="10D7AD3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增訂重點：對執行職務之律師施以暴力者，</w:t>
            </w:r>
            <w:proofErr w:type="gramStart"/>
            <w:r w:rsidRPr="001B6E4D">
              <w:rPr>
                <w:rFonts w:hAnsi="標楷體" w:cs="Times New Roman"/>
                <w:color w:val="000000" w:themeColor="text1"/>
                <w:sz w:val="24"/>
                <w:szCs w:val="24"/>
              </w:rPr>
              <w:t>應科以</w:t>
            </w:r>
            <w:proofErr w:type="gramEnd"/>
            <w:r w:rsidRPr="001B6E4D">
              <w:rPr>
                <w:rFonts w:hAnsi="標楷體" w:cs="Times New Roman"/>
                <w:color w:val="000000" w:themeColor="text1"/>
                <w:sz w:val="24"/>
                <w:szCs w:val="24"/>
              </w:rPr>
              <w:t>刑事責任。）</w:t>
            </w:r>
          </w:p>
        </w:tc>
        <w:tc>
          <w:tcPr>
            <w:tcW w:w="1139" w:type="pct"/>
          </w:tcPr>
          <w:p w14:paraId="7A520A6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3866394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4AF6E0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115.03.27</w:t>
            </w:r>
          </w:p>
          <w:p w14:paraId="32B809DC" w14:textId="191C95E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（11-5-5）</w:t>
            </w:r>
          </w:p>
        </w:tc>
        <w:tc>
          <w:tcPr>
            <w:tcW w:w="928" w:type="pct"/>
          </w:tcPr>
          <w:p w14:paraId="595F0AFF" w14:textId="5A7CB4B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D98027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BA404E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2E35BCD1" w14:textId="3E5D9C3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6B123A01" w14:textId="77777777" w:rsidTr="0086120E">
        <w:tc>
          <w:tcPr>
            <w:tcW w:w="356" w:type="pct"/>
          </w:tcPr>
          <w:p w14:paraId="0A43E703" w14:textId="0855FEB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206</w:t>
            </w:r>
          </w:p>
        </w:tc>
        <w:tc>
          <w:tcPr>
            <w:tcW w:w="1709" w:type="pct"/>
          </w:tcPr>
          <w:p w14:paraId="6A02086C" w14:textId="6FE9101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增訂重點：律師於依法執行職務時遭受不法滋擾，強化刑事責任之規範密度與嚇阻效果，並建立即時之公權力介入機制。）</w:t>
            </w:r>
          </w:p>
        </w:tc>
        <w:tc>
          <w:tcPr>
            <w:tcW w:w="1139" w:type="pct"/>
          </w:tcPr>
          <w:p w14:paraId="16215A0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委員羅廷</w:t>
            </w:r>
            <w:proofErr w:type="gramStart"/>
            <w:r w:rsidRPr="001B6E4D">
              <w:rPr>
                <w:rFonts w:ascii="標楷體" w:eastAsia="標楷體" w:hAnsi="標楷體"/>
                <w:color w:val="000000" w:themeColor="text1"/>
                <w:sz w:val="24"/>
              </w:rPr>
              <w:t>瑋</w:t>
            </w:r>
            <w:proofErr w:type="gramEnd"/>
          </w:p>
          <w:p w14:paraId="1887041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0EB5193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115.03.27</w:t>
            </w:r>
          </w:p>
          <w:p w14:paraId="6B0A0920" w14:textId="5494F63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（11-5-5）</w:t>
            </w:r>
          </w:p>
        </w:tc>
        <w:tc>
          <w:tcPr>
            <w:tcW w:w="928" w:type="pct"/>
          </w:tcPr>
          <w:p w14:paraId="7B0CEE0F" w14:textId="65363D7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661182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5E824C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3A15A2C5" w14:textId="45D797E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2D137560" w14:textId="77777777" w:rsidTr="0086120E">
        <w:tc>
          <w:tcPr>
            <w:tcW w:w="356" w:type="pct"/>
          </w:tcPr>
          <w:p w14:paraId="2FC9588A" w14:textId="26BD624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207</w:t>
            </w:r>
          </w:p>
        </w:tc>
        <w:tc>
          <w:tcPr>
            <w:tcW w:w="1709" w:type="pct"/>
          </w:tcPr>
          <w:p w14:paraId="5A5674E2" w14:textId="51A2134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增訂重點：對於依法執行職務之律師施以暴力、恐嚇等行為之刑事處分。）</w:t>
            </w:r>
          </w:p>
        </w:tc>
        <w:tc>
          <w:tcPr>
            <w:tcW w:w="1139" w:type="pct"/>
          </w:tcPr>
          <w:p w14:paraId="052358A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委員廖偉翔</w:t>
            </w:r>
          </w:p>
          <w:p w14:paraId="380BB27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33CB406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115.03.27</w:t>
            </w:r>
          </w:p>
          <w:p w14:paraId="41CED845" w14:textId="177169F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（11-5-5）</w:t>
            </w:r>
          </w:p>
        </w:tc>
        <w:tc>
          <w:tcPr>
            <w:tcW w:w="928" w:type="pct"/>
          </w:tcPr>
          <w:p w14:paraId="374BA48F" w14:textId="75C82AE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E794EC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ED0C19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6BF4E574" w14:textId="099EF999"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490B228" w14:textId="77777777" w:rsidTr="0086120E">
        <w:tc>
          <w:tcPr>
            <w:tcW w:w="356" w:type="pct"/>
          </w:tcPr>
          <w:p w14:paraId="3335C5EA" w14:textId="76924C5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208</w:t>
            </w:r>
          </w:p>
        </w:tc>
        <w:tc>
          <w:tcPr>
            <w:tcW w:w="1709" w:type="pct"/>
          </w:tcPr>
          <w:p w14:paraId="30F67CBF" w14:textId="0F38A89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增訂重點：對妨害律師職務及攻擊律師的行為應依法嚴懲。）</w:t>
            </w:r>
          </w:p>
        </w:tc>
        <w:tc>
          <w:tcPr>
            <w:tcW w:w="1139" w:type="pct"/>
          </w:tcPr>
          <w:p w14:paraId="56A8868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委員王鴻薇</w:t>
            </w:r>
          </w:p>
          <w:p w14:paraId="1A3CE9A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2DDD00B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7B1C83F3" w14:textId="1270494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28" w:type="pct"/>
          </w:tcPr>
          <w:p w14:paraId="0FFEF5F2" w14:textId="5402747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5A0B08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30A1B00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432DF159" w14:textId="45EA7C7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2202355C" w14:textId="77777777" w:rsidTr="0086120E">
        <w:tc>
          <w:tcPr>
            <w:tcW w:w="356" w:type="pct"/>
          </w:tcPr>
          <w:p w14:paraId="34DBA343" w14:textId="0E8ADD0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209</w:t>
            </w:r>
          </w:p>
        </w:tc>
        <w:tc>
          <w:tcPr>
            <w:tcW w:w="1709" w:type="pct"/>
          </w:tcPr>
          <w:p w14:paraId="69130D64" w14:textId="4C9D37E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及第三十五條之二條文草案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增訂重點：明定禁止妨礙律師執行職務之規範及相關刑事責任。）</w:t>
            </w:r>
          </w:p>
        </w:tc>
        <w:tc>
          <w:tcPr>
            <w:tcW w:w="1139" w:type="pct"/>
          </w:tcPr>
          <w:p w14:paraId="5596ECD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委員李柏毅</w:t>
            </w:r>
          </w:p>
          <w:p w14:paraId="1A0954E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730A85A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1AF59D2E" w14:textId="75B6DEF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28" w:type="pct"/>
          </w:tcPr>
          <w:p w14:paraId="5B9BBE1C" w14:textId="7531B6A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E98A58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112097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00D90E32" w14:textId="7C01547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16B1A2FB" w14:textId="77777777" w:rsidTr="0086120E">
        <w:tc>
          <w:tcPr>
            <w:tcW w:w="356" w:type="pct"/>
          </w:tcPr>
          <w:p w14:paraId="510136F1" w14:textId="121F6DE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210</w:t>
            </w:r>
          </w:p>
        </w:tc>
        <w:tc>
          <w:tcPr>
            <w:tcW w:w="1709" w:type="pct"/>
          </w:tcPr>
          <w:p w14:paraId="36A5AB0C" w14:textId="3C1FDF6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增訂重點：明定對依法執行職務之律師施以強暴、脅迫、恐嚇或其他非法方法妨害其執行職務者之刑事責任，</w:t>
            </w:r>
            <w:proofErr w:type="gramStart"/>
            <w:r w:rsidRPr="001B6E4D">
              <w:rPr>
                <w:rFonts w:hAnsi="標楷體" w:cs="Times New Roman"/>
                <w:color w:val="000000" w:themeColor="text1"/>
                <w:sz w:val="24"/>
                <w:szCs w:val="24"/>
              </w:rPr>
              <w:t>並就致重傷</w:t>
            </w:r>
            <w:proofErr w:type="gramEnd"/>
            <w:r w:rsidRPr="001B6E4D">
              <w:rPr>
                <w:rFonts w:hAnsi="標楷體" w:cs="Times New Roman"/>
                <w:color w:val="000000" w:themeColor="text1"/>
                <w:sz w:val="24"/>
                <w:szCs w:val="24"/>
              </w:rPr>
              <w:t>或死亡之情形加重處罰。）</w:t>
            </w:r>
          </w:p>
        </w:tc>
        <w:tc>
          <w:tcPr>
            <w:tcW w:w="1139" w:type="pct"/>
          </w:tcPr>
          <w:p w14:paraId="7105B50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委員楊瓊瓔</w:t>
            </w:r>
          </w:p>
          <w:p w14:paraId="02FDFAA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等28人</w:t>
            </w:r>
          </w:p>
          <w:p w14:paraId="6486768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0C9FA9A1" w14:textId="157DA49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28" w:type="pct"/>
          </w:tcPr>
          <w:p w14:paraId="643B36CA" w14:textId="30AB52E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C1590D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262F14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4EB1D127" w14:textId="48CF3B2F"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2F388277" w14:textId="77777777" w:rsidTr="0086120E">
        <w:tc>
          <w:tcPr>
            <w:tcW w:w="356" w:type="pct"/>
          </w:tcPr>
          <w:p w14:paraId="659B3599" w14:textId="1657893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211</w:t>
            </w:r>
          </w:p>
        </w:tc>
        <w:tc>
          <w:tcPr>
            <w:tcW w:w="1709" w:type="pct"/>
          </w:tcPr>
          <w:p w14:paraId="0E640A5F" w14:textId="7B04521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及第三十五條之二條文草案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增訂重點：律師於合法執行職務時，遇有他人</w:t>
            </w:r>
            <w:proofErr w:type="gramStart"/>
            <w:r w:rsidRPr="001B6E4D">
              <w:rPr>
                <w:rFonts w:hAnsi="標楷體" w:cs="Times New Roman"/>
                <w:color w:val="000000" w:themeColor="text1"/>
                <w:sz w:val="24"/>
                <w:szCs w:val="24"/>
              </w:rPr>
              <w:t>無故滋擾或</w:t>
            </w:r>
            <w:proofErr w:type="gramEnd"/>
            <w:r w:rsidRPr="001B6E4D">
              <w:rPr>
                <w:rFonts w:hAnsi="標楷體" w:cs="Times New Roman"/>
                <w:color w:val="000000" w:themeColor="text1"/>
                <w:sz w:val="24"/>
                <w:szCs w:val="24"/>
              </w:rPr>
              <w:t>妨害而無</w:t>
            </w:r>
            <w:r w:rsidRPr="001B6E4D">
              <w:rPr>
                <w:rFonts w:hAnsi="標楷體" w:cs="Times New Roman"/>
                <w:color w:val="000000" w:themeColor="text1"/>
                <w:sz w:val="24"/>
                <w:szCs w:val="24"/>
              </w:rPr>
              <w:lastRenderedPageBreak/>
              <w:t>法排除，警察機關應協助排除或制止，並明定刑事保護機制。）</w:t>
            </w:r>
          </w:p>
        </w:tc>
        <w:tc>
          <w:tcPr>
            <w:tcW w:w="1139" w:type="pct"/>
          </w:tcPr>
          <w:p w14:paraId="2B5F164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委員邱鎮軍</w:t>
            </w:r>
          </w:p>
          <w:p w14:paraId="79E780A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414084F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2EEEA58C" w14:textId="6339544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w:t>
            </w:r>
          </w:p>
        </w:tc>
        <w:tc>
          <w:tcPr>
            <w:tcW w:w="928" w:type="pct"/>
          </w:tcPr>
          <w:p w14:paraId="1451A6D5" w14:textId="67FD495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69B83E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72135A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1B79EAFC" w14:textId="3014FD2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w:t>
            </w:r>
            <w:r w:rsidRPr="001B6E4D">
              <w:rPr>
                <w:rFonts w:ascii="標楷體" w:eastAsia="標楷體" w:hAnsi="標楷體"/>
                <w:color w:val="000000" w:themeColor="text1"/>
                <w:sz w:val="24"/>
              </w:rPr>
              <w:lastRenderedPageBreak/>
              <w:t>繼續審查。</w:t>
            </w:r>
          </w:p>
        </w:tc>
      </w:tr>
      <w:tr w:rsidR="00FC42F6" w:rsidRPr="001B6E4D" w14:paraId="32AB88D6" w14:textId="77777777" w:rsidTr="0086120E">
        <w:tc>
          <w:tcPr>
            <w:tcW w:w="356" w:type="pct"/>
          </w:tcPr>
          <w:p w14:paraId="112D17FC" w14:textId="0C8C337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212</w:t>
            </w:r>
          </w:p>
        </w:tc>
        <w:tc>
          <w:tcPr>
            <w:tcW w:w="1709" w:type="pct"/>
          </w:tcPr>
          <w:p w14:paraId="09FDCF07" w14:textId="7F00C65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增訂重點：確保律師執業安全。）</w:t>
            </w:r>
          </w:p>
        </w:tc>
        <w:tc>
          <w:tcPr>
            <w:tcW w:w="1139" w:type="pct"/>
          </w:tcPr>
          <w:p w14:paraId="6827B27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委員林思銘</w:t>
            </w:r>
          </w:p>
          <w:p w14:paraId="55F6945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6FA592E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115.04.17</w:t>
            </w:r>
          </w:p>
          <w:p w14:paraId="68FC0706" w14:textId="3E01F58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w:t>
            </w:r>
          </w:p>
        </w:tc>
        <w:tc>
          <w:tcPr>
            <w:tcW w:w="928" w:type="pct"/>
          </w:tcPr>
          <w:p w14:paraId="27A655F6" w14:textId="4282B94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4BDD4E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19E2BD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333C7D9C" w14:textId="4C04A33B"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A7DD19A" w14:textId="77777777" w:rsidTr="0086120E">
        <w:tc>
          <w:tcPr>
            <w:tcW w:w="356" w:type="pct"/>
          </w:tcPr>
          <w:p w14:paraId="16C90028" w14:textId="665E72E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213</w:t>
            </w:r>
          </w:p>
        </w:tc>
        <w:tc>
          <w:tcPr>
            <w:tcW w:w="1709" w:type="pct"/>
          </w:tcPr>
          <w:p w14:paraId="3817C796" w14:textId="1DA02DB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增訂重點：強化律師執業安全。）</w:t>
            </w:r>
          </w:p>
        </w:tc>
        <w:tc>
          <w:tcPr>
            <w:tcW w:w="1139" w:type="pct"/>
          </w:tcPr>
          <w:p w14:paraId="31F1939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1BB8C25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1A03F79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115.04.24</w:t>
            </w:r>
          </w:p>
          <w:p w14:paraId="0350A328" w14:textId="253F3FD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w:t>
            </w:r>
          </w:p>
        </w:tc>
        <w:tc>
          <w:tcPr>
            <w:tcW w:w="928" w:type="pct"/>
          </w:tcPr>
          <w:p w14:paraId="478FEAF4" w14:textId="1C1C5B4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6A501B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433EB67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77358009" w14:textId="57EB0B4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4F5AA4B1" w14:textId="77777777" w:rsidTr="0086120E">
        <w:tc>
          <w:tcPr>
            <w:tcW w:w="356" w:type="pct"/>
          </w:tcPr>
          <w:p w14:paraId="2DE8228C" w14:textId="194F2B4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214</w:t>
            </w:r>
          </w:p>
        </w:tc>
        <w:tc>
          <w:tcPr>
            <w:tcW w:w="1709" w:type="pct"/>
          </w:tcPr>
          <w:p w14:paraId="3D82307F" w14:textId="38451C8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增訂重點：強化對律師依法執行職務之保護。）</w:t>
            </w:r>
          </w:p>
        </w:tc>
        <w:tc>
          <w:tcPr>
            <w:tcW w:w="1139" w:type="pct"/>
          </w:tcPr>
          <w:p w14:paraId="7B4CFF6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委員許宇</w:t>
            </w:r>
            <w:proofErr w:type="gramStart"/>
            <w:r w:rsidRPr="001B6E4D">
              <w:rPr>
                <w:rFonts w:ascii="標楷體" w:eastAsia="標楷體" w:hAnsi="標楷體"/>
                <w:color w:val="000000" w:themeColor="text1"/>
                <w:sz w:val="24"/>
              </w:rPr>
              <w:t>甄</w:t>
            </w:r>
            <w:proofErr w:type="gramEnd"/>
          </w:p>
          <w:p w14:paraId="53EF0B6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14963BE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115.07.03</w:t>
            </w:r>
          </w:p>
          <w:p w14:paraId="468B5798" w14:textId="6285B914"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（11-5-16）</w:t>
            </w:r>
          </w:p>
        </w:tc>
        <w:tc>
          <w:tcPr>
            <w:tcW w:w="928" w:type="pct"/>
          </w:tcPr>
          <w:p w14:paraId="6AAC4BCA" w14:textId="695C084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EE481F6" w14:textId="1E863DDB"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B5E97AD" w14:textId="77777777" w:rsidTr="0086120E">
        <w:tc>
          <w:tcPr>
            <w:tcW w:w="356" w:type="pct"/>
          </w:tcPr>
          <w:p w14:paraId="5E8E24E9" w14:textId="519C22C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215</w:t>
            </w:r>
          </w:p>
        </w:tc>
        <w:tc>
          <w:tcPr>
            <w:tcW w:w="1709" w:type="pct"/>
          </w:tcPr>
          <w:p w14:paraId="0E2AEE5E" w14:textId="606146F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12.律師法增訂第三十五條之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增訂重點：維護律師執業安全。）</w:t>
            </w:r>
          </w:p>
        </w:tc>
        <w:tc>
          <w:tcPr>
            <w:tcW w:w="1139" w:type="pct"/>
          </w:tcPr>
          <w:p w14:paraId="716AC66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委員徐巧芯</w:t>
            </w:r>
          </w:p>
          <w:p w14:paraId="2849A8B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CDB66B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200738F5" w14:textId="77FFCD8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928" w:type="pct"/>
          </w:tcPr>
          <w:p w14:paraId="5020DA4E" w14:textId="5EB32A0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763D13C" w14:textId="77C314B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3184A22" w14:textId="77777777" w:rsidTr="0086120E">
        <w:tc>
          <w:tcPr>
            <w:tcW w:w="356" w:type="pct"/>
          </w:tcPr>
          <w:p w14:paraId="1EB361CC" w14:textId="66C665C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216</w:t>
            </w:r>
          </w:p>
        </w:tc>
        <w:tc>
          <w:tcPr>
            <w:tcW w:w="1709" w:type="pct"/>
          </w:tcPr>
          <w:p w14:paraId="62BB940B" w14:textId="3228DDD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13.律師法增訂第三十五條之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增訂重點：明定意圖妨害律師執行職務或因職務而報復者之刑事責任。）</w:t>
            </w:r>
          </w:p>
        </w:tc>
        <w:tc>
          <w:tcPr>
            <w:tcW w:w="1139" w:type="pct"/>
          </w:tcPr>
          <w:p w14:paraId="3206223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委員王育敏</w:t>
            </w:r>
          </w:p>
          <w:p w14:paraId="305B93E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44463C1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115.07.31</w:t>
            </w:r>
          </w:p>
          <w:p w14:paraId="512B4808" w14:textId="557D290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（11-5-20）</w:t>
            </w:r>
          </w:p>
        </w:tc>
        <w:tc>
          <w:tcPr>
            <w:tcW w:w="928" w:type="pct"/>
          </w:tcPr>
          <w:p w14:paraId="0477332D" w14:textId="00E6820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BF2F7C6" w14:textId="6D374C0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F8794BF" w14:textId="77777777" w:rsidTr="0086120E">
        <w:tc>
          <w:tcPr>
            <w:tcW w:w="356" w:type="pct"/>
          </w:tcPr>
          <w:p w14:paraId="5E17EA6F" w14:textId="4E6E33C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217</w:t>
            </w:r>
          </w:p>
        </w:tc>
        <w:tc>
          <w:tcPr>
            <w:tcW w:w="1709" w:type="pct"/>
          </w:tcPr>
          <w:p w14:paraId="56899B9C" w14:textId="3DD1179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1.律師法部分條文修正草案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修正§7、12、74、76、103、109、113、136、146。修正重點：修正停止審查律師證書申請之申請人涉嫌犯罪之規定並配合修正地方律師公會入會審查之規定；修正律師懲戒委員會命律師停止執行職務決定之</w:t>
            </w:r>
            <w:proofErr w:type="gramStart"/>
            <w:r w:rsidRPr="001B6E4D">
              <w:rPr>
                <w:rFonts w:hAnsi="標楷體" w:cs="Times New Roman"/>
                <w:color w:val="000000" w:themeColor="text1"/>
                <w:sz w:val="24"/>
                <w:szCs w:val="24"/>
              </w:rPr>
              <w:t>期間、</w:t>
            </w:r>
            <w:proofErr w:type="gramEnd"/>
            <w:r w:rsidRPr="001B6E4D">
              <w:rPr>
                <w:rFonts w:hAnsi="標楷體" w:cs="Times New Roman"/>
                <w:color w:val="000000" w:themeColor="text1"/>
                <w:sz w:val="24"/>
                <w:szCs w:val="24"/>
              </w:rPr>
              <w:t>次</w:t>
            </w:r>
            <w:r w:rsidRPr="001B6E4D">
              <w:rPr>
                <w:rFonts w:hAnsi="標楷體" w:cs="Times New Roman"/>
                <w:color w:val="000000" w:themeColor="text1"/>
                <w:sz w:val="24"/>
                <w:szCs w:val="24"/>
              </w:rPr>
              <w:lastRenderedPageBreak/>
              <w:t>數及</w:t>
            </w:r>
            <w:proofErr w:type="gramStart"/>
            <w:r w:rsidRPr="001B6E4D">
              <w:rPr>
                <w:rFonts w:hAnsi="標楷體" w:cs="Times New Roman"/>
                <w:color w:val="000000" w:themeColor="text1"/>
                <w:sz w:val="24"/>
                <w:szCs w:val="24"/>
              </w:rPr>
              <w:t>準</w:t>
            </w:r>
            <w:proofErr w:type="gramEnd"/>
            <w:r w:rsidRPr="001B6E4D">
              <w:rPr>
                <w:rFonts w:hAnsi="標楷體" w:cs="Times New Roman"/>
                <w:color w:val="000000" w:themeColor="text1"/>
                <w:sz w:val="24"/>
                <w:szCs w:val="24"/>
              </w:rPr>
              <w:t>用規定；修正撤回請求律師懲戒覆審之律師懲戒委員會決議確定時點規定；增訂律師懲戒再審議移轉管轄及得通知被付懲戒人到場陳述意見之規定；修正律師懲戒再審議程序之適用或</w:t>
            </w:r>
            <w:proofErr w:type="gramStart"/>
            <w:r w:rsidRPr="001B6E4D">
              <w:rPr>
                <w:rFonts w:hAnsi="標楷體" w:cs="Times New Roman"/>
                <w:color w:val="000000" w:themeColor="text1"/>
                <w:sz w:val="24"/>
                <w:szCs w:val="24"/>
              </w:rPr>
              <w:t>準</w:t>
            </w:r>
            <w:proofErr w:type="gramEnd"/>
            <w:r w:rsidRPr="001B6E4D">
              <w:rPr>
                <w:rFonts w:hAnsi="標楷體" w:cs="Times New Roman"/>
                <w:color w:val="000000" w:themeColor="text1"/>
                <w:sz w:val="24"/>
                <w:szCs w:val="24"/>
              </w:rPr>
              <w:t>用規定。）</w:t>
            </w:r>
          </w:p>
        </w:tc>
        <w:tc>
          <w:tcPr>
            <w:tcW w:w="1139" w:type="pct"/>
          </w:tcPr>
          <w:p w14:paraId="531205D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行政院</w:t>
            </w:r>
          </w:p>
          <w:p w14:paraId="7576FBF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114.06.13</w:t>
            </w:r>
          </w:p>
          <w:p w14:paraId="7823901A" w14:textId="70AD446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（11-3-16）</w:t>
            </w:r>
          </w:p>
        </w:tc>
        <w:tc>
          <w:tcPr>
            <w:tcW w:w="928" w:type="pct"/>
          </w:tcPr>
          <w:p w14:paraId="075C2CE3" w14:textId="35D35E2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1437BB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4ECD5A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7632A241" w14:textId="5CCDECF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109C2DAF" w14:textId="77777777" w:rsidTr="0086120E">
        <w:tc>
          <w:tcPr>
            <w:tcW w:w="356" w:type="pct"/>
          </w:tcPr>
          <w:p w14:paraId="60EFB6B6" w14:textId="3D6397E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218</w:t>
            </w:r>
          </w:p>
        </w:tc>
        <w:tc>
          <w:tcPr>
            <w:tcW w:w="1709" w:type="pct"/>
          </w:tcPr>
          <w:p w14:paraId="67413FFA" w14:textId="5B25D64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2.律師法第七條及第七十四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w:t>
            </w:r>
            <w:proofErr w:type="gramStart"/>
            <w:r w:rsidRPr="001B6E4D">
              <w:rPr>
                <w:rFonts w:hAnsi="標楷體" w:cs="Times New Roman"/>
                <w:color w:val="000000" w:themeColor="text1"/>
                <w:sz w:val="24"/>
                <w:szCs w:val="24"/>
              </w:rPr>
              <w:t>重懲涉詐</w:t>
            </w:r>
            <w:proofErr w:type="gramEnd"/>
            <w:r w:rsidRPr="001B6E4D">
              <w:rPr>
                <w:rFonts w:hAnsi="標楷體" w:cs="Times New Roman"/>
                <w:color w:val="000000" w:themeColor="text1"/>
                <w:sz w:val="24"/>
                <w:szCs w:val="24"/>
              </w:rPr>
              <w:t>律師。）</w:t>
            </w:r>
          </w:p>
        </w:tc>
        <w:tc>
          <w:tcPr>
            <w:tcW w:w="1139" w:type="pct"/>
          </w:tcPr>
          <w:p w14:paraId="111821C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委員王鴻薇</w:t>
            </w:r>
          </w:p>
          <w:p w14:paraId="65D5416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413A483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113.05.31</w:t>
            </w:r>
          </w:p>
          <w:p w14:paraId="4D404E2F" w14:textId="73F1F46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（11-1-16）</w:t>
            </w:r>
          </w:p>
        </w:tc>
        <w:tc>
          <w:tcPr>
            <w:tcW w:w="928" w:type="pct"/>
          </w:tcPr>
          <w:p w14:paraId="37043E49" w14:textId="54EC8F4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262666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4001EF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38D64EDC" w14:textId="33AFD7FF"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31495326" w14:textId="77777777" w:rsidTr="0086120E">
        <w:tc>
          <w:tcPr>
            <w:tcW w:w="356" w:type="pct"/>
          </w:tcPr>
          <w:p w14:paraId="4F6CC66F" w14:textId="5F2A6C4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219</w:t>
            </w:r>
          </w:p>
        </w:tc>
        <w:tc>
          <w:tcPr>
            <w:tcW w:w="1709" w:type="pct"/>
          </w:tcPr>
          <w:p w14:paraId="1B057182" w14:textId="764196A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3.律師法部分條文修正草案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修正§7、12、74、76、103、109、113、136、146。修正重點：完備律師懲戒制度。）</w:t>
            </w:r>
          </w:p>
        </w:tc>
        <w:tc>
          <w:tcPr>
            <w:tcW w:w="1139" w:type="pct"/>
          </w:tcPr>
          <w:p w14:paraId="364B2C2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委員陳素月</w:t>
            </w:r>
          </w:p>
          <w:p w14:paraId="7CEA476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42C16BA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114.06.20</w:t>
            </w:r>
          </w:p>
          <w:p w14:paraId="3AE05242" w14:textId="114C5CB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（11-3-17）</w:t>
            </w:r>
          </w:p>
        </w:tc>
        <w:tc>
          <w:tcPr>
            <w:tcW w:w="928" w:type="pct"/>
          </w:tcPr>
          <w:p w14:paraId="4AC07323" w14:textId="7FBEB28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C9DFA2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0391C9D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540DD24A" w14:textId="0AF7F3E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2D2894A0" w14:textId="77777777" w:rsidTr="0086120E">
        <w:tc>
          <w:tcPr>
            <w:tcW w:w="356" w:type="pct"/>
          </w:tcPr>
          <w:p w14:paraId="3910F1CD" w14:textId="1D97AB8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220</w:t>
            </w:r>
          </w:p>
        </w:tc>
        <w:tc>
          <w:tcPr>
            <w:tcW w:w="1709" w:type="pct"/>
          </w:tcPr>
          <w:p w14:paraId="5A191618" w14:textId="44E7DB1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4.律師法部分條文修正草案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修正§7、12、74、76、103、109、113、136、146。修正重點：健全懲戒制度。）</w:t>
            </w:r>
          </w:p>
        </w:tc>
        <w:tc>
          <w:tcPr>
            <w:tcW w:w="1139" w:type="pct"/>
          </w:tcPr>
          <w:p w14:paraId="05B18DF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委員郭昱晴</w:t>
            </w:r>
          </w:p>
          <w:p w14:paraId="07A02BE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26C1EBD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114.09.30</w:t>
            </w:r>
          </w:p>
          <w:p w14:paraId="0F7181A5" w14:textId="7881F25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（11-4-2）</w:t>
            </w:r>
          </w:p>
        </w:tc>
        <w:tc>
          <w:tcPr>
            <w:tcW w:w="928" w:type="pct"/>
          </w:tcPr>
          <w:p w14:paraId="10875223" w14:textId="6F6B3E2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306326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FC8E8A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3266CF39" w14:textId="7992E05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4ACD6C61" w14:textId="77777777" w:rsidTr="0086120E">
        <w:tc>
          <w:tcPr>
            <w:tcW w:w="356" w:type="pct"/>
          </w:tcPr>
          <w:p w14:paraId="411F16F4" w14:textId="7A3C7B1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221</w:t>
            </w:r>
          </w:p>
        </w:tc>
        <w:tc>
          <w:tcPr>
            <w:tcW w:w="1709" w:type="pct"/>
          </w:tcPr>
          <w:p w14:paraId="60C05406" w14:textId="6C38A84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5.律師法部分條文修正草案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修正§7、12、74、76、103、109、113、136、146。修正重點：提升覆審、聲請再議、懲戒之再審議等各項程序之嚴謹性。）</w:t>
            </w:r>
          </w:p>
        </w:tc>
        <w:tc>
          <w:tcPr>
            <w:tcW w:w="1139" w:type="pct"/>
          </w:tcPr>
          <w:p w14:paraId="2F5EAB7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委員吳沛憶</w:t>
            </w:r>
          </w:p>
          <w:p w14:paraId="5DE47DF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21C1847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114.10.14</w:t>
            </w:r>
          </w:p>
          <w:p w14:paraId="4D644BA9" w14:textId="180375E4"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（11-4-4）</w:t>
            </w:r>
          </w:p>
        </w:tc>
        <w:tc>
          <w:tcPr>
            <w:tcW w:w="928" w:type="pct"/>
          </w:tcPr>
          <w:p w14:paraId="1BB7784D" w14:textId="24A673F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04D62E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3D78C1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688ED6A5" w14:textId="1F25F7D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6F24843C" w14:textId="77777777" w:rsidTr="0086120E">
        <w:tc>
          <w:tcPr>
            <w:tcW w:w="356" w:type="pct"/>
          </w:tcPr>
          <w:p w14:paraId="21B2DF82" w14:textId="165C3AA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222</w:t>
            </w:r>
          </w:p>
        </w:tc>
        <w:tc>
          <w:tcPr>
            <w:tcW w:w="1709" w:type="pct"/>
          </w:tcPr>
          <w:p w14:paraId="6635403D" w14:textId="04A89C8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6.律師法部分條文修正草案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修正§7、12、74、76、103、109、113、136、146。修正重點：修</w:t>
            </w:r>
            <w:r w:rsidRPr="001B6E4D">
              <w:rPr>
                <w:rFonts w:hAnsi="標楷體" w:cs="Times New Roman"/>
                <w:color w:val="000000" w:themeColor="text1"/>
                <w:sz w:val="24"/>
                <w:szCs w:val="24"/>
              </w:rPr>
              <w:lastRenderedPageBreak/>
              <w:t>正停止審查律師證書申請之申請人涉嫌犯罪之規定並配合修正地方律師公會入會審查之規定；修正律師懲戒委員會命律師停止執行職務決定之</w:t>
            </w:r>
            <w:proofErr w:type="gramStart"/>
            <w:r w:rsidRPr="001B6E4D">
              <w:rPr>
                <w:rFonts w:hAnsi="標楷體" w:cs="Times New Roman"/>
                <w:color w:val="000000" w:themeColor="text1"/>
                <w:sz w:val="24"/>
                <w:szCs w:val="24"/>
              </w:rPr>
              <w:t>期間、</w:t>
            </w:r>
            <w:proofErr w:type="gramEnd"/>
            <w:r w:rsidRPr="001B6E4D">
              <w:rPr>
                <w:rFonts w:hAnsi="標楷體" w:cs="Times New Roman"/>
                <w:color w:val="000000" w:themeColor="text1"/>
                <w:sz w:val="24"/>
                <w:szCs w:val="24"/>
              </w:rPr>
              <w:t>次數及</w:t>
            </w:r>
            <w:proofErr w:type="gramStart"/>
            <w:r w:rsidRPr="001B6E4D">
              <w:rPr>
                <w:rFonts w:hAnsi="標楷體" w:cs="Times New Roman"/>
                <w:color w:val="000000" w:themeColor="text1"/>
                <w:sz w:val="24"/>
                <w:szCs w:val="24"/>
              </w:rPr>
              <w:t>準</w:t>
            </w:r>
            <w:proofErr w:type="gramEnd"/>
            <w:r w:rsidRPr="001B6E4D">
              <w:rPr>
                <w:rFonts w:hAnsi="標楷體" w:cs="Times New Roman"/>
                <w:color w:val="000000" w:themeColor="text1"/>
                <w:sz w:val="24"/>
                <w:szCs w:val="24"/>
              </w:rPr>
              <w:t>用規定；修正撤回請求律師懲戒覆審之律師懲戒委員會決議確定時點規定；增訂律師懲戒再審議移轉管轄及得通知被付懲戒人到場陳述意見之規定；修正律師懲戒再審議程序之適用或</w:t>
            </w:r>
            <w:proofErr w:type="gramStart"/>
            <w:r w:rsidRPr="001B6E4D">
              <w:rPr>
                <w:rFonts w:hAnsi="標楷體" w:cs="Times New Roman"/>
                <w:color w:val="000000" w:themeColor="text1"/>
                <w:sz w:val="24"/>
                <w:szCs w:val="24"/>
              </w:rPr>
              <w:t>準</w:t>
            </w:r>
            <w:proofErr w:type="gramEnd"/>
            <w:r w:rsidRPr="001B6E4D">
              <w:rPr>
                <w:rFonts w:hAnsi="標楷體" w:cs="Times New Roman"/>
                <w:color w:val="000000" w:themeColor="text1"/>
                <w:sz w:val="24"/>
                <w:szCs w:val="24"/>
              </w:rPr>
              <w:t>用規定。）</w:t>
            </w:r>
          </w:p>
        </w:tc>
        <w:tc>
          <w:tcPr>
            <w:tcW w:w="1139" w:type="pct"/>
          </w:tcPr>
          <w:p w14:paraId="55ED313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委員沈發惠</w:t>
            </w:r>
          </w:p>
          <w:p w14:paraId="07870BE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62DFE0A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114.10.17</w:t>
            </w:r>
          </w:p>
          <w:p w14:paraId="23EE3EFA" w14:textId="41BB253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（11-4-5）</w:t>
            </w:r>
          </w:p>
        </w:tc>
        <w:tc>
          <w:tcPr>
            <w:tcW w:w="928" w:type="pct"/>
          </w:tcPr>
          <w:p w14:paraId="05F2B5FF" w14:textId="4D25973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01EE10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BAACBC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4B3C9B74" w14:textId="6259CC5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w:t>
            </w:r>
            <w:r w:rsidRPr="001B6E4D">
              <w:rPr>
                <w:rFonts w:ascii="標楷體" w:eastAsia="標楷體" w:hAnsi="標楷體"/>
                <w:color w:val="000000" w:themeColor="text1"/>
                <w:sz w:val="24"/>
              </w:rPr>
              <w:lastRenderedPageBreak/>
              <w:t>畢，另定期繼續審查。</w:t>
            </w:r>
          </w:p>
        </w:tc>
      </w:tr>
      <w:tr w:rsidR="00FC42F6" w:rsidRPr="001B6E4D" w14:paraId="5E056AAF" w14:textId="77777777" w:rsidTr="0086120E">
        <w:tc>
          <w:tcPr>
            <w:tcW w:w="356" w:type="pct"/>
          </w:tcPr>
          <w:p w14:paraId="1E73D6F5" w14:textId="0953850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223</w:t>
            </w:r>
          </w:p>
        </w:tc>
        <w:tc>
          <w:tcPr>
            <w:tcW w:w="1709" w:type="pct"/>
          </w:tcPr>
          <w:p w14:paraId="5D0A2DDF" w14:textId="33E8951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7.律師法第七條、第七十四條及第七十六</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修正重點：請領律師證書停止審查之情形改以法定刑度作為標準，並納入洗錢與組織犯罪。）</w:t>
            </w:r>
          </w:p>
        </w:tc>
        <w:tc>
          <w:tcPr>
            <w:tcW w:w="1139" w:type="pct"/>
          </w:tcPr>
          <w:p w14:paraId="12ABB99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60FB6CD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288C04B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115.02.24</w:t>
            </w:r>
          </w:p>
          <w:p w14:paraId="6A8EBF0B" w14:textId="1E9CF32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w:t>
            </w:r>
          </w:p>
        </w:tc>
        <w:tc>
          <w:tcPr>
            <w:tcW w:w="928" w:type="pct"/>
          </w:tcPr>
          <w:p w14:paraId="0143EC94" w14:textId="7850EFD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654470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4A34BD5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25D7AC9B" w14:textId="6450937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1E5C840D" w14:textId="77777777" w:rsidTr="0086120E">
        <w:tc>
          <w:tcPr>
            <w:tcW w:w="356" w:type="pct"/>
          </w:tcPr>
          <w:p w14:paraId="264B4C7D" w14:textId="11ABDE1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224</w:t>
            </w:r>
          </w:p>
        </w:tc>
        <w:tc>
          <w:tcPr>
            <w:tcW w:w="1709" w:type="pct"/>
          </w:tcPr>
          <w:p w14:paraId="31C21886" w14:textId="54E8017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8.律師法部分條文修正草案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修正§7、12、74、76、103、109、113、136、146。修正重點：修正停止審查律師證書申請之申請人涉嫌犯罪及地方律師公會入會審查之規定；修正律師懲戒委員會命律師停止執行職務決定之</w:t>
            </w:r>
            <w:proofErr w:type="gramStart"/>
            <w:r w:rsidRPr="001B6E4D">
              <w:rPr>
                <w:rFonts w:hAnsi="標楷體" w:cs="Times New Roman"/>
                <w:color w:val="000000" w:themeColor="text1"/>
                <w:sz w:val="24"/>
                <w:szCs w:val="24"/>
              </w:rPr>
              <w:t>期間、</w:t>
            </w:r>
            <w:proofErr w:type="gramEnd"/>
            <w:r w:rsidRPr="001B6E4D">
              <w:rPr>
                <w:rFonts w:hAnsi="標楷體" w:cs="Times New Roman"/>
                <w:color w:val="000000" w:themeColor="text1"/>
                <w:sz w:val="24"/>
                <w:szCs w:val="24"/>
              </w:rPr>
              <w:t>次數及</w:t>
            </w:r>
            <w:proofErr w:type="gramStart"/>
            <w:r w:rsidRPr="001B6E4D">
              <w:rPr>
                <w:rFonts w:hAnsi="標楷體" w:cs="Times New Roman"/>
                <w:color w:val="000000" w:themeColor="text1"/>
                <w:sz w:val="24"/>
                <w:szCs w:val="24"/>
              </w:rPr>
              <w:t>準</w:t>
            </w:r>
            <w:proofErr w:type="gramEnd"/>
            <w:r w:rsidRPr="001B6E4D">
              <w:rPr>
                <w:rFonts w:hAnsi="標楷體" w:cs="Times New Roman"/>
                <w:color w:val="000000" w:themeColor="text1"/>
                <w:sz w:val="24"/>
                <w:szCs w:val="24"/>
              </w:rPr>
              <w:t>用規定；修正撤回請求律師懲戒覆審之律師懲戒委員會決議確定時點規定；增訂律師懲戒再審議移轉管轄及得通知被付懲戒人到場陳述意見之規定；修正律</w:t>
            </w:r>
            <w:r w:rsidRPr="001B6E4D">
              <w:rPr>
                <w:rFonts w:hAnsi="標楷體" w:cs="Times New Roman"/>
                <w:color w:val="000000" w:themeColor="text1"/>
                <w:sz w:val="24"/>
                <w:szCs w:val="24"/>
              </w:rPr>
              <w:lastRenderedPageBreak/>
              <w:t>師懲戒再審議程序之適用或</w:t>
            </w:r>
            <w:proofErr w:type="gramStart"/>
            <w:r w:rsidRPr="001B6E4D">
              <w:rPr>
                <w:rFonts w:hAnsi="標楷體" w:cs="Times New Roman"/>
                <w:color w:val="000000" w:themeColor="text1"/>
                <w:sz w:val="24"/>
                <w:szCs w:val="24"/>
              </w:rPr>
              <w:t>準</w:t>
            </w:r>
            <w:proofErr w:type="gramEnd"/>
            <w:r w:rsidRPr="001B6E4D">
              <w:rPr>
                <w:rFonts w:hAnsi="標楷體" w:cs="Times New Roman"/>
                <w:color w:val="000000" w:themeColor="text1"/>
                <w:sz w:val="24"/>
                <w:szCs w:val="24"/>
              </w:rPr>
              <w:t>用規定。）</w:t>
            </w:r>
          </w:p>
        </w:tc>
        <w:tc>
          <w:tcPr>
            <w:tcW w:w="1139" w:type="pct"/>
          </w:tcPr>
          <w:p w14:paraId="2916EA5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委員莊瑞雄</w:t>
            </w:r>
          </w:p>
          <w:p w14:paraId="6F288DC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01D3EF6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115.03.27</w:t>
            </w:r>
          </w:p>
          <w:p w14:paraId="7E33A099" w14:textId="3A93E94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（11-5-5）</w:t>
            </w:r>
          </w:p>
        </w:tc>
        <w:tc>
          <w:tcPr>
            <w:tcW w:w="928" w:type="pct"/>
          </w:tcPr>
          <w:p w14:paraId="1DA4F835" w14:textId="2130480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712D81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8F90BF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115.6.17</w:t>
            </w:r>
          </w:p>
          <w:p w14:paraId="5CD2CF03" w14:textId="054D47F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2E7997F1" w14:textId="77777777" w:rsidTr="0086120E">
        <w:tc>
          <w:tcPr>
            <w:tcW w:w="356" w:type="pct"/>
          </w:tcPr>
          <w:p w14:paraId="1A6A44EF" w14:textId="711A42D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225</w:t>
            </w:r>
          </w:p>
        </w:tc>
        <w:tc>
          <w:tcPr>
            <w:tcW w:w="1709" w:type="pct"/>
          </w:tcPr>
          <w:p w14:paraId="79E35645" w14:textId="0668BB4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9.律師法部分條文修正草案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修正§7、12、74、76、103、109、113、136、146。修正重點：修正請領律師證書之停止審查事由、地方律師公會入會審查、律師停止執行職務之程序與期間規範、懲戒決議確定時點及再審議程序之適用範圍等事項。）</w:t>
            </w:r>
          </w:p>
        </w:tc>
        <w:tc>
          <w:tcPr>
            <w:tcW w:w="1139" w:type="pct"/>
          </w:tcPr>
          <w:p w14:paraId="4F2EECE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5642D9B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DA6469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115.06.26</w:t>
            </w:r>
          </w:p>
          <w:p w14:paraId="21717FEB" w14:textId="4EEF399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（11-5-15）</w:t>
            </w:r>
          </w:p>
        </w:tc>
        <w:tc>
          <w:tcPr>
            <w:tcW w:w="928" w:type="pct"/>
          </w:tcPr>
          <w:p w14:paraId="1A450EC0" w14:textId="0111648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6538DF3" w14:textId="46CC7C89"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47D27AA" w14:textId="77777777" w:rsidTr="0086120E">
        <w:tc>
          <w:tcPr>
            <w:tcW w:w="356" w:type="pct"/>
          </w:tcPr>
          <w:p w14:paraId="0AFFF96E" w14:textId="7BF6448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226</w:t>
            </w:r>
          </w:p>
        </w:tc>
        <w:tc>
          <w:tcPr>
            <w:tcW w:w="1709" w:type="pct"/>
          </w:tcPr>
          <w:p w14:paraId="1910B081" w14:textId="658BA44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10.律師法第七條及第七十四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修正重點：強化律師倫理與資格管理，健全懲戒機制。）</w:t>
            </w:r>
          </w:p>
        </w:tc>
        <w:tc>
          <w:tcPr>
            <w:tcW w:w="1139" w:type="pct"/>
          </w:tcPr>
          <w:p w14:paraId="20184CD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委員徐巧芯</w:t>
            </w:r>
          </w:p>
          <w:p w14:paraId="5F48002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683BFA7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3050050A" w14:textId="6005916F"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928" w:type="pct"/>
          </w:tcPr>
          <w:p w14:paraId="08DE2D5C" w14:textId="04E7BE9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E7EE0A6" w14:textId="4D01FEB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249E9E8" w14:textId="77777777" w:rsidTr="0086120E">
        <w:tc>
          <w:tcPr>
            <w:tcW w:w="356" w:type="pct"/>
          </w:tcPr>
          <w:p w14:paraId="53D65811" w14:textId="4320B47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227</w:t>
            </w:r>
          </w:p>
        </w:tc>
        <w:tc>
          <w:tcPr>
            <w:tcW w:w="1709" w:type="pct"/>
          </w:tcPr>
          <w:p w14:paraId="60FD6116" w14:textId="1A1C13D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律師法第九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修正重點：未加入律師公會時之行為有§5第1項第1款或第8款之情形，由法務部廢止律師證書。）</w:t>
            </w:r>
          </w:p>
        </w:tc>
        <w:tc>
          <w:tcPr>
            <w:tcW w:w="1139" w:type="pct"/>
          </w:tcPr>
          <w:p w14:paraId="23C9228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委員郭昱晴</w:t>
            </w:r>
          </w:p>
          <w:p w14:paraId="763F153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6D1E06A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73826BD2" w14:textId="33F2BBB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6D6F4787" w14:textId="1C851E0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1180A24" w14:textId="0DEDE92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A50A5E9" w14:textId="77777777" w:rsidTr="0086120E">
        <w:tc>
          <w:tcPr>
            <w:tcW w:w="356" w:type="pct"/>
          </w:tcPr>
          <w:p w14:paraId="6DB511EE" w14:textId="2608B76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228</w:t>
            </w:r>
          </w:p>
        </w:tc>
        <w:tc>
          <w:tcPr>
            <w:tcW w:w="1709" w:type="pct"/>
          </w:tcPr>
          <w:p w14:paraId="567DCD1A" w14:textId="63A5C3D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1.國家賠償法第八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修正重點：延長從損害發生時起算的賠償請求權時效。）</w:t>
            </w:r>
          </w:p>
        </w:tc>
        <w:tc>
          <w:tcPr>
            <w:tcW w:w="1139" w:type="pct"/>
          </w:tcPr>
          <w:p w14:paraId="42A7067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1CAF676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01FD84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113.05.03</w:t>
            </w:r>
          </w:p>
          <w:p w14:paraId="33322FBE" w14:textId="30B801AB"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（11-1-12）</w:t>
            </w:r>
          </w:p>
        </w:tc>
        <w:tc>
          <w:tcPr>
            <w:tcW w:w="928" w:type="pct"/>
          </w:tcPr>
          <w:p w14:paraId="275E68F0" w14:textId="02B1371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BEC7BA7" w14:textId="39B5CC8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D41801F" w14:textId="77777777" w:rsidTr="0086120E">
        <w:tc>
          <w:tcPr>
            <w:tcW w:w="356" w:type="pct"/>
          </w:tcPr>
          <w:p w14:paraId="38A8C9CF" w14:textId="7E27267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229</w:t>
            </w:r>
          </w:p>
        </w:tc>
        <w:tc>
          <w:tcPr>
            <w:tcW w:w="1709" w:type="pct"/>
          </w:tcPr>
          <w:p w14:paraId="3E52D5E1" w14:textId="3BE95FE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2.國家賠償法第八條及第十二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修正重點：請求權時效延長；裁判費按行政訴訟徵收。）</w:t>
            </w:r>
          </w:p>
        </w:tc>
        <w:tc>
          <w:tcPr>
            <w:tcW w:w="1139" w:type="pct"/>
          </w:tcPr>
          <w:p w14:paraId="3BAD6A7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06D9B85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6982988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114.11.07</w:t>
            </w:r>
          </w:p>
          <w:p w14:paraId="0AE3DDC0" w14:textId="5223787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w:t>
            </w:r>
          </w:p>
        </w:tc>
        <w:tc>
          <w:tcPr>
            <w:tcW w:w="928" w:type="pct"/>
          </w:tcPr>
          <w:p w14:paraId="62BECD63" w14:textId="1BCD7B3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CDA4979" w14:textId="3C67767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5BFECD1" w14:textId="77777777" w:rsidTr="0086120E">
        <w:tc>
          <w:tcPr>
            <w:tcW w:w="356" w:type="pct"/>
          </w:tcPr>
          <w:p w14:paraId="296B1FC1" w14:textId="471F13D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230</w:t>
            </w:r>
          </w:p>
        </w:tc>
        <w:tc>
          <w:tcPr>
            <w:tcW w:w="1709" w:type="pct"/>
          </w:tcPr>
          <w:p w14:paraId="0DADE943" w14:textId="19DA9A4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懲治走私條例第二條及第三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修正重點：對走私行為加重刑責。）</w:t>
            </w:r>
          </w:p>
        </w:tc>
        <w:tc>
          <w:tcPr>
            <w:tcW w:w="1139" w:type="pct"/>
          </w:tcPr>
          <w:p w14:paraId="03C7601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12BE088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113.05.17</w:t>
            </w:r>
          </w:p>
          <w:p w14:paraId="63DA6104" w14:textId="1F5A096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（11-1-14）</w:t>
            </w:r>
          </w:p>
        </w:tc>
        <w:tc>
          <w:tcPr>
            <w:tcW w:w="928" w:type="pct"/>
          </w:tcPr>
          <w:p w14:paraId="4BC8C0B3" w14:textId="69BC080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F958298" w14:textId="7DB72FD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3C0C4AE" w14:textId="77777777" w:rsidTr="0086120E">
        <w:tc>
          <w:tcPr>
            <w:tcW w:w="356" w:type="pct"/>
          </w:tcPr>
          <w:p w14:paraId="03993C67" w14:textId="1D0D73E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231</w:t>
            </w:r>
          </w:p>
        </w:tc>
        <w:tc>
          <w:tcPr>
            <w:tcW w:w="1709" w:type="pct"/>
          </w:tcPr>
          <w:p w14:paraId="28AEFFC1" w14:textId="350F50F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1.科技偵查及保障法草案</w:t>
            </w:r>
            <w:proofErr w:type="gramStart"/>
            <w:r w:rsidRPr="001B6E4D">
              <w:rPr>
                <w:rFonts w:hAnsi="標楷體" w:cs="Times New Roman"/>
                <w:color w:val="000000" w:themeColor="text1"/>
                <w:sz w:val="24"/>
                <w:szCs w:val="24"/>
              </w:rPr>
              <w:lastRenderedPageBreak/>
              <w:t>（</w:t>
            </w:r>
            <w:proofErr w:type="gramEnd"/>
            <w:r w:rsidRPr="001B6E4D">
              <w:rPr>
                <w:rFonts w:hAnsi="標楷體" w:cs="Times New Roman"/>
                <w:color w:val="000000" w:themeColor="text1"/>
                <w:sz w:val="24"/>
                <w:szCs w:val="24"/>
              </w:rPr>
              <w:t>共11條。制定重點：為規範科技偵查，以保障人權，並有效追訴犯罪，確保國家安全，維護社會秩序，特制定本法。）</w:t>
            </w:r>
          </w:p>
        </w:tc>
        <w:tc>
          <w:tcPr>
            <w:tcW w:w="1139" w:type="pct"/>
          </w:tcPr>
          <w:p w14:paraId="04FF46F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行政院</w:t>
            </w:r>
          </w:p>
          <w:p w14:paraId="50516C9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113.05.17</w:t>
            </w:r>
          </w:p>
          <w:p w14:paraId="5C965BC3" w14:textId="5EBF729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（11-1-14）</w:t>
            </w:r>
          </w:p>
        </w:tc>
        <w:tc>
          <w:tcPr>
            <w:tcW w:w="928" w:type="pct"/>
          </w:tcPr>
          <w:p w14:paraId="0F4B4114" w14:textId="7D046A0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737D59A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2AE61DB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113.6.5</w:t>
            </w:r>
          </w:p>
          <w:p w14:paraId="590E9D4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(11-1-30)審查完竣，須交由黨團協商。</w:t>
            </w:r>
          </w:p>
          <w:p w14:paraId="20B424D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2.113.6.28黨團協商。</w:t>
            </w:r>
          </w:p>
          <w:p w14:paraId="39F68F4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3.113.7.8黨團協商。</w:t>
            </w:r>
          </w:p>
          <w:p w14:paraId="42E410C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4.113.7.9黨團協商。</w:t>
            </w:r>
          </w:p>
          <w:p w14:paraId="4263942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5.113.7.11黨團協商。</w:t>
            </w:r>
          </w:p>
          <w:p w14:paraId="0137866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6.113.7.12黨團協商。</w:t>
            </w:r>
          </w:p>
          <w:p w14:paraId="4A2C8013" w14:textId="77777777" w:rsidR="00FC42F6" w:rsidRPr="001B6E4D" w:rsidRDefault="00FC42F6" w:rsidP="00F46D9D">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7.院會113.7.16</w:t>
            </w:r>
          </w:p>
          <w:p w14:paraId="283A448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（11-1-22）重付審查。</w:t>
            </w:r>
          </w:p>
          <w:p w14:paraId="5E62C18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8.本會</w:t>
            </w:r>
          </w:p>
          <w:p w14:paraId="550C4BB2" w14:textId="0DA67E5B"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114.3.19舉行「檢討特殊強制處分實務運用、司法審查及救濟」公聽會。</w:t>
            </w:r>
          </w:p>
        </w:tc>
      </w:tr>
      <w:tr w:rsidR="00FC42F6" w:rsidRPr="001B6E4D" w14:paraId="36A220F9" w14:textId="77777777" w:rsidTr="0086120E">
        <w:tc>
          <w:tcPr>
            <w:tcW w:w="356" w:type="pct"/>
          </w:tcPr>
          <w:p w14:paraId="63A709BC" w14:textId="04857F4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232</w:t>
            </w:r>
          </w:p>
        </w:tc>
        <w:tc>
          <w:tcPr>
            <w:tcW w:w="1709" w:type="pct"/>
          </w:tcPr>
          <w:p w14:paraId="1A2D4D50" w14:textId="5EC63E1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2.科技偵查及保障法草案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共11條。制定重點：為規範科技偵查，以保障人權，並有效追訴犯罪，確保國家安全，維護社會秩序，特制定本法。）</w:t>
            </w:r>
          </w:p>
        </w:tc>
        <w:tc>
          <w:tcPr>
            <w:tcW w:w="1139" w:type="pct"/>
          </w:tcPr>
          <w:p w14:paraId="65E2153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委員蔡易餘</w:t>
            </w:r>
          </w:p>
          <w:p w14:paraId="2D558F4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4665EFD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113.07.12</w:t>
            </w:r>
          </w:p>
          <w:p w14:paraId="56FBABA3" w14:textId="4FAE86D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（11-1-22）</w:t>
            </w:r>
          </w:p>
        </w:tc>
        <w:tc>
          <w:tcPr>
            <w:tcW w:w="928" w:type="pct"/>
          </w:tcPr>
          <w:p w14:paraId="0FF46130" w14:textId="0643723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E5CCEA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1.院會</w:t>
            </w:r>
          </w:p>
          <w:p w14:paraId="5971C87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113.6.14</w:t>
            </w:r>
          </w:p>
          <w:p w14:paraId="7D23921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（11-1-18）</w:t>
            </w:r>
            <w:proofErr w:type="gramStart"/>
            <w:r w:rsidRPr="001B6E4D">
              <w:rPr>
                <w:rFonts w:ascii="標楷體" w:eastAsia="標楷體" w:hAnsi="標楷體"/>
                <w:color w:val="000000" w:themeColor="text1"/>
                <w:sz w:val="24"/>
              </w:rPr>
              <w:t>逕</w:t>
            </w:r>
            <w:proofErr w:type="gramEnd"/>
            <w:r w:rsidRPr="001B6E4D">
              <w:rPr>
                <w:rFonts w:ascii="標楷體" w:eastAsia="標楷體" w:hAnsi="標楷體"/>
                <w:color w:val="000000" w:themeColor="text1"/>
                <w:sz w:val="24"/>
              </w:rPr>
              <w:t>付二讀，與相關提案</w:t>
            </w:r>
            <w:proofErr w:type="gramStart"/>
            <w:r w:rsidRPr="001B6E4D">
              <w:rPr>
                <w:rFonts w:ascii="標楷體" w:eastAsia="標楷體" w:hAnsi="標楷體"/>
                <w:color w:val="000000" w:themeColor="text1"/>
                <w:sz w:val="24"/>
              </w:rPr>
              <w:t>併</w:t>
            </w:r>
            <w:proofErr w:type="gramEnd"/>
            <w:r w:rsidRPr="001B6E4D">
              <w:rPr>
                <w:rFonts w:ascii="標楷體" w:eastAsia="標楷體" w:hAnsi="標楷體"/>
                <w:color w:val="000000" w:themeColor="text1"/>
                <w:sz w:val="24"/>
              </w:rPr>
              <w:t>案協商。</w:t>
            </w:r>
          </w:p>
          <w:p w14:paraId="58A8133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2.113.6.28黨團協商。</w:t>
            </w:r>
          </w:p>
          <w:p w14:paraId="42F5C18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3.113.7.8黨團協商。</w:t>
            </w:r>
          </w:p>
          <w:p w14:paraId="690E39B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4.113.7.9</w:t>
            </w:r>
            <w:r w:rsidRPr="001B6E4D">
              <w:rPr>
                <w:rFonts w:ascii="標楷體" w:eastAsia="標楷體" w:hAnsi="標楷體"/>
                <w:color w:val="000000" w:themeColor="text1"/>
                <w:sz w:val="24"/>
              </w:rPr>
              <w:lastRenderedPageBreak/>
              <w:t>黨團協商。</w:t>
            </w:r>
          </w:p>
          <w:p w14:paraId="61CA4F3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5.113.7.11黨團協商。</w:t>
            </w:r>
          </w:p>
          <w:p w14:paraId="294CFFD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6.113.7.12黨團協商。</w:t>
            </w:r>
          </w:p>
          <w:p w14:paraId="09FFAA4F" w14:textId="77777777" w:rsidR="00FC42F6" w:rsidRPr="001B6E4D" w:rsidRDefault="00FC42F6" w:rsidP="009F44AF">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7.院會113.7.16</w:t>
            </w:r>
          </w:p>
          <w:p w14:paraId="30354BF4" w14:textId="77777777" w:rsidR="00FC42F6" w:rsidRPr="001B6E4D" w:rsidRDefault="00FC42F6" w:rsidP="009F44AF">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（11-1-22）重付審查。</w:t>
            </w:r>
          </w:p>
          <w:p w14:paraId="07AF8C6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8.本會</w:t>
            </w:r>
          </w:p>
          <w:p w14:paraId="2D41212A" w14:textId="74AA578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114.3.19舉行「檢討特殊強制處分實務運用、司法審查及救濟」公聽會。</w:t>
            </w:r>
          </w:p>
        </w:tc>
      </w:tr>
      <w:tr w:rsidR="00FC42F6" w:rsidRPr="001B6E4D" w14:paraId="6D15B171" w14:textId="77777777" w:rsidTr="0086120E">
        <w:tc>
          <w:tcPr>
            <w:tcW w:w="356" w:type="pct"/>
          </w:tcPr>
          <w:p w14:paraId="39740CAD" w14:textId="2DBB146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233</w:t>
            </w:r>
          </w:p>
        </w:tc>
        <w:tc>
          <w:tcPr>
            <w:tcW w:w="1709" w:type="pct"/>
          </w:tcPr>
          <w:p w14:paraId="34172383" w14:textId="1B55321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3.科技偵查及保障法草案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共11條。制定重點：為規範科技偵查，以保障人權，並有效追訴犯罪，確保國家安全，維護社會秩序，特制定本法。）</w:t>
            </w:r>
          </w:p>
        </w:tc>
        <w:tc>
          <w:tcPr>
            <w:tcW w:w="1139" w:type="pct"/>
          </w:tcPr>
          <w:p w14:paraId="6407AA9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1527860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284D45A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113.07.12</w:t>
            </w:r>
          </w:p>
          <w:p w14:paraId="76BA2A2F" w14:textId="37752D3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（11-1-22）</w:t>
            </w:r>
          </w:p>
        </w:tc>
        <w:tc>
          <w:tcPr>
            <w:tcW w:w="928" w:type="pct"/>
          </w:tcPr>
          <w:p w14:paraId="5EF145DB" w14:textId="16166C6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6ED9D1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1.院會</w:t>
            </w:r>
          </w:p>
          <w:p w14:paraId="04AF438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113.6.21</w:t>
            </w:r>
          </w:p>
          <w:p w14:paraId="52BF892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（11-1-19）</w:t>
            </w:r>
            <w:proofErr w:type="gramStart"/>
            <w:r w:rsidRPr="001B6E4D">
              <w:rPr>
                <w:rFonts w:ascii="標楷體" w:eastAsia="標楷體" w:hAnsi="標楷體"/>
                <w:color w:val="000000" w:themeColor="text1"/>
                <w:sz w:val="24"/>
              </w:rPr>
              <w:t>逕</w:t>
            </w:r>
            <w:proofErr w:type="gramEnd"/>
            <w:r w:rsidRPr="001B6E4D">
              <w:rPr>
                <w:rFonts w:ascii="標楷體" w:eastAsia="標楷體" w:hAnsi="標楷體"/>
                <w:color w:val="000000" w:themeColor="text1"/>
                <w:sz w:val="24"/>
              </w:rPr>
              <w:t>付二讀，與相關提案</w:t>
            </w:r>
            <w:proofErr w:type="gramStart"/>
            <w:r w:rsidRPr="001B6E4D">
              <w:rPr>
                <w:rFonts w:ascii="標楷體" w:eastAsia="標楷體" w:hAnsi="標楷體"/>
                <w:color w:val="000000" w:themeColor="text1"/>
                <w:sz w:val="24"/>
              </w:rPr>
              <w:t>併</w:t>
            </w:r>
            <w:proofErr w:type="gramEnd"/>
            <w:r w:rsidRPr="001B6E4D">
              <w:rPr>
                <w:rFonts w:ascii="標楷體" w:eastAsia="標楷體" w:hAnsi="標楷體"/>
                <w:color w:val="000000" w:themeColor="text1"/>
                <w:sz w:val="24"/>
              </w:rPr>
              <w:t>案協商。</w:t>
            </w:r>
          </w:p>
          <w:p w14:paraId="18FCC26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2.113.6.28黨團協商。</w:t>
            </w:r>
          </w:p>
          <w:p w14:paraId="33BBD11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3.113.7.8黨團協商。</w:t>
            </w:r>
          </w:p>
          <w:p w14:paraId="47509AF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4.113.7.9黨團協商。</w:t>
            </w:r>
          </w:p>
          <w:p w14:paraId="7A5515F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5.113.7.11黨團協商。</w:t>
            </w:r>
          </w:p>
          <w:p w14:paraId="2D38C60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6.113.7.12黨團協商。</w:t>
            </w:r>
          </w:p>
          <w:p w14:paraId="7612BD6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7.院會</w:t>
            </w:r>
          </w:p>
          <w:p w14:paraId="47F9331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113.7.16</w:t>
            </w:r>
          </w:p>
          <w:p w14:paraId="3E290FC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（11-1-22）重付審查。</w:t>
            </w:r>
          </w:p>
          <w:p w14:paraId="484F481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8.本會</w:t>
            </w:r>
          </w:p>
          <w:p w14:paraId="6911DB44" w14:textId="248E8649"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114.3.19舉行「檢討特殊強制處分實務運用、司法審查及救濟」公聽會。</w:t>
            </w:r>
          </w:p>
        </w:tc>
      </w:tr>
      <w:tr w:rsidR="00FC42F6" w:rsidRPr="001B6E4D" w14:paraId="07482388" w14:textId="77777777" w:rsidTr="0086120E">
        <w:tc>
          <w:tcPr>
            <w:tcW w:w="356" w:type="pct"/>
          </w:tcPr>
          <w:p w14:paraId="63495097" w14:textId="5D20C62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234</w:t>
            </w:r>
          </w:p>
        </w:tc>
        <w:tc>
          <w:tcPr>
            <w:tcW w:w="1709" w:type="pct"/>
          </w:tcPr>
          <w:p w14:paraId="0EA59064" w14:textId="6715B54D"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1.毒品危害防制條例第四條及第六</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修正重點：提高製造、運輸、販賣毒品及以強暴、脅迫、欺瞞或其他非法之方法使人販賣、施用毒品等罰金額度，及增訂再犯之處分。）</w:t>
            </w:r>
          </w:p>
        </w:tc>
        <w:tc>
          <w:tcPr>
            <w:tcW w:w="1139" w:type="pct"/>
          </w:tcPr>
          <w:p w14:paraId="1887B62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29630C3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57D8A05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113.05.31</w:t>
            </w:r>
          </w:p>
          <w:p w14:paraId="00A11683" w14:textId="2C8B842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（11-1-16）</w:t>
            </w:r>
          </w:p>
        </w:tc>
        <w:tc>
          <w:tcPr>
            <w:tcW w:w="928" w:type="pct"/>
          </w:tcPr>
          <w:p w14:paraId="3EE94C53" w14:textId="1D0BA72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DD6649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4DDA74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1721D07E" w14:textId="1667585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23ED6DBD" w14:textId="77777777" w:rsidTr="0086120E">
        <w:tc>
          <w:tcPr>
            <w:tcW w:w="356" w:type="pct"/>
          </w:tcPr>
          <w:p w14:paraId="7167B366" w14:textId="75E68A6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235</w:t>
            </w:r>
          </w:p>
        </w:tc>
        <w:tc>
          <w:tcPr>
            <w:tcW w:w="1709" w:type="pct"/>
          </w:tcPr>
          <w:p w14:paraId="325A50DC" w14:textId="7F5D8F1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2.毒品危害防制條例第十一條之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修正重點：修正「行政院衛生署」為「衛生福利部」。）</w:t>
            </w:r>
          </w:p>
        </w:tc>
        <w:tc>
          <w:tcPr>
            <w:tcW w:w="1139" w:type="pct"/>
          </w:tcPr>
          <w:p w14:paraId="11FC2C5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委員羅廷</w:t>
            </w:r>
            <w:proofErr w:type="gramStart"/>
            <w:r w:rsidRPr="001B6E4D">
              <w:rPr>
                <w:rFonts w:ascii="標楷體" w:eastAsia="標楷體" w:hAnsi="標楷體"/>
                <w:color w:val="000000" w:themeColor="text1"/>
                <w:sz w:val="24"/>
              </w:rPr>
              <w:t>瑋</w:t>
            </w:r>
            <w:proofErr w:type="gramEnd"/>
          </w:p>
          <w:p w14:paraId="123E18E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34EA6E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113.10.18</w:t>
            </w:r>
          </w:p>
          <w:p w14:paraId="4DDCC4B0" w14:textId="2B65698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（11-2-5）</w:t>
            </w:r>
          </w:p>
        </w:tc>
        <w:tc>
          <w:tcPr>
            <w:tcW w:w="928" w:type="pct"/>
          </w:tcPr>
          <w:p w14:paraId="297279B1" w14:textId="1CE3DCC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AD5F09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C7B9BB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27B34867" w14:textId="1D115A4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683E8CB8" w14:textId="77777777" w:rsidTr="0086120E">
        <w:tc>
          <w:tcPr>
            <w:tcW w:w="356" w:type="pct"/>
          </w:tcPr>
          <w:p w14:paraId="6D4C9C34" w14:textId="3550626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236</w:t>
            </w:r>
          </w:p>
        </w:tc>
        <w:tc>
          <w:tcPr>
            <w:tcW w:w="1709" w:type="pct"/>
          </w:tcPr>
          <w:p w14:paraId="2F1164A9" w14:textId="0AEC45E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3.毒品危害防制條例部分條文修正草案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修正§7、8、10、11、11-1。修正重點：加重引誘、轉讓、施用、持有三級毒品之刑事責任。）</w:t>
            </w:r>
          </w:p>
        </w:tc>
        <w:tc>
          <w:tcPr>
            <w:tcW w:w="1139" w:type="pct"/>
          </w:tcPr>
          <w:p w14:paraId="5B97C38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683573B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65A5844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494F8548" w14:textId="19D1871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928" w:type="pct"/>
          </w:tcPr>
          <w:p w14:paraId="0AB8E57D" w14:textId="0CC6103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704895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415EA8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7248A714" w14:textId="07D33D0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17557BC7" w14:textId="77777777" w:rsidTr="0086120E">
        <w:tc>
          <w:tcPr>
            <w:tcW w:w="356" w:type="pct"/>
          </w:tcPr>
          <w:p w14:paraId="53AD59DF" w14:textId="1114E8A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237</w:t>
            </w:r>
          </w:p>
        </w:tc>
        <w:tc>
          <w:tcPr>
            <w:tcW w:w="1709" w:type="pct"/>
          </w:tcPr>
          <w:p w14:paraId="3C5DA6AA" w14:textId="1CEB220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4.毒品危害防制條例第二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修正重點：列依托</w:t>
            </w:r>
            <w:proofErr w:type="gramStart"/>
            <w:r w:rsidRPr="001B6E4D">
              <w:rPr>
                <w:rFonts w:hAnsi="標楷體" w:cs="Times New Roman"/>
                <w:color w:val="000000" w:themeColor="text1"/>
                <w:sz w:val="24"/>
                <w:szCs w:val="24"/>
              </w:rPr>
              <w:t>咪</w:t>
            </w:r>
            <w:proofErr w:type="gramEnd"/>
            <w:r w:rsidRPr="001B6E4D">
              <w:rPr>
                <w:rFonts w:hAnsi="標楷體" w:cs="Times New Roman"/>
                <w:color w:val="000000" w:themeColor="text1"/>
                <w:sz w:val="24"/>
                <w:szCs w:val="24"/>
              </w:rPr>
              <w:t>酯為第二級毒品。）</w:t>
            </w:r>
          </w:p>
        </w:tc>
        <w:tc>
          <w:tcPr>
            <w:tcW w:w="1139" w:type="pct"/>
          </w:tcPr>
          <w:p w14:paraId="25B3F2F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委員鍾佳濱</w:t>
            </w:r>
          </w:p>
          <w:p w14:paraId="037B9DC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861BFA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113.11.08</w:t>
            </w:r>
          </w:p>
          <w:p w14:paraId="6FCF9BC0" w14:textId="19023F04"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（11-2-8）</w:t>
            </w:r>
          </w:p>
        </w:tc>
        <w:tc>
          <w:tcPr>
            <w:tcW w:w="928" w:type="pct"/>
          </w:tcPr>
          <w:p w14:paraId="0A970658" w14:textId="33EFB68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7E43FB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A6C3DF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5EDB1F88" w14:textId="459236A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4BF2D986" w14:textId="77777777" w:rsidTr="0086120E">
        <w:tc>
          <w:tcPr>
            <w:tcW w:w="356" w:type="pct"/>
          </w:tcPr>
          <w:p w14:paraId="0D3AFD48" w14:textId="11D90D5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238</w:t>
            </w:r>
          </w:p>
        </w:tc>
        <w:tc>
          <w:tcPr>
            <w:tcW w:w="1709" w:type="pct"/>
          </w:tcPr>
          <w:p w14:paraId="2B136C07" w14:textId="17CC84C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5.毒品危害防制條例第三十一</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修正重點：調高工業原料之種類及申報、檢查罰則。）</w:t>
            </w:r>
          </w:p>
        </w:tc>
        <w:tc>
          <w:tcPr>
            <w:tcW w:w="1139" w:type="pct"/>
          </w:tcPr>
          <w:p w14:paraId="08502FA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委員張宏陸</w:t>
            </w:r>
          </w:p>
          <w:p w14:paraId="07416E0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7426607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23241D37" w14:textId="7F4F032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（11-2-16）</w:t>
            </w:r>
          </w:p>
        </w:tc>
        <w:tc>
          <w:tcPr>
            <w:tcW w:w="928" w:type="pct"/>
          </w:tcPr>
          <w:p w14:paraId="3B818433" w14:textId="64D3EA3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55C165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8D2FE8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72B95B5C" w14:textId="517C180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w:t>
            </w:r>
            <w:r w:rsidRPr="001B6E4D">
              <w:rPr>
                <w:rFonts w:ascii="標楷體" w:eastAsia="標楷體" w:hAnsi="標楷體"/>
                <w:color w:val="000000" w:themeColor="text1"/>
                <w:sz w:val="24"/>
              </w:rPr>
              <w:lastRenderedPageBreak/>
              <w:t>繼續審查。</w:t>
            </w:r>
          </w:p>
        </w:tc>
      </w:tr>
      <w:tr w:rsidR="00FC42F6" w:rsidRPr="001B6E4D" w14:paraId="64789F22" w14:textId="77777777" w:rsidTr="0086120E">
        <w:tc>
          <w:tcPr>
            <w:tcW w:w="356" w:type="pct"/>
          </w:tcPr>
          <w:p w14:paraId="17AB2969" w14:textId="58A4A63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239</w:t>
            </w:r>
          </w:p>
        </w:tc>
        <w:tc>
          <w:tcPr>
            <w:tcW w:w="1709" w:type="pct"/>
          </w:tcPr>
          <w:p w14:paraId="1C605EE3" w14:textId="21F226C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6.毒品危害防制條例第三十一</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修正重點：提高現行違反先驅化學品之罰則。）</w:t>
            </w:r>
          </w:p>
        </w:tc>
        <w:tc>
          <w:tcPr>
            <w:tcW w:w="1139" w:type="pct"/>
          </w:tcPr>
          <w:p w14:paraId="731D511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委員丁學忠</w:t>
            </w:r>
          </w:p>
          <w:p w14:paraId="46BC0A0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36D8F34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114.03.04</w:t>
            </w:r>
          </w:p>
          <w:p w14:paraId="3824F7B7" w14:textId="3BF9AAA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（11-3-3）</w:t>
            </w:r>
          </w:p>
        </w:tc>
        <w:tc>
          <w:tcPr>
            <w:tcW w:w="928" w:type="pct"/>
          </w:tcPr>
          <w:p w14:paraId="7D400BBB" w14:textId="3888020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E9CD7A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20A1A3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1D0F067D" w14:textId="689D06DF"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31DCEF6" w14:textId="77777777" w:rsidTr="0086120E">
        <w:tc>
          <w:tcPr>
            <w:tcW w:w="356" w:type="pct"/>
          </w:tcPr>
          <w:p w14:paraId="13ABB7F0" w14:textId="693B284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240</w:t>
            </w:r>
          </w:p>
        </w:tc>
        <w:tc>
          <w:tcPr>
            <w:tcW w:w="1709" w:type="pct"/>
          </w:tcPr>
          <w:p w14:paraId="3DBC3A45" w14:textId="0D762BB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7.毒品危害防制條例第三十一</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修正重點：提高現行違反先驅化學品之罰則。）</w:t>
            </w:r>
          </w:p>
        </w:tc>
        <w:tc>
          <w:tcPr>
            <w:tcW w:w="1139" w:type="pct"/>
          </w:tcPr>
          <w:p w14:paraId="7A127FF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委員劉建國</w:t>
            </w:r>
          </w:p>
          <w:p w14:paraId="32C3590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B3B53F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791438DD" w14:textId="7E10C5D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17D66149" w14:textId="1846B71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2B609F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0CA7F7C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165EEFAF" w14:textId="22D890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73D55986" w14:textId="77777777" w:rsidTr="0086120E">
        <w:tc>
          <w:tcPr>
            <w:tcW w:w="356" w:type="pct"/>
          </w:tcPr>
          <w:p w14:paraId="0697B694" w14:textId="2E018FD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241</w:t>
            </w:r>
          </w:p>
        </w:tc>
        <w:tc>
          <w:tcPr>
            <w:tcW w:w="1709" w:type="pct"/>
          </w:tcPr>
          <w:p w14:paraId="054405FD" w14:textId="0385E74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8.毒品危害防制條例部分條文修正草案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修正§2、2-1、31、31-1。修正重點：針對新興毒品的原料溯源管理、相關特定娛樂場所業者的通報義務、提高罰鍰以及政府緊急作為。）</w:t>
            </w:r>
          </w:p>
        </w:tc>
        <w:tc>
          <w:tcPr>
            <w:tcW w:w="1139" w:type="pct"/>
          </w:tcPr>
          <w:p w14:paraId="7049400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委員陳冠廷</w:t>
            </w:r>
          </w:p>
          <w:p w14:paraId="452AE08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8F38E1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114.04.25</w:t>
            </w:r>
          </w:p>
          <w:p w14:paraId="1DA6738F" w14:textId="529F6219"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（11-3-9）</w:t>
            </w:r>
          </w:p>
        </w:tc>
        <w:tc>
          <w:tcPr>
            <w:tcW w:w="928" w:type="pct"/>
          </w:tcPr>
          <w:p w14:paraId="15ABF4B7" w14:textId="0E65237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2C92A6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3A6C369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00D7DA10" w14:textId="647706C9"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048F826A" w14:textId="77777777" w:rsidTr="0086120E">
        <w:tc>
          <w:tcPr>
            <w:tcW w:w="356" w:type="pct"/>
          </w:tcPr>
          <w:p w14:paraId="47301E24" w14:textId="17A37EC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242</w:t>
            </w:r>
          </w:p>
        </w:tc>
        <w:tc>
          <w:tcPr>
            <w:tcW w:w="1709" w:type="pct"/>
          </w:tcPr>
          <w:p w14:paraId="1C0134BB" w14:textId="7F9604D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9.毒品危害防制條例部分條文修正草案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修正§4、6~8、10、11、11-1、31。修正重點：針對持有、施用、引誘他人施用毒品，以及製造、運輸、販賣毒品，或以強暴、脅迫、欺瞞及其他非法手段迫使他人販賣或施用毒品等行為，提高刑責與處罰標準。）</w:t>
            </w:r>
          </w:p>
        </w:tc>
        <w:tc>
          <w:tcPr>
            <w:tcW w:w="1139" w:type="pct"/>
          </w:tcPr>
          <w:p w14:paraId="039FACC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委員徐欣瑩</w:t>
            </w:r>
          </w:p>
          <w:p w14:paraId="1FB4914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等25人</w:t>
            </w:r>
          </w:p>
          <w:p w14:paraId="6D355C9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114.04.25</w:t>
            </w:r>
          </w:p>
          <w:p w14:paraId="7550A1C1" w14:textId="332D7E2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（11-3-9）</w:t>
            </w:r>
          </w:p>
        </w:tc>
        <w:tc>
          <w:tcPr>
            <w:tcW w:w="928" w:type="pct"/>
          </w:tcPr>
          <w:p w14:paraId="315A4F51" w14:textId="174B132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16F6C0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4A8F7D1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70A1A6F9" w14:textId="7DBEB89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6F38C13" w14:textId="77777777" w:rsidTr="0086120E">
        <w:tc>
          <w:tcPr>
            <w:tcW w:w="356" w:type="pct"/>
          </w:tcPr>
          <w:p w14:paraId="4A8018DF" w14:textId="6905584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243</w:t>
            </w:r>
          </w:p>
        </w:tc>
        <w:tc>
          <w:tcPr>
            <w:tcW w:w="1709" w:type="pct"/>
          </w:tcPr>
          <w:p w14:paraId="2F46F3AC" w14:textId="0BB9A00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10.毒品危害防制條例第三十一</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修正重點：提高廠商違反管控事件之罰金天花板。）</w:t>
            </w:r>
          </w:p>
        </w:tc>
        <w:tc>
          <w:tcPr>
            <w:tcW w:w="1139" w:type="pct"/>
          </w:tcPr>
          <w:p w14:paraId="0AEBF87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委員邱若華</w:t>
            </w:r>
          </w:p>
          <w:p w14:paraId="19A7210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BAAEDC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114.05.09</w:t>
            </w:r>
          </w:p>
          <w:p w14:paraId="4FFEE8BF" w14:textId="2771864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w:t>
            </w:r>
          </w:p>
        </w:tc>
        <w:tc>
          <w:tcPr>
            <w:tcW w:w="928" w:type="pct"/>
          </w:tcPr>
          <w:p w14:paraId="0133CA5F" w14:textId="4E5DC8B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7AEC2B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6671325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3AE74FF7" w14:textId="1FA5D6A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67A5F805" w14:textId="77777777" w:rsidTr="0086120E">
        <w:tc>
          <w:tcPr>
            <w:tcW w:w="356" w:type="pct"/>
          </w:tcPr>
          <w:p w14:paraId="3C6E9DB2" w14:textId="63EBE1C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244</w:t>
            </w:r>
          </w:p>
        </w:tc>
        <w:tc>
          <w:tcPr>
            <w:tcW w:w="1709" w:type="pct"/>
          </w:tcPr>
          <w:p w14:paraId="7AA48323" w14:textId="7AB0008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11.毒品危害防制條例第十一條之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修正重點：持有或</w:t>
            </w:r>
            <w:proofErr w:type="gramStart"/>
            <w:r w:rsidRPr="001B6E4D">
              <w:rPr>
                <w:rFonts w:hAnsi="標楷體" w:cs="Times New Roman"/>
                <w:color w:val="000000" w:themeColor="text1"/>
                <w:sz w:val="24"/>
                <w:szCs w:val="24"/>
              </w:rPr>
              <w:t>施用純質淨重</w:t>
            </w:r>
            <w:proofErr w:type="gramEnd"/>
            <w:r w:rsidRPr="001B6E4D">
              <w:rPr>
                <w:rFonts w:hAnsi="標楷體" w:cs="Times New Roman"/>
                <w:color w:val="000000" w:themeColor="text1"/>
                <w:sz w:val="24"/>
                <w:szCs w:val="24"/>
              </w:rPr>
              <w:t>未滿5公克之第三級或第四級毒品之少年，同施用行為者，依少年事件處理法處理。）</w:t>
            </w:r>
          </w:p>
        </w:tc>
        <w:tc>
          <w:tcPr>
            <w:tcW w:w="1139" w:type="pct"/>
          </w:tcPr>
          <w:p w14:paraId="1ABB572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委員林月琴</w:t>
            </w:r>
          </w:p>
          <w:p w14:paraId="200C002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076F022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114.11.14</w:t>
            </w:r>
          </w:p>
          <w:p w14:paraId="1447CEE0" w14:textId="48B37E0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（11-4-9）</w:t>
            </w:r>
          </w:p>
        </w:tc>
        <w:tc>
          <w:tcPr>
            <w:tcW w:w="928" w:type="pct"/>
          </w:tcPr>
          <w:p w14:paraId="21D83647" w14:textId="0F057E9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457DEC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A092FB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7EA6FF88" w14:textId="2D78294B"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AF62BB2" w14:textId="77777777" w:rsidTr="0086120E">
        <w:tc>
          <w:tcPr>
            <w:tcW w:w="356" w:type="pct"/>
          </w:tcPr>
          <w:p w14:paraId="671E01ED" w14:textId="0323145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245</w:t>
            </w:r>
          </w:p>
        </w:tc>
        <w:tc>
          <w:tcPr>
            <w:tcW w:w="1709" w:type="pct"/>
          </w:tcPr>
          <w:p w14:paraId="053CBFD0" w14:textId="1609F51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12.毒品危害防制條例第四條及第九條之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修正重點：製造、運輸、販賣經中央主管機關公告具有高度危險性毒品者，加重其刑；明定</w:t>
            </w:r>
            <w:proofErr w:type="gramStart"/>
            <w:r w:rsidRPr="001B6E4D">
              <w:rPr>
                <w:rFonts w:hAnsi="標楷體" w:cs="Times New Roman"/>
                <w:color w:val="000000" w:themeColor="text1"/>
                <w:sz w:val="24"/>
                <w:szCs w:val="24"/>
              </w:rPr>
              <w:t>供毒助長毒駕</w:t>
            </w:r>
            <w:proofErr w:type="gramEnd"/>
            <w:r w:rsidRPr="001B6E4D">
              <w:rPr>
                <w:rFonts w:hAnsi="標楷體" w:cs="Times New Roman"/>
                <w:color w:val="000000" w:themeColor="text1"/>
                <w:sz w:val="24"/>
                <w:szCs w:val="24"/>
              </w:rPr>
              <w:t>行為之加重處罰規定。）</w:t>
            </w:r>
          </w:p>
        </w:tc>
        <w:tc>
          <w:tcPr>
            <w:tcW w:w="1139" w:type="pct"/>
          </w:tcPr>
          <w:p w14:paraId="7940966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委員傅</w:t>
            </w:r>
            <w:r w:rsidRPr="001B6E4D">
              <w:rPr>
                <w:rFonts w:ascii="標楷體" w:eastAsia="標楷體" w:hAnsi="標楷體" w:hint="eastAsia"/>
                <w:color w:val="000000" w:themeColor="text1"/>
                <w:sz w:val="24"/>
              </w:rPr>
              <w:t>崐萁</w:t>
            </w:r>
          </w:p>
          <w:p w14:paraId="3DD739B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等</w:t>
            </w:r>
            <w:r w:rsidRPr="001B6E4D">
              <w:rPr>
                <w:rFonts w:ascii="標楷體" w:eastAsia="標楷體" w:hAnsi="標楷體"/>
                <w:color w:val="000000" w:themeColor="text1"/>
                <w:sz w:val="24"/>
              </w:rPr>
              <w:t>18人</w:t>
            </w:r>
          </w:p>
          <w:p w14:paraId="04CF3B1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115.06.05</w:t>
            </w:r>
          </w:p>
          <w:p w14:paraId="06973275" w14:textId="1D1BA28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w:t>
            </w:r>
            <w:r w:rsidRPr="001B6E4D">
              <w:rPr>
                <w:rFonts w:ascii="標楷體" w:eastAsia="標楷體" w:hAnsi="標楷體"/>
                <w:color w:val="000000" w:themeColor="text1"/>
                <w:sz w:val="24"/>
              </w:rPr>
              <w:t>11-5-13）</w:t>
            </w:r>
          </w:p>
        </w:tc>
        <w:tc>
          <w:tcPr>
            <w:tcW w:w="928" w:type="pct"/>
          </w:tcPr>
          <w:p w14:paraId="71776634" w14:textId="536A559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13D4C9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67B0C67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0C98BF79" w14:textId="03BB0CF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61A287DA" w14:textId="77777777" w:rsidTr="0086120E">
        <w:tc>
          <w:tcPr>
            <w:tcW w:w="356" w:type="pct"/>
          </w:tcPr>
          <w:p w14:paraId="37F3A01F" w14:textId="3465B8C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246</w:t>
            </w:r>
          </w:p>
        </w:tc>
        <w:tc>
          <w:tcPr>
            <w:tcW w:w="1709" w:type="pct"/>
          </w:tcPr>
          <w:p w14:paraId="185292E4" w14:textId="4428D24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13.毒品危害防制條例部分條文修正草案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修正§2、4、10、11、11-1、33。修正重點：依托</w:t>
            </w:r>
            <w:proofErr w:type="gramStart"/>
            <w:r w:rsidRPr="001B6E4D">
              <w:rPr>
                <w:rFonts w:hAnsi="標楷體" w:cs="Times New Roman"/>
                <w:color w:val="000000" w:themeColor="text1"/>
                <w:sz w:val="24"/>
                <w:szCs w:val="24"/>
              </w:rPr>
              <w:t>咪</w:t>
            </w:r>
            <w:proofErr w:type="gramEnd"/>
            <w:r w:rsidRPr="001B6E4D">
              <w:rPr>
                <w:rFonts w:hAnsi="標楷體" w:cs="Times New Roman"/>
                <w:color w:val="000000" w:themeColor="text1"/>
                <w:sz w:val="24"/>
                <w:szCs w:val="24"/>
              </w:rPr>
              <w:t>酯修正為第一級毒品；針對持有、施用，以及製造、運輸、販賣毒品等行為，加重其刑；使各主管機關得使用唾液</w:t>
            </w:r>
            <w:proofErr w:type="gramStart"/>
            <w:r w:rsidRPr="001B6E4D">
              <w:rPr>
                <w:rFonts w:hAnsi="標楷體" w:cs="Times New Roman"/>
                <w:color w:val="000000" w:themeColor="text1"/>
                <w:sz w:val="24"/>
                <w:szCs w:val="24"/>
              </w:rPr>
              <w:t>快篩方式</w:t>
            </w:r>
            <w:proofErr w:type="gramEnd"/>
            <w:r w:rsidRPr="001B6E4D">
              <w:rPr>
                <w:rFonts w:hAnsi="標楷體" w:cs="Times New Roman"/>
                <w:color w:val="000000" w:themeColor="text1"/>
                <w:sz w:val="24"/>
                <w:szCs w:val="24"/>
              </w:rPr>
              <w:t>進行相關檢驗。）</w:t>
            </w:r>
          </w:p>
        </w:tc>
        <w:tc>
          <w:tcPr>
            <w:tcW w:w="1139" w:type="pct"/>
          </w:tcPr>
          <w:p w14:paraId="6B09A59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6C231C3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19FEACB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115.06.26</w:t>
            </w:r>
          </w:p>
          <w:p w14:paraId="32D9EF33" w14:textId="5A34EBF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（11-5-15）</w:t>
            </w:r>
          </w:p>
        </w:tc>
        <w:tc>
          <w:tcPr>
            <w:tcW w:w="928" w:type="pct"/>
          </w:tcPr>
          <w:p w14:paraId="6DBA3E1B" w14:textId="32D3A47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829B2C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42BD62F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115.7.15</w:t>
            </w:r>
          </w:p>
          <w:p w14:paraId="1CED960F" w14:textId="768AD80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(11-5-25)報告及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30EF1364" w14:textId="77777777" w:rsidTr="0086120E">
        <w:tc>
          <w:tcPr>
            <w:tcW w:w="356" w:type="pct"/>
          </w:tcPr>
          <w:p w14:paraId="33C0A55E" w14:textId="16BF91D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247</w:t>
            </w:r>
          </w:p>
        </w:tc>
        <w:tc>
          <w:tcPr>
            <w:tcW w:w="1709" w:type="pct"/>
          </w:tcPr>
          <w:p w14:paraId="0094E4E3" w14:textId="499CD0A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14.毒品危害防制條例第四條、第九條之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及第三十三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修正重點：增訂製造、運輸、販賣高度危險性毒品者，加重其刑；明定對明知或可得而知他人即將駕駛動力交通工具而提供毒品者加重處罰；增列唾液檢驗及唾液</w:t>
            </w:r>
            <w:proofErr w:type="gramStart"/>
            <w:r w:rsidRPr="001B6E4D">
              <w:rPr>
                <w:rFonts w:hAnsi="標楷體" w:cs="Times New Roman"/>
                <w:color w:val="000000" w:themeColor="text1"/>
                <w:sz w:val="24"/>
                <w:szCs w:val="24"/>
              </w:rPr>
              <w:t>快篩之</w:t>
            </w:r>
            <w:proofErr w:type="gramEnd"/>
            <w:r w:rsidRPr="001B6E4D">
              <w:rPr>
                <w:rFonts w:hAnsi="標楷體" w:cs="Times New Roman"/>
                <w:color w:val="000000" w:themeColor="text1"/>
                <w:sz w:val="24"/>
                <w:szCs w:val="24"/>
              </w:rPr>
              <w:t>法源依據。）</w:t>
            </w:r>
          </w:p>
        </w:tc>
        <w:tc>
          <w:tcPr>
            <w:tcW w:w="1139" w:type="pct"/>
          </w:tcPr>
          <w:p w14:paraId="034C33A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委員徐巧芯</w:t>
            </w:r>
          </w:p>
          <w:p w14:paraId="1D66A55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05E12D3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6B1D94DB" w14:textId="2A9022BF"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928" w:type="pct"/>
          </w:tcPr>
          <w:p w14:paraId="68E47ED5" w14:textId="509B29A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0E29EB4" w14:textId="363B298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A12499F" w14:textId="77777777" w:rsidTr="0086120E">
        <w:tc>
          <w:tcPr>
            <w:tcW w:w="356" w:type="pct"/>
          </w:tcPr>
          <w:p w14:paraId="2F5B60E2" w14:textId="2D8E9BC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248</w:t>
            </w:r>
          </w:p>
        </w:tc>
        <w:tc>
          <w:tcPr>
            <w:tcW w:w="1709" w:type="pct"/>
          </w:tcPr>
          <w:p w14:paraId="5FA09AC9" w14:textId="5DF4727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15.毒品危害防制條例部分條文修正草案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修正§2-</w:t>
            </w:r>
            <w:r w:rsidRPr="001B6E4D">
              <w:rPr>
                <w:rFonts w:hAnsi="標楷體" w:cs="Times New Roman"/>
                <w:color w:val="000000" w:themeColor="text1"/>
                <w:sz w:val="24"/>
                <w:szCs w:val="24"/>
              </w:rPr>
              <w:lastRenderedPageBreak/>
              <w:t>1、25、33、33-1、36。修正重點：增列毛髮及唾液等檢驗方式。）</w:t>
            </w:r>
          </w:p>
        </w:tc>
        <w:tc>
          <w:tcPr>
            <w:tcW w:w="1139" w:type="pct"/>
          </w:tcPr>
          <w:p w14:paraId="5484D14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065E813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115.08.14</w:t>
            </w:r>
          </w:p>
          <w:p w14:paraId="2F5F054F" w14:textId="728FF9B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（11-5-22）</w:t>
            </w:r>
          </w:p>
        </w:tc>
        <w:tc>
          <w:tcPr>
            <w:tcW w:w="928" w:type="pct"/>
          </w:tcPr>
          <w:p w14:paraId="6B5B7DF0" w14:textId="5329B2B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2FFB6303" w14:textId="63B8C504"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49E603F" w14:textId="77777777" w:rsidTr="0086120E">
        <w:tc>
          <w:tcPr>
            <w:tcW w:w="356" w:type="pct"/>
          </w:tcPr>
          <w:p w14:paraId="4DFBADD7" w14:textId="22CC492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249</w:t>
            </w:r>
          </w:p>
        </w:tc>
        <w:tc>
          <w:tcPr>
            <w:tcW w:w="1709" w:type="pct"/>
          </w:tcPr>
          <w:p w14:paraId="4B48F030" w14:textId="654301F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1.毒品危害防制條例增訂第二條之三條文草案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增訂重點：在各級學校中加強毒品防制教育，並針對教職員工及教保人員實施定期宣導與培訓。）</w:t>
            </w:r>
          </w:p>
        </w:tc>
        <w:tc>
          <w:tcPr>
            <w:tcW w:w="1139" w:type="pct"/>
          </w:tcPr>
          <w:p w14:paraId="790AD07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委員賴士葆</w:t>
            </w:r>
          </w:p>
          <w:p w14:paraId="2EEB9A1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等23人</w:t>
            </w:r>
          </w:p>
          <w:p w14:paraId="1F82C41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113.09.27</w:t>
            </w:r>
          </w:p>
          <w:p w14:paraId="48334E88" w14:textId="76A868A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（11-2-2）</w:t>
            </w:r>
          </w:p>
        </w:tc>
        <w:tc>
          <w:tcPr>
            <w:tcW w:w="928" w:type="pct"/>
          </w:tcPr>
          <w:p w14:paraId="7358A33A" w14:textId="17A3D82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A7AD086" w14:textId="56ADA9AF"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76E602FA" w14:textId="77777777" w:rsidTr="0086120E">
        <w:tc>
          <w:tcPr>
            <w:tcW w:w="356" w:type="pct"/>
          </w:tcPr>
          <w:p w14:paraId="3FDB16F2" w14:textId="23B7843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250</w:t>
            </w:r>
          </w:p>
        </w:tc>
        <w:tc>
          <w:tcPr>
            <w:tcW w:w="1709" w:type="pct"/>
          </w:tcPr>
          <w:p w14:paraId="530C0B0B" w14:textId="1B5C345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2.毒品危害防制條例增訂第二條之三條文草案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增訂重點：各級學校加強毒品防制教育，且應針對教職員工及教保人員實施定期宣導與培訓。）</w:t>
            </w:r>
          </w:p>
        </w:tc>
        <w:tc>
          <w:tcPr>
            <w:tcW w:w="1139" w:type="pct"/>
          </w:tcPr>
          <w:p w14:paraId="0F8B093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委員徐巧芯</w:t>
            </w:r>
          </w:p>
          <w:p w14:paraId="63EDDA5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36DD7D5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101089A1" w14:textId="6A1E4E9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928" w:type="pct"/>
          </w:tcPr>
          <w:p w14:paraId="657C96CA" w14:textId="4716BB3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7B1B126" w14:textId="2B4AFB7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1D88D45" w14:textId="77777777" w:rsidTr="0086120E">
        <w:tc>
          <w:tcPr>
            <w:tcW w:w="356" w:type="pct"/>
          </w:tcPr>
          <w:p w14:paraId="57A5B70C" w14:textId="2778E3D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251</w:t>
            </w:r>
          </w:p>
        </w:tc>
        <w:tc>
          <w:tcPr>
            <w:tcW w:w="1709" w:type="pct"/>
          </w:tcPr>
          <w:p w14:paraId="0B6C270C" w14:textId="5FC6CFF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毒品危害防制條例增訂第三十一條之二條文草案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增訂重點：強化兒少網路使用安全及毒品防制機制。）</w:t>
            </w:r>
          </w:p>
        </w:tc>
        <w:tc>
          <w:tcPr>
            <w:tcW w:w="1139" w:type="pct"/>
          </w:tcPr>
          <w:p w14:paraId="7EBA912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委員林月琴</w:t>
            </w:r>
          </w:p>
          <w:p w14:paraId="56605AC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4986EEF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4F22A91C" w14:textId="58894FF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928" w:type="pct"/>
          </w:tcPr>
          <w:p w14:paraId="7FBE8863" w14:textId="1701B55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B832969" w14:textId="451F395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FB05270" w14:textId="77777777" w:rsidTr="0086120E">
        <w:tc>
          <w:tcPr>
            <w:tcW w:w="356" w:type="pct"/>
          </w:tcPr>
          <w:p w14:paraId="4D8DB6D4" w14:textId="0C38FA5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252</w:t>
            </w:r>
          </w:p>
        </w:tc>
        <w:tc>
          <w:tcPr>
            <w:tcW w:w="1709" w:type="pct"/>
          </w:tcPr>
          <w:p w14:paraId="50ABD1C2" w14:textId="4DEC29C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通訊保障及監察法第八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修正重點：修正境外敵對勢力定義。）</w:t>
            </w:r>
          </w:p>
        </w:tc>
        <w:tc>
          <w:tcPr>
            <w:tcW w:w="1139" w:type="pct"/>
          </w:tcPr>
          <w:p w14:paraId="61637CE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委員王定宇</w:t>
            </w:r>
          </w:p>
          <w:p w14:paraId="40BB856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74F9B84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113.11.01</w:t>
            </w:r>
          </w:p>
          <w:p w14:paraId="6A9AEB25" w14:textId="2B2053C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（11-2-7）</w:t>
            </w:r>
          </w:p>
        </w:tc>
        <w:tc>
          <w:tcPr>
            <w:tcW w:w="928" w:type="pct"/>
          </w:tcPr>
          <w:p w14:paraId="543BEB51" w14:textId="0683501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9BF6C74" w14:textId="7C0F59C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3BBB291" w14:textId="77777777" w:rsidTr="0086120E">
        <w:tc>
          <w:tcPr>
            <w:tcW w:w="356" w:type="pct"/>
          </w:tcPr>
          <w:p w14:paraId="1E82E7DB" w14:textId="07F853F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253</w:t>
            </w:r>
          </w:p>
        </w:tc>
        <w:tc>
          <w:tcPr>
            <w:tcW w:w="1709" w:type="pct"/>
          </w:tcPr>
          <w:p w14:paraId="1F057608" w14:textId="6890183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w:t>
            </w:r>
            <w:proofErr w:type="gramStart"/>
            <w:r w:rsidRPr="001B6E4D">
              <w:rPr>
                <w:rFonts w:hAnsi="標楷體" w:cs="Times New Roman"/>
                <w:color w:val="000000" w:themeColor="text1"/>
                <w:sz w:val="24"/>
                <w:szCs w:val="24"/>
              </w:rPr>
              <w:t>資恐防</w:t>
            </w:r>
            <w:proofErr w:type="gramEnd"/>
            <w:r w:rsidRPr="001B6E4D">
              <w:rPr>
                <w:rFonts w:hAnsi="標楷體" w:cs="Times New Roman"/>
                <w:color w:val="000000" w:themeColor="text1"/>
                <w:sz w:val="24"/>
                <w:szCs w:val="24"/>
              </w:rPr>
              <w:t>制法修正草案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名稱修正為《資助恐怖活動及大規模毀滅性武器擴散防制法》、共24條。修正重點：明確對應防制洗錢金融行動工作組織打擊資助恐怖活動、組織、分子及</w:t>
            </w:r>
            <w:proofErr w:type="gramStart"/>
            <w:r w:rsidRPr="001B6E4D">
              <w:rPr>
                <w:rFonts w:hAnsi="標楷體" w:cs="Times New Roman"/>
                <w:color w:val="000000" w:themeColor="text1"/>
                <w:sz w:val="24"/>
                <w:szCs w:val="24"/>
              </w:rPr>
              <w:t>資武擴之</w:t>
            </w:r>
            <w:proofErr w:type="gramEnd"/>
            <w:r w:rsidRPr="001B6E4D">
              <w:rPr>
                <w:rFonts w:hAnsi="標楷體" w:cs="Times New Roman"/>
                <w:color w:val="000000" w:themeColor="text1"/>
                <w:sz w:val="24"/>
                <w:szCs w:val="24"/>
              </w:rPr>
              <w:t>核心目標，強化對</w:t>
            </w:r>
            <w:proofErr w:type="gramStart"/>
            <w:r w:rsidRPr="001B6E4D">
              <w:rPr>
                <w:rFonts w:hAnsi="標楷體" w:cs="Times New Roman"/>
                <w:color w:val="000000" w:themeColor="text1"/>
                <w:sz w:val="24"/>
                <w:szCs w:val="24"/>
              </w:rPr>
              <w:t>資恐及資武擴</w:t>
            </w:r>
            <w:proofErr w:type="gramEnd"/>
            <w:r w:rsidRPr="001B6E4D">
              <w:rPr>
                <w:rFonts w:hAnsi="標楷體" w:cs="Times New Roman"/>
                <w:color w:val="000000" w:themeColor="text1"/>
                <w:sz w:val="24"/>
                <w:szCs w:val="24"/>
              </w:rPr>
              <w:t>違法行為之防制。）</w:t>
            </w:r>
          </w:p>
        </w:tc>
        <w:tc>
          <w:tcPr>
            <w:tcW w:w="1139" w:type="pct"/>
          </w:tcPr>
          <w:p w14:paraId="071A792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w:t>
            </w:r>
          </w:p>
          <w:p w14:paraId="1DA7013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115.01.30</w:t>
            </w:r>
          </w:p>
          <w:p w14:paraId="2F8DD099" w14:textId="2AE6ADB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（11-4-20）</w:t>
            </w:r>
          </w:p>
        </w:tc>
        <w:tc>
          <w:tcPr>
            <w:tcW w:w="928" w:type="pct"/>
          </w:tcPr>
          <w:p w14:paraId="6E884031" w14:textId="5E7742C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C1383FE" w14:textId="3998B53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CA32E22" w14:textId="77777777" w:rsidTr="0086120E">
        <w:tc>
          <w:tcPr>
            <w:tcW w:w="356" w:type="pct"/>
          </w:tcPr>
          <w:p w14:paraId="494E3828" w14:textId="0EDEC5FD"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254</w:t>
            </w:r>
          </w:p>
        </w:tc>
        <w:tc>
          <w:tcPr>
            <w:tcW w:w="1709" w:type="pct"/>
          </w:tcPr>
          <w:p w14:paraId="58CD3504" w14:textId="21FABD0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w:t>
            </w:r>
            <w:proofErr w:type="gramStart"/>
            <w:r w:rsidRPr="001B6E4D">
              <w:rPr>
                <w:rFonts w:hAnsi="標楷體" w:cs="Times New Roman"/>
                <w:color w:val="000000" w:themeColor="text1"/>
                <w:sz w:val="24"/>
                <w:szCs w:val="24"/>
              </w:rPr>
              <w:t>資恐防</w:t>
            </w:r>
            <w:proofErr w:type="gramEnd"/>
            <w:r w:rsidRPr="001B6E4D">
              <w:rPr>
                <w:rFonts w:hAnsi="標楷體" w:cs="Times New Roman"/>
                <w:color w:val="000000" w:themeColor="text1"/>
                <w:sz w:val="24"/>
                <w:szCs w:val="24"/>
              </w:rPr>
              <w:t>制法部分條文修正草案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修正§1、3、8、9、14；增訂§4-1~2。修正重點：新增資</w:t>
            </w:r>
            <w:proofErr w:type="gramStart"/>
            <w:r w:rsidRPr="001B6E4D">
              <w:rPr>
                <w:rFonts w:hAnsi="標楷體" w:cs="Times New Roman"/>
                <w:color w:val="000000" w:themeColor="text1"/>
                <w:sz w:val="24"/>
                <w:szCs w:val="24"/>
              </w:rPr>
              <w:t>恐及資武擴</w:t>
            </w:r>
            <w:proofErr w:type="gramEnd"/>
            <w:r w:rsidRPr="001B6E4D">
              <w:rPr>
                <w:rFonts w:hAnsi="標楷體" w:cs="Times New Roman"/>
                <w:color w:val="000000" w:themeColor="text1"/>
                <w:sz w:val="24"/>
                <w:szCs w:val="24"/>
              </w:rPr>
              <w:lastRenderedPageBreak/>
              <w:t>定義且新增關於提供金融服務予從事恐怖活動者</w:t>
            </w:r>
            <w:proofErr w:type="gramStart"/>
            <w:r w:rsidRPr="001B6E4D">
              <w:rPr>
                <w:rFonts w:hAnsi="標楷體" w:cs="Times New Roman"/>
                <w:color w:val="000000" w:themeColor="text1"/>
                <w:sz w:val="24"/>
                <w:szCs w:val="24"/>
              </w:rPr>
              <w:t>為資恐罪行</w:t>
            </w:r>
            <w:proofErr w:type="gramEnd"/>
            <w:r w:rsidRPr="001B6E4D">
              <w:rPr>
                <w:rFonts w:hAnsi="標楷體" w:cs="Times New Roman"/>
                <w:color w:val="000000" w:themeColor="text1"/>
                <w:sz w:val="24"/>
                <w:szCs w:val="24"/>
              </w:rPr>
              <w:t>；將犯行者罪責提高，並同步加重罰金。）</w:t>
            </w:r>
          </w:p>
        </w:tc>
        <w:tc>
          <w:tcPr>
            <w:tcW w:w="1139" w:type="pct"/>
          </w:tcPr>
          <w:p w14:paraId="69F96EA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委員陳冠廷</w:t>
            </w:r>
          </w:p>
          <w:p w14:paraId="2116038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6491771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113.11.15</w:t>
            </w:r>
          </w:p>
          <w:p w14:paraId="5377B62A" w14:textId="3B9226D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（11-2-9）</w:t>
            </w:r>
          </w:p>
        </w:tc>
        <w:tc>
          <w:tcPr>
            <w:tcW w:w="928" w:type="pct"/>
          </w:tcPr>
          <w:p w14:paraId="32944FB0" w14:textId="2C46ADB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EC1D206" w14:textId="1AA2C7D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1E0BF0F" w14:textId="77777777" w:rsidTr="0086120E">
        <w:tc>
          <w:tcPr>
            <w:tcW w:w="356" w:type="pct"/>
          </w:tcPr>
          <w:p w14:paraId="03D46D94" w14:textId="5903E5B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255</w:t>
            </w:r>
          </w:p>
        </w:tc>
        <w:tc>
          <w:tcPr>
            <w:tcW w:w="1709" w:type="pct"/>
          </w:tcPr>
          <w:p w14:paraId="077C6617" w14:textId="7B61DDC4"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w:t>
            </w:r>
            <w:proofErr w:type="gramStart"/>
            <w:r w:rsidRPr="001B6E4D">
              <w:rPr>
                <w:rFonts w:hAnsi="標楷體" w:cs="Times New Roman"/>
                <w:color w:val="000000" w:themeColor="text1"/>
                <w:sz w:val="24"/>
                <w:szCs w:val="24"/>
              </w:rPr>
              <w:t>資恐防</w:t>
            </w:r>
            <w:proofErr w:type="gramEnd"/>
            <w:r w:rsidRPr="001B6E4D">
              <w:rPr>
                <w:rFonts w:hAnsi="標楷體" w:cs="Times New Roman"/>
                <w:color w:val="000000" w:themeColor="text1"/>
                <w:sz w:val="24"/>
                <w:szCs w:val="24"/>
              </w:rPr>
              <w:t>制法第四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修正重點：涉嫌犯強化關鍵基礎設施保護法案所定相關條文者，得列為指定制裁對象。）</w:t>
            </w:r>
          </w:p>
        </w:tc>
        <w:tc>
          <w:tcPr>
            <w:tcW w:w="1139" w:type="pct"/>
          </w:tcPr>
          <w:p w14:paraId="44DFC37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委員林岱樺</w:t>
            </w:r>
          </w:p>
          <w:p w14:paraId="5759BB5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2873D02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114.11.07</w:t>
            </w:r>
          </w:p>
          <w:p w14:paraId="4A6530FC" w14:textId="7E05CED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（11-4-8）</w:t>
            </w:r>
          </w:p>
        </w:tc>
        <w:tc>
          <w:tcPr>
            <w:tcW w:w="928" w:type="pct"/>
          </w:tcPr>
          <w:p w14:paraId="271508F8" w14:textId="48487D0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D05C844" w14:textId="1B2871D4"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BA42DA6" w14:textId="77777777" w:rsidTr="0086120E">
        <w:tc>
          <w:tcPr>
            <w:tcW w:w="356" w:type="pct"/>
          </w:tcPr>
          <w:p w14:paraId="6E675E82" w14:textId="10A6EB9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256</w:t>
            </w:r>
          </w:p>
        </w:tc>
        <w:tc>
          <w:tcPr>
            <w:tcW w:w="1709" w:type="pct"/>
          </w:tcPr>
          <w:p w14:paraId="0EA18B54" w14:textId="3020EBC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w:t>
            </w:r>
            <w:proofErr w:type="gramStart"/>
            <w:r w:rsidRPr="001B6E4D">
              <w:rPr>
                <w:rFonts w:hAnsi="標楷體" w:cs="Times New Roman"/>
                <w:color w:val="000000" w:themeColor="text1"/>
                <w:sz w:val="24"/>
                <w:szCs w:val="24"/>
              </w:rPr>
              <w:t>資恐防</w:t>
            </w:r>
            <w:proofErr w:type="gramEnd"/>
            <w:r w:rsidRPr="001B6E4D">
              <w:rPr>
                <w:rFonts w:hAnsi="標楷體" w:cs="Times New Roman"/>
                <w:color w:val="000000" w:themeColor="text1"/>
                <w:sz w:val="24"/>
                <w:szCs w:val="24"/>
              </w:rPr>
              <w:t>制法修正草案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名稱修正為《資助恐怖活動及大規模毀滅性武器擴散防制法》、共24條。修正重點：明確對應防制洗錢金融行動工作組織打擊資助恐怖活動、組織、分子及</w:t>
            </w:r>
            <w:proofErr w:type="gramStart"/>
            <w:r w:rsidRPr="001B6E4D">
              <w:rPr>
                <w:rFonts w:hAnsi="標楷體" w:cs="Times New Roman"/>
                <w:color w:val="000000" w:themeColor="text1"/>
                <w:sz w:val="24"/>
                <w:szCs w:val="24"/>
              </w:rPr>
              <w:t>資武擴之</w:t>
            </w:r>
            <w:proofErr w:type="gramEnd"/>
            <w:r w:rsidRPr="001B6E4D">
              <w:rPr>
                <w:rFonts w:hAnsi="標楷體" w:cs="Times New Roman"/>
                <w:color w:val="000000" w:themeColor="text1"/>
                <w:sz w:val="24"/>
                <w:szCs w:val="24"/>
              </w:rPr>
              <w:t>核心目標，強化對</w:t>
            </w:r>
            <w:proofErr w:type="gramStart"/>
            <w:r w:rsidRPr="001B6E4D">
              <w:rPr>
                <w:rFonts w:hAnsi="標楷體" w:cs="Times New Roman"/>
                <w:color w:val="000000" w:themeColor="text1"/>
                <w:sz w:val="24"/>
                <w:szCs w:val="24"/>
              </w:rPr>
              <w:t>資恐及資武擴</w:t>
            </w:r>
            <w:proofErr w:type="gramEnd"/>
            <w:r w:rsidRPr="001B6E4D">
              <w:rPr>
                <w:rFonts w:hAnsi="標楷體" w:cs="Times New Roman"/>
                <w:color w:val="000000" w:themeColor="text1"/>
                <w:sz w:val="24"/>
                <w:szCs w:val="24"/>
              </w:rPr>
              <w:t>違法行為之防制。）</w:t>
            </w:r>
          </w:p>
        </w:tc>
        <w:tc>
          <w:tcPr>
            <w:tcW w:w="1139" w:type="pct"/>
          </w:tcPr>
          <w:p w14:paraId="3EC4C2B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委員沈發惠</w:t>
            </w:r>
          </w:p>
          <w:p w14:paraId="1D6FD45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66327F0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115.03.27</w:t>
            </w:r>
          </w:p>
          <w:p w14:paraId="666AD0C8" w14:textId="3A3FEC7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（11-5-5）</w:t>
            </w:r>
          </w:p>
        </w:tc>
        <w:tc>
          <w:tcPr>
            <w:tcW w:w="928" w:type="pct"/>
          </w:tcPr>
          <w:p w14:paraId="2AD87C7F" w14:textId="7CFB9B0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E2CE6EF" w14:textId="011DA96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E69BC1D" w14:textId="77777777" w:rsidTr="0086120E">
        <w:tc>
          <w:tcPr>
            <w:tcW w:w="356" w:type="pct"/>
          </w:tcPr>
          <w:p w14:paraId="6A18A474" w14:textId="22E0AAF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257</w:t>
            </w:r>
          </w:p>
        </w:tc>
        <w:tc>
          <w:tcPr>
            <w:tcW w:w="1709" w:type="pct"/>
          </w:tcPr>
          <w:p w14:paraId="4E69F571" w14:textId="0C34580D"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w:t>
            </w:r>
            <w:proofErr w:type="gramStart"/>
            <w:r w:rsidRPr="001B6E4D">
              <w:rPr>
                <w:rFonts w:hAnsi="標楷體" w:cs="Times New Roman"/>
                <w:color w:val="000000" w:themeColor="text1"/>
                <w:sz w:val="24"/>
                <w:szCs w:val="24"/>
              </w:rPr>
              <w:t>資恐防</w:t>
            </w:r>
            <w:proofErr w:type="gramEnd"/>
            <w:r w:rsidRPr="001B6E4D">
              <w:rPr>
                <w:rFonts w:hAnsi="標楷體" w:cs="Times New Roman"/>
                <w:color w:val="000000" w:themeColor="text1"/>
                <w:sz w:val="24"/>
                <w:szCs w:val="24"/>
              </w:rPr>
              <w:t>制法修正草案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名稱修正為《資助恐怖活動及大規模毀滅性武器擴散防制法》、共24條。修正重點：</w:t>
            </w:r>
            <w:proofErr w:type="gramStart"/>
            <w:r w:rsidRPr="001B6E4D">
              <w:rPr>
                <w:rFonts w:hAnsi="標楷體" w:cs="Times New Roman"/>
                <w:color w:val="000000" w:themeColor="text1"/>
                <w:sz w:val="24"/>
                <w:szCs w:val="24"/>
              </w:rPr>
              <w:t>完備資恐法制</w:t>
            </w:r>
            <w:proofErr w:type="gramEnd"/>
            <w:r w:rsidRPr="001B6E4D">
              <w:rPr>
                <w:rFonts w:hAnsi="標楷體" w:cs="Times New Roman"/>
                <w:color w:val="000000" w:themeColor="text1"/>
                <w:sz w:val="24"/>
                <w:szCs w:val="24"/>
              </w:rPr>
              <w:t>，強化打擊</w:t>
            </w:r>
            <w:proofErr w:type="gramStart"/>
            <w:r w:rsidRPr="001B6E4D">
              <w:rPr>
                <w:rFonts w:hAnsi="標楷體" w:cs="Times New Roman"/>
                <w:color w:val="000000" w:themeColor="text1"/>
                <w:sz w:val="24"/>
                <w:szCs w:val="24"/>
              </w:rPr>
              <w:t>資恐及資武擴。</w:t>
            </w:r>
            <w:proofErr w:type="gramEnd"/>
            <w:r w:rsidRPr="001B6E4D">
              <w:rPr>
                <w:rFonts w:hAnsi="標楷體" w:cs="Times New Roman"/>
                <w:color w:val="000000" w:themeColor="text1"/>
                <w:sz w:val="24"/>
                <w:szCs w:val="24"/>
              </w:rPr>
              <w:t>）</w:t>
            </w:r>
          </w:p>
        </w:tc>
        <w:tc>
          <w:tcPr>
            <w:tcW w:w="1139" w:type="pct"/>
          </w:tcPr>
          <w:p w14:paraId="7D5864F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4327495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5535DCE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115.03.27</w:t>
            </w:r>
          </w:p>
          <w:p w14:paraId="51F9E131" w14:textId="0E67A61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（11-5-5）</w:t>
            </w:r>
          </w:p>
        </w:tc>
        <w:tc>
          <w:tcPr>
            <w:tcW w:w="928" w:type="pct"/>
          </w:tcPr>
          <w:p w14:paraId="7A40F947" w14:textId="2D0630E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9A808E3" w14:textId="64BF832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476F24D" w14:textId="77777777" w:rsidTr="0086120E">
        <w:tc>
          <w:tcPr>
            <w:tcW w:w="356" w:type="pct"/>
          </w:tcPr>
          <w:p w14:paraId="7AE9589F" w14:textId="72B49F42"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258</w:t>
            </w:r>
          </w:p>
        </w:tc>
        <w:tc>
          <w:tcPr>
            <w:tcW w:w="1709" w:type="pct"/>
          </w:tcPr>
          <w:p w14:paraId="64F9B842" w14:textId="5FDB3F3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w:t>
            </w:r>
            <w:proofErr w:type="gramStart"/>
            <w:r w:rsidRPr="001B6E4D">
              <w:rPr>
                <w:rFonts w:hAnsi="標楷體" w:cs="Times New Roman"/>
                <w:color w:val="000000" w:themeColor="text1"/>
                <w:sz w:val="24"/>
                <w:szCs w:val="24"/>
              </w:rPr>
              <w:t>資恐防</w:t>
            </w:r>
            <w:proofErr w:type="gramEnd"/>
            <w:r w:rsidRPr="001B6E4D">
              <w:rPr>
                <w:rFonts w:hAnsi="標楷體" w:cs="Times New Roman"/>
                <w:color w:val="000000" w:themeColor="text1"/>
                <w:sz w:val="24"/>
                <w:szCs w:val="24"/>
              </w:rPr>
              <w:t>制法修正草案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共24條。修正重點：強化我國對</w:t>
            </w:r>
            <w:proofErr w:type="gramStart"/>
            <w:r w:rsidRPr="001B6E4D">
              <w:rPr>
                <w:rFonts w:hAnsi="標楷體" w:cs="Times New Roman"/>
                <w:color w:val="000000" w:themeColor="text1"/>
                <w:sz w:val="24"/>
                <w:szCs w:val="24"/>
              </w:rPr>
              <w:t>資恐及資武擴</w:t>
            </w:r>
            <w:proofErr w:type="gramEnd"/>
            <w:r w:rsidRPr="001B6E4D">
              <w:rPr>
                <w:rFonts w:hAnsi="標楷體" w:cs="Times New Roman"/>
                <w:color w:val="000000" w:themeColor="text1"/>
                <w:sz w:val="24"/>
                <w:szCs w:val="24"/>
              </w:rPr>
              <w:t>違法行為之防制，增訂</w:t>
            </w:r>
            <w:proofErr w:type="gramStart"/>
            <w:r w:rsidRPr="001B6E4D">
              <w:rPr>
                <w:rFonts w:hAnsi="標楷體" w:cs="Times New Roman"/>
                <w:color w:val="000000" w:themeColor="text1"/>
                <w:sz w:val="24"/>
                <w:szCs w:val="24"/>
              </w:rPr>
              <w:t>資武擴</w:t>
            </w:r>
            <w:proofErr w:type="gramEnd"/>
            <w:r w:rsidRPr="001B6E4D">
              <w:rPr>
                <w:rFonts w:hAnsi="標楷體" w:cs="Times New Roman"/>
                <w:color w:val="000000" w:themeColor="text1"/>
                <w:sz w:val="24"/>
                <w:szCs w:val="24"/>
              </w:rPr>
              <w:t>為立法之目的。）</w:t>
            </w:r>
          </w:p>
        </w:tc>
        <w:tc>
          <w:tcPr>
            <w:tcW w:w="1139" w:type="pct"/>
          </w:tcPr>
          <w:p w14:paraId="22F2CAC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57591EA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0FA1D5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5B1E966A" w14:textId="6644C50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928" w:type="pct"/>
          </w:tcPr>
          <w:p w14:paraId="3F7D4390" w14:textId="71C8C72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395CA19" w14:textId="37B7FBD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A23C952" w14:textId="77777777" w:rsidTr="0086120E">
        <w:tc>
          <w:tcPr>
            <w:tcW w:w="356" w:type="pct"/>
          </w:tcPr>
          <w:p w14:paraId="308AA73D" w14:textId="2B3A300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259</w:t>
            </w:r>
          </w:p>
        </w:tc>
        <w:tc>
          <w:tcPr>
            <w:tcW w:w="1709" w:type="pct"/>
          </w:tcPr>
          <w:p w14:paraId="523EA135" w14:textId="4829476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1.犯罪被害人權益保障法第六十三條及第一百</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修正重點：就請求權時效增訂檢察官起訴之例外。）</w:t>
            </w:r>
          </w:p>
        </w:tc>
        <w:tc>
          <w:tcPr>
            <w:tcW w:w="1139" w:type="pct"/>
          </w:tcPr>
          <w:p w14:paraId="68903DC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009FC79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114.03.21</w:t>
            </w:r>
          </w:p>
          <w:p w14:paraId="47BB441F" w14:textId="0CB9288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（11-3-6）</w:t>
            </w:r>
          </w:p>
        </w:tc>
        <w:tc>
          <w:tcPr>
            <w:tcW w:w="928" w:type="pct"/>
          </w:tcPr>
          <w:p w14:paraId="7631393E" w14:textId="6375D0EA"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96DF383" w14:textId="5FE5090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FCFF1F8" w14:textId="77777777" w:rsidTr="0086120E">
        <w:tc>
          <w:tcPr>
            <w:tcW w:w="356" w:type="pct"/>
          </w:tcPr>
          <w:p w14:paraId="1000BA41" w14:textId="77ADFD6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260</w:t>
            </w:r>
          </w:p>
        </w:tc>
        <w:tc>
          <w:tcPr>
            <w:tcW w:w="1709" w:type="pct"/>
          </w:tcPr>
          <w:p w14:paraId="06F614A0" w14:textId="4D543EE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2.犯罪被害人權益保障法</w:t>
            </w:r>
            <w:r w:rsidRPr="001B6E4D">
              <w:rPr>
                <w:rFonts w:hAnsi="標楷體" w:cs="Times New Roman"/>
                <w:color w:val="000000" w:themeColor="text1"/>
                <w:sz w:val="24"/>
                <w:szCs w:val="24"/>
              </w:rPr>
              <w:lastRenderedPageBreak/>
              <w:t>第六十三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修正重點：例外將犯罪被害補償金請求權的起算</w:t>
            </w:r>
            <w:proofErr w:type="gramStart"/>
            <w:r w:rsidRPr="001B6E4D">
              <w:rPr>
                <w:rFonts w:hAnsi="標楷體" w:cs="Times New Roman"/>
                <w:color w:val="000000" w:themeColor="text1"/>
                <w:sz w:val="24"/>
                <w:szCs w:val="24"/>
              </w:rPr>
              <w:t>時點延後</w:t>
            </w:r>
            <w:proofErr w:type="gramEnd"/>
            <w:r w:rsidRPr="001B6E4D">
              <w:rPr>
                <w:rFonts w:hAnsi="標楷體" w:cs="Times New Roman"/>
                <w:color w:val="000000" w:themeColor="text1"/>
                <w:sz w:val="24"/>
                <w:szCs w:val="24"/>
              </w:rPr>
              <w:t>至檢察官起訴時。）</w:t>
            </w:r>
          </w:p>
        </w:tc>
        <w:tc>
          <w:tcPr>
            <w:tcW w:w="1139" w:type="pct"/>
          </w:tcPr>
          <w:p w14:paraId="39129B8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委員李坤城</w:t>
            </w:r>
          </w:p>
          <w:p w14:paraId="19E6053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等21人</w:t>
            </w:r>
          </w:p>
          <w:p w14:paraId="2862705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114.08.22</w:t>
            </w:r>
          </w:p>
          <w:p w14:paraId="2981FCC4" w14:textId="637C61E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（11-3-26）</w:t>
            </w:r>
          </w:p>
        </w:tc>
        <w:tc>
          <w:tcPr>
            <w:tcW w:w="928" w:type="pct"/>
          </w:tcPr>
          <w:p w14:paraId="7ACABF58" w14:textId="6BBE11A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4F1B927F" w14:textId="324F75F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AC4C48C" w14:textId="77777777" w:rsidTr="0086120E">
        <w:tc>
          <w:tcPr>
            <w:tcW w:w="356" w:type="pct"/>
          </w:tcPr>
          <w:p w14:paraId="215908BB" w14:textId="2EB9320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261</w:t>
            </w:r>
          </w:p>
        </w:tc>
        <w:tc>
          <w:tcPr>
            <w:tcW w:w="1709" w:type="pct"/>
          </w:tcPr>
          <w:p w14:paraId="6FB0C3CD" w14:textId="4E7D7E5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3.犯罪被害人權益保障法第六十三條及第一百</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修正重點：延長補償請求權時效。）</w:t>
            </w:r>
          </w:p>
        </w:tc>
        <w:tc>
          <w:tcPr>
            <w:tcW w:w="1139" w:type="pct"/>
          </w:tcPr>
          <w:p w14:paraId="00472C9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委員張雅琳</w:t>
            </w:r>
          </w:p>
          <w:p w14:paraId="4586AF3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5AFBBAD3" w14:textId="7CABC0CF"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114.11.14</w:t>
            </w:r>
          </w:p>
          <w:p w14:paraId="6B546F74" w14:textId="063B189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11-4-9</w:t>
            </w:r>
            <w:proofErr w:type="gramStart"/>
            <w:r w:rsidRPr="001B6E4D">
              <w:rPr>
                <w:rFonts w:ascii="標楷體" w:eastAsia="標楷體" w:hAnsi="標楷體"/>
                <w:color w:val="000000" w:themeColor="text1"/>
                <w:sz w:val="24"/>
              </w:rPr>
              <w:t>）</w:t>
            </w:r>
            <w:proofErr w:type="gramEnd"/>
          </w:p>
        </w:tc>
        <w:tc>
          <w:tcPr>
            <w:tcW w:w="928" w:type="pct"/>
          </w:tcPr>
          <w:p w14:paraId="2144A935" w14:textId="16A69340"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21C17AA" w14:textId="349EBAF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F47AB74" w14:textId="77777777" w:rsidTr="0086120E">
        <w:tc>
          <w:tcPr>
            <w:tcW w:w="356" w:type="pct"/>
          </w:tcPr>
          <w:p w14:paraId="43136263" w14:textId="7ED08B9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262</w:t>
            </w:r>
          </w:p>
        </w:tc>
        <w:tc>
          <w:tcPr>
            <w:tcW w:w="1709" w:type="pct"/>
          </w:tcPr>
          <w:p w14:paraId="59B256EA" w14:textId="760D6FA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4.犯罪被害人權益保障法第六十三條及第一百</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修正重點：增訂有關犯罪被害補償金請求權時效之例外。）</w:t>
            </w:r>
          </w:p>
        </w:tc>
        <w:tc>
          <w:tcPr>
            <w:tcW w:w="1139" w:type="pct"/>
          </w:tcPr>
          <w:p w14:paraId="0C558FD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委員吳思瑤</w:t>
            </w:r>
          </w:p>
          <w:p w14:paraId="497B490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19AD4DF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114.12.05</w:t>
            </w:r>
          </w:p>
          <w:p w14:paraId="29BD3EE1" w14:textId="2893B31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w:t>
            </w:r>
          </w:p>
        </w:tc>
        <w:tc>
          <w:tcPr>
            <w:tcW w:w="928" w:type="pct"/>
          </w:tcPr>
          <w:p w14:paraId="5C21F87B" w14:textId="5C13C4D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E46701C" w14:textId="3763A08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48A4ADB" w14:textId="77777777" w:rsidTr="0086120E">
        <w:tc>
          <w:tcPr>
            <w:tcW w:w="356" w:type="pct"/>
          </w:tcPr>
          <w:p w14:paraId="4A64FB81" w14:textId="213FA38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263</w:t>
            </w:r>
          </w:p>
        </w:tc>
        <w:tc>
          <w:tcPr>
            <w:tcW w:w="1709" w:type="pct"/>
          </w:tcPr>
          <w:p w14:paraId="1F115CBB" w14:textId="1F235CE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5.犯罪被害人權益保障法部分條文修正草案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修正§3、15、63、100。修正重點：保障性影像犯罪受害者，落實警</w:t>
            </w:r>
            <w:proofErr w:type="gramStart"/>
            <w:r w:rsidRPr="001B6E4D">
              <w:rPr>
                <w:rFonts w:hAnsi="標楷體" w:cs="Times New Roman"/>
                <w:color w:val="000000" w:themeColor="text1"/>
                <w:sz w:val="24"/>
                <w:szCs w:val="24"/>
              </w:rPr>
              <w:t>詢</w:t>
            </w:r>
            <w:proofErr w:type="gramEnd"/>
            <w:r w:rsidRPr="001B6E4D">
              <w:rPr>
                <w:rFonts w:hAnsi="標楷體" w:cs="Times New Roman"/>
                <w:color w:val="000000" w:themeColor="text1"/>
                <w:sz w:val="24"/>
                <w:szCs w:val="24"/>
              </w:rPr>
              <w:t>階段陪同制度。）</w:t>
            </w:r>
          </w:p>
        </w:tc>
        <w:tc>
          <w:tcPr>
            <w:tcW w:w="1139" w:type="pct"/>
          </w:tcPr>
          <w:p w14:paraId="2C33ABB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委員林月琴</w:t>
            </w:r>
          </w:p>
          <w:p w14:paraId="5550286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7F2BFBB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114.12.19</w:t>
            </w:r>
          </w:p>
          <w:p w14:paraId="781F35BE" w14:textId="5563BF8B"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（11-4-14）</w:t>
            </w:r>
          </w:p>
        </w:tc>
        <w:tc>
          <w:tcPr>
            <w:tcW w:w="928" w:type="pct"/>
          </w:tcPr>
          <w:p w14:paraId="605DA29F" w14:textId="273B9961"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3349D7C" w14:textId="78DF6FA9"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6B699C3" w14:textId="77777777" w:rsidTr="0086120E">
        <w:tc>
          <w:tcPr>
            <w:tcW w:w="356" w:type="pct"/>
          </w:tcPr>
          <w:p w14:paraId="3532360C" w14:textId="5350698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264</w:t>
            </w:r>
          </w:p>
        </w:tc>
        <w:tc>
          <w:tcPr>
            <w:tcW w:w="1709" w:type="pct"/>
          </w:tcPr>
          <w:p w14:paraId="62504519" w14:textId="75B42246"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6.犯罪被害人權益保障法第六十三條及第一百</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修正重點：增訂請求補償之例外時效，並增訂過渡條款保障修法前因時效屆滿未能獲得補償之被害人。）</w:t>
            </w:r>
          </w:p>
        </w:tc>
        <w:tc>
          <w:tcPr>
            <w:tcW w:w="1139" w:type="pct"/>
          </w:tcPr>
          <w:p w14:paraId="32C76A9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委員黃捷</w:t>
            </w:r>
          </w:p>
          <w:p w14:paraId="274FFE2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42D661A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115.03.27</w:t>
            </w:r>
          </w:p>
          <w:p w14:paraId="3C77A8A6" w14:textId="356D400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（11-5-5）</w:t>
            </w:r>
          </w:p>
        </w:tc>
        <w:tc>
          <w:tcPr>
            <w:tcW w:w="928" w:type="pct"/>
          </w:tcPr>
          <w:p w14:paraId="558DB69B" w14:textId="7A14618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8A32B08" w14:textId="362C890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95A60EC" w14:textId="77777777" w:rsidTr="0086120E">
        <w:tc>
          <w:tcPr>
            <w:tcW w:w="356" w:type="pct"/>
          </w:tcPr>
          <w:p w14:paraId="6E068F78" w14:textId="0AA5DAE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265</w:t>
            </w:r>
          </w:p>
        </w:tc>
        <w:tc>
          <w:tcPr>
            <w:tcW w:w="1709" w:type="pct"/>
          </w:tcPr>
          <w:p w14:paraId="0CBAD313" w14:textId="01F8FB8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7.犯罪被害人權益保障法部分條文修正草案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修正§63、100、103；增訂§100-1。修正重點：於特定障礙事由下，得自首次向檢警機關陳述犯罪被害事實之日起</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年內請求補償。）</w:t>
            </w:r>
          </w:p>
        </w:tc>
        <w:tc>
          <w:tcPr>
            <w:tcW w:w="1139" w:type="pct"/>
          </w:tcPr>
          <w:p w14:paraId="2789160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委員林月琴</w:t>
            </w:r>
          </w:p>
          <w:p w14:paraId="511FD07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4C8DDDC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764049B4" w14:textId="7981954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928" w:type="pct"/>
          </w:tcPr>
          <w:p w14:paraId="1B587B60" w14:textId="4B6B147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C81C474" w14:textId="5303664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F00B304" w14:textId="77777777" w:rsidTr="0086120E">
        <w:tc>
          <w:tcPr>
            <w:tcW w:w="356" w:type="pct"/>
          </w:tcPr>
          <w:p w14:paraId="54CE2A04" w14:textId="309ABA9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266</w:t>
            </w:r>
          </w:p>
        </w:tc>
        <w:tc>
          <w:tcPr>
            <w:tcW w:w="1709" w:type="pct"/>
          </w:tcPr>
          <w:p w14:paraId="042EBA64" w14:textId="61C78A7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8.犯罪被害人權益保障法第六十三條、第一百條及第一百條之</w:t>
            </w:r>
            <w:proofErr w:type="gramStart"/>
            <w:r w:rsidRPr="001B6E4D">
              <w:rPr>
                <w:rFonts w:hAnsi="標楷體" w:cs="Times New Roman"/>
                <w:color w:val="000000" w:themeColor="text1"/>
                <w:sz w:val="24"/>
                <w:szCs w:val="24"/>
              </w:rPr>
              <w:t>一</w:t>
            </w:r>
            <w:proofErr w:type="gramEnd"/>
            <w:r w:rsidRPr="001B6E4D">
              <w:rPr>
                <w:rFonts w:hAnsi="標楷體" w:cs="Times New Roman"/>
                <w:color w:val="000000" w:themeColor="text1"/>
                <w:sz w:val="24"/>
                <w:szCs w:val="24"/>
              </w:rPr>
              <w:t>條文修正草</w:t>
            </w:r>
            <w:r w:rsidRPr="001B6E4D">
              <w:rPr>
                <w:rFonts w:hAnsi="標楷體" w:cs="Times New Roman"/>
                <w:color w:val="000000" w:themeColor="text1"/>
                <w:sz w:val="24"/>
                <w:szCs w:val="24"/>
              </w:rPr>
              <w:lastRenderedPageBreak/>
              <w:t>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修正重點：增訂時效障礙事由及時效已完成案件得例外溯及規定。）</w:t>
            </w:r>
          </w:p>
        </w:tc>
        <w:tc>
          <w:tcPr>
            <w:tcW w:w="1139" w:type="pct"/>
          </w:tcPr>
          <w:p w14:paraId="72B2FFA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w:t>
            </w:r>
            <w:proofErr w:type="gramStart"/>
            <w:r w:rsidRPr="001B6E4D">
              <w:rPr>
                <w:rFonts w:ascii="標楷體" w:eastAsia="標楷體" w:hAnsi="標楷體"/>
                <w:color w:val="000000" w:themeColor="text1"/>
                <w:sz w:val="24"/>
              </w:rPr>
              <w:t>范</w:t>
            </w:r>
            <w:proofErr w:type="gramEnd"/>
            <w:r w:rsidRPr="001B6E4D">
              <w:rPr>
                <w:rFonts w:ascii="標楷體" w:eastAsia="標楷體" w:hAnsi="標楷體"/>
                <w:color w:val="000000" w:themeColor="text1"/>
                <w:sz w:val="24"/>
              </w:rPr>
              <w:t>雲</w:t>
            </w:r>
          </w:p>
          <w:p w14:paraId="580654C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05EE34A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115.07.31</w:t>
            </w:r>
          </w:p>
          <w:p w14:paraId="0FB14721" w14:textId="1E678C0B"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（11-5-20）</w:t>
            </w:r>
          </w:p>
        </w:tc>
        <w:tc>
          <w:tcPr>
            <w:tcW w:w="928" w:type="pct"/>
          </w:tcPr>
          <w:p w14:paraId="1F026454" w14:textId="590E53C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39CFABDB" w14:textId="3FAB62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BAA2CAD" w14:textId="77777777" w:rsidTr="0086120E">
        <w:tc>
          <w:tcPr>
            <w:tcW w:w="356" w:type="pct"/>
          </w:tcPr>
          <w:p w14:paraId="43A9E941" w14:textId="1A80A7F1"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267</w:t>
            </w:r>
          </w:p>
        </w:tc>
        <w:tc>
          <w:tcPr>
            <w:tcW w:w="1709" w:type="pct"/>
          </w:tcPr>
          <w:p w14:paraId="686637CE" w14:textId="54B779C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犯罪被害人權益保障法第五十七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修正重點：提高遺屬補償金與重傷補償金。）</w:t>
            </w:r>
          </w:p>
        </w:tc>
        <w:tc>
          <w:tcPr>
            <w:tcW w:w="1139" w:type="pct"/>
          </w:tcPr>
          <w:p w14:paraId="1DC7AE1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委員李彥秀</w:t>
            </w:r>
          </w:p>
          <w:p w14:paraId="106EB0A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017BB9A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115.01.02</w:t>
            </w:r>
          </w:p>
          <w:p w14:paraId="3477C7D5" w14:textId="028E2459"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（11-4-16）</w:t>
            </w:r>
          </w:p>
        </w:tc>
        <w:tc>
          <w:tcPr>
            <w:tcW w:w="928" w:type="pct"/>
          </w:tcPr>
          <w:p w14:paraId="723A02BA" w14:textId="2215144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6879D4C" w14:textId="1DB85BC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30F3F443" w14:textId="77777777" w:rsidTr="0086120E">
        <w:tc>
          <w:tcPr>
            <w:tcW w:w="356" w:type="pct"/>
          </w:tcPr>
          <w:p w14:paraId="34408A7C" w14:textId="19EE776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268</w:t>
            </w:r>
          </w:p>
        </w:tc>
        <w:tc>
          <w:tcPr>
            <w:tcW w:w="1709" w:type="pct"/>
          </w:tcPr>
          <w:p w14:paraId="2B0D7FE1" w14:textId="6C673B5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1.犯罪被害人權益保障法第二十七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修正重點：使少年刑事案件之被害人或其家屬亦得於假釋審查程序中陳述意見。）</w:t>
            </w:r>
          </w:p>
        </w:tc>
        <w:tc>
          <w:tcPr>
            <w:tcW w:w="1139" w:type="pct"/>
          </w:tcPr>
          <w:p w14:paraId="4F5CC77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355DA72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64E26B7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115.03.27</w:t>
            </w:r>
          </w:p>
          <w:p w14:paraId="3FEFA37E" w14:textId="5D41AE7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（11-5-5）</w:t>
            </w:r>
          </w:p>
        </w:tc>
        <w:tc>
          <w:tcPr>
            <w:tcW w:w="928" w:type="pct"/>
          </w:tcPr>
          <w:p w14:paraId="676000EC" w14:textId="3BCDE25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9104A01" w14:textId="647113C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5F6F360" w14:textId="77777777" w:rsidTr="0086120E">
        <w:tc>
          <w:tcPr>
            <w:tcW w:w="356" w:type="pct"/>
          </w:tcPr>
          <w:p w14:paraId="132A1669" w14:textId="3DE3725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269</w:t>
            </w:r>
          </w:p>
        </w:tc>
        <w:tc>
          <w:tcPr>
            <w:tcW w:w="1709" w:type="pct"/>
          </w:tcPr>
          <w:p w14:paraId="50AA70D7" w14:textId="59A5F32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2.犯罪被害人權益保障法第二十七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修正重點：使少年事件犯罪被害人或其家屬，得以言詞或書面方式向受刑人所在矯正機關陳述意見，或委由保護機構及分會代為轉達。）</w:t>
            </w:r>
          </w:p>
        </w:tc>
        <w:tc>
          <w:tcPr>
            <w:tcW w:w="1139" w:type="pct"/>
          </w:tcPr>
          <w:p w14:paraId="4E6E1BE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7132172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29AE4A7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115.08.07</w:t>
            </w:r>
          </w:p>
          <w:p w14:paraId="35B7D8E0" w14:textId="1E6CA73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（11-5-21）</w:t>
            </w:r>
          </w:p>
        </w:tc>
        <w:tc>
          <w:tcPr>
            <w:tcW w:w="928" w:type="pct"/>
          </w:tcPr>
          <w:p w14:paraId="6907CB03" w14:textId="4957512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B04106C" w14:textId="35D12826"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A879869" w14:textId="77777777" w:rsidTr="0086120E">
        <w:tc>
          <w:tcPr>
            <w:tcW w:w="356" w:type="pct"/>
          </w:tcPr>
          <w:p w14:paraId="3261223B" w14:textId="5EEEB2B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270</w:t>
            </w:r>
          </w:p>
        </w:tc>
        <w:tc>
          <w:tcPr>
            <w:tcW w:w="1709" w:type="pct"/>
          </w:tcPr>
          <w:p w14:paraId="536B08F3" w14:textId="064ABD4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1.司法院釋字第七四八號解釋施行法第十七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修正重點：配合民法親屬編修正婚姻關係得向法院提起終止之規範。）</w:t>
            </w:r>
          </w:p>
        </w:tc>
        <w:tc>
          <w:tcPr>
            <w:tcW w:w="1139" w:type="pct"/>
          </w:tcPr>
          <w:p w14:paraId="7C4CC38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委員鍾佳濱</w:t>
            </w:r>
          </w:p>
          <w:p w14:paraId="27F617B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26F8A31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4C43321C" w14:textId="2B96955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48E64239" w14:textId="4AECADA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4876DAE" w14:textId="74CDF71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FCFEB4D" w14:textId="77777777" w:rsidTr="0086120E">
        <w:tc>
          <w:tcPr>
            <w:tcW w:w="356" w:type="pct"/>
          </w:tcPr>
          <w:p w14:paraId="668FCC7E" w14:textId="4682DFB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271</w:t>
            </w:r>
          </w:p>
        </w:tc>
        <w:tc>
          <w:tcPr>
            <w:tcW w:w="1709" w:type="pct"/>
          </w:tcPr>
          <w:p w14:paraId="35A4E686" w14:textId="25CE055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2.司法院釋字第七四八號解釋施行法第十七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修正重點：配合民法親屬編修正婚姻關係得向法院提起終止之規範。）</w:t>
            </w:r>
          </w:p>
        </w:tc>
        <w:tc>
          <w:tcPr>
            <w:tcW w:w="1139" w:type="pct"/>
          </w:tcPr>
          <w:p w14:paraId="6BAEBBF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委員林宜瑾</w:t>
            </w:r>
          </w:p>
          <w:p w14:paraId="296E77E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0DFBC71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114.04.18</w:t>
            </w:r>
          </w:p>
          <w:p w14:paraId="122C79F9" w14:textId="0F11B13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（11-3-8）</w:t>
            </w:r>
          </w:p>
        </w:tc>
        <w:tc>
          <w:tcPr>
            <w:tcW w:w="928" w:type="pct"/>
          </w:tcPr>
          <w:p w14:paraId="4F501062" w14:textId="34C79DF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D917204" w14:textId="6903B53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27E5C860" w14:textId="77777777" w:rsidTr="0086120E">
        <w:tc>
          <w:tcPr>
            <w:tcW w:w="356" w:type="pct"/>
          </w:tcPr>
          <w:p w14:paraId="63FA86B7" w14:textId="3544CB1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272</w:t>
            </w:r>
          </w:p>
        </w:tc>
        <w:tc>
          <w:tcPr>
            <w:tcW w:w="1709" w:type="pct"/>
          </w:tcPr>
          <w:p w14:paraId="1D0F010F" w14:textId="2B2FFE62"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3.司法院釋字第七四八號解釋施行法第十七條及第二十七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修正重點：相同性別二人終止親密性及排他性永</w:t>
            </w:r>
            <w:r w:rsidRPr="001B6E4D">
              <w:rPr>
                <w:rFonts w:hAnsi="標楷體" w:cs="Times New Roman"/>
                <w:color w:val="000000" w:themeColor="text1"/>
                <w:sz w:val="24"/>
                <w:szCs w:val="24"/>
              </w:rPr>
              <w:lastRenderedPageBreak/>
              <w:t>久結合關係之規定，並納入施行前已發生之事實為適用範圍。）</w:t>
            </w:r>
          </w:p>
        </w:tc>
        <w:tc>
          <w:tcPr>
            <w:tcW w:w="1139" w:type="pct"/>
          </w:tcPr>
          <w:p w14:paraId="6B3EC4F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委員賴惠員</w:t>
            </w:r>
          </w:p>
          <w:p w14:paraId="621685D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518F10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114.06.03</w:t>
            </w:r>
          </w:p>
          <w:p w14:paraId="63A86979" w14:textId="78E4742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（11-3-14）</w:t>
            </w:r>
          </w:p>
        </w:tc>
        <w:tc>
          <w:tcPr>
            <w:tcW w:w="928" w:type="pct"/>
          </w:tcPr>
          <w:p w14:paraId="4EE33CAB" w14:textId="6F492D1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E9B53AB" w14:textId="6553063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46534FE" w14:textId="77777777" w:rsidTr="0086120E">
        <w:tc>
          <w:tcPr>
            <w:tcW w:w="356" w:type="pct"/>
          </w:tcPr>
          <w:p w14:paraId="40964548" w14:textId="79AEBE2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273</w:t>
            </w:r>
          </w:p>
        </w:tc>
        <w:tc>
          <w:tcPr>
            <w:tcW w:w="1709" w:type="pct"/>
          </w:tcPr>
          <w:p w14:paraId="5FECA0EA" w14:textId="3FC1BBC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財團法人法第十九</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修正重點：放寬對財團法人投資「公司型社會創新事業」限制。）</w:t>
            </w:r>
          </w:p>
        </w:tc>
        <w:tc>
          <w:tcPr>
            <w:tcW w:w="1139" w:type="pct"/>
          </w:tcPr>
          <w:p w14:paraId="064CB00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委員陳玉珍</w:t>
            </w:r>
          </w:p>
          <w:p w14:paraId="47090ED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18B77A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114.06.03</w:t>
            </w:r>
          </w:p>
          <w:p w14:paraId="13E60EF9" w14:textId="1E7AB6F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（11-3-14）</w:t>
            </w:r>
          </w:p>
        </w:tc>
        <w:tc>
          <w:tcPr>
            <w:tcW w:w="928" w:type="pct"/>
          </w:tcPr>
          <w:p w14:paraId="7BD91163" w14:textId="64CAAF8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17D063D" w14:textId="4EBD6B1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87A74A6" w14:textId="77777777" w:rsidTr="0086120E">
        <w:tc>
          <w:tcPr>
            <w:tcW w:w="356" w:type="pct"/>
          </w:tcPr>
          <w:p w14:paraId="67385FAD" w14:textId="6CD9E0C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274</w:t>
            </w:r>
          </w:p>
        </w:tc>
        <w:tc>
          <w:tcPr>
            <w:tcW w:w="1709" w:type="pct"/>
          </w:tcPr>
          <w:p w14:paraId="78BB51A0" w14:textId="7D909E95"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鄉鎮市調解條例第三十四</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修正重點：由中央統一編列調解委員待遇相關經費，並訂定一致標準。）</w:t>
            </w:r>
          </w:p>
        </w:tc>
        <w:tc>
          <w:tcPr>
            <w:tcW w:w="1139" w:type="pct"/>
          </w:tcPr>
          <w:p w14:paraId="3020C32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w:t>
            </w:r>
            <w:proofErr w:type="gramStart"/>
            <w:r w:rsidRPr="001B6E4D">
              <w:rPr>
                <w:rFonts w:ascii="標楷體" w:eastAsia="標楷體" w:hAnsi="標楷體"/>
                <w:color w:val="000000" w:themeColor="text1"/>
                <w:sz w:val="24"/>
              </w:rPr>
              <w:t>游顥</w:t>
            </w:r>
            <w:proofErr w:type="gramEnd"/>
          </w:p>
          <w:p w14:paraId="73EC515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4BFA499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114.06.13</w:t>
            </w:r>
          </w:p>
          <w:p w14:paraId="453768E7" w14:textId="5BE5A91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（11-3-16）</w:t>
            </w:r>
          </w:p>
        </w:tc>
        <w:tc>
          <w:tcPr>
            <w:tcW w:w="928" w:type="pct"/>
          </w:tcPr>
          <w:p w14:paraId="79C03078" w14:textId="149436D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D106188" w14:textId="1508900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D5C462B" w14:textId="77777777" w:rsidTr="0086120E">
        <w:tc>
          <w:tcPr>
            <w:tcW w:w="356" w:type="pct"/>
          </w:tcPr>
          <w:p w14:paraId="38D31515" w14:textId="37FCD68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275</w:t>
            </w:r>
          </w:p>
        </w:tc>
        <w:tc>
          <w:tcPr>
            <w:tcW w:w="1709" w:type="pct"/>
          </w:tcPr>
          <w:p w14:paraId="14DC8905" w14:textId="79BF035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外役監條例部分條文修正草案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修正§1、14、15、26；增訂§25-1~4；刪除§16。修正重點：因應監獄行刑法增訂階段處遇制度，調整受刑人考核及縮刑規定。）</w:t>
            </w:r>
          </w:p>
        </w:tc>
        <w:tc>
          <w:tcPr>
            <w:tcW w:w="1139" w:type="pct"/>
          </w:tcPr>
          <w:p w14:paraId="2FF0C61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委員沈發惠</w:t>
            </w:r>
          </w:p>
          <w:p w14:paraId="42EC99A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9CF7D1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114.10.17</w:t>
            </w:r>
          </w:p>
          <w:p w14:paraId="6B8135BE" w14:textId="77FE20D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（11-4-5）</w:t>
            </w:r>
          </w:p>
        </w:tc>
        <w:tc>
          <w:tcPr>
            <w:tcW w:w="928" w:type="pct"/>
          </w:tcPr>
          <w:p w14:paraId="56F7AB50" w14:textId="6B3E90E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6740E7A" w14:textId="5A49BBC4"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61F98EA" w14:textId="77777777" w:rsidTr="0086120E">
        <w:tc>
          <w:tcPr>
            <w:tcW w:w="356" w:type="pct"/>
          </w:tcPr>
          <w:p w14:paraId="2A8D5476" w14:textId="0539EB0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276</w:t>
            </w:r>
          </w:p>
        </w:tc>
        <w:tc>
          <w:tcPr>
            <w:tcW w:w="1709" w:type="pct"/>
          </w:tcPr>
          <w:p w14:paraId="0AEDFABA" w14:textId="19FA30D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1.監獄行刑法第一百四十八條及第一百五十六</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修正重點：死刑定</w:t>
            </w:r>
            <w:proofErr w:type="gramStart"/>
            <w:r w:rsidRPr="001B6E4D">
              <w:rPr>
                <w:rFonts w:hAnsi="標楷體" w:cs="Times New Roman"/>
                <w:color w:val="000000" w:themeColor="text1"/>
                <w:sz w:val="24"/>
                <w:szCs w:val="24"/>
              </w:rPr>
              <w:t>讞</w:t>
            </w:r>
            <w:proofErr w:type="gramEnd"/>
            <w:r w:rsidRPr="001B6E4D">
              <w:rPr>
                <w:rFonts w:hAnsi="標楷體" w:cs="Times New Roman"/>
                <w:color w:val="000000" w:themeColor="text1"/>
                <w:sz w:val="24"/>
                <w:szCs w:val="24"/>
              </w:rPr>
              <w:t>待執行之收容期間</w:t>
            </w:r>
            <w:proofErr w:type="gramStart"/>
            <w:r w:rsidRPr="001B6E4D">
              <w:rPr>
                <w:rFonts w:hAnsi="標楷體" w:cs="Times New Roman"/>
                <w:color w:val="000000" w:themeColor="text1"/>
                <w:sz w:val="24"/>
                <w:szCs w:val="24"/>
              </w:rPr>
              <w:t>不應折抵</w:t>
            </w:r>
            <w:proofErr w:type="gramEnd"/>
            <w:r w:rsidRPr="001B6E4D">
              <w:rPr>
                <w:rFonts w:hAnsi="標楷體" w:cs="Times New Roman"/>
                <w:color w:val="000000" w:themeColor="text1"/>
                <w:sz w:val="24"/>
                <w:szCs w:val="24"/>
              </w:rPr>
              <w:t>有期徒刑、拘役、罰金或拘束人身自由之保安處分，亦不納入計算假釋門檻之徒刑執行期間。）</w:t>
            </w:r>
          </w:p>
        </w:tc>
        <w:tc>
          <w:tcPr>
            <w:tcW w:w="1139" w:type="pct"/>
          </w:tcPr>
          <w:p w14:paraId="2E30F5B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行政院</w:t>
            </w:r>
          </w:p>
          <w:p w14:paraId="274F0AC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114.12.12</w:t>
            </w:r>
          </w:p>
          <w:p w14:paraId="66B86C76" w14:textId="1E5D4EF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（11-4-13）</w:t>
            </w:r>
          </w:p>
        </w:tc>
        <w:tc>
          <w:tcPr>
            <w:tcW w:w="928" w:type="pct"/>
          </w:tcPr>
          <w:p w14:paraId="4C25E23A" w14:textId="7CAADE9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422A8C5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557C47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115.7.8</w:t>
            </w:r>
          </w:p>
          <w:p w14:paraId="6464B278" w14:textId="431A0784"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(11-5-24)報告及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7AC1BF42" w14:textId="77777777" w:rsidTr="0086120E">
        <w:tc>
          <w:tcPr>
            <w:tcW w:w="356" w:type="pct"/>
          </w:tcPr>
          <w:p w14:paraId="428A5F8E" w14:textId="75D3403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277</w:t>
            </w:r>
          </w:p>
        </w:tc>
        <w:tc>
          <w:tcPr>
            <w:tcW w:w="1709" w:type="pct"/>
          </w:tcPr>
          <w:p w14:paraId="51809344" w14:textId="44532D8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2.監獄行刑法第一百四十八</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修正重點：死刑定</w:t>
            </w:r>
            <w:proofErr w:type="gramStart"/>
            <w:r w:rsidRPr="001B6E4D">
              <w:rPr>
                <w:rFonts w:hAnsi="標楷體" w:cs="Times New Roman"/>
                <w:color w:val="000000" w:themeColor="text1"/>
                <w:sz w:val="24"/>
                <w:szCs w:val="24"/>
              </w:rPr>
              <w:t>讞</w:t>
            </w:r>
            <w:proofErr w:type="gramEnd"/>
            <w:r w:rsidRPr="001B6E4D">
              <w:rPr>
                <w:rFonts w:hAnsi="標楷體" w:cs="Times New Roman"/>
                <w:color w:val="000000" w:themeColor="text1"/>
                <w:sz w:val="24"/>
                <w:szCs w:val="24"/>
              </w:rPr>
              <w:t>待執行之收容期間</w:t>
            </w:r>
            <w:proofErr w:type="gramStart"/>
            <w:r w:rsidRPr="001B6E4D">
              <w:rPr>
                <w:rFonts w:hAnsi="標楷體" w:cs="Times New Roman"/>
                <w:color w:val="000000" w:themeColor="text1"/>
                <w:sz w:val="24"/>
                <w:szCs w:val="24"/>
              </w:rPr>
              <w:t>不應折抵</w:t>
            </w:r>
            <w:proofErr w:type="gramEnd"/>
            <w:r w:rsidRPr="001B6E4D">
              <w:rPr>
                <w:rFonts w:hAnsi="標楷體" w:cs="Times New Roman"/>
                <w:color w:val="000000" w:themeColor="text1"/>
                <w:sz w:val="24"/>
                <w:szCs w:val="24"/>
              </w:rPr>
              <w:t>有期徒刑、拘役、罰金或拘束人身自由之保安處分，亦不應納入計算假釋門檻之徒刑執行期間。）</w:t>
            </w:r>
          </w:p>
        </w:tc>
        <w:tc>
          <w:tcPr>
            <w:tcW w:w="1139" w:type="pct"/>
          </w:tcPr>
          <w:p w14:paraId="4607ADF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委員李柏毅</w:t>
            </w:r>
          </w:p>
          <w:p w14:paraId="2FAA204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2CA5BA3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114.11.21</w:t>
            </w:r>
          </w:p>
          <w:p w14:paraId="4C9E78E2" w14:textId="6CE6533B"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（11-4-10）</w:t>
            </w:r>
          </w:p>
        </w:tc>
        <w:tc>
          <w:tcPr>
            <w:tcW w:w="928" w:type="pct"/>
          </w:tcPr>
          <w:p w14:paraId="7690667E" w14:textId="5B13EA8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61A279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46ED70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115.7.8</w:t>
            </w:r>
          </w:p>
          <w:p w14:paraId="1CB8DB4C" w14:textId="3B3C005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(11-5-24)報告及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08D2CE03" w14:textId="77777777" w:rsidTr="0086120E">
        <w:tc>
          <w:tcPr>
            <w:tcW w:w="356" w:type="pct"/>
          </w:tcPr>
          <w:p w14:paraId="4A992886" w14:textId="1A3605E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278</w:t>
            </w:r>
          </w:p>
        </w:tc>
        <w:tc>
          <w:tcPr>
            <w:tcW w:w="1709" w:type="pct"/>
          </w:tcPr>
          <w:p w14:paraId="70B47D69" w14:textId="258E682F"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3.監獄行刑法第一百四十</w:t>
            </w:r>
            <w:r w:rsidRPr="001B6E4D">
              <w:rPr>
                <w:rFonts w:hAnsi="標楷體" w:cs="Times New Roman"/>
                <w:color w:val="000000" w:themeColor="text1"/>
                <w:sz w:val="24"/>
                <w:szCs w:val="24"/>
              </w:rPr>
              <w:lastRenderedPageBreak/>
              <w:t>八條及第一百五十六</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修正重點：死刑定</w:t>
            </w:r>
            <w:proofErr w:type="gramStart"/>
            <w:r w:rsidRPr="001B6E4D">
              <w:rPr>
                <w:rFonts w:hAnsi="標楷體" w:cs="Times New Roman"/>
                <w:color w:val="000000" w:themeColor="text1"/>
                <w:sz w:val="24"/>
                <w:szCs w:val="24"/>
              </w:rPr>
              <w:t>讞</w:t>
            </w:r>
            <w:proofErr w:type="gramEnd"/>
            <w:r w:rsidRPr="001B6E4D">
              <w:rPr>
                <w:rFonts w:hAnsi="標楷體" w:cs="Times New Roman"/>
                <w:color w:val="000000" w:themeColor="text1"/>
                <w:sz w:val="24"/>
                <w:szCs w:val="24"/>
              </w:rPr>
              <w:t>待執行之收容期間</w:t>
            </w:r>
            <w:proofErr w:type="gramStart"/>
            <w:r w:rsidRPr="001B6E4D">
              <w:rPr>
                <w:rFonts w:hAnsi="標楷體" w:cs="Times New Roman"/>
                <w:color w:val="000000" w:themeColor="text1"/>
                <w:sz w:val="24"/>
                <w:szCs w:val="24"/>
              </w:rPr>
              <w:t>不應折抵</w:t>
            </w:r>
            <w:proofErr w:type="gramEnd"/>
            <w:r w:rsidRPr="001B6E4D">
              <w:rPr>
                <w:rFonts w:hAnsi="標楷體" w:cs="Times New Roman"/>
                <w:color w:val="000000" w:themeColor="text1"/>
                <w:sz w:val="24"/>
                <w:szCs w:val="24"/>
              </w:rPr>
              <w:t>有期徒刑、拘役、罰金或拘束人身自由之保安處分，亦不應納入計算假釋門檻之徒刑執行期間。）</w:t>
            </w:r>
          </w:p>
        </w:tc>
        <w:tc>
          <w:tcPr>
            <w:tcW w:w="1139" w:type="pct"/>
          </w:tcPr>
          <w:p w14:paraId="633F9C0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委員王義川</w:t>
            </w:r>
          </w:p>
          <w:p w14:paraId="1A529BC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等17人</w:t>
            </w:r>
          </w:p>
          <w:p w14:paraId="6E2F013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114.11.28</w:t>
            </w:r>
          </w:p>
          <w:p w14:paraId="573C1217" w14:textId="1C4DEE8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（11-4-11）</w:t>
            </w:r>
          </w:p>
        </w:tc>
        <w:tc>
          <w:tcPr>
            <w:tcW w:w="928" w:type="pct"/>
          </w:tcPr>
          <w:p w14:paraId="368EDA64" w14:textId="74C555C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5178F38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824926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115.7.8</w:t>
            </w:r>
          </w:p>
          <w:p w14:paraId="215D0699" w14:textId="1E10A6D9"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(11-5-24)報告及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536BE785" w14:textId="77777777" w:rsidTr="0086120E">
        <w:tc>
          <w:tcPr>
            <w:tcW w:w="356" w:type="pct"/>
          </w:tcPr>
          <w:p w14:paraId="2D37102D" w14:textId="6D9DB48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279</w:t>
            </w:r>
          </w:p>
        </w:tc>
        <w:tc>
          <w:tcPr>
            <w:tcW w:w="1709" w:type="pct"/>
          </w:tcPr>
          <w:p w14:paraId="347467F7" w14:textId="562294E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4.監獄行刑法第一百四十八條及第一百五十六</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修正重點：死刑定</w:t>
            </w:r>
            <w:proofErr w:type="gramStart"/>
            <w:r w:rsidRPr="001B6E4D">
              <w:rPr>
                <w:rFonts w:hAnsi="標楷體" w:cs="Times New Roman"/>
                <w:color w:val="000000" w:themeColor="text1"/>
                <w:sz w:val="24"/>
                <w:szCs w:val="24"/>
              </w:rPr>
              <w:t>讞</w:t>
            </w:r>
            <w:proofErr w:type="gramEnd"/>
            <w:r w:rsidRPr="001B6E4D">
              <w:rPr>
                <w:rFonts w:hAnsi="標楷體" w:cs="Times New Roman"/>
                <w:color w:val="000000" w:themeColor="text1"/>
                <w:sz w:val="24"/>
                <w:szCs w:val="24"/>
              </w:rPr>
              <w:t>經撤銷改判者，收容期間不得折抵任何刑罰或保安處分，亦不納入假釋門檻。）</w:t>
            </w:r>
          </w:p>
        </w:tc>
        <w:tc>
          <w:tcPr>
            <w:tcW w:w="1139" w:type="pct"/>
          </w:tcPr>
          <w:p w14:paraId="07B6315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委員吳思瑤</w:t>
            </w:r>
          </w:p>
          <w:p w14:paraId="738E9F0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4177CEFF"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114.12.05</w:t>
            </w:r>
          </w:p>
          <w:p w14:paraId="70C52B7F" w14:textId="2C4CE56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w:t>
            </w:r>
          </w:p>
        </w:tc>
        <w:tc>
          <w:tcPr>
            <w:tcW w:w="928" w:type="pct"/>
          </w:tcPr>
          <w:p w14:paraId="57228CE3" w14:textId="1D0A69CE"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389CA3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481EA92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115.7.8</w:t>
            </w:r>
          </w:p>
          <w:p w14:paraId="6383D414" w14:textId="5B4BC72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(11-5-24)報告及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38713801" w14:textId="77777777" w:rsidTr="0086120E">
        <w:tc>
          <w:tcPr>
            <w:tcW w:w="356" w:type="pct"/>
          </w:tcPr>
          <w:p w14:paraId="7094C2C9" w14:textId="6A7E536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280</w:t>
            </w:r>
          </w:p>
        </w:tc>
        <w:tc>
          <w:tcPr>
            <w:tcW w:w="1709" w:type="pct"/>
          </w:tcPr>
          <w:p w14:paraId="16019E9F" w14:textId="0B529CD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5.監獄行刑法第六十三</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修正重點：杜絕保外就醫逃逸犯罪，增訂科技設備監控法源。）</w:t>
            </w:r>
          </w:p>
        </w:tc>
        <w:tc>
          <w:tcPr>
            <w:tcW w:w="1139" w:type="pct"/>
          </w:tcPr>
          <w:p w14:paraId="7B57B8B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6F5587A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F41658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114.12.12</w:t>
            </w:r>
          </w:p>
          <w:p w14:paraId="572EE824" w14:textId="4AE1133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（11-4-13）</w:t>
            </w:r>
          </w:p>
        </w:tc>
        <w:tc>
          <w:tcPr>
            <w:tcW w:w="928" w:type="pct"/>
          </w:tcPr>
          <w:p w14:paraId="3D8C97A0" w14:textId="37AABB4F"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BE0A47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6412FA4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115.7.8</w:t>
            </w:r>
          </w:p>
          <w:p w14:paraId="55A1BA34" w14:textId="4717FF0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(11-5-24)報告及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2875DAB4" w14:textId="77777777" w:rsidTr="0086120E">
        <w:tc>
          <w:tcPr>
            <w:tcW w:w="356" w:type="pct"/>
          </w:tcPr>
          <w:p w14:paraId="05251914" w14:textId="4C53F186"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281</w:t>
            </w:r>
          </w:p>
        </w:tc>
        <w:tc>
          <w:tcPr>
            <w:tcW w:w="1709" w:type="pct"/>
          </w:tcPr>
          <w:p w14:paraId="7B3FB9F4" w14:textId="4B657C1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6.監獄行刑法第一百四十八條及第一百五十六</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修正重點：死刑定</w:t>
            </w:r>
            <w:proofErr w:type="gramStart"/>
            <w:r w:rsidRPr="001B6E4D">
              <w:rPr>
                <w:rFonts w:hAnsi="標楷體" w:cs="Times New Roman"/>
                <w:color w:val="000000" w:themeColor="text1"/>
                <w:sz w:val="24"/>
                <w:szCs w:val="24"/>
              </w:rPr>
              <w:t>讞</w:t>
            </w:r>
            <w:proofErr w:type="gramEnd"/>
            <w:r w:rsidRPr="001B6E4D">
              <w:rPr>
                <w:rFonts w:hAnsi="標楷體" w:cs="Times New Roman"/>
                <w:color w:val="000000" w:themeColor="text1"/>
                <w:sz w:val="24"/>
                <w:szCs w:val="24"/>
              </w:rPr>
              <w:t>經撤銷改判者，其收容日數以一日抵一日折抵刑期或罰金。）</w:t>
            </w:r>
          </w:p>
        </w:tc>
        <w:tc>
          <w:tcPr>
            <w:tcW w:w="1139" w:type="pct"/>
          </w:tcPr>
          <w:p w14:paraId="0F576DF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委員徐欣瑩</w:t>
            </w:r>
          </w:p>
          <w:p w14:paraId="2822086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3CAA0ED2"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114.12.26</w:t>
            </w:r>
          </w:p>
          <w:p w14:paraId="56CDAD7D" w14:textId="6307643B"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（11-4-15）</w:t>
            </w:r>
          </w:p>
        </w:tc>
        <w:tc>
          <w:tcPr>
            <w:tcW w:w="928" w:type="pct"/>
          </w:tcPr>
          <w:p w14:paraId="2B858B53" w14:textId="2D9D126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DD7297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425EC1B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115.7.8</w:t>
            </w:r>
          </w:p>
          <w:p w14:paraId="3D3EACBE" w14:textId="4839D974"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(11-5-24)報告及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0A7F912C" w14:textId="77777777" w:rsidTr="0086120E">
        <w:tc>
          <w:tcPr>
            <w:tcW w:w="356" w:type="pct"/>
          </w:tcPr>
          <w:p w14:paraId="79FA8F40" w14:textId="5AF0EF2B"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282</w:t>
            </w:r>
          </w:p>
        </w:tc>
        <w:tc>
          <w:tcPr>
            <w:tcW w:w="1709" w:type="pct"/>
          </w:tcPr>
          <w:p w14:paraId="1C569625" w14:textId="6814289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7.監獄行刑法部分條文修正草案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修正§19、63、134、156。修正重點：「衰老」修正為「高齡、失能」；增訂「接受適當之科技設備監控」作為保外醫治核准條件；調整行政訴訟管轄法院。）</w:t>
            </w:r>
          </w:p>
        </w:tc>
        <w:tc>
          <w:tcPr>
            <w:tcW w:w="1139" w:type="pct"/>
          </w:tcPr>
          <w:p w14:paraId="6865751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17496CC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76DE4F4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115.03.13</w:t>
            </w:r>
          </w:p>
          <w:p w14:paraId="40CAC1B6" w14:textId="499439D9"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（11-5-3）</w:t>
            </w:r>
          </w:p>
        </w:tc>
        <w:tc>
          <w:tcPr>
            <w:tcW w:w="928" w:type="pct"/>
          </w:tcPr>
          <w:p w14:paraId="3D764CC4" w14:textId="567C18C4"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1CEF65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2BCE1B7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115.7.8</w:t>
            </w:r>
          </w:p>
          <w:p w14:paraId="7E6BD962" w14:textId="1D014BD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(11-5-24)報告及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259AD346" w14:textId="77777777" w:rsidTr="0086120E">
        <w:tc>
          <w:tcPr>
            <w:tcW w:w="356" w:type="pct"/>
          </w:tcPr>
          <w:p w14:paraId="7B400003" w14:textId="3FA7DA27"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283</w:t>
            </w:r>
          </w:p>
        </w:tc>
        <w:tc>
          <w:tcPr>
            <w:tcW w:w="1709" w:type="pct"/>
          </w:tcPr>
          <w:p w14:paraId="614D5B9D" w14:textId="2568ED13"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8.監獄行刑法部分條文修正草案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修正第三章章名、§19、134、148、</w:t>
            </w:r>
            <w:r w:rsidRPr="001B6E4D">
              <w:rPr>
                <w:rFonts w:hAnsi="標楷體" w:cs="Times New Roman"/>
                <w:color w:val="000000" w:themeColor="text1"/>
                <w:sz w:val="24"/>
                <w:szCs w:val="24"/>
              </w:rPr>
              <w:lastRenderedPageBreak/>
              <w:t>156。修正重點：「衰老」修正為「高齡、失能」；配合行政訴訟新制調整管轄法院；死刑定</w:t>
            </w:r>
            <w:proofErr w:type="gramStart"/>
            <w:r w:rsidRPr="001B6E4D">
              <w:rPr>
                <w:rFonts w:hAnsi="標楷體" w:cs="Times New Roman"/>
                <w:color w:val="000000" w:themeColor="text1"/>
                <w:sz w:val="24"/>
                <w:szCs w:val="24"/>
              </w:rPr>
              <w:t>讞</w:t>
            </w:r>
            <w:proofErr w:type="gramEnd"/>
            <w:r w:rsidRPr="001B6E4D">
              <w:rPr>
                <w:rFonts w:hAnsi="標楷體" w:cs="Times New Roman"/>
                <w:color w:val="000000" w:themeColor="text1"/>
                <w:sz w:val="24"/>
                <w:szCs w:val="24"/>
              </w:rPr>
              <w:t>待執行之收容期間不得折抵有期徒刑、拘役、罰金或拘束人身自由之保安處分，亦不算入假釋門檻。）</w:t>
            </w:r>
          </w:p>
        </w:tc>
        <w:tc>
          <w:tcPr>
            <w:tcW w:w="1139" w:type="pct"/>
          </w:tcPr>
          <w:p w14:paraId="455BC2C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委員邱鎮軍</w:t>
            </w:r>
          </w:p>
          <w:p w14:paraId="6C4B193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1813282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6FC07EDB" w14:textId="31F90E0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（11-5-6）</w:t>
            </w:r>
          </w:p>
        </w:tc>
        <w:tc>
          <w:tcPr>
            <w:tcW w:w="928" w:type="pct"/>
          </w:tcPr>
          <w:p w14:paraId="46CF9C2E" w14:textId="3A9D0268"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68" w:type="pct"/>
          </w:tcPr>
          <w:p w14:paraId="3472290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1A9C8B7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115.7.8</w:t>
            </w:r>
          </w:p>
          <w:p w14:paraId="25A77E09" w14:textId="029F4E98"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(11-5-24)報</w:t>
            </w:r>
            <w:r w:rsidRPr="001B6E4D">
              <w:rPr>
                <w:rFonts w:ascii="標楷體" w:eastAsia="標楷體" w:hAnsi="標楷體"/>
                <w:color w:val="000000" w:themeColor="text1"/>
                <w:sz w:val="24"/>
              </w:rPr>
              <w:lastRenderedPageBreak/>
              <w:t>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1992A195" w14:textId="77777777" w:rsidTr="0086120E">
        <w:tc>
          <w:tcPr>
            <w:tcW w:w="356" w:type="pct"/>
          </w:tcPr>
          <w:p w14:paraId="27D9194A" w14:textId="294D982A"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284</w:t>
            </w:r>
          </w:p>
        </w:tc>
        <w:tc>
          <w:tcPr>
            <w:tcW w:w="1709" w:type="pct"/>
          </w:tcPr>
          <w:p w14:paraId="4EABF1CA" w14:textId="20D33E3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9.監獄行刑法部分條文修正草案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19、63、116、134、156。修正重點：「衰老」修正為「高齡、失能」；檢察官得命受刑人於保外醫治期間接受適當科技設備監控；假釋審查將被害人或其遺屬之陳述意見明文納入法律規定；修正受刑人對假釋相關處分提起行政訴訟之管轄法院文字。）</w:t>
            </w:r>
          </w:p>
        </w:tc>
        <w:tc>
          <w:tcPr>
            <w:tcW w:w="1139" w:type="pct"/>
          </w:tcPr>
          <w:p w14:paraId="63070F09"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20D8AF8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等19人</w:t>
            </w:r>
          </w:p>
          <w:p w14:paraId="33D3818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115.04.17</w:t>
            </w:r>
          </w:p>
          <w:p w14:paraId="3567BE48" w14:textId="541DC31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w:t>
            </w:r>
          </w:p>
        </w:tc>
        <w:tc>
          <w:tcPr>
            <w:tcW w:w="928" w:type="pct"/>
          </w:tcPr>
          <w:p w14:paraId="67FB9936" w14:textId="14D1D3B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50B3300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05473B2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115.7.8</w:t>
            </w:r>
          </w:p>
          <w:p w14:paraId="3A318A47" w14:textId="18B4947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(11-5-24)報告及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1A870445" w14:textId="77777777" w:rsidTr="0086120E">
        <w:tc>
          <w:tcPr>
            <w:tcW w:w="356" w:type="pct"/>
          </w:tcPr>
          <w:p w14:paraId="0A519FA1" w14:textId="48BB873C"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285</w:t>
            </w:r>
          </w:p>
        </w:tc>
        <w:tc>
          <w:tcPr>
            <w:tcW w:w="1709" w:type="pct"/>
          </w:tcPr>
          <w:p w14:paraId="78659696" w14:textId="5D3FDD2A"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10.監獄行刑法部分條文修正草案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修正第三章章名、§19、134、148、156。修正重點：「衰老」修正為「高齡、失能」；調整行政訴訟管轄法院；死刑定</w:t>
            </w:r>
            <w:proofErr w:type="gramStart"/>
            <w:r w:rsidRPr="001B6E4D">
              <w:rPr>
                <w:rFonts w:hAnsi="標楷體" w:cs="Times New Roman"/>
                <w:color w:val="000000" w:themeColor="text1"/>
                <w:sz w:val="24"/>
                <w:szCs w:val="24"/>
              </w:rPr>
              <w:t>讞</w:t>
            </w:r>
            <w:proofErr w:type="gramEnd"/>
            <w:r w:rsidRPr="001B6E4D">
              <w:rPr>
                <w:rFonts w:hAnsi="標楷體" w:cs="Times New Roman"/>
                <w:color w:val="000000" w:themeColor="text1"/>
                <w:sz w:val="24"/>
                <w:szCs w:val="24"/>
              </w:rPr>
              <w:t>待執行期間之收容，不得折抵有期徒刑、拘役、罰金或限制人身自由之保安處分，亦不應計入假釋門檻之徒刑執行期間。）</w:t>
            </w:r>
          </w:p>
        </w:tc>
        <w:tc>
          <w:tcPr>
            <w:tcW w:w="1139" w:type="pct"/>
          </w:tcPr>
          <w:p w14:paraId="7614825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委員羅智強</w:t>
            </w:r>
          </w:p>
          <w:p w14:paraId="0BD8A3D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111221F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115.04.24</w:t>
            </w:r>
          </w:p>
          <w:p w14:paraId="6C4EF40C" w14:textId="7FAE80D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w:t>
            </w:r>
          </w:p>
        </w:tc>
        <w:tc>
          <w:tcPr>
            <w:tcW w:w="928" w:type="pct"/>
          </w:tcPr>
          <w:p w14:paraId="2BF55E6E" w14:textId="649165BC"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8F8CEF7"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3C28A24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115.7.8</w:t>
            </w:r>
          </w:p>
          <w:p w14:paraId="7F34755A" w14:textId="7DE5B79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(11-5-24)報告及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tc>
      </w:tr>
      <w:tr w:rsidR="00FC42F6" w:rsidRPr="001B6E4D" w14:paraId="66D07BD4" w14:textId="77777777" w:rsidTr="0086120E">
        <w:tc>
          <w:tcPr>
            <w:tcW w:w="356" w:type="pct"/>
          </w:tcPr>
          <w:p w14:paraId="5919EC16" w14:textId="672B6B60"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286</w:t>
            </w:r>
          </w:p>
        </w:tc>
        <w:tc>
          <w:tcPr>
            <w:tcW w:w="1709" w:type="pct"/>
          </w:tcPr>
          <w:p w14:paraId="5282E521" w14:textId="07C32948"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11.監獄行刑法部分條文修正草案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修正§19、134、148、156。修正重點：「衰老」修正為「高齡、失能」；修正管轄法院名稱；明定死刑定</w:t>
            </w:r>
            <w:proofErr w:type="gramStart"/>
            <w:r w:rsidRPr="001B6E4D">
              <w:rPr>
                <w:rFonts w:hAnsi="標楷體" w:cs="Times New Roman"/>
                <w:color w:val="000000" w:themeColor="text1"/>
                <w:sz w:val="24"/>
                <w:szCs w:val="24"/>
              </w:rPr>
              <w:t>讞</w:t>
            </w:r>
            <w:proofErr w:type="gramEnd"/>
            <w:r w:rsidRPr="001B6E4D">
              <w:rPr>
                <w:rFonts w:hAnsi="標楷體" w:cs="Times New Roman"/>
                <w:color w:val="000000" w:themeColor="text1"/>
                <w:sz w:val="24"/>
                <w:szCs w:val="24"/>
              </w:rPr>
              <w:t>經撤銷</w:t>
            </w:r>
            <w:r w:rsidRPr="001B6E4D">
              <w:rPr>
                <w:rFonts w:hAnsi="標楷體" w:cs="Times New Roman"/>
                <w:color w:val="000000" w:themeColor="text1"/>
                <w:sz w:val="24"/>
                <w:szCs w:val="24"/>
              </w:rPr>
              <w:lastRenderedPageBreak/>
              <w:t>改判者，其待執行收容期間不得折抵有期徒刑、拘役、罰金或拘束人身自由之保安處分，亦不計入假釋門檻。）</w:t>
            </w:r>
          </w:p>
        </w:tc>
        <w:tc>
          <w:tcPr>
            <w:tcW w:w="1139" w:type="pct"/>
          </w:tcPr>
          <w:p w14:paraId="651355B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委員許宇</w:t>
            </w:r>
            <w:proofErr w:type="gramStart"/>
            <w:r w:rsidRPr="001B6E4D">
              <w:rPr>
                <w:rFonts w:ascii="標楷體" w:eastAsia="標楷體" w:hAnsi="標楷體"/>
                <w:color w:val="000000" w:themeColor="text1"/>
                <w:sz w:val="24"/>
              </w:rPr>
              <w:t>甄</w:t>
            </w:r>
            <w:proofErr w:type="gramEnd"/>
          </w:p>
          <w:p w14:paraId="31CD48C5"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2B6D72E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115.07.31</w:t>
            </w:r>
          </w:p>
          <w:p w14:paraId="029CF45D" w14:textId="20DCD5E4"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（11-5-20）</w:t>
            </w:r>
          </w:p>
        </w:tc>
        <w:tc>
          <w:tcPr>
            <w:tcW w:w="928" w:type="pct"/>
          </w:tcPr>
          <w:p w14:paraId="5A57514D" w14:textId="53064F7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2D6D5AF" w14:textId="34244913"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8ED59E7" w14:textId="77777777" w:rsidTr="0086120E">
        <w:tc>
          <w:tcPr>
            <w:tcW w:w="356" w:type="pct"/>
          </w:tcPr>
          <w:p w14:paraId="7F7CC215" w14:textId="749EE0E9"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287</w:t>
            </w:r>
          </w:p>
        </w:tc>
        <w:tc>
          <w:tcPr>
            <w:tcW w:w="1709" w:type="pct"/>
          </w:tcPr>
          <w:p w14:paraId="702E9903" w14:textId="0E274BC0"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1.洗錢防制法第二十二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修正重點：告誡戶如經不起訴確定，原裁處機關得依</w:t>
            </w:r>
            <w:proofErr w:type="gramStart"/>
            <w:r w:rsidRPr="001B6E4D">
              <w:rPr>
                <w:rFonts w:hAnsi="標楷體" w:cs="Times New Roman"/>
                <w:color w:val="000000" w:themeColor="text1"/>
                <w:sz w:val="24"/>
                <w:szCs w:val="24"/>
              </w:rPr>
              <w:t>不</w:t>
            </w:r>
            <w:proofErr w:type="gramEnd"/>
            <w:r w:rsidRPr="001B6E4D">
              <w:rPr>
                <w:rFonts w:hAnsi="標楷體" w:cs="Times New Roman"/>
                <w:color w:val="000000" w:themeColor="text1"/>
                <w:sz w:val="24"/>
                <w:szCs w:val="24"/>
              </w:rPr>
              <w:t>起訴書撤銷告誡。）</w:t>
            </w:r>
          </w:p>
        </w:tc>
        <w:tc>
          <w:tcPr>
            <w:tcW w:w="1139" w:type="pct"/>
          </w:tcPr>
          <w:p w14:paraId="1491B70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委員王鴻薇</w:t>
            </w:r>
          </w:p>
          <w:p w14:paraId="35275CD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4220662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115.05.29</w:t>
            </w:r>
          </w:p>
          <w:p w14:paraId="46B0EBD2" w14:textId="6FFC217C"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（11-5-12）</w:t>
            </w:r>
          </w:p>
        </w:tc>
        <w:tc>
          <w:tcPr>
            <w:tcW w:w="928" w:type="pct"/>
          </w:tcPr>
          <w:p w14:paraId="0C53A824" w14:textId="369D962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0066202F" w14:textId="5695EC45"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04BAAE54" w14:textId="77777777" w:rsidTr="0086120E">
        <w:tc>
          <w:tcPr>
            <w:tcW w:w="356" w:type="pct"/>
          </w:tcPr>
          <w:p w14:paraId="0F42CCD1" w14:textId="08BE90EE"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288</w:t>
            </w:r>
          </w:p>
        </w:tc>
        <w:tc>
          <w:tcPr>
            <w:tcW w:w="1709" w:type="pct"/>
          </w:tcPr>
          <w:p w14:paraId="10B81916" w14:textId="11CAA7B9"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2.洗錢防制法第二十二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修正重點：受告誡者獲不起訴處分確定時，得請求原裁處機關撤銷告誡。）</w:t>
            </w:r>
          </w:p>
        </w:tc>
        <w:tc>
          <w:tcPr>
            <w:tcW w:w="1139" w:type="pct"/>
          </w:tcPr>
          <w:p w14:paraId="26910C9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259CF963"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1218207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115.05.29</w:t>
            </w:r>
          </w:p>
          <w:p w14:paraId="01A72C73" w14:textId="42A20C02"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（11-5-12）</w:t>
            </w:r>
          </w:p>
        </w:tc>
        <w:tc>
          <w:tcPr>
            <w:tcW w:w="928" w:type="pct"/>
          </w:tcPr>
          <w:p w14:paraId="0560E7E3" w14:textId="5DB38AF5"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1AC941A" w14:textId="4BE6B7D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5A41BD22" w14:textId="77777777" w:rsidTr="0086120E">
        <w:tc>
          <w:tcPr>
            <w:tcW w:w="356" w:type="pct"/>
          </w:tcPr>
          <w:p w14:paraId="4756096E" w14:textId="2701B3D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289</w:t>
            </w:r>
          </w:p>
        </w:tc>
        <w:tc>
          <w:tcPr>
            <w:tcW w:w="1709" w:type="pct"/>
          </w:tcPr>
          <w:p w14:paraId="4AB496C1" w14:textId="075D2DEE"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3.洗錢防制法第二十二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修正重點：受告誡處分之人民於獲不起訴處分或無罪判決確定後，得申請撤銷告誡。）</w:t>
            </w:r>
          </w:p>
        </w:tc>
        <w:tc>
          <w:tcPr>
            <w:tcW w:w="1139" w:type="pct"/>
          </w:tcPr>
          <w:p w14:paraId="1CB7A96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委員林思銘</w:t>
            </w:r>
          </w:p>
          <w:p w14:paraId="4CE99E4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3969811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115.06.05</w:t>
            </w:r>
          </w:p>
          <w:p w14:paraId="0D084322" w14:textId="1F8A999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（11-5-13）</w:t>
            </w:r>
          </w:p>
        </w:tc>
        <w:tc>
          <w:tcPr>
            <w:tcW w:w="928" w:type="pct"/>
          </w:tcPr>
          <w:p w14:paraId="11041ABD" w14:textId="2332F2D9"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65827EA7" w14:textId="749B4320"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F00EB42" w14:textId="77777777" w:rsidTr="0086120E">
        <w:tc>
          <w:tcPr>
            <w:tcW w:w="356" w:type="pct"/>
          </w:tcPr>
          <w:p w14:paraId="7768358E" w14:textId="014E0644"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290</w:t>
            </w:r>
          </w:p>
        </w:tc>
        <w:tc>
          <w:tcPr>
            <w:tcW w:w="1709" w:type="pct"/>
          </w:tcPr>
          <w:p w14:paraId="73DB850A" w14:textId="29531687"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4.洗錢防制法第二十二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修正重點：明定帳戶、帳號之認定基準，暫停、限制功能或</w:t>
            </w:r>
            <w:proofErr w:type="gramStart"/>
            <w:r w:rsidRPr="001B6E4D">
              <w:rPr>
                <w:rFonts w:hAnsi="標楷體" w:cs="Times New Roman"/>
                <w:color w:val="000000" w:themeColor="text1"/>
                <w:sz w:val="24"/>
                <w:szCs w:val="24"/>
              </w:rPr>
              <w:t>逕</w:t>
            </w:r>
            <w:proofErr w:type="gramEnd"/>
            <w:r w:rsidRPr="001B6E4D">
              <w:rPr>
                <w:rFonts w:hAnsi="標楷體" w:cs="Times New Roman"/>
                <w:color w:val="000000" w:themeColor="text1"/>
                <w:sz w:val="24"/>
                <w:szCs w:val="24"/>
              </w:rPr>
              <w:t>予關閉之撤銷辦法，由法務部會同中央目的事業主管機關定之。）</w:t>
            </w:r>
          </w:p>
        </w:tc>
        <w:tc>
          <w:tcPr>
            <w:tcW w:w="1139" w:type="pct"/>
          </w:tcPr>
          <w:p w14:paraId="7393F8E1"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0EBFD228"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等22人</w:t>
            </w:r>
          </w:p>
          <w:p w14:paraId="6FEDEE8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115.06.12</w:t>
            </w:r>
          </w:p>
          <w:p w14:paraId="478BC599" w14:textId="15E441A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（11-5-14）</w:t>
            </w:r>
          </w:p>
        </w:tc>
        <w:tc>
          <w:tcPr>
            <w:tcW w:w="928" w:type="pct"/>
          </w:tcPr>
          <w:p w14:paraId="582846E3" w14:textId="70B87046"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1C34572C" w14:textId="6EB812E1"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08D29FC" w14:textId="77777777" w:rsidTr="0086120E">
        <w:tc>
          <w:tcPr>
            <w:tcW w:w="356" w:type="pct"/>
          </w:tcPr>
          <w:p w14:paraId="618A831B" w14:textId="2290A24F"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291</w:t>
            </w:r>
          </w:p>
        </w:tc>
        <w:tc>
          <w:tcPr>
            <w:tcW w:w="1709" w:type="pct"/>
          </w:tcPr>
          <w:p w14:paraId="19D4875D" w14:textId="21AF6A8C"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5.洗錢防制法第二十二</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修正重點：受告誡處分之人，獲不起訴處分或無罪判決確定，得向原裁處機關請求撤銷告誡。）</w:t>
            </w:r>
          </w:p>
        </w:tc>
        <w:tc>
          <w:tcPr>
            <w:tcW w:w="1139" w:type="pct"/>
          </w:tcPr>
          <w:p w14:paraId="6197390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017395EB"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115.07.14</w:t>
            </w:r>
          </w:p>
          <w:p w14:paraId="0959CB7D" w14:textId="4A4AF9B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（11-5-17）</w:t>
            </w:r>
          </w:p>
        </w:tc>
        <w:tc>
          <w:tcPr>
            <w:tcW w:w="928" w:type="pct"/>
          </w:tcPr>
          <w:p w14:paraId="54E01F93" w14:textId="395AB4CD"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352827D7" w14:textId="67D7012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438EAC11" w14:textId="77777777" w:rsidTr="0086120E">
        <w:tc>
          <w:tcPr>
            <w:tcW w:w="356" w:type="pct"/>
          </w:tcPr>
          <w:p w14:paraId="6642EC74" w14:textId="536BE755"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292</w:t>
            </w:r>
          </w:p>
        </w:tc>
        <w:tc>
          <w:tcPr>
            <w:tcW w:w="1709" w:type="pct"/>
          </w:tcPr>
          <w:p w14:paraId="307603D2" w14:textId="6D969BF1"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洗錢防制法部分條文修正草案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修正§3、5、8；增訂§4-1、13-1~2。修正重點：將未依法登記、登錄</w:t>
            </w:r>
            <w:r w:rsidRPr="001B6E4D">
              <w:rPr>
                <w:rFonts w:hAnsi="標楷體" w:cs="Times New Roman"/>
                <w:color w:val="000000" w:themeColor="text1"/>
                <w:sz w:val="24"/>
                <w:szCs w:val="24"/>
              </w:rPr>
              <w:lastRenderedPageBreak/>
              <w:t>或未經許可經營之虛擬資產、第三方支付服務業等犯罪，納入洗錢特定犯罪範圍；明確規範實質受益人；建立跨機關資訊共享，以及金融機構與虛擬資產服務</w:t>
            </w:r>
            <w:proofErr w:type="gramStart"/>
            <w:r w:rsidRPr="001B6E4D">
              <w:rPr>
                <w:rFonts w:hAnsi="標楷體" w:cs="Times New Roman"/>
                <w:color w:val="000000" w:themeColor="text1"/>
                <w:sz w:val="24"/>
                <w:szCs w:val="24"/>
              </w:rPr>
              <w:t>業者間的照會</w:t>
            </w:r>
            <w:proofErr w:type="gramEnd"/>
            <w:r w:rsidRPr="001B6E4D">
              <w:rPr>
                <w:rFonts w:hAnsi="標楷體" w:cs="Times New Roman"/>
                <w:color w:val="000000" w:themeColor="text1"/>
                <w:sz w:val="24"/>
                <w:szCs w:val="24"/>
              </w:rPr>
              <w:t>機制。）</w:t>
            </w:r>
          </w:p>
        </w:tc>
        <w:tc>
          <w:tcPr>
            <w:tcW w:w="1139" w:type="pct"/>
          </w:tcPr>
          <w:p w14:paraId="45E9544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行政院</w:t>
            </w:r>
          </w:p>
          <w:p w14:paraId="23520414"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115.08.21</w:t>
            </w:r>
          </w:p>
          <w:p w14:paraId="3A7D556C" w14:textId="1C732B2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（11-5-23）</w:t>
            </w:r>
          </w:p>
        </w:tc>
        <w:tc>
          <w:tcPr>
            <w:tcW w:w="928" w:type="pct"/>
          </w:tcPr>
          <w:p w14:paraId="7542EAAB" w14:textId="094BB112"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331AB8B" w14:textId="37D4A59A"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61E6EEBB" w14:textId="77777777" w:rsidTr="0086120E">
        <w:tc>
          <w:tcPr>
            <w:tcW w:w="356" w:type="pct"/>
          </w:tcPr>
          <w:p w14:paraId="19360866" w14:textId="736172D8"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293</w:t>
            </w:r>
          </w:p>
        </w:tc>
        <w:tc>
          <w:tcPr>
            <w:tcW w:w="1709" w:type="pct"/>
          </w:tcPr>
          <w:p w14:paraId="48ECDE3C" w14:textId="7C7FAC6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1.行政程序法第一百十七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修正重點：賦與人民申請行政機關撤銷違法處分之權利。）</w:t>
            </w:r>
          </w:p>
        </w:tc>
        <w:tc>
          <w:tcPr>
            <w:tcW w:w="1139" w:type="pct"/>
          </w:tcPr>
          <w:p w14:paraId="49069110"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委員邱志偉</w:t>
            </w:r>
          </w:p>
          <w:p w14:paraId="1BF7E6F6"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0641E2C"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115.06.26</w:t>
            </w:r>
          </w:p>
          <w:p w14:paraId="421691F1" w14:textId="6BE6374D"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（11-5-15）</w:t>
            </w:r>
          </w:p>
        </w:tc>
        <w:tc>
          <w:tcPr>
            <w:tcW w:w="928" w:type="pct"/>
          </w:tcPr>
          <w:p w14:paraId="76E9A4D6" w14:textId="79E48373"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7C65A138" w14:textId="4E93C3F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FC42F6" w:rsidRPr="001B6E4D" w14:paraId="1B9DD7FC" w14:textId="77777777" w:rsidTr="0086120E">
        <w:tc>
          <w:tcPr>
            <w:tcW w:w="356" w:type="pct"/>
          </w:tcPr>
          <w:p w14:paraId="3445B6D9" w14:textId="11739313" w:rsidR="00FC42F6" w:rsidRPr="001B6E4D" w:rsidRDefault="00FC42F6" w:rsidP="003D1018">
            <w:pPr>
              <w:overflowPunct w:val="0"/>
              <w:spacing w:line="360" w:lineRule="exact"/>
              <w:jc w:val="center"/>
              <w:rPr>
                <w:rFonts w:ascii="標楷體" w:eastAsia="標楷體" w:hAnsi="標楷體"/>
                <w:color w:val="000000" w:themeColor="text1"/>
                <w:sz w:val="24"/>
              </w:rPr>
            </w:pPr>
            <w:r w:rsidRPr="001B6E4D">
              <w:rPr>
                <w:rFonts w:ascii="標楷體" w:eastAsia="標楷體" w:hAnsi="標楷體"/>
                <w:color w:val="000000" w:themeColor="text1"/>
                <w:sz w:val="24"/>
              </w:rPr>
              <w:t>294</w:t>
            </w:r>
          </w:p>
        </w:tc>
        <w:tc>
          <w:tcPr>
            <w:tcW w:w="1709" w:type="pct"/>
          </w:tcPr>
          <w:p w14:paraId="71847866" w14:textId="19DE000B" w:rsidR="00FC42F6" w:rsidRPr="001B6E4D" w:rsidRDefault="00FC42F6"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2.行政程序法第一百十七</w:t>
            </w:r>
            <w:proofErr w:type="gramStart"/>
            <w:r w:rsidRPr="001B6E4D">
              <w:rPr>
                <w:rFonts w:hAnsi="標楷體" w:cs="Times New Roman"/>
                <w:color w:val="000000" w:themeColor="text1"/>
                <w:sz w:val="24"/>
                <w:szCs w:val="24"/>
              </w:rPr>
              <w:t>條</w:t>
            </w:r>
            <w:proofErr w:type="gramEnd"/>
            <w:r w:rsidRPr="001B6E4D">
              <w:rPr>
                <w:rFonts w:hAnsi="標楷體" w:cs="Times New Roman"/>
                <w:color w:val="000000" w:themeColor="text1"/>
                <w:sz w:val="24"/>
                <w:szCs w:val="24"/>
              </w:rPr>
              <w:t>條文修正草案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修正重點：原處分</w:t>
            </w:r>
            <w:proofErr w:type="gramStart"/>
            <w:r w:rsidRPr="001B6E4D">
              <w:rPr>
                <w:rFonts w:hAnsi="標楷體" w:cs="Times New Roman"/>
                <w:color w:val="000000" w:themeColor="text1"/>
                <w:sz w:val="24"/>
                <w:szCs w:val="24"/>
              </w:rPr>
              <w:t>機關均得隨時</w:t>
            </w:r>
            <w:proofErr w:type="gramEnd"/>
            <w:r w:rsidRPr="001B6E4D">
              <w:rPr>
                <w:rFonts w:hAnsi="標楷體" w:cs="Times New Roman"/>
                <w:color w:val="000000" w:themeColor="text1"/>
                <w:sz w:val="24"/>
                <w:szCs w:val="24"/>
              </w:rPr>
              <w:t>依職權對原處分為全部或一部之撤銷；完善上級機關職權撤銷之要件、違法行政處分撤銷與否之裁量基準及信賴保護門檻等規定。）</w:t>
            </w:r>
          </w:p>
        </w:tc>
        <w:tc>
          <w:tcPr>
            <w:tcW w:w="1139" w:type="pct"/>
          </w:tcPr>
          <w:p w14:paraId="74B46C0D"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委員李彥秀</w:t>
            </w:r>
          </w:p>
          <w:p w14:paraId="48A2288E"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0FFAB6EA" w14:textId="77777777"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115.06.26</w:t>
            </w:r>
          </w:p>
          <w:p w14:paraId="020BCB88" w14:textId="2047F4FE"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（11-5-15）</w:t>
            </w:r>
          </w:p>
        </w:tc>
        <w:tc>
          <w:tcPr>
            <w:tcW w:w="928" w:type="pct"/>
          </w:tcPr>
          <w:p w14:paraId="198BD83B" w14:textId="038E80C7" w:rsidR="00FC42F6" w:rsidRPr="001B6E4D" w:rsidRDefault="00FC42F6"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68" w:type="pct"/>
          </w:tcPr>
          <w:p w14:paraId="24F30F47" w14:textId="0CEF173B" w:rsidR="00FC42F6" w:rsidRPr="001B6E4D" w:rsidRDefault="00FC42F6"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p w14:paraId="5D490ADB" w14:textId="198FDEE3" w:rsidR="009B28A5" w:rsidRPr="001B6E4D" w:rsidRDefault="009B28A5" w:rsidP="003D1018">
      <w:pPr>
        <w:pStyle w:val="1-6"/>
        <w:kinsoku w:val="0"/>
        <w:overflowPunct w:val="0"/>
        <w:topLinePunct/>
        <w:spacing w:beforeLines="100" w:before="360" w:afterLines="70" w:after="252" w:line="260" w:lineRule="exact"/>
        <w:ind w:leftChars="128" w:left="307" w:firstLineChars="620" w:firstLine="1738"/>
        <w:rPr>
          <w:color w:val="000000" w:themeColor="text1"/>
        </w:rPr>
      </w:pPr>
      <w:bookmarkStart w:id="334" w:name="_Toc136594861"/>
      <w:bookmarkEnd w:id="332"/>
      <w:bookmarkEnd w:id="333"/>
      <w:r w:rsidRPr="001B6E4D">
        <w:rPr>
          <w:color w:val="000000" w:themeColor="text1"/>
        </w:rPr>
        <w:t>（</w:t>
      </w:r>
      <w:r w:rsidRPr="001B6E4D">
        <w:rPr>
          <w:rFonts w:hint="eastAsia"/>
          <w:color w:val="000000" w:themeColor="text1"/>
        </w:rPr>
        <w:t>3</w:t>
      </w:r>
      <w:r w:rsidRPr="001B6E4D">
        <w:rPr>
          <w:color w:val="000000" w:themeColor="text1"/>
        </w:rPr>
        <w:t>）行政院</w:t>
      </w:r>
      <w:r w:rsidRPr="001B6E4D">
        <w:rPr>
          <w:rFonts w:hint="eastAsia"/>
          <w:color w:val="000000" w:themeColor="text1"/>
        </w:rPr>
        <w:t>人事行政總處</w:t>
      </w:r>
      <w:r w:rsidR="00C64848" w:rsidRPr="001B6E4D">
        <w:rPr>
          <w:rFonts w:hint="eastAsia"/>
          <w:color w:val="000000" w:themeColor="text1"/>
        </w:rPr>
        <w:t>6</w:t>
      </w:r>
      <w:r w:rsidRPr="001B6E4D">
        <w:rPr>
          <w:color w:val="000000" w:themeColor="text1"/>
        </w:rPr>
        <w:t>案</w:t>
      </w:r>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598"/>
        <w:gridCol w:w="3124"/>
        <w:gridCol w:w="2191"/>
        <w:gridCol w:w="1550"/>
        <w:gridCol w:w="1464"/>
      </w:tblGrid>
      <w:tr w:rsidR="00C87651" w:rsidRPr="001B6E4D" w14:paraId="1313AD4C" w14:textId="77777777" w:rsidTr="0081047B">
        <w:tc>
          <w:tcPr>
            <w:tcW w:w="335" w:type="pct"/>
            <w:vAlign w:val="center"/>
          </w:tcPr>
          <w:p w14:paraId="563259D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750" w:type="pct"/>
            <w:vAlign w:val="center"/>
          </w:tcPr>
          <w:p w14:paraId="64AD49B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227" w:type="pct"/>
            <w:vAlign w:val="center"/>
          </w:tcPr>
          <w:p w14:paraId="66F21605"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7043B985"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71311F3F"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68" w:type="pct"/>
            <w:vAlign w:val="center"/>
          </w:tcPr>
          <w:p w14:paraId="04889E83"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20" w:type="pct"/>
            <w:vAlign w:val="center"/>
          </w:tcPr>
          <w:p w14:paraId="0835CD5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C64848" w:rsidRPr="001B6E4D" w14:paraId="0436FD2A" w14:textId="77777777" w:rsidTr="00BC296D">
        <w:tc>
          <w:tcPr>
            <w:tcW w:w="335" w:type="pct"/>
          </w:tcPr>
          <w:p w14:paraId="36DB45E4" w14:textId="64AF8D29" w:rsidR="00C64848" w:rsidRPr="001B6E4D" w:rsidRDefault="00C64848"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w:t>
            </w:r>
          </w:p>
        </w:tc>
        <w:tc>
          <w:tcPr>
            <w:tcW w:w="1750" w:type="pct"/>
          </w:tcPr>
          <w:p w14:paraId="15151778" w14:textId="3DC74E23"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1.軍公教人員待遇調整條例草案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共13條。制定重點：為確保軍公教人員合理待遇調整，特制定本條例。）</w:t>
            </w:r>
          </w:p>
        </w:tc>
        <w:tc>
          <w:tcPr>
            <w:tcW w:w="1227" w:type="pct"/>
          </w:tcPr>
          <w:p w14:paraId="220D724D" w14:textId="77777777"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台灣民眾</w:t>
            </w:r>
            <w:proofErr w:type="gramStart"/>
            <w:r w:rsidRPr="001B6E4D">
              <w:rPr>
                <w:rFonts w:hAnsi="標楷體" w:cs="Times New Roman"/>
                <w:color w:val="000000" w:themeColor="text1"/>
                <w:sz w:val="24"/>
                <w:szCs w:val="24"/>
              </w:rPr>
              <w:t>黨</w:t>
            </w:r>
            <w:proofErr w:type="gramEnd"/>
            <w:r w:rsidRPr="001B6E4D">
              <w:rPr>
                <w:rFonts w:hAnsi="標楷體" w:cs="Times New Roman"/>
                <w:color w:val="000000" w:themeColor="text1"/>
                <w:sz w:val="24"/>
                <w:szCs w:val="24"/>
              </w:rPr>
              <w:t>黨團</w:t>
            </w:r>
          </w:p>
          <w:p w14:paraId="78E6C8CA" w14:textId="77777777"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113.11.01</w:t>
            </w:r>
          </w:p>
          <w:p w14:paraId="65320FB0" w14:textId="48B1DEE6"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（11-2-7）</w:t>
            </w:r>
          </w:p>
        </w:tc>
        <w:tc>
          <w:tcPr>
            <w:tcW w:w="868" w:type="pct"/>
          </w:tcPr>
          <w:p w14:paraId="4C90BC83" w14:textId="6AC0FE96"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司法及法制</w:t>
            </w:r>
          </w:p>
        </w:tc>
        <w:tc>
          <w:tcPr>
            <w:tcW w:w="820" w:type="pct"/>
          </w:tcPr>
          <w:p w14:paraId="08F3A2F4" w14:textId="77777777"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1.本會</w:t>
            </w:r>
          </w:p>
          <w:p w14:paraId="05BF11AF" w14:textId="77777777"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115.6.10</w:t>
            </w:r>
          </w:p>
          <w:p w14:paraId="0E160C0B" w14:textId="77777777"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(11-5-18)報告及</w:t>
            </w:r>
            <w:proofErr w:type="gramStart"/>
            <w:r w:rsidRPr="001B6E4D">
              <w:rPr>
                <w:rFonts w:hAnsi="標楷體" w:cs="Times New Roman"/>
                <w:color w:val="000000" w:themeColor="text1"/>
                <w:sz w:val="24"/>
                <w:szCs w:val="24"/>
              </w:rPr>
              <w:t>詢</w:t>
            </w:r>
            <w:proofErr w:type="gramEnd"/>
            <w:r w:rsidRPr="001B6E4D">
              <w:rPr>
                <w:rFonts w:hAnsi="標楷體" w:cs="Times New Roman"/>
                <w:color w:val="000000" w:themeColor="text1"/>
                <w:sz w:val="24"/>
                <w:szCs w:val="24"/>
              </w:rPr>
              <w:t>答完畢，另定期繼續審查。</w:t>
            </w:r>
          </w:p>
          <w:p w14:paraId="7ED8AE93" w14:textId="77777777"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2.本會</w:t>
            </w:r>
          </w:p>
          <w:p w14:paraId="679CC4CE" w14:textId="59AE4087"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115.8.3舉行「軍公教</w:t>
            </w:r>
            <w:r w:rsidRPr="001B6E4D">
              <w:rPr>
                <w:rFonts w:hAnsi="標楷體" w:cs="Times New Roman"/>
                <w:color w:val="000000" w:themeColor="text1"/>
                <w:sz w:val="24"/>
                <w:szCs w:val="24"/>
              </w:rPr>
              <w:lastRenderedPageBreak/>
              <w:t>待遇調整法制化與人事制度變革」公聽會。</w:t>
            </w:r>
          </w:p>
        </w:tc>
      </w:tr>
      <w:tr w:rsidR="00C64848" w:rsidRPr="001B6E4D" w14:paraId="6466A7FA" w14:textId="77777777" w:rsidTr="0081047B">
        <w:tc>
          <w:tcPr>
            <w:tcW w:w="335" w:type="pct"/>
          </w:tcPr>
          <w:p w14:paraId="74EBE78A" w14:textId="2D833C0D" w:rsidR="00C64848" w:rsidRPr="001B6E4D" w:rsidRDefault="00C64848" w:rsidP="003D1018">
            <w:pPr>
              <w:overflowPunct w:val="0"/>
              <w:jc w:val="center"/>
              <w:rPr>
                <w:rFonts w:ascii="標楷體" w:eastAsia="標楷體" w:hAnsi="標楷體"/>
                <w:b/>
                <w:color w:val="000000" w:themeColor="text1"/>
                <w:sz w:val="24"/>
              </w:rPr>
            </w:pPr>
            <w:r w:rsidRPr="001B6E4D">
              <w:rPr>
                <w:rFonts w:ascii="標楷體" w:eastAsia="標楷體" w:hAnsi="標楷體"/>
                <w:sz w:val="24"/>
              </w:rPr>
              <w:lastRenderedPageBreak/>
              <w:t>2</w:t>
            </w:r>
          </w:p>
        </w:tc>
        <w:tc>
          <w:tcPr>
            <w:tcW w:w="1750" w:type="pct"/>
          </w:tcPr>
          <w:p w14:paraId="191E9C69" w14:textId="0457670B"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2.軍公教人員待遇調整條例草案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共8條。制定重點：為規範軍公教人員待遇調整事項，並明確其運作機制，特制定本條例。）</w:t>
            </w:r>
          </w:p>
        </w:tc>
        <w:tc>
          <w:tcPr>
            <w:tcW w:w="1227" w:type="pct"/>
          </w:tcPr>
          <w:p w14:paraId="5661C838"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委員翁曉玲</w:t>
            </w:r>
          </w:p>
          <w:p w14:paraId="004AE86F"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54C3A6DE"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115.05.15</w:t>
            </w:r>
          </w:p>
          <w:p w14:paraId="2CAC4298" w14:textId="70E5637F"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（11-5-10）</w:t>
            </w:r>
          </w:p>
        </w:tc>
        <w:tc>
          <w:tcPr>
            <w:tcW w:w="868" w:type="pct"/>
          </w:tcPr>
          <w:p w14:paraId="67839609" w14:textId="0E784876"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20" w:type="pct"/>
          </w:tcPr>
          <w:p w14:paraId="5ACC322E"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66ADFB34"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115.6.10</w:t>
            </w:r>
          </w:p>
          <w:p w14:paraId="3B8AFAB1"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(11-5-18)報告及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5DC03B5B"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3E1FC8C9" w14:textId="32B1F0D8"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115.8.3舉行「軍公教待遇調整法制化與人事制度變革」公聽會。</w:t>
            </w:r>
          </w:p>
        </w:tc>
      </w:tr>
      <w:tr w:rsidR="00C64848" w:rsidRPr="001B6E4D" w14:paraId="6B0CF604" w14:textId="77777777" w:rsidTr="0081047B">
        <w:tc>
          <w:tcPr>
            <w:tcW w:w="335" w:type="pct"/>
          </w:tcPr>
          <w:p w14:paraId="794F203F" w14:textId="6B70DF3E" w:rsidR="00C64848" w:rsidRPr="001B6E4D" w:rsidRDefault="00C64848" w:rsidP="003D1018">
            <w:pPr>
              <w:overflowPunct w:val="0"/>
              <w:jc w:val="center"/>
              <w:rPr>
                <w:rFonts w:ascii="標楷體" w:eastAsia="標楷體" w:hAnsi="標楷體"/>
                <w:sz w:val="24"/>
              </w:rPr>
            </w:pPr>
            <w:r w:rsidRPr="001B6E4D">
              <w:rPr>
                <w:rFonts w:ascii="標楷體" w:eastAsia="標楷體" w:hAnsi="標楷體"/>
                <w:sz w:val="24"/>
              </w:rPr>
              <w:t>3</w:t>
            </w:r>
          </w:p>
        </w:tc>
        <w:tc>
          <w:tcPr>
            <w:tcW w:w="1750" w:type="pct"/>
          </w:tcPr>
          <w:p w14:paraId="6B950BEB" w14:textId="4EB9D5C5"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3.軍公教人員待遇調整條例草案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共8條。制定重點：為規範軍公教人員待遇調整事項，並明確其運作機制，特制定本條例。）</w:t>
            </w:r>
          </w:p>
        </w:tc>
        <w:tc>
          <w:tcPr>
            <w:tcW w:w="1227" w:type="pct"/>
          </w:tcPr>
          <w:p w14:paraId="324835FF"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委員許宇</w:t>
            </w:r>
            <w:proofErr w:type="gramStart"/>
            <w:r w:rsidRPr="001B6E4D">
              <w:rPr>
                <w:rFonts w:ascii="標楷體" w:eastAsia="標楷體" w:hAnsi="標楷體"/>
                <w:color w:val="000000" w:themeColor="text1"/>
                <w:sz w:val="24"/>
              </w:rPr>
              <w:t>甄</w:t>
            </w:r>
            <w:proofErr w:type="gramEnd"/>
          </w:p>
          <w:p w14:paraId="174C3DC6"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等27人</w:t>
            </w:r>
          </w:p>
          <w:p w14:paraId="62EA8901"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115.06.26</w:t>
            </w:r>
          </w:p>
          <w:p w14:paraId="08639EB7" w14:textId="5A96CE6B"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（11-5-15）</w:t>
            </w:r>
          </w:p>
        </w:tc>
        <w:tc>
          <w:tcPr>
            <w:tcW w:w="868" w:type="pct"/>
          </w:tcPr>
          <w:p w14:paraId="70CC814F" w14:textId="676DA740"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20" w:type="pct"/>
          </w:tcPr>
          <w:p w14:paraId="0E8AB48A"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7089A1B1" w14:textId="7A3CDBC9"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115.8.3舉行「軍公教待遇調整法制化與人事制度變革」公聽會。</w:t>
            </w:r>
          </w:p>
        </w:tc>
      </w:tr>
      <w:tr w:rsidR="00C64848" w:rsidRPr="001B6E4D" w14:paraId="16F3D5D6" w14:textId="77777777" w:rsidTr="0081047B">
        <w:tc>
          <w:tcPr>
            <w:tcW w:w="335" w:type="pct"/>
          </w:tcPr>
          <w:p w14:paraId="539CF0F0" w14:textId="235F40D2" w:rsidR="00C64848" w:rsidRPr="001B6E4D" w:rsidRDefault="00C64848" w:rsidP="003D1018">
            <w:pPr>
              <w:overflowPunct w:val="0"/>
              <w:jc w:val="center"/>
              <w:rPr>
                <w:rFonts w:ascii="標楷體" w:eastAsia="標楷體" w:hAnsi="標楷體"/>
                <w:sz w:val="24"/>
              </w:rPr>
            </w:pPr>
            <w:r w:rsidRPr="001B6E4D">
              <w:rPr>
                <w:rFonts w:ascii="標楷體" w:eastAsia="標楷體" w:hAnsi="標楷體"/>
                <w:sz w:val="24"/>
              </w:rPr>
              <w:t>4</w:t>
            </w:r>
          </w:p>
        </w:tc>
        <w:tc>
          <w:tcPr>
            <w:tcW w:w="1750" w:type="pct"/>
          </w:tcPr>
          <w:p w14:paraId="46D3FE41" w14:textId="1846761C"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4.軍公教人員待遇調整條例草案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共8條。制定重點：為規範軍公教人員待遇調整事項，並明確其運作機制，特制定本條例。）</w:t>
            </w:r>
          </w:p>
        </w:tc>
        <w:tc>
          <w:tcPr>
            <w:tcW w:w="1227" w:type="pct"/>
          </w:tcPr>
          <w:p w14:paraId="622DBE07"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委員林倩綺</w:t>
            </w:r>
          </w:p>
          <w:p w14:paraId="0FDFF2AE"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1D6DB26A"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115.07.24</w:t>
            </w:r>
          </w:p>
          <w:p w14:paraId="4DCDE000" w14:textId="14623EA3"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（11-5-19）</w:t>
            </w:r>
          </w:p>
        </w:tc>
        <w:tc>
          <w:tcPr>
            <w:tcW w:w="868" w:type="pct"/>
          </w:tcPr>
          <w:p w14:paraId="6E17386A" w14:textId="1809BA8D"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20" w:type="pct"/>
          </w:tcPr>
          <w:p w14:paraId="484663B3"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0BDC213D" w14:textId="4F6BB7DF"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115.8.3舉行「軍公教待遇調整法制化與人事制度變革」公聽會。</w:t>
            </w:r>
          </w:p>
        </w:tc>
      </w:tr>
      <w:tr w:rsidR="00C64848" w:rsidRPr="001B6E4D" w14:paraId="7C6A8C04" w14:textId="77777777" w:rsidTr="0081047B">
        <w:tc>
          <w:tcPr>
            <w:tcW w:w="335" w:type="pct"/>
          </w:tcPr>
          <w:p w14:paraId="4B74D22A" w14:textId="1E8A6613" w:rsidR="00C64848" w:rsidRPr="001B6E4D" w:rsidRDefault="00C64848" w:rsidP="003D1018">
            <w:pPr>
              <w:overflowPunct w:val="0"/>
              <w:jc w:val="center"/>
              <w:rPr>
                <w:rFonts w:ascii="標楷體" w:eastAsia="標楷體" w:hAnsi="標楷體"/>
                <w:sz w:val="24"/>
              </w:rPr>
            </w:pPr>
            <w:r w:rsidRPr="001B6E4D">
              <w:rPr>
                <w:rFonts w:ascii="標楷體" w:eastAsia="標楷體" w:hAnsi="標楷體"/>
                <w:sz w:val="24"/>
              </w:rPr>
              <w:t>5</w:t>
            </w:r>
          </w:p>
        </w:tc>
        <w:tc>
          <w:tcPr>
            <w:tcW w:w="1750" w:type="pct"/>
          </w:tcPr>
          <w:p w14:paraId="5BAF7B16" w14:textId="3E7A9AAE"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5.軍公教人員待遇調整條例草案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共13條。制定重點：為確保軍公教人員合理待遇調整，特制定本條例。）</w:t>
            </w:r>
          </w:p>
        </w:tc>
        <w:tc>
          <w:tcPr>
            <w:tcW w:w="1227" w:type="pct"/>
          </w:tcPr>
          <w:p w14:paraId="008CCC66"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348A0799"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115.08.07</w:t>
            </w:r>
          </w:p>
          <w:p w14:paraId="7611CF0F" w14:textId="2E52484F"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（11-5-21）</w:t>
            </w:r>
          </w:p>
        </w:tc>
        <w:tc>
          <w:tcPr>
            <w:tcW w:w="868" w:type="pct"/>
          </w:tcPr>
          <w:p w14:paraId="24416B03" w14:textId="25ACC7DE"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20" w:type="pct"/>
          </w:tcPr>
          <w:p w14:paraId="7CB30F9A" w14:textId="707C6494"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C64848" w:rsidRPr="001B6E4D" w14:paraId="2F36E0BA" w14:textId="77777777" w:rsidTr="0081047B">
        <w:tc>
          <w:tcPr>
            <w:tcW w:w="335" w:type="pct"/>
          </w:tcPr>
          <w:p w14:paraId="2557985B" w14:textId="67581C41" w:rsidR="00C64848" w:rsidRPr="001B6E4D" w:rsidRDefault="00C64848" w:rsidP="003D1018">
            <w:pPr>
              <w:overflowPunct w:val="0"/>
              <w:jc w:val="center"/>
              <w:rPr>
                <w:rFonts w:ascii="標楷體" w:eastAsia="標楷體" w:hAnsi="標楷體"/>
                <w:sz w:val="24"/>
              </w:rPr>
            </w:pPr>
            <w:r w:rsidRPr="001B6E4D">
              <w:rPr>
                <w:rFonts w:ascii="標楷體" w:eastAsia="標楷體" w:hAnsi="標楷體"/>
                <w:sz w:val="24"/>
              </w:rPr>
              <w:t>6</w:t>
            </w:r>
          </w:p>
        </w:tc>
        <w:tc>
          <w:tcPr>
            <w:tcW w:w="1750" w:type="pct"/>
          </w:tcPr>
          <w:p w14:paraId="2C7C9F05" w14:textId="3A40DDE7" w:rsidR="00C64848" w:rsidRPr="001B6E4D" w:rsidRDefault="00C64848" w:rsidP="003D1018">
            <w:pPr>
              <w:pStyle w:val="01"/>
              <w:overflowPunct w:val="0"/>
              <w:rPr>
                <w:rFonts w:hAnsi="標楷體" w:cs="Times New Roman"/>
                <w:color w:val="000000" w:themeColor="text1"/>
                <w:sz w:val="24"/>
                <w:szCs w:val="24"/>
              </w:rPr>
            </w:pPr>
            <w:r w:rsidRPr="001B6E4D">
              <w:rPr>
                <w:rFonts w:hAnsi="標楷體" w:cs="Times New Roman"/>
                <w:color w:val="000000" w:themeColor="text1"/>
                <w:sz w:val="24"/>
                <w:szCs w:val="24"/>
              </w:rPr>
              <w:t>涉及國家安全或重大利益公</w:t>
            </w:r>
            <w:r w:rsidRPr="001B6E4D">
              <w:rPr>
                <w:rFonts w:hAnsi="標楷體" w:cs="Times New Roman"/>
                <w:color w:val="000000" w:themeColor="text1"/>
                <w:sz w:val="24"/>
                <w:szCs w:val="24"/>
              </w:rPr>
              <w:lastRenderedPageBreak/>
              <w:t>務員特殊查核條例草案</w:t>
            </w:r>
            <w:proofErr w:type="gramStart"/>
            <w:r w:rsidRPr="001B6E4D">
              <w:rPr>
                <w:rFonts w:hAnsi="標楷體" w:cs="Times New Roman"/>
                <w:color w:val="000000" w:themeColor="text1"/>
                <w:sz w:val="24"/>
                <w:szCs w:val="24"/>
              </w:rPr>
              <w:t>（</w:t>
            </w:r>
            <w:proofErr w:type="gramEnd"/>
            <w:r w:rsidRPr="001B6E4D">
              <w:rPr>
                <w:rFonts w:hAnsi="標楷體" w:cs="Times New Roman"/>
                <w:color w:val="000000" w:themeColor="text1"/>
                <w:sz w:val="24"/>
                <w:szCs w:val="24"/>
              </w:rPr>
              <w:t>共12條。制定重點：涉及國家安全或重大利益公務員之查核，依本條例行之。）</w:t>
            </w:r>
          </w:p>
        </w:tc>
        <w:tc>
          <w:tcPr>
            <w:tcW w:w="1227" w:type="pct"/>
          </w:tcPr>
          <w:p w14:paraId="658DBD29"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099EAA5C" w14:textId="7777777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114.06.27</w:t>
            </w:r>
          </w:p>
          <w:p w14:paraId="43ED52FD" w14:textId="26FA4472"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（11-3-18）</w:t>
            </w:r>
          </w:p>
        </w:tc>
        <w:tc>
          <w:tcPr>
            <w:tcW w:w="868" w:type="pct"/>
          </w:tcPr>
          <w:p w14:paraId="02959B64" w14:textId="6A2085A7"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820" w:type="pct"/>
          </w:tcPr>
          <w:p w14:paraId="4076F8E3" w14:textId="7CB4595E" w:rsidR="00C64848" w:rsidRPr="001B6E4D" w:rsidRDefault="00C64848"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p w14:paraId="5146FD4F" w14:textId="77777777" w:rsidR="009B28A5" w:rsidRPr="001B6E4D" w:rsidRDefault="009B28A5"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r w:rsidRPr="001B6E4D">
        <w:rPr>
          <w:rFonts w:hint="eastAsia"/>
          <w:color w:val="000000" w:themeColor="text1"/>
          <w:shd w:val="clear" w:color="auto" w:fill="FFFFFF" w:themeFill="background1"/>
        </w:rPr>
        <w:t>2</w:t>
      </w:r>
      <w:r w:rsidRPr="001B6E4D">
        <w:rPr>
          <w:color w:val="000000" w:themeColor="text1"/>
          <w:shd w:val="clear" w:color="auto" w:fill="FFFFFF" w:themeFill="background1"/>
        </w:rPr>
        <w:t>.本會、內政委員會聯席審查</w:t>
      </w:r>
      <w:r w:rsidRPr="001B6E4D">
        <w:rPr>
          <w:rFonts w:hint="eastAsia"/>
          <w:color w:val="000000" w:themeColor="text1"/>
          <w:shd w:val="clear" w:color="auto" w:fill="FFFFFF" w:themeFill="background1"/>
        </w:rPr>
        <w:t>3</w:t>
      </w:r>
      <w:r w:rsidRPr="001B6E4D">
        <w:rPr>
          <w:color w:val="000000" w:themeColor="text1"/>
          <w:shd w:val="clear" w:color="auto" w:fill="FFFFFF" w:themeFill="background1"/>
        </w:rPr>
        <w:t>案</w:t>
      </w:r>
      <w:bookmarkEnd w:id="323"/>
      <w:bookmarkEnd w:id="324"/>
      <w:bookmarkEnd w:id="334"/>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612"/>
        <w:gridCol w:w="3141"/>
        <w:gridCol w:w="2094"/>
        <w:gridCol w:w="1762"/>
        <w:gridCol w:w="1318"/>
      </w:tblGrid>
      <w:tr w:rsidR="00C87651" w:rsidRPr="001B6E4D" w14:paraId="3B391D70" w14:textId="77777777" w:rsidTr="009E1230">
        <w:tc>
          <w:tcPr>
            <w:tcW w:w="343" w:type="pct"/>
            <w:vAlign w:val="center"/>
          </w:tcPr>
          <w:p w14:paraId="2B70913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335" w:name="_Toc361217349"/>
            <w:bookmarkStart w:id="336" w:name="_Toc362968409"/>
            <w:r w:rsidRPr="001B6E4D">
              <w:rPr>
                <w:rFonts w:ascii="標楷體" w:eastAsia="標楷體" w:hAnsi="標楷體"/>
                <w:b/>
                <w:color w:val="000000" w:themeColor="text1"/>
                <w:sz w:val="24"/>
                <w:shd w:val="clear" w:color="auto" w:fill="FFFFFF" w:themeFill="background1"/>
              </w:rPr>
              <w:t>序號</w:t>
            </w:r>
          </w:p>
        </w:tc>
        <w:tc>
          <w:tcPr>
            <w:tcW w:w="1759" w:type="pct"/>
            <w:vAlign w:val="center"/>
          </w:tcPr>
          <w:p w14:paraId="1880032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73" w:type="pct"/>
            <w:vAlign w:val="center"/>
          </w:tcPr>
          <w:p w14:paraId="0206125E"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3DFB44C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6B8ACC67"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87" w:type="pct"/>
            <w:vAlign w:val="center"/>
          </w:tcPr>
          <w:p w14:paraId="46D08627"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738" w:type="pct"/>
            <w:vAlign w:val="center"/>
          </w:tcPr>
          <w:p w14:paraId="48B74E0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C87651" w:rsidRPr="001B6E4D" w14:paraId="6F08202E" w14:textId="77777777" w:rsidTr="009E1230">
        <w:tc>
          <w:tcPr>
            <w:tcW w:w="343" w:type="pct"/>
          </w:tcPr>
          <w:p w14:paraId="192B22B0"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1</w:t>
            </w:r>
          </w:p>
        </w:tc>
        <w:tc>
          <w:tcPr>
            <w:tcW w:w="1759" w:type="pct"/>
          </w:tcPr>
          <w:p w14:paraId="26DE7AFA"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1.廢止「蒙藏邊區人員任用條例」</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廢止重點：</w:t>
            </w:r>
            <w:proofErr w:type="gramStart"/>
            <w:r w:rsidRPr="001B6E4D">
              <w:rPr>
                <w:rFonts w:hAnsi="標楷體"/>
                <w:color w:val="000000" w:themeColor="text1"/>
                <w:sz w:val="24"/>
                <w:szCs w:val="24"/>
              </w:rPr>
              <w:t>目前蒙、</w:t>
            </w:r>
            <w:proofErr w:type="gramEnd"/>
            <w:r w:rsidRPr="001B6E4D">
              <w:rPr>
                <w:rFonts w:hAnsi="標楷體"/>
                <w:color w:val="000000" w:themeColor="text1"/>
                <w:sz w:val="24"/>
                <w:szCs w:val="24"/>
              </w:rPr>
              <w:t>藏人士具有中華民國國籍者，擔任公務員，仍必須經過國家考試，取得任用資格，本法已無適用、無存在之必要，</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173" w:type="pct"/>
          </w:tcPr>
          <w:p w14:paraId="402095C6"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3D1E9550"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5952E35F"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113.02.23</w:t>
            </w:r>
          </w:p>
          <w:p w14:paraId="5BE98E06"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（11-1-2）</w:t>
            </w:r>
          </w:p>
        </w:tc>
        <w:tc>
          <w:tcPr>
            <w:tcW w:w="987" w:type="pct"/>
          </w:tcPr>
          <w:p w14:paraId="29FA6634"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司法及法制、內政</w:t>
            </w:r>
          </w:p>
        </w:tc>
        <w:tc>
          <w:tcPr>
            <w:tcW w:w="738" w:type="pct"/>
          </w:tcPr>
          <w:p w14:paraId="062FB38F"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尚未審查</w:t>
            </w:r>
          </w:p>
        </w:tc>
      </w:tr>
      <w:tr w:rsidR="00C87651" w:rsidRPr="001B6E4D" w14:paraId="38E4737E" w14:textId="77777777" w:rsidTr="009E1230">
        <w:tc>
          <w:tcPr>
            <w:tcW w:w="343" w:type="pct"/>
          </w:tcPr>
          <w:p w14:paraId="25C77D7F"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2</w:t>
            </w:r>
          </w:p>
        </w:tc>
        <w:tc>
          <w:tcPr>
            <w:tcW w:w="1759" w:type="pct"/>
          </w:tcPr>
          <w:p w14:paraId="7126437B"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2.廢止「蒙藏邊區人員任用條例」</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廢止重點：蒙藏委員會組織法已經廢除，蒙藏邊區人員之任用已依公務人員任用法之修正處理。）</w:t>
            </w:r>
          </w:p>
        </w:tc>
        <w:tc>
          <w:tcPr>
            <w:tcW w:w="1173" w:type="pct"/>
          </w:tcPr>
          <w:p w14:paraId="63F7B76C"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委員邱志偉</w:t>
            </w:r>
          </w:p>
          <w:p w14:paraId="3144A03F"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30C46DF3"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7ABACDAE"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（11-1-7）</w:t>
            </w:r>
          </w:p>
        </w:tc>
        <w:tc>
          <w:tcPr>
            <w:tcW w:w="987" w:type="pct"/>
          </w:tcPr>
          <w:p w14:paraId="6B717436"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司法及法制、內政</w:t>
            </w:r>
          </w:p>
        </w:tc>
        <w:tc>
          <w:tcPr>
            <w:tcW w:w="738" w:type="pct"/>
          </w:tcPr>
          <w:p w14:paraId="7A8419F3"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尚未審查</w:t>
            </w:r>
          </w:p>
        </w:tc>
      </w:tr>
      <w:tr w:rsidR="00C87651" w:rsidRPr="001B6E4D" w14:paraId="2677691F" w14:textId="77777777" w:rsidTr="009E1230">
        <w:tc>
          <w:tcPr>
            <w:tcW w:w="343" w:type="pct"/>
          </w:tcPr>
          <w:p w14:paraId="2F2F7820" w14:textId="77777777" w:rsidR="009B28A5" w:rsidRPr="001B6E4D" w:rsidRDefault="009B28A5" w:rsidP="003D1018">
            <w:pPr>
              <w:overflowPunct w:val="0"/>
              <w:jc w:val="center"/>
              <w:rPr>
                <w:rFonts w:ascii="標楷體" w:eastAsia="標楷體" w:hAnsi="標楷體"/>
                <w:b/>
                <w:color w:val="000000" w:themeColor="text1"/>
                <w:sz w:val="24"/>
              </w:rPr>
            </w:pPr>
            <w:bookmarkStart w:id="337" w:name="_Toc136594862"/>
            <w:r w:rsidRPr="001B6E4D">
              <w:rPr>
                <w:rFonts w:ascii="標楷體" w:eastAsia="標楷體" w:hAnsi="標楷體"/>
                <w:color w:val="000000" w:themeColor="text1"/>
                <w:sz w:val="24"/>
              </w:rPr>
              <w:t>3</w:t>
            </w:r>
          </w:p>
        </w:tc>
        <w:tc>
          <w:tcPr>
            <w:tcW w:w="1759" w:type="pct"/>
          </w:tcPr>
          <w:p w14:paraId="4B2024D0"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調度司法警察條例修正草案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共9條。修正重點：用語修正；刪除現行調度司法警察條例</w:t>
            </w:r>
            <w:proofErr w:type="gramStart"/>
            <w:r w:rsidRPr="001B6E4D">
              <w:rPr>
                <w:rFonts w:hAnsi="標楷體"/>
                <w:color w:val="000000" w:themeColor="text1"/>
                <w:sz w:val="24"/>
                <w:szCs w:val="24"/>
              </w:rPr>
              <w:t>逕</w:t>
            </w:r>
            <w:proofErr w:type="gramEnd"/>
            <w:r w:rsidRPr="001B6E4D">
              <w:rPr>
                <w:rFonts w:hAnsi="標楷體"/>
                <w:color w:val="000000" w:themeColor="text1"/>
                <w:sz w:val="24"/>
                <w:szCs w:val="24"/>
              </w:rPr>
              <w:t>予檢察官獎懲相關規定。）</w:t>
            </w:r>
          </w:p>
        </w:tc>
        <w:tc>
          <w:tcPr>
            <w:tcW w:w="1173" w:type="pct"/>
          </w:tcPr>
          <w:p w14:paraId="2B311A74"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委員鍾佳濱</w:t>
            </w:r>
          </w:p>
          <w:p w14:paraId="15D09448"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7DD55436" w14:textId="77777777" w:rsidR="009B28A5" w:rsidRPr="001B6E4D" w:rsidRDefault="009B28A5" w:rsidP="003D1018">
            <w:pPr>
              <w:overflowPunct w:val="0"/>
              <w:rPr>
                <w:rFonts w:ascii="標楷體" w:eastAsia="標楷體" w:hAnsi="標楷體"/>
                <w:color w:val="000000" w:themeColor="text1"/>
                <w:sz w:val="24"/>
              </w:rPr>
            </w:pPr>
            <w:r w:rsidRPr="001B6E4D">
              <w:rPr>
                <w:rFonts w:ascii="標楷體" w:eastAsia="標楷體" w:hAnsi="標楷體"/>
                <w:color w:val="000000" w:themeColor="text1"/>
                <w:sz w:val="24"/>
              </w:rPr>
              <w:t>113.09.27</w:t>
            </w:r>
          </w:p>
          <w:p w14:paraId="7C0C9572"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（11-2-2）</w:t>
            </w:r>
          </w:p>
        </w:tc>
        <w:tc>
          <w:tcPr>
            <w:tcW w:w="987" w:type="pct"/>
          </w:tcPr>
          <w:p w14:paraId="09CE441B"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司法及法制、內政</w:t>
            </w:r>
          </w:p>
        </w:tc>
        <w:tc>
          <w:tcPr>
            <w:tcW w:w="738" w:type="pct"/>
          </w:tcPr>
          <w:p w14:paraId="491785DE" w14:textId="77777777" w:rsidR="009B28A5" w:rsidRPr="001B6E4D" w:rsidRDefault="009B28A5" w:rsidP="003D1018">
            <w:pPr>
              <w:overflowPunct w:val="0"/>
              <w:rPr>
                <w:rFonts w:ascii="標楷體" w:eastAsia="標楷體" w:hAnsi="標楷體"/>
                <w:b/>
                <w:color w:val="000000" w:themeColor="text1"/>
                <w:sz w:val="24"/>
              </w:rPr>
            </w:pPr>
            <w:r w:rsidRPr="001B6E4D">
              <w:rPr>
                <w:rFonts w:ascii="標楷體" w:eastAsia="標楷體" w:hAnsi="標楷體"/>
                <w:color w:val="000000" w:themeColor="text1"/>
                <w:sz w:val="24"/>
              </w:rPr>
              <w:t>尚未審查</w:t>
            </w:r>
          </w:p>
        </w:tc>
      </w:tr>
    </w:tbl>
    <w:p w14:paraId="4E088B13" w14:textId="45941F94" w:rsidR="009B28A5" w:rsidRPr="001B6E4D" w:rsidRDefault="009B28A5"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r w:rsidRPr="001B6E4D">
        <w:rPr>
          <w:rFonts w:hint="eastAsia"/>
          <w:color w:val="000000" w:themeColor="text1"/>
          <w:shd w:val="clear" w:color="auto" w:fill="FFFFFF" w:themeFill="background1"/>
        </w:rPr>
        <w:t>3</w:t>
      </w:r>
      <w:r w:rsidRPr="001B6E4D">
        <w:rPr>
          <w:color w:val="000000" w:themeColor="text1"/>
          <w:shd w:val="clear" w:color="auto" w:fill="FFFFFF" w:themeFill="background1"/>
        </w:rPr>
        <w:t>.本會、外交及國防委員會聯席審查</w:t>
      </w:r>
      <w:r w:rsidR="00C64848" w:rsidRPr="001B6E4D">
        <w:rPr>
          <w:rFonts w:hint="eastAsia"/>
          <w:color w:val="000000" w:themeColor="text1"/>
          <w:shd w:val="clear" w:color="auto" w:fill="FFFFFF" w:themeFill="background1"/>
        </w:rPr>
        <w:t>26</w:t>
      </w:r>
      <w:r w:rsidRPr="001B6E4D">
        <w:rPr>
          <w:color w:val="000000" w:themeColor="text1"/>
          <w:shd w:val="clear" w:color="auto" w:fill="FFFFFF" w:themeFill="background1"/>
        </w:rPr>
        <w:t>案</w:t>
      </w:r>
      <w:bookmarkEnd w:id="335"/>
      <w:bookmarkEnd w:id="336"/>
      <w:bookmarkEnd w:id="337"/>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669"/>
        <w:gridCol w:w="3082"/>
        <w:gridCol w:w="2091"/>
        <w:gridCol w:w="1757"/>
        <w:gridCol w:w="1328"/>
      </w:tblGrid>
      <w:tr w:rsidR="00C87651" w:rsidRPr="001B6E4D" w14:paraId="35C6184D" w14:textId="77777777" w:rsidTr="00B90461">
        <w:tc>
          <w:tcPr>
            <w:tcW w:w="375" w:type="pct"/>
            <w:vAlign w:val="center"/>
          </w:tcPr>
          <w:p w14:paraId="38CC3650"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338" w:name="_Toc361217350"/>
            <w:bookmarkStart w:id="339" w:name="_Toc362968410"/>
            <w:r w:rsidRPr="001B6E4D">
              <w:rPr>
                <w:rFonts w:ascii="標楷體" w:eastAsia="標楷體" w:hAnsi="標楷體"/>
                <w:b/>
                <w:color w:val="000000" w:themeColor="text1"/>
                <w:sz w:val="24"/>
                <w:shd w:val="clear" w:color="auto" w:fill="FFFFFF" w:themeFill="background1"/>
              </w:rPr>
              <w:t>序號</w:t>
            </w:r>
          </w:p>
        </w:tc>
        <w:tc>
          <w:tcPr>
            <w:tcW w:w="1726" w:type="pct"/>
            <w:vAlign w:val="center"/>
          </w:tcPr>
          <w:p w14:paraId="0D4C6FCF"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71" w:type="pct"/>
            <w:vAlign w:val="center"/>
          </w:tcPr>
          <w:p w14:paraId="486A1C62"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29CFC0AE"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221FAE53"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84" w:type="pct"/>
            <w:vAlign w:val="center"/>
          </w:tcPr>
          <w:p w14:paraId="346F7B32"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744" w:type="pct"/>
            <w:vAlign w:val="center"/>
          </w:tcPr>
          <w:p w14:paraId="33D60D3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E77428" w:rsidRPr="001B6E4D" w14:paraId="33AD1B45" w14:textId="77777777" w:rsidTr="00FE2B37">
        <w:tc>
          <w:tcPr>
            <w:tcW w:w="375" w:type="pct"/>
          </w:tcPr>
          <w:p w14:paraId="631C8A24" w14:textId="0F6C1DF6" w:rsidR="00E77428" w:rsidRPr="001B6E4D" w:rsidRDefault="00E77428"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w:t>
            </w:r>
          </w:p>
        </w:tc>
        <w:tc>
          <w:tcPr>
            <w:tcW w:w="1726" w:type="pct"/>
          </w:tcPr>
          <w:p w14:paraId="58EC662A" w14:textId="41C626A8" w:rsidR="00E77428" w:rsidRPr="001B6E4D" w:rsidRDefault="00E77428"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1.陸海空軍刑法部分條文修正草案</w:t>
            </w:r>
            <w:proofErr w:type="gramStart"/>
            <w:r w:rsidRPr="001B6E4D">
              <w:rPr>
                <w:rFonts w:ascii="標楷體" w:eastAsia="標楷體" w:hAnsi="標楷體"/>
                <w:sz w:val="24"/>
              </w:rPr>
              <w:t>（</w:t>
            </w:r>
            <w:proofErr w:type="gramEnd"/>
            <w:r w:rsidRPr="001B6E4D">
              <w:rPr>
                <w:rFonts w:ascii="標楷體" w:eastAsia="標楷體" w:hAnsi="標楷體"/>
                <w:sz w:val="24"/>
              </w:rPr>
              <w:t>修正§17~19、24。修正重點：現行條文關於陰謀或預備犯之刑度和犯</w:t>
            </w:r>
            <w:proofErr w:type="gramStart"/>
            <w:r w:rsidRPr="001B6E4D">
              <w:rPr>
                <w:rFonts w:ascii="標楷體" w:eastAsia="標楷體" w:hAnsi="標楷體"/>
                <w:sz w:val="24"/>
              </w:rPr>
              <w:t>行後刑度</w:t>
            </w:r>
            <w:proofErr w:type="gramEnd"/>
            <w:r w:rsidRPr="001B6E4D">
              <w:rPr>
                <w:rFonts w:ascii="標楷體" w:eastAsia="標楷體" w:hAnsi="標楷體"/>
                <w:sz w:val="24"/>
              </w:rPr>
              <w:t>差距過大，</w:t>
            </w:r>
            <w:proofErr w:type="gramStart"/>
            <w:r w:rsidRPr="001B6E4D">
              <w:rPr>
                <w:rFonts w:ascii="標楷體" w:eastAsia="標楷體" w:hAnsi="標楷體"/>
                <w:sz w:val="24"/>
              </w:rPr>
              <w:t>爰</w:t>
            </w:r>
            <w:proofErr w:type="gramEnd"/>
            <w:r w:rsidRPr="001B6E4D">
              <w:rPr>
                <w:rFonts w:ascii="標楷體" w:eastAsia="標楷體" w:hAnsi="標楷體"/>
                <w:sz w:val="24"/>
              </w:rPr>
              <w:t>參照刑法外患罪規定予</w:t>
            </w:r>
            <w:r w:rsidRPr="001B6E4D">
              <w:rPr>
                <w:rFonts w:ascii="標楷體" w:eastAsia="標楷體" w:hAnsi="標楷體"/>
                <w:sz w:val="24"/>
              </w:rPr>
              <w:lastRenderedPageBreak/>
              <w:t>以修正。）</w:t>
            </w:r>
          </w:p>
        </w:tc>
        <w:tc>
          <w:tcPr>
            <w:tcW w:w="1171" w:type="pct"/>
          </w:tcPr>
          <w:p w14:paraId="69C5CF06"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lastRenderedPageBreak/>
              <w:t>委員林楚</w:t>
            </w:r>
            <w:proofErr w:type="gramStart"/>
            <w:r w:rsidRPr="001B6E4D">
              <w:rPr>
                <w:rFonts w:ascii="標楷體" w:eastAsia="標楷體" w:hAnsi="標楷體"/>
                <w:sz w:val="24"/>
              </w:rPr>
              <w:t>茵</w:t>
            </w:r>
            <w:proofErr w:type="gramEnd"/>
          </w:p>
          <w:p w14:paraId="64A40AC5"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等22人</w:t>
            </w:r>
          </w:p>
          <w:p w14:paraId="043E0F7F"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113.03.29</w:t>
            </w:r>
          </w:p>
          <w:p w14:paraId="001836FF" w14:textId="5BE52C23" w:rsidR="00E77428" w:rsidRPr="001B6E4D" w:rsidRDefault="00E77428" w:rsidP="003D1018">
            <w:pPr>
              <w:kinsoku w:val="0"/>
              <w:overflowPunct w:val="0"/>
              <w:topLinePunct/>
              <w:spacing w:beforeLines="50" w:before="180"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（11-1-7）</w:t>
            </w:r>
          </w:p>
        </w:tc>
        <w:tc>
          <w:tcPr>
            <w:tcW w:w="984" w:type="pct"/>
          </w:tcPr>
          <w:p w14:paraId="3C029108" w14:textId="01DB32FB" w:rsidR="00E77428" w:rsidRPr="001B6E4D" w:rsidRDefault="00E77428"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司法及法制、外交及國防</w:t>
            </w:r>
          </w:p>
        </w:tc>
        <w:tc>
          <w:tcPr>
            <w:tcW w:w="744" w:type="pct"/>
          </w:tcPr>
          <w:p w14:paraId="4982A2D1" w14:textId="513F68C0" w:rsidR="00E77428" w:rsidRPr="001B6E4D" w:rsidRDefault="00E77428"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尚未審查</w:t>
            </w:r>
          </w:p>
        </w:tc>
      </w:tr>
      <w:tr w:rsidR="00E77428" w:rsidRPr="001B6E4D" w14:paraId="2027A75A" w14:textId="77777777" w:rsidTr="00B90461">
        <w:tc>
          <w:tcPr>
            <w:tcW w:w="375" w:type="pct"/>
          </w:tcPr>
          <w:p w14:paraId="40DC0D2C" w14:textId="5B94DBB3"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2</w:t>
            </w:r>
          </w:p>
        </w:tc>
        <w:tc>
          <w:tcPr>
            <w:tcW w:w="1726" w:type="pct"/>
          </w:tcPr>
          <w:p w14:paraId="54F21FBC" w14:textId="0F695CEB" w:rsidR="00E77428" w:rsidRPr="001B6E4D" w:rsidRDefault="00E77428" w:rsidP="003D1018">
            <w:pPr>
              <w:pStyle w:val="01"/>
              <w:overflowPunct w:val="0"/>
              <w:rPr>
                <w:rFonts w:hAnsi="標楷體" w:cs="Times New Roman"/>
                <w:sz w:val="24"/>
                <w:szCs w:val="24"/>
              </w:rPr>
            </w:pPr>
            <w:r w:rsidRPr="001B6E4D">
              <w:rPr>
                <w:rFonts w:hAnsi="標楷體"/>
                <w:sz w:val="24"/>
                <w:szCs w:val="24"/>
              </w:rPr>
              <w:t>2.陸海空軍刑法部分條文修正草案</w:t>
            </w:r>
            <w:proofErr w:type="gramStart"/>
            <w:r w:rsidRPr="001B6E4D">
              <w:rPr>
                <w:rFonts w:hAnsi="標楷體"/>
                <w:sz w:val="24"/>
                <w:szCs w:val="24"/>
              </w:rPr>
              <w:t>（</w:t>
            </w:r>
            <w:proofErr w:type="gramEnd"/>
            <w:r w:rsidRPr="001B6E4D">
              <w:rPr>
                <w:rFonts w:hAnsi="標楷體"/>
                <w:sz w:val="24"/>
                <w:szCs w:val="24"/>
              </w:rPr>
              <w:t>修正§17~19、24。修正重點：現行</w:t>
            </w:r>
            <w:proofErr w:type="gramStart"/>
            <w:r w:rsidRPr="001B6E4D">
              <w:rPr>
                <w:rFonts w:hAnsi="標楷體"/>
                <w:sz w:val="24"/>
                <w:szCs w:val="24"/>
              </w:rPr>
              <w:t>助敵罪</w:t>
            </w:r>
            <w:proofErr w:type="gramEnd"/>
            <w:r w:rsidRPr="001B6E4D">
              <w:rPr>
                <w:rFonts w:hAnsi="標楷體"/>
                <w:sz w:val="24"/>
                <w:szCs w:val="24"/>
              </w:rPr>
              <w:t>相關條文之陰謀或預備犯刑度過輕，</w:t>
            </w:r>
            <w:proofErr w:type="gramStart"/>
            <w:r w:rsidRPr="001B6E4D">
              <w:rPr>
                <w:rFonts w:hAnsi="標楷體"/>
                <w:sz w:val="24"/>
                <w:szCs w:val="24"/>
              </w:rPr>
              <w:t>爰</w:t>
            </w:r>
            <w:proofErr w:type="gramEnd"/>
            <w:r w:rsidRPr="001B6E4D">
              <w:rPr>
                <w:rFonts w:hAnsi="標楷體"/>
                <w:sz w:val="24"/>
                <w:szCs w:val="24"/>
              </w:rPr>
              <w:t>參照刑法外患罪刑度規定予以修正。）</w:t>
            </w:r>
          </w:p>
        </w:tc>
        <w:tc>
          <w:tcPr>
            <w:tcW w:w="1171" w:type="pct"/>
          </w:tcPr>
          <w:p w14:paraId="1F0213FD"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委員王定宇</w:t>
            </w:r>
          </w:p>
          <w:p w14:paraId="2DC599D1"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等18人</w:t>
            </w:r>
          </w:p>
          <w:p w14:paraId="10AAB6A7"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114.03.07</w:t>
            </w:r>
          </w:p>
          <w:p w14:paraId="67B84576" w14:textId="002DE25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（11-3-4）</w:t>
            </w:r>
          </w:p>
        </w:tc>
        <w:tc>
          <w:tcPr>
            <w:tcW w:w="984" w:type="pct"/>
          </w:tcPr>
          <w:p w14:paraId="234DBBBA" w14:textId="6469D40E"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78278BB5" w14:textId="4E75D921"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1E41E178" w14:textId="77777777" w:rsidTr="00B90461">
        <w:tc>
          <w:tcPr>
            <w:tcW w:w="375" w:type="pct"/>
          </w:tcPr>
          <w:p w14:paraId="3CC12369" w14:textId="16B2C000"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3</w:t>
            </w:r>
          </w:p>
        </w:tc>
        <w:tc>
          <w:tcPr>
            <w:tcW w:w="1726" w:type="pct"/>
          </w:tcPr>
          <w:p w14:paraId="58784C9C" w14:textId="5F8E7124" w:rsidR="00E77428" w:rsidRPr="001B6E4D" w:rsidRDefault="00E77428" w:rsidP="003D1018">
            <w:pPr>
              <w:pStyle w:val="01"/>
              <w:overflowPunct w:val="0"/>
              <w:rPr>
                <w:rFonts w:hAnsi="標楷體" w:cs="Times New Roman"/>
                <w:sz w:val="24"/>
                <w:szCs w:val="24"/>
              </w:rPr>
            </w:pPr>
            <w:r w:rsidRPr="001B6E4D">
              <w:rPr>
                <w:rFonts w:hAnsi="標楷體"/>
                <w:sz w:val="24"/>
                <w:szCs w:val="24"/>
              </w:rPr>
              <w:t>陸海空軍刑法第三十九條及第四十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修正重點：「短期離</w:t>
            </w:r>
            <w:proofErr w:type="gramStart"/>
            <w:r w:rsidRPr="001B6E4D">
              <w:rPr>
                <w:rFonts w:hAnsi="標楷體"/>
                <w:sz w:val="24"/>
                <w:szCs w:val="24"/>
              </w:rPr>
              <w:t>去職役罪</w:t>
            </w:r>
            <w:proofErr w:type="gramEnd"/>
            <w:r w:rsidRPr="001B6E4D">
              <w:rPr>
                <w:rFonts w:hAnsi="標楷體"/>
                <w:sz w:val="24"/>
                <w:szCs w:val="24"/>
              </w:rPr>
              <w:t>」逾3日入罪。）</w:t>
            </w:r>
          </w:p>
        </w:tc>
        <w:tc>
          <w:tcPr>
            <w:tcW w:w="1171" w:type="pct"/>
          </w:tcPr>
          <w:p w14:paraId="26ACB802"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委員翁曉玲</w:t>
            </w:r>
          </w:p>
          <w:p w14:paraId="4B1BF1FA"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等18人</w:t>
            </w:r>
          </w:p>
          <w:p w14:paraId="0A1EE814"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113.06.07</w:t>
            </w:r>
          </w:p>
          <w:p w14:paraId="5DE05796" w14:textId="5EB9FC1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（11-1-17）</w:t>
            </w:r>
          </w:p>
        </w:tc>
        <w:tc>
          <w:tcPr>
            <w:tcW w:w="984" w:type="pct"/>
          </w:tcPr>
          <w:p w14:paraId="028CFBC6" w14:textId="0EAE241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75A38C14" w14:textId="481B9A75"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3AD5383D" w14:textId="77777777" w:rsidTr="00B90461">
        <w:tc>
          <w:tcPr>
            <w:tcW w:w="375" w:type="pct"/>
          </w:tcPr>
          <w:p w14:paraId="607368EC" w14:textId="5BE26794"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4</w:t>
            </w:r>
          </w:p>
        </w:tc>
        <w:tc>
          <w:tcPr>
            <w:tcW w:w="1726" w:type="pct"/>
          </w:tcPr>
          <w:p w14:paraId="468D05A4" w14:textId="5127EE47" w:rsidR="00E77428" w:rsidRPr="001B6E4D" w:rsidRDefault="00E77428" w:rsidP="003D1018">
            <w:pPr>
              <w:pStyle w:val="01"/>
              <w:overflowPunct w:val="0"/>
              <w:rPr>
                <w:rFonts w:hAnsi="標楷體" w:cs="Times New Roman"/>
                <w:sz w:val="24"/>
                <w:szCs w:val="24"/>
              </w:rPr>
            </w:pPr>
            <w:r w:rsidRPr="001B6E4D">
              <w:rPr>
                <w:rFonts w:hAnsi="標楷體"/>
                <w:sz w:val="24"/>
                <w:szCs w:val="24"/>
              </w:rPr>
              <w:t>陸海空軍刑法第二十條及第二十二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修正重點：提高洩密罪相關條文刑度。）</w:t>
            </w:r>
          </w:p>
        </w:tc>
        <w:tc>
          <w:tcPr>
            <w:tcW w:w="1171" w:type="pct"/>
          </w:tcPr>
          <w:p w14:paraId="3459BEE1"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委員王定宇</w:t>
            </w:r>
          </w:p>
          <w:p w14:paraId="71FC8285"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等18人</w:t>
            </w:r>
          </w:p>
          <w:p w14:paraId="7F281EC6"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114.04.18</w:t>
            </w:r>
          </w:p>
          <w:p w14:paraId="11093F9A" w14:textId="413198E0"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（11-3-8）</w:t>
            </w:r>
          </w:p>
        </w:tc>
        <w:tc>
          <w:tcPr>
            <w:tcW w:w="984" w:type="pct"/>
          </w:tcPr>
          <w:p w14:paraId="2AD9AF85" w14:textId="14C57D9A"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7C2F3A1C" w14:textId="28B051DF"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0BB1B0A2" w14:textId="77777777" w:rsidTr="00B90461">
        <w:tc>
          <w:tcPr>
            <w:tcW w:w="375" w:type="pct"/>
          </w:tcPr>
          <w:p w14:paraId="20DB3D93" w14:textId="61C77E1D"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5</w:t>
            </w:r>
          </w:p>
        </w:tc>
        <w:tc>
          <w:tcPr>
            <w:tcW w:w="1726" w:type="pct"/>
          </w:tcPr>
          <w:p w14:paraId="15D5F9D6" w14:textId="0FA772F2" w:rsidR="00E77428" w:rsidRPr="001B6E4D" w:rsidRDefault="00E77428" w:rsidP="003D1018">
            <w:pPr>
              <w:pStyle w:val="01"/>
              <w:overflowPunct w:val="0"/>
              <w:rPr>
                <w:rFonts w:hAnsi="標楷體" w:cs="Times New Roman"/>
                <w:sz w:val="24"/>
                <w:szCs w:val="24"/>
              </w:rPr>
            </w:pPr>
            <w:r w:rsidRPr="001B6E4D">
              <w:rPr>
                <w:rFonts w:hAnsi="標楷體"/>
                <w:sz w:val="24"/>
                <w:szCs w:val="24"/>
              </w:rPr>
              <w:t>陸海空軍刑法第五十四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w:t>
            </w:r>
            <w:proofErr w:type="gramStart"/>
            <w:r w:rsidRPr="001B6E4D">
              <w:rPr>
                <w:rFonts w:hAnsi="標楷體"/>
                <w:sz w:val="24"/>
                <w:szCs w:val="24"/>
              </w:rPr>
              <w:t>提高毒駕行為</w:t>
            </w:r>
            <w:proofErr w:type="gramEnd"/>
            <w:r w:rsidRPr="001B6E4D">
              <w:rPr>
                <w:rFonts w:hAnsi="標楷體"/>
                <w:sz w:val="24"/>
                <w:szCs w:val="24"/>
              </w:rPr>
              <w:t>之刑度及罰金刑，增訂沒收動力交通工具規定。）</w:t>
            </w:r>
          </w:p>
        </w:tc>
        <w:tc>
          <w:tcPr>
            <w:tcW w:w="1171" w:type="pct"/>
          </w:tcPr>
          <w:p w14:paraId="36941DA0"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委員王育敏</w:t>
            </w:r>
          </w:p>
          <w:p w14:paraId="6B414822"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等18人</w:t>
            </w:r>
          </w:p>
          <w:p w14:paraId="4279255B"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115.08.14</w:t>
            </w:r>
          </w:p>
          <w:p w14:paraId="1D595F82" w14:textId="3C9AE834"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（11-5-22）</w:t>
            </w:r>
          </w:p>
        </w:tc>
        <w:tc>
          <w:tcPr>
            <w:tcW w:w="984" w:type="pct"/>
          </w:tcPr>
          <w:p w14:paraId="08B1BBE6" w14:textId="0CCEB4C6"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25821D7B" w14:textId="3888216E"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75AF8E66" w14:textId="77777777" w:rsidTr="00B90461">
        <w:tc>
          <w:tcPr>
            <w:tcW w:w="375" w:type="pct"/>
          </w:tcPr>
          <w:p w14:paraId="3AD1EC20" w14:textId="4E96F7D6"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6</w:t>
            </w:r>
          </w:p>
        </w:tc>
        <w:tc>
          <w:tcPr>
            <w:tcW w:w="1726" w:type="pct"/>
          </w:tcPr>
          <w:p w14:paraId="225C6716" w14:textId="1AE289A5" w:rsidR="00E77428" w:rsidRPr="001B6E4D" w:rsidRDefault="00E77428" w:rsidP="003D1018">
            <w:pPr>
              <w:pStyle w:val="01"/>
              <w:overflowPunct w:val="0"/>
              <w:rPr>
                <w:rFonts w:hAnsi="標楷體" w:cs="Times New Roman"/>
                <w:sz w:val="24"/>
                <w:szCs w:val="24"/>
              </w:rPr>
            </w:pPr>
            <w:r w:rsidRPr="001B6E4D">
              <w:rPr>
                <w:rFonts w:hAnsi="標楷體"/>
                <w:sz w:val="24"/>
                <w:szCs w:val="24"/>
              </w:rPr>
              <w:t>軍事審判法第三十四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修正重點：違背「特別法優先原則」，</w:t>
            </w:r>
            <w:proofErr w:type="gramStart"/>
            <w:r w:rsidRPr="001B6E4D">
              <w:rPr>
                <w:rFonts w:hAnsi="標楷體"/>
                <w:sz w:val="24"/>
                <w:szCs w:val="24"/>
              </w:rPr>
              <w:t>爰</w:t>
            </w:r>
            <w:proofErr w:type="gramEnd"/>
            <w:r w:rsidRPr="001B6E4D">
              <w:rPr>
                <w:rFonts w:hAnsi="標楷體"/>
                <w:sz w:val="24"/>
                <w:szCs w:val="24"/>
              </w:rPr>
              <w:t>提案修正。）</w:t>
            </w:r>
          </w:p>
        </w:tc>
        <w:tc>
          <w:tcPr>
            <w:tcW w:w="1171" w:type="pct"/>
          </w:tcPr>
          <w:p w14:paraId="17B8069D"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委員翁曉玲</w:t>
            </w:r>
          </w:p>
          <w:p w14:paraId="09E283CA"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等16人</w:t>
            </w:r>
          </w:p>
          <w:p w14:paraId="51E68C30"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113.04.19</w:t>
            </w:r>
          </w:p>
          <w:p w14:paraId="5C75DA86" w14:textId="149CE2EF"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（11-1-10）</w:t>
            </w:r>
          </w:p>
        </w:tc>
        <w:tc>
          <w:tcPr>
            <w:tcW w:w="984" w:type="pct"/>
          </w:tcPr>
          <w:p w14:paraId="304D2E28" w14:textId="50CA90F6"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1BF08874" w14:textId="4969E543"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13357F52" w14:textId="77777777" w:rsidTr="00B90461">
        <w:tc>
          <w:tcPr>
            <w:tcW w:w="375" w:type="pct"/>
          </w:tcPr>
          <w:p w14:paraId="6AF6CB19" w14:textId="043EC53A"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7</w:t>
            </w:r>
          </w:p>
        </w:tc>
        <w:tc>
          <w:tcPr>
            <w:tcW w:w="1726" w:type="pct"/>
          </w:tcPr>
          <w:p w14:paraId="18DA7B97" w14:textId="4381EFAC" w:rsidR="00E77428" w:rsidRPr="001B6E4D" w:rsidRDefault="00E77428" w:rsidP="003D1018">
            <w:pPr>
              <w:pStyle w:val="01"/>
              <w:overflowPunct w:val="0"/>
              <w:rPr>
                <w:rFonts w:hAnsi="標楷體" w:cs="Times New Roman"/>
                <w:sz w:val="24"/>
                <w:szCs w:val="24"/>
              </w:rPr>
            </w:pPr>
            <w:r w:rsidRPr="001B6E4D">
              <w:rPr>
                <w:rFonts w:hAnsi="標楷體"/>
                <w:sz w:val="24"/>
                <w:szCs w:val="24"/>
              </w:rPr>
              <w:t>軍事審判法增訂第二百三十七條之</w:t>
            </w:r>
            <w:proofErr w:type="gramStart"/>
            <w:r w:rsidRPr="001B6E4D">
              <w:rPr>
                <w:rFonts w:hAnsi="標楷體"/>
                <w:sz w:val="24"/>
                <w:szCs w:val="24"/>
              </w:rPr>
              <w:t>一</w:t>
            </w:r>
            <w:proofErr w:type="gramEnd"/>
            <w:r w:rsidRPr="001B6E4D">
              <w:rPr>
                <w:rFonts w:hAnsi="標楷體"/>
                <w:sz w:val="24"/>
                <w:szCs w:val="24"/>
              </w:rPr>
              <w:t>條文草案</w:t>
            </w:r>
            <w:proofErr w:type="gramStart"/>
            <w:r w:rsidRPr="001B6E4D">
              <w:rPr>
                <w:rFonts w:hAnsi="標楷體"/>
                <w:sz w:val="24"/>
                <w:szCs w:val="24"/>
              </w:rPr>
              <w:t>（</w:t>
            </w:r>
            <w:proofErr w:type="gramEnd"/>
            <w:r w:rsidRPr="001B6E4D">
              <w:rPr>
                <w:rFonts w:hAnsi="標楷體"/>
                <w:sz w:val="24"/>
                <w:szCs w:val="24"/>
              </w:rPr>
              <w:t>增訂重點：將本法及其他法律所稱或涉及各級軍事法院檢察署之文字，修正為各級軍事檢察署。）</w:t>
            </w:r>
          </w:p>
        </w:tc>
        <w:tc>
          <w:tcPr>
            <w:tcW w:w="1171" w:type="pct"/>
          </w:tcPr>
          <w:p w14:paraId="755E718B"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委員伍麗華</w:t>
            </w:r>
          </w:p>
          <w:p w14:paraId="4336D483" w14:textId="77777777" w:rsidR="00E77428" w:rsidRPr="001B6E4D" w:rsidRDefault="00E77428" w:rsidP="003D1018">
            <w:pPr>
              <w:overflowPunct w:val="0"/>
              <w:jc w:val="both"/>
              <w:rPr>
                <w:rFonts w:ascii="標楷體" w:eastAsia="標楷體" w:hAnsi="標楷體"/>
                <w:sz w:val="24"/>
              </w:rPr>
            </w:pPr>
            <w:proofErr w:type="spellStart"/>
            <w:r w:rsidRPr="001B6E4D">
              <w:rPr>
                <w:rFonts w:ascii="標楷體" w:eastAsia="標楷體" w:hAnsi="標楷體"/>
                <w:sz w:val="24"/>
              </w:rPr>
              <w:t>Saidhai</w:t>
            </w:r>
            <w:proofErr w:type="spellEnd"/>
            <w:r w:rsidRPr="001B6E4D">
              <w:rPr>
                <w:rFonts w:ascii="標楷體" w:eastAsia="標楷體" w:hAnsi="標楷體"/>
                <w:sz w:val="24"/>
              </w:rPr>
              <w:t>‧</w:t>
            </w:r>
          </w:p>
          <w:p w14:paraId="2983788A" w14:textId="77777777" w:rsidR="00E77428" w:rsidRPr="001B6E4D" w:rsidRDefault="00E77428" w:rsidP="003D1018">
            <w:pPr>
              <w:overflowPunct w:val="0"/>
              <w:jc w:val="both"/>
              <w:rPr>
                <w:rFonts w:ascii="標楷體" w:eastAsia="標楷體" w:hAnsi="標楷體"/>
                <w:sz w:val="24"/>
              </w:rPr>
            </w:pPr>
            <w:proofErr w:type="spellStart"/>
            <w:r w:rsidRPr="001B6E4D">
              <w:rPr>
                <w:rFonts w:ascii="標楷體" w:eastAsia="標楷體" w:hAnsi="標楷體"/>
                <w:sz w:val="24"/>
              </w:rPr>
              <w:t>Tahovecahe</w:t>
            </w:r>
            <w:proofErr w:type="spellEnd"/>
          </w:p>
          <w:p w14:paraId="33B3FC88"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等18人</w:t>
            </w:r>
          </w:p>
          <w:p w14:paraId="1AEBC24D"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114.05.16</w:t>
            </w:r>
          </w:p>
          <w:p w14:paraId="2DD2CE37" w14:textId="6189D618"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（11-3-12）</w:t>
            </w:r>
          </w:p>
        </w:tc>
        <w:tc>
          <w:tcPr>
            <w:tcW w:w="984" w:type="pct"/>
          </w:tcPr>
          <w:p w14:paraId="0B3DE954" w14:textId="63B1AA72"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612CEAB8" w14:textId="31702E3F"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3476FDAA" w14:textId="77777777" w:rsidTr="00B90461">
        <w:tc>
          <w:tcPr>
            <w:tcW w:w="375" w:type="pct"/>
          </w:tcPr>
          <w:p w14:paraId="0662248A" w14:textId="34D2020E"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8</w:t>
            </w:r>
          </w:p>
        </w:tc>
        <w:tc>
          <w:tcPr>
            <w:tcW w:w="1726" w:type="pct"/>
          </w:tcPr>
          <w:p w14:paraId="7E207B00" w14:textId="29A2D4E0" w:rsidR="00E77428" w:rsidRPr="001B6E4D" w:rsidRDefault="00E77428" w:rsidP="003D1018">
            <w:pPr>
              <w:pStyle w:val="01"/>
              <w:overflowPunct w:val="0"/>
              <w:rPr>
                <w:rFonts w:hAnsi="標楷體" w:cs="Times New Roman"/>
                <w:sz w:val="24"/>
                <w:szCs w:val="24"/>
              </w:rPr>
            </w:pPr>
            <w:r w:rsidRPr="001B6E4D">
              <w:rPr>
                <w:rFonts w:hAnsi="標楷體"/>
                <w:sz w:val="24"/>
                <w:szCs w:val="24"/>
              </w:rPr>
              <w:t>軍事審判法第一百八十一條及第二百零四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修正重點：明定軍人犯罪案件不論平時或戰時，其終審救濟均應由普通法院受理；刪除專科死刑相關規定。）</w:t>
            </w:r>
          </w:p>
        </w:tc>
        <w:tc>
          <w:tcPr>
            <w:tcW w:w="1171" w:type="pct"/>
          </w:tcPr>
          <w:p w14:paraId="6FB7FF1A"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委員邱志偉</w:t>
            </w:r>
          </w:p>
          <w:p w14:paraId="00C27A1E"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等20人</w:t>
            </w:r>
          </w:p>
          <w:p w14:paraId="3FD37324"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114.11.28</w:t>
            </w:r>
          </w:p>
          <w:p w14:paraId="71B0FE56" w14:textId="2DF5064B"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（11-4-11）</w:t>
            </w:r>
          </w:p>
        </w:tc>
        <w:tc>
          <w:tcPr>
            <w:tcW w:w="984" w:type="pct"/>
          </w:tcPr>
          <w:p w14:paraId="2E1A1F7B" w14:textId="7B018F0C"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3B367D70" w14:textId="0F5FD493"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076E4D69" w14:textId="77777777" w:rsidTr="00B90461">
        <w:tc>
          <w:tcPr>
            <w:tcW w:w="375" w:type="pct"/>
          </w:tcPr>
          <w:p w14:paraId="53EE43A4" w14:textId="1DB91D70"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lastRenderedPageBreak/>
              <w:t>9</w:t>
            </w:r>
          </w:p>
        </w:tc>
        <w:tc>
          <w:tcPr>
            <w:tcW w:w="1726" w:type="pct"/>
          </w:tcPr>
          <w:p w14:paraId="76A5BF18" w14:textId="79454A2D" w:rsidR="00E77428" w:rsidRPr="001B6E4D" w:rsidRDefault="00E77428" w:rsidP="003D1018">
            <w:pPr>
              <w:pStyle w:val="01"/>
              <w:overflowPunct w:val="0"/>
              <w:rPr>
                <w:rFonts w:hAnsi="標楷體" w:cs="Times New Roman"/>
                <w:sz w:val="24"/>
                <w:szCs w:val="24"/>
              </w:rPr>
            </w:pPr>
            <w:r w:rsidRPr="001B6E4D">
              <w:rPr>
                <w:rFonts w:hAnsi="標楷體"/>
                <w:sz w:val="24"/>
                <w:szCs w:val="24"/>
              </w:rPr>
              <w:t>後備軍人轉任公職考試比敘條例第五條之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修正重點：國軍中校以上軍官轉任公務人員以考試定其資格。）</w:t>
            </w:r>
          </w:p>
        </w:tc>
        <w:tc>
          <w:tcPr>
            <w:tcW w:w="1171" w:type="pct"/>
          </w:tcPr>
          <w:p w14:paraId="73D03B73"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委員伍麗華</w:t>
            </w:r>
          </w:p>
          <w:p w14:paraId="16859182" w14:textId="77777777" w:rsidR="00E77428" w:rsidRPr="001B6E4D" w:rsidRDefault="00E77428" w:rsidP="003D1018">
            <w:pPr>
              <w:overflowPunct w:val="0"/>
              <w:jc w:val="both"/>
              <w:rPr>
                <w:rFonts w:ascii="標楷體" w:eastAsia="標楷體" w:hAnsi="標楷體"/>
                <w:sz w:val="24"/>
              </w:rPr>
            </w:pPr>
            <w:proofErr w:type="spellStart"/>
            <w:r w:rsidRPr="001B6E4D">
              <w:rPr>
                <w:rFonts w:ascii="標楷體" w:eastAsia="標楷體" w:hAnsi="標楷體"/>
                <w:sz w:val="24"/>
              </w:rPr>
              <w:t>Saidhai</w:t>
            </w:r>
            <w:proofErr w:type="spellEnd"/>
            <w:r w:rsidRPr="001B6E4D">
              <w:rPr>
                <w:rFonts w:ascii="標楷體" w:eastAsia="標楷體" w:hAnsi="標楷體"/>
                <w:sz w:val="24"/>
              </w:rPr>
              <w:t>‧</w:t>
            </w:r>
          </w:p>
          <w:p w14:paraId="1D2BDCE7" w14:textId="77777777" w:rsidR="00E77428" w:rsidRPr="001B6E4D" w:rsidRDefault="00E77428" w:rsidP="003D1018">
            <w:pPr>
              <w:overflowPunct w:val="0"/>
              <w:jc w:val="both"/>
              <w:rPr>
                <w:rFonts w:ascii="標楷體" w:eastAsia="標楷體" w:hAnsi="標楷體"/>
                <w:sz w:val="24"/>
              </w:rPr>
            </w:pPr>
            <w:proofErr w:type="spellStart"/>
            <w:r w:rsidRPr="001B6E4D">
              <w:rPr>
                <w:rFonts w:ascii="標楷體" w:eastAsia="標楷體" w:hAnsi="標楷體"/>
                <w:sz w:val="24"/>
              </w:rPr>
              <w:t>Tahovecahe</w:t>
            </w:r>
            <w:proofErr w:type="spellEnd"/>
          </w:p>
          <w:p w14:paraId="36C657FE"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等18人</w:t>
            </w:r>
          </w:p>
          <w:p w14:paraId="722A8F73"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114.05.16</w:t>
            </w:r>
          </w:p>
          <w:p w14:paraId="019D86E2" w14:textId="65CE295C"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（11-3-12）</w:t>
            </w:r>
          </w:p>
        </w:tc>
        <w:tc>
          <w:tcPr>
            <w:tcW w:w="984" w:type="pct"/>
          </w:tcPr>
          <w:p w14:paraId="134C3CF5" w14:textId="230AB92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6ECB46F6" w14:textId="26508DF1"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4BA08A3A" w14:textId="77777777" w:rsidTr="00B90461">
        <w:tc>
          <w:tcPr>
            <w:tcW w:w="375" w:type="pct"/>
          </w:tcPr>
          <w:p w14:paraId="2D9C5E95" w14:textId="0074432D"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10</w:t>
            </w:r>
          </w:p>
        </w:tc>
        <w:tc>
          <w:tcPr>
            <w:tcW w:w="1726" w:type="pct"/>
          </w:tcPr>
          <w:p w14:paraId="62E53EC3" w14:textId="036B8530" w:rsidR="00E77428" w:rsidRPr="001B6E4D" w:rsidRDefault="00E77428" w:rsidP="003D1018">
            <w:pPr>
              <w:pStyle w:val="01"/>
              <w:overflowPunct w:val="0"/>
              <w:rPr>
                <w:rFonts w:hAnsi="標楷體" w:cs="Times New Roman"/>
                <w:sz w:val="24"/>
                <w:szCs w:val="24"/>
              </w:rPr>
            </w:pPr>
            <w:r w:rsidRPr="001B6E4D">
              <w:rPr>
                <w:rFonts w:hAnsi="標楷體"/>
                <w:sz w:val="24"/>
                <w:szCs w:val="24"/>
              </w:rPr>
              <w:t>陸海空軍軍官士官任職條例第十二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修正重點：新增受降階懲罰者，於停止任用期間屆滿，合於回役規定及相關條件者，得申請復職之規定。）</w:t>
            </w:r>
          </w:p>
        </w:tc>
        <w:tc>
          <w:tcPr>
            <w:tcW w:w="1171" w:type="pct"/>
          </w:tcPr>
          <w:p w14:paraId="331B99E1"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委員伍麗華</w:t>
            </w:r>
          </w:p>
          <w:p w14:paraId="44EB28C0" w14:textId="77777777" w:rsidR="00E77428" w:rsidRPr="001B6E4D" w:rsidRDefault="00E77428" w:rsidP="003D1018">
            <w:pPr>
              <w:overflowPunct w:val="0"/>
              <w:jc w:val="both"/>
              <w:rPr>
                <w:rFonts w:ascii="標楷體" w:eastAsia="標楷體" w:hAnsi="標楷體"/>
                <w:sz w:val="24"/>
              </w:rPr>
            </w:pPr>
            <w:proofErr w:type="spellStart"/>
            <w:r w:rsidRPr="001B6E4D">
              <w:rPr>
                <w:rFonts w:ascii="標楷體" w:eastAsia="標楷體" w:hAnsi="標楷體"/>
                <w:sz w:val="24"/>
              </w:rPr>
              <w:t>Saidhai</w:t>
            </w:r>
            <w:proofErr w:type="spellEnd"/>
            <w:r w:rsidRPr="001B6E4D">
              <w:rPr>
                <w:rFonts w:ascii="標楷體" w:eastAsia="標楷體" w:hAnsi="標楷體"/>
                <w:sz w:val="24"/>
              </w:rPr>
              <w:t>‧</w:t>
            </w:r>
          </w:p>
          <w:p w14:paraId="0C8729B1" w14:textId="77777777" w:rsidR="00E77428" w:rsidRPr="001B6E4D" w:rsidRDefault="00E77428" w:rsidP="003D1018">
            <w:pPr>
              <w:overflowPunct w:val="0"/>
              <w:jc w:val="both"/>
              <w:rPr>
                <w:rFonts w:ascii="標楷體" w:eastAsia="標楷體" w:hAnsi="標楷體"/>
                <w:sz w:val="24"/>
              </w:rPr>
            </w:pPr>
            <w:proofErr w:type="spellStart"/>
            <w:r w:rsidRPr="001B6E4D">
              <w:rPr>
                <w:rFonts w:ascii="標楷體" w:eastAsia="標楷體" w:hAnsi="標楷體"/>
                <w:sz w:val="24"/>
              </w:rPr>
              <w:t>Tahovecahe</w:t>
            </w:r>
            <w:proofErr w:type="spellEnd"/>
          </w:p>
          <w:p w14:paraId="385719E8"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等17人</w:t>
            </w:r>
          </w:p>
          <w:p w14:paraId="0089B260"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114.05.16</w:t>
            </w:r>
          </w:p>
          <w:p w14:paraId="58594FC0" w14:textId="3D8CBF3A"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（11-3-12）</w:t>
            </w:r>
          </w:p>
        </w:tc>
        <w:tc>
          <w:tcPr>
            <w:tcW w:w="984" w:type="pct"/>
          </w:tcPr>
          <w:p w14:paraId="75556F82" w14:textId="625FDCA4"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69A3CA9B" w14:textId="2E8A38EA"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75FE9D2E" w14:textId="77777777" w:rsidTr="00B90461">
        <w:tc>
          <w:tcPr>
            <w:tcW w:w="375" w:type="pct"/>
          </w:tcPr>
          <w:p w14:paraId="7A5F2B87" w14:textId="7186662C"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11</w:t>
            </w:r>
          </w:p>
        </w:tc>
        <w:tc>
          <w:tcPr>
            <w:tcW w:w="1726" w:type="pct"/>
          </w:tcPr>
          <w:p w14:paraId="3015C74A" w14:textId="4D1B0DD7" w:rsidR="00E77428" w:rsidRPr="001B6E4D" w:rsidRDefault="00E77428" w:rsidP="003D1018">
            <w:pPr>
              <w:pStyle w:val="01"/>
              <w:overflowPunct w:val="0"/>
              <w:rPr>
                <w:rFonts w:hAnsi="標楷體" w:cs="Times New Roman"/>
                <w:sz w:val="24"/>
                <w:szCs w:val="24"/>
              </w:rPr>
            </w:pPr>
            <w:r w:rsidRPr="001B6E4D">
              <w:rPr>
                <w:rFonts w:hAnsi="標楷體"/>
                <w:sz w:val="24"/>
                <w:szCs w:val="24"/>
              </w:rPr>
              <w:t>1.陸海空軍軍官士官任職條例第九條之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修正重點：育嬰留職停薪適用之子女年齡延長至6歲以下。）</w:t>
            </w:r>
          </w:p>
        </w:tc>
        <w:tc>
          <w:tcPr>
            <w:tcW w:w="1171" w:type="pct"/>
          </w:tcPr>
          <w:p w14:paraId="61739182"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行政院</w:t>
            </w:r>
          </w:p>
          <w:p w14:paraId="29A1FFBF"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115.07.10</w:t>
            </w:r>
          </w:p>
          <w:p w14:paraId="4E8B356D" w14:textId="46DCFBDB"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（11-5-17）</w:t>
            </w:r>
          </w:p>
        </w:tc>
        <w:tc>
          <w:tcPr>
            <w:tcW w:w="984" w:type="pct"/>
          </w:tcPr>
          <w:p w14:paraId="4D8D84BE" w14:textId="51B9D7A5"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492A4750" w14:textId="560840A4"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109F2FF4" w14:textId="77777777" w:rsidTr="00B90461">
        <w:tc>
          <w:tcPr>
            <w:tcW w:w="375" w:type="pct"/>
          </w:tcPr>
          <w:p w14:paraId="3D4437DA" w14:textId="6D77A72F"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12</w:t>
            </w:r>
          </w:p>
        </w:tc>
        <w:tc>
          <w:tcPr>
            <w:tcW w:w="1726" w:type="pct"/>
          </w:tcPr>
          <w:p w14:paraId="7D1F7B29" w14:textId="4850AC3D" w:rsidR="00E77428" w:rsidRPr="001B6E4D" w:rsidRDefault="00E77428" w:rsidP="003D1018">
            <w:pPr>
              <w:pStyle w:val="01"/>
              <w:overflowPunct w:val="0"/>
              <w:rPr>
                <w:rFonts w:hAnsi="標楷體" w:cs="Times New Roman"/>
                <w:sz w:val="24"/>
                <w:szCs w:val="24"/>
              </w:rPr>
            </w:pPr>
            <w:r w:rsidRPr="001B6E4D">
              <w:rPr>
                <w:rFonts w:hAnsi="標楷體"/>
                <w:sz w:val="24"/>
                <w:szCs w:val="24"/>
              </w:rPr>
              <w:t>2.陸海空軍軍官士官任職條例第九條之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修正重點：育嬰留職停薪適用子女年齡延長至6歲以下。）</w:t>
            </w:r>
          </w:p>
        </w:tc>
        <w:tc>
          <w:tcPr>
            <w:tcW w:w="1171" w:type="pct"/>
          </w:tcPr>
          <w:p w14:paraId="60E8B9F9"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委員陳俊宇</w:t>
            </w:r>
          </w:p>
          <w:p w14:paraId="5B335CAC"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等19人</w:t>
            </w:r>
          </w:p>
          <w:p w14:paraId="5C771CCE"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115.07.14</w:t>
            </w:r>
          </w:p>
          <w:p w14:paraId="3BC4D359" w14:textId="6099015F"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（11-5-17）</w:t>
            </w:r>
          </w:p>
        </w:tc>
        <w:tc>
          <w:tcPr>
            <w:tcW w:w="984" w:type="pct"/>
          </w:tcPr>
          <w:p w14:paraId="08ECD620" w14:textId="081F3DD5"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00DF4679" w14:textId="0FEAD144"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60441977" w14:textId="77777777" w:rsidTr="00B90461">
        <w:tc>
          <w:tcPr>
            <w:tcW w:w="375" w:type="pct"/>
          </w:tcPr>
          <w:p w14:paraId="2637F437" w14:textId="227A684D"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13</w:t>
            </w:r>
          </w:p>
        </w:tc>
        <w:tc>
          <w:tcPr>
            <w:tcW w:w="1726" w:type="pct"/>
          </w:tcPr>
          <w:p w14:paraId="4BA096F4" w14:textId="154559CC" w:rsidR="00E77428" w:rsidRPr="001B6E4D" w:rsidRDefault="00E77428" w:rsidP="003D1018">
            <w:pPr>
              <w:pStyle w:val="01"/>
              <w:overflowPunct w:val="0"/>
              <w:rPr>
                <w:rFonts w:hAnsi="標楷體" w:cs="Times New Roman"/>
                <w:sz w:val="24"/>
                <w:szCs w:val="24"/>
              </w:rPr>
            </w:pPr>
            <w:r w:rsidRPr="001B6E4D">
              <w:rPr>
                <w:rFonts w:hAnsi="標楷體"/>
                <w:sz w:val="24"/>
                <w:szCs w:val="24"/>
              </w:rPr>
              <w:t>3.陸海空軍軍官士官任職條例第九條之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修正重點：修正育嬰留職停薪適用子女年齡為6歲以下。）</w:t>
            </w:r>
          </w:p>
        </w:tc>
        <w:tc>
          <w:tcPr>
            <w:tcW w:w="1171" w:type="pct"/>
          </w:tcPr>
          <w:p w14:paraId="33F37626"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委員沈伯洋</w:t>
            </w:r>
          </w:p>
          <w:p w14:paraId="1E084FDF"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等17人</w:t>
            </w:r>
          </w:p>
          <w:p w14:paraId="3FECDD1A"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115.07.17</w:t>
            </w:r>
          </w:p>
          <w:p w14:paraId="6ACBF896" w14:textId="7CEB0608"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（11-5-18）</w:t>
            </w:r>
          </w:p>
        </w:tc>
        <w:tc>
          <w:tcPr>
            <w:tcW w:w="984" w:type="pct"/>
          </w:tcPr>
          <w:p w14:paraId="2E0C8C8D" w14:textId="1EB28A79"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3278D304" w14:textId="6B523439"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5ABBEF01" w14:textId="77777777" w:rsidTr="00B90461">
        <w:tc>
          <w:tcPr>
            <w:tcW w:w="375" w:type="pct"/>
          </w:tcPr>
          <w:p w14:paraId="15C7ADD4" w14:textId="6300A2BD"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14</w:t>
            </w:r>
          </w:p>
        </w:tc>
        <w:tc>
          <w:tcPr>
            <w:tcW w:w="1726" w:type="pct"/>
          </w:tcPr>
          <w:p w14:paraId="286461D4" w14:textId="2A56A467" w:rsidR="00E77428" w:rsidRPr="001B6E4D" w:rsidRDefault="00E77428" w:rsidP="003D1018">
            <w:pPr>
              <w:pStyle w:val="01"/>
              <w:overflowPunct w:val="0"/>
              <w:rPr>
                <w:rFonts w:hAnsi="標楷體" w:cs="Times New Roman"/>
                <w:sz w:val="24"/>
                <w:szCs w:val="24"/>
              </w:rPr>
            </w:pPr>
            <w:r w:rsidRPr="001B6E4D">
              <w:rPr>
                <w:rFonts w:hAnsi="標楷體"/>
                <w:sz w:val="24"/>
                <w:szCs w:val="24"/>
              </w:rPr>
              <w:t>4.陸海空軍軍官士官任職條例第九條之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修正重點：將申請留職停薪之子女年齡提高至6歲以下。）</w:t>
            </w:r>
          </w:p>
        </w:tc>
        <w:tc>
          <w:tcPr>
            <w:tcW w:w="1171" w:type="pct"/>
          </w:tcPr>
          <w:p w14:paraId="343A8D98"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4556D962"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115.07.17</w:t>
            </w:r>
          </w:p>
          <w:p w14:paraId="2E09C441" w14:textId="2FDE6449"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（11-5-18）</w:t>
            </w:r>
          </w:p>
        </w:tc>
        <w:tc>
          <w:tcPr>
            <w:tcW w:w="984" w:type="pct"/>
          </w:tcPr>
          <w:p w14:paraId="47BABAF8" w14:textId="5BE96411"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61A38F43" w14:textId="508095BC"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5E2D91C4" w14:textId="77777777" w:rsidTr="00B90461">
        <w:tc>
          <w:tcPr>
            <w:tcW w:w="375" w:type="pct"/>
          </w:tcPr>
          <w:p w14:paraId="300763F2" w14:textId="60BE99C3"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15</w:t>
            </w:r>
          </w:p>
        </w:tc>
        <w:tc>
          <w:tcPr>
            <w:tcW w:w="1726" w:type="pct"/>
          </w:tcPr>
          <w:p w14:paraId="2692119C" w14:textId="0C128BBF" w:rsidR="00E77428" w:rsidRPr="001B6E4D" w:rsidRDefault="00E77428" w:rsidP="003D1018">
            <w:pPr>
              <w:pStyle w:val="01"/>
              <w:overflowPunct w:val="0"/>
              <w:rPr>
                <w:rFonts w:hAnsi="標楷體" w:cs="Times New Roman"/>
                <w:sz w:val="24"/>
                <w:szCs w:val="24"/>
              </w:rPr>
            </w:pPr>
            <w:r w:rsidRPr="001B6E4D">
              <w:rPr>
                <w:rFonts w:hAnsi="標楷體"/>
                <w:sz w:val="24"/>
                <w:szCs w:val="24"/>
              </w:rPr>
              <w:t>5.陸海空軍軍官士官任職</w:t>
            </w:r>
            <w:r w:rsidRPr="001B6E4D">
              <w:rPr>
                <w:rFonts w:hAnsi="標楷體"/>
                <w:sz w:val="24"/>
                <w:szCs w:val="24"/>
              </w:rPr>
              <w:lastRenderedPageBreak/>
              <w:t>條例第九條之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修正重點：將申請留職停薪之子女年齡放寬至6歲以下。）</w:t>
            </w:r>
          </w:p>
        </w:tc>
        <w:tc>
          <w:tcPr>
            <w:tcW w:w="1171" w:type="pct"/>
          </w:tcPr>
          <w:p w14:paraId="7EB5787C"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lastRenderedPageBreak/>
              <w:t>委員廖偉翔</w:t>
            </w:r>
          </w:p>
          <w:p w14:paraId="12DC2190"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lastRenderedPageBreak/>
              <w:t>等17人</w:t>
            </w:r>
          </w:p>
          <w:p w14:paraId="2200562C"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115.07.24</w:t>
            </w:r>
          </w:p>
          <w:p w14:paraId="4CBA4737" w14:textId="01F6AD0E"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（11-5-19）</w:t>
            </w:r>
          </w:p>
        </w:tc>
        <w:tc>
          <w:tcPr>
            <w:tcW w:w="984" w:type="pct"/>
          </w:tcPr>
          <w:p w14:paraId="214AF601" w14:textId="5D93129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lastRenderedPageBreak/>
              <w:t>司法及法制、</w:t>
            </w:r>
            <w:r w:rsidRPr="001B6E4D">
              <w:rPr>
                <w:rFonts w:ascii="標楷體" w:eastAsia="標楷體" w:hAnsi="標楷體"/>
                <w:sz w:val="24"/>
              </w:rPr>
              <w:lastRenderedPageBreak/>
              <w:t>外交及國防</w:t>
            </w:r>
          </w:p>
        </w:tc>
        <w:tc>
          <w:tcPr>
            <w:tcW w:w="744" w:type="pct"/>
          </w:tcPr>
          <w:p w14:paraId="53CC42DA" w14:textId="358DF67A"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lastRenderedPageBreak/>
              <w:t>尚未審查</w:t>
            </w:r>
          </w:p>
        </w:tc>
      </w:tr>
      <w:tr w:rsidR="00E77428" w:rsidRPr="001B6E4D" w14:paraId="1938A806" w14:textId="77777777" w:rsidTr="00B90461">
        <w:tc>
          <w:tcPr>
            <w:tcW w:w="375" w:type="pct"/>
          </w:tcPr>
          <w:p w14:paraId="457B4822" w14:textId="763B1C54"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16</w:t>
            </w:r>
          </w:p>
        </w:tc>
        <w:tc>
          <w:tcPr>
            <w:tcW w:w="1726" w:type="pct"/>
          </w:tcPr>
          <w:p w14:paraId="258B0CDB" w14:textId="18184945" w:rsidR="00E77428" w:rsidRPr="001B6E4D" w:rsidRDefault="00E77428" w:rsidP="003D1018">
            <w:pPr>
              <w:pStyle w:val="01"/>
              <w:overflowPunct w:val="0"/>
              <w:rPr>
                <w:rFonts w:hAnsi="標楷體" w:cs="Times New Roman"/>
                <w:sz w:val="24"/>
                <w:szCs w:val="24"/>
              </w:rPr>
            </w:pPr>
            <w:r w:rsidRPr="001B6E4D">
              <w:rPr>
                <w:rFonts w:hAnsi="標楷體"/>
                <w:sz w:val="24"/>
                <w:szCs w:val="24"/>
              </w:rPr>
              <w:t>6.陸海空軍軍官士官任職條例第九條之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修正重點：將申請留職停薪之子女年齡上限擴大至6歲以下。）</w:t>
            </w:r>
          </w:p>
        </w:tc>
        <w:tc>
          <w:tcPr>
            <w:tcW w:w="1171" w:type="pct"/>
          </w:tcPr>
          <w:p w14:paraId="3181D02C"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委員林楚</w:t>
            </w:r>
            <w:proofErr w:type="gramStart"/>
            <w:r w:rsidRPr="001B6E4D">
              <w:rPr>
                <w:rFonts w:ascii="標楷體" w:eastAsia="標楷體" w:hAnsi="標楷體"/>
                <w:sz w:val="24"/>
              </w:rPr>
              <w:t>茵</w:t>
            </w:r>
            <w:proofErr w:type="gramEnd"/>
          </w:p>
          <w:p w14:paraId="5C1BFF6D"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等17人</w:t>
            </w:r>
          </w:p>
          <w:p w14:paraId="3922D177"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115.07.24</w:t>
            </w:r>
          </w:p>
          <w:p w14:paraId="6278F27E" w14:textId="07CA860B"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（11-5-19）</w:t>
            </w:r>
          </w:p>
        </w:tc>
        <w:tc>
          <w:tcPr>
            <w:tcW w:w="984" w:type="pct"/>
          </w:tcPr>
          <w:p w14:paraId="54FBA9CF" w14:textId="2FB2C52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55AE4277" w14:textId="201480C8"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4EE9F02E" w14:textId="77777777" w:rsidTr="00B90461">
        <w:tc>
          <w:tcPr>
            <w:tcW w:w="375" w:type="pct"/>
          </w:tcPr>
          <w:p w14:paraId="40765F26" w14:textId="7FB00699"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17</w:t>
            </w:r>
          </w:p>
        </w:tc>
        <w:tc>
          <w:tcPr>
            <w:tcW w:w="1726" w:type="pct"/>
          </w:tcPr>
          <w:p w14:paraId="182D1AC9" w14:textId="1EFA1F62" w:rsidR="00E77428" w:rsidRPr="001B6E4D" w:rsidRDefault="00E77428" w:rsidP="003D1018">
            <w:pPr>
              <w:pStyle w:val="01"/>
              <w:overflowPunct w:val="0"/>
              <w:rPr>
                <w:rFonts w:hAnsi="標楷體"/>
                <w:sz w:val="24"/>
                <w:szCs w:val="24"/>
              </w:rPr>
            </w:pPr>
            <w:r w:rsidRPr="001B6E4D">
              <w:rPr>
                <w:rFonts w:hAnsi="標楷體"/>
                <w:sz w:val="24"/>
                <w:szCs w:val="24"/>
              </w:rPr>
              <w:t>7.陸海空軍軍官士官任職條例第九條之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修正重點：將申請留職停薪之子女年齡提高至6歲以下。）</w:t>
            </w:r>
          </w:p>
        </w:tc>
        <w:tc>
          <w:tcPr>
            <w:tcW w:w="1171" w:type="pct"/>
          </w:tcPr>
          <w:p w14:paraId="7C92B98E"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委員鄭天財</w:t>
            </w:r>
          </w:p>
          <w:p w14:paraId="23E57D51" w14:textId="77777777" w:rsidR="00E77428" w:rsidRPr="001B6E4D" w:rsidRDefault="00E77428" w:rsidP="003D1018">
            <w:pPr>
              <w:overflowPunct w:val="0"/>
              <w:jc w:val="both"/>
              <w:rPr>
                <w:rFonts w:ascii="標楷體" w:eastAsia="標楷體" w:hAnsi="標楷體"/>
                <w:sz w:val="24"/>
              </w:rPr>
            </w:pPr>
            <w:proofErr w:type="spellStart"/>
            <w:r w:rsidRPr="001B6E4D">
              <w:rPr>
                <w:rFonts w:ascii="標楷體" w:eastAsia="標楷體" w:hAnsi="標楷體"/>
                <w:sz w:val="24"/>
              </w:rPr>
              <w:t>Sra</w:t>
            </w:r>
            <w:proofErr w:type="spellEnd"/>
            <w:r w:rsidRPr="001B6E4D">
              <w:rPr>
                <w:rFonts w:ascii="標楷體" w:eastAsia="標楷體" w:hAnsi="標楷體"/>
                <w:sz w:val="24"/>
              </w:rPr>
              <w:t xml:space="preserve"> </w:t>
            </w:r>
            <w:proofErr w:type="spellStart"/>
            <w:r w:rsidRPr="001B6E4D">
              <w:rPr>
                <w:rFonts w:ascii="標楷體" w:eastAsia="標楷體" w:hAnsi="標楷體"/>
                <w:sz w:val="24"/>
              </w:rPr>
              <w:t>Kacaw</w:t>
            </w:r>
            <w:proofErr w:type="spellEnd"/>
          </w:p>
          <w:p w14:paraId="3605424D"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等17人</w:t>
            </w:r>
          </w:p>
          <w:p w14:paraId="02CD4E75"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115.07.24</w:t>
            </w:r>
          </w:p>
          <w:p w14:paraId="15694CAA" w14:textId="194780C0"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（11-5-19）</w:t>
            </w:r>
          </w:p>
        </w:tc>
        <w:tc>
          <w:tcPr>
            <w:tcW w:w="984" w:type="pct"/>
          </w:tcPr>
          <w:p w14:paraId="03AEDFB7" w14:textId="6722F99A"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66C92DAB" w14:textId="43CE6E19"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20770018" w14:textId="77777777" w:rsidTr="00B90461">
        <w:tc>
          <w:tcPr>
            <w:tcW w:w="375" w:type="pct"/>
          </w:tcPr>
          <w:p w14:paraId="12E85533" w14:textId="104B50C5"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18</w:t>
            </w:r>
          </w:p>
        </w:tc>
        <w:tc>
          <w:tcPr>
            <w:tcW w:w="1726" w:type="pct"/>
          </w:tcPr>
          <w:p w14:paraId="76194E48" w14:textId="346643F3" w:rsidR="00E77428" w:rsidRPr="001B6E4D" w:rsidRDefault="00E77428" w:rsidP="003D1018">
            <w:pPr>
              <w:pStyle w:val="01"/>
              <w:overflowPunct w:val="0"/>
              <w:rPr>
                <w:rFonts w:hAnsi="標楷體"/>
                <w:sz w:val="24"/>
                <w:szCs w:val="24"/>
              </w:rPr>
            </w:pPr>
            <w:r w:rsidRPr="001B6E4D">
              <w:rPr>
                <w:rFonts w:hAnsi="標楷體"/>
                <w:sz w:val="24"/>
                <w:szCs w:val="24"/>
              </w:rPr>
              <w:t>8.陸海空軍軍官士官任職條例第九條之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修正重點：育嬰留職停薪適用子女年齡延長至6歲以下。）</w:t>
            </w:r>
          </w:p>
        </w:tc>
        <w:tc>
          <w:tcPr>
            <w:tcW w:w="1171" w:type="pct"/>
          </w:tcPr>
          <w:p w14:paraId="52498576"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委員王鴻薇</w:t>
            </w:r>
          </w:p>
          <w:p w14:paraId="6991E4F1"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等17人</w:t>
            </w:r>
          </w:p>
          <w:p w14:paraId="1D08F308"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115.07.24</w:t>
            </w:r>
          </w:p>
          <w:p w14:paraId="43DD084F" w14:textId="7B602895"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（11-5-19）</w:t>
            </w:r>
          </w:p>
        </w:tc>
        <w:tc>
          <w:tcPr>
            <w:tcW w:w="984" w:type="pct"/>
          </w:tcPr>
          <w:p w14:paraId="119484C3" w14:textId="3301E28D"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09B5D9F3" w14:textId="6A5D0FF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3EB9DEFB" w14:textId="77777777" w:rsidTr="00B90461">
        <w:tc>
          <w:tcPr>
            <w:tcW w:w="375" w:type="pct"/>
          </w:tcPr>
          <w:p w14:paraId="2FD40C4E" w14:textId="7BAC1467"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19</w:t>
            </w:r>
          </w:p>
        </w:tc>
        <w:tc>
          <w:tcPr>
            <w:tcW w:w="1726" w:type="pct"/>
          </w:tcPr>
          <w:p w14:paraId="74E8E8F2" w14:textId="1397AFBA" w:rsidR="00E77428" w:rsidRPr="001B6E4D" w:rsidRDefault="00E77428" w:rsidP="003D1018">
            <w:pPr>
              <w:pStyle w:val="01"/>
              <w:overflowPunct w:val="0"/>
              <w:rPr>
                <w:rFonts w:hAnsi="標楷體"/>
                <w:sz w:val="24"/>
                <w:szCs w:val="24"/>
              </w:rPr>
            </w:pPr>
            <w:r w:rsidRPr="001B6E4D">
              <w:rPr>
                <w:rFonts w:hAnsi="標楷體"/>
                <w:sz w:val="24"/>
                <w:szCs w:val="24"/>
              </w:rPr>
              <w:t>9.陸海空軍軍官士官任職條例第九條之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修正重點：育嬰留職停薪適用子女年齡放寬為6歲以下。）</w:t>
            </w:r>
          </w:p>
        </w:tc>
        <w:tc>
          <w:tcPr>
            <w:tcW w:w="1171" w:type="pct"/>
          </w:tcPr>
          <w:p w14:paraId="3D3D333C"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委員許宇</w:t>
            </w:r>
            <w:proofErr w:type="gramStart"/>
            <w:r w:rsidRPr="001B6E4D">
              <w:rPr>
                <w:rFonts w:ascii="標楷體" w:eastAsia="標楷體" w:hAnsi="標楷體"/>
                <w:sz w:val="24"/>
              </w:rPr>
              <w:t>甄</w:t>
            </w:r>
            <w:proofErr w:type="gramEnd"/>
          </w:p>
          <w:p w14:paraId="6FE35544"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等17人</w:t>
            </w:r>
          </w:p>
          <w:p w14:paraId="7F4B150D"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115.07.24</w:t>
            </w:r>
          </w:p>
          <w:p w14:paraId="263D793D" w14:textId="7E737D98"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（11-5-19）</w:t>
            </w:r>
          </w:p>
        </w:tc>
        <w:tc>
          <w:tcPr>
            <w:tcW w:w="984" w:type="pct"/>
          </w:tcPr>
          <w:p w14:paraId="1F60CD3D" w14:textId="2FA62363"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5FAE59DA" w14:textId="13A8477D"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3D7AD282" w14:textId="77777777" w:rsidTr="00B90461">
        <w:tc>
          <w:tcPr>
            <w:tcW w:w="375" w:type="pct"/>
          </w:tcPr>
          <w:p w14:paraId="03F0B1CE" w14:textId="2BEA8CA3"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20</w:t>
            </w:r>
          </w:p>
        </w:tc>
        <w:tc>
          <w:tcPr>
            <w:tcW w:w="1726" w:type="pct"/>
          </w:tcPr>
          <w:p w14:paraId="43E1D472" w14:textId="602200A9" w:rsidR="00E77428" w:rsidRPr="001B6E4D" w:rsidRDefault="00E77428" w:rsidP="003D1018">
            <w:pPr>
              <w:pStyle w:val="01"/>
              <w:overflowPunct w:val="0"/>
              <w:rPr>
                <w:rFonts w:hAnsi="標楷體"/>
                <w:sz w:val="24"/>
                <w:szCs w:val="24"/>
              </w:rPr>
            </w:pPr>
            <w:r w:rsidRPr="001B6E4D">
              <w:rPr>
                <w:rFonts w:hAnsi="標楷體"/>
                <w:sz w:val="24"/>
                <w:szCs w:val="24"/>
              </w:rPr>
              <w:t>10.陸海空軍軍官士官任職條例第九條之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修正重點：留職停薪適用子女年齡放寬為6歲以下。）</w:t>
            </w:r>
          </w:p>
        </w:tc>
        <w:tc>
          <w:tcPr>
            <w:tcW w:w="1171" w:type="pct"/>
          </w:tcPr>
          <w:p w14:paraId="13803D1F"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委員馬文君</w:t>
            </w:r>
          </w:p>
          <w:p w14:paraId="39B58D0D"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等19人</w:t>
            </w:r>
          </w:p>
          <w:p w14:paraId="04F10DCF"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115.07.24</w:t>
            </w:r>
          </w:p>
          <w:p w14:paraId="49A0047C" w14:textId="2EAB68C3"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（11-5-19）</w:t>
            </w:r>
          </w:p>
        </w:tc>
        <w:tc>
          <w:tcPr>
            <w:tcW w:w="984" w:type="pct"/>
          </w:tcPr>
          <w:p w14:paraId="1AD8F88B" w14:textId="00DEBAEA"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10C3AAC4" w14:textId="7BB54DB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3086135D" w14:textId="77777777" w:rsidTr="00B90461">
        <w:tc>
          <w:tcPr>
            <w:tcW w:w="375" w:type="pct"/>
          </w:tcPr>
          <w:p w14:paraId="1B6C1EC2" w14:textId="22A19D5F"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21</w:t>
            </w:r>
          </w:p>
        </w:tc>
        <w:tc>
          <w:tcPr>
            <w:tcW w:w="1726" w:type="pct"/>
          </w:tcPr>
          <w:p w14:paraId="1DE4BB51" w14:textId="2D1EFD09" w:rsidR="00E77428" w:rsidRPr="001B6E4D" w:rsidRDefault="00E77428" w:rsidP="003D1018">
            <w:pPr>
              <w:pStyle w:val="01"/>
              <w:overflowPunct w:val="0"/>
              <w:rPr>
                <w:rFonts w:hAnsi="標楷體"/>
                <w:sz w:val="24"/>
                <w:szCs w:val="24"/>
              </w:rPr>
            </w:pPr>
            <w:r w:rsidRPr="001B6E4D">
              <w:rPr>
                <w:rFonts w:hAnsi="標楷體"/>
                <w:sz w:val="24"/>
                <w:szCs w:val="24"/>
              </w:rPr>
              <w:t>11.陸海空軍軍官士官任職條例第九條之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修正重點：育嬰留職停薪適用子女年齡修正為6歲以下。）</w:t>
            </w:r>
          </w:p>
        </w:tc>
        <w:tc>
          <w:tcPr>
            <w:tcW w:w="1171" w:type="pct"/>
          </w:tcPr>
          <w:p w14:paraId="18DE0C9A"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委員羅廷</w:t>
            </w:r>
            <w:proofErr w:type="gramStart"/>
            <w:r w:rsidRPr="001B6E4D">
              <w:rPr>
                <w:rFonts w:ascii="標楷體" w:eastAsia="標楷體" w:hAnsi="標楷體"/>
                <w:sz w:val="24"/>
              </w:rPr>
              <w:t>瑋</w:t>
            </w:r>
            <w:proofErr w:type="gramEnd"/>
          </w:p>
          <w:p w14:paraId="19962A9E"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等16人</w:t>
            </w:r>
          </w:p>
          <w:p w14:paraId="30EDAB7E"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115.07.24</w:t>
            </w:r>
          </w:p>
          <w:p w14:paraId="6AF2C6CC" w14:textId="28D8CE2D"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（11-5-19）</w:t>
            </w:r>
          </w:p>
        </w:tc>
        <w:tc>
          <w:tcPr>
            <w:tcW w:w="984" w:type="pct"/>
          </w:tcPr>
          <w:p w14:paraId="7EC17F09" w14:textId="206A602D"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60337115" w14:textId="2BF8714B"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2DE96EE6" w14:textId="77777777" w:rsidTr="00B90461">
        <w:tc>
          <w:tcPr>
            <w:tcW w:w="375" w:type="pct"/>
          </w:tcPr>
          <w:p w14:paraId="518506ED" w14:textId="6F503C60"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lastRenderedPageBreak/>
              <w:t>22</w:t>
            </w:r>
          </w:p>
        </w:tc>
        <w:tc>
          <w:tcPr>
            <w:tcW w:w="1726" w:type="pct"/>
          </w:tcPr>
          <w:p w14:paraId="77678BC9" w14:textId="7429325F" w:rsidR="00E77428" w:rsidRPr="001B6E4D" w:rsidRDefault="00E77428" w:rsidP="003D1018">
            <w:pPr>
              <w:pStyle w:val="01"/>
              <w:overflowPunct w:val="0"/>
              <w:rPr>
                <w:rFonts w:hAnsi="標楷體"/>
                <w:sz w:val="24"/>
                <w:szCs w:val="24"/>
              </w:rPr>
            </w:pPr>
            <w:r w:rsidRPr="001B6E4D">
              <w:rPr>
                <w:rFonts w:hAnsi="標楷體"/>
                <w:sz w:val="24"/>
                <w:szCs w:val="24"/>
              </w:rPr>
              <w:t>12.陸海空軍軍官士官任職條例第九條之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修正重點：申請</w:t>
            </w:r>
            <w:proofErr w:type="gramStart"/>
            <w:r w:rsidRPr="001B6E4D">
              <w:rPr>
                <w:rFonts w:hAnsi="標楷體"/>
                <w:sz w:val="24"/>
                <w:szCs w:val="24"/>
              </w:rPr>
              <w:t>育兒留職</w:t>
            </w:r>
            <w:proofErr w:type="gramEnd"/>
            <w:r w:rsidRPr="001B6E4D">
              <w:rPr>
                <w:rFonts w:hAnsi="標楷體"/>
                <w:sz w:val="24"/>
                <w:szCs w:val="24"/>
              </w:rPr>
              <w:t>停薪之子女年齡放寬為6歲以下。）</w:t>
            </w:r>
          </w:p>
        </w:tc>
        <w:tc>
          <w:tcPr>
            <w:tcW w:w="1171" w:type="pct"/>
          </w:tcPr>
          <w:p w14:paraId="6B7E5E52"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委員伍麗華</w:t>
            </w:r>
          </w:p>
          <w:p w14:paraId="69F55AB6" w14:textId="77777777" w:rsidR="00E77428" w:rsidRPr="001B6E4D" w:rsidRDefault="00E77428" w:rsidP="003D1018">
            <w:pPr>
              <w:overflowPunct w:val="0"/>
              <w:jc w:val="both"/>
              <w:rPr>
                <w:rFonts w:ascii="標楷體" w:eastAsia="標楷體" w:hAnsi="標楷體"/>
                <w:sz w:val="24"/>
              </w:rPr>
            </w:pPr>
            <w:proofErr w:type="spellStart"/>
            <w:r w:rsidRPr="001B6E4D">
              <w:rPr>
                <w:rFonts w:ascii="標楷體" w:eastAsia="標楷體" w:hAnsi="標楷體"/>
                <w:sz w:val="24"/>
              </w:rPr>
              <w:t>Saidhai</w:t>
            </w:r>
            <w:proofErr w:type="spellEnd"/>
            <w:r w:rsidRPr="001B6E4D">
              <w:rPr>
                <w:rFonts w:ascii="標楷體" w:eastAsia="標楷體" w:hAnsi="標楷體"/>
                <w:sz w:val="24"/>
              </w:rPr>
              <w:t>‧</w:t>
            </w:r>
          </w:p>
          <w:p w14:paraId="04A5D9C1" w14:textId="77777777" w:rsidR="00E77428" w:rsidRPr="001B6E4D" w:rsidRDefault="00E77428" w:rsidP="003D1018">
            <w:pPr>
              <w:overflowPunct w:val="0"/>
              <w:jc w:val="both"/>
              <w:rPr>
                <w:rFonts w:ascii="標楷體" w:eastAsia="標楷體" w:hAnsi="標楷體"/>
                <w:sz w:val="24"/>
              </w:rPr>
            </w:pPr>
            <w:proofErr w:type="spellStart"/>
            <w:r w:rsidRPr="001B6E4D">
              <w:rPr>
                <w:rFonts w:ascii="標楷體" w:eastAsia="標楷體" w:hAnsi="標楷體"/>
                <w:sz w:val="24"/>
              </w:rPr>
              <w:t>Tahovecahe</w:t>
            </w:r>
            <w:proofErr w:type="spellEnd"/>
          </w:p>
          <w:p w14:paraId="699F6839"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等17人</w:t>
            </w:r>
          </w:p>
          <w:p w14:paraId="236E4BDE"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115.07.24</w:t>
            </w:r>
          </w:p>
          <w:p w14:paraId="5A6A881E" w14:textId="59615279"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（11-5-19）</w:t>
            </w:r>
          </w:p>
        </w:tc>
        <w:tc>
          <w:tcPr>
            <w:tcW w:w="984" w:type="pct"/>
          </w:tcPr>
          <w:p w14:paraId="43F4C888" w14:textId="05A5C919"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20BDD6E2" w14:textId="44206F1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54210227" w14:textId="77777777" w:rsidTr="00B90461">
        <w:tc>
          <w:tcPr>
            <w:tcW w:w="375" w:type="pct"/>
          </w:tcPr>
          <w:p w14:paraId="714513C2" w14:textId="115C638B"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23</w:t>
            </w:r>
          </w:p>
        </w:tc>
        <w:tc>
          <w:tcPr>
            <w:tcW w:w="1726" w:type="pct"/>
          </w:tcPr>
          <w:p w14:paraId="0213DFD5" w14:textId="20638904" w:rsidR="00E77428" w:rsidRPr="001B6E4D" w:rsidRDefault="00E77428" w:rsidP="003D1018">
            <w:pPr>
              <w:pStyle w:val="01"/>
              <w:overflowPunct w:val="0"/>
              <w:rPr>
                <w:rFonts w:hAnsi="標楷體"/>
                <w:sz w:val="24"/>
                <w:szCs w:val="24"/>
              </w:rPr>
            </w:pPr>
            <w:r w:rsidRPr="001B6E4D">
              <w:rPr>
                <w:rFonts w:hAnsi="標楷體"/>
                <w:sz w:val="24"/>
                <w:szCs w:val="24"/>
              </w:rPr>
              <w:t>13.陸海空軍軍官士官任職條例第九條之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修正重點：將申請</w:t>
            </w:r>
            <w:proofErr w:type="gramStart"/>
            <w:r w:rsidRPr="001B6E4D">
              <w:rPr>
                <w:rFonts w:hAnsi="標楷體"/>
                <w:sz w:val="24"/>
                <w:szCs w:val="24"/>
              </w:rPr>
              <w:t>育兒留職</w:t>
            </w:r>
            <w:proofErr w:type="gramEnd"/>
            <w:r w:rsidRPr="001B6E4D">
              <w:rPr>
                <w:rFonts w:hAnsi="標楷體"/>
                <w:sz w:val="24"/>
                <w:szCs w:val="24"/>
              </w:rPr>
              <w:t>停薪之子女年齡條件放寬至6歲以下。）</w:t>
            </w:r>
          </w:p>
        </w:tc>
        <w:tc>
          <w:tcPr>
            <w:tcW w:w="1171" w:type="pct"/>
          </w:tcPr>
          <w:p w14:paraId="258C16CD"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委員林倩綺</w:t>
            </w:r>
          </w:p>
          <w:p w14:paraId="0A5380BB"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等22人</w:t>
            </w:r>
          </w:p>
          <w:p w14:paraId="407E39A2"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115.07.31</w:t>
            </w:r>
          </w:p>
          <w:p w14:paraId="4F7EA6A6" w14:textId="4575E26E"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（11-5-20）</w:t>
            </w:r>
          </w:p>
        </w:tc>
        <w:tc>
          <w:tcPr>
            <w:tcW w:w="984" w:type="pct"/>
          </w:tcPr>
          <w:p w14:paraId="48CC17F5" w14:textId="567C62FC"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58BFE0D4" w14:textId="7CEE5341"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0574D0FF" w14:textId="77777777" w:rsidTr="00B90461">
        <w:tc>
          <w:tcPr>
            <w:tcW w:w="375" w:type="pct"/>
          </w:tcPr>
          <w:p w14:paraId="7DF1A8FA" w14:textId="6D826FEB"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24</w:t>
            </w:r>
          </w:p>
        </w:tc>
        <w:tc>
          <w:tcPr>
            <w:tcW w:w="1726" w:type="pct"/>
          </w:tcPr>
          <w:p w14:paraId="3AEC7CA0" w14:textId="400C8DCC" w:rsidR="00E77428" w:rsidRPr="001B6E4D" w:rsidRDefault="00E77428" w:rsidP="003D1018">
            <w:pPr>
              <w:pStyle w:val="01"/>
              <w:overflowPunct w:val="0"/>
              <w:rPr>
                <w:rFonts w:hAnsi="標楷體"/>
                <w:sz w:val="24"/>
                <w:szCs w:val="24"/>
              </w:rPr>
            </w:pPr>
            <w:r w:rsidRPr="001B6E4D">
              <w:rPr>
                <w:rFonts w:hAnsi="標楷體"/>
                <w:sz w:val="24"/>
                <w:szCs w:val="24"/>
              </w:rPr>
              <w:t>14.陸海空軍軍官士官任職條例第九條之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修正重點：育嬰留職停薪適用之子女年齡延長至6歲以下。）</w:t>
            </w:r>
          </w:p>
        </w:tc>
        <w:tc>
          <w:tcPr>
            <w:tcW w:w="1171" w:type="pct"/>
          </w:tcPr>
          <w:p w14:paraId="3CA895AA"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委員李坤城</w:t>
            </w:r>
          </w:p>
          <w:p w14:paraId="2A826A55"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等18人</w:t>
            </w:r>
          </w:p>
          <w:p w14:paraId="683614F8"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115.07.31</w:t>
            </w:r>
          </w:p>
          <w:p w14:paraId="1D75DF11" w14:textId="7DCF62FA"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（11-5-20）</w:t>
            </w:r>
          </w:p>
        </w:tc>
        <w:tc>
          <w:tcPr>
            <w:tcW w:w="984" w:type="pct"/>
          </w:tcPr>
          <w:p w14:paraId="4DFB59F4" w14:textId="18151ED0"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3EB6CA1F" w14:textId="7D4BCD21"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70E25302" w14:textId="77777777" w:rsidTr="00B90461">
        <w:tc>
          <w:tcPr>
            <w:tcW w:w="375" w:type="pct"/>
          </w:tcPr>
          <w:p w14:paraId="488625A4" w14:textId="359774AE"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25</w:t>
            </w:r>
          </w:p>
        </w:tc>
        <w:tc>
          <w:tcPr>
            <w:tcW w:w="1726" w:type="pct"/>
          </w:tcPr>
          <w:p w14:paraId="5D5EE6BC" w14:textId="0E6401EB" w:rsidR="00E77428" w:rsidRPr="001B6E4D" w:rsidRDefault="00E77428" w:rsidP="003D1018">
            <w:pPr>
              <w:pStyle w:val="01"/>
              <w:overflowPunct w:val="0"/>
              <w:rPr>
                <w:rFonts w:hAnsi="標楷體"/>
                <w:sz w:val="24"/>
                <w:szCs w:val="24"/>
              </w:rPr>
            </w:pPr>
            <w:r w:rsidRPr="001B6E4D">
              <w:rPr>
                <w:rFonts w:hAnsi="標楷體"/>
                <w:sz w:val="24"/>
                <w:szCs w:val="24"/>
              </w:rPr>
              <w:t>15.陸海空軍軍官士官任職條例第九條之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修正重點：延長適用子女年齡及留職停薪期間。）</w:t>
            </w:r>
          </w:p>
        </w:tc>
        <w:tc>
          <w:tcPr>
            <w:tcW w:w="1171" w:type="pct"/>
          </w:tcPr>
          <w:p w14:paraId="2DAA4B85"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委員王育敏</w:t>
            </w:r>
          </w:p>
          <w:p w14:paraId="791FFB2A"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等18人</w:t>
            </w:r>
          </w:p>
          <w:p w14:paraId="5AF36FE5"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115.08.14</w:t>
            </w:r>
          </w:p>
          <w:p w14:paraId="1CC69231" w14:textId="481884EC"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（11-5-22）</w:t>
            </w:r>
          </w:p>
        </w:tc>
        <w:tc>
          <w:tcPr>
            <w:tcW w:w="984" w:type="pct"/>
          </w:tcPr>
          <w:p w14:paraId="08E317C1" w14:textId="6FB03EAD"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0B12F233" w14:textId="57617718"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77428" w:rsidRPr="001B6E4D" w14:paraId="335613BE" w14:textId="77777777" w:rsidTr="00B90461">
        <w:tc>
          <w:tcPr>
            <w:tcW w:w="375" w:type="pct"/>
          </w:tcPr>
          <w:p w14:paraId="42599FC3" w14:textId="08402569" w:rsidR="00E77428" w:rsidRPr="001B6E4D" w:rsidRDefault="00E77428" w:rsidP="003D1018">
            <w:pPr>
              <w:overflowPunct w:val="0"/>
              <w:jc w:val="center"/>
              <w:rPr>
                <w:rFonts w:ascii="標楷體" w:eastAsia="標楷體" w:hAnsi="標楷體"/>
                <w:sz w:val="24"/>
              </w:rPr>
            </w:pPr>
            <w:r w:rsidRPr="001B6E4D">
              <w:rPr>
                <w:rFonts w:ascii="標楷體" w:eastAsia="標楷體" w:hAnsi="標楷體"/>
                <w:sz w:val="24"/>
              </w:rPr>
              <w:t>26</w:t>
            </w:r>
          </w:p>
        </w:tc>
        <w:tc>
          <w:tcPr>
            <w:tcW w:w="1726" w:type="pct"/>
          </w:tcPr>
          <w:p w14:paraId="0352DA7A" w14:textId="1FE7E844" w:rsidR="00E77428" w:rsidRPr="001B6E4D" w:rsidRDefault="00E77428" w:rsidP="003D1018">
            <w:pPr>
              <w:pStyle w:val="01"/>
              <w:overflowPunct w:val="0"/>
              <w:rPr>
                <w:rFonts w:hAnsi="標楷體"/>
                <w:sz w:val="24"/>
                <w:szCs w:val="24"/>
              </w:rPr>
            </w:pPr>
            <w:r w:rsidRPr="001B6E4D">
              <w:rPr>
                <w:rFonts w:hAnsi="標楷體"/>
                <w:sz w:val="24"/>
                <w:szCs w:val="24"/>
              </w:rPr>
              <w:t>引渡法增訂部分條文草案</w:t>
            </w:r>
            <w:proofErr w:type="gramStart"/>
            <w:r w:rsidRPr="001B6E4D">
              <w:rPr>
                <w:rFonts w:hAnsi="標楷體"/>
                <w:sz w:val="24"/>
                <w:szCs w:val="24"/>
              </w:rPr>
              <w:t>（</w:t>
            </w:r>
            <w:proofErr w:type="gramEnd"/>
            <w:r w:rsidRPr="001B6E4D">
              <w:rPr>
                <w:rFonts w:hAnsi="標楷體"/>
                <w:sz w:val="24"/>
                <w:szCs w:val="24"/>
              </w:rPr>
              <w:t>增訂§9-1~5。增訂重點：明定向外國請求引渡及緊急引渡羈押法定程序。）</w:t>
            </w:r>
          </w:p>
        </w:tc>
        <w:tc>
          <w:tcPr>
            <w:tcW w:w="1171" w:type="pct"/>
          </w:tcPr>
          <w:p w14:paraId="1EC6383F"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委員徐欣瑩</w:t>
            </w:r>
          </w:p>
          <w:p w14:paraId="35687D90"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等20人</w:t>
            </w:r>
          </w:p>
          <w:p w14:paraId="04A5CB64" w14:textId="77777777"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114.12.26</w:t>
            </w:r>
          </w:p>
          <w:p w14:paraId="1C943D9C" w14:textId="67787924"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（11-4-15）</w:t>
            </w:r>
          </w:p>
        </w:tc>
        <w:tc>
          <w:tcPr>
            <w:tcW w:w="984" w:type="pct"/>
          </w:tcPr>
          <w:p w14:paraId="7E0C417E" w14:textId="13CC54AA"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司法及法制、外交及國防</w:t>
            </w:r>
          </w:p>
        </w:tc>
        <w:tc>
          <w:tcPr>
            <w:tcW w:w="744" w:type="pct"/>
          </w:tcPr>
          <w:p w14:paraId="37397BFB" w14:textId="20D8B788" w:rsidR="00E77428" w:rsidRPr="001B6E4D" w:rsidRDefault="00E77428" w:rsidP="003D1018">
            <w:pPr>
              <w:overflowPunct w:val="0"/>
              <w:jc w:val="both"/>
              <w:rPr>
                <w:rFonts w:ascii="標楷體" w:eastAsia="標楷體" w:hAnsi="標楷體"/>
                <w:sz w:val="24"/>
              </w:rPr>
            </w:pPr>
            <w:r w:rsidRPr="001B6E4D">
              <w:rPr>
                <w:rFonts w:ascii="標楷體" w:eastAsia="標楷體" w:hAnsi="標楷體"/>
                <w:sz w:val="24"/>
              </w:rPr>
              <w:t>尚未審查</w:t>
            </w:r>
          </w:p>
        </w:tc>
      </w:tr>
    </w:tbl>
    <w:p w14:paraId="1AE2A5EA" w14:textId="6B7800C6" w:rsidR="009B28A5" w:rsidRPr="001B6E4D" w:rsidRDefault="009B28A5"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bookmarkStart w:id="340" w:name="_Toc361217352"/>
      <w:bookmarkStart w:id="341" w:name="_Toc362968412"/>
      <w:bookmarkStart w:id="342" w:name="_Toc136594865"/>
      <w:bookmarkEnd w:id="338"/>
      <w:bookmarkEnd w:id="339"/>
      <w:r w:rsidRPr="001B6E4D">
        <w:rPr>
          <w:rFonts w:hint="eastAsia"/>
          <w:color w:val="000000" w:themeColor="text1"/>
          <w:shd w:val="clear" w:color="auto" w:fill="FFFFFF" w:themeFill="background1"/>
        </w:rPr>
        <w:t>4</w:t>
      </w:r>
      <w:r w:rsidRPr="001B6E4D">
        <w:rPr>
          <w:color w:val="000000" w:themeColor="text1"/>
          <w:shd w:val="clear" w:color="auto" w:fill="FFFFFF" w:themeFill="background1"/>
        </w:rPr>
        <w:t>.本會、教育及文化委員會聯席審查</w:t>
      </w:r>
      <w:r w:rsidR="009F34C2" w:rsidRPr="001B6E4D">
        <w:rPr>
          <w:rFonts w:hint="eastAsia"/>
          <w:color w:val="000000" w:themeColor="text1"/>
          <w:shd w:val="clear" w:color="auto" w:fill="FFFFFF" w:themeFill="background1"/>
        </w:rPr>
        <w:t>58</w:t>
      </w:r>
      <w:r w:rsidRPr="001B6E4D">
        <w:rPr>
          <w:color w:val="000000" w:themeColor="text1"/>
          <w:shd w:val="clear" w:color="auto" w:fill="FFFFFF" w:themeFill="background1"/>
        </w:rPr>
        <w:t>案</w:t>
      </w:r>
      <w:bookmarkEnd w:id="340"/>
      <w:bookmarkEnd w:id="341"/>
      <w:bookmarkEnd w:id="342"/>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684"/>
        <w:gridCol w:w="3053"/>
        <w:gridCol w:w="2016"/>
        <w:gridCol w:w="1755"/>
        <w:gridCol w:w="1419"/>
      </w:tblGrid>
      <w:tr w:rsidR="00C87651" w:rsidRPr="001B6E4D" w14:paraId="3179E785" w14:textId="77777777" w:rsidTr="00182954">
        <w:tc>
          <w:tcPr>
            <w:tcW w:w="383" w:type="pct"/>
            <w:vAlign w:val="center"/>
          </w:tcPr>
          <w:p w14:paraId="0403B50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343" w:name="_Toc361217353"/>
            <w:bookmarkStart w:id="344" w:name="_Toc362968413"/>
            <w:r w:rsidRPr="001B6E4D">
              <w:rPr>
                <w:rFonts w:ascii="標楷體" w:eastAsia="標楷體" w:hAnsi="標楷體"/>
                <w:b/>
                <w:color w:val="000000" w:themeColor="text1"/>
                <w:sz w:val="24"/>
                <w:shd w:val="clear" w:color="auto" w:fill="FFFFFF" w:themeFill="background1"/>
              </w:rPr>
              <w:t>序號</w:t>
            </w:r>
          </w:p>
        </w:tc>
        <w:tc>
          <w:tcPr>
            <w:tcW w:w="1710" w:type="pct"/>
            <w:vAlign w:val="center"/>
          </w:tcPr>
          <w:p w14:paraId="1D44E87F"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29" w:type="pct"/>
            <w:vAlign w:val="center"/>
          </w:tcPr>
          <w:p w14:paraId="77981BE3"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2172C5CF"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4B1B50DE"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83" w:type="pct"/>
            <w:vAlign w:val="center"/>
          </w:tcPr>
          <w:p w14:paraId="71FA371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795" w:type="pct"/>
            <w:vAlign w:val="center"/>
          </w:tcPr>
          <w:p w14:paraId="2720D43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9F34C2" w:rsidRPr="001B6E4D" w14:paraId="646EC7A9" w14:textId="77777777" w:rsidTr="0098711A">
        <w:tc>
          <w:tcPr>
            <w:tcW w:w="383" w:type="pct"/>
          </w:tcPr>
          <w:p w14:paraId="7C2B7C60" w14:textId="5023AEA4" w:rsidR="009F34C2" w:rsidRPr="001B6E4D" w:rsidRDefault="009F34C2"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w:t>
            </w:r>
          </w:p>
        </w:tc>
        <w:tc>
          <w:tcPr>
            <w:tcW w:w="1710" w:type="pct"/>
          </w:tcPr>
          <w:p w14:paraId="2B4F69AF" w14:textId="03EFB4A8" w:rsidR="009F34C2" w:rsidRPr="001B6E4D" w:rsidRDefault="009F34C2"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1.公立學校教職員退休資遣撫</w:t>
            </w:r>
            <w:proofErr w:type="gramStart"/>
            <w:r w:rsidRPr="001B6E4D">
              <w:rPr>
                <w:rFonts w:ascii="標楷體" w:eastAsia="標楷體" w:hAnsi="標楷體"/>
                <w:sz w:val="24"/>
              </w:rPr>
              <w:t>卹</w:t>
            </w:r>
            <w:proofErr w:type="gramEnd"/>
            <w:r w:rsidRPr="001B6E4D">
              <w:rPr>
                <w:rFonts w:ascii="標楷體" w:eastAsia="標楷體" w:hAnsi="標楷體"/>
                <w:sz w:val="24"/>
              </w:rPr>
              <w:t>條例第八</w:t>
            </w:r>
            <w:proofErr w:type="gramStart"/>
            <w:r w:rsidRPr="001B6E4D">
              <w:rPr>
                <w:rFonts w:ascii="標楷體" w:eastAsia="標楷體" w:hAnsi="標楷體"/>
                <w:sz w:val="24"/>
              </w:rPr>
              <w:t>條</w:t>
            </w:r>
            <w:proofErr w:type="gramEnd"/>
            <w:r w:rsidRPr="001B6E4D">
              <w:rPr>
                <w:rFonts w:ascii="標楷體" w:eastAsia="標楷體" w:hAnsi="標楷體"/>
                <w:sz w:val="24"/>
              </w:rPr>
              <w:t>條文修正草案</w:t>
            </w:r>
            <w:proofErr w:type="gramStart"/>
            <w:r w:rsidRPr="001B6E4D">
              <w:rPr>
                <w:rFonts w:ascii="標楷體" w:eastAsia="標楷體" w:hAnsi="標楷體"/>
                <w:sz w:val="24"/>
              </w:rPr>
              <w:t>（</w:t>
            </w:r>
            <w:proofErr w:type="gramEnd"/>
            <w:r w:rsidRPr="001B6E4D">
              <w:rPr>
                <w:rFonts w:ascii="標楷體" w:eastAsia="標楷體" w:hAnsi="標楷體"/>
                <w:sz w:val="24"/>
              </w:rPr>
              <w:t>修正重點：凡依法令辦理育嬰留職停薪年資之教職員得選擇全額負</w:t>
            </w:r>
            <w:r w:rsidRPr="001B6E4D">
              <w:rPr>
                <w:rFonts w:ascii="標楷體" w:eastAsia="標楷體" w:hAnsi="標楷體"/>
                <w:sz w:val="24"/>
              </w:rPr>
              <w:lastRenderedPageBreak/>
              <w:t>擔並繼續繳付退撫基金費用，不以本條例施行後為限。）</w:t>
            </w:r>
          </w:p>
        </w:tc>
        <w:tc>
          <w:tcPr>
            <w:tcW w:w="1129" w:type="pct"/>
          </w:tcPr>
          <w:p w14:paraId="1DF233CD"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委員柯志恩</w:t>
            </w:r>
          </w:p>
          <w:p w14:paraId="6FB9FDBC"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等21人</w:t>
            </w:r>
          </w:p>
          <w:p w14:paraId="4D48135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113.03.29</w:t>
            </w:r>
          </w:p>
          <w:p w14:paraId="20962D53" w14:textId="611A4512" w:rsidR="009F34C2" w:rsidRPr="001B6E4D" w:rsidRDefault="009F34C2" w:rsidP="003D1018">
            <w:pPr>
              <w:overflowPunct w:val="0"/>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（11-1-7）</w:t>
            </w:r>
          </w:p>
        </w:tc>
        <w:tc>
          <w:tcPr>
            <w:tcW w:w="983" w:type="pct"/>
          </w:tcPr>
          <w:p w14:paraId="3C559F52" w14:textId="47D8AF49" w:rsidR="009F34C2" w:rsidRPr="001B6E4D" w:rsidRDefault="009F34C2"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司法及法制、教育及文化</w:t>
            </w:r>
          </w:p>
        </w:tc>
        <w:tc>
          <w:tcPr>
            <w:tcW w:w="795" w:type="pct"/>
          </w:tcPr>
          <w:p w14:paraId="3BCDE248" w14:textId="5EC96500" w:rsidR="009F34C2" w:rsidRPr="001B6E4D" w:rsidRDefault="009F34C2"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尚未審查</w:t>
            </w:r>
          </w:p>
        </w:tc>
      </w:tr>
      <w:tr w:rsidR="009F34C2" w:rsidRPr="001B6E4D" w14:paraId="2F81A564" w14:textId="77777777" w:rsidTr="00182954">
        <w:tc>
          <w:tcPr>
            <w:tcW w:w="383" w:type="pct"/>
          </w:tcPr>
          <w:p w14:paraId="5E104238" w14:textId="4F8DF6F5"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2</w:t>
            </w:r>
          </w:p>
        </w:tc>
        <w:tc>
          <w:tcPr>
            <w:tcW w:w="1710" w:type="pct"/>
          </w:tcPr>
          <w:p w14:paraId="30C94D2A" w14:textId="24E23A51" w:rsidR="009F34C2" w:rsidRPr="001B6E4D" w:rsidRDefault="009F34C2" w:rsidP="003D1018">
            <w:pPr>
              <w:pStyle w:val="01"/>
              <w:overflowPunct w:val="0"/>
              <w:rPr>
                <w:rFonts w:hAnsi="標楷體" w:cs="Times New Roman"/>
                <w:sz w:val="24"/>
                <w:szCs w:val="24"/>
              </w:rPr>
            </w:pPr>
            <w:r w:rsidRPr="001B6E4D">
              <w:rPr>
                <w:rFonts w:hAnsi="標楷體"/>
                <w:sz w:val="24"/>
                <w:szCs w:val="24"/>
              </w:rPr>
              <w:t>2.公立學校教職員退休資遣撫</w:t>
            </w:r>
            <w:proofErr w:type="gramStart"/>
            <w:r w:rsidRPr="001B6E4D">
              <w:rPr>
                <w:rFonts w:hAnsi="標楷體"/>
                <w:sz w:val="24"/>
                <w:szCs w:val="24"/>
              </w:rPr>
              <w:t>卹</w:t>
            </w:r>
            <w:proofErr w:type="gramEnd"/>
            <w:r w:rsidRPr="001B6E4D">
              <w:rPr>
                <w:rFonts w:hAnsi="標楷體"/>
                <w:sz w:val="24"/>
                <w:szCs w:val="24"/>
              </w:rPr>
              <w:t>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修正重點：讓教職員留職停薪年資之計入，不以本條例施行後為限。）</w:t>
            </w:r>
          </w:p>
        </w:tc>
        <w:tc>
          <w:tcPr>
            <w:tcW w:w="1129" w:type="pct"/>
          </w:tcPr>
          <w:p w14:paraId="67B4C62F"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w:t>
            </w:r>
            <w:proofErr w:type="gramStart"/>
            <w:r w:rsidRPr="001B6E4D">
              <w:rPr>
                <w:rFonts w:ascii="標楷體" w:eastAsia="標楷體" w:hAnsi="標楷體"/>
                <w:sz w:val="24"/>
              </w:rPr>
              <w:t>范</w:t>
            </w:r>
            <w:proofErr w:type="gramEnd"/>
            <w:r w:rsidRPr="001B6E4D">
              <w:rPr>
                <w:rFonts w:ascii="標楷體" w:eastAsia="標楷體" w:hAnsi="標楷體"/>
                <w:sz w:val="24"/>
              </w:rPr>
              <w:t>雲</w:t>
            </w:r>
          </w:p>
          <w:p w14:paraId="1D23F77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07D9ED9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113.05.03</w:t>
            </w:r>
          </w:p>
          <w:p w14:paraId="35A21089" w14:textId="4E7BC33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（11-1-12）</w:t>
            </w:r>
          </w:p>
        </w:tc>
        <w:tc>
          <w:tcPr>
            <w:tcW w:w="983" w:type="pct"/>
          </w:tcPr>
          <w:p w14:paraId="25612E2A" w14:textId="394A31CF"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1C34C54C" w14:textId="4AD3EC5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6ED1AF94" w14:textId="77777777" w:rsidTr="00182954">
        <w:tc>
          <w:tcPr>
            <w:tcW w:w="383" w:type="pct"/>
          </w:tcPr>
          <w:p w14:paraId="39044D30" w14:textId="1949F6E0"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3</w:t>
            </w:r>
          </w:p>
        </w:tc>
        <w:tc>
          <w:tcPr>
            <w:tcW w:w="1710" w:type="pct"/>
          </w:tcPr>
          <w:p w14:paraId="7511FEF4" w14:textId="5B59791F" w:rsidR="009F34C2" w:rsidRPr="001B6E4D" w:rsidRDefault="009F34C2" w:rsidP="003D1018">
            <w:pPr>
              <w:pStyle w:val="01"/>
              <w:overflowPunct w:val="0"/>
              <w:rPr>
                <w:rFonts w:hAnsi="標楷體" w:cs="Times New Roman"/>
                <w:sz w:val="24"/>
                <w:szCs w:val="24"/>
              </w:rPr>
            </w:pPr>
            <w:r w:rsidRPr="001B6E4D">
              <w:rPr>
                <w:rFonts w:hAnsi="標楷體"/>
                <w:sz w:val="24"/>
                <w:szCs w:val="24"/>
              </w:rPr>
              <w:t>3.公立學校教職員退休資遣撫</w:t>
            </w:r>
            <w:proofErr w:type="gramStart"/>
            <w:r w:rsidRPr="001B6E4D">
              <w:rPr>
                <w:rFonts w:hAnsi="標楷體"/>
                <w:sz w:val="24"/>
                <w:szCs w:val="24"/>
              </w:rPr>
              <w:t>卹</w:t>
            </w:r>
            <w:proofErr w:type="gramEnd"/>
            <w:r w:rsidRPr="001B6E4D">
              <w:rPr>
                <w:rFonts w:hAnsi="標楷體"/>
                <w:sz w:val="24"/>
                <w:szCs w:val="24"/>
              </w:rPr>
              <w:t>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修正重點：讓教職員留職停薪年資之計入，不以本條例施行後為限。）</w:t>
            </w:r>
          </w:p>
        </w:tc>
        <w:tc>
          <w:tcPr>
            <w:tcW w:w="1129" w:type="pct"/>
          </w:tcPr>
          <w:p w14:paraId="1978C87F"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委員羅廷</w:t>
            </w:r>
            <w:proofErr w:type="gramStart"/>
            <w:r w:rsidRPr="001B6E4D">
              <w:rPr>
                <w:rFonts w:ascii="標楷體" w:eastAsia="標楷體" w:hAnsi="標楷體"/>
                <w:sz w:val="24"/>
              </w:rPr>
              <w:t>瑋</w:t>
            </w:r>
            <w:proofErr w:type="gramEnd"/>
          </w:p>
          <w:p w14:paraId="49B0778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11E6ED4F"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113.10.25</w:t>
            </w:r>
          </w:p>
          <w:p w14:paraId="233C6A77" w14:textId="632AB30F"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（11-2-6）</w:t>
            </w:r>
          </w:p>
        </w:tc>
        <w:tc>
          <w:tcPr>
            <w:tcW w:w="983" w:type="pct"/>
          </w:tcPr>
          <w:p w14:paraId="5FCD0C5A" w14:textId="1EA9950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585FD094" w14:textId="6F1FDB8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B58F55C" w14:textId="77777777" w:rsidTr="00182954">
        <w:tc>
          <w:tcPr>
            <w:tcW w:w="383" w:type="pct"/>
          </w:tcPr>
          <w:p w14:paraId="7D49BD98" w14:textId="126DF8AA"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4</w:t>
            </w:r>
          </w:p>
        </w:tc>
        <w:tc>
          <w:tcPr>
            <w:tcW w:w="1710" w:type="pct"/>
          </w:tcPr>
          <w:p w14:paraId="10FB61BD" w14:textId="56C955A9" w:rsidR="009F34C2" w:rsidRPr="001B6E4D" w:rsidRDefault="009F34C2" w:rsidP="003D1018">
            <w:pPr>
              <w:pStyle w:val="01"/>
              <w:overflowPunct w:val="0"/>
              <w:rPr>
                <w:rFonts w:hAnsi="標楷體" w:cs="Times New Roman"/>
                <w:sz w:val="24"/>
                <w:szCs w:val="24"/>
              </w:rPr>
            </w:pPr>
            <w:r w:rsidRPr="001B6E4D">
              <w:rPr>
                <w:rFonts w:hAnsi="標楷體"/>
                <w:sz w:val="24"/>
                <w:szCs w:val="24"/>
              </w:rPr>
              <w:t>4.公立學校教職員退休資遣撫</w:t>
            </w:r>
            <w:proofErr w:type="gramStart"/>
            <w:r w:rsidRPr="001B6E4D">
              <w:rPr>
                <w:rFonts w:hAnsi="標楷體"/>
                <w:sz w:val="24"/>
                <w:szCs w:val="24"/>
              </w:rPr>
              <w:t>卹</w:t>
            </w:r>
            <w:proofErr w:type="gramEnd"/>
            <w:r w:rsidRPr="001B6E4D">
              <w:rPr>
                <w:rFonts w:hAnsi="標楷體"/>
                <w:sz w:val="24"/>
                <w:szCs w:val="24"/>
              </w:rPr>
              <w:t>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修正重點：讓教職員留職停薪年資之計入，不以本條例施行後為限。）</w:t>
            </w:r>
          </w:p>
        </w:tc>
        <w:tc>
          <w:tcPr>
            <w:tcW w:w="1129" w:type="pct"/>
          </w:tcPr>
          <w:p w14:paraId="57F228E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委員廖偉翔</w:t>
            </w:r>
          </w:p>
          <w:p w14:paraId="00176FD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等22人</w:t>
            </w:r>
          </w:p>
          <w:p w14:paraId="1E299F9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114.03.04</w:t>
            </w:r>
          </w:p>
          <w:p w14:paraId="7B7DF6BF" w14:textId="3DDBFE3B"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（11-3-3）</w:t>
            </w:r>
          </w:p>
        </w:tc>
        <w:tc>
          <w:tcPr>
            <w:tcW w:w="983" w:type="pct"/>
          </w:tcPr>
          <w:p w14:paraId="2A6FF6B3" w14:textId="2A2E36B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2457E781" w14:textId="674DBE61"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3980AF32" w14:textId="77777777" w:rsidTr="00182954">
        <w:tc>
          <w:tcPr>
            <w:tcW w:w="383" w:type="pct"/>
          </w:tcPr>
          <w:p w14:paraId="7EC9BEC8" w14:textId="4CFB7CC6"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5</w:t>
            </w:r>
          </w:p>
        </w:tc>
        <w:tc>
          <w:tcPr>
            <w:tcW w:w="1710" w:type="pct"/>
          </w:tcPr>
          <w:p w14:paraId="1CA9023C" w14:textId="6C46629C" w:rsidR="009F34C2" w:rsidRPr="001B6E4D" w:rsidRDefault="009F34C2" w:rsidP="003D1018">
            <w:pPr>
              <w:pStyle w:val="01"/>
              <w:overflowPunct w:val="0"/>
              <w:rPr>
                <w:rFonts w:hAnsi="標楷體" w:cs="Times New Roman"/>
                <w:sz w:val="24"/>
                <w:szCs w:val="24"/>
              </w:rPr>
            </w:pPr>
            <w:r w:rsidRPr="001B6E4D">
              <w:rPr>
                <w:rFonts w:hAnsi="標楷體"/>
                <w:sz w:val="24"/>
                <w:szCs w:val="24"/>
              </w:rPr>
              <w:t>公立學校教職員退休資遣撫</w:t>
            </w:r>
            <w:proofErr w:type="gramStart"/>
            <w:r w:rsidRPr="001B6E4D">
              <w:rPr>
                <w:rFonts w:hAnsi="標楷體"/>
                <w:sz w:val="24"/>
                <w:szCs w:val="24"/>
              </w:rPr>
              <w:t>卹</w:t>
            </w:r>
            <w:proofErr w:type="gramEnd"/>
            <w:r w:rsidRPr="001B6E4D">
              <w:rPr>
                <w:rFonts w:hAnsi="標楷體"/>
                <w:sz w:val="24"/>
                <w:szCs w:val="24"/>
              </w:rPr>
              <w:t>條例第八十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修正重點：經學校性別平等教育委員會或依法組成之相關委員會調查確認有性侵害行為屬實，並經主管機關核准解聘者，亦應自始剝奪其退離職相關給與；其已支領者，應追繳之。）</w:t>
            </w:r>
          </w:p>
        </w:tc>
        <w:tc>
          <w:tcPr>
            <w:tcW w:w="1129" w:type="pct"/>
          </w:tcPr>
          <w:p w14:paraId="7598713D"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委員林俊憲</w:t>
            </w:r>
          </w:p>
          <w:p w14:paraId="743D2F5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6A4DF1F2"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113.04.19</w:t>
            </w:r>
          </w:p>
          <w:p w14:paraId="189CBFFD" w14:textId="4B47CCE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（11-1-10）</w:t>
            </w:r>
          </w:p>
        </w:tc>
        <w:tc>
          <w:tcPr>
            <w:tcW w:w="983" w:type="pct"/>
          </w:tcPr>
          <w:p w14:paraId="507E1956" w14:textId="7295B98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109EDC93" w14:textId="0AA9FD8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2BFFC00D" w14:textId="77777777" w:rsidTr="00182954">
        <w:tc>
          <w:tcPr>
            <w:tcW w:w="383" w:type="pct"/>
          </w:tcPr>
          <w:p w14:paraId="18CDE90F" w14:textId="7FCDAB65"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6</w:t>
            </w:r>
          </w:p>
        </w:tc>
        <w:tc>
          <w:tcPr>
            <w:tcW w:w="1710" w:type="pct"/>
          </w:tcPr>
          <w:p w14:paraId="2E729A66" w14:textId="630EA3E4" w:rsidR="009F34C2" w:rsidRPr="001B6E4D" w:rsidRDefault="009F34C2" w:rsidP="003D1018">
            <w:pPr>
              <w:pStyle w:val="01"/>
              <w:overflowPunct w:val="0"/>
              <w:rPr>
                <w:rFonts w:hAnsi="標楷體" w:cs="Times New Roman"/>
                <w:sz w:val="24"/>
                <w:szCs w:val="24"/>
              </w:rPr>
            </w:pPr>
            <w:r w:rsidRPr="001B6E4D">
              <w:rPr>
                <w:rFonts w:hAnsi="標楷體"/>
                <w:sz w:val="24"/>
                <w:szCs w:val="24"/>
              </w:rPr>
              <w:t>1.公立學校教職員退休資遣撫</w:t>
            </w:r>
            <w:proofErr w:type="gramStart"/>
            <w:r w:rsidRPr="001B6E4D">
              <w:rPr>
                <w:rFonts w:hAnsi="標楷體"/>
                <w:sz w:val="24"/>
                <w:szCs w:val="24"/>
              </w:rPr>
              <w:t>卹</w:t>
            </w:r>
            <w:proofErr w:type="gramEnd"/>
            <w:r w:rsidRPr="001B6E4D">
              <w:rPr>
                <w:rFonts w:hAnsi="標楷體"/>
                <w:sz w:val="24"/>
                <w:szCs w:val="24"/>
              </w:rPr>
              <w:t>條例第四條、第三十四條及第三十九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修正重點：刪除原條文有關月補償金之文字；為免所得替代率上限之約制，致已退休且月</w:t>
            </w:r>
            <w:r w:rsidRPr="001B6E4D">
              <w:rPr>
                <w:rFonts w:hAnsi="標楷體"/>
                <w:sz w:val="24"/>
                <w:szCs w:val="24"/>
              </w:rPr>
              <w:lastRenderedPageBreak/>
              <w:t>領補償金者，得領取數額為零，酌為文字修正。）</w:t>
            </w:r>
          </w:p>
        </w:tc>
        <w:tc>
          <w:tcPr>
            <w:tcW w:w="1129" w:type="pct"/>
          </w:tcPr>
          <w:p w14:paraId="27D8BE9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委員賴士葆</w:t>
            </w:r>
          </w:p>
          <w:p w14:paraId="4114AD47"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等23人</w:t>
            </w:r>
          </w:p>
          <w:p w14:paraId="5148516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113.04.26</w:t>
            </w:r>
          </w:p>
          <w:p w14:paraId="2DE4351B" w14:textId="5E671F9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（11-1-11）</w:t>
            </w:r>
          </w:p>
        </w:tc>
        <w:tc>
          <w:tcPr>
            <w:tcW w:w="983" w:type="pct"/>
          </w:tcPr>
          <w:p w14:paraId="26D61B1C" w14:textId="08ED8E9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7EDAD3E4" w14:textId="7518D58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D61D648" w14:textId="77777777" w:rsidTr="00182954">
        <w:tc>
          <w:tcPr>
            <w:tcW w:w="383" w:type="pct"/>
          </w:tcPr>
          <w:p w14:paraId="0D776DB2" w14:textId="1451FE28"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7</w:t>
            </w:r>
          </w:p>
        </w:tc>
        <w:tc>
          <w:tcPr>
            <w:tcW w:w="1710" w:type="pct"/>
          </w:tcPr>
          <w:p w14:paraId="39B7F744" w14:textId="36835264" w:rsidR="009F34C2" w:rsidRPr="001B6E4D" w:rsidRDefault="009F34C2" w:rsidP="003D1018">
            <w:pPr>
              <w:pStyle w:val="01"/>
              <w:overflowPunct w:val="0"/>
              <w:rPr>
                <w:rFonts w:hAnsi="標楷體" w:cs="Times New Roman"/>
                <w:sz w:val="24"/>
                <w:szCs w:val="24"/>
              </w:rPr>
            </w:pPr>
            <w:r w:rsidRPr="001B6E4D">
              <w:rPr>
                <w:rFonts w:hAnsi="標楷體"/>
                <w:sz w:val="24"/>
                <w:szCs w:val="24"/>
              </w:rPr>
              <w:t>2.公立學校教職員退休資遣撫</w:t>
            </w:r>
            <w:proofErr w:type="gramStart"/>
            <w:r w:rsidRPr="001B6E4D">
              <w:rPr>
                <w:rFonts w:hAnsi="標楷體"/>
                <w:sz w:val="24"/>
                <w:szCs w:val="24"/>
              </w:rPr>
              <w:t>卹</w:t>
            </w:r>
            <w:proofErr w:type="gramEnd"/>
            <w:r w:rsidRPr="001B6E4D">
              <w:rPr>
                <w:rFonts w:hAnsi="標楷體"/>
                <w:sz w:val="24"/>
                <w:szCs w:val="24"/>
              </w:rPr>
              <w:t>條例第四條、第三十四條及第三十九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修正重點：刪除原條文有關月補償金之文字；為免所得替代率上限之約制，致已退休且月領補償金者，得領取數額為零，酌為文字修正。）</w:t>
            </w:r>
          </w:p>
        </w:tc>
        <w:tc>
          <w:tcPr>
            <w:tcW w:w="1129" w:type="pct"/>
          </w:tcPr>
          <w:p w14:paraId="02A259EE"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委員柯志恩</w:t>
            </w:r>
          </w:p>
          <w:p w14:paraId="2960AAC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7C8420F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113.05.17</w:t>
            </w:r>
          </w:p>
          <w:p w14:paraId="358F28DD" w14:textId="73F13C3B"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（11-1-14）</w:t>
            </w:r>
          </w:p>
        </w:tc>
        <w:tc>
          <w:tcPr>
            <w:tcW w:w="983" w:type="pct"/>
          </w:tcPr>
          <w:p w14:paraId="501F82AC" w14:textId="123D1DC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63E4D8E6" w14:textId="7AF6B13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9A64723" w14:textId="77777777" w:rsidTr="00182954">
        <w:tc>
          <w:tcPr>
            <w:tcW w:w="383" w:type="pct"/>
          </w:tcPr>
          <w:p w14:paraId="0D66631F" w14:textId="59A17F17"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8</w:t>
            </w:r>
          </w:p>
        </w:tc>
        <w:tc>
          <w:tcPr>
            <w:tcW w:w="1710" w:type="pct"/>
          </w:tcPr>
          <w:p w14:paraId="2BF5635F" w14:textId="3A559A9E" w:rsidR="009F34C2" w:rsidRPr="001B6E4D" w:rsidRDefault="009F34C2" w:rsidP="003D1018">
            <w:pPr>
              <w:pStyle w:val="01"/>
              <w:overflowPunct w:val="0"/>
              <w:rPr>
                <w:rFonts w:hAnsi="標楷體" w:cs="Times New Roman"/>
                <w:sz w:val="24"/>
                <w:szCs w:val="24"/>
              </w:rPr>
            </w:pPr>
            <w:r w:rsidRPr="001B6E4D">
              <w:rPr>
                <w:rFonts w:hAnsi="標楷體"/>
                <w:sz w:val="24"/>
                <w:szCs w:val="24"/>
              </w:rPr>
              <w:t>3.公立學校教職員退休資遣撫</w:t>
            </w:r>
            <w:proofErr w:type="gramStart"/>
            <w:r w:rsidRPr="001B6E4D">
              <w:rPr>
                <w:rFonts w:hAnsi="標楷體"/>
                <w:sz w:val="24"/>
                <w:szCs w:val="24"/>
              </w:rPr>
              <w:t>卹</w:t>
            </w:r>
            <w:proofErr w:type="gramEnd"/>
            <w:r w:rsidRPr="001B6E4D">
              <w:rPr>
                <w:rFonts w:hAnsi="標楷體"/>
                <w:sz w:val="24"/>
                <w:szCs w:val="24"/>
              </w:rPr>
              <w:t>條例第四條、第三十四條及第三十九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修正重點：刪除原條文有關月補償金之文字；為免所得替代率上限之約制，致已退休且月領補償金者，得領取數額為零，酌為文字修正。）</w:t>
            </w:r>
          </w:p>
        </w:tc>
        <w:tc>
          <w:tcPr>
            <w:tcW w:w="1129" w:type="pct"/>
          </w:tcPr>
          <w:p w14:paraId="46E2E6A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委員陳玉珍</w:t>
            </w:r>
          </w:p>
          <w:p w14:paraId="09B6D848"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4693F1A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114.10.28</w:t>
            </w:r>
          </w:p>
          <w:p w14:paraId="0D6EBD8D" w14:textId="34AAC061"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（11-4-6）</w:t>
            </w:r>
          </w:p>
        </w:tc>
        <w:tc>
          <w:tcPr>
            <w:tcW w:w="983" w:type="pct"/>
          </w:tcPr>
          <w:p w14:paraId="6C6A84BD" w14:textId="2CB0FD05"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4D73418B" w14:textId="75A979F0"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2C21373" w14:textId="77777777" w:rsidTr="00182954">
        <w:tc>
          <w:tcPr>
            <w:tcW w:w="383" w:type="pct"/>
          </w:tcPr>
          <w:p w14:paraId="5B03FB28" w14:textId="05A184C6"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9</w:t>
            </w:r>
          </w:p>
        </w:tc>
        <w:tc>
          <w:tcPr>
            <w:tcW w:w="1710" w:type="pct"/>
          </w:tcPr>
          <w:p w14:paraId="42C70785" w14:textId="6B2A3692" w:rsidR="009F34C2" w:rsidRPr="001B6E4D" w:rsidRDefault="009F34C2" w:rsidP="003D1018">
            <w:pPr>
              <w:pStyle w:val="01"/>
              <w:overflowPunct w:val="0"/>
              <w:rPr>
                <w:rFonts w:hAnsi="標楷體" w:cs="Times New Roman"/>
                <w:sz w:val="24"/>
                <w:szCs w:val="24"/>
              </w:rPr>
            </w:pPr>
            <w:r w:rsidRPr="001B6E4D">
              <w:rPr>
                <w:rFonts w:hAnsi="標楷體"/>
                <w:sz w:val="24"/>
                <w:szCs w:val="24"/>
              </w:rPr>
              <w:t>公立學校教職員退休資遣撫</w:t>
            </w:r>
            <w:proofErr w:type="gramStart"/>
            <w:r w:rsidRPr="001B6E4D">
              <w:rPr>
                <w:rFonts w:hAnsi="標楷體"/>
                <w:sz w:val="24"/>
                <w:szCs w:val="24"/>
              </w:rPr>
              <w:t>卹</w:t>
            </w:r>
            <w:proofErr w:type="gramEnd"/>
            <w:r w:rsidRPr="001B6E4D">
              <w:rPr>
                <w:rFonts w:hAnsi="標楷體"/>
                <w:sz w:val="24"/>
                <w:szCs w:val="24"/>
              </w:rPr>
              <w:t>條例第十八條、第三十一條及第三十二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修正重點：各項社會保險年齡資格計算方式，應回歸民法§124第1項規定，</w:t>
            </w:r>
            <w:proofErr w:type="gramStart"/>
            <w:r w:rsidRPr="001B6E4D">
              <w:rPr>
                <w:rFonts w:hAnsi="標楷體"/>
                <w:sz w:val="24"/>
                <w:szCs w:val="24"/>
              </w:rPr>
              <w:t>採</w:t>
            </w:r>
            <w:proofErr w:type="gramEnd"/>
            <w:r w:rsidRPr="001B6E4D">
              <w:rPr>
                <w:rFonts w:hAnsi="標楷體"/>
                <w:sz w:val="24"/>
                <w:szCs w:val="24"/>
              </w:rPr>
              <w:t>對人民權益最有利之認定方式為宜。）</w:t>
            </w:r>
          </w:p>
        </w:tc>
        <w:tc>
          <w:tcPr>
            <w:tcW w:w="1129" w:type="pct"/>
          </w:tcPr>
          <w:p w14:paraId="3C2BAF2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委員何欣純</w:t>
            </w:r>
          </w:p>
          <w:p w14:paraId="72EBDF6E"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5DE784D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113.10.04</w:t>
            </w:r>
          </w:p>
          <w:p w14:paraId="496A3B25" w14:textId="15E0B62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（11-2-3）</w:t>
            </w:r>
          </w:p>
        </w:tc>
        <w:tc>
          <w:tcPr>
            <w:tcW w:w="983" w:type="pct"/>
          </w:tcPr>
          <w:p w14:paraId="0B6BD183" w14:textId="3797C0B9"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4251449D" w14:textId="6B983B25"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7975905" w14:textId="77777777" w:rsidTr="00182954">
        <w:tc>
          <w:tcPr>
            <w:tcW w:w="383" w:type="pct"/>
          </w:tcPr>
          <w:p w14:paraId="2A710981" w14:textId="10E7A851"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10</w:t>
            </w:r>
          </w:p>
        </w:tc>
        <w:tc>
          <w:tcPr>
            <w:tcW w:w="1710" w:type="pct"/>
          </w:tcPr>
          <w:p w14:paraId="4D8674D3" w14:textId="4620C9E5" w:rsidR="009F34C2" w:rsidRPr="001B6E4D" w:rsidRDefault="009F34C2" w:rsidP="003D1018">
            <w:pPr>
              <w:pStyle w:val="01"/>
              <w:overflowPunct w:val="0"/>
              <w:rPr>
                <w:rFonts w:hAnsi="標楷體" w:cs="Times New Roman"/>
                <w:sz w:val="24"/>
                <w:szCs w:val="24"/>
              </w:rPr>
            </w:pPr>
            <w:r w:rsidRPr="001B6E4D">
              <w:rPr>
                <w:rFonts w:hAnsi="標楷體"/>
                <w:sz w:val="24"/>
                <w:szCs w:val="24"/>
              </w:rPr>
              <w:t>公立學校教職員退休資遣撫</w:t>
            </w:r>
            <w:proofErr w:type="gramStart"/>
            <w:r w:rsidRPr="001B6E4D">
              <w:rPr>
                <w:rFonts w:hAnsi="標楷體"/>
                <w:sz w:val="24"/>
                <w:szCs w:val="24"/>
              </w:rPr>
              <w:t>卹</w:t>
            </w:r>
            <w:proofErr w:type="gramEnd"/>
            <w:r w:rsidRPr="001B6E4D">
              <w:rPr>
                <w:rFonts w:hAnsi="標楷體"/>
                <w:sz w:val="24"/>
                <w:szCs w:val="24"/>
              </w:rPr>
              <w:t>條例第十三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修正重點：增列民意代表</w:t>
            </w:r>
            <w:proofErr w:type="gramStart"/>
            <w:r w:rsidRPr="001B6E4D">
              <w:rPr>
                <w:rFonts w:hAnsi="標楷體"/>
                <w:sz w:val="24"/>
                <w:szCs w:val="24"/>
              </w:rPr>
              <w:t>併</w:t>
            </w:r>
            <w:proofErr w:type="gramEnd"/>
            <w:r w:rsidRPr="001B6E4D">
              <w:rPr>
                <w:rFonts w:hAnsi="標楷體"/>
                <w:sz w:val="24"/>
                <w:szCs w:val="24"/>
              </w:rPr>
              <w:t>計年資。）</w:t>
            </w:r>
          </w:p>
        </w:tc>
        <w:tc>
          <w:tcPr>
            <w:tcW w:w="1129" w:type="pct"/>
          </w:tcPr>
          <w:p w14:paraId="35DDDE47" w14:textId="77777777" w:rsidR="009F34C2" w:rsidRPr="001B6E4D" w:rsidRDefault="009F34C2" w:rsidP="003D1018">
            <w:pPr>
              <w:overflowPunct w:val="0"/>
              <w:rPr>
                <w:rFonts w:ascii="標楷體" w:eastAsia="標楷體" w:hAnsi="標楷體"/>
                <w:sz w:val="24"/>
              </w:rPr>
            </w:pPr>
            <w:r w:rsidRPr="001B6E4D">
              <w:rPr>
                <w:rFonts w:ascii="標楷體" w:eastAsia="標楷體" w:hAnsi="標楷體"/>
                <w:sz w:val="24"/>
              </w:rPr>
              <w:t>委員陳玉珍</w:t>
            </w:r>
          </w:p>
          <w:p w14:paraId="1BA5256F" w14:textId="77777777" w:rsidR="009F34C2" w:rsidRPr="001B6E4D" w:rsidRDefault="009F34C2" w:rsidP="003D1018">
            <w:pPr>
              <w:overflowPunct w:val="0"/>
              <w:rPr>
                <w:rFonts w:ascii="標楷體" w:eastAsia="標楷體" w:hAnsi="標楷體"/>
                <w:sz w:val="24"/>
              </w:rPr>
            </w:pPr>
            <w:r w:rsidRPr="001B6E4D">
              <w:rPr>
                <w:rFonts w:ascii="標楷體" w:eastAsia="標楷體" w:hAnsi="標楷體"/>
                <w:sz w:val="24"/>
              </w:rPr>
              <w:t>等17人</w:t>
            </w:r>
          </w:p>
          <w:p w14:paraId="2999CC6C" w14:textId="77777777" w:rsidR="009F34C2" w:rsidRPr="001B6E4D" w:rsidRDefault="009F34C2" w:rsidP="003D1018">
            <w:pPr>
              <w:overflowPunct w:val="0"/>
              <w:rPr>
                <w:rFonts w:ascii="標楷體" w:eastAsia="標楷體" w:hAnsi="標楷體"/>
                <w:sz w:val="24"/>
              </w:rPr>
            </w:pPr>
            <w:r w:rsidRPr="001B6E4D">
              <w:rPr>
                <w:rFonts w:ascii="標楷體" w:eastAsia="標楷體" w:hAnsi="標楷體"/>
                <w:sz w:val="24"/>
              </w:rPr>
              <w:t>113.12.06</w:t>
            </w:r>
          </w:p>
          <w:p w14:paraId="1792CF30" w14:textId="0C440E73" w:rsidR="009F34C2" w:rsidRPr="001B6E4D" w:rsidRDefault="009F34C2" w:rsidP="003D1018">
            <w:pPr>
              <w:overflowPunct w:val="0"/>
              <w:rPr>
                <w:rFonts w:ascii="標楷體" w:eastAsia="標楷體" w:hAnsi="標楷體"/>
                <w:sz w:val="24"/>
              </w:rPr>
            </w:pPr>
            <w:r w:rsidRPr="001B6E4D">
              <w:rPr>
                <w:rFonts w:ascii="標楷體" w:eastAsia="標楷體" w:hAnsi="標楷體"/>
                <w:sz w:val="24"/>
              </w:rPr>
              <w:t>（11-2-12）（11-2-13提出復議，11-2-16復議不通過）</w:t>
            </w:r>
          </w:p>
        </w:tc>
        <w:tc>
          <w:tcPr>
            <w:tcW w:w="983" w:type="pct"/>
          </w:tcPr>
          <w:p w14:paraId="76232E3D" w14:textId="37D0C4D0"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3EB1D724" w14:textId="310326C6"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79150615" w14:textId="77777777" w:rsidTr="00182954">
        <w:tc>
          <w:tcPr>
            <w:tcW w:w="383" w:type="pct"/>
          </w:tcPr>
          <w:p w14:paraId="143EDF99" w14:textId="70FE6874"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11</w:t>
            </w:r>
          </w:p>
        </w:tc>
        <w:tc>
          <w:tcPr>
            <w:tcW w:w="1710" w:type="pct"/>
          </w:tcPr>
          <w:p w14:paraId="4B14AEB2" w14:textId="17320695" w:rsidR="009F34C2" w:rsidRPr="001B6E4D" w:rsidRDefault="009F34C2" w:rsidP="003D1018">
            <w:pPr>
              <w:pStyle w:val="01"/>
              <w:overflowPunct w:val="0"/>
              <w:rPr>
                <w:rFonts w:hAnsi="標楷體" w:cs="Times New Roman"/>
                <w:sz w:val="24"/>
                <w:szCs w:val="24"/>
              </w:rPr>
            </w:pPr>
            <w:r w:rsidRPr="001B6E4D">
              <w:rPr>
                <w:rFonts w:hAnsi="標楷體"/>
                <w:sz w:val="24"/>
                <w:szCs w:val="24"/>
              </w:rPr>
              <w:t>公立學校教職員退休資遣撫</w:t>
            </w:r>
            <w:proofErr w:type="gramStart"/>
            <w:r w:rsidRPr="001B6E4D">
              <w:rPr>
                <w:rFonts w:hAnsi="標楷體"/>
                <w:sz w:val="24"/>
                <w:szCs w:val="24"/>
              </w:rPr>
              <w:t>卹</w:t>
            </w:r>
            <w:proofErr w:type="gramEnd"/>
            <w:r w:rsidRPr="001B6E4D">
              <w:rPr>
                <w:rFonts w:hAnsi="標楷體"/>
                <w:sz w:val="24"/>
                <w:szCs w:val="24"/>
              </w:rPr>
              <w:t>條例第二十八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修正重點：廢</w:t>
            </w:r>
            <w:r w:rsidRPr="001B6E4D">
              <w:rPr>
                <w:rFonts w:hAnsi="標楷體"/>
                <w:sz w:val="24"/>
                <w:szCs w:val="24"/>
              </w:rPr>
              <w:lastRenderedPageBreak/>
              <w:t>除附表一，改以最後在職同薪級人員之本（年功）薪額作為基數內涵定義。）</w:t>
            </w:r>
          </w:p>
        </w:tc>
        <w:tc>
          <w:tcPr>
            <w:tcW w:w="1129" w:type="pct"/>
          </w:tcPr>
          <w:p w14:paraId="4A0C3C6D"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委員陳玉珍</w:t>
            </w:r>
          </w:p>
          <w:p w14:paraId="527704BA"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等19人</w:t>
            </w:r>
          </w:p>
          <w:p w14:paraId="3AFD395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114.10.28</w:t>
            </w:r>
          </w:p>
          <w:p w14:paraId="58CA9E36" w14:textId="1F8CF242"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（11-4-6）</w:t>
            </w:r>
          </w:p>
        </w:tc>
        <w:tc>
          <w:tcPr>
            <w:tcW w:w="983" w:type="pct"/>
          </w:tcPr>
          <w:p w14:paraId="7024617E" w14:textId="2E89F6E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司法及法制、教育及文化</w:t>
            </w:r>
          </w:p>
        </w:tc>
        <w:tc>
          <w:tcPr>
            <w:tcW w:w="795" w:type="pct"/>
          </w:tcPr>
          <w:p w14:paraId="3EBD23D9" w14:textId="64FC893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7D8F7DC" w14:textId="77777777" w:rsidTr="00182954">
        <w:tc>
          <w:tcPr>
            <w:tcW w:w="383" w:type="pct"/>
          </w:tcPr>
          <w:p w14:paraId="3697540F" w14:textId="7946C4BC"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12</w:t>
            </w:r>
          </w:p>
        </w:tc>
        <w:tc>
          <w:tcPr>
            <w:tcW w:w="1710" w:type="pct"/>
          </w:tcPr>
          <w:p w14:paraId="668083D0" w14:textId="4679BBEC" w:rsidR="009F34C2" w:rsidRPr="001B6E4D" w:rsidRDefault="009F34C2" w:rsidP="003D1018">
            <w:pPr>
              <w:pStyle w:val="01"/>
              <w:overflowPunct w:val="0"/>
              <w:rPr>
                <w:rFonts w:hAnsi="標楷體" w:cs="Times New Roman"/>
                <w:sz w:val="24"/>
                <w:szCs w:val="24"/>
              </w:rPr>
            </w:pPr>
            <w:r w:rsidRPr="001B6E4D">
              <w:rPr>
                <w:rFonts w:hAnsi="標楷體"/>
                <w:sz w:val="24"/>
                <w:szCs w:val="24"/>
              </w:rPr>
              <w:t>1.公立學校教職員退休資遣撫</w:t>
            </w:r>
            <w:proofErr w:type="gramStart"/>
            <w:r w:rsidRPr="001B6E4D">
              <w:rPr>
                <w:rFonts w:hAnsi="標楷體"/>
                <w:sz w:val="24"/>
                <w:szCs w:val="24"/>
              </w:rPr>
              <w:t>卹</w:t>
            </w:r>
            <w:proofErr w:type="gramEnd"/>
            <w:r w:rsidRPr="001B6E4D">
              <w:rPr>
                <w:rFonts w:hAnsi="標楷體"/>
                <w:sz w:val="24"/>
                <w:szCs w:val="24"/>
              </w:rPr>
              <w:t>條例刪除第七十七條條文草案</w:t>
            </w:r>
            <w:proofErr w:type="gramStart"/>
            <w:r w:rsidRPr="001B6E4D">
              <w:rPr>
                <w:rFonts w:hAnsi="標楷體"/>
                <w:sz w:val="24"/>
                <w:szCs w:val="24"/>
              </w:rPr>
              <w:t>（</w:t>
            </w:r>
            <w:proofErr w:type="gramEnd"/>
            <w:r w:rsidRPr="001B6E4D">
              <w:rPr>
                <w:rFonts w:hAnsi="標楷體"/>
                <w:sz w:val="24"/>
                <w:szCs w:val="24"/>
              </w:rPr>
              <w:t>刪除重點：刪除屆滿退役教師再任公職者領受退休</w:t>
            </w:r>
            <w:proofErr w:type="gramStart"/>
            <w:r w:rsidRPr="001B6E4D">
              <w:rPr>
                <w:rFonts w:hAnsi="標楷體"/>
                <w:sz w:val="24"/>
                <w:szCs w:val="24"/>
              </w:rPr>
              <w:t>俸</w:t>
            </w:r>
            <w:proofErr w:type="gramEnd"/>
            <w:r w:rsidRPr="001B6E4D">
              <w:rPr>
                <w:rFonts w:hAnsi="標楷體"/>
                <w:sz w:val="24"/>
                <w:szCs w:val="24"/>
              </w:rPr>
              <w:t>或贍養金之限制。）</w:t>
            </w:r>
          </w:p>
        </w:tc>
        <w:tc>
          <w:tcPr>
            <w:tcW w:w="1129" w:type="pct"/>
          </w:tcPr>
          <w:p w14:paraId="5E5C7C9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委員葉元之</w:t>
            </w:r>
          </w:p>
          <w:p w14:paraId="1D24DE70"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2A7634E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115.06.12</w:t>
            </w:r>
          </w:p>
          <w:p w14:paraId="7F425485" w14:textId="13D8169A"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（11-5-14）</w:t>
            </w:r>
          </w:p>
        </w:tc>
        <w:tc>
          <w:tcPr>
            <w:tcW w:w="983" w:type="pct"/>
          </w:tcPr>
          <w:p w14:paraId="2EB17837" w14:textId="4E51091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695DA03B" w14:textId="0439C480"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2AEF4C91" w14:textId="77777777" w:rsidTr="00182954">
        <w:tc>
          <w:tcPr>
            <w:tcW w:w="383" w:type="pct"/>
          </w:tcPr>
          <w:p w14:paraId="69A9997F" w14:textId="667ACFA0"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13</w:t>
            </w:r>
          </w:p>
        </w:tc>
        <w:tc>
          <w:tcPr>
            <w:tcW w:w="1710" w:type="pct"/>
          </w:tcPr>
          <w:p w14:paraId="2A729087" w14:textId="0409A20A" w:rsidR="009F34C2" w:rsidRPr="001B6E4D" w:rsidRDefault="009F34C2" w:rsidP="003D1018">
            <w:pPr>
              <w:pStyle w:val="01"/>
              <w:overflowPunct w:val="0"/>
              <w:rPr>
                <w:rFonts w:hAnsi="標楷體" w:cs="Times New Roman"/>
                <w:sz w:val="24"/>
                <w:szCs w:val="24"/>
              </w:rPr>
            </w:pPr>
            <w:r w:rsidRPr="001B6E4D">
              <w:rPr>
                <w:rFonts w:hAnsi="標楷體"/>
                <w:sz w:val="24"/>
                <w:szCs w:val="24"/>
              </w:rPr>
              <w:t>2.公立學校教職員退休資遣撫</w:t>
            </w:r>
            <w:proofErr w:type="gramStart"/>
            <w:r w:rsidRPr="001B6E4D">
              <w:rPr>
                <w:rFonts w:hAnsi="標楷體"/>
                <w:sz w:val="24"/>
                <w:szCs w:val="24"/>
              </w:rPr>
              <w:t>卹</w:t>
            </w:r>
            <w:proofErr w:type="gramEnd"/>
            <w:r w:rsidRPr="001B6E4D">
              <w:rPr>
                <w:rFonts w:hAnsi="標楷體"/>
                <w:sz w:val="24"/>
                <w:szCs w:val="24"/>
              </w:rPr>
              <w:t>條例第七十七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修正重點：取消退休公立學校教職員再任</w:t>
            </w:r>
            <w:proofErr w:type="gramStart"/>
            <w:r w:rsidRPr="001B6E4D">
              <w:rPr>
                <w:rFonts w:hAnsi="標楷體"/>
                <w:sz w:val="24"/>
                <w:szCs w:val="24"/>
              </w:rPr>
              <w:t>職務之薪酬</w:t>
            </w:r>
            <w:proofErr w:type="gramEnd"/>
            <w:r w:rsidRPr="001B6E4D">
              <w:rPr>
                <w:rFonts w:hAnsi="標楷體"/>
                <w:sz w:val="24"/>
                <w:szCs w:val="24"/>
              </w:rPr>
              <w:t>上限及停發月退休金限制。）</w:t>
            </w:r>
          </w:p>
        </w:tc>
        <w:tc>
          <w:tcPr>
            <w:tcW w:w="1129" w:type="pct"/>
          </w:tcPr>
          <w:p w14:paraId="32882ABD"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w:t>
            </w:r>
            <w:proofErr w:type="gramStart"/>
            <w:r w:rsidRPr="001B6E4D">
              <w:rPr>
                <w:rFonts w:ascii="標楷體" w:eastAsia="標楷體" w:hAnsi="標楷體"/>
                <w:sz w:val="24"/>
              </w:rPr>
              <w:t>盧</w:t>
            </w:r>
            <w:proofErr w:type="gramEnd"/>
            <w:r w:rsidRPr="001B6E4D">
              <w:rPr>
                <w:rFonts w:ascii="標楷體" w:eastAsia="標楷體" w:hAnsi="標楷體"/>
                <w:sz w:val="24"/>
              </w:rPr>
              <w:t>縣</w:t>
            </w:r>
            <w:proofErr w:type="gramStart"/>
            <w:r w:rsidRPr="001B6E4D">
              <w:rPr>
                <w:rFonts w:ascii="標楷體" w:eastAsia="標楷體" w:hAnsi="標楷體"/>
                <w:sz w:val="24"/>
              </w:rPr>
              <w:t>一</w:t>
            </w:r>
            <w:proofErr w:type="gramEnd"/>
          </w:p>
          <w:p w14:paraId="2CDC6C8E"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1F3D450A"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115.06.26</w:t>
            </w:r>
          </w:p>
          <w:p w14:paraId="7624E7A0" w14:textId="0C8E4A5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（11-5-15）</w:t>
            </w:r>
          </w:p>
        </w:tc>
        <w:tc>
          <w:tcPr>
            <w:tcW w:w="983" w:type="pct"/>
          </w:tcPr>
          <w:p w14:paraId="00D6D18D" w14:textId="0EAC3CBB"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4C31BB67" w14:textId="78D8DCC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087DA02E" w14:textId="77777777" w:rsidTr="00182954">
        <w:tc>
          <w:tcPr>
            <w:tcW w:w="383" w:type="pct"/>
          </w:tcPr>
          <w:p w14:paraId="39591611" w14:textId="16854F85"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14</w:t>
            </w:r>
          </w:p>
        </w:tc>
        <w:tc>
          <w:tcPr>
            <w:tcW w:w="1710" w:type="pct"/>
          </w:tcPr>
          <w:p w14:paraId="29B05747" w14:textId="5B9302C4" w:rsidR="009F34C2" w:rsidRPr="001B6E4D" w:rsidRDefault="009F34C2" w:rsidP="003D1018">
            <w:pPr>
              <w:pStyle w:val="01"/>
              <w:overflowPunct w:val="0"/>
              <w:rPr>
                <w:rFonts w:hAnsi="標楷體" w:cs="Times New Roman"/>
                <w:sz w:val="24"/>
                <w:szCs w:val="24"/>
              </w:rPr>
            </w:pPr>
            <w:r w:rsidRPr="001B6E4D">
              <w:rPr>
                <w:rFonts w:hAnsi="標楷體"/>
                <w:sz w:val="24"/>
                <w:szCs w:val="24"/>
              </w:rPr>
              <w:t>1.教育人員任用條例部分條文修正草案(修正§31；增訂§31-1~3。修正重點：明定教育人員應予解聘或免職，且終身不得任用之情形；應予以解聘或免職且應議決一年至四年不得任用為教育人員之情形；教育人員之任用消極資格條件；主管教育行政機關、各級學校、社會教育機構及學術機構就教育人員有消極任用資格之情形，應辦理通報、資訊之蒐集、查詢、處理及利用之規定。)</w:t>
            </w:r>
          </w:p>
        </w:tc>
        <w:tc>
          <w:tcPr>
            <w:tcW w:w="1129" w:type="pct"/>
          </w:tcPr>
          <w:p w14:paraId="2DCCBB9F"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委員陳秀</w:t>
            </w:r>
            <w:r w:rsidRPr="001B6E4D">
              <w:rPr>
                <w:rFonts w:ascii="標楷體" w:eastAsia="標楷體" w:hAnsi="標楷體" w:hint="eastAsia"/>
                <w:sz w:val="24"/>
              </w:rPr>
              <w:t>寳</w:t>
            </w:r>
          </w:p>
          <w:p w14:paraId="224697E2"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hint="eastAsia"/>
                <w:sz w:val="24"/>
              </w:rPr>
              <w:t>等</w:t>
            </w:r>
            <w:r w:rsidRPr="001B6E4D">
              <w:rPr>
                <w:rFonts w:ascii="標楷體" w:eastAsia="標楷體" w:hAnsi="標楷體"/>
                <w:sz w:val="24"/>
              </w:rPr>
              <w:t>21人</w:t>
            </w:r>
          </w:p>
          <w:p w14:paraId="093D79C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113.03.15</w:t>
            </w:r>
          </w:p>
          <w:p w14:paraId="1D476D1B" w14:textId="167524A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hint="eastAsia"/>
                <w:sz w:val="24"/>
              </w:rPr>
              <w:t>（</w:t>
            </w:r>
            <w:r w:rsidRPr="001B6E4D">
              <w:rPr>
                <w:rFonts w:ascii="標楷體" w:eastAsia="標楷體" w:hAnsi="標楷體"/>
                <w:sz w:val="24"/>
              </w:rPr>
              <w:t>11-1-5）</w:t>
            </w:r>
          </w:p>
        </w:tc>
        <w:tc>
          <w:tcPr>
            <w:tcW w:w="983" w:type="pct"/>
          </w:tcPr>
          <w:p w14:paraId="58317881" w14:textId="33A71E2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7CE8C294" w14:textId="2DDC298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FEE6D20" w14:textId="77777777" w:rsidTr="00182954">
        <w:tc>
          <w:tcPr>
            <w:tcW w:w="383" w:type="pct"/>
          </w:tcPr>
          <w:p w14:paraId="5676B44A" w14:textId="2942A404"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15</w:t>
            </w:r>
          </w:p>
        </w:tc>
        <w:tc>
          <w:tcPr>
            <w:tcW w:w="1710" w:type="pct"/>
          </w:tcPr>
          <w:p w14:paraId="22EF61D6" w14:textId="5E0CCC9D" w:rsidR="009F34C2" w:rsidRPr="001B6E4D" w:rsidRDefault="009F34C2" w:rsidP="003D1018">
            <w:pPr>
              <w:pStyle w:val="01"/>
              <w:overflowPunct w:val="0"/>
              <w:rPr>
                <w:rFonts w:hAnsi="標楷體" w:cs="Times New Roman"/>
                <w:sz w:val="24"/>
                <w:szCs w:val="24"/>
              </w:rPr>
            </w:pPr>
            <w:r w:rsidRPr="001B6E4D">
              <w:rPr>
                <w:rFonts w:hAnsi="標楷體"/>
                <w:sz w:val="24"/>
                <w:szCs w:val="24"/>
              </w:rPr>
              <w:t>2.教育人員任用條例部分條文修正草案(修正§31、43；增訂§31-1~3。修正重點：配合性別平等教育法、性別平等工作法及性騷擾防治法之修正施行，</w:t>
            </w:r>
            <w:r w:rsidRPr="001B6E4D">
              <w:rPr>
                <w:rFonts w:hAnsi="標楷體"/>
                <w:sz w:val="24"/>
                <w:szCs w:val="24"/>
              </w:rPr>
              <w:lastRenderedPageBreak/>
              <w:t>將「與性或性別有關之專業倫理行為」提升至法律位階，增訂涉及違反相關規定之校園性別事件處理程序。)</w:t>
            </w:r>
          </w:p>
        </w:tc>
        <w:tc>
          <w:tcPr>
            <w:tcW w:w="1129" w:type="pct"/>
          </w:tcPr>
          <w:p w14:paraId="5CE2E852"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委員蘇巧慧</w:t>
            </w:r>
          </w:p>
          <w:p w14:paraId="07F77B11"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等20人</w:t>
            </w:r>
          </w:p>
          <w:p w14:paraId="3C38F68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113.03.22</w:t>
            </w:r>
          </w:p>
          <w:p w14:paraId="4462224F" w14:textId="705620C2"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（11-1-6）</w:t>
            </w:r>
          </w:p>
        </w:tc>
        <w:tc>
          <w:tcPr>
            <w:tcW w:w="983" w:type="pct"/>
          </w:tcPr>
          <w:p w14:paraId="03CAFCE8" w14:textId="5FAE424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1D54F958" w14:textId="1853CE92"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3DFA47F6" w14:textId="77777777" w:rsidTr="00182954">
        <w:tc>
          <w:tcPr>
            <w:tcW w:w="383" w:type="pct"/>
          </w:tcPr>
          <w:p w14:paraId="58DD3B64" w14:textId="4570E5C5"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16</w:t>
            </w:r>
          </w:p>
        </w:tc>
        <w:tc>
          <w:tcPr>
            <w:tcW w:w="1710" w:type="pct"/>
          </w:tcPr>
          <w:p w14:paraId="3A3C5235" w14:textId="7C5B6271" w:rsidR="009F34C2" w:rsidRPr="001B6E4D" w:rsidRDefault="009F34C2" w:rsidP="003D1018">
            <w:pPr>
              <w:pStyle w:val="01"/>
              <w:overflowPunct w:val="0"/>
              <w:rPr>
                <w:rFonts w:hAnsi="標楷體" w:cs="Times New Roman"/>
                <w:sz w:val="24"/>
                <w:szCs w:val="24"/>
              </w:rPr>
            </w:pPr>
            <w:r w:rsidRPr="001B6E4D">
              <w:rPr>
                <w:rFonts w:hAnsi="標楷體"/>
                <w:sz w:val="24"/>
                <w:szCs w:val="24"/>
              </w:rPr>
              <w:t>3.教育人員任用條例部分條文修正草案</w:t>
            </w:r>
            <w:proofErr w:type="gramStart"/>
            <w:r w:rsidRPr="001B6E4D">
              <w:rPr>
                <w:rFonts w:hAnsi="標楷體"/>
                <w:sz w:val="24"/>
                <w:szCs w:val="24"/>
              </w:rPr>
              <w:t>（</w:t>
            </w:r>
            <w:proofErr w:type="gramEnd"/>
            <w:r w:rsidRPr="001B6E4D">
              <w:rPr>
                <w:rFonts w:hAnsi="標楷體"/>
                <w:sz w:val="24"/>
                <w:szCs w:val="24"/>
              </w:rPr>
              <w:t>修正§31；增訂§31-1~3。修正重點：檢討教育人員之解聘、免職及消極資格等相關規定。）</w:t>
            </w:r>
          </w:p>
        </w:tc>
        <w:tc>
          <w:tcPr>
            <w:tcW w:w="1129" w:type="pct"/>
          </w:tcPr>
          <w:p w14:paraId="2039AC6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委員伍麗華</w:t>
            </w:r>
          </w:p>
          <w:p w14:paraId="5F97893D" w14:textId="77777777" w:rsidR="009F34C2" w:rsidRPr="001B6E4D" w:rsidRDefault="009F34C2" w:rsidP="003D1018">
            <w:pPr>
              <w:overflowPunct w:val="0"/>
              <w:jc w:val="both"/>
              <w:rPr>
                <w:rFonts w:ascii="標楷體" w:eastAsia="標楷體" w:hAnsi="標楷體"/>
                <w:sz w:val="24"/>
              </w:rPr>
            </w:pPr>
            <w:proofErr w:type="spellStart"/>
            <w:r w:rsidRPr="001B6E4D">
              <w:rPr>
                <w:rFonts w:ascii="標楷體" w:eastAsia="標楷體" w:hAnsi="標楷體"/>
                <w:sz w:val="24"/>
              </w:rPr>
              <w:t>Saidhai</w:t>
            </w:r>
            <w:proofErr w:type="spellEnd"/>
            <w:r w:rsidRPr="001B6E4D">
              <w:rPr>
                <w:rFonts w:ascii="標楷體" w:eastAsia="標楷體" w:hAnsi="標楷體"/>
                <w:sz w:val="24"/>
              </w:rPr>
              <w:t>‧</w:t>
            </w:r>
          </w:p>
          <w:p w14:paraId="5378CE3D" w14:textId="77777777" w:rsidR="009F34C2" w:rsidRPr="001B6E4D" w:rsidRDefault="009F34C2" w:rsidP="003D1018">
            <w:pPr>
              <w:overflowPunct w:val="0"/>
              <w:jc w:val="both"/>
              <w:rPr>
                <w:rFonts w:ascii="標楷體" w:eastAsia="標楷體" w:hAnsi="標楷體"/>
                <w:sz w:val="24"/>
              </w:rPr>
            </w:pPr>
            <w:proofErr w:type="spellStart"/>
            <w:r w:rsidRPr="001B6E4D">
              <w:rPr>
                <w:rFonts w:ascii="標楷體" w:eastAsia="標楷體" w:hAnsi="標楷體"/>
                <w:sz w:val="24"/>
              </w:rPr>
              <w:t>Tahovecahe</w:t>
            </w:r>
            <w:proofErr w:type="spellEnd"/>
          </w:p>
          <w:p w14:paraId="5C8CD54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21DEB37A"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113.05.31</w:t>
            </w:r>
          </w:p>
          <w:p w14:paraId="2F8F7629" w14:textId="7798090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（11-1-16）</w:t>
            </w:r>
          </w:p>
        </w:tc>
        <w:tc>
          <w:tcPr>
            <w:tcW w:w="983" w:type="pct"/>
          </w:tcPr>
          <w:p w14:paraId="2DB4CB47" w14:textId="4947B00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0BE7281B" w14:textId="607AE8C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1643AB9A" w14:textId="77777777" w:rsidTr="00182954">
        <w:tc>
          <w:tcPr>
            <w:tcW w:w="383" w:type="pct"/>
          </w:tcPr>
          <w:p w14:paraId="45A76C07" w14:textId="4E48325B"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17</w:t>
            </w:r>
          </w:p>
        </w:tc>
        <w:tc>
          <w:tcPr>
            <w:tcW w:w="1710" w:type="pct"/>
          </w:tcPr>
          <w:p w14:paraId="42E82335" w14:textId="751FE818" w:rsidR="009F34C2" w:rsidRPr="001B6E4D" w:rsidRDefault="009F34C2" w:rsidP="003D1018">
            <w:pPr>
              <w:pStyle w:val="01"/>
              <w:overflowPunct w:val="0"/>
              <w:rPr>
                <w:rFonts w:hAnsi="標楷體" w:cs="Times New Roman"/>
                <w:sz w:val="24"/>
                <w:szCs w:val="24"/>
              </w:rPr>
            </w:pPr>
            <w:r w:rsidRPr="001B6E4D">
              <w:rPr>
                <w:rFonts w:hAnsi="標楷體"/>
                <w:sz w:val="24"/>
                <w:szCs w:val="24"/>
              </w:rPr>
              <w:t>4.教育人員任用條例第三十一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修正重點：除精神疾患外，教育人員對學生有第1項情事，主管機關得公布其姓名及名稱。）</w:t>
            </w:r>
          </w:p>
        </w:tc>
        <w:tc>
          <w:tcPr>
            <w:tcW w:w="1129" w:type="pct"/>
          </w:tcPr>
          <w:p w14:paraId="7FC6D5F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委員張雅琳</w:t>
            </w:r>
          </w:p>
          <w:p w14:paraId="0A0B486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等23人</w:t>
            </w:r>
          </w:p>
          <w:p w14:paraId="6DE4C7E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113.11.01</w:t>
            </w:r>
          </w:p>
          <w:p w14:paraId="1BD70FC4" w14:textId="7CD666E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（11-2-7）</w:t>
            </w:r>
          </w:p>
        </w:tc>
        <w:tc>
          <w:tcPr>
            <w:tcW w:w="983" w:type="pct"/>
          </w:tcPr>
          <w:p w14:paraId="2484A1B4" w14:textId="0FDBB775"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0F3C4585" w14:textId="24E6A8D9"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6E17C28" w14:textId="77777777" w:rsidTr="00182954">
        <w:tc>
          <w:tcPr>
            <w:tcW w:w="383" w:type="pct"/>
          </w:tcPr>
          <w:p w14:paraId="3D1AF3D5" w14:textId="4FC37CA9"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18</w:t>
            </w:r>
          </w:p>
        </w:tc>
        <w:tc>
          <w:tcPr>
            <w:tcW w:w="1710" w:type="pct"/>
          </w:tcPr>
          <w:p w14:paraId="4E0917C2" w14:textId="17D319AE" w:rsidR="009F34C2" w:rsidRPr="001B6E4D" w:rsidRDefault="009F34C2" w:rsidP="003D1018">
            <w:pPr>
              <w:pStyle w:val="01"/>
              <w:overflowPunct w:val="0"/>
              <w:rPr>
                <w:rFonts w:hAnsi="標楷體" w:cs="Times New Roman"/>
                <w:sz w:val="24"/>
                <w:szCs w:val="24"/>
              </w:rPr>
            </w:pPr>
            <w:r w:rsidRPr="001B6E4D">
              <w:rPr>
                <w:rFonts w:hAnsi="標楷體"/>
                <w:sz w:val="24"/>
                <w:szCs w:val="24"/>
              </w:rPr>
              <w:t>5.教育人員任用條例部分條文修正草案</w:t>
            </w:r>
            <w:proofErr w:type="gramStart"/>
            <w:r w:rsidRPr="001B6E4D">
              <w:rPr>
                <w:rFonts w:hAnsi="標楷體"/>
                <w:sz w:val="24"/>
                <w:szCs w:val="24"/>
              </w:rPr>
              <w:t>（</w:t>
            </w:r>
            <w:proofErr w:type="gramEnd"/>
            <w:r w:rsidRPr="001B6E4D">
              <w:rPr>
                <w:rFonts w:hAnsi="標楷體"/>
                <w:sz w:val="24"/>
                <w:szCs w:val="24"/>
              </w:rPr>
              <w:t>修正§31、43；增訂§31-1~3。修正重點：，配合教師法及性平三法之修正，明確規範教育人員不適任之情形，並補充與性或性別有關之專業倫理行為相關處理機制。）</w:t>
            </w:r>
          </w:p>
        </w:tc>
        <w:tc>
          <w:tcPr>
            <w:tcW w:w="1129" w:type="pct"/>
          </w:tcPr>
          <w:p w14:paraId="724FD88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委員郭昱晴</w:t>
            </w:r>
          </w:p>
          <w:p w14:paraId="7C32342A"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2D0824F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114.04.18</w:t>
            </w:r>
          </w:p>
          <w:p w14:paraId="59635F3E" w14:textId="2C7F25B9"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（11-3-8）</w:t>
            </w:r>
          </w:p>
        </w:tc>
        <w:tc>
          <w:tcPr>
            <w:tcW w:w="983" w:type="pct"/>
          </w:tcPr>
          <w:p w14:paraId="5449A470" w14:textId="6336E66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28365181" w14:textId="37B2CDB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1FEF76B" w14:textId="77777777" w:rsidTr="00182954">
        <w:tc>
          <w:tcPr>
            <w:tcW w:w="383" w:type="pct"/>
          </w:tcPr>
          <w:p w14:paraId="5364F082" w14:textId="21C3AB02"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19</w:t>
            </w:r>
          </w:p>
        </w:tc>
        <w:tc>
          <w:tcPr>
            <w:tcW w:w="1710" w:type="pct"/>
          </w:tcPr>
          <w:p w14:paraId="626B8D3B" w14:textId="6C06A488" w:rsidR="009F34C2" w:rsidRPr="001B6E4D" w:rsidRDefault="009F34C2" w:rsidP="003D1018">
            <w:pPr>
              <w:pStyle w:val="01"/>
              <w:overflowPunct w:val="0"/>
              <w:rPr>
                <w:rFonts w:hAnsi="標楷體" w:cs="Times New Roman"/>
                <w:sz w:val="24"/>
                <w:szCs w:val="24"/>
              </w:rPr>
            </w:pPr>
            <w:r w:rsidRPr="001B6E4D">
              <w:rPr>
                <w:rFonts w:hAnsi="標楷體"/>
                <w:sz w:val="24"/>
                <w:szCs w:val="24"/>
              </w:rPr>
              <w:t>教育人員任用條例第三十四條之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修正重點：將祖父母</w:t>
            </w:r>
            <w:proofErr w:type="gramStart"/>
            <w:r w:rsidRPr="001B6E4D">
              <w:rPr>
                <w:rFonts w:hAnsi="標楷體"/>
                <w:sz w:val="24"/>
                <w:szCs w:val="24"/>
              </w:rPr>
              <w:t>育孫假從</w:t>
            </w:r>
            <w:proofErr w:type="gramEnd"/>
            <w:r w:rsidRPr="001B6E4D">
              <w:rPr>
                <w:rFonts w:hAnsi="標楷體"/>
                <w:sz w:val="24"/>
                <w:szCs w:val="24"/>
              </w:rPr>
              <w:t>辦法提升至法律位階。）</w:t>
            </w:r>
          </w:p>
        </w:tc>
        <w:tc>
          <w:tcPr>
            <w:tcW w:w="1129" w:type="pct"/>
          </w:tcPr>
          <w:p w14:paraId="7C4BF22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委員翁曉玲</w:t>
            </w:r>
          </w:p>
          <w:p w14:paraId="0895480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等24人</w:t>
            </w:r>
          </w:p>
          <w:p w14:paraId="61F87B8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113.11.15</w:t>
            </w:r>
          </w:p>
          <w:p w14:paraId="51C17BCC" w14:textId="14A794C1"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（11-2-9）</w:t>
            </w:r>
          </w:p>
        </w:tc>
        <w:tc>
          <w:tcPr>
            <w:tcW w:w="983" w:type="pct"/>
          </w:tcPr>
          <w:p w14:paraId="06B71E8C" w14:textId="05C70619"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3A1BA7BE" w14:textId="5129FD1B"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15C3E7B5" w14:textId="77777777" w:rsidTr="00182954">
        <w:tc>
          <w:tcPr>
            <w:tcW w:w="383" w:type="pct"/>
          </w:tcPr>
          <w:p w14:paraId="3D66A414" w14:textId="71CAA829"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20</w:t>
            </w:r>
          </w:p>
        </w:tc>
        <w:tc>
          <w:tcPr>
            <w:tcW w:w="1710" w:type="pct"/>
          </w:tcPr>
          <w:p w14:paraId="25B175CC" w14:textId="142506CD" w:rsidR="009F34C2" w:rsidRPr="001B6E4D" w:rsidRDefault="009F34C2" w:rsidP="003D1018">
            <w:pPr>
              <w:pStyle w:val="01"/>
              <w:overflowPunct w:val="0"/>
              <w:rPr>
                <w:rFonts w:hAnsi="標楷體" w:cs="Times New Roman"/>
                <w:sz w:val="24"/>
                <w:szCs w:val="24"/>
              </w:rPr>
            </w:pPr>
            <w:r w:rsidRPr="001B6E4D">
              <w:rPr>
                <w:rFonts w:hAnsi="標楷體"/>
                <w:sz w:val="24"/>
                <w:szCs w:val="24"/>
              </w:rPr>
              <w:t>1.學校法人及其所屬私立學校教職員退休撫</w:t>
            </w:r>
            <w:proofErr w:type="gramStart"/>
            <w:r w:rsidRPr="001B6E4D">
              <w:rPr>
                <w:rFonts w:hAnsi="標楷體"/>
                <w:sz w:val="24"/>
                <w:szCs w:val="24"/>
              </w:rPr>
              <w:t>卹</w:t>
            </w:r>
            <w:proofErr w:type="gramEnd"/>
            <w:r w:rsidRPr="001B6E4D">
              <w:rPr>
                <w:rFonts w:hAnsi="標楷體"/>
                <w:sz w:val="24"/>
                <w:szCs w:val="24"/>
              </w:rPr>
              <w:t>離職資遣條例第八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修正重點：私立學校教職員退撫</w:t>
            </w:r>
            <w:proofErr w:type="gramStart"/>
            <w:r w:rsidRPr="001B6E4D">
              <w:rPr>
                <w:rFonts w:hAnsi="標楷體"/>
                <w:sz w:val="24"/>
                <w:szCs w:val="24"/>
              </w:rPr>
              <w:t>提撥</w:t>
            </w:r>
            <w:proofErr w:type="gramEnd"/>
            <w:r w:rsidRPr="001B6E4D">
              <w:rPr>
                <w:rFonts w:hAnsi="標楷體"/>
                <w:sz w:val="24"/>
                <w:szCs w:val="24"/>
              </w:rPr>
              <w:t>費率與公立學校教職員應</w:t>
            </w:r>
            <w:proofErr w:type="gramStart"/>
            <w:r w:rsidRPr="001B6E4D">
              <w:rPr>
                <w:rFonts w:hAnsi="標楷體"/>
                <w:sz w:val="24"/>
                <w:szCs w:val="24"/>
              </w:rPr>
              <w:t>採</w:t>
            </w:r>
            <w:proofErr w:type="gramEnd"/>
            <w:r w:rsidRPr="001B6E4D">
              <w:rPr>
                <w:rFonts w:hAnsi="標楷體"/>
                <w:sz w:val="24"/>
                <w:szCs w:val="24"/>
              </w:rPr>
              <w:t>相同標準。）</w:t>
            </w:r>
          </w:p>
        </w:tc>
        <w:tc>
          <w:tcPr>
            <w:tcW w:w="1129" w:type="pct"/>
          </w:tcPr>
          <w:p w14:paraId="0DAEE190"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委員羅廷</w:t>
            </w:r>
            <w:proofErr w:type="gramStart"/>
            <w:r w:rsidRPr="001B6E4D">
              <w:rPr>
                <w:rFonts w:ascii="標楷體" w:eastAsia="標楷體" w:hAnsi="標楷體"/>
                <w:sz w:val="24"/>
              </w:rPr>
              <w:t>瑋</w:t>
            </w:r>
            <w:proofErr w:type="gramEnd"/>
          </w:p>
          <w:p w14:paraId="09100CBC"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47C53D5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113.03.15</w:t>
            </w:r>
          </w:p>
          <w:p w14:paraId="02D5D58C" w14:textId="74CF49E2"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（11-1-5）</w:t>
            </w:r>
          </w:p>
        </w:tc>
        <w:tc>
          <w:tcPr>
            <w:tcW w:w="983" w:type="pct"/>
          </w:tcPr>
          <w:p w14:paraId="606E1C25" w14:textId="252EAAE1"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7B3AB1CC" w14:textId="5A5E0420"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1757540F" w14:textId="77777777" w:rsidTr="00182954">
        <w:tc>
          <w:tcPr>
            <w:tcW w:w="383" w:type="pct"/>
          </w:tcPr>
          <w:p w14:paraId="179CC354" w14:textId="691B0CC5"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lastRenderedPageBreak/>
              <w:t>21</w:t>
            </w:r>
          </w:p>
        </w:tc>
        <w:tc>
          <w:tcPr>
            <w:tcW w:w="1710" w:type="pct"/>
          </w:tcPr>
          <w:p w14:paraId="73FE264F" w14:textId="381D5AA6" w:rsidR="009F34C2" w:rsidRPr="001B6E4D" w:rsidRDefault="009F34C2" w:rsidP="003D1018">
            <w:pPr>
              <w:pStyle w:val="01"/>
              <w:overflowPunct w:val="0"/>
              <w:rPr>
                <w:rFonts w:hAnsi="標楷體" w:cs="Times New Roman"/>
                <w:sz w:val="24"/>
                <w:szCs w:val="24"/>
              </w:rPr>
            </w:pPr>
            <w:r w:rsidRPr="001B6E4D">
              <w:rPr>
                <w:rFonts w:hAnsi="標楷體"/>
                <w:sz w:val="24"/>
                <w:szCs w:val="24"/>
              </w:rPr>
              <w:t>2.學校法人及其所屬私立學校教職員退休撫</w:t>
            </w:r>
            <w:proofErr w:type="gramStart"/>
            <w:r w:rsidRPr="001B6E4D">
              <w:rPr>
                <w:rFonts w:hAnsi="標楷體"/>
                <w:sz w:val="24"/>
                <w:szCs w:val="24"/>
              </w:rPr>
              <w:t>卹</w:t>
            </w:r>
            <w:proofErr w:type="gramEnd"/>
            <w:r w:rsidRPr="001B6E4D">
              <w:rPr>
                <w:rFonts w:hAnsi="標楷體"/>
                <w:sz w:val="24"/>
                <w:szCs w:val="24"/>
              </w:rPr>
              <w:t>離職資遣條例第八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修正重點：退撫</w:t>
            </w:r>
            <w:proofErr w:type="gramStart"/>
            <w:r w:rsidRPr="001B6E4D">
              <w:rPr>
                <w:rFonts w:hAnsi="標楷體"/>
                <w:sz w:val="24"/>
                <w:szCs w:val="24"/>
              </w:rPr>
              <w:t>提撥</w:t>
            </w:r>
            <w:proofErr w:type="gramEnd"/>
            <w:r w:rsidRPr="001B6E4D">
              <w:rPr>
                <w:rFonts w:hAnsi="標楷體"/>
                <w:sz w:val="24"/>
                <w:szCs w:val="24"/>
              </w:rPr>
              <w:t>費率與公立學校教職員</w:t>
            </w:r>
            <w:proofErr w:type="gramStart"/>
            <w:r w:rsidRPr="001B6E4D">
              <w:rPr>
                <w:rFonts w:hAnsi="標楷體"/>
                <w:sz w:val="24"/>
                <w:szCs w:val="24"/>
              </w:rPr>
              <w:t>採</w:t>
            </w:r>
            <w:proofErr w:type="gramEnd"/>
            <w:r w:rsidRPr="001B6E4D">
              <w:rPr>
                <w:rFonts w:hAnsi="標楷體"/>
                <w:sz w:val="24"/>
                <w:szCs w:val="24"/>
              </w:rPr>
              <w:t>相同標準。）</w:t>
            </w:r>
          </w:p>
        </w:tc>
        <w:tc>
          <w:tcPr>
            <w:tcW w:w="1129" w:type="pct"/>
          </w:tcPr>
          <w:p w14:paraId="7142803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1F3E06F1"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113.03.22</w:t>
            </w:r>
          </w:p>
          <w:p w14:paraId="45B87506" w14:textId="299D0552"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（11-1-6）</w:t>
            </w:r>
          </w:p>
        </w:tc>
        <w:tc>
          <w:tcPr>
            <w:tcW w:w="983" w:type="pct"/>
          </w:tcPr>
          <w:p w14:paraId="506E509A" w14:textId="02B4B331"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33171397" w14:textId="7D42FF6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397FB856" w14:textId="77777777" w:rsidTr="00182954">
        <w:tc>
          <w:tcPr>
            <w:tcW w:w="383" w:type="pct"/>
          </w:tcPr>
          <w:p w14:paraId="0C4092E0" w14:textId="44422547"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22</w:t>
            </w:r>
          </w:p>
        </w:tc>
        <w:tc>
          <w:tcPr>
            <w:tcW w:w="1710" w:type="pct"/>
          </w:tcPr>
          <w:p w14:paraId="244F6388" w14:textId="74AA0EFB" w:rsidR="009F34C2" w:rsidRPr="001B6E4D" w:rsidRDefault="009F34C2" w:rsidP="003D1018">
            <w:pPr>
              <w:pStyle w:val="01"/>
              <w:overflowPunct w:val="0"/>
              <w:rPr>
                <w:rFonts w:hAnsi="標楷體" w:cs="Times New Roman"/>
                <w:sz w:val="24"/>
                <w:szCs w:val="24"/>
              </w:rPr>
            </w:pPr>
            <w:r w:rsidRPr="001B6E4D">
              <w:rPr>
                <w:rFonts w:hAnsi="標楷體"/>
                <w:sz w:val="24"/>
                <w:szCs w:val="24"/>
              </w:rPr>
              <w:t>3.學校法人及其所屬私立學校教職員退休撫</w:t>
            </w:r>
            <w:proofErr w:type="gramStart"/>
            <w:r w:rsidRPr="001B6E4D">
              <w:rPr>
                <w:rFonts w:hAnsi="標楷體"/>
                <w:sz w:val="24"/>
                <w:szCs w:val="24"/>
              </w:rPr>
              <w:t>卹</w:t>
            </w:r>
            <w:proofErr w:type="gramEnd"/>
            <w:r w:rsidRPr="001B6E4D">
              <w:rPr>
                <w:rFonts w:hAnsi="標楷體"/>
                <w:sz w:val="24"/>
                <w:szCs w:val="24"/>
              </w:rPr>
              <w:t>離職資遣條例第八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修正重點：退撫</w:t>
            </w:r>
            <w:proofErr w:type="gramStart"/>
            <w:r w:rsidRPr="001B6E4D">
              <w:rPr>
                <w:rFonts w:hAnsi="標楷體"/>
                <w:sz w:val="24"/>
                <w:szCs w:val="24"/>
              </w:rPr>
              <w:t>提撥</w:t>
            </w:r>
            <w:proofErr w:type="gramEnd"/>
            <w:r w:rsidRPr="001B6E4D">
              <w:rPr>
                <w:rFonts w:hAnsi="標楷體"/>
                <w:sz w:val="24"/>
                <w:szCs w:val="24"/>
              </w:rPr>
              <w:t>費率與公立學校教職員</w:t>
            </w:r>
            <w:proofErr w:type="gramStart"/>
            <w:r w:rsidRPr="001B6E4D">
              <w:rPr>
                <w:rFonts w:hAnsi="標楷體"/>
                <w:sz w:val="24"/>
                <w:szCs w:val="24"/>
              </w:rPr>
              <w:t>採</w:t>
            </w:r>
            <w:proofErr w:type="gramEnd"/>
            <w:r w:rsidRPr="001B6E4D">
              <w:rPr>
                <w:rFonts w:hAnsi="標楷體"/>
                <w:sz w:val="24"/>
                <w:szCs w:val="24"/>
              </w:rPr>
              <w:t>相同標準。）</w:t>
            </w:r>
          </w:p>
        </w:tc>
        <w:tc>
          <w:tcPr>
            <w:tcW w:w="1129" w:type="pct"/>
          </w:tcPr>
          <w:p w14:paraId="175FD20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委員林宜瑾</w:t>
            </w:r>
          </w:p>
          <w:p w14:paraId="5208E51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等20人</w:t>
            </w:r>
          </w:p>
          <w:p w14:paraId="3A49133F"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113.03.29</w:t>
            </w:r>
          </w:p>
          <w:p w14:paraId="0944062B" w14:textId="20742FB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（11-1-7）</w:t>
            </w:r>
          </w:p>
        </w:tc>
        <w:tc>
          <w:tcPr>
            <w:tcW w:w="983" w:type="pct"/>
          </w:tcPr>
          <w:p w14:paraId="11AD5A11" w14:textId="341EBED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42650BBA" w14:textId="307C0696"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7C72E60" w14:textId="77777777" w:rsidTr="00182954">
        <w:tc>
          <w:tcPr>
            <w:tcW w:w="383" w:type="pct"/>
          </w:tcPr>
          <w:p w14:paraId="73CF85F1" w14:textId="5204BF3D"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23</w:t>
            </w:r>
          </w:p>
        </w:tc>
        <w:tc>
          <w:tcPr>
            <w:tcW w:w="1710" w:type="pct"/>
          </w:tcPr>
          <w:p w14:paraId="7B52726C" w14:textId="1EF0BDDD" w:rsidR="009F34C2" w:rsidRPr="001B6E4D" w:rsidRDefault="009F34C2" w:rsidP="003D1018">
            <w:pPr>
              <w:pStyle w:val="01"/>
              <w:overflowPunct w:val="0"/>
              <w:rPr>
                <w:rFonts w:hAnsi="標楷體" w:cs="Times New Roman"/>
                <w:sz w:val="24"/>
                <w:szCs w:val="24"/>
              </w:rPr>
            </w:pPr>
            <w:r w:rsidRPr="001B6E4D">
              <w:rPr>
                <w:rFonts w:hAnsi="標楷體"/>
                <w:sz w:val="24"/>
                <w:szCs w:val="24"/>
              </w:rPr>
              <w:t>4.學校法人及其所屬私立學校教職員退休撫</w:t>
            </w:r>
            <w:proofErr w:type="gramStart"/>
            <w:r w:rsidRPr="001B6E4D">
              <w:rPr>
                <w:rFonts w:hAnsi="標楷體"/>
                <w:sz w:val="24"/>
                <w:szCs w:val="24"/>
              </w:rPr>
              <w:t>卹</w:t>
            </w:r>
            <w:proofErr w:type="gramEnd"/>
            <w:r w:rsidRPr="001B6E4D">
              <w:rPr>
                <w:rFonts w:hAnsi="標楷體"/>
                <w:sz w:val="24"/>
                <w:szCs w:val="24"/>
              </w:rPr>
              <w:t>離職資遣條例第八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修正重點：私校退撫</w:t>
            </w:r>
            <w:proofErr w:type="gramStart"/>
            <w:r w:rsidRPr="001B6E4D">
              <w:rPr>
                <w:rFonts w:hAnsi="標楷體"/>
                <w:sz w:val="24"/>
                <w:szCs w:val="24"/>
              </w:rPr>
              <w:t>提撥</w:t>
            </w:r>
            <w:proofErr w:type="gramEnd"/>
            <w:r w:rsidRPr="001B6E4D">
              <w:rPr>
                <w:rFonts w:hAnsi="標楷體"/>
                <w:sz w:val="24"/>
                <w:szCs w:val="24"/>
              </w:rPr>
              <w:t>費率調整與公立學校教職員一致。）</w:t>
            </w:r>
          </w:p>
        </w:tc>
        <w:tc>
          <w:tcPr>
            <w:tcW w:w="1129" w:type="pct"/>
          </w:tcPr>
          <w:p w14:paraId="5184DAF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委員賴士葆</w:t>
            </w:r>
          </w:p>
          <w:p w14:paraId="70D0DDAA"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等22人</w:t>
            </w:r>
          </w:p>
          <w:p w14:paraId="17D4BBD8"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113.04.26</w:t>
            </w:r>
          </w:p>
          <w:p w14:paraId="7CE0043B" w14:textId="5737155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（11-1-11）</w:t>
            </w:r>
          </w:p>
        </w:tc>
        <w:tc>
          <w:tcPr>
            <w:tcW w:w="983" w:type="pct"/>
          </w:tcPr>
          <w:p w14:paraId="390F584D" w14:textId="05157725"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1CBB4808" w14:textId="47C52681"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42E9987" w14:textId="77777777" w:rsidTr="00182954">
        <w:tc>
          <w:tcPr>
            <w:tcW w:w="383" w:type="pct"/>
          </w:tcPr>
          <w:p w14:paraId="0F4B000E" w14:textId="00093A19"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24</w:t>
            </w:r>
          </w:p>
        </w:tc>
        <w:tc>
          <w:tcPr>
            <w:tcW w:w="1710" w:type="pct"/>
          </w:tcPr>
          <w:p w14:paraId="4B4DD122" w14:textId="7DB0B846" w:rsidR="009F34C2" w:rsidRPr="001B6E4D" w:rsidRDefault="009F34C2" w:rsidP="003D1018">
            <w:pPr>
              <w:pStyle w:val="01"/>
              <w:overflowPunct w:val="0"/>
              <w:rPr>
                <w:rFonts w:hAnsi="標楷體" w:cs="Times New Roman"/>
                <w:sz w:val="24"/>
                <w:szCs w:val="24"/>
              </w:rPr>
            </w:pPr>
            <w:r w:rsidRPr="001B6E4D">
              <w:rPr>
                <w:rFonts w:hAnsi="標楷體"/>
                <w:sz w:val="24"/>
                <w:szCs w:val="24"/>
              </w:rPr>
              <w:t>5.學校法人及其所屬私立學校教職員退休撫</w:t>
            </w:r>
            <w:proofErr w:type="gramStart"/>
            <w:r w:rsidRPr="001B6E4D">
              <w:rPr>
                <w:rFonts w:hAnsi="標楷體"/>
                <w:sz w:val="24"/>
                <w:szCs w:val="24"/>
              </w:rPr>
              <w:t>卹</w:t>
            </w:r>
            <w:proofErr w:type="gramEnd"/>
            <w:r w:rsidRPr="001B6E4D">
              <w:rPr>
                <w:rFonts w:hAnsi="標楷體"/>
                <w:sz w:val="24"/>
                <w:szCs w:val="24"/>
              </w:rPr>
              <w:t>離職資遣條例第八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修正重點：將私校退撫之</w:t>
            </w:r>
            <w:proofErr w:type="gramStart"/>
            <w:r w:rsidRPr="001B6E4D">
              <w:rPr>
                <w:rFonts w:hAnsi="標楷體"/>
                <w:sz w:val="24"/>
                <w:szCs w:val="24"/>
              </w:rPr>
              <w:t>提撥</w:t>
            </w:r>
            <w:proofErr w:type="gramEnd"/>
            <w:r w:rsidRPr="001B6E4D">
              <w:rPr>
                <w:rFonts w:hAnsi="標楷體"/>
                <w:sz w:val="24"/>
                <w:szCs w:val="24"/>
              </w:rPr>
              <w:t>費率調整為與公校一致。）</w:t>
            </w:r>
          </w:p>
        </w:tc>
        <w:tc>
          <w:tcPr>
            <w:tcW w:w="1129" w:type="pct"/>
          </w:tcPr>
          <w:p w14:paraId="60102B5F"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委員柯志恩</w:t>
            </w:r>
          </w:p>
          <w:p w14:paraId="675CC2FC"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6CB137D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113.05.17</w:t>
            </w:r>
          </w:p>
          <w:p w14:paraId="567991C5" w14:textId="65B7AAA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（11-1-14）</w:t>
            </w:r>
          </w:p>
        </w:tc>
        <w:tc>
          <w:tcPr>
            <w:tcW w:w="983" w:type="pct"/>
          </w:tcPr>
          <w:p w14:paraId="10DA079D" w14:textId="4E97903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1762CBBC" w14:textId="0B08CA5A"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66DC07F6" w14:textId="77777777" w:rsidTr="00182954">
        <w:tc>
          <w:tcPr>
            <w:tcW w:w="383" w:type="pct"/>
          </w:tcPr>
          <w:p w14:paraId="4AC4ACA7" w14:textId="35186423"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25</w:t>
            </w:r>
          </w:p>
        </w:tc>
        <w:tc>
          <w:tcPr>
            <w:tcW w:w="1710" w:type="pct"/>
          </w:tcPr>
          <w:p w14:paraId="76206FFC" w14:textId="6ED4CE88" w:rsidR="009F34C2" w:rsidRPr="001B6E4D" w:rsidRDefault="009F34C2" w:rsidP="003D1018">
            <w:pPr>
              <w:pStyle w:val="01"/>
              <w:overflowPunct w:val="0"/>
              <w:rPr>
                <w:rFonts w:hAnsi="標楷體" w:cs="Times New Roman"/>
                <w:sz w:val="24"/>
                <w:szCs w:val="24"/>
              </w:rPr>
            </w:pPr>
            <w:r w:rsidRPr="001B6E4D">
              <w:rPr>
                <w:rFonts w:hAnsi="標楷體"/>
                <w:sz w:val="24"/>
                <w:szCs w:val="24"/>
              </w:rPr>
              <w:t>6.學校法人及其所屬私立學校教職員退休撫</w:t>
            </w:r>
            <w:proofErr w:type="gramStart"/>
            <w:r w:rsidRPr="001B6E4D">
              <w:rPr>
                <w:rFonts w:hAnsi="標楷體"/>
                <w:sz w:val="24"/>
                <w:szCs w:val="24"/>
              </w:rPr>
              <w:t>卹</w:t>
            </w:r>
            <w:proofErr w:type="gramEnd"/>
            <w:r w:rsidRPr="001B6E4D">
              <w:rPr>
                <w:rFonts w:hAnsi="標楷體"/>
                <w:sz w:val="24"/>
                <w:szCs w:val="24"/>
              </w:rPr>
              <w:t>離職資遣條例第八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修正重點：調整私立學校教職員之</w:t>
            </w:r>
            <w:proofErr w:type="gramStart"/>
            <w:r w:rsidRPr="001B6E4D">
              <w:rPr>
                <w:rFonts w:hAnsi="標楷體"/>
                <w:sz w:val="24"/>
                <w:szCs w:val="24"/>
              </w:rPr>
              <w:t>提撥</w:t>
            </w:r>
            <w:proofErr w:type="gramEnd"/>
            <w:r w:rsidRPr="001B6E4D">
              <w:rPr>
                <w:rFonts w:hAnsi="標楷體"/>
                <w:sz w:val="24"/>
                <w:szCs w:val="24"/>
              </w:rPr>
              <w:t>費率與公校一致。）</w:t>
            </w:r>
          </w:p>
        </w:tc>
        <w:tc>
          <w:tcPr>
            <w:tcW w:w="1129" w:type="pct"/>
          </w:tcPr>
          <w:p w14:paraId="3A6694FE"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委員林思銘</w:t>
            </w:r>
          </w:p>
          <w:p w14:paraId="0C6EAFC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0D599D5E"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113.05.31</w:t>
            </w:r>
          </w:p>
          <w:p w14:paraId="2F1FB28D" w14:textId="41F6C43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（11-1-16）</w:t>
            </w:r>
          </w:p>
        </w:tc>
        <w:tc>
          <w:tcPr>
            <w:tcW w:w="983" w:type="pct"/>
          </w:tcPr>
          <w:p w14:paraId="6E11A56F" w14:textId="6AB0A17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360487D7" w14:textId="74F31C79"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364681BA" w14:textId="77777777" w:rsidTr="00182954">
        <w:tc>
          <w:tcPr>
            <w:tcW w:w="383" w:type="pct"/>
          </w:tcPr>
          <w:p w14:paraId="222A65CD" w14:textId="459F7C5D"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26</w:t>
            </w:r>
          </w:p>
        </w:tc>
        <w:tc>
          <w:tcPr>
            <w:tcW w:w="1710" w:type="pct"/>
          </w:tcPr>
          <w:p w14:paraId="4F901F7F" w14:textId="5C7CB5A5" w:rsidR="009F34C2" w:rsidRPr="001B6E4D" w:rsidRDefault="009F34C2" w:rsidP="003D1018">
            <w:pPr>
              <w:pStyle w:val="01"/>
              <w:overflowPunct w:val="0"/>
              <w:rPr>
                <w:rFonts w:hAnsi="標楷體" w:cs="Times New Roman"/>
                <w:sz w:val="24"/>
                <w:szCs w:val="24"/>
              </w:rPr>
            </w:pPr>
            <w:r w:rsidRPr="001B6E4D">
              <w:rPr>
                <w:rFonts w:hAnsi="標楷體"/>
                <w:sz w:val="24"/>
                <w:szCs w:val="24"/>
              </w:rPr>
              <w:t>7.學校法人及其所屬私立學校教職員退休撫</w:t>
            </w:r>
            <w:proofErr w:type="gramStart"/>
            <w:r w:rsidRPr="001B6E4D">
              <w:rPr>
                <w:rFonts w:hAnsi="標楷體"/>
                <w:sz w:val="24"/>
                <w:szCs w:val="24"/>
              </w:rPr>
              <w:t>卹</w:t>
            </w:r>
            <w:proofErr w:type="gramEnd"/>
            <w:r w:rsidRPr="001B6E4D">
              <w:rPr>
                <w:rFonts w:hAnsi="標楷體"/>
                <w:sz w:val="24"/>
                <w:szCs w:val="24"/>
              </w:rPr>
              <w:t>離職資遣條例第八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修正重點：調整私立學校教職員退撫儲金之</w:t>
            </w:r>
            <w:proofErr w:type="gramStart"/>
            <w:r w:rsidRPr="001B6E4D">
              <w:rPr>
                <w:rFonts w:hAnsi="標楷體"/>
                <w:sz w:val="24"/>
                <w:szCs w:val="24"/>
              </w:rPr>
              <w:t>提撥</w:t>
            </w:r>
            <w:proofErr w:type="gramEnd"/>
            <w:r w:rsidRPr="001B6E4D">
              <w:rPr>
                <w:rFonts w:hAnsi="標楷體"/>
                <w:sz w:val="24"/>
                <w:szCs w:val="24"/>
              </w:rPr>
              <w:t>費率與公校一致；讓教職員育嬰留職停薪年資之計入，不以本條例施行</w:t>
            </w:r>
            <w:r w:rsidRPr="001B6E4D">
              <w:rPr>
                <w:rFonts w:hAnsi="標楷體"/>
                <w:sz w:val="24"/>
                <w:szCs w:val="24"/>
              </w:rPr>
              <w:lastRenderedPageBreak/>
              <w:t>後為限。）</w:t>
            </w:r>
          </w:p>
        </w:tc>
        <w:tc>
          <w:tcPr>
            <w:tcW w:w="1129" w:type="pct"/>
          </w:tcPr>
          <w:p w14:paraId="4A8C7C0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委員洪孟楷</w:t>
            </w:r>
          </w:p>
          <w:p w14:paraId="0A7EAD60"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38CE0262"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113.06.28</w:t>
            </w:r>
          </w:p>
          <w:p w14:paraId="51DE50A1" w14:textId="523E4085"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（11-1-20）</w:t>
            </w:r>
          </w:p>
        </w:tc>
        <w:tc>
          <w:tcPr>
            <w:tcW w:w="983" w:type="pct"/>
          </w:tcPr>
          <w:p w14:paraId="58C818CA" w14:textId="1A16CBD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0F6BD13B" w14:textId="0E6B0590"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74108A0" w14:textId="77777777" w:rsidTr="00182954">
        <w:tc>
          <w:tcPr>
            <w:tcW w:w="383" w:type="pct"/>
          </w:tcPr>
          <w:p w14:paraId="49EB8660" w14:textId="203F2842"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27</w:t>
            </w:r>
          </w:p>
        </w:tc>
        <w:tc>
          <w:tcPr>
            <w:tcW w:w="1710" w:type="pct"/>
          </w:tcPr>
          <w:p w14:paraId="6B8EE77D" w14:textId="1B3C8461" w:rsidR="009F34C2" w:rsidRPr="001B6E4D" w:rsidRDefault="009F34C2" w:rsidP="003D1018">
            <w:pPr>
              <w:pStyle w:val="01"/>
              <w:overflowPunct w:val="0"/>
              <w:rPr>
                <w:rFonts w:hAnsi="標楷體" w:cs="Times New Roman"/>
                <w:sz w:val="24"/>
                <w:szCs w:val="24"/>
              </w:rPr>
            </w:pPr>
            <w:r w:rsidRPr="001B6E4D">
              <w:rPr>
                <w:rFonts w:hAnsi="標楷體"/>
                <w:sz w:val="24"/>
                <w:szCs w:val="24"/>
              </w:rPr>
              <w:t>8.學校法人及其所屬私立學校教職員退休撫</w:t>
            </w:r>
            <w:proofErr w:type="gramStart"/>
            <w:r w:rsidRPr="001B6E4D">
              <w:rPr>
                <w:rFonts w:hAnsi="標楷體"/>
                <w:sz w:val="24"/>
                <w:szCs w:val="24"/>
              </w:rPr>
              <w:t>卹</w:t>
            </w:r>
            <w:proofErr w:type="gramEnd"/>
            <w:r w:rsidRPr="001B6E4D">
              <w:rPr>
                <w:rFonts w:hAnsi="標楷體"/>
                <w:sz w:val="24"/>
                <w:szCs w:val="24"/>
              </w:rPr>
              <w:t>離職資遣條例第八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w:t>
            </w:r>
            <w:proofErr w:type="gramStart"/>
            <w:r w:rsidRPr="001B6E4D">
              <w:rPr>
                <w:rFonts w:hAnsi="標楷體"/>
                <w:sz w:val="24"/>
                <w:szCs w:val="24"/>
              </w:rPr>
              <w:t>育孫留</w:t>
            </w:r>
            <w:proofErr w:type="gramEnd"/>
            <w:r w:rsidRPr="001B6E4D">
              <w:rPr>
                <w:rFonts w:hAnsi="標楷體"/>
                <w:sz w:val="24"/>
                <w:szCs w:val="24"/>
              </w:rPr>
              <w:t>職停薪保障應比照育嬰規定，得選擇全額負擔並</w:t>
            </w:r>
            <w:proofErr w:type="gramStart"/>
            <w:r w:rsidRPr="001B6E4D">
              <w:rPr>
                <w:rFonts w:hAnsi="標楷體"/>
                <w:sz w:val="24"/>
                <w:szCs w:val="24"/>
              </w:rPr>
              <w:t>繼續撥繳退撫</w:t>
            </w:r>
            <w:proofErr w:type="gramEnd"/>
            <w:r w:rsidRPr="001B6E4D">
              <w:rPr>
                <w:rFonts w:hAnsi="標楷體"/>
                <w:sz w:val="24"/>
                <w:szCs w:val="24"/>
              </w:rPr>
              <w:t>儲金費用，</w:t>
            </w:r>
            <w:proofErr w:type="gramStart"/>
            <w:r w:rsidRPr="001B6E4D">
              <w:rPr>
                <w:rFonts w:hAnsi="標楷體"/>
                <w:sz w:val="24"/>
                <w:szCs w:val="24"/>
              </w:rPr>
              <w:t>併</w:t>
            </w:r>
            <w:proofErr w:type="gramEnd"/>
            <w:r w:rsidRPr="001B6E4D">
              <w:rPr>
                <w:rFonts w:hAnsi="標楷體"/>
                <w:sz w:val="24"/>
                <w:szCs w:val="24"/>
              </w:rPr>
              <w:t>計育嬰或</w:t>
            </w:r>
            <w:proofErr w:type="gramStart"/>
            <w:r w:rsidRPr="001B6E4D">
              <w:rPr>
                <w:rFonts w:hAnsi="標楷體"/>
                <w:sz w:val="24"/>
                <w:szCs w:val="24"/>
              </w:rPr>
              <w:t>育孫留</w:t>
            </w:r>
            <w:proofErr w:type="gramEnd"/>
            <w:r w:rsidRPr="001B6E4D">
              <w:rPr>
                <w:rFonts w:hAnsi="標楷體"/>
                <w:sz w:val="24"/>
                <w:szCs w:val="24"/>
              </w:rPr>
              <w:t>職停薪年資。）</w:t>
            </w:r>
          </w:p>
        </w:tc>
        <w:tc>
          <w:tcPr>
            <w:tcW w:w="1129" w:type="pct"/>
          </w:tcPr>
          <w:p w14:paraId="0B76A7F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委員翁曉玲</w:t>
            </w:r>
          </w:p>
          <w:p w14:paraId="6215C27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77D1F0A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113.11.29</w:t>
            </w:r>
          </w:p>
          <w:p w14:paraId="125D3054" w14:textId="4C09EA9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（11-2-11）</w:t>
            </w:r>
          </w:p>
        </w:tc>
        <w:tc>
          <w:tcPr>
            <w:tcW w:w="983" w:type="pct"/>
          </w:tcPr>
          <w:p w14:paraId="1C13CC47" w14:textId="5BBF102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3E907764" w14:textId="2BD2B65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1939A5E" w14:textId="77777777" w:rsidTr="00182954">
        <w:tc>
          <w:tcPr>
            <w:tcW w:w="383" w:type="pct"/>
          </w:tcPr>
          <w:p w14:paraId="24F4BF0A" w14:textId="7324B9B0"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28</w:t>
            </w:r>
          </w:p>
        </w:tc>
        <w:tc>
          <w:tcPr>
            <w:tcW w:w="1710" w:type="pct"/>
          </w:tcPr>
          <w:p w14:paraId="5C519F19" w14:textId="5CF04D7A" w:rsidR="009F34C2" w:rsidRPr="001B6E4D" w:rsidRDefault="009F34C2" w:rsidP="003D1018">
            <w:pPr>
              <w:pStyle w:val="01"/>
              <w:overflowPunct w:val="0"/>
              <w:rPr>
                <w:rFonts w:hAnsi="標楷體" w:cs="Times New Roman"/>
                <w:sz w:val="24"/>
                <w:szCs w:val="24"/>
              </w:rPr>
            </w:pPr>
            <w:r w:rsidRPr="001B6E4D">
              <w:rPr>
                <w:rFonts w:hAnsi="標楷體"/>
                <w:sz w:val="24"/>
                <w:szCs w:val="24"/>
              </w:rPr>
              <w:t>學校法人及其所屬私立學校教職員退休撫</w:t>
            </w:r>
            <w:proofErr w:type="gramStart"/>
            <w:r w:rsidRPr="001B6E4D">
              <w:rPr>
                <w:rFonts w:hAnsi="標楷體"/>
                <w:sz w:val="24"/>
                <w:szCs w:val="24"/>
              </w:rPr>
              <w:t>卹</w:t>
            </w:r>
            <w:proofErr w:type="gramEnd"/>
            <w:r w:rsidRPr="001B6E4D">
              <w:rPr>
                <w:rFonts w:hAnsi="標楷體"/>
                <w:sz w:val="24"/>
                <w:szCs w:val="24"/>
              </w:rPr>
              <w:t>離職資遣條例第二十四條及第二十五</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修正重點：經學校性別平等教育委員會或依法組成之相關委員會調查確認有性侵害行為屬實，並經主管機關核准解聘者，</w:t>
            </w:r>
            <w:proofErr w:type="gramStart"/>
            <w:r w:rsidRPr="001B6E4D">
              <w:rPr>
                <w:rFonts w:hAnsi="標楷體"/>
                <w:sz w:val="24"/>
                <w:szCs w:val="24"/>
              </w:rPr>
              <w:t>限縮其領取</w:t>
            </w:r>
            <w:proofErr w:type="gramEnd"/>
            <w:r w:rsidRPr="001B6E4D">
              <w:rPr>
                <w:rFonts w:hAnsi="標楷體"/>
                <w:sz w:val="24"/>
                <w:szCs w:val="24"/>
              </w:rPr>
              <w:t>退撫儲金範圍。）</w:t>
            </w:r>
          </w:p>
        </w:tc>
        <w:tc>
          <w:tcPr>
            <w:tcW w:w="1129" w:type="pct"/>
          </w:tcPr>
          <w:p w14:paraId="6C43BF6A"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委員林俊憲</w:t>
            </w:r>
          </w:p>
          <w:p w14:paraId="7E132ACF"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405E3738"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113.04.19</w:t>
            </w:r>
          </w:p>
          <w:p w14:paraId="5F3A13D6" w14:textId="79792819"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（11-1-10）</w:t>
            </w:r>
          </w:p>
        </w:tc>
        <w:tc>
          <w:tcPr>
            <w:tcW w:w="983" w:type="pct"/>
          </w:tcPr>
          <w:p w14:paraId="5217D9C6" w14:textId="1394D6D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780A6362" w14:textId="2CFAEAB9"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971664A" w14:textId="77777777" w:rsidTr="00182954">
        <w:tc>
          <w:tcPr>
            <w:tcW w:w="383" w:type="pct"/>
          </w:tcPr>
          <w:p w14:paraId="5695D40D" w14:textId="1F51595C"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29</w:t>
            </w:r>
          </w:p>
        </w:tc>
        <w:tc>
          <w:tcPr>
            <w:tcW w:w="1710" w:type="pct"/>
          </w:tcPr>
          <w:p w14:paraId="4CF4D0A3" w14:textId="714B3962" w:rsidR="009F34C2" w:rsidRPr="001B6E4D" w:rsidRDefault="009F34C2" w:rsidP="003D1018">
            <w:pPr>
              <w:pStyle w:val="01"/>
              <w:overflowPunct w:val="0"/>
              <w:rPr>
                <w:rFonts w:hAnsi="標楷體" w:cs="Times New Roman"/>
                <w:sz w:val="24"/>
                <w:szCs w:val="24"/>
              </w:rPr>
            </w:pPr>
            <w:r w:rsidRPr="001B6E4D">
              <w:rPr>
                <w:rFonts w:hAnsi="標楷體"/>
                <w:sz w:val="24"/>
                <w:szCs w:val="24"/>
              </w:rPr>
              <w:t>1.教師待遇條例第九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修正重點：私立學校教師</w:t>
            </w:r>
            <w:proofErr w:type="gramStart"/>
            <w:r w:rsidRPr="001B6E4D">
              <w:rPr>
                <w:rFonts w:hAnsi="標楷體"/>
                <w:sz w:val="24"/>
                <w:szCs w:val="24"/>
              </w:rPr>
              <w:t>採計職</w:t>
            </w:r>
            <w:proofErr w:type="gramEnd"/>
            <w:r w:rsidRPr="001B6E4D">
              <w:rPr>
                <w:rFonts w:hAnsi="標楷體"/>
                <w:sz w:val="24"/>
                <w:szCs w:val="24"/>
              </w:rPr>
              <w:t>前年資之規定應排除財務狀況及需求。）</w:t>
            </w:r>
          </w:p>
        </w:tc>
        <w:tc>
          <w:tcPr>
            <w:tcW w:w="1129" w:type="pct"/>
          </w:tcPr>
          <w:p w14:paraId="1489E250"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委員王鴻薇</w:t>
            </w:r>
          </w:p>
          <w:p w14:paraId="08BBD0D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284756F1"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113.04.09</w:t>
            </w:r>
          </w:p>
          <w:p w14:paraId="54BD5BA1" w14:textId="53DF340A"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（11-1-8）</w:t>
            </w:r>
          </w:p>
        </w:tc>
        <w:tc>
          <w:tcPr>
            <w:tcW w:w="983" w:type="pct"/>
          </w:tcPr>
          <w:p w14:paraId="7F710D38" w14:textId="0328DA5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2F152677" w14:textId="2F3AFCB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2230618" w14:textId="77777777" w:rsidTr="00182954">
        <w:tc>
          <w:tcPr>
            <w:tcW w:w="383" w:type="pct"/>
          </w:tcPr>
          <w:p w14:paraId="6E6E1486" w14:textId="00F17488"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30</w:t>
            </w:r>
          </w:p>
        </w:tc>
        <w:tc>
          <w:tcPr>
            <w:tcW w:w="1710" w:type="pct"/>
          </w:tcPr>
          <w:p w14:paraId="10164B40" w14:textId="6C37BE34" w:rsidR="009F34C2" w:rsidRPr="001B6E4D" w:rsidRDefault="009F34C2" w:rsidP="003D1018">
            <w:pPr>
              <w:pStyle w:val="01"/>
              <w:overflowPunct w:val="0"/>
              <w:rPr>
                <w:rFonts w:hAnsi="標楷體" w:cs="Times New Roman"/>
                <w:sz w:val="24"/>
                <w:szCs w:val="24"/>
              </w:rPr>
            </w:pPr>
            <w:r w:rsidRPr="001B6E4D">
              <w:rPr>
                <w:rFonts w:hAnsi="標楷體"/>
                <w:sz w:val="24"/>
                <w:szCs w:val="24"/>
              </w:rPr>
              <w:t>2.教師待遇條例第十七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修正重點：私立學校教師之學術研究加給應比照公立學校規定。）</w:t>
            </w:r>
          </w:p>
        </w:tc>
        <w:tc>
          <w:tcPr>
            <w:tcW w:w="1129" w:type="pct"/>
          </w:tcPr>
          <w:p w14:paraId="64FBE33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委員呂玉玲</w:t>
            </w:r>
          </w:p>
          <w:p w14:paraId="2E4937C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49EDDC5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113.04.26</w:t>
            </w:r>
          </w:p>
          <w:p w14:paraId="4A890040" w14:textId="452A793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（11-1-11）</w:t>
            </w:r>
          </w:p>
        </w:tc>
        <w:tc>
          <w:tcPr>
            <w:tcW w:w="983" w:type="pct"/>
          </w:tcPr>
          <w:p w14:paraId="04DB7CA2" w14:textId="71107F3A"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7348FD1C" w14:textId="5BD63721"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0729C156" w14:textId="77777777" w:rsidTr="00182954">
        <w:tc>
          <w:tcPr>
            <w:tcW w:w="383" w:type="pct"/>
          </w:tcPr>
          <w:p w14:paraId="24ADA85A" w14:textId="5FC2627D"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31</w:t>
            </w:r>
          </w:p>
        </w:tc>
        <w:tc>
          <w:tcPr>
            <w:tcW w:w="1710" w:type="pct"/>
          </w:tcPr>
          <w:p w14:paraId="3520522C" w14:textId="7695112F" w:rsidR="009F34C2" w:rsidRPr="001B6E4D" w:rsidRDefault="009F34C2" w:rsidP="003D1018">
            <w:pPr>
              <w:pStyle w:val="01"/>
              <w:overflowPunct w:val="0"/>
              <w:rPr>
                <w:rFonts w:hAnsi="標楷體" w:cs="Times New Roman"/>
                <w:sz w:val="24"/>
                <w:szCs w:val="24"/>
              </w:rPr>
            </w:pPr>
            <w:r w:rsidRPr="001B6E4D">
              <w:rPr>
                <w:rFonts w:hAnsi="標楷體"/>
                <w:sz w:val="24"/>
                <w:szCs w:val="24"/>
              </w:rPr>
              <w:t>3.教師待遇條例第二條、第十六條之</w:t>
            </w:r>
            <w:proofErr w:type="gramStart"/>
            <w:r w:rsidRPr="001B6E4D">
              <w:rPr>
                <w:rFonts w:hAnsi="標楷體"/>
                <w:sz w:val="24"/>
                <w:szCs w:val="24"/>
              </w:rPr>
              <w:t>一</w:t>
            </w:r>
            <w:proofErr w:type="gramEnd"/>
            <w:r w:rsidRPr="001B6E4D">
              <w:rPr>
                <w:rFonts w:hAnsi="標楷體"/>
                <w:sz w:val="24"/>
                <w:szCs w:val="24"/>
              </w:rPr>
              <w:t>及第十七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修正重點：鐘點費納入法律保障。）</w:t>
            </w:r>
          </w:p>
        </w:tc>
        <w:tc>
          <w:tcPr>
            <w:tcW w:w="1129" w:type="pct"/>
          </w:tcPr>
          <w:p w14:paraId="430328AE"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委員陳超明</w:t>
            </w:r>
          </w:p>
          <w:p w14:paraId="6B3C7592"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0977647E"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115.07.14</w:t>
            </w:r>
          </w:p>
          <w:p w14:paraId="2DBFCBAA" w14:textId="4456F26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（11-5-17）</w:t>
            </w:r>
          </w:p>
        </w:tc>
        <w:tc>
          <w:tcPr>
            <w:tcW w:w="983" w:type="pct"/>
          </w:tcPr>
          <w:p w14:paraId="31F4F646" w14:textId="7C9466C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1D98BA24" w14:textId="53C81F1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C57BC9C" w14:textId="77777777" w:rsidTr="00182954">
        <w:tc>
          <w:tcPr>
            <w:tcW w:w="383" w:type="pct"/>
          </w:tcPr>
          <w:p w14:paraId="67EAB3F1" w14:textId="2884361F"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32</w:t>
            </w:r>
          </w:p>
        </w:tc>
        <w:tc>
          <w:tcPr>
            <w:tcW w:w="1710" w:type="pct"/>
          </w:tcPr>
          <w:p w14:paraId="32060B21" w14:textId="3E48A7BF" w:rsidR="009F34C2" w:rsidRPr="001B6E4D" w:rsidRDefault="009F34C2" w:rsidP="003D1018">
            <w:pPr>
              <w:pStyle w:val="01"/>
              <w:overflowPunct w:val="0"/>
              <w:rPr>
                <w:rFonts w:hAnsi="標楷體" w:cs="Times New Roman"/>
                <w:sz w:val="24"/>
                <w:szCs w:val="24"/>
              </w:rPr>
            </w:pPr>
            <w:r w:rsidRPr="001B6E4D">
              <w:rPr>
                <w:rFonts w:hAnsi="標楷體"/>
                <w:sz w:val="24"/>
                <w:szCs w:val="24"/>
              </w:rPr>
              <w:t>4.教師待遇條例部分條文修正草案</w:t>
            </w:r>
            <w:proofErr w:type="gramStart"/>
            <w:r w:rsidRPr="001B6E4D">
              <w:rPr>
                <w:rFonts w:hAnsi="標楷體"/>
                <w:sz w:val="24"/>
                <w:szCs w:val="24"/>
              </w:rPr>
              <w:t>（</w:t>
            </w:r>
            <w:proofErr w:type="gramEnd"/>
            <w:r w:rsidRPr="001B6E4D">
              <w:rPr>
                <w:rFonts w:hAnsi="標楷體"/>
                <w:sz w:val="24"/>
                <w:szCs w:val="24"/>
              </w:rPr>
              <w:t>修正§2、4、9、22、23；增訂§18-1。</w:t>
            </w:r>
            <w:r w:rsidRPr="001B6E4D">
              <w:rPr>
                <w:rFonts w:hAnsi="標楷體"/>
                <w:sz w:val="24"/>
                <w:szCs w:val="24"/>
              </w:rPr>
              <w:lastRenderedPageBreak/>
              <w:t>修正重點：明定教師鐘點費之法源基礎，並要求私校教師之鐘點費與職前年資</w:t>
            </w:r>
            <w:proofErr w:type="gramStart"/>
            <w:r w:rsidRPr="001B6E4D">
              <w:rPr>
                <w:rFonts w:hAnsi="標楷體"/>
                <w:sz w:val="24"/>
                <w:szCs w:val="24"/>
              </w:rPr>
              <w:t>採</w:t>
            </w:r>
            <w:proofErr w:type="gramEnd"/>
            <w:r w:rsidRPr="001B6E4D">
              <w:rPr>
                <w:rFonts w:hAnsi="標楷體"/>
                <w:sz w:val="24"/>
                <w:szCs w:val="24"/>
              </w:rPr>
              <w:t>計應比照公立學校。）</w:t>
            </w:r>
          </w:p>
        </w:tc>
        <w:tc>
          <w:tcPr>
            <w:tcW w:w="1129" w:type="pct"/>
          </w:tcPr>
          <w:p w14:paraId="4655810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委員羅智強</w:t>
            </w:r>
          </w:p>
          <w:p w14:paraId="59434E0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0615E2CD"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115.07.14</w:t>
            </w:r>
          </w:p>
          <w:p w14:paraId="25E23F12" w14:textId="10AA8E0B"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（11-5-17）</w:t>
            </w:r>
          </w:p>
        </w:tc>
        <w:tc>
          <w:tcPr>
            <w:tcW w:w="983" w:type="pct"/>
          </w:tcPr>
          <w:p w14:paraId="739A55AD" w14:textId="059DCBD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司法及法制、教育及文化</w:t>
            </w:r>
          </w:p>
        </w:tc>
        <w:tc>
          <w:tcPr>
            <w:tcW w:w="795" w:type="pct"/>
          </w:tcPr>
          <w:p w14:paraId="02D5BA46" w14:textId="232E2ACF"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9A3D79E" w14:textId="77777777" w:rsidTr="00182954">
        <w:tc>
          <w:tcPr>
            <w:tcW w:w="383" w:type="pct"/>
          </w:tcPr>
          <w:p w14:paraId="2CEB9AD2" w14:textId="049BEDDD"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33</w:t>
            </w:r>
          </w:p>
        </w:tc>
        <w:tc>
          <w:tcPr>
            <w:tcW w:w="1710" w:type="pct"/>
          </w:tcPr>
          <w:p w14:paraId="659F3537" w14:textId="58603F52" w:rsidR="009F34C2" w:rsidRPr="001B6E4D" w:rsidRDefault="009F34C2" w:rsidP="003D1018">
            <w:pPr>
              <w:pStyle w:val="01"/>
              <w:overflowPunct w:val="0"/>
              <w:rPr>
                <w:rFonts w:hAnsi="標楷體" w:cs="Times New Roman"/>
                <w:sz w:val="24"/>
                <w:szCs w:val="24"/>
              </w:rPr>
            </w:pPr>
            <w:r w:rsidRPr="001B6E4D">
              <w:rPr>
                <w:rFonts w:hAnsi="標楷體"/>
                <w:sz w:val="24"/>
                <w:szCs w:val="24"/>
              </w:rPr>
              <w:t>5.教師待遇條例部分條文修正草案</w:t>
            </w:r>
            <w:proofErr w:type="gramStart"/>
            <w:r w:rsidRPr="001B6E4D">
              <w:rPr>
                <w:rFonts w:hAnsi="標楷體"/>
                <w:sz w:val="24"/>
                <w:szCs w:val="24"/>
              </w:rPr>
              <w:t>（</w:t>
            </w:r>
            <w:proofErr w:type="gramEnd"/>
            <w:r w:rsidRPr="001B6E4D">
              <w:rPr>
                <w:rFonts w:hAnsi="標楷體"/>
                <w:sz w:val="24"/>
                <w:szCs w:val="24"/>
              </w:rPr>
              <w:t>修正§2、4、9、22、23；增訂§18-1。修正重點：將教師鐘點費納入待遇項目規範；私校教師之職前年資</w:t>
            </w:r>
            <w:proofErr w:type="gramStart"/>
            <w:r w:rsidRPr="001B6E4D">
              <w:rPr>
                <w:rFonts w:hAnsi="標楷體"/>
                <w:sz w:val="24"/>
                <w:szCs w:val="24"/>
              </w:rPr>
              <w:t>採</w:t>
            </w:r>
            <w:proofErr w:type="gramEnd"/>
            <w:r w:rsidRPr="001B6E4D">
              <w:rPr>
                <w:rFonts w:hAnsi="標楷體"/>
                <w:sz w:val="24"/>
                <w:szCs w:val="24"/>
              </w:rPr>
              <w:t>計規定，比照公立學校教師。）</w:t>
            </w:r>
          </w:p>
        </w:tc>
        <w:tc>
          <w:tcPr>
            <w:tcW w:w="1129" w:type="pct"/>
          </w:tcPr>
          <w:p w14:paraId="21BB1E18"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委員柯志恩</w:t>
            </w:r>
          </w:p>
          <w:p w14:paraId="227E3CB0"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等30人</w:t>
            </w:r>
          </w:p>
          <w:p w14:paraId="5FEAE7B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115.07.14</w:t>
            </w:r>
          </w:p>
          <w:p w14:paraId="315CCA49" w14:textId="51C8C8D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（11-5-17）</w:t>
            </w:r>
          </w:p>
        </w:tc>
        <w:tc>
          <w:tcPr>
            <w:tcW w:w="983" w:type="pct"/>
          </w:tcPr>
          <w:p w14:paraId="4FC9210B" w14:textId="3EC32F2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72058A9F" w14:textId="4E41A4C0"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33DE5A5" w14:textId="77777777" w:rsidTr="00182954">
        <w:tc>
          <w:tcPr>
            <w:tcW w:w="383" w:type="pct"/>
          </w:tcPr>
          <w:p w14:paraId="7D93AAED" w14:textId="6DF23190"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34</w:t>
            </w:r>
          </w:p>
        </w:tc>
        <w:tc>
          <w:tcPr>
            <w:tcW w:w="1710" w:type="pct"/>
          </w:tcPr>
          <w:p w14:paraId="251140D5" w14:textId="47D0045B" w:rsidR="009F34C2" w:rsidRPr="001B6E4D" w:rsidRDefault="009F34C2" w:rsidP="003D1018">
            <w:pPr>
              <w:pStyle w:val="01"/>
              <w:overflowPunct w:val="0"/>
              <w:rPr>
                <w:rFonts w:hAnsi="標楷體" w:cs="Times New Roman"/>
                <w:sz w:val="24"/>
                <w:szCs w:val="24"/>
              </w:rPr>
            </w:pPr>
            <w:r w:rsidRPr="001B6E4D">
              <w:rPr>
                <w:rFonts w:hAnsi="標楷體"/>
                <w:sz w:val="24"/>
                <w:szCs w:val="24"/>
              </w:rPr>
              <w:t>6.教師待遇條例部分條文修正草案</w:t>
            </w:r>
            <w:proofErr w:type="gramStart"/>
            <w:r w:rsidRPr="001B6E4D">
              <w:rPr>
                <w:rFonts w:hAnsi="標楷體"/>
                <w:sz w:val="24"/>
                <w:szCs w:val="24"/>
              </w:rPr>
              <w:t>（</w:t>
            </w:r>
            <w:proofErr w:type="gramEnd"/>
            <w:r w:rsidRPr="001B6E4D">
              <w:rPr>
                <w:rFonts w:hAnsi="標楷體"/>
                <w:sz w:val="24"/>
                <w:szCs w:val="24"/>
              </w:rPr>
              <w:t>修正§2、4、9、22、23；增訂§18-1。修正重點：明確教師鐘點費之給付依據；私校教師職前年資之</w:t>
            </w:r>
            <w:proofErr w:type="gramStart"/>
            <w:r w:rsidRPr="001B6E4D">
              <w:rPr>
                <w:rFonts w:hAnsi="標楷體"/>
                <w:sz w:val="24"/>
                <w:szCs w:val="24"/>
              </w:rPr>
              <w:t>採</w:t>
            </w:r>
            <w:proofErr w:type="gramEnd"/>
            <w:r w:rsidRPr="001B6E4D">
              <w:rPr>
                <w:rFonts w:hAnsi="標楷體"/>
                <w:sz w:val="24"/>
                <w:szCs w:val="24"/>
              </w:rPr>
              <w:t>計，比照公立學校教師。）</w:t>
            </w:r>
          </w:p>
        </w:tc>
        <w:tc>
          <w:tcPr>
            <w:tcW w:w="1129" w:type="pct"/>
          </w:tcPr>
          <w:p w14:paraId="5161118A"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委員羅廷</w:t>
            </w:r>
            <w:proofErr w:type="gramStart"/>
            <w:r w:rsidRPr="001B6E4D">
              <w:rPr>
                <w:rFonts w:ascii="標楷體" w:eastAsia="標楷體" w:hAnsi="標楷體"/>
                <w:sz w:val="24"/>
              </w:rPr>
              <w:t>瑋</w:t>
            </w:r>
            <w:proofErr w:type="gramEnd"/>
          </w:p>
          <w:p w14:paraId="13EABC0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2F3BB9F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115.07.14</w:t>
            </w:r>
          </w:p>
          <w:p w14:paraId="2192E508" w14:textId="215A5B1A"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（11-5-17）</w:t>
            </w:r>
          </w:p>
        </w:tc>
        <w:tc>
          <w:tcPr>
            <w:tcW w:w="983" w:type="pct"/>
          </w:tcPr>
          <w:p w14:paraId="1B6930DC" w14:textId="347151AB"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2D84304E" w14:textId="73C4931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55A5A76" w14:textId="77777777" w:rsidTr="00182954">
        <w:tc>
          <w:tcPr>
            <w:tcW w:w="383" w:type="pct"/>
          </w:tcPr>
          <w:p w14:paraId="389FC575" w14:textId="0108EDF8"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35</w:t>
            </w:r>
          </w:p>
        </w:tc>
        <w:tc>
          <w:tcPr>
            <w:tcW w:w="1710" w:type="pct"/>
          </w:tcPr>
          <w:p w14:paraId="6466DD2A" w14:textId="1AF548A4" w:rsidR="009F34C2" w:rsidRPr="001B6E4D" w:rsidRDefault="009F34C2" w:rsidP="003D1018">
            <w:pPr>
              <w:pStyle w:val="01"/>
              <w:overflowPunct w:val="0"/>
              <w:rPr>
                <w:rFonts w:hAnsi="標楷體" w:cs="Times New Roman"/>
                <w:sz w:val="24"/>
                <w:szCs w:val="24"/>
              </w:rPr>
            </w:pPr>
            <w:r w:rsidRPr="001B6E4D">
              <w:rPr>
                <w:rFonts w:hAnsi="標楷體"/>
                <w:sz w:val="24"/>
                <w:szCs w:val="24"/>
              </w:rPr>
              <w:t>7.教師待遇條例部分條文修正草案</w:t>
            </w:r>
            <w:proofErr w:type="gramStart"/>
            <w:r w:rsidRPr="001B6E4D">
              <w:rPr>
                <w:rFonts w:hAnsi="標楷體"/>
                <w:sz w:val="24"/>
                <w:szCs w:val="24"/>
              </w:rPr>
              <w:t>（</w:t>
            </w:r>
            <w:proofErr w:type="gramEnd"/>
            <w:r w:rsidRPr="001B6E4D">
              <w:rPr>
                <w:rFonts w:hAnsi="標楷體"/>
                <w:sz w:val="24"/>
                <w:szCs w:val="24"/>
              </w:rPr>
              <w:t>修正§2、4、9、22、23；增訂§18-1。修正重點：明確鐘點費之給付依據。）</w:t>
            </w:r>
          </w:p>
        </w:tc>
        <w:tc>
          <w:tcPr>
            <w:tcW w:w="1129" w:type="pct"/>
          </w:tcPr>
          <w:p w14:paraId="79CCF32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委員廖偉翔</w:t>
            </w:r>
          </w:p>
          <w:p w14:paraId="4698FFE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等20人</w:t>
            </w:r>
          </w:p>
          <w:p w14:paraId="769E079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115.07.24</w:t>
            </w:r>
          </w:p>
          <w:p w14:paraId="31505C52" w14:textId="27957742"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（11-5-19）</w:t>
            </w:r>
          </w:p>
        </w:tc>
        <w:tc>
          <w:tcPr>
            <w:tcW w:w="983" w:type="pct"/>
          </w:tcPr>
          <w:p w14:paraId="72F2812A" w14:textId="05C6DD3A"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5C521E1E" w14:textId="5B92EAF6"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074500A1" w14:textId="77777777" w:rsidTr="00182954">
        <w:tc>
          <w:tcPr>
            <w:tcW w:w="383" w:type="pct"/>
          </w:tcPr>
          <w:p w14:paraId="064D3A7C" w14:textId="5349D6D1"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36</w:t>
            </w:r>
          </w:p>
        </w:tc>
        <w:tc>
          <w:tcPr>
            <w:tcW w:w="1710" w:type="pct"/>
          </w:tcPr>
          <w:p w14:paraId="5BC963D0" w14:textId="1D5D758C" w:rsidR="009F34C2" w:rsidRPr="001B6E4D" w:rsidRDefault="009F34C2" w:rsidP="003D1018">
            <w:pPr>
              <w:pStyle w:val="01"/>
              <w:overflowPunct w:val="0"/>
              <w:rPr>
                <w:rFonts w:hAnsi="標楷體" w:cs="Times New Roman"/>
                <w:sz w:val="24"/>
                <w:szCs w:val="24"/>
              </w:rPr>
            </w:pPr>
            <w:r w:rsidRPr="001B6E4D">
              <w:rPr>
                <w:rFonts w:hAnsi="標楷體"/>
                <w:sz w:val="24"/>
                <w:szCs w:val="24"/>
              </w:rPr>
              <w:t>8.教師待遇條例第二條、第四條及第十八條之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修正重點：將鐘點費納入法定待遇，並建立定期檢討機制。）</w:t>
            </w:r>
          </w:p>
        </w:tc>
        <w:tc>
          <w:tcPr>
            <w:tcW w:w="1129" w:type="pct"/>
          </w:tcPr>
          <w:p w14:paraId="4FAF3F1F"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委員傅</w:t>
            </w:r>
            <w:r w:rsidRPr="001B6E4D">
              <w:rPr>
                <w:rFonts w:ascii="標楷體" w:eastAsia="標楷體" w:hAnsi="標楷體" w:hint="eastAsia"/>
                <w:sz w:val="24"/>
              </w:rPr>
              <w:t>崐萁</w:t>
            </w:r>
          </w:p>
          <w:p w14:paraId="111555F7"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hint="eastAsia"/>
                <w:sz w:val="24"/>
              </w:rPr>
              <w:t>等</w:t>
            </w:r>
            <w:r w:rsidRPr="001B6E4D">
              <w:rPr>
                <w:rFonts w:ascii="標楷體" w:eastAsia="標楷體" w:hAnsi="標楷體"/>
                <w:sz w:val="24"/>
              </w:rPr>
              <w:t>19人</w:t>
            </w:r>
          </w:p>
          <w:p w14:paraId="7A8FA611"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115.07.31</w:t>
            </w:r>
          </w:p>
          <w:p w14:paraId="6CCB71D9" w14:textId="73E2C2FF" w:rsidR="009F34C2" w:rsidRPr="001B6E4D" w:rsidRDefault="009F34C2" w:rsidP="003D1018">
            <w:pPr>
              <w:overflowPunct w:val="0"/>
              <w:jc w:val="both"/>
              <w:rPr>
                <w:rFonts w:ascii="標楷體" w:eastAsia="標楷體" w:hAnsi="標楷體"/>
                <w:sz w:val="24"/>
              </w:rPr>
            </w:pPr>
            <w:r w:rsidRPr="001B6E4D">
              <w:rPr>
                <w:rFonts w:ascii="標楷體" w:eastAsia="標楷體" w:hAnsi="標楷體" w:hint="eastAsia"/>
                <w:sz w:val="24"/>
              </w:rPr>
              <w:t>（</w:t>
            </w:r>
            <w:r w:rsidRPr="001B6E4D">
              <w:rPr>
                <w:rFonts w:ascii="標楷體" w:eastAsia="標楷體" w:hAnsi="標楷體"/>
                <w:sz w:val="24"/>
              </w:rPr>
              <w:t>11-5-20）</w:t>
            </w:r>
          </w:p>
        </w:tc>
        <w:tc>
          <w:tcPr>
            <w:tcW w:w="983" w:type="pct"/>
          </w:tcPr>
          <w:p w14:paraId="53DB9388" w14:textId="3BBC721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29B7B26E" w14:textId="7491DDDA"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6F64B9D" w14:textId="77777777" w:rsidTr="00182954">
        <w:tc>
          <w:tcPr>
            <w:tcW w:w="383" w:type="pct"/>
          </w:tcPr>
          <w:p w14:paraId="7D35CBB8" w14:textId="5C8B15CD"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37</w:t>
            </w:r>
          </w:p>
        </w:tc>
        <w:tc>
          <w:tcPr>
            <w:tcW w:w="1710" w:type="pct"/>
          </w:tcPr>
          <w:p w14:paraId="13D54AA2" w14:textId="779D4F95" w:rsidR="009F34C2" w:rsidRPr="001B6E4D" w:rsidRDefault="009F34C2" w:rsidP="003D1018">
            <w:pPr>
              <w:pStyle w:val="01"/>
              <w:overflowPunct w:val="0"/>
              <w:rPr>
                <w:rFonts w:hAnsi="標楷體" w:cs="Times New Roman"/>
                <w:sz w:val="24"/>
                <w:szCs w:val="24"/>
              </w:rPr>
            </w:pPr>
            <w:r w:rsidRPr="001B6E4D">
              <w:rPr>
                <w:rFonts w:hAnsi="標楷體"/>
                <w:sz w:val="24"/>
                <w:szCs w:val="24"/>
              </w:rPr>
              <w:t>9.教師待遇條例第二條、第四條及第十八條之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修正重點：將鐘點費納入教師待遇範圍。）</w:t>
            </w:r>
          </w:p>
        </w:tc>
        <w:tc>
          <w:tcPr>
            <w:tcW w:w="1129" w:type="pct"/>
          </w:tcPr>
          <w:p w14:paraId="303527F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委員廖先翔</w:t>
            </w:r>
          </w:p>
          <w:p w14:paraId="024B90DE"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28014F78"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115.08.14</w:t>
            </w:r>
          </w:p>
          <w:p w14:paraId="7CD194B4" w14:textId="555278A0"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（11-5-22）</w:t>
            </w:r>
          </w:p>
        </w:tc>
        <w:tc>
          <w:tcPr>
            <w:tcW w:w="983" w:type="pct"/>
          </w:tcPr>
          <w:p w14:paraId="0F42AE29" w14:textId="5795D06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0C201C9C" w14:textId="28ED05B6"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31AEC47" w14:textId="77777777" w:rsidTr="00182954">
        <w:tc>
          <w:tcPr>
            <w:tcW w:w="383" w:type="pct"/>
          </w:tcPr>
          <w:p w14:paraId="71BF8FB0" w14:textId="45EF66C6"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38</w:t>
            </w:r>
          </w:p>
        </w:tc>
        <w:tc>
          <w:tcPr>
            <w:tcW w:w="1710" w:type="pct"/>
          </w:tcPr>
          <w:p w14:paraId="5CF841FB" w14:textId="08E2324A" w:rsidR="009F34C2" w:rsidRPr="001B6E4D" w:rsidRDefault="009F34C2" w:rsidP="003D1018">
            <w:pPr>
              <w:pStyle w:val="01"/>
              <w:overflowPunct w:val="0"/>
              <w:rPr>
                <w:rFonts w:hAnsi="標楷體" w:cs="Times New Roman"/>
                <w:sz w:val="24"/>
                <w:szCs w:val="24"/>
              </w:rPr>
            </w:pPr>
            <w:r w:rsidRPr="001B6E4D">
              <w:rPr>
                <w:rFonts w:hAnsi="標楷體"/>
                <w:sz w:val="24"/>
                <w:szCs w:val="24"/>
              </w:rPr>
              <w:t>10.教師待遇條例部分條文修正草案</w:t>
            </w:r>
            <w:proofErr w:type="gramStart"/>
            <w:r w:rsidRPr="001B6E4D">
              <w:rPr>
                <w:rFonts w:hAnsi="標楷體"/>
                <w:sz w:val="24"/>
                <w:szCs w:val="24"/>
              </w:rPr>
              <w:t>（</w:t>
            </w:r>
            <w:proofErr w:type="gramEnd"/>
            <w:r w:rsidRPr="001B6E4D">
              <w:rPr>
                <w:rFonts w:hAnsi="標楷體"/>
                <w:sz w:val="24"/>
                <w:szCs w:val="24"/>
              </w:rPr>
              <w:t>修正§2、4、9、22、23；增訂§18-1。</w:t>
            </w:r>
            <w:r w:rsidRPr="001B6E4D">
              <w:rPr>
                <w:rFonts w:hAnsi="標楷體"/>
                <w:sz w:val="24"/>
                <w:szCs w:val="24"/>
              </w:rPr>
              <w:lastRenderedPageBreak/>
              <w:t>修正重點：明定鐘點費之法律地位、核定程序、加</w:t>
            </w:r>
            <w:proofErr w:type="gramStart"/>
            <w:r w:rsidRPr="001B6E4D">
              <w:rPr>
                <w:rFonts w:hAnsi="標楷體"/>
                <w:sz w:val="24"/>
                <w:szCs w:val="24"/>
              </w:rPr>
              <w:t>成計給及</w:t>
            </w:r>
            <w:proofErr w:type="gramEnd"/>
            <w:r w:rsidRPr="001B6E4D">
              <w:rPr>
                <w:rFonts w:hAnsi="標楷體"/>
                <w:sz w:val="24"/>
                <w:szCs w:val="24"/>
              </w:rPr>
              <w:t>私立學校最低保障，並健全職前年資</w:t>
            </w:r>
            <w:proofErr w:type="gramStart"/>
            <w:r w:rsidRPr="001B6E4D">
              <w:rPr>
                <w:rFonts w:hAnsi="標楷體"/>
                <w:sz w:val="24"/>
                <w:szCs w:val="24"/>
              </w:rPr>
              <w:t>採</w:t>
            </w:r>
            <w:proofErr w:type="gramEnd"/>
            <w:r w:rsidRPr="001B6E4D">
              <w:rPr>
                <w:rFonts w:hAnsi="標楷體"/>
                <w:sz w:val="24"/>
                <w:szCs w:val="24"/>
              </w:rPr>
              <w:t>計及行政監督機制。）</w:t>
            </w:r>
          </w:p>
        </w:tc>
        <w:tc>
          <w:tcPr>
            <w:tcW w:w="1129" w:type="pct"/>
          </w:tcPr>
          <w:p w14:paraId="3F2A770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5B24CF5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115.08.14</w:t>
            </w:r>
          </w:p>
          <w:p w14:paraId="5FBBA3FE" w14:textId="2E32EBE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（11-5-22）</w:t>
            </w:r>
          </w:p>
        </w:tc>
        <w:tc>
          <w:tcPr>
            <w:tcW w:w="983" w:type="pct"/>
          </w:tcPr>
          <w:p w14:paraId="3C8F327F" w14:textId="2056647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5C910934" w14:textId="6876860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25986574" w14:textId="77777777" w:rsidTr="00182954">
        <w:tc>
          <w:tcPr>
            <w:tcW w:w="383" w:type="pct"/>
          </w:tcPr>
          <w:p w14:paraId="7AE73835" w14:textId="1F88D1DA"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39</w:t>
            </w:r>
          </w:p>
        </w:tc>
        <w:tc>
          <w:tcPr>
            <w:tcW w:w="1710" w:type="pct"/>
          </w:tcPr>
          <w:p w14:paraId="13642FFC" w14:textId="6D0677DB" w:rsidR="009F34C2" w:rsidRPr="001B6E4D" w:rsidRDefault="009F34C2" w:rsidP="003D1018">
            <w:pPr>
              <w:pStyle w:val="01"/>
              <w:overflowPunct w:val="0"/>
              <w:rPr>
                <w:rFonts w:hAnsi="標楷體" w:cs="Times New Roman"/>
                <w:sz w:val="24"/>
                <w:szCs w:val="24"/>
              </w:rPr>
            </w:pPr>
            <w:r w:rsidRPr="001B6E4D">
              <w:rPr>
                <w:rFonts w:hAnsi="標楷體"/>
                <w:sz w:val="24"/>
                <w:szCs w:val="24"/>
              </w:rPr>
              <w:t>1.教師待遇條例第二十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修正重點：明定政府審議教師待遇、薪資、福利之相關會議應邀請同級教師團體出席。）</w:t>
            </w:r>
          </w:p>
        </w:tc>
        <w:tc>
          <w:tcPr>
            <w:tcW w:w="1129" w:type="pct"/>
          </w:tcPr>
          <w:p w14:paraId="70B7E71A"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委員王鴻薇</w:t>
            </w:r>
          </w:p>
          <w:p w14:paraId="5A29C14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等24人</w:t>
            </w:r>
          </w:p>
          <w:p w14:paraId="0EE8FCA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113.04.09</w:t>
            </w:r>
          </w:p>
          <w:p w14:paraId="6590A0F6" w14:textId="1B30E15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（11-1-8）</w:t>
            </w:r>
          </w:p>
        </w:tc>
        <w:tc>
          <w:tcPr>
            <w:tcW w:w="983" w:type="pct"/>
          </w:tcPr>
          <w:p w14:paraId="787BDD7F" w14:textId="3EF699F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42ED5310" w14:textId="22DBEE9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E2BD49C" w14:textId="77777777" w:rsidTr="00182954">
        <w:tc>
          <w:tcPr>
            <w:tcW w:w="383" w:type="pct"/>
          </w:tcPr>
          <w:p w14:paraId="6278E868" w14:textId="21D4621E"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40</w:t>
            </w:r>
          </w:p>
        </w:tc>
        <w:tc>
          <w:tcPr>
            <w:tcW w:w="1710" w:type="pct"/>
          </w:tcPr>
          <w:p w14:paraId="5378D2BE" w14:textId="7900C39C" w:rsidR="009F34C2" w:rsidRPr="001B6E4D" w:rsidRDefault="009F34C2" w:rsidP="003D1018">
            <w:pPr>
              <w:pStyle w:val="01"/>
              <w:overflowPunct w:val="0"/>
              <w:rPr>
                <w:rFonts w:hAnsi="標楷體" w:cs="Times New Roman"/>
                <w:sz w:val="24"/>
                <w:szCs w:val="24"/>
              </w:rPr>
            </w:pPr>
            <w:r w:rsidRPr="001B6E4D">
              <w:rPr>
                <w:rFonts w:hAnsi="標楷體"/>
                <w:sz w:val="24"/>
                <w:szCs w:val="24"/>
              </w:rPr>
              <w:t>2.教師待遇條例第二十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修正重點：增訂政府召開教師待遇、薪資、福利等相關會議，應邀請同級教師組織、團體出席。）</w:t>
            </w:r>
          </w:p>
        </w:tc>
        <w:tc>
          <w:tcPr>
            <w:tcW w:w="1129" w:type="pct"/>
          </w:tcPr>
          <w:p w14:paraId="6DA54D91"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委員萬美玲</w:t>
            </w:r>
          </w:p>
          <w:p w14:paraId="799D9D9F"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2EB4D6F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113.11.01</w:t>
            </w:r>
          </w:p>
          <w:p w14:paraId="6293BC15" w14:textId="6AA7CBD2"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（11-2-7）</w:t>
            </w:r>
          </w:p>
        </w:tc>
        <w:tc>
          <w:tcPr>
            <w:tcW w:w="983" w:type="pct"/>
          </w:tcPr>
          <w:p w14:paraId="58A35356" w14:textId="2658DE1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0CC0DEB1" w14:textId="3A9FD88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1947BE03" w14:textId="77777777" w:rsidTr="00182954">
        <w:tc>
          <w:tcPr>
            <w:tcW w:w="383" w:type="pct"/>
          </w:tcPr>
          <w:p w14:paraId="52885A3C" w14:textId="0FA53CFA"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41</w:t>
            </w:r>
          </w:p>
        </w:tc>
        <w:tc>
          <w:tcPr>
            <w:tcW w:w="1710" w:type="pct"/>
          </w:tcPr>
          <w:p w14:paraId="53FA8969" w14:textId="7A2AE10B" w:rsidR="009F34C2" w:rsidRPr="001B6E4D" w:rsidRDefault="009F34C2" w:rsidP="003D1018">
            <w:pPr>
              <w:pStyle w:val="01"/>
              <w:overflowPunct w:val="0"/>
              <w:rPr>
                <w:rFonts w:hAnsi="標楷體" w:cs="Times New Roman"/>
                <w:sz w:val="24"/>
                <w:szCs w:val="24"/>
              </w:rPr>
            </w:pPr>
            <w:r w:rsidRPr="001B6E4D">
              <w:rPr>
                <w:rFonts w:hAnsi="標楷體"/>
                <w:sz w:val="24"/>
                <w:szCs w:val="24"/>
              </w:rPr>
              <w:t>3.教師待遇條例第二十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修正重點：審議軍公教待遇薪資福利之相關會議，應邀請同級教師組織、教師團體出席，政府也應統籌</w:t>
            </w:r>
            <w:proofErr w:type="gramStart"/>
            <w:r w:rsidRPr="001B6E4D">
              <w:rPr>
                <w:rFonts w:hAnsi="標楷體"/>
                <w:sz w:val="24"/>
                <w:szCs w:val="24"/>
              </w:rPr>
              <w:t>規</w:t>
            </w:r>
            <w:proofErr w:type="gramEnd"/>
            <w:r w:rsidRPr="001B6E4D">
              <w:rPr>
                <w:rFonts w:hAnsi="標楷體"/>
                <w:sz w:val="24"/>
                <w:szCs w:val="24"/>
              </w:rPr>
              <w:t>畫辦理包含代理教師內之教師福利。）</w:t>
            </w:r>
          </w:p>
        </w:tc>
        <w:tc>
          <w:tcPr>
            <w:tcW w:w="1129" w:type="pct"/>
          </w:tcPr>
          <w:p w14:paraId="0DE997D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委員葉元之</w:t>
            </w:r>
          </w:p>
          <w:p w14:paraId="5572558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等21人</w:t>
            </w:r>
          </w:p>
          <w:p w14:paraId="1E4776F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113.11.22</w:t>
            </w:r>
          </w:p>
          <w:p w14:paraId="373CBBAA" w14:textId="36AB4BDA"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（11-2-10）</w:t>
            </w:r>
          </w:p>
        </w:tc>
        <w:tc>
          <w:tcPr>
            <w:tcW w:w="983" w:type="pct"/>
          </w:tcPr>
          <w:p w14:paraId="2FF84C30" w14:textId="13F8E18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638FA8B3" w14:textId="2B79D3B9"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DC9EA22" w14:textId="77777777" w:rsidTr="00182954">
        <w:tc>
          <w:tcPr>
            <w:tcW w:w="383" w:type="pct"/>
          </w:tcPr>
          <w:p w14:paraId="70512A8A" w14:textId="7BFDD334"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42</w:t>
            </w:r>
          </w:p>
        </w:tc>
        <w:tc>
          <w:tcPr>
            <w:tcW w:w="1710" w:type="pct"/>
          </w:tcPr>
          <w:p w14:paraId="74D9EBD6" w14:textId="35084680" w:rsidR="009F34C2" w:rsidRPr="001B6E4D" w:rsidRDefault="009F34C2" w:rsidP="003D1018">
            <w:pPr>
              <w:pStyle w:val="01"/>
              <w:overflowPunct w:val="0"/>
              <w:rPr>
                <w:rFonts w:hAnsi="標楷體" w:cs="Times New Roman"/>
                <w:sz w:val="24"/>
                <w:szCs w:val="24"/>
              </w:rPr>
            </w:pPr>
            <w:r w:rsidRPr="001B6E4D">
              <w:rPr>
                <w:rFonts w:hAnsi="標楷體"/>
                <w:sz w:val="24"/>
                <w:szCs w:val="24"/>
              </w:rPr>
              <w:t>4.教師待遇條例第二十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修正重點：審議教師待遇、薪資、福利之相關會議，應邀請同級教師組織、教師團體代表出席。）</w:t>
            </w:r>
          </w:p>
        </w:tc>
        <w:tc>
          <w:tcPr>
            <w:tcW w:w="1129" w:type="pct"/>
          </w:tcPr>
          <w:p w14:paraId="2D9E75DC"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331C485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115.06.12</w:t>
            </w:r>
          </w:p>
          <w:p w14:paraId="5F945EDC" w14:textId="5F10467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（11-5-14）</w:t>
            </w:r>
          </w:p>
        </w:tc>
        <w:tc>
          <w:tcPr>
            <w:tcW w:w="983" w:type="pct"/>
          </w:tcPr>
          <w:p w14:paraId="5A0815CE" w14:textId="06ACA53A"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033971A8" w14:textId="6F5F7389"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350B0788" w14:textId="77777777" w:rsidTr="00182954">
        <w:tc>
          <w:tcPr>
            <w:tcW w:w="383" w:type="pct"/>
          </w:tcPr>
          <w:p w14:paraId="3DE47906" w14:textId="23CA403E"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43</w:t>
            </w:r>
          </w:p>
        </w:tc>
        <w:tc>
          <w:tcPr>
            <w:tcW w:w="1710" w:type="pct"/>
          </w:tcPr>
          <w:p w14:paraId="0103A417" w14:textId="63EC5397" w:rsidR="009F34C2" w:rsidRPr="001B6E4D" w:rsidRDefault="009F34C2" w:rsidP="003D1018">
            <w:pPr>
              <w:pStyle w:val="01"/>
              <w:overflowPunct w:val="0"/>
              <w:rPr>
                <w:rFonts w:hAnsi="標楷體" w:cs="Times New Roman"/>
                <w:sz w:val="24"/>
                <w:szCs w:val="24"/>
              </w:rPr>
            </w:pPr>
            <w:r w:rsidRPr="001B6E4D">
              <w:rPr>
                <w:rFonts w:hAnsi="標楷體"/>
                <w:sz w:val="24"/>
                <w:szCs w:val="24"/>
              </w:rPr>
              <w:t>教師待遇條例第十三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修正重點：教師各項加給應隨物價指數調整，而且至少每4年檢討一次。）</w:t>
            </w:r>
          </w:p>
        </w:tc>
        <w:tc>
          <w:tcPr>
            <w:tcW w:w="1129" w:type="pct"/>
          </w:tcPr>
          <w:p w14:paraId="1614DA2D"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委員萬美玲</w:t>
            </w:r>
          </w:p>
          <w:p w14:paraId="3902A4B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357625C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113.11.01</w:t>
            </w:r>
          </w:p>
          <w:p w14:paraId="03BAAFB8" w14:textId="1093EB3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（11-2-7）</w:t>
            </w:r>
          </w:p>
        </w:tc>
        <w:tc>
          <w:tcPr>
            <w:tcW w:w="983" w:type="pct"/>
          </w:tcPr>
          <w:p w14:paraId="2BF3E383" w14:textId="36D00B6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466BEA5F" w14:textId="67C879B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18345A26" w14:textId="77777777" w:rsidTr="00182954">
        <w:tc>
          <w:tcPr>
            <w:tcW w:w="383" w:type="pct"/>
          </w:tcPr>
          <w:p w14:paraId="5FA4F5B1" w14:textId="2B73334E"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44</w:t>
            </w:r>
          </w:p>
        </w:tc>
        <w:tc>
          <w:tcPr>
            <w:tcW w:w="1710" w:type="pct"/>
          </w:tcPr>
          <w:p w14:paraId="567261F7" w14:textId="7D840675" w:rsidR="009F34C2" w:rsidRPr="001B6E4D" w:rsidRDefault="009F34C2" w:rsidP="003D1018">
            <w:pPr>
              <w:pStyle w:val="01"/>
              <w:overflowPunct w:val="0"/>
              <w:rPr>
                <w:rFonts w:hAnsi="標楷體"/>
                <w:sz w:val="24"/>
                <w:szCs w:val="24"/>
              </w:rPr>
            </w:pPr>
            <w:r w:rsidRPr="001B6E4D">
              <w:rPr>
                <w:rFonts w:hAnsi="標楷體"/>
                <w:sz w:val="24"/>
                <w:szCs w:val="24"/>
              </w:rPr>
              <w:t>教師待遇條例第十八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w:t>
            </w:r>
            <w:r w:rsidRPr="001B6E4D">
              <w:rPr>
                <w:rFonts w:hAnsi="標楷體"/>
                <w:sz w:val="24"/>
                <w:szCs w:val="24"/>
              </w:rPr>
              <w:lastRenderedPageBreak/>
              <w:t>增訂由中央主管機關編列預算補助公私立學校發放教師節敬師禮金，並隨物價調整。）</w:t>
            </w:r>
          </w:p>
        </w:tc>
        <w:tc>
          <w:tcPr>
            <w:tcW w:w="1129" w:type="pct"/>
          </w:tcPr>
          <w:p w14:paraId="4CF8AF8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委員萬美玲</w:t>
            </w:r>
          </w:p>
          <w:p w14:paraId="7B721BEA"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63A5CC5A"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113.11.01</w:t>
            </w:r>
          </w:p>
          <w:p w14:paraId="7D251253" w14:textId="6A9D8BB5"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（11-2-7）</w:t>
            </w:r>
          </w:p>
        </w:tc>
        <w:tc>
          <w:tcPr>
            <w:tcW w:w="983" w:type="pct"/>
          </w:tcPr>
          <w:p w14:paraId="123CF2F1" w14:textId="390597FD"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司法及法制、教育及文化</w:t>
            </w:r>
          </w:p>
        </w:tc>
        <w:tc>
          <w:tcPr>
            <w:tcW w:w="795" w:type="pct"/>
          </w:tcPr>
          <w:p w14:paraId="4740B389" w14:textId="26A49AB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DE55DF8" w14:textId="77777777" w:rsidTr="00182954">
        <w:tc>
          <w:tcPr>
            <w:tcW w:w="383" w:type="pct"/>
          </w:tcPr>
          <w:p w14:paraId="364200A8" w14:textId="7352C763"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45</w:t>
            </w:r>
          </w:p>
        </w:tc>
        <w:tc>
          <w:tcPr>
            <w:tcW w:w="1710" w:type="pct"/>
          </w:tcPr>
          <w:p w14:paraId="1D1FF950" w14:textId="49B80811" w:rsidR="009F34C2" w:rsidRPr="001B6E4D" w:rsidRDefault="009F34C2" w:rsidP="003D1018">
            <w:pPr>
              <w:pStyle w:val="01"/>
              <w:overflowPunct w:val="0"/>
              <w:rPr>
                <w:rFonts w:hAnsi="標楷體"/>
                <w:sz w:val="24"/>
                <w:szCs w:val="24"/>
              </w:rPr>
            </w:pPr>
            <w:r w:rsidRPr="001B6E4D">
              <w:rPr>
                <w:rFonts w:hAnsi="標楷體"/>
                <w:sz w:val="24"/>
                <w:szCs w:val="24"/>
              </w:rPr>
              <w:t>1.教師待遇條例第十九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修正重點：教師於遭停聘、解聘、</w:t>
            </w:r>
            <w:proofErr w:type="gramStart"/>
            <w:r w:rsidRPr="001B6E4D">
              <w:rPr>
                <w:rFonts w:hAnsi="標楷體"/>
                <w:sz w:val="24"/>
                <w:szCs w:val="24"/>
              </w:rPr>
              <w:t>不</w:t>
            </w:r>
            <w:proofErr w:type="gramEnd"/>
            <w:r w:rsidRPr="001B6E4D">
              <w:rPr>
                <w:rFonts w:hAnsi="標楷體"/>
                <w:sz w:val="24"/>
                <w:szCs w:val="24"/>
              </w:rPr>
              <w:t>續聘或資遣後，提起救濟並回復聘任關係者，除應補發該期間之本薪（年功薪）外，學術研究加給亦應一併補發。）</w:t>
            </w:r>
          </w:p>
        </w:tc>
        <w:tc>
          <w:tcPr>
            <w:tcW w:w="1129" w:type="pct"/>
          </w:tcPr>
          <w:p w14:paraId="341A4B9E"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委員伍麗華</w:t>
            </w:r>
          </w:p>
          <w:p w14:paraId="6FD3C543" w14:textId="77777777" w:rsidR="009F34C2" w:rsidRPr="001B6E4D" w:rsidRDefault="009F34C2" w:rsidP="003D1018">
            <w:pPr>
              <w:overflowPunct w:val="0"/>
              <w:jc w:val="both"/>
              <w:rPr>
                <w:rFonts w:ascii="標楷體" w:eastAsia="標楷體" w:hAnsi="標楷體"/>
                <w:sz w:val="24"/>
              </w:rPr>
            </w:pPr>
            <w:proofErr w:type="spellStart"/>
            <w:r w:rsidRPr="001B6E4D">
              <w:rPr>
                <w:rFonts w:ascii="標楷體" w:eastAsia="標楷體" w:hAnsi="標楷體"/>
                <w:sz w:val="24"/>
              </w:rPr>
              <w:t>Saidhai</w:t>
            </w:r>
            <w:proofErr w:type="spellEnd"/>
            <w:r w:rsidRPr="001B6E4D">
              <w:rPr>
                <w:rFonts w:ascii="標楷體" w:eastAsia="標楷體" w:hAnsi="標楷體"/>
                <w:sz w:val="24"/>
              </w:rPr>
              <w:t>‧</w:t>
            </w:r>
          </w:p>
          <w:p w14:paraId="2A438584" w14:textId="77777777" w:rsidR="009F34C2" w:rsidRPr="001B6E4D" w:rsidRDefault="009F34C2" w:rsidP="003D1018">
            <w:pPr>
              <w:overflowPunct w:val="0"/>
              <w:jc w:val="both"/>
              <w:rPr>
                <w:rFonts w:ascii="標楷體" w:eastAsia="標楷體" w:hAnsi="標楷體"/>
                <w:sz w:val="24"/>
              </w:rPr>
            </w:pPr>
            <w:proofErr w:type="spellStart"/>
            <w:r w:rsidRPr="001B6E4D">
              <w:rPr>
                <w:rFonts w:ascii="標楷體" w:eastAsia="標楷體" w:hAnsi="標楷體"/>
                <w:sz w:val="24"/>
              </w:rPr>
              <w:t>Tahovecahe</w:t>
            </w:r>
            <w:proofErr w:type="spellEnd"/>
          </w:p>
          <w:p w14:paraId="7B65DB4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0D999008"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114.12.12</w:t>
            </w:r>
          </w:p>
          <w:p w14:paraId="6EAC2217" w14:textId="57372B9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（11-4-13）</w:t>
            </w:r>
          </w:p>
        </w:tc>
        <w:tc>
          <w:tcPr>
            <w:tcW w:w="983" w:type="pct"/>
          </w:tcPr>
          <w:p w14:paraId="5CA4B6C1" w14:textId="7A9031E5"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3603E141" w14:textId="08D70991"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5CE9EAD" w14:textId="77777777" w:rsidTr="00182954">
        <w:tc>
          <w:tcPr>
            <w:tcW w:w="383" w:type="pct"/>
          </w:tcPr>
          <w:p w14:paraId="262411F8" w14:textId="22AA3861"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46</w:t>
            </w:r>
          </w:p>
        </w:tc>
        <w:tc>
          <w:tcPr>
            <w:tcW w:w="1710" w:type="pct"/>
          </w:tcPr>
          <w:p w14:paraId="50D21E6D" w14:textId="7741996E" w:rsidR="009F34C2" w:rsidRPr="001B6E4D" w:rsidRDefault="009F34C2" w:rsidP="003D1018">
            <w:pPr>
              <w:pStyle w:val="01"/>
              <w:overflowPunct w:val="0"/>
              <w:rPr>
                <w:rFonts w:hAnsi="標楷體"/>
                <w:sz w:val="24"/>
                <w:szCs w:val="24"/>
              </w:rPr>
            </w:pPr>
            <w:r w:rsidRPr="001B6E4D">
              <w:rPr>
                <w:rFonts w:hAnsi="標楷體"/>
                <w:sz w:val="24"/>
                <w:szCs w:val="24"/>
              </w:rPr>
              <w:t>2.教師待遇條例第十九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修正重點：提起救濟後確定回復聘任關係之教師，將應補發之待遇項目擴大至包含學術研究加給。）</w:t>
            </w:r>
          </w:p>
        </w:tc>
        <w:tc>
          <w:tcPr>
            <w:tcW w:w="1129" w:type="pct"/>
          </w:tcPr>
          <w:p w14:paraId="2AA81A02"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委員郭昱晴</w:t>
            </w:r>
          </w:p>
          <w:p w14:paraId="0DFA7ABF"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5D43B7D1"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114.12.19</w:t>
            </w:r>
          </w:p>
          <w:p w14:paraId="27E61271" w14:textId="09EFC33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（11-4-14）</w:t>
            </w:r>
          </w:p>
        </w:tc>
        <w:tc>
          <w:tcPr>
            <w:tcW w:w="983" w:type="pct"/>
          </w:tcPr>
          <w:p w14:paraId="405E4088" w14:textId="4E21CDBB"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7ADE862E" w14:textId="01DE5F3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672A5F2F" w14:textId="77777777" w:rsidTr="00182954">
        <w:tc>
          <w:tcPr>
            <w:tcW w:w="383" w:type="pct"/>
          </w:tcPr>
          <w:p w14:paraId="37054F1D" w14:textId="5F9282F6"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47</w:t>
            </w:r>
          </w:p>
        </w:tc>
        <w:tc>
          <w:tcPr>
            <w:tcW w:w="1710" w:type="pct"/>
          </w:tcPr>
          <w:p w14:paraId="61B8ED51" w14:textId="12B6FEFF" w:rsidR="009F34C2" w:rsidRPr="001B6E4D" w:rsidRDefault="009F34C2" w:rsidP="003D1018">
            <w:pPr>
              <w:pStyle w:val="01"/>
              <w:overflowPunct w:val="0"/>
              <w:rPr>
                <w:rFonts w:hAnsi="標楷體"/>
                <w:sz w:val="24"/>
                <w:szCs w:val="24"/>
              </w:rPr>
            </w:pPr>
            <w:r w:rsidRPr="001B6E4D">
              <w:rPr>
                <w:rFonts w:hAnsi="標楷體"/>
                <w:sz w:val="24"/>
                <w:szCs w:val="24"/>
              </w:rPr>
              <w:t>3.教師待遇條例第十九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修正重點：停聘、解聘、</w:t>
            </w:r>
            <w:proofErr w:type="gramStart"/>
            <w:r w:rsidRPr="001B6E4D">
              <w:rPr>
                <w:rFonts w:hAnsi="標楷體"/>
                <w:sz w:val="24"/>
                <w:szCs w:val="24"/>
              </w:rPr>
              <w:t>不</w:t>
            </w:r>
            <w:proofErr w:type="gramEnd"/>
            <w:r w:rsidRPr="001B6E4D">
              <w:rPr>
                <w:rFonts w:hAnsi="標楷體"/>
                <w:sz w:val="24"/>
                <w:szCs w:val="24"/>
              </w:rPr>
              <w:t>續聘或資遣</w:t>
            </w:r>
            <w:proofErr w:type="gramStart"/>
            <w:r w:rsidRPr="001B6E4D">
              <w:rPr>
                <w:rFonts w:hAnsi="標楷體"/>
                <w:sz w:val="24"/>
                <w:szCs w:val="24"/>
              </w:rPr>
              <w:t>期間，</w:t>
            </w:r>
            <w:proofErr w:type="gramEnd"/>
            <w:r w:rsidRPr="001B6E4D">
              <w:rPr>
                <w:rFonts w:hAnsi="標楷體"/>
                <w:sz w:val="24"/>
                <w:szCs w:val="24"/>
              </w:rPr>
              <w:t>依法提起救濟後確定回復聘任關係者，除補發本薪（年功薪），應予補發加給。）</w:t>
            </w:r>
          </w:p>
        </w:tc>
        <w:tc>
          <w:tcPr>
            <w:tcW w:w="1129" w:type="pct"/>
          </w:tcPr>
          <w:p w14:paraId="11613822"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委員林宜瑾</w:t>
            </w:r>
          </w:p>
          <w:p w14:paraId="59B32C5E"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等19人</w:t>
            </w:r>
          </w:p>
          <w:p w14:paraId="49B9FEF2"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114.12.26</w:t>
            </w:r>
          </w:p>
          <w:p w14:paraId="0E7517D7" w14:textId="7F7659D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（11-4-15）</w:t>
            </w:r>
          </w:p>
        </w:tc>
        <w:tc>
          <w:tcPr>
            <w:tcW w:w="983" w:type="pct"/>
          </w:tcPr>
          <w:p w14:paraId="3D205DA9" w14:textId="7A6245DA"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1DB5EBF9" w14:textId="271EC2F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396D6CE4" w14:textId="77777777" w:rsidTr="00182954">
        <w:tc>
          <w:tcPr>
            <w:tcW w:w="383" w:type="pct"/>
          </w:tcPr>
          <w:p w14:paraId="376C9EB5" w14:textId="35F733C8"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48</w:t>
            </w:r>
          </w:p>
        </w:tc>
        <w:tc>
          <w:tcPr>
            <w:tcW w:w="1710" w:type="pct"/>
          </w:tcPr>
          <w:p w14:paraId="5D114D29" w14:textId="678A4809" w:rsidR="009F34C2" w:rsidRPr="001B6E4D" w:rsidRDefault="009F34C2" w:rsidP="003D1018">
            <w:pPr>
              <w:pStyle w:val="01"/>
              <w:overflowPunct w:val="0"/>
              <w:rPr>
                <w:rFonts w:hAnsi="標楷體"/>
                <w:sz w:val="24"/>
                <w:szCs w:val="24"/>
              </w:rPr>
            </w:pPr>
            <w:r w:rsidRPr="001B6E4D">
              <w:rPr>
                <w:rFonts w:hAnsi="標楷體"/>
                <w:sz w:val="24"/>
                <w:szCs w:val="24"/>
              </w:rPr>
              <w:t>4.教師待遇條例第十九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修正重點：教師遭停聘、解聘、</w:t>
            </w:r>
            <w:proofErr w:type="gramStart"/>
            <w:r w:rsidRPr="001B6E4D">
              <w:rPr>
                <w:rFonts w:hAnsi="標楷體"/>
                <w:sz w:val="24"/>
                <w:szCs w:val="24"/>
              </w:rPr>
              <w:t>不</w:t>
            </w:r>
            <w:proofErr w:type="gramEnd"/>
            <w:r w:rsidRPr="001B6E4D">
              <w:rPr>
                <w:rFonts w:hAnsi="標楷體"/>
                <w:sz w:val="24"/>
                <w:szCs w:val="24"/>
              </w:rPr>
              <w:t>續聘或資遣後，依法提起救濟並獲回復聘任關係，前述期間未能全額支領之待遇，應予以補發。）</w:t>
            </w:r>
          </w:p>
        </w:tc>
        <w:tc>
          <w:tcPr>
            <w:tcW w:w="1129" w:type="pct"/>
          </w:tcPr>
          <w:p w14:paraId="3EFA6CF1"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委員張雅琳</w:t>
            </w:r>
          </w:p>
          <w:p w14:paraId="28323411"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290433D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115.01.02</w:t>
            </w:r>
          </w:p>
          <w:p w14:paraId="7BC9FBB4" w14:textId="2145736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（11-4-16）</w:t>
            </w:r>
          </w:p>
        </w:tc>
        <w:tc>
          <w:tcPr>
            <w:tcW w:w="983" w:type="pct"/>
          </w:tcPr>
          <w:p w14:paraId="0ECA121E" w14:textId="00692E62"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7925C7C3" w14:textId="5E2511A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6D37B80E" w14:textId="77777777" w:rsidTr="00182954">
        <w:tc>
          <w:tcPr>
            <w:tcW w:w="383" w:type="pct"/>
          </w:tcPr>
          <w:p w14:paraId="58D1F2C1" w14:textId="0D9CD951"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49</w:t>
            </w:r>
          </w:p>
        </w:tc>
        <w:tc>
          <w:tcPr>
            <w:tcW w:w="1710" w:type="pct"/>
          </w:tcPr>
          <w:p w14:paraId="095AB6B3" w14:textId="55499F03" w:rsidR="009F34C2" w:rsidRPr="001B6E4D" w:rsidRDefault="009F34C2" w:rsidP="003D1018">
            <w:pPr>
              <w:pStyle w:val="01"/>
              <w:overflowPunct w:val="0"/>
              <w:rPr>
                <w:rFonts w:hAnsi="標楷體"/>
                <w:sz w:val="24"/>
                <w:szCs w:val="24"/>
              </w:rPr>
            </w:pPr>
            <w:r w:rsidRPr="001B6E4D">
              <w:rPr>
                <w:rFonts w:hAnsi="標楷體"/>
                <w:sz w:val="24"/>
                <w:szCs w:val="24"/>
              </w:rPr>
              <w:t>5.教師待遇條例第十九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w:t>
            </w:r>
            <w:proofErr w:type="gramStart"/>
            <w:r w:rsidRPr="001B6E4D">
              <w:rPr>
                <w:rFonts w:hAnsi="標楷體"/>
                <w:sz w:val="24"/>
                <w:szCs w:val="24"/>
              </w:rPr>
              <w:t>教師經停聘</w:t>
            </w:r>
            <w:proofErr w:type="gramEnd"/>
            <w:r w:rsidRPr="001B6E4D">
              <w:rPr>
                <w:rFonts w:hAnsi="標楷體"/>
                <w:sz w:val="24"/>
                <w:szCs w:val="24"/>
              </w:rPr>
              <w:t>、解聘、</w:t>
            </w:r>
            <w:proofErr w:type="gramStart"/>
            <w:r w:rsidRPr="001B6E4D">
              <w:rPr>
                <w:rFonts w:hAnsi="標楷體"/>
                <w:sz w:val="24"/>
                <w:szCs w:val="24"/>
              </w:rPr>
              <w:t>不</w:t>
            </w:r>
            <w:proofErr w:type="gramEnd"/>
            <w:r w:rsidRPr="001B6E4D">
              <w:rPr>
                <w:rFonts w:hAnsi="標楷體"/>
                <w:sz w:val="24"/>
                <w:szCs w:val="24"/>
              </w:rPr>
              <w:t>續聘或資遣，依法定程序提起救濟並最終獲准回</w:t>
            </w:r>
            <w:r w:rsidRPr="001B6E4D">
              <w:rPr>
                <w:rFonts w:hAnsi="標楷體"/>
                <w:sz w:val="24"/>
                <w:szCs w:val="24"/>
              </w:rPr>
              <w:lastRenderedPageBreak/>
              <w:t>復聘任關係，前述期間應支領而未全額支領之待遇，應予以補發。）</w:t>
            </w:r>
          </w:p>
        </w:tc>
        <w:tc>
          <w:tcPr>
            <w:tcW w:w="1129" w:type="pct"/>
          </w:tcPr>
          <w:p w14:paraId="046624D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委員羅廷</w:t>
            </w:r>
            <w:proofErr w:type="gramStart"/>
            <w:r w:rsidRPr="001B6E4D">
              <w:rPr>
                <w:rFonts w:ascii="標楷體" w:eastAsia="標楷體" w:hAnsi="標楷體"/>
                <w:sz w:val="24"/>
              </w:rPr>
              <w:t>瑋</w:t>
            </w:r>
            <w:proofErr w:type="gramEnd"/>
          </w:p>
          <w:p w14:paraId="5D9FEB0D"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5B092C3C"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115.01.09</w:t>
            </w:r>
          </w:p>
          <w:p w14:paraId="781FA9AC" w14:textId="09F2E3D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（11-4-17）</w:t>
            </w:r>
          </w:p>
        </w:tc>
        <w:tc>
          <w:tcPr>
            <w:tcW w:w="983" w:type="pct"/>
          </w:tcPr>
          <w:p w14:paraId="71BD119C" w14:textId="461AC9F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7D597DB0" w14:textId="0CC2673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3CD90A2" w14:textId="77777777" w:rsidTr="00182954">
        <w:tc>
          <w:tcPr>
            <w:tcW w:w="383" w:type="pct"/>
          </w:tcPr>
          <w:p w14:paraId="71604A44" w14:textId="40327CAE"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50</w:t>
            </w:r>
          </w:p>
        </w:tc>
        <w:tc>
          <w:tcPr>
            <w:tcW w:w="1710" w:type="pct"/>
          </w:tcPr>
          <w:p w14:paraId="160DF9F5" w14:textId="6BE5F347" w:rsidR="009F34C2" w:rsidRPr="001B6E4D" w:rsidRDefault="009F34C2" w:rsidP="003D1018">
            <w:pPr>
              <w:pStyle w:val="01"/>
              <w:overflowPunct w:val="0"/>
              <w:rPr>
                <w:rFonts w:hAnsi="標楷體"/>
                <w:sz w:val="24"/>
                <w:szCs w:val="24"/>
              </w:rPr>
            </w:pPr>
            <w:r w:rsidRPr="001B6E4D">
              <w:rPr>
                <w:rFonts w:hAnsi="標楷體"/>
                <w:sz w:val="24"/>
                <w:szCs w:val="24"/>
              </w:rPr>
              <w:t>6.教師待遇條例第十九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修正重點：回復聘任關係之教師，其停聘、解聘、</w:t>
            </w:r>
            <w:proofErr w:type="gramStart"/>
            <w:r w:rsidRPr="001B6E4D">
              <w:rPr>
                <w:rFonts w:hAnsi="標楷體"/>
                <w:sz w:val="24"/>
                <w:szCs w:val="24"/>
              </w:rPr>
              <w:t>不</w:t>
            </w:r>
            <w:proofErr w:type="gramEnd"/>
            <w:r w:rsidRPr="001B6E4D">
              <w:rPr>
                <w:rFonts w:hAnsi="標楷體"/>
                <w:sz w:val="24"/>
                <w:szCs w:val="24"/>
              </w:rPr>
              <w:t>續聘或資遣</w:t>
            </w:r>
            <w:proofErr w:type="gramStart"/>
            <w:r w:rsidRPr="001B6E4D">
              <w:rPr>
                <w:rFonts w:hAnsi="標楷體"/>
                <w:sz w:val="24"/>
                <w:szCs w:val="24"/>
              </w:rPr>
              <w:t>期間，</w:t>
            </w:r>
            <w:proofErr w:type="gramEnd"/>
            <w:r w:rsidRPr="001B6E4D">
              <w:rPr>
                <w:rFonts w:hAnsi="標楷體"/>
                <w:sz w:val="24"/>
                <w:szCs w:val="24"/>
              </w:rPr>
              <w:t>除補發本薪（年功薪）外，加給應一併補發。）</w:t>
            </w:r>
          </w:p>
        </w:tc>
        <w:tc>
          <w:tcPr>
            <w:tcW w:w="1129" w:type="pct"/>
          </w:tcPr>
          <w:p w14:paraId="6FB2E35A"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委員馬文君</w:t>
            </w:r>
          </w:p>
          <w:p w14:paraId="3CC8D79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00030131"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115.01.16</w:t>
            </w:r>
          </w:p>
          <w:p w14:paraId="313AEB2B" w14:textId="0E515FAA"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（11-4-18）</w:t>
            </w:r>
          </w:p>
        </w:tc>
        <w:tc>
          <w:tcPr>
            <w:tcW w:w="983" w:type="pct"/>
          </w:tcPr>
          <w:p w14:paraId="3C5CAF2E" w14:textId="62CFAC56"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4AB95A64" w14:textId="5413540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198CFA57" w14:textId="77777777" w:rsidTr="00182954">
        <w:tc>
          <w:tcPr>
            <w:tcW w:w="383" w:type="pct"/>
          </w:tcPr>
          <w:p w14:paraId="5FD4A446" w14:textId="506C9EE4"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51</w:t>
            </w:r>
          </w:p>
        </w:tc>
        <w:tc>
          <w:tcPr>
            <w:tcW w:w="1710" w:type="pct"/>
          </w:tcPr>
          <w:p w14:paraId="7BAF0D0F" w14:textId="72186F03" w:rsidR="009F34C2" w:rsidRPr="001B6E4D" w:rsidRDefault="009F34C2" w:rsidP="003D1018">
            <w:pPr>
              <w:pStyle w:val="01"/>
              <w:overflowPunct w:val="0"/>
              <w:rPr>
                <w:rFonts w:hAnsi="標楷體"/>
                <w:sz w:val="24"/>
                <w:szCs w:val="24"/>
              </w:rPr>
            </w:pPr>
            <w:r w:rsidRPr="001B6E4D">
              <w:rPr>
                <w:rFonts w:hAnsi="標楷體"/>
                <w:sz w:val="24"/>
                <w:szCs w:val="24"/>
              </w:rPr>
              <w:t>7.教師待遇條例第十九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修正重點：教師經救濟確定回復聘任關係時，其停聘、解聘、</w:t>
            </w:r>
            <w:proofErr w:type="gramStart"/>
            <w:r w:rsidRPr="001B6E4D">
              <w:rPr>
                <w:rFonts w:hAnsi="標楷體"/>
                <w:sz w:val="24"/>
                <w:szCs w:val="24"/>
              </w:rPr>
              <w:t>不</w:t>
            </w:r>
            <w:proofErr w:type="gramEnd"/>
            <w:r w:rsidRPr="001B6E4D">
              <w:rPr>
                <w:rFonts w:hAnsi="標楷體"/>
                <w:sz w:val="24"/>
                <w:szCs w:val="24"/>
              </w:rPr>
              <w:t>續聘或資遣期間未發給之本薪（年功薪）、加給及年終獎金，</w:t>
            </w:r>
            <w:proofErr w:type="gramStart"/>
            <w:r w:rsidRPr="001B6E4D">
              <w:rPr>
                <w:rFonts w:hAnsi="標楷體"/>
                <w:sz w:val="24"/>
                <w:szCs w:val="24"/>
              </w:rPr>
              <w:t>均應一併</w:t>
            </w:r>
            <w:proofErr w:type="gramEnd"/>
            <w:r w:rsidRPr="001B6E4D">
              <w:rPr>
                <w:rFonts w:hAnsi="標楷體"/>
                <w:sz w:val="24"/>
                <w:szCs w:val="24"/>
              </w:rPr>
              <w:t>補發。）</w:t>
            </w:r>
          </w:p>
        </w:tc>
        <w:tc>
          <w:tcPr>
            <w:tcW w:w="1129" w:type="pct"/>
          </w:tcPr>
          <w:p w14:paraId="2E67AC4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委員柯志恩</w:t>
            </w:r>
          </w:p>
          <w:p w14:paraId="5A4989C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523814B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115.01.23</w:t>
            </w:r>
          </w:p>
          <w:p w14:paraId="0594ED6B" w14:textId="4C7EFCB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（11-4-19）</w:t>
            </w:r>
          </w:p>
        </w:tc>
        <w:tc>
          <w:tcPr>
            <w:tcW w:w="983" w:type="pct"/>
          </w:tcPr>
          <w:p w14:paraId="3D64C3D0" w14:textId="3EB171E3"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5DB8E744" w14:textId="386AEBE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17390FD5" w14:textId="77777777" w:rsidTr="00182954">
        <w:tc>
          <w:tcPr>
            <w:tcW w:w="383" w:type="pct"/>
          </w:tcPr>
          <w:p w14:paraId="50EBB44D" w14:textId="03212BEF"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52</w:t>
            </w:r>
          </w:p>
        </w:tc>
        <w:tc>
          <w:tcPr>
            <w:tcW w:w="1710" w:type="pct"/>
          </w:tcPr>
          <w:p w14:paraId="7D70CB8E" w14:textId="2A9F233A" w:rsidR="009F34C2" w:rsidRPr="001B6E4D" w:rsidRDefault="009F34C2" w:rsidP="003D1018">
            <w:pPr>
              <w:pStyle w:val="01"/>
              <w:overflowPunct w:val="0"/>
              <w:rPr>
                <w:rFonts w:hAnsi="標楷體"/>
                <w:sz w:val="24"/>
                <w:szCs w:val="24"/>
              </w:rPr>
            </w:pPr>
            <w:r w:rsidRPr="001B6E4D">
              <w:rPr>
                <w:rFonts w:hAnsi="標楷體"/>
                <w:sz w:val="24"/>
                <w:szCs w:val="24"/>
              </w:rPr>
              <w:t>8.教師待遇條例第十九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修正重點：未受處分並回復聘任之教師，除補發本薪（年功薪）外，應補發加給。）</w:t>
            </w:r>
          </w:p>
        </w:tc>
        <w:tc>
          <w:tcPr>
            <w:tcW w:w="1129" w:type="pct"/>
          </w:tcPr>
          <w:p w14:paraId="361732C7"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委員萬美玲</w:t>
            </w:r>
          </w:p>
          <w:p w14:paraId="3303CA72"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等17人</w:t>
            </w:r>
          </w:p>
          <w:p w14:paraId="337A3C3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115.01.30</w:t>
            </w:r>
          </w:p>
          <w:p w14:paraId="6B3E01C4" w14:textId="7364409F"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（11-4-20）</w:t>
            </w:r>
          </w:p>
        </w:tc>
        <w:tc>
          <w:tcPr>
            <w:tcW w:w="983" w:type="pct"/>
          </w:tcPr>
          <w:p w14:paraId="44D6ADB8" w14:textId="68101AA1"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7AD34CDF" w14:textId="4CDA90E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6272436D" w14:textId="77777777" w:rsidTr="00182954">
        <w:tc>
          <w:tcPr>
            <w:tcW w:w="383" w:type="pct"/>
          </w:tcPr>
          <w:p w14:paraId="7FAA7819" w14:textId="54919CEA"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53</w:t>
            </w:r>
          </w:p>
        </w:tc>
        <w:tc>
          <w:tcPr>
            <w:tcW w:w="1710" w:type="pct"/>
          </w:tcPr>
          <w:p w14:paraId="49CE5603" w14:textId="713DA18F" w:rsidR="009F34C2" w:rsidRPr="001B6E4D" w:rsidRDefault="009F34C2" w:rsidP="003D1018">
            <w:pPr>
              <w:pStyle w:val="01"/>
              <w:overflowPunct w:val="0"/>
              <w:rPr>
                <w:rFonts w:hAnsi="標楷體"/>
                <w:sz w:val="24"/>
                <w:szCs w:val="24"/>
              </w:rPr>
            </w:pPr>
            <w:r w:rsidRPr="001B6E4D">
              <w:rPr>
                <w:rFonts w:hAnsi="標楷體"/>
                <w:sz w:val="24"/>
                <w:szCs w:val="24"/>
              </w:rPr>
              <w:t>9.教師待遇條例第十九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修正重點：教師依法提起救濟確定回復聘任關係後，增列加給為應補發項目。）</w:t>
            </w:r>
          </w:p>
        </w:tc>
        <w:tc>
          <w:tcPr>
            <w:tcW w:w="1129" w:type="pct"/>
          </w:tcPr>
          <w:p w14:paraId="646BE202"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委員葛如鈞</w:t>
            </w:r>
          </w:p>
          <w:p w14:paraId="19CA58B2"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02B962B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115.03.13</w:t>
            </w:r>
          </w:p>
          <w:p w14:paraId="0BC67F8B" w14:textId="1D0C7C8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（11-5-3）</w:t>
            </w:r>
          </w:p>
        </w:tc>
        <w:tc>
          <w:tcPr>
            <w:tcW w:w="983" w:type="pct"/>
          </w:tcPr>
          <w:p w14:paraId="5917B1CA" w14:textId="0311A7BB"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7D0C785B" w14:textId="575C57E5"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810FB7E" w14:textId="77777777" w:rsidTr="00182954">
        <w:tc>
          <w:tcPr>
            <w:tcW w:w="383" w:type="pct"/>
          </w:tcPr>
          <w:p w14:paraId="445412FD" w14:textId="4E8CF900"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54</w:t>
            </w:r>
          </w:p>
        </w:tc>
        <w:tc>
          <w:tcPr>
            <w:tcW w:w="1710" w:type="pct"/>
          </w:tcPr>
          <w:p w14:paraId="68693F23" w14:textId="113941E1" w:rsidR="009F34C2" w:rsidRPr="001B6E4D" w:rsidRDefault="009F34C2" w:rsidP="003D1018">
            <w:pPr>
              <w:pStyle w:val="01"/>
              <w:overflowPunct w:val="0"/>
              <w:rPr>
                <w:rFonts w:hAnsi="標楷體"/>
                <w:sz w:val="24"/>
                <w:szCs w:val="24"/>
              </w:rPr>
            </w:pPr>
            <w:r w:rsidRPr="001B6E4D">
              <w:rPr>
                <w:rFonts w:hAnsi="標楷體"/>
                <w:sz w:val="24"/>
                <w:szCs w:val="24"/>
              </w:rPr>
              <w:t>10.教師待遇條例第十九條及第二十六</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修正重點：教師經依法救濟確定回復聘任關係，待遇補發範圍一併納入學術研究加給及地域加給。）</w:t>
            </w:r>
          </w:p>
        </w:tc>
        <w:tc>
          <w:tcPr>
            <w:tcW w:w="1129" w:type="pct"/>
          </w:tcPr>
          <w:p w14:paraId="5CA11626"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2ADB9F99"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115.03.27</w:t>
            </w:r>
          </w:p>
          <w:p w14:paraId="28A809A4" w14:textId="46868AB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（11-5-5）</w:t>
            </w:r>
          </w:p>
        </w:tc>
        <w:tc>
          <w:tcPr>
            <w:tcW w:w="983" w:type="pct"/>
          </w:tcPr>
          <w:p w14:paraId="5186AFF2" w14:textId="3284A264"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3718A8D0" w14:textId="25569F3C"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0D5E8F54" w14:textId="77777777" w:rsidTr="00182954">
        <w:tc>
          <w:tcPr>
            <w:tcW w:w="383" w:type="pct"/>
          </w:tcPr>
          <w:p w14:paraId="62728989" w14:textId="7FAD3B1D"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55</w:t>
            </w:r>
          </w:p>
        </w:tc>
        <w:tc>
          <w:tcPr>
            <w:tcW w:w="1710" w:type="pct"/>
          </w:tcPr>
          <w:p w14:paraId="5F133D4F" w14:textId="33C1D12E" w:rsidR="009F34C2" w:rsidRPr="001B6E4D" w:rsidRDefault="009F34C2" w:rsidP="003D1018">
            <w:pPr>
              <w:pStyle w:val="01"/>
              <w:overflowPunct w:val="0"/>
              <w:rPr>
                <w:rFonts w:hAnsi="標楷體"/>
                <w:sz w:val="24"/>
                <w:szCs w:val="24"/>
              </w:rPr>
            </w:pPr>
            <w:r w:rsidRPr="001B6E4D">
              <w:rPr>
                <w:rFonts w:hAnsi="標楷體"/>
                <w:sz w:val="24"/>
                <w:szCs w:val="24"/>
              </w:rPr>
              <w:t>11.教師待遇條例第十九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w:t>
            </w:r>
            <w:r w:rsidRPr="001B6E4D">
              <w:rPr>
                <w:rFonts w:hAnsi="標楷體"/>
                <w:sz w:val="24"/>
                <w:szCs w:val="24"/>
              </w:rPr>
              <w:lastRenderedPageBreak/>
              <w:t>點：教師於停聘原因消滅後回復聘任者，補發待遇範圍由本薪擴大至加給。）</w:t>
            </w:r>
          </w:p>
        </w:tc>
        <w:tc>
          <w:tcPr>
            <w:tcW w:w="1129" w:type="pct"/>
          </w:tcPr>
          <w:p w14:paraId="2D829F1D"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委員翁曉玲</w:t>
            </w:r>
          </w:p>
          <w:p w14:paraId="071EE75E"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等16人</w:t>
            </w:r>
          </w:p>
          <w:p w14:paraId="479EADBB"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115.04.17</w:t>
            </w:r>
          </w:p>
          <w:p w14:paraId="0023F92A" w14:textId="2D7BBBB2"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（11-5-7）</w:t>
            </w:r>
          </w:p>
        </w:tc>
        <w:tc>
          <w:tcPr>
            <w:tcW w:w="983" w:type="pct"/>
          </w:tcPr>
          <w:p w14:paraId="7F1A5E3A" w14:textId="7EDC708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lastRenderedPageBreak/>
              <w:t>司法及法制、教育及文化</w:t>
            </w:r>
          </w:p>
        </w:tc>
        <w:tc>
          <w:tcPr>
            <w:tcW w:w="795" w:type="pct"/>
          </w:tcPr>
          <w:p w14:paraId="319DCA17" w14:textId="69D6F012"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47092965" w14:textId="77777777" w:rsidTr="00182954">
        <w:tc>
          <w:tcPr>
            <w:tcW w:w="383" w:type="pct"/>
          </w:tcPr>
          <w:p w14:paraId="6056AB78" w14:textId="4585DE29"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56</w:t>
            </w:r>
          </w:p>
        </w:tc>
        <w:tc>
          <w:tcPr>
            <w:tcW w:w="1710" w:type="pct"/>
          </w:tcPr>
          <w:p w14:paraId="77FCF2A2" w14:textId="3BA895E6" w:rsidR="009F34C2" w:rsidRPr="001B6E4D" w:rsidRDefault="009F34C2" w:rsidP="003D1018">
            <w:pPr>
              <w:pStyle w:val="01"/>
              <w:overflowPunct w:val="0"/>
              <w:rPr>
                <w:rFonts w:hAnsi="標楷體"/>
                <w:sz w:val="24"/>
                <w:szCs w:val="24"/>
              </w:rPr>
            </w:pPr>
            <w:r w:rsidRPr="001B6E4D">
              <w:rPr>
                <w:rFonts w:hAnsi="標楷體"/>
                <w:sz w:val="24"/>
                <w:szCs w:val="24"/>
              </w:rPr>
              <w:t>12.教師待遇條例第十九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修正重點：回復聘任者以及依法提起救濟後確定回復聘任關係者，應補發其本薪及加給。）</w:t>
            </w:r>
          </w:p>
        </w:tc>
        <w:tc>
          <w:tcPr>
            <w:tcW w:w="1129" w:type="pct"/>
          </w:tcPr>
          <w:p w14:paraId="4D8B6B9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委員羅智強</w:t>
            </w:r>
          </w:p>
          <w:p w14:paraId="78AACA21"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4B194B20"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115.05.08</w:t>
            </w:r>
          </w:p>
          <w:p w14:paraId="3DF51B1A" w14:textId="2463DD46"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（11-5-9）</w:t>
            </w:r>
          </w:p>
        </w:tc>
        <w:tc>
          <w:tcPr>
            <w:tcW w:w="983" w:type="pct"/>
          </w:tcPr>
          <w:p w14:paraId="7F1D7DCC" w14:textId="262C8752"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296FF4A5" w14:textId="155013CF"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50E0BE6C" w14:textId="77777777" w:rsidTr="00182954">
        <w:tc>
          <w:tcPr>
            <w:tcW w:w="383" w:type="pct"/>
          </w:tcPr>
          <w:p w14:paraId="29B78275" w14:textId="58F60FE5"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57</w:t>
            </w:r>
          </w:p>
        </w:tc>
        <w:tc>
          <w:tcPr>
            <w:tcW w:w="1710" w:type="pct"/>
          </w:tcPr>
          <w:p w14:paraId="00147D8D" w14:textId="72CCBC26" w:rsidR="009F34C2" w:rsidRPr="001B6E4D" w:rsidRDefault="009F34C2" w:rsidP="003D1018">
            <w:pPr>
              <w:pStyle w:val="01"/>
              <w:overflowPunct w:val="0"/>
              <w:rPr>
                <w:rFonts w:hAnsi="標楷體"/>
                <w:sz w:val="24"/>
                <w:szCs w:val="24"/>
              </w:rPr>
            </w:pPr>
            <w:r w:rsidRPr="001B6E4D">
              <w:rPr>
                <w:rFonts w:hAnsi="標楷體"/>
                <w:sz w:val="24"/>
                <w:szCs w:val="24"/>
              </w:rPr>
              <w:t>13.教師待遇條例第十九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修正重點：教師依法提起救濟並經確定回復聘任關係者，補發範圍包含停聘期間之本薪（年功薪）及加給。）</w:t>
            </w:r>
          </w:p>
        </w:tc>
        <w:tc>
          <w:tcPr>
            <w:tcW w:w="1129" w:type="pct"/>
          </w:tcPr>
          <w:p w14:paraId="335AF697"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委員葉元之</w:t>
            </w:r>
          </w:p>
          <w:p w14:paraId="43B2D134"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等19人</w:t>
            </w:r>
          </w:p>
          <w:p w14:paraId="3E10834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115.08.21</w:t>
            </w:r>
          </w:p>
          <w:p w14:paraId="2D2142CC" w14:textId="1A88BD91"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（11-5-23）</w:t>
            </w:r>
          </w:p>
        </w:tc>
        <w:tc>
          <w:tcPr>
            <w:tcW w:w="983" w:type="pct"/>
          </w:tcPr>
          <w:p w14:paraId="700C44E7" w14:textId="0ADD32C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21BC539F" w14:textId="62F2B51E"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F34C2" w:rsidRPr="001B6E4D" w14:paraId="21543C33" w14:textId="77777777" w:rsidTr="00182954">
        <w:tc>
          <w:tcPr>
            <w:tcW w:w="383" w:type="pct"/>
          </w:tcPr>
          <w:p w14:paraId="7C505D3A" w14:textId="3796323E" w:rsidR="009F34C2" w:rsidRPr="001B6E4D" w:rsidRDefault="009F34C2" w:rsidP="003D1018">
            <w:pPr>
              <w:overflowPunct w:val="0"/>
              <w:jc w:val="center"/>
              <w:rPr>
                <w:rFonts w:ascii="標楷體" w:eastAsia="標楷體" w:hAnsi="標楷體"/>
                <w:sz w:val="24"/>
              </w:rPr>
            </w:pPr>
            <w:r w:rsidRPr="001B6E4D">
              <w:rPr>
                <w:rFonts w:ascii="標楷體" w:eastAsia="標楷體" w:hAnsi="標楷體"/>
                <w:sz w:val="24"/>
              </w:rPr>
              <w:t>58</w:t>
            </w:r>
          </w:p>
        </w:tc>
        <w:tc>
          <w:tcPr>
            <w:tcW w:w="1710" w:type="pct"/>
          </w:tcPr>
          <w:p w14:paraId="3215775A" w14:textId="18123377" w:rsidR="009F34C2" w:rsidRPr="001B6E4D" w:rsidRDefault="009F34C2" w:rsidP="003D1018">
            <w:pPr>
              <w:pStyle w:val="01"/>
              <w:overflowPunct w:val="0"/>
              <w:rPr>
                <w:rFonts w:hAnsi="標楷體"/>
                <w:sz w:val="24"/>
                <w:szCs w:val="24"/>
              </w:rPr>
            </w:pPr>
            <w:r w:rsidRPr="001B6E4D">
              <w:rPr>
                <w:rFonts w:hAnsi="標楷體"/>
                <w:sz w:val="24"/>
                <w:szCs w:val="24"/>
              </w:rPr>
              <w:t>公立學校教職員個人</w:t>
            </w:r>
            <w:proofErr w:type="gramStart"/>
            <w:r w:rsidRPr="001B6E4D">
              <w:rPr>
                <w:rFonts w:hAnsi="標楷體"/>
                <w:sz w:val="24"/>
                <w:szCs w:val="24"/>
              </w:rPr>
              <w:t>專戶制退休</w:t>
            </w:r>
            <w:proofErr w:type="gramEnd"/>
            <w:r w:rsidRPr="001B6E4D">
              <w:rPr>
                <w:rFonts w:hAnsi="標楷體"/>
                <w:sz w:val="24"/>
                <w:szCs w:val="24"/>
              </w:rPr>
              <w:t>資遣撫</w:t>
            </w:r>
            <w:proofErr w:type="gramStart"/>
            <w:r w:rsidRPr="001B6E4D">
              <w:rPr>
                <w:rFonts w:hAnsi="標楷體"/>
                <w:sz w:val="24"/>
                <w:szCs w:val="24"/>
              </w:rPr>
              <w:t>卹</w:t>
            </w:r>
            <w:proofErr w:type="gramEnd"/>
            <w:r w:rsidRPr="001B6E4D">
              <w:rPr>
                <w:rFonts w:hAnsi="標楷體"/>
                <w:sz w:val="24"/>
                <w:szCs w:val="24"/>
              </w:rPr>
              <w:t>條例第十二條、第十八條及第三十三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修正重點：各項社會保險年齡資格計算方式，應回歸民法§124第1項規定，</w:t>
            </w:r>
            <w:proofErr w:type="gramStart"/>
            <w:r w:rsidRPr="001B6E4D">
              <w:rPr>
                <w:rFonts w:hAnsi="標楷體"/>
                <w:sz w:val="24"/>
                <w:szCs w:val="24"/>
              </w:rPr>
              <w:t>採</w:t>
            </w:r>
            <w:proofErr w:type="gramEnd"/>
            <w:r w:rsidRPr="001B6E4D">
              <w:rPr>
                <w:rFonts w:hAnsi="標楷體"/>
                <w:sz w:val="24"/>
                <w:szCs w:val="24"/>
              </w:rPr>
              <w:t>對人民權益最有利之認定方式為宜。）</w:t>
            </w:r>
          </w:p>
        </w:tc>
        <w:tc>
          <w:tcPr>
            <w:tcW w:w="1129" w:type="pct"/>
          </w:tcPr>
          <w:p w14:paraId="0D4D25E3"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委員何欣純</w:t>
            </w:r>
          </w:p>
          <w:p w14:paraId="63B33E25"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等18人</w:t>
            </w:r>
          </w:p>
          <w:p w14:paraId="6E63F29F" w14:textId="77777777"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113.10.04</w:t>
            </w:r>
          </w:p>
          <w:p w14:paraId="7C908624" w14:textId="0B5FAE28"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（11-2-3）</w:t>
            </w:r>
          </w:p>
        </w:tc>
        <w:tc>
          <w:tcPr>
            <w:tcW w:w="983" w:type="pct"/>
          </w:tcPr>
          <w:p w14:paraId="4F771A19" w14:textId="70A8F9B0"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司法及法制、教育及文化</w:t>
            </w:r>
          </w:p>
        </w:tc>
        <w:tc>
          <w:tcPr>
            <w:tcW w:w="795" w:type="pct"/>
          </w:tcPr>
          <w:p w14:paraId="27311736" w14:textId="1D7FC7E1" w:rsidR="009F34C2" w:rsidRPr="001B6E4D" w:rsidRDefault="009F34C2" w:rsidP="003D1018">
            <w:pPr>
              <w:overflowPunct w:val="0"/>
              <w:jc w:val="both"/>
              <w:rPr>
                <w:rFonts w:ascii="標楷體" w:eastAsia="標楷體" w:hAnsi="標楷體"/>
                <w:sz w:val="24"/>
              </w:rPr>
            </w:pPr>
            <w:r w:rsidRPr="001B6E4D">
              <w:rPr>
                <w:rFonts w:ascii="標楷體" w:eastAsia="標楷體" w:hAnsi="標楷體"/>
                <w:sz w:val="24"/>
              </w:rPr>
              <w:t>尚未審查</w:t>
            </w:r>
          </w:p>
        </w:tc>
      </w:tr>
    </w:tbl>
    <w:p w14:paraId="20ADECA4" w14:textId="77777777" w:rsidR="009B28A5" w:rsidRPr="001B6E4D" w:rsidRDefault="009B28A5"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bookmarkStart w:id="345" w:name="_Toc136594866"/>
      <w:bookmarkStart w:id="346" w:name="_Hlk188012630"/>
      <w:r w:rsidRPr="001B6E4D">
        <w:rPr>
          <w:rFonts w:hint="eastAsia"/>
          <w:color w:val="000000" w:themeColor="text1"/>
          <w:shd w:val="clear" w:color="auto" w:fill="FFFFFF" w:themeFill="background1"/>
        </w:rPr>
        <w:t>5</w:t>
      </w:r>
      <w:r w:rsidRPr="001B6E4D">
        <w:rPr>
          <w:color w:val="000000" w:themeColor="text1"/>
          <w:shd w:val="clear" w:color="auto" w:fill="FFFFFF" w:themeFill="background1"/>
        </w:rPr>
        <w:t>.本會、交通委員會聯席審查</w:t>
      </w:r>
      <w:r w:rsidRPr="001B6E4D">
        <w:rPr>
          <w:rFonts w:hint="eastAsia"/>
          <w:color w:val="000000" w:themeColor="text1"/>
          <w:shd w:val="clear" w:color="auto" w:fill="FFFFFF" w:themeFill="background1"/>
        </w:rPr>
        <w:t>1</w:t>
      </w:r>
      <w:r w:rsidRPr="001B6E4D">
        <w:rPr>
          <w:color w:val="000000" w:themeColor="text1"/>
          <w:shd w:val="clear" w:color="auto" w:fill="FFFFFF" w:themeFill="background1"/>
        </w:rPr>
        <w:t>案</w:t>
      </w:r>
      <w:bookmarkEnd w:id="343"/>
      <w:bookmarkEnd w:id="344"/>
      <w:bookmarkEnd w:id="345"/>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684"/>
        <w:gridCol w:w="3067"/>
        <w:gridCol w:w="2096"/>
        <w:gridCol w:w="1762"/>
        <w:gridCol w:w="1318"/>
      </w:tblGrid>
      <w:tr w:rsidR="00C87651" w:rsidRPr="001B6E4D" w14:paraId="27598938" w14:textId="77777777" w:rsidTr="009E1230">
        <w:tc>
          <w:tcPr>
            <w:tcW w:w="383" w:type="pct"/>
            <w:vAlign w:val="center"/>
          </w:tcPr>
          <w:p w14:paraId="4B5C090C"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718" w:type="pct"/>
            <w:vAlign w:val="center"/>
          </w:tcPr>
          <w:p w14:paraId="24D3F76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74" w:type="pct"/>
            <w:vAlign w:val="center"/>
          </w:tcPr>
          <w:p w14:paraId="72C7601E"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65BF4B1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76B0BCA5"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87" w:type="pct"/>
            <w:vAlign w:val="center"/>
          </w:tcPr>
          <w:p w14:paraId="7541F97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738" w:type="pct"/>
            <w:vAlign w:val="center"/>
          </w:tcPr>
          <w:p w14:paraId="7F0CC11E"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C87651" w:rsidRPr="001B6E4D" w14:paraId="782C9B5D" w14:textId="77777777" w:rsidTr="009E1230">
        <w:tc>
          <w:tcPr>
            <w:tcW w:w="383" w:type="pct"/>
          </w:tcPr>
          <w:p w14:paraId="30F203C9" w14:textId="77777777" w:rsidR="009B28A5" w:rsidRPr="001B6E4D" w:rsidRDefault="009B28A5" w:rsidP="003D1018">
            <w:pPr>
              <w:overflowPunct w:val="0"/>
              <w:jc w:val="center"/>
              <w:rPr>
                <w:rFonts w:ascii="標楷體" w:eastAsia="標楷體" w:hAnsi="標楷體"/>
                <w:b/>
                <w:color w:val="000000" w:themeColor="text1"/>
                <w:sz w:val="24"/>
              </w:rPr>
            </w:pPr>
            <w:bookmarkStart w:id="347" w:name="_Toc361217361"/>
            <w:bookmarkStart w:id="348" w:name="_Toc362968421"/>
            <w:bookmarkStart w:id="349" w:name="_Toc136594868"/>
            <w:r w:rsidRPr="001B6E4D">
              <w:rPr>
                <w:rFonts w:ascii="標楷體" w:eastAsia="標楷體" w:hAnsi="標楷體"/>
                <w:color w:val="000000" w:themeColor="text1"/>
                <w:sz w:val="24"/>
              </w:rPr>
              <w:t>1</w:t>
            </w:r>
          </w:p>
        </w:tc>
        <w:tc>
          <w:tcPr>
            <w:tcW w:w="1718" w:type="pct"/>
          </w:tcPr>
          <w:p w14:paraId="4F87F2B6"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交通部郵電事業人員退休撫</w:t>
            </w:r>
            <w:proofErr w:type="gramStart"/>
            <w:r w:rsidRPr="001B6E4D">
              <w:rPr>
                <w:rFonts w:hAnsi="標楷體"/>
                <w:color w:val="000000" w:themeColor="text1"/>
                <w:sz w:val="24"/>
                <w:szCs w:val="24"/>
              </w:rPr>
              <w:t>卹</w:t>
            </w:r>
            <w:proofErr w:type="gramEnd"/>
            <w:r w:rsidRPr="001B6E4D">
              <w:rPr>
                <w:rFonts w:hAnsi="標楷體"/>
                <w:color w:val="000000" w:themeColor="text1"/>
                <w:sz w:val="24"/>
                <w:szCs w:val="24"/>
              </w:rPr>
              <w:t>條例第五</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修正重點：年齡資格計算方式回歸民法§124第1項規定與精神。）</w:t>
            </w:r>
          </w:p>
        </w:tc>
        <w:tc>
          <w:tcPr>
            <w:tcW w:w="1174" w:type="pct"/>
          </w:tcPr>
          <w:p w14:paraId="2D770EE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委員何欣純</w:t>
            </w:r>
          </w:p>
          <w:p w14:paraId="4B838524"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等17人</w:t>
            </w:r>
          </w:p>
          <w:p w14:paraId="0F978C06"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113.07.05</w:t>
            </w:r>
          </w:p>
          <w:p w14:paraId="43E382C5"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（11-1-21）</w:t>
            </w:r>
          </w:p>
        </w:tc>
        <w:tc>
          <w:tcPr>
            <w:tcW w:w="987" w:type="pct"/>
          </w:tcPr>
          <w:p w14:paraId="0A1C8913"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司法及法制、交通</w:t>
            </w:r>
          </w:p>
        </w:tc>
        <w:tc>
          <w:tcPr>
            <w:tcW w:w="738" w:type="pct"/>
          </w:tcPr>
          <w:p w14:paraId="03C358A6"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尚未審查</w:t>
            </w:r>
          </w:p>
        </w:tc>
      </w:tr>
    </w:tbl>
    <w:bookmarkEnd w:id="346"/>
    <w:p w14:paraId="62512E6D" w14:textId="77777777" w:rsidR="009B28A5" w:rsidRPr="001B6E4D" w:rsidRDefault="009B28A5" w:rsidP="003D1018">
      <w:pPr>
        <w:pStyle w:val="1-5"/>
        <w:kinsoku w:val="0"/>
        <w:overflowPunct w:val="0"/>
        <w:topLinePunct/>
        <w:spacing w:beforeLines="100" w:before="360" w:afterLines="70" w:after="252" w:line="260" w:lineRule="exact"/>
        <w:ind w:leftChars="128" w:left="307" w:firstLineChars="500" w:firstLine="1401"/>
        <w:rPr>
          <w:color w:val="000000" w:themeColor="text1"/>
          <w:shd w:val="clear" w:color="auto" w:fill="FFFFFF" w:themeFill="background1"/>
        </w:rPr>
      </w:pPr>
      <w:r w:rsidRPr="001B6E4D">
        <w:rPr>
          <w:rFonts w:hint="eastAsia"/>
          <w:color w:val="000000" w:themeColor="text1"/>
          <w:shd w:val="clear" w:color="auto" w:fill="FFFFFF" w:themeFill="background1"/>
        </w:rPr>
        <w:lastRenderedPageBreak/>
        <w:t>6</w:t>
      </w:r>
      <w:r w:rsidRPr="001B6E4D">
        <w:rPr>
          <w:color w:val="000000" w:themeColor="text1"/>
          <w:shd w:val="clear" w:color="auto" w:fill="FFFFFF" w:themeFill="background1"/>
        </w:rPr>
        <w:t>.本會、社會福利及衛生環境委員會聯席審查1案</w:t>
      </w:r>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684"/>
        <w:gridCol w:w="3067"/>
        <w:gridCol w:w="2096"/>
        <w:gridCol w:w="1762"/>
        <w:gridCol w:w="1318"/>
      </w:tblGrid>
      <w:tr w:rsidR="00C87651" w:rsidRPr="001B6E4D" w14:paraId="55713C1A" w14:textId="77777777" w:rsidTr="009E1230">
        <w:tc>
          <w:tcPr>
            <w:tcW w:w="383" w:type="pct"/>
            <w:vAlign w:val="center"/>
          </w:tcPr>
          <w:p w14:paraId="5F6EFE50"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718" w:type="pct"/>
            <w:vAlign w:val="center"/>
          </w:tcPr>
          <w:p w14:paraId="401F206C"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74" w:type="pct"/>
            <w:vAlign w:val="center"/>
          </w:tcPr>
          <w:p w14:paraId="052BB584"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78DF3A1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26C4FDA5"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87" w:type="pct"/>
            <w:vAlign w:val="center"/>
          </w:tcPr>
          <w:p w14:paraId="6E4362B4"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738" w:type="pct"/>
            <w:vAlign w:val="center"/>
          </w:tcPr>
          <w:p w14:paraId="2A2E8356"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C87651" w:rsidRPr="001B6E4D" w14:paraId="325D02F4" w14:textId="77777777" w:rsidTr="009E1230">
        <w:tc>
          <w:tcPr>
            <w:tcW w:w="383" w:type="pct"/>
          </w:tcPr>
          <w:p w14:paraId="741BA4AF"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1</w:t>
            </w:r>
          </w:p>
        </w:tc>
        <w:tc>
          <w:tcPr>
            <w:tcW w:w="1718" w:type="pct"/>
          </w:tcPr>
          <w:p w14:paraId="6389B559"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打擊及防</w:t>
            </w:r>
            <w:proofErr w:type="gramStart"/>
            <w:r w:rsidRPr="001B6E4D">
              <w:rPr>
                <w:rFonts w:hAnsi="標楷體"/>
                <w:color w:val="000000" w:themeColor="text1"/>
                <w:sz w:val="24"/>
                <w:szCs w:val="24"/>
              </w:rPr>
              <w:t>制活摘器官</w:t>
            </w:r>
            <w:proofErr w:type="gramEnd"/>
            <w:r w:rsidRPr="001B6E4D">
              <w:rPr>
                <w:rFonts w:hAnsi="標楷體"/>
                <w:color w:val="000000" w:themeColor="text1"/>
                <w:sz w:val="24"/>
                <w:szCs w:val="24"/>
              </w:rPr>
              <w:t>法草案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共21條。制定重點：為打擊和防</w:t>
            </w:r>
            <w:proofErr w:type="gramStart"/>
            <w:r w:rsidRPr="001B6E4D">
              <w:rPr>
                <w:rFonts w:hAnsi="標楷體"/>
                <w:color w:val="000000" w:themeColor="text1"/>
                <w:sz w:val="24"/>
                <w:szCs w:val="24"/>
              </w:rPr>
              <w:t>制活摘器官</w:t>
            </w:r>
            <w:proofErr w:type="gramEnd"/>
            <w:r w:rsidRPr="001B6E4D">
              <w:rPr>
                <w:rFonts w:hAnsi="標楷體"/>
                <w:color w:val="000000" w:themeColor="text1"/>
                <w:sz w:val="24"/>
                <w:szCs w:val="24"/>
              </w:rPr>
              <w:t>犯罪，</w:t>
            </w:r>
            <w:proofErr w:type="gramStart"/>
            <w:r w:rsidRPr="001B6E4D">
              <w:rPr>
                <w:rFonts w:hAnsi="標楷體"/>
                <w:color w:val="000000" w:themeColor="text1"/>
                <w:sz w:val="24"/>
                <w:szCs w:val="24"/>
              </w:rPr>
              <w:t>對活摘器官</w:t>
            </w:r>
            <w:proofErr w:type="gramEnd"/>
            <w:r w:rsidRPr="001B6E4D">
              <w:rPr>
                <w:rFonts w:hAnsi="標楷體"/>
                <w:color w:val="000000" w:themeColor="text1"/>
                <w:sz w:val="24"/>
                <w:szCs w:val="24"/>
              </w:rPr>
              <w:t>及與其有關之實施行為，予以刑罰和行政罰，特制定本法。）</w:t>
            </w:r>
          </w:p>
        </w:tc>
        <w:tc>
          <w:tcPr>
            <w:tcW w:w="1174" w:type="pct"/>
          </w:tcPr>
          <w:p w14:paraId="34FF0733"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委員許智傑</w:t>
            </w:r>
          </w:p>
          <w:p w14:paraId="36C410A3"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等35人</w:t>
            </w:r>
          </w:p>
          <w:p w14:paraId="1ABF004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114.01.03</w:t>
            </w:r>
          </w:p>
          <w:p w14:paraId="2C7A6D13"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（11-2-16）</w:t>
            </w:r>
          </w:p>
        </w:tc>
        <w:tc>
          <w:tcPr>
            <w:tcW w:w="987" w:type="pct"/>
          </w:tcPr>
          <w:p w14:paraId="6FB73E1A"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司法及法制、社會福利及衛生環境</w:t>
            </w:r>
          </w:p>
        </w:tc>
        <w:tc>
          <w:tcPr>
            <w:tcW w:w="738" w:type="pct"/>
          </w:tcPr>
          <w:p w14:paraId="63D6613B"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尚未審查</w:t>
            </w:r>
          </w:p>
        </w:tc>
      </w:tr>
    </w:tbl>
    <w:p w14:paraId="35472169" w14:textId="5BB5FE66" w:rsidR="009B28A5" w:rsidRPr="001B6E4D" w:rsidRDefault="009B28A5"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350" w:name="_Toc240446556"/>
      <w:r w:rsidRPr="001B6E4D">
        <w:rPr>
          <w:color w:val="000000" w:themeColor="text1"/>
          <w:shd w:val="clear" w:color="auto" w:fill="FFFFFF" w:themeFill="background1"/>
        </w:rPr>
        <w:t>（</w:t>
      </w:r>
      <w:r w:rsidRPr="001B6E4D">
        <w:rPr>
          <w:rFonts w:hint="eastAsia"/>
          <w:color w:val="000000" w:themeColor="text1"/>
          <w:shd w:val="clear" w:color="auto" w:fill="FFFFFF" w:themeFill="background1"/>
        </w:rPr>
        <w:t>二</w:t>
      </w:r>
      <w:r w:rsidRPr="001B6E4D">
        <w:rPr>
          <w:color w:val="000000" w:themeColor="text1"/>
          <w:shd w:val="clear" w:color="auto" w:fill="FFFFFF" w:themeFill="background1"/>
        </w:rPr>
        <w:t>）立法院</w:t>
      </w:r>
      <w:r w:rsidR="00182954" w:rsidRPr="001B6E4D">
        <w:rPr>
          <w:rFonts w:hint="eastAsia"/>
          <w:color w:val="000000" w:themeColor="text1"/>
          <w:shd w:val="clear" w:color="auto" w:fill="FFFFFF" w:themeFill="background1"/>
        </w:rPr>
        <w:t>1</w:t>
      </w:r>
      <w:r w:rsidR="00182954" w:rsidRPr="001B6E4D">
        <w:rPr>
          <w:color w:val="000000" w:themeColor="text1"/>
          <w:shd w:val="clear" w:color="auto" w:fill="FFFFFF" w:themeFill="background1"/>
        </w:rPr>
        <w:t>5</w:t>
      </w:r>
      <w:r w:rsidRPr="001B6E4D">
        <w:rPr>
          <w:color w:val="000000" w:themeColor="text1"/>
          <w:shd w:val="clear" w:color="auto" w:fill="FFFFFF" w:themeFill="background1"/>
        </w:rPr>
        <w:t>案</w:t>
      </w:r>
      <w:bookmarkEnd w:id="347"/>
      <w:bookmarkEnd w:id="348"/>
      <w:bookmarkEnd w:id="349"/>
      <w:bookmarkEnd w:id="350"/>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464"/>
        <w:gridCol w:w="2891"/>
        <w:gridCol w:w="2053"/>
        <w:gridCol w:w="1469"/>
        <w:gridCol w:w="2050"/>
      </w:tblGrid>
      <w:tr w:rsidR="00C87651" w:rsidRPr="001B6E4D" w14:paraId="2372B025" w14:textId="77777777" w:rsidTr="00182954">
        <w:tc>
          <w:tcPr>
            <w:tcW w:w="260" w:type="pct"/>
            <w:vAlign w:val="center"/>
          </w:tcPr>
          <w:p w14:paraId="04D979A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619" w:type="pct"/>
            <w:vAlign w:val="center"/>
          </w:tcPr>
          <w:p w14:paraId="261D0AEF"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50" w:type="pct"/>
            <w:vAlign w:val="center"/>
          </w:tcPr>
          <w:p w14:paraId="433931B0"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043415FE"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5D3C57B6"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23" w:type="pct"/>
            <w:vAlign w:val="center"/>
          </w:tcPr>
          <w:p w14:paraId="6EFDC1EC"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1148" w:type="pct"/>
            <w:vAlign w:val="center"/>
          </w:tcPr>
          <w:p w14:paraId="18056EA7"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015E6A" w:rsidRPr="001B6E4D" w14:paraId="4AFF5D75" w14:textId="77777777" w:rsidTr="006117C4">
        <w:tc>
          <w:tcPr>
            <w:tcW w:w="260" w:type="pct"/>
          </w:tcPr>
          <w:p w14:paraId="59B9366B" w14:textId="2C607F7D"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1</w:t>
            </w:r>
          </w:p>
        </w:tc>
        <w:tc>
          <w:tcPr>
            <w:tcW w:w="1619" w:type="pct"/>
          </w:tcPr>
          <w:p w14:paraId="3169977D" w14:textId="0D07A7C5"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立法院職權行使法部分條文修正草案</w:t>
            </w:r>
            <w:proofErr w:type="gramStart"/>
            <w:r w:rsidRPr="001B6E4D">
              <w:rPr>
                <w:rFonts w:hAnsi="標楷體" w:cs="Times New Roman"/>
                <w:sz w:val="24"/>
                <w:szCs w:val="24"/>
              </w:rPr>
              <w:t>（</w:t>
            </w:r>
            <w:proofErr w:type="gramEnd"/>
            <w:r w:rsidRPr="001B6E4D">
              <w:rPr>
                <w:rFonts w:hAnsi="標楷體" w:cs="Times New Roman"/>
                <w:sz w:val="24"/>
                <w:szCs w:val="24"/>
              </w:rPr>
              <w:t>修正§21、29~31、第八章章名、45、46、47~53、70；增訂第一節節名、§45-1、46-1、53-1~3、第二節節名、53-4~8、74-1。修正重點：保障立法委員質詢權；強化立法院人事同意權；建構立法院調查及文件調閱制度；完備黨團協商規範。）</w:t>
            </w:r>
          </w:p>
        </w:tc>
        <w:tc>
          <w:tcPr>
            <w:tcW w:w="1150" w:type="pct"/>
          </w:tcPr>
          <w:p w14:paraId="79BBDD5F"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民進黨黨團</w:t>
            </w:r>
          </w:p>
          <w:p w14:paraId="3728772E"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113.04.09</w:t>
            </w:r>
          </w:p>
          <w:p w14:paraId="3AE57079" w14:textId="2670E851"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（11-1-8）</w:t>
            </w:r>
          </w:p>
        </w:tc>
        <w:tc>
          <w:tcPr>
            <w:tcW w:w="823" w:type="pct"/>
          </w:tcPr>
          <w:p w14:paraId="0F18B88A" w14:textId="548D45A3"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4AB572BA"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1本會</w:t>
            </w:r>
          </w:p>
          <w:p w14:paraId="16A54FA6" w14:textId="77777777" w:rsidR="00C72FC8"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113.4.18</w:t>
            </w:r>
          </w:p>
          <w:p w14:paraId="2DFF34B8" w14:textId="376772A1"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(11-1-14)報告及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答完畢，進行大體討論。</w:t>
            </w:r>
          </w:p>
          <w:p w14:paraId="329646F1"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2.本會</w:t>
            </w:r>
          </w:p>
          <w:p w14:paraId="53842D01" w14:textId="77777777" w:rsidR="00C72FC8"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113.4.25</w:t>
            </w:r>
          </w:p>
          <w:p w14:paraId="4A2C6C0F" w14:textId="5EED5FE1"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(11-1-17)報告及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253A537E"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3.本會</w:t>
            </w:r>
          </w:p>
          <w:p w14:paraId="17D0D170" w14:textId="77777777" w:rsidR="00C72FC8"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113.5.8</w:t>
            </w:r>
          </w:p>
          <w:p w14:paraId="426C2CCC" w14:textId="10BF5948"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(11-1-20)另定期繼續審查。</w:t>
            </w:r>
          </w:p>
        </w:tc>
      </w:tr>
      <w:tr w:rsidR="00015E6A" w:rsidRPr="001B6E4D" w14:paraId="652F4B27" w14:textId="77777777" w:rsidTr="006117C4">
        <w:tc>
          <w:tcPr>
            <w:tcW w:w="260" w:type="pct"/>
          </w:tcPr>
          <w:p w14:paraId="4657CF5A" w14:textId="17C9312F"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2</w:t>
            </w:r>
          </w:p>
        </w:tc>
        <w:tc>
          <w:tcPr>
            <w:tcW w:w="1619" w:type="pct"/>
          </w:tcPr>
          <w:p w14:paraId="31BA8ABC" w14:textId="23B4FCC3"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立法院職權行使法第十六</w:t>
            </w:r>
            <w:proofErr w:type="gramStart"/>
            <w:r w:rsidRPr="001B6E4D">
              <w:rPr>
                <w:rFonts w:hAnsi="標楷體" w:cs="Times New Roman"/>
                <w:sz w:val="24"/>
                <w:szCs w:val="24"/>
              </w:rPr>
              <w:t>條</w:t>
            </w:r>
            <w:proofErr w:type="gramEnd"/>
            <w:r w:rsidRPr="001B6E4D">
              <w:rPr>
                <w:rFonts w:hAnsi="標楷體" w:cs="Times New Roman"/>
                <w:sz w:val="24"/>
                <w:szCs w:val="24"/>
              </w:rPr>
              <w:t>條文修正草案</w:t>
            </w:r>
            <w:proofErr w:type="gramStart"/>
            <w:r w:rsidRPr="001B6E4D">
              <w:rPr>
                <w:rFonts w:hAnsi="標楷體" w:cs="Times New Roman"/>
                <w:sz w:val="24"/>
                <w:szCs w:val="24"/>
              </w:rPr>
              <w:t>（</w:t>
            </w:r>
            <w:proofErr w:type="gramEnd"/>
            <w:r w:rsidRPr="001B6E4D">
              <w:rPr>
                <w:rFonts w:hAnsi="標楷體" w:cs="Times New Roman"/>
                <w:sz w:val="24"/>
                <w:szCs w:val="24"/>
              </w:rPr>
              <w:t>修正重點：修正新任行政院院長於立法院會期間應於就職後兩</w:t>
            </w:r>
            <w:proofErr w:type="gramStart"/>
            <w:r w:rsidRPr="001B6E4D">
              <w:rPr>
                <w:rFonts w:hAnsi="標楷體" w:cs="Times New Roman"/>
                <w:sz w:val="24"/>
                <w:szCs w:val="24"/>
              </w:rPr>
              <w:t>週</w:t>
            </w:r>
            <w:proofErr w:type="gramEnd"/>
            <w:r w:rsidRPr="001B6E4D">
              <w:rPr>
                <w:rFonts w:hAnsi="標楷體" w:cs="Times New Roman"/>
                <w:sz w:val="24"/>
                <w:szCs w:val="24"/>
              </w:rPr>
              <w:t>內向立法院提出施政方針報告，休會期</w:t>
            </w:r>
            <w:proofErr w:type="gramStart"/>
            <w:r w:rsidRPr="001B6E4D">
              <w:rPr>
                <w:rFonts w:hAnsi="標楷體" w:cs="Times New Roman"/>
                <w:sz w:val="24"/>
                <w:szCs w:val="24"/>
              </w:rPr>
              <w:t>併</w:t>
            </w:r>
            <w:proofErr w:type="gramEnd"/>
            <w:r w:rsidRPr="001B6E4D">
              <w:rPr>
                <w:rFonts w:hAnsi="標楷體" w:cs="Times New Roman"/>
                <w:sz w:val="24"/>
                <w:szCs w:val="24"/>
              </w:rPr>
              <w:t>同</w:t>
            </w:r>
            <w:r w:rsidRPr="001B6E4D">
              <w:rPr>
                <w:rFonts w:hAnsi="標楷體" w:cs="Times New Roman"/>
                <w:sz w:val="24"/>
                <w:szCs w:val="24"/>
              </w:rPr>
              <w:lastRenderedPageBreak/>
              <w:t>會期開議提出施政方針之施政報告處理。）</w:t>
            </w:r>
          </w:p>
        </w:tc>
        <w:tc>
          <w:tcPr>
            <w:tcW w:w="1150" w:type="pct"/>
          </w:tcPr>
          <w:p w14:paraId="5D92CC52"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lastRenderedPageBreak/>
              <w:t>委員李坤城</w:t>
            </w:r>
          </w:p>
          <w:p w14:paraId="63B54CD0"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等22人</w:t>
            </w:r>
          </w:p>
          <w:p w14:paraId="3D50BE66"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113.10.18</w:t>
            </w:r>
          </w:p>
          <w:p w14:paraId="7EA22C72" w14:textId="5DA52C0A"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（11-2-5）</w:t>
            </w:r>
          </w:p>
        </w:tc>
        <w:tc>
          <w:tcPr>
            <w:tcW w:w="823" w:type="pct"/>
          </w:tcPr>
          <w:p w14:paraId="2E901357" w14:textId="5F1B1915"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6842C93E" w14:textId="25222A28"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015E6A" w:rsidRPr="001B6E4D" w14:paraId="43816254" w14:textId="77777777" w:rsidTr="006117C4">
        <w:tc>
          <w:tcPr>
            <w:tcW w:w="260" w:type="pct"/>
          </w:tcPr>
          <w:p w14:paraId="62630C21" w14:textId="6E8E9D18"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3</w:t>
            </w:r>
          </w:p>
        </w:tc>
        <w:tc>
          <w:tcPr>
            <w:tcW w:w="1619" w:type="pct"/>
          </w:tcPr>
          <w:p w14:paraId="0CD53C96" w14:textId="1F45681B"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1.立法院職權行使法增訂部分條文草案</w:t>
            </w:r>
            <w:proofErr w:type="gramStart"/>
            <w:r w:rsidRPr="001B6E4D">
              <w:rPr>
                <w:rFonts w:hAnsi="標楷體" w:cs="Times New Roman"/>
                <w:sz w:val="24"/>
                <w:szCs w:val="24"/>
              </w:rPr>
              <w:t>（</w:t>
            </w:r>
            <w:proofErr w:type="gramEnd"/>
            <w:r w:rsidRPr="001B6E4D">
              <w:rPr>
                <w:rFonts w:hAnsi="標楷體" w:cs="Times New Roman"/>
                <w:sz w:val="24"/>
                <w:szCs w:val="24"/>
              </w:rPr>
              <w:t>增訂第五章之</w:t>
            </w:r>
            <w:proofErr w:type="gramStart"/>
            <w:r w:rsidRPr="001B6E4D">
              <w:rPr>
                <w:rFonts w:hAnsi="標楷體" w:cs="Times New Roman"/>
                <w:sz w:val="24"/>
                <w:szCs w:val="24"/>
              </w:rPr>
              <w:t>一</w:t>
            </w:r>
            <w:proofErr w:type="gramEnd"/>
            <w:r w:rsidRPr="001B6E4D">
              <w:rPr>
                <w:rFonts w:hAnsi="標楷體" w:cs="Times New Roman"/>
                <w:sz w:val="24"/>
                <w:szCs w:val="24"/>
              </w:rPr>
              <w:t>章名、§35-1~4。增訂重點：增訂戒嚴案之處理程序。）</w:t>
            </w:r>
          </w:p>
        </w:tc>
        <w:tc>
          <w:tcPr>
            <w:tcW w:w="1150" w:type="pct"/>
          </w:tcPr>
          <w:p w14:paraId="5126BDAC"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委員許宇</w:t>
            </w:r>
            <w:proofErr w:type="gramStart"/>
            <w:r w:rsidRPr="001B6E4D">
              <w:rPr>
                <w:rFonts w:ascii="標楷體" w:eastAsia="標楷體" w:hAnsi="標楷體"/>
                <w:sz w:val="24"/>
              </w:rPr>
              <w:t>甄</w:t>
            </w:r>
            <w:proofErr w:type="gramEnd"/>
          </w:p>
          <w:p w14:paraId="56474D12"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等18人</w:t>
            </w:r>
          </w:p>
          <w:p w14:paraId="0864805D"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113.12.13</w:t>
            </w:r>
          </w:p>
          <w:p w14:paraId="4DEEE7CE" w14:textId="129D1494"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（11-2-13）</w:t>
            </w:r>
          </w:p>
        </w:tc>
        <w:tc>
          <w:tcPr>
            <w:tcW w:w="823" w:type="pct"/>
          </w:tcPr>
          <w:p w14:paraId="613F9D14" w14:textId="2651A0E9"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607A00E6" w14:textId="4A892913"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015E6A" w:rsidRPr="001B6E4D" w14:paraId="26A5B602" w14:textId="77777777" w:rsidTr="006117C4">
        <w:tc>
          <w:tcPr>
            <w:tcW w:w="260" w:type="pct"/>
          </w:tcPr>
          <w:p w14:paraId="55A60422" w14:textId="23BDCB84"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4</w:t>
            </w:r>
          </w:p>
        </w:tc>
        <w:tc>
          <w:tcPr>
            <w:tcW w:w="1619" w:type="pct"/>
          </w:tcPr>
          <w:p w14:paraId="5CF98177" w14:textId="70C9892F"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2.立法院職權行使法增訂部分條文草案</w:t>
            </w:r>
            <w:proofErr w:type="gramStart"/>
            <w:r w:rsidRPr="001B6E4D">
              <w:rPr>
                <w:rFonts w:hAnsi="標楷體" w:cs="Times New Roman"/>
                <w:sz w:val="24"/>
                <w:szCs w:val="24"/>
              </w:rPr>
              <w:t>（</w:t>
            </w:r>
            <w:proofErr w:type="gramEnd"/>
            <w:r w:rsidRPr="001B6E4D">
              <w:rPr>
                <w:rFonts w:hAnsi="標楷體" w:cs="Times New Roman"/>
                <w:sz w:val="24"/>
                <w:szCs w:val="24"/>
              </w:rPr>
              <w:t>增訂第五章之</w:t>
            </w:r>
            <w:proofErr w:type="gramStart"/>
            <w:r w:rsidRPr="001B6E4D">
              <w:rPr>
                <w:rFonts w:hAnsi="標楷體" w:cs="Times New Roman"/>
                <w:sz w:val="24"/>
                <w:szCs w:val="24"/>
              </w:rPr>
              <w:t>一</w:t>
            </w:r>
            <w:proofErr w:type="gramEnd"/>
            <w:r w:rsidRPr="001B6E4D">
              <w:rPr>
                <w:rFonts w:hAnsi="標楷體" w:cs="Times New Roman"/>
                <w:sz w:val="24"/>
                <w:szCs w:val="24"/>
              </w:rPr>
              <w:t>章名、§35-1~4。增訂重點：增訂戒嚴案之處理程序。）</w:t>
            </w:r>
          </w:p>
        </w:tc>
        <w:tc>
          <w:tcPr>
            <w:tcW w:w="1150" w:type="pct"/>
          </w:tcPr>
          <w:p w14:paraId="79073543"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委員林倩綺</w:t>
            </w:r>
          </w:p>
          <w:p w14:paraId="249332AB"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等18人</w:t>
            </w:r>
          </w:p>
          <w:p w14:paraId="3E0B902E"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114.02.25</w:t>
            </w:r>
          </w:p>
          <w:p w14:paraId="43638DF6" w14:textId="5CA7082E"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（11-3-2）</w:t>
            </w:r>
          </w:p>
        </w:tc>
        <w:tc>
          <w:tcPr>
            <w:tcW w:w="823" w:type="pct"/>
          </w:tcPr>
          <w:p w14:paraId="5D49F812" w14:textId="698EE9DF"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79BEC558" w14:textId="184A6873"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015E6A" w:rsidRPr="001B6E4D" w14:paraId="43726FCA" w14:textId="77777777" w:rsidTr="006117C4">
        <w:tc>
          <w:tcPr>
            <w:tcW w:w="260" w:type="pct"/>
          </w:tcPr>
          <w:p w14:paraId="3E443A13" w14:textId="015336E4"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5</w:t>
            </w:r>
          </w:p>
        </w:tc>
        <w:tc>
          <w:tcPr>
            <w:tcW w:w="1619" w:type="pct"/>
          </w:tcPr>
          <w:p w14:paraId="5A74D274" w14:textId="328E9649"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立法院職權行使法第二</w:t>
            </w:r>
            <w:proofErr w:type="gramStart"/>
            <w:r w:rsidRPr="001B6E4D">
              <w:rPr>
                <w:rFonts w:hAnsi="標楷體" w:cs="Times New Roman"/>
                <w:sz w:val="24"/>
                <w:szCs w:val="24"/>
              </w:rPr>
              <w:t>條</w:t>
            </w:r>
            <w:proofErr w:type="gramEnd"/>
            <w:r w:rsidRPr="001B6E4D">
              <w:rPr>
                <w:rFonts w:hAnsi="標楷體" w:cs="Times New Roman"/>
                <w:sz w:val="24"/>
                <w:szCs w:val="24"/>
              </w:rPr>
              <w:t>條文修正草案</w:t>
            </w:r>
            <w:proofErr w:type="gramStart"/>
            <w:r w:rsidRPr="001B6E4D">
              <w:rPr>
                <w:rFonts w:hAnsi="標楷體" w:cs="Times New Roman"/>
                <w:sz w:val="24"/>
                <w:szCs w:val="24"/>
              </w:rPr>
              <w:t>（</w:t>
            </w:r>
            <w:proofErr w:type="gramEnd"/>
            <w:r w:rsidRPr="001B6E4D">
              <w:rPr>
                <w:rFonts w:hAnsi="標楷體" w:cs="Times New Roman"/>
                <w:sz w:val="24"/>
                <w:szCs w:val="24"/>
              </w:rPr>
              <w:t>修正重點：立法委員因故長期無法行使職務，解除其職權。）</w:t>
            </w:r>
          </w:p>
        </w:tc>
        <w:tc>
          <w:tcPr>
            <w:tcW w:w="1150" w:type="pct"/>
          </w:tcPr>
          <w:p w14:paraId="5C5E383B"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委員王定宇</w:t>
            </w:r>
          </w:p>
          <w:p w14:paraId="25A007ED"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等17人</w:t>
            </w:r>
          </w:p>
          <w:p w14:paraId="075CD66F"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114.03.07</w:t>
            </w:r>
          </w:p>
          <w:p w14:paraId="788B5457" w14:textId="0F9B10CE"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w:t>
            </w:r>
          </w:p>
        </w:tc>
        <w:tc>
          <w:tcPr>
            <w:tcW w:w="823" w:type="pct"/>
          </w:tcPr>
          <w:p w14:paraId="142F74C9" w14:textId="2027E635"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7B9FFB23" w14:textId="51E54D4D"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015E6A" w:rsidRPr="001B6E4D" w14:paraId="6598D448" w14:textId="77777777" w:rsidTr="006117C4">
        <w:tc>
          <w:tcPr>
            <w:tcW w:w="260" w:type="pct"/>
          </w:tcPr>
          <w:p w14:paraId="18377ED0" w14:textId="1C518117"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6</w:t>
            </w:r>
          </w:p>
        </w:tc>
        <w:tc>
          <w:tcPr>
            <w:tcW w:w="1619" w:type="pct"/>
          </w:tcPr>
          <w:p w14:paraId="2408B0A7" w14:textId="7E08486F"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1.立法委員行為法部分條文修正草案</w:t>
            </w:r>
            <w:proofErr w:type="gramStart"/>
            <w:r w:rsidRPr="001B6E4D">
              <w:rPr>
                <w:rFonts w:hAnsi="標楷體" w:cs="Times New Roman"/>
                <w:sz w:val="24"/>
                <w:szCs w:val="24"/>
              </w:rPr>
              <w:t>（</w:t>
            </w:r>
            <w:proofErr w:type="gramEnd"/>
            <w:r w:rsidRPr="001B6E4D">
              <w:rPr>
                <w:rFonts w:hAnsi="標楷體" w:cs="Times New Roman"/>
                <w:sz w:val="24"/>
                <w:szCs w:val="24"/>
              </w:rPr>
              <w:t>修正§2、10、11、13、16、20、26、31；增訂§2-1、11-1；刪除§19。修正重點：增修立法委員關係人範圍界定、秘密會議未遵守保密規定之法律效果、兩岸交流之資訊透明化等事項規範，以強化行使職權之利益迴避。）</w:t>
            </w:r>
          </w:p>
        </w:tc>
        <w:tc>
          <w:tcPr>
            <w:tcW w:w="1150" w:type="pct"/>
          </w:tcPr>
          <w:p w14:paraId="23BEF89F"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委員賴瑞隆</w:t>
            </w:r>
          </w:p>
          <w:p w14:paraId="7054AC0C"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等16人</w:t>
            </w:r>
          </w:p>
          <w:p w14:paraId="7B5942B7"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113.03.01</w:t>
            </w:r>
          </w:p>
          <w:p w14:paraId="1F6C780F" w14:textId="2A615826"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（11-1-3）</w:t>
            </w:r>
          </w:p>
        </w:tc>
        <w:tc>
          <w:tcPr>
            <w:tcW w:w="823" w:type="pct"/>
          </w:tcPr>
          <w:p w14:paraId="1F4699C3" w14:textId="7B55005B"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7CF2A742"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1.本會</w:t>
            </w:r>
          </w:p>
          <w:p w14:paraId="04078C69"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113.4.10舉行「如何落實國會調查／</w:t>
            </w:r>
            <w:proofErr w:type="gramStart"/>
            <w:r w:rsidRPr="001B6E4D">
              <w:rPr>
                <w:rFonts w:ascii="標楷體" w:eastAsia="標楷體" w:hAnsi="標楷體"/>
                <w:sz w:val="24"/>
              </w:rPr>
              <w:t>聽證權以</w:t>
            </w:r>
            <w:proofErr w:type="gramEnd"/>
            <w:r w:rsidRPr="001B6E4D">
              <w:rPr>
                <w:rFonts w:ascii="標楷體" w:eastAsia="標楷體" w:hAnsi="標楷體"/>
                <w:sz w:val="24"/>
              </w:rPr>
              <w:t>有效監督行政機關，並避免侵犯人民</w:t>
            </w:r>
            <w:proofErr w:type="gramStart"/>
            <w:r w:rsidRPr="001B6E4D">
              <w:rPr>
                <w:rFonts w:ascii="標楷體" w:eastAsia="標楷體" w:hAnsi="標楷體"/>
                <w:sz w:val="24"/>
              </w:rPr>
              <w:t>自由／</w:t>
            </w:r>
            <w:proofErr w:type="gramEnd"/>
            <w:r w:rsidRPr="001B6E4D">
              <w:rPr>
                <w:rFonts w:ascii="標楷體" w:eastAsia="標楷體" w:hAnsi="標楷體"/>
                <w:sz w:val="24"/>
              </w:rPr>
              <w:t>隱私權」公聽會。</w:t>
            </w:r>
          </w:p>
          <w:p w14:paraId="30A24E52"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2.本會</w:t>
            </w:r>
          </w:p>
          <w:p w14:paraId="5DA35FC7"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113.4.11舉行「如何落實國會調查／</w:t>
            </w:r>
            <w:proofErr w:type="gramStart"/>
            <w:r w:rsidRPr="001B6E4D">
              <w:rPr>
                <w:rFonts w:ascii="標楷體" w:eastAsia="標楷體" w:hAnsi="標楷體"/>
                <w:sz w:val="24"/>
              </w:rPr>
              <w:t>聽證權以</w:t>
            </w:r>
            <w:proofErr w:type="gramEnd"/>
            <w:r w:rsidRPr="001B6E4D">
              <w:rPr>
                <w:rFonts w:ascii="標楷體" w:eastAsia="標楷體" w:hAnsi="標楷體"/>
                <w:sz w:val="24"/>
              </w:rPr>
              <w:t>有效監督行政機關，並防範機密外</w:t>
            </w:r>
            <w:proofErr w:type="gramStart"/>
            <w:r w:rsidRPr="001B6E4D">
              <w:rPr>
                <w:rFonts w:ascii="標楷體" w:eastAsia="標楷體" w:hAnsi="標楷體"/>
                <w:sz w:val="24"/>
              </w:rPr>
              <w:t>洩</w:t>
            </w:r>
            <w:proofErr w:type="gramEnd"/>
            <w:r w:rsidRPr="001B6E4D">
              <w:rPr>
                <w:rFonts w:ascii="標楷體" w:eastAsia="標楷體" w:hAnsi="標楷體"/>
                <w:sz w:val="24"/>
              </w:rPr>
              <w:t>危害國安」公聽會。</w:t>
            </w:r>
          </w:p>
          <w:p w14:paraId="5F9E33C7"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3.本會</w:t>
            </w:r>
          </w:p>
          <w:p w14:paraId="33F4F2A2" w14:textId="77777777" w:rsidR="00C82F6F"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113.4.22</w:t>
            </w:r>
          </w:p>
          <w:p w14:paraId="53353501" w14:textId="614BCC99"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(11-1-15)(民進黨黨團提案說明完畢)。</w:t>
            </w:r>
          </w:p>
          <w:p w14:paraId="3B3F4DCA"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lastRenderedPageBreak/>
              <w:t>4.本會</w:t>
            </w:r>
          </w:p>
          <w:p w14:paraId="286BD07A" w14:textId="77777777" w:rsidR="00C82F6F"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113.4.25</w:t>
            </w:r>
          </w:p>
          <w:p w14:paraId="069823D7" w14:textId="570CFDA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(11-1-17)報告及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15A3A056"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5.本會</w:t>
            </w:r>
          </w:p>
          <w:p w14:paraId="17CD35C7" w14:textId="77777777" w:rsidR="00C82F6F"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113.5.6</w:t>
            </w:r>
          </w:p>
          <w:p w14:paraId="414AC3AE" w14:textId="4B29A5DF"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(11-1-19)另定期繼續審查。</w:t>
            </w:r>
          </w:p>
          <w:p w14:paraId="6C41CC24"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6.本會</w:t>
            </w:r>
          </w:p>
          <w:p w14:paraId="08155D27" w14:textId="77777777" w:rsidR="00C82F6F" w:rsidRPr="001B6E4D" w:rsidRDefault="00015E6A" w:rsidP="003D1018">
            <w:pPr>
              <w:overflowPunct w:val="0"/>
              <w:spacing w:line="340" w:lineRule="exact"/>
              <w:jc w:val="both"/>
              <w:rPr>
                <w:rFonts w:ascii="標楷體" w:eastAsia="標楷體" w:hAnsi="標楷體"/>
                <w:sz w:val="24"/>
              </w:rPr>
            </w:pPr>
            <w:r w:rsidRPr="001B6E4D">
              <w:rPr>
                <w:rFonts w:ascii="標楷體" w:eastAsia="標楷體" w:hAnsi="標楷體"/>
                <w:sz w:val="24"/>
              </w:rPr>
              <w:t>113.5.8</w:t>
            </w:r>
          </w:p>
          <w:p w14:paraId="1AAFCEAF" w14:textId="3694DDFF" w:rsidR="00015E6A" w:rsidRPr="001B6E4D" w:rsidRDefault="00015E6A" w:rsidP="003D1018">
            <w:pPr>
              <w:overflowPunct w:val="0"/>
              <w:spacing w:line="340" w:lineRule="exact"/>
              <w:jc w:val="both"/>
              <w:rPr>
                <w:rFonts w:ascii="標楷體" w:eastAsia="標楷體" w:hAnsi="標楷體"/>
                <w:sz w:val="24"/>
              </w:rPr>
            </w:pPr>
            <w:r w:rsidRPr="001B6E4D">
              <w:rPr>
                <w:rFonts w:ascii="標楷體" w:eastAsia="標楷體" w:hAnsi="標楷體"/>
                <w:sz w:val="24"/>
              </w:rPr>
              <w:t>(11-1-20)另定期繼續審查。</w:t>
            </w:r>
          </w:p>
        </w:tc>
      </w:tr>
      <w:tr w:rsidR="00015E6A" w:rsidRPr="001B6E4D" w14:paraId="7F91866D" w14:textId="77777777" w:rsidTr="006117C4">
        <w:tc>
          <w:tcPr>
            <w:tcW w:w="260" w:type="pct"/>
          </w:tcPr>
          <w:p w14:paraId="3314BDA7" w14:textId="6B8ECD7E"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lastRenderedPageBreak/>
              <w:t>7</w:t>
            </w:r>
          </w:p>
        </w:tc>
        <w:tc>
          <w:tcPr>
            <w:tcW w:w="1619" w:type="pct"/>
          </w:tcPr>
          <w:p w14:paraId="3DBC6DEF" w14:textId="01D09B29"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2.立法委員行為法第十條及第十四條之</w:t>
            </w:r>
            <w:proofErr w:type="gramStart"/>
            <w:r w:rsidRPr="001B6E4D">
              <w:rPr>
                <w:rFonts w:hAnsi="標楷體" w:cs="Times New Roman"/>
                <w:sz w:val="24"/>
                <w:szCs w:val="24"/>
              </w:rPr>
              <w:t>一</w:t>
            </w:r>
            <w:proofErr w:type="gramEnd"/>
            <w:r w:rsidRPr="001B6E4D">
              <w:rPr>
                <w:rFonts w:hAnsi="標楷體" w:cs="Times New Roman"/>
                <w:sz w:val="24"/>
                <w:szCs w:val="24"/>
              </w:rPr>
              <w:t>條文修正草案</w:t>
            </w:r>
            <w:proofErr w:type="gramStart"/>
            <w:r w:rsidRPr="001B6E4D">
              <w:rPr>
                <w:rFonts w:hAnsi="標楷體" w:cs="Times New Roman"/>
                <w:sz w:val="24"/>
                <w:szCs w:val="24"/>
              </w:rPr>
              <w:t>（</w:t>
            </w:r>
            <w:proofErr w:type="gramEnd"/>
            <w:r w:rsidRPr="001B6E4D">
              <w:rPr>
                <w:rFonts w:hAnsi="標楷體" w:cs="Times New Roman"/>
                <w:sz w:val="24"/>
                <w:szCs w:val="24"/>
              </w:rPr>
              <w:t>修正重點：完善秘密會議與會者保密義務及違反效果之規範；訂定解除立法委員職務及撤銷解除職務處分要件。）</w:t>
            </w:r>
          </w:p>
        </w:tc>
        <w:tc>
          <w:tcPr>
            <w:tcW w:w="1150" w:type="pct"/>
          </w:tcPr>
          <w:p w14:paraId="529DC947"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委員黃捷</w:t>
            </w:r>
          </w:p>
          <w:p w14:paraId="0A3F9106"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等18人</w:t>
            </w:r>
          </w:p>
          <w:p w14:paraId="43AB39B1"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113.10.11</w:t>
            </w:r>
          </w:p>
          <w:p w14:paraId="7C9E538A" w14:textId="1AD12314"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（11-2-4）</w:t>
            </w:r>
          </w:p>
        </w:tc>
        <w:tc>
          <w:tcPr>
            <w:tcW w:w="823" w:type="pct"/>
          </w:tcPr>
          <w:p w14:paraId="60F7C8EF" w14:textId="599EA9CD"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1CE45B5B" w14:textId="0BE487BA"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015E6A" w:rsidRPr="001B6E4D" w14:paraId="1A049234" w14:textId="77777777" w:rsidTr="006117C4">
        <w:tc>
          <w:tcPr>
            <w:tcW w:w="260" w:type="pct"/>
          </w:tcPr>
          <w:p w14:paraId="0CDEF1AC" w14:textId="4432F57E"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8</w:t>
            </w:r>
          </w:p>
        </w:tc>
        <w:tc>
          <w:tcPr>
            <w:tcW w:w="1619" w:type="pct"/>
          </w:tcPr>
          <w:p w14:paraId="5FEA0084" w14:textId="1E626677"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3.立法委員行為法增訂第十四條之</w:t>
            </w:r>
            <w:proofErr w:type="gramStart"/>
            <w:r w:rsidRPr="001B6E4D">
              <w:rPr>
                <w:rFonts w:hAnsi="標楷體" w:cs="Times New Roman"/>
                <w:sz w:val="24"/>
                <w:szCs w:val="24"/>
              </w:rPr>
              <w:t>一</w:t>
            </w:r>
            <w:proofErr w:type="gramEnd"/>
            <w:r w:rsidRPr="001B6E4D">
              <w:rPr>
                <w:rFonts w:hAnsi="標楷體" w:cs="Times New Roman"/>
                <w:sz w:val="24"/>
                <w:szCs w:val="24"/>
              </w:rPr>
              <w:t>條文草案</w:t>
            </w:r>
            <w:proofErr w:type="gramStart"/>
            <w:r w:rsidRPr="001B6E4D">
              <w:rPr>
                <w:rFonts w:hAnsi="標楷體" w:cs="Times New Roman"/>
                <w:sz w:val="24"/>
                <w:szCs w:val="24"/>
              </w:rPr>
              <w:t>（</w:t>
            </w:r>
            <w:proofErr w:type="gramEnd"/>
            <w:r w:rsidRPr="001B6E4D">
              <w:rPr>
                <w:rFonts w:hAnsi="標楷體" w:cs="Times New Roman"/>
                <w:sz w:val="24"/>
                <w:szCs w:val="24"/>
              </w:rPr>
              <w:t>增訂重點：立法委員宣誓就職即視為同意授權進行其是否具備外國籍之相關查核；經查核確有具外國籍情事，除應立即解除其立法委員職務外，亦應就其所受領之俸給、助理費、事務費等一切給付進行追還。）</w:t>
            </w:r>
          </w:p>
        </w:tc>
        <w:tc>
          <w:tcPr>
            <w:tcW w:w="1150" w:type="pct"/>
          </w:tcPr>
          <w:p w14:paraId="1827AD9E"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委員王美惠</w:t>
            </w:r>
          </w:p>
          <w:p w14:paraId="453C4C75"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等17人</w:t>
            </w:r>
          </w:p>
          <w:p w14:paraId="354DF7FA"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114.04.18</w:t>
            </w:r>
          </w:p>
          <w:p w14:paraId="46E89DCD" w14:textId="0B2EF2A3"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（11-3-8）</w:t>
            </w:r>
          </w:p>
        </w:tc>
        <w:tc>
          <w:tcPr>
            <w:tcW w:w="823" w:type="pct"/>
          </w:tcPr>
          <w:p w14:paraId="64FA94CA" w14:textId="79995215"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7C2B08FB" w14:textId="2B34D594"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015E6A" w:rsidRPr="001B6E4D" w14:paraId="631F72B0" w14:textId="77777777" w:rsidTr="006117C4">
        <w:tc>
          <w:tcPr>
            <w:tcW w:w="260" w:type="pct"/>
          </w:tcPr>
          <w:p w14:paraId="3C6982AC" w14:textId="7F2B9BF0"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9</w:t>
            </w:r>
          </w:p>
        </w:tc>
        <w:tc>
          <w:tcPr>
            <w:tcW w:w="1619" w:type="pct"/>
          </w:tcPr>
          <w:p w14:paraId="36C6D9A6" w14:textId="71468FF8"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4.立法委員行為法增訂第二十條之</w:t>
            </w:r>
            <w:proofErr w:type="gramStart"/>
            <w:r w:rsidRPr="001B6E4D">
              <w:rPr>
                <w:rFonts w:hAnsi="標楷體" w:cs="Times New Roman"/>
                <w:sz w:val="24"/>
                <w:szCs w:val="24"/>
              </w:rPr>
              <w:t>一</w:t>
            </w:r>
            <w:proofErr w:type="gramEnd"/>
            <w:r w:rsidRPr="001B6E4D">
              <w:rPr>
                <w:rFonts w:hAnsi="標楷體" w:cs="Times New Roman"/>
                <w:sz w:val="24"/>
                <w:szCs w:val="24"/>
              </w:rPr>
              <w:t>條文草案</w:t>
            </w:r>
            <w:proofErr w:type="gramStart"/>
            <w:r w:rsidRPr="001B6E4D">
              <w:rPr>
                <w:rFonts w:hAnsi="標楷體" w:cs="Times New Roman"/>
                <w:sz w:val="24"/>
                <w:szCs w:val="24"/>
              </w:rPr>
              <w:t>（</w:t>
            </w:r>
            <w:proofErr w:type="gramEnd"/>
            <w:r w:rsidRPr="001B6E4D">
              <w:rPr>
                <w:rFonts w:hAnsi="標楷體" w:cs="Times New Roman"/>
                <w:sz w:val="24"/>
                <w:szCs w:val="24"/>
              </w:rPr>
              <w:t>增訂重點：立法委員出國應向立法院報備及送交出國報告，並於網站公開。）</w:t>
            </w:r>
          </w:p>
        </w:tc>
        <w:tc>
          <w:tcPr>
            <w:tcW w:w="1150" w:type="pct"/>
          </w:tcPr>
          <w:p w14:paraId="2783DE90"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委員李坤城</w:t>
            </w:r>
          </w:p>
          <w:p w14:paraId="08FDFF66"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等22人</w:t>
            </w:r>
          </w:p>
          <w:p w14:paraId="133BB1AB"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114.04.25</w:t>
            </w:r>
          </w:p>
          <w:p w14:paraId="5ABC5F23" w14:textId="741B96C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（11-3-9）</w:t>
            </w:r>
          </w:p>
        </w:tc>
        <w:tc>
          <w:tcPr>
            <w:tcW w:w="823" w:type="pct"/>
          </w:tcPr>
          <w:p w14:paraId="079AADD7" w14:textId="46356A6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540BC8B4" w14:textId="4A182F29"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015E6A" w:rsidRPr="001B6E4D" w14:paraId="2E3BBED1" w14:textId="77777777" w:rsidTr="006117C4">
        <w:tc>
          <w:tcPr>
            <w:tcW w:w="260" w:type="pct"/>
          </w:tcPr>
          <w:p w14:paraId="487FA6D9" w14:textId="5B818A52"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10</w:t>
            </w:r>
          </w:p>
        </w:tc>
        <w:tc>
          <w:tcPr>
            <w:tcW w:w="1619" w:type="pct"/>
          </w:tcPr>
          <w:p w14:paraId="6430B5A9" w14:textId="22A8054A"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1.立法委員行為法第七</w:t>
            </w:r>
            <w:proofErr w:type="gramStart"/>
            <w:r w:rsidRPr="001B6E4D">
              <w:rPr>
                <w:rFonts w:hAnsi="標楷體" w:cs="Times New Roman"/>
                <w:sz w:val="24"/>
                <w:szCs w:val="24"/>
              </w:rPr>
              <w:t>條</w:t>
            </w:r>
            <w:proofErr w:type="gramEnd"/>
            <w:r w:rsidRPr="001B6E4D">
              <w:rPr>
                <w:rFonts w:hAnsi="標楷體" w:cs="Times New Roman"/>
                <w:sz w:val="24"/>
                <w:szCs w:val="24"/>
              </w:rPr>
              <w:t>條文修正草案</w:t>
            </w:r>
            <w:proofErr w:type="gramStart"/>
            <w:r w:rsidRPr="001B6E4D">
              <w:rPr>
                <w:rFonts w:hAnsi="標楷體" w:cs="Times New Roman"/>
                <w:sz w:val="24"/>
                <w:szCs w:val="24"/>
              </w:rPr>
              <w:t>（</w:t>
            </w:r>
            <w:proofErr w:type="gramEnd"/>
            <w:r w:rsidRPr="001B6E4D">
              <w:rPr>
                <w:rFonts w:hAnsi="標楷體" w:cs="Times New Roman"/>
                <w:sz w:val="24"/>
                <w:szCs w:val="24"/>
              </w:rPr>
              <w:t>修正重</w:t>
            </w:r>
            <w:r w:rsidRPr="001B6E4D">
              <w:rPr>
                <w:rFonts w:hAnsi="標楷體" w:cs="Times New Roman"/>
                <w:sz w:val="24"/>
                <w:szCs w:val="24"/>
              </w:rPr>
              <w:lastRenderedPageBreak/>
              <w:t>點：增訂立法委員若有性騷擾及性別歧視之言論或行為時，主席得交紀律委員會。）</w:t>
            </w:r>
          </w:p>
        </w:tc>
        <w:tc>
          <w:tcPr>
            <w:tcW w:w="1150" w:type="pct"/>
          </w:tcPr>
          <w:p w14:paraId="7857BE95"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lastRenderedPageBreak/>
              <w:t>委員</w:t>
            </w:r>
            <w:proofErr w:type="gramStart"/>
            <w:r w:rsidRPr="001B6E4D">
              <w:rPr>
                <w:rFonts w:ascii="標楷體" w:eastAsia="標楷體" w:hAnsi="標楷體"/>
                <w:sz w:val="24"/>
              </w:rPr>
              <w:t>范</w:t>
            </w:r>
            <w:proofErr w:type="gramEnd"/>
            <w:r w:rsidRPr="001B6E4D">
              <w:rPr>
                <w:rFonts w:ascii="標楷體" w:eastAsia="標楷體" w:hAnsi="標楷體"/>
                <w:sz w:val="24"/>
              </w:rPr>
              <w:t>雲</w:t>
            </w:r>
          </w:p>
          <w:p w14:paraId="59374460"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等18人</w:t>
            </w:r>
          </w:p>
          <w:p w14:paraId="38470698"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lastRenderedPageBreak/>
              <w:t>113.03.15</w:t>
            </w:r>
          </w:p>
          <w:p w14:paraId="286F6F67" w14:textId="17D4C864"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（11-1-5）</w:t>
            </w:r>
          </w:p>
        </w:tc>
        <w:tc>
          <w:tcPr>
            <w:tcW w:w="823" w:type="pct"/>
          </w:tcPr>
          <w:p w14:paraId="56117D03" w14:textId="197F6263"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lastRenderedPageBreak/>
              <w:t>司法及法制</w:t>
            </w:r>
          </w:p>
        </w:tc>
        <w:tc>
          <w:tcPr>
            <w:tcW w:w="1148" w:type="pct"/>
          </w:tcPr>
          <w:p w14:paraId="37D5831B"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1.本會</w:t>
            </w:r>
          </w:p>
          <w:p w14:paraId="15136739"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113.4.10舉行</w:t>
            </w:r>
            <w:r w:rsidRPr="001B6E4D">
              <w:rPr>
                <w:rFonts w:ascii="標楷體" w:eastAsia="標楷體" w:hAnsi="標楷體"/>
                <w:sz w:val="24"/>
              </w:rPr>
              <w:lastRenderedPageBreak/>
              <w:t>「如何落實國會調查／</w:t>
            </w:r>
            <w:proofErr w:type="gramStart"/>
            <w:r w:rsidRPr="001B6E4D">
              <w:rPr>
                <w:rFonts w:ascii="標楷體" w:eastAsia="標楷體" w:hAnsi="標楷體"/>
                <w:sz w:val="24"/>
              </w:rPr>
              <w:t>聽證權以</w:t>
            </w:r>
            <w:proofErr w:type="gramEnd"/>
            <w:r w:rsidRPr="001B6E4D">
              <w:rPr>
                <w:rFonts w:ascii="標楷體" w:eastAsia="標楷體" w:hAnsi="標楷體"/>
                <w:sz w:val="24"/>
              </w:rPr>
              <w:t>有效監督行政機關，並避免侵犯人民</w:t>
            </w:r>
            <w:proofErr w:type="gramStart"/>
            <w:r w:rsidRPr="001B6E4D">
              <w:rPr>
                <w:rFonts w:ascii="標楷體" w:eastAsia="標楷體" w:hAnsi="標楷體"/>
                <w:sz w:val="24"/>
              </w:rPr>
              <w:t>自由／</w:t>
            </w:r>
            <w:proofErr w:type="gramEnd"/>
            <w:r w:rsidRPr="001B6E4D">
              <w:rPr>
                <w:rFonts w:ascii="標楷體" w:eastAsia="標楷體" w:hAnsi="標楷體"/>
                <w:sz w:val="24"/>
              </w:rPr>
              <w:t>隱私權」公聽會。</w:t>
            </w:r>
          </w:p>
          <w:p w14:paraId="246BA2F7"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2.本會</w:t>
            </w:r>
          </w:p>
          <w:p w14:paraId="5057AC7B"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113.4.11舉行「如何落實國會調查／</w:t>
            </w:r>
            <w:proofErr w:type="gramStart"/>
            <w:r w:rsidRPr="001B6E4D">
              <w:rPr>
                <w:rFonts w:ascii="標楷體" w:eastAsia="標楷體" w:hAnsi="標楷體"/>
                <w:sz w:val="24"/>
              </w:rPr>
              <w:t>聽證權以</w:t>
            </w:r>
            <w:proofErr w:type="gramEnd"/>
            <w:r w:rsidRPr="001B6E4D">
              <w:rPr>
                <w:rFonts w:ascii="標楷體" w:eastAsia="標楷體" w:hAnsi="標楷體"/>
                <w:sz w:val="24"/>
              </w:rPr>
              <w:t>有效監督行政機關，並防範機密外</w:t>
            </w:r>
            <w:proofErr w:type="gramStart"/>
            <w:r w:rsidRPr="001B6E4D">
              <w:rPr>
                <w:rFonts w:ascii="標楷體" w:eastAsia="標楷體" w:hAnsi="標楷體"/>
                <w:sz w:val="24"/>
              </w:rPr>
              <w:t>洩</w:t>
            </w:r>
            <w:proofErr w:type="gramEnd"/>
            <w:r w:rsidRPr="001B6E4D">
              <w:rPr>
                <w:rFonts w:ascii="標楷體" w:eastAsia="標楷體" w:hAnsi="標楷體"/>
                <w:sz w:val="24"/>
              </w:rPr>
              <w:t>危害國安」公聽會。</w:t>
            </w:r>
          </w:p>
          <w:p w14:paraId="4E80C0DA"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3.本會</w:t>
            </w:r>
          </w:p>
          <w:p w14:paraId="6F25D2EF" w14:textId="77777777" w:rsidR="0019333D"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113.4.22</w:t>
            </w:r>
          </w:p>
          <w:p w14:paraId="3C7340B0" w14:textId="66B95604"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(11-1-15)(民進黨黨團提案說明完畢)。</w:t>
            </w:r>
          </w:p>
          <w:p w14:paraId="2C858372"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4.本會</w:t>
            </w:r>
          </w:p>
          <w:p w14:paraId="15C5D8BF" w14:textId="77777777" w:rsidR="0019333D"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113.4.25</w:t>
            </w:r>
          </w:p>
          <w:p w14:paraId="19106849" w14:textId="191A01DA"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(11-1-17)報告及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257D7104"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5.本會</w:t>
            </w:r>
          </w:p>
          <w:p w14:paraId="6DAF607F" w14:textId="77777777" w:rsidR="0019333D"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113.5.6</w:t>
            </w:r>
          </w:p>
          <w:p w14:paraId="58657EA4" w14:textId="6218D4FA"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(11-1-19)另定期繼續審查。</w:t>
            </w:r>
          </w:p>
          <w:p w14:paraId="48B851C3"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6.本會</w:t>
            </w:r>
          </w:p>
          <w:p w14:paraId="6C8B254A" w14:textId="77777777" w:rsidR="0019333D" w:rsidRPr="001B6E4D" w:rsidRDefault="00015E6A" w:rsidP="003D1018">
            <w:pPr>
              <w:overflowPunct w:val="0"/>
              <w:spacing w:line="350" w:lineRule="exact"/>
              <w:jc w:val="both"/>
              <w:rPr>
                <w:rFonts w:ascii="標楷體" w:eastAsia="標楷體" w:hAnsi="標楷體"/>
                <w:sz w:val="24"/>
              </w:rPr>
            </w:pPr>
            <w:r w:rsidRPr="001B6E4D">
              <w:rPr>
                <w:rFonts w:ascii="標楷體" w:eastAsia="標楷體" w:hAnsi="標楷體"/>
                <w:sz w:val="24"/>
              </w:rPr>
              <w:t>113.5.8</w:t>
            </w:r>
          </w:p>
          <w:p w14:paraId="7888AC02" w14:textId="7C15D4A1" w:rsidR="00015E6A" w:rsidRPr="001B6E4D" w:rsidRDefault="00015E6A" w:rsidP="003D1018">
            <w:pPr>
              <w:overflowPunct w:val="0"/>
              <w:spacing w:line="350" w:lineRule="exact"/>
              <w:jc w:val="both"/>
              <w:rPr>
                <w:rFonts w:ascii="標楷體" w:eastAsia="標楷體" w:hAnsi="標楷體"/>
                <w:sz w:val="24"/>
              </w:rPr>
            </w:pPr>
            <w:r w:rsidRPr="001B6E4D">
              <w:rPr>
                <w:rFonts w:ascii="標楷體" w:eastAsia="標楷體" w:hAnsi="標楷體"/>
                <w:sz w:val="24"/>
              </w:rPr>
              <w:t>(11-1-20)另定期繼續審查。</w:t>
            </w:r>
          </w:p>
        </w:tc>
      </w:tr>
      <w:tr w:rsidR="00015E6A" w:rsidRPr="001B6E4D" w14:paraId="5D4F646C" w14:textId="77777777" w:rsidTr="006117C4">
        <w:tc>
          <w:tcPr>
            <w:tcW w:w="260" w:type="pct"/>
          </w:tcPr>
          <w:p w14:paraId="45141597" w14:textId="46DDB6CF"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lastRenderedPageBreak/>
              <w:t>11</w:t>
            </w:r>
          </w:p>
        </w:tc>
        <w:tc>
          <w:tcPr>
            <w:tcW w:w="1619" w:type="pct"/>
          </w:tcPr>
          <w:p w14:paraId="2E8D2E81" w14:textId="1D27FC2D"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2.立法委員行為法第七條之</w:t>
            </w:r>
            <w:proofErr w:type="gramStart"/>
            <w:r w:rsidRPr="001B6E4D">
              <w:rPr>
                <w:rFonts w:hAnsi="標楷體" w:cs="Times New Roman"/>
                <w:sz w:val="24"/>
                <w:szCs w:val="24"/>
              </w:rPr>
              <w:t>一</w:t>
            </w:r>
            <w:proofErr w:type="gramEnd"/>
            <w:r w:rsidRPr="001B6E4D">
              <w:rPr>
                <w:rFonts w:hAnsi="標楷體" w:cs="Times New Roman"/>
                <w:sz w:val="24"/>
                <w:szCs w:val="24"/>
              </w:rPr>
              <w:t>及第三十</w:t>
            </w:r>
            <w:proofErr w:type="gramStart"/>
            <w:r w:rsidRPr="001B6E4D">
              <w:rPr>
                <w:rFonts w:hAnsi="標楷體" w:cs="Times New Roman"/>
                <w:sz w:val="24"/>
                <w:szCs w:val="24"/>
              </w:rPr>
              <w:t>條</w:t>
            </w:r>
            <w:proofErr w:type="gramEnd"/>
            <w:r w:rsidRPr="001B6E4D">
              <w:rPr>
                <w:rFonts w:hAnsi="標楷體" w:cs="Times New Roman"/>
                <w:sz w:val="24"/>
                <w:szCs w:val="24"/>
              </w:rPr>
              <w:t>條文修正草案</w:t>
            </w:r>
            <w:proofErr w:type="gramStart"/>
            <w:r w:rsidRPr="001B6E4D">
              <w:rPr>
                <w:rFonts w:hAnsi="標楷體" w:cs="Times New Roman"/>
                <w:sz w:val="24"/>
                <w:szCs w:val="24"/>
              </w:rPr>
              <w:t>（</w:t>
            </w:r>
            <w:proofErr w:type="gramEnd"/>
            <w:r w:rsidRPr="001B6E4D">
              <w:rPr>
                <w:rFonts w:hAnsi="標楷體" w:cs="Times New Roman"/>
                <w:sz w:val="24"/>
                <w:szCs w:val="24"/>
              </w:rPr>
              <w:t>修正重點：立法委員涉及性騷擾或性別歧視之言行時，交紀律委員會議處；立法委員違反本法</w:t>
            </w:r>
            <w:r w:rsidRPr="001B6E4D">
              <w:rPr>
                <w:rFonts w:hAnsi="標楷體" w:cs="Times New Roman"/>
                <w:sz w:val="24"/>
                <w:szCs w:val="24"/>
              </w:rPr>
              <w:lastRenderedPageBreak/>
              <w:t>有關規定，經紀律委員會主動調查後，發現有涉及刑事責任者，紀律委員會應提報院會移送該管檢察機關依法辦理。）</w:t>
            </w:r>
          </w:p>
        </w:tc>
        <w:tc>
          <w:tcPr>
            <w:tcW w:w="1150" w:type="pct"/>
          </w:tcPr>
          <w:p w14:paraId="4136FC0A"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lastRenderedPageBreak/>
              <w:t>民進黨黨團</w:t>
            </w:r>
          </w:p>
          <w:p w14:paraId="756FEED6"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113.04.09</w:t>
            </w:r>
          </w:p>
          <w:p w14:paraId="641A78F8" w14:textId="622A7476"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（11-1-8）</w:t>
            </w:r>
          </w:p>
        </w:tc>
        <w:tc>
          <w:tcPr>
            <w:tcW w:w="823" w:type="pct"/>
          </w:tcPr>
          <w:p w14:paraId="669FB2A2" w14:textId="77A4482D"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50F13D9B"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1.本會</w:t>
            </w:r>
          </w:p>
          <w:p w14:paraId="107037EC" w14:textId="77777777" w:rsidR="0019333D"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113.4.22</w:t>
            </w:r>
          </w:p>
          <w:p w14:paraId="51D54BAF" w14:textId="31226B04"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(11-1-15)(民進黨黨團提案說明完畢)。</w:t>
            </w:r>
          </w:p>
          <w:p w14:paraId="7EC55362"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2.本會</w:t>
            </w:r>
          </w:p>
          <w:p w14:paraId="66E9EF3F" w14:textId="77777777" w:rsidR="0019333D"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lastRenderedPageBreak/>
              <w:t>113.4.25</w:t>
            </w:r>
          </w:p>
          <w:p w14:paraId="731CDC7F" w14:textId="3C1E0671"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(11-1-17)報告及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3543E4C1"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3.本會</w:t>
            </w:r>
          </w:p>
          <w:p w14:paraId="16DB890B" w14:textId="77777777" w:rsidR="0019333D"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113.5.6</w:t>
            </w:r>
          </w:p>
          <w:p w14:paraId="08AB9A41" w14:textId="378C27B1"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(11-1-19)另定期繼續審查。</w:t>
            </w:r>
          </w:p>
          <w:p w14:paraId="3A4976CC"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4.本會</w:t>
            </w:r>
          </w:p>
          <w:p w14:paraId="5216CB33" w14:textId="77777777" w:rsidR="0019333D" w:rsidRPr="001B6E4D" w:rsidRDefault="00015E6A" w:rsidP="003D1018">
            <w:pPr>
              <w:overflowPunct w:val="0"/>
              <w:spacing w:line="340" w:lineRule="exact"/>
              <w:jc w:val="both"/>
              <w:rPr>
                <w:rFonts w:ascii="標楷體" w:eastAsia="標楷體" w:hAnsi="標楷體"/>
                <w:sz w:val="24"/>
              </w:rPr>
            </w:pPr>
            <w:r w:rsidRPr="001B6E4D">
              <w:rPr>
                <w:rFonts w:ascii="標楷體" w:eastAsia="標楷體" w:hAnsi="標楷體"/>
                <w:sz w:val="24"/>
              </w:rPr>
              <w:t>113.5.8</w:t>
            </w:r>
          </w:p>
          <w:p w14:paraId="21087A7A" w14:textId="7F25395E" w:rsidR="00015E6A" w:rsidRPr="001B6E4D" w:rsidRDefault="00015E6A" w:rsidP="003D1018">
            <w:pPr>
              <w:overflowPunct w:val="0"/>
              <w:spacing w:line="340" w:lineRule="exact"/>
              <w:jc w:val="both"/>
              <w:rPr>
                <w:rFonts w:ascii="標楷體" w:eastAsia="標楷體" w:hAnsi="標楷體"/>
                <w:sz w:val="24"/>
              </w:rPr>
            </w:pPr>
            <w:r w:rsidRPr="001B6E4D">
              <w:rPr>
                <w:rFonts w:ascii="標楷體" w:eastAsia="標楷體" w:hAnsi="標楷體"/>
                <w:sz w:val="24"/>
              </w:rPr>
              <w:t>(11-1-20)另定期繼續審查。</w:t>
            </w:r>
          </w:p>
        </w:tc>
      </w:tr>
      <w:tr w:rsidR="00015E6A" w:rsidRPr="001B6E4D" w14:paraId="3E17A8DC" w14:textId="77777777" w:rsidTr="006117C4">
        <w:tc>
          <w:tcPr>
            <w:tcW w:w="260" w:type="pct"/>
          </w:tcPr>
          <w:p w14:paraId="49CC75B9" w14:textId="72618860"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lastRenderedPageBreak/>
              <w:t>12</w:t>
            </w:r>
          </w:p>
        </w:tc>
        <w:tc>
          <w:tcPr>
            <w:tcW w:w="1619" w:type="pct"/>
          </w:tcPr>
          <w:p w14:paraId="43CD2907" w14:textId="49C531A3"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3.立法委員行為法增訂第七條之</w:t>
            </w:r>
            <w:proofErr w:type="gramStart"/>
            <w:r w:rsidRPr="001B6E4D">
              <w:rPr>
                <w:rFonts w:hAnsi="標楷體" w:cs="Times New Roman"/>
                <w:sz w:val="24"/>
                <w:szCs w:val="24"/>
              </w:rPr>
              <w:t>一</w:t>
            </w:r>
            <w:proofErr w:type="gramEnd"/>
            <w:r w:rsidRPr="001B6E4D">
              <w:rPr>
                <w:rFonts w:hAnsi="標楷體" w:cs="Times New Roman"/>
                <w:sz w:val="24"/>
                <w:szCs w:val="24"/>
              </w:rPr>
              <w:t>條文草案</w:t>
            </w:r>
            <w:proofErr w:type="gramStart"/>
            <w:r w:rsidRPr="001B6E4D">
              <w:rPr>
                <w:rFonts w:hAnsi="標楷體" w:cs="Times New Roman"/>
                <w:sz w:val="24"/>
                <w:szCs w:val="24"/>
              </w:rPr>
              <w:t>（</w:t>
            </w:r>
            <w:proofErr w:type="gramEnd"/>
            <w:r w:rsidRPr="001B6E4D">
              <w:rPr>
                <w:rFonts w:hAnsi="標楷體" w:cs="Times New Roman"/>
                <w:sz w:val="24"/>
                <w:szCs w:val="24"/>
              </w:rPr>
              <w:t>增訂重點：明定立法委員停權及復權之要件。）</w:t>
            </w:r>
          </w:p>
        </w:tc>
        <w:tc>
          <w:tcPr>
            <w:tcW w:w="1150" w:type="pct"/>
          </w:tcPr>
          <w:p w14:paraId="10B6C82A"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委員李坤城</w:t>
            </w:r>
          </w:p>
          <w:p w14:paraId="4F29BA4A"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等22人</w:t>
            </w:r>
          </w:p>
          <w:p w14:paraId="0EDC8A38"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113.10.18</w:t>
            </w:r>
          </w:p>
          <w:p w14:paraId="653E0FD0" w14:textId="3DAF37F2"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（11-2-5）</w:t>
            </w:r>
          </w:p>
        </w:tc>
        <w:tc>
          <w:tcPr>
            <w:tcW w:w="823" w:type="pct"/>
          </w:tcPr>
          <w:p w14:paraId="18F181EC" w14:textId="1AE6A57E"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0411E8AB" w14:textId="2A30F8EB"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015E6A" w:rsidRPr="001B6E4D" w14:paraId="459FD6CF" w14:textId="77777777" w:rsidTr="006117C4">
        <w:tc>
          <w:tcPr>
            <w:tcW w:w="260" w:type="pct"/>
          </w:tcPr>
          <w:p w14:paraId="2CB5D75D" w14:textId="6DFD89E4"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13</w:t>
            </w:r>
          </w:p>
        </w:tc>
        <w:tc>
          <w:tcPr>
            <w:tcW w:w="1619" w:type="pct"/>
          </w:tcPr>
          <w:p w14:paraId="5713E3A6" w14:textId="38F6E0A0"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4.立法委員行為法第七</w:t>
            </w:r>
            <w:proofErr w:type="gramStart"/>
            <w:r w:rsidRPr="001B6E4D">
              <w:rPr>
                <w:rFonts w:hAnsi="標楷體" w:cs="Times New Roman"/>
                <w:sz w:val="24"/>
                <w:szCs w:val="24"/>
              </w:rPr>
              <w:t>條</w:t>
            </w:r>
            <w:proofErr w:type="gramEnd"/>
            <w:r w:rsidRPr="001B6E4D">
              <w:rPr>
                <w:rFonts w:hAnsi="標楷體" w:cs="Times New Roman"/>
                <w:sz w:val="24"/>
                <w:szCs w:val="24"/>
              </w:rPr>
              <w:t>條文修正草案</w:t>
            </w:r>
            <w:proofErr w:type="gramStart"/>
            <w:r w:rsidRPr="001B6E4D">
              <w:rPr>
                <w:rFonts w:hAnsi="標楷體" w:cs="Times New Roman"/>
                <w:sz w:val="24"/>
                <w:szCs w:val="24"/>
              </w:rPr>
              <w:t>（</w:t>
            </w:r>
            <w:proofErr w:type="gramEnd"/>
            <w:r w:rsidRPr="001B6E4D">
              <w:rPr>
                <w:rFonts w:hAnsi="標楷體" w:cs="Times New Roman"/>
                <w:sz w:val="24"/>
                <w:szCs w:val="24"/>
              </w:rPr>
              <w:t>修正重點：增列不得對立院公物毀損之範圍，及明</w:t>
            </w:r>
            <w:r w:rsidRPr="001B6E4D">
              <w:rPr>
                <w:rFonts w:hAnsi="標楷體" w:cs="Times New Roman" w:hint="eastAsia"/>
                <w:sz w:val="24"/>
                <w:szCs w:val="24"/>
              </w:rPr>
              <w:t>定</w:t>
            </w:r>
            <w:r w:rsidRPr="001B6E4D">
              <w:rPr>
                <w:rFonts w:hAnsi="標楷體" w:cs="Times New Roman"/>
                <w:sz w:val="24"/>
                <w:szCs w:val="24"/>
              </w:rPr>
              <w:t>損壞者賠償責任；增訂對會議主席、議事人員和議事資料之保護。）</w:t>
            </w:r>
          </w:p>
        </w:tc>
        <w:tc>
          <w:tcPr>
            <w:tcW w:w="1150" w:type="pct"/>
          </w:tcPr>
          <w:p w14:paraId="0A5710B6"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委員羅智強</w:t>
            </w:r>
          </w:p>
          <w:p w14:paraId="4928C40C"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等16人</w:t>
            </w:r>
          </w:p>
          <w:p w14:paraId="3BF5E776"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114.02.25</w:t>
            </w:r>
          </w:p>
          <w:p w14:paraId="4663659A" w14:textId="63BD714F"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（11-3-2）</w:t>
            </w:r>
          </w:p>
        </w:tc>
        <w:tc>
          <w:tcPr>
            <w:tcW w:w="823" w:type="pct"/>
          </w:tcPr>
          <w:p w14:paraId="6E3D9737" w14:textId="183ECA7D"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4BDF03C1" w14:textId="3C958C88"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015E6A" w:rsidRPr="001B6E4D" w14:paraId="257298D6" w14:textId="77777777" w:rsidTr="006117C4">
        <w:tc>
          <w:tcPr>
            <w:tcW w:w="260" w:type="pct"/>
          </w:tcPr>
          <w:p w14:paraId="200098EB" w14:textId="5113B02E"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14</w:t>
            </w:r>
          </w:p>
        </w:tc>
        <w:tc>
          <w:tcPr>
            <w:tcW w:w="1619" w:type="pct"/>
          </w:tcPr>
          <w:p w14:paraId="51F7416B" w14:textId="6387CAA1"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5.立法委員行為法第七</w:t>
            </w:r>
            <w:proofErr w:type="gramStart"/>
            <w:r w:rsidRPr="001B6E4D">
              <w:rPr>
                <w:rFonts w:hAnsi="標楷體" w:cs="Times New Roman"/>
                <w:sz w:val="24"/>
                <w:szCs w:val="24"/>
              </w:rPr>
              <w:t>條</w:t>
            </w:r>
            <w:proofErr w:type="gramEnd"/>
            <w:r w:rsidRPr="001B6E4D">
              <w:rPr>
                <w:rFonts w:hAnsi="標楷體" w:cs="Times New Roman"/>
                <w:sz w:val="24"/>
                <w:szCs w:val="24"/>
              </w:rPr>
              <w:t>條文修正草案</w:t>
            </w:r>
            <w:proofErr w:type="gramStart"/>
            <w:r w:rsidRPr="001B6E4D">
              <w:rPr>
                <w:rFonts w:hAnsi="標楷體" w:cs="Times New Roman"/>
                <w:sz w:val="24"/>
                <w:szCs w:val="24"/>
              </w:rPr>
              <w:t>（</w:t>
            </w:r>
            <w:proofErr w:type="gramEnd"/>
            <w:r w:rsidRPr="001B6E4D">
              <w:rPr>
                <w:rFonts w:hAnsi="標楷體" w:cs="Times New Roman"/>
                <w:sz w:val="24"/>
                <w:szCs w:val="24"/>
              </w:rPr>
              <w:t>修正重點：委員於國會問政，向官員展示之資料不應以科技方法製作關於他人之不實影像、聲音或電磁紀錄，違者交紀律委員會議處。）</w:t>
            </w:r>
          </w:p>
        </w:tc>
        <w:tc>
          <w:tcPr>
            <w:tcW w:w="1150" w:type="pct"/>
          </w:tcPr>
          <w:p w14:paraId="15491BCE"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委員林宜瑾</w:t>
            </w:r>
          </w:p>
          <w:p w14:paraId="30BC674F"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等19人</w:t>
            </w:r>
          </w:p>
          <w:p w14:paraId="46D40163"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114.07.04</w:t>
            </w:r>
          </w:p>
          <w:p w14:paraId="2A144F69" w14:textId="4E461BF0"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（11-3-19）</w:t>
            </w:r>
          </w:p>
        </w:tc>
        <w:tc>
          <w:tcPr>
            <w:tcW w:w="823" w:type="pct"/>
          </w:tcPr>
          <w:p w14:paraId="683735BA" w14:textId="198A3E88"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2914FE75" w14:textId="42587549"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015E6A" w:rsidRPr="001B6E4D" w14:paraId="13AF2B55" w14:textId="77777777" w:rsidTr="006117C4">
        <w:tc>
          <w:tcPr>
            <w:tcW w:w="260" w:type="pct"/>
          </w:tcPr>
          <w:p w14:paraId="385E0469" w14:textId="2BC397C4" w:rsidR="00015E6A" w:rsidRPr="001B6E4D" w:rsidRDefault="00015E6A" w:rsidP="003D1018">
            <w:pPr>
              <w:overflowPunct w:val="0"/>
              <w:jc w:val="center"/>
              <w:rPr>
                <w:rFonts w:ascii="標楷體" w:eastAsia="標楷體" w:hAnsi="標楷體"/>
                <w:sz w:val="24"/>
              </w:rPr>
            </w:pPr>
            <w:r w:rsidRPr="001B6E4D">
              <w:rPr>
                <w:rFonts w:ascii="標楷體" w:eastAsia="標楷體" w:hAnsi="標楷體"/>
                <w:sz w:val="24"/>
              </w:rPr>
              <w:t>15</w:t>
            </w:r>
          </w:p>
        </w:tc>
        <w:tc>
          <w:tcPr>
            <w:tcW w:w="1619" w:type="pct"/>
          </w:tcPr>
          <w:p w14:paraId="09DC129B" w14:textId="2A38380C" w:rsidR="00015E6A" w:rsidRPr="001B6E4D" w:rsidRDefault="00015E6A" w:rsidP="003D1018">
            <w:pPr>
              <w:pStyle w:val="01"/>
              <w:overflowPunct w:val="0"/>
              <w:rPr>
                <w:rFonts w:hAnsi="標楷體" w:cs="Times New Roman"/>
                <w:sz w:val="24"/>
                <w:szCs w:val="24"/>
              </w:rPr>
            </w:pPr>
            <w:r w:rsidRPr="001B6E4D">
              <w:rPr>
                <w:rFonts w:hAnsi="標楷體" w:cs="Times New Roman"/>
                <w:sz w:val="24"/>
                <w:szCs w:val="24"/>
              </w:rPr>
              <w:t>立法院公費助理任用法草案</w:t>
            </w:r>
            <w:proofErr w:type="gramStart"/>
            <w:r w:rsidRPr="001B6E4D">
              <w:rPr>
                <w:rFonts w:hAnsi="標楷體" w:cs="Times New Roman"/>
                <w:sz w:val="24"/>
                <w:szCs w:val="24"/>
              </w:rPr>
              <w:t>（</w:t>
            </w:r>
            <w:proofErr w:type="gramEnd"/>
            <w:r w:rsidRPr="001B6E4D">
              <w:rPr>
                <w:rFonts w:hAnsi="標楷體" w:cs="Times New Roman"/>
                <w:sz w:val="24"/>
                <w:szCs w:val="24"/>
              </w:rPr>
              <w:t>共20條。制定重點：</w:t>
            </w:r>
            <w:proofErr w:type="gramStart"/>
            <w:r w:rsidRPr="001B6E4D">
              <w:rPr>
                <w:rFonts w:hAnsi="標楷體" w:cs="Times New Roman"/>
                <w:sz w:val="24"/>
                <w:szCs w:val="24"/>
              </w:rPr>
              <w:t>鑑</w:t>
            </w:r>
            <w:proofErr w:type="gramEnd"/>
            <w:r w:rsidRPr="001B6E4D">
              <w:rPr>
                <w:rFonts w:hAnsi="標楷體" w:cs="Times New Roman"/>
                <w:sz w:val="24"/>
                <w:szCs w:val="24"/>
              </w:rPr>
              <w:t>於立法院公費助理為輔佐立法委員行使職權之人員，不僅參與政府運作，更可能涉及國家安全。公費助理亦為國人服</w:t>
            </w:r>
            <w:r w:rsidRPr="001B6E4D">
              <w:rPr>
                <w:rFonts w:hAnsi="標楷體" w:cs="Times New Roman"/>
                <w:sz w:val="24"/>
                <w:szCs w:val="24"/>
              </w:rPr>
              <w:lastRenderedPageBreak/>
              <w:t>務，處理各項事宜，為加強倫理規範、遏阻不當行為，並鼓勵人員久任提升專業性，</w:t>
            </w:r>
            <w:proofErr w:type="gramStart"/>
            <w:r w:rsidRPr="001B6E4D">
              <w:rPr>
                <w:rFonts w:hAnsi="標楷體" w:cs="Times New Roman"/>
                <w:sz w:val="24"/>
                <w:szCs w:val="24"/>
              </w:rPr>
              <w:t>爰</w:t>
            </w:r>
            <w:proofErr w:type="gramEnd"/>
            <w:r w:rsidRPr="001B6E4D">
              <w:rPr>
                <w:rFonts w:hAnsi="標楷體" w:cs="Times New Roman"/>
                <w:sz w:val="24"/>
                <w:szCs w:val="24"/>
              </w:rPr>
              <w:t>擬具本法。）</w:t>
            </w:r>
          </w:p>
        </w:tc>
        <w:tc>
          <w:tcPr>
            <w:tcW w:w="1150" w:type="pct"/>
          </w:tcPr>
          <w:p w14:paraId="0B69FD7F"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lastRenderedPageBreak/>
              <w:t>委員許智傑</w:t>
            </w:r>
          </w:p>
          <w:p w14:paraId="7C2EA702"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等23人</w:t>
            </w:r>
          </w:p>
          <w:p w14:paraId="24C9E892"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113.10.18</w:t>
            </w:r>
          </w:p>
          <w:p w14:paraId="0CBD98F2" w14:textId="70EBF1CB"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（11-2-5）</w:t>
            </w:r>
          </w:p>
        </w:tc>
        <w:tc>
          <w:tcPr>
            <w:tcW w:w="823" w:type="pct"/>
          </w:tcPr>
          <w:p w14:paraId="60A1317C" w14:textId="116B9D9E"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1148" w:type="pct"/>
          </w:tcPr>
          <w:p w14:paraId="2018330B"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hint="eastAsia"/>
                <w:sz w:val="24"/>
              </w:rPr>
              <w:t>1.</w:t>
            </w:r>
            <w:r w:rsidRPr="001B6E4D">
              <w:rPr>
                <w:rFonts w:ascii="標楷體" w:eastAsia="標楷體" w:hAnsi="標楷體"/>
                <w:sz w:val="24"/>
              </w:rPr>
              <w:t>本會</w:t>
            </w:r>
          </w:p>
          <w:p w14:paraId="5B6AE50B"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114.</w:t>
            </w:r>
            <w:r w:rsidRPr="001B6E4D">
              <w:rPr>
                <w:rFonts w:ascii="標楷體" w:eastAsia="標楷體" w:hAnsi="標楷體" w:hint="eastAsia"/>
                <w:sz w:val="24"/>
              </w:rPr>
              <w:t>12</w:t>
            </w:r>
            <w:r w:rsidRPr="001B6E4D">
              <w:rPr>
                <w:rFonts w:ascii="標楷體" w:eastAsia="標楷體" w:hAnsi="標楷體"/>
                <w:sz w:val="24"/>
              </w:rPr>
              <w:t>.</w:t>
            </w:r>
            <w:r w:rsidRPr="001B6E4D">
              <w:rPr>
                <w:rFonts w:ascii="標楷體" w:eastAsia="標楷體" w:hAnsi="標楷體" w:hint="eastAsia"/>
                <w:sz w:val="24"/>
              </w:rPr>
              <w:t>11</w:t>
            </w:r>
          </w:p>
          <w:p w14:paraId="2EE1ABBE"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w:t>
            </w:r>
            <w:r w:rsidRPr="001B6E4D">
              <w:rPr>
                <w:rFonts w:ascii="標楷體" w:eastAsia="標楷體" w:hAnsi="標楷體" w:hint="eastAsia"/>
                <w:sz w:val="24"/>
              </w:rPr>
              <w:t>4</w:t>
            </w:r>
            <w:r w:rsidRPr="001B6E4D">
              <w:rPr>
                <w:rFonts w:ascii="標楷體" w:eastAsia="標楷體" w:hAnsi="標楷體"/>
                <w:sz w:val="24"/>
              </w:rPr>
              <w:t>-1</w:t>
            </w:r>
            <w:r w:rsidRPr="001B6E4D">
              <w:rPr>
                <w:rFonts w:ascii="標楷體" w:eastAsia="標楷體" w:hAnsi="標楷體" w:hint="eastAsia"/>
                <w:sz w:val="24"/>
              </w:rPr>
              <w:t>4</w:t>
            </w:r>
            <w:r w:rsidRPr="001B6E4D">
              <w:rPr>
                <w:rFonts w:ascii="標楷體" w:eastAsia="標楷體" w:hAnsi="標楷體"/>
                <w:sz w:val="24"/>
              </w:rPr>
              <w:t>)報告及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22865C36" w14:textId="77777777" w:rsidR="00015E6A" w:rsidRPr="001B6E4D" w:rsidRDefault="00015E6A" w:rsidP="003D1018">
            <w:pPr>
              <w:overflowPunct w:val="0"/>
              <w:jc w:val="both"/>
              <w:rPr>
                <w:rFonts w:ascii="標楷體" w:eastAsia="標楷體" w:hAnsi="標楷體"/>
                <w:sz w:val="24"/>
              </w:rPr>
            </w:pPr>
            <w:r w:rsidRPr="001B6E4D">
              <w:rPr>
                <w:rFonts w:ascii="標楷體" w:eastAsia="標楷體" w:hAnsi="標楷體" w:hint="eastAsia"/>
                <w:sz w:val="24"/>
              </w:rPr>
              <w:t>2.</w:t>
            </w:r>
            <w:r w:rsidRPr="001B6E4D">
              <w:rPr>
                <w:rFonts w:ascii="標楷體" w:eastAsia="標楷體" w:hAnsi="標楷體"/>
                <w:sz w:val="24"/>
              </w:rPr>
              <w:t>本會</w:t>
            </w:r>
          </w:p>
          <w:p w14:paraId="22F45D62" w14:textId="178C4256" w:rsidR="00015E6A" w:rsidRPr="001B6E4D" w:rsidRDefault="00015E6A" w:rsidP="003D1018">
            <w:pPr>
              <w:overflowPunct w:val="0"/>
              <w:jc w:val="both"/>
              <w:rPr>
                <w:rFonts w:ascii="標楷體" w:eastAsia="標楷體" w:hAnsi="標楷體"/>
                <w:sz w:val="24"/>
              </w:rPr>
            </w:pPr>
            <w:r w:rsidRPr="001B6E4D">
              <w:rPr>
                <w:rFonts w:ascii="標楷體" w:eastAsia="標楷體" w:hAnsi="標楷體"/>
                <w:sz w:val="24"/>
              </w:rPr>
              <w:t>114.</w:t>
            </w:r>
            <w:r w:rsidRPr="001B6E4D">
              <w:rPr>
                <w:rFonts w:ascii="標楷體" w:eastAsia="標楷體" w:hAnsi="標楷體" w:hint="eastAsia"/>
                <w:sz w:val="24"/>
              </w:rPr>
              <w:t>12</w:t>
            </w:r>
            <w:r w:rsidRPr="001B6E4D">
              <w:rPr>
                <w:rFonts w:ascii="標楷體" w:eastAsia="標楷體" w:hAnsi="標楷體"/>
                <w:sz w:val="24"/>
              </w:rPr>
              <w:t>.</w:t>
            </w:r>
            <w:r w:rsidRPr="001B6E4D">
              <w:rPr>
                <w:rFonts w:ascii="標楷體" w:eastAsia="標楷體" w:hAnsi="標楷體" w:hint="eastAsia"/>
                <w:sz w:val="24"/>
              </w:rPr>
              <w:t>17</w:t>
            </w:r>
            <w:r w:rsidRPr="001B6E4D">
              <w:rPr>
                <w:rFonts w:ascii="標楷體" w:eastAsia="標楷體" w:hAnsi="標楷體"/>
                <w:sz w:val="24"/>
              </w:rPr>
              <w:t>舉行</w:t>
            </w:r>
            <w:r w:rsidRPr="001B6E4D">
              <w:rPr>
                <w:rFonts w:ascii="標楷體" w:eastAsia="標楷體" w:hAnsi="標楷體"/>
                <w:sz w:val="24"/>
              </w:rPr>
              <w:lastRenderedPageBreak/>
              <w:t>「</w:t>
            </w:r>
            <w:r w:rsidRPr="001B6E4D">
              <w:rPr>
                <w:rFonts w:ascii="標楷體" w:eastAsia="標楷體" w:hAnsi="標楷體" w:hint="eastAsia"/>
                <w:sz w:val="24"/>
              </w:rPr>
              <w:t>健全中央及地方民意代表聘用助理制度</w:t>
            </w:r>
            <w:r w:rsidRPr="001B6E4D">
              <w:rPr>
                <w:rFonts w:ascii="標楷體" w:eastAsia="標楷體" w:hAnsi="標楷體"/>
                <w:sz w:val="24"/>
              </w:rPr>
              <w:t>」公聽會。</w:t>
            </w:r>
          </w:p>
        </w:tc>
      </w:tr>
    </w:tbl>
    <w:p w14:paraId="55168889" w14:textId="6C15C2DC" w:rsidR="009B28A5" w:rsidRPr="001B6E4D" w:rsidRDefault="009B28A5"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351" w:name="_Toc136594869"/>
      <w:bookmarkStart w:id="352" w:name="_Toc240446557"/>
      <w:r w:rsidRPr="001B6E4D">
        <w:rPr>
          <w:color w:val="000000" w:themeColor="text1"/>
          <w:shd w:val="clear" w:color="auto" w:fill="FFFFFF" w:themeFill="background1"/>
        </w:rPr>
        <w:lastRenderedPageBreak/>
        <w:t>（</w:t>
      </w:r>
      <w:r w:rsidRPr="001B6E4D">
        <w:rPr>
          <w:rFonts w:hint="eastAsia"/>
          <w:color w:val="000000" w:themeColor="text1"/>
          <w:shd w:val="clear" w:color="auto" w:fill="FFFFFF" w:themeFill="background1"/>
        </w:rPr>
        <w:t>三</w:t>
      </w:r>
      <w:r w:rsidRPr="001B6E4D">
        <w:rPr>
          <w:color w:val="000000" w:themeColor="text1"/>
          <w:shd w:val="clear" w:color="auto" w:fill="FFFFFF" w:themeFill="background1"/>
        </w:rPr>
        <w:t>）司法院</w:t>
      </w:r>
      <w:r w:rsidR="00142A94" w:rsidRPr="001B6E4D">
        <w:rPr>
          <w:rFonts w:hint="eastAsia"/>
          <w:color w:val="000000" w:themeColor="text1"/>
          <w:shd w:val="clear" w:color="auto" w:fill="FFFFFF" w:themeFill="background1"/>
        </w:rPr>
        <w:t>97</w:t>
      </w:r>
      <w:r w:rsidRPr="001B6E4D">
        <w:rPr>
          <w:color w:val="000000" w:themeColor="text1"/>
          <w:shd w:val="clear" w:color="auto" w:fill="FFFFFF" w:themeFill="background1"/>
        </w:rPr>
        <w:t>案</w:t>
      </w:r>
      <w:bookmarkEnd w:id="351"/>
      <w:bookmarkEnd w:id="352"/>
    </w:p>
    <w:tbl>
      <w:tblPr>
        <w:tblStyle w:val="ae"/>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655"/>
        <w:gridCol w:w="3096"/>
        <w:gridCol w:w="2192"/>
        <w:gridCol w:w="1532"/>
        <w:gridCol w:w="1452"/>
      </w:tblGrid>
      <w:tr w:rsidR="00C87651" w:rsidRPr="001B6E4D" w14:paraId="7BD78BE9" w14:textId="77777777" w:rsidTr="007F4348">
        <w:tc>
          <w:tcPr>
            <w:tcW w:w="367" w:type="pct"/>
            <w:vAlign w:val="center"/>
          </w:tcPr>
          <w:p w14:paraId="5C80DF1D"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353" w:name="_Toc361217362"/>
            <w:bookmarkStart w:id="354" w:name="_Toc362968422"/>
            <w:r w:rsidRPr="001B6E4D">
              <w:rPr>
                <w:rFonts w:ascii="標楷體" w:eastAsia="標楷體" w:hAnsi="標楷體"/>
                <w:b/>
                <w:color w:val="000000" w:themeColor="text1"/>
                <w:sz w:val="24"/>
                <w:shd w:val="clear" w:color="auto" w:fill="FFFFFF" w:themeFill="background1"/>
              </w:rPr>
              <w:t>序號</w:t>
            </w:r>
          </w:p>
        </w:tc>
        <w:tc>
          <w:tcPr>
            <w:tcW w:w="1734" w:type="pct"/>
            <w:vAlign w:val="center"/>
          </w:tcPr>
          <w:p w14:paraId="56FC323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228" w:type="pct"/>
            <w:vAlign w:val="center"/>
          </w:tcPr>
          <w:p w14:paraId="241FBAFB"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7054F5D7"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06681DF6"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58" w:type="pct"/>
            <w:vAlign w:val="center"/>
          </w:tcPr>
          <w:p w14:paraId="63522CB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13" w:type="pct"/>
            <w:vAlign w:val="center"/>
          </w:tcPr>
          <w:p w14:paraId="628AA48C" w14:textId="77777777" w:rsidR="009B28A5" w:rsidRPr="001B6E4D" w:rsidRDefault="009B28A5" w:rsidP="003D1018">
            <w:pPr>
              <w:kinsoku w:val="0"/>
              <w:overflowPunct w:val="0"/>
              <w:topLinePunct/>
              <w:spacing w:line="300" w:lineRule="exact"/>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142A94" w:rsidRPr="001B6E4D" w14:paraId="794DEE80" w14:textId="77777777" w:rsidTr="00B6187F">
        <w:tc>
          <w:tcPr>
            <w:tcW w:w="367" w:type="pct"/>
          </w:tcPr>
          <w:p w14:paraId="4AA7F543" w14:textId="7020C0B4" w:rsidR="00142A94" w:rsidRPr="001B6E4D" w:rsidRDefault="00142A94"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w:t>
            </w:r>
          </w:p>
        </w:tc>
        <w:tc>
          <w:tcPr>
            <w:tcW w:w="1734" w:type="pct"/>
          </w:tcPr>
          <w:p w14:paraId="2878D598" w14:textId="338D9A93" w:rsidR="00142A94" w:rsidRPr="001B6E4D" w:rsidRDefault="00142A94"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1.刑事訴訟法第九十二條、第二百二十八條及第二百六十三條之</w:t>
            </w:r>
            <w:proofErr w:type="gramStart"/>
            <w:r w:rsidRPr="001B6E4D">
              <w:rPr>
                <w:rFonts w:ascii="標楷體" w:eastAsia="標楷體" w:hAnsi="標楷體"/>
                <w:sz w:val="24"/>
              </w:rPr>
              <w:t>一</w:t>
            </w:r>
            <w:proofErr w:type="gramEnd"/>
            <w:r w:rsidRPr="001B6E4D">
              <w:rPr>
                <w:rFonts w:ascii="標楷體" w:eastAsia="標楷體" w:hAnsi="標楷體"/>
                <w:sz w:val="24"/>
              </w:rPr>
              <w:t>條文修正草案</w:t>
            </w:r>
            <w:proofErr w:type="gramStart"/>
            <w:r w:rsidRPr="001B6E4D">
              <w:rPr>
                <w:rFonts w:ascii="標楷體" w:eastAsia="標楷體" w:hAnsi="標楷體"/>
                <w:sz w:val="24"/>
              </w:rPr>
              <w:t>（</w:t>
            </w:r>
            <w:proofErr w:type="gramEnd"/>
            <w:r w:rsidRPr="001B6E4D">
              <w:rPr>
                <w:rFonts w:ascii="標楷體" w:eastAsia="標楷體" w:hAnsi="標楷體"/>
                <w:sz w:val="24"/>
              </w:rPr>
              <w:t>修正重點：賦予司法警察官偵查權，並將最重本刑為五年以下有期徒刑之罪，交由司法警察官偵查，若有羈押、暫行安置、搜索扣押等必要時，並由司法警察官直接向法院聲請，另有關拘票、限制出境出海等，因偵查中得由檢察官為之，司法警察辦理上開案件若有需要，自可依現行規定向檢察官聲請。）</w:t>
            </w:r>
          </w:p>
        </w:tc>
        <w:tc>
          <w:tcPr>
            <w:tcW w:w="1228" w:type="pct"/>
          </w:tcPr>
          <w:p w14:paraId="5A6FC38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委員蔡易餘</w:t>
            </w:r>
          </w:p>
          <w:p w14:paraId="0CAC1E5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4215518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113.03.15</w:t>
            </w:r>
          </w:p>
          <w:p w14:paraId="3EA70248" w14:textId="46E5013B" w:rsidR="00142A94" w:rsidRPr="001B6E4D" w:rsidRDefault="00142A94" w:rsidP="003D1018">
            <w:pPr>
              <w:overflowPunct w:val="0"/>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（11-1-5）</w:t>
            </w:r>
          </w:p>
        </w:tc>
        <w:tc>
          <w:tcPr>
            <w:tcW w:w="858" w:type="pct"/>
          </w:tcPr>
          <w:p w14:paraId="280F6ABC" w14:textId="5A6D0AD3" w:rsidR="00142A94" w:rsidRPr="001B6E4D" w:rsidRDefault="00142A94"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司法及法制</w:t>
            </w:r>
          </w:p>
        </w:tc>
        <w:tc>
          <w:tcPr>
            <w:tcW w:w="813" w:type="pct"/>
          </w:tcPr>
          <w:p w14:paraId="727E7B52" w14:textId="24452B0D" w:rsidR="00142A94" w:rsidRPr="001B6E4D" w:rsidRDefault="00142A94"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尚未審查</w:t>
            </w:r>
          </w:p>
        </w:tc>
      </w:tr>
      <w:tr w:rsidR="00142A94" w:rsidRPr="001B6E4D" w14:paraId="00D13F47" w14:textId="77777777" w:rsidTr="00787DE8">
        <w:tc>
          <w:tcPr>
            <w:tcW w:w="367" w:type="pct"/>
          </w:tcPr>
          <w:p w14:paraId="790E00A6" w14:textId="4170C9A4"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w:t>
            </w:r>
          </w:p>
        </w:tc>
        <w:tc>
          <w:tcPr>
            <w:tcW w:w="1734" w:type="pct"/>
          </w:tcPr>
          <w:p w14:paraId="293BE980" w14:textId="22018E1D" w:rsidR="00142A94" w:rsidRPr="001B6E4D" w:rsidRDefault="00142A94" w:rsidP="003D1018">
            <w:pPr>
              <w:pStyle w:val="01"/>
              <w:overflowPunct w:val="0"/>
              <w:rPr>
                <w:rFonts w:hAnsi="標楷體"/>
                <w:sz w:val="24"/>
                <w:szCs w:val="24"/>
              </w:rPr>
            </w:pPr>
            <w:r w:rsidRPr="001B6E4D">
              <w:rPr>
                <w:rFonts w:hAnsi="標楷體"/>
                <w:sz w:val="24"/>
                <w:szCs w:val="24"/>
              </w:rPr>
              <w:t>2.刑事訴訟法第三十一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修正重點：被告經羈押者，審判長應指定公設辯護人或律師為被告辯護。）</w:t>
            </w:r>
          </w:p>
        </w:tc>
        <w:tc>
          <w:tcPr>
            <w:tcW w:w="1228" w:type="pct"/>
          </w:tcPr>
          <w:p w14:paraId="4878E0A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委員李柏毅</w:t>
            </w:r>
          </w:p>
          <w:p w14:paraId="605083B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0BDB1EF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114.05.16</w:t>
            </w:r>
          </w:p>
          <w:p w14:paraId="0181EB0F" w14:textId="70409943"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（11-3-12）</w:t>
            </w:r>
          </w:p>
        </w:tc>
        <w:tc>
          <w:tcPr>
            <w:tcW w:w="858" w:type="pct"/>
          </w:tcPr>
          <w:p w14:paraId="70234D47" w14:textId="57A994D4"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15588ACB" w14:textId="0BC1C2ED"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6CA2E1AA" w14:textId="77777777" w:rsidTr="00787DE8">
        <w:tc>
          <w:tcPr>
            <w:tcW w:w="367" w:type="pct"/>
          </w:tcPr>
          <w:p w14:paraId="1E6B04D1" w14:textId="278878F5"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w:t>
            </w:r>
          </w:p>
        </w:tc>
        <w:tc>
          <w:tcPr>
            <w:tcW w:w="1734" w:type="pct"/>
          </w:tcPr>
          <w:p w14:paraId="0AA48625" w14:textId="2869CDDE"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3.刑事訴訟法部分條文修正草案</w:t>
            </w:r>
            <w:proofErr w:type="gramStart"/>
            <w:r w:rsidRPr="001B6E4D">
              <w:rPr>
                <w:rFonts w:hAnsi="標楷體"/>
                <w:sz w:val="24"/>
                <w:szCs w:val="24"/>
              </w:rPr>
              <w:t>（</w:t>
            </w:r>
            <w:proofErr w:type="gramEnd"/>
            <w:r w:rsidRPr="001B6E4D">
              <w:rPr>
                <w:rFonts w:hAnsi="標楷體"/>
                <w:sz w:val="24"/>
                <w:szCs w:val="24"/>
              </w:rPr>
              <w:t>修正§31、101-1、219-8、284-1、288、366、388、389、460、461、465；增訂§165-2、455-48。修正重點：落實被告之訴訟上防禦權及正當法律程序原則，並強化訴訟之被害人程序地位，兼顧言詞辯論集中化及實務證據調查方式現況之所需。）</w:t>
            </w:r>
          </w:p>
        </w:tc>
        <w:tc>
          <w:tcPr>
            <w:tcW w:w="1228" w:type="pct"/>
          </w:tcPr>
          <w:p w14:paraId="1DF325C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委員賴惠員</w:t>
            </w:r>
          </w:p>
          <w:p w14:paraId="13FC390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等17人</w:t>
            </w:r>
          </w:p>
          <w:p w14:paraId="4E257CB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114.10.17</w:t>
            </w:r>
          </w:p>
          <w:p w14:paraId="64BAE01A" w14:textId="0F2D6B65"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（11-4-5）</w:t>
            </w:r>
          </w:p>
        </w:tc>
        <w:tc>
          <w:tcPr>
            <w:tcW w:w="858" w:type="pct"/>
          </w:tcPr>
          <w:p w14:paraId="70343B28" w14:textId="5D70E63B"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7F23AA6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164CE54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115.8.19</w:t>
            </w:r>
          </w:p>
          <w:p w14:paraId="1ECE5516" w14:textId="1F045638"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(11-5-29)報告及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24346197" w14:textId="77777777" w:rsidTr="00787DE8">
        <w:tc>
          <w:tcPr>
            <w:tcW w:w="367" w:type="pct"/>
          </w:tcPr>
          <w:p w14:paraId="76753CBD" w14:textId="4DBD2D16"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lastRenderedPageBreak/>
              <w:t>4</w:t>
            </w:r>
          </w:p>
        </w:tc>
        <w:tc>
          <w:tcPr>
            <w:tcW w:w="1734" w:type="pct"/>
          </w:tcPr>
          <w:p w14:paraId="0AA8167A" w14:textId="1D49578B"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4.刑事訴訟法部分條文修正草案</w:t>
            </w:r>
            <w:proofErr w:type="gramStart"/>
            <w:r w:rsidRPr="001B6E4D">
              <w:rPr>
                <w:rFonts w:hAnsi="標楷體"/>
                <w:sz w:val="24"/>
                <w:szCs w:val="24"/>
              </w:rPr>
              <w:t>（</w:t>
            </w:r>
            <w:proofErr w:type="gramEnd"/>
            <w:r w:rsidRPr="001B6E4D">
              <w:rPr>
                <w:rFonts w:hAnsi="標楷體"/>
                <w:sz w:val="24"/>
                <w:szCs w:val="24"/>
              </w:rPr>
              <w:t>修正§18、19、271-1、455-42、455-44、455-46~47。修正重點：檢討修正法官迴避聲請、代理人協助、審判期日錄音錄影之利用、證據調查程序之有限參與，以及量刑與附隨處置事項之意見表達等規範。）</w:t>
            </w:r>
          </w:p>
        </w:tc>
        <w:tc>
          <w:tcPr>
            <w:tcW w:w="1228" w:type="pct"/>
          </w:tcPr>
          <w:p w14:paraId="7FB2DFA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委員洪孟楷</w:t>
            </w:r>
          </w:p>
          <w:p w14:paraId="0C3BD75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等26人</w:t>
            </w:r>
          </w:p>
          <w:p w14:paraId="6EC05F2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115.04.10</w:t>
            </w:r>
          </w:p>
          <w:p w14:paraId="12F6C24E" w14:textId="650F0008"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（11-5-6）</w:t>
            </w:r>
          </w:p>
        </w:tc>
        <w:tc>
          <w:tcPr>
            <w:tcW w:w="858" w:type="pct"/>
          </w:tcPr>
          <w:p w14:paraId="1F88D427" w14:textId="72EF34BE"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431F998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2E5198E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115.8.19</w:t>
            </w:r>
          </w:p>
          <w:p w14:paraId="5F3F8DEB" w14:textId="0B629222"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(11-5-29)報告及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237D4A38" w14:textId="77777777" w:rsidTr="00787DE8">
        <w:tc>
          <w:tcPr>
            <w:tcW w:w="367" w:type="pct"/>
          </w:tcPr>
          <w:p w14:paraId="0890A2F1" w14:textId="3B18FEFD"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5</w:t>
            </w:r>
          </w:p>
        </w:tc>
        <w:tc>
          <w:tcPr>
            <w:tcW w:w="1734" w:type="pct"/>
          </w:tcPr>
          <w:p w14:paraId="2FC7BD29" w14:textId="5EA6DF78"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5.刑事訴訟法增訂部分條文草案</w:t>
            </w:r>
            <w:proofErr w:type="gramStart"/>
            <w:r w:rsidRPr="001B6E4D">
              <w:rPr>
                <w:rFonts w:hAnsi="標楷體"/>
                <w:sz w:val="24"/>
                <w:szCs w:val="24"/>
              </w:rPr>
              <w:t>（</w:t>
            </w:r>
            <w:proofErr w:type="gramEnd"/>
            <w:r w:rsidRPr="001B6E4D">
              <w:rPr>
                <w:rFonts w:hAnsi="標楷體"/>
                <w:sz w:val="24"/>
                <w:szCs w:val="24"/>
              </w:rPr>
              <w:t>增訂§51-1、455-48~50。增訂重點：將被害人觀點、立場引進刑事訴訟程序。）</w:t>
            </w:r>
          </w:p>
        </w:tc>
        <w:tc>
          <w:tcPr>
            <w:tcW w:w="1228" w:type="pct"/>
          </w:tcPr>
          <w:p w14:paraId="6E29856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委員王世堅</w:t>
            </w:r>
          </w:p>
          <w:p w14:paraId="49EF877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052C281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115.05.15</w:t>
            </w:r>
          </w:p>
          <w:p w14:paraId="489257B6" w14:textId="0A0B9224"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（11-5-10）</w:t>
            </w:r>
          </w:p>
        </w:tc>
        <w:tc>
          <w:tcPr>
            <w:tcW w:w="858" w:type="pct"/>
          </w:tcPr>
          <w:p w14:paraId="313BADD8" w14:textId="7D8EA2F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2080520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75D686F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115.8.19</w:t>
            </w:r>
          </w:p>
          <w:p w14:paraId="492B76E7" w14:textId="42059291"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(11-5-29)報告及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26C92691" w14:textId="77777777" w:rsidTr="00787DE8">
        <w:tc>
          <w:tcPr>
            <w:tcW w:w="367" w:type="pct"/>
          </w:tcPr>
          <w:p w14:paraId="18951911" w14:textId="7BD1A89A"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6</w:t>
            </w:r>
          </w:p>
        </w:tc>
        <w:tc>
          <w:tcPr>
            <w:tcW w:w="1734" w:type="pct"/>
          </w:tcPr>
          <w:p w14:paraId="2AEF6909" w14:textId="2A073859"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6.刑事訴訟法第四百五十五條之四十六條文修正草案</w:t>
            </w:r>
            <w:proofErr w:type="gramStart"/>
            <w:r w:rsidRPr="001B6E4D">
              <w:rPr>
                <w:rFonts w:hAnsi="標楷體"/>
                <w:sz w:val="24"/>
                <w:szCs w:val="24"/>
              </w:rPr>
              <w:t>（</w:t>
            </w:r>
            <w:proofErr w:type="gramEnd"/>
            <w:r w:rsidRPr="001B6E4D">
              <w:rPr>
                <w:rFonts w:hAnsi="標楷體"/>
                <w:sz w:val="24"/>
                <w:szCs w:val="24"/>
              </w:rPr>
              <w:t>修正重點：增訂法院應依職權或訴訟參與人及其代理人之聲請，予其參與辯論證據證明力，以及於調查證據時詢問檢察官、證人、鑑定人或被告之適當機會。）</w:t>
            </w:r>
          </w:p>
        </w:tc>
        <w:tc>
          <w:tcPr>
            <w:tcW w:w="1228" w:type="pct"/>
          </w:tcPr>
          <w:p w14:paraId="6FB4947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7DAFAEE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等21人</w:t>
            </w:r>
          </w:p>
          <w:p w14:paraId="57D5DDD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115.06.12</w:t>
            </w:r>
          </w:p>
          <w:p w14:paraId="41B69204" w14:textId="42AD2A32"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（11-5-14）</w:t>
            </w:r>
          </w:p>
        </w:tc>
        <w:tc>
          <w:tcPr>
            <w:tcW w:w="858" w:type="pct"/>
          </w:tcPr>
          <w:p w14:paraId="140C7068" w14:textId="7FA6BC74"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0CB8EB1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2D1E860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115.8.19</w:t>
            </w:r>
          </w:p>
          <w:p w14:paraId="3C410E2A" w14:textId="070788E4"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(11-5-29)報告及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26092D9F" w14:textId="77777777" w:rsidTr="00787DE8">
        <w:tc>
          <w:tcPr>
            <w:tcW w:w="367" w:type="pct"/>
          </w:tcPr>
          <w:p w14:paraId="0DD96331" w14:textId="7E4ABA26"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7</w:t>
            </w:r>
          </w:p>
        </w:tc>
        <w:tc>
          <w:tcPr>
            <w:tcW w:w="1734" w:type="pct"/>
          </w:tcPr>
          <w:p w14:paraId="67BF1275" w14:textId="504D7D8A"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7.刑事訴訟法部分條文修正草案</w:t>
            </w:r>
            <w:proofErr w:type="gramStart"/>
            <w:r w:rsidRPr="001B6E4D">
              <w:rPr>
                <w:rFonts w:hAnsi="標楷體"/>
                <w:sz w:val="24"/>
                <w:szCs w:val="24"/>
              </w:rPr>
              <w:t>（</w:t>
            </w:r>
            <w:proofErr w:type="gramEnd"/>
            <w:r w:rsidRPr="001B6E4D">
              <w:rPr>
                <w:rFonts w:hAnsi="標楷體"/>
                <w:sz w:val="24"/>
                <w:szCs w:val="24"/>
              </w:rPr>
              <w:t>修正§44、88-1、92、219-8、273-1~2、284-1、288、310-1~2、314、361、366、455-2；增訂§46-1、165-2、455-48。修正重點：適度利用科技設備進行審判程序，並擴大簡式審判程序、協商制度及相關有罪判決書簡化記載方式之適用範圍，強化參與訴訟之被害人程序地位；為確保被告違反法院或檢察官命其遵守事項之替代羈押處分之執</w:t>
            </w:r>
            <w:r w:rsidRPr="001B6E4D">
              <w:rPr>
                <w:rFonts w:hAnsi="標楷體"/>
                <w:sz w:val="24"/>
                <w:szCs w:val="24"/>
              </w:rPr>
              <w:lastRenderedPageBreak/>
              <w:t>行效果，增訂</w:t>
            </w:r>
            <w:proofErr w:type="gramStart"/>
            <w:r w:rsidRPr="001B6E4D">
              <w:rPr>
                <w:rFonts w:hAnsi="標楷體"/>
                <w:sz w:val="24"/>
                <w:szCs w:val="24"/>
              </w:rPr>
              <w:t>準</w:t>
            </w:r>
            <w:proofErr w:type="gramEnd"/>
            <w:r w:rsidRPr="001B6E4D">
              <w:rPr>
                <w:rFonts w:hAnsi="標楷體"/>
                <w:sz w:val="24"/>
                <w:szCs w:val="24"/>
              </w:rPr>
              <w:t>用相關逕行拘提之執行規定；就部分事證明確之現行犯輕微案件，增訂於具備一定條件下，得經檢察官許可不予解送之機制。）</w:t>
            </w:r>
          </w:p>
        </w:tc>
        <w:tc>
          <w:tcPr>
            <w:tcW w:w="1228" w:type="pct"/>
          </w:tcPr>
          <w:p w14:paraId="7850522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委員吳宗憲</w:t>
            </w:r>
          </w:p>
          <w:p w14:paraId="3C6DC05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5979DA8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115.07.14</w:t>
            </w:r>
          </w:p>
          <w:p w14:paraId="5945735D" w14:textId="32C2052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（11-5-17）</w:t>
            </w:r>
          </w:p>
        </w:tc>
        <w:tc>
          <w:tcPr>
            <w:tcW w:w="858" w:type="pct"/>
          </w:tcPr>
          <w:p w14:paraId="5867A886" w14:textId="61E446B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0E1C211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682E1FA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115.8.19</w:t>
            </w:r>
          </w:p>
          <w:p w14:paraId="1BB9128B" w14:textId="4C825C7B"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(11-5-29)報告及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0F3859D4" w14:textId="77777777" w:rsidTr="00787DE8">
        <w:tc>
          <w:tcPr>
            <w:tcW w:w="367" w:type="pct"/>
          </w:tcPr>
          <w:p w14:paraId="4927FF68" w14:textId="1154293F"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8</w:t>
            </w:r>
          </w:p>
        </w:tc>
        <w:tc>
          <w:tcPr>
            <w:tcW w:w="1734" w:type="pct"/>
          </w:tcPr>
          <w:p w14:paraId="1E7E2009" w14:textId="12A5A621"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8.刑事訴訟法部分條文修正草案</w:t>
            </w:r>
            <w:proofErr w:type="gramStart"/>
            <w:r w:rsidRPr="001B6E4D">
              <w:rPr>
                <w:rFonts w:hAnsi="標楷體"/>
                <w:sz w:val="24"/>
                <w:szCs w:val="24"/>
              </w:rPr>
              <w:t>（</w:t>
            </w:r>
            <w:proofErr w:type="gramEnd"/>
            <w:r w:rsidRPr="001B6E4D">
              <w:rPr>
                <w:rFonts w:hAnsi="標楷體"/>
                <w:sz w:val="24"/>
                <w:szCs w:val="24"/>
              </w:rPr>
              <w:t>修正§44、88-1、219-8、273-1~2、284-1、288、310-1~2、314、361、366、455-2；增訂§46-1、165-2。修正重點：擴大簡式審判程序與協商制度之適用案件範圍；擴大有罪判決書之簡化記載範圍；得</w:t>
            </w:r>
            <w:proofErr w:type="gramStart"/>
            <w:r w:rsidRPr="001B6E4D">
              <w:rPr>
                <w:rFonts w:hAnsi="標楷體"/>
                <w:sz w:val="24"/>
                <w:szCs w:val="24"/>
              </w:rPr>
              <w:t>採</w:t>
            </w:r>
            <w:proofErr w:type="gramEnd"/>
            <w:r w:rsidRPr="001B6E4D">
              <w:rPr>
                <w:rFonts w:hAnsi="標楷體"/>
                <w:sz w:val="24"/>
                <w:szCs w:val="24"/>
              </w:rPr>
              <w:t>視訊方式進行簡式審判程序之一部或全部；增進審判筆錄製作之彈性與效率；增訂檢察官、司法警察官或司法警察於被告違背應遵守事項且情況急迫時，得</w:t>
            </w:r>
            <w:proofErr w:type="gramStart"/>
            <w:r w:rsidRPr="001B6E4D">
              <w:rPr>
                <w:rFonts w:hAnsi="標楷體"/>
                <w:sz w:val="24"/>
                <w:szCs w:val="24"/>
              </w:rPr>
              <w:t>準</w:t>
            </w:r>
            <w:proofErr w:type="gramEnd"/>
            <w:r w:rsidRPr="001B6E4D">
              <w:rPr>
                <w:rFonts w:hAnsi="標楷體"/>
                <w:sz w:val="24"/>
                <w:szCs w:val="24"/>
              </w:rPr>
              <w:t>用逕行拘提規定；精簡證據調查程序並兼顧當事人權益；調整獨任審判範圍。）</w:t>
            </w:r>
          </w:p>
        </w:tc>
        <w:tc>
          <w:tcPr>
            <w:tcW w:w="1228" w:type="pct"/>
          </w:tcPr>
          <w:p w14:paraId="5966651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4841B10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1B31027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115.08.07</w:t>
            </w:r>
          </w:p>
          <w:p w14:paraId="0898E501" w14:textId="4237FCB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（11-5-21）</w:t>
            </w:r>
          </w:p>
        </w:tc>
        <w:tc>
          <w:tcPr>
            <w:tcW w:w="858" w:type="pct"/>
          </w:tcPr>
          <w:p w14:paraId="6C9612A1" w14:textId="5665381B"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4D6AB4B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11A2F1D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115.8.19</w:t>
            </w:r>
          </w:p>
          <w:p w14:paraId="79857076" w14:textId="3324DBDD"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(11-5-29)報告及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260BE796" w14:textId="77777777" w:rsidTr="00787DE8">
        <w:tc>
          <w:tcPr>
            <w:tcW w:w="367" w:type="pct"/>
          </w:tcPr>
          <w:p w14:paraId="7FDAD056" w14:textId="0D1A4BFF"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9</w:t>
            </w:r>
          </w:p>
        </w:tc>
        <w:tc>
          <w:tcPr>
            <w:tcW w:w="1734" w:type="pct"/>
          </w:tcPr>
          <w:p w14:paraId="08776789" w14:textId="31396743"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9.刑事訴訟法部分條文修正草案</w:t>
            </w:r>
            <w:proofErr w:type="gramStart"/>
            <w:r w:rsidRPr="001B6E4D">
              <w:rPr>
                <w:rFonts w:hAnsi="標楷體"/>
                <w:sz w:val="24"/>
                <w:szCs w:val="24"/>
              </w:rPr>
              <w:t>（</w:t>
            </w:r>
            <w:proofErr w:type="gramEnd"/>
            <w:r w:rsidRPr="001B6E4D">
              <w:rPr>
                <w:rFonts w:hAnsi="標楷體"/>
                <w:sz w:val="24"/>
                <w:szCs w:val="24"/>
              </w:rPr>
              <w:t>修正§31、219-8、284-1、288、366、460、461、465；增訂§165-2。修正重點：強化被告及犯罪嫌疑人之防禦權保障，兼顧訴訟經濟與審判效能，並使法制體系與實務運作銜接。）</w:t>
            </w:r>
          </w:p>
        </w:tc>
        <w:tc>
          <w:tcPr>
            <w:tcW w:w="1228" w:type="pct"/>
          </w:tcPr>
          <w:p w14:paraId="382B6B7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委員林倩綺</w:t>
            </w:r>
          </w:p>
          <w:p w14:paraId="74C60FB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等23人</w:t>
            </w:r>
          </w:p>
          <w:p w14:paraId="6D56CB4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115.08.21</w:t>
            </w:r>
          </w:p>
          <w:p w14:paraId="52A6A919" w14:textId="35C077B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（11-5-23）</w:t>
            </w:r>
          </w:p>
        </w:tc>
        <w:tc>
          <w:tcPr>
            <w:tcW w:w="858" w:type="pct"/>
          </w:tcPr>
          <w:p w14:paraId="5EB1FF6B" w14:textId="105A9948"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5748FC82" w14:textId="4FE5677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44071F8A" w14:textId="77777777" w:rsidTr="00787DE8">
        <w:tc>
          <w:tcPr>
            <w:tcW w:w="367" w:type="pct"/>
          </w:tcPr>
          <w:p w14:paraId="31C02F99" w14:textId="4C81410F"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10</w:t>
            </w:r>
          </w:p>
        </w:tc>
        <w:tc>
          <w:tcPr>
            <w:tcW w:w="1734" w:type="pct"/>
          </w:tcPr>
          <w:p w14:paraId="34EECCB6" w14:textId="2B753E8A"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刑事訴訟法部分條文修正草案</w:t>
            </w:r>
            <w:proofErr w:type="gramStart"/>
            <w:r w:rsidRPr="001B6E4D">
              <w:rPr>
                <w:rFonts w:hAnsi="標楷體"/>
                <w:sz w:val="24"/>
                <w:szCs w:val="24"/>
              </w:rPr>
              <w:t>（</w:t>
            </w:r>
            <w:proofErr w:type="gramEnd"/>
            <w:r w:rsidRPr="001B6E4D">
              <w:rPr>
                <w:rFonts w:hAnsi="標楷體"/>
                <w:sz w:val="24"/>
                <w:szCs w:val="24"/>
              </w:rPr>
              <w:t>增訂§158-5、191-1；修正§159-1~3、192、196-1。修正重點：使實施指認之辦案人員依法辦理指認程序，並增訂指認程序之法規</w:t>
            </w:r>
            <w:r w:rsidRPr="001B6E4D">
              <w:rPr>
                <w:rFonts w:hAnsi="標楷體"/>
                <w:sz w:val="24"/>
                <w:szCs w:val="24"/>
              </w:rPr>
              <w:lastRenderedPageBreak/>
              <w:t>依據。）</w:t>
            </w:r>
          </w:p>
        </w:tc>
        <w:tc>
          <w:tcPr>
            <w:tcW w:w="1228" w:type="pct"/>
          </w:tcPr>
          <w:p w14:paraId="5C61079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委員陳亭</w:t>
            </w:r>
            <w:proofErr w:type="gramStart"/>
            <w:r w:rsidRPr="001B6E4D">
              <w:rPr>
                <w:rFonts w:ascii="標楷體" w:eastAsia="標楷體" w:hAnsi="標楷體"/>
                <w:sz w:val="24"/>
              </w:rPr>
              <w:t>妃</w:t>
            </w:r>
            <w:proofErr w:type="gramEnd"/>
          </w:p>
          <w:p w14:paraId="116E0FF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466843B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113.05.10</w:t>
            </w:r>
          </w:p>
          <w:p w14:paraId="57BC206B" w14:textId="28FA7F0D"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（11-1-13）</w:t>
            </w:r>
          </w:p>
        </w:tc>
        <w:tc>
          <w:tcPr>
            <w:tcW w:w="858" w:type="pct"/>
          </w:tcPr>
          <w:p w14:paraId="673486FB" w14:textId="7BCE806D"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652B2A6A" w14:textId="77A6DB91"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60A31E22" w14:textId="77777777" w:rsidTr="00787DE8">
        <w:tc>
          <w:tcPr>
            <w:tcW w:w="367" w:type="pct"/>
          </w:tcPr>
          <w:p w14:paraId="6051D4B6" w14:textId="22F9C701"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11</w:t>
            </w:r>
          </w:p>
        </w:tc>
        <w:tc>
          <w:tcPr>
            <w:tcW w:w="1734" w:type="pct"/>
          </w:tcPr>
          <w:p w14:paraId="3E5A3351" w14:textId="31D91274"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1.刑事訴訟法部分條文修正草案</w:t>
            </w:r>
            <w:proofErr w:type="gramStart"/>
            <w:r w:rsidRPr="001B6E4D">
              <w:rPr>
                <w:rFonts w:hAnsi="標楷體"/>
                <w:sz w:val="24"/>
                <w:szCs w:val="24"/>
              </w:rPr>
              <w:t>（</w:t>
            </w:r>
            <w:proofErr w:type="gramEnd"/>
            <w:r w:rsidRPr="001B6E4D">
              <w:rPr>
                <w:rFonts w:hAnsi="標楷體"/>
                <w:sz w:val="24"/>
                <w:szCs w:val="24"/>
              </w:rPr>
              <w:t>修正§404、416；刪除§153-10、245-1；增訂§228-1。修正重點：明定非經合法逮捕或拘提，檢察官、司法警察官或司法警察不得拘束或限制被告或犯罪嫌疑人之人身自由與通訊自由。）</w:t>
            </w:r>
          </w:p>
        </w:tc>
        <w:tc>
          <w:tcPr>
            <w:tcW w:w="1228" w:type="pct"/>
          </w:tcPr>
          <w:p w14:paraId="45ABDFB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6DB2B7E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113.09.20</w:t>
            </w:r>
          </w:p>
          <w:p w14:paraId="0C4FB35D" w14:textId="7C466193"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（11-2-1）</w:t>
            </w:r>
          </w:p>
        </w:tc>
        <w:tc>
          <w:tcPr>
            <w:tcW w:w="858" w:type="pct"/>
          </w:tcPr>
          <w:p w14:paraId="68A0BEA4" w14:textId="0E8AE54E"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6376DA1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619AB42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113.10.24</w:t>
            </w:r>
          </w:p>
          <w:p w14:paraId="06FEEA4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(11-2-8)報告及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7C6E8E0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384B22B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114.3.19舉行「檢討特殊強制處分實務運用、司法審查及救濟」公聽會。</w:t>
            </w:r>
          </w:p>
          <w:p w14:paraId="357EC83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3.本會</w:t>
            </w:r>
          </w:p>
          <w:p w14:paraId="5BD4306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115.5.11</w:t>
            </w:r>
          </w:p>
          <w:p w14:paraId="76530A9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(11-5-13)另定期繼續審查。</w:t>
            </w:r>
          </w:p>
          <w:p w14:paraId="6AC9E46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4.本會</w:t>
            </w:r>
          </w:p>
          <w:p w14:paraId="5E4CEB7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115.6.11</w:t>
            </w:r>
          </w:p>
          <w:p w14:paraId="1B7B34BE" w14:textId="47F1DAD2"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(11-5-18)另定期繼續審查。</w:t>
            </w:r>
          </w:p>
        </w:tc>
      </w:tr>
      <w:tr w:rsidR="00142A94" w:rsidRPr="001B6E4D" w14:paraId="3E6181DB" w14:textId="77777777" w:rsidTr="00787DE8">
        <w:tc>
          <w:tcPr>
            <w:tcW w:w="367" w:type="pct"/>
          </w:tcPr>
          <w:p w14:paraId="6CC7F8A2" w14:textId="3C8FF5CB"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12</w:t>
            </w:r>
          </w:p>
        </w:tc>
        <w:tc>
          <w:tcPr>
            <w:tcW w:w="1734" w:type="pct"/>
          </w:tcPr>
          <w:p w14:paraId="4E9A4979" w14:textId="061B9901"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2.刑事訴訟法第一百五十三條之十條文修正草案</w:t>
            </w:r>
            <w:proofErr w:type="gramStart"/>
            <w:r w:rsidRPr="001B6E4D">
              <w:rPr>
                <w:rFonts w:hAnsi="標楷體"/>
                <w:sz w:val="24"/>
                <w:szCs w:val="24"/>
              </w:rPr>
              <w:t>（</w:t>
            </w:r>
            <w:proofErr w:type="gramEnd"/>
            <w:r w:rsidRPr="001B6E4D">
              <w:rPr>
                <w:rFonts w:hAnsi="標楷體"/>
                <w:sz w:val="24"/>
                <w:szCs w:val="24"/>
              </w:rPr>
              <w:t>修正重點：允許對於所有本章之強制處分為抗告或</w:t>
            </w:r>
            <w:proofErr w:type="gramStart"/>
            <w:r w:rsidRPr="001B6E4D">
              <w:rPr>
                <w:rFonts w:hAnsi="標楷體"/>
                <w:sz w:val="24"/>
                <w:szCs w:val="24"/>
              </w:rPr>
              <w:t>準</w:t>
            </w:r>
            <w:proofErr w:type="gramEnd"/>
            <w:r w:rsidRPr="001B6E4D">
              <w:rPr>
                <w:rFonts w:hAnsi="標楷體"/>
                <w:sz w:val="24"/>
                <w:szCs w:val="24"/>
              </w:rPr>
              <w:t>抗告。）</w:t>
            </w:r>
          </w:p>
        </w:tc>
        <w:tc>
          <w:tcPr>
            <w:tcW w:w="1228" w:type="pct"/>
          </w:tcPr>
          <w:p w14:paraId="29D07E3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委員鍾佳濱</w:t>
            </w:r>
          </w:p>
          <w:p w14:paraId="3E87458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等19人</w:t>
            </w:r>
          </w:p>
          <w:p w14:paraId="6682DFF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113.09.27</w:t>
            </w:r>
          </w:p>
          <w:p w14:paraId="2FB49110" w14:textId="45D7396F"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（11-2-2）</w:t>
            </w:r>
          </w:p>
        </w:tc>
        <w:tc>
          <w:tcPr>
            <w:tcW w:w="858" w:type="pct"/>
          </w:tcPr>
          <w:p w14:paraId="3D2DCF48" w14:textId="187B3BD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5985076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5F79751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113.10.24</w:t>
            </w:r>
          </w:p>
          <w:p w14:paraId="518E1DE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(11-2-8)報告及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541D9D8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0F320F6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114.3.19舉行「檢討特殊強制處分實務運用、司法審查及救濟」公聽</w:t>
            </w:r>
            <w:r w:rsidRPr="001B6E4D">
              <w:rPr>
                <w:rFonts w:ascii="標楷體" w:eastAsia="標楷體" w:hAnsi="標楷體"/>
                <w:sz w:val="24"/>
              </w:rPr>
              <w:lastRenderedPageBreak/>
              <w:t>會。</w:t>
            </w:r>
          </w:p>
          <w:p w14:paraId="0E84B7F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3.本會</w:t>
            </w:r>
          </w:p>
          <w:p w14:paraId="149202E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115.5.11</w:t>
            </w:r>
          </w:p>
          <w:p w14:paraId="40871E8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(11-5-13)另定期繼續審查。</w:t>
            </w:r>
          </w:p>
          <w:p w14:paraId="1AAB187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4.本會</w:t>
            </w:r>
          </w:p>
          <w:p w14:paraId="30D6EEB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115.6.11</w:t>
            </w:r>
          </w:p>
          <w:p w14:paraId="2175C70A" w14:textId="408FC522"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(11-5-18)另定期繼續審查。</w:t>
            </w:r>
          </w:p>
        </w:tc>
      </w:tr>
      <w:tr w:rsidR="00142A94" w:rsidRPr="001B6E4D" w14:paraId="5487FDEE" w14:textId="77777777" w:rsidTr="00787DE8">
        <w:tc>
          <w:tcPr>
            <w:tcW w:w="367" w:type="pct"/>
          </w:tcPr>
          <w:p w14:paraId="3DBF8361" w14:textId="68485DF5"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lastRenderedPageBreak/>
              <w:t>13</w:t>
            </w:r>
          </w:p>
        </w:tc>
        <w:tc>
          <w:tcPr>
            <w:tcW w:w="1734" w:type="pct"/>
          </w:tcPr>
          <w:p w14:paraId="771FEB63" w14:textId="0ACBA554"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3.刑事訴訟法第一百五十三條之十條文修正草案</w:t>
            </w:r>
            <w:proofErr w:type="gramStart"/>
            <w:r w:rsidRPr="001B6E4D">
              <w:rPr>
                <w:rFonts w:hAnsi="標楷體"/>
                <w:sz w:val="24"/>
                <w:szCs w:val="24"/>
              </w:rPr>
              <w:t>（</w:t>
            </w:r>
            <w:proofErr w:type="gramEnd"/>
            <w:r w:rsidRPr="001B6E4D">
              <w:rPr>
                <w:rFonts w:hAnsi="標楷體"/>
                <w:sz w:val="24"/>
                <w:szCs w:val="24"/>
              </w:rPr>
              <w:t>修正重點：除法官、檢察官所為裁定或處分外，另包含檢察事務官、司法警察官及司法警察，依本章所為之調查，受調查</w:t>
            </w:r>
            <w:proofErr w:type="gramStart"/>
            <w:r w:rsidRPr="001B6E4D">
              <w:rPr>
                <w:rFonts w:hAnsi="標楷體"/>
                <w:sz w:val="24"/>
                <w:szCs w:val="24"/>
              </w:rPr>
              <w:t>人均得向</w:t>
            </w:r>
            <w:proofErr w:type="gramEnd"/>
            <w:r w:rsidRPr="001B6E4D">
              <w:rPr>
                <w:rFonts w:hAnsi="標楷體"/>
                <w:sz w:val="24"/>
                <w:szCs w:val="24"/>
              </w:rPr>
              <w:t>該管法院提起抗告或聲請撤銷或變更之。）</w:t>
            </w:r>
          </w:p>
        </w:tc>
        <w:tc>
          <w:tcPr>
            <w:tcW w:w="1228" w:type="pct"/>
          </w:tcPr>
          <w:p w14:paraId="2529CEB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委員莊瑞雄</w:t>
            </w:r>
          </w:p>
          <w:p w14:paraId="4FEB84D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19530CF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114.03.21</w:t>
            </w:r>
          </w:p>
          <w:p w14:paraId="34F5747C" w14:textId="2224F457"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（11-3-6）</w:t>
            </w:r>
          </w:p>
        </w:tc>
        <w:tc>
          <w:tcPr>
            <w:tcW w:w="858" w:type="pct"/>
          </w:tcPr>
          <w:p w14:paraId="47829043" w14:textId="68575788"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399B93D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2082658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115.5.11</w:t>
            </w:r>
          </w:p>
          <w:p w14:paraId="457D08F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(11-5-13)報告及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68CEA6C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5AE1FEF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115.6.11</w:t>
            </w:r>
          </w:p>
          <w:p w14:paraId="76E544A9" w14:textId="2AFED9D7"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(11-5-18)另定期繼續審查。</w:t>
            </w:r>
          </w:p>
        </w:tc>
      </w:tr>
      <w:tr w:rsidR="00142A94" w:rsidRPr="001B6E4D" w14:paraId="3C09D2B0" w14:textId="77777777" w:rsidTr="00787DE8">
        <w:tc>
          <w:tcPr>
            <w:tcW w:w="367" w:type="pct"/>
          </w:tcPr>
          <w:p w14:paraId="00257B17" w14:textId="7AB14017"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14</w:t>
            </w:r>
          </w:p>
        </w:tc>
        <w:tc>
          <w:tcPr>
            <w:tcW w:w="1734" w:type="pct"/>
          </w:tcPr>
          <w:p w14:paraId="38EFDCD9" w14:textId="52F443CD"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4.刑事訴訟法第四百零四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修正重點：明定檢察官於審判中不得再對羈押、交保、責付、限制住居、限制出境、限制出海等限制人身自由之裁定提起抗告。）</w:t>
            </w:r>
          </w:p>
        </w:tc>
        <w:tc>
          <w:tcPr>
            <w:tcW w:w="1228" w:type="pct"/>
          </w:tcPr>
          <w:p w14:paraId="66BE696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委員吳宗憲</w:t>
            </w:r>
          </w:p>
          <w:p w14:paraId="31DDE41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等17人</w:t>
            </w:r>
          </w:p>
          <w:p w14:paraId="28841A2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114.10.28</w:t>
            </w:r>
          </w:p>
          <w:p w14:paraId="11EC3316" w14:textId="6EEB1A4F"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（11-4-6）</w:t>
            </w:r>
          </w:p>
        </w:tc>
        <w:tc>
          <w:tcPr>
            <w:tcW w:w="858" w:type="pct"/>
          </w:tcPr>
          <w:p w14:paraId="2D70881E" w14:textId="2FF98C27"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12F34FE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1B4C009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115.1.12</w:t>
            </w:r>
          </w:p>
          <w:p w14:paraId="4DC088B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(11-4-18)報告及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6E4A7E3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3ADA0A9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115.5.11</w:t>
            </w:r>
          </w:p>
          <w:p w14:paraId="59D4CBE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(11-5-13)另定期繼續審查。</w:t>
            </w:r>
          </w:p>
          <w:p w14:paraId="539FF5C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3.本會</w:t>
            </w:r>
          </w:p>
          <w:p w14:paraId="3AA3987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115.6.11</w:t>
            </w:r>
          </w:p>
          <w:p w14:paraId="5122B86B" w14:textId="311E207F"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w:t>
            </w:r>
            <w:r w:rsidRPr="001B6E4D">
              <w:rPr>
                <w:rFonts w:ascii="標楷體" w:eastAsia="標楷體" w:hAnsi="標楷體"/>
                <w:sz w:val="24"/>
              </w:rPr>
              <w:lastRenderedPageBreak/>
              <w:t>另定期繼續審查。</w:t>
            </w:r>
          </w:p>
        </w:tc>
      </w:tr>
      <w:tr w:rsidR="00142A94" w:rsidRPr="001B6E4D" w14:paraId="2CCC27AD" w14:textId="77777777" w:rsidTr="00787DE8">
        <w:tc>
          <w:tcPr>
            <w:tcW w:w="367" w:type="pct"/>
          </w:tcPr>
          <w:p w14:paraId="5FE48067" w14:textId="5D1880A6"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lastRenderedPageBreak/>
              <w:t>15</w:t>
            </w:r>
          </w:p>
        </w:tc>
        <w:tc>
          <w:tcPr>
            <w:tcW w:w="1734" w:type="pct"/>
          </w:tcPr>
          <w:p w14:paraId="5C1EE0C8" w14:textId="43444AE7"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5.刑事訴訟法第一百五十三條之十條文修正草案</w:t>
            </w:r>
            <w:proofErr w:type="gramStart"/>
            <w:r w:rsidRPr="001B6E4D">
              <w:rPr>
                <w:rFonts w:hAnsi="標楷體"/>
                <w:sz w:val="24"/>
                <w:szCs w:val="24"/>
              </w:rPr>
              <w:t>（</w:t>
            </w:r>
            <w:proofErr w:type="gramEnd"/>
            <w:r w:rsidRPr="001B6E4D">
              <w:rPr>
                <w:rFonts w:hAnsi="標楷體"/>
                <w:sz w:val="24"/>
                <w:szCs w:val="24"/>
              </w:rPr>
              <w:t>修正重點：檢察事務官、司法警察官及司法警察，依本章所為之調查，受調查</w:t>
            </w:r>
            <w:proofErr w:type="gramStart"/>
            <w:r w:rsidRPr="001B6E4D">
              <w:rPr>
                <w:rFonts w:hAnsi="標楷體"/>
                <w:sz w:val="24"/>
                <w:szCs w:val="24"/>
              </w:rPr>
              <w:t>人均得向</w:t>
            </w:r>
            <w:proofErr w:type="gramEnd"/>
            <w:r w:rsidRPr="001B6E4D">
              <w:rPr>
                <w:rFonts w:hAnsi="標楷體"/>
                <w:sz w:val="24"/>
                <w:szCs w:val="24"/>
              </w:rPr>
              <w:t>該管法院提起抗告或聲請撤銷或變更。）</w:t>
            </w:r>
          </w:p>
        </w:tc>
        <w:tc>
          <w:tcPr>
            <w:tcW w:w="1228" w:type="pct"/>
          </w:tcPr>
          <w:p w14:paraId="77CDFF1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委員李柏毅</w:t>
            </w:r>
          </w:p>
          <w:p w14:paraId="34C0393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4D60232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114.11.21</w:t>
            </w:r>
          </w:p>
          <w:p w14:paraId="52F85572" w14:textId="7C30D0F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（11-4-10）</w:t>
            </w:r>
          </w:p>
        </w:tc>
        <w:tc>
          <w:tcPr>
            <w:tcW w:w="858" w:type="pct"/>
          </w:tcPr>
          <w:p w14:paraId="1BF2CFBB" w14:textId="318F355D"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1CA9296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20A614C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115.5.11</w:t>
            </w:r>
          </w:p>
          <w:p w14:paraId="1E78179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(11-5-13)報告及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002EF5D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249B2DF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115.6.11</w:t>
            </w:r>
          </w:p>
          <w:p w14:paraId="4D180031" w14:textId="703E971F"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(11-5-18)另定期繼續審查。</w:t>
            </w:r>
          </w:p>
        </w:tc>
      </w:tr>
      <w:tr w:rsidR="00142A94" w:rsidRPr="001B6E4D" w14:paraId="5A18F987" w14:textId="77777777" w:rsidTr="00787DE8">
        <w:tc>
          <w:tcPr>
            <w:tcW w:w="367" w:type="pct"/>
          </w:tcPr>
          <w:p w14:paraId="2F1AE374" w14:textId="0C85DF80"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16</w:t>
            </w:r>
          </w:p>
        </w:tc>
        <w:tc>
          <w:tcPr>
            <w:tcW w:w="1734" w:type="pct"/>
          </w:tcPr>
          <w:p w14:paraId="3594972F" w14:textId="3AEF5362"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刑事訴訟法第四百四十九條及第四百五十一條之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修正重點：修正刑事簡易程序規定，使被告防禦權及訴訟主體地位之保障更趨周延。）</w:t>
            </w:r>
          </w:p>
        </w:tc>
        <w:tc>
          <w:tcPr>
            <w:tcW w:w="1228" w:type="pct"/>
          </w:tcPr>
          <w:p w14:paraId="6DA6909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委員陳亭</w:t>
            </w:r>
            <w:proofErr w:type="gramStart"/>
            <w:r w:rsidRPr="001B6E4D">
              <w:rPr>
                <w:rFonts w:ascii="標楷體" w:eastAsia="標楷體" w:hAnsi="標楷體"/>
                <w:sz w:val="24"/>
              </w:rPr>
              <w:t>妃</w:t>
            </w:r>
            <w:proofErr w:type="gramEnd"/>
          </w:p>
          <w:p w14:paraId="2A05EC7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404E462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113.11.01</w:t>
            </w:r>
          </w:p>
          <w:p w14:paraId="0F319748" w14:textId="15E66911"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（11-2-7）</w:t>
            </w:r>
          </w:p>
        </w:tc>
        <w:tc>
          <w:tcPr>
            <w:tcW w:w="858" w:type="pct"/>
          </w:tcPr>
          <w:p w14:paraId="7C854CB7" w14:textId="56D073D7"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07E97F1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23BDE0A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114.4.24</w:t>
            </w:r>
          </w:p>
          <w:p w14:paraId="20DD0517" w14:textId="465F9F0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(11-3-11)報告及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4F06B761" w14:textId="77777777" w:rsidTr="00787DE8">
        <w:tc>
          <w:tcPr>
            <w:tcW w:w="367" w:type="pct"/>
          </w:tcPr>
          <w:p w14:paraId="384DEB2A" w14:textId="0747CA92"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17</w:t>
            </w:r>
          </w:p>
        </w:tc>
        <w:tc>
          <w:tcPr>
            <w:tcW w:w="1734" w:type="pct"/>
          </w:tcPr>
          <w:p w14:paraId="20437E54" w14:textId="04284EA6"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刑事訴訟法第八十七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修正重點：將司法警察納入得拘提或逮捕通緝犯之範疇。）</w:t>
            </w:r>
          </w:p>
        </w:tc>
        <w:tc>
          <w:tcPr>
            <w:tcW w:w="1228" w:type="pct"/>
          </w:tcPr>
          <w:p w14:paraId="437F681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委員魯明哲</w:t>
            </w:r>
          </w:p>
          <w:p w14:paraId="09C8ECC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7C3097D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113.11.22</w:t>
            </w:r>
          </w:p>
          <w:p w14:paraId="0AD86EB3" w14:textId="6F3EBFA4"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（11-2-10）</w:t>
            </w:r>
          </w:p>
        </w:tc>
        <w:tc>
          <w:tcPr>
            <w:tcW w:w="858" w:type="pct"/>
          </w:tcPr>
          <w:p w14:paraId="2C1B7C5B" w14:textId="3566455F"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357E72CB" w14:textId="63C889FA"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6FE0325C" w14:textId="77777777" w:rsidTr="00787DE8">
        <w:tc>
          <w:tcPr>
            <w:tcW w:w="367" w:type="pct"/>
          </w:tcPr>
          <w:p w14:paraId="4FB5D1B7" w14:textId="1213987E"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18</w:t>
            </w:r>
          </w:p>
        </w:tc>
        <w:tc>
          <w:tcPr>
            <w:tcW w:w="1734" w:type="pct"/>
          </w:tcPr>
          <w:p w14:paraId="0D3B2C48" w14:textId="349B9531"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刑事訴訟法第一百八十二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修正重點：增訂修復促進者因修復程序所知悉秘密得拒絕證言。）</w:t>
            </w:r>
          </w:p>
        </w:tc>
        <w:tc>
          <w:tcPr>
            <w:tcW w:w="1228" w:type="pct"/>
          </w:tcPr>
          <w:p w14:paraId="46E18FA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565045F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等20人</w:t>
            </w:r>
          </w:p>
          <w:p w14:paraId="6099083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114.01.03</w:t>
            </w:r>
          </w:p>
          <w:p w14:paraId="13801DF6" w14:textId="69DC3C7B"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（11-2-16）</w:t>
            </w:r>
          </w:p>
        </w:tc>
        <w:tc>
          <w:tcPr>
            <w:tcW w:w="858" w:type="pct"/>
          </w:tcPr>
          <w:p w14:paraId="350A1EB7" w14:textId="15D519CD"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60491CBC" w14:textId="0BFD6C2D"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2FBFAA1E" w14:textId="77777777" w:rsidTr="00787DE8">
        <w:tc>
          <w:tcPr>
            <w:tcW w:w="367" w:type="pct"/>
          </w:tcPr>
          <w:p w14:paraId="06F8DA01" w14:textId="6A0BD115"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19</w:t>
            </w:r>
          </w:p>
        </w:tc>
        <w:tc>
          <w:tcPr>
            <w:tcW w:w="1734" w:type="pct"/>
          </w:tcPr>
          <w:p w14:paraId="13CFFF1B" w14:textId="3DDAAC8E"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刑事訴訟法第九十三條之三條文修正草案</w:t>
            </w:r>
            <w:proofErr w:type="gramStart"/>
            <w:r w:rsidRPr="001B6E4D">
              <w:rPr>
                <w:rFonts w:hAnsi="標楷體"/>
                <w:sz w:val="24"/>
                <w:szCs w:val="24"/>
              </w:rPr>
              <w:t>（</w:t>
            </w:r>
            <w:proofErr w:type="gramEnd"/>
            <w:r w:rsidRPr="001B6E4D">
              <w:rPr>
                <w:rFonts w:hAnsi="標楷體"/>
                <w:sz w:val="24"/>
                <w:szCs w:val="24"/>
              </w:rPr>
              <w:t>修正重點：偵查與審理期間限制出境、出海累計不得逾10年。）</w:t>
            </w:r>
          </w:p>
        </w:tc>
        <w:tc>
          <w:tcPr>
            <w:tcW w:w="1228" w:type="pct"/>
          </w:tcPr>
          <w:p w14:paraId="5DE526F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3B14689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等19人</w:t>
            </w:r>
          </w:p>
          <w:p w14:paraId="18FD055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114.02.25</w:t>
            </w:r>
          </w:p>
          <w:p w14:paraId="2982757F" w14:textId="3DC24241"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（11-3-2）</w:t>
            </w:r>
          </w:p>
        </w:tc>
        <w:tc>
          <w:tcPr>
            <w:tcW w:w="858" w:type="pct"/>
          </w:tcPr>
          <w:p w14:paraId="0CE260F5" w14:textId="72CC0302"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63AE45FB" w14:textId="64A15F6B"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6176CE35" w14:textId="77777777" w:rsidTr="00787DE8">
        <w:tc>
          <w:tcPr>
            <w:tcW w:w="367" w:type="pct"/>
          </w:tcPr>
          <w:p w14:paraId="66EE0502" w14:textId="46255BFC"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20</w:t>
            </w:r>
          </w:p>
        </w:tc>
        <w:tc>
          <w:tcPr>
            <w:tcW w:w="1734" w:type="pct"/>
          </w:tcPr>
          <w:p w14:paraId="5442FBD6" w14:textId="0E586C3B"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1.刑事訴訟法第十七條、第二十六條及第一百三十四條之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修正重點：明定法官於再審或非常上訴程序之自行迴避事由；</w:t>
            </w:r>
            <w:r w:rsidRPr="001B6E4D">
              <w:rPr>
                <w:rFonts w:hAnsi="標楷體"/>
                <w:sz w:val="24"/>
                <w:szCs w:val="24"/>
              </w:rPr>
              <w:lastRenderedPageBreak/>
              <w:t>排除同一檢察官曾於再審或非常上訴前之訴訟程序執行職務之迴避事由；明定律師或辯護人與被告或犯罪嫌疑人秘密溝通之紀錄，或因此所生之文件資料，不得為作為證據而扣押，並列舉其例外事由。）</w:t>
            </w:r>
          </w:p>
        </w:tc>
        <w:tc>
          <w:tcPr>
            <w:tcW w:w="1228" w:type="pct"/>
          </w:tcPr>
          <w:p w14:paraId="46C9A63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司法院、行政院</w:t>
            </w:r>
          </w:p>
          <w:p w14:paraId="40FB266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115.03.06</w:t>
            </w:r>
          </w:p>
          <w:p w14:paraId="616634FD" w14:textId="7DFC6E97"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w:t>
            </w:r>
          </w:p>
        </w:tc>
        <w:tc>
          <w:tcPr>
            <w:tcW w:w="858" w:type="pct"/>
          </w:tcPr>
          <w:p w14:paraId="290BB71C" w14:textId="1AD071E4"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417C87E9" w14:textId="2F9087DD"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539CEFBF" w14:textId="77777777" w:rsidTr="00787DE8">
        <w:tc>
          <w:tcPr>
            <w:tcW w:w="367" w:type="pct"/>
          </w:tcPr>
          <w:p w14:paraId="25D1BBEB" w14:textId="10E52961"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21</w:t>
            </w:r>
          </w:p>
        </w:tc>
        <w:tc>
          <w:tcPr>
            <w:tcW w:w="1734" w:type="pct"/>
          </w:tcPr>
          <w:p w14:paraId="7A22F917" w14:textId="0C043A2D"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2.刑事訴訟法第十七條、第二十六條及第一百三十四條之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法官於再審或非常上訴程序之自行迴避事由；排除同一檢察官曾於再審或非常上訴前之訴訟程序執行職務之迴避事由；明定律師或辯護人與被告或犯罪嫌疑人秘密溝通之紀錄，或因此所生之文件資料，不得為作為證據而扣押，並列舉其例外事由。）</w:t>
            </w:r>
          </w:p>
        </w:tc>
        <w:tc>
          <w:tcPr>
            <w:tcW w:w="1228" w:type="pct"/>
          </w:tcPr>
          <w:p w14:paraId="2B92BFE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委員林宜瑾</w:t>
            </w:r>
          </w:p>
          <w:p w14:paraId="37D7FD3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等22人</w:t>
            </w:r>
          </w:p>
          <w:p w14:paraId="7419349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114.03.07</w:t>
            </w:r>
          </w:p>
          <w:p w14:paraId="1653B29F" w14:textId="06026A82"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（11-3-4）</w:t>
            </w:r>
          </w:p>
        </w:tc>
        <w:tc>
          <w:tcPr>
            <w:tcW w:w="858" w:type="pct"/>
          </w:tcPr>
          <w:p w14:paraId="23F84B17" w14:textId="51CB46F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5A74F30C" w14:textId="61D87C7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7BA17CB3" w14:textId="77777777" w:rsidTr="00787DE8">
        <w:tc>
          <w:tcPr>
            <w:tcW w:w="367" w:type="pct"/>
          </w:tcPr>
          <w:p w14:paraId="46A64ACD" w14:textId="2867B041"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22</w:t>
            </w:r>
          </w:p>
        </w:tc>
        <w:tc>
          <w:tcPr>
            <w:tcW w:w="1734" w:type="pct"/>
          </w:tcPr>
          <w:p w14:paraId="74908132" w14:textId="6150133F"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3.刑事訴訟法第十七條及第二十六</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修正重點：明定法官於再審或非常上訴程序之自行迴避事由；排除同一檢察官曾於再審或非常上訴前之訴訟程序執行職務之迴避事由。）</w:t>
            </w:r>
          </w:p>
        </w:tc>
        <w:tc>
          <w:tcPr>
            <w:tcW w:w="1228" w:type="pct"/>
          </w:tcPr>
          <w:p w14:paraId="73EA00D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委員沈發惠</w:t>
            </w:r>
          </w:p>
          <w:p w14:paraId="732EA41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等19人</w:t>
            </w:r>
          </w:p>
          <w:p w14:paraId="5F5A404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115.03.27</w:t>
            </w:r>
          </w:p>
          <w:p w14:paraId="6BACFB68" w14:textId="245FCA1E"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（11-5-5）</w:t>
            </w:r>
          </w:p>
        </w:tc>
        <w:tc>
          <w:tcPr>
            <w:tcW w:w="858" w:type="pct"/>
          </w:tcPr>
          <w:p w14:paraId="6635B71F" w14:textId="7DBBBA6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35BF014B" w14:textId="4EED20DE"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23639413" w14:textId="77777777" w:rsidTr="00787DE8">
        <w:tc>
          <w:tcPr>
            <w:tcW w:w="367" w:type="pct"/>
          </w:tcPr>
          <w:p w14:paraId="7D39D2CA" w14:textId="3FA08ADD"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23</w:t>
            </w:r>
          </w:p>
        </w:tc>
        <w:tc>
          <w:tcPr>
            <w:tcW w:w="1734" w:type="pct"/>
          </w:tcPr>
          <w:p w14:paraId="2E5881A6" w14:textId="3C1BEAF9"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4.刑事訴訟法第十七條、第二十六條及第一百三十四條之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修正重點：增列法官於再審或非常上訴程序之自行迴避事由；排除同一檢察官曾於再審或非常上訴前之訴訟程序執行職務作為應迴避事由；律師或辯護人與被告或犯罪嫌疑人秘密溝通之紀錄，或因此</w:t>
            </w:r>
            <w:r w:rsidRPr="001B6E4D">
              <w:rPr>
                <w:rFonts w:hAnsi="標楷體"/>
                <w:sz w:val="24"/>
                <w:szCs w:val="24"/>
              </w:rPr>
              <w:lastRenderedPageBreak/>
              <w:t>所生之文件資料，原則上不得為作為證據而扣押。）</w:t>
            </w:r>
          </w:p>
        </w:tc>
        <w:tc>
          <w:tcPr>
            <w:tcW w:w="1228" w:type="pct"/>
          </w:tcPr>
          <w:p w14:paraId="5217B2D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委員吳沛憶</w:t>
            </w:r>
          </w:p>
          <w:p w14:paraId="723479D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6233B6A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115.04.24</w:t>
            </w:r>
          </w:p>
          <w:p w14:paraId="578B5DB4" w14:textId="74F2F45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（11-5-8）</w:t>
            </w:r>
          </w:p>
        </w:tc>
        <w:tc>
          <w:tcPr>
            <w:tcW w:w="858" w:type="pct"/>
          </w:tcPr>
          <w:p w14:paraId="1896B7BB" w14:textId="661A19F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691345A4" w14:textId="7776CE6D"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5E23AF38" w14:textId="77777777" w:rsidTr="00787DE8">
        <w:tc>
          <w:tcPr>
            <w:tcW w:w="367" w:type="pct"/>
          </w:tcPr>
          <w:p w14:paraId="3E345B2B" w14:textId="021D1CAD"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24</w:t>
            </w:r>
          </w:p>
        </w:tc>
        <w:tc>
          <w:tcPr>
            <w:tcW w:w="1734" w:type="pct"/>
          </w:tcPr>
          <w:p w14:paraId="799A5849" w14:textId="3F9BEFFD"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5.刑事訴訟法第十七條、第二十六條及第一百三十四條之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新增法官應自行迴避之事由；增訂同一檢察官曾於再審或非常上訴前之訴訟程序執行職務之排除迴避事由；律師或辯護人與被告或犯罪嫌疑人秘密溝通之紀錄，或因此所生之文件資料，不得搜索、扣押，亦不得為作為證據使用。）</w:t>
            </w:r>
          </w:p>
        </w:tc>
        <w:tc>
          <w:tcPr>
            <w:tcW w:w="1228" w:type="pct"/>
          </w:tcPr>
          <w:p w14:paraId="67F80F3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委員羅智強</w:t>
            </w:r>
          </w:p>
          <w:p w14:paraId="326C846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等23人</w:t>
            </w:r>
          </w:p>
          <w:p w14:paraId="081F371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115.07.14</w:t>
            </w:r>
          </w:p>
          <w:p w14:paraId="498BA739" w14:textId="3091032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（11-5-17）</w:t>
            </w:r>
          </w:p>
        </w:tc>
        <w:tc>
          <w:tcPr>
            <w:tcW w:w="858" w:type="pct"/>
          </w:tcPr>
          <w:p w14:paraId="0D9B182B" w14:textId="3003C86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11FAD0A9" w14:textId="6758A978"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6E23661C" w14:textId="77777777" w:rsidTr="00787DE8">
        <w:tc>
          <w:tcPr>
            <w:tcW w:w="367" w:type="pct"/>
          </w:tcPr>
          <w:p w14:paraId="1A05F0A8" w14:textId="3B3C0FE2"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25</w:t>
            </w:r>
          </w:p>
        </w:tc>
        <w:tc>
          <w:tcPr>
            <w:tcW w:w="1734" w:type="pct"/>
          </w:tcPr>
          <w:p w14:paraId="70EE136D" w14:textId="725DAA70"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1.刑事訴訟法部分條文修正草案</w:t>
            </w:r>
            <w:proofErr w:type="gramStart"/>
            <w:r w:rsidRPr="001B6E4D">
              <w:rPr>
                <w:rFonts w:hAnsi="標楷體"/>
                <w:sz w:val="24"/>
                <w:szCs w:val="24"/>
              </w:rPr>
              <w:t>（</w:t>
            </w:r>
            <w:proofErr w:type="gramEnd"/>
            <w:r w:rsidRPr="001B6E4D">
              <w:rPr>
                <w:rFonts w:hAnsi="標楷體"/>
                <w:sz w:val="24"/>
                <w:szCs w:val="24"/>
              </w:rPr>
              <w:t>修正§93、98、100-3、144、150、156、413。修正重點：強化保障受搜索人之人身自由，確保人民不遭疲勞訊問，並使偵查、審判程序不因上下級審見解不一而延宕。）</w:t>
            </w:r>
          </w:p>
        </w:tc>
        <w:tc>
          <w:tcPr>
            <w:tcW w:w="1228" w:type="pct"/>
          </w:tcPr>
          <w:p w14:paraId="285E42E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433A073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114.04.18</w:t>
            </w:r>
          </w:p>
          <w:p w14:paraId="3B8235FE" w14:textId="24348F25"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（11-3-8）</w:t>
            </w:r>
          </w:p>
        </w:tc>
        <w:tc>
          <w:tcPr>
            <w:tcW w:w="858" w:type="pct"/>
          </w:tcPr>
          <w:p w14:paraId="0D5E2FFC" w14:textId="15C708E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11DC23F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455C385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115.5.11</w:t>
            </w:r>
          </w:p>
          <w:p w14:paraId="7DE9F5E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(11-5-13)報告及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138BCE1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756E88F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115.6.11</w:t>
            </w:r>
          </w:p>
          <w:p w14:paraId="4A16F78B" w14:textId="2C8A7867"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(11-5-18)另定期繼續審查。</w:t>
            </w:r>
          </w:p>
        </w:tc>
      </w:tr>
      <w:tr w:rsidR="00142A94" w:rsidRPr="001B6E4D" w14:paraId="1424EDAC" w14:textId="77777777" w:rsidTr="00787DE8">
        <w:tc>
          <w:tcPr>
            <w:tcW w:w="367" w:type="pct"/>
          </w:tcPr>
          <w:p w14:paraId="5F113F79" w14:textId="60448C83"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26</w:t>
            </w:r>
          </w:p>
        </w:tc>
        <w:tc>
          <w:tcPr>
            <w:tcW w:w="1734" w:type="pct"/>
          </w:tcPr>
          <w:p w14:paraId="33BCF62D" w14:textId="70118955"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2.刑事訴訟法第九十三條及第一百零一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修正重點：刪除「勾串共犯或證人」之羈押事由，明定「無其他替代手段」且有「具體」事實足認為有逃亡</w:t>
            </w:r>
            <w:proofErr w:type="gramStart"/>
            <w:r w:rsidRPr="001B6E4D">
              <w:rPr>
                <w:rFonts w:hAnsi="標楷體"/>
                <w:sz w:val="24"/>
                <w:szCs w:val="24"/>
              </w:rPr>
              <w:t>或滅證之虞</w:t>
            </w:r>
            <w:proofErr w:type="gramEnd"/>
            <w:r w:rsidRPr="001B6E4D">
              <w:rPr>
                <w:rFonts w:hAnsi="標楷體"/>
                <w:sz w:val="24"/>
                <w:szCs w:val="24"/>
              </w:rPr>
              <w:t>，才得以羈押，並要求檢察官請求法院限制或禁止辯護人取得偵查中羈押審查資訊時，應敘明事實、理由及提出必要之證據。）</w:t>
            </w:r>
          </w:p>
        </w:tc>
        <w:tc>
          <w:tcPr>
            <w:tcW w:w="1228" w:type="pct"/>
          </w:tcPr>
          <w:p w14:paraId="6C55B1E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2E9668B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114.08.22</w:t>
            </w:r>
          </w:p>
          <w:p w14:paraId="5B3D370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（11-3-26）</w:t>
            </w:r>
          </w:p>
          <w:p w14:paraId="4EB3A23E" w14:textId="56753154"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（11-3-27提出復議，11-4-2復議不通過）</w:t>
            </w:r>
          </w:p>
        </w:tc>
        <w:tc>
          <w:tcPr>
            <w:tcW w:w="858" w:type="pct"/>
          </w:tcPr>
          <w:p w14:paraId="5C640810" w14:textId="33983628"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6A10646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11E9720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115.1.12</w:t>
            </w:r>
          </w:p>
          <w:p w14:paraId="43C94F5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(11-4-18)報告及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1CF6792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36939DB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115.5.11</w:t>
            </w:r>
          </w:p>
          <w:p w14:paraId="58177F8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(11-5-13)另定期繼續審查。</w:t>
            </w:r>
          </w:p>
          <w:p w14:paraId="1884416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3.本會</w:t>
            </w:r>
          </w:p>
          <w:p w14:paraId="24CDBA5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115.6.11</w:t>
            </w:r>
          </w:p>
          <w:p w14:paraId="049646C0" w14:textId="0372CF7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(11-5-18)另定期繼續審查。</w:t>
            </w:r>
          </w:p>
        </w:tc>
      </w:tr>
      <w:tr w:rsidR="00142A94" w:rsidRPr="001B6E4D" w14:paraId="44E33466" w14:textId="77777777" w:rsidTr="00787DE8">
        <w:tc>
          <w:tcPr>
            <w:tcW w:w="367" w:type="pct"/>
          </w:tcPr>
          <w:p w14:paraId="67BEA29E" w14:textId="3DCCB412"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lastRenderedPageBreak/>
              <w:t>27</w:t>
            </w:r>
          </w:p>
        </w:tc>
        <w:tc>
          <w:tcPr>
            <w:tcW w:w="1734" w:type="pct"/>
          </w:tcPr>
          <w:p w14:paraId="17717E03" w14:textId="2DD970EF"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3.刑事訴訟法第四百十三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修正重點：明定抗告法院就羈押等抗告案件，應自為裁定。）</w:t>
            </w:r>
          </w:p>
        </w:tc>
        <w:tc>
          <w:tcPr>
            <w:tcW w:w="1228" w:type="pct"/>
          </w:tcPr>
          <w:p w14:paraId="4A0099E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141C3E6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等25人</w:t>
            </w:r>
          </w:p>
          <w:p w14:paraId="1A92E45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115.04.17</w:t>
            </w:r>
          </w:p>
          <w:p w14:paraId="516A2A10" w14:textId="104DA45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（11-5-7）</w:t>
            </w:r>
          </w:p>
        </w:tc>
        <w:tc>
          <w:tcPr>
            <w:tcW w:w="858" w:type="pct"/>
          </w:tcPr>
          <w:p w14:paraId="70DC8C70" w14:textId="1720E0DF"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6095BDD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6B9FD11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115.5.11</w:t>
            </w:r>
          </w:p>
          <w:p w14:paraId="6D255B3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(11-5-13)報告及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4D290A3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3A79097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115.6.11</w:t>
            </w:r>
          </w:p>
          <w:p w14:paraId="5804A2B7" w14:textId="506BEF65"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(11-5-18)另定期繼續審查。</w:t>
            </w:r>
          </w:p>
        </w:tc>
      </w:tr>
      <w:tr w:rsidR="00142A94" w:rsidRPr="001B6E4D" w14:paraId="1955DC34" w14:textId="77777777" w:rsidTr="00787DE8">
        <w:tc>
          <w:tcPr>
            <w:tcW w:w="367" w:type="pct"/>
          </w:tcPr>
          <w:p w14:paraId="5B5E18CD" w14:textId="40166F64"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28</w:t>
            </w:r>
          </w:p>
        </w:tc>
        <w:tc>
          <w:tcPr>
            <w:tcW w:w="1734" w:type="pct"/>
          </w:tcPr>
          <w:p w14:paraId="43EA51F4" w14:textId="46EBFAA8"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4.刑事訴訟法第九十三條及第一百零一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修正重點：應</w:t>
            </w:r>
            <w:proofErr w:type="gramStart"/>
            <w:r w:rsidRPr="001B6E4D">
              <w:rPr>
                <w:rFonts w:hAnsi="標楷體"/>
                <w:sz w:val="24"/>
                <w:szCs w:val="24"/>
              </w:rPr>
              <w:t>明定無其他</w:t>
            </w:r>
            <w:proofErr w:type="gramEnd"/>
            <w:r w:rsidRPr="001B6E4D">
              <w:rPr>
                <w:rFonts w:hAnsi="標楷體"/>
                <w:sz w:val="24"/>
                <w:szCs w:val="24"/>
              </w:rPr>
              <w:t>替代手段，才得以羈押，勾串共犯或證人作為羈押理由，須以具體明確行為為基礎，並要求法院限制或禁止辯護人取得偵查中羈押審查資訊時，檢察官應負敘明事實、理由及提出必要證據之義務。）</w:t>
            </w:r>
          </w:p>
        </w:tc>
        <w:tc>
          <w:tcPr>
            <w:tcW w:w="1228" w:type="pct"/>
          </w:tcPr>
          <w:p w14:paraId="0B2024A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6B2AC16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624A891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115.04.24</w:t>
            </w:r>
          </w:p>
          <w:p w14:paraId="6C96F9A5" w14:textId="607A6783"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（11-5-8）</w:t>
            </w:r>
          </w:p>
        </w:tc>
        <w:tc>
          <w:tcPr>
            <w:tcW w:w="858" w:type="pct"/>
          </w:tcPr>
          <w:p w14:paraId="76F42985" w14:textId="3F88792D"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43F09F9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0127AC9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115.5.11</w:t>
            </w:r>
          </w:p>
          <w:p w14:paraId="6A14E7E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(11-5-13)報告及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3F1295D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470A37A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115.6.11</w:t>
            </w:r>
          </w:p>
          <w:p w14:paraId="0FE9D9D1" w14:textId="6E053158"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(11-5-18)另定期繼續審查。</w:t>
            </w:r>
          </w:p>
        </w:tc>
      </w:tr>
      <w:tr w:rsidR="00142A94" w:rsidRPr="001B6E4D" w14:paraId="7CD49259" w14:textId="77777777" w:rsidTr="00787DE8">
        <w:tc>
          <w:tcPr>
            <w:tcW w:w="367" w:type="pct"/>
          </w:tcPr>
          <w:p w14:paraId="0DED6FFD" w14:textId="18D58253"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29</w:t>
            </w:r>
          </w:p>
        </w:tc>
        <w:tc>
          <w:tcPr>
            <w:tcW w:w="1734" w:type="pct"/>
          </w:tcPr>
          <w:p w14:paraId="68EE001E" w14:textId="511DACBB"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1.刑事訴訟法第一百零八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修正重點：偵查中羈押期間不得逾一月，審判中不得逾二月，延長羈押</w:t>
            </w:r>
            <w:proofErr w:type="gramStart"/>
            <w:r w:rsidRPr="001B6E4D">
              <w:rPr>
                <w:rFonts w:hAnsi="標楷體"/>
                <w:sz w:val="24"/>
                <w:szCs w:val="24"/>
              </w:rPr>
              <w:t>期間，</w:t>
            </w:r>
            <w:proofErr w:type="gramEnd"/>
            <w:r w:rsidRPr="001B6E4D">
              <w:rPr>
                <w:rFonts w:hAnsi="標楷體"/>
                <w:sz w:val="24"/>
                <w:szCs w:val="24"/>
              </w:rPr>
              <w:t>偵查及審判中均不得逾一月。）</w:t>
            </w:r>
          </w:p>
        </w:tc>
        <w:tc>
          <w:tcPr>
            <w:tcW w:w="1228" w:type="pct"/>
          </w:tcPr>
          <w:p w14:paraId="78D5508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2A7F8BA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等20人</w:t>
            </w:r>
          </w:p>
          <w:p w14:paraId="7A1E926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114.10.14</w:t>
            </w:r>
          </w:p>
          <w:p w14:paraId="40D3101D" w14:textId="01E3BE2F"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（11-4-4）</w:t>
            </w:r>
          </w:p>
        </w:tc>
        <w:tc>
          <w:tcPr>
            <w:tcW w:w="858" w:type="pct"/>
          </w:tcPr>
          <w:p w14:paraId="7C1E1002" w14:textId="408CA76A"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574671D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448A1FD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115.1.12</w:t>
            </w:r>
          </w:p>
          <w:p w14:paraId="01F47A0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(11-4-18)報告及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1AFA799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1616A8C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115.6.11</w:t>
            </w:r>
          </w:p>
          <w:p w14:paraId="28591703" w14:textId="7E551FB2"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lastRenderedPageBreak/>
              <w:t>(11-5-18)另定期繼續審查。</w:t>
            </w:r>
          </w:p>
        </w:tc>
      </w:tr>
      <w:tr w:rsidR="00142A94" w:rsidRPr="001B6E4D" w14:paraId="1EDF3118" w14:textId="77777777" w:rsidTr="00787DE8">
        <w:tc>
          <w:tcPr>
            <w:tcW w:w="367" w:type="pct"/>
          </w:tcPr>
          <w:p w14:paraId="01FF4C62" w14:textId="0598AC3F"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lastRenderedPageBreak/>
              <w:t>30</w:t>
            </w:r>
          </w:p>
        </w:tc>
        <w:tc>
          <w:tcPr>
            <w:tcW w:w="1734" w:type="pct"/>
          </w:tcPr>
          <w:p w14:paraId="3A21FC61" w14:textId="28A9E05E"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2.刑事訴訟法第一百零八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修正重點：修正偵查羈押最長期間為一月，審判羈押為二月；延長羈押期間不得逾一月。）</w:t>
            </w:r>
          </w:p>
        </w:tc>
        <w:tc>
          <w:tcPr>
            <w:tcW w:w="1228" w:type="pct"/>
          </w:tcPr>
          <w:p w14:paraId="694524F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委員林倩綺</w:t>
            </w:r>
          </w:p>
          <w:p w14:paraId="1CA7947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等21人</w:t>
            </w:r>
          </w:p>
          <w:p w14:paraId="63F6407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114.11.14</w:t>
            </w:r>
          </w:p>
          <w:p w14:paraId="60094D2D" w14:textId="7913DC6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（11-4-9）</w:t>
            </w:r>
          </w:p>
        </w:tc>
        <w:tc>
          <w:tcPr>
            <w:tcW w:w="858" w:type="pct"/>
          </w:tcPr>
          <w:p w14:paraId="5FE29023" w14:textId="13EC8D4F"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15DFA96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4072BD3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115.1.12</w:t>
            </w:r>
          </w:p>
          <w:p w14:paraId="0CD2D1C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(11-4-18)報告及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0EC6D2D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7C92DB7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115.6.11</w:t>
            </w:r>
          </w:p>
          <w:p w14:paraId="11C071EC" w14:textId="28F96262"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(11-5-18)另定期繼續審查。</w:t>
            </w:r>
          </w:p>
        </w:tc>
      </w:tr>
      <w:tr w:rsidR="00142A94" w:rsidRPr="001B6E4D" w14:paraId="4C4B4747" w14:textId="77777777" w:rsidTr="00787DE8">
        <w:tc>
          <w:tcPr>
            <w:tcW w:w="367" w:type="pct"/>
          </w:tcPr>
          <w:p w14:paraId="736B2EB2" w14:textId="6D1EAB73"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31</w:t>
            </w:r>
          </w:p>
        </w:tc>
        <w:tc>
          <w:tcPr>
            <w:tcW w:w="1734" w:type="pct"/>
          </w:tcPr>
          <w:p w14:paraId="71EB5FB7" w14:textId="5803FAB4"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1.刑事訴訟法第二百六十四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修正重點：起訴書需就告訴人個人資料進行隱蔽。）</w:t>
            </w:r>
          </w:p>
        </w:tc>
        <w:tc>
          <w:tcPr>
            <w:tcW w:w="1228" w:type="pct"/>
          </w:tcPr>
          <w:p w14:paraId="733A327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委員洪孟楷</w:t>
            </w:r>
          </w:p>
          <w:p w14:paraId="1AAF3EC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500709B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115.03.13</w:t>
            </w:r>
          </w:p>
          <w:p w14:paraId="4C399C68" w14:textId="390C93A3"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（11-5-3）</w:t>
            </w:r>
          </w:p>
        </w:tc>
        <w:tc>
          <w:tcPr>
            <w:tcW w:w="858" w:type="pct"/>
          </w:tcPr>
          <w:p w14:paraId="59321BEB" w14:textId="403F641F"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7265F3EA" w14:textId="629D6C9A"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00463D69" w14:textId="77777777" w:rsidTr="00787DE8">
        <w:tc>
          <w:tcPr>
            <w:tcW w:w="367" w:type="pct"/>
          </w:tcPr>
          <w:p w14:paraId="7EFA3E97" w14:textId="06D89467"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32</w:t>
            </w:r>
          </w:p>
        </w:tc>
        <w:tc>
          <w:tcPr>
            <w:tcW w:w="1734" w:type="pct"/>
          </w:tcPr>
          <w:p w14:paraId="614011DA" w14:textId="5245368E"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2.刑事訴訟法第二百六十四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修正重點：起訴書需就告訴人個人資料進行隱蔽。）</w:t>
            </w:r>
          </w:p>
        </w:tc>
        <w:tc>
          <w:tcPr>
            <w:tcW w:w="1228" w:type="pct"/>
          </w:tcPr>
          <w:p w14:paraId="00FADD2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委員廖偉翔</w:t>
            </w:r>
          </w:p>
          <w:p w14:paraId="3302EE6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1281632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115.03.13</w:t>
            </w:r>
          </w:p>
          <w:p w14:paraId="1AF20DAA" w14:textId="08C4A951"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（11-5-3）</w:t>
            </w:r>
          </w:p>
        </w:tc>
        <w:tc>
          <w:tcPr>
            <w:tcW w:w="858" w:type="pct"/>
          </w:tcPr>
          <w:p w14:paraId="5302E542" w14:textId="4FAC318E"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3121FF27" w14:textId="46F0847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2F80C6C8" w14:textId="77777777" w:rsidTr="00787DE8">
        <w:tc>
          <w:tcPr>
            <w:tcW w:w="367" w:type="pct"/>
          </w:tcPr>
          <w:p w14:paraId="2BB6E262" w14:textId="1D5332AA"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33</w:t>
            </w:r>
          </w:p>
        </w:tc>
        <w:tc>
          <w:tcPr>
            <w:tcW w:w="1734" w:type="pct"/>
          </w:tcPr>
          <w:p w14:paraId="22179AAD" w14:textId="62E9E9F3"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3.刑事訴訟法第二百六十四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修正重點：起訴書需就告訴人個人資料進行隱蔽。）</w:t>
            </w:r>
          </w:p>
        </w:tc>
        <w:tc>
          <w:tcPr>
            <w:tcW w:w="1228" w:type="pct"/>
          </w:tcPr>
          <w:p w14:paraId="00F2109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委員劉建國</w:t>
            </w:r>
          </w:p>
          <w:p w14:paraId="6173082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150CD32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115.04.24</w:t>
            </w:r>
          </w:p>
          <w:p w14:paraId="7E95A6DA" w14:textId="280E593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（11-5-8）</w:t>
            </w:r>
          </w:p>
        </w:tc>
        <w:tc>
          <w:tcPr>
            <w:tcW w:w="858" w:type="pct"/>
          </w:tcPr>
          <w:p w14:paraId="4E2EE863" w14:textId="5BEC219F"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78960D15" w14:textId="096621EE"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3ED02E8F" w14:textId="77777777" w:rsidTr="00787DE8">
        <w:tc>
          <w:tcPr>
            <w:tcW w:w="367" w:type="pct"/>
          </w:tcPr>
          <w:p w14:paraId="1F33AD80" w14:textId="119EA988"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34</w:t>
            </w:r>
          </w:p>
        </w:tc>
        <w:tc>
          <w:tcPr>
            <w:tcW w:w="1734" w:type="pct"/>
          </w:tcPr>
          <w:p w14:paraId="1C93D248" w14:textId="71EC7D75"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刑事訴訟法增訂第三百六十一條之</w:t>
            </w:r>
            <w:proofErr w:type="gramStart"/>
            <w:r w:rsidRPr="001B6E4D">
              <w:rPr>
                <w:rFonts w:hAnsi="標楷體"/>
                <w:sz w:val="24"/>
                <w:szCs w:val="24"/>
              </w:rPr>
              <w:t>一</w:t>
            </w:r>
            <w:proofErr w:type="gramEnd"/>
            <w:r w:rsidRPr="001B6E4D">
              <w:rPr>
                <w:rFonts w:hAnsi="標楷體"/>
                <w:sz w:val="24"/>
                <w:szCs w:val="24"/>
              </w:rPr>
              <w:t>條文草案</w:t>
            </w:r>
            <w:proofErr w:type="gramStart"/>
            <w:r w:rsidRPr="001B6E4D">
              <w:rPr>
                <w:rFonts w:hAnsi="標楷體"/>
                <w:sz w:val="24"/>
                <w:szCs w:val="24"/>
              </w:rPr>
              <w:t>（</w:t>
            </w:r>
            <w:proofErr w:type="gramEnd"/>
            <w:r w:rsidRPr="001B6E4D">
              <w:rPr>
                <w:rFonts w:hAnsi="標楷體"/>
                <w:sz w:val="24"/>
                <w:szCs w:val="24"/>
              </w:rPr>
              <w:t>增訂重點：除發現原無罪判決所依據之關鍵證據存在重大瑕疵時，檢察官仍得為被告之</w:t>
            </w:r>
            <w:proofErr w:type="gramStart"/>
            <w:r w:rsidRPr="001B6E4D">
              <w:rPr>
                <w:rFonts w:hAnsi="標楷體"/>
                <w:sz w:val="24"/>
                <w:szCs w:val="24"/>
              </w:rPr>
              <w:t>不</w:t>
            </w:r>
            <w:proofErr w:type="gramEnd"/>
            <w:r w:rsidRPr="001B6E4D">
              <w:rPr>
                <w:rFonts w:hAnsi="標楷體"/>
                <w:sz w:val="24"/>
                <w:szCs w:val="24"/>
              </w:rPr>
              <w:t>利益提起上訴外，</w:t>
            </w:r>
            <w:proofErr w:type="gramStart"/>
            <w:r w:rsidRPr="001B6E4D">
              <w:rPr>
                <w:rFonts w:hAnsi="標楷體"/>
                <w:sz w:val="24"/>
                <w:szCs w:val="24"/>
              </w:rPr>
              <w:t>輕罪且經</w:t>
            </w:r>
            <w:proofErr w:type="gramEnd"/>
            <w:r w:rsidRPr="001B6E4D">
              <w:rPr>
                <w:rFonts w:hAnsi="標楷體"/>
                <w:sz w:val="24"/>
                <w:szCs w:val="24"/>
              </w:rPr>
              <w:t>一審法院認定無罪之案件不得上訴。）</w:t>
            </w:r>
          </w:p>
        </w:tc>
        <w:tc>
          <w:tcPr>
            <w:tcW w:w="1228" w:type="pct"/>
          </w:tcPr>
          <w:p w14:paraId="478F6AB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委員林宜瑾</w:t>
            </w:r>
          </w:p>
          <w:p w14:paraId="63FE5E4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等20人</w:t>
            </w:r>
          </w:p>
          <w:p w14:paraId="3072A0A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115.03.27</w:t>
            </w:r>
          </w:p>
          <w:p w14:paraId="6DF6D245" w14:textId="388B0E7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（11-5-5）</w:t>
            </w:r>
          </w:p>
        </w:tc>
        <w:tc>
          <w:tcPr>
            <w:tcW w:w="858" w:type="pct"/>
          </w:tcPr>
          <w:p w14:paraId="30ED9129" w14:textId="10914102"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24E6A18C" w14:textId="1A2A2D53"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4B3B8A05" w14:textId="77777777" w:rsidTr="00787DE8">
        <w:tc>
          <w:tcPr>
            <w:tcW w:w="367" w:type="pct"/>
          </w:tcPr>
          <w:p w14:paraId="31EF8EC8" w14:textId="724D2172"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35</w:t>
            </w:r>
          </w:p>
        </w:tc>
        <w:tc>
          <w:tcPr>
            <w:tcW w:w="1734" w:type="pct"/>
          </w:tcPr>
          <w:p w14:paraId="4E455BD5" w14:textId="3BEAFFD6"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刑事訴訟法第三百十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修正重點：法院應將訴訟參與人及其代理人</w:t>
            </w:r>
            <w:r w:rsidRPr="001B6E4D">
              <w:rPr>
                <w:rFonts w:hAnsi="標楷體"/>
                <w:sz w:val="24"/>
                <w:szCs w:val="24"/>
              </w:rPr>
              <w:lastRenderedPageBreak/>
              <w:t>於證據調查辯論與科刑參與之意見，納入判決理由必要記載事項之範圍。）</w:t>
            </w:r>
          </w:p>
        </w:tc>
        <w:tc>
          <w:tcPr>
            <w:tcW w:w="1228" w:type="pct"/>
          </w:tcPr>
          <w:p w14:paraId="6CDD012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委員翁曉玲</w:t>
            </w:r>
          </w:p>
          <w:p w14:paraId="7582F67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3C35E1E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115.04.24</w:t>
            </w:r>
          </w:p>
          <w:p w14:paraId="55E0D7AA" w14:textId="7A2887C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lastRenderedPageBreak/>
              <w:t>（11-5-8）</w:t>
            </w:r>
          </w:p>
        </w:tc>
        <w:tc>
          <w:tcPr>
            <w:tcW w:w="858" w:type="pct"/>
          </w:tcPr>
          <w:p w14:paraId="2DBE7411" w14:textId="5DD98233"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lastRenderedPageBreak/>
              <w:t>司法及法制</w:t>
            </w:r>
          </w:p>
        </w:tc>
        <w:tc>
          <w:tcPr>
            <w:tcW w:w="813" w:type="pct"/>
          </w:tcPr>
          <w:p w14:paraId="3E55479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68A7E36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115.8.19</w:t>
            </w:r>
          </w:p>
          <w:p w14:paraId="7E778BCF" w14:textId="0BCB3904"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(11-5-29)</w:t>
            </w:r>
            <w:r w:rsidRPr="001B6E4D">
              <w:rPr>
                <w:rFonts w:ascii="標楷體" w:eastAsia="標楷體" w:hAnsi="標楷體"/>
                <w:sz w:val="24"/>
              </w:rPr>
              <w:lastRenderedPageBreak/>
              <w:t>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4E6B4FA0" w14:textId="77777777" w:rsidTr="00787DE8">
        <w:tc>
          <w:tcPr>
            <w:tcW w:w="367" w:type="pct"/>
          </w:tcPr>
          <w:p w14:paraId="5F14026C" w14:textId="3A849E0C"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lastRenderedPageBreak/>
              <w:t>36</w:t>
            </w:r>
          </w:p>
        </w:tc>
        <w:tc>
          <w:tcPr>
            <w:tcW w:w="1734" w:type="pct"/>
          </w:tcPr>
          <w:p w14:paraId="1DADD6DB" w14:textId="59384D8B"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刑事訴訟法增訂第二百四十八條之四條文草案</w:t>
            </w:r>
            <w:proofErr w:type="gramStart"/>
            <w:r w:rsidRPr="001B6E4D">
              <w:rPr>
                <w:rFonts w:hAnsi="標楷體"/>
                <w:sz w:val="24"/>
                <w:szCs w:val="24"/>
              </w:rPr>
              <w:t>（</w:t>
            </w:r>
            <w:proofErr w:type="gramEnd"/>
            <w:r w:rsidRPr="001B6E4D">
              <w:rPr>
                <w:rFonts w:hAnsi="標楷體"/>
                <w:sz w:val="24"/>
                <w:szCs w:val="24"/>
              </w:rPr>
              <w:t>增訂重點：證人於偵查階段應享有選任辯護人</w:t>
            </w:r>
            <w:proofErr w:type="gramStart"/>
            <w:r w:rsidRPr="001B6E4D">
              <w:rPr>
                <w:rFonts w:hAnsi="標楷體"/>
                <w:sz w:val="24"/>
                <w:szCs w:val="24"/>
              </w:rPr>
              <w:t>陪同在場之</w:t>
            </w:r>
            <w:proofErr w:type="gramEnd"/>
            <w:r w:rsidRPr="001B6E4D">
              <w:rPr>
                <w:rFonts w:hAnsi="標楷體"/>
                <w:sz w:val="24"/>
                <w:szCs w:val="24"/>
              </w:rPr>
              <w:t>權。）</w:t>
            </w:r>
          </w:p>
        </w:tc>
        <w:tc>
          <w:tcPr>
            <w:tcW w:w="1228" w:type="pct"/>
          </w:tcPr>
          <w:p w14:paraId="07E997E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國民黨黨團</w:t>
            </w:r>
          </w:p>
          <w:p w14:paraId="2775129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115.05.08</w:t>
            </w:r>
          </w:p>
          <w:p w14:paraId="31185F6F" w14:textId="51581CDA"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（11-5-9）</w:t>
            </w:r>
          </w:p>
        </w:tc>
        <w:tc>
          <w:tcPr>
            <w:tcW w:w="858" w:type="pct"/>
          </w:tcPr>
          <w:p w14:paraId="0F11F0EE" w14:textId="0AD93BD3"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3E549881" w14:textId="79AC52B1"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0D9AC3A9" w14:textId="77777777" w:rsidTr="00787DE8">
        <w:tc>
          <w:tcPr>
            <w:tcW w:w="367" w:type="pct"/>
          </w:tcPr>
          <w:p w14:paraId="4FD28F69" w14:textId="41AF9F38"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37</w:t>
            </w:r>
          </w:p>
        </w:tc>
        <w:tc>
          <w:tcPr>
            <w:tcW w:w="1734" w:type="pct"/>
          </w:tcPr>
          <w:p w14:paraId="5BD480E4" w14:textId="74B3A057"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刑事訴訟法第一百五十三條之三及第一百五十三條之十一條文修正草案</w:t>
            </w:r>
            <w:proofErr w:type="gramStart"/>
            <w:r w:rsidRPr="001B6E4D">
              <w:rPr>
                <w:rFonts w:hAnsi="標楷體"/>
                <w:sz w:val="24"/>
                <w:szCs w:val="24"/>
              </w:rPr>
              <w:t>（</w:t>
            </w:r>
            <w:proofErr w:type="gramEnd"/>
            <w:r w:rsidRPr="001B6E4D">
              <w:rPr>
                <w:rFonts w:hAnsi="標楷體"/>
                <w:sz w:val="24"/>
                <w:szCs w:val="24"/>
              </w:rPr>
              <w:t>修正重點：就侵入個人隱私空間攝錄影像之偵查手段，應有更嚴格之要件；特殊強制處分之執行情形與相關統計，執行機關有公告及送立法院備查之義務。）</w:t>
            </w:r>
          </w:p>
        </w:tc>
        <w:tc>
          <w:tcPr>
            <w:tcW w:w="1228" w:type="pct"/>
          </w:tcPr>
          <w:p w14:paraId="6C0EFF5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委員沈伯洋</w:t>
            </w:r>
          </w:p>
          <w:p w14:paraId="166606F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等19人</w:t>
            </w:r>
          </w:p>
          <w:p w14:paraId="6327113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115.05.29</w:t>
            </w:r>
          </w:p>
          <w:p w14:paraId="02618B31" w14:textId="6CCC6E1A"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（11-5-12）</w:t>
            </w:r>
          </w:p>
        </w:tc>
        <w:tc>
          <w:tcPr>
            <w:tcW w:w="858" w:type="pct"/>
          </w:tcPr>
          <w:p w14:paraId="73257A8A" w14:textId="5D41899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7FDAF29F" w14:textId="0881D23A"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0D9F451B" w14:textId="77777777" w:rsidTr="00787DE8">
        <w:tc>
          <w:tcPr>
            <w:tcW w:w="367" w:type="pct"/>
          </w:tcPr>
          <w:p w14:paraId="2EAD3B97" w14:textId="50611D6E"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38</w:t>
            </w:r>
          </w:p>
        </w:tc>
        <w:tc>
          <w:tcPr>
            <w:tcW w:w="1734" w:type="pct"/>
          </w:tcPr>
          <w:p w14:paraId="46D3E712" w14:textId="430899E7"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刑事訴訟法部分條文修正草案</w:t>
            </w:r>
            <w:proofErr w:type="gramStart"/>
            <w:r w:rsidRPr="001B6E4D">
              <w:rPr>
                <w:rFonts w:hAnsi="標楷體"/>
                <w:sz w:val="24"/>
                <w:szCs w:val="24"/>
              </w:rPr>
              <w:t>（</w:t>
            </w:r>
            <w:proofErr w:type="gramEnd"/>
            <w:r w:rsidRPr="001B6E4D">
              <w:rPr>
                <w:rFonts w:hAnsi="標楷體"/>
                <w:sz w:val="24"/>
                <w:szCs w:val="24"/>
              </w:rPr>
              <w:t>修正§198、198-1、206、208；增訂§208-1~2。修正重點：新增鑑定人應揭露之資訊應包括有無參與偵查程序或與檢方之分工；當事人於審判中聲請鑑定之情形，得就已作成之鑑定進行審查鑑定；鑑定人以言詞或書面所為之報告，應敘明證物交付；增訂當事人得選任專業鑑定人士；新增證物移轉之交付</w:t>
            </w:r>
            <w:proofErr w:type="gramStart"/>
            <w:r w:rsidRPr="001B6E4D">
              <w:rPr>
                <w:rFonts w:hAnsi="標楷體"/>
                <w:sz w:val="24"/>
                <w:szCs w:val="24"/>
              </w:rPr>
              <w:t>保存及返還</w:t>
            </w:r>
            <w:proofErr w:type="gramEnd"/>
            <w:r w:rsidRPr="001B6E4D">
              <w:rPr>
                <w:rFonts w:hAnsi="標楷體"/>
                <w:sz w:val="24"/>
                <w:szCs w:val="24"/>
              </w:rPr>
              <w:t>證物之規定；新增證物鑑定方法如有毀壞或耗盡證物之虞時之通報義務。）</w:t>
            </w:r>
          </w:p>
        </w:tc>
        <w:tc>
          <w:tcPr>
            <w:tcW w:w="1228" w:type="pct"/>
          </w:tcPr>
          <w:p w14:paraId="25F8A07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委員沈伯洋</w:t>
            </w:r>
          </w:p>
          <w:p w14:paraId="4E31628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等19人</w:t>
            </w:r>
          </w:p>
          <w:p w14:paraId="579DB8B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115.05.29</w:t>
            </w:r>
          </w:p>
          <w:p w14:paraId="4A5487DD" w14:textId="58C374D5"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（11-5-12）</w:t>
            </w:r>
          </w:p>
        </w:tc>
        <w:tc>
          <w:tcPr>
            <w:tcW w:w="858" w:type="pct"/>
          </w:tcPr>
          <w:p w14:paraId="27ECF976" w14:textId="29354094"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492AE4FB" w14:textId="12B510FA"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21FB2FF8" w14:textId="77777777" w:rsidTr="00787DE8">
        <w:tc>
          <w:tcPr>
            <w:tcW w:w="367" w:type="pct"/>
          </w:tcPr>
          <w:p w14:paraId="52BA3D48" w14:textId="3EDFA0BE"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39</w:t>
            </w:r>
          </w:p>
        </w:tc>
        <w:tc>
          <w:tcPr>
            <w:tcW w:w="1734" w:type="pct"/>
          </w:tcPr>
          <w:p w14:paraId="4DCDCD72" w14:textId="71EEDB82"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刑事訴訟法第一百零一條之二及第一百零一條之三條文修正草案</w:t>
            </w:r>
            <w:proofErr w:type="gramStart"/>
            <w:r w:rsidRPr="001B6E4D">
              <w:rPr>
                <w:rFonts w:hAnsi="標楷體"/>
                <w:sz w:val="24"/>
                <w:szCs w:val="24"/>
              </w:rPr>
              <w:t>（</w:t>
            </w:r>
            <w:proofErr w:type="gramEnd"/>
            <w:r w:rsidRPr="001B6E4D">
              <w:rPr>
                <w:rFonts w:hAnsi="標楷體"/>
                <w:sz w:val="24"/>
                <w:szCs w:val="24"/>
              </w:rPr>
              <w:t>修正重點：建立高</w:t>
            </w:r>
            <w:proofErr w:type="gramStart"/>
            <w:r w:rsidRPr="001B6E4D">
              <w:rPr>
                <w:rFonts w:hAnsi="標楷體"/>
                <w:sz w:val="24"/>
                <w:szCs w:val="24"/>
              </w:rPr>
              <w:t>風險毒駕案件</w:t>
            </w:r>
            <w:proofErr w:type="gramEnd"/>
            <w:r w:rsidRPr="001B6E4D">
              <w:rPr>
                <w:rFonts w:hAnsi="標楷體"/>
                <w:sz w:val="24"/>
                <w:szCs w:val="24"/>
              </w:rPr>
              <w:t>原則羈押、</w:t>
            </w:r>
            <w:r w:rsidRPr="001B6E4D">
              <w:rPr>
                <w:rFonts w:hAnsi="標楷體"/>
                <w:sz w:val="24"/>
                <w:szCs w:val="24"/>
              </w:rPr>
              <w:lastRenderedPageBreak/>
              <w:t>嚴格例外釋放、替代處分說理義務，並銜接延長羈押、停止羈押及再執行羈押程序。）</w:t>
            </w:r>
          </w:p>
        </w:tc>
        <w:tc>
          <w:tcPr>
            <w:tcW w:w="1228" w:type="pct"/>
          </w:tcPr>
          <w:p w14:paraId="753D5F8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委員王育敏</w:t>
            </w:r>
          </w:p>
          <w:p w14:paraId="4E87C7A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4A02BE9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115.07.14</w:t>
            </w:r>
          </w:p>
          <w:p w14:paraId="6B4F6388" w14:textId="665567F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（11-5-17）</w:t>
            </w:r>
          </w:p>
        </w:tc>
        <w:tc>
          <w:tcPr>
            <w:tcW w:w="858" w:type="pct"/>
          </w:tcPr>
          <w:p w14:paraId="5FAA3F6E" w14:textId="7AF11E5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215055E0" w14:textId="15D0723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27926079" w14:textId="77777777" w:rsidTr="00787DE8">
        <w:tc>
          <w:tcPr>
            <w:tcW w:w="367" w:type="pct"/>
          </w:tcPr>
          <w:p w14:paraId="765D3C05" w14:textId="1B76C12D"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40</w:t>
            </w:r>
          </w:p>
        </w:tc>
        <w:tc>
          <w:tcPr>
            <w:tcW w:w="1734" w:type="pct"/>
          </w:tcPr>
          <w:p w14:paraId="71D480DA" w14:textId="12A2A4F6"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刑事訴訟法第四百二十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修正重點：將法律之新增、修正或廢止納入再審理由。）</w:t>
            </w:r>
          </w:p>
        </w:tc>
        <w:tc>
          <w:tcPr>
            <w:tcW w:w="1228" w:type="pct"/>
          </w:tcPr>
          <w:p w14:paraId="69E7B20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委員邱鎮軍</w:t>
            </w:r>
          </w:p>
          <w:p w14:paraId="78A5DB2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0DD5903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115.07.17</w:t>
            </w:r>
          </w:p>
          <w:p w14:paraId="006020E9" w14:textId="550A12B3"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w:t>
            </w:r>
          </w:p>
        </w:tc>
        <w:tc>
          <w:tcPr>
            <w:tcW w:w="858" w:type="pct"/>
          </w:tcPr>
          <w:p w14:paraId="02DB4BE9" w14:textId="00DE36F8"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31FBE524" w14:textId="671FBBD5"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16A0FCE4" w14:textId="77777777" w:rsidTr="00787DE8">
        <w:tc>
          <w:tcPr>
            <w:tcW w:w="367" w:type="pct"/>
          </w:tcPr>
          <w:p w14:paraId="35CDC014" w14:textId="0F3B38B6"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41</w:t>
            </w:r>
          </w:p>
        </w:tc>
        <w:tc>
          <w:tcPr>
            <w:tcW w:w="1734" w:type="pct"/>
          </w:tcPr>
          <w:p w14:paraId="314E8301" w14:textId="5BF7B717" w:rsidR="00142A94" w:rsidRPr="001B6E4D" w:rsidRDefault="00142A94" w:rsidP="003D1018">
            <w:pPr>
              <w:pStyle w:val="01"/>
              <w:overflowPunct w:val="0"/>
              <w:rPr>
                <w:rFonts w:hAnsi="標楷體" w:cs="Times New Roman"/>
                <w:color w:val="000000" w:themeColor="text1"/>
                <w:sz w:val="24"/>
                <w:szCs w:val="24"/>
              </w:rPr>
            </w:pPr>
            <w:proofErr w:type="gramStart"/>
            <w:r w:rsidRPr="001B6E4D">
              <w:rPr>
                <w:rFonts w:hAnsi="標楷體"/>
                <w:sz w:val="24"/>
                <w:szCs w:val="24"/>
              </w:rPr>
              <w:t>刑事妥</w:t>
            </w:r>
            <w:proofErr w:type="gramEnd"/>
            <w:r w:rsidRPr="001B6E4D">
              <w:rPr>
                <w:rFonts w:hAnsi="標楷體"/>
                <w:sz w:val="24"/>
                <w:szCs w:val="24"/>
              </w:rPr>
              <w:t>速審判法第六</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修正重點：限制檢察官對無罪判決不得上訴。）</w:t>
            </w:r>
          </w:p>
        </w:tc>
        <w:tc>
          <w:tcPr>
            <w:tcW w:w="1228" w:type="pct"/>
          </w:tcPr>
          <w:p w14:paraId="7D79C87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委員蔡易餘</w:t>
            </w:r>
          </w:p>
          <w:p w14:paraId="440C999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326DAC7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113.03.15</w:t>
            </w:r>
          </w:p>
          <w:p w14:paraId="2C0478A2" w14:textId="347D62CA"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（11-1-5）</w:t>
            </w:r>
          </w:p>
        </w:tc>
        <w:tc>
          <w:tcPr>
            <w:tcW w:w="858" w:type="pct"/>
          </w:tcPr>
          <w:p w14:paraId="4294AC54" w14:textId="41E70244"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5CA3E54F" w14:textId="2480F512"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29399B5E" w14:textId="77777777" w:rsidTr="00787DE8">
        <w:tc>
          <w:tcPr>
            <w:tcW w:w="367" w:type="pct"/>
          </w:tcPr>
          <w:p w14:paraId="5F308919" w14:textId="63D38023"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42</w:t>
            </w:r>
          </w:p>
        </w:tc>
        <w:tc>
          <w:tcPr>
            <w:tcW w:w="1734" w:type="pct"/>
          </w:tcPr>
          <w:p w14:paraId="64086437" w14:textId="2B01B827"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1.少年事件處理法部分條文修正草案</w:t>
            </w:r>
            <w:proofErr w:type="gramStart"/>
            <w:r w:rsidRPr="001B6E4D">
              <w:rPr>
                <w:rFonts w:hAnsi="標楷體"/>
                <w:sz w:val="24"/>
                <w:szCs w:val="24"/>
              </w:rPr>
              <w:t>（</w:t>
            </w:r>
            <w:proofErr w:type="gramEnd"/>
            <w:r w:rsidRPr="001B6E4D">
              <w:rPr>
                <w:rFonts w:hAnsi="標楷體"/>
                <w:sz w:val="24"/>
                <w:szCs w:val="24"/>
              </w:rPr>
              <w:t>修正§18-7、21、22、23-1、24、26-1、27、28、42、55、55-2、56、57、61、62、64-1~2、80、81、83-1~2、87。修正重點：增訂少年事件多元化保護處分間轉換機制、少年前案得視為未曾受宣告之要件。）</w:t>
            </w:r>
          </w:p>
        </w:tc>
        <w:tc>
          <w:tcPr>
            <w:tcW w:w="1228" w:type="pct"/>
          </w:tcPr>
          <w:p w14:paraId="0741AE3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司法院、行政院</w:t>
            </w:r>
          </w:p>
          <w:p w14:paraId="7DC6203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114.08.01</w:t>
            </w:r>
          </w:p>
          <w:p w14:paraId="30F96D8B" w14:textId="34CED7D1"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（11-3-23）</w:t>
            </w:r>
          </w:p>
        </w:tc>
        <w:tc>
          <w:tcPr>
            <w:tcW w:w="858" w:type="pct"/>
          </w:tcPr>
          <w:p w14:paraId="6BEC45FC" w14:textId="18FF49D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113379D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7ED675F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114.11.12</w:t>
            </w:r>
          </w:p>
          <w:p w14:paraId="6245C23D" w14:textId="047943EE"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(11-4-7)報告及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21D4DAA6" w14:textId="77777777" w:rsidTr="00787DE8">
        <w:tc>
          <w:tcPr>
            <w:tcW w:w="367" w:type="pct"/>
          </w:tcPr>
          <w:p w14:paraId="2C74EA38" w14:textId="2F06BAD4"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43</w:t>
            </w:r>
          </w:p>
        </w:tc>
        <w:tc>
          <w:tcPr>
            <w:tcW w:w="1734" w:type="pct"/>
          </w:tcPr>
          <w:p w14:paraId="1C4A38FE" w14:textId="41156E64"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2.少年事件處理法第七十四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修正重點：將原本犯最重</w:t>
            </w:r>
            <w:proofErr w:type="gramStart"/>
            <w:r w:rsidRPr="001B6E4D">
              <w:rPr>
                <w:rFonts w:hAnsi="標楷體"/>
                <w:sz w:val="24"/>
                <w:szCs w:val="24"/>
              </w:rPr>
              <w:t>本刑不超過</w:t>
            </w:r>
            <w:proofErr w:type="gramEnd"/>
            <w:r w:rsidRPr="001B6E4D">
              <w:rPr>
                <w:rFonts w:hAnsi="標楷體"/>
                <w:sz w:val="24"/>
                <w:szCs w:val="24"/>
              </w:rPr>
              <w:t>10年以下之罪即符合審酌免刑之規定，修正為凡犯最重本刑超過7年之罪者便無法適用之。）</w:t>
            </w:r>
          </w:p>
        </w:tc>
        <w:tc>
          <w:tcPr>
            <w:tcW w:w="1228" w:type="pct"/>
          </w:tcPr>
          <w:p w14:paraId="11627D4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委員廖偉翔</w:t>
            </w:r>
          </w:p>
          <w:p w14:paraId="0A6DA32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2B18E12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113.03.29</w:t>
            </w:r>
          </w:p>
          <w:p w14:paraId="66792929" w14:textId="7481F0FA"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（11-1-7）</w:t>
            </w:r>
          </w:p>
        </w:tc>
        <w:tc>
          <w:tcPr>
            <w:tcW w:w="858" w:type="pct"/>
          </w:tcPr>
          <w:p w14:paraId="512CEF46" w14:textId="6E0C735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3DF3B2D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4920590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114.11.12</w:t>
            </w:r>
          </w:p>
          <w:p w14:paraId="43E4210D" w14:textId="7904AF4B"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(11-4-7)報告及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12ECE4E3" w14:textId="77777777" w:rsidTr="00787DE8">
        <w:tc>
          <w:tcPr>
            <w:tcW w:w="367" w:type="pct"/>
          </w:tcPr>
          <w:p w14:paraId="4208DF6D" w14:textId="159E6BC1"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44</w:t>
            </w:r>
          </w:p>
        </w:tc>
        <w:tc>
          <w:tcPr>
            <w:tcW w:w="1734" w:type="pct"/>
          </w:tcPr>
          <w:p w14:paraId="697025FF" w14:textId="6A29196E"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3.少年事件處理法部分條文修正草案</w:t>
            </w:r>
            <w:proofErr w:type="gramStart"/>
            <w:r w:rsidRPr="001B6E4D">
              <w:rPr>
                <w:rFonts w:hAnsi="標楷體"/>
                <w:sz w:val="24"/>
                <w:szCs w:val="24"/>
              </w:rPr>
              <w:t>（</w:t>
            </w:r>
            <w:proofErr w:type="gramEnd"/>
            <w:r w:rsidRPr="001B6E4D">
              <w:rPr>
                <w:rFonts w:hAnsi="標楷體"/>
                <w:sz w:val="24"/>
                <w:szCs w:val="24"/>
              </w:rPr>
              <w:t>修正§21、22、23-1、26-1、27、28、42、55、55-2、56、61、62、64-1~2、80、81、83-1~2、87。修正重點：明定少年前案之處分或刑之執行完畢或赦免後5年內，未再受他案之處分或刑之宣告，其前案</w:t>
            </w:r>
            <w:r w:rsidRPr="001B6E4D">
              <w:rPr>
                <w:rFonts w:hAnsi="標楷體"/>
                <w:sz w:val="24"/>
                <w:szCs w:val="24"/>
              </w:rPr>
              <w:lastRenderedPageBreak/>
              <w:t>始視為未曾受各該宣告。）</w:t>
            </w:r>
          </w:p>
        </w:tc>
        <w:tc>
          <w:tcPr>
            <w:tcW w:w="1228" w:type="pct"/>
          </w:tcPr>
          <w:p w14:paraId="2C6F5B0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委員羅廷</w:t>
            </w:r>
            <w:proofErr w:type="gramStart"/>
            <w:r w:rsidRPr="001B6E4D">
              <w:rPr>
                <w:rFonts w:ascii="標楷體" w:eastAsia="標楷體" w:hAnsi="標楷體"/>
                <w:sz w:val="24"/>
              </w:rPr>
              <w:t>瑋</w:t>
            </w:r>
            <w:proofErr w:type="gramEnd"/>
          </w:p>
          <w:p w14:paraId="4702EF4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等17人</w:t>
            </w:r>
          </w:p>
          <w:p w14:paraId="56A286A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113.07.05</w:t>
            </w:r>
          </w:p>
          <w:p w14:paraId="0E6E99D5" w14:textId="3414AB48"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（11-1-21）</w:t>
            </w:r>
          </w:p>
        </w:tc>
        <w:tc>
          <w:tcPr>
            <w:tcW w:w="858" w:type="pct"/>
          </w:tcPr>
          <w:p w14:paraId="44102CF6" w14:textId="2DCB40F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1CF6028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24CBB76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114.7.2舉行「立意良善的少年事件處理法，錯了嗎？『行政輔導先行』制度之檢討與策</w:t>
            </w:r>
            <w:r w:rsidRPr="001B6E4D">
              <w:rPr>
                <w:rFonts w:ascii="標楷體" w:eastAsia="標楷體" w:hAnsi="標楷體"/>
                <w:sz w:val="24"/>
              </w:rPr>
              <w:lastRenderedPageBreak/>
              <w:t>進」公聽會。</w:t>
            </w:r>
          </w:p>
          <w:p w14:paraId="3648CE4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221D5E8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114.11.12</w:t>
            </w:r>
          </w:p>
          <w:p w14:paraId="3B99B621" w14:textId="5BC0C68C"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(11-4-7)報告及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6419FBF5" w14:textId="77777777" w:rsidTr="00787DE8">
        <w:tc>
          <w:tcPr>
            <w:tcW w:w="367" w:type="pct"/>
          </w:tcPr>
          <w:p w14:paraId="1AFA3346" w14:textId="148CA685"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lastRenderedPageBreak/>
              <w:t>45</w:t>
            </w:r>
          </w:p>
        </w:tc>
        <w:tc>
          <w:tcPr>
            <w:tcW w:w="1734" w:type="pct"/>
          </w:tcPr>
          <w:p w14:paraId="0B8DB9B5" w14:textId="20557704"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4.少年事件處理法第八十三條之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修正重點：對於部分嚴重犯罪兒少，必要時可附加紀錄塗銷之條件。）</w:t>
            </w:r>
          </w:p>
        </w:tc>
        <w:tc>
          <w:tcPr>
            <w:tcW w:w="1228" w:type="pct"/>
          </w:tcPr>
          <w:p w14:paraId="2FF4681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委員林月琴</w:t>
            </w:r>
          </w:p>
          <w:p w14:paraId="4E4A428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等24人</w:t>
            </w:r>
          </w:p>
          <w:p w14:paraId="11E603E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114.08.15</w:t>
            </w:r>
          </w:p>
          <w:p w14:paraId="571A0DD9" w14:textId="4030F29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（11-3-25）</w:t>
            </w:r>
          </w:p>
        </w:tc>
        <w:tc>
          <w:tcPr>
            <w:tcW w:w="858" w:type="pct"/>
          </w:tcPr>
          <w:p w14:paraId="1D922769" w14:textId="2876D38F"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7789809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7116B60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114.11.12</w:t>
            </w:r>
          </w:p>
          <w:p w14:paraId="0AFE9800" w14:textId="0F5346E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(11-4-7)報告及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216E28FB" w14:textId="77777777" w:rsidTr="00787DE8">
        <w:tc>
          <w:tcPr>
            <w:tcW w:w="367" w:type="pct"/>
          </w:tcPr>
          <w:p w14:paraId="5B87EA38" w14:textId="196B811B"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46</w:t>
            </w:r>
          </w:p>
        </w:tc>
        <w:tc>
          <w:tcPr>
            <w:tcW w:w="1734" w:type="pct"/>
          </w:tcPr>
          <w:p w14:paraId="08314D26" w14:textId="02BE8512"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5.少年事件處理法第八十三條之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修正重點：修正少年</w:t>
            </w:r>
            <w:proofErr w:type="gramStart"/>
            <w:r w:rsidRPr="001B6E4D">
              <w:rPr>
                <w:rFonts w:hAnsi="標楷體"/>
                <w:sz w:val="24"/>
                <w:szCs w:val="24"/>
              </w:rPr>
              <w:t>前案塗銷</w:t>
            </w:r>
            <w:proofErr w:type="gramEnd"/>
            <w:r w:rsidRPr="001B6E4D">
              <w:rPr>
                <w:rFonts w:hAnsi="標楷體"/>
                <w:sz w:val="24"/>
                <w:szCs w:val="24"/>
              </w:rPr>
              <w:t>之規定。）</w:t>
            </w:r>
          </w:p>
        </w:tc>
        <w:tc>
          <w:tcPr>
            <w:tcW w:w="1228" w:type="pct"/>
          </w:tcPr>
          <w:p w14:paraId="4293F18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委員沈伯洋</w:t>
            </w:r>
          </w:p>
          <w:p w14:paraId="40A4E3A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等19人</w:t>
            </w:r>
          </w:p>
          <w:p w14:paraId="10BDD52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114.10.17</w:t>
            </w:r>
          </w:p>
          <w:p w14:paraId="6669665F" w14:textId="5DA648ED"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（11-4-5）</w:t>
            </w:r>
          </w:p>
        </w:tc>
        <w:tc>
          <w:tcPr>
            <w:tcW w:w="858" w:type="pct"/>
          </w:tcPr>
          <w:p w14:paraId="748933DC" w14:textId="2BB76054"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0B23AF2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7303272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114.11.12</w:t>
            </w:r>
          </w:p>
          <w:p w14:paraId="4E976799" w14:textId="5B0322DE"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(11-4-7)報告及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1174C4F6" w14:textId="77777777" w:rsidTr="00787DE8">
        <w:tc>
          <w:tcPr>
            <w:tcW w:w="367" w:type="pct"/>
          </w:tcPr>
          <w:p w14:paraId="3C471CF7" w14:textId="7B2873EF"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47</w:t>
            </w:r>
          </w:p>
        </w:tc>
        <w:tc>
          <w:tcPr>
            <w:tcW w:w="1734" w:type="pct"/>
          </w:tcPr>
          <w:p w14:paraId="0F2F121D" w14:textId="18704B2C"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6.少年事件處理法部分條文修正草案</w:t>
            </w:r>
            <w:proofErr w:type="gramStart"/>
            <w:r w:rsidRPr="001B6E4D">
              <w:rPr>
                <w:rFonts w:hAnsi="標楷體"/>
                <w:sz w:val="24"/>
                <w:szCs w:val="24"/>
              </w:rPr>
              <w:t>（</w:t>
            </w:r>
            <w:proofErr w:type="gramEnd"/>
            <w:r w:rsidRPr="001B6E4D">
              <w:rPr>
                <w:rFonts w:hAnsi="標楷體"/>
                <w:sz w:val="24"/>
                <w:szCs w:val="24"/>
              </w:rPr>
              <w:t>修正§18-7、21、22、23-1、24、26-1、27、28、42、55、55-2、56、57、61、62、64-1~2、80、81、83-1~2、87。修正重點：強化少年法院保護處遇之彈性機制及少年</w:t>
            </w:r>
            <w:proofErr w:type="gramStart"/>
            <w:r w:rsidRPr="001B6E4D">
              <w:rPr>
                <w:rFonts w:hAnsi="標楷體"/>
                <w:sz w:val="24"/>
                <w:szCs w:val="24"/>
              </w:rPr>
              <w:t>前案塗銷</w:t>
            </w:r>
            <w:proofErr w:type="gramEnd"/>
            <w:r w:rsidRPr="001B6E4D">
              <w:rPr>
                <w:rFonts w:hAnsi="標楷體"/>
                <w:sz w:val="24"/>
                <w:szCs w:val="24"/>
              </w:rPr>
              <w:t>審查機制。）</w:t>
            </w:r>
          </w:p>
        </w:tc>
        <w:tc>
          <w:tcPr>
            <w:tcW w:w="1228" w:type="pct"/>
          </w:tcPr>
          <w:p w14:paraId="5A68071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委員沈發惠</w:t>
            </w:r>
          </w:p>
          <w:p w14:paraId="63E3E75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392F28C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114.10.17</w:t>
            </w:r>
          </w:p>
          <w:p w14:paraId="1BD6A8F8" w14:textId="613D611E"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（11-4-5）</w:t>
            </w:r>
          </w:p>
        </w:tc>
        <w:tc>
          <w:tcPr>
            <w:tcW w:w="858" w:type="pct"/>
          </w:tcPr>
          <w:p w14:paraId="151D020C" w14:textId="0ED8285E"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0287FDB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361D0BA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114.11.12</w:t>
            </w:r>
          </w:p>
          <w:p w14:paraId="14E43292" w14:textId="1354EC07"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(11-4-7)報告及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4BAAC4D5" w14:textId="77777777" w:rsidTr="00787DE8">
        <w:tc>
          <w:tcPr>
            <w:tcW w:w="367" w:type="pct"/>
          </w:tcPr>
          <w:p w14:paraId="5C7F2AD7" w14:textId="6BDA8FFB"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48</w:t>
            </w:r>
          </w:p>
        </w:tc>
        <w:tc>
          <w:tcPr>
            <w:tcW w:w="1734" w:type="pct"/>
          </w:tcPr>
          <w:p w14:paraId="159B6DA6" w14:textId="373CC2DA"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7.少年事件處理法第三十一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修正重點：增列身心障礙、原住民身分、低收入戶或中低收入戶等情形為強制輔佐範圍。）</w:t>
            </w:r>
          </w:p>
        </w:tc>
        <w:tc>
          <w:tcPr>
            <w:tcW w:w="1228" w:type="pct"/>
          </w:tcPr>
          <w:p w14:paraId="34F8E5C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4B947F0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等17人</w:t>
            </w:r>
          </w:p>
          <w:p w14:paraId="1ADAFB8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114.09.30</w:t>
            </w:r>
          </w:p>
          <w:p w14:paraId="06CA303B" w14:textId="5DF1244A"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（11-4-2）</w:t>
            </w:r>
          </w:p>
        </w:tc>
        <w:tc>
          <w:tcPr>
            <w:tcW w:w="858" w:type="pct"/>
          </w:tcPr>
          <w:p w14:paraId="15A90062" w14:textId="2AFE89DB"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25C34E5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50A1860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114.11.12</w:t>
            </w:r>
          </w:p>
          <w:p w14:paraId="0F8064E1" w14:textId="5F9F6EEB"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(11-4-7)報告及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41EA2C92" w14:textId="77777777" w:rsidTr="00787DE8">
        <w:tc>
          <w:tcPr>
            <w:tcW w:w="367" w:type="pct"/>
          </w:tcPr>
          <w:p w14:paraId="14A6A2E6" w14:textId="7843967C"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49</w:t>
            </w:r>
          </w:p>
        </w:tc>
        <w:tc>
          <w:tcPr>
            <w:tcW w:w="1734" w:type="pct"/>
          </w:tcPr>
          <w:p w14:paraId="57C4088D" w14:textId="616B5349"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8.少年事件處理法部分條文修正草案</w:t>
            </w:r>
            <w:proofErr w:type="gramStart"/>
            <w:r w:rsidRPr="001B6E4D">
              <w:rPr>
                <w:rFonts w:hAnsi="標楷體"/>
                <w:sz w:val="24"/>
                <w:szCs w:val="24"/>
              </w:rPr>
              <w:t>（</w:t>
            </w:r>
            <w:proofErr w:type="gramEnd"/>
            <w:r w:rsidRPr="001B6E4D">
              <w:rPr>
                <w:rFonts w:hAnsi="標楷體"/>
                <w:sz w:val="24"/>
                <w:szCs w:val="24"/>
              </w:rPr>
              <w:t>修正§3、18-7、21、22、23-1、24、26-1、</w:t>
            </w:r>
            <w:r w:rsidRPr="001B6E4D">
              <w:rPr>
                <w:rFonts w:hAnsi="標楷體"/>
                <w:sz w:val="24"/>
                <w:szCs w:val="24"/>
              </w:rPr>
              <w:lastRenderedPageBreak/>
              <w:t>27、28、42、55、55-2、56、57、61、62、64-1~2、80、81、83-2、87。修正重點：增訂少年事件多元化保護處分間轉換機制、少年前案得視為未曾受宣告之要件。）</w:t>
            </w:r>
          </w:p>
        </w:tc>
        <w:tc>
          <w:tcPr>
            <w:tcW w:w="1228" w:type="pct"/>
          </w:tcPr>
          <w:p w14:paraId="22123EE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委員林月琴</w:t>
            </w:r>
          </w:p>
          <w:p w14:paraId="3104586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等20人</w:t>
            </w:r>
          </w:p>
          <w:p w14:paraId="0EC0F0A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114.11.14</w:t>
            </w:r>
          </w:p>
          <w:p w14:paraId="1688EF81" w14:textId="1ADD83E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lastRenderedPageBreak/>
              <w:t>（11-4-9）</w:t>
            </w:r>
          </w:p>
        </w:tc>
        <w:tc>
          <w:tcPr>
            <w:tcW w:w="858" w:type="pct"/>
          </w:tcPr>
          <w:p w14:paraId="1E58D905" w14:textId="5D297C90"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lastRenderedPageBreak/>
              <w:t>司法及法制</w:t>
            </w:r>
          </w:p>
        </w:tc>
        <w:tc>
          <w:tcPr>
            <w:tcW w:w="813" w:type="pct"/>
          </w:tcPr>
          <w:p w14:paraId="518A4E49" w14:textId="6142AB15"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66183FA7" w14:textId="77777777" w:rsidTr="00787DE8">
        <w:tc>
          <w:tcPr>
            <w:tcW w:w="367" w:type="pct"/>
          </w:tcPr>
          <w:p w14:paraId="6C6B269A" w14:textId="7D3132CD"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50</w:t>
            </w:r>
          </w:p>
        </w:tc>
        <w:tc>
          <w:tcPr>
            <w:tcW w:w="1734" w:type="pct"/>
          </w:tcPr>
          <w:p w14:paraId="65B4CC91" w14:textId="630836D6"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9.少年事件處理法部分條文修正草案</w:t>
            </w:r>
            <w:proofErr w:type="gramStart"/>
            <w:r w:rsidRPr="001B6E4D">
              <w:rPr>
                <w:rFonts w:hAnsi="標楷體"/>
                <w:sz w:val="24"/>
                <w:szCs w:val="24"/>
              </w:rPr>
              <w:t>（</w:t>
            </w:r>
            <w:proofErr w:type="gramEnd"/>
            <w:r w:rsidRPr="001B6E4D">
              <w:rPr>
                <w:rFonts w:hAnsi="標楷體"/>
                <w:sz w:val="24"/>
                <w:szCs w:val="24"/>
              </w:rPr>
              <w:t>修正§3、9、42；增訂§3-5。修正重點：保障少年事件兩造權益，以及後續輔導少年得以健全自我成長。）</w:t>
            </w:r>
          </w:p>
        </w:tc>
        <w:tc>
          <w:tcPr>
            <w:tcW w:w="1228" w:type="pct"/>
          </w:tcPr>
          <w:p w14:paraId="440DE39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委員羅智強</w:t>
            </w:r>
          </w:p>
          <w:p w14:paraId="63E1E8B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等27人</w:t>
            </w:r>
          </w:p>
          <w:p w14:paraId="6CAA40F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114.11.21</w:t>
            </w:r>
          </w:p>
          <w:p w14:paraId="6418C2CC" w14:textId="5A8A7D2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（11-4-10）</w:t>
            </w:r>
          </w:p>
        </w:tc>
        <w:tc>
          <w:tcPr>
            <w:tcW w:w="858" w:type="pct"/>
          </w:tcPr>
          <w:p w14:paraId="24F5EA12" w14:textId="48F3B657"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092185D7" w14:textId="477CA047"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0D89C5B2" w14:textId="77777777" w:rsidTr="00787DE8">
        <w:tc>
          <w:tcPr>
            <w:tcW w:w="367" w:type="pct"/>
          </w:tcPr>
          <w:p w14:paraId="1EB86352" w14:textId="748B069F"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51</w:t>
            </w:r>
          </w:p>
        </w:tc>
        <w:tc>
          <w:tcPr>
            <w:tcW w:w="1734" w:type="pct"/>
          </w:tcPr>
          <w:p w14:paraId="22C70294" w14:textId="0B6F0A05"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10.少年事件處理法第八十三條之</w:t>
            </w:r>
            <w:proofErr w:type="gramStart"/>
            <w:r w:rsidRPr="001B6E4D">
              <w:rPr>
                <w:rFonts w:hAnsi="標楷體"/>
                <w:sz w:val="24"/>
                <w:szCs w:val="24"/>
              </w:rPr>
              <w:t>一</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修正重點：少年前案之處分或刑之執行完畢或赦免後，3年內未再受他案之處分或刑之宣告，其前案始視為未曾受各該宣告。）</w:t>
            </w:r>
          </w:p>
        </w:tc>
        <w:tc>
          <w:tcPr>
            <w:tcW w:w="1228" w:type="pct"/>
          </w:tcPr>
          <w:p w14:paraId="5702A26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委員吳思瑤</w:t>
            </w:r>
          </w:p>
          <w:p w14:paraId="1B1D7D6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5560711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114.11.21</w:t>
            </w:r>
          </w:p>
          <w:p w14:paraId="47BAADAC" w14:textId="6FDE9029"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（11-4-10）</w:t>
            </w:r>
          </w:p>
        </w:tc>
        <w:tc>
          <w:tcPr>
            <w:tcW w:w="858" w:type="pct"/>
          </w:tcPr>
          <w:p w14:paraId="5FA58B61" w14:textId="5B61B68E"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6CE0F7A7" w14:textId="38647D65"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26705025" w14:textId="77777777" w:rsidTr="00787DE8">
        <w:tc>
          <w:tcPr>
            <w:tcW w:w="367" w:type="pct"/>
          </w:tcPr>
          <w:p w14:paraId="07F8168B" w14:textId="543C5717" w:rsidR="00142A94" w:rsidRPr="001B6E4D" w:rsidRDefault="00142A94"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52</w:t>
            </w:r>
          </w:p>
        </w:tc>
        <w:tc>
          <w:tcPr>
            <w:tcW w:w="1734" w:type="pct"/>
          </w:tcPr>
          <w:p w14:paraId="53858D50" w14:textId="729E8073" w:rsidR="00142A94" w:rsidRPr="001B6E4D" w:rsidRDefault="00142A94" w:rsidP="003D1018">
            <w:pPr>
              <w:pStyle w:val="01"/>
              <w:overflowPunct w:val="0"/>
              <w:rPr>
                <w:rFonts w:hAnsi="標楷體" w:cs="Times New Roman"/>
                <w:color w:val="000000" w:themeColor="text1"/>
                <w:sz w:val="24"/>
                <w:szCs w:val="24"/>
              </w:rPr>
            </w:pPr>
            <w:r w:rsidRPr="001B6E4D">
              <w:rPr>
                <w:rFonts w:hAnsi="標楷體"/>
                <w:sz w:val="24"/>
                <w:szCs w:val="24"/>
              </w:rPr>
              <w:t>11.少年事件處理法部分條文修正草案</w:t>
            </w:r>
            <w:proofErr w:type="gramStart"/>
            <w:r w:rsidRPr="001B6E4D">
              <w:rPr>
                <w:rFonts w:hAnsi="標楷體"/>
                <w:sz w:val="24"/>
                <w:szCs w:val="24"/>
              </w:rPr>
              <w:t>（</w:t>
            </w:r>
            <w:proofErr w:type="gramEnd"/>
            <w:r w:rsidRPr="001B6E4D">
              <w:rPr>
                <w:rFonts w:hAnsi="標楷體"/>
                <w:sz w:val="24"/>
                <w:szCs w:val="24"/>
              </w:rPr>
              <w:t>修正§18-7、21、22、23-1、24、26-1、27、28、42、55、55-2、56、57、61、62、64-1~2、80、81。修正重點：少年法院得視少年個別需求，適時調整多元化保護處分轉換機制。）</w:t>
            </w:r>
          </w:p>
        </w:tc>
        <w:tc>
          <w:tcPr>
            <w:tcW w:w="1228" w:type="pct"/>
          </w:tcPr>
          <w:p w14:paraId="7441652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委員莊瑞雄</w:t>
            </w:r>
          </w:p>
          <w:p w14:paraId="0BD329F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3EFCDE3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114.11.21</w:t>
            </w:r>
          </w:p>
          <w:p w14:paraId="458B2674" w14:textId="05E4B6E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（11-4-10）</w:t>
            </w:r>
          </w:p>
        </w:tc>
        <w:tc>
          <w:tcPr>
            <w:tcW w:w="858" w:type="pct"/>
          </w:tcPr>
          <w:p w14:paraId="064F1BAB" w14:textId="42DF2E6B"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3" w:type="pct"/>
          </w:tcPr>
          <w:p w14:paraId="23E51556" w14:textId="58DBB356" w:rsidR="00142A94" w:rsidRPr="001B6E4D" w:rsidRDefault="00142A94"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142A94" w:rsidRPr="001B6E4D" w14:paraId="37E6307A" w14:textId="77777777" w:rsidTr="00787DE8">
        <w:tc>
          <w:tcPr>
            <w:tcW w:w="367" w:type="pct"/>
          </w:tcPr>
          <w:p w14:paraId="5AE9797E" w14:textId="14DE7949"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53</w:t>
            </w:r>
          </w:p>
        </w:tc>
        <w:tc>
          <w:tcPr>
            <w:tcW w:w="1734" w:type="pct"/>
          </w:tcPr>
          <w:p w14:paraId="49E6BA47" w14:textId="35DFAB81" w:rsidR="00142A94" w:rsidRPr="001B6E4D" w:rsidRDefault="00142A94" w:rsidP="003D1018">
            <w:pPr>
              <w:pStyle w:val="01"/>
              <w:overflowPunct w:val="0"/>
              <w:rPr>
                <w:rFonts w:hAnsi="標楷體"/>
                <w:sz w:val="24"/>
                <w:szCs w:val="24"/>
              </w:rPr>
            </w:pPr>
            <w:r w:rsidRPr="001B6E4D">
              <w:rPr>
                <w:rFonts w:hAnsi="標楷體"/>
                <w:sz w:val="24"/>
                <w:szCs w:val="24"/>
              </w:rPr>
              <w:t>12.少年事件處理法部分條文修正草案</w:t>
            </w:r>
            <w:proofErr w:type="gramStart"/>
            <w:r w:rsidRPr="001B6E4D">
              <w:rPr>
                <w:rFonts w:hAnsi="標楷體"/>
                <w:sz w:val="24"/>
                <w:szCs w:val="24"/>
              </w:rPr>
              <w:t>（</w:t>
            </w:r>
            <w:proofErr w:type="gramEnd"/>
            <w:r w:rsidRPr="001B6E4D">
              <w:rPr>
                <w:rFonts w:hAnsi="標楷體"/>
                <w:sz w:val="24"/>
                <w:szCs w:val="24"/>
              </w:rPr>
              <w:t>修正§18-7、24、28、42。修正重點：明確少年事件程序中司法警察之權限及</w:t>
            </w:r>
            <w:proofErr w:type="gramStart"/>
            <w:r w:rsidRPr="001B6E4D">
              <w:rPr>
                <w:rFonts w:hAnsi="標楷體"/>
                <w:sz w:val="24"/>
                <w:szCs w:val="24"/>
              </w:rPr>
              <w:t>準</w:t>
            </w:r>
            <w:proofErr w:type="gramEnd"/>
            <w:r w:rsidRPr="001B6E4D">
              <w:rPr>
                <w:rFonts w:hAnsi="標楷體"/>
                <w:sz w:val="24"/>
                <w:szCs w:val="24"/>
              </w:rPr>
              <w:t>用刑事訴訟法之相關規定、強化對於有身心障礙少年之治療處遇依據。）</w:t>
            </w:r>
          </w:p>
        </w:tc>
        <w:tc>
          <w:tcPr>
            <w:tcW w:w="1228" w:type="pct"/>
          </w:tcPr>
          <w:p w14:paraId="60C3405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委員林倩綺</w:t>
            </w:r>
          </w:p>
          <w:p w14:paraId="3D891B1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等23人</w:t>
            </w:r>
          </w:p>
          <w:p w14:paraId="4FE0D2A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114.11.21</w:t>
            </w:r>
          </w:p>
          <w:p w14:paraId="33851806" w14:textId="7EFE9C05"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（11-4-10）</w:t>
            </w:r>
          </w:p>
        </w:tc>
        <w:tc>
          <w:tcPr>
            <w:tcW w:w="858" w:type="pct"/>
          </w:tcPr>
          <w:p w14:paraId="13F77D0B" w14:textId="08B46AF9"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1884C0D3" w14:textId="0C788F61"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56E79C05" w14:textId="77777777" w:rsidTr="00787DE8">
        <w:tc>
          <w:tcPr>
            <w:tcW w:w="367" w:type="pct"/>
          </w:tcPr>
          <w:p w14:paraId="4A5B93B3" w14:textId="0E594A14"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54</w:t>
            </w:r>
          </w:p>
        </w:tc>
        <w:tc>
          <w:tcPr>
            <w:tcW w:w="1734" w:type="pct"/>
          </w:tcPr>
          <w:p w14:paraId="363E119F" w14:textId="127BA813" w:rsidR="00142A94" w:rsidRPr="001B6E4D" w:rsidRDefault="00142A94" w:rsidP="003D1018">
            <w:pPr>
              <w:pStyle w:val="01"/>
              <w:overflowPunct w:val="0"/>
              <w:rPr>
                <w:rFonts w:hAnsi="標楷體"/>
                <w:sz w:val="24"/>
                <w:szCs w:val="24"/>
              </w:rPr>
            </w:pPr>
            <w:r w:rsidRPr="001B6E4D">
              <w:rPr>
                <w:rFonts w:hAnsi="標楷體"/>
                <w:sz w:val="24"/>
                <w:szCs w:val="24"/>
              </w:rPr>
              <w:t>13.少年事件處理法第八十</w:t>
            </w:r>
            <w:r w:rsidRPr="001B6E4D">
              <w:rPr>
                <w:rFonts w:hAnsi="標楷體"/>
                <w:sz w:val="24"/>
                <w:szCs w:val="24"/>
              </w:rPr>
              <w:lastRenderedPageBreak/>
              <w:t>三條之</w:t>
            </w:r>
            <w:proofErr w:type="gramStart"/>
            <w:r w:rsidRPr="001B6E4D">
              <w:rPr>
                <w:rFonts w:hAnsi="標楷體"/>
                <w:sz w:val="24"/>
                <w:szCs w:val="24"/>
              </w:rPr>
              <w:t>一</w:t>
            </w:r>
            <w:proofErr w:type="gramEnd"/>
            <w:r w:rsidRPr="001B6E4D">
              <w:rPr>
                <w:rFonts w:hAnsi="標楷體"/>
                <w:sz w:val="24"/>
                <w:szCs w:val="24"/>
              </w:rPr>
              <w:t>及第八十四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修正重點：輔導機關得向法院調閱特定犯罪類型之紀錄；對拒不參加親職教育者加重罰鍰。）</w:t>
            </w:r>
          </w:p>
        </w:tc>
        <w:tc>
          <w:tcPr>
            <w:tcW w:w="1228" w:type="pct"/>
          </w:tcPr>
          <w:p w14:paraId="2CEBAD5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委員徐巧芯</w:t>
            </w:r>
          </w:p>
          <w:p w14:paraId="686553D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等16人</w:t>
            </w:r>
          </w:p>
          <w:p w14:paraId="124E67A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114.11.28</w:t>
            </w:r>
          </w:p>
          <w:p w14:paraId="0636C134" w14:textId="64EA3D04"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w:t>
            </w:r>
          </w:p>
        </w:tc>
        <w:tc>
          <w:tcPr>
            <w:tcW w:w="858" w:type="pct"/>
          </w:tcPr>
          <w:p w14:paraId="7D9EA375" w14:textId="09339EC5"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司法及法制</w:t>
            </w:r>
          </w:p>
        </w:tc>
        <w:tc>
          <w:tcPr>
            <w:tcW w:w="813" w:type="pct"/>
          </w:tcPr>
          <w:p w14:paraId="49F1A8DA" w14:textId="1C5E96A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24184335" w14:textId="77777777" w:rsidTr="00787DE8">
        <w:tc>
          <w:tcPr>
            <w:tcW w:w="367" w:type="pct"/>
          </w:tcPr>
          <w:p w14:paraId="6138BF39" w14:textId="51D70731"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55</w:t>
            </w:r>
          </w:p>
        </w:tc>
        <w:tc>
          <w:tcPr>
            <w:tcW w:w="1734" w:type="pct"/>
          </w:tcPr>
          <w:p w14:paraId="590CCE4A" w14:textId="413BD2D2" w:rsidR="00142A94" w:rsidRPr="001B6E4D" w:rsidRDefault="00142A94" w:rsidP="003D1018">
            <w:pPr>
              <w:pStyle w:val="01"/>
              <w:overflowPunct w:val="0"/>
              <w:rPr>
                <w:rFonts w:hAnsi="標楷體"/>
                <w:sz w:val="24"/>
                <w:szCs w:val="24"/>
              </w:rPr>
            </w:pPr>
            <w:r w:rsidRPr="001B6E4D">
              <w:rPr>
                <w:rFonts w:hAnsi="標楷體"/>
                <w:sz w:val="24"/>
                <w:szCs w:val="24"/>
              </w:rPr>
              <w:t>14.少年事件處理法第三十六條之</w:t>
            </w:r>
            <w:proofErr w:type="gramStart"/>
            <w:r w:rsidRPr="001B6E4D">
              <w:rPr>
                <w:rFonts w:hAnsi="標楷體"/>
                <w:sz w:val="24"/>
                <w:szCs w:val="24"/>
              </w:rPr>
              <w:t>一</w:t>
            </w:r>
            <w:proofErr w:type="gramEnd"/>
            <w:r w:rsidRPr="001B6E4D">
              <w:rPr>
                <w:rFonts w:hAnsi="標楷體"/>
                <w:sz w:val="24"/>
                <w:szCs w:val="24"/>
              </w:rPr>
              <w:t>及第三十六條之二條文修正草案</w:t>
            </w:r>
            <w:proofErr w:type="gramStart"/>
            <w:r w:rsidRPr="001B6E4D">
              <w:rPr>
                <w:rFonts w:hAnsi="標楷體"/>
                <w:sz w:val="24"/>
                <w:szCs w:val="24"/>
              </w:rPr>
              <w:t>（</w:t>
            </w:r>
            <w:proofErr w:type="gramEnd"/>
            <w:r w:rsidRPr="001B6E4D">
              <w:rPr>
                <w:rFonts w:hAnsi="標楷體"/>
                <w:sz w:val="24"/>
                <w:szCs w:val="24"/>
              </w:rPr>
              <w:t>修正重點：增修被害人陳述意見權、程序告知義務及閱卷權。）</w:t>
            </w:r>
          </w:p>
        </w:tc>
        <w:tc>
          <w:tcPr>
            <w:tcW w:w="1228" w:type="pct"/>
          </w:tcPr>
          <w:p w14:paraId="2F138AF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1BC72D4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等22人</w:t>
            </w:r>
          </w:p>
          <w:p w14:paraId="4320C6D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114.11.28</w:t>
            </w:r>
          </w:p>
          <w:p w14:paraId="5B52CBE4" w14:textId="5B7851CF"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w:t>
            </w:r>
          </w:p>
        </w:tc>
        <w:tc>
          <w:tcPr>
            <w:tcW w:w="858" w:type="pct"/>
          </w:tcPr>
          <w:p w14:paraId="1264CFF5" w14:textId="31E76524"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408AB395" w14:textId="151FE1FC"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24752283" w14:textId="77777777" w:rsidTr="00787DE8">
        <w:tc>
          <w:tcPr>
            <w:tcW w:w="367" w:type="pct"/>
          </w:tcPr>
          <w:p w14:paraId="579B2FCA" w14:textId="3CB9C578"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56</w:t>
            </w:r>
          </w:p>
        </w:tc>
        <w:tc>
          <w:tcPr>
            <w:tcW w:w="1734" w:type="pct"/>
          </w:tcPr>
          <w:p w14:paraId="77853B6F" w14:textId="3DD96A2E" w:rsidR="00142A94" w:rsidRPr="001B6E4D" w:rsidRDefault="00142A94" w:rsidP="003D1018">
            <w:pPr>
              <w:pStyle w:val="01"/>
              <w:overflowPunct w:val="0"/>
              <w:rPr>
                <w:rFonts w:hAnsi="標楷體"/>
                <w:sz w:val="24"/>
                <w:szCs w:val="24"/>
              </w:rPr>
            </w:pPr>
            <w:r w:rsidRPr="001B6E4D">
              <w:rPr>
                <w:rFonts w:hAnsi="標楷體"/>
                <w:sz w:val="24"/>
                <w:szCs w:val="24"/>
              </w:rPr>
              <w:t>15.少年事件處理法部分條文修正草案</w:t>
            </w:r>
            <w:proofErr w:type="gramStart"/>
            <w:r w:rsidRPr="001B6E4D">
              <w:rPr>
                <w:rFonts w:hAnsi="標楷體"/>
                <w:sz w:val="24"/>
                <w:szCs w:val="24"/>
              </w:rPr>
              <w:t>（</w:t>
            </w:r>
            <w:proofErr w:type="gramEnd"/>
            <w:r w:rsidRPr="001B6E4D">
              <w:rPr>
                <w:rFonts w:hAnsi="標楷體"/>
                <w:sz w:val="24"/>
                <w:szCs w:val="24"/>
              </w:rPr>
              <w:t>修正§18-7、21、22、23-1、24、26-1、27、28、42、55、55-2、56、57、61、62、64-1~2、80、81、83-1~2、87。修正重點：增訂少年事件多元化保護處分間轉換機制。）</w:t>
            </w:r>
          </w:p>
        </w:tc>
        <w:tc>
          <w:tcPr>
            <w:tcW w:w="1228" w:type="pct"/>
          </w:tcPr>
          <w:p w14:paraId="58CB3B8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委員陳培瑜</w:t>
            </w:r>
          </w:p>
          <w:p w14:paraId="07B79B9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等17人</w:t>
            </w:r>
          </w:p>
          <w:p w14:paraId="29D79DE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114.11.28</w:t>
            </w:r>
          </w:p>
          <w:p w14:paraId="4D461679" w14:textId="4FD1A8C5"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w:t>
            </w:r>
          </w:p>
        </w:tc>
        <w:tc>
          <w:tcPr>
            <w:tcW w:w="858" w:type="pct"/>
          </w:tcPr>
          <w:p w14:paraId="14D8F142" w14:textId="39445F1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61AC2786" w14:textId="0F00C0D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039D5EAA" w14:textId="77777777" w:rsidTr="00787DE8">
        <w:tc>
          <w:tcPr>
            <w:tcW w:w="367" w:type="pct"/>
          </w:tcPr>
          <w:p w14:paraId="78A9C678" w14:textId="47456285"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57</w:t>
            </w:r>
          </w:p>
        </w:tc>
        <w:tc>
          <w:tcPr>
            <w:tcW w:w="1734" w:type="pct"/>
          </w:tcPr>
          <w:p w14:paraId="242FE946" w14:textId="4BE15C16" w:rsidR="00142A94" w:rsidRPr="001B6E4D" w:rsidRDefault="00142A94" w:rsidP="003D1018">
            <w:pPr>
              <w:pStyle w:val="01"/>
              <w:overflowPunct w:val="0"/>
              <w:rPr>
                <w:rFonts w:hAnsi="標楷體"/>
                <w:sz w:val="24"/>
                <w:szCs w:val="24"/>
              </w:rPr>
            </w:pPr>
            <w:r w:rsidRPr="001B6E4D">
              <w:rPr>
                <w:rFonts w:hAnsi="標楷體"/>
                <w:sz w:val="24"/>
                <w:szCs w:val="24"/>
              </w:rPr>
              <w:t>16.少年事件處理法第二十七條及第八十一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修正重點：健全重大案件之分級處理與執行規範。）</w:t>
            </w:r>
          </w:p>
        </w:tc>
        <w:tc>
          <w:tcPr>
            <w:tcW w:w="1228" w:type="pct"/>
          </w:tcPr>
          <w:p w14:paraId="1F9694A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委員洪孟楷</w:t>
            </w:r>
          </w:p>
          <w:p w14:paraId="6ED2A52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等24人</w:t>
            </w:r>
          </w:p>
          <w:p w14:paraId="221605F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115.03.06</w:t>
            </w:r>
          </w:p>
          <w:p w14:paraId="5D14E9AF" w14:textId="41EF648A"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（11-5-2）</w:t>
            </w:r>
          </w:p>
        </w:tc>
        <w:tc>
          <w:tcPr>
            <w:tcW w:w="858" w:type="pct"/>
          </w:tcPr>
          <w:p w14:paraId="0655D4D1" w14:textId="17F0E87D"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25D1FB2B" w14:textId="1013BB89"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2D90BD50" w14:textId="77777777" w:rsidTr="00787DE8">
        <w:tc>
          <w:tcPr>
            <w:tcW w:w="367" w:type="pct"/>
          </w:tcPr>
          <w:p w14:paraId="794DDDFD" w14:textId="24BB6B00"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58</w:t>
            </w:r>
          </w:p>
        </w:tc>
        <w:tc>
          <w:tcPr>
            <w:tcW w:w="1734" w:type="pct"/>
          </w:tcPr>
          <w:p w14:paraId="3B4A1C43" w14:textId="450496AC" w:rsidR="00142A94" w:rsidRPr="001B6E4D" w:rsidRDefault="00142A94" w:rsidP="003D1018">
            <w:pPr>
              <w:pStyle w:val="01"/>
              <w:overflowPunct w:val="0"/>
              <w:rPr>
                <w:rFonts w:hAnsi="標楷體"/>
                <w:sz w:val="24"/>
                <w:szCs w:val="24"/>
              </w:rPr>
            </w:pPr>
            <w:r w:rsidRPr="001B6E4D">
              <w:rPr>
                <w:rFonts w:hAnsi="標楷體"/>
                <w:sz w:val="24"/>
                <w:szCs w:val="24"/>
              </w:rPr>
              <w:t>17.少年事件處理法第八十一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修正重點：提高重罪及無期徒刑假釋門檻。）</w:t>
            </w:r>
          </w:p>
        </w:tc>
        <w:tc>
          <w:tcPr>
            <w:tcW w:w="1228" w:type="pct"/>
          </w:tcPr>
          <w:p w14:paraId="5C151CC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30FCCA8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6CF2F35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115.03.13</w:t>
            </w:r>
          </w:p>
          <w:p w14:paraId="252AF8CE" w14:textId="3F6E16F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（11-5-3）</w:t>
            </w:r>
          </w:p>
        </w:tc>
        <w:tc>
          <w:tcPr>
            <w:tcW w:w="858" w:type="pct"/>
          </w:tcPr>
          <w:p w14:paraId="7C97AEBB" w14:textId="7D73CAC8"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6217291A" w14:textId="5E375EAE"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6A5A7E9E" w14:textId="77777777" w:rsidTr="00787DE8">
        <w:tc>
          <w:tcPr>
            <w:tcW w:w="367" w:type="pct"/>
          </w:tcPr>
          <w:p w14:paraId="7348756B" w14:textId="2CB8575B"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59</w:t>
            </w:r>
          </w:p>
        </w:tc>
        <w:tc>
          <w:tcPr>
            <w:tcW w:w="1734" w:type="pct"/>
          </w:tcPr>
          <w:p w14:paraId="3DCD78D7" w14:textId="36FBFD60" w:rsidR="00142A94" w:rsidRPr="001B6E4D" w:rsidRDefault="00142A94" w:rsidP="003D1018">
            <w:pPr>
              <w:pStyle w:val="01"/>
              <w:overflowPunct w:val="0"/>
              <w:rPr>
                <w:rFonts w:hAnsi="標楷體"/>
                <w:sz w:val="24"/>
                <w:szCs w:val="24"/>
              </w:rPr>
            </w:pPr>
            <w:r w:rsidRPr="001B6E4D">
              <w:rPr>
                <w:rFonts w:hAnsi="標楷體"/>
                <w:sz w:val="24"/>
                <w:szCs w:val="24"/>
              </w:rPr>
              <w:t>18.少年事件處理法第二條之一、第八十一條及第八十二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修正重點：針對重大暴力少年案件，建立更為嚴謹之假釋審查機制與復歸監督體系。）</w:t>
            </w:r>
          </w:p>
        </w:tc>
        <w:tc>
          <w:tcPr>
            <w:tcW w:w="1228" w:type="pct"/>
          </w:tcPr>
          <w:p w14:paraId="7C34120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委員柯志恩</w:t>
            </w:r>
          </w:p>
          <w:p w14:paraId="74A3B12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等22人</w:t>
            </w:r>
          </w:p>
          <w:p w14:paraId="46D07B6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115.03.20</w:t>
            </w:r>
          </w:p>
          <w:p w14:paraId="0EA1AA66" w14:textId="471A6ACB"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（11-5-4）</w:t>
            </w:r>
          </w:p>
        </w:tc>
        <w:tc>
          <w:tcPr>
            <w:tcW w:w="858" w:type="pct"/>
          </w:tcPr>
          <w:p w14:paraId="6B12B9CF" w14:textId="5B7FC1D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486F213A" w14:textId="4F3B411F"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6B061729" w14:textId="77777777" w:rsidTr="00787DE8">
        <w:tc>
          <w:tcPr>
            <w:tcW w:w="367" w:type="pct"/>
          </w:tcPr>
          <w:p w14:paraId="63D8A769" w14:textId="63B37BE6"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60</w:t>
            </w:r>
          </w:p>
        </w:tc>
        <w:tc>
          <w:tcPr>
            <w:tcW w:w="1734" w:type="pct"/>
          </w:tcPr>
          <w:p w14:paraId="099B5BBD" w14:textId="77A51811" w:rsidR="00142A94" w:rsidRPr="001B6E4D" w:rsidRDefault="00142A94" w:rsidP="003D1018">
            <w:pPr>
              <w:pStyle w:val="01"/>
              <w:overflowPunct w:val="0"/>
              <w:rPr>
                <w:rFonts w:hAnsi="標楷體"/>
                <w:sz w:val="24"/>
                <w:szCs w:val="24"/>
              </w:rPr>
            </w:pPr>
            <w:r w:rsidRPr="001B6E4D">
              <w:rPr>
                <w:rFonts w:hAnsi="標楷體"/>
                <w:sz w:val="24"/>
                <w:szCs w:val="24"/>
              </w:rPr>
              <w:t>19.少年事件處理法第二條之</w:t>
            </w:r>
            <w:proofErr w:type="gramStart"/>
            <w:r w:rsidRPr="001B6E4D">
              <w:rPr>
                <w:rFonts w:hAnsi="標楷體"/>
                <w:sz w:val="24"/>
                <w:szCs w:val="24"/>
              </w:rPr>
              <w:t>一</w:t>
            </w:r>
            <w:proofErr w:type="gramEnd"/>
            <w:r w:rsidRPr="001B6E4D">
              <w:rPr>
                <w:rFonts w:hAnsi="標楷體"/>
                <w:sz w:val="24"/>
                <w:szCs w:val="24"/>
              </w:rPr>
              <w:t>及第八十一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修正重點：建全重大暴力少年案件之明確適用範圍及假釋審查標準。）</w:t>
            </w:r>
          </w:p>
        </w:tc>
        <w:tc>
          <w:tcPr>
            <w:tcW w:w="1228" w:type="pct"/>
          </w:tcPr>
          <w:p w14:paraId="13994B8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委員楊瓊瓔</w:t>
            </w:r>
          </w:p>
          <w:p w14:paraId="7AF222C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等31人</w:t>
            </w:r>
          </w:p>
          <w:p w14:paraId="362CE56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115.03.20</w:t>
            </w:r>
          </w:p>
          <w:p w14:paraId="281B070D" w14:textId="7368F0B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（11-5-4）</w:t>
            </w:r>
          </w:p>
        </w:tc>
        <w:tc>
          <w:tcPr>
            <w:tcW w:w="858" w:type="pct"/>
          </w:tcPr>
          <w:p w14:paraId="2FEA49B4" w14:textId="1BE67518"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4A1A38E9" w14:textId="7326D595"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19E93E11" w14:textId="77777777" w:rsidTr="00787DE8">
        <w:tc>
          <w:tcPr>
            <w:tcW w:w="367" w:type="pct"/>
          </w:tcPr>
          <w:p w14:paraId="4AA5722A" w14:textId="23FEC1E8"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lastRenderedPageBreak/>
              <w:t>61</w:t>
            </w:r>
          </w:p>
        </w:tc>
        <w:tc>
          <w:tcPr>
            <w:tcW w:w="1734" w:type="pct"/>
          </w:tcPr>
          <w:p w14:paraId="48199DB5" w14:textId="7F61AFCD" w:rsidR="00142A94" w:rsidRPr="001B6E4D" w:rsidRDefault="00142A94" w:rsidP="003D1018">
            <w:pPr>
              <w:pStyle w:val="01"/>
              <w:overflowPunct w:val="0"/>
              <w:rPr>
                <w:rFonts w:hAnsi="標楷體"/>
                <w:sz w:val="24"/>
                <w:szCs w:val="24"/>
              </w:rPr>
            </w:pPr>
            <w:r w:rsidRPr="001B6E4D">
              <w:rPr>
                <w:rFonts w:hAnsi="標楷體"/>
                <w:sz w:val="24"/>
                <w:szCs w:val="24"/>
              </w:rPr>
              <w:t>20.少年事件處理法部分條文修正草案</w:t>
            </w:r>
            <w:proofErr w:type="gramStart"/>
            <w:r w:rsidRPr="001B6E4D">
              <w:rPr>
                <w:rFonts w:hAnsi="標楷體"/>
                <w:sz w:val="24"/>
                <w:szCs w:val="24"/>
              </w:rPr>
              <w:t>（</w:t>
            </w:r>
            <w:proofErr w:type="gramEnd"/>
            <w:r w:rsidRPr="001B6E4D">
              <w:rPr>
                <w:rFonts w:hAnsi="標楷體"/>
                <w:sz w:val="24"/>
                <w:szCs w:val="24"/>
              </w:rPr>
              <w:t>修正§31、42、55、55-2、56、57、61、81、83-1~2、87。修正重點：增訂少年事件多元化保護處分間轉換機制、少年前案得視為未曾受宣告之要件等規定。）</w:t>
            </w:r>
          </w:p>
        </w:tc>
        <w:tc>
          <w:tcPr>
            <w:tcW w:w="1228" w:type="pct"/>
          </w:tcPr>
          <w:p w14:paraId="61A2597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委員邱鎮軍</w:t>
            </w:r>
          </w:p>
          <w:p w14:paraId="2C4EE5C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等17人</w:t>
            </w:r>
          </w:p>
          <w:p w14:paraId="69D2AC7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115.03.27</w:t>
            </w:r>
          </w:p>
          <w:p w14:paraId="19C40A8A" w14:textId="522EED2E"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w:t>
            </w:r>
          </w:p>
        </w:tc>
        <w:tc>
          <w:tcPr>
            <w:tcW w:w="858" w:type="pct"/>
          </w:tcPr>
          <w:p w14:paraId="10D5052F" w14:textId="6D4DCE08"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5734A6A0" w14:textId="5CE5FE51"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02A88C3D" w14:textId="77777777" w:rsidTr="00787DE8">
        <w:tc>
          <w:tcPr>
            <w:tcW w:w="367" w:type="pct"/>
          </w:tcPr>
          <w:p w14:paraId="32D5E2F1" w14:textId="1718C1BA"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62</w:t>
            </w:r>
          </w:p>
        </w:tc>
        <w:tc>
          <w:tcPr>
            <w:tcW w:w="1734" w:type="pct"/>
          </w:tcPr>
          <w:p w14:paraId="52700ADF" w14:textId="2BCCAD94" w:rsidR="00142A94" w:rsidRPr="001B6E4D" w:rsidRDefault="00142A94" w:rsidP="003D1018">
            <w:pPr>
              <w:pStyle w:val="01"/>
              <w:overflowPunct w:val="0"/>
              <w:rPr>
                <w:rFonts w:hAnsi="標楷體"/>
                <w:sz w:val="24"/>
                <w:szCs w:val="24"/>
              </w:rPr>
            </w:pPr>
            <w:r w:rsidRPr="001B6E4D">
              <w:rPr>
                <w:rFonts w:hAnsi="標楷體"/>
                <w:sz w:val="24"/>
                <w:szCs w:val="24"/>
              </w:rPr>
              <w:t>21.少年事件處理法部分條文修正草案</w:t>
            </w:r>
            <w:proofErr w:type="gramStart"/>
            <w:r w:rsidRPr="001B6E4D">
              <w:rPr>
                <w:rFonts w:hAnsi="標楷體"/>
                <w:sz w:val="24"/>
                <w:szCs w:val="24"/>
              </w:rPr>
              <w:t>（</w:t>
            </w:r>
            <w:proofErr w:type="gramEnd"/>
            <w:r w:rsidRPr="001B6E4D">
              <w:rPr>
                <w:rFonts w:hAnsi="標楷體"/>
                <w:sz w:val="24"/>
                <w:szCs w:val="24"/>
              </w:rPr>
              <w:t>修正§27、81、82、83-1。修正重點：強化被害人程序參與權、建立重大犯罪案件假釋分級制度、延長保護管束輔導期間並完善少年前案紀錄塗銷制度。）</w:t>
            </w:r>
          </w:p>
        </w:tc>
        <w:tc>
          <w:tcPr>
            <w:tcW w:w="1228" w:type="pct"/>
          </w:tcPr>
          <w:p w14:paraId="662BC94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委員林倩綺</w:t>
            </w:r>
          </w:p>
          <w:p w14:paraId="38D6743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等21人</w:t>
            </w:r>
          </w:p>
          <w:p w14:paraId="1634B19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115.03.27</w:t>
            </w:r>
          </w:p>
          <w:p w14:paraId="2F5DE641" w14:textId="7E8D479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w:t>
            </w:r>
          </w:p>
        </w:tc>
        <w:tc>
          <w:tcPr>
            <w:tcW w:w="858" w:type="pct"/>
          </w:tcPr>
          <w:p w14:paraId="40570BE7" w14:textId="0CFF667D"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667070E9" w14:textId="3D0B7099"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56DC56ED" w14:textId="77777777" w:rsidTr="00787DE8">
        <w:tc>
          <w:tcPr>
            <w:tcW w:w="367" w:type="pct"/>
          </w:tcPr>
          <w:p w14:paraId="675AE149" w14:textId="5DFF951E"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63</w:t>
            </w:r>
          </w:p>
        </w:tc>
        <w:tc>
          <w:tcPr>
            <w:tcW w:w="1734" w:type="pct"/>
          </w:tcPr>
          <w:p w14:paraId="24818902" w14:textId="310883A1" w:rsidR="00142A94" w:rsidRPr="001B6E4D" w:rsidRDefault="00142A94" w:rsidP="003D1018">
            <w:pPr>
              <w:pStyle w:val="01"/>
              <w:overflowPunct w:val="0"/>
              <w:rPr>
                <w:rFonts w:hAnsi="標楷體"/>
                <w:sz w:val="24"/>
                <w:szCs w:val="24"/>
              </w:rPr>
            </w:pPr>
            <w:r w:rsidRPr="001B6E4D">
              <w:rPr>
                <w:rFonts w:hAnsi="標楷體"/>
                <w:sz w:val="24"/>
                <w:szCs w:val="24"/>
              </w:rPr>
              <w:t>22.少年事件處理法第二十七條及第八十一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修正重點：強化被害人程序參與權，建立更符合比例原則之假釋審查機制。）</w:t>
            </w:r>
          </w:p>
        </w:tc>
        <w:tc>
          <w:tcPr>
            <w:tcW w:w="1228" w:type="pct"/>
          </w:tcPr>
          <w:p w14:paraId="2EAE884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委員徐巧芯</w:t>
            </w:r>
          </w:p>
          <w:p w14:paraId="78AE44D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等22人</w:t>
            </w:r>
          </w:p>
          <w:p w14:paraId="50939F0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115.03.27</w:t>
            </w:r>
          </w:p>
          <w:p w14:paraId="1871E340" w14:textId="4A49C9B5"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w:t>
            </w:r>
          </w:p>
        </w:tc>
        <w:tc>
          <w:tcPr>
            <w:tcW w:w="858" w:type="pct"/>
          </w:tcPr>
          <w:p w14:paraId="6427D9B3" w14:textId="0BCBF4A2"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67D7A4DB" w14:textId="2A749018"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2226D736" w14:textId="77777777" w:rsidTr="00787DE8">
        <w:tc>
          <w:tcPr>
            <w:tcW w:w="367" w:type="pct"/>
          </w:tcPr>
          <w:p w14:paraId="6A182119" w14:textId="471B0676"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64</w:t>
            </w:r>
          </w:p>
        </w:tc>
        <w:tc>
          <w:tcPr>
            <w:tcW w:w="1734" w:type="pct"/>
          </w:tcPr>
          <w:p w14:paraId="3ABABEE8" w14:textId="72D3C085" w:rsidR="00142A94" w:rsidRPr="001B6E4D" w:rsidRDefault="00142A94" w:rsidP="003D1018">
            <w:pPr>
              <w:pStyle w:val="01"/>
              <w:overflowPunct w:val="0"/>
              <w:rPr>
                <w:rFonts w:hAnsi="標楷體"/>
                <w:sz w:val="24"/>
                <w:szCs w:val="24"/>
              </w:rPr>
            </w:pPr>
            <w:r w:rsidRPr="001B6E4D">
              <w:rPr>
                <w:rFonts w:hAnsi="標楷體"/>
                <w:sz w:val="24"/>
                <w:szCs w:val="24"/>
              </w:rPr>
              <w:t>23.少年事件處理法第二條之</w:t>
            </w:r>
            <w:proofErr w:type="gramStart"/>
            <w:r w:rsidRPr="001B6E4D">
              <w:rPr>
                <w:rFonts w:hAnsi="標楷體"/>
                <w:sz w:val="24"/>
                <w:szCs w:val="24"/>
              </w:rPr>
              <w:t>一</w:t>
            </w:r>
            <w:proofErr w:type="gramEnd"/>
            <w:r w:rsidRPr="001B6E4D">
              <w:rPr>
                <w:rFonts w:hAnsi="標楷體"/>
                <w:sz w:val="24"/>
                <w:szCs w:val="24"/>
              </w:rPr>
              <w:t>及第八十一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修正重點：修正調整特定犯罪類型少年受刑人假釋制度，並明列重大暴力犯罪之犯罪行為。）</w:t>
            </w:r>
          </w:p>
        </w:tc>
        <w:tc>
          <w:tcPr>
            <w:tcW w:w="1228" w:type="pct"/>
          </w:tcPr>
          <w:p w14:paraId="408D9E7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委員萬美玲</w:t>
            </w:r>
          </w:p>
          <w:p w14:paraId="1405D1B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等25人</w:t>
            </w:r>
          </w:p>
          <w:p w14:paraId="3E4C1F9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115.04.10</w:t>
            </w:r>
          </w:p>
          <w:p w14:paraId="293AA9AB" w14:textId="0963EAB3"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（11-5-6）</w:t>
            </w:r>
          </w:p>
        </w:tc>
        <w:tc>
          <w:tcPr>
            <w:tcW w:w="858" w:type="pct"/>
          </w:tcPr>
          <w:p w14:paraId="4A8BC15D" w14:textId="592F9384"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6E85E81F" w14:textId="113B1B8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5DA37A02" w14:textId="77777777" w:rsidTr="00787DE8">
        <w:tc>
          <w:tcPr>
            <w:tcW w:w="367" w:type="pct"/>
          </w:tcPr>
          <w:p w14:paraId="59767AAF" w14:textId="638C93EA"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65</w:t>
            </w:r>
          </w:p>
        </w:tc>
        <w:tc>
          <w:tcPr>
            <w:tcW w:w="1734" w:type="pct"/>
          </w:tcPr>
          <w:p w14:paraId="314D69D6" w14:textId="23135525" w:rsidR="00142A94" w:rsidRPr="001B6E4D" w:rsidRDefault="00142A94" w:rsidP="003D1018">
            <w:pPr>
              <w:pStyle w:val="01"/>
              <w:overflowPunct w:val="0"/>
              <w:rPr>
                <w:rFonts w:hAnsi="標楷體"/>
                <w:sz w:val="24"/>
                <w:szCs w:val="24"/>
              </w:rPr>
            </w:pPr>
            <w:r w:rsidRPr="001B6E4D">
              <w:rPr>
                <w:rFonts w:hAnsi="標楷體"/>
                <w:sz w:val="24"/>
                <w:szCs w:val="24"/>
              </w:rPr>
              <w:t>24.少年事件處理法部分條文修正草案</w:t>
            </w:r>
            <w:proofErr w:type="gramStart"/>
            <w:r w:rsidRPr="001B6E4D">
              <w:rPr>
                <w:rFonts w:hAnsi="標楷體"/>
                <w:sz w:val="24"/>
                <w:szCs w:val="24"/>
              </w:rPr>
              <w:t>（</w:t>
            </w:r>
            <w:proofErr w:type="gramEnd"/>
            <w:r w:rsidRPr="001B6E4D">
              <w:rPr>
                <w:rFonts w:hAnsi="標楷體"/>
                <w:sz w:val="24"/>
                <w:szCs w:val="24"/>
              </w:rPr>
              <w:t>修正§27、36-1、81；增訂§73-2。修正重點：強化被害人之程序參與，並依案件情節重大性落實假釋差異化審查。）</w:t>
            </w:r>
          </w:p>
        </w:tc>
        <w:tc>
          <w:tcPr>
            <w:tcW w:w="1228" w:type="pct"/>
          </w:tcPr>
          <w:p w14:paraId="37B63DD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w:t>
            </w:r>
            <w:proofErr w:type="gramStart"/>
            <w:r w:rsidRPr="001B6E4D">
              <w:rPr>
                <w:rFonts w:ascii="標楷體" w:eastAsia="標楷體" w:hAnsi="標楷體"/>
                <w:sz w:val="24"/>
              </w:rPr>
              <w:t>涂</w:t>
            </w:r>
            <w:proofErr w:type="gramEnd"/>
            <w:r w:rsidRPr="001B6E4D">
              <w:rPr>
                <w:rFonts w:ascii="標楷體" w:eastAsia="標楷體" w:hAnsi="標楷體"/>
                <w:sz w:val="24"/>
              </w:rPr>
              <w:t>權吉</w:t>
            </w:r>
          </w:p>
          <w:p w14:paraId="656E387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等25人</w:t>
            </w:r>
          </w:p>
          <w:p w14:paraId="507825C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115.04.24</w:t>
            </w:r>
          </w:p>
          <w:p w14:paraId="01E1FD8E" w14:textId="2C4D7418"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（11-5-8）</w:t>
            </w:r>
          </w:p>
        </w:tc>
        <w:tc>
          <w:tcPr>
            <w:tcW w:w="858" w:type="pct"/>
          </w:tcPr>
          <w:p w14:paraId="55C8D6A6" w14:textId="326B96C9"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14DF82A4" w14:textId="64845D3B"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50FC72A4" w14:textId="77777777" w:rsidTr="00787DE8">
        <w:tc>
          <w:tcPr>
            <w:tcW w:w="367" w:type="pct"/>
          </w:tcPr>
          <w:p w14:paraId="3FE8AEE8" w14:textId="7FC6E2A7"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66</w:t>
            </w:r>
          </w:p>
        </w:tc>
        <w:tc>
          <w:tcPr>
            <w:tcW w:w="1734" w:type="pct"/>
          </w:tcPr>
          <w:p w14:paraId="5C8ACDC0" w14:textId="0BF22226" w:rsidR="00142A94" w:rsidRPr="001B6E4D" w:rsidRDefault="00142A94" w:rsidP="003D1018">
            <w:pPr>
              <w:pStyle w:val="01"/>
              <w:overflowPunct w:val="0"/>
              <w:rPr>
                <w:rFonts w:hAnsi="標楷體"/>
                <w:sz w:val="24"/>
                <w:szCs w:val="24"/>
              </w:rPr>
            </w:pPr>
            <w:r w:rsidRPr="001B6E4D">
              <w:rPr>
                <w:rFonts w:hAnsi="標楷體"/>
                <w:sz w:val="24"/>
                <w:szCs w:val="24"/>
              </w:rPr>
              <w:t>25.少年事件處理法部分條文修正草案</w:t>
            </w:r>
            <w:proofErr w:type="gramStart"/>
            <w:r w:rsidRPr="001B6E4D">
              <w:rPr>
                <w:rFonts w:hAnsi="標楷體"/>
                <w:sz w:val="24"/>
                <w:szCs w:val="24"/>
              </w:rPr>
              <w:t>（</w:t>
            </w:r>
            <w:proofErr w:type="gramEnd"/>
            <w:r w:rsidRPr="001B6E4D">
              <w:rPr>
                <w:rFonts w:hAnsi="標楷體"/>
                <w:sz w:val="24"/>
                <w:szCs w:val="24"/>
              </w:rPr>
              <w:t>修正§81、83-1~2、87。修正重點：提高假釋門檻；將犯最輕本刑為</w:t>
            </w:r>
            <w:r w:rsidRPr="001B6E4D">
              <w:rPr>
                <w:rFonts w:hAnsi="標楷體"/>
                <w:sz w:val="24"/>
                <w:szCs w:val="24"/>
              </w:rPr>
              <w:lastRenderedPageBreak/>
              <w:t>5年以上有期徒刑之罪者排除適用塗銷規定。）</w:t>
            </w:r>
          </w:p>
        </w:tc>
        <w:tc>
          <w:tcPr>
            <w:tcW w:w="1228" w:type="pct"/>
          </w:tcPr>
          <w:p w14:paraId="6314BA7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委員張智倫</w:t>
            </w:r>
          </w:p>
          <w:p w14:paraId="2D43071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等19人</w:t>
            </w:r>
          </w:p>
          <w:p w14:paraId="7F746B6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115.05.15</w:t>
            </w:r>
          </w:p>
          <w:p w14:paraId="540425ED" w14:textId="30492B08"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（11-5-10）</w:t>
            </w:r>
          </w:p>
        </w:tc>
        <w:tc>
          <w:tcPr>
            <w:tcW w:w="858" w:type="pct"/>
          </w:tcPr>
          <w:p w14:paraId="3E2FD382" w14:textId="020498DE"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4BD1F6F8" w14:textId="056930A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583C50C6" w14:textId="77777777" w:rsidTr="00787DE8">
        <w:tc>
          <w:tcPr>
            <w:tcW w:w="367" w:type="pct"/>
          </w:tcPr>
          <w:p w14:paraId="21FEE6C9" w14:textId="1CF39F70"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67</w:t>
            </w:r>
          </w:p>
        </w:tc>
        <w:tc>
          <w:tcPr>
            <w:tcW w:w="1734" w:type="pct"/>
          </w:tcPr>
          <w:p w14:paraId="4AE8716E" w14:textId="4938478E" w:rsidR="00142A94" w:rsidRPr="001B6E4D" w:rsidRDefault="00142A94" w:rsidP="003D1018">
            <w:pPr>
              <w:pStyle w:val="01"/>
              <w:overflowPunct w:val="0"/>
              <w:rPr>
                <w:rFonts w:hAnsi="標楷體"/>
                <w:sz w:val="24"/>
                <w:szCs w:val="24"/>
              </w:rPr>
            </w:pPr>
            <w:r w:rsidRPr="001B6E4D">
              <w:rPr>
                <w:rFonts w:hAnsi="標楷體"/>
                <w:sz w:val="24"/>
                <w:szCs w:val="24"/>
              </w:rPr>
              <w:t>26.少年事件處理法第十五條及第六十一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刪除受移送法院不得再行移送之規定，另新增少年得就其所涉事件由何處法院管轄為妥適陳述意見之規定；新增少年、少年之法定代理人、現在保護少年之人或輔佐人，對於少年法院所為再行移送裁定有不服者，得提起抗告之規定。）</w:t>
            </w:r>
          </w:p>
        </w:tc>
        <w:tc>
          <w:tcPr>
            <w:tcW w:w="1228" w:type="pct"/>
          </w:tcPr>
          <w:p w14:paraId="0F1DF17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委員沈伯洋</w:t>
            </w:r>
          </w:p>
          <w:p w14:paraId="0AC47A9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等19人</w:t>
            </w:r>
          </w:p>
          <w:p w14:paraId="2EA05E2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115.05.29</w:t>
            </w:r>
          </w:p>
          <w:p w14:paraId="52545C95" w14:textId="5947FF5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（11-5-12）</w:t>
            </w:r>
          </w:p>
        </w:tc>
        <w:tc>
          <w:tcPr>
            <w:tcW w:w="858" w:type="pct"/>
          </w:tcPr>
          <w:p w14:paraId="09708EE2" w14:textId="3A1A8C69"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3E2623E8" w14:textId="278964A6"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2D52395C" w14:textId="77777777" w:rsidTr="00787DE8">
        <w:tc>
          <w:tcPr>
            <w:tcW w:w="367" w:type="pct"/>
          </w:tcPr>
          <w:p w14:paraId="285D2E4F" w14:textId="466F5B42"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68</w:t>
            </w:r>
          </w:p>
        </w:tc>
        <w:tc>
          <w:tcPr>
            <w:tcW w:w="1734" w:type="pct"/>
          </w:tcPr>
          <w:p w14:paraId="19C65888" w14:textId="390CCED7" w:rsidR="00142A94" w:rsidRPr="001B6E4D" w:rsidRDefault="00142A94" w:rsidP="003D1018">
            <w:pPr>
              <w:pStyle w:val="01"/>
              <w:overflowPunct w:val="0"/>
              <w:rPr>
                <w:rFonts w:hAnsi="標楷體"/>
                <w:sz w:val="24"/>
                <w:szCs w:val="24"/>
              </w:rPr>
            </w:pPr>
            <w:r w:rsidRPr="001B6E4D">
              <w:rPr>
                <w:rFonts w:hAnsi="標楷體"/>
                <w:sz w:val="24"/>
                <w:szCs w:val="24"/>
              </w:rPr>
              <w:t>27.少年事件處理法部分條文修正草案</w:t>
            </w:r>
            <w:proofErr w:type="gramStart"/>
            <w:r w:rsidRPr="001B6E4D">
              <w:rPr>
                <w:rFonts w:hAnsi="標楷體"/>
                <w:sz w:val="24"/>
                <w:szCs w:val="24"/>
              </w:rPr>
              <w:t>（</w:t>
            </w:r>
            <w:proofErr w:type="gramEnd"/>
            <w:r w:rsidRPr="001B6E4D">
              <w:rPr>
                <w:rFonts w:hAnsi="標楷體"/>
                <w:sz w:val="24"/>
                <w:szCs w:val="24"/>
              </w:rPr>
              <w:t>修正§65、81、83-1、87；增訂§65-1~3、83-4~5；刪除§83-2。修正重點：建立有限度之被害人訴訟參與制度，並完善少年假釋、前案紀錄塗銷及必要資料提供機制。）</w:t>
            </w:r>
          </w:p>
        </w:tc>
        <w:tc>
          <w:tcPr>
            <w:tcW w:w="1228" w:type="pct"/>
          </w:tcPr>
          <w:p w14:paraId="3B67DC1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委員王育敏</w:t>
            </w:r>
          </w:p>
          <w:p w14:paraId="1A73D50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等17人</w:t>
            </w:r>
          </w:p>
          <w:p w14:paraId="68BFF92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115.06.26</w:t>
            </w:r>
          </w:p>
          <w:p w14:paraId="693F05FD" w14:textId="27C6534B"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（11-5-15）</w:t>
            </w:r>
          </w:p>
        </w:tc>
        <w:tc>
          <w:tcPr>
            <w:tcW w:w="858" w:type="pct"/>
          </w:tcPr>
          <w:p w14:paraId="31D597AC" w14:textId="7E761CF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6A287660" w14:textId="14421CD4"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4115CDFE" w14:textId="77777777" w:rsidTr="00787DE8">
        <w:tc>
          <w:tcPr>
            <w:tcW w:w="367" w:type="pct"/>
          </w:tcPr>
          <w:p w14:paraId="2EBB7F33" w14:textId="7C8C4FB4"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69</w:t>
            </w:r>
          </w:p>
        </w:tc>
        <w:tc>
          <w:tcPr>
            <w:tcW w:w="1734" w:type="pct"/>
          </w:tcPr>
          <w:p w14:paraId="6A0B9D9E" w14:textId="2DDAA2B4" w:rsidR="00142A94" w:rsidRPr="001B6E4D" w:rsidRDefault="00142A94" w:rsidP="003D1018">
            <w:pPr>
              <w:pStyle w:val="01"/>
              <w:overflowPunct w:val="0"/>
              <w:rPr>
                <w:rFonts w:hAnsi="標楷體"/>
                <w:sz w:val="24"/>
                <w:szCs w:val="24"/>
              </w:rPr>
            </w:pPr>
            <w:r w:rsidRPr="001B6E4D">
              <w:rPr>
                <w:rFonts w:hAnsi="標楷體"/>
                <w:sz w:val="24"/>
                <w:szCs w:val="24"/>
              </w:rPr>
              <w:t>28.少年事件處理法部分條文修正草案</w:t>
            </w:r>
            <w:proofErr w:type="gramStart"/>
            <w:r w:rsidRPr="001B6E4D">
              <w:rPr>
                <w:rFonts w:hAnsi="標楷體"/>
                <w:sz w:val="24"/>
                <w:szCs w:val="24"/>
              </w:rPr>
              <w:t>（</w:t>
            </w:r>
            <w:proofErr w:type="gramEnd"/>
            <w:r w:rsidRPr="001B6E4D">
              <w:rPr>
                <w:rFonts w:hAnsi="標楷體"/>
                <w:sz w:val="24"/>
                <w:szCs w:val="24"/>
              </w:rPr>
              <w:t>修正§18-2、18-6、65、81、83-1、85；增訂§65-1~3、83-4~5；刪除§83-2。修正重點：針對成少共犯程序斷裂、被害人程序保障不足、前案紀錄處理標準過於齊一、重大事件責任界線不明，以及成年人利用少年犯罪之嚇阻不足等問題，進行必要修正。）</w:t>
            </w:r>
          </w:p>
        </w:tc>
        <w:tc>
          <w:tcPr>
            <w:tcW w:w="1228" w:type="pct"/>
          </w:tcPr>
          <w:p w14:paraId="37A0A60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委員吳宗憲</w:t>
            </w:r>
          </w:p>
          <w:p w14:paraId="290E8E8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2E7E69B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115.07.03</w:t>
            </w:r>
          </w:p>
          <w:p w14:paraId="5AAAAB49" w14:textId="42A9A249"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（11-5-16）</w:t>
            </w:r>
          </w:p>
        </w:tc>
        <w:tc>
          <w:tcPr>
            <w:tcW w:w="858" w:type="pct"/>
          </w:tcPr>
          <w:p w14:paraId="6079F725" w14:textId="00C3B572"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420B284C" w14:textId="6F14919B"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1AA1F203" w14:textId="77777777" w:rsidTr="00787DE8">
        <w:tc>
          <w:tcPr>
            <w:tcW w:w="367" w:type="pct"/>
          </w:tcPr>
          <w:p w14:paraId="4F7E720C" w14:textId="51CE2013"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70</w:t>
            </w:r>
          </w:p>
        </w:tc>
        <w:tc>
          <w:tcPr>
            <w:tcW w:w="1734" w:type="pct"/>
          </w:tcPr>
          <w:p w14:paraId="40EA1CF0" w14:textId="6BB16193" w:rsidR="00142A94" w:rsidRPr="001B6E4D" w:rsidRDefault="00142A94" w:rsidP="003D1018">
            <w:pPr>
              <w:pStyle w:val="01"/>
              <w:overflowPunct w:val="0"/>
              <w:rPr>
                <w:rFonts w:hAnsi="標楷體"/>
                <w:sz w:val="24"/>
                <w:szCs w:val="24"/>
              </w:rPr>
            </w:pPr>
            <w:r w:rsidRPr="001B6E4D">
              <w:rPr>
                <w:rFonts w:hAnsi="標楷體"/>
                <w:sz w:val="24"/>
                <w:szCs w:val="24"/>
              </w:rPr>
              <w:t>29.少年事件處理法部分條文修正草案</w:t>
            </w:r>
            <w:proofErr w:type="gramStart"/>
            <w:r w:rsidRPr="001B6E4D">
              <w:rPr>
                <w:rFonts w:hAnsi="標楷體"/>
                <w:sz w:val="24"/>
                <w:szCs w:val="24"/>
              </w:rPr>
              <w:t>（</w:t>
            </w:r>
            <w:proofErr w:type="gramEnd"/>
            <w:r w:rsidRPr="001B6E4D">
              <w:rPr>
                <w:rFonts w:hAnsi="標楷體"/>
                <w:sz w:val="24"/>
                <w:szCs w:val="24"/>
              </w:rPr>
              <w:t>修正§81、83-1、83-4~5；刪除§83-2。修正重點：修正少年假釋及</w:t>
            </w:r>
            <w:proofErr w:type="gramStart"/>
            <w:r w:rsidRPr="001B6E4D">
              <w:rPr>
                <w:rFonts w:hAnsi="標楷體"/>
                <w:sz w:val="24"/>
                <w:szCs w:val="24"/>
              </w:rPr>
              <w:t>前案塗銷</w:t>
            </w:r>
            <w:proofErr w:type="gramEnd"/>
            <w:r w:rsidRPr="001B6E4D">
              <w:rPr>
                <w:rFonts w:hAnsi="標楷體"/>
                <w:sz w:val="24"/>
                <w:szCs w:val="24"/>
              </w:rPr>
              <w:t>之規範。）</w:t>
            </w:r>
          </w:p>
        </w:tc>
        <w:tc>
          <w:tcPr>
            <w:tcW w:w="1228" w:type="pct"/>
          </w:tcPr>
          <w:p w14:paraId="0EF93B1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委員羅智強</w:t>
            </w:r>
          </w:p>
          <w:p w14:paraId="0A5CB06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等26人</w:t>
            </w:r>
          </w:p>
          <w:p w14:paraId="20E8517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115.07.14</w:t>
            </w:r>
          </w:p>
          <w:p w14:paraId="7064F036" w14:textId="0B89E0E1"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（11-5-17）</w:t>
            </w:r>
          </w:p>
        </w:tc>
        <w:tc>
          <w:tcPr>
            <w:tcW w:w="858" w:type="pct"/>
          </w:tcPr>
          <w:p w14:paraId="6B603D54" w14:textId="4384D661"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661DA724" w14:textId="5A211B62"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3E0F1D05" w14:textId="77777777" w:rsidTr="00787DE8">
        <w:tc>
          <w:tcPr>
            <w:tcW w:w="367" w:type="pct"/>
          </w:tcPr>
          <w:p w14:paraId="792A7775" w14:textId="64D92307"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lastRenderedPageBreak/>
              <w:t>71</w:t>
            </w:r>
          </w:p>
        </w:tc>
        <w:tc>
          <w:tcPr>
            <w:tcW w:w="1734" w:type="pct"/>
          </w:tcPr>
          <w:p w14:paraId="6D35B9E3" w14:textId="7921B80E" w:rsidR="00142A94" w:rsidRPr="001B6E4D" w:rsidRDefault="00142A94" w:rsidP="003D1018">
            <w:pPr>
              <w:pStyle w:val="01"/>
              <w:overflowPunct w:val="0"/>
              <w:rPr>
                <w:rFonts w:hAnsi="標楷體"/>
                <w:sz w:val="24"/>
                <w:szCs w:val="24"/>
              </w:rPr>
            </w:pPr>
            <w:r w:rsidRPr="001B6E4D">
              <w:rPr>
                <w:rFonts w:hAnsi="標楷體"/>
                <w:sz w:val="24"/>
                <w:szCs w:val="24"/>
              </w:rPr>
              <w:t>30.少年事件處理法部分條文修正草案</w:t>
            </w:r>
            <w:proofErr w:type="gramStart"/>
            <w:r w:rsidRPr="001B6E4D">
              <w:rPr>
                <w:rFonts w:hAnsi="標楷體"/>
                <w:sz w:val="24"/>
                <w:szCs w:val="24"/>
              </w:rPr>
              <w:t>（</w:t>
            </w:r>
            <w:proofErr w:type="gramEnd"/>
            <w:r w:rsidRPr="001B6E4D">
              <w:rPr>
                <w:rFonts w:hAnsi="標楷體"/>
                <w:sz w:val="24"/>
                <w:szCs w:val="24"/>
              </w:rPr>
              <w:t>修正§65、81、83-1、87；增訂§65-1~3、83-4~5；刪除§83-2。修正重點：增訂少年刑事案件被害人聲請參與訴訟程序條件，並修正少年刑事案件假釋分級條件、少年前案紀錄塗銷條件與視為未曾受宣告制度、少年刑事前案改</w:t>
            </w:r>
            <w:proofErr w:type="gramStart"/>
            <w:r w:rsidRPr="001B6E4D">
              <w:rPr>
                <w:rFonts w:hAnsi="標楷體"/>
                <w:sz w:val="24"/>
                <w:szCs w:val="24"/>
              </w:rPr>
              <w:t>採聲請塗銷</w:t>
            </w:r>
            <w:proofErr w:type="gramEnd"/>
            <w:r w:rsidRPr="001B6E4D">
              <w:rPr>
                <w:rFonts w:hAnsi="標楷體"/>
                <w:sz w:val="24"/>
                <w:szCs w:val="24"/>
              </w:rPr>
              <w:t>新制。）</w:t>
            </w:r>
          </w:p>
        </w:tc>
        <w:tc>
          <w:tcPr>
            <w:tcW w:w="1228" w:type="pct"/>
          </w:tcPr>
          <w:p w14:paraId="1D9EDC3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委員陳亭</w:t>
            </w:r>
            <w:proofErr w:type="gramStart"/>
            <w:r w:rsidRPr="001B6E4D">
              <w:rPr>
                <w:rFonts w:ascii="標楷體" w:eastAsia="標楷體" w:hAnsi="標楷體"/>
                <w:sz w:val="24"/>
              </w:rPr>
              <w:t>妃</w:t>
            </w:r>
            <w:proofErr w:type="gramEnd"/>
          </w:p>
          <w:p w14:paraId="7273BA0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5CB5267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115.07.17</w:t>
            </w:r>
          </w:p>
          <w:p w14:paraId="4129395E" w14:textId="2C908D0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（11-5-18）</w:t>
            </w:r>
          </w:p>
        </w:tc>
        <w:tc>
          <w:tcPr>
            <w:tcW w:w="858" w:type="pct"/>
          </w:tcPr>
          <w:p w14:paraId="658AA762" w14:textId="407E0B92"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13444B72" w14:textId="3E8EC053"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5E5E3F28" w14:textId="77777777" w:rsidTr="00787DE8">
        <w:tc>
          <w:tcPr>
            <w:tcW w:w="367" w:type="pct"/>
          </w:tcPr>
          <w:p w14:paraId="52374027" w14:textId="60A9B872"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72</w:t>
            </w:r>
          </w:p>
        </w:tc>
        <w:tc>
          <w:tcPr>
            <w:tcW w:w="1734" w:type="pct"/>
          </w:tcPr>
          <w:p w14:paraId="2CA4FD8C" w14:textId="6A15E23A" w:rsidR="00142A94" w:rsidRPr="001B6E4D" w:rsidRDefault="00142A94" w:rsidP="003D1018">
            <w:pPr>
              <w:pStyle w:val="01"/>
              <w:overflowPunct w:val="0"/>
              <w:rPr>
                <w:rFonts w:hAnsi="標楷體"/>
                <w:sz w:val="24"/>
                <w:szCs w:val="24"/>
              </w:rPr>
            </w:pPr>
            <w:r w:rsidRPr="001B6E4D">
              <w:rPr>
                <w:rFonts w:hAnsi="標楷體"/>
                <w:sz w:val="24"/>
                <w:szCs w:val="24"/>
              </w:rPr>
              <w:t>31.少年事件處理法第十八條之二條文修正草案</w:t>
            </w:r>
            <w:proofErr w:type="gramStart"/>
            <w:r w:rsidRPr="001B6E4D">
              <w:rPr>
                <w:rFonts w:hAnsi="標楷體"/>
                <w:sz w:val="24"/>
                <w:szCs w:val="24"/>
              </w:rPr>
              <w:t>（</w:t>
            </w:r>
            <w:proofErr w:type="gramEnd"/>
            <w:r w:rsidRPr="001B6E4D">
              <w:rPr>
                <w:rFonts w:hAnsi="標楷體"/>
                <w:sz w:val="24"/>
                <w:szCs w:val="24"/>
              </w:rPr>
              <w:t>修正重點：完備成少共犯案件偵辦及移送制度。）</w:t>
            </w:r>
          </w:p>
        </w:tc>
        <w:tc>
          <w:tcPr>
            <w:tcW w:w="1228" w:type="pct"/>
          </w:tcPr>
          <w:p w14:paraId="6494ABB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委員羅智強</w:t>
            </w:r>
          </w:p>
          <w:p w14:paraId="368CE48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5628B0D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115.07.24</w:t>
            </w:r>
          </w:p>
          <w:p w14:paraId="509FB47B" w14:textId="7215FE9A"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（11-5-19）</w:t>
            </w:r>
          </w:p>
        </w:tc>
        <w:tc>
          <w:tcPr>
            <w:tcW w:w="858" w:type="pct"/>
          </w:tcPr>
          <w:p w14:paraId="19DBBD9C" w14:textId="50D53E8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1E05C4DE" w14:textId="1FCB855A"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25FFD2AB" w14:textId="77777777" w:rsidTr="00787DE8">
        <w:tc>
          <w:tcPr>
            <w:tcW w:w="367" w:type="pct"/>
          </w:tcPr>
          <w:p w14:paraId="3FD38C5B" w14:textId="6241AC6F"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73</w:t>
            </w:r>
          </w:p>
        </w:tc>
        <w:tc>
          <w:tcPr>
            <w:tcW w:w="1734" w:type="pct"/>
          </w:tcPr>
          <w:p w14:paraId="31BC6483" w14:textId="0C80FA27" w:rsidR="00142A94" w:rsidRPr="001B6E4D" w:rsidRDefault="00142A94" w:rsidP="003D1018">
            <w:pPr>
              <w:pStyle w:val="01"/>
              <w:overflowPunct w:val="0"/>
              <w:rPr>
                <w:rFonts w:hAnsi="標楷體"/>
                <w:sz w:val="24"/>
                <w:szCs w:val="24"/>
              </w:rPr>
            </w:pPr>
            <w:r w:rsidRPr="001B6E4D">
              <w:rPr>
                <w:rFonts w:hAnsi="標楷體"/>
                <w:sz w:val="24"/>
                <w:szCs w:val="24"/>
              </w:rPr>
              <w:t>32.少年事件處理法部分條文修正草案</w:t>
            </w:r>
            <w:proofErr w:type="gramStart"/>
            <w:r w:rsidRPr="001B6E4D">
              <w:rPr>
                <w:rFonts w:hAnsi="標楷體"/>
                <w:sz w:val="24"/>
                <w:szCs w:val="24"/>
              </w:rPr>
              <w:t>（</w:t>
            </w:r>
            <w:proofErr w:type="gramEnd"/>
            <w:r w:rsidRPr="001B6E4D">
              <w:rPr>
                <w:rFonts w:hAnsi="標楷體"/>
                <w:sz w:val="24"/>
                <w:szCs w:val="24"/>
              </w:rPr>
              <w:t>修正§65；增訂§65-1~3。修正重點：增訂少年事件被害人於一定情形下得聲請參與程序及</w:t>
            </w:r>
            <w:proofErr w:type="gramStart"/>
            <w:r w:rsidRPr="001B6E4D">
              <w:rPr>
                <w:rFonts w:hAnsi="標楷體"/>
                <w:sz w:val="24"/>
                <w:szCs w:val="24"/>
              </w:rPr>
              <w:t>準</w:t>
            </w:r>
            <w:proofErr w:type="gramEnd"/>
            <w:r w:rsidRPr="001B6E4D">
              <w:rPr>
                <w:rFonts w:hAnsi="標楷體"/>
                <w:sz w:val="24"/>
                <w:szCs w:val="24"/>
              </w:rPr>
              <w:t>用自訴之規定；建立被害人訴訟參與之聲請、審查及程序進行機制。）</w:t>
            </w:r>
          </w:p>
        </w:tc>
        <w:tc>
          <w:tcPr>
            <w:tcW w:w="1228" w:type="pct"/>
          </w:tcPr>
          <w:p w14:paraId="4B09617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41ECEE0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3973FCD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115.07.31</w:t>
            </w:r>
          </w:p>
          <w:p w14:paraId="2368CD2F" w14:textId="31B7F22A"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（11-5-20）</w:t>
            </w:r>
          </w:p>
        </w:tc>
        <w:tc>
          <w:tcPr>
            <w:tcW w:w="858" w:type="pct"/>
          </w:tcPr>
          <w:p w14:paraId="06944484" w14:textId="78D20D38"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01153786" w14:textId="2D5226FD"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324A9B91" w14:textId="77777777" w:rsidTr="00787DE8">
        <w:tc>
          <w:tcPr>
            <w:tcW w:w="367" w:type="pct"/>
          </w:tcPr>
          <w:p w14:paraId="1732814A" w14:textId="733EE982"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74</w:t>
            </w:r>
          </w:p>
        </w:tc>
        <w:tc>
          <w:tcPr>
            <w:tcW w:w="1734" w:type="pct"/>
          </w:tcPr>
          <w:p w14:paraId="0796AA5C" w14:textId="4F910647" w:rsidR="00142A94" w:rsidRPr="001B6E4D" w:rsidRDefault="00142A94" w:rsidP="003D1018">
            <w:pPr>
              <w:pStyle w:val="01"/>
              <w:overflowPunct w:val="0"/>
              <w:rPr>
                <w:rFonts w:hAnsi="標楷體"/>
                <w:sz w:val="24"/>
                <w:szCs w:val="24"/>
              </w:rPr>
            </w:pPr>
            <w:r w:rsidRPr="001B6E4D">
              <w:rPr>
                <w:rFonts w:hAnsi="標楷體"/>
                <w:sz w:val="24"/>
                <w:szCs w:val="24"/>
              </w:rPr>
              <w:t>33.少年事件處理法第二十七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修正重點：若被害人認案件應以「少年刑事案件」處理者，少年法院應以裁定移送於有管轄權之法院檢察署檢察官。）</w:t>
            </w:r>
          </w:p>
        </w:tc>
        <w:tc>
          <w:tcPr>
            <w:tcW w:w="1228" w:type="pct"/>
          </w:tcPr>
          <w:p w14:paraId="09AABAE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委員牛煦庭</w:t>
            </w:r>
          </w:p>
          <w:p w14:paraId="75D19D2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05864AC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115.08.21</w:t>
            </w:r>
          </w:p>
          <w:p w14:paraId="3A1240EC" w14:textId="0BEF0F35"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（11-5-23）</w:t>
            </w:r>
          </w:p>
        </w:tc>
        <w:tc>
          <w:tcPr>
            <w:tcW w:w="858" w:type="pct"/>
          </w:tcPr>
          <w:p w14:paraId="69516BBC" w14:textId="6D271B19"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739EE881" w14:textId="10478CCA"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63898078" w14:textId="77777777" w:rsidTr="00787DE8">
        <w:tc>
          <w:tcPr>
            <w:tcW w:w="367" w:type="pct"/>
          </w:tcPr>
          <w:p w14:paraId="291F7D45" w14:textId="2D126026"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75</w:t>
            </w:r>
          </w:p>
        </w:tc>
        <w:tc>
          <w:tcPr>
            <w:tcW w:w="1734" w:type="pct"/>
          </w:tcPr>
          <w:p w14:paraId="38157DF5" w14:textId="34FF6281" w:rsidR="00142A94" w:rsidRPr="001B6E4D" w:rsidRDefault="00142A94" w:rsidP="003D1018">
            <w:pPr>
              <w:pStyle w:val="01"/>
              <w:overflowPunct w:val="0"/>
              <w:rPr>
                <w:rFonts w:hAnsi="標楷體"/>
                <w:sz w:val="24"/>
                <w:szCs w:val="24"/>
              </w:rPr>
            </w:pPr>
            <w:r w:rsidRPr="001B6E4D">
              <w:rPr>
                <w:rFonts w:hAnsi="標楷體"/>
                <w:sz w:val="24"/>
                <w:szCs w:val="24"/>
              </w:rPr>
              <w:t>少年事件處理法增訂第十八條之十條文草案</w:t>
            </w:r>
            <w:proofErr w:type="gramStart"/>
            <w:r w:rsidRPr="001B6E4D">
              <w:rPr>
                <w:rFonts w:hAnsi="標楷體"/>
                <w:sz w:val="24"/>
                <w:szCs w:val="24"/>
              </w:rPr>
              <w:t>（</w:t>
            </w:r>
            <w:proofErr w:type="gramEnd"/>
            <w:r w:rsidRPr="001B6E4D">
              <w:rPr>
                <w:rFonts w:hAnsi="標楷體"/>
                <w:sz w:val="24"/>
                <w:szCs w:val="24"/>
              </w:rPr>
              <w:t>增訂重點：建立高風險少年預警、輔導及校園反毒教育機制。）</w:t>
            </w:r>
          </w:p>
        </w:tc>
        <w:tc>
          <w:tcPr>
            <w:tcW w:w="1228" w:type="pct"/>
          </w:tcPr>
          <w:p w14:paraId="4472BA6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委員傅</w:t>
            </w:r>
            <w:r w:rsidRPr="001B6E4D">
              <w:rPr>
                <w:rFonts w:ascii="標楷體" w:eastAsia="標楷體" w:hAnsi="標楷體" w:hint="eastAsia"/>
                <w:sz w:val="24"/>
              </w:rPr>
              <w:t>崐萁</w:t>
            </w:r>
          </w:p>
          <w:p w14:paraId="00656BC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hint="eastAsia"/>
                <w:sz w:val="24"/>
              </w:rPr>
              <w:t>等</w:t>
            </w:r>
            <w:r w:rsidRPr="001B6E4D">
              <w:rPr>
                <w:rFonts w:ascii="標楷體" w:eastAsia="標楷體" w:hAnsi="標楷體"/>
                <w:sz w:val="24"/>
              </w:rPr>
              <w:t>18人</w:t>
            </w:r>
          </w:p>
          <w:p w14:paraId="4DE4051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115.06.05</w:t>
            </w:r>
          </w:p>
          <w:p w14:paraId="2B8DFB31" w14:textId="3FA3F064" w:rsidR="00142A94" w:rsidRPr="001B6E4D" w:rsidRDefault="00142A94" w:rsidP="003D1018">
            <w:pPr>
              <w:overflowPunct w:val="0"/>
              <w:jc w:val="both"/>
              <w:rPr>
                <w:rFonts w:ascii="標楷體" w:eastAsia="標楷體" w:hAnsi="標楷體"/>
                <w:sz w:val="24"/>
              </w:rPr>
            </w:pPr>
            <w:r w:rsidRPr="001B6E4D">
              <w:rPr>
                <w:rFonts w:ascii="標楷體" w:eastAsia="標楷體" w:hAnsi="標楷體" w:hint="eastAsia"/>
                <w:sz w:val="24"/>
              </w:rPr>
              <w:t>（</w:t>
            </w:r>
            <w:r w:rsidRPr="001B6E4D">
              <w:rPr>
                <w:rFonts w:ascii="標楷體" w:eastAsia="標楷體" w:hAnsi="標楷體"/>
                <w:sz w:val="24"/>
              </w:rPr>
              <w:t>11-5-13）</w:t>
            </w:r>
          </w:p>
        </w:tc>
        <w:tc>
          <w:tcPr>
            <w:tcW w:w="858" w:type="pct"/>
          </w:tcPr>
          <w:p w14:paraId="00EA62D1" w14:textId="0F49F49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3ADDA180" w14:textId="2337EFB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780F33EE" w14:textId="77777777" w:rsidTr="00787DE8">
        <w:tc>
          <w:tcPr>
            <w:tcW w:w="367" w:type="pct"/>
          </w:tcPr>
          <w:p w14:paraId="04063702" w14:textId="7A483BA0"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76</w:t>
            </w:r>
          </w:p>
        </w:tc>
        <w:tc>
          <w:tcPr>
            <w:tcW w:w="1734" w:type="pct"/>
          </w:tcPr>
          <w:p w14:paraId="7D78FAF9" w14:textId="4024673B" w:rsidR="00142A94" w:rsidRPr="001B6E4D" w:rsidRDefault="00142A94" w:rsidP="003D1018">
            <w:pPr>
              <w:pStyle w:val="01"/>
              <w:overflowPunct w:val="0"/>
              <w:rPr>
                <w:rFonts w:hAnsi="標楷體"/>
                <w:sz w:val="24"/>
                <w:szCs w:val="24"/>
              </w:rPr>
            </w:pPr>
            <w:r w:rsidRPr="001B6E4D">
              <w:rPr>
                <w:rFonts w:hAnsi="標楷體"/>
                <w:sz w:val="24"/>
                <w:szCs w:val="24"/>
              </w:rPr>
              <w:t>法律扶助法第十四條及第六十五</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修正重點：增訂對性侵害、重傷</w:t>
            </w:r>
            <w:r w:rsidRPr="001B6E4D">
              <w:rPr>
                <w:rFonts w:hAnsi="標楷體"/>
                <w:sz w:val="24"/>
                <w:szCs w:val="24"/>
              </w:rPr>
              <w:lastRenderedPageBreak/>
              <w:t>害、妨害自由之</w:t>
            </w:r>
            <w:proofErr w:type="gramStart"/>
            <w:r w:rsidRPr="001B6E4D">
              <w:rPr>
                <w:rFonts w:hAnsi="標楷體"/>
                <w:sz w:val="24"/>
                <w:szCs w:val="24"/>
              </w:rPr>
              <w:t>被害移工或</w:t>
            </w:r>
            <w:proofErr w:type="gramEnd"/>
            <w:r w:rsidRPr="001B6E4D">
              <w:rPr>
                <w:rFonts w:hAnsi="標楷體"/>
                <w:sz w:val="24"/>
                <w:szCs w:val="24"/>
              </w:rPr>
              <w:t>新住民及其家屬境外申請法律扶助資格，與勞政、移民業務人員之告知義務。）</w:t>
            </w:r>
          </w:p>
        </w:tc>
        <w:tc>
          <w:tcPr>
            <w:tcW w:w="1228" w:type="pct"/>
          </w:tcPr>
          <w:p w14:paraId="4F9910E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3E298EC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113.10.11</w:t>
            </w:r>
          </w:p>
          <w:p w14:paraId="25412BF4" w14:textId="5B568E74"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（11-2-4）</w:t>
            </w:r>
          </w:p>
        </w:tc>
        <w:tc>
          <w:tcPr>
            <w:tcW w:w="858" w:type="pct"/>
          </w:tcPr>
          <w:p w14:paraId="503FEF1B" w14:textId="22A3DA26"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3FC4B2E1" w14:textId="02F4ADC3"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35B867DF" w14:textId="77777777" w:rsidTr="00787DE8">
        <w:tc>
          <w:tcPr>
            <w:tcW w:w="367" w:type="pct"/>
          </w:tcPr>
          <w:p w14:paraId="59DDAADD" w14:textId="7E75AD73"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77</w:t>
            </w:r>
          </w:p>
        </w:tc>
        <w:tc>
          <w:tcPr>
            <w:tcW w:w="1734" w:type="pct"/>
          </w:tcPr>
          <w:p w14:paraId="27F0B987" w14:textId="038C1402" w:rsidR="00142A94" w:rsidRPr="001B6E4D" w:rsidRDefault="00142A94" w:rsidP="003D1018">
            <w:pPr>
              <w:pStyle w:val="01"/>
              <w:overflowPunct w:val="0"/>
              <w:rPr>
                <w:rFonts w:hAnsi="標楷體"/>
                <w:sz w:val="24"/>
                <w:szCs w:val="24"/>
              </w:rPr>
            </w:pPr>
            <w:r w:rsidRPr="001B6E4D">
              <w:rPr>
                <w:rFonts w:hAnsi="標楷體"/>
                <w:sz w:val="24"/>
                <w:szCs w:val="24"/>
              </w:rPr>
              <w:t>法律扶助法第五十四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修正重點：刪除身心障礙致不能勝任職務，列為董事或監察人之消極資格。）</w:t>
            </w:r>
          </w:p>
        </w:tc>
        <w:tc>
          <w:tcPr>
            <w:tcW w:w="1228" w:type="pct"/>
          </w:tcPr>
          <w:p w14:paraId="2FE854B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委員林楚</w:t>
            </w:r>
            <w:proofErr w:type="gramStart"/>
            <w:r w:rsidRPr="001B6E4D">
              <w:rPr>
                <w:rFonts w:ascii="標楷體" w:eastAsia="標楷體" w:hAnsi="標楷體"/>
                <w:sz w:val="24"/>
              </w:rPr>
              <w:t>茵</w:t>
            </w:r>
            <w:proofErr w:type="gramEnd"/>
          </w:p>
          <w:p w14:paraId="7F05B41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18DB7DA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114.03.07</w:t>
            </w:r>
          </w:p>
          <w:p w14:paraId="590A3055" w14:textId="37701D4D"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（11-3-4）</w:t>
            </w:r>
          </w:p>
        </w:tc>
        <w:tc>
          <w:tcPr>
            <w:tcW w:w="858" w:type="pct"/>
          </w:tcPr>
          <w:p w14:paraId="76ED00DF" w14:textId="6320DE33"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7D475C99" w14:textId="7EF93273"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12D99920" w14:textId="77777777" w:rsidTr="00787DE8">
        <w:tc>
          <w:tcPr>
            <w:tcW w:w="367" w:type="pct"/>
          </w:tcPr>
          <w:p w14:paraId="199594FC" w14:textId="40D4178C"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78</w:t>
            </w:r>
          </w:p>
        </w:tc>
        <w:tc>
          <w:tcPr>
            <w:tcW w:w="1734" w:type="pct"/>
          </w:tcPr>
          <w:p w14:paraId="1A814EE2" w14:textId="2398352C" w:rsidR="00142A94" w:rsidRPr="001B6E4D" w:rsidRDefault="00142A94" w:rsidP="003D1018">
            <w:pPr>
              <w:pStyle w:val="01"/>
              <w:overflowPunct w:val="0"/>
              <w:rPr>
                <w:rFonts w:hAnsi="標楷體"/>
                <w:sz w:val="24"/>
                <w:szCs w:val="24"/>
              </w:rPr>
            </w:pPr>
            <w:r w:rsidRPr="001B6E4D">
              <w:rPr>
                <w:rFonts w:hAnsi="標楷體"/>
                <w:sz w:val="24"/>
                <w:szCs w:val="24"/>
              </w:rPr>
              <w:t>稅務行政事件審理法草案</w:t>
            </w:r>
            <w:proofErr w:type="gramStart"/>
            <w:r w:rsidRPr="001B6E4D">
              <w:rPr>
                <w:rFonts w:hAnsi="標楷體"/>
                <w:sz w:val="24"/>
                <w:szCs w:val="24"/>
              </w:rPr>
              <w:t>（</w:t>
            </w:r>
            <w:proofErr w:type="gramEnd"/>
            <w:r w:rsidRPr="001B6E4D">
              <w:rPr>
                <w:rFonts w:hAnsi="標楷體"/>
                <w:sz w:val="24"/>
                <w:szCs w:val="24"/>
              </w:rPr>
              <w:t>共33條。制定重點：為促進程序經濟，澈底、妥適、專業解決稅務爭議，以有效保障納稅者權利，並維護依法及公平課稅原則，特制定本法。）</w:t>
            </w:r>
          </w:p>
        </w:tc>
        <w:tc>
          <w:tcPr>
            <w:tcW w:w="1228" w:type="pct"/>
          </w:tcPr>
          <w:p w14:paraId="213C8E4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司法院</w:t>
            </w:r>
          </w:p>
          <w:p w14:paraId="2B2A597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113.10.18</w:t>
            </w:r>
          </w:p>
          <w:p w14:paraId="6DBBE494" w14:textId="12B5E0E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（11-2-5）</w:t>
            </w:r>
          </w:p>
        </w:tc>
        <w:tc>
          <w:tcPr>
            <w:tcW w:w="858" w:type="pct"/>
          </w:tcPr>
          <w:p w14:paraId="5C3CEF9C" w14:textId="6681AEC5"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181AA5E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1.本會</w:t>
            </w:r>
          </w:p>
          <w:p w14:paraId="515AEC0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113.10.30</w:t>
            </w:r>
          </w:p>
          <w:p w14:paraId="281CA37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(11-2-10)報告及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6DB8533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2.本會</w:t>
            </w:r>
          </w:p>
          <w:p w14:paraId="535E35C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113.11.11舉行「稅務行政事件審理法草案」公聽會。</w:t>
            </w:r>
          </w:p>
          <w:p w14:paraId="604225C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3.本會</w:t>
            </w:r>
          </w:p>
          <w:p w14:paraId="64B0214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113.11.25</w:t>
            </w:r>
          </w:p>
          <w:p w14:paraId="53F88BE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(11-2-16)另定期繼續審查。</w:t>
            </w:r>
          </w:p>
          <w:p w14:paraId="011C468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4.本會</w:t>
            </w:r>
          </w:p>
          <w:p w14:paraId="34CB986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114.1.2</w:t>
            </w:r>
          </w:p>
          <w:p w14:paraId="01A30AC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(11-2-24)另定期繼續審查。</w:t>
            </w:r>
          </w:p>
          <w:p w14:paraId="66E050D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5.本會</w:t>
            </w:r>
          </w:p>
          <w:p w14:paraId="468A053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114.1.8</w:t>
            </w:r>
          </w:p>
          <w:p w14:paraId="37F6BFA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(11-2-26)另定期繼續審查。</w:t>
            </w:r>
          </w:p>
          <w:p w14:paraId="102478F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6.本會</w:t>
            </w:r>
          </w:p>
          <w:p w14:paraId="62414DC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115.7.2</w:t>
            </w:r>
          </w:p>
          <w:p w14:paraId="28C1189A" w14:textId="7E51D861"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(11-5-22)另定期繼續審查。</w:t>
            </w:r>
          </w:p>
        </w:tc>
      </w:tr>
      <w:tr w:rsidR="00142A94" w:rsidRPr="001B6E4D" w14:paraId="7B92F539" w14:textId="77777777" w:rsidTr="00787DE8">
        <w:tc>
          <w:tcPr>
            <w:tcW w:w="367" w:type="pct"/>
          </w:tcPr>
          <w:p w14:paraId="2354E0F4" w14:textId="4FD6919A"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lastRenderedPageBreak/>
              <w:t>79</w:t>
            </w:r>
          </w:p>
        </w:tc>
        <w:tc>
          <w:tcPr>
            <w:tcW w:w="1734" w:type="pct"/>
          </w:tcPr>
          <w:p w14:paraId="0A46C46A" w14:textId="759CB18F" w:rsidR="00142A94" w:rsidRPr="001B6E4D" w:rsidRDefault="00142A94" w:rsidP="003D1018">
            <w:pPr>
              <w:pStyle w:val="01"/>
              <w:overflowPunct w:val="0"/>
              <w:rPr>
                <w:rFonts w:hAnsi="標楷體"/>
                <w:sz w:val="24"/>
                <w:szCs w:val="24"/>
              </w:rPr>
            </w:pPr>
            <w:r w:rsidRPr="001B6E4D">
              <w:rPr>
                <w:rFonts w:hAnsi="標楷體"/>
                <w:sz w:val="24"/>
                <w:szCs w:val="24"/>
              </w:rPr>
              <w:t>行政訴訟法第一百四十六</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修正重點：增訂修復促進者因修復程序所知悉秘密得拒絕證言之權利。）</w:t>
            </w:r>
          </w:p>
        </w:tc>
        <w:tc>
          <w:tcPr>
            <w:tcW w:w="1228" w:type="pct"/>
          </w:tcPr>
          <w:p w14:paraId="1754BB6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28A5389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等21人</w:t>
            </w:r>
          </w:p>
          <w:p w14:paraId="657946E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114.01.03</w:t>
            </w:r>
          </w:p>
          <w:p w14:paraId="57E9CCD4" w14:textId="78A21FC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（11-2-16）</w:t>
            </w:r>
          </w:p>
        </w:tc>
        <w:tc>
          <w:tcPr>
            <w:tcW w:w="858" w:type="pct"/>
          </w:tcPr>
          <w:p w14:paraId="3F63D54E" w14:textId="7EA8F10C"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73FAE793" w14:textId="32345392"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263144A9" w14:textId="77777777" w:rsidTr="00787DE8">
        <w:tc>
          <w:tcPr>
            <w:tcW w:w="367" w:type="pct"/>
          </w:tcPr>
          <w:p w14:paraId="356EFDDC" w14:textId="4B23D133"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80</w:t>
            </w:r>
          </w:p>
        </w:tc>
        <w:tc>
          <w:tcPr>
            <w:tcW w:w="1734" w:type="pct"/>
          </w:tcPr>
          <w:p w14:paraId="7E0DAC85" w14:textId="381D6825" w:rsidR="00142A94" w:rsidRPr="001B6E4D" w:rsidRDefault="00142A94" w:rsidP="003D1018">
            <w:pPr>
              <w:pStyle w:val="01"/>
              <w:overflowPunct w:val="0"/>
              <w:rPr>
                <w:rFonts w:hAnsi="標楷體"/>
                <w:sz w:val="24"/>
                <w:szCs w:val="24"/>
              </w:rPr>
            </w:pPr>
            <w:r w:rsidRPr="001B6E4D">
              <w:rPr>
                <w:rFonts w:hAnsi="標楷體"/>
                <w:sz w:val="24"/>
                <w:szCs w:val="24"/>
              </w:rPr>
              <w:t>憲法訴訟法第十八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修正重點：將各類書狀全文公開。）</w:t>
            </w:r>
          </w:p>
        </w:tc>
        <w:tc>
          <w:tcPr>
            <w:tcW w:w="1228" w:type="pct"/>
          </w:tcPr>
          <w:p w14:paraId="5B312C6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0880766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等31人</w:t>
            </w:r>
          </w:p>
          <w:p w14:paraId="434A4BB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114.01.03</w:t>
            </w:r>
          </w:p>
          <w:p w14:paraId="6DA07515" w14:textId="14479B94"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（11-2-16）</w:t>
            </w:r>
          </w:p>
        </w:tc>
        <w:tc>
          <w:tcPr>
            <w:tcW w:w="858" w:type="pct"/>
          </w:tcPr>
          <w:p w14:paraId="3FB88FC1" w14:textId="1A28260E"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11489DC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29D9F26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114.11.20</w:t>
            </w:r>
          </w:p>
          <w:p w14:paraId="266FB2F6" w14:textId="2936013D"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(11-4-10)報告及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3AEA7710" w14:textId="77777777" w:rsidTr="00787DE8">
        <w:tc>
          <w:tcPr>
            <w:tcW w:w="367" w:type="pct"/>
          </w:tcPr>
          <w:p w14:paraId="52C8124B" w14:textId="4FE666F2"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81</w:t>
            </w:r>
          </w:p>
        </w:tc>
        <w:tc>
          <w:tcPr>
            <w:tcW w:w="1734" w:type="pct"/>
          </w:tcPr>
          <w:p w14:paraId="6072A56E" w14:textId="55082C5A" w:rsidR="00142A94" w:rsidRPr="001B6E4D" w:rsidRDefault="00142A94" w:rsidP="003D1018">
            <w:pPr>
              <w:pStyle w:val="01"/>
              <w:overflowPunct w:val="0"/>
              <w:rPr>
                <w:rFonts w:hAnsi="標楷體"/>
                <w:sz w:val="24"/>
                <w:szCs w:val="24"/>
              </w:rPr>
            </w:pPr>
            <w:r w:rsidRPr="001B6E4D">
              <w:rPr>
                <w:rFonts w:hAnsi="標楷體"/>
                <w:sz w:val="24"/>
                <w:szCs w:val="24"/>
              </w:rPr>
              <w:t>1.「民事訴訟法部分條文修正草案」及「民事訴訟法施行法第六條、第六條之</w:t>
            </w:r>
            <w:proofErr w:type="gramStart"/>
            <w:r w:rsidRPr="001B6E4D">
              <w:rPr>
                <w:rFonts w:hAnsi="標楷體"/>
                <w:sz w:val="24"/>
                <w:szCs w:val="24"/>
              </w:rPr>
              <w:t>一</w:t>
            </w:r>
            <w:proofErr w:type="gramEnd"/>
            <w:r w:rsidRPr="001B6E4D">
              <w:rPr>
                <w:rFonts w:hAnsi="標楷體"/>
                <w:sz w:val="24"/>
                <w:szCs w:val="24"/>
              </w:rPr>
              <w:t>及第二十二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1】民事訴訟法修正§44-2、77-23、124、126、127、128~130、133、134、136、137~141、143、145、151、152、153-1、229、265、301、441；增訂§124-1、127-1、133-1、136-1、153-2。修正重點：確保送達之合法性並簡化送達程序。【2】民事訴訟法施行法修正重點：配合民事訴訟法部分條文修正。）</w:t>
            </w:r>
          </w:p>
        </w:tc>
        <w:tc>
          <w:tcPr>
            <w:tcW w:w="1228" w:type="pct"/>
          </w:tcPr>
          <w:p w14:paraId="359A5BC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司法院</w:t>
            </w:r>
          </w:p>
          <w:p w14:paraId="7DBEB38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115.05.08</w:t>
            </w:r>
          </w:p>
          <w:p w14:paraId="2941532A" w14:textId="17FA5FFF"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（11-5-9）</w:t>
            </w:r>
          </w:p>
        </w:tc>
        <w:tc>
          <w:tcPr>
            <w:tcW w:w="858" w:type="pct"/>
          </w:tcPr>
          <w:p w14:paraId="4A2042CE" w14:textId="7B41693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52AFBCCA" w14:textId="176E49EF"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2DEB7163" w14:textId="77777777" w:rsidTr="00787DE8">
        <w:tc>
          <w:tcPr>
            <w:tcW w:w="367" w:type="pct"/>
          </w:tcPr>
          <w:p w14:paraId="20F68F5C" w14:textId="3C69B89C"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82</w:t>
            </w:r>
          </w:p>
        </w:tc>
        <w:tc>
          <w:tcPr>
            <w:tcW w:w="1734" w:type="pct"/>
          </w:tcPr>
          <w:p w14:paraId="2DE679A4" w14:textId="3EDC03C0" w:rsidR="00142A94" w:rsidRPr="001B6E4D" w:rsidRDefault="00142A94" w:rsidP="003D1018">
            <w:pPr>
              <w:pStyle w:val="01"/>
              <w:overflowPunct w:val="0"/>
              <w:rPr>
                <w:rFonts w:hAnsi="標楷體"/>
                <w:sz w:val="24"/>
                <w:szCs w:val="24"/>
              </w:rPr>
            </w:pPr>
            <w:r w:rsidRPr="001B6E4D">
              <w:rPr>
                <w:rFonts w:hAnsi="標楷體"/>
                <w:sz w:val="24"/>
                <w:szCs w:val="24"/>
              </w:rPr>
              <w:t>2.民事訴訟法第一百三十八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修正重點：新增郵</w:t>
            </w:r>
            <w:proofErr w:type="gramStart"/>
            <w:r w:rsidRPr="001B6E4D">
              <w:rPr>
                <w:rFonts w:hAnsi="標楷體"/>
                <w:sz w:val="24"/>
                <w:szCs w:val="24"/>
              </w:rPr>
              <w:t>務</w:t>
            </w:r>
            <w:proofErr w:type="gramEnd"/>
            <w:r w:rsidRPr="001B6E4D">
              <w:rPr>
                <w:rFonts w:hAnsi="標楷體"/>
                <w:sz w:val="24"/>
                <w:szCs w:val="24"/>
              </w:rPr>
              <w:t>機構作為得受寄存送達機構。）</w:t>
            </w:r>
          </w:p>
        </w:tc>
        <w:tc>
          <w:tcPr>
            <w:tcW w:w="1228" w:type="pct"/>
          </w:tcPr>
          <w:p w14:paraId="1988B6B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委員鍾佳濱</w:t>
            </w:r>
          </w:p>
          <w:p w14:paraId="2CD7504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等17人</w:t>
            </w:r>
          </w:p>
          <w:p w14:paraId="5B2F383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114.04.18</w:t>
            </w:r>
          </w:p>
          <w:p w14:paraId="7DD54B69" w14:textId="3D8C64F5"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（11-3-8）</w:t>
            </w:r>
          </w:p>
        </w:tc>
        <w:tc>
          <w:tcPr>
            <w:tcW w:w="858" w:type="pct"/>
          </w:tcPr>
          <w:p w14:paraId="7ABAFC3E" w14:textId="4E09CFB6"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726BD586" w14:textId="6972689C"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295702BC" w14:textId="77777777" w:rsidTr="00787DE8">
        <w:tc>
          <w:tcPr>
            <w:tcW w:w="367" w:type="pct"/>
          </w:tcPr>
          <w:p w14:paraId="231A1ED0" w14:textId="0A10B340"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83</w:t>
            </w:r>
          </w:p>
        </w:tc>
        <w:tc>
          <w:tcPr>
            <w:tcW w:w="1734" w:type="pct"/>
          </w:tcPr>
          <w:p w14:paraId="3C1CE449" w14:textId="3DB966A2" w:rsidR="00142A94" w:rsidRPr="001B6E4D" w:rsidRDefault="00142A94" w:rsidP="003D1018">
            <w:pPr>
              <w:pStyle w:val="01"/>
              <w:overflowPunct w:val="0"/>
              <w:rPr>
                <w:rFonts w:hAnsi="標楷體"/>
                <w:sz w:val="24"/>
                <w:szCs w:val="24"/>
              </w:rPr>
            </w:pPr>
            <w:r w:rsidRPr="001B6E4D">
              <w:rPr>
                <w:rFonts w:hAnsi="標楷體"/>
                <w:sz w:val="24"/>
                <w:szCs w:val="24"/>
              </w:rPr>
              <w:t>民事訴訟法第七十七條之二十七條文修正草案</w:t>
            </w:r>
            <w:proofErr w:type="gramStart"/>
            <w:r w:rsidRPr="001B6E4D">
              <w:rPr>
                <w:rFonts w:hAnsi="標楷體"/>
                <w:sz w:val="24"/>
                <w:szCs w:val="24"/>
              </w:rPr>
              <w:t>（</w:t>
            </w:r>
            <w:proofErr w:type="gramEnd"/>
            <w:r w:rsidRPr="001B6E4D">
              <w:rPr>
                <w:rFonts w:hAnsi="標楷體"/>
                <w:sz w:val="24"/>
                <w:szCs w:val="24"/>
              </w:rPr>
              <w:t>修正重</w:t>
            </w:r>
            <w:r w:rsidRPr="001B6E4D">
              <w:rPr>
                <w:rFonts w:hAnsi="標楷體"/>
                <w:sz w:val="24"/>
                <w:szCs w:val="24"/>
              </w:rPr>
              <w:lastRenderedPageBreak/>
              <w:t>點：對民事訴訟、非訟事件徵收額數授權調高幅度更</w:t>
            </w:r>
            <w:proofErr w:type="gramStart"/>
            <w:r w:rsidRPr="001B6E4D">
              <w:rPr>
                <w:rFonts w:hAnsi="標楷體"/>
                <w:sz w:val="24"/>
                <w:szCs w:val="24"/>
              </w:rPr>
              <w:t>嚴格限</w:t>
            </w:r>
            <w:proofErr w:type="gramEnd"/>
            <w:r w:rsidRPr="001B6E4D">
              <w:rPr>
                <w:rFonts w:hAnsi="標楷體"/>
                <w:sz w:val="24"/>
                <w:szCs w:val="24"/>
              </w:rPr>
              <w:t>縮。）</w:t>
            </w:r>
          </w:p>
        </w:tc>
        <w:tc>
          <w:tcPr>
            <w:tcW w:w="1228" w:type="pct"/>
          </w:tcPr>
          <w:p w14:paraId="0CA31A2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682F716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114.04.25</w:t>
            </w:r>
          </w:p>
          <w:p w14:paraId="3B6E8C60" w14:textId="7F1E8CCD"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（11-3-9）</w:t>
            </w:r>
          </w:p>
        </w:tc>
        <w:tc>
          <w:tcPr>
            <w:tcW w:w="858" w:type="pct"/>
          </w:tcPr>
          <w:p w14:paraId="1B0C2022" w14:textId="520C958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lastRenderedPageBreak/>
              <w:t>司法及法制</w:t>
            </w:r>
          </w:p>
        </w:tc>
        <w:tc>
          <w:tcPr>
            <w:tcW w:w="813" w:type="pct"/>
          </w:tcPr>
          <w:p w14:paraId="3B39895A" w14:textId="47D0213F"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0C1183AA" w14:textId="77777777" w:rsidTr="00787DE8">
        <w:tc>
          <w:tcPr>
            <w:tcW w:w="367" w:type="pct"/>
          </w:tcPr>
          <w:p w14:paraId="322FB110" w14:textId="16F4C1D7"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84</w:t>
            </w:r>
          </w:p>
        </w:tc>
        <w:tc>
          <w:tcPr>
            <w:tcW w:w="1734" w:type="pct"/>
          </w:tcPr>
          <w:p w14:paraId="6AA876D8" w14:textId="46BD079B" w:rsidR="00142A94" w:rsidRPr="001B6E4D" w:rsidRDefault="00142A94" w:rsidP="003D1018">
            <w:pPr>
              <w:pStyle w:val="01"/>
              <w:overflowPunct w:val="0"/>
              <w:rPr>
                <w:rFonts w:hAnsi="標楷體"/>
                <w:sz w:val="24"/>
                <w:szCs w:val="24"/>
              </w:rPr>
            </w:pPr>
            <w:r w:rsidRPr="001B6E4D">
              <w:rPr>
                <w:rFonts w:hAnsi="標楷體"/>
                <w:sz w:val="24"/>
                <w:szCs w:val="24"/>
              </w:rPr>
              <w:t>民事訴訟法第四百二十七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修正重點：明定第2項第11款之訴訟案件，經當事人之合意，應改用通常訴訟程序，並移由普通庭審理。）</w:t>
            </w:r>
          </w:p>
        </w:tc>
        <w:tc>
          <w:tcPr>
            <w:tcW w:w="1228" w:type="pct"/>
          </w:tcPr>
          <w:p w14:paraId="5CD9AF7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委員林淑芬</w:t>
            </w:r>
          </w:p>
          <w:p w14:paraId="262DEA4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等21人</w:t>
            </w:r>
          </w:p>
          <w:p w14:paraId="4A81BBE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114.11.14</w:t>
            </w:r>
          </w:p>
          <w:p w14:paraId="5BE439F9" w14:textId="6E11538B"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（11-4-9）</w:t>
            </w:r>
          </w:p>
        </w:tc>
        <w:tc>
          <w:tcPr>
            <w:tcW w:w="858" w:type="pct"/>
          </w:tcPr>
          <w:p w14:paraId="5D90E8CF" w14:textId="29BEED2A"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1B4047DC" w14:textId="1C9D2CDE"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2E4088FE" w14:textId="77777777" w:rsidTr="00787DE8">
        <w:tc>
          <w:tcPr>
            <w:tcW w:w="367" w:type="pct"/>
          </w:tcPr>
          <w:p w14:paraId="53FAC529" w14:textId="7CD4528F"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85</w:t>
            </w:r>
          </w:p>
        </w:tc>
        <w:tc>
          <w:tcPr>
            <w:tcW w:w="1734" w:type="pct"/>
          </w:tcPr>
          <w:p w14:paraId="566AA024" w14:textId="7870336E" w:rsidR="00142A94" w:rsidRPr="001B6E4D" w:rsidRDefault="00142A94" w:rsidP="003D1018">
            <w:pPr>
              <w:pStyle w:val="01"/>
              <w:overflowPunct w:val="0"/>
              <w:rPr>
                <w:rFonts w:hAnsi="標楷體"/>
                <w:sz w:val="24"/>
                <w:szCs w:val="24"/>
              </w:rPr>
            </w:pPr>
            <w:r w:rsidRPr="001B6E4D">
              <w:rPr>
                <w:rFonts w:hAnsi="標楷體"/>
                <w:sz w:val="24"/>
                <w:szCs w:val="24"/>
              </w:rPr>
              <w:t>破產法第十一條及第一百十七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修正重點：將「推事」修正為「法官」。）</w:t>
            </w:r>
          </w:p>
        </w:tc>
        <w:tc>
          <w:tcPr>
            <w:tcW w:w="1228" w:type="pct"/>
          </w:tcPr>
          <w:p w14:paraId="0371E9F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委員陳俊宇</w:t>
            </w:r>
          </w:p>
          <w:p w14:paraId="442A5F7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等35人</w:t>
            </w:r>
          </w:p>
          <w:p w14:paraId="289CEF7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114.05.16</w:t>
            </w:r>
          </w:p>
          <w:p w14:paraId="538E74A5" w14:textId="279B412F"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（11-3-12）</w:t>
            </w:r>
          </w:p>
        </w:tc>
        <w:tc>
          <w:tcPr>
            <w:tcW w:w="858" w:type="pct"/>
          </w:tcPr>
          <w:p w14:paraId="1B1DC98A" w14:textId="0A206E36"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60C986AD" w14:textId="1930C1B2"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5029B710" w14:textId="77777777" w:rsidTr="00787DE8">
        <w:tc>
          <w:tcPr>
            <w:tcW w:w="367" w:type="pct"/>
          </w:tcPr>
          <w:p w14:paraId="0BE3B51B" w14:textId="6B60BFAB"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86</w:t>
            </w:r>
          </w:p>
        </w:tc>
        <w:tc>
          <w:tcPr>
            <w:tcW w:w="1734" w:type="pct"/>
          </w:tcPr>
          <w:p w14:paraId="39A78B00" w14:textId="79A601AC" w:rsidR="00142A94" w:rsidRPr="001B6E4D" w:rsidRDefault="00142A94" w:rsidP="003D1018">
            <w:pPr>
              <w:pStyle w:val="01"/>
              <w:overflowPunct w:val="0"/>
              <w:rPr>
                <w:rFonts w:hAnsi="標楷體"/>
                <w:sz w:val="24"/>
                <w:szCs w:val="24"/>
              </w:rPr>
            </w:pPr>
            <w:r w:rsidRPr="001B6E4D">
              <w:rPr>
                <w:rFonts w:hAnsi="標楷體"/>
                <w:sz w:val="24"/>
                <w:szCs w:val="24"/>
              </w:rPr>
              <w:t>涉外民事法律適用法第二十七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修正重點：不正競爭行為所生之債，無論是否有法律行為參與其中，法院皆應選擇市場之所在地法作為判決之</w:t>
            </w:r>
            <w:proofErr w:type="gramStart"/>
            <w:r w:rsidRPr="001B6E4D">
              <w:rPr>
                <w:rFonts w:hAnsi="標楷體"/>
                <w:sz w:val="24"/>
                <w:szCs w:val="24"/>
              </w:rPr>
              <w:t>準</w:t>
            </w:r>
            <w:proofErr w:type="gramEnd"/>
            <w:r w:rsidRPr="001B6E4D">
              <w:rPr>
                <w:rFonts w:hAnsi="標楷體"/>
                <w:sz w:val="24"/>
                <w:szCs w:val="24"/>
              </w:rPr>
              <w:t>據。）</w:t>
            </w:r>
          </w:p>
        </w:tc>
        <w:tc>
          <w:tcPr>
            <w:tcW w:w="1228" w:type="pct"/>
          </w:tcPr>
          <w:p w14:paraId="709B1BB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委員賴惠員</w:t>
            </w:r>
          </w:p>
          <w:p w14:paraId="0984366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等22人</w:t>
            </w:r>
          </w:p>
          <w:p w14:paraId="3027899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114.06.13</w:t>
            </w:r>
          </w:p>
          <w:p w14:paraId="6B8C4FB2" w14:textId="77D6824D"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（11-3-16）</w:t>
            </w:r>
          </w:p>
        </w:tc>
        <w:tc>
          <w:tcPr>
            <w:tcW w:w="858" w:type="pct"/>
          </w:tcPr>
          <w:p w14:paraId="00DA518F" w14:textId="7B51CE5D"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52779205" w14:textId="0C66B282"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4CC00A4E" w14:textId="77777777" w:rsidTr="00787DE8">
        <w:tc>
          <w:tcPr>
            <w:tcW w:w="367" w:type="pct"/>
          </w:tcPr>
          <w:p w14:paraId="227E08B4" w14:textId="7E5826A0"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87</w:t>
            </w:r>
          </w:p>
        </w:tc>
        <w:tc>
          <w:tcPr>
            <w:tcW w:w="1734" w:type="pct"/>
          </w:tcPr>
          <w:p w14:paraId="58209E4E" w14:textId="16CED598" w:rsidR="00142A94" w:rsidRPr="001B6E4D" w:rsidRDefault="00142A94" w:rsidP="003D1018">
            <w:pPr>
              <w:pStyle w:val="01"/>
              <w:overflowPunct w:val="0"/>
              <w:rPr>
                <w:rFonts w:hAnsi="標楷體"/>
                <w:sz w:val="24"/>
                <w:szCs w:val="24"/>
              </w:rPr>
            </w:pPr>
            <w:r w:rsidRPr="001B6E4D">
              <w:rPr>
                <w:rFonts w:hAnsi="標楷體"/>
                <w:sz w:val="24"/>
                <w:szCs w:val="24"/>
              </w:rPr>
              <w:t>1.法官法第九十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修正重點：檢察官人事審議委員會之組成，引入外部委員；明定主任委員由委員相互推選產生。）</w:t>
            </w:r>
          </w:p>
        </w:tc>
        <w:tc>
          <w:tcPr>
            <w:tcW w:w="1228" w:type="pct"/>
          </w:tcPr>
          <w:p w14:paraId="17E4D94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4171117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114.08.15</w:t>
            </w:r>
          </w:p>
          <w:p w14:paraId="76660A06" w14:textId="29B83922"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（11-3-25）</w:t>
            </w:r>
          </w:p>
        </w:tc>
        <w:tc>
          <w:tcPr>
            <w:tcW w:w="858" w:type="pct"/>
          </w:tcPr>
          <w:p w14:paraId="439B7367" w14:textId="1B748F9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61B55D3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05C5B3C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115.5.11</w:t>
            </w:r>
          </w:p>
          <w:p w14:paraId="3DA70D8F" w14:textId="0C8F17B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(11-5-13)報告及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6BBDA8C6" w14:textId="77777777" w:rsidTr="00787DE8">
        <w:tc>
          <w:tcPr>
            <w:tcW w:w="367" w:type="pct"/>
          </w:tcPr>
          <w:p w14:paraId="134C49A2" w14:textId="6600A49F"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88</w:t>
            </w:r>
          </w:p>
        </w:tc>
        <w:tc>
          <w:tcPr>
            <w:tcW w:w="1734" w:type="pct"/>
          </w:tcPr>
          <w:p w14:paraId="70B17C67" w14:textId="41B848CB" w:rsidR="00142A94" w:rsidRPr="001B6E4D" w:rsidRDefault="00142A94" w:rsidP="003D1018">
            <w:pPr>
              <w:pStyle w:val="01"/>
              <w:overflowPunct w:val="0"/>
              <w:rPr>
                <w:rFonts w:hAnsi="標楷體"/>
                <w:sz w:val="24"/>
                <w:szCs w:val="24"/>
              </w:rPr>
            </w:pPr>
            <w:r w:rsidRPr="001B6E4D">
              <w:rPr>
                <w:rFonts w:hAnsi="標楷體"/>
                <w:sz w:val="24"/>
                <w:szCs w:val="24"/>
              </w:rPr>
              <w:t>2.法官法第四條及第九十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修正重點：提升人事審議委員會外部專業及社會代表參與比例。）</w:t>
            </w:r>
          </w:p>
        </w:tc>
        <w:tc>
          <w:tcPr>
            <w:tcW w:w="1228" w:type="pct"/>
          </w:tcPr>
          <w:p w14:paraId="55CD763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463C764B"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等19人</w:t>
            </w:r>
          </w:p>
          <w:p w14:paraId="1892E71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115.04.24</w:t>
            </w:r>
          </w:p>
          <w:p w14:paraId="63FE703B" w14:textId="56B796D9"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（11-5-8）</w:t>
            </w:r>
          </w:p>
        </w:tc>
        <w:tc>
          <w:tcPr>
            <w:tcW w:w="858" w:type="pct"/>
          </w:tcPr>
          <w:p w14:paraId="3324682B" w14:textId="5C22DF98"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40E89F1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本會</w:t>
            </w:r>
          </w:p>
          <w:p w14:paraId="372CEDA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115.5.11</w:t>
            </w:r>
          </w:p>
          <w:p w14:paraId="16BD0035" w14:textId="51A622DE"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(11-5-13)報告及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142A94" w:rsidRPr="001B6E4D" w14:paraId="72122D92" w14:textId="77777777" w:rsidTr="00787DE8">
        <w:tc>
          <w:tcPr>
            <w:tcW w:w="367" w:type="pct"/>
          </w:tcPr>
          <w:p w14:paraId="0E9FF53E" w14:textId="3E6B29FB"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89</w:t>
            </w:r>
          </w:p>
        </w:tc>
        <w:tc>
          <w:tcPr>
            <w:tcW w:w="1734" w:type="pct"/>
          </w:tcPr>
          <w:p w14:paraId="29901208" w14:textId="30366A69" w:rsidR="00142A94" w:rsidRPr="001B6E4D" w:rsidRDefault="00142A94" w:rsidP="003D1018">
            <w:pPr>
              <w:pStyle w:val="01"/>
              <w:overflowPunct w:val="0"/>
              <w:rPr>
                <w:rFonts w:hAnsi="標楷體"/>
                <w:sz w:val="24"/>
                <w:szCs w:val="24"/>
              </w:rPr>
            </w:pPr>
            <w:r w:rsidRPr="001B6E4D">
              <w:rPr>
                <w:rFonts w:hAnsi="標楷體"/>
                <w:sz w:val="24"/>
                <w:szCs w:val="24"/>
              </w:rPr>
              <w:t>國民法官法第六</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修正重點：合理規範法院裁定不行國民法官審理之案件範圍。）</w:t>
            </w:r>
          </w:p>
        </w:tc>
        <w:tc>
          <w:tcPr>
            <w:tcW w:w="1228" w:type="pct"/>
          </w:tcPr>
          <w:p w14:paraId="329D0B0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委員翁曉玲</w:t>
            </w:r>
          </w:p>
          <w:p w14:paraId="4DBCA69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等17人</w:t>
            </w:r>
          </w:p>
          <w:p w14:paraId="594FDEA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114.11.14</w:t>
            </w:r>
          </w:p>
          <w:p w14:paraId="171093D3" w14:textId="681D6071"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（11-4-9）</w:t>
            </w:r>
          </w:p>
        </w:tc>
        <w:tc>
          <w:tcPr>
            <w:tcW w:w="858" w:type="pct"/>
          </w:tcPr>
          <w:p w14:paraId="7203D419" w14:textId="4A09BC98"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17ECCA1B" w14:textId="7295027C"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509DA6B4" w14:textId="77777777" w:rsidTr="00787DE8">
        <w:tc>
          <w:tcPr>
            <w:tcW w:w="367" w:type="pct"/>
          </w:tcPr>
          <w:p w14:paraId="7AF40AE2" w14:textId="4B112474"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lastRenderedPageBreak/>
              <w:t>90</w:t>
            </w:r>
          </w:p>
        </w:tc>
        <w:tc>
          <w:tcPr>
            <w:tcW w:w="1734" w:type="pct"/>
          </w:tcPr>
          <w:p w14:paraId="7F5270A4" w14:textId="6BB0408B" w:rsidR="00142A94" w:rsidRPr="001B6E4D" w:rsidRDefault="00142A94" w:rsidP="003D1018">
            <w:pPr>
              <w:pStyle w:val="01"/>
              <w:overflowPunct w:val="0"/>
              <w:rPr>
                <w:rFonts w:hAnsi="標楷體"/>
                <w:sz w:val="24"/>
                <w:szCs w:val="24"/>
              </w:rPr>
            </w:pPr>
            <w:r w:rsidRPr="001B6E4D">
              <w:rPr>
                <w:rFonts w:hAnsi="標楷體"/>
                <w:sz w:val="24"/>
                <w:szCs w:val="24"/>
              </w:rPr>
              <w:t>消費者債務清理條例增訂第一百五十六條之</w:t>
            </w:r>
            <w:proofErr w:type="gramStart"/>
            <w:r w:rsidRPr="001B6E4D">
              <w:rPr>
                <w:rFonts w:hAnsi="標楷體"/>
                <w:sz w:val="24"/>
                <w:szCs w:val="24"/>
              </w:rPr>
              <w:t>一</w:t>
            </w:r>
            <w:proofErr w:type="gramEnd"/>
            <w:r w:rsidRPr="001B6E4D">
              <w:rPr>
                <w:rFonts w:hAnsi="標楷體"/>
                <w:sz w:val="24"/>
                <w:szCs w:val="24"/>
              </w:rPr>
              <w:t>條文草案</w:t>
            </w:r>
            <w:proofErr w:type="gramStart"/>
            <w:r w:rsidRPr="001B6E4D">
              <w:rPr>
                <w:rFonts w:hAnsi="標楷體"/>
                <w:sz w:val="24"/>
                <w:szCs w:val="24"/>
              </w:rPr>
              <w:t>（</w:t>
            </w:r>
            <w:proofErr w:type="gramEnd"/>
            <w:r w:rsidRPr="001B6E4D">
              <w:rPr>
                <w:rFonts w:hAnsi="標楷體"/>
                <w:sz w:val="24"/>
                <w:szCs w:val="24"/>
              </w:rPr>
              <w:t>增訂重點：受金融主管機關納管之機構，有辦理消費者貸款業務，或購買以消費者為對象之金錢給付債權等類似融資性質業務者，比照本條例有關金融機構規定辦理。）</w:t>
            </w:r>
          </w:p>
        </w:tc>
        <w:tc>
          <w:tcPr>
            <w:tcW w:w="1228" w:type="pct"/>
          </w:tcPr>
          <w:p w14:paraId="63A8FC7F"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委員吳秉</w:t>
            </w:r>
            <w:proofErr w:type="gramStart"/>
            <w:r w:rsidRPr="001B6E4D">
              <w:rPr>
                <w:rFonts w:ascii="標楷體" w:eastAsia="標楷體" w:hAnsi="標楷體"/>
                <w:sz w:val="24"/>
              </w:rPr>
              <w:t>叡</w:t>
            </w:r>
            <w:proofErr w:type="gramEnd"/>
          </w:p>
          <w:p w14:paraId="64EB7278"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等19人</w:t>
            </w:r>
          </w:p>
          <w:p w14:paraId="379359BC"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114.12.19</w:t>
            </w:r>
          </w:p>
          <w:p w14:paraId="18B83D31" w14:textId="2AE6499B"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（11-4-14）</w:t>
            </w:r>
          </w:p>
        </w:tc>
        <w:tc>
          <w:tcPr>
            <w:tcW w:w="858" w:type="pct"/>
          </w:tcPr>
          <w:p w14:paraId="6F102CC8" w14:textId="5FA27DA6"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5A92E665" w14:textId="77BB27F0"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325EE45C" w14:textId="77777777" w:rsidTr="00787DE8">
        <w:tc>
          <w:tcPr>
            <w:tcW w:w="367" w:type="pct"/>
          </w:tcPr>
          <w:p w14:paraId="7A523F7B" w14:textId="7D6B7C0E"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91</w:t>
            </w:r>
          </w:p>
        </w:tc>
        <w:tc>
          <w:tcPr>
            <w:tcW w:w="1734" w:type="pct"/>
          </w:tcPr>
          <w:p w14:paraId="405A3B55" w14:textId="1F830EBD" w:rsidR="00142A94" w:rsidRPr="001B6E4D" w:rsidRDefault="00142A94" w:rsidP="003D1018">
            <w:pPr>
              <w:pStyle w:val="01"/>
              <w:overflowPunct w:val="0"/>
              <w:rPr>
                <w:rFonts w:hAnsi="標楷體"/>
                <w:sz w:val="24"/>
                <w:szCs w:val="24"/>
              </w:rPr>
            </w:pPr>
            <w:r w:rsidRPr="001B6E4D">
              <w:rPr>
                <w:rFonts w:hAnsi="標楷體"/>
                <w:sz w:val="24"/>
                <w:szCs w:val="24"/>
              </w:rPr>
              <w:t>公務員懲戒法第七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修正重點：停職之公務員復職後，除補發其停職期間之本</w:t>
            </w:r>
            <w:proofErr w:type="gramStart"/>
            <w:r w:rsidRPr="001B6E4D">
              <w:rPr>
                <w:rFonts w:hAnsi="標楷體"/>
                <w:sz w:val="24"/>
                <w:szCs w:val="24"/>
              </w:rPr>
              <w:t>俸</w:t>
            </w:r>
            <w:proofErr w:type="gramEnd"/>
            <w:r w:rsidRPr="001B6E4D">
              <w:rPr>
                <w:rFonts w:hAnsi="標楷體"/>
                <w:sz w:val="24"/>
                <w:szCs w:val="24"/>
              </w:rPr>
              <w:t>（年功</w:t>
            </w:r>
            <w:proofErr w:type="gramStart"/>
            <w:r w:rsidRPr="001B6E4D">
              <w:rPr>
                <w:rFonts w:hAnsi="標楷體"/>
                <w:sz w:val="24"/>
                <w:szCs w:val="24"/>
              </w:rPr>
              <w:t>俸</w:t>
            </w:r>
            <w:proofErr w:type="gramEnd"/>
            <w:r w:rsidRPr="001B6E4D">
              <w:rPr>
                <w:rFonts w:hAnsi="標楷體"/>
                <w:sz w:val="24"/>
                <w:szCs w:val="24"/>
              </w:rPr>
              <w:t>），應予補發加給。）</w:t>
            </w:r>
          </w:p>
        </w:tc>
        <w:tc>
          <w:tcPr>
            <w:tcW w:w="1228" w:type="pct"/>
          </w:tcPr>
          <w:p w14:paraId="01D920A3"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委員林宜瑾</w:t>
            </w:r>
          </w:p>
          <w:p w14:paraId="01C5B4A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等20人</w:t>
            </w:r>
          </w:p>
          <w:p w14:paraId="18AF4CC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114.12.26</w:t>
            </w:r>
          </w:p>
          <w:p w14:paraId="60A30A36" w14:textId="18220373"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（11-4-15）</w:t>
            </w:r>
          </w:p>
        </w:tc>
        <w:tc>
          <w:tcPr>
            <w:tcW w:w="858" w:type="pct"/>
          </w:tcPr>
          <w:p w14:paraId="69CBADC1" w14:textId="6BEB20B8"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45D5B3C8" w14:textId="3653279A"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78B4128C" w14:textId="77777777" w:rsidTr="00787DE8">
        <w:tc>
          <w:tcPr>
            <w:tcW w:w="367" w:type="pct"/>
          </w:tcPr>
          <w:p w14:paraId="1C9A38E6" w14:textId="2F387D92"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92</w:t>
            </w:r>
          </w:p>
        </w:tc>
        <w:tc>
          <w:tcPr>
            <w:tcW w:w="1734" w:type="pct"/>
          </w:tcPr>
          <w:p w14:paraId="638583B4" w14:textId="2536157E" w:rsidR="00142A94" w:rsidRPr="001B6E4D" w:rsidRDefault="00142A94" w:rsidP="003D1018">
            <w:pPr>
              <w:pStyle w:val="01"/>
              <w:overflowPunct w:val="0"/>
              <w:rPr>
                <w:rFonts w:hAnsi="標楷體"/>
                <w:sz w:val="24"/>
                <w:szCs w:val="24"/>
              </w:rPr>
            </w:pPr>
            <w:r w:rsidRPr="001B6E4D">
              <w:rPr>
                <w:rFonts w:hAnsi="標楷體"/>
                <w:sz w:val="24"/>
                <w:szCs w:val="24"/>
              </w:rPr>
              <w:t>1.家事事件法第一百零八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修正重點：增訂間接聽取規範。）</w:t>
            </w:r>
          </w:p>
        </w:tc>
        <w:tc>
          <w:tcPr>
            <w:tcW w:w="1228" w:type="pct"/>
          </w:tcPr>
          <w:p w14:paraId="26E3593E"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委員羅智強</w:t>
            </w:r>
          </w:p>
          <w:p w14:paraId="7AE36A86"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017A901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115.01.02</w:t>
            </w:r>
          </w:p>
          <w:p w14:paraId="141A7A6B" w14:textId="55F5998B"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（11-4-16）</w:t>
            </w:r>
          </w:p>
        </w:tc>
        <w:tc>
          <w:tcPr>
            <w:tcW w:w="858" w:type="pct"/>
          </w:tcPr>
          <w:p w14:paraId="56D70F2C" w14:textId="4A103A45"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136DDC96" w14:textId="6B984706"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620B3BCE" w14:textId="77777777" w:rsidTr="00787DE8">
        <w:tc>
          <w:tcPr>
            <w:tcW w:w="367" w:type="pct"/>
          </w:tcPr>
          <w:p w14:paraId="7EAC30C3" w14:textId="64023F5A"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93</w:t>
            </w:r>
          </w:p>
        </w:tc>
        <w:tc>
          <w:tcPr>
            <w:tcW w:w="1734" w:type="pct"/>
          </w:tcPr>
          <w:p w14:paraId="2ED7AC1E" w14:textId="454540A7" w:rsidR="00142A94" w:rsidRPr="001B6E4D" w:rsidRDefault="00142A94" w:rsidP="003D1018">
            <w:pPr>
              <w:pStyle w:val="01"/>
              <w:overflowPunct w:val="0"/>
              <w:rPr>
                <w:rFonts w:hAnsi="標楷體"/>
                <w:sz w:val="24"/>
                <w:szCs w:val="24"/>
              </w:rPr>
            </w:pPr>
            <w:r w:rsidRPr="001B6E4D">
              <w:rPr>
                <w:rFonts w:hAnsi="標楷體"/>
                <w:sz w:val="24"/>
                <w:szCs w:val="24"/>
              </w:rPr>
              <w:t>2.家事事件法第一百零八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修正重點：兒童及少年得以直接或間接方式行使其表意權。）</w:t>
            </w:r>
          </w:p>
        </w:tc>
        <w:tc>
          <w:tcPr>
            <w:tcW w:w="1228" w:type="pct"/>
          </w:tcPr>
          <w:p w14:paraId="0CCE2229"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委員陳菁徽</w:t>
            </w:r>
          </w:p>
          <w:p w14:paraId="5B012A0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56B7268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115.01.16</w:t>
            </w:r>
          </w:p>
          <w:p w14:paraId="22F2B75E" w14:textId="4B4E529A"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（11-4-18）</w:t>
            </w:r>
          </w:p>
        </w:tc>
        <w:tc>
          <w:tcPr>
            <w:tcW w:w="858" w:type="pct"/>
          </w:tcPr>
          <w:p w14:paraId="54715B07" w14:textId="16C3A8F4"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1BBDF922" w14:textId="6B35454C"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38653817" w14:textId="77777777" w:rsidTr="00787DE8">
        <w:tc>
          <w:tcPr>
            <w:tcW w:w="367" w:type="pct"/>
          </w:tcPr>
          <w:p w14:paraId="2F02B0B1" w14:textId="1E259656"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94</w:t>
            </w:r>
          </w:p>
        </w:tc>
        <w:tc>
          <w:tcPr>
            <w:tcW w:w="1734" w:type="pct"/>
          </w:tcPr>
          <w:p w14:paraId="15415025" w14:textId="23051BC3" w:rsidR="00142A94" w:rsidRPr="001B6E4D" w:rsidRDefault="00142A94" w:rsidP="003D1018">
            <w:pPr>
              <w:pStyle w:val="01"/>
              <w:overflowPunct w:val="0"/>
              <w:rPr>
                <w:rFonts w:hAnsi="標楷體"/>
                <w:sz w:val="24"/>
                <w:szCs w:val="24"/>
              </w:rPr>
            </w:pPr>
            <w:r w:rsidRPr="001B6E4D">
              <w:rPr>
                <w:rFonts w:hAnsi="標楷體"/>
                <w:sz w:val="24"/>
                <w:szCs w:val="24"/>
              </w:rPr>
              <w:t>1.公證法第十三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修正重點：放寬公證書強制執行範圍。）</w:t>
            </w:r>
          </w:p>
        </w:tc>
        <w:tc>
          <w:tcPr>
            <w:tcW w:w="1228" w:type="pct"/>
          </w:tcPr>
          <w:p w14:paraId="1606DC5D"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委員牛煦庭</w:t>
            </w:r>
          </w:p>
          <w:p w14:paraId="20408B11"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等20人</w:t>
            </w:r>
          </w:p>
          <w:p w14:paraId="6723D640"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115.01.16</w:t>
            </w:r>
          </w:p>
          <w:p w14:paraId="05AC46C1" w14:textId="64DF559A"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（11-4-18）</w:t>
            </w:r>
          </w:p>
        </w:tc>
        <w:tc>
          <w:tcPr>
            <w:tcW w:w="858" w:type="pct"/>
          </w:tcPr>
          <w:p w14:paraId="3D230D24" w14:textId="66E3D48D"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04BBEC4F" w14:textId="4D5E1CBC"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2E8B81D2" w14:textId="77777777" w:rsidTr="00787DE8">
        <w:tc>
          <w:tcPr>
            <w:tcW w:w="367" w:type="pct"/>
          </w:tcPr>
          <w:p w14:paraId="40A72DF9" w14:textId="39002F0E"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95</w:t>
            </w:r>
          </w:p>
        </w:tc>
        <w:tc>
          <w:tcPr>
            <w:tcW w:w="1734" w:type="pct"/>
          </w:tcPr>
          <w:p w14:paraId="689B8757" w14:textId="5719F6CA" w:rsidR="00142A94" w:rsidRPr="001B6E4D" w:rsidRDefault="00142A94" w:rsidP="003D1018">
            <w:pPr>
              <w:pStyle w:val="01"/>
              <w:overflowPunct w:val="0"/>
              <w:rPr>
                <w:rFonts w:hAnsi="標楷體"/>
                <w:sz w:val="24"/>
                <w:szCs w:val="24"/>
              </w:rPr>
            </w:pPr>
            <w:r w:rsidRPr="001B6E4D">
              <w:rPr>
                <w:rFonts w:hAnsi="標楷體"/>
                <w:sz w:val="24"/>
                <w:szCs w:val="24"/>
              </w:rPr>
              <w:t>2.公證法第十三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修正重點：修正公證書得為強制執行名義規範範疇。）</w:t>
            </w:r>
          </w:p>
        </w:tc>
        <w:tc>
          <w:tcPr>
            <w:tcW w:w="1228" w:type="pct"/>
          </w:tcPr>
          <w:p w14:paraId="1A1D80E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委員陳超明</w:t>
            </w:r>
          </w:p>
          <w:p w14:paraId="78E69F0A"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等18人</w:t>
            </w:r>
          </w:p>
          <w:p w14:paraId="4270384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115.03.27</w:t>
            </w:r>
          </w:p>
          <w:p w14:paraId="31A4054C" w14:textId="662B8FCC"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（11-5-5）</w:t>
            </w:r>
          </w:p>
        </w:tc>
        <w:tc>
          <w:tcPr>
            <w:tcW w:w="858" w:type="pct"/>
          </w:tcPr>
          <w:p w14:paraId="7C6C15A3" w14:textId="3038720E"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59871708" w14:textId="007C60FA"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1423DA97" w14:textId="77777777" w:rsidTr="00787DE8">
        <w:tc>
          <w:tcPr>
            <w:tcW w:w="367" w:type="pct"/>
          </w:tcPr>
          <w:p w14:paraId="559622C1" w14:textId="3E8588CE"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96</w:t>
            </w:r>
          </w:p>
        </w:tc>
        <w:tc>
          <w:tcPr>
            <w:tcW w:w="1734" w:type="pct"/>
          </w:tcPr>
          <w:p w14:paraId="7BC02126" w14:textId="23DE1849" w:rsidR="00142A94" w:rsidRPr="001B6E4D" w:rsidRDefault="00142A94" w:rsidP="003D1018">
            <w:pPr>
              <w:pStyle w:val="01"/>
              <w:overflowPunct w:val="0"/>
              <w:rPr>
                <w:rFonts w:hAnsi="標楷體"/>
                <w:sz w:val="24"/>
                <w:szCs w:val="24"/>
              </w:rPr>
            </w:pPr>
            <w:r w:rsidRPr="001B6E4D">
              <w:rPr>
                <w:rFonts w:hAnsi="標楷體"/>
                <w:sz w:val="24"/>
                <w:szCs w:val="24"/>
              </w:rPr>
              <w:t>3.公證法第十三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修正重點：擴大公證書得</w:t>
            </w:r>
            <w:proofErr w:type="gramStart"/>
            <w:r w:rsidRPr="001B6E4D">
              <w:rPr>
                <w:rFonts w:hAnsi="標楷體"/>
                <w:sz w:val="24"/>
                <w:szCs w:val="24"/>
              </w:rPr>
              <w:t>逕</w:t>
            </w:r>
            <w:proofErr w:type="gramEnd"/>
            <w:r w:rsidRPr="001B6E4D">
              <w:rPr>
                <w:rFonts w:hAnsi="標楷體"/>
                <w:sz w:val="24"/>
                <w:szCs w:val="24"/>
              </w:rPr>
              <w:t>受強制執行範圍。）</w:t>
            </w:r>
          </w:p>
        </w:tc>
        <w:tc>
          <w:tcPr>
            <w:tcW w:w="1228" w:type="pct"/>
          </w:tcPr>
          <w:p w14:paraId="1A566D02"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委員林倩綺</w:t>
            </w:r>
          </w:p>
          <w:p w14:paraId="00A099F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等17人</w:t>
            </w:r>
          </w:p>
          <w:p w14:paraId="2C3EF045"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115.06.26</w:t>
            </w:r>
          </w:p>
          <w:p w14:paraId="14C4A33F" w14:textId="05945D9D"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（11-5-15）</w:t>
            </w:r>
          </w:p>
        </w:tc>
        <w:tc>
          <w:tcPr>
            <w:tcW w:w="858" w:type="pct"/>
          </w:tcPr>
          <w:p w14:paraId="56B765DA" w14:textId="27D80726"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54CB3E5A" w14:textId="2596F3FE"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142A94" w:rsidRPr="001B6E4D" w14:paraId="447C2880" w14:textId="77777777" w:rsidTr="00787DE8">
        <w:tc>
          <w:tcPr>
            <w:tcW w:w="367" w:type="pct"/>
          </w:tcPr>
          <w:p w14:paraId="4592F1FA" w14:textId="6A2A91E9" w:rsidR="00142A94" w:rsidRPr="001B6E4D" w:rsidRDefault="00142A94"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97</w:t>
            </w:r>
          </w:p>
        </w:tc>
        <w:tc>
          <w:tcPr>
            <w:tcW w:w="1734" w:type="pct"/>
          </w:tcPr>
          <w:p w14:paraId="3159E2E8" w14:textId="7E2C888F" w:rsidR="00142A94" w:rsidRPr="001B6E4D" w:rsidRDefault="00142A94" w:rsidP="003D1018">
            <w:pPr>
              <w:pStyle w:val="01"/>
              <w:overflowPunct w:val="0"/>
              <w:rPr>
                <w:rFonts w:hAnsi="標楷體"/>
                <w:sz w:val="24"/>
                <w:szCs w:val="24"/>
              </w:rPr>
            </w:pPr>
            <w:r w:rsidRPr="001B6E4D">
              <w:rPr>
                <w:rFonts w:hAnsi="標楷體"/>
                <w:sz w:val="24"/>
                <w:szCs w:val="24"/>
              </w:rPr>
              <w:t>4.公證法第十三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修正重點：擴大公證書得約定</w:t>
            </w:r>
            <w:proofErr w:type="gramStart"/>
            <w:r w:rsidRPr="001B6E4D">
              <w:rPr>
                <w:rFonts w:hAnsi="標楷體"/>
                <w:sz w:val="24"/>
                <w:szCs w:val="24"/>
              </w:rPr>
              <w:t>逕</w:t>
            </w:r>
            <w:proofErr w:type="gramEnd"/>
            <w:r w:rsidRPr="001B6E4D">
              <w:rPr>
                <w:rFonts w:hAnsi="標楷體"/>
                <w:sz w:val="24"/>
                <w:szCs w:val="24"/>
              </w:rPr>
              <w:t>受強制執行事項範圍。）</w:t>
            </w:r>
          </w:p>
        </w:tc>
        <w:tc>
          <w:tcPr>
            <w:tcW w:w="1228" w:type="pct"/>
          </w:tcPr>
          <w:p w14:paraId="0D7FCBE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委員賴惠員</w:t>
            </w:r>
          </w:p>
          <w:p w14:paraId="7ABD99B4"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等16人</w:t>
            </w:r>
          </w:p>
          <w:p w14:paraId="56BE9137" w14:textId="77777777"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115.07.14</w:t>
            </w:r>
          </w:p>
          <w:p w14:paraId="6062A503" w14:textId="67D5CA83"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（11-5-17）</w:t>
            </w:r>
          </w:p>
        </w:tc>
        <w:tc>
          <w:tcPr>
            <w:tcW w:w="858" w:type="pct"/>
          </w:tcPr>
          <w:p w14:paraId="43614FE9" w14:textId="0FC6F423"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3" w:type="pct"/>
          </w:tcPr>
          <w:p w14:paraId="07438619" w14:textId="5E908F72" w:rsidR="00142A94" w:rsidRPr="001B6E4D" w:rsidRDefault="00142A94" w:rsidP="003D1018">
            <w:pPr>
              <w:overflowPunct w:val="0"/>
              <w:jc w:val="both"/>
              <w:rPr>
                <w:rFonts w:ascii="標楷體" w:eastAsia="標楷體" w:hAnsi="標楷體"/>
                <w:sz w:val="24"/>
              </w:rPr>
            </w:pPr>
            <w:r w:rsidRPr="001B6E4D">
              <w:rPr>
                <w:rFonts w:ascii="標楷體" w:eastAsia="標楷體" w:hAnsi="標楷體"/>
                <w:sz w:val="24"/>
              </w:rPr>
              <w:t>尚未審查</w:t>
            </w:r>
          </w:p>
        </w:tc>
      </w:tr>
    </w:tbl>
    <w:p w14:paraId="05BA6B20" w14:textId="58BB0A04" w:rsidR="009B28A5" w:rsidRPr="001B6E4D" w:rsidRDefault="009B28A5"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355" w:name="_Toc136594870"/>
      <w:bookmarkStart w:id="356" w:name="_Toc240446558"/>
      <w:r w:rsidRPr="001B6E4D">
        <w:rPr>
          <w:color w:val="000000" w:themeColor="text1"/>
          <w:shd w:val="clear" w:color="auto" w:fill="FFFFFF" w:themeFill="background1"/>
        </w:rPr>
        <w:lastRenderedPageBreak/>
        <w:t>（</w:t>
      </w:r>
      <w:r w:rsidRPr="001B6E4D">
        <w:rPr>
          <w:rFonts w:hint="eastAsia"/>
          <w:color w:val="000000" w:themeColor="text1"/>
          <w:shd w:val="clear" w:color="auto" w:fill="FFFFFF" w:themeFill="background1"/>
        </w:rPr>
        <w:t>四</w:t>
      </w:r>
      <w:r w:rsidRPr="001B6E4D">
        <w:rPr>
          <w:color w:val="000000" w:themeColor="text1"/>
          <w:shd w:val="clear" w:color="auto" w:fill="FFFFFF" w:themeFill="background1"/>
        </w:rPr>
        <w:t>）考試院</w:t>
      </w:r>
      <w:r w:rsidR="00953A00" w:rsidRPr="001B6E4D">
        <w:rPr>
          <w:rFonts w:hint="eastAsia"/>
          <w:color w:val="000000" w:themeColor="text1"/>
          <w:shd w:val="clear" w:color="auto" w:fill="FFFFFF" w:themeFill="background1"/>
        </w:rPr>
        <w:t>59</w:t>
      </w:r>
      <w:r w:rsidRPr="001B6E4D">
        <w:rPr>
          <w:color w:val="000000" w:themeColor="text1"/>
          <w:shd w:val="clear" w:color="auto" w:fill="FFFFFF" w:themeFill="background1"/>
        </w:rPr>
        <w:t>案</w:t>
      </w:r>
      <w:bookmarkEnd w:id="353"/>
      <w:bookmarkEnd w:id="354"/>
      <w:bookmarkEnd w:id="355"/>
      <w:bookmarkEnd w:id="356"/>
    </w:p>
    <w:tbl>
      <w:tblPr>
        <w:tblStyle w:val="ae"/>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644"/>
        <w:gridCol w:w="3096"/>
        <w:gridCol w:w="2191"/>
        <w:gridCol w:w="1550"/>
        <w:gridCol w:w="1446"/>
      </w:tblGrid>
      <w:tr w:rsidR="00C87651" w:rsidRPr="001B6E4D" w14:paraId="50B4BBEB" w14:textId="77777777" w:rsidTr="00787DE8">
        <w:tc>
          <w:tcPr>
            <w:tcW w:w="361" w:type="pct"/>
            <w:vAlign w:val="center"/>
          </w:tcPr>
          <w:p w14:paraId="5BAC5D5A"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357" w:name="_Toc361217363"/>
            <w:bookmarkStart w:id="358" w:name="_Toc362968423"/>
            <w:r w:rsidRPr="001B6E4D">
              <w:rPr>
                <w:rFonts w:ascii="標楷體" w:eastAsia="標楷體" w:hAnsi="標楷體"/>
                <w:b/>
                <w:color w:val="000000" w:themeColor="text1"/>
                <w:sz w:val="24"/>
                <w:shd w:val="clear" w:color="auto" w:fill="FFFFFF" w:themeFill="background1"/>
              </w:rPr>
              <w:t>序號</w:t>
            </w:r>
          </w:p>
        </w:tc>
        <w:tc>
          <w:tcPr>
            <w:tcW w:w="1734" w:type="pct"/>
            <w:vAlign w:val="center"/>
          </w:tcPr>
          <w:p w14:paraId="7E861E6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227" w:type="pct"/>
            <w:vAlign w:val="center"/>
          </w:tcPr>
          <w:p w14:paraId="7A497E61"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70824027"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4FE40E2E"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68" w:type="pct"/>
            <w:vAlign w:val="center"/>
          </w:tcPr>
          <w:p w14:paraId="7B00D7D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10" w:type="pct"/>
            <w:vAlign w:val="center"/>
          </w:tcPr>
          <w:p w14:paraId="6A657134"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953A00" w:rsidRPr="001B6E4D" w14:paraId="69B97C1B" w14:textId="77777777" w:rsidTr="00410311">
        <w:tc>
          <w:tcPr>
            <w:tcW w:w="361" w:type="pct"/>
          </w:tcPr>
          <w:p w14:paraId="009C991C" w14:textId="6278FBCF" w:rsidR="00953A00" w:rsidRPr="001B6E4D" w:rsidRDefault="00953A00"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w:t>
            </w:r>
          </w:p>
        </w:tc>
        <w:tc>
          <w:tcPr>
            <w:tcW w:w="1734" w:type="pct"/>
          </w:tcPr>
          <w:p w14:paraId="12AA8690" w14:textId="56612172" w:rsidR="00953A00" w:rsidRPr="001B6E4D" w:rsidRDefault="00953A00"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公務人員退休資遣撫</w:t>
            </w:r>
            <w:proofErr w:type="gramStart"/>
            <w:r w:rsidRPr="001B6E4D">
              <w:rPr>
                <w:rFonts w:ascii="標楷體" w:eastAsia="標楷體" w:hAnsi="標楷體"/>
                <w:sz w:val="24"/>
              </w:rPr>
              <w:t>卹</w:t>
            </w:r>
            <w:proofErr w:type="gramEnd"/>
            <w:r w:rsidRPr="001B6E4D">
              <w:rPr>
                <w:rFonts w:ascii="標楷體" w:eastAsia="標楷體" w:hAnsi="標楷體"/>
                <w:sz w:val="24"/>
              </w:rPr>
              <w:t>法第十七</w:t>
            </w:r>
            <w:proofErr w:type="gramStart"/>
            <w:r w:rsidRPr="001B6E4D">
              <w:rPr>
                <w:rFonts w:ascii="標楷體" w:eastAsia="標楷體" w:hAnsi="標楷體"/>
                <w:sz w:val="24"/>
              </w:rPr>
              <w:t>條</w:t>
            </w:r>
            <w:proofErr w:type="gramEnd"/>
            <w:r w:rsidRPr="001B6E4D">
              <w:rPr>
                <w:rFonts w:ascii="標楷體" w:eastAsia="標楷體" w:hAnsi="標楷體"/>
                <w:sz w:val="24"/>
              </w:rPr>
              <w:t>條文修正草案</w:t>
            </w:r>
            <w:proofErr w:type="gramStart"/>
            <w:r w:rsidRPr="001B6E4D">
              <w:rPr>
                <w:rFonts w:ascii="標楷體" w:eastAsia="標楷體" w:hAnsi="標楷體"/>
                <w:sz w:val="24"/>
              </w:rPr>
              <w:t>（</w:t>
            </w:r>
            <w:proofErr w:type="gramEnd"/>
            <w:r w:rsidRPr="001B6E4D">
              <w:rPr>
                <w:rFonts w:ascii="標楷體" w:eastAsia="標楷體" w:hAnsi="標楷體"/>
                <w:sz w:val="24"/>
              </w:rPr>
              <w:t>修正重點：建立中度身心障礙公務人員自願退休之機制。）</w:t>
            </w:r>
          </w:p>
        </w:tc>
        <w:tc>
          <w:tcPr>
            <w:tcW w:w="1227" w:type="pct"/>
          </w:tcPr>
          <w:p w14:paraId="674CFCC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委員陳雪生</w:t>
            </w:r>
          </w:p>
          <w:p w14:paraId="0F8B8EB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等36人</w:t>
            </w:r>
          </w:p>
          <w:p w14:paraId="77EE72B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113.05.17</w:t>
            </w:r>
          </w:p>
          <w:p w14:paraId="32F90F6A" w14:textId="11B4DDAF" w:rsidR="00953A00" w:rsidRPr="001B6E4D" w:rsidRDefault="00953A00" w:rsidP="003D1018">
            <w:pPr>
              <w:overflowPunct w:val="0"/>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（11-1-14）</w:t>
            </w:r>
          </w:p>
        </w:tc>
        <w:tc>
          <w:tcPr>
            <w:tcW w:w="868" w:type="pct"/>
          </w:tcPr>
          <w:p w14:paraId="17D13754" w14:textId="62A94363" w:rsidR="00953A00" w:rsidRPr="001B6E4D" w:rsidRDefault="00953A00"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司法及法制</w:t>
            </w:r>
          </w:p>
        </w:tc>
        <w:tc>
          <w:tcPr>
            <w:tcW w:w="810" w:type="pct"/>
          </w:tcPr>
          <w:p w14:paraId="50445D3B" w14:textId="128B0B61" w:rsidR="00953A00" w:rsidRPr="001B6E4D" w:rsidRDefault="00953A00"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尚未審查</w:t>
            </w:r>
          </w:p>
        </w:tc>
      </w:tr>
      <w:tr w:rsidR="00953A00" w:rsidRPr="001B6E4D" w14:paraId="169D550B" w14:textId="77777777" w:rsidTr="00787DE8">
        <w:tc>
          <w:tcPr>
            <w:tcW w:w="361" w:type="pct"/>
          </w:tcPr>
          <w:p w14:paraId="2B536691" w14:textId="697C35F2"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w:t>
            </w:r>
          </w:p>
        </w:tc>
        <w:tc>
          <w:tcPr>
            <w:tcW w:w="1734" w:type="pct"/>
          </w:tcPr>
          <w:p w14:paraId="39929B53" w14:textId="58AAD020"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1.公務人員退休資遣撫</w:t>
            </w:r>
            <w:proofErr w:type="gramStart"/>
            <w:r w:rsidRPr="001B6E4D">
              <w:rPr>
                <w:rFonts w:hAnsi="標楷體"/>
                <w:sz w:val="24"/>
                <w:szCs w:val="24"/>
              </w:rPr>
              <w:t>卹</w:t>
            </w:r>
            <w:proofErr w:type="gramEnd"/>
            <w:r w:rsidRPr="001B6E4D">
              <w:rPr>
                <w:rFonts w:hAnsi="標楷體"/>
                <w:sz w:val="24"/>
                <w:szCs w:val="24"/>
              </w:rPr>
              <w:t>法第七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修正重點：公務人員</w:t>
            </w:r>
            <w:proofErr w:type="gramStart"/>
            <w:r w:rsidRPr="001B6E4D">
              <w:rPr>
                <w:rFonts w:hAnsi="標楷體"/>
                <w:sz w:val="24"/>
                <w:szCs w:val="24"/>
              </w:rPr>
              <w:t>育孫留</w:t>
            </w:r>
            <w:proofErr w:type="gramEnd"/>
            <w:r w:rsidRPr="001B6E4D">
              <w:rPr>
                <w:rFonts w:hAnsi="標楷體"/>
                <w:sz w:val="24"/>
                <w:szCs w:val="24"/>
              </w:rPr>
              <w:t>職停薪期間之年資，得選擇全額負擔並繼續繳付退撫基金費用。）</w:t>
            </w:r>
          </w:p>
        </w:tc>
        <w:tc>
          <w:tcPr>
            <w:tcW w:w="1227" w:type="pct"/>
          </w:tcPr>
          <w:p w14:paraId="7C7E7C3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委員翁曉玲</w:t>
            </w:r>
          </w:p>
          <w:p w14:paraId="1B6F315B"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13C5238A"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113.11.29</w:t>
            </w:r>
          </w:p>
          <w:p w14:paraId="485D800A" w14:textId="0CF11072"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（11-2-11）</w:t>
            </w:r>
          </w:p>
        </w:tc>
        <w:tc>
          <w:tcPr>
            <w:tcW w:w="868" w:type="pct"/>
          </w:tcPr>
          <w:p w14:paraId="4605E503" w14:textId="72B4F546"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6B2F74B6" w14:textId="611476E9"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7AE42D7F" w14:textId="77777777" w:rsidTr="00787DE8">
        <w:tc>
          <w:tcPr>
            <w:tcW w:w="361" w:type="pct"/>
          </w:tcPr>
          <w:p w14:paraId="4BC27E3C" w14:textId="72D9C888"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w:t>
            </w:r>
          </w:p>
        </w:tc>
        <w:tc>
          <w:tcPr>
            <w:tcW w:w="1734" w:type="pct"/>
          </w:tcPr>
          <w:p w14:paraId="7F719564" w14:textId="17BDDDF1"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2.公務人員退休資遣撫</w:t>
            </w:r>
            <w:proofErr w:type="gramStart"/>
            <w:r w:rsidRPr="001B6E4D">
              <w:rPr>
                <w:rFonts w:hAnsi="標楷體"/>
                <w:sz w:val="24"/>
                <w:szCs w:val="24"/>
              </w:rPr>
              <w:t>卹</w:t>
            </w:r>
            <w:proofErr w:type="gramEnd"/>
            <w:r w:rsidRPr="001B6E4D">
              <w:rPr>
                <w:rFonts w:hAnsi="標楷體"/>
                <w:sz w:val="24"/>
                <w:szCs w:val="24"/>
              </w:rPr>
              <w:t>法第七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修正重點：凡依法令辦理育嬰留職停薪年資之公務人員得選擇全額負擔並繼續繳付退撫基金費用，不以本法施行後為限。）</w:t>
            </w:r>
          </w:p>
        </w:tc>
        <w:tc>
          <w:tcPr>
            <w:tcW w:w="1227" w:type="pct"/>
          </w:tcPr>
          <w:p w14:paraId="70BA514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委員廖偉翔</w:t>
            </w:r>
          </w:p>
          <w:p w14:paraId="36CE033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185F163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114.03.04</w:t>
            </w:r>
          </w:p>
          <w:p w14:paraId="57460B2E" w14:textId="12E3709B"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（11-3-3）</w:t>
            </w:r>
          </w:p>
        </w:tc>
        <w:tc>
          <w:tcPr>
            <w:tcW w:w="868" w:type="pct"/>
          </w:tcPr>
          <w:p w14:paraId="3527D933" w14:textId="1C35A7D9"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06C97D9A" w14:textId="0D329483"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39CC77E9" w14:textId="77777777" w:rsidTr="00787DE8">
        <w:tc>
          <w:tcPr>
            <w:tcW w:w="361" w:type="pct"/>
          </w:tcPr>
          <w:p w14:paraId="1EB255F4" w14:textId="6232B52C"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4</w:t>
            </w:r>
          </w:p>
        </w:tc>
        <w:tc>
          <w:tcPr>
            <w:tcW w:w="1734" w:type="pct"/>
          </w:tcPr>
          <w:p w14:paraId="3A982C03" w14:textId="6DC05D48"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公務人員退休資遣撫</w:t>
            </w:r>
            <w:proofErr w:type="gramStart"/>
            <w:r w:rsidRPr="001B6E4D">
              <w:rPr>
                <w:rFonts w:hAnsi="標楷體"/>
                <w:sz w:val="24"/>
                <w:szCs w:val="24"/>
              </w:rPr>
              <w:t>卹</w:t>
            </w:r>
            <w:proofErr w:type="gramEnd"/>
            <w:r w:rsidRPr="001B6E4D">
              <w:rPr>
                <w:rFonts w:hAnsi="標楷體"/>
                <w:sz w:val="24"/>
                <w:szCs w:val="24"/>
              </w:rPr>
              <w:t>法第四十五</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修正重點：夫妻一方是退休的公務員過世後，遺屬</w:t>
            </w:r>
            <w:proofErr w:type="gramStart"/>
            <w:r w:rsidRPr="001B6E4D">
              <w:rPr>
                <w:rFonts w:hAnsi="標楷體"/>
                <w:sz w:val="24"/>
                <w:szCs w:val="24"/>
              </w:rPr>
              <w:t>可領其退休金</w:t>
            </w:r>
            <w:proofErr w:type="gramEnd"/>
            <w:r w:rsidRPr="001B6E4D">
              <w:rPr>
                <w:rFonts w:hAnsi="標楷體"/>
                <w:sz w:val="24"/>
                <w:szCs w:val="24"/>
              </w:rPr>
              <w:t>；夫妻雙方是退休公務員，刪除一方過世後遺屬僅</w:t>
            </w:r>
            <w:proofErr w:type="gramStart"/>
            <w:r w:rsidRPr="001B6E4D">
              <w:rPr>
                <w:rFonts w:hAnsi="標楷體"/>
                <w:sz w:val="24"/>
                <w:szCs w:val="24"/>
              </w:rPr>
              <w:t>可選領雙方</w:t>
            </w:r>
            <w:proofErr w:type="gramEnd"/>
            <w:r w:rsidRPr="001B6E4D">
              <w:rPr>
                <w:rFonts w:hAnsi="標楷體"/>
                <w:sz w:val="24"/>
                <w:szCs w:val="24"/>
              </w:rPr>
              <w:t>退休金中較高的一份退休金規定。）</w:t>
            </w:r>
          </w:p>
        </w:tc>
        <w:tc>
          <w:tcPr>
            <w:tcW w:w="1227" w:type="pct"/>
          </w:tcPr>
          <w:p w14:paraId="0A50F181"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委員張智倫</w:t>
            </w:r>
          </w:p>
          <w:p w14:paraId="5E4DA7F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6432BC1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114.01.03</w:t>
            </w:r>
          </w:p>
          <w:p w14:paraId="1209F403" w14:textId="096607F6"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（11-2-16）</w:t>
            </w:r>
          </w:p>
        </w:tc>
        <w:tc>
          <w:tcPr>
            <w:tcW w:w="868" w:type="pct"/>
          </w:tcPr>
          <w:p w14:paraId="22E2CF10" w14:textId="4592B69B"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56273942" w14:textId="0C1F3434"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07C2F8BE" w14:textId="77777777" w:rsidTr="00787DE8">
        <w:tc>
          <w:tcPr>
            <w:tcW w:w="361" w:type="pct"/>
          </w:tcPr>
          <w:p w14:paraId="742104CD" w14:textId="59719BCC"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5</w:t>
            </w:r>
          </w:p>
        </w:tc>
        <w:tc>
          <w:tcPr>
            <w:tcW w:w="1734" w:type="pct"/>
          </w:tcPr>
          <w:p w14:paraId="31C2208A" w14:textId="2CD0B30D"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公務人員退休資遣撫</w:t>
            </w:r>
            <w:proofErr w:type="gramStart"/>
            <w:r w:rsidRPr="001B6E4D">
              <w:rPr>
                <w:rFonts w:hAnsi="標楷體"/>
                <w:sz w:val="24"/>
                <w:szCs w:val="24"/>
              </w:rPr>
              <w:t>卹</w:t>
            </w:r>
            <w:proofErr w:type="gramEnd"/>
            <w:r w:rsidRPr="001B6E4D">
              <w:rPr>
                <w:rFonts w:hAnsi="標楷體"/>
                <w:sz w:val="24"/>
                <w:szCs w:val="24"/>
              </w:rPr>
              <w:t>法第四條、第三十四條及第三十九</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修正重點：刪除原條文有關月補償金之文字；為免所得替代率上限之約制，致已退休且月領補償金者，得領取數額為零，酌為文字修正。）</w:t>
            </w:r>
          </w:p>
        </w:tc>
        <w:tc>
          <w:tcPr>
            <w:tcW w:w="1227" w:type="pct"/>
          </w:tcPr>
          <w:p w14:paraId="70C8A44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委員陳玉珍</w:t>
            </w:r>
          </w:p>
          <w:p w14:paraId="5C52849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等19人</w:t>
            </w:r>
          </w:p>
          <w:p w14:paraId="64B678F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114.10.28</w:t>
            </w:r>
          </w:p>
          <w:p w14:paraId="5578695C" w14:textId="474C68B6"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（11-4-6）</w:t>
            </w:r>
          </w:p>
        </w:tc>
        <w:tc>
          <w:tcPr>
            <w:tcW w:w="868" w:type="pct"/>
          </w:tcPr>
          <w:p w14:paraId="076EDDB2" w14:textId="6A5AE5B5"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5DD677E8" w14:textId="61470148"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0E741C5D" w14:textId="77777777" w:rsidTr="00787DE8">
        <w:tc>
          <w:tcPr>
            <w:tcW w:w="361" w:type="pct"/>
          </w:tcPr>
          <w:p w14:paraId="5DCD555B" w14:textId="0499D8B8"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lastRenderedPageBreak/>
              <w:t>6</w:t>
            </w:r>
          </w:p>
        </w:tc>
        <w:tc>
          <w:tcPr>
            <w:tcW w:w="1734" w:type="pct"/>
          </w:tcPr>
          <w:p w14:paraId="29507713" w14:textId="4F0782F0"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公務人員退休資遣撫</w:t>
            </w:r>
            <w:proofErr w:type="gramStart"/>
            <w:r w:rsidRPr="001B6E4D">
              <w:rPr>
                <w:rFonts w:hAnsi="標楷體"/>
                <w:sz w:val="24"/>
                <w:szCs w:val="24"/>
              </w:rPr>
              <w:t>卹</w:t>
            </w:r>
            <w:proofErr w:type="gramEnd"/>
            <w:r w:rsidRPr="001B6E4D">
              <w:rPr>
                <w:rFonts w:hAnsi="標楷體"/>
                <w:sz w:val="24"/>
                <w:szCs w:val="24"/>
              </w:rPr>
              <w:t>法第二十七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修正重點：廢除附表一，改以最後在職同等級人員之本（年功）</w:t>
            </w:r>
            <w:proofErr w:type="gramStart"/>
            <w:r w:rsidRPr="001B6E4D">
              <w:rPr>
                <w:rFonts w:hAnsi="標楷體"/>
                <w:sz w:val="24"/>
                <w:szCs w:val="24"/>
              </w:rPr>
              <w:t>俸</w:t>
            </w:r>
            <w:proofErr w:type="gramEnd"/>
            <w:r w:rsidRPr="001B6E4D">
              <w:rPr>
                <w:rFonts w:hAnsi="標楷體"/>
                <w:sz w:val="24"/>
                <w:szCs w:val="24"/>
              </w:rPr>
              <w:t>（薪）額作為基數內涵定義。）</w:t>
            </w:r>
          </w:p>
        </w:tc>
        <w:tc>
          <w:tcPr>
            <w:tcW w:w="1227" w:type="pct"/>
          </w:tcPr>
          <w:p w14:paraId="5457F30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委員陳玉珍</w:t>
            </w:r>
          </w:p>
          <w:p w14:paraId="4D1438BA"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等19人</w:t>
            </w:r>
          </w:p>
          <w:p w14:paraId="1BD10CD7"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114.10.28</w:t>
            </w:r>
          </w:p>
          <w:p w14:paraId="23932D75" w14:textId="3DE662B5"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（11-4-6）</w:t>
            </w:r>
          </w:p>
        </w:tc>
        <w:tc>
          <w:tcPr>
            <w:tcW w:w="868" w:type="pct"/>
          </w:tcPr>
          <w:p w14:paraId="60439B92" w14:textId="33387E49"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18584C4E" w14:textId="64B23DEB"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0A2DC2A3" w14:textId="77777777" w:rsidTr="00787DE8">
        <w:tc>
          <w:tcPr>
            <w:tcW w:w="361" w:type="pct"/>
          </w:tcPr>
          <w:p w14:paraId="1770CEF7" w14:textId="4939CDB6"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7</w:t>
            </w:r>
          </w:p>
        </w:tc>
        <w:tc>
          <w:tcPr>
            <w:tcW w:w="1734" w:type="pct"/>
          </w:tcPr>
          <w:p w14:paraId="5DC08F87" w14:textId="096D73F3"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公務人員退休資遣撫</w:t>
            </w:r>
            <w:proofErr w:type="gramStart"/>
            <w:r w:rsidRPr="001B6E4D">
              <w:rPr>
                <w:rFonts w:hAnsi="標楷體"/>
                <w:sz w:val="24"/>
                <w:szCs w:val="24"/>
              </w:rPr>
              <w:t>卹</w:t>
            </w:r>
            <w:proofErr w:type="gramEnd"/>
            <w:r w:rsidRPr="001B6E4D">
              <w:rPr>
                <w:rFonts w:hAnsi="標楷體"/>
                <w:sz w:val="24"/>
                <w:szCs w:val="24"/>
              </w:rPr>
              <w:t>法第七十八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修正重點：具</w:t>
            </w:r>
            <w:proofErr w:type="gramStart"/>
            <w:r w:rsidRPr="001B6E4D">
              <w:rPr>
                <w:rFonts w:hAnsi="標楷體"/>
                <w:sz w:val="24"/>
                <w:szCs w:val="24"/>
              </w:rPr>
              <w:t>醫</w:t>
            </w:r>
            <w:proofErr w:type="gramEnd"/>
            <w:r w:rsidRPr="001B6E4D">
              <w:rPr>
                <w:rFonts w:hAnsi="標楷體"/>
                <w:sz w:val="24"/>
                <w:szCs w:val="24"/>
              </w:rPr>
              <w:t>、藥、護、檢身分之公務人員退休後，於公家醫療機構執行第一線直接臨床醫療照護之工作，不受§77不得超過最低基本工資限制。）</w:t>
            </w:r>
          </w:p>
        </w:tc>
        <w:tc>
          <w:tcPr>
            <w:tcW w:w="1227" w:type="pct"/>
          </w:tcPr>
          <w:p w14:paraId="481CF22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委員陳玉珍</w:t>
            </w:r>
          </w:p>
          <w:p w14:paraId="198367B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等19人</w:t>
            </w:r>
          </w:p>
          <w:p w14:paraId="612F8AC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114.10.28</w:t>
            </w:r>
          </w:p>
          <w:p w14:paraId="29F1FE68" w14:textId="77EB3127"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（11-4-6）</w:t>
            </w:r>
          </w:p>
        </w:tc>
        <w:tc>
          <w:tcPr>
            <w:tcW w:w="868" w:type="pct"/>
          </w:tcPr>
          <w:p w14:paraId="43B9B52C" w14:textId="1849EEB5"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3B5A16E9" w14:textId="1D0B324E"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28CB1127" w14:textId="77777777" w:rsidTr="00787DE8">
        <w:tc>
          <w:tcPr>
            <w:tcW w:w="361" w:type="pct"/>
          </w:tcPr>
          <w:p w14:paraId="1890A076" w14:textId="70D01D58"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8</w:t>
            </w:r>
          </w:p>
        </w:tc>
        <w:tc>
          <w:tcPr>
            <w:tcW w:w="1734" w:type="pct"/>
          </w:tcPr>
          <w:p w14:paraId="7F68A003" w14:textId="31EE45A9"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1.公務人員退休資遣撫</w:t>
            </w:r>
            <w:proofErr w:type="gramStart"/>
            <w:r w:rsidRPr="001B6E4D">
              <w:rPr>
                <w:rFonts w:hAnsi="標楷體"/>
                <w:sz w:val="24"/>
                <w:szCs w:val="24"/>
              </w:rPr>
              <w:t>卹</w:t>
            </w:r>
            <w:proofErr w:type="gramEnd"/>
            <w:r w:rsidRPr="001B6E4D">
              <w:rPr>
                <w:rFonts w:hAnsi="標楷體"/>
                <w:sz w:val="24"/>
                <w:szCs w:val="24"/>
              </w:rPr>
              <w:t>法刪除第七十七條條文草案</w:t>
            </w:r>
            <w:proofErr w:type="gramStart"/>
            <w:r w:rsidRPr="001B6E4D">
              <w:rPr>
                <w:rFonts w:hAnsi="標楷體"/>
                <w:sz w:val="24"/>
                <w:szCs w:val="24"/>
              </w:rPr>
              <w:t>（</w:t>
            </w:r>
            <w:proofErr w:type="gramEnd"/>
            <w:r w:rsidRPr="001B6E4D">
              <w:rPr>
                <w:rFonts w:hAnsi="標楷體"/>
                <w:sz w:val="24"/>
                <w:szCs w:val="24"/>
              </w:rPr>
              <w:t>刪除重點：刪除現行退休公務人員再任特定職務應停止領受定期退撫給與之相關限制規定。）</w:t>
            </w:r>
          </w:p>
        </w:tc>
        <w:tc>
          <w:tcPr>
            <w:tcW w:w="1227" w:type="pct"/>
          </w:tcPr>
          <w:p w14:paraId="3AEC525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委員葉元之</w:t>
            </w:r>
          </w:p>
          <w:p w14:paraId="1720A35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5A27D7A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115.06.12</w:t>
            </w:r>
          </w:p>
          <w:p w14:paraId="0574FA52" w14:textId="4588728A"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（11-5-14）</w:t>
            </w:r>
          </w:p>
        </w:tc>
        <w:tc>
          <w:tcPr>
            <w:tcW w:w="868" w:type="pct"/>
          </w:tcPr>
          <w:p w14:paraId="73B3C9B8" w14:textId="5142DFD0"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281E2DAD" w14:textId="0F19134F"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1CB49948" w14:textId="77777777" w:rsidTr="00787DE8">
        <w:tc>
          <w:tcPr>
            <w:tcW w:w="361" w:type="pct"/>
          </w:tcPr>
          <w:p w14:paraId="115DCDB4" w14:textId="24EB1D98"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9</w:t>
            </w:r>
          </w:p>
        </w:tc>
        <w:tc>
          <w:tcPr>
            <w:tcW w:w="1734" w:type="pct"/>
          </w:tcPr>
          <w:p w14:paraId="56A91F46" w14:textId="743FBAC0"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2.公務人員退休資遣撫</w:t>
            </w:r>
            <w:proofErr w:type="gramStart"/>
            <w:r w:rsidRPr="001B6E4D">
              <w:rPr>
                <w:rFonts w:hAnsi="標楷體"/>
                <w:sz w:val="24"/>
                <w:szCs w:val="24"/>
              </w:rPr>
              <w:t>卹</w:t>
            </w:r>
            <w:proofErr w:type="gramEnd"/>
            <w:r w:rsidRPr="001B6E4D">
              <w:rPr>
                <w:rFonts w:hAnsi="標楷體"/>
                <w:sz w:val="24"/>
                <w:szCs w:val="24"/>
              </w:rPr>
              <w:t>法第七十七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修正重點：取消退休公務人員再任</w:t>
            </w:r>
            <w:proofErr w:type="gramStart"/>
            <w:r w:rsidRPr="001B6E4D">
              <w:rPr>
                <w:rFonts w:hAnsi="標楷體"/>
                <w:sz w:val="24"/>
                <w:szCs w:val="24"/>
              </w:rPr>
              <w:t>職務之薪酬</w:t>
            </w:r>
            <w:proofErr w:type="gramEnd"/>
            <w:r w:rsidRPr="001B6E4D">
              <w:rPr>
                <w:rFonts w:hAnsi="標楷體"/>
                <w:sz w:val="24"/>
                <w:szCs w:val="24"/>
              </w:rPr>
              <w:t>上限及停發月退休金限制。）</w:t>
            </w:r>
          </w:p>
        </w:tc>
        <w:tc>
          <w:tcPr>
            <w:tcW w:w="1227" w:type="pct"/>
          </w:tcPr>
          <w:p w14:paraId="411A29E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w:t>
            </w:r>
            <w:proofErr w:type="gramStart"/>
            <w:r w:rsidRPr="001B6E4D">
              <w:rPr>
                <w:rFonts w:ascii="標楷體" w:eastAsia="標楷體" w:hAnsi="標楷體"/>
                <w:sz w:val="24"/>
              </w:rPr>
              <w:t>盧</w:t>
            </w:r>
            <w:proofErr w:type="gramEnd"/>
            <w:r w:rsidRPr="001B6E4D">
              <w:rPr>
                <w:rFonts w:ascii="標楷體" w:eastAsia="標楷體" w:hAnsi="標楷體"/>
                <w:sz w:val="24"/>
              </w:rPr>
              <w:t>縣</w:t>
            </w:r>
            <w:proofErr w:type="gramStart"/>
            <w:r w:rsidRPr="001B6E4D">
              <w:rPr>
                <w:rFonts w:ascii="標楷體" w:eastAsia="標楷體" w:hAnsi="標楷體"/>
                <w:sz w:val="24"/>
              </w:rPr>
              <w:t>一</w:t>
            </w:r>
            <w:proofErr w:type="gramEnd"/>
          </w:p>
          <w:p w14:paraId="23C554F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等16人</w:t>
            </w:r>
          </w:p>
          <w:p w14:paraId="64583781"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115.06.26</w:t>
            </w:r>
          </w:p>
          <w:p w14:paraId="28CED718" w14:textId="2756322C"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（11-5-15）</w:t>
            </w:r>
          </w:p>
        </w:tc>
        <w:tc>
          <w:tcPr>
            <w:tcW w:w="868" w:type="pct"/>
          </w:tcPr>
          <w:p w14:paraId="221E8278" w14:textId="23A5ECD9"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5D90F284" w14:textId="45F2D759"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190BDC5F" w14:textId="77777777" w:rsidTr="00787DE8">
        <w:tc>
          <w:tcPr>
            <w:tcW w:w="361" w:type="pct"/>
          </w:tcPr>
          <w:p w14:paraId="57692523" w14:textId="73CC2C46"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10</w:t>
            </w:r>
          </w:p>
        </w:tc>
        <w:tc>
          <w:tcPr>
            <w:tcW w:w="1734" w:type="pct"/>
          </w:tcPr>
          <w:p w14:paraId="77C2A294" w14:textId="6B004DDB"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修正§3、12、第六節節名、35、51。修正重點：修正育嬰留職停薪津貼之子女年齡請領條件及名稱。）</w:t>
            </w:r>
          </w:p>
        </w:tc>
        <w:tc>
          <w:tcPr>
            <w:tcW w:w="1227" w:type="pct"/>
          </w:tcPr>
          <w:p w14:paraId="7363D531"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考試院、行政院</w:t>
            </w:r>
          </w:p>
          <w:p w14:paraId="57F6B52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115.07.17</w:t>
            </w:r>
          </w:p>
          <w:p w14:paraId="1A17C657" w14:textId="2E9193A2"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w:t>
            </w:r>
          </w:p>
        </w:tc>
        <w:tc>
          <w:tcPr>
            <w:tcW w:w="868" w:type="pct"/>
          </w:tcPr>
          <w:p w14:paraId="1D20AC95" w14:textId="2E26A648"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1728F356" w14:textId="0FF0A2B5"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792019A8" w14:textId="77777777" w:rsidTr="00787DE8">
        <w:tc>
          <w:tcPr>
            <w:tcW w:w="361" w:type="pct"/>
          </w:tcPr>
          <w:p w14:paraId="7711EFD7" w14:textId="69A53668"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11</w:t>
            </w:r>
          </w:p>
        </w:tc>
        <w:tc>
          <w:tcPr>
            <w:tcW w:w="1734" w:type="pct"/>
          </w:tcPr>
          <w:p w14:paraId="062B0851" w14:textId="677085EB"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2.公教人員保險法第三十五</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修正重點：延長請領育嬰留職停薪津貼上限；放寬可申請育嬰</w:t>
            </w:r>
            <w:proofErr w:type="gramStart"/>
            <w:r w:rsidRPr="001B6E4D">
              <w:rPr>
                <w:rFonts w:hAnsi="標楷體"/>
                <w:sz w:val="24"/>
                <w:szCs w:val="24"/>
              </w:rPr>
              <w:t>留停之</w:t>
            </w:r>
            <w:proofErr w:type="gramEnd"/>
            <w:r w:rsidRPr="001B6E4D">
              <w:rPr>
                <w:rFonts w:hAnsi="標楷體"/>
                <w:sz w:val="24"/>
                <w:szCs w:val="24"/>
              </w:rPr>
              <w:t>養育子女年紀。）</w:t>
            </w:r>
          </w:p>
        </w:tc>
        <w:tc>
          <w:tcPr>
            <w:tcW w:w="1227" w:type="pct"/>
          </w:tcPr>
          <w:p w14:paraId="22DCB75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委員羅智強</w:t>
            </w:r>
          </w:p>
          <w:p w14:paraId="0871830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等19人</w:t>
            </w:r>
          </w:p>
          <w:p w14:paraId="05BD87C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113.04.12</w:t>
            </w:r>
          </w:p>
          <w:p w14:paraId="6E8FFCA2" w14:textId="530DBE85"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（11-1-9）</w:t>
            </w:r>
          </w:p>
        </w:tc>
        <w:tc>
          <w:tcPr>
            <w:tcW w:w="868" w:type="pct"/>
          </w:tcPr>
          <w:p w14:paraId="24DBD441" w14:textId="7153FF59"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179F1D4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本會</w:t>
            </w:r>
          </w:p>
          <w:p w14:paraId="4E330BA7"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115.6.24</w:t>
            </w:r>
          </w:p>
          <w:p w14:paraId="27295EA1" w14:textId="1752DDDD"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(11-5-20)報告及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953A00" w:rsidRPr="001B6E4D" w14:paraId="71C75178" w14:textId="77777777" w:rsidTr="00787DE8">
        <w:tc>
          <w:tcPr>
            <w:tcW w:w="361" w:type="pct"/>
          </w:tcPr>
          <w:p w14:paraId="5F8533B2" w14:textId="26D9EA5A"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lastRenderedPageBreak/>
              <w:t>12</w:t>
            </w:r>
          </w:p>
        </w:tc>
        <w:tc>
          <w:tcPr>
            <w:tcW w:w="1734" w:type="pct"/>
          </w:tcPr>
          <w:p w14:paraId="141D22A3" w14:textId="525793B6"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3.公教人員保險法第三十五</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修正重點：將育嬰留職津貼最長發給增加至12個月，並擴大受領津貼之對象。）</w:t>
            </w:r>
          </w:p>
        </w:tc>
        <w:tc>
          <w:tcPr>
            <w:tcW w:w="1227" w:type="pct"/>
          </w:tcPr>
          <w:p w14:paraId="6B45F88A"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委員黃健豪</w:t>
            </w:r>
          </w:p>
          <w:p w14:paraId="765CC4C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5FF545C7"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113.06.21</w:t>
            </w:r>
          </w:p>
          <w:p w14:paraId="12487A13" w14:textId="5F82D482"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（11-1-19）</w:t>
            </w:r>
          </w:p>
        </w:tc>
        <w:tc>
          <w:tcPr>
            <w:tcW w:w="868" w:type="pct"/>
          </w:tcPr>
          <w:p w14:paraId="017FE50D" w14:textId="054C3476"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2D6FE09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本會</w:t>
            </w:r>
          </w:p>
          <w:p w14:paraId="3807904B"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115.6.24</w:t>
            </w:r>
          </w:p>
          <w:p w14:paraId="034E66B8" w14:textId="153750C2"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(11-5-20)報告及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953A00" w:rsidRPr="001B6E4D" w14:paraId="6E07BE5A" w14:textId="77777777" w:rsidTr="00787DE8">
        <w:tc>
          <w:tcPr>
            <w:tcW w:w="361" w:type="pct"/>
          </w:tcPr>
          <w:p w14:paraId="068D6462" w14:textId="5EE277BA"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13</w:t>
            </w:r>
          </w:p>
        </w:tc>
        <w:tc>
          <w:tcPr>
            <w:tcW w:w="1734" w:type="pct"/>
          </w:tcPr>
          <w:p w14:paraId="7950AA7C" w14:textId="038E9DB4"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4.公教人員保險法第十二條及第三十五</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修正重點：公教人員</w:t>
            </w:r>
            <w:proofErr w:type="gramStart"/>
            <w:r w:rsidRPr="001B6E4D">
              <w:rPr>
                <w:rFonts w:hAnsi="標楷體"/>
                <w:sz w:val="24"/>
                <w:szCs w:val="24"/>
              </w:rPr>
              <w:t>育孫留</w:t>
            </w:r>
            <w:proofErr w:type="gramEnd"/>
            <w:r w:rsidRPr="001B6E4D">
              <w:rPr>
                <w:rFonts w:hAnsi="標楷體"/>
                <w:sz w:val="24"/>
                <w:szCs w:val="24"/>
              </w:rPr>
              <w:t>職停薪期間依法得申請津貼。）</w:t>
            </w:r>
          </w:p>
        </w:tc>
        <w:tc>
          <w:tcPr>
            <w:tcW w:w="1227" w:type="pct"/>
          </w:tcPr>
          <w:p w14:paraId="12444B5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委員翁曉玲</w:t>
            </w:r>
          </w:p>
          <w:p w14:paraId="610C212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295FA98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113.11.29</w:t>
            </w:r>
          </w:p>
          <w:p w14:paraId="74624FD0" w14:textId="55F6B4BF"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（11-2-11）</w:t>
            </w:r>
          </w:p>
        </w:tc>
        <w:tc>
          <w:tcPr>
            <w:tcW w:w="868" w:type="pct"/>
          </w:tcPr>
          <w:p w14:paraId="7A9CDAB7" w14:textId="0E12D2FD"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1FA9121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本會</w:t>
            </w:r>
          </w:p>
          <w:p w14:paraId="3428F82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115.6.24</w:t>
            </w:r>
          </w:p>
          <w:p w14:paraId="0C5D3004" w14:textId="22C5705A"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(11-5-20)報告及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953A00" w:rsidRPr="001B6E4D" w14:paraId="767E059C" w14:textId="77777777" w:rsidTr="00787DE8">
        <w:tc>
          <w:tcPr>
            <w:tcW w:w="361" w:type="pct"/>
          </w:tcPr>
          <w:p w14:paraId="3A1E65AD" w14:textId="7796E7B7"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14</w:t>
            </w:r>
          </w:p>
        </w:tc>
        <w:tc>
          <w:tcPr>
            <w:tcW w:w="1734" w:type="pct"/>
          </w:tcPr>
          <w:p w14:paraId="3B2F75BD" w14:textId="1C4FAF81"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5.公教人員保險法部分條文修正草案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修正§3、12、第六節節名、35。修正重點：減輕家庭撫育子女之經濟負擔並增加職場與家庭時間彈性。）</w:t>
            </w:r>
          </w:p>
        </w:tc>
        <w:tc>
          <w:tcPr>
            <w:tcW w:w="1227" w:type="pct"/>
          </w:tcPr>
          <w:p w14:paraId="582B993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1BA158C1"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115.05.29</w:t>
            </w:r>
          </w:p>
          <w:p w14:paraId="2CE6F5CB" w14:textId="17D69711"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（11-5-12）</w:t>
            </w:r>
          </w:p>
        </w:tc>
        <w:tc>
          <w:tcPr>
            <w:tcW w:w="868" w:type="pct"/>
          </w:tcPr>
          <w:p w14:paraId="33703760" w14:textId="03F82834"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257DEE6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本會</w:t>
            </w:r>
          </w:p>
          <w:p w14:paraId="6B2F5B7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115.6.24</w:t>
            </w:r>
          </w:p>
          <w:p w14:paraId="10C1D110" w14:textId="12D444EA"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(11-5-20)報告及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953A00" w:rsidRPr="001B6E4D" w14:paraId="66E2C2AF" w14:textId="77777777" w:rsidTr="00787DE8">
        <w:tc>
          <w:tcPr>
            <w:tcW w:w="361" w:type="pct"/>
          </w:tcPr>
          <w:p w14:paraId="5BAA37B8" w14:textId="4DE1F98C"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15</w:t>
            </w:r>
          </w:p>
        </w:tc>
        <w:tc>
          <w:tcPr>
            <w:tcW w:w="1734" w:type="pct"/>
          </w:tcPr>
          <w:p w14:paraId="2C286609" w14:textId="3C6ABDE0"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6.公教人員保險法第三十五條及第五十一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修正重點：養育</w:t>
            </w:r>
            <w:proofErr w:type="gramStart"/>
            <w:r w:rsidRPr="001B6E4D">
              <w:rPr>
                <w:rFonts w:hAnsi="標楷體"/>
                <w:sz w:val="24"/>
                <w:szCs w:val="24"/>
              </w:rPr>
              <w:t>三</w:t>
            </w:r>
            <w:proofErr w:type="gramEnd"/>
            <w:r w:rsidRPr="001B6E4D">
              <w:rPr>
                <w:rFonts w:hAnsi="標楷體"/>
                <w:sz w:val="24"/>
                <w:szCs w:val="24"/>
              </w:rPr>
              <w:t>足歲以下孫子女之被保險人得請領育嬰留職停薪津貼。）</w:t>
            </w:r>
          </w:p>
        </w:tc>
        <w:tc>
          <w:tcPr>
            <w:tcW w:w="1227" w:type="pct"/>
          </w:tcPr>
          <w:p w14:paraId="1DBB643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委員翁曉玲</w:t>
            </w:r>
          </w:p>
          <w:p w14:paraId="3900150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53347EB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115.06.05</w:t>
            </w:r>
          </w:p>
          <w:p w14:paraId="1295DB74" w14:textId="1FEE415F"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（11-5-13）</w:t>
            </w:r>
          </w:p>
        </w:tc>
        <w:tc>
          <w:tcPr>
            <w:tcW w:w="868" w:type="pct"/>
          </w:tcPr>
          <w:p w14:paraId="1A10B614" w14:textId="6CBF9DD8"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30B4FCE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本會</w:t>
            </w:r>
          </w:p>
          <w:p w14:paraId="2A569EA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115.6.24</w:t>
            </w:r>
          </w:p>
          <w:p w14:paraId="0E5ED374" w14:textId="5812499C"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(11-5-20)報告及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953A00" w:rsidRPr="001B6E4D" w14:paraId="2035F121" w14:textId="77777777" w:rsidTr="00787DE8">
        <w:tc>
          <w:tcPr>
            <w:tcW w:w="361" w:type="pct"/>
          </w:tcPr>
          <w:p w14:paraId="2453A099" w14:textId="74933CDB"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16</w:t>
            </w:r>
          </w:p>
        </w:tc>
        <w:tc>
          <w:tcPr>
            <w:tcW w:w="1734" w:type="pct"/>
          </w:tcPr>
          <w:p w14:paraId="3744CC13" w14:textId="43AA56F8"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7.公教人員保險法第三十五</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修正重點：延長請領育嬰留職停薪津貼之上限及放寬可請領津貼之養育子女年齡至7歲。）</w:t>
            </w:r>
          </w:p>
        </w:tc>
        <w:tc>
          <w:tcPr>
            <w:tcW w:w="1227" w:type="pct"/>
          </w:tcPr>
          <w:p w14:paraId="732EF4D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委員林倩綺</w:t>
            </w:r>
          </w:p>
          <w:p w14:paraId="6B7384A4"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等19人</w:t>
            </w:r>
          </w:p>
          <w:p w14:paraId="49B46BC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115.07.03</w:t>
            </w:r>
          </w:p>
          <w:p w14:paraId="48DEA030" w14:textId="2996C5C6"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（11-5-16）</w:t>
            </w:r>
          </w:p>
        </w:tc>
        <w:tc>
          <w:tcPr>
            <w:tcW w:w="868" w:type="pct"/>
          </w:tcPr>
          <w:p w14:paraId="1FB41F24" w14:textId="37696090"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0FA74CB2" w14:textId="005FA186"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4AFE7B7F" w14:textId="77777777" w:rsidTr="00787DE8">
        <w:tc>
          <w:tcPr>
            <w:tcW w:w="361" w:type="pct"/>
          </w:tcPr>
          <w:p w14:paraId="507035C3" w14:textId="59D427BA"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17</w:t>
            </w:r>
          </w:p>
        </w:tc>
        <w:tc>
          <w:tcPr>
            <w:tcW w:w="1734" w:type="pct"/>
          </w:tcPr>
          <w:p w14:paraId="7BCB4B35" w14:textId="46E6545E"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8.公教人員保險法部分條文修正草案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修正§3、12、第六節節名、35、51。修正重點：修正育嬰留職停薪津貼</w:t>
            </w:r>
            <w:r w:rsidRPr="001B6E4D">
              <w:rPr>
                <w:rFonts w:hAnsi="標楷體"/>
                <w:sz w:val="24"/>
                <w:szCs w:val="24"/>
              </w:rPr>
              <w:lastRenderedPageBreak/>
              <w:t>之子女年齡請領條件及名稱。）</w:t>
            </w:r>
          </w:p>
        </w:tc>
        <w:tc>
          <w:tcPr>
            <w:tcW w:w="1227" w:type="pct"/>
          </w:tcPr>
          <w:p w14:paraId="55434EB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lastRenderedPageBreak/>
              <w:t>委員王美惠</w:t>
            </w:r>
          </w:p>
          <w:p w14:paraId="123085C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6A89B47B"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115.07.03</w:t>
            </w:r>
          </w:p>
          <w:p w14:paraId="1E05FAF3" w14:textId="3FDDB690"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（11-5-16）</w:t>
            </w:r>
          </w:p>
        </w:tc>
        <w:tc>
          <w:tcPr>
            <w:tcW w:w="868" w:type="pct"/>
          </w:tcPr>
          <w:p w14:paraId="6678FCDD" w14:textId="32155D6F"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2D0F9CC8" w14:textId="50A8CD8A"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0B6E7264" w14:textId="77777777" w:rsidTr="00787DE8">
        <w:tc>
          <w:tcPr>
            <w:tcW w:w="361" w:type="pct"/>
          </w:tcPr>
          <w:p w14:paraId="1FD4A4FC" w14:textId="5B2335E6"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18</w:t>
            </w:r>
          </w:p>
        </w:tc>
        <w:tc>
          <w:tcPr>
            <w:tcW w:w="1734" w:type="pct"/>
          </w:tcPr>
          <w:p w14:paraId="3BCA15F6" w14:textId="1A87EDD0"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9.公教人員保險法部分條文修正草案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修正§3、12、第六節節名、35、51。修正重點：修正本保險育嬰留職停薪津貼之子女年齡請領條件及名稱。）</w:t>
            </w:r>
          </w:p>
        </w:tc>
        <w:tc>
          <w:tcPr>
            <w:tcW w:w="1227" w:type="pct"/>
          </w:tcPr>
          <w:p w14:paraId="002ED94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委員鄭天財</w:t>
            </w:r>
          </w:p>
          <w:p w14:paraId="2051F952" w14:textId="77777777" w:rsidR="00953A00" w:rsidRPr="001B6E4D" w:rsidRDefault="00953A00" w:rsidP="003D1018">
            <w:pPr>
              <w:overflowPunct w:val="0"/>
              <w:jc w:val="both"/>
              <w:rPr>
                <w:rFonts w:ascii="標楷體" w:eastAsia="標楷體" w:hAnsi="標楷體"/>
                <w:sz w:val="24"/>
              </w:rPr>
            </w:pPr>
            <w:proofErr w:type="spellStart"/>
            <w:r w:rsidRPr="001B6E4D">
              <w:rPr>
                <w:rFonts w:ascii="標楷體" w:eastAsia="標楷體" w:hAnsi="標楷體"/>
                <w:sz w:val="24"/>
              </w:rPr>
              <w:t>Sra</w:t>
            </w:r>
            <w:proofErr w:type="spellEnd"/>
            <w:r w:rsidRPr="001B6E4D">
              <w:rPr>
                <w:rFonts w:ascii="標楷體" w:eastAsia="標楷體" w:hAnsi="標楷體"/>
                <w:sz w:val="24"/>
              </w:rPr>
              <w:t xml:space="preserve"> </w:t>
            </w:r>
            <w:proofErr w:type="spellStart"/>
            <w:r w:rsidRPr="001B6E4D">
              <w:rPr>
                <w:rFonts w:ascii="標楷體" w:eastAsia="標楷體" w:hAnsi="標楷體"/>
                <w:sz w:val="24"/>
              </w:rPr>
              <w:t>Kacaw</w:t>
            </w:r>
            <w:proofErr w:type="spellEnd"/>
          </w:p>
          <w:p w14:paraId="03D67CA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567A08C9"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115.07.14</w:t>
            </w:r>
          </w:p>
          <w:p w14:paraId="76318C77" w14:textId="22AFDE3D"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（11-5-17）</w:t>
            </w:r>
          </w:p>
        </w:tc>
        <w:tc>
          <w:tcPr>
            <w:tcW w:w="868" w:type="pct"/>
          </w:tcPr>
          <w:p w14:paraId="65E6B9E6" w14:textId="67720B6F"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070950D3" w14:textId="76E5F464"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50858222" w14:textId="77777777" w:rsidTr="00787DE8">
        <w:tc>
          <w:tcPr>
            <w:tcW w:w="361" w:type="pct"/>
          </w:tcPr>
          <w:p w14:paraId="27272199" w14:textId="44287866"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19</w:t>
            </w:r>
          </w:p>
        </w:tc>
        <w:tc>
          <w:tcPr>
            <w:tcW w:w="1734" w:type="pct"/>
          </w:tcPr>
          <w:p w14:paraId="2340B80F" w14:textId="0E72ADA0"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10.公教人員保險法部分條文修正草案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修正§3、12、第六節節名、35、51。修正重點：修正育嬰留職停薪相關規定。）</w:t>
            </w:r>
          </w:p>
        </w:tc>
        <w:tc>
          <w:tcPr>
            <w:tcW w:w="1227" w:type="pct"/>
          </w:tcPr>
          <w:p w14:paraId="7DBF556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委員郭昱晴</w:t>
            </w:r>
          </w:p>
          <w:p w14:paraId="303D235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等16人</w:t>
            </w:r>
          </w:p>
          <w:p w14:paraId="3480C9D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115.07.14</w:t>
            </w:r>
          </w:p>
          <w:p w14:paraId="15114EFD" w14:textId="4BCC4121"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（11-5-17）</w:t>
            </w:r>
          </w:p>
        </w:tc>
        <w:tc>
          <w:tcPr>
            <w:tcW w:w="868" w:type="pct"/>
          </w:tcPr>
          <w:p w14:paraId="540FFD93" w14:textId="636C1B53"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0674F91D" w14:textId="3A280D03"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4AAC0AC6" w14:textId="77777777" w:rsidTr="00787DE8">
        <w:tc>
          <w:tcPr>
            <w:tcW w:w="361" w:type="pct"/>
          </w:tcPr>
          <w:p w14:paraId="2CDE3FD3" w14:textId="57C27CD6"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20</w:t>
            </w:r>
          </w:p>
        </w:tc>
        <w:tc>
          <w:tcPr>
            <w:tcW w:w="1734" w:type="pct"/>
          </w:tcPr>
          <w:p w14:paraId="65434396" w14:textId="2930C2CD"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11.公教人員保險法部分條文修正草案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修正§3、12、第六節節名、35、51。修正重點：修正育嬰留職停薪津貼之子女年齡請領條件及名稱。）</w:t>
            </w:r>
          </w:p>
        </w:tc>
        <w:tc>
          <w:tcPr>
            <w:tcW w:w="1227" w:type="pct"/>
          </w:tcPr>
          <w:p w14:paraId="00BD288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委員王育敏</w:t>
            </w:r>
          </w:p>
          <w:p w14:paraId="73C98FF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16A4383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115.07.17</w:t>
            </w:r>
          </w:p>
          <w:p w14:paraId="0A1ED181" w14:textId="350E752C"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（11-5-18）</w:t>
            </w:r>
          </w:p>
        </w:tc>
        <w:tc>
          <w:tcPr>
            <w:tcW w:w="868" w:type="pct"/>
          </w:tcPr>
          <w:p w14:paraId="5B57E647" w14:textId="70002563"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280E6100" w14:textId="3B007E33"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78CFD28A" w14:textId="77777777" w:rsidTr="00787DE8">
        <w:tc>
          <w:tcPr>
            <w:tcW w:w="361" w:type="pct"/>
          </w:tcPr>
          <w:p w14:paraId="45263C99" w14:textId="2FD1AE80"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21</w:t>
            </w:r>
          </w:p>
        </w:tc>
        <w:tc>
          <w:tcPr>
            <w:tcW w:w="1734" w:type="pct"/>
          </w:tcPr>
          <w:p w14:paraId="66EF9E49" w14:textId="61944652"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12.公教人員保險法部分條文修正草案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修正§3、12、第六節節名、35、51。修正重點：優化請領</w:t>
            </w:r>
            <w:proofErr w:type="gramStart"/>
            <w:r w:rsidRPr="001B6E4D">
              <w:rPr>
                <w:rFonts w:hAnsi="標楷體"/>
                <w:sz w:val="24"/>
                <w:szCs w:val="24"/>
              </w:rPr>
              <w:t>育兒留職</w:t>
            </w:r>
            <w:proofErr w:type="gramEnd"/>
            <w:r w:rsidRPr="001B6E4D">
              <w:rPr>
                <w:rFonts w:hAnsi="標楷體"/>
                <w:sz w:val="24"/>
                <w:szCs w:val="24"/>
              </w:rPr>
              <w:t>停薪津貼之適用範圍、給付期限及財務穩定機制。）</w:t>
            </w:r>
          </w:p>
        </w:tc>
        <w:tc>
          <w:tcPr>
            <w:tcW w:w="1227" w:type="pct"/>
          </w:tcPr>
          <w:p w14:paraId="7E97336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委員廖偉翔</w:t>
            </w:r>
          </w:p>
          <w:p w14:paraId="099B6557"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298B5E3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115.07.24</w:t>
            </w:r>
          </w:p>
          <w:p w14:paraId="3ABEA56C" w14:textId="62A988B7"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（11-5-19）</w:t>
            </w:r>
          </w:p>
        </w:tc>
        <w:tc>
          <w:tcPr>
            <w:tcW w:w="868" w:type="pct"/>
          </w:tcPr>
          <w:p w14:paraId="3EDD0430" w14:textId="10035F07"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4E96588C" w14:textId="6ADEE247"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261BCCDE" w14:textId="77777777" w:rsidTr="00787DE8">
        <w:tc>
          <w:tcPr>
            <w:tcW w:w="361" w:type="pct"/>
          </w:tcPr>
          <w:p w14:paraId="57CCF69C" w14:textId="07E33C40"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22</w:t>
            </w:r>
          </w:p>
        </w:tc>
        <w:tc>
          <w:tcPr>
            <w:tcW w:w="1734" w:type="pct"/>
          </w:tcPr>
          <w:p w14:paraId="6D1DAFE3" w14:textId="7B104270"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13.公教人員保險法部分條文修正草案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修正§3、12、第六節節名、35、51。修正重點：育嬰留職停薪放寬適用年齡至6歲以下。）</w:t>
            </w:r>
          </w:p>
        </w:tc>
        <w:tc>
          <w:tcPr>
            <w:tcW w:w="1227" w:type="pct"/>
          </w:tcPr>
          <w:p w14:paraId="3B77014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委員伍麗華</w:t>
            </w:r>
          </w:p>
          <w:p w14:paraId="5F79FC14" w14:textId="77777777" w:rsidR="00953A00" w:rsidRPr="001B6E4D" w:rsidRDefault="00953A00" w:rsidP="003D1018">
            <w:pPr>
              <w:overflowPunct w:val="0"/>
              <w:jc w:val="both"/>
              <w:rPr>
                <w:rFonts w:ascii="標楷體" w:eastAsia="標楷體" w:hAnsi="標楷體"/>
                <w:sz w:val="24"/>
              </w:rPr>
            </w:pPr>
            <w:proofErr w:type="spellStart"/>
            <w:r w:rsidRPr="001B6E4D">
              <w:rPr>
                <w:rFonts w:ascii="標楷體" w:eastAsia="標楷體" w:hAnsi="標楷體"/>
                <w:sz w:val="24"/>
              </w:rPr>
              <w:t>Saidhai</w:t>
            </w:r>
            <w:proofErr w:type="spellEnd"/>
            <w:r w:rsidRPr="001B6E4D">
              <w:rPr>
                <w:rFonts w:ascii="標楷體" w:eastAsia="標楷體" w:hAnsi="標楷體"/>
                <w:sz w:val="24"/>
              </w:rPr>
              <w:t>‧</w:t>
            </w:r>
          </w:p>
          <w:p w14:paraId="65C876F0" w14:textId="77777777" w:rsidR="00953A00" w:rsidRPr="001B6E4D" w:rsidRDefault="00953A00" w:rsidP="003D1018">
            <w:pPr>
              <w:overflowPunct w:val="0"/>
              <w:jc w:val="both"/>
              <w:rPr>
                <w:rFonts w:ascii="標楷體" w:eastAsia="標楷體" w:hAnsi="標楷體"/>
                <w:sz w:val="24"/>
              </w:rPr>
            </w:pPr>
            <w:proofErr w:type="spellStart"/>
            <w:r w:rsidRPr="001B6E4D">
              <w:rPr>
                <w:rFonts w:ascii="標楷體" w:eastAsia="標楷體" w:hAnsi="標楷體"/>
                <w:sz w:val="24"/>
              </w:rPr>
              <w:t>Tahovecahe</w:t>
            </w:r>
            <w:proofErr w:type="spellEnd"/>
          </w:p>
          <w:p w14:paraId="5687AFB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2E6C500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115.07.24</w:t>
            </w:r>
          </w:p>
          <w:p w14:paraId="284DD58F" w14:textId="0C47DD64"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（11-5-19）</w:t>
            </w:r>
          </w:p>
        </w:tc>
        <w:tc>
          <w:tcPr>
            <w:tcW w:w="868" w:type="pct"/>
          </w:tcPr>
          <w:p w14:paraId="4D068592" w14:textId="248D96BC"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0E3F1BD7" w14:textId="33A69152"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0F16CB6F" w14:textId="77777777" w:rsidTr="00787DE8">
        <w:tc>
          <w:tcPr>
            <w:tcW w:w="361" w:type="pct"/>
          </w:tcPr>
          <w:p w14:paraId="138F1840" w14:textId="62C0D401"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23</w:t>
            </w:r>
          </w:p>
        </w:tc>
        <w:tc>
          <w:tcPr>
            <w:tcW w:w="1734" w:type="pct"/>
          </w:tcPr>
          <w:p w14:paraId="73A1FA2E" w14:textId="7363DAC3"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14.公教人員保險法部分條文修正草案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修正§3、12、第六節節名、35。修正重點：修正育嬰留職停薪津貼之子女年齡請領條件及名稱。）</w:t>
            </w:r>
          </w:p>
        </w:tc>
        <w:tc>
          <w:tcPr>
            <w:tcW w:w="1227" w:type="pct"/>
          </w:tcPr>
          <w:p w14:paraId="312E450B"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委員王鴻薇</w:t>
            </w:r>
          </w:p>
          <w:p w14:paraId="571B828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556B2C1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115.07.24</w:t>
            </w:r>
          </w:p>
          <w:p w14:paraId="6751767B" w14:textId="0B8841C9"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（11-5-19）</w:t>
            </w:r>
          </w:p>
        </w:tc>
        <w:tc>
          <w:tcPr>
            <w:tcW w:w="868" w:type="pct"/>
          </w:tcPr>
          <w:p w14:paraId="3B3B47DE" w14:textId="78DAF7ED"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6C40DACD" w14:textId="05E4AFB9"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4A161FCA" w14:textId="77777777" w:rsidTr="00787DE8">
        <w:tc>
          <w:tcPr>
            <w:tcW w:w="361" w:type="pct"/>
          </w:tcPr>
          <w:p w14:paraId="78871698" w14:textId="7DF26183"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24</w:t>
            </w:r>
          </w:p>
        </w:tc>
        <w:tc>
          <w:tcPr>
            <w:tcW w:w="1734" w:type="pct"/>
          </w:tcPr>
          <w:p w14:paraId="717ACB0A" w14:textId="01CE43CF"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15.公教人員保險法部分條</w:t>
            </w:r>
            <w:r w:rsidRPr="001B6E4D">
              <w:rPr>
                <w:rFonts w:hAnsi="標楷體"/>
                <w:sz w:val="24"/>
                <w:szCs w:val="24"/>
              </w:rPr>
              <w:lastRenderedPageBreak/>
              <w:t>文修正草案</w:t>
            </w:r>
            <w:proofErr w:type="gramStart"/>
            <w:r w:rsidRPr="001B6E4D">
              <w:rPr>
                <w:rFonts w:hAnsi="標楷體"/>
                <w:sz w:val="24"/>
                <w:szCs w:val="24"/>
              </w:rPr>
              <w:t>（</w:t>
            </w:r>
            <w:proofErr w:type="gramEnd"/>
            <w:r w:rsidRPr="001B6E4D">
              <w:rPr>
                <w:rFonts w:hAnsi="標楷體"/>
                <w:sz w:val="24"/>
                <w:szCs w:val="24"/>
              </w:rPr>
              <w:t>修正§3、12、第六節節名、35、51。修正重點：延長</w:t>
            </w:r>
            <w:proofErr w:type="gramStart"/>
            <w:r w:rsidRPr="001B6E4D">
              <w:rPr>
                <w:rFonts w:hAnsi="標楷體"/>
                <w:sz w:val="24"/>
                <w:szCs w:val="24"/>
              </w:rPr>
              <w:t>育兒留職</w:t>
            </w:r>
            <w:proofErr w:type="gramEnd"/>
            <w:r w:rsidRPr="001B6E4D">
              <w:rPr>
                <w:rFonts w:hAnsi="標楷體"/>
                <w:sz w:val="24"/>
                <w:szCs w:val="24"/>
              </w:rPr>
              <w:t>停薪津貼期間至該子女滿7歲止。）</w:t>
            </w:r>
          </w:p>
        </w:tc>
        <w:tc>
          <w:tcPr>
            <w:tcW w:w="1227" w:type="pct"/>
          </w:tcPr>
          <w:p w14:paraId="288B3CF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lastRenderedPageBreak/>
              <w:t>委員許宇</w:t>
            </w:r>
            <w:proofErr w:type="gramStart"/>
            <w:r w:rsidRPr="001B6E4D">
              <w:rPr>
                <w:rFonts w:ascii="標楷體" w:eastAsia="標楷體" w:hAnsi="標楷體"/>
                <w:sz w:val="24"/>
              </w:rPr>
              <w:t>甄</w:t>
            </w:r>
            <w:proofErr w:type="gramEnd"/>
          </w:p>
          <w:p w14:paraId="00AE7054"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lastRenderedPageBreak/>
              <w:t>等17人</w:t>
            </w:r>
          </w:p>
          <w:p w14:paraId="3F17FA84"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115.07.24</w:t>
            </w:r>
          </w:p>
          <w:p w14:paraId="147C12D8" w14:textId="15F2760B"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（11-5-19）</w:t>
            </w:r>
          </w:p>
        </w:tc>
        <w:tc>
          <w:tcPr>
            <w:tcW w:w="868" w:type="pct"/>
          </w:tcPr>
          <w:p w14:paraId="76EBA2E9" w14:textId="5A1B8B31"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lastRenderedPageBreak/>
              <w:t>司法及法制</w:t>
            </w:r>
          </w:p>
        </w:tc>
        <w:tc>
          <w:tcPr>
            <w:tcW w:w="810" w:type="pct"/>
          </w:tcPr>
          <w:p w14:paraId="48D5B88F" w14:textId="3E30B086"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259B5128" w14:textId="77777777" w:rsidTr="00787DE8">
        <w:tc>
          <w:tcPr>
            <w:tcW w:w="361" w:type="pct"/>
          </w:tcPr>
          <w:p w14:paraId="4DCE5A0E" w14:textId="6C9E8821"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25</w:t>
            </w:r>
          </w:p>
        </w:tc>
        <w:tc>
          <w:tcPr>
            <w:tcW w:w="1734" w:type="pct"/>
          </w:tcPr>
          <w:p w14:paraId="0061A47B" w14:textId="61AB867B"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16.公教人員保險法部分條文修正草案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修正§3、12、第六節節名、35、51。修正重點：擴大</w:t>
            </w:r>
            <w:proofErr w:type="gramStart"/>
            <w:r w:rsidRPr="001B6E4D">
              <w:rPr>
                <w:rFonts w:hAnsi="標楷體"/>
                <w:sz w:val="24"/>
                <w:szCs w:val="24"/>
              </w:rPr>
              <w:t>育兒留職</w:t>
            </w:r>
            <w:proofErr w:type="gramEnd"/>
            <w:r w:rsidRPr="001B6E4D">
              <w:rPr>
                <w:rFonts w:hAnsi="標楷體"/>
                <w:sz w:val="24"/>
                <w:szCs w:val="24"/>
              </w:rPr>
              <w:t>停薪適用至子女未滿7歲。）</w:t>
            </w:r>
          </w:p>
        </w:tc>
        <w:tc>
          <w:tcPr>
            <w:tcW w:w="1227" w:type="pct"/>
          </w:tcPr>
          <w:p w14:paraId="6A93AD21"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委員羅廷</w:t>
            </w:r>
            <w:proofErr w:type="gramStart"/>
            <w:r w:rsidRPr="001B6E4D">
              <w:rPr>
                <w:rFonts w:ascii="標楷體" w:eastAsia="標楷體" w:hAnsi="標楷體"/>
                <w:sz w:val="24"/>
              </w:rPr>
              <w:t>瑋</w:t>
            </w:r>
            <w:proofErr w:type="gramEnd"/>
          </w:p>
          <w:p w14:paraId="3E65A96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5D2082C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115.07.24</w:t>
            </w:r>
          </w:p>
          <w:p w14:paraId="5FEA2A24" w14:textId="4346B6A8"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（11-5-19）</w:t>
            </w:r>
          </w:p>
        </w:tc>
        <w:tc>
          <w:tcPr>
            <w:tcW w:w="868" w:type="pct"/>
          </w:tcPr>
          <w:p w14:paraId="355F89FC" w14:textId="6F747D48"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2D3D5965" w14:textId="3FC22A72"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0C2C9472" w14:textId="77777777" w:rsidTr="00787DE8">
        <w:tc>
          <w:tcPr>
            <w:tcW w:w="361" w:type="pct"/>
          </w:tcPr>
          <w:p w14:paraId="528540B9" w14:textId="25277950"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26</w:t>
            </w:r>
          </w:p>
        </w:tc>
        <w:tc>
          <w:tcPr>
            <w:tcW w:w="1734" w:type="pct"/>
          </w:tcPr>
          <w:p w14:paraId="5D10E733" w14:textId="37862E89"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17.公教人員保險法部分條文修正草案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修正§3、12、第六節節名、35、51。修正重點：育嬰留職停薪津貼的請領期限延長至子女滿7歲前。）</w:t>
            </w:r>
          </w:p>
        </w:tc>
        <w:tc>
          <w:tcPr>
            <w:tcW w:w="1227" w:type="pct"/>
          </w:tcPr>
          <w:p w14:paraId="623D2CE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委員張雅琳</w:t>
            </w:r>
          </w:p>
          <w:p w14:paraId="5FF05509"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等20人</w:t>
            </w:r>
          </w:p>
          <w:p w14:paraId="21FB202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115.07.24</w:t>
            </w:r>
          </w:p>
          <w:p w14:paraId="5E827D7F" w14:textId="3A0E1306"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（11-5-19）</w:t>
            </w:r>
          </w:p>
        </w:tc>
        <w:tc>
          <w:tcPr>
            <w:tcW w:w="868" w:type="pct"/>
          </w:tcPr>
          <w:p w14:paraId="4F1548BA" w14:textId="1DDCF0CB"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7E93EE5E" w14:textId="04EA36DE"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24F5C5F8" w14:textId="77777777" w:rsidTr="00787DE8">
        <w:tc>
          <w:tcPr>
            <w:tcW w:w="361" w:type="pct"/>
          </w:tcPr>
          <w:p w14:paraId="25479C7A" w14:textId="5D993852"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27</w:t>
            </w:r>
          </w:p>
        </w:tc>
        <w:tc>
          <w:tcPr>
            <w:tcW w:w="1734" w:type="pct"/>
          </w:tcPr>
          <w:p w14:paraId="474ABD9A" w14:textId="15175EE4"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18.公教人員保險法部分條文修正草案</w:t>
            </w:r>
            <w:proofErr w:type="gramStart"/>
            <w:r w:rsidRPr="001B6E4D">
              <w:rPr>
                <w:rFonts w:hAnsi="標楷體"/>
                <w:sz w:val="24"/>
                <w:szCs w:val="24"/>
              </w:rPr>
              <w:t>（</w:t>
            </w:r>
            <w:proofErr w:type="gramEnd"/>
            <w:r w:rsidRPr="001B6E4D">
              <w:rPr>
                <w:rFonts w:hAnsi="標楷體"/>
                <w:sz w:val="24"/>
                <w:szCs w:val="24"/>
              </w:rPr>
              <w:t>修正§3、12、第六節節名、35、51。修正重點：修正育嬰留職停薪津貼之請領規定，將適用子女年齡延長至未滿6歲，並得</w:t>
            </w:r>
            <w:proofErr w:type="gramStart"/>
            <w:r w:rsidRPr="001B6E4D">
              <w:rPr>
                <w:rFonts w:hAnsi="標楷體"/>
                <w:sz w:val="24"/>
                <w:szCs w:val="24"/>
              </w:rPr>
              <w:t>請領至該</w:t>
            </w:r>
            <w:proofErr w:type="gramEnd"/>
            <w:r w:rsidRPr="001B6E4D">
              <w:rPr>
                <w:rFonts w:hAnsi="標楷體"/>
                <w:sz w:val="24"/>
                <w:szCs w:val="24"/>
              </w:rPr>
              <w:t>子女滿7歲止。）</w:t>
            </w:r>
          </w:p>
        </w:tc>
        <w:tc>
          <w:tcPr>
            <w:tcW w:w="1227" w:type="pct"/>
          </w:tcPr>
          <w:p w14:paraId="64D1737A"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委員徐巧芯</w:t>
            </w:r>
          </w:p>
          <w:p w14:paraId="5247F4E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2D8BE74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115.08.14</w:t>
            </w:r>
          </w:p>
          <w:p w14:paraId="661F30B2" w14:textId="6B33D3E6"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（11-5-22）</w:t>
            </w:r>
          </w:p>
        </w:tc>
        <w:tc>
          <w:tcPr>
            <w:tcW w:w="868" w:type="pct"/>
          </w:tcPr>
          <w:p w14:paraId="559C0A82" w14:textId="5E1D3D2D"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5E4C0201" w14:textId="5A975F63"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5CFDD6E8" w14:textId="77777777" w:rsidTr="00787DE8">
        <w:tc>
          <w:tcPr>
            <w:tcW w:w="361" w:type="pct"/>
          </w:tcPr>
          <w:p w14:paraId="03B87A43" w14:textId="57D9C4D6"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28</w:t>
            </w:r>
          </w:p>
        </w:tc>
        <w:tc>
          <w:tcPr>
            <w:tcW w:w="1734" w:type="pct"/>
          </w:tcPr>
          <w:p w14:paraId="57371489" w14:textId="23610DA5"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1.公教人員保險法第四十八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修正重點：明定於特定期間退休之國營事業</w:t>
            </w:r>
            <w:proofErr w:type="gramStart"/>
            <w:r w:rsidRPr="001B6E4D">
              <w:rPr>
                <w:rFonts w:hAnsi="標楷體"/>
                <w:sz w:val="24"/>
                <w:szCs w:val="24"/>
              </w:rPr>
              <w:t>員工經繳回</w:t>
            </w:r>
            <w:proofErr w:type="gramEnd"/>
            <w:r w:rsidRPr="001B6E4D">
              <w:rPr>
                <w:rFonts w:hAnsi="標楷體"/>
                <w:sz w:val="24"/>
                <w:szCs w:val="24"/>
              </w:rPr>
              <w:t>一次養老給付者，得追溯提領公保養老年金。）</w:t>
            </w:r>
          </w:p>
        </w:tc>
        <w:tc>
          <w:tcPr>
            <w:tcW w:w="1227" w:type="pct"/>
          </w:tcPr>
          <w:p w14:paraId="29280C1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委員何欣純</w:t>
            </w:r>
          </w:p>
          <w:p w14:paraId="0064B5D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32A0804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114.05.16</w:t>
            </w:r>
          </w:p>
          <w:p w14:paraId="17DA4FA7" w14:textId="5266CE3C"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（11-3-12）</w:t>
            </w:r>
          </w:p>
        </w:tc>
        <w:tc>
          <w:tcPr>
            <w:tcW w:w="868" w:type="pct"/>
          </w:tcPr>
          <w:p w14:paraId="2D2E6C79" w14:textId="79EEC1D7"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69041746" w14:textId="3246D82C"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7067ECD7" w14:textId="77777777" w:rsidTr="00787DE8">
        <w:tc>
          <w:tcPr>
            <w:tcW w:w="361" w:type="pct"/>
          </w:tcPr>
          <w:p w14:paraId="112A7380" w14:textId="4162491C"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29</w:t>
            </w:r>
          </w:p>
        </w:tc>
        <w:tc>
          <w:tcPr>
            <w:tcW w:w="1734" w:type="pct"/>
          </w:tcPr>
          <w:p w14:paraId="249DBA96" w14:textId="5786B5B2"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2.公教人員保險法第四十八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修正重點：將國營事業員工於特定期間離退者，納入年金保障範圍。）</w:t>
            </w:r>
          </w:p>
        </w:tc>
        <w:tc>
          <w:tcPr>
            <w:tcW w:w="1227" w:type="pct"/>
          </w:tcPr>
          <w:p w14:paraId="11AD448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委員陳玉珍</w:t>
            </w:r>
          </w:p>
          <w:p w14:paraId="3F2AE01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等16人</w:t>
            </w:r>
          </w:p>
          <w:p w14:paraId="6AE46FA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114.06.03</w:t>
            </w:r>
          </w:p>
          <w:p w14:paraId="15ED8C84" w14:textId="589D5A6C"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（11-3-14）</w:t>
            </w:r>
          </w:p>
        </w:tc>
        <w:tc>
          <w:tcPr>
            <w:tcW w:w="868" w:type="pct"/>
          </w:tcPr>
          <w:p w14:paraId="55346776" w14:textId="2D1CE977"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56720CF5" w14:textId="1E0F4667"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42E493FE" w14:textId="77777777" w:rsidTr="00787DE8">
        <w:tc>
          <w:tcPr>
            <w:tcW w:w="361" w:type="pct"/>
          </w:tcPr>
          <w:p w14:paraId="5DF5EC24" w14:textId="3EE852CA"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30</w:t>
            </w:r>
          </w:p>
        </w:tc>
        <w:tc>
          <w:tcPr>
            <w:tcW w:w="1734" w:type="pct"/>
          </w:tcPr>
          <w:p w14:paraId="3E70FA9E" w14:textId="794BAA5B"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3.公教人員保險法第四十八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修正重點：國營事業員工於特定期間離退者，</w:t>
            </w:r>
            <w:proofErr w:type="gramStart"/>
            <w:r w:rsidRPr="001B6E4D">
              <w:rPr>
                <w:rFonts w:hAnsi="標楷體"/>
                <w:sz w:val="24"/>
                <w:szCs w:val="24"/>
              </w:rPr>
              <w:t>經繳回</w:t>
            </w:r>
            <w:proofErr w:type="gramEnd"/>
            <w:r w:rsidRPr="001B6E4D">
              <w:rPr>
                <w:rFonts w:hAnsi="標楷體"/>
                <w:sz w:val="24"/>
                <w:szCs w:val="24"/>
              </w:rPr>
              <w:t>一次養老</w:t>
            </w:r>
            <w:r w:rsidRPr="001B6E4D">
              <w:rPr>
                <w:rFonts w:hAnsi="標楷體"/>
                <w:sz w:val="24"/>
                <w:szCs w:val="24"/>
              </w:rPr>
              <w:lastRenderedPageBreak/>
              <w:t>給付者，得追溯自符合請領條件之日起，發給公保年金。）</w:t>
            </w:r>
          </w:p>
        </w:tc>
        <w:tc>
          <w:tcPr>
            <w:tcW w:w="1227" w:type="pct"/>
          </w:tcPr>
          <w:p w14:paraId="561D15E1"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lastRenderedPageBreak/>
              <w:t>委員吳宗憲</w:t>
            </w:r>
          </w:p>
          <w:p w14:paraId="34DD44C9"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27A4AA0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114.08.29</w:t>
            </w:r>
          </w:p>
          <w:p w14:paraId="4FE25814" w14:textId="731B0A81"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（11-3-27）</w:t>
            </w:r>
          </w:p>
        </w:tc>
        <w:tc>
          <w:tcPr>
            <w:tcW w:w="868" w:type="pct"/>
          </w:tcPr>
          <w:p w14:paraId="3959C8F0" w14:textId="0F709445"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447E7894" w14:textId="0864E7FF"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3BBEC094" w14:textId="77777777" w:rsidTr="00787DE8">
        <w:tc>
          <w:tcPr>
            <w:tcW w:w="361" w:type="pct"/>
          </w:tcPr>
          <w:p w14:paraId="560E4306" w14:textId="7B697BAF"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31</w:t>
            </w:r>
          </w:p>
        </w:tc>
        <w:tc>
          <w:tcPr>
            <w:tcW w:w="1734" w:type="pct"/>
          </w:tcPr>
          <w:p w14:paraId="7C2E2F84" w14:textId="5610A593"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4.公教人員保險法第四十八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修正重點：特定期間退休之國營事業</w:t>
            </w:r>
            <w:proofErr w:type="gramStart"/>
            <w:r w:rsidRPr="001B6E4D">
              <w:rPr>
                <w:rFonts w:hAnsi="標楷體"/>
                <w:sz w:val="24"/>
                <w:szCs w:val="24"/>
              </w:rPr>
              <w:t>員工經繳回</w:t>
            </w:r>
            <w:proofErr w:type="gramEnd"/>
            <w:r w:rsidRPr="001B6E4D">
              <w:rPr>
                <w:rFonts w:hAnsi="標楷體"/>
                <w:sz w:val="24"/>
                <w:szCs w:val="24"/>
              </w:rPr>
              <w:t>一次養老給付者，追溯按月發給養老年金。）</w:t>
            </w:r>
          </w:p>
        </w:tc>
        <w:tc>
          <w:tcPr>
            <w:tcW w:w="1227" w:type="pct"/>
          </w:tcPr>
          <w:p w14:paraId="1AE2538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委員張智倫</w:t>
            </w:r>
          </w:p>
          <w:p w14:paraId="77AACAD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6E3381E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114.08.29</w:t>
            </w:r>
          </w:p>
          <w:p w14:paraId="4E11A055" w14:textId="490C3E62"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（11-3-27）</w:t>
            </w:r>
          </w:p>
        </w:tc>
        <w:tc>
          <w:tcPr>
            <w:tcW w:w="868" w:type="pct"/>
          </w:tcPr>
          <w:p w14:paraId="1540B73F" w14:textId="31ABEA27"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6EC2A19C" w14:textId="3939FFD0"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168530F3" w14:textId="77777777" w:rsidTr="00787DE8">
        <w:tc>
          <w:tcPr>
            <w:tcW w:w="361" w:type="pct"/>
          </w:tcPr>
          <w:p w14:paraId="1FEEBE9E" w14:textId="02B893B3"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32</w:t>
            </w:r>
          </w:p>
        </w:tc>
        <w:tc>
          <w:tcPr>
            <w:tcW w:w="1734" w:type="pct"/>
          </w:tcPr>
          <w:p w14:paraId="25136680" w14:textId="69A7587B"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5.公教人員保險法第四十八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修正重點：使特定期間退休之國營事業員工得溯及適用年金規定。）</w:t>
            </w:r>
          </w:p>
        </w:tc>
        <w:tc>
          <w:tcPr>
            <w:tcW w:w="1227" w:type="pct"/>
          </w:tcPr>
          <w:p w14:paraId="47F967C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委員葉元之</w:t>
            </w:r>
          </w:p>
          <w:p w14:paraId="460E572A"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2F32D05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115.01.09</w:t>
            </w:r>
          </w:p>
          <w:p w14:paraId="5E6B36BA" w14:textId="4B7014B1"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（11-4-17）</w:t>
            </w:r>
          </w:p>
        </w:tc>
        <w:tc>
          <w:tcPr>
            <w:tcW w:w="868" w:type="pct"/>
          </w:tcPr>
          <w:p w14:paraId="521F63FF" w14:textId="34898017"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194C1318" w14:textId="1D16DED9"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01BB7062" w14:textId="77777777" w:rsidTr="00787DE8">
        <w:tc>
          <w:tcPr>
            <w:tcW w:w="361" w:type="pct"/>
          </w:tcPr>
          <w:p w14:paraId="0EB39AB8" w14:textId="102B3AC6" w:rsidR="00953A00" w:rsidRPr="001B6E4D" w:rsidRDefault="00953A00" w:rsidP="003D1018">
            <w:pPr>
              <w:kinsoku w:val="0"/>
              <w:overflowPunct w:val="0"/>
              <w:topLinePunct/>
              <w:spacing w:line="360" w:lineRule="exact"/>
              <w:jc w:val="center"/>
              <w:rPr>
                <w:rFonts w:ascii="標楷體" w:eastAsia="標楷體" w:hAnsi="標楷體"/>
                <w:color w:val="000000" w:themeColor="text1"/>
                <w:sz w:val="24"/>
              </w:rPr>
            </w:pPr>
            <w:r w:rsidRPr="001B6E4D">
              <w:rPr>
                <w:rFonts w:ascii="標楷體" w:eastAsia="標楷體" w:hAnsi="標楷體"/>
                <w:sz w:val="24"/>
              </w:rPr>
              <w:t>33</w:t>
            </w:r>
          </w:p>
        </w:tc>
        <w:tc>
          <w:tcPr>
            <w:tcW w:w="1734" w:type="pct"/>
          </w:tcPr>
          <w:p w14:paraId="1B43406A" w14:textId="26184C0C" w:rsidR="00953A00" w:rsidRPr="001B6E4D" w:rsidRDefault="00953A00" w:rsidP="003D1018">
            <w:pPr>
              <w:pStyle w:val="01"/>
              <w:overflowPunct w:val="0"/>
              <w:rPr>
                <w:rFonts w:hAnsi="標楷體" w:cs="Times New Roman"/>
                <w:color w:val="000000" w:themeColor="text1"/>
                <w:sz w:val="24"/>
                <w:szCs w:val="24"/>
              </w:rPr>
            </w:pPr>
            <w:r w:rsidRPr="001B6E4D">
              <w:rPr>
                <w:rFonts w:hAnsi="標楷體"/>
                <w:sz w:val="24"/>
                <w:szCs w:val="24"/>
              </w:rPr>
              <w:t>公教人員保險法增訂第二十條之</w:t>
            </w:r>
            <w:proofErr w:type="gramStart"/>
            <w:r w:rsidRPr="001B6E4D">
              <w:rPr>
                <w:rFonts w:hAnsi="標楷體"/>
                <w:sz w:val="24"/>
                <w:szCs w:val="24"/>
              </w:rPr>
              <w:t>一</w:t>
            </w:r>
            <w:proofErr w:type="gramEnd"/>
            <w:r w:rsidRPr="001B6E4D">
              <w:rPr>
                <w:rFonts w:hAnsi="標楷體"/>
                <w:sz w:val="24"/>
                <w:szCs w:val="24"/>
              </w:rPr>
              <w:t>條文草案</w:t>
            </w:r>
            <w:proofErr w:type="gramStart"/>
            <w:r w:rsidRPr="001B6E4D">
              <w:rPr>
                <w:rFonts w:hAnsi="標楷體"/>
                <w:sz w:val="24"/>
                <w:szCs w:val="24"/>
              </w:rPr>
              <w:t>（</w:t>
            </w:r>
            <w:proofErr w:type="gramEnd"/>
            <w:r w:rsidRPr="001B6E4D">
              <w:rPr>
                <w:rFonts w:hAnsi="標楷體"/>
                <w:sz w:val="24"/>
                <w:szCs w:val="24"/>
              </w:rPr>
              <w:t>增訂重點：行政院會同考試院定期檢討超額年金相關事項；並明定主管教育行政機關應提供私校必要輔導及協助。）</w:t>
            </w:r>
          </w:p>
        </w:tc>
        <w:tc>
          <w:tcPr>
            <w:tcW w:w="1227" w:type="pct"/>
          </w:tcPr>
          <w:p w14:paraId="29430FD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委員郭昱晴</w:t>
            </w:r>
          </w:p>
          <w:p w14:paraId="0CC26B9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19A64F3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115.01.09</w:t>
            </w:r>
          </w:p>
          <w:p w14:paraId="1CFC035F" w14:textId="1C396572"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（11-4-17）</w:t>
            </w:r>
          </w:p>
        </w:tc>
        <w:tc>
          <w:tcPr>
            <w:tcW w:w="868" w:type="pct"/>
          </w:tcPr>
          <w:p w14:paraId="0B1A0BB4" w14:textId="447A2FB1"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10" w:type="pct"/>
          </w:tcPr>
          <w:p w14:paraId="013FA577" w14:textId="574B1FE4" w:rsidR="00953A00" w:rsidRPr="001B6E4D" w:rsidRDefault="00953A00"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尚未審查</w:t>
            </w:r>
          </w:p>
        </w:tc>
      </w:tr>
      <w:tr w:rsidR="00953A00" w:rsidRPr="001B6E4D" w14:paraId="75CEE410" w14:textId="77777777" w:rsidTr="00787DE8">
        <w:tc>
          <w:tcPr>
            <w:tcW w:w="361" w:type="pct"/>
          </w:tcPr>
          <w:p w14:paraId="282B67A9" w14:textId="1D103A8B"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34</w:t>
            </w:r>
          </w:p>
        </w:tc>
        <w:tc>
          <w:tcPr>
            <w:tcW w:w="1734" w:type="pct"/>
          </w:tcPr>
          <w:p w14:paraId="24349371" w14:textId="12A29C5F" w:rsidR="00953A00" w:rsidRPr="001B6E4D" w:rsidRDefault="00953A00" w:rsidP="003D1018">
            <w:pPr>
              <w:pStyle w:val="01"/>
              <w:overflowPunct w:val="0"/>
              <w:rPr>
                <w:rFonts w:hAnsi="標楷體"/>
                <w:sz w:val="24"/>
                <w:szCs w:val="24"/>
              </w:rPr>
            </w:pPr>
            <w:r w:rsidRPr="001B6E4D">
              <w:rPr>
                <w:rFonts w:hAnsi="標楷體"/>
                <w:sz w:val="24"/>
                <w:szCs w:val="24"/>
              </w:rPr>
              <w:t>公務人員任用法第二十八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修正重點：明定兼具外國國籍或境外政治實體之公民身分者，不得擔任我國公職。）</w:t>
            </w:r>
          </w:p>
        </w:tc>
        <w:tc>
          <w:tcPr>
            <w:tcW w:w="1227" w:type="pct"/>
          </w:tcPr>
          <w:p w14:paraId="0355B2F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委員沈伯洋</w:t>
            </w:r>
          </w:p>
          <w:p w14:paraId="09C082E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等19人</w:t>
            </w:r>
          </w:p>
          <w:p w14:paraId="3969CBF4"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114.04.25</w:t>
            </w:r>
          </w:p>
          <w:p w14:paraId="10090FC0" w14:textId="2AC21DCB"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（11-3-9）</w:t>
            </w:r>
          </w:p>
        </w:tc>
        <w:tc>
          <w:tcPr>
            <w:tcW w:w="868" w:type="pct"/>
          </w:tcPr>
          <w:p w14:paraId="46ADE6FB" w14:textId="73FDB98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188307CC" w14:textId="67C36681"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66C47E26" w14:textId="77777777" w:rsidTr="00787DE8">
        <w:tc>
          <w:tcPr>
            <w:tcW w:w="361" w:type="pct"/>
          </w:tcPr>
          <w:p w14:paraId="65B3DD39" w14:textId="1B2852C5"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35</w:t>
            </w:r>
          </w:p>
        </w:tc>
        <w:tc>
          <w:tcPr>
            <w:tcW w:w="1734" w:type="pct"/>
          </w:tcPr>
          <w:p w14:paraId="403AC3BA" w14:textId="74FC16AC" w:rsidR="00953A00" w:rsidRPr="001B6E4D" w:rsidRDefault="00953A00" w:rsidP="003D1018">
            <w:pPr>
              <w:pStyle w:val="01"/>
              <w:overflowPunct w:val="0"/>
              <w:rPr>
                <w:rFonts w:hAnsi="標楷體"/>
                <w:sz w:val="24"/>
                <w:szCs w:val="24"/>
              </w:rPr>
            </w:pPr>
            <w:r w:rsidRPr="001B6E4D">
              <w:rPr>
                <w:rFonts w:hAnsi="標楷體"/>
                <w:sz w:val="24"/>
                <w:szCs w:val="24"/>
              </w:rPr>
              <w:t>1.公務人員任用法部分條文修正草案</w:t>
            </w:r>
            <w:proofErr w:type="gramStart"/>
            <w:r w:rsidRPr="001B6E4D">
              <w:rPr>
                <w:rFonts w:hAnsi="標楷體"/>
                <w:sz w:val="24"/>
                <w:szCs w:val="24"/>
              </w:rPr>
              <w:t>（</w:t>
            </w:r>
            <w:proofErr w:type="gramEnd"/>
            <w:r w:rsidRPr="001B6E4D">
              <w:rPr>
                <w:rFonts w:hAnsi="標楷體"/>
                <w:sz w:val="24"/>
                <w:szCs w:val="24"/>
              </w:rPr>
              <w:t>修正§10、17、22、40。修正重點：重行檢視機關得自行</w:t>
            </w:r>
            <w:proofErr w:type="gramStart"/>
            <w:r w:rsidRPr="001B6E4D">
              <w:rPr>
                <w:rFonts w:hAnsi="標楷體"/>
                <w:sz w:val="24"/>
                <w:szCs w:val="24"/>
              </w:rPr>
              <w:t>遴</w:t>
            </w:r>
            <w:proofErr w:type="gramEnd"/>
            <w:r w:rsidRPr="001B6E4D">
              <w:rPr>
                <w:rFonts w:hAnsi="標楷體"/>
                <w:sz w:val="24"/>
                <w:szCs w:val="24"/>
              </w:rPr>
              <w:t>用具任用資格合格人員規定及公務人員晉升官等機制；修正公務人員於限制轉調期間得調任其受轉調機關限制範圍以外其他機關之適用事由。）</w:t>
            </w:r>
          </w:p>
        </w:tc>
        <w:tc>
          <w:tcPr>
            <w:tcW w:w="1227" w:type="pct"/>
          </w:tcPr>
          <w:p w14:paraId="05FEACCA"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考試院</w:t>
            </w:r>
          </w:p>
          <w:p w14:paraId="16376ED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115.06.26</w:t>
            </w:r>
          </w:p>
          <w:p w14:paraId="29738DA4" w14:textId="67A4F7F0"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（11-5-15）</w:t>
            </w:r>
          </w:p>
        </w:tc>
        <w:tc>
          <w:tcPr>
            <w:tcW w:w="868" w:type="pct"/>
          </w:tcPr>
          <w:p w14:paraId="510D829A" w14:textId="3EC8A25B"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320953A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1.本會</w:t>
            </w:r>
          </w:p>
          <w:p w14:paraId="2ADBECCA"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115.7.15</w:t>
            </w:r>
          </w:p>
          <w:p w14:paraId="5217CC29"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(11-5-25)報告及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7600255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2.本會</w:t>
            </w:r>
          </w:p>
          <w:p w14:paraId="0E58265D" w14:textId="7EA69D9A"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115.8.3舉行「軍公教待遇調整法制化與人事制度變革」</w:t>
            </w:r>
            <w:r w:rsidRPr="001B6E4D">
              <w:rPr>
                <w:rFonts w:ascii="標楷體" w:eastAsia="標楷體" w:hAnsi="標楷體"/>
                <w:sz w:val="24"/>
              </w:rPr>
              <w:lastRenderedPageBreak/>
              <w:t>公聽會。</w:t>
            </w:r>
          </w:p>
        </w:tc>
      </w:tr>
      <w:tr w:rsidR="00953A00" w:rsidRPr="001B6E4D" w14:paraId="1A9FD511" w14:textId="77777777" w:rsidTr="00787DE8">
        <w:tc>
          <w:tcPr>
            <w:tcW w:w="361" w:type="pct"/>
          </w:tcPr>
          <w:p w14:paraId="33852547" w14:textId="00BDA1B4"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lastRenderedPageBreak/>
              <w:t>36</w:t>
            </w:r>
          </w:p>
        </w:tc>
        <w:tc>
          <w:tcPr>
            <w:tcW w:w="1734" w:type="pct"/>
          </w:tcPr>
          <w:p w14:paraId="15F3EEDC" w14:textId="05F13688" w:rsidR="00953A00" w:rsidRPr="001B6E4D" w:rsidRDefault="00953A00" w:rsidP="003D1018">
            <w:pPr>
              <w:pStyle w:val="01"/>
              <w:overflowPunct w:val="0"/>
              <w:rPr>
                <w:rFonts w:hAnsi="標楷體"/>
                <w:sz w:val="24"/>
                <w:szCs w:val="24"/>
              </w:rPr>
            </w:pPr>
            <w:r w:rsidRPr="001B6E4D">
              <w:rPr>
                <w:rFonts w:hAnsi="標楷體"/>
                <w:sz w:val="24"/>
                <w:szCs w:val="24"/>
              </w:rPr>
              <w:t>2.公務人員任用法第二十二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修正重點：擴大限制轉調之例外適用範圍，將親自養育十二歲以下子女、孫子女及照護重大傷病親屬納入適用事由，並配合修正商調審查機制。）</w:t>
            </w:r>
          </w:p>
        </w:tc>
        <w:tc>
          <w:tcPr>
            <w:tcW w:w="1227" w:type="pct"/>
          </w:tcPr>
          <w:p w14:paraId="11C5C57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委員翁曉玲</w:t>
            </w:r>
          </w:p>
          <w:p w14:paraId="6B35453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75AC7D5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115.07.24</w:t>
            </w:r>
          </w:p>
          <w:p w14:paraId="4A1F2E23" w14:textId="755241E8"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（11-5-19）</w:t>
            </w:r>
          </w:p>
        </w:tc>
        <w:tc>
          <w:tcPr>
            <w:tcW w:w="868" w:type="pct"/>
          </w:tcPr>
          <w:p w14:paraId="2939C1BE" w14:textId="6FB75B7D"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683DAE2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本會</w:t>
            </w:r>
          </w:p>
          <w:p w14:paraId="27CA6560" w14:textId="214E6BEE"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115.8.3舉行「軍公教待遇調整法制化與人事制度變革」公聽會。</w:t>
            </w:r>
          </w:p>
        </w:tc>
      </w:tr>
      <w:tr w:rsidR="00953A00" w:rsidRPr="001B6E4D" w14:paraId="20BA5C3F" w14:textId="77777777" w:rsidTr="00787DE8">
        <w:tc>
          <w:tcPr>
            <w:tcW w:w="361" w:type="pct"/>
          </w:tcPr>
          <w:p w14:paraId="7BD850A8" w14:textId="28719B74"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37</w:t>
            </w:r>
          </w:p>
        </w:tc>
        <w:tc>
          <w:tcPr>
            <w:tcW w:w="1734" w:type="pct"/>
          </w:tcPr>
          <w:p w14:paraId="349B3AE9" w14:textId="29657E52" w:rsidR="00953A00" w:rsidRPr="001B6E4D" w:rsidRDefault="00953A00" w:rsidP="003D1018">
            <w:pPr>
              <w:pStyle w:val="01"/>
              <w:overflowPunct w:val="0"/>
              <w:rPr>
                <w:rFonts w:hAnsi="標楷體"/>
                <w:sz w:val="24"/>
                <w:szCs w:val="24"/>
              </w:rPr>
            </w:pPr>
            <w:r w:rsidRPr="001B6E4D">
              <w:rPr>
                <w:rFonts w:hAnsi="標楷體"/>
                <w:sz w:val="24"/>
                <w:szCs w:val="24"/>
              </w:rPr>
              <w:t>3.公務人員任用法部分條文修正草案</w:t>
            </w:r>
            <w:proofErr w:type="gramStart"/>
            <w:r w:rsidRPr="001B6E4D">
              <w:rPr>
                <w:rFonts w:hAnsi="標楷體"/>
                <w:sz w:val="24"/>
                <w:szCs w:val="24"/>
              </w:rPr>
              <w:t>（</w:t>
            </w:r>
            <w:proofErr w:type="gramEnd"/>
            <w:r w:rsidRPr="001B6E4D">
              <w:rPr>
                <w:rFonts w:hAnsi="標楷體"/>
                <w:sz w:val="24"/>
                <w:szCs w:val="24"/>
              </w:rPr>
              <w:t>修正§10、17、22、40。修正重點：放寬各機關自行</w:t>
            </w:r>
            <w:proofErr w:type="gramStart"/>
            <w:r w:rsidRPr="001B6E4D">
              <w:rPr>
                <w:rFonts w:hAnsi="標楷體"/>
                <w:sz w:val="24"/>
                <w:szCs w:val="24"/>
              </w:rPr>
              <w:t>遴</w:t>
            </w:r>
            <w:proofErr w:type="gramEnd"/>
            <w:r w:rsidRPr="001B6E4D">
              <w:rPr>
                <w:rFonts w:hAnsi="標楷體"/>
                <w:sz w:val="24"/>
                <w:szCs w:val="24"/>
              </w:rPr>
              <w:t>用具任用資格之非現職人員的條件；刪除升任簡任官等須經晉升簡任官等訓練之規定；放寬公務人員於限制轉調期間得轉調之機關範圍及適用事由。）</w:t>
            </w:r>
          </w:p>
        </w:tc>
        <w:tc>
          <w:tcPr>
            <w:tcW w:w="1227" w:type="pct"/>
          </w:tcPr>
          <w:p w14:paraId="35ABC6B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委員張雅琳</w:t>
            </w:r>
          </w:p>
          <w:p w14:paraId="19F3136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等20人</w:t>
            </w:r>
          </w:p>
          <w:p w14:paraId="1D3D183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115.07.24</w:t>
            </w:r>
          </w:p>
          <w:p w14:paraId="422FDC7A" w14:textId="4BD79541"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（11-5-19）</w:t>
            </w:r>
          </w:p>
        </w:tc>
        <w:tc>
          <w:tcPr>
            <w:tcW w:w="868" w:type="pct"/>
          </w:tcPr>
          <w:p w14:paraId="412A1A5F" w14:textId="2885C830"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2F5DB0A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本會</w:t>
            </w:r>
          </w:p>
          <w:p w14:paraId="0742977D" w14:textId="384EE0FE"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115.8.3舉行「軍公教待遇調整法制化與人事制度變革」公聽會。</w:t>
            </w:r>
          </w:p>
        </w:tc>
      </w:tr>
      <w:tr w:rsidR="00953A00" w:rsidRPr="001B6E4D" w14:paraId="16FFA439" w14:textId="77777777" w:rsidTr="00787DE8">
        <w:tc>
          <w:tcPr>
            <w:tcW w:w="361" w:type="pct"/>
          </w:tcPr>
          <w:p w14:paraId="664E26EC" w14:textId="684BE2E4"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38</w:t>
            </w:r>
          </w:p>
        </w:tc>
        <w:tc>
          <w:tcPr>
            <w:tcW w:w="1734" w:type="pct"/>
          </w:tcPr>
          <w:p w14:paraId="5F381827" w14:textId="424C29E8" w:rsidR="00953A00" w:rsidRPr="001B6E4D" w:rsidRDefault="00953A00" w:rsidP="003D1018">
            <w:pPr>
              <w:pStyle w:val="01"/>
              <w:overflowPunct w:val="0"/>
              <w:rPr>
                <w:rFonts w:hAnsi="標楷體"/>
                <w:sz w:val="24"/>
                <w:szCs w:val="24"/>
              </w:rPr>
            </w:pPr>
            <w:r w:rsidRPr="001B6E4D">
              <w:rPr>
                <w:rFonts w:hAnsi="標楷體"/>
                <w:sz w:val="24"/>
                <w:szCs w:val="24"/>
              </w:rPr>
              <w:t>1.公務人員協會法部分條文修正草案</w:t>
            </w:r>
            <w:proofErr w:type="gramStart"/>
            <w:r w:rsidRPr="001B6E4D">
              <w:rPr>
                <w:rFonts w:hAnsi="標楷體"/>
                <w:sz w:val="24"/>
                <w:szCs w:val="24"/>
              </w:rPr>
              <w:t>（</w:t>
            </w:r>
            <w:proofErr w:type="gramEnd"/>
            <w:r w:rsidRPr="001B6E4D">
              <w:rPr>
                <w:rFonts w:hAnsi="標楷體"/>
                <w:sz w:val="24"/>
                <w:szCs w:val="24"/>
              </w:rPr>
              <w:t>修正§4~11、13、23、26、28、38~40、49、50。修正重點：就公務人員協會增加組織模式、調降成立門檻、放寬協商事項、擴大參與範圍、強化會務自主、完善協商處理、精進爭議裁決，及增訂保護參與公務人員協會事務人員</w:t>
            </w:r>
            <w:proofErr w:type="gramStart"/>
            <w:r w:rsidRPr="001B6E4D">
              <w:rPr>
                <w:rFonts w:hAnsi="標楷體"/>
                <w:sz w:val="24"/>
                <w:szCs w:val="24"/>
              </w:rPr>
              <w:t>之課責機制</w:t>
            </w:r>
            <w:proofErr w:type="gramEnd"/>
            <w:r w:rsidRPr="001B6E4D">
              <w:rPr>
                <w:rFonts w:hAnsi="標楷體"/>
                <w:sz w:val="24"/>
                <w:szCs w:val="24"/>
              </w:rPr>
              <w:t>等。）</w:t>
            </w:r>
          </w:p>
        </w:tc>
        <w:tc>
          <w:tcPr>
            <w:tcW w:w="1227" w:type="pct"/>
          </w:tcPr>
          <w:p w14:paraId="7EF08464"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考試院、行政院</w:t>
            </w:r>
          </w:p>
          <w:p w14:paraId="6C13EBB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113.09.20</w:t>
            </w:r>
          </w:p>
          <w:p w14:paraId="06038A01" w14:textId="53476B6E"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（11-2-1）</w:t>
            </w:r>
          </w:p>
        </w:tc>
        <w:tc>
          <w:tcPr>
            <w:tcW w:w="868" w:type="pct"/>
          </w:tcPr>
          <w:p w14:paraId="50D2092D" w14:textId="75F13698"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24B6E1C2" w14:textId="41C86B0A"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337047C0" w14:textId="77777777" w:rsidTr="00787DE8">
        <w:tc>
          <w:tcPr>
            <w:tcW w:w="361" w:type="pct"/>
          </w:tcPr>
          <w:p w14:paraId="4BC98144" w14:textId="757D5F1F"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39</w:t>
            </w:r>
          </w:p>
        </w:tc>
        <w:tc>
          <w:tcPr>
            <w:tcW w:w="1734" w:type="pct"/>
          </w:tcPr>
          <w:p w14:paraId="0C70DCAE" w14:textId="65B72850" w:rsidR="00953A00" w:rsidRPr="001B6E4D" w:rsidRDefault="00953A00" w:rsidP="003D1018">
            <w:pPr>
              <w:pStyle w:val="01"/>
              <w:overflowPunct w:val="0"/>
              <w:rPr>
                <w:rFonts w:hAnsi="標楷體"/>
                <w:sz w:val="24"/>
                <w:szCs w:val="24"/>
              </w:rPr>
            </w:pPr>
            <w:r w:rsidRPr="001B6E4D">
              <w:rPr>
                <w:rFonts w:hAnsi="標楷體"/>
                <w:sz w:val="24"/>
                <w:szCs w:val="24"/>
              </w:rPr>
              <w:t>2.公務人員協會法第七</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修正重點：強化公務人員協會協商功能。）</w:t>
            </w:r>
          </w:p>
        </w:tc>
        <w:tc>
          <w:tcPr>
            <w:tcW w:w="1227" w:type="pct"/>
          </w:tcPr>
          <w:p w14:paraId="3E926F3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委員莊瑞雄</w:t>
            </w:r>
          </w:p>
          <w:p w14:paraId="12C2396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等16人</w:t>
            </w:r>
          </w:p>
          <w:p w14:paraId="4020C769"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114.04.25</w:t>
            </w:r>
          </w:p>
          <w:p w14:paraId="60CEC3EB" w14:textId="448EDA51"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（11-3-9）</w:t>
            </w:r>
          </w:p>
        </w:tc>
        <w:tc>
          <w:tcPr>
            <w:tcW w:w="868" w:type="pct"/>
          </w:tcPr>
          <w:p w14:paraId="773EFDDD" w14:textId="375A20BB"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469DEBEA" w14:textId="17A66E78"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4DC87CAE" w14:textId="77777777" w:rsidTr="00787DE8">
        <w:tc>
          <w:tcPr>
            <w:tcW w:w="361" w:type="pct"/>
          </w:tcPr>
          <w:p w14:paraId="5D0AFEE7" w14:textId="1F63F109"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40</w:t>
            </w:r>
          </w:p>
        </w:tc>
        <w:tc>
          <w:tcPr>
            <w:tcW w:w="1734" w:type="pct"/>
          </w:tcPr>
          <w:p w14:paraId="09E1B96A" w14:textId="5822A73B" w:rsidR="00953A00" w:rsidRPr="001B6E4D" w:rsidRDefault="00953A00" w:rsidP="003D1018">
            <w:pPr>
              <w:pStyle w:val="01"/>
              <w:overflowPunct w:val="0"/>
              <w:rPr>
                <w:rFonts w:hAnsi="標楷體"/>
                <w:sz w:val="24"/>
                <w:szCs w:val="24"/>
              </w:rPr>
            </w:pPr>
            <w:r w:rsidRPr="001B6E4D">
              <w:rPr>
                <w:rFonts w:hAnsi="標楷體"/>
                <w:sz w:val="24"/>
                <w:szCs w:val="24"/>
              </w:rPr>
              <w:t>1.公務人員保障法部分條文修正草案</w:t>
            </w:r>
            <w:proofErr w:type="gramStart"/>
            <w:r w:rsidRPr="001B6E4D">
              <w:rPr>
                <w:rFonts w:hAnsi="標楷體"/>
                <w:sz w:val="24"/>
                <w:szCs w:val="24"/>
              </w:rPr>
              <w:t>（</w:t>
            </w:r>
            <w:proofErr w:type="gramEnd"/>
            <w:r w:rsidRPr="001B6E4D">
              <w:rPr>
                <w:rFonts w:hAnsi="標楷體"/>
                <w:sz w:val="24"/>
                <w:szCs w:val="24"/>
              </w:rPr>
              <w:t>修正§19、21、102、104；增訂§19-1~2。修正重點：增訂反</w:t>
            </w:r>
            <w:proofErr w:type="gramStart"/>
            <w:r w:rsidRPr="001B6E4D">
              <w:rPr>
                <w:rFonts w:hAnsi="標楷體"/>
                <w:sz w:val="24"/>
                <w:szCs w:val="24"/>
              </w:rPr>
              <w:t>霸凌、</w:t>
            </w:r>
            <w:proofErr w:type="gramEnd"/>
            <w:r w:rsidRPr="001B6E4D">
              <w:rPr>
                <w:rFonts w:hAnsi="標楷體"/>
                <w:sz w:val="24"/>
                <w:szCs w:val="24"/>
              </w:rPr>
              <w:t>強化職場安全衛生措施。）</w:t>
            </w:r>
          </w:p>
        </w:tc>
        <w:tc>
          <w:tcPr>
            <w:tcW w:w="1227" w:type="pct"/>
          </w:tcPr>
          <w:p w14:paraId="44766EC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委員吳沛憶</w:t>
            </w:r>
          </w:p>
          <w:p w14:paraId="0E84BB29"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等19人</w:t>
            </w:r>
          </w:p>
          <w:p w14:paraId="150CD8D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114.06.03</w:t>
            </w:r>
          </w:p>
          <w:p w14:paraId="3392D4A6" w14:textId="28E71B0D"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（11-3-14）</w:t>
            </w:r>
          </w:p>
        </w:tc>
        <w:tc>
          <w:tcPr>
            <w:tcW w:w="868" w:type="pct"/>
          </w:tcPr>
          <w:p w14:paraId="22F4C68A" w14:textId="450599FD"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237154A1" w14:textId="02F157B4"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19309F99" w14:textId="77777777" w:rsidTr="00787DE8">
        <w:tc>
          <w:tcPr>
            <w:tcW w:w="361" w:type="pct"/>
          </w:tcPr>
          <w:p w14:paraId="62A25F15" w14:textId="79677357"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lastRenderedPageBreak/>
              <w:t>41</w:t>
            </w:r>
          </w:p>
        </w:tc>
        <w:tc>
          <w:tcPr>
            <w:tcW w:w="1734" w:type="pct"/>
          </w:tcPr>
          <w:p w14:paraId="0A268685" w14:textId="10C0CABE" w:rsidR="00953A00" w:rsidRPr="001B6E4D" w:rsidRDefault="00953A00" w:rsidP="003D1018">
            <w:pPr>
              <w:pStyle w:val="01"/>
              <w:overflowPunct w:val="0"/>
              <w:rPr>
                <w:rFonts w:hAnsi="標楷體"/>
                <w:sz w:val="24"/>
                <w:szCs w:val="24"/>
              </w:rPr>
            </w:pPr>
            <w:r w:rsidRPr="001B6E4D">
              <w:rPr>
                <w:rFonts w:hAnsi="標楷體"/>
                <w:sz w:val="24"/>
                <w:szCs w:val="24"/>
              </w:rPr>
              <w:t>2.公務人員保障法部分條文修正草案</w:t>
            </w:r>
            <w:proofErr w:type="gramStart"/>
            <w:r w:rsidRPr="001B6E4D">
              <w:rPr>
                <w:rFonts w:hAnsi="標楷體"/>
                <w:sz w:val="24"/>
                <w:szCs w:val="24"/>
              </w:rPr>
              <w:t>（</w:t>
            </w:r>
            <w:proofErr w:type="gramEnd"/>
            <w:r w:rsidRPr="001B6E4D">
              <w:rPr>
                <w:rFonts w:hAnsi="標楷體"/>
                <w:sz w:val="24"/>
                <w:szCs w:val="24"/>
              </w:rPr>
              <w:t>修正§19、21、102、104；增訂§19-1~2。修正重點：增訂反</w:t>
            </w:r>
            <w:proofErr w:type="gramStart"/>
            <w:r w:rsidRPr="001B6E4D">
              <w:rPr>
                <w:rFonts w:hAnsi="標楷體"/>
                <w:sz w:val="24"/>
                <w:szCs w:val="24"/>
              </w:rPr>
              <w:t>霸凌、</w:t>
            </w:r>
            <w:proofErr w:type="gramEnd"/>
            <w:r w:rsidRPr="001B6E4D">
              <w:rPr>
                <w:rFonts w:hAnsi="標楷體"/>
                <w:sz w:val="24"/>
                <w:szCs w:val="24"/>
              </w:rPr>
              <w:t>強化職場安全衛生措施。）</w:t>
            </w:r>
          </w:p>
        </w:tc>
        <w:tc>
          <w:tcPr>
            <w:tcW w:w="1227" w:type="pct"/>
          </w:tcPr>
          <w:p w14:paraId="4F2E917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委員沈發惠</w:t>
            </w:r>
          </w:p>
          <w:p w14:paraId="4890910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6D177AF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114.06.13</w:t>
            </w:r>
          </w:p>
          <w:p w14:paraId="03034049" w14:textId="38D68C36"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（11-3-16）</w:t>
            </w:r>
          </w:p>
        </w:tc>
        <w:tc>
          <w:tcPr>
            <w:tcW w:w="868" w:type="pct"/>
          </w:tcPr>
          <w:p w14:paraId="2EC5EB31" w14:textId="19CDCBF6"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79DC72E4" w14:textId="071655C4"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61C0916A" w14:textId="77777777" w:rsidTr="00787DE8">
        <w:tc>
          <w:tcPr>
            <w:tcW w:w="361" w:type="pct"/>
          </w:tcPr>
          <w:p w14:paraId="147FA08B" w14:textId="3397721D"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42</w:t>
            </w:r>
          </w:p>
        </w:tc>
        <w:tc>
          <w:tcPr>
            <w:tcW w:w="1734" w:type="pct"/>
          </w:tcPr>
          <w:p w14:paraId="7F3EBF0C" w14:textId="54019DDF" w:rsidR="00953A00" w:rsidRPr="001B6E4D" w:rsidRDefault="00953A00" w:rsidP="003D1018">
            <w:pPr>
              <w:pStyle w:val="01"/>
              <w:overflowPunct w:val="0"/>
              <w:rPr>
                <w:rFonts w:hAnsi="標楷體"/>
                <w:sz w:val="24"/>
                <w:szCs w:val="24"/>
              </w:rPr>
            </w:pPr>
            <w:r w:rsidRPr="001B6E4D">
              <w:rPr>
                <w:rFonts w:hAnsi="標楷體"/>
                <w:sz w:val="24"/>
                <w:szCs w:val="24"/>
              </w:rPr>
              <w:t>3.公務人員保障法部分條文修正草案</w:t>
            </w:r>
            <w:proofErr w:type="gramStart"/>
            <w:r w:rsidRPr="001B6E4D">
              <w:rPr>
                <w:rFonts w:hAnsi="標楷體"/>
                <w:sz w:val="24"/>
                <w:szCs w:val="24"/>
              </w:rPr>
              <w:t>（</w:t>
            </w:r>
            <w:proofErr w:type="gramEnd"/>
            <w:r w:rsidRPr="001B6E4D">
              <w:rPr>
                <w:rFonts w:hAnsi="標楷體"/>
                <w:sz w:val="24"/>
                <w:szCs w:val="24"/>
              </w:rPr>
              <w:t>修正§19、21、102、104；增訂§19-1~2。修正重點：增訂</w:t>
            </w:r>
            <w:proofErr w:type="gramStart"/>
            <w:r w:rsidRPr="001B6E4D">
              <w:rPr>
                <w:rFonts w:hAnsi="標楷體"/>
                <w:sz w:val="24"/>
                <w:szCs w:val="24"/>
              </w:rPr>
              <w:t>職場霸凌定義</w:t>
            </w:r>
            <w:proofErr w:type="gramEnd"/>
            <w:r w:rsidRPr="001B6E4D">
              <w:rPr>
                <w:rFonts w:hAnsi="標楷體"/>
                <w:sz w:val="24"/>
                <w:szCs w:val="24"/>
              </w:rPr>
              <w:t>、申訴期限及罰則；另增訂國賠條款及</w:t>
            </w:r>
            <w:proofErr w:type="gramStart"/>
            <w:r w:rsidRPr="001B6E4D">
              <w:rPr>
                <w:rFonts w:hAnsi="標楷體"/>
                <w:sz w:val="24"/>
                <w:szCs w:val="24"/>
              </w:rPr>
              <w:t>準</w:t>
            </w:r>
            <w:proofErr w:type="gramEnd"/>
            <w:r w:rsidRPr="001B6E4D">
              <w:rPr>
                <w:rFonts w:hAnsi="標楷體"/>
                <w:sz w:val="24"/>
                <w:szCs w:val="24"/>
              </w:rPr>
              <w:t>用本法之人員補足保障範圍。）</w:t>
            </w:r>
          </w:p>
        </w:tc>
        <w:tc>
          <w:tcPr>
            <w:tcW w:w="1227" w:type="pct"/>
          </w:tcPr>
          <w:p w14:paraId="5D125DF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委員張雅琳</w:t>
            </w:r>
          </w:p>
          <w:p w14:paraId="24AB7A1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61768D87"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114.06.27</w:t>
            </w:r>
          </w:p>
          <w:p w14:paraId="2534254C" w14:textId="1C206C75"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（11-3-18）</w:t>
            </w:r>
          </w:p>
        </w:tc>
        <w:tc>
          <w:tcPr>
            <w:tcW w:w="868" w:type="pct"/>
          </w:tcPr>
          <w:p w14:paraId="5C87AADA" w14:textId="22ED7403"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5BB249A8" w14:textId="0A8850B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7BD7D952" w14:textId="77777777" w:rsidTr="00787DE8">
        <w:tc>
          <w:tcPr>
            <w:tcW w:w="361" w:type="pct"/>
          </w:tcPr>
          <w:p w14:paraId="25B2AD13" w14:textId="22B91A0C"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43</w:t>
            </w:r>
          </w:p>
        </w:tc>
        <w:tc>
          <w:tcPr>
            <w:tcW w:w="1734" w:type="pct"/>
          </w:tcPr>
          <w:p w14:paraId="52A66DFE" w14:textId="3229108F" w:rsidR="00953A00" w:rsidRPr="001B6E4D" w:rsidRDefault="00953A00" w:rsidP="003D1018">
            <w:pPr>
              <w:pStyle w:val="01"/>
              <w:overflowPunct w:val="0"/>
              <w:rPr>
                <w:rFonts w:hAnsi="標楷體"/>
                <w:sz w:val="24"/>
                <w:szCs w:val="24"/>
              </w:rPr>
            </w:pPr>
            <w:r w:rsidRPr="001B6E4D">
              <w:rPr>
                <w:rFonts w:hAnsi="標楷體"/>
                <w:sz w:val="24"/>
                <w:szCs w:val="24"/>
              </w:rPr>
              <w:t>公務人員訓練進修法第十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修正重點：修改進修時間及專題研究延長期間。）</w:t>
            </w:r>
          </w:p>
        </w:tc>
        <w:tc>
          <w:tcPr>
            <w:tcW w:w="1227" w:type="pct"/>
          </w:tcPr>
          <w:p w14:paraId="6C6CFB6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委員萬美玲</w:t>
            </w:r>
          </w:p>
          <w:p w14:paraId="2BF5031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等16人</w:t>
            </w:r>
          </w:p>
          <w:p w14:paraId="718397F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113.11.22</w:t>
            </w:r>
          </w:p>
          <w:p w14:paraId="55D69D09" w14:textId="606AA591"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（11-2-10）</w:t>
            </w:r>
          </w:p>
        </w:tc>
        <w:tc>
          <w:tcPr>
            <w:tcW w:w="868" w:type="pct"/>
          </w:tcPr>
          <w:p w14:paraId="25535476" w14:textId="765E91CD"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08DC05D1" w14:textId="250C556B"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439B9F34" w14:textId="77777777" w:rsidTr="00787DE8">
        <w:tc>
          <w:tcPr>
            <w:tcW w:w="361" w:type="pct"/>
          </w:tcPr>
          <w:p w14:paraId="47BC2A70" w14:textId="443768C7"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44</w:t>
            </w:r>
          </w:p>
        </w:tc>
        <w:tc>
          <w:tcPr>
            <w:tcW w:w="1734" w:type="pct"/>
          </w:tcPr>
          <w:p w14:paraId="18B4D3BF" w14:textId="1CBB80CC" w:rsidR="00953A00" w:rsidRPr="001B6E4D" w:rsidRDefault="00953A00" w:rsidP="003D1018">
            <w:pPr>
              <w:pStyle w:val="01"/>
              <w:overflowPunct w:val="0"/>
              <w:rPr>
                <w:rFonts w:hAnsi="標楷體"/>
                <w:sz w:val="24"/>
                <w:szCs w:val="24"/>
              </w:rPr>
            </w:pPr>
            <w:r w:rsidRPr="001B6E4D">
              <w:rPr>
                <w:rFonts w:hAnsi="標楷體"/>
                <w:sz w:val="24"/>
                <w:szCs w:val="24"/>
              </w:rPr>
              <w:t>公務人員</w:t>
            </w:r>
            <w:proofErr w:type="gramStart"/>
            <w:r w:rsidRPr="001B6E4D">
              <w:rPr>
                <w:rFonts w:hAnsi="標楷體"/>
                <w:sz w:val="24"/>
                <w:szCs w:val="24"/>
              </w:rPr>
              <w:t>陞</w:t>
            </w:r>
            <w:proofErr w:type="gramEnd"/>
            <w:r w:rsidRPr="001B6E4D">
              <w:rPr>
                <w:rFonts w:hAnsi="標楷體"/>
                <w:sz w:val="24"/>
                <w:szCs w:val="24"/>
              </w:rPr>
              <w:t>遷法第八條及第十二</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修正重點：使公務人員因</w:t>
            </w:r>
            <w:proofErr w:type="gramStart"/>
            <w:r w:rsidRPr="001B6E4D">
              <w:rPr>
                <w:rFonts w:hAnsi="標楷體"/>
                <w:sz w:val="24"/>
                <w:szCs w:val="24"/>
              </w:rPr>
              <w:t>育孫留</w:t>
            </w:r>
            <w:proofErr w:type="gramEnd"/>
            <w:r w:rsidRPr="001B6E4D">
              <w:rPr>
                <w:rFonts w:hAnsi="標楷體"/>
                <w:sz w:val="24"/>
                <w:szCs w:val="24"/>
              </w:rPr>
              <w:t>職停薪期間自願調任較低職務者，於回</w:t>
            </w:r>
            <w:proofErr w:type="gramStart"/>
            <w:r w:rsidRPr="001B6E4D">
              <w:rPr>
                <w:rFonts w:hAnsi="標楷體"/>
                <w:sz w:val="24"/>
                <w:szCs w:val="24"/>
              </w:rPr>
              <w:t>職復薪</w:t>
            </w:r>
            <w:proofErr w:type="gramEnd"/>
            <w:r w:rsidRPr="001B6E4D">
              <w:rPr>
                <w:rFonts w:hAnsi="標楷體"/>
                <w:sz w:val="24"/>
                <w:szCs w:val="24"/>
              </w:rPr>
              <w:t>之日調任原職務或與原職務同一序列職務時，得免經</w:t>
            </w:r>
            <w:proofErr w:type="gramStart"/>
            <w:r w:rsidRPr="001B6E4D">
              <w:rPr>
                <w:rFonts w:hAnsi="標楷體"/>
                <w:sz w:val="24"/>
                <w:szCs w:val="24"/>
              </w:rPr>
              <w:t>甄</w:t>
            </w:r>
            <w:proofErr w:type="gramEnd"/>
            <w:r w:rsidRPr="001B6E4D">
              <w:rPr>
                <w:rFonts w:hAnsi="標楷體"/>
                <w:sz w:val="24"/>
                <w:szCs w:val="24"/>
              </w:rPr>
              <w:t>審程序。）</w:t>
            </w:r>
          </w:p>
        </w:tc>
        <w:tc>
          <w:tcPr>
            <w:tcW w:w="1227" w:type="pct"/>
          </w:tcPr>
          <w:p w14:paraId="6048D82A"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委員翁曉玲</w:t>
            </w:r>
          </w:p>
          <w:p w14:paraId="6599BD17"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55F8028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113.11.29</w:t>
            </w:r>
          </w:p>
          <w:p w14:paraId="6C2BFDAE" w14:textId="2685F9D1"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（11-2-11）</w:t>
            </w:r>
          </w:p>
        </w:tc>
        <w:tc>
          <w:tcPr>
            <w:tcW w:w="868" w:type="pct"/>
          </w:tcPr>
          <w:p w14:paraId="6EAFFE5C" w14:textId="7CCD9BAB"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70BDFCE4" w14:textId="76D9D9AB"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5738758C" w14:textId="77777777" w:rsidTr="00787DE8">
        <w:tc>
          <w:tcPr>
            <w:tcW w:w="361" w:type="pct"/>
          </w:tcPr>
          <w:p w14:paraId="78AE47E4" w14:textId="2C026EE0"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45</w:t>
            </w:r>
          </w:p>
        </w:tc>
        <w:tc>
          <w:tcPr>
            <w:tcW w:w="1734" w:type="pct"/>
          </w:tcPr>
          <w:p w14:paraId="5108F8A7" w14:textId="74645A3E" w:rsidR="00953A00" w:rsidRPr="001B6E4D" w:rsidRDefault="00953A00" w:rsidP="003D1018">
            <w:pPr>
              <w:pStyle w:val="01"/>
              <w:overflowPunct w:val="0"/>
              <w:rPr>
                <w:rFonts w:hAnsi="標楷體"/>
                <w:sz w:val="24"/>
                <w:szCs w:val="24"/>
              </w:rPr>
            </w:pPr>
            <w:r w:rsidRPr="001B6E4D">
              <w:rPr>
                <w:rFonts w:hAnsi="標楷體"/>
                <w:sz w:val="24"/>
                <w:szCs w:val="24"/>
              </w:rPr>
              <w:t>公務人員</w:t>
            </w:r>
            <w:proofErr w:type="gramStart"/>
            <w:r w:rsidRPr="001B6E4D">
              <w:rPr>
                <w:rFonts w:hAnsi="標楷體"/>
                <w:sz w:val="24"/>
                <w:szCs w:val="24"/>
              </w:rPr>
              <w:t>陞</w:t>
            </w:r>
            <w:proofErr w:type="gramEnd"/>
            <w:r w:rsidRPr="001B6E4D">
              <w:rPr>
                <w:rFonts w:hAnsi="標楷體"/>
                <w:sz w:val="24"/>
                <w:szCs w:val="24"/>
              </w:rPr>
              <w:t>遷法第十</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修正重點：明定凡屬免經</w:t>
            </w:r>
            <w:proofErr w:type="gramStart"/>
            <w:r w:rsidRPr="001B6E4D">
              <w:rPr>
                <w:rFonts w:hAnsi="標楷體"/>
                <w:sz w:val="24"/>
                <w:szCs w:val="24"/>
              </w:rPr>
              <w:t>甄</w:t>
            </w:r>
            <w:proofErr w:type="gramEnd"/>
            <w:r w:rsidRPr="001B6E4D">
              <w:rPr>
                <w:rFonts w:hAnsi="標楷體"/>
                <w:sz w:val="24"/>
                <w:szCs w:val="24"/>
              </w:rPr>
              <w:t>審（選）之主管職務，應納入領導能力評核機制。）</w:t>
            </w:r>
          </w:p>
        </w:tc>
        <w:tc>
          <w:tcPr>
            <w:tcW w:w="1227" w:type="pct"/>
          </w:tcPr>
          <w:p w14:paraId="48E6F8A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委員林倩綺</w:t>
            </w:r>
          </w:p>
          <w:p w14:paraId="5FDF044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09B4D6B1"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114.05.16</w:t>
            </w:r>
          </w:p>
          <w:p w14:paraId="6037FE33" w14:textId="799CFA2C"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（11-3-12）</w:t>
            </w:r>
          </w:p>
        </w:tc>
        <w:tc>
          <w:tcPr>
            <w:tcW w:w="868" w:type="pct"/>
          </w:tcPr>
          <w:p w14:paraId="5F1FDB11" w14:textId="16365AD4"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642414A2" w14:textId="3E473FC5"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214D7F09" w14:textId="77777777" w:rsidTr="00787DE8">
        <w:tc>
          <w:tcPr>
            <w:tcW w:w="361" w:type="pct"/>
          </w:tcPr>
          <w:p w14:paraId="19C7BA6B" w14:textId="350F52E3"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46</w:t>
            </w:r>
          </w:p>
        </w:tc>
        <w:tc>
          <w:tcPr>
            <w:tcW w:w="1734" w:type="pct"/>
          </w:tcPr>
          <w:p w14:paraId="1E4761FB" w14:textId="27EBA768" w:rsidR="00953A00" w:rsidRPr="001B6E4D" w:rsidRDefault="00953A00" w:rsidP="003D1018">
            <w:pPr>
              <w:pStyle w:val="01"/>
              <w:overflowPunct w:val="0"/>
              <w:rPr>
                <w:rFonts w:hAnsi="標楷體"/>
                <w:sz w:val="24"/>
                <w:szCs w:val="24"/>
              </w:rPr>
            </w:pPr>
            <w:r w:rsidRPr="001B6E4D">
              <w:rPr>
                <w:rFonts w:hAnsi="標楷體"/>
                <w:sz w:val="24"/>
                <w:szCs w:val="24"/>
              </w:rPr>
              <w:t>公務人員退休撫</w:t>
            </w:r>
            <w:proofErr w:type="gramStart"/>
            <w:r w:rsidRPr="001B6E4D">
              <w:rPr>
                <w:rFonts w:hAnsi="標楷體"/>
                <w:sz w:val="24"/>
                <w:szCs w:val="24"/>
              </w:rPr>
              <w:t>卹</w:t>
            </w:r>
            <w:proofErr w:type="gramEnd"/>
            <w:r w:rsidRPr="001B6E4D">
              <w:rPr>
                <w:rFonts w:hAnsi="標楷體"/>
                <w:sz w:val="24"/>
                <w:szCs w:val="24"/>
              </w:rPr>
              <w:t>基金管理條例增訂第五條之</w:t>
            </w:r>
            <w:proofErr w:type="gramStart"/>
            <w:r w:rsidRPr="001B6E4D">
              <w:rPr>
                <w:rFonts w:hAnsi="標楷體"/>
                <w:sz w:val="24"/>
                <w:szCs w:val="24"/>
              </w:rPr>
              <w:t>一</w:t>
            </w:r>
            <w:proofErr w:type="gramEnd"/>
            <w:r w:rsidRPr="001B6E4D">
              <w:rPr>
                <w:rFonts w:hAnsi="標楷體"/>
                <w:sz w:val="24"/>
                <w:szCs w:val="24"/>
              </w:rPr>
              <w:t>條文草案</w:t>
            </w:r>
            <w:proofErr w:type="gramStart"/>
            <w:r w:rsidRPr="001B6E4D">
              <w:rPr>
                <w:rFonts w:hAnsi="標楷體"/>
                <w:sz w:val="24"/>
                <w:szCs w:val="24"/>
              </w:rPr>
              <w:t>（</w:t>
            </w:r>
            <w:proofErr w:type="gramEnd"/>
            <w:r w:rsidRPr="001B6E4D">
              <w:rPr>
                <w:rFonts w:hAnsi="標楷體"/>
                <w:sz w:val="24"/>
                <w:szCs w:val="24"/>
              </w:rPr>
              <w:t>增訂重點：政府投資行為應秉持社會責任型投資為精神。基金投資之公司違反相關勞工、環境及人權法令時，應撤回投資。）</w:t>
            </w:r>
          </w:p>
        </w:tc>
        <w:tc>
          <w:tcPr>
            <w:tcW w:w="1227" w:type="pct"/>
          </w:tcPr>
          <w:p w14:paraId="16820B9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委員林楚</w:t>
            </w:r>
            <w:proofErr w:type="gramStart"/>
            <w:r w:rsidRPr="001B6E4D">
              <w:rPr>
                <w:rFonts w:ascii="標楷體" w:eastAsia="標楷體" w:hAnsi="標楷體"/>
                <w:sz w:val="24"/>
              </w:rPr>
              <w:t>茵</w:t>
            </w:r>
            <w:proofErr w:type="gramEnd"/>
          </w:p>
          <w:p w14:paraId="1602516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等16人</w:t>
            </w:r>
          </w:p>
          <w:p w14:paraId="71FAB2B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114.03.07</w:t>
            </w:r>
          </w:p>
          <w:p w14:paraId="33869C1F" w14:textId="39A5FFF3"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（11-3-4）</w:t>
            </w:r>
          </w:p>
        </w:tc>
        <w:tc>
          <w:tcPr>
            <w:tcW w:w="868" w:type="pct"/>
          </w:tcPr>
          <w:p w14:paraId="4E20251B" w14:textId="3058EA6A"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423C6077" w14:textId="5E25B5E1"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5E3F3C5C" w14:textId="77777777" w:rsidTr="00787DE8">
        <w:tc>
          <w:tcPr>
            <w:tcW w:w="361" w:type="pct"/>
          </w:tcPr>
          <w:p w14:paraId="043F1D7D" w14:textId="3AFB8F42"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47</w:t>
            </w:r>
          </w:p>
        </w:tc>
        <w:tc>
          <w:tcPr>
            <w:tcW w:w="1734" w:type="pct"/>
          </w:tcPr>
          <w:p w14:paraId="045AED66" w14:textId="5FB397CA" w:rsidR="00953A00" w:rsidRPr="001B6E4D" w:rsidRDefault="00953A00" w:rsidP="003D1018">
            <w:pPr>
              <w:pStyle w:val="01"/>
              <w:overflowPunct w:val="0"/>
              <w:rPr>
                <w:rFonts w:hAnsi="標楷體"/>
                <w:sz w:val="24"/>
                <w:szCs w:val="24"/>
              </w:rPr>
            </w:pPr>
            <w:r w:rsidRPr="001B6E4D">
              <w:rPr>
                <w:rFonts w:hAnsi="標楷體"/>
                <w:sz w:val="24"/>
                <w:szCs w:val="24"/>
              </w:rPr>
              <w:t>1.公務員服務法第十三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修正重點：推</w:t>
            </w:r>
            <w:r w:rsidRPr="001B6E4D">
              <w:rPr>
                <w:rFonts w:hAnsi="標楷體"/>
                <w:sz w:val="24"/>
                <w:szCs w:val="24"/>
              </w:rPr>
              <w:lastRenderedPageBreak/>
              <w:t>動心理</w:t>
            </w:r>
            <w:proofErr w:type="gramStart"/>
            <w:r w:rsidRPr="001B6E4D">
              <w:rPr>
                <w:rFonts w:hAnsi="標楷體"/>
                <w:sz w:val="24"/>
                <w:szCs w:val="24"/>
              </w:rPr>
              <w:t>健康假</w:t>
            </w:r>
            <w:proofErr w:type="gramEnd"/>
            <w:r w:rsidRPr="001B6E4D">
              <w:rPr>
                <w:rFonts w:hAnsi="標楷體"/>
                <w:sz w:val="24"/>
                <w:szCs w:val="24"/>
              </w:rPr>
              <w:t>。）</w:t>
            </w:r>
          </w:p>
        </w:tc>
        <w:tc>
          <w:tcPr>
            <w:tcW w:w="1227" w:type="pct"/>
          </w:tcPr>
          <w:p w14:paraId="07D2FEC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lastRenderedPageBreak/>
              <w:t>委員林倩綺</w:t>
            </w:r>
          </w:p>
          <w:p w14:paraId="4485867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等19人</w:t>
            </w:r>
          </w:p>
          <w:p w14:paraId="518553F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lastRenderedPageBreak/>
              <w:t>114.04.18</w:t>
            </w:r>
          </w:p>
          <w:p w14:paraId="2F52233E" w14:textId="02F2C316"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（11-3-8）</w:t>
            </w:r>
          </w:p>
        </w:tc>
        <w:tc>
          <w:tcPr>
            <w:tcW w:w="868" w:type="pct"/>
          </w:tcPr>
          <w:p w14:paraId="7D1EDC68" w14:textId="3632D7BE"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lastRenderedPageBreak/>
              <w:t>司法及法制</w:t>
            </w:r>
          </w:p>
        </w:tc>
        <w:tc>
          <w:tcPr>
            <w:tcW w:w="810" w:type="pct"/>
          </w:tcPr>
          <w:p w14:paraId="23FA8EA6" w14:textId="578B6911"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05C4CAE1" w14:textId="77777777" w:rsidTr="00787DE8">
        <w:tc>
          <w:tcPr>
            <w:tcW w:w="361" w:type="pct"/>
          </w:tcPr>
          <w:p w14:paraId="3EF78538" w14:textId="69A7D0F5"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48</w:t>
            </w:r>
          </w:p>
        </w:tc>
        <w:tc>
          <w:tcPr>
            <w:tcW w:w="1734" w:type="pct"/>
          </w:tcPr>
          <w:p w14:paraId="38BE97E0" w14:textId="6608422F" w:rsidR="00953A00" w:rsidRPr="001B6E4D" w:rsidRDefault="00953A00" w:rsidP="003D1018">
            <w:pPr>
              <w:pStyle w:val="01"/>
              <w:overflowPunct w:val="0"/>
              <w:rPr>
                <w:rFonts w:hAnsi="標楷體"/>
                <w:sz w:val="24"/>
                <w:szCs w:val="24"/>
              </w:rPr>
            </w:pPr>
            <w:r w:rsidRPr="001B6E4D">
              <w:rPr>
                <w:rFonts w:hAnsi="標楷體"/>
                <w:sz w:val="24"/>
                <w:szCs w:val="24"/>
              </w:rPr>
              <w:t>2.公務員服務法第十三</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修正重點：增列為照顧其12歲以下之子女</w:t>
            </w:r>
            <w:proofErr w:type="gramStart"/>
            <w:r w:rsidRPr="001B6E4D">
              <w:rPr>
                <w:rFonts w:hAnsi="標楷體"/>
                <w:sz w:val="24"/>
                <w:szCs w:val="24"/>
              </w:rPr>
              <w:t>得請育兒</w:t>
            </w:r>
            <w:proofErr w:type="gramEnd"/>
            <w:r w:rsidRPr="001B6E4D">
              <w:rPr>
                <w:rFonts w:hAnsi="標楷體"/>
                <w:sz w:val="24"/>
                <w:szCs w:val="24"/>
              </w:rPr>
              <w:t>照顧假。）</w:t>
            </w:r>
          </w:p>
        </w:tc>
        <w:tc>
          <w:tcPr>
            <w:tcW w:w="1227" w:type="pct"/>
          </w:tcPr>
          <w:p w14:paraId="65DFF697"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委員邱若華</w:t>
            </w:r>
          </w:p>
          <w:p w14:paraId="5C03DFD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等16人</w:t>
            </w:r>
          </w:p>
          <w:p w14:paraId="1BAE0A0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114.04.25</w:t>
            </w:r>
          </w:p>
          <w:p w14:paraId="02D540C0" w14:textId="7EC4663E"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（11-3-9）</w:t>
            </w:r>
          </w:p>
        </w:tc>
        <w:tc>
          <w:tcPr>
            <w:tcW w:w="868" w:type="pct"/>
          </w:tcPr>
          <w:p w14:paraId="4A21A718" w14:textId="4F934A5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0814170C" w14:textId="6097C225"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7B2C228B" w14:textId="77777777" w:rsidTr="00787DE8">
        <w:tc>
          <w:tcPr>
            <w:tcW w:w="361" w:type="pct"/>
          </w:tcPr>
          <w:p w14:paraId="2FBAE996" w14:textId="6736360A"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49</w:t>
            </w:r>
          </w:p>
        </w:tc>
        <w:tc>
          <w:tcPr>
            <w:tcW w:w="1734" w:type="pct"/>
          </w:tcPr>
          <w:p w14:paraId="309FE39A" w14:textId="25C40E1A" w:rsidR="00953A00" w:rsidRPr="001B6E4D" w:rsidRDefault="00953A00" w:rsidP="003D1018">
            <w:pPr>
              <w:pStyle w:val="01"/>
              <w:overflowPunct w:val="0"/>
              <w:rPr>
                <w:rFonts w:hAnsi="標楷體"/>
                <w:sz w:val="24"/>
                <w:szCs w:val="24"/>
              </w:rPr>
            </w:pPr>
            <w:r w:rsidRPr="001B6E4D">
              <w:rPr>
                <w:rFonts w:hAnsi="標楷體"/>
                <w:sz w:val="24"/>
                <w:szCs w:val="24"/>
              </w:rPr>
              <w:t>1.政務人員行為基準法草案</w:t>
            </w:r>
            <w:proofErr w:type="gramStart"/>
            <w:r w:rsidRPr="001B6E4D">
              <w:rPr>
                <w:rFonts w:hAnsi="標楷體"/>
                <w:sz w:val="24"/>
                <w:szCs w:val="24"/>
              </w:rPr>
              <w:t>（</w:t>
            </w:r>
            <w:proofErr w:type="gramEnd"/>
            <w:r w:rsidRPr="001B6E4D">
              <w:rPr>
                <w:rFonts w:hAnsi="標楷體"/>
                <w:sz w:val="24"/>
                <w:szCs w:val="24"/>
              </w:rPr>
              <w:t>共13條。制定重點：為確保政務人員依法行政、執行公正，並保障人民對政府施政之信賴，特制定本法。）</w:t>
            </w:r>
          </w:p>
        </w:tc>
        <w:tc>
          <w:tcPr>
            <w:tcW w:w="1227" w:type="pct"/>
          </w:tcPr>
          <w:p w14:paraId="6D5DC79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委員吳宗憲</w:t>
            </w:r>
          </w:p>
          <w:p w14:paraId="41BE1AD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3519364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114.06.20</w:t>
            </w:r>
          </w:p>
          <w:p w14:paraId="00EB690F" w14:textId="2343F8CB"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（11-3-17）</w:t>
            </w:r>
          </w:p>
        </w:tc>
        <w:tc>
          <w:tcPr>
            <w:tcW w:w="868" w:type="pct"/>
          </w:tcPr>
          <w:p w14:paraId="622A1D51" w14:textId="01AC43AA"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48AC81E9"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1.本會</w:t>
            </w:r>
          </w:p>
          <w:p w14:paraId="1D00A77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114.8.28</w:t>
            </w:r>
          </w:p>
          <w:p w14:paraId="3D25F06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(11-3-25)報告及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738372C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2.本會</w:t>
            </w:r>
          </w:p>
          <w:p w14:paraId="04B3A777" w14:textId="14D74FAE"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115.1.28舉行「政務人員權利義務法制化」公聽會。</w:t>
            </w:r>
          </w:p>
        </w:tc>
      </w:tr>
      <w:tr w:rsidR="00953A00" w:rsidRPr="001B6E4D" w14:paraId="2F680768" w14:textId="77777777" w:rsidTr="00787DE8">
        <w:tc>
          <w:tcPr>
            <w:tcW w:w="361" w:type="pct"/>
          </w:tcPr>
          <w:p w14:paraId="0369D4DC" w14:textId="44F0F9CC"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50</w:t>
            </w:r>
          </w:p>
        </w:tc>
        <w:tc>
          <w:tcPr>
            <w:tcW w:w="1734" w:type="pct"/>
          </w:tcPr>
          <w:p w14:paraId="0E17BB64" w14:textId="6BABD8DB" w:rsidR="00953A00" w:rsidRPr="001B6E4D" w:rsidRDefault="00953A00" w:rsidP="003D1018">
            <w:pPr>
              <w:pStyle w:val="01"/>
              <w:overflowPunct w:val="0"/>
              <w:rPr>
                <w:rFonts w:hAnsi="標楷體"/>
                <w:sz w:val="24"/>
                <w:szCs w:val="24"/>
              </w:rPr>
            </w:pPr>
            <w:r w:rsidRPr="001B6E4D">
              <w:rPr>
                <w:rFonts w:hAnsi="標楷體"/>
                <w:sz w:val="24"/>
                <w:szCs w:val="24"/>
              </w:rPr>
              <w:t>2.政務人員法草案</w:t>
            </w:r>
            <w:proofErr w:type="gramStart"/>
            <w:r w:rsidRPr="001B6E4D">
              <w:rPr>
                <w:rFonts w:hAnsi="標楷體"/>
                <w:sz w:val="24"/>
                <w:szCs w:val="24"/>
              </w:rPr>
              <w:t>（</w:t>
            </w:r>
            <w:proofErr w:type="gramEnd"/>
            <w:r w:rsidRPr="001B6E4D">
              <w:rPr>
                <w:rFonts w:hAnsi="標楷體"/>
                <w:sz w:val="24"/>
                <w:szCs w:val="24"/>
              </w:rPr>
              <w:t>共24條。制定重點：為確保政務人員依法行政，政務人員之任免、行為規範及權利義務等事項，依本法之規定；本法未規定者或其他法律另有嚴格規定者，適用其他有關法令之規定。）</w:t>
            </w:r>
          </w:p>
        </w:tc>
        <w:tc>
          <w:tcPr>
            <w:tcW w:w="1227" w:type="pct"/>
          </w:tcPr>
          <w:p w14:paraId="3AAB29EB"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委員翁曉玲</w:t>
            </w:r>
          </w:p>
          <w:p w14:paraId="5373E6A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等18人</w:t>
            </w:r>
          </w:p>
          <w:p w14:paraId="20636231"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114.12.12</w:t>
            </w:r>
          </w:p>
          <w:p w14:paraId="3F7CB007" w14:textId="1FBAB204"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（11-4-13）</w:t>
            </w:r>
          </w:p>
        </w:tc>
        <w:tc>
          <w:tcPr>
            <w:tcW w:w="868" w:type="pct"/>
          </w:tcPr>
          <w:p w14:paraId="2D79DCCA" w14:textId="584C107A"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79210E0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1.本會</w:t>
            </w:r>
          </w:p>
          <w:p w14:paraId="0424307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114.12.31</w:t>
            </w:r>
          </w:p>
          <w:p w14:paraId="7B63D38A"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(11-4-16)報告及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3FB7499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2.本會</w:t>
            </w:r>
          </w:p>
          <w:p w14:paraId="37180441" w14:textId="758E4A5D"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115.1.28舉行「政務人員權利義務法制化」公聽會。</w:t>
            </w:r>
          </w:p>
        </w:tc>
      </w:tr>
      <w:tr w:rsidR="00953A00" w:rsidRPr="001B6E4D" w14:paraId="64EE2168" w14:textId="77777777" w:rsidTr="00787DE8">
        <w:tc>
          <w:tcPr>
            <w:tcW w:w="361" w:type="pct"/>
          </w:tcPr>
          <w:p w14:paraId="166A29C9" w14:textId="1E8480EE"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51</w:t>
            </w:r>
          </w:p>
        </w:tc>
        <w:tc>
          <w:tcPr>
            <w:tcW w:w="1734" w:type="pct"/>
          </w:tcPr>
          <w:p w14:paraId="01D1C849" w14:textId="5C52DE63" w:rsidR="00953A00" w:rsidRPr="001B6E4D" w:rsidRDefault="00953A00" w:rsidP="003D1018">
            <w:pPr>
              <w:pStyle w:val="01"/>
              <w:overflowPunct w:val="0"/>
              <w:rPr>
                <w:rFonts w:hAnsi="標楷體"/>
                <w:sz w:val="24"/>
                <w:szCs w:val="24"/>
              </w:rPr>
            </w:pPr>
            <w:r w:rsidRPr="001B6E4D">
              <w:rPr>
                <w:rFonts w:hAnsi="標楷體"/>
                <w:sz w:val="24"/>
                <w:szCs w:val="24"/>
              </w:rPr>
              <w:t>3.政務人員行為基準法草案</w:t>
            </w:r>
            <w:proofErr w:type="gramStart"/>
            <w:r w:rsidRPr="001B6E4D">
              <w:rPr>
                <w:rFonts w:hAnsi="標楷體"/>
                <w:sz w:val="24"/>
                <w:szCs w:val="24"/>
              </w:rPr>
              <w:t>（</w:t>
            </w:r>
            <w:proofErr w:type="gramEnd"/>
            <w:r w:rsidRPr="001B6E4D">
              <w:rPr>
                <w:rFonts w:hAnsi="標楷體"/>
                <w:sz w:val="24"/>
                <w:szCs w:val="24"/>
              </w:rPr>
              <w:t>共13條。制定重點：為確保政務人員依法行政、執行公正，明確其參與政治活動之規範，並保障人民對政府施政之信賴，特制定本</w:t>
            </w:r>
            <w:r w:rsidRPr="001B6E4D">
              <w:rPr>
                <w:rFonts w:hAnsi="標楷體"/>
                <w:sz w:val="24"/>
                <w:szCs w:val="24"/>
              </w:rPr>
              <w:lastRenderedPageBreak/>
              <w:t>法。）</w:t>
            </w:r>
          </w:p>
        </w:tc>
        <w:tc>
          <w:tcPr>
            <w:tcW w:w="1227" w:type="pct"/>
          </w:tcPr>
          <w:p w14:paraId="722A511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lastRenderedPageBreak/>
              <w:t>委員羅智強</w:t>
            </w:r>
          </w:p>
          <w:p w14:paraId="5C7579A7"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等19人</w:t>
            </w:r>
          </w:p>
          <w:p w14:paraId="21C8F29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114.12.26</w:t>
            </w:r>
          </w:p>
          <w:p w14:paraId="67FD37D6" w14:textId="350EFBB9"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（11-4-15）</w:t>
            </w:r>
          </w:p>
        </w:tc>
        <w:tc>
          <w:tcPr>
            <w:tcW w:w="868" w:type="pct"/>
          </w:tcPr>
          <w:p w14:paraId="78540A19" w14:textId="1ADBA786"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77B685C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1.本會</w:t>
            </w:r>
          </w:p>
          <w:p w14:paraId="30385701"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114.12.31</w:t>
            </w:r>
          </w:p>
          <w:p w14:paraId="7C6E7E2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(11-4-16)報告及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w:t>
            </w:r>
            <w:r w:rsidRPr="001B6E4D">
              <w:rPr>
                <w:rFonts w:ascii="標楷體" w:eastAsia="標楷體" w:hAnsi="標楷體"/>
                <w:sz w:val="24"/>
              </w:rPr>
              <w:lastRenderedPageBreak/>
              <w:t>查。</w:t>
            </w:r>
          </w:p>
          <w:p w14:paraId="35E99DB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2.本會</w:t>
            </w:r>
          </w:p>
          <w:p w14:paraId="4B144D81" w14:textId="5E554F46"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115.1.28舉行「政務人員權利義務法制化」公聽會。</w:t>
            </w:r>
          </w:p>
        </w:tc>
      </w:tr>
      <w:tr w:rsidR="00953A00" w:rsidRPr="001B6E4D" w14:paraId="24CB0B3C" w14:textId="77777777" w:rsidTr="00787DE8">
        <w:tc>
          <w:tcPr>
            <w:tcW w:w="361" w:type="pct"/>
          </w:tcPr>
          <w:p w14:paraId="4CFF76E1" w14:textId="1C7AB239"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lastRenderedPageBreak/>
              <w:t>52</w:t>
            </w:r>
          </w:p>
        </w:tc>
        <w:tc>
          <w:tcPr>
            <w:tcW w:w="1734" w:type="pct"/>
          </w:tcPr>
          <w:p w14:paraId="7F806E86" w14:textId="2A13FBBE" w:rsidR="00953A00" w:rsidRPr="001B6E4D" w:rsidRDefault="00953A00" w:rsidP="003D1018">
            <w:pPr>
              <w:pStyle w:val="01"/>
              <w:overflowPunct w:val="0"/>
              <w:rPr>
                <w:rFonts w:hAnsi="標楷體"/>
                <w:sz w:val="24"/>
                <w:szCs w:val="24"/>
              </w:rPr>
            </w:pPr>
            <w:r w:rsidRPr="001B6E4D">
              <w:rPr>
                <w:rFonts w:hAnsi="標楷體"/>
                <w:sz w:val="24"/>
                <w:szCs w:val="24"/>
              </w:rPr>
              <w:t>公務人員俸給法第二十一</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修正重點：公務員復職後，除補發停職期間之本</w:t>
            </w:r>
            <w:proofErr w:type="gramStart"/>
            <w:r w:rsidRPr="001B6E4D">
              <w:rPr>
                <w:rFonts w:hAnsi="標楷體"/>
                <w:sz w:val="24"/>
                <w:szCs w:val="24"/>
              </w:rPr>
              <w:t>俸</w:t>
            </w:r>
            <w:proofErr w:type="gramEnd"/>
            <w:r w:rsidRPr="001B6E4D">
              <w:rPr>
                <w:rFonts w:hAnsi="標楷體"/>
                <w:sz w:val="24"/>
                <w:szCs w:val="24"/>
              </w:rPr>
              <w:t>（年功</w:t>
            </w:r>
            <w:proofErr w:type="gramStart"/>
            <w:r w:rsidRPr="001B6E4D">
              <w:rPr>
                <w:rFonts w:hAnsi="標楷體"/>
                <w:sz w:val="24"/>
                <w:szCs w:val="24"/>
              </w:rPr>
              <w:t>俸</w:t>
            </w:r>
            <w:proofErr w:type="gramEnd"/>
            <w:r w:rsidRPr="001B6E4D">
              <w:rPr>
                <w:rFonts w:hAnsi="標楷體"/>
                <w:sz w:val="24"/>
                <w:szCs w:val="24"/>
              </w:rPr>
              <w:t>），應予補發加給。）</w:t>
            </w:r>
          </w:p>
        </w:tc>
        <w:tc>
          <w:tcPr>
            <w:tcW w:w="1227" w:type="pct"/>
          </w:tcPr>
          <w:p w14:paraId="5BAD62F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委員林宜瑾</w:t>
            </w:r>
          </w:p>
          <w:p w14:paraId="25BB823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等20人</w:t>
            </w:r>
          </w:p>
          <w:p w14:paraId="25804171"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114.12.26</w:t>
            </w:r>
          </w:p>
          <w:p w14:paraId="7D1D143F" w14:textId="445B5960"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（11-4-15）</w:t>
            </w:r>
          </w:p>
        </w:tc>
        <w:tc>
          <w:tcPr>
            <w:tcW w:w="868" w:type="pct"/>
          </w:tcPr>
          <w:p w14:paraId="5F9EA19B" w14:textId="7F80A318"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63AAA6BA" w14:textId="04FDCD2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67686C8C" w14:textId="77777777" w:rsidTr="00787DE8">
        <w:tc>
          <w:tcPr>
            <w:tcW w:w="361" w:type="pct"/>
          </w:tcPr>
          <w:p w14:paraId="2C3B4048" w14:textId="2C19139F"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53</w:t>
            </w:r>
          </w:p>
        </w:tc>
        <w:tc>
          <w:tcPr>
            <w:tcW w:w="1734" w:type="pct"/>
          </w:tcPr>
          <w:p w14:paraId="781DE21E" w14:textId="59128FA7" w:rsidR="00953A00" w:rsidRPr="001B6E4D" w:rsidRDefault="00953A00" w:rsidP="003D1018">
            <w:pPr>
              <w:pStyle w:val="01"/>
              <w:overflowPunct w:val="0"/>
              <w:rPr>
                <w:rFonts w:hAnsi="標楷體"/>
                <w:sz w:val="24"/>
                <w:szCs w:val="24"/>
              </w:rPr>
            </w:pPr>
            <w:r w:rsidRPr="001B6E4D">
              <w:rPr>
                <w:rFonts w:hAnsi="標楷體"/>
                <w:sz w:val="24"/>
                <w:szCs w:val="24"/>
              </w:rPr>
              <w:t>1.公務人員考試法第四條、第五條及第二十八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修正重點：修正</w:t>
            </w:r>
            <w:proofErr w:type="gramStart"/>
            <w:r w:rsidRPr="001B6E4D">
              <w:rPr>
                <w:rFonts w:hAnsi="標楷體"/>
                <w:sz w:val="24"/>
                <w:szCs w:val="24"/>
              </w:rPr>
              <w:t>正</w:t>
            </w:r>
            <w:proofErr w:type="gramEnd"/>
            <w:r w:rsidRPr="001B6E4D">
              <w:rPr>
                <w:rFonts w:hAnsi="標楷體"/>
                <w:sz w:val="24"/>
                <w:szCs w:val="24"/>
              </w:rPr>
              <w:t>額錄取人員、增額錄取人員以養育子女之事由，分別申請保留錄取資格、延後分配訓練之規定。）</w:t>
            </w:r>
          </w:p>
        </w:tc>
        <w:tc>
          <w:tcPr>
            <w:tcW w:w="1227" w:type="pct"/>
          </w:tcPr>
          <w:p w14:paraId="381DF227"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考試院</w:t>
            </w:r>
          </w:p>
          <w:p w14:paraId="6FDF9F0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115.06.26</w:t>
            </w:r>
          </w:p>
          <w:p w14:paraId="2D78A28B" w14:textId="70E3C539"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（11-5-15）</w:t>
            </w:r>
          </w:p>
        </w:tc>
        <w:tc>
          <w:tcPr>
            <w:tcW w:w="868" w:type="pct"/>
          </w:tcPr>
          <w:p w14:paraId="08007BE7" w14:textId="6D121038"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69051F9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本會</w:t>
            </w:r>
          </w:p>
          <w:p w14:paraId="0498D4D2"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115.7.15</w:t>
            </w:r>
          </w:p>
          <w:p w14:paraId="159DF263" w14:textId="7629394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(11-5-25)報告及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953A00" w:rsidRPr="001B6E4D" w14:paraId="130CEA86" w14:textId="77777777" w:rsidTr="00787DE8">
        <w:tc>
          <w:tcPr>
            <w:tcW w:w="361" w:type="pct"/>
          </w:tcPr>
          <w:p w14:paraId="43681D5F" w14:textId="718DE4AD"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54</w:t>
            </w:r>
          </w:p>
        </w:tc>
        <w:tc>
          <w:tcPr>
            <w:tcW w:w="1734" w:type="pct"/>
          </w:tcPr>
          <w:p w14:paraId="0C3BA0A1" w14:textId="6B8AC46B" w:rsidR="00953A00" w:rsidRPr="001B6E4D" w:rsidRDefault="00953A00" w:rsidP="003D1018">
            <w:pPr>
              <w:pStyle w:val="01"/>
              <w:overflowPunct w:val="0"/>
              <w:rPr>
                <w:rFonts w:hAnsi="標楷體"/>
                <w:sz w:val="24"/>
                <w:szCs w:val="24"/>
              </w:rPr>
            </w:pPr>
            <w:r w:rsidRPr="001B6E4D">
              <w:rPr>
                <w:rFonts w:hAnsi="標楷體"/>
                <w:sz w:val="24"/>
                <w:szCs w:val="24"/>
              </w:rPr>
              <w:t>2.公務人員考試法第五條、第六條及第二十八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修正重點：針對已分配訓練之正額錄取人員及增額錄取人員，遇有不可歸責事由，得檢具事證申請重新分配；轉調申請限制例外規定。）</w:t>
            </w:r>
          </w:p>
        </w:tc>
        <w:tc>
          <w:tcPr>
            <w:tcW w:w="1227" w:type="pct"/>
          </w:tcPr>
          <w:p w14:paraId="459E3B93"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台灣民眾</w:t>
            </w:r>
            <w:proofErr w:type="gramStart"/>
            <w:r w:rsidRPr="001B6E4D">
              <w:rPr>
                <w:rFonts w:ascii="標楷體" w:eastAsia="標楷體" w:hAnsi="標楷體"/>
                <w:sz w:val="24"/>
              </w:rPr>
              <w:t>黨</w:t>
            </w:r>
            <w:proofErr w:type="gramEnd"/>
            <w:r w:rsidRPr="001B6E4D">
              <w:rPr>
                <w:rFonts w:ascii="標楷體" w:eastAsia="標楷體" w:hAnsi="標楷體"/>
                <w:sz w:val="24"/>
              </w:rPr>
              <w:t>黨團</w:t>
            </w:r>
          </w:p>
          <w:p w14:paraId="6260563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115.04.17</w:t>
            </w:r>
          </w:p>
          <w:p w14:paraId="668DEF2B" w14:textId="24D921DA"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（11-5-7）</w:t>
            </w:r>
          </w:p>
        </w:tc>
        <w:tc>
          <w:tcPr>
            <w:tcW w:w="868" w:type="pct"/>
          </w:tcPr>
          <w:p w14:paraId="6E1D24AD" w14:textId="38F46ACF"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13B24D09"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本會</w:t>
            </w:r>
          </w:p>
          <w:p w14:paraId="3A4210D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115.7.15</w:t>
            </w:r>
          </w:p>
          <w:p w14:paraId="6F14FBCD" w14:textId="138CAEEC"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(11-5-25)報告及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953A00" w:rsidRPr="001B6E4D" w14:paraId="52E6940C" w14:textId="77777777" w:rsidTr="00787DE8">
        <w:tc>
          <w:tcPr>
            <w:tcW w:w="361" w:type="pct"/>
          </w:tcPr>
          <w:p w14:paraId="5CB08FB1" w14:textId="72CA7D3A"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55</w:t>
            </w:r>
          </w:p>
        </w:tc>
        <w:tc>
          <w:tcPr>
            <w:tcW w:w="1734" w:type="pct"/>
          </w:tcPr>
          <w:p w14:paraId="7C85639F" w14:textId="5D331759" w:rsidR="00953A00" w:rsidRPr="001B6E4D" w:rsidRDefault="00953A00" w:rsidP="003D1018">
            <w:pPr>
              <w:pStyle w:val="01"/>
              <w:overflowPunct w:val="0"/>
              <w:rPr>
                <w:rFonts w:hAnsi="標楷體"/>
                <w:sz w:val="24"/>
                <w:szCs w:val="24"/>
              </w:rPr>
            </w:pPr>
            <w:r w:rsidRPr="001B6E4D">
              <w:rPr>
                <w:rFonts w:hAnsi="標楷體"/>
                <w:sz w:val="24"/>
                <w:szCs w:val="24"/>
              </w:rPr>
              <w:t>3.公務人員考試法第四</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修正重點：警大學生於在學期間先行取得四等任用資格後，得保留三年。）</w:t>
            </w:r>
          </w:p>
        </w:tc>
        <w:tc>
          <w:tcPr>
            <w:tcW w:w="1227" w:type="pct"/>
          </w:tcPr>
          <w:p w14:paraId="0C13A62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委員張宏陸</w:t>
            </w:r>
          </w:p>
          <w:p w14:paraId="68D9BA19"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等19人</w:t>
            </w:r>
          </w:p>
          <w:p w14:paraId="03C5371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115.07.03</w:t>
            </w:r>
          </w:p>
          <w:p w14:paraId="244BC14D" w14:textId="3FDE1C75"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（11-5-16）</w:t>
            </w:r>
          </w:p>
        </w:tc>
        <w:tc>
          <w:tcPr>
            <w:tcW w:w="868" w:type="pct"/>
          </w:tcPr>
          <w:p w14:paraId="0943683D" w14:textId="46F67E75"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795E330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本會</w:t>
            </w:r>
          </w:p>
          <w:p w14:paraId="2DD9972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115.7.15</w:t>
            </w:r>
          </w:p>
          <w:p w14:paraId="7A02A7A6" w14:textId="0F885869"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(11-5-25)報告及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tc>
      </w:tr>
      <w:tr w:rsidR="00953A00" w:rsidRPr="001B6E4D" w14:paraId="2356F3EC" w14:textId="77777777" w:rsidTr="00787DE8">
        <w:tc>
          <w:tcPr>
            <w:tcW w:w="361" w:type="pct"/>
          </w:tcPr>
          <w:p w14:paraId="7D29D136" w14:textId="59D857E9"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56</w:t>
            </w:r>
          </w:p>
        </w:tc>
        <w:tc>
          <w:tcPr>
            <w:tcW w:w="1734" w:type="pct"/>
          </w:tcPr>
          <w:p w14:paraId="484C03EC" w14:textId="5BB161CE" w:rsidR="00953A00" w:rsidRPr="001B6E4D" w:rsidRDefault="00953A00" w:rsidP="003D1018">
            <w:pPr>
              <w:pStyle w:val="01"/>
              <w:overflowPunct w:val="0"/>
              <w:rPr>
                <w:rFonts w:hAnsi="標楷體"/>
                <w:sz w:val="24"/>
                <w:szCs w:val="24"/>
              </w:rPr>
            </w:pPr>
            <w:r w:rsidRPr="001B6E4D">
              <w:rPr>
                <w:rFonts w:hAnsi="標楷體"/>
                <w:sz w:val="24"/>
                <w:szCs w:val="24"/>
              </w:rPr>
              <w:t>4.公務人員考試法第四條、第五條及第二十八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修正重點：放寬正額及增額錄取人員因養育子</w:t>
            </w:r>
            <w:r w:rsidRPr="001B6E4D">
              <w:rPr>
                <w:rFonts w:hAnsi="標楷體"/>
                <w:sz w:val="24"/>
                <w:szCs w:val="24"/>
              </w:rPr>
              <w:lastRenderedPageBreak/>
              <w:t>女，申請保留錄取資格或延後分配訓練之相關規定，並刪除配偶已申請育嬰留職停薪者不得申請保留錄取資格之限制。）</w:t>
            </w:r>
          </w:p>
        </w:tc>
        <w:tc>
          <w:tcPr>
            <w:tcW w:w="1227" w:type="pct"/>
          </w:tcPr>
          <w:p w14:paraId="3F0205B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lastRenderedPageBreak/>
              <w:t>委員張雅琳</w:t>
            </w:r>
          </w:p>
          <w:p w14:paraId="4BA1E3D8"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等20人</w:t>
            </w:r>
          </w:p>
          <w:p w14:paraId="1CAEAF4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115.07.24</w:t>
            </w:r>
          </w:p>
          <w:p w14:paraId="273F3F97" w14:textId="74883B5E"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（11-5-19）</w:t>
            </w:r>
          </w:p>
        </w:tc>
        <w:tc>
          <w:tcPr>
            <w:tcW w:w="868" w:type="pct"/>
          </w:tcPr>
          <w:p w14:paraId="407748F1" w14:textId="295A84E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3B360B29" w14:textId="10A96039"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03504498" w14:textId="77777777" w:rsidTr="00787DE8">
        <w:tc>
          <w:tcPr>
            <w:tcW w:w="361" w:type="pct"/>
          </w:tcPr>
          <w:p w14:paraId="7D3D7659" w14:textId="39643D15"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57</w:t>
            </w:r>
          </w:p>
        </w:tc>
        <w:tc>
          <w:tcPr>
            <w:tcW w:w="1734" w:type="pct"/>
          </w:tcPr>
          <w:p w14:paraId="39F225ED" w14:textId="55881B82" w:rsidR="00953A00" w:rsidRPr="001B6E4D" w:rsidRDefault="00953A00" w:rsidP="003D1018">
            <w:pPr>
              <w:pStyle w:val="01"/>
              <w:overflowPunct w:val="0"/>
              <w:rPr>
                <w:rFonts w:hAnsi="標楷體"/>
                <w:sz w:val="24"/>
                <w:szCs w:val="24"/>
              </w:rPr>
            </w:pPr>
            <w:r w:rsidRPr="001B6E4D">
              <w:rPr>
                <w:rFonts w:hAnsi="標楷體"/>
                <w:sz w:val="24"/>
                <w:szCs w:val="24"/>
              </w:rPr>
              <w:t>5.公務人員考試法第四條、第五條及第二十八</w:t>
            </w:r>
            <w:proofErr w:type="gramStart"/>
            <w:r w:rsidRPr="001B6E4D">
              <w:rPr>
                <w:rFonts w:hAnsi="標楷體"/>
                <w:sz w:val="24"/>
                <w:szCs w:val="24"/>
              </w:rPr>
              <w:t>條</w:t>
            </w:r>
            <w:proofErr w:type="gramEnd"/>
            <w:r w:rsidRPr="001B6E4D">
              <w:rPr>
                <w:rFonts w:hAnsi="標楷體"/>
                <w:sz w:val="24"/>
                <w:szCs w:val="24"/>
              </w:rPr>
              <w:t>條文修正草案</w:t>
            </w:r>
            <w:proofErr w:type="gramStart"/>
            <w:r w:rsidRPr="001B6E4D">
              <w:rPr>
                <w:rFonts w:hAnsi="標楷體"/>
                <w:sz w:val="24"/>
                <w:szCs w:val="24"/>
              </w:rPr>
              <w:t>（</w:t>
            </w:r>
            <w:proofErr w:type="gramEnd"/>
            <w:r w:rsidRPr="001B6E4D">
              <w:rPr>
                <w:rFonts w:hAnsi="標楷體"/>
                <w:sz w:val="24"/>
                <w:szCs w:val="24"/>
              </w:rPr>
              <w:t>修正重點：修正</w:t>
            </w:r>
            <w:proofErr w:type="gramStart"/>
            <w:r w:rsidRPr="001B6E4D">
              <w:rPr>
                <w:rFonts w:hAnsi="標楷體"/>
                <w:sz w:val="24"/>
                <w:szCs w:val="24"/>
              </w:rPr>
              <w:t>正</w:t>
            </w:r>
            <w:proofErr w:type="gramEnd"/>
            <w:r w:rsidRPr="001B6E4D">
              <w:rPr>
                <w:rFonts w:hAnsi="標楷體"/>
                <w:sz w:val="24"/>
                <w:szCs w:val="24"/>
              </w:rPr>
              <w:t>額、增額錄取人員以養育子女之事由，分別申請保留錄取資格、延後分配訓練之規定。）</w:t>
            </w:r>
          </w:p>
        </w:tc>
        <w:tc>
          <w:tcPr>
            <w:tcW w:w="1227" w:type="pct"/>
          </w:tcPr>
          <w:p w14:paraId="619422A4"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委員</w:t>
            </w:r>
            <w:proofErr w:type="gramStart"/>
            <w:r w:rsidRPr="001B6E4D">
              <w:rPr>
                <w:rFonts w:ascii="標楷體" w:eastAsia="標楷體" w:hAnsi="標楷體"/>
                <w:sz w:val="24"/>
              </w:rPr>
              <w:t>范</w:t>
            </w:r>
            <w:proofErr w:type="gramEnd"/>
            <w:r w:rsidRPr="001B6E4D">
              <w:rPr>
                <w:rFonts w:ascii="標楷體" w:eastAsia="標楷體" w:hAnsi="標楷體"/>
                <w:sz w:val="24"/>
              </w:rPr>
              <w:t>雲</w:t>
            </w:r>
          </w:p>
          <w:p w14:paraId="0B01D44F"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等16人</w:t>
            </w:r>
          </w:p>
          <w:p w14:paraId="603A8F4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115.07.31</w:t>
            </w:r>
          </w:p>
          <w:p w14:paraId="19A5B6AA" w14:textId="41984414"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（11-5-20）</w:t>
            </w:r>
          </w:p>
        </w:tc>
        <w:tc>
          <w:tcPr>
            <w:tcW w:w="868" w:type="pct"/>
          </w:tcPr>
          <w:p w14:paraId="055D48C4" w14:textId="09789B92"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66BD32BC" w14:textId="72F4DD85"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53A00" w:rsidRPr="001B6E4D" w14:paraId="07CC7100" w14:textId="77777777" w:rsidTr="00787DE8">
        <w:tc>
          <w:tcPr>
            <w:tcW w:w="361" w:type="pct"/>
          </w:tcPr>
          <w:p w14:paraId="58F22284" w14:textId="4917D4B5"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58</w:t>
            </w:r>
          </w:p>
        </w:tc>
        <w:tc>
          <w:tcPr>
            <w:tcW w:w="1734" w:type="pct"/>
          </w:tcPr>
          <w:p w14:paraId="5C230F32" w14:textId="3247F713" w:rsidR="00953A00" w:rsidRPr="001B6E4D" w:rsidRDefault="00953A00" w:rsidP="003D1018">
            <w:pPr>
              <w:pStyle w:val="01"/>
              <w:overflowPunct w:val="0"/>
              <w:rPr>
                <w:rFonts w:hAnsi="標楷體"/>
                <w:sz w:val="24"/>
                <w:szCs w:val="24"/>
              </w:rPr>
            </w:pPr>
            <w:r w:rsidRPr="001B6E4D">
              <w:rPr>
                <w:rFonts w:hAnsi="標楷體"/>
                <w:sz w:val="24"/>
                <w:szCs w:val="24"/>
              </w:rPr>
              <w:t>1.公務人員考績法修正草案</w:t>
            </w:r>
            <w:proofErr w:type="gramStart"/>
            <w:r w:rsidRPr="001B6E4D">
              <w:rPr>
                <w:rFonts w:hAnsi="標楷體"/>
                <w:sz w:val="24"/>
                <w:szCs w:val="24"/>
              </w:rPr>
              <w:t>（</w:t>
            </w:r>
            <w:proofErr w:type="gramEnd"/>
            <w:r w:rsidRPr="001B6E4D">
              <w:rPr>
                <w:rFonts w:hAnsi="標楷體"/>
                <w:sz w:val="24"/>
                <w:szCs w:val="24"/>
              </w:rPr>
              <w:t>共30條。修正重點：為建構完善合宜的考績制度，</w:t>
            </w:r>
            <w:proofErr w:type="gramStart"/>
            <w:r w:rsidRPr="001B6E4D">
              <w:rPr>
                <w:rFonts w:hAnsi="標楷體"/>
                <w:sz w:val="24"/>
                <w:szCs w:val="24"/>
              </w:rPr>
              <w:t>爰</w:t>
            </w:r>
            <w:proofErr w:type="gramEnd"/>
            <w:r w:rsidRPr="001B6E4D">
              <w:rPr>
                <w:rFonts w:hAnsi="標楷體"/>
                <w:sz w:val="24"/>
                <w:szCs w:val="24"/>
              </w:rPr>
              <w:t>擬</w:t>
            </w:r>
            <w:proofErr w:type="gramStart"/>
            <w:r w:rsidRPr="001B6E4D">
              <w:rPr>
                <w:rFonts w:hAnsi="標楷體"/>
                <w:sz w:val="24"/>
                <w:szCs w:val="24"/>
              </w:rPr>
              <w:t>具旨揭修正草案</w:t>
            </w:r>
            <w:proofErr w:type="gramEnd"/>
            <w:r w:rsidRPr="001B6E4D">
              <w:rPr>
                <w:rFonts w:hAnsi="標楷體"/>
                <w:sz w:val="24"/>
                <w:szCs w:val="24"/>
              </w:rPr>
              <w:t>。）</w:t>
            </w:r>
          </w:p>
        </w:tc>
        <w:tc>
          <w:tcPr>
            <w:tcW w:w="1227" w:type="pct"/>
          </w:tcPr>
          <w:p w14:paraId="0DDE6D2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考試院</w:t>
            </w:r>
          </w:p>
          <w:p w14:paraId="290DE4BB"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115.05.22</w:t>
            </w:r>
          </w:p>
          <w:p w14:paraId="480AEAEC" w14:textId="150CADEE"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（11-5-11）</w:t>
            </w:r>
          </w:p>
        </w:tc>
        <w:tc>
          <w:tcPr>
            <w:tcW w:w="868" w:type="pct"/>
          </w:tcPr>
          <w:p w14:paraId="65E33FF1" w14:textId="22794EB1"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22CC9DDD"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1.本會</w:t>
            </w:r>
          </w:p>
          <w:p w14:paraId="1ED0FEA7"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115.7.1</w:t>
            </w:r>
          </w:p>
          <w:p w14:paraId="52C61E90"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(11-5-22)報告及</w:t>
            </w:r>
            <w:proofErr w:type="gramStart"/>
            <w:r w:rsidRPr="001B6E4D">
              <w:rPr>
                <w:rFonts w:ascii="標楷體" w:eastAsia="標楷體" w:hAnsi="標楷體"/>
                <w:sz w:val="24"/>
              </w:rPr>
              <w:t>詢</w:t>
            </w:r>
            <w:proofErr w:type="gramEnd"/>
            <w:r w:rsidRPr="001B6E4D">
              <w:rPr>
                <w:rFonts w:ascii="標楷體" w:eastAsia="標楷體" w:hAnsi="標楷體"/>
                <w:sz w:val="24"/>
              </w:rPr>
              <w:t>答完畢，另定期繼續審查。</w:t>
            </w:r>
          </w:p>
          <w:p w14:paraId="158F689C"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2.本會</w:t>
            </w:r>
          </w:p>
          <w:p w14:paraId="39ACEA89"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115.7.29</w:t>
            </w:r>
          </w:p>
          <w:p w14:paraId="39AE56A6"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(11-5-27)另定期繼續審查。</w:t>
            </w:r>
          </w:p>
          <w:p w14:paraId="703EDFB7"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3.本會</w:t>
            </w:r>
          </w:p>
          <w:p w14:paraId="5A18E315" w14:textId="37195F46"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115.8.3舉行「軍公教待遇調整法制化與人事制度變革」公聽會。</w:t>
            </w:r>
          </w:p>
        </w:tc>
      </w:tr>
      <w:tr w:rsidR="00953A00" w:rsidRPr="001B6E4D" w14:paraId="3FDB62E6" w14:textId="77777777" w:rsidTr="00787DE8">
        <w:tc>
          <w:tcPr>
            <w:tcW w:w="361" w:type="pct"/>
          </w:tcPr>
          <w:p w14:paraId="6737BE82" w14:textId="5E6DF968" w:rsidR="00953A00" w:rsidRPr="001B6E4D" w:rsidRDefault="00953A00" w:rsidP="003D1018">
            <w:pPr>
              <w:kinsoku w:val="0"/>
              <w:overflowPunct w:val="0"/>
              <w:topLinePunct/>
              <w:spacing w:line="360" w:lineRule="exact"/>
              <w:jc w:val="center"/>
              <w:rPr>
                <w:rFonts w:ascii="標楷體" w:eastAsia="標楷體" w:hAnsi="標楷體"/>
                <w:sz w:val="24"/>
              </w:rPr>
            </w:pPr>
            <w:r w:rsidRPr="001B6E4D">
              <w:rPr>
                <w:rFonts w:ascii="標楷體" w:eastAsia="標楷體" w:hAnsi="標楷體"/>
                <w:sz w:val="24"/>
              </w:rPr>
              <w:t>59</w:t>
            </w:r>
          </w:p>
        </w:tc>
        <w:tc>
          <w:tcPr>
            <w:tcW w:w="1734" w:type="pct"/>
          </w:tcPr>
          <w:p w14:paraId="609469C0" w14:textId="3C05E6A5" w:rsidR="00953A00" w:rsidRPr="001B6E4D" w:rsidRDefault="00953A00" w:rsidP="003D1018">
            <w:pPr>
              <w:pStyle w:val="01"/>
              <w:overflowPunct w:val="0"/>
              <w:rPr>
                <w:rFonts w:hAnsi="標楷體"/>
                <w:sz w:val="24"/>
                <w:szCs w:val="24"/>
              </w:rPr>
            </w:pPr>
            <w:r w:rsidRPr="001B6E4D">
              <w:rPr>
                <w:rFonts w:hAnsi="標楷體"/>
                <w:sz w:val="24"/>
                <w:szCs w:val="24"/>
              </w:rPr>
              <w:t>2.公務人員考績法部分條文修正草案</w:t>
            </w:r>
            <w:proofErr w:type="gramStart"/>
            <w:r w:rsidRPr="001B6E4D">
              <w:rPr>
                <w:rFonts w:hAnsi="標楷體"/>
                <w:sz w:val="24"/>
                <w:szCs w:val="24"/>
              </w:rPr>
              <w:t>（</w:t>
            </w:r>
            <w:proofErr w:type="gramEnd"/>
            <w:r w:rsidRPr="001B6E4D">
              <w:rPr>
                <w:rFonts w:hAnsi="標楷體"/>
                <w:sz w:val="24"/>
                <w:szCs w:val="24"/>
              </w:rPr>
              <w:t>修正§6、7、11、13。修正重點：考績評定明定不受預設人數比例之配額限制；引入特優、優等</w:t>
            </w:r>
            <w:proofErr w:type="gramStart"/>
            <w:r w:rsidRPr="001B6E4D">
              <w:rPr>
                <w:rFonts w:hAnsi="標楷體"/>
                <w:sz w:val="24"/>
                <w:szCs w:val="24"/>
              </w:rPr>
              <w:t>等</w:t>
            </w:r>
            <w:proofErr w:type="gramEnd"/>
            <w:r w:rsidRPr="001B6E4D">
              <w:rPr>
                <w:rFonts w:hAnsi="標楷體"/>
                <w:sz w:val="24"/>
                <w:szCs w:val="24"/>
              </w:rPr>
              <w:t>多層級優良等第；增訂主管人員</w:t>
            </w:r>
            <w:proofErr w:type="gramStart"/>
            <w:r w:rsidRPr="001B6E4D">
              <w:rPr>
                <w:rFonts w:hAnsi="標楷體"/>
                <w:sz w:val="24"/>
                <w:szCs w:val="24"/>
              </w:rPr>
              <w:t>對於未考列</w:t>
            </w:r>
            <w:proofErr w:type="gramEnd"/>
            <w:r w:rsidRPr="001B6E4D">
              <w:rPr>
                <w:rFonts w:hAnsi="標楷體"/>
                <w:sz w:val="24"/>
                <w:szCs w:val="24"/>
              </w:rPr>
              <w:t>甲等以上</w:t>
            </w:r>
            <w:r w:rsidRPr="001B6E4D">
              <w:rPr>
                <w:rFonts w:hAnsi="標楷體"/>
                <w:sz w:val="24"/>
                <w:szCs w:val="24"/>
              </w:rPr>
              <w:lastRenderedPageBreak/>
              <w:t>者應提出書面具體事證、理由及輔導措施之責任；建構平時考核之多元蒐集管道，以及考列較低等次前之面談溝通與具體改進紀錄機制。）</w:t>
            </w:r>
          </w:p>
        </w:tc>
        <w:tc>
          <w:tcPr>
            <w:tcW w:w="1227" w:type="pct"/>
          </w:tcPr>
          <w:p w14:paraId="496E15F1"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lastRenderedPageBreak/>
              <w:t>委員翁曉玲</w:t>
            </w:r>
          </w:p>
          <w:p w14:paraId="1F4C9BC4"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等17人</w:t>
            </w:r>
          </w:p>
          <w:p w14:paraId="5900602E"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115.07.31</w:t>
            </w:r>
          </w:p>
          <w:p w14:paraId="38A9D380" w14:textId="7E76A4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（11-5-20）</w:t>
            </w:r>
          </w:p>
        </w:tc>
        <w:tc>
          <w:tcPr>
            <w:tcW w:w="868" w:type="pct"/>
          </w:tcPr>
          <w:p w14:paraId="6623ACCA" w14:textId="28906EAE"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810" w:type="pct"/>
          </w:tcPr>
          <w:p w14:paraId="47F2D005" w14:textId="77777777"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本會</w:t>
            </w:r>
          </w:p>
          <w:p w14:paraId="01A8B2AE" w14:textId="49231C3E" w:rsidR="00953A00" w:rsidRPr="001B6E4D" w:rsidRDefault="00953A00" w:rsidP="003D1018">
            <w:pPr>
              <w:overflowPunct w:val="0"/>
              <w:jc w:val="both"/>
              <w:rPr>
                <w:rFonts w:ascii="標楷體" w:eastAsia="標楷體" w:hAnsi="標楷體"/>
                <w:sz w:val="24"/>
              </w:rPr>
            </w:pPr>
            <w:r w:rsidRPr="001B6E4D">
              <w:rPr>
                <w:rFonts w:ascii="標楷體" w:eastAsia="標楷體" w:hAnsi="標楷體"/>
                <w:sz w:val="24"/>
              </w:rPr>
              <w:t>115.8.3舉行「軍公教待遇調整法制化與人事制度變革」公聽會。</w:t>
            </w:r>
          </w:p>
        </w:tc>
      </w:tr>
    </w:tbl>
    <w:p w14:paraId="370274C1" w14:textId="5BEC45DE" w:rsidR="009B28A5" w:rsidRPr="001B6E4D" w:rsidRDefault="009B28A5"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359" w:name="_Toc136594871"/>
      <w:bookmarkStart w:id="360" w:name="_Toc240446559"/>
      <w:r w:rsidRPr="001B6E4D">
        <w:rPr>
          <w:color w:val="000000" w:themeColor="text1"/>
          <w:shd w:val="clear" w:color="auto" w:fill="FFFFFF" w:themeFill="background1"/>
        </w:rPr>
        <w:t>（</w:t>
      </w:r>
      <w:r w:rsidRPr="001B6E4D">
        <w:rPr>
          <w:rFonts w:hint="eastAsia"/>
          <w:color w:val="000000" w:themeColor="text1"/>
          <w:shd w:val="clear" w:color="auto" w:fill="FFFFFF" w:themeFill="background1"/>
        </w:rPr>
        <w:t>五</w:t>
      </w:r>
      <w:r w:rsidRPr="001B6E4D">
        <w:rPr>
          <w:color w:val="000000" w:themeColor="text1"/>
          <w:shd w:val="clear" w:color="auto" w:fill="FFFFFF" w:themeFill="background1"/>
        </w:rPr>
        <w:t>）監察院</w:t>
      </w:r>
      <w:r w:rsidRPr="001B6E4D">
        <w:rPr>
          <w:rFonts w:hint="eastAsia"/>
          <w:color w:val="000000" w:themeColor="text1"/>
          <w:shd w:val="clear" w:color="auto" w:fill="FFFFFF" w:themeFill="background1"/>
        </w:rPr>
        <w:t>4</w:t>
      </w:r>
      <w:r w:rsidRPr="001B6E4D">
        <w:rPr>
          <w:color w:val="000000" w:themeColor="text1"/>
          <w:shd w:val="clear" w:color="auto" w:fill="FFFFFF" w:themeFill="background1"/>
        </w:rPr>
        <w:t>案</w:t>
      </w:r>
      <w:bookmarkEnd w:id="357"/>
      <w:bookmarkEnd w:id="358"/>
      <w:bookmarkEnd w:id="359"/>
      <w:bookmarkEnd w:id="360"/>
    </w:p>
    <w:tbl>
      <w:tblPr>
        <w:tblStyle w:val="ae"/>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41"/>
        <w:gridCol w:w="3082"/>
        <w:gridCol w:w="2205"/>
        <w:gridCol w:w="1564"/>
        <w:gridCol w:w="1435"/>
      </w:tblGrid>
      <w:tr w:rsidR="00C87651" w:rsidRPr="001B6E4D" w14:paraId="559A2E1B" w14:textId="77777777" w:rsidTr="009E1230">
        <w:tc>
          <w:tcPr>
            <w:tcW w:w="359" w:type="pct"/>
            <w:vAlign w:val="center"/>
          </w:tcPr>
          <w:p w14:paraId="7445D4D2"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726" w:type="pct"/>
            <w:vAlign w:val="center"/>
          </w:tcPr>
          <w:p w14:paraId="36026BC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235" w:type="pct"/>
            <w:vAlign w:val="center"/>
          </w:tcPr>
          <w:p w14:paraId="15EDBC4A"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5C5D142F"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79DC3CD7"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76" w:type="pct"/>
            <w:vAlign w:val="center"/>
          </w:tcPr>
          <w:p w14:paraId="1117084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804" w:type="pct"/>
            <w:vAlign w:val="center"/>
          </w:tcPr>
          <w:p w14:paraId="3BA57584"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C87651" w:rsidRPr="001B6E4D" w14:paraId="5DB47990" w14:textId="77777777" w:rsidTr="009E1230">
        <w:tc>
          <w:tcPr>
            <w:tcW w:w="359" w:type="pct"/>
          </w:tcPr>
          <w:p w14:paraId="16E7A3E4" w14:textId="77777777" w:rsidR="009B28A5" w:rsidRPr="001B6E4D" w:rsidRDefault="009B28A5" w:rsidP="003D1018">
            <w:pPr>
              <w:overflowPunct w:val="0"/>
              <w:jc w:val="center"/>
              <w:rPr>
                <w:rFonts w:ascii="標楷體" w:eastAsia="標楷體" w:hAnsi="標楷體" w:cs="新細明體"/>
                <w:color w:val="000000" w:themeColor="text1"/>
                <w:sz w:val="24"/>
              </w:rPr>
            </w:pPr>
            <w:r w:rsidRPr="001B6E4D">
              <w:rPr>
                <w:rFonts w:ascii="標楷體" w:eastAsia="標楷體" w:hAnsi="標楷體"/>
                <w:color w:val="000000" w:themeColor="text1"/>
                <w:sz w:val="24"/>
              </w:rPr>
              <w:t>1</w:t>
            </w:r>
          </w:p>
        </w:tc>
        <w:tc>
          <w:tcPr>
            <w:tcW w:w="1726" w:type="pct"/>
          </w:tcPr>
          <w:p w14:paraId="4F8732C0" w14:textId="77777777" w:rsidR="009B28A5" w:rsidRPr="001B6E4D" w:rsidRDefault="009B28A5" w:rsidP="003D1018">
            <w:pPr>
              <w:pStyle w:val="01"/>
              <w:overflowPunct w:val="0"/>
              <w:rPr>
                <w:rFonts w:hAnsi="標楷體"/>
                <w:color w:val="000000" w:themeColor="text1"/>
                <w:sz w:val="24"/>
                <w:szCs w:val="24"/>
              </w:rPr>
            </w:pPr>
            <w:r w:rsidRPr="001B6E4D">
              <w:rPr>
                <w:rFonts w:hAnsi="標楷體"/>
                <w:color w:val="000000" w:themeColor="text1"/>
                <w:sz w:val="24"/>
                <w:szCs w:val="24"/>
              </w:rPr>
              <w:t>監察法部分條文修正草案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修正§1、32；增訂第五章之</w:t>
            </w:r>
            <w:proofErr w:type="gramStart"/>
            <w:r w:rsidRPr="001B6E4D">
              <w:rPr>
                <w:rFonts w:hAnsi="標楷體"/>
                <w:color w:val="000000" w:themeColor="text1"/>
                <w:sz w:val="24"/>
                <w:szCs w:val="24"/>
              </w:rPr>
              <w:t>一</w:t>
            </w:r>
            <w:proofErr w:type="gramEnd"/>
            <w:r w:rsidRPr="001B6E4D">
              <w:rPr>
                <w:rFonts w:hAnsi="標楷體"/>
                <w:color w:val="000000" w:themeColor="text1"/>
                <w:sz w:val="24"/>
                <w:szCs w:val="24"/>
              </w:rPr>
              <w:t>章名、§30-1~9。修正重點：符合《巴黎原則》所揭示之國家人權機構權限及職責，並使人權委員會行使職權有作用法為</w:t>
            </w:r>
            <w:proofErr w:type="gramStart"/>
            <w:r w:rsidRPr="001B6E4D">
              <w:rPr>
                <w:rFonts w:hAnsi="標楷體"/>
                <w:color w:val="000000" w:themeColor="text1"/>
                <w:sz w:val="24"/>
                <w:szCs w:val="24"/>
              </w:rPr>
              <w:t>準</w:t>
            </w:r>
            <w:proofErr w:type="gramEnd"/>
            <w:r w:rsidRPr="001B6E4D">
              <w:rPr>
                <w:rFonts w:hAnsi="標楷體"/>
                <w:color w:val="000000" w:themeColor="text1"/>
                <w:sz w:val="24"/>
                <w:szCs w:val="24"/>
              </w:rPr>
              <w:t>據。）</w:t>
            </w:r>
          </w:p>
        </w:tc>
        <w:tc>
          <w:tcPr>
            <w:tcW w:w="1235" w:type="pct"/>
          </w:tcPr>
          <w:p w14:paraId="10B2D03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監察院</w:t>
            </w:r>
          </w:p>
          <w:p w14:paraId="36E96C26"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113.09.20</w:t>
            </w:r>
          </w:p>
          <w:p w14:paraId="33E6B5D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（11-2-1）</w:t>
            </w:r>
          </w:p>
        </w:tc>
        <w:tc>
          <w:tcPr>
            <w:tcW w:w="876" w:type="pct"/>
          </w:tcPr>
          <w:p w14:paraId="34D9B565"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4" w:type="pct"/>
          </w:tcPr>
          <w:p w14:paraId="1F10AC73"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C87651" w:rsidRPr="001B6E4D" w14:paraId="556DDA37" w14:textId="77777777" w:rsidTr="009E1230">
        <w:tc>
          <w:tcPr>
            <w:tcW w:w="359" w:type="pct"/>
          </w:tcPr>
          <w:p w14:paraId="6FA87595" w14:textId="77777777" w:rsidR="009B28A5" w:rsidRPr="001B6E4D" w:rsidRDefault="009B28A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w:t>
            </w:r>
          </w:p>
        </w:tc>
        <w:tc>
          <w:tcPr>
            <w:tcW w:w="1726" w:type="pct"/>
          </w:tcPr>
          <w:p w14:paraId="2CB3C107" w14:textId="77777777" w:rsidR="009B28A5" w:rsidRPr="001B6E4D" w:rsidRDefault="009B28A5" w:rsidP="003D1018">
            <w:pPr>
              <w:pStyle w:val="01"/>
              <w:overflowPunct w:val="0"/>
              <w:rPr>
                <w:rFonts w:hAnsi="標楷體"/>
                <w:color w:val="000000" w:themeColor="text1"/>
                <w:sz w:val="24"/>
                <w:szCs w:val="24"/>
              </w:rPr>
            </w:pPr>
            <w:r w:rsidRPr="001B6E4D">
              <w:rPr>
                <w:rFonts w:hAnsi="標楷體"/>
                <w:color w:val="000000" w:themeColor="text1"/>
                <w:sz w:val="24"/>
                <w:szCs w:val="24"/>
              </w:rPr>
              <w:t>監察法第二十八條及第二十九</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修正重點：「警憲當局」修正為「司法或犯罪偵查機關」。）</w:t>
            </w:r>
          </w:p>
        </w:tc>
        <w:tc>
          <w:tcPr>
            <w:tcW w:w="1235" w:type="pct"/>
          </w:tcPr>
          <w:p w14:paraId="0700F29A"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委員邱志偉</w:t>
            </w:r>
          </w:p>
          <w:p w14:paraId="4A67B53E"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07A0E75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113.04.09</w:t>
            </w:r>
          </w:p>
          <w:p w14:paraId="42D6AF18"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（11-1-8）</w:t>
            </w:r>
          </w:p>
        </w:tc>
        <w:tc>
          <w:tcPr>
            <w:tcW w:w="876" w:type="pct"/>
          </w:tcPr>
          <w:p w14:paraId="41080D0D"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4" w:type="pct"/>
          </w:tcPr>
          <w:p w14:paraId="6CE983B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C87651" w:rsidRPr="001B6E4D" w14:paraId="375847D2" w14:textId="77777777" w:rsidTr="009E1230">
        <w:tc>
          <w:tcPr>
            <w:tcW w:w="359" w:type="pct"/>
          </w:tcPr>
          <w:p w14:paraId="725963BE" w14:textId="77777777" w:rsidR="009B28A5" w:rsidRPr="001B6E4D" w:rsidRDefault="009B28A5" w:rsidP="003D1018">
            <w:pPr>
              <w:overflowPunct w:val="0"/>
              <w:jc w:val="center"/>
              <w:rPr>
                <w:rFonts w:ascii="標楷體" w:eastAsia="標楷體" w:hAnsi="標楷體" w:cs="新細明體"/>
                <w:color w:val="000000" w:themeColor="text1"/>
                <w:sz w:val="24"/>
              </w:rPr>
            </w:pPr>
            <w:r w:rsidRPr="001B6E4D">
              <w:rPr>
                <w:rFonts w:ascii="標楷體" w:eastAsia="標楷體" w:hAnsi="標楷體"/>
                <w:color w:val="000000" w:themeColor="text1"/>
                <w:sz w:val="24"/>
              </w:rPr>
              <w:t>3</w:t>
            </w:r>
          </w:p>
        </w:tc>
        <w:tc>
          <w:tcPr>
            <w:tcW w:w="1726" w:type="pct"/>
          </w:tcPr>
          <w:p w14:paraId="6A546236" w14:textId="77777777" w:rsidR="009B28A5" w:rsidRPr="001B6E4D" w:rsidRDefault="009B28A5" w:rsidP="003D1018">
            <w:pPr>
              <w:pStyle w:val="01"/>
              <w:overflowPunct w:val="0"/>
              <w:rPr>
                <w:rFonts w:hAnsi="標楷體"/>
                <w:color w:val="000000" w:themeColor="text1"/>
                <w:sz w:val="24"/>
                <w:szCs w:val="24"/>
              </w:rPr>
            </w:pPr>
            <w:r w:rsidRPr="001B6E4D">
              <w:rPr>
                <w:rFonts w:hAnsi="標楷體"/>
                <w:color w:val="000000" w:themeColor="text1"/>
                <w:sz w:val="24"/>
                <w:szCs w:val="24"/>
              </w:rPr>
              <w:t>監察法第二十六</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修正重點：調查案件應提出調查報告；調查案件之內容，如為維護公共利益或保護合法權益者，得公開之。）</w:t>
            </w:r>
          </w:p>
        </w:tc>
        <w:tc>
          <w:tcPr>
            <w:tcW w:w="1235" w:type="pct"/>
          </w:tcPr>
          <w:p w14:paraId="4248AAED"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委員林思銘</w:t>
            </w:r>
          </w:p>
          <w:p w14:paraId="78D222DB"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309026D1"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113.04.19</w:t>
            </w:r>
          </w:p>
          <w:p w14:paraId="252DF22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（11-1-10）</w:t>
            </w:r>
          </w:p>
        </w:tc>
        <w:tc>
          <w:tcPr>
            <w:tcW w:w="876" w:type="pct"/>
          </w:tcPr>
          <w:p w14:paraId="6EAE731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4" w:type="pct"/>
          </w:tcPr>
          <w:p w14:paraId="35812AEB"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C87651" w:rsidRPr="001B6E4D" w14:paraId="2FAE83CA" w14:textId="77777777" w:rsidTr="009E1230">
        <w:tc>
          <w:tcPr>
            <w:tcW w:w="359" w:type="pct"/>
          </w:tcPr>
          <w:p w14:paraId="50C823F2" w14:textId="77777777" w:rsidR="009B28A5" w:rsidRPr="001B6E4D" w:rsidRDefault="009B28A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w:t>
            </w:r>
          </w:p>
        </w:tc>
        <w:tc>
          <w:tcPr>
            <w:tcW w:w="1726" w:type="pct"/>
          </w:tcPr>
          <w:p w14:paraId="2917E0E5" w14:textId="77777777" w:rsidR="009B28A5" w:rsidRPr="001B6E4D" w:rsidRDefault="009B28A5" w:rsidP="003D1018">
            <w:pPr>
              <w:pStyle w:val="01"/>
              <w:overflowPunct w:val="0"/>
              <w:rPr>
                <w:rFonts w:hAnsi="標楷體"/>
                <w:color w:val="000000" w:themeColor="text1"/>
                <w:sz w:val="24"/>
                <w:szCs w:val="24"/>
              </w:rPr>
            </w:pPr>
            <w:r w:rsidRPr="001B6E4D">
              <w:rPr>
                <w:rFonts w:hAnsi="標楷體"/>
                <w:color w:val="000000" w:themeColor="text1"/>
                <w:sz w:val="24"/>
                <w:szCs w:val="24"/>
              </w:rPr>
              <w:t>監察委員行為法草案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共21條。制定重點：為樹立監察委員公正廉明，貫徹法治，伸張正義之基本形象，並維護監察委員依法獨立行使職權，不受任何干涉，以發揮監察功能，</w:t>
            </w:r>
            <w:proofErr w:type="gramStart"/>
            <w:r w:rsidRPr="001B6E4D">
              <w:rPr>
                <w:rFonts w:hAnsi="標楷體"/>
                <w:color w:val="000000" w:themeColor="text1"/>
                <w:sz w:val="24"/>
                <w:szCs w:val="24"/>
              </w:rPr>
              <w:lastRenderedPageBreak/>
              <w:t>爰</w:t>
            </w:r>
            <w:proofErr w:type="gramEnd"/>
            <w:r w:rsidRPr="001B6E4D">
              <w:rPr>
                <w:rFonts w:hAnsi="標楷體"/>
                <w:color w:val="000000" w:themeColor="text1"/>
                <w:sz w:val="24"/>
                <w:szCs w:val="24"/>
              </w:rPr>
              <w:t>制定本法。）</w:t>
            </w:r>
          </w:p>
        </w:tc>
        <w:tc>
          <w:tcPr>
            <w:tcW w:w="1235" w:type="pct"/>
          </w:tcPr>
          <w:p w14:paraId="141B6CD6"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委員翁曉玲</w:t>
            </w:r>
          </w:p>
          <w:p w14:paraId="7B2B17B1"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等24人</w:t>
            </w:r>
          </w:p>
          <w:p w14:paraId="3F38EC38"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113.05.31</w:t>
            </w:r>
          </w:p>
          <w:p w14:paraId="05CAF132"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（11-1-16）</w:t>
            </w:r>
          </w:p>
          <w:p w14:paraId="5593BE44"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（11-1-17提出復議，11-1-22復議不通過）</w:t>
            </w:r>
          </w:p>
        </w:tc>
        <w:tc>
          <w:tcPr>
            <w:tcW w:w="876" w:type="pct"/>
          </w:tcPr>
          <w:p w14:paraId="1FF70BE6"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04" w:type="pct"/>
          </w:tcPr>
          <w:p w14:paraId="63903E2F"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p w14:paraId="5502B9BE" w14:textId="13B4A3D1" w:rsidR="009B28A5" w:rsidRPr="001B6E4D" w:rsidRDefault="009B28A5" w:rsidP="003D1018">
      <w:pPr>
        <w:pStyle w:val="-40"/>
        <w:kinsoku w:val="0"/>
        <w:overflowPunct w:val="0"/>
        <w:topLinePunct/>
        <w:spacing w:before="180" w:after="180"/>
        <w:ind w:leftChars="128" w:left="307" w:firstLineChars="400" w:firstLine="1121"/>
        <w:outlineLvl w:val="2"/>
        <w:rPr>
          <w:color w:val="000000" w:themeColor="text1"/>
          <w:shd w:val="clear" w:color="auto" w:fill="FFFFFF" w:themeFill="background1"/>
        </w:rPr>
      </w:pPr>
      <w:bookmarkStart w:id="361" w:name="_Toc361217364"/>
      <w:bookmarkStart w:id="362" w:name="_Toc362968424"/>
      <w:bookmarkStart w:id="363" w:name="_Toc136594874"/>
      <w:bookmarkStart w:id="364" w:name="_Toc240446560"/>
      <w:r w:rsidRPr="001B6E4D">
        <w:rPr>
          <w:color w:val="000000" w:themeColor="text1"/>
          <w:shd w:val="clear" w:color="auto" w:fill="FFFFFF" w:themeFill="background1"/>
        </w:rPr>
        <w:t>（</w:t>
      </w:r>
      <w:r w:rsidRPr="001B6E4D">
        <w:rPr>
          <w:rFonts w:hint="eastAsia"/>
          <w:color w:val="000000" w:themeColor="text1"/>
          <w:shd w:val="clear" w:color="auto" w:fill="FFFFFF" w:themeFill="background1"/>
        </w:rPr>
        <w:t>六</w:t>
      </w:r>
      <w:r w:rsidRPr="001B6E4D">
        <w:rPr>
          <w:color w:val="000000" w:themeColor="text1"/>
          <w:shd w:val="clear" w:color="auto" w:fill="FFFFFF" w:themeFill="background1"/>
        </w:rPr>
        <w:t>）其他（包含交付多個委員會聯席審查）</w:t>
      </w:r>
      <w:r w:rsidRPr="001B6E4D">
        <w:rPr>
          <w:rFonts w:hint="eastAsia"/>
          <w:color w:val="000000" w:themeColor="text1"/>
          <w:shd w:val="clear" w:color="auto" w:fill="FFFFFF" w:themeFill="background1"/>
        </w:rPr>
        <w:t>4</w:t>
      </w:r>
      <w:r w:rsidRPr="001B6E4D">
        <w:rPr>
          <w:color w:val="000000" w:themeColor="text1"/>
          <w:shd w:val="clear" w:color="auto" w:fill="FFFFFF" w:themeFill="background1"/>
        </w:rPr>
        <w:t>案</w:t>
      </w:r>
      <w:bookmarkEnd w:id="361"/>
      <w:bookmarkEnd w:id="362"/>
      <w:bookmarkEnd w:id="363"/>
      <w:bookmarkEnd w:id="364"/>
    </w:p>
    <w:tbl>
      <w:tblPr>
        <w:tblStyle w:val="ae"/>
        <w:tblW w:w="5000"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40"/>
        <w:gridCol w:w="3082"/>
        <w:gridCol w:w="2255"/>
        <w:gridCol w:w="1543"/>
        <w:gridCol w:w="1407"/>
      </w:tblGrid>
      <w:tr w:rsidR="00C87651" w:rsidRPr="001B6E4D" w14:paraId="685EA6C5" w14:textId="77777777" w:rsidTr="009E1230">
        <w:tc>
          <w:tcPr>
            <w:tcW w:w="358" w:type="pct"/>
            <w:vAlign w:val="center"/>
          </w:tcPr>
          <w:p w14:paraId="649C944C"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726" w:type="pct"/>
            <w:vAlign w:val="center"/>
          </w:tcPr>
          <w:p w14:paraId="65F2257D"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263" w:type="pct"/>
            <w:vAlign w:val="center"/>
          </w:tcPr>
          <w:p w14:paraId="15950C3F" w14:textId="77777777" w:rsidR="009B28A5" w:rsidRPr="001B6E4D" w:rsidRDefault="009B28A5" w:rsidP="003D1018">
            <w:pPr>
              <w:kinsoku w:val="0"/>
              <w:overflowPunct w:val="0"/>
              <w:topLinePunct/>
              <w:spacing w:beforeLines="50" w:before="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12038C94"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2D34CC61" w14:textId="77777777" w:rsidR="009B28A5" w:rsidRPr="001B6E4D" w:rsidRDefault="009B28A5" w:rsidP="003D1018">
            <w:pPr>
              <w:kinsoku w:val="0"/>
              <w:overflowPunct w:val="0"/>
              <w:topLinePunct/>
              <w:spacing w:afterLines="50" w:after="18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64" w:type="pct"/>
            <w:vAlign w:val="center"/>
          </w:tcPr>
          <w:p w14:paraId="5D916B12"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788" w:type="pct"/>
            <w:vAlign w:val="center"/>
          </w:tcPr>
          <w:p w14:paraId="2EC57678"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C87651" w:rsidRPr="001B6E4D" w14:paraId="7B37206F" w14:textId="77777777" w:rsidTr="009E1230">
        <w:tc>
          <w:tcPr>
            <w:tcW w:w="358" w:type="pct"/>
          </w:tcPr>
          <w:p w14:paraId="1230B0DB" w14:textId="77777777" w:rsidR="009B28A5" w:rsidRPr="001B6E4D" w:rsidRDefault="009B28A5" w:rsidP="003D1018">
            <w:pPr>
              <w:overflowPunct w:val="0"/>
              <w:jc w:val="center"/>
              <w:rPr>
                <w:rFonts w:ascii="標楷體" w:eastAsia="標楷體" w:hAnsi="標楷體" w:cs="新細明體"/>
                <w:color w:val="000000" w:themeColor="text1"/>
                <w:sz w:val="24"/>
              </w:rPr>
            </w:pPr>
            <w:r w:rsidRPr="001B6E4D">
              <w:rPr>
                <w:rFonts w:ascii="標楷體" w:eastAsia="標楷體" w:hAnsi="標楷體"/>
                <w:color w:val="000000" w:themeColor="text1"/>
                <w:sz w:val="24"/>
              </w:rPr>
              <w:t>1</w:t>
            </w:r>
          </w:p>
        </w:tc>
        <w:tc>
          <w:tcPr>
            <w:tcW w:w="1726" w:type="pct"/>
          </w:tcPr>
          <w:p w14:paraId="70FD7A80" w14:textId="77777777" w:rsidR="009B28A5" w:rsidRPr="001B6E4D" w:rsidRDefault="009B28A5" w:rsidP="003D1018">
            <w:pPr>
              <w:pStyle w:val="01"/>
              <w:overflowPunct w:val="0"/>
              <w:rPr>
                <w:rFonts w:hAnsi="標楷體"/>
                <w:color w:val="000000" w:themeColor="text1"/>
                <w:sz w:val="24"/>
                <w:szCs w:val="24"/>
              </w:rPr>
            </w:pPr>
            <w:r w:rsidRPr="001B6E4D">
              <w:rPr>
                <w:rFonts w:hAnsi="標楷體"/>
                <w:color w:val="000000" w:themeColor="text1"/>
                <w:sz w:val="24"/>
                <w:szCs w:val="24"/>
              </w:rPr>
              <w:t>廢止「國民大會同意權行使法」</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廢止重點：任務型國民大會業已被廢止，</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263" w:type="pct"/>
          </w:tcPr>
          <w:p w14:paraId="4751828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1D084809"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61C04B72"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113.02.23</w:t>
            </w:r>
          </w:p>
          <w:p w14:paraId="291B4DE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w:t>
            </w:r>
          </w:p>
        </w:tc>
        <w:tc>
          <w:tcPr>
            <w:tcW w:w="864" w:type="pct"/>
          </w:tcPr>
          <w:p w14:paraId="17874EB6"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788" w:type="pct"/>
          </w:tcPr>
          <w:p w14:paraId="3CE368C5"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C87651" w:rsidRPr="001B6E4D" w14:paraId="49C18E89" w14:textId="77777777" w:rsidTr="009E1230">
        <w:tc>
          <w:tcPr>
            <w:tcW w:w="358" w:type="pct"/>
          </w:tcPr>
          <w:p w14:paraId="0CE43E7C" w14:textId="77777777" w:rsidR="009B28A5" w:rsidRPr="001B6E4D" w:rsidRDefault="009B28A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2</w:t>
            </w:r>
          </w:p>
        </w:tc>
        <w:tc>
          <w:tcPr>
            <w:tcW w:w="1726" w:type="pct"/>
          </w:tcPr>
          <w:p w14:paraId="2B3DCDC6" w14:textId="77777777" w:rsidR="009B28A5" w:rsidRPr="001B6E4D" w:rsidRDefault="009B28A5" w:rsidP="003D1018">
            <w:pPr>
              <w:pStyle w:val="01"/>
              <w:overflowPunct w:val="0"/>
              <w:rPr>
                <w:rFonts w:hAnsi="標楷體"/>
                <w:color w:val="000000" w:themeColor="text1"/>
                <w:sz w:val="24"/>
                <w:szCs w:val="24"/>
              </w:rPr>
            </w:pPr>
            <w:r w:rsidRPr="001B6E4D">
              <w:rPr>
                <w:rFonts w:hAnsi="標楷體"/>
                <w:color w:val="000000" w:themeColor="text1"/>
                <w:sz w:val="24"/>
                <w:szCs w:val="24"/>
              </w:rPr>
              <w:t>廢止「國民大會職權行使法」</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廢止重點：任務型國民大會業已被廢止，</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263" w:type="pct"/>
          </w:tcPr>
          <w:p w14:paraId="7D0BFDA4"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500E7F2D"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5731D243"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113.02.23</w:t>
            </w:r>
          </w:p>
          <w:p w14:paraId="2D5C4A4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w:t>
            </w:r>
          </w:p>
        </w:tc>
        <w:tc>
          <w:tcPr>
            <w:tcW w:w="864" w:type="pct"/>
          </w:tcPr>
          <w:p w14:paraId="489A5BE3"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788" w:type="pct"/>
          </w:tcPr>
          <w:p w14:paraId="64C3E1FD"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C87651" w:rsidRPr="001B6E4D" w14:paraId="3E3A1137" w14:textId="77777777" w:rsidTr="009E1230">
        <w:tc>
          <w:tcPr>
            <w:tcW w:w="358" w:type="pct"/>
          </w:tcPr>
          <w:p w14:paraId="2185FFA1" w14:textId="77777777" w:rsidR="009B28A5" w:rsidRPr="001B6E4D" w:rsidRDefault="009B28A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w:t>
            </w:r>
          </w:p>
        </w:tc>
        <w:tc>
          <w:tcPr>
            <w:tcW w:w="1726" w:type="pct"/>
          </w:tcPr>
          <w:p w14:paraId="2CAC7F82" w14:textId="77777777" w:rsidR="009B28A5" w:rsidRPr="001B6E4D" w:rsidRDefault="009B28A5" w:rsidP="003D1018">
            <w:pPr>
              <w:pStyle w:val="01"/>
              <w:overflowPunct w:val="0"/>
              <w:rPr>
                <w:rFonts w:hAnsi="標楷體"/>
                <w:color w:val="000000" w:themeColor="text1"/>
                <w:sz w:val="24"/>
                <w:szCs w:val="24"/>
              </w:rPr>
            </w:pPr>
            <w:r w:rsidRPr="001B6E4D">
              <w:rPr>
                <w:rFonts w:hAnsi="標楷體"/>
                <w:color w:val="000000" w:themeColor="text1"/>
                <w:sz w:val="24"/>
                <w:szCs w:val="24"/>
              </w:rPr>
              <w:t>廢止「訓政結束程序法」</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廢止重點：就目前現實，本法之規定內容，顯已成為歷史文件，無適用之可能，</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263" w:type="pct"/>
          </w:tcPr>
          <w:p w14:paraId="70A464A8"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6DB6775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等21人</w:t>
            </w:r>
          </w:p>
          <w:p w14:paraId="0C0D3D9E"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113.02.23</w:t>
            </w:r>
          </w:p>
          <w:p w14:paraId="7301975C"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w:t>
            </w:r>
          </w:p>
        </w:tc>
        <w:tc>
          <w:tcPr>
            <w:tcW w:w="864" w:type="pct"/>
          </w:tcPr>
          <w:p w14:paraId="1F1890C5"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788" w:type="pct"/>
          </w:tcPr>
          <w:p w14:paraId="0C76A239"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r w:rsidR="009B28A5" w:rsidRPr="001B6E4D" w14:paraId="74AA0651" w14:textId="77777777" w:rsidTr="009E1230">
        <w:tc>
          <w:tcPr>
            <w:tcW w:w="358" w:type="pct"/>
          </w:tcPr>
          <w:p w14:paraId="54B340C6" w14:textId="77777777" w:rsidR="009B28A5" w:rsidRPr="001B6E4D" w:rsidRDefault="009B28A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4</w:t>
            </w:r>
          </w:p>
        </w:tc>
        <w:tc>
          <w:tcPr>
            <w:tcW w:w="1726" w:type="pct"/>
          </w:tcPr>
          <w:p w14:paraId="7BC8C4F1" w14:textId="77777777" w:rsidR="009B28A5" w:rsidRPr="001B6E4D" w:rsidRDefault="009B28A5" w:rsidP="003D1018">
            <w:pPr>
              <w:pStyle w:val="01"/>
              <w:overflowPunct w:val="0"/>
              <w:rPr>
                <w:rFonts w:hAnsi="標楷體"/>
                <w:color w:val="000000" w:themeColor="text1"/>
                <w:sz w:val="24"/>
                <w:szCs w:val="24"/>
              </w:rPr>
            </w:pPr>
            <w:r w:rsidRPr="001B6E4D">
              <w:rPr>
                <w:rFonts w:hAnsi="標楷體"/>
                <w:color w:val="000000" w:themeColor="text1"/>
                <w:sz w:val="24"/>
                <w:szCs w:val="24"/>
              </w:rPr>
              <w:t>廢止「第一屆資深中央民意代表自願退職條例」</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廢止重點：截至2023年1月31日止，退職之第一屆資深中央民意代表，僅存國大代表一人，非請領月退職金，雖還有優惠存款之補貼，但已無涉自願退職條例之條文內容，該法已經無存在之必要，</w:t>
            </w:r>
            <w:proofErr w:type="gramStart"/>
            <w:r w:rsidRPr="001B6E4D">
              <w:rPr>
                <w:rFonts w:hAnsi="標楷體"/>
                <w:color w:val="000000" w:themeColor="text1"/>
                <w:sz w:val="24"/>
                <w:szCs w:val="24"/>
              </w:rPr>
              <w:t>爰</w:t>
            </w:r>
            <w:proofErr w:type="gramEnd"/>
            <w:r w:rsidRPr="001B6E4D">
              <w:rPr>
                <w:rFonts w:hAnsi="標楷體"/>
                <w:color w:val="000000" w:themeColor="text1"/>
                <w:sz w:val="24"/>
                <w:szCs w:val="24"/>
              </w:rPr>
              <w:t>提案廢止。）</w:t>
            </w:r>
          </w:p>
        </w:tc>
        <w:tc>
          <w:tcPr>
            <w:tcW w:w="1263" w:type="pct"/>
          </w:tcPr>
          <w:p w14:paraId="603849A9"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委員李坤城</w:t>
            </w:r>
          </w:p>
          <w:p w14:paraId="6A6EB8D3"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等20人</w:t>
            </w:r>
          </w:p>
          <w:p w14:paraId="34B56E1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113.02.23</w:t>
            </w:r>
          </w:p>
          <w:p w14:paraId="2F4D305D"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w:t>
            </w:r>
          </w:p>
        </w:tc>
        <w:tc>
          <w:tcPr>
            <w:tcW w:w="864" w:type="pct"/>
          </w:tcPr>
          <w:p w14:paraId="3F45289E"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788" w:type="pct"/>
          </w:tcPr>
          <w:p w14:paraId="5B33FE2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p w14:paraId="39C13DB3" w14:textId="77777777" w:rsidR="009B28A5" w:rsidRPr="001B6E4D" w:rsidRDefault="009B28A5" w:rsidP="003D1018">
      <w:pPr>
        <w:overflowPunct w:val="0"/>
        <w:rPr>
          <w:rFonts w:ascii="標楷體" w:eastAsia="標楷體" w:hAnsi="標楷體"/>
          <w:color w:val="000000" w:themeColor="text1"/>
        </w:rPr>
        <w:sectPr w:rsidR="009B28A5" w:rsidRPr="001B6E4D" w:rsidSect="009E1230">
          <w:pgSz w:w="11906" w:h="16838"/>
          <w:pgMar w:top="1440" w:right="1133" w:bottom="1440" w:left="1800" w:header="851" w:footer="992" w:gutter="0"/>
          <w:cols w:space="425"/>
          <w:docGrid w:type="lines" w:linePitch="360"/>
        </w:sectPr>
      </w:pPr>
    </w:p>
    <w:p w14:paraId="4568C1A3" w14:textId="6B89E0FD" w:rsidR="009B28A5" w:rsidRPr="001B6E4D" w:rsidRDefault="009B28A5" w:rsidP="003D1018">
      <w:pPr>
        <w:pStyle w:val="-f3"/>
        <w:kinsoku w:val="0"/>
        <w:overflowPunct w:val="0"/>
        <w:topLinePunct/>
        <w:spacing w:beforeLines="100" w:before="240" w:after="120"/>
        <w:ind w:leftChars="128" w:left="307" w:firstLineChars="140" w:firstLine="392"/>
        <w:rPr>
          <w:rFonts w:ascii="標楷體" w:hAnsi="標楷體"/>
          <w:color w:val="000000" w:themeColor="text1"/>
          <w:szCs w:val="28"/>
          <w:shd w:val="clear" w:color="auto" w:fill="FFFFFF" w:themeFill="background1"/>
        </w:rPr>
      </w:pPr>
      <w:bookmarkStart w:id="365" w:name="_Toc361217365"/>
      <w:bookmarkStart w:id="366" w:name="_Toc362968425"/>
      <w:bookmarkStart w:id="367" w:name="_Toc136594875"/>
      <w:bookmarkStart w:id="368" w:name="_Toc240446561"/>
      <w:r w:rsidRPr="001B6E4D">
        <w:rPr>
          <w:rFonts w:ascii="標楷體" w:hAnsi="標楷體"/>
          <w:color w:val="000000" w:themeColor="text1"/>
          <w:szCs w:val="28"/>
          <w:shd w:val="clear" w:color="auto" w:fill="FFFFFF" w:themeFill="background1"/>
        </w:rPr>
        <w:lastRenderedPageBreak/>
        <w:t>〔貳〕預</w:t>
      </w:r>
      <w:r w:rsidRPr="001B6E4D">
        <w:rPr>
          <w:rFonts w:ascii="標楷體" w:hAnsi="標楷體"/>
          <w:color w:val="000000" w:themeColor="text1"/>
          <w:shd w:val="clear" w:color="auto" w:fill="FFFFFF" w:themeFill="background1"/>
        </w:rPr>
        <w:t>（</w:t>
      </w:r>
      <w:r w:rsidRPr="001B6E4D">
        <w:rPr>
          <w:rFonts w:ascii="標楷體" w:hAnsi="標楷體"/>
          <w:color w:val="000000" w:themeColor="text1"/>
          <w:szCs w:val="28"/>
          <w:shd w:val="clear" w:color="auto" w:fill="FFFFFF" w:themeFill="background1"/>
        </w:rPr>
        <w:t>決</w:t>
      </w:r>
      <w:r w:rsidRPr="001B6E4D">
        <w:rPr>
          <w:rFonts w:ascii="標楷體" w:hAnsi="標楷體"/>
          <w:color w:val="000000" w:themeColor="text1"/>
          <w:shd w:val="clear" w:color="auto" w:fill="FFFFFF" w:themeFill="background1"/>
        </w:rPr>
        <w:t>）</w:t>
      </w:r>
      <w:r w:rsidRPr="001B6E4D">
        <w:rPr>
          <w:rFonts w:ascii="標楷體" w:hAnsi="標楷體"/>
          <w:color w:val="000000" w:themeColor="text1"/>
          <w:szCs w:val="28"/>
          <w:shd w:val="clear" w:color="auto" w:fill="FFFFFF" w:themeFill="background1"/>
        </w:rPr>
        <w:t>算案</w:t>
      </w:r>
      <w:r w:rsidR="00B27550" w:rsidRPr="001B6E4D">
        <w:rPr>
          <w:rFonts w:ascii="標楷體" w:hAnsi="標楷體" w:hint="eastAsia"/>
          <w:color w:val="000000" w:themeColor="text1"/>
          <w:szCs w:val="28"/>
          <w:shd w:val="clear" w:color="auto" w:fill="FFFFFF" w:themeFill="background1"/>
        </w:rPr>
        <w:t>132</w:t>
      </w:r>
      <w:r w:rsidRPr="001B6E4D">
        <w:rPr>
          <w:rFonts w:ascii="標楷體" w:hAnsi="標楷體"/>
          <w:color w:val="000000" w:themeColor="text1"/>
          <w:szCs w:val="28"/>
          <w:shd w:val="clear" w:color="auto" w:fill="FFFFFF" w:themeFill="background1"/>
        </w:rPr>
        <w:t>案</w:t>
      </w:r>
      <w:bookmarkStart w:id="369" w:name="_Toc361217366"/>
      <w:bookmarkStart w:id="370" w:name="_Toc362968426"/>
      <w:bookmarkStart w:id="371" w:name="_Toc136594876"/>
      <w:bookmarkEnd w:id="365"/>
      <w:bookmarkEnd w:id="366"/>
      <w:bookmarkEnd w:id="367"/>
      <w:bookmarkEnd w:id="368"/>
    </w:p>
    <w:p w14:paraId="5ED95A3D" w14:textId="2CDA8322" w:rsidR="009B28A5" w:rsidRPr="001B6E4D" w:rsidRDefault="009B28A5" w:rsidP="003D1018">
      <w:pPr>
        <w:pStyle w:val="affffff0"/>
        <w:kinsoku w:val="0"/>
        <w:overflowPunct w:val="0"/>
        <w:topLinePunct/>
        <w:spacing w:beforeLines="100" w:before="240" w:afterLines="70" w:after="168" w:line="260" w:lineRule="exact"/>
        <w:ind w:leftChars="128" w:left="307" w:firstLineChars="280" w:firstLine="785"/>
        <w:rPr>
          <w:color w:val="000000" w:themeColor="text1"/>
          <w:szCs w:val="28"/>
          <w:shd w:val="clear" w:color="auto" w:fill="FFFFFF" w:themeFill="background1"/>
        </w:rPr>
      </w:pPr>
      <w:bookmarkStart w:id="372" w:name="_Toc136594877"/>
      <w:bookmarkStart w:id="373" w:name="_Toc240446562"/>
      <w:bookmarkStart w:id="374" w:name="_Toc361217367"/>
      <w:bookmarkStart w:id="375" w:name="_Toc362968427"/>
      <w:bookmarkEnd w:id="369"/>
      <w:bookmarkEnd w:id="370"/>
      <w:bookmarkEnd w:id="371"/>
      <w:r w:rsidRPr="001B6E4D">
        <w:rPr>
          <w:rFonts w:hint="eastAsia"/>
          <w:color w:val="000000" w:themeColor="text1"/>
          <w:szCs w:val="28"/>
          <w:shd w:val="clear" w:color="auto" w:fill="FFFFFF" w:themeFill="background1"/>
        </w:rPr>
        <w:t>一</w:t>
      </w:r>
      <w:r w:rsidRPr="001B6E4D">
        <w:rPr>
          <w:color w:val="000000" w:themeColor="text1"/>
          <w:szCs w:val="28"/>
          <w:shd w:val="clear" w:color="auto" w:fill="FFFFFF" w:themeFill="background1"/>
        </w:rPr>
        <w:t>、財團法人</w:t>
      </w:r>
      <w:r w:rsidR="006117C4" w:rsidRPr="001B6E4D">
        <w:rPr>
          <w:rFonts w:hint="eastAsia"/>
          <w:color w:val="000000" w:themeColor="text1"/>
          <w:szCs w:val="28"/>
          <w:shd w:val="clear" w:color="auto" w:fill="FFFFFF" w:themeFill="background1"/>
        </w:rPr>
        <w:t>4</w:t>
      </w:r>
      <w:r w:rsidRPr="001B6E4D">
        <w:rPr>
          <w:color w:val="000000" w:themeColor="text1"/>
          <w:szCs w:val="28"/>
          <w:shd w:val="clear" w:color="auto" w:fill="FFFFFF" w:themeFill="background1"/>
        </w:rPr>
        <w:t>案</w:t>
      </w:r>
      <w:bookmarkEnd w:id="372"/>
      <w:bookmarkEnd w:id="373"/>
    </w:p>
    <w:tbl>
      <w:tblPr>
        <w:tblStyle w:val="ae"/>
        <w:tblW w:w="5000" w:type="pct"/>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633"/>
        <w:gridCol w:w="2962"/>
        <w:gridCol w:w="1977"/>
        <w:gridCol w:w="1703"/>
        <w:gridCol w:w="1345"/>
      </w:tblGrid>
      <w:tr w:rsidR="00C87651" w:rsidRPr="001B6E4D" w14:paraId="72C9539A" w14:textId="77777777" w:rsidTr="006117C4">
        <w:tc>
          <w:tcPr>
            <w:tcW w:w="367" w:type="pct"/>
            <w:vAlign w:val="center"/>
          </w:tcPr>
          <w:p w14:paraId="5367AFB3"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376" w:name="_Hlk203398323"/>
            <w:r w:rsidRPr="001B6E4D">
              <w:rPr>
                <w:rFonts w:ascii="標楷體" w:eastAsia="標楷體" w:hAnsi="標楷體"/>
                <w:b/>
                <w:color w:val="000000" w:themeColor="text1"/>
                <w:sz w:val="24"/>
                <w:shd w:val="clear" w:color="auto" w:fill="FFFFFF" w:themeFill="background1"/>
              </w:rPr>
              <w:t>序號</w:t>
            </w:r>
          </w:p>
        </w:tc>
        <w:tc>
          <w:tcPr>
            <w:tcW w:w="1718" w:type="pct"/>
            <w:vAlign w:val="center"/>
          </w:tcPr>
          <w:p w14:paraId="4BCC4230"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47" w:type="pct"/>
            <w:vAlign w:val="center"/>
          </w:tcPr>
          <w:p w14:paraId="7614154F" w14:textId="77777777" w:rsidR="009B28A5" w:rsidRPr="001B6E4D" w:rsidRDefault="009B28A5" w:rsidP="003D1018">
            <w:pPr>
              <w:kinsoku w:val="0"/>
              <w:overflowPunct w:val="0"/>
              <w:topLinePunct/>
              <w:spacing w:beforeLines="50" w:before="12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7B826AC9"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5547A139" w14:textId="77777777" w:rsidR="009B28A5" w:rsidRPr="001B6E4D" w:rsidRDefault="009B28A5" w:rsidP="003D1018">
            <w:pPr>
              <w:kinsoku w:val="0"/>
              <w:overflowPunct w:val="0"/>
              <w:topLinePunct/>
              <w:spacing w:afterLines="50" w:after="12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88" w:type="pct"/>
            <w:vAlign w:val="center"/>
          </w:tcPr>
          <w:p w14:paraId="3800D974"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780" w:type="pct"/>
            <w:vAlign w:val="center"/>
          </w:tcPr>
          <w:p w14:paraId="13A31780"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E07D90" w:rsidRPr="001B6E4D" w14:paraId="25C71158" w14:textId="77777777" w:rsidTr="006117C4">
        <w:tc>
          <w:tcPr>
            <w:tcW w:w="367" w:type="pct"/>
          </w:tcPr>
          <w:p w14:paraId="5E18179F" w14:textId="70A8DB4A" w:rsidR="00E07D90" w:rsidRPr="001B6E4D" w:rsidRDefault="00E07D90" w:rsidP="003D1018">
            <w:pPr>
              <w:overflowPunct w:val="0"/>
              <w:jc w:val="center"/>
              <w:rPr>
                <w:rFonts w:ascii="標楷體" w:eastAsia="標楷體" w:hAnsi="標楷體"/>
                <w:sz w:val="24"/>
              </w:rPr>
            </w:pPr>
            <w:r w:rsidRPr="001B6E4D">
              <w:rPr>
                <w:rFonts w:ascii="標楷體" w:eastAsia="標楷體" w:hAnsi="標楷體"/>
                <w:sz w:val="24"/>
              </w:rPr>
              <w:t>1</w:t>
            </w:r>
          </w:p>
        </w:tc>
        <w:tc>
          <w:tcPr>
            <w:tcW w:w="1718" w:type="pct"/>
          </w:tcPr>
          <w:p w14:paraId="5D4F04EE" w14:textId="18F1A9D6" w:rsidR="00E07D90" w:rsidRPr="001B6E4D" w:rsidRDefault="00E07D90" w:rsidP="003D1018">
            <w:pPr>
              <w:pStyle w:val="01"/>
              <w:overflowPunct w:val="0"/>
              <w:rPr>
                <w:rFonts w:hAnsi="標楷體" w:cs="Times New Roman"/>
                <w:sz w:val="24"/>
                <w:szCs w:val="24"/>
              </w:rPr>
            </w:pPr>
            <w:r w:rsidRPr="001B6E4D">
              <w:rPr>
                <w:rFonts w:hAnsi="標楷體" w:cs="Times New Roman"/>
                <w:sz w:val="24"/>
                <w:szCs w:val="24"/>
              </w:rPr>
              <w:t>法務部函送財團法人臺灣更生保護會、財團法人福建更生保護會及財團法人犯罪被害人保護協會</w:t>
            </w:r>
            <w:proofErr w:type="gramStart"/>
            <w:r w:rsidRPr="001B6E4D">
              <w:rPr>
                <w:rFonts w:hAnsi="標楷體" w:cs="Times New Roman"/>
                <w:sz w:val="24"/>
                <w:szCs w:val="24"/>
              </w:rPr>
              <w:t>113</w:t>
            </w:r>
            <w:proofErr w:type="gramEnd"/>
            <w:r w:rsidRPr="001B6E4D">
              <w:rPr>
                <w:rFonts w:hAnsi="標楷體" w:cs="Times New Roman"/>
                <w:sz w:val="24"/>
                <w:szCs w:val="24"/>
              </w:rPr>
              <w:t>年度決算書案。</w:t>
            </w:r>
          </w:p>
        </w:tc>
        <w:tc>
          <w:tcPr>
            <w:tcW w:w="1147" w:type="pct"/>
          </w:tcPr>
          <w:p w14:paraId="0A0D2547" w14:textId="77777777" w:rsidR="00E07D90" w:rsidRPr="001B6E4D" w:rsidRDefault="00E07D90" w:rsidP="003D1018">
            <w:pPr>
              <w:overflowPunct w:val="0"/>
              <w:jc w:val="both"/>
              <w:rPr>
                <w:rFonts w:ascii="標楷體" w:eastAsia="標楷體" w:hAnsi="標楷體"/>
                <w:sz w:val="24"/>
              </w:rPr>
            </w:pPr>
            <w:r w:rsidRPr="001B6E4D">
              <w:rPr>
                <w:rFonts w:ascii="標楷體" w:eastAsia="標楷體" w:hAnsi="標楷體"/>
                <w:sz w:val="24"/>
              </w:rPr>
              <w:t>法務部</w:t>
            </w:r>
          </w:p>
          <w:p w14:paraId="355BC08D" w14:textId="77777777" w:rsidR="00E07D90" w:rsidRPr="001B6E4D" w:rsidRDefault="00E07D90" w:rsidP="003D1018">
            <w:pPr>
              <w:overflowPunct w:val="0"/>
              <w:jc w:val="both"/>
              <w:rPr>
                <w:rFonts w:ascii="標楷體" w:eastAsia="標楷體" w:hAnsi="標楷體"/>
                <w:sz w:val="24"/>
              </w:rPr>
            </w:pPr>
            <w:r w:rsidRPr="001B6E4D">
              <w:rPr>
                <w:rFonts w:ascii="標楷體" w:eastAsia="標楷體" w:hAnsi="標楷體"/>
                <w:sz w:val="24"/>
              </w:rPr>
              <w:t>114.06.13</w:t>
            </w:r>
          </w:p>
          <w:p w14:paraId="3B7CF3F4" w14:textId="1BF6BE10" w:rsidR="00E07D90" w:rsidRPr="001B6E4D" w:rsidRDefault="00E07D90" w:rsidP="003D1018">
            <w:pPr>
              <w:overflowPunct w:val="0"/>
              <w:jc w:val="both"/>
              <w:rPr>
                <w:rFonts w:ascii="標楷體" w:eastAsia="標楷體" w:hAnsi="標楷體"/>
                <w:sz w:val="24"/>
              </w:rPr>
            </w:pPr>
            <w:r w:rsidRPr="001B6E4D">
              <w:rPr>
                <w:rFonts w:ascii="標楷體" w:eastAsia="標楷體" w:hAnsi="標楷體"/>
                <w:sz w:val="24"/>
              </w:rPr>
              <w:t>（11-3-16）</w:t>
            </w:r>
          </w:p>
        </w:tc>
        <w:tc>
          <w:tcPr>
            <w:tcW w:w="988" w:type="pct"/>
          </w:tcPr>
          <w:p w14:paraId="43A7BB25" w14:textId="63E6214F" w:rsidR="00E07D90" w:rsidRPr="001B6E4D" w:rsidRDefault="00E07D9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780" w:type="pct"/>
          </w:tcPr>
          <w:p w14:paraId="14C35CAD" w14:textId="0E98C811" w:rsidR="00E07D90" w:rsidRPr="001B6E4D" w:rsidRDefault="00E07D9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E07D90" w:rsidRPr="001B6E4D" w14:paraId="056CF00D" w14:textId="77777777" w:rsidTr="006117C4">
        <w:tc>
          <w:tcPr>
            <w:tcW w:w="367" w:type="pct"/>
          </w:tcPr>
          <w:p w14:paraId="12D706F0" w14:textId="2D281D86" w:rsidR="00E07D90" w:rsidRPr="001B6E4D" w:rsidRDefault="00E07D90" w:rsidP="003D1018">
            <w:pPr>
              <w:overflowPunct w:val="0"/>
              <w:jc w:val="center"/>
              <w:rPr>
                <w:rFonts w:ascii="標楷體" w:eastAsia="標楷體" w:hAnsi="標楷體"/>
                <w:sz w:val="24"/>
              </w:rPr>
            </w:pPr>
            <w:r w:rsidRPr="001B6E4D">
              <w:rPr>
                <w:rFonts w:ascii="標楷體" w:eastAsia="標楷體" w:hAnsi="標楷體"/>
                <w:sz w:val="24"/>
              </w:rPr>
              <w:t>2</w:t>
            </w:r>
          </w:p>
        </w:tc>
        <w:tc>
          <w:tcPr>
            <w:tcW w:w="1718" w:type="pct"/>
          </w:tcPr>
          <w:p w14:paraId="5E31E7CC" w14:textId="097652FD" w:rsidR="00E07D90" w:rsidRPr="001B6E4D" w:rsidRDefault="00E07D90" w:rsidP="003D1018">
            <w:pPr>
              <w:pStyle w:val="01"/>
              <w:overflowPunct w:val="0"/>
              <w:rPr>
                <w:rFonts w:hAnsi="標楷體" w:cs="Times New Roman"/>
                <w:sz w:val="24"/>
                <w:szCs w:val="24"/>
              </w:rPr>
            </w:pPr>
            <w:r w:rsidRPr="001B6E4D">
              <w:rPr>
                <w:rFonts w:hAnsi="標楷體" w:cs="Times New Roman"/>
                <w:sz w:val="24"/>
                <w:szCs w:val="24"/>
              </w:rPr>
              <w:t>司法院函送財團法人法律扶助基金會</w:t>
            </w:r>
            <w:proofErr w:type="gramStart"/>
            <w:r w:rsidRPr="001B6E4D">
              <w:rPr>
                <w:rFonts w:hAnsi="標楷體" w:cs="Times New Roman"/>
                <w:sz w:val="24"/>
                <w:szCs w:val="24"/>
              </w:rPr>
              <w:t>113</w:t>
            </w:r>
            <w:proofErr w:type="gramEnd"/>
            <w:r w:rsidRPr="001B6E4D">
              <w:rPr>
                <w:rFonts w:hAnsi="標楷體" w:cs="Times New Roman"/>
                <w:sz w:val="24"/>
                <w:szCs w:val="24"/>
              </w:rPr>
              <w:t>年度決算書案。</w:t>
            </w:r>
          </w:p>
        </w:tc>
        <w:tc>
          <w:tcPr>
            <w:tcW w:w="1147" w:type="pct"/>
          </w:tcPr>
          <w:p w14:paraId="7922B144" w14:textId="77777777" w:rsidR="00E07D90" w:rsidRPr="001B6E4D" w:rsidRDefault="00E07D90" w:rsidP="003D1018">
            <w:pPr>
              <w:overflowPunct w:val="0"/>
              <w:jc w:val="both"/>
              <w:rPr>
                <w:rFonts w:ascii="標楷體" w:eastAsia="標楷體" w:hAnsi="標楷體"/>
                <w:sz w:val="24"/>
              </w:rPr>
            </w:pPr>
            <w:r w:rsidRPr="001B6E4D">
              <w:rPr>
                <w:rFonts w:ascii="標楷體" w:eastAsia="標楷體" w:hAnsi="標楷體"/>
                <w:sz w:val="24"/>
              </w:rPr>
              <w:t>司法院</w:t>
            </w:r>
          </w:p>
          <w:p w14:paraId="42F78865" w14:textId="77777777" w:rsidR="00E07D90" w:rsidRPr="001B6E4D" w:rsidRDefault="00E07D90" w:rsidP="003D1018">
            <w:pPr>
              <w:overflowPunct w:val="0"/>
              <w:jc w:val="both"/>
              <w:rPr>
                <w:rFonts w:ascii="標楷體" w:eastAsia="標楷體" w:hAnsi="標楷體"/>
                <w:sz w:val="24"/>
              </w:rPr>
            </w:pPr>
            <w:r w:rsidRPr="001B6E4D">
              <w:rPr>
                <w:rFonts w:ascii="標楷體" w:eastAsia="標楷體" w:hAnsi="標楷體"/>
                <w:sz w:val="24"/>
              </w:rPr>
              <w:t>114.06.13</w:t>
            </w:r>
          </w:p>
          <w:p w14:paraId="44C08FE1" w14:textId="2D386CED" w:rsidR="00E07D90" w:rsidRPr="001B6E4D" w:rsidRDefault="00E07D90" w:rsidP="003D1018">
            <w:pPr>
              <w:overflowPunct w:val="0"/>
              <w:jc w:val="both"/>
              <w:rPr>
                <w:rFonts w:ascii="標楷體" w:eastAsia="標楷體" w:hAnsi="標楷體"/>
                <w:sz w:val="24"/>
              </w:rPr>
            </w:pPr>
            <w:r w:rsidRPr="001B6E4D">
              <w:rPr>
                <w:rFonts w:ascii="標楷體" w:eastAsia="標楷體" w:hAnsi="標楷體"/>
                <w:sz w:val="24"/>
              </w:rPr>
              <w:t>（11-3-16）</w:t>
            </w:r>
          </w:p>
        </w:tc>
        <w:tc>
          <w:tcPr>
            <w:tcW w:w="988" w:type="pct"/>
          </w:tcPr>
          <w:p w14:paraId="2A5C8807" w14:textId="619A3768" w:rsidR="00E07D90" w:rsidRPr="001B6E4D" w:rsidRDefault="00E07D90"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780" w:type="pct"/>
          </w:tcPr>
          <w:p w14:paraId="3ADB2D7D" w14:textId="372F530F" w:rsidR="00E07D90" w:rsidRPr="001B6E4D" w:rsidRDefault="00E07D90"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A875F5" w:rsidRPr="001B6E4D" w14:paraId="1D8825D3" w14:textId="77777777" w:rsidTr="00095407">
        <w:tc>
          <w:tcPr>
            <w:tcW w:w="367" w:type="pct"/>
          </w:tcPr>
          <w:p w14:paraId="3F41DBD2" w14:textId="5BC24AB2" w:rsidR="00A875F5" w:rsidRPr="001B6E4D" w:rsidRDefault="00A875F5" w:rsidP="003D1018">
            <w:pPr>
              <w:overflowPunct w:val="0"/>
              <w:jc w:val="center"/>
              <w:rPr>
                <w:rFonts w:ascii="標楷體" w:eastAsia="標楷體" w:hAnsi="標楷體"/>
                <w:sz w:val="24"/>
              </w:rPr>
            </w:pPr>
            <w:r w:rsidRPr="001B6E4D">
              <w:rPr>
                <w:rFonts w:ascii="標楷體" w:eastAsia="標楷體" w:hAnsi="標楷體" w:hint="eastAsia"/>
                <w:sz w:val="24"/>
              </w:rPr>
              <w:t>3</w:t>
            </w:r>
          </w:p>
        </w:tc>
        <w:tc>
          <w:tcPr>
            <w:tcW w:w="1718" w:type="pct"/>
            <w:shd w:val="clear" w:color="auto" w:fill="auto"/>
          </w:tcPr>
          <w:p w14:paraId="5C9ACA80" w14:textId="5EF2C2C7" w:rsidR="00A875F5" w:rsidRPr="001B6E4D" w:rsidRDefault="00A875F5" w:rsidP="003D1018">
            <w:pPr>
              <w:pStyle w:val="01"/>
              <w:overflowPunct w:val="0"/>
              <w:rPr>
                <w:rFonts w:hAnsi="標楷體" w:cs="Times New Roman"/>
                <w:sz w:val="24"/>
                <w:szCs w:val="24"/>
              </w:rPr>
            </w:pPr>
            <w:r w:rsidRPr="001B6E4D">
              <w:rPr>
                <w:rFonts w:hAnsi="標楷體" w:cs="Times New Roman"/>
                <w:sz w:val="24"/>
                <w:szCs w:val="24"/>
              </w:rPr>
              <w:t>司法院函送財團法人法律扶助基金會</w:t>
            </w:r>
            <w:proofErr w:type="gramStart"/>
            <w:r w:rsidRPr="001B6E4D">
              <w:rPr>
                <w:rFonts w:hAnsi="標楷體" w:cs="Times New Roman"/>
                <w:sz w:val="24"/>
                <w:szCs w:val="24"/>
              </w:rPr>
              <w:t>114</w:t>
            </w:r>
            <w:proofErr w:type="gramEnd"/>
            <w:r w:rsidRPr="001B6E4D">
              <w:rPr>
                <w:rFonts w:hAnsi="標楷體" w:cs="Times New Roman"/>
                <w:sz w:val="24"/>
                <w:szCs w:val="24"/>
              </w:rPr>
              <w:t>年度決算書案。</w:t>
            </w:r>
          </w:p>
        </w:tc>
        <w:tc>
          <w:tcPr>
            <w:tcW w:w="1147" w:type="pct"/>
            <w:shd w:val="clear" w:color="auto" w:fill="auto"/>
          </w:tcPr>
          <w:p w14:paraId="22273D83" w14:textId="77777777" w:rsidR="00A875F5" w:rsidRPr="001B6E4D" w:rsidRDefault="00A875F5" w:rsidP="003D1018">
            <w:pPr>
              <w:overflowPunct w:val="0"/>
              <w:rPr>
                <w:rFonts w:ascii="標楷體" w:eastAsia="標楷體" w:hAnsi="標楷體"/>
                <w:sz w:val="24"/>
              </w:rPr>
            </w:pPr>
            <w:r w:rsidRPr="001B6E4D">
              <w:rPr>
                <w:rFonts w:ascii="標楷體" w:eastAsia="標楷體" w:hAnsi="標楷體"/>
                <w:sz w:val="24"/>
              </w:rPr>
              <w:t>司法院</w:t>
            </w:r>
          </w:p>
          <w:p w14:paraId="566F8FAC" w14:textId="77777777" w:rsidR="00A875F5" w:rsidRPr="001B6E4D" w:rsidRDefault="00A875F5" w:rsidP="003D1018">
            <w:pPr>
              <w:overflowPunct w:val="0"/>
              <w:rPr>
                <w:rFonts w:ascii="標楷體" w:eastAsia="標楷體" w:hAnsi="標楷體"/>
                <w:sz w:val="24"/>
              </w:rPr>
            </w:pPr>
            <w:r w:rsidRPr="001B6E4D">
              <w:rPr>
                <w:rFonts w:ascii="標楷體" w:eastAsia="標楷體" w:hAnsi="標楷體"/>
                <w:sz w:val="24"/>
              </w:rPr>
              <w:t>115.06.05</w:t>
            </w:r>
          </w:p>
          <w:p w14:paraId="5B41CC02" w14:textId="10E7A576" w:rsidR="00A875F5" w:rsidRPr="001B6E4D" w:rsidRDefault="00A875F5" w:rsidP="003D1018">
            <w:pPr>
              <w:overflowPunct w:val="0"/>
              <w:jc w:val="both"/>
              <w:rPr>
                <w:rFonts w:ascii="標楷體" w:eastAsia="標楷體" w:hAnsi="標楷體"/>
                <w:sz w:val="24"/>
              </w:rPr>
            </w:pPr>
            <w:r w:rsidRPr="001B6E4D">
              <w:rPr>
                <w:rFonts w:ascii="標楷體" w:eastAsia="標楷體" w:hAnsi="標楷體"/>
                <w:sz w:val="24"/>
              </w:rPr>
              <w:t>（11-5-13）</w:t>
            </w:r>
          </w:p>
        </w:tc>
        <w:tc>
          <w:tcPr>
            <w:tcW w:w="988" w:type="pct"/>
          </w:tcPr>
          <w:p w14:paraId="063C5035" w14:textId="454F6BB5" w:rsidR="00A875F5" w:rsidRPr="001B6E4D" w:rsidRDefault="00A875F5"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780" w:type="pct"/>
          </w:tcPr>
          <w:p w14:paraId="52DDAECF" w14:textId="4821A61A" w:rsidR="00A875F5" w:rsidRPr="001B6E4D" w:rsidRDefault="00A875F5"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A875F5" w:rsidRPr="001B6E4D" w14:paraId="2D6FD2A2" w14:textId="77777777" w:rsidTr="00095407">
        <w:tc>
          <w:tcPr>
            <w:tcW w:w="367" w:type="pct"/>
          </w:tcPr>
          <w:p w14:paraId="0B1FD557" w14:textId="3E3BD551" w:rsidR="00A875F5" w:rsidRPr="001B6E4D" w:rsidRDefault="00A875F5" w:rsidP="003D1018">
            <w:pPr>
              <w:overflowPunct w:val="0"/>
              <w:jc w:val="center"/>
              <w:rPr>
                <w:rFonts w:ascii="標楷體" w:eastAsia="標楷體" w:hAnsi="標楷體"/>
                <w:sz w:val="24"/>
              </w:rPr>
            </w:pPr>
            <w:r w:rsidRPr="001B6E4D">
              <w:rPr>
                <w:rFonts w:ascii="標楷體" w:eastAsia="標楷體" w:hAnsi="標楷體" w:hint="eastAsia"/>
                <w:sz w:val="24"/>
              </w:rPr>
              <w:t>4</w:t>
            </w:r>
          </w:p>
        </w:tc>
        <w:tc>
          <w:tcPr>
            <w:tcW w:w="1718" w:type="pct"/>
            <w:shd w:val="clear" w:color="auto" w:fill="auto"/>
          </w:tcPr>
          <w:p w14:paraId="5F481B3B" w14:textId="21C34988" w:rsidR="00A875F5" w:rsidRPr="001B6E4D" w:rsidRDefault="00A875F5" w:rsidP="003D1018">
            <w:pPr>
              <w:pStyle w:val="01"/>
              <w:overflowPunct w:val="0"/>
              <w:rPr>
                <w:rFonts w:hAnsi="標楷體" w:cs="Times New Roman"/>
                <w:sz w:val="24"/>
                <w:szCs w:val="24"/>
              </w:rPr>
            </w:pPr>
            <w:r w:rsidRPr="001B6E4D">
              <w:rPr>
                <w:rFonts w:hAnsi="標楷體" w:cs="Times New Roman"/>
                <w:sz w:val="24"/>
                <w:szCs w:val="24"/>
              </w:rPr>
              <w:t>法務部函送財團法人臺灣更生保護會、財團法人福建更生保護會及財團法人犯罪被害人保護協會</w:t>
            </w:r>
            <w:proofErr w:type="gramStart"/>
            <w:r w:rsidRPr="001B6E4D">
              <w:rPr>
                <w:rFonts w:hAnsi="標楷體" w:cs="Times New Roman"/>
                <w:sz w:val="24"/>
                <w:szCs w:val="24"/>
              </w:rPr>
              <w:t>114</w:t>
            </w:r>
            <w:proofErr w:type="gramEnd"/>
            <w:r w:rsidRPr="001B6E4D">
              <w:rPr>
                <w:rFonts w:hAnsi="標楷體" w:cs="Times New Roman"/>
                <w:sz w:val="24"/>
                <w:szCs w:val="24"/>
              </w:rPr>
              <w:t>年度決算書案。</w:t>
            </w:r>
          </w:p>
        </w:tc>
        <w:tc>
          <w:tcPr>
            <w:tcW w:w="1147" w:type="pct"/>
            <w:shd w:val="clear" w:color="auto" w:fill="auto"/>
          </w:tcPr>
          <w:p w14:paraId="5BE89995" w14:textId="77777777" w:rsidR="00A875F5" w:rsidRPr="001B6E4D" w:rsidRDefault="00A875F5" w:rsidP="003D1018">
            <w:pPr>
              <w:overflowPunct w:val="0"/>
              <w:rPr>
                <w:rFonts w:ascii="標楷體" w:eastAsia="標楷體" w:hAnsi="標楷體"/>
                <w:sz w:val="24"/>
              </w:rPr>
            </w:pPr>
            <w:r w:rsidRPr="001B6E4D">
              <w:rPr>
                <w:rFonts w:ascii="標楷體" w:eastAsia="標楷體" w:hAnsi="標楷體"/>
                <w:sz w:val="24"/>
              </w:rPr>
              <w:t>法務部</w:t>
            </w:r>
          </w:p>
          <w:p w14:paraId="0558C54B" w14:textId="77777777" w:rsidR="00A875F5" w:rsidRPr="001B6E4D" w:rsidRDefault="00A875F5" w:rsidP="003D1018">
            <w:pPr>
              <w:overflowPunct w:val="0"/>
              <w:rPr>
                <w:rFonts w:ascii="標楷體" w:eastAsia="標楷體" w:hAnsi="標楷體"/>
                <w:sz w:val="24"/>
              </w:rPr>
            </w:pPr>
            <w:r w:rsidRPr="001B6E4D">
              <w:rPr>
                <w:rFonts w:ascii="標楷體" w:eastAsia="標楷體" w:hAnsi="標楷體"/>
                <w:sz w:val="24"/>
              </w:rPr>
              <w:t>115.06.12</w:t>
            </w:r>
          </w:p>
          <w:p w14:paraId="54115261" w14:textId="399591C2" w:rsidR="00A875F5" w:rsidRPr="001B6E4D" w:rsidRDefault="00A875F5" w:rsidP="003D1018">
            <w:pPr>
              <w:overflowPunct w:val="0"/>
              <w:jc w:val="both"/>
              <w:rPr>
                <w:rFonts w:ascii="標楷體" w:eastAsia="標楷體" w:hAnsi="標楷體"/>
                <w:sz w:val="24"/>
              </w:rPr>
            </w:pPr>
            <w:r w:rsidRPr="001B6E4D">
              <w:rPr>
                <w:rFonts w:ascii="標楷體" w:eastAsia="標楷體" w:hAnsi="標楷體"/>
                <w:sz w:val="24"/>
              </w:rPr>
              <w:t>（11-5-14）</w:t>
            </w:r>
          </w:p>
        </w:tc>
        <w:tc>
          <w:tcPr>
            <w:tcW w:w="988" w:type="pct"/>
          </w:tcPr>
          <w:p w14:paraId="379238B1" w14:textId="11B1D14A" w:rsidR="00A875F5" w:rsidRPr="001B6E4D" w:rsidRDefault="00A875F5"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780" w:type="pct"/>
          </w:tcPr>
          <w:p w14:paraId="7F95B5E3" w14:textId="18F7EFD1" w:rsidR="00A875F5" w:rsidRPr="001B6E4D" w:rsidRDefault="00A875F5" w:rsidP="003D1018">
            <w:pPr>
              <w:overflowPunct w:val="0"/>
              <w:jc w:val="both"/>
              <w:rPr>
                <w:rFonts w:ascii="標楷體" w:eastAsia="標楷體" w:hAnsi="標楷體"/>
                <w:sz w:val="24"/>
              </w:rPr>
            </w:pPr>
            <w:r w:rsidRPr="001B6E4D">
              <w:rPr>
                <w:rFonts w:ascii="標楷體" w:eastAsia="標楷體" w:hAnsi="標楷體"/>
                <w:sz w:val="24"/>
              </w:rPr>
              <w:t>尚未審查</w:t>
            </w:r>
          </w:p>
        </w:tc>
      </w:tr>
    </w:tbl>
    <w:p w14:paraId="25D860B6" w14:textId="07032377" w:rsidR="009B28A5" w:rsidRPr="001B6E4D" w:rsidRDefault="009B28A5" w:rsidP="003D1018">
      <w:pPr>
        <w:pStyle w:val="affffff0"/>
        <w:kinsoku w:val="0"/>
        <w:overflowPunct w:val="0"/>
        <w:topLinePunct/>
        <w:spacing w:beforeLines="100" w:before="240" w:afterLines="70" w:after="168" w:line="260" w:lineRule="exact"/>
        <w:ind w:leftChars="128" w:left="307" w:firstLineChars="280" w:firstLine="785"/>
        <w:rPr>
          <w:color w:val="000000" w:themeColor="text1"/>
          <w:szCs w:val="28"/>
          <w:shd w:val="clear" w:color="auto" w:fill="FFFFFF" w:themeFill="background1"/>
        </w:rPr>
      </w:pPr>
      <w:bookmarkStart w:id="377" w:name="_Toc136594878"/>
      <w:bookmarkStart w:id="378" w:name="_Toc240446563"/>
      <w:bookmarkEnd w:id="376"/>
      <w:r w:rsidRPr="001B6E4D">
        <w:rPr>
          <w:rFonts w:hint="eastAsia"/>
          <w:color w:val="000000" w:themeColor="text1"/>
          <w:szCs w:val="28"/>
          <w:shd w:val="clear" w:color="auto" w:fill="FFFFFF" w:themeFill="background1"/>
        </w:rPr>
        <w:t>二</w:t>
      </w:r>
      <w:r w:rsidRPr="001B6E4D">
        <w:rPr>
          <w:color w:val="000000" w:themeColor="text1"/>
          <w:szCs w:val="28"/>
          <w:shd w:val="clear" w:color="auto" w:fill="FFFFFF" w:themeFill="background1"/>
        </w:rPr>
        <w:t>、預算凍結案</w:t>
      </w:r>
      <w:r w:rsidR="008952A4" w:rsidRPr="001B6E4D">
        <w:rPr>
          <w:rFonts w:hint="eastAsia"/>
          <w:color w:val="000000" w:themeColor="text1"/>
          <w:szCs w:val="28"/>
          <w:shd w:val="clear" w:color="auto" w:fill="FFFFFF" w:themeFill="background1"/>
        </w:rPr>
        <w:t>15</w:t>
      </w:r>
      <w:r w:rsidRPr="001B6E4D">
        <w:rPr>
          <w:rFonts w:hint="eastAsia"/>
          <w:color w:val="000000" w:themeColor="text1"/>
          <w:szCs w:val="28"/>
          <w:shd w:val="clear" w:color="auto" w:fill="FFFFFF" w:themeFill="background1"/>
        </w:rPr>
        <w:t>案</w:t>
      </w:r>
      <w:bookmarkEnd w:id="374"/>
      <w:bookmarkEnd w:id="375"/>
      <w:bookmarkEnd w:id="377"/>
      <w:bookmarkEnd w:id="378"/>
    </w:p>
    <w:p w14:paraId="22BD57A3" w14:textId="7B03F297" w:rsidR="00950151" w:rsidRPr="001B6E4D" w:rsidRDefault="009B28A5" w:rsidP="003D1018">
      <w:pPr>
        <w:pStyle w:val="-40"/>
        <w:kinsoku w:val="0"/>
        <w:overflowPunct w:val="0"/>
        <w:topLinePunct/>
        <w:spacing w:beforeLines="100" w:before="240" w:afterLines="70" w:after="168" w:line="260" w:lineRule="exact"/>
        <w:ind w:leftChars="128" w:left="307" w:firstLineChars="400" w:firstLine="1121"/>
        <w:outlineLvl w:val="2"/>
        <w:rPr>
          <w:color w:val="000000" w:themeColor="text1"/>
          <w:shd w:val="clear" w:color="auto" w:fill="FFFFFF" w:themeFill="background1"/>
        </w:rPr>
      </w:pPr>
      <w:bookmarkStart w:id="379" w:name="_Toc240446564"/>
      <w:bookmarkStart w:id="380" w:name="_Toc173310642"/>
      <w:bookmarkStart w:id="381" w:name="_Toc361217372"/>
      <w:bookmarkStart w:id="382" w:name="_Toc362968432"/>
      <w:bookmarkStart w:id="383" w:name="_Toc136594883"/>
      <w:r w:rsidRPr="001B6E4D">
        <w:rPr>
          <w:color w:val="000000" w:themeColor="text1"/>
          <w:shd w:val="clear" w:color="auto" w:fill="FFFFFF" w:themeFill="background1"/>
        </w:rPr>
        <w:t>（</w:t>
      </w:r>
      <w:r w:rsidRPr="001B6E4D">
        <w:rPr>
          <w:rFonts w:hint="eastAsia"/>
          <w:color w:val="000000" w:themeColor="text1"/>
          <w:shd w:val="clear" w:color="auto" w:fill="FFFFFF" w:themeFill="background1"/>
        </w:rPr>
        <w:t>一</w:t>
      </w:r>
      <w:r w:rsidRPr="001B6E4D">
        <w:rPr>
          <w:color w:val="000000" w:themeColor="text1"/>
          <w:shd w:val="clear" w:color="auto" w:fill="FFFFFF" w:themeFill="background1"/>
        </w:rPr>
        <w:t>）</w:t>
      </w:r>
      <w:r w:rsidR="006117C4" w:rsidRPr="001B6E4D">
        <w:rPr>
          <w:color w:val="000000" w:themeColor="text1"/>
          <w:shd w:val="clear" w:color="auto" w:fill="FFFFFF" w:themeFill="background1"/>
        </w:rPr>
        <w:t>行政院</w:t>
      </w:r>
      <w:r w:rsidR="008952A4" w:rsidRPr="001B6E4D">
        <w:rPr>
          <w:rFonts w:hint="eastAsia"/>
          <w:color w:val="000000" w:themeColor="text1"/>
          <w:shd w:val="clear" w:color="auto" w:fill="FFFFFF" w:themeFill="background1"/>
        </w:rPr>
        <w:t>7</w:t>
      </w:r>
      <w:r w:rsidR="006117C4" w:rsidRPr="001B6E4D">
        <w:rPr>
          <w:color w:val="000000" w:themeColor="text1"/>
          <w:shd w:val="clear" w:color="auto" w:fill="FFFFFF" w:themeFill="background1"/>
        </w:rPr>
        <w:t>案</w:t>
      </w:r>
      <w:bookmarkEnd w:id="379"/>
    </w:p>
    <w:tbl>
      <w:tblPr>
        <w:tblStyle w:val="ae"/>
        <w:tblW w:w="5037"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20"/>
        <w:gridCol w:w="2900"/>
        <w:gridCol w:w="2126"/>
        <w:gridCol w:w="1513"/>
        <w:gridCol w:w="1525"/>
      </w:tblGrid>
      <w:tr w:rsidR="00950151" w:rsidRPr="001B6E4D" w14:paraId="158CB669" w14:textId="77777777" w:rsidTr="0074527C">
        <w:tc>
          <w:tcPr>
            <w:tcW w:w="357" w:type="pct"/>
            <w:vAlign w:val="center"/>
          </w:tcPr>
          <w:p w14:paraId="54D7C2F5" w14:textId="77777777" w:rsidR="00950151" w:rsidRPr="001B6E4D" w:rsidRDefault="0095015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670" w:type="pct"/>
            <w:vAlign w:val="center"/>
          </w:tcPr>
          <w:p w14:paraId="745F1A6D" w14:textId="77777777" w:rsidR="00950151" w:rsidRPr="001B6E4D" w:rsidRDefault="0095015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224" w:type="pct"/>
            <w:vAlign w:val="center"/>
          </w:tcPr>
          <w:p w14:paraId="7F85B73D" w14:textId="77777777" w:rsidR="00950151" w:rsidRPr="001B6E4D" w:rsidRDefault="00950151" w:rsidP="003D1018">
            <w:pPr>
              <w:kinsoku w:val="0"/>
              <w:overflowPunct w:val="0"/>
              <w:topLinePunct/>
              <w:spacing w:beforeLines="50" w:before="12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47D391E0" w14:textId="77777777" w:rsidR="00950151" w:rsidRPr="001B6E4D" w:rsidRDefault="0095015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1A901BD0" w14:textId="77777777" w:rsidR="00950151" w:rsidRPr="001B6E4D" w:rsidRDefault="00950151" w:rsidP="003D1018">
            <w:pPr>
              <w:kinsoku w:val="0"/>
              <w:overflowPunct w:val="0"/>
              <w:topLinePunct/>
              <w:spacing w:afterLines="50" w:after="12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71" w:type="pct"/>
            <w:vAlign w:val="center"/>
          </w:tcPr>
          <w:p w14:paraId="2587C172" w14:textId="77777777" w:rsidR="00950151" w:rsidRPr="001B6E4D" w:rsidRDefault="0095015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委員會</w:t>
            </w:r>
          </w:p>
        </w:tc>
        <w:tc>
          <w:tcPr>
            <w:tcW w:w="878" w:type="pct"/>
            <w:vAlign w:val="center"/>
          </w:tcPr>
          <w:p w14:paraId="641505CF" w14:textId="77777777" w:rsidR="00950151" w:rsidRPr="001B6E4D" w:rsidRDefault="00950151" w:rsidP="003D1018">
            <w:pPr>
              <w:kinsoku w:val="0"/>
              <w:overflowPunct w:val="0"/>
              <w:topLinePunct/>
              <w:spacing w:line="300" w:lineRule="exact"/>
              <w:jc w:val="center"/>
              <w:rPr>
                <w:rFonts w:ascii="標楷體" w:eastAsia="標楷體" w:hAnsi="標楷體"/>
                <w:b/>
                <w:color w:val="000000" w:themeColor="text1"/>
                <w:spacing w:val="-28"/>
                <w:sz w:val="24"/>
                <w:shd w:val="clear" w:color="auto" w:fill="FFFFFF" w:themeFill="background1"/>
              </w:rPr>
            </w:pPr>
            <w:r w:rsidRPr="001B6E4D">
              <w:rPr>
                <w:rFonts w:ascii="標楷體" w:eastAsia="標楷體" w:hAnsi="標楷體"/>
                <w:b/>
                <w:color w:val="000000" w:themeColor="text1"/>
                <w:spacing w:val="-28"/>
                <w:sz w:val="24"/>
                <w:shd w:val="clear" w:color="auto" w:fill="FFFFFF" w:themeFill="background1"/>
              </w:rPr>
              <w:t>審查</w:t>
            </w:r>
            <w:r w:rsidRPr="001B6E4D">
              <w:rPr>
                <w:rFonts w:ascii="標楷體" w:eastAsia="標楷體" w:hAnsi="標楷體" w:hint="eastAsia"/>
                <w:b/>
                <w:color w:val="000000" w:themeColor="text1"/>
                <w:spacing w:val="-28"/>
                <w:sz w:val="24"/>
                <w:shd w:val="clear" w:color="auto" w:fill="FFFFFF" w:themeFill="background1"/>
              </w:rPr>
              <w:t>、處理</w:t>
            </w:r>
            <w:r w:rsidRPr="001B6E4D">
              <w:rPr>
                <w:rFonts w:ascii="標楷體" w:eastAsia="標楷體" w:hAnsi="標楷體"/>
                <w:b/>
                <w:color w:val="000000" w:themeColor="text1"/>
                <w:spacing w:val="-28"/>
                <w:sz w:val="24"/>
                <w:shd w:val="clear" w:color="auto" w:fill="FFFFFF" w:themeFill="background1"/>
              </w:rPr>
              <w:t>情形</w:t>
            </w:r>
          </w:p>
        </w:tc>
      </w:tr>
      <w:tr w:rsidR="00950151" w:rsidRPr="001B6E4D" w14:paraId="3DEB5443" w14:textId="77777777" w:rsidTr="0074527C">
        <w:tc>
          <w:tcPr>
            <w:tcW w:w="357" w:type="pct"/>
          </w:tcPr>
          <w:p w14:paraId="523E9650" w14:textId="2BECD912" w:rsidR="00950151" w:rsidRPr="001B6E4D" w:rsidRDefault="00950151" w:rsidP="003D1018">
            <w:pPr>
              <w:overflowPunct w:val="0"/>
              <w:jc w:val="center"/>
              <w:rPr>
                <w:rFonts w:ascii="標楷體" w:eastAsia="標楷體" w:hAnsi="標楷體"/>
                <w:b/>
                <w:color w:val="000000" w:themeColor="text1"/>
                <w:sz w:val="24"/>
              </w:rPr>
            </w:pPr>
            <w:r w:rsidRPr="001B6E4D">
              <w:rPr>
                <w:rFonts w:ascii="標楷體" w:eastAsia="標楷體" w:hAnsi="標楷體"/>
                <w:sz w:val="24"/>
              </w:rPr>
              <w:t>1</w:t>
            </w:r>
          </w:p>
        </w:tc>
        <w:tc>
          <w:tcPr>
            <w:tcW w:w="1670" w:type="pct"/>
          </w:tcPr>
          <w:p w14:paraId="46194F6F" w14:textId="7F24B2DD" w:rsidR="00950151" w:rsidRPr="001B6E4D" w:rsidRDefault="00950151" w:rsidP="003D1018">
            <w:pPr>
              <w:overflowPunct w:val="0"/>
              <w:spacing w:line="360" w:lineRule="exact"/>
              <w:jc w:val="both"/>
              <w:rPr>
                <w:rFonts w:ascii="標楷體" w:eastAsia="標楷體" w:hAnsi="標楷體" w:cstheme="minorBidi"/>
                <w:b/>
                <w:color w:val="000000" w:themeColor="text1"/>
                <w:sz w:val="24"/>
              </w:rPr>
            </w:pPr>
            <w:r w:rsidRPr="001B6E4D">
              <w:rPr>
                <w:rFonts w:ascii="標楷體" w:eastAsia="標楷體" w:hAnsi="標楷體"/>
                <w:sz w:val="24"/>
              </w:rPr>
              <w:t>法務部函，為</w:t>
            </w:r>
            <w:proofErr w:type="gramStart"/>
            <w:r w:rsidRPr="001B6E4D">
              <w:rPr>
                <w:rFonts w:ascii="標楷體" w:eastAsia="標楷體" w:hAnsi="標楷體"/>
                <w:sz w:val="24"/>
              </w:rPr>
              <w:t>113</w:t>
            </w:r>
            <w:proofErr w:type="gramEnd"/>
            <w:r w:rsidRPr="001B6E4D">
              <w:rPr>
                <w:rFonts w:ascii="標楷體" w:eastAsia="標楷體" w:hAnsi="標楷體"/>
                <w:sz w:val="24"/>
              </w:rPr>
              <w:t>年度中央政府總預算附屬單位預算決議，檢送毒品防制基金決議第1項預算凍結書面報告，請查照案。</w:t>
            </w:r>
          </w:p>
        </w:tc>
        <w:tc>
          <w:tcPr>
            <w:tcW w:w="1224" w:type="pct"/>
          </w:tcPr>
          <w:p w14:paraId="0B662268" w14:textId="77777777" w:rsidR="00950151" w:rsidRPr="001B6E4D" w:rsidRDefault="00950151" w:rsidP="003D1018">
            <w:pPr>
              <w:overflowPunct w:val="0"/>
              <w:jc w:val="both"/>
              <w:rPr>
                <w:rFonts w:ascii="標楷體" w:eastAsia="標楷體" w:hAnsi="標楷體"/>
                <w:sz w:val="24"/>
              </w:rPr>
            </w:pPr>
            <w:r w:rsidRPr="001B6E4D">
              <w:rPr>
                <w:rFonts w:ascii="標楷體" w:eastAsia="標楷體" w:hAnsi="標楷體"/>
                <w:sz w:val="24"/>
              </w:rPr>
              <w:t>法務部</w:t>
            </w:r>
          </w:p>
          <w:p w14:paraId="6842A547" w14:textId="77777777" w:rsidR="00950151" w:rsidRPr="001B6E4D" w:rsidRDefault="00950151" w:rsidP="003D1018">
            <w:pPr>
              <w:overflowPunct w:val="0"/>
              <w:jc w:val="both"/>
              <w:rPr>
                <w:rFonts w:ascii="標楷體" w:eastAsia="標楷體" w:hAnsi="標楷體"/>
                <w:sz w:val="24"/>
              </w:rPr>
            </w:pPr>
            <w:r w:rsidRPr="001B6E4D">
              <w:rPr>
                <w:rFonts w:ascii="標楷體" w:eastAsia="標楷體" w:hAnsi="標楷體"/>
                <w:sz w:val="24"/>
              </w:rPr>
              <w:t>114.03.07</w:t>
            </w:r>
          </w:p>
          <w:p w14:paraId="5CA27D4F" w14:textId="5FCB8928"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（11-3-4）</w:t>
            </w:r>
          </w:p>
        </w:tc>
        <w:tc>
          <w:tcPr>
            <w:tcW w:w="871" w:type="pct"/>
          </w:tcPr>
          <w:p w14:paraId="60AE266D" w14:textId="6F78715C"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司法及法制</w:t>
            </w:r>
          </w:p>
        </w:tc>
        <w:tc>
          <w:tcPr>
            <w:tcW w:w="878" w:type="pct"/>
          </w:tcPr>
          <w:p w14:paraId="0039A13D" w14:textId="2E969FBB"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尚未處理</w:t>
            </w:r>
          </w:p>
        </w:tc>
      </w:tr>
      <w:tr w:rsidR="00950151" w:rsidRPr="001B6E4D" w14:paraId="6330D2EB" w14:textId="77777777" w:rsidTr="0074527C">
        <w:tc>
          <w:tcPr>
            <w:tcW w:w="357" w:type="pct"/>
          </w:tcPr>
          <w:p w14:paraId="080C638A" w14:textId="71FFE065" w:rsidR="00950151" w:rsidRPr="001B6E4D" w:rsidRDefault="00950151"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2</w:t>
            </w:r>
          </w:p>
        </w:tc>
        <w:tc>
          <w:tcPr>
            <w:tcW w:w="1670" w:type="pct"/>
          </w:tcPr>
          <w:p w14:paraId="5E5354C9" w14:textId="27A9CBC2" w:rsidR="00950151" w:rsidRPr="001B6E4D" w:rsidRDefault="00950151" w:rsidP="003D1018">
            <w:pPr>
              <w:overflowPunct w:val="0"/>
              <w:spacing w:line="360" w:lineRule="exact"/>
              <w:jc w:val="both"/>
              <w:rPr>
                <w:rFonts w:ascii="標楷體" w:eastAsia="標楷體" w:hAnsi="標楷體" w:cstheme="minorBidi"/>
                <w:b/>
                <w:color w:val="000000" w:themeColor="text1"/>
                <w:sz w:val="24"/>
              </w:rPr>
            </w:pPr>
            <w:r w:rsidRPr="001B6E4D">
              <w:rPr>
                <w:rFonts w:ascii="標楷體" w:eastAsia="標楷體" w:hAnsi="標楷體"/>
                <w:color w:val="000000" w:themeColor="text1"/>
                <w:sz w:val="24"/>
              </w:rPr>
              <w:t>行政院人事行政總處函，為</w:t>
            </w:r>
            <w:proofErr w:type="gramStart"/>
            <w:r w:rsidRPr="001B6E4D">
              <w:rPr>
                <w:rFonts w:ascii="標楷體" w:eastAsia="標楷體" w:hAnsi="標楷體"/>
                <w:color w:val="000000" w:themeColor="text1"/>
                <w:sz w:val="24"/>
              </w:rPr>
              <w:t>114</w:t>
            </w:r>
            <w:proofErr w:type="gramEnd"/>
            <w:r w:rsidRPr="001B6E4D">
              <w:rPr>
                <w:rFonts w:ascii="標楷體" w:eastAsia="標楷體" w:hAnsi="標楷體"/>
                <w:color w:val="000000" w:themeColor="text1"/>
                <w:sz w:val="24"/>
              </w:rPr>
              <w:t>年度中央政府總預算決議，檢送新增決議</w:t>
            </w:r>
            <w:r w:rsidRPr="001B6E4D">
              <w:rPr>
                <w:rFonts w:ascii="標楷體" w:eastAsia="標楷體" w:hAnsi="標楷體"/>
                <w:color w:val="000000" w:themeColor="text1"/>
                <w:sz w:val="24"/>
              </w:rPr>
              <w:lastRenderedPageBreak/>
              <w:t>（九十八）預算凍結書面報告，請查照案。</w:t>
            </w:r>
          </w:p>
        </w:tc>
        <w:tc>
          <w:tcPr>
            <w:tcW w:w="1224" w:type="pct"/>
          </w:tcPr>
          <w:p w14:paraId="211EC0F3" w14:textId="77777777" w:rsidR="00950151" w:rsidRPr="001B6E4D" w:rsidRDefault="0095015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行政院人事行政總處</w:t>
            </w:r>
          </w:p>
          <w:p w14:paraId="33DCFA74" w14:textId="77777777" w:rsidR="00950151" w:rsidRPr="001B6E4D" w:rsidRDefault="0095015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114.05.09</w:t>
            </w:r>
          </w:p>
          <w:p w14:paraId="7B67DC4D" w14:textId="3F80F541"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（11-3-11）</w:t>
            </w:r>
          </w:p>
        </w:tc>
        <w:tc>
          <w:tcPr>
            <w:tcW w:w="871" w:type="pct"/>
          </w:tcPr>
          <w:p w14:paraId="5A7B823D" w14:textId="27FB5608"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878" w:type="pct"/>
          </w:tcPr>
          <w:p w14:paraId="1EDB15D9" w14:textId="77777777" w:rsidR="00950151" w:rsidRPr="001B6E4D" w:rsidRDefault="0095015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5E1FB53" w14:textId="77777777" w:rsidR="00950151" w:rsidRPr="001B6E4D" w:rsidRDefault="0095015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w:t>
            </w:r>
            <w:r w:rsidRPr="001B6E4D">
              <w:rPr>
                <w:rFonts w:ascii="標楷體" w:eastAsia="標楷體" w:hAnsi="標楷體" w:hint="eastAsia"/>
                <w:color w:val="000000" w:themeColor="text1"/>
                <w:sz w:val="24"/>
              </w:rPr>
              <w:t>4</w:t>
            </w:r>
            <w:r w:rsidRPr="001B6E4D">
              <w:rPr>
                <w:rFonts w:ascii="標楷體" w:eastAsia="標楷體" w:hAnsi="標楷體"/>
                <w:color w:val="000000" w:themeColor="text1"/>
                <w:sz w:val="24"/>
              </w:rPr>
              <w:t>.5.</w:t>
            </w:r>
            <w:r w:rsidRPr="001B6E4D">
              <w:rPr>
                <w:rFonts w:ascii="標楷體" w:eastAsia="標楷體" w:hAnsi="標楷體" w:hint="eastAsia"/>
                <w:color w:val="000000" w:themeColor="text1"/>
                <w:sz w:val="24"/>
              </w:rPr>
              <w:t>12</w:t>
            </w:r>
          </w:p>
          <w:p w14:paraId="699A6565" w14:textId="597382A8"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w:t>
            </w:r>
            <w:r w:rsidRPr="001B6E4D">
              <w:rPr>
                <w:rFonts w:ascii="標楷體" w:eastAsia="標楷體" w:hAnsi="標楷體" w:hint="eastAsia"/>
                <w:color w:val="000000" w:themeColor="text1"/>
                <w:sz w:val="24"/>
              </w:rPr>
              <w:t>3</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16</w:t>
            </w:r>
            <w:r w:rsidRPr="001B6E4D">
              <w:rPr>
                <w:rFonts w:ascii="標楷體" w:eastAsia="標楷體" w:hAnsi="標楷體"/>
                <w:color w:val="000000" w:themeColor="text1"/>
                <w:sz w:val="24"/>
              </w:rPr>
              <w:t>)報告及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w:t>
            </w:r>
            <w:r w:rsidRPr="001B6E4D">
              <w:rPr>
                <w:rFonts w:ascii="標楷體" w:eastAsia="標楷體" w:hAnsi="標楷體"/>
                <w:color w:val="000000" w:themeColor="text1"/>
                <w:sz w:val="24"/>
              </w:rPr>
              <w:lastRenderedPageBreak/>
              <w:t>完畢，另定期繼續處理。</w:t>
            </w:r>
          </w:p>
        </w:tc>
      </w:tr>
      <w:tr w:rsidR="00950151" w:rsidRPr="001B6E4D" w14:paraId="2A2E1649" w14:textId="77777777" w:rsidTr="0074527C">
        <w:tc>
          <w:tcPr>
            <w:tcW w:w="357" w:type="pct"/>
          </w:tcPr>
          <w:p w14:paraId="63186B8B" w14:textId="1ECF6E34" w:rsidR="00950151" w:rsidRPr="001B6E4D" w:rsidRDefault="00950151"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lastRenderedPageBreak/>
              <w:t>3</w:t>
            </w:r>
          </w:p>
        </w:tc>
        <w:tc>
          <w:tcPr>
            <w:tcW w:w="1670" w:type="pct"/>
          </w:tcPr>
          <w:p w14:paraId="3AE29C19" w14:textId="6314CEAA" w:rsidR="00950151" w:rsidRPr="001B6E4D" w:rsidRDefault="00950151" w:rsidP="003D1018">
            <w:pPr>
              <w:overflowPunct w:val="0"/>
              <w:spacing w:line="360" w:lineRule="exact"/>
              <w:jc w:val="both"/>
              <w:rPr>
                <w:rFonts w:ascii="標楷體" w:eastAsia="標楷體" w:hAnsi="標楷體" w:cstheme="minorBidi"/>
                <w:b/>
                <w:color w:val="000000" w:themeColor="text1"/>
                <w:sz w:val="24"/>
              </w:rPr>
            </w:pPr>
            <w:r w:rsidRPr="001B6E4D">
              <w:rPr>
                <w:rFonts w:ascii="標楷體" w:eastAsia="標楷體" w:hAnsi="標楷體"/>
                <w:color w:val="000000" w:themeColor="text1"/>
                <w:sz w:val="24"/>
              </w:rPr>
              <w:t>法務部函，為</w:t>
            </w:r>
            <w:proofErr w:type="gramStart"/>
            <w:r w:rsidRPr="001B6E4D">
              <w:rPr>
                <w:rFonts w:ascii="標楷體" w:eastAsia="標楷體" w:hAnsi="標楷體"/>
                <w:color w:val="000000" w:themeColor="text1"/>
                <w:sz w:val="24"/>
              </w:rPr>
              <w:t>114</w:t>
            </w:r>
            <w:proofErr w:type="gramEnd"/>
            <w:r w:rsidRPr="001B6E4D">
              <w:rPr>
                <w:rFonts w:ascii="標楷體" w:eastAsia="標楷體" w:hAnsi="標楷體"/>
                <w:color w:val="000000" w:themeColor="text1"/>
                <w:sz w:val="24"/>
              </w:rPr>
              <w:t>年度中央政府總預算附屬單位預算決議，檢送毒品防制基金決議第1項預算凍結書面報告，請查照案。</w:t>
            </w:r>
          </w:p>
        </w:tc>
        <w:tc>
          <w:tcPr>
            <w:tcW w:w="1224" w:type="pct"/>
          </w:tcPr>
          <w:p w14:paraId="03D30CFB" w14:textId="77777777" w:rsidR="00950151" w:rsidRPr="001B6E4D" w:rsidRDefault="0095015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法務部</w:t>
            </w:r>
          </w:p>
          <w:p w14:paraId="52A59F52" w14:textId="77777777" w:rsidR="00950151" w:rsidRPr="001B6E4D" w:rsidRDefault="00950151"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115.04.10</w:t>
            </w:r>
          </w:p>
          <w:p w14:paraId="0AA0E63A" w14:textId="36DDF816"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（11-5-6）</w:t>
            </w:r>
          </w:p>
        </w:tc>
        <w:tc>
          <w:tcPr>
            <w:tcW w:w="871" w:type="pct"/>
          </w:tcPr>
          <w:p w14:paraId="59AD079A" w14:textId="5288DECF"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878" w:type="pct"/>
          </w:tcPr>
          <w:p w14:paraId="1F4B6352" w14:textId="785223DA"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尚未處理</w:t>
            </w:r>
          </w:p>
        </w:tc>
      </w:tr>
      <w:tr w:rsidR="00950151" w:rsidRPr="001B6E4D" w14:paraId="307C4843" w14:textId="77777777" w:rsidTr="0074527C">
        <w:tc>
          <w:tcPr>
            <w:tcW w:w="357" w:type="pct"/>
          </w:tcPr>
          <w:p w14:paraId="4519ABA9" w14:textId="7D01E26F" w:rsidR="00950151" w:rsidRPr="001B6E4D" w:rsidRDefault="00950151" w:rsidP="003D1018">
            <w:pPr>
              <w:overflowPunct w:val="0"/>
              <w:jc w:val="center"/>
              <w:rPr>
                <w:rFonts w:ascii="標楷體" w:eastAsia="標楷體" w:hAnsi="標楷體"/>
                <w:b/>
                <w:color w:val="000000" w:themeColor="text1"/>
                <w:sz w:val="24"/>
              </w:rPr>
            </w:pPr>
            <w:r w:rsidRPr="001B6E4D">
              <w:rPr>
                <w:rFonts w:ascii="標楷體" w:eastAsia="標楷體" w:hAnsi="標楷體"/>
                <w:sz w:val="24"/>
              </w:rPr>
              <w:t>4</w:t>
            </w:r>
          </w:p>
        </w:tc>
        <w:tc>
          <w:tcPr>
            <w:tcW w:w="1670" w:type="pct"/>
          </w:tcPr>
          <w:p w14:paraId="04DB54A1" w14:textId="02C9D55C" w:rsidR="00950151" w:rsidRPr="001B6E4D" w:rsidRDefault="00950151" w:rsidP="003D1018">
            <w:pPr>
              <w:overflowPunct w:val="0"/>
              <w:spacing w:line="360" w:lineRule="exact"/>
              <w:jc w:val="both"/>
              <w:rPr>
                <w:rFonts w:ascii="標楷體" w:eastAsia="標楷體" w:hAnsi="標楷體" w:cstheme="minorBidi"/>
                <w:b/>
                <w:color w:val="000000" w:themeColor="text1"/>
                <w:sz w:val="24"/>
              </w:rPr>
            </w:pPr>
            <w:r w:rsidRPr="001B6E4D">
              <w:rPr>
                <w:rFonts w:ascii="標楷體" w:eastAsia="標楷體" w:hAnsi="標楷體"/>
                <w:sz w:val="24"/>
              </w:rPr>
              <w:t>法務部函，為</w:t>
            </w:r>
            <w:proofErr w:type="gramStart"/>
            <w:r w:rsidRPr="001B6E4D">
              <w:rPr>
                <w:rFonts w:ascii="標楷體" w:eastAsia="標楷體" w:hAnsi="標楷體"/>
                <w:sz w:val="24"/>
              </w:rPr>
              <w:t>114</w:t>
            </w:r>
            <w:proofErr w:type="gramEnd"/>
            <w:r w:rsidRPr="001B6E4D">
              <w:rPr>
                <w:rFonts w:ascii="標楷體" w:eastAsia="標楷體" w:hAnsi="標楷體"/>
                <w:sz w:val="24"/>
              </w:rPr>
              <w:t>年度中央政府總預算附屬單位預算決議，檢送毒品防制基金決議第2項預算凍結書面報告，請查照案。</w:t>
            </w:r>
          </w:p>
        </w:tc>
        <w:tc>
          <w:tcPr>
            <w:tcW w:w="1224" w:type="pct"/>
          </w:tcPr>
          <w:p w14:paraId="7D5D4FD7" w14:textId="77777777" w:rsidR="00950151" w:rsidRPr="001B6E4D" w:rsidRDefault="00950151" w:rsidP="003D1018">
            <w:pPr>
              <w:overflowPunct w:val="0"/>
              <w:jc w:val="both"/>
              <w:rPr>
                <w:rFonts w:ascii="標楷體" w:eastAsia="標楷體" w:hAnsi="標楷體"/>
                <w:sz w:val="24"/>
              </w:rPr>
            </w:pPr>
            <w:r w:rsidRPr="001B6E4D">
              <w:rPr>
                <w:rFonts w:ascii="標楷體" w:eastAsia="標楷體" w:hAnsi="標楷體"/>
                <w:sz w:val="24"/>
              </w:rPr>
              <w:t>法務部</w:t>
            </w:r>
          </w:p>
          <w:p w14:paraId="7FCCF27F" w14:textId="77777777" w:rsidR="00950151" w:rsidRPr="001B6E4D" w:rsidRDefault="00950151" w:rsidP="003D1018">
            <w:pPr>
              <w:overflowPunct w:val="0"/>
              <w:jc w:val="both"/>
              <w:rPr>
                <w:rFonts w:ascii="標楷體" w:eastAsia="標楷體" w:hAnsi="標楷體"/>
                <w:sz w:val="24"/>
              </w:rPr>
            </w:pPr>
            <w:r w:rsidRPr="001B6E4D">
              <w:rPr>
                <w:rFonts w:ascii="標楷體" w:eastAsia="標楷體" w:hAnsi="標楷體"/>
                <w:sz w:val="24"/>
              </w:rPr>
              <w:t>115.04.10</w:t>
            </w:r>
          </w:p>
          <w:p w14:paraId="58DBAF8E" w14:textId="747FFB07"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（11-5-6）</w:t>
            </w:r>
          </w:p>
        </w:tc>
        <w:tc>
          <w:tcPr>
            <w:tcW w:w="871" w:type="pct"/>
          </w:tcPr>
          <w:p w14:paraId="7EEAC8E0" w14:textId="3E07E972"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司法及法制</w:t>
            </w:r>
          </w:p>
        </w:tc>
        <w:tc>
          <w:tcPr>
            <w:tcW w:w="878" w:type="pct"/>
          </w:tcPr>
          <w:p w14:paraId="23B9F86E" w14:textId="4821597E"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尚未處理</w:t>
            </w:r>
          </w:p>
        </w:tc>
      </w:tr>
      <w:tr w:rsidR="00950151" w:rsidRPr="001B6E4D" w14:paraId="0BAF3EF5" w14:textId="77777777" w:rsidTr="0074527C">
        <w:tc>
          <w:tcPr>
            <w:tcW w:w="357" w:type="pct"/>
          </w:tcPr>
          <w:p w14:paraId="2AED03F0" w14:textId="5425DF23" w:rsidR="00950151" w:rsidRPr="001B6E4D" w:rsidRDefault="00950151" w:rsidP="003D1018">
            <w:pPr>
              <w:overflowPunct w:val="0"/>
              <w:jc w:val="center"/>
              <w:rPr>
                <w:rFonts w:ascii="標楷體" w:eastAsia="標楷體" w:hAnsi="標楷體"/>
                <w:b/>
                <w:color w:val="000000" w:themeColor="text1"/>
                <w:sz w:val="24"/>
              </w:rPr>
            </w:pPr>
            <w:r w:rsidRPr="001B6E4D">
              <w:rPr>
                <w:rFonts w:ascii="標楷體" w:eastAsia="標楷體" w:hAnsi="標楷體"/>
                <w:sz w:val="24"/>
              </w:rPr>
              <w:t>5</w:t>
            </w:r>
          </w:p>
        </w:tc>
        <w:tc>
          <w:tcPr>
            <w:tcW w:w="1670" w:type="pct"/>
          </w:tcPr>
          <w:p w14:paraId="61BCE09B" w14:textId="08DD65AD" w:rsidR="00950151" w:rsidRPr="001B6E4D" w:rsidRDefault="00950151" w:rsidP="003D1018">
            <w:pPr>
              <w:overflowPunct w:val="0"/>
              <w:spacing w:line="360" w:lineRule="exact"/>
              <w:jc w:val="both"/>
              <w:rPr>
                <w:rFonts w:ascii="標楷體" w:eastAsia="標楷體" w:hAnsi="標楷體" w:cstheme="minorBidi"/>
                <w:b/>
                <w:color w:val="000000" w:themeColor="text1"/>
                <w:sz w:val="24"/>
              </w:rPr>
            </w:pPr>
            <w:r w:rsidRPr="001B6E4D">
              <w:rPr>
                <w:rFonts w:ascii="標楷體" w:eastAsia="標楷體" w:hAnsi="標楷體"/>
                <w:sz w:val="24"/>
              </w:rPr>
              <w:t>法務部函，為</w:t>
            </w:r>
            <w:proofErr w:type="gramStart"/>
            <w:r w:rsidRPr="001B6E4D">
              <w:rPr>
                <w:rFonts w:ascii="標楷體" w:eastAsia="標楷體" w:hAnsi="標楷體"/>
                <w:sz w:val="24"/>
              </w:rPr>
              <w:t>114</w:t>
            </w:r>
            <w:proofErr w:type="gramEnd"/>
            <w:r w:rsidRPr="001B6E4D">
              <w:rPr>
                <w:rFonts w:ascii="標楷體" w:eastAsia="標楷體" w:hAnsi="標楷體"/>
                <w:sz w:val="24"/>
              </w:rPr>
              <w:t>年度中央政府總預算附屬單位預算決議，檢送毒品防制基金新增決議第1項預算凍結書面報告，請查照案。</w:t>
            </w:r>
          </w:p>
        </w:tc>
        <w:tc>
          <w:tcPr>
            <w:tcW w:w="1224" w:type="pct"/>
          </w:tcPr>
          <w:p w14:paraId="775AF96D" w14:textId="77777777" w:rsidR="00950151" w:rsidRPr="001B6E4D" w:rsidRDefault="00950151" w:rsidP="003D1018">
            <w:pPr>
              <w:overflowPunct w:val="0"/>
              <w:jc w:val="both"/>
              <w:rPr>
                <w:rFonts w:ascii="標楷體" w:eastAsia="標楷體" w:hAnsi="標楷體"/>
                <w:sz w:val="24"/>
              </w:rPr>
            </w:pPr>
            <w:r w:rsidRPr="001B6E4D">
              <w:rPr>
                <w:rFonts w:ascii="標楷體" w:eastAsia="標楷體" w:hAnsi="標楷體"/>
                <w:sz w:val="24"/>
              </w:rPr>
              <w:t>法務部</w:t>
            </w:r>
          </w:p>
          <w:p w14:paraId="781FC301" w14:textId="77777777" w:rsidR="00950151" w:rsidRPr="001B6E4D" w:rsidRDefault="00950151" w:rsidP="003D1018">
            <w:pPr>
              <w:overflowPunct w:val="0"/>
              <w:jc w:val="both"/>
              <w:rPr>
                <w:rFonts w:ascii="標楷體" w:eastAsia="標楷體" w:hAnsi="標楷體"/>
                <w:sz w:val="24"/>
              </w:rPr>
            </w:pPr>
            <w:r w:rsidRPr="001B6E4D">
              <w:rPr>
                <w:rFonts w:ascii="標楷體" w:eastAsia="標楷體" w:hAnsi="標楷體"/>
                <w:sz w:val="24"/>
              </w:rPr>
              <w:t>115.04.10</w:t>
            </w:r>
          </w:p>
          <w:p w14:paraId="1F6537AA" w14:textId="7588F9AB"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（11-5-6）</w:t>
            </w:r>
          </w:p>
        </w:tc>
        <w:tc>
          <w:tcPr>
            <w:tcW w:w="871" w:type="pct"/>
          </w:tcPr>
          <w:p w14:paraId="091543E3" w14:textId="5F7C0E5A"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司法及法制</w:t>
            </w:r>
          </w:p>
        </w:tc>
        <w:tc>
          <w:tcPr>
            <w:tcW w:w="878" w:type="pct"/>
          </w:tcPr>
          <w:p w14:paraId="5FA9AF19" w14:textId="5EB7A3FB"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尚未處理</w:t>
            </w:r>
          </w:p>
        </w:tc>
      </w:tr>
      <w:tr w:rsidR="00950151" w:rsidRPr="001B6E4D" w14:paraId="2D19CC45" w14:textId="77777777" w:rsidTr="0074527C">
        <w:tc>
          <w:tcPr>
            <w:tcW w:w="357" w:type="pct"/>
          </w:tcPr>
          <w:p w14:paraId="5D0EED8E" w14:textId="0B5EADA7" w:rsidR="00950151" w:rsidRPr="001B6E4D" w:rsidRDefault="00950151" w:rsidP="003D1018">
            <w:pPr>
              <w:overflowPunct w:val="0"/>
              <w:jc w:val="center"/>
              <w:rPr>
                <w:rFonts w:ascii="標楷體" w:eastAsia="標楷體" w:hAnsi="標楷體"/>
                <w:b/>
                <w:color w:val="000000" w:themeColor="text1"/>
                <w:sz w:val="24"/>
              </w:rPr>
            </w:pPr>
            <w:r w:rsidRPr="001B6E4D">
              <w:rPr>
                <w:rFonts w:ascii="標楷體" w:eastAsia="標楷體" w:hAnsi="標楷體"/>
                <w:sz w:val="24"/>
              </w:rPr>
              <w:t>6</w:t>
            </w:r>
          </w:p>
        </w:tc>
        <w:tc>
          <w:tcPr>
            <w:tcW w:w="1670" w:type="pct"/>
          </w:tcPr>
          <w:p w14:paraId="20BC5567" w14:textId="78D35434" w:rsidR="00950151" w:rsidRPr="001B6E4D" w:rsidRDefault="00950151" w:rsidP="003D1018">
            <w:pPr>
              <w:overflowPunct w:val="0"/>
              <w:spacing w:line="360" w:lineRule="exact"/>
              <w:jc w:val="both"/>
              <w:rPr>
                <w:rFonts w:ascii="標楷體" w:eastAsia="標楷體" w:hAnsi="標楷體" w:cstheme="minorBidi"/>
                <w:b/>
                <w:color w:val="000000" w:themeColor="text1"/>
                <w:sz w:val="24"/>
              </w:rPr>
            </w:pPr>
            <w:r w:rsidRPr="001B6E4D">
              <w:rPr>
                <w:rFonts w:ascii="標楷體" w:eastAsia="標楷體" w:hAnsi="標楷體"/>
                <w:sz w:val="24"/>
              </w:rPr>
              <w:t>法務部函，為</w:t>
            </w:r>
            <w:proofErr w:type="gramStart"/>
            <w:r w:rsidRPr="001B6E4D">
              <w:rPr>
                <w:rFonts w:ascii="標楷體" w:eastAsia="標楷體" w:hAnsi="標楷體"/>
                <w:sz w:val="24"/>
              </w:rPr>
              <w:t>114</w:t>
            </w:r>
            <w:proofErr w:type="gramEnd"/>
            <w:r w:rsidRPr="001B6E4D">
              <w:rPr>
                <w:rFonts w:ascii="標楷體" w:eastAsia="標楷體" w:hAnsi="標楷體"/>
                <w:sz w:val="24"/>
              </w:rPr>
              <w:t>年度中央政府總預算附屬單位預算決議，檢送法務部矯正機關作業基金新增決議第1項預算凍結專案報告，請查照案。</w:t>
            </w:r>
          </w:p>
        </w:tc>
        <w:tc>
          <w:tcPr>
            <w:tcW w:w="1224" w:type="pct"/>
          </w:tcPr>
          <w:p w14:paraId="15668C44" w14:textId="77777777" w:rsidR="00950151" w:rsidRPr="001B6E4D" w:rsidRDefault="00950151" w:rsidP="003D1018">
            <w:pPr>
              <w:overflowPunct w:val="0"/>
              <w:jc w:val="both"/>
              <w:rPr>
                <w:rFonts w:ascii="標楷體" w:eastAsia="標楷體" w:hAnsi="標楷體"/>
                <w:sz w:val="24"/>
              </w:rPr>
            </w:pPr>
            <w:r w:rsidRPr="001B6E4D">
              <w:rPr>
                <w:rFonts w:ascii="標楷體" w:eastAsia="標楷體" w:hAnsi="標楷體"/>
                <w:sz w:val="24"/>
              </w:rPr>
              <w:t>法務部</w:t>
            </w:r>
          </w:p>
          <w:p w14:paraId="1A1FCD4B" w14:textId="77777777" w:rsidR="00950151" w:rsidRPr="001B6E4D" w:rsidRDefault="00950151" w:rsidP="003D1018">
            <w:pPr>
              <w:overflowPunct w:val="0"/>
              <w:jc w:val="both"/>
              <w:rPr>
                <w:rFonts w:ascii="標楷體" w:eastAsia="標楷體" w:hAnsi="標楷體"/>
                <w:sz w:val="24"/>
              </w:rPr>
            </w:pPr>
            <w:r w:rsidRPr="001B6E4D">
              <w:rPr>
                <w:rFonts w:ascii="標楷體" w:eastAsia="標楷體" w:hAnsi="標楷體"/>
                <w:sz w:val="24"/>
              </w:rPr>
              <w:t>115.05.08</w:t>
            </w:r>
          </w:p>
          <w:p w14:paraId="6EA750CC" w14:textId="51137FC0"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（11-5-9）</w:t>
            </w:r>
          </w:p>
        </w:tc>
        <w:tc>
          <w:tcPr>
            <w:tcW w:w="871" w:type="pct"/>
          </w:tcPr>
          <w:p w14:paraId="23D39966" w14:textId="7604BFFB"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司法及法制</w:t>
            </w:r>
          </w:p>
        </w:tc>
        <w:tc>
          <w:tcPr>
            <w:tcW w:w="878" w:type="pct"/>
          </w:tcPr>
          <w:p w14:paraId="7C498FAD" w14:textId="2911442A" w:rsidR="00950151" w:rsidRPr="001B6E4D" w:rsidRDefault="00950151"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尚未處理</w:t>
            </w:r>
          </w:p>
        </w:tc>
      </w:tr>
      <w:tr w:rsidR="00950151" w:rsidRPr="001B6E4D" w14:paraId="758C8A05" w14:textId="77777777" w:rsidTr="0074527C">
        <w:tc>
          <w:tcPr>
            <w:tcW w:w="357" w:type="pct"/>
          </w:tcPr>
          <w:p w14:paraId="51BE469C" w14:textId="012312D2" w:rsidR="00950151" w:rsidRPr="001B6E4D" w:rsidRDefault="00950151" w:rsidP="003D1018">
            <w:pPr>
              <w:overflowPunct w:val="0"/>
              <w:jc w:val="center"/>
              <w:rPr>
                <w:rFonts w:ascii="標楷體" w:eastAsia="標楷體" w:hAnsi="標楷體"/>
                <w:color w:val="000000" w:themeColor="text1"/>
                <w:sz w:val="24"/>
              </w:rPr>
            </w:pPr>
            <w:r w:rsidRPr="001B6E4D">
              <w:rPr>
                <w:rFonts w:ascii="標楷體" w:eastAsia="標楷體" w:hAnsi="標楷體"/>
                <w:sz w:val="24"/>
              </w:rPr>
              <w:t>7</w:t>
            </w:r>
          </w:p>
        </w:tc>
        <w:tc>
          <w:tcPr>
            <w:tcW w:w="1670" w:type="pct"/>
          </w:tcPr>
          <w:p w14:paraId="0BA7BCD2" w14:textId="3E7C5C9C" w:rsidR="00950151" w:rsidRPr="001B6E4D" w:rsidRDefault="00950151" w:rsidP="003D1018">
            <w:pPr>
              <w:overflowPunct w:val="0"/>
              <w:spacing w:line="360" w:lineRule="exact"/>
              <w:jc w:val="both"/>
              <w:rPr>
                <w:rFonts w:ascii="標楷體" w:eastAsia="標楷體" w:hAnsi="標楷體" w:cstheme="minorBidi"/>
                <w:color w:val="000000" w:themeColor="text1"/>
                <w:sz w:val="24"/>
              </w:rPr>
            </w:pPr>
            <w:r w:rsidRPr="001B6E4D">
              <w:rPr>
                <w:rFonts w:ascii="標楷體" w:eastAsia="標楷體" w:hAnsi="標楷體"/>
                <w:sz w:val="24"/>
              </w:rPr>
              <w:t>法務部函，為</w:t>
            </w:r>
            <w:proofErr w:type="gramStart"/>
            <w:r w:rsidRPr="001B6E4D">
              <w:rPr>
                <w:rFonts w:ascii="標楷體" w:eastAsia="標楷體" w:hAnsi="標楷體"/>
                <w:sz w:val="24"/>
              </w:rPr>
              <w:t>114</w:t>
            </w:r>
            <w:proofErr w:type="gramEnd"/>
            <w:r w:rsidRPr="001B6E4D">
              <w:rPr>
                <w:rFonts w:ascii="標楷體" w:eastAsia="標楷體" w:hAnsi="標楷體"/>
                <w:sz w:val="24"/>
              </w:rPr>
              <w:t>年度中央政府總預算附屬單位預算決議，檢送法務部矯正機關作業基金決議第2項預算凍結書面報告，請查照案。</w:t>
            </w:r>
          </w:p>
        </w:tc>
        <w:tc>
          <w:tcPr>
            <w:tcW w:w="1224" w:type="pct"/>
          </w:tcPr>
          <w:p w14:paraId="5CA0B3CF" w14:textId="77777777" w:rsidR="00950151" w:rsidRPr="001B6E4D" w:rsidRDefault="00950151" w:rsidP="003D1018">
            <w:pPr>
              <w:overflowPunct w:val="0"/>
              <w:jc w:val="both"/>
              <w:rPr>
                <w:rFonts w:ascii="標楷體" w:eastAsia="標楷體" w:hAnsi="標楷體"/>
                <w:sz w:val="24"/>
              </w:rPr>
            </w:pPr>
            <w:r w:rsidRPr="001B6E4D">
              <w:rPr>
                <w:rFonts w:ascii="標楷體" w:eastAsia="標楷體" w:hAnsi="標楷體"/>
                <w:sz w:val="24"/>
              </w:rPr>
              <w:t>法務部</w:t>
            </w:r>
          </w:p>
          <w:p w14:paraId="1C1F055C" w14:textId="77777777" w:rsidR="00950151" w:rsidRPr="001B6E4D" w:rsidRDefault="00950151" w:rsidP="003D1018">
            <w:pPr>
              <w:overflowPunct w:val="0"/>
              <w:jc w:val="both"/>
              <w:rPr>
                <w:rFonts w:ascii="標楷體" w:eastAsia="標楷體" w:hAnsi="標楷體"/>
                <w:sz w:val="24"/>
              </w:rPr>
            </w:pPr>
            <w:r w:rsidRPr="001B6E4D">
              <w:rPr>
                <w:rFonts w:ascii="標楷體" w:eastAsia="標楷體" w:hAnsi="標楷體"/>
                <w:sz w:val="24"/>
              </w:rPr>
              <w:t>115.04.10</w:t>
            </w:r>
          </w:p>
          <w:p w14:paraId="11DBC51D" w14:textId="6D1D693E" w:rsidR="00950151" w:rsidRPr="001B6E4D" w:rsidRDefault="00950151" w:rsidP="003D1018">
            <w:pPr>
              <w:overflowPunct w:val="0"/>
              <w:jc w:val="both"/>
              <w:rPr>
                <w:rFonts w:ascii="標楷體" w:eastAsia="標楷體" w:hAnsi="標楷體"/>
                <w:color w:val="000000" w:themeColor="text1"/>
                <w:sz w:val="24"/>
              </w:rPr>
            </w:pPr>
            <w:r w:rsidRPr="001B6E4D">
              <w:rPr>
                <w:rFonts w:ascii="標楷體" w:eastAsia="標楷體" w:hAnsi="標楷體"/>
                <w:sz w:val="24"/>
              </w:rPr>
              <w:t>（11-5-6）</w:t>
            </w:r>
          </w:p>
        </w:tc>
        <w:tc>
          <w:tcPr>
            <w:tcW w:w="871" w:type="pct"/>
          </w:tcPr>
          <w:p w14:paraId="372593A5" w14:textId="7B587EA0" w:rsidR="00950151" w:rsidRPr="001B6E4D" w:rsidRDefault="00950151" w:rsidP="003D1018">
            <w:pPr>
              <w:overflowPunct w:val="0"/>
              <w:jc w:val="both"/>
              <w:rPr>
                <w:rFonts w:ascii="標楷體" w:eastAsia="標楷體" w:hAnsi="標楷體"/>
                <w:color w:val="000000" w:themeColor="text1"/>
                <w:sz w:val="24"/>
              </w:rPr>
            </w:pPr>
            <w:r w:rsidRPr="001B6E4D">
              <w:rPr>
                <w:rFonts w:ascii="標楷體" w:eastAsia="標楷體" w:hAnsi="標楷體"/>
                <w:sz w:val="24"/>
              </w:rPr>
              <w:t>司法及法制</w:t>
            </w:r>
          </w:p>
        </w:tc>
        <w:tc>
          <w:tcPr>
            <w:tcW w:w="878" w:type="pct"/>
          </w:tcPr>
          <w:p w14:paraId="3DC97B50" w14:textId="20F1ED33" w:rsidR="00950151" w:rsidRPr="001B6E4D" w:rsidRDefault="00950151" w:rsidP="003D1018">
            <w:pPr>
              <w:overflowPunct w:val="0"/>
              <w:jc w:val="both"/>
              <w:rPr>
                <w:rFonts w:ascii="標楷體" w:eastAsia="標楷體" w:hAnsi="標楷體"/>
                <w:color w:val="000000" w:themeColor="text1"/>
                <w:sz w:val="24"/>
              </w:rPr>
            </w:pPr>
            <w:r w:rsidRPr="001B6E4D">
              <w:rPr>
                <w:rFonts w:ascii="標楷體" w:eastAsia="標楷體" w:hAnsi="標楷體"/>
                <w:sz w:val="24"/>
              </w:rPr>
              <w:t>尚未處理</w:t>
            </w:r>
          </w:p>
        </w:tc>
      </w:tr>
    </w:tbl>
    <w:p w14:paraId="7902F3F7" w14:textId="23DA3E07" w:rsidR="009B28A5" w:rsidRPr="001B6E4D" w:rsidRDefault="00E5685D" w:rsidP="003D1018">
      <w:pPr>
        <w:pStyle w:val="-40"/>
        <w:kinsoku w:val="0"/>
        <w:overflowPunct w:val="0"/>
        <w:topLinePunct/>
        <w:spacing w:beforeLines="100" w:before="240" w:afterLines="70" w:after="168" w:line="260" w:lineRule="exact"/>
        <w:ind w:leftChars="128" w:left="307" w:firstLineChars="400" w:firstLine="1121"/>
        <w:outlineLvl w:val="2"/>
        <w:rPr>
          <w:color w:val="000000" w:themeColor="text1"/>
          <w:shd w:val="clear" w:color="auto" w:fill="FFFFFF" w:themeFill="background1"/>
        </w:rPr>
      </w:pPr>
      <w:bookmarkStart w:id="384" w:name="_Toc240446565"/>
      <w:r w:rsidRPr="001B6E4D">
        <w:rPr>
          <w:color w:val="000000" w:themeColor="text1"/>
          <w:shd w:val="clear" w:color="auto" w:fill="FFFFFF" w:themeFill="background1"/>
        </w:rPr>
        <w:t>（</w:t>
      </w:r>
      <w:r w:rsidRPr="001B6E4D">
        <w:rPr>
          <w:rFonts w:hint="eastAsia"/>
          <w:color w:val="000000" w:themeColor="text1"/>
          <w:shd w:val="clear" w:color="auto" w:fill="FFFFFF" w:themeFill="background1"/>
        </w:rPr>
        <w:t>二</w:t>
      </w:r>
      <w:r w:rsidRPr="001B6E4D">
        <w:rPr>
          <w:color w:val="000000" w:themeColor="text1"/>
          <w:shd w:val="clear" w:color="auto" w:fill="FFFFFF" w:themeFill="background1"/>
        </w:rPr>
        <w:t>）</w:t>
      </w:r>
      <w:r w:rsidR="009B28A5" w:rsidRPr="001B6E4D">
        <w:rPr>
          <w:color w:val="000000" w:themeColor="text1"/>
          <w:shd w:val="clear" w:color="auto" w:fill="FFFFFF" w:themeFill="background1"/>
        </w:rPr>
        <w:t>司法院7案</w:t>
      </w:r>
      <w:bookmarkEnd w:id="380"/>
      <w:bookmarkEnd w:id="384"/>
    </w:p>
    <w:tbl>
      <w:tblPr>
        <w:tblStyle w:val="ae"/>
        <w:tblW w:w="5037"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20"/>
        <w:gridCol w:w="2900"/>
        <w:gridCol w:w="2126"/>
        <w:gridCol w:w="1513"/>
        <w:gridCol w:w="1525"/>
      </w:tblGrid>
      <w:tr w:rsidR="00C87651" w:rsidRPr="001B6E4D" w14:paraId="70E4AE06" w14:textId="77777777" w:rsidTr="00B13ED3">
        <w:tc>
          <w:tcPr>
            <w:tcW w:w="357" w:type="pct"/>
            <w:vAlign w:val="center"/>
          </w:tcPr>
          <w:p w14:paraId="0156405F"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385" w:name="_Hlk239413863"/>
            <w:r w:rsidRPr="001B6E4D">
              <w:rPr>
                <w:rFonts w:ascii="標楷體" w:eastAsia="標楷體" w:hAnsi="標楷體"/>
                <w:b/>
                <w:color w:val="000000" w:themeColor="text1"/>
                <w:sz w:val="24"/>
                <w:shd w:val="clear" w:color="auto" w:fill="FFFFFF" w:themeFill="background1"/>
              </w:rPr>
              <w:t>序號</w:t>
            </w:r>
          </w:p>
        </w:tc>
        <w:tc>
          <w:tcPr>
            <w:tcW w:w="1670" w:type="pct"/>
            <w:vAlign w:val="center"/>
          </w:tcPr>
          <w:p w14:paraId="64F036E1"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224" w:type="pct"/>
            <w:vAlign w:val="center"/>
          </w:tcPr>
          <w:p w14:paraId="6E7642AF" w14:textId="77777777" w:rsidR="009B28A5" w:rsidRPr="001B6E4D" w:rsidRDefault="009B28A5" w:rsidP="003D1018">
            <w:pPr>
              <w:kinsoku w:val="0"/>
              <w:overflowPunct w:val="0"/>
              <w:topLinePunct/>
              <w:spacing w:beforeLines="50" w:before="12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49E91CEC"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0F077290" w14:textId="77777777" w:rsidR="009B28A5" w:rsidRPr="001B6E4D" w:rsidRDefault="009B28A5" w:rsidP="003D1018">
            <w:pPr>
              <w:kinsoku w:val="0"/>
              <w:overflowPunct w:val="0"/>
              <w:topLinePunct/>
              <w:spacing w:afterLines="50" w:after="12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71" w:type="pct"/>
            <w:vAlign w:val="center"/>
          </w:tcPr>
          <w:p w14:paraId="2BC2B636" w14:textId="7EFA0CFD"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委員會</w:t>
            </w:r>
          </w:p>
        </w:tc>
        <w:tc>
          <w:tcPr>
            <w:tcW w:w="878" w:type="pct"/>
            <w:vAlign w:val="center"/>
          </w:tcPr>
          <w:p w14:paraId="67D4FC6C" w14:textId="6E4B2544" w:rsidR="009B28A5" w:rsidRPr="001B6E4D" w:rsidRDefault="00523B45" w:rsidP="003D1018">
            <w:pPr>
              <w:kinsoku w:val="0"/>
              <w:overflowPunct w:val="0"/>
              <w:topLinePunct/>
              <w:spacing w:line="300" w:lineRule="exact"/>
              <w:jc w:val="center"/>
              <w:rPr>
                <w:rFonts w:ascii="標楷體" w:eastAsia="標楷體" w:hAnsi="標楷體"/>
                <w:b/>
                <w:color w:val="000000" w:themeColor="text1"/>
                <w:spacing w:val="-28"/>
                <w:sz w:val="24"/>
                <w:shd w:val="clear" w:color="auto" w:fill="FFFFFF" w:themeFill="background1"/>
              </w:rPr>
            </w:pPr>
            <w:r w:rsidRPr="001B6E4D">
              <w:rPr>
                <w:rFonts w:ascii="標楷體" w:eastAsia="標楷體" w:hAnsi="標楷體"/>
                <w:b/>
                <w:color w:val="000000" w:themeColor="text1"/>
                <w:spacing w:val="-28"/>
                <w:sz w:val="24"/>
                <w:shd w:val="clear" w:color="auto" w:fill="FFFFFF" w:themeFill="background1"/>
              </w:rPr>
              <w:t>審查</w:t>
            </w:r>
            <w:r w:rsidRPr="001B6E4D">
              <w:rPr>
                <w:rFonts w:ascii="標楷體" w:eastAsia="標楷體" w:hAnsi="標楷體" w:hint="eastAsia"/>
                <w:b/>
                <w:color w:val="000000" w:themeColor="text1"/>
                <w:spacing w:val="-28"/>
                <w:sz w:val="24"/>
                <w:shd w:val="clear" w:color="auto" w:fill="FFFFFF" w:themeFill="background1"/>
              </w:rPr>
              <w:t>、處理</w:t>
            </w:r>
            <w:r w:rsidRPr="001B6E4D">
              <w:rPr>
                <w:rFonts w:ascii="標楷體" w:eastAsia="標楷體" w:hAnsi="標楷體"/>
                <w:b/>
                <w:color w:val="000000" w:themeColor="text1"/>
                <w:spacing w:val="-28"/>
                <w:sz w:val="24"/>
                <w:shd w:val="clear" w:color="auto" w:fill="FFFFFF" w:themeFill="background1"/>
              </w:rPr>
              <w:t>情形</w:t>
            </w:r>
          </w:p>
        </w:tc>
      </w:tr>
      <w:tr w:rsidR="00C87651" w:rsidRPr="001B6E4D" w14:paraId="6E0CE557" w14:textId="77777777" w:rsidTr="00B13ED3">
        <w:tc>
          <w:tcPr>
            <w:tcW w:w="357" w:type="pct"/>
          </w:tcPr>
          <w:p w14:paraId="0FF50083" w14:textId="77777777" w:rsidR="009B28A5" w:rsidRPr="001B6E4D" w:rsidRDefault="009B28A5" w:rsidP="003D1018">
            <w:pPr>
              <w:overflowPunct w:val="0"/>
              <w:jc w:val="center"/>
              <w:rPr>
                <w:rFonts w:ascii="標楷體" w:eastAsia="標楷體" w:hAnsi="標楷體"/>
                <w:b/>
                <w:color w:val="000000" w:themeColor="text1"/>
                <w:sz w:val="24"/>
              </w:rPr>
            </w:pPr>
            <w:bookmarkStart w:id="386" w:name="_Hlk186188523"/>
            <w:r w:rsidRPr="001B6E4D">
              <w:rPr>
                <w:rFonts w:ascii="標楷體" w:eastAsia="標楷體" w:hAnsi="標楷體"/>
                <w:color w:val="000000" w:themeColor="text1"/>
                <w:sz w:val="24"/>
              </w:rPr>
              <w:t>1</w:t>
            </w:r>
          </w:p>
        </w:tc>
        <w:tc>
          <w:tcPr>
            <w:tcW w:w="1670" w:type="pct"/>
          </w:tcPr>
          <w:p w14:paraId="45215D75"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司法院函，為</w:t>
            </w:r>
            <w:proofErr w:type="gramStart"/>
            <w:r w:rsidRPr="001B6E4D">
              <w:rPr>
                <w:rFonts w:hAnsi="標楷體"/>
                <w:color w:val="000000" w:themeColor="text1"/>
                <w:sz w:val="24"/>
                <w:szCs w:val="24"/>
              </w:rPr>
              <w:t>113</w:t>
            </w:r>
            <w:proofErr w:type="gramEnd"/>
            <w:r w:rsidRPr="001B6E4D">
              <w:rPr>
                <w:rFonts w:hAnsi="標楷體"/>
                <w:color w:val="000000" w:themeColor="text1"/>
                <w:sz w:val="24"/>
                <w:szCs w:val="24"/>
              </w:rPr>
              <w:t>年度中央政府總預算決議，</w:t>
            </w:r>
            <w:proofErr w:type="gramStart"/>
            <w:r w:rsidRPr="001B6E4D">
              <w:rPr>
                <w:rFonts w:hAnsi="標楷體"/>
                <w:color w:val="000000" w:themeColor="text1"/>
                <w:sz w:val="24"/>
                <w:szCs w:val="24"/>
              </w:rPr>
              <w:t>檢送歲出</w:t>
            </w:r>
            <w:proofErr w:type="gramEnd"/>
            <w:r w:rsidRPr="001B6E4D">
              <w:rPr>
                <w:rFonts w:hAnsi="標楷體"/>
                <w:color w:val="000000" w:themeColor="text1"/>
                <w:sz w:val="24"/>
                <w:szCs w:val="24"/>
              </w:rPr>
              <w:t>第4款第1項決議</w:t>
            </w:r>
            <w:r w:rsidRPr="001B6E4D">
              <w:rPr>
                <w:rFonts w:hAnsi="標楷體"/>
                <w:color w:val="000000" w:themeColor="text1"/>
                <w:sz w:val="24"/>
                <w:szCs w:val="24"/>
              </w:rPr>
              <w:lastRenderedPageBreak/>
              <w:t>（一）預算凍結書面報告，請查照案。</w:t>
            </w:r>
          </w:p>
        </w:tc>
        <w:tc>
          <w:tcPr>
            <w:tcW w:w="1224" w:type="pct"/>
          </w:tcPr>
          <w:p w14:paraId="2C0B305D"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司法院</w:t>
            </w:r>
          </w:p>
          <w:p w14:paraId="444B37FA"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14AF43A5"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（11-1-7）</w:t>
            </w:r>
          </w:p>
        </w:tc>
        <w:tc>
          <w:tcPr>
            <w:tcW w:w="871" w:type="pct"/>
          </w:tcPr>
          <w:p w14:paraId="22C2D1E8"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878" w:type="pct"/>
          </w:tcPr>
          <w:p w14:paraId="26FB7744"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1.</w:t>
            </w:r>
            <w:r w:rsidRPr="001B6E4D">
              <w:rPr>
                <w:rFonts w:ascii="標楷體" w:eastAsia="標楷體" w:hAnsi="標楷體"/>
                <w:color w:val="000000" w:themeColor="text1"/>
                <w:sz w:val="24"/>
              </w:rPr>
              <w:t>本會</w:t>
            </w:r>
          </w:p>
          <w:p w14:paraId="181B3835"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113.5.9</w:t>
            </w:r>
          </w:p>
          <w:p w14:paraId="67480E3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(11-1-21)報告及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w:t>
            </w:r>
            <w:r w:rsidRPr="001B6E4D">
              <w:rPr>
                <w:rFonts w:ascii="標楷體" w:eastAsia="標楷體" w:hAnsi="標楷體"/>
                <w:color w:val="000000" w:themeColor="text1"/>
                <w:sz w:val="24"/>
              </w:rPr>
              <w:lastRenderedPageBreak/>
              <w:t>完畢，另定期繼續處理。</w:t>
            </w:r>
          </w:p>
          <w:p w14:paraId="52552579"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本會</w:t>
            </w:r>
          </w:p>
          <w:p w14:paraId="278B6B39"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w:t>
            </w:r>
            <w:r w:rsidRPr="001B6E4D">
              <w:rPr>
                <w:rFonts w:ascii="標楷體" w:eastAsia="標楷體" w:hAnsi="標楷體" w:hint="eastAsia"/>
                <w:color w:val="000000" w:themeColor="text1"/>
                <w:sz w:val="24"/>
              </w:rPr>
              <w:t>12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30</w:t>
            </w:r>
          </w:p>
          <w:p w14:paraId="2A9D4280"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w:t>
            </w: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23</w:t>
            </w:r>
            <w:r w:rsidRPr="001B6E4D">
              <w:rPr>
                <w:rFonts w:ascii="標楷體" w:eastAsia="標楷體" w:hAnsi="標楷體"/>
                <w:color w:val="000000" w:themeColor="text1"/>
                <w:sz w:val="24"/>
              </w:rPr>
              <w:t>)另定期繼續處理。</w:t>
            </w:r>
          </w:p>
        </w:tc>
      </w:tr>
      <w:tr w:rsidR="00C87651" w:rsidRPr="001B6E4D" w14:paraId="79D23AC3" w14:textId="77777777" w:rsidTr="00B13ED3">
        <w:tc>
          <w:tcPr>
            <w:tcW w:w="357" w:type="pct"/>
          </w:tcPr>
          <w:p w14:paraId="7FC72753"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lastRenderedPageBreak/>
              <w:t>2</w:t>
            </w:r>
          </w:p>
        </w:tc>
        <w:tc>
          <w:tcPr>
            <w:tcW w:w="1670" w:type="pct"/>
          </w:tcPr>
          <w:p w14:paraId="163C8A93"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司法院函，為</w:t>
            </w:r>
            <w:proofErr w:type="gramStart"/>
            <w:r w:rsidRPr="001B6E4D">
              <w:rPr>
                <w:rFonts w:hAnsi="標楷體"/>
                <w:color w:val="000000" w:themeColor="text1"/>
                <w:sz w:val="24"/>
                <w:szCs w:val="24"/>
              </w:rPr>
              <w:t>113</w:t>
            </w:r>
            <w:proofErr w:type="gramEnd"/>
            <w:r w:rsidRPr="001B6E4D">
              <w:rPr>
                <w:rFonts w:hAnsi="標楷體"/>
                <w:color w:val="000000" w:themeColor="text1"/>
                <w:sz w:val="24"/>
                <w:szCs w:val="24"/>
              </w:rPr>
              <w:t>年度中央政府總預算決議，</w:t>
            </w:r>
            <w:proofErr w:type="gramStart"/>
            <w:r w:rsidRPr="001B6E4D">
              <w:rPr>
                <w:rFonts w:hAnsi="標楷體"/>
                <w:color w:val="000000" w:themeColor="text1"/>
                <w:sz w:val="24"/>
                <w:szCs w:val="24"/>
              </w:rPr>
              <w:t>檢送歲出</w:t>
            </w:r>
            <w:proofErr w:type="gramEnd"/>
            <w:r w:rsidRPr="001B6E4D">
              <w:rPr>
                <w:rFonts w:hAnsi="標楷體"/>
                <w:color w:val="000000" w:themeColor="text1"/>
                <w:sz w:val="24"/>
                <w:szCs w:val="24"/>
              </w:rPr>
              <w:t>第4款第1項決議（三）預算凍結書面報告，請查照案。</w:t>
            </w:r>
          </w:p>
        </w:tc>
        <w:tc>
          <w:tcPr>
            <w:tcW w:w="1224" w:type="pct"/>
          </w:tcPr>
          <w:p w14:paraId="2B9CE0C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司法院</w:t>
            </w:r>
          </w:p>
          <w:p w14:paraId="3C67EEB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7A3C98D8"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（11-1-7）</w:t>
            </w:r>
          </w:p>
        </w:tc>
        <w:tc>
          <w:tcPr>
            <w:tcW w:w="871" w:type="pct"/>
          </w:tcPr>
          <w:p w14:paraId="01C09E8B"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878" w:type="pct"/>
          </w:tcPr>
          <w:p w14:paraId="558EE893"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1.</w:t>
            </w:r>
            <w:r w:rsidRPr="001B6E4D">
              <w:rPr>
                <w:rFonts w:ascii="標楷體" w:eastAsia="標楷體" w:hAnsi="標楷體"/>
                <w:color w:val="000000" w:themeColor="text1"/>
                <w:sz w:val="24"/>
              </w:rPr>
              <w:t>本會</w:t>
            </w:r>
          </w:p>
          <w:p w14:paraId="667D4471"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113.5.9</w:t>
            </w:r>
          </w:p>
          <w:p w14:paraId="6EB78940"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(11-1-21)報告及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答完畢，另定期繼續處理。</w:t>
            </w:r>
          </w:p>
          <w:p w14:paraId="1219532A"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本會</w:t>
            </w:r>
          </w:p>
          <w:p w14:paraId="70982FEC"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w:t>
            </w:r>
            <w:r w:rsidRPr="001B6E4D">
              <w:rPr>
                <w:rFonts w:ascii="標楷體" w:eastAsia="標楷體" w:hAnsi="標楷體" w:hint="eastAsia"/>
                <w:color w:val="000000" w:themeColor="text1"/>
                <w:sz w:val="24"/>
              </w:rPr>
              <w:t>12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30</w:t>
            </w:r>
          </w:p>
          <w:p w14:paraId="19735D62"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w:t>
            </w: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23</w:t>
            </w:r>
            <w:r w:rsidRPr="001B6E4D">
              <w:rPr>
                <w:rFonts w:ascii="標楷體" w:eastAsia="標楷體" w:hAnsi="標楷體"/>
                <w:color w:val="000000" w:themeColor="text1"/>
                <w:sz w:val="24"/>
              </w:rPr>
              <w:t>)另定期繼續處理。</w:t>
            </w:r>
          </w:p>
        </w:tc>
      </w:tr>
      <w:tr w:rsidR="00C87651" w:rsidRPr="001B6E4D" w14:paraId="2C695003" w14:textId="77777777" w:rsidTr="00B13ED3">
        <w:tc>
          <w:tcPr>
            <w:tcW w:w="357" w:type="pct"/>
          </w:tcPr>
          <w:p w14:paraId="11253398"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3</w:t>
            </w:r>
          </w:p>
        </w:tc>
        <w:tc>
          <w:tcPr>
            <w:tcW w:w="1670" w:type="pct"/>
          </w:tcPr>
          <w:p w14:paraId="5B38FF4C"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司法院函，為</w:t>
            </w:r>
            <w:proofErr w:type="gramStart"/>
            <w:r w:rsidRPr="001B6E4D">
              <w:rPr>
                <w:rFonts w:hAnsi="標楷體"/>
                <w:color w:val="000000" w:themeColor="text1"/>
                <w:sz w:val="24"/>
                <w:szCs w:val="24"/>
              </w:rPr>
              <w:t>113</w:t>
            </w:r>
            <w:proofErr w:type="gramEnd"/>
            <w:r w:rsidRPr="001B6E4D">
              <w:rPr>
                <w:rFonts w:hAnsi="標楷體"/>
                <w:color w:val="000000" w:themeColor="text1"/>
                <w:sz w:val="24"/>
                <w:szCs w:val="24"/>
              </w:rPr>
              <w:t>年度中央政府總預算決議，</w:t>
            </w:r>
            <w:proofErr w:type="gramStart"/>
            <w:r w:rsidRPr="001B6E4D">
              <w:rPr>
                <w:rFonts w:hAnsi="標楷體"/>
                <w:color w:val="000000" w:themeColor="text1"/>
                <w:sz w:val="24"/>
                <w:szCs w:val="24"/>
              </w:rPr>
              <w:t>檢送歲出</w:t>
            </w:r>
            <w:proofErr w:type="gramEnd"/>
            <w:r w:rsidRPr="001B6E4D">
              <w:rPr>
                <w:rFonts w:hAnsi="標楷體"/>
                <w:color w:val="000000" w:themeColor="text1"/>
                <w:sz w:val="24"/>
                <w:szCs w:val="24"/>
              </w:rPr>
              <w:t>第4款第1項決議（四）預算凍結書面報告，請查照案。</w:t>
            </w:r>
          </w:p>
        </w:tc>
        <w:tc>
          <w:tcPr>
            <w:tcW w:w="1224" w:type="pct"/>
          </w:tcPr>
          <w:p w14:paraId="34A6DF7A"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司法院</w:t>
            </w:r>
          </w:p>
          <w:p w14:paraId="00D80F22"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7BC94D96"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（11-1-7）</w:t>
            </w:r>
          </w:p>
        </w:tc>
        <w:tc>
          <w:tcPr>
            <w:tcW w:w="871" w:type="pct"/>
          </w:tcPr>
          <w:p w14:paraId="74B26335"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878" w:type="pct"/>
          </w:tcPr>
          <w:p w14:paraId="7A94ED66"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1.</w:t>
            </w:r>
            <w:r w:rsidRPr="001B6E4D">
              <w:rPr>
                <w:rFonts w:ascii="標楷體" w:eastAsia="標楷體" w:hAnsi="標楷體"/>
                <w:color w:val="000000" w:themeColor="text1"/>
                <w:sz w:val="24"/>
              </w:rPr>
              <w:t>本會</w:t>
            </w:r>
          </w:p>
          <w:p w14:paraId="3E6459B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113.5.9</w:t>
            </w:r>
          </w:p>
          <w:p w14:paraId="2AD29E78"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(11-1-21)報告及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答完畢，另定期繼續處理。</w:t>
            </w:r>
          </w:p>
          <w:p w14:paraId="6D16250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本會</w:t>
            </w:r>
          </w:p>
          <w:p w14:paraId="059769AB"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w:t>
            </w:r>
            <w:r w:rsidRPr="001B6E4D">
              <w:rPr>
                <w:rFonts w:ascii="標楷體" w:eastAsia="標楷體" w:hAnsi="標楷體" w:hint="eastAsia"/>
                <w:color w:val="000000" w:themeColor="text1"/>
                <w:sz w:val="24"/>
              </w:rPr>
              <w:t>12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30</w:t>
            </w:r>
          </w:p>
          <w:p w14:paraId="1CBD7CCC"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w:t>
            </w: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23</w:t>
            </w:r>
            <w:r w:rsidRPr="001B6E4D">
              <w:rPr>
                <w:rFonts w:ascii="標楷體" w:eastAsia="標楷體" w:hAnsi="標楷體"/>
                <w:color w:val="000000" w:themeColor="text1"/>
                <w:sz w:val="24"/>
              </w:rPr>
              <w:t>)另定期繼續處理。</w:t>
            </w:r>
          </w:p>
        </w:tc>
      </w:tr>
      <w:tr w:rsidR="00C87651" w:rsidRPr="001B6E4D" w14:paraId="3A63054E" w14:textId="77777777" w:rsidTr="00B13ED3">
        <w:tc>
          <w:tcPr>
            <w:tcW w:w="357" w:type="pct"/>
          </w:tcPr>
          <w:p w14:paraId="5F2F5BE1"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4</w:t>
            </w:r>
          </w:p>
        </w:tc>
        <w:tc>
          <w:tcPr>
            <w:tcW w:w="1670" w:type="pct"/>
          </w:tcPr>
          <w:p w14:paraId="36E4A9F2"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司法院函，為</w:t>
            </w:r>
            <w:proofErr w:type="gramStart"/>
            <w:r w:rsidRPr="001B6E4D">
              <w:rPr>
                <w:rFonts w:hAnsi="標楷體"/>
                <w:color w:val="000000" w:themeColor="text1"/>
                <w:sz w:val="24"/>
                <w:szCs w:val="24"/>
              </w:rPr>
              <w:t>113</w:t>
            </w:r>
            <w:proofErr w:type="gramEnd"/>
            <w:r w:rsidRPr="001B6E4D">
              <w:rPr>
                <w:rFonts w:hAnsi="標楷體"/>
                <w:color w:val="000000" w:themeColor="text1"/>
                <w:sz w:val="24"/>
                <w:szCs w:val="24"/>
              </w:rPr>
              <w:t>年度中央政府總預算決議，</w:t>
            </w:r>
            <w:proofErr w:type="gramStart"/>
            <w:r w:rsidRPr="001B6E4D">
              <w:rPr>
                <w:rFonts w:hAnsi="標楷體"/>
                <w:color w:val="000000" w:themeColor="text1"/>
                <w:sz w:val="24"/>
                <w:szCs w:val="24"/>
              </w:rPr>
              <w:t>檢送歲出</w:t>
            </w:r>
            <w:proofErr w:type="gramEnd"/>
            <w:r w:rsidRPr="001B6E4D">
              <w:rPr>
                <w:rFonts w:hAnsi="標楷體"/>
                <w:color w:val="000000" w:themeColor="text1"/>
                <w:sz w:val="24"/>
                <w:szCs w:val="24"/>
              </w:rPr>
              <w:t>第4款第1項決議（六）預算凍結書面報告，請查照案。</w:t>
            </w:r>
          </w:p>
        </w:tc>
        <w:tc>
          <w:tcPr>
            <w:tcW w:w="1224" w:type="pct"/>
          </w:tcPr>
          <w:p w14:paraId="7D586F45"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司法院</w:t>
            </w:r>
          </w:p>
          <w:p w14:paraId="44B19969"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6C5727FC"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（11-1-3）</w:t>
            </w:r>
          </w:p>
        </w:tc>
        <w:tc>
          <w:tcPr>
            <w:tcW w:w="871" w:type="pct"/>
          </w:tcPr>
          <w:p w14:paraId="66A5DC64"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878" w:type="pct"/>
          </w:tcPr>
          <w:p w14:paraId="0404CD43"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1.</w:t>
            </w:r>
            <w:r w:rsidRPr="001B6E4D">
              <w:rPr>
                <w:rFonts w:ascii="標楷體" w:eastAsia="標楷體" w:hAnsi="標楷體"/>
                <w:color w:val="000000" w:themeColor="text1"/>
                <w:sz w:val="24"/>
              </w:rPr>
              <w:t>本會</w:t>
            </w:r>
          </w:p>
          <w:p w14:paraId="47432A2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113.5.9</w:t>
            </w:r>
          </w:p>
          <w:p w14:paraId="76B4F773"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(11-1-21)報告及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答完畢，另定期繼續處理。</w:t>
            </w:r>
          </w:p>
          <w:p w14:paraId="1785FC74"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本會</w:t>
            </w:r>
          </w:p>
          <w:p w14:paraId="0A32A36B"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w:t>
            </w:r>
            <w:r w:rsidRPr="001B6E4D">
              <w:rPr>
                <w:rFonts w:ascii="標楷體" w:eastAsia="標楷體" w:hAnsi="標楷體" w:hint="eastAsia"/>
                <w:color w:val="000000" w:themeColor="text1"/>
                <w:sz w:val="24"/>
              </w:rPr>
              <w:t>12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30</w:t>
            </w:r>
          </w:p>
          <w:p w14:paraId="53B3F8F7"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w:t>
            </w: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23</w:t>
            </w:r>
            <w:r w:rsidRPr="001B6E4D">
              <w:rPr>
                <w:rFonts w:ascii="標楷體" w:eastAsia="標楷體" w:hAnsi="標楷體"/>
                <w:color w:val="000000" w:themeColor="text1"/>
                <w:sz w:val="24"/>
              </w:rPr>
              <w:t>)另定期繼續處理。</w:t>
            </w:r>
          </w:p>
        </w:tc>
      </w:tr>
      <w:tr w:rsidR="00C87651" w:rsidRPr="001B6E4D" w14:paraId="2D6A755B" w14:textId="77777777" w:rsidTr="00B13ED3">
        <w:tc>
          <w:tcPr>
            <w:tcW w:w="357" w:type="pct"/>
          </w:tcPr>
          <w:p w14:paraId="03CF588E"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lastRenderedPageBreak/>
              <w:t>5</w:t>
            </w:r>
          </w:p>
        </w:tc>
        <w:tc>
          <w:tcPr>
            <w:tcW w:w="1670" w:type="pct"/>
          </w:tcPr>
          <w:p w14:paraId="4485038C"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司法院函，為</w:t>
            </w:r>
            <w:proofErr w:type="gramStart"/>
            <w:r w:rsidRPr="001B6E4D">
              <w:rPr>
                <w:rFonts w:hAnsi="標楷體"/>
                <w:color w:val="000000" w:themeColor="text1"/>
                <w:sz w:val="24"/>
                <w:szCs w:val="24"/>
              </w:rPr>
              <w:t>113</w:t>
            </w:r>
            <w:proofErr w:type="gramEnd"/>
            <w:r w:rsidRPr="001B6E4D">
              <w:rPr>
                <w:rFonts w:hAnsi="標楷體"/>
                <w:color w:val="000000" w:themeColor="text1"/>
                <w:sz w:val="24"/>
                <w:szCs w:val="24"/>
              </w:rPr>
              <w:t>年度中央政府總預算決議，</w:t>
            </w:r>
            <w:proofErr w:type="gramStart"/>
            <w:r w:rsidRPr="001B6E4D">
              <w:rPr>
                <w:rFonts w:hAnsi="標楷體"/>
                <w:color w:val="000000" w:themeColor="text1"/>
                <w:sz w:val="24"/>
                <w:szCs w:val="24"/>
              </w:rPr>
              <w:t>檢送歲出</w:t>
            </w:r>
            <w:proofErr w:type="gramEnd"/>
            <w:r w:rsidRPr="001B6E4D">
              <w:rPr>
                <w:rFonts w:hAnsi="標楷體"/>
                <w:color w:val="000000" w:themeColor="text1"/>
                <w:sz w:val="24"/>
                <w:szCs w:val="24"/>
              </w:rPr>
              <w:t>第4款第1項決議（七十八）預算凍結書面報告，請查照案。</w:t>
            </w:r>
          </w:p>
        </w:tc>
        <w:tc>
          <w:tcPr>
            <w:tcW w:w="1224" w:type="pct"/>
          </w:tcPr>
          <w:p w14:paraId="3DE5E208"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司法院</w:t>
            </w:r>
          </w:p>
          <w:p w14:paraId="371D3462"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766F6785"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（11-1-3）</w:t>
            </w:r>
          </w:p>
        </w:tc>
        <w:tc>
          <w:tcPr>
            <w:tcW w:w="871" w:type="pct"/>
          </w:tcPr>
          <w:p w14:paraId="2AE343F1"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878" w:type="pct"/>
          </w:tcPr>
          <w:p w14:paraId="6BB23A4F"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1.</w:t>
            </w:r>
            <w:r w:rsidRPr="001B6E4D">
              <w:rPr>
                <w:rFonts w:ascii="標楷體" w:eastAsia="標楷體" w:hAnsi="標楷體"/>
                <w:color w:val="000000" w:themeColor="text1"/>
                <w:sz w:val="24"/>
              </w:rPr>
              <w:t>本會</w:t>
            </w:r>
          </w:p>
          <w:p w14:paraId="2F73C6A9"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113.5.9</w:t>
            </w:r>
          </w:p>
          <w:p w14:paraId="079912D8"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(11-1-21)報告及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答完畢，另定期繼續處理。</w:t>
            </w:r>
          </w:p>
          <w:p w14:paraId="1674ACF5"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本會</w:t>
            </w:r>
          </w:p>
          <w:p w14:paraId="151BE73B"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w:t>
            </w:r>
            <w:r w:rsidRPr="001B6E4D">
              <w:rPr>
                <w:rFonts w:ascii="標楷體" w:eastAsia="標楷體" w:hAnsi="標楷體" w:hint="eastAsia"/>
                <w:color w:val="000000" w:themeColor="text1"/>
                <w:sz w:val="24"/>
              </w:rPr>
              <w:t>12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30</w:t>
            </w:r>
          </w:p>
          <w:p w14:paraId="6A828D0F"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w:t>
            </w: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23</w:t>
            </w:r>
            <w:r w:rsidRPr="001B6E4D">
              <w:rPr>
                <w:rFonts w:ascii="標楷體" w:eastAsia="標楷體" w:hAnsi="標楷體"/>
                <w:color w:val="000000" w:themeColor="text1"/>
                <w:sz w:val="24"/>
              </w:rPr>
              <w:t>)另定期繼續處理。</w:t>
            </w:r>
          </w:p>
        </w:tc>
      </w:tr>
      <w:tr w:rsidR="00C87651" w:rsidRPr="001B6E4D" w14:paraId="3135F77B" w14:textId="77777777" w:rsidTr="00B13ED3">
        <w:tc>
          <w:tcPr>
            <w:tcW w:w="357" w:type="pct"/>
          </w:tcPr>
          <w:p w14:paraId="6824F607" w14:textId="77777777" w:rsidR="009B28A5" w:rsidRPr="001B6E4D" w:rsidRDefault="009B28A5" w:rsidP="003D1018">
            <w:pPr>
              <w:overflowPunct w:val="0"/>
              <w:jc w:val="center"/>
              <w:rPr>
                <w:rFonts w:ascii="標楷體" w:eastAsia="標楷體" w:hAnsi="標楷體"/>
                <w:b/>
                <w:color w:val="000000" w:themeColor="text1"/>
                <w:sz w:val="24"/>
              </w:rPr>
            </w:pPr>
            <w:r w:rsidRPr="001B6E4D">
              <w:rPr>
                <w:rFonts w:ascii="標楷體" w:eastAsia="標楷體" w:hAnsi="標楷體"/>
                <w:color w:val="000000" w:themeColor="text1"/>
                <w:sz w:val="24"/>
              </w:rPr>
              <w:t>6</w:t>
            </w:r>
          </w:p>
        </w:tc>
        <w:tc>
          <w:tcPr>
            <w:tcW w:w="1670" w:type="pct"/>
          </w:tcPr>
          <w:p w14:paraId="6CFF5FCE" w14:textId="77777777" w:rsidR="009B28A5" w:rsidRPr="001B6E4D" w:rsidRDefault="009B28A5" w:rsidP="003D1018">
            <w:pPr>
              <w:pStyle w:val="01"/>
              <w:overflowPunct w:val="0"/>
              <w:rPr>
                <w:rFonts w:hAnsi="標楷體"/>
                <w:b/>
                <w:color w:val="000000" w:themeColor="text1"/>
                <w:sz w:val="24"/>
                <w:szCs w:val="24"/>
              </w:rPr>
            </w:pPr>
            <w:r w:rsidRPr="001B6E4D">
              <w:rPr>
                <w:rFonts w:hAnsi="標楷體"/>
                <w:color w:val="000000" w:themeColor="text1"/>
                <w:sz w:val="24"/>
                <w:szCs w:val="24"/>
              </w:rPr>
              <w:t>司法院函，為</w:t>
            </w:r>
            <w:proofErr w:type="gramStart"/>
            <w:r w:rsidRPr="001B6E4D">
              <w:rPr>
                <w:rFonts w:hAnsi="標楷體"/>
                <w:color w:val="000000" w:themeColor="text1"/>
                <w:sz w:val="24"/>
                <w:szCs w:val="24"/>
              </w:rPr>
              <w:t>113</w:t>
            </w:r>
            <w:proofErr w:type="gramEnd"/>
            <w:r w:rsidRPr="001B6E4D">
              <w:rPr>
                <w:rFonts w:hAnsi="標楷體"/>
                <w:color w:val="000000" w:themeColor="text1"/>
                <w:sz w:val="24"/>
                <w:szCs w:val="24"/>
              </w:rPr>
              <w:t>年度中央政府總預算決議，</w:t>
            </w:r>
            <w:proofErr w:type="gramStart"/>
            <w:r w:rsidRPr="001B6E4D">
              <w:rPr>
                <w:rFonts w:hAnsi="標楷體"/>
                <w:color w:val="000000" w:themeColor="text1"/>
                <w:sz w:val="24"/>
                <w:szCs w:val="24"/>
              </w:rPr>
              <w:t>檢送歲出</w:t>
            </w:r>
            <w:proofErr w:type="gramEnd"/>
            <w:r w:rsidRPr="001B6E4D">
              <w:rPr>
                <w:rFonts w:hAnsi="標楷體"/>
                <w:color w:val="000000" w:themeColor="text1"/>
                <w:sz w:val="24"/>
                <w:szCs w:val="24"/>
              </w:rPr>
              <w:t>第4款第1項決議（七十九）預算凍結書面報告，請查照案。</w:t>
            </w:r>
          </w:p>
        </w:tc>
        <w:tc>
          <w:tcPr>
            <w:tcW w:w="1224" w:type="pct"/>
          </w:tcPr>
          <w:p w14:paraId="1C0B45F1"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司法院</w:t>
            </w:r>
          </w:p>
          <w:p w14:paraId="7786FBCC"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113.03.29</w:t>
            </w:r>
          </w:p>
          <w:p w14:paraId="1076CBBB"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（11-1-7）</w:t>
            </w:r>
          </w:p>
        </w:tc>
        <w:tc>
          <w:tcPr>
            <w:tcW w:w="871" w:type="pct"/>
          </w:tcPr>
          <w:p w14:paraId="387279E9"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司法及法制</w:t>
            </w:r>
          </w:p>
        </w:tc>
        <w:tc>
          <w:tcPr>
            <w:tcW w:w="878" w:type="pct"/>
          </w:tcPr>
          <w:p w14:paraId="1ABBA33C"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1.</w:t>
            </w:r>
            <w:r w:rsidRPr="001B6E4D">
              <w:rPr>
                <w:rFonts w:ascii="標楷體" w:eastAsia="標楷體" w:hAnsi="標楷體"/>
                <w:color w:val="000000" w:themeColor="text1"/>
                <w:sz w:val="24"/>
              </w:rPr>
              <w:t>本會</w:t>
            </w:r>
          </w:p>
          <w:p w14:paraId="2B71E221"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113.5.9</w:t>
            </w:r>
          </w:p>
          <w:p w14:paraId="4AFCE1B5"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(11-1-21)報告及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答完畢，另定期繼續處理。</w:t>
            </w:r>
          </w:p>
          <w:p w14:paraId="626BAECC"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本會</w:t>
            </w:r>
          </w:p>
          <w:p w14:paraId="581DC45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w:t>
            </w:r>
            <w:r w:rsidRPr="001B6E4D">
              <w:rPr>
                <w:rFonts w:ascii="標楷體" w:eastAsia="標楷體" w:hAnsi="標楷體" w:hint="eastAsia"/>
                <w:color w:val="000000" w:themeColor="text1"/>
                <w:sz w:val="24"/>
              </w:rPr>
              <w:t>12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30</w:t>
            </w:r>
          </w:p>
          <w:p w14:paraId="09021D98" w14:textId="77777777" w:rsidR="009B28A5" w:rsidRPr="001B6E4D" w:rsidRDefault="009B28A5" w:rsidP="003D1018">
            <w:pPr>
              <w:overflowPunct w:val="0"/>
              <w:jc w:val="both"/>
              <w:rPr>
                <w:rFonts w:ascii="標楷體" w:eastAsia="標楷體" w:hAnsi="標楷體"/>
                <w:b/>
                <w:color w:val="000000" w:themeColor="text1"/>
                <w:sz w:val="24"/>
              </w:rPr>
            </w:pPr>
            <w:r w:rsidRPr="001B6E4D">
              <w:rPr>
                <w:rFonts w:ascii="標楷體" w:eastAsia="標楷體" w:hAnsi="標楷體"/>
                <w:color w:val="000000" w:themeColor="text1"/>
                <w:sz w:val="24"/>
              </w:rPr>
              <w:t>(11-</w:t>
            </w: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23</w:t>
            </w:r>
            <w:r w:rsidRPr="001B6E4D">
              <w:rPr>
                <w:rFonts w:ascii="標楷體" w:eastAsia="標楷體" w:hAnsi="標楷體"/>
                <w:color w:val="000000" w:themeColor="text1"/>
                <w:sz w:val="24"/>
              </w:rPr>
              <w:t>)另定期繼續處理。</w:t>
            </w:r>
          </w:p>
        </w:tc>
      </w:tr>
      <w:tr w:rsidR="00C87651" w:rsidRPr="001B6E4D" w14:paraId="616A72B0" w14:textId="77777777" w:rsidTr="00B13ED3">
        <w:tc>
          <w:tcPr>
            <w:tcW w:w="357" w:type="pct"/>
          </w:tcPr>
          <w:p w14:paraId="7E640A6A" w14:textId="77777777" w:rsidR="009B28A5" w:rsidRPr="001B6E4D" w:rsidRDefault="009B28A5" w:rsidP="003D1018">
            <w:pPr>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7</w:t>
            </w:r>
          </w:p>
        </w:tc>
        <w:tc>
          <w:tcPr>
            <w:tcW w:w="1670" w:type="pct"/>
          </w:tcPr>
          <w:p w14:paraId="5EF07174" w14:textId="77777777" w:rsidR="009B28A5" w:rsidRPr="001B6E4D" w:rsidRDefault="009B28A5" w:rsidP="003D1018">
            <w:pPr>
              <w:pStyle w:val="01"/>
              <w:overflowPunct w:val="0"/>
              <w:rPr>
                <w:rFonts w:hAnsi="標楷體"/>
                <w:color w:val="000000" w:themeColor="text1"/>
                <w:sz w:val="24"/>
                <w:szCs w:val="24"/>
              </w:rPr>
            </w:pPr>
            <w:r w:rsidRPr="001B6E4D">
              <w:rPr>
                <w:rFonts w:hAnsi="標楷體"/>
                <w:color w:val="000000" w:themeColor="text1"/>
                <w:sz w:val="24"/>
                <w:szCs w:val="24"/>
              </w:rPr>
              <w:t>司法院函，為</w:t>
            </w:r>
            <w:proofErr w:type="gramStart"/>
            <w:r w:rsidRPr="001B6E4D">
              <w:rPr>
                <w:rFonts w:hAnsi="標楷體"/>
                <w:color w:val="000000" w:themeColor="text1"/>
                <w:sz w:val="24"/>
                <w:szCs w:val="24"/>
              </w:rPr>
              <w:t>113</w:t>
            </w:r>
            <w:proofErr w:type="gramEnd"/>
            <w:r w:rsidRPr="001B6E4D">
              <w:rPr>
                <w:rFonts w:hAnsi="標楷體"/>
                <w:color w:val="000000" w:themeColor="text1"/>
                <w:sz w:val="24"/>
                <w:szCs w:val="24"/>
              </w:rPr>
              <w:t>年度中央政府總預算決議，</w:t>
            </w:r>
            <w:proofErr w:type="gramStart"/>
            <w:r w:rsidRPr="001B6E4D">
              <w:rPr>
                <w:rFonts w:hAnsi="標楷體"/>
                <w:color w:val="000000" w:themeColor="text1"/>
                <w:sz w:val="24"/>
                <w:szCs w:val="24"/>
              </w:rPr>
              <w:t>檢送歲出</w:t>
            </w:r>
            <w:proofErr w:type="gramEnd"/>
            <w:r w:rsidRPr="001B6E4D">
              <w:rPr>
                <w:rFonts w:hAnsi="標楷體"/>
                <w:color w:val="000000" w:themeColor="text1"/>
                <w:sz w:val="24"/>
                <w:szCs w:val="24"/>
              </w:rPr>
              <w:t>第4款第1項決議（一）、（三）、（四）、（六）、（七十八）及（七十九）更正之預算凍結書面報告，請查照案。</w:t>
            </w:r>
          </w:p>
        </w:tc>
        <w:tc>
          <w:tcPr>
            <w:tcW w:w="1224" w:type="pct"/>
          </w:tcPr>
          <w:p w14:paraId="493D4D2D"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司法院</w:t>
            </w:r>
          </w:p>
          <w:p w14:paraId="4FC68F9D"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113.06.28</w:t>
            </w:r>
          </w:p>
          <w:p w14:paraId="0F8052D4"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（11-1-20）</w:t>
            </w:r>
          </w:p>
        </w:tc>
        <w:tc>
          <w:tcPr>
            <w:tcW w:w="871" w:type="pct"/>
          </w:tcPr>
          <w:p w14:paraId="48F64BDB"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878" w:type="pct"/>
          </w:tcPr>
          <w:p w14:paraId="2BC8FD48"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本會</w:t>
            </w:r>
          </w:p>
          <w:p w14:paraId="58A97C23"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w:t>
            </w:r>
            <w:r w:rsidRPr="001B6E4D">
              <w:rPr>
                <w:rFonts w:ascii="標楷體" w:eastAsia="標楷體" w:hAnsi="標楷體" w:hint="eastAsia"/>
                <w:color w:val="000000" w:themeColor="text1"/>
                <w:sz w:val="24"/>
              </w:rPr>
              <w:t>12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30</w:t>
            </w:r>
          </w:p>
          <w:p w14:paraId="790C2167" w14:textId="77777777" w:rsidR="009B28A5" w:rsidRPr="001B6E4D" w:rsidRDefault="009B28A5"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w:t>
            </w: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23</w:t>
            </w:r>
            <w:r w:rsidRPr="001B6E4D">
              <w:rPr>
                <w:rFonts w:ascii="標楷體" w:eastAsia="標楷體" w:hAnsi="標楷體"/>
                <w:color w:val="000000" w:themeColor="text1"/>
                <w:sz w:val="24"/>
              </w:rPr>
              <w:t>)</w:t>
            </w:r>
            <w:r w:rsidRPr="001B6E4D">
              <w:rPr>
                <w:rFonts w:ascii="標楷體" w:eastAsia="標楷體" w:hAnsi="標楷體" w:hint="eastAsia"/>
                <w:color w:val="000000" w:themeColor="text1"/>
                <w:sz w:val="24"/>
              </w:rPr>
              <w:t>不予備查。</w:t>
            </w:r>
          </w:p>
        </w:tc>
      </w:tr>
    </w:tbl>
    <w:p w14:paraId="1D38D461" w14:textId="77777777" w:rsidR="00B13ED3" w:rsidRPr="001B6E4D" w:rsidRDefault="00B13ED3" w:rsidP="003D1018">
      <w:pPr>
        <w:pStyle w:val="-40"/>
        <w:kinsoku w:val="0"/>
        <w:overflowPunct w:val="0"/>
        <w:topLinePunct/>
        <w:spacing w:beforeLines="100" w:before="240" w:afterLines="70" w:after="168" w:line="260" w:lineRule="exact"/>
        <w:ind w:leftChars="128" w:left="307" w:firstLineChars="400" w:firstLine="1121"/>
        <w:outlineLvl w:val="2"/>
        <w:rPr>
          <w:color w:val="000000" w:themeColor="text1"/>
          <w:shd w:val="clear" w:color="auto" w:fill="FFFFFF" w:themeFill="background1"/>
        </w:rPr>
      </w:pPr>
      <w:bookmarkStart w:id="387" w:name="_Toc240446566"/>
      <w:bookmarkStart w:id="388" w:name="_Toc361217375"/>
      <w:bookmarkStart w:id="389" w:name="_Toc362968435"/>
      <w:bookmarkStart w:id="390" w:name="_Toc136594885"/>
      <w:bookmarkEnd w:id="381"/>
      <w:bookmarkEnd w:id="382"/>
      <w:bookmarkEnd w:id="383"/>
      <w:bookmarkEnd w:id="385"/>
      <w:bookmarkEnd w:id="386"/>
      <w:r w:rsidRPr="001B6E4D">
        <w:rPr>
          <w:color w:val="000000" w:themeColor="text1"/>
          <w:shd w:val="clear" w:color="auto" w:fill="FFFFFF" w:themeFill="background1"/>
        </w:rPr>
        <w:t>（</w:t>
      </w:r>
      <w:r w:rsidRPr="001B6E4D">
        <w:rPr>
          <w:rFonts w:hint="eastAsia"/>
          <w:color w:val="000000" w:themeColor="text1"/>
          <w:shd w:val="clear" w:color="auto" w:fill="FFFFFF" w:themeFill="background1"/>
        </w:rPr>
        <w:t>三</w:t>
      </w:r>
      <w:r w:rsidRPr="001B6E4D">
        <w:rPr>
          <w:color w:val="000000" w:themeColor="text1"/>
          <w:shd w:val="clear" w:color="auto" w:fill="FFFFFF" w:themeFill="background1"/>
        </w:rPr>
        <w:t>）</w:t>
      </w:r>
      <w:r w:rsidRPr="001B6E4D">
        <w:rPr>
          <w:rFonts w:hint="eastAsia"/>
          <w:color w:val="000000" w:themeColor="text1"/>
          <w:shd w:val="clear" w:color="auto" w:fill="FFFFFF" w:themeFill="background1"/>
        </w:rPr>
        <w:t>考試</w:t>
      </w:r>
      <w:r w:rsidRPr="001B6E4D">
        <w:rPr>
          <w:color w:val="000000" w:themeColor="text1"/>
          <w:shd w:val="clear" w:color="auto" w:fill="FFFFFF" w:themeFill="background1"/>
        </w:rPr>
        <w:t>院</w:t>
      </w:r>
      <w:r w:rsidRPr="001B6E4D">
        <w:rPr>
          <w:rFonts w:hint="eastAsia"/>
          <w:color w:val="000000" w:themeColor="text1"/>
          <w:shd w:val="clear" w:color="auto" w:fill="FFFFFF" w:themeFill="background1"/>
        </w:rPr>
        <w:t>1</w:t>
      </w:r>
      <w:r w:rsidRPr="001B6E4D">
        <w:rPr>
          <w:color w:val="000000" w:themeColor="text1"/>
          <w:shd w:val="clear" w:color="auto" w:fill="FFFFFF" w:themeFill="background1"/>
        </w:rPr>
        <w:t>案</w:t>
      </w:r>
      <w:bookmarkEnd w:id="387"/>
    </w:p>
    <w:tbl>
      <w:tblPr>
        <w:tblStyle w:val="ae"/>
        <w:tblW w:w="5037" w:type="pct"/>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20"/>
        <w:gridCol w:w="2900"/>
        <w:gridCol w:w="2126"/>
        <w:gridCol w:w="1513"/>
        <w:gridCol w:w="1525"/>
      </w:tblGrid>
      <w:tr w:rsidR="00B13ED3" w:rsidRPr="001B6E4D" w14:paraId="77EC7D6C" w14:textId="77777777" w:rsidTr="0006693A">
        <w:tc>
          <w:tcPr>
            <w:tcW w:w="357" w:type="pct"/>
            <w:vAlign w:val="center"/>
          </w:tcPr>
          <w:p w14:paraId="28385911" w14:textId="77777777" w:rsidR="00B13ED3" w:rsidRPr="001B6E4D" w:rsidRDefault="00B13ED3"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670" w:type="pct"/>
            <w:vAlign w:val="center"/>
          </w:tcPr>
          <w:p w14:paraId="14BDB420" w14:textId="77777777" w:rsidR="00B13ED3" w:rsidRPr="001B6E4D" w:rsidRDefault="00B13ED3"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224" w:type="pct"/>
            <w:vAlign w:val="center"/>
          </w:tcPr>
          <w:p w14:paraId="4CB3E606" w14:textId="77777777" w:rsidR="00B13ED3" w:rsidRPr="001B6E4D" w:rsidRDefault="00B13ED3" w:rsidP="003D1018">
            <w:pPr>
              <w:kinsoku w:val="0"/>
              <w:overflowPunct w:val="0"/>
              <w:topLinePunct/>
              <w:spacing w:beforeLines="50" w:before="12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2C8C4913" w14:textId="77777777" w:rsidR="00B13ED3" w:rsidRPr="001B6E4D" w:rsidRDefault="00B13ED3"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1CDC3007" w14:textId="77777777" w:rsidR="00B13ED3" w:rsidRPr="001B6E4D" w:rsidRDefault="00B13ED3" w:rsidP="003D1018">
            <w:pPr>
              <w:kinsoku w:val="0"/>
              <w:overflowPunct w:val="0"/>
              <w:topLinePunct/>
              <w:spacing w:afterLines="50" w:after="12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71" w:type="pct"/>
            <w:vAlign w:val="center"/>
          </w:tcPr>
          <w:p w14:paraId="462B3304" w14:textId="77777777" w:rsidR="00B13ED3" w:rsidRPr="001B6E4D" w:rsidRDefault="00B13ED3"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委員會</w:t>
            </w:r>
          </w:p>
        </w:tc>
        <w:tc>
          <w:tcPr>
            <w:tcW w:w="878" w:type="pct"/>
            <w:vAlign w:val="center"/>
          </w:tcPr>
          <w:p w14:paraId="0250FC52" w14:textId="77777777" w:rsidR="00B13ED3" w:rsidRPr="001B6E4D" w:rsidRDefault="00B13ED3" w:rsidP="003D1018">
            <w:pPr>
              <w:kinsoku w:val="0"/>
              <w:overflowPunct w:val="0"/>
              <w:topLinePunct/>
              <w:spacing w:line="300" w:lineRule="exact"/>
              <w:jc w:val="center"/>
              <w:rPr>
                <w:rFonts w:ascii="標楷體" w:eastAsia="標楷體" w:hAnsi="標楷體"/>
                <w:b/>
                <w:color w:val="000000" w:themeColor="text1"/>
                <w:spacing w:val="-28"/>
                <w:sz w:val="24"/>
                <w:shd w:val="clear" w:color="auto" w:fill="FFFFFF" w:themeFill="background1"/>
              </w:rPr>
            </w:pPr>
            <w:r w:rsidRPr="001B6E4D">
              <w:rPr>
                <w:rFonts w:ascii="標楷體" w:eastAsia="標楷體" w:hAnsi="標楷體"/>
                <w:b/>
                <w:color w:val="000000" w:themeColor="text1"/>
                <w:spacing w:val="-28"/>
                <w:sz w:val="24"/>
                <w:shd w:val="clear" w:color="auto" w:fill="FFFFFF" w:themeFill="background1"/>
              </w:rPr>
              <w:t>審查</w:t>
            </w:r>
            <w:r w:rsidRPr="001B6E4D">
              <w:rPr>
                <w:rFonts w:ascii="標楷體" w:eastAsia="標楷體" w:hAnsi="標楷體" w:hint="eastAsia"/>
                <w:b/>
                <w:color w:val="000000" w:themeColor="text1"/>
                <w:spacing w:val="-28"/>
                <w:sz w:val="24"/>
                <w:shd w:val="clear" w:color="auto" w:fill="FFFFFF" w:themeFill="background1"/>
              </w:rPr>
              <w:t>、處理</w:t>
            </w:r>
            <w:r w:rsidRPr="001B6E4D">
              <w:rPr>
                <w:rFonts w:ascii="標楷體" w:eastAsia="標楷體" w:hAnsi="標楷體"/>
                <w:b/>
                <w:color w:val="000000" w:themeColor="text1"/>
                <w:spacing w:val="-28"/>
                <w:sz w:val="24"/>
                <w:shd w:val="clear" w:color="auto" w:fill="FFFFFF" w:themeFill="background1"/>
              </w:rPr>
              <w:t>情形</w:t>
            </w:r>
          </w:p>
        </w:tc>
      </w:tr>
      <w:tr w:rsidR="00B13ED3" w:rsidRPr="001B6E4D" w14:paraId="4DF7D344" w14:textId="77777777" w:rsidTr="0006693A">
        <w:tc>
          <w:tcPr>
            <w:tcW w:w="357" w:type="pct"/>
          </w:tcPr>
          <w:p w14:paraId="46949BD0" w14:textId="4CE5044B" w:rsidR="00B13ED3" w:rsidRPr="001B6E4D" w:rsidRDefault="00B13ED3" w:rsidP="003D1018">
            <w:pPr>
              <w:overflowPunct w:val="0"/>
              <w:jc w:val="center"/>
              <w:rPr>
                <w:rFonts w:ascii="標楷體" w:eastAsia="標楷體" w:hAnsi="標楷體"/>
                <w:b/>
                <w:color w:val="000000" w:themeColor="text1"/>
                <w:sz w:val="24"/>
              </w:rPr>
            </w:pPr>
            <w:r w:rsidRPr="001B6E4D">
              <w:rPr>
                <w:rFonts w:ascii="標楷體" w:eastAsia="標楷體" w:hAnsi="標楷體"/>
                <w:sz w:val="24"/>
              </w:rPr>
              <w:t>1</w:t>
            </w:r>
          </w:p>
        </w:tc>
        <w:tc>
          <w:tcPr>
            <w:tcW w:w="1670" w:type="pct"/>
          </w:tcPr>
          <w:p w14:paraId="4E2A439E" w14:textId="74B9CB46" w:rsidR="00B13ED3" w:rsidRPr="001B6E4D" w:rsidRDefault="00B13ED3" w:rsidP="003D1018">
            <w:pPr>
              <w:overflowPunct w:val="0"/>
              <w:spacing w:line="360" w:lineRule="exact"/>
              <w:jc w:val="both"/>
              <w:rPr>
                <w:rFonts w:ascii="標楷體" w:eastAsia="標楷體" w:hAnsi="標楷體" w:cstheme="minorBidi"/>
                <w:b/>
                <w:color w:val="000000" w:themeColor="text1"/>
                <w:sz w:val="24"/>
              </w:rPr>
            </w:pPr>
            <w:proofErr w:type="gramStart"/>
            <w:r w:rsidRPr="001B6E4D">
              <w:rPr>
                <w:rFonts w:ascii="標楷體" w:eastAsia="標楷體" w:hAnsi="標楷體"/>
                <w:sz w:val="24"/>
              </w:rPr>
              <w:t>銓敘部函</w:t>
            </w:r>
            <w:proofErr w:type="gramEnd"/>
            <w:r w:rsidRPr="001B6E4D">
              <w:rPr>
                <w:rFonts w:ascii="標楷體" w:eastAsia="標楷體" w:hAnsi="標楷體"/>
                <w:sz w:val="24"/>
              </w:rPr>
              <w:t>，為</w:t>
            </w:r>
            <w:proofErr w:type="gramStart"/>
            <w:r w:rsidRPr="001B6E4D">
              <w:rPr>
                <w:rFonts w:ascii="標楷體" w:eastAsia="標楷體" w:hAnsi="標楷體"/>
                <w:sz w:val="24"/>
              </w:rPr>
              <w:t>114</w:t>
            </w:r>
            <w:proofErr w:type="gramEnd"/>
            <w:r w:rsidRPr="001B6E4D">
              <w:rPr>
                <w:rFonts w:ascii="標楷體" w:eastAsia="標楷體" w:hAnsi="標楷體"/>
                <w:sz w:val="24"/>
              </w:rPr>
              <w:t>年度中央政府總預算附屬單位預算決議，檢送公務人員退休撫</w:t>
            </w:r>
            <w:proofErr w:type="gramStart"/>
            <w:r w:rsidRPr="001B6E4D">
              <w:rPr>
                <w:rFonts w:ascii="標楷體" w:eastAsia="標楷體" w:hAnsi="標楷體"/>
                <w:sz w:val="24"/>
              </w:rPr>
              <w:t>卹</w:t>
            </w:r>
            <w:proofErr w:type="gramEnd"/>
            <w:r w:rsidRPr="001B6E4D">
              <w:rPr>
                <w:rFonts w:ascii="標楷體" w:eastAsia="標楷體" w:hAnsi="標楷體"/>
                <w:sz w:val="24"/>
              </w:rPr>
              <w:t>基金決議第1項預</w:t>
            </w:r>
            <w:r w:rsidRPr="001B6E4D">
              <w:rPr>
                <w:rFonts w:ascii="標楷體" w:eastAsia="標楷體" w:hAnsi="標楷體"/>
                <w:sz w:val="24"/>
              </w:rPr>
              <w:lastRenderedPageBreak/>
              <w:t>算凍結書面報告，請查照案。</w:t>
            </w:r>
          </w:p>
        </w:tc>
        <w:tc>
          <w:tcPr>
            <w:tcW w:w="1224" w:type="pct"/>
          </w:tcPr>
          <w:p w14:paraId="35B5BC1E" w14:textId="77777777" w:rsidR="00B13ED3" w:rsidRPr="001B6E4D" w:rsidRDefault="00B13ED3" w:rsidP="003D1018">
            <w:pPr>
              <w:overflowPunct w:val="0"/>
              <w:jc w:val="both"/>
              <w:rPr>
                <w:rFonts w:ascii="標楷體" w:eastAsia="標楷體" w:hAnsi="標楷體"/>
                <w:sz w:val="24"/>
              </w:rPr>
            </w:pPr>
            <w:r w:rsidRPr="001B6E4D">
              <w:rPr>
                <w:rFonts w:ascii="標楷體" w:eastAsia="標楷體" w:hAnsi="標楷體"/>
                <w:sz w:val="24"/>
              </w:rPr>
              <w:lastRenderedPageBreak/>
              <w:t>銓敘部</w:t>
            </w:r>
          </w:p>
          <w:p w14:paraId="17FEA4F7" w14:textId="77777777" w:rsidR="00B13ED3" w:rsidRPr="001B6E4D" w:rsidRDefault="00B13ED3" w:rsidP="003D1018">
            <w:pPr>
              <w:overflowPunct w:val="0"/>
              <w:jc w:val="both"/>
              <w:rPr>
                <w:rFonts w:ascii="標楷體" w:eastAsia="標楷體" w:hAnsi="標楷體"/>
                <w:sz w:val="24"/>
              </w:rPr>
            </w:pPr>
            <w:r w:rsidRPr="001B6E4D">
              <w:rPr>
                <w:rFonts w:ascii="標楷體" w:eastAsia="標楷體" w:hAnsi="標楷體"/>
                <w:sz w:val="24"/>
              </w:rPr>
              <w:t>115.03.20</w:t>
            </w:r>
          </w:p>
          <w:p w14:paraId="71102C31" w14:textId="1F0B57F2" w:rsidR="00B13ED3" w:rsidRPr="001B6E4D" w:rsidRDefault="00B13ED3"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（11-5-4）</w:t>
            </w:r>
          </w:p>
        </w:tc>
        <w:tc>
          <w:tcPr>
            <w:tcW w:w="871" w:type="pct"/>
          </w:tcPr>
          <w:p w14:paraId="147C3523" w14:textId="6C860BE6" w:rsidR="00B13ED3" w:rsidRPr="001B6E4D" w:rsidRDefault="00B13ED3"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司法及法制</w:t>
            </w:r>
          </w:p>
        </w:tc>
        <w:tc>
          <w:tcPr>
            <w:tcW w:w="878" w:type="pct"/>
          </w:tcPr>
          <w:p w14:paraId="489D19E9" w14:textId="63BE0CD8" w:rsidR="00B13ED3" w:rsidRPr="001B6E4D" w:rsidRDefault="00B13ED3" w:rsidP="003D1018">
            <w:pPr>
              <w:overflowPunct w:val="0"/>
              <w:jc w:val="both"/>
              <w:rPr>
                <w:rFonts w:ascii="標楷體" w:eastAsia="標楷體" w:hAnsi="標楷體"/>
                <w:b/>
                <w:color w:val="000000" w:themeColor="text1"/>
                <w:sz w:val="24"/>
              </w:rPr>
            </w:pPr>
            <w:r w:rsidRPr="001B6E4D">
              <w:rPr>
                <w:rFonts w:ascii="標楷體" w:eastAsia="標楷體" w:hAnsi="標楷體"/>
                <w:sz w:val="24"/>
              </w:rPr>
              <w:t>尚未處理</w:t>
            </w:r>
          </w:p>
        </w:tc>
      </w:tr>
    </w:tbl>
    <w:p w14:paraId="4BBEB6F5" w14:textId="563772D5" w:rsidR="009B28A5" w:rsidRPr="001B6E4D" w:rsidRDefault="009B28A5" w:rsidP="003D1018">
      <w:pPr>
        <w:pStyle w:val="affffff0"/>
        <w:kinsoku w:val="0"/>
        <w:overflowPunct w:val="0"/>
        <w:topLinePunct/>
        <w:spacing w:beforeLines="150" w:before="360" w:afterLines="70" w:after="168" w:line="260" w:lineRule="atLeast"/>
        <w:ind w:leftChars="128" w:left="307" w:firstLineChars="260" w:firstLine="729"/>
        <w:rPr>
          <w:color w:val="000000" w:themeColor="text1"/>
          <w:szCs w:val="28"/>
          <w:shd w:val="clear" w:color="auto" w:fill="FFFFFF" w:themeFill="background1"/>
        </w:rPr>
      </w:pPr>
      <w:bookmarkStart w:id="391" w:name="_Toc240446567"/>
      <w:r w:rsidRPr="001B6E4D">
        <w:rPr>
          <w:rFonts w:hint="eastAsia"/>
          <w:color w:val="000000" w:themeColor="text1"/>
          <w:szCs w:val="28"/>
          <w:shd w:val="clear" w:color="auto" w:fill="FFFFFF" w:themeFill="background1"/>
        </w:rPr>
        <w:t>三</w:t>
      </w:r>
      <w:r w:rsidRPr="001B6E4D">
        <w:rPr>
          <w:color w:val="000000" w:themeColor="text1"/>
          <w:szCs w:val="28"/>
          <w:shd w:val="clear" w:color="auto" w:fill="FFFFFF" w:themeFill="background1"/>
        </w:rPr>
        <w:t>、其他</w:t>
      </w:r>
      <w:r w:rsidR="00411CB4" w:rsidRPr="001B6E4D">
        <w:rPr>
          <w:rFonts w:hint="eastAsia"/>
          <w:color w:val="000000" w:themeColor="text1"/>
          <w:szCs w:val="28"/>
          <w:shd w:val="clear" w:color="auto" w:fill="FFFFFF" w:themeFill="background1"/>
        </w:rPr>
        <w:t>113</w:t>
      </w:r>
      <w:r w:rsidRPr="001B6E4D">
        <w:rPr>
          <w:color w:val="000000" w:themeColor="text1"/>
          <w:szCs w:val="28"/>
          <w:shd w:val="clear" w:color="auto" w:fill="FFFFFF" w:themeFill="background1"/>
        </w:rPr>
        <w:t>案</w:t>
      </w:r>
      <w:bookmarkEnd w:id="388"/>
      <w:bookmarkEnd w:id="389"/>
      <w:bookmarkEnd w:id="390"/>
      <w:bookmarkEnd w:id="391"/>
    </w:p>
    <w:tbl>
      <w:tblPr>
        <w:tblStyle w:val="ae"/>
        <w:tblW w:w="5013"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666"/>
        <w:gridCol w:w="2859"/>
        <w:gridCol w:w="1982"/>
        <w:gridCol w:w="1664"/>
        <w:gridCol w:w="1471"/>
      </w:tblGrid>
      <w:tr w:rsidR="00C87651" w:rsidRPr="001B6E4D" w14:paraId="199ABBBB" w14:textId="77777777" w:rsidTr="00530F33">
        <w:tc>
          <w:tcPr>
            <w:tcW w:w="385" w:type="pct"/>
            <w:vAlign w:val="center"/>
          </w:tcPr>
          <w:p w14:paraId="6E7DB9DB"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bookmarkStart w:id="392" w:name="_Toc361217376"/>
            <w:bookmarkStart w:id="393" w:name="_Toc362968436"/>
            <w:r w:rsidRPr="001B6E4D">
              <w:rPr>
                <w:rFonts w:ascii="標楷體" w:eastAsia="標楷體" w:hAnsi="標楷體"/>
                <w:b/>
                <w:color w:val="000000" w:themeColor="text1"/>
                <w:sz w:val="24"/>
                <w:shd w:val="clear" w:color="auto" w:fill="FFFFFF" w:themeFill="background1"/>
              </w:rPr>
              <w:t>序號</w:t>
            </w:r>
          </w:p>
        </w:tc>
        <w:tc>
          <w:tcPr>
            <w:tcW w:w="1654" w:type="pct"/>
            <w:vAlign w:val="center"/>
          </w:tcPr>
          <w:p w14:paraId="684FF321"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47" w:type="pct"/>
            <w:vAlign w:val="center"/>
          </w:tcPr>
          <w:p w14:paraId="5E2F1A78" w14:textId="77777777" w:rsidR="009B28A5" w:rsidRPr="001B6E4D" w:rsidRDefault="009B28A5" w:rsidP="003D1018">
            <w:pPr>
              <w:kinsoku w:val="0"/>
              <w:overflowPunct w:val="0"/>
              <w:topLinePunct/>
              <w:spacing w:beforeLines="50" w:before="12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5017537F" w14:textId="77777777"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29EB0A2D" w14:textId="77777777" w:rsidR="009B28A5" w:rsidRPr="001B6E4D" w:rsidRDefault="009B28A5" w:rsidP="003D1018">
            <w:pPr>
              <w:kinsoku w:val="0"/>
              <w:overflowPunct w:val="0"/>
              <w:topLinePunct/>
              <w:spacing w:afterLines="50" w:after="120"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63" w:type="pct"/>
            <w:vAlign w:val="center"/>
          </w:tcPr>
          <w:p w14:paraId="38F22E6C" w14:textId="3C3694A9" w:rsidR="009B28A5" w:rsidRPr="001B6E4D" w:rsidRDefault="009B28A5"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委員會</w:t>
            </w:r>
          </w:p>
        </w:tc>
        <w:tc>
          <w:tcPr>
            <w:tcW w:w="851" w:type="pct"/>
            <w:vAlign w:val="center"/>
          </w:tcPr>
          <w:p w14:paraId="3DEBC96A" w14:textId="77A73D16" w:rsidR="009B28A5" w:rsidRPr="001B6E4D" w:rsidRDefault="009B28A5" w:rsidP="003D1018">
            <w:pPr>
              <w:kinsoku w:val="0"/>
              <w:overflowPunct w:val="0"/>
              <w:topLinePunct/>
              <w:spacing w:line="300" w:lineRule="exact"/>
              <w:jc w:val="center"/>
              <w:rPr>
                <w:rFonts w:ascii="標楷體" w:eastAsia="標楷體" w:hAnsi="標楷體"/>
                <w:b/>
                <w:color w:val="000000" w:themeColor="text1"/>
                <w:spacing w:val="-32"/>
                <w:sz w:val="24"/>
                <w:shd w:val="clear" w:color="auto" w:fill="FFFFFF" w:themeFill="background1"/>
              </w:rPr>
            </w:pPr>
            <w:r w:rsidRPr="001B6E4D">
              <w:rPr>
                <w:rFonts w:ascii="標楷體" w:eastAsia="標楷體" w:hAnsi="標楷體"/>
                <w:b/>
                <w:color w:val="000000" w:themeColor="text1"/>
                <w:spacing w:val="-32"/>
                <w:sz w:val="24"/>
                <w:shd w:val="clear" w:color="auto" w:fill="FFFFFF" w:themeFill="background1"/>
              </w:rPr>
              <w:t>審查</w:t>
            </w:r>
            <w:r w:rsidR="00892408" w:rsidRPr="001B6E4D">
              <w:rPr>
                <w:rFonts w:ascii="標楷體" w:eastAsia="標楷體" w:hAnsi="標楷體" w:hint="eastAsia"/>
                <w:b/>
                <w:color w:val="000000" w:themeColor="text1"/>
                <w:spacing w:val="-32"/>
                <w:sz w:val="24"/>
                <w:shd w:val="clear" w:color="auto" w:fill="FFFFFF" w:themeFill="background1"/>
              </w:rPr>
              <w:t>、處理</w:t>
            </w:r>
            <w:r w:rsidRPr="001B6E4D">
              <w:rPr>
                <w:rFonts w:ascii="標楷體" w:eastAsia="標楷體" w:hAnsi="標楷體"/>
                <w:b/>
                <w:color w:val="000000" w:themeColor="text1"/>
                <w:spacing w:val="-32"/>
                <w:sz w:val="24"/>
                <w:shd w:val="clear" w:color="auto" w:fill="FFFFFF" w:themeFill="background1"/>
              </w:rPr>
              <w:t>情形</w:t>
            </w:r>
          </w:p>
        </w:tc>
      </w:tr>
      <w:tr w:rsidR="00411CB4" w:rsidRPr="001B6E4D" w14:paraId="5BDABF37" w14:textId="77777777" w:rsidTr="00757E4A">
        <w:tc>
          <w:tcPr>
            <w:tcW w:w="385" w:type="pct"/>
          </w:tcPr>
          <w:p w14:paraId="3DF9691E" w14:textId="33147507" w:rsidR="00411CB4" w:rsidRPr="001B6E4D" w:rsidRDefault="00411CB4"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w:t>
            </w:r>
          </w:p>
        </w:tc>
        <w:tc>
          <w:tcPr>
            <w:tcW w:w="1654" w:type="pct"/>
          </w:tcPr>
          <w:p w14:paraId="24428BB7" w14:textId="32DA6762" w:rsidR="00411CB4" w:rsidRPr="001B6E4D" w:rsidRDefault="00411CB4" w:rsidP="001468CA">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行政院人事行政總處函，為</w:t>
            </w:r>
            <w:proofErr w:type="gramStart"/>
            <w:r w:rsidRPr="001B6E4D">
              <w:rPr>
                <w:rFonts w:ascii="標楷體" w:eastAsia="標楷體" w:hAnsi="標楷體"/>
                <w:sz w:val="24"/>
              </w:rPr>
              <w:t>113</w:t>
            </w:r>
            <w:proofErr w:type="gramEnd"/>
            <w:r w:rsidRPr="001B6E4D">
              <w:rPr>
                <w:rFonts w:ascii="標楷體" w:eastAsia="標楷體" w:hAnsi="標楷體"/>
                <w:sz w:val="24"/>
              </w:rPr>
              <w:t>年度中央政府總預算決議，檢送決議（二十七）政府員額管理與人力運用專案報告，請查照案。</w:t>
            </w:r>
          </w:p>
        </w:tc>
        <w:tc>
          <w:tcPr>
            <w:tcW w:w="1147" w:type="pct"/>
          </w:tcPr>
          <w:p w14:paraId="7FBCEC45" w14:textId="7777777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行政院人事行政總處</w:t>
            </w:r>
          </w:p>
          <w:p w14:paraId="0DC112D3" w14:textId="7777777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113.03.29</w:t>
            </w:r>
          </w:p>
          <w:p w14:paraId="27F6A52D" w14:textId="42FBD097" w:rsidR="00411CB4" w:rsidRPr="001B6E4D" w:rsidRDefault="00411CB4" w:rsidP="003D1018">
            <w:pPr>
              <w:overflowPunct w:val="0"/>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（11-1-7）</w:t>
            </w:r>
          </w:p>
        </w:tc>
        <w:tc>
          <w:tcPr>
            <w:tcW w:w="963" w:type="pct"/>
          </w:tcPr>
          <w:p w14:paraId="3C2B83F1" w14:textId="517E0393" w:rsidR="00411CB4" w:rsidRPr="001B6E4D" w:rsidRDefault="00411CB4"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司法及法制</w:t>
            </w:r>
          </w:p>
        </w:tc>
        <w:tc>
          <w:tcPr>
            <w:tcW w:w="851" w:type="pct"/>
          </w:tcPr>
          <w:p w14:paraId="6C719129" w14:textId="6A5C0C9F" w:rsidR="00411CB4" w:rsidRPr="001B6E4D" w:rsidRDefault="00411CB4" w:rsidP="008665C9">
            <w:pPr>
              <w:kinsoku w:val="0"/>
              <w:overflowPunct w:val="0"/>
              <w:topLinePunct/>
              <w:spacing w:line="300" w:lineRule="exact"/>
              <w:rPr>
                <w:rFonts w:ascii="標楷體" w:eastAsia="標楷體" w:hAnsi="標楷體"/>
                <w:b/>
                <w:color w:val="000000" w:themeColor="text1"/>
                <w:spacing w:val="-32"/>
                <w:sz w:val="24"/>
                <w:shd w:val="clear" w:color="auto" w:fill="FFFFFF" w:themeFill="background1"/>
              </w:rPr>
            </w:pPr>
            <w:r w:rsidRPr="001B6E4D">
              <w:rPr>
                <w:rFonts w:ascii="標楷體" w:eastAsia="標楷體" w:hAnsi="標楷體"/>
                <w:sz w:val="24"/>
              </w:rPr>
              <w:t>尚未處理</w:t>
            </w:r>
          </w:p>
        </w:tc>
      </w:tr>
      <w:tr w:rsidR="00411CB4" w:rsidRPr="001B6E4D" w14:paraId="335121E5" w14:textId="77777777" w:rsidTr="00530F33">
        <w:tc>
          <w:tcPr>
            <w:tcW w:w="385" w:type="pct"/>
          </w:tcPr>
          <w:p w14:paraId="73348667" w14:textId="5562BDD0"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2</w:t>
            </w:r>
          </w:p>
        </w:tc>
        <w:tc>
          <w:tcPr>
            <w:tcW w:w="1654" w:type="pct"/>
          </w:tcPr>
          <w:p w14:paraId="41150678" w14:textId="77EFBFAE"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113</w:t>
            </w:r>
            <w:proofErr w:type="gramEnd"/>
            <w:r w:rsidRPr="001B6E4D">
              <w:rPr>
                <w:rFonts w:hAnsi="標楷體"/>
                <w:sz w:val="24"/>
                <w:szCs w:val="24"/>
              </w:rPr>
              <w:t>年度中央政府總預算決議，檢送第12款第1項決議（三）書面報告，請查照案。</w:t>
            </w:r>
          </w:p>
        </w:tc>
        <w:tc>
          <w:tcPr>
            <w:tcW w:w="1147" w:type="pct"/>
          </w:tcPr>
          <w:p w14:paraId="5EA5F68B" w14:textId="6EC2D07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113.04.09 （11-1-8）</w:t>
            </w:r>
          </w:p>
        </w:tc>
        <w:tc>
          <w:tcPr>
            <w:tcW w:w="963" w:type="pct"/>
          </w:tcPr>
          <w:p w14:paraId="1FF0213E" w14:textId="7A25305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A380CD5" w14:textId="102C0A9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78D08DD" w14:textId="77777777" w:rsidTr="00530F33">
        <w:tc>
          <w:tcPr>
            <w:tcW w:w="385" w:type="pct"/>
          </w:tcPr>
          <w:p w14:paraId="7C94DF9F" w14:textId="7EC819B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3</w:t>
            </w:r>
          </w:p>
        </w:tc>
        <w:tc>
          <w:tcPr>
            <w:tcW w:w="1654" w:type="pct"/>
          </w:tcPr>
          <w:p w14:paraId="7653C222" w14:textId="62CE4695"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113</w:t>
            </w:r>
            <w:proofErr w:type="gramEnd"/>
            <w:r w:rsidRPr="001B6E4D">
              <w:rPr>
                <w:rFonts w:hAnsi="標楷體"/>
                <w:sz w:val="24"/>
                <w:szCs w:val="24"/>
              </w:rPr>
              <w:t>年度中央政府總預算決議，檢送第12款第1項決議（八）書面報告，請查照案。</w:t>
            </w:r>
          </w:p>
        </w:tc>
        <w:tc>
          <w:tcPr>
            <w:tcW w:w="1147" w:type="pct"/>
          </w:tcPr>
          <w:p w14:paraId="064B776F" w14:textId="490D967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113.04.09 （11-1-8）</w:t>
            </w:r>
          </w:p>
        </w:tc>
        <w:tc>
          <w:tcPr>
            <w:tcW w:w="963" w:type="pct"/>
          </w:tcPr>
          <w:p w14:paraId="18319227" w14:textId="4B8D374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40C097D1" w14:textId="0CFB81E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9E8C1EC" w14:textId="77777777" w:rsidTr="00530F33">
        <w:tc>
          <w:tcPr>
            <w:tcW w:w="385" w:type="pct"/>
          </w:tcPr>
          <w:p w14:paraId="3899DB41" w14:textId="30698DAE"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4</w:t>
            </w:r>
          </w:p>
        </w:tc>
        <w:tc>
          <w:tcPr>
            <w:tcW w:w="1654" w:type="pct"/>
          </w:tcPr>
          <w:p w14:paraId="017D25B5" w14:textId="5E182368"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113</w:t>
            </w:r>
            <w:proofErr w:type="gramEnd"/>
            <w:r w:rsidRPr="001B6E4D">
              <w:rPr>
                <w:rFonts w:hAnsi="標楷體"/>
                <w:sz w:val="24"/>
                <w:szCs w:val="24"/>
              </w:rPr>
              <w:t>年度中央政府總預算決議，檢送第12款第1項決議（九）、（二十六）、（二十七）、（二十八）、（三十七）、（四十三）、（五十）、（五十三）、（五十五）、（五十九）、（六十）、（六十九）、（七十二）、（八十八）、（九十二）、（九十三）及（九十五）書面報告，請查照案。</w:t>
            </w:r>
          </w:p>
        </w:tc>
        <w:tc>
          <w:tcPr>
            <w:tcW w:w="1147" w:type="pct"/>
          </w:tcPr>
          <w:p w14:paraId="391C431B" w14:textId="00C5650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113.04.09 （11-1-8）</w:t>
            </w:r>
          </w:p>
        </w:tc>
        <w:tc>
          <w:tcPr>
            <w:tcW w:w="963" w:type="pct"/>
          </w:tcPr>
          <w:p w14:paraId="0C473F0D" w14:textId="10CAAD8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44A854E" w14:textId="1AA689C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9BACB54" w14:textId="77777777" w:rsidTr="00530F33">
        <w:tc>
          <w:tcPr>
            <w:tcW w:w="385" w:type="pct"/>
          </w:tcPr>
          <w:p w14:paraId="51646A9A" w14:textId="532C6FE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5</w:t>
            </w:r>
          </w:p>
        </w:tc>
        <w:tc>
          <w:tcPr>
            <w:tcW w:w="1654" w:type="pct"/>
          </w:tcPr>
          <w:p w14:paraId="145A770E" w14:textId="74AEB43A"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113</w:t>
            </w:r>
            <w:proofErr w:type="gramEnd"/>
            <w:r w:rsidRPr="001B6E4D">
              <w:rPr>
                <w:rFonts w:hAnsi="標楷體"/>
                <w:sz w:val="24"/>
                <w:szCs w:val="24"/>
              </w:rPr>
              <w:t>年度中央政府總預算決議，檢送第12款第1項決議（二</w:t>
            </w:r>
            <w:r w:rsidRPr="001B6E4D">
              <w:rPr>
                <w:rFonts w:hAnsi="標楷體"/>
                <w:sz w:val="24"/>
                <w:szCs w:val="24"/>
              </w:rPr>
              <w:lastRenderedPageBreak/>
              <w:t>十二）書面報告，請查照案。</w:t>
            </w:r>
          </w:p>
        </w:tc>
        <w:tc>
          <w:tcPr>
            <w:tcW w:w="1147" w:type="pct"/>
          </w:tcPr>
          <w:p w14:paraId="6D961725" w14:textId="0A881BA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法務部 113.04.09 （11-1-8）</w:t>
            </w:r>
          </w:p>
        </w:tc>
        <w:tc>
          <w:tcPr>
            <w:tcW w:w="963" w:type="pct"/>
          </w:tcPr>
          <w:p w14:paraId="3202D616" w14:textId="5BF75B9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31DBD658" w14:textId="013965D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CC30E3A" w14:textId="77777777" w:rsidTr="00530F33">
        <w:tc>
          <w:tcPr>
            <w:tcW w:w="385" w:type="pct"/>
          </w:tcPr>
          <w:p w14:paraId="6E173BCA" w14:textId="3A13930C"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6</w:t>
            </w:r>
          </w:p>
        </w:tc>
        <w:tc>
          <w:tcPr>
            <w:tcW w:w="1654" w:type="pct"/>
          </w:tcPr>
          <w:p w14:paraId="0C5DB244" w14:textId="56A6B706"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113</w:t>
            </w:r>
            <w:proofErr w:type="gramEnd"/>
            <w:r w:rsidRPr="001B6E4D">
              <w:rPr>
                <w:rFonts w:hAnsi="標楷體"/>
                <w:sz w:val="24"/>
                <w:szCs w:val="24"/>
              </w:rPr>
              <w:t>年度中央政府總預算決議，檢送第12款第1項決議（三十六）書面報告，請查照案。</w:t>
            </w:r>
          </w:p>
        </w:tc>
        <w:tc>
          <w:tcPr>
            <w:tcW w:w="1147" w:type="pct"/>
          </w:tcPr>
          <w:p w14:paraId="018C942D" w14:textId="22086F6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113.04.09 （11-1-8）</w:t>
            </w:r>
          </w:p>
        </w:tc>
        <w:tc>
          <w:tcPr>
            <w:tcW w:w="963" w:type="pct"/>
          </w:tcPr>
          <w:p w14:paraId="091D420A" w14:textId="00AAA57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427B3C3F" w14:textId="1D32C44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E130D93" w14:textId="77777777" w:rsidTr="00530F33">
        <w:tc>
          <w:tcPr>
            <w:tcW w:w="385" w:type="pct"/>
          </w:tcPr>
          <w:p w14:paraId="32056DE2" w14:textId="1DE1F5D1"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7</w:t>
            </w:r>
          </w:p>
        </w:tc>
        <w:tc>
          <w:tcPr>
            <w:tcW w:w="1654" w:type="pct"/>
          </w:tcPr>
          <w:p w14:paraId="15555464" w14:textId="187B3410"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司法院函，為</w:t>
            </w:r>
            <w:proofErr w:type="gramStart"/>
            <w:r w:rsidRPr="001B6E4D">
              <w:rPr>
                <w:rFonts w:hAnsi="標楷體"/>
                <w:sz w:val="24"/>
                <w:szCs w:val="24"/>
              </w:rPr>
              <w:t>113</w:t>
            </w:r>
            <w:proofErr w:type="gramEnd"/>
            <w:r w:rsidRPr="001B6E4D">
              <w:rPr>
                <w:rFonts w:hAnsi="標楷體"/>
                <w:sz w:val="24"/>
                <w:szCs w:val="24"/>
              </w:rPr>
              <w:t>年度中央政府總預算決議，</w:t>
            </w:r>
            <w:proofErr w:type="gramStart"/>
            <w:r w:rsidRPr="001B6E4D">
              <w:rPr>
                <w:rFonts w:hAnsi="標楷體"/>
                <w:sz w:val="24"/>
                <w:szCs w:val="24"/>
              </w:rPr>
              <w:t>檢送歲出</w:t>
            </w:r>
            <w:proofErr w:type="gramEnd"/>
            <w:r w:rsidRPr="001B6E4D">
              <w:rPr>
                <w:rFonts w:hAnsi="標楷體"/>
                <w:sz w:val="24"/>
                <w:szCs w:val="24"/>
              </w:rPr>
              <w:t>第4款第1項決議（四十三）及（五十二）書面報告，請查照案。</w:t>
            </w:r>
          </w:p>
        </w:tc>
        <w:tc>
          <w:tcPr>
            <w:tcW w:w="1147" w:type="pct"/>
          </w:tcPr>
          <w:p w14:paraId="05933947" w14:textId="2A80597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113.04.12 （11-1-9）</w:t>
            </w:r>
          </w:p>
        </w:tc>
        <w:tc>
          <w:tcPr>
            <w:tcW w:w="963" w:type="pct"/>
          </w:tcPr>
          <w:p w14:paraId="7C090E10" w14:textId="31EE13F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26D81A3" w14:textId="7E6DF50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2D4058E" w14:textId="77777777" w:rsidTr="00530F33">
        <w:tc>
          <w:tcPr>
            <w:tcW w:w="385" w:type="pct"/>
          </w:tcPr>
          <w:p w14:paraId="7BFCA58E" w14:textId="3A51E57E"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8</w:t>
            </w:r>
          </w:p>
        </w:tc>
        <w:tc>
          <w:tcPr>
            <w:tcW w:w="1654" w:type="pct"/>
          </w:tcPr>
          <w:p w14:paraId="266831AC" w14:textId="466C38FA"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113</w:t>
            </w:r>
            <w:proofErr w:type="gramEnd"/>
            <w:r w:rsidRPr="001B6E4D">
              <w:rPr>
                <w:rFonts w:hAnsi="標楷體"/>
                <w:sz w:val="24"/>
                <w:szCs w:val="24"/>
              </w:rPr>
              <w:t>年度中央政府總預算決議，檢送第12款第8項決議（六）書面報告，請查照案。</w:t>
            </w:r>
          </w:p>
        </w:tc>
        <w:tc>
          <w:tcPr>
            <w:tcW w:w="1147" w:type="pct"/>
          </w:tcPr>
          <w:p w14:paraId="06465B58" w14:textId="69F10BD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113.04.12 （11-1-9）</w:t>
            </w:r>
          </w:p>
        </w:tc>
        <w:tc>
          <w:tcPr>
            <w:tcW w:w="963" w:type="pct"/>
          </w:tcPr>
          <w:p w14:paraId="542AF9DD" w14:textId="0C66FEA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FC06449" w14:textId="510A01B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3C4EC83" w14:textId="77777777" w:rsidTr="00530F33">
        <w:tc>
          <w:tcPr>
            <w:tcW w:w="385" w:type="pct"/>
          </w:tcPr>
          <w:p w14:paraId="7AE60BE6" w14:textId="4A316692"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9</w:t>
            </w:r>
          </w:p>
        </w:tc>
        <w:tc>
          <w:tcPr>
            <w:tcW w:w="1654" w:type="pct"/>
          </w:tcPr>
          <w:p w14:paraId="6663654C" w14:textId="71C9EE0C"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法務部函送財團法人犯罪被害人保護協會</w:t>
            </w:r>
            <w:proofErr w:type="gramStart"/>
            <w:r w:rsidRPr="001B6E4D">
              <w:rPr>
                <w:rFonts w:hAnsi="標楷體"/>
                <w:sz w:val="24"/>
                <w:szCs w:val="24"/>
              </w:rPr>
              <w:t>113</w:t>
            </w:r>
            <w:proofErr w:type="gramEnd"/>
            <w:r w:rsidRPr="001B6E4D">
              <w:rPr>
                <w:rFonts w:hAnsi="標楷體"/>
                <w:sz w:val="24"/>
                <w:szCs w:val="24"/>
              </w:rPr>
              <w:t>年度預算決議第1項書面報告，請查照案。</w:t>
            </w:r>
          </w:p>
        </w:tc>
        <w:tc>
          <w:tcPr>
            <w:tcW w:w="1147" w:type="pct"/>
          </w:tcPr>
          <w:p w14:paraId="0E32006F" w14:textId="1B6C155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113.04.19 （11-1-10）</w:t>
            </w:r>
          </w:p>
        </w:tc>
        <w:tc>
          <w:tcPr>
            <w:tcW w:w="963" w:type="pct"/>
          </w:tcPr>
          <w:p w14:paraId="2F47646A" w14:textId="4C0A5EC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0E3F1ED" w14:textId="384E7E3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054BD01" w14:textId="77777777" w:rsidTr="00530F33">
        <w:tc>
          <w:tcPr>
            <w:tcW w:w="385" w:type="pct"/>
          </w:tcPr>
          <w:p w14:paraId="54B22824" w14:textId="57F0870E"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10</w:t>
            </w:r>
          </w:p>
        </w:tc>
        <w:tc>
          <w:tcPr>
            <w:tcW w:w="1654" w:type="pct"/>
          </w:tcPr>
          <w:p w14:paraId="51BAE304" w14:textId="7F5A26EA"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司法院函送財團法人法律扶助基金會</w:t>
            </w:r>
            <w:proofErr w:type="gramStart"/>
            <w:r w:rsidRPr="001B6E4D">
              <w:rPr>
                <w:rFonts w:hAnsi="標楷體"/>
                <w:sz w:val="24"/>
                <w:szCs w:val="24"/>
              </w:rPr>
              <w:t>113</w:t>
            </w:r>
            <w:proofErr w:type="gramEnd"/>
            <w:r w:rsidRPr="001B6E4D">
              <w:rPr>
                <w:rFonts w:hAnsi="標楷體"/>
                <w:sz w:val="24"/>
                <w:szCs w:val="24"/>
              </w:rPr>
              <w:t>年度預算決議第1項書面報告，請查照案。</w:t>
            </w:r>
          </w:p>
        </w:tc>
        <w:tc>
          <w:tcPr>
            <w:tcW w:w="1147" w:type="pct"/>
          </w:tcPr>
          <w:p w14:paraId="09A3E68D" w14:textId="027F9C9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113.04.19 （11-1-10）</w:t>
            </w:r>
          </w:p>
        </w:tc>
        <w:tc>
          <w:tcPr>
            <w:tcW w:w="963" w:type="pct"/>
          </w:tcPr>
          <w:p w14:paraId="6FD05762" w14:textId="613E721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6B5323B" w14:textId="61A6BDB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CE413AF" w14:textId="77777777" w:rsidTr="00530F33">
        <w:tc>
          <w:tcPr>
            <w:tcW w:w="385" w:type="pct"/>
          </w:tcPr>
          <w:p w14:paraId="1DE3925A" w14:textId="4CF96601"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11</w:t>
            </w:r>
          </w:p>
        </w:tc>
        <w:tc>
          <w:tcPr>
            <w:tcW w:w="1654" w:type="pct"/>
          </w:tcPr>
          <w:p w14:paraId="3E724902" w14:textId="09B5927E"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司法院函，為</w:t>
            </w:r>
            <w:proofErr w:type="gramStart"/>
            <w:r w:rsidRPr="001B6E4D">
              <w:rPr>
                <w:rFonts w:hAnsi="標楷體"/>
                <w:sz w:val="24"/>
                <w:szCs w:val="24"/>
              </w:rPr>
              <w:t>113</w:t>
            </w:r>
            <w:proofErr w:type="gramEnd"/>
            <w:r w:rsidRPr="001B6E4D">
              <w:rPr>
                <w:rFonts w:hAnsi="標楷體"/>
                <w:sz w:val="24"/>
                <w:szCs w:val="24"/>
              </w:rPr>
              <w:t>年度中央政府總預算決議，檢送第4款第1項決議（六十八）書面報告，請查照案。</w:t>
            </w:r>
          </w:p>
        </w:tc>
        <w:tc>
          <w:tcPr>
            <w:tcW w:w="1147" w:type="pct"/>
          </w:tcPr>
          <w:p w14:paraId="4167A20D" w14:textId="4206D4E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113.04.19 （11-1-10）</w:t>
            </w:r>
          </w:p>
        </w:tc>
        <w:tc>
          <w:tcPr>
            <w:tcW w:w="963" w:type="pct"/>
          </w:tcPr>
          <w:p w14:paraId="3FC09BC6" w14:textId="142F1BF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B24C69B" w14:textId="0729E89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68BC21A" w14:textId="77777777" w:rsidTr="00530F33">
        <w:tc>
          <w:tcPr>
            <w:tcW w:w="385" w:type="pct"/>
          </w:tcPr>
          <w:p w14:paraId="44D3DF37" w14:textId="73DD39F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12</w:t>
            </w:r>
          </w:p>
        </w:tc>
        <w:tc>
          <w:tcPr>
            <w:tcW w:w="1654" w:type="pct"/>
          </w:tcPr>
          <w:p w14:paraId="0F271521" w14:textId="3AD1035E"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司法院函，為</w:t>
            </w:r>
            <w:proofErr w:type="gramStart"/>
            <w:r w:rsidRPr="001B6E4D">
              <w:rPr>
                <w:rFonts w:hAnsi="標楷體"/>
                <w:sz w:val="24"/>
                <w:szCs w:val="24"/>
              </w:rPr>
              <w:t>113</w:t>
            </w:r>
            <w:proofErr w:type="gramEnd"/>
            <w:r w:rsidRPr="001B6E4D">
              <w:rPr>
                <w:rFonts w:hAnsi="標楷體"/>
                <w:sz w:val="24"/>
                <w:szCs w:val="24"/>
              </w:rPr>
              <w:t>年度中央政府總預算決議，檢送第4款第1項決議（九十四）書面報告，請查照案。</w:t>
            </w:r>
          </w:p>
        </w:tc>
        <w:tc>
          <w:tcPr>
            <w:tcW w:w="1147" w:type="pct"/>
          </w:tcPr>
          <w:p w14:paraId="696245CA" w14:textId="2AC2AC5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113.04.19 （11-1-10）</w:t>
            </w:r>
          </w:p>
        </w:tc>
        <w:tc>
          <w:tcPr>
            <w:tcW w:w="963" w:type="pct"/>
          </w:tcPr>
          <w:p w14:paraId="7A1C3610" w14:textId="18639FD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753024B" w14:textId="28313B9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9971473" w14:textId="77777777" w:rsidTr="00530F33">
        <w:tc>
          <w:tcPr>
            <w:tcW w:w="385" w:type="pct"/>
          </w:tcPr>
          <w:p w14:paraId="2AA22488" w14:textId="329D61C1"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13</w:t>
            </w:r>
          </w:p>
        </w:tc>
        <w:tc>
          <w:tcPr>
            <w:tcW w:w="1654" w:type="pct"/>
          </w:tcPr>
          <w:p w14:paraId="29603B04" w14:textId="760FC73F"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113</w:t>
            </w:r>
            <w:proofErr w:type="gramEnd"/>
            <w:r w:rsidRPr="001B6E4D">
              <w:rPr>
                <w:rFonts w:hAnsi="標楷體"/>
                <w:sz w:val="24"/>
                <w:szCs w:val="24"/>
              </w:rPr>
              <w:t>年度中央政府總預算決議，檢送第12款第1項決議（二）書面報告，請查照案。</w:t>
            </w:r>
          </w:p>
        </w:tc>
        <w:tc>
          <w:tcPr>
            <w:tcW w:w="1147" w:type="pct"/>
          </w:tcPr>
          <w:p w14:paraId="6BC4D879" w14:textId="164BE72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113.04.19 （11-1-10）</w:t>
            </w:r>
          </w:p>
        </w:tc>
        <w:tc>
          <w:tcPr>
            <w:tcW w:w="963" w:type="pct"/>
          </w:tcPr>
          <w:p w14:paraId="79B199DB" w14:textId="6F1585D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D686929" w14:textId="0C952C4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4C12619" w14:textId="77777777" w:rsidTr="00530F33">
        <w:tc>
          <w:tcPr>
            <w:tcW w:w="385" w:type="pct"/>
          </w:tcPr>
          <w:p w14:paraId="53F84F5A" w14:textId="34C2F23B"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lastRenderedPageBreak/>
              <w:t>14</w:t>
            </w:r>
          </w:p>
        </w:tc>
        <w:tc>
          <w:tcPr>
            <w:tcW w:w="1654" w:type="pct"/>
          </w:tcPr>
          <w:p w14:paraId="780905C9" w14:textId="0E63A75C"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113</w:t>
            </w:r>
            <w:proofErr w:type="gramEnd"/>
            <w:r w:rsidRPr="001B6E4D">
              <w:rPr>
                <w:rFonts w:hAnsi="標楷體"/>
                <w:sz w:val="24"/>
                <w:szCs w:val="24"/>
              </w:rPr>
              <w:t>年度中央政府總預算決議，檢送第12款第1項決議（二十）書面報告，請查照案。</w:t>
            </w:r>
          </w:p>
        </w:tc>
        <w:tc>
          <w:tcPr>
            <w:tcW w:w="1147" w:type="pct"/>
          </w:tcPr>
          <w:p w14:paraId="0D2FE4E9" w14:textId="5B38034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113.04.19 （11-1-10）</w:t>
            </w:r>
          </w:p>
        </w:tc>
        <w:tc>
          <w:tcPr>
            <w:tcW w:w="963" w:type="pct"/>
          </w:tcPr>
          <w:p w14:paraId="016D7FE9" w14:textId="3070BDA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0D0C923" w14:textId="61AE09A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1217952" w14:textId="77777777" w:rsidTr="00530F33">
        <w:tc>
          <w:tcPr>
            <w:tcW w:w="385" w:type="pct"/>
          </w:tcPr>
          <w:p w14:paraId="40DF5EFB" w14:textId="2243CA13"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15</w:t>
            </w:r>
          </w:p>
        </w:tc>
        <w:tc>
          <w:tcPr>
            <w:tcW w:w="1654" w:type="pct"/>
          </w:tcPr>
          <w:p w14:paraId="544B8B1D" w14:textId="67C25276"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113</w:t>
            </w:r>
            <w:proofErr w:type="gramEnd"/>
            <w:r w:rsidRPr="001B6E4D">
              <w:rPr>
                <w:rFonts w:hAnsi="標楷體"/>
                <w:sz w:val="24"/>
                <w:szCs w:val="24"/>
              </w:rPr>
              <w:t>年度中央政府總預算決議，檢送第12款第5項決議（二十二）書面報告，請查照案。</w:t>
            </w:r>
          </w:p>
        </w:tc>
        <w:tc>
          <w:tcPr>
            <w:tcW w:w="1147" w:type="pct"/>
          </w:tcPr>
          <w:p w14:paraId="2E071C68" w14:textId="1B23E91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113.04.19 （11-1-10）</w:t>
            </w:r>
          </w:p>
        </w:tc>
        <w:tc>
          <w:tcPr>
            <w:tcW w:w="963" w:type="pct"/>
          </w:tcPr>
          <w:p w14:paraId="61D99925" w14:textId="5AB9BDE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73D518B3" w14:textId="0C5E8F4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F6592DA" w14:textId="77777777" w:rsidTr="00530F33">
        <w:tc>
          <w:tcPr>
            <w:tcW w:w="385" w:type="pct"/>
          </w:tcPr>
          <w:p w14:paraId="0C382705" w14:textId="3238BC56"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16</w:t>
            </w:r>
          </w:p>
        </w:tc>
        <w:tc>
          <w:tcPr>
            <w:tcW w:w="1654" w:type="pct"/>
          </w:tcPr>
          <w:p w14:paraId="613D9154" w14:textId="582E9A90" w:rsidR="00411CB4" w:rsidRPr="001B6E4D" w:rsidRDefault="00411CB4" w:rsidP="003D1018">
            <w:pPr>
              <w:pStyle w:val="01"/>
              <w:overflowPunct w:val="0"/>
              <w:rPr>
                <w:rFonts w:hAnsi="標楷體" w:cs="Times New Roman"/>
                <w:sz w:val="24"/>
                <w:szCs w:val="24"/>
              </w:rPr>
            </w:pPr>
            <w:r w:rsidRPr="001B6E4D">
              <w:rPr>
                <w:rFonts w:hAnsi="標楷體"/>
                <w:sz w:val="24"/>
                <w:szCs w:val="24"/>
              </w:rPr>
              <w:t>監察院函，為</w:t>
            </w:r>
            <w:proofErr w:type="gramStart"/>
            <w:r w:rsidRPr="001B6E4D">
              <w:rPr>
                <w:rFonts w:hAnsi="標楷體"/>
                <w:sz w:val="24"/>
                <w:szCs w:val="24"/>
              </w:rPr>
              <w:t>113</w:t>
            </w:r>
            <w:proofErr w:type="gramEnd"/>
            <w:r w:rsidRPr="001B6E4D">
              <w:rPr>
                <w:rFonts w:hAnsi="標楷體"/>
                <w:sz w:val="24"/>
                <w:szCs w:val="24"/>
              </w:rPr>
              <w:t>年度中央政府總預算決議，檢送決議（十五）書面報告，請查照案。</w:t>
            </w:r>
          </w:p>
        </w:tc>
        <w:tc>
          <w:tcPr>
            <w:tcW w:w="1147" w:type="pct"/>
          </w:tcPr>
          <w:p w14:paraId="214AB7FD" w14:textId="1DE9819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監察院 113.04.19 （11-1-10）</w:t>
            </w:r>
          </w:p>
        </w:tc>
        <w:tc>
          <w:tcPr>
            <w:tcW w:w="963" w:type="pct"/>
          </w:tcPr>
          <w:p w14:paraId="4A812C17" w14:textId="3322A15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8855D9F" w14:textId="1FE0572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7B4A74CC" w14:textId="77777777" w:rsidTr="00530F33">
        <w:tc>
          <w:tcPr>
            <w:tcW w:w="385" w:type="pct"/>
          </w:tcPr>
          <w:p w14:paraId="46BF72DC" w14:textId="1B6B54B0"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17</w:t>
            </w:r>
          </w:p>
        </w:tc>
        <w:tc>
          <w:tcPr>
            <w:tcW w:w="1654" w:type="pct"/>
          </w:tcPr>
          <w:p w14:paraId="39A64E92" w14:textId="35808E25" w:rsidR="00411CB4" w:rsidRPr="001B6E4D" w:rsidRDefault="00411CB4" w:rsidP="003D1018">
            <w:pPr>
              <w:pStyle w:val="01"/>
              <w:overflowPunct w:val="0"/>
              <w:rPr>
                <w:rFonts w:hAnsi="標楷體" w:cs="Times New Roman"/>
                <w:sz w:val="24"/>
                <w:szCs w:val="24"/>
              </w:rPr>
            </w:pPr>
            <w:r w:rsidRPr="001B6E4D">
              <w:rPr>
                <w:rFonts w:hAnsi="標楷體"/>
                <w:sz w:val="24"/>
                <w:szCs w:val="24"/>
              </w:rPr>
              <w:t>監察院函，為</w:t>
            </w:r>
            <w:proofErr w:type="gramStart"/>
            <w:r w:rsidRPr="001B6E4D">
              <w:rPr>
                <w:rFonts w:hAnsi="標楷體"/>
                <w:sz w:val="24"/>
                <w:szCs w:val="24"/>
              </w:rPr>
              <w:t>113</w:t>
            </w:r>
            <w:proofErr w:type="gramEnd"/>
            <w:r w:rsidRPr="001B6E4D">
              <w:rPr>
                <w:rFonts w:hAnsi="標楷體"/>
                <w:sz w:val="24"/>
                <w:szCs w:val="24"/>
              </w:rPr>
              <w:t>年度中央政府總預算決議，檢送決議</w:t>
            </w:r>
            <w:proofErr w:type="gramStart"/>
            <w:r w:rsidRPr="001B6E4D">
              <w:rPr>
                <w:rFonts w:hAnsi="標楷體"/>
                <w:sz w:val="24"/>
                <w:szCs w:val="24"/>
              </w:rPr>
              <w:t>﹙</w:t>
            </w:r>
            <w:proofErr w:type="gramEnd"/>
            <w:r w:rsidRPr="001B6E4D">
              <w:rPr>
                <w:rFonts w:hAnsi="標楷體"/>
                <w:sz w:val="24"/>
                <w:szCs w:val="24"/>
              </w:rPr>
              <w:t>十六</w:t>
            </w:r>
            <w:proofErr w:type="gramStart"/>
            <w:r w:rsidRPr="001B6E4D">
              <w:rPr>
                <w:rFonts w:hAnsi="標楷體"/>
                <w:sz w:val="24"/>
                <w:szCs w:val="24"/>
              </w:rPr>
              <w:t>﹚</w:t>
            </w:r>
            <w:proofErr w:type="gramEnd"/>
            <w:r w:rsidRPr="001B6E4D">
              <w:rPr>
                <w:rFonts w:hAnsi="標楷體"/>
                <w:sz w:val="24"/>
                <w:szCs w:val="24"/>
              </w:rPr>
              <w:t>書面報告，請查照案。</w:t>
            </w:r>
          </w:p>
        </w:tc>
        <w:tc>
          <w:tcPr>
            <w:tcW w:w="1147" w:type="pct"/>
          </w:tcPr>
          <w:p w14:paraId="76A8614D" w14:textId="094D420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監察院 113.04.19 （11-1-10）</w:t>
            </w:r>
          </w:p>
        </w:tc>
        <w:tc>
          <w:tcPr>
            <w:tcW w:w="963" w:type="pct"/>
          </w:tcPr>
          <w:p w14:paraId="34A9B784" w14:textId="1E5CB1C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DF21632" w14:textId="3CCC3C4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B856B36" w14:textId="77777777" w:rsidTr="00530F33">
        <w:tc>
          <w:tcPr>
            <w:tcW w:w="385" w:type="pct"/>
          </w:tcPr>
          <w:p w14:paraId="726FA108" w14:textId="5786F115"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18</w:t>
            </w:r>
          </w:p>
        </w:tc>
        <w:tc>
          <w:tcPr>
            <w:tcW w:w="1654" w:type="pct"/>
          </w:tcPr>
          <w:p w14:paraId="3F81918A" w14:textId="793B2E29" w:rsidR="00411CB4" w:rsidRPr="001B6E4D" w:rsidRDefault="00411CB4" w:rsidP="003D1018">
            <w:pPr>
              <w:pStyle w:val="01"/>
              <w:overflowPunct w:val="0"/>
              <w:rPr>
                <w:rFonts w:hAnsi="標楷體" w:cs="Times New Roman"/>
                <w:sz w:val="24"/>
                <w:szCs w:val="24"/>
              </w:rPr>
            </w:pPr>
            <w:r w:rsidRPr="001B6E4D">
              <w:rPr>
                <w:rFonts w:hAnsi="標楷體" w:hint="eastAsia"/>
                <w:sz w:val="24"/>
                <w:szCs w:val="24"/>
              </w:rPr>
              <w:t>考試院函，為</w:t>
            </w:r>
            <w:proofErr w:type="gramStart"/>
            <w:r w:rsidRPr="001B6E4D">
              <w:rPr>
                <w:rFonts w:hAnsi="標楷體" w:hint="eastAsia"/>
                <w:sz w:val="24"/>
                <w:szCs w:val="24"/>
              </w:rPr>
              <w:t>113</w:t>
            </w:r>
            <w:proofErr w:type="gramEnd"/>
            <w:r w:rsidRPr="001B6E4D">
              <w:rPr>
                <w:rFonts w:hAnsi="標楷體" w:hint="eastAsia"/>
                <w:sz w:val="24"/>
                <w:szCs w:val="24"/>
              </w:rPr>
              <w:t>年度中央政府總預算決議，檢送決議（三）至（十一）、（十三）、（十五）、（十八）至（二十一）及（二十五）書面報告，請查照案。</w:t>
            </w:r>
          </w:p>
        </w:tc>
        <w:tc>
          <w:tcPr>
            <w:tcW w:w="1147" w:type="pct"/>
          </w:tcPr>
          <w:p w14:paraId="68B928AE" w14:textId="794C72B5"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考試院 113.04.26 （11-1-11）</w:t>
            </w:r>
          </w:p>
        </w:tc>
        <w:tc>
          <w:tcPr>
            <w:tcW w:w="963" w:type="pct"/>
          </w:tcPr>
          <w:p w14:paraId="225A9B57" w14:textId="27B99753"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司法及法制</w:t>
            </w:r>
          </w:p>
        </w:tc>
        <w:tc>
          <w:tcPr>
            <w:tcW w:w="851" w:type="pct"/>
          </w:tcPr>
          <w:p w14:paraId="09062350" w14:textId="0D5A9046"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尚未審查</w:t>
            </w:r>
          </w:p>
        </w:tc>
      </w:tr>
      <w:tr w:rsidR="00411CB4" w:rsidRPr="001B6E4D" w14:paraId="41A50C4A" w14:textId="77777777" w:rsidTr="00530F33">
        <w:tc>
          <w:tcPr>
            <w:tcW w:w="385" w:type="pct"/>
          </w:tcPr>
          <w:p w14:paraId="586EC477" w14:textId="2EA8191D"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19</w:t>
            </w:r>
          </w:p>
        </w:tc>
        <w:tc>
          <w:tcPr>
            <w:tcW w:w="1654" w:type="pct"/>
          </w:tcPr>
          <w:p w14:paraId="2C73FEDF" w14:textId="6167DD59" w:rsidR="00411CB4" w:rsidRPr="001B6E4D" w:rsidRDefault="00411CB4" w:rsidP="003D1018">
            <w:pPr>
              <w:pStyle w:val="01"/>
              <w:overflowPunct w:val="0"/>
              <w:rPr>
                <w:rFonts w:hAnsi="標楷體" w:cs="Times New Roman"/>
                <w:sz w:val="24"/>
                <w:szCs w:val="24"/>
              </w:rPr>
            </w:pPr>
            <w:r w:rsidRPr="001B6E4D">
              <w:rPr>
                <w:rFonts w:hAnsi="標楷體"/>
                <w:sz w:val="24"/>
                <w:szCs w:val="24"/>
              </w:rPr>
              <w:t>行政院人事行政總處函，為</w:t>
            </w:r>
            <w:proofErr w:type="gramStart"/>
            <w:r w:rsidRPr="001B6E4D">
              <w:rPr>
                <w:rFonts w:hAnsi="標楷體"/>
                <w:sz w:val="24"/>
                <w:szCs w:val="24"/>
              </w:rPr>
              <w:t>113</w:t>
            </w:r>
            <w:proofErr w:type="gramEnd"/>
            <w:r w:rsidRPr="001B6E4D">
              <w:rPr>
                <w:rFonts w:hAnsi="標楷體"/>
                <w:sz w:val="24"/>
                <w:szCs w:val="24"/>
              </w:rPr>
              <w:t>年度中央政府總預算決議，檢送決議（十九）至（二十一）、（二十三）、（二十五）、（四十三）、（四十五）及（七十二）書面報告，請查照案。</w:t>
            </w:r>
          </w:p>
        </w:tc>
        <w:tc>
          <w:tcPr>
            <w:tcW w:w="1147" w:type="pct"/>
          </w:tcPr>
          <w:p w14:paraId="635B0AEC" w14:textId="7777777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行政院人事行政總處</w:t>
            </w:r>
          </w:p>
          <w:p w14:paraId="36BEF9A5" w14:textId="7777777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113.06.07</w:t>
            </w:r>
          </w:p>
          <w:p w14:paraId="79056B3A" w14:textId="577BF6B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（11-1-17）</w:t>
            </w:r>
          </w:p>
        </w:tc>
        <w:tc>
          <w:tcPr>
            <w:tcW w:w="963" w:type="pct"/>
          </w:tcPr>
          <w:p w14:paraId="5FEF9571" w14:textId="3DA16A4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544F62F" w14:textId="73B5320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8D5403E" w14:textId="77777777" w:rsidTr="00530F33">
        <w:tc>
          <w:tcPr>
            <w:tcW w:w="385" w:type="pct"/>
          </w:tcPr>
          <w:p w14:paraId="73D55AF5" w14:textId="0F773E5F"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20</w:t>
            </w:r>
          </w:p>
        </w:tc>
        <w:tc>
          <w:tcPr>
            <w:tcW w:w="1654" w:type="pct"/>
          </w:tcPr>
          <w:p w14:paraId="5B0F4E4E" w14:textId="6567BF39" w:rsidR="00411CB4" w:rsidRPr="001B6E4D" w:rsidRDefault="00411CB4" w:rsidP="003D1018">
            <w:pPr>
              <w:pStyle w:val="01"/>
              <w:overflowPunct w:val="0"/>
              <w:rPr>
                <w:rFonts w:hAnsi="標楷體" w:cs="Times New Roman"/>
                <w:sz w:val="24"/>
                <w:szCs w:val="24"/>
              </w:rPr>
            </w:pPr>
            <w:r w:rsidRPr="001B6E4D">
              <w:rPr>
                <w:rFonts w:hAnsi="標楷體"/>
                <w:sz w:val="24"/>
                <w:szCs w:val="24"/>
              </w:rPr>
              <w:t>行政院人事行政總處函，為</w:t>
            </w:r>
            <w:proofErr w:type="gramStart"/>
            <w:r w:rsidRPr="001B6E4D">
              <w:rPr>
                <w:rFonts w:hAnsi="標楷體"/>
                <w:sz w:val="24"/>
                <w:szCs w:val="24"/>
              </w:rPr>
              <w:t>113</w:t>
            </w:r>
            <w:proofErr w:type="gramEnd"/>
            <w:r w:rsidRPr="001B6E4D">
              <w:rPr>
                <w:rFonts w:hAnsi="標楷體"/>
                <w:sz w:val="24"/>
                <w:szCs w:val="24"/>
              </w:rPr>
              <w:t>年度中央政府總預算決議，檢送決議（二十四）、（二十六）及（四十一）書面報告，請查照</w:t>
            </w:r>
            <w:r w:rsidRPr="001B6E4D">
              <w:rPr>
                <w:rFonts w:hAnsi="標楷體"/>
                <w:sz w:val="24"/>
                <w:szCs w:val="24"/>
              </w:rPr>
              <w:lastRenderedPageBreak/>
              <w:t>案。</w:t>
            </w:r>
          </w:p>
        </w:tc>
        <w:tc>
          <w:tcPr>
            <w:tcW w:w="1147" w:type="pct"/>
          </w:tcPr>
          <w:p w14:paraId="59B22F70" w14:textId="7777777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行政院人事行政總處</w:t>
            </w:r>
          </w:p>
          <w:p w14:paraId="23D2CFE7" w14:textId="7777777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113.06.07</w:t>
            </w:r>
          </w:p>
          <w:p w14:paraId="753BF65A" w14:textId="697EA03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（11-1-17）</w:t>
            </w:r>
          </w:p>
        </w:tc>
        <w:tc>
          <w:tcPr>
            <w:tcW w:w="963" w:type="pct"/>
          </w:tcPr>
          <w:p w14:paraId="1866C9BE" w14:textId="224F869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3A5638FE" w14:textId="7A1B260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E6E08F5" w14:textId="77777777" w:rsidTr="00530F33">
        <w:tc>
          <w:tcPr>
            <w:tcW w:w="385" w:type="pct"/>
          </w:tcPr>
          <w:p w14:paraId="480E4771" w14:textId="684B7F7C"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21</w:t>
            </w:r>
          </w:p>
        </w:tc>
        <w:tc>
          <w:tcPr>
            <w:tcW w:w="1654" w:type="pct"/>
          </w:tcPr>
          <w:p w14:paraId="66D78760" w14:textId="055890B4" w:rsidR="00411CB4" w:rsidRPr="001B6E4D" w:rsidRDefault="00411CB4" w:rsidP="003D1018">
            <w:pPr>
              <w:pStyle w:val="01"/>
              <w:overflowPunct w:val="0"/>
              <w:rPr>
                <w:rFonts w:hAnsi="標楷體" w:cs="Times New Roman"/>
                <w:sz w:val="24"/>
                <w:szCs w:val="24"/>
              </w:rPr>
            </w:pPr>
            <w:r w:rsidRPr="001B6E4D">
              <w:rPr>
                <w:rFonts w:hAnsi="標楷體"/>
                <w:sz w:val="24"/>
                <w:szCs w:val="24"/>
              </w:rPr>
              <w:t>總統府函送113年第1季辦理政策及業務宣導之執行情形表，請查照案。</w:t>
            </w:r>
          </w:p>
        </w:tc>
        <w:tc>
          <w:tcPr>
            <w:tcW w:w="1147" w:type="pct"/>
          </w:tcPr>
          <w:p w14:paraId="75715918" w14:textId="61829C1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總統府 113.06.14 （11-1-18）</w:t>
            </w:r>
          </w:p>
        </w:tc>
        <w:tc>
          <w:tcPr>
            <w:tcW w:w="963" w:type="pct"/>
          </w:tcPr>
          <w:p w14:paraId="1873EB27" w14:textId="5D87A5A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司法及法制、教育及文化</w:t>
            </w:r>
          </w:p>
        </w:tc>
        <w:tc>
          <w:tcPr>
            <w:tcW w:w="851" w:type="pct"/>
          </w:tcPr>
          <w:p w14:paraId="3210ED58" w14:textId="5EC0A20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7B70A92B" w14:textId="77777777" w:rsidTr="00530F33">
        <w:tc>
          <w:tcPr>
            <w:tcW w:w="385" w:type="pct"/>
          </w:tcPr>
          <w:p w14:paraId="6E5A7D7C" w14:textId="08ACD9EE"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22</w:t>
            </w:r>
          </w:p>
        </w:tc>
        <w:tc>
          <w:tcPr>
            <w:tcW w:w="1654" w:type="pct"/>
          </w:tcPr>
          <w:p w14:paraId="208D0020" w14:textId="7C64F3E4"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司法院函送113年第1季媒體政策及業務宣導執行情形表，請查照案。</w:t>
            </w:r>
          </w:p>
        </w:tc>
        <w:tc>
          <w:tcPr>
            <w:tcW w:w="1147" w:type="pct"/>
          </w:tcPr>
          <w:p w14:paraId="5C4A8BB0" w14:textId="7A5C38B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113.06.14 （11-1-18）</w:t>
            </w:r>
          </w:p>
        </w:tc>
        <w:tc>
          <w:tcPr>
            <w:tcW w:w="963" w:type="pct"/>
          </w:tcPr>
          <w:p w14:paraId="32DDC464" w14:textId="0884AFD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0C407EC" w14:textId="54D4DB1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9346A70" w14:textId="77777777" w:rsidTr="00530F33">
        <w:tc>
          <w:tcPr>
            <w:tcW w:w="385" w:type="pct"/>
          </w:tcPr>
          <w:p w14:paraId="2C16DEEB" w14:textId="6EE91036"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23</w:t>
            </w:r>
          </w:p>
        </w:tc>
        <w:tc>
          <w:tcPr>
            <w:tcW w:w="1654" w:type="pct"/>
          </w:tcPr>
          <w:p w14:paraId="0472ABFA" w14:textId="28805B73" w:rsidR="00411CB4" w:rsidRPr="001B6E4D" w:rsidRDefault="00411CB4" w:rsidP="003D1018">
            <w:pPr>
              <w:pStyle w:val="01"/>
              <w:overflowPunct w:val="0"/>
              <w:rPr>
                <w:rFonts w:hAnsi="標楷體" w:cs="Times New Roman"/>
                <w:sz w:val="24"/>
                <w:szCs w:val="24"/>
              </w:rPr>
            </w:pPr>
            <w:r w:rsidRPr="001B6E4D">
              <w:rPr>
                <w:rFonts w:hAnsi="標楷體"/>
                <w:sz w:val="24"/>
                <w:szCs w:val="24"/>
              </w:rPr>
              <w:t>監察院秘書長函送</w:t>
            </w:r>
            <w:proofErr w:type="gramStart"/>
            <w:r w:rsidRPr="001B6E4D">
              <w:rPr>
                <w:rFonts w:hAnsi="標楷體"/>
                <w:sz w:val="24"/>
                <w:szCs w:val="24"/>
              </w:rPr>
              <w:t>113</w:t>
            </w:r>
            <w:proofErr w:type="gramEnd"/>
            <w:r w:rsidRPr="001B6E4D">
              <w:rPr>
                <w:rFonts w:hAnsi="標楷體"/>
                <w:sz w:val="24"/>
                <w:szCs w:val="24"/>
              </w:rPr>
              <w:t>年度第1季媒體政策及業務宣導執行情形表，請查照案。</w:t>
            </w:r>
          </w:p>
        </w:tc>
        <w:tc>
          <w:tcPr>
            <w:tcW w:w="1147" w:type="pct"/>
          </w:tcPr>
          <w:p w14:paraId="3E3C37B0" w14:textId="5EF32C6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監察院秘書長 113.06.14 （11-1-18）</w:t>
            </w:r>
          </w:p>
        </w:tc>
        <w:tc>
          <w:tcPr>
            <w:tcW w:w="963" w:type="pct"/>
          </w:tcPr>
          <w:p w14:paraId="273138AD" w14:textId="26DAFAF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658013E" w14:textId="76A7A99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7D928B0F" w14:textId="77777777" w:rsidTr="00530F33">
        <w:tc>
          <w:tcPr>
            <w:tcW w:w="385" w:type="pct"/>
          </w:tcPr>
          <w:p w14:paraId="0AE40609" w14:textId="69948B83"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24</w:t>
            </w:r>
          </w:p>
        </w:tc>
        <w:tc>
          <w:tcPr>
            <w:tcW w:w="1654" w:type="pct"/>
          </w:tcPr>
          <w:p w14:paraId="68C83559" w14:textId="0FF2E28A" w:rsidR="00411CB4" w:rsidRPr="001B6E4D" w:rsidRDefault="00411CB4" w:rsidP="003D1018">
            <w:pPr>
              <w:pStyle w:val="01"/>
              <w:overflowPunct w:val="0"/>
              <w:rPr>
                <w:rFonts w:hAnsi="標楷體" w:cs="Times New Roman"/>
                <w:sz w:val="24"/>
                <w:szCs w:val="24"/>
              </w:rPr>
            </w:pPr>
            <w:r w:rsidRPr="001B6E4D">
              <w:rPr>
                <w:rFonts w:hAnsi="標楷體"/>
                <w:sz w:val="24"/>
                <w:szCs w:val="24"/>
              </w:rPr>
              <w:t>考試院秘書長函送113年第1季媒體政策及業務宣導執行情形表，請查照案。</w:t>
            </w:r>
          </w:p>
        </w:tc>
        <w:tc>
          <w:tcPr>
            <w:tcW w:w="1147" w:type="pct"/>
          </w:tcPr>
          <w:p w14:paraId="63B38C5E" w14:textId="5E2CA45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考試院秘書長 113.06.14 （11-1-18）</w:t>
            </w:r>
          </w:p>
        </w:tc>
        <w:tc>
          <w:tcPr>
            <w:tcW w:w="963" w:type="pct"/>
          </w:tcPr>
          <w:p w14:paraId="7A1CE7B5" w14:textId="3F9A5F3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41F20ABB" w14:textId="6913AC2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B0BA6AC" w14:textId="77777777" w:rsidTr="00530F33">
        <w:tc>
          <w:tcPr>
            <w:tcW w:w="385" w:type="pct"/>
          </w:tcPr>
          <w:p w14:paraId="79EDCA90" w14:textId="0F05B32E"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25</w:t>
            </w:r>
          </w:p>
        </w:tc>
        <w:tc>
          <w:tcPr>
            <w:tcW w:w="1654" w:type="pct"/>
          </w:tcPr>
          <w:p w14:paraId="3280E9EE" w14:textId="6A932161" w:rsidR="00411CB4" w:rsidRPr="001B6E4D" w:rsidRDefault="00411CB4" w:rsidP="003D1018">
            <w:pPr>
              <w:pStyle w:val="01"/>
              <w:overflowPunct w:val="0"/>
              <w:rPr>
                <w:rFonts w:hAnsi="標楷體" w:cs="Times New Roman"/>
                <w:sz w:val="24"/>
                <w:szCs w:val="24"/>
              </w:rPr>
            </w:pPr>
            <w:r w:rsidRPr="001B6E4D">
              <w:rPr>
                <w:rFonts w:hAnsi="標楷體" w:hint="eastAsia"/>
                <w:sz w:val="24"/>
                <w:szCs w:val="24"/>
              </w:rPr>
              <w:t>司法院函送</w:t>
            </w:r>
            <w:proofErr w:type="gramStart"/>
            <w:r w:rsidRPr="001B6E4D">
              <w:rPr>
                <w:rFonts w:hAnsi="標楷體" w:hint="eastAsia"/>
                <w:sz w:val="24"/>
                <w:szCs w:val="24"/>
              </w:rPr>
              <w:t>113</w:t>
            </w:r>
            <w:proofErr w:type="gramEnd"/>
            <w:r w:rsidRPr="001B6E4D">
              <w:rPr>
                <w:rFonts w:hAnsi="標楷體" w:hint="eastAsia"/>
                <w:sz w:val="24"/>
                <w:szCs w:val="24"/>
              </w:rPr>
              <w:t>年度截至</w:t>
            </w:r>
            <w:proofErr w:type="gramStart"/>
            <w:r w:rsidRPr="001B6E4D">
              <w:rPr>
                <w:rFonts w:hAnsi="標楷體" w:hint="eastAsia"/>
                <w:sz w:val="24"/>
                <w:szCs w:val="24"/>
              </w:rPr>
              <w:t>第1季止之</w:t>
            </w:r>
            <w:proofErr w:type="gramEnd"/>
            <w:r w:rsidRPr="001B6E4D">
              <w:rPr>
                <w:rFonts w:hAnsi="標楷體" w:hint="eastAsia"/>
                <w:sz w:val="24"/>
                <w:szCs w:val="24"/>
              </w:rPr>
              <w:t>「公務預算對民間團體及個人補（捐）助經費彙總表」，請查照案。</w:t>
            </w:r>
          </w:p>
        </w:tc>
        <w:tc>
          <w:tcPr>
            <w:tcW w:w="1147" w:type="pct"/>
          </w:tcPr>
          <w:p w14:paraId="169B0D6E" w14:textId="7359D11F"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司法院 113.07.12 （11-1-22）</w:t>
            </w:r>
          </w:p>
        </w:tc>
        <w:tc>
          <w:tcPr>
            <w:tcW w:w="963" w:type="pct"/>
          </w:tcPr>
          <w:p w14:paraId="555EF0C1" w14:textId="5C53CDF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3646F401" w14:textId="16CA4C6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211167F" w14:textId="77777777" w:rsidTr="00530F33">
        <w:tc>
          <w:tcPr>
            <w:tcW w:w="385" w:type="pct"/>
          </w:tcPr>
          <w:p w14:paraId="69060C4B" w14:textId="0FD33D81"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26</w:t>
            </w:r>
          </w:p>
        </w:tc>
        <w:tc>
          <w:tcPr>
            <w:tcW w:w="1654" w:type="pct"/>
          </w:tcPr>
          <w:p w14:paraId="28128418" w14:textId="19245B8D"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法務部函送113年第1季「媒體政策及業務宣導執行情形表」，請查照案。</w:t>
            </w:r>
          </w:p>
        </w:tc>
        <w:tc>
          <w:tcPr>
            <w:tcW w:w="1147" w:type="pct"/>
          </w:tcPr>
          <w:p w14:paraId="6962674E" w14:textId="759B7C1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113.10.18 （11-2-5）</w:t>
            </w:r>
          </w:p>
        </w:tc>
        <w:tc>
          <w:tcPr>
            <w:tcW w:w="963" w:type="pct"/>
          </w:tcPr>
          <w:p w14:paraId="7F220C53" w14:textId="7CF195A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83FC90F" w14:textId="216240E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9CE1D5C" w14:textId="77777777" w:rsidTr="00530F33">
        <w:tc>
          <w:tcPr>
            <w:tcW w:w="385" w:type="pct"/>
          </w:tcPr>
          <w:p w14:paraId="0498DC02" w14:textId="311E93D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27</w:t>
            </w:r>
          </w:p>
        </w:tc>
        <w:tc>
          <w:tcPr>
            <w:tcW w:w="1654" w:type="pct"/>
          </w:tcPr>
          <w:p w14:paraId="773CF258" w14:textId="7B0094B2" w:rsidR="00411CB4" w:rsidRPr="001B6E4D" w:rsidRDefault="00411CB4" w:rsidP="003D1018">
            <w:pPr>
              <w:pStyle w:val="01"/>
              <w:overflowPunct w:val="0"/>
              <w:rPr>
                <w:rFonts w:hAnsi="標楷體" w:cs="Times New Roman"/>
                <w:sz w:val="24"/>
                <w:szCs w:val="24"/>
              </w:rPr>
            </w:pPr>
            <w:r w:rsidRPr="001B6E4D">
              <w:rPr>
                <w:rFonts w:hAnsi="標楷體"/>
                <w:sz w:val="24"/>
                <w:szCs w:val="24"/>
              </w:rPr>
              <w:t>監察院函，為</w:t>
            </w:r>
            <w:proofErr w:type="gramStart"/>
            <w:r w:rsidRPr="001B6E4D">
              <w:rPr>
                <w:rFonts w:hAnsi="標楷體"/>
                <w:sz w:val="24"/>
                <w:szCs w:val="24"/>
              </w:rPr>
              <w:t>113</w:t>
            </w:r>
            <w:proofErr w:type="gramEnd"/>
            <w:r w:rsidRPr="001B6E4D">
              <w:rPr>
                <w:rFonts w:hAnsi="標楷體"/>
                <w:sz w:val="24"/>
                <w:szCs w:val="24"/>
              </w:rPr>
              <w:t>年度中央政府總預算決議，檢送決議(九)、(十)、(十一)、(十九)、(二十)、(二十一)及(二十七)書面報告，請查照案。</w:t>
            </w:r>
          </w:p>
        </w:tc>
        <w:tc>
          <w:tcPr>
            <w:tcW w:w="1147" w:type="pct"/>
          </w:tcPr>
          <w:p w14:paraId="70342951" w14:textId="48424D1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監察院 113.10.18 （11-2-5）</w:t>
            </w:r>
          </w:p>
        </w:tc>
        <w:tc>
          <w:tcPr>
            <w:tcW w:w="963" w:type="pct"/>
          </w:tcPr>
          <w:p w14:paraId="1C21ED49" w14:textId="29C5FF4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C98B7C0" w14:textId="3217BAC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50116B4" w14:textId="77777777" w:rsidTr="00530F33">
        <w:tc>
          <w:tcPr>
            <w:tcW w:w="385" w:type="pct"/>
          </w:tcPr>
          <w:p w14:paraId="23493FBF" w14:textId="57AC91C5"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28</w:t>
            </w:r>
          </w:p>
        </w:tc>
        <w:tc>
          <w:tcPr>
            <w:tcW w:w="1654" w:type="pct"/>
          </w:tcPr>
          <w:p w14:paraId="4C1F3663" w14:textId="309B9E27"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113</w:t>
            </w:r>
            <w:proofErr w:type="gramEnd"/>
            <w:r w:rsidRPr="001B6E4D">
              <w:rPr>
                <w:rFonts w:hAnsi="標楷體"/>
                <w:sz w:val="24"/>
                <w:szCs w:val="24"/>
              </w:rPr>
              <w:t>年度中央政府總預算決議，</w:t>
            </w:r>
            <w:proofErr w:type="gramStart"/>
            <w:r w:rsidRPr="001B6E4D">
              <w:rPr>
                <w:rFonts w:hAnsi="標楷體"/>
                <w:sz w:val="24"/>
                <w:szCs w:val="24"/>
              </w:rPr>
              <w:t>檢送通案</w:t>
            </w:r>
            <w:proofErr w:type="gramEnd"/>
            <w:r w:rsidRPr="001B6E4D">
              <w:rPr>
                <w:rFonts w:hAnsi="標楷體"/>
                <w:sz w:val="24"/>
                <w:szCs w:val="24"/>
              </w:rPr>
              <w:t>決議（十三）書面報告，請查照案。</w:t>
            </w:r>
          </w:p>
        </w:tc>
        <w:tc>
          <w:tcPr>
            <w:tcW w:w="1147" w:type="pct"/>
          </w:tcPr>
          <w:p w14:paraId="6476500D" w14:textId="24B491F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113.10.18 （11-2-5）</w:t>
            </w:r>
          </w:p>
        </w:tc>
        <w:tc>
          <w:tcPr>
            <w:tcW w:w="963" w:type="pct"/>
          </w:tcPr>
          <w:p w14:paraId="29E9E5A1" w14:textId="1561887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D1B2257" w14:textId="303CFBC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C77026B" w14:textId="77777777" w:rsidTr="00530F33">
        <w:tc>
          <w:tcPr>
            <w:tcW w:w="385" w:type="pct"/>
          </w:tcPr>
          <w:p w14:paraId="75D0F2F2" w14:textId="038AE2F4"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29</w:t>
            </w:r>
          </w:p>
        </w:tc>
        <w:tc>
          <w:tcPr>
            <w:tcW w:w="1654" w:type="pct"/>
          </w:tcPr>
          <w:p w14:paraId="6C051BE8" w14:textId="3A731C64" w:rsidR="00411CB4" w:rsidRPr="001B6E4D" w:rsidRDefault="00411CB4" w:rsidP="003D1018">
            <w:pPr>
              <w:pStyle w:val="01"/>
              <w:overflowPunct w:val="0"/>
              <w:rPr>
                <w:rFonts w:hAnsi="標楷體" w:cs="Times New Roman"/>
                <w:sz w:val="24"/>
                <w:szCs w:val="24"/>
              </w:rPr>
            </w:pPr>
            <w:r w:rsidRPr="001B6E4D">
              <w:rPr>
                <w:rFonts w:hAnsi="標楷體"/>
                <w:sz w:val="24"/>
                <w:szCs w:val="24"/>
              </w:rPr>
              <w:t>總統府函送113年第2季辦理政策及業務宣導之執行情形表，請查照案。</w:t>
            </w:r>
          </w:p>
        </w:tc>
        <w:tc>
          <w:tcPr>
            <w:tcW w:w="1147" w:type="pct"/>
          </w:tcPr>
          <w:p w14:paraId="1B0C8600" w14:textId="58FB801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總統府 113.10.25 （11-2-6）</w:t>
            </w:r>
          </w:p>
        </w:tc>
        <w:tc>
          <w:tcPr>
            <w:tcW w:w="963" w:type="pct"/>
          </w:tcPr>
          <w:p w14:paraId="4A7D6512" w14:textId="410F182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司法及法制、教育及文化</w:t>
            </w:r>
          </w:p>
        </w:tc>
        <w:tc>
          <w:tcPr>
            <w:tcW w:w="851" w:type="pct"/>
          </w:tcPr>
          <w:p w14:paraId="479B50C9" w14:textId="68C1A90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D8BD28A" w14:textId="77777777" w:rsidTr="00530F33">
        <w:tc>
          <w:tcPr>
            <w:tcW w:w="385" w:type="pct"/>
          </w:tcPr>
          <w:p w14:paraId="6CA47CB7" w14:textId="3CF11D2A"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30</w:t>
            </w:r>
          </w:p>
        </w:tc>
        <w:tc>
          <w:tcPr>
            <w:tcW w:w="1654" w:type="pct"/>
          </w:tcPr>
          <w:p w14:paraId="7D515B02" w14:textId="44282A30"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w:t>
            </w:r>
            <w:proofErr w:type="gramStart"/>
            <w:r w:rsidRPr="001B6E4D">
              <w:rPr>
                <w:rFonts w:hAnsi="標楷體"/>
                <w:sz w:val="24"/>
                <w:szCs w:val="24"/>
              </w:rPr>
              <w:t>113</w:t>
            </w:r>
            <w:proofErr w:type="gramEnd"/>
            <w:r w:rsidRPr="001B6E4D">
              <w:rPr>
                <w:rFonts w:hAnsi="標楷體"/>
                <w:sz w:val="24"/>
                <w:szCs w:val="24"/>
              </w:rPr>
              <w:t>年度截至</w:t>
            </w:r>
            <w:proofErr w:type="gramStart"/>
            <w:r w:rsidRPr="001B6E4D">
              <w:rPr>
                <w:rFonts w:hAnsi="標楷體"/>
                <w:sz w:val="24"/>
                <w:szCs w:val="24"/>
              </w:rPr>
              <w:t>第2季止之</w:t>
            </w:r>
            <w:proofErr w:type="gramEnd"/>
            <w:r w:rsidRPr="001B6E4D">
              <w:rPr>
                <w:rFonts w:hAnsi="標楷體"/>
                <w:sz w:val="24"/>
                <w:szCs w:val="24"/>
              </w:rPr>
              <w:t>「公務預算對</w:t>
            </w:r>
            <w:r w:rsidRPr="001B6E4D">
              <w:rPr>
                <w:rFonts w:hAnsi="標楷體"/>
                <w:sz w:val="24"/>
                <w:szCs w:val="24"/>
              </w:rPr>
              <w:lastRenderedPageBreak/>
              <w:t>民間團體及個人補（捐）助經費彙總表」，請查照案。</w:t>
            </w:r>
          </w:p>
        </w:tc>
        <w:tc>
          <w:tcPr>
            <w:tcW w:w="1147" w:type="pct"/>
          </w:tcPr>
          <w:p w14:paraId="351D5689" w14:textId="6DF9528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 xml:space="preserve">司法院 113.10.25 </w:t>
            </w:r>
            <w:r w:rsidRPr="001B6E4D">
              <w:rPr>
                <w:rFonts w:ascii="標楷體" w:eastAsia="標楷體" w:hAnsi="標楷體"/>
                <w:sz w:val="24"/>
              </w:rPr>
              <w:lastRenderedPageBreak/>
              <w:t>（11-2-6）</w:t>
            </w:r>
          </w:p>
        </w:tc>
        <w:tc>
          <w:tcPr>
            <w:tcW w:w="963" w:type="pct"/>
          </w:tcPr>
          <w:p w14:paraId="418D9485" w14:textId="7BF9E1D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司法及法制</w:t>
            </w:r>
          </w:p>
        </w:tc>
        <w:tc>
          <w:tcPr>
            <w:tcW w:w="851" w:type="pct"/>
          </w:tcPr>
          <w:p w14:paraId="6F87887B" w14:textId="790F816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AB52E5D" w14:textId="77777777" w:rsidTr="00530F33">
        <w:tc>
          <w:tcPr>
            <w:tcW w:w="385" w:type="pct"/>
          </w:tcPr>
          <w:p w14:paraId="3818DBB7" w14:textId="7B1D2C23"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31</w:t>
            </w:r>
          </w:p>
        </w:tc>
        <w:tc>
          <w:tcPr>
            <w:tcW w:w="1654" w:type="pct"/>
          </w:tcPr>
          <w:p w14:paraId="2CB1BE51" w14:textId="2B54531F"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司法院函送113年第2季媒體政策及業務宣導執行情形表，請查照案。</w:t>
            </w:r>
          </w:p>
        </w:tc>
        <w:tc>
          <w:tcPr>
            <w:tcW w:w="1147" w:type="pct"/>
          </w:tcPr>
          <w:p w14:paraId="39DF042A" w14:textId="384CD87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113.10.25 （11-2-6）</w:t>
            </w:r>
          </w:p>
        </w:tc>
        <w:tc>
          <w:tcPr>
            <w:tcW w:w="963" w:type="pct"/>
          </w:tcPr>
          <w:p w14:paraId="3BAF97D3" w14:textId="1323699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A6047F3" w14:textId="5AAAF11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32CE2A9" w14:textId="77777777" w:rsidTr="00530F33">
        <w:tc>
          <w:tcPr>
            <w:tcW w:w="385" w:type="pct"/>
          </w:tcPr>
          <w:p w14:paraId="53C06DA4" w14:textId="0CA5F946"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32</w:t>
            </w:r>
          </w:p>
        </w:tc>
        <w:tc>
          <w:tcPr>
            <w:tcW w:w="1654" w:type="pct"/>
          </w:tcPr>
          <w:p w14:paraId="183B0DD6" w14:textId="21A8098B" w:rsidR="00411CB4" w:rsidRPr="001B6E4D" w:rsidRDefault="00411CB4" w:rsidP="003D1018">
            <w:pPr>
              <w:pStyle w:val="01"/>
              <w:overflowPunct w:val="0"/>
              <w:rPr>
                <w:rFonts w:hAnsi="標楷體" w:cs="Times New Roman"/>
                <w:sz w:val="24"/>
                <w:szCs w:val="24"/>
              </w:rPr>
            </w:pPr>
            <w:r w:rsidRPr="001B6E4D">
              <w:rPr>
                <w:rFonts w:hAnsi="標楷體"/>
                <w:sz w:val="24"/>
                <w:szCs w:val="24"/>
              </w:rPr>
              <w:t>監察院秘書長函送</w:t>
            </w:r>
            <w:proofErr w:type="gramStart"/>
            <w:r w:rsidRPr="001B6E4D">
              <w:rPr>
                <w:rFonts w:hAnsi="標楷體"/>
                <w:sz w:val="24"/>
                <w:szCs w:val="24"/>
              </w:rPr>
              <w:t>113</w:t>
            </w:r>
            <w:proofErr w:type="gramEnd"/>
            <w:r w:rsidRPr="001B6E4D">
              <w:rPr>
                <w:rFonts w:hAnsi="標楷體"/>
                <w:sz w:val="24"/>
                <w:szCs w:val="24"/>
              </w:rPr>
              <w:t>年度第2季媒體政策及業務宣導執行情形表，請查照案。</w:t>
            </w:r>
          </w:p>
        </w:tc>
        <w:tc>
          <w:tcPr>
            <w:tcW w:w="1147" w:type="pct"/>
          </w:tcPr>
          <w:p w14:paraId="2C8E9BBE" w14:textId="23C7751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監察院秘書長 113.10.25 （11-2-6）</w:t>
            </w:r>
          </w:p>
        </w:tc>
        <w:tc>
          <w:tcPr>
            <w:tcW w:w="963" w:type="pct"/>
          </w:tcPr>
          <w:p w14:paraId="75F9890F" w14:textId="6AF6B2A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10BF7C5" w14:textId="092EDF0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A8960F1" w14:textId="77777777" w:rsidTr="00530F33">
        <w:tc>
          <w:tcPr>
            <w:tcW w:w="385" w:type="pct"/>
          </w:tcPr>
          <w:p w14:paraId="2C0039AD" w14:textId="51FB875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33</w:t>
            </w:r>
          </w:p>
        </w:tc>
        <w:tc>
          <w:tcPr>
            <w:tcW w:w="1654" w:type="pct"/>
          </w:tcPr>
          <w:p w14:paraId="1FB15D58" w14:textId="14DE02E9" w:rsidR="00411CB4" w:rsidRPr="001B6E4D" w:rsidRDefault="00411CB4" w:rsidP="003D1018">
            <w:pPr>
              <w:pStyle w:val="01"/>
              <w:overflowPunct w:val="0"/>
              <w:rPr>
                <w:rFonts w:hAnsi="標楷體" w:cs="Times New Roman"/>
                <w:sz w:val="24"/>
                <w:szCs w:val="24"/>
              </w:rPr>
            </w:pPr>
            <w:r w:rsidRPr="001B6E4D">
              <w:rPr>
                <w:rFonts w:hAnsi="標楷體"/>
                <w:sz w:val="24"/>
                <w:szCs w:val="24"/>
              </w:rPr>
              <w:t>考試院秘書長函送113年第2季媒體政策及業務宣導執行情形表，請查照案。</w:t>
            </w:r>
          </w:p>
        </w:tc>
        <w:tc>
          <w:tcPr>
            <w:tcW w:w="1147" w:type="pct"/>
          </w:tcPr>
          <w:p w14:paraId="7256B4FC" w14:textId="5395DAB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考試院秘書長 113.10.25 （11-2-6）</w:t>
            </w:r>
          </w:p>
        </w:tc>
        <w:tc>
          <w:tcPr>
            <w:tcW w:w="963" w:type="pct"/>
          </w:tcPr>
          <w:p w14:paraId="036A1459" w14:textId="491DA9C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179B43EC" w14:textId="1196853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11B5201" w14:textId="77777777" w:rsidTr="00530F33">
        <w:tc>
          <w:tcPr>
            <w:tcW w:w="385" w:type="pct"/>
          </w:tcPr>
          <w:p w14:paraId="4358DDD5" w14:textId="41E080F2"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34</w:t>
            </w:r>
          </w:p>
        </w:tc>
        <w:tc>
          <w:tcPr>
            <w:tcW w:w="1654" w:type="pct"/>
          </w:tcPr>
          <w:p w14:paraId="43431DE1" w14:textId="3FA9148D"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法務部函送113年第1季中央政府預算補助社會團體、人民團體、財團法人及個人之補助經費概況表，請查照案。</w:t>
            </w:r>
          </w:p>
        </w:tc>
        <w:tc>
          <w:tcPr>
            <w:tcW w:w="1147" w:type="pct"/>
          </w:tcPr>
          <w:p w14:paraId="00DE10FE" w14:textId="3C4544F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113.10.25 （11-2-6）</w:t>
            </w:r>
          </w:p>
        </w:tc>
        <w:tc>
          <w:tcPr>
            <w:tcW w:w="963" w:type="pct"/>
          </w:tcPr>
          <w:p w14:paraId="623E81FD" w14:textId="0D1B967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130DBD14" w14:textId="3878EB6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335C9B9" w14:textId="77777777" w:rsidTr="00530F33">
        <w:tc>
          <w:tcPr>
            <w:tcW w:w="385" w:type="pct"/>
          </w:tcPr>
          <w:p w14:paraId="6025AA82" w14:textId="0E7672D2"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35</w:t>
            </w:r>
          </w:p>
        </w:tc>
        <w:tc>
          <w:tcPr>
            <w:tcW w:w="1654" w:type="pct"/>
          </w:tcPr>
          <w:p w14:paraId="200B1545" w14:textId="658D3D2E" w:rsidR="00411CB4" w:rsidRPr="001B6E4D" w:rsidRDefault="00411CB4" w:rsidP="003D1018">
            <w:pPr>
              <w:pStyle w:val="01"/>
              <w:overflowPunct w:val="0"/>
              <w:rPr>
                <w:rFonts w:hAnsi="標楷體" w:cs="Times New Roman"/>
                <w:sz w:val="24"/>
                <w:szCs w:val="24"/>
              </w:rPr>
            </w:pPr>
            <w:r w:rsidRPr="001B6E4D">
              <w:rPr>
                <w:rFonts w:hAnsi="標楷體" w:hint="eastAsia"/>
                <w:sz w:val="24"/>
                <w:szCs w:val="24"/>
              </w:rPr>
              <w:t>考試院秘書長函送「近10年（103年至112年）身心障礙公務人員考績等次分析檢討及預期改善報告」，請查照案。</w:t>
            </w:r>
          </w:p>
        </w:tc>
        <w:tc>
          <w:tcPr>
            <w:tcW w:w="1147" w:type="pct"/>
          </w:tcPr>
          <w:p w14:paraId="643BBBF3" w14:textId="6910289C"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考試院秘書長 113.11.01 （11-2-7）</w:t>
            </w:r>
          </w:p>
        </w:tc>
        <w:tc>
          <w:tcPr>
            <w:tcW w:w="963" w:type="pct"/>
          </w:tcPr>
          <w:p w14:paraId="62A648D8" w14:textId="1F55BCA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0457211" w14:textId="27F02C6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45C8BAA" w14:textId="77777777" w:rsidTr="00530F33">
        <w:tc>
          <w:tcPr>
            <w:tcW w:w="385" w:type="pct"/>
          </w:tcPr>
          <w:p w14:paraId="618885FD" w14:textId="222E811B"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36</w:t>
            </w:r>
          </w:p>
        </w:tc>
        <w:tc>
          <w:tcPr>
            <w:tcW w:w="1654" w:type="pct"/>
          </w:tcPr>
          <w:p w14:paraId="4D891533" w14:textId="5A668A3D"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法務部函送113年第2季中央政府預算補助社會團體、人民團體、財團法人及個人之補助經費概況表，請查照案。</w:t>
            </w:r>
          </w:p>
        </w:tc>
        <w:tc>
          <w:tcPr>
            <w:tcW w:w="1147" w:type="pct"/>
          </w:tcPr>
          <w:p w14:paraId="1EFF1AA6" w14:textId="5ADA696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113.11.01 （11-2-7）</w:t>
            </w:r>
          </w:p>
        </w:tc>
        <w:tc>
          <w:tcPr>
            <w:tcW w:w="963" w:type="pct"/>
          </w:tcPr>
          <w:p w14:paraId="3BAE12F8" w14:textId="085BE89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01A8492" w14:textId="2AF44F0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5C323A0" w14:textId="77777777" w:rsidTr="00530F33">
        <w:tc>
          <w:tcPr>
            <w:tcW w:w="385" w:type="pct"/>
          </w:tcPr>
          <w:p w14:paraId="5D66BC31" w14:textId="78F8087B"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37</w:t>
            </w:r>
          </w:p>
        </w:tc>
        <w:tc>
          <w:tcPr>
            <w:tcW w:w="1654" w:type="pct"/>
          </w:tcPr>
          <w:p w14:paraId="494E8FEC" w14:textId="30AB132E"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法務部函送113年第2季「媒體政策及業務宣導執行情形表」，請查照案。</w:t>
            </w:r>
          </w:p>
        </w:tc>
        <w:tc>
          <w:tcPr>
            <w:tcW w:w="1147" w:type="pct"/>
          </w:tcPr>
          <w:p w14:paraId="65F42EB1" w14:textId="0BE4318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113.11.01 （11-2-7）</w:t>
            </w:r>
          </w:p>
        </w:tc>
        <w:tc>
          <w:tcPr>
            <w:tcW w:w="963" w:type="pct"/>
          </w:tcPr>
          <w:p w14:paraId="63B033F6" w14:textId="58BA07C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79C64146" w14:textId="098B829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9CE9781" w14:textId="77777777" w:rsidTr="00530F33">
        <w:tc>
          <w:tcPr>
            <w:tcW w:w="385" w:type="pct"/>
          </w:tcPr>
          <w:p w14:paraId="6A3A7B14" w14:textId="13E0B2FE"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38</w:t>
            </w:r>
          </w:p>
        </w:tc>
        <w:tc>
          <w:tcPr>
            <w:tcW w:w="1654" w:type="pct"/>
          </w:tcPr>
          <w:p w14:paraId="609092D1" w14:textId="51203EE8" w:rsidR="00411CB4" w:rsidRPr="001B6E4D" w:rsidRDefault="00411CB4" w:rsidP="003D1018">
            <w:pPr>
              <w:pStyle w:val="01"/>
              <w:overflowPunct w:val="0"/>
              <w:rPr>
                <w:rFonts w:hAnsi="標楷體" w:cs="Times New Roman"/>
                <w:sz w:val="24"/>
                <w:szCs w:val="24"/>
              </w:rPr>
            </w:pPr>
            <w:r w:rsidRPr="001B6E4D">
              <w:rPr>
                <w:rFonts w:hAnsi="標楷體"/>
                <w:sz w:val="24"/>
                <w:szCs w:val="24"/>
              </w:rPr>
              <w:t>總統府函送113年第3季辦理政策及業務宣導之執行情形表，請查照案。</w:t>
            </w:r>
          </w:p>
        </w:tc>
        <w:tc>
          <w:tcPr>
            <w:tcW w:w="1147" w:type="pct"/>
          </w:tcPr>
          <w:p w14:paraId="255D52FD" w14:textId="4F0549A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總統府 113.11.22 （11-2-10）</w:t>
            </w:r>
          </w:p>
        </w:tc>
        <w:tc>
          <w:tcPr>
            <w:tcW w:w="963" w:type="pct"/>
          </w:tcPr>
          <w:p w14:paraId="08457F71" w14:textId="6E704A3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司法及法制、教育及文化</w:t>
            </w:r>
          </w:p>
        </w:tc>
        <w:tc>
          <w:tcPr>
            <w:tcW w:w="851" w:type="pct"/>
          </w:tcPr>
          <w:p w14:paraId="6D36C91F" w14:textId="0126C6D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01218E3" w14:textId="77777777" w:rsidTr="00530F33">
        <w:tc>
          <w:tcPr>
            <w:tcW w:w="385" w:type="pct"/>
          </w:tcPr>
          <w:p w14:paraId="359729C6" w14:textId="719DE012"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39</w:t>
            </w:r>
          </w:p>
        </w:tc>
        <w:tc>
          <w:tcPr>
            <w:tcW w:w="1654" w:type="pct"/>
          </w:tcPr>
          <w:p w14:paraId="032A58B7" w14:textId="23D8003A" w:rsidR="00411CB4" w:rsidRPr="001B6E4D" w:rsidRDefault="00411CB4" w:rsidP="003D1018">
            <w:pPr>
              <w:pStyle w:val="01"/>
              <w:overflowPunct w:val="0"/>
              <w:rPr>
                <w:rFonts w:hAnsi="標楷體" w:cs="Times New Roman"/>
                <w:sz w:val="24"/>
                <w:szCs w:val="24"/>
              </w:rPr>
            </w:pPr>
            <w:r w:rsidRPr="001B6E4D">
              <w:rPr>
                <w:rFonts w:hAnsi="標楷體"/>
                <w:sz w:val="24"/>
                <w:szCs w:val="24"/>
              </w:rPr>
              <w:t>監察院秘書長函送</w:t>
            </w:r>
            <w:proofErr w:type="gramStart"/>
            <w:r w:rsidRPr="001B6E4D">
              <w:rPr>
                <w:rFonts w:hAnsi="標楷體"/>
                <w:sz w:val="24"/>
                <w:szCs w:val="24"/>
              </w:rPr>
              <w:t>113</w:t>
            </w:r>
            <w:proofErr w:type="gramEnd"/>
            <w:r w:rsidRPr="001B6E4D">
              <w:rPr>
                <w:rFonts w:hAnsi="標楷體"/>
                <w:sz w:val="24"/>
                <w:szCs w:val="24"/>
              </w:rPr>
              <w:t>年度第3季媒體政策及業務宣導執行情形表，請查照</w:t>
            </w:r>
            <w:r w:rsidRPr="001B6E4D">
              <w:rPr>
                <w:rFonts w:hAnsi="標楷體"/>
                <w:sz w:val="24"/>
                <w:szCs w:val="24"/>
              </w:rPr>
              <w:lastRenderedPageBreak/>
              <w:t>案。</w:t>
            </w:r>
          </w:p>
        </w:tc>
        <w:tc>
          <w:tcPr>
            <w:tcW w:w="1147" w:type="pct"/>
          </w:tcPr>
          <w:p w14:paraId="0A9A1869" w14:textId="3CDB2F1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監察院秘書長 113.11.22 （11-2-10）</w:t>
            </w:r>
          </w:p>
        </w:tc>
        <w:tc>
          <w:tcPr>
            <w:tcW w:w="963" w:type="pct"/>
          </w:tcPr>
          <w:p w14:paraId="54A722E7" w14:textId="6C1FDDB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AF2CF94" w14:textId="372E232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CB8642C" w14:textId="77777777" w:rsidTr="00530F33">
        <w:tc>
          <w:tcPr>
            <w:tcW w:w="385" w:type="pct"/>
          </w:tcPr>
          <w:p w14:paraId="1151982E" w14:textId="1B61A54B"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40</w:t>
            </w:r>
          </w:p>
        </w:tc>
        <w:tc>
          <w:tcPr>
            <w:tcW w:w="1654" w:type="pct"/>
          </w:tcPr>
          <w:p w14:paraId="0247DCC7" w14:textId="340A1D97" w:rsidR="00411CB4" w:rsidRPr="001B6E4D" w:rsidRDefault="00411CB4" w:rsidP="003D1018">
            <w:pPr>
              <w:pStyle w:val="01"/>
              <w:overflowPunct w:val="0"/>
              <w:rPr>
                <w:rFonts w:hAnsi="標楷體" w:cs="Times New Roman"/>
                <w:sz w:val="24"/>
                <w:szCs w:val="24"/>
              </w:rPr>
            </w:pPr>
            <w:r w:rsidRPr="001B6E4D">
              <w:rPr>
                <w:rFonts w:hAnsi="標楷體"/>
                <w:sz w:val="24"/>
                <w:szCs w:val="24"/>
              </w:rPr>
              <w:t>考試院秘書長函送113年第3季媒體政策及業務宣導執行情形表，請查照案。</w:t>
            </w:r>
          </w:p>
        </w:tc>
        <w:tc>
          <w:tcPr>
            <w:tcW w:w="1147" w:type="pct"/>
          </w:tcPr>
          <w:p w14:paraId="19ED7D63" w14:textId="328069D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考試院秘書長 113.11.22 （11-2-10）</w:t>
            </w:r>
          </w:p>
        </w:tc>
        <w:tc>
          <w:tcPr>
            <w:tcW w:w="963" w:type="pct"/>
          </w:tcPr>
          <w:p w14:paraId="46EFF032" w14:textId="61E4572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7DDE859A" w14:textId="69D657E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1808CD6" w14:textId="77777777" w:rsidTr="00530F33">
        <w:tc>
          <w:tcPr>
            <w:tcW w:w="385" w:type="pct"/>
          </w:tcPr>
          <w:p w14:paraId="28E7D64F" w14:textId="44DFCD72"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41</w:t>
            </w:r>
          </w:p>
        </w:tc>
        <w:tc>
          <w:tcPr>
            <w:tcW w:w="1654" w:type="pct"/>
          </w:tcPr>
          <w:p w14:paraId="611564DF" w14:textId="276A5852"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w:t>
            </w:r>
            <w:proofErr w:type="gramStart"/>
            <w:r w:rsidRPr="001B6E4D">
              <w:rPr>
                <w:rFonts w:hAnsi="標楷體"/>
                <w:sz w:val="24"/>
                <w:szCs w:val="24"/>
              </w:rPr>
              <w:t>113</w:t>
            </w:r>
            <w:proofErr w:type="gramEnd"/>
            <w:r w:rsidRPr="001B6E4D">
              <w:rPr>
                <w:rFonts w:hAnsi="標楷體"/>
                <w:sz w:val="24"/>
                <w:szCs w:val="24"/>
              </w:rPr>
              <w:t>年度截至</w:t>
            </w:r>
            <w:proofErr w:type="gramStart"/>
            <w:r w:rsidRPr="001B6E4D">
              <w:rPr>
                <w:rFonts w:hAnsi="標楷體"/>
                <w:sz w:val="24"/>
                <w:szCs w:val="24"/>
              </w:rPr>
              <w:t>第3季止之</w:t>
            </w:r>
            <w:proofErr w:type="gramEnd"/>
            <w:r w:rsidRPr="001B6E4D">
              <w:rPr>
                <w:rFonts w:hAnsi="標楷體"/>
                <w:sz w:val="24"/>
                <w:szCs w:val="24"/>
              </w:rPr>
              <w:t>「公務預算對民間團體及個人補（捐）助經費彙總表」，請查照案。</w:t>
            </w:r>
          </w:p>
        </w:tc>
        <w:tc>
          <w:tcPr>
            <w:tcW w:w="1147" w:type="pct"/>
          </w:tcPr>
          <w:p w14:paraId="0CCBA67E" w14:textId="4B0F8B3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113.11.29 （11-2-11）</w:t>
            </w:r>
          </w:p>
        </w:tc>
        <w:tc>
          <w:tcPr>
            <w:tcW w:w="963" w:type="pct"/>
          </w:tcPr>
          <w:p w14:paraId="7BBEDD54" w14:textId="612D1DE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43DCA23" w14:textId="6BF4625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88265C0" w14:textId="77777777" w:rsidTr="00530F33">
        <w:tc>
          <w:tcPr>
            <w:tcW w:w="385" w:type="pct"/>
          </w:tcPr>
          <w:p w14:paraId="2BA7CBB4" w14:textId="2BD970B0"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42</w:t>
            </w:r>
          </w:p>
        </w:tc>
        <w:tc>
          <w:tcPr>
            <w:tcW w:w="1654" w:type="pct"/>
          </w:tcPr>
          <w:p w14:paraId="5F3E89B0" w14:textId="4DAB8719"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司法院函送113年第3季媒體政策及業務宣導執行情形表，請查照案。</w:t>
            </w:r>
          </w:p>
        </w:tc>
        <w:tc>
          <w:tcPr>
            <w:tcW w:w="1147" w:type="pct"/>
          </w:tcPr>
          <w:p w14:paraId="7D3501D8" w14:textId="3E39453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113.11.29 （11-2-11）</w:t>
            </w:r>
          </w:p>
        </w:tc>
        <w:tc>
          <w:tcPr>
            <w:tcW w:w="963" w:type="pct"/>
          </w:tcPr>
          <w:p w14:paraId="7594C4A9" w14:textId="5985A10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74977B6" w14:textId="1A7760A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36A106A" w14:textId="77777777" w:rsidTr="00530F33">
        <w:tc>
          <w:tcPr>
            <w:tcW w:w="385" w:type="pct"/>
          </w:tcPr>
          <w:p w14:paraId="0D86280E" w14:textId="18D567F2"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43</w:t>
            </w:r>
          </w:p>
        </w:tc>
        <w:tc>
          <w:tcPr>
            <w:tcW w:w="1654" w:type="pct"/>
          </w:tcPr>
          <w:p w14:paraId="6EBB687D" w14:textId="29B4BF22"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法務部函送113年第3季「媒體政策及業務宣導執行情形表」，請查照案。</w:t>
            </w:r>
          </w:p>
        </w:tc>
        <w:tc>
          <w:tcPr>
            <w:tcW w:w="1147" w:type="pct"/>
          </w:tcPr>
          <w:p w14:paraId="26A48796" w14:textId="4BB147A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114.01.03 （11-2-16）</w:t>
            </w:r>
          </w:p>
        </w:tc>
        <w:tc>
          <w:tcPr>
            <w:tcW w:w="963" w:type="pct"/>
          </w:tcPr>
          <w:p w14:paraId="10F248DB" w14:textId="3B18120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39E1B859" w14:textId="0AC94F0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79982588" w14:textId="77777777" w:rsidTr="00530F33">
        <w:tc>
          <w:tcPr>
            <w:tcW w:w="385" w:type="pct"/>
          </w:tcPr>
          <w:p w14:paraId="3704836E" w14:textId="2A6BC624"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44</w:t>
            </w:r>
          </w:p>
        </w:tc>
        <w:tc>
          <w:tcPr>
            <w:tcW w:w="1654" w:type="pct"/>
          </w:tcPr>
          <w:p w14:paraId="4332F365" w14:textId="3DA91DE0"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法務部函送113年第3季中央政府預算補助社會團體、人民團體、財團法人及個人之補助經費概況表，請查照案。</w:t>
            </w:r>
          </w:p>
        </w:tc>
        <w:tc>
          <w:tcPr>
            <w:tcW w:w="1147" w:type="pct"/>
          </w:tcPr>
          <w:p w14:paraId="14B03AC4" w14:textId="43CB8D4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114.01.03 （11-2-16）</w:t>
            </w:r>
          </w:p>
        </w:tc>
        <w:tc>
          <w:tcPr>
            <w:tcW w:w="963" w:type="pct"/>
          </w:tcPr>
          <w:p w14:paraId="47CB3936" w14:textId="08E2F08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A5E9572" w14:textId="7375703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EED4932" w14:textId="77777777" w:rsidTr="00530F33">
        <w:tc>
          <w:tcPr>
            <w:tcW w:w="385" w:type="pct"/>
          </w:tcPr>
          <w:p w14:paraId="5CE4BA8E" w14:textId="57A1109F"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45</w:t>
            </w:r>
          </w:p>
        </w:tc>
        <w:tc>
          <w:tcPr>
            <w:tcW w:w="1654" w:type="pct"/>
          </w:tcPr>
          <w:p w14:paraId="4DD5C602" w14:textId="1307E4FA"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113</w:t>
            </w:r>
            <w:proofErr w:type="gramEnd"/>
            <w:r w:rsidRPr="001B6E4D">
              <w:rPr>
                <w:rFonts w:hAnsi="標楷體"/>
                <w:sz w:val="24"/>
                <w:szCs w:val="24"/>
              </w:rPr>
              <w:t>年度中央政府總預算附屬單位預算決議，檢送毒品防制基金決議第5項書面報告，請查照案。</w:t>
            </w:r>
          </w:p>
        </w:tc>
        <w:tc>
          <w:tcPr>
            <w:tcW w:w="1147" w:type="pct"/>
          </w:tcPr>
          <w:p w14:paraId="1D1A0E33" w14:textId="515DE0E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114.03.14 （11-3-5）</w:t>
            </w:r>
          </w:p>
        </w:tc>
        <w:tc>
          <w:tcPr>
            <w:tcW w:w="963" w:type="pct"/>
          </w:tcPr>
          <w:p w14:paraId="0B9F7B58" w14:textId="52D47C7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04B9705" w14:textId="5807824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F4E5D00" w14:textId="77777777" w:rsidTr="00530F33">
        <w:tc>
          <w:tcPr>
            <w:tcW w:w="385" w:type="pct"/>
          </w:tcPr>
          <w:p w14:paraId="201DEDB7" w14:textId="16EF49F5"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46</w:t>
            </w:r>
          </w:p>
        </w:tc>
        <w:tc>
          <w:tcPr>
            <w:tcW w:w="1654" w:type="pct"/>
          </w:tcPr>
          <w:p w14:paraId="37355295" w14:textId="73CD90C4" w:rsidR="00411CB4" w:rsidRPr="001B6E4D" w:rsidRDefault="00411CB4" w:rsidP="003D1018">
            <w:pPr>
              <w:pStyle w:val="01"/>
              <w:overflowPunct w:val="0"/>
              <w:rPr>
                <w:rFonts w:hAnsi="標楷體" w:cs="Times New Roman"/>
                <w:sz w:val="24"/>
                <w:szCs w:val="24"/>
              </w:rPr>
            </w:pPr>
            <w:r w:rsidRPr="001B6E4D">
              <w:rPr>
                <w:rFonts w:hAnsi="標楷體"/>
                <w:sz w:val="24"/>
                <w:szCs w:val="24"/>
              </w:rPr>
              <w:t>總統府函送113年第4季媒體政策及業務宣導執行情形表，請查照案。</w:t>
            </w:r>
          </w:p>
        </w:tc>
        <w:tc>
          <w:tcPr>
            <w:tcW w:w="1147" w:type="pct"/>
          </w:tcPr>
          <w:p w14:paraId="5498E5BB" w14:textId="626B04D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總統府 114.04.25 （11-3-9）</w:t>
            </w:r>
          </w:p>
        </w:tc>
        <w:tc>
          <w:tcPr>
            <w:tcW w:w="963" w:type="pct"/>
          </w:tcPr>
          <w:p w14:paraId="08B219EB" w14:textId="2172424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司法及法制、教育及文化</w:t>
            </w:r>
          </w:p>
        </w:tc>
        <w:tc>
          <w:tcPr>
            <w:tcW w:w="851" w:type="pct"/>
          </w:tcPr>
          <w:p w14:paraId="3398FDD3" w14:textId="6D15A72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1A088CD" w14:textId="77777777" w:rsidTr="00530F33">
        <w:tc>
          <w:tcPr>
            <w:tcW w:w="385" w:type="pct"/>
          </w:tcPr>
          <w:p w14:paraId="4C527834" w14:textId="5FD15F64"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47</w:t>
            </w:r>
          </w:p>
        </w:tc>
        <w:tc>
          <w:tcPr>
            <w:tcW w:w="1654" w:type="pct"/>
          </w:tcPr>
          <w:p w14:paraId="12DA4D5E" w14:textId="49296DE0" w:rsidR="00411CB4" w:rsidRPr="001B6E4D" w:rsidRDefault="00411CB4" w:rsidP="003D1018">
            <w:pPr>
              <w:pStyle w:val="01"/>
              <w:overflowPunct w:val="0"/>
              <w:rPr>
                <w:rFonts w:hAnsi="標楷體" w:cs="Times New Roman"/>
                <w:sz w:val="24"/>
                <w:szCs w:val="24"/>
              </w:rPr>
            </w:pPr>
            <w:r w:rsidRPr="001B6E4D">
              <w:rPr>
                <w:rFonts w:hAnsi="標楷體"/>
                <w:sz w:val="24"/>
                <w:szCs w:val="24"/>
              </w:rPr>
              <w:t>監察院秘書長函送</w:t>
            </w:r>
            <w:proofErr w:type="gramStart"/>
            <w:r w:rsidRPr="001B6E4D">
              <w:rPr>
                <w:rFonts w:hAnsi="標楷體"/>
                <w:sz w:val="24"/>
                <w:szCs w:val="24"/>
              </w:rPr>
              <w:t>113</w:t>
            </w:r>
            <w:proofErr w:type="gramEnd"/>
            <w:r w:rsidRPr="001B6E4D">
              <w:rPr>
                <w:rFonts w:hAnsi="標楷體"/>
                <w:sz w:val="24"/>
                <w:szCs w:val="24"/>
              </w:rPr>
              <w:t>年度第4季媒體政策及業務宣導執行情形表，請查照案。</w:t>
            </w:r>
          </w:p>
        </w:tc>
        <w:tc>
          <w:tcPr>
            <w:tcW w:w="1147" w:type="pct"/>
          </w:tcPr>
          <w:p w14:paraId="62311044" w14:textId="376F13B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監察院秘書長 114.04.25 （11-3-9）</w:t>
            </w:r>
          </w:p>
        </w:tc>
        <w:tc>
          <w:tcPr>
            <w:tcW w:w="963" w:type="pct"/>
          </w:tcPr>
          <w:p w14:paraId="0F49E449" w14:textId="00E36F8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0C7875C" w14:textId="5186D78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A622FB7" w14:textId="77777777" w:rsidTr="00530F33">
        <w:tc>
          <w:tcPr>
            <w:tcW w:w="385" w:type="pct"/>
          </w:tcPr>
          <w:p w14:paraId="26ACD2AD" w14:textId="547BF8A3"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48</w:t>
            </w:r>
          </w:p>
        </w:tc>
        <w:tc>
          <w:tcPr>
            <w:tcW w:w="1654" w:type="pct"/>
          </w:tcPr>
          <w:p w14:paraId="4F1B0526" w14:textId="66714CA6" w:rsidR="00411CB4" w:rsidRPr="001B6E4D" w:rsidRDefault="00411CB4" w:rsidP="003D1018">
            <w:pPr>
              <w:pStyle w:val="01"/>
              <w:overflowPunct w:val="0"/>
              <w:rPr>
                <w:rFonts w:hAnsi="標楷體" w:cs="Times New Roman"/>
                <w:sz w:val="24"/>
                <w:szCs w:val="24"/>
              </w:rPr>
            </w:pPr>
            <w:r w:rsidRPr="001B6E4D">
              <w:rPr>
                <w:rFonts w:hAnsi="標楷體"/>
                <w:sz w:val="24"/>
                <w:szCs w:val="24"/>
              </w:rPr>
              <w:t>考試院秘書長函送113年第4季媒體政策及業務宣導執行情形表，請查照案。</w:t>
            </w:r>
          </w:p>
        </w:tc>
        <w:tc>
          <w:tcPr>
            <w:tcW w:w="1147" w:type="pct"/>
          </w:tcPr>
          <w:p w14:paraId="5AA15586" w14:textId="5C423AC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考試院秘書長 114.04.25 （11-3-9）</w:t>
            </w:r>
          </w:p>
        </w:tc>
        <w:tc>
          <w:tcPr>
            <w:tcW w:w="963" w:type="pct"/>
          </w:tcPr>
          <w:p w14:paraId="7A5AE3E5" w14:textId="706F250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BE5CFD1" w14:textId="5CD5F7A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CA67898" w14:textId="77777777" w:rsidTr="00530F33">
        <w:tc>
          <w:tcPr>
            <w:tcW w:w="385" w:type="pct"/>
          </w:tcPr>
          <w:p w14:paraId="73CD2817" w14:textId="6B8B7262"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49</w:t>
            </w:r>
          </w:p>
        </w:tc>
        <w:tc>
          <w:tcPr>
            <w:tcW w:w="1654" w:type="pct"/>
          </w:tcPr>
          <w:p w14:paraId="2087E56E" w14:textId="7D62B90D"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w:t>
            </w:r>
            <w:proofErr w:type="gramStart"/>
            <w:r w:rsidRPr="001B6E4D">
              <w:rPr>
                <w:rFonts w:hAnsi="標楷體"/>
                <w:sz w:val="24"/>
                <w:szCs w:val="24"/>
              </w:rPr>
              <w:t>113</w:t>
            </w:r>
            <w:proofErr w:type="gramEnd"/>
            <w:r w:rsidRPr="001B6E4D">
              <w:rPr>
                <w:rFonts w:hAnsi="標楷體"/>
                <w:sz w:val="24"/>
                <w:szCs w:val="24"/>
              </w:rPr>
              <w:t>年度截至</w:t>
            </w:r>
            <w:proofErr w:type="gramStart"/>
            <w:r w:rsidRPr="001B6E4D">
              <w:rPr>
                <w:rFonts w:hAnsi="標楷體"/>
                <w:sz w:val="24"/>
                <w:szCs w:val="24"/>
              </w:rPr>
              <w:lastRenderedPageBreak/>
              <w:t>第4季止之</w:t>
            </w:r>
            <w:proofErr w:type="gramEnd"/>
            <w:r w:rsidRPr="001B6E4D">
              <w:rPr>
                <w:rFonts w:hAnsi="標楷體"/>
                <w:sz w:val="24"/>
                <w:szCs w:val="24"/>
              </w:rPr>
              <w:t>「公務預算對民間團體及個人補（捐）助經費彙總表」，請查照案。</w:t>
            </w:r>
          </w:p>
        </w:tc>
        <w:tc>
          <w:tcPr>
            <w:tcW w:w="1147" w:type="pct"/>
          </w:tcPr>
          <w:p w14:paraId="1879762B" w14:textId="033265D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 xml:space="preserve">司法院 </w:t>
            </w:r>
            <w:r w:rsidRPr="001B6E4D">
              <w:rPr>
                <w:rFonts w:ascii="標楷體" w:eastAsia="標楷體" w:hAnsi="標楷體"/>
                <w:sz w:val="24"/>
              </w:rPr>
              <w:lastRenderedPageBreak/>
              <w:t>114.04.25 （11-3-9）</w:t>
            </w:r>
          </w:p>
        </w:tc>
        <w:tc>
          <w:tcPr>
            <w:tcW w:w="963" w:type="pct"/>
          </w:tcPr>
          <w:p w14:paraId="06B714DC" w14:textId="15FFF35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司法及法制</w:t>
            </w:r>
          </w:p>
        </w:tc>
        <w:tc>
          <w:tcPr>
            <w:tcW w:w="851" w:type="pct"/>
          </w:tcPr>
          <w:p w14:paraId="38A7E91B" w14:textId="3C813E5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A784CFA" w14:textId="77777777" w:rsidTr="00530F33">
        <w:tc>
          <w:tcPr>
            <w:tcW w:w="385" w:type="pct"/>
          </w:tcPr>
          <w:p w14:paraId="396D1325" w14:textId="17F06D19"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50</w:t>
            </w:r>
          </w:p>
        </w:tc>
        <w:tc>
          <w:tcPr>
            <w:tcW w:w="1654" w:type="pct"/>
          </w:tcPr>
          <w:p w14:paraId="28844790" w14:textId="02D5A124"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司法院函送113年第4季媒體政策及業務宣導執行情形表，請查照案。</w:t>
            </w:r>
          </w:p>
        </w:tc>
        <w:tc>
          <w:tcPr>
            <w:tcW w:w="1147" w:type="pct"/>
          </w:tcPr>
          <w:p w14:paraId="75BA1FF9" w14:textId="2DFD5B5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114.06.13 （11-3-16）</w:t>
            </w:r>
          </w:p>
        </w:tc>
        <w:tc>
          <w:tcPr>
            <w:tcW w:w="963" w:type="pct"/>
          </w:tcPr>
          <w:p w14:paraId="00698A4C" w14:textId="01125BC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BEB3C61" w14:textId="0299D78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F434C9C" w14:textId="77777777" w:rsidTr="00530F33">
        <w:tc>
          <w:tcPr>
            <w:tcW w:w="385" w:type="pct"/>
          </w:tcPr>
          <w:p w14:paraId="342DDEB9" w14:textId="762BB06F"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51</w:t>
            </w:r>
          </w:p>
        </w:tc>
        <w:tc>
          <w:tcPr>
            <w:tcW w:w="1654" w:type="pct"/>
          </w:tcPr>
          <w:p w14:paraId="5EC6391F" w14:textId="31093B01"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法務部函送113年第4季「媒體政策及業務宣導執行情形表」，請查照案。</w:t>
            </w:r>
          </w:p>
        </w:tc>
        <w:tc>
          <w:tcPr>
            <w:tcW w:w="1147" w:type="pct"/>
          </w:tcPr>
          <w:p w14:paraId="758A32E6" w14:textId="2E49415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114.06.13 （11-3-16）</w:t>
            </w:r>
          </w:p>
        </w:tc>
        <w:tc>
          <w:tcPr>
            <w:tcW w:w="963" w:type="pct"/>
          </w:tcPr>
          <w:p w14:paraId="51CF9D30" w14:textId="49F4698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4CE0930" w14:textId="5AEF792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489C79D" w14:textId="77777777" w:rsidTr="00530F33">
        <w:tc>
          <w:tcPr>
            <w:tcW w:w="385" w:type="pct"/>
          </w:tcPr>
          <w:p w14:paraId="23DEABCE" w14:textId="4414494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52</w:t>
            </w:r>
          </w:p>
        </w:tc>
        <w:tc>
          <w:tcPr>
            <w:tcW w:w="1654" w:type="pct"/>
          </w:tcPr>
          <w:p w14:paraId="3071BAFB" w14:textId="530DFE08"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法務部函送113年第4季中央政府預算補助社會團體、人民團體、財團法人及個人之補助經費概況表，請查照案。</w:t>
            </w:r>
          </w:p>
        </w:tc>
        <w:tc>
          <w:tcPr>
            <w:tcW w:w="1147" w:type="pct"/>
          </w:tcPr>
          <w:p w14:paraId="161EEB0E" w14:textId="14B5F6B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114.06.20 （11-3-17）</w:t>
            </w:r>
          </w:p>
        </w:tc>
        <w:tc>
          <w:tcPr>
            <w:tcW w:w="963" w:type="pct"/>
          </w:tcPr>
          <w:p w14:paraId="3B2C3095" w14:textId="1B381A4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9509C52" w14:textId="4C89448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EF3CE84" w14:textId="77777777" w:rsidTr="00530F33">
        <w:tc>
          <w:tcPr>
            <w:tcW w:w="385" w:type="pct"/>
          </w:tcPr>
          <w:p w14:paraId="04BB9300" w14:textId="1AD7B778"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53</w:t>
            </w:r>
          </w:p>
        </w:tc>
        <w:tc>
          <w:tcPr>
            <w:tcW w:w="1654" w:type="pct"/>
          </w:tcPr>
          <w:p w14:paraId="2B032CFC" w14:textId="631B9587" w:rsidR="00411CB4" w:rsidRPr="001B6E4D" w:rsidRDefault="00411CB4" w:rsidP="003D1018">
            <w:pPr>
              <w:pStyle w:val="01"/>
              <w:overflowPunct w:val="0"/>
              <w:rPr>
                <w:rFonts w:hAnsi="標楷體" w:cs="Times New Roman"/>
                <w:sz w:val="24"/>
                <w:szCs w:val="24"/>
              </w:rPr>
            </w:pPr>
            <w:r w:rsidRPr="001B6E4D">
              <w:rPr>
                <w:rFonts w:hAnsi="標楷體" w:hint="eastAsia"/>
                <w:sz w:val="24"/>
                <w:szCs w:val="24"/>
              </w:rPr>
              <w:t>總統府函送114年第1季媒體政策及業務宣導執行情形表，請查照案。</w:t>
            </w:r>
          </w:p>
        </w:tc>
        <w:tc>
          <w:tcPr>
            <w:tcW w:w="1147" w:type="pct"/>
          </w:tcPr>
          <w:p w14:paraId="33E18C0D" w14:textId="3894881C"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總統府 114.06.27 （11-3-18）</w:t>
            </w:r>
          </w:p>
        </w:tc>
        <w:tc>
          <w:tcPr>
            <w:tcW w:w="963" w:type="pct"/>
          </w:tcPr>
          <w:p w14:paraId="6EC693A7" w14:textId="03D9D69B"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司法及法制、教育及文化</w:t>
            </w:r>
          </w:p>
        </w:tc>
        <w:tc>
          <w:tcPr>
            <w:tcW w:w="851" w:type="pct"/>
          </w:tcPr>
          <w:p w14:paraId="531B7211" w14:textId="4C7351F6"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尚未審查</w:t>
            </w:r>
          </w:p>
        </w:tc>
      </w:tr>
      <w:tr w:rsidR="00411CB4" w:rsidRPr="001B6E4D" w14:paraId="2F1A958C" w14:textId="77777777" w:rsidTr="00530F33">
        <w:tc>
          <w:tcPr>
            <w:tcW w:w="385" w:type="pct"/>
          </w:tcPr>
          <w:p w14:paraId="4A467DB6" w14:textId="784398CA"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54</w:t>
            </w:r>
          </w:p>
        </w:tc>
        <w:tc>
          <w:tcPr>
            <w:tcW w:w="1654" w:type="pct"/>
          </w:tcPr>
          <w:p w14:paraId="0D518E34" w14:textId="222A37D4" w:rsidR="00411CB4" w:rsidRPr="001B6E4D" w:rsidRDefault="00411CB4" w:rsidP="003D1018">
            <w:pPr>
              <w:pStyle w:val="01"/>
              <w:overflowPunct w:val="0"/>
              <w:rPr>
                <w:rFonts w:hAnsi="標楷體" w:cs="Times New Roman"/>
                <w:sz w:val="24"/>
                <w:szCs w:val="24"/>
              </w:rPr>
            </w:pPr>
            <w:r w:rsidRPr="001B6E4D">
              <w:rPr>
                <w:rFonts w:hAnsi="標楷體" w:hint="eastAsia"/>
                <w:sz w:val="24"/>
                <w:szCs w:val="24"/>
              </w:rPr>
              <w:t>考試院秘書長函送114年第1季媒體政策及業務宣導執行情形表，請查照案。</w:t>
            </w:r>
          </w:p>
        </w:tc>
        <w:tc>
          <w:tcPr>
            <w:tcW w:w="1147" w:type="pct"/>
          </w:tcPr>
          <w:p w14:paraId="0CC927A0" w14:textId="1CAC055E"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考試院秘書長 114.06.27 （11-3-18）</w:t>
            </w:r>
          </w:p>
        </w:tc>
        <w:tc>
          <w:tcPr>
            <w:tcW w:w="963" w:type="pct"/>
          </w:tcPr>
          <w:p w14:paraId="1C01EA96" w14:textId="2E36FE1D"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司法及法制</w:t>
            </w:r>
          </w:p>
        </w:tc>
        <w:tc>
          <w:tcPr>
            <w:tcW w:w="851" w:type="pct"/>
          </w:tcPr>
          <w:p w14:paraId="10913E95" w14:textId="60940267"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尚未審查</w:t>
            </w:r>
          </w:p>
        </w:tc>
      </w:tr>
      <w:tr w:rsidR="00411CB4" w:rsidRPr="001B6E4D" w14:paraId="64975CC1" w14:textId="77777777" w:rsidTr="00530F33">
        <w:tc>
          <w:tcPr>
            <w:tcW w:w="385" w:type="pct"/>
          </w:tcPr>
          <w:p w14:paraId="29E7F746" w14:textId="3FB4A335"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55</w:t>
            </w:r>
          </w:p>
        </w:tc>
        <w:tc>
          <w:tcPr>
            <w:tcW w:w="1654" w:type="pct"/>
          </w:tcPr>
          <w:p w14:paraId="430602FC" w14:textId="06C2BAB2" w:rsidR="00411CB4" w:rsidRPr="001B6E4D" w:rsidRDefault="00411CB4" w:rsidP="003D1018">
            <w:pPr>
              <w:pStyle w:val="01"/>
              <w:overflowPunct w:val="0"/>
              <w:rPr>
                <w:rFonts w:hAnsi="標楷體" w:cs="Times New Roman"/>
                <w:sz w:val="24"/>
                <w:szCs w:val="24"/>
              </w:rPr>
            </w:pPr>
            <w:r w:rsidRPr="001B6E4D">
              <w:rPr>
                <w:rFonts w:hAnsi="標楷體" w:hint="eastAsia"/>
                <w:sz w:val="24"/>
                <w:szCs w:val="24"/>
              </w:rPr>
              <w:t>監察院秘書長函送</w:t>
            </w:r>
            <w:proofErr w:type="gramStart"/>
            <w:r w:rsidRPr="001B6E4D">
              <w:rPr>
                <w:rFonts w:hAnsi="標楷體" w:hint="eastAsia"/>
                <w:sz w:val="24"/>
                <w:szCs w:val="24"/>
              </w:rPr>
              <w:t>114</w:t>
            </w:r>
            <w:proofErr w:type="gramEnd"/>
            <w:r w:rsidRPr="001B6E4D">
              <w:rPr>
                <w:rFonts w:hAnsi="標楷體" w:hint="eastAsia"/>
                <w:sz w:val="24"/>
                <w:szCs w:val="24"/>
              </w:rPr>
              <w:t>年度第1季媒體政策及業務宣導執行情形表，請查照案。</w:t>
            </w:r>
          </w:p>
        </w:tc>
        <w:tc>
          <w:tcPr>
            <w:tcW w:w="1147" w:type="pct"/>
          </w:tcPr>
          <w:p w14:paraId="58AD4D1F" w14:textId="28718547"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監察院秘書長 114.06.27 （11-3-18）</w:t>
            </w:r>
          </w:p>
        </w:tc>
        <w:tc>
          <w:tcPr>
            <w:tcW w:w="963" w:type="pct"/>
          </w:tcPr>
          <w:p w14:paraId="0B74745C" w14:textId="391DFF14"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司法及法制</w:t>
            </w:r>
          </w:p>
        </w:tc>
        <w:tc>
          <w:tcPr>
            <w:tcW w:w="851" w:type="pct"/>
          </w:tcPr>
          <w:p w14:paraId="0DA09596" w14:textId="0757BAD0"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尚未審查</w:t>
            </w:r>
          </w:p>
        </w:tc>
      </w:tr>
      <w:tr w:rsidR="00411CB4" w:rsidRPr="001B6E4D" w14:paraId="0C855B0A" w14:textId="77777777" w:rsidTr="00530F33">
        <w:tc>
          <w:tcPr>
            <w:tcW w:w="385" w:type="pct"/>
          </w:tcPr>
          <w:p w14:paraId="1DCE39F9" w14:textId="4D7EC4F5"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56</w:t>
            </w:r>
          </w:p>
        </w:tc>
        <w:tc>
          <w:tcPr>
            <w:tcW w:w="1654" w:type="pct"/>
          </w:tcPr>
          <w:p w14:paraId="0B92C17A" w14:textId="0268A88B" w:rsidR="00411CB4" w:rsidRPr="001B6E4D" w:rsidRDefault="00411CB4" w:rsidP="003D1018">
            <w:pPr>
              <w:pStyle w:val="01"/>
              <w:overflowPunct w:val="0"/>
              <w:rPr>
                <w:rFonts w:hAnsi="標楷體" w:cs="Times New Roman"/>
                <w:sz w:val="24"/>
                <w:szCs w:val="24"/>
              </w:rPr>
            </w:pPr>
            <w:r w:rsidRPr="001B6E4D">
              <w:rPr>
                <w:rFonts w:hAnsi="標楷體" w:hint="eastAsia"/>
                <w:sz w:val="24"/>
                <w:szCs w:val="24"/>
              </w:rPr>
              <w:t>司法院函送114年第1季媒體政策及業務宣導執行情形表，請查照案。</w:t>
            </w:r>
          </w:p>
        </w:tc>
        <w:tc>
          <w:tcPr>
            <w:tcW w:w="1147" w:type="pct"/>
          </w:tcPr>
          <w:p w14:paraId="18152BC1" w14:textId="6E8D2CED"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司法院 114.06.27 （11-3-18）</w:t>
            </w:r>
          </w:p>
        </w:tc>
        <w:tc>
          <w:tcPr>
            <w:tcW w:w="963" w:type="pct"/>
          </w:tcPr>
          <w:p w14:paraId="7F3C5B0F" w14:textId="05EC0A98"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司法及法制</w:t>
            </w:r>
          </w:p>
        </w:tc>
        <w:tc>
          <w:tcPr>
            <w:tcW w:w="851" w:type="pct"/>
          </w:tcPr>
          <w:p w14:paraId="497E4762" w14:textId="1A05140A"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尚未審查</w:t>
            </w:r>
          </w:p>
        </w:tc>
      </w:tr>
      <w:tr w:rsidR="00411CB4" w:rsidRPr="001B6E4D" w14:paraId="76977513" w14:textId="77777777" w:rsidTr="00530F33">
        <w:tc>
          <w:tcPr>
            <w:tcW w:w="385" w:type="pct"/>
          </w:tcPr>
          <w:p w14:paraId="73023957" w14:textId="24CE5BDF"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57</w:t>
            </w:r>
          </w:p>
        </w:tc>
        <w:tc>
          <w:tcPr>
            <w:tcW w:w="1654" w:type="pct"/>
          </w:tcPr>
          <w:p w14:paraId="375EACFA" w14:textId="7A82A3CF" w:rsidR="00411CB4" w:rsidRPr="001B6E4D" w:rsidRDefault="00411CB4" w:rsidP="003D1018">
            <w:pPr>
              <w:pStyle w:val="01"/>
              <w:overflowPunct w:val="0"/>
              <w:rPr>
                <w:rFonts w:hAnsi="標楷體" w:cs="Times New Roman"/>
                <w:sz w:val="24"/>
                <w:szCs w:val="24"/>
              </w:rPr>
            </w:pPr>
            <w:r w:rsidRPr="001B6E4D">
              <w:rPr>
                <w:rFonts w:hAnsi="標楷體" w:hint="eastAsia"/>
                <w:sz w:val="24"/>
                <w:szCs w:val="24"/>
              </w:rPr>
              <w:t>法務部函送114年第1季「媒體政策及業務宣導執行情形表」，請查照案。</w:t>
            </w:r>
          </w:p>
        </w:tc>
        <w:tc>
          <w:tcPr>
            <w:tcW w:w="1147" w:type="pct"/>
          </w:tcPr>
          <w:p w14:paraId="461EBBBA" w14:textId="4000CCED"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法務部 114.06.27 （11-3-18）</w:t>
            </w:r>
          </w:p>
        </w:tc>
        <w:tc>
          <w:tcPr>
            <w:tcW w:w="963" w:type="pct"/>
          </w:tcPr>
          <w:p w14:paraId="24149E4C" w14:textId="32E6FF2E"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司法及法制</w:t>
            </w:r>
          </w:p>
        </w:tc>
        <w:tc>
          <w:tcPr>
            <w:tcW w:w="851" w:type="pct"/>
          </w:tcPr>
          <w:p w14:paraId="46098746" w14:textId="21C73409"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尚未審查</w:t>
            </w:r>
          </w:p>
        </w:tc>
      </w:tr>
      <w:tr w:rsidR="00411CB4" w:rsidRPr="001B6E4D" w14:paraId="7E45EF1E" w14:textId="77777777" w:rsidTr="00530F33">
        <w:tc>
          <w:tcPr>
            <w:tcW w:w="385" w:type="pct"/>
          </w:tcPr>
          <w:p w14:paraId="2B734247" w14:textId="6A4A44DD"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58</w:t>
            </w:r>
          </w:p>
        </w:tc>
        <w:tc>
          <w:tcPr>
            <w:tcW w:w="1654" w:type="pct"/>
          </w:tcPr>
          <w:p w14:paraId="7FC278AD" w14:textId="555F7388"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w:t>
            </w:r>
            <w:proofErr w:type="gramStart"/>
            <w:r w:rsidRPr="001B6E4D">
              <w:rPr>
                <w:rFonts w:hAnsi="標楷體"/>
                <w:sz w:val="24"/>
                <w:szCs w:val="24"/>
              </w:rPr>
              <w:t>114</w:t>
            </w:r>
            <w:proofErr w:type="gramEnd"/>
            <w:r w:rsidRPr="001B6E4D">
              <w:rPr>
                <w:rFonts w:hAnsi="標楷體"/>
                <w:sz w:val="24"/>
                <w:szCs w:val="24"/>
              </w:rPr>
              <w:t>年度截至</w:t>
            </w:r>
            <w:proofErr w:type="gramStart"/>
            <w:r w:rsidRPr="001B6E4D">
              <w:rPr>
                <w:rFonts w:hAnsi="標楷體"/>
                <w:sz w:val="24"/>
                <w:szCs w:val="24"/>
              </w:rPr>
              <w:t>第1季止之</w:t>
            </w:r>
            <w:proofErr w:type="gramEnd"/>
            <w:r w:rsidRPr="001B6E4D">
              <w:rPr>
                <w:rFonts w:hAnsi="標楷體"/>
                <w:sz w:val="24"/>
                <w:szCs w:val="24"/>
              </w:rPr>
              <w:t>「公務預算對民間團體及個人補（捐）助經費彙總表」，請查照案。</w:t>
            </w:r>
          </w:p>
        </w:tc>
        <w:tc>
          <w:tcPr>
            <w:tcW w:w="1147" w:type="pct"/>
          </w:tcPr>
          <w:p w14:paraId="629C91B6" w14:textId="3555136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114.07.18 （11-3-21）</w:t>
            </w:r>
          </w:p>
        </w:tc>
        <w:tc>
          <w:tcPr>
            <w:tcW w:w="963" w:type="pct"/>
          </w:tcPr>
          <w:p w14:paraId="2B8EDF8A" w14:textId="30071F5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322849B" w14:textId="383D699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5F4005E" w14:textId="77777777" w:rsidTr="00530F33">
        <w:tc>
          <w:tcPr>
            <w:tcW w:w="385" w:type="pct"/>
          </w:tcPr>
          <w:p w14:paraId="5BF356AC" w14:textId="7DFA9B1E"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59</w:t>
            </w:r>
          </w:p>
        </w:tc>
        <w:tc>
          <w:tcPr>
            <w:tcW w:w="1654" w:type="pct"/>
          </w:tcPr>
          <w:p w14:paraId="2150D93B" w14:textId="1BD1D4B2"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法務部函送114年第1季</w:t>
            </w:r>
            <w:r w:rsidRPr="001B6E4D">
              <w:rPr>
                <w:rFonts w:hAnsi="標楷體"/>
                <w:sz w:val="24"/>
                <w:szCs w:val="24"/>
              </w:rPr>
              <w:lastRenderedPageBreak/>
              <w:t>中央政府預算補助社會團體、人民團體、財團法人及個人之補助經費概況表，請查照案。</w:t>
            </w:r>
          </w:p>
        </w:tc>
        <w:tc>
          <w:tcPr>
            <w:tcW w:w="1147" w:type="pct"/>
          </w:tcPr>
          <w:p w14:paraId="35AA709F" w14:textId="4030D03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 xml:space="preserve">法務部 </w:t>
            </w:r>
            <w:r w:rsidRPr="001B6E4D">
              <w:rPr>
                <w:rFonts w:ascii="標楷體" w:eastAsia="標楷體" w:hAnsi="標楷體"/>
                <w:sz w:val="24"/>
              </w:rPr>
              <w:lastRenderedPageBreak/>
              <w:t>114.07.18 （11-3-21）</w:t>
            </w:r>
          </w:p>
        </w:tc>
        <w:tc>
          <w:tcPr>
            <w:tcW w:w="963" w:type="pct"/>
          </w:tcPr>
          <w:p w14:paraId="66AF427A" w14:textId="557089D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司法及法制</w:t>
            </w:r>
          </w:p>
        </w:tc>
        <w:tc>
          <w:tcPr>
            <w:tcW w:w="851" w:type="pct"/>
          </w:tcPr>
          <w:p w14:paraId="6C961D6E" w14:textId="3983AE2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7EE1E271" w14:textId="77777777" w:rsidTr="00530F33">
        <w:tc>
          <w:tcPr>
            <w:tcW w:w="385" w:type="pct"/>
          </w:tcPr>
          <w:p w14:paraId="0CBEF649" w14:textId="6A39F998"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60</w:t>
            </w:r>
          </w:p>
        </w:tc>
        <w:tc>
          <w:tcPr>
            <w:tcW w:w="1654" w:type="pct"/>
          </w:tcPr>
          <w:p w14:paraId="14FB03B9" w14:textId="3E4857B7"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114</w:t>
            </w:r>
            <w:proofErr w:type="gramEnd"/>
            <w:r w:rsidRPr="001B6E4D">
              <w:rPr>
                <w:rFonts w:hAnsi="標楷體"/>
                <w:sz w:val="24"/>
                <w:szCs w:val="24"/>
              </w:rPr>
              <w:t>年度中央政府總預算決議，檢送第12款第1項決議（六）書面報告，請查照案。</w:t>
            </w:r>
          </w:p>
        </w:tc>
        <w:tc>
          <w:tcPr>
            <w:tcW w:w="1147" w:type="pct"/>
          </w:tcPr>
          <w:p w14:paraId="7CCA8255" w14:textId="2888169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114.08.01 （11-3-23）</w:t>
            </w:r>
          </w:p>
        </w:tc>
        <w:tc>
          <w:tcPr>
            <w:tcW w:w="963" w:type="pct"/>
          </w:tcPr>
          <w:p w14:paraId="7FF6E492" w14:textId="761A92D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3DABB23F" w14:textId="5FFF30F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0D79776" w14:textId="77777777" w:rsidTr="00530F33">
        <w:tc>
          <w:tcPr>
            <w:tcW w:w="385" w:type="pct"/>
          </w:tcPr>
          <w:p w14:paraId="3AB8F4CC" w14:textId="264320B8"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61</w:t>
            </w:r>
          </w:p>
        </w:tc>
        <w:tc>
          <w:tcPr>
            <w:tcW w:w="1654" w:type="pct"/>
          </w:tcPr>
          <w:p w14:paraId="649417BD" w14:textId="6FBFC370"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114</w:t>
            </w:r>
            <w:proofErr w:type="gramEnd"/>
            <w:r w:rsidRPr="001B6E4D">
              <w:rPr>
                <w:rFonts w:hAnsi="標楷體"/>
                <w:sz w:val="24"/>
                <w:szCs w:val="24"/>
              </w:rPr>
              <w:t>年度中央政府總預算決議，檢送第12款第1項決議（八）書面報告，請查照案。</w:t>
            </w:r>
          </w:p>
        </w:tc>
        <w:tc>
          <w:tcPr>
            <w:tcW w:w="1147" w:type="pct"/>
          </w:tcPr>
          <w:p w14:paraId="205FA180" w14:textId="2ACDE6E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114.08.01 （11-3-23）</w:t>
            </w:r>
          </w:p>
        </w:tc>
        <w:tc>
          <w:tcPr>
            <w:tcW w:w="963" w:type="pct"/>
          </w:tcPr>
          <w:p w14:paraId="0FC37E4D" w14:textId="2D4AA74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9D0F86F" w14:textId="5AC9CEE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2A5A74B" w14:textId="77777777" w:rsidTr="00530F33">
        <w:tc>
          <w:tcPr>
            <w:tcW w:w="385" w:type="pct"/>
          </w:tcPr>
          <w:p w14:paraId="29DA5B3E" w14:textId="71F90EA3"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62</w:t>
            </w:r>
          </w:p>
        </w:tc>
        <w:tc>
          <w:tcPr>
            <w:tcW w:w="1654" w:type="pct"/>
          </w:tcPr>
          <w:p w14:paraId="38EB170A" w14:textId="52D6DC47"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114</w:t>
            </w:r>
            <w:proofErr w:type="gramEnd"/>
            <w:r w:rsidRPr="001B6E4D">
              <w:rPr>
                <w:rFonts w:hAnsi="標楷體"/>
                <w:sz w:val="24"/>
                <w:szCs w:val="24"/>
              </w:rPr>
              <w:t>年度中央政府總預算決議，檢送第12款第1項決議（九）書面報告，請查照案。</w:t>
            </w:r>
          </w:p>
        </w:tc>
        <w:tc>
          <w:tcPr>
            <w:tcW w:w="1147" w:type="pct"/>
          </w:tcPr>
          <w:p w14:paraId="2DDFB958" w14:textId="3DD043B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114.08.01 （11-3-23）</w:t>
            </w:r>
          </w:p>
        </w:tc>
        <w:tc>
          <w:tcPr>
            <w:tcW w:w="963" w:type="pct"/>
          </w:tcPr>
          <w:p w14:paraId="7AD62F38" w14:textId="51EDD20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5DE77C6" w14:textId="1B092C7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56CB6F9" w14:textId="77777777" w:rsidTr="00530F33">
        <w:tc>
          <w:tcPr>
            <w:tcW w:w="385" w:type="pct"/>
          </w:tcPr>
          <w:p w14:paraId="680FC335" w14:textId="61726962"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63</w:t>
            </w:r>
          </w:p>
        </w:tc>
        <w:tc>
          <w:tcPr>
            <w:tcW w:w="1654" w:type="pct"/>
          </w:tcPr>
          <w:p w14:paraId="3FC0B5B9" w14:textId="6062C1F5"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114</w:t>
            </w:r>
            <w:proofErr w:type="gramEnd"/>
            <w:r w:rsidRPr="001B6E4D">
              <w:rPr>
                <w:rFonts w:hAnsi="標楷體"/>
                <w:sz w:val="24"/>
                <w:szCs w:val="24"/>
              </w:rPr>
              <w:t>年度中央政府總預算決議，檢送第12款第1項決議（十三）書面報告，請查照案。</w:t>
            </w:r>
          </w:p>
        </w:tc>
        <w:tc>
          <w:tcPr>
            <w:tcW w:w="1147" w:type="pct"/>
          </w:tcPr>
          <w:p w14:paraId="5F086281" w14:textId="6D867E4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114.08.01 （11-3-23）</w:t>
            </w:r>
          </w:p>
        </w:tc>
        <w:tc>
          <w:tcPr>
            <w:tcW w:w="963" w:type="pct"/>
          </w:tcPr>
          <w:p w14:paraId="5FB7E912" w14:textId="3AA6B1E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D753B32" w14:textId="56B6E40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14FA64A" w14:textId="77777777" w:rsidTr="00530F33">
        <w:tc>
          <w:tcPr>
            <w:tcW w:w="385" w:type="pct"/>
          </w:tcPr>
          <w:p w14:paraId="36B41EB6" w14:textId="166CAD0A"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64</w:t>
            </w:r>
          </w:p>
        </w:tc>
        <w:tc>
          <w:tcPr>
            <w:tcW w:w="1654" w:type="pct"/>
          </w:tcPr>
          <w:p w14:paraId="370B050F" w14:textId="73824F3B"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114</w:t>
            </w:r>
            <w:proofErr w:type="gramEnd"/>
            <w:r w:rsidRPr="001B6E4D">
              <w:rPr>
                <w:rFonts w:hAnsi="標楷體"/>
                <w:sz w:val="24"/>
                <w:szCs w:val="24"/>
              </w:rPr>
              <w:t>年度中央政府總預算決議，檢送第12款第1項決議（十四）書面報告，請查照案。</w:t>
            </w:r>
          </w:p>
        </w:tc>
        <w:tc>
          <w:tcPr>
            <w:tcW w:w="1147" w:type="pct"/>
          </w:tcPr>
          <w:p w14:paraId="3CCDDB3A" w14:textId="0551102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114.08.01 （11-3-23）</w:t>
            </w:r>
          </w:p>
        </w:tc>
        <w:tc>
          <w:tcPr>
            <w:tcW w:w="963" w:type="pct"/>
          </w:tcPr>
          <w:p w14:paraId="4060248D" w14:textId="434274D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4366FEF4" w14:textId="18291C9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CE2FF32" w14:textId="77777777" w:rsidTr="00530F33">
        <w:tc>
          <w:tcPr>
            <w:tcW w:w="385" w:type="pct"/>
          </w:tcPr>
          <w:p w14:paraId="47AB41F2" w14:textId="73615214"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hint="eastAsia"/>
                <w:sz w:val="24"/>
              </w:rPr>
              <w:t>65</w:t>
            </w:r>
          </w:p>
        </w:tc>
        <w:tc>
          <w:tcPr>
            <w:tcW w:w="1654" w:type="pct"/>
          </w:tcPr>
          <w:p w14:paraId="100DAB52" w14:textId="6FCA062E"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114</w:t>
            </w:r>
            <w:proofErr w:type="gramEnd"/>
            <w:r w:rsidRPr="001B6E4D">
              <w:rPr>
                <w:rFonts w:hAnsi="標楷體"/>
                <w:sz w:val="24"/>
                <w:szCs w:val="24"/>
              </w:rPr>
              <w:t>年度中央政府總預算決議，檢送第12款第1項決議（十七）書面報告，請查照案。</w:t>
            </w:r>
          </w:p>
        </w:tc>
        <w:tc>
          <w:tcPr>
            <w:tcW w:w="1147" w:type="pct"/>
          </w:tcPr>
          <w:p w14:paraId="77722A6C" w14:textId="4BBBA7D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114.08.01 （11-3-23）</w:t>
            </w:r>
          </w:p>
        </w:tc>
        <w:tc>
          <w:tcPr>
            <w:tcW w:w="963" w:type="pct"/>
          </w:tcPr>
          <w:p w14:paraId="71D275EE" w14:textId="4538BBC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32031FAD" w14:textId="7F5AF55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2413504" w14:textId="77777777" w:rsidTr="00530F33">
        <w:tc>
          <w:tcPr>
            <w:tcW w:w="385" w:type="pct"/>
          </w:tcPr>
          <w:p w14:paraId="6B6508B6" w14:textId="2108AC1D"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66</w:t>
            </w:r>
          </w:p>
        </w:tc>
        <w:tc>
          <w:tcPr>
            <w:tcW w:w="1654" w:type="pct"/>
          </w:tcPr>
          <w:p w14:paraId="1E0C2F5F" w14:textId="25866D99"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114</w:t>
            </w:r>
            <w:proofErr w:type="gramEnd"/>
            <w:r w:rsidRPr="001B6E4D">
              <w:rPr>
                <w:rFonts w:hAnsi="標楷體"/>
                <w:sz w:val="24"/>
                <w:szCs w:val="24"/>
              </w:rPr>
              <w:t>年度中央政府總預算決議，檢送第12款第1項決議（十八）書面報告，請查照案。</w:t>
            </w:r>
          </w:p>
        </w:tc>
        <w:tc>
          <w:tcPr>
            <w:tcW w:w="1147" w:type="pct"/>
          </w:tcPr>
          <w:p w14:paraId="54820FB9" w14:textId="497DBC8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114.08.01 （11-3-23）</w:t>
            </w:r>
          </w:p>
        </w:tc>
        <w:tc>
          <w:tcPr>
            <w:tcW w:w="963" w:type="pct"/>
          </w:tcPr>
          <w:p w14:paraId="1CA21F99" w14:textId="27DE103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12A2FFEF" w14:textId="5EE3ECF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53E14CC" w14:textId="77777777" w:rsidTr="00530F33">
        <w:tc>
          <w:tcPr>
            <w:tcW w:w="385" w:type="pct"/>
          </w:tcPr>
          <w:p w14:paraId="6A9B8EFA" w14:textId="62FE54EA"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67</w:t>
            </w:r>
          </w:p>
        </w:tc>
        <w:tc>
          <w:tcPr>
            <w:tcW w:w="1654" w:type="pct"/>
          </w:tcPr>
          <w:p w14:paraId="6CC8F352" w14:textId="46D39527"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w:t>
            </w:r>
            <w:proofErr w:type="gramStart"/>
            <w:r w:rsidRPr="001B6E4D">
              <w:rPr>
                <w:rFonts w:hAnsi="標楷體"/>
                <w:sz w:val="24"/>
                <w:szCs w:val="24"/>
              </w:rPr>
              <w:t>114</w:t>
            </w:r>
            <w:proofErr w:type="gramEnd"/>
            <w:r w:rsidRPr="001B6E4D">
              <w:rPr>
                <w:rFonts w:hAnsi="標楷體"/>
                <w:sz w:val="24"/>
                <w:szCs w:val="24"/>
              </w:rPr>
              <w:t>年度截至</w:t>
            </w:r>
            <w:proofErr w:type="gramStart"/>
            <w:r w:rsidRPr="001B6E4D">
              <w:rPr>
                <w:rFonts w:hAnsi="標楷體"/>
                <w:sz w:val="24"/>
                <w:szCs w:val="24"/>
              </w:rPr>
              <w:t>第2季止之</w:t>
            </w:r>
            <w:proofErr w:type="gramEnd"/>
            <w:r w:rsidRPr="001B6E4D">
              <w:rPr>
                <w:rFonts w:hAnsi="標楷體"/>
                <w:sz w:val="24"/>
                <w:szCs w:val="24"/>
              </w:rPr>
              <w:t>「公務預算對</w:t>
            </w:r>
            <w:r w:rsidRPr="001B6E4D">
              <w:rPr>
                <w:rFonts w:hAnsi="標楷體"/>
                <w:sz w:val="24"/>
                <w:szCs w:val="24"/>
              </w:rPr>
              <w:lastRenderedPageBreak/>
              <w:t>民間團體及個人補（捐）助經費彙總表」，請查照案。</w:t>
            </w:r>
          </w:p>
        </w:tc>
        <w:tc>
          <w:tcPr>
            <w:tcW w:w="1147" w:type="pct"/>
          </w:tcPr>
          <w:p w14:paraId="742B7D35" w14:textId="337604A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 xml:space="preserve">司法院 114.08.08 </w:t>
            </w:r>
            <w:r w:rsidRPr="001B6E4D">
              <w:rPr>
                <w:rFonts w:ascii="標楷體" w:eastAsia="標楷體" w:hAnsi="標楷體"/>
                <w:sz w:val="24"/>
              </w:rPr>
              <w:lastRenderedPageBreak/>
              <w:t>（11-3-24）</w:t>
            </w:r>
          </w:p>
        </w:tc>
        <w:tc>
          <w:tcPr>
            <w:tcW w:w="963" w:type="pct"/>
          </w:tcPr>
          <w:p w14:paraId="436F542A" w14:textId="6FBBCBD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司法及法制</w:t>
            </w:r>
          </w:p>
        </w:tc>
        <w:tc>
          <w:tcPr>
            <w:tcW w:w="851" w:type="pct"/>
          </w:tcPr>
          <w:p w14:paraId="20FC971E" w14:textId="16DF575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5A6A5EA" w14:textId="77777777" w:rsidTr="00530F33">
        <w:tc>
          <w:tcPr>
            <w:tcW w:w="385" w:type="pct"/>
          </w:tcPr>
          <w:p w14:paraId="09B080BF" w14:textId="38D49200"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68</w:t>
            </w:r>
          </w:p>
        </w:tc>
        <w:tc>
          <w:tcPr>
            <w:tcW w:w="1654" w:type="pct"/>
          </w:tcPr>
          <w:p w14:paraId="5347E06C" w14:textId="52852EDF" w:rsidR="00411CB4" w:rsidRPr="001B6E4D" w:rsidRDefault="00411CB4" w:rsidP="003D1018">
            <w:pPr>
              <w:pStyle w:val="01"/>
              <w:overflowPunct w:val="0"/>
              <w:rPr>
                <w:rFonts w:hAnsi="標楷體" w:cs="Times New Roman"/>
                <w:sz w:val="24"/>
                <w:szCs w:val="24"/>
              </w:rPr>
            </w:pPr>
            <w:r w:rsidRPr="001B6E4D">
              <w:rPr>
                <w:rFonts w:hAnsi="標楷體"/>
                <w:sz w:val="24"/>
                <w:szCs w:val="24"/>
              </w:rPr>
              <w:t>監察院秘書長函送</w:t>
            </w:r>
            <w:proofErr w:type="gramStart"/>
            <w:r w:rsidRPr="001B6E4D">
              <w:rPr>
                <w:rFonts w:hAnsi="標楷體"/>
                <w:sz w:val="24"/>
                <w:szCs w:val="24"/>
              </w:rPr>
              <w:t>114</w:t>
            </w:r>
            <w:proofErr w:type="gramEnd"/>
            <w:r w:rsidRPr="001B6E4D">
              <w:rPr>
                <w:rFonts w:hAnsi="標楷體"/>
                <w:sz w:val="24"/>
                <w:szCs w:val="24"/>
              </w:rPr>
              <w:t>年度第2季媒體政策及業務宣導執行情形表，請查照案。</w:t>
            </w:r>
          </w:p>
        </w:tc>
        <w:tc>
          <w:tcPr>
            <w:tcW w:w="1147" w:type="pct"/>
          </w:tcPr>
          <w:p w14:paraId="0779828E" w14:textId="4C9D80B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監察院秘書長 114.08.08 （11-3-24）</w:t>
            </w:r>
          </w:p>
        </w:tc>
        <w:tc>
          <w:tcPr>
            <w:tcW w:w="963" w:type="pct"/>
          </w:tcPr>
          <w:p w14:paraId="5B92239A" w14:textId="49354A3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106CB69F" w14:textId="48EA966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7C67C98" w14:textId="77777777" w:rsidTr="00530F33">
        <w:tc>
          <w:tcPr>
            <w:tcW w:w="385" w:type="pct"/>
          </w:tcPr>
          <w:p w14:paraId="5537C5AB" w14:textId="22692CD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69</w:t>
            </w:r>
          </w:p>
        </w:tc>
        <w:tc>
          <w:tcPr>
            <w:tcW w:w="1654" w:type="pct"/>
          </w:tcPr>
          <w:p w14:paraId="57A70BC9" w14:textId="244366D8" w:rsidR="00411CB4" w:rsidRPr="001B6E4D" w:rsidRDefault="00411CB4" w:rsidP="003D1018">
            <w:pPr>
              <w:pStyle w:val="01"/>
              <w:overflowPunct w:val="0"/>
              <w:rPr>
                <w:rFonts w:hAnsi="標楷體" w:cs="Times New Roman"/>
                <w:sz w:val="24"/>
                <w:szCs w:val="24"/>
              </w:rPr>
            </w:pPr>
            <w:r w:rsidRPr="001B6E4D">
              <w:rPr>
                <w:rFonts w:hAnsi="標楷體"/>
                <w:sz w:val="24"/>
                <w:szCs w:val="24"/>
              </w:rPr>
              <w:t>考試院秘書長函送114年第2季媒體政策及業務宣導執行情形表，請查照案。</w:t>
            </w:r>
          </w:p>
        </w:tc>
        <w:tc>
          <w:tcPr>
            <w:tcW w:w="1147" w:type="pct"/>
          </w:tcPr>
          <w:p w14:paraId="3E7BEF9E" w14:textId="046E492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考試院秘書長 114.08.08 （11-3-24）</w:t>
            </w:r>
          </w:p>
        </w:tc>
        <w:tc>
          <w:tcPr>
            <w:tcW w:w="963" w:type="pct"/>
          </w:tcPr>
          <w:p w14:paraId="33A452D2" w14:textId="6A00E5B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420A14A3" w14:textId="59CE2AB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91988B1" w14:textId="77777777" w:rsidTr="00530F33">
        <w:tc>
          <w:tcPr>
            <w:tcW w:w="385" w:type="pct"/>
          </w:tcPr>
          <w:p w14:paraId="34A6A2B8" w14:textId="76186109"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70</w:t>
            </w:r>
          </w:p>
        </w:tc>
        <w:tc>
          <w:tcPr>
            <w:tcW w:w="1654" w:type="pct"/>
          </w:tcPr>
          <w:p w14:paraId="77BD3BF7" w14:textId="243EC078" w:rsidR="00411CB4" w:rsidRPr="001B6E4D" w:rsidRDefault="00411CB4" w:rsidP="003D1018">
            <w:pPr>
              <w:pStyle w:val="01"/>
              <w:overflowPunct w:val="0"/>
              <w:rPr>
                <w:rFonts w:hAnsi="標楷體" w:cs="Times New Roman"/>
                <w:sz w:val="24"/>
                <w:szCs w:val="24"/>
              </w:rPr>
            </w:pPr>
            <w:r w:rsidRPr="001B6E4D">
              <w:rPr>
                <w:rFonts w:hAnsi="標楷體"/>
                <w:sz w:val="24"/>
                <w:szCs w:val="24"/>
              </w:rPr>
              <w:t>總統府函送114年第2季媒體政策及業務宣導執行情形表，請查照案。</w:t>
            </w:r>
          </w:p>
        </w:tc>
        <w:tc>
          <w:tcPr>
            <w:tcW w:w="1147" w:type="pct"/>
          </w:tcPr>
          <w:p w14:paraId="31B26BBE" w14:textId="0CF46E8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總統府 114.08.08 （11-3-24）</w:t>
            </w:r>
          </w:p>
        </w:tc>
        <w:tc>
          <w:tcPr>
            <w:tcW w:w="963" w:type="pct"/>
          </w:tcPr>
          <w:p w14:paraId="24DC18FD" w14:textId="2DD6748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司法及法制、教育及文化</w:t>
            </w:r>
          </w:p>
        </w:tc>
        <w:tc>
          <w:tcPr>
            <w:tcW w:w="851" w:type="pct"/>
          </w:tcPr>
          <w:p w14:paraId="2AB767E5" w14:textId="4A75836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6F39388" w14:textId="77777777" w:rsidTr="00530F33">
        <w:tc>
          <w:tcPr>
            <w:tcW w:w="385" w:type="pct"/>
          </w:tcPr>
          <w:p w14:paraId="439DD999" w14:textId="190C19BC"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71</w:t>
            </w:r>
          </w:p>
        </w:tc>
        <w:tc>
          <w:tcPr>
            <w:tcW w:w="1654" w:type="pct"/>
          </w:tcPr>
          <w:p w14:paraId="19B1A09F" w14:textId="49D5C451"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司法院函，為</w:t>
            </w:r>
            <w:proofErr w:type="gramStart"/>
            <w:r w:rsidRPr="001B6E4D">
              <w:rPr>
                <w:rFonts w:hAnsi="標楷體"/>
                <w:sz w:val="24"/>
                <w:szCs w:val="24"/>
              </w:rPr>
              <w:t>114</w:t>
            </w:r>
            <w:proofErr w:type="gramEnd"/>
            <w:r w:rsidRPr="001B6E4D">
              <w:rPr>
                <w:rFonts w:hAnsi="標楷體"/>
                <w:sz w:val="24"/>
                <w:szCs w:val="24"/>
              </w:rPr>
              <w:t>年度中央政府總預算決議，</w:t>
            </w:r>
            <w:proofErr w:type="gramStart"/>
            <w:r w:rsidRPr="001B6E4D">
              <w:rPr>
                <w:rFonts w:hAnsi="標楷體"/>
                <w:sz w:val="24"/>
                <w:szCs w:val="24"/>
              </w:rPr>
              <w:t>檢送歲出</w:t>
            </w:r>
            <w:proofErr w:type="gramEnd"/>
            <w:r w:rsidRPr="001B6E4D">
              <w:rPr>
                <w:rFonts w:hAnsi="標楷體"/>
                <w:sz w:val="24"/>
                <w:szCs w:val="24"/>
              </w:rPr>
              <w:t>第4款第1項決議（三十）書面報告，請查照案。</w:t>
            </w:r>
          </w:p>
        </w:tc>
        <w:tc>
          <w:tcPr>
            <w:tcW w:w="1147" w:type="pct"/>
          </w:tcPr>
          <w:p w14:paraId="4E6BA5AA" w14:textId="30AB2D9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114.08.08 （11-3-24）</w:t>
            </w:r>
          </w:p>
        </w:tc>
        <w:tc>
          <w:tcPr>
            <w:tcW w:w="963" w:type="pct"/>
          </w:tcPr>
          <w:p w14:paraId="12BF438D" w14:textId="6D06E64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4E8F3510" w14:textId="4164B31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5526F7B" w14:textId="77777777" w:rsidTr="00530F33">
        <w:tc>
          <w:tcPr>
            <w:tcW w:w="385" w:type="pct"/>
          </w:tcPr>
          <w:p w14:paraId="296FB7C0" w14:textId="362CC10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72</w:t>
            </w:r>
          </w:p>
        </w:tc>
        <w:tc>
          <w:tcPr>
            <w:tcW w:w="1654" w:type="pct"/>
          </w:tcPr>
          <w:p w14:paraId="3DE91771" w14:textId="1256F37E"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114</w:t>
            </w:r>
            <w:proofErr w:type="gramEnd"/>
            <w:r w:rsidRPr="001B6E4D">
              <w:rPr>
                <w:rFonts w:hAnsi="標楷體"/>
                <w:sz w:val="24"/>
                <w:szCs w:val="24"/>
              </w:rPr>
              <w:t>年度中央政府總預算決議，檢送第12款第4項決議（四）書面報告，請查照案。</w:t>
            </w:r>
          </w:p>
        </w:tc>
        <w:tc>
          <w:tcPr>
            <w:tcW w:w="1147" w:type="pct"/>
          </w:tcPr>
          <w:p w14:paraId="323529F6" w14:textId="0A7053E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114.08.08 （11-3-24）</w:t>
            </w:r>
          </w:p>
        </w:tc>
        <w:tc>
          <w:tcPr>
            <w:tcW w:w="963" w:type="pct"/>
          </w:tcPr>
          <w:p w14:paraId="3C978906" w14:textId="7D490A7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1C709009" w14:textId="4ED3F39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1B7ED83" w14:textId="77777777" w:rsidTr="00530F33">
        <w:tc>
          <w:tcPr>
            <w:tcW w:w="385" w:type="pct"/>
          </w:tcPr>
          <w:p w14:paraId="668B7CBA" w14:textId="5A13AFCD"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hint="eastAsia"/>
                <w:sz w:val="24"/>
              </w:rPr>
              <w:t>73</w:t>
            </w:r>
          </w:p>
        </w:tc>
        <w:tc>
          <w:tcPr>
            <w:tcW w:w="1654" w:type="pct"/>
          </w:tcPr>
          <w:p w14:paraId="103CCA82" w14:textId="46066B4D" w:rsidR="00411CB4" w:rsidRPr="001B6E4D" w:rsidRDefault="00411CB4" w:rsidP="003D1018">
            <w:pPr>
              <w:pStyle w:val="01"/>
              <w:overflowPunct w:val="0"/>
              <w:rPr>
                <w:rFonts w:hAnsi="標楷體" w:cs="Times New Roman"/>
                <w:sz w:val="24"/>
                <w:szCs w:val="24"/>
              </w:rPr>
            </w:pPr>
            <w:r w:rsidRPr="001B6E4D">
              <w:rPr>
                <w:rFonts w:hAnsi="標楷體"/>
                <w:sz w:val="24"/>
                <w:szCs w:val="24"/>
              </w:rPr>
              <w:t>監察院函，為</w:t>
            </w:r>
            <w:proofErr w:type="gramStart"/>
            <w:r w:rsidRPr="001B6E4D">
              <w:rPr>
                <w:rFonts w:hAnsi="標楷體"/>
                <w:sz w:val="24"/>
                <w:szCs w:val="24"/>
              </w:rPr>
              <w:t>114</w:t>
            </w:r>
            <w:proofErr w:type="gramEnd"/>
            <w:r w:rsidRPr="001B6E4D">
              <w:rPr>
                <w:rFonts w:hAnsi="標楷體"/>
                <w:sz w:val="24"/>
                <w:szCs w:val="24"/>
              </w:rPr>
              <w:t>年度中央政府總預算決議，</w:t>
            </w:r>
            <w:proofErr w:type="gramStart"/>
            <w:r w:rsidRPr="001B6E4D">
              <w:rPr>
                <w:rFonts w:hAnsi="標楷體"/>
                <w:sz w:val="24"/>
                <w:szCs w:val="24"/>
              </w:rPr>
              <w:t>檢送歲出</w:t>
            </w:r>
            <w:proofErr w:type="gramEnd"/>
            <w:r w:rsidRPr="001B6E4D">
              <w:rPr>
                <w:rFonts w:hAnsi="標楷體"/>
                <w:sz w:val="24"/>
                <w:szCs w:val="24"/>
              </w:rPr>
              <w:t>第6款第1項決議（一）、（二）、（四）、（六）、（十一）至（十六）書面報告，請查照案。</w:t>
            </w:r>
          </w:p>
        </w:tc>
        <w:tc>
          <w:tcPr>
            <w:tcW w:w="1147" w:type="pct"/>
          </w:tcPr>
          <w:p w14:paraId="07319607" w14:textId="1ED9F63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監察院 114.08.15 （11-3-25）</w:t>
            </w:r>
          </w:p>
        </w:tc>
        <w:tc>
          <w:tcPr>
            <w:tcW w:w="963" w:type="pct"/>
          </w:tcPr>
          <w:p w14:paraId="145531E2" w14:textId="2AC44B0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3676C71" w14:textId="71F8473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3EE9252" w14:textId="77777777" w:rsidTr="00530F33">
        <w:tc>
          <w:tcPr>
            <w:tcW w:w="385" w:type="pct"/>
          </w:tcPr>
          <w:p w14:paraId="181F98DA" w14:textId="6258C5BD"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74</w:t>
            </w:r>
          </w:p>
        </w:tc>
        <w:tc>
          <w:tcPr>
            <w:tcW w:w="1654" w:type="pct"/>
          </w:tcPr>
          <w:p w14:paraId="0F37AA01" w14:textId="55B19BC7"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114</w:t>
            </w:r>
            <w:proofErr w:type="gramEnd"/>
            <w:r w:rsidRPr="001B6E4D">
              <w:rPr>
                <w:rFonts w:hAnsi="標楷體"/>
                <w:sz w:val="24"/>
                <w:szCs w:val="24"/>
              </w:rPr>
              <w:t>年度中央政府總預算決議，檢送第12款第1項決議（四）書面報告，請查照案。</w:t>
            </w:r>
          </w:p>
        </w:tc>
        <w:tc>
          <w:tcPr>
            <w:tcW w:w="1147" w:type="pct"/>
          </w:tcPr>
          <w:p w14:paraId="6581B4CA" w14:textId="5D9CFD4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114.08.15 （11-3-25）</w:t>
            </w:r>
          </w:p>
        </w:tc>
        <w:tc>
          <w:tcPr>
            <w:tcW w:w="963" w:type="pct"/>
          </w:tcPr>
          <w:p w14:paraId="3C018DB6" w14:textId="148A1D1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2A66146" w14:textId="2378973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A550EF8" w14:textId="77777777" w:rsidTr="00530F33">
        <w:tc>
          <w:tcPr>
            <w:tcW w:w="385" w:type="pct"/>
          </w:tcPr>
          <w:p w14:paraId="5270301A" w14:textId="02CCA678"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75</w:t>
            </w:r>
          </w:p>
        </w:tc>
        <w:tc>
          <w:tcPr>
            <w:tcW w:w="1654" w:type="pct"/>
          </w:tcPr>
          <w:p w14:paraId="34F226E5" w14:textId="23FE8926"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114</w:t>
            </w:r>
            <w:proofErr w:type="gramEnd"/>
            <w:r w:rsidRPr="001B6E4D">
              <w:rPr>
                <w:rFonts w:hAnsi="標楷體"/>
                <w:sz w:val="24"/>
                <w:szCs w:val="24"/>
              </w:rPr>
              <w:t>年度中央政府總預算決議，檢送第12款第1項決議（二十九）書面報告，請查照</w:t>
            </w:r>
            <w:r w:rsidRPr="001B6E4D">
              <w:rPr>
                <w:rFonts w:hAnsi="標楷體"/>
                <w:sz w:val="24"/>
                <w:szCs w:val="24"/>
              </w:rPr>
              <w:lastRenderedPageBreak/>
              <w:t>案。</w:t>
            </w:r>
          </w:p>
        </w:tc>
        <w:tc>
          <w:tcPr>
            <w:tcW w:w="1147" w:type="pct"/>
          </w:tcPr>
          <w:p w14:paraId="48CAE3AD" w14:textId="154ED2D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法務部 114.08.15 （11-3-25）</w:t>
            </w:r>
          </w:p>
        </w:tc>
        <w:tc>
          <w:tcPr>
            <w:tcW w:w="963" w:type="pct"/>
          </w:tcPr>
          <w:p w14:paraId="2A8D3E70" w14:textId="342B669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7A11952" w14:textId="3F3B272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62E8264" w14:textId="77777777" w:rsidTr="00530F33">
        <w:tc>
          <w:tcPr>
            <w:tcW w:w="385" w:type="pct"/>
          </w:tcPr>
          <w:p w14:paraId="3C2C1211" w14:textId="45E1D205"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76</w:t>
            </w:r>
          </w:p>
        </w:tc>
        <w:tc>
          <w:tcPr>
            <w:tcW w:w="1654" w:type="pct"/>
          </w:tcPr>
          <w:p w14:paraId="01BDE514" w14:textId="382475B4"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法務部函，為</w:t>
            </w:r>
            <w:proofErr w:type="gramStart"/>
            <w:r w:rsidRPr="001B6E4D">
              <w:rPr>
                <w:rFonts w:hAnsi="標楷體"/>
                <w:sz w:val="24"/>
                <w:szCs w:val="24"/>
              </w:rPr>
              <w:t>114</w:t>
            </w:r>
            <w:proofErr w:type="gramEnd"/>
            <w:r w:rsidRPr="001B6E4D">
              <w:rPr>
                <w:rFonts w:hAnsi="標楷體"/>
                <w:sz w:val="24"/>
                <w:szCs w:val="24"/>
              </w:rPr>
              <w:t>年度中央政府總預算決議，檢送第12款第8項決議（五）書面報告，請查照案。</w:t>
            </w:r>
          </w:p>
        </w:tc>
        <w:tc>
          <w:tcPr>
            <w:tcW w:w="1147" w:type="pct"/>
          </w:tcPr>
          <w:p w14:paraId="6D09EE01" w14:textId="2BCF04E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114.08.15 （11-3-25）</w:t>
            </w:r>
          </w:p>
        </w:tc>
        <w:tc>
          <w:tcPr>
            <w:tcW w:w="963" w:type="pct"/>
          </w:tcPr>
          <w:p w14:paraId="30FC8FFB" w14:textId="241913F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42C6513" w14:textId="718FF87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54224F9" w14:textId="77777777" w:rsidTr="00530F33">
        <w:tc>
          <w:tcPr>
            <w:tcW w:w="385" w:type="pct"/>
          </w:tcPr>
          <w:p w14:paraId="114CECCE" w14:textId="05108D13"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77</w:t>
            </w:r>
          </w:p>
        </w:tc>
        <w:tc>
          <w:tcPr>
            <w:tcW w:w="1654" w:type="pct"/>
          </w:tcPr>
          <w:p w14:paraId="4F255056" w14:textId="249B00A9"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司法院函送114年第2季媒體政策及業務宣導執行情形表，請查照案。</w:t>
            </w:r>
          </w:p>
        </w:tc>
        <w:tc>
          <w:tcPr>
            <w:tcW w:w="1147" w:type="pct"/>
          </w:tcPr>
          <w:p w14:paraId="6587C13E" w14:textId="4D47202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114.10.14 （11-4-4）</w:t>
            </w:r>
          </w:p>
        </w:tc>
        <w:tc>
          <w:tcPr>
            <w:tcW w:w="963" w:type="pct"/>
          </w:tcPr>
          <w:p w14:paraId="240D44BC" w14:textId="2DB4A8A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C12B8A4" w14:textId="45BD11A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E30BCD1" w14:textId="77777777" w:rsidTr="00530F33">
        <w:tc>
          <w:tcPr>
            <w:tcW w:w="385" w:type="pct"/>
          </w:tcPr>
          <w:p w14:paraId="3591438B" w14:textId="3B4DCA6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78</w:t>
            </w:r>
          </w:p>
        </w:tc>
        <w:tc>
          <w:tcPr>
            <w:tcW w:w="1654" w:type="pct"/>
          </w:tcPr>
          <w:p w14:paraId="20D8F23B" w14:textId="57A5EB6F"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法務部函送114年第2季「媒體政策及業務宣導執行情形表」，請查照案。</w:t>
            </w:r>
          </w:p>
        </w:tc>
        <w:tc>
          <w:tcPr>
            <w:tcW w:w="1147" w:type="pct"/>
          </w:tcPr>
          <w:p w14:paraId="3DD186E5" w14:textId="7E5C793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114.10.17 （11-4-5）</w:t>
            </w:r>
          </w:p>
        </w:tc>
        <w:tc>
          <w:tcPr>
            <w:tcW w:w="963" w:type="pct"/>
          </w:tcPr>
          <w:p w14:paraId="2A30C148" w14:textId="723C22F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B73A293" w14:textId="6D63901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753A14F2" w14:textId="77777777" w:rsidTr="00530F33">
        <w:tc>
          <w:tcPr>
            <w:tcW w:w="385" w:type="pct"/>
          </w:tcPr>
          <w:p w14:paraId="7EC8687A" w14:textId="42EEBF3A"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hint="eastAsia"/>
                <w:sz w:val="24"/>
              </w:rPr>
              <w:t>79</w:t>
            </w:r>
          </w:p>
        </w:tc>
        <w:tc>
          <w:tcPr>
            <w:tcW w:w="1654" w:type="pct"/>
          </w:tcPr>
          <w:p w14:paraId="695D0641" w14:textId="75DBF67A"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法務部函送114年第2季中央政府預算補助社會團體、人民團體、財團法人及個人之補助經費概況表，請查照案。</w:t>
            </w:r>
          </w:p>
        </w:tc>
        <w:tc>
          <w:tcPr>
            <w:tcW w:w="1147" w:type="pct"/>
          </w:tcPr>
          <w:p w14:paraId="30C5E838" w14:textId="123E175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114.10.28 （11-4-6）</w:t>
            </w:r>
          </w:p>
        </w:tc>
        <w:tc>
          <w:tcPr>
            <w:tcW w:w="963" w:type="pct"/>
          </w:tcPr>
          <w:p w14:paraId="336A88CE" w14:textId="0996F78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190F2639" w14:textId="4AD6641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7EC1246" w14:textId="77777777" w:rsidTr="00530F33">
        <w:tc>
          <w:tcPr>
            <w:tcW w:w="385" w:type="pct"/>
          </w:tcPr>
          <w:p w14:paraId="5042899D" w14:textId="75ABF75E"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80</w:t>
            </w:r>
          </w:p>
        </w:tc>
        <w:tc>
          <w:tcPr>
            <w:tcW w:w="1654" w:type="pct"/>
          </w:tcPr>
          <w:p w14:paraId="23A63610" w14:textId="19171828" w:rsidR="00411CB4" w:rsidRPr="001B6E4D" w:rsidRDefault="00411CB4" w:rsidP="003D1018">
            <w:pPr>
              <w:pStyle w:val="01"/>
              <w:overflowPunct w:val="0"/>
              <w:rPr>
                <w:rFonts w:hAnsi="標楷體" w:cs="Times New Roman"/>
                <w:sz w:val="24"/>
                <w:szCs w:val="24"/>
              </w:rPr>
            </w:pPr>
            <w:r w:rsidRPr="001B6E4D">
              <w:rPr>
                <w:rFonts w:hAnsi="標楷體"/>
                <w:sz w:val="24"/>
                <w:szCs w:val="24"/>
              </w:rPr>
              <w:t>總統府函送114年第3季媒體政策及業務宣導執行情形表，請查照案。</w:t>
            </w:r>
          </w:p>
        </w:tc>
        <w:tc>
          <w:tcPr>
            <w:tcW w:w="1147" w:type="pct"/>
          </w:tcPr>
          <w:p w14:paraId="3A74B81D" w14:textId="5F377F3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總統府 114.12.26 （11-4-15）</w:t>
            </w:r>
          </w:p>
        </w:tc>
        <w:tc>
          <w:tcPr>
            <w:tcW w:w="963" w:type="pct"/>
          </w:tcPr>
          <w:p w14:paraId="2AC80222" w14:textId="2C73AF7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司法及法制、教育及文化</w:t>
            </w:r>
          </w:p>
        </w:tc>
        <w:tc>
          <w:tcPr>
            <w:tcW w:w="851" w:type="pct"/>
          </w:tcPr>
          <w:p w14:paraId="5606A4C6" w14:textId="621CCAE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20F8D09" w14:textId="77777777" w:rsidTr="00530F33">
        <w:tc>
          <w:tcPr>
            <w:tcW w:w="385" w:type="pct"/>
          </w:tcPr>
          <w:p w14:paraId="1685F92C" w14:textId="6D06E214"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81</w:t>
            </w:r>
          </w:p>
        </w:tc>
        <w:tc>
          <w:tcPr>
            <w:tcW w:w="1654" w:type="pct"/>
          </w:tcPr>
          <w:p w14:paraId="2CB4DC7C" w14:textId="1AE7BAEA"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司法院函送114年第3季媒體政策及業務宣導費預算分析報告，請查照案。</w:t>
            </w:r>
          </w:p>
        </w:tc>
        <w:tc>
          <w:tcPr>
            <w:tcW w:w="1147" w:type="pct"/>
          </w:tcPr>
          <w:p w14:paraId="317B502C" w14:textId="102A5E5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114.12.26 （11-4-15）</w:t>
            </w:r>
          </w:p>
        </w:tc>
        <w:tc>
          <w:tcPr>
            <w:tcW w:w="963" w:type="pct"/>
          </w:tcPr>
          <w:p w14:paraId="62BF7AA1" w14:textId="385ED83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6D059BD" w14:textId="2D8CB50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A8A4589" w14:textId="77777777" w:rsidTr="00530F33">
        <w:tc>
          <w:tcPr>
            <w:tcW w:w="385" w:type="pct"/>
          </w:tcPr>
          <w:p w14:paraId="09A28942" w14:textId="1C5927BE"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82</w:t>
            </w:r>
          </w:p>
        </w:tc>
        <w:tc>
          <w:tcPr>
            <w:tcW w:w="1654" w:type="pct"/>
          </w:tcPr>
          <w:p w14:paraId="3B786D89" w14:textId="4408686B"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w:t>
            </w:r>
            <w:proofErr w:type="gramStart"/>
            <w:r w:rsidRPr="001B6E4D">
              <w:rPr>
                <w:rFonts w:hAnsi="標楷體"/>
                <w:sz w:val="24"/>
                <w:szCs w:val="24"/>
              </w:rPr>
              <w:t>114</w:t>
            </w:r>
            <w:proofErr w:type="gramEnd"/>
            <w:r w:rsidRPr="001B6E4D">
              <w:rPr>
                <w:rFonts w:hAnsi="標楷體"/>
                <w:sz w:val="24"/>
                <w:szCs w:val="24"/>
              </w:rPr>
              <w:t>年度截至</w:t>
            </w:r>
            <w:proofErr w:type="gramStart"/>
            <w:r w:rsidRPr="001B6E4D">
              <w:rPr>
                <w:rFonts w:hAnsi="標楷體"/>
                <w:sz w:val="24"/>
                <w:szCs w:val="24"/>
              </w:rPr>
              <w:t>第3季止之</w:t>
            </w:r>
            <w:proofErr w:type="gramEnd"/>
            <w:r w:rsidRPr="001B6E4D">
              <w:rPr>
                <w:rFonts w:hAnsi="標楷體"/>
                <w:sz w:val="24"/>
                <w:szCs w:val="24"/>
              </w:rPr>
              <w:t>「公務預算對民間團體及個人補（捐）助經費彙總表」，請查照案。</w:t>
            </w:r>
          </w:p>
        </w:tc>
        <w:tc>
          <w:tcPr>
            <w:tcW w:w="1147" w:type="pct"/>
          </w:tcPr>
          <w:p w14:paraId="160F0254" w14:textId="77F25E8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115.01.09 （11-4-17）</w:t>
            </w:r>
          </w:p>
        </w:tc>
        <w:tc>
          <w:tcPr>
            <w:tcW w:w="963" w:type="pct"/>
          </w:tcPr>
          <w:p w14:paraId="58D91706" w14:textId="7778DBE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1B551819" w14:textId="28E6CCE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B5E97D1" w14:textId="77777777" w:rsidTr="00530F33">
        <w:tc>
          <w:tcPr>
            <w:tcW w:w="385" w:type="pct"/>
          </w:tcPr>
          <w:p w14:paraId="159A5311" w14:textId="41C992C3"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83</w:t>
            </w:r>
          </w:p>
        </w:tc>
        <w:tc>
          <w:tcPr>
            <w:tcW w:w="1654" w:type="pct"/>
          </w:tcPr>
          <w:p w14:paraId="5C7172CA" w14:textId="1F0946CC"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法務部函送114年第3季「媒體政策及業務宣導執行情形表」，請查照案。</w:t>
            </w:r>
          </w:p>
        </w:tc>
        <w:tc>
          <w:tcPr>
            <w:tcW w:w="1147" w:type="pct"/>
          </w:tcPr>
          <w:p w14:paraId="074D9165" w14:textId="5A902AD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115.01.16 （11-4-18）</w:t>
            </w:r>
          </w:p>
        </w:tc>
        <w:tc>
          <w:tcPr>
            <w:tcW w:w="963" w:type="pct"/>
          </w:tcPr>
          <w:p w14:paraId="45CF7348" w14:textId="65C2ACC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428675B6" w14:textId="58E2E9A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E3D4BB3" w14:textId="77777777" w:rsidTr="00530F33">
        <w:tc>
          <w:tcPr>
            <w:tcW w:w="385" w:type="pct"/>
          </w:tcPr>
          <w:p w14:paraId="36F2F874" w14:textId="68FBB275"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84</w:t>
            </w:r>
          </w:p>
        </w:tc>
        <w:tc>
          <w:tcPr>
            <w:tcW w:w="1654" w:type="pct"/>
          </w:tcPr>
          <w:p w14:paraId="22325794" w14:textId="0A3BE9A8" w:rsidR="00411CB4" w:rsidRPr="001B6E4D" w:rsidRDefault="00411CB4" w:rsidP="003D1018">
            <w:pPr>
              <w:pStyle w:val="01"/>
              <w:overflowPunct w:val="0"/>
              <w:rPr>
                <w:rFonts w:hAnsi="標楷體" w:cs="Times New Roman"/>
                <w:sz w:val="24"/>
                <w:szCs w:val="24"/>
              </w:rPr>
            </w:pPr>
            <w:r w:rsidRPr="001B6E4D">
              <w:rPr>
                <w:rFonts w:hAnsi="標楷體"/>
                <w:sz w:val="24"/>
                <w:szCs w:val="24"/>
              </w:rPr>
              <w:t>法務部函送114年第3季中央政府預算補助社會團體、人民團體、財團法人及個人之補助經費概況表，請查照案。</w:t>
            </w:r>
          </w:p>
        </w:tc>
        <w:tc>
          <w:tcPr>
            <w:tcW w:w="1147" w:type="pct"/>
          </w:tcPr>
          <w:p w14:paraId="00568FA7" w14:textId="31122AD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115.01.16 （11-4-18）</w:t>
            </w:r>
          </w:p>
        </w:tc>
        <w:tc>
          <w:tcPr>
            <w:tcW w:w="963" w:type="pct"/>
          </w:tcPr>
          <w:p w14:paraId="13D1A6B4" w14:textId="644F12D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CF5013C" w14:textId="5CDFE3B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F8C2C6C" w14:textId="77777777" w:rsidTr="00530F33">
        <w:tc>
          <w:tcPr>
            <w:tcW w:w="385" w:type="pct"/>
          </w:tcPr>
          <w:p w14:paraId="608DC31B" w14:textId="0279B2C3"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85</w:t>
            </w:r>
          </w:p>
        </w:tc>
        <w:tc>
          <w:tcPr>
            <w:tcW w:w="1654" w:type="pct"/>
          </w:tcPr>
          <w:p w14:paraId="3982BBAD" w14:textId="4CE1D59D" w:rsidR="00411CB4" w:rsidRPr="001B6E4D" w:rsidRDefault="00411CB4" w:rsidP="003D1018">
            <w:pPr>
              <w:pStyle w:val="01"/>
              <w:overflowPunct w:val="0"/>
              <w:rPr>
                <w:rFonts w:hAnsi="標楷體" w:cs="Times New Roman"/>
                <w:sz w:val="24"/>
                <w:szCs w:val="24"/>
              </w:rPr>
            </w:pPr>
            <w:r w:rsidRPr="001B6E4D">
              <w:rPr>
                <w:rFonts w:hAnsi="標楷體"/>
                <w:sz w:val="24"/>
                <w:szCs w:val="24"/>
              </w:rPr>
              <w:t>司法院函送該院及所屬機關114年第4季「因公派員出國考察費用執行情形</w:t>
            </w:r>
            <w:r w:rsidRPr="001B6E4D">
              <w:rPr>
                <w:rFonts w:hAnsi="標楷體"/>
                <w:sz w:val="24"/>
                <w:szCs w:val="24"/>
              </w:rPr>
              <w:lastRenderedPageBreak/>
              <w:t>表」，請查照案。</w:t>
            </w:r>
          </w:p>
        </w:tc>
        <w:tc>
          <w:tcPr>
            <w:tcW w:w="1147" w:type="pct"/>
          </w:tcPr>
          <w:p w14:paraId="67669FA8" w14:textId="60C359B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司法院 115.03.06 （11-5-2）</w:t>
            </w:r>
          </w:p>
        </w:tc>
        <w:tc>
          <w:tcPr>
            <w:tcW w:w="963" w:type="pct"/>
          </w:tcPr>
          <w:p w14:paraId="6707D8A1" w14:textId="04DF5EE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330E8835" w14:textId="711EBFC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D3155F8" w14:textId="77777777" w:rsidTr="00530F33">
        <w:tc>
          <w:tcPr>
            <w:tcW w:w="385" w:type="pct"/>
          </w:tcPr>
          <w:p w14:paraId="474FCBCB" w14:textId="58BBE53B"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86</w:t>
            </w:r>
          </w:p>
        </w:tc>
        <w:tc>
          <w:tcPr>
            <w:tcW w:w="1654" w:type="pct"/>
          </w:tcPr>
          <w:p w14:paraId="5B49F2AD" w14:textId="3B55F5FB" w:rsidR="00411CB4" w:rsidRPr="001B6E4D" w:rsidRDefault="00411CB4" w:rsidP="003D1018">
            <w:pPr>
              <w:pStyle w:val="01"/>
              <w:overflowPunct w:val="0"/>
              <w:rPr>
                <w:rFonts w:hAnsi="標楷體"/>
                <w:sz w:val="24"/>
                <w:szCs w:val="24"/>
              </w:rPr>
            </w:pPr>
            <w:r w:rsidRPr="001B6E4D">
              <w:rPr>
                <w:rFonts w:hAnsi="標楷體"/>
                <w:sz w:val="24"/>
                <w:szCs w:val="24"/>
              </w:rPr>
              <w:t>司法院函送114年第4季媒體政策及業務宣導費預算分析報告，請查照案。</w:t>
            </w:r>
          </w:p>
        </w:tc>
        <w:tc>
          <w:tcPr>
            <w:tcW w:w="1147" w:type="pct"/>
          </w:tcPr>
          <w:p w14:paraId="3EEFBF13" w14:textId="6BCA671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115.03.06 （11-5-2）</w:t>
            </w:r>
          </w:p>
        </w:tc>
        <w:tc>
          <w:tcPr>
            <w:tcW w:w="963" w:type="pct"/>
          </w:tcPr>
          <w:p w14:paraId="0E8208C8" w14:textId="4EE1AD1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D97A212" w14:textId="42B9BC4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FE31567" w14:textId="77777777" w:rsidTr="00530F33">
        <w:tc>
          <w:tcPr>
            <w:tcW w:w="385" w:type="pct"/>
          </w:tcPr>
          <w:p w14:paraId="7FB871E3" w14:textId="05B8E22B"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87</w:t>
            </w:r>
          </w:p>
        </w:tc>
        <w:tc>
          <w:tcPr>
            <w:tcW w:w="1654" w:type="pct"/>
          </w:tcPr>
          <w:p w14:paraId="61F5FC29" w14:textId="20C9459E" w:rsidR="00411CB4" w:rsidRPr="001B6E4D" w:rsidRDefault="00411CB4" w:rsidP="003D1018">
            <w:pPr>
              <w:pStyle w:val="01"/>
              <w:overflowPunct w:val="0"/>
              <w:rPr>
                <w:rFonts w:hAnsi="標楷體"/>
                <w:sz w:val="24"/>
                <w:szCs w:val="24"/>
              </w:rPr>
            </w:pPr>
            <w:r w:rsidRPr="001B6E4D">
              <w:rPr>
                <w:rFonts w:hAnsi="標楷體"/>
                <w:sz w:val="24"/>
                <w:szCs w:val="24"/>
              </w:rPr>
              <w:t>總統府函送114年第4季「因公派員出國考察費用執行情形表」，請查照案。</w:t>
            </w:r>
          </w:p>
        </w:tc>
        <w:tc>
          <w:tcPr>
            <w:tcW w:w="1147" w:type="pct"/>
          </w:tcPr>
          <w:p w14:paraId="34D7A3E9" w14:textId="6480888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總統府 115.03.06 （11-5-2）</w:t>
            </w:r>
          </w:p>
        </w:tc>
        <w:tc>
          <w:tcPr>
            <w:tcW w:w="963" w:type="pct"/>
          </w:tcPr>
          <w:p w14:paraId="4FB7F484" w14:textId="320188F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F2C41BF" w14:textId="7FF140B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E0C63B1" w14:textId="77777777" w:rsidTr="00530F33">
        <w:tc>
          <w:tcPr>
            <w:tcW w:w="385" w:type="pct"/>
          </w:tcPr>
          <w:p w14:paraId="04A307DB" w14:textId="6C5967C6"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88</w:t>
            </w:r>
          </w:p>
        </w:tc>
        <w:tc>
          <w:tcPr>
            <w:tcW w:w="1654" w:type="pct"/>
          </w:tcPr>
          <w:p w14:paraId="7D711653" w14:textId="3CEEF51D" w:rsidR="00411CB4" w:rsidRPr="001B6E4D" w:rsidRDefault="00411CB4" w:rsidP="003D1018">
            <w:pPr>
              <w:pStyle w:val="01"/>
              <w:overflowPunct w:val="0"/>
              <w:rPr>
                <w:rFonts w:hAnsi="標楷體"/>
                <w:sz w:val="24"/>
                <w:szCs w:val="24"/>
              </w:rPr>
            </w:pPr>
            <w:r w:rsidRPr="001B6E4D">
              <w:rPr>
                <w:rFonts w:hAnsi="標楷體"/>
                <w:sz w:val="24"/>
                <w:szCs w:val="24"/>
              </w:rPr>
              <w:t>行政院人事行政總處函送114年第4季「因公派員出國考察情形表」，請查照案。</w:t>
            </w:r>
          </w:p>
        </w:tc>
        <w:tc>
          <w:tcPr>
            <w:tcW w:w="1147" w:type="pct"/>
          </w:tcPr>
          <w:p w14:paraId="36C94A56" w14:textId="77777777" w:rsidR="00E16B51" w:rsidRPr="001B6E4D" w:rsidRDefault="00411CB4" w:rsidP="003D1018">
            <w:pPr>
              <w:overflowPunct w:val="0"/>
              <w:rPr>
                <w:rFonts w:ascii="標楷體" w:eastAsia="標楷體" w:hAnsi="標楷體"/>
                <w:sz w:val="24"/>
              </w:rPr>
            </w:pPr>
            <w:r w:rsidRPr="001B6E4D">
              <w:rPr>
                <w:rFonts w:ascii="標楷體" w:eastAsia="標楷體" w:hAnsi="標楷體"/>
                <w:sz w:val="24"/>
              </w:rPr>
              <w:t xml:space="preserve">行政院人事行政總處 </w:t>
            </w:r>
          </w:p>
          <w:p w14:paraId="76727013" w14:textId="422F973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115.03.06 （11-5-2）</w:t>
            </w:r>
          </w:p>
        </w:tc>
        <w:tc>
          <w:tcPr>
            <w:tcW w:w="963" w:type="pct"/>
          </w:tcPr>
          <w:p w14:paraId="1F4287E8" w14:textId="0D22E61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664A4A0" w14:textId="0EE16D1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DE1BCD9" w14:textId="77777777" w:rsidTr="00530F33">
        <w:tc>
          <w:tcPr>
            <w:tcW w:w="385" w:type="pct"/>
          </w:tcPr>
          <w:p w14:paraId="526B74D1" w14:textId="48169F0F"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89</w:t>
            </w:r>
          </w:p>
        </w:tc>
        <w:tc>
          <w:tcPr>
            <w:tcW w:w="1654" w:type="pct"/>
          </w:tcPr>
          <w:p w14:paraId="7F6D4D07" w14:textId="26E0CE34" w:rsidR="00411CB4" w:rsidRPr="001B6E4D" w:rsidRDefault="00411CB4" w:rsidP="003D1018">
            <w:pPr>
              <w:pStyle w:val="01"/>
              <w:overflowPunct w:val="0"/>
              <w:rPr>
                <w:rFonts w:hAnsi="標楷體"/>
                <w:sz w:val="24"/>
                <w:szCs w:val="24"/>
              </w:rPr>
            </w:pPr>
            <w:r w:rsidRPr="001B6E4D">
              <w:rPr>
                <w:rFonts w:hAnsi="標楷體"/>
                <w:sz w:val="24"/>
                <w:szCs w:val="24"/>
              </w:rPr>
              <w:t>考試院秘書長函送該院及所屬機關114年第4季因公派員出國考察費用執行情形表，請查照案。</w:t>
            </w:r>
          </w:p>
        </w:tc>
        <w:tc>
          <w:tcPr>
            <w:tcW w:w="1147" w:type="pct"/>
          </w:tcPr>
          <w:p w14:paraId="1F30F8A3" w14:textId="19536CD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考試院秘書長 115.03.06 （11-5-2）</w:t>
            </w:r>
          </w:p>
        </w:tc>
        <w:tc>
          <w:tcPr>
            <w:tcW w:w="963" w:type="pct"/>
          </w:tcPr>
          <w:p w14:paraId="34BF38B1" w14:textId="3084618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6EEAFF9" w14:textId="619E72E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E71F421" w14:textId="77777777" w:rsidTr="00530F33">
        <w:tc>
          <w:tcPr>
            <w:tcW w:w="385" w:type="pct"/>
          </w:tcPr>
          <w:p w14:paraId="7FF9AB6E" w14:textId="24AF96A4"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90</w:t>
            </w:r>
          </w:p>
        </w:tc>
        <w:tc>
          <w:tcPr>
            <w:tcW w:w="1654" w:type="pct"/>
          </w:tcPr>
          <w:p w14:paraId="28328609" w14:textId="7F32E6C5" w:rsidR="00411CB4" w:rsidRPr="001B6E4D" w:rsidRDefault="00411CB4" w:rsidP="003D1018">
            <w:pPr>
              <w:pStyle w:val="01"/>
              <w:overflowPunct w:val="0"/>
              <w:rPr>
                <w:rFonts w:hAnsi="標楷體"/>
                <w:sz w:val="24"/>
                <w:szCs w:val="24"/>
              </w:rPr>
            </w:pPr>
            <w:r w:rsidRPr="001B6E4D">
              <w:rPr>
                <w:rFonts w:hAnsi="標楷體"/>
                <w:sz w:val="24"/>
                <w:szCs w:val="24"/>
              </w:rPr>
              <w:t>國史館函送114年第4季因公派員出國考察費用執行情形表，請查照案。</w:t>
            </w:r>
          </w:p>
        </w:tc>
        <w:tc>
          <w:tcPr>
            <w:tcW w:w="1147" w:type="pct"/>
          </w:tcPr>
          <w:p w14:paraId="354CD07A" w14:textId="5ECC018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國史館 115.03.06 （11-5-2）</w:t>
            </w:r>
          </w:p>
        </w:tc>
        <w:tc>
          <w:tcPr>
            <w:tcW w:w="963" w:type="pct"/>
          </w:tcPr>
          <w:p w14:paraId="5EE69D8D" w14:textId="5364BDA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0372421" w14:textId="5ACD001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B20CE61" w14:textId="77777777" w:rsidTr="00530F33">
        <w:tc>
          <w:tcPr>
            <w:tcW w:w="385" w:type="pct"/>
          </w:tcPr>
          <w:p w14:paraId="57604A72" w14:textId="249A1856"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91</w:t>
            </w:r>
          </w:p>
        </w:tc>
        <w:tc>
          <w:tcPr>
            <w:tcW w:w="1654" w:type="pct"/>
          </w:tcPr>
          <w:p w14:paraId="2414DC58" w14:textId="46A45E74" w:rsidR="00411CB4" w:rsidRPr="001B6E4D" w:rsidRDefault="00411CB4" w:rsidP="003D1018">
            <w:pPr>
              <w:pStyle w:val="01"/>
              <w:overflowPunct w:val="0"/>
              <w:rPr>
                <w:rFonts w:hAnsi="標楷體"/>
                <w:sz w:val="24"/>
                <w:szCs w:val="24"/>
              </w:rPr>
            </w:pPr>
            <w:r w:rsidRPr="001B6E4D">
              <w:rPr>
                <w:rFonts w:hAnsi="標楷體"/>
                <w:sz w:val="24"/>
                <w:szCs w:val="24"/>
              </w:rPr>
              <w:t>總統府函，為</w:t>
            </w:r>
            <w:proofErr w:type="gramStart"/>
            <w:r w:rsidRPr="001B6E4D">
              <w:rPr>
                <w:rFonts w:hAnsi="標楷體"/>
                <w:sz w:val="24"/>
                <w:szCs w:val="24"/>
              </w:rPr>
              <w:t>114</w:t>
            </w:r>
            <w:proofErr w:type="gramEnd"/>
            <w:r w:rsidRPr="001B6E4D">
              <w:rPr>
                <w:rFonts w:hAnsi="標楷體"/>
                <w:sz w:val="24"/>
                <w:szCs w:val="24"/>
              </w:rPr>
              <w:t>年度中央政府總預算決議，檢送114年第3季「因公派員出國考察費用執行情形表」，請查照案。</w:t>
            </w:r>
          </w:p>
        </w:tc>
        <w:tc>
          <w:tcPr>
            <w:tcW w:w="1147" w:type="pct"/>
          </w:tcPr>
          <w:p w14:paraId="4F55E925" w14:textId="2AC85F5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總統府 115.03.13 （11-5-3）</w:t>
            </w:r>
          </w:p>
        </w:tc>
        <w:tc>
          <w:tcPr>
            <w:tcW w:w="963" w:type="pct"/>
          </w:tcPr>
          <w:p w14:paraId="2DDE0DBB" w14:textId="63FF106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3AC177E1" w14:textId="4B244FC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33B3D9C2" w14:textId="77777777" w:rsidTr="00530F33">
        <w:tc>
          <w:tcPr>
            <w:tcW w:w="385" w:type="pct"/>
          </w:tcPr>
          <w:p w14:paraId="094BC05C" w14:textId="15B5A692"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92</w:t>
            </w:r>
          </w:p>
        </w:tc>
        <w:tc>
          <w:tcPr>
            <w:tcW w:w="1654" w:type="pct"/>
          </w:tcPr>
          <w:p w14:paraId="3A1F3F99" w14:textId="74C3E044" w:rsidR="00411CB4" w:rsidRPr="001B6E4D" w:rsidRDefault="00411CB4" w:rsidP="003D1018">
            <w:pPr>
              <w:pStyle w:val="01"/>
              <w:overflowPunct w:val="0"/>
              <w:rPr>
                <w:rFonts w:hAnsi="標楷體"/>
                <w:sz w:val="24"/>
                <w:szCs w:val="24"/>
              </w:rPr>
            </w:pPr>
            <w:r w:rsidRPr="001B6E4D">
              <w:rPr>
                <w:rFonts w:hAnsi="標楷體"/>
                <w:sz w:val="24"/>
                <w:szCs w:val="24"/>
              </w:rPr>
              <w:t>司法院函，為</w:t>
            </w:r>
            <w:proofErr w:type="gramStart"/>
            <w:r w:rsidRPr="001B6E4D">
              <w:rPr>
                <w:rFonts w:hAnsi="標楷體"/>
                <w:sz w:val="24"/>
                <w:szCs w:val="24"/>
              </w:rPr>
              <w:t>114</w:t>
            </w:r>
            <w:proofErr w:type="gramEnd"/>
            <w:r w:rsidRPr="001B6E4D">
              <w:rPr>
                <w:rFonts w:hAnsi="標楷體"/>
                <w:sz w:val="24"/>
                <w:szCs w:val="24"/>
              </w:rPr>
              <w:t>年度中央政府總預算決議，檢送該院及所屬機關114年第3季「因公派員出國考察費用執行情形表」，請查照案。</w:t>
            </w:r>
          </w:p>
        </w:tc>
        <w:tc>
          <w:tcPr>
            <w:tcW w:w="1147" w:type="pct"/>
          </w:tcPr>
          <w:p w14:paraId="5BD79092" w14:textId="197F778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115.03.13 （11-5-3）</w:t>
            </w:r>
          </w:p>
        </w:tc>
        <w:tc>
          <w:tcPr>
            <w:tcW w:w="963" w:type="pct"/>
          </w:tcPr>
          <w:p w14:paraId="77D20F85" w14:textId="4A1871C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0AA6364" w14:textId="26D2621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0F9B281" w14:textId="77777777" w:rsidTr="00530F33">
        <w:tc>
          <w:tcPr>
            <w:tcW w:w="385" w:type="pct"/>
          </w:tcPr>
          <w:p w14:paraId="4F2C58F1" w14:textId="5641C632"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93</w:t>
            </w:r>
          </w:p>
        </w:tc>
        <w:tc>
          <w:tcPr>
            <w:tcW w:w="1654" w:type="pct"/>
          </w:tcPr>
          <w:p w14:paraId="735CF0A9" w14:textId="345D4302" w:rsidR="00411CB4" w:rsidRPr="001B6E4D" w:rsidRDefault="00411CB4" w:rsidP="003D1018">
            <w:pPr>
              <w:pStyle w:val="01"/>
              <w:overflowPunct w:val="0"/>
              <w:rPr>
                <w:rFonts w:hAnsi="標楷體"/>
                <w:sz w:val="24"/>
                <w:szCs w:val="24"/>
              </w:rPr>
            </w:pPr>
            <w:r w:rsidRPr="001B6E4D">
              <w:rPr>
                <w:rFonts w:hAnsi="標楷體"/>
                <w:sz w:val="24"/>
                <w:szCs w:val="24"/>
              </w:rPr>
              <w:t>國史館函，為</w:t>
            </w:r>
            <w:proofErr w:type="gramStart"/>
            <w:r w:rsidRPr="001B6E4D">
              <w:rPr>
                <w:rFonts w:hAnsi="標楷體"/>
                <w:sz w:val="24"/>
                <w:szCs w:val="24"/>
              </w:rPr>
              <w:t>114</w:t>
            </w:r>
            <w:proofErr w:type="gramEnd"/>
            <w:r w:rsidRPr="001B6E4D">
              <w:rPr>
                <w:rFonts w:hAnsi="標楷體"/>
                <w:sz w:val="24"/>
                <w:szCs w:val="24"/>
              </w:rPr>
              <w:t>年度中央政府總預算決議，檢送該館及所屬臺灣文獻館114年第3季及第4季因公派員出國考察費用執行情形表，請查照案。</w:t>
            </w:r>
          </w:p>
        </w:tc>
        <w:tc>
          <w:tcPr>
            <w:tcW w:w="1147" w:type="pct"/>
          </w:tcPr>
          <w:p w14:paraId="4F897ECD" w14:textId="78E06B3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國史館 115.03.13 （11-5-3）</w:t>
            </w:r>
          </w:p>
        </w:tc>
        <w:tc>
          <w:tcPr>
            <w:tcW w:w="963" w:type="pct"/>
          </w:tcPr>
          <w:p w14:paraId="68D25E9A" w14:textId="547DB50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9843BDE" w14:textId="7596D99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2DE5474" w14:textId="77777777" w:rsidTr="00530F33">
        <w:tc>
          <w:tcPr>
            <w:tcW w:w="385" w:type="pct"/>
          </w:tcPr>
          <w:p w14:paraId="3DC1E84D" w14:textId="665AC419"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hint="eastAsia"/>
                <w:sz w:val="24"/>
              </w:rPr>
              <w:t>9</w:t>
            </w:r>
            <w:r w:rsidRPr="001B6E4D">
              <w:rPr>
                <w:rFonts w:ascii="標楷體" w:eastAsia="標楷體" w:hAnsi="標楷體"/>
                <w:sz w:val="24"/>
              </w:rPr>
              <w:t>4</w:t>
            </w:r>
          </w:p>
        </w:tc>
        <w:tc>
          <w:tcPr>
            <w:tcW w:w="1654" w:type="pct"/>
          </w:tcPr>
          <w:p w14:paraId="52F9B900" w14:textId="4321EABE" w:rsidR="00411CB4" w:rsidRPr="001B6E4D" w:rsidRDefault="00411CB4" w:rsidP="003D1018">
            <w:pPr>
              <w:pStyle w:val="01"/>
              <w:overflowPunct w:val="0"/>
              <w:rPr>
                <w:rFonts w:hAnsi="標楷體"/>
                <w:sz w:val="24"/>
                <w:szCs w:val="24"/>
              </w:rPr>
            </w:pPr>
            <w:r w:rsidRPr="001B6E4D">
              <w:rPr>
                <w:rFonts w:hAnsi="標楷體" w:hint="eastAsia"/>
                <w:sz w:val="24"/>
                <w:szCs w:val="24"/>
              </w:rPr>
              <w:t>總統府函送114年第4季媒體政策及業務宣導執行</w:t>
            </w:r>
            <w:r w:rsidRPr="001B6E4D">
              <w:rPr>
                <w:rFonts w:hAnsi="標楷體" w:hint="eastAsia"/>
                <w:sz w:val="24"/>
                <w:szCs w:val="24"/>
              </w:rPr>
              <w:lastRenderedPageBreak/>
              <w:t>情形表，請查照案。</w:t>
            </w:r>
          </w:p>
        </w:tc>
        <w:tc>
          <w:tcPr>
            <w:tcW w:w="1147" w:type="pct"/>
          </w:tcPr>
          <w:p w14:paraId="513B0579" w14:textId="073757F0"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lastRenderedPageBreak/>
              <w:t xml:space="preserve">總統府 115.03.27 </w:t>
            </w:r>
            <w:r w:rsidRPr="001B6E4D">
              <w:rPr>
                <w:rFonts w:ascii="標楷體" w:eastAsia="標楷體" w:hAnsi="標楷體" w:hint="eastAsia"/>
                <w:sz w:val="24"/>
              </w:rPr>
              <w:lastRenderedPageBreak/>
              <w:t>（11-5-5）</w:t>
            </w:r>
          </w:p>
        </w:tc>
        <w:tc>
          <w:tcPr>
            <w:tcW w:w="963" w:type="pct"/>
          </w:tcPr>
          <w:p w14:paraId="604DCFF1" w14:textId="71354EA7"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lastRenderedPageBreak/>
              <w:t>司法及法制、教育及文化</w:t>
            </w:r>
          </w:p>
        </w:tc>
        <w:tc>
          <w:tcPr>
            <w:tcW w:w="851" w:type="pct"/>
          </w:tcPr>
          <w:p w14:paraId="242F3A5A" w14:textId="25174CE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64E54C1" w14:textId="77777777" w:rsidTr="00530F33">
        <w:tc>
          <w:tcPr>
            <w:tcW w:w="385" w:type="pct"/>
          </w:tcPr>
          <w:p w14:paraId="62F3EEEF" w14:textId="261643A9"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95</w:t>
            </w:r>
          </w:p>
        </w:tc>
        <w:tc>
          <w:tcPr>
            <w:tcW w:w="1654" w:type="pct"/>
          </w:tcPr>
          <w:p w14:paraId="43223C89" w14:textId="3F2E722D" w:rsidR="00411CB4" w:rsidRPr="001B6E4D" w:rsidRDefault="00411CB4" w:rsidP="003D1018">
            <w:pPr>
              <w:pStyle w:val="01"/>
              <w:overflowPunct w:val="0"/>
              <w:rPr>
                <w:rFonts w:hAnsi="標楷體"/>
                <w:sz w:val="24"/>
                <w:szCs w:val="24"/>
              </w:rPr>
            </w:pPr>
            <w:r w:rsidRPr="001B6E4D">
              <w:rPr>
                <w:rFonts w:hAnsi="標楷體"/>
                <w:sz w:val="24"/>
                <w:szCs w:val="24"/>
              </w:rPr>
              <w:t>法務部函送</w:t>
            </w:r>
            <w:proofErr w:type="gramStart"/>
            <w:r w:rsidRPr="001B6E4D">
              <w:rPr>
                <w:rFonts w:hAnsi="標楷體"/>
                <w:sz w:val="24"/>
                <w:szCs w:val="24"/>
              </w:rPr>
              <w:t>該部及所屬</w:t>
            </w:r>
            <w:proofErr w:type="gramEnd"/>
            <w:r w:rsidRPr="001B6E4D">
              <w:rPr>
                <w:rFonts w:hAnsi="標楷體"/>
                <w:sz w:val="24"/>
                <w:szCs w:val="24"/>
              </w:rPr>
              <w:t>機關114年第4季「因公派員出國考察費用執行情形表」，請查照案。</w:t>
            </w:r>
          </w:p>
        </w:tc>
        <w:tc>
          <w:tcPr>
            <w:tcW w:w="1147" w:type="pct"/>
          </w:tcPr>
          <w:p w14:paraId="13793B53" w14:textId="73DF02A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115.04.10 （11-5-6）</w:t>
            </w:r>
          </w:p>
        </w:tc>
        <w:tc>
          <w:tcPr>
            <w:tcW w:w="963" w:type="pct"/>
          </w:tcPr>
          <w:p w14:paraId="2CE593AE" w14:textId="4D74FC5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7E5F3A59" w14:textId="1C012FE8"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D03E466" w14:textId="77777777" w:rsidTr="00530F33">
        <w:tc>
          <w:tcPr>
            <w:tcW w:w="385" w:type="pct"/>
          </w:tcPr>
          <w:p w14:paraId="0D93C17F" w14:textId="095DD7A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96</w:t>
            </w:r>
          </w:p>
        </w:tc>
        <w:tc>
          <w:tcPr>
            <w:tcW w:w="1654" w:type="pct"/>
          </w:tcPr>
          <w:p w14:paraId="7872D889" w14:textId="7026D6CA" w:rsidR="00411CB4" w:rsidRPr="001B6E4D" w:rsidRDefault="00411CB4" w:rsidP="003D1018">
            <w:pPr>
              <w:pStyle w:val="01"/>
              <w:overflowPunct w:val="0"/>
              <w:rPr>
                <w:rFonts w:hAnsi="標楷體"/>
                <w:sz w:val="24"/>
                <w:szCs w:val="24"/>
              </w:rPr>
            </w:pPr>
            <w:r w:rsidRPr="001B6E4D">
              <w:rPr>
                <w:rFonts w:hAnsi="標楷體"/>
                <w:sz w:val="24"/>
                <w:szCs w:val="24"/>
              </w:rPr>
              <w:t>法務部函送114年第4季中央政府預算補助社會團體、人民團體、財團法人及個人之補助經費概況表，請查照案。</w:t>
            </w:r>
          </w:p>
        </w:tc>
        <w:tc>
          <w:tcPr>
            <w:tcW w:w="1147" w:type="pct"/>
          </w:tcPr>
          <w:p w14:paraId="68E9F0D6" w14:textId="1D0AFB4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115.05.08 （11-5-9）</w:t>
            </w:r>
          </w:p>
        </w:tc>
        <w:tc>
          <w:tcPr>
            <w:tcW w:w="963" w:type="pct"/>
          </w:tcPr>
          <w:p w14:paraId="71C91F53" w14:textId="4956518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4BC3AE56" w14:textId="0F8231C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39F9BF7" w14:textId="77777777" w:rsidTr="00530F33">
        <w:tc>
          <w:tcPr>
            <w:tcW w:w="385" w:type="pct"/>
          </w:tcPr>
          <w:p w14:paraId="55E2B204" w14:textId="1D2F0589"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97</w:t>
            </w:r>
          </w:p>
        </w:tc>
        <w:tc>
          <w:tcPr>
            <w:tcW w:w="1654" w:type="pct"/>
          </w:tcPr>
          <w:p w14:paraId="74D42FCC" w14:textId="2FF41217" w:rsidR="00411CB4" w:rsidRPr="001B6E4D" w:rsidRDefault="00411CB4" w:rsidP="003D1018">
            <w:pPr>
              <w:pStyle w:val="01"/>
              <w:overflowPunct w:val="0"/>
              <w:rPr>
                <w:rFonts w:hAnsi="標楷體"/>
                <w:sz w:val="24"/>
                <w:szCs w:val="24"/>
              </w:rPr>
            </w:pPr>
            <w:r w:rsidRPr="001B6E4D">
              <w:rPr>
                <w:rFonts w:hAnsi="標楷體"/>
                <w:sz w:val="24"/>
                <w:szCs w:val="24"/>
              </w:rPr>
              <w:t>法務部函送114年第4季「媒體政策及業務宣導執行情形表」，請查照案。</w:t>
            </w:r>
          </w:p>
        </w:tc>
        <w:tc>
          <w:tcPr>
            <w:tcW w:w="1147" w:type="pct"/>
          </w:tcPr>
          <w:p w14:paraId="0B3A97FA" w14:textId="4166D47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115.05.15 （11-5-10）</w:t>
            </w:r>
          </w:p>
        </w:tc>
        <w:tc>
          <w:tcPr>
            <w:tcW w:w="963" w:type="pct"/>
          </w:tcPr>
          <w:p w14:paraId="61E516D4" w14:textId="20F1F0D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CA9A805" w14:textId="7CB020A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94E4FE7" w14:textId="77777777" w:rsidTr="00530F33">
        <w:tc>
          <w:tcPr>
            <w:tcW w:w="385" w:type="pct"/>
          </w:tcPr>
          <w:p w14:paraId="301BDBE4" w14:textId="7C5C3EE9"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98</w:t>
            </w:r>
          </w:p>
        </w:tc>
        <w:tc>
          <w:tcPr>
            <w:tcW w:w="1654" w:type="pct"/>
          </w:tcPr>
          <w:p w14:paraId="37CF7F10" w14:textId="79E6635B" w:rsidR="00411CB4" w:rsidRPr="001B6E4D" w:rsidRDefault="00411CB4" w:rsidP="003D1018">
            <w:pPr>
              <w:pStyle w:val="01"/>
              <w:overflowPunct w:val="0"/>
              <w:rPr>
                <w:rFonts w:hAnsi="標楷體"/>
                <w:sz w:val="24"/>
                <w:szCs w:val="24"/>
              </w:rPr>
            </w:pPr>
            <w:r w:rsidRPr="001B6E4D">
              <w:rPr>
                <w:rFonts w:hAnsi="標楷體"/>
                <w:sz w:val="24"/>
                <w:szCs w:val="24"/>
              </w:rPr>
              <w:t>總統府函送115年第1季「因公派員出國考察費用執行情形表」，請查照案。</w:t>
            </w:r>
          </w:p>
        </w:tc>
        <w:tc>
          <w:tcPr>
            <w:tcW w:w="1147" w:type="pct"/>
          </w:tcPr>
          <w:p w14:paraId="2E4A5C5C" w14:textId="167E9DD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總統府 115.05.22 （11-5-11）</w:t>
            </w:r>
          </w:p>
        </w:tc>
        <w:tc>
          <w:tcPr>
            <w:tcW w:w="963" w:type="pct"/>
          </w:tcPr>
          <w:p w14:paraId="75C5FD33" w14:textId="127AC7E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478F8E2E" w14:textId="0B52DD1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416B33B" w14:textId="77777777" w:rsidTr="00530F33">
        <w:tc>
          <w:tcPr>
            <w:tcW w:w="385" w:type="pct"/>
          </w:tcPr>
          <w:p w14:paraId="009813C9" w14:textId="55E6D771"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99</w:t>
            </w:r>
          </w:p>
        </w:tc>
        <w:tc>
          <w:tcPr>
            <w:tcW w:w="1654" w:type="pct"/>
          </w:tcPr>
          <w:p w14:paraId="653BAC02" w14:textId="13E3FCC5" w:rsidR="00411CB4" w:rsidRPr="001B6E4D" w:rsidRDefault="00411CB4" w:rsidP="003D1018">
            <w:pPr>
              <w:pStyle w:val="01"/>
              <w:overflowPunct w:val="0"/>
              <w:rPr>
                <w:rFonts w:hAnsi="標楷體"/>
                <w:sz w:val="24"/>
                <w:szCs w:val="24"/>
              </w:rPr>
            </w:pPr>
            <w:r w:rsidRPr="001B6E4D">
              <w:rPr>
                <w:rFonts w:hAnsi="標楷體"/>
                <w:sz w:val="24"/>
                <w:szCs w:val="24"/>
              </w:rPr>
              <w:t>總統府函送115年第1季媒體政策及業務宣導執行情形表，請查照案。</w:t>
            </w:r>
          </w:p>
        </w:tc>
        <w:tc>
          <w:tcPr>
            <w:tcW w:w="1147" w:type="pct"/>
          </w:tcPr>
          <w:p w14:paraId="3D42A617" w14:textId="2C64C89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總統府 115.05.22 （11-5-11）</w:t>
            </w:r>
          </w:p>
        </w:tc>
        <w:tc>
          <w:tcPr>
            <w:tcW w:w="963" w:type="pct"/>
          </w:tcPr>
          <w:p w14:paraId="40EA8BBC" w14:textId="316F229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司法及法制、教育及文化</w:t>
            </w:r>
          </w:p>
        </w:tc>
        <w:tc>
          <w:tcPr>
            <w:tcW w:w="851" w:type="pct"/>
          </w:tcPr>
          <w:p w14:paraId="00FF7ACD" w14:textId="0F8ED26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3705A26" w14:textId="77777777" w:rsidTr="00530F33">
        <w:tc>
          <w:tcPr>
            <w:tcW w:w="385" w:type="pct"/>
          </w:tcPr>
          <w:p w14:paraId="352B88FD" w14:textId="283F2A8A"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100</w:t>
            </w:r>
          </w:p>
        </w:tc>
        <w:tc>
          <w:tcPr>
            <w:tcW w:w="1654" w:type="pct"/>
          </w:tcPr>
          <w:p w14:paraId="62331FE9" w14:textId="1A4FB598" w:rsidR="00411CB4" w:rsidRPr="001B6E4D" w:rsidRDefault="00411CB4" w:rsidP="003D1018">
            <w:pPr>
              <w:pStyle w:val="01"/>
              <w:overflowPunct w:val="0"/>
              <w:rPr>
                <w:rFonts w:hAnsi="標楷體"/>
                <w:sz w:val="24"/>
                <w:szCs w:val="24"/>
              </w:rPr>
            </w:pPr>
            <w:r w:rsidRPr="001B6E4D">
              <w:rPr>
                <w:rFonts w:hAnsi="標楷體"/>
                <w:sz w:val="24"/>
                <w:szCs w:val="24"/>
              </w:rPr>
              <w:t>考試院秘書長函送115年第1季媒體政策及業務宣導執行情形表，請查照案。</w:t>
            </w:r>
          </w:p>
        </w:tc>
        <w:tc>
          <w:tcPr>
            <w:tcW w:w="1147" w:type="pct"/>
          </w:tcPr>
          <w:p w14:paraId="5E5C0ADB" w14:textId="7EF64A4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考試院秘書長 115.05.29 （11-5-12）</w:t>
            </w:r>
          </w:p>
        </w:tc>
        <w:tc>
          <w:tcPr>
            <w:tcW w:w="963" w:type="pct"/>
          </w:tcPr>
          <w:p w14:paraId="0C194BE7" w14:textId="498D741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41819650" w14:textId="52AC7E6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A99F889" w14:textId="77777777" w:rsidTr="00530F33">
        <w:tc>
          <w:tcPr>
            <w:tcW w:w="385" w:type="pct"/>
          </w:tcPr>
          <w:p w14:paraId="61FE4A19" w14:textId="2FE0921D"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101</w:t>
            </w:r>
          </w:p>
        </w:tc>
        <w:tc>
          <w:tcPr>
            <w:tcW w:w="1654" w:type="pct"/>
          </w:tcPr>
          <w:p w14:paraId="736D9837" w14:textId="55521D0E" w:rsidR="00411CB4" w:rsidRPr="001B6E4D" w:rsidRDefault="00411CB4" w:rsidP="003D1018">
            <w:pPr>
              <w:pStyle w:val="01"/>
              <w:overflowPunct w:val="0"/>
              <w:rPr>
                <w:rFonts w:hAnsi="標楷體"/>
                <w:sz w:val="24"/>
                <w:szCs w:val="24"/>
              </w:rPr>
            </w:pPr>
            <w:r w:rsidRPr="001B6E4D">
              <w:rPr>
                <w:rFonts w:hAnsi="標楷體"/>
                <w:sz w:val="24"/>
                <w:szCs w:val="24"/>
              </w:rPr>
              <w:t>考試院秘書長函送115年第1季因公派員出國考察費用執行情形表，請查照案。</w:t>
            </w:r>
          </w:p>
        </w:tc>
        <w:tc>
          <w:tcPr>
            <w:tcW w:w="1147" w:type="pct"/>
          </w:tcPr>
          <w:p w14:paraId="4E756ED7" w14:textId="4A31769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考試院秘書長 115.05.29 （11-5-12）</w:t>
            </w:r>
          </w:p>
        </w:tc>
        <w:tc>
          <w:tcPr>
            <w:tcW w:w="963" w:type="pct"/>
          </w:tcPr>
          <w:p w14:paraId="0A2A0780" w14:textId="669FEDF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96E615E" w14:textId="207874B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C851E9F" w14:textId="77777777" w:rsidTr="00530F33">
        <w:tc>
          <w:tcPr>
            <w:tcW w:w="385" w:type="pct"/>
          </w:tcPr>
          <w:p w14:paraId="4CA15AB8" w14:textId="79F4B1F2"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102</w:t>
            </w:r>
          </w:p>
        </w:tc>
        <w:tc>
          <w:tcPr>
            <w:tcW w:w="1654" w:type="pct"/>
          </w:tcPr>
          <w:p w14:paraId="652229D8" w14:textId="3B5B783E" w:rsidR="00411CB4" w:rsidRPr="001B6E4D" w:rsidRDefault="00411CB4" w:rsidP="003D1018">
            <w:pPr>
              <w:pStyle w:val="01"/>
              <w:overflowPunct w:val="0"/>
              <w:rPr>
                <w:rFonts w:hAnsi="標楷體"/>
                <w:sz w:val="24"/>
                <w:szCs w:val="24"/>
              </w:rPr>
            </w:pPr>
            <w:r w:rsidRPr="001B6E4D">
              <w:rPr>
                <w:rFonts w:hAnsi="標楷體"/>
                <w:sz w:val="24"/>
                <w:szCs w:val="24"/>
              </w:rPr>
              <w:t>國史館函送115年第1季因公派員出國考察費用執行情形表，請查照案。</w:t>
            </w:r>
          </w:p>
        </w:tc>
        <w:tc>
          <w:tcPr>
            <w:tcW w:w="1147" w:type="pct"/>
          </w:tcPr>
          <w:p w14:paraId="6AAC3DF9" w14:textId="3F20A89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國史館 115.05.29 （11-5-12）</w:t>
            </w:r>
          </w:p>
        </w:tc>
        <w:tc>
          <w:tcPr>
            <w:tcW w:w="963" w:type="pct"/>
          </w:tcPr>
          <w:p w14:paraId="6CD278FC" w14:textId="62F02F99"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1783B3B" w14:textId="335EE7C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28D29318" w14:textId="77777777" w:rsidTr="00530F33">
        <w:tc>
          <w:tcPr>
            <w:tcW w:w="385" w:type="pct"/>
          </w:tcPr>
          <w:p w14:paraId="3CA48C38" w14:textId="3161D151"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103</w:t>
            </w:r>
          </w:p>
        </w:tc>
        <w:tc>
          <w:tcPr>
            <w:tcW w:w="1654" w:type="pct"/>
          </w:tcPr>
          <w:p w14:paraId="0FA408BA" w14:textId="10A7E2DA" w:rsidR="00411CB4" w:rsidRPr="001B6E4D" w:rsidRDefault="00411CB4" w:rsidP="003D1018">
            <w:pPr>
              <w:pStyle w:val="01"/>
              <w:overflowPunct w:val="0"/>
              <w:rPr>
                <w:rFonts w:hAnsi="標楷體"/>
                <w:sz w:val="24"/>
                <w:szCs w:val="24"/>
              </w:rPr>
            </w:pPr>
            <w:r w:rsidRPr="001B6E4D">
              <w:rPr>
                <w:rFonts w:hAnsi="標楷體"/>
                <w:sz w:val="24"/>
                <w:szCs w:val="24"/>
              </w:rPr>
              <w:t>司法院函送該院及所屬機關115年第1季「因公派員出國考察費用執行情形表」，請查照案。</w:t>
            </w:r>
          </w:p>
        </w:tc>
        <w:tc>
          <w:tcPr>
            <w:tcW w:w="1147" w:type="pct"/>
          </w:tcPr>
          <w:p w14:paraId="22EF8CE2" w14:textId="13B6712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115.06.26 （11-5-15）</w:t>
            </w:r>
          </w:p>
        </w:tc>
        <w:tc>
          <w:tcPr>
            <w:tcW w:w="963" w:type="pct"/>
          </w:tcPr>
          <w:p w14:paraId="5AFC6E40" w14:textId="5920BD1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11E7747" w14:textId="5802EAD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1DE7E357" w14:textId="77777777" w:rsidTr="00530F33">
        <w:tc>
          <w:tcPr>
            <w:tcW w:w="385" w:type="pct"/>
          </w:tcPr>
          <w:p w14:paraId="4B91013F" w14:textId="64093C65"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104</w:t>
            </w:r>
          </w:p>
        </w:tc>
        <w:tc>
          <w:tcPr>
            <w:tcW w:w="1654" w:type="pct"/>
          </w:tcPr>
          <w:p w14:paraId="14E9AF5F" w14:textId="515EECF2" w:rsidR="00411CB4" w:rsidRPr="001B6E4D" w:rsidRDefault="00411CB4" w:rsidP="003D1018">
            <w:pPr>
              <w:pStyle w:val="01"/>
              <w:overflowPunct w:val="0"/>
              <w:rPr>
                <w:rFonts w:hAnsi="標楷體"/>
                <w:sz w:val="24"/>
                <w:szCs w:val="24"/>
              </w:rPr>
            </w:pPr>
            <w:r w:rsidRPr="001B6E4D">
              <w:rPr>
                <w:rFonts w:hAnsi="標楷體"/>
                <w:sz w:val="24"/>
                <w:szCs w:val="24"/>
              </w:rPr>
              <w:t>司法院函送</w:t>
            </w:r>
            <w:proofErr w:type="gramStart"/>
            <w:r w:rsidRPr="001B6E4D">
              <w:rPr>
                <w:rFonts w:hAnsi="標楷體"/>
                <w:sz w:val="24"/>
                <w:szCs w:val="24"/>
              </w:rPr>
              <w:t>115</w:t>
            </w:r>
            <w:proofErr w:type="gramEnd"/>
            <w:r w:rsidRPr="001B6E4D">
              <w:rPr>
                <w:rFonts w:hAnsi="標楷體"/>
                <w:sz w:val="24"/>
                <w:szCs w:val="24"/>
              </w:rPr>
              <w:t>年度截至</w:t>
            </w:r>
            <w:proofErr w:type="gramStart"/>
            <w:r w:rsidRPr="001B6E4D">
              <w:rPr>
                <w:rFonts w:hAnsi="標楷體"/>
                <w:sz w:val="24"/>
                <w:szCs w:val="24"/>
              </w:rPr>
              <w:t>第1季止之</w:t>
            </w:r>
            <w:proofErr w:type="gramEnd"/>
            <w:r w:rsidRPr="001B6E4D">
              <w:rPr>
                <w:rFonts w:hAnsi="標楷體"/>
                <w:sz w:val="24"/>
                <w:szCs w:val="24"/>
              </w:rPr>
              <w:t>「公務預算對民間團體及個人補（捐）</w:t>
            </w:r>
            <w:r w:rsidRPr="001B6E4D">
              <w:rPr>
                <w:rFonts w:hAnsi="標楷體"/>
                <w:sz w:val="24"/>
                <w:szCs w:val="24"/>
              </w:rPr>
              <w:lastRenderedPageBreak/>
              <w:t>助經費彙總表」，請查照案。</w:t>
            </w:r>
          </w:p>
        </w:tc>
        <w:tc>
          <w:tcPr>
            <w:tcW w:w="1147" w:type="pct"/>
          </w:tcPr>
          <w:p w14:paraId="63F98F0D" w14:textId="41B4DC3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lastRenderedPageBreak/>
              <w:t>司法院 115.06.26 （11-5-15）</w:t>
            </w:r>
          </w:p>
        </w:tc>
        <w:tc>
          <w:tcPr>
            <w:tcW w:w="963" w:type="pct"/>
          </w:tcPr>
          <w:p w14:paraId="77F1C0C2" w14:textId="52716E8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107CC6EB" w14:textId="64A9A8CD"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E62FFB6" w14:textId="77777777" w:rsidTr="00530F33">
        <w:tc>
          <w:tcPr>
            <w:tcW w:w="385" w:type="pct"/>
          </w:tcPr>
          <w:p w14:paraId="0F952E23" w14:textId="46F8BE16"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105</w:t>
            </w:r>
          </w:p>
        </w:tc>
        <w:tc>
          <w:tcPr>
            <w:tcW w:w="1654" w:type="pct"/>
          </w:tcPr>
          <w:p w14:paraId="69179B9A" w14:textId="4FA12B15" w:rsidR="00411CB4" w:rsidRPr="001B6E4D" w:rsidRDefault="00411CB4" w:rsidP="003D1018">
            <w:pPr>
              <w:pStyle w:val="01"/>
              <w:overflowPunct w:val="0"/>
              <w:rPr>
                <w:rFonts w:hAnsi="標楷體"/>
                <w:sz w:val="24"/>
                <w:szCs w:val="24"/>
              </w:rPr>
            </w:pPr>
            <w:r w:rsidRPr="001B6E4D">
              <w:rPr>
                <w:rFonts w:hAnsi="標楷體"/>
                <w:sz w:val="24"/>
                <w:szCs w:val="24"/>
              </w:rPr>
              <w:t>司法院函送115年第1季媒體政策及業務宣導費預算分析報告，請查照案。</w:t>
            </w:r>
          </w:p>
        </w:tc>
        <w:tc>
          <w:tcPr>
            <w:tcW w:w="1147" w:type="pct"/>
          </w:tcPr>
          <w:p w14:paraId="49B94733" w14:textId="74FE9D5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115.06.26 （11-5-15）</w:t>
            </w:r>
          </w:p>
        </w:tc>
        <w:tc>
          <w:tcPr>
            <w:tcW w:w="963" w:type="pct"/>
          </w:tcPr>
          <w:p w14:paraId="63ED4AB7" w14:textId="66E7153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1582A7F" w14:textId="4A255CCF"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5F47EE18" w14:textId="77777777" w:rsidTr="00530F33">
        <w:tc>
          <w:tcPr>
            <w:tcW w:w="385" w:type="pct"/>
          </w:tcPr>
          <w:p w14:paraId="053CF715" w14:textId="65860554"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106</w:t>
            </w:r>
          </w:p>
        </w:tc>
        <w:tc>
          <w:tcPr>
            <w:tcW w:w="1654" w:type="pct"/>
          </w:tcPr>
          <w:p w14:paraId="0EDFA711" w14:textId="618755F5" w:rsidR="00411CB4" w:rsidRPr="001B6E4D" w:rsidRDefault="00411CB4" w:rsidP="003D1018">
            <w:pPr>
              <w:pStyle w:val="01"/>
              <w:overflowPunct w:val="0"/>
              <w:rPr>
                <w:rFonts w:hAnsi="標楷體"/>
                <w:sz w:val="24"/>
                <w:szCs w:val="24"/>
              </w:rPr>
            </w:pPr>
            <w:r w:rsidRPr="001B6E4D">
              <w:rPr>
                <w:rFonts w:hAnsi="標楷體"/>
                <w:sz w:val="24"/>
                <w:szCs w:val="24"/>
              </w:rPr>
              <w:t>法務部函送</w:t>
            </w:r>
            <w:proofErr w:type="gramStart"/>
            <w:r w:rsidRPr="001B6E4D">
              <w:rPr>
                <w:rFonts w:hAnsi="標楷體"/>
                <w:sz w:val="24"/>
                <w:szCs w:val="24"/>
              </w:rPr>
              <w:t>該部及所屬</w:t>
            </w:r>
            <w:proofErr w:type="gramEnd"/>
            <w:r w:rsidRPr="001B6E4D">
              <w:rPr>
                <w:rFonts w:hAnsi="標楷體"/>
                <w:sz w:val="24"/>
                <w:szCs w:val="24"/>
              </w:rPr>
              <w:t>機關115年第1季「因公派員出國考察費用執行情形表」，請查照案。</w:t>
            </w:r>
          </w:p>
        </w:tc>
        <w:tc>
          <w:tcPr>
            <w:tcW w:w="1147" w:type="pct"/>
          </w:tcPr>
          <w:p w14:paraId="3518E0C3" w14:textId="1FF98E2B"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115.06.26 （11-5-15）</w:t>
            </w:r>
          </w:p>
        </w:tc>
        <w:tc>
          <w:tcPr>
            <w:tcW w:w="963" w:type="pct"/>
          </w:tcPr>
          <w:p w14:paraId="16736B6A" w14:textId="43CFCC4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4EC7B6D" w14:textId="15DBC22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46DE71D" w14:textId="77777777" w:rsidTr="00530F33">
        <w:tc>
          <w:tcPr>
            <w:tcW w:w="385" w:type="pct"/>
          </w:tcPr>
          <w:p w14:paraId="373CECFF" w14:textId="67482251"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hint="eastAsia"/>
                <w:sz w:val="24"/>
              </w:rPr>
              <w:t>107</w:t>
            </w:r>
          </w:p>
        </w:tc>
        <w:tc>
          <w:tcPr>
            <w:tcW w:w="1654" w:type="pct"/>
          </w:tcPr>
          <w:p w14:paraId="375CD698" w14:textId="55597503" w:rsidR="00411CB4" w:rsidRPr="001B6E4D" w:rsidRDefault="00411CB4" w:rsidP="003D1018">
            <w:pPr>
              <w:pStyle w:val="01"/>
              <w:overflowPunct w:val="0"/>
              <w:rPr>
                <w:rFonts w:hAnsi="標楷體"/>
                <w:sz w:val="24"/>
                <w:szCs w:val="24"/>
              </w:rPr>
            </w:pPr>
            <w:r w:rsidRPr="001B6E4D">
              <w:rPr>
                <w:rFonts w:hAnsi="標楷體" w:hint="eastAsia"/>
                <w:sz w:val="24"/>
                <w:szCs w:val="24"/>
              </w:rPr>
              <w:t>法務部函送115年第1季「媒體政策及業務宣導執行情形表」，請查照案。</w:t>
            </w:r>
          </w:p>
        </w:tc>
        <w:tc>
          <w:tcPr>
            <w:tcW w:w="1147" w:type="pct"/>
          </w:tcPr>
          <w:p w14:paraId="7FA14488" w14:textId="63EACA08" w:rsidR="00411CB4" w:rsidRPr="001B6E4D" w:rsidRDefault="00411CB4" w:rsidP="003D1018">
            <w:pPr>
              <w:overflowPunct w:val="0"/>
              <w:rPr>
                <w:rFonts w:ascii="標楷體" w:eastAsia="標楷體" w:hAnsi="標楷體"/>
                <w:sz w:val="24"/>
              </w:rPr>
            </w:pPr>
            <w:r w:rsidRPr="001B6E4D">
              <w:rPr>
                <w:rFonts w:ascii="標楷體" w:eastAsia="標楷體" w:hAnsi="標楷體" w:hint="eastAsia"/>
                <w:sz w:val="24"/>
              </w:rPr>
              <w:t>法務部 115.07.24 （11-5-19）</w:t>
            </w:r>
          </w:p>
        </w:tc>
        <w:tc>
          <w:tcPr>
            <w:tcW w:w="963" w:type="pct"/>
          </w:tcPr>
          <w:p w14:paraId="68CF01E6" w14:textId="41557BDC"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888D55B" w14:textId="077D706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0923F59" w14:textId="77777777" w:rsidTr="00530F33">
        <w:tc>
          <w:tcPr>
            <w:tcW w:w="385" w:type="pct"/>
          </w:tcPr>
          <w:p w14:paraId="5CA8798F" w14:textId="45950E8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108</w:t>
            </w:r>
          </w:p>
        </w:tc>
        <w:tc>
          <w:tcPr>
            <w:tcW w:w="1654" w:type="pct"/>
          </w:tcPr>
          <w:p w14:paraId="464C5451" w14:textId="025B18AE" w:rsidR="00411CB4" w:rsidRPr="001B6E4D" w:rsidRDefault="00411CB4" w:rsidP="003D1018">
            <w:pPr>
              <w:pStyle w:val="01"/>
              <w:overflowPunct w:val="0"/>
              <w:rPr>
                <w:rFonts w:hAnsi="標楷體"/>
                <w:sz w:val="24"/>
                <w:szCs w:val="24"/>
              </w:rPr>
            </w:pPr>
            <w:r w:rsidRPr="001B6E4D">
              <w:rPr>
                <w:rFonts w:hAnsi="標楷體"/>
                <w:sz w:val="24"/>
                <w:szCs w:val="24"/>
              </w:rPr>
              <w:t>法務部函送115年第1季中央政府預算補助社會團體、人民團體、財團法人及個人之補助經費概況表，請查照案。</w:t>
            </w:r>
          </w:p>
        </w:tc>
        <w:tc>
          <w:tcPr>
            <w:tcW w:w="1147" w:type="pct"/>
          </w:tcPr>
          <w:p w14:paraId="794B7A71" w14:textId="7BCE713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115.08.14 （11-5-22）</w:t>
            </w:r>
          </w:p>
        </w:tc>
        <w:tc>
          <w:tcPr>
            <w:tcW w:w="963" w:type="pct"/>
          </w:tcPr>
          <w:p w14:paraId="5FA54B24" w14:textId="39D98EE4"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63409B4A" w14:textId="6A4B97D1"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1BBEFE4" w14:textId="77777777" w:rsidTr="00530F33">
        <w:tc>
          <w:tcPr>
            <w:tcW w:w="385" w:type="pct"/>
          </w:tcPr>
          <w:p w14:paraId="4638270A" w14:textId="21EE9D9A"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109</w:t>
            </w:r>
          </w:p>
        </w:tc>
        <w:tc>
          <w:tcPr>
            <w:tcW w:w="1654" w:type="pct"/>
          </w:tcPr>
          <w:p w14:paraId="733E88D1" w14:textId="5A20D106" w:rsidR="00411CB4" w:rsidRPr="001B6E4D" w:rsidRDefault="00411CB4" w:rsidP="003D1018">
            <w:pPr>
              <w:pStyle w:val="01"/>
              <w:overflowPunct w:val="0"/>
              <w:rPr>
                <w:rFonts w:hAnsi="標楷體"/>
                <w:sz w:val="24"/>
                <w:szCs w:val="24"/>
              </w:rPr>
            </w:pPr>
            <w:r w:rsidRPr="001B6E4D">
              <w:rPr>
                <w:rFonts w:hAnsi="標楷體"/>
                <w:sz w:val="24"/>
                <w:szCs w:val="24"/>
              </w:rPr>
              <w:t>總統府函送115年第2季媒體政策及業務宣導執行情形表，請查照案。</w:t>
            </w:r>
          </w:p>
        </w:tc>
        <w:tc>
          <w:tcPr>
            <w:tcW w:w="1147" w:type="pct"/>
          </w:tcPr>
          <w:p w14:paraId="4113A021" w14:textId="37FFA6E0"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總統府 115.08.21 （11-5-23）</w:t>
            </w:r>
          </w:p>
        </w:tc>
        <w:tc>
          <w:tcPr>
            <w:tcW w:w="963" w:type="pct"/>
          </w:tcPr>
          <w:p w14:paraId="28F2E28A" w14:textId="65B1B51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司法及法制、教育及文化</w:t>
            </w:r>
          </w:p>
        </w:tc>
        <w:tc>
          <w:tcPr>
            <w:tcW w:w="851" w:type="pct"/>
          </w:tcPr>
          <w:p w14:paraId="08E985BA" w14:textId="6D7D2BC3"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43AD69C6" w14:textId="77777777" w:rsidTr="00530F33">
        <w:tc>
          <w:tcPr>
            <w:tcW w:w="385" w:type="pct"/>
          </w:tcPr>
          <w:p w14:paraId="645C3016" w14:textId="6EBF969D"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110</w:t>
            </w:r>
          </w:p>
        </w:tc>
        <w:tc>
          <w:tcPr>
            <w:tcW w:w="1654" w:type="pct"/>
          </w:tcPr>
          <w:p w14:paraId="3FADA651" w14:textId="4701F308" w:rsidR="00411CB4" w:rsidRPr="001B6E4D" w:rsidRDefault="00411CB4" w:rsidP="003D1018">
            <w:pPr>
              <w:pStyle w:val="01"/>
              <w:overflowPunct w:val="0"/>
              <w:rPr>
                <w:rFonts w:hAnsi="標楷體"/>
                <w:sz w:val="24"/>
                <w:szCs w:val="24"/>
              </w:rPr>
            </w:pPr>
            <w:r w:rsidRPr="001B6E4D">
              <w:rPr>
                <w:rFonts w:hAnsi="標楷體"/>
                <w:sz w:val="24"/>
                <w:szCs w:val="24"/>
              </w:rPr>
              <w:t>國史館函送115年第2季因公派員出國考察費用執行情形表，請查照案。</w:t>
            </w:r>
          </w:p>
        </w:tc>
        <w:tc>
          <w:tcPr>
            <w:tcW w:w="1147" w:type="pct"/>
          </w:tcPr>
          <w:p w14:paraId="03D2419A" w14:textId="30D5464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國史館 115.08.21 （11-5-23）</w:t>
            </w:r>
          </w:p>
        </w:tc>
        <w:tc>
          <w:tcPr>
            <w:tcW w:w="963" w:type="pct"/>
          </w:tcPr>
          <w:p w14:paraId="342B720F" w14:textId="00F52F5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01C37D5F" w14:textId="5925DC8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060594CB" w14:textId="77777777" w:rsidTr="00530F33">
        <w:tc>
          <w:tcPr>
            <w:tcW w:w="385" w:type="pct"/>
          </w:tcPr>
          <w:p w14:paraId="3613BB65" w14:textId="1F29EE3D"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111</w:t>
            </w:r>
          </w:p>
        </w:tc>
        <w:tc>
          <w:tcPr>
            <w:tcW w:w="1654" w:type="pct"/>
          </w:tcPr>
          <w:p w14:paraId="2E08D80D" w14:textId="26A5605F" w:rsidR="00411CB4" w:rsidRPr="001B6E4D" w:rsidRDefault="00411CB4" w:rsidP="003D1018">
            <w:pPr>
              <w:pStyle w:val="01"/>
              <w:overflowPunct w:val="0"/>
              <w:rPr>
                <w:rFonts w:hAnsi="標楷體"/>
                <w:sz w:val="24"/>
                <w:szCs w:val="24"/>
              </w:rPr>
            </w:pPr>
            <w:r w:rsidRPr="001B6E4D">
              <w:rPr>
                <w:rFonts w:hAnsi="標楷體"/>
                <w:sz w:val="24"/>
                <w:szCs w:val="24"/>
              </w:rPr>
              <w:t>考試院秘書長函送115年第2季因公派員出國考察費用執行情形表，請查照案。</w:t>
            </w:r>
          </w:p>
        </w:tc>
        <w:tc>
          <w:tcPr>
            <w:tcW w:w="1147" w:type="pct"/>
          </w:tcPr>
          <w:p w14:paraId="245533B4" w14:textId="316ED78E"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考試院秘書長 115.08.21 （11-5-23）</w:t>
            </w:r>
          </w:p>
        </w:tc>
        <w:tc>
          <w:tcPr>
            <w:tcW w:w="963" w:type="pct"/>
          </w:tcPr>
          <w:p w14:paraId="73AD5714" w14:textId="04504186"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5BF2A089" w14:textId="15EE6A7A"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7D6237A8" w14:textId="77777777" w:rsidTr="00530F33">
        <w:tc>
          <w:tcPr>
            <w:tcW w:w="385" w:type="pct"/>
          </w:tcPr>
          <w:p w14:paraId="12D4B41F" w14:textId="3BFE2144"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112</w:t>
            </w:r>
          </w:p>
        </w:tc>
        <w:tc>
          <w:tcPr>
            <w:tcW w:w="1654" w:type="pct"/>
          </w:tcPr>
          <w:p w14:paraId="050EC73B" w14:textId="1F4F03A6" w:rsidR="00411CB4" w:rsidRPr="001B6E4D" w:rsidRDefault="00411CB4" w:rsidP="003D1018">
            <w:pPr>
              <w:pStyle w:val="01"/>
              <w:overflowPunct w:val="0"/>
              <w:rPr>
                <w:rFonts w:hAnsi="標楷體"/>
                <w:sz w:val="24"/>
                <w:szCs w:val="24"/>
              </w:rPr>
            </w:pPr>
            <w:r w:rsidRPr="001B6E4D">
              <w:rPr>
                <w:rFonts w:hAnsi="標楷體"/>
                <w:sz w:val="24"/>
                <w:szCs w:val="24"/>
              </w:rPr>
              <w:t>司法院函送</w:t>
            </w:r>
            <w:proofErr w:type="gramStart"/>
            <w:r w:rsidRPr="001B6E4D">
              <w:rPr>
                <w:rFonts w:hAnsi="標楷體"/>
                <w:sz w:val="24"/>
                <w:szCs w:val="24"/>
              </w:rPr>
              <w:t>115</w:t>
            </w:r>
            <w:proofErr w:type="gramEnd"/>
            <w:r w:rsidRPr="001B6E4D">
              <w:rPr>
                <w:rFonts w:hAnsi="標楷體"/>
                <w:sz w:val="24"/>
                <w:szCs w:val="24"/>
              </w:rPr>
              <w:t>年度截至</w:t>
            </w:r>
            <w:proofErr w:type="gramStart"/>
            <w:r w:rsidRPr="001B6E4D">
              <w:rPr>
                <w:rFonts w:hAnsi="標楷體"/>
                <w:sz w:val="24"/>
                <w:szCs w:val="24"/>
              </w:rPr>
              <w:t>第2季止之</w:t>
            </w:r>
            <w:proofErr w:type="gramEnd"/>
            <w:r w:rsidRPr="001B6E4D">
              <w:rPr>
                <w:rFonts w:hAnsi="標楷體"/>
                <w:sz w:val="24"/>
                <w:szCs w:val="24"/>
              </w:rPr>
              <w:t>「公務預算對民間團體及個人補（捐）助經費彙總表」，請查照案。</w:t>
            </w:r>
          </w:p>
        </w:tc>
        <w:tc>
          <w:tcPr>
            <w:tcW w:w="1147" w:type="pct"/>
          </w:tcPr>
          <w:p w14:paraId="22FDDE3A" w14:textId="354BB7E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司法院 115.08.21 （11-5-23）</w:t>
            </w:r>
          </w:p>
        </w:tc>
        <w:tc>
          <w:tcPr>
            <w:tcW w:w="963" w:type="pct"/>
          </w:tcPr>
          <w:p w14:paraId="00432EF7" w14:textId="34DA95B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2C6D6FAE" w14:textId="40ADAEC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r w:rsidR="00411CB4" w:rsidRPr="001B6E4D" w14:paraId="6F309BC5" w14:textId="77777777" w:rsidTr="00530F33">
        <w:tc>
          <w:tcPr>
            <w:tcW w:w="385" w:type="pct"/>
          </w:tcPr>
          <w:p w14:paraId="09C302D4" w14:textId="36D4C0D7" w:rsidR="00411CB4" w:rsidRPr="001B6E4D" w:rsidRDefault="00411CB4" w:rsidP="003D1018">
            <w:pPr>
              <w:overflowPunct w:val="0"/>
              <w:jc w:val="center"/>
              <w:rPr>
                <w:rFonts w:ascii="標楷體" w:eastAsia="標楷體" w:hAnsi="標楷體"/>
                <w:sz w:val="24"/>
              </w:rPr>
            </w:pPr>
            <w:r w:rsidRPr="001B6E4D">
              <w:rPr>
                <w:rFonts w:ascii="標楷體" w:eastAsia="標楷體" w:hAnsi="標楷體"/>
                <w:sz w:val="24"/>
              </w:rPr>
              <w:t>113</w:t>
            </w:r>
          </w:p>
        </w:tc>
        <w:tc>
          <w:tcPr>
            <w:tcW w:w="1654" w:type="pct"/>
          </w:tcPr>
          <w:p w14:paraId="19503F88" w14:textId="1AF6BDB7" w:rsidR="00411CB4" w:rsidRPr="001B6E4D" w:rsidRDefault="00411CB4" w:rsidP="003D1018">
            <w:pPr>
              <w:pStyle w:val="01"/>
              <w:overflowPunct w:val="0"/>
              <w:rPr>
                <w:rFonts w:hAnsi="標楷體"/>
                <w:sz w:val="24"/>
                <w:szCs w:val="24"/>
              </w:rPr>
            </w:pPr>
            <w:r w:rsidRPr="001B6E4D">
              <w:rPr>
                <w:rFonts w:hAnsi="標楷體"/>
                <w:sz w:val="24"/>
                <w:szCs w:val="24"/>
              </w:rPr>
              <w:t>法務部函送115年第2季中央政府預算補助社會團體、人民團體、財團法人及個人之補助經費概況表，請查照案。</w:t>
            </w:r>
          </w:p>
        </w:tc>
        <w:tc>
          <w:tcPr>
            <w:tcW w:w="1147" w:type="pct"/>
          </w:tcPr>
          <w:p w14:paraId="36A206F2" w14:textId="06D8E582"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法務部 115.08.21 （11-5-23）</w:t>
            </w:r>
          </w:p>
        </w:tc>
        <w:tc>
          <w:tcPr>
            <w:tcW w:w="963" w:type="pct"/>
          </w:tcPr>
          <w:p w14:paraId="00F130C8" w14:textId="49E95F67"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司法及法制</w:t>
            </w:r>
          </w:p>
        </w:tc>
        <w:tc>
          <w:tcPr>
            <w:tcW w:w="851" w:type="pct"/>
          </w:tcPr>
          <w:p w14:paraId="3FE92B58" w14:textId="18FDCE95" w:rsidR="00411CB4" w:rsidRPr="001B6E4D" w:rsidRDefault="00411CB4" w:rsidP="003D1018">
            <w:pPr>
              <w:overflowPunct w:val="0"/>
              <w:rPr>
                <w:rFonts w:ascii="標楷體" w:eastAsia="標楷體" w:hAnsi="標楷體"/>
                <w:sz w:val="24"/>
              </w:rPr>
            </w:pPr>
            <w:r w:rsidRPr="001B6E4D">
              <w:rPr>
                <w:rFonts w:ascii="標楷體" w:eastAsia="標楷體" w:hAnsi="標楷體"/>
                <w:sz w:val="24"/>
              </w:rPr>
              <w:t>尚未審查</w:t>
            </w:r>
          </w:p>
        </w:tc>
      </w:tr>
    </w:tbl>
    <w:p w14:paraId="30E36A2B" w14:textId="532D1083" w:rsidR="005632E1" w:rsidRPr="001B6E4D" w:rsidRDefault="009B28A5" w:rsidP="003D1018">
      <w:pPr>
        <w:pStyle w:val="-f3"/>
        <w:kinsoku w:val="0"/>
        <w:overflowPunct w:val="0"/>
        <w:topLinePunct/>
        <w:spacing w:beforeLines="100" w:before="240" w:after="120"/>
        <w:ind w:leftChars="128" w:left="307" w:firstLineChars="140" w:firstLine="392"/>
        <w:rPr>
          <w:rFonts w:ascii="標楷體" w:hAnsi="標楷體"/>
          <w:color w:val="000000" w:themeColor="text1"/>
          <w:szCs w:val="28"/>
          <w:shd w:val="clear" w:color="auto" w:fill="FFFFFF" w:themeFill="background1"/>
        </w:rPr>
      </w:pPr>
      <w:bookmarkStart w:id="394" w:name="_Toc136594886"/>
      <w:bookmarkStart w:id="395" w:name="_Toc240446568"/>
      <w:r w:rsidRPr="001B6E4D">
        <w:rPr>
          <w:rFonts w:ascii="標楷體" w:hAnsi="標楷體"/>
          <w:color w:val="000000" w:themeColor="text1"/>
          <w:szCs w:val="28"/>
          <w:shd w:val="clear" w:color="auto" w:fill="FFFFFF" w:themeFill="background1"/>
        </w:rPr>
        <w:lastRenderedPageBreak/>
        <w:t>〔</w:t>
      </w:r>
      <w:r w:rsidRPr="001B6E4D">
        <w:rPr>
          <w:rFonts w:ascii="標楷體" w:hAnsi="標楷體" w:hint="eastAsia"/>
          <w:color w:val="000000" w:themeColor="text1"/>
          <w:szCs w:val="28"/>
          <w:shd w:val="clear" w:color="auto" w:fill="FFFFFF" w:themeFill="background1"/>
        </w:rPr>
        <w:t>參</w:t>
      </w:r>
      <w:r w:rsidRPr="001B6E4D">
        <w:rPr>
          <w:rFonts w:ascii="標楷體" w:hAnsi="標楷體"/>
          <w:color w:val="000000" w:themeColor="text1"/>
          <w:szCs w:val="28"/>
          <w:shd w:val="clear" w:color="auto" w:fill="FFFFFF" w:themeFill="background1"/>
        </w:rPr>
        <w:t>〕行政命令案</w:t>
      </w:r>
      <w:r w:rsidR="0097692E" w:rsidRPr="001B6E4D">
        <w:rPr>
          <w:rFonts w:ascii="標楷體" w:hAnsi="標楷體" w:hint="eastAsia"/>
          <w:color w:val="000000" w:themeColor="text1"/>
          <w:szCs w:val="28"/>
          <w:shd w:val="clear" w:color="auto" w:fill="FFFFFF" w:themeFill="background1"/>
        </w:rPr>
        <w:t>3</w:t>
      </w:r>
      <w:r w:rsidRPr="001B6E4D">
        <w:rPr>
          <w:rFonts w:ascii="標楷體" w:hAnsi="標楷體"/>
          <w:color w:val="000000" w:themeColor="text1"/>
          <w:szCs w:val="28"/>
          <w:shd w:val="clear" w:color="auto" w:fill="FFFFFF" w:themeFill="background1"/>
        </w:rPr>
        <w:t>案</w:t>
      </w:r>
      <w:bookmarkEnd w:id="394"/>
      <w:bookmarkEnd w:id="395"/>
    </w:p>
    <w:tbl>
      <w:tblPr>
        <w:tblStyle w:val="2280"/>
        <w:tblW w:w="5042" w:type="pct"/>
        <w:tblInd w:w="-2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543"/>
        <w:gridCol w:w="2861"/>
        <w:gridCol w:w="1985"/>
        <w:gridCol w:w="1698"/>
        <w:gridCol w:w="1605"/>
      </w:tblGrid>
      <w:tr w:rsidR="005632E1" w:rsidRPr="001B6E4D" w14:paraId="1A6DFBEE" w14:textId="77777777" w:rsidTr="004E73AC">
        <w:tc>
          <w:tcPr>
            <w:tcW w:w="312" w:type="pct"/>
            <w:vAlign w:val="center"/>
          </w:tcPr>
          <w:p w14:paraId="1F6CC3DF" w14:textId="77777777" w:rsidR="005632E1" w:rsidRPr="001B6E4D" w:rsidRDefault="005632E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646" w:type="pct"/>
            <w:vAlign w:val="center"/>
          </w:tcPr>
          <w:p w14:paraId="2AA30A18" w14:textId="77777777" w:rsidR="005632E1" w:rsidRPr="001B6E4D" w:rsidRDefault="005632E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42" w:type="pct"/>
            <w:vAlign w:val="center"/>
          </w:tcPr>
          <w:p w14:paraId="4BC70A84" w14:textId="77777777" w:rsidR="005632E1" w:rsidRPr="001B6E4D" w:rsidRDefault="005632E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2DEB54F4" w14:textId="77777777" w:rsidR="005632E1" w:rsidRPr="001B6E4D" w:rsidRDefault="005632E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3826D6CE" w14:textId="77777777" w:rsidR="005632E1" w:rsidRPr="001B6E4D" w:rsidRDefault="005632E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77" w:type="pct"/>
            <w:vAlign w:val="center"/>
          </w:tcPr>
          <w:p w14:paraId="450B5F39" w14:textId="63D129FE" w:rsidR="005632E1" w:rsidRPr="001B6E4D" w:rsidRDefault="005632E1"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委員會</w:t>
            </w:r>
          </w:p>
        </w:tc>
        <w:tc>
          <w:tcPr>
            <w:tcW w:w="923" w:type="pct"/>
            <w:vAlign w:val="center"/>
          </w:tcPr>
          <w:p w14:paraId="6050E4FF" w14:textId="4AF09B1E" w:rsidR="005632E1" w:rsidRPr="001B6E4D" w:rsidRDefault="004E73A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pacing w:val="-28"/>
                <w:sz w:val="24"/>
                <w:shd w:val="clear" w:color="auto" w:fill="FFFFFF" w:themeFill="background1"/>
              </w:rPr>
              <w:t>審查</w:t>
            </w:r>
            <w:r w:rsidRPr="001B6E4D">
              <w:rPr>
                <w:rFonts w:ascii="標楷體" w:eastAsia="標楷體" w:hAnsi="標楷體" w:hint="eastAsia"/>
                <w:b/>
                <w:color w:val="000000" w:themeColor="text1"/>
                <w:spacing w:val="-28"/>
                <w:sz w:val="24"/>
                <w:shd w:val="clear" w:color="auto" w:fill="FFFFFF" w:themeFill="background1"/>
              </w:rPr>
              <w:t>、處理</w:t>
            </w:r>
            <w:r w:rsidRPr="001B6E4D">
              <w:rPr>
                <w:rFonts w:ascii="標楷體" w:eastAsia="標楷體" w:hAnsi="標楷體"/>
                <w:b/>
                <w:color w:val="000000" w:themeColor="text1"/>
                <w:spacing w:val="-28"/>
                <w:sz w:val="24"/>
                <w:shd w:val="clear" w:color="auto" w:fill="FFFFFF" w:themeFill="background1"/>
              </w:rPr>
              <w:t>情形</w:t>
            </w:r>
          </w:p>
        </w:tc>
      </w:tr>
      <w:tr w:rsidR="0097692E" w:rsidRPr="001B6E4D" w14:paraId="45B3740A" w14:textId="77777777" w:rsidTr="00591655">
        <w:tc>
          <w:tcPr>
            <w:tcW w:w="312" w:type="pct"/>
          </w:tcPr>
          <w:p w14:paraId="3EEC9C20" w14:textId="7F8BE2AC" w:rsidR="0097692E" w:rsidRPr="001B6E4D" w:rsidRDefault="0097692E"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w:t>
            </w:r>
          </w:p>
        </w:tc>
        <w:tc>
          <w:tcPr>
            <w:tcW w:w="1646" w:type="pct"/>
          </w:tcPr>
          <w:p w14:paraId="162E410F" w14:textId="3483CE7B" w:rsidR="0097692E" w:rsidRPr="001B6E4D" w:rsidRDefault="0097692E"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衛生</w:t>
            </w:r>
            <w:proofErr w:type="gramStart"/>
            <w:r w:rsidRPr="001B6E4D">
              <w:rPr>
                <w:rFonts w:ascii="標楷體" w:eastAsia="標楷體" w:hAnsi="標楷體"/>
                <w:sz w:val="24"/>
              </w:rPr>
              <w:t>福利部函</w:t>
            </w:r>
            <w:proofErr w:type="gramEnd"/>
            <w:r w:rsidRPr="001B6E4D">
              <w:rPr>
                <w:rFonts w:ascii="標楷體" w:eastAsia="標楷體" w:hAnsi="標楷體"/>
                <w:sz w:val="24"/>
              </w:rPr>
              <w:t>，為修正「衛生福利部優生保健諮詢會組織規程」第三條及第五條條文，請查照案。</w:t>
            </w:r>
          </w:p>
        </w:tc>
        <w:tc>
          <w:tcPr>
            <w:tcW w:w="1142" w:type="pct"/>
          </w:tcPr>
          <w:p w14:paraId="3F951109" w14:textId="77777777"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衛生福利部</w:t>
            </w:r>
          </w:p>
          <w:p w14:paraId="54BB63A1" w14:textId="77777777"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115.07.17</w:t>
            </w:r>
          </w:p>
          <w:p w14:paraId="0782903A" w14:textId="33E9FDC4" w:rsidR="0097692E" w:rsidRPr="001B6E4D" w:rsidRDefault="0097692E" w:rsidP="003D1018">
            <w:pPr>
              <w:overflowPunct w:val="0"/>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（11-5-18）</w:t>
            </w:r>
          </w:p>
        </w:tc>
        <w:tc>
          <w:tcPr>
            <w:tcW w:w="977" w:type="pct"/>
          </w:tcPr>
          <w:p w14:paraId="36E3C841" w14:textId="32B91FB8" w:rsidR="0097692E" w:rsidRPr="001B6E4D" w:rsidRDefault="0097692E" w:rsidP="003D1018">
            <w:pPr>
              <w:kinsoku w:val="0"/>
              <w:overflowPunct w:val="0"/>
              <w:topLinePunct/>
              <w:spacing w:line="300" w:lineRule="exact"/>
              <w:jc w:val="both"/>
              <w:rPr>
                <w:rFonts w:ascii="標楷體" w:eastAsia="標楷體" w:hAnsi="標楷體"/>
                <w:b/>
                <w:color w:val="000000" w:themeColor="text1"/>
                <w:sz w:val="24"/>
                <w:shd w:val="clear" w:color="auto" w:fill="FFFFFF" w:themeFill="background1"/>
              </w:rPr>
            </w:pPr>
            <w:r w:rsidRPr="001B6E4D">
              <w:rPr>
                <w:rFonts w:ascii="標楷體" w:eastAsia="標楷體" w:hAnsi="標楷體"/>
                <w:sz w:val="24"/>
              </w:rPr>
              <w:t>司法及法制、社會福利及衛生環境</w:t>
            </w:r>
          </w:p>
        </w:tc>
        <w:tc>
          <w:tcPr>
            <w:tcW w:w="923" w:type="pct"/>
          </w:tcPr>
          <w:p w14:paraId="5B862E84" w14:textId="0302B5AE" w:rsidR="0097692E" w:rsidRPr="001B6E4D" w:rsidRDefault="0097692E" w:rsidP="003D1018">
            <w:pPr>
              <w:kinsoku w:val="0"/>
              <w:overflowPunct w:val="0"/>
              <w:topLinePunct/>
              <w:spacing w:line="300" w:lineRule="exact"/>
              <w:jc w:val="both"/>
              <w:rPr>
                <w:rFonts w:ascii="標楷體" w:eastAsia="標楷體" w:hAnsi="標楷體"/>
                <w:b/>
                <w:color w:val="000000" w:themeColor="text1"/>
                <w:spacing w:val="-28"/>
                <w:sz w:val="24"/>
                <w:shd w:val="clear" w:color="auto" w:fill="FFFFFF" w:themeFill="background1"/>
              </w:rPr>
            </w:pPr>
            <w:r w:rsidRPr="001B6E4D">
              <w:rPr>
                <w:rFonts w:ascii="標楷體" w:eastAsia="標楷體" w:hAnsi="標楷體"/>
                <w:sz w:val="24"/>
              </w:rPr>
              <w:t>尚未審查</w:t>
            </w:r>
          </w:p>
        </w:tc>
      </w:tr>
      <w:tr w:rsidR="0097692E" w:rsidRPr="001B6E4D" w14:paraId="43ED5BF2" w14:textId="77777777" w:rsidTr="004E73AC">
        <w:tc>
          <w:tcPr>
            <w:tcW w:w="312" w:type="pct"/>
          </w:tcPr>
          <w:p w14:paraId="0866A584" w14:textId="2336C789" w:rsidR="0097692E" w:rsidRPr="001B6E4D" w:rsidRDefault="0097692E" w:rsidP="003D1018">
            <w:pPr>
              <w:overflowPunct w:val="0"/>
              <w:jc w:val="center"/>
              <w:rPr>
                <w:rFonts w:ascii="標楷體" w:eastAsia="標楷體" w:hAnsi="標楷體"/>
                <w:sz w:val="24"/>
              </w:rPr>
            </w:pPr>
            <w:r w:rsidRPr="001B6E4D">
              <w:rPr>
                <w:rFonts w:ascii="標楷體" w:eastAsia="標楷體" w:hAnsi="標楷體" w:hint="eastAsia"/>
                <w:sz w:val="24"/>
              </w:rPr>
              <w:t>2</w:t>
            </w:r>
          </w:p>
        </w:tc>
        <w:tc>
          <w:tcPr>
            <w:tcW w:w="1646" w:type="pct"/>
          </w:tcPr>
          <w:p w14:paraId="64E87A70" w14:textId="754AEB62" w:rsidR="0097692E" w:rsidRPr="001B6E4D" w:rsidRDefault="0097692E" w:rsidP="003D1018">
            <w:pPr>
              <w:overflowPunct w:val="0"/>
              <w:spacing w:line="360" w:lineRule="exact"/>
              <w:jc w:val="both"/>
              <w:rPr>
                <w:rFonts w:ascii="標楷體" w:eastAsia="標楷體" w:hAnsi="標楷體"/>
                <w:sz w:val="24"/>
              </w:rPr>
            </w:pPr>
            <w:r w:rsidRPr="001B6E4D">
              <w:rPr>
                <w:rFonts w:ascii="標楷體" w:eastAsia="標楷體" w:hAnsi="標楷體"/>
                <w:sz w:val="24"/>
              </w:rPr>
              <w:t>衛生</w:t>
            </w:r>
            <w:proofErr w:type="gramStart"/>
            <w:r w:rsidRPr="001B6E4D">
              <w:rPr>
                <w:rFonts w:ascii="標楷體" w:eastAsia="標楷體" w:hAnsi="標楷體"/>
                <w:sz w:val="24"/>
              </w:rPr>
              <w:t>福利部函</w:t>
            </w:r>
            <w:proofErr w:type="gramEnd"/>
            <w:r w:rsidRPr="001B6E4D">
              <w:rPr>
                <w:rFonts w:ascii="標楷體" w:eastAsia="標楷體" w:hAnsi="標楷體"/>
                <w:sz w:val="24"/>
              </w:rPr>
              <w:t>，為修正「衛生</w:t>
            </w:r>
            <w:proofErr w:type="gramStart"/>
            <w:r w:rsidRPr="001B6E4D">
              <w:rPr>
                <w:rFonts w:ascii="標楷體" w:eastAsia="標楷體" w:hAnsi="標楷體"/>
                <w:sz w:val="24"/>
              </w:rPr>
              <w:t>福利部各醫院</w:t>
            </w:r>
            <w:proofErr w:type="gramEnd"/>
            <w:r w:rsidRPr="001B6E4D">
              <w:rPr>
                <w:rFonts w:ascii="標楷體" w:eastAsia="標楷體" w:hAnsi="標楷體"/>
                <w:sz w:val="24"/>
              </w:rPr>
              <w:t>辦事細則」第七十七條條文、第四條附表及「衛生</w:t>
            </w:r>
            <w:proofErr w:type="gramStart"/>
            <w:r w:rsidRPr="001B6E4D">
              <w:rPr>
                <w:rFonts w:ascii="標楷體" w:eastAsia="標楷體" w:hAnsi="標楷體"/>
                <w:sz w:val="24"/>
              </w:rPr>
              <w:t>福利部樂生</w:t>
            </w:r>
            <w:proofErr w:type="gramEnd"/>
            <w:r w:rsidRPr="001B6E4D">
              <w:rPr>
                <w:rFonts w:ascii="標楷體" w:eastAsia="標楷體" w:hAnsi="標楷體"/>
                <w:sz w:val="24"/>
              </w:rPr>
              <w:t>醫院編制表」，請查照案。</w:t>
            </w:r>
          </w:p>
        </w:tc>
        <w:tc>
          <w:tcPr>
            <w:tcW w:w="1142" w:type="pct"/>
          </w:tcPr>
          <w:p w14:paraId="4ABF9B04" w14:textId="77777777"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衛生福利部</w:t>
            </w:r>
          </w:p>
          <w:p w14:paraId="33AAC7C3" w14:textId="77777777"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115.08.07</w:t>
            </w:r>
          </w:p>
          <w:p w14:paraId="52D5DFAA" w14:textId="39BE5F7A"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（11-5-21）</w:t>
            </w:r>
          </w:p>
        </w:tc>
        <w:tc>
          <w:tcPr>
            <w:tcW w:w="977" w:type="pct"/>
          </w:tcPr>
          <w:p w14:paraId="71F26881" w14:textId="58E17DDE"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司法及法制、社會福利及衛生環境</w:t>
            </w:r>
          </w:p>
        </w:tc>
        <w:tc>
          <w:tcPr>
            <w:tcW w:w="923" w:type="pct"/>
          </w:tcPr>
          <w:p w14:paraId="7B9FFE57" w14:textId="5843FC9B"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尚未審查</w:t>
            </w:r>
          </w:p>
        </w:tc>
      </w:tr>
      <w:tr w:rsidR="0097692E" w:rsidRPr="001B6E4D" w14:paraId="7C0E17AB" w14:textId="77777777" w:rsidTr="004E73AC">
        <w:tc>
          <w:tcPr>
            <w:tcW w:w="312" w:type="pct"/>
          </w:tcPr>
          <w:p w14:paraId="03ED3500" w14:textId="58DF91F2" w:rsidR="0097692E" w:rsidRPr="001B6E4D" w:rsidRDefault="0097692E" w:rsidP="003D1018">
            <w:pPr>
              <w:overflowPunct w:val="0"/>
              <w:jc w:val="center"/>
              <w:rPr>
                <w:rFonts w:ascii="標楷體" w:eastAsia="標楷體" w:hAnsi="標楷體"/>
                <w:sz w:val="24"/>
              </w:rPr>
            </w:pPr>
            <w:r w:rsidRPr="001B6E4D">
              <w:rPr>
                <w:rFonts w:ascii="標楷體" w:eastAsia="標楷體" w:hAnsi="標楷體"/>
                <w:sz w:val="24"/>
              </w:rPr>
              <w:t>3</w:t>
            </w:r>
          </w:p>
        </w:tc>
        <w:tc>
          <w:tcPr>
            <w:tcW w:w="1646" w:type="pct"/>
          </w:tcPr>
          <w:p w14:paraId="3E16EB8F" w14:textId="4A020A00" w:rsidR="0097692E" w:rsidRPr="001B6E4D" w:rsidRDefault="0097692E" w:rsidP="003D1018">
            <w:pPr>
              <w:overflowPunct w:val="0"/>
              <w:spacing w:line="360" w:lineRule="exact"/>
              <w:jc w:val="both"/>
              <w:rPr>
                <w:rFonts w:ascii="標楷體" w:eastAsia="標楷體" w:hAnsi="標楷體"/>
                <w:sz w:val="24"/>
              </w:rPr>
            </w:pPr>
            <w:r w:rsidRPr="001B6E4D">
              <w:rPr>
                <w:rFonts w:ascii="標楷體" w:eastAsia="標楷體" w:hAnsi="標楷體"/>
                <w:sz w:val="24"/>
              </w:rPr>
              <w:t>司法院函，為修正「法官職務評定辦法」部分條文，請查照案。</w:t>
            </w:r>
          </w:p>
        </w:tc>
        <w:tc>
          <w:tcPr>
            <w:tcW w:w="1142" w:type="pct"/>
          </w:tcPr>
          <w:p w14:paraId="6CC43959" w14:textId="77777777"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司法院</w:t>
            </w:r>
          </w:p>
          <w:p w14:paraId="3ED9071D" w14:textId="77777777"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115.08.14</w:t>
            </w:r>
          </w:p>
          <w:p w14:paraId="2BB409DB" w14:textId="26F2C013"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（11-5-22）</w:t>
            </w:r>
          </w:p>
        </w:tc>
        <w:tc>
          <w:tcPr>
            <w:tcW w:w="977" w:type="pct"/>
          </w:tcPr>
          <w:p w14:paraId="34EADF64" w14:textId="4CC20150"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司法及法制</w:t>
            </w:r>
          </w:p>
        </w:tc>
        <w:tc>
          <w:tcPr>
            <w:tcW w:w="923" w:type="pct"/>
          </w:tcPr>
          <w:p w14:paraId="49FCA335" w14:textId="6150D35B" w:rsidR="0097692E" w:rsidRPr="001B6E4D" w:rsidRDefault="0097692E" w:rsidP="003D1018">
            <w:pPr>
              <w:overflowPunct w:val="0"/>
              <w:jc w:val="both"/>
              <w:rPr>
                <w:rFonts w:ascii="標楷體" w:eastAsia="標楷體" w:hAnsi="標楷體"/>
                <w:sz w:val="24"/>
              </w:rPr>
            </w:pPr>
            <w:r w:rsidRPr="001B6E4D">
              <w:rPr>
                <w:rFonts w:ascii="標楷體" w:eastAsia="標楷體" w:hAnsi="標楷體"/>
                <w:sz w:val="24"/>
              </w:rPr>
              <w:t>尚未審查</w:t>
            </w:r>
          </w:p>
        </w:tc>
      </w:tr>
    </w:tbl>
    <w:p w14:paraId="5E9F93C4" w14:textId="77777777" w:rsidR="00832F6C" w:rsidRPr="001B6E4D" w:rsidRDefault="009B28A5" w:rsidP="003D1018">
      <w:pPr>
        <w:pStyle w:val="-f3"/>
        <w:kinsoku w:val="0"/>
        <w:overflowPunct w:val="0"/>
        <w:topLinePunct/>
        <w:spacing w:beforeLines="100" w:before="240" w:after="120"/>
        <w:ind w:leftChars="128" w:left="307" w:firstLineChars="140" w:firstLine="392"/>
        <w:rPr>
          <w:rFonts w:ascii="標楷體" w:hAnsi="標楷體"/>
          <w:color w:val="000000" w:themeColor="text1"/>
          <w:szCs w:val="28"/>
          <w:shd w:val="clear" w:color="auto" w:fill="FFFFFF" w:themeFill="background1"/>
        </w:rPr>
      </w:pPr>
      <w:bookmarkStart w:id="396" w:name="_Toc136594887"/>
      <w:bookmarkStart w:id="397" w:name="_Toc240446569"/>
      <w:r w:rsidRPr="001B6E4D">
        <w:rPr>
          <w:rFonts w:ascii="標楷體" w:hAnsi="標楷體"/>
          <w:color w:val="000000" w:themeColor="text1"/>
          <w:szCs w:val="28"/>
          <w:shd w:val="clear" w:color="auto" w:fill="FFFFFF" w:themeFill="background1"/>
        </w:rPr>
        <w:t>〔</w:t>
      </w:r>
      <w:r w:rsidRPr="001B6E4D">
        <w:rPr>
          <w:rFonts w:ascii="標楷體" w:hAnsi="標楷體" w:hint="eastAsia"/>
          <w:color w:val="000000" w:themeColor="text1"/>
          <w:szCs w:val="28"/>
          <w:shd w:val="clear" w:color="auto" w:fill="FFFFFF" w:themeFill="background1"/>
        </w:rPr>
        <w:t>肆</w:t>
      </w:r>
      <w:r w:rsidRPr="001B6E4D">
        <w:rPr>
          <w:rFonts w:ascii="標楷體" w:hAnsi="標楷體"/>
          <w:color w:val="000000" w:themeColor="text1"/>
          <w:szCs w:val="28"/>
          <w:shd w:val="clear" w:color="auto" w:fill="FFFFFF" w:themeFill="background1"/>
        </w:rPr>
        <w:t>〕立法院內</w:t>
      </w:r>
      <w:proofErr w:type="gramStart"/>
      <w:r w:rsidRPr="001B6E4D">
        <w:rPr>
          <w:rFonts w:ascii="標楷體" w:hAnsi="標楷體"/>
          <w:color w:val="000000" w:themeColor="text1"/>
          <w:szCs w:val="28"/>
          <w:shd w:val="clear" w:color="auto" w:fill="FFFFFF" w:themeFill="background1"/>
        </w:rPr>
        <w:t>規</w:t>
      </w:r>
      <w:proofErr w:type="gramEnd"/>
      <w:r w:rsidR="002D2162" w:rsidRPr="001B6E4D">
        <w:rPr>
          <w:rFonts w:ascii="標楷體" w:hAnsi="標楷體" w:hint="eastAsia"/>
          <w:color w:val="000000" w:themeColor="text1"/>
          <w:szCs w:val="28"/>
          <w:shd w:val="clear" w:color="auto" w:fill="FFFFFF" w:themeFill="background1"/>
        </w:rPr>
        <w:t>3</w:t>
      </w:r>
      <w:r w:rsidRPr="001B6E4D">
        <w:rPr>
          <w:rFonts w:ascii="標楷體" w:hAnsi="標楷體"/>
          <w:color w:val="000000" w:themeColor="text1"/>
          <w:szCs w:val="28"/>
          <w:shd w:val="clear" w:color="auto" w:fill="FFFFFF" w:themeFill="background1"/>
        </w:rPr>
        <w:t>案</w:t>
      </w:r>
      <w:bookmarkStart w:id="398" w:name="_Toc361217377"/>
      <w:bookmarkStart w:id="399" w:name="_Toc362968437"/>
      <w:bookmarkEnd w:id="392"/>
      <w:bookmarkEnd w:id="393"/>
      <w:bookmarkEnd w:id="396"/>
      <w:bookmarkEnd w:id="397"/>
    </w:p>
    <w:tbl>
      <w:tblPr>
        <w:tblStyle w:val="2290"/>
        <w:tblW w:w="5050" w:type="pct"/>
        <w:tblInd w:w="-37"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557"/>
        <w:gridCol w:w="2917"/>
        <w:gridCol w:w="2070"/>
        <w:gridCol w:w="1558"/>
        <w:gridCol w:w="1604"/>
      </w:tblGrid>
      <w:tr w:rsidR="00832F6C" w:rsidRPr="001B6E4D" w14:paraId="470970D9" w14:textId="77777777" w:rsidTr="00832F6C">
        <w:tc>
          <w:tcPr>
            <w:tcW w:w="320" w:type="pct"/>
            <w:vAlign w:val="center"/>
          </w:tcPr>
          <w:p w14:paraId="2AF4A656" w14:textId="77777777" w:rsidR="00832F6C" w:rsidRPr="001B6E4D" w:rsidRDefault="00832F6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675" w:type="pct"/>
            <w:vAlign w:val="center"/>
          </w:tcPr>
          <w:p w14:paraId="069E0CCF" w14:textId="77777777" w:rsidR="00832F6C" w:rsidRPr="001B6E4D" w:rsidRDefault="00832F6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89" w:type="pct"/>
            <w:vAlign w:val="center"/>
          </w:tcPr>
          <w:p w14:paraId="785E1353" w14:textId="77777777" w:rsidR="00832F6C" w:rsidRPr="001B6E4D" w:rsidRDefault="00832F6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4C1844D9" w14:textId="77777777" w:rsidR="00832F6C" w:rsidRPr="001B6E4D" w:rsidRDefault="00832F6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5A160FAC" w14:textId="77777777" w:rsidR="00832F6C" w:rsidRPr="001B6E4D" w:rsidRDefault="00832F6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895" w:type="pct"/>
            <w:vAlign w:val="center"/>
          </w:tcPr>
          <w:p w14:paraId="1B642755" w14:textId="77777777" w:rsidR="00832F6C" w:rsidRPr="001B6E4D" w:rsidRDefault="00832F6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審查委員會</w:t>
            </w:r>
          </w:p>
        </w:tc>
        <w:tc>
          <w:tcPr>
            <w:tcW w:w="921" w:type="pct"/>
            <w:vAlign w:val="center"/>
          </w:tcPr>
          <w:p w14:paraId="6C45A64B" w14:textId="77777777" w:rsidR="00832F6C" w:rsidRPr="001B6E4D" w:rsidRDefault="00832F6C"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832F6C" w:rsidRPr="001B6E4D" w14:paraId="6133D07D" w14:textId="77777777" w:rsidTr="00832F6C">
        <w:tc>
          <w:tcPr>
            <w:tcW w:w="320" w:type="pct"/>
          </w:tcPr>
          <w:p w14:paraId="503B1A5C" w14:textId="77777777" w:rsidR="00832F6C" w:rsidRPr="001B6E4D" w:rsidRDefault="00832F6C" w:rsidP="003D1018">
            <w:pPr>
              <w:tabs>
                <w:tab w:val="left" w:pos="528"/>
              </w:tabs>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1</w:t>
            </w:r>
          </w:p>
        </w:tc>
        <w:tc>
          <w:tcPr>
            <w:tcW w:w="1675" w:type="pct"/>
          </w:tcPr>
          <w:p w14:paraId="066F19FC" w14:textId="77777777" w:rsidR="00832F6C" w:rsidRPr="001B6E4D" w:rsidRDefault="00832F6C" w:rsidP="003D1018">
            <w:pPr>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廢止「立法院卸任院長副院長禮遇辦法」</w:t>
            </w:r>
            <w:proofErr w:type="gramStart"/>
            <w:r w:rsidRPr="001B6E4D">
              <w:rPr>
                <w:rFonts w:ascii="標楷體" w:eastAsia="標楷體" w:hAnsi="標楷體"/>
                <w:color w:val="000000" w:themeColor="text1"/>
                <w:sz w:val="24"/>
              </w:rPr>
              <w:t>（</w:t>
            </w:r>
            <w:proofErr w:type="gramEnd"/>
            <w:r w:rsidRPr="001B6E4D">
              <w:rPr>
                <w:rFonts w:ascii="標楷體" w:eastAsia="標楷體" w:hAnsi="標楷體"/>
                <w:color w:val="000000" w:themeColor="text1"/>
                <w:sz w:val="24"/>
              </w:rPr>
              <w:t>廢止重點：</w:t>
            </w:r>
            <w:proofErr w:type="gramStart"/>
            <w:r w:rsidRPr="001B6E4D">
              <w:rPr>
                <w:rFonts w:ascii="標楷體" w:eastAsia="標楷體" w:hAnsi="標楷體"/>
                <w:color w:val="000000" w:themeColor="text1"/>
                <w:sz w:val="24"/>
              </w:rPr>
              <w:t>鑑</w:t>
            </w:r>
            <w:proofErr w:type="gramEnd"/>
            <w:r w:rsidRPr="001B6E4D">
              <w:rPr>
                <w:rFonts w:ascii="標楷體" w:eastAsia="標楷體" w:hAnsi="標楷體"/>
                <w:color w:val="000000" w:themeColor="text1"/>
                <w:sz w:val="24"/>
              </w:rPr>
              <w:t>於本辦法乃欠缺正當性之過時規範，</w:t>
            </w:r>
            <w:proofErr w:type="gramStart"/>
            <w:r w:rsidRPr="001B6E4D">
              <w:rPr>
                <w:rFonts w:ascii="標楷體" w:eastAsia="標楷體" w:hAnsi="標楷體"/>
                <w:color w:val="000000" w:themeColor="text1"/>
                <w:sz w:val="24"/>
              </w:rPr>
              <w:t>爰</w:t>
            </w:r>
            <w:proofErr w:type="gramEnd"/>
            <w:r w:rsidRPr="001B6E4D">
              <w:rPr>
                <w:rFonts w:ascii="標楷體" w:eastAsia="標楷體" w:hAnsi="標楷體"/>
                <w:color w:val="000000" w:themeColor="text1"/>
                <w:sz w:val="24"/>
              </w:rPr>
              <w:t>廢止本辦法。）</w:t>
            </w:r>
          </w:p>
        </w:tc>
        <w:tc>
          <w:tcPr>
            <w:tcW w:w="1189" w:type="pct"/>
          </w:tcPr>
          <w:p w14:paraId="6F4494DD" w14:textId="77777777" w:rsidR="00832F6C" w:rsidRPr="001B6E4D" w:rsidRDefault="00832F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台灣民眾</w:t>
            </w:r>
            <w:proofErr w:type="gramStart"/>
            <w:r w:rsidRPr="001B6E4D">
              <w:rPr>
                <w:rFonts w:ascii="標楷體" w:eastAsia="標楷體" w:hAnsi="標楷體"/>
                <w:color w:val="000000" w:themeColor="text1"/>
                <w:sz w:val="24"/>
              </w:rPr>
              <w:t>黨</w:t>
            </w:r>
            <w:proofErr w:type="gramEnd"/>
            <w:r w:rsidRPr="001B6E4D">
              <w:rPr>
                <w:rFonts w:ascii="標楷體" w:eastAsia="標楷體" w:hAnsi="標楷體"/>
                <w:color w:val="000000" w:themeColor="text1"/>
                <w:sz w:val="24"/>
              </w:rPr>
              <w:t>黨團</w:t>
            </w:r>
          </w:p>
          <w:p w14:paraId="350FC498" w14:textId="77777777" w:rsidR="00832F6C" w:rsidRPr="001B6E4D" w:rsidRDefault="00832F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113.02.20</w:t>
            </w:r>
          </w:p>
          <w:p w14:paraId="38F5BAAF" w14:textId="77777777" w:rsidR="00832F6C" w:rsidRPr="001B6E4D" w:rsidRDefault="00832F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w:t>
            </w:r>
          </w:p>
        </w:tc>
        <w:tc>
          <w:tcPr>
            <w:tcW w:w="895" w:type="pct"/>
          </w:tcPr>
          <w:p w14:paraId="46079FA5" w14:textId="77777777" w:rsidR="00832F6C" w:rsidRPr="001B6E4D" w:rsidRDefault="00832F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921" w:type="pct"/>
          </w:tcPr>
          <w:p w14:paraId="2D844F24" w14:textId="77777777" w:rsidR="00832F6C" w:rsidRPr="001B6E4D" w:rsidRDefault="00832F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47DCD585" w14:textId="77777777" w:rsidR="00832F6C" w:rsidRPr="001B6E4D" w:rsidRDefault="00832F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113.4.10舉行「如何落實國會調查／</w:t>
            </w:r>
            <w:proofErr w:type="gramStart"/>
            <w:r w:rsidRPr="001B6E4D">
              <w:rPr>
                <w:rFonts w:ascii="標楷體" w:eastAsia="標楷體" w:hAnsi="標楷體"/>
                <w:color w:val="000000" w:themeColor="text1"/>
                <w:sz w:val="24"/>
              </w:rPr>
              <w:t>聽證權以</w:t>
            </w:r>
            <w:proofErr w:type="gramEnd"/>
            <w:r w:rsidRPr="001B6E4D">
              <w:rPr>
                <w:rFonts w:ascii="標楷體" w:eastAsia="標楷體" w:hAnsi="標楷體"/>
                <w:color w:val="000000" w:themeColor="text1"/>
                <w:sz w:val="24"/>
              </w:rPr>
              <w:t>有效監督行政機關，並避免侵犯人民</w:t>
            </w:r>
            <w:proofErr w:type="gramStart"/>
            <w:r w:rsidRPr="001B6E4D">
              <w:rPr>
                <w:rFonts w:ascii="標楷體" w:eastAsia="標楷體" w:hAnsi="標楷體"/>
                <w:color w:val="000000" w:themeColor="text1"/>
                <w:sz w:val="24"/>
              </w:rPr>
              <w:t>自由／</w:t>
            </w:r>
            <w:proofErr w:type="gramEnd"/>
            <w:r w:rsidRPr="001B6E4D">
              <w:rPr>
                <w:rFonts w:ascii="標楷體" w:eastAsia="標楷體" w:hAnsi="標楷體"/>
                <w:color w:val="000000" w:themeColor="text1"/>
                <w:sz w:val="24"/>
              </w:rPr>
              <w:t>隱私權」公聽會。</w:t>
            </w:r>
          </w:p>
          <w:p w14:paraId="7DF8270E" w14:textId="77777777" w:rsidR="00832F6C" w:rsidRPr="001B6E4D" w:rsidRDefault="00832F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33FF38D3" w14:textId="77777777" w:rsidR="00832F6C" w:rsidRPr="001B6E4D" w:rsidRDefault="00832F6C" w:rsidP="003D1018">
            <w:pPr>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113.4.11舉行「如何落實國會調查／</w:t>
            </w:r>
            <w:proofErr w:type="gramStart"/>
            <w:r w:rsidRPr="001B6E4D">
              <w:rPr>
                <w:rFonts w:ascii="標楷體" w:eastAsia="標楷體" w:hAnsi="標楷體"/>
                <w:color w:val="000000" w:themeColor="text1"/>
                <w:sz w:val="24"/>
              </w:rPr>
              <w:t>聽證權以</w:t>
            </w:r>
            <w:proofErr w:type="gramEnd"/>
            <w:r w:rsidRPr="001B6E4D">
              <w:rPr>
                <w:rFonts w:ascii="標楷體" w:eastAsia="標楷體" w:hAnsi="標楷體"/>
                <w:color w:val="000000" w:themeColor="text1"/>
                <w:sz w:val="24"/>
              </w:rPr>
              <w:t>有效監督行政機關，並防範機密外</w:t>
            </w:r>
            <w:proofErr w:type="gramStart"/>
            <w:r w:rsidRPr="001B6E4D">
              <w:rPr>
                <w:rFonts w:ascii="標楷體" w:eastAsia="標楷體" w:hAnsi="標楷體"/>
                <w:color w:val="000000" w:themeColor="text1"/>
                <w:sz w:val="24"/>
              </w:rPr>
              <w:t>洩</w:t>
            </w:r>
            <w:proofErr w:type="gramEnd"/>
            <w:r w:rsidRPr="001B6E4D">
              <w:rPr>
                <w:rFonts w:ascii="標楷體" w:eastAsia="標楷體" w:hAnsi="標楷體"/>
                <w:color w:val="000000" w:themeColor="text1"/>
                <w:sz w:val="24"/>
              </w:rPr>
              <w:t>危害國</w:t>
            </w:r>
            <w:r w:rsidRPr="001B6E4D">
              <w:rPr>
                <w:rFonts w:ascii="標楷體" w:eastAsia="標楷體" w:hAnsi="標楷體"/>
                <w:color w:val="000000" w:themeColor="text1"/>
                <w:sz w:val="24"/>
              </w:rPr>
              <w:lastRenderedPageBreak/>
              <w:t>安」公聽會。</w:t>
            </w:r>
          </w:p>
        </w:tc>
      </w:tr>
      <w:tr w:rsidR="00832F6C" w:rsidRPr="001B6E4D" w14:paraId="68B3F819" w14:textId="77777777" w:rsidTr="00832F6C">
        <w:tc>
          <w:tcPr>
            <w:tcW w:w="320" w:type="pct"/>
          </w:tcPr>
          <w:p w14:paraId="1BD24373" w14:textId="77777777" w:rsidR="00832F6C" w:rsidRPr="001B6E4D" w:rsidRDefault="00832F6C" w:rsidP="003D1018">
            <w:pPr>
              <w:tabs>
                <w:tab w:val="left" w:pos="528"/>
              </w:tabs>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2</w:t>
            </w:r>
          </w:p>
        </w:tc>
        <w:tc>
          <w:tcPr>
            <w:tcW w:w="1675" w:type="pct"/>
          </w:tcPr>
          <w:p w14:paraId="6C7245CD" w14:textId="77777777" w:rsidR="00832F6C" w:rsidRPr="001B6E4D" w:rsidRDefault="00832F6C" w:rsidP="003D1018">
            <w:pPr>
              <w:tabs>
                <w:tab w:val="left" w:pos="528"/>
              </w:tabs>
              <w:overflowPunct w:val="0"/>
              <w:spacing w:line="360" w:lineRule="exact"/>
              <w:jc w:val="both"/>
              <w:rPr>
                <w:rFonts w:ascii="標楷體" w:eastAsia="標楷體" w:hAnsi="標楷體"/>
                <w:color w:val="000000" w:themeColor="text1"/>
                <w:sz w:val="24"/>
              </w:rPr>
            </w:pPr>
            <w:r w:rsidRPr="001B6E4D">
              <w:rPr>
                <w:rFonts w:ascii="標楷體" w:eastAsia="標楷體" w:hAnsi="標楷體"/>
                <w:color w:val="000000" w:themeColor="text1"/>
                <w:sz w:val="24"/>
              </w:rPr>
              <w:t>1.立法院議事規則第九條、第二十二條及第五十</w:t>
            </w:r>
            <w:proofErr w:type="gramStart"/>
            <w:r w:rsidRPr="001B6E4D">
              <w:rPr>
                <w:rFonts w:ascii="標楷體" w:eastAsia="標楷體" w:hAnsi="標楷體"/>
                <w:color w:val="000000" w:themeColor="text1"/>
                <w:sz w:val="24"/>
              </w:rPr>
              <w:t>條</w:t>
            </w:r>
            <w:proofErr w:type="gramEnd"/>
            <w:r w:rsidRPr="001B6E4D">
              <w:rPr>
                <w:rFonts w:ascii="標楷體" w:eastAsia="標楷體" w:hAnsi="標楷體"/>
                <w:color w:val="000000" w:themeColor="text1"/>
                <w:sz w:val="24"/>
              </w:rPr>
              <w:t>條文修正草案</w:t>
            </w:r>
            <w:proofErr w:type="gramStart"/>
            <w:r w:rsidRPr="001B6E4D">
              <w:rPr>
                <w:rFonts w:ascii="標楷體" w:eastAsia="標楷體" w:hAnsi="標楷體"/>
                <w:color w:val="000000" w:themeColor="text1"/>
                <w:sz w:val="24"/>
              </w:rPr>
              <w:t>（</w:t>
            </w:r>
            <w:proofErr w:type="gramEnd"/>
            <w:r w:rsidRPr="001B6E4D">
              <w:rPr>
                <w:rFonts w:ascii="標楷體" w:eastAsia="標楷體" w:hAnsi="標楷體"/>
                <w:color w:val="000000" w:themeColor="text1"/>
                <w:sz w:val="24"/>
              </w:rPr>
              <w:t>修正重點：「國是論壇」應予檢討廢除；臨時提案處理時間應予提前；參加秘密會議之出列席人員應切結保密協議並禁止攜帶任何通訊產品入內。）</w:t>
            </w:r>
          </w:p>
        </w:tc>
        <w:tc>
          <w:tcPr>
            <w:tcW w:w="1189" w:type="pct"/>
          </w:tcPr>
          <w:p w14:paraId="76ECBE0F"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委員賴瑞隆</w:t>
            </w:r>
          </w:p>
          <w:p w14:paraId="73443790"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等16人</w:t>
            </w:r>
          </w:p>
          <w:p w14:paraId="1B1481BB"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113.03.01</w:t>
            </w:r>
          </w:p>
          <w:p w14:paraId="7CC1A47E"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（11-1-3）</w:t>
            </w:r>
          </w:p>
        </w:tc>
        <w:tc>
          <w:tcPr>
            <w:tcW w:w="895" w:type="pct"/>
          </w:tcPr>
          <w:p w14:paraId="2BD07381"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司法及法制</w:t>
            </w:r>
          </w:p>
        </w:tc>
        <w:tc>
          <w:tcPr>
            <w:tcW w:w="921" w:type="pct"/>
          </w:tcPr>
          <w:p w14:paraId="76EBEDE8"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1.本會</w:t>
            </w:r>
          </w:p>
          <w:p w14:paraId="5412D983"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113.4.10舉行「如何落實國會調查／</w:t>
            </w:r>
            <w:proofErr w:type="gramStart"/>
            <w:r w:rsidRPr="001B6E4D">
              <w:rPr>
                <w:rFonts w:ascii="標楷體" w:eastAsia="標楷體" w:hAnsi="標楷體"/>
                <w:color w:val="000000" w:themeColor="text1"/>
                <w:sz w:val="24"/>
              </w:rPr>
              <w:t>聽證權以</w:t>
            </w:r>
            <w:proofErr w:type="gramEnd"/>
            <w:r w:rsidRPr="001B6E4D">
              <w:rPr>
                <w:rFonts w:ascii="標楷體" w:eastAsia="標楷體" w:hAnsi="標楷體"/>
                <w:color w:val="000000" w:themeColor="text1"/>
                <w:sz w:val="24"/>
              </w:rPr>
              <w:t>有效監督行政機關，並避免侵犯人民</w:t>
            </w:r>
            <w:proofErr w:type="gramStart"/>
            <w:r w:rsidRPr="001B6E4D">
              <w:rPr>
                <w:rFonts w:ascii="標楷體" w:eastAsia="標楷體" w:hAnsi="標楷體"/>
                <w:color w:val="000000" w:themeColor="text1"/>
                <w:sz w:val="24"/>
              </w:rPr>
              <w:t>自由／</w:t>
            </w:r>
            <w:proofErr w:type="gramEnd"/>
            <w:r w:rsidRPr="001B6E4D">
              <w:rPr>
                <w:rFonts w:ascii="標楷體" w:eastAsia="標楷體" w:hAnsi="標楷體"/>
                <w:color w:val="000000" w:themeColor="text1"/>
                <w:sz w:val="24"/>
              </w:rPr>
              <w:t>隱私權」公聽會。</w:t>
            </w:r>
          </w:p>
          <w:p w14:paraId="722F56B8"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2.本會</w:t>
            </w:r>
          </w:p>
          <w:p w14:paraId="1D1ED2C6"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113.4.11舉行「如何落實國會調查／</w:t>
            </w:r>
            <w:proofErr w:type="gramStart"/>
            <w:r w:rsidRPr="001B6E4D">
              <w:rPr>
                <w:rFonts w:ascii="標楷體" w:eastAsia="標楷體" w:hAnsi="標楷體"/>
                <w:color w:val="000000" w:themeColor="text1"/>
                <w:sz w:val="24"/>
              </w:rPr>
              <w:t>聽證權以</w:t>
            </w:r>
            <w:proofErr w:type="gramEnd"/>
            <w:r w:rsidRPr="001B6E4D">
              <w:rPr>
                <w:rFonts w:ascii="標楷體" w:eastAsia="標楷體" w:hAnsi="標楷體"/>
                <w:color w:val="000000" w:themeColor="text1"/>
                <w:sz w:val="24"/>
              </w:rPr>
              <w:t>有效監督行政機關，並防範機密外</w:t>
            </w:r>
            <w:proofErr w:type="gramStart"/>
            <w:r w:rsidRPr="001B6E4D">
              <w:rPr>
                <w:rFonts w:ascii="標楷體" w:eastAsia="標楷體" w:hAnsi="標楷體"/>
                <w:color w:val="000000" w:themeColor="text1"/>
                <w:sz w:val="24"/>
              </w:rPr>
              <w:t>洩</w:t>
            </w:r>
            <w:proofErr w:type="gramEnd"/>
            <w:r w:rsidRPr="001B6E4D">
              <w:rPr>
                <w:rFonts w:ascii="標楷體" w:eastAsia="標楷體" w:hAnsi="標楷體"/>
                <w:color w:val="000000" w:themeColor="text1"/>
                <w:sz w:val="24"/>
              </w:rPr>
              <w:t>危害國安」公聽會。</w:t>
            </w:r>
          </w:p>
          <w:p w14:paraId="4288A835"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3.本會</w:t>
            </w:r>
          </w:p>
          <w:p w14:paraId="0B4FE55A" w14:textId="77777777" w:rsidR="00692E7A"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113.4.22</w:t>
            </w:r>
          </w:p>
          <w:p w14:paraId="10433DFF" w14:textId="77777777" w:rsidR="00692E7A"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(11-1-15)</w:t>
            </w:r>
          </w:p>
          <w:p w14:paraId="0FA9CE87" w14:textId="131E6632"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(民進黨黨團提案說明完畢)。</w:t>
            </w:r>
          </w:p>
          <w:p w14:paraId="0064B949"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4.本會</w:t>
            </w:r>
          </w:p>
          <w:p w14:paraId="75EC7F0B" w14:textId="77777777" w:rsidR="00692E7A"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113.4.25</w:t>
            </w:r>
          </w:p>
          <w:p w14:paraId="3324C763" w14:textId="7EAE0B1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(11-1-17)報告及</w:t>
            </w:r>
            <w:proofErr w:type="gramStart"/>
            <w:r w:rsidRPr="001B6E4D">
              <w:rPr>
                <w:rFonts w:ascii="標楷體" w:eastAsia="標楷體" w:hAnsi="標楷體"/>
                <w:color w:val="000000" w:themeColor="text1"/>
                <w:sz w:val="24"/>
              </w:rPr>
              <w:t>詢</w:t>
            </w:r>
            <w:proofErr w:type="gramEnd"/>
            <w:r w:rsidRPr="001B6E4D">
              <w:rPr>
                <w:rFonts w:ascii="標楷體" w:eastAsia="標楷體" w:hAnsi="標楷體"/>
                <w:color w:val="000000" w:themeColor="text1"/>
                <w:sz w:val="24"/>
              </w:rPr>
              <w:t>答完畢，另定期繼續審查。</w:t>
            </w:r>
          </w:p>
          <w:p w14:paraId="2501FEB4"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5.本會</w:t>
            </w:r>
          </w:p>
          <w:p w14:paraId="130CD9A3" w14:textId="77777777" w:rsidR="009D4703"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113.5.6</w:t>
            </w:r>
          </w:p>
          <w:p w14:paraId="58950A2B" w14:textId="0AF5CED8"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(11-1-19)另定期繼續審查。</w:t>
            </w:r>
          </w:p>
        </w:tc>
      </w:tr>
      <w:tr w:rsidR="00832F6C" w:rsidRPr="001B6E4D" w14:paraId="07BB2CB2" w14:textId="77777777" w:rsidTr="00832F6C">
        <w:tc>
          <w:tcPr>
            <w:tcW w:w="320" w:type="pct"/>
          </w:tcPr>
          <w:p w14:paraId="5B41C72C" w14:textId="77777777" w:rsidR="00832F6C" w:rsidRPr="001B6E4D" w:rsidRDefault="00832F6C" w:rsidP="003D1018">
            <w:pPr>
              <w:tabs>
                <w:tab w:val="left" w:pos="528"/>
              </w:tabs>
              <w:overflowPunct w:val="0"/>
              <w:jc w:val="center"/>
              <w:rPr>
                <w:rFonts w:ascii="標楷體" w:eastAsia="標楷體" w:hAnsi="標楷體"/>
                <w:color w:val="000000" w:themeColor="text1"/>
                <w:sz w:val="24"/>
              </w:rPr>
            </w:pPr>
            <w:r w:rsidRPr="001B6E4D">
              <w:rPr>
                <w:rFonts w:ascii="標楷體" w:eastAsia="標楷體" w:hAnsi="標楷體"/>
                <w:color w:val="000000" w:themeColor="text1"/>
                <w:sz w:val="24"/>
              </w:rPr>
              <w:t>3</w:t>
            </w:r>
          </w:p>
        </w:tc>
        <w:tc>
          <w:tcPr>
            <w:tcW w:w="1675" w:type="pct"/>
          </w:tcPr>
          <w:p w14:paraId="0582D900" w14:textId="77777777" w:rsidR="00832F6C" w:rsidRPr="001B6E4D" w:rsidRDefault="00832F6C" w:rsidP="003D1018">
            <w:pPr>
              <w:tabs>
                <w:tab w:val="left" w:pos="528"/>
              </w:tabs>
              <w:overflowPunct w:val="0"/>
              <w:spacing w:line="360" w:lineRule="exact"/>
              <w:jc w:val="both"/>
              <w:rPr>
                <w:rFonts w:ascii="標楷體" w:eastAsia="標楷體" w:hAnsi="標楷體"/>
                <w:color w:val="000000" w:themeColor="text1"/>
                <w:sz w:val="24"/>
              </w:rPr>
            </w:pPr>
            <w:r w:rsidRPr="001B6E4D">
              <w:rPr>
                <w:rFonts w:ascii="標楷體" w:eastAsia="標楷體" w:hAnsi="標楷體" w:hint="eastAsia"/>
                <w:color w:val="000000" w:themeColor="text1"/>
                <w:sz w:val="24"/>
              </w:rPr>
              <w:t>2</w:t>
            </w:r>
            <w:r w:rsidRPr="001B6E4D">
              <w:rPr>
                <w:rFonts w:ascii="標楷體" w:eastAsia="標楷體" w:hAnsi="標楷體"/>
                <w:color w:val="000000" w:themeColor="text1"/>
                <w:sz w:val="24"/>
              </w:rPr>
              <w:t>.立法院議事規則第五十</w:t>
            </w:r>
            <w:proofErr w:type="gramStart"/>
            <w:r w:rsidRPr="001B6E4D">
              <w:rPr>
                <w:rFonts w:ascii="標楷體" w:eastAsia="標楷體" w:hAnsi="標楷體"/>
                <w:color w:val="000000" w:themeColor="text1"/>
                <w:sz w:val="24"/>
              </w:rPr>
              <w:t>條</w:t>
            </w:r>
            <w:proofErr w:type="gramEnd"/>
            <w:r w:rsidRPr="001B6E4D">
              <w:rPr>
                <w:rFonts w:ascii="標楷體" w:eastAsia="標楷體" w:hAnsi="標楷體"/>
                <w:color w:val="000000" w:themeColor="text1"/>
                <w:sz w:val="24"/>
              </w:rPr>
              <w:t>條文修正草案</w:t>
            </w:r>
            <w:proofErr w:type="gramStart"/>
            <w:r w:rsidRPr="001B6E4D">
              <w:rPr>
                <w:rFonts w:ascii="標楷體" w:eastAsia="標楷體" w:hAnsi="標楷體"/>
                <w:color w:val="000000" w:themeColor="text1"/>
                <w:sz w:val="24"/>
              </w:rPr>
              <w:t>（</w:t>
            </w:r>
            <w:proofErr w:type="gramEnd"/>
            <w:r w:rsidRPr="001B6E4D">
              <w:rPr>
                <w:rFonts w:ascii="標楷體" w:eastAsia="標楷體" w:hAnsi="標楷體"/>
                <w:color w:val="000000" w:themeColor="text1"/>
                <w:sz w:val="24"/>
              </w:rPr>
              <w:t>修正重</w:t>
            </w:r>
            <w:r w:rsidRPr="001B6E4D">
              <w:rPr>
                <w:rFonts w:ascii="標楷體" w:eastAsia="標楷體" w:hAnsi="標楷體"/>
                <w:color w:val="000000" w:themeColor="text1"/>
                <w:sz w:val="24"/>
              </w:rPr>
              <w:lastRenderedPageBreak/>
              <w:t>點：出席秘密會議立法委員、列席人員及立法院員工人等</w:t>
            </w:r>
            <w:proofErr w:type="gramStart"/>
            <w:r w:rsidRPr="001B6E4D">
              <w:rPr>
                <w:rFonts w:ascii="標楷體" w:eastAsia="標楷體" w:hAnsi="標楷體"/>
                <w:color w:val="000000" w:themeColor="text1"/>
                <w:sz w:val="24"/>
              </w:rPr>
              <w:t>皆須切結</w:t>
            </w:r>
            <w:proofErr w:type="gramEnd"/>
            <w:r w:rsidRPr="001B6E4D">
              <w:rPr>
                <w:rFonts w:ascii="標楷體" w:eastAsia="標楷體" w:hAnsi="標楷體"/>
                <w:color w:val="000000" w:themeColor="text1"/>
                <w:sz w:val="24"/>
              </w:rPr>
              <w:t>保密協議始得進入秘密會議。）</w:t>
            </w:r>
          </w:p>
        </w:tc>
        <w:tc>
          <w:tcPr>
            <w:tcW w:w="1189" w:type="pct"/>
          </w:tcPr>
          <w:p w14:paraId="07CB8BB4"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委員林岱樺</w:t>
            </w:r>
          </w:p>
          <w:p w14:paraId="26BB1C6F"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等18人</w:t>
            </w:r>
          </w:p>
          <w:p w14:paraId="733E8FF5"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113.11.15</w:t>
            </w:r>
          </w:p>
          <w:p w14:paraId="4225AEB4"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（11-2-9）</w:t>
            </w:r>
          </w:p>
        </w:tc>
        <w:tc>
          <w:tcPr>
            <w:tcW w:w="895" w:type="pct"/>
          </w:tcPr>
          <w:p w14:paraId="3AABFD3E"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lastRenderedPageBreak/>
              <w:t>司法及法制</w:t>
            </w:r>
          </w:p>
        </w:tc>
        <w:tc>
          <w:tcPr>
            <w:tcW w:w="921" w:type="pct"/>
          </w:tcPr>
          <w:p w14:paraId="731F02CB" w14:textId="77777777" w:rsidR="00832F6C" w:rsidRPr="001B6E4D" w:rsidRDefault="00832F6C" w:rsidP="003D1018">
            <w:pPr>
              <w:tabs>
                <w:tab w:val="left" w:pos="528"/>
              </w:tabs>
              <w:overflowPunct w:val="0"/>
              <w:jc w:val="both"/>
              <w:rPr>
                <w:rFonts w:ascii="標楷體" w:eastAsia="標楷體" w:hAnsi="標楷體"/>
                <w:color w:val="000000" w:themeColor="text1"/>
                <w:sz w:val="24"/>
              </w:rPr>
            </w:pPr>
            <w:r w:rsidRPr="001B6E4D">
              <w:rPr>
                <w:rFonts w:ascii="標楷體" w:eastAsia="標楷體" w:hAnsi="標楷體"/>
                <w:color w:val="000000" w:themeColor="text1"/>
                <w:sz w:val="24"/>
              </w:rPr>
              <w:t>尚未審查</w:t>
            </w:r>
          </w:p>
        </w:tc>
      </w:tr>
    </w:tbl>
    <w:p w14:paraId="37752561" w14:textId="74AE650B" w:rsidR="000152B9" w:rsidRPr="001B6E4D" w:rsidRDefault="009B28A5" w:rsidP="003D1018">
      <w:pPr>
        <w:pStyle w:val="-f3"/>
        <w:kinsoku w:val="0"/>
        <w:overflowPunct w:val="0"/>
        <w:topLinePunct/>
        <w:spacing w:beforeLines="100" w:before="240" w:after="120"/>
        <w:ind w:leftChars="128" w:left="307" w:firstLineChars="140" w:firstLine="392"/>
        <w:rPr>
          <w:rFonts w:ascii="標楷體" w:hAnsi="標楷體"/>
          <w:color w:val="000000" w:themeColor="text1"/>
          <w:szCs w:val="28"/>
          <w:shd w:val="clear" w:color="auto" w:fill="FFFFFF" w:themeFill="background1"/>
        </w:rPr>
      </w:pPr>
      <w:bookmarkStart w:id="400" w:name="_Toc361217379"/>
      <w:bookmarkStart w:id="401" w:name="_Toc362968439"/>
      <w:bookmarkStart w:id="402" w:name="_Toc136594888"/>
      <w:bookmarkStart w:id="403" w:name="_Toc240446570"/>
      <w:bookmarkEnd w:id="398"/>
      <w:bookmarkEnd w:id="399"/>
      <w:r w:rsidRPr="001B6E4D">
        <w:rPr>
          <w:rFonts w:ascii="標楷體" w:hAnsi="標楷體" w:hint="eastAsia"/>
          <w:color w:val="000000" w:themeColor="text1"/>
          <w:szCs w:val="28"/>
          <w:shd w:val="clear" w:color="auto" w:fill="FFFFFF" w:themeFill="background1"/>
        </w:rPr>
        <w:t>〔伍</w:t>
      </w:r>
      <w:bookmarkStart w:id="404" w:name="_Hlk174526957"/>
      <w:r w:rsidRPr="001B6E4D">
        <w:rPr>
          <w:rFonts w:ascii="標楷體" w:hAnsi="標楷體" w:hint="eastAsia"/>
          <w:color w:val="000000" w:themeColor="text1"/>
          <w:szCs w:val="28"/>
          <w:shd w:val="clear" w:color="auto" w:fill="FFFFFF" w:themeFill="background1"/>
        </w:rPr>
        <w:t>〕</w:t>
      </w:r>
      <w:bookmarkStart w:id="405" w:name="_Toc361217380"/>
      <w:bookmarkStart w:id="406" w:name="_Toc362968440"/>
      <w:bookmarkStart w:id="407" w:name="_Toc136594889"/>
      <w:bookmarkEnd w:id="400"/>
      <w:bookmarkEnd w:id="401"/>
      <w:bookmarkEnd w:id="402"/>
      <w:bookmarkEnd w:id="404"/>
      <w:r w:rsidRPr="001B6E4D">
        <w:rPr>
          <w:rFonts w:ascii="標楷體" w:hAnsi="標楷體"/>
          <w:color w:val="000000" w:themeColor="text1"/>
          <w:szCs w:val="28"/>
          <w:shd w:val="clear" w:color="auto" w:fill="FFFFFF" w:themeFill="background1"/>
        </w:rPr>
        <w:t>其他議案</w:t>
      </w:r>
      <w:r w:rsidR="009C174B" w:rsidRPr="001B6E4D">
        <w:rPr>
          <w:rFonts w:ascii="標楷體" w:hAnsi="標楷體" w:hint="eastAsia"/>
          <w:color w:val="000000" w:themeColor="text1"/>
          <w:szCs w:val="28"/>
          <w:shd w:val="clear" w:color="auto" w:fill="FFFFFF" w:themeFill="background1"/>
        </w:rPr>
        <w:t>2</w:t>
      </w:r>
      <w:r w:rsidRPr="001B6E4D">
        <w:rPr>
          <w:rFonts w:ascii="標楷體" w:hAnsi="標楷體"/>
          <w:color w:val="000000" w:themeColor="text1"/>
          <w:szCs w:val="28"/>
          <w:shd w:val="clear" w:color="auto" w:fill="FFFFFF" w:themeFill="background1"/>
        </w:rPr>
        <w:t>案</w:t>
      </w:r>
      <w:bookmarkEnd w:id="403"/>
      <w:bookmarkEnd w:id="405"/>
      <w:bookmarkEnd w:id="406"/>
      <w:bookmarkEnd w:id="407"/>
    </w:p>
    <w:tbl>
      <w:tblPr>
        <w:tblStyle w:val="2300"/>
        <w:tblW w:w="5067" w:type="pct"/>
        <w:tblInd w:w="-51"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567"/>
        <w:gridCol w:w="3079"/>
        <w:gridCol w:w="1959"/>
        <w:gridCol w:w="1707"/>
        <w:gridCol w:w="1424"/>
      </w:tblGrid>
      <w:tr w:rsidR="000152B9" w:rsidRPr="001B6E4D" w14:paraId="590C2D23" w14:textId="77777777" w:rsidTr="000152B9">
        <w:tc>
          <w:tcPr>
            <w:tcW w:w="325" w:type="pct"/>
            <w:vAlign w:val="center"/>
          </w:tcPr>
          <w:p w14:paraId="2427B9A1" w14:textId="77777777" w:rsidR="000152B9" w:rsidRPr="001B6E4D" w:rsidRDefault="000152B9"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序號</w:t>
            </w:r>
          </w:p>
        </w:tc>
        <w:tc>
          <w:tcPr>
            <w:tcW w:w="1762" w:type="pct"/>
            <w:vAlign w:val="center"/>
          </w:tcPr>
          <w:p w14:paraId="23092297" w14:textId="77777777" w:rsidR="000152B9" w:rsidRPr="001B6E4D" w:rsidRDefault="000152B9"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議案名稱</w:t>
            </w:r>
          </w:p>
        </w:tc>
        <w:tc>
          <w:tcPr>
            <w:tcW w:w="1121" w:type="pct"/>
            <w:vAlign w:val="center"/>
          </w:tcPr>
          <w:p w14:paraId="3080D12D" w14:textId="77777777" w:rsidR="000152B9" w:rsidRPr="001B6E4D" w:rsidRDefault="000152B9"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提案委員或機關</w:t>
            </w:r>
          </w:p>
          <w:p w14:paraId="58E5686A" w14:textId="77777777" w:rsidR="000152B9" w:rsidRPr="001B6E4D" w:rsidRDefault="000152B9"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院會交付日期</w:t>
            </w:r>
          </w:p>
          <w:p w14:paraId="73E385C5" w14:textId="77777777" w:rsidR="000152B9" w:rsidRPr="001B6E4D" w:rsidRDefault="000152B9"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(會次)</w:t>
            </w:r>
          </w:p>
        </w:tc>
        <w:tc>
          <w:tcPr>
            <w:tcW w:w="977" w:type="pct"/>
            <w:vAlign w:val="center"/>
          </w:tcPr>
          <w:p w14:paraId="7A8FB98B" w14:textId="2B0AA6B5" w:rsidR="000152B9" w:rsidRPr="001B6E4D" w:rsidRDefault="009D4703"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hint="eastAsia"/>
                <w:b/>
                <w:color w:val="000000" w:themeColor="text1"/>
                <w:sz w:val="24"/>
                <w:shd w:val="clear" w:color="auto" w:fill="FFFFFF" w:themeFill="background1"/>
              </w:rPr>
              <w:t>審查</w:t>
            </w:r>
            <w:r w:rsidR="000152B9" w:rsidRPr="001B6E4D">
              <w:rPr>
                <w:rFonts w:ascii="標楷體" w:eastAsia="標楷體" w:hAnsi="標楷體"/>
                <w:b/>
                <w:color w:val="000000" w:themeColor="text1"/>
                <w:sz w:val="24"/>
                <w:shd w:val="clear" w:color="auto" w:fill="FFFFFF" w:themeFill="background1"/>
              </w:rPr>
              <w:t>委員會</w:t>
            </w:r>
          </w:p>
        </w:tc>
        <w:tc>
          <w:tcPr>
            <w:tcW w:w="815" w:type="pct"/>
            <w:vAlign w:val="center"/>
          </w:tcPr>
          <w:p w14:paraId="76CE07BF" w14:textId="77777777" w:rsidR="000152B9" w:rsidRPr="001B6E4D" w:rsidRDefault="000152B9" w:rsidP="003D1018">
            <w:pPr>
              <w:kinsoku w:val="0"/>
              <w:overflowPunct w:val="0"/>
              <w:topLinePunct/>
              <w:spacing w:line="300" w:lineRule="exact"/>
              <w:jc w:val="center"/>
              <w:rPr>
                <w:rFonts w:ascii="標楷體" w:eastAsia="標楷體" w:hAnsi="標楷體"/>
                <w:b/>
                <w:color w:val="000000" w:themeColor="text1"/>
                <w:sz w:val="24"/>
                <w:shd w:val="clear" w:color="auto" w:fill="FFFFFF" w:themeFill="background1"/>
              </w:rPr>
            </w:pPr>
            <w:r w:rsidRPr="001B6E4D">
              <w:rPr>
                <w:rFonts w:ascii="標楷體" w:eastAsia="標楷體" w:hAnsi="標楷體"/>
                <w:b/>
                <w:color w:val="000000" w:themeColor="text1"/>
                <w:sz w:val="24"/>
                <w:shd w:val="clear" w:color="auto" w:fill="FFFFFF" w:themeFill="background1"/>
              </w:rPr>
              <w:t>審查情形</w:t>
            </w:r>
          </w:p>
        </w:tc>
      </w:tr>
      <w:tr w:rsidR="000152B9" w:rsidRPr="001B6E4D" w14:paraId="5638A926" w14:textId="77777777" w:rsidTr="000152B9">
        <w:tc>
          <w:tcPr>
            <w:tcW w:w="325" w:type="pct"/>
          </w:tcPr>
          <w:p w14:paraId="432C7035" w14:textId="77777777" w:rsidR="000152B9" w:rsidRPr="001B6E4D" w:rsidRDefault="000152B9" w:rsidP="003D1018">
            <w:pPr>
              <w:overflowPunct w:val="0"/>
              <w:jc w:val="center"/>
              <w:rPr>
                <w:rFonts w:ascii="標楷體" w:eastAsia="標楷體" w:hAnsi="標楷體"/>
                <w:b/>
                <w:sz w:val="24"/>
              </w:rPr>
            </w:pPr>
            <w:r w:rsidRPr="001B6E4D">
              <w:rPr>
                <w:rFonts w:ascii="標楷體" w:eastAsia="標楷體" w:hAnsi="標楷體"/>
                <w:sz w:val="24"/>
              </w:rPr>
              <w:t>1</w:t>
            </w:r>
          </w:p>
        </w:tc>
        <w:tc>
          <w:tcPr>
            <w:tcW w:w="1762" w:type="pct"/>
          </w:tcPr>
          <w:p w14:paraId="1AD96897" w14:textId="77777777" w:rsidR="000152B9" w:rsidRPr="001B6E4D" w:rsidRDefault="000152B9" w:rsidP="003D1018">
            <w:pPr>
              <w:overflowPunct w:val="0"/>
              <w:spacing w:line="360" w:lineRule="exact"/>
              <w:jc w:val="both"/>
              <w:rPr>
                <w:rFonts w:ascii="標楷體" w:eastAsia="標楷體" w:hAnsi="標楷體" w:cstheme="minorBidi"/>
                <w:b/>
                <w:sz w:val="24"/>
              </w:rPr>
            </w:pPr>
            <w:r w:rsidRPr="001B6E4D">
              <w:rPr>
                <w:rFonts w:ascii="標楷體" w:eastAsia="標楷體" w:hAnsi="標楷體" w:cstheme="minorBidi"/>
                <w:sz w:val="24"/>
              </w:rPr>
              <w:t>司法院函送「112年司法院所屬機關通訊監察業務統計年報」，請查照案。</w:t>
            </w:r>
          </w:p>
        </w:tc>
        <w:tc>
          <w:tcPr>
            <w:tcW w:w="1121" w:type="pct"/>
          </w:tcPr>
          <w:p w14:paraId="218E1956" w14:textId="77777777" w:rsidR="000152B9" w:rsidRPr="001B6E4D" w:rsidRDefault="000152B9" w:rsidP="003D1018">
            <w:pPr>
              <w:overflowPunct w:val="0"/>
              <w:rPr>
                <w:rFonts w:ascii="標楷體" w:eastAsia="標楷體" w:hAnsi="標楷體"/>
                <w:b/>
                <w:sz w:val="24"/>
              </w:rPr>
            </w:pPr>
            <w:r w:rsidRPr="001B6E4D">
              <w:rPr>
                <w:rFonts w:ascii="標楷體" w:eastAsia="標楷體" w:hAnsi="標楷體"/>
                <w:sz w:val="24"/>
              </w:rPr>
              <w:t>司法院 113.03.29 （11-1-7）</w:t>
            </w:r>
          </w:p>
        </w:tc>
        <w:tc>
          <w:tcPr>
            <w:tcW w:w="977" w:type="pct"/>
          </w:tcPr>
          <w:p w14:paraId="636EBFB9" w14:textId="77777777" w:rsidR="000152B9" w:rsidRPr="001B6E4D" w:rsidRDefault="000152B9" w:rsidP="003D1018">
            <w:pPr>
              <w:overflowPunct w:val="0"/>
              <w:jc w:val="both"/>
              <w:rPr>
                <w:rFonts w:ascii="標楷體" w:eastAsia="標楷體" w:hAnsi="標楷體"/>
                <w:b/>
                <w:sz w:val="24"/>
              </w:rPr>
            </w:pPr>
            <w:r w:rsidRPr="001B6E4D">
              <w:rPr>
                <w:rFonts w:ascii="標楷體" w:eastAsia="標楷體" w:hAnsi="標楷體"/>
                <w:sz w:val="24"/>
              </w:rPr>
              <w:t>司法及法制</w:t>
            </w:r>
          </w:p>
        </w:tc>
        <w:tc>
          <w:tcPr>
            <w:tcW w:w="815" w:type="pct"/>
          </w:tcPr>
          <w:p w14:paraId="2ABE00FD" w14:textId="77777777" w:rsidR="000152B9" w:rsidRPr="001B6E4D" w:rsidRDefault="000152B9" w:rsidP="003D1018">
            <w:pPr>
              <w:overflowPunct w:val="0"/>
              <w:rPr>
                <w:rFonts w:ascii="標楷體" w:eastAsia="標楷體" w:hAnsi="標楷體"/>
                <w:b/>
                <w:sz w:val="24"/>
              </w:rPr>
            </w:pPr>
            <w:r w:rsidRPr="001B6E4D">
              <w:rPr>
                <w:rFonts w:ascii="標楷體" w:eastAsia="標楷體" w:hAnsi="標楷體"/>
                <w:sz w:val="24"/>
              </w:rPr>
              <w:t>尚未審查</w:t>
            </w:r>
          </w:p>
        </w:tc>
      </w:tr>
      <w:tr w:rsidR="000152B9" w:rsidRPr="001B6E4D" w14:paraId="7A43C774" w14:textId="77777777" w:rsidTr="000152B9">
        <w:tc>
          <w:tcPr>
            <w:tcW w:w="325" w:type="pct"/>
          </w:tcPr>
          <w:p w14:paraId="56BDFC55" w14:textId="77777777" w:rsidR="000152B9" w:rsidRPr="001B6E4D" w:rsidRDefault="000152B9" w:rsidP="003D1018">
            <w:pPr>
              <w:overflowPunct w:val="0"/>
              <w:jc w:val="center"/>
              <w:rPr>
                <w:rFonts w:ascii="標楷體" w:eastAsia="標楷體" w:hAnsi="標楷體"/>
                <w:sz w:val="24"/>
              </w:rPr>
            </w:pPr>
            <w:r w:rsidRPr="001B6E4D">
              <w:rPr>
                <w:rFonts w:ascii="標楷體" w:eastAsia="標楷體" w:hAnsi="標楷體" w:hint="eastAsia"/>
                <w:sz w:val="24"/>
              </w:rPr>
              <w:t>2</w:t>
            </w:r>
          </w:p>
        </w:tc>
        <w:tc>
          <w:tcPr>
            <w:tcW w:w="1762" w:type="pct"/>
          </w:tcPr>
          <w:p w14:paraId="51862770" w14:textId="77777777" w:rsidR="000152B9" w:rsidRPr="001B6E4D" w:rsidRDefault="000152B9" w:rsidP="003D1018">
            <w:pPr>
              <w:overflowPunct w:val="0"/>
              <w:spacing w:line="360" w:lineRule="exact"/>
              <w:jc w:val="both"/>
              <w:rPr>
                <w:rFonts w:ascii="標楷體" w:eastAsia="標楷體" w:hAnsi="標楷體" w:cstheme="minorBidi"/>
                <w:sz w:val="24"/>
              </w:rPr>
            </w:pPr>
            <w:r w:rsidRPr="001B6E4D">
              <w:rPr>
                <w:rFonts w:ascii="標楷體" w:eastAsia="標楷體" w:hAnsi="標楷體" w:cstheme="minorBidi" w:hint="eastAsia"/>
                <w:sz w:val="24"/>
              </w:rPr>
              <w:t>中央選舉委員會函，為本院交由該會辦理主文為「您是否同意『各級法院合議庭法官判處死刑不須一致決』之政策？」之公民投票提案，不符合公民投票法第二條第二項第三款所定事項，</w:t>
            </w:r>
            <w:proofErr w:type="gramStart"/>
            <w:r w:rsidRPr="001B6E4D">
              <w:rPr>
                <w:rFonts w:ascii="標楷體" w:eastAsia="標楷體" w:hAnsi="標楷體" w:cstheme="minorBidi" w:hint="eastAsia"/>
                <w:sz w:val="24"/>
              </w:rPr>
              <w:t>該會礙難</w:t>
            </w:r>
            <w:proofErr w:type="gramEnd"/>
            <w:r w:rsidRPr="001B6E4D">
              <w:rPr>
                <w:rFonts w:ascii="標楷體" w:eastAsia="標楷體" w:hAnsi="標楷體" w:cstheme="minorBidi" w:hint="eastAsia"/>
                <w:sz w:val="24"/>
              </w:rPr>
              <w:t>辦理，請查照案。</w:t>
            </w:r>
          </w:p>
        </w:tc>
        <w:tc>
          <w:tcPr>
            <w:tcW w:w="1121" w:type="pct"/>
          </w:tcPr>
          <w:p w14:paraId="22A3D65F" w14:textId="77777777" w:rsidR="000152B9" w:rsidRPr="001B6E4D" w:rsidRDefault="000152B9" w:rsidP="003D1018">
            <w:pPr>
              <w:overflowPunct w:val="0"/>
              <w:rPr>
                <w:rFonts w:ascii="標楷體" w:eastAsia="標楷體" w:hAnsi="標楷體"/>
                <w:sz w:val="24"/>
              </w:rPr>
            </w:pPr>
            <w:r w:rsidRPr="001B6E4D">
              <w:rPr>
                <w:rFonts w:ascii="標楷體" w:eastAsia="標楷體" w:hAnsi="標楷體" w:hint="eastAsia"/>
                <w:sz w:val="24"/>
              </w:rPr>
              <w:t>中央選舉委員會</w:t>
            </w:r>
          </w:p>
          <w:p w14:paraId="0263B675" w14:textId="77777777" w:rsidR="000152B9" w:rsidRPr="001B6E4D" w:rsidRDefault="000152B9" w:rsidP="003D1018">
            <w:pPr>
              <w:overflowPunct w:val="0"/>
              <w:rPr>
                <w:rFonts w:ascii="標楷體" w:eastAsia="標楷體" w:hAnsi="標楷體"/>
                <w:sz w:val="24"/>
              </w:rPr>
            </w:pPr>
            <w:r w:rsidRPr="001B6E4D">
              <w:rPr>
                <w:rFonts w:ascii="標楷體" w:eastAsia="標楷體" w:hAnsi="標楷體"/>
                <w:sz w:val="24"/>
              </w:rPr>
              <w:t>114.06.06 （11-3-15）</w:t>
            </w:r>
          </w:p>
        </w:tc>
        <w:tc>
          <w:tcPr>
            <w:tcW w:w="977" w:type="pct"/>
          </w:tcPr>
          <w:p w14:paraId="465B65F8" w14:textId="77777777" w:rsidR="000152B9" w:rsidRPr="001B6E4D" w:rsidRDefault="000152B9" w:rsidP="003D1018">
            <w:pPr>
              <w:overflowPunct w:val="0"/>
              <w:jc w:val="both"/>
              <w:rPr>
                <w:rFonts w:ascii="標楷體" w:eastAsia="標楷體" w:hAnsi="標楷體"/>
                <w:sz w:val="24"/>
              </w:rPr>
            </w:pPr>
            <w:r w:rsidRPr="001B6E4D">
              <w:rPr>
                <w:rFonts w:ascii="標楷體" w:eastAsia="標楷體" w:hAnsi="標楷體"/>
                <w:sz w:val="24"/>
              </w:rPr>
              <w:t>司法及法制</w:t>
            </w:r>
            <w:r w:rsidRPr="001B6E4D">
              <w:rPr>
                <w:rFonts w:ascii="標楷體" w:eastAsia="標楷體" w:hAnsi="標楷體" w:hint="eastAsia"/>
                <w:sz w:val="24"/>
              </w:rPr>
              <w:t>、內政</w:t>
            </w:r>
          </w:p>
        </w:tc>
        <w:tc>
          <w:tcPr>
            <w:tcW w:w="815" w:type="pct"/>
          </w:tcPr>
          <w:p w14:paraId="3B63AF2B" w14:textId="77777777" w:rsidR="000152B9" w:rsidRPr="001B6E4D" w:rsidRDefault="000152B9" w:rsidP="003D1018">
            <w:pPr>
              <w:overflowPunct w:val="0"/>
              <w:rPr>
                <w:rFonts w:ascii="標楷體" w:eastAsia="標楷體" w:hAnsi="標楷體"/>
                <w:sz w:val="24"/>
              </w:rPr>
            </w:pPr>
            <w:r w:rsidRPr="001B6E4D">
              <w:rPr>
                <w:rFonts w:ascii="標楷體" w:eastAsia="標楷體" w:hAnsi="標楷體"/>
                <w:sz w:val="24"/>
              </w:rPr>
              <w:t>尚未審查</w:t>
            </w:r>
          </w:p>
        </w:tc>
      </w:tr>
    </w:tbl>
    <w:p w14:paraId="69131F88" w14:textId="6BC2B7DA" w:rsidR="00141F4F" w:rsidRPr="001B6E4D" w:rsidRDefault="009B28A5" w:rsidP="003D1018">
      <w:pPr>
        <w:pStyle w:val="-f3"/>
        <w:kinsoku w:val="0"/>
        <w:overflowPunct w:val="0"/>
        <w:topLinePunct/>
        <w:spacing w:beforeLines="100" w:before="240" w:after="120"/>
        <w:ind w:leftChars="128" w:left="307" w:firstLineChars="140" w:firstLine="392"/>
        <w:rPr>
          <w:rFonts w:ascii="標楷體" w:hAnsi="標楷體"/>
          <w:color w:val="000000" w:themeColor="text1"/>
          <w:szCs w:val="28"/>
          <w:shd w:val="clear" w:color="auto" w:fill="FFFFFF" w:themeFill="background1"/>
        </w:rPr>
      </w:pPr>
      <w:bookmarkStart w:id="408" w:name="_Toc240446571"/>
      <w:r w:rsidRPr="001B6E4D">
        <w:rPr>
          <w:rFonts w:ascii="標楷體" w:hAnsi="標楷體" w:hint="eastAsia"/>
          <w:color w:val="000000" w:themeColor="text1"/>
          <w:szCs w:val="28"/>
          <w:shd w:val="clear" w:color="auto" w:fill="FFFFFF" w:themeFill="background1"/>
        </w:rPr>
        <w:t>〔陸〕人民請願</w:t>
      </w:r>
      <w:r w:rsidRPr="001B6E4D">
        <w:rPr>
          <w:rFonts w:ascii="標楷體" w:hAnsi="標楷體"/>
          <w:color w:val="000000" w:themeColor="text1"/>
          <w:szCs w:val="28"/>
          <w:shd w:val="clear" w:color="auto" w:fill="FFFFFF" w:themeFill="background1"/>
        </w:rPr>
        <w:t>案</w:t>
      </w:r>
      <w:r w:rsidR="00F5051C" w:rsidRPr="001B6E4D">
        <w:rPr>
          <w:rFonts w:ascii="標楷體" w:hAnsi="標楷體" w:hint="eastAsia"/>
          <w:color w:val="000000" w:themeColor="text1"/>
          <w:szCs w:val="28"/>
          <w:shd w:val="clear" w:color="auto" w:fill="FFFFFF" w:themeFill="background1"/>
        </w:rPr>
        <w:t>5</w:t>
      </w:r>
      <w:r w:rsidRPr="001B6E4D">
        <w:rPr>
          <w:rFonts w:ascii="標楷體" w:hAnsi="標楷體"/>
          <w:color w:val="000000" w:themeColor="text1"/>
          <w:szCs w:val="28"/>
          <w:shd w:val="clear" w:color="auto" w:fill="FFFFFF" w:themeFill="background1"/>
        </w:rPr>
        <w:t>案</w:t>
      </w:r>
      <w:bookmarkEnd w:id="408"/>
    </w:p>
    <w:tbl>
      <w:tblPr>
        <w:tblStyle w:val="2051"/>
        <w:tblW w:w="5083" w:type="pct"/>
        <w:tblInd w:w="-79"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765"/>
        <w:gridCol w:w="2803"/>
        <w:gridCol w:w="2003"/>
        <w:gridCol w:w="1751"/>
        <w:gridCol w:w="1441"/>
      </w:tblGrid>
      <w:tr w:rsidR="00141F4F" w:rsidRPr="001B6E4D" w14:paraId="0571B708" w14:textId="77777777" w:rsidTr="00B54984">
        <w:trPr>
          <w:trHeight w:val="901"/>
        </w:trPr>
        <w:tc>
          <w:tcPr>
            <w:tcW w:w="436" w:type="pct"/>
            <w:vAlign w:val="center"/>
          </w:tcPr>
          <w:p w14:paraId="1DAD92EE" w14:textId="77777777" w:rsidR="00141F4F" w:rsidRPr="001B6E4D" w:rsidRDefault="00141F4F" w:rsidP="003D1018">
            <w:pPr>
              <w:kinsoku w:val="0"/>
              <w:overflowPunct w:val="0"/>
              <w:topLinePunct/>
              <w:spacing w:line="34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序號</w:t>
            </w:r>
          </w:p>
        </w:tc>
        <w:tc>
          <w:tcPr>
            <w:tcW w:w="1599" w:type="pct"/>
            <w:vAlign w:val="center"/>
          </w:tcPr>
          <w:p w14:paraId="26EA64DE" w14:textId="77777777" w:rsidR="00141F4F" w:rsidRPr="001B6E4D" w:rsidRDefault="00141F4F" w:rsidP="003D1018">
            <w:pPr>
              <w:kinsoku w:val="0"/>
              <w:overflowPunct w:val="0"/>
              <w:topLinePunct/>
              <w:spacing w:line="34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案由</w:t>
            </w:r>
          </w:p>
        </w:tc>
        <w:tc>
          <w:tcPr>
            <w:tcW w:w="1143" w:type="pct"/>
            <w:vAlign w:val="center"/>
          </w:tcPr>
          <w:p w14:paraId="092C592A" w14:textId="77777777" w:rsidR="00141F4F" w:rsidRPr="001B6E4D" w:rsidRDefault="00141F4F" w:rsidP="003D1018">
            <w:pPr>
              <w:kinsoku w:val="0"/>
              <w:overflowPunct w:val="0"/>
              <w:topLinePunct/>
              <w:spacing w:line="34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 xml:space="preserve">程序委員會會次 </w:t>
            </w:r>
          </w:p>
          <w:p w14:paraId="056562CC" w14:textId="77777777" w:rsidR="00141F4F" w:rsidRPr="001B6E4D" w:rsidRDefault="00141F4F" w:rsidP="003D1018">
            <w:pPr>
              <w:kinsoku w:val="0"/>
              <w:overflowPunct w:val="0"/>
              <w:topLinePunct/>
              <w:spacing w:line="34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(發文日期)</w:t>
            </w:r>
          </w:p>
        </w:tc>
        <w:tc>
          <w:tcPr>
            <w:tcW w:w="999" w:type="pct"/>
            <w:vAlign w:val="center"/>
          </w:tcPr>
          <w:p w14:paraId="1D8BEAFA" w14:textId="77777777" w:rsidR="00141F4F" w:rsidRPr="001B6E4D" w:rsidRDefault="00141F4F" w:rsidP="003D1018">
            <w:pPr>
              <w:kinsoku w:val="0"/>
              <w:overflowPunct w:val="0"/>
              <w:topLinePunct/>
              <w:spacing w:line="34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審查委員會</w:t>
            </w:r>
          </w:p>
        </w:tc>
        <w:tc>
          <w:tcPr>
            <w:tcW w:w="822" w:type="pct"/>
            <w:vAlign w:val="center"/>
          </w:tcPr>
          <w:p w14:paraId="1BC23B82" w14:textId="77777777" w:rsidR="00141F4F" w:rsidRPr="001B6E4D" w:rsidRDefault="00141F4F" w:rsidP="003D1018">
            <w:pPr>
              <w:kinsoku w:val="0"/>
              <w:overflowPunct w:val="0"/>
              <w:topLinePunct/>
              <w:spacing w:line="340" w:lineRule="exact"/>
              <w:jc w:val="center"/>
              <w:rPr>
                <w:rFonts w:ascii="標楷體" w:eastAsia="標楷體" w:hAnsi="標楷體"/>
                <w:b/>
                <w:color w:val="000000" w:themeColor="text1"/>
                <w:shd w:val="clear" w:color="auto" w:fill="FFFFFF" w:themeFill="background1"/>
              </w:rPr>
            </w:pPr>
            <w:r w:rsidRPr="001B6E4D">
              <w:rPr>
                <w:rFonts w:ascii="標楷體" w:eastAsia="標楷體" w:hAnsi="標楷體"/>
                <w:b/>
                <w:color w:val="000000" w:themeColor="text1"/>
                <w:shd w:val="clear" w:color="auto" w:fill="FFFFFF" w:themeFill="background1"/>
              </w:rPr>
              <w:t>審查情形</w:t>
            </w:r>
          </w:p>
        </w:tc>
      </w:tr>
      <w:tr w:rsidR="00F5051C" w:rsidRPr="001B6E4D" w14:paraId="6749730C" w14:textId="77777777" w:rsidTr="00B54984">
        <w:tc>
          <w:tcPr>
            <w:tcW w:w="436" w:type="pct"/>
          </w:tcPr>
          <w:p w14:paraId="76876859" w14:textId="66F8B997" w:rsidR="00F5051C" w:rsidRPr="001B6E4D" w:rsidRDefault="00F5051C" w:rsidP="003D1018">
            <w:pPr>
              <w:overflowPunct w:val="0"/>
              <w:spacing w:line="360" w:lineRule="exact"/>
              <w:jc w:val="center"/>
              <w:rPr>
                <w:rFonts w:ascii="標楷體" w:eastAsia="標楷體" w:hAnsi="標楷體" w:cstheme="minorBidi"/>
                <w:kern w:val="0"/>
              </w:rPr>
            </w:pPr>
            <w:r w:rsidRPr="001B6E4D">
              <w:rPr>
                <w:rFonts w:ascii="標楷體" w:eastAsia="標楷體" w:hAnsi="標楷體" w:cstheme="minorBidi" w:hint="eastAsia"/>
                <w:kern w:val="0"/>
              </w:rPr>
              <w:t>1</w:t>
            </w:r>
          </w:p>
        </w:tc>
        <w:tc>
          <w:tcPr>
            <w:tcW w:w="1599" w:type="pct"/>
          </w:tcPr>
          <w:p w14:paraId="43BB123F" w14:textId="3F9CE7F4"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hint="eastAsia"/>
                <w:kern w:val="0"/>
              </w:rPr>
              <w:t>喬</w:t>
            </w:r>
            <w:r w:rsidRPr="001B6E4D">
              <w:rPr>
                <w:rFonts w:ascii="新細明體" w:hAnsi="新細明體" w:cs="新細明體" w:hint="eastAsia"/>
                <w:kern w:val="0"/>
              </w:rPr>
              <w:t>〇〇</w:t>
            </w:r>
            <w:r w:rsidRPr="001B6E4D">
              <w:rPr>
                <w:rFonts w:ascii="標楷體" w:eastAsia="標楷體" w:hAnsi="標楷體" w:cstheme="minorBidi" w:hint="eastAsia"/>
                <w:kern w:val="0"/>
              </w:rPr>
              <w:t>君為建請修正刑事訴訟法及憲法訴訟法，以實現憲法對人民人身自由之保護及憲法上立法權與司法權間結構之平衡事請願文書乙份</w:t>
            </w:r>
            <w:r w:rsidRPr="001B6E4D">
              <w:rPr>
                <w:rFonts w:ascii="標楷體" w:eastAsia="標楷體" w:hAnsi="標楷體" w:cstheme="minorBidi"/>
                <w:kern w:val="0"/>
              </w:rPr>
              <w:t>，請查照審查。</w:t>
            </w:r>
          </w:p>
        </w:tc>
        <w:tc>
          <w:tcPr>
            <w:tcW w:w="1143" w:type="pct"/>
          </w:tcPr>
          <w:p w14:paraId="7157BAB3" w14:textId="77777777"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1</w:t>
            </w:r>
            <w:r w:rsidRPr="001B6E4D">
              <w:rPr>
                <w:rFonts w:ascii="標楷體" w:eastAsia="標楷體" w:hAnsi="標楷體" w:cstheme="minorBidi" w:hint="eastAsia"/>
                <w:kern w:val="0"/>
              </w:rPr>
              <w:t>1</w:t>
            </w:r>
            <w:r w:rsidRPr="001B6E4D">
              <w:rPr>
                <w:rFonts w:ascii="標楷體" w:eastAsia="標楷體" w:hAnsi="標楷體" w:cstheme="minorBidi"/>
                <w:kern w:val="0"/>
              </w:rPr>
              <w:t>-</w:t>
            </w:r>
            <w:r w:rsidRPr="001B6E4D">
              <w:rPr>
                <w:rFonts w:ascii="標楷體" w:eastAsia="標楷體" w:hAnsi="標楷體" w:cstheme="minorBidi" w:hint="eastAsia"/>
                <w:kern w:val="0"/>
              </w:rPr>
              <w:t>4</w:t>
            </w:r>
            <w:r w:rsidRPr="001B6E4D">
              <w:rPr>
                <w:rFonts w:ascii="標楷體" w:eastAsia="標楷體" w:hAnsi="標楷體" w:cstheme="minorBidi"/>
                <w:kern w:val="0"/>
              </w:rPr>
              <w:t>-</w:t>
            </w:r>
            <w:r w:rsidRPr="001B6E4D">
              <w:rPr>
                <w:rFonts w:ascii="標楷體" w:eastAsia="標楷體" w:hAnsi="標楷體" w:cstheme="minorBidi" w:hint="eastAsia"/>
                <w:kern w:val="0"/>
              </w:rPr>
              <w:t>12</w:t>
            </w:r>
          </w:p>
          <w:p w14:paraId="7AB7D4B9" w14:textId="4DA266E1"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(11</w:t>
            </w:r>
            <w:r w:rsidRPr="001B6E4D">
              <w:rPr>
                <w:rFonts w:ascii="標楷體" w:eastAsia="標楷體" w:hAnsi="標楷體" w:cstheme="minorBidi" w:hint="eastAsia"/>
                <w:kern w:val="0"/>
              </w:rPr>
              <w:t>4</w:t>
            </w:r>
            <w:r w:rsidRPr="001B6E4D">
              <w:rPr>
                <w:rFonts w:ascii="標楷體" w:eastAsia="標楷體" w:hAnsi="標楷體" w:cstheme="minorBidi"/>
                <w:kern w:val="0"/>
              </w:rPr>
              <w:t>.</w:t>
            </w:r>
            <w:r w:rsidRPr="001B6E4D">
              <w:rPr>
                <w:rFonts w:ascii="標楷體" w:eastAsia="標楷體" w:hAnsi="標楷體" w:cstheme="minorBidi" w:hint="eastAsia"/>
                <w:kern w:val="0"/>
              </w:rPr>
              <w:t>12</w:t>
            </w:r>
            <w:r w:rsidRPr="001B6E4D">
              <w:rPr>
                <w:rFonts w:ascii="標楷體" w:eastAsia="標楷體" w:hAnsi="標楷體" w:cstheme="minorBidi"/>
                <w:kern w:val="0"/>
              </w:rPr>
              <w:t>.2</w:t>
            </w:r>
            <w:r w:rsidRPr="001B6E4D">
              <w:rPr>
                <w:rFonts w:ascii="標楷體" w:eastAsia="標楷體" w:hAnsi="標楷體" w:cstheme="minorBidi" w:hint="eastAsia"/>
                <w:kern w:val="0"/>
              </w:rPr>
              <w:t>4</w:t>
            </w:r>
            <w:r w:rsidRPr="001B6E4D">
              <w:rPr>
                <w:rFonts w:ascii="標楷體" w:eastAsia="標楷體" w:hAnsi="標楷體" w:cstheme="minorBidi"/>
                <w:kern w:val="0"/>
              </w:rPr>
              <w:t>)</w:t>
            </w:r>
          </w:p>
        </w:tc>
        <w:tc>
          <w:tcPr>
            <w:tcW w:w="999" w:type="pct"/>
          </w:tcPr>
          <w:p w14:paraId="7968B53D" w14:textId="58E23CBF"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司法及法制</w:t>
            </w:r>
          </w:p>
        </w:tc>
        <w:tc>
          <w:tcPr>
            <w:tcW w:w="822" w:type="pct"/>
          </w:tcPr>
          <w:p w14:paraId="40FDE510" w14:textId="368AC26A"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尚未審查</w:t>
            </w:r>
          </w:p>
        </w:tc>
      </w:tr>
      <w:tr w:rsidR="00F5051C" w:rsidRPr="001B6E4D" w14:paraId="0CA5F5EB" w14:textId="77777777" w:rsidTr="00B54984">
        <w:tc>
          <w:tcPr>
            <w:tcW w:w="436" w:type="pct"/>
          </w:tcPr>
          <w:p w14:paraId="6266B0CE" w14:textId="045126C4" w:rsidR="00F5051C" w:rsidRPr="001B6E4D" w:rsidRDefault="00F5051C" w:rsidP="003D1018">
            <w:pPr>
              <w:overflowPunct w:val="0"/>
              <w:spacing w:line="360" w:lineRule="exact"/>
              <w:jc w:val="center"/>
              <w:rPr>
                <w:rFonts w:ascii="標楷體" w:eastAsia="標楷體" w:hAnsi="標楷體" w:cstheme="minorBidi"/>
                <w:kern w:val="0"/>
              </w:rPr>
            </w:pPr>
            <w:r w:rsidRPr="001B6E4D">
              <w:rPr>
                <w:rFonts w:ascii="標楷體" w:eastAsia="標楷體" w:hAnsi="標楷體" w:cstheme="minorBidi" w:hint="eastAsia"/>
                <w:kern w:val="0"/>
              </w:rPr>
              <w:t>2</w:t>
            </w:r>
          </w:p>
        </w:tc>
        <w:tc>
          <w:tcPr>
            <w:tcW w:w="1599" w:type="pct"/>
          </w:tcPr>
          <w:p w14:paraId="1899C826" w14:textId="3848E0E8"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hint="eastAsia"/>
                <w:kern w:val="0"/>
              </w:rPr>
              <w:t>施</w:t>
            </w:r>
            <w:r w:rsidRPr="001B6E4D">
              <w:rPr>
                <w:rFonts w:ascii="新細明體" w:hAnsi="新細明體" w:cs="新細明體" w:hint="eastAsia"/>
                <w:kern w:val="0"/>
              </w:rPr>
              <w:t>〇〇</w:t>
            </w:r>
            <w:r w:rsidRPr="001B6E4D">
              <w:rPr>
                <w:rFonts w:ascii="標楷體" w:eastAsia="標楷體" w:hAnsi="標楷體" w:cstheme="minorBidi" w:hint="eastAsia"/>
                <w:kern w:val="0"/>
              </w:rPr>
              <w:t>君為公務人員退休資遣撫卹法第十九條第一項，違反憲法對人民應考試服公職及工作權等之保障，建請修法</w:t>
            </w:r>
            <w:r w:rsidRPr="001B6E4D">
              <w:rPr>
                <w:rFonts w:ascii="標楷體" w:eastAsia="標楷體" w:hAnsi="標楷體" w:cstheme="minorBidi" w:hint="eastAsia"/>
                <w:kern w:val="0"/>
              </w:rPr>
              <w:lastRenderedPageBreak/>
              <w:t>廢除事請願文書乙份，請查照審查。</w:t>
            </w:r>
          </w:p>
        </w:tc>
        <w:tc>
          <w:tcPr>
            <w:tcW w:w="1143" w:type="pct"/>
          </w:tcPr>
          <w:p w14:paraId="5EE8E47E" w14:textId="77777777"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lastRenderedPageBreak/>
              <w:t>11-5-1</w:t>
            </w:r>
          </w:p>
          <w:p w14:paraId="5EA01033" w14:textId="2792A92A"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(115.3.11)</w:t>
            </w:r>
          </w:p>
        </w:tc>
        <w:tc>
          <w:tcPr>
            <w:tcW w:w="999" w:type="pct"/>
          </w:tcPr>
          <w:p w14:paraId="3D9A6FC9" w14:textId="40707F9B"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司法及法制</w:t>
            </w:r>
          </w:p>
        </w:tc>
        <w:tc>
          <w:tcPr>
            <w:tcW w:w="822" w:type="pct"/>
          </w:tcPr>
          <w:p w14:paraId="68BF4424" w14:textId="36DC44DC"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尚未審查</w:t>
            </w:r>
          </w:p>
        </w:tc>
      </w:tr>
      <w:tr w:rsidR="00F5051C" w:rsidRPr="001B6E4D" w14:paraId="4D6B1F50" w14:textId="77777777" w:rsidTr="00B54984">
        <w:tc>
          <w:tcPr>
            <w:tcW w:w="436" w:type="pct"/>
          </w:tcPr>
          <w:p w14:paraId="7D0B43A9" w14:textId="3B4A86CF" w:rsidR="00F5051C" w:rsidRPr="001B6E4D" w:rsidRDefault="00F5051C" w:rsidP="003D1018">
            <w:pPr>
              <w:overflowPunct w:val="0"/>
              <w:spacing w:line="360" w:lineRule="exact"/>
              <w:jc w:val="center"/>
              <w:rPr>
                <w:rFonts w:ascii="標楷體" w:eastAsia="標楷體" w:hAnsi="標楷體" w:cstheme="minorBidi"/>
                <w:kern w:val="0"/>
              </w:rPr>
            </w:pPr>
            <w:r w:rsidRPr="001B6E4D">
              <w:rPr>
                <w:rFonts w:ascii="標楷體" w:eastAsia="標楷體" w:hAnsi="標楷體" w:cstheme="minorBidi" w:hint="eastAsia"/>
                <w:kern w:val="0"/>
              </w:rPr>
              <w:t>3</w:t>
            </w:r>
          </w:p>
        </w:tc>
        <w:tc>
          <w:tcPr>
            <w:tcW w:w="1599" w:type="pct"/>
          </w:tcPr>
          <w:p w14:paraId="342FA773" w14:textId="352299B4"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hint="eastAsia"/>
                <w:kern w:val="0"/>
              </w:rPr>
              <w:t>林</w:t>
            </w:r>
            <w:r w:rsidRPr="001B6E4D">
              <w:rPr>
                <w:rFonts w:ascii="新細明體" w:hAnsi="新細明體" w:cs="新細明體" w:hint="eastAsia"/>
                <w:kern w:val="0"/>
              </w:rPr>
              <w:t>〇〇</w:t>
            </w:r>
            <w:r w:rsidRPr="001B6E4D">
              <w:rPr>
                <w:rFonts w:ascii="標楷體" w:eastAsia="標楷體" w:hAnsi="標楷體" w:cstheme="minorBidi" w:hint="eastAsia"/>
                <w:kern w:val="0"/>
              </w:rPr>
              <w:t>君為前請願之訴願法修正事經本委員會審查結果不成為議案，特敘明不服理由，陳請再次重新審議請願文書乙份，請查照審查。</w:t>
            </w:r>
          </w:p>
        </w:tc>
        <w:tc>
          <w:tcPr>
            <w:tcW w:w="1143" w:type="pct"/>
          </w:tcPr>
          <w:p w14:paraId="0B6F5474" w14:textId="77777777"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11-5-</w:t>
            </w:r>
            <w:r w:rsidRPr="001B6E4D">
              <w:rPr>
                <w:rFonts w:ascii="標楷體" w:eastAsia="標楷體" w:hAnsi="標楷體" w:cstheme="minorBidi" w:hint="eastAsia"/>
                <w:kern w:val="0"/>
              </w:rPr>
              <w:t>3</w:t>
            </w:r>
          </w:p>
          <w:p w14:paraId="2337C6C3" w14:textId="4907933F"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(115.3.</w:t>
            </w:r>
            <w:r w:rsidRPr="001B6E4D">
              <w:rPr>
                <w:rFonts w:ascii="標楷體" w:eastAsia="標楷體" w:hAnsi="標楷體" w:cstheme="minorBidi" w:hint="eastAsia"/>
                <w:kern w:val="0"/>
              </w:rPr>
              <w:t>25</w:t>
            </w:r>
            <w:r w:rsidRPr="001B6E4D">
              <w:rPr>
                <w:rFonts w:ascii="標楷體" w:eastAsia="標楷體" w:hAnsi="標楷體" w:cstheme="minorBidi"/>
                <w:kern w:val="0"/>
              </w:rPr>
              <w:t>)</w:t>
            </w:r>
          </w:p>
        </w:tc>
        <w:tc>
          <w:tcPr>
            <w:tcW w:w="999" w:type="pct"/>
          </w:tcPr>
          <w:p w14:paraId="2DD0F478" w14:textId="42A8BF10"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司法及法制</w:t>
            </w:r>
          </w:p>
        </w:tc>
        <w:tc>
          <w:tcPr>
            <w:tcW w:w="822" w:type="pct"/>
          </w:tcPr>
          <w:p w14:paraId="443F59F7" w14:textId="5EB6A738"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尚未審查</w:t>
            </w:r>
          </w:p>
        </w:tc>
      </w:tr>
      <w:tr w:rsidR="00F5051C" w:rsidRPr="001B6E4D" w14:paraId="5C7236C2" w14:textId="77777777" w:rsidTr="00B54984">
        <w:tc>
          <w:tcPr>
            <w:tcW w:w="436" w:type="pct"/>
          </w:tcPr>
          <w:p w14:paraId="0C17AD06" w14:textId="203A0A74" w:rsidR="00F5051C" w:rsidRPr="001B6E4D" w:rsidRDefault="00F5051C" w:rsidP="003D1018">
            <w:pPr>
              <w:overflowPunct w:val="0"/>
              <w:spacing w:line="360" w:lineRule="exact"/>
              <w:jc w:val="center"/>
              <w:rPr>
                <w:rFonts w:ascii="標楷體" w:eastAsia="標楷體" w:hAnsi="標楷體" w:cstheme="minorBidi"/>
                <w:kern w:val="0"/>
              </w:rPr>
            </w:pPr>
            <w:r w:rsidRPr="001B6E4D">
              <w:rPr>
                <w:rFonts w:ascii="標楷體" w:eastAsia="標楷體" w:hAnsi="標楷體" w:cstheme="minorBidi" w:hint="eastAsia"/>
                <w:kern w:val="0"/>
              </w:rPr>
              <w:t>4</w:t>
            </w:r>
          </w:p>
        </w:tc>
        <w:tc>
          <w:tcPr>
            <w:tcW w:w="1599" w:type="pct"/>
          </w:tcPr>
          <w:p w14:paraId="035564CC" w14:textId="6DAFC853"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hint="eastAsia"/>
                <w:kern w:val="0"/>
              </w:rPr>
              <w:t>陳</w:t>
            </w:r>
            <w:r w:rsidRPr="001B6E4D">
              <w:rPr>
                <w:rFonts w:ascii="新細明體" w:hAnsi="新細明體" w:cs="新細明體" w:hint="eastAsia"/>
                <w:kern w:val="0"/>
              </w:rPr>
              <w:t>〇〇</w:t>
            </w:r>
            <w:r w:rsidRPr="001B6E4D">
              <w:rPr>
                <w:rFonts w:ascii="標楷體" w:eastAsia="標楷體" w:hAnsi="標楷體" w:cstheme="minorBidi" w:hint="eastAsia"/>
                <w:kern w:val="0"/>
              </w:rPr>
              <w:t>君建請修正中華民國刑法第二十七條條文，並就預備犯另訂獨立中止之規定請願文書乙份，請查照審查。</w:t>
            </w:r>
          </w:p>
        </w:tc>
        <w:tc>
          <w:tcPr>
            <w:tcW w:w="1143" w:type="pct"/>
          </w:tcPr>
          <w:p w14:paraId="0BA4FD3C" w14:textId="77777777"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11-5-</w:t>
            </w:r>
            <w:r w:rsidRPr="001B6E4D">
              <w:rPr>
                <w:rFonts w:ascii="標楷體" w:eastAsia="標楷體" w:hAnsi="標楷體" w:cstheme="minorBidi" w:hint="eastAsia"/>
                <w:kern w:val="0"/>
              </w:rPr>
              <w:t>6</w:t>
            </w:r>
          </w:p>
          <w:p w14:paraId="7E08A0A0" w14:textId="53939B9F"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(115.</w:t>
            </w:r>
            <w:r w:rsidRPr="001B6E4D">
              <w:rPr>
                <w:rFonts w:ascii="標楷體" w:eastAsia="標楷體" w:hAnsi="標楷體" w:cstheme="minorBidi" w:hint="eastAsia"/>
                <w:kern w:val="0"/>
              </w:rPr>
              <w:t>4</w:t>
            </w:r>
            <w:r w:rsidRPr="001B6E4D">
              <w:rPr>
                <w:rFonts w:ascii="標楷體" w:eastAsia="標楷體" w:hAnsi="標楷體" w:cstheme="minorBidi"/>
                <w:kern w:val="0"/>
              </w:rPr>
              <w:t>.</w:t>
            </w:r>
            <w:r w:rsidRPr="001B6E4D">
              <w:rPr>
                <w:rFonts w:ascii="標楷體" w:eastAsia="標楷體" w:hAnsi="標楷體" w:cstheme="minorBidi" w:hint="eastAsia"/>
                <w:kern w:val="0"/>
              </w:rPr>
              <w:t>22</w:t>
            </w:r>
            <w:r w:rsidRPr="001B6E4D">
              <w:rPr>
                <w:rFonts w:ascii="標楷體" w:eastAsia="標楷體" w:hAnsi="標楷體" w:cstheme="minorBidi"/>
                <w:kern w:val="0"/>
              </w:rPr>
              <w:t>)</w:t>
            </w:r>
          </w:p>
        </w:tc>
        <w:tc>
          <w:tcPr>
            <w:tcW w:w="999" w:type="pct"/>
          </w:tcPr>
          <w:p w14:paraId="2C071503" w14:textId="60C5FEC6"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司法及法制</w:t>
            </w:r>
          </w:p>
        </w:tc>
        <w:tc>
          <w:tcPr>
            <w:tcW w:w="822" w:type="pct"/>
          </w:tcPr>
          <w:p w14:paraId="26BDDA73" w14:textId="26CBCDDE"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尚未審查</w:t>
            </w:r>
          </w:p>
        </w:tc>
      </w:tr>
      <w:tr w:rsidR="00F5051C" w:rsidRPr="001B6E4D" w14:paraId="7B770290" w14:textId="77777777" w:rsidTr="00B54984">
        <w:tc>
          <w:tcPr>
            <w:tcW w:w="436" w:type="pct"/>
          </w:tcPr>
          <w:p w14:paraId="20E94375" w14:textId="73A5929D" w:rsidR="00F5051C" w:rsidRPr="001B6E4D" w:rsidRDefault="00F5051C" w:rsidP="003D1018">
            <w:pPr>
              <w:overflowPunct w:val="0"/>
              <w:spacing w:line="360" w:lineRule="exact"/>
              <w:jc w:val="center"/>
              <w:rPr>
                <w:rFonts w:ascii="標楷體" w:eastAsia="標楷體" w:hAnsi="標楷體" w:cstheme="minorBidi"/>
                <w:kern w:val="0"/>
              </w:rPr>
            </w:pPr>
            <w:r w:rsidRPr="001B6E4D">
              <w:rPr>
                <w:rFonts w:ascii="標楷體" w:eastAsia="標楷體" w:hAnsi="標楷體" w:cstheme="minorBidi" w:hint="eastAsia"/>
                <w:kern w:val="0"/>
              </w:rPr>
              <w:t>5</w:t>
            </w:r>
          </w:p>
        </w:tc>
        <w:tc>
          <w:tcPr>
            <w:tcW w:w="1599" w:type="pct"/>
          </w:tcPr>
          <w:p w14:paraId="2FCDA7E3" w14:textId="31F6907D"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hint="eastAsia"/>
                <w:kern w:val="0"/>
              </w:rPr>
              <w:t>羅</w:t>
            </w:r>
            <w:r w:rsidRPr="001B6E4D">
              <w:rPr>
                <w:rFonts w:ascii="新細明體" w:hAnsi="新細明體" w:cs="新細明體" w:hint="eastAsia"/>
                <w:kern w:val="0"/>
              </w:rPr>
              <w:t>〇〇</w:t>
            </w:r>
            <w:r w:rsidRPr="001B6E4D">
              <w:rPr>
                <w:rFonts w:ascii="標楷體" w:eastAsia="標楷體" w:hAnsi="標楷體" w:cstheme="minorBidi" w:hint="eastAsia"/>
                <w:kern w:val="0"/>
              </w:rPr>
              <w:t>君為考試院函送之公務人員考績法修正草案，考核機制流於形式欠缺執行力，應重新研議事請願文書乙份，請查照審查。</w:t>
            </w:r>
          </w:p>
        </w:tc>
        <w:tc>
          <w:tcPr>
            <w:tcW w:w="1143" w:type="pct"/>
          </w:tcPr>
          <w:p w14:paraId="5B11E433" w14:textId="77777777"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11-</w:t>
            </w:r>
            <w:r w:rsidRPr="001B6E4D">
              <w:rPr>
                <w:rFonts w:ascii="標楷體" w:eastAsia="標楷體" w:hAnsi="標楷體" w:cstheme="minorBidi" w:hint="eastAsia"/>
                <w:kern w:val="0"/>
              </w:rPr>
              <w:t>5</w:t>
            </w:r>
            <w:r w:rsidRPr="001B6E4D">
              <w:rPr>
                <w:rFonts w:ascii="標楷體" w:eastAsia="標楷體" w:hAnsi="標楷體" w:cstheme="minorBidi"/>
                <w:kern w:val="0"/>
              </w:rPr>
              <w:t>-</w:t>
            </w:r>
            <w:r w:rsidRPr="001B6E4D">
              <w:rPr>
                <w:rFonts w:ascii="標楷體" w:eastAsia="標楷體" w:hAnsi="標楷體" w:cstheme="minorBidi" w:hint="eastAsia"/>
                <w:kern w:val="0"/>
              </w:rPr>
              <w:t>20</w:t>
            </w:r>
          </w:p>
          <w:p w14:paraId="7FAE74C5" w14:textId="586C5BBB"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(115.</w:t>
            </w:r>
            <w:r w:rsidRPr="001B6E4D">
              <w:rPr>
                <w:rFonts w:ascii="標楷體" w:eastAsia="標楷體" w:hAnsi="標楷體" w:cstheme="minorBidi" w:hint="eastAsia"/>
                <w:kern w:val="0"/>
              </w:rPr>
              <w:t>8</w:t>
            </w:r>
            <w:r w:rsidRPr="001B6E4D">
              <w:rPr>
                <w:rFonts w:ascii="標楷體" w:eastAsia="標楷體" w:hAnsi="標楷體" w:cstheme="minorBidi"/>
                <w:kern w:val="0"/>
              </w:rPr>
              <w:t>.</w:t>
            </w:r>
            <w:r w:rsidRPr="001B6E4D">
              <w:rPr>
                <w:rFonts w:ascii="標楷體" w:eastAsia="標楷體" w:hAnsi="標楷體" w:cstheme="minorBidi" w:hint="eastAsia"/>
                <w:kern w:val="0"/>
              </w:rPr>
              <w:t>26</w:t>
            </w:r>
            <w:r w:rsidRPr="001B6E4D">
              <w:rPr>
                <w:rFonts w:ascii="標楷體" w:eastAsia="標楷體" w:hAnsi="標楷體" w:cstheme="minorBidi"/>
                <w:kern w:val="0"/>
              </w:rPr>
              <w:t>)</w:t>
            </w:r>
          </w:p>
        </w:tc>
        <w:tc>
          <w:tcPr>
            <w:tcW w:w="999" w:type="pct"/>
          </w:tcPr>
          <w:p w14:paraId="62C2AA71" w14:textId="500801A7"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司法及法制</w:t>
            </w:r>
          </w:p>
        </w:tc>
        <w:tc>
          <w:tcPr>
            <w:tcW w:w="822" w:type="pct"/>
          </w:tcPr>
          <w:p w14:paraId="61119B13" w14:textId="5E345303" w:rsidR="00F5051C" w:rsidRPr="001B6E4D" w:rsidRDefault="00F5051C" w:rsidP="003D1018">
            <w:pPr>
              <w:overflowPunct w:val="0"/>
              <w:spacing w:line="360" w:lineRule="exact"/>
              <w:jc w:val="both"/>
              <w:rPr>
                <w:rFonts w:ascii="標楷體" w:eastAsia="標楷體" w:hAnsi="標楷體" w:cstheme="minorBidi"/>
                <w:kern w:val="0"/>
              </w:rPr>
            </w:pPr>
            <w:r w:rsidRPr="001B6E4D">
              <w:rPr>
                <w:rFonts w:ascii="標楷體" w:eastAsia="標楷體" w:hAnsi="標楷體" w:cstheme="minorBidi"/>
                <w:kern w:val="0"/>
              </w:rPr>
              <w:t>尚未審查</w:t>
            </w:r>
          </w:p>
        </w:tc>
      </w:tr>
    </w:tbl>
    <w:p w14:paraId="11EE5180" w14:textId="77777777" w:rsidR="009B28A5" w:rsidRPr="001B6E4D" w:rsidRDefault="009B28A5" w:rsidP="003D1018">
      <w:pPr>
        <w:pStyle w:val="-f3"/>
        <w:overflowPunct w:val="0"/>
        <w:spacing w:beforeLines="100" w:before="240" w:after="120" w:line="500" w:lineRule="exact"/>
        <w:ind w:left="0"/>
        <w:outlineLvl w:val="0"/>
        <w:rPr>
          <w:rFonts w:ascii="標楷體" w:hAnsi="標楷體"/>
          <w:color w:val="000000" w:themeColor="text1"/>
          <w:shd w:val="clear" w:color="auto" w:fill="FFFFFF" w:themeFill="background1"/>
        </w:rPr>
        <w:sectPr w:rsidR="009B28A5" w:rsidRPr="001B6E4D" w:rsidSect="00B8553E">
          <w:pgSz w:w="11906" w:h="16838" w:code="9"/>
          <w:pgMar w:top="1440" w:right="1440" w:bottom="1440" w:left="1800" w:header="851" w:footer="992" w:gutter="0"/>
          <w:cols w:space="425"/>
          <w:docGrid w:linePitch="360"/>
        </w:sectPr>
      </w:pPr>
    </w:p>
    <w:p w14:paraId="136516F5" w14:textId="1E098585" w:rsidR="001949A3" w:rsidRPr="001B6E4D" w:rsidRDefault="001949A3" w:rsidP="003D1018">
      <w:pPr>
        <w:pStyle w:val="-f3"/>
        <w:overflowPunct w:val="0"/>
        <w:spacing w:beforeLines="100" w:before="360" w:after="180" w:line="500" w:lineRule="exact"/>
        <w:ind w:left="0"/>
        <w:outlineLvl w:val="0"/>
        <w:rPr>
          <w:rStyle w:val="af6"/>
          <w:rFonts w:ascii="標楷體" w:hAnsi="標楷體"/>
          <w:color w:val="000000" w:themeColor="text1"/>
          <w:szCs w:val="36"/>
        </w:rPr>
      </w:pPr>
      <w:bookmarkStart w:id="409" w:name="_Toc240446572"/>
      <w:bookmarkStart w:id="410" w:name="_Toc401935951"/>
      <w:bookmarkStart w:id="411" w:name="_Toc132366932"/>
      <w:proofErr w:type="gramStart"/>
      <w:r w:rsidRPr="001B6E4D">
        <w:rPr>
          <w:rFonts w:ascii="標楷體" w:hAnsi="標楷體" w:hint="eastAsia"/>
          <w:color w:val="000000" w:themeColor="text1"/>
        </w:rPr>
        <w:lastRenderedPageBreak/>
        <w:t>柒</w:t>
      </w:r>
      <w:proofErr w:type="gramEnd"/>
      <w:r w:rsidRPr="001B6E4D">
        <w:rPr>
          <w:rFonts w:ascii="標楷體" w:hAnsi="標楷體" w:hint="eastAsia"/>
          <w:color w:val="000000" w:themeColor="text1"/>
        </w:rPr>
        <w:t>、院會</w:t>
      </w:r>
      <w:proofErr w:type="gramStart"/>
      <w:r w:rsidRPr="001B6E4D">
        <w:rPr>
          <w:rFonts w:ascii="標楷體" w:hAnsi="標楷體" w:hint="eastAsia"/>
          <w:color w:val="000000" w:themeColor="text1"/>
        </w:rPr>
        <w:t>逕</w:t>
      </w:r>
      <w:proofErr w:type="gramEnd"/>
      <w:r w:rsidRPr="001B6E4D">
        <w:rPr>
          <w:rFonts w:ascii="標楷體" w:hAnsi="標楷體" w:hint="eastAsia"/>
          <w:color w:val="000000" w:themeColor="text1"/>
        </w:rPr>
        <w:t>付二讀議案</w:t>
      </w:r>
      <w:r w:rsidR="001D438E" w:rsidRPr="001B6E4D">
        <w:rPr>
          <w:rFonts w:ascii="標楷體" w:hAnsi="標楷體" w:hint="eastAsia"/>
          <w:color w:val="000000" w:themeColor="text1"/>
        </w:rPr>
        <w:t>63</w:t>
      </w:r>
      <w:r w:rsidRPr="001B6E4D">
        <w:rPr>
          <w:rStyle w:val="af6"/>
          <w:rFonts w:ascii="標楷體" w:hAnsi="標楷體"/>
          <w:color w:val="000000" w:themeColor="text1"/>
          <w:szCs w:val="36"/>
          <w:u w:val="none"/>
        </w:rPr>
        <w:t>案</w:t>
      </w:r>
      <w:bookmarkEnd w:id="409"/>
    </w:p>
    <w:p w14:paraId="282E718C" w14:textId="32247945" w:rsidR="001949A3" w:rsidRPr="001B6E4D" w:rsidRDefault="001949A3" w:rsidP="003D1018">
      <w:pPr>
        <w:pStyle w:val="affffff0"/>
        <w:overflowPunct w:val="0"/>
        <w:spacing w:before="180" w:after="180"/>
        <w:outlineLvl w:val="1"/>
        <w:rPr>
          <w:color w:val="000000" w:themeColor="text1"/>
        </w:rPr>
      </w:pPr>
      <w:bookmarkStart w:id="412" w:name="_Toc240446573"/>
      <w:r w:rsidRPr="001B6E4D">
        <w:rPr>
          <w:color w:val="000000" w:themeColor="text1"/>
        </w:rPr>
        <w:t>［壹］法律案</w:t>
      </w:r>
      <w:r w:rsidR="001D438E" w:rsidRPr="001B6E4D">
        <w:rPr>
          <w:rFonts w:hint="eastAsia"/>
          <w:color w:val="000000" w:themeColor="text1"/>
        </w:rPr>
        <w:t>52</w:t>
      </w:r>
      <w:r w:rsidRPr="001B6E4D">
        <w:rPr>
          <w:rFonts w:hint="eastAsia"/>
          <w:color w:val="000000" w:themeColor="text1"/>
        </w:rPr>
        <w:t>案</w:t>
      </w:r>
      <w:bookmarkEnd w:id="412"/>
    </w:p>
    <w:p w14:paraId="34203F45" w14:textId="77777777" w:rsidR="001D438E" w:rsidRPr="001B6E4D" w:rsidRDefault="001949A3" w:rsidP="003D1018">
      <w:pPr>
        <w:pStyle w:val="affffff0"/>
        <w:kinsoku w:val="0"/>
        <w:overflowPunct w:val="0"/>
        <w:topLinePunct/>
        <w:spacing w:before="180" w:afterLines="70" w:after="252" w:line="260" w:lineRule="exact"/>
        <w:ind w:leftChars="128" w:left="307" w:firstLineChars="280" w:firstLine="785"/>
        <w:rPr>
          <w:color w:val="000000" w:themeColor="text1"/>
        </w:rPr>
      </w:pPr>
      <w:bookmarkStart w:id="413" w:name="_Toc240446574"/>
      <w:r w:rsidRPr="001B6E4D">
        <w:rPr>
          <w:color w:val="000000" w:themeColor="text1"/>
        </w:rPr>
        <w:t>一</w:t>
      </w:r>
      <w:r w:rsidRPr="001B6E4D">
        <w:rPr>
          <w:rFonts w:hint="eastAsia"/>
          <w:color w:val="000000" w:themeColor="text1"/>
        </w:rPr>
        <w:t>、</w:t>
      </w:r>
      <w:r w:rsidRPr="001B6E4D">
        <w:rPr>
          <w:color w:val="000000" w:themeColor="text1"/>
        </w:rPr>
        <w:t>組織法</w:t>
      </w:r>
      <w:r w:rsidR="001D438E" w:rsidRPr="001B6E4D">
        <w:rPr>
          <w:rFonts w:hint="eastAsia"/>
          <w:color w:val="000000" w:themeColor="text1"/>
        </w:rPr>
        <w:t>30</w:t>
      </w:r>
      <w:r w:rsidRPr="001B6E4D">
        <w:rPr>
          <w:rFonts w:hint="eastAsia"/>
          <w:color w:val="000000" w:themeColor="text1"/>
        </w:rPr>
        <w:t>案</w:t>
      </w:r>
      <w:bookmarkEnd w:id="413"/>
    </w:p>
    <w:tbl>
      <w:tblPr>
        <w:tblW w:w="875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675"/>
        <w:gridCol w:w="2127"/>
        <w:gridCol w:w="2268"/>
        <w:gridCol w:w="3685"/>
      </w:tblGrid>
      <w:tr w:rsidR="001D438E" w:rsidRPr="001B6E4D" w14:paraId="7B237102" w14:textId="77777777" w:rsidTr="0041172C">
        <w:tc>
          <w:tcPr>
            <w:tcW w:w="675" w:type="dxa"/>
            <w:tcMar>
              <w:top w:w="85" w:type="dxa"/>
              <w:bottom w:w="85" w:type="dxa"/>
            </w:tcMar>
            <w:vAlign w:val="center"/>
          </w:tcPr>
          <w:p w14:paraId="5428181A" w14:textId="77777777" w:rsidR="001D438E" w:rsidRPr="001B6E4D" w:rsidRDefault="001D438E"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hint="eastAsia"/>
                <w:b/>
                <w:color w:val="000000"/>
                <w:kern w:val="0"/>
              </w:rPr>
              <w:t>序號</w:t>
            </w:r>
          </w:p>
        </w:tc>
        <w:tc>
          <w:tcPr>
            <w:tcW w:w="2127" w:type="dxa"/>
            <w:tcMar>
              <w:top w:w="85" w:type="dxa"/>
              <w:bottom w:w="85" w:type="dxa"/>
            </w:tcMar>
            <w:vAlign w:val="center"/>
          </w:tcPr>
          <w:p w14:paraId="213175B7" w14:textId="77777777" w:rsidR="001D438E" w:rsidRPr="001B6E4D" w:rsidRDefault="001D438E"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hint="eastAsia"/>
                <w:b/>
                <w:color w:val="000000"/>
                <w:kern w:val="0"/>
              </w:rPr>
              <w:t>議案名稱</w:t>
            </w:r>
          </w:p>
        </w:tc>
        <w:tc>
          <w:tcPr>
            <w:tcW w:w="2268" w:type="dxa"/>
            <w:tcMar>
              <w:top w:w="85" w:type="dxa"/>
              <w:bottom w:w="85" w:type="dxa"/>
            </w:tcMar>
            <w:vAlign w:val="center"/>
          </w:tcPr>
          <w:p w14:paraId="017D9FE9" w14:textId="3F2BDE45" w:rsidR="001D438E" w:rsidRPr="001B6E4D" w:rsidRDefault="001D438E"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hint="eastAsia"/>
                <w:b/>
                <w:color w:val="000000"/>
                <w:kern w:val="0"/>
              </w:rPr>
              <w:t>提案委員或機關</w:t>
            </w:r>
          </w:p>
          <w:p w14:paraId="4B6C6A7C" w14:textId="77777777" w:rsidR="001D438E" w:rsidRPr="001B6E4D" w:rsidRDefault="001D438E"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hint="eastAsia"/>
                <w:b/>
                <w:color w:val="000000"/>
                <w:kern w:val="0"/>
              </w:rPr>
              <w:t>院會</w:t>
            </w:r>
            <w:proofErr w:type="gramStart"/>
            <w:r w:rsidRPr="001B6E4D">
              <w:rPr>
                <w:rFonts w:ascii="標楷體" w:eastAsia="標楷體" w:hAnsi="標楷體" w:hint="eastAsia"/>
                <w:b/>
                <w:color w:val="000000"/>
                <w:kern w:val="0"/>
              </w:rPr>
              <w:t>逕</w:t>
            </w:r>
            <w:proofErr w:type="gramEnd"/>
            <w:r w:rsidRPr="001B6E4D">
              <w:rPr>
                <w:rFonts w:ascii="標楷體" w:eastAsia="標楷體" w:hAnsi="標楷體" w:hint="eastAsia"/>
                <w:b/>
                <w:color w:val="000000"/>
                <w:kern w:val="0"/>
              </w:rPr>
              <w:t>付二讀日期（會次）</w:t>
            </w:r>
          </w:p>
        </w:tc>
        <w:tc>
          <w:tcPr>
            <w:tcW w:w="3685" w:type="dxa"/>
            <w:tcMar>
              <w:top w:w="85" w:type="dxa"/>
              <w:bottom w:w="85" w:type="dxa"/>
            </w:tcMar>
            <w:vAlign w:val="center"/>
          </w:tcPr>
          <w:p w14:paraId="193E03C6" w14:textId="77777777" w:rsidR="001D438E" w:rsidRPr="001B6E4D" w:rsidRDefault="001D438E" w:rsidP="003D1018">
            <w:pPr>
              <w:widowControl w:val="0"/>
              <w:overflowPunct w:val="0"/>
              <w:adjustRightInd w:val="0"/>
              <w:snapToGrid w:val="0"/>
              <w:spacing w:line="280" w:lineRule="exact"/>
              <w:ind w:left="240" w:hangingChars="100" w:hanging="240"/>
              <w:jc w:val="center"/>
              <w:textAlignment w:val="baseline"/>
              <w:rPr>
                <w:rFonts w:ascii="標楷體" w:eastAsia="標楷體" w:hAnsi="標楷體"/>
                <w:b/>
                <w:color w:val="000000"/>
                <w:kern w:val="0"/>
              </w:rPr>
            </w:pPr>
            <w:r w:rsidRPr="001B6E4D">
              <w:rPr>
                <w:rFonts w:ascii="標楷體" w:eastAsia="標楷體" w:hAnsi="標楷體" w:hint="eastAsia"/>
                <w:b/>
                <w:color w:val="000000"/>
              </w:rPr>
              <w:t>處理、審議</w:t>
            </w:r>
            <w:r w:rsidRPr="001B6E4D">
              <w:rPr>
                <w:rFonts w:ascii="標楷體" w:eastAsia="標楷體" w:hAnsi="標楷體" w:hint="eastAsia"/>
                <w:b/>
                <w:color w:val="000000"/>
                <w:kern w:val="0"/>
              </w:rPr>
              <w:t>情形</w:t>
            </w:r>
          </w:p>
        </w:tc>
      </w:tr>
      <w:tr w:rsidR="001D438E" w:rsidRPr="001B6E4D" w14:paraId="1EC9A2A5" w14:textId="77777777" w:rsidTr="0041172C">
        <w:tc>
          <w:tcPr>
            <w:tcW w:w="675" w:type="dxa"/>
            <w:tcMar>
              <w:top w:w="85" w:type="dxa"/>
              <w:bottom w:w="85" w:type="dxa"/>
            </w:tcMar>
          </w:tcPr>
          <w:p w14:paraId="19B34EC4"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0EE1848E" w14:textId="77777777"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立法院組織法第三</w:t>
            </w:r>
            <w:proofErr w:type="gramStart"/>
            <w:r w:rsidRPr="001B6E4D">
              <w:rPr>
                <w:rFonts w:ascii="標楷體" w:eastAsia="標楷體" w:hAnsi="標楷體"/>
                <w:color w:val="000000"/>
              </w:rPr>
              <w:t>條</w:t>
            </w:r>
            <w:proofErr w:type="gramEnd"/>
            <w:r w:rsidRPr="001B6E4D">
              <w:rPr>
                <w:rFonts w:ascii="標楷體" w:eastAsia="標楷體" w:hAnsi="標楷體"/>
                <w:color w:val="000000"/>
              </w:rPr>
              <w:t>條文修正草案</w:t>
            </w:r>
          </w:p>
        </w:tc>
        <w:tc>
          <w:tcPr>
            <w:tcW w:w="2268" w:type="dxa"/>
            <w:tcMar>
              <w:top w:w="85" w:type="dxa"/>
              <w:bottom w:w="85" w:type="dxa"/>
            </w:tcMar>
          </w:tcPr>
          <w:p w14:paraId="7CA6FCC5"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委員傅</w:t>
            </w:r>
            <w:r w:rsidRPr="001B6E4D">
              <w:rPr>
                <w:rFonts w:ascii="標楷體" w:eastAsia="標楷體" w:hAnsi="標楷體" w:hint="eastAsia"/>
                <w:color w:val="000000"/>
              </w:rPr>
              <w:t>崐萁</w:t>
            </w:r>
          </w:p>
          <w:p w14:paraId="2D3C12D2"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w:t>
            </w:r>
            <w:r w:rsidRPr="001B6E4D">
              <w:rPr>
                <w:rFonts w:ascii="標楷體" w:eastAsia="標楷體" w:hAnsi="標楷體"/>
                <w:color w:val="000000"/>
              </w:rPr>
              <w:t>52人</w:t>
            </w:r>
          </w:p>
          <w:p w14:paraId="74AAC280"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113.03.08</w:t>
            </w:r>
          </w:p>
          <w:p w14:paraId="55F49BE3"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（11-1-4）</w:t>
            </w:r>
          </w:p>
        </w:tc>
        <w:tc>
          <w:tcPr>
            <w:tcW w:w="3685" w:type="dxa"/>
            <w:tcMar>
              <w:top w:w="85" w:type="dxa"/>
              <w:bottom w:w="85" w:type="dxa"/>
            </w:tcMar>
          </w:tcPr>
          <w:p w14:paraId="240D492E"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1.本會113.4.10舉行「如何落實國會調查／</w:t>
            </w:r>
            <w:proofErr w:type="gramStart"/>
            <w:r w:rsidRPr="001B6E4D">
              <w:rPr>
                <w:rFonts w:ascii="標楷體" w:eastAsia="標楷體" w:hAnsi="標楷體" w:hint="eastAsia"/>
              </w:rPr>
              <w:t>聽證權以</w:t>
            </w:r>
            <w:proofErr w:type="gramEnd"/>
            <w:r w:rsidRPr="001B6E4D">
              <w:rPr>
                <w:rFonts w:ascii="標楷體" w:eastAsia="標楷體" w:hAnsi="標楷體" w:hint="eastAsia"/>
              </w:rPr>
              <w:t>有效監督行政機關，並避免侵犯人民</w:t>
            </w:r>
            <w:proofErr w:type="gramStart"/>
            <w:r w:rsidRPr="001B6E4D">
              <w:rPr>
                <w:rFonts w:ascii="標楷體" w:eastAsia="標楷體" w:hAnsi="標楷體" w:hint="eastAsia"/>
              </w:rPr>
              <w:t>自由／</w:t>
            </w:r>
            <w:proofErr w:type="gramEnd"/>
            <w:r w:rsidRPr="001B6E4D">
              <w:rPr>
                <w:rFonts w:ascii="標楷體" w:eastAsia="標楷體" w:hAnsi="標楷體" w:hint="eastAsia"/>
              </w:rPr>
              <w:t>隱私權」公聽會。</w:t>
            </w:r>
          </w:p>
          <w:p w14:paraId="2CBD2AE6"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2.本會113.4.11舉行「如何落實國會調查／</w:t>
            </w:r>
            <w:proofErr w:type="gramStart"/>
            <w:r w:rsidRPr="001B6E4D">
              <w:rPr>
                <w:rFonts w:ascii="標楷體" w:eastAsia="標楷體" w:hAnsi="標楷體" w:hint="eastAsia"/>
              </w:rPr>
              <w:t>聽證權以</w:t>
            </w:r>
            <w:proofErr w:type="gramEnd"/>
            <w:r w:rsidRPr="001B6E4D">
              <w:rPr>
                <w:rFonts w:ascii="標楷體" w:eastAsia="標楷體" w:hAnsi="標楷體" w:hint="eastAsia"/>
              </w:rPr>
              <w:t>有效監督行政機關，並防範機密外</w:t>
            </w:r>
            <w:proofErr w:type="gramStart"/>
            <w:r w:rsidRPr="001B6E4D">
              <w:rPr>
                <w:rFonts w:ascii="標楷體" w:eastAsia="標楷體" w:hAnsi="標楷體" w:hint="eastAsia"/>
              </w:rPr>
              <w:t>洩</w:t>
            </w:r>
            <w:proofErr w:type="gramEnd"/>
            <w:r w:rsidRPr="001B6E4D">
              <w:rPr>
                <w:rFonts w:ascii="標楷體" w:eastAsia="標楷體" w:hAnsi="標楷體" w:hint="eastAsia"/>
              </w:rPr>
              <w:t>危害國安」公聽會。</w:t>
            </w:r>
          </w:p>
          <w:p w14:paraId="70239471"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3.院會1</w:t>
            </w:r>
            <w:r w:rsidRPr="001B6E4D">
              <w:rPr>
                <w:rFonts w:ascii="標楷體" w:eastAsia="標楷體" w:hAnsi="標楷體"/>
              </w:rPr>
              <w:t>13</w:t>
            </w:r>
            <w:r w:rsidRPr="001B6E4D">
              <w:rPr>
                <w:rFonts w:ascii="標楷體" w:eastAsia="標楷體" w:hAnsi="標楷體" w:hint="eastAsia"/>
              </w:rPr>
              <w:t>.</w:t>
            </w:r>
            <w:r w:rsidRPr="001B6E4D">
              <w:rPr>
                <w:rFonts w:ascii="標楷體" w:eastAsia="標楷體" w:hAnsi="標楷體"/>
              </w:rPr>
              <w:t>4</w:t>
            </w:r>
            <w:r w:rsidRPr="001B6E4D">
              <w:rPr>
                <w:rFonts w:ascii="標楷體" w:eastAsia="標楷體" w:hAnsi="標楷體" w:hint="eastAsia"/>
              </w:rPr>
              <w:t>.</w:t>
            </w:r>
            <w:r w:rsidRPr="001B6E4D">
              <w:rPr>
                <w:rFonts w:ascii="標楷體" w:eastAsia="標楷體" w:hAnsi="標楷體"/>
              </w:rPr>
              <w:t>19</w:t>
            </w:r>
            <w:r w:rsidRPr="001B6E4D">
              <w:rPr>
                <w:rFonts w:ascii="標楷體" w:eastAsia="標楷體" w:hAnsi="標楷體" w:hint="eastAsia"/>
              </w:rPr>
              <w:t>（1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10</w:t>
            </w:r>
            <w:r w:rsidRPr="001B6E4D">
              <w:rPr>
                <w:rFonts w:ascii="標楷體" w:eastAsia="標楷體" w:hAnsi="標楷體" w:hint="eastAsia"/>
              </w:rPr>
              <w:t>）自司法及法制委員會抽出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p w14:paraId="2002998E"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4.113.5.8黨團協商。</w:t>
            </w:r>
          </w:p>
        </w:tc>
      </w:tr>
      <w:tr w:rsidR="001D438E" w:rsidRPr="001B6E4D" w14:paraId="7123BAAF" w14:textId="77777777" w:rsidTr="0041172C">
        <w:tc>
          <w:tcPr>
            <w:tcW w:w="675" w:type="dxa"/>
            <w:tcMar>
              <w:top w:w="85" w:type="dxa"/>
              <w:bottom w:w="85" w:type="dxa"/>
            </w:tcMar>
          </w:tcPr>
          <w:p w14:paraId="3871676A"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71990E51" w14:textId="77777777"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個人資料保護委員會組織法草案</w:t>
            </w:r>
          </w:p>
        </w:tc>
        <w:tc>
          <w:tcPr>
            <w:tcW w:w="2268" w:type="dxa"/>
            <w:tcMar>
              <w:top w:w="85" w:type="dxa"/>
              <w:bottom w:w="85" w:type="dxa"/>
            </w:tcMar>
          </w:tcPr>
          <w:p w14:paraId="17C73E34"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委員許宇</w:t>
            </w:r>
            <w:proofErr w:type="gramStart"/>
            <w:r w:rsidRPr="001B6E4D">
              <w:rPr>
                <w:rFonts w:ascii="標楷體" w:eastAsia="標楷體" w:hAnsi="標楷體" w:hint="eastAsia"/>
                <w:color w:val="000000"/>
              </w:rPr>
              <w:t>甄</w:t>
            </w:r>
            <w:proofErr w:type="gramEnd"/>
          </w:p>
          <w:p w14:paraId="51A9FF45"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等17人</w:t>
            </w:r>
          </w:p>
          <w:p w14:paraId="01B2E49E"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114.0</w:t>
            </w:r>
            <w:r w:rsidRPr="001B6E4D">
              <w:rPr>
                <w:rFonts w:ascii="標楷體" w:eastAsia="標楷體" w:hAnsi="標楷體" w:hint="eastAsia"/>
                <w:color w:val="000000"/>
              </w:rPr>
              <w:t>6</w:t>
            </w:r>
            <w:r w:rsidRPr="001B6E4D">
              <w:rPr>
                <w:rFonts w:ascii="標楷體" w:eastAsia="標楷體" w:hAnsi="標楷體"/>
                <w:color w:val="000000"/>
              </w:rPr>
              <w:t>.</w:t>
            </w:r>
            <w:r w:rsidRPr="001B6E4D">
              <w:rPr>
                <w:rFonts w:ascii="標楷體" w:eastAsia="標楷體" w:hAnsi="標楷體" w:hint="eastAsia"/>
                <w:color w:val="000000"/>
              </w:rPr>
              <w:t>03</w:t>
            </w:r>
          </w:p>
          <w:p w14:paraId="46F9401D"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（11-3-</w:t>
            </w:r>
            <w:r w:rsidRPr="001B6E4D">
              <w:rPr>
                <w:rFonts w:ascii="標楷體" w:eastAsia="標楷體" w:hAnsi="標楷體" w:hint="eastAsia"/>
                <w:color w:val="000000"/>
              </w:rPr>
              <w:t>14</w:t>
            </w:r>
            <w:r w:rsidRPr="001B6E4D">
              <w:rPr>
                <w:rFonts w:ascii="標楷體" w:eastAsia="標楷體" w:hAnsi="標楷體"/>
                <w:color w:val="000000"/>
              </w:rPr>
              <w:t>）</w:t>
            </w:r>
          </w:p>
        </w:tc>
        <w:tc>
          <w:tcPr>
            <w:tcW w:w="3685" w:type="dxa"/>
            <w:tcMar>
              <w:top w:w="85" w:type="dxa"/>
              <w:bottom w:w="85" w:type="dxa"/>
            </w:tcMar>
          </w:tcPr>
          <w:p w14:paraId="631D73A6"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4.6.3（1</w:t>
            </w:r>
            <w:r w:rsidRPr="001B6E4D">
              <w:rPr>
                <w:rFonts w:ascii="標楷體" w:eastAsia="標楷體" w:hAnsi="標楷體"/>
              </w:rPr>
              <w:t>1</w:t>
            </w:r>
            <w:r w:rsidRPr="001B6E4D">
              <w:rPr>
                <w:rFonts w:ascii="標楷體" w:eastAsia="標楷體" w:hAnsi="標楷體" w:hint="eastAsia"/>
              </w:rPr>
              <w:t>-3-14）</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7BEA9359"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2.114.6.24黨團協商。</w:t>
            </w:r>
          </w:p>
        </w:tc>
      </w:tr>
      <w:tr w:rsidR="001D438E" w:rsidRPr="001B6E4D" w14:paraId="544E26A0" w14:textId="77777777" w:rsidTr="0041172C">
        <w:tc>
          <w:tcPr>
            <w:tcW w:w="675" w:type="dxa"/>
            <w:tcMar>
              <w:top w:w="85" w:type="dxa"/>
              <w:bottom w:w="85" w:type="dxa"/>
            </w:tcMar>
          </w:tcPr>
          <w:p w14:paraId="02BDC76F"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4598AA8A" w14:textId="77777777"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個人資料保護委員會組織法草案</w:t>
            </w:r>
          </w:p>
        </w:tc>
        <w:tc>
          <w:tcPr>
            <w:tcW w:w="2268" w:type="dxa"/>
            <w:tcMar>
              <w:top w:w="85" w:type="dxa"/>
              <w:bottom w:w="85" w:type="dxa"/>
            </w:tcMar>
          </w:tcPr>
          <w:p w14:paraId="0CD35957"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委員鄭天財</w:t>
            </w:r>
          </w:p>
          <w:p w14:paraId="2317039F" w14:textId="77777777" w:rsidR="001D438E" w:rsidRPr="001B6E4D" w:rsidRDefault="001D438E" w:rsidP="003D1018">
            <w:pPr>
              <w:widowControl w:val="0"/>
              <w:overflowPunct w:val="0"/>
              <w:rPr>
                <w:rFonts w:ascii="標楷體" w:eastAsia="標楷體" w:hAnsi="標楷體"/>
                <w:color w:val="000000"/>
              </w:rPr>
            </w:pPr>
            <w:proofErr w:type="spellStart"/>
            <w:r w:rsidRPr="001B6E4D">
              <w:rPr>
                <w:rFonts w:ascii="標楷體" w:eastAsia="標楷體" w:hAnsi="標楷體" w:hint="eastAsia"/>
                <w:color w:val="000000"/>
              </w:rPr>
              <w:t>Sra</w:t>
            </w:r>
            <w:proofErr w:type="spellEnd"/>
            <w:r w:rsidRPr="001B6E4D">
              <w:rPr>
                <w:rFonts w:ascii="標楷體" w:eastAsia="標楷體" w:hAnsi="標楷體" w:hint="eastAsia"/>
                <w:color w:val="000000"/>
              </w:rPr>
              <w:t xml:space="preserve"> </w:t>
            </w:r>
            <w:proofErr w:type="spellStart"/>
            <w:r w:rsidRPr="001B6E4D">
              <w:rPr>
                <w:rFonts w:ascii="標楷體" w:eastAsia="標楷體" w:hAnsi="標楷體" w:hint="eastAsia"/>
                <w:color w:val="000000"/>
              </w:rPr>
              <w:t>Kacaw</w:t>
            </w:r>
            <w:proofErr w:type="spellEnd"/>
            <w:r w:rsidRPr="001B6E4D">
              <w:rPr>
                <w:rFonts w:ascii="標楷體" w:eastAsia="標楷體" w:hAnsi="標楷體" w:hint="eastAsia"/>
                <w:color w:val="000000"/>
              </w:rPr>
              <w:t>等18人</w:t>
            </w:r>
          </w:p>
          <w:p w14:paraId="44F2BA43"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114.0</w:t>
            </w:r>
            <w:r w:rsidRPr="001B6E4D">
              <w:rPr>
                <w:rFonts w:ascii="標楷體" w:eastAsia="標楷體" w:hAnsi="標楷體" w:hint="eastAsia"/>
                <w:color w:val="000000"/>
              </w:rPr>
              <w:t>7</w:t>
            </w:r>
            <w:r w:rsidRPr="001B6E4D">
              <w:rPr>
                <w:rFonts w:ascii="標楷體" w:eastAsia="標楷體" w:hAnsi="標楷體"/>
                <w:color w:val="000000"/>
              </w:rPr>
              <w:t>.</w:t>
            </w:r>
            <w:r w:rsidRPr="001B6E4D">
              <w:rPr>
                <w:rFonts w:ascii="標楷體" w:eastAsia="標楷體" w:hAnsi="標楷體" w:hint="eastAsia"/>
                <w:color w:val="000000"/>
              </w:rPr>
              <w:t>04</w:t>
            </w:r>
          </w:p>
          <w:p w14:paraId="2EE06B77"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（11-3-</w:t>
            </w:r>
            <w:r w:rsidRPr="001B6E4D">
              <w:rPr>
                <w:rFonts w:ascii="標楷體" w:eastAsia="標楷體" w:hAnsi="標楷體" w:hint="eastAsia"/>
                <w:color w:val="000000"/>
              </w:rPr>
              <w:t>19</w:t>
            </w:r>
            <w:r w:rsidRPr="001B6E4D">
              <w:rPr>
                <w:rFonts w:ascii="標楷體" w:eastAsia="標楷體" w:hAnsi="標楷體"/>
                <w:color w:val="000000"/>
              </w:rPr>
              <w:t>）</w:t>
            </w:r>
          </w:p>
        </w:tc>
        <w:tc>
          <w:tcPr>
            <w:tcW w:w="3685" w:type="dxa"/>
            <w:tcMar>
              <w:top w:w="85" w:type="dxa"/>
              <w:bottom w:w="85" w:type="dxa"/>
            </w:tcMar>
          </w:tcPr>
          <w:p w14:paraId="728786E0" w14:textId="77777777" w:rsidR="001D438E" w:rsidRPr="001B6E4D" w:rsidRDefault="001D438E"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4.7.4（1</w:t>
            </w:r>
            <w:r w:rsidRPr="001B6E4D">
              <w:rPr>
                <w:rFonts w:ascii="標楷體" w:eastAsia="標楷體" w:hAnsi="標楷體"/>
              </w:rPr>
              <w:t>1</w:t>
            </w:r>
            <w:r w:rsidRPr="001B6E4D">
              <w:rPr>
                <w:rFonts w:ascii="標楷體" w:eastAsia="標楷體" w:hAnsi="標楷體" w:hint="eastAsia"/>
              </w:rPr>
              <w:t>-3-19）</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1D438E" w:rsidRPr="001B6E4D" w14:paraId="52E87990" w14:textId="77777777" w:rsidTr="0041172C">
        <w:tc>
          <w:tcPr>
            <w:tcW w:w="675" w:type="dxa"/>
            <w:tcMar>
              <w:top w:w="85" w:type="dxa"/>
              <w:bottom w:w="85" w:type="dxa"/>
            </w:tcMar>
          </w:tcPr>
          <w:p w14:paraId="552CADA7"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2E0EBE3B" w14:textId="77777777"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個人資料保護委員會組織法草案</w:t>
            </w:r>
          </w:p>
        </w:tc>
        <w:tc>
          <w:tcPr>
            <w:tcW w:w="2268" w:type="dxa"/>
            <w:tcMar>
              <w:top w:w="85" w:type="dxa"/>
              <w:bottom w:w="85" w:type="dxa"/>
            </w:tcMar>
          </w:tcPr>
          <w:p w14:paraId="06A499C1"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委員林楚</w:t>
            </w:r>
            <w:proofErr w:type="gramStart"/>
            <w:r w:rsidRPr="001B6E4D">
              <w:rPr>
                <w:rFonts w:ascii="標楷體" w:eastAsia="標楷體" w:hAnsi="標楷體" w:hint="eastAsia"/>
                <w:color w:val="000000"/>
              </w:rPr>
              <w:t>茵</w:t>
            </w:r>
            <w:proofErr w:type="gramEnd"/>
          </w:p>
          <w:p w14:paraId="73AB3D0E"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等19人</w:t>
            </w:r>
          </w:p>
          <w:p w14:paraId="0B5227EB"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.3.13</w:t>
            </w:r>
          </w:p>
          <w:p w14:paraId="69D21026"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（11-5-3）</w:t>
            </w:r>
          </w:p>
        </w:tc>
        <w:tc>
          <w:tcPr>
            <w:tcW w:w="3685" w:type="dxa"/>
            <w:tcMar>
              <w:top w:w="85" w:type="dxa"/>
              <w:bottom w:w="85" w:type="dxa"/>
            </w:tcMar>
          </w:tcPr>
          <w:p w14:paraId="3AC28155" w14:textId="77777777" w:rsidR="001D438E" w:rsidRPr="001B6E4D" w:rsidRDefault="001D438E"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w:t>
            </w:r>
            <w:r w:rsidRPr="001B6E4D">
              <w:rPr>
                <w:rFonts w:ascii="標楷體" w:eastAsia="標楷體" w:hAnsi="標楷體"/>
              </w:rPr>
              <w:t>13</w:t>
            </w:r>
            <w:r w:rsidRPr="001B6E4D">
              <w:rPr>
                <w:rFonts w:ascii="標楷體" w:eastAsia="標楷體" w:hAnsi="標楷體" w:hint="eastAsia"/>
              </w:rPr>
              <w:t>（1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w:t>
            </w:r>
            <w:r w:rsidRPr="001B6E4D">
              <w:rPr>
                <w:rFonts w:ascii="標楷體" w:eastAsia="標楷體" w:hAnsi="標楷體"/>
              </w:rPr>
              <w:t>3</w:t>
            </w:r>
            <w:r w:rsidRPr="001B6E4D">
              <w:rPr>
                <w:rFonts w:ascii="標楷體" w:eastAsia="標楷體" w:hAnsi="標楷體" w:hint="eastAsia"/>
              </w:rPr>
              <w:t>）</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1D438E" w:rsidRPr="001B6E4D" w14:paraId="2324CF60" w14:textId="77777777" w:rsidTr="0041172C">
        <w:tc>
          <w:tcPr>
            <w:tcW w:w="675" w:type="dxa"/>
            <w:tcMar>
              <w:top w:w="85" w:type="dxa"/>
              <w:bottom w:w="85" w:type="dxa"/>
            </w:tcMar>
          </w:tcPr>
          <w:p w14:paraId="3B8C616E"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138283D1" w14:textId="77777777"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個人資料保護委員會組織法草案</w:t>
            </w:r>
          </w:p>
        </w:tc>
        <w:tc>
          <w:tcPr>
            <w:tcW w:w="2268" w:type="dxa"/>
            <w:tcMar>
              <w:top w:w="85" w:type="dxa"/>
              <w:bottom w:w="85" w:type="dxa"/>
            </w:tcMar>
          </w:tcPr>
          <w:p w14:paraId="1107AE03"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委員何欣純</w:t>
            </w:r>
          </w:p>
          <w:p w14:paraId="6EAB6EB2"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等19人</w:t>
            </w:r>
          </w:p>
          <w:p w14:paraId="41C2990D"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115.04.24</w:t>
            </w:r>
          </w:p>
          <w:p w14:paraId="61766143"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（11-5-8）</w:t>
            </w:r>
          </w:p>
        </w:tc>
        <w:tc>
          <w:tcPr>
            <w:tcW w:w="3685" w:type="dxa"/>
            <w:tcMar>
              <w:top w:w="85" w:type="dxa"/>
              <w:bottom w:w="85" w:type="dxa"/>
            </w:tcMar>
          </w:tcPr>
          <w:p w14:paraId="157E2381" w14:textId="77777777" w:rsidR="001D438E" w:rsidRPr="001B6E4D" w:rsidRDefault="001D438E"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5.5.29（1</w:t>
            </w:r>
            <w:r w:rsidRPr="001B6E4D">
              <w:rPr>
                <w:rFonts w:ascii="標楷體" w:eastAsia="標楷體" w:hAnsi="標楷體"/>
              </w:rPr>
              <w:t>1</w:t>
            </w:r>
            <w:r w:rsidRPr="001B6E4D">
              <w:rPr>
                <w:rFonts w:ascii="標楷體" w:eastAsia="標楷體" w:hAnsi="標楷體" w:hint="eastAsia"/>
              </w:rPr>
              <w:t>-5-12）自司法及法制、經濟兩委員會抽出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1D438E" w:rsidRPr="001B6E4D" w14:paraId="757F9ADF" w14:textId="77777777" w:rsidTr="0041172C">
        <w:tc>
          <w:tcPr>
            <w:tcW w:w="675" w:type="dxa"/>
            <w:tcMar>
              <w:top w:w="85" w:type="dxa"/>
              <w:bottom w:w="85" w:type="dxa"/>
            </w:tcMar>
          </w:tcPr>
          <w:p w14:paraId="5634629A"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32B787C9" w14:textId="77777777"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個人資料保護委員</w:t>
            </w:r>
            <w:r w:rsidRPr="001B6E4D">
              <w:rPr>
                <w:rFonts w:ascii="標楷體" w:eastAsia="標楷體" w:hAnsi="標楷體" w:hint="eastAsia"/>
                <w:color w:val="000000"/>
              </w:rPr>
              <w:lastRenderedPageBreak/>
              <w:t>會組織法草案</w:t>
            </w:r>
          </w:p>
        </w:tc>
        <w:tc>
          <w:tcPr>
            <w:tcW w:w="2268" w:type="dxa"/>
            <w:tcMar>
              <w:top w:w="85" w:type="dxa"/>
              <w:bottom w:w="85" w:type="dxa"/>
            </w:tcMar>
          </w:tcPr>
          <w:p w14:paraId="45E0FBB1"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lastRenderedPageBreak/>
              <w:t>委員林月琴</w:t>
            </w:r>
          </w:p>
          <w:p w14:paraId="63248EB0"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lastRenderedPageBreak/>
              <w:t>等21人</w:t>
            </w:r>
          </w:p>
          <w:p w14:paraId="0C82EA88"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115.0</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29</w:t>
            </w:r>
          </w:p>
          <w:p w14:paraId="156C08CC"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12</w:t>
            </w:r>
            <w:r w:rsidRPr="001B6E4D">
              <w:rPr>
                <w:rFonts w:ascii="標楷體" w:eastAsia="標楷體" w:hAnsi="標楷體"/>
                <w:color w:val="000000"/>
              </w:rPr>
              <w:t>）</w:t>
            </w:r>
          </w:p>
        </w:tc>
        <w:tc>
          <w:tcPr>
            <w:tcW w:w="3685" w:type="dxa"/>
            <w:tcMar>
              <w:top w:w="85" w:type="dxa"/>
              <w:bottom w:w="85" w:type="dxa"/>
            </w:tcMar>
          </w:tcPr>
          <w:p w14:paraId="6C9A4616" w14:textId="77777777" w:rsidR="001D438E" w:rsidRPr="001B6E4D" w:rsidRDefault="001D438E"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lastRenderedPageBreak/>
              <w:t>院會1</w:t>
            </w:r>
            <w:r w:rsidRPr="001B6E4D">
              <w:rPr>
                <w:rFonts w:ascii="標楷體" w:eastAsia="標楷體" w:hAnsi="標楷體"/>
              </w:rPr>
              <w:t>1</w:t>
            </w:r>
            <w:r w:rsidRPr="001B6E4D">
              <w:rPr>
                <w:rFonts w:ascii="標楷體" w:eastAsia="標楷體" w:hAnsi="標楷體" w:hint="eastAsia"/>
              </w:rPr>
              <w:t>5.5.29（1</w:t>
            </w:r>
            <w:r w:rsidRPr="001B6E4D">
              <w:rPr>
                <w:rFonts w:ascii="標楷體" w:eastAsia="標楷體" w:hAnsi="標楷體"/>
              </w:rPr>
              <w:t>1</w:t>
            </w:r>
            <w:r w:rsidRPr="001B6E4D">
              <w:rPr>
                <w:rFonts w:ascii="標楷體" w:eastAsia="標楷體" w:hAnsi="標楷體" w:hint="eastAsia"/>
              </w:rPr>
              <w:t>-5-12）</w:t>
            </w:r>
            <w:proofErr w:type="gramStart"/>
            <w:r w:rsidRPr="001B6E4D">
              <w:rPr>
                <w:rFonts w:ascii="標楷體" w:eastAsia="標楷體" w:hAnsi="標楷體" w:hint="eastAsia"/>
              </w:rPr>
              <w:t>逕</w:t>
            </w:r>
            <w:proofErr w:type="gramEnd"/>
            <w:r w:rsidRPr="001B6E4D">
              <w:rPr>
                <w:rFonts w:ascii="標楷體" w:eastAsia="標楷體" w:hAnsi="標楷體" w:hint="eastAsia"/>
              </w:rPr>
              <w:t>付</w:t>
            </w:r>
            <w:r w:rsidRPr="001B6E4D">
              <w:rPr>
                <w:rFonts w:ascii="標楷體" w:eastAsia="標楷體" w:hAnsi="標楷體" w:hint="eastAsia"/>
              </w:rPr>
              <w:lastRenderedPageBreak/>
              <w:t>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1D438E" w:rsidRPr="001B6E4D" w14:paraId="60504374" w14:textId="77777777" w:rsidTr="0041172C">
        <w:tc>
          <w:tcPr>
            <w:tcW w:w="675" w:type="dxa"/>
            <w:tcMar>
              <w:top w:w="85" w:type="dxa"/>
              <w:bottom w:w="85" w:type="dxa"/>
            </w:tcMar>
          </w:tcPr>
          <w:p w14:paraId="3B6557F8"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39ECA1C8" w14:textId="77777777"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法院組織法第六十六</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46074395"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台灣民眾</w:t>
            </w:r>
            <w:proofErr w:type="gramStart"/>
            <w:r w:rsidRPr="001B6E4D">
              <w:rPr>
                <w:rFonts w:ascii="標楷體" w:eastAsia="標楷體" w:hAnsi="標楷體" w:hint="eastAsia"/>
                <w:color w:val="000000"/>
              </w:rPr>
              <w:t>黨</w:t>
            </w:r>
            <w:proofErr w:type="gramEnd"/>
            <w:r w:rsidRPr="001B6E4D">
              <w:rPr>
                <w:rFonts w:ascii="標楷體" w:eastAsia="標楷體" w:hAnsi="標楷體" w:hint="eastAsia"/>
                <w:color w:val="000000"/>
              </w:rPr>
              <w:t>黨團</w:t>
            </w:r>
          </w:p>
          <w:p w14:paraId="1FB88160"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115.0</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29</w:t>
            </w:r>
          </w:p>
          <w:p w14:paraId="0447F5FA"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12</w:t>
            </w:r>
            <w:r w:rsidRPr="001B6E4D">
              <w:rPr>
                <w:rFonts w:ascii="標楷體" w:eastAsia="標楷體" w:hAnsi="標楷體"/>
                <w:color w:val="000000"/>
              </w:rPr>
              <w:t>）</w:t>
            </w:r>
          </w:p>
          <w:p w14:paraId="57B430D7"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（11-5-13提出復議，11-5-14復議不通過）</w:t>
            </w:r>
          </w:p>
        </w:tc>
        <w:tc>
          <w:tcPr>
            <w:tcW w:w="3685" w:type="dxa"/>
            <w:tcMar>
              <w:top w:w="85" w:type="dxa"/>
              <w:bottom w:w="85" w:type="dxa"/>
            </w:tcMar>
          </w:tcPr>
          <w:p w14:paraId="36C28AB6" w14:textId="77777777" w:rsidR="001D438E" w:rsidRPr="001B6E4D" w:rsidRDefault="001D438E"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5.5.29（1</w:t>
            </w:r>
            <w:r w:rsidRPr="001B6E4D">
              <w:rPr>
                <w:rFonts w:ascii="標楷體" w:eastAsia="標楷體" w:hAnsi="標楷體"/>
              </w:rPr>
              <w:t>1</w:t>
            </w:r>
            <w:r w:rsidRPr="001B6E4D">
              <w:rPr>
                <w:rFonts w:ascii="標楷體" w:eastAsia="標楷體" w:hAnsi="標楷體" w:hint="eastAsia"/>
              </w:rPr>
              <w:t>-5-12）</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tc>
      </w:tr>
      <w:tr w:rsidR="001D438E" w:rsidRPr="001B6E4D" w14:paraId="568D3717" w14:textId="77777777" w:rsidTr="0041172C">
        <w:tc>
          <w:tcPr>
            <w:tcW w:w="675" w:type="dxa"/>
            <w:tcMar>
              <w:top w:w="85" w:type="dxa"/>
              <w:bottom w:w="85" w:type="dxa"/>
            </w:tcMar>
          </w:tcPr>
          <w:p w14:paraId="0238A318"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51D57D0D" w14:textId="77777777"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法院組織法第六十六</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062B3172"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委員許宇</w:t>
            </w:r>
            <w:proofErr w:type="gramStart"/>
            <w:r w:rsidRPr="001B6E4D">
              <w:rPr>
                <w:rFonts w:ascii="標楷體" w:eastAsia="標楷體" w:hAnsi="標楷體" w:hint="eastAsia"/>
                <w:color w:val="000000"/>
              </w:rPr>
              <w:t>甄</w:t>
            </w:r>
            <w:proofErr w:type="gramEnd"/>
          </w:p>
          <w:p w14:paraId="4214A51A"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等18人</w:t>
            </w:r>
          </w:p>
          <w:p w14:paraId="2D0EA340"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06</w:t>
            </w:r>
            <w:r w:rsidRPr="001B6E4D">
              <w:rPr>
                <w:rFonts w:ascii="標楷體" w:eastAsia="標楷體" w:hAnsi="標楷體"/>
                <w:color w:val="000000"/>
              </w:rPr>
              <w:t>.</w:t>
            </w:r>
            <w:r w:rsidRPr="001B6E4D">
              <w:rPr>
                <w:rFonts w:ascii="標楷體" w:eastAsia="標楷體" w:hAnsi="標楷體" w:hint="eastAsia"/>
                <w:color w:val="000000"/>
              </w:rPr>
              <w:t>05</w:t>
            </w:r>
          </w:p>
          <w:p w14:paraId="259988B2"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13</w:t>
            </w:r>
            <w:r w:rsidRPr="001B6E4D">
              <w:rPr>
                <w:rFonts w:ascii="標楷體" w:eastAsia="標楷體" w:hAnsi="標楷體"/>
                <w:color w:val="000000"/>
              </w:rPr>
              <w:t>）</w:t>
            </w:r>
          </w:p>
          <w:p w14:paraId="0E1DE238"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（11-5-1</w:t>
            </w:r>
            <w:r w:rsidRPr="001B6E4D">
              <w:rPr>
                <w:rFonts w:ascii="標楷體" w:eastAsia="標楷體" w:hAnsi="標楷體"/>
                <w:color w:val="000000"/>
              </w:rPr>
              <w:t>4</w:t>
            </w:r>
            <w:r w:rsidRPr="001B6E4D">
              <w:rPr>
                <w:rFonts w:ascii="標楷體" w:eastAsia="標楷體" w:hAnsi="標楷體" w:hint="eastAsia"/>
                <w:color w:val="000000"/>
              </w:rPr>
              <w:t>提出復議，11-5-1</w:t>
            </w:r>
            <w:r w:rsidRPr="001B6E4D">
              <w:rPr>
                <w:rFonts w:ascii="標楷體" w:eastAsia="標楷體" w:hAnsi="標楷體"/>
                <w:color w:val="000000"/>
              </w:rPr>
              <w:t>5</w:t>
            </w:r>
            <w:r w:rsidRPr="001B6E4D">
              <w:rPr>
                <w:rFonts w:ascii="標楷體" w:eastAsia="標楷體" w:hAnsi="標楷體" w:hint="eastAsia"/>
                <w:color w:val="000000"/>
              </w:rPr>
              <w:t>復議不通過）</w:t>
            </w:r>
          </w:p>
        </w:tc>
        <w:tc>
          <w:tcPr>
            <w:tcW w:w="3685" w:type="dxa"/>
            <w:tcMar>
              <w:top w:w="85" w:type="dxa"/>
              <w:bottom w:w="85" w:type="dxa"/>
            </w:tcMar>
          </w:tcPr>
          <w:p w14:paraId="2B7C31BF" w14:textId="77777777" w:rsidR="001D438E" w:rsidRPr="001B6E4D" w:rsidRDefault="001D438E"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5.6.5（1</w:t>
            </w:r>
            <w:r w:rsidRPr="001B6E4D">
              <w:rPr>
                <w:rFonts w:ascii="標楷體" w:eastAsia="標楷體" w:hAnsi="標楷體"/>
              </w:rPr>
              <w:t>1</w:t>
            </w:r>
            <w:r w:rsidRPr="001B6E4D">
              <w:rPr>
                <w:rFonts w:ascii="標楷體" w:eastAsia="標楷體" w:hAnsi="標楷體" w:hint="eastAsia"/>
              </w:rPr>
              <w:t>-5-13）</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1D438E" w:rsidRPr="001B6E4D" w14:paraId="39E3D206" w14:textId="77777777" w:rsidTr="0041172C">
        <w:tc>
          <w:tcPr>
            <w:tcW w:w="675" w:type="dxa"/>
            <w:tcMar>
              <w:top w:w="85" w:type="dxa"/>
              <w:bottom w:w="85" w:type="dxa"/>
            </w:tcMar>
          </w:tcPr>
          <w:p w14:paraId="02874ADF"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1B4FF480" w14:textId="77777777"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法院組織法第六十六</w:t>
            </w:r>
            <w:proofErr w:type="gramStart"/>
            <w:r w:rsidRPr="001B6E4D">
              <w:rPr>
                <w:rFonts w:ascii="標楷體" w:eastAsia="標楷體" w:hAnsi="標楷體"/>
                <w:color w:val="000000"/>
              </w:rPr>
              <w:t>條</w:t>
            </w:r>
            <w:proofErr w:type="gramEnd"/>
            <w:r w:rsidRPr="001B6E4D">
              <w:rPr>
                <w:rFonts w:ascii="標楷體" w:eastAsia="標楷體" w:hAnsi="標楷體"/>
                <w:color w:val="000000"/>
              </w:rPr>
              <w:t>條文修正草案</w:t>
            </w:r>
          </w:p>
        </w:tc>
        <w:tc>
          <w:tcPr>
            <w:tcW w:w="2268" w:type="dxa"/>
            <w:tcMar>
              <w:top w:w="85" w:type="dxa"/>
              <w:bottom w:w="85" w:type="dxa"/>
            </w:tcMar>
          </w:tcPr>
          <w:p w14:paraId="6563A1C6"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委員翁曉玲</w:t>
            </w:r>
          </w:p>
          <w:p w14:paraId="3A422084"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等20人</w:t>
            </w:r>
          </w:p>
          <w:p w14:paraId="15E63DE6"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115.05.29</w:t>
            </w:r>
          </w:p>
          <w:p w14:paraId="3CE16125"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（11-5-12）</w:t>
            </w:r>
          </w:p>
        </w:tc>
        <w:tc>
          <w:tcPr>
            <w:tcW w:w="3685" w:type="dxa"/>
            <w:tcMar>
              <w:top w:w="85" w:type="dxa"/>
              <w:bottom w:w="85" w:type="dxa"/>
            </w:tcMar>
          </w:tcPr>
          <w:p w14:paraId="2D5891F3" w14:textId="77777777" w:rsidR="001D438E" w:rsidRPr="001B6E4D" w:rsidRDefault="001D438E"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5.6.26（1</w:t>
            </w:r>
            <w:r w:rsidRPr="001B6E4D">
              <w:rPr>
                <w:rFonts w:ascii="標楷體" w:eastAsia="標楷體" w:hAnsi="標楷體"/>
              </w:rPr>
              <w:t>1</w:t>
            </w:r>
            <w:r w:rsidRPr="001B6E4D">
              <w:rPr>
                <w:rFonts w:ascii="標楷體" w:eastAsia="標楷體" w:hAnsi="標楷體" w:hint="eastAsia"/>
              </w:rPr>
              <w:t>-5-15）自司法及法制委員會抽出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1D438E" w:rsidRPr="001B6E4D" w14:paraId="49A73F9E" w14:textId="77777777" w:rsidTr="0041172C">
        <w:tc>
          <w:tcPr>
            <w:tcW w:w="675" w:type="dxa"/>
            <w:tcMar>
              <w:top w:w="85" w:type="dxa"/>
              <w:bottom w:w="85" w:type="dxa"/>
            </w:tcMar>
          </w:tcPr>
          <w:p w14:paraId="73FCF33D"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4A0C5ACE" w14:textId="00BF1DD8"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衛生</w:t>
            </w:r>
            <w:proofErr w:type="gramStart"/>
            <w:r w:rsidRPr="001B6E4D">
              <w:rPr>
                <w:rFonts w:ascii="標楷體" w:eastAsia="標楷體" w:hAnsi="標楷體" w:hint="eastAsia"/>
                <w:color w:val="000000"/>
              </w:rPr>
              <w:t>福利部兒少</w:t>
            </w:r>
            <w:proofErr w:type="gramEnd"/>
            <w:r w:rsidRPr="001B6E4D">
              <w:rPr>
                <w:rFonts w:ascii="標楷體" w:eastAsia="標楷體" w:hAnsi="標楷體" w:hint="eastAsia"/>
                <w:color w:val="000000"/>
              </w:rPr>
              <w:t>及家庭支持署組織法草案</w:t>
            </w:r>
          </w:p>
        </w:tc>
        <w:tc>
          <w:tcPr>
            <w:tcW w:w="2268" w:type="dxa"/>
            <w:tcMar>
              <w:top w:w="85" w:type="dxa"/>
              <w:bottom w:w="85" w:type="dxa"/>
            </w:tcMar>
          </w:tcPr>
          <w:p w14:paraId="57045D30"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hint="eastAsia"/>
                <w:color w:val="000000"/>
              </w:rPr>
              <w:t>委員許宇</w:t>
            </w:r>
            <w:proofErr w:type="gramStart"/>
            <w:r w:rsidRPr="001B6E4D">
              <w:rPr>
                <w:rFonts w:ascii="標楷體" w:eastAsia="標楷體" w:hAnsi="標楷體" w:hint="eastAsia"/>
                <w:color w:val="000000"/>
              </w:rPr>
              <w:t>甄</w:t>
            </w:r>
            <w:proofErr w:type="gramEnd"/>
          </w:p>
          <w:p w14:paraId="5D77D7CC"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hint="eastAsia"/>
                <w:color w:val="000000"/>
              </w:rPr>
              <w:t>等17人</w:t>
            </w:r>
          </w:p>
          <w:p w14:paraId="599E9363"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w:t>
            </w:r>
            <w:r w:rsidRPr="001B6E4D">
              <w:rPr>
                <w:rFonts w:ascii="標楷體" w:eastAsia="標楷體" w:hAnsi="標楷體" w:hint="eastAsia"/>
                <w:color w:val="000000"/>
              </w:rPr>
              <w:t>20</w:t>
            </w:r>
          </w:p>
          <w:p w14:paraId="3389147B"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4</w:t>
            </w:r>
            <w:r w:rsidRPr="001B6E4D">
              <w:rPr>
                <w:rFonts w:ascii="標楷體" w:eastAsia="標楷體" w:hAnsi="標楷體"/>
                <w:color w:val="000000"/>
              </w:rPr>
              <w:t>）</w:t>
            </w:r>
          </w:p>
        </w:tc>
        <w:tc>
          <w:tcPr>
            <w:tcW w:w="3685" w:type="dxa"/>
            <w:tcMar>
              <w:top w:w="85" w:type="dxa"/>
              <w:bottom w:w="85" w:type="dxa"/>
            </w:tcMar>
          </w:tcPr>
          <w:p w14:paraId="2CE39285"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.20（1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-4）</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3178B802"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7F37E756"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1EB2BA71"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115.8.25(11-5-23)</w:t>
            </w:r>
            <w:r w:rsidRPr="001B6E4D">
              <w:rPr>
                <w:rFonts w:ascii="標楷體" w:eastAsia="標楷體" w:hAnsi="標楷體" w:hint="eastAsia"/>
              </w:rPr>
              <w:t>三讀制定衛生</w:t>
            </w:r>
            <w:proofErr w:type="gramStart"/>
            <w:r w:rsidRPr="001B6E4D">
              <w:rPr>
                <w:rFonts w:ascii="標楷體" w:eastAsia="標楷體" w:hAnsi="標楷體" w:hint="eastAsia"/>
              </w:rPr>
              <w:t>福利部兒少</w:t>
            </w:r>
            <w:proofErr w:type="gramEnd"/>
            <w:r w:rsidRPr="001B6E4D">
              <w:rPr>
                <w:rFonts w:ascii="標楷體" w:eastAsia="標楷體" w:hAnsi="標楷體" w:hint="eastAsia"/>
              </w:rPr>
              <w:t>及家庭支持署組織法。</w:t>
            </w:r>
          </w:p>
        </w:tc>
      </w:tr>
      <w:tr w:rsidR="001D438E" w:rsidRPr="001B6E4D" w14:paraId="154DC2FA" w14:textId="77777777" w:rsidTr="0041172C">
        <w:tc>
          <w:tcPr>
            <w:tcW w:w="675" w:type="dxa"/>
            <w:tcMar>
              <w:top w:w="85" w:type="dxa"/>
              <w:bottom w:w="85" w:type="dxa"/>
            </w:tcMar>
          </w:tcPr>
          <w:p w14:paraId="30405D93"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3052ADB0" w14:textId="64C411E1"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衛生</w:t>
            </w:r>
            <w:proofErr w:type="gramStart"/>
            <w:r w:rsidRPr="001B6E4D">
              <w:rPr>
                <w:rFonts w:ascii="標楷體" w:eastAsia="標楷體" w:hAnsi="標楷體"/>
                <w:color w:val="000000"/>
              </w:rPr>
              <w:t>福利部兒少</w:t>
            </w:r>
            <w:proofErr w:type="gramEnd"/>
            <w:r w:rsidRPr="001B6E4D">
              <w:rPr>
                <w:rFonts w:ascii="標楷體" w:eastAsia="標楷體" w:hAnsi="標楷體"/>
                <w:color w:val="000000"/>
              </w:rPr>
              <w:t>及家庭支持署組織法草案</w:t>
            </w:r>
          </w:p>
        </w:tc>
        <w:tc>
          <w:tcPr>
            <w:tcW w:w="2268" w:type="dxa"/>
            <w:tcMar>
              <w:top w:w="85" w:type="dxa"/>
              <w:bottom w:w="85" w:type="dxa"/>
            </w:tcMar>
          </w:tcPr>
          <w:p w14:paraId="6EDE183E"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hint="eastAsia"/>
                <w:color w:val="000000"/>
              </w:rPr>
              <w:t>委員沈發惠</w:t>
            </w:r>
          </w:p>
          <w:p w14:paraId="59550486"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hint="eastAsia"/>
                <w:color w:val="000000"/>
              </w:rPr>
              <w:t>等</w:t>
            </w:r>
            <w:r w:rsidRPr="001B6E4D">
              <w:rPr>
                <w:rFonts w:ascii="標楷體" w:eastAsia="標楷體" w:hAnsi="標楷體"/>
                <w:color w:val="000000"/>
              </w:rPr>
              <w:t>17人</w:t>
            </w:r>
          </w:p>
          <w:p w14:paraId="2D9B6837"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w:t>
            </w:r>
            <w:r w:rsidRPr="001B6E4D">
              <w:rPr>
                <w:rFonts w:ascii="標楷體" w:eastAsia="標楷體" w:hAnsi="標楷體" w:hint="eastAsia"/>
                <w:color w:val="000000"/>
              </w:rPr>
              <w:t>27</w:t>
            </w:r>
          </w:p>
          <w:p w14:paraId="3DF9D029"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5</w:t>
            </w:r>
            <w:r w:rsidRPr="001B6E4D">
              <w:rPr>
                <w:rFonts w:ascii="標楷體" w:eastAsia="標楷體" w:hAnsi="標楷體"/>
                <w:color w:val="000000"/>
              </w:rPr>
              <w:t>）</w:t>
            </w:r>
          </w:p>
        </w:tc>
        <w:tc>
          <w:tcPr>
            <w:tcW w:w="3685" w:type="dxa"/>
            <w:tcMar>
              <w:top w:w="85" w:type="dxa"/>
              <w:bottom w:w="85" w:type="dxa"/>
            </w:tcMar>
          </w:tcPr>
          <w:p w14:paraId="33B387FE"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.27（1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-5）</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0974DF9D"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63B33052"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6C51B305"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115.8.25(11-5-23)</w:t>
            </w:r>
            <w:r w:rsidRPr="001B6E4D">
              <w:rPr>
                <w:rFonts w:ascii="標楷體" w:eastAsia="標楷體" w:hAnsi="標楷體" w:hint="eastAsia"/>
              </w:rPr>
              <w:t>三讀制定衛生</w:t>
            </w:r>
            <w:proofErr w:type="gramStart"/>
            <w:r w:rsidRPr="001B6E4D">
              <w:rPr>
                <w:rFonts w:ascii="標楷體" w:eastAsia="標楷體" w:hAnsi="標楷體" w:hint="eastAsia"/>
              </w:rPr>
              <w:t>福利部兒少</w:t>
            </w:r>
            <w:proofErr w:type="gramEnd"/>
            <w:r w:rsidRPr="001B6E4D">
              <w:rPr>
                <w:rFonts w:ascii="標楷體" w:eastAsia="標楷體" w:hAnsi="標楷體" w:hint="eastAsia"/>
              </w:rPr>
              <w:t>及家庭支持署組織法。</w:t>
            </w:r>
          </w:p>
        </w:tc>
      </w:tr>
      <w:tr w:rsidR="001D438E" w:rsidRPr="001B6E4D" w14:paraId="0A72B109" w14:textId="77777777" w:rsidTr="0041172C">
        <w:tc>
          <w:tcPr>
            <w:tcW w:w="675" w:type="dxa"/>
            <w:tcMar>
              <w:top w:w="85" w:type="dxa"/>
              <w:bottom w:w="85" w:type="dxa"/>
            </w:tcMar>
          </w:tcPr>
          <w:p w14:paraId="633DA38C"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4EB80A93" w14:textId="651ED966"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衛生</w:t>
            </w:r>
            <w:proofErr w:type="gramStart"/>
            <w:r w:rsidRPr="001B6E4D">
              <w:rPr>
                <w:rFonts w:ascii="標楷體" w:eastAsia="標楷體" w:hAnsi="標楷體" w:hint="eastAsia"/>
                <w:color w:val="000000"/>
              </w:rPr>
              <w:t>福利部兒少</w:t>
            </w:r>
            <w:proofErr w:type="gramEnd"/>
            <w:r w:rsidRPr="001B6E4D">
              <w:rPr>
                <w:rFonts w:ascii="標楷體" w:eastAsia="標楷體" w:hAnsi="標楷體" w:hint="eastAsia"/>
                <w:color w:val="000000"/>
              </w:rPr>
              <w:t>及家庭支持署組織法草案</w:t>
            </w:r>
          </w:p>
        </w:tc>
        <w:tc>
          <w:tcPr>
            <w:tcW w:w="2268" w:type="dxa"/>
            <w:tcMar>
              <w:top w:w="85" w:type="dxa"/>
              <w:bottom w:w="85" w:type="dxa"/>
            </w:tcMar>
          </w:tcPr>
          <w:p w14:paraId="057A85A5"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hint="eastAsia"/>
                <w:color w:val="000000"/>
              </w:rPr>
              <w:t>委員蔡易餘</w:t>
            </w:r>
          </w:p>
          <w:p w14:paraId="4865AF0F"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hint="eastAsia"/>
                <w:color w:val="000000"/>
              </w:rPr>
              <w:t>等16人</w:t>
            </w:r>
          </w:p>
          <w:p w14:paraId="7FF99B0D"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color w:val="000000"/>
              </w:rPr>
              <w:t>115.0</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29</w:t>
            </w:r>
          </w:p>
          <w:p w14:paraId="25BE424D" w14:textId="77777777" w:rsidR="001D438E" w:rsidRPr="001B6E4D" w:rsidRDefault="001D438E" w:rsidP="003D1018">
            <w:pPr>
              <w:widowControl w:val="0"/>
              <w:overflowPunct w:val="0"/>
              <w:jc w:val="both"/>
              <w:rPr>
                <w:rFonts w:ascii="標楷體" w:eastAsia="標楷體" w:hAnsi="標楷體"/>
                <w:color w:val="000000"/>
              </w:rPr>
            </w:pPr>
            <w:r w:rsidRPr="001B6E4D">
              <w:rPr>
                <w:rFonts w:ascii="標楷體" w:eastAsia="標楷體" w:hAnsi="標楷體"/>
                <w:color w:val="000000"/>
              </w:rPr>
              <w:lastRenderedPageBreak/>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12</w:t>
            </w:r>
            <w:r w:rsidRPr="001B6E4D">
              <w:rPr>
                <w:rFonts w:ascii="標楷體" w:eastAsia="標楷體" w:hAnsi="標楷體"/>
                <w:color w:val="000000"/>
              </w:rPr>
              <w:t>）</w:t>
            </w:r>
          </w:p>
        </w:tc>
        <w:tc>
          <w:tcPr>
            <w:tcW w:w="3685" w:type="dxa"/>
            <w:tcMar>
              <w:top w:w="85" w:type="dxa"/>
              <w:bottom w:w="85" w:type="dxa"/>
            </w:tcMar>
          </w:tcPr>
          <w:p w14:paraId="0F025220"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lastRenderedPageBreak/>
              <w:t>1.院會1</w:t>
            </w:r>
            <w:r w:rsidRPr="001B6E4D">
              <w:rPr>
                <w:rFonts w:ascii="標楷體" w:eastAsia="標楷體" w:hAnsi="標楷體"/>
              </w:rPr>
              <w:t>1</w:t>
            </w:r>
            <w:r w:rsidRPr="001B6E4D">
              <w:rPr>
                <w:rFonts w:ascii="標楷體" w:eastAsia="標楷體" w:hAnsi="標楷體" w:hint="eastAsia"/>
              </w:rPr>
              <w:t>5.5.29（1</w:t>
            </w:r>
            <w:r w:rsidRPr="001B6E4D">
              <w:rPr>
                <w:rFonts w:ascii="標楷體" w:eastAsia="標楷體" w:hAnsi="標楷體"/>
              </w:rPr>
              <w:t>1</w:t>
            </w:r>
            <w:r w:rsidRPr="001B6E4D">
              <w:rPr>
                <w:rFonts w:ascii="標楷體" w:eastAsia="標楷體" w:hAnsi="標楷體" w:hint="eastAsia"/>
              </w:rPr>
              <w:t>-5-12）</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67155A68"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2.115.7.1黨團協商。</w:t>
            </w:r>
          </w:p>
          <w:p w14:paraId="393A3E3E"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lastRenderedPageBreak/>
              <w:t>3.院會</w:t>
            </w:r>
            <w:r w:rsidRPr="001B6E4D">
              <w:rPr>
                <w:rFonts w:ascii="標楷體" w:eastAsia="標楷體" w:hAnsi="標楷體"/>
              </w:rPr>
              <w:t>115.8.25(11-5-23)</w:t>
            </w:r>
            <w:r w:rsidRPr="001B6E4D">
              <w:rPr>
                <w:rFonts w:ascii="標楷體" w:eastAsia="標楷體" w:hAnsi="標楷體" w:hint="eastAsia"/>
              </w:rPr>
              <w:t>三讀制定衛生</w:t>
            </w:r>
            <w:proofErr w:type="gramStart"/>
            <w:r w:rsidRPr="001B6E4D">
              <w:rPr>
                <w:rFonts w:ascii="標楷體" w:eastAsia="標楷體" w:hAnsi="標楷體" w:hint="eastAsia"/>
              </w:rPr>
              <w:t>福利部兒少</w:t>
            </w:r>
            <w:proofErr w:type="gramEnd"/>
            <w:r w:rsidRPr="001B6E4D">
              <w:rPr>
                <w:rFonts w:ascii="標楷體" w:eastAsia="標楷體" w:hAnsi="標楷體" w:hint="eastAsia"/>
              </w:rPr>
              <w:t>及家庭支持署組織法。</w:t>
            </w:r>
          </w:p>
        </w:tc>
      </w:tr>
      <w:tr w:rsidR="001D438E" w:rsidRPr="001B6E4D" w14:paraId="51A77D87" w14:textId="77777777" w:rsidTr="0041172C">
        <w:tc>
          <w:tcPr>
            <w:tcW w:w="675" w:type="dxa"/>
            <w:tcMar>
              <w:top w:w="85" w:type="dxa"/>
              <w:bottom w:w="85" w:type="dxa"/>
            </w:tcMar>
          </w:tcPr>
          <w:p w14:paraId="6CFE57F2"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7480C929" w14:textId="443DFD18"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衛生</w:t>
            </w:r>
            <w:proofErr w:type="gramStart"/>
            <w:r w:rsidRPr="001B6E4D">
              <w:rPr>
                <w:rFonts w:ascii="標楷體" w:eastAsia="標楷體" w:hAnsi="標楷體"/>
                <w:color w:val="000000"/>
              </w:rPr>
              <w:t>福利部兒少</w:t>
            </w:r>
            <w:proofErr w:type="gramEnd"/>
            <w:r w:rsidRPr="001B6E4D">
              <w:rPr>
                <w:rFonts w:ascii="標楷體" w:eastAsia="標楷體" w:hAnsi="標楷體"/>
                <w:color w:val="000000"/>
              </w:rPr>
              <w:t>及家庭支持署組織法草案</w:t>
            </w:r>
          </w:p>
        </w:tc>
        <w:tc>
          <w:tcPr>
            <w:tcW w:w="2268" w:type="dxa"/>
            <w:tcMar>
              <w:top w:w="85" w:type="dxa"/>
              <w:bottom w:w="85" w:type="dxa"/>
            </w:tcMar>
          </w:tcPr>
          <w:p w14:paraId="0BB2199E"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委員李昆澤</w:t>
            </w:r>
          </w:p>
          <w:p w14:paraId="4A8D6F48"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w:t>
            </w:r>
            <w:r w:rsidRPr="001B6E4D">
              <w:rPr>
                <w:rFonts w:ascii="標楷體" w:eastAsia="標楷體" w:hAnsi="標楷體"/>
                <w:color w:val="000000"/>
              </w:rPr>
              <w:t>16人</w:t>
            </w:r>
          </w:p>
          <w:p w14:paraId="2EF2EF6E"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06</w:t>
            </w:r>
            <w:r w:rsidRPr="001B6E4D">
              <w:rPr>
                <w:rFonts w:ascii="標楷體" w:eastAsia="標楷體" w:hAnsi="標楷體"/>
                <w:color w:val="000000"/>
              </w:rPr>
              <w:t>.</w:t>
            </w:r>
            <w:r w:rsidRPr="001B6E4D">
              <w:rPr>
                <w:rFonts w:ascii="標楷體" w:eastAsia="標楷體" w:hAnsi="標楷體" w:hint="eastAsia"/>
                <w:color w:val="000000"/>
              </w:rPr>
              <w:t>26</w:t>
            </w:r>
          </w:p>
          <w:p w14:paraId="38D8135F"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15</w:t>
            </w:r>
            <w:r w:rsidRPr="001B6E4D">
              <w:rPr>
                <w:rFonts w:ascii="標楷體" w:eastAsia="標楷體" w:hAnsi="標楷體"/>
                <w:color w:val="000000"/>
              </w:rPr>
              <w:t>）</w:t>
            </w:r>
          </w:p>
        </w:tc>
        <w:tc>
          <w:tcPr>
            <w:tcW w:w="3685" w:type="dxa"/>
            <w:tcMar>
              <w:top w:w="85" w:type="dxa"/>
              <w:bottom w:w="85" w:type="dxa"/>
            </w:tcMar>
          </w:tcPr>
          <w:p w14:paraId="546BF721"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5.6.26（1</w:t>
            </w:r>
            <w:r w:rsidRPr="001B6E4D">
              <w:rPr>
                <w:rFonts w:ascii="標楷體" w:eastAsia="標楷體" w:hAnsi="標楷體"/>
              </w:rPr>
              <w:t>1</w:t>
            </w:r>
            <w:r w:rsidRPr="001B6E4D">
              <w:rPr>
                <w:rFonts w:ascii="標楷體" w:eastAsia="標楷體" w:hAnsi="標楷體" w:hint="eastAsia"/>
              </w:rPr>
              <w:t>-5-15）</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4CF4A21A"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2.115.7.1黨團協商。</w:t>
            </w:r>
          </w:p>
          <w:p w14:paraId="5FFB959C"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w:t>
            </w:r>
            <w:r w:rsidRPr="001B6E4D">
              <w:rPr>
                <w:rFonts w:ascii="標楷體" w:eastAsia="標楷體" w:hAnsi="標楷體"/>
              </w:rPr>
              <w:t>115.8.25(11-5-23)</w:t>
            </w:r>
            <w:r w:rsidRPr="001B6E4D">
              <w:rPr>
                <w:rFonts w:ascii="標楷體" w:eastAsia="標楷體" w:hAnsi="標楷體" w:hint="eastAsia"/>
              </w:rPr>
              <w:t>三讀制定衛生</w:t>
            </w:r>
            <w:proofErr w:type="gramStart"/>
            <w:r w:rsidRPr="001B6E4D">
              <w:rPr>
                <w:rFonts w:ascii="標楷體" w:eastAsia="標楷體" w:hAnsi="標楷體" w:hint="eastAsia"/>
              </w:rPr>
              <w:t>福利部兒少</w:t>
            </w:r>
            <w:proofErr w:type="gramEnd"/>
            <w:r w:rsidRPr="001B6E4D">
              <w:rPr>
                <w:rFonts w:ascii="標楷體" w:eastAsia="標楷體" w:hAnsi="標楷體" w:hint="eastAsia"/>
              </w:rPr>
              <w:t>及家庭支持署組織法。</w:t>
            </w:r>
          </w:p>
        </w:tc>
      </w:tr>
      <w:tr w:rsidR="001D438E" w:rsidRPr="001B6E4D" w14:paraId="3ED96B7A" w14:textId="77777777" w:rsidTr="0041172C">
        <w:tc>
          <w:tcPr>
            <w:tcW w:w="675" w:type="dxa"/>
            <w:tcMar>
              <w:top w:w="85" w:type="dxa"/>
              <w:bottom w:w="85" w:type="dxa"/>
            </w:tcMar>
          </w:tcPr>
          <w:p w14:paraId="2187878D"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6767E817" w14:textId="0A9C3C25"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衛生</w:t>
            </w:r>
            <w:proofErr w:type="gramStart"/>
            <w:r w:rsidRPr="001B6E4D">
              <w:rPr>
                <w:rFonts w:ascii="標楷體" w:eastAsia="標楷體" w:hAnsi="標楷體" w:hint="eastAsia"/>
                <w:color w:val="000000"/>
              </w:rPr>
              <w:t>福利部兒少</w:t>
            </w:r>
            <w:proofErr w:type="gramEnd"/>
            <w:r w:rsidRPr="001B6E4D">
              <w:rPr>
                <w:rFonts w:ascii="標楷體" w:eastAsia="標楷體" w:hAnsi="標楷體" w:hint="eastAsia"/>
                <w:color w:val="000000"/>
              </w:rPr>
              <w:t>及家庭支持署組織法草案</w:t>
            </w:r>
          </w:p>
        </w:tc>
        <w:tc>
          <w:tcPr>
            <w:tcW w:w="2268" w:type="dxa"/>
            <w:tcMar>
              <w:top w:w="85" w:type="dxa"/>
              <w:bottom w:w="85" w:type="dxa"/>
            </w:tcMar>
          </w:tcPr>
          <w:p w14:paraId="183F9938"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委員陳菁徽</w:t>
            </w:r>
          </w:p>
          <w:p w14:paraId="5AE5AB2B"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等23人</w:t>
            </w:r>
          </w:p>
          <w:p w14:paraId="37E488CF"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115.07.03</w:t>
            </w:r>
          </w:p>
          <w:p w14:paraId="55612E29"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（11-5-16）</w:t>
            </w:r>
          </w:p>
        </w:tc>
        <w:tc>
          <w:tcPr>
            <w:tcW w:w="3685" w:type="dxa"/>
            <w:tcMar>
              <w:top w:w="85" w:type="dxa"/>
              <w:bottom w:w="85" w:type="dxa"/>
            </w:tcMar>
          </w:tcPr>
          <w:p w14:paraId="0C34C73F"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7</w:t>
            </w:r>
            <w:r w:rsidRPr="001B6E4D">
              <w:rPr>
                <w:rFonts w:ascii="標楷體" w:eastAsia="標楷體" w:hAnsi="標楷體" w:hint="eastAsia"/>
              </w:rPr>
              <w:t>.</w:t>
            </w:r>
            <w:r w:rsidRPr="001B6E4D">
              <w:rPr>
                <w:rFonts w:ascii="標楷體" w:eastAsia="標楷體" w:hAnsi="標楷體"/>
              </w:rPr>
              <w:t>3</w:t>
            </w:r>
            <w:r w:rsidRPr="001B6E4D">
              <w:rPr>
                <w:rFonts w:ascii="標楷體" w:eastAsia="標楷體" w:hAnsi="標楷體" w:hint="eastAsia"/>
              </w:rPr>
              <w:t>（1</w:t>
            </w:r>
            <w:r w:rsidRPr="001B6E4D">
              <w:rPr>
                <w:rFonts w:ascii="標楷體" w:eastAsia="標楷體" w:hAnsi="標楷體"/>
              </w:rPr>
              <w:t>1</w:t>
            </w:r>
            <w:r w:rsidRPr="001B6E4D">
              <w:rPr>
                <w:rFonts w:ascii="標楷體" w:eastAsia="標楷體" w:hAnsi="標楷體" w:hint="eastAsia"/>
              </w:rPr>
              <w:t>-5-1</w:t>
            </w:r>
            <w:r w:rsidRPr="001B6E4D">
              <w:rPr>
                <w:rFonts w:ascii="標楷體" w:eastAsia="標楷體" w:hAnsi="標楷體"/>
              </w:rPr>
              <w:t>6</w:t>
            </w:r>
            <w:r w:rsidRPr="001B6E4D">
              <w:rPr>
                <w:rFonts w:ascii="標楷體" w:eastAsia="標楷體" w:hAnsi="標楷體" w:hint="eastAsia"/>
              </w:rPr>
              <w:t>）</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5FCC6206"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2.院會</w:t>
            </w:r>
            <w:r w:rsidRPr="001B6E4D">
              <w:rPr>
                <w:rFonts w:ascii="標楷體" w:eastAsia="標楷體" w:hAnsi="標楷體"/>
              </w:rPr>
              <w:t>115.8.25(11-5-23)</w:t>
            </w:r>
            <w:r w:rsidRPr="001B6E4D">
              <w:rPr>
                <w:rFonts w:ascii="標楷體" w:eastAsia="標楷體" w:hAnsi="標楷體" w:hint="eastAsia"/>
              </w:rPr>
              <w:t>三讀制定衛生</w:t>
            </w:r>
            <w:proofErr w:type="gramStart"/>
            <w:r w:rsidRPr="001B6E4D">
              <w:rPr>
                <w:rFonts w:ascii="標楷體" w:eastAsia="標楷體" w:hAnsi="標楷體" w:hint="eastAsia"/>
              </w:rPr>
              <w:t>福利部兒少</w:t>
            </w:r>
            <w:proofErr w:type="gramEnd"/>
            <w:r w:rsidRPr="001B6E4D">
              <w:rPr>
                <w:rFonts w:ascii="標楷體" w:eastAsia="標楷體" w:hAnsi="標楷體" w:hint="eastAsia"/>
              </w:rPr>
              <w:t>及家庭支持署組織法。</w:t>
            </w:r>
          </w:p>
        </w:tc>
      </w:tr>
      <w:tr w:rsidR="001D438E" w:rsidRPr="001B6E4D" w14:paraId="3C1907DE" w14:textId="77777777" w:rsidTr="0041172C">
        <w:tc>
          <w:tcPr>
            <w:tcW w:w="675" w:type="dxa"/>
            <w:tcMar>
              <w:top w:w="85" w:type="dxa"/>
              <w:bottom w:w="85" w:type="dxa"/>
            </w:tcMar>
          </w:tcPr>
          <w:p w14:paraId="35FD055B"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46C34C53" w14:textId="4C0FD642"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衛生福利部組織法第二條及第五</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4D53E4F1"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委員廖偉翔</w:t>
            </w:r>
          </w:p>
          <w:p w14:paraId="2682D4C2"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等16人</w:t>
            </w:r>
          </w:p>
          <w:p w14:paraId="0428DCD7"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.3.13</w:t>
            </w:r>
          </w:p>
          <w:p w14:paraId="2EACC6B9"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（11-5-3）</w:t>
            </w:r>
          </w:p>
        </w:tc>
        <w:tc>
          <w:tcPr>
            <w:tcW w:w="3685" w:type="dxa"/>
            <w:tcMar>
              <w:top w:w="85" w:type="dxa"/>
              <w:bottom w:w="85" w:type="dxa"/>
            </w:tcMar>
          </w:tcPr>
          <w:p w14:paraId="35507DE6"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w:t>
            </w:r>
            <w:r w:rsidRPr="001B6E4D">
              <w:rPr>
                <w:rFonts w:ascii="標楷體" w:eastAsia="標楷體" w:hAnsi="標楷體"/>
              </w:rPr>
              <w:t>13</w:t>
            </w:r>
            <w:r w:rsidRPr="001B6E4D">
              <w:rPr>
                <w:rFonts w:ascii="標楷體" w:eastAsia="標楷體" w:hAnsi="標楷體" w:hint="eastAsia"/>
              </w:rPr>
              <w:t>（1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w:t>
            </w:r>
            <w:r w:rsidRPr="001B6E4D">
              <w:rPr>
                <w:rFonts w:ascii="標楷體" w:eastAsia="標楷體" w:hAnsi="標楷體"/>
              </w:rPr>
              <w:t>3</w:t>
            </w:r>
            <w:r w:rsidRPr="001B6E4D">
              <w:rPr>
                <w:rFonts w:ascii="標楷體" w:eastAsia="標楷體" w:hAnsi="標楷體" w:hint="eastAsia"/>
              </w:rPr>
              <w:t>）</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6BFAC076"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0DB65BE4"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27EFF865"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115.8.25(11-5-23)</w:t>
            </w:r>
            <w:r w:rsidRPr="001B6E4D">
              <w:rPr>
                <w:rFonts w:ascii="標楷體" w:eastAsia="標楷體" w:hAnsi="標楷體" w:hint="eastAsia"/>
              </w:rPr>
              <w:t>三讀修正第二條、第五條及第八條條文。</w:t>
            </w:r>
          </w:p>
        </w:tc>
      </w:tr>
      <w:tr w:rsidR="001D438E" w:rsidRPr="001B6E4D" w14:paraId="6B09B74B" w14:textId="77777777" w:rsidTr="0041172C">
        <w:tc>
          <w:tcPr>
            <w:tcW w:w="675" w:type="dxa"/>
            <w:tcMar>
              <w:top w:w="85" w:type="dxa"/>
              <w:bottom w:w="85" w:type="dxa"/>
            </w:tcMar>
          </w:tcPr>
          <w:p w14:paraId="274FACF0"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36AA2C22" w14:textId="0B6DD34E"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衛生福利部組織法第二條、第五條及第八</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396BEFFD"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委員許宇</w:t>
            </w:r>
            <w:proofErr w:type="gramStart"/>
            <w:r w:rsidRPr="001B6E4D">
              <w:rPr>
                <w:rFonts w:ascii="標楷體" w:eastAsia="標楷體" w:hAnsi="標楷體" w:hint="eastAsia"/>
                <w:color w:val="000000"/>
              </w:rPr>
              <w:t>甄</w:t>
            </w:r>
            <w:proofErr w:type="gramEnd"/>
          </w:p>
          <w:p w14:paraId="7CE29C5E"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等17人</w:t>
            </w:r>
          </w:p>
          <w:p w14:paraId="1C95ABBA"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w:t>
            </w:r>
            <w:r w:rsidRPr="001B6E4D">
              <w:rPr>
                <w:rFonts w:ascii="標楷體" w:eastAsia="標楷體" w:hAnsi="標楷體" w:hint="eastAsia"/>
                <w:color w:val="000000"/>
              </w:rPr>
              <w:t>20</w:t>
            </w:r>
          </w:p>
          <w:p w14:paraId="34E9AF80"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4</w:t>
            </w:r>
            <w:r w:rsidRPr="001B6E4D">
              <w:rPr>
                <w:rFonts w:ascii="標楷體" w:eastAsia="標楷體" w:hAnsi="標楷體"/>
                <w:color w:val="000000"/>
              </w:rPr>
              <w:t>）</w:t>
            </w:r>
          </w:p>
        </w:tc>
        <w:tc>
          <w:tcPr>
            <w:tcW w:w="3685" w:type="dxa"/>
            <w:tcMar>
              <w:top w:w="85" w:type="dxa"/>
              <w:bottom w:w="85" w:type="dxa"/>
            </w:tcMar>
          </w:tcPr>
          <w:p w14:paraId="03FE8C6F"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.20（1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-4）</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575E2403"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51986EF1"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5FE4E3F2"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115.8.25(11-5-23)</w:t>
            </w:r>
            <w:r w:rsidRPr="001B6E4D">
              <w:rPr>
                <w:rFonts w:ascii="標楷體" w:eastAsia="標楷體" w:hAnsi="標楷體" w:hint="eastAsia"/>
              </w:rPr>
              <w:t>三讀修正第二條、第五條及第八條條文。</w:t>
            </w:r>
          </w:p>
        </w:tc>
      </w:tr>
      <w:tr w:rsidR="001D438E" w:rsidRPr="001B6E4D" w14:paraId="2BC6ABB5" w14:textId="77777777" w:rsidTr="0041172C">
        <w:tc>
          <w:tcPr>
            <w:tcW w:w="675" w:type="dxa"/>
            <w:tcMar>
              <w:top w:w="85" w:type="dxa"/>
              <w:bottom w:w="85" w:type="dxa"/>
            </w:tcMar>
          </w:tcPr>
          <w:p w14:paraId="6EC9A62A"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48F88514" w14:textId="5A1648C6"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衛生福利部組織法第二條、第五條及第八</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011638CB"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委員沈發惠</w:t>
            </w:r>
          </w:p>
          <w:p w14:paraId="4C8D8622"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等18人</w:t>
            </w:r>
          </w:p>
          <w:p w14:paraId="6C5F9DA4"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w:t>
            </w:r>
            <w:r w:rsidRPr="001B6E4D">
              <w:rPr>
                <w:rFonts w:ascii="標楷體" w:eastAsia="標楷體" w:hAnsi="標楷體" w:hint="eastAsia"/>
                <w:color w:val="000000"/>
              </w:rPr>
              <w:t>27</w:t>
            </w:r>
          </w:p>
          <w:p w14:paraId="2B2F9956"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5</w:t>
            </w:r>
            <w:r w:rsidRPr="001B6E4D">
              <w:rPr>
                <w:rFonts w:ascii="標楷體" w:eastAsia="標楷體" w:hAnsi="標楷體"/>
                <w:color w:val="000000"/>
              </w:rPr>
              <w:t>）</w:t>
            </w:r>
          </w:p>
        </w:tc>
        <w:tc>
          <w:tcPr>
            <w:tcW w:w="3685" w:type="dxa"/>
            <w:tcMar>
              <w:top w:w="85" w:type="dxa"/>
              <w:bottom w:w="85" w:type="dxa"/>
            </w:tcMar>
          </w:tcPr>
          <w:p w14:paraId="5C1A3C5A"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.27（1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-5）</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758A26CD"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4FFF8C12"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19AD6349"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115.8.25(11-5-23)</w:t>
            </w:r>
            <w:r w:rsidRPr="001B6E4D">
              <w:rPr>
                <w:rFonts w:ascii="標楷體" w:eastAsia="標楷體" w:hAnsi="標楷體" w:hint="eastAsia"/>
              </w:rPr>
              <w:t>三讀修正第二條、第五條及第八條條文。</w:t>
            </w:r>
          </w:p>
        </w:tc>
      </w:tr>
      <w:tr w:rsidR="001D438E" w:rsidRPr="001B6E4D" w14:paraId="5D27F89B" w14:textId="77777777" w:rsidTr="0041172C">
        <w:tc>
          <w:tcPr>
            <w:tcW w:w="675" w:type="dxa"/>
            <w:tcMar>
              <w:top w:w="85" w:type="dxa"/>
              <w:bottom w:w="85" w:type="dxa"/>
            </w:tcMar>
          </w:tcPr>
          <w:p w14:paraId="7FB5FD77"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03C9BFB6" w14:textId="67DE4978"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衛生福利部組織法第二</w:t>
            </w:r>
            <w:proofErr w:type="gramStart"/>
            <w:r w:rsidRPr="001B6E4D">
              <w:rPr>
                <w:rFonts w:ascii="標楷體" w:eastAsia="標楷體" w:hAnsi="標楷體"/>
                <w:color w:val="000000"/>
              </w:rPr>
              <w:t>條</w:t>
            </w:r>
            <w:proofErr w:type="gramEnd"/>
            <w:r w:rsidRPr="001B6E4D">
              <w:rPr>
                <w:rFonts w:ascii="標楷體" w:eastAsia="標楷體" w:hAnsi="標楷體"/>
                <w:color w:val="000000"/>
              </w:rPr>
              <w:t>條文修正草案</w:t>
            </w:r>
          </w:p>
        </w:tc>
        <w:tc>
          <w:tcPr>
            <w:tcW w:w="2268" w:type="dxa"/>
            <w:tcMar>
              <w:top w:w="85" w:type="dxa"/>
              <w:bottom w:w="85" w:type="dxa"/>
            </w:tcMar>
          </w:tcPr>
          <w:p w14:paraId="6DCC57CC"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委員</w:t>
            </w:r>
            <w:proofErr w:type="gramStart"/>
            <w:r w:rsidRPr="001B6E4D">
              <w:rPr>
                <w:rFonts w:ascii="標楷體" w:eastAsia="標楷體" w:hAnsi="標楷體"/>
                <w:color w:val="000000"/>
              </w:rPr>
              <w:t>范</w:t>
            </w:r>
            <w:proofErr w:type="gramEnd"/>
            <w:r w:rsidRPr="001B6E4D">
              <w:rPr>
                <w:rFonts w:ascii="標楷體" w:eastAsia="標楷體" w:hAnsi="標楷體"/>
                <w:color w:val="000000"/>
              </w:rPr>
              <w:t>雲</w:t>
            </w:r>
          </w:p>
          <w:p w14:paraId="53510D2B"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等18人</w:t>
            </w:r>
          </w:p>
          <w:p w14:paraId="6772FF5D"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115.01.30</w:t>
            </w:r>
          </w:p>
          <w:p w14:paraId="41BB7D55"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（11-4-20）</w:t>
            </w:r>
          </w:p>
        </w:tc>
        <w:tc>
          <w:tcPr>
            <w:tcW w:w="3685" w:type="dxa"/>
            <w:tcMar>
              <w:top w:w="85" w:type="dxa"/>
              <w:bottom w:w="85" w:type="dxa"/>
            </w:tcMar>
          </w:tcPr>
          <w:p w14:paraId="50C40AF5"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5.4.17（1</w:t>
            </w:r>
            <w:r w:rsidRPr="001B6E4D">
              <w:rPr>
                <w:rFonts w:ascii="標楷體" w:eastAsia="標楷體" w:hAnsi="標楷體"/>
              </w:rPr>
              <w:t>1</w:t>
            </w:r>
            <w:r w:rsidRPr="001B6E4D">
              <w:rPr>
                <w:rFonts w:ascii="標楷體" w:eastAsia="標楷體" w:hAnsi="標楷體" w:hint="eastAsia"/>
              </w:rPr>
              <w:t>-5-7）自司法及法制、社會福利及衛生環境兩委員會抽出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0BE5341F"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2.115.7.1黨團協商。</w:t>
            </w:r>
          </w:p>
          <w:p w14:paraId="730D37F0"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w:t>
            </w:r>
            <w:r w:rsidRPr="001B6E4D">
              <w:rPr>
                <w:rFonts w:ascii="標楷體" w:eastAsia="標楷體" w:hAnsi="標楷體"/>
              </w:rPr>
              <w:t>115.8.25(11-5-23)</w:t>
            </w:r>
            <w:r w:rsidRPr="001B6E4D">
              <w:rPr>
                <w:rFonts w:ascii="標楷體" w:eastAsia="標楷體" w:hAnsi="標楷體" w:hint="eastAsia"/>
              </w:rPr>
              <w:t>三讀</w:t>
            </w:r>
            <w:r w:rsidRPr="001B6E4D">
              <w:rPr>
                <w:rFonts w:ascii="標楷體" w:eastAsia="標楷體" w:hAnsi="標楷體" w:hint="eastAsia"/>
              </w:rPr>
              <w:lastRenderedPageBreak/>
              <w:t>修正第二條、第五條及第八條條文。</w:t>
            </w:r>
          </w:p>
        </w:tc>
      </w:tr>
      <w:tr w:rsidR="001D438E" w:rsidRPr="001B6E4D" w14:paraId="61D81650" w14:textId="77777777" w:rsidTr="0041172C">
        <w:tc>
          <w:tcPr>
            <w:tcW w:w="675" w:type="dxa"/>
            <w:tcMar>
              <w:top w:w="85" w:type="dxa"/>
              <w:bottom w:w="85" w:type="dxa"/>
            </w:tcMar>
          </w:tcPr>
          <w:p w14:paraId="61794D6A"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059BC60F" w14:textId="5D20779B"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衛生福利部組織法第五條及第八</w:t>
            </w:r>
            <w:proofErr w:type="gramStart"/>
            <w:r w:rsidRPr="001B6E4D">
              <w:rPr>
                <w:rFonts w:ascii="標楷體" w:eastAsia="標楷體" w:hAnsi="標楷體"/>
                <w:color w:val="000000"/>
              </w:rPr>
              <w:t>條</w:t>
            </w:r>
            <w:proofErr w:type="gramEnd"/>
            <w:r w:rsidRPr="001B6E4D">
              <w:rPr>
                <w:rFonts w:ascii="標楷體" w:eastAsia="標楷體" w:hAnsi="標楷體"/>
                <w:color w:val="000000"/>
              </w:rPr>
              <w:t>條文修正草案</w:t>
            </w:r>
          </w:p>
        </w:tc>
        <w:tc>
          <w:tcPr>
            <w:tcW w:w="2268" w:type="dxa"/>
            <w:tcMar>
              <w:top w:w="85" w:type="dxa"/>
              <w:bottom w:w="85" w:type="dxa"/>
            </w:tcMar>
          </w:tcPr>
          <w:p w14:paraId="4409EC2A"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委員李昆澤</w:t>
            </w:r>
          </w:p>
          <w:p w14:paraId="4BB5E25F"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w:t>
            </w:r>
            <w:r w:rsidRPr="001B6E4D">
              <w:rPr>
                <w:rFonts w:ascii="標楷體" w:eastAsia="標楷體" w:hAnsi="標楷體"/>
                <w:color w:val="000000"/>
              </w:rPr>
              <w:t>16人</w:t>
            </w:r>
          </w:p>
          <w:p w14:paraId="1BBA2B8F"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06</w:t>
            </w:r>
            <w:r w:rsidRPr="001B6E4D">
              <w:rPr>
                <w:rFonts w:ascii="標楷體" w:eastAsia="標楷體" w:hAnsi="標楷體"/>
                <w:color w:val="000000"/>
              </w:rPr>
              <w:t>.</w:t>
            </w:r>
            <w:r w:rsidRPr="001B6E4D">
              <w:rPr>
                <w:rFonts w:ascii="標楷體" w:eastAsia="標楷體" w:hAnsi="標楷體" w:hint="eastAsia"/>
                <w:color w:val="000000"/>
              </w:rPr>
              <w:t>26</w:t>
            </w:r>
          </w:p>
          <w:p w14:paraId="5025C6A5"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15</w:t>
            </w:r>
            <w:r w:rsidRPr="001B6E4D">
              <w:rPr>
                <w:rFonts w:ascii="標楷體" w:eastAsia="標楷體" w:hAnsi="標楷體"/>
                <w:color w:val="000000"/>
              </w:rPr>
              <w:t>）</w:t>
            </w:r>
          </w:p>
        </w:tc>
        <w:tc>
          <w:tcPr>
            <w:tcW w:w="3685" w:type="dxa"/>
            <w:tcMar>
              <w:top w:w="85" w:type="dxa"/>
              <w:bottom w:w="85" w:type="dxa"/>
            </w:tcMar>
          </w:tcPr>
          <w:p w14:paraId="54427C89"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5.6.26（1</w:t>
            </w:r>
            <w:r w:rsidRPr="001B6E4D">
              <w:rPr>
                <w:rFonts w:ascii="標楷體" w:eastAsia="標楷體" w:hAnsi="標楷體"/>
              </w:rPr>
              <w:t>1</w:t>
            </w:r>
            <w:r w:rsidRPr="001B6E4D">
              <w:rPr>
                <w:rFonts w:ascii="標楷體" w:eastAsia="標楷體" w:hAnsi="標楷體" w:hint="eastAsia"/>
              </w:rPr>
              <w:t>-5-15）</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15B07062"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2.115.7.1黨團協商。</w:t>
            </w:r>
          </w:p>
          <w:p w14:paraId="2CD4268F"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w:t>
            </w:r>
            <w:r w:rsidRPr="001B6E4D">
              <w:rPr>
                <w:rFonts w:ascii="標楷體" w:eastAsia="標楷體" w:hAnsi="標楷體"/>
              </w:rPr>
              <w:t>115.8.25(11-5-23)</w:t>
            </w:r>
            <w:r w:rsidRPr="001B6E4D">
              <w:rPr>
                <w:rFonts w:ascii="標楷體" w:eastAsia="標楷體" w:hAnsi="標楷體" w:hint="eastAsia"/>
              </w:rPr>
              <w:t>三讀修正第二條、第五條及第八條條文。</w:t>
            </w:r>
          </w:p>
        </w:tc>
      </w:tr>
      <w:tr w:rsidR="001D438E" w:rsidRPr="001B6E4D" w14:paraId="5BCC60C9" w14:textId="77777777" w:rsidTr="0041172C">
        <w:tc>
          <w:tcPr>
            <w:tcW w:w="675" w:type="dxa"/>
            <w:tcMar>
              <w:top w:w="85" w:type="dxa"/>
              <w:bottom w:w="85" w:type="dxa"/>
            </w:tcMar>
          </w:tcPr>
          <w:p w14:paraId="39DCD726"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6836AFB5" w14:textId="32220F1B"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國家醫療科技評估中心設置條例草案</w:t>
            </w:r>
          </w:p>
        </w:tc>
        <w:tc>
          <w:tcPr>
            <w:tcW w:w="2268" w:type="dxa"/>
            <w:tcMar>
              <w:top w:w="85" w:type="dxa"/>
              <w:bottom w:w="85" w:type="dxa"/>
            </w:tcMar>
          </w:tcPr>
          <w:p w14:paraId="14FFA9F8"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委員林楚</w:t>
            </w:r>
            <w:proofErr w:type="gramStart"/>
            <w:r w:rsidRPr="001B6E4D">
              <w:rPr>
                <w:rFonts w:ascii="標楷體" w:eastAsia="標楷體" w:hAnsi="標楷體" w:hint="eastAsia"/>
                <w:color w:val="000000"/>
              </w:rPr>
              <w:t>茵</w:t>
            </w:r>
            <w:proofErr w:type="gramEnd"/>
          </w:p>
          <w:p w14:paraId="2F284232"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等19人</w:t>
            </w:r>
          </w:p>
          <w:p w14:paraId="36804D5C"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.3.13</w:t>
            </w:r>
          </w:p>
          <w:p w14:paraId="73248A0D"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（11-5-3）</w:t>
            </w:r>
          </w:p>
        </w:tc>
        <w:tc>
          <w:tcPr>
            <w:tcW w:w="3685" w:type="dxa"/>
            <w:tcMar>
              <w:top w:w="85" w:type="dxa"/>
              <w:bottom w:w="85" w:type="dxa"/>
            </w:tcMar>
          </w:tcPr>
          <w:p w14:paraId="5BD10770"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w:t>
            </w:r>
            <w:r w:rsidRPr="001B6E4D">
              <w:rPr>
                <w:rFonts w:ascii="標楷體" w:eastAsia="標楷體" w:hAnsi="標楷體"/>
              </w:rPr>
              <w:t>13</w:t>
            </w:r>
            <w:r w:rsidRPr="001B6E4D">
              <w:rPr>
                <w:rFonts w:ascii="標楷體" w:eastAsia="標楷體" w:hAnsi="標楷體" w:hint="eastAsia"/>
              </w:rPr>
              <w:t>（1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w:t>
            </w:r>
            <w:r w:rsidRPr="001B6E4D">
              <w:rPr>
                <w:rFonts w:ascii="標楷體" w:eastAsia="標楷體" w:hAnsi="標楷體"/>
              </w:rPr>
              <w:t>3</w:t>
            </w:r>
            <w:r w:rsidRPr="001B6E4D">
              <w:rPr>
                <w:rFonts w:ascii="標楷體" w:eastAsia="標楷體" w:hAnsi="標楷體" w:hint="eastAsia"/>
              </w:rPr>
              <w:t>）</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7D17311F"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7DC45F81"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7190D1C5"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w:t>
            </w:r>
            <w:r w:rsidRPr="001B6E4D">
              <w:rPr>
                <w:rFonts w:ascii="標楷體" w:eastAsia="標楷體" w:hAnsi="標楷體" w:hint="eastAsia"/>
              </w:rPr>
              <w:t>5</w:t>
            </w:r>
            <w:r w:rsidRPr="001B6E4D">
              <w:rPr>
                <w:rFonts w:ascii="標楷體" w:eastAsia="標楷體" w:hAnsi="標楷體"/>
              </w:rPr>
              <w:t>.</w:t>
            </w:r>
            <w:r w:rsidRPr="001B6E4D">
              <w:rPr>
                <w:rFonts w:ascii="標楷體" w:eastAsia="標楷體" w:hAnsi="標楷體" w:hint="eastAsia"/>
              </w:rPr>
              <w:t>8</w:t>
            </w:r>
            <w:r w:rsidRPr="001B6E4D">
              <w:rPr>
                <w:rFonts w:ascii="標楷體" w:eastAsia="標楷體" w:hAnsi="標楷體"/>
              </w:rPr>
              <w:t>.</w:t>
            </w:r>
            <w:r w:rsidRPr="001B6E4D">
              <w:rPr>
                <w:rFonts w:ascii="標楷體" w:eastAsia="標楷體" w:hAnsi="標楷體" w:hint="eastAsia"/>
              </w:rPr>
              <w:t>25</w:t>
            </w:r>
            <w:r w:rsidRPr="001B6E4D">
              <w:rPr>
                <w:rFonts w:ascii="標楷體" w:eastAsia="標楷體" w:hAnsi="標楷體"/>
              </w:rPr>
              <w:t>(11-</w:t>
            </w:r>
            <w:r w:rsidRPr="001B6E4D">
              <w:rPr>
                <w:rFonts w:ascii="標楷體" w:eastAsia="標楷體" w:hAnsi="標楷體" w:hint="eastAsia"/>
              </w:rPr>
              <w:t>5</w:t>
            </w:r>
            <w:r w:rsidRPr="001B6E4D">
              <w:rPr>
                <w:rFonts w:ascii="標楷體" w:eastAsia="標楷體" w:hAnsi="標楷體"/>
              </w:rPr>
              <w:t>-</w:t>
            </w:r>
            <w:r w:rsidRPr="001B6E4D">
              <w:rPr>
                <w:rFonts w:ascii="標楷體" w:eastAsia="標楷體" w:hAnsi="標楷體" w:hint="eastAsia"/>
              </w:rPr>
              <w:t>23</w:t>
            </w:r>
            <w:r w:rsidRPr="001B6E4D">
              <w:rPr>
                <w:rFonts w:ascii="標楷體" w:eastAsia="標楷體" w:hAnsi="標楷體"/>
              </w:rPr>
              <w:t>)</w:t>
            </w:r>
            <w:r w:rsidRPr="001B6E4D">
              <w:rPr>
                <w:rFonts w:ascii="標楷體" w:eastAsia="標楷體" w:hAnsi="標楷體" w:hint="eastAsia"/>
              </w:rPr>
              <w:t>三讀制定國家醫療科技評估中心設置條例。</w:t>
            </w:r>
          </w:p>
        </w:tc>
      </w:tr>
      <w:tr w:rsidR="001D438E" w:rsidRPr="001B6E4D" w14:paraId="56E4829B" w14:textId="77777777" w:rsidTr="0041172C">
        <w:tc>
          <w:tcPr>
            <w:tcW w:w="675" w:type="dxa"/>
            <w:tcMar>
              <w:top w:w="85" w:type="dxa"/>
              <w:bottom w:w="85" w:type="dxa"/>
            </w:tcMar>
          </w:tcPr>
          <w:p w14:paraId="4AA9E05A"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7210B4A9" w14:textId="5EE62AC1"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國家醫療科技評估中心設置條例草案</w:t>
            </w:r>
          </w:p>
        </w:tc>
        <w:tc>
          <w:tcPr>
            <w:tcW w:w="2268" w:type="dxa"/>
            <w:tcMar>
              <w:top w:w="85" w:type="dxa"/>
              <w:bottom w:w="85" w:type="dxa"/>
            </w:tcMar>
          </w:tcPr>
          <w:p w14:paraId="05EF9AAE"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委員沈發惠</w:t>
            </w:r>
          </w:p>
          <w:p w14:paraId="540DAC3F"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w:t>
            </w:r>
            <w:r w:rsidRPr="001B6E4D">
              <w:rPr>
                <w:rFonts w:ascii="標楷體" w:eastAsia="標楷體" w:hAnsi="標楷體"/>
                <w:color w:val="000000"/>
              </w:rPr>
              <w:t>18人</w:t>
            </w:r>
          </w:p>
          <w:p w14:paraId="2B95DF14"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w:t>
            </w:r>
            <w:r w:rsidRPr="001B6E4D">
              <w:rPr>
                <w:rFonts w:ascii="標楷體" w:eastAsia="標楷體" w:hAnsi="標楷體" w:hint="eastAsia"/>
                <w:color w:val="000000"/>
              </w:rPr>
              <w:t>27</w:t>
            </w:r>
          </w:p>
          <w:p w14:paraId="2F9BD536"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5</w:t>
            </w:r>
            <w:r w:rsidRPr="001B6E4D">
              <w:rPr>
                <w:rFonts w:ascii="標楷體" w:eastAsia="標楷體" w:hAnsi="標楷體"/>
                <w:color w:val="000000"/>
              </w:rPr>
              <w:t>）</w:t>
            </w:r>
          </w:p>
        </w:tc>
        <w:tc>
          <w:tcPr>
            <w:tcW w:w="3685" w:type="dxa"/>
            <w:tcMar>
              <w:top w:w="85" w:type="dxa"/>
              <w:bottom w:w="85" w:type="dxa"/>
            </w:tcMar>
          </w:tcPr>
          <w:p w14:paraId="084F5562"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.27（1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-5）</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668B3F21"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0701CD7A"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6B3477CA"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w:t>
            </w:r>
            <w:r w:rsidRPr="001B6E4D">
              <w:rPr>
                <w:rFonts w:ascii="標楷體" w:eastAsia="標楷體" w:hAnsi="標楷體" w:hint="eastAsia"/>
              </w:rPr>
              <w:t>5</w:t>
            </w:r>
            <w:r w:rsidRPr="001B6E4D">
              <w:rPr>
                <w:rFonts w:ascii="標楷體" w:eastAsia="標楷體" w:hAnsi="標楷體"/>
              </w:rPr>
              <w:t>.</w:t>
            </w:r>
            <w:r w:rsidRPr="001B6E4D">
              <w:rPr>
                <w:rFonts w:ascii="標楷體" w:eastAsia="標楷體" w:hAnsi="標楷體" w:hint="eastAsia"/>
              </w:rPr>
              <w:t>8</w:t>
            </w:r>
            <w:r w:rsidRPr="001B6E4D">
              <w:rPr>
                <w:rFonts w:ascii="標楷體" w:eastAsia="標楷體" w:hAnsi="標楷體"/>
              </w:rPr>
              <w:t>.</w:t>
            </w:r>
            <w:r w:rsidRPr="001B6E4D">
              <w:rPr>
                <w:rFonts w:ascii="標楷體" w:eastAsia="標楷體" w:hAnsi="標楷體" w:hint="eastAsia"/>
              </w:rPr>
              <w:t>25</w:t>
            </w:r>
            <w:r w:rsidRPr="001B6E4D">
              <w:rPr>
                <w:rFonts w:ascii="標楷體" w:eastAsia="標楷體" w:hAnsi="標楷體"/>
              </w:rPr>
              <w:t>(11-</w:t>
            </w:r>
            <w:r w:rsidRPr="001B6E4D">
              <w:rPr>
                <w:rFonts w:ascii="標楷體" w:eastAsia="標楷體" w:hAnsi="標楷體" w:hint="eastAsia"/>
              </w:rPr>
              <w:t>5</w:t>
            </w:r>
            <w:r w:rsidRPr="001B6E4D">
              <w:rPr>
                <w:rFonts w:ascii="標楷體" w:eastAsia="標楷體" w:hAnsi="標楷體"/>
              </w:rPr>
              <w:t>-</w:t>
            </w:r>
            <w:r w:rsidRPr="001B6E4D">
              <w:rPr>
                <w:rFonts w:ascii="標楷體" w:eastAsia="標楷體" w:hAnsi="標楷體" w:hint="eastAsia"/>
              </w:rPr>
              <w:t>23</w:t>
            </w:r>
            <w:r w:rsidRPr="001B6E4D">
              <w:rPr>
                <w:rFonts w:ascii="標楷體" w:eastAsia="標楷體" w:hAnsi="標楷體"/>
              </w:rPr>
              <w:t>)</w:t>
            </w:r>
            <w:r w:rsidRPr="001B6E4D">
              <w:rPr>
                <w:rFonts w:ascii="標楷體" w:eastAsia="標楷體" w:hAnsi="標楷體" w:hint="eastAsia"/>
              </w:rPr>
              <w:t>三讀制定國家醫療科技評估中心設置條例。</w:t>
            </w:r>
          </w:p>
        </w:tc>
      </w:tr>
      <w:tr w:rsidR="001D438E" w:rsidRPr="001B6E4D" w14:paraId="1DE48A5A" w14:textId="77777777" w:rsidTr="0041172C">
        <w:tc>
          <w:tcPr>
            <w:tcW w:w="675" w:type="dxa"/>
            <w:tcMar>
              <w:top w:w="85" w:type="dxa"/>
              <w:bottom w:w="85" w:type="dxa"/>
            </w:tcMar>
          </w:tcPr>
          <w:p w14:paraId="177368D3"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41892B70" w14:textId="6A6DE623"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國家醫療科技評估中心設置條例草案</w:t>
            </w:r>
          </w:p>
        </w:tc>
        <w:tc>
          <w:tcPr>
            <w:tcW w:w="2268" w:type="dxa"/>
            <w:tcMar>
              <w:top w:w="85" w:type="dxa"/>
              <w:bottom w:w="85" w:type="dxa"/>
            </w:tcMar>
          </w:tcPr>
          <w:p w14:paraId="465437C9"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台灣民眾</w:t>
            </w:r>
            <w:proofErr w:type="gramStart"/>
            <w:r w:rsidRPr="001B6E4D">
              <w:rPr>
                <w:rFonts w:ascii="標楷體" w:eastAsia="標楷體" w:hAnsi="標楷體"/>
                <w:color w:val="000000"/>
              </w:rPr>
              <w:t>黨</w:t>
            </w:r>
            <w:proofErr w:type="gramEnd"/>
            <w:r w:rsidRPr="001B6E4D">
              <w:rPr>
                <w:rFonts w:ascii="標楷體" w:eastAsia="標楷體" w:hAnsi="標楷體"/>
                <w:color w:val="000000"/>
              </w:rPr>
              <w:t>黨團</w:t>
            </w:r>
          </w:p>
          <w:p w14:paraId="27ECFA87"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115.01.23</w:t>
            </w:r>
          </w:p>
          <w:p w14:paraId="4953E515"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（11-4-19）</w:t>
            </w:r>
          </w:p>
        </w:tc>
        <w:tc>
          <w:tcPr>
            <w:tcW w:w="3685" w:type="dxa"/>
            <w:tcMar>
              <w:top w:w="85" w:type="dxa"/>
              <w:bottom w:w="85" w:type="dxa"/>
            </w:tcMar>
          </w:tcPr>
          <w:p w14:paraId="328840E1"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5.4.17（1</w:t>
            </w:r>
            <w:r w:rsidRPr="001B6E4D">
              <w:rPr>
                <w:rFonts w:ascii="標楷體" w:eastAsia="標楷體" w:hAnsi="標楷體"/>
              </w:rPr>
              <w:t>1</w:t>
            </w:r>
            <w:r w:rsidRPr="001B6E4D">
              <w:rPr>
                <w:rFonts w:ascii="標楷體" w:eastAsia="標楷體" w:hAnsi="標楷體" w:hint="eastAsia"/>
              </w:rPr>
              <w:t>-5-7）自司法及法制、社會福利及衛生環境兩委員會抽出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302DC0F2"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2.115.7.1黨團協商。</w:t>
            </w:r>
          </w:p>
          <w:p w14:paraId="664FC925"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w:t>
            </w:r>
            <w:r w:rsidRPr="001B6E4D">
              <w:rPr>
                <w:rFonts w:ascii="標楷體" w:eastAsia="標楷體" w:hAnsi="標楷體"/>
              </w:rPr>
              <w:t>11</w:t>
            </w:r>
            <w:r w:rsidRPr="001B6E4D">
              <w:rPr>
                <w:rFonts w:ascii="標楷體" w:eastAsia="標楷體" w:hAnsi="標楷體" w:hint="eastAsia"/>
              </w:rPr>
              <w:t>5</w:t>
            </w:r>
            <w:r w:rsidRPr="001B6E4D">
              <w:rPr>
                <w:rFonts w:ascii="標楷體" w:eastAsia="標楷體" w:hAnsi="標楷體"/>
              </w:rPr>
              <w:t>.</w:t>
            </w:r>
            <w:r w:rsidRPr="001B6E4D">
              <w:rPr>
                <w:rFonts w:ascii="標楷體" w:eastAsia="標楷體" w:hAnsi="標楷體" w:hint="eastAsia"/>
              </w:rPr>
              <w:t>8</w:t>
            </w:r>
            <w:r w:rsidRPr="001B6E4D">
              <w:rPr>
                <w:rFonts w:ascii="標楷體" w:eastAsia="標楷體" w:hAnsi="標楷體"/>
              </w:rPr>
              <w:t>.</w:t>
            </w:r>
            <w:r w:rsidRPr="001B6E4D">
              <w:rPr>
                <w:rFonts w:ascii="標楷體" w:eastAsia="標楷體" w:hAnsi="標楷體" w:hint="eastAsia"/>
              </w:rPr>
              <w:t>25</w:t>
            </w:r>
            <w:r w:rsidRPr="001B6E4D">
              <w:rPr>
                <w:rFonts w:ascii="標楷體" w:eastAsia="標楷體" w:hAnsi="標楷體"/>
              </w:rPr>
              <w:t>(11-</w:t>
            </w:r>
            <w:r w:rsidRPr="001B6E4D">
              <w:rPr>
                <w:rFonts w:ascii="標楷體" w:eastAsia="標楷體" w:hAnsi="標楷體" w:hint="eastAsia"/>
              </w:rPr>
              <w:t>5</w:t>
            </w:r>
            <w:r w:rsidRPr="001B6E4D">
              <w:rPr>
                <w:rFonts w:ascii="標楷體" w:eastAsia="標楷體" w:hAnsi="標楷體"/>
              </w:rPr>
              <w:t>-</w:t>
            </w:r>
            <w:r w:rsidRPr="001B6E4D">
              <w:rPr>
                <w:rFonts w:ascii="標楷體" w:eastAsia="標楷體" w:hAnsi="標楷體" w:hint="eastAsia"/>
              </w:rPr>
              <w:t>23</w:t>
            </w:r>
            <w:r w:rsidRPr="001B6E4D">
              <w:rPr>
                <w:rFonts w:ascii="標楷體" w:eastAsia="標楷體" w:hAnsi="標楷體"/>
              </w:rPr>
              <w:t>)</w:t>
            </w:r>
            <w:r w:rsidRPr="001B6E4D">
              <w:rPr>
                <w:rFonts w:ascii="標楷體" w:eastAsia="標楷體" w:hAnsi="標楷體" w:hint="eastAsia"/>
              </w:rPr>
              <w:t>三讀制定國家醫療科技評估中心設置條例。</w:t>
            </w:r>
          </w:p>
        </w:tc>
      </w:tr>
      <w:tr w:rsidR="001D438E" w:rsidRPr="001B6E4D" w14:paraId="711E6AF7" w14:textId="77777777" w:rsidTr="0041172C">
        <w:tc>
          <w:tcPr>
            <w:tcW w:w="675" w:type="dxa"/>
            <w:tcMar>
              <w:top w:w="85" w:type="dxa"/>
              <w:bottom w:w="85" w:type="dxa"/>
            </w:tcMar>
          </w:tcPr>
          <w:p w14:paraId="639C667A"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0214309D" w14:textId="720DF132"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衛生福利部中央健康</w:t>
            </w:r>
            <w:proofErr w:type="gramStart"/>
            <w:r w:rsidRPr="001B6E4D">
              <w:rPr>
                <w:rFonts w:ascii="標楷體" w:eastAsia="標楷體" w:hAnsi="標楷體" w:hint="eastAsia"/>
                <w:color w:val="000000"/>
              </w:rPr>
              <w:t>保險署</w:t>
            </w:r>
            <w:proofErr w:type="gramEnd"/>
            <w:r w:rsidRPr="001B6E4D">
              <w:rPr>
                <w:rFonts w:ascii="標楷體" w:eastAsia="標楷體" w:hAnsi="標楷體" w:hint="eastAsia"/>
                <w:color w:val="000000"/>
              </w:rPr>
              <w:t>組織法第二</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5B99A5CA"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委員許宇</w:t>
            </w:r>
            <w:proofErr w:type="gramStart"/>
            <w:r w:rsidRPr="001B6E4D">
              <w:rPr>
                <w:rFonts w:ascii="標楷體" w:eastAsia="標楷體" w:hAnsi="標楷體" w:hint="eastAsia"/>
                <w:color w:val="000000"/>
              </w:rPr>
              <w:t>甄</w:t>
            </w:r>
            <w:proofErr w:type="gramEnd"/>
          </w:p>
          <w:p w14:paraId="307A1D6A"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等17人</w:t>
            </w:r>
          </w:p>
          <w:p w14:paraId="57C72C9F"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w:t>
            </w:r>
            <w:r w:rsidRPr="001B6E4D">
              <w:rPr>
                <w:rFonts w:ascii="標楷體" w:eastAsia="標楷體" w:hAnsi="標楷體" w:hint="eastAsia"/>
                <w:color w:val="000000"/>
              </w:rPr>
              <w:t>20</w:t>
            </w:r>
          </w:p>
          <w:p w14:paraId="0F07A3AF"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4</w:t>
            </w:r>
            <w:r w:rsidRPr="001B6E4D">
              <w:rPr>
                <w:rFonts w:ascii="標楷體" w:eastAsia="標楷體" w:hAnsi="標楷體"/>
                <w:color w:val="000000"/>
              </w:rPr>
              <w:t>）</w:t>
            </w:r>
          </w:p>
        </w:tc>
        <w:tc>
          <w:tcPr>
            <w:tcW w:w="3685" w:type="dxa"/>
            <w:tcMar>
              <w:top w:w="85" w:type="dxa"/>
              <w:bottom w:w="85" w:type="dxa"/>
            </w:tcMar>
          </w:tcPr>
          <w:p w14:paraId="331F34D6"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.20（1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-4）</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4F3ABB6D"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1B351B98"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5F704546"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115.8.25(11-5-23)</w:t>
            </w:r>
            <w:r w:rsidRPr="001B6E4D">
              <w:rPr>
                <w:rFonts w:ascii="標楷體" w:eastAsia="標楷體" w:hAnsi="標楷體" w:hint="eastAsia"/>
              </w:rPr>
              <w:t>三讀修正第二條條文。</w:t>
            </w:r>
          </w:p>
        </w:tc>
      </w:tr>
      <w:tr w:rsidR="001D438E" w:rsidRPr="001B6E4D" w14:paraId="0753CD0F" w14:textId="77777777" w:rsidTr="0041172C">
        <w:tc>
          <w:tcPr>
            <w:tcW w:w="675" w:type="dxa"/>
            <w:tcMar>
              <w:top w:w="85" w:type="dxa"/>
              <w:bottom w:w="85" w:type="dxa"/>
            </w:tcMar>
          </w:tcPr>
          <w:p w14:paraId="36FA6C15"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40114043" w14:textId="0E03F2BE"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衛生福利部中央健康</w:t>
            </w:r>
            <w:proofErr w:type="gramStart"/>
            <w:r w:rsidRPr="001B6E4D">
              <w:rPr>
                <w:rFonts w:ascii="標楷體" w:eastAsia="標楷體" w:hAnsi="標楷體"/>
                <w:color w:val="000000"/>
              </w:rPr>
              <w:t>保險署</w:t>
            </w:r>
            <w:proofErr w:type="gramEnd"/>
            <w:r w:rsidRPr="001B6E4D">
              <w:rPr>
                <w:rFonts w:ascii="標楷體" w:eastAsia="標楷體" w:hAnsi="標楷體"/>
                <w:color w:val="000000"/>
              </w:rPr>
              <w:t>組織法第二</w:t>
            </w:r>
            <w:proofErr w:type="gramStart"/>
            <w:r w:rsidRPr="001B6E4D">
              <w:rPr>
                <w:rFonts w:ascii="標楷體" w:eastAsia="標楷體" w:hAnsi="標楷體"/>
                <w:color w:val="000000"/>
              </w:rPr>
              <w:t>條</w:t>
            </w:r>
            <w:proofErr w:type="gramEnd"/>
            <w:r w:rsidRPr="001B6E4D">
              <w:rPr>
                <w:rFonts w:ascii="標楷體" w:eastAsia="標楷體" w:hAnsi="標楷體"/>
                <w:color w:val="000000"/>
              </w:rPr>
              <w:t>條文修正草案</w:t>
            </w:r>
          </w:p>
        </w:tc>
        <w:tc>
          <w:tcPr>
            <w:tcW w:w="2268" w:type="dxa"/>
            <w:tcMar>
              <w:top w:w="85" w:type="dxa"/>
              <w:bottom w:w="85" w:type="dxa"/>
            </w:tcMar>
          </w:tcPr>
          <w:p w14:paraId="70DB33FC"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委員沈發惠</w:t>
            </w:r>
          </w:p>
          <w:p w14:paraId="24664F19"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w:t>
            </w:r>
            <w:r w:rsidRPr="001B6E4D">
              <w:rPr>
                <w:rFonts w:ascii="標楷體" w:eastAsia="標楷體" w:hAnsi="標楷體"/>
                <w:color w:val="000000"/>
              </w:rPr>
              <w:t>18人</w:t>
            </w:r>
          </w:p>
          <w:p w14:paraId="03F53200"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w:t>
            </w:r>
            <w:r w:rsidRPr="001B6E4D">
              <w:rPr>
                <w:rFonts w:ascii="標楷體" w:eastAsia="標楷體" w:hAnsi="標楷體" w:hint="eastAsia"/>
                <w:color w:val="000000"/>
              </w:rPr>
              <w:t>27</w:t>
            </w:r>
          </w:p>
          <w:p w14:paraId="708BDB26"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5</w:t>
            </w:r>
            <w:r w:rsidRPr="001B6E4D">
              <w:rPr>
                <w:rFonts w:ascii="標楷體" w:eastAsia="標楷體" w:hAnsi="標楷體"/>
                <w:color w:val="000000"/>
              </w:rPr>
              <w:t>）</w:t>
            </w:r>
          </w:p>
        </w:tc>
        <w:tc>
          <w:tcPr>
            <w:tcW w:w="3685" w:type="dxa"/>
            <w:tcMar>
              <w:top w:w="85" w:type="dxa"/>
              <w:bottom w:w="85" w:type="dxa"/>
            </w:tcMar>
          </w:tcPr>
          <w:p w14:paraId="40634700"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.27（1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-5）</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3BA7B121"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2B430892"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45AC8AC0"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115.8.25(11-5-23)</w:t>
            </w:r>
            <w:r w:rsidRPr="001B6E4D">
              <w:rPr>
                <w:rFonts w:ascii="標楷體" w:eastAsia="標楷體" w:hAnsi="標楷體" w:hint="eastAsia"/>
              </w:rPr>
              <w:t>三讀</w:t>
            </w:r>
            <w:r w:rsidRPr="001B6E4D">
              <w:rPr>
                <w:rFonts w:ascii="標楷體" w:eastAsia="標楷體" w:hAnsi="標楷體" w:hint="eastAsia"/>
              </w:rPr>
              <w:lastRenderedPageBreak/>
              <w:t>修正第二條條文。</w:t>
            </w:r>
          </w:p>
        </w:tc>
      </w:tr>
      <w:tr w:rsidR="001D438E" w:rsidRPr="001B6E4D" w14:paraId="35B91014" w14:textId="77777777" w:rsidTr="0041172C">
        <w:tc>
          <w:tcPr>
            <w:tcW w:w="675" w:type="dxa"/>
            <w:tcMar>
              <w:top w:w="85" w:type="dxa"/>
              <w:bottom w:w="85" w:type="dxa"/>
            </w:tcMar>
          </w:tcPr>
          <w:p w14:paraId="34EE5BBE"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374250B4" w14:textId="6266DA47"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衛生福利部中央健康</w:t>
            </w:r>
            <w:proofErr w:type="gramStart"/>
            <w:r w:rsidRPr="001B6E4D">
              <w:rPr>
                <w:rFonts w:ascii="標楷體" w:eastAsia="標楷體" w:hAnsi="標楷體" w:hint="eastAsia"/>
                <w:color w:val="000000"/>
              </w:rPr>
              <w:t>保險署</w:t>
            </w:r>
            <w:proofErr w:type="gramEnd"/>
            <w:r w:rsidRPr="001B6E4D">
              <w:rPr>
                <w:rFonts w:ascii="標楷體" w:eastAsia="標楷體" w:hAnsi="標楷體" w:hint="eastAsia"/>
                <w:color w:val="000000"/>
              </w:rPr>
              <w:t>組織法第二</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061EEA94"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委員丁學忠</w:t>
            </w:r>
          </w:p>
          <w:p w14:paraId="6B19D36E"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等19人</w:t>
            </w:r>
          </w:p>
          <w:p w14:paraId="58D10E7B"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4</w:t>
            </w:r>
            <w:r w:rsidRPr="001B6E4D">
              <w:rPr>
                <w:rFonts w:ascii="標楷體" w:eastAsia="標楷體" w:hAnsi="標楷體"/>
                <w:color w:val="000000"/>
              </w:rPr>
              <w:t>.</w:t>
            </w:r>
            <w:r w:rsidRPr="001B6E4D">
              <w:rPr>
                <w:rFonts w:ascii="標楷體" w:eastAsia="標楷體" w:hAnsi="標楷體" w:hint="eastAsia"/>
                <w:color w:val="000000"/>
              </w:rPr>
              <w:t>10</w:t>
            </w:r>
          </w:p>
          <w:p w14:paraId="672577B2"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6</w:t>
            </w:r>
            <w:r w:rsidRPr="001B6E4D">
              <w:rPr>
                <w:rFonts w:ascii="標楷體" w:eastAsia="標楷體" w:hAnsi="標楷體"/>
                <w:color w:val="000000"/>
              </w:rPr>
              <w:t>）</w:t>
            </w:r>
          </w:p>
        </w:tc>
        <w:tc>
          <w:tcPr>
            <w:tcW w:w="3685" w:type="dxa"/>
            <w:tcMar>
              <w:top w:w="85" w:type="dxa"/>
              <w:bottom w:w="85" w:type="dxa"/>
            </w:tcMar>
          </w:tcPr>
          <w:p w14:paraId="236DE0E6"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5.4.10（1</w:t>
            </w:r>
            <w:r w:rsidRPr="001B6E4D">
              <w:rPr>
                <w:rFonts w:ascii="標楷體" w:eastAsia="標楷體" w:hAnsi="標楷體"/>
              </w:rPr>
              <w:t>1</w:t>
            </w:r>
            <w:r w:rsidRPr="001B6E4D">
              <w:rPr>
                <w:rFonts w:ascii="標楷體" w:eastAsia="標楷體" w:hAnsi="標楷體" w:hint="eastAsia"/>
              </w:rPr>
              <w:t>-5-6）</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4959AD59"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2.115.7.1黨團協商。</w:t>
            </w:r>
          </w:p>
          <w:p w14:paraId="105C085A"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w:t>
            </w:r>
            <w:r w:rsidRPr="001B6E4D">
              <w:rPr>
                <w:rFonts w:ascii="標楷體" w:eastAsia="標楷體" w:hAnsi="標楷體"/>
              </w:rPr>
              <w:t>115.8.25(11-5-23)</w:t>
            </w:r>
            <w:r w:rsidRPr="001B6E4D">
              <w:rPr>
                <w:rFonts w:ascii="標楷體" w:eastAsia="標楷體" w:hAnsi="標楷體" w:hint="eastAsia"/>
              </w:rPr>
              <w:t>三讀修正第二條條文。</w:t>
            </w:r>
          </w:p>
        </w:tc>
      </w:tr>
      <w:tr w:rsidR="001D438E" w:rsidRPr="001B6E4D" w14:paraId="7FB7D0B7" w14:textId="77777777" w:rsidTr="0041172C">
        <w:tc>
          <w:tcPr>
            <w:tcW w:w="675" w:type="dxa"/>
            <w:tcMar>
              <w:top w:w="85" w:type="dxa"/>
              <w:bottom w:w="85" w:type="dxa"/>
            </w:tcMar>
          </w:tcPr>
          <w:p w14:paraId="17AAAFA0"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0A20573C" w14:textId="1F296692"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國家中醫研究院設置條例草案</w:t>
            </w:r>
          </w:p>
        </w:tc>
        <w:tc>
          <w:tcPr>
            <w:tcW w:w="2268" w:type="dxa"/>
            <w:tcMar>
              <w:top w:w="85" w:type="dxa"/>
              <w:bottom w:w="85" w:type="dxa"/>
            </w:tcMar>
          </w:tcPr>
          <w:p w14:paraId="15BF3E90"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委員林倩綺</w:t>
            </w:r>
          </w:p>
          <w:p w14:paraId="64CFE2C4"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等18人</w:t>
            </w:r>
          </w:p>
          <w:p w14:paraId="163B6BD9"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1</w:t>
            </w:r>
            <w:r w:rsidRPr="001B6E4D">
              <w:rPr>
                <w:rFonts w:ascii="標楷體" w:eastAsia="標楷體" w:hAnsi="標楷體"/>
                <w:color w:val="000000"/>
              </w:rPr>
              <w:t>.</w:t>
            </w:r>
            <w:r w:rsidRPr="001B6E4D">
              <w:rPr>
                <w:rFonts w:ascii="標楷體" w:eastAsia="標楷體" w:hAnsi="標楷體" w:hint="eastAsia"/>
                <w:color w:val="000000"/>
              </w:rPr>
              <w:t>30</w:t>
            </w:r>
          </w:p>
          <w:p w14:paraId="00A513DE"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（11-4-</w:t>
            </w:r>
            <w:r w:rsidRPr="001B6E4D">
              <w:rPr>
                <w:rFonts w:ascii="標楷體" w:eastAsia="標楷體" w:hAnsi="標楷體" w:hint="eastAsia"/>
                <w:color w:val="000000"/>
              </w:rPr>
              <w:t>20</w:t>
            </w:r>
            <w:r w:rsidRPr="001B6E4D">
              <w:rPr>
                <w:rFonts w:ascii="標楷體" w:eastAsia="標楷體" w:hAnsi="標楷體"/>
                <w:color w:val="000000"/>
              </w:rPr>
              <w:t>）</w:t>
            </w:r>
          </w:p>
        </w:tc>
        <w:tc>
          <w:tcPr>
            <w:tcW w:w="3685" w:type="dxa"/>
            <w:tcMar>
              <w:top w:w="85" w:type="dxa"/>
              <w:bottom w:w="85" w:type="dxa"/>
            </w:tcMar>
          </w:tcPr>
          <w:p w14:paraId="57F7C952"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5.1.30（1</w:t>
            </w:r>
            <w:r w:rsidRPr="001B6E4D">
              <w:rPr>
                <w:rFonts w:ascii="標楷體" w:eastAsia="標楷體" w:hAnsi="標楷體"/>
              </w:rPr>
              <w:t>1</w:t>
            </w:r>
            <w:r w:rsidRPr="001B6E4D">
              <w:rPr>
                <w:rFonts w:ascii="標楷體" w:eastAsia="標楷體" w:hAnsi="標楷體" w:hint="eastAsia"/>
              </w:rPr>
              <w:t>-4-20）</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57F325EE"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26030A48"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5DAE386F"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115.8.25(11-5-23)</w:t>
            </w:r>
            <w:r w:rsidRPr="001B6E4D">
              <w:rPr>
                <w:rFonts w:ascii="標楷體" w:eastAsia="標楷體" w:hAnsi="標楷體" w:hint="eastAsia"/>
              </w:rPr>
              <w:t>三讀制定國家中醫研究院設置條例。</w:t>
            </w:r>
          </w:p>
        </w:tc>
      </w:tr>
      <w:tr w:rsidR="001D438E" w:rsidRPr="001B6E4D" w14:paraId="348DB632" w14:textId="77777777" w:rsidTr="0041172C">
        <w:tc>
          <w:tcPr>
            <w:tcW w:w="675" w:type="dxa"/>
            <w:tcMar>
              <w:top w:w="85" w:type="dxa"/>
              <w:bottom w:w="85" w:type="dxa"/>
            </w:tcMar>
          </w:tcPr>
          <w:p w14:paraId="49CEE6E1"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217C1CE2" w14:textId="4239E4E7"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衛生福利部長期照顧及社會發展署組織法草案</w:t>
            </w:r>
          </w:p>
        </w:tc>
        <w:tc>
          <w:tcPr>
            <w:tcW w:w="2268" w:type="dxa"/>
            <w:tcMar>
              <w:top w:w="85" w:type="dxa"/>
              <w:bottom w:w="85" w:type="dxa"/>
            </w:tcMar>
          </w:tcPr>
          <w:p w14:paraId="316CC718"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委員許宇</w:t>
            </w:r>
            <w:proofErr w:type="gramStart"/>
            <w:r w:rsidRPr="001B6E4D">
              <w:rPr>
                <w:rFonts w:ascii="標楷體" w:eastAsia="標楷體" w:hAnsi="標楷體" w:hint="eastAsia"/>
                <w:color w:val="000000"/>
              </w:rPr>
              <w:t>甄</w:t>
            </w:r>
            <w:proofErr w:type="gramEnd"/>
          </w:p>
          <w:p w14:paraId="351EB804"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等17人</w:t>
            </w:r>
          </w:p>
          <w:p w14:paraId="76863230"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w:t>
            </w:r>
            <w:r w:rsidRPr="001B6E4D">
              <w:rPr>
                <w:rFonts w:ascii="標楷體" w:eastAsia="標楷體" w:hAnsi="標楷體" w:hint="eastAsia"/>
                <w:color w:val="000000"/>
              </w:rPr>
              <w:t>20</w:t>
            </w:r>
          </w:p>
          <w:p w14:paraId="1540593F"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4</w:t>
            </w:r>
            <w:r w:rsidRPr="001B6E4D">
              <w:rPr>
                <w:rFonts w:ascii="標楷體" w:eastAsia="標楷體" w:hAnsi="標楷體"/>
                <w:color w:val="000000"/>
              </w:rPr>
              <w:t>）</w:t>
            </w:r>
          </w:p>
        </w:tc>
        <w:tc>
          <w:tcPr>
            <w:tcW w:w="3685" w:type="dxa"/>
            <w:tcMar>
              <w:top w:w="85" w:type="dxa"/>
              <w:bottom w:w="85" w:type="dxa"/>
            </w:tcMar>
          </w:tcPr>
          <w:p w14:paraId="60AC7876"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.20（1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-4）</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53963802"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44EF8935"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346F7FFC"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115.8.25(11-5-23)</w:t>
            </w:r>
            <w:r w:rsidRPr="001B6E4D">
              <w:rPr>
                <w:rFonts w:ascii="標楷體" w:eastAsia="標楷體" w:hAnsi="標楷體" w:hint="eastAsia"/>
              </w:rPr>
              <w:t>三讀制定衛生福利部社會發展及長期照顧署組織法。</w:t>
            </w:r>
          </w:p>
        </w:tc>
      </w:tr>
      <w:tr w:rsidR="001D438E" w:rsidRPr="001B6E4D" w14:paraId="22599783" w14:textId="77777777" w:rsidTr="0041172C">
        <w:tc>
          <w:tcPr>
            <w:tcW w:w="675" w:type="dxa"/>
            <w:tcMar>
              <w:top w:w="85" w:type="dxa"/>
              <w:bottom w:w="85" w:type="dxa"/>
            </w:tcMar>
          </w:tcPr>
          <w:p w14:paraId="3B93793A"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239E707A" w14:textId="4C7D4106"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衛生福利部長期照顧及社會發展署組織法草案</w:t>
            </w:r>
          </w:p>
        </w:tc>
        <w:tc>
          <w:tcPr>
            <w:tcW w:w="2268" w:type="dxa"/>
            <w:tcMar>
              <w:top w:w="85" w:type="dxa"/>
              <w:bottom w:w="85" w:type="dxa"/>
            </w:tcMar>
          </w:tcPr>
          <w:p w14:paraId="104DB9F6"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委員沈發惠</w:t>
            </w:r>
          </w:p>
          <w:p w14:paraId="10E3CA58"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w:t>
            </w:r>
            <w:r w:rsidRPr="001B6E4D">
              <w:rPr>
                <w:rFonts w:ascii="標楷體" w:eastAsia="標楷體" w:hAnsi="標楷體"/>
                <w:color w:val="000000"/>
              </w:rPr>
              <w:t>18人</w:t>
            </w:r>
          </w:p>
          <w:p w14:paraId="0DD63962"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.3.</w:t>
            </w:r>
            <w:r w:rsidRPr="001B6E4D">
              <w:rPr>
                <w:rFonts w:ascii="標楷體" w:eastAsia="標楷體" w:hAnsi="標楷體" w:hint="eastAsia"/>
                <w:color w:val="000000"/>
              </w:rPr>
              <w:t>27</w:t>
            </w:r>
          </w:p>
          <w:p w14:paraId="6E642CE8"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5</w:t>
            </w:r>
            <w:r w:rsidRPr="001B6E4D">
              <w:rPr>
                <w:rFonts w:ascii="標楷體" w:eastAsia="標楷體" w:hAnsi="標楷體"/>
                <w:color w:val="000000"/>
              </w:rPr>
              <w:t>）</w:t>
            </w:r>
          </w:p>
        </w:tc>
        <w:tc>
          <w:tcPr>
            <w:tcW w:w="3685" w:type="dxa"/>
            <w:tcMar>
              <w:top w:w="85" w:type="dxa"/>
              <w:bottom w:w="85" w:type="dxa"/>
            </w:tcMar>
          </w:tcPr>
          <w:p w14:paraId="141BA4FD"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w:t>
            </w:r>
            <w:r w:rsidRPr="001B6E4D">
              <w:rPr>
                <w:rFonts w:ascii="標楷體" w:eastAsia="標楷體" w:hAnsi="標楷體"/>
              </w:rPr>
              <w:t>3</w:t>
            </w:r>
            <w:r w:rsidRPr="001B6E4D">
              <w:rPr>
                <w:rFonts w:ascii="標楷體" w:eastAsia="標楷體" w:hAnsi="標楷體" w:hint="eastAsia"/>
              </w:rPr>
              <w:t>.27（1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5</w:t>
            </w:r>
            <w:r w:rsidRPr="001B6E4D">
              <w:rPr>
                <w:rFonts w:ascii="標楷體" w:eastAsia="標楷體" w:hAnsi="標楷體" w:hint="eastAsia"/>
              </w:rPr>
              <w:t>-5）</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0395362F"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2.115.4.9黨團協商。</w:t>
            </w:r>
          </w:p>
          <w:p w14:paraId="0E4C6C5D"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3.115.7.1黨團協商。</w:t>
            </w:r>
          </w:p>
          <w:p w14:paraId="24E5E39C"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115.8.25(11-5-23)</w:t>
            </w:r>
            <w:r w:rsidRPr="001B6E4D">
              <w:rPr>
                <w:rFonts w:ascii="標楷體" w:eastAsia="標楷體" w:hAnsi="標楷體" w:hint="eastAsia"/>
              </w:rPr>
              <w:t>三讀制定衛生福利部社會發展及長期照顧署組織法。</w:t>
            </w:r>
          </w:p>
        </w:tc>
      </w:tr>
      <w:tr w:rsidR="001D438E" w:rsidRPr="001B6E4D" w14:paraId="05BBA4CF" w14:textId="77777777" w:rsidTr="0041172C">
        <w:tc>
          <w:tcPr>
            <w:tcW w:w="675" w:type="dxa"/>
            <w:tcMar>
              <w:top w:w="85" w:type="dxa"/>
              <w:bottom w:w="85" w:type="dxa"/>
            </w:tcMar>
          </w:tcPr>
          <w:p w14:paraId="62164D23"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0C9A1BAC" w14:textId="349923E5"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衛生福利部長期照顧及社會發展署組織法草案</w:t>
            </w:r>
          </w:p>
        </w:tc>
        <w:tc>
          <w:tcPr>
            <w:tcW w:w="2268" w:type="dxa"/>
            <w:tcMar>
              <w:top w:w="85" w:type="dxa"/>
              <w:bottom w:w="85" w:type="dxa"/>
            </w:tcMar>
          </w:tcPr>
          <w:p w14:paraId="0F2454CD"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委員蔡易餘</w:t>
            </w:r>
          </w:p>
          <w:p w14:paraId="7FD6029A"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等16人</w:t>
            </w:r>
          </w:p>
          <w:p w14:paraId="502ECEBF"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115.0</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29</w:t>
            </w:r>
          </w:p>
          <w:p w14:paraId="2EBE5885"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12</w:t>
            </w:r>
            <w:r w:rsidRPr="001B6E4D">
              <w:rPr>
                <w:rFonts w:ascii="標楷體" w:eastAsia="標楷體" w:hAnsi="標楷體"/>
                <w:color w:val="000000"/>
              </w:rPr>
              <w:t>）</w:t>
            </w:r>
          </w:p>
        </w:tc>
        <w:tc>
          <w:tcPr>
            <w:tcW w:w="3685" w:type="dxa"/>
            <w:tcMar>
              <w:top w:w="85" w:type="dxa"/>
              <w:bottom w:w="85" w:type="dxa"/>
            </w:tcMar>
          </w:tcPr>
          <w:p w14:paraId="5756A5B4"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5.5.29（1</w:t>
            </w:r>
            <w:r w:rsidRPr="001B6E4D">
              <w:rPr>
                <w:rFonts w:ascii="標楷體" w:eastAsia="標楷體" w:hAnsi="標楷體"/>
              </w:rPr>
              <w:t>1</w:t>
            </w:r>
            <w:r w:rsidRPr="001B6E4D">
              <w:rPr>
                <w:rFonts w:ascii="標楷體" w:eastAsia="標楷體" w:hAnsi="標楷體" w:hint="eastAsia"/>
              </w:rPr>
              <w:t>-5-12）</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321FDDDB"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2.115.7.1黨團協商。</w:t>
            </w:r>
          </w:p>
          <w:p w14:paraId="0B8EF0E1"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w:t>
            </w:r>
            <w:r w:rsidRPr="001B6E4D">
              <w:rPr>
                <w:rFonts w:ascii="標楷體" w:eastAsia="標楷體" w:hAnsi="標楷體"/>
              </w:rPr>
              <w:t>115.8.25(11-5-23)</w:t>
            </w:r>
            <w:r w:rsidRPr="001B6E4D">
              <w:rPr>
                <w:rFonts w:ascii="標楷體" w:eastAsia="標楷體" w:hAnsi="標楷體" w:hint="eastAsia"/>
              </w:rPr>
              <w:t>三讀制定衛生福利部社會發展及長期照顧署組織法。</w:t>
            </w:r>
          </w:p>
        </w:tc>
      </w:tr>
      <w:tr w:rsidR="001D438E" w:rsidRPr="001B6E4D" w14:paraId="5E3FAA2E" w14:textId="77777777" w:rsidTr="0041172C">
        <w:tc>
          <w:tcPr>
            <w:tcW w:w="675" w:type="dxa"/>
            <w:tcMar>
              <w:top w:w="85" w:type="dxa"/>
              <w:bottom w:w="85" w:type="dxa"/>
            </w:tcMar>
          </w:tcPr>
          <w:p w14:paraId="0AAE4E1A" w14:textId="77777777" w:rsidR="001D438E" w:rsidRPr="001B6E4D" w:rsidRDefault="001D438E" w:rsidP="003D1018">
            <w:pPr>
              <w:widowControl w:val="0"/>
              <w:numPr>
                <w:ilvl w:val="0"/>
                <w:numId w:val="29"/>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5BF6F810" w14:textId="66D38B9C" w:rsidR="001D438E" w:rsidRPr="001B6E4D" w:rsidRDefault="001D438E"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衛生福利部長期照顧及社會發展署組織法草案</w:t>
            </w:r>
          </w:p>
        </w:tc>
        <w:tc>
          <w:tcPr>
            <w:tcW w:w="2268" w:type="dxa"/>
            <w:tcMar>
              <w:top w:w="85" w:type="dxa"/>
              <w:bottom w:w="85" w:type="dxa"/>
            </w:tcMar>
          </w:tcPr>
          <w:p w14:paraId="2C9755A1"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委員李昆澤</w:t>
            </w:r>
          </w:p>
          <w:p w14:paraId="44BCD6D5"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w:t>
            </w:r>
            <w:r w:rsidRPr="001B6E4D">
              <w:rPr>
                <w:rFonts w:ascii="標楷體" w:eastAsia="標楷體" w:hAnsi="標楷體"/>
                <w:color w:val="000000"/>
              </w:rPr>
              <w:t>17人</w:t>
            </w:r>
          </w:p>
          <w:p w14:paraId="1B8A7EF3"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06</w:t>
            </w:r>
            <w:r w:rsidRPr="001B6E4D">
              <w:rPr>
                <w:rFonts w:ascii="標楷體" w:eastAsia="標楷體" w:hAnsi="標楷體"/>
                <w:color w:val="000000"/>
              </w:rPr>
              <w:t>.</w:t>
            </w:r>
            <w:r w:rsidRPr="001B6E4D">
              <w:rPr>
                <w:rFonts w:ascii="標楷體" w:eastAsia="標楷體" w:hAnsi="標楷體" w:hint="eastAsia"/>
                <w:color w:val="000000"/>
              </w:rPr>
              <w:t>26</w:t>
            </w:r>
          </w:p>
          <w:p w14:paraId="2B34F464" w14:textId="77777777" w:rsidR="001D438E" w:rsidRPr="001B6E4D" w:rsidRDefault="001D438E"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15</w:t>
            </w:r>
            <w:r w:rsidRPr="001B6E4D">
              <w:rPr>
                <w:rFonts w:ascii="標楷體" w:eastAsia="標楷體" w:hAnsi="標楷體"/>
                <w:color w:val="000000"/>
              </w:rPr>
              <w:t>）</w:t>
            </w:r>
          </w:p>
        </w:tc>
        <w:tc>
          <w:tcPr>
            <w:tcW w:w="3685" w:type="dxa"/>
            <w:tcMar>
              <w:top w:w="85" w:type="dxa"/>
              <w:bottom w:w="85" w:type="dxa"/>
            </w:tcMar>
          </w:tcPr>
          <w:p w14:paraId="29905814"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5.6.26（1</w:t>
            </w:r>
            <w:r w:rsidRPr="001B6E4D">
              <w:rPr>
                <w:rFonts w:ascii="標楷體" w:eastAsia="標楷體" w:hAnsi="標楷體"/>
              </w:rPr>
              <w:t>1</w:t>
            </w:r>
            <w:r w:rsidRPr="001B6E4D">
              <w:rPr>
                <w:rFonts w:ascii="標楷體" w:eastAsia="標楷體" w:hAnsi="標楷體" w:hint="eastAsia"/>
              </w:rPr>
              <w:t>-5-15）</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218FB023"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2.115.7.1黨團協商。</w:t>
            </w:r>
          </w:p>
          <w:p w14:paraId="20650363" w14:textId="77777777" w:rsidR="001D438E" w:rsidRPr="001B6E4D" w:rsidRDefault="001D438E"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w:t>
            </w:r>
            <w:r w:rsidRPr="001B6E4D">
              <w:rPr>
                <w:rFonts w:ascii="標楷體" w:eastAsia="標楷體" w:hAnsi="標楷體"/>
              </w:rPr>
              <w:t>115.8.25(11-5-23)</w:t>
            </w:r>
            <w:r w:rsidRPr="001B6E4D">
              <w:rPr>
                <w:rFonts w:ascii="標楷體" w:eastAsia="標楷體" w:hAnsi="標楷體" w:hint="eastAsia"/>
              </w:rPr>
              <w:t>三讀制定衛生福利部社會發展及長期照顧署組織法。</w:t>
            </w:r>
          </w:p>
        </w:tc>
      </w:tr>
    </w:tbl>
    <w:p w14:paraId="64A2D2E9" w14:textId="56F1D091" w:rsidR="001574C9" w:rsidRPr="001B6E4D" w:rsidRDefault="001949A3" w:rsidP="003D1018">
      <w:pPr>
        <w:pStyle w:val="affffff0"/>
        <w:kinsoku w:val="0"/>
        <w:overflowPunct w:val="0"/>
        <w:topLinePunct/>
        <w:spacing w:beforeLines="100" w:before="360" w:afterLines="0" w:after="0" w:line="360" w:lineRule="auto"/>
        <w:ind w:leftChars="128" w:left="307" w:firstLineChars="280" w:firstLine="785"/>
        <w:rPr>
          <w:color w:val="000000" w:themeColor="text1"/>
        </w:rPr>
      </w:pPr>
      <w:bookmarkStart w:id="414" w:name="_Toc240446575"/>
      <w:bookmarkStart w:id="415" w:name="_Hlk203404725"/>
      <w:r w:rsidRPr="001B6E4D">
        <w:rPr>
          <w:rFonts w:hint="eastAsia"/>
          <w:color w:val="000000" w:themeColor="text1"/>
        </w:rPr>
        <w:lastRenderedPageBreak/>
        <w:t>二、作用</w:t>
      </w:r>
      <w:r w:rsidRPr="001B6E4D">
        <w:rPr>
          <w:color w:val="000000" w:themeColor="text1"/>
        </w:rPr>
        <w:t>法</w:t>
      </w:r>
      <w:r w:rsidR="00BF2896" w:rsidRPr="001B6E4D">
        <w:rPr>
          <w:rFonts w:hint="eastAsia"/>
          <w:color w:val="000000" w:themeColor="text1"/>
        </w:rPr>
        <w:t>22</w:t>
      </w:r>
      <w:r w:rsidRPr="001B6E4D">
        <w:rPr>
          <w:rFonts w:hint="eastAsia"/>
          <w:color w:val="000000" w:themeColor="text1"/>
        </w:rPr>
        <w:t>案</w:t>
      </w:r>
      <w:bookmarkEnd w:id="414"/>
    </w:p>
    <w:tbl>
      <w:tblPr>
        <w:tblW w:w="8789" w:type="dxa"/>
        <w:tblInd w:w="-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9"/>
        <w:gridCol w:w="2127"/>
        <w:gridCol w:w="2268"/>
        <w:gridCol w:w="3685"/>
      </w:tblGrid>
      <w:tr w:rsidR="00BF2896" w:rsidRPr="001B6E4D" w14:paraId="3D0026AB" w14:textId="77777777" w:rsidTr="0041172C">
        <w:tc>
          <w:tcPr>
            <w:tcW w:w="709" w:type="dxa"/>
            <w:tcMar>
              <w:top w:w="85" w:type="dxa"/>
              <w:bottom w:w="85" w:type="dxa"/>
            </w:tcMar>
            <w:vAlign w:val="center"/>
          </w:tcPr>
          <w:p w14:paraId="71999998" w14:textId="77777777" w:rsidR="00BF2896" w:rsidRPr="001B6E4D" w:rsidRDefault="00BF2896"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bookmarkStart w:id="416" w:name="_Hlk204179567"/>
            <w:bookmarkStart w:id="417" w:name="_Toc132366936"/>
            <w:bookmarkEnd w:id="415"/>
            <w:r w:rsidRPr="001B6E4D">
              <w:rPr>
                <w:rFonts w:ascii="標楷體" w:eastAsia="標楷體" w:hAnsi="標楷體" w:hint="eastAsia"/>
                <w:b/>
                <w:color w:val="000000"/>
                <w:kern w:val="0"/>
              </w:rPr>
              <w:t>序號</w:t>
            </w:r>
          </w:p>
        </w:tc>
        <w:tc>
          <w:tcPr>
            <w:tcW w:w="2127" w:type="dxa"/>
            <w:tcMar>
              <w:top w:w="85" w:type="dxa"/>
              <w:bottom w:w="85" w:type="dxa"/>
            </w:tcMar>
            <w:vAlign w:val="center"/>
          </w:tcPr>
          <w:p w14:paraId="2CA65D66" w14:textId="77777777" w:rsidR="00BF2896" w:rsidRPr="001B6E4D" w:rsidRDefault="00BF2896"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hint="eastAsia"/>
                <w:b/>
                <w:color w:val="000000"/>
                <w:kern w:val="0"/>
              </w:rPr>
              <w:t>議案名稱</w:t>
            </w:r>
          </w:p>
        </w:tc>
        <w:tc>
          <w:tcPr>
            <w:tcW w:w="2268" w:type="dxa"/>
            <w:tcMar>
              <w:top w:w="85" w:type="dxa"/>
              <w:bottom w:w="85" w:type="dxa"/>
            </w:tcMar>
            <w:vAlign w:val="center"/>
          </w:tcPr>
          <w:p w14:paraId="0559CB3B" w14:textId="77777777" w:rsidR="00BF2896" w:rsidRPr="001B6E4D" w:rsidRDefault="00BF2896"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hint="eastAsia"/>
                <w:b/>
                <w:color w:val="000000"/>
                <w:kern w:val="0"/>
              </w:rPr>
              <w:t>提案委員或機關、</w:t>
            </w:r>
          </w:p>
          <w:p w14:paraId="60D63A3F" w14:textId="77777777" w:rsidR="00BF2896" w:rsidRPr="001B6E4D" w:rsidRDefault="00BF2896"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hint="eastAsia"/>
                <w:b/>
                <w:color w:val="000000"/>
                <w:kern w:val="0"/>
              </w:rPr>
              <w:t>院會</w:t>
            </w:r>
            <w:proofErr w:type="gramStart"/>
            <w:r w:rsidRPr="001B6E4D">
              <w:rPr>
                <w:rFonts w:ascii="標楷體" w:eastAsia="標楷體" w:hAnsi="標楷體" w:hint="eastAsia"/>
                <w:b/>
                <w:color w:val="000000"/>
                <w:kern w:val="0"/>
              </w:rPr>
              <w:t>逕</w:t>
            </w:r>
            <w:proofErr w:type="gramEnd"/>
            <w:r w:rsidRPr="001B6E4D">
              <w:rPr>
                <w:rFonts w:ascii="標楷體" w:eastAsia="標楷體" w:hAnsi="標楷體" w:hint="eastAsia"/>
                <w:b/>
                <w:color w:val="000000"/>
                <w:kern w:val="0"/>
              </w:rPr>
              <w:t>付二讀日期（會次）</w:t>
            </w:r>
          </w:p>
        </w:tc>
        <w:tc>
          <w:tcPr>
            <w:tcW w:w="3685" w:type="dxa"/>
            <w:tcMar>
              <w:top w:w="85" w:type="dxa"/>
              <w:bottom w:w="85" w:type="dxa"/>
            </w:tcMar>
            <w:vAlign w:val="center"/>
          </w:tcPr>
          <w:p w14:paraId="15857C59" w14:textId="77777777" w:rsidR="00BF2896" w:rsidRPr="001B6E4D" w:rsidRDefault="00BF2896" w:rsidP="003D1018">
            <w:pPr>
              <w:widowControl w:val="0"/>
              <w:overflowPunct w:val="0"/>
              <w:adjustRightInd w:val="0"/>
              <w:snapToGrid w:val="0"/>
              <w:spacing w:line="280" w:lineRule="exact"/>
              <w:ind w:left="240" w:hangingChars="100" w:hanging="240"/>
              <w:jc w:val="center"/>
              <w:textAlignment w:val="baseline"/>
              <w:rPr>
                <w:rFonts w:ascii="標楷體" w:eastAsia="標楷體" w:hAnsi="標楷體"/>
                <w:b/>
                <w:color w:val="000000"/>
                <w:kern w:val="0"/>
              </w:rPr>
            </w:pPr>
            <w:r w:rsidRPr="001B6E4D">
              <w:rPr>
                <w:rFonts w:ascii="標楷體" w:eastAsia="標楷體" w:hAnsi="標楷體" w:hint="eastAsia"/>
                <w:b/>
                <w:color w:val="000000"/>
              </w:rPr>
              <w:t>處理、審議</w:t>
            </w:r>
            <w:r w:rsidRPr="001B6E4D">
              <w:rPr>
                <w:rFonts w:ascii="標楷體" w:eastAsia="標楷體" w:hAnsi="標楷體" w:hint="eastAsia"/>
                <w:b/>
                <w:color w:val="000000"/>
                <w:kern w:val="0"/>
              </w:rPr>
              <w:t>情形</w:t>
            </w:r>
          </w:p>
        </w:tc>
      </w:tr>
      <w:tr w:rsidR="00BF2896" w:rsidRPr="001B6E4D" w14:paraId="5668F432" w14:textId="77777777" w:rsidTr="0041172C">
        <w:trPr>
          <w:trHeight w:val="74"/>
        </w:trPr>
        <w:tc>
          <w:tcPr>
            <w:tcW w:w="709" w:type="dxa"/>
            <w:tcMar>
              <w:top w:w="85" w:type="dxa"/>
              <w:bottom w:w="85" w:type="dxa"/>
            </w:tcMar>
          </w:tcPr>
          <w:p w14:paraId="49D83AC6"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075390CE"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立法院職權行使法第三十一條及第七十一條之</w:t>
            </w:r>
            <w:proofErr w:type="gramStart"/>
            <w:r w:rsidRPr="001B6E4D">
              <w:rPr>
                <w:rFonts w:ascii="標楷體" w:eastAsia="標楷體" w:hAnsi="標楷體" w:hint="eastAsia"/>
                <w:color w:val="000000"/>
              </w:rPr>
              <w:t>一</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2BE6DE44"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委員李彥秀</w:t>
            </w:r>
          </w:p>
          <w:p w14:paraId="52E9AFB8"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等17人</w:t>
            </w:r>
          </w:p>
          <w:p w14:paraId="6A06F797"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113.</w:t>
            </w:r>
            <w:r w:rsidRPr="001B6E4D">
              <w:rPr>
                <w:rFonts w:ascii="標楷體" w:eastAsia="標楷體" w:hAnsi="標楷體" w:hint="eastAsia"/>
                <w:color w:val="000000"/>
              </w:rPr>
              <w:t>05</w:t>
            </w:r>
            <w:r w:rsidRPr="001B6E4D">
              <w:rPr>
                <w:rFonts w:ascii="標楷體" w:eastAsia="標楷體" w:hAnsi="標楷體"/>
                <w:color w:val="000000"/>
              </w:rPr>
              <w:t>.</w:t>
            </w:r>
            <w:r w:rsidRPr="001B6E4D">
              <w:rPr>
                <w:rFonts w:ascii="標楷體" w:eastAsia="標楷體" w:hAnsi="標楷體" w:hint="eastAsia"/>
                <w:color w:val="000000"/>
              </w:rPr>
              <w:t>03</w:t>
            </w:r>
          </w:p>
          <w:p w14:paraId="28553C37"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rPr>
              <w:t>（11-1-</w:t>
            </w:r>
            <w:r w:rsidRPr="001B6E4D">
              <w:rPr>
                <w:rFonts w:ascii="標楷體" w:eastAsia="標楷體" w:hAnsi="標楷體" w:hint="eastAsia"/>
                <w:color w:val="000000"/>
              </w:rPr>
              <w:t>12</w:t>
            </w:r>
            <w:r w:rsidRPr="001B6E4D">
              <w:rPr>
                <w:rFonts w:ascii="標楷體" w:eastAsia="標楷體" w:hAnsi="標楷體"/>
                <w:color w:val="000000"/>
              </w:rPr>
              <w:t>）</w:t>
            </w:r>
          </w:p>
        </w:tc>
        <w:tc>
          <w:tcPr>
            <w:tcW w:w="3685" w:type="dxa"/>
            <w:tcMar>
              <w:top w:w="85" w:type="dxa"/>
              <w:bottom w:w="85" w:type="dxa"/>
            </w:tcMar>
          </w:tcPr>
          <w:p w14:paraId="68F3D415"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13</w:t>
            </w:r>
            <w:r w:rsidRPr="001B6E4D">
              <w:rPr>
                <w:rFonts w:ascii="標楷體" w:eastAsia="標楷體" w:hAnsi="標楷體" w:hint="eastAsia"/>
              </w:rPr>
              <w:t>.5.3（1</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1</w:t>
            </w:r>
            <w:r w:rsidRPr="001B6E4D">
              <w:rPr>
                <w:rFonts w:ascii="標楷體" w:eastAsia="標楷體" w:hAnsi="標楷體" w:hint="eastAsia"/>
              </w:rPr>
              <w:t>-</w:t>
            </w:r>
            <w:r w:rsidRPr="001B6E4D">
              <w:rPr>
                <w:rFonts w:ascii="標楷體" w:eastAsia="標楷體" w:hAnsi="標楷體"/>
              </w:rPr>
              <w:t>1</w:t>
            </w:r>
            <w:r w:rsidRPr="001B6E4D">
              <w:rPr>
                <w:rFonts w:ascii="標楷體" w:eastAsia="標楷體" w:hAnsi="標楷體" w:hint="eastAsia"/>
              </w:rPr>
              <w:t>2）</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p w14:paraId="6D1C1C1E"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2.113.5.8黨團協商。</w:t>
            </w:r>
          </w:p>
          <w:p w14:paraId="6A6F99B7"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3.113.5.16黨團協商。</w:t>
            </w:r>
          </w:p>
        </w:tc>
      </w:tr>
      <w:tr w:rsidR="00BF2896" w:rsidRPr="001B6E4D" w14:paraId="6F8CBB9A" w14:textId="77777777" w:rsidTr="0041172C">
        <w:trPr>
          <w:trHeight w:val="74"/>
        </w:trPr>
        <w:tc>
          <w:tcPr>
            <w:tcW w:w="709" w:type="dxa"/>
            <w:tcMar>
              <w:top w:w="85" w:type="dxa"/>
              <w:bottom w:w="85" w:type="dxa"/>
            </w:tcMar>
          </w:tcPr>
          <w:p w14:paraId="136CFF87"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57939DF5"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國家機密保護法第三十二條、第三十三條及第三十四</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551F9785"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台灣民眾</w:t>
            </w:r>
            <w:proofErr w:type="gramStart"/>
            <w:r w:rsidRPr="001B6E4D">
              <w:rPr>
                <w:rFonts w:ascii="標楷體" w:eastAsia="標楷體" w:hAnsi="標楷體"/>
                <w:color w:val="000000"/>
              </w:rPr>
              <w:t>黨</w:t>
            </w:r>
            <w:proofErr w:type="gramEnd"/>
            <w:r w:rsidRPr="001B6E4D">
              <w:rPr>
                <w:rFonts w:ascii="標楷體" w:eastAsia="標楷體" w:hAnsi="標楷體"/>
                <w:color w:val="000000"/>
              </w:rPr>
              <w:t>黨團</w:t>
            </w:r>
          </w:p>
          <w:p w14:paraId="3804A927"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113.11.29</w:t>
            </w:r>
          </w:p>
          <w:p w14:paraId="25D9FCDC"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rPr>
              <w:t>（11-2-11）</w:t>
            </w:r>
          </w:p>
        </w:tc>
        <w:tc>
          <w:tcPr>
            <w:tcW w:w="3685" w:type="dxa"/>
            <w:tcMar>
              <w:top w:w="85" w:type="dxa"/>
              <w:bottom w:w="85" w:type="dxa"/>
            </w:tcMar>
          </w:tcPr>
          <w:p w14:paraId="36C64689"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4.6.20（1</w:t>
            </w:r>
            <w:r w:rsidRPr="001B6E4D">
              <w:rPr>
                <w:rFonts w:ascii="標楷體" w:eastAsia="標楷體" w:hAnsi="標楷體"/>
              </w:rPr>
              <w:t>1</w:t>
            </w:r>
            <w:r w:rsidRPr="001B6E4D">
              <w:rPr>
                <w:rFonts w:ascii="標楷體" w:eastAsia="標楷體" w:hAnsi="標楷體" w:hint="eastAsia"/>
              </w:rPr>
              <w:t>-3-</w:t>
            </w:r>
            <w:r w:rsidRPr="001B6E4D">
              <w:rPr>
                <w:rFonts w:ascii="標楷體" w:eastAsia="標楷體" w:hAnsi="標楷體"/>
              </w:rPr>
              <w:t>1</w:t>
            </w:r>
            <w:r w:rsidRPr="001B6E4D">
              <w:rPr>
                <w:rFonts w:ascii="標楷體" w:eastAsia="標楷體" w:hAnsi="標楷體" w:hint="eastAsia"/>
              </w:rPr>
              <w:t>7）自司法及法制委員會抽出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tc>
      </w:tr>
      <w:tr w:rsidR="00BF2896" w:rsidRPr="001B6E4D" w14:paraId="46A3061A" w14:textId="77777777" w:rsidTr="0041172C">
        <w:trPr>
          <w:trHeight w:val="74"/>
        </w:trPr>
        <w:tc>
          <w:tcPr>
            <w:tcW w:w="709" w:type="dxa"/>
            <w:tcMar>
              <w:top w:w="85" w:type="dxa"/>
              <w:bottom w:w="85" w:type="dxa"/>
            </w:tcMar>
          </w:tcPr>
          <w:p w14:paraId="0505E7E1"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4E9D49A0"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中華民國刑法第一百八十五條之三條文修正草案</w:t>
            </w:r>
          </w:p>
        </w:tc>
        <w:tc>
          <w:tcPr>
            <w:tcW w:w="2268" w:type="dxa"/>
            <w:tcMar>
              <w:top w:w="85" w:type="dxa"/>
              <w:bottom w:w="85" w:type="dxa"/>
            </w:tcMar>
          </w:tcPr>
          <w:p w14:paraId="031E6362"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委員張雅琳</w:t>
            </w:r>
          </w:p>
          <w:p w14:paraId="3FD75B6D"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等16人</w:t>
            </w:r>
          </w:p>
          <w:p w14:paraId="43DB409D"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07</w:t>
            </w:r>
            <w:r w:rsidRPr="001B6E4D">
              <w:rPr>
                <w:rFonts w:ascii="標楷體" w:eastAsia="標楷體" w:hAnsi="標楷體"/>
                <w:color w:val="000000"/>
              </w:rPr>
              <w:t>.</w:t>
            </w:r>
            <w:r w:rsidRPr="001B6E4D">
              <w:rPr>
                <w:rFonts w:ascii="標楷體" w:eastAsia="標楷體" w:hAnsi="標楷體" w:hint="eastAsia"/>
                <w:color w:val="000000"/>
              </w:rPr>
              <w:t>31</w:t>
            </w:r>
          </w:p>
          <w:p w14:paraId="4D4A939D"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20</w:t>
            </w:r>
            <w:r w:rsidRPr="001B6E4D">
              <w:rPr>
                <w:rFonts w:ascii="標楷體" w:eastAsia="標楷體" w:hAnsi="標楷體"/>
                <w:color w:val="000000"/>
              </w:rPr>
              <w:t>）</w:t>
            </w:r>
          </w:p>
        </w:tc>
        <w:tc>
          <w:tcPr>
            <w:tcW w:w="3685" w:type="dxa"/>
            <w:tcMar>
              <w:top w:w="85" w:type="dxa"/>
              <w:bottom w:w="85" w:type="dxa"/>
            </w:tcMar>
          </w:tcPr>
          <w:p w14:paraId="410DB9F0"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5.7.31（1</w:t>
            </w:r>
            <w:r w:rsidRPr="001B6E4D">
              <w:rPr>
                <w:rFonts w:ascii="標楷體" w:eastAsia="標楷體" w:hAnsi="標楷體"/>
              </w:rPr>
              <w:t>1</w:t>
            </w:r>
            <w:r w:rsidRPr="001B6E4D">
              <w:rPr>
                <w:rFonts w:ascii="標楷體" w:eastAsia="標楷體" w:hAnsi="標楷體" w:hint="eastAsia"/>
              </w:rPr>
              <w:t>-5-20）</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BF2896" w:rsidRPr="001B6E4D" w14:paraId="023FE271" w14:textId="77777777" w:rsidTr="0041172C">
        <w:trPr>
          <w:trHeight w:val="74"/>
        </w:trPr>
        <w:tc>
          <w:tcPr>
            <w:tcW w:w="709" w:type="dxa"/>
            <w:tcMar>
              <w:top w:w="85" w:type="dxa"/>
              <w:bottom w:w="85" w:type="dxa"/>
            </w:tcMar>
          </w:tcPr>
          <w:p w14:paraId="772DEC15"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37C6DD43"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毒品危害防制條例第三十三條及第三十六</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63232216"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委員洪孟楷</w:t>
            </w:r>
          </w:p>
          <w:p w14:paraId="55DFA286"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等17人</w:t>
            </w:r>
          </w:p>
          <w:p w14:paraId="7F6AC42B"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08</w:t>
            </w:r>
            <w:r w:rsidRPr="001B6E4D">
              <w:rPr>
                <w:rFonts w:ascii="標楷體" w:eastAsia="標楷體" w:hAnsi="標楷體"/>
                <w:color w:val="000000"/>
              </w:rPr>
              <w:t>.</w:t>
            </w:r>
            <w:r w:rsidRPr="001B6E4D">
              <w:rPr>
                <w:rFonts w:ascii="標楷體" w:eastAsia="標楷體" w:hAnsi="標楷體" w:hint="eastAsia"/>
                <w:color w:val="000000"/>
              </w:rPr>
              <w:t>07</w:t>
            </w:r>
          </w:p>
          <w:p w14:paraId="3DF4AF7D"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21</w:t>
            </w:r>
            <w:r w:rsidRPr="001B6E4D">
              <w:rPr>
                <w:rFonts w:ascii="標楷體" w:eastAsia="標楷體" w:hAnsi="標楷體"/>
                <w:color w:val="000000"/>
              </w:rPr>
              <w:t>）</w:t>
            </w:r>
          </w:p>
        </w:tc>
        <w:tc>
          <w:tcPr>
            <w:tcW w:w="3685" w:type="dxa"/>
            <w:tcMar>
              <w:top w:w="85" w:type="dxa"/>
              <w:bottom w:w="85" w:type="dxa"/>
            </w:tcMar>
          </w:tcPr>
          <w:p w14:paraId="6EFD30A3"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5.8.7（1</w:t>
            </w:r>
            <w:r w:rsidRPr="001B6E4D">
              <w:rPr>
                <w:rFonts w:ascii="標楷體" w:eastAsia="標楷體" w:hAnsi="標楷體"/>
              </w:rPr>
              <w:t>1</w:t>
            </w:r>
            <w:r w:rsidRPr="001B6E4D">
              <w:rPr>
                <w:rFonts w:ascii="標楷體" w:eastAsia="標楷體" w:hAnsi="標楷體" w:hint="eastAsia"/>
              </w:rPr>
              <w:t>-5-21）</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BF2896" w:rsidRPr="001B6E4D" w14:paraId="31BD03BB" w14:textId="77777777" w:rsidTr="0041172C">
        <w:trPr>
          <w:trHeight w:val="74"/>
        </w:trPr>
        <w:tc>
          <w:tcPr>
            <w:tcW w:w="709" w:type="dxa"/>
            <w:tcMar>
              <w:top w:w="85" w:type="dxa"/>
              <w:bottom w:w="85" w:type="dxa"/>
            </w:tcMar>
          </w:tcPr>
          <w:p w14:paraId="67DEBB07"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66B9DB4D"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color w:val="000000"/>
              </w:rPr>
              <w:t>中華民國刑法第一百八十五條之三條文修正草案</w:t>
            </w:r>
          </w:p>
        </w:tc>
        <w:tc>
          <w:tcPr>
            <w:tcW w:w="2268" w:type="dxa"/>
            <w:tcMar>
              <w:top w:w="85" w:type="dxa"/>
              <w:bottom w:w="85" w:type="dxa"/>
            </w:tcMar>
          </w:tcPr>
          <w:p w14:paraId="031F0F10"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委員顏寬</w:t>
            </w:r>
            <w:proofErr w:type="gramStart"/>
            <w:r w:rsidRPr="001B6E4D">
              <w:rPr>
                <w:rFonts w:ascii="標楷體" w:eastAsia="標楷體" w:hAnsi="標楷體"/>
                <w:color w:val="000000"/>
              </w:rPr>
              <w:t>恒</w:t>
            </w:r>
            <w:proofErr w:type="gramEnd"/>
          </w:p>
          <w:p w14:paraId="5991967A"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等22人</w:t>
            </w:r>
          </w:p>
          <w:p w14:paraId="4146B2F8"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115.07.24</w:t>
            </w:r>
          </w:p>
          <w:p w14:paraId="504CAD1C"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rPr>
              <w:t>（11-5-19）</w:t>
            </w:r>
          </w:p>
        </w:tc>
        <w:tc>
          <w:tcPr>
            <w:tcW w:w="3685" w:type="dxa"/>
            <w:tcMar>
              <w:top w:w="85" w:type="dxa"/>
              <w:bottom w:w="85" w:type="dxa"/>
            </w:tcMar>
          </w:tcPr>
          <w:p w14:paraId="2899DCEC"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5.8.7（1</w:t>
            </w:r>
            <w:r w:rsidRPr="001B6E4D">
              <w:rPr>
                <w:rFonts w:ascii="標楷體" w:eastAsia="標楷體" w:hAnsi="標楷體"/>
              </w:rPr>
              <w:t>1</w:t>
            </w:r>
            <w:r w:rsidRPr="001B6E4D">
              <w:rPr>
                <w:rFonts w:ascii="標楷體" w:eastAsia="標楷體" w:hAnsi="標楷體" w:hint="eastAsia"/>
              </w:rPr>
              <w:t>-5-21）自司法及法制委員會抽出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BF2896" w:rsidRPr="001B6E4D" w14:paraId="04E3ABE0" w14:textId="77777777" w:rsidTr="0041172C">
        <w:trPr>
          <w:trHeight w:val="74"/>
        </w:trPr>
        <w:tc>
          <w:tcPr>
            <w:tcW w:w="709" w:type="dxa"/>
            <w:tcMar>
              <w:top w:w="85" w:type="dxa"/>
              <w:bottom w:w="85" w:type="dxa"/>
            </w:tcMar>
          </w:tcPr>
          <w:p w14:paraId="3B44E70A"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5D6036C2"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color w:val="000000"/>
              </w:rPr>
              <w:t>中華民國刑法第一百八十五條之三條文修正草案</w:t>
            </w:r>
          </w:p>
        </w:tc>
        <w:tc>
          <w:tcPr>
            <w:tcW w:w="2268" w:type="dxa"/>
            <w:tcMar>
              <w:top w:w="85" w:type="dxa"/>
              <w:bottom w:w="85" w:type="dxa"/>
            </w:tcMar>
          </w:tcPr>
          <w:p w14:paraId="4F219F4B"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委員謝衣</w:t>
            </w:r>
            <w:r w:rsidRPr="001B6E4D">
              <w:rPr>
                <w:rFonts w:ascii="標楷體" w:eastAsia="標楷體" w:hAnsi="標楷體" w:hint="eastAsia"/>
                <w:color w:val="000000"/>
              </w:rPr>
              <w:t>鳯</w:t>
            </w:r>
          </w:p>
          <w:p w14:paraId="57E8F2E3"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w:t>
            </w:r>
            <w:r w:rsidRPr="001B6E4D">
              <w:rPr>
                <w:rFonts w:ascii="標楷體" w:eastAsia="標楷體" w:hAnsi="標楷體"/>
                <w:color w:val="000000"/>
              </w:rPr>
              <w:t>16人</w:t>
            </w:r>
          </w:p>
          <w:p w14:paraId="1EBAC4DC"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115.07.24</w:t>
            </w:r>
          </w:p>
          <w:p w14:paraId="7E1EEFF4"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hint="eastAsia"/>
                <w:color w:val="000000"/>
              </w:rPr>
              <w:t>（</w:t>
            </w:r>
            <w:r w:rsidRPr="001B6E4D">
              <w:rPr>
                <w:rFonts w:ascii="標楷體" w:eastAsia="標楷體" w:hAnsi="標楷體"/>
                <w:color w:val="000000"/>
              </w:rPr>
              <w:t>11-5-19）</w:t>
            </w:r>
          </w:p>
        </w:tc>
        <w:tc>
          <w:tcPr>
            <w:tcW w:w="3685" w:type="dxa"/>
            <w:tcMar>
              <w:top w:w="85" w:type="dxa"/>
              <w:bottom w:w="85" w:type="dxa"/>
            </w:tcMar>
          </w:tcPr>
          <w:p w14:paraId="03E86126"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5.8.7（1</w:t>
            </w:r>
            <w:r w:rsidRPr="001B6E4D">
              <w:rPr>
                <w:rFonts w:ascii="標楷體" w:eastAsia="標楷體" w:hAnsi="標楷體"/>
              </w:rPr>
              <w:t>1</w:t>
            </w:r>
            <w:r w:rsidRPr="001B6E4D">
              <w:rPr>
                <w:rFonts w:ascii="標楷體" w:eastAsia="標楷體" w:hAnsi="標楷體" w:hint="eastAsia"/>
              </w:rPr>
              <w:t>-5-21）自司法及法制委員會抽出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BF2896" w:rsidRPr="001B6E4D" w14:paraId="639B79D3" w14:textId="77777777" w:rsidTr="0041172C">
        <w:trPr>
          <w:trHeight w:val="74"/>
        </w:trPr>
        <w:tc>
          <w:tcPr>
            <w:tcW w:w="709" w:type="dxa"/>
            <w:tcMar>
              <w:top w:w="85" w:type="dxa"/>
              <w:bottom w:w="85" w:type="dxa"/>
            </w:tcMar>
          </w:tcPr>
          <w:p w14:paraId="2D456547"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5A4B1169"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毒品危害防制條例第三十三條及第三十六</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0CE7C0F7"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w:t>
            </w:r>
            <w:proofErr w:type="gramStart"/>
            <w:r w:rsidRPr="001B6E4D">
              <w:rPr>
                <w:rFonts w:ascii="標楷體" w:eastAsia="標楷體" w:hAnsi="標楷體" w:hint="eastAsia"/>
                <w:color w:val="000000"/>
              </w:rPr>
              <w:t>范</w:t>
            </w:r>
            <w:proofErr w:type="gramEnd"/>
            <w:r w:rsidRPr="001B6E4D">
              <w:rPr>
                <w:rFonts w:ascii="標楷體" w:eastAsia="標楷體" w:hAnsi="標楷體" w:hint="eastAsia"/>
                <w:color w:val="000000"/>
              </w:rPr>
              <w:t>雲</w:t>
            </w:r>
          </w:p>
          <w:p w14:paraId="31E272B6"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等17人</w:t>
            </w:r>
          </w:p>
          <w:p w14:paraId="575785AF"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115.07.31</w:t>
            </w:r>
          </w:p>
          <w:p w14:paraId="53B0750C"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hint="eastAsia"/>
                <w:color w:val="000000"/>
              </w:rPr>
              <w:t>（11-5-20）</w:t>
            </w:r>
          </w:p>
        </w:tc>
        <w:tc>
          <w:tcPr>
            <w:tcW w:w="3685" w:type="dxa"/>
            <w:tcMar>
              <w:top w:w="85" w:type="dxa"/>
              <w:bottom w:w="85" w:type="dxa"/>
            </w:tcMar>
          </w:tcPr>
          <w:p w14:paraId="33872B78"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5.8.14（1</w:t>
            </w:r>
            <w:r w:rsidRPr="001B6E4D">
              <w:rPr>
                <w:rFonts w:ascii="標楷體" w:eastAsia="標楷體" w:hAnsi="標楷體"/>
              </w:rPr>
              <w:t>1</w:t>
            </w:r>
            <w:r w:rsidRPr="001B6E4D">
              <w:rPr>
                <w:rFonts w:ascii="標楷體" w:eastAsia="標楷體" w:hAnsi="標楷體" w:hint="eastAsia"/>
              </w:rPr>
              <w:t>-5-22）自司法及法制委員會抽出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BF2896" w:rsidRPr="001B6E4D" w14:paraId="02C7278D" w14:textId="77777777" w:rsidTr="0041172C">
        <w:trPr>
          <w:trHeight w:val="74"/>
        </w:trPr>
        <w:tc>
          <w:tcPr>
            <w:tcW w:w="709" w:type="dxa"/>
            <w:tcMar>
              <w:top w:w="85" w:type="dxa"/>
              <w:bottom w:w="85" w:type="dxa"/>
            </w:tcMar>
          </w:tcPr>
          <w:p w14:paraId="5E9D8EAF"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5D77B327"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color w:val="000000"/>
              </w:rPr>
              <w:t>毒品危害防制條例部分條文修正草案</w:t>
            </w:r>
          </w:p>
        </w:tc>
        <w:tc>
          <w:tcPr>
            <w:tcW w:w="2268" w:type="dxa"/>
            <w:tcMar>
              <w:top w:w="85" w:type="dxa"/>
              <w:bottom w:w="85" w:type="dxa"/>
            </w:tcMar>
          </w:tcPr>
          <w:p w14:paraId="5420C85E"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委員王育敏</w:t>
            </w:r>
          </w:p>
          <w:p w14:paraId="08B398E4"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等16人</w:t>
            </w:r>
          </w:p>
          <w:p w14:paraId="6CFD1507"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115.07.31</w:t>
            </w:r>
          </w:p>
          <w:p w14:paraId="441CA235"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rPr>
              <w:t>（11-5-20）</w:t>
            </w:r>
          </w:p>
        </w:tc>
        <w:tc>
          <w:tcPr>
            <w:tcW w:w="3685" w:type="dxa"/>
            <w:tcMar>
              <w:top w:w="85" w:type="dxa"/>
              <w:bottom w:w="85" w:type="dxa"/>
            </w:tcMar>
          </w:tcPr>
          <w:p w14:paraId="19879E0D"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5.8.14（1</w:t>
            </w:r>
            <w:r w:rsidRPr="001B6E4D">
              <w:rPr>
                <w:rFonts w:ascii="標楷體" w:eastAsia="標楷體" w:hAnsi="標楷體"/>
              </w:rPr>
              <w:t>1</w:t>
            </w:r>
            <w:r w:rsidRPr="001B6E4D">
              <w:rPr>
                <w:rFonts w:ascii="標楷體" w:eastAsia="標楷體" w:hAnsi="標楷體" w:hint="eastAsia"/>
              </w:rPr>
              <w:t>-5-22）自司法及法制委員會抽出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BF2896" w:rsidRPr="001B6E4D" w14:paraId="195558FC" w14:textId="77777777" w:rsidTr="0041172C">
        <w:trPr>
          <w:trHeight w:val="74"/>
        </w:trPr>
        <w:tc>
          <w:tcPr>
            <w:tcW w:w="709" w:type="dxa"/>
            <w:tcMar>
              <w:top w:w="85" w:type="dxa"/>
              <w:bottom w:w="85" w:type="dxa"/>
            </w:tcMar>
          </w:tcPr>
          <w:p w14:paraId="2D4502FF"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4B90C203"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color w:val="000000"/>
              </w:rPr>
              <w:t>毒品危害防制條例部分條文修正草案</w:t>
            </w:r>
          </w:p>
        </w:tc>
        <w:tc>
          <w:tcPr>
            <w:tcW w:w="2268" w:type="dxa"/>
            <w:tcMar>
              <w:top w:w="85" w:type="dxa"/>
              <w:bottom w:w="85" w:type="dxa"/>
            </w:tcMar>
          </w:tcPr>
          <w:p w14:paraId="0B6FC19D"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委員林思銘</w:t>
            </w:r>
          </w:p>
          <w:p w14:paraId="59635350"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等21人</w:t>
            </w:r>
          </w:p>
          <w:p w14:paraId="52801581"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115.07.31</w:t>
            </w:r>
          </w:p>
          <w:p w14:paraId="16C5CFDB"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rPr>
              <w:t>（11-5-20）</w:t>
            </w:r>
          </w:p>
        </w:tc>
        <w:tc>
          <w:tcPr>
            <w:tcW w:w="3685" w:type="dxa"/>
            <w:tcMar>
              <w:top w:w="85" w:type="dxa"/>
              <w:bottom w:w="85" w:type="dxa"/>
            </w:tcMar>
          </w:tcPr>
          <w:p w14:paraId="3DC3BDCE"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5.8.14（1</w:t>
            </w:r>
            <w:r w:rsidRPr="001B6E4D">
              <w:rPr>
                <w:rFonts w:ascii="標楷體" w:eastAsia="標楷體" w:hAnsi="標楷體"/>
              </w:rPr>
              <w:t>1</w:t>
            </w:r>
            <w:r w:rsidRPr="001B6E4D">
              <w:rPr>
                <w:rFonts w:ascii="標楷體" w:eastAsia="標楷體" w:hAnsi="標楷體" w:hint="eastAsia"/>
              </w:rPr>
              <w:t>-5-22）自司法及法制委員會抽出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BF2896" w:rsidRPr="001B6E4D" w14:paraId="7BE39657" w14:textId="77777777" w:rsidTr="0041172C">
        <w:trPr>
          <w:trHeight w:val="74"/>
        </w:trPr>
        <w:tc>
          <w:tcPr>
            <w:tcW w:w="709" w:type="dxa"/>
            <w:tcMar>
              <w:top w:w="85" w:type="dxa"/>
              <w:bottom w:w="85" w:type="dxa"/>
            </w:tcMar>
          </w:tcPr>
          <w:p w14:paraId="7A438A85"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0C25FB64"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中華民國刑法第一百八十五條之三條文修正草案</w:t>
            </w:r>
          </w:p>
        </w:tc>
        <w:tc>
          <w:tcPr>
            <w:tcW w:w="2268" w:type="dxa"/>
            <w:tcMar>
              <w:top w:w="85" w:type="dxa"/>
              <w:bottom w:w="85" w:type="dxa"/>
            </w:tcMar>
          </w:tcPr>
          <w:p w14:paraId="2829F489"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委員呂玉玲</w:t>
            </w:r>
          </w:p>
          <w:p w14:paraId="6C96F100"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等16人</w:t>
            </w:r>
          </w:p>
          <w:p w14:paraId="75A886E8"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115.0</w:t>
            </w:r>
            <w:r w:rsidRPr="001B6E4D">
              <w:rPr>
                <w:rFonts w:ascii="標楷體" w:eastAsia="標楷體" w:hAnsi="標楷體" w:hint="eastAsia"/>
                <w:color w:val="000000"/>
              </w:rPr>
              <w:t>8</w:t>
            </w:r>
            <w:r w:rsidRPr="001B6E4D">
              <w:rPr>
                <w:rFonts w:ascii="標楷體" w:eastAsia="標楷體" w:hAnsi="標楷體"/>
                <w:color w:val="000000"/>
              </w:rPr>
              <w:t>.</w:t>
            </w:r>
            <w:r w:rsidRPr="001B6E4D">
              <w:rPr>
                <w:rFonts w:ascii="標楷體" w:eastAsia="標楷體" w:hAnsi="標楷體" w:hint="eastAsia"/>
                <w:color w:val="000000"/>
              </w:rPr>
              <w:t>2</w:t>
            </w:r>
            <w:r w:rsidRPr="001B6E4D">
              <w:rPr>
                <w:rFonts w:ascii="標楷體" w:eastAsia="標楷體" w:hAnsi="標楷體"/>
                <w:color w:val="000000"/>
              </w:rPr>
              <w:t>1</w:t>
            </w:r>
          </w:p>
          <w:p w14:paraId="5D4C6080"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23</w:t>
            </w:r>
            <w:r w:rsidRPr="001B6E4D">
              <w:rPr>
                <w:rFonts w:ascii="標楷體" w:eastAsia="標楷體" w:hAnsi="標楷體"/>
                <w:color w:val="000000"/>
              </w:rPr>
              <w:t>）</w:t>
            </w:r>
          </w:p>
        </w:tc>
        <w:tc>
          <w:tcPr>
            <w:tcW w:w="3685" w:type="dxa"/>
            <w:tcMar>
              <w:top w:w="85" w:type="dxa"/>
              <w:bottom w:w="85" w:type="dxa"/>
            </w:tcMar>
          </w:tcPr>
          <w:p w14:paraId="561EEFD5"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5.8.21（1</w:t>
            </w:r>
            <w:r w:rsidRPr="001B6E4D">
              <w:rPr>
                <w:rFonts w:ascii="標楷體" w:eastAsia="標楷體" w:hAnsi="標楷體"/>
              </w:rPr>
              <w:t>1</w:t>
            </w:r>
            <w:r w:rsidRPr="001B6E4D">
              <w:rPr>
                <w:rFonts w:ascii="標楷體" w:eastAsia="標楷體" w:hAnsi="標楷體" w:hint="eastAsia"/>
              </w:rPr>
              <w:t>-5-23）</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BF2896" w:rsidRPr="001B6E4D" w14:paraId="31898726" w14:textId="77777777" w:rsidTr="0041172C">
        <w:trPr>
          <w:trHeight w:val="74"/>
        </w:trPr>
        <w:tc>
          <w:tcPr>
            <w:tcW w:w="709" w:type="dxa"/>
            <w:tcMar>
              <w:top w:w="85" w:type="dxa"/>
              <w:bottom w:w="85" w:type="dxa"/>
            </w:tcMar>
          </w:tcPr>
          <w:p w14:paraId="650B913F"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07D011A8"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陸海空軍刑法第五十四</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5441FF7F"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委員呂玉玲</w:t>
            </w:r>
          </w:p>
          <w:p w14:paraId="02F37E16"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等16人</w:t>
            </w:r>
          </w:p>
          <w:p w14:paraId="5238C864"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115.0</w:t>
            </w:r>
            <w:r w:rsidRPr="001B6E4D">
              <w:rPr>
                <w:rFonts w:ascii="標楷體" w:eastAsia="標楷體" w:hAnsi="標楷體" w:hint="eastAsia"/>
                <w:color w:val="000000"/>
              </w:rPr>
              <w:t>8</w:t>
            </w:r>
            <w:r w:rsidRPr="001B6E4D">
              <w:rPr>
                <w:rFonts w:ascii="標楷體" w:eastAsia="標楷體" w:hAnsi="標楷體"/>
                <w:color w:val="000000"/>
              </w:rPr>
              <w:t>.</w:t>
            </w:r>
            <w:r w:rsidRPr="001B6E4D">
              <w:rPr>
                <w:rFonts w:ascii="標楷體" w:eastAsia="標楷體" w:hAnsi="標楷體" w:hint="eastAsia"/>
                <w:color w:val="000000"/>
              </w:rPr>
              <w:t>2</w:t>
            </w:r>
            <w:r w:rsidRPr="001B6E4D">
              <w:rPr>
                <w:rFonts w:ascii="標楷體" w:eastAsia="標楷體" w:hAnsi="標楷體"/>
                <w:color w:val="000000"/>
              </w:rPr>
              <w:t>1</w:t>
            </w:r>
          </w:p>
          <w:p w14:paraId="676C7939"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23</w:t>
            </w:r>
            <w:r w:rsidRPr="001B6E4D">
              <w:rPr>
                <w:rFonts w:ascii="標楷體" w:eastAsia="標楷體" w:hAnsi="標楷體"/>
                <w:color w:val="000000"/>
              </w:rPr>
              <w:t>）</w:t>
            </w:r>
          </w:p>
        </w:tc>
        <w:tc>
          <w:tcPr>
            <w:tcW w:w="3685" w:type="dxa"/>
            <w:tcMar>
              <w:top w:w="85" w:type="dxa"/>
              <w:bottom w:w="85" w:type="dxa"/>
            </w:tcMar>
          </w:tcPr>
          <w:p w14:paraId="477368D5"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5.8.21（1</w:t>
            </w:r>
            <w:r w:rsidRPr="001B6E4D">
              <w:rPr>
                <w:rFonts w:ascii="標楷體" w:eastAsia="標楷體" w:hAnsi="標楷體"/>
              </w:rPr>
              <w:t>1</w:t>
            </w:r>
            <w:r w:rsidRPr="001B6E4D">
              <w:rPr>
                <w:rFonts w:ascii="標楷體" w:eastAsia="標楷體" w:hAnsi="標楷體" w:hint="eastAsia"/>
              </w:rPr>
              <w:t>-5-23）</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BF2896" w:rsidRPr="001B6E4D" w14:paraId="4FC71F05" w14:textId="77777777" w:rsidTr="0041172C">
        <w:trPr>
          <w:trHeight w:val="74"/>
        </w:trPr>
        <w:tc>
          <w:tcPr>
            <w:tcW w:w="709" w:type="dxa"/>
            <w:tcMar>
              <w:top w:w="85" w:type="dxa"/>
              <w:bottom w:w="85" w:type="dxa"/>
            </w:tcMar>
          </w:tcPr>
          <w:p w14:paraId="0412997F"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589744B3" w14:textId="77777777"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毒品危害防制條例第三十三條及第三十六</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3E335D45"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委員廖先翔</w:t>
            </w:r>
          </w:p>
          <w:p w14:paraId="538DFC87"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等18人</w:t>
            </w:r>
          </w:p>
          <w:p w14:paraId="091DA66E" w14:textId="77777777" w:rsidR="00BF2896" w:rsidRPr="001B6E4D" w:rsidRDefault="00BF2896" w:rsidP="003D1018">
            <w:pPr>
              <w:widowControl w:val="0"/>
              <w:overflowPunct w:val="0"/>
              <w:rPr>
                <w:rFonts w:ascii="標楷體" w:eastAsia="標楷體" w:hAnsi="標楷體"/>
                <w:color w:val="000000"/>
              </w:rPr>
            </w:pPr>
            <w:r w:rsidRPr="001B6E4D">
              <w:rPr>
                <w:rFonts w:ascii="標楷體" w:eastAsia="標楷體" w:hAnsi="標楷體"/>
                <w:color w:val="000000"/>
              </w:rPr>
              <w:t>115.0</w:t>
            </w:r>
            <w:r w:rsidRPr="001B6E4D">
              <w:rPr>
                <w:rFonts w:ascii="標楷體" w:eastAsia="標楷體" w:hAnsi="標楷體" w:hint="eastAsia"/>
                <w:color w:val="000000"/>
              </w:rPr>
              <w:t>8</w:t>
            </w:r>
            <w:r w:rsidRPr="001B6E4D">
              <w:rPr>
                <w:rFonts w:ascii="標楷體" w:eastAsia="標楷體" w:hAnsi="標楷體"/>
                <w:color w:val="000000"/>
              </w:rPr>
              <w:t>.</w:t>
            </w:r>
            <w:r w:rsidRPr="001B6E4D">
              <w:rPr>
                <w:rFonts w:ascii="標楷體" w:eastAsia="標楷體" w:hAnsi="標楷體" w:hint="eastAsia"/>
                <w:color w:val="000000"/>
              </w:rPr>
              <w:t>2</w:t>
            </w:r>
            <w:r w:rsidRPr="001B6E4D">
              <w:rPr>
                <w:rFonts w:ascii="標楷體" w:eastAsia="標楷體" w:hAnsi="標楷體"/>
                <w:color w:val="000000"/>
              </w:rPr>
              <w:t>1</w:t>
            </w:r>
          </w:p>
          <w:p w14:paraId="51868634"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23</w:t>
            </w:r>
            <w:r w:rsidRPr="001B6E4D">
              <w:rPr>
                <w:rFonts w:ascii="標楷體" w:eastAsia="標楷體" w:hAnsi="標楷體"/>
                <w:color w:val="000000"/>
              </w:rPr>
              <w:t>）</w:t>
            </w:r>
          </w:p>
        </w:tc>
        <w:tc>
          <w:tcPr>
            <w:tcW w:w="3685" w:type="dxa"/>
            <w:tcMar>
              <w:top w:w="85" w:type="dxa"/>
              <w:bottom w:w="85" w:type="dxa"/>
            </w:tcMar>
          </w:tcPr>
          <w:p w14:paraId="30D7543B" w14:textId="77777777" w:rsidR="00BF2896" w:rsidRPr="001B6E4D" w:rsidRDefault="00BF2896" w:rsidP="003D1018">
            <w:pPr>
              <w:widowControl w:val="0"/>
              <w:kinsoku w:val="0"/>
              <w:overflowPunct w:val="0"/>
              <w:topLinePunct/>
              <w:autoSpaceDE w:val="0"/>
              <w:autoSpaceDN w:val="0"/>
              <w:spacing w:line="300" w:lineRule="exact"/>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5.8.21（1</w:t>
            </w:r>
            <w:r w:rsidRPr="001B6E4D">
              <w:rPr>
                <w:rFonts w:ascii="標楷體" w:eastAsia="標楷體" w:hAnsi="標楷體"/>
              </w:rPr>
              <w:t>1</w:t>
            </w:r>
            <w:r w:rsidRPr="001B6E4D">
              <w:rPr>
                <w:rFonts w:ascii="標楷體" w:eastAsia="標楷體" w:hAnsi="標楷體" w:hint="eastAsia"/>
              </w:rPr>
              <w:t>-5-23）</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tc>
      </w:tr>
      <w:tr w:rsidR="00BF2896" w:rsidRPr="001B6E4D" w14:paraId="228970C7" w14:textId="77777777" w:rsidTr="0041172C">
        <w:trPr>
          <w:trHeight w:val="74"/>
        </w:trPr>
        <w:tc>
          <w:tcPr>
            <w:tcW w:w="709" w:type="dxa"/>
            <w:tcMar>
              <w:top w:w="85" w:type="dxa"/>
              <w:bottom w:w="85" w:type="dxa"/>
            </w:tcMar>
          </w:tcPr>
          <w:p w14:paraId="24FDD683"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391B354F" w14:textId="7704239A"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中華民國刑法部分條文修正草案</w:t>
            </w:r>
          </w:p>
        </w:tc>
        <w:tc>
          <w:tcPr>
            <w:tcW w:w="2268" w:type="dxa"/>
            <w:tcMar>
              <w:top w:w="85" w:type="dxa"/>
              <w:bottom w:w="85" w:type="dxa"/>
            </w:tcMar>
          </w:tcPr>
          <w:p w14:paraId="63D8E9BE"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行政院、</w:t>
            </w:r>
          </w:p>
          <w:p w14:paraId="138C1A42"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司法院</w:t>
            </w:r>
          </w:p>
          <w:p w14:paraId="00D80F9A"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114.12.12</w:t>
            </w:r>
          </w:p>
          <w:p w14:paraId="7BDB2E34"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hint="eastAsia"/>
                <w:color w:val="000000"/>
                <w:kern w:val="0"/>
              </w:rPr>
              <w:t>（11-4-13）</w:t>
            </w:r>
          </w:p>
        </w:tc>
        <w:tc>
          <w:tcPr>
            <w:tcW w:w="3685" w:type="dxa"/>
            <w:tcMar>
              <w:top w:w="85" w:type="dxa"/>
              <w:bottom w:w="85" w:type="dxa"/>
            </w:tcMar>
          </w:tcPr>
          <w:p w14:paraId="228887FD"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1.院會115.3.6（11-5-2）自司法及法制委員會抽出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p w14:paraId="6AD5C71B"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2.115.3.11黨團協商。</w:t>
            </w:r>
          </w:p>
          <w:p w14:paraId="26443A9D"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w:t>
            </w:r>
            <w:r w:rsidRPr="001B6E4D">
              <w:rPr>
                <w:rFonts w:ascii="標楷體" w:eastAsia="標楷體" w:hAnsi="標楷體"/>
              </w:rPr>
              <w:t>115.3.13(11-5-3)</w:t>
            </w:r>
            <w:r w:rsidRPr="001B6E4D">
              <w:rPr>
                <w:rFonts w:ascii="標楷體" w:eastAsia="標楷體" w:hAnsi="標楷體" w:hint="eastAsia"/>
              </w:rPr>
              <w:t>三讀增訂第七十八條之</w:t>
            </w:r>
            <w:proofErr w:type="gramStart"/>
            <w:r w:rsidRPr="001B6E4D">
              <w:rPr>
                <w:rFonts w:ascii="標楷體" w:eastAsia="標楷體" w:hAnsi="標楷體" w:hint="eastAsia"/>
              </w:rPr>
              <w:t>一</w:t>
            </w:r>
            <w:proofErr w:type="gramEnd"/>
            <w:r w:rsidRPr="001B6E4D">
              <w:rPr>
                <w:rFonts w:ascii="標楷體" w:eastAsia="標楷體" w:hAnsi="標楷體" w:hint="eastAsia"/>
              </w:rPr>
              <w:t>及七十八條之二條文；並修正第七十九條之</w:t>
            </w:r>
            <w:proofErr w:type="gramStart"/>
            <w:r w:rsidRPr="001B6E4D">
              <w:rPr>
                <w:rFonts w:ascii="標楷體" w:eastAsia="標楷體" w:hAnsi="標楷體" w:hint="eastAsia"/>
              </w:rPr>
              <w:t>一</w:t>
            </w:r>
            <w:proofErr w:type="gramEnd"/>
            <w:r w:rsidRPr="001B6E4D">
              <w:rPr>
                <w:rFonts w:ascii="標楷體" w:eastAsia="標楷體" w:hAnsi="標楷體" w:hint="eastAsia"/>
              </w:rPr>
              <w:t>條文。</w:t>
            </w:r>
          </w:p>
        </w:tc>
      </w:tr>
      <w:tr w:rsidR="00BF2896" w:rsidRPr="001B6E4D" w14:paraId="051FE0F7" w14:textId="77777777" w:rsidTr="0041172C">
        <w:trPr>
          <w:trHeight w:val="74"/>
        </w:trPr>
        <w:tc>
          <w:tcPr>
            <w:tcW w:w="709" w:type="dxa"/>
            <w:tcMar>
              <w:top w:w="85" w:type="dxa"/>
              <w:bottom w:w="85" w:type="dxa"/>
            </w:tcMar>
          </w:tcPr>
          <w:p w14:paraId="0DB850AC"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72FB89CF" w14:textId="6FEE7A88"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中華民國刑法第七十八條之一、第七十八條之二及第七十九條之</w:t>
            </w:r>
            <w:proofErr w:type="gramStart"/>
            <w:r w:rsidRPr="001B6E4D">
              <w:rPr>
                <w:rFonts w:ascii="標楷體" w:eastAsia="標楷體" w:hAnsi="標楷體" w:hint="eastAsia"/>
                <w:color w:val="000000"/>
              </w:rPr>
              <w:t>一</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12CA116D" w14:textId="77777777" w:rsidR="00755AE4"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委員沈伯洋</w:t>
            </w:r>
          </w:p>
          <w:p w14:paraId="36E2B44C" w14:textId="2ED093FD"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等18人</w:t>
            </w:r>
          </w:p>
          <w:p w14:paraId="322BA93E" w14:textId="77777777" w:rsidR="00BF2896" w:rsidRPr="001B6E4D" w:rsidRDefault="00BF2896" w:rsidP="003D1018">
            <w:pPr>
              <w:widowControl w:val="0"/>
              <w:overflowPunct w:val="0"/>
              <w:topLinePunct/>
              <w:spacing w:line="360" w:lineRule="exact"/>
              <w:rPr>
                <w:rFonts w:ascii="標楷體" w:eastAsia="標楷體" w:hAnsi="標楷體"/>
                <w:color w:val="000000"/>
                <w:kern w:val="0"/>
              </w:rPr>
            </w:pPr>
            <w:r w:rsidRPr="001B6E4D">
              <w:rPr>
                <w:rFonts w:ascii="標楷體" w:eastAsia="標楷體" w:hAnsi="標楷體" w:hint="eastAsia"/>
                <w:color w:val="000000"/>
                <w:kern w:val="0"/>
              </w:rPr>
              <w:t>115.03.13</w:t>
            </w:r>
          </w:p>
          <w:p w14:paraId="50087D00"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hint="eastAsia"/>
                <w:color w:val="000000"/>
                <w:kern w:val="0"/>
              </w:rPr>
              <w:t>（11-5-3）</w:t>
            </w:r>
          </w:p>
        </w:tc>
        <w:tc>
          <w:tcPr>
            <w:tcW w:w="3685" w:type="dxa"/>
            <w:tcMar>
              <w:top w:w="85" w:type="dxa"/>
              <w:bottom w:w="85" w:type="dxa"/>
            </w:tcMar>
          </w:tcPr>
          <w:p w14:paraId="70B03BCB"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1.院會115.3.13（11-5-3）</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案討論。</w:t>
            </w:r>
          </w:p>
          <w:p w14:paraId="33F2CFEF"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2.院會</w:t>
            </w:r>
            <w:r w:rsidRPr="001B6E4D">
              <w:rPr>
                <w:rFonts w:ascii="標楷體" w:eastAsia="標楷體" w:hAnsi="標楷體"/>
              </w:rPr>
              <w:t>115.3.13(11-5-3)</w:t>
            </w:r>
            <w:r w:rsidRPr="001B6E4D">
              <w:rPr>
                <w:rFonts w:ascii="標楷體" w:eastAsia="標楷體" w:hAnsi="標楷體" w:hint="eastAsia"/>
              </w:rPr>
              <w:t>三讀增訂第七十八條之</w:t>
            </w:r>
            <w:proofErr w:type="gramStart"/>
            <w:r w:rsidRPr="001B6E4D">
              <w:rPr>
                <w:rFonts w:ascii="標楷體" w:eastAsia="標楷體" w:hAnsi="標楷體" w:hint="eastAsia"/>
              </w:rPr>
              <w:t>一</w:t>
            </w:r>
            <w:proofErr w:type="gramEnd"/>
            <w:r w:rsidRPr="001B6E4D">
              <w:rPr>
                <w:rFonts w:ascii="標楷體" w:eastAsia="標楷體" w:hAnsi="標楷體" w:hint="eastAsia"/>
              </w:rPr>
              <w:t>及七十八條之二條文；並修正第七十九條之</w:t>
            </w:r>
            <w:proofErr w:type="gramStart"/>
            <w:r w:rsidRPr="001B6E4D">
              <w:rPr>
                <w:rFonts w:ascii="標楷體" w:eastAsia="標楷體" w:hAnsi="標楷體" w:hint="eastAsia"/>
              </w:rPr>
              <w:t>一</w:t>
            </w:r>
            <w:proofErr w:type="gramEnd"/>
            <w:r w:rsidRPr="001B6E4D">
              <w:rPr>
                <w:rFonts w:ascii="標楷體" w:eastAsia="標楷體" w:hAnsi="標楷體" w:hint="eastAsia"/>
              </w:rPr>
              <w:t>條文。</w:t>
            </w:r>
          </w:p>
        </w:tc>
      </w:tr>
      <w:tr w:rsidR="00BF2896" w:rsidRPr="001B6E4D" w14:paraId="15E0DFD6" w14:textId="77777777" w:rsidTr="0041172C">
        <w:trPr>
          <w:trHeight w:val="74"/>
        </w:trPr>
        <w:tc>
          <w:tcPr>
            <w:tcW w:w="709" w:type="dxa"/>
            <w:tcMar>
              <w:top w:w="85" w:type="dxa"/>
              <w:bottom w:w="85" w:type="dxa"/>
            </w:tcMar>
          </w:tcPr>
          <w:p w14:paraId="33060EBE"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0A704C8B" w14:textId="602B99C0"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中華民國刑法施行法第七條之二、第七條之三及第七條之四條文修正草案</w:t>
            </w:r>
          </w:p>
        </w:tc>
        <w:tc>
          <w:tcPr>
            <w:tcW w:w="2268" w:type="dxa"/>
            <w:tcMar>
              <w:top w:w="85" w:type="dxa"/>
              <w:bottom w:w="85" w:type="dxa"/>
            </w:tcMar>
          </w:tcPr>
          <w:p w14:paraId="113528D8"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行政院、</w:t>
            </w:r>
          </w:p>
          <w:p w14:paraId="3F6CB0B9"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司法院</w:t>
            </w:r>
          </w:p>
          <w:p w14:paraId="47C48345"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114.12.12</w:t>
            </w:r>
          </w:p>
          <w:p w14:paraId="58ECD4A4"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hint="eastAsia"/>
                <w:color w:val="000000"/>
                <w:kern w:val="0"/>
              </w:rPr>
              <w:t>（11-4-13）</w:t>
            </w:r>
          </w:p>
        </w:tc>
        <w:tc>
          <w:tcPr>
            <w:tcW w:w="3685" w:type="dxa"/>
            <w:tcMar>
              <w:top w:w="85" w:type="dxa"/>
              <w:bottom w:w="85" w:type="dxa"/>
            </w:tcMar>
          </w:tcPr>
          <w:p w14:paraId="10A68AF9"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1.院會115.3.6（11-5-2）自司法及法制委員會抽出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p w14:paraId="602E1B71"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2.115.3.11黨團協商。</w:t>
            </w:r>
          </w:p>
          <w:p w14:paraId="63DFA59A"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w:t>
            </w:r>
            <w:r w:rsidRPr="001B6E4D">
              <w:rPr>
                <w:rFonts w:ascii="標楷體" w:eastAsia="標楷體" w:hAnsi="標楷體"/>
              </w:rPr>
              <w:t>115.3.13(11-5-3)</w:t>
            </w:r>
            <w:r w:rsidRPr="001B6E4D">
              <w:rPr>
                <w:rFonts w:ascii="標楷體" w:eastAsia="標楷體" w:hAnsi="標楷體" w:hint="eastAsia"/>
              </w:rPr>
              <w:t>三讀增訂第七條之三條文；並修正第七條之二條文。</w:t>
            </w:r>
          </w:p>
        </w:tc>
      </w:tr>
      <w:tr w:rsidR="00BF2896" w:rsidRPr="001B6E4D" w14:paraId="54CC4CE9" w14:textId="77777777" w:rsidTr="0041172C">
        <w:trPr>
          <w:trHeight w:val="74"/>
        </w:trPr>
        <w:tc>
          <w:tcPr>
            <w:tcW w:w="709" w:type="dxa"/>
            <w:tcMar>
              <w:top w:w="85" w:type="dxa"/>
              <w:bottom w:w="85" w:type="dxa"/>
            </w:tcMar>
          </w:tcPr>
          <w:p w14:paraId="6EF7D4E1"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34AEA829" w14:textId="0031B4DA"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中華民國刑法施行法第七條之二及第</w:t>
            </w:r>
            <w:r w:rsidRPr="001B6E4D">
              <w:rPr>
                <w:rFonts w:ascii="標楷體" w:eastAsia="標楷體" w:hAnsi="標楷體" w:hint="eastAsia"/>
                <w:color w:val="000000"/>
              </w:rPr>
              <w:lastRenderedPageBreak/>
              <w:t>七條之三條文修正草案</w:t>
            </w:r>
          </w:p>
        </w:tc>
        <w:tc>
          <w:tcPr>
            <w:tcW w:w="2268" w:type="dxa"/>
            <w:tcMar>
              <w:top w:w="85" w:type="dxa"/>
              <w:bottom w:w="85" w:type="dxa"/>
            </w:tcMar>
          </w:tcPr>
          <w:p w14:paraId="64680E94" w14:textId="77777777" w:rsidR="00755AE4"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lastRenderedPageBreak/>
              <w:t>委員沈伯洋</w:t>
            </w:r>
          </w:p>
          <w:p w14:paraId="2B760071" w14:textId="6D0B4522"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等17人</w:t>
            </w:r>
          </w:p>
          <w:p w14:paraId="68FBB6D4" w14:textId="77777777" w:rsidR="00BF2896" w:rsidRPr="001B6E4D" w:rsidRDefault="00BF2896" w:rsidP="003D1018">
            <w:pPr>
              <w:widowControl w:val="0"/>
              <w:overflowPunct w:val="0"/>
              <w:topLinePunct/>
              <w:spacing w:line="360" w:lineRule="exact"/>
              <w:rPr>
                <w:rFonts w:ascii="標楷體" w:eastAsia="標楷體" w:hAnsi="標楷體"/>
                <w:color w:val="000000"/>
                <w:kern w:val="0"/>
              </w:rPr>
            </w:pPr>
            <w:r w:rsidRPr="001B6E4D">
              <w:rPr>
                <w:rFonts w:ascii="標楷體" w:eastAsia="標楷體" w:hAnsi="標楷體" w:hint="eastAsia"/>
                <w:color w:val="000000"/>
                <w:kern w:val="0"/>
              </w:rPr>
              <w:lastRenderedPageBreak/>
              <w:t>115.03.13</w:t>
            </w:r>
          </w:p>
          <w:p w14:paraId="1BA1E3AC"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hint="eastAsia"/>
                <w:color w:val="000000"/>
                <w:kern w:val="0"/>
              </w:rPr>
              <w:t>（11-5-3）</w:t>
            </w:r>
          </w:p>
        </w:tc>
        <w:tc>
          <w:tcPr>
            <w:tcW w:w="3685" w:type="dxa"/>
            <w:tcMar>
              <w:top w:w="85" w:type="dxa"/>
              <w:bottom w:w="85" w:type="dxa"/>
            </w:tcMar>
          </w:tcPr>
          <w:p w14:paraId="2CA7EC3E"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lastRenderedPageBreak/>
              <w:t>1.院會115.3.13（11-5-3）</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案討論。</w:t>
            </w:r>
          </w:p>
          <w:p w14:paraId="411EC730"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lastRenderedPageBreak/>
              <w:t>2.院會</w:t>
            </w:r>
            <w:r w:rsidRPr="001B6E4D">
              <w:rPr>
                <w:rFonts w:ascii="標楷體" w:eastAsia="標楷體" w:hAnsi="標楷體"/>
              </w:rPr>
              <w:t>115.3.13(11-5-3)</w:t>
            </w:r>
            <w:r w:rsidRPr="001B6E4D">
              <w:rPr>
                <w:rFonts w:ascii="標楷體" w:eastAsia="標楷體" w:hAnsi="標楷體" w:hint="eastAsia"/>
              </w:rPr>
              <w:t>三讀增訂第七條之三條文；並修正第七條之二條文。</w:t>
            </w:r>
          </w:p>
        </w:tc>
      </w:tr>
      <w:tr w:rsidR="00BF2896" w:rsidRPr="001B6E4D" w14:paraId="0B5DAC44" w14:textId="77777777" w:rsidTr="0041172C">
        <w:trPr>
          <w:trHeight w:val="74"/>
        </w:trPr>
        <w:tc>
          <w:tcPr>
            <w:tcW w:w="709" w:type="dxa"/>
            <w:tcMar>
              <w:top w:w="85" w:type="dxa"/>
              <w:bottom w:w="85" w:type="dxa"/>
            </w:tcMar>
          </w:tcPr>
          <w:p w14:paraId="3CAF63A2"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2F8E014A" w14:textId="53C8FD24"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民法第一千二百二十三</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75D439A3"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委員謝龍介</w:t>
            </w:r>
          </w:p>
          <w:p w14:paraId="69B42689"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等16人</w:t>
            </w:r>
          </w:p>
          <w:p w14:paraId="3F374D95"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4</w:t>
            </w:r>
            <w:r w:rsidRPr="001B6E4D">
              <w:rPr>
                <w:rFonts w:ascii="標楷體" w:eastAsia="標楷體" w:hAnsi="標楷體"/>
                <w:color w:val="000000"/>
                <w:kern w:val="0"/>
              </w:rPr>
              <w:t>.</w:t>
            </w:r>
            <w:r w:rsidRPr="001B6E4D">
              <w:rPr>
                <w:rFonts w:ascii="標楷體" w:eastAsia="標楷體" w:hAnsi="標楷體" w:hint="eastAsia"/>
                <w:color w:val="000000"/>
                <w:kern w:val="0"/>
              </w:rPr>
              <w:t>10</w:t>
            </w:r>
          </w:p>
          <w:p w14:paraId="47A8119D"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kern w:val="0"/>
              </w:rPr>
              <w:t>（11-5-</w:t>
            </w:r>
            <w:r w:rsidRPr="001B6E4D">
              <w:rPr>
                <w:rFonts w:ascii="標楷體" w:eastAsia="標楷體" w:hAnsi="標楷體" w:hint="eastAsia"/>
                <w:color w:val="000000"/>
                <w:kern w:val="0"/>
              </w:rPr>
              <w:t>6</w:t>
            </w:r>
            <w:r w:rsidRPr="001B6E4D">
              <w:rPr>
                <w:rFonts w:ascii="標楷體" w:eastAsia="標楷體" w:hAnsi="標楷體"/>
                <w:color w:val="000000"/>
                <w:kern w:val="0"/>
              </w:rPr>
              <w:t>）</w:t>
            </w:r>
          </w:p>
        </w:tc>
        <w:tc>
          <w:tcPr>
            <w:tcW w:w="3685" w:type="dxa"/>
            <w:tcMar>
              <w:top w:w="85" w:type="dxa"/>
              <w:bottom w:w="85" w:type="dxa"/>
            </w:tcMar>
          </w:tcPr>
          <w:p w14:paraId="15B88EA0"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5.4.10（1</w:t>
            </w:r>
            <w:r w:rsidRPr="001B6E4D">
              <w:rPr>
                <w:rFonts w:ascii="標楷體" w:eastAsia="標楷體" w:hAnsi="標楷體"/>
              </w:rPr>
              <w:t>1</w:t>
            </w:r>
            <w:r w:rsidRPr="001B6E4D">
              <w:rPr>
                <w:rFonts w:ascii="標楷體" w:eastAsia="標楷體" w:hAnsi="標楷體" w:hint="eastAsia"/>
              </w:rPr>
              <w:t>-5-6）</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64445AC0"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2.115.6.2黨團協商。</w:t>
            </w:r>
          </w:p>
          <w:p w14:paraId="2D5A74A8"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3.115.7.9黨團協商。</w:t>
            </w:r>
          </w:p>
          <w:p w14:paraId="023A2302"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115.7.28(11-5-19)</w:t>
            </w:r>
            <w:r w:rsidRPr="001B6E4D">
              <w:rPr>
                <w:rFonts w:ascii="標楷體" w:eastAsia="標楷體" w:hAnsi="標楷體" w:hint="eastAsia"/>
              </w:rPr>
              <w:t>三讀修正第一千二百二十三條條文。</w:t>
            </w:r>
          </w:p>
        </w:tc>
      </w:tr>
      <w:tr w:rsidR="00BF2896" w:rsidRPr="001B6E4D" w14:paraId="2A958C34" w14:textId="77777777" w:rsidTr="0041172C">
        <w:trPr>
          <w:trHeight w:val="74"/>
        </w:trPr>
        <w:tc>
          <w:tcPr>
            <w:tcW w:w="709" w:type="dxa"/>
            <w:tcMar>
              <w:top w:w="85" w:type="dxa"/>
              <w:bottom w:w="85" w:type="dxa"/>
            </w:tcMar>
          </w:tcPr>
          <w:p w14:paraId="23A66A73"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424E7BA9" w14:textId="20638C26"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民法第一千二百二十三</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57EACE55"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委員林思銘</w:t>
            </w:r>
          </w:p>
          <w:p w14:paraId="65FA836B"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等16人</w:t>
            </w:r>
          </w:p>
          <w:p w14:paraId="56909954"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4</w:t>
            </w:r>
            <w:r w:rsidRPr="001B6E4D">
              <w:rPr>
                <w:rFonts w:ascii="標楷體" w:eastAsia="標楷體" w:hAnsi="標楷體"/>
                <w:color w:val="000000"/>
                <w:kern w:val="0"/>
              </w:rPr>
              <w:t>.</w:t>
            </w:r>
            <w:r w:rsidRPr="001B6E4D">
              <w:rPr>
                <w:rFonts w:ascii="標楷體" w:eastAsia="標楷體" w:hAnsi="標楷體" w:hint="eastAsia"/>
                <w:color w:val="000000"/>
                <w:kern w:val="0"/>
              </w:rPr>
              <w:t>10</w:t>
            </w:r>
          </w:p>
          <w:p w14:paraId="04571638"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kern w:val="0"/>
              </w:rPr>
              <w:t>（11-5-</w:t>
            </w:r>
            <w:r w:rsidRPr="001B6E4D">
              <w:rPr>
                <w:rFonts w:ascii="標楷體" w:eastAsia="標楷體" w:hAnsi="標楷體" w:hint="eastAsia"/>
                <w:color w:val="000000"/>
                <w:kern w:val="0"/>
              </w:rPr>
              <w:t>6</w:t>
            </w:r>
            <w:r w:rsidRPr="001B6E4D">
              <w:rPr>
                <w:rFonts w:ascii="標楷體" w:eastAsia="標楷體" w:hAnsi="標楷體"/>
                <w:color w:val="000000"/>
                <w:kern w:val="0"/>
              </w:rPr>
              <w:t>）</w:t>
            </w:r>
          </w:p>
        </w:tc>
        <w:tc>
          <w:tcPr>
            <w:tcW w:w="3685" w:type="dxa"/>
            <w:tcMar>
              <w:top w:w="85" w:type="dxa"/>
              <w:bottom w:w="85" w:type="dxa"/>
            </w:tcMar>
          </w:tcPr>
          <w:p w14:paraId="1BFC08A2"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5.4.10（1</w:t>
            </w:r>
            <w:r w:rsidRPr="001B6E4D">
              <w:rPr>
                <w:rFonts w:ascii="標楷體" w:eastAsia="標楷體" w:hAnsi="標楷體"/>
              </w:rPr>
              <w:t>1</w:t>
            </w:r>
            <w:r w:rsidRPr="001B6E4D">
              <w:rPr>
                <w:rFonts w:ascii="標楷體" w:eastAsia="標楷體" w:hAnsi="標楷體" w:hint="eastAsia"/>
              </w:rPr>
              <w:t>-5-6）</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2EE401B9"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2.115.6.2黨團協商。</w:t>
            </w:r>
          </w:p>
          <w:p w14:paraId="7C22EBFF"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3.115.7.9黨團協商。</w:t>
            </w:r>
          </w:p>
          <w:p w14:paraId="62C49503"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115.7.28(11-5-19)</w:t>
            </w:r>
            <w:r w:rsidRPr="001B6E4D">
              <w:rPr>
                <w:rFonts w:ascii="標楷體" w:eastAsia="標楷體" w:hAnsi="標楷體" w:hint="eastAsia"/>
              </w:rPr>
              <w:t>三讀修正第一千二百二十三條條文。</w:t>
            </w:r>
          </w:p>
        </w:tc>
      </w:tr>
      <w:tr w:rsidR="00BF2896" w:rsidRPr="001B6E4D" w14:paraId="0032809F" w14:textId="77777777" w:rsidTr="0041172C">
        <w:trPr>
          <w:trHeight w:val="74"/>
        </w:trPr>
        <w:tc>
          <w:tcPr>
            <w:tcW w:w="709" w:type="dxa"/>
            <w:tcMar>
              <w:top w:w="85" w:type="dxa"/>
              <w:bottom w:w="85" w:type="dxa"/>
            </w:tcMar>
          </w:tcPr>
          <w:p w14:paraId="463060E3"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4901AE92" w14:textId="01723533"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民法第一千二百二十三</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條文修正草案</w:t>
            </w:r>
          </w:p>
        </w:tc>
        <w:tc>
          <w:tcPr>
            <w:tcW w:w="2268" w:type="dxa"/>
            <w:tcMar>
              <w:top w:w="85" w:type="dxa"/>
              <w:bottom w:w="85" w:type="dxa"/>
            </w:tcMar>
          </w:tcPr>
          <w:p w14:paraId="6092E32A"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台灣民眾</w:t>
            </w:r>
            <w:proofErr w:type="gramStart"/>
            <w:r w:rsidRPr="001B6E4D">
              <w:rPr>
                <w:rFonts w:ascii="標楷體" w:eastAsia="標楷體" w:hAnsi="標楷體" w:hint="eastAsia"/>
                <w:color w:val="000000"/>
                <w:kern w:val="0"/>
              </w:rPr>
              <w:t>黨</w:t>
            </w:r>
            <w:proofErr w:type="gramEnd"/>
            <w:r w:rsidRPr="001B6E4D">
              <w:rPr>
                <w:rFonts w:ascii="標楷體" w:eastAsia="標楷體" w:hAnsi="標楷體" w:hint="eastAsia"/>
                <w:color w:val="000000"/>
                <w:kern w:val="0"/>
              </w:rPr>
              <w:t>黨團</w:t>
            </w:r>
          </w:p>
          <w:p w14:paraId="7E21B113"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4</w:t>
            </w:r>
            <w:r w:rsidRPr="001B6E4D">
              <w:rPr>
                <w:rFonts w:ascii="標楷體" w:eastAsia="標楷體" w:hAnsi="標楷體"/>
                <w:color w:val="000000"/>
                <w:kern w:val="0"/>
              </w:rPr>
              <w:t>.</w:t>
            </w:r>
            <w:r w:rsidRPr="001B6E4D">
              <w:rPr>
                <w:rFonts w:ascii="標楷體" w:eastAsia="標楷體" w:hAnsi="標楷體" w:hint="eastAsia"/>
                <w:color w:val="000000"/>
                <w:kern w:val="0"/>
              </w:rPr>
              <w:t>24</w:t>
            </w:r>
          </w:p>
          <w:p w14:paraId="6D93188A"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kern w:val="0"/>
              </w:rPr>
              <w:t>（11-5-</w:t>
            </w:r>
            <w:r w:rsidRPr="001B6E4D">
              <w:rPr>
                <w:rFonts w:ascii="標楷體" w:eastAsia="標楷體" w:hAnsi="標楷體" w:hint="eastAsia"/>
                <w:color w:val="000000"/>
                <w:kern w:val="0"/>
              </w:rPr>
              <w:t>8</w:t>
            </w:r>
            <w:r w:rsidRPr="001B6E4D">
              <w:rPr>
                <w:rFonts w:ascii="標楷體" w:eastAsia="標楷體" w:hAnsi="標楷體"/>
                <w:color w:val="000000"/>
                <w:kern w:val="0"/>
              </w:rPr>
              <w:t>）</w:t>
            </w:r>
          </w:p>
        </w:tc>
        <w:tc>
          <w:tcPr>
            <w:tcW w:w="3685" w:type="dxa"/>
            <w:tcMar>
              <w:top w:w="85" w:type="dxa"/>
              <w:bottom w:w="85" w:type="dxa"/>
            </w:tcMar>
          </w:tcPr>
          <w:p w14:paraId="3F21630A"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5.4.24（1</w:t>
            </w:r>
            <w:r w:rsidRPr="001B6E4D">
              <w:rPr>
                <w:rFonts w:ascii="標楷體" w:eastAsia="標楷體" w:hAnsi="標楷體"/>
              </w:rPr>
              <w:t>1</w:t>
            </w:r>
            <w:r w:rsidRPr="001B6E4D">
              <w:rPr>
                <w:rFonts w:ascii="標楷體" w:eastAsia="標楷體" w:hAnsi="標楷體" w:hint="eastAsia"/>
              </w:rPr>
              <w:t>-5-8）</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7EE148AD"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2.115.6.2黨團協商。</w:t>
            </w:r>
          </w:p>
          <w:p w14:paraId="23AE1115"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3.115.7.9黨團協商。</w:t>
            </w:r>
          </w:p>
          <w:p w14:paraId="67D20C66"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4.院會</w:t>
            </w:r>
            <w:r w:rsidRPr="001B6E4D">
              <w:rPr>
                <w:rFonts w:ascii="標楷體" w:eastAsia="標楷體" w:hAnsi="標楷體"/>
              </w:rPr>
              <w:t>115.7.28(11-5-19)</w:t>
            </w:r>
            <w:r w:rsidRPr="001B6E4D">
              <w:rPr>
                <w:rFonts w:ascii="標楷體" w:eastAsia="標楷體" w:hAnsi="標楷體" w:hint="eastAsia"/>
              </w:rPr>
              <w:t>三讀修正第一千二百二十三條條文。</w:t>
            </w:r>
          </w:p>
        </w:tc>
      </w:tr>
      <w:tr w:rsidR="00BF2896" w:rsidRPr="001B6E4D" w14:paraId="42C43DA9" w14:textId="77777777" w:rsidTr="0041172C">
        <w:trPr>
          <w:trHeight w:val="74"/>
        </w:trPr>
        <w:tc>
          <w:tcPr>
            <w:tcW w:w="709" w:type="dxa"/>
            <w:tcMar>
              <w:top w:w="85" w:type="dxa"/>
              <w:bottom w:w="85" w:type="dxa"/>
            </w:tcMar>
          </w:tcPr>
          <w:p w14:paraId="2C7D05E4"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5357C329" w14:textId="33AC0403"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民法部分條文修正草案</w:t>
            </w:r>
          </w:p>
        </w:tc>
        <w:tc>
          <w:tcPr>
            <w:tcW w:w="2268" w:type="dxa"/>
            <w:tcMar>
              <w:top w:w="85" w:type="dxa"/>
              <w:bottom w:w="85" w:type="dxa"/>
            </w:tcMar>
          </w:tcPr>
          <w:p w14:paraId="68E6E11F"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委員莊瑞雄</w:t>
            </w:r>
          </w:p>
          <w:p w14:paraId="7C574B4F"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等17人</w:t>
            </w:r>
          </w:p>
          <w:p w14:paraId="3BF108DD"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w:t>
            </w:r>
            <w:r w:rsidRPr="001B6E4D">
              <w:rPr>
                <w:rFonts w:ascii="標楷體" w:eastAsia="標楷體" w:hAnsi="標楷體" w:hint="eastAsia"/>
                <w:color w:val="000000"/>
                <w:kern w:val="0"/>
              </w:rPr>
              <w:t>06</w:t>
            </w:r>
            <w:r w:rsidRPr="001B6E4D">
              <w:rPr>
                <w:rFonts w:ascii="標楷體" w:eastAsia="標楷體" w:hAnsi="標楷體"/>
                <w:color w:val="000000"/>
                <w:kern w:val="0"/>
              </w:rPr>
              <w:t>.</w:t>
            </w:r>
            <w:r w:rsidRPr="001B6E4D">
              <w:rPr>
                <w:rFonts w:ascii="標楷體" w:eastAsia="標楷體" w:hAnsi="標楷體" w:hint="eastAsia"/>
                <w:color w:val="000000"/>
                <w:kern w:val="0"/>
              </w:rPr>
              <w:t>12</w:t>
            </w:r>
          </w:p>
          <w:p w14:paraId="28EDE72B"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kern w:val="0"/>
              </w:rP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14</w:t>
            </w:r>
            <w:r w:rsidRPr="001B6E4D">
              <w:rPr>
                <w:rFonts w:ascii="標楷體" w:eastAsia="標楷體" w:hAnsi="標楷體"/>
                <w:color w:val="000000"/>
                <w:kern w:val="0"/>
              </w:rPr>
              <w:t>）</w:t>
            </w:r>
          </w:p>
        </w:tc>
        <w:tc>
          <w:tcPr>
            <w:tcW w:w="3685" w:type="dxa"/>
            <w:tcMar>
              <w:top w:w="85" w:type="dxa"/>
              <w:bottom w:w="85" w:type="dxa"/>
            </w:tcMar>
          </w:tcPr>
          <w:p w14:paraId="49CA3124"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5.6.12（1</w:t>
            </w:r>
            <w:r w:rsidRPr="001B6E4D">
              <w:rPr>
                <w:rFonts w:ascii="標楷體" w:eastAsia="標楷體" w:hAnsi="標楷體"/>
              </w:rPr>
              <w:t>1</w:t>
            </w:r>
            <w:r w:rsidRPr="001B6E4D">
              <w:rPr>
                <w:rFonts w:ascii="標楷體" w:eastAsia="標楷體" w:hAnsi="標楷體" w:hint="eastAsia"/>
              </w:rPr>
              <w:t>-5-14）</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6CCC07B8"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2.115.7.9黨團協商。</w:t>
            </w:r>
          </w:p>
          <w:p w14:paraId="6A510F48"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w:t>
            </w:r>
            <w:r w:rsidRPr="001B6E4D">
              <w:rPr>
                <w:rFonts w:ascii="標楷體" w:eastAsia="標楷體" w:hAnsi="標楷體"/>
              </w:rPr>
              <w:t>115.7.28(11-5-19)</w:t>
            </w:r>
            <w:r w:rsidRPr="001B6E4D">
              <w:rPr>
                <w:rFonts w:ascii="標楷體" w:eastAsia="標楷體" w:hAnsi="標楷體" w:hint="eastAsia"/>
              </w:rPr>
              <w:t>三讀修正第一千二百二十三條條文。</w:t>
            </w:r>
          </w:p>
        </w:tc>
      </w:tr>
      <w:tr w:rsidR="00BF2896" w:rsidRPr="001B6E4D" w14:paraId="1AF0B1AE" w14:textId="77777777" w:rsidTr="0041172C">
        <w:trPr>
          <w:trHeight w:val="74"/>
        </w:trPr>
        <w:tc>
          <w:tcPr>
            <w:tcW w:w="709" w:type="dxa"/>
            <w:tcMar>
              <w:top w:w="85" w:type="dxa"/>
              <w:bottom w:w="85" w:type="dxa"/>
            </w:tcMar>
          </w:tcPr>
          <w:p w14:paraId="7D7E4393"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6FF34DAB" w14:textId="3FA0038E"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民法部分條文修正草案</w:t>
            </w:r>
          </w:p>
        </w:tc>
        <w:tc>
          <w:tcPr>
            <w:tcW w:w="2268" w:type="dxa"/>
            <w:tcMar>
              <w:top w:w="85" w:type="dxa"/>
              <w:bottom w:w="85" w:type="dxa"/>
            </w:tcMar>
          </w:tcPr>
          <w:p w14:paraId="63F78F48"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委員張雅琳</w:t>
            </w:r>
          </w:p>
          <w:p w14:paraId="2B40A83B"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等16人</w:t>
            </w:r>
          </w:p>
          <w:p w14:paraId="6A82A890"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w:t>
            </w:r>
            <w:r w:rsidRPr="001B6E4D">
              <w:rPr>
                <w:rFonts w:ascii="標楷體" w:eastAsia="標楷體" w:hAnsi="標楷體" w:hint="eastAsia"/>
                <w:color w:val="000000"/>
                <w:kern w:val="0"/>
              </w:rPr>
              <w:t>06</w:t>
            </w:r>
            <w:r w:rsidRPr="001B6E4D">
              <w:rPr>
                <w:rFonts w:ascii="標楷體" w:eastAsia="標楷體" w:hAnsi="標楷體"/>
                <w:color w:val="000000"/>
                <w:kern w:val="0"/>
              </w:rPr>
              <w:t>.</w:t>
            </w:r>
            <w:r w:rsidRPr="001B6E4D">
              <w:rPr>
                <w:rFonts w:ascii="標楷體" w:eastAsia="標楷體" w:hAnsi="標楷體" w:hint="eastAsia"/>
                <w:color w:val="000000"/>
                <w:kern w:val="0"/>
              </w:rPr>
              <w:t>26</w:t>
            </w:r>
          </w:p>
          <w:p w14:paraId="318980F1"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kern w:val="0"/>
              </w:rPr>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15</w:t>
            </w:r>
            <w:r w:rsidRPr="001B6E4D">
              <w:rPr>
                <w:rFonts w:ascii="標楷體" w:eastAsia="標楷體" w:hAnsi="標楷體"/>
                <w:color w:val="000000"/>
                <w:kern w:val="0"/>
              </w:rPr>
              <w:t>）</w:t>
            </w:r>
          </w:p>
        </w:tc>
        <w:tc>
          <w:tcPr>
            <w:tcW w:w="3685" w:type="dxa"/>
            <w:tcMar>
              <w:top w:w="85" w:type="dxa"/>
              <w:bottom w:w="85" w:type="dxa"/>
            </w:tcMar>
          </w:tcPr>
          <w:p w14:paraId="03247539"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w:t>
            </w:r>
            <w:r w:rsidRPr="001B6E4D">
              <w:rPr>
                <w:rFonts w:ascii="標楷體" w:eastAsia="標楷體" w:hAnsi="標楷體"/>
              </w:rPr>
              <w:t>1</w:t>
            </w:r>
            <w:r w:rsidRPr="001B6E4D">
              <w:rPr>
                <w:rFonts w:ascii="標楷體" w:eastAsia="標楷體" w:hAnsi="標楷體" w:hint="eastAsia"/>
              </w:rPr>
              <w:t>5.6.26（1</w:t>
            </w:r>
            <w:r w:rsidRPr="001B6E4D">
              <w:rPr>
                <w:rFonts w:ascii="標楷體" w:eastAsia="標楷體" w:hAnsi="標楷體"/>
              </w:rPr>
              <w:t>1</w:t>
            </w:r>
            <w:r w:rsidRPr="001B6E4D">
              <w:rPr>
                <w:rFonts w:ascii="標楷體" w:eastAsia="標楷體" w:hAnsi="標楷體" w:hint="eastAsia"/>
              </w:rPr>
              <w:t>-5-15）</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28B1ACC1"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2.115.7.9黨團協商。</w:t>
            </w:r>
          </w:p>
          <w:p w14:paraId="433D1F90"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w:t>
            </w:r>
            <w:r w:rsidRPr="001B6E4D">
              <w:rPr>
                <w:rFonts w:ascii="標楷體" w:eastAsia="標楷體" w:hAnsi="標楷體"/>
              </w:rPr>
              <w:t>115.7.28(11-5-19)</w:t>
            </w:r>
            <w:r w:rsidRPr="001B6E4D">
              <w:rPr>
                <w:rFonts w:ascii="標楷體" w:eastAsia="標楷體" w:hAnsi="標楷體" w:hint="eastAsia"/>
              </w:rPr>
              <w:t>三讀修正第一千二百二十三條條文。</w:t>
            </w:r>
          </w:p>
        </w:tc>
      </w:tr>
      <w:tr w:rsidR="00BF2896" w:rsidRPr="001B6E4D" w14:paraId="041367F4" w14:textId="77777777" w:rsidTr="0041172C">
        <w:trPr>
          <w:trHeight w:val="74"/>
        </w:trPr>
        <w:tc>
          <w:tcPr>
            <w:tcW w:w="709" w:type="dxa"/>
            <w:tcMar>
              <w:top w:w="85" w:type="dxa"/>
              <w:bottom w:w="85" w:type="dxa"/>
            </w:tcMar>
          </w:tcPr>
          <w:p w14:paraId="1EDD15F0" w14:textId="77777777" w:rsidR="00BF2896" w:rsidRPr="001B6E4D" w:rsidRDefault="00BF2896" w:rsidP="003D1018">
            <w:pPr>
              <w:widowControl w:val="0"/>
              <w:numPr>
                <w:ilvl w:val="0"/>
                <w:numId w:val="30"/>
              </w:numPr>
              <w:overflowPunct w:val="0"/>
              <w:adjustRightInd w:val="0"/>
              <w:snapToGrid w:val="0"/>
              <w:spacing w:line="300" w:lineRule="exact"/>
              <w:jc w:val="center"/>
              <w:rPr>
                <w:rFonts w:ascii="標楷體" w:eastAsia="標楷體" w:hAnsi="標楷體"/>
                <w:color w:val="000000"/>
              </w:rPr>
            </w:pPr>
          </w:p>
        </w:tc>
        <w:tc>
          <w:tcPr>
            <w:tcW w:w="2127" w:type="dxa"/>
            <w:tcMar>
              <w:top w:w="85" w:type="dxa"/>
              <w:bottom w:w="85" w:type="dxa"/>
            </w:tcMar>
          </w:tcPr>
          <w:p w14:paraId="229F54BB" w14:textId="5E3EFD5C" w:rsidR="00BF2896" w:rsidRPr="001B6E4D" w:rsidRDefault="00BF2896" w:rsidP="003D1018">
            <w:pPr>
              <w:widowControl w:val="0"/>
              <w:kinsoku w:val="0"/>
              <w:overflowPunct w:val="0"/>
              <w:spacing w:line="300" w:lineRule="exact"/>
              <w:ind w:rightChars="-45" w:right="-108"/>
              <w:rPr>
                <w:rFonts w:ascii="標楷體" w:eastAsia="標楷體" w:hAnsi="標楷體"/>
                <w:color w:val="000000"/>
              </w:rPr>
            </w:pPr>
            <w:r w:rsidRPr="001B6E4D">
              <w:rPr>
                <w:rFonts w:ascii="標楷體" w:eastAsia="標楷體" w:hAnsi="標楷體" w:hint="eastAsia"/>
                <w:color w:val="000000"/>
              </w:rPr>
              <w:t>民法部分條文修正草案</w:t>
            </w:r>
          </w:p>
        </w:tc>
        <w:tc>
          <w:tcPr>
            <w:tcW w:w="2268" w:type="dxa"/>
            <w:tcMar>
              <w:top w:w="85" w:type="dxa"/>
              <w:bottom w:w="85" w:type="dxa"/>
            </w:tcMar>
          </w:tcPr>
          <w:p w14:paraId="55825AC8"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委員鄭天財</w:t>
            </w:r>
          </w:p>
          <w:p w14:paraId="04E18420"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proofErr w:type="spellStart"/>
            <w:r w:rsidRPr="001B6E4D">
              <w:rPr>
                <w:rFonts w:ascii="標楷體" w:eastAsia="標楷體" w:hAnsi="標楷體" w:hint="eastAsia"/>
                <w:color w:val="000000"/>
                <w:kern w:val="0"/>
              </w:rPr>
              <w:t>Sra</w:t>
            </w:r>
            <w:proofErr w:type="spellEnd"/>
            <w:r w:rsidRPr="001B6E4D">
              <w:rPr>
                <w:rFonts w:ascii="標楷體" w:eastAsia="標楷體" w:hAnsi="標楷體" w:hint="eastAsia"/>
                <w:color w:val="000000"/>
                <w:kern w:val="0"/>
              </w:rPr>
              <w:t xml:space="preserve"> </w:t>
            </w:r>
            <w:proofErr w:type="spellStart"/>
            <w:r w:rsidRPr="001B6E4D">
              <w:rPr>
                <w:rFonts w:ascii="標楷體" w:eastAsia="標楷體" w:hAnsi="標楷體" w:hint="eastAsia"/>
                <w:color w:val="000000"/>
                <w:kern w:val="0"/>
              </w:rPr>
              <w:t>Kacaw</w:t>
            </w:r>
            <w:proofErr w:type="spellEnd"/>
          </w:p>
          <w:p w14:paraId="5A966E74"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hint="eastAsia"/>
                <w:color w:val="000000"/>
                <w:kern w:val="0"/>
              </w:rPr>
              <w:t>等17人</w:t>
            </w:r>
          </w:p>
          <w:p w14:paraId="58184622" w14:textId="77777777" w:rsidR="00BF2896" w:rsidRPr="001B6E4D" w:rsidRDefault="00BF2896" w:rsidP="003D1018">
            <w:pPr>
              <w:widowControl w:val="0"/>
              <w:kinsoku w:val="0"/>
              <w:overflowPunct w:val="0"/>
              <w:topLinePunct/>
              <w:spacing w:line="300" w:lineRule="exact"/>
              <w:rPr>
                <w:rFonts w:ascii="標楷體" w:eastAsia="標楷體" w:hAnsi="標楷體"/>
                <w:color w:val="000000"/>
                <w:kern w:val="0"/>
              </w:rPr>
            </w:pPr>
            <w:r w:rsidRPr="001B6E4D">
              <w:rPr>
                <w:rFonts w:ascii="標楷體" w:eastAsia="標楷體" w:hAnsi="標楷體"/>
                <w:color w:val="000000"/>
                <w:kern w:val="0"/>
              </w:rPr>
              <w:t>115.</w:t>
            </w:r>
            <w:r w:rsidRPr="001B6E4D">
              <w:rPr>
                <w:rFonts w:ascii="標楷體" w:eastAsia="標楷體" w:hAnsi="標楷體" w:hint="eastAsia"/>
                <w:color w:val="000000"/>
                <w:kern w:val="0"/>
              </w:rPr>
              <w:t>07</w:t>
            </w:r>
            <w:r w:rsidRPr="001B6E4D">
              <w:rPr>
                <w:rFonts w:ascii="標楷體" w:eastAsia="標楷體" w:hAnsi="標楷體"/>
                <w:color w:val="000000"/>
                <w:kern w:val="0"/>
              </w:rPr>
              <w:t>.</w:t>
            </w:r>
            <w:r w:rsidRPr="001B6E4D">
              <w:rPr>
                <w:rFonts w:ascii="標楷體" w:eastAsia="標楷體" w:hAnsi="標楷體" w:hint="eastAsia"/>
                <w:color w:val="000000"/>
                <w:kern w:val="0"/>
              </w:rPr>
              <w:t>14</w:t>
            </w:r>
          </w:p>
          <w:p w14:paraId="36477911" w14:textId="77777777" w:rsidR="00BF2896" w:rsidRPr="001B6E4D" w:rsidRDefault="00BF2896" w:rsidP="003D1018">
            <w:pPr>
              <w:widowControl w:val="0"/>
              <w:overflowPunct w:val="0"/>
              <w:adjustRightInd w:val="0"/>
              <w:snapToGrid w:val="0"/>
              <w:spacing w:line="300" w:lineRule="exact"/>
              <w:rPr>
                <w:rFonts w:ascii="標楷體" w:eastAsia="標楷體" w:hAnsi="標楷體"/>
                <w:color w:val="000000"/>
              </w:rPr>
            </w:pPr>
            <w:r w:rsidRPr="001B6E4D">
              <w:rPr>
                <w:rFonts w:ascii="標楷體" w:eastAsia="標楷體" w:hAnsi="標楷體"/>
                <w:color w:val="000000"/>
                <w:kern w:val="0"/>
              </w:rPr>
              <w:lastRenderedPageBreak/>
              <w:t>（11-</w:t>
            </w:r>
            <w:r w:rsidRPr="001B6E4D">
              <w:rPr>
                <w:rFonts w:ascii="標楷體" w:eastAsia="標楷體" w:hAnsi="標楷體" w:hint="eastAsia"/>
                <w:color w:val="000000"/>
                <w:kern w:val="0"/>
              </w:rPr>
              <w:t>5</w:t>
            </w:r>
            <w:r w:rsidRPr="001B6E4D">
              <w:rPr>
                <w:rFonts w:ascii="標楷體" w:eastAsia="標楷體" w:hAnsi="標楷體"/>
                <w:color w:val="000000"/>
                <w:kern w:val="0"/>
              </w:rPr>
              <w:t>-</w:t>
            </w:r>
            <w:r w:rsidRPr="001B6E4D">
              <w:rPr>
                <w:rFonts w:ascii="標楷體" w:eastAsia="標楷體" w:hAnsi="標楷體" w:hint="eastAsia"/>
                <w:color w:val="000000"/>
                <w:kern w:val="0"/>
              </w:rPr>
              <w:t>17</w:t>
            </w:r>
            <w:r w:rsidRPr="001B6E4D">
              <w:rPr>
                <w:rFonts w:ascii="標楷體" w:eastAsia="標楷體" w:hAnsi="標楷體"/>
                <w:color w:val="000000"/>
                <w:kern w:val="0"/>
              </w:rPr>
              <w:t>）</w:t>
            </w:r>
          </w:p>
        </w:tc>
        <w:tc>
          <w:tcPr>
            <w:tcW w:w="3685" w:type="dxa"/>
            <w:tcMar>
              <w:top w:w="85" w:type="dxa"/>
              <w:bottom w:w="85" w:type="dxa"/>
            </w:tcMar>
          </w:tcPr>
          <w:p w14:paraId="6EFC5E89"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lastRenderedPageBreak/>
              <w:t>1.院會1</w:t>
            </w:r>
            <w:r w:rsidRPr="001B6E4D">
              <w:rPr>
                <w:rFonts w:ascii="標楷體" w:eastAsia="標楷體" w:hAnsi="標楷體"/>
              </w:rPr>
              <w:t>1</w:t>
            </w:r>
            <w:r w:rsidRPr="001B6E4D">
              <w:rPr>
                <w:rFonts w:ascii="標楷體" w:eastAsia="標楷體" w:hAnsi="標楷體" w:hint="eastAsia"/>
              </w:rPr>
              <w:t>5.7.14（1</w:t>
            </w:r>
            <w:r w:rsidRPr="001B6E4D">
              <w:rPr>
                <w:rFonts w:ascii="標楷體" w:eastAsia="標楷體" w:hAnsi="標楷體"/>
              </w:rPr>
              <w:t>1</w:t>
            </w:r>
            <w:r w:rsidRPr="001B6E4D">
              <w:rPr>
                <w:rFonts w:ascii="標楷體" w:eastAsia="標楷體" w:hAnsi="標楷體" w:hint="eastAsia"/>
              </w:rPr>
              <w:t>-5-17）</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付二讀，與相關提案</w:t>
            </w:r>
            <w:proofErr w:type="gramStart"/>
            <w:r w:rsidRPr="001B6E4D">
              <w:rPr>
                <w:rFonts w:ascii="標楷體" w:eastAsia="標楷體" w:hAnsi="標楷體" w:hint="eastAsia"/>
              </w:rPr>
              <w:t>併</w:t>
            </w:r>
            <w:proofErr w:type="gramEnd"/>
            <w:r w:rsidRPr="001B6E4D">
              <w:rPr>
                <w:rFonts w:ascii="標楷體" w:eastAsia="標楷體" w:hAnsi="標楷體" w:hint="eastAsia"/>
              </w:rPr>
              <w:t>案協商。</w:t>
            </w:r>
          </w:p>
          <w:p w14:paraId="62C3940B" w14:textId="77777777" w:rsidR="00BF2896" w:rsidRPr="001B6E4D" w:rsidRDefault="00BF2896"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2.院會</w:t>
            </w:r>
            <w:r w:rsidRPr="001B6E4D">
              <w:rPr>
                <w:rFonts w:ascii="標楷體" w:eastAsia="標楷體" w:hAnsi="標楷體"/>
              </w:rPr>
              <w:t>115.7.28(11-5-19)</w:t>
            </w:r>
            <w:r w:rsidRPr="001B6E4D">
              <w:rPr>
                <w:rFonts w:ascii="標楷體" w:eastAsia="標楷體" w:hAnsi="標楷體" w:hint="eastAsia"/>
              </w:rPr>
              <w:t>三讀</w:t>
            </w:r>
            <w:r w:rsidRPr="001B6E4D">
              <w:rPr>
                <w:rFonts w:ascii="標楷體" w:eastAsia="標楷體" w:hAnsi="標楷體" w:hint="eastAsia"/>
              </w:rPr>
              <w:lastRenderedPageBreak/>
              <w:t>修正第一千二百二十三條條文。</w:t>
            </w:r>
          </w:p>
        </w:tc>
      </w:tr>
    </w:tbl>
    <w:p w14:paraId="5C534073" w14:textId="77777777" w:rsidR="00CF2199" w:rsidRPr="001B6E4D" w:rsidRDefault="00F96A69" w:rsidP="003D1018">
      <w:pPr>
        <w:pStyle w:val="affffff0"/>
        <w:overflowPunct w:val="0"/>
        <w:spacing w:before="180" w:after="180"/>
        <w:outlineLvl w:val="1"/>
        <w:rPr>
          <w:color w:val="000000" w:themeColor="text1"/>
        </w:rPr>
      </w:pPr>
      <w:bookmarkStart w:id="418" w:name="_Toc240446576"/>
      <w:r w:rsidRPr="001B6E4D">
        <w:rPr>
          <w:color w:val="000000" w:themeColor="text1"/>
        </w:rPr>
        <w:lastRenderedPageBreak/>
        <w:t>［</w:t>
      </w:r>
      <w:r w:rsidRPr="001B6E4D">
        <w:rPr>
          <w:rFonts w:hint="eastAsia"/>
          <w:color w:val="000000" w:themeColor="text1"/>
        </w:rPr>
        <w:t>貳</w:t>
      </w:r>
      <w:r w:rsidRPr="001B6E4D">
        <w:rPr>
          <w:color w:val="000000" w:themeColor="text1"/>
        </w:rPr>
        <w:t>］</w:t>
      </w:r>
      <w:r w:rsidRPr="001B6E4D">
        <w:rPr>
          <w:rFonts w:hint="eastAsia"/>
          <w:color w:val="000000" w:themeColor="text1"/>
        </w:rPr>
        <w:t>其他議</w:t>
      </w:r>
      <w:r w:rsidRPr="001B6E4D">
        <w:rPr>
          <w:color w:val="000000" w:themeColor="text1"/>
        </w:rPr>
        <w:t>案</w:t>
      </w:r>
      <w:r w:rsidRPr="001B6E4D">
        <w:rPr>
          <w:rFonts w:hint="eastAsia"/>
          <w:color w:val="000000" w:themeColor="text1"/>
        </w:rPr>
        <w:t>10案</w:t>
      </w:r>
      <w:bookmarkEnd w:id="418"/>
    </w:p>
    <w:tbl>
      <w:tblPr>
        <w:tblW w:w="8789" w:type="dxa"/>
        <w:tblInd w:w="-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578"/>
        <w:gridCol w:w="4111"/>
        <w:gridCol w:w="2126"/>
        <w:gridCol w:w="1974"/>
      </w:tblGrid>
      <w:tr w:rsidR="002F016E" w:rsidRPr="001B6E4D" w14:paraId="2FF5E3FD" w14:textId="77777777" w:rsidTr="002F016E">
        <w:tc>
          <w:tcPr>
            <w:tcW w:w="578" w:type="dxa"/>
            <w:tcMar>
              <w:top w:w="85" w:type="dxa"/>
              <w:bottom w:w="85" w:type="dxa"/>
            </w:tcMar>
            <w:vAlign w:val="center"/>
          </w:tcPr>
          <w:p w14:paraId="00DC5ED6" w14:textId="77777777" w:rsidR="00CF2199" w:rsidRPr="001B6E4D" w:rsidRDefault="00CF2199"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b/>
                <w:color w:val="000000"/>
                <w:kern w:val="0"/>
              </w:rPr>
              <w:t>序號</w:t>
            </w:r>
          </w:p>
        </w:tc>
        <w:tc>
          <w:tcPr>
            <w:tcW w:w="4111" w:type="dxa"/>
            <w:tcMar>
              <w:top w:w="85" w:type="dxa"/>
              <w:bottom w:w="85" w:type="dxa"/>
            </w:tcMar>
            <w:vAlign w:val="center"/>
          </w:tcPr>
          <w:p w14:paraId="212EF02A" w14:textId="77777777" w:rsidR="00CF2199" w:rsidRPr="001B6E4D" w:rsidRDefault="00CF2199"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b/>
                <w:color w:val="000000"/>
                <w:kern w:val="0"/>
              </w:rPr>
              <w:t>議案名稱</w:t>
            </w:r>
          </w:p>
        </w:tc>
        <w:tc>
          <w:tcPr>
            <w:tcW w:w="2126" w:type="dxa"/>
            <w:tcMar>
              <w:top w:w="85" w:type="dxa"/>
              <w:bottom w:w="85" w:type="dxa"/>
            </w:tcMar>
            <w:vAlign w:val="center"/>
          </w:tcPr>
          <w:p w14:paraId="20C04C7C" w14:textId="4F8EADB2" w:rsidR="00CF2199" w:rsidRPr="001B6E4D" w:rsidRDefault="00CF2199"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b/>
                <w:color w:val="000000"/>
                <w:kern w:val="0"/>
              </w:rPr>
              <w:t>提案委員或機關</w:t>
            </w:r>
          </w:p>
          <w:p w14:paraId="0C42EC22" w14:textId="77777777" w:rsidR="00CF2199" w:rsidRPr="001B6E4D" w:rsidRDefault="00CF2199"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b/>
                <w:color w:val="000000"/>
                <w:kern w:val="0"/>
              </w:rPr>
              <w:t>院會</w:t>
            </w:r>
            <w:proofErr w:type="gramStart"/>
            <w:r w:rsidRPr="001B6E4D">
              <w:rPr>
                <w:rFonts w:ascii="標楷體" w:eastAsia="標楷體" w:hAnsi="標楷體"/>
                <w:b/>
                <w:color w:val="000000"/>
                <w:kern w:val="0"/>
              </w:rPr>
              <w:t>逕</w:t>
            </w:r>
            <w:proofErr w:type="gramEnd"/>
            <w:r w:rsidRPr="001B6E4D">
              <w:rPr>
                <w:rFonts w:ascii="標楷體" w:eastAsia="標楷體" w:hAnsi="標楷體"/>
                <w:b/>
                <w:color w:val="000000"/>
                <w:kern w:val="0"/>
              </w:rPr>
              <w:t>付二讀日期（會次）</w:t>
            </w:r>
          </w:p>
        </w:tc>
        <w:tc>
          <w:tcPr>
            <w:tcW w:w="1974" w:type="dxa"/>
            <w:tcMar>
              <w:top w:w="85" w:type="dxa"/>
              <w:bottom w:w="85" w:type="dxa"/>
            </w:tcMar>
            <w:vAlign w:val="center"/>
          </w:tcPr>
          <w:p w14:paraId="7E697D39" w14:textId="77777777" w:rsidR="00CF2199" w:rsidRPr="001B6E4D" w:rsidRDefault="00CF2199" w:rsidP="003D1018">
            <w:pPr>
              <w:widowControl w:val="0"/>
              <w:overflowPunct w:val="0"/>
              <w:adjustRightInd w:val="0"/>
              <w:snapToGrid w:val="0"/>
              <w:spacing w:line="280" w:lineRule="exact"/>
              <w:ind w:left="240" w:hangingChars="100" w:hanging="240"/>
              <w:jc w:val="center"/>
              <w:textAlignment w:val="baseline"/>
              <w:rPr>
                <w:rFonts w:ascii="標楷體" w:eastAsia="標楷體" w:hAnsi="標楷體"/>
                <w:b/>
                <w:color w:val="000000"/>
                <w:kern w:val="0"/>
              </w:rPr>
            </w:pPr>
            <w:r w:rsidRPr="001B6E4D">
              <w:rPr>
                <w:rFonts w:ascii="標楷體" w:eastAsia="標楷體" w:hAnsi="標楷體" w:hint="eastAsia"/>
                <w:b/>
                <w:color w:val="000000"/>
              </w:rPr>
              <w:t>處理、審議</w:t>
            </w:r>
            <w:r w:rsidRPr="001B6E4D">
              <w:rPr>
                <w:rFonts w:ascii="標楷體" w:eastAsia="標楷體" w:hAnsi="標楷體"/>
                <w:b/>
                <w:color w:val="000000"/>
                <w:kern w:val="0"/>
              </w:rPr>
              <w:t>情形</w:t>
            </w:r>
          </w:p>
        </w:tc>
      </w:tr>
      <w:tr w:rsidR="00CF2199" w:rsidRPr="001B6E4D" w14:paraId="1EFE2C98" w14:textId="77777777" w:rsidTr="002F016E">
        <w:trPr>
          <w:trHeight w:val="74"/>
        </w:trPr>
        <w:tc>
          <w:tcPr>
            <w:tcW w:w="578" w:type="dxa"/>
            <w:tcMar>
              <w:top w:w="85" w:type="dxa"/>
              <w:bottom w:w="85" w:type="dxa"/>
            </w:tcMar>
          </w:tcPr>
          <w:p w14:paraId="07382EEA" w14:textId="77777777" w:rsidR="00CF2199" w:rsidRPr="001B6E4D" w:rsidRDefault="00CF2199" w:rsidP="003D1018">
            <w:pPr>
              <w:widowControl w:val="0"/>
              <w:overflowPunct w:val="0"/>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t>1</w:t>
            </w:r>
          </w:p>
        </w:tc>
        <w:tc>
          <w:tcPr>
            <w:tcW w:w="4111" w:type="dxa"/>
            <w:tcMar>
              <w:top w:w="85" w:type="dxa"/>
              <w:bottom w:w="85" w:type="dxa"/>
            </w:tcMar>
          </w:tcPr>
          <w:p w14:paraId="116C7DDC"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color w:val="000000"/>
              </w:rPr>
            </w:pPr>
            <w:r w:rsidRPr="001B6E4D">
              <w:rPr>
                <w:rFonts w:ascii="標楷體" w:eastAsia="標楷體" w:hAnsi="標楷體" w:hint="eastAsia"/>
                <w:color w:val="000000"/>
              </w:rPr>
              <w:t>有</w:t>
            </w:r>
            <w:proofErr w:type="gramStart"/>
            <w:r w:rsidRPr="001B6E4D">
              <w:rPr>
                <w:rFonts w:ascii="標楷體" w:eastAsia="標楷體" w:hAnsi="標楷體" w:hint="eastAsia"/>
                <w:color w:val="000000"/>
              </w:rPr>
              <w:t>鑑</w:t>
            </w:r>
            <w:proofErr w:type="gramEnd"/>
            <w:r w:rsidRPr="001B6E4D">
              <w:rPr>
                <w:rFonts w:ascii="標楷體" w:eastAsia="標楷體" w:hAnsi="標楷體" w:hint="eastAsia"/>
                <w:color w:val="000000"/>
              </w:rPr>
              <w:t>於本院於113年7月16日三讀通過「國家通訊傳播委員會組織法」第四</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條文修正案，「刪除通傳會委員延任條款」，總統業已公布。又，修正條文三讀通過時本院亦作成附帶決議略</w:t>
            </w:r>
            <w:proofErr w:type="gramStart"/>
            <w:r w:rsidRPr="001B6E4D">
              <w:rPr>
                <w:rFonts w:ascii="標楷體" w:eastAsia="標楷體" w:hAnsi="標楷體" w:hint="eastAsia"/>
                <w:color w:val="000000"/>
              </w:rPr>
              <w:t>以</w:t>
            </w:r>
            <w:proofErr w:type="gramEnd"/>
            <w:r w:rsidRPr="001B6E4D">
              <w:rPr>
                <w:rFonts w:ascii="標楷體" w:eastAsia="標楷體" w:hAnsi="標楷體" w:hint="eastAsia"/>
                <w:color w:val="000000"/>
              </w:rPr>
              <w:t>：「...為維護機關獨立性與公信力，</w:t>
            </w:r>
            <w:proofErr w:type="gramStart"/>
            <w:r w:rsidRPr="001B6E4D">
              <w:rPr>
                <w:rFonts w:ascii="標楷體" w:eastAsia="標楷體" w:hAnsi="標楷體" w:hint="eastAsia"/>
                <w:color w:val="000000"/>
              </w:rPr>
              <w:t>爰</w:t>
            </w:r>
            <w:proofErr w:type="gramEnd"/>
            <w:r w:rsidRPr="001B6E4D">
              <w:rPr>
                <w:rFonts w:ascii="標楷體" w:eastAsia="標楷體" w:hAnsi="標楷體" w:hint="eastAsia"/>
                <w:color w:val="000000"/>
              </w:rPr>
              <w:t>要求113年7月任期屆滿之原任委員，應比照陳耀祥主任委員，公開對外宣示，除不再接受行政院提名</w:t>
            </w:r>
            <w:proofErr w:type="gramStart"/>
            <w:r w:rsidRPr="001B6E4D">
              <w:rPr>
                <w:rFonts w:ascii="標楷體" w:eastAsia="標楷體" w:hAnsi="標楷體" w:hint="eastAsia"/>
                <w:color w:val="000000"/>
              </w:rPr>
              <w:t>續任外</w:t>
            </w:r>
            <w:proofErr w:type="gramEnd"/>
            <w:r w:rsidRPr="001B6E4D">
              <w:rPr>
                <w:rFonts w:ascii="標楷體" w:eastAsia="標楷體" w:hAnsi="標楷體" w:hint="eastAsia"/>
                <w:color w:val="000000"/>
              </w:rPr>
              <w:t>，</w:t>
            </w:r>
            <w:proofErr w:type="gramStart"/>
            <w:r w:rsidRPr="001B6E4D">
              <w:rPr>
                <w:rFonts w:ascii="標楷體" w:eastAsia="標楷體" w:hAnsi="標楷體" w:hint="eastAsia"/>
                <w:color w:val="000000"/>
              </w:rPr>
              <w:t>若行</w:t>
            </w:r>
            <w:proofErr w:type="gramEnd"/>
            <w:r w:rsidRPr="001B6E4D">
              <w:rPr>
                <w:rFonts w:ascii="標楷體" w:eastAsia="標楷體" w:hAnsi="標楷體" w:hint="eastAsia"/>
                <w:color w:val="000000"/>
              </w:rPr>
              <w:t>政院於原任委員任期屆滿前未能依</w:t>
            </w:r>
            <w:proofErr w:type="gramStart"/>
            <w:r w:rsidRPr="001B6E4D">
              <w:rPr>
                <w:rFonts w:ascii="標楷體" w:eastAsia="標楷體" w:hAnsi="標楷體" w:hint="eastAsia"/>
                <w:color w:val="000000"/>
              </w:rPr>
              <w:t>規定提任時</w:t>
            </w:r>
            <w:proofErr w:type="gramEnd"/>
            <w:r w:rsidRPr="001B6E4D">
              <w:rPr>
                <w:rFonts w:ascii="標楷體" w:eastAsia="標楷體" w:hAnsi="標楷體" w:hint="eastAsia"/>
                <w:color w:val="000000"/>
              </w:rPr>
              <w:t>，亦不再接受延任，主動辭職以示負責。」然而，行政院卻無視立法院三讀通過之修正條文，悍然表示行政院將於立法院通過NCC新任委員人事審查案，再授權指定新法施行日期，拒</w:t>
            </w:r>
            <w:proofErr w:type="gramStart"/>
            <w:r w:rsidRPr="001B6E4D">
              <w:rPr>
                <w:rFonts w:ascii="標楷體" w:eastAsia="標楷體" w:hAnsi="標楷體" w:hint="eastAsia"/>
                <w:color w:val="000000"/>
              </w:rPr>
              <w:t>不</w:t>
            </w:r>
            <w:proofErr w:type="gramEnd"/>
            <w:r w:rsidRPr="001B6E4D">
              <w:rPr>
                <w:rFonts w:ascii="標楷體" w:eastAsia="標楷體" w:hAnsi="標楷體" w:hint="eastAsia"/>
                <w:color w:val="000000"/>
              </w:rPr>
              <w:t>公告新法施行。與此同時，行政院院長卓榮泰更直接指派翁柏宗委員延任並代理主任委員，意圖使根本不具備通傳會委員資格之翁柏宗成為萬年代理主委。行政院此舉已嚴重破壞法治原則，違背立法院之立法意旨，引發社會譁然。為確保立法院之修法早日生效，防止行政院繼續濫權創造通傳會「萬年代理主委」，</w:t>
            </w:r>
            <w:proofErr w:type="gramStart"/>
            <w:r w:rsidRPr="001B6E4D">
              <w:rPr>
                <w:rFonts w:ascii="標楷體" w:eastAsia="標楷體" w:hAnsi="標楷體" w:hint="eastAsia"/>
                <w:color w:val="000000"/>
              </w:rPr>
              <w:t>爰</w:t>
            </w:r>
            <w:proofErr w:type="gramEnd"/>
            <w:r w:rsidRPr="001B6E4D">
              <w:rPr>
                <w:rFonts w:ascii="標楷體" w:eastAsia="標楷體" w:hAnsi="標楷體" w:hint="eastAsia"/>
                <w:color w:val="000000"/>
              </w:rPr>
              <w:t>建請院會作成決議：「行政院應立即公布施行本院於113年7月16日三讀通過之國家通訊傳播委員會組織法第四</w:t>
            </w:r>
            <w:proofErr w:type="gramStart"/>
            <w:r w:rsidRPr="001B6E4D">
              <w:rPr>
                <w:rFonts w:ascii="標楷體" w:eastAsia="標楷體" w:hAnsi="標楷體" w:hint="eastAsia"/>
                <w:color w:val="000000"/>
              </w:rPr>
              <w:t>條</w:t>
            </w:r>
            <w:proofErr w:type="gramEnd"/>
            <w:r w:rsidRPr="001B6E4D">
              <w:rPr>
                <w:rFonts w:ascii="標楷體" w:eastAsia="標楷體" w:hAnsi="標楷體" w:hint="eastAsia"/>
                <w:color w:val="000000"/>
              </w:rPr>
              <w:t>條文修正案。」是否有當？請公決案。</w:t>
            </w:r>
          </w:p>
        </w:tc>
        <w:tc>
          <w:tcPr>
            <w:tcW w:w="2126" w:type="dxa"/>
            <w:tcMar>
              <w:top w:w="85" w:type="dxa"/>
              <w:bottom w:w="85" w:type="dxa"/>
            </w:tcMar>
          </w:tcPr>
          <w:p w14:paraId="0A2512E7"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台灣民眾</w:t>
            </w:r>
            <w:proofErr w:type="gramStart"/>
            <w:r w:rsidRPr="001B6E4D">
              <w:rPr>
                <w:rFonts w:ascii="標楷體" w:eastAsia="標楷體" w:hAnsi="標楷體" w:hint="eastAsia"/>
                <w:color w:val="000000"/>
              </w:rPr>
              <w:t>黨</w:t>
            </w:r>
            <w:proofErr w:type="gramEnd"/>
            <w:r w:rsidRPr="001B6E4D">
              <w:rPr>
                <w:rFonts w:ascii="標楷體" w:eastAsia="標楷體" w:hAnsi="標楷體" w:hint="eastAsia"/>
                <w:color w:val="000000"/>
              </w:rPr>
              <w:t>黨團</w:t>
            </w:r>
          </w:p>
          <w:p w14:paraId="4B52E150"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113.9.20</w:t>
            </w:r>
          </w:p>
          <w:p w14:paraId="459A9926"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(11-2-1)</w:t>
            </w:r>
          </w:p>
        </w:tc>
        <w:tc>
          <w:tcPr>
            <w:tcW w:w="1974" w:type="dxa"/>
            <w:tcMar>
              <w:top w:w="85" w:type="dxa"/>
              <w:bottom w:w="85" w:type="dxa"/>
            </w:tcMar>
          </w:tcPr>
          <w:p w14:paraId="56F20D89"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3.9.20（1</w:t>
            </w:r>
            <w:r w:rsidRPr="001B6E4D">
              <w:rPr>
                <w:rFonts w:ascii="標楷體" w:eastAsia="標楷體" w:hAnsi="標楷體"/>
              </w:rPr>
              <w:t>1</w:t>
            </w:r>
            <w:r w:rsidRPr="001B6E4D">
              <w:rPr>
                <w:rFonts w:ascii="標楷體" w:eastAsia="標楷體" w:hAnsi="標楷體" w:hint="eastAsia"/>
              </w:rPr>
              <w:t>-2-1）</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tc>
      </w:tr>
      <w:tr w:rsidR="00CF2199" w:rsidRPr="001B6E4D" w14:paraId="77B09DBF" w14:textId="77777777" w:rsidTr="002F016E">
        <w:trPr>
          <w:trHeight w:val="74"/>
        </w:trPr>
        <w:tc>
          <w:tcPr>
            <w:tcW w:w="578" w:type="dxa"/>
            <w:tcMar>
              <w:top w:w="85" w:type="dxa"/>
              <w:bottom w:w="85" w:type="dxa"/>
            </w:tcMar>
          </w:tcPr>
          <w:p w14:paraId="1801854F" w14:textId="77777777" w:rsidR="00CF2199" w:rsidRPr="001B6E4D" w:rsidRDefault="00CF2199" w:rsidP="003D1018">
            <w:pPr>
              <w:widowControl w:val="0"/>
              <w:overflowPunct w:val="0"/>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t>2</w:t>
            </w:r>
          </w:p>
        </w:tc>
        <w:tc>
          <w:tcPr>
            <w:tcW w:w="4111" w:type="dxa"/>
            <w:tcMar>
              <w:top w:w="85" w:type="dxa"/>
              <w:bottom w:w="85" w:type="dxa"/>
            </w:tcMar>
          </w:tcPr>
          <w:p w14:paraId="0D63E31F"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color w:val="000000"/>
              </w:rPr>
            </w:pPr>
            <w:r w:rsidRPr="001B6E4D">
              <w:rPr>
                <w:rFonts w:ascii="標楷體" w:eastAsia="標楷體" w:hAnsi="標楷體" w:hint="eastAsia"/>
                <w:color w:val="000000"/>
              </w:rPr>
              <w:t>為經濟部部長郭智輝於就任部長前疑似涉及不當移轉股權，為嚴肅官</w:t>
            </w:r>
            <w:proofErr w:type="gramStart"/>
            <w:r w:rsidRPr="001B6E4D">
              <w:rPr>
                <w:rFonts w:ascii="標楷體" w:eastAsia="標楷體" w:hAnsi="標楷體" w:hint="eastAsia"/>
                <w:color w:val="000000"/>
              </w:rPr>
              <w:t>箴</w:t>
            </w:r>
            <w:proofErr w:type="gramEnd"/>
            <w:r w:rsidRPr="001B6E4D">
              <w:rPr>
                <w:rFonts w:ascii="標楷體" w:eastAsia="標楷體" w:hAnsi="標楷體" w:hint="eastAsia"/>
                <w:color w:val="000000"/>
              </w:rPr>
              <w:t>及端正政府形象，建請院會成立「郭智輝調查委員會」，調查其是否涉及股權移轉相關弊案。是否有當？請公決案。</w:t>
            </w:r>
          </w:p>
        </w:tc>
        <w:tc>
          <w:tcPr>
            <w:tcW w:w="2126" w:type="dxa"/>
            <w:tcMar>
              <w:top w:w="85" w:type="dxa"/>
              <w:bottom w:w="85" w:type="dxa"/>
            </w:tcMar>
          </w:tcPr>
          <w:p w14:paraId="4C0CD14F"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國民黨黨團</w:t>
            </w:r>
          </w:p>
          <w:p w14:paraId="22C6B49E"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113.11.22</w:t>
            </w:r>
          </w:p>
          <w:p w14:paraId="3C0BE0F9"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(11-2-10)</w:t>
            </w:r>
          </w:p>
        </w:tc>
        <w:tc>
          <w:tcPr>
            <w:tcW w:w="1974" w:type="dxa"/>
            <w:tcMar>
              <w:top w:w="85" w:type="dxa"/>
              <w:bottom w:w="85" w:type="dxa"/>
            </w:tcMar>
          </w:tcPr>
          <w:p w14:paraId="2EC2868D"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3.11.22（1</w:t>
            </w:r>
            <w:r w:rsidRPr="001B6E4D">
              <w:rPr>
                <w:rFonts w:ascii="標楷體" w:eastAsia="標楷體" w:hAnsi="標楷體"/>
              </w:rPr>
              <w:t>1</w:t>
            </w:r>
            <w:r w:rsidRPr="001B6E4D">
              <w:rPr>
                <w:rFonts w:ascii="標楷體" w:eastAsia="標楷體" w:hAnsi="標楷體" w:hint="eastAsia"/>
              </w:rPr>
              <w:t>-2-10）</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tc>
      </w:tr>
      <w:tr w:rsidR="00CF2199" w:rsidRPr="001B6E4D" w14:paraId="49C13F3C" w14:textId="77777777" w:rsidTr="002F016E">
        <w:trPr>
          <w:trHeight w:val="74"/>
        </w:trPr>
        <w:tc>
          <w:tcPr>
            <w:tcW w:w="578" w:type="dxa"/>
            <w:tcMar>
              <w:top w:w="85" w:type="dxa"/>
              <w:bottom w:w="85" w:type="dxa"/>
            </w:tcMar>
          </w:tcPr>
          <w:p w14:paraId="4DA09003" w14:textId="77777777" w:rsidR="00CF2199" w:rsidRPr="001B6E4D" w:rsidRDefault="00CF2199" w:rsidP="003D1018">
            <w:pPr>
              <w:widowControl w:val="0"/>
              <w:overflowPunct w:val="0"/>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lastRenderedPageBreak/>
              <w:t>3</w:t>
            </w:r>
          </w:p>
        </w:tc>
        <w:tc>
          <w:tcPr>
            <w:tcW w:w="4111" w:type="dxa"/>
            <w:tcMar>
              <w:top w:w="85" w:type="dxa"/>
              <w:bottom w:w="85" w:type="dxa"/>
            </w:tcMar>
          </w:tcPr>
          <w:p w14:paraId="23C1A506"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color w:val="000000"/>
              </w:rPr>
            </w:pPr>
            <w:r w:rsidRPr="001B6E4D">
              <w:rPr>
                <w:rFonts w:ascii="標楷體" w:eastAsia="標楷體" w:hAnsi="標楷體" w:hint="eastAsia"/>
                <w:color w:val="000000"/>
              </w:rPr>
              <w:t>針對郭智輝部長於就任前</w:t>
            </w:r>
            <w:proofErr w:type="gramStart"/>
            <w:r w:rsidRPr="001B6E4D">
              <w:rPr>
                <w:rFonts w:ascii="標楷體" w:eastAsia="標楷體" w:hAnsi="標楷體" w:hint="eastAsia"/>
                <w:color w:val="000000"/>
              </w:rPr>
              <w:t>疑</w:t>
            </w:r>
            <w:proofErr w:type="gramEnd"/>
            <w:r w:rsidRPr="001B6E4D">
              <w:rPr>
                <w:rFonts w:ascii="標楷體" w:eastAsia="標楷體" w:hAnsi="標楷體" w:hint="eastAsia"/>
                <w:color w:val="000000"/>
              </w:rPr>
              <w:t>涉不當移轉股權，刻意規避陽光法案之公職人員財產申報強制信託規定，以及涉及股權移轉與逃漏稅捐及假交易之相關事宜，</w:t>
            </w:r>
            <w:proofErr w:type="gramStart"/>
            <w:r w:rsidRPr="001B6E4D">
              <w:rPr>
                <w:rFonts w:ascii="標楷體" w:eastAsia="標楷體" w:hAnsi="標楷體" w:hint="eastAsia"/>
                <w:color w:val="000000"/>
              </w:rPr>
              <w:t>爰</w:t>
            </w:r>
            <w:proofErr w:type="gramEnd"/>
            <w:r w:rsidRPr="001B6E4D">
              <w:rPr>
                <w:rFonts w:ascii="標楷體" w:eastAsia="標楷體" w:hAnsi="標楷體" w:hint="eastAsia"/>
                <w:color w:val="000000"/>
              </w:rPr>
              <w:t>提出譴責案。是否有當？請公決案。</w:t>
            </w:r>
          </w:p>
        </w:tc>
        <w:tc>
          <w:tcPr>
            <w:tcW w:w="2126" w:type="dxa"/>
            <w:tcMar>
              <w:top w:w="85" w:type="dxa"/>
              <w:bottom w:w="85" w:type="dxa"/>
            </w:tcMar>
          </w:tcPr>
          <w:p w14:paraId="56E49A2A"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國民黨黨團</w:t>
            </w:r>
          </w:p>
          <w:p w14:paraId="1AFB25EF"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113.12.13</w:t>
            </w:r>
          </w:p>
          <w:p w14:paraId="2FEB1226"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(11-2-13)</w:t>
            </w:r>
          </w:p>
        </w:tc>
        <w:tc>
          <w:tcPr>
            <w:tcW w:w="1974" w:type="dxa"/>
            <w:tcMar>
              <w:top w:w="85" w:type="dxa"/>
              <w:bottom w:w="85" w:type="dxa"/>
            </w:tcMar>
          </w:tcPr>
          <w:p w14:paraId="68240ADA"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3.12.13（1</w:t>
            </w:r>
            <w:r w:rsidRPr="001B6E4D">
              <w:rPr>
                <w:rFonts w:ascii="標楷體" w:eastAsia="標楷體" w:hAnsi="標楷體"/>
              </w:rPr>
              <w:t>1</w:t>
            </w:r>
            <w:r w:rsidRPr="001B6E4D">
              <w:rPr>
                <w:rFonts w:ascii="標楷體" w:eastAsia="標楷體" w:hAnsi="標楷體" w:hint="eastAsia"/>
              </w:rPr>
              <w:t>-2-13）</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tc>
      </w:tr>
      <w:tr w:rsidR="00CF2199" w:rsidRPr="001B6E4D" w14:paraId="08A82A17" w14:textId="77777777" w:rsidTr="002F016E">
        <w:trPr>
          <w:trHeight w:val="74"/>
        </w:trPr>
        <w:tc>
          <w:tcPr>
            <w:tcW w:w="578" w:type="dxa"/>
            <w:tcMar>
              <w:top w:w="85" w:type="dxa"/>
              <w:bottom w:w="85" w:type="dxa"/>
            </w:tcMar>
          </w:tcPr>
          <w:p w14:paraId="15A3CC2C" w14:textId="77777777" w:rsidR="00CF2199" w:rsidRPr="001B6E4D" w:rsidRDefault="00CF2199" w:rsidP="003D1018">
            <w:pPr>
              <w:widowControl w:val="0"/>
              <w:overflowPunct w:val="0"/>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t>4</w:t>
            </w:r>
          </w:p>
        </w:tc>
        <w:tc>
          <w:tcPr>
            <w:tcW w:w="4111" w:type="dxa"/>
            <w:tcMar>
              <w:top w:w="85" w:type="dxa"/>
              <w:bottom w:w="85" w:type="dxa"/>
            </w:tcMar>
          </w:tcPr>
          <w:p w14:paraId="47DC72A0"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color w:val="000000"/>
              </w:rPr>
            </w:pPr>
            <w:proofErr w:type="gramStart"/>
            <w:r w:rsidRPr="001B6E4D">
              <w:rPr>
                <w:rFonts w:ascii="標楷體" w:eastAsia="標楷體" w:hAnsi="標楷體" w:hint="eastAsia"/>
                <w:color w:val="000000"/>
              </w:rPr>
              <w:t>鑑</w:t>
            </w:r>
            <w:proofErr w:type="gramEnd"/>
            <w:r w:rsidRPr="001B6E4D">
              <w:rPr>
                <w:rFonts w:ascii="標楷體" w:eastAsia="標楷體" w:hAnsi="標楷體" w:hint="eastAsia"/>
                <w:color w:val="000000"/>
              </w:rPr>
              <w:t>於中央選舉委員會5月23日第616次委員會議，違法審議並拒絕辦理本院依據「公民投票法」第十五條第二項所提出之「您是否同意『各級法院合議庭法官判處死刑不須一致決』之政策？」公民投票提案，對此本院應提起行政訴訟，要求中央選舉委員會依法辦理本院院會通過之公民投票提案。是否有當？請公決案。</w:t>
            </w:r>
          </w:p>
        </w:tc>
        <w:tc>
          <w:tcPr>
            <w:tcW w:w="2126" w:type="dxa"/>
            <w:tcMar>
              <w:top w:w="85" w:type="dxa"/>
              <w:bottom w:w="85" w:type="dxa"/>
            </w:tcMar>
          </w:tcPr>
          <w:p w14:paraId="6F263844"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國民黨黨團</w:t>
            </w:r>
          </w:p>
          <w:p w14:paraId="2849883C"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4</w:t>
            </w:r>
            <w:r w:rsidRPr="001B6E4D">
              <w:rPr>
                <w:rFonts w:ascii="標楷體" w:eastAsia="標楷體" w:hAnsi="標楷體"/>
                <w:color w:val="000000"/>
              </w:rPr>
              <w:t>.</w:t>
            </w:r>
            <w:r w:rsidRPr="001B6E4D">
              <w:rPr>
                <w:rFonts w:ascii="標楷體" w:eastAsia="標楷體" w:hAnsi="標楷體" w:hint="eastAsia"/>
                <w:color w:val="000000"/>
              </w:rPr>
              <w:t>06</w:t>
            </w:r>
            <w:r w:rsidRPr="001B6E4D">
              <w:rPr>
                <w:rFonts w:ascii="標楷體" w:eastAsia="標楷體" w:hAnsi="標楷體"/>
                <w:color w:val="000000"/>
              </w:rPr>
              <w:t>.</w:t>
            </w:r>
            <w:r w:rsidRPr="001B6E4D">
              <w:rPr>
                <w:rFonts w:ascii="標楷體" w:eastAsia="標楷體" w:hAnsi="標楷體" w:hint="eastAsia"/>
                <w:color w:val="000000"/>
              </w:rPr>
              <w:t>13</w:t>
            </w:r>
          </w:p>
          <w:p w14:paraId="27FC1F45"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3</w:t>
            </w:r>
            <w:r w:rsidRPr="001B6E4D">
              <w:rPr>
                <w:rFonts w:ascii="標楷體" w:eastAsia="標楷體" w:hAnsi="標楷體"/>
                <w:color w:val="000000"/>
              </w:rPr>
              <w:t>-</w:t>
            </w:r>
            <w:r w:rsidRPr="001B6E4D">
              <w:rPr>
                <w:rFonts w:ascii="標楷體" w:eastAsia="標楷體" w:hAnsi="標楷體" w:hint="eastAsia"/>
                <w:color w:val="000000"/>
              </w:rPr>
              <w:t>16</w:t>
            </w:r>
            <w:r w:rsidRPr="001B6E4D">
              <w:rPr>
                <w:rFonts w:ascii="標楷體" w:eastAsia="標楷體" w:hAnsi="標楷體"/>
                <w:color w:val="000000"/>
              </w:rPr>
              <w:t>）</w:t>
            </w:r>
          </w:p>
        </w:tc>
        <w:tc>
          <w:tcPr>
            <w:tcW w:w="1974" w:type="dxa"/>
            <w:tcMar>
              <w:top w:w="85" w:type="dxa"/>
              <w:bottom w:w="85" w:type="dxa"/>
            </w:tcMar>
          </w:tcPr>
          <w:p w14:paraId="0E4859C2"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w:t>
            </w:r>
            <w:r w:rsidRPr="001B6E4D">
              <w:rPr>
                <w:rFonts w:ascii="標楷體" w:eastAsia="標楷體" w:hAnsi="標楷體"/>
              </w:rPr>
              <w:t>1</w:t>
            </w:r>
            <w:r w:rsidRPr="001B6E4D">
              <w:rPr>
                <w:rFonts w:ascii="標楷體" w:eastAsia="標楷體" w:hAnsi="標楷體" w:hint="eastAsia"/>
              </w:rPr>
              <w:t>4.6.13（1</w:t>
            </w:r>
            <w:r w:rsidRPr="001B6E4D">
              <w:rPr>
                <w:rFonts w:ascii="標楷體" w:eastAsia="標楷體" w:hAnsi="標楷體"/>
              </w:rPr>
              <w:t>1</w:t>
            </w:r>
            <w:r w:rsidRPr="001B6E4D">
              <w:rPr>
                <w:rFonts w:ascii="標楷體" w:eastAsia="標楷體" w:hAnsi="標楷體" w:hint="eastAsia"/>
              </w:rPr>
              <w:t>-3-16）</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tc>
      </w:tr>
      <w:tr w:rsidR="00CF2199" w:rsidRPr="001B6E4D" w14:paraId="386A21E4" w14:textId="77777777" w:rsidTr="002F016E">
        <w:trPr>
          <w:trHeight w:val="74"/>
        </w:trPr>
        <w:tc>
          <w:tcPr>
            <w:tcW w:w="578" w:type="dxa"/>
            <w:tcMar>
              <w:top w:w="85" w:type="dxa"/>
              <w:bottom w:w="85" w:type="dxa"/>
            </w:tcMar>
          </w:tcPr>
          <w:p w14:paraId="36637A31" w14:textId="77777777" w:rsidR="00CF2199" w:rsidRPr="001B6E4D" w:rsidRDefault="00CF2199" w:rsidP="003D1018">
            <w:pPr>
              <w:widowControl w:val="0"/>
              <w:overflowPunct w:val="0"/>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t>5</w:t>
            </w:r>
          </w:p>
        </w:tc>
        <w:tc>
          <w:tcPr>
            <w:tcW w:w="4111" w:type="dxa"/>
            <w:tcMar>
              <w:top w:w="85" w:type="dxa"/>
              <w:bottom w:w="85" w:type="dxa"/>
            </w:tcMar>
          </w:tcPr>
          <w:p w14:paraId="2153685E"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color w:val="000000"/>
              </w:rPr>
            </w:pPr>
            <w:r w:rsidRPr="001B6E4D">
              <w:rPr>
                <w:rFonts w:ascii="標楷體" w:eastAsia="標楷體" w:hAnsi="標楷體" w:hint="eastAsia"/>
                <w:color w:val="000000"/>
              </w:rPr>
              <w:t>有</w:t>
            </w:r>
            <w:proofErr w:type="gramStart"/>
            <w:r w:rsidRPr="001B6E4D">
              <w:rPr>
                <w:rFonts w:ascii="標楷體" w:eastAsia="標楷體" w:hAnsi="標楷體" w:hint="eastAsia"/>
                <w:color w:val="000000"/>
              </w:rPr>
              <w:t>鑑</w:t>
            </w:r>
            <w:proofErr w:type="gramEnd"/>
            <w:r w:rsidRPr="001B6E4D">
              <w:rPr>
                <w:rFonts w:ascii="標楷體" w:eastAsia="標楷體" w:hAnsi="標楷體" w:hint="eastAsia"/>
                <w:color w:val="000000"/>
              </w:rPr>
              <w:t>於台灣社會近來陸續發生長照悲歌的案件，無論是父母、子女、配偶，不堪長期照顧的壓力，最後被迫殺害摯愛的親人，每</w:t>
            </w:r>
            <w:proofErr w:type="gramStart"/>
            <w:r w:rsidRPr="001B6E4D">
              <w:rPr>
                <w:rFonts w:ascii="標楷體" w:eastAsia="標楷體" w:hAnsi="標楷體" w:hint="eastAsia"/>
                <w:color w:val="000000"/>
              </w:rPr>
              <w:t>個</w:t>
            </w:r>
            <w:proofErr w:type="gramEnd"/>
            <w:r w:rsidRPr="001B6E4D">
              <w:rPr>
                <w:rFonts w:ascii="標楷體" w:eastAsia="標楷體" w:hAnsi="標楷體" w:hint="eastAsia"/>
                <w:color w:val="000000"/>
              </w:rPr>
              <w:t>案件都是令人悲傷的人倫悲劇。台北市一名八旬劉姓婦人</w:t>
            </w:r>
            <w:proofErr w:type="gramStart"/>
            <w:r w:rsidRPr="001B6E4D">
              <w:rPr>
                <w:rFonts w:ascii="標楷體" w:eastAsia="標楷體" w:hAnsi="標楷體" w:hint="eastAsia"/>
                <w:color w:val="000000"/>
              </w:rPr>
              <w:t>因確診新冠</w:t>
            </w:r>
            <w:proofErr w:type="gramEnd"/>
            <w:r w:rsidRPr="001B6E4D">
              <w:rPr>
                <w:rFonts w:ascii="標楷體" w:eastAsia="標楷體" w:hAnsi="標楷體" w:hint="eastAsia"/>
                <w:color w:val="000000"/>
              </w:rPr>
              <w:t>肺炎，親手終結了其自嬰兒時期即癱瘓在床、重度身心障礙的53歲兒子，以及90歲的年邁丈夫。承審法官深刻體察到劉姓婦人照護近半世紀極重度身心障礙兒的重擔，一審雖判刑2年6月，但判決書罕見建請總統特赦。各界呼籲「特赦」的聲音不斷，台灣民眾黨前主席</w:t>
            </w:r>
            <w:proofErr w:type="gramStart"/>
            <w:r w:rsidRPr="001B6E4D">
              <w:rPr>
                <w:rFonts w:ascii="標楷體" w:eastAsia="標楷體" w:hAnsi="標楷體" w:hint="eastAsia"/>
                <w:color w:val="000000"/>
              </w:rPr>
              <w:t>柯文哲臉書呼籲</w:t>
            </w:r>
            <w:proofErr w:type="gramEnd"/>
            <w:r w:rsidRPr="001B6E4D">
              <w:rPr>
                <w:rFonts w:ascii="標楷體" w:eastAsia="標楷體" w:hAnsi="標楷體" w:hint="eastAsia"/>
                <w:color w:val="000000"/>
              </w:rPr>
              <w:t>特赦、衛福</w:t>
            </w:r>
            <w:proofErr w:type="gramStart"/>
            <w:r w:rsidRPr="001B6E4D">
              <w:rPr>
                <w:rFonts w:ascii="標楷體" w:eastAsia="標楷體" w:hAnsi="標楷體" w:hint="eastAsia"/>
                <w:color w:val="000000"/>
              </w:rPr>
              <w:t>部</w:t>
            </w:r>
            <w:proofErr w:type="gramEnd"/>
            <w:r w:rsidRPr="001B6E4D">
              <w:rPr>
                <w:rFonts w:ascii="標楷體" w:eastAsia="標楷體" w:hAnsi="標楷體" w:hint="eastAsia"/>
                <w:color w:val="000000"/>
              </w:rPr>
              <w:t>部長石崇良更在立法院表態支持特赦。中華民國家庭照顧者關懷總會統計，自2018年至2024年，七年間共發生62件長照殺人案，平均一年近9件。政府如果真的關注社會弱勢家庭，悲劇會這樣</w:t>
            </w:r>
            <w:proofErr w:type="gramStart"/>
            <w:r w:rsidRPr="001B6E4D">
              <w:rPr>
                <w:rFonts w:ascii="標楷體" w:eastAsia="標楷體" w:hAnsi="標楷體" w:hint="eastAsia"/>
                <w:color w:val="000000"/>
              </w:rPr>
              <w:t>一</w:t>
            </w:r>
            <w:proofErr w:type="gramEnd"/>
            <w:r w:rsidRPr="001B6E4D">
              <w:rPr>
                <w:rFonts w:ascii="標楷體" w:eastAsia="標楷體" w:hAnsi="標楷體" w:hint="eastAsia"/>
                <w:color w:val="000000"/>
              </w:rPr>
              <w:t>演</w:t>
            </w:r>
            <w:proofErr w:type="gramStart"/>
            <w:r w:rsidRPr="001B6E4D">
              <w:rPr>
                <w:rFonts w:ascii="標楷體" w:eastAsia="標楷體" w:hAnsi="標楷體" w:hint="eastAsia"/>
                <w:color w:val="000000"/>
              </w:rPr>
              <w:t>再演嗎</w:t>
            </w:r>
            <w:proofErr w:type="gramEnd"/>
            <w:r w:rsidRPr="001B6E4D">
              <w:rPr>
                <w:rFonts w:ascii="標楷體" w:eastAsia="標楷體" w:hAnsi="標楷體" w:hint="eastAsia"/>
                <w:color w:val="000000"/>
              </w:rPr>
              <w:t>？這麼多長照悲劇，讓法官為如何課予相當刑責深感煎熬。法官窮盡所能</w:t>
            </w:r>
            <w:proofErr w:type="gramStart"/>
            <w:r w:rsidRPr="001B6E4D">
              <w:rPr>
                <w:rFonts w:ascii="標楷體" w:eastAsia="標楷體" w:hAnsi="標楷體" w:hint="eastAsia"/>
                <w:color w:val="000000"/>
              </w:rPr>
              <w:t>求免緩其</w:t>
            </w:r>
            <w:proofErr w:type="gramEnd"/>
            <w:r w:rsidRPr="001B6E4D">
              <w:rPr>
                <w:rFonts w:ascii="標楷體" w:eastAsia="標楷體" w:hAnsi="標楷體" w:hint="eastAsia"/>
                <w:color w:val="000000"/>
              </w:rPr>
              <w:t>刑而不可得，因而在判決書中建議總統特赦。值得注意的是，判決書都提到政府責任。法官指出，被告及家人「均未能熟稔政府提供的相關社會福利措施，政府亦未適時轉</w:t>
            </w:r>
            <w:proofErr w:type="gramStart"/>
            <w:r w:rsidRPr="001B6E4D">
              <w:rPr>
                <w:rFonts w:ascii="標楷體" w:eastAsia="標楷體" w:hAnsi="標楷體" w:hint="eastAsia"/>
                <w:color w:val="000000"/>
              </w:rPr>
              <w:t>介</w:t>
            </w:r>
            <w:proofErr w:type="gramEnd"/>
            <w:r w:rsidRPr="001B6E4D">
              <w:rPr>
                <w:rFonts w:ascii="標楷體" w:eastAsia="標楷體" w:hAnsi="標楷體" w:hint="eastAsia"/>
                <w:color w:val="000000"/>
              </w:rPr>
              <w:t>相關福利與制度」，給予照顧者支持等服務；讓照顧者長期獨自負擔責任和壓力，被照</w:t>
            </w:r>
            <w:r w:rsidRPr="001B6E4D">
              <w:rPr>
                <w:rFonts w:ascii="標楷體" w:eastAsia="標楷體" w:hAnsi="標楷體" w:hint="eastAsia"/>
                <w:color w:val="000000"/>
              </w:rPr>
              <w:lastRenderedPageBreak/>
              <w:t>顧者則成為被社會遺忘的人。另案法官也強調，「國家必須要有更多對照顧者的社會和心理支持，來協助照顧者度過自己人生的難關」。國家未能盡到社會照顧責任，讓長期照顧的壓力壓垮這些弱勢家庭。石崇良支持總統特赦，也正因為「事件反映出照顧者支持系統不足，政府必須做得更多」。因此社會各界包含承審法官，同聲建請賴清德總統依據赦免法予以特赦，惟總統府卻輕描淡寫的表示，待司法程序結束後再議。然依據赦免法相關規定，並不需要「受罪刑宣告確定方能特赦」，如果賴清德總統願意特赦，即刻就能宣布，不用讓年事已高的被告繼續深陷漫長的司法程序。赦免，是一種平衡刑罰的方式，立法精神在於「司法之外的補救」，期盼能補上法律未能顧及的溫度。</w:t>
            </w:r>
            <w:proofErr w:type="gramStart"/>
            <w:r w:rsidRPr="001B6E4D">
              <w:rPr>
                <w:rFonts w:ascii="標楷體" w:eastAsia="標楷體" w:hAnsi="標楷體" w:hint="eastAsia"/>
                <w:color w:val="000000"/>
              </w:rPr>
              <w:t>爰</w:t>
            </w:r>
            <w:proofErr w:type="gramEnd"/>
            <w:r w:rsidRPr="001B6E4D">
              <w:rPr>
                <w:rFonts w:ascii="標楷體" w:eastAsia="標楷體" w:hAnsi="標楷體" w:hint="eastAsia"/>
                <w:color w:val="000000"/>
              </w:rPr>
              <w:t>此，建請院會作成決議：「建請賴清德總統，考量被告犯罪的情狀確有情堪</w:t>
            </w:r>
            <w:proofErr w:type="gramStart"/>
            <w:r w:rsidRPr="001B6E4D">
              <w:rPr>
                <w:rFonts w:ascii="標楷體" w:eastAsia="標楷體" w:hAnsi="標楷體" w:hint="eastAsia"/>
                <w:color w:val="000000"/>
              </w:rPr>
              <w:t>憫</w:t>
            </w:r>
            <w:proofErr w:type="gramEnd"/>
            <w:r w:rsidRPr="001B6E4D">
              <w:rPr>
                <w:rFonts w:ascii="標楷體" w:eastAsia="標楷體" w:hAnsi="標楷體" w:hint="eastAsia"/>
                <w:color w:val="000000"/>
              </w:rPr>
              <w:t>恕之處，依據中華民國憲法第40條行使赦免權，宣告特赦</w:t>
            </w:r>
            <w:proofErr w:type="gramStart"/>
            <w:r w:rsidRPr="001B6E4D">
              <w:rPr>
                <w:rFonts w:ascii="標楷體" w:eastAsia="標楷體" w:hAnsi="標楷體" w:hint="eastAsia"/>
                <w:color w:val="000000"/>
              </w:rPr>
              <w:t>臺</w:t>
            </w:r>
            <w:proofErr w:type="gramEnd"/>
            <w:r w:rsidRPr="001B6E4D">
              <w:rPr>
                <w:rFonts w:ascii="標楷體" w:eastAsia="標楷體" w:hAnsi="標楷體" w:hint="eastAsia"/>
                <w:color w:val="000000"/>
              </w:rPr>
              <w:t>北地方法院</w:t>
            </w:r>
            <w:proofErr w:type="gramStart"/>
            <w:r w:rsidRPr="001B6E4D">
              <w:rPr>
                <w:rFonts w:ascii="標楷體" w:eastAsia="標楷體" w:hAnsi="標楷體" w:hint="eastAsia"/>
                <w:color w:val="000000"/>
              </w:rPr>
              <w:t>113</w:t>
            </w:r>
            <w:proofErr w:type="gramEnd"/>
            <w:r w:rsidRPr="001B6E4D">
              <w:rPr>
                <w:rFonts w:ascii="標楷體" w:eastAsia="標楷體" w:hAnsi="標楷體" w:hint="eastAsia"/>
                <w:color w:val="000000"/>
              </w:rPr>
              <w:t>年度</w:t>
            </w:r>
            <w:proofErr w:type="gramStart"/>
            <w:r w:rsidRPr="001B6E4D">
              <w:rPr>
                <w:rFonts w:ascii="標楷體" w:eastAsia="標楷體" w:hAnsi="標楷體" w:hint="eastAsia"/>
                <w:color w:val="000000"/>
              </w:rPr>
              <w:t>重訴字</w:t>
            </w:r>
            <w:proofErr w:type="gramEnd"/>
            <w:r w:rsidRPr="001B6E4D">
              <w:rPr>
                <w:rFonts w:ascii="標楷體" w:eastAsia="標楷體" w:hAnsi="標楷體" w:hint="eastAsia"/>
                <w:color w:val="000000"/>
              </w:rPr>
              <w:t>第14號案件之被告，並要求衛生福利部深入檢討，儘速提出改善精進措施，落實長期照顧政策，讓身心障礙者權益能獲得保障。」是否有當？請公決案。</w:t>
            </w:r>
          </w:p>
        </w:tc>
        <w:tc>
          <w:tcPr>
            <w:tcW w:w="2126" w:type="dxa"/>
            <w:tcMar>
              <w:top w:w="85" w:type="dxa"/>
              <w:bottom w:w="85" w:type="dxa"/>
            </w:tcMar>
          </w:tcPr>
          <w:p w14:paraId="17D7AB54"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lastRenderedPageBreak/>
              <w:t>國民黨黨團</w:t>
            </w:r>
          </w:p>
          <w:p w14:paraId="47D46C70"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114.11.21</w:t>
            </w:r>
          </w:p>
          <w:p w14:paraId="3B50E3FF"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(11-4-10)</w:t>
            </w:r>
          </w:p>
        </w:tc>
        <w:tc>
          <w:tcPr>
            <w:tcW w:w="1974" w:type="dxa"/>
            <w:tcMar>
              <w:top w:w="85" w:type="dxa"/>
              <w:bottom w:w="85" w:type="dxa"/>
            </w:tcMar>
          </w:tcPr>
          <w:p w14:paraId="29478947"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院會114.11.21（1</w:t>
            </w:r>
            <w:r w:rsidRPr="001B6E4D">
              <w:rPr>
                <w:rFonts w:ascii="標楷體" w:eastAsia="標楷體" w:hAnsi="標楷體"/>
              </w:rPr>
              <w:t>1</w:t>
            </w:r>
            <w:r w:rsidRPr="001B6E4D">
              <w:rPr>
                <w:rFonts w:ascii="標楷體" w:eastAsia="標楷體" w:hAnsi="標楷體" w:hint="eastAsia"/>
              </w:rPr>
              <w:t>-4-10）</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tc>
      </w:tr>
      <w:tr w:rsidR="00CF2199" w:rsidRPr="001B6E4D" w14:paraId="6678533E" w14:textId="77777777" w:rsidTr="002F016E">
        <w:trPr>
          <w:trHeight w:val="74"/>
        </w:trPr>
        <w:tc>
          <w:tcPr>
            <w:tcW w:w="578" w:type="dxa"/>
            <w:tcMar>
              <w:top w:w="85" w:type="dxa"/>
              <w:bottom w:w="85" w:type="dxa"/>
            </w:tcMar>
          </w:tcPr>
          <w:p w14:paraId="5AA2EB0A" w14:textId="77777777" w:rsidR="00CF2199" w:rsidRPr="001B6E4D" w:rsidRDefault="00CF2199" w:rsidP="003D1018">
            <w:pPr>
              <w:widowControl w:val="0"/>
              <w:overflowPunct w:val="0"/>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t>6</w:t>
            </w:r>
          </w:p>
        </w:tc>
        <w:tc>
          <w:tcPr>
            <w:tcW w:w="4111" w:type="dxa"/>
            <w:tcMar>
              <w:top w:w="85" w:type="dxa"/>
              <w:bottom w:w="85" w:type="dxa"/>
            </w:tcMar>
          </w:tcPr>
          <w:p w14:paraId="371FB5DA"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color w:val="000000"/>
              </w:rPr>
            </w:pPr>
            <w:r w:rsidRPr="001B6E4D">
              <w:rPr>
                <w:rFonts w:ascii="標楷體" w:eastAsia="標楷體" w:hAnsi="標楷體" w:hint="eastAsia"/>
                <w:color w:val="000000"/>
              </w:rPr>
              <w:t>有</w:t>
            </w:r>
            <w:proofErr w:type="gramStart"/>
            <w:r w:rsidRPr="001B6E4D">
              <w:rPr>
                <w:rFonts w:ascii="標楷體" w:eastAsia="標楷體" w:hAnsi="標楷體" w:hint="eastAsia"/>
                <w:color w:val="000000"/>
              </w:rPr>
              <w:t>鑑</w:t>
            </w:r>
            <w:proofErr w:type="gramEnd"/>
            <w:r w:rsidRPr="001B6E4D">
              <w:rPr>
                <w:rFonts w:ascii="標楷體" w:eastAsia="標楷體" w:hAnsi="標楷體" w:hint="eastAsia"/>
                <w:color w:val="000000"/>
              </w:rPr>
              <w:t>於憲法法庭於114年12月19日作出</w:t>
            </w:r>
            <w:proofErr w:type="gramStart"/>
            <w:r w:rsidRPr="001B6E4D">
              <w:rPr>
                <w:rFonts w:ascii="標楷體" w:eastAsia="標楷體" w:hAnsi="標楷體" w:hint="eastAsia"/>
                <w:color w:val="000000"/>
              </w:rPr>
              <w:t>114年憲判字</w:t>
            </w:r>
            <w:proofErr w:type="gramEnd"/>
            <w:r w:rsidRPr="001B6E4D">
              <w:rPr>
                <w:rFonts w:ascii="標楷體" w:eastAsia="標楷體" w:hAnsi="標楷體" w:hint="eastAsia"/>
                <w:color w:val="000000"/>
              </w:rPr>
              <w:t>第1號判決，宣告本院經合法程序三讀通過、總統依法公布的「憲法訴訟法」違憲。無論從修正後或修正前的「憲法訴訟法」，憲法法庭作成判決都應符合最低參與評議人數的規定，</w:t>
            </w:r>
            <w:proofErr w:type="gramStart"/>
            <w:r w:rsidRPr="001B6E4D">
              <w:rPr>
                <w:rFonts w:ascii="標楷體" w:eastAsia="標楷體" w:hAnsi="標楷體" w:hint="eastAsia"/>
                <w:color w:val="000000"/>
              </w:rPr>
              <w:t>然觀本案</w:t>
            </w:r>
            <w:proofErr w:type="gramEnd"/>
            <w:r w:rsidRPr="001B6E4D">
              <w:rPr>
                <w:rFonts w:ascii="標楷體" w:eastAsia="標楷體" w:hAnsi="標楷體" w:hint="eastAsia"/>
                <w:color w:val="000000"/>
              </w:rPr>
              <w:t>所作成的判決，僅有5名大法官參與，甚至「排除異己」，將另外3名不願違憲違法而拒絕參與評議的大法官摒除在外，故無論依舊制或去年通過的修正規定，皆不符合法定人數，程序上存在重大瑕疵。這5名大法官為使裁判得以作成，採取「拒絕參與評議之大法官不計入現有總額」之計算路徑，形同由裁判者自行改寫審判權組織成立之前提要件，逾越憲法訴訟法明文</w:t>
            </w:r>
            <w:r w:rsidRPr="001B6E4D">
              <w:rPr>
                <w:rFonts w:ascii="標楷體" w:eastAsia="標楷體" w:hAnsi="標楷體" w:hint="eastAsia"/>
                <w:color w:val="000000"/>
              </w:rPr>
              <w:lastRenderedPageBreak/>
              <w:t>所設之正當程序界線，扭曲憲法增修條文所明定大法官十五人合議之組織意旨。在僅有少數大法官參與的情況下，作成影響重大法律制度的憲法判決，甚至介入立法程序自主權，對權力分立與憲政秩序造成嚴重衝擊。大法官帶頭違法，為了向賴清德總統表忠，身為憲法守護者，卻甘願淪為鷹犬，親手摧毀憲法，令人痛心。</w:t>
            </w:r>
            <w:proofErr w:type="gramStart"/>
            <w:r w:rsidRPr="001B6E4D">
              <w:rPr>
                <w:rFonts w:ascii="標楷體" w:eastAsia="標楷體" w:hAnsi="標楷體" w:hint="eastAsia"/>
                <w:color w:val="000000"/>
              </w:rPr>
              <w:t>爰</w:t>
            </w:r>
            <w:proofErr w:type="gramEnd"/>
            <w:r w:rsidRPr="001B6E4D">
              <w:rPr>
                <w:rFonts w:ascii="標楷體" w:eastAsia="標楷體" w:hAnsi="標楷體" w:hint="eastAsia"/>
                <w:color w:val="000000"/>
              </w:rPr>
              <w:t>此，建請院會作成決議：「針對憲法法庭大法官謝銘洋、呂太郎、陳忠五、尤伯祥、蔡彩貞，因逾越司法權限、侵害立法權及違反程序正義，違法進行判決，嚴重損害憲政秩序，予以嚴厲譴責。又憲法裁判之權威，必須建立在明確、拘束且可預期之程序門檻，此次憲法法庭未依法合法組成，欠缺作成判決的審判權限，自始不具審判權，</w:t>
            </w:r>
            <w:proofErr w:type="gramStart"/>
            <w:r w:rsidRPr="001B6E4D">
              <w:rPr>
                <w:rFonts w:ascii="標楷體" w:eastAsia="標楷體" w:hAnsi="標楷體" w:hint="eastAsia"/>
                <w:color w:val="000000"/>
              </w:rPr>
              <w:t>114年憲判字</w:t>
            </w:r>
            <w:proofErr w:type="gramEnd"/>
            <w:r w:rsidRPr="001B6E4D">
              <w:rPr>
                <w:rFonts w:ascii="標楷體" w:eastAsia="標楷體" w:hAnsi="標楷體" w:hint="eastAsia"/>
                <w:color w:val="000000"/>
              </w:rPr>
              <w:t>第1號判決有重大明顯瑕疵，應屬當然無效；至於大法官援引此判決，以人數未達憲法訴訟法所定法定門檻10位所作之任何憲法裁判，</w:t>
            </w:r>
            <w:proofErr w:type="gramStart"/>
            <w:r w:rsidRPr="001B6E4D">
              <w:rPr>
                <w:rFonts w:ascii="標楷體" w:eastAsia="標楷體" w:hAnsi="標楷體" w:hint="eastAsia"/>
                <w:color w:val="000000"/>
              </w:rPr>
              <w:t>亦均屬無效</w:t>
            </w:r>
            <w:proofErr w:type="gramEnd"/>
            <w:r w:rsidRPr="001B6E4D">
              <w:rPr>
                <w:rFonts w:ascii="標楷體" w:eastAsia="標楷體" w:hAnsi="標楷體" w:hint="eastAsia"/>
                <w:color w:val="000000"/>
              </w:rPr>
              <w:t>，不生效力，自不待言。」是否有當？請公決案。</w:t>
            </w:r>
          </w:p>
        </w:tc>
        <w:tc>
          <w:tcPr>
            <w:tcW w:w="2126" w:type="dxa"/>
            <w:tcMar>
              <w:top w:w="85" w:type="dxa"/>
              <w:bottom w:w="85" w:type="dxa"/>
            </w:tcMar>
          </w:tcPr>
          <w:p w14:paraId="56903027"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lastRenderedPageBreak/>
              <w:t>國民黨黨團</w:t>
            </w:r>
          </w:p>
          <w:p w14:paraId="74943EB4"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114.12.26</w:t>
            </w:r>
          </w:p>
          <w:p w14:paraId="763666DD"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(11-4-15)</w:t>
            </w:r>
          </w:p>
        </w:tc>
        <w:tc>
          <w:tcPr>
            <w:tcW w:w="1974" w:type="dxa"/>
            <w:tcMar>
              <w:top w:w="85" w:type="dxa"/>
              <w:bottom w:w="85" w:type="dxa"/>
            </w:tcMar>
          </w:tcPr>
          <w:p w14:paraId="201526A5"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院會114.12.26（1</w:t>
            </w:r>
            <w:r w:rsidRPr="001B6E4D">
              <w:rPr>
                <w:rFonts w:ascii="標楷體" w:eastAsia="標楷體" w:hAnsi="標楷體"/>
              </w:rPr>
              <w:t>1</w:t>
            </w:r>
            <w:r w:rsidRPr="001B6E4D">
              <w:rPr>
                <w:rFonts w:ascii="標楷體" w:eastAsia="標楷體" w:hAnsi="標楷體" w:hint="eastAsia"/>
              </w:rPr>
              <w:t>-4-15）</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tc>
      </w:tr>
      <w:tr w:rsidR="00CF2199" w:rsidRPr="001B6E4D" w14:paraId="3FA4A42B" w14:textId="77777777" w:rsidTr="002F016E">
        <w:trPr>
          <w:trHeight w:val="74"/>
        </w:trPr>
        <w:tc>
          <w:tcPr>
            <w:tcW w:w="578" w:type="dxa"/>
            <w:tcMar>
              <w:top w:w="85" w:type="dxa"/>
              <w:bottom w:w="85" w:type="dxa"/>
            </w:tcMar>
          </w:tcPr>
          <w:p w14:paraId="311E606B" w14:textId="77777777" w:rsidR="00CF2199" w:rsidRPr="001B6E4D" w:rsidRDefault="00CF2199" w:rsidP="003D1018">
            <w:pPr>
              <w:widowControl w:val="0"/>
              <w:overflowPunct w:val="0"/>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t>7</w:t>
            </w:r>
          </w:p>
        </w:tc>
        <w:tc>
          <w:tcPr>
            <w:tcW w:w="4111" w:type="dxa"/>
            <w:tcMar>
              <w:top w:w="85" w:type="dxa"/>
              <w:bottom w:w="85" w:type="dxa"/>
            </w:tcMar>
          </w:tcPr>
          <w:p w14:paraId="7565BC1D"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color w:val="000000"/>
              </w:rPr>
            </w:pPr>
            <w:r w:rsidRPr="001B6E4D">
              <w:rPr>
                <w:rFonts w:ascii="標楷體" w:eastAsia="標楷體" w:hAnsi="標楷體" w:hint="eastAsia"/>
                <w:color w:val="000000"/>
              </w:rPr>
              <w:t>有</w:t>
            </w:r>
            <w:proofErr w:type="gramStart"/>
            <w:r w:rsidRPr="001B6E4D">
              <w:rPr>
                <w:rFonts w:ascii="標楷體" w:eastAsia="標楷體" w:hAnsi="標楷體" w:hint="eastAsia"/>
                <w:color w:val="000000"/>
              </w:rPr>
              <w:t>鑑</w:t>
            </w:r>
            <w:proofErr w:type="gramEnd"/>
            <w:r w:rsidRPr="001B6E4D">
              <w:rPr>
                <w:rFonts w:ascii="標楷體" w:eastAsia="標楷體" w:hAnsi="標楷體" w:hint="eastAsia"/>
                <w:color w:val="000000"/>
              </w:rPr>
              <w:t>於行政院院長卓榮泰自就任以來，面對本院三讀通過之「立法院組織法」、「衛星廣播電視法」、「政黨及其附隨組織不當取得財產處理條例」及提升軍警權益、立法院助理費法制化等法案，屢屢展現「</w:t>
            </w:r>
            <w:proofErr w:type="gramStart"/>
            <w:r w:rsidRPr="001B6E4D">
              <w:rPr>
                <w:rFonts w:ascii="標楷體" w:eastAsia="標楷體" w:hAnsi="標楷體" w:hint="eastAsia"/>
                <w:color w:val="000000"/>
              </w:rPr>
              <w:t>不</w:t>
            </w:r>
            <w:proofErr w:type="gramEnd"/>
            <w:r w:rsidRPr="001B6E4D">
              <w:rPr>
                <w:rFonts w:ascii="標楷體" w:eastAsia="標楷體" w:hAnsi="標楷體" w:hint="eastAsia"/>
                <w:color w:val="000000"/>
              </w:rPr>
              <w:t>副署、</w:t>
            </w:r>
            <w:proofErr w:type="gramStart"/>
            <w:r w:rsidRPr="001B6E4D">
              <w:rPr>
                <w:rFonts w:ascii="標楷體" w:eastAsia="標楷體" w:hAnsi="標楷體" w:hint="eastAsia"/>
                <w:color w:val="000000"/>
              </w:rPr>
              <w:t>不</w:t>
            </w:r>
            <w:proofErr w:type="gramEnd"/>
            <w:r w:rsidRPr="001B6E4D">
              <w:rPr>
                <w:rFonts w:ascii="標楷體" w:eastAsia="標楷體" w:hAnsi="標楷體" w:hint="eastAsia"/>
                <w:color w:val="000000"/>
              </w:rPr>
              <w:t>公布、不執行」之怠惰態度。在賴清德總統與卓榮泰院長主導下，行政權恣意否決代表民意之立法權，將自身推向不受監督之絕對權力，破壞權力分立與制衡之民主原則，造就台灣民主史之巨大危機。依「中華民國憲法」，三讀通過之法律若遇窒礙難行，行政院依法僅能提出覆議；覆議未獲通過即應依法執行，此乃憲政運作基本秩序。然卓榮泰院長竟一再跨越憲法紅線，逕行以「</w:t>
            </w:r>
            <w:proofErr w:type="gramStart"/>
            <w:r w:rsidRPr="001B6E4D">
              <w:rPr>
                <w:rFonts w:ascii="標楷體" w:eastAsia="標楷體" w:hAnsi="標楷體" w:hint="eastAsia"/>
                <w:color w:val="000000"/>
              </w:rPr>
              <w:t>不</w:t>
            </w:r>
            <w:proofErr w:type="gramEnd"/>
            <w:r w:rsidRPr="001B6E4D">
              <w:rPr>
                <w:rFonts w:ascii="標楷體" w:eastAsia="標楷體" w:hAnsi="標楷體" w:hint="eastAsia"/>
                <w:color w:val="000000"/>
              </w:rPr>
              <w:t>副署」之名，行實質否決法律之實。當行政權可無視國會決議、拒絕依法行事，此等行徑若非獨裁，何謂獨裁？卓榮泰</w:t>
            </w:r>
            <w:r w:rsidRPr="001B6E4D">
              <w:rPr>
                <w:rFonts w:ascii="標楷體" w:eastAsia="標楷體" w:hAnsi="標楷體" w:hint="eastAsia"/>
                <w:color w:val="000000"/>
              </w:rPr>
              <w:lastRenderedPageBreak/>
              <w:t>院長任內覆議「八戰八敗」，卻不願正視民意反撲。覆議失敗後未回歸制度，反淪為不執行、不作為、不守法之「三無閣揆」，甘願作為架空立法權之打手，將台灣推向全面綠色威權。賴清德總統日前邀集五院院長茶敘倡議團結，實為虛情假意之政治秀；其口說捍衛憲法卻視法律為無物，實為台灣民主最卑劣的背叛者。台灣民眾黨黨團堅守憲政正軌，要求政府依法行政、依法執行，此舉不只為單一法律或族群，更為守住台灣民主得來不易之制度底線。</w:t>
            </w:r>
            <w:proofErr w:type="gramStart"/>
            <w:r w:rsidRPr="001B6E4D">
              <w:rPr>
                <w:rFonts w:ascii="標楷體" w:eastAsia="標楷體" w:hAnsi="標楷體" w:hint="eastAsia"/>
                <w:color w:val="000000"/>
              </w:rPr>
              <w:t>爰</w:t>
            </w:r>
            <w:proofErr w:type="gramEnd"/>
            <w:r w:rsidRPr="001B6E4D">
              <w:rPr>
                <w:rFonts w:ascii="標楷體" w:eastAsia="標楷體" w:hAnsi="標楷體" w:hint="eastAsia"/>
                <w:color w:val="000000"/>
              </w:rPr>
              <w:t>建請院會作成決議：「為維護國會尊嚴、捍衛國家憲政體制，對行政院院長卓榮泰提出嚴厲之譴責案，正告賴清德總統與卓榮泰院長應立即停止違法濫權『</w:t>
            </w:r>
            <w:proofErr w:type="gramStart"/>
            <w:r w:rsidRPr="001B6E4D">
              <w:rPr>
                <w:rFonts w:ascii="標楷體" w:eastAsia="標楷體" w:hAnsi="標楷體" w:hint="eastAsia"/>
                <w:color w:val="000000"/>
              </w:rPr>
              <w:t>不</w:t>
            </w:r>
            <w:proofErr w:type="gramEnd"/>
            <w:r w:rsidRPr="001B6E4D">
              <w:rPr>
                <w:rFonts w:ascii="標楷體" w:eastAsia="標楷體" w:hAnsi="標楷體" w:hint="eastAsia"/>
                <w:color w:val="000000"/>
              </w:rPr>
              <w:t>副署、</w:t>
            </w:r>
            <w:proofErr w:type="gramStart"/>
            <w:r w:rsidRPr="001B6E4D">
              <w:rPr>
                <w:rFonts w:ascii="標楷體" w:eastAsia="標楷體" w:hAnsi="標楷體" w:hint="eastAsia"/>
                <w:color w:val="000000"/>
              </w:rPr>
              <w:t>不</w:t>
            </w:r>
            <w:proofErr w:type="gramEnd"/>
            <w:r w:rsidRPr="001B6E4D">
              <w:rPr>
                <w:rFonts w:ascii="標楷體" w:eastAsia="標楷體" w:hAnsi="標楷體" w:hint="eastAsia"/>
                <w:color w:val="000000"/>
              </w:rPr>
              <w:t>公布、不執行』之行徑，回歸憲政運作之基本秩序。」是否有當？請公決案。</w:t>
            </w:r>
          </w:p>
        </w:tc>
        <w:tc>
          <w:tcPr>
            <w:tcW w:w="2126" w:type="dxa"/>
            <w:tcMar>
              <w:top w:w="85" w:type="dxa"/>
              <w:bottom w:w="85" w:type="dxa"/>
            </w:tcMar>
          </w:tcPr>
          <w:p w14:paraId="5AEE9D2B"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lastRenderedPageBreak/>
              <w:t>台灣民眾</w:t>
            </w:r>
            <w:proofErr w:type="gramStart"/>
            <w:r w:rsidRPr="001B6E4D">
              <w:rPr>
                <w:rFonts w:ascii="標楷體" w:eastAsia="標楷體" w:hAnsi="標楷體" w:hint="eastAsia"/>
                <w:color w:val="000000"/>
              </w:rPr>
              <w:t>黨</w:t>
            </w:r>
            <w:proofErr w:type="gramEnd"/>
            <w:r w:rsidRPr="001B6E4D">
              <w:rPr>
                <w:rFonts w:ascii="標楷體" w:eastAsia="標楷體" w:hAnsi="標楷體" w:hint="eastAsia"/>
                <w:color w:val="000000"/>
              </w:rPr>
              <w:t>黨團</w:t>
            </w:r>
          </w:p>
          <w:p w14:paraId="0F10658C" w14:textId="77777777" w:rsidR="00CF2199" w:rsidRPr="001B6E4D" w:rsidRDefault="00CF2199" w:rsidP="003D1018">
            <w:pPr>
              <w:widowControl w:val="0"/>
              <w:overflowPunct w:val="0"/>
              <w:rPr>
                <w:rFonts w:ascii="標楷體" w:eastAsia="標楷體" w:hAnsi="標楷體"/>
              </w:rPr>
            </w:pPr>
            <w:r w:rsidRPr="001B6E4D">
              <w:rPr>
                <w:rFonts w:ascii="標楷體" w:eastAsia="標楷體" w:hAnsi="標楷體" w:hint="eastAsia"/>
              </w:rPr>
              <w:t>115.3.6</w:t>
            </w:r>
          </w:p>
          <w:p w14:paraId="0314670F"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rPr>
              <w:t>（1</w:t>
            </w:r>
            <w:r w:rsidRPr="001B6E4D">
              <w:rPr>
                <w:rFonts w:ascii="標楷體" w:eastAsia="標楷體" w:hAnsi="標楷體"/>
              </w:rPr>
              <w:t>1</w:t>
            </w:r>
            <w:r w:rsidRPr="001B6E4D">
              <w:rPr>
                <w:rFonts w:ascii="標楷體" w:eastAsia="標楷體" w:hAnsi="標楷體" w:hint="eastAsia"/>
              </w:rPr>
              <w:t>-5-2）</w:t>
            </w:r>
          </w:p>
        </w:tc>
        <w:tc>
          <w:tcPr>
            <w:tcW w:w="1974" w:type="dxa"/>
            <w:tcMar>
              <w:top w:w="85" w:type="dxa"/>
              <w:bottom w:w="85" w:type="dxa"/>
            </w:tcMar>
          </w:tcPr>
          <w:p w14:paraId="40C24A98" w14:textId="77777777" w:rsidR="00CF2199" w:rsidRPr="001B6E4D" w:rsidRDefault="00CF2199"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1.院會115.3.6（1</w:t>
            </w:r>
            <w:r w:rsidRPr="001B6E4D">
              <w:rPr>
                <w:rFonts w:ascii="標楷體" w:eastAsia="標楷體" w:hAnsi="標楷體"/>
              </w:rPr>
              <w:t>1</w:t>
            </w:r>
            <w:r w:rsidRPr="001B6E4D">
              <w:rPr>
                <w:rFonts w:ascii="標楷體" w:eastAsia="標楷體" w:hAnsi="標楷體" w:hint="eastAsia"/>
              </w:rPr>
              <w:t>-5-2）</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p w14:paraId="78B48023" w14:textId="77777777" w:rsidR="00CF2199" w:rsidRPr="001B6E4D" w:rsidRDefault="00CF2199"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2.115.3.12黨團協商。</w:t>
            </w:r>
          </w:p>
        </w:tc>
      </w:tr>
      <w:tr w:rsidR="00CF2199" w:rsidRPr="001B6E4D" w14:paraId="6A757A89" w14:textId="77777777" w:rsidTr="002F016E">
        <w:trPr>
          <w:trHeight w:val="74"/>
        </w:trPr>
        <w:tc>
          <w:tcPr>
            <w:tcW w:w="578" w:type="dxa"/>
            <w:tcMar>
              <w:top w:w="85" w:type="dxa"/>
              <w:bottom w:w="85" w:type="dxa"/>
            </w:tcMar>
          </w:tcPr>
          <w:p w14:paraId="2A3ADD5D" w14:textId="77777777" w:rsidR="00CF2199" w:rsidRPr="001B6E4D" w:rsidRDefault="00CF2199" w:rsidP="003D1018">
            <w:pPr>
              <w:widowControl w:val="0"/>
              <w:overflowPunct w:val="0"/>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t>8</w:t>
            </w:r>
          </w:p>
        </w:tc>
        <w:tc>
          <w:tcPr>
            <w:tcW w:w="4111" w:type="dxa"/>
            <w:tcMar>
              <w:top w:w="85" w:type="dxa"/>
              <w:bottom w:w="85" w:type="dxa"/>
            </w:tcMar>
          </w:tcPr>
          <w:p w14:paraId="2F4B0729"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color w:val="000000"/>
              </w:rPr>
            </w:pPr>
            <w:r w:rsidRPr="001B6E4D">
              <w:rPr>
                <w:rFonts w:ascii="標楷體" w:eastAsia="標楷體" w:hAnsi="標楷體" w:hint="eastAsia"/>
                <w:color w:val="000000"/>
              </w:rPr>
              <w:t>國民黨黨團擬具公民投票提案主文為：「您是否同意『各級法院合議庭法官判處死刑不應侷限於一致決』之政策？」請公決案。</w:t>
            </w:r>
          </w:p>
        </w:tc>
        <w:tc>
          <w:tcPr>
            <w:tcW w:w="2126" w:type="dxa"/>
            <w:tcMar>
              <w:top w:w="85" w:type="dxa"/>
              <w:bottom w:w="85" w:type="dxa"/>
            </w:tcMar>
          </w:tcPr>
          <w:p w14:paraId="6C5E8995"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國民黨黨團</w:t>
            </w:r>
          </w:p>
          <w:p w14:paraId="01D1033B"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06</w:t>
            </w:r>
            <w:r w:rsidRPr="001B6E4D">
              <w:rPr>
                <w:rFonts w:ascii="標楷體" w:eastAsia="標楷體" w:hAnsi="標楷體"/>
                <w:color w:val="000000"/>
              </w:rPr>
              <w:t>.</w:t>
            </w:r>
            <w:r w:rsidRPr="001B6E4D">
              <w:rPr>
                <w:rFonts w:ascii="標楷體" w:eastAsia="標楷體" w:hAnsi="標楷體" w:hint="eastAsia"/>
                <w:color w:val="000000"/>
              </w:rPr>
              <w:t>26</w:t>
            </w:r>
          </w:p>
          <w:p w14:paraId="4A75A9B4"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15</w:t>
            </w:r>
            <w:r w:rsidRPr="001B6E4D">
              <w:rPr>
                <w:rFonts w:ascii="標楷體" w:eastAsia="標楷體" w:hAnsi="標楷體"/>
                <w:color w:val="000000"/>
              </w:rPr>
              <w:t>）</w:t>
            </w:r>
          </w:p>
        </w:tc>
        <w:tc>
          <w:tcPr>
            <w:tcW w:w="1974" w:type="dxa"/>
            <w:tcMar>
              <w:top w:w="85" w:type="dxa"/>
              <w:bottom w:w="85" w:type="dxa"/>
            </w:tcMar>
          </w:tcPr>
          <w:p w14:paraId="1EFC2BDF" w14:textId="77777777" w:rsidR="00CF2199" w:rsidRPr="001B6E4D" w:rsidRDefault="00CF2199"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1.院會115.6.26（1</w:t>
            </w:r>
            <w:r w:rsidRPr="001B6E4D">
              <w:rPr>
                <w:rFonts w:ascii="標楷體" w:eastAsia="標楷體" w:hAnsi="標楷體"/>
              </w:rPr>
              <w:t>1</w:t>
            </w:r>
            <w:r w:rsidRPr="001B6E4D">
              <w:rPr>
                <w:rFonts w:ascii="標楷體" w:eastAsia="標楷體" w:hAnsi="標楷體" w:hint="eastAsia"/>
              </w:rPr>
              <w:t>-5-15）</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p w14:paraId="4B2BCD72" w14:textId="77777777" w:rsidR="00CF2199" w:rsidRPr="001B6E4D" w:rsidRDefault="00CF2199"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2.115.8.4黨團協商。</w:t>
            </w:r>
          </w:p>
        </w:tc>
      </w:tr>
      <w:tr w:rsidR="00CF2199" w:rsidRPr="001B6E4D" w14:paraId="652E9AFA" w14:textId="77777777" w:rsidTr="002F016E">
        <w:trPr>
          <w:trHeight w:val="74"/>
        </w:trPr>
        <w:tc>
          <w:tcPr>
            <w:tcW w:w="578" w:type="dxa"/>
            <w:tcMar>
              <w:top w:w="85" w:type="dxa"/>
              <w:bottom w:w="85" w:type="dxa"/>
            </w:tcMar>
          </w:tcPr>
          <w:p w14:paraId="37EAB7BB" w14:textId="77777777" w:rsidR="00CF2199" w:rsidRPr="001B6E4D" w:rsidRDefault="00CF2199" w:rsidP="003D1018">
            <w:pPr>
              <w:widowControl w:val="0"/>
              <w:overflowPunct w:val="0"/>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t>9</w:t>
            </w:r>
          </w:p>
        </w:tc>
        <w:tc>
          <w:tcPr>
            <w:tcW w:w="4111" w:type="dxa"/>
            <w:tcMar>
              <w:top w:w="85" w:type="dxa"/>
              <w:bottom w:w="85" w:type="dxa"/>
            </w:tcMar>
          </w:tcPr>
          <w:p w14:paraId="4297523B"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color w:val="000000"/>
              </w:rPr>
            </w:pPr>
            <w:r w:rsidRPr="001B6E4D">
              <w:rPr>
                <w:rFonts w:ascii="標楷體" w:eastAsia="標楷體" w:hAnsi="標楷體" w:hint="eastAsia"/>
                <w:color w:val="000000"/>
              </w:rPr>
              <w:t>有</w:t>
            </w:r>
            <w:proofErr w:type="gramStart"/>
            <w:r w:rsidRPr="001B6E4D">
              <w:rPr>
                <w:rFonts w:ascii="標楷體" w:eastAsia="標楷體" w:hAnsi="標楷體" w:hint="eastAsia"/>
                <w:color w:val="000000"/>
              </w:rPr>
              <w:t>鑑</w:t>
            </w:r>
            <w:proofErr w:type="gramEnd"/>
            <w:r w:rsidRPr="001B6E4D">
              <w:rPr>
                <w:rFonts w:ascii="標楷體" w:eastAsia="標楷體" w:hAnsi="標楷體" w:hint="eastAsia"/>
                <w:color w:val="000000"/>
              </w:rPr>
              <w:t>於現今民進黨執政團隊屢以極端對抗取代朝野共識，以傲慢姿態面對民主體制，賴清德總統與行政院院長卓榮泰屢次濫用憲法副署權，將「</w:t>
            </w:r>
            <w:proofErr w:type="gramStart"/>
            <w:r w:rsidRPr="001B6E4D">
              <w:rPr>
                <w:rFonts w:ascii="標楷體" w:eastAsia="標楷體" w:hAnsi="標楷體" w:hint="eastAsia"/>
                <w:color w:val="000000"/>
              </w:rPr>
              <w:t>不</w:t>
            </w:r>
            <w:proofErr w:type="gramEnd"/>
            <w:r w:rsidRPr="001B6E4D">
              <w:rPr>
                <w:rFonts w:ascii="標楷體" w:eastAsia="標楷體" w:hAnsi="標楷體" w:hint="eastAsia"/>
                <w:color w:val="000000"/>
              </w:rPr>
              <w:t>副署」作為實質封殺法案之政治工具，不僅僭越職權、破壞權力分立，更將代表最新民意之立法院113席立法委員視若無物，</w:t>
            </w:r>
            <w:proofErr w:type="gramStart"/>
            <w:r w:rsidRPr="001B6E4D">
              <w:rPr>
                <w:rFonts w:ascii="標楷體" w:eastAsia="標楷體" w:hAnsi="標楷體" w:hint="eastAsia"/>
                <w:color w:val="000000"/>
              </w:rPr>
              <w:t>爰</w:t>
            </w:r>
            <w:proofErr w:type="gramEnd"/>
            <w:r w:rsidRPr="001B6E4D">
              <w:rPr>
                <w:rFonts w:ascii="標楷體" w:eastAsia="標楷體" w:hAnsi="標楷體" w:hint="eastAsia"/>
                <w:color w:val="000000"/>
              </w:rPr>
              <w:t>提出嚴正譴責。查民主之核心在於溝通與協調。面對朝野僵局，本院韓國瑜院長屢次居中斡旋，期盼化解對立，善意呼籲行政機關依法行政、履行憲法義務；然卓榮泰院長竟對此善意充耳不聞，甚至以傲慢言語反唇相譏，將違法濫權之「</w:t>
            </w:r>
            <w:proofErr w:type="gramStart"/>
            <w:r w:rsidRPr="001B6E4D">
              <w:rPr>
                <w:rFonts w:ascii="標楷體" w:eastAsia="標楷體" w:hAnsi="標楷體" w:hint="eastAsia"/>
                <w:color w:val="000000"/>
              </w:rPr>
              <w:t>不</w:t>
            </w:r>
            <w:proofErr w:type="gramEnd"/>
            <w:r w:rsidRPr="001B6E4D">
              <w:rPr>
                <w:rFonts w:ascii="標楷體" w:eastAsia="標楷體" w:hAnsi="標楷體" w:hint="eastAsia"/>
                <w:color w:val="000000"/>
              </w:rPr>
              <w:t>副署」</w:t>
            </w:r>
            <w:proofErr w:type="gramStart"/>
            <w:r w:rsidRPr="001B6E4D">
              <w:rPr>
                <w:rFonts w:ascii="標楷體" w:eastAsia="標楷體" w:hAnsi="標楷體" w:hint="eastAsia"/>
                <w:color w:val="000000"/>
              </w:rPr>
              <w:t>硬拗為捍衛</w:t>
            </w:r>
            <w:proofErr w:type="gramEnd"/>
            <w:r w:rsidRPr="001B6E4D">
              <w:rPr>
                <w:rFonts w:ascii="標楷體" w:eastAsia="標楷體" w:hAnsi="標楷體" w:hint="eastAsia"/>
                <w:color w:val="000000"/>
              </w:rPr>
              <w:t>憲政與財政。復查行政院接連對「臺灣兒少成長及未來帳戶條例」與「有線廣播電視法」等三讀法案拒絕副署，創下民主國家行政權無限擴張之惡例。連</w:t>
            </w:r>
            <w:proofErr w:type="gramStart"/>
            <w:r w:rsidRPr="001B6E4D">
              <w:rPr>
                <w:rFonts w:ascii="標楷體" w:eastAsia="標楷體" w:hAnsi="標楷體" w:hint="eastAsia"/>
                <w:color w:val="000000"/>
              </w:rPr>
              <w:t>攸</w:t>
            </w:r>
            <w:proofErr w:type="gramEnd"/>
            <w:r w:rsidRPr="001B6E4D">
              <w:rPr>
                <w:rFonts w:ascii="標楷體" w:eastAsia="標楷體" w:hAnsi="標楷體" w:hint="eastAsia"/>
                <w:color w:val="000000"/>
              </w:rPr>
              <w:t>關</w:t>
            </w:r>
            <w:r w:rsidRPr="001B6E4D">
              <w:rPr>
                <w:rFonts w:ascii="標楷體" w:eastAsia="標楷體" w:hAnsi="標楷體" w:hint="eastAsia"/>
                <w:color w:val="000000"/>
              </w:rPr>
              <w:lastRenderedPageBreak/>
              <w:t>下一代權益、毫無政治色彩之兒少法案皆慘遭封殺；行政高層動輒以「違憲」或「破壞財政」的大帽子扣擊在野黨，自身卻毫無財政紀律、浮濫編列預算大搞</w:t>
            </w:r>
            <w:proofErr w:type="gramStart"/>
            <w:r w:rsidRPr="001B6E4D">
              <w:rPr>
                <w:rFonts w:ascii="標楷體" w:eastAsia="標楷體" w:hAnsi="標楷體" w:hint="eastAsia"/>
                <w:color w:val="000000"/>
              </w:rPr>
              <w:t>政策撒幣</w:t>
            </w:r>
            <w:proofErr w:type="gramEnd"/>
            <w:r w:rsidRPr="001B6E4D">
              <w:rPr>
                <w:rFonts w:ascii="標楷體" w:eastAsia="標楷體" w:hAnsi="標楷體" w:hint="eastAsia"/>
                <w:color w:val="000000"/>
              </w:rPr>
              <w:t>，雙重標準莫此為甚。回顧歷史，前總統陳水扁面對朝小野大之局勢，尚知身段柔軟以求溝通妥協；前總統蔡英文亦曾高呼「謙卑、謙卑、再謙卑」。然如今賴清德總統卻剛愎自用，毫無檢討之意，</w:t>
            </w:r>
            <w:proofErr w:type="gramStart"/>
            <w:r w:rsidRPr="001B6E4D">
              <w:rPr>
                <w:rFonts w:ascii="標楷體" w:eastAsia="標楷體" w:hAnsi="標楷體" w:hint="eastAsia"/>
                <w:color w:val="000000"/>
              </w:rPr>
              <w:t>一</w:t>
            </w:r>
            <w:proofErr w:type="gramEnd"/>
            <w:r w:rsidRPr="001B6E4D">
              <w:rPr>
                <w:rFonts w:ascii="標楷體" w:eastAsia="標楷體" w:hAnsi="標楷體" w:hint="eastAsia"/>
                <w:color w:val="000000"/>
              </w:rPr>
              <w:t>步步帶領民進黨政府淪為拒絕接受國會監督之權力怪獸。尤有甚者，卓院長面對國會監督，竟以「知所先後，</w:t>
            </w:r>
            <w:proofErr w:type="gramStart"/>
            <w:r w:rsidRPr="001B6E4D">
              <w:rPr>
                <w:rFonts w:ascii="標楷體" w:eastAsia="標楷體" w:hAnsi="標楷體" w:hint="eastAsia"/>
                <w:color w:val="000000"/>
              </w:rPr>
              <w:t>則近道矣</w:t>
            </w:r>
            <w:proofErr w:type="gramEnd"/>
            <w:r w:rsidRPr="001B6E4D">
              <w:rPr>
                <w:rFonts w:ascii="標楷體" w:eastAsia="標楷體" w:hAnsi="標楷體" w:hint="eastAsia"/>
                <w:color w:val="000000"/>
              </w:rPr>
              <w:t>」等古語企圖粉飾其破壞憲法之實，實乃文不對題之政治話術。古語有</w:t>
            </w:r>
            <w:proofErr w:type="gramStart"/>
            <w:r w:rsidRPr="001B6E4D">
              <w:rPr>
                <w:rFonts w:ascii="標楷體" w:eastAsia="標楷體" w:hAnsi="標楷體" w:hint="eastAsia"/>
                <w:color w:val="000000"/>
              </w:rPr>
              <w:t>云</w:t>
            </w:r>
            <w:proofErr w:type="gramEnd"/>
            <w:r w:rsidRPr="001B6E4D">
              <w:rPr>
                <w:rFonts w:ascii="標楷體" w:eastAsia="標楷體" w:hAnsi="標楷體" w:hint="eastAsia"/>
                <w:color w:val="000000"/>
              </w:rPr>
              <w:t>：「君子</w:t>
            </w:r>
            <w:proofErr w:type="gramStart"/>
            <w:r w:rsidRPr="001B6E4D">
              <w:rPr>
                <w:rFonts w:ascii="標楷體" w:eastAsia="標楷體" w:hAnsi="標楷體" w:hint="eastAsia"/>
                <w:color w:val="000000"/>
              </w:rPr>
              <w:t>而詐善</w:t>
            </w:r>
            <w:proofErr w:type="gramEnd"/>
            <w:r w:rsidRPr="001B6E4D">
              <w:rPr>
                <w:rFonts w:ascii="標楷體" w:eastAsia="標楷體" w:hAnsi="標楷體" w:hint="eastAsia"/>
                <w:color w:val="000000"/>
              </w:rPr>
              <w:t>，無異小人</w:t>
            </w:r>
            <w:proofErr w:type="gramStart"/>
            <w:r w:rsidRPr="001B6E4D">
              <w:rPr>
                <w:rFonts w:ascii="標楷體" w:eastAsia="標楷體" w:hAnsi="標楷體" w:hint="eastAsia"/>
                <w:color w:val="000000"/>
              </w:rPr>
              <w:t>之肆惡</w:t>
            </w:r>
            <w:proofErr w:type="gramEnd"/>
            <w:r w:rsidRPr="001B6E4D">
              <w:rPr>
                <w:rFonts w:ascii="標楷體" w:eastAsia="標楷體" w:hAnsi="標楷體" w:hint="eastAsia"/>
                <w:color w:val="000000"/>
              </w:rPr>
              <w:t>」，本黨團特以此語奉送賴清德總統與卓榮泰院長，正告行政團隊莫再假借捍衛憲法之名，行破壞民主之實。</w:t>
            </w:r>
            <w:proofErr w:type="gramStart"/>
            <w:r w:rsidRPr="001B6E4D">
              <w:rPr>
                <w:rFonts w:ascii="標楷體" w:eastAsia="標楷體" w:hAnsi="標楷體" w:hint="eastAsia"/>
                <w:color w:val="000000"/>
              </w:rPr>
              <w:t>爰</w:t>
            </w:r>
            <w:proofErr w:type="gramEnd"/>
            <w:r w:rsidRPr="001B6E4D">
              <w:rPr>
                <w:rFonts w:ascii="標楷體" w:eastAsia="標楷體" w:hAnsi="標楷體" w:hint="eastAsia"/>
                <w:color w:val="000000"/>
              </w:rPr>
              <w:t>建請院會作成決議：「為維護國會尊嚴、捍衛國家憲政體制，對行政院院長卓榮泰提出嚴厲之譴責案。正告賴清德總統與卓榮泰院長應立即停止違法濫權『</w:t>
            </w:r>
            <w:proofErr w:type="gramStart"/>
            <w:r w:rsidRPr="001B6E4D">
              <w:rPr>
                <w:rFonts w:ascii="標楷體" w:eastAsia="標楷體" w:hAnsi="標楷體" w:hint="eastAsia"/>
                <w:color w:val="000000"/>
              </w:rPr>
              <w:t>不</w:t>
            </w:r>
            <w:proofErr w:type="gramEnd"/>
            <w:r w:rsidRPr="001B6E4D">
              <w:rPr>
                <w:rFonts w:ascii="標楷體" w:eastAsia="標楷體" w:hAnsi="標楷體" w:hint="eastAsia"/>
                <w:color w:val="000000"/>
              </w:rPr>
              <w:t>副署、</w:t>
            </w:r>
            <w:proofErr w:type="gramStart"/>
            <w:r w:rsidRPr="001B6E4D">
              <w:rPr>
                <w:rFonts w:ascii="標楷體" w:eastAsia="標楷體" w:hAnsi="標楷體" w:hint="eastAsia"/>
                <w:color w:val="000000"/>
              </w:rPr>
              <w:t>不</w:t>
            </w:r>
            <w:proofErr w:type="gramEnd"/>
            <w:r w:rsidRPr="001B6E4D">
              <w:rPr>
                <w:rFonts w:ascii="標楷體" w:eastAsia="標楷體" w:hAnsi="標楷體" w:hint="eastAsia"/>
                <w:color w:val="000000"/>
              </w:rPr>
              <w:t>公布、不執行』之行徑，回歸憲政運作之基本秩序，切勿成為台灣民主史上最惡劣之權力怪獸。」是否有當？請公決案。</w:t>
            </w:r>
          </w:p>
        </w:tc>
        <w:tc>
          <w:tcPr>
            <w:tcW w:w="2126" w:type="dxa"/>
            <w:tcMar>
              <w:top w:w="85" w:type="dxa"/>
              <w:bottom w:w="85" w:type="dxa"/>
            </w:tcMar>
          </w:tcPr>
          <w:p w14:paraId="423A7E58"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lastRenderedPageBreak/>
              <w:t>台灣民眾</w:t>
            </w:r>
            <w:proofErr w:type="gramStart"/>
            <w:r w:rsidRPr="001B6E4D">
              <w:rPr>
                <w:rFonts w:ascii="標楷體" w:eastAsia="標楷體" w:hAnsi="標楷體" w:hint="eastAsia"/>
                <w:color w:val="000000"/>
              </w:rPr>
              <w:t>黨</w:t>
            </w:r>
            <w:proofErr w:type="gramEnd"/>
            <w:r w:rsidRPr="001B6E4D">
              <w:rPr>
                <w:rFonts w:ascii="標楷體" w:eastAsia="標楷體" w:hAnsi="標楷體" w:hint="eastAsia"/>
                <w:color w:val="000000"/>
              </w:rPr>
              <w:t>黨團</w:t>
            </w:r>
          </w:p>
          <w:p w14:paraId="590DD8CC"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color w:val="000000"/>
              </w:rPr>
              <w:t>115.0</w:t>
            </w:r>
            <w:r w:rsidRPr="001B6E4D">
              <w:rPr>
                <w:rFonts w:ascii="標楷體" w:eastAsia="標楷體" w:hAnsi="標楷體" w:hint="eastAsia"/>
                <w:color w:val="000000"/>
              </w:rPr>
              <w:t>8</w:t>
            </w:r>
            <w:r w:rsidRPr="001B6E4D">
              <w:rPr>
                <w:rFonts w:ascii="標楷體" w:eastAsia="標楷體" w:hAnsi="標楷體"/>
                <w:color w:val="000000"/>
              </w:rPr>
              <w:t>.</w:t>
            </w:r>
            <w:r w:rsidRPr="001B6E4D">
              <w:rPr>
                <w:rFonts w:ascii="標楷體" w:eastAsia="標楷體" w:hAnsi="標楷體" w:hint="eastAsia"/>
                <w:color w:val="000000"/>
              </w:rPr>
              <w:t>2</w:t>
            </w:r>
            <w:r w:rsidRPr="001B6E4D">
              <w:rPr>
                <w:rFonts w:ascii="標楷體" w:eastAsia="標楷體" w:hAnsi="標楷體"/>
                <w:color w:val="000000"/>
              </w:rPr>
              <w:t>1</w:t>
            </w:r>
          </w:p>
          <w:p w14:paraId="0342FA5B"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color w:val="000000"/>
              </w:rPr>
              <w:t>（11-5-</w:t>
            </w:r>
            <w:r w:rsidRPr="001B6E4D">
              <w:rPr>
                <w:rFonts w:ascii="標楷體" w:eastAsia="標楷體" w:hAnsi="標楷體" w:hint="eastAsia"/>
                <w:color w:val="000000"/>
              </w:rPr>
              <w:t>23</w:t>
            </w:r>
            <w:r w:rsidRPr="001B6E4D">
              <w:rPr>
                <w:rFonts w:ascii="標楷體" w:eastAsia="標楷體" w:hAnsi="標楷體"/>
                <w:color w:val="000000"/>
              </w:rPr>
              <w:t>）</w:t>
            </w:r>
          </w:p>
        </w:tc>
        <w:tc>
          <w:tcPr>
            <w:tcW w:w="1974" w:type="dxa"/>
            <w:tcMar>
              <w:top w:w="85" w:type="dxa"/>
              <w:bottom w:w="85" w:type="dxa"/>
            </w:tcMar>
          </w:tcPr>
          <w:p w14:paraId="3B8B2C48"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rPr>
            </w:pPr>
            <w:r w:rsidRPr="001B6E4D">
              <w:rPr>
                <w:rFonts w:ascii="標楷體" w:eastAsia="標楷體" w:hAnsi="標楷體" w:hint="eastAsia"/>
              </w:rPr>
              <w:t>院會115.8.21（11-5-23）</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tc>
      </w:tr>
      <w:tr w:rsidR="00CF2199" w:rsidRPr="001B6E4D" w14:paraId="0ECC16F1" w14:textId="77777777" w:rsidTr="002F016E">
        <w:trPr>
          <w:trHeight w:val="74"/>
        </w:trPr>
        <w:tc>
          <w:tcPr>
            <w:tcW w:w="578" w:type="dxa"/>
            <w:tcMar>
              <w:top w:w="85" w:type="dxa"/>
              <w:bottom w:w="85" w:type="dxa"/>
            </w:tcMar>
          </w:tcPr>
          <w:p w14:paraId="47FC4AFA" w14:textId="77777777" w:rsidR="00CF2199" w:rsidRPr="001B6E4D" w:rsidRDefault="00CF2199" w:rsidP="003D1018">
            <w:pPr>
              <w:widowControl w:val="0"/>
              <w:overflowPunct w:val="0"/>
              <w:adjustRightInd w:val="0"/>
              <w:snapToGrid w:val="0"/>
              <w:spacing w:line="300" w:lineRule="exact"/>
              <w:jc w:val="center"/>
              <w:rPr>
                <w:rFonts w:ascii="標楷體" w:eastAsia="標楷體" w:hAnsi="標楷體"/>
                <w:color w:val="000000"/>
              </w:rPr>
            </w:pPr>
            <w:r w:rsidRPr="001B6E4D">
              <w:rPr>
                <w:rFonts w:ascii="標楷體" w:eastAsia="標楷體" w:hAnsi="標楷體" w:hint="eastAsia"/>
                <w:color w:val="000000"/>
              </w:rPr>
              <w:t>1</w:t>
            </w:r>
            <w:r w:rsidRPr="001B6E4D">
              <w:rPr>
                <w:rFonts w:ascii="標楷體" w:eastAsia="標楷體" w:hAnsi="標楷體"/>
                <w:color w:val="000000"/>
              </w:rPr>
              <w:t>0</w:t>
            </w:r>
          </w:p>
        </w:tc>
        <w:tc>
          <w:tcPr>
            <w:tcW w:w="4111" w:type="dxa"/>
            <w:tcMar>
              <w:top w:w="85" w:type="dxa"/>
              <w:bottom w:w="85" w:type="dxa"/>
            </w:tcMar>
          </w:tcPr>
          <w:p w14:paraId="34D530B6" w14:textId="77777777" w:rsidR="00CF2199" w:rsidRPr="001B6E4D" w:rsidRDefault="00CF2199" w:rsidP="003D1018">
            <w:pPr>
              <w:widowControl w:val="0"/>
              <w:overflowPunct w:val="0"/>
              <w:adjustRightInd w:val="0"/>
              <w:snapToGrid w:val="0"/>
              <w:spacing w:line="300" w:lineRule="exact"/>
              <w:jc w:val="both"/>
              <w:rPr>
                <w:rFonts w:ascii="標楷體" w:eastAsia="標楷體" w:hAnsi="標楷體"/>
                <w:color w:val="000000"/>
              </w:rPr>
            </w:pPr>
            <w:r w:rsidRPr="001B6E4D">
              <w:rPr>
                <w:rFonts w:ascii="標楷體" w:eastAsia="標楷體" w:hAnsi="標楷體" w:hint="eastAsia"/>
                <w:color w:val="000000"/>
              </w:rPr>
              <w:t>本院委員洪孟楷、楊瓊瓔、王鴻薇、蘇清泉、林德福、廖偉翔、黃健豪、陳玉珍等52人擬具公民投票提案主文為：「您是否同意政府制定法律，針對性侵害犯罪、凌</w:t>
            </w:r>
            <w:proofErr w:type="gramStart"/>
            <w:r w:rsidRPr="001B6E4D">
              <w:rPr>
                <w:rFonts w:ascii="標楷體" w:eastAsia="標楷體" w:hAnsi="標楷體" w:hint="eastAsia"/>
                <w:color w:val="000000"/>
              </w:rPr>
              <w:t>虐</w:t>
            </w:r>
            <w:proofErr w:type="gramEnd"/>
            <w:r w:rsidRPr="001B6E4D">
              <w:rPr>
                <w:rFonts w:ascii="標楷體" w:eastAsia="標楷體" w:hAnsi="標楷體" w:hint="eastAsia"/>
                <w:color w:val="000000"/>
              </w:rPr>
              <w:t>幼童罪、以及高額詐欺罪、複合型態加重詐欺罪，增設由法院宣告並依法執行之特別刑法制度（鞭刑），以嚇阻犯罪持續發生？」請公決案。</w:t>
            </w:r>
          </w:p>
        </w:tc>
        <w:tc>
          <w:tcPr>
            <w:tcW w:w="2126" w:type="dxa"/>
            <w:tcMar>
              <w:top w:w="85" w:type="dxa"/>
              <w:bottom w:w="85" w:type="dxa"/>
            </w:tcMar>
          </w:tcPr>
          <w:p w14:paraId="7B3C87E1" w14:textId="77777777" w:rsidR="00941B78" w:rsidRPr="001B6E4D" w:rsidRDefault="00CF2199" w:rsidP="003D1018">
            <w:pPr>
              <w:widowControl w:val="0"/>
              <w:overflowPunct w:val="0"/>
              <w:jc w:val="both"/>
              <w:rPr>
                <w:rFonts w:ascii="標楷體" w:eastAsia="標楷體" w:hAnsi="標楷體"/>
                <w:color w:val="000000"/>
              </w:rPr>
            </w:pPr>
            <w:r w:rsidRPr="001B6E4D">
              <w:rPr>
                <w:rFonts w:ascii="標楷體" w:eastAsia="標楷體" w:hAnsi="標楷體" w:hint="eastAsia"/>
                <w:color w:val="000000"/>
              </w:rPr>
              <w:t>委員洪孟楷、楊瓊瓔、王鴻薇、蘇清泉、林德福、廖偉翔、黃健豪、陳玉珍</w:t>
            </w:r>
          </w:p>
          <w:p w14:paraId="71BA926D" w14:textId="794F88B5"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hint="eastAsia"/>
                <w:color w:val="000000"/>
              </w:rPr>
              <w:t>等52人</w:t>
            </w:r>
            <w:r w:rsidRPr="001B6E4D">
              <w:rPr>
                <w:rFonts w:ascii="標楷體" w:eastAsia="標楷體" w:hAnsi="標楷體"/>
                <w:color w:val="000000"/>
              </w:rPr>
              <w:t>115.</w:t>
            </w:r>
            <w:r w:rsidRPr="001B6E4D">
              <w:rPr>
                <w:rFonts w:ascii="標楷體" w:eastAsia="標楷體" w:hAnsi="標楷體" w:hint="eastAsia"/>
                <w:color w:val="000000"/>
              </w:rPr>
              <w:t>07</w:t>
            </w:r>
            <w:r w:rsidRPr="001B6E4D">
              <w:rPr>
                <w:rFonts w:ascii="標楷體" w:eastAsia="標楷體" w:hAnsi="標楷體"/>
                <w:color w:val="000000"/>
              </w:rPr>
              <w:t>.</w:t>
            </w:r>
            <w:r w:rsidRPr="001B6E4D">
              <w:rPr>
                <w:rFonts w:ascii="標楷體" w:eastAsia="標楷體" w:hAnsi="標楷體" w:hint="eastAsia"/>
                <w:color w:val="000000"/>
              </w:rPr>
              <w:t>03</w:t>
            </w:r>
          </w:p>
          <w:p w14:paraId="1D905769" w14:textId="77777777" w:rsidR="00CF2199" w:rsidRPr="001B6E4D" w:rsidRDefault="00CF2199" w:rsidP="003D1018">
            <w:pPr>
              <w:widowControl w:val="0"/>
              <w:overflowPunct w:val="0"/>
              <w:rPr>
                <w:rFonts w:ascii="標楷體" w:eastAsia="標楷體" w:hAnsi="標楷體"/>
                <w:color w:val="000000"/>
              </w:rPr>
            </w:pPr>
            <w:r w:rsidRPr="001B6E4D">
              <w:rPr>
                <w:rFonts w:ascii="標楷體" w:eastAsia="標楷體" w:hAnsi="標楷體"/>
                <w:color w:val="000000"/>
              </w:rPr>
              <w:t>（11-</w:t>
            </w:r>
            <w:r w:rsidRPr="001B6E4D">
              <w:rPr>
                <w:rFonts w:ascii="標楷體" w:eastAsia="標楷體" w:hAnsi="標楷體" w:hint="eastAsia"/>
                <w:color w:val="000000"/>
              </w:rPr>
              <w:t>5</w:t>
            </w:r>
            <w:r w:rsidRPr="001B6E4D">
              <w:rPr>
                <w:rFonts w:ascii="標楷體" w:eastAsia="標楷體" w:hAnsi="標楷體"/>
                <w:color w:val="000000"/>
              </w:rPr>
              <w:t>-</w:t>
            </w:r>
            <w:r w:rsidRPr="001B6E4D">
              <w:rPr>
                <w:rFonts w:ascii="標楷體" w:eastAsia="標楷體" w:hAnsi="標楷體" w:hint="eastAsia"/>
                <w:color w:val="000000"/>
              </w:rPr>
              <w:t>16</w:t>
            </w:r>
            <w:r w:rsidRPr="001B6E4D">
              <w:rPr>
                <w:rFonts w:ascii="標楷體" w:eastAsia="標楷體" w:hAnsi="標楷體"/>
                <w:color w:val="000000"/>
              </w:rPr>
              <w:t>）</w:t>
            </w:r>
          </w:p>
        </w:tc>
        <w:tc>
          <w:tcPr>
            <w:tcW w:w="1974" w:type="dxa"/>
            <w:tcMar>
              <w:top w:w="85" w:type="dxa"/>
              <w:bottom w:w="85" w:type="dxa"/>
            </w:tcMar>
          </w:tcPr>
          <w:p w14:paraId="45761BB4" w14:textId="77777777" w:rsidR="00CF2199" w:rsidRPr="001B6E4D" w:rsidRDefault="00CF2199"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1.院會115.7.3（1</w:t>
            </w:r>
            <w:r w:rsidRPr="001B6E4D">
              <w:rPr>
                <w:rFonts w:ascii="標楷體" w:eastAsia="標楷體" w:hAnsi="標楷體"/>
              </w:rPr>
              <w:t>1</w:t>
            </w:r>
            <w:r w:rsidRPr="001B6E4D">
              <w:rPr>
                <w:rFonts w:ascii="標楷體" w:eastAsia="標楷體" w:hAnsi="標楷體" w:hint="eastAsia"/>
              </w:rPr>
              <w:t>-5-16）</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p w14:paraId="5F11A9F2" w14:textId="77777777" w:rsidR="00CF2199" w:rsidRPr="001B6E4D" w:rsidRDefault="00CF2199" w:rsidP="003D1018">
            <w:pPr>
              <w:widowControl w:val="0"/>
              <w:kinsoku w:val="0"/>
              <w:overflowPunct w:val="0"/>
              <w:autoSpaceDE w:val="0"/>
              <w:autoSpaceDN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2.115.8.4黨團協商。</w:t>
            </w:r>
          </w:p>
          <w:p w14:paraId="43B195C9" w14:textId="77777777" w:rsidR="00CF2199" w:rsidRPr="001B6E4D" w:rsidRDefault="00CF2199"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3.院會115.8.14（11-5-22）通過。</w:t>
            </w:r>
          </w:p>
        </w:tc>
      </w:tr>
    </w:tbl>
    <w:p w14:paraId="1EAA39CD" w14:textId="601337DF" w:rsidR="00F96A69" w:rsidRPr="001B6E4D" w:rsidRDefault="00F96A69" w:rsidP="003D1018">
      <w:pPr>
        <w:pStyle w:val="affffff0"/>
        <w:overflowPunct w:val="0"/>
        <w:spacing w:before="180" w:after="180"/>
        <w:outlineLvl w:val="1"/>
        <w:rPr>
          <w:color w:val="000000" w:themeColor="text1"/>
        </w:rPr>
        <w:sectPr w:rsidR="00F96A69" w:rsidRPr="001B6E4D" w:rsidSect="00B8553E">
          <w:pgSz w:w="11906" w:h="16838"/>
          <w:pgMar w:top="1440" w:right="1133" w:bottom="1440" w:left="1800" w:header="851" w:footer="992" w:gutter="0"/>
          <w:cols w:space="425"/>
          <w:docGrid w:type="lines" w:linePitch="360"/>
        </w:sectPr>
      </w:pPr>
    </w:p>
    <w:p w14:paraId="1F465A27" w14:textId="588FEAD5" w:rsidR="004C4569" w:rsidRPr="001B6E4D" w:rsidRDefault="004C4569" w:rsidP="003D1018">
      <w:pPr>
        <w:pStyle w:val="affffff0"/>
        <w:overflowPunct w:val="0"/>
        <w:spacing w:before="180" w:after="180"/>
        <w:outlineLvl w:val="1"/>
        <w:rPr>
          <w:color w:val="000000" w:themeColor="text1"/>
        </w:rPr>
      </w:pPr>
      <w:bookmarkStart w:id="419" w:name="_Toc240446577"/>
      <w:bookmarkEnd w:id="416"/>
      <w:bookmarkEnd w:id="417"/>
      <w:r w:rsidRPr="001B6E4D">
        <w:rPr>
          <w:color w:val="000000" w:themeColor="text1"/>
        </w:rPr>
        <w:lastRenderedPageBreak/>
        <w:t>［</w:t>
      </w:r>
      <w:r w:rsidRPr="001B6E4D">
        <w:rPr>
          <w:rFonts w:hint="eastAsia"/>
          <w:color w:val="000000" w:themeColor="text1"/>
        </w:rPr>
        <w:t>參</w:t>
      </w:r>
      <w:r w:rsidRPr="001B6E4D">
        <w:rPr>
          <w:color w:val="000000" w:themeColor="text1"/>
        </w:rPr>
        <w:t>］</w:t>
      </w:r>
      <w:r w:rsidRPr="001B6E4D">
        <w:rPr>
          <w:rFonts w:hint="eastAsia"/>
          <w:color w:val="000000" w:themeColor="text1"/>
        </w:rPr>
        <w:t>立法院內</w:t>
      </w:r>
      <w:proofErr w:type="gramStart"/>
      <w:r w:rsidRPr="001B6E4D">
        <w:rPr>
          <w:rFonts w:hint="eastAsia"/>
          <w:color w:val="000000" w:themeColor="text1"/>
        </w:rPr>
        <w:t>規</w:t>
      </w:r>
      <w:proofErr w:type="gramEnd"/>
      <w:r w:rsidRPr="001B6E4D">
        <w:rPr>
          <w:rFonts w:hint="eastAsia"/>
          <w:color w:val="000000" w:themeColor="text1"/>
        </w:rPr>
        <w:t>1案</w:t>
      </w:r>
      <w:bookmarkEnd w:id="419"/>
    </w:p>
    <w:tbl>
      <w:tblPr>
        <w:tblW w:w="8789" w:type="dxa"/>
        <w:tblInd w:w="-34"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709"/>
        <w:gridCol w:w="2127"/>
        <w:gridCol w:w="2268"/>
        <w:gridCol w:w="3685"/>
      </w:tblGrid>
      <w:tr w:rsidR="00FB6C32" w:rsidRPr="001B6E4D" w14:paraId="72A87E30" w14:textId="77777777" w:rsidTr="009548F9">
        <w:tc>
          <w:tcPr>
            <w:tcW w:w="709" w:type="dxa"/>
            <w:tcMar>
              <w:top w:w="85" w:type="dxa"/>
              <w:bottom w:w="85" w:type="dxa"/>
            </w:tcMar>
            <w:vAlign w:val="center"/>
          </w:tcPr>
          <w:p w14:paraId="12403169" w14:textId="77777777" w:rsidR="00FB6C32" w:rsidRPr="001B6E4D" w:rsidRDefault="00FB6C32"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b/>
                <w:color w:val="000000"/>
                <w:kern w:val="0"/>
              </w:rPr>
              <w:t>序號</w:t>
            </w:r>
          </w:p>
        </w:tc>
        <w:tc>
          <w:tcPr>
            <w:tcW w:w="2127" w:type="dxa"/>
            <w:tcMar>
              <w:top w:w="85" w:type="dxa"/>
              <w:bottom w:w="85" w:type="dxa"/>
            </w:tcMar>
            <w:vAlign w:val="center"/>
          </w:tcPr>
          <w:p w14:paraId="43B43996" w14:textId="77777777" w:rsidR="00FB6C32" w:rsidRPr="001B6E4D" w:rsidRDefault="00FB6C32"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b/>
                <w:color w:val="000000"/>
                <w:kern w:val="0"/>
              </w:rPr>
              <w:t>議案名稱</w:t>
            </w:r>
          </w:p>
        </w:tc>
        <w:tc>
          <w:tcPr>
            <w:tcW w:w="2268" w:type="dxa"/>
            <w:tcMar>
              <w:top w:w="85" w:type="dxa"/>
              <w:bottom w:w="85" w:type="dxa"/>
            </w:tcMar>
            <w:vAlign w:val="center"/>
          </w:tcPr>
          <w:p w14:paraId="741206AB" w14:textId="22DBBF6B" w:rsidR="00FB6C32" w:rsidRPr="001B6E4D" w:rsidRDefault="00FB6C32"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b/>
                <w:color w:val="000000"/>
                <w:kern w:val="0"/>
              </w:rPr>
              <w:t>提案委員或機關</w:t>
            </w:r>
          </w:p>
          <w:p w14:paraId="7296C81A" w14:textId="77777777" w:rsidR="00FB6C32" w:rsidRPr="001B6E4D" w:rsidRDefault="00FB6C32" w:rsidP="003D1018">
            <w:pPr>
              <w:widowControl w:val="0"/>
              <w:overflowPunct w:val="0"/>
              <w:adjustRightInd w:val="0"/>
              <w:snapToGrid w:val="0"/>
              <w:spacing w:line="280" w:lineRule="exact"/>
              <w:jc w:val="center"/>
              <w:textAlignment w:val="baseline"/>
              <w:rPr>
                <w:rFonts w:ascii="標楷體" w:eastAsia="標楷體" w:hAnsi="標楷體"/>
                <w:b/>
                <w:color w:val="000000"/>
                <w:kern w:val="0"/>
              </w:rPr>
            </w:pPr>
            <w:r w:rsidRPr="001B6E4D">
              <w:rPr>
                <w:rFonts w:ascii="標楷體" w:eastAsia="標楷體" w:hAnsi="標楷體"/>
                <w:b/>
                <w:color w:val="000000"/>
                <w:kern w:val="0"/>
              </w:rPr>
              <w:t>院會</w:t>
            </w:r>
            <w:proofErr w:type="gramStart"/>
            <w:r w:rsidRPr="001B6E4D">
              <w:rPr>
                <w:rFonts w:ascii="標楷體" w:eastAsia="標楷體" w:hAnsi="標楷體"/>
                <w:b/>
                <w:color w:val="000000"/>
                <w:kern w:val="0"/>
              </w:rPr>
              <w:t>逕</w:t>
            </w:r>
            <w:proofErr w:type="gramEnd"/>
            <w:r w:rsidRPr="001B6E4D">
              <w:rPr>
                <w:rFonts w:ascii="標楷體" w:eastAsia="標楷體" w:hAnsi="標楷體"/>
                <w:b/>
                <w:color w:val="000000"/>
                <w:kern w:val="0"/>
              </w:rPr>
              <w:t>付二讀日期（會次）</w:t>
            </w:r>
          </w:p>
        </w:tc>
        <w:tc>
          <w:tcPr>
            <w:tcW w:w="3685" w:type="dxa"/>
            <w:tcMar>
              <w:top w:w="85" w:type="dxa"/>
              <w:bottom w:w="85" w:type="dxa"/>
            </w:tcMar>
            <w:vAlign w:val="center"/>
          </w:tcPr>
          <w:p w14:paraId="1D878290" w14:textId="77777777" w:rsidR="00FB6C32" w:rsidRPr="001B6E4D" w:rsidRDefault="00FB6C32" w:rsidP="003D1018">
            <w:pPr>
              <w:widowControl w:val="0"/>
              <w:overflowPunct w:val="0"/>
              <w:adjustRightInd w:val="0"/>
              <w:snapToGrid w:val="0"/>
              <w:spacing w:line="280" w:lineRule="exact"/>
              <w:ind w:left="240" w:hangingChars="100" w:hanging="240"/>
              <w:jc w:val="center"/>
              <w:textAlignment w:val="baseline"/>
              <w:rPr>
                <w:rFonts w:ascii="標楷體" w:eastAsia="標楷體" w:hAnsi="標楷體"/>
                <w:b/>
                <w:color w:val="000000"/>
                <w:kern w:val="0"/>
              </w:rPr>
            </w:pPr>
            <w:r w:rsidRPr="001B6E4D">
              <w:rPr>
                <w:rFonts w:ascii="標楷體" w:eastAsia="標楷體" w:hAnsi="標楷體" w:hint="eastAsia"/>
                <w:b/>
                <w:color w:val="000000"/>
              </w:rPr>
              <w:t>處理、審議</w:t>
            </w:r>
            <w:r w:rsidRPr="001B6E4D">
              <w:rPr>
                <w:rFonts w:ascii="標楷體" w:eastAsia="標楷體" w:hAnsi="標楷體"/>
                <w:b/>
                <w:color w:val="000000"/>
                <w:kern w:val="0"/>
              </w:rPr>
              <w:t>情形</w:t>
            </w:r>
          </w:p>
        </w:tc>
      </w:tr>
      <w:tr w:rsidR="00FB6C32" w:rsidRPr="001B6E4D" w14:paraId="1241B729" w14:textId="77777777" w:rsidTr="009548F9">
        <w:trPr>
          <w:trHeight w:val="74"/>
        </w:trPr>
        <w:tc>
          <w:tcPr>
            <w:tcW w:w="709" w:type="dxa"/>
            <w:tcMar>
              <w:top w:w="85" w:type="dxa"/>
              <w:bottom w:w="85" w:type="dxa"/>
            </w:tcMar>
          </w:tcPr>
          <w:p w14:paraId="44FDFA43" w14:textId="77777777" w:rsidR="00FB6C32" w:rsidRPr="001B6E4D" w:rsidRDefault="00FB6C32" w:rsidP="003D1018">
            <w:pPr>
              <w:widowControl w:val="0"/>
              <w:numPr>
                <w:ilvl w:val="0"/>
                <w:numId w:val="19"/>
              </w:numPr>
              <w:overflowPunct w:val="0"/>
              <w:adjustRightInd w:val="0"/>
              <w:snapToGrid w:val="0"/>
              <w:spacing w:line="300" w:lineRule="exact"/>
              <w:jc w:val="center"/>
              <w:rPr>
                <w:rFonts w:ascii="標楷體" w:eastAsia="標楷體" w:hAnsi="標楷體"/>
                <w:color w:val="000000"/>
                <w:szCs w:val="22"/>
              </w:rPr>
            </w:pPr>
          </w:p>
        </w:tc>
        <w:tc>
          <w:tcPr>
            <w:tcW w:w="2127" w:type="dxa"/>
            <w:tcMar>
              <w:top w:w="85" w:type="dxa"/>
              <w:bottom w:w="85" w:type="dxa"/>
            </w:tcMar>
          </w:tcPr>
          <w:p w14:paraId="5E76BBDF" w14:textId="77777777" w:rsidR="00FB6C32" w:rsidRPr="001B6E4D" w:rsidRDefault="00FB6C32" w:rsidP="003D1018">
            <w:pPr>
              <w:widowControl w:val="0"/>
              <w:overflowPunct w:val="0"/>
              <w:adjustRightInd w:val="0"/>
              <w:snapToGrid w:val="0"/>
              <w:spacing w:line="300" w:lineRule="exact"/>
              <w:ind w:rightChars="-45" w:right="-108"/>
              <w:rPr>
                <w:rFonts w:ascii="標楷體" w:eastAsia="標楷體" w:hAnsi="標楷體"/>
                <w:color w:val="000000"/>
              </w:rPr>
            </w:pPr>
            <w:r w:rsidRPr="001B6E4D">
              <w:rPr>
                <w:rFonts w:ascii="標楷體" w:eastAsia="標楷體" w:hAnsi="標楷體"/>
                <w:color w:val="000000"/>
              </w:rPr>
              <w:t>立法院議事規則第四十七條、第四十八條及第五十二</w:t>
            </w:r>
            <w:proofErr w:type="gramStart"/>
            <w:r w:rsidRPr="001B6E4D">
              <w:rPr>
                <w:rFonts w:ascii="標楷體" w:eastAsia="標楷體" w:hAnsi="標楷體"/>
                <w:color w:val="000000"/>
              </w:rPr>
              <w:t>條</w:t>
            </w:r>
            <w:proofErr w:type="gramEnd"/>
            <w:r w:rsidRPr="001B6E4D">
              <w:rPr>
                <w:rFonts w:ascii="標楷體" w:eastAsia="標楷體" w:hAnsi="標楷體"/>
                <w:color w:val="000000"/>
              </w:rPr>
              <w:t>條文修正草案</w:t>
            </w:r>
          </w:p>
        </w:tc>
        <w:tc>
          <w:tcPr>
            <w:tcW w:w="2268" w:type="dxa"/>
            <w:tcMar>
              <w:top w:w="85" w:type="dxa"/>
              <w:bottom w:w="85" w:type="dxa"/>
            </w:tcMar>
          </w:tcPr>
          <w:p w14:paraId="0C124A8F" w14:textId="77777777" w:rsidR="00FB6C32" w:rsidRPr="001B6E4D" w:rsidRDefault="00FB6C32" w:rsidP="003D1018">
            <w:pPr>
              <w:widowControl w:val="0"/>
              <w:overflowPunct w:val="0"/>
              <w:rPr>
                <w:rFonts w:ascii="標楷體" w:eastAsia="標楷體" w:hAnsi="標楷體"/>
                <w:color w:val="000000"/>
              </w:rPr>
            </w:pPr>
            <w:r w:rsidRPr="001B6E4D">
              <w:rPr>
                <w:rFonts w:ascii="標楷體" w:eastAsia="標楷體" w:hAnsi="標楷體"/>
                <w:color w:val="000000"/>
              </w:rPr>
              <w:t>民進黨黨團</w:t>
            </w:r>
          </w:p>
          <w:p w14:paraId="34C2FCAF" w14:textId="77777777" w:rsidR="00FB6C32" w:rsidRPr="001B6E4D" w:rsidRDefault="00FB6C32" w:rsidP="003D1018">
            <w:pPr>
              <w:widowControl w:val="0"/>
              <w:overflowPunct w:val="0"/>
              <w:rPr>
                <w:rFonts w:ascii="標楷體" w:eastAsia="標楷體" w:hAnsi="標楷體"/>
                <w:color w:val="000000"/>
              </w:rPr>
            </w:pPr>
            <w:r w:rsidRPr="001B6E4D">
              <w:rPr>
                <w:rFonts w:ascii="標楷體" w:eastAsia="標楷體" w:hAnsi="標楷體"/>
                <w:color w:val="000000"/>
              </w:rPr>
              <w:t>113.04.09</w:t>
            </w:r>
          </w:p>
          <w:p w14:paraId="376489E9" w14:textId="77777777" w:rsidR="00FB6C32" w:rsidRPr="001B6E4D" w:rsidRDefault="00FB6C32" w:rsidP="003D1018">
            <w:pPr>
              <w:widowControl w:val="0"/>
              <w:overflowPunct w:val="0"/>
              <w:rPr>
                <w:rFonts w:ascii="標楷體" w:eastAsia="標楷體" w:hAnsi="標楷體"/>
                <w:color w:val="000000"/>
              </w:rPr>
            </w:pPr>
            <w:r w:rsidRPr="001B6E4D">
              <w:rPr>
                <w:rFonts w:ascii="標楷體" w:eastAsia="標楷體" w:hAnsi="標楷體"/>
                <w:color w:val="000000"/>
              </w:rPr>
              <w:t>（11-1-8）</w:t>
            </w:r>
          </w:p>
        </w:tc>
        <w:tc>
          <w:tcPr>
            <w:tcW w:w="3685" w:type="dxa"/>
            <w:tcMar>
              <w:top w:w="85" w:type="dxa"/>
              <w:bottom w:w="85" w:type="dxa"/>
            </w:tcMar>
          </w:tcPr>
          <w:p w14:paraId="270B7C4C" w14:textId="77777777" w:rsidR="00FB6C32" w:rsidRPr="001B6E4D" w:rsidRDefault="00FB6C32"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rPr>
              <w:t>1.本會113.4.22(11-1-15)(民進黨黨團提案說明完畢)。</w:t>
            </w:r>
          </w:p>
          <w:p w14:paraId="7EAC427A" w14:textId="77777777" w:rsidR="00FB6C32" w:rsidRPr="001B6E4D" w:rsidRDefault="00FB6C32"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rPr>
              <w:t>2.本會113.4.25(11-1-17)報告及</w:t>
            </w:r>
            <w:proofErr w:type="gramStart"/>
            <w:r w:rsidRPr="001B6E4D">
              <w:rPr>
                <w:rFonts w:ascii="標楷體" w:eastAsia="標楷體" w:hAnsi="標楷體"/>
              </w:rPr>
              <w:t>詢</w:t>
            </w:r>
            <w:proofErr w:type="gramEnd"/>
            <w:r w:rsidRPr="001B6E4D">
              <w:rPr>
                <w:rFonts w:ascii="標楷體" w:eastAsia="標楷體" w:hAnsi="標楷體"/>
              </w:rPr>
              <w:t>答完畢，另定期繼續審查。</w:t>
            </w:r>
          </w:p>
          <w:p w14:paraId="317F3E7A" w14:textId="77777777" w:rsidR="00FB6C32" w:rsidRPr="001B6E4D" w:rsidRDefault="00FB6C32"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rPr>
              <w:t>3.本會113.5.6(11-1-19)另定期繼續審查。</w:t>
            </w:r>
          </w:p>
          <w:p w14:paraId="798CA768" w14:textId="77777777" w:rsidR="00FB6C32" w:rsidRPr="001B6E4D" w:rsidRDefault="00FB6C32"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rPr>
              <w:t>4.本會113.5.8(11-1-20)另定期繼續審查。</w:t>
            </w:r>
          </w:p>
          <w:p w14:paraId="23FF3FDD" w14:textId="77777777" w:rsidR="00FB6C32" w:rsidRPr="001B6E4D" w:rsidRDefault="00FB6C32" w:rsidP="003D1018">
            <w:pPr>
              <w:widowControl w:val="0"/>
              <w:overflowPunct w:val="0"/>
              <w:adjustRightInd w:val="0"/>
              <w:snapToGrid w:val="0"/>
              <w:spacing w:line="300" w:lineRule="exact"/>
              <w:ind w:left="240" w:hangingChars="100" w:hanging="240"/>
              <w:jc w:val="both"/>
              <w:rPr>
                <w:rFonts w:ascii="標楷體" w:eastAsia="標楷體" w:hAnsi="標楷體"/>
              </w:rPr>
            </w:pPr>
            <w:r w:rsidRPr="001B6E4D">
              <w:rPr>
                <w:rFonts w:ascii="標楷體" w:eastAsia="標楷體" w:hAnsi="標楷體" w:hint="eastAsia"/>
              </w:rPr>
              <w:t>5.院會115.1.23（11-4-19）自司法及法制委員會抽出</w:t>
            </w:r>
            <w:proofErr w:type="gramStart"/>
            <w:r w:rsidRPr="001B6E4D">
              <w:rPr>
                <w:rFonts w:ascii="標楷體" w:eastAsia="標楷體" w:hAnsi="標楷體" w:hint="eastAsia"/>
              </w:rPr>
              <w:t>逕</w:t>
            </w:r>
            <w:proofErr w:type="gramEnd"/>
            <w:r w:rsidRPr="001B6E4D">
              <w:rPr>
                <w:rFonts w:ascii="標楷體" w:eastAsia="標楷體" w:hAnsi="標楷體" w:hint="eastAsia"/>
              </w:rPr>
              <w:t>付二讀。</w:t>
            </w:r>
          </w:p>
        </w:tc>
      </w:tr>
    </w:tbl>
    <w:p w14:paraId="5F32E341" w14:textId="4D6E65DB" w:rsidR="004C4569" w:rsidRPr="001B6E4D" w:rsidRDefault="004C4569" w:rsidP="003D1018">
      <w:pPr>
        <w:tabs>
          <w:tab w:val="left" w:pos="851"/>
        </w:tabs>
        <w:overflowPunct w:val="0"/>
        <w:rPr>
          <w:rFonts w:ascii="標楷體" w:eastAsia="標楷體" w:hAnsi="標楷體"/>
          <w:sz w:val="28"/>
          <w:szCs w:val="48"/>
        </w:rPr>
        <w:sectPr w:rsidR="004C4569" w:rsidRPr="001B6E4D" w:rsidSect="00B8553E">
          <w:pgSz w:w="11906" w:h="16838"/>
          <w:pgMar w:top="1440" w:right="1133" w:bottom="1440" w:left="1800" w:header="851" w:footer="992" w:gutter="0"/>
          <w:cols w:space="425"/>
          <w:docGrid w:type="lines" w:linePitch="360"/>
        </w:sectPr>
      </w:pPr>
      <w:r w:rsidRPr="001B6E4D">
        <w:rPr>
          <w:rFonts w:ascii="標楷體" w:eastAsia="標楷體" w:hAnsi="標楷體"/>
          <w:sz w:val="28"/>
          <w:szCs w:val="48"/>
        </w:rPr>
        <w:tab/>
      </w:r>
    </w:p>
    <w:p w14:paraId="404ACCC4" w14:textId="1A8763C5" w:rsidR="001949A3" w:rsidRPr="001B6E4D" w:rsidRDefault="001949A3" w:rsidP="003D1018">
      <w:pPr>
        <w:keepNext/>
        <w:tabs>
          <w:tab w:val="left" w:pos="851"/>
        </w:tabs>
        <w:overflowPunct w:val="0"/>
        <w:adjustRightInd w:val="0"/>
        <w:snapToGrid w:val="0"/>
        <w:spacing w:beforeLines="50" w:before="180" w:afterLines="50" w:after="180"/>
        <w:jc w:val="both"/>
        <w:outlineLvl w:val="0"/>
        <w:rPr>
          <w:rFonts w:ascii="標楷體" w:eastAsia="標楷體" w:hAnsi="標楷體"/>
          <w:b/>
          <w:bCs/>
          <w:color w:val="FF0000"/>
          <w:sz w:val="28"/>
          <w:szCs w:val="48"/>
        </w:rPr>
      </w:pPr>
      <w:bookmarkStart w:id="420" w:name="_Toc240446578"/>
      <w:r w:rsidRPr="001B6E4D">
        <w:rPr>
          <w:rFonts w:ascii="標楷體" w:eastAsia="標楷體" w:hAnsi="標楷體" w:hint="eastAsia"/>
          <w:b/>
          <w:bCs/>
          <w:color w:val="000000" w:themeColor="text1"/>
          <w:sz w:val="28"/>
          <w:szCs w:val="48"/>
        </w:rPr>
        <w:lastRenderedPageBreak/>
        <w:t>捌</w:t>
      </w:r>
      <w:r w:rsidRPr="001B6E4D">
        <w:rPr>
          <w:rFonts w:ascii="標楷體" w:eastAsia="標楷體" w:hAnsi="標楷體"/>
          <w:b/>
          <w:bCs/>
          <w:color w:val="000000" w:themeColor="text1"/>
          <w:sz w:val="28"/>
          <w:szCs w:val="48"/>
        </w:rPr>
        <w:t>、</w:t>
      </w:r>
      <w:r w:rsidRPr="001B6E4D">
        <w:rPr>
          <w:rFonts w:ascii="標楷體" w:eastAsia="標楷體" w:hAnsi="標楷體" w:hint="eastAsia"/>
          <w:b/>
          <w:bCs/>
          <w:color w:val="000000" w:themeColor="text1"/>
          <w:sz w:val="28"/>
          <w:szCs w:val="48"/>
        </w:rPr>
        <w:t>院會撤回或同意改交其他委員會</w:t>
      </w:r>
      <w:r w:rsidRPr="001B6E4D">
        <w:rPr>
          <w:rFonts w:ascii="標楷體" w:eastAsia="標楷體" w:hAnsi="標楷體"/>
          <w:b/>
          <w:bCs/>
          <w:color w:val="000000" w:themeColor="text1"/>
          <w:sz w:val="28"/>
          <w:szCs w:val="48"/>
        </w:rPr>
        <w:t>議案</w:t>
      </w:r>
      <w:r w:rsidR="00282928" w:rsidRPr="001B6E4D">
        <w:rPr>
          <w:rFonts w:ascii="標楷體" w:eastAsia="標楷體" w:hAnsi="標楷體" w:hint="eastAsia"/>
          <w:b/>
          <w:bCs/>
          <w:color w:val="000000" w:themeColor="text1"/>
          <w:sz w:val="28"/>
          <w:szCs w:val="48"/>
        </w:rPr>
        <w:t>9</w:t>
      </w:r>
      <w:r w:rsidRPr="001B6E4D">
        <w:rPr>
          <w:rFonts w:ascii="標楷體" w:eastAsia="標楷體" w:hAnsi="標楷體"/>
          <w:b/>
          <w:bCs/>
          <w:color w:val="000000" w:themeColor="text1"/>
          <w:sz w:val="28"/>
          <w:szCs w:val="48"/>
        </w:rPr>
        <w:t>案</w:t>
      </w:r>
      <w:bookmarkEnd w:id="420"/>
    </w:p>
    <w:p w14:paraId="109E434A" w14:textId="6ED81F5A" w:rsidR="001949A3" w:rsidRPr="001B6E4D" w:rsidRDefault="003B17AD" w:rsidP="003D1018">
      <w:pPr>
        <w:pStyle w:val="affffff0"/>
        <w:overflowPunct w:val="0"/>
        <w:spacing w:before="180" w:after="180"/>
        <w:outlineLvl w:val="1"/>
        <w:rPr>
          <w:color w:val="000000" w:themeColor="text1"/>
        </w:rPr>
      </w:pPr>
      <w:bookmarkStart w:id="421" w:name="_Toc240446579"/>
      <w:r w:rsidRPr="001B6E4D">
        <w:rPr>
          <w:rFonts w:hint="eastAsia"/>
          <w:color w:val="000000" w:themeColor="text1"/>
        </w:rPr>
        <w:t>［壹］</w:t>
      </w:r>
      <w:r w:rsidR="001949A3" w:rsidRPr="001B6E4D">
        <w:rPr>
          <w:rFonts w:hint="eastAsia"/>
          <w:color w:val="000000" w:themeColor="text1"/>
        </w:rPr>
        <w:t>院會撤回議</w:t>
      </w:r>
      <w:hyperlink w:anchor="〔壹〕法律案272案" w:history="1">
        <w:r w:rsidR="001949A3" w:rsidRPr="001B6E4D">
          <w:rPr>
            <w:color w:val="000000" w:themeColor="text1"/>
          </w:rPr>
          <w:t>案</w:t>
        </w:r>
        <w:r w:rsidR="00282928" w:rsidRPr="001B6E4D">
          <w:rPr>
            <w:rFonts w:hint="eastAsia"/>
            <w:color w:val="000000" w:themeColor="text1"/>
          </w:rPr>
          <w:t>8</w:t>
        </w:r>
        <w:r w:rsidR="001949A3" w:rsidRPr="001B6E4D">
          <w:rPr>
            <w:color w:val="000000" w:themeColor="text1"/>
          </w:rPr>
          <w:t>案</w:t>
        </w:r>
        <w:bookmarkEnd w:id="421"/>
      </w:hyperlink>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665"/>
        <w:gridCol w:w="2529"/>
        <w:gridCol w:w="2312"/>
        <w:gridCol w:w="1464"/>
        <w:gridCol w:w="1957"/>
      </w:tblGrid>
      <w:tr w:rsidR="00C87651" w:rsidRPr="001B6E4D" w14:paraId="3F783426" w14:textId="77777777" w:rsidTr="00C02619">
        <w:tc>
          <w:tcPr>
            <w:tcW w:w="372" w:type="pct"/>
            <w:shd w:val="clear" w:color="auto" w:fill="auto"/>
            <w:vAlign w:val="center"/>
          </w:tcPr>
          <w:p w14:paraId="22881752" w14:textId="77777777" w:rsidR="001949A3" w:rsidRPr="001B6E4D" w:rsidRDefault="001949A3" w:rsidP="003D1018">
            <w:pPr>
              <w:kinsoku w:val="0"/>
              <w:overflowPunct w:val="0"/>
              <w:topLinePunct/>
              <w:spacing w:line="240" w:lineRule="exact"/>
              <w:jc w:val="center"/>
              <w:rPr>
                <w:rFonts w:ascii="標楷體" w:eastAsia="標楷體" w:hAnsi="標楷體"/>
                <w:b/>
                <w:color w:val="000000" w:themeColor="text1"/>
              </w:rPr>
            </w:pPr>
            <w:bookmarkStart w:id="422" w:name="_Hlk189577216"/>
            <w:r w:rsidRPr="001B6E4D">
              <w:rPr>
                <w:rFonts w:ascii="標楷體" w:eastAsia="標楷體" w:hAnsi="標楷體"/>
                <w:b/>
                <w:color w:val="000000" w:themeColor="text1"/>
              </w:rPr>
              <w:t>序號</w:t>
            </w:r>
          </w:p>
        </w:tc>
        <w:tc>
          <w:tcPr>
            <w:tcW w:w="1416" w:type="pct"/>
            <w:shd w:val="clear" w:color="auto" w:fill="auto"/>
            <w:vAlign w:val="center"/>
          </w:tcPr>
          <w:p w14:paraId="59F3696C" w14:textId="77777777" w:rsidR="001949A3" w:rsidRPr="001B6E4D" w:rsidRDefault="001949A3" w:rsidP="003D1018">
            <w:pPr>
              <w:kinsoku w:val="0"/>
              <w:overflowPunct w:val="0"/>
              <w:topLinePunct/>
              <w:spacing w:line="240" w:lineRule="exact"/>
              <w:jc w:val="center"/>
              <w:rPr>
                <w:rFonts w:ascii="標楷體" w:eastAsia="標楷體" w:hAnsi="標楷體"/>
                <w:b/>
                <w:color w:val="000000" w:themeColor="text1"/>
              </w:rPr>
            </w:pPr>
            <w:r w:rsidRPr="001B6E4D">
              <w:rPr>
                <w:rFonts w:ascii="標楷體" w:eastAsia="標楷體" w:hAnsi="標楷體"/>
                <w:b/>
                <w:color w:val="000000" w:themeColor="text1"/>
              </w:rPr>
              <w:t>議案名稱</w:t>
            </w:r>
          </w:p>
        </w:tc>
        <w:tc>
          <w:tcPr>
            <w:tcW w:w="1295" w:type="pct"/>
            <w:shd w:val="clear" w:color="auto" w:fill="auto"/>
            <w:vAlign w:val="center"/>
          </w:tcPr>
          <w:p w14:paraId="6A203CC2" w14:textId="77777777" w:rsidR="001949A3" w:rsidRPr="001B6E4D" w:rsidRDefault="001949A3" w:rsidP="003D1018">
            <w:pPr>
              <w:kinsoku w:val="0"/>
              <w:overflowPunct w:val="0"/>
              <w:topLinePunct/>
              <w:spacing w:beforeLines="50" w:before="180" w:line="240" w:lineRule="exact"/>
              <w:jc w:val="center"/>
              <w:rPr>
                <w:rFonts w:ascii="標楷體" w:eastAsia="標楷體" w:hAnsi="標楷體"/>
                <w:b/>
                <w:color w:val="000000" w:themeColor="text1"/>
              </w:rPr>
            </w:pPr>
            <w:r w:rsidRPr="001B6E4D">
              <w:rPr>
                <w:rFonts w:ascii="標楷體" w:eastAsia="標楷體" w:hAnsi="標楷體"/>
                <w:b/>
                <w:color w:val="000000" w:themeColor="text1"/>
              </w:rPr>
              <w:t>提案委員或機關</w:t>
            </w:r>
          </w:p>
          <w:p w14:paraId="71C7C739" w14:textId="77777777" w:rsidR="001949A3" w:rsidRPr="001B6E4D" w:rsidRDefault="001949A3" w:rsidP="003D1018">
            <w:pPr>
              <w:kinsoku w:val="0"/>
              <w:overflowPunct w:val="0"/>
              <w:topLinePunct/>
              <w:spacing w:line="240" w:lineRule="exact"/>
              <w:jc w:val="center"/>
              <w:rPr>
                <w:rFonts w:ascii="標楷體" w:eastAsia="標楷體" w:hAnsi="標楷體"/>
                <w:b/>
                <w:color w:val="000000" w:themeColor="text1"/>
              </w:rPr>
            </w:pPr>
            <w:r w:rsidRPr="001B6E4D">
              <w:rPr>
                <w:rFonts w:ascii="標楷體" w:eastAsia="標楷體" w:hAnsi="標楷體"/>
                <w:b/>
                <w:color w:val="000000" w:themeColor="text1"/>
              </w:rPr>
              <w:t>院會交付日期</w:t>
            </w:r>
          </w:p>
          <w:p w14:paraId="1832D35D" w14:textId="77777777" w:rsidR="001949A3" w:rsidRPr="001B6E4D" w:rsidRDefault="001949A3" w:rsidP="003D1018">
            <w:pPr>
              <w:kinsoku w:val="0"/>
              <w:overflowPunct w:val="0"/>
              <w:topLinePunct/>
              <w:spacing w:afterLines="50" w:after="180" w:line="240" w:lineRule="exact"/>
              <w:jc w:val="center"/>
              <w:rPr>
                <w:rFonts w:ascii="標楷體" w:eastAsia="標楷體" w:hAnsi="標楷體"/>
                <w:b/>
                <w:color w:val="000000" w:themeColor="text1"/>
              </w:rPr>
            </w:pPr>
            <w:r w:rsidRPr="001B6E4D">
              <w:rPr>
                <w:rFonts w:ascii="標楷體" w:eastAsia="標楷體" w:hAnsi="標楷體"/>
                <w:b/>
                <w:color w:val="000000" w:themeColor="text1"/>
              </w:rPr>
              <w:t>(會次)</w:t>
            </w:r>
          </w:p>
        </w:tc>
        <w:tc>
          <w:tcPr>
            <w:tcW w:w="820" w:type="pct"/>
            <w:shd w:val="clear" w:color="auto" w:fill="auto"/>
            <w:vAlign w:val="center"/>
          </w:tcPr>
          <w:p w14:paraId="70E361C9" w14:textId="2F1287CB" w:rsidR="001949A3" w:rsidRPr="001B6E4D" w:rsidRDefault="00CC187C" w:rsidP="003D1018">
            <w:pPr>
              <w:kinsoku w:val="0"/>
              <w:overflowPunct w:val="0"/>
              <w:topLinePunct/>
              <w:spacing w:line="240" w:lineRule="exact"/>
              <w:jc w:val="center"/>
              <w:rPr>
                <w:rFonts w:ascii="標楷體" w:eastAsia="標楷體" w:hAnsi="標楷體"/>
                <w:b/>
                <w:color w:val="000000" w:themeColor="text1"/>
              </w:rPr>
            </w:pPr>
            <w:r w:rsidRPr="001B6E4D">
              <w:rPr>
                <w:rFonts w:ascii="標楷體" w:eastAsia="標楷體" w:hAnsi="標楷體" w:hint="eastAsia"/>
                <w:b/>
                <w:color w:val="000000" w:themeColor="text1"/>
              </w:rPr>
              <w:t>交付</w:t>
            </w:r>
            <w:r w:rsidR="001949A3" w:rsidRPr="001B6E4D">
              <w:rPr>
                <w:rFonts w:ascii="標楷體" w:eastAsia="標楷體" w:hAnsi="標楷體"/>
                <w:b/>
                <w:color w:val="000000" w:themeColor="text1"/>
              </w:rPr>
              <w:t>委員會</w:t>
            </w:r>
          </w:p>
        </w:tc>
        <w:tc>
          <w:tcPr>
            <w:tcW w:w="1096" w:type="pct"/>
            <w:shd w:val="clear" w:color="auto" w:fill="auto"/>
            <w:vAlign w:val="center"/>
          </w:tcPr>
          <w:p w14:paraId="5E2B5567" w14:textId="19FFDD2D" w:rsidR="001949A3" w:rsidRPr="001B6E4D" w:rsidRDefault="00C00BE0" w:rsidP="003D1018">
            <w:pPr>
              <w:kinsoku w:val="0"/>
              <w:overflowPunct w:val="0"/>
              <w:topLinePunct/>
              <w:spacing w:line="240" w:lineRule="exact"/>
              <w:jc w:val="center"/>
              <w:rPr>
                <w:rFonts w:ascii="標楷體" w:eastAsia="標楷體" w:hAnsi="標楷體"/>
                <w:b/>
                <w:color w:val="000000" w:themeColor="text1"/>
              </w:rPr>
            </w:pPr>
            <w:r w:rsidRPr="001B6E4D">
              <w:rPr>
                <w:rFonts w:ascii="標楷體" w:eastAsia="標楷體" w:hAnsi="標楷體"/>
                <w:b/>
                <w:color w:val="000000" w:themeColor="text1"/>
              </w:rPr>
              <w:t>審查、處理情形</w:t>
            </w:r>
          </w:p>
        </w:tc>
      </w:tr>
      <w:tr w:rsidR="00C87651" w:rsidRPr="001B6E4D" w14:paraId="33455A48" w14:textId="77777777" w:rsidTr="00C02619">
        <w:tc>
          <w:tcPr>
            <w:tcW w:w="372" w:type="pct"/>
            <w:shd w:val="clear" w:color="auto" w:fill="auto"/>
          </w:tcPr>
          <w:p w14:paraId="773F0F7F" w14:textId="77777777" w:rsidR="00384856" w:rsidRPr="001B6E4D" w:rsidRDefault="00384856" w:rsidP="003D1018">
            <w:pPr>
              <w:kinsoku w:val="0"/>
              <w:overflowPunct w:val="0"/>
              <w:topLinePunct/>
              <w:jc w:val="center"/>
              <w:rPr>
                <w:rFonts w:ascii="標楷體" w:eastAsia="標楷體" w:hAnsi="標楷體"/>
                <w:color w:val="000000" w:themeColor="text1"/>
              </w:rPr>
            </w:pPr>
            <w:r w:rsidRPr="001B6E4D">
              <w:rPr>
                <w:rFonts w:ascii="標楷體" w:eastAsia="標楷體" w:hAnsi="標楷體" w:hint="eastAsia"/>
                <w:color w:val="000000" w:themeColor="text1"/>
              </w:rPr>
              <w:t>1</w:t>
            </w:r>
          </w:p>
        </w:tc>
        <w:tc>
          <w:tcPr>
            <w:tcW w:w="1416" w:type="pct"/>
            <w:shd w:val="clear" w:color="auto" w:fill="auto"/>
          </w:tcPr>
          <w:p w14:paraId="49426F20" w14:textId="77777777" w:rsidR="00384856" w:rsidRPr="001B6E4D" w:rsidRDefault="00384856" w:rsidP="003D1018">
            <w:pPr>
              <w:pStyle w:val="01"/>
              <w:kinsoku w:val="0"/>
              <w:overflowPunct w:val="0"/>
              <w:topLinePunct/>
              <w:rPr>
                <w:rFonts w:hAnsi="標楷體"/>
                <w:color w:val="000000" w:themeColor="text1"/>
                <w:sz w:val="24"/>
                <w:szCs w:val="24"/>
              </w:rPr>
            </w:pPr>
            <w:r w:rsidRPr="001B6E4D">
              <w:rPr>
                <w:rFonts w:hAnsi="標楷體" w:hint="eastAsia"/>
                <w:color w:val="000000" w:themeColor="text1"/>
                <w:sz w:val="24"/>
                <w:szCs w:val="24"/>
              </w:rPr>
              <w:t>公務人員退休資遣撫</w:t>
            </w:r>
            <w:proofErr w:type="gramStart"/>
            <w:r w:rsidRPr="001B6E4D">
              <w:rPr>
                <w:rFonts w:hAnsi="標楷體" w:hint="eastAsia"/>
                <w:color w:val="000000" w:themeColor="text1"/>
                <w:sz w:val="24"/>
                <w:szCs w:val="24"/>
              </w:rPr>
              <w:t>卹</w:t>
            </w:r>
            <w:proofErr w:type="gramEnd"/>
            <w:r w:rsidRPr="001B6E4D">
              <w:rPr>
                <w:rFonts w:hAnsi="標楷體" w:hint="eastAsia"/>
                <w:color w:val="000000" w:themeColor="text1"/>
                <w:sz w:val="24"/>
                <w:szCs w:val="24"/>
              </w:rPr>
              <w:t>法第三十四</w:t>
            </w:r>
            <w:proofErr w:type="gramStart"/>
            <w:r w:rsidRPr="001B6E4D">
              <w:rPr>
                <w:rFonts w:hAnsi="標楷體" w:hint="eastAsia"/>
                <w:color w:val="000000" w:themeColor="text1"/>
                <w:sz w:val="24"/>
                <w:szCs w:val="24"/>
              </w:rPr>
              <w:t>條</w:t>
            </w:r>
            <w:proofErr w:type="gramEnd"/>
            <w:r w:rsidRPr="001B6E4D">
              <w:rPr>
                <w:rFonts w:hAnsi="標楷體" w:hint="eastAsia"/>
                <w:color w:val="000000" w:themeColor="text1"/>
                <w:sz w:val="24"/>
                <w:szCs w:val="24"/>
              </w:rPr>
              <w:t>條文修正草案</w:t>
            </w:r>
            <w:proofErr w:type="gramStart"/>
            <w:r w:rsidRPr="001B6E4D">
              <w:rPr>
                <w:rFonts w:hAnsi="標楷體" w:hint="eastAsia"/>
                <w:color w:val="000000" w:themeColor="text1"/>
                <w:sz w:val="24"/>
                <w:szCs w:val="24"/>
              </w:rPr>
              <w:t>（</w:t>
            </w:r>
            <w:proofErr w:type="gramEnd"/>
            <w:r w:rsidRPr="001B6E4D">
              <w:rPr>
                <w:rFonts w:hAnsi="標楷體" w:hint="eastAsia"/>
                <w:color w:val="000000" w:themeColor="text1"/>
                <w:sz w:val="24"/>
                <w:szCs w:val="24"/>
              </w:rPr>
              <w:t>修正重點：為使軍公教年金改革、已退在職者能有一致性規範，修正有關補償金之規範。）</w:t>
            </w:r>
          </w:p>
        </w:tc>
        <w:tc>
          <w:tcPr>
            <w:tcW w:w="1295" w:type="pct"/>
            <w:shd w:val="clear" w:color="auto" w:fill="auto"/>
          </w:tcPr>
          <w:p w14:paraId="21DD256F" w14:textId="77777777" w:rsidR="0000509A"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委員陳亭</w:t>
            </w:r>
            <w:proofErr w:type="gramStart"/>
            <w:r w:rsidRPr="001B6E4D">
              <w:rPr>
                <w:rFonts w:ascii="標楷體" w:eastAsia="標楷體" w:hAnsi="標楷體" w:hint="eastAsia"/>
                <w:color w:val="000000" w:themeColor="text1"/>
              </w:rPr>
              <w:t>妃</w:t>
            </w:r>
            <w:proofErr w:type="gramEnd"/>
          </w:p>
          <w:p w14:paraId="4986488D" w14:textId="77777777" w:rsidR="0000509A"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等18人</w:t>
            </w:r>
          </w:p>
          <w:p w14:paraId="2AD01CBF" w14:textId="3F9A3498"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113.04.12 </w:t>
            </w:r>
          </w:p>
          <w:p w14:paraId="14ADFF5C" w14:textId="703E8DBA"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（11-1-9）</w:t>
            </w:r>
          </w:p>
        </w:tc>
        <w:tc>
          <w:tcPr>
            <w:tcW w:w="820" w:type="pct"/>
            <w:shd w:val="clear" w:color="auto" w:fill="auto"/>
          </w:tcPr>
          <w:p w14:paraId="722A3300" w14:textId="7777777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司法及法制</w:t>
            </w:r>
          </w:p>
        </w:tc>
        <w:tc>
          <w:tcPr>
            <w:tcW w:w="1096" w:type="pct"/>
            <w:shd w:val="clear" w:color="auto" w:fill="auto"/>
          </w:tcPr>
          <w:p w14:paraId="57F38B3F" w14:textId="05665341"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1.尚未審查</w:t>
            </w:r>
            <w:r w:rsidR="00D45148" w:rsidRPr="001B6E4D">
              <w:rPr>
                <w:rFonts w:ascii="標楷體" w:eastAsia="標楷體" w:hAnsi="標楷體" w:hint="eastAsia"/>
                <w:color w:val="000000" w:themeColor="text1"/>
              </w:rPr>
              <w:t>。</w:t>
            </w:r>
          </w:p>
          <w:p w14:paraId="3531E0A8" w14:textId="7777777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2.院會</w:t>
            </w:r>
          </w:p>
          <w:p w14:paraId="55844EAB" w14:textId="77777777" w:rsidR="00384856" w:rsidRPr="001B6E4D" w:rsidRDefault="00384856" w:rsidP="003D1018">
            <w:pPr>
              <w:kinsoku w:val="0"/>
              <w:overflowPunct w:val="0"/>
              <w:topLinePunct/>
              <w:ind w:firstLineChars="100" w:firstLine="240"/>
              <w:jc w:val="both"/>
              <w:rPr>
                <w:rFonts w:ascii="標楷體" w:eastAsia="標楷體" w:hAnsi="標楷體"/>
                <w:color w:val="000000" w:themeColor="text1"/>
              </w:rPr>
            </w:pPr>
            <w:r w:rsidRPr="001B6E4D">
              <w:rPr>
                <w:rFonts w:ascii="標楷體" w:eastAsia="標楷體" w:hAnsi="標楷體"/>
                <w:color w:val="000000" w:themeColor="text1"/>
              </w:rPr>
              <w:t>113.5.3</w:t>
            </w:r>
          </w:p>
          <w:p w14:paraId="4FCAD475" w14:textId="2D465862" w:rsidR="00384856" w:rsidRPr="001B6E4D" w:rsidRDefault="00D45148"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384856" w:rsidRPr="001B6E4D">
              <w:rPr>
                <w:rFonts w:ascii="標楷體" w:eastAsia="標楷體" w:hAnsi="標楷體" w:hint="eastAsia"/>
                <w:color w:val="000000" w:themeColor="text1"/>
              </w:rPr>
              <w:t>（11-1-12）同意撤回</w:t>
            </w:r>
            <w:r w:rsidRPr="001B6E4D">
              <w:rPr>
                <w:rFonts w:ascii="標楷體" w:eastAsia="標楷體" w:hAnsi="標楷體" w:hint="eastAsia"/>
                <w:color w:val="000000" w:themeColor="text1"/>
              </w:rPr>
              <w:t>。</w:t>
            </w:r>
          </w:p>
        </w:tc>
      </w:tr>
      <w:tr w:rsidR="00C87651" w:rsidRPr="001B6E4D" w14:paraId="4FB5A59C" w14:textId="77777777" w:rsidTr="00C02619">
        <w:tc>
          <w:tcPr>
            <w:tcW w:w="372" w:type="pct"/>
            <w:shd w:val="clear" w:color="auto" w:fill="auto"/>
          </w:tcPr>
          <w:p w14:paraId="06A54477" w14:textId="77777777" w:rsidR="00384856" w:rsidRPr="001B6E4D" w:rsidRDefault="00384856" w:rsidP="003D1018">
            <w:pPr>
              <w:kinsoku w:val="0"/>
              <w:overflowPunct w:val="0"/>
              <w:topLinePunct/>
              <w:jc w:val="center"/>
              <w:rPr>
                <w:rFonts w:ascii="標楷體" w:eastAsia="標楷體" w:hAnsi="標楷體"/>
                <w:color w:val="000000" w:themeColor="text1"/>
              </w:rPr>
            </w:pPr>
            <w:r w:rsidRPr="001B6E4D">
              <w:rPr>
                <w:rFonts w:ascii="標楷體" w:eastAsia="標楷體" w:hAnsi="標楷體" w:hint="eastAsia"/>
                <w:color w:val="000000" w:themeColor="text1"/>
              </w:rPr>
              <w:t>2</w:t>
            </w:r>
          </w:p>
        </w:tc>
        <w:tc>
          <w:tcPr>
            <w:tcW w:w="1416" w:type="pct"/>
            <w:shd w:val="clear" w:color="auto" w:fill="auto"/>
          </w:tcPr>
          <w:p w14:paraId="0D404793" w14:textId="77777777" w:rsidR="00384856" w:rsidRPr="001B6E4D" w:rsidRDefault="00384856" w:rsidP="003D1018">
            <w:pPr>
              <w:pStyle w:val="01"/>
              <w:kinsoku w:val="0"/>
              <w:overflowPunct w:val="0"/>
              <w:topLinePunct/>
              <w:rPr>
                <w:rFonts w:hAnsi="標楷體"/>
                <w:color w:val="000000" w:themeColor="text1"/>
                <w:sz w:val="24"/>
                <w:szCs w:val="24"/>
              </w:rPr>
            </w:pPr>
            <w:r w:rsidRPr="001B6E4D">
              <w:rPr>
                <w:rFonts w:hAnsi="標楷體" w:hint="eastAsia"/>
                <w:color w:val="000000" w:themeColor="text1"/>
                <w:sz w:val="24"/>
                <w:szCs w:val="24"/>
              </w:rPr>
              <w:t>刑事訴訟法增訂部分條文草案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增訂第十一章之</w:t>
            </w:r>
            <w:proofErr w:type="gramStart"/>
            <w:r w:rsidRPr="001B6E4D">
              <w:rPr>
                <w:rFonts w:hAnsi="標楷體"/>
                <w:color w:val="000000" w:themeColor="text1"/>
                <w:sz w:val="24"/>
                <w:szCs w:val="24"/>
              </w:rPr>
              <w:t>一</w:t>
            </w:r>
            <w:proofErr w:type="gramEnd"/>
            <w:r w:rsidRPr="001B6E4D">
              <w:rPr>
                <w:rFonts w:hAnsi="標楷體"/>
                <w:color w:val="000000" w:themeColor="text1"/>
                <w:sz w:val="24"/>
                <w:szCs w:val="24"/>
              </w:rPr>
              <w:t>章名、§153-1~11。增訂重點：授權科技偵查手段法律基礎，並予以層級化規範。）</w:t>
            </w:r>
          </w:p>
        </w:tc>
        <w:tc>
          <w:tcPr>
            <w:tcW w:w="1295" w:type="pct"/>
            <w:shd w:val="clear" w:color="auto" w:fill="auto"/>
          </w:tcPr>
          <w:p w14:paraId="5709AEDA" w14:textId="77777777" w:rsidR="0000509A"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委員鍾佳濱</w:t>
            </w:r>
          </w:p>
          <w:p w14:paraId="0A4B3B1C" w14:textId="77777777" w:rsidR="0000509A"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等18人</w:t>
            </w:r>
          </w:p>
          <w:p w14:paraId="76068AAC" w14:textId="2985BA5D"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113.05.31</w:t>
            </w:r>
          </w:p>
          <w:p w14:paraId="7402D221" w14:textId="7777777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（11-1-16）</w:t>
            </w:r>
          </w:p>
        </w:tc>
        <w:tc>
          <w:tcPr>
            <w:tcW w:w="820" w:type="pct"/>
            <w:shd w:val="clear" w:color="auto" w:fill="auto"/>
          </w:tcPr>
          <w:p w14:paraId="2B4440B0" w14:textId="7777777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司法及法制</w:t>
            </w:r>
          </w:p>
        </w:tc>
        <w:tc>
          <w:tcPr>
            <w:tcW w:w="1096" w:type="pct"/>
            <w:shd w:val="clear" w:color="auto" w:fill="auto"/>
          </w:tcPr>
          <w:p w14:paraId="68857D26" w14:textId="77777777" w:rsidR="0041270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1.本會</w:t>
            </w:r>
          </w:p>
          <w:p w14:paraId="74726DC9" w14:textId="6FDC1102" w:rsidR="00384856" w:rsidRPr="001B6E4D" w:rsidRDefault="00384856" w:rsidP="003D1018">
            <w:pPr>
              <w:kinsoku w:val="0"/>
              <w:overflowPunct w:val="0"/>
              <w:topLinePunct/>
              <w:ind w:firstLineChars="100" w:firstLine="240"/>
              <w:jc w:val="both"/>
              <w:rPr>
                <w:rFonts w:ascii="標楷體" w:eastAsia="標楷體" w:hAnsi="標楷體"/>
                <w:color w:val="000000" w:themeColor="text1"/>
              </w:rPr>
            </w:pPr>
            <w:r w:rsidRPr="001B6E4D">
              <w:rPr>
                <w:rFonts w:ascii="標楷體" w:eastAsia="標楷體" w:hAnsi="標楷體" w:hint="eastAsia"/>
                <w:color w:val="000000" w:themeColor="text1"/>
              </w:rPr>
              <w:t>1</w:t>
            </w:r>
            <w:r w:rsidRPr="001B6E4D">
              <w:rPr>
                <w:rFonts w:ascii="標楷體" w:eastAsia="標楷體" w:hAnsi="標楷體"/>
                <w:color w:val="000000" w:themeColor="text1"/>
              </w:rPr>
              <w:t>13</w:t>
            </w:r>
            <w:r w:rsidRPr="001B6E4D">
              <w:rPr>
                <w:rFonts w:ascii="標楷體" w:eastAsia="標楷體" w:hAnsi="標楷體" w:hint="eastAsia"/>
                <w:color w:val="000000" w:themeColor="text1"/>
              </w:rPr>
              <w:t>.6.12</w:t>
            </w:r>
          </w:p>
          <w:p w14:paraId="64EAADA8" w14:textId="129B66E2" w:rsidR="00384856" w:rsidRPr="001B6E4D" w:rsidRDefault="00D12D0F"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384856" w:rsidRPr="001B6E4D">
              <w:rPr>
                <w:rFonts w:ascii="標楷體" w:eastAsia="標楷體" w:hAnsi="標楷體" w:hint="eastAsia"/>
                <w:color w:val="000000" w:themeColor="text1"/>
              </w:rPr>
              <w:t>(1</w:t>
            </w:r>
            <w:r w:rsidR="00384856" w:rsidRPr="001B6E4D">
              <w:rPr>
                <w:rFonts w:ascii="標楷體" w:eastAsia="標楷體" w:hAnsi="標楷體"/>
                <w:color w:val="000000" w:themeColor="text1"/>
              </w:rPr>
              <w:t>1</w:t>
            </w:r>
            <w:r w:rsidR="00384856" w:rsidRPr="001B6E4D">
              <w:rPr>
                <w:rFonts w:ascii="標楷體" w:eastAsia="標楷體" w:hAnsi="標楷體" w:hint="eastAsia"/>
                <w:color w:val="000000" w:themeColor="text1"/>
              </w:rPr>
              <w:t>-1-</w:t>
            </w:r>
            <w:r w:rsidR="00384856" w:rsidRPr="001B6E4D">
              <w:rPr>
                <w:rFonts w:ascii="標楷體" w:eastAsia="標楷體" w:hAnsi="標楷體"/>
                <w:color w:val="000000" w:themeColor="text1"/>
              </w:rPr>
              <w:t>3</w:t>
            </w:r>
            <w:r w:rsidR="00384856" w:rsidRPr="001B6E4D">
              <w:rPr>
                <w:rFonts w:ascii="標楷體" w:eastAsia="標楷體" w:hAnsi="標楷體" w:hint="eastAsia"/>
                <w:color w:val="000000" w:themeColor="text1"/>
              </w:rPr>
              <w:t>2)審查完竣，須交由黨團協商。</w:t>
            </w:r>
          </w:p>
          <w:p w14:paraId="1A14E6C4" w14:textId="77777777" w:rsidR="00384856" w:rsidRPr="001B6E4D" w:rsidRDefault="00384856"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2.院會</w:t>
            </w:r>
          </w:p>
          <w:p w14:paraId="2EE5B3C9" w14:textId="77777777" w:rsidR="00384856" w:rsidRPr="001B6E4D" w:rsidRDefault="00384856" w:rsidP="003D1018">
            <w:pPr>
              <w:kinsoku w:val="0"/>
              <w:overflowPunct w:val="0"/>
              <w:topLinePunct/>
              <w:ind w:firstLineChars="100" w:firstLine="240"/>
              <w:jc w:val="both"/>
              <w:rPr>
                <w:rFonts w:ascii="標楷體" w:eastAsia="標楷體" w:hAnsi="標楷體"/>
                <w:color w:val="000000" w:themeColor="text1"/>
              </w:rPr>
            </w:pPr>
            <w:r w:rsidRPr="001B6E4D">
              <w:rPr>
                <w:rFonts w:ascii="標楷體" w:eastAsia="標楷體" w:hAnsi="標楷體"/>
                <w:color w:val="000000" w:themeColor="text1"/>
              </w:rPr>
              <w:t>113.</w:t>
            </w:r>
            <w:r w:rsidRPr="001B6E4D">
              <w:rPr>
                <w:rFonts w:ascii="標楷體" w:eastAsia="標楷體" w:hAnsi="標楷體" w:hint="eastAsia"/>
                <w:color w:val="000000" w:themeColor="text1"/>
              </w:rPr>
              <w:t>6</w:t>
            </w:r>
            <w:r w:rsidRPr="001B6E4D">
              <w:rPr>
                <w:rFonts w:ascii="標楷體" w:eastAsia="標楷體" w:hAnsi="標楷體"/>
                <w:color w:val="000000" w:themeColor="text1"/>
              </w:rPr>
              <w:t>.</w:t>
            </w:r>
            <w:r w:rsidRPr="001B6E4D">
              <w:rPr>
                <w:rFonts w:ascii="標楷體" w:eastAsia="標楷體" w:hAnsi="標楷體" w:hint="eastAsia"/>
                <w:color w:val="000000" w:themeColor="text1"/>
              </w:rPr>
              <w:t>28</w:t>
            </w:r>
          </w:p>
          <w:p w14:paraId="3D2F03E8" w14:textId="6B4413BA" w:rsidR="00384856" w:rsidRPr="001B6E4D" w:rsidRDefault="00D45148"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384856" w:rsidRPr="001B6E4D">
              <w:rPr>
                <w:rFonts w:ascii="標楷體" w:eastAsia="標楷體" w:hAnsi="標楷體" w:hint="eastAsia"/>
                <w:color w:val="000000" w:themeColor="text1"/>
              </w:rPr>
              <w:t>（11-1-20）同意撤回</w:t>
            </w:r>
            <w:r w:rsidR="00360A6F" w:rsidRPr="001B6E4D">
              <w:rPr>
                <w:rFonts w:ascii="標楷體" w:eastAsia="標楷體" w:hAnsi="標楷體" w:hint="eastAsia"/>
                <w:color w:val="000000" w:themeColor="text1"/>
              </w:rPr>
              <w:t>。</w:t>
            </w:r>
          </w:p>
        </w:tc>
      </w:tr>
      <w:tr w:rsidR="00C87651" w:rsidRPr="001B6E4D" w14:paraId="053CD668" w14:textId="77777777" w:rsidTr="00C02619">
        <w:tc>
          <w:tcPr>
            <w:tcW w:w="372" w:type="pct"/>
            <w:shd w:val="clear" w:color="auto" w:fill="auto"/>
          </w:tcPr>
          <w:p w14:paraId="069F32B5" w14:textId="77777777" w:rsidR="00384856" w:rsidRPr="001B6E4D" w:rsidRDefault="00384856" w:rsidP="003D1018">
            <w:pPr>
              <w:kinsoku w:val="0"/>
              <w:overflowPunct w:val="0"/>
              <w:topLinePunct/>
              <w:jc w:val="center"/>
              <w:rPr>
                <w:rFonts w:ascii="標楷體" w:eastAsia="標楷體" w:hAnsi="標楷體"/>
                <w:color w:val="000000" w:themeColor="text1"/>
              </w:rPr>
            </w:pPr>
            <w:r w:rsidRPr="001B6E4D">
              <w:rPr>
                <w:rFonts w:ascii="標楷體" w:eastAsia="標楷體" w:hAnsi="標楷體" w:hint="eastAsia"/>
                <w:color w:val="000000" w:themeColor="text1"/>
              </w:rPr>
              <w:t>3</w:t>
            </w:r>
          </w:p>
        </w:tc>
        <w:tc>
          <w:tcPr>
            <w:tcW w:w="1416" w:type="pct"/>
            <w:shd w:val="clear" w:color="auto" w:fill="auto"/>
          </w:tcPr>
          <w:p w14:paraId="246905D9" w14:textId="77777777" w:rsidR="00384856" w:rsidRPr="001B6E4D" w:rsidRDefault="00384856"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學校法人及其所屬私立學校教職員退休撫</w:t>
            </w:r>
            <w:proofErr w:type="gramStart"/>
            <w:r w:rsidRPr="001B6E4D">
              <w:rPr>
                <w:rFonts w:hAnsi="標楷體"/>
                <w:color w:val="000000" w:themeColor="text1"/>
                <w:sz w:val="24"/>
                <w:szCs w:val="24"/>
              </w:rPr>
              <w:t>卹</w:t>
            </w:r>
            <w:proofErr w:type="gramEnd"/>
            <w:r w:rsidRPr="001B6E4D">
              <w:rPr>
                <w:rFonts w:hAnsi="標楷體"/>
                <w:color w:val="000000" w:themeColor="text1"/>
                <w:sz w:val="24"/>
                <w:szCs w:val="24"/>
              </w:rPr>
              <w:t>離職資遣條例第八</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修正重點：將私立學校教職員之退撫儲金專戶</w:t>
            </w:r>
            <w:proofErr w:type="gramStart"/>
            <w:r w:rsidRPr="001B6E4D">
              <w:rPr>
                <w:rFonts w:hAnsi="標楷體"/>
                <w:color w:val="000000" w:themeColor="text1"/>
                <w:sz w:val="24"/>
                <w:szCs w:val="24"/>
              </w:rPr>
              <w:t>提撥</w:t>
            </w:r>
            <w:proofErr w:type="gramEnd"/>
            <w:r w:rsidRPr="001B6E4D">
              <w:rPr>
                <w:rFonts w:hAnsi="標楷體"/>
                <w:color w:val="000000" w:themeColor="text1"/>
                <w:sz w:val="24"/>
                <w:szCs w:val="24"/>
              </w:rPr>
              <w:t>率比照公立學校教職員。）</w:t>
            </w:r>
          </w:p>
        </w:tc>
        <w:tc>
          <w:tcPr>
            <w:tcW w:w="1295" w:type="pct"/>
            <w:shd w:val="clear" w:color="auto" w:fill="auto"/>
          </w:tcPr>
          <w:p w14:paraId="16A518F4" w14:textId="77777777" w:rsidR="0000509A"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委員陳秀</w:t>
            </w:r>
            <w:r w:rsidRPr="001B6E4D">
              <w:rPr>
                <w:rFonts w:ascii="標楷體" w:eastAsia="標楷體" w:hAnsi="標楷體" w:hint="eastAsia"/>
                <w:color w:val="000000" w:themeColor="text1"/>
              </w:rPr>
              <w:t>寳</w:t>
            </w:r>
          </w:p>
          <w:p w14:paraId="610A752E" w14:textId="77777777" w:rsidR="0000509A"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等</w:t>
            </w:r>
            <w:r w:rsidRPr="001B6E4D">
              <w:rPr>
                <w:rFonts w:ascii="標楷體" w:eastAsia="標楷體" w:hAnsi="標楷體"/>
                <w:color w:val="000000" w:themeColor="text1"/>
              </w:rPr>
              <w:t>18人</w:t>
            </w:r>
          </w:p>
          <w:p w14:paraId="43D01A8A" w14:textId="693E530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 xml:space="preserve">113.03.15 </w:t>
            </w:r>
          </w:p>
          <w:p w14:paraId="6C12233B" w14:textId="0CEB8EC0"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（11-1-5）</w:t>
            </w:r>
          </w:p>
        </w:tc>
        <w:tc>
          <w:tcPr>
            <w:tcW w:w="820" w:type="pct"/>
            <w:shd w:val="clear" w:color="auto" w:fill="auto"/>
          </w:tcPr>
          <w:p w14:paraId="0EDE80A1" w14:textId="7777777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司法及法制、教育及文化</w:t>
            </w:r>
          </w:p>
        </w:tc>
        <w:tc>
          <w:tcPr>
            <w:tcW w:w="1096" w:type="pct"/>
            <w:shd w:val="clear" w:color="auto" w:fill="auto"/>
          </w:tcPr>
          <w:p w14:paraId="08F94D13" w14:textId="543DC1E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1.尚未審查</w:t>
            </w:r>
            <w:r w:rsidR="00360A6F" w:rsidRPr="001B6E4D">
              <w:rPr>
                <w:rFonts w:ascii="標楷體" w:eastAsia="標楷體" w:hAnsi="標楷體" w:hint="eastAsia"/>
                <w:color w:val="000000" w:themeColor="text1"/>
              </w:rPr>
              <w:t>。</w:t>
            </w:r>
          </w:p>
          <w:p w14:paraId="5F0E884C" w14:textId="7777777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2.院會</w:t>
            </w:r>
          </w:p>
          <w:p w14:paraId="4B8FC6DE" w14:textId="77777777" w:rsidR="00384856" w:rsidRPr="001B6E4D" w:rsidRDefault="00384856" w:rsidP="003D1018">
            <w:pPr>
              <w:kinsoku w:val="0"/>
              <w:overflowPunct w:val="0"/>
              <w:topLinePunct/>
              <w:ind w:firstLineChars="100" w:firstLine="240"/>
              <w:jc w:val="both"/>
              <w:rPr>
                <w:rFonts w:ascii="標楷體" w:eastAsia="標楷體" w:hAnsi="標楷體"/>
                <w:color w:val="000000" w:themeColor="text1"/>
              </w:rPr>
            </w:pPr>
            <w:r w:rsidRPr="001B6E4D">
              <w:rPr>
                <w:rFonts w:ascii="標楷體" w:eastAsia="標楷體" w:hAnsi="標楷體"/>
                <w:color w:val="000000" w:themeColor="text1"/>
              </w:rPr>
              <w:t>113.7.12</w:t>
            </w:r>
          </w:p>
          <w:p w14:paraId="65CD04C5" w14:textId="12C0BF60" w:rsidR="00384856" w:rsidRPr="001B6E4D" w:rsidRDefault="00D45148"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384856" w:rsidRPr="001B6E4D">
              <w:rPr>
                <w:rFonts w:ascii="標楷體" w:eastAsia="標楷體" w:hAnsi="標楷體"/>
                <w:color w:val="000000" w:themeColor="text1"/>
              </w:rPr>
              <w:t>（11-1-22）同意撤回</w:t>
            </w:r>
            <w:r w:rsidR="00360A6F" w:rsidRPr="001B6E4D">
              <w:rPr>
                <w:rFonts w:ascii="標楷體" w:eastAsia="標楷體" w:hAnsi="標楷體" w:hint="eastAsia"/>
                <w:color w:val="000000" w:themeColor="text1"/>
              </w:rPr>
              <w:t>。</w:t>
            </w:r>
          </w:p>
        </w:tc>
      </w:tr>
      <w:tr w:rsidR="00C87651" w:rsidRPr="001B6E4D" w14:paraId="40274179" w14:textId="77777777" w:rsidTr="00C02619">
        <w:tc>
          <w:tcPr>
            <w:tcW w:w="372" w:type="pct"/>
            <w:shd w:val="clear" w:color="auto" w:fill="auto"/>
          </w:tcPr>
          <w:p w14:paraId="09FA0949" w14:textId="77777777" w:rsidR="00384856" w:rsidRPr="001B6E4D" w:rsidRDefault="00384856" w:rsidP="003D1018">
            <w:pPr>
              <w:kinsoku w:val="0"/>
              <w:overflowPunct w:val="0"/>
              <w:topLinePunct/>
              <w:jc w:val="center"/>
              <w:rPr>
                <w:rFonts w:ascii="標楷體" w:eastAsia="標楷體" w:hAnsi="標楷體"/>
                <w:color w:val="000000" w:themeColor="text1"/>
              </w:rPr>
            </w:pPr>
            <w:r w:rsidRPr="001B6E4D">
              <w:rPr>
                <w:rFonts w:ascii="標楷體" w:eastAsia="標楷體" w:hAnsi="標楷體" w:hint="eastAsia"/>
                <w:color w:val="000000" w:themeColor="text1"/>
              </w:rPr>
              <w:t>4</w:t>
            </w:r>
          </w:p>
        </w:tc>
        <w:tc>
          <w:tcPr>
            <w:tcW w:w="1416" w:type="pct"/>
            <w:shd w:val="clear" w:color="auto" w:fill="auto"/>
          </w:tcPr>
          <w:p w14:paraId="5842DD28" w14:textId="77777777" w:rsidR="00384856" w:rsidRPr="001B6E4D" w:rsidRDefault="00384856"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學校法人及其所屬私立學校教職員退休撫</w:t>
            </w:r>
            <w:proofErr w:type="gramStart"/>
            <w:r w:rsidRPr="001B6E4D">
              <w:rPr>
                <w:rFonts w:hAnsi="標楷體"/>
                <w:color w:val="000000" w:themeColor="text1"/>
                <w:sz w:val="24"/>
                <w:szCs w:val="24"/>
              </w:rPr>
              <w:t>卹</w:t>
            </w:r>
            <w:proofErr w:type="gramEnd"/>
            <w:r w:rsidRPr="001B6E4D">
              <w:rPr>
                <w:rFonts w:hAnsi="標楷體"/>
                <w:color w:val="000000" w:themeColor="text1"/>
                <w:sz w:val="24"/>
                <w:szCs w:val="24"/>
              </w:rPr>
              <w:t>離職資遣條例第八</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修正重點：將私校退撫之</w:t>
            </w:r>
            <w:proofErr w:type="gramStart"/>
            <w:r w:rsidRPr="001B6E4D">
              <w:rPr>
                <w:rFonts w:hAnsi="標楷體"/>
                <w:color w:val="000000" w:themeColor="text1"/>
                <w:sz w:val="24"/>
                <w:szCs w:val="24"/>
              </w:rPr>
              <w:t>提撥</w:t>
            </w:r>
            <w:proofErr w:type="gramEnd"/>
            <w:r w:rsidRPr="001B6E4D">
              <w:rPr>
                <w:rFonts w:hAnsi="標楷體"/>
                <w:color w:val="000000" w:themeColor="text1"/>
                <w:sz w:val="24"/>
                <w:szCs w:val="24"/>
              </w:rPr>
              <w:t>費率調整為與公校一致。）</w:t>
            </w:r>
          </w:p>
        </w:tc>
        <w:tc>
          <w:tcPr>
            <w:tcW w:w="1295" w:type="pct"/>
            <w:shd w:val="clear" w:color="auto" w:fill="auto"/>
          </w:tcPr>
          <w:p w14:paraId="17561728" w14:textId="77777777" w:rsidR="0000509A"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委員</w:t>
            </w:r>
            <w:proofErr w:type="gramStart"/>
            <w:r w:rsidRPr="001B6E4D">
              <w:rPr>
                <w:rFonts w:ascii="標楷體" w:eastAsia="標楷體" w:hAnsi="標楷體"/>
                <w:color w:val="000000" w:themeColor="text1"/>
              </w:rPr>
              <w:t>范</w:t>
            </w:r>
            <w:proofErr w:type="gramEnd"/>
            <w:r w:rsidRPr="001B6E4D">
              <w:rPr>
                <w:rFonts w:ascii="標楷體" w:eastAsia="標楷體" w:hAnsi="標楷體"/>
                <w:color w:val="000000" w:themeColor="text1"/>
              </w:rPr>
              <w:t>雲</w:t>
            </w:r>
          </w:p>
          <w:p w14:paraId="4332A7C0" w14:textId="77777777" w:rsidR="0000509A"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等18人</w:t>
            </w:r>
          </w:p>
          <w:p w14:paraId="393CC8E7" w14:textId="095A4A38"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 xml:space="preserve">113.05.03 </w:t>
            </w:r>
          </w:p>
          <w:p w14:paraId="182B24BF" w14:textId="2197023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（11-1-12）</w:t>
            </w:r>
          </w:p>
        </w:tc>
        <w:tc>
          <w:tcPr>
            <w:tcW w:w="820" w:type="pct"/>
            <w:shd w:val="clear" w:color="auto" w:fill="auto"/>
          </w:tcPr>
          <w:p w14:paraId="4A2D655D" w14:textId="7777777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司法及法制、教育及文化</w:t>
            </w:r>
          </w:p>
        </w:tc>
        <w:tc>
          <w:tcPr>
            <w:tcW w:w="1096" w:type="pct"/>
            <w:shd w:val="clear" w:color="auto" w:fill="auto"/>
          </w:tcPr>
          <w:p w14:paraId="4A96808B" w14:textId="52192F9B"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1.尚未審查</w:t>
            </w:r>
            <w:r w:rsidR="00426558" w:rsidRPr="001B6E4D">
              <w:rPr>
                <w:rFonts w:ascii="標楷體" w:eastAsia="標楷體" w:hAnsi="標楷體" w:hint="eastAsia"/>
                <w:color w:val="000000" w:themeColor="text1"/>
              </w:rPr>
              <w:t>。</w:t>
            </w:r>
          </w:p>
          <w:p w14:paraId="0ACE3395" w14:textId="7777777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2.院會</w:t>
            </w:r>
          </w:p>
          <w:p w14:paraId="239DA1DD" w14:textId="77777777" w:rsidR="00384856" w:rsidRPr="001B6E4D" w:rsidRDefault="00384856" w:rsidP="003D1018">
            <w:pPr>
              <w:kinsoku w:val="0"/>
              <w:overflowPunct w:val="0"/>
              <w:topLinePunct/>
              <w:ind w:firstLineChars="100" w:firstLine="240"/>
              <w:jc w:val="both"/>
              <w:rPr>
                <w:rFonts w:ascii="標楷體" w:eastAsia="標楷體" w:hAnsi="標楷體"/>
                <w:color w:val="000000" w:themeColor="text1"/>
              </w:rPr>
            </w:pPr>
            <w:r w:rsidRPr="001B6E4D">
              <w:rPr>
                <w:rFonts w:ascii="標楷體" w:eastAsia="標楷體" w:hAnsi="標楷體"/>
                <w:color w:val="000000" w:themeColor="text1"/>
              </w:rPr>
              <w:t>113.7.12</w:t>
            </w:r>
          </w:p>
          <w:p w14:paraId="715760BE" w14:textId="7D580FE4" w:rsidR="00384856" w:rsidRPr="001B6E4D" w:rsidRDefault="00504404"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384856" w:rsidRPr="001B6E4D">
              <w:rPr>
                <w:rFonts w:ascii="標楷體" w:eastAsia="標楷體" w:hAnsi="標楷體"/>
                <w:color w:val="000000" w:themeColor="text1"/>
              </w:rPr>
              <w:t>（11-1-22）同意撤回</w:t>
            </w:r>
            <w:r w:rsidR="00360A6F" w:rsidRPr="001B6E4D">
              <w:rPr>
                <w:rFonts w:ascii="標楷體" w:eastAsia="標楷體" w:hAnsi="標楷體" w:hint="eastAsia"/>
                <w:color w:val="000000" w:themeColor="text1"/>
              </w:rPr>
              <w:t>。</w:t>
            </w:r>
          </w:p>
        </w:tc>
      </w:tr>
      <w:tr w:rsidR="00C87651" w:rsidRPr="001B6E4D" w14:paraId="2F67C2AB" w14:textId="77777777" w:rsidTr="00C02619">
        <w:tc>
          <w:tcPr>
            <w:tcW w:w="372" w:type="pct"/>
            <w:shd w:val="clear" w:color="auto" w:fill="auto"/>
          </w:tcPr>
          <w:p w14:paraId="3D07A0E4" w14:textId="77777777" w:rsidR="00384856" w:rsidRPr="001B6E4D" w:rsidRDefault="00384856" w:rsidP="003D1018">
            <w:pPr>
              <w:kinsoku w:val="0"/>
              <w:overflowPunct w:val="0"/>
              <w:topLinePunct/>
              <w:jc w:val="center"/>
              <w:rPr>
                <w:rFonts w:ascii="標楷體" w:eastAsia="標楷體" w:hAnsi="標楷體"/>
                <w:color w:val="000000" w:themeColor="text1"/>
              </w:rPr>
            </w:pPr>
            <w:r w:rsidRPr="001B6E4D">
              <w:rPr>
                <w:rFonts w:ascii="標楷體" w:eastAsia="標楷體" w:hAnsi="標楷體" w:hint="eastAsia"/>
                <w:color w:val="000000" w:themeColor="text1"/>
              </w:rPr>
              <w:lastRenderedPageBreak/>
              <w:t>5</w:t>
            </w:r>
          </w:p>
        </w:tc>
        <w:tc>
          <w:tcPr>
            <w:tcW w:w="1416" w:type="pct"/>
            <w:shd w:val="clear" w:color="auto" w:fill="auto"/>
          </w:tcPr>
          <w:p w14:paraId="68B40DD0" w14:textId="77777777" w:rsidR="00384856" w:rsidRPr="001B6E4D" w:rsidRDefault="00384856"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學校法人及其所屬私立學校教職員退休撫</w:t>
            </w:r>
            <w:proofErr w:type="gramStart"/>
            <w:r w:rsidRPr="001B6E4D">
              <w:rPr>
                <w:rFonts w:hAnsi="標楷體"/>
                <w:color w:val="000000" w:themeColor="text1"/>
                <w:sz w:val="24"/>
                <w:szCs w:val="24"/>
              </w:rPr>
              <w:t>卹</w:t>
            </w:r>
            <w:proofErr w:type="gramEnd"/>
            <w:r w:rsidRPr="001B6E4D">
              <w:rPr>
                <w:rFonts w:hAnsi="標楷體"/>
                <w:color w:val="000000" w:themeColor="text1"/>
                <w:sz w:val="24"/>
                <w:szCs w:val="24"/>
              </w:rPr>
              <w:t>離職資遣條例第八</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修正重點：私立學校教職員退休撫</w:t>
            </w:r>
            <w:proofErr w:type="gramStart"/>
            <w:r w:rsidRPr="001B6E4D">
              <w:rPr>
                <w:rFonts w:hAnsi="標楷體"/>
                <w:color w:val="000000" w:themeColor="text1"/>
                <w:sz w:val="24"/>
                <w:szCs w:val="24"/>
              </w:rPr>
              <w:t>卹</w:t>
            </w:r>
            <w:proofErr w:type="gramEnd"/>
            <w:r w:rsidRPr="001B6E4D">
              <w:rPr>
                <w:rFonts w:hAnsi="標楷體"/>
                <w:color w:val="000000" w:themeColor="text1"/>
                <w:sz w:val="24"/>
                <w:szCs w:val="24"/>
              </w:rPr>
              <w:t>條件與公立學校保持一致。）</w:t>
            </w:r>
          </w:p>
        </w:tc>
        <w:tc>
          <w:tcPr>
            <w:tcW w:w="1295" w:type="pct"/>
            <w:shd w:val="clear" w:color="auto" w:fill="auto"/>
          </w:tcPr>
          <w:p w14:paraId="601C7F35" w14:textId="77777777" w:rsidR="00767D1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委員陳冠廷</w:t>
            </w:r>
          </w:p>
          <w:p w14:paraId="4D32AEBB" w14:textId="77777777" w:rsidR="00767D1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等21人</w:t>
            </w:r>
          </w:p>
          <w:p w14:paraId="10701BC5" w14:textId="2C660BBC"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 xml:space="preserve">113.04.19 </w:t>
            </w:r>
          </w:p>
          <w:p w14:paraId="5E82CD3C" w14:textId="6BF42659"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（11-1-10）</w:t>
            </w:r>
          </w:p>
        </w:tc>
        <w:tc>
          <w:tcPr>
            <w:tcW w:w="820" w:type="pct"/>
            <w:shd w:val="clear" w:color="auto" w:fill="auto"/>
          </w:tcPr>
          <w:p w14:paraId="5B086D7B" w14:textId="7777777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司法及法制、教育及文化</w:t>
            </w:r>
          </w:p>
        </w:tc>
        <w:tc>
          <w:tcPr>
            <w:tcW w:w="1096" w:type="pct"/>
            <w:shd w:val="clear" w:color="auto" w:fill="auto"/>
          </w:tcPr>
          <w:p w14:paraId="6D5CFD18" w14:textId="5640F9E2"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1.尚未審查</w:t>
            </w:r>
            <w:r w:rsidR="00360A6F" w:rsidRPr="001B6E4D">
              <w:rPr>
                <w:rFonts w:ascii="標楷體" w:eastAsia="標楷體" w:hAnsi="標楷體" w:hint="eastAsia"/>
                <w:color w:val="000000" w:themeColor="text1"/>
              </w:rPr>
              <w:t>。</w:t>
            </w:r>
          </w:p>
          <w:p w14:paraId="236673C3" w14:textId="77777777" w:rsidR="00384856" w:rsidRPr="001B6E4D" w:rsidRDefault="0038485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2.院會</w:t>
            </w:r>
          </w:p>
          <w:p w14:paraId="2C73C500" w14:textId="77777777" w:rsidR="00384856" w:rsidRPr="001B6E4D" w:rsidRDefault="00384856" w:rsidP="003D1018">
            <w:pPr>
              <w:kinsoku w:val="0"/>
              <w:overflowPunct w:val="0"/>
              <w:topLinePunct/>
              <w:ind w:firstLineChars="100" w:firstLine="240"/>
              <w:jc w:val="both"/>
              <w:rPr>
                <w:rFonts w:ascii="標楷體" w:eastAsia="標楷體" w:hAnsi="標楷體"/>
                <w:color w:val="000000" w:themeColor="text1"/>
              </w:rPr>
            </w:pPr>
            <w:r w:rsidRPr="001B6E4D">
              <w:rPr>
                <w:rFonts w:ascii="標楷體" w:eastAsia="標楷體" w:hAnsi="標楷體"/>
                <w:color w:val="000000" w:themeColor="text1"/>
              </w:rPr>
              <w:t>113.7.12</w:t>
            </w:r>
          </w:p>
          <w:p w14:paraId="70595D93" w14:textId="1A8BB59B" w:rsidR="00384856" w:rsidRPr="001B6E4D" w:rsidRDefault="001567AB"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384856" w:rsidRPr="001B6E4D">
              <w:rPr>
                <w:rFonts w:ascii="標楷體" w:eastAsia="標楷體" w:hAnsi="標楷體"/>
                <w:color w:val="000000" w:themeColor="text1"/>
              </w:rPr>
              <w:t>（11-1-22）同意撤回</w:t>
            </w:r>
            <w:r w:rsidR="00360A6F" w:rsidRPr="001B6E4D">
              <w:rPr>
                <w:rFonts w:ascii="標楷體" w:eastAsia="標楷體" w:hAnsi="標楷體" w:hint="eastAsia"/>
                <w:color w:val="000000" w:themeColor="text1"/>
              </w:rPr>
              <w:t>。</w:t>
            </w:r>
          </w:p>
        </w:tc>
      </w:tr>
      <w:tr w:rsidR="00412706" w:rsidRPr="001B6E4D" w14:paraId="6716221D" w14:textId="77777777" w:rsidTr="00412706">
        <w:tc>
          <w:tcPr>
            <w:tcW w:w="372" w:type="pct"/>
            <w:shd w:val="clear" w:color="auto" w:fill="auto"/>
          </w:tcPr>
          <w:p w14:paraId="3EF57D8A" w14:textId="77777777" w:rsidR="00412706" w:rsidRPr="001B6E4D" w:rsidRDefault="00412706" w:rsidP="003D1018">
            <w:pPr>
              <w:kinsoku w:val="0"/>
              <w:overflowPunct w:val="0"/>
              <w:topLinePunct/>
              <w:jc w:val="center"/>
              <w:rPr>
                <w:rFonts w:ascii="標楷體" w:eastAsia="標楷體" w:hAnsi="標楷體"/>
                <w:color w:val="000000" w:themeColor="text1"/>
              </w:rPr>
            </w:pPr>
            <w:r w:rsidRPr="001B6E4D">
              <w:rPr>
                <w:rFonts w:ascii="標楷體" w:eastAsia="標楷體" w:hAnsi="標楷體" w:hint="eastAsia"/>
                <w:color w:val="000000" w:themeColor="text1"/>
              </w:rPr>
              <w:t>6</w:t>
            </w:r>
          </w:p>
        </w:tc>
        <w:tc>
          <w:tcPr>
            <w:tcW w:w="1416" w:type="pct"/>
            <w:shd w:val="clear" w:color="auto" w:fill="auto"/>
          </w:tcPr>
          <w:p w14:paraId="6ADDDDCA" w14:textId="77777777" w:rsidR="00412706" w:rsidRPr="001B6E4D" w:rsidRDefault="00412706"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陸海空軍刑法部分條文修正草案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修正§17~19、24。修正重點：現行</w:t>
            </w:r>
            <w:proofErr w:type="gramStart"/>
            <w:r w:rsidRPr="001B6E4D">
              <w:rPr>
                <w:rFonts w:hAnsi="標楷體"/>
                <w:color w:val="000000" w:themeColor="text1"/>
                <w:sz w:val="24"/>
                <w:szCs w:val="24"/>
              </w:rPr>
              <w:t>助敵罪</w:t>
            </w:r>
            <w:proofErr w:type="gramEnd"/>
            <w:r w:rsidRPr="001B6E4D">
              <w:rPr>
                <w:rFonts w:hAnsi="標楷體"/>
                <w:color w:val="000000" w:themeColor="text1"/>
                <w:sz w:val="24"/>
                <w:szCs w:val="24"/>
              </w:rPr>
              <w:t>相關條文之陰謀或預備犯刑度過輕，參照刑法外患罪刑度，修正現行相關刑罰規定。）</w:t>
            </w:r>
          </w:p>
        </w:tc>
        <w:tc>
          <w:tcPr>
            <w:tcW w:w="1295" w:type="pct"/>
            <w:shd w:val="clear" w:color="auto" w:fill="auto"/>
          </w:tcPr>
          <w:p w14:paraId="73ED65FC" w14:textId="77777777" w:rsidR="00767D1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委員王定宇</w:t>
            </w:r>
          </w:p>
          <w:p w14:paraId="795BB184" w14:textId="61DCEFEE" w:rsidR="0041270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等17人</w:t>
            </w:r>
          </w:p>
          <w:p w14:paraId="4DB6044C" w14:textId="77777777" w:rsidR="0041270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113.03.29</w:t>
            </w:r>
          </w:p>
          <w:p w14:paraId="5ACFAE73" w14:textId="77777777" w:rsidR="0041270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（11-1-7）</w:t>
            </w:r>
          </w:p>
        </w:tc>
        <w:tc>
          <w:tcPr>
            <w:tcW w:w="820" w:type="pct"/>
            <w:shd w:val="clear" w:color="auto" w:fill="auto"/>
          </w:tcPr>
          <w:p w14:paraId="6C645F9F" w14:textId="77777777" w:rsidR="0041270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司法及法制、外交及國防</w:t>
            </w:r>
          </w:p>
        </w:tc>
        <w:tc>
          <w:tcPr>
            <w:tcW w:w="1096" w:type="pct"/>
            <w:shd w:val="clear" w:color="auto" w:fill="auto"/>
          </w:tcPr>
          <w:p w14:paraId="61B53B8A" w14:textId="40935B3B" w:rsidR="0041270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1.尚未審查</w:t>
            </w:r>
            <w:r w:rsidR="00360A6F" w:rsidRPr="001B6E4D">
              <w:rPr>
                <w:rFonts w:ascii="標楷體" w:eastAsia="標楷體" w:hAnsi="標楷體" w:hint="eastAsia"/>
                <w:color w:val="000000" w:themeColor="text1"/>
              </w:rPr>
              <w:t>。</w:t>
            </w:r>
          </w:p>
          <w:p w14:paraId="00BA02D1" w14:textId="77777777" w:rsidR="0041270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2.院會</w:t>
            </w:r>
          </w:p>
          <w:p w14:paraId="7B0AABB1" w14:textId="77777777" w:rsidR="00412706" w:rsidRPr="001B6E4D" w:rsidRDefault="00412706" w:rsidP="003D1018">
            <w:pPr>
              <w:kinsoku w:val="0"/>
              <w:overflowPunct w:val="0"/>
              <w:topLinePunct/>
              <w:ind w:firstLineChars="100" w:firstLine="240"/>
              <w:jc w:val="both"/>
              <w:rPr>
                <w:rFonts w:ascii="標楷體" w:eastAsia="標楷體" w:hAnsi="標楷體"/>
                <w:color w:val="000000" w:themeColor="text1"/>
              </w:rPr>
            </w:pPr>
            <w:r w:rsidRPr="001B6E4D">
              <w:rPr>
                <w:rFonts w:ascii="標楷體" w:eastAsia="標楷體" w:hAnsi="標楷體"/>
                <w:color w:val="000000" w:themeColor="text1"/>
              </w:rPr>
              <w:t>11</w:t>
            </w:r>
            <w:r w:rsidRPr="001B6E4D">
              <w:rPr>
                <w:rFonts w:ascii="標楷體" w:eastAsia="標楷體" w:hAnsi="標楷體" w:hint="eastAsia"/>
                <w:color w:val="000000" w:themeColor="text1"/>
              </w:rPr>
              <w:t>4</w:t>
            </w:r>
            <w:r w:rsidRPr="001B6E4D">
              <w:rPr>
                <w:rFonts w:ascii="標楷體" w:eastAsia="標楷體" w:hAnsi="標楷體"/>
                <w:color w:val="000000" w:themeColor="text1"/>
              </w:rPr>
              <w:t>.</w:t>
            </w:r>
            <w:r w:rsidRPr="001B6E4D">
              <w:rPr>
                <w:rFonts w:ascii="標楷體" w:eastAsia="標楷體" w:hAnsi="標楷體" w:hint="eastAsia"/>
                <w:color w:val="000000" w:themeColor="text1"/>
              </w:rPr>
              <w:t>4</w:t>
            </w:r>
            <w:r w:rsidRPr="001B6E4D">
              <w:rPr>
                <w:rFonts w:ascii="標楷體" w:eastAsia="標楷體" w:hAnsi="標楷體"/>
                <w:color w:val="000000" w:themeColor="text1"/>
              </w:rPr>
              <w:t>.</w:t>
            </w:r>
            <w:r w:rsidRPr="001B6E4D">
              <w:rPr>
                <w:rFonts w:ascii="標楷體" w:eastAsia="標楷體" w:hAnsi="標楷體" w:hint="eastAsia"/>
                <w:color w:val="000000" w:themeColor="text1"/>
              </w:rPr>
              <w:t>25</w:t>
            </w:r>
          </w:p>
          <w:p w14:paraId="6369A61A" w14:textId="0FE9E1E5" w:rsidR="00412706" w:rsidRPr="001B6E4D" w:rsidRDefault="001567AB"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412706" w:rsidRPr="001B6E4D">
              <w:rPr>
                <w:rFonts w:ascii="標楷體" w:eastAsia="標楷體" w:hAnsi="標楷體"/>
                <w:color w:val="000000" w:themeColor="text1"/>
              </w:rPr>
              <w:t>（11-</w:t>
            </w:r>
            <w:r w:rsidR="00412706" w:rsidRPr="001B6E4D">
              <w:rPr>
                <w:rFonts w:ascii="標楷體" w:eastAsia="標楷體" w:hAnsi="標楷體" w:hint="eastAsia"/>
                <w:color w:val="000000" w:themeColor="text1"/>
              </w:rPr>
              <w:t>3</w:t>
            </w:r>
            <w:r w:rsidR="00412706" w:rsidRPr="001B6E4D">
              <w:rPr>
                <w:rFonts w:ascii="標楷體" w:eastAsia="標楷體" w:hAnsi="標楷體"/>
                <w:color w:val="000000" w:themeColor="text1"/>
              </w:rPr>
              <w:t>-</w:t>
            </w:r>
            <w:r w:rsidR="00412706" w:rsidRPr="001B6E4D">
              <w:rPr>
                <w:rFonts w:ascii="標楷體" w:eastAsia="標楷體" w:hAnsi="標楷體" w:hint="eastAsia"/>
                <w:color w:val="000000" w:themeColor="text1"/>
              </w:rPr>
              <w:t>9</w:t>
            </w:r>
            <w:r w:rsidR="00412706" w:rsidRPr="001B6E4D">
              <w:rPr>
                <w:rFonts w:ascii="標楷體" w:eastAsia="標楷體" w:hAnsi="標楷體"/>
                <w:color w:val="000000" w:themeColor="text1"/>
              </w:rPr>
              <w:t>）同意撤回</w:t>
            </w:r>
            <w:r w:rsidR="00360A6F" w:rsidRPr="001B6E4D">
              <w:rPr>
                <w:rFonts w:ascii="標楷體" w:eastAsia="標楷體" w:hAnsi="標楷體" w:hint="eastAsia"/>
                <w:color w:val="000000" w:themeColor="text1"/>
              </w:rPr>
              <w:t>。</w:t>
            </w:r>
          </w:p>
        </w:tc>
      </w:tr>
      <w:tr w:rsidR="00412706" w:rsidRPr="001B6E4D" w14:paraId="3A8492AA" w14:textId="77777777" w:rsidTr="00412706">
        <w:tc>
          <w:tcPr>
            <w:tcW w:w="372" w:type="pct"/>
            <w:shd w:val="clear" w:color="auto" w:fill="auto"/>
          </w:tcPr>
          <w:p w14:paraId="5727973D" w14:textId="77777777" w:rsidR="00412706" w:rsidRPr="001B6E4D" w:rsidRDefault="00412706" w:rsidP="003D1018">
            <w:pPr>
              <w:kinsoku w:val="0"/>
              <w:overflowPunct w:val="0"/>
              <w:topLinePunct/>
              <w:jc w:val="center"/>
              <w:rPr>
                <w:rFonts w:ascii="標楷體" w:eastAsia="標楷體" w:hAnsi="標楷體"/>
                <w:color w:val="000000" w:themeColor="text1"/>
              </w:rPr>
            </w:pPr>
            <w:r w:rsidRPr="001B6E4D">
              <w:rPr>
                <w:rFonts w:ascii="標楷體" w:eastAsia="標楷體" w:hAnsi="標楷體" w:hint="eastAsia"/>
                <w:color w:val="000000" w:themeColor="text1"/>
              </w:rPr>
              <w:t>7</w:t>
            </w:r>
          </w:p>
        </w:tc>
        <w:tc>
          <w:tcPr>
            <w:tcW w:w="1416" w:type="pct"/>
            <w:shd w:val="clear" w:color="auto" w:fill="auto"/>
          </w:tcPr>
          <w:p w14:paraId="24E1DDCC" w14:textId="77777777" w:rsidR="00412706" w:rsidRPr="001B6E4D" w:rsidRDefault="00412706"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刑事訴訟法第四百四十一</w:t>
            </w:r>
            <w:proofErr w:type="gramStart"/>
            <w:r w:rsidRPr="001B6E4D">
              <w:rPr>
                <w:rFonts w:hAnsi="標楷體"/>
                <w:color w:val="000000" w:themeColor="text1"/>
                <w:sz w:val="24"/>
                <w:szCs w:val="24"/>
              </w:rPr>
              <w:t>條</w:t>
            </w:r>
            <w:proofErr w:type="gramEnd"/>
            <w:r w:rsidRPr="001B6E4D">
              <w:rPr>
                <w:rFonts w:hAnsi="標楷體"/>
                <w:color w:val="000000" w:themeColor="text1"/>
                <w:sz w:val="24"/>
                <w:szCs w:val="24"/>
              </w:rPr>
              <w:t>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修正重點：案件於法院訴訟</w:t>
            </w:r>
            <w:proofErr w:type="gramStart"/>
            <w:r w:rsidRPr="001B6E4D">
              <w:rPr>
                <w:rFonts w:hAnsi="標楷體"/>
                <w:color w:val="000000" w:themeColor="text1"/>
                <w:sz w:val="24"/>
                <w:szCs w:val="24"/>
              </w:rPr>
              <w:t>繫</w:t>
            </w:r>
            <w:proofErr w:type="gramEnd"/>
            <w:r w:rsidRPr="001B6E4D">
              <w:rPr>
                <w:rFonts w:hAnsi="標楷體"/>
                <w:color w:val="000000" w:themeColor="text1"/>
                <w:sz w:val="24"/>
                <w:szCs w:val="24"/>
              </w:rPr>
              <w:t>屬中，法律進行修正或變更應適用新法判決而未及適用或不為適用，</w:t>
            </w:r>
            <w:proofErr w:type="gramStart"/>
            <w:r w:rsidRPr="001B6E4D">
              <w:rPr>
                <w:rFonts w:hAnsi="標楷體"/>
                <w:color w:val="000000" w:themeColor="text1"/>
                <w:sz w:val="24"/>
                <w:szCs w:val="24"/>
              </w:rPr>
              <w:t>恐致判決</w:t>
            </w:r>
            <w:proofErr w:type="gramEnd"/>
            <w:r w:rsidRPr="001B6E4D">
              <w:rPr>
                <w:rFonts w:hAnsi="標楷體"/>
                <w:color w:val="000000" w:themeColor="text1"/>
                <w:sz w:val="24"/>
                <w:szCs w:val="24"/>
              </w:rPr>
              <w:t>違背法令，應提起非常上訴。）</w:t>
            </w:r>
          </w:p>
        </w:tc>
        <w:tc>
          <w:tcPr>
            <w:tcW w:w="1295" w:type="pct"/>
            <w:shd w:val="clear" w:color="auto" w:fill="auto"/>
          </w:tcPr>
          <w:p w14:paraId="25FE040D" w14:textId="77777777" w:rsidR="00767D1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委員許智傑</w:t>
            </w:r>
          </w:p>
          <w:p w14:paraId="00F766E1" w14:textId="756E5D4B" w:rsidR="0041270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等22人</w:t>
            </w:r>
          </w:p>
          <w:p w14:paraId="2E328594" w14:textId="77777777" w:rsidR="0041270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113.11.01</w:t>
            </w:r>
          </w:p>
          <w:p w14:paraId="633B4F50" w14:textId="77777777" w:rsidR="0041270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（11-2-7）</w:t>
            </w:r>
          </w:p>
        </w:tc>
        <w:tc>
          <w:tcPr>
            <w:tcW w:w="820" w:type="pct"/>
            <w:shd w:val="clear" w:color="auto" w:fill="auto"/>
          </w:tcPr>
          <w:p w14:paraId="755E9F84" w14:textId="77777777" w:rsidR="00412706" w:rsidRPr="001B6E4D" w:rsidRDefault="00412706"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司法及法制</w:t>
            </w:r>
          </w:p>
        </w:tc>
        <w:tc>
          <w:tcPr>
            <w:tcW w:w="1096" w:type="pct"/>
            <w:shd w:val="clear" w:color="auto" w:fill="auto"/>
          </w:tcPr>
          <w:p w14:paraId="4A1A7F3E" w14:textId="530D6FF4" w:rsidR="00412706" w:rsidRPr="001B6E4D" w:rsidRDefault="00835C08"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1.</w:t>
            </w:r>
            <w:r w:rsidR="00412706" w:rsidRPr="001B6E4D">
              <w:rPr>
                <w:rFonts w:ascii="標楷體" w:eastAsia="標楷體" w:hAnsi="標楷體"/>
                <w:color w:val="000000" w:themeColor="text1"/>
              </w:rPr>
              <w:t>本會</w:t>
            </w:r>
          </w:p>
          <w:p w14:paraId="6898681C" w14:textId="77777777" w:rsidR="00412706" w:rsidRPr="001B6E4D" w:rsidRDefault="00412706" w:rsidP="003D1018">
            <w:pPr>
              <w:kinsoku w:val="0"/>
              <w:overflowPunct w:val="0"/>
              <w:topLinePunct/>
              <w:ind w:firstLineChars="100" w:firstLine="240"/>
              <w:jc w:val="both"/>
              <w:rPr>
                <w:rFonts w:ascii="標楷體" w:eastAsia="標楷體" w:hAnsi="標楷體"/>
                <w:color w:val="000000" w:themeColor="text1"/>
              </w:rPr>
            </w:pPr>
            <w:r w:rsidRPr="001B6E4D">
              <w:rPr>
                <w:rFonts w:ascii="標楷體" w:eastAsia="標楷體" w:hAnsi="標楷體"/>
                <w:color w:val="000000" w:themeColor="text1"/>
              </w:rPr>
              <w:t>114.4.24</w:t>
            </w:r>
          </w:p>
          <w:p w14:paraId="41FD987D" w14:textId="4D63FCE6" w:rsidR="00412706" w:rsidRPr="001B6E4D" w:rsidRDefault="001567AB"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412706" w:rsidRPr="001B6E4D">
              <w:rPr>
                <w:rFonts w:ascii="標楷體" w:eastAsia="標楷體" w:hAnsi="標楷體"/>
                <w:color w:val="000000" w:themeColor="text1"/>
              </w:rPr>
              <w:t>(11-3-11)報告及</w:t>
            </w:r>
            <w:proofErr w:type="gramStart"/>
            <w:r w:rsidR="00412706" w:rsidRPr="001B6E4D">
              <w:rPr>
                <w:rFonts w:ascii="標楷體" w:eastAsia="標楷體" w:hAnsi="標楷體"/>
                <w:color w:val="000000" w:themeColor="text1"/>
              </w:rPr>
              <w:t>詢</w:t>
            </w:r>
            <w:proofErr w:type="gramEnd"/>
            <w:r w:rsidR="00412706" w:rsidRPr="001B6E4D">
              <w:rPr>
                <w:rFonts w:ascii="標楷體" w:eastAsia="標楷體" w:hAnsi="標楷體"/>
                <w:color w:val="000000" w:themeColor="text1"/>
              </w:rPr>
              <w:t>答完畢，另定期繼續審查。</w:t>
            </w:r>
          </w:p>
          <w:p w14:paraId="008EF71A" w14:textId="77777777" w:rsidR="00835C08" w:rsidRPr="001B6E4D" w:rsidRDefault="00835C08"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2.院會</w:t>
            </w:r>
          </w:p>
          <w:p w14:paraId="4E6DBB28" w14:textId="77777777" w:rsidR="00835C08" w:rsidRPr="001B6E4D" w:rsidRDefault="00835C08" w:rsidP="003D1018">
            <w:pPr>
              <w:kinsoku w:val="0"/>
              <w:overflowPunct w:val="0"/>
              <w:topLinePunct/>
              <w:ind w:firstLineChars="100" w:firstLine="240"/>
              <w:jc w:val="both"/>
              <w:rPr>
                <w:rFonts w:ascii="標楷體" w:eastAsia="標楷體" w:hAnsi="標楷體"/>
                <w:color w:val="000000" w:themeColor="text1"/>
              </w:rPr>
            </w:pPr>
            <w:r w:rsidRPr="001B6E4D">
              <w:rPr>
                <w:rFonts w:ascii="標楷體" w:eastAsia="標楷體" w:hAnsi="標楷體" w:hint="eastAsia"/>
                <w:color w:val="000000" w:themeColor="text1"/>
              </w:rPr>
              <w:t>114.5.9</w:t>
            </w:r>
          </w:p>
          <w:p w14:paraId="759043C3" w14:textId="44494923" w:rsidR="00835C08" w:rsidRPr="001B6E4D" w:rsidRDefault="001567AB"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835C08" w:rsidRPr="001B6E4D">
              <w:rPr>
                <w:rFonts w:ascii="標楷體" w:eastAsia="標楷體" w:hAnsi="標楷體"/>
                <w:color w:val="000000" w:themeColor="text1"/>
              </w:rPr>
              <w:t>（11-</w:t>
            </w:r>
            <w:r w:rsidR="00835C08" w:rsidRPr="001B6E4D">
              <w:rPr>
                <w:rFonts w:ascii="標楷體" w:eastAsia="標楷體" w:hAnsi="標楷體" w:hint="eastAsia"/>
                <w:color w:val="000000" w:themeColor="text1"/>
              </w:rPr>
              <w:t>3</w:t>
            </w:r>
            <w:r w:rsidR="00835C08" w:rsidRPr="001B6E4D">
              <w:rPr>
                <w:rFonts w:ascii="標楷體" w:eastAsia="標楷體" w:hAnsi="標楷體"/>
                <w:color w:val="000000" w:themeColor="text1"/>
              </w:rPr>
              <w:t>-</w:t>
            </w:r>
            <w:r w:rsidR="00835C08" w:rsidRPr="001B6E4D">
              <w:rPr>
                <w:rFonts w:ascii="標楷體" w:eastAsia="標楷體" w:hAnsi="標楷體" w:hint="eastAsia"/>
                <w:color w:val="000000" w:themeColor="text1"/>
              </w:rPr>
              <w:t>11</w:t>
            </w:r>
            <w:r w:rsidR="00835C08" w:rsidRPr="001B6E4D">
              <w:rPr>
                <w:rFonts w:ascii="標楷體" w:eastAsia="標楷體" w:hAnsi="標楷體"/>
                <w:color w:val="000000" w:themeColor="text1"/>
              </w:rPr>
              <w:t>）同意撤回</w:t>
            </w:r>
            <w:r w:rsidR="00360A6F" w:rsidRPr="001B6E4D">
              <w:rPr>
                <w:rFonts w:ascii="標楷體" w:eastAsia="標楷體" w:hAnsi="標楷體" w:hint="eastAsia"/>
                <w:color w:val="000000" w:themeColor="text1"/>
              </w:rPr>
              <w:t>。</w:t>
            </w:r>
          </w:p>
        </w:tc>
      </w:tr>
      <w:tr w:rsidR="008804F7" w:rsidRPr="001B6E4D" w14:paraId="70A47B18" w14:textId="77777777" w:rsidTr="00412706">
        <w:tc>
          <w:tcPr>
            <w:tcW w:w="372" w:type="pct"/>
            <w:shd w:val="clear" w:color="auto" w:fill="auto"/>
          </w:tcPr>
          <w:p w14:paraId="5F5CB570" w14:textId="58E14C21" w:rsidR="008804F7" w:rsidRPr="001B6E4D" w:rsidRDefault="008804F7" w:rsidP="003D1018">
            <w:pPr>
              <w:kinsoku w:val="0"/>
              <w:overflowPunct w:val="0"/>
              <w:topLinePunct/>
              <w:jc w:val="center"/>
              <w:rPr>
                <w:rFonts w:ascii="標楷體" w:eastAsia="標楷體" w:hAnsi="標楷體"/>
                <w:color w:val="000000" w:themeColor="text1"/>
              </w:rPr>
            </w:pPr>
            <w:r w:rsidRPr="001B6E4D">
              <w:rPr>
                <w:rFonts w:ascii="標楷體" w:eastAsia="標楷體" w:hAnsi="標楷體" w:hint="eastAsia"/>
              </w:rPr>
              <w:t>8</w:t>
            </w:r>
          </w:p>
        </w:tc>
        <w:tc>
          <w:tcPr>
            <w:tcW w:w="1416" w:type="pct"/>
            <w:shd w:val="clear" w:color="auto" w:fill="auto"/>
          </w:tcPr>
          <w:p w14:paraId="02A97DE8" w14:textId="56326E6C" w:rsidR="008804F7" w:rsidRPr="001B6E4D" w:rsidRDefault="008804F7" w:rsidP="003D1018">
            <w:pPr>
              <w:pStyle w:val="01"/>
              <w:kinsoku w:val="0"/>
              <w:overflowPunct w:val="0"/>
              <w:topLinePunct/>
              <w:rPr>
                <w:rFonts w:hAnsi="標楷體"/>
                <w:color w:val="000000" w:themeColor="text1"/>
                <w:sz w:val="24"/>
                <w:szCs w:val="24"/>
              </w:rPr>
            </w:pPr>
            <w:r w:rsidRPr="001B6E4D">
              <w:rPr>
                <w:rFonts w:hAnsi="標楷體"/>
                <w:sz w:val="24"/>
                <w:szCs w:val="24"/>
              </w:rPr>
              <w:t>中華民國刑法第一百八十五條之三條文修正草案</w:t>
            </w:r>
            <w:proofErr w:type="gramStart"/>
            <w:r w:rsidRPr="001B6E4D">
              <w:rPr>
                <w:rFonts w:hAnsi="標楷體"/>
                <w:sz w:val="24"/>
                <w:szCs w:val="24"/>
              </w:rPr>
              <w:t>（</w:t>
            </w:r>
            <w:proofErr w:type="gramEnd"/>
            <w:r w:rsidRPr="001B6E4D">
              <w:rPr>
                <w:rFonts w:hAnsi="標楷體"/>
                <w:sz w:val="24"/>
                <w:szCs w:val="24"/>
              </w:rPr>
              <w:t>修正重點：全面提高</w:t>
            </w:r>
            <w:proofErr w:type="gramStart"/>
            <w:r w:rsidRPr="001B6E4D">
              <w:rPr>
                <w:rFonts w:hAnsi="標楷體"/>
                <w:sz w:val="24"/>
                <w:szCs w:val="24"/>
              </w:rPr>
              <w:t>酒駕、毒駕致</w:t>
            </w:r>
            <w:proofErr w:type="gramEnd"/>
            <w:r w:rsidRPr="001B6E4D">
              <w:rPr>
                <w:rFonts w:hAnsi="標楷體"/>
                <w:sz w:val="24"/>
                <w:szCs w:val="24"/>
              </w:rPr>
              <w:t>人於死或致重傷，以及累犯致人於死或重傷等重大違法情形之處罰刑度。）</w:t>
            </w:r>
          </w:p>
        </w:tc>
        <w:tc>
          <w:tcPr>
            <w:tcW w:w="1295" w:type="pct"/>
            <w:shd w:val="clear" w:color="auto" w:fill="auto"/>
          </w:tcPr>
          <w:p w14:paraId="67C2F64E" w14:textId="77777777" w:rsidR="008804F7" w:rsidRPr="001B6E4D" w:rsidRDefault="008804F7" w:rsidP="003D1018">
            <w:pPr>
              <w:overflowPunct w:val="0"/>
              <w:rPr>
                <w:rFonts w:ascii="標楷體" w:eastAsia="標楷體" w:hAnsi="標楷體"/>
              </w:rPr>
            </w:pPr>
            <w:r w:rsidRPr="001B6E4D">
              <w:rPr>
                <w:rFonts w:ascii="標楷體" w:eastAsia="標楷體" w:hAnsi="標楷體"/>
              </w:rPr>
              <w:t>委員賴士葆</w:t>
            </w:r>
          </w:p>
          <w:p w14:paraId="3D6FFCB5" w14:textId="77777777" w:rsidR="008804F7" w:rsidRPr="001B6E4D" w:rsidRDefault="008804F7" w:rsidP="003D1018">
            <w:pPr>
              <w:overflowPunct w:val="0"/>
              <w:rPr>
                <w:rFonts w:ascii="標楷體" w:eastAsia="標楷體" w:hAnsi="標楷體"/>
              </w:rPr>
            </w:pPr>
            <w:r w:rsidRPr="001B6E4D">
              <w:rPr>
                <w:rFonts w:ascii="標楷體" w:eastAsia="標楷體" w:hAnsi="標楷體"/>
              </w:rPr>
              <w:t>等25人</w:t>
            </w:r>
          </w:p>
          <w:p w14:paraId="0C3E7496" w14:textId="77777777" w:rsidR="008804F7" w:rsidRPr="001B6E4D" w:rsidRDefault="008804F7" w:rsidP="003D1018">
            <w:pPr>
              <w:overflowPunct w:val="0"/>
              <w:rPr>
                <w:rFonts w:ascii="標楷體" w:eastAsia="標楷體" w:hAnsi="標楷體"/>
              </w:rPr>
            </w:pPr>
            <w:r w:rsidRPr="001B6E4D">
              <w:rPr>
                <w:rFonts w:ascii="標楷體" w:eastAsia="標楷體" w:hAnsi="標楷體"/>
              </w:rPr>
              <w:t>115.06.05</w:t>
            </w:r>
          </w:p>
          <w:p w14:paraId="3B4FD631" w14:textId="530B673F" w:rsidR="008804F7" w:rsidRPr="001B6E4D" w:rsidRDefault="008804F7" w:rsidP="003D1018">
            <w:pPr>
              <w:kinsoku w:val="0"/>
              <w:overflowPunct w:val="0"/>
              <w:topLinePunct/>
              <w:jc w:val="both"/>
              <w:rPr>
                <w:rFonts w:ascii="標楷體" w:eastAsia="標楷體" w:hAnsi="標楷體"/>
                <w:color w:val="000000" w:themeColor="text1"/>
              </w:rPr>
            </w:pPr>
            <w:r w:rsidRPr="001B6E4D">
              <w:rPr>
                <w:rFonts w:ascii="標楷體" w:eastAsia="標楷體" w:hAnsi="標楷體"/>
              </w:rPr>
              <w:t>（11-5-13）</w:t>
            </w:r>
          </w:p>
        </w:tc>
        <w:tc>
          <w:tcPr>
            <w:tcW w:w="820" w:type="pct"/>
            <w:shd w:val="clear" w:color="auto" w:fill="auto"/>
          </w:tcPr>
          <w:p w14:paraId="00D8F664" w14:textId="7784C409" w:rsidR="008804F7" w:rsidRPr="001B6E4D" w:rsidRDefault="008804F7" w:rsidP="003D1018">
            <w:pPr>
              <w:kinsoku w:val="0"/>
              <w:overflowPunct w:val="0"/>
              <w:topLinePunct/>
              <w:jc w:val="both"/>
              <w:rPr>
                <w:rFonts w:ascii="標楷體" w:eastAsia="標楷體" w:hAnsi="標楷體"/>
                <w:color w:val="000000" w:themeColor="text1"/>
              </w:rPr>
            </w:pPr>
            <w:r w:rsidRPr="001B6E4D">
              <w:rPr>
                <w:rFonts w:ascii="標楷體" w:eastAsia="標楷體" w:hAnsi="標楷體"/>
              </w:rPr>
              <w:t>司法及法制</w:t>
            </w:r>
          </w:p>
        </w:tc>
        <w:tc>
          <w:tcPr>
            <w:tcW w:w="1096" w:type="pct"/>
            <w:shd w:val="clear" w:color="auto" w:fill="auto"/>
          </w:tcPr>
          <w:p w14:paraId="3B61798B" w14:textId="77777777" w:rsidR="008804F7" w:rsidRPr="001B6E4D" w:rsidRDefault="008804F7" w:rsidP="003D1018">
            <w:pPr>
              <w:overflowPunct w:val="0"/>
              <w:rPr>
                <w:rFonts w:ascii="標楷體" w:eastAsia="標楷體" w:hAnsi="標楷體"/>
              </w:rPr>
            </w:pPr>
            <w:r w:rsidRPr="001B6E4D">
              <w:rPr>
                <w:rFonts w:ascii="標楷體" w:eastAsia="標楷體" w:hAnsi="標楷體"/>
              </w:rPr>
              <w:t>1.尚未審查</w:t>
            </w:r>
          </w:p>
          <w:p w14:paraId="25808F1B" w14:textId="77777777" w:rsidR="008804F7" w:rsidRPr="001B6E4D" w:rsidRDefault="008804F7" w:rsidP="003D1018">
            <w:pPr>
              <w:kinsoku w:val="0"/>
              <w:overflowPunct w:val="0"/>
              <w:topLinePunct/>
              <w:jc w:val="both"/>
              <w:rPr>
                <w:rFonts w:ascii="標楷體" w:eastAsia="標楷體" w:hAnsi="標楷體"/>
                <w:color w:val="000000" w:themeColor="text1"/>
              </w:rPr>
            </w:pPr>
            <w:r w:rsidRPr="001B6E4D">
              <w:rPr>
                <w:rFonts w:ascii="標楷體" w:eastAsia="標楷體" w:hAnsi="標楷體"/>
                <w:color w:val="000000" w:themeColor="text1"/>
              </w:rPr>
              <w:t>2.院會</w:t>
            </w:r>
          </w:p>
          <w:p w14:paraId="4FFECED5" w14:textId="205B5EA4" w:rsidR="008804F7" w:rsidRPr="001B6E4D" w:rsidRDefault="00662C81"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8804F7" w:rsidRPr="001B6E4D">
              <w:rPr>
                <w:rFonts w:ascii="標楷體" w:eastAsia="標楷體" w:hAnsi="標楷體"/>
                <w:color w:val="000000" w:themeColor="text1"/>
              </w:rPr>
              <w:t>11</w:t>
            </w:r>
            <w:r w:rsidR="008804F7" w:rsidRPr="001B6E4D">
              <w:rPr>
                <w:rFonts w:ascii="標楷體" w:eastAsia="標楷體" w:hAnsi="標楷體" w:hint="eastAsia"/>
                <w:color w:val="000000" w:themeColor="text1"/>
              </w:rPr>
              <w:t>5</w:t>
            </w:r>
            <w:r w:rsidR="008804F7" w:rsidRPr="001B6E4D">
              <w:rPr>
                <w:rFonts w:ascii="標楷體" w:eastAsia="標楷體" w:hAnsi="標楷體"/>
                <w:color w:val="000000" w:themeColor="text1"/>
              </w:rPr>
              <w:t>.</w:t>
            </w:r>
            <w:r w:rsidR="008804F7" w:rsidRPr="001B6E4D">
              <w:rPr>
                <w:rFonts w:ascii="標楷體" w:eastAsia="標楷體" w:hAnsi="標楷體" w:hint="eastAsia"/>
                <w:color w:val="000000" w:themeColor="text1"/>
              </w:rPr>
              <w:t>6</w:t>
            </w:r>
            <w:r w:rsidR="008804F7" w:rsidRPr="001B6E4D">
              <w:rPr>
                <w:rFonts w:ascii="標楷體" w:eastAsia="標楷體" w:hAnsi="標楷體"/>
                <w:color w:val="000000" w:themeColor="text1"/>
              </w:rPr>
              <w:t>.</w:t>
            </w:r>
            <w:r w:rsidR="008804F7" w:rsidRPr="001B6E4D">
              <w:rPr>
                <w:rFonts w:ascii="標楷體" w:eastAsia="標楷體" w:hAnsi="標楷體" w:hint="eastAsia"/>
                <w:color w:val="000000" w:themeColor="text1"/>
              </w:rPr>
              <w:t>26</w:t>
            </w:r>
          </w:p>
          <w:p w14:paraId="1E71039E" w14:textId="78FF24F9" w:rsidR="008804F7" w:rsidRPr="001B6E4D" w:rsidRDefault="00662C81"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8804F7" w:rsidRPr="001B6E4D">
              <w:rPr>
                <w:rFonts w:ascii="標楷體" w:eastAsia="標楷體" w:hAnsi="標楷體"/>
                <w:color w:val="000000" w:themeColor="text1"/>
              </w:rPr>
              <w:t>（11-</w:t>
            </w:r>
            <w:r w:rsidR="008804F7" w:rsidRPr="001B6E4D">
              <w:rPr>
                <w:rFonts w:ascii="標楷體" w:eastAsia="標楷體" w:hAnsi="標楷體" w:hint="eastAsia"/>
                <w:color w:val="000000" w:themeColor="text1"/>
              </w:rPr>
              <w:t>5</w:t>
            </w:r>
            <w:r w:rsidR="008804F7" w:rsidRPr="001B6E4D">
              <w:rPr>
                <w:rFonts w:ascii="標楷體" w:eastAsia="標楷體" w:hAnsi="標楷體"/>
                <w:color w:val="000000" w:themeColor="text1"/>
              </w:rPr>
              <w:t>-</w:t>
            </w:r>
            <w:r w:rsidR="008804F7" w:rsidRPr="001B6E4D">
              <w:rPr>
                <w:rFonts w:ascii="標楷體" w:eastAsia="標楷體" w:hAnsi="標楷體" w:hint="eastAsia"/>
                <w:color w:val="000000" w:themeColor="text1"/>
              </w:rPr>
              <w:t>15</w:t>
            </w:r>
            <w:r w:rsidR="008804F7" w:rsidRPr="001B6E4D">
              <w:rPr>
                <w:rFonts w:ascii="標楷體" w:eastAsia="標楷體" w:hAnsi="標楷體"/>
                <w:color w:val="000000" w:themeColor="text1"/>
              </w:rPr>
              <w:t>）同意撤回</w:t>
            </w:r>
            <w:r w:rsidRPr="001B6E4D">
              <w:rPr>
                <w:rFonts w:ascii="標楷體" w:eastAsia="標楷體" w:hAnsi="標楷體" w:hint="eastAsia"/>
                <w:color w:val="000000" w:themeColor="text1"/>
              </w:rPr>
              <w:t>。</w:t>
            </w:r>
          </w:p>
        </w:tc>
      </w:tr>
      <w:bookmarkEnd w:id="422"/>
    </w:tbl>
    <w:p w14:paraId="69736822" w14:textId="77777777" w:rsidR="00245FDE" w:rsidRPr="001B6E4D" w:rsidRDefault="00245FDE" w:rsidP="003D1018">
      <w:pPr>
        <w:pStyle w:val="affffff0"/>
        <w:overflowPunct w:val="0"/>
        <w:spacing w:before="180" w:after="180"/>
        <w:outlineLvl w:val="1"/>
        <w:rPr>
          <w:color w:val="000000" w:themeColor="text1"/>
        </w:rPr>
      </w:pPr>
      <w:r w:rsidRPr="001B6E4D">
        <w:rPr>
          <w:color w:val="000000" w:themeColor="text1"/>
        </w:rPr>
        <w:br w:type="page"/>
      </w:r>
    </w:p>
    <w:p w14:paraId="51728908" w14:textId="053F5382" w:rsidR="001949A3" w:rsidRPr="001B6E4D" w:rsidRDefault="003B17AD" w:rsidP="003D1018">
      <w:pPr>
        <w:pStyle w:val="affffff0"/>
        <w:overflowPunct w:val="0"/>
        <w:spacing w:before="180" w:after="180"/>
        <w:outlineLvl w:val="1"/>
        <w:rPr>
          <w:color w:val="000000" w:themeColor="text1"/>
        </w:rPr>
      </w:pPr>
      <w:bookmarkStart w:id="423" w:name="_Toc240446580"/>
      <w:r w:rsidRPr="001B6E4D">
        <w:rPr>
          <w:rFonts w:hint="eastAsia"/>
          <w:color w:val="000000" w:themeColor="text1"/>
        </w:rPr>
        <w:lastRenderedPageBreak/>
        <w:t>［貳］</w:t>
      </w:r>
      <w:r w:rsidR="001949A3" w:rsidRPr="001B6E4D">
        <w:rPr>
          <w:rFonts w:hint="eastAsia"/>
          <w:color w:val="000000" w:themeColor="text1"/>
        </w:rPr>
        <w:t>院會同意改交其他委員會</w:t>
      </w:r>
      <w:r w:rsidR="001949A3" w:rsidRPr="001B6E4D">
        <w:rPr>
          <w:color w:val="000000" w:themeColor="text1"/>
        </w:rPr>
        <w:t>議案</w:t>
      </w:r>
      <w:r w:rsidR="008B4305" w:rsidRPr="001B6E4D">
        <w:rPr>
          <w:rFonts w:hint="eastAsia"/>
          <w:color w:val="000000" w:themeColor="text1"/>
        </w:rPr>
        <w:t>1</w:t>
      </w:r>
      <w:r w:rsidR="001949A3" w:rsidRPr="001B6E4D">
        <w:rPr>
          <w:color w:val="000000" w:themeColor="text1"/>
        </w:rPr>
        <w:t>案</w:t>
      </w:r>
      <w:bookmarkEnd w:id="423"/>
    </w:p>
    <w:tbl>
      <w:tblPr>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662"/>
        <w:gridCol w:w="2641"/>
        <w:gridCol w:w="1989"/>
        <w:gridCol w:w="1537"/>
        <w:gridCol w:w="2098"/>
      </w:tblGrid>
      <w:tr w:rsidR="00C87651" w:rsidRPr="001B6E4D" w14:paraId="2FE44B86" w14:textId="77777777" w:rsidTr="0015559C">
        <w:tc>
          <w:tcPr>
            <w:tcW w:w="371" w:type="pct"/>
            <w:shd w:val="clear" w:color="auto" w:fill="auto"/>
            <w:vAlign w:val="center"/>
          </w:tcPr>
          <w:bookmarkEnd w:id="410"/>
          <w:bookmarkEnd w:id="411"/>
          <w:p w14:paraId="692B93FF" w14:textId="77777777" w:rsidR="00384856" w:rsidRPr="001B6E4D" w:rsidRDefault="00384856" w:rsidP="003D1018">
            <w:pPr>
              <w:kinsoku w:val="0"/>
              <w:overflowPunct w:val="0"/>
              <w:topLinePunct/>
              <w:spacing w:line="240" w:lineRule="exact"/>
              <w:jc w:val="center"/>
              <w:rPr>
                <w:rFonts w:ascii="標楷體" w:eastAsia="標楷體" w:hAnsi="標楷體"/>
                <w:b/>
                <w:color w:val="000000" w:themeColor="text1"/>
              </w:rPr>
            </w:pPr>
            <w:r w:rsidRPr="001B6E4D">
              <w:rPr>
                <w:rFonts w:ascii="標楷體" w:eastAsia="標楷體" w:hAnsi="標楷體"/>
                <w:b/>
                <w:color w:val="000000" w:themeColor="text1"/>
              </w:rPr>
              <w:t>序號</w:t>
            </w:r>
          </w:p>
        </w:tc>
        <w:tc>
          <w:tcPr>
            <w:tcW w:w="1479" w:type="pct"/>
            <w:shd w:val="clear" w:color="auto" w:fill="auto"/>
            <w:vAlign w:val="center"/>
          </w:tcPr>
          <w:p w14:paraId="47D98AF5" w14:textId="77777777" w:rsidR="00384856" w:rsidRPr="001B6E4D" w:rsidRDefault="00384856" w:rsidP="003D1018">
            <w:pPr>
              <w:kinsoku w:val="0"/>
              <w:overflowPunct w:val="0"/>
              <w:topLinePunct/>
              <w:spacing w:line="240" w:lineRule="exact"/>
              <w:jc w:val="center"/>
              <w:rPr>
                <w:rFonts w:ascii="標楷體" w:eastAsia="標楷體" w:hAnsi="標楷體"/>
                <w:b/>
                <w:color w:val="000000" w:themeColor="text1"/>
              </w:rPr>
            </w:pPr>
            <w:r w:rsidRPr="001B6E4D">
              <w:rPr>
                <w:rFonts w:ascii="標楷體" w:eastAsia="標楷體" w:hAnsi="標楷體"/>
                <w:b/>
                <w:color w:val="000000" w:themeColor="text1"/>
              </w:rPr>
              <w:t>議案名稱</w:t>
            </w:r>
          </w:p>
        </w:tc>
        <w:tc>
          <w:tcPr>
            <w:tcW w:w="1114" w:type="pct"/>
            <w:shd w:val="clear" w:color="auto" w:fill="auto"/>
            <w:vAlign w:val="center"/>
          </w:tcPr>
          <w:p w14:paraId="7FB4B35D" w14:textId="77777777" w:rsidR="00384856" w:rsidRPr="001B6E4D" w:rsidRDefault="00384856" w:rsidP="003D1018">
            <w:pPr>
              <w:kinsoku w:val="0"/>
              <w:overflowPunct w:val="0"/>
              <w:topLinePunct/>
              <w:spacing w:beforeLines="50" w:before="180" w:line="240" w:lineRule="exact"/>
              <w:jc w:val="center"/>
              <w:rPr>
                <w:rFonts w:ascii="標楷體" w:eastAsia="標楷體" w:hAnsi="標楷體"/>
                <w:b/>
                <w:color w:val="000000" w:themeColor="text1"/>
              </w:rPr>
            </w:pPr>
            <w:r w:rsidRPr="001B6E4D">
              <w:rPr>
                <w:rFonts w:ascii="標楷體" w:eastAsia="標楷體" w:hAnsi="標楷體"/>
                <w:b/>
                <w:color w:val="000000" w:themeColor="text1"/>
              </w:rPr>
              <w:t>提案委員或機關</w:t>
            </w:r>
          </w:p>
          <w:p w14:paraId="5251F93C" w14:textId="77777777" w:rsidR="00384856" w:rsidRPr="001B6E4D" w:rsidRDefault="00384856" w:rsidP="003D1018">
            <w:pPr>
              <w:kinsoku w:val="0"/>
              <w:overflowPunct w:val="0"/>
              <w:topLinePunct/>
              <w:spacing w:line="240" w:lineRule="exact"/>
              <w:jc w:val="center"/>
              <w:rPr>
                <w:rFonts w:ascii="標楷體" w:eastAsia="標楷體" w:hAnsi="標楷體"/>
                <w:b/>
                <w:color w:val="000000" w:themeColor="text1"/>
              </w:rPr>
            </w:pPr>
            <w:r w:rsidRPr="001B6E4D">
              <w:rPr>
                <w:rFonts w:ascii="標楷體" w:eastAsia="標楷體" w:hAnsi="標楷體"/>
                <w:b/>
                <w:color w:val="000000" w:themeColor="text1"/>
              </w:rPr>
              <w:t>院會交付日期</w:t>
            </w:r>
          </w:p>
          <w:p w14:paraId="2DD355C7" w14:textId="77777777" w:rsidR="00384856" w:rsidRPr="001B6E4D" w:rsidRDefault="00384856" w:rsidP="003D1018">
            <w:pPr>
              <w:kinsoku w:val="0"/>
              <w:overflowPunct w:val="0"/>
              <w:topLinePunct/>
              <w:spacing w:afterLines="50" w:after="180" w:line="240" w:lineRule="exact"/>
              <w:jc w:val="center"/>
              <w:rPr>
                <w:rFonts w:ascii="標楷體" w:eastAsia="標楷體" w:hAnsi="標楷體"/>
                <w:b/>
                <w:color w:val="000000" w:themeColor="text1"/>
              </w:rPr>
            </w:pPr>
            <w:r w:rsidRPr="001B6E4D">
              <w:rPr>
                <w:rFonts w:ascii="標楷體" w:eastAsia="標楷體" w:hAnsi="標楷體"/>
                <w:b/>
                <w:color w:val="000000" w:themeColor="text1"/>
              </w:rPr>
              <w:t>(會次)</w:t>
            </w:r>
          </w:p>
        </w:tc>
        <w:tc>
          <w:tcPr>
            <w:tcW w:w="861" w:type="pct"/>
            <w:shd w:val="clear" w:color="auto" w:fill="auto"/>
            <w:vAlign w:val="center"/>
          </w:tcPr>
          <w:p w14:paraId="1F8E8B1C" w14:textId="5C9090EB" w:rsidR="00384856" w:rsidRPr="001B6E4D" w:rsidRDefault="0036760F" w:rsidP="003D1018">
            <w:pPr>
              <w:kinsoku w:val="0"/>
              <w:overflowPunct w:val="0"/>
              <w:topLinePunct/>
              <w:spacing w:line="240" w:lineRule="exact"/>
              <w:jc w:val="center"/>
              <w:rPr>
                <w:rFonts w:ascii="標楷體" w:eastAsia="標楷體" w:hAnsi="標楷體"/>
                <w:b/>
                <w:color w:val="000000" w:themeColor="text1"/>
              </w:rPr>
            </w:pPr>
            <w:r w:rsidRPr="001B6E4D">
              <w:rPr>
                <w:rFonts w:ascii="標楷體" w:eastAsia="標楷體" w:hAnsi="標楷體" w:hint="eastAsia"/>
                <w:b/>
                <w:color w:val="000000" w:themeColor="text1"/>
              </w:rPr>
              <w:t>原交付審查之委員會</w:t>
            </w:r>
          </w:p>
        </w:tc>
        <w:tc>
          <w:tcPr>
            <w:tcW w:w="1175" w:type="pct"/>
            <w:shd w:val="clear" w:color="auto" w:fill="auto"/>
            <w:vAlign w:val="center"/>
          </w:tcPr>
          <w:p w14:paraId="3A7B8684" w14:textId="18C8686E" w:rsidR="00384856" w:rsidRPr="001B6E4D" w:rsidRDefault="00384856" w:rsidP="003D1018">
            <w:pPr>
              <w:kinsoku w:val="0"/>
              <w:overflowPunct w:val="0"/>
              <w:topLinePunct/>
              <w:spacing w:line="240" w:lineRule="exact"/>
              <w:jc w:val="center"/>
              <w:rPr>
                <w:rFonts w:ascii="標楷體" w:eastAsia="標楷體" w:hAnsi="標楷體"/>
                <w:b/>
                <w:color w:val="000000" w:themeColor="text1"/>
              </w:rPr>
            </w:pPr>
            <w:r w:rsidRPr="001B6E4D">
              <w:rPr>
                <w:rFonts w:ascii="標楷體" w:eastAsia="標楷體" w:hAnsi="標楷體"/>
                <w:b/>
                <w:color w:val="000000" w:themeColor="text1"/>
              </w:rPr>
              <w:t>審查</w:t>
            </w:r>
            <w:r w:rsidR="00596C63" w:rsidRPr="001B6E4D">
              <w:rPr>
                <w:rFonts w:ascii="標楷體" w:eastAsia="標楷體" w:hAnsi="標楷體" w:hint="eastAsia"/>
                <w:b/>
                <w:color w:val="000000" w:themeColor="text1"/>
              </w:rPr>
              <w:t>、處理</w:t>
            </w:r>
            <w:r w:rsidRPr="001B6E4D">
              <w:rPr>
                <w:rFonts w:ascii="標楷體" w:eastAsia="標楷體" w:hAnsi="標楷體"/>
                <w:b/>
                <w:color w:val="000000" w:themeColor="text1"/>
              </w:rPr>
              <w:t>情形</w:t>
            </w:r>
          </w:p>
        </w:tc>
      </w:tr>
      <w:tr w:rsidR="008B4305" w:rsidRPr="001B6E4D" w14:paraId="0F7AE692" w14:textId="77777777" w:rsidTr="00213A47">
        <w:trPr>
          <w:trHeight w:val="983"/>
        </w:trPr>
        <w:tc>
          <w:tcPr>
            <w:tcW w:w="371" w:type="pct"/>
            <w:shd w:val="clear" w:color="auto" w:fill="auto"/>
          </w:tcPr>
          <w:p w14:paraId="3ACA5D97" w14:textId="77777777" w:rsidR="008B4305" w:rsidRPr="001B6E4D" w:rsidRDefault="008B4305" w:rsidP="003D1018">
            <w:pPr>
              <w:kinsoku w:val="0"/>
              <w:overflowPunct w:val="0"/>
              <w:topLinePunct/>
              <w:jc w:val="center"/>
              <w:rPr>
                <w:rFonts w:ascii="標楷體" w:eastAsia="標楷體" w:hAnsi="標楷體"/>
                <w:color w:val="000000" w:themeColor="text1"/>
              </w:rPr>
            </w:pPr>
            <w:r w:rsidRPr="001B6E4D">
              <w:rPr>
                <w:rFonts w:ascii="標楷體" w:eastAsia="標楷體" w:hAnsi="標楷體" w:hint="eastAsia"/>
                <w:color w:val="000000" w:themeColor="text1"/>
              </w:rPr>
              <w:t>1</w:t>
            </w:r>
          </w:p>
        </w:tc>
        <w:tc>
          <w:tcPr>
            <w:tcW w:w="1479" w:type="pct"/>
            <w:shd w:val="clear" w:color="auto" w:fill="auto"/>
          </w:tcPr>
          <w:p w14:paraId="0075335D" w14:textId="77777777" w:rsidR="008B4305" w:rsidRPr="001B6E4D" w:rsidRDefault="008B4305" w:rsidP="003D1018">
            <w:pPr>
              <w:pStyle w:val="01"/>
              <w:kinsoku w:val="0"/>
              <w:overflowPunct w:val="0"/>
              <w:topLinePunct/>
              <w:rPr>
                <w:rFonts w:hAnsi="標楷體"/>
                <w:color w:val="000000" w:themeColor="text1"/>
                <w:sz w:val="24"/>
                <w:szCs w:val="24"/>
              </w:rPr>
            </w:pPr>
            <w:r w:rsidRPr="001B6E4D">
              <w:rPr>
                <w:rFonts w:hAnsi="標楷體"/>
                <w:color w:val="000000" w:themeColor="text1"/>
                <w:sz w:val="24"/>
                <w:szCs w:val="24"/>
              </w:rPr>
              <w:t>威權統治時期國家不法行為被害者權利回復條例部分條文修正草案</w:t>
            </w:r>
            <w:proofErr w:type="gramStart"/>
            <w:r w:rsidRPr="001B6E4D">
              <w:rPr>
                <w:rFonts w:hAnsi="標楷體"/>
                <w:color w:val="000000" w:themeColor="text1"/>
                <w:sz w:val="24"/>
                <w:szCs w:val="24"/>
              </w:rPr>
              <w:t>（</w:t>
            </w:r>
            <w:proofErr w:type="gramEnd"/>
            <w:r w:rsidRPr="001B6E4D">
              <w:rPr>
                <w:rFonts w:hAnsi="標楷體"/>
                <w:color w:val="000000" w:themeColor="text1"/>
                <w:sz w:val="24"/>
                <w:szCs w:val="24"/>
              </w:rPr>
              <w:t>修正§8、23、26；增訂§17-1。修正重點：落實國家不法行為之賠償及權利回復事宜，完整保障回復被害者或其家屬受損之權利。）</w:t>
            </w:r>
          </w:p>
        </w:tc>
        <w:tc>
          <w:tcPr>
            <w:tcW w:w="1114" w:type="pct"/>
            <w:shd w:val="clear" w:color="auto" w:fill="auto"/>
          </w:tcPr>
          <w:p w14:paraId="2B403188" w14:textId="77777777" w:rsidR="008B4305" w:rsidRPr="001B6E4D" w:rsidRDefault="008B4305" w:rsidP="003D1018">
            <w:pPr>
              <w:kinsoku w:val="0"/>
              <w:overflowPunct w:val="0"/>
              <w:topLinePunct/>
              <w:rPr>
                <w:rFonts w:ascii="標楷體" w:eastAsia="標楷體" w:hAnsi="標楷體"/>
                <w:color w:val="000000" w:themeColor="text1"/>
              </w:rPr>
            </w:pPr>
            <w:r w:rsidRPr="001B6E4D">
              <w:rPr>
                <w:rFonts w:ascii="標楷體" w:eastAsia="標楷體" w:hAnsi="標楷體"/>
                <w:color w:val="000000" w:themeColor="text1"/>
              </w:rPr>
              <w:t>行政院</w:t>
            </w:r>
          </w:p>
          <w:p w14:paraId="58B8F178" w14:textId="77777777" w:rsidR="008B4305" w:rsidRPr="001B6E4D" w:rsidRDefault="008B4305" w:rsidP="003D1018">
            <w:pPr>
              <w:kinsoku w:val="0"/>
              <w:overflowPunct w:val="0"/>
              <w:topLinePunct/>
              <w:rPr>
                <w:rFonts w:ascii="標楷體" w:eastAsia="標楷體" w:hAnsi="標楷體"/>
                <w:color w:val="000000" w:themeColor="text1"/>
              </w:rPr>
            </w:pPr>
            <w:r w:rsidRPr="001B6E4D">
              <w:rPr>
                <w:rFonts w:ascii="標楷體" w:eastAsia="標楷體" w:hAnsi="標楷體"/>
                <w:color w:val="000000" w:themeColor="text1"/>
              </w:rPr>
              <w:t>113.09.20</w:t>
            </w:r>
          </w:p>
          <w:p w14:paraId="4A145D60" w14:textId="77777777" w:rsidR="008B4305" w:rsidRPr="001B6E4D" w:rsidRDefault="008B4305" w:rsidP="003D1018">
            <w:pPr>
              <w:kinsoku w:val="0"/>
              <w:overflowPunct w:val="0"/>
              <w:topLinePunct/>
              <w:rPr>
                <w:rFonts w:ascii="標楷體" w:eastAsia="標楷體" w:hAnsi="標楷體"/>
                <w:color w:val="000000" w:themeColor="text1"/>
              </w:rPr>
            </w:pPr>
            <w:r w:rsidRPr="001B6E4D">
              <w:rPr>
                <w:rFonts w:ascii="標楷體" w:eastAsia="標楷體" w:hAnsi="標楷體"/>
                <w:color w:val="000000" w:themeColor="text1"/>
              </w:rPr>
              <w:t>（11-2-1）</w:t>
            </w:r>
          </w:p>
        </w:tc>
        <w:tc>
          <w:tcPr>
            <w:tcW w:w="861" w:type="pct"/>
            <w:shd w:val="clear" w:color="auto" w:fill="auto"/>
          </w:tcPr>
          <w:p w14:paraId="0A4F06B1" w14:textId="77777777" w:rsidR="008B4305" w:rsidRPr="001B6E4D" w:rsidRDefault="008B4305" w:rsidP="003D1018">
            <w:pPr>
              <w:kinsoku w:val="0"/>
              <w:overflowPunct w:val="0"/>
              <w:topLinePunct/>
              <w:rPr>
                <w:rFonts w:ascii="標楷體" w:eastAsia="標楷體" w:hAnsi="標楷體"/>
                <w:color w:val="000000" w:themeColor="text1"/>
              </w:rPr>
            </w:pPr>
            <w:r w:rsidRPr="001B6E4D">
              <w:rPr>
                <w:rFonts w:ascii="標楷體" w:eastAsia="標楷體" w:hAnsi="標楷體"/>
                <w:color w:val="000000" w:themeColor="text1"/>
              </w:rPr>
              <w:t>司法及法制</w:t>
            </w:r>
          </w:p>
        </w:tc>
        <w:tc>
          <w:tcPr>
            <w:tcW w:w="1175" w:type="pct"/>
            <w:shd w:val="clear" w:color="auto" w:fill="auto"/>
          </w:tcPr>
          <w:p w14:paraId="14C06D79" w14:textId="77777777" w:rsidR="008B4305" w:rsidRPr="001B6E4D" w:rsidRDefault="008B4305"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1.本會</w:t>
            </w:r>
          </w:p>
          <w:p w14:paraId="35348523" w14:textId="77777777" w:rsidR="008B4305" w:rsidRPr="001B6E4D" w:rsidRDefault="008B4305" w:rsidP="003D1018">
            <w:pPr>
              <w:kinsoku w:val="0"/>
              <w:overflowPunct w:val="0"/>
              <w:topLinePunct/>
              <w:ind w:firstLineChars="100" w:firstLine="240"/>
              <w:jc w:val="both"/>
              <w:rPr>
                <w:rFonts w:ascii="標楷體" w:eastAsia="標楷體" w:hAnsi="標楷體"/>
                <w:color w:val="000000" w:themeColor="text1"/>
              </w:rPr>
            </w:pPr>
            <w:r w:rsidRPr="001B6E4D">
              <w:rPr>
                <w:rFonts w:ascii="標楷體" w:eastAsia="標楷體" w:hAnsi="標楷體" w:hint="eastAsia"/>
                <w:color w:val="000000" w:themeColor="text1"/>
              </w:rPr>
              <w:t>113.10.1</w:t>
            </w:r>
          </w:p>
          <w:p w14:paraId="3AE462D0" w14:textId="77DE6AC9" w:rsidR="008B4305" w:rsidRPr="001B6E4D" w:rsidRDefault="001567AB"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8B4305" w:rsidRPr="001B6E4D">
              <w:rPr>
                <w:rFonts w:ascii="標楷體" w:eastAsia="標楷體" w:hAnsi="標楷體" w:hint="eastAsia"/>
                <w:color w:val="000000" w:themeColor="text1"/>
              </w:rPr>
              <w:t>函請改交內政委員會審查。</w:t>
            </w:r>
          </w:p>
          <w:p w14:paraId="66AF89E5" w14:textId="77777777" w:rsidR="008B4305" w:rsidRPr="001B6E4D" w:rsidRDefault="008B4305" w:rsidP="003D1018">
            <w:pPr>
              <w:kinsoku w:val="0"/>
              <w:overflowPunct w:val="0"/>
              <w:topLinePunct/>
              <w:jc w:val="both"/>
              <w:rPr>
                <w:rFonts w:ascii="標楷體" w:eastAsia="標楷體" w:hAnsi="標楷體"/>
                <w:color w:val="000000" w:themeColor="text1"/>
              </w:rPr>
            </w:pPr>
            <w:r w:rsidRPr="001B6E4D">
              <w:rPr>
                <w:rFonts w:ascii="標楷體" w:eastAsia="標楷體" w:hAnsi="標楷體" w:hint="eastAsia"/>
                <w:color w:val="000000" w:themeColor="text1"/>
              </w:rPr>
              <w:t>2.院會</w:t>
            </w:r>
          </w:p>
          <w:p w14:paraId="28B535A1" w14:textId="61EB0E89" w:rsidR="00714677" w:rsidRPr="001B6E4D" w:rsidRDefault="008B4305" w:rsidP="003D1018">
            <w:pPr>
              <w:kinsoku w:val="0"/>
              <w:overflowPunct w:val="0"/>
              <w:topLinePunct/>
              <w:ind w:firstLineChars="100" w:firstLine="240"/>
              <w:jc w:val="both"/>
              <w:rPr>
                <w:rFonts w:ascii="標楷體" w:eastAsia="標楷體" w:hAnsi="標楷體"/>
                <w:color w:val="000000" w:themeColor="text1"/>
              </w:rPr>
            </w:pPr>
            <w:r w:rsidRPr="001B6E4D">
              <w:rPr>
                <w:rFonts w:ascii="標楷體" w:eastAsia="標楷體" w:hAnsi="標楷體" w:hint="eastAsia"/>
                <w:color w:val="000000" w:themeColor="text1"/>
              </w:rPr>
              <w:t>113.10.11</w:t>
            </w:r>
          </w:p>
          <w:p w14:paraId="6E50091F" w14:textId="45D2D52F" w:rsidR="008B4305" w:rsidRPr="001B6E4D" w:rsidRDefault="001567AB" w:rsidP="003D1018">
            <w:pPr>
              <w:kinsoku w:val="0"/>
              <w:overflowPunct w:val="0"/>
              <w:topLinePunct/>
              <w:ind w:left="240" w:hangingChars="100" w:hanging="240"/>
              <w:jc w:val="both"/>
              <w:rPr>
                <w:rFonts w:ascii="標楷體" w:eastAsia="標楷體" w:hAnsi="標楷體"/>
                <w:color w:val="000000" w:themeColor="text1"/>
              </w:rPr>
            </w:pPr>
            <w:r w:rsidRPr="001B6E4D">
              <w:rPr>
                <w:rFonts w:ascii="標楷體" w:eastAsia="標楷體" w:hAnsi="標楷體" w:hint="eastAsia"/>
                <w:color w:val="000000" w:themeColor="text1"/>
              </w:rPr>
              <w:t xml:space="preserve"> </w:t>
            </w:r>
            <w:r w:rsidR="00714677" w:rsidRPr="001B6E4D">
              <w:rPr>
                <w:rFonts w:ascii="標楷體" w:eastAsia="標楷體" w:hAnsi="標楷體" w:hint="eastAsia"/>
                <w:color w:val="000000" w:themeColor="text1"/>
              </w:rPr>
              <w:t>（11-2-4）改交內</w:t>
            </w:r>
            <w:r w:rsidR="008B4305" w:rsidRPr="001B6E4D">
              <w:rPr>
                <w:rFonts w:ascii="標楷體" w:eastAsia="標楷體" w:hAnsi="標楷體" w:hint="eastAsia"/>
                <w:color w:val="000000" w:themeColor="text1"/>
              </w:rPr>
              <w:t>政委員會審查。</w:t>
            </w:r>
          </w:p>
        </w:tc>
      </w:tr>
    </w:tbl>
    <w:p w14:paraId="523A9C26" w14:textId="77777777" w:rsidR="00C82C23" w:rsidRPr="001B6E4D" w:rsidRDefault="00C82C23" w:rsidP="003D1018">
      <w:pPr>
        <w:overflowPunct w:val="0"/>
        <w:spacing w:line="360" w:lineRule="exact"/>
        <w:contextualSpacing/>
        <w:jc w:val="both"/>
        <w:outlineLvl w:val="0"/>
        <w:rPr>
          <w:rFonts w:ascii="標楷體" w:eastAsia="標楷體" w:hAnsi="標楷體"/>
          <w:color w:val="000000" w:themeColor="text1"/>
          <w:sz w:val="28"/>
          <w:szCs w:val="28"/>
        </w:rPr>
        <w:sectPr w:rsidR="00C82C23" w:rsidRPr="001B6E4D" w:rsidSect="00B8553E">
          <w:pgSz w:w="11906" w:h="16838"/>
          <w:pgMar w:top="1440" w:right="1133" w:bottom="1440" w:left="1800" w:header="851" w:footer="992" w:gutter="0"/>
          <w:cols w:space="425"/>
          <w:docGrid w:type="lines" w:linePitch="360"/>
        </w:sectPr>
      </w:pPr>
    </w:p>
    <w:p w14:paraId="72C0C293" w14:textId="77777777" w:rsidR="003B17AD" w:rsidRPr="001B6E4D" w:rsidRDefault="003B17AD" w:rsidP="003D1018">
      <w:pPr>
        <w:keepNext/>
        <w:overflowPunct w:val="0"/>
        <w:spacing w:beforeLines="100" w:before="360" w:afterLines="100" w:after="360" w:line="500" w:lineRule="exact"/>
        <w:jc w:val="both"/>
        <w:outlineLvl w:val="0"/>
        <w:rPr>
          <w:rFonts w:ascii="標楷體" w:eastAsia="標楷體" w:hAnsi="標楷體"/>
          <w:b/>
          <w:noProof/>
          <w:color w:val="000000" w:themeColor="text1"/>
          <w:sz w:val="32"/>
          <w:szCs w:val="32"/>
          <w:shd w:val="clear" w:color="auto" w:fill="FFFFFF" w:themeFill="background1"/>
        </w:rPr>
      </w:pPr>
      <w:bookmarkStart w:id="424" w:name="_Toc1401116"/>
      <w:bookmarkStart w:id="425" w:name="_Toc96350554"/>
      <w:bookmarkStart w:id="426" w:name="_Toc240446581"/>
      <w:bookmarkStart w:id="427" w:name="_Toc163381670"/>
      <w:bookmarkStart w:id="428" w:name="_Toc163899070"/>
      <w:bookmarkStart w:id="429" w:name="_Toc167872431"/>
      <w:bookmarkStart w:id="430" w:name="_Toc169687160"/>
      <w:bookmarkStart w:id="431" w:name="_Toc510167613"/>
      <w:bookmarkStart w:id="432" w:name="_Toc1401017"/>
      <w:bookmarkStart w:id="433" w:name="_Toc42531544"/>
      <w:bookmarkStart w:id="434" w:name="_Toc96350553"/>
      <w:r w:rsidRPr="001B6E4D">
        <w:rPr>
          <w:rFonts w:ascii="標楷體" w:eastAsia="標楷體" w:hAnsi="標楷體"/>
          <w:b/>
          <w:bCs/>
          <w:noProof/>
          <w:color w:val="000000" w:themeColor="text1"/>
          <w:kern w:val="52"/>
          <w:sz w:val="32"/>
          <w:szCs w:val="32"/>
          <w:shd w:val="clear" w:color="auto" w:fill="FFFFFF" w:themeFill="background1"/>
        </w:rPr>
        <w:lastRenderedPageBreak/>
        <w:t>附錄</w:t>
      </w:r>
      <w:bookmarkEnd w:id="424"/>
      <w:r w:rsidRPr="001B6E4D">
        <w:rPr>
          <w:rFonts w:ascii="標楷體" w:eastAsia="標楷體" w:hAnsi="標楷體" w:hint="eastAsia"/>
          <w:b/>
          <w:noProof/>
          <w:color w:val="000000" w:themeColor="text1"/>
          <w:sz w:val="32"/>
          <w:szCs w:val="32"/>
          <w:shd w:val="clear" w:color="auto" w:fill="FFFFFF" w:themeFill="background1"/>
        </w:rPr>
        <w:t>［壹］本會期歷次會議議事錄</w:t>
      </w:r>
      <w:bookmarkEnd w:id="425"/>
      <w:bookmarkEnd w:id="426"/>
    </w:p>
    <w:p w14:paraId="67F57DDB" w14:textId="662DEFE9" w:rsidR="003B17AD" w:rsidRPr="001B6E4D" w:rsidRDefault="003B17AD" w:rsidP="003D1018">
      <w:pPr>
        <w:overflowPunct w:val="0"/>
        <w:snapToGrid w:val="0"/>
        <w:spacing w:line="460" w:lineRule="exact"/>
        <w:ind w:rightChars="-139" w:right="-334"/>
        <w:jc w:val="both"/>
        <w:outlineLvl w:val="1"/>
        <w:rPr>
          <w:rFonts w:ascii="標楷體" w:eastAsia="標楷體" w:hAnsi="標楷體"/>
          <w:b/>
          <w:noProof/>
          <w:color w:val="000000" w:themeColor="text1"/>
          <w:sz w:val="32"/>
          <w:szCs w:val="32"/>
          <w:shd w:val="clear" w:color="auto" w:fill="FFFFFF" w:themeFill="background1"/>
        </w:rPr>
      </w:pPr>
      <w:bookmarkStart w:id="435" w:name="_Toc96350555"/>
      <w:bookmarkStart w:id="436" w:name="_Toc240446582"/>
      <w:r w:rsidRPr="001B6E4D">
        <w:rPr>
          <w:rFonts w:ascii="標楷體" w:eastAsia="標楷體" w:hAnsi="標楷體" w:hint="eastAsia"/>
          <w:b/>
          <w:noProof/>
          <w:color w:val="000000" w:themeColor="text1"/>
          <w:sz w:val="32"/>
          <w:szCs w:val="32"/>
          <w:shd w:val="clear" w:color="auto" w:fill="FFFFFF" w:themeFill="background1"/>
        </w:rPr>
        <w:t>一、召集委員會議議事錄</w:t>
      </w:r>
      <w:bookmarkEnd w:id="427"/>
      <w:bookmarkEnd w:id="428"/>
      <w:bookmarkEnd w:id="429"/>
      <w:bookmarkEnd w:id="430"/>
      <w:bookmarkEnd w:id="431"/>
      <w:bookmarkEnd w:id="432"/>
      <w:bookmarkEnd w:id="433"/>
      <w:bookmarkEnd w:id="435"/>
      <w:bookmarkEnd w:id="436"/>
    </w:p>
    <w:p w14:paraId="4648390B" w14:textId="0FF3DC2D" w:rsidR="00C97CC8" w:rsidRPr="00277544" w:rsidRDefault="003B17AD" w:rsidP="003D1018">
      <w:pPr>
        <w:overflowPunct w:val="0"/>
        <w:spacing w:beforeLines="50" w:before="180" w:afterLines="50" w:after="180" w:line="360" w:lineRule="exact"/>
        <w:ind w:leftChars="6" w:left="548" w:hangingChars="200" w:hanging="534"/>
        <w:jc w:val="center"/>
        <w:outlineLvl w:val="2"/>
        <w:rPr>
          <w:rFonts w:ascii="標楷體" w:eastAsia="標楷體" w:hAnsi="標楷體"/>
          <w:b/>
          <w:spacing w:val="-4"/>
          <w:w w:val="98"/>
          <w:sz w:val="28"/>
          <w:szCs w:val="28"/>
        </w:rPr>
      </w:pPr>
      <w:bookmarkStart w:id="437" w:name="_Toc240446583"/>
      <w:r w:rsidRPr="00277544">
        <w:rPr>
          <w:rFonts w:ascii="標楷體" w:eastAsia="標楷體" w:hAnsi="標楷體"/>
          <w:b/>
          <w:spacing w:val="-4"/>
          <w:w w:val="98"/>
          <w:sz w:val="28"/>
          <w:szCs w:val="28"/>
        </w:rPr>
        <w:t>立法院第</w:t>
      </w:r>
      <w:r w:rsidRPr="00277544">
        <w:rPr>
          <w:rFonts w:ascii="標楷體" w:eastAsia="標楷體" w:hAnsi="標楷體" w:hint="eastAsia"/>
          <w:b/>
          <w:spacing w:val="-4"/>
          <w:w w:val="98"/>
          <w:sz w:val="28"/>
          <w:szCs w:val="28"/>
        </w:rPr>
        <w:t>11</w:t>
      </w:r>
      <w:r w:rsidRPr="00277544">
        <w:rPr>
          <w:rFonts w:ascii="標楷體" w:eastAsia="標楷體" w:hAnsi="標楷體"/>
          <w:b/>
          <w:spacing w:val="-4"/>
          <w:w w:val="98"/>
          <w:sz w:val="28"/>
          <w:szCs w:val="28"/>
        </w:rPr>
        <w:t>屆第</w:t>
      </w:r>
      <w:r w:rsidR="003455F2" w:rsidRPr="00277544">
        <w:rPr>
          <w:rFonts w:ascii="標楷體" w:eastAsia="標楷體" w:hAnsi="標楷體"/>
          <w:b/>
          <w:spacing w:val="-4"/>
          <w:w w:val="98"/>
          <w:sz w:val="28"/>
          <w:szCs w:val="28"/>
        </w:rPr>
        <w:t>5</w:t>
      </w:r>
      <w:r w:rsidRPr="00277544">
        <w:rPr>
          <w:rFonts w:ascii="標楷體" w:eastAsia="標楷體" w:hAnsi="標楷體" w:hint="eastAsia"/>
          <w:b/>
          <w:spacing w:val="-4"/>
          <w:w w:val="98"/>
          <w:sz w:val="28"/>
          <w:szCs w:val="28"/>
        </w:rPr>
        <w:t>會</w:t>
      </w:r>
      <w:r w:rsidRPr="00277544">
        <w:rPr>
          <w:rFonts w:ascii="標楷體" w:eastAsia="標楷體" w:hAnsi="標楷體"/>
          <w:b/>
          <w:spacing w:val="-4"/>
          <w:w w:val="98"/>
          <w:sz w:val="28"/>
          <w:szCs w:val="28"/>
        </w:rPr>
        <w:t>期司法及法制委員會第1次召集委員會議議</w:t>
      </w:r>
      <w:r w:rsidRPr="00277544">
        <w:rPr>
          <w:rFonts w:ascii="標楷體" w:eastAsia="標楷體" w:hAnsi="標楷體" w:hint="eastAsia"/>
          <w:b/>
          <w:spacing w:val="-4"/>
          <w:w w:val="98"/>
          <w:sz w:val="28"/>
          <w:szCs w:val="28"/>
        </w:rPr>
        <w:t>事錄</w:t>
      </w:r>
      <w:bookmarkEnd w:id="437"/>
    </w:p>
    <w:p w14:paraId="2846A1D4" w14:textId="77777777" w:rsidR="00B53B50" w:rsidRPr="001B6E4D" w:rsidRDefault="00B53B50" w:rsidP="003D1018">
      <w:pPr>
        <w:overflowPunct w:val="0"/>
        <w:snapToGrid w:val="0"/>
        <w:spacing w:line="500" w:lineRule="exact"/>
        <w:ind w:left="1418" w:rightChars="-139" w:right="-334" w:hanging="1418"/>
        <w:jc w:val="both"/>
        <w:rPr>
          <w:rFonts w:ascii="標楷體" w:eastAsia="標楷體" w:hAnsi="標楷體"/>
          <w:spacing w:val="-10"/>
          <w:sz w:val="28"/>
          <w:szCs w:val="28"/>
        </w:rPr>
      </w:pPr>
      <w:r w:rsidRPr="001B6E4D">
        <w:rPr>
          <w:rFonts w:ascii="標楷體" w:eastAsia="標楷體" w:hAnsi="標楷體"/>
          <w:sz w:val="28"/>
          <w:szCs w:val="28"/>
        </w:rPr>
        <w:t>時    間：</w:t>
      </w:r>
      <w:r w:rsidRPr="001B6E4D">
        <w:rPr>
          <w:rFonts w:ascii="標楷體" w:eastAsia="標楷體" w:hAnsi="標楷體"/>
          <w:spacing w:val="-14"/>
          <w:sz w:val="28"/>
          <w:szCs w:val="28"/>
        </w:rPr>
        <w:t>中華民國11</w:t>
      </w:r>
      <w:r w:rsidRPr="001B6E4D">
        <w:rPr>
          <w:rFonts w:ascii="標楷體" w:eastAsia="標楷體" w:hAnsi="標楷體" w:hint="eastAsia"/>
          <w:spacing w:val="-14"/>
          <w:sz w:val="28"/>
          <w:szCs w:val="28"/>
        </w:rPr>
        <w:t>5年3</w:t>
      </w:r>
      <w:r w:rsidRPr="001B6E4D">
        <w:rPr>
          <w:rFonts w:ascii="標楷體" w:eastAsia="標楷體" w:hAnsi="標楷體"/>
          <w:spacing w:val="-14"/>
          <w:sz w:val="28"/>
          <w:szCs w:val="28"/>
        </w:rPr>
        <w:t>月</w:t>
      </w:r>
      <w:r w:rsidRPr="001B6E4D">
        <w:rPr>
          <w:rFonts w:ascii="標楷體" w:eastAsia="標楷體" w:hAnsi="標楷體" w:hint="eastAsia"/>
          <w:spacing w:val="-14"/>
          <w:sz w:val="28"/>
          <w:szCs w:val="28"/>
        </w:rPr>
        <w:t>11</w:t>
      </w:r>
      <w:r w:rsidRPr="001B6E4D">
        <w:rPr>
          <w:rFonts w:ascii="標楷體" w:eastAsia="標楷體" w:hAnsi="標楷體"/>
          <w:spacing w:val="-14"/>
          <w:sz w:val="28"/>
          <w:szCs w:val="28"/>
        </w:rPr>
        <w:t>日（星期</w:t>
      </w:r>
      <w:r w:rsidRPr="001B6E4D">
        <w:rPr>
          <w:rFonts w:ascii="標楷體" w:eastAsia="標楷體" w:hAnsi="標楷體" w:hint="eastAsia"/>
          <w:spacing w:val="-14"/>
          <w:sz w:val="28"/>
          <w:szCs w:val="28"/>
        </w:rPr>
        <w:t>三）上</w:t>
      </w:r>
      <w:r w:rsidRPr="001B6E4D">
        <w:rPr>
          <w:rFonts w:ascii="標楷體" w:eastAsia="標楷體" w:hAnsi="標楷體"/>
          <w:spacing w:val="-14"/>
          <w:sz w:val="28"/>
          <w:szCs w:val="28"/>
        </w:rPr>
        <w:t>午</w:t>
      </w:r>
      <w:r w:rsidRPr="001B6E4D">
        <w:rPr>
          <w:rFonts w:ascii="標楷體" w:eastAsia="標楷體" w:hAnsi="標楷體" w:hint="eastAsia"/>
          <w:spacing w:val="-14"/>
          <w:sz w:val="28"/>
          <w:szCs w:val="28"/>
        </w:rPr>
        <w:t>9時14分至9時19分</w:t>
      </w:r>
    </w:p>
    <w:p w14:paraId="38BAFC16" w14:textId="77777777" w:rsidR="00B53B50" w:rsidRPr="001B6E4D" w:rsidRDefault="00B53B50" w:rsidP="003D1018">
      <w:pPr>
        <w:overflowPunct w:val="0"/>
        <w:snapToGrid w:val="0"/>
        <w:spacing w:line="500" w:lineRule="exact"/>
        <w:ind w:rightChars="-21" w:right="-50"/>
        <w:jc w:val="both"/>
        <w:rPr>
          <w:rFonts w:ascii="標楷體" w:eastAsia="標楷體" w:hAnsi="標楷體"/>
          <w:sz w:val="28"/>
          <w:szCs w:val="28"/>
        </w:rPr>
      </w:pPr>
      <w:r w:rsidRPr="001B6E4D">
        <w:rPr>
          <w:rFonts w:ascii="標楷體" w:eastAsia="標楷體" w:hAnsi="標楷體"/>
          <w:sz w:val="28"/>
          <w:szCs w:val="28"/>
        </w:rPr>
        <w:t>地    點：本院紅樓302會議室</w:t>
      </w:r>
    </w:p>
    <w:p w14:paraId="7865A910" w14:textId="77777777" w:rsidR="00B53B50" w:rsidRPr="001B6E4D" w:rsidRDefault="00B53B50" w:rsidP="003D1018">
      <w:pPr>
        <w:overflowPunct w:val="0"/>
        <w:snapToGrid w:val="0"/>
        <w:spacing w:line="500" w:lineRule="exact"/>
        <w:ind w:left="1400" w:rightChars="-21" w:right="-50" w:hangingChars="500" w:hanging="1400"/>
        <w:jc w:val="both"/>
        <w:rPr>
          <w:rFonts w:ascii="標楷體" w:eastAsia="標楷體" w:hAnsi="標楷體"/>
          <w:sz w:val="28"/>
          <w:szCs w:val="28"/>
        </w:rPr>
      </w:pPr>
      <w:r w:rsidRPr="001B6E4D">
        <w:rPr>
          <w:rFonts w:ascii="標楷體" w:eastAsia="標楷體" w:hAnsi="標楷體"/>
          <w:sz w:val="28"/>
          <w:szCs w:val="28"/>
        </w:rPr>
        <w:t>出席召集委員：</w:t>
      </w:r>
      <w:bookmarkStart w:id="438" w:name="_Hlk224117156"/>
      <w:r w:rsidRPr="001B6E4D">
        <w:rPr>
          <w:rFonts w:ascii="標楷體" w:eastAsia="標楷體" w:hAnsi="標楷體" w:hint="eastAsia"/>
          <w:sz w:val="28"/>
          <w:szCs w:val="28"/>
        </w:rPr>
        <w:t>翁召集委員曉玲</w:t>
      </w:r>
      <w:bookmarkEnd w:id="438"/>
      <w:r w:rsidRPr="001B6E4D">
        <w:rPr>
          <w:rFonts w:ascii="標楷體" w:eastAsia="標楷體" w:hAnsi="標楷體" w:hint="eastAsia"/>
          <w:sz w:val="28"/>
          <w:szCs w:val="28"/>
        </w:rPr>
        <w:t>、莊召集委員瑞雄</w:t>
      </w:r>
    </w:p>
    <w:p w14:paraId="6F13B92E" w14:textId="77777777" w:rsidR="00B53B50" w:rsidRPr="001B6E4D" w:rsidRDefault="00B53B50" w:rsidP="003D1018">
      <w:pPr>
        <w:overflowPunct w:val="0"/>
        <w:snapToGrid w:val="0"/>
        <w:spacing w:line="500" w:lineRule="exact"/>
        <w:ind w:rightChars="-21" w:right="-50"/>
        <w:jc w:val="both"/>
        <w:rPr>
          <w:rFonts w:ascii="標楷體" w:eastAsia="標楷體" w:hAnsi="標楷體"/>
          <w:sz w:val="28"/>
          <w:szCs w:val="28"/>
        </w:rPr>
      </w:pPr>
      <w:r w:rsidRPr="001B6E4D">
        <w:rPr>
          <w:rFonts w:ascii="標楷體" w:eastAsia="標楷體" w:hAnsi="標楷體"/>
          <w:sz w:val="28"/>
          <w:szCs w:val="28"/>
        </w:rPr>
        <w:t>列席人員：本會全體職員</w:t>
      </w:r>
    </w:p>
    <w:p w14:paraId="62B408FA" w14:textId="77777777" w:rsidR="00B53B50" w:rsidRPr="001B6E4D" w:rsidRDefault="00B53B50" w:rsidP="003D1018">
      <w:pPr>
        <w:overflowPunct w:val="0"/>
        <w:snapToGrid w:val="0"/>
        <w:spacing w:beforeLines="50" w:before="180" w:line="500" w:lineRule="exact"/>
        <w:ind w:rightChars="-21" w:right="-50" w:firstLineChars="400" w:firstLine="1121"/>
        <w:jc w:val="both"/>
        <w:rPr>
          <w:rFonts w:ascii="標楷體" w:eastAsia="標楷體" w:hAnsi="標楷體"/>
          <w:b/>
          <w:sz w:val="28"/>
          <w:szCs w:val="28"/>
        </w:rPr>
      </w:pPr>
      <w:r w:rsidRPr="001B6E4D">
        <w:rPr>
          <w:rFonts w:ascii="標楷體" w:eastAsia="標楷體" w:hAnsi="標楷體"/>
          <w:b/>
          <w:sz w:val="28"/>
          <w:szCs w:val="28"/>
        </w:rPr>
        <w:t>報  告  事  項</w:t>
      </w:r>
    </w:p>
    <w:p w14:paraId="2FC954FC" w14:textId="77777777" w:rsidR="00B53B50" w:rsidRPr="001B6E4D" w:rsidRDefault="00B53B50" w:rsidP="003D1018">
      <w:pPr>
        <w:pStyle w:val="af"/>
        <w:kinsoku w:val="0"/>
        <w:overflowPunct w:val="0"/>
        <w:autoSpaceDE w:val="0"/>
        <w:autoSpaceDN w:val="0"/>
        <w:ind w:left="574" w:rightChars="-21" w:right="-50" w:hangingChars="205" w:hanging="574"/>
        <w:jc w:val="both"/>
        <w:rPr>
          <w:rFonts w:ascii="標楷體" w:hAnsi="標楷體"/>
          <w:snapToGrid w:val="0"/>
          <w:kern w:val="0"/>
          <w:szCs w:val="28"/>
        </w:rPr>
      </w:pPr>
      <w:r w:rsidRPr="001B6E4D">
        <w:rPr>
          <w:rFonts w:ascii="標楷體" w:hAnsi="標楷體" w:hint="eastAsia"/>
          <w:snapToGrid w:val="0"/>
          <w:kern w:val="0"/>
          <w:szCs w:val="28"/>
        </w:rPr>
        <w:t>一、</w:t>
      </w:r>
      <w:r w:rsidRPr="001B6E4D">
        <w:rPr>
          <w:rFonts w:ascii="標楷體" w:hAnsi="標楷體"/>
          <w:snapToGrid w:val="0"/>
          <w:kern w:val="0"/>
          <w:szCs w:val="28"/>
        </w:rPr>
        <w:t>本會邀請法務部部長、行政院人事行政總處人事長、考選部部長、銓敘部部長、公務人員保障暨培訓委員會主任委員等</w:t>
      </w:r>
      <w:r w:rsidRPr="001B6E4D">
        <w:rPr>
          <w:rFonts w:ascii="標楷體" w:hAnsi="標楷體" w:hint="eastAsia"/>
          <w:snapToGrid w:val="0"/>
          <w:kern w:val="0"/>
          <w:szCs w:val="28"/>
        </w:rPr>
        <w:t>列席</w:t>
      </w:r>
      <w:r w:rsidRPr="001B6E4D">
        <w:rPr>
          <w:rFonts w:ascii="標楷體" w:hAnsi="標楷體"/>
          <w:snapToGrid w:val="0"/>
          <w:kern w:val="0"/>
          <w:szCs w:val="28"/>
        </w:rPr>
        <w:t>業務報告並備</w:t>
      </w:r>
      <w:r w:rsidRPr="001B6E4D">
        <w:rPr>
          <w:rFonts w:ascii="標楷體" w:hAnsi="標楷體" w:hint="eastAsia"/>
          <w:snapToGrid w:val="0"/>
          <w:kern w:val="0"/>
          <w:szCs w:val="28"/>
        </w:rPr>
        <w:t>質</w:t>
      </w:r>
      <w:r w:rsidRPr="001B6E4D">
        <w:rPr>
          <w:rFonts w:ascii="標楷體" w:hAnsi="標楷體"/>
          <w:snapToGrid w:val="0"/>
          <w:kern w:val="0"/>
          <w:szCs w:val="28"/>
        </w:rPr>
        <w:t>詢，及擬定本會期立法計畫，</w:t>
      </w:r>
      <w:r w:rsidRPr="001B6E4D">
        <w:rPr>
          <w:rFonts w:ascii="標楷體" w:hAnsi="標楷體" w:hint="eastAsia"/>
          <w:snapToGrid w:val="0"/>
          <w:kern w:val="0"/>
          <w:szCs w:val="28"/>
        </w:rPr>
        <w:t>並得邀請司法院及監察院秘書長列席說明</w:t>
      </w:r>
      <w:r w:rsidRPr="001B6E4D">
        <w:rPr>
          <w:rFonts w:ascii="標楷體" w:hAnsi="標楷體"/>
          <w:snapToGrid w:val="0"/>
          <w:kern w:val="0"/>
          <w:szCs w:val="28"/>
        </w:rPr>
        <w:t>立法計畫，依例由輪值召集委員排定。</w:t>
      </w:r>
    </w:p>
    <w:p w14:paraId="59CE0C2E" w14:textId="77777777" w:rsidR="00B53B50" w:rsidRPr="001B6E4D" w:rsidRDefault="00B53B50" w:rsidP="003D1018">
      <w:pPr>
        <w:pStyle w:val="af"/>
        <w:kinsoku w:val="0"/>
        <w:overflowPunct w:val="0"/>
        <w:autoSpaceDE w:val="0"/>
        <w:autoSpaceDN w:val="0"/>
        <w:ind w:left="574" w:rightChars="-21" w:right="-50" w:hangingChars="205" w:hanging="574"/>
        <w:jc w:val="both"/>
        <w:rPr>
          <w:rFonts w:ascii="標楷體" w:hAnsi="標楷體"/>
          <w:szCs w:val="28"/>
        </w:rPr>
      </w:pPr>
      <w:r w:rsidRPr="001B6E4D">
        <w:rPr>
          <w:rFonts w:ascii="標楷體" w:hAnsi="標楷體" w:hint="eastAsia"/>
          <w:szCs w:val="28"/>
        </w:rPr>
        <w:t>二、</w:t>
      </w:r>
      <w:r w:rsidRPr="001B6E4D">
        <w:rPr>
          <w:rFonts w:ascii="標楷體" w:hAnsi="標楷體"/>
          <w:szCs w:val="28"/>
        </w:rPr>
        <w:t>本會召開公聽會，邀請學者專家，由輪值召集委員決定。</w:t>
      </w:r>
    </w:p>
    <w:p w14:paraId="50B6293C" w14:textId="77777777" w:rsidR="00B53B50" w:rsidRPr="001B6E4D" w:rsidRDefault="00B53B50" w:rsidP="003D1018">
      <w:pPr>
        <w:pStyle w:val="af"/>
        <w:kinsoku w:val="0"/>
        <w:overflowPunct w:val="0"/>
        <w:autoSpaceDE w:val="0"/>
        <w:ind w:left="574" w:rightChars="-21" w:right="-50" w:hangingChars="205" w:hanging="574"/>
        <w:jc w:val="both"/>
        <w:rPr>
          <w:rFonts w:ascii="標楷體" w:hAnsi="標楷體"/>
          <w:szCs w:val="28"/>
        </w:rPr>
      </w:pPr>
      <w:r w:rsidRPr="001B6E4D">
        <w:rPr>
          <w:rFonts w:ascii="標楷體" w:hAnsi="標楷體" w:hint="eastAsia"/>
          <w:szCs w:val="28"/>
        </w:rPr>
        <w:t>三、</w:t>
      </w:r>
      <w:r w:rsidRPr="001B6E4D">
        <w:rPr>
          <w:rFonts w:ascii="標楷體" w:hAnsi="標楷體"/>
          <w:szCs w:val="28"/>
        </w:rPr>
        <w:t>本會與相關</w:t>
      </w:r>
      <w:r w:rsidRPr="001B6E4D">
        <w:rPr>
          <w:rFonts w:ascii="標楷體" w:hAnsi="標楷體" w:hint="eastAsia"/>
          <w:szCs w:val="28"/>
        </w:rPr>
        <w:t>院</w:t>
      </w:r>
      <w:r w:rsidRPr="001B6E4D">
        <w:rPr>
          <w:rFonts w:ascii="標楷體" w:hAnsi="標楷體"/>
          <w:szCs w:val="28"/>
        </w:rPr>
        <w:t>部會協調聯繫經費，</w:t>
      </w:r>
      <w:proofErr w:type="gramStart"/>
      <w:r w:rsidRPr="001B6E4D">
        <w:rPr>
          <w:rFonts w:ascii="標楷體" w:hAnsi="標楷體"/>
          <w:snapToGrid w:val="0"/>
          <w:kern w:val="0"/>
          <w:szCs w:val="28"/>
        </w:rPr>
        <w:t>依例每會期</w:t>
      </w:r>
      <w:proofErr w:type="gramEnd"/>
      <w:r w:rsidRPr="001B6E4D">
        <w:rPr>
          <w:rFonts w:ascii="標楷體" w:hAnsi="標楷體"/>
          <w:szCs w:val="28"/>
        </w:rPr>
        <w:t>每位召</w:t>
      </w:r>
      <w:r w:rsidRPr="001B6E4D">
        <w:rPr>
          <w:rFonts w:ascii="標楷體" w:hAnsi="標楷體" w:hint="eastAsia"/>
          <w:szCs w:val="28"/>
        </w:rPr>
        <w:t>集</w:t>
      </w:r>
      <w:r w:rsidRPr="001B6E4D">
        <w:rPr>
          <w:rFonts w:ascii="標楷體" w:hAnsi="標楷體"/>
          <w:szCs w:val="28"/>
        </w:rPr>
        <w:t>委</w:t>
      </w:r>
      <w:r w:rsidRPr="001B6E4D">
        <w:rPr>
          <w:rFonts w:ascii="標楷體" w:hAnsi="標楷體" w:hint="eastAsia"/>
          <w:szCs w:val="28"/>
        </w:rPr>
        <w:t>員</w:t>
      </w:r>
      <w:r w:rsidRPr="001B6E4D">
        <w:rPr>
          <w:rFonts w:ascii="標楷體" w:hAnsi="標楷體"/>
          <w:szCs w:val="28"/>
        </w:rPr>
        <w:t>6萬元，由2位召集委員協商後動支。</w:t>
      </w:r>
    </w:p>
    <w:p w14:paraId="7758CB8B" w14:textId="77777777" w:rsidR="00B53B50" w:rsidRPr="001B6E4D" w:rsidRDefault="00B53B50" w:rsidP="003D1018">
      <w:pPr>
        <w:pStyle w:val="af"/>
        <w:kinsoku w:val="0"/>
        <w:overflowPunct w:val="0"/>
        <w:autoSpaceDE w:val="0"/>
        <w:autoSpaceDN w:val="0"/>
        <w:ind w:left="574" w:rightChars="-21" w:right="-50" w:hangingChars="205" w:hanging="574"/>
        <w:jc w:val="both"/>
        <w:rPr>
          <w:rFonts w:ascii="標楷體" w:hAnsi="標楷體"/>
          <w:szCs w:val="28"/>
        </w:rPr>
      </w:pPr>
      <w:r w:rsidRPr="001B6E4D">
        <w:rPr>
          <w:rFonts w:ascii="標楷體" w:hAnsi="標楷體" w:hint="eastAsia"/>
          <w:szCs w:val="28"/>
        </w:rPr>
        <w:t>四、</w:t>
      </w:r>
      <w:r w:rsidRPr="001B6E4D">
        <w:rPr>
          <w:rFonts w:ascii="標楷體" w:hAnsi="標楷體"/>
          <w:szCs w:val="28"/>
        </w:rPr>
        <w:t>議事處理，依例：</w:t>
      </w:r>
    </w:p>
    <w:p w14:paraId="24859127" w14:textId="77777777" w:rsidR="00B53B50" w:rsidRPr="001B6E4D" w:rsidRDefault="00B53B50" w:rsidP="003D1018">
      <w:pPr>
        <w:pStyle w:val="af"/>
        <w:overflowPunct w:val="0"/>
        <w:ind w:leftChars="199" w:left="1318" w:rightChars="-21" w:right="-50" w:hangingChars="300" w:hanging="840"/>
        <w:jc w:val="both"/>
        <w:rPr>
          <w:rFonts w:ascii="標楷體" w:hAnsi="標楷體"/>
          <w:szCs w:val="28"/>
        </w:rPr>
      </w:pPr>
      <w:r w:rsidRPr="001B6E4D">
        <w:rPr>
          <w:rFonts w:ascii="標楷體" w:hAnsi="標楷體"/>
          <w:szCs w:val="28"/>
        </w:rPr>
        <w:t>（一）本會開會時間為上午9時至12時，下午2時30分至5時30分。</w:t>
      </w:r>
    </w:p>
    <w:p w14:paraId="331E502C" w14:textId="77777777" w:rsidR="00B53B50" w:rsidRPr="001B6E4D" w:rsidRDefault="00B53B50" w:rsidP="003D1018">
      <w:pPr>
        <w:pStyle w:val="af"/>
        <w:overflowPunct w:val="0"/>
        <w:ind w:left="1333" w:rightChars="-21" w:right="-50" w:firstLineChars="0" w:hanging="851"/>
        <w:jc w:val="both"/>
        <w:rPr>
          <w:rFonts w:ascii="標楷體" w:hAnsi="標楷體"/>
          <w:szCs w:val="28"/>
        </w:rPr>
      </w:pPr>
      <w:r w:rsidRPr="001B6E4D">
        <w:rPr>
          <w:rFonts w:ascii="標楷體" w:hAnsi="標楷體" w:hint="eastAsia"/>
          <w:szCs w:val="28"/>
        </w:rPr>
        <w:t>（二）</w:t>
      </w:r>
      <w:r w:rsidRPr="001B6E4D">
        <w:rPr>
          <w:rFonts w:ascii="標楷體" w:hAnsi="標楷體"/>
          <w:szCs w:val="28"/>
        </w:rPr>
        <w:t>委員開會簽到，於散會前在會場親自辦理；在散會後要求簽到之委員，於開會通知單時間內</w:t>
      </w:r>
      <w:proofErr w:type="gramStart"/>
      <w:r w:rsidRPr="001B6E4D">
        <w:rPr>
          <w:rFonts w:ascii="標楷體" w:hAnsi="標楷體"/>
          <w:szCs w:val="28"/>
        </w:rPr>
        <w:t>（</w:t>
      </w:r>
      <w:proofErr w:type="gramEnd"/>
      <w:r w:rsidRPr="001B6E4D">
        <w:rPr>
          <w:rFonts w:ascii="標楷體" w:hAnsi="標楷體"/>
          <w:szCs w:val="28"/>
        </w:rPr>
        <w:t>上午半天會議至上午12時止；全天會議及下午半天會議至下午5時30分止</w:t>
      </w:r>
      <w:proofErr w:type="gramStart"/>
      <w:r w:rsidRPr="001B6E4D">
        <w:rPr>
          <w:rFonts w:ascii="標楷體" w:hAnsi="標楷體"/>
          <w:szCs w:val="28"/>
        </w:rPr>
        <w:t>）</w:t>
      </w:r>
      <w:proofErr w:type="gramEnd"/>
      <w:r w:rsidRPr="001B6E4D">
        <w:rPr>
          <w:rFonts w:ascii="標楷體" w:hAnsi="標楷體"/>
          <w:szCs w:val="28"/>
        </w:rPr>
        <w:t>，得予簽到。但主席宣告延會（流會）後，不再辦理簽到。</w:t>
      </w:r>
    </w:p>
    <w:p w14:paraId="2CF67B02" w14:textId="77777777" w:rsidR="00B53B50" w:rsidRPr="001B6E4D" w:rsidRDefault="00B53B50" w:rsidP="003D1018">
      <w:pPr>
        <w:pStyle w:val="af"/>
        <w:overflowPunct w:val="0"/>
        <w:ind w:left="1333" w:rightChars="-21" w:right="-50" w:firstLineChars="0" w:hanging="851"/>
        <w:jc w:val="both"/>
        <w:rPr>
          <w:rFonts w:ascii="標楷體" w:hAnsi="標楷體"/>
          <w:szCs w:val="28"/>
        </w:rPr>
      </w:pPr>
      <w:r w:rsidRPr="001B6E4D">
        <w:rPr>
          <w:rFonts w:ascii="標楷體" w:hAnsi="標楷體" w:hint="eastAsia"/>
          <w:szCs w:val="28"/>
        </w:rPr>
        <w:t>（三）</w:t>
      </w:r>
      <w:r w:rsidRPr="001B6E4D">
        <w:rPr>
          <w:rFonts w:ascii="標楷體" w:hAnsi="標楷體"/>
          <w:szCs w:val="28"/>
        </w:rPr>
        <w:t>本會開始受理委員發言登記，如同時有多位</w:t>
      </w:r>
      <w:proofErr w:type="gramStart"/>
      <w:r w:rsidRPr="001B6E4D">
        <w:rPr>
          <w:rFonts w:ascii="標楷體" w:hAnsi="標楷體"/>
          <w:szCs w:val="28"/>
        </w:rPr>
        <w:t>委員在場時</w:t>
      </w:r>
      <w:proofErr w:type="gramEnd"/>
      <w:r w:rsidRPr="001B6E4D">
        <w:rPr>
          <w:rFonts w:ascii="標楷體" w:hAnsi="標楷體"/>
          <w:szCs w:val="28"/>
        </w:rPr>
        <w:t>，發言登記之先後順序，</w:t>
      </w:r>
      <w:proofErr w:type="gramStart"/>
      <w:r w:rsidRPr="001B6E4D">
        <w:rPr>
          <w:rFonts w:ascii="標楷體" w:hAnsi="標楷體"/>
          <w:szCs w:val="28"/>
        </w:rPr>
        <w:t>由在場委員</w:t>
      </w:r>
      <w:proofErr w:type="gramEnd"/>
      <w:r w:rsidRPr="001B6E4D">
        <w:rPr>
          <w:rFonts w:ascii="標楷體" w:hAnsi="標楷體"/>
          <w:szCs w:val="28"/>
        </w:rPr>
        <w:t>先行協商，協商不成，以簽到順序定之。自行以紙張簽名張貼於會場或以其他方式為之者，不予受理。</w:t>
      </w:r>
    </w:p>
    <w:p w14:paraId="06D9B919" w14:textId="77777777" w:rsidR="00B53B50" w:rsidRPr="001B6E4D" w:rsidRDefault="00B53B50" w:rsidP="003D1018">
      <w:pPr>
        <w:pStyle w:val="af"/>
        <w:overflowPunct w:val="0"/>
        <w:ind w:left="1333" w:rightChars="-21" w:right="-50" w:firstLineChars="0" w:hanging="1333"/>
        <w:jc w:val="both"/>
        <w:rPr>
          <w:rFonts w:ascii="標楷體" w:hAnsi="標楷體"/>
          <w:b/>
          <w:szCs w:val="28"/>
        </w:rPr>
      </w:pPr>
      <w:r w:rsidRPr="001B6E4D">
        <w:rPr>
          <w:rFonts w:ascii="標楷體" w:hAnsi="標楷體" w:hint="eastAsia"/>
          <w:b/>
          <w:szCs w:val="28"/>
        </w:rPr>
        <w:lastRenderedPageBreak/>
        <w:t>決定：第一項至第四項，依例辦理。</w:t>
      </w:r>
    </w:p>
    <w:p w14:paraId="699E9E7D" w14:textId="77777777" w:rsidR="00B53B50" w:rsidRPr="001B6E4D" w:rsidRDefault="00B53B50" w:rsidP="003D1018">
      <w:pPr>
        <w:overflowPunct w:val="0"/>
        <w:snapToGrid w:val="0"/>
        <w:spacing w:beforeLines="50" w:before="180" w:line="500" w:lineRule="exact"/>
        <w:ind w:rightChars="-21" w:right="-50" w:firstLineChars="398" w:firstLine="1115"/>
        <w:jc w:val="both"/>
        <w:rPr>
          <w:rFonts w:ascii="標楷體" w:eastAsia="標楷體" w:hAnsi="標楷體"/>
          <w:b/>
          <w:sz w:val="28"/>
          <w:szCs w:val="28"/>
        </w:rPr>
      </w:pPr>
      <w:r w:rsidRPr="001B6E4D">
        <w:rPr>
          <w:rFonts w:ascii="標楷體" w:eastAsia="標楷體" w:hAnsi="標楷體"/>
          <w:b/>
          <w:sz w:val="28"/>
          <w:szCs w:val="28"/>
        </w:rPr>
        <w:t>討  論  事  項</w:t>
      </w:r>
    </w:p>
    <w:p w14:paraId="05331A46" w14:textId="77777777" w:rsidR="00B53B50" w:rsidRPr="001B6E4D" w:rsidRDefault="00B53B50" w:rsidP="003D1018">
      <w:pPr>
        <w:pStyle w:val="af"/>
        <w:kinsoku w:val="0"/>
        <w:overflowPunct w:val="0"/>
        <w:autoSpaceDE w:val="0"/>
        <w:ind w:left="574" w:rightChars="-139" w:right="-334" w:hangingChars="205" w:hanging="574"/>
        <w:jc w:val="both"/>
        <w:rPr>
          <w:rFonts w:ascii="標楷體" w:hAnsi="標楷體"/>
          <w:szCs w:val="28"/>
        </w:rPr>
      </w:pPr>
      <w:r w:rsidRPr="001B6E4D">
        <w:rPr>
          <w:rFonts w:ascii="標楷體" w:hAnsi="標楷體" w:hint="eastAsia"/>
          <w:szCs w:val="28"/>
        </w:rPr>
        <w:t>一、</w:t>
      </w:r>
      <w:r w:rsidRPr="001B6E4D">
        <w:rPr>
          <w:rFonts w:ascii="標楷體" w:hAnsi="標楷體"/>
          <w:szCs w:val="28"/>
        </w:rPr>
        <w:t>本會</w:t>
      </w:r>
      <w:r w:rsidRPr="001B6E4D">
        <w:rPr>
          <w:rFonts w:ascii="標楷體" w:hAnsi="標楷體"/>
          <w:snapToGrid w:val="0"/>
          <w:kern w:val="0"/>
          <w:szCs w:val="28"/>
        </w:rPr>
        <w:t>召集</w:t>
      </w:r>
      <w:r w:rsidRPr="001B6E4D">
        <w:rPr>
          <w:rFonts w:ascii="標楷體" w:hAnsi="標楷體"/>
          <w:szCs w:val="28"/>
        </w:rPr>
        <w:t>委員輪值要點及</w:t>
      </w:r>
      <w:proofErr w:type="gramStart"/>
      <w:r w:rsidRPr="001B6E4D">
        <w:rPr>
          <w:rFonts w:ascii="標楷體" w:hAnsi="標楷體"/>
          <w:szCs w:val="28"/>
        </w:rPr>
        <w:t>輪值表稿</w:t>
      </w:r>
      <w:proofErr w:type="gramEnd"/>
      <w:r w:rsidRPr="001B6E4D">
        <w:rPr>
          <w:rFonts w:ascii="標楷體" w:hAnsi="標楷體"/>
          <w:szCs w:val="28"/>
        </w:rPr>
        <w:t>（如附件1、2），提請決議案。</w:t>
      </w:r>
    </w:p>
    <w:p w14:paraId="1483A262" w14:textId="77777777" w:rsidR="00B53B50" w:rsidRPr="001B6E4D" w:rsidRDefault="00B53B50" w:rsidP="003D1018">
      <w:pPr>
        <w:pStyle w:val="af"/>
        <w:overflowPunct w:val="0"/>
        <w:ind w:left="1333" w:rightChars="-21" w:right="-50" w:firstLineChars="0" w:hanging="1333"/>
        <w:jc w:val="both"/>
        <w:rPr>
          <w:rFonts w:ascii="標楷體" w:hAnsi="標楷體"/>
          <w:b/>
          <w:szCs w:val="28"/>
        </w:rPr>
      </w:pPr>
      <w:r w:rsidRPr="001B6E4D">
        <w:rPr>
          <w:rFonts w:ascii="標楷體" w:hAnsi="標楷體" w:hint="eastAsia"/>
          <w:b/>
          <w:szCs w:val="28"/>
        </w:rPr>
        <w:t>決議：</w:t>
      </w:r>
      <w:r w:rsidRPr="001B6E4D">
        <w:rPr>
          <w:rFonts w:ascii="標楷體" w:hAnsi="標楷體"/>
          <w:b/>
          <w:szCs w:val="28"/>
        </w:rPr>
        <w:t>本會召集委員輪值要點及</w:t>
      </w:r>
      <w:proofErr w:type="gramStart"/>
      <w:r w:rsidRPr="001B6E4D">
        <w:rPr>
          <w:rFonts w:ascii="標楷體" w:hAnsi="標楷體"/>
          <w:b/>
          <w:szCs w:val="28"/>
        </w:rPr>
        <w:t>輪值表如附件</w:t>
      </w:r>
      <w:proofErr w:type="gramEnd"/>
      <w:r w:rsidRPr="001B6E4D">
        <w:rPr>
          <w:rFonts w:ascii="標楷體" w:hAnsi="標楷體"/>
          <w:b/>
          <w:szCs w:val="28"/>
        </w:rPr>
        <w:t>1、2</w:t>
      </w:r>
      <w:r w:rsidRPr="001B6E4D">
        <w:rPr>
          <w:rFonts w:ascii="標楷體" w:hAnsi="標楷體" w:hint="eastAsia"/>
          <w:b/>
          <w:szCs w:val="28"/>
        </w:rPr>
        <w:t>。</w:t>
      </w:r>
    </w:p>
    <w:p w14:paraId="18F950DC" w14:textId="77777777" w:rsidR="00B53B50" w:rsidRPr="001B6E4D" w:rsidRDefault="00B53B50" w:rsidP="003D1018">
      <w:pPr>
        <w:pStyle w:val="af"/>
        <w:kinsoku w:val="0"/>
        <w:overflowPunct w:val="0"/>
        <w:autoSpaceDE w:val="0"/>
        <w:ind w:left="574" w:rightChars="-21" w:right="-50" w:hangingChars="205" w:hanging="574"/>
        <w:jc w:val="both"/>
        <w:rPr>
          <w:rFonts w:ascii="標楷體" w:hAnsi="標楷體"/>
          <w:szCs w:val="28"/>
        </w:rPr>
      </w:pPr>
      <w:r w:rsidRPr="001B6E4D">
        <w:rPr>
          <w:rFonts w:ascii="標楷體" w:hAnsi="標楷體" w:hint="eastAsia"/>
          <w:szCs w:val="28"/>
        </w:rPr>
        <w:t>二</w:t>
      </w:r>
      <w:r w:rsidRPr="001B6E4D">
        <w:rPr>
          <w:rFonts w:ascii="標楷體" w:hAnsi="標楷體"/>
          <w:szCs w:val="28"/>
        </w:rPr>
        <w:t>、</w:t>
      </w:r>
      <w:r w:rsidRPr="001B6E4D">
        <w:rPr>
          <w:rFonts w:ascii="標楷體" w:hAnsi="標楷體" w:hint="eastAsia"/>
          <w:szCs w:val="28"/>
        </w:rPr>
        <w:t>第11屆第5會期本會召集委員主持分組審查預算分配表（如附件3），提請決議案。</w:t>
      </w:r>
    </w:p>
    <w:p w14:paraId="2F9FD7CC" w14:textId="77777777" w:rsidR="00B53B50" w:rsidRPr="001B6E4D" w:rsidRDefault="00B53B50" w:rsidP="003D1018">
      <w:pPr>
        <w:pStyle w:val="af"/>
        <w:overflowPunct w:val="0"/>
        <w:ind w:leftChars="-12" w:left="812" w:rightChars="-21" w:right="-50" w:hangingChars="300" w:hanging="841"/>
        <w:jc w:val="both"/>
        <w:rPr>
          <w:rFonts w:ascii="標楷體" w:hAnsi="標楷體"/>
          <w:b/>
          <w:szCs w:val="28"/>
        </w:rPr>
      </w:pPr>
      <w:r w:rsidRPr="001B6E4D">
        <w:rPr>
          <w:rFonts w:ascii="標楷體" w:hAnsi="標楷體"/>
          <w:b/>
          <w:szCs w:val="28"/>
        </w:rPr>
        <w:t>決議：</w:t>
      </w:r>
      <w:proofErr w:type="gramStart"/>
      <w:r w:rsidRPr="001B6E4D">
        <w:rPr>
          <w:rFonts w:ascii="標楷體" w:hAnsi="標楷體"/>
          <w:b/>
          <w:szCs w:val="28"/>
        </w:rPr>
        <w:t>俟</w:t>
      </w:r>
      <w:proofErr w:type="gramEnd"/>
      <w:r w:rsidRPr="001B6E4D">
        <w:rPr>
          <w:rFonts w:ascii="標楷體" w:hAnsi="標楷體"/>
          <w:b/>
          <w:szCs w:val="28"/>
        </w:rPr>
        <w:t>院會</w:t>
      </w:r>
      <w:r w:rsidRPr="001B6E4D">
        <w:rPr>
          <w:rFonts w:ascii="標楷體" w:hAnsi="標楷體" w:hint="eastAsia"/>
          <w:b/>
          <w:szCs w:val="28"/>
        </w:rPr>
        <w:t>付委</w:t>
      </w:r>
      <w:r w:rsidRPr="001B6E4D">
        <w:rPr>
          <w:rFonts w:ascii="標楷體" w:hAnsi="標楷體"/>
          <w:b/>
          <w:szCs w:val="28"/>
        </w:rPr>
        <w:t>後</w:t>
      </w:r>
      <w:r w:rsidRPr="001B6E4D">
        <w:rPr>
          <w:rFonts w:ascii="標楷體" w:hAnsi="標楷體" w:hint="eastAsia"/>
          <w:b/>
          <w:szCs w:val="28"/>
        </w:rPr>
        <w:t>依</w:t>
      </w:r>
      <w:r w:rsidRPr="001B6E4D">
        <w:rPr>
          <w:rFonts w:ascii="標楷體" w:hAnsi="標楷體"/>
          <w:b/>
          <w:szCs w:val="28"/>
        </w:rPr>
        <w:t>附</w:t>
      </w:r>
      <w:r w:rsidRPr="001B6E4D">
        <w:rPr>
          <w:rFonts w:ascii="標楷體" w:hAnsi="標楷體" w:hint="eastAsia"/>
          <w:b/>
          <w:szCs w:val="28"/>
        </w:rPr>
        <w:t>件3之</w:t>
      </w:r>
      <w:r w:rsidRPr="001B6E4D">
        <w:rPr>
          <w:rFonts w:ascii="標楷體" w:hAnsi="標楷體"/>
          <w:b/>
          <w:szCs w:val="28"/>
        </w:rPr>
        <w:t>分組審查</w:t>
      </w:r>
      <w:r w:rsidRPr="001B6E4D">
        <w:rPr>
          <w:rFonts w:ascii="標楷體" w:hAnsi="標楷體" w:hint="eastAsia"/>
          <w:b/>
          <w:szCs w:val="28"/>
        </w:rPr>
        <w:t>分配</w:t>
      </w:r>
      <w:r w:rsidRPr="001B6E4D">
        <w:rPr>
          <w:rFonts w:ascii="標楷體" w:hAnsi="標楷體"/>
          <w:b/>
          <w:szCs w:val="28"/>
        </w:rPr>
        <w:t>表，由</w:t>
      </w:r>
      <w:r w:rsidRPr="001B6E4D">
        <w:rPr>
          <w:rFonts w:ascii="標楷體" w:hAnsi="標楷體" w:hint="eastAsia"/>
          <w:b/>
          <w:szCs w:val="28"/>
        </w:rPr>
        <w:t>2</w:t>
      </w:r>
      <w:r w:rsidRPr="001B6E4D">
        <w:rPr>
          <w:rFonts w:ascii="標楷體" w:hAnsi="標楷體"/>
          <w:b/>
          <w:szCs w:val="28"/>
        </w:rPr>
        <w:t>位召集委員分別主持。</w:t>
      </w:r>
    </w:p>
    <w:p w14:paraId="222678B7" w14:textId="77777777" w:rsidR="00B53B50" w:rsidRPr="001B6E4D" w:rsidRDefault="00B53B50" w:rsidP="003D1018">
      <w:pPr>
        <w:pStyle w:val="af"/>
        <w:kinsoku w:val="0"/>
        <w:overflowPunct w:val="0"/>
        <w:autoSpaceDE w:val="0"/>
        <w:ind w:left="574" w:rightChars="-21" w:right="-50" w:hangingChars="205" w:hanging="574"/>
        <w:jc w:val="both"/>
        <w:rPr>
          <w:rFonts w:ascii="標楷體" w:hAnsi="標楷體"/>
          <w:szCs w:val="28"/>
        </w:rPr>
      </w:pPr>
      <w:r w:rsidRPr="001B6E4D">
        <w:rPr>
          <w:rFonts w:ascii="標楷體" w:hAnsi="標楷體" w:hint="eastAsia"/>
          <w:szCs w:val="28"/>
        </w:rPr>
        <w:t>三、</w:t>
      </w:r>
      <w:r w:rsidRPr="001B6E4D">
        <w:rPr>
          <w:rFonts w:ascii="標楷體" w:hAnsi="標楷體"/>
          <w:szCs w:val="28"/>
        </w:rPr>
        <w:t>請</w:t>
      </w:r>
      <w:r w:rsidRPr="001B6E4D">
        <w:rPr>
          <w:rFonts w:ascii="標楷體" w:hAnsi="標楷體"/>
          <w:snapToGrid w:val="0"/>
          <w:kern w:val="0"/>
          <w:szCs w:val="28"/>
        </w:rPr>
        <w:t>推舉</w:t>
      </w:r>
      <w:r w:rsidRPr="001B6E4D">
        <w:rPr>
          <w:rFonts w:ascii="標楷體" w:hAnsi="標楷體"/>
          <w:szCs w:val="28"/>
        </w:rPr>
        <w:t>召集委員</w:t>
      </w:r>
      <w:r w:rsidRPr="001B6E4D">
        <w:rPr>
          <w:rFonts w:ascii="標楷體" w:hAnsi="標楷體" w:hint="eastAsia"/>
          <w:szCs w:val="28"/>
        </w:rPr>
        <w:t>1</w:t>
      </w:r>
      <w:r w:rsidRPr="001B6E4D">
        <w:rPr>
          <w:rFonts w:ascii="標楷體" w:hAnsi="標楷體"/>
          <w:szCs w:val="28"/>
        </w:rPr>
        <w:t>人為本會擔任紀律委員會召集委員。</w:t>
      </w:r>
    </w:p>
    <w:p w14:paraId="38F1C286" w14:textId="77777777" w:rsidR="00B53B50" w:rsidRPr="001B6E4D" w:rsidRDefault="00B53B50" w:rsidP="003D1018">
      <w:pPr>
        <w:overflowPunct w:val="0"/>
        <w:snapToGrid w:val="0"/>
        <w:spacing w:line="500" w:lineRule="exact"/>
        <w:ind w:leftChars="1" w:left="1123" w:rightChars="-21" w:right="-50" w:hangingChars="400" w:hanging="1121"/>
        <w:jc w:val="both"/>
        <w:rPr>
          <w:rFonts w:ascii="標楷體" w:eastAsia="標楷體" w:hAnsi="標楷體"/>
          <w:b/>
          <w:sz w:val="28"/>
          <w:szCs w:val="28"/>
        </w:rPr>
      </w:pPr>
      <w:r w:rsidRPr="001B6E4D">
        <w:rPr>
          <w:rFonts w:ascii="標楷體" w:eastAsia="標楷體" w:hAnsi="標楷體" w:hint="eastAsia"/>
          <w:b/>
          <w:sz w:val="28"/>
          <w:szCs w:val="28"/>
        </w:rPr>
        <w:t>決議：推舉翁召集委員曉玲為本會擔任</w:t>
      </w:r>
      <w:r w:rsidRPr="001B6E4D">
        <w:rPr>
          <w:rFonts w:ascii="標楷體" w:eastAsia="標楷體" w:hAnsi="標楷體"/>
          <w:b/>
          <w:sz w:val="28"/>
          <w:szCs w:val="28"/>
        </w:rPr>
        <w:t>紀律委員會召集委員。</w:t>
      </w:r>
    </w:p>
    <w:p w14:paraId="2DC05171" w14:textId="77777777" w:rsidR="00B53B50" w:rsidRPr="001B6E4D" w:rsidRDefault="00B53B50" w:rsidP="003D1018">
      <w:pPr>
        <w:overflowPunct w:val="0"/>
        <w:snapToGrid w:val="0"/>
        <w:spacing w:beforeLines="50" w:before="180" w:line="500" w:lineRule="exact"/>
        <w:ind w:leftChars="1" w:left="1122" w:rightChars="-21" w:right="-50" w:hangingChars="400" w:hanging="1120"/>
        <w:jc w:val="both"/>
        <w:rPr>
          <w:rFonts w:ascii="標楷體" w:eastAsia="標楷體" w:hAnsi="標楷體"/>
          <w:sz w:val="28"/>
          <w:szCs w:val="28"/>
        </w:rPr>
      </w:pPr>
      <w:r w:rsidRPr="001B6E4D">
        <w:rPr>
          <w:rFonts w:ascii="標楷體" w:eastAsia="標楷體" w:hAnsi="標楷體" w:hint="eastAsia"/>
          <w:sz w:val="28"/>
          <w:szCs w:val="28"/>
        </w:rPr>
        <w:t>散會</w:t>
      </w:r>
    </w:p>
    <w:p w14:paraId="46012FD2" w14:textId="77777777" w:rsidR="00B53B50" w:rsidRPr="001B6E4D" w:rsidRDefault="00B53B50" w:rsidP="003D1018">
      <w:pPr>
        <w:overflowPunct w:val="0"/>
        <w:snapToGrid w:val="0"/>
        <w:spacing w:beforeLines="50" w:before="180" w:line="500" w:lineRule="exact"/>
        <w:ind w:leftChars="1" w:left="1122" w:rightChars="-21" w:right="-50" w:hangingChars="400" w:hanging="1120"/>
        <w:jc w:val="both"/>
        <w:rPr>
          <w:rFonts w:ascii="標楷體" w:eastAsia="標楷體" w:hAnsi="標楷體"/>
          <w:sz w:val="28"/>
          <w:szCs w:val="28"/>
        </w:rPr>
      </w:pPr>
    </w:p>
    <w:p w14:paraId="369467FA" w14:textId="77777777" w:rsidR="00B53B50" w:rsidRPr="001B6E4D" w:rsidRDefault="00B53B50" w:rsidP="003D1018">
      <w:pPr>
        <w:overflowPunct w:val="0"/>
        <w:jc w:val="right"/>
        <w:rPr>
          <w:rFonts w:ascii="標楷體" w:eastAsia="標楷體" w:hAnsi="標楷體"/>
          <w:sz w:val="28"/>
          <w:szCs w:val="28"/>
        </w:rPr>
      </w:pPr>
      <w:r w:rsidRPr="001B6E4D">
        <w:rPr>
          <w:rFonts w:ascii="標楷體" w:eastAsia="標楷體" w:hAnsi="標楷體"/>
          <w:sz w:val="32"/>
          <w:szCs w:val="32"/>
        </w:rPr>
        <w:br w:type="page"/>
      </w:r>
      <w:r w:rsidRPr="001B6E4D">
        <w:rPr>
          <w:rFonts w:ascii="標楷體" w:eastAsia="標楷體" w:hAnsi="標楷體"/>
          <w:sz w:val="28"/>
          <w:szCs w:val="28"/>
        </w:rPr>
        <w:lastRenderedPageBreak/>
        <w:t>（附件</w:t>
      </w:r>
      <w:r w:rsidRPr="001B6E4D">
        <w:rPr>
          <w:rFonts w:ascii="標楷體" w:eastAsia="標楷體" w:hAnsi="標楷體" w:hint="eastAsia"/>
          <w:sz w:val="28"/>
          <w:szCs w:val="28"/>
        </w:rPr>
        <w:t>1</w:t>
      </w:r>
      <w:r w:rsidRPr="001B6E4D">
        <w:rPr>
          <w:rFonts w:ascii="標楷體" w:eastAsia="標楷體" w:hAnsi="標楷體"/>
          <w:sz w:val="28"/>
          <w:szCs w:val="28"/>
        </w:rPr>
        <w:t>）</w:t>
      </w:r>
    </w:p>
    <w:p w14:paraId="7665AFBE" w14:textId="77777777" w:rsidR="00B53B50" w:rsidRPr="001B6E4D" w:rsidRDefault="00B53B50" w:rsidP="003D1018">
      <w:pPr>
        <w:pStyle w:val="afd"/>
        <w:overflowPunct w:val="0"/>
        <w:snapToGrid w:val="0"/>
        <w:spacing w:afterLines="50" w:after="180" w:line="500" w:lineRule="exact"/>
        <w:ind w:rightChars="-21" w:right="-50"/>
        <w:jc w:val="center"/>
        <w:rPr>
          <w:rFonts w:ascii="標楷體" w:eastAsia="標楷體" w:hAnsi="標楷體"/>
          <w:b/>
          <w:sz w:val="28"/>
          <w:szCs w:val="28"/>
        </w:rPr>
      </w:pPr>
      <w:r w:rsidRPr="001B6E4D">
        <w:rPr>
          <w:rFonts w:ascii="標楷體" w:eastAsia="標楷體" w:hAnsi="標楷體"/>
          <w:b/>
          <w:sz w:val="28"/>
          <w:szCs w:val="28"/>
        </w:rPr>
        <w:t>立法院司法及法制委員會召集委員輪值要點</w:t>
      </w:r>
    </w:p>
    <w:p w14:paraId="361408A1" w14:textId="77777777" w:rsidR="00B53B50" w:rsidRPr="001B6E4D" w:rsidRDefault="00B53B50" w:rsidP="003D1018">
      <w:pPr>
        <w:pStyle w:val="afd"/>
        <w:overflowPunct w:val="0"/>
        <w:snapToGrid w:val="0"/>
        <w:spacing w:line="500" w:lineRule="exact"/>
        <w:ind w:left="560" w:rightChars="-21" w:right="-50" w:hangingChars="200" w:hanging="560"/>
        <w:jc w:val="both"/>
        <w:rPr>
          <w:rFonts w:ascii="標楷體" w:eastAsia="標楷體" w:hAnsi="標楷體"/>
          <w:sz w:val="28"/>
          <w:szCs w:val="28"/>
        </w:rPr>
      </w:pPr>
      <w:r w:rsidRPr="001B6E4D">
        <w:rPr>
          <w:rFonts w:ascii="標楷體" w:eastAsia="標楷體" w:hAnsi="標楷體" w:hint="eastAsia"/>
          <w:sz w:val="28"/>
          <w:szCs w:val="28"/>
        </w:rPr>
        <w:t>一、</w:t>
      </w:r>
      <w:r w:rsidRPr="001B6E4D">
        <w:rPr>
          <w:rFonts w:ascii="標楷體" w:eastAsia="標楷體" w:hAnsi="標楷體"/>
          <w:sz w:val="28"/>
          <w:szCs w:val="28"/>
        </w:rPr>
        <w:t>為辦理司法及法制委員會（以下簡稱本會）召集委員輪值事宜，特訂定本要點。</w:t>
      </w:r>
    </w:p>
    <w:p w14:paraId="399BE507" w14:textId="77777777" w:rsidR="00B53B50" w:rsidRPr="001B6E4D" w:rsidRDefault="00B53B50" w:rsidP="003D1018">
      <w:pPr>
        <w:pStyle w:val="afd"/>
        <w:overflowPunct w:val="0"/>
        <w:snapToGrid w:val="0"/>
        <w:spacing w:line="500" w:lineRule="exact"/>
        <w:ind w:left="560" w:rightChars="-21" w:right="-50" w:hangingChars="200" w:hanging="560"/>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sz w:val="28"/>
          <w:szCs w:val="28"/>
        </w:rPr>
        <w:t>本會召集委員輪值及其輪值期間公務之處理，除其他法令另有規定外，依本要點之規定。</w:t>
      </w:r>
    </w:p>
    <w:p w14:paraId="2CADFD89" w14:textId="77777777" w:rsidR="00B53B50" w:rsidRPr="001B6E4D" w:rsidRDefault="00B53B50" w:rsidP="003D1018">
      <w:pPr>
        <w:pStyle w:val="afd"/>
        <w:overflowPunct w:val="0"/>
        <w:snapToGrid w:val="0"/>
        <w:spacing w:line="500" w:lineRule="exact"/>
        <w:ind w:left="560" w:rightChars="-21" w:right="-50" w:hangingChars="200" w:hanging="560"/>
        <w:jc w:val="both"/>
        <w:rPr>
          <w:rFonts w:ascii="標楷體" w:eastAsia="標楷體" w:hAnsi="標楷體"/>
          <w:sz w:val="28"/>
          <w:szCs w:val="28"/>
        </w:rPr>
      </w:pPr>
      <w:r w:rsidRPr="001B6E4D">
        <w:rPr>
          <w:rFonts w:ascii="標楷體" w:eastAsia="標楷體" w:hAnsi="標楷體"/>
          <w:sz w:val="28"/>
          <w:szCs w:val="28"/>
        </w:rPr>
        <w:t>三、召集委員會議，由輪值召集委員於必要時召集之，並擔任主席。</w:t>
      </w:r>
    </w:p>
    <w:p w14:paraId="29E428E4" w14:textId="77777777" w:rsidR="00B53B50" w:rsidRPr="001B6E4D" w:rsidRDefault="00B53B50" w:rsidP="003D1018">
      <w:pPr>
        <w:pStyle w:val="afd"/>
        <w:overflowPunct w:val="0"/>
        <w:snapToGrid w:val="0"/>
        <w:spacing w:line="500" w:lineRule="exact"/>
        <w:ind w:rightChars="-21" w:right="-50" w:firstLineChars="200" w:firstLine="560"/>
        <w:jc w:val="both"/>
        <w:rPr>
          <w:rFonts w:ascii="標楷體" w:eastAsia="標楷體" w:hAnsi="標楷體"/>
          <w:sz w:val="28"/>
          <w:szCs w:val="28"/>
        </w:rPr>
      </w:pPr>
      <w:r w:rsidRPr="001B6E4D">
        <w:rPr>
          <w:rFonts w:ascii="標楷體" w:eastAsia="標楷體" w:hAnsi="標楷體"/>
          <w:sz w:val="28"/>
          <w:szCs w:val="28"/>
        </w:rPr>
        <w:t>召集委員會議決定之事項如下：</w:t>
      </w:r>
    </w:p>
    <w:p w14:paraId="31018E8B" w14:textId="77777777" w:rsidR="00B53B50" w:rsidRPr="001B6E4D" w:rsidRDefault="00B53B50" w:rsidP="003D1018">
      <w:pPr>
        <w:pStyle w:val="afd"/>
        <w:overflowPunct w:val="0"/>
        <w:snapToGrid w:val="0"/>
        <w:spacing w:line="500" w:lineRule="exact"/>
        <w:ind w:leftChars="-150" w:left="-360" w:rightChars="-21" w:right="-50" w:firstLineChars="280" w:firstLine="784"/>
        <w:jc w:val="both"/>
        <w:rPr>
          <w:rFonts w:ascii="標楷體" w:eastAsia="標楷體" w:hAnsi="標楷體"/>
          <w:sz w:val="28"/>
          <w:szCs w:val="28"/>
        </w:rPr>
      </w:pPr>
      <w:r w:rsidRPr="001B6E4D">
        <w:rPr>
          <w:rFonts w:ascii="標楷體" w:eastAsia="標楷體" w:hAnsi="標楷體"/>
          <w:sz w:val="28"/>
          <w:szCs w:val="28"/>
        </w:rPr>
        <w:t>（一）召集委員輪值要點。</w:t>
      </w:r>
    </w:p>
    <w:p w14:paraId="23C62A90" w14:textId="77777777" w:rsidR="00B53B50" w:rsidRPr="001B6E4D" w:rsidRDefault="00B53B50" w:rsidP="003D1018">
      <w:pPr>
        <w:pStyle w:val="afd"/>
        <w:overflowPunct w:val="0"/>
        <w:snapToGrid w:val="0"/>
        <w:spacing w:line="500" w:lineRule="exact"/>
        <w:ind w:leftChars="-150" w:left="-360" w:rightChars="-21" w:right="-50" w:firstLineChars="280" w:firstLine="784"/>
        <w:jc w:val="both"/>
        <w:rPr>
          <w:rFonts w:ascii="標楷體" w:eastAsia="標楷體" w:hAnsi="標楷體"/>
          <w:sz w:val="28"/>
          <w:szCs w:val="28"/>
        </w:rPr>
      </w:pPr>
      <w:r w:rsidRPr="001B6E4D">
        <w:rPr>
          <w:rFonts w:ascii="標楷體" w:eastAsia="標楷體" w:hAnsi="標楷體"/>
          <w:sz w:val="28"/>
          <w:szCs w:val="28"/>
        </w:rPr>
        <w:t>（二）召集委員輪值表。</w:t>
      </w:r>
    </w:p>
    <w:p w14:paraId="045B9568" w14:textId="77777777" w:rsidR="00B53B50" w:rsidRPr="001B6E4D" w:rsidRDefault="00B53B50" w:rsidP="003D1018">
      <w:pPr>
        <w:pStyle w:val="afd"/>
        <w:overflowPunct w:val="0"/>
        <w:snapToGrid w:val="0"/>
        <w:spacing w:line="500" w:lineRule="exact"/>
        <w:ind w:leftChars="-150" w:left="-360" w:rightChars="-21" w:right="-50" w:firstLineChars="280" w:firstLine="784"/>
        <w:jc w:val="both"/>
        <w:rPr>
          <w:rFonts w:ascii="標楷體" w:eastAsia="標楷體" w:hAnsi="標楷體"/>
          <w:sz w:val="28"/>
          <w:szCs w:val="28"/>
        </w:rPr>
      </w:pPr>
      <w:r w:rsidRPr="001B6E4D">
        <w:rPr>
          <w:rFonts w:ascii="標楷體" w:eastAsia="標楷體" w:hAnsi="標楷體"/>
          <w:sz w:val="28"/>
          <w:szCs w:val="28"/>
        </w:rPr>
        <w:t>（三）相關院部</w:t>
      </w:r>
      <w:r w:rsidRPr="001B6E4D">
        <w:rPr>
          <w:rFonts w:ascii="標楷體" w:eastAsia="標楷體" w:hAnsi="標楷體" w:hint="eastAsia"/>
          <w:sz w:val="28"/>
          <w:szCs w:val="28"/>
        </w:rPr>
        <w:t>會</w:t>
      </w:r>
      <w:r w:rsidRPr="001B6E4D">
        <w:rPr>
          <w:rFonts w:ascii="標楷體" w:eastAsia="標楷體" w:hAnsi="標楷體"/>
          <w:sz w:val="28"/>
          <w:szCs w:val="28"/>
        </w:rPr>
        <w:t>預算之審查方式。</w:t>
      </w:r>
    </w:p>
    <w:p w14:paraId="487F6802" w14:textId="77777777" w:rsidR="00B53B50" w:rsidRPr="001B6E4D" w:rsidRDefault="00B53B50" w:rsidP="003D1018">
      <w:pPr>
        <w:pStyle w:val="afd"/>
        <w:overflowPunct w:val="0"/>
        <w:snapToGrid w:val="0"/>
        <w:spacing w:line="500" w:lineRule="exact"/>
        <w:ind w:leftChars="-150" w:left="-360" w:rightChars="-21" w:right="-50" w:firstLineChars="280" w:firstLine="784"/>
        <w:jc w:val="both"/>
        <w:rPr>
          <w:rFonts w:ascii="標楷體" w:eastAsia="標楷體" w:hAnsi="標楷體"/>
          <w:sz w:val="28"/>
          <w:szCs w:val="28"/>
        </w:rPr>
      </w:pPr>
      <w:r w:rsidRPr="001B6E4D">
        <w:rPr>
          <w:rFonts w:ascii="標楷體" w:eastAsia="標楷體" w:hAnsi="標楷體"/>
          <w:sz w:val="28"/>
          <w:szCs w:val="28"/>
        </w:rPr>
        <w:t>（四）國外考察事項。</w:t>
      </w:r>
    </w:p>
    <w:p w14:paraId="5AC5FB87" w14:textId="77777777" w:rsidR="00B53B50" w:rsidRPr="001B6E4D" w:rsidRDefault="00B53B50" w:rsidP="003D1018">
      <w:pPr>
        <w:pStyle w:val="afd"/>
        <w:overflowPunct w:val="0"/>
        <w:snapToGrid w:val="0"/>
        <w:spacing w:line="500" w:lineRule="exact"/>
        <w:ind w:leftChars="-150" w:left="-360" w:rightChars="-21" w:right="-50" w:firstLineChars="280" w:firstLine="784"/>
        <w:jc w:val="both"/>
        <w:rPr>
          <w:rFonts w:ascii="標楷體" w:eastAsia="標楷體" w:hAnsi="標楷體"/>
          <w:sz w:val="28"/>
          <w:szCs w:val="28"/>
        </w:rPr>
      </w:pPr>
      <w:r w:rsidRPr="001B6E4D">
        <w:rPr>
          <w:rFonts w:ascii="標楷體" w:eastAsia="標楷體" w:hAnsi="標楷體"/>
          <w:sz w:val="28"/>
          <w:szCs w:val="28"/>
        </w:rPr>
        <w:t>（五）其他有關本會應處理之重大事項。</w:t>
      </w:r>
    </w:p>
    <w:p w14:paraId="784F4BF9" w14:textId="77777777" w:rsidR="00B53B50" w:rsidRPr="001B6E4D" w:rsidRDefault="00B53B50" w:rsidP="003D1018">
      <w:pPr>
        <w:pStyle w:val="afd"/>
        <w:overflowPunct w:val="0"/>
        <w:snapToGrid w:val="0"/>
        <w:spacing w:line="500" w:lineRule="exact"/>
        <w:ind w:leftChars="1" w:left="453" w:rightChars="-21" w:right="-50" w:hangingChars="161" w:hanging="451"/>
        <w:jc w:val="both"/>
        <w:rPr>
          <w:rFonts w:ascii="標楷體" w:eastAsia="標楷體" w:hAnsi="標楷體"/>
          <w:sz w:val="28"/>
          <w:szCs w:val="28"/>
        </w:rPr>
      </w:pPr>
      <w:r w:rsidRPr="001B6E4D">
        <w:rPr>
          <w:rFonts w:ascii="標楷體" w:eastAsia="標楷體" w:hAnsi="標楷體"/>
          <w:sz w:val="28"/>
          <w:szCs w:val="28"/>
        </w:rPr>
        <w:t>四</w:t>
      </w:r>
      <w:r w:rsidRPr="001B6E4D">
        <w:rPr>
          <w:rFonts w:ascii="標楷體" w:eastAsia="標楷體" w:hAnsi="標楷體" w:hint="eastAsia"/>
          <w:sz w:val="28"/>
          <w:szCs w:val="28"/>
        </w:rPr>
        <w:t>、</w:t>
      </w:r>
      <w:r w:rsidRPr="001B6E4D">
        <w:rPr>
          <w:rFonts w:ascii="標楷體" w:eastAsia="標楷體" w:hAnsi="標楷體"/>
          <w:sz w:val="28"/>
          <w:szCs w:val="28"/>
        </w:rPr>
        <w:t>本會會議之議程，由輪值召集委員排定。</w:t>
      </w:r>
    </w:p>
    <w:p w14:paraId="152278CF" w14:textId="77777777" w:rsidR="00B53B50" w:rsidRPr="001B6E4D" w:rsidRDefault="00B53B50" w:rsidP="003D1018">
      <w:pPr>
        <w:pStyle w:val="afd"/>
        <w:overflowPunct w:val="0"/>
        <w:snapToGrid w:val="0"/>
        <w:spacing w:line="500" w:lineRule="exact"/>
        <w:ind w:left="560" w:rightChars="-21" w:right="-50" w:hangingChars="200" w:hanging="560"/>
        <w:jc w:val="both"/>
        <w:rPr>
          <w:rFonts w:ascii="標楷體" w:eastAsia="標楷體" w:hAnsi="標楷體"/>
          <w:sz w:val="28"/>
          <w:szCs w:val="28"/>
        </w:rPr>
      </w:pPr>
      <w:r w:rsidRPr="001B6E4D">
        <w:rPr>
          <w:rFonts w:ascii="標楷體" w:eastAsia="標楷體" w:hAnsi="標楷體"/>
          <w:sz w:val="28"/>
          <w:szCs w:val="28"/>
        </w:rPr>
        <w:t>五、輪值召集委員負責召集輪值當</w:t>
      </w:r>
      <w:proofErr w:type="gramStart"/>
      <w:r w:rsidRPr="001B6E4D">
        <w:rPr>
          <w:rFonts w:ascii="標楷體" w:eastAsia="標楷體" w:hAnsi="標楷體"/>
          <w:sz w:val="28"/>
          <w:szCs w:val="28"/>
        </w:rPr>
        <w:t>週</w:t>
      </w:r>
      <w:proofErr w:type="gramEnd"/>
      <w:r w:rsidRPr="001B6E4D">
        <w:rPr>
          <w:rFonts w:ascii="標楷體" w:eastAsia="標楷體" w:hAnsi="標楷體"/>
          <w:sz w:val="28"/>
          <w:szCs w:val="28"/>
        </w:rPr>
        <w:t>之會議，並擔任主席。如不克擔任主席，應商請本會另一召集委員代理；另一召集委員不克代理時，得商請本會委員代理。</w:t>
      </w:r>
    </w:p>
    <w:p w14:paraId="66815FA9" w14:textId="77777777" w:rsidR="00B53B50" w:rsidRPr="001B6E4D" w:rsidRDefault="00B53B50" w:rsidP="003D1018">
      <w:pPr>
        <w:pStyle w:val="afd"/>
        <w:overflowPunct w:val="0"/>
        <w:snapToGrid w:val="0"/>
        <w:spacing w:line="500" w:lineRule="exact"/>
        <w:ind w:left="560" w:rightChars="-21" w:right="-50" w:hangingChars="200" w:hanging="560"/>
        <w:jc w:val="both"/>
        <w:rPr>
          <w:rFonts w:ascii="標楷體" w:eastAsia="標楷體" w:hAnsi="標楷體"/>
          <w:sz w:val="28"/>
          <w:szCs w:val="28"/>
        </w:rPr>
      </w:pPr>
      <w:r w:rsidRPr="001B6E4D">
        <w:rPr>
          <w:rFonts w:ascii="標楷體" w:eastAsia="標楷體" w:hAnsi="標楷體"/>
          <w:sz w:val="28"/>
          <w:szCs w:val="28"/>
        </w:rPr>
        <w:t>六、輪值召集委員於輪值期間處理日常公務及批閱一般公文，如不克處理，應商請本會另一召集委員代理。</w:t>
      </w:r>
    </w:p>
    <w:p w14:paraId="0C3FB4A8" w14:textId="77777777" w:rsidR="00B53B50" w:rsidRPr="001B6E4D" w:rsidRDefault="00B53B50" w:rsidP="003D1018">
      <w:pPr>
        <w:pStyle w:val="afd"/>
        <w:overflowPunct w:val="0"/>
        <w:snapToGrid w:val="0"/>
        <w:spacing w:line="500" w:lineRule="exact"/>
        <w:ind w:left="560" w:rightChars="-21" w:right="-50" w:hangingChars="200" w:hanging="560"/>
        <w:jc w:val="both"/>
        <w:rPr>
          <w:rFonts w:ascii="標楷體" w:eastAsia="標楷體" w:hAnsi="標楷體"/>
          <w:sz w:val="28"/>
          <w:szCs w:val="28"/>
        </w:rPr>
      </w:pPr>
    </w:p>
    <w:p w14:paraId="030257D8" w14:textId="77777777" w:rsidR="00B53B50" w:rsidRPr="001B6E4D" w:rsidRDefault="00B53B50" w:rsidP="003D1018">
      <w:pPr>
        <w:overflowPunct w:val="0"/>
        <w:adjustRightInd w:val="0"/>
        <w:snapToGrid w:val="0"/>
        <w:jc w:val="right"/>
        <w:rPr>
          <w:rFonts w:ascii="標楷體" w:eastAsia="標楷體" w:hAnsi="標楷體"/>
          <w:b/>
          <w:bCs/>
          <w:spacing w:val="10"/>
          <w:kern w:val="0"/>
          <w:sz w:val="28"/>
          <w:szCs w:val="28"/>
        </w:rPr>
      </w:pPr>
      <w:r w:rsidRPr="001B6E4D">
        <w:rPr>
          <w:rFonts w:ascii="標楷體" w:eastAsia="標楷體" w:hAnsi="標楷體"/>
          <w:sz w:val="28"/>
          <w:szCs w:val="28"/>
        </w:rPr>
        <w:br w:type="page"/>
      </w:r>
      <w:r w:rsidRPr="001B6E4D">
        <w:rPr>
          <w:rFonts w:ascii="標楷體" w:eastAsia="標楷體" w:hAnsi="標楷體"/>
          <w:sz w:val="28"/>
          <w:szCs w:val="28"/>
        </w:rPr>
        <w:lastRenderedPageBreak/>
        <w:t>（附件2）</w:t>
      </w:r>
    </w:p>
    <w:p w14:paraId="0BF09F89" w14:textId="77777777" w:rsidR="00B53B50" w:rsidRPr="001B6E4D" w:rsidRDefault="00B53B50" w:rsidP="003D1018">
      <w:pPr>
        <w:overflowPunct w:val="0"/>
        <w:spacing w:line="500" w:lineRule="exact"/>
        <w:ind w:leftChars="2" w:left="425" w:rightChars="-21" w:right="-50" w:hangingChars="150" w:hanging="420"/>
        <w:jc w:val="center"/>
        <w:rPr>
          <w:rFonts w:ascii="標楷體" w:eastAsia="標楷體" w:hAnsi="標楷體"/>
          <w:b/>
          <w:bCs/>
          <w:sz w:val="28"/>
          <w:szCs w:val="28"/>
        </w:rPr>
      </w:pPr>
      <w:r w:rsidRPr="001B6E4D">
        <w:rPr>
          <w:rFonts w:ascii="標楷體" w:eastAsia="標楷體" w:hAnsi="標楷體" w:hint="eastAsia"/>
          <w:b/>
          <w:bCs/>
          <w:sz w:val="28"/>
          <w:szCs w:val="28"/>
        </w:rPr>
        <w:t>【</w:t>
      </w:r>
      <w:r w:rsidRPr="001B6E4D">
        <w:rPr>
          <w:rFonts w:ascii="標楷體" w:eastAsia="標楷體" w:hAnsi="標楷體" w:hint="eastAsia"/>
          <w:b/>
          <w:sz w:val="28"/>
          <w:szCs w:val="28"/>
        </w:rPr>
        <w:t>立法院第11屆第5會期</w:t>
      </w:r>
      <w:r w:rsidRPr="001B6E4D">
        <w:rPr>
          <w:rFonts w:ascii="標楷體" w:eastAsia="標楷體" w:hAnsi="標楷體" w:hint="eastAsia"/>
          <w:b/>
          <w:bCs/>
          <w:sz w:val="28"/>
          <w:szCs w:val="28"/>
        </w:rPr>
        <w:t>】</w:t>
      </w:r>
    </w:p>
    <w:p w14:paraId="292508BD" w14:textId="77777777" w:rsidR="00B53B50" w:rsidRPr="001B6E4D" w:rsidRDefault="00B53B50" w:rsidP="003D1018">
      <w:pPr>
        <w:overflowPunct w:val="0"/>
        <w:spacing w:afterLines="50" w:after="180" w:line="500" w:lineRule="exact"/>
        <w:ind w:leftChars="2" w:left="5" w:rightChars="-21" w:right="-50"/>
        <w:jc w:val="center"/>
        <w:rPr>
          <w:rFonts w:ascii="標楷體" w:eastAsia="標楷體" w:hAnsi="標楷體"/>
          <w:b/>
          <w:bCs/>
          <w:sz w:val="28"/>
          <w:szCs w:val="28"/>
        </w:rPr>
      </w:pPr>
      <w:r w:rsidRPr="001B6E4D">
        <w:rPr>
          <w:rFonts w:ascii="標楷體" w:eastAsia="標楷體" w:hAnsi="標楷體" w:hint="eastAsia"/>
          <w:b/>
          <w:bCs/>
          <w:sz w:val="28"/>
          <w:szCs w:val="28"/>
        </w:rPr>
        <w:t>司法及法制委員會召集委員輪值表（1</w:t>
      </w:r>
      <w:r w:rsidRPr="001B6E4D">
        <w:rPr>
          <w:rFonts w:ascii="標楷體" w:eastAsia="標楷體" w:hAnsi="標楷體"/>
          <w:b/>
          <w:bCs/>
          <w:sz w:val="28"/>
          <w:szCs w:val="28"/>
        </w:rPr>
        <w:t>1</w:t>
      </w:r>
      <w:r w:rsidRPr="001B6E4D">
        <w:rPr>
          <w:rFonts w:ascii="標楷體" w:eastAsia="標楷體" w:hAnsi="標楷體" w:hint="eastAsia"/>
          <w:b/>
          <w:bCs/>
          <w:sz w:val="28"/>
          <w:szCs w:val="28"/>
        </w:rPr>
        <w:t>5年3月至1</w:t>
      </w:r>
      <w:r w:rsidRPr="001B6E4D">
        <w:rPr>
          <w:rFonts w:ascii="標楷體" w:eastAsia="標楷體" w:hAnsi="標楷體"/>
          <w:b/>
          <w:bCs/>
          <w:sz w:val="28"/>
          <w:szCs w:val="28"/>
        </w:rPr>
        <w:t>1</w:t>
      </w:r>
      <w:r w:rsidRPr="001B6E4D">
        <w:rPr>
          <w:rFonts w:ascii="標楷體" w:eastAsia="標楷體" w:hAnsi="標楷體" w:hint="eastAsia"/>
          <w:b/>
          <w:bCs/>
          <w:sz w:val="28"/>
          <w:szCs w:val="28"/>
        </w:rPr>
        <w:t>5年8月）</w:t>
      </w:r>
    </w:p>
    <w:tbl>
      <w:tblPr>
        <w:tblW w:w="8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22"/>
        <w:gridCol w:w="4170"/>
      </w:tblGrid>
      <w:tr w:rsidR="00B53B50" w:rsidRPr="001B6E4D" w14:paraId="3189B45B" w14:textId="77777777" w:rsidTr="00D07077">
        <w:trPr>
          <w:cantSplit/>
          <w:trHeight w:val="579"/>
          <w:jc w:val="center"/>
        </w:trPr>
        <w:tc>
          <w:tcPr>
            <w:tcW w:w="8392" w:type="dxa"/>
            <w:gridSpan w:val="2"/>
            <w:tcBorders>
              <w:top w:val="single" w:sz="4" w:space="0" w:color="auto"/>
              <w:left w:val="single" w:sz="4" w:space="0" w:color="auto"/>
              <w:bottom w:val="single" w:sz="4" w:space="0" w:color="auto"/>
              <w:right w:val="single" w:sz="4" w:space="0" w:color="auto"/>
            </w:tcBorders>
            <w:vAlign w:val="center"/>
          </w:tcPr>
          <w:p w14:paraId="0CCD0D73" w14:textId="77777777" w:rsidR="00B53B50" w:rsidRPr="001B6E4D" w:rsidRDefault="00B53B50" w:rsidP="003D1018">
            <w:pPr>
              <w:overflowPunct w:val="0"/>
              <w:spacing w:line="360" w:lineRule="exact"/>
              <w:ind w:leftChars="2" w:left="5" w:rightChars="-21" w:right="-50"/>
              <w:jc w:val="center"/>
              <w:rPr>
                <w:rFonts w:ascii="標楷體" w:eastAsia="標楷體" w:hAnsi="標楷體"/>
                <w:b/>
                <w:bCs/>
                <w:sz w:val="28"/>
                <w:szCs w:val="28"/>
              </w:rPr>
            </w:pPr>
            <w:r w:rsidRPr="001B6E4D">
              <w:rPr>
                <w:rFonts w:ascii="標楷體" w:eastAsia="標楷體" w:hAnsi="標楷體"/>
                <w:b/>
                <w:bCs/>
                <w:sz w:val="28"/>
                <w:szCs w:val="28"/>
              </w:rPr>
              <w:t>輪  值  召  集  委  員  及  日  期</w:t>
            </w:r>
          </w:p>
        </w:tc>
      </w:tr>
      <w:tr w:rsidR="00B53B50" w:rsidRPr="001B6E4D" w14:paraId="6787E59D" w14:textId="77777777" w:rsidTr="00D07077">
        <w:trPr>
          <w:trHeight w:val="698"/>
          <w:jc w:val="center"/>
        </w:trPr>
        <w:tc>
          <w:tcPr>
            <w:tcW w:w="4222" w:type="dxa"/>
            <w:vAlign w:val="center"/>
          </w:tcPr>
          <w:p w14:paraId="0AD8D267" w14:textId="77777777" w:rsidR="00B53B50" w:rsidRPr="001B6E4D" w:rsidRDefault="00B53B50" w:rsidP="003D1018">
            <w:pPr>
              <w:overflowPunct w:val="0"/>
              <w:spacing w:line="360" w:lineRule="exact"/>
              <w:ind w:leftChars="2" w:left="5" w:rightChars="-21" w:right="-50"/>
              <w:jc w:val="center"/>
              <w:rPr>
                <w:rFonts w:ascii="標楷體" w:eastAsia="標楷體" w:hAnsi="標楷體"/>
                <w:b/>
                <w:bCs/>
                <w:sz w:val="36"/>
                <w:szCs w:val="36"/>
              </w:rPr>
            </w:pPr>
            <w:r w:rsidRPr="001B6E4D">
              <w:rPr>
                <w:rFonts w:ascii="標楷體" w:eastAsia="標楷體" w:hAnsi="標楷體" w:hint="eastAsia"/>
                <w:b/>
                <w:bCs/>
                <w:sz w:val="28"/>
                <w:szCs w:val="28"/>
              </w:rPr>
              <w:t>翁召集委員曉玲</w:t>
            </w:r>
          </w:p>
        </w:tc>
        <w:tc>
          <w:tcPr>
            <w:tcW w:w="4170" w:type="dxa"/>
            <w:vAlign w:val="center"/>
          </w:tcPr>
          <w:p w14:paraId="3B0C7240" w14:textId="77777777" w:rsidR="00B53B50" w:rsidRPr="001B6E4D" w:rsidRDefault="00B53B50" w:rsidP="003D1018">
            <w:pPr>
              <w:overflowPunct w:val="0"/>
              <w:spacing w:line="360" w:lineRule="exact"/>
              <w:ind w:leftChars="2" w:left="5" w:rightChars="-21" w:right="-50"/>
              <w:jc w:val="center"/>
              <w:rPr>
                <w:rFonts w:ascii="標楷體" w:eastAsia="標楷體" w:hAnsi="標楷體"/>
                <w:b/>
                <w:bCs/>
                <w:sz w:val="36"/>
                <w:szCs w:val="36"/>
              </w:rPr>
            </w:pPr>
            <w:r w:rsidRPr="001B6E4D">
              <w:rPr>
                <w:rFonts w:ascii="標楷體" w:eastAsia="標楷體" w:hAnsi="標楷體" w:hint="eastAsia"/>
                <w:b/>
                <w:bCs/>
                <w:sz w:val="28"/>
                <w:szCs w:val="28"/>
              </w:rPr>
              <w:t>莊召集委員瑞雄</w:t>
            </w:r>
          </w:p>
        </w:tc>
      </w:tr>
      <w:tr w:rsidR="00B53B50" w:rsidRPr="001B6E4D" w14:paraId="7F324A97" w14:textId="77777777" w:rsidTr="00D07077">
        <w:trPr>
          <w:trHeight w:val="567"/>
          <w:jc w:val="center"/>
        </w:trPr>
        <w:tc>
          <w:tcPr>
            <w:tcW w:w="4222" w:type="dxa"/>
            <w:tcMar>
              <w:left w:w="284" w:type="dxa"/>
              <w:right w:w="284" w:type="dxa"/>
            </w:tcMar>
            <w:tcFitText/>
            <w:vAlign w:val="center"/>
          </w:tcPr>
          <w:p w14:paraId="6380B0D1" w14:textId="77777777" w:rsidR="00B53B50" w:rsidRPr="001B6E4D" w:rsidRDefault="00B53B50" w:rsidP="003D1018">
            <w:pPr>
              <w:overflowPunct w:val="0"/>
              <w:spacing w:line="500" w:lineRule="exact"/>
              <w:ind w:leftChars="2" w:left="5"/>
              <w:jc w:val="center"/>
              <w:rPr>
                <w:rFonts w:ascii="標楷體" w:eastAsia="標楷體" w:hAnsi="標楷體"/>
                <w:b/>
                <w:bCs/>
                <w:sz w:val="28"/>
                <w:szCs w:val="28"/>
              </w:rPr>
            </w:pPr>
            <w:r w:rsidRPr="00C72F63">
              <w:rPr>
                <w:rFonts w:ascii="標楷體" w:eastAsia="標楷體" w:hAnsi="標楷體" w:hint="eastAsia"/>
                <w:b/>
                <w:bCs/>
                <w:spacing w:val="27"/>
                <w:kern w:val="0"/>
                <w:sz w:val="28"/>
                <w:szCs w:val="28"/>
                <w:fitText w:val="3220" w:id="-485301504"/>
              </w:rPr>
              <w:t>3</w:t>
            </w:r>
            <w:r w:rsidRPr="00C72F63">
              <w:rPr>
                <w:rFonts w:ascii="標楷體" w:eastAsia="標楷體" w:hAnsi="標楷體"/>
                <w:b/>
                <w:bCs/>
                <w:spacing w:val="27"/>
                <w:kern w:val="0"/>
                <w:sz w:val="28"/>
                <w:szCs w:val="28"/>
                <w:fitText w:val="3220" w:id="-485301504"/>
              </w:rPr>
              <w:t>月</w:t>
            </w:r>
            <w:r w:rsidRPr="00C72F63">
              <w:rPr>
                <w:rFonts w:ascii="標楷體" w:eastAsia="標楷體" w:hAnsi="標楷體" w:hint="eastAsia"/>
                <w:b/>
                <w:bCs/>
                <w:spacing w:val="27"/>
                <w:kern w:val="0"/>
                <w:sz w:val="28"/>
                <w:szCs w:val="28"/>
                <w:fitText w:val="3220" w:id="-485301504"/>
              </w:rPr>
              <w:t>1</w:t>
            </w:r>
            <w:r w:rsidRPr="00C72F63">
              <w:rPr>
                <w:rFonts w:ascii="標楷體" w:eastAsia="標楷體" w:hAnsi="標楷體"/>
                <w:b/>
                <w:bCs/>
                <w:spacing w:val="27"/>
                <w:kern w:val="0"/>
                <w:sz w:val="28"/>
                <w:szCs w:val="28"/>
                <w:fitText w:val="3220" w:id="-485301504"/>
              </w:rPr>
              <w:t>6日至</w:t>
            </w:r>
            <w:r w:rsidRPr="00C72F63">
              <w:rPr>
                <w:rFonts w:ascii="標楷體" w:eastAsia="標楷體" w:hAnsi="標楷體" w:hint="eastAsia"/>
                <w:b/>
                <w:bCs/>
                <w:spacing w:val="27"/>
                <w:kern w:val="0"/>
                <w:sz w:val="28"/>
                <w:szCs w:val="28"/>
                <w:fitText w:val="3220" w:id="-485301504"/>
              </w:rPr>
              <w:t>3</w:t>
            </w:r>
            <w:r w:rsidRPr="00C72F63">
              <w:rPr>
                <w:rFonts w:ascii="標楷體" w:eastAsia="標楷體" w:hAnsi="標楷體"/>
                <w:b/>
                <w:bCs/>
                <w:spacing w:val="27"/>
                <w:kern w:val="0"/>
                <w:sz w:val="28"/>
                <w:szCs w:val="28"/>
                <w:fitText w:val="3220" w:id="-485301504"/>
              </w:rPr>
              <w:t>月22</w:t>
            </w:r>
            <w:r w:rsidRPr="00C72F63">
              <w:rPr>
                <w:rFonts w:ascii="標楷體" w:eastAsia="標楷體" w:hAnsi="標楷體"/>
                <w:b/>
                <w:bCs/>
                <w:spacing w:val="5"/>
                <w:kern w:val="0"/>
                <w:sz w:val="28"/>
                <w:szCs w:val="28"/>
                <w:fitText w:val="3220" w:id="-485301504"/>
              </w:rPr>
              <w:t>日</w:t>
            </w:r>
          </w:p>
        </w:tc>
        <w:tc>
          <w:tcPr>
            <w:tcW w:w="4170" w:type="dxa"/>
            <w:tcMar>
              <w:left w:w="284" w:type="dxa"/>
              <w:right w:w="284" w:type="dxa"/>
            </w:tcMar>
            <w:tcFitText/>
            <w:vAlign w:val="center"/>
          </w:tcPr>
          <w:p w14:paraId="5B0C3AA2"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hint="eastAsia"/>
                <w:b/>
                <w:bCs/>
                <w:spacing w:val="27"/>
                <w:kern w:val="0"/>
                <w:sz w:val="28"/>
                <w:szCs w:val="28"/>
                <w:fitText w:val="3220" w:id="-485301503"/>
              </w:rPr>
              <w:t>3</w:t>
            </w:r>
            <w:r w:rsidRPr="00C72F63">
              <w:rPr>
                <w:rFonts w:ascii="標楷體" w:eastAsia="標楷體" w:hAnsi="標楷體"/>
                <w:b/>
                <w:bCs/>
                <w:spacing w:val="27"/>
                <w:kern w:val="0"/>
                <w:sz w:val="28"/>
                <w:szCs w:val="28"/>
                <w:fitText w:val="3220" w:id="-485301503"/>
              </w:rPr>
              <w:t>月23日至</w:t>
            </w:r>
            <w:r w:rsidRPr="00C72F63">
              <w:rPr>
                <w:rFonts w:ascii="標楷體" w:eastAsia="標楷體" w:hAnsi="標楷體" w:hint="eastAsia"/>
                <w:b/>
                <w:bCs/>
                <w:spacing w:val="27"/>
                <w:kern w:val="0"/>
                <w:sz w:val="28"/>
                <w:szCs w:val="28"/>
                <w:fitText w:val="3220" w:id="-485301503"/>
              </w:rPr>
              <w:t>3</w:t>
            </w:r>
            <w:r w:rsidRPr="00C72F63">
              <w:rPr>
                <w:rFonts w:ascii="標楷體" w:eastAsia="標楷體" w:hAnsi="標楷體"/>
                <w:b/>
                <w:bCs/>
                <w:spacing w:val="27"/>
                <w:kern w:val="0"/>
                <w:sz w:val="28"/>
                <w:szCs w:val="28"/>
                <w:fitText w:val="3220" w:id="-485301503"/>
              </w:rPr>
              <w:t>月</w:t>
            </w:r>
            <w:r w:rsidRPr="00C72F63">
              <w:rPr>
                <w:rFonts w:ascii="標楷體" w:eastAsia="標楷體" w:hAnsi="標楷體" w:hint="eastAsia"/>
                <w:b/>
                <w:bCs/>
                <w:spacing w:val="27"/>
                <w:kern w:val="0"/>
                <w:sz w:val="28"/>
                <w:szCs w:val="28"/>
                <w:fitText w:val="3220" w:id="-485301503"/>
              </w:rPr>
              <w:t>2</w:t>
            </w:r>
            <w:r w:rsidRPr="00C72F63">
              <w:rPr>
                <w:rFonts w:ascii="標楷體" w:eastAsia="標楷體" w:hAnsi="標楷體"/>
                <w:b/>
                <w:bCs/>
                <w:spacing w:val="27"/>
                <w:kern w:val="0"/>
                <w:sz w:val="28"/>
                <w:szCs w:val="28"/>
                <w:fitText w:val="3220" w:id="-485301503"/>
              </w:rPr>
              <w:t>9</w:t>
            </w:r>
            <w:r w:rsidRPr="00C72F63">
              <w:rPr>
                <w:rFonts w:ascii="標楷體" w:eastAsia="標楷體" w:hAnsi="標楷體"/>
                <w:b/>
                <w:bCs/>
                <w:spacing w:val="5"/>
                <w:kern w:val="0"/>
                <w:sz w:val="28"/>
                <w:szCs w:val="28"/>
                <w:fitText w:val="3220" w:id="-485301503"/>
              </w:rPr>
              <w:t>日</w:t>
            </w:r>
          </w:p>
        </w:tc>
      </w:tr>
      <w:tr w:rsidR="00B53B50" w:rsidRPr="001B6E4D" w14:paraId="39C0519C" w14:textId="77777777" w:rsidTr="00D07077">
        <w:trPr>
          <w:trHeight w:val="567"/>
          <w:jc w:val="center"/>
        </w:trPr>
        <w:tc>
          <w:tcPr>
            <w:tcW w:w="4222" w:type="dxa"/>
            <w:tcMar>
              <w:left w:w="284" w:type="dxa"/>
              <w:right w:w="284" w:type="dxa"/>
            </w:tcMar>
            <w:tcFitText/>
            <w:vAlign w:val="center"/>
          </w:tcPr>
          <w:p w14:paraId="476478B8"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b/>
                <w:bCs/>
                <w:spacing w:val="37"/>
                <w:kern w:val="0"/>
                <w:sz w:val="28"/>
                <w:szCs w:val="28"/>
                <w:fitText w:val="3220" w:id="-485301502"/>
              </w:rPr>
              <w:t>3月30日至4月5</w:t>
            </w:r>
            <w:r w:rsidRPr="00C72F63">
              <w:rPr>
                <w:rFonts w:ascii="標楷體" w:eastAsia="標楷體" w:hAnsi="標楷體"/>
                <w:b/>
                <w:bCs/>
                <w:spacing w:val="6"/>
                <w:kern w:val="0"/>
                <w:sz w:val="28"/>
                <w:szCs w:val="28"/>
                <w:fitText w:val="3220" w:id="-485301502"/>
              </w:rPr>
              <w:t>日</w:t>
            </w:r>
          </w:p>
        </w:tc>
        <w:tc>
          <w:tcPr>
            <w:tcW w:w="4170" w:type="dxa"/>
            <w:tcMar>
              <w:left w:w="284" w:type="dxa"/>
              <w:right w:w="284" w:type="dxa"/>
            </w:tcMar>
            <w:tcFitText/>
            <w:vAlign w:val="center"/>
          </w:tcPr>
          <w:p w14:paraId="7477FA0A"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b/>
                <w:bCs/>
                <w:spacing w:val="37"/>
                <w:kern w:val="0"/>
                <w:sz w:val="28"/>
                <w:szCs w:val="28"/>
                <w:fitText w:val="3220" w:id="-485301501"/>
              </w:rPr>
              <w:t>4月6</w:t>
            </w:r>
            <w:r w:rsidRPr="00C72F63">
              <w:rPr>
                <w:rFonts w:ascii="標楷體" w:eastAsia="標楷體" w:hAnsi="標楷體" w:hint="eastAsia"/>
                <w:b/>
                <w:bCs/>
                <w:spacing w:val="37"/>
                <w:kern w:val="0"/>
                <w:sz w:val="28"/>
                <w:szCs w:val="28"/>
                <w:fitText w:val="3220" w:id="-485301501"/>
              </w:rPr>
              <w:t>日</w:t>
            </w:r>
            <w:r w:rsidRPr="00C72F63">
              <w:rPr>
                <w:rFonts w:ascii="標楷體" w:eastAsia="標楷體" w:hAnsi="標楷體"/>
                <w:b/>
                <w:bCs/>
                <w:spacing w:val="37"/>
                <w:kern w:val="0"/>
                <w:sz w:val="28"/>
                <w:szCs w:val="28"/>
                <w:fitText w:val="3220" w:id="-485301501"/>
              </w:rPr>
              <w:t>至</w:t>
            </w:r>
            <w:r w:rsidRPr="00C72F63">
              <w:rPr>
                <w:rFonts w:ascii="標楷體" w:eastAsia="標楷體" w:hAnsi="標楷體" w:hint="eastAsia"/>
                <w:b/>
                <w:bCs/>
                <w:spacing w:val="37"/>
                <w:kern w:val="0"/>
                <w:sz w:val="28"/>
                <w:szCs w:val="28"/>
                <w:fitText w:val="3220" w:id="-485301501"/>
              </w:rPr>
              <w:t>4</w:t>
            </w:r>
            <w:r w:rsidRPr="00C72F63">
              <w:rPr>
                <w:rFonts w:ascii="標楷體" w:eastAsia="標楷體" w:hAnsi="標楷體"/>
                <w:b/>
                <w:bCs/>
                <w:spacing w:val="37"/>
                <w:kern w:val="0"/>
                <w:sz w:val="28"/>
                <w:szCs w:val="28"/>
                <w:fitText w:val="3220" w:id="-485301501"/>
              </w:rPr>
              <w:t>月12</w:t>
            </w:r>
            <w:r w:rsidRPr="00C72F63">
              <w:rPr>
                <w:rFonts w:ascii="標楷體" w:eastAsia="標楷體" w:hAnsi="標楷體" w:hint="eastAsia"/>
                <w:b/>
                <w:bCs/>
                <w:spacing w:val="6"/>
                <w:kern w:val="0"/>
                <w:sz w:val="28"/>
                <w:szCs w:val="28"/>
                <w:fitText w:val="3220" w:id="-485301501"/>
              </w:rPr>
              <w:t>日</w:t>
            </w:r>
          </w:p>
        </w:tc>
      </w:tr>
      <w:tr w:rsidR="00B53B50" w:rsidRPr="001B6E4D" w14:paraId="285B142C" w14:textId="77777777" w:rsidTr="00D07077">
        <w:trPr>
          <w:trHeight w:val="567"/>
          <w:jc w:val="center"/>
        </w:trPr>
        <w:tc>
          <w:tcPr>
            <w:tcW w:w="4222" w:type="dxa"/>
            <w:tcMar>
              <w:left w:w="284" w:type="dxa"/>
              <w:right w:w="284" w:type="dxa"/>
            </w:tcMar>
            <w:tcFitText/>
            <w:vAlign w:val="center"/>
          </w:tcPr>
          <w:p w14:paraId="2207B0CE"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hint="eastAsia"/>
                <w:b/>
                <w:bCs/>
                <w:spacing w:val="27"/>
                <w:kern w:val="0"/>
                <w:sz w:val="28"/>
                <w:szCs w:val="28"/>
                <w:fitText w:val="3220" w:id="-485301500"/>
              </w:rPr>
              <w:t>4</w:t>
            </w:r>
            <w:r w:rsidRPr="00C72F63">
              <w:rPr>
                <w:rFonts w:ascii="標楷體" w:eastAsia="標楷體" w:hAnsi="標楷體"/>
                <w:b/>
                <w:bCs/>
                <w:spacing w:val="27"/>
                <w:kern w:val="0"/>
                <w:sz w:val="28"/>
                <w:szCs w:val="28"/>
                <w:fitText w:val="3220" w:id="-485301500"/>
              </w:rPr>
              <w:t>月13日至</w:t>
            </w:r>
            <w:r w:rsidRPr="00C72F63">
              <w:rPr>
                <w:rFonts w:ascii="標楷體" w:eastAsia="標楷體" w:hAnsi="標楷體" w:hint="eastAsia"/>
                <w:b/>
                <w:bCs/>
                <w:spacing w:val="27"/>
                <w:kern w:val="0"/>
                <w:sz w:val="28"/>
                <w:szCs w:val="28"/>
                <w:fitText w:val="3220" w:id="-485301500"/>
              </w:rPr>
              <w:t>4</w:t>
            </w:r>
            <w:r w:rsidRPr="00C72F63">
              <w:rPr>
                <w:rFonts w:ascii="標楷體" w:eastAsia="標楷體" w:hAnsi="標楷體"/>
                <w:b/>
                <w:bCs/>
                <w:spacing w:val="27"/>
                <w:kern w:val="0"/>
                <w:sz w:val="28"/>
                <w:szCs w:val="28"/>
                <w:fitText w:val="3220" w:id="-485301500"/>
              </w:rPr>
              <w:t>月</w:t>
            </w:r>
            <w:r w:rsidRPr="00C72F63">
              <w:rPr>
                <w:rFonts w:ascii="標楷體" w:eastAsia="標楷體" w:hAnsi="標楷體" w:hint="eastAsia"/>
                <w:b/>
                <w:bCs/>
                <w:spacing w:val="27"/>
                <w:kern w:val="0"/>
                <w:sz w:val="28"/>
                <w:szCs w:val="28"/>
                <w:fitText w:val="3220" w:id="-485301500"/>
              </w:rPr>
              <w:t>1</w:t>
            </w:r>
            <w:r w:rsidRPr="00C72F63">
              <w:rPr>
                <w:rFonts w:ascii="標楷體" w:eastAsia="標楷體" w:hAnsi="標楷體"/>
                <w:b/>
                <w:bCs/>
                <w:spacing w:val="27"/>
                <w:kern w:val="0"/>
                <w:sz w:val="28"/>
                <w:szCs w:val="28"/>
                <w:fitText w:val="3220" w:id="-485301500"/>
              </w:rPr>
              <w:t>9</w:t>
            </w:r>
            <w:r w:rsidRPr="00C72F63">
              <w:rPr>
                <w:rFonts w:ascii="標楷體" w:eastAsia="標楷體" w:hAnsi="標楷體"/>
                <w:b/>
                <w:bCs/>
                <w:spacing w:val="5"/>
                <w:kern w:val="0"/>
                <w:sz w:val="28"/>
                <w:szCs w:val="28"/>
                <w:fitText w:val="3220" w:id="-485301500"/>
              </w:rPr>
              <w:t>日</w:t>
            </w:r>
          </w:p>
        </w:tc>
        <w:tc>
          <w:tcPr>
            <w:tcW w:w="4170" w:type="dxa"/>
            <w:tcMar>
              <w:left w:w="284" w:type="dxa"/>
              <w:right w:w="284" w:type="dxa"/>
            </w:tcMar>
            <w:tcFitText/>
            <w:vAlign w:val="center"/>
          </w:tcPr>
          <w:p w14:paraId="1C168E3A"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hint="eastAsia"/>
                <w:b/>
                <w:bCs/>
                <w:spacing w:val="27"/>
                <w:kern w:val="0"/>
                <w:sz w:val="28"/>
                <w:szCs w:val="28"/>
                <w:fitText w:val="3220" w:id="-485301499"/>
              </w:rPr>
              <w:t>4</w:t>
            </w:r>
            <w:r w:rsidRPr="00C72F63">
              <w:rPr>
                <w:rFonts w:ascii="標楷體" w:eastAsia="標楷體" w:hAnsi="標楷體"/>
                <w:b/>
                <w:bCs/>
                <w:spacing w:val="27"/>
                <w:kern w:val="0"/>
                <w:sz w:val="28"/>
                <w:szCs w:val="28"/>
                <w:fitText w:val="3220" w:id="-485301499"/>
              </w:rPr>
              <w:t>月20日至</w:t>
            </w:r>
            <w:r w:rsidRPr="00C72F63">
              <w:rPr>
                <w:rFonts w:ascii="標楷體" w:eastAsia="標楷體" w:hAnsi="標楷體" w:hint="eastAsia"/>
                <w:b/>
                <w:bCs/>
                <w:spacing w:val="27"/>
                <w:kern w:val="0"/>
                <w:sz w:val="28"/>
                <w:szCs w:val="28"/>
                <w:fitText w:val="3220" w:id="-485301499"/>
              </w:rPr>
              <w:t>4</w:t>
            </w:r>
            <w:r w:rsidRPr="00C72F63">
              <w:rPr>
                <w:rFonts w:ascii="標楷體" w:eastAsia="標楷體" w:hAnsi="標楷體"/>
                <w:b/>
                <w:bCs/>
                <w:spacing w:val="27"/>
                <w:kern w:val="0"/>
                <w:sz w:val="28"/>
                <w:szCs w:val="28"/>
                <w:fitText w:val="3220" w:id="-485301499"/>
              </w:rPr>
              <w:t>月</w:t>
            </w:r>
            <w:r w:rsidRPr="00C72F63">
              <w:rPr>
                <w:rFonts w:ascii="標楷體" w:eastAsia="標楷體" w:hAnsi="標楷體" w:hint="eastAsia"/>
                <w:b/>
                <w:bCs/>
                <w:spacing w:val="27"/>
                <w:kern w:val="0"/>
                <w:sz w:val="28"/>
                <w:szCs w:val="28"/>
                <w:fitText w:val="3220" w:id="-485301499"/>
              </w:rPr>
              <w:t>2</w:t>
            </w:r>
            <w:r w:rsidRPr="00C72F63">
              <w:rPr>
                <w:rFonts w:ascii="標楷體" w:eastAsia="標楷體" w:hAnsi="標楷體"/>
                <w:b/>
                <w:bCs/>
                <w:spacing w:val="27"/>
                <w:kern w:val="0"/>
                <w:sz w:val="28"/>
                <w:szCs w:val="28"/>
                <w:fitText w:val="3220" w:id="-485301499"/>
              </w:rPr>
              <w:t>6</w:t>
            </w:r>
            <w:r w:rsidRPr="00C72F63">
              <w:rPr>
                <w:rFonts w:ascii="標楷體" w:eastAsia="標楷體" w:hAnsi="標楷體"/>
                <w:b/>
                <w:bCs/>
                <w:spacing w:val="5"/>
                <w:kern w:val="0"/>
                <w:sz w:val="28"/>
                <w:szCs w:val="28"/>
                <w:fitText w:val="3220" w:id="-485301499"/>
              </w:rPr>
              <w:t>日</w:t>
            </w:r>
          </w:p>
        </w:tc>
      </w:tr>
      <w:tr w:rsidR="00B53B50" w:rsidRPr="001B6E4D" w14:paraId="2D08A5AF" w14:textId="77777777" w:rsidTr="00D07077">
        <w:trPr>
          <w:trHeight w:val="567"/>
          <w:jc w:val="center"/>
        </w:trPr>
        <w:tc>
          <w:tcPr>
            <w:tcW w:w="4222" w:type="dxa"/>
            <w:tcMar>
              <w:left w:w="284" w:type="dxa"/>
              <w:right w:w="284" w:type="dxa"/>
            </w:tcMar>
            <w:tcFitText/>
            <w:vAlign w:val="center"/>
          </w:tcPr>
          <w:p w14:paraId="4921B24D"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b/>
                <w:bCs/>
                <w:spacing w:val="37"/>
                <w:kern w:val="0"/>
                <w:sz w:val="28"/>
                <w:szCs w:val="28"/>
                <w:fitText w:val="3220" w:id="-485301498"/>
              </w:rPr>
              <w:t>4月</w:t>
            </w:r>
            <w:r w:rsidRPr="00C72F63">
              <w:rPr>
                <w:rFonts w:ascii="標楷體" w:eastAsia="標楷體" w:hAnsi="標楷體" w:hint="eastAsia"/>
                <w:b/>
                <w:bCs/>
                <w:spacing w:val="37"/>
                <w:kern w:val="0"/>
                <w:sz w:val="28"/>
                <w:szCs w:val="28"/>
                <w:fitText w:val="3220" w:id="-485301498"/>
              </w:rPr>
              <w:t>2</w:t>
            </w:r>
            <w:r w:rsidRPr="00C72F63">
              <w:rPr>
                <w:rFonts w:ascii="標楷體" w:eastAsia="標楷體" w:hAnsi="標楷體"/>
                <w:b/>
                <w:bCs/>
                <w:spacing w:val="37"/>
                <w:kern w:val="0"/>
                <w:sz w:val="28"/>
                <w:szCs w:val="28"/>
                <w:fitText w:val="3220" w:id="-485301498"/>
              </w:rPr>
              <w:t>7日至5月3</w:t>
            </w:r>
            <w:r w:rsidRPr="00C72F63">
              <w:rPr>
                <w:rFonts w:ascii="標楷體" w:eastAsia="標楷體" w:hAnsi="標楷體"/>
                <w:b/>
                <w:bCs/>
                <w:spacing w:val="6"/>
                <w:kern w:val="0"/>
                <w:sz w:val="28"/>
                <w:szCs w:val="28"/>
                <w:fitText w:val="3220" w:id="-485301498"/>
              </w:rPr>
              <w:t>日</w:t>
            </w:r>
          </w:p>
        </w:tc>
        <w:tc>
          <w:tcPr>
            <w:tcW w:w="4170" w:type="dxa"/>
            <w:tcMar>
              <w:left w:w="284" w:type="dxa"/>
              <w:right w:w="284" w:type="dxa"/>
            </w:tcMar>
            <w:tcFitText/>
            <w:vAlign w:val="center"/>
          </w:tcPr>
          <w:p w14:paraId="2CC21767"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b/>
                <w:bCs/>
                <w:spacing w:val="37"/>
                <w:kern w:val="0"/>
                <w:sz w:val="28"/>
                <w:szCs w:val="28"/>
                <w:fitText w:val="3220" w:id="-485301497"/>
              </w:rPr>
              <w:t>5月4日至</w:t>
            </w:r>
            <w:r w:rsidRPr="00C72F63">
              <w:rPr>
                <w:rFonts w:ascii="標楷體" w:eastAsia="標楷體" w:hAnsi="標楷體" w:hint="eastAsia"/>
                <w:b/>
                <w:bCs/>
                <w:spacing w:val="37"/>
                <w:kern w:val="0"/>
                <w:sz w:val="28"/>
                <w:szCs w:val="28"/>
                <w:fitText w:val="3220" w:id="-485301497"/>
              </w:rPr>
              <w:t>5月</w:t>
            </w:r>
            <w:r w:rsidRPr="00C72F63">
              <w:rPr>
                <w:rFonts w:ascii="標楷體" w:eastAsia="標楷體" w:hAnsi="標楷體"/>
                <w:b/>
                <w:bCs/>
                <w:spacing w:val="37"/>
                <w:kern w:val="0"/>
                <w:sz w:val="28"/>
                <w:szCs w:val="28"/>
                <w:fitText w:val="3220" w:id="-485301497"/>
              </w:rPr>
              <w:t>10</w:t>
            </w:r>
            <w:r w:rsidRPr="00C72F63">
              <w:rPr>
                <w:rFonts w:ascii="標楷體" w:eastAsia="標楷體" w:hAnsi="標楷體"/>
                <w:b/>
                <w:bCs/>
                <w:spacing w:val="6"/>
                <w:kern w:val="0"/>
                <w:sz w:val="28"/>
                <w:szCs w:val="28"/>
                <w:fitText w:val="3220" w:id="-485301497"/>
              </w:rPr>
              <w:t>日</w:t>
            </w:r>
          </w:p>
        </w:tc>
      </w:tr>
      <w:tr w:rsidR="00B53B50" w:rsidRPr="001B6E4D" w14:paraId="30BBF4BE" w14:textId="77777777" w:rsidTr="00D07077">
        <w:trPr>
          <w:trHeight w:val="567"/>
          <w:jc w:val="center"/>
        </w:trPr>
        <w:tc>
          <w:tcPr>
            <w:tcW w:w="4222" w:type="dxa"/>
            <w:tcMar>
              <w:left w:w="284" w:type="dxa"/>
              <w:right w:w="284" w:type="dxa"/>
            </w:tcMar>
            <w:tcFitText/>
            <w:vAlign w:val="center"/>
          </w:tcPr>
          <w:p w14:paraId="3FC8E731"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b/>
                <w:bCs/>
                <w:spacing w:val="27"/>
                <w:kern w:val="0"/>
                <w:sz w:val="28"/>
                <w:szCs w:val="28"/>
                <w:fitText w:val="3220" w:id="-485301496"/>
              </w:rPr>
              <w:t>5月11日至</w:t>
            </w:r>
            <w:r w:rsidRPr="00C72F63">
              <w:rPr>
                <w:rFonts w:ascii="標楷體" w:eastAsia="標楷體" w:hAnsi="標楷體" w:hint="eastAsia"/>
                <w:b/>
                <w:bCs/>
                <w:spacing w:val="27"/>
                <w:kern w:val="0"/>
                <w:sz w:val="28"/>
                <w:szCs w:val="28"/>
                <w:fitText w:val="3220" w:id="-485301496"/>
              </w:rPr>
              <w:t>5</w:t>
            </w:r>
            <w:r w:rsidRPr="00C72F63">
              <w:rPr>
                <w:rFonts w:ascii="標楷體" w:eastAsia="標楷體" w:hAnsi="標楷體"/>
                <w:b/>
                <w:bCs/>
                <w:spacing w:val="27"/>
                <w:kern w:val="0"/>
                <w:sz w:val="28"/>
                <w:szCs w:val="28"/>
                <w:fitText w:val="3220" w:id="-485301496"/>
              </w:rPr>
              <w:t>月</w:t>
            </w:r>
            <w:r w:rsidRPr="00C72F63">
              <w:rPr>
                <w:rFonts w:ascii="標楷體" w:eastAsia="標楷體" w:hAnsi="標楷體" w:hint="eastAsia"/>
                <w:b/>
                <w:bCs/>
                <w:spacing w:val="27"/>
                <w:kern w:val="0"/>
                <w:sz w:val="28"/>
                <w:szCs w:val="28"/>
                <w:fitText w:val="3220" w:id="-485301496"/>
              </w:rPr>
              <w:t>1</w:t>
            </w:r>
            <w:r w:rsidRPr="00C72F63">
              <w:rPr>
                <w:rFonts w:ascii="標楷體" w:eastAsia="標楷體" w:hAnsi="標楷體"/>
                <w:b/>
                <w:bCs/>
                <w:spacing w:val="27"/>
                <w:kern w:val="0"/>
                <w:sz w:val="28"/>
                <w:szCs w:val="28"/>
                <w:fitText w:val="3220" w:id="-485301496"/>
              </w:rPr>
              <w:t>7</w:t>
            </w:r>
            <w:r w:rsidRPr="00C72F63">
              <w:rPr>
                <w:rFonts w:ascii="標楷體" w:eastAsia="標楷體" w:hAnsi="標楷體"/>
                <w:b/>
                <w:bCs/>
                <w:spacing w:val="5"/>
                <w:kern w:val="0"/>
                <w:sz w:val="28"/>
                <w:szCs w:val="28"/>
                <w:fitText w:val="3220" w:id="-485301496"/>
              </w:rPr>
              <w:t>日</w:t>
            </w:r>
          </w:p>
        </w:tc>
        <w:tc>
          <w:tcPr>
            <w:tcW w:w="4170" w:type="dxa"/>
            <w:tcMar>
              <w:left w:w="284" w:type="dxa"/>
              <w:right w:w="284" w:type="dxa"/>
            </w:tcMar>
            <w:tcFitText/>
            <w:vAlign w:val="center"/>
          </w:tcPr>
          <w:p w14:paraId="195A1A9F"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hint="eastAsia"/>
                <w:b/>
                <w:bCs/>
                <w:spacing w:val="12"/>
                <w:kern w:val="0"/>
                <w:sz w:val="28"/>
                <w:szCs w:val="28"/>
                <w:fitText w:val="2961" w:id="-485301495"/>
              </w:rPr>
              <w:t>5</w:t>
            </w:r>
            <w:r w:rsidRPr="00C72F63">
              <w:rPr>
                <w:rFonts w:ascii="標楷體" w:eastAsia="標楷體" w:hAnsi="標楷體"/>
                <w:b/>
                <w:bCs/>
                <w:spacing w:val="12"/>
                <w:kern w:val="0"/>
                <w:sz w:val="28"/>
                <w:szCs w:val="28"/>
                <w:fitText w:val="2961" w:id="-485301495"/>
              </w:rPr>
              <w:t>月</w:t>
            </w:r>
            <w:r w:rsidRPr="00C72F63">
              <w:rPr>
                <w:rFonts w:ascii="標楷體" w:eastAsia="標楷體" w:hAnsi="標楷體" w:hint="eastAsia"/>
                <w:b/>
                <w:bCs/>
                <w:spacing w:val="12"/>
                <w:kern w:val="0"/>
                <w:sz w:val="28"/>
                <w:szCs w:val="28"/>
                <w:fitText w:val="2961" w:id="-485301495"/>
              </w:rPr>
              <w:t>1</w:t>
            </w:r>
            <w:r w:rsidRPr="00C72F63">
              <w:rPr>
                <w:rFonts w:ascii="標楷體" w:eastAsia="標楷體" w:hAnsi="標楷體"/>
                <w:b/>
                <w:bCs/>
                <w:spacing w:val="12"/>
                <w:kern w:val="0"/>
                <w:sz w:val="28"/>
                <w:szCs w:val="28"/>
                <w:fitText w:val="2961" w:id="-485301495"/>
              </w:rPr>
              <w:t>8</w:t>
            </w:r>
            <w:r w:rsidRPr="00C72F63">
              <w:rPr>
                <w:rFonts w:ascii="標楷體" w:eastAsia="標楷體" w:hAnsi="標楷體" w:hint="eastAsia"/>
                <w:b/>
                <w:bCs/>
                <w:spacing w:val="12"/>
                <w:kern w:val="0"/>
                <w:sz w:val="28"/>
                <w:szCs w:val="28"/>
                <w:fitText w:val="2961" w:id="-485301495"/>
              </w:rPr>
              <w:t>日</w:t>
            </w:r>
            <w:r w:rsidRPr="00C72F63">
              <w:rPr>
                <w:rFonts w:ascii="標楷體" w:eastAsia="標楷體" w:hAnsi="標楷體"/>
                <w:b/>
                <w:bCs/>
                <w:spacing w:val="12"/>
                <w:kern w:val="0"/>
                <w:sz w:val="28"/>
                <w:szCs w:val="28"/>
                <w:fitText w:val="2961" w:id="-485301495"/>
              </w:rPr>
              <w:t>至</w:t>
            </w:r>
            <w:r w:rsidRPr="00C72F63">
              <w:rPr>
                <w:rFonts w:ascii="標楷體" w:eastAsia="標楷體" w:hAnsi="標楷體" w:hint="eastAsia"/>
                <w:b/>
                <w:bCs/>
                <w:spacing w:val="12"/>
                <w:kern w:val="0"/>
                <w:sz w:val="28"/>
                <w:szCs w:val="28"/>
                <w:fitText w:val="2961" w:id="-485301495"/>
              </w:rPr>
              <w:t>5</w:t>
            </w:r>
            <w:r w:rsidRPr="00C72F63">
              <w:rPr>
                <w:rFonts w:ascii="標楷體" w:eastAsia="標楷體" w:hAnsi="標楷體"/>
                <w:b/>
                <w:bCs/>
                <w:spacing w:val="12"/>
                <w:kern w:val="0"/>
                <w:sz w:val="28"/>
                <w:szCs w:val="28"/>
                <w:fitText w:val="2961" w:id="-485301495"/>
              </w:rPr>
              <w:t>月24</w:t>
            </w:r>
            <w:r w:rsidRPr="00C72F63">
              <w:rPr>
                <w:rFonts w:ascii="標楷體" w:eastAsia="標楷體" w:hAnsi="標楷體"/>
                <w:b/>
                <w:bCs/>
                <w:spacing w:val="5"/>
                <w:kern w:val="0"/>
                <w:sz w:val="28"/>
                <w:szCs w:val="28"/>
                <w:fitText w:val="2961" w:id="-485301495"/>
              </w:rPr>
              <w:t>日</w:t>
            </w:r>
          </w:p>
        </w:tc>
      </w:tr>
      <w:tr w:rsidR="00B53B50" w:rsidRPr="001B6E4D" w14:paraId="27F4F5A1" w14:textId="77777777" w:rsidTr="00D07077">
        <w:trPr>
          <w:trHeight w:val="567"/>
          <w:jc w:val="center"/>
        </w:trPr>
        <w:tc>
          <w:tcPr>
            <w:tcW w:w="4222" w:type="dxa"/>
            <w:tcMar>
              <w:left w:w="284" w:type="dxa"/>
              <w:right w:w="284" w:type="dxa"/>
            </w:tcMar>
            <w:tcFitText/>
            <w:vAlign w:val="center"/>
          </w:tcPr>
          <w:p w14:paraId="35A8F298"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hint="eastAsia"/>
                <w:b/>
                <w:bCs/>
                <w:spacing w:val="10"/>
                <w:kern w:val="0"/>
                <w:sz w:val="28"/>
                <w:szCs w:val="28"/>
                <w:fitText w:val="2919" w:id="-485301494"/>
              </w:rPr>
              <w:t>5</w:t>
            </w:r>
            <w:r w:rsidRPr="00C72F63">
              <w:rPr>
                <w:rFonts w:ascii="標楷體" w:eastAsia="標楷體" w:hAnsi="標楷體"/>
                <w:b/>
                <w:bCs/>
                <w:spacing w:val="10"/>
                <w:kern w:val="0"/>
                <w:sz w:val="28"/>
                <w:szCs w:val="28"/>
                <w:fitText w:val="2919" w:id="-485301494"/>
              </w:rPr>
              <w:t>月25日至</w:t>
            </w:r>
            <w:r w:rsidRPr="00C72F63">
              <w:rPr>
                <w:rFonts w:ascii="標楷體" w:eastAsia="標楷體" w:hAnsi="標楷體" w:hint="eastAsia"/>
                <w:b/>
                <w:bCs/>
                <w:spacing w:val="10"/>
                <w:kern w:val="0"/>
                <w:sz w:val="28"/>
                <w:szCs w:val="28"/>
                <w:fitText w:val="2919" w:id="-485301494"/>
              </w:rPr>
              <w:t>5</w:t>
            </w:r>
            <w:r w:rsidRPr="00C72F63">
              <w:rPr>
                <w:rFonts w:ascii="標楷體" w:eastAsia="標楷體" w:hAnsi="標楷體"/>
                <w:b/>
                <w:bCs/>
                <w:spacing w:val="10"/>
                <w:kern w:val="0"/>
                <w:sz w:val="28"/>
                <w:szCs w:val="28"/>
                <w:fitText w:val="2919" w:id="-485301494"/>
              </w:rPr>
              <w:t>月31</w:t>
            </w:r>
            <w:r w:rsidRPr="00C72F63">
              <w:rPr>
                <w:rFonts w:ascii="標楷體" w:eastAsia="標楷體" w:hAnsi="標楷體"/>
                <w:b/>
                <w:bCs/>
                <w:spacing w:val="1"/>
                <w:kern w:val="0"/>
                <w:sz w:val="28"/>
                <w:szCs w:val="28"/>
                <w:fitText w:val="2919" w:id="-485301494"/>
              </w:rPr>
              <w:t>日</w:t>
            </w:r>
          </w:p>
        </w:tc>
        <w:tc>
          <w:tcPr>
            <w:tcW w:w="4170" w:type="dxa"/>
            <w:tcMar>
              <w:left w:w="284" w:type="dxa"/>
              <w:right w:w="284" w:type="dxa"/>
            </w:tcMar>
            <w:tcFitText/>
            <w:vAlign w:val="center"/>
          </w:tcPr>
          <w:p w14:paraId="2D6F7554"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b/>
                <w:bCs/>
                <w:spacing w:val="26"/>
                <w:kern w:val="0"/>
                <w:sz w:val="28"/>
                <w:szCs w:val="28"/>
                <w:fitText w:val="2876" w:id="-485301493"/>
              </w:rPr>
              <w:t>6</w:t>
            </w:r>
            <w:r w:rsidRPr="00C72F63">
              <w:rPr>
                <w:rFonts w:ascii="標楷體" w:eastAsia="標楷體" w:hAnsi="標楷體" w:hint="eastAsia"/>
                <w:b/>
                <w:bCs/>
                <w:spacing w:val="26"/>
                <w:kern w:val="0"/>
                <w:sz w:val="28"/>
                <w:szCs w:val="28"/>
                <w:fitText w:val="2876" w:id="-485301493"/>
              </w:rPr>
              <w:t>月</w:t>
            </w:r>
            <w:r w:rsidRPr="00C72F63">
              <w:rPr>
                <w:rFonts w:ascii="標楷體" w:eastAsia="標楷體" w:hAnsi="標楷體"/>
                <w:b/>
                <w:bCs/>
                <w:spacing w:val="26"/>
                <w:kern w:val="0"/>
                <w:sz w:val="28"/>
                <w:szCs w:val="28"/>
                <w:fitText w:val="2876" w:id="-485301493"/>
              </w:rPr>
              <w:t>1</w:t>
            </w:r>
            <w:r w:rsidRPr="00C72F63">
              <w:rPr>
                <w:rFonts w:ascii="標楷體" w:eastAsia="標楷體" w:hAnsi="標楷體" w:hint="eastAsia"/>
                <w:b/>
                <w:bCs/>
                <w:spacing w:val="26"/>
                <w:kern w:val="0"/>
                <w:sz w:val="28"/>
                <w:szCs w:val="28"/>
                <w:fitText w:val="2876" w:id="-485301493"/>
              </w:rPr>
              <w:t>日至6月</w:t>
            </w:r>
            <w:r w:rsidRPr="00C72F63">
              <w:rPr>
                <w:rFonts w:ascii="標楷體" w:eastAsia="標楷體" w:hAnsi="標楷體"/>
                <w:b/>
                <w:bCs/>
                <w:spacing w:val="26"/>
                <w:kern w:val="0"/>
                <w:sz w:val="28"/>
                <w:szCs w:val="28"/>
                <w:fitText w:val="2876" w:id="-485301493"/>
              </w:rPr>
              <w:t>7</w:t>
            </w:r>
            <w:r w:rsidRPr="00C72F63">
              <w:rPr>
                <w:rFonts w:ascii="標楷體" w:eastAsia="標楷體" w:hAnsi="標楷體" w:hint="eastAsia"/>
                <w:b/>
                <w:bCs/>
                <w:spacing w:val="7"/>
                <w:kern w:val="0"/>
                <w:sz w:val="28"/>
                <w:szCs w:val="28"/>
                <w:fitText w:val="2876" w:id="-485301493"/>
              </w:rPr>
              <w:t>日</w:t>
            </w:r>
          </w:p>
        </w:tc>
      </w:tr>
      <w:tr w:rsidR="00B53B50" w:rsidRPr="001B6E4D" w14:paraId="6883E615" w14:textId="77777777" w:rsidTr="00D07077">
        <w:trPr>
          <w:trHeight w:val="567"/>
          <w:jc w:val="center"/>
        </w:trPr>
        <w:tc>
          <w:tcPr>
            <w:tcW w:w="4222" w:type="dxa"/>
            <w:tcMar>
              <w:left w:w="284" w:type="dxa"/>
              <w:right w:w="284" w:type="dxa"/>
            </w:tcMar>
            <w:tcFitText/>
            <w:vAlign w:val="center"/>
          </w:tcPr>
          <w:p w14:paraId="7B7FDA5B"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hint="eastAsia"/>
                <w:b/>
                <w:bCs/>
                <w:spacing w:val="17"/>
                <w:kern w:val="0"/>
                <w:sz w:val="28"/>
                <w:szCs w:val="28"/>
                <w:fitText w:val="2880" w:id="-485301492"/>
              </w:rPr>
              <w:t>6月</w:t>
            </w:r>
            <w:r w:rsidRPr="00C72F63">
              <w:rPr>
                <w:rFonts w:ascii="標楷體" w:eastAsia="標楷體" w:hAnsi="標楷體"/>
                <w:b/>
                <w:bCs/>
                <w:spacing w:val="17"/>
                <w:kern w:val="0"/>
                <w:sz w:val="28"/>
                <w:szCs w:val="28"/>
                <w:fitText w:val="2880" w:id="-485301492"/>
              </w:rPr>
              <w:t>8</w:t>
            </w:r>
            <w:r w:rsidRPr="00C72F63">
              <w:rPr>
                <w:rFonts w:ascii="標楷體" w:eastAsia="標楷體" w:hAnsi="標楷體" w:hint="eastAsia"/>
                <w:b/>
                <w:bCs/>
                <w:spacing w:val="17"/>
                <w:kern w:val="0"/>
                <w:sz w:val="28"/>
                <w:szCs w:val="28"/>
                <w:fitText w:val="2880" w:id="-485301492"/>
              </w:rPr>
              <w:t>日至6月</w:t>
            </w:r>
            <w:r w:rsidRPr="00C72F63">
              <w:rPr>
                <w:rFonts w:ascii="標楷體" w:eastAsia="標楷體" w:hAnsi="標楷體"/>
                <w:b/>
                <w:bCs/>
                <w:spacing w:val="17"/>
                <w:kern w:val="0"/>
                <w:sz w:val="28"/>
                <w:szCs w:val="28"/>
                <w:fitText w:val="2880" w:id="-485301492"/>
              </w:rPr>
              <w:t>14</w:t>
            </w:r>
            <w:r w:rsidRPr="00C72F63">
              <w:rPr>
                <w:rFonts w:ascii="標楷體" w:eastAsia="標楷體" w:hAnsi="標楷體" w:hint="eastAsia"/>
                <w:b/>
                <w:bCs/>
                <w:spacing w:val="1"/>
                <w:kern w:val="0"/>
                <w:sz w:val="28"/>
                <w:szCs w:val="28"/>
                <w:fitText w:val="2880" w:id="-485301492"/>
              </w:rPr>
              <w:t>日</w:t>
            </w:r>
          </w:p>
        </w:tc>
        <w:tc>
          <w:tcPr>
            <w:tcW w:w="4170" w:type="dxa"/>
            <w:tcMar>
              <w:left w:w="284" w:type="dxa"/>
              <w:right w:w="284" w:type="dxa"/>
            </w:tcMar>
            <w:tcFitText/>
            <w:vAlign w:val="center"/>
          </w:tcPr>
          <w:p w14:paraId="72E8D017"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hint="eastAsia"/>
                <w:b/>
                <w:bCs/>
                <w:spacing w:val="12"/>
                <w:kern w:val="0"/>
                <w:sz w:val="28"/>
                <w:szCs w:val="28"/>
                <w:fitText w:val="2961" w:id="-485301491"/>
              </w:rPr>
              <w:t>6月</w:t>
            </w:r>
            <w:r w:rsidRPr="00C72F63">
              <w:rPr>
                <w:rFonts w:ascii="標楷體" w:eastAsia="標楷體" w:hAnsi="標楷體"/>
                <w:b/>
                <w:bCs/>
                <w:spacing w:val="12"/>
                <w:kern w:val="0"/>
                <w:sz w:val="28"/>
                <w:szCs w:val="28"/>
                <w:fitText w:val="2961" w:id="-485301491"/>
              </w:rPr>
              <w:t>15</w:t>
            </w:r>
            <w:r w:rsidRPr="00C72F63">
              <w:rPr>
                <w:rFonts w:ascii="標楷體" w:eastAsia="標楷體" w:hAnsi="標楷體" w:hint="eastAsia"/>
                <w:b/>
                <w:bCs/>
                <w:spacing w:val="12"/>
                <w:kern w:val="0"/>
                <w:sz w:val="28"/>
                <w:szCs w:val="28"/>
                <w:fitText w:val="2961" w:id="-485301491"/>
              </w:rPr>
              <w:t>日至6月21</w:t>
            </w:r>
            <w:r w:rsidRPr="00C72F63">
              <w:rPr>
                <w:rFonts w:ascii="標楷體" w:eastAsia="標楷體" w:hAnsi="標楷體" w:hint="eastAsia"/>
                <w:b/>
                <w:bCs/>
                <w:spacing w:val="5"/>
                <w:kern w:val="0"/>
                <w:sz w:val="28"/>
                <w:szCs w:val="28"/>
                <w:fitText w:val="2961" w:id="-485301491"/>
              </w:rPr>
              <w:t>日</w:t>
            </w:r>
          </w:p>
        </w:tc>
      </w:tr>
      <w:tr w:rsidR="00B53B50" w:rsidRPr="001B6E4D" w14:paraId="5B9D5D3B" w14:textId="77777777" w:rsidTr="00D07077">
        <w:trPr>
          <w:trHeight w:val="567"/>
          <w:jc w:val="center"/>
        </w:trPr>
        <w:tc>
          <w:tcPr>
            <w:tcW w:w="4222" w:type="dxa"/>
            <w:tcMar>
              <w:left w:w="284" w:type="dxa"/>
              <w:right w:w="284" w:type="dxa"/>
            </w:tcMar>
            <w:tcFitText/>
            <w:vAlign w:val="center"/>
          </w:tcPr>
          <w:p w14:paraId="271EAAD7"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C72F63">
              <w:rPr>
                <w:rFonts w:ascii="標楷體" w:eastAsia="標楷體" w:hAnsi="標楷體" w:hint="eastAsia"/>
                <w:b/>
                <w:bCs/>
                <w:spacing w:val="10"/>
                <w:kern w:val="0"/>
                <w:sz w:val="28"/>
                <w:szCs w:val="28"/>
                <w:fitText w:val="2919" w:id="-485301490"/>
              </w:rPr>
              <w:t>6月</w:t>
            </w:r>
            <w:r w:rsidRPr="00C72F63">
              <w:rPr>
                <w:rFonts w:ascii="標楷體" w:eastAsia="標楷體" w:hAnsi="標楷體"/>
                <w:b/>
                <w:bCs/>
                <w:spacing w:val="10"/>
                <w:kern w:val="0"/>
                <w:sz w:val="28"/>
                <w:szCs w:val="28"/>
                <w:fitText w:val="2919" w:id="-485301490"/>
              </w:rPr>
              <w:t>22</w:t>
            </w:r>
            <w:r w:rsidRPr="00C72F63">
              <w:rPr>
                <w:rFonts w:ascii="標楷體" w:eastAsia="標楷體" w:hAnsi="標楷體" w:hint="eastAsia"/>
                <w:b/>
                <w:bCs/>
                <w:spacing w:val="10"/>
                <w:kern w:val="0"/>
                <w:sz w:val="28"/>
                <w:szCs w:val="28"/>
                <w:fitText w:val="2919" w:id="-485301490"/>
              </w:rPr>
              <w:t>日至6月2</w:t>
            </w:r>
            <w:r w:rsidRPr="00C72F63">
              <w:rPr>
                <w:rFonts w:ascii="標楷體" w:eastAsia="標楷體" w:hAnsi="標楷體"/>
                <w:b/>
                <w:bCs/>
                <w:spacing w:val="10"/>
                <w:kern w:val="0"/>
                <w:sz w:val="28"/>
                <w:szCs w:val="28"/>
                <w:fitText w:val="2919" w:id="-485301490"/>
              </w:rPr>
              <w:t>8</w:t>
            </w:r>
            <w:r w:rsidRPr="00C72F63">
              <w:rPr>
                <w:rFonts w:ascii="標楷體" w:eastAsia="標楷體" w:hAnsi="標楷體" w:hint="eastAsia"/>
                <w:b/>
                <w:bCs/>
                <w:spacing w:val="1"/>
                <w:kern w:val="0"/>
                <w:sz w:val="28"/>
                <w:szCs w:val="28"/>
                <w:fitText w:val="2919" w:id="-485301490"/>
              </w:rPr>
              <w:t>日</w:t>
            </w:r>
          </w:p>
        </w:tc>
        <w:tc>
          <w:tcPr>
            <w:tcW w:w="4170" w:type="dxa"/>
            <w:tcMar>
              <w:left w:w="284" w:type="dxa"/>
              <w:right w:w="284" w:type="dxa"/>
            </w:tcMar>
            <w:tcFitText/>
            <w:vAlign w:val="center"/>
          </w:tcPr>
          <w:p w14:paraId="5E8CD391" w14:textId="77777777" w:rsidR="00B53B50" w:rsidRPr="001B6E4D" w:rsidRDefault="00B53B50" w:rsidP="003D1018">
            <w:pPr>
              <w:overflowPunct w:val="0"/>
              <w:spacing w:line="500" w:lineRule="exact"/>
              <w:ind w:leftChars="2" w:left="5"/>
              <w:jc w:val="center"/>
              <w:rPr>
                <w:rFonts w:ascii="標楷體" w:eastAsia="標楷體" w:hAnsi="標楷體"/>
                <w:b/>
                <w:bCs/>
                <w:spacing w:val="51"/>
                <w:kern w:val="0"/>
                <w:sz w:val="28"/>
                <w:szCs w:val="28"/>
              </w:rPr>
            </w:pPr>
            <w:r w:rsidRPr="00A6702B">
              <w:rPr>
                <w:rFonts w:ascii="標楷體" w:eastAsia="標楷體" w:hAnsi="標楷體"/>
                <w:b/>
                <w:bCs/>
                <w:spacing w:val="59"/>
                <w:kern w:val="0"/>
                <w:sz w:val="28"/>
                <w:szCs w:val="28"/>
              </w:rPr>
              <w:t>6</w:t>
            </w:r>
            <w:r w:rsidRPr="00A6702B">
              <w:rPr>
                <w:rFonts w:ascii="標楷體" w:eastAsia="標楷體" w:hAnsi="標楷體" w:hint="eastAsia"/>
                <w:b/>
                <w:bCs/>
                <w:spacing w:val="59"/>
                <w:kern w:val="0"/>
                <w:sz w:val="28"/>
                <w:szCs w:val="28"/>
              </w:rPr>
              <w:t>月2</w:t>
            </w:r>
            <w:r w:rsidRPr="00A6702B">
              <w:rPr>
                <w:rFonts w:ascii="標楷體" w:eastAsia="標楷體" w:hAnsi="標楷體"/>
                <w:b/>
                <w:bCs/>
                <w:spacing w:val="59"/>
                <w:kern w:val="0"/>
                <w:sz w:val="28"/>
                <w:szCs w:val="28"/>
              </w:rPr>
              <w:t>9</w:t>
            </w:r>
            <w:r w:rsidRPr="00A6702B">
              <w:rPr>
                <w:rFonts w:ascii="標楷體" w:eastAsia="標楷體" w:hAnsi="標楷體" w:hint="eastAsia"/>
                <w:b/>
                <w:bCs/>
                <w:spacing w:val="59"/>
                <w:kern w:val="0"/>
                <w:sz w:val="28"/>
                <w:szCs w:val="28"/>
              </w:rPr>
              <w:t>日至</w:t>
            </w:r>
            <w:r w:rsidRPr="00A6702B">
              <w:rPr>
                <w:rFonts w:ascii="標楷體" w:eastAsia="標楷體" w:hAnsi="標楷體"/>
                <w:b/>
                <w:bCs/>
                <w:spacing w:val="59"/>
                <w:kern w:val="0"/>
                <w:sz w:val="28"/>
                <w:szCs w:val="28"/>
              </w:rPr>
              <w:t>7</w:t>
            </w:r>
            <w:r w:rsidRPr="00A6702B">
              <w:rPr>
                <w:rFonts w:ascii="標楷體" w:eastAsia="標楷體" w:hAnsi="標楷體" w:hint="eastAsia"/>
                <w:b/>
                <w:bCs/>
                <w:spacing w:val="59"/>
                <w:kern w:val="0"/>
                <w:sz w:val="28"/>
                <w:szCs w:val="28"/>
              </w:rPr>
              <w:t>月</w:t>
            </w:r>
            <w:r w:rsidRPr="00A6702B">
              <w:rPr>
                <w:rFonts w:ascii="標楷體" w:eastAsia="標楷體" w:hAnsi="標楷體"/>
                <w:b/>
                <w:bCs/>
                <w:spacing w:val="59"/>
                <w:kern w:val="0"/>
                <w:sz w:val="28"/>
                <w:szCs w:val="28"/>
              </w:rPr>
              <w:t>5</w:t>
            </w:r>
            <w:r w:rsidRPr="00A6702B">
              <w:rPr>
                <w:rFonts w:ascii="標楷體" w:eastAsia="標楷體" w:hAnsi="標楷體" w:hint="eastAsia"/>
                <w:b/>
                <w:bCs/>
                <w:spacing w:val="5"/>
                <w:kern w:val="0"/>
                <w:sz w:val="28"/>
                <w:szCs w:val="28"/>
              </w:rPr>
              <w:t>日</w:t>
            </w:r>
          </w:p>
        </w:tc>
      </w:tr>
      <w:tr w:rsidR="00B53B50" w:rsidRPr="001B6E4D" w14:paraId="00AF806D" w14:textId="77777777" w:rsidTr="00D07077">
        <w:trPr>
          <w:trHeight w:val="567"/>
          <w:jc w:val="center"/>
        </w:trPr>
        <w:tc>
          <w:tcPr>
            <w:tcW w:w="4222" w:type="dxa"/>
            <w:tcMar>
              <w:left w:w="284" w:type="dxa"/>
              <w:right w:w="284" w:type="dxa"/>
            </w:tcMar>
            <w:tcFitText/>
            <w:vAlign w:val="center"/>
          </w:tcPr>
          <w:p w14:paraId="3F0E8E6E" w14:textId="77777777" w:rsidR="00B53B50" w:rsidRPr="001B6E4D" w:rsidRDefault="00B53B50" w:rsidP="003D1018">
            <w:pPr>
              <w:overflowPunct w:val="0"/>
              <w:spacing w:line="500" w:lineRule="exact"/>
              <w:ind w:leftChars="2" w:left="5"/>
              <w:jc w:val="center"/>
              <w:rPr>
                <w:rFonts w:ascii="標楷體" w:eastAsia="標楷體" w:hAnsi="標楷體"/>
                <w:b/>
                <w:bCs/>
                <w:kern w:val="0"/>
                <w:sz w:val="28"/>
                <w:szCs w:val="28"/>
              </w:rPr>
            </w:pPr>
            <w:r w:rsidRPr="00A6702B">
              <w:rPr>
                <w:rFonts w:ascii="標楷體" w:eastAsia="標楷體" w:hAnsi="標楷體"/>
                <w:b/>
                <w:bCs/>
                <w:spacing w:val="62"/>
                <w:kern w:val="0"/>
                <w:sz w:val="28"/>
                <w:szCs w:val="28"/>
              </w:rPr>
              <w:t>7</w:t>
            </w:r>
            <w:r w:rsidRPr="00A6702B">
              <w:rPr>
                <w:rFonts w:ascii="標楷體" w:eastAsia="標楷體" w:hAnsi="標楷體" w:hint="eastAsia"/>
                <w:b/>
                <w:bCs/>
                <w:spacing w:val="62"/>
                <w:kern w:val="0"/>
                <w:sz w:val="28"/>
                <w:szCs w:val="28"/>
              </w:rPr>
              <w:t>月</w:t>
            </w:r>
            <w:r w:rsidRPr="00A6702B">
              <w:rPr>
                <w:rFonts w:ascii="標楷體" w:eastAsia="標楷體" w:hAnsi="標楷體"/>
                <w:b/>
                <w:bCs/>
                <w:spacing w:val="62"/>
                <w:kern w:val="0"/>
                <w:sz w:val="28"/>
                <w:szCs w:val="28"/>
              </w:rPr>
              <w:t>6</w:t>
            </w:r>
            <w:r w:rsidRPr="00A6702B">
              <w:rPr>
                <w:rFonts w:ascii="標楷體" w:eastAsia="標楷體" w:hAnsi="標楷體" w:hint="eastAsia"/>
                <w:b/>
                <w:bCs/>
                <w:spacing w:val="62"/>
                <w:kern w:val="0"/>
                <w:sz w:val="28"/>
                <w:szCs w:val="28"/>
              </w:rPr>
              <w:t>日至7月</w:t>
            </w:r>
            <w:r w:rsidRPr="00A6702B">
              <w:rPr>
                <w:rFonts w:ascii="標楷體" w:eastAsia="標楷體" w:hAnsi="標楷體"/>
                <w:b/>
                <w:bCs/>
                <w:spacing w:val="62"/>
                <w:kern w:val="0"/>
                <w:sz w:val="28"/>
                <w:szCs w:val="28"/>
              </w:rPr>
              <w:t>12</w:t>
            </w:r>
            <w:r w:rsidRPr="00A6702B">
              <w:rPr>
                <w:rFonts w:ascii="標楷體" w:eastAsia="標楷體" w:hAnsi="標楷體" w:hint="eastAsia"/>
                <w:b/>
                <w:bCs/>
                <w:spacing w:val="6"/>
                <w:kern w:val="0"/>
                <w:sz w:val="28"/>
                <w:szCs w:val="28"/>
              </w:rPr>
              <w:t>日</w:t>
            </w:r>
          </w:p>
        </w:tc>
        <w:tc>
          <w:tcPr>
            <w:tcW w:w="4170" w:type="dxa"/>
            <w:tcMar>
              <w:left w:w="284" w:type="dxa"/>
              <w:right w:w="284" w:type="dxa"/>
            </w:tcMar>
            <w:tcFitText/>
            <w:vAlign w:val="center"/>
          </w:tcPr>
          <w:p w14:paraId="2C7ADE50" w14:textId="77777777" w:rsidR="00B53B50" w:rsidRPr="001B6E4D" w:rsidRDefault="00B53B50" w:rsidP="003D1018">
            <w:pPr>
              <w:overflowPunct w:val="0"/>
              <w:spacing w:line="500" w:lineRule="exact"/>
              <w:ind w:leftChars="2" w:left="5"/>
              <w:jc w:val="center"/>
              <w:rPr>
                <w:rFonts w:ascii="標楷體" w:eastAsia="標楷體" w:hAnsi="標楷體"/>
                <w:b/>
                <w:bCs/>
                <w:kern w:val="0"/>
                <w:sz w:val="28"/>
                <w:szCs w:val="28"/>
              </w:rPr>
            </w:pPr>
            <w:r w:rsidRPr="00A6702B">
              <w:rPr>
                <w:rFonts w:ascii="標楷體" w:eastAsia="標楷體" w:hAnsi="標楷體" w:hint="eastAsia"/>
                <w:b/>
                <w:bCs/>
                <w:spacing w:val="48"/>
                <w:kern w:val="0"/>
                <w:sz w:val="28"/>
                <w:szCs w:val="28"/>
              </w:rPr>
              <w:t>7月</w:t>
            </w:r>
            <w:r w:rsidRPr="00A6702B">
              <w:rPr>
                <w:rFonts w:ascii="標楷體" w:eastAsia="標楷體" w:hAnsi="標楷體"/>
                <w:b/>
                <w:bCs/>
                <w:spacing w:val="48"/>
                <w:kern w:val="0"/>
                <w:sz w:val="28"/>
                <w:szCs w:val="28"/>
              </w:rPr>
              <w:t>13</w:t>
            </w:r>
            <w:r w:rsidRPr="00A6702B">
              <w:rPr>
                <w:rFonts w:ascii="標楷體" w:eastAsia="標楷體" w:hAnsi="標楷體" w:hint="eastAsia"/>
                <w:b/>
                <w:bCs/>
                <w:spacing w:val="48"/>
                <w:kern w:val="0"/>
                <w:sz w:val="28"/>
                <w:szCs w:val="28"/>
              </w:rPr>
              <w:t>日至7月1</w:t>
            </w:r>
            <w:r w:rsidRPr="00A6702B">
              <w:rPr>
                <w:rFonts w:ascii="標楷體" w:eastAsia="標楷體" w:hAnsi="標楷體"/>
                <w:b/>
                <w:bCs/>
                <w:spacing w:val="48"/>
                <w:kern w:val="0"/>
                <w:sz w:val="28"/>
                <w:szCs w:val="28"/>
              </w:rPr>
              <w:t>9</w:t>
            </w:r>
            <w:r w:rsidRPr="00A6702B">
              <w:rPr>
                <w:rFonts w:ascii="標楷體" w:eastAsia="標楷體" w:hAnsi="標楷體" w:hint="eastAsia"/>
                <w:b/>
                <w:bCs/>
                <w:spacing w:val="2"/>
                <w:kern w:val="0"/>
                <w:sz w:val="28"/>
                <w:szCs w:val="28"/>
              </w:rPr>
              <w:t>日</w:t>
            </w:r>
          </w:p>
        </w:tc>
      </w:tr>
      <w:tr w:rsidR="00B53B50" w:rsidRPr="001B6E4D" w14:paraId="5496E91B" w14:textId="77777777" w:rsidTr="00D07077">
        <w:trPr>
          <w:trHeight w:val="567"/>
          <w:jc w:val="center"/>
        </w:trPr>
        <w:tc>
          <w:tcPr>
            <w:tcW w:w="4222" w:type="dxa"/>
            <w:tcMar>
              <w:left w:w="284" w:type="dxa"/>
              <w:right w:w="284" w:type="dxa"/>
            </w:tcMar>
            <w:tcFitText/>
            <w:vAlign w:val="center"/>
          </w:tcPr>
          <w:p w14:paraId="67DE9582" w14:textId="77777777" w:rsidR="00B53B50" w:rsidRPr="001B6E4D" w:rsidRDefault="00B53B50" w:rsidP="003D1018">
            <w:pPr>
              <w:overflowPunct w:val="0"/>
              <w:spacing w:line="500" w:lineRule="exact"/>
              <w:ind w:leftChars="2" w:left="5"/>
              <w:jc w:val="center"/>
              <w:rPr>
                <w:rFonts w:ascii="標楷體" w:eastAsia="標楷體" w:hAnsi="標楷體"/>
                <w:b/>
                <w:bCs/>
                <w:kern w:val="0"/>
                <w:sz w:val="28"/>
                <w:szCs w:val="28"/>
              </w:rPr>
            </w:pPr>
            <w:r w:rsidRPr="00A6702B">
              <w:rPr>
                <w:rFonts w:ascii="標楷體" w:eastAsia="標楷體" w:hAnsi="標楷體" w:hint="eastAsia"/>
                <w:b/>
                <w:bCs/>
                <w:spacing w:val="51"/>
                <w:kern w:val="0"/>
                <w:sz w:val="28"/>
                <w:szCs w:val="28"/>
              </w:rPr>
              <w:t>7月</w:t>
            </w:r>
            <w:r w:rsidRPr="00A6702B">
              <w:rPr>
                <w:rFonts w:ascii="標楷體" w:eastAsia="標楷體" w:hAnsi="標楷體"/>
                <w:b/>
                <w:bCs/>
                <w:spacing w:val="51"/>
                <w:kern w:val="0"/>
                <w:sz w:val="28"/>
                <w:szCs w:val="28"/>
              </w:rPr>
              <w:t>20</w:t>
            </w:r>
            <w:r w:rsidRPr="00A6702B">
              <w:rPr>
                <w:rFonts w:ascii="標楷體" w:eastAsia="標楷體" w:hAnsi="標楷體" w:hint="eastAsia"/>
                <w:b/>
                <w:bCs/>
                <w:spacing w:val="51"/>
                <w:kern w:val="0"/>
                <w:sz w:val="28"/>
                <w:szCs w:val="28"/>
              </w:rPr>
              <w:t>日至7月2</w:t>
            </w:r>
            <w:r w:rsidRPr="00A6702B">
              <w:rPr>
                <w:rFonts w:ascii="標楷體" w:eastAsia="標楷體" w:hAnsi="標楷體"/>
                <w:b/>
                <w:bCs/>
                <w:spacing w:val="51"/>
                <w:kern w:val="0"/>
                <w:sz w:val="28"/>
                <w:szCs w:val="28"/>
              </w:rPr>
              <w:t>6</w:t>
            </w:r>
            <w:r w:rsidRPr="00A6702B">
              <w:rPr>
                <w:rFonts w:ascii="標楷體" w:eastAsia="標楷體" w:hAnsi="標楷體" w:hint="eastAsia"/>
                <w:b/>
                <w:bCs/>
                <w:spacing w:val="2"/>
                <w:kern w:val="0"/>
                <w:sz w:val="28"/>
                <w:szCs w:val="28"/>
              </w:rPr>
              <w:t>日</w:t>
            </w:r>
          </w:p>
        </w:tc>
        <w:tc>
          <w:tcPr>
            <w:tcW w:w="4170" w:type="dxa"/>
            <w:tcMar>
              <w:left w:w="284" w:type="dxa"/>
              <w:right w:w="284" w:type="dxa"/>
            </w:tcMar>
            <w:tcFitText/>
            <w:vAlign w:val="center"/>
          </w:tcPr>
          <w:p w14:paraId="611A9A1B" w14:textId="77777777" w:rsidR="00B53B50" w:rsidRPr="001B6E4D" w:rsidRDefault="00B53B50" w:rsidP="003D1018">
            <w:pPr>
              <w:overflowPunct w:val="0"/>
              <w:spacing w:line="500" w:lineRule="exact"/>
              <w:ind w:leftChars="2" w:left="5"/>
              <w:jc w:val="center"/>
              <w:rPr>
                <w:rFonts w:ascii="標楷體" w:eastAsia="標楷體" w:hAnsi="標楷體"/>
                <w:b/>
                <w:bCs/>
                <w:kern w:val="0"/>
                <w:sz w:val="28"/>
                <w:szCs w:val="28"/>
              </w:rPr>
            </w:pPr>
            <w:r w:rsidRPr="00A6702B">
              <w:rPr>
                <w:rFonts w:ascii="標楷體" w:eastAsia="標楷體" w:hAnsi="標楷體"/>
                <w:b/>
                <w:bCs/>
                <w:spacing w:val="59"/>
                <w:kern w:val="0"/>
                <w:sz w:val="28"/>
                <w:szCs w:val="28"/>
              </w:rPr>
              <w:t>7</w:t>
            </w:r>
            <w:r w:rsidRPr="00A6702B">
              <w:rPr>
                <w:rFonts w:ascii="標楷體" w:eastAsia="標楷體" w:hAnsi="標楷體" w:hint="eastAsia"/>
                <w:b/>
                <w:bCs/>
                <w:spacing w:val="59"/>
                <w:kern w:val="0"/>
                <w:sz w:val="28"/>
                <w:szCs w:val="28"/>
              </w:rPr>
              <w:t>月2</w:t>
            </w:r>
            <w:r w:rsidRPr="00A6702B">
              <w:rPr>
                <w:rFonts w:ascii="標楷體" w:eastAsia="標楷體" w:hAnsi="標楷體"/>
                <w:b/>
                <w:bCs/>
                <w:spacing w:val="59"/>
                <w:kern w:val="0"/>
                <w:sz w:val="28"/>
                <w:szCs w:val="28"/>
              </w:rPr>
              <w:t>7</w:t>
            </w:r>
            <w:r w:rsidRPr="00A6702B">
              <w:rPr>
                <w:rFonts w:ascii="標楷體" w:eastAsia="標楷體" w:hAnsi="標楷體" w:hint="eastAsia"/>
                <w:b/>
                <w:bCs/>
                <w:spacing w:val="59"/>
                <w:kern w:val="0"/>
                <w:sz w:val="28"/>
                <w:szCs w:val="28"/>
              </w:rPr>
              <w:t>日至</w:t>
            </w:r>
            <w:r w:rsidRPr="00A6702B">
              <w:rPr>
                <w:rFonts w:ascii="標楷體" w:eastAsia="標楷體" w:hAnsi="標楷體"/>
                <w:b/>
                <w:bCs/>
                <w:spacing w:val="59"/>
                <w:kern w:val="0"/>
                <w:sz w:val="28"/>
                <w:szCs w:val="28"/>
              </w:rPr>
              <w:t>8</w:t>
            </w:r>
            <w:r w:rsidRPr="00A6702B">
              <w:rPr>
                <w:rFonts w:ascii="標楷體" w:eastAsia="標楷體" w:hAnsi="標楷體" w:hint="eastAsia"/>
                <w:b/>
                <w:bCs/>
                <w:spacing w:val="59"/>
                <w:kern w:val="0"/>
                <w:sz w:val="28"/>
                <w:szCs w:val="28"/>
              </w:rPr>
              <w:t>月2</w:t>
            </w:r>
            <w:r w:rsidRPr="00A6702B">
              <w:rPr>
                <w:rFonts w:ascii="標楷體" w:eastAsia="標楷體" w:hAnsi="標楷體" w:hint="eastAsia"/>
                <w:b/>
                <w:bCs/>
                <w:spacing w:val="5"/>
                <w:kern w:val="0"/>
                <w:sz w:val="28"/>
                <w:szCs w:val="28"/>
              </w:rPr>
              <w:t>日</w:t>
            </w:r>
          </w:p>
        </w:tc>
      </w:tr>
      <w:tr w:rsidR="00B53B50" w:rsidRPr="001B6E4D" w14:paraId="5BE02116" w14:textId="77777777" w:rsidTr="00D07077">
        <w:trPr>
          <w:trHeight w:val="567"/>
          <w:jc w:val="center"/>
        </w:trPr>
        <w:tc>
          <w:tcPr>
            <w:tcW w:w="4222" w:type="dxa"/>
            <w:tcMar>
              <w:left w:w="284" w:type="dxa"/>
              <w:right w:w="284" w:type="dxa"/>
            </w:tcMar>
            <w:tcFitText/>
            <w:vAlign w:val="center"/>
          </w:tcPr>
          <w:p w14:paraId="3C798ED8" w14:textId="77777777" w:rsidR="00B53B50" w:rsidRPr="001B6E4D" w:rsidRDefault="00B53B50" w:rsidP="003D1018">
            <w:pPr>
              <w:overflowPunct w:val="0"/>
              <w:spacing w:line="500" w:lineRule="exact"/>
              <w:ind w:leftChars="2" w:left="5"/>
              <w:jc w:val="center"/>
              <w:rPr>
                <w:rFonts w:ascii="標楷體" w:eastAsia="標楷體" w:hAnsi="標楷體"/>
                <w:b/>
                <w:bCs/>
                <w:spacing w:val="62"/>
                <w:kern w:val="0"/>
                <w:sz w:val="28"/>
                <w:szCs w:val="28"/>
              </w:rPr>
            </w:pPr>
            <w:r w:rsidRPr="00A6702B">
              <w:rPr>
                <w:rFonts w:ascii="標楷體" w:eastAsia="標楷體" w:hAnsi="標楷體"/>
                <w:b/>
                <w:bCs/>
                <w:spacing w:val="75"/>
                <w:kern w:val="0"/>
                <w:sz w:val="28"/>
                <w:szCs w:val="28"/>
              </w:rPr>
              <w:t>8</w:t>
            </w:r>
            <w:r w:rsidRPr="00A6702B">
              <w:rPr>
                <w:rFonts w:ascii="標楷體" w:eastAsia="標楷體" w:hAnsi="標楷體" w:hint="eastAsia"/>
                <w:b/>
                <w:bCs/>
                <w:spacing w:val="75"/>
                <w:kern w:val="0"/>
                <w:sz w:val="28"/>
                <w:szCs w:val="28"/>
              </w:rPr>
              <w:t>月</w:t>
            </w:r>
            <w:r w:rsidRPr="00A6702B">
              <w:rPr>
                <w:rFonts w:ascii="標楷體" w:eastAsia="標楷體" w:hAnsi="標楷體"/>
                <w:b/>
                <w:bCs/>
                <w:spacing w:val="75"/>
                <w:kern w:val="0"/>
                <w:sz w:val="28"/>
                <w:szCs w:val="28"/>
              </w:rPr>
              <w:t>3</w:t>
            </w:r>
            <w:r w:rsidRPr="00A6702B">
              <w:rPr>
                <w:rFonts w:ascii="標楷體" w:eastAsia="標楷體" w:hAnsi="標楷體" w:hint="eastAsia"/>
                <w:b/>
                <w:bCs/>
                <w:spacing w:val="75"/>
                <w:kern w:val="0"/>
                <w:sz w:val="28"/>
                <w:szCs w:val="28"/>
              </w:rPr>
              <w:t>日至8月</w:t>
            </w:r>
            <w:r w:rsidRPr="00A6702B">
              <w:rPr>
                <w:rFonts w:ascii="標楷體" w:eastAsia="標楷體" w:hAnsi="標楷體"/>
                <w:b/>
                <w:bCs/>
                <w:spacing w:val="75"/>
                <w:kern w:val="0"/>
                <w:sz w:val="28"/>
                <w:szCs w:val="28"/>
              </w:rPr>
              <w:t>9</w:t>
            </w:r>
            <w:r w:rsidRPr="00A6702B">
              <w:rPr>
                <w:rFonts w:ascii="標楷體" w:eastAsia="標楷體" w:hAnsi="標楷體" w:hint="eastAsia"/>
                <w:b/>
                <w:bCs/>
                <w:spacing w:val="7"/>
                <w:kern w:val="0"/>
                <w:sz w:val="28"/>
                <w:szCs w:val="28"/>
              </w:rPr>
              <w:t>日</w:t>
            </w:r>
          </w:p>
        </w:tc>
        <w:tc>
          <w:tcPr>
            <w:tcW w:w="4170" w:type="dxa"/>
            <w:tcMar>
              <w:left w:w="284" w:type="dxa"/>
              <w:right w:w="284" w:type="dxa"/>
            </w:tcMar>
            <w:tcFitText/>
            <w:vAlign w:val="center"/>
          </w:tcPr>
          <w:p w14:paraId="1E69CCBD" w14:textId="77777777" w:rsidR="00B53B50" w:rsidRPr="001B6E4D" w:rsidRDefault="00B53B50" w:rsidP="003D1018">
            <w:pPr>
              <w:overflowPunct w:val="0"/>
              <w:spacing w:line="500" w:lineRule="exact"/>
              <w:ind w:leftChars="2" w:left="5"/>
              <w:jc w:val="center"/>
              <w:rPr>
                <w:rFonts w:ascii="標楷體" w:eastAsia="標楷體" w:hAnsi="標楷體"/>
                <w:b/>
                <w:bCs/>
                <w:spacing w:val="62"/>
                <w:kern w:val="0"/>
                <w:sz w:val="28"/>
                <w:szCs w:val="28"/>
              </w:rPr>
            </w:pPr>
            <w:r w:rsidRPr="00A6702B">
              <w:rPr>
                <w:rFonts w:ascii="標楷體" w:eastAsia="標楷體" w:hAnsi="標楷體" w:hint="eastAsia"/>
                <w:b/>
                <w:bCs/>
                <w:spacing w:val="48"/>
                <w:kern w:val="0"/>
                <w:sz w:val="28"/>
                <w:szCs w:val="28"/>
              </w:rPr>
              <w:t>8月</w:t>
            </w:r>
            <w:r w:rsidRPr="00A6702B">
              <w:rPr>
                <w:rFonts w:ascii="標楷體" w:eastAsia="標楷體" w:hAnsi="標楷體"/>
                <w:b/>
                <w:bCs/>
                <w:spacing w:val="48"/>
                <w:kern w:val="0"/>
                <w:sz w:val="28"/>
                <w:szCs w:val="28"/>
              </w:rPr>
              <w:t>10</w:t>
            </w:r>
            <w:r w:rsidRPr="00A6702B">
              <w:rPr>
                <w:rFonts w:ascii="標楷體" w:eastAsia="標楷體" w:hAnsi="標楷體" w:hint="eastAsia"/>
                <w:b/>
                <w:bCs/>
                <w:spacing w:val="48"/>
                <w:kern w:val="0"/>
                <w:sz w:val="28"/>
                <w:szCs w:val="28"/>
              </w:rPr>
              <w:t>日至8月1</w:t>
            </w:r>
            <w:r w:rsidRPr="00A6702B">
              <w:rPr>
                <w:rFonts w:ascii="標楷體" w:eastAsia="標楷體" w:hAnsi="標楷體"/>
                <w:b/>
                <w:bCs/>
                <w:spacing w:val="48"/>
                <w:kern w:val="0"/>
                <w:sz w:val="28"/>
                <w:szCs w:val="28"/>
              </w:rPr>
              <w:t>6</w:t>
            </w:r>
            <w:r w:rsidRPr="00A6702B">
              <w:rPr>
                <w:rFonts w:ascii="標楷體" w:eastAsia="標楷體" w:hAnsi="標楷體" w:hint="eastAsia"/>
                <w:b/>
                <w:bCs/>
                <w:spacing w:val="2"/>
                <w:kern w:val="0"/>
                <w:sz w:val="28"/>
                <w:szCs w:val="28"/>
              </w:rPr>
              <w:t>日</w:t>
            </w:r>
          </w:p>
        </w:tc>
      </w:tr>
      <w:tr w:rsidR="00B53B50" w:rsidRPr="001B6E4D" w14:paraId="54E5DB72" w14:textId="77777777" w:rsidTr="00D07077">
        <w:trPr>
          <w:trHeight w:val="567"/>
          <w:jc w:val="center"/>
        </w:trPr>
        <w:tc>
          <w:tcPr>
            <w:tcW w:w="4222" w:type="dxa"/>
            <w:tcMar>
              <w:left w:w="284" w:type="dxa"/>
              <w:right w:w="284" w:type="dxa"/>
            </w:tcMar>
            <w:tcFitText/>
            <w:vAlign w:val="center"/>
          </w:tcPr>
          <w:p w14:paraId="40622C33" w14:textId="77777777" w:rsidR="00B53B50" w:rsidRPr="001B6E4D" w:rsidRDefault="00B53B50" w:rsidP="003D1018">
            <w:pPr>
              <w:overflowPunct w:val="0"/>
              <w:spacing w:line="500" w:lineRule="exact"/>
              <w:ind w:leftChars="2" w:left="5"/>
              <w:jc w:val="center"/>
              <w:rPr>
                <w:rFonts w:ascii="標楷體" w:eastAsia="標楷體" w:hAnsi="標楷體"/>
                <w:b/>
                <w:bCs/>
                <w:spacing w:val="62"/>
                <w:kern w:val="0"/>
                <w:sz w:val="28"/>
                <w:szCs w:val="28"/>
              </w:rPr>
            </w:pPr>
            <w:r w:rsidRPr="00A6702B">
              <w:rPr>
                <w:rFonts w:ascii="標楷體" w:eastAsia="標楷體" w:hAnsi="標楷體" w:hint="eastAsia"/>
                <w:b/>
                <w:bCs/>
                <w:spacing w:val="51"/>
                <w:kern w:val="0"/>
                <w:sz w:val="28"/>
                <w:szCs w:val="28"/>
              </w:rPr>
              <w:t>8月1</w:t>
            </w:r>
            <w:r w:rsidRPr="00A6702B">
              <w:rPr>
                <w:rFonts w:ascii="標楷體" w:eastAsia="標楷體" w:hAnsi="標楷體"/>
                <w:b/>
                <w:bCs/>
                <w:spacing w:val="51"/>
                <w:kern w:val="0"/>
                <w:sz w:val="28"/>
                <w:szCs w:val="28"/>
              </w:rPr>
              <w:t>7</w:t>
            </w:r>
            <w:r w:rsidRPr="00A6702B">
              <w:rPr>
                <w:rFonts w:ascii="標楷體" w:eastAsia="標楷體" w:hAnsi="標楷體" w:hint="eastAsia"/>
                <w:b/>
                <w:bCs/>
                <w:spacing w:val="51"/>
                <w:kern w:val="0"/>
                <w:sz w:val="28"/>
                <w:szCs w:val="28"/>
              </w:rPr>
              <w:t>日至8月</w:t>
            </w:r>
            <w:r w:rsidRPr="00A6702B">
              <w:rPr>
                <w:rFonts w:ascii="標楷體" w:eastAsia="標楷體" w:hAnsi="標楷體"/>
                <w:b/>
                <w:bCs/>
                <w:spacing w:val="51"/>
                <w:kern w:val="0"/>
                <w:sz w:val="28"/>
                <w:szCs w:val="28"/>
              </w:rPr>
              <w:t>23</w:t>
            </w:r>
            <w:r w:rsidRPr="00A6702B">
              <w:rPr>
                <w:rFonts w:ascii="標楷體" w:eastAsia="標楷體" w:hAnsi="標楷體" w:hint="eastAsia"/>
                <w:b/>
                <w:bCs/>
                <w:spacing w:val="2"/>
                <w:kern w:val="0"/>
                <w:sz w:val="28"/>
                <w:szCs w:val="28"/>
              </w:rPr>
              <w:t>日</w:t>
            </w:r>
          </w:p>
        </w:tc>
        <w:tc>
          <w:tcPr>
            <w:tcW w:w="4170" w:type="dxa"/>
            <w:tcMar>
              <w:left w:w="284" w:type="dxa"/>
              <w:right w:w="284" w:type="dxa"/>
            </w:tcMar>
            <w:tcFitText/>
            <w:vAlign w:val="center"/>
          </w:tcPr>
          <w:p w14:paraId="114666E3" w14:textId="77777777" w:rsidR="00B53B50" w:rsidRPr="001B6E4D" w:rsidRDefault="00B53B50" w:rsidP="003D1018">
            <w:pPr>
              <w:overflowPunct w:val="0"/>
              <w:spacing w:line="500" w:lineRule="exact"/>
              <w:ind w:leftChars="2" w:left="5"/>
              <w:jc w:val="center"/>
              <w:rPr>
                <w:rFonts w:ascii="標楷體" w:eastAsia="標楷體" w:hAnsi="標楷體"/>
                <w:b/>
                <w:bCs/>
                <w:spacing w:val="48"/>
                <w:kern w:val="0"/>
                <w:sz w:val="28"/>
                <w:szCs w:val="28"/>
              </w:rPr>
            </w:pPr>
            <w:r w:rsidRPr="00A6702B">
              <w:rPr>
                <w:rFonts w:ascii="標楷體" w:eastAsia="標楷體" w:hAnsi="標楷體" w:hint="eastAsia"/>
                <w:b/>
                <w:bCs/>
                <w:spacing w:val="48"/>
                <w:kern w:val="0"/>
                <w:sz w:val="28"/>
                <w:szCs w:val="28"/>
              </w:rPr>
              <w:t>8月</w:t>
            </w:r>
            <w:r w:rsidRPr="00A6702B">
              <w:rPr>
                <w:rFonts w:ascii="標楷體" w:eastAsia="標楷體" w:hAnsi="標楷體"/>
                <w:b/>
                <w:bCs/>
                <w:spacing w:val="48"/>
                <w:kern w:val="0"/>
                <w:sz w:val="28"/>
                <w:szCs w:val="28"/>
              </w:rPr>
              <w:t>24</w:t>
            </w:r>
            <w:r w:rsidRPr="00A6702B">
              <w:rPr>
                <w:rFonts w:ascii="標楷體" w:eastAsia="標楷體" w:hAnsi="標楷體" w:hint="eastAsia"/>
                <w:b/>
                <w:bCs/>
                <w:spacing w:val="48"/>
                <w:kern w:val="0"/>
                <w:sz w:val="28"/>
                <w:szCs w:val="28"/>
              </w:rPr>
              <w:t>日至</w:t>
            </w:r>
            <w:r w:rsidRPr="00A6702B">
              <w:rPr>
                <w:rFonts w:ascii="標楷體" w:eastAsia="標楷體" w:hAnsi="標楷體"/>
                <w:b/>
                <w:bCs/>
                <w:spacing w:val="48"/>
                <w:kern w:val="0"/>
                <w:sz w:val="28"/>
                <w:szCs w:val="28"/>
              </w:rPr>
              <w:t>8</w:t>
            </w:r>
            <w:r w:rsidRPr="00A6702B">
              <w:rPr>
                <w:rFonts w:ascii="標楷體" w:eastAsia="標楷體" w:hAnsi="標楷體" w:hint="eastAsia"/>
                <w:b/>
                <w:bCs/>
                <w:spacing w:val="48"/>
                <w:kern w:val="0"/>
                <w:sz w:val="28"/>
                <w:szCs w:val="28"/>
              </w:rPr>
              <w:t>月</w:t>
            </w:r>
            <w:r w:rsidRPr="00A6702B">
              <w:rPr>
                <w:rFonts w:ascii="標楷體" w:eastAsia="標楷體" w:hAnsi="標楷體"/>
                <w:b/>
                <w:bCs/>
                <w:spacing w:val="48"/>
                <w:kern w:val="0"/>
                <w:sz w:val="28"/>
                <w:szCs w:val="28"/>
              </w:rPr>
              <w:t>30</w:t>
            </w:r>
            <w:r w:rsidRPr="00A6702B">
              <w:rPr>
                <w:rFonts w:ascii="標楷體" w:eastAsia="標楷體" w:hAnsi="標楷體" w:hint="eastAsia"/>
                <w:b/>
                <w:bCs/>
                <w:spacing w:val="2"/>
                <w:kern w:val="0"/>
                <w:sz w:val="28"/>
                <w:szCs w:val="28"/>
              </w:rPr>
              <w:t>日</w:t>
            </w:r>
          </w:p>
        </w:tc>
      </w:tr>
      <w:tr w:rsidR="00B53B50" w:rsidRPr="001B6E4D" w14:paraId="257F4B81" w14:textId="77777777" w:rsidTr="00D07077">
        <w:trPr>
          <w:trHeight w:val="567"/>
          <w:jc w:val="center"/>
        </w:trPr>
        <w:tc>
          <w:tcPr>
            <w:tcW w:w="4222" w:type="dxa"/>
            <w:tcMar>
              <w:left w:w="284" w:type="dxa"/>
              <w:right w:w="284" w:type="dxa"/>
            </w:tcMar>
          </w:tcPr>
          <w:p w14:paraId="11207B1C" w14:textId="77777777" w:rsidR="00B53B50" w:rsidRPr="001B6E4D" w:rsidRDefault="00B53B50" w:rsidP="003D1018">
            <w:pPr>
              <w:overflowPunct w:val="0"/>
              <w:spacing w:line="500" w:lineRule="exact"/>
              <w:ind w:leftChars="2" w:left="5"/>
              <w:rPr>
                <w:rFonts w:ascii="標楷體" w:eastAsia="標楷體" w:hAnsi="標楷體"/>
                <w:b/>
                <w:bCs/>
                <w:spacing w:val="51"/>
                <w:kern w:val="0"/>
                <w:sz w:val="28"/>
                <w:szCs w:val="28"/>
              </w:rPr>
            </w:pPr>
            <w:r w:rsidRPr="001B6E4D">
              <w:rPr>
                <w:rFonts w:ascii="標楷體" w:eastAsia="標楷體" w:hAnsi="標楷體"/>
                <w:b/>
                <w:bCs/>
                <w:spacing w:val="44"/>
                <w:kern w:val="0"/>
                <w:sz w:val="28"/>
                <w:szCs w:val="28"/>
              </w:rPr>
              <w:t>8月31日</w:t>
            </w:r>
          </w:p>
        </w:tc>
        <w:tc>
          <w:tcPr>
            <w:tcW w:w="4170" w:type="dxa"/>
            <w:tcMar>
              <w:left w:w="284" w:type="dxa"/>
              <w:right w:w="284" w:type="dxa"/>
            </w:tcMar>
          </w:tcPr>
          <w:p w14:paraId="261F9AB8" w14:textId="77777777" w:rsidR="00B53B50" w:rsidRPr="001B6E4D" w:rsidRDefault="00B53B50" w:rsidP="003D1018">
            <w:pPr>
              <w:overflowPunct w:val="0"/>
              <w:spacing w:line="500" w:lineRule="exact"/>
              <w:rPr>
                <w:rFonts w:ascii="標楷體" w:eastAsia="標楷體" w:hAnsi="標楷體"/>
                <w:b/>
                <w:bCs/>
                <w:spacing w:val="44"/>
                <w:kern w:val="0"/>
                <w:sz w:val="28"/>
                <w:szCs w:val="28"/>
              </w:rPr>
            </w:pPr>
          </w:p>
        </w:tc>
      </w:tr>
      <w:tr w:rsidR="00B53B50" w:rsidRPr="001B6E4D" w14:paraId="18E43345" w14:textId="77777777" w:rsidTr="00D07077">
        <w:trPr>
          <w:cantSplit/>
          <w:trHeight w:val="691"/>
          <w:jc w:val="center"/>
        </w:trPr>
        <w:tc>
          <w:tcPr>
            <w:tcW w:w="8392" w:type="dxa"/>
            <w:gridSpan w:val="2"/>
            <w:vAlign w:val="center"/>
          </w:tcPr>
          <w:p w14:paraId="1F80525B" w14:textId="77777777" w:rsidR="00B53B50" w:rsidRPr="001B6E4D" w:rsidRDefault="00B53B50" w:rsidP="003D1018">
            <w:pPr>
              <w:overflowPunct w:val="0"/>
              <w:spacing w:beforeLines="50" w:before="180" w:afterLines="50" w:after="180" w:line="360" w:lineRule="exact"/>
              <w:ind w:leftChars="2" w:left="5" w:rightChars="-21" w:right="-50"/>
              <w:jc w:val="center"/>
              <w:rPr>
                <w:rFonts w:ascii="標楷體" w:eastAsia="標楷體" w:hAnsi="標楷體"/>
                <w:b/>
                <w:bCs/>
                <w:sz w:val="28"/>
                <w:szCs w:val="28"/>
              </w:rPr>
            </w:pPr>
            <w:r w:rsidRPr="001B6E4D">
              <w:rPr>
                <w:rFonts w:ascii="標楷體" w:eastAsia="標楷體" w:hAnsi="標楷體"/>
                <w:b/>
                <w:bCs/>
                <w:sz w:val="28"/>
                <w:szCs w:val="28"/>
              </w:rPr>
              <w:t>附          記</w:t>
            </w:r>
          </w:p>
        </w:tc>
      </w:tr>
      <w:tr w:rsidR="00B53B50" w:rsidRPr="001B6E4D" w14:paraId="017E38F9" w14:textId="77777777" w:rsidTr="00D07077">
        <w:trPr>
          <w:cantSplit/>
          <w:trHeight w:val="1669"/>
          <w:jc w:val="center"/>
        </w:trPr>
        <w:tc>
          <w:tcPr>
            <w:tcW w:w="8392" w:type="dxa"/>
            <w:gridSpan w:val="2"/>
          </w:tcPr>
          <w:p w14:paraId="058F991D" w14:textId="77777777" w:rsidR="00B53B50" w:rsidRPr="001B6E4D" w:rsidRDefault="00B53B50" w:rsidP="003D1018">
            <w:pPr>
              <w:overflowPunct w:val="0"/>
              <w:spacing w:line="500" w:lineRule="exact"/>
              <w:ind w:leftChars="2" w:left="425" w:rightChars="-21" w:right="-50" w:hangingChars="150" w:hanging="420"/>
              <w:rPr>
                <w:rFonts w:ascii="標楷體" w:eastAsia="標楷體" w:hAnsi="標楷體"/>
                <w:b/>
                <w:sz w:val="28"/>
                <w:szCs w:val="28"/>
              </w:rPr>
            </w:pPr>
            <w:r w:rsidRPr="001B6E4D">
              <w:rPr>
                <w:rFonts w:ascii="標楷體" w:eastAsia="標楷體" w:hAnsi="標楷體"/>
                <w:b/>
                <w:sz w:val="28"/>
                <w:szCs w:val="28"/>
              </w:rPr>
              <w:t>1、輪值</w:t>
            </w:r>
            <w:proofErr w:type="gramStart"/>
            <w:r w:rsidRPr="001B6E4D">
              <w:rPr>
                <w:rFonts w:ascii="標楷體" w:eastAsia="標楷體" w:hAnsi="標楷體"/>
                <w:b/>
                <w:sz w:val="28"/>
                <w:szCs w:val="28"/>
              </w:rPr>
              <w:t>期間，</w:t>
            </w:r>
            <w:proofErr w:type="gramEnd"/>
            <w:r w:rsidRPr="001B6E4D">
              <w:rPr>
                <w:rFonts w:ascii="標楷體" w:eastAsia="標楷體" w:hAnsi="標楷體"/>
                <w:b/>
                <w:sz w:val="28"/>
                <w:szCs w:val="28"/>
              </w:rPr>
              <w:t>如委員會會議因故停開時，仍按本輪值表所排定日期輪值，不再更改。</w:t>
            </w:r>
          </w:p>
          <w:p w14:paraId="70F1A61A" w14:textId="77777777" w:rsidR="00B53B50" w:rsidRPr="001B6E4D" w:rsidRDefault="00B53B50" w:rsidP="003D1018">
            <w:pPr>
              <w:overflowPunct w:val="0"/>
              <w:spacing w:line="500" w:lineRule="exact"/>
              <w:ind w:leftChars="2" w:left="425" w:rightChars="-21" w:right="-50" w:hangingChars="150" w:hanging="420"/>
              <w:rPr>
                <w:rFonts w:ascii="標楷體" w:eastAsia="標楷體" w:hAnsi="標楷體"/>
                <w:b/>
                <w:bCs/>
                <w:sz w:val="28"/>
                <w:szCs w:val="28"/>
              </w:rPr>
            </w:pPr>
            <w:r w:rsidRPr="001B6E4D">
              <w:rPr>
                <w:rFonts w:ascii="標楷體" w:eastAsia="標楷體" w:hAnsi="標楷體"/>
                <w:b/>
                <w:sz w:val="28"/>
                <w:szCs w:val="28"/>
              </w:rPr>
              <w:t>2</w:t>
            </w:r>
            <w:r w:rsidRPr="001B6E4D">
              <w:rPr>
                <w:rFonts w:ascii="標楷體" w:eastAsia="標楷體" w:hAnsi="標楷體" w:hint="eastAsia"/>
                <w:b/>
                <w:sz w:val="28"/>
                <w:szCs w:val="28"/>
              </w:rPr>
              <w:t>、</w:t>
            </w:r>
            <w:r w:rsidRPr="001B6E4D">
              <w:rPr>
                <w:rFonts w:ascii="標楷體" w:eastAsia="標楷體" w:hAnsi="標楷體"/>
                <w:b/>
                <w:sz w:val="28"/>
                <w:szCs w:val="28"/>
              </w:rPr>
              <w:t>次</w:t>
            </w:r>
            <w:proofErr w:type="gramStart"/>
            <w:r w:rsidRPr="001B6E4D">
              <w:rPr>
                <w:rFonts w:ascii="標楷體" w:eastAsia="標楷體" w:hAnsi="標楷體"/>
                <w:b/>
                <w:sz w:val="28"/>
                <w:szCs w:val="28"/>
              </w:rPr>
              <w:t>週</w:t>
            </w:r>
            <w:proofErr w:type="gramEnd"/>
            <w:r w:rsidRPr="001B6E4D">
              <w:rPr>
                <w:rFonts w:ascii="標楷體" w:eastAsia="標楷體" w:hAnsi="標楷體"/>
                <w:b/>
                <w:sz w:val="28"/>
                <w:szCs w:val="28"/>
              </w:rPr>
              <w:t>議程由輪值召集委員於</w:t>
            </w:r>
            <w:r w:rsidRPr="001B6E4D">
              <w:rPr>
                <w:rFonts w:ascii="標楷體" w:eastAsia="標楷體" w:hAnsi="標楷體"/>
                <w:b/>
                <w:sz w:val="28"/>
                <w:szCs w:val="28"/>
                <w:u w:val="single"/>
              </w:rPr>
              <w:t>每週</w:t>
            </w:r>
            <w:proofErr w:type="gramStart"/>
            <w:r w:rsidRPr="001B6E4D">
              <w:rPr>
                <w:rFonts w:ascii="標楷體" w:eastAsia="標楷體" w:hAnsi="標楷體"/>
                <w:b/>
                <w:sz w:val="28"/>
                <w:szCs w:val="28"/>
                <w:u w:val="single"/>
              </w:rPr>
              <w:t>三</w:t>
            </w:r>
            <w:proofErr w:type="gramEnd"/>
            <w:r w:rsidRPr="001B6E4D">
              <w:rPr>
                <w:rFonts w:ascii="標楷體" w:eastAsia="標楷體" w:hAnsi="標楷體"/>
                <w:b/>
                <w:sz w:val="28"/>
                <w:szCs w:val="28"/>
                <w:u w:val="single"/>
              </w:rPr>
              <w:t>下午</w:t>
            </w:r>
            <w:r w:rsidRPr="001B6E4D">
              <w:rPr>
                <w:rFonts w:ascii="標楷體" w:eastAsia="標楷體" w:hAnsi="標楷體" w:hint="eastAsia"/>
                <w:b/>
                <w:sz w:val="28"/>
                <w:szCs w:val="28"/>
                <w:u w:val="single"/>
              </w:rPr>
              <w:t>5</w:t>
            </w:r>
            <w:r w:rsidRPr="001B6E4D">
              <w:rPr>
                <w:rFonts w:ascii="標楷體" w:eastAsia="標楷體" w:hAnsi="標楷體"/>
                <w:b/>
                <w:sz w:val="28"/>
                <w:szCs w:val="28"/>
                <w:u w:val="single"/>
              </w:rPr>
              <w:t>時前</w:t>
            </w:r>
            <w:r w:rsidRPr="001B6E4D">
              <w:rPr>
                <w:rFonts w:ascii="標楷體" w:eastAsia="標楷體" w:hAnsi="標楷體"/>
                <w:b/>
                <w:sz w:val="28"/>
                <w:szCs w:val="28"/>
              </w:rPr>
              <w:t>排定。</w:t>
            </w:r>
          </w:p>
        </w:tc>
      </w:tr>
    </w:tbl>
    <w:p w14:paraId="625C4FF1" w14:textId="77777777" w:rsidR="00B53B50" w:rsidRPr="001B6E4D" w:rsidRDefault="00B53B50" w:rsidP="003D1018">
      <w:pPr>
        <w:overflowPunct w:val="0"/>
        <w:spacing w:afterLines="50" w:after="180" w:line="500" w:lineRule="exact"/>
        <w:ind w:leftChars="2" w:left="5" w:rightChars="-21" w:right="-50"/>
        <w:jc w:val="center"/>
        <w:rPr>
          <w:rFonts w:ascii="標楷體" w:eastAsia="標楷體" w:hAnsi="標楷體"/>
          <w:b/>
          <w:bCs/>
          <w:sz w:val="28"/>
          <w:szCs w:val="28"/>
        </w:rPr>
      </w:pPr>
    </w:p>
    <w:p w14:paraId="0A73C631" w14:textId="77777777" w:rsidR="00B53B50" w:rsidRPr="001B6E4D" w:rsidRDefault="00B53B50" w:rsidP="003D1018">
      <w:pPr>
        <w:overflowPunct w:val="0"/>
        <w:spacing w:afterLines="50" w:after="180" w:line="500" w:lineRule="exact"/>
        <w:ind w:leftChars="2" w:left="5" w:rightChars="-21" w:right="-50"/>
        <w:jc w:val="right"/>
        <w:rPr>
          <w:rFonts w:ascii="標楷體" w:eastAsia="標楷體" w:hAnsi="標楷體"/>
          <w:sz w:val="28"/>
          <w:szCs w:val="28"/>
        </w:rPr>
      </w:pPr>
      <w:r w:rsidRPr="001B6E4D">
        <w:rPr>
          <w:rFonts w:ascii="標楷體" w:eastAsia="標楷體" w:hAnsi="標楷體"/>
          <w:b/>
          <w:bCs/>
          <w:sz w:val="28"/>
          <w:szCs w:val="28"/>
        </w:rPr>
        <w:br w:type="page"/>
      </w:r>
      <w:r w:rsidRPr="001B6E4D">
        <w:rPr>
          <w:rFonts w:ascii="標楷體" w:eastAsia="標楷體" w:hAnsi="標楷體"/>
          <w:sz w:val="28"/>
          <w:szCs w:val="28"/>
        </w:rPr>
        <w:lastRenderedPageBreak/>
        <w:t>（附件</w:t>
      </w:r>
      <w:r w:rsidRPr="001B6E4D">
        <w:rPr>
          <w:rFonts w:ascii="標楷體" w:eastAsia="標楷體" w:hAnsi="標楷體" w:hint="eastAsia"/>
          <w:sz w:val="28"/>
          <w:szCs w:val="28"/>
        </w:rPr>
        <w:t>3</w:t>
      </w:r>
      <w:r w:rsidRPr="001B6E4D">
        <w:rPr>
          <w:rFonts w:ascii="標楷體" w:eastAsia="標楷體" w:hAnsi="標楷體"/>
          <w:sz w:val="28"/>
          <w:szCs w:val="28"/>
        </w:rPr>
        <w:t>）</w:t>
      </w:r>
    </w:p>
    <w:p w14:paraId="16870B7D" w14:textId="77777777" w:rsidR="00B53B50" w:rsidRPr="001B6E4D" w:rsidRDefault="00B53B50" w:rsidP="003D1018">
      <w:pPr>
        <w:overflowPunct w:val="0"/>
        <w:snapToGrid w:val="0"/>
        <w:spacing w:beforeLines="50" w:before="180" w:line="100" w:lineRule="atLeast"/>
        <w:ind w:leftChars="-295" w:left="-282" w:rightChars="-21" w:right="-50" w:hangingChars="152" w:hanging="426"/>
        <w:jc w:val="center"/>
        <w:rPr>
          <w:rFonts w:ascii="標楷體" w:eastAsia="標楷體" w:hAnsi="標楷體"/>
          <w:b/>
          <w:sz w:val="28"/>
          <w:szCs w:val="28"/>
        </w:rPr>
      </w:pPr>
      <w:r w:rsidRPr="001B6E4D">
        <w:rPr>
          <w:rFonts w:ascii="標楷體" w:eastAsia="標楷體" w:hAnsi="標楷體" w:hint="eastAsia"/>
          <w:b/>
          <w:sz w:val="28"/>
          <w:szCs w:val="28"/>
        </w:rPr>
        <w:t xml:space="preserve">   </w:t>
      </w:r>
      <w:r w:rsidRPr="001B6E4D">
        <w:rPr>
          <w:rFonts w:ascii="標楷體" w:eastAsia="標楷體" w:hAnsi="標楷體"/>
          <w:b/>
          <w:sz w:val="28"/>
          <w:szCs w:val="28"/>
        </w:rPr>
        <w:t>第</w:t>
      </w:r>
      <w:r w:rsidRPr="001B6E4D">
        <w:rPr>
          <w:rFonts w:ascii="標楷體" w:eastAsia="標楷體" w:hAnsi="標楷體" w:hint="eastAsia"/>
          <w:b/>
          <w:sz w:val="28"/>
          <w:szCs w:val="28"/>
        </w:rPr>
        <w:t>11</w:t>
      </w:r>
      <w:r w:rsidRPr="001B6E4D">
        <w:rPr>
          <w:rFonts w:ascii="標楷體" w:eastAsia="標楷體" w:hAnsi="標楷體"/>
          <w:b/>
          <w:sz w:val="28"/>
          <w:szCs w:val="28"/>
        </w:rPr>
        <w:t>屆第</w:t>
      </w:r>
      <w:r w:rsidRPr="001B6E4D">
        <w:rPr>
          <w:rFonts w:ascii="標楷體" w:eastAsia="標楷體" w:hAnsi="標楷體" w:hint="eastAsia"/>
          <w:b/>
          <w:sz w:val="28"/>
          <w:szCs w:val="28"/>
        </w:rPr>
        <w:t>5</w:t>
      </w:r>
      <w:r w:rsidRPr="001B6E4D">
        <w:rPr>
          <w:rFonts w:ascii="標楷體" w:eastAsia="標楷體" w:hAnsi="標楷體"/>
          <w:b/>
          <w:sz w:val="28"/>
          <w:szCs w:val="28"/>
        </w:rPr>
        <w:t>會期司法及法制委員會召集委員主持分組審查預算分配表</w:t>
      </w:r>
    </w:p>
    <w:p w14:paraId="55D06B0A" w14:textId="77777777" w:rsidR="00B53B50" w:rsidRPr="001B6E4D" w:rsidRDefault="00B53B50" w:rsidP="003D1018">
      <w:pPr>
        <w:overflowPunct w:val="0"/>
        <w:spacing w:beforeLines="20" w:before="72" w:afterLines="50" w:after="180" w:line="400" w:lineRule="exact"/>
        <w:ind w:leftChars="-123" w:left="-15" w:hangingChars="100" w:hanging="280"/>
        <w:rPr>
          <w:rFonts w:ascii="標楷體" w:eastAsia="標楷體" w:hAnsi="標楷體"/>
          <w:b/>
          <w:sz w:val="28"/>
          <w:szCs w:val="28"/>
        </w:rPr>
      </w:pPr>
      <w:r w:rsidRPr="001B6E4D">
        <w:rPr>
          <w:rFonts w:ascii="標楷體" w:eastAsia="標楷體" w:hAnsi="標楷體"/>
          <w:b/>
          <w:sz w:val="28"/>
          <w:szCs w:val="28"/>
        </w:rPr>
        <w:t>一、公務預算</w:t>
      </w:r>
    </w:p>
    <w:tbl>
      <w:tblPr>
        <w:tblW w:w="90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74"/>
        <w:gridCol w:w="5009"/>
      </w:tblGrid>
      <w:tr w:rsidR="00B53B50" w:rsidRPr="001B6E4D" w14:paraId="11DDD155" w14:textId="77777777" w:rsidTr="00E72972">
        <w:trPr>
          <w:trHeight w:val="715"/>
          <w:jc w:val="center"/>
        </w:trPr>
        <w:tc>
          <w:tcPr>
            <w:tcW w:w="4074" w:type="dxa"/>
            <w:vAlign w:val="center"/>
          </w:tcPr>
          <w:p w14:paraId="37A7340D" w14:textId="77777777" w:rsidR="00B53B50" w:rsidRPr="001B6E4D" w:rsidRDefault="00B53B50" w:rsidP="003D1018">
            <w:pPr>
              <w:overflowPunct w:val="0"/>
              <w:spacing w:beforeLines="50" w:before="180" w:line="420" w:lineRule="exact"/>
              <w:jc w:val="center"/>
              <w:rPr>
                <w:rFonts w:ascii="標楷體" w:eastAsia="標楷體" w:hAnsi="標楷體"/>
                <w:sz w:val="28"/>
                <w:szCs w:val="28"/>
              </w:rPr>
            </w:pPr>
            <w:r w:rsidRPr="001B6E4D">
              <w:rPr>
                <w:rFonts w:ascii="標楷體" w:eastAsia="標楷體" w:hAnsi="標楷體" w:hint="eastAsia"/>
                <w:sz w:val="28"/>
                <w:szCs w:val="28"/>
              </w:rPr>
              <w:t>莊召集委員瑞雄</w:t>
            </w:r>
          </w:p>
        </w:tc>
        <w:tc>
          <w:tcPr>
            <w:tcW w:w="5009" w:type="dxa"/>
            <w:tcMar>
              <w:top w:w="28" w:type="dxa"/>
              <w:left w:w="57" w:type="dxa"/>
              <w:bottom w:w="28" w:type="dxa"/>
              <w:right w:w="57" w:type="dxa"/>
            </w:tcMar>
            <w:vAlign w:val="center"/>
          </w:tcPr>
          <w:p w14:paraId="2484B343" w14:textId="77777777" w:rsidR="00B53B50" w:rsidRPr="001B6E4D" w:rsidRDefault="00B53B50" w:rsidP="003D1018">
            <w:pPr>
              <w:kinsoku w:val="0"/>
              <w:overflowPunct w:val="0"/>
              <w:autoSpaceDE w:val="0"/>
              <w:autoSpaceDN w:val="0"/>
              <w:spacing w:line="42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sz w:val="28"/>
                <w:szCs w:val="28"/>
              </w:rPr>
              <w:t>1.</w:t>
            </w:r>
            <w:r w:rsidRPr="001B6E4D">
              <w:rPr>
                <w:rFonts w:ascii="標楷體" w:eastAsia="標楷體" w:hAnsi="標楷體"/>
                <w:b/>
                <w:sz w:val="28"/>
                <w:szCs w:val="28"/>
              </w:rPr>
              <w:t>總統府</w:t>
            </w:r>
            <w:r w:rsidRPr="001B6E4D">
              <w:rPr>
                <w:rFonts w:ascii="標楷體" w:eastAsia="標楷體" w:hAnsi="標楷體"/>
                <w:sz w:val="28"/>
                <w:szCs w:val="28"/>
              </w:rPr>
              <w:t>（總統府、國家安全會議、國史館及國史館臺灣文獻館）等主管收支部分</w:t>
            </w:r>
            <w:r w:rsidRPr="001B6E4D">
              <w:rPr>
                <w:rFonts w:ascii="標楷體" w:eastAsia="標楷體" w:hAnsi="標楷體" w:hint="eastAsia"/>
                <w:sz w:val="28"/>
                <w:szCs w:val="28"/>
              </w:rPr>
              <w:t>。</w:t>
            </w:r>
          </w:p>
        </w:tc>
      </w:tr>
      <w:tr w:rsidR="00B53B50" w:rsidRPr="001B6E4D" w14:paraId="5E1E9306" w14:textId="77777777" w:rsidTr="00E72972">
        <w:trPr>
          <w:trHeight w:val="715"/>
          <w:jc w:val="center"/>
        </w:trPr>
        <w:tc>
          <w:tcPr>
            <w:tcW w:w="4074" w:type="dxa"/>
            <w:vAlign w:val="center"/>
          </w:tcPr>
          <w:p w14:paraId="05B46201" w14:textId="77777777" w:rsidR="00B53B50" w:rsidRPr="001B6E4D" w:rsidRDefault="00B53B50" w:rsidP="003D1018">
            <w:pPr>
              <w:overflowPunct w:val="0"/>
              <w:spacing w:beforeLines="50" w:before="180" w:line="420" w:lineRule="exact"/>
              <w:jc w:val="center"/>
              <w:rPr>
                <w:rFonts w:ascii="標楷體" w:eastAsia="標楷體" w:hAnsi="標楷體"/>
                <w:sz w:val="28"/>
                <w:szCs w:val="28"/>
              </w:rPr>
            </w:pPr>
            <w:r w:rsidRPr="001B6E4D">
              <w:rPr>
                <w:rFonts w:ascii="標楷體" w:eastAsia="標楷體" w:hAnsi="標楷體" w:hint="eastAsia"/>
                <w:sz w:val="28"/>
                <w:szCs w:val="28"/>
              </w:rPr>
              <w:t>翁召集委員曉玲</w:t>
            </w:r>
          </w:p>
        </w:tc>
        <w:tc>
          <w:tcPr>
            <w:tcW w:w="5009" w:type="dxa"/>
            <w:tcMar>
              <w:top w:w="28" w:type="dxa"/>
              <w:left w:w="57" w:type="dxa"/>
              <w:bottom w:w="28" w:type="dxa"/>
              <w:right w:w="57" w:type="dxa"/>
            </w:tcMar>
            <w:vAlign w:val="center"/>
          </w:tcPr>
          <w:p w14:paraId="742075B6" w14:textId="77777777" w:rsidR="00B53B50" w:rsidRPr="001B6E4D" w:rsidRDefault="00B53B50" w:rsidP="003D1018">
            <w:pPr>
              <w:kinsoku w:val="0"/>
              <w:overflowPunct w:val="0"/>
              <w:autoSpaceDE w:val="0"/>
              <w:autoSpaceDN w:val="0"/>
              <w:spacing w:line="42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hint="eastAsia"/>
                <w:sz w:val="28"/>
                <w:szCs w:val="28"/>
              </w:rPr>
              <w:t>2</w:t>
            </w:r>
            <w:r w:rsidRPr="001B6E4D">
              <w:rPr>
                <w:rFonts w:ascii="標楷體" w:eastAsia="標楷體" w:hAnsi="標楷體"/>
                <w:sz w:val="28"/>
                <w:szCs w:val="28"/>
              </w:rPr>
              <w:t>.</w:t>
            </w:r>
            <w:r w:rsidRPr="001B6E4D">
              <w:rPr>
                <w:rFonts w:ascii="標楷體" w:eastAsia="標楷體" w:hAnsi="標楷體"/>
                <w:b/>
                <w:sz w:val="28"/>
                <w:szCs w:val="28"/>
              </w:rPr>
              <w:t>法務部</w:t>
            </w:r>
            <w:r w:rsidRPr="001B6E4D">
              <w:rPr>
                <w:rFonts w:ascii="標楷體" w:eastAsia="標楷體" w:hAnsi="標楷體"/>
                <w:sz w:val="28"/>
                <w:szCs w:val="28"/>
              </w:rPr>
              <w:t>、司法官學院、法醫研究所、廉政署、矯正署及所屬、行政執行署及所屬、調查局、最高檢察署、高等檢察署等主管收支部分。</w:t>
            </w:r>
          </w:p>
          <w:p w14:paraId="1C50AD8C" w14:textId="77777777" w:rsidR="00B53B50" w:rsidRPr="001B6E4D" w:rsidRDefault="00B53B50" w:rsidP="003D1018">
            <w:pPr>
              <w:overflowPunct w:val="0"/>
              <w:spacing w:line="420" w:lineRule="exact"/>
              <w:ind w:leftChars="109" w:left="264" w:hanging="2"/>
              <w:jc w:val="both"/>
              <w:rPr>
                <w:rFonts w:ascii="標楷體" w:eastAsia="標楷體" w:hAnsi="標楷體"/>
                <w:sz w:val="28"/>
                <w:szCs w:val="28"/>
              </w:rPr>
            </w:pPr>
            <w:r w:rsidRPr="001B6E4D">
              <w:rPr>
                <w:rFonts w:ascii="標楷體" w:eastAsia="標楷體" w:hAnsi="標楷體"/>
                <w:sz w:val="28"/>
                <w:szCs w:val="28"/>
              </w:rPr>
              <w:t>各高分檢</w:t>
            </w:r>
            <w:r w:rsidRPr="001B6E4D">
              <w:rPr>
                <w:rFonts w:ascii="標楷體" w:eastAsia="標楷體" w:hAnsi="標楷體" w:hint="eastAsia"/>
                <w:sz w:val="28"/>
                <w:szCs w:val="28"/>
              </w:rPr>
              <w:t>署</w:t>
            </w:r>
            <w:r w:rsidRPr="001B6E4D">
              <w:rPr>
                <w:rFonts w:ascii="標楷體" w:eastAsia="標楷體" w:hAnsi="標楷體"/>
                <w:sz w:val="28"/>
                <w:szCs w:val="28"/>
              </w:rPr>
              <w:t>及各地檢署等主管收支部分。</w:t>
            </w:r>
          </w:p>
        </w:tc>
      </w:tr>
      <w:tr w:rsidR="00B53B50" w:rsidRPr="001B6E4D" w14:paraId="1CE3EFEA" w14:textId="77777777" w:rsidTr="00E72972">
        <w:trPr>
          <w:trHeight w:val="715"/>
          <w:jc w:val="center"/>
        </w:trPr>
        <w:tc>
          <w:tcPr>
            <w:tcW w:w="4074" w:type="dxa"/>
            <w:vAlign w:val="center"/>
          </w:tcPr>
          <w:p w14:paraId="55FB2BBD" w14:textId="77777777" w:rsidR="00B53B50" w:rsidRPr="001B6E4D" w:rsidRDefault="00B53B50" w:rsidP="003D1018">
            <w:pPr>
              <w:overflowPunct w:val="0"/>
              <w:spacing w:beforeLines="50" w:before="180" w:line="420" w:lineRule="exact"/>
              <w:jc w:val="center"/>
              <w:rPr>
                <w:rFonts w:ascii="標楷體" w:eastAsia="標楷體" w:hAnsi="標楷體"/>
                <w:sz w:val="28"/>
                <w:szCs w:val="28"/>
              </w:rPr>
            </w:pPr>
            <w:r w:rsidRPr="001B6E4D">
              <w:rPr>
                <w:rFonts w:ascii="標楷體" w:eastAsia="標楷體" w:hAnsi="標楷體" w:hint="eastAsia"/>
                <w:sz w:val="28"/>
                <w:szCs w:val="28"/>
              </w:rPr>
              <w:t>莊召集委員瑞雄</w:t>
            </w:r>
          </w:p>
        </w:tc>
        <w:tc>
          <w:tcPr>
            <w:tcW w:w="5009" w:type="dxa"/>
            <w:tcMar>
              <w:top w:w="28" w:type="dxa"/>
              <w:left w:w="57" w:type="dxa"/>
              <w:bottom w:w="28" w:type="dxa"/>
              <w:right w:w="57" w:type="dxa"/>
            </w:tcMar>
            <w:vAlign w:val="center"/>
          </w:tcPr>
          <w:p w14:paraId="1FC9D458" w14:textId="77777777" w:rsidR="00B53B50" w:rsidRPr="001B6E4D" w:rsidRDefault="00B53B50" w:rsidP="003D1018">
            <w:pPr>
              <w:kinsoku w:val="0"/>
              <w:overflowPunct w:val="0"/>
              <w:autoSpaceDE w:val="0"/>
              <w:autoSpaceDN w:val="0"/>
              <w:spacing w:line="42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hint="eastAsia"/>
                <w:sz w:val="28"/>
                <w:szCs w:val="28"/>
              </w:rPr>
              <w:t>3</w:t>
            </w:r>
            <w:r w:rsidRPr="001B6E4D">
              <w:rPr>
                <w:rFonts w:ascii="標楷體" w:eastAsia="標楷體" w:hAnsi="標楷體"/>
                <w:sz w:val="28"/>
                <w:szCs w:val="28"/>
              </w:rPr>
              <w:t>.</w:t>
            </w:r>
            <w:r w:rsidRPr="001B6E4D">
              <w:rPr>
                <w:rFonts w:ascii="標楷體" w:eastAsia="標楷體" w:hAnsi="標楷體"/>
                <w:b/>
                <w:sz w:val="28"/>
                <w:szCs w:val="28"/>
              </w:rPr>
              <w:t>行政院人事行政總處</w:t>
            </w:r>
            <w:r w:rsidRPr="001B6E4D">
              <w:rPr>
                <w:rFonts w:ascii="標楷體" w:eastAsia="標楷體" w:hAnsi="標楷體"/>
                <w:sz w:val="28"/>
                <w:szCs w:val="28"/>
              </w:rPr>
              <w:t>（行政院人事行政總處、公務人力發展</w:t>
            </w:r>
            <w:r w:rsidRPr="001B6E4D">
              <w:rPr>
                <w:rFonts w:ascii="標楷體" w:eastAsia="標楷體" w:hAnsi="標楷體" w:hint="eastAsia"/>
                <w:sz w:val="28"/>
                <w:szCs w:val="28"/>
              </w:rPr>
              <w:t>學院</w:t>
            </w:r>
            <w:r w:rsidRPr="001B6E4D">
              <w:rPr>
                <w:rFonts w:ascii="標楷體" w:eastAsia="標楷體" w:hAnsi="標楷體"/>
                <w:sz w:val="28"/>
                <w:szCs w:val="28"/>
              </w:rPr>
              <w:t>）等主管收支部分</w:t>
            </w:r>
            <w:r w:rsidRPr="001B6E4D">
              <w:rPr>
                <w:rFonts w:ascii="標楷體" w:eastAsia="標楷體" w:hAnsi="標楷體" w:hint="eastAsia"/>
                <w:sz w:val="28"/>
                <w:szCs w:val="28"/>
              </w:rPr>
              <w:t>。</w:t>
            </w:r>
          </w:p>
        </w:tc>
      </w:tr>
      <w:tr w:rsidR="00B53B50" w:rsidRPr="001B6E4D" w14:paraId="031737E5" w14:textId="77777777" w:rsidTr="00E72972">
        <w:trPr>
          <w:trHeight w:val="552"/>
          <w:jc w:val="center"/>
        </w:trPr>
        <w:tc>
          <w:tcPr>
            <w:tcW w:w="4074" w:type="dxa"/>
            <w:vAlign w:val="center"/>
          </w:tcPr>
          <w:p w14:paraId="6F77A378" w14:textId="77777777" w:rsidR="00B53B50" w:rsidRPr="001B6E4D" w:rsidRDefault="00B53B50" w:rsidP="003D1018">
            <w:pPr>
              <w:overflowPunct w:val="0"/>
              <w:adjustRightInd w:val="0"/>
              <w:snapToGrid w:val="0"/>
              <w:spacing w:line="420" w:lineRule="exact"/>
              <w:jc w:val="center"/>
              <w:rPr>
                <w:rFonts w:ascii="標楷體" w:eastAsia="標楷體" w:hAnsi="標楷體"/>
                <w:sz w:val="28"/>
                <w:szCs w:val="28"/>
              </w:rPr>
            </w:pPr>
            <w:r w:rsidRPr="001B6E4D">
              <w:rPr>
                <w:rFonts w:ascii="標楷體" w:eastAsia="標楷體" w:hAnsi="標楷體" w:hint="eastAsia"/>
                <w:sz w:val="28"/>
                <w:szCs w:val="28"/>
              </w:rPr>
              <w:t>翁召集委員曉玲</w:t>
            </w:r>
          </w:p>
        </w:tc>
        <w:tc>
          <w:tcPr>
            <w:tcW w:w="5009" w:type="dxa"/>
            <w:tcMar>
              <w:top w:w="28" w:type="dxa"/>
              <w:left w:w="57" w:type="dxa"/>
              <w:bottom w:w="28" w:type="dxa"/>
              <w:right w:w="57" w:type="dxa"/>
            </w:tcMar>
            <w:vAlign w:val="center"/>
          </w:tcPr>
          <w:p w14:paraId="5BC72D06" w14:textId="77777777" w:rsidR="00B53B50" w:rsidRPr="001B6E4D" w:rsidRDefault="00B53B50" w:rsidP="003D1018">
            <w:pPr>
              <w:kinsoku w:val="0"/>
              <w:overflowPunct w:val="0"/>
              <w:autoSpaceDE w:val="0"/>
              <w:autoSpaceDN w:val="0"/>
              <w:adjustRightInd w:val="0"/>
              <w:snapToGrid w:val="0"/>
              <w:spacing w:line="42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sz w:val="28"/>
                <w:szCs w:val="28"/>
              </w:rPr>
              <w:t>4.</w:t>
            </w:r>
            <w:r w:rsidRPr="001B6E4D">
              <w:rPr>
                <w:rFonts w:ascii="標楷體" w:eastAsia="標楷體" w:hAnsi="標楷體"/>
                <w:b/>
                <w:sz w:val="28"/>
                <w:szCs w:val="28"/>
              </w:rPr>
              <w:t>立法院</w:t>
            </w:r>
            <w:r w:rsidRPr="001B6E4D">
              <w:rPr>
                <w:rFonts w:ascii="標楷體" w:eastAsia="標楷體" w:hAnsi="標楷體"/>
                <w:sz w:val="28"/>
                <w:szCs w:val="28"/>
              </w:rPr>
              <w:t>主管收支部分。</w:t>
            </w:r>
          </w:p>
        </w:tc>
      </w:tr>
      <w:tr w:rsidR="00B53B50" w:rsidRPr="001B6E4D" w14:paraId="39887485" w14:textId="77777777" w:rsidTr="00E72972">
        <w:trPr>
          <w:trHeight w:val="715"/>
          <w:jc w:val="center"/>
        </w:trPr>
        <w:tc>
          <w:tcPr>
            <w:tcW w:w="4074" w:type="dxa"/>
            <w:vAlign w:val="center"/>
          </w:tcPr>
          <w:p w14:paraId="2CC7F135" w14:textId="77777777" w:rsidR="00B53B50" w:rsidRPr="001B6E4D" w:rsidRDefault="00B53B50" w:rsidP="003D1018">
            <w:pPr>
              <w:overflowPunct w:val="0"/>
              <w:spacing w:beforeLines="50" w:before="180" w:line="420" w:lineRule="exact"/>
              <w:ind w:leftChars="-7" w:hangingChars="6" w:hanging="17"/>
              <w:jc w:val="center"/>
              <w:rPr>
                <w:rFonts w:ascii="標楷體" w:eastAsia="標楷體" w:hAnsi="標楷體"/>
                <w:sz w:val="28"/>
                <w:szCs w:val="28"/>
              </w:rPr>
            </w:pPr>
            <w:r w:rsidRPr="001B6E4D">
              <w:rPr>
                <w:rFonts w:ascii="標楷體" w:eastAsia="標楷體" w:hAnsi="標楷體" w:hint="eastAsia"/>
                <w:sz w:val="28"/>
                <w:szCs w:val="28"/>
              </w:rPr>
              <w:t>莊召集委員瑞雄</w:t>
            </w:r>
          </w:p>
        </w:tc>
        <w:tc>
          <w:tcPr>
            <w:tcW w:w="5009" w:type="dxa"/>
            <w:tcMar>
              <w:top w:w="28" w:type="dxa"/>
              <w:left w:w="57" w:type="dxa"/>
              <w:bottom w:w="28" w:type="dxa"/>
              <w:right w:w="57" w:type="dxa"/>
            </w:tcMar>
            <w:vAlign w:val="center"/>
          </w:tcPr>
          <w:p w14:paraId="0D7D4DC2" w14:textId="77777777" w:rsidR="00B53B50" w:rsidRPr="001B6E4D" w:rsidRDefault="00B53B50" w:rsidP="003D1018">
            <w:pPr>
              <w:kinsoku w:val="0"/>
              <w:overflowPunct w:val="0"/>
              <w:autoSpaceDE w:val="0"/>
              <w:autoSpaceDN w:val="0"/>
              <w:spacing w:line="42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sz w:val="28"/>
                <w:szCs w:val="28"/>
              </w:rPr>
              <w:t>5.</w:t>
            </w:r>
            <w:r w:rsidRPr="001B6E4D">
              <w:rPr>
                <w:rFonts w:ascii="標楷體" w:eastAsia="標楷體" w:hAnsi="標楷體"/>
                <w:b/>
                <w:sz w:val="28"/>
                <w:szCs w:val="28"/>
              </w:rPr>
              <w:t>司法院</w:t>
            </w:r>
            <w:r w:rsidRPr="001B6E4D">
              <w:rPr>
                <w:rFonts w:ascii="標楷體" w:eastAsia="標楷體" w:hAnsi="標楷體"/>
                <w:sz w:val="28"/>
                <w:szCs w:val="28"/>
              </w:rPr>
              <w:t>、最高法院、最高行政法院、懲</w:t>
            </w:r>
            <w:r w:rsidRPr="001B6E4D">
              <w:rPr>
                <w:rFonts w:ascii="標楷體" w:eastAsia="標楷體" w:hAnsi="標楷體" w:hint="eastAsia"/>
                <w:sz w:val="28"/>
                <w:szCs w:val="28"/>
              </w:rPr>
              <w:t>戒法院</w:t>
            </w:r>
            <w:r w:rsidRPr="001B6E4D">
              <w:rPr>
                <w:rFonts w:ascii="標楷體" w:eastAsia="標楷體" w:hAnsi="標楷體"/>
                <w:sz w:val="28"/>
                <w:szCs w:val="28"/>
              </w:rPr>
              <w:t>、法官學院、智</w:t>
            </w:r>
            <w:r w:rsidRPr="001B6E4D">
              <w:rPr>
                <w:rFonts w:ascii="標楷體" w:eastAsia="標楷體" w:hAnsi="標楷體" w:hint="eastAsia"/>
                <w:sz w:val="28"/>
                <w:szCs w:val="28"/>
              </w:rPr>
              <w:t>慧財產及商業法院</w:t>
            </w:r>
            <w:r w:rsidRPr="001B6E4D">
              <w:rPr>
                <w:rFonts w:ascii="標楷體" w:eastAsia="標楷體" w:hAnsi="標楷體"/>
                <w:sz w:val="28"/>
                <w:szCs w:val="28"/>
              </w:rPr>
              <w:t>等主管收支部分。</w:t>
            </w:r>
          </w:p>
          <w:p w14:paraId="1B1CCB3E" w14:textId="77777777" w:rsidR="00B53B50" w:rsidRPr="001B6E4D" w:rsidRDefault="00B53B50" w:rsidP="003D1018">
            <w:pPr>
              <w:overflowPunct w:val="0"/>
              <w:spacing w:line="420" w:lineRule="exact"/>
              <w:ind w:leftChars="109" w:left="264" w:hanging="2"/>
              <w:jc w:val="both"/>
              <w:rPr>
                <w:rFonts w:ascii="標楷體" w:eastAsia="標楷體" w:hAnsi="標楷體"/>
                <w:spacing w:val="-8"/>
                <w:sz w:val="28"/>
                <w:szCs w:val="28"/>
              </w:rPr>
            </w:pPr>
            <w:r w:rsidRPr="001B6E4D">
              <w:rPr>
                <w:rFonts w:ascii="標楷體" w:eastAsia="標楷體" w:hAnsi="標楷體"/>
                <w:spacing w:val="-8"/>
                <w:sz w:val="28"/>
                <w:szCs w:val="28"/>
              </w:rPr>
              <w:t>高等法院及各高等行政法院等主管收支部分。</w:t>
            </w:r>
          </w:p>
          <w:p w14:paraId="3AADD31B" w14:textId="77777777" w:rsidR="00B53B50" w:rsidRPr="001B6E4D" w:rsidRDefault="00B53B50" w:rsidP="003D1018">
            <w:pPr>
              <w:overflowPunct w:val="0"/>
              <w:spacing w:line="420" w:lineRule="exact"/>
              <w:ind w:leftChars="109" w:left="264" w:hanging="2"/>
              <w:jc w:val="both"/>
              <w:rPr>
                <w:rFonts w:ascii="標楷體" w:eastAsia="標楷體" w:hAnsi="標楷體"/>
                <w:sz w:val="28"/>
                <w:szCs w:val="28"/>
              </w:rPr>
            </w:pPr>
            <w:r w:rsidRPr="001B6E4D">
              <w:rPr>
                <w:rFonts w:ascii="標楷體" w:eastAsia="標楷體" w:hAnsi="標楷體"/>
                <w:sz w:val="28"/>
                <w:szCs w:val="28"/>
              </w:rPr>
              <w:t>各高分院、各地方法院、臺灣高雄少年及家事法院等主管收支部分。</w:t>
            </w:r>
          </w:p>
        </w:tc>
      </w:tr>
      <w:tr w:rsidR="00B53B50" w:rsidRPr="001B6E4D" w14:paraId="328EC98D" w14:textId="77777777" w:rsidTr="00E72972">
        <w:trPr>
          <w:trHeight w:val="297"/>
          <w:jc w:val="center"/>
        </w:trPr>
        <w:tc>
          <w:tcPr>
            <w:tcW w:w="4074" w:type="dxa"/>
            <w:vAlign w:val="center"/>
          </w:tcPr>
          <w:p w14:paraId="42EAF79F" w14:textId="77777777" w:rsidR="00B53B50" w:rsidRPr="001B6E4D" w:rsidRDefault="00B53B50" w:rsidP="003D1018">
            <w:pPr>
              <w:overflowPunct w:val="0"/>
              <w:spacing w:beforeLines="50" w:before="180" w:line="420" w:lineRule="exact"/>
              <w:jc w:val="center"/>
              <w:rPr>
                <w:rFonts w:ascii="標楷體" w:eastAsia="標楷體" w:hAnsi="標楷體"/>
                <w:sz w:val="28"/>
                <w:szCs w:val="28"/>
              </w:rPr>
            </w:pPr>
            <w:r w:rsidRPr="001B6E4D">
              <w:rPr>
                <w:rFonts w:ascii="標楷體" w:eastAsia="標楷體" w:hAnsi="標楷體" w:hint="eastAsia"/>
                <w:sz w:val="28"/>
                <w:szCs w:val="28"/>
              </w:rPr>
              <w:t>莊召集委員瑞雄</w:t>
            </w:r>
          </w:p>
        </w:tc>
        <w:tc>
          <w:tcPr>
            <w:tcW w:w="5009" w:type="dxa"/>
            <w:tcMar>
              <w:top w:w="28" w:type="dxa"/>
              <w:left w:w="57" w:type="dxa"/>
              <w:bottom w:w="28" w:type="dxa"/>
              <w:right w:w="57" w:type="dxa"/>
            </w:tcMar>
            <w:vAlign w:val="center"/>
          </w:tcPr>
          <w:p w14:paraId="4B2A586A" w14:textId="77777777" w:rsidR="00B53B50" w:rsidRPr="001B6E4D" w:rsidRDefault="00B53B50" w:rsidP="003D1018">
            <w:pPr>
              <w:kinsoku w:val="0"/>
              <w:overflowPunct w:val="0"/>
              <w:autoSpaceDE w:val="0"/>
              <w:autoSpaceDN w:val="0"/>
              <w:spacing w:line="42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sz w:val="28"/>
                <w:szCs w:val="28"/>
              </w:rPr>
              <w:t>6.</w:t>
            </w:r>
            <w:r w:rsidRPr="001B6E4D">
              <w:rPr>
                <w:rFonts w:ascii="標楷體" w:eastAsia="標楷體" w:hAnsi="標楷體"/>
                <w:b/>
                <w:sz w:val="28"/>
                <w:szCs w:val="28"/>
              </w:rPr>
              <w:t>考試院</w:t>
            </w:r>
            <w:r w:rsidRPr="001B6E4D">
              <w:rPr>
                <w:rFonts w:ascii="標楷體" w:eastAsia="標楷體" w:hAnsi="標楷體"/>
                <w:sz w:val="28"/>
                <w:szCs w:val="28"/>
              </w:rPr>
              <w:t>、考選部、銓敘部、公務人員保障暨培訓委員會、國家文官學院及所屬</w:t>
            </w:r>
            <w:r w:rsidRPr="001B6E4D">
              <w:rPr>
                <w:rFonts w:ascii="標楷體" w:eastAsia="標楷體" w:hAnsi="標楷體" w:hint="eastAsia"/>
                <w:sz w:val="28"/>
                <w:szCs w:val="28"/>
              </w:rPr>
              <w:t>、</w:t>
            </w:r>
            <w:r w:rsidRPr="001B6E4D">
              <w:rPr>
                <w:rFonts w:ascii="標楷體" w:eastAsia="標楷體" w:hAnsi="標楷體"/>
                <w:sz w:val="28"/>
                <w:szCs w:val="28"/>
              </w:rPr>
              <w:t>公務人員退休撫</w:t>
            </w:r>
            <w:proofErr w:type="gramStart"/>
            <w:r w:rsidRPr="001B6E4D">
              <w:rPr>
                <w:rFonts w:ascii="標楷體" w:eastAsia="標楷體" w:hAnsi="標楷體"/>
                <w:sz w:val="28"/>
                <w:szCs w:val="28"/>
              </w:rPr>
              <w:t>卹</w:t>
            </w:r>
            <w:proofErr w:type="gramEnd"/>
            <w:r w:rsidRPr="001B6E4D">
              <w:rPr>
                <w:rFonts w:ascii="標楷體" w:eastAsia="標楷體" w:hAnsi="標楷體"/>
                <w:sz w:val="28"/>
                <w:szCs w:val="28"/>
              </w:rPr>
              <w:t>基金管理</w:t>
            </w:r>
            <w:r w:rsidRPr="001B6E4D">
              <w:rPr>
                <w:rFonts w:ascii="標楷體" w:eastAsia="標楷體" w:hAnsi="標楷體" w:hint="eastAsia"/>
                <w:sz w:val="28"/>
                <w:szCs w:val="28"/>
              </w:rPr>
              <w:t>局</w:t>
            </w:r>
            <w:r w:rsidRPr="001B6E4D">
              <w:rPr>
                <w:rFonts w:ascii="標楷體" w:eastAsia="標楷體" w:hAnsi="標楷體"/>
                <w:sz w:val="28"/>
                <w:szCs w:val="28"/>
              </w:rPr>
              <w:t>等主管收支部分。</w:t>
            </w:r>
          </w:p>
        </w:tc>
      </w:tr>
      <w:tr w:rsidR="00B53B50" w:rsidRPr="001B6E4D" w14:paraId="4693F2B9" w14:textId="77777777" w:rsidTr="00E72972">
        <w:trPr>
          <w:trHeight w:val="495"/>
          <w:jc w:val="center"/>
        </w:trPr>
        <w:tc>
          <w:tcPr>
            <w:tcW w:w="4074" w:type="dxa"/>
            <w:vAlign w:val="center"/>
          </w:tcPr>
          <w:p w14:paraId="2AD70768" w14:textId="77777777" w:rsidR="00B53B50" w:rsidRPr="001B6E4D" w:rsidRDefault="00B53B50" w:rsidP="003D1018">
            <w:pPr>
              <w:overflowPunct w:val="0"/>
              <w:spacing w:line="420" w:lineRule="exact"/>
              <w:jc w:val="center"/>
              <w:rPr>
                <w:rFonts w:ascii="標楷體" w:eastAsia="標楷體" w:hAnsi="標楷體"/>
                <w:sz w:val="28"/>
                <w:szCs w:val="28"/>
              </w:rPr>
            </w:pPr>
            <w:r w:rsidRPr="001B6E4D">
              <w:rPr>
                <w:rFonts w:ascii="標楷體" w:eastAsia="標楷體" w:hAnsi="標楷體" w:hint="eastAsia"/>
                <w:sz w:val="28"/>
                <w:szCs w:val="28"/>
              </w:rPr>
              <w:t>翁召集委員曉玲</w:t>
            </w:r>
          </w:p>
        </w:tc>
        <w:tc>
          <w:tcPr>
            <w:tcW w:w="5009" w:type="dxa"/>
            <w:tcMar>
              <w:top w:w="28" w:type="dxa"/>
              <w:left w:w="57" w:type="dxa"/>
              <w:bottom w:w="28" w:type="dxa"/>
              <w:right w:w="57" w:type="dxa"/>
            </w:tcMar>
            <w:vAlign w:val="center"/>
          </w:tcPr>
          <w:p w14:paraId="1643EAD0" w14:textId="77777777" w:rsidR="00B53B50" w:rsidRPr="001B6E4D" w:rsidRDefault="00B53B50" w:rsidP="003D1018">
            <w:pPr>
              <w:kinsoku w:val="0"/>
              <w:overflowPunct w:val="0"/>
              <w:autoSpaceDE w:val="0"/>
              <w:autoSpaceDN w:val="0"/>
              <w:spacing w:line="42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kern w:val="16"/>
                <w:sz w:val="28"/>
                <w:szCs w:val="28"/>
              </w:rPr>
              <w:t>7.</w:t>
            </w:r>
            <w:r w:rsidRPr="001B6E4D">
              <w:rPr>
                <w:rFonts w:ascii="標楷體" w:eastAsia="標楷體" w:hAnsi="標楷體"/>
                <w:b/>
                <w:sz w:val="28"/>
                <w:szCs w:val="28"/>
              </w:rPr>
              <w:t>監察院</w:t>
            </w:r>
            <w:r w:rsidRPr="001B6E4D">
              <w:rPr>
                <w:rFonts w:ascii="標楷體" w:eastAsia="標楷體" w:hAnsi="標楷體"/>
                <w:sz w:val="28"/>
                <w:szCs w:val="28"/>
              </w:rPr>
              <w:t>主管收支部分。</w:t>
            </w:r>
          </w:p>
        </w:tc>
      </w:tr>
    </w:tbl>
    <w:p w14:paraId="34D36FC9" w14:textId="73C2EA68" w:rsidR="00B53B50" w:rsidRPr="001B6E4D" w:rsidRDefault="00B53B50" w:rsidP="003D1018">
      <w:pPr>
        <w:overflowPunct w:val="0"/>
        <w:spacing w:beforeLines="50" w:before="180" w:afterLines="50" w:after="180" w:line="400" w:lineRule="exact"/>
        <w:ind w:leftChars="-123" w:left="-15" w:hangingChars="100" w:hanging="280"/>
        <w:rPr>
          <w:rFonts w:ascii="標楷體" w:eastAsia="標楷體" w:hAnsi="標楷體"/>
          <w:sz w:val="28"/>
          <w:szCs w:val="28"/>
        </w:rPr>
      </w:pPr>
    </w:p>
    <w:p w14:paraId="17A794D7" w14:textId="77777777" w:rsidR="00B53B50" w:rsidRPr="001B6E4D" w:rsidRDefault="00B53B50" w:rsidP="003D1018">
      <w:pPr>
        <w:overflowPunct w:val="0"/>
        <w:spacing w:beforeLines="50" w:before="180" w:afterLines="50" w:after="180" w:line="400" w:lineRule="exact"/>
        <w:ind w:leftChars="-123" w:left="-15" w:hangingChars="100" w:hanging="280"/>
        <w:rPr>
          <w:rFonts w:ascii="標楷體" w:eastAsia="標楷體" w:hAnsi="標楷體"/>
          <w:sz w:val="28"/>
          <w:szCs w:val="28"/>
        </w:rPr>
      </w:pPr>
    </w:p>
    <w:p w14:paraId="2E743DEC" w14:textId="77777777" w:rsidR="00B53B50" w:rsidRPr="001B6E4D" w:rsidRDefault="00B53B50" w:rsidP="003D1018">
      <w:pPr>
        <w:overflowPunct w:val="0"/>
        <w:spacing w:beforeLines="120" w:before="432" w:afterLines="70" w:after="252" w:line="400" w:lineRule="exact"/>
        <w:ind w:leftChars="-123" w:left="-15" w:hangingChars="100" w:hanging="280"/>
        <w:rPr>
          <w:rFonts w:ascii="標楷體" w:eastAsia="標楷體" w:hAnsi="標楷體"/>
          <w:b/>
          <w:sz w:val="28"/>
          <w:szCs w:val="28"/>
        </w:rPr>
      </w:pPr>
      <w:r w:rsidRPr="001B6E4D">
        <w:rPr>
          <w:rFonts w:ascii="標楷體" w:eastAsia="標楷體" w:hAnsi="標楷體"/>
          <w:b/>
          <w:sz w:val="28"/>
          <w:szCs w:val="28"/>
        </w:rPr>
        <w:lastRenderedPageBreak/>
        <w:t>二、附屬單位預算及綜計表</w:t>
      </w:r>
      <w:r w:rsidRPr="001B6E4D">
        <w:rPr>
          <w:rFonts w:ascii="標楷體" w:eastAsia="標楷體" w:hAnsi="標楷體" w:hint="eastAsia"/>
          <w:b/>
          <w:sz w:val="28"/>
          <w:szCs w:val="28"/>
        </w:rPr>
        <w:t>（非營業部分）</w:t>
      </w:r>
      <w:r w:rsidRPr="001B6E4D">
        <w:rPr>
          <w:rFonts w:ascii="標楷體" w:eastAsia="標楷體" w:hAnsi="標楷體"/>
          <w:b/>
          <w:sz w:val="28"/>
          <w:szCs w:val="28"/>
        </w:rPr>
        <w:t>及財團法人預算</w:t>
      </w:r>
    </w:p>
    <w:tbl>
      <w:tblPr>
        <w:tblW w:w="8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796"/>
        <w:gridCol w:w="4967"/>
      </w:tblGrid>
      <w:tr w:rsidR="00B53B50" w:rsidRPr="001B6E4D" w14:paraId="0A985130" w14:textId="77777777" w:rsidTr="00E72972">
        <w:trPr>
          <w:trHeight w:val="715"/>
          <w:jc w:val="center"/>
        </w:trPr>
        <w:tc>
          <w:tcPr>
            <w:tcW w:w="3796" w:type="dxa"/>
            <w:tcMar>
              <w:top w:w="57" w:type="dxa"/>
              <w:left w:w="57" w:type="dxa"/>
              <w:bottom w:w="57" w:type="dxa"/>
              <w:right w:w="57" w:type="dxa"/>
            </w:tcMar>
            <w:vAlign w:val="center"/>
          </w:tcPr>
          <w:p w14:paraId="3C7860A6" w14:textId="77777777" w:rsidR="00B53B50" w:rsidRPr="001B6E4D" w:rsidRDefault="00B53B50" w:rsidP="003D1018">
            <w:pPr>
              <w:overflowPunct w:val="0"/>
              <w:spacing w:line="440" w:lineRule="exact"/>
              <w:ind w:firstLineChars="3" w:firstLine="8"/>
              <w:jc w:val="center"/>
              <w:rPr>
                <w:rFonts w:ascii="標楷體" w:eastAsia="標楷體" w:hAnsi="標楷體"/>
                <w:sz w:val="28"/>
                <w:szCs w:val="28"/>
              </w:rPr>
            </w:pPr>
            <w:r w:rsidRPr="001B6E4D">
              <w:rPr>
                <w:rFonts w:ascii="標楷體" w:eastAsia="標楷體" w:hAnsi="標楷體" w:hint="eastAsia"/>
                <w:sz w:val="28"/>
                <w:szCs w:val="28"/>
              </w:rPr>
              <w:t>翁召集委員曉玲</w:t>
            </w:r>
          </w:p>
        </w:tc>
        <w:tc>
          <w:tcPr>
            <w:tcW w:w="4967" w:type="dxa"/>
            <w:tcMar>
              <w:top w:w="57" w:type="dxa"/>
              <w:left w:w="57" w:type="dxa"/>
              <w:bottom w:w="57" w:type="dxa"/>
              <w:right w:w="57" w:type="dxa"/>
            </w:tcMar>
            <w:vAlign w:val="center"/>
          </w:tcPr>
          <w:p w14:paraId="712098F1" w14:textId="77777777" w:rsidR="00B53B50" w:rsidRPr="001B6E4D" w:rsidRDefault="00B53B50" w:rsidP="003D1018">
            <w:pPr>
              <w:kinsoku w:val="0"/>
              <w:overflowPunct w:val="0"/>
              <w:autoSpaceDE w:val="0"/>
              <w:autoSpaceDN w:val="0"/>
              <w:spacing w:beforeLines="20" w:before="72" w:afterLines="20" w:after="72" w:line="44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sz w:val="28"/>
                <w:szCs w:val="28"/>
              </w:rPr>
              <w:t>1.</w:t>
            </w:r>
            <w:r w:rsidRPr="001B6E4D">
              <w:rPr>
                <w:rFonts w:ascii="標楷體" w:eastAsia="標楷體" w:hAnsi="標楷體"/>
                <w:b/>
                <w:sz w:val="28"/>
                <w:szCs w:val="28"/>
              </w:rPr>
              <w:t>法務部</w:t>
            </w:r>
            <w:r w:rsidRPr="001B6E4D">
              <w:rPr>
                <w:rFonts w:ascii="標楷體" w:eastAsia="標楷體" w:hAnsi="標楷體"/>
                <w:sz w:val="28"/>
                <w:szCs w:val="28"/>
              </w:rPr>
              <w:t>矯正機關作業基金</w:t>
            </w:r>
            <w:r w:rsidRPr="001B6E4D">
              <w:rPr>
                <w:rFonts w:ascii="標楷體" w:eastAsia="標楷體" w:hAnsi="標楷體" w:hint="eastAsia"/>
                <w:sz w:val="28"/>
                <w:szCs w:val="28"/>
              </w:rPr>
              <w:t>（</w:t>
            </w:r>
            <w:r w:rsidRPr="001B6E4D">
              <w:rPr>
                <w:rFonts w:ascii="標楷體" w:eastAsia="標楷體" w:hAnsi="標楷體" w:hint="eastAsia"/>
                <w:b/>
                <w:sz w:val="28"/>
                <w:szCs w:val="28"/>
              </w:rPr>
              <w:t>法務部</w:t>
            </w:r>
            <w:r w:rsidRPr="001B6E4D">
              <w:rPr>
                <w:rFonts w:ascii="標楷體" w:eastAsia="標楷體" w:hAnsi="標楷體" w:hint="eastAsia"/>
                <w:sz w:val="28"/>
                <w:szCs w:val="28"/>
              </w:rPr>
              <w:t>主管）</w:t>
            </w:r>
          </w:p>
        </w:tc>
      </w:tr>
      <w:tr w:rsidR="00B53B50" w:rsidRPr="001B6E4D" w14:paraId="5B9667C8" w14:textId="77777777" w:rsidTr="00E72972">
        <w:trPr>
          <w:trHeight w:val="715"/>
          <w:jc w:val="center"/>
        </w:trPr>
        <w:tc>
          <w:tcPr>
            <w:tcW w:w="3796" w:type="dxa"/>
            <w:tcMar>
              <w:top w:w="57" w:type="dxa"/>
              <w:left w:w="57" w:type="dxa"/>
              <w:bottom w:w="57" w:type="dxa"/>
              <w:right w:w="57" w:type="dxa"/>
            </w:tcMar>
            <w:vAlign w:val="center"/>
          </w:tcPr>
          <w:p w14:paraId="106F46D4" w14:textId="77777777" w:rsidR="00B53B50" w:rsidRPr="001B6E4D" w:rsidRDefault="00B53B50" w:rsidP="003D1018">
            <w:pPr>
              <w:overflowPunct w:val="0"/>
              <w:spacing w:line="440" w:lineRule="exact"/>
              <w:ind w:firstLineChars="3" w:firstLine="8"/>
              <w:jc w:val="center"/>
              <w:rPr>
                <w:rFonts w:ascii="標楷體" w:eastAsia="標楷體" w:hAnsi="標楷體"/>
                <w:sz w:val="28"/>
                <w:szCs w:val="28"/>
              </w:rPr>
            </w:pPr>
            <w:r w:rsidRPr="001B6E4D">
              <w:rPr>
                <w:rFonts w:ascii="標楷體" w:eastAsia="標楷體" w:hAnsi="標楷體" w:hint="eastAsia"/>
                <w:sz w:val="28"/>
                <w:szCs w:val="28"/>
              </w:rPr>
              <w:t>翁召集委員曉玲</w:t>
            </w:r>
          </w:p>
        </w:tc>
        <w:tc>
          <w:tcPr>
            <w:tcW w:w="4967" w:type="dxa"/>
            <w:tcMar>
              <w:top w:w="57" w:type="dxa"/>
              <w:left w:w="57" w:type="dxa"/>
              <w:bottom w:w="57" w:type="dxa"/>
              <w:right w:w="57" w:type="dxa"/>
            </w:tcMar>
            <w:vAlign w:val="center"/>
          </w:tcPr>
          <w:p w14:paraId="17FCE2D3" w14:textId="77777777" w:rsidR="00B53B50" w:rsidRPr="001B6E4D" w:rsidRDefault="00B53B50" w:rsidP="003D1018">
            <w:pPr>
              <w:kinsoku w:val="0"/>
              <w:overflowPunct w:val="0"/>
              <w:autoSpaceDE w:val="0"/>
              <w:autoSpaceDN w:val="0"/>
              <w:spacing w:beforeLines="20" w:before="72" w:afterLines="20" w:after="72" w:line="44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hint="eastAsia"/>
                <w:sz w:val="28"/>
                <w:szCs w:val="28"/>
              </w:rPr>
              <w:t>2.毒品防制基金（</w:t>
            </w:r>
            <w:r w:rsidRPr="001B6E4D">
              <w:rPr>
                <w:rFonts w:ascii="標楷體" w:eastAsia="標楷體" w:hAnsi="標楷體" w:hint="eastAsia"/>
                <w:b/>
                <w:sz w:val="28"/>
                <w:szCs w:val="28"/>
              </w:rPr>
              <w:t>法務部</w:t>
            </w:r>
            <w:r w:rsidRPr="001B6E4D">
              <w:rPr>
                <w:rFonts w:ascii="標楷體" w:eastAsia="標楷體" w:hAnsi="標楷體" w:hint="eastAsia"/>
                <w:sz w:val="28"/>
                <w:szCs w:val="28"/>
              </w:rPr>
              <w:t>主管）</w:t>
            </w:r>
          </w:p>
        </w:tc>
      </w:tr>
      <w:tr w:rsidR="00B53B50" w:rsidRPr="001B6E4D" w14:paraId="107FF47D" w14:textId="77777777" w:rsidTr="00E72972">
        <w:trPr>
          <w:trHeight w:val="724"/>
          <w:jc w:val="center"/>
        </w:trPr>
        <w:tc>
          <w:tcPr>
            <w:tcW w:w="3796" w:type="dxa"/>
            <w:tcMar>
              <w:top w:w="57" w:type="dxa"/>
              <w:left w:w="57" w:type="dxa"/>
              <w:bottom w:w="57" w:type="dxa"/>
              <w:right w:w="57" w:type="dxa"/>
            </w:tcMar>
            <w:vAlign w:val="center"/>
          </w:tcPr>
          <w:p w14:paraId="34184729" w14:textId="77777777" w:rsidR="00B53B50" w:rsidRPr="001B6E4D" w:rsidRDefault="00B53B50" w:rsidP="003D1018">
            <w:pPr>
              <w:overflowPunct w:val="0"/>
              <w:spacing w:line="440" w:lineRule="exact"/>
              <w:ind w:firstLineChars="3" w:firstLine="8"/>
              <w:jc w:val="center"/>
              <w:rPr>
                <w:rFonts w:ascii="標楷體" w:eastAsia="標楷體" w:hAnsi="標楷體"/>
                <w:sz w:val="28"/>
                <w:szCs w:val="28"/>
              </w:rPr>
            </w:pPr>
            <w:r w:rsidRPr="001B6E4D">
              <w:rPr>
                <w:rFonts w:ascii="標楷體" w:eastAsia="標楷體" w:hAnsi="標楷體" w:hint="eastAsia"/>
                <w:sz w:val="28"/>
                <w:szCs w:val="28"/>
              </w:rPr>
              <w:t>莊召集委員瑞雄</w:t>
            </w:r>
          </w:p>
        </w:tc>
        <w:tc>
          <w:tcPr>
            <w:tcW w:w="4967" w:type="dxa"/>
            <w:tcMar>
              <w:top w:w="57" w:type="dxa"/>
              <w:left w:w="57" w:type="dxa"/>
              <w:bottom w:w="57" w:type="dxa"/>
              <w:right w:w="57" w:type="dxa"/>
            </w:tcMar>
            <w:vAlign w:val="center"/>
          </w:tcPr>
          <w:p w14:paraId="226ED221" w14:textId="77777777" w:rsidR="00B53B50" w:rsidRPr="001B6E4D" w:rsidRDefault="00B53B50" w:rsidP="003D1018">
            <w:pPr>
              <w:kinsoku w:val="0"/>
              <w:overflowPunct w:val="0"/>
              <w:autoSpaceDE w:val="0"/>
              <w:autoSpaceDN w:val="0"/>
              <w:spacing w:beforeLines="20" w:before="72" w:afterLines="20" w:after="72" w:line="44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hint="eastAsia"/>
                <w:sz w:val="28"/>
                <w:szCs w:val="28"/>
              </w:rPr>
              <w:t>3</w:t>
            </w:r>
            <w:r w:rsidRPr="001B6E4D">
              <w:rPr>
                <w:rFonts w:ascii="標楷體" w:eastAsia="標楷體" w:hAnsi="標楷體"/>
                <w:sz w:val="28"/>
                <w:szCs w:val="28"/>
              </w:rPr>
              <w:t>.中央公教人員急難救助基金</w:t>
            </w:r>
            <w:r w:rsidRPr="001B6E4D">
              <w:rPr>
                <w:rFonts w:ascii="標楷體" w:eastAsia="標楷體" w:hAnsi="標楷體" w:hint="eastAsia"/>
                <w:sz w:val="28"/>
                <w:szCs w:val="28"/>
              </w:rPr>
              <w:t>（</w:t>
            </w:r>
            <w:r w:rsidRPr="001B6E4D">
              <w:rPr>
                <w:rFonts w:ascii="標楷體" w:eastAsia="標楷體" w:hAnsi="標楷體" w:hint="eastAsia"/>
                <w:b/>
                <w:sz w:val="28"/>
                <w:szCs w:val="28"/>
              </w:rPr>
              <w:t>行政院</w:t>
            </w:r>
            <w:r w:rsidRPr="001B6E4D">
              <w:rPr>
                <w:rFonts w:ascii="標楷體" w:eastAsia="標楷體" w:hAnsi="標楷體"/>
                <w:b/>
                <w:sz w:val="28"/>
                <w:szCs w:val="28"/>
              </w:rPr>
              <w:t>人事行政總處</w:t>
            </w:r>
            <w:r w:rsidRPr="001B6E4D">
              <w:rPr>
                <w:rFonts w:ascii="標楷體" w:eastAsia="標楷體" w:hAnsi="標楷體"/>
                <w:sz w:val="28"/>
                <w:szCs w:val="28"/>
              </w:rPr>
              <w:t>主管）</w:t>
            </w:r>
          </w:p>
        </w:tc>
      </w:tr>
      <w:tr w:rsidR="00B53B50" w:rsidRPr="001B6E4D" w14:paraId="6BCFDE82" w14:textId="77777777" w:rsidTr="00E72972">
        <w:trPr>
          <w:trHeight w:val="856"/>
          <w:jc w:val="center"/>
        </w:trPr>
        <w:tc>
          <w:tcPr>
            <w:tcW w:w="3796" w:type="dxa"/>
            <w:tcMar>
              <w:top w:w="57" w:type="dxa"/>
              <w:left w:w="57" w:type="dxa"/>
              <w:bottom w:w="57" w:type="dxa"/>
              <w:right w:w="57" w:type="dxa"/>
            </w:tcMar>
            <w:vAlign w:val="center"/>
          </w:tcPr>
          <w:p w14:paraId="17D3113E" w14:textId="77777777" w:rsidR="00B53B50" w:rsidRPr="001B6E4D" w:rsidRDefault="00B53B50" w:rsidP="003D1018">
            <w:pPr>
              <w:overflowPunct w:val="0"/>
              <w:spacing w:line="440" w:lineRule="exact"/>
              <w:ind w:firstLineChars="3" w:firstLine="8"/>
              <w:jc w:val="center"/>
              <w:rPr>
                <w:rFonts w:ascii="標楷體" w:eastAsia="標楷體" w:hAnsi="標楷體"/>
                <w:sz w:val="28"/>
                <w:szCs w:val="28"/>
              </w:rPr>
            </w:pPr>
            <w:r w:rsidRPr="001B6E4D">
              <w:rPr>
                <w:rFonts w:ascii="標楷體" w:eastAsia="標楷體" w:hAnsi="標楷體" w:hint="eastAsia"/>
                <w:sz w:val="28"/>
                <w:szCs w:val="28"/>
              </w:rPr>
              <w:t>莊召集委員瑞雄</w:t>
            </w:r>
          </w:p>
        </w:tc>
        <w:tc>
          <w:tcPr>
            <w:tcW w:w="4967" w:type="dxa"/>
            <w:tcMar>
              <w:top w:w="57" w:type="dxa"/>
              <w:left w:w="57" w:type="dxa"/>
              <w:bottom w:w="57" w:type="dxa"/>
              <w:right w:w="57" w:type="dxa"/>
            </w:tcMar>
            <w:vAlign w:val="center"/>
          </w:tcPr>
          <w:p w14:paraId="174922FC" w14:textId="77777777" w:rsidR="00B53B50" w:rsidRPr="001B6E4D" w:rsidRDefault="00B53B50" w:rsidP="003D1018">
            <w:pPr>
              <w:kinsoku w:val="0"/>
              <w:overflowPunct w:val="0"/>
              <w:autoSpaceDE w:val="0"/>
              <w:autoSpaceDN w:val="0"/>
              <w:spacing w:beforeLines="20" w:before="72" w:afterLines="20" w:after="72" w:line="44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sz w:val="28"/>
                <w:szCs w:val="28"/>
              </w:rPr>
              <w:t>4</w:t>
            </w:r>
            <w:r w:rsidRPr="001B6E4D">
              <w:rPr>
                <w:rFonts w:ascii="標楷體" w:eastAsia="標楷體" w:hAnsi="標楷體" w:hint="eastAsia"/>
                <w:sz w:val="28"/>
                <w:szCs w:val="28"/>
              </w:rPr>
              <w:t>.</w:t>
            </w:r>
            <w:r w:rsidRPr="001B6E4D">
              <w:rPr>
                <w:rFonts w:ascii="標楷體" w:eastAsia="標楷體" w:hAnsi="標楷體"/>
                <w:sz w:val="28"/>
                <w:szCs w:val="28"/>
              </w:rPr>
              <w:t>考選業務基金（</w:t>
            </w:r>
            <w:r w:rsidRPr="001B6E4D">
              <w:rPr>
                <w:rFonts w:ascii="標楷體" w:eastAsia="標楷體" w:hAnsi="標楷體"/>
                <w:b/>
                <w:sz w:val="28"/>
                <w:szCs w:val="28"/>
              </w:rPr>
              <w:t>考試院</w:t>
            </w:r>
            <w:r w:rsidRPr="001B6E4D">
              <w:rPr>
                <w:rFonts w:ascii="標楷體" w:eastAsia="標楷體" w:hAnsi="標楷體"/>
                <w:sz w:val="28"/>
                <w:szCs w:val="28"/>
              </w:rPr>
              <w:t>考選部主管）</w:t>
            </w:r>
          </w:p>
        </w:tc>
      </w:tr>
      <w:tr w:rsidR="00B53B50" w:rsidRPr="001B6E4D" w14:paraId="2E2924F5" w14:textId="77777777" w:rsidTr="00E72972">
        <w:trPr>
          <w:trHeight w:val="826"/>
          <w:jc w:val="center"/>
        </w:trPr>
        <w:tc>
          <w:tcPr>
            <w:tcW w:w="3796" w:type="dxa"/>
            <w:tcMar>
              <w:top w:w="57" w:type="dxa"/>
              <w:left w:w="57" w:type="dxa"/>
              <w:bottom w:w="57" w:type="dxa"/>
              <w:right w:w="57" w:type="dxa"/>
            </w:tcMar>
            <w:vAlign w:val="center"/>
          </w:tcPr>
          <w:p w14:paraId="20980D93" w14:textId="77777777" w:rsidR="00B53B50" w:rsidRPr="001B6E4D" w:rsidRDefault="00B53B50" w:rsidP="003D1018">
            <w:pPr>
              <w:overflowPunct w:val="0"/>
              <w:spacing w:line="440" w:lineRule="exact"/>
              <w:ind w:firstLineChars="3" w:firstLine="8"/>
              <w:jc w:val="center"/>
              <w:rPr>
                <w:rFonts w:ascii="標楷體" w:eastAsia="標楷體" w:hAnsi="標楷體"/>
                <w:sz w:val="28"/>
                <w:szCs w:val="28"/>
              </w:rPr>
            </w:pPr>
            <w:r w:rsidRPr="001B6E4D">
              <w:rPr>
                <w:rFonts w:ascii="標楷體" w:eastAsia="標楷體" w:hAnsi="標楷體" w:hint="eastAsia"/>
                <w:sz w:val="28"/>
                <w:szCs w:val="28"/>
              </w:rPr>
              <w:t>莊召集委員瑞雄</w:t>
            </w:r>
          </w:p>
        </w:tc>
        <w:tc>
          <w:tcPr>
            <w:tcW w:w="4967" w:type="dxa"/>
            <w:tcMar>
              <w:top w:w="57" w:type="dxa"/>
              <w:left w:w="57" w:type="dxa"/>
              <w:bottom w:w="57" w:type="dxa"/>
              <w:right w:w="57" w:type="dxa"/>
            </w:tcMar>
            <w:vAlign w:val="center"/>
          </w:tcPr>
          <w:p w14:paraId="044D8D0F" w14:textId="77777777" w:rsidR="00B53B50" w:rsidRPr="001B6E4D" w:rsidRDefault="00B53B50" w:rsidP="003D1018">
            <w:pPr>
              <w:kinsoku w:val="0"/>
              <w:overflowPunct w:val="0"/>
              <w:autoSpaceDE w:val="0"/>
              <w:autoSpaceDN w:val="0"/>
              <w:spacing w:beforeLines="20" w:before="72" w:afterLines="20" w:after="72" w:line="44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sz w:val="28"/>
                <w:szCs w:val="28"/>
              </w:rPr>
              <w:t>5.公務人員退休撫</w:t>
            </w:r>
            <w:proofErr w:type="gramStart"/>
            <w:r w:rsidRPr="001B6E4D">
              <w:rPr>
                <w:rFonts w:ascii="標楷體" w:eastAsia="標楷體" w:hAnsi="標楷體"/>
                <w:sz w:val="28"/>
                <w:szCs w:val="28"/>
              </w:rPr>
              <w:t>卹</w:t>
            </w:r>
            <w:proofErr w:type="gramEnd"/>
            <w:r w:rsidRPr="001B6E4D">
              <w:rPr>
                <w:rFonts w:ascii="標楷體" w:eastAsia="標楷體" w:hAnsi="標楷體"/>
                <w:sz w:val="28"/>
                <w:szCs w:val="28"/>
              </w:rPr>
              <w:t>基金（</w:t>
            </w:r>
            <w:r w:rsidRPr="001B6E4D">
              <w:rPr>
                <w:rFonts w:ascii="標楷體" w:eastAsia="標楷體" w:hAnsi="標楷體"/>
                <w:b/>
                <w:sz w:val="28"/>
                <w:szCs w:val="28"/>
              </w:rPr>
              <w:t>考試院</w:t>
            </w:r>
            <w:r w:rsidRPr="001B6E4D">
              <w:rPr>
                <w:rFonts w:ascii="標楷體" w:eastAsia="標楷體" w:hAnsi="標楷體"/>
                <w:sz w:val="28"/>
                <w:szCs w:val="28"/>
              </w:rPr>
              <w:t>銓敘部主管）</w:t>
            </w:r>
          </w:p>
        </w:tc>
      </w:tr>
      <w:tr w:rsidR="00B53B50" w:rsidRPr="001B6E4D" w14:paraId="244F48DF" w14:textId="77777777" w:rsidTr="00E72972">
        <w:trPr>
          <w:trHeight w:val="826"/>
          <w:jc w:val="center"/>
        </w:trPr>
        <w:tc>
          <w:tcPr>
            <w:tcW w:w="3796" w:type="dxa"/>
            <w:tcMar>
              <w:top w:w="57" w:type="dxa"/>
              <w:left w:w="57" w:type="dxa"/>
              <w:bottom w:w="57" w:type="dxa"/>
              <w:right w:w="57" w:type="dxa"/>
            </w:tcMar>
            <w:vAlign w:val="center"/>
          </w:tcPr>
          <w:p w14:paraId="7B7BA0CB" w14:textId="77777777" w:rsidR="00B53B50" w:rsidRPr="001B6E4D" w:rsidRDefault="00B53B50" w:rsidP="003D1018">
            <w:pPr>
              <w:overflowPunct w:val="0"/>
              <w:spacing w:line="440" w:lineRule="exact"/>
              <w:ind w:firstLineChars="3" w:firstLine="8"/>
              <w:jc w:val="center"/>
              <w:rPr>
                <w:rFonts w:ascii="標楷體" w:eastAsia="標楷體" w:hAnsi="標楷體"/>
                <w:sz w:val="28"/>
                <w:szCs w:val="28"/>
              </w:rPr>
            </w:pPr>
            <w:r w:rsidRPr="001B6E4D">
              <w:rPr>
                <w:rFonts w:ascii="標楷體" w:eastAsia="標楷體" w:hAnsi="標楷體" w:hint="eastAsia"/>
                <w:sz w:val="28"/>
                <w:szCs w:val="28"/>
              </w:rPr>
              <w:t>莊召集委員瑞雄</w:t>
            </w:r>
          </w:p>
        </w:tc>
        <w:tc>
          <w:tcPr>
            <w:tcW w:w="4967" w:type="dxa"/>
            <w:tcMar>
              <w:top w:w="57" w:type="dxa"/>
              <w:left w:w="57" w:type="dxa"/>
              <w:bottom w:w="57" w:type="dxa"/>
              <w:right w:w="57" w:type="dxa"/>
            </w:tcMar>
            <w:vAlign w:val="center"/>
          </w:tcPr>
          <w:p w14:paraId="50D48B20" w14:textId="77777777" w:rsidR="00B53B50" w:rsidRPr="001B6E4D" w:rsidRDefault="00B53B50" w:rsidP="003D1018">
            <w:pPr>
              <w:kinsoku w:val="0"/>
              <w:overflowPunct w:val="0"/>
              <w:autoSpaceDE w:val="0"/>
              <w:autoSpaceDN w:val="0"/>
              <w:spacing w:beforeLines="20" w:before="72" w:afterLines="20" w:after="72" w:line="44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hint="eastAsia"/>
                <w:sz w:val="28"/>
                <w:szCs w:val="28"/>
              </w:rPr>
              <w:t>6.</w:t>
            </w:r>
            <w:r w:rsidRPr="001B6E4D">
              <w:rPr>
                <w:rFonts w:ascii="標楷體" w:eastAsia="標楷體" w:hAnsi="標楷體"/>
                <w:sz w:val="28"/>
                <w:szCs w:val="28"/>
              </w:rPr>
              <w:t>公</w:t>
            </w:r>
            <w:r w:rsidRPr="001B6E4D">
              <w:rPr>
                <w:rFonts w:ascii="標楷體" w:eastAsia="標楷體" w:hAnsi="標楷體" w:hint="eastAsia"/>
                <w:sz w:val="28"/>
                <w:szCs w:val="28"/>
              </w:rPr>
              <w:t>教</w:t>
            </w:r>
            <w:r w:rsidRPr="001B6E4D">
              <w:rPr>
                <w:rFonts w:ascii="標楷體" w:eastAsia="標楷體" w:hAnsi="標楷體"/>
                <w:sz w:val="28"/>
                <w:szCs w:val="28"/>
              </w:rPr>
              <w:t>人員</w:t>
            </w:r>
            <w:r w:rsidRPr="001B6E4D">
              <w:rPr>
                <w:rFonts w:ascii="標楷體" w:eastAsia="標楷體" w:hAnsi="標楷體" w:hint="eastAsia"/>
                <w:sz w:val="28"/>
                <w:szCs w:val="28"/>
              </w:rPr>
              <w:t>個人</w:t>
            </w:r>
            <w:proofErr w:type="gramStart"/>
            <w:r w:rsidRPr="001B6E4D">
              <w:rPr>
                <w:rFonts w:ascii="標楷體" w:eastAsia="標楷體" w:hAnsi="標楷體" w:hint="eastAsia"/>
                <w:sz w:val="28"/>
                <w:szCs w:val="28"/>
              </w:rPr>
              <w:t>專戶制退撫</w:t>
            </w:r>
            <w:proofErr w:type="gramEnd"/>
            <w:r w:rsidRPr="001B6E4D">
              <w:rPr>
                <w:rFonts w:ascii="標楷體" w:eastAsia="標楷體" w:hAnsi="標楷體" w:hint="eastAsia"/>
                <w:sz w:val="28"/>
                <w:szCs w:val="28"/>
              </w:rPr>
              <w:t>儲金基金</w:t>
            </w:r>
          </w:p>
          <w:p w14:paraId="04EA1C60" w14:textId="77777777" w:rsidR="00B53B50" w:rsidRPr="001B6E4D" w:rsidRDefault="00B53B50" w:rsidP="003D1018">
            <w:pPr>
              <w:kinsoku w:val="0"/>
              <w:overflowPunct w:val="0"/>
              <w:autoSpaceDE w:val="0"/>
              <w:autoSpaceDN w:val="0"/>
              <w:spacing w:beforeLines="20" w:before="72" w:afterLines="20" w:after="72" w:line="440" w:lineRule="exact"/>
              <w:ind w:leftChars="50" w:left="249" w:rightChars="17" w:right="41" w:hangingChars="46" w:hanging="129"/>
              <w:jc w:val="both"/>
              <w:rPr>
                <w:rFonts w:ascii="標楷體" w:eastAsia="標楷體" w:hAnsi="標楷體"/>
                <w:sz w:val="28"/>
                <w:szCs w:val="28"/>
              </w:rPr>
            </w:pPr>
            <w:r w:rsidRPr="001B6E4D">
              <w:rPr>
                <w:rFonts w:ascii="標楷體" w:eastAsia="標楷體" w:hAnsi="標楷體"/>
                <w:sz w:val="28"/>
                <w:szCs w:val="28"/>
              </w:rPr>
              <w:t>（</w:t>
            </w:r>
            <w:r w:rsidRPr="001B6E4D">
              <w:rPr>
                <w:rFonts w:ascii="標楷體" w:eastAsia="標楷體" w:hAnsi="標楷體"/>
                <w:b/>
                <w:sz w:val="28"/>
                <w:szCs w:val="28"/>
              </w:rPr>
              <w:t>考試院</w:t>
            </w:r>
            <w:r w:rsidRPr="001B6E4D">
              <w:rPr>
                <w:rFonts w:ascii="標楷體" w:eastAsia="標楷體" w:hAnsi="標楷體"/>
                <w:sz w:val="28"/>
                <w:szCs w:val="28"/>
              </w:rPr>
              <w:t>銓敘部主管）</w:t>
            </w:r>
          </w:p>
        </w:tc>
      </w:tr>
      <w:tr w:rsidR="00B53B50" w:rsidRPr="001B6E4D" w14:paraId="7EAD18FF" w14:textId="77777777" w:rsidTr="00E72972">
        <w:trPr>
          <w:trHeight w:val="700"/>
          <w:jc w:val="center"/>
        </w:trPr>
        <w:tc>
          <w:tcPr>
            <w:tcW w:w="3796" w:type="dxa"/>
            <w:tcMar>
              <w:top w:w="57" w:type="dxa"/>
              <w:left w:w="57" w:type="dxa"/>
              <w:bottom w:w="57" w:type="dxa"/>
              <w:right w:w="57" w:type="dxa"/>
            </w:tcMar>
            <w:vAlign w:val="center"/>
          </w:tcPr>
          <w:p w14:paraId="10AB5D1E" w14:textId="77777777" w:rsidR="00B53B50" w:rsidRPr="001B6E4D" w:rsidRDefault="00B53B50" w:rsidP="003D1018">
            <w:pPr>
              <w:overflowPunct w:val="0"/>
              <w:spacing w:line="440" w:lineRule="exact"/>
              <w:ind w:firstLineChars="3" w:firstLine="8"/>
              <w:jc w:val="center"/>
              <w:rPr>
                <w:rFonts w:ascii="標楷體" w:eastAsia="標楷體" w:hAnsi="標楷體"/>
                <w:sz w:val="28"/>
                <w:szCs w:val="28"/>
              </w:rPr>
            </w:pPr>
            <w:r w:rsidRPr="001B6E4D">
              <w:rPr>
                <w:rFonts w:ascii="標楷體" w:eastAsia="標楷體" w:hAnsi="標楷體" w:hint="eastAsia"/>
                <w:sz w:val="28"/>
                <w:szCs w:val="28"/>
              </w:rPr>
              <w:t>莊召集委員瑞雄</w:t>
            </w:r>
          </w:p>
        </w:tc>
        <w:tc>
          <w:tcPr>
            <w:tcW w:w="4967" w:type="dxa"/>
            <w:tcMar>
              <w:top w:w="57" w:type="dxa"/>
              <w:left w:w="57" w:type="dxa"/>
              <w:bottom w:w="57" w:type="dxa"/>
              <w:right w:w="57" w:type="dxa"/>
            </w:tcMar>
            <w:vAlign w:val="center"/>
          </w:tcPr>
          <w:p w14:paraId="19201407" w14:textId="77777777" w:rsidR="00B53B50" w:rsidRPr="001B6E4D" w:rsidRDefault="00B53B50" w:rsidP="003D1018">
            <w:pPr>
              <w:kinsoku w:val="0"/>
              <w:overflowPunct w:val="0"/>
              <w:autoSpaceDE w:val="0"/>
              <w:autoSpaceDN w:val="0"/>
              <w:spacing w:beforeLines="20" w:before="72" w:afterLines="20" w:after="72" w:line="44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hint="eastAsia"/>
                <w:sz w:val="28"/>
                <w:szCs w:val="28"/>
              </w:rPr>
              <w:t>7</w:t>
            </w:r>
            <w:r w:rsidRPr="001B6E4D">
              <w:rPr>
                <w:rFonts w:ascii="標楷體" w:eastAsia="標楷體" w:hAnsi="標楷體"/>
                <w:sz w:val="28"/>
                <w:szCs w:val="28"/>
              </w:rPr>
              <w:t>.財團法人法律扶助基金會</w:t>
            </w:r>
            <w:r w:rsidRPr="001B6E4D">
              <w:rPr>
                <w:rFonts w:ascii="標楷體" w:eastAsia="標楷體" w:hAnsi="標楷體"/>
                <w:sz w:val="28"/>
                <w:szCs w:val="22"/>
              </w:rPr>
              <w:t>預算書（</w:t>
            </w:r>
            <w:r w:rsidRPr="001B6E4D">
              <w:rPr>
                <w:rFonts w:ascii="標楷體" w:eastAsia="標楷體" w:hAnsi="標楷體"/>
                <w:b/>
                <w:sz w:val="28"/>
                <w:szCs w:val="28"/>
              </w:rPr>
              <w:t>司法院</w:t>
            </w:r>
            <w:r w:rsidRPr="001B6E4D">
              <w:rPr>
                <w:rFonts w:ascii="標楷體" w:eastAsia="標楷體" w:hAnsi="標楷體"/>
                <w:sz w:val="28"/>
                <w:szCs w:val="28"/>
              </w:rPr>
              <w:t>主管）</w:t>
            </w:r>
          </w:p>
        </w:tc>
      </w:tr>
      <w:tr w:rsidR="00B53B50" w:rsidRPr="001B6E4D" w14:paraId="3FCAFCE1" w14:textId="77777777" w:rsidTr="00E72972">
        <w:trPr>
          <w:trHeight w:val="1330"/>
          <w:jc w:val="center"/>
        </w:trPr>
        <w:tc>
          <w:tcPr>
            <w:tcW w:w="3796" w:type="dxa"/>
            <w:tcMar>
              <w:top w:w="57" w:type="dxa"/>
              <w:left w:w="57" w:type="dxa"/>
              <w:bottom w:w="57" w:type="dxa"/>
              <w:right w:w="57" w:type="dxa"/>
            </w:tcMar>
            <w:vAlign w:val="center"/>
          </w:tcPr>
          <w:p w14:paraId="51A4E147" w14:textId="77777777" w:rsidR="00B53B50" w:rsidRPr="001B6E4D" w:rsidRDefault="00B53B50" w:rsidP="003D1018">
            <w:pPr>
              <w:overflowPunct w:val="0"/>
              <w:spacing w:line="440" w:lineRule="exact"/>
              <w:ind w:firstLineChars="3" w:firstLine="8"/>
              <w:jc w:val="center"/>
              <w:rPr>
                <w:rFonts w:ascii="標楷體" w:eastAsia="標楷體" w:hAnsi="標楷體"/>
                <w:sz w:val="28"/>
                <w:szCs w:val="28"/>
              </w:rPr>
            </w:pPr>
            <w:r w:rsidRPr="001B6E4D">
              <w:rPr>
                <w:rFonts w:ascii="標楷體" w:eastAsia="標楷體" w:hAnsi="標楷體" w:hint="eastAsia"/>
                <w:sz w:val="28"/>
                <w:szCs w:val="28"/>
              </w:rPr>
              <w:t>翁召集委員曉玲</w:t>
            </w:r>
          </w:p>
        </w:tc>
        <w:tc>
          <w:tcPr>
            <w:tcW w:w="4967" w:type="dxa"/>
            <w:tcMar>
              <w:top w:w="57" w:type="dxa"/>
              <w:left w:w="57" w:type="dxa"/>
              <w:bottom w:w="57" w:type="dxa"/>
              <w:right w:w="57" w:type="dxa"/>
            </w:tcMar>
            <w:vAlign w:val="center"/>
          </w:tcPr>
          <w:p w14:paraId="3D633756" w14:textId="77777777" w:rsidR="00B53B50" w:rsidRPr="001B6E4D" w:rsidRDefault="00B53B50" w:rsidP="003D1018">
            <w:pPr>
              <w:kinsoku w:val="0"/>
              <w:overflowPunct w:val="0"/>
              <w:autoSpaceDE w:val="0"/>
              <w:autoSpaceDN w:val="0"/>
              <w:spacing w:beforeLines="20" w:before="72" w:afterLines="20" w:after="72" w:line="440" w:lineRule="exact"/>
              <w:ind w:leftChars="5" w:left="250" w:rightChars="17" w:right="41" w:hangingChars="85" w:hanging="238"/>
              <w:jc w:val="both"/>
              <w:rPr>
                <w:rFonts w:ascii="標楷體" w:eastAsia="標楷體" w:hAnsi="標楷體"/>
                <w:sz w:val="28"/>
                <w:szCs w:val="22"/>
              </w:rPr>
            </w:pPr>
            <w:r w:rsidRPr="001B6E4D">
              <w:rPr>
                <w:rFonts w:ascii="標楷體" w:eastAsia="標楷體" w:hAnsi="標楷體" w:hint="eastAsia"/>
                <w:sz w:val="28"/>
                <w:szCs w:val="28"/>
              </w:rPr>
              <w:t>8</w:t>
            </w:r>
            <w:r w:rsidRPr="001B6E4D">
              <w:rPr>
                <w:rFonts w:ascii="標楷體" w:eastAsia="標楷體" w:hAnsi="標楷體"/>
                <w:sz w:val="28"/>
                <w:szCs w:val="28"/>
              </w:rPr>
              <w:t>.財團法人</w:t>
            </w:r>
            <w:r w:rsidRPr="001B6E4D">
              <w:rPr>
                <w:rFonts w:ascii="標楷體" w:eastAsia="標楷體" w:hAnsi="標楷體"/>
                <w:sz w:val="28"/>
                <w:szCs w:val="22"/>
              </w:rPr>
              <w:t>臺灣更生保護會、福建更生保護會及犯罪被害人保護協會預算書</w:t>
            </w:r>
          </w:p>
          <w:p w14:paraId="224EB037" w14:textId="77777777" w:rsidR="00B53B50" w:rsidRPr="001B6E4D" w:rsidRDefault="00B53B50" w:rsidP="003D1018">
            <w:pPr>
              <w:kinsoku w:val="0"/>
              <w:overflowPunct w:val="0"/>
              <w:autoSpaceDE w:val="0"/>
              <w:autoSpaceDN w:val="0"/>
              <w:spacing w:beforeLines="20" w:before="72" w:afterLines="20" w:after="72" w:line="440" w:lineRule="exact"/>
              <w:ind w:leftChars="5" w:left="250" w:rightChars="17" w:right="41" w:hangingChars="85" w:hanging="238"/>
              <w:jc w:val="both"/>
              <w:rPr>
                <w:rFonts w:ascii="標楷體" w:eastAsia="標楷體" w:hAnsi="標楷體"/>
                <w:sz w:val="28"/>
                <w:szCs w:val="28"/>
              </w:rPr>
            </w:pPr>
            <w:r w:rsidRPr="001B6E4D">
              <w:rPr>
                <w:rFonts w:ascii="標楷體" w:eastAsia="標楷體" w:hAnsi="標楷體"/>
                <w:sz w:val="28"/>
                <w:szCs w:val="22"/>
              </w:rPr>
              <w:t>（</w:t>
            </w:r>
            <w:r w:rsidRPr="001B6E4D">
              <w:rPr>
                <w:rFonts w:ascii="標楷體" w:eastAsia="標楷體" w:hAnsi="標楷體"/>
                <w:b/>
                <w:sz w:val="28"/>
                <w:szCs w:val="28"/>
              </w:rPr>
              <w:t>法務部</w:t>
            </w:r>
            <w:r w:rsidRPr="001B6E4D">
              <w:rPr>
                <w:rFonts w:ascii="標楷體" w:eastAsia="標楷體" w:hAnsi="標楷體"/>
                <w:sz w:val="28"/>
                <w:szCs w:val="28"/>
              </w:rPr>
              <w:t>主管）</w:t>
            </w:r>
          </w:p>
        </w:tc>
      </w:tr>
    </w:tbl>
    <w:p w14:paraId="5C8956B8" w14:textId="77777777" w:rsidR="00B53B50" w:rsidRPr="001B6E4D" w:rsidRDefault="00B53B50" w:rsidP="003D1018">
      <w:pPr>
        <w:overflowPunct w:val="0"/>
        <w:snapToGrid w:val="0"/>
        <w:spacing w:line="100" w:lineRule="atLeast"/>
        <w:ind w:rightChars="-12" w:right="-29"/>
        <w:jc w:val="right"/>
        <w:rPr>
          <w:rFonts w:ascii="標楷體" w:eastAsia="標楷體" w:hAnsi="標楷體"/>
          <w:sz w:val="28"/>
          <w:szCs w:val="28"/>
        </w:rPr>
      </w:pPr>
    </w:p>
    <w:p w14:paraId="6B3E0458" w14:textId="77777777" w:rsidR="004E1C1C" w:rsidRPr="001B6E4D" w:rsidRDefault="004E1C1C" w:rsidP="003D1018">
      <w:pPr>
        <w:pStyle w:val="affe"/>
        <w:numPr>
          <w:ilvl w:val="0"/>
          <w:numId w:val="13"/>
        </w:numPr>
        <w:overflowPunct w:val="0"/>
        <w:spacing w:beforeLines="50" w:before="180" w:afterLines="50" w:after="180" w:line="360" w:lineRule="exact"/>
        <w:ind w:leftChars="0" w:left="658" w:hanging="658"/>
        <w:outlineLvl w:val="1"/>
        <w:rPr>
          <w:rFonts w:ascii="標楷體" w:eastAsia="標楷體" w:hAnsi="標楷體"/>
          <w:b/>
          <w:noProof/>
          <w:color w:val="000000" w:themeColor="text1"/>
          <w:sz w:val="32"/>
          <w:szCs w:val="32"/>
          <w:shd w:val="clear" w:color="auto" w:fill="FFFFFF" w:themeFill="background1"/>
        </w:rPr>
        <w:sectPr w:rsidR="004E1C1C" w:rsidRPr="001B6E4D" w:rsidSect="009E1230">
          <w:footerReference w:type="default" r:id="rId12"/>
          <w:pgSz w:w="11906" w:h="16838"/>
          <w:pgMar w:top="992" w:right="1701" w:bottom="1134" w:left="1701" w:header="851" w:footer="992" w:gutter="0"/>
          <w:cols w:space="425"/>
          <w:docGrid w:type="lines" w:linePitch="360"/>
        </w:sectPr>
      </w:pPr>
    </w:p>
    <w:p w14:paraId="108940BA" w14:textId="649F76B8" w:rsidR="00615C23" w:rsidRPr="001B6E4D" w:rsidRDefault="003B17AD" w:rsidP="003D1018">
      <w:pPr>
        <w:overflowPunct w:val="0"/>
        <w:spacing w:beforeLines="50" w:before="180" w:afterLines="50" w:after="180" w:line="360" w:lineRule="exact"/>
        <w:outlineLvl w:val="1"/>
        <w:rPr>
          <w:rFonts w:ascii="標楷體" w:eastAsia="標楷體" w:hAnsi="標楷體"/>
          <w:b/>
          <w:noProof/>
          <w:color w:val="000000" w:themeColor="text1"/>
          <w:sz w:val="32"/>
          <w:szCs w:val="32"/>
          <w:shd w:val="clear" w:color="auto" w:fill="FFFFFF" w:themeFill="background1"/>
        </w:rPr>
      </w:pPr>
      <w:bookmarkStart w:id="439" w:name="_Toc240446584"/>
      <w:r w:rsidRPr="001B6E4D">
        <w:rPr>
          <w:rFonts w:ascii="標楷體" w:eastAsia="標楷體" w:hAnsi="標楷體" w:hint="eastAsia"/>
          <w:b/>
          <w:noProof/>
          <w:color w:val="000000" w:themeColor="text1"/>
          <w:sz w:val="32"/>
          <w:szCs w:val="32"/>
          <w:shd w:val="clear" w:color="auto" w:fill="FFFFFF" w:themeFill="background1"/>
        </w:rPr>
        <w:lastRenderedPageBreak/>
        <w:t>二、本會全體委員會議議事錄</w:t>
      </w:r>
      <w:bookmarkEnd w:id="439"/>
    </w:p>
    <w:p w14:paraId="57810862" w14:textId="77777777" w:rsidR="00B53B50" w:rsidRPr="001B6E4D" w:rsidRDefault="00B53B50"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40" w:name="_Toc240446585"/>
      <w:r w:rsidRPr="001B6E4D">
        <w:rPr>
          <w:rFonts w:ascii="標楷體" w:eastAsia="標楷體" w:hAnsi="標楷體"/>
          <w:b/>
          <w:spacing w:val="-2"/>
          <w:sz w:val="28"/>
          <w:szCs w:val="28"/>
        </w:rPr>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會期司法及法制委員會第1次全體委員會議議事錄</w:t>
      </w:r>
      <w:bookmarkEnd w:id="440"/>
    </w:p>
    <w:p w14:paraId="0C2B6D79" w14:textId="77777777" w:rsidR="00B53B50" w:rsidRPr="001B6E4D" w:rsidRDefault="00B53B50" w:rsidP="003D1018">
      <w:pPr>
        <w:overflowPunct w:val="0"/>
        <w:adjustRightInd w:val="0"/>
        <w:snapToGrid w:val="0"/>
        <w:spacing w:line="360" w:lineRule="exact"/>
        <w:ind w:leftChars="1" w:left="1416" w:hangingChars="505" w:hanging="1414"/>
        <w:rPr>
          <w:rFonts w:ascii="標楷體" w:eastAsia="標楷體" w:hAnsi="標楷體"/>
          <w:spacing w:val="-10"/>
          <w:kern w:val="0"/>
          <w:sz w:val="28"/>
          <w:szCs w:val="28"/>
          <w:lang w:val="x-none"/>
        </w:rPr>
      </w:pPr>
      <w:r w:rsidRPr="001B6E4D">
        <w:rPr>
          <w:rFonts w:ascii="標楷體" w:eastAsia="標楷體" w:hAnsi="標楷體"/>
          <w:kern w:val="0"/>
          <w:sz w:val="28"/>
          <w:szCs w:val="28"/>
          <w:fitText w:val="1120" w:id="-758489088"/>
          <w:lang w:val="x-none" w:eastAsia="x-none"/>
        </w:rPr>
        <w:t>時    間</w:t>
      </w:r>
      <w:r w:rsidRPr="001B6E4D">
        <w:rPr>
          <w:rFonts w:ascii="標楷體" w:eastAsia="標楷體" w:hAnsi="標楷體"/>
          <w:spacing w:val="-10"/>
          <w:kern w:val="0"/>
          <w:sz w:val="28"/>
          <w:szCs w:val="28"/>
          <w:lang w:val="x-none" w:eastAsia="x-none"/>
        </w:rPr>
        <w:t>：</w:t>
      </w:r>
      <w:r w:rsidRPr="001B6E4D">
        <w:rPr>
          <w:rFonts w:ascii="標楷體" w:eastAsia="標楷體" w:hAnsi="標楷體"/>
          <w:spacing w:val="-14"/>
          <w:kern w:val="0"/>
          <w:sz w:val="28"/>
          <w:szCs w:val="28"/>
          <w:lang w:val="x-none" w:eastAsia="x-none"/>
        </w:rPr>
        <w:t>中華民國</w:t>
      </w:r>
      <w:r w:rsidRPr="001B6E4D">
        <w:rPr>
          <w:rFonts w:ascii="標楷體" w:eastAsia="標楷體" w:hAnsi="標楷體" w:hint="eastAsia"/>
          <w:spacing w:val="-14"/>
          <w:kern w:val="0"/>
          <w:sz w:val="28"/>
          <w:szCs w:val="28"/>
          <w:lang w:val="x-none"/>
        </w:rPr>
        <w:t>115</w:t>
      </w:r>
      <w:r w:rsidRPr="001B6E4D">
        <w:rPr>
          <w:rFonts w:ascii="標楷體" w:eastAsia="標楷體" w:hAnsi="標楷體"/>
          <w:spacing w:val="-14"/>
          <w:kern w:val="0"/>
          <w:sz w:val="28"/>
          <w:szCs w:val="28"/>
          <w:lang w:val="x-none" w:eastAsia="x-none"/>
        </w:rPr>
        <w:t>年</w:t>
      </w:r>
      <w:r w:rsidRPr="001B6E4D">
        <w:rPr>
          <w:rFonts w:ascii="標楷體" w:eastAsia="標楷體" w:hAnsi="標楷體" w:hint="eastAsia"/>
          <w:spacing w:val="-14"/>
          <w:kern w:val="0"/>
          <w:sz w:val="28"/>
          <w:szCs w:val="28"/>
          <w:lang w:val="x-none"/>
        </w:rPr>
        <w:t>3</w:t>
      </w:r>
      <w:r w:rsidRPr="001B6E4D">
        <w:rPr>
          <w:rFonts w:ascii="標楷體" w:eastAsia="標楷體" w:hAnsi="標楷體"/>
          <w:spacing w:val="-14"/>
          <w:kern w:val="0"/>
          <w:sz w:val="28"/>
          <w:szCs w:val="28"/>
          <w:lang w:val="x-none" w:eastAsia="x-none"/>
        </w:rPr>
        <w:t>月</w:t>
      </w:r>
      <w:r w:rsidRPr="001B6E4D">
        <w:rPr>
          <w:rFonts w:ascii="標楷體" w:eastAsia="標楷體" w:hAnsi="標楷體" w:hint="eastAsia"/>
          <w:spacing w:val="-14"/>
          <w:kern w:val="0"/>
          <w:sz w:val="28"/>
          <w:szCs w:val="28"/>
          <w:lang w:val="x-none"/>
        </w:rPr>
        <w:t>11</w:t>
      </w:r>
      <w:r w:rsidRPr="001B6E4D">
        <w:rPr>
          <w:rFonts w:ascii="標楷體" w:eastAsia="標楷體" w:hAnsi="標楷體"/>
          <w:spacing w:val="-14"/>
          <w:kern w:val="0"/>
          <w:sz w:val="28"/>
          <w:szCs w:val="28"/>
          <w:lang w:val="x-none" w:eastAsia="x-none"/>
        </w:rPr>
        <w:t>日（星期</w:t>
      </w:r>
      <w:r w:rsidRPr="001B6E4D">
        <w:rPr>
          <w:rFonts w:ascii="標楷體" w:eastAsia="標楷體" w:hAnsi="標楷體" w:hint="eastAsia"/>
          <w:spacing w:val="-14"/>
          <w:kern w:val="0"/>
          <w:sz w:val="28"/>
          <w:szCs w:val="28"/>
          <w:lang w:val="x-none"/>
        </w:rPr>
        <w:t>三</w:t>
      </w:r>
      <w:r w:rsidRPr="001B6E4D">
        <w:rPr>
          <w:rFonts w:ascii="標楷體" w:eastAsia="標楷體" w:hAnsi="標楷體"/>
          <w:spacing w:val="-14"/>
          <w:kern w:val="0"/>
          <w:sz w:val="28"/>
          <w:szCs w:val="28"/>
          <w:lang w:val="x-none" w:eastAsia="x-none"/>
        </w:rPr>
        <w:t>）上午</w:t>
      </w:r>
      <w:r w:rsidRPr="001B6E4D">
        <w:rPr>
          <w:rFonts w:ascii="標楷體" w:eastAsia="標楷體" w:hAnsi="標楷體" w:hint="eastAsia"/>
          <w:spacing w:val="-14"/>
          <w:kern w:val="0"/>
          <w:sz w:val="28"/>
          <w:szCs w:val="28"/>
          <w:lang w:val="x-none"/>
        </w:rPr>
        <w:t>9</w:t>
      </w:r>
      <w:r w:rsidRPr="001B6E4D">
        <w:rPr>
          <w:rFonts w:ascii="標楷體" w:eastAsia="標楷體" w:hAnsi="標楷體"/>
          <w:spacing w:val="-14"/>
          <w:kern w:val="0"/>
          <w:sz w:val="28"/>
          <w:szCs w:val="28"/>
          <w:lang w:val="x-none" w:eastAsia="x-none"/>
        </w:rPr>
        <w:t>時</w:t>
      </w:r>
      <w:r w:rsidRPr="001B6E4D">
        <w:rPr>
          <w:rFonts w:ascii="標楷體" w:eastAsia="標楷體" w:hAnsi="標楷體" w:hint="eastAsia"/>
          <w:spacing w:val="-14"/>
          <w:kern w:val="0"/>
          <w:sz w:val="28"/>
          <w:szCs w:val="28"/>
          <w:lang w:val="x-none"/>
        </w:rPr>
        <w:t>6</w:t>
      </w:r>
      <w:r w:rsidRPr="001B6E4D">
        <w:rPr>
          <w:rFonts w:ascii="標楷體" w:eastAsia="標楷體" w:hAnsi="標楷體" w:hint="eastAsia"/>
          <w:spacing w:val="-14"/>
          <w:kern w:val="0"/>
          <w:sz w:val="28"/>
          <w:szCs w:val="28"/>
          <w:lang w:val="x-none" w:eastAsia="x-none"/>
        </w:rPr>
        <w:t>分</w:t>
      </w:r>
      <w:r w:rsidRPr="001B6E4D">
        <w:rPr>
          <w:rFonts w:ascii="標楷體" w:eastAsia="標楷體" w:hAnsi="標楷體"/>
          <w:spacing w:val="-14"/>
          <w:kern w:val="0"/>
          <w:sz w:val="28"/>
          <w:szCs w:val="28"/>
          <w:lang w:val="x-none" w:eastAsia="x-none"/>
        </w:rPr>
        <w:t>至</w:t>
      </w:r>
      <w:r w:rsidRPr="001B6E4D">
        <w:rPr>
          <w:rFonts w:ascii="標楷體" w:eastAsia="標楷體" w:hAnsi="標楷體" w:hint="eastAsia"/>
          <w:spacing w:val="-14"/>
          <w:kern w:val="0"/>
          <w:sz w:val="28"/>
          <w:szCs w:val="28"/>
          <w:lang w:val="x-none"/>
        </w:rPr>
        <w:t>9</w:t>
      </w:r>
      <w:r w:rsidRPr="001B6E4D">
        <w:rPr>
          <w:rFonts w:ascii="標楷體" w:eastAsia="標楷體" w:hAnsi="標楷體"/>
          <w:spacing w:val="-14"/>
          <w:kern w:val="0"/>
          <w:sz w:val="28"/>
          <w:szCs w:val="28"/>
          <w:lang w:val="x-none" w:eastAsia="x-none"/>
        </w:rPr>
        <w:t>時</w:t>
      </w:r>
      <w:r w:rsidRPr="001B6E4D">
        <w:rPr>
          <w:rFonts w:ascii="標楷體" w:eastAsia="標楷體" w:hAnsi="標楷體" w:hint="eastAsia"/>
          <w:spacing w:val="-14"/>
          <w:kern w:val="0"/>
          <w:sz w:val="28"/>
          <w:szCs w:val="28"/>
          <w:lang w:val="x-none"/>
        </w:rPr>
        <w:t>11</w:t>
      </w:r>
      <w:r w:rsidRPr="001B6E4D">
        <w:rPr>
          <w:rFonts w:ascii="標楷體" w:eastAsia="標楷體" w:hAnsi="標楷體" w:hint="eastAsia"/>
          <w:spacing w:val="-14"/>
          <w:kern w:val="0"/>
          <w:sz w:val="28"/>
          <w:szCs w:val="28"/>
          <w:lang w:val="x-none" w:eastAsia="x-none"/>
        </w:rPr>
        <w:t>分</w:t>
      </w:r>
    </w:p>
    <w:p w14:paraId="79137493" w14:textId="77777777" w:rsidR="00B53B50" w:rsidRPr="001B6E4D" w:rsidRDefault="00B53B50"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758489087"/>
          <w:lang w:val="x-none" w:eastAsia="x-none"/>
        </w:rPr>
        <w:t>地    點</w:t>
      </w:r>
      <w:r w:rsidRPr="001B6E4D">
        <w:rPr>
          <w:rFonts w:ascii="標楷體" w:eastAsia="標楷體" w:hAnsi="標楷體"/>
          <w:kern w:val="0"/>
          <w:sz w:val="28"/>
          <w:szCs w:val="28"/>
          <w:lang w:val="x-none" w:eastAsia="x-none"/>
        </w:rPr>
        <w:t>：本院紅樓302會議室</w:t>
      </w:r>
    </w:p>
    <w:p w14:paraId="7A6C1F63" w14:textId="77777777" w:rsidR="00B53B50" w:rsidRPr="001B6E4D" w:rsidRDefault="00B53B50" w:rsidP="003D1018">
      <w:pPr>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林沛祥</w:t>
      </w:r>
      <w:r w:rsidRPr="001B6E4D">
        <w:rPr>
          <w:rFonts w:ascii="標楷體" w:eastAsia="標楷體" w:hAnsi="標楷體" w:hint="eastAsia"/>
          <w:sz w:val="28"/>
          <w:szCs w:val="28"/>
        </w:rPr>
        <w:tab/>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陳昭姿</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t>翁曉玲</w:t>
      </w:r>
      <w:r w:rsidRPr="001B6E4D">
        <w:rPr>
          <w:rFonts w:ascii="標楷體" w:eastAsia="標楷體" w:hAnsi="標楷體" w:hint="eastAsia"/>
          <w:sz w:val="28"/>
          <w:szCs w:val="28"/>
        </w:rPr>
        <w:tab/>
        <w:t>柯建銘</w:t>
      </w:r>
      <w:r w:rsidRPr="001B6E4D">
        <w:rPr>
          <w:rFonts w:ascii="標楷體" w:eastAsia="標楷體" w:hAnsi="標楷體" w:hint="eastAsia"/>
          <w:sz w:val="28"/>
          <w:szCs w:val="28"/>
        </w:rPr>
        <w:tab/>
        <w:t>張雅琳</w:t>
      </w:r>
      <w:r w:rsidRPr="001B6E4D">
        <w:rPr>
          <w:rFonts w:ascii="標楷體" w:eastAsia="標楷體" w:hAnsi="標楷體" w:hint="eastAsia"/>
          <w:sz w:val="28"/>
          <w:szCs w:val="28"/>
        </w:rPr>
        <w:tab/>
      </w:r>
    </w:p>
    <w:p w14:paraId="20FD2010" w14:textId="77777777" w:rsidR="00B53B50" w:rsidRPr="001B6E4D" w:rsidRDefault="00B53B50" w:rsidP="003D1018">
      <w:pPr>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傅崐萁</w:t>
      </w:r>
      <w:r w:rsidRPr="001B6E4D">
        <w:rPr>
          <w:rFonts w:ascii="標楷體" w:eastAsia="標楷體" w:hAnsi="標楷體"/>
          <w:sz w:val="28"/>
          <w:szCs w:val="28"/>
        </w:rPr>
        <w:tab/>
      </w:r>
      <w:r w:rsidRPr="001B6E4D">
        <w:rPr>
          <w:rFonts w:ascii="標楷體" w:eastAsia="標楷體" w:hAnsi="標楷體" w:hint="eastAsia"/>
          <w:sz w:val="28"/>
          <w:szCs w:val="28"/>
        </w:rPr>
        <w:t>林倩綺</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莊瑞雄</w:t>
      </w:r>
      <w:r w:rsidRPr="001B6E4D">
        <w:rPr>
          <w:rFonts w:ascii="標楷體" w:eastAsia="標楷體" w:hAnsi="標楷體"/>
          <w:sz w:val="28"/>
          <w:szCs w:val="28"/>
        </w:rPr>
        <w:tab/>
      </w:r>
      <w:r w:rsidRPr="001B6E4D">
        <w:rPr>
          <w:rFonts w:ascii="標楷體" w:eastAsia="標楷體" w:hAnsi="標楷體" w:hint="eastAsia"/>
          <w:sz w:val="28"/>
          <w:szCs w:val="28"/>
        </w:rPr>
        <w:t>江啟臣</w:t>
      </w:r>
      <w:r w:rsidRPr="001B6E4D">
        <w:rPr>
          <w:rFonts w:ascii="標楷體" w:eastAsia="標楷體" w:hAnsi="標楷體" w:hint="eastAsia"/>
          <w:sz w:val="28"/>
          <w:szCs w:val="28"/>
        </w:rPr>
        <w:tab/>
        <w:t>蔡其昌</w:t>
      </w:r>
      <w:r w:rsidRPr="001B6E4D">
        <w:rPr>
          <w:rFonts w:ascii="標楷體" w:eastAsia="標楷體" w:hAnsi="標楷體" w:hint="eastAsia"/>
          <w:sz w:val="28"/>
          <w:szCs w:val="28"/>
        </w:rPr>
        <w:tab/>
        <w:t>范  雲</w:t>
      </w:r>
    </w:p>
    <w:p w14:paraId="29C3CC79" w14:textId="77777777" w:rsidR="00B53B50" w:rsidRPr="001B6E4D" w:rsidRDefault="00B53B50" w:rsidP="003D1018">
      <w:pPr>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14</w:t>
      </w:r>
      <w:r w:rsidRPr="001B6E4D">
        <w:rPr>
          <w:rFonts w:ascii="標楷體" w:eastAsia="標楷體" w:hAnsi="標楷體"/>
          <w:sz w:val="28"/>
          <w:szCs w:val="28"/>
        </w:rPr>
        <w:t>人</w:t>
      </w:r>
    </w:p>
    <w:p w14:paraId="5787FC72" w14:textId="77777777" w:rsidR="00B53B50" w:rsidRPr="001B6E4D" w:rsidRDefault="00B53B50" w:rsidP="003D1018">
      <w:pPr>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席：柯委員建銘</w:t>
      </w:r>
    </w:p>
    <w:p w14:paraId="16EC8DFD" w14:textId="77777777" w:rsidR="00B53B50" w:rsidRPr="001B6E4D" w:rsidRDefault="00B53B50"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0C0FDDF5" w14:textId="77777777" w:rsidR="00B53B50" w:rsidRPr="001B6E4D" w:rsidRDefault="00B53B50"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57C2B893" w14:textId="77777777" w:rsidR="00B53B50" w:rsidRPr="001B6E4D" w:rsidRDefault="00B53B50"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642FBE8F" w14:textId="77777777" w:rsidR="00B53B50" w:rsidRPr="001B6E4D" w:rsidRDefault="00B53B50"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16AE6804" w14:textId="77777777" w:rsidR="00B53B50" w:rsidRPr="001B6E4D" w:rsidRDefault="00B53B50"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3BD922CB" w14:textId="77777777" w:rsidR="00B53B50" w:rsidRPr="001B6E4D" w:rsidRDefault="00B53B50"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14188836" w14:textId="77777777" w:rsidR="00B53B50" w:rsidRPr="001B6E4D" w:rsidRDefault="00B53B50"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lang w:val="x-none"/>
        </w:rPr>
      </w:pPr>
      <w:r w:rsidRPr="001B6E4D">
        <w:rPr>
          <w:rFonts w:ascii="標楷體" w:eastAsia="標楷體" w:hAnsi="標楷體"/>
          <w:b/>
          <w:kern w:val="0"/>
          <w:sz w:val="28"/>
          <w:szCs w:val="28"/>
          <w:lang w:val="x-none"/>
        </w:rPr>
        <w:t>報告事項</w:t>
      </w:r>
    </w:p>
    <w:p w14:paraId="0C2E3784" w14:textId="77777777" w:rsidR="00B53B50" w:rsidRPr="001B6E4D" w:rsidRDefault="00B53B50" w:rsidP="003D1018">
      <w:pPr>
        <w:overflowPunct w:val="0"/>
        <w:spacing w:line="360" w:lineRule="exact"/>
        <w:ind w:leftChars="6" w:left="546" w:hangingChars="190" w:hanging="532"/>
        <w:contextualSpacing/>
        <w:jc w:val="both"/>
        <w:rPr>
          <w:rFonts w:ascii="標楷體" w:eastAsia="標楷體" w:hAnsi="標楷體"/>
          <w:sz w:val="28"/>
          <w:szCs w:val="28"/>
        </w:rPr>
      </w:pPr>
      <w:r w:rsidRPr="001B6E4D">
        <w:rPr>
          <w:rFonts w:ascii="標楷體" w:eastAsia="標楷體" w:hAnsi="標楷體" w:hint="eastAsia"/>
          <w:sz w:val="28"/>
          <w:szCs w:val="28"/>
        </w:rPr>
        <w:t>一、本院第11屆第5會期各委員會召集委員選舉時間及地點，業經本院第11屆第5會期第</w:t>
      </w:r>
      <w:r w:rsidRPr="001B6E4D">
        <w:rPr>
          <w:rFonts w:ascii="標楷體" w:eastAsia="標楷體" w:hAnsi="標楷體"/>
          <w:sz w:val="28"/>
          <w:szCs w:val="28"/>
        </w:rPr>
        <w:t>1</w:t>
      </w:r>
      <w:r w:rsidRPr="001B6E4D">
        <w:rPr>
          <w:rFonts w:ascii="標楷體" w:eastAsia="標楷體" w:hAnsi="標楷體" w:hint="eastAsia"/>
          <w:sz w:val="28"/>
          <w:szCs w:val="28"/>
        </w:rPr>
        <w:t>次會議決定照案通過在案。</w:t>
      </w:r>
    </w:p>
    <w:p w14:paraId="641489C2" w14:textId="77777777" w:rsidR="00B53B50" w:rsidRPr="001B6E4D" w:rsidRDefault="00B53B50"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二、宣讀本會期本會召集委員選舉人名冊。</w:t>
      </w:r>
    </w:p>
    <w:p w14:paraId="02F5CA45" w14:textId="77777777" w:rsidR="00B53B50" w:rsidRPr="001B6E4D" w:rsidRDefault="00B53B50"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lang w:val="x-none"/>
        </w:rPr>
      </w:pPr>
      <w:r w:rsidRPr="001B6E4D">
        <w:rPr>
          <w:rFonts w:ascii="標楷體" w:eastAsia="標楷體" w:hAnsi="標楷體" w:hint="eastAsia"/>
          <w:b/>
          <w:kern w:val="0"/>
          <w:sz w:val="28"/>
          <w:szCs w:val="28"/>
          <w:lang w:val="x-none"/>
        </w:rPr>
        <w:t>選舉事項</w:t>
      </w:r>
    </w:p>
    <w:p w14:paraId="2A5D7709" w14:textId="77777777" w:rsidR="00B53B50" w:rsidRPr="001B6E4D" w:rsidRDefault="00B53B50"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選舉第1</w:t>
      </w:r>
      <w:r w:rsidRPr="001B6E4D">
        <w:rPr>
          <w:rFonts w:ascii="標楷體" w:eastAsia="標楷體" w:hAnsi="標楷體"/>
          <w:sz w:val="28"/>
          <w:szCs w:val="28"/>
        </w:rPr>
        <w:t>1</w:t>
      </w:r>
      <w:r w:rsidRPr="001B6E4D">
        <w:rPr>
          <w:rFonts w:ascii="標楷體" w:eastAsia="標楷體" w:hAnsi="標楷體" w:hint="eastAsia"/>
          <w:sz w:val="28"/>
          <w:szCs w:val="28"/>
        </w:rPr>
        <w:t>屆第5會期本會召集委員。</w:t>
      </w:r>
    </w:p>
    <w:p w14:paraId="5EAC5010" w14:textId="77777777" w:rsidR="00B53B50" w:rsidRPr="001B6E4D" w:rsidRDefault="00B53B50" w:rsidP="003D1018">
      <w:pPr>
        <w:overflowPunct w:val="0"/>
        <w:snapToGrid w:val="0"/>
        <w:spacing w:line="360" w:lineRule="exact"/>
        <w:ind w:left="1" w:firstLineChars="1" w:firstLine="3"/>
        <w:jc w:val="both"/>
        <w:rPr>
          <w:rFonts w:ascii="標楷體" w:eastAsia="標楷體" w:hAnsi="標楷體"/>
          <w:sz w:val="28"/>
          <w:szCs w:val="28"/>
        </w:rPr>
      </w:pPr>
      <w:r w:rsidRPr="001B6E4D">
        <w:rPr>
          <w:rFonts w:ascii="標楷體" w:eastAsia="標楷體" w:hAnsi="標楷體"/>
          <w:sz w:val="28"/>
          <w:szCs w:val="28"/>
        </w:rPr>
        <w:t>(依立法院各委員會召集委員選舉辦法第5條</w:t>
      </w:r>
      <w:r w:rsidRPr="001B6E4D">
        <w:rPr>
          <w:rFonts w:ascii="標楷體" w:eastAsia="標楷體" w:hAnsi="標楷體" w:hint="eastAsia"/>
          <w:sz w:val="28"/>
          <w:szCs w:val="28"/>
        </w:rPr>
        <w:t>及第8條規定，</w:t>
      </w:r>
      <w:r w:rsidRPr="001B6E4D">
        <w:rPr>
          <w:rFonts w:ascii="標楷體" w:eastAsia="標楷體" w:hAnsi="標楷體"/>
          <w:sz w:val="28"/>
          <w:szCs w:val="28"/>
        </w:rPr>
        <w:t>召集委員之選舉，以無記名單記法票選之。但經</w:t>
      </w:r>
      <w:r w:rsidRPr="001B6E4D">
        <w:rPr>
          <w:rFonts w:ascii="標楷體" w:eastAsia="標楷體" w:hAnsi="標楷體" w:hint="eastAsia"/>
          <w:sz w:val="28"/>
          <w:szCs w:val="28"/>
        </w:rPr>
        <w:t>各該委員會全體委員，或經各黨團及未參加黨團之該委員會委員之書面同意，亦得以推選方式行之。以推選行之者，由各該委員會出席委員簽名，或由各黨團及未參加黨團之該委員會委員簽名定之。</w:t>
      </w:r>
      <w:r w:rsidRPr="001B6E4D">
        <w:rPr>
          <w:rFonts w:ascii="標楷體" w:eastAsia="標楷體" w:hAnsi="標楷體"/>
          <w:sz w:val="28"/>
          <w:szCs w:val="28"/>
        </w:rPr>
        <w:t>)</w:t>
      </w:r>
    </w:p>
    <w:p w14:paraId="138864B6" w14:textId="77777777" w:rsidR="00B53B50" w:rsidRPr="001B6E4D" w:rsidRDefault="00B53B50" w:rsidP="003D1018">
      <w:pPr>
        <w:overflowPunct w:val="0"/>
        <w:snapToGrid w:val="0"/>
        <w:spacing w:line="360" w:lineRule="exact"/>
        <w:ind w:leftChars="6" w:left="1386" w:hangingChars="490" w:hanging="1372"/>
        <w:rPr>
          <w:rFonts w:ascii="標楷體" w:eastAsia="標楷體" w:hAnsi="標楷體"/>
          <w:sz w:val="28"/>
          <w:szCs w:val="28"/>
        </w:rPr>
      </w:pPr>
      <w:r w:rsidRPr="001B6E4D">
        <w:rPr>
          <w:rFonts w:ascii="標楷體" w:eastAsia="標楷體" w:hAnsi="標楷體" w:hint="eastAsia"/>
          <w:sz w:val="28"/>
          <w:szCs w:val="28"/>
        </w:rPr>
        <w:t>主席宣告：推選翁委員曉玲、莊委員瑞雄為立法院第11屆第5會期司法及法制委員會召集委員。</w:t>
      </w:r>
    </w:p>
    <w:p w14:paraId="728C46FF" w14:textId="77777777" w:rsidR="00B53B50" w:rsidRPr="001B6E4D" w:rsidRDefault="00B53B50" w:rsidP="003D1018">
      <w:pPr>
        <w:overflowPunct w:val="0"/>
        <w:snapToGrid w:val="0"/>
        <w:spacing w:line="360" w:lineRule="exact"/>
        <w:rPr>
          <w:rFonts w:ascii="標楷體" w:eastAsia="標楷體" w:hAnsi="標楷體"/>
          <w:sz w:val="28"/>
          <w:szCs w:val="28"/>
        </w:rPr>
      </w:pPr>
      <w:r w:rsidRPr="001B6E4D">
        <w:rPr>
          <w:rFonts w:ascii="標楷體" w:eastAsia="標楷體" w:hAnsi="標楷體" w:hint="eastAsia"/>
          <w:sz w:val="28"/>
          <w:szCs w:val="28"/>
        </w:rPr>
        <w:t>散會</w:t>
      </w:r>
    </w:p>
    <w:p w14:paraId="0A8C9D46" w14:textId="78344E82" w:rsidR="000015F7" w:rsidRPr="001B6E4D" w:rsidRDefault="000015F7" w:rsidP="003D1018">
      <w:pPr>
        <w:overflowPunct w:val="0"/>
        <w:snapToGrid w:val="0"/>
        <w:spacing w:line="360" w:lineRule="exact"/>
        <w:rPr>
          <w:rFonts w:ascii="標楷體" w:eastAsia="標楷體" w:hAnsi="標楷體"/>
          <w:sz w:val="28"/>
          <w:szCs w:val="28"/>
        </w:rPr>
      </w:pPr>
      <w:r w:rsidRPr="001B6E4D">
        <w:rPr>
          <w:rFonts w:ascii="標楷體" w:eastAsia="標楷體" w:hAnsi="標楷體"/>
          <w:sz w:val="28"/>
          <w:szCs w:val="28"/>
        </w:rPr>
        <w:br w:type="page"/>
      </w:r>
    </w:p>
    <w:p w14:paraId="57C8BBB0" w14:textId="77777777" w:rsidR="005F5E6C" w:rsidRPr="001B6E4D" w:rsidRDefault="005F5E6C"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41" w:name="_Toc240446586"/>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2</w:t>
      </w:r>
      <w:r w:rsidRPr="001B6E4D">
        <w:rPr>
          <w:rFonts w:ascii="標楷體" w:eastAsia="標楷體" w:hAnsi="標楷體"/>
          <w:b/>
          <w:spacing w:val="-2"/>
          <w:sz w:val="28"/>
          <w:szCs w:val="28"/>
        </w:rPr>
        <w:t>次全體委員會議議事錄</w:t>
      </w:r>
      <w:bookmarkEnd w:id="441"/>
    </w:p>
    <w:p w14:paraId="4AD52EFF" w14:textId="77777777" w:rsidR="005F5E6C" w:rsidRPr="001B6E4D" w:rsidRDefault="005F5E6C" w:rsidP="003D1018">
      <w:pPr>
        <w:overflowPunct w:val="0"/>
        <w:adjustRightInd w:val="0"/>
        <w:snapToGrid w:val="0"/>
        <w:spacing w:line="360" w:lineRule="exact"/>
        <w:ind w:leftChars="1" w:left="1416" w:hangingChars="505" w:hanging="1414"/>
        <w:rPr>
          <w:rFonts w:ascii="標楷體" w:eastAsia="標楷體" w:hAnsi="標楷體"/>
          <w:spacing w:val="-10"/>
          <w:kern w:val="0"/>
          <w:sz w:val="28"/>
          <w:szCs w:val="28"/>
        </w:rPr>
      </w:pPr>
      <w:r w:rsidRPr="001B6E4D">
        <w:rPr>
          <w:rFonts w:ascii="標楷體" w:eastAsia="標楷體" w:hAnsi="標楷體"/>
          <w:kern w:val="0"/>
          <w:sz w:val="28"/>
          <w:szCs w:val="28"/>
          <w:fitText w:val="1120" w:id="-758489088"/>
          <w:lang w:val="x-none" w:eastAsia="x-none"/>
        </w:rPr>
        <w:t>時    間</w:t>
      </w:r>
      <w:r w:rsidRPr="001B6E4D">
        <w:rPr>
          <w:rFonts w:ascii="標楷體" w:eastAsia="標楷體" w:hAnsi="標楷體"/>
          <w:spacing w:val="-10"/>
          <w:kern w:val="0"/>
          <w:sz w:val="28"/>
          <w:szCs w:val="28"/>
          <w:lang w:val="x-none" w:eastAsia="x-none"/>
        </w:rPr>
        <w:t>：</w:t>
      </w:r>
      <w:r w:rsidRPr="001B6E4D">
        <w:rPr>
          <w:rFonts w:ascii="標楷體" w:eastAsia="標楷體" w:hAnsi="標楷體"/>
          <w:spacing w:val="-14"/>
          <w:kern w:val="0"/>
          <w:sz w:val="28"/>
          <w:szCs w:val="28"/>
          <w:lang w:val="x-none" w:eastAsia="x-none"/>
        </w:rPr>
        <w:t>中華民國</w:t>
      </w:r>
      <w:r w:rsidRPr="001B6E4D">
        <w:rPr>
          <w:rFonts w:ascii="標楷體" w:eastAsia="標楷體" w:hAnsi="標楷體" w:hint="eastAsia"/>
          <w:spacing w:val="-14"/>
          <w:kern w:val="0"/>
          <w:sz w:val="28"/>
          <w:szCs w:val="28"/>
          <w:lang w:val="x-none"/>
        </w:rPr>
        <w:t>115</w:t>
      </w:r>
      <w:r w:rsidRPr="001B6E4D">
        <w:rPr>
          <w:rFonts w:ascii="標楷體" w:eastAsia="標楷體" w:hAnsi="標楷體"/>
          <w:spacing w:val="-14"/>
          <w:kern w:val="0"/>
          <w:sz w:val="28"/>
          <w:szCs w:val="28"/>
          <w:lang w:val="x-none" w:eastAsia="x-none"/>
        </w:rPr>
        <w:t>年</w:t>
      </w:r>
      <w:r w:rsidRPr="001B6E4D">
        <w:rPr>
          <w:rFonts w:ascii="標楷體" w:eastAsia="標楷體" w:hAnsi="標楷體" w:hint="eastAsia"/>
          <w:spacing w:val="-14"/>
          <w:kern w:val="0"/>
          <w:sz w:val="28"/>
          <w:szCs w:val="28"/>
          <w:lang w:val="x-none"/>
        </w:rPr>
        <w:t>3</w:t>
      </w:r>
      <w:r w:rsidRPr="001B6E4D">
        <w:rPr>
          <w:rFonts w:ascii="標楷體" w:eastAsia="標楷體" w:hAnsi="標楷體"/>
          <w:spacing w:val="-14"/>
          <w:kern w:val="0"/>
          <w:sz w:val="28"/>
          <w:szCs w:val="28"/>
          <w:lang w:val="x-none" w:eastAsia="x-none"/>
        </w:rPr>
        <w:t>月</w:t>
      </w:r>
      <w:r w:rsidRPr="001B6E4D">
        <w:rPr>
          <w:rFonts w:ascii="標楷體" w:eastAsia="標楷體" w:hAnsi="標楷體" w:hint="eastAsia"/>
          <w:spacing w:val="-14"/>
          <w:kern w:val="0"/>
          <w:sz w:val="28"/>
          <w:szCs w:val="28"/>
          <w:lang w:val="x-none"/>
        </w:rPr>
        <w:t>18</w:t>
      </w:r>
      <w:r w:rsidRPr="001B6E4D">
        <w:rPr>
          <w:rFonts w:ascii="標楷體" w:eastAsia="標楷體" w:hAnsi="標楷體"/>
          <w:spacing w:val="-14"/>
          <w:kern w:val="0"/>
          <w:sz w:val="28"/>
          <w:szCs w:val="28"/>
          <w:lang w:val="x-none" w:eastAsia="x-none"/>
        </w:rPr>
        <w:t>日（星期</w:t>
      </w:r>
      <w:r w:rsidRPr="001B6E4D">
        <w:rPr>
          <w:rFonts w:ascii="標楷體" w:eastAsia="標楷體" w:hAnsi="標楷體" w:hint="eastAsia"/>
          <w:spacing w:val="-14"/>
          <w:kern w:val="0"/>
          <w:sz w:val="28"/>
          <w:szCs w:val="28"/>
          <w:lang w:val="x-none"/>
        </w:rPr>
        <w:t>三</w:t>
      </w:r>
      <w:r w:rsidRPr="001B6E4D">
        <w:rPr>
          <w:rFonts w:ascii="標楷體" w:eastAsia="標楷體" w:hAnsi="標楷體"/>
          <w:spacing w:val="-14"/>
          <w:kern w:val="0"/>
          <w:sz w:val="28"/>
          <w:szCs w:val="28"/>
          <w:lang w:val="x-none" w:eastAsia="x-none"/>
        </w:rPr>
        <w:t>）上午</w:t>
      </w:r>
      <w:r w:rsidRPr="001B6E4D">
        <w:rPr>
          <w:rFonts w:ascii="標楷體" w:eastAsia="標楷體" w:hAnsi="標楷體" w:hint="eastAsia"/>
          <w:spacing w:val="-14"/>
          <w:kern w:val="0"/>
          <w:sz w:val="28"/>
          <w:szCs w:val="28"/>
          <w:lang w:val="x-none"/>
        </w:rPr>
        <w:t>9</w:t>
      </w:r>
      <w:r w:rsidRPr="001B6E4D">
        <w:rPr>
          <w:rFonts w:ascii="標楷體" w:eastAsia="標楷體" w:hAnsi="標楷體"/>
          <w:spacing w:val="-14"/>
          <w:kern w:val="0"/>
          <w:sz w:val="28"/>
          <w:szCs w:val="28"/>
          <w:lang w:val="x-none" w:eastAsia="x-none"/>
        </w:rPr>
        <w:t>時</w:t>
      </w:r>
      <w:r w:rsidRPr="001B6E4D">
        <w:rPr>
          <w:rFonts w:ascii="標楷體" w:eastAsia="標楷體" w:hAnsi="標楷體"/>
          <w:spacing w:val="-14"/>
          <w:kern w:val="0"/>
          <w:sz w:val="28"/>
          <w:szCs w:val="28"/>
          <w:lang w:val="x-none"/>
        </w:rPr>
        <w:t>4</w:t>
      </w:r>
      <w:r w:rsidRPr="001B6E4D">
        <w:rPr>
          <w:rFonts w:ascii="標楷體" w:eastAsia="標楷體" w:hAnsi="標楷體" w:hint="eastAsia"/>
          <w:spacing w:val="-14"/>
          <w:kern w:val="0"/>
          <w:sz w:val="28"/>
          <w:szCs w:val="28"/>
          <w:lang w:val="x-none"/>
        </w:rPr>
        <w:t>分</w:t>
      </w:r>
      <w:r w:rsidRPr="001B6E4D">
        <w:rPr>
          <w:rFonts w:ascii="標楷體" w:eastAsia="標楷體" w:hAnsi="標楷體"/>
          <w:spacing w:val="-14"/>
          <w:kern w:val="0"/>
          <w:sz w:val="28"/>
          <w:szCs w:val="28"/>
          <w:lang w:val="x-none" w:eastAsia="x-none"/>
        </w:rPr>
        <w:t>至</w:t>
      </w:r>
      <w:r w:rsidRPr="001B6E4D">
        <w:rPr>
          <w:rFonts w:ascii="標楷體" w:eastAsia="標楷體" w:hAnsi="標楷體"/>
          <w:spacing w:val="-14"/>
          <w:kern w:val="0"/>
          <w:sz w:val="28"/>
          <w:szCs w:val="28"/>
          <w:lang w:val="x-none"/>
        </w:rPr>
        <w:t>11</w:t>
      </w:r>
      <w:r w:rsidRPr="001B6E4D">
        <w:rPr>
          <w:rFonts w:ascii="標楷體" w:eastAsia="標楷體" w:hAnsi="標楷體"/>
          <w:spacing w:val="-14"/>
          <w:kern w:val="0"/>
          <w:sz w:val="28"/>
          <w:szCs w:val="28"/>
          <w:lang w:val="x-none" w:eastAsia="x-none"/>
        </w:rPr>
        <w:t>時</w:t>
      </w:r>
      <w:r w:rsidRPr="001B6E4D">
        <w:rPr>
          <w:rFonts w:ascii="標楷體" w:eastAsia="標楷體" w:hAnsi="標楷體"/>
          <w:spacing w:val="-14"/>
          <w:kern w:val="0"/>
          <w:sz w:val="28"/>
          <w:szCs w:val="28"/>
          <w:lang w:val="x-none"/>
        </w:rPr>
        <w:t>59</w:t>
      </w:r>
      <w:r w:rsidRPr="001B6E4D">
        <w:rPr>
          <w:rFonts w:ascii="標楷體" w:eastAsia="標楷體" w:hAnsi="標楷體" w:hint="eastAsia"/>
          <w:spacing w:val="-14"/>
          <w:kern w:val="0"/>
          <w:sz w:val="28"/>
          <w:szCs w:val="28"/>
          <w:lang w:val="x-none" w:eastAsia="x-none"/>
        </w:rPr>
        <w:t>分；</w:t>
      </w:r>
      <w:r w:rsidRPr="001B6E4D">
        <w:rPr>
          <w:rFonts w:ascii="標楷體" w:eastAsia="標楷體" w:hAnsi="標楷體" w:hint="eastAsia"/>
          <w:spacing w:val="-14"/>
          <w:kern w:val="0"/>
          <w:sz w:val="28"/>
          <w:szCs w:val="28"/>
          <w:lang w:val="x-none"/>
        </w:rPr>
        <w:t>3</w:t>
      </w:r>
      <w:r w:rsidRPr="001B6E4D">
        <w:rPr>
          <w:rFonts w:ascii="標楷體" w:eastAsia="標楷體" w:hAnsi="標楷體" w:hint="eastAsia"/>
          <w:spacing w:val="-14"/>
          <w:kern w:val="0"/>
          <w:sz w:val="28"/>
          <w:szCs w:val="28"/>
          <w:lang w:val="x-none" w:eastAsia="x-none"/>
        </w:rPr>
        <w:t>月</w:t>
      </w:r>
      <w:r w:rsidRPr="001B6E4D">
        <w:rPr>
          <w:rFonts w:ascii="標楷體" w:eastAsia="標楷體" w:hAnsi="標楷體" w:hint="eastAsia"/>
          <w:spacing w:val="-14"/>
          <w:kern w:val="0"/>
          <w:sz w:val="28"/>
          <w:szCs w:val="28"/>
          <w:lang w:val="x-none"/>
        </w:rPr>
        <w:t>19</w:t>
      </w:r>
      <w:r w:rsidRPr="001B6E4D">
        <w:rPr>
          <w:rFonts w:ascii="標楷體" w:eastAsia="標楷體" w:hAnsi="標楷體" w:hint="eastAsia"/>
          <w:spacing w:val="-14"/>
          <w:kern w:val="0"/>
          <w:sz w:val="28"/>
          <w:szCs w:val="28"/>
          <w:lang w:val="x-none" w:eastAsia="x-none"/>
        </w:rPr>
        <w:t>日（星期</w:t>
      </w:r>
      <w:r w:rsidRPr="001B6E4D">
        <w:rPr>
          <w:rFonts w:ascii="標楷體" w:eastAsia="標楷體" w:hAnsi="標楷體" w:hint="eastAsia"/>
          <w:spacing w:val="-14"/>
          <w:kern w:val="0"/>
          <w:sz w:val="28"/>
          <w:szCs w:val="28"/>
          <w:lang w:val="x-none"/>
        </w:rPr>
        <w:t>四</w:t>
      </w:r>
      <w:r w:rsidRPr="001B6E4D">
        <w:rPr>
          <w:rFonts w:ascii="標楷體" w:eastAsia="標楷體" w:hAnsi="標楷體" w:hint="eastAsia"/>
          <w:spacing w:val="-14"/>
          <w:kern w:val="0"/>
          <w:sz w:val="28"/>
          <w:szCs w:val="28"/>
          <w:lang w:val="x-none" w:eastAsia="x-none"/>
        </w:rPr>
        <w:t>）上午9時至</w:t>
      </w:r>
      <w:r w:rsidRPr="001B6E4D">
        <w:rPr>
          <w:rFonts w:ascii="標楷體" w:eastAsia="標楷體" w:hAnsi="標楷體" w:hint="eastAsia"/>
          <w:spacing w:val="-14"/>
          <w:kern w:val="0"/>
          <w:sz w:val="28"/>
          <w:szCs w:val="28"/>
          <w:lang w:val="x-none"/>
        </w:rPr>
        <w:t>1</w:t>
      </w:r>
      <w:r w:rsidRPr="001B6E4D">
        <w:rPr>
          <w:rFonts w:ascii="標楷體" w:eastAsia="標楷體" w:hAnsi="標楷體"/>
          <w:spacing w:val="-14"/>
          <w:kern w:val="0"/>
          <w:sz w:val="28"/>
          <w:szCs w:val="28"/>
          <w:lang w:val="x-none"/>
        </w:rPr>
        <w:t>2</w:t>
      </w:r>
      <w:r w:rsidRPr="001B6E4D">
        <w:rPr>
          <w:rFonts w:ascii="標楷體" w:eastAsia="標楷體" w:hAnsi="標楷體" w:hint="eastAsia"/>
          <w:spacing w:val="-14"/>
          <w:kern w:val="0"/>
          <w:sz w:val="28"/>
          <w:szCs w:val="28"/>
          <w:lang w:val="x-none" w:eastAsia="x-none"/>
        </w:rPr>
        <w:t>時</w:t>
      </w:r>
      <w:r w:rsidRPr="001B6E4D">
        <w:rPr>
          <w:rFonts w:ascii="標楷體" w:eastAsia="標楷體" w:hAnsi="標楷體" w:hint="eastAsia"/>
          <w:spacing w:val="-14"/>
          <w:kern w:val="0"/>
          <w:sz w:val="28"/>
          <w:szCs w:val="28"/>
          <w:lang w:val="x-none"/>
        </w:rPr>
        <w:t>8</w:t>
      </w:r>
      <w:r w:rsidRPr="001B6E4D">
        <w:rPr>
          <w:rFonts w:ascii="標楷體" w:eastAsia="標楷體" w:hAnsi="標楷體" w:hint="eastAsia"/>
          <w:spacing w:val="-14"/>
          <w:kern w:val="0"/>
          <w:sz w:val="28"/>
          <w:szCs w:val="28"/>
          <w:lang w:val="x-none" w:eastAsia="x-none"/>
        </w:rPr>
        <w:t>分</w:t>
      </w:r>
    </w:p>
    <w:p w14:paraId="6F78C13A" w14:textId="77777777" w:rsidR="005F5E6C" w:rsidRPr="001B6E4D" w:rsidRDefault="005F5E6C"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758489087"/>
          <w:lang w:val="x-none" w:eastAsia="x-none"/>
        </w:rPr>
        <w:t>地    點</w:t>
      </w:r>
      <w:r w:rsidRPr="001B6E4D">
        <w:rPr>
          <w:rFonts w:ascii="標楷體" w:eastAsia="標楷體" w:hAnsi="標楷體"/>
          <w:kern w:val="0"/>
          <w:sz w:val="28"/>
          <w:szCs w:val="28"/>
          <w:lang w:val="x-none" w:eastAsia="x-none"/>
        </w:rPr>
        <w:t>：本院紅樓302會議室</w:t>
      </w:r>
    </w:p>
    <w:p w14:paraId="0699D10C" w14:textId="77777777" w:rsidR="005F5E6C" w:rsidRPr="001B6E4D" w:rsidRDefault="005F5E6C" w:rsidP="003D1018">
      <w:pPr>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林倩綺</w:t>
      </w:r>
      <w:r w:rsidRPr="001B6E4D">
        <w:rPr>
          <w:rFonts w:ascii="標楷體" w:eastAsia="標楷體" w:hAnsi="標楷體" w:hint="eastAsia"/>
          <w:sz w:val="28"/>
          <w:szCs w:val="28"/>
        </w:rPr>
        <w:tab/>
        <w:t>翁曉玲</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張雅琳</w:t>
      </w:r>
      <w:r w:rsidRPr="001B6E4D">
        <w:rPr>
          <w:rFonts w:ascii="標楷體" w:eastAsia="標楷體" w:hAnsi="標楷體" w:hint="eastAsia"/>
          <w:sz w:val="28"/>
          <w:szCs w:val="28"/>
        </w:rPr>
        <w:tab/>
      </w:r>
    </w:p>
    <w:p w14:paraId="55F58051" w14:textId="77777777" w:rsidR="005F5E6C" w:rsidRPr="001B6E4D" w:rsidRDefault="005F5E6C" w:rsidP="003D1018">
      <w:pPr>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沈發惠</w:t>
      </w:r>
      <w:r w:rsidRPr="001B6E4D">
        <w:rPr>
          <w:rFonts w:ascii="標楷體" w:eastAsia="標楷體" w:hAnsi="標楷體" w:hint="eastAsia"/>
          <w:sz w:val="28"/>
          <w:szCs w:val="28"/>
        </w:rPr>
        <w:tab/>
        <w:t>蔡其昌</w:t>
      </w:r>
      <w:r w:rsidRPr="001B6E4D">
        <w:rPr>
          <w:rFonts w:ascii="標楷體" w:eastAsia="標楷體" w:hAnsi="標楷體" w:hint="eastAsia"/>
          <w:sz w:val="28"/>
          <w:szCs w:val="28"/>
        </w:rPr>
        <w:tab/>
        <w:t>傅崐萁</w:t>
      </w:r>
      <w:r w:rsidRPr="001B6E4D">
        <w:rPr>
          <w:rFonts w:ascii="標楷體" w:eastAsia="標楷體" w:hAnsi="標楷體"/>
          <w:sz w:val="28"/>
          <w:szCs w:val="28"/>
        </w:rPr>
        <w:tab/>
      </w:r>
      <w:r w:rsidRPr="001B6E4D">
        <w:rPr>
          <w:rFonts w:ascii="標楷體" w:eastAsia="標楷體" w:hAnsi="標楷體" w:hint="eastAsia"/>
          <w:sz w:val="28"/>
          <w:szCs w:val="28"/>
        </w:rPr>
        <w:t>莊瑞雄</w:t>
      </w:r>
      <w:r w:rsidRPr="001B6E4D">
        <w:rPr>
          <w:rFonts w:ascii="標楷體" w:eastAsia="標楷體" w:hAnsi="標楷體"/>
          <w:sz w:val="28"/>
          <w:szCs w:val="28"/>
        </w:rPr>
        <w:tab/>
      </w:r>
      <w:r w:rsidRPr="001B6E4D">
        <w:rPr>
          <w:rFonts w:ascii="標楷體" w:eastAsia="標楷體" w:hAnsi="標楷體" w:hint="eastAsia"/>
          <w:sz w:val="28"/>
          <w:szCs w:val="28"/>
        </w:rPr>
        <w:t>柯建銘</w:t>
      </w:r>
      <w:r w:rsidRPr="001B6E4D">
        <w:rPr>
          <w:rFonts w:ascii="標楷體" w:eastAsia="標楷體" w:hAnsi="標楷體" w:hint="eastAsia"/>
          <w:sz w:val="28"/>
          <w:szCs w:val="28"/>
        </w:rPr>
        <w:tab/>
        <w:t>許宇甄</w:t>
      </w:r>
      <w:r w:rsidRPr="001B6E4D">
        <w:rPr>
          <w:rFonts w:ascii="標楷體" w:eastAsia="標楷體" w:hAnsi="標楷體" w:hint="eastAsia"/>
          <w:sz w:val="28"/>
          <w:szCs w:val="28"/>
        </w:rPr>
        <w:tab/>
      </w:r>
    </w:p>
    <w:p w14:paraId="46487DCA"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13</w:t>
      </w:r>
      <w:r w:rsidRPr="001B6E4D">
        <w:rPr>
          <w:rFonts w:ascii="標楷體" w:eastAsia="標楷體" w:hAnsi="標楷體"/>
          <w:sz w:val="28"/>
          <w:szCs w:val="28"/>
        </w:rPr>
        <w:t>人</w:t>
      </w:r>
    </w:p>
    <w:p w14:paraId="660E8A78" w14:textId="77777777" w:rsidR="005F5E6C" w:rsidRPr="001B6E4D" w:rsidRDefault="005F5E6C" w:rsidP="003D1018">
      <w:pPr>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sz w:val="28"/>
          <w:szCs w:val="28"/>
        </w:rPr>
        <w:tab/>
      </w:r>
      <w:r w:rsidRPr="001B6E4D">
        <w:rPr>
          <w:rFonts w:ascii="標楷體" w:eastAsia="標楷體" w:hAnsi="標楷體" w:hint="eastAsia"/>
          <w:sz w:val="28"/>
          <w:szCs w:val="28"/>
        </w:rPr>
        <w:t>林月琴</w:t>
      </w:r>
      <w:r w:rsidRPr="001B6E4D">
        <w:rPr>
          <w:rFonts w:ascii="標楷體" w:eastAsia="標楷體" w:hAnsi="標楷體"/>
          <w:sz w:val="28"/>
          <w:szCs w:val="28"/>
        </w:rPr>
        <w:tab/>
      </w:r>
      <w:r w:rsidRPr="001B6E4D">
        <w:rPr>
          <w:rFonts w:ascii="標楷體" w:eastAsia="標楷體" w:hAnsi="標楷體" w:hint="eastAsia"/>
          <w:sz w:val="28"/>
          <w:szCs w:val="28"/>
        </w:rPr>
        <w:t>王鴻薇</w:t>
      </w:r>
      <w:r w:rsidRPr="001B6E4D">
        <w:rPr>
          <w:rFonts w:ascii="標楷體" w:eastAsia="標楷體" w:hAnsi="標楷體"/>
          <w:sz w:val="28"/>
          <w:szCs w:val="28"/>
        </w:rPr>
        <w:tab/>
      </w:r>
      <w:r w:rsidRPr="001B6E4D">
        <w:rPr>
          <w:rFonts w:ascii="標楷體" w:eastAsia="標楷體" w:hAnsi="標楷體" w:hint="eastAsia"/>
          <w:sz w:val="28"/>
          <w:szCs w:val="28"/>
        </w:rPr>
        <w:t>林宜瑾</w:t>
      </w:r>
      <w:r w:rsidRPr="001B6E4D">
        <w:rPr>
          <w:rFonts w:ascii="標楷體" w:eastAsia="標楷體" w:hAnsi="標楷體"/>
          <w:sz w:val="28"/>
          <w:szCs w:val="28"/>
        </w:rPr>
        <w:tab/>
      </w:r>
      <w:r w:rsidRPr="001B6E4D">
        <w:rPr>
          <w:rFonts w:ascii="標楷體" w:eastAsia="標楷體" w:hAnsi="標楷體" w:hint="eastAsia"/>
          <w:sz w:val="28"/>
          <w:szCs w:val="28"/>
        </w:rPr>
        <w:t>鄭正鈐</w:t>
      </w:r>
      <w:r w:rsidRPr="001B6E4D">
        <w:rPr>
          <w:rFonts w:ascii="標楷體" w:eastAsia="標楷體" w:hAnsi="標楷體"/>
          <w:sz w:val="28"/>
          <w:szCs w:val="28"/>
        </w:rPr>
        <w:tab/>
      </w:r>
      <w:r w:rsidRPr="001B6E4D">
        <w:rPr>
          <w:rFonts w:ascii="標楷體" w:eastAsia="標楷體" w:hAnsi="標楷體" w:hint="eastAsia"/>
          <w:sz w:val="28"/>
          <w:szCs w:val="28"/>
        </w:rPr>
        <w:t>謝衣鳯</w:t>
      </w:r>
      <w:r w:rsidRPr="001B6E4D">
        <w:rPr>
          <w:rFonts w:ascii="標楷體" w:eastAsia="標楷體" w:hAnsi="標楷體"/>
          <w:sz w:val="28"/>
          <w:szCs w:val="28"/>
        </w:rPr>
        <w:tab/>
      </w:r>
      <w:r w:rsidRPr="001B6E4D">
        <w:rPr>
          <w:rFonts w:ascii="標楷體" w:eastAsia="標楷體" w:hAnsi="標楷體" w:hint="eastAsia"/>
          <w:sz w:val="28"/>
          <w:szCs w:val="28"/>
        </w:rPr>
        <w:t>蘇清泉</w:t>
      </w:r>
      <w:r w:rsidRPr="001B6E4D">
        <w:rPr>
          <w:rFonts w:ascii="標楷體" w:eastAsia="標楷體" w:hAnsi="標楷體"/>
          <w:sz w:val="28"/>
          <w:szCs w:val="28"/>
        </w:rPr>
        <w:tab/>
      </w:r>
    </w:p>
    <w:p w14:paraId="56E3007F" w14:textId="77777777" w:rsidR="005F5E6C" w:rsidRPr="001B6E4D" w:rsidRDefault="005F5E6C" w:rsidP="003D1018">
      <w:pPr>
        <w:overflowPunct w:val="0"/>
        <w:snapToGrid w:val="0"/>
        <w:ind w:leftChars="239" w:left="574" w:firstLineChars="300" w:firstLine="840"/>
        <w:rPr>
          <w:rFonts w:ascii="標楷體" w:eastAsia="標楷體" w:hAnsi="標楷體"/>
          <w:sz w:val="28"/>
          <w:szCs w:val="28"/>
          <w:highlight w:val="yellow"/>
        </w:rPr>
      </w:pPr>
      <w:r w:rsidRPr="001B6E4D">
        <w:rPr>
          <w:rFonts w:ascii="標楷體" w:eastAsia="標楷體" w:hAnsi="標楷體" w:hint="eastAsia"/>
          <w:sz w:val="28"/>
          <w:szCs w:val="28"/>
        </w:rPr>
        <w:t>蔡易餘</w:t>
      </w:r>
      <w:r w:rsidRPr="001B6E4D">
        <w:rPr>
          <w:rFonts w:ascii="標楷體" w:eastAsia="標楷體" w:hAnsi="標楷體"/>
          <w:sz w:val="28"/>
          <w:szCs w:val="28"/>
        </w:rPr>
        <w:tab/>
      </w:r>
      <w:r w:rsidRPr="001B6E4D">
        <w:rPr>
          <w:rFonts w:ascii="標楷體" w:eastAsia="標楷體" w:hAnsi="標楷體" w:hint="eastAsia"/>
          <w:sz w:val="28"/>
          <w:szCs w:val="28"/>
        </w:rPr>
        <w:t>洪孟楷</w:t>
      </w:r>
      <w:r w:rsidRPr="001B6E4D">
        <w:rPr>
          <w:rFonts w:ascii="標楷體" w:eastAsia="標楷體" w:hAnsi="標楷體" w:hint="eastAsia"/>
          <w:sz w:val="28"/>
          <w:szCs w:val="28"/>
        </w:rPr>
        <w:tab/>
        <w:t>陳培瑜</w:t>
      </w:r>
      <w:r w:rsidRPr="001B6E4D">
        <w:rPr>
          <w:rFonts w:ascii="標楷體" w:eastAsia="標楷體" w:hAnsi="標楷體"/>
          <w:sz w:val="28"/>
          <w:szCs w:val="28"/>
        </w:rPr>
        <w:tab/>
      </w:r>
      <w:r w:rsidRPr="001B6E4D">
        <w:rPr>
          <w:rFonts w:ascii="標楷體" w:eastAsia="標楷體" w:hAnsi="標楷體" w:hint="eastAsia"/>
          <w:sz w:val="28"/>
          <w:szCs w:val="28"/>
        </w:rPr>
        <w:t>羅智強</w:t>
      </w:r>
      <w:r w:rsidRPr="001B6E4D">
        <w:rPr>
          <w:rFonts w:ascii="標楷體" w:eastAsia="標楷體" w:hAnsi="標楷體"/>
          <w:sz w:val="28"/>
          <w:szCs w:val="28"/>
        </w:rPr>
        <w:tab/>
      </w:r>
      <w:r w:rsidRPr="001B6E4D">
        <w:rPr>
          <w:rFonts w:ascii="標楷體" w:eastAsia="標楷體" w:hAnsi="標楷體" w:hint="eastAsia"/>
          <w:spacing w:val="-34"/>
          <w:sz w:val="28"/>
          <w:szCs w:val="28"/>
        </w:rPr>
        <w:t>伍麗華</w:t>
      </w:r>
      <w:proofErr w:type="spellStart"/>
      <w:r w:rsidRPr="001B6E4D">
        <w:rPr>
          <w:rFonts w:ascii="標楷體" w:eastAsia="標楷體" w:hAnsi="標楷體" w:hint="eastAsia"/>
          <w:spacing w:val="-34"/>
          <w:sz w:val="28"/>
          <w:szCs w:val="28"/>
        </w:rPr>
        <w:t>Saidhai</w:t>
      </w:r>
      <w:proofErr w:type="spellEnd"/>
      <w:proofErr w:type="gramStart"/>
      <w:r w:rsidRPr="001B6E4D">
        <w:rPr>
          <w:rFonts w:ascii="標楷體" w:eastAsia="標楷體" w:hAnsi="標楷體" w:hint="eastAsia"/>
          <w:spacing w:val="-34"/>
          <w:sz w:val="28"/>
          <w:szCs w:val="28"/>
        </w:rPr>
        <w:t>‧</w:t>
      </w:r>
      <w:proofErr w:type="spellStart"/>
      <w:proofErr w:type="gramEnd"/>
      <w:r w:rsidRPr="001B6E4D">
        <w:rPr>
          <w:rFonts w:ascii="標楷體" w:eastAsia="標楷體" w:hAnsi="標楷體" w:hint="eastAsia"/>
          <w:spacing w:val="-34"/>
          <w:sz w:val="28"/>
          <w:szCs w:val="28"/>
        </w:rPr>
        <w:t>Tahovecahe</w:t>
      </w:r>
      <w:proofErr w:type="spellEnd"/>
      <w:r w:rsidRPr="001B6E4D">
        <w:rPr>
          <w:rFonts w:ascii="標楷體" w:eastAsia="標楷體" w:hAnsi="標楷體"/>
          <w:sz w:val="28"/>
          <w:szCs w:val="28"/>
        </w:rPr>
        <w:tab/>
      </w:r>
    </w:p>
    <w:p w14:paraId="5D96FF59" w14:textId="77777777" w:rsidR="005F5E6C" w:rsidRPr="001B6E4D" w:rsidRDefault="005F5E6C" w:rsidP="003D1018">
      <w:pPr>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陳冠廷</w:t>
      </w:r>
      <w:r w:rsidRPr="001B6E4D">
        <w:rPr>
          <w:rFonts w:ascii="標楷體" w:eastAsia="標楷體" w:hAnsi="標楷體"/>
          <w:sz w:val="28"/>
          <w:szCs w:val="28"/>
        </w:rPr>
        <w:tab/>
      </w:r>
      <w:r w:rsidRPr="001B6E4D">
        <w:rPr>
          <w:rFonts w:ascii="標楷體" w:eastAsia="標楷體" w:hAnsi="標楷體" w:hint="eastAsia"/>
          <w:sz w:val="28"/>
          <w:szCs w:val="28"/>
        </w:rPr>
        <w:t>葉元之</w:t>
      </w:r>
    </w:p>
    <w:p w14:paraId="04CED2CD"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席1</w:t>
      </w:r>
      <w:r w:rsidRPr="001B6E4D">
        <w:rPr>
          <w:rFonts w:ascii="標楷體" w:eastAsia="標楷體" w:hAnsi="標楷體" w:hint="eastAsia"/>
          <w:sz w:val="28"/>
          <w:szCs w:val="28"/>
        </w:rPr>
        <w:t>4</w:t>
      </w:r>
      <w:r w:rsidRPr="001B6E4D">
        <w:rPr>
          <w:rFonts w:ascii="標楷體" w:eastAsia="標楷體" w:hAnsi="標楷體"/>
          <w:sz w:val="28"/>
          <w:szCs w:val="28"/>
        </w:rPr>
        <w:t>人</w:t>
      </w:r>
    </w:p>
    <w:p w14:paraId="0D79B14E" w14:textId="77777777" w:rsidR="005F5E6C" w:rsidRPr="001B6E4D" w:rsidRDefault="005F5E6C" w:rsidP="003D1018">
      <w:pPr>
        <w:pStyle w:val="-9"/>
        <w:widowControl w:val="0"/>
        <w:overflowPunct w:val="0"/>
        <w:spacing w:line="360" w:lineRule="exact"/>
        <w:ind w:left="1361" w:hangingChars="486" w:hanging="1361"/>
        <w:rPr>
          <w:rFonts w:ascii="標楷體" w:hAnsi="標楷體"/>
          <w:sz w:val="28"/>
          <w:szCs w:val="28"/>
        </w:rPr>
      </w:pPr>
      <w:r w:rsidRPr="001B6E4D">
        <w:rPr>
          <w:rFonts w:ascii="標楷體" w:hAnsi="標楷體"/>
          <w:sz w:val="28"/>
          <w:szCs w:val="28"/>
        </w:rPr>
        <w:t>列席官員：</w:t>
      </w:r>
      <w:r w:rsidRPr="001B6E4D">
        <w:rPr>
          <w:rFonts w:ascii="標楷體" w:hAnsi="標楷體" w:hint="eastAsia"/>
          <w:b/>
          <w:bCs/>
          <w:sz w:val="28"/>
          <w:szCs w:val="28"/>
        </w:rPr>
        <w:t>3月18日（星期三）</w:t>
      </w:r>
    </w:p>
    <w:p w14:paraId="1093C4F8" w14:textId="77777777" w:rsidR="005F5E6C" w:rsidRPr="001B6E4D" w:rsidRDefault="005F5E6C" w:rsidP="003D1018">
      <w:pPr>
        <w:pStyle w:val="-9"/>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法務部部長　鄭銘謙</w:t>
      </w:r>
    </w:p>
    <w:p w14:paraId="0FF82A73" w14:textId="77777777" w:rsidR="005F5E6C" w:rsidRPr="001B6E4D" w:rsidRDefault="005F5E6C" w:rsidP="003D1018">
      <w:pPr>
        <w:pStyle w:val="-9"/>
        <w:overflowPunct w:val="0"/>
        <w:spacing w:line="360" w:lineRule="exact"/>
        <w:ind w:leftChars="933" w:left="2239" w:firstLineChars="0" w:firstLine="2"/>
        <w:rPr>
          <w:rFonts w:ascii="標楷體" w:hAnsi="標楷體"/>
          <w:sz w:val="28"/>
          <w:szCs w:val="28"/>
        </w:rPr>
      </w:pPr>
      <w:r w:rsidRPr="001B6E4D">
        <w:rPr>
          <w:rFonts w:ascii="標楷體" w:hAnsi="標楷體" w:hint="eastAsia"/>
          <w:sz w:val="28"/>
          <w:szCs w:val="28"/>
        </w:rPr>
        <w:t>政務次長　黃謀信</w:t>
      </w:r>
    </w:p>
    <w:p w14:paraId="3E8134C6" w14:textId="77777777" w:rsidR="005F5E6C" w:rsidRPr="001B6E4D" w:rsidRDefault="005F5E6C" w:rsidP="003D1018">
      <w:pPr>
        <w:pStyle w:val="-9"/>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法務部調查局副局長　吳富梅(局長請假)</w:t>
      </w:r>
    </w:p>
    <w:p w14:paraId="7DD27634" w14:textId="77777777" w:rsidR="005F5E6C" w:rsidRPr="001B6E4D" w:rsidRDefault="005F5E6C" w:rsidP="003D1018">
      <w:pPr>
        <w:pStyle w:val="-9"/>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法務部行政執行署署長　繆卓然</w:t>
      </w:r>
    </w:p>
    <w:p w14:paraId="0E0DA6C6" w14:textId="77777777" w:rsidR="005F5E6C" w:rsidRPr="001B6E4D" w:rsidRDefault="005F5E6C" w:rsidP="003D1018">
      <w:pPr>
        <w:pStyle w:val="-9"/>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法務部廉政署署長　謝名冠</w:t>
      </w:r>
    </w:p>
    <w:p w14:paraId="3CC3B366" w14:textId="77777777" w:rsidR="005F5E6C" w:rsidRPr="001B6E4D" w:rsidRDefault="005F5E6C" w:rsidP="003D1018">
      <w:pPr>
        <w:pStyle w:val="-9"/>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法務部矯正署署長　林憲銘</w:t>
      </w:r>
    </w:p>
    <w:p w14:paraId="3AC6361C" w14:textId="77777777" w:rsidR="005F5E6C" w:rsidRPr="001B6E4D" w:rsidRDefault="005F5E6C" w:rsidP="003D1018">
      <w:pPr>
        <w:pStyle w:val="-9"/>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法務部司法官學院院長　吳巡龍</w:t>
      </w:r>
    </w:p>
    <w:p w14:paraId="611692C8" w14:textId="77777777" w:rsidR="005F5E6C" w:rsidRPr="001B6E4D" w:rsidRDefault="005F5E6C" w:rsidP="003D1018">
      <w:pPr>
        <w:pStyle w:val="-9"/>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法務部法醫研究所所長　侯寬仁</w:t>
      </w:r>
    </w:p>
    <w:p w14:paraId="3A09EEDA" w14:textId="77777777" w:rsidR="005F5E6C" w:rsidRPr="001B6E4D" w:rsidRDefault="005F5E6C" w:rsidP="003D1018">
      <w:pPr>
        <w:overflowPunct w:val="0"/>
        <w:adjustRightInd w:val="0"/>
        <w:snapToGrid w:val="0"/>
        <w:spacing w:line="370" w:lineRule="exact"/>
        <w:ind w:leftChars="584" w:left="2803" w:hangingChars="500" w:hanging="1401"/>
        <w:jc w:val="both"/>
        <w:rPr>
          <w:rFonts w:ascii="標楷體" w:eastAsia="標楷體" w:hAnsi="標楷體" w:cs="標楷體"/>
          <w:b/>
          <w:kern w:val="0"/>
          <w:sz w:val="28"/>
          <w:szCs w:val="28"/>
        </w:rPr>
      </w:pPr>
      <w:r w:rsidRPr="001B6E4D">
        <w:rPr>
          <w:rFonts w:ascii="標楷體" w:eastAsia="標楷體" w:hAnsi="標楷體" w:cs="標楷體" w:hint="eastAsia"/>
          <w:b/>
          <w:kern w:val="0"/>
          <w:sz w:val="28"/>
          <w:szCs w:val="28"/>
        </w:rPr>
        <w:t>3月19日（星期四）</w:t>
      </w:r>
    </w:p>
    <w:p w14:paraId="2A1D0620" w14:textId="77777777" w:rsidR="005F5E6C" w:rsidRPr="001B6E4D" w:rsidRDefault="005F5E6C" w:rsidP="003D1018">
      <w:pPr>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考試院秘書長　劉建忻</w:t>
      </w:r>
    </w:p>
    <w:p w14:paraId="3680C6CD" w14:textId="77777777" w:rsidR="005F5E6C" w:rsidRPr="001B6E4D" w:rsidRDefault="005F5E6C" w:rsidP="003D1018">
      <w:pPr>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考選部部長　劉孟奇</w:t>
      </w:r>
    </w:p>
    <w:p w14:paraId="055783C3" w14:textId="77777777" w:rsidR="005F5E6C" w:rsidRPr="001B6E4D" w:rsidRDefault="005F5E6C" w:rsidP="003D1018">
      <w:pPr>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銓敘部部長　施能傑</w:t>
      </w:r>
    </w:p>
    <w:p w14:paraId="096688CA" w14:textId="77777777" w:rsidR="005F5E6C" w:rsidRPr="001B6E4D" w:rsidRDefault="005F5E6C" w:rsidP="003D1018">
      <w:pPr>
        <w:pStyle w:val="-9"/>
        <w:overflowPunct w:val="0"/>
        <w:spacing w:line="360" w:lineRule="exact"/>
        <w:ind w:leftChars="567" w:left="1361" w:firstLineChars="13" w:firstLine="32"/>
        <w:jc w:val="distribute"/>
        <w:rPr>
          <w:rFonts w:ascii="標楷體" w:hAnsi="標楷體"/>
          <w:spacing w:val="-18"/>
          <w:sz w:val="28"/>
          <w:szCs w:val="28"/>
        </w:rPr>
      </w:pPr>
      <w:r w:rsidRPr="001B6E4D">
        <w:rPr>
          <w:rFonts w:ascii="標楷體" w:hAnsi="標楷體" w:hint="eastAsia"/>
          <w:spacing w:val="-18"/>
          <w:sz w:val="28"/>
          <w:szCs w:val="28"/>
        </w:rPr>
        <w:t>公務人員保障暨培訓委員會主任委員兼國家文官學院院長　蔡秀涓</w:t>
      </w:r>
    </w:p>
    <w:p w14:paraId="3D9A62A8" w14:textId="77777777" w:rsidR="005F5E6C" w:rsidRPr="001B6E4D" w:rsidRDefault="005F5E6C" w:rsidP="003D1018">
      <w:pPr>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公務人員退休撫</w:t>
      </w:r>
      <w:proofErr w:type="gramStart"/>
      <w:r w:rsidRPr="001B6E4D">
        <w:rPr>
          <w:rFonts w:ascii="標楷體" w:eastAsia="標楷體" w:hAnsi="標楷體" w:hint="eastAsia"/>
          <w:kern w:val="0"/>
          <w:sz w:val="28"/>
          <w:szCs w:val="28"/>
        </w:rPr>
        <w:t>卹</w:t>
      </w:r>
      <w:proofErr w:type="gramEnd"/>
      <w:r w:rsidRPr="001B6E4D">
        <w:rPr>
          <w:rFonts w:ascii="標楷體" w:eastAsia="標楷體" w:hAnsi="標楷體" w:hint="eastAsia"/>
          <w:kern w:val="0"/>
          <w:sz w:val="28"/>
          <w:szCs w:val="28"/>
        </w:rPr>
        <w:t>基金管理局局長　陳銘賢</w:t>
      </w:r>
    </w:p>
    <w:p w14:paraId="66C7A67D" w14:textId="77777777" w:rsidR="005F5E6C" w:rsidRPr="001B6E4D" w:rsidRDefault="005F5E6C" w:rsidP="003D1018">
      <w:pPr>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144AF2FD" w14:textId="77777777" w:rsidR="005F5E6C" w:rsidRPr="001B6E4D" w:rsidRDefault="005F5E6C"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1A5884C4" w14:textId="77777777" w:rsidR="005F5E6C" w:rsidRPr="001B6E4D" w:rsidRDefault="005F5E6C"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50EA172A" w14:textId="77777777" w:rsidR="005F5E6C" w:rsidRPr="001B6E4D" w:rsidRDefault="005F5E6C"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3F87766E" w14:textId="77777777" w:rsidR="005F5E6C" w:rsidRPr="001B6E4D" w:rsidRDefault="005F5E6C"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4AD74170" w14:textId="77777777" w:rsidR="005F5E6C" w:rsidRPr="001B6E4D" w:rsidRDefault="005F5E6C"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3EF6399C" w14:textId="77777777" w:rsidR="005F5E6C" w:rsidRPr="001B6E4D" w:rsidRDefault="005F5E6C"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070CD9EF" w14:textId="77777777" w:rsidR="005F5E6C" w:rsidRPr="001B6E4D" w:rsidRDefault="005F5E6C" w:rsidP="003D1018">
      <w:pPr>
        <w:pStyle w:val="afffff6"/>
        <w:overflowPunct w:val="0"/>
        <w:spacing w:beforeLines="30" w:before="108" w:line="360" w:lineRule="exact"/>
        <w:ind w:leftChars="0" w:left="959" w:rightChars="0" w:right="0" w:hangingChars="342" w:hanging="959"/>
        <w:jc w:val="both"/>
        <w:rPr>
          <w:rFonts w:ascii="標楷體" w:hAnsi="標楷體"/>
          <w:b/>
          <w:sz w:val="28"/>
          <w:szCs w:val="28"/>
        </w:rPr>
      </w:pPr>
      <w:r w:rsidRPr="001B6E4D">
        <w:rPr>
          <w:rFonts w:ascii="標楷體" w:hAnsi="標楷體" w:hint="eastAsia"/>
          <w:b/>
          <w:sz w:val="28"/>
          <w:szCs w:val="28"/>
        </w:rPr>
        <w:t>3月18日（星期三）</w:t>
      </w:r>
    </w:p>
    <w:p w14:paraId="13116B83" w14:textId="77777777" w:rsidR="005F5E6C" w:rsidRPr="001B6E4D" w:rsidRDefault="005F5E6C" w:rsidP="003D1018">
      <w:pPr>
        <w:pStyle w:val="afffff6"/>
        <w:overflowPunct w:val="0"/>
        <w:spacing w:beforeLines="30" w:before="108" w:line="360" w:lineRule="exact"/>
        <w:ind w:leftChars="0" w:left="0" w:rightChars="0" w:right="0" w:firstLineChars="398" w:firstLine="1115"/>
        <w:jc w:val="both"/>
        <w:rPr>
          <w:rFonts w:ascii="標楷體" w:hAnsi="標楷體"/>
          <w:b/>
          <w:sz w:val="28"/>
          <w:szCs w:val="28"/>
        </w:rPr>
      </w:pPr>
      <w:r w:rsidRPr="001B6E4D">
        <w:rPr>
          <w:rFonts w:ascii="標楷體" w:hAnsi="標楷體"/>
          <w:b/>
          <w:sz w:val="28"/>
          <w:szCs w:val="28"/>
        </w:rPr>
        <w:t>報告事項</w:t>
      </w:r>
    </w:p>
    <w:p w14:paraId="1E563138" w14:textId="77777777" w:rsidR="005F5E6C" w:rsidRPr="001B6E4D" w:rsidRDefault="005F5E6C"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一、</w:t>
      </w:r>
      <w:r w:rsidRPr="001B6E4D">
        <w:rPr>
          <w:rFonts w:ascii="標楷體" w:eastAsia="標楷體" w:hAnsi="標楷體"/>
          <w:sz w:val="28"/>
          <w:szCs w:val="28"/>
        </w:rPr>
        <w:t>宣讀上次會議議事錄。</w:t>
      </w:r>
    </w:p>
    <w:p w14:paraId="6BAB06C2" w14:textId="77777777" w:rsidR="005F5E6C" w:rsidRPr="001B6E4D" w:rsidRDefault="005F5E6C" w:rsidP="003D1018">
      <w:pPr>
        <w:pStyle w:val="afffff6"/>
        <w:overflowPunct w:val="0"/>
        <w:spacing w:line="360" w:lineRule="exact"/>
        <w:ind w:leftChars="0" w:left="840" w:rightChars="0" w:right="0" w:hanging="840"/>
        <w:jc w:val="both"/>
        <w:rPr>
          <w:rFonts w:ascii="標楷體" w:hAnsi="標楷體"/>
          <w:sz w:val="28"/>
          <w:szCs w:val="28"/>
        </w:rPr>
      </w:pPr>
      <w:r w:rsidRPr="001B6E4D">
        <w:rPr>
          <w:rFonts w:ascii="標楷體" w:hAnsi="標楷體"/>
          <w:sz w:val="28"/>
          <w:szCs w:val="28"/>
        </w:rPr>
        <w:t>決定：確定。</w:t>
      </w:r>
    </w:p>
    <w:p w14:paraId="1B2F4361" w14:textId="77777777" w:rsidR="005F5E6C" w:rsidRPr="001B6E4D" w:rsidRDefault="005F5E6C" w:rsidP="003D1018">
      <w:pPr>
        <w:pStyle w:val="afffff6"/>
        <w:overflowPunct w:val="0"/>
        <w:spacing w:line="360" w:lineRule="exact"/>
        <w:ind w:leftChars="-1" w:left="558" w:rightChars="0" w:right="0" w:hangingChars="200" w:hanging="560"/>
        <w:jc w:val="both"/>
        <w:rPr>
          <w:rFonts w:ascii="標楷體" w:hAnsi="標楷體"/>
          <w:sz w:val="28"/>
          <w:szCs w:val="28"/>
        </w:rPr>
      </w:pPr>
      <w:r w:rsidRPr="001B6E4D">
        <w:rPr>
          <w:rFonts w:ascii="標楷體" w:hAnsi="標楷體" w:hint="eastAsia"/>
          <w:sz w:val="28"/>
          <w:szCs w:val="28"/>
        </w:rPr>
        <w:t>二、邀請法務部部長率所屬單位主管列席報告業務概況及立法計畫，並備質詢。</w:t>
      </w:r>
    </w:p>
    <w:p w14:paraId="7F38A04C" w14:textId="77777777" w:rsidR="005F5E6C" w:rsidRPr="001B6E4D" w:rsidRDefault="005F5E6C"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lastRenderedPageBreak/>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日會議有</w:t>
      </w:r>
      <w:r w:rsidRPr="001B6E4D">
        <w:rPr>
          <w:rFonts w:ascii="標楷體" w:eastAsia="標楷體" w:hAnsi="標楷體"/>
          <w:sz w:val="28"/>
          <w:szCs w:val="28"/>
        </w:rPr>
        <w:t>委員</w:t>
      </w:r>
      <w:r w:rsidRPr="001B6E4D">
        <w:rPr>
          <w:rFonts w:ascii="標楷體" w:eastAsia="標楷體" w:hAnsi="標楷體" w:hint="eastAsia"/>
          <w:sz w:val="28"/>
          <w:szCs w:val="28"/>
        </w:rPr>
        <w:t>吳宗憲、陳昭姿、林沛祥、林倩綺、翁曉玲、張雅琳、</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雲、沈發惠、林月琴、莊瑞雄、王鴻薇、林宜瑾</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、傅崐萁</w:t>
      </w:r>
      <w:r w:rsidRPr="001B6E4D">
        <w:rPr>
          <w:rFonts w:ascii="標楷體" w:eastAsia="標楷體" w:hAnsi="標楷體"/>
          <w:sz w:val="28"/>
          <w:szCs w:val="28"/>
        </w:rPr>
        <w:t>提出</w:t>
      </w:r>
      <w:r w:rsidRPr="001B6E4D">
        <w:rPr>
          <w:rFonts w:ascii="標楷體" w:eastAsia="標楷體" w:hAnsi="標楷體" w:hint="eastAsia"/>
          <w:sz w:val="28"/>
          <w:szCs w:val="28"/>
        </w:rPr>
        <w:t>書面</w:t>
      </w:r>
      <w:r w:rsidRPr="001B6E4D">
        <w:rPr>
          <w:rFonts w:ascii="標楷體" w:eastAsia="標楷體" w:hAnsi="標楷體"/>
          <w:sz w:val="28"/>
          <w:szCs w:val="28"/>
        </w:rPr>
        <w:t>質詢</w:t>
      </w:r>
      <w:r w:rsidRPr="001B6E4D">
        <w:rPr>
          <w:rFonts w:ascii="標楷體" w:eastAsia="標楷體" w:hAnsi="標楷體" w:hint="eastAsia"/>
          <w:sz w:val="28"/>
          <w:szCs w:val="28"/>
        </w:rPr>
        <w:t>。</w:t>
      </w:r>
      <w:r w:rsidRPr="001B6E4D">
        <w:rPr>
          <w:rFonts w:ascii="標楷體" w:eastAsia="標楷體" w:hAnsi="標楷體"/>
          <w:sz w:val="28"/>
          <w:szCs w:val="28"/>
        </w:rPr>
        <w:t>）</w:t>
      </w:r>
    </w:p>
    <w:p w14:paraId="3A6A8F6D" w14:textId="77777777" w:rsidR="005F5E6C" w:rsidRPr="001B6E4D" w:rsidRDefault="005F5E6C" w:rsidP="003D1018">
      <w:pPr>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定</w:t>
      </w:r>
      <w:r w:rsidRPr="001B6E4D">
        <w:rPr>
          <w:rFonts w:ascii="標楷體" w:eastAsia="標楷體" w:hAnsi="標楷體"/>
          <w:bCs/>
          <w:sz w:val="28"/>
          <w:szCs w:val="28"/>
        </w:rPr>
        <w:t>：</w:t>
      </w:r>
    </w:p>
    <w:p w14:paraId="250D2057" w14:textId="77777777" w:rsidR="005F5E6C" w:rsidRPr="001B6E4D" w:rsidRDefault="005F5E6C"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一、報告及</w:t>
      </w:r>
      <w:proofErr w:type="gramStart"/>
      <w:r w:rsidRPr="001B6E4D">
        <w:rPr>
          <w:rFonts w:ascii="標楷體" w:eastAsia="標楷體" w:hAnsi="標楷體"/>
          <w:sz w:val="28"/>
          <w:szCs w:val="28"/>
        </w:rPr>
        <w:t>詢</w:t>
      </w:r>
      <w:proofErr w:type="gramEnd"/>
      <w:r w:rsidRPr="001B6E4D">
        <w:rPr>
          <w:rFonts w:ascii="標楷體" w:eastAsia="標楷體" w:hAnsi="標楷體"/>
          <w:sz w:val="28"/>
          <w:szCs w:val="28"/>
        </w:rPr>
        <w:t>答完畢。</w:t>
      </w:r>
    </w:p>
    <w:p w14:paraId="039E77FC" w14:textId="77777777" w:rsidR="005F5E6C" w:rsidRPr="001B6E4D" w:rsidRDefault="005F5E6C"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716DB1DF" w14:textId="77777777" w:rsidR="005F5E6C" w:rsidRPr="001B6E4D" w:rsidRDefault="005F5E6C" w:rsidP="003D1018">
      <w:pPr>
        <w:pStyle w:val="afffff6"/>
        <w:overflowPunct w:val="0"/>
        <w:spacing w:beforeLines="30" w:before="108" w:line="360" w:lineRule="exact"/>
        <w:ind w:leftChars="0" w:left="959" w:rightChars="0" w:right="0" w:hangingChars="342" w:hanging="959"/>
        <w:jc w:val="both"/>
        <w:rPr>
          <w:rFonts w:ascii="標楷體" w:hAnsi="標楷體"/>
          <w:b/>
          <w:sz w:val="28"/>
          <w:szCs w:val="28"/>
        </w:rPr>
      </w:pPr>
      <w:r w:rsidRPr="001B6E4D">
        <w:rPr>
          <w:rFonts w:ascii="標楷體" w:hAnsi="標楷體" w:hint="eastAsia"/>
          <w:b/>
          <w:sz w:val="28"/>
          <w:szCs w:val="28"/>
        </w:rPr>
        <w:t>3月19日（星期四）</w:t>
      </w:r>
    </w:p>
    <w:p w14:paraId="184DA21D" w14:textId="77777777" w:rsidR="005F5E6C" w:rsidRPr="001B6E4D" w:rsidRDefault="005F5E6C" w:rsidP="003D1018">
      <w:pPr>
        <w:pStyle w:val="afffff6"/>
        <w:overflowPunct w:val="0"/>
        <w:spacing w:beforeLines="30" w:before="108" w:line="360" w:lineRule="exact"/>
        <w:ind w:leftChars="0" w:left="0" w:rightChars="0" w:right="0" w:firstLineChars="398" w:firstLine="1115"/>
        <w:jc w:val="both"/>
        <w:rPr>
          <w:rFonts w:ascii="標楷體" w:hAnsi="標楷體"/>
          <w:b/>
          <w:sz w:val="28"/>
          <w:szCs w:val="28"/>
        </w:rPr>
      </w:pPr>
      <w:r w:rsidRPr="001B6E4D">
        <w:rPr>
          <w:rFonts w:ascii="標楷體" w:hAnsi="標楷體"/>
          <w:b/>
          <w:sz w:val="28"/>
          <w:szCs w:val="28"/>
        </w:rPr>
        <w:t>報告事項</w:t>
      </w:r>
    </w:p>
    <w:p w14:paraId="7550EDCD" w14:textId="77777777" w:rsidR="005F5E6C" w:rsidRPr="001B6E4D" w:rsidRDefault="005F5E6C" w:rsidP="003D1018">
      <w:pPr>
        <w:pStyle w:val="afffff6"/>
        <w:overflowPunct w:val="0"/>
        <w:spacing w:line="360" w:lineRule="exact"/>
        <w:ind w:leftChars="-1" w:left="-2" w:rightChars="0" w:right="0" w:firstLineChars="0" w:firstLine="0"/>
        <w:jc w:val="both"/>
        <w:rPr>
          <w:rFonts w:ascii="標楷體" w:hAnsi="標楷體"/>
          <w:sz w:val="28"/>
          <w:szCs w:val="28"/>
        </w:rPr>
      </w:pPr>
      <w:r w:rsidRPr="001B6E4D">
        <w:rPr>
          <w:rFonts w:ascii="標楷體" w:hAnsi="標楷體" w:hint="eastAsia"/>
          <w:sz w:val="28"/>
          <w:szCs w:val="28"/>
        </w:rPr>
        <w:t>邀請考試院秘書長、考選部部長、銓敘部部長及公務人員保障暨培訓委員會主任委員列席報告業務概況及立法計畫，並備質詢。</w:t>
      </w:r>
    </w:p>
    <w:p w14:paraId="3CBFC550" w14:textId="77777777" w:rsidR="005F5E6C" w:rsidRPr="001B6E4D" w:rsidRDefault="005F5E6C"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日會議有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陳昭姿、翁曉玲、</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雲、沈發惠、林沛祥、張雅琳、羅智強、鍾佳濱、莊瑞雄、陳培瑜、許宇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、陳冠廷、蔡易餘、伍麗華</w:t>
      </w:r>
      <w:proofErr w:type="spellStart"/>
      <w:r w:rsidRPr="001B6E4D">
        <w:rPr>
          <w:rFonts w:ascii="標楷體" w:eastAsia="標楷體" w:hAnsi="標楷體" w:hint="eastAsia"/>
          <w:sz w:val="28"/>
          <w:szCs w:val="28"/>
        </w:rPr>
        <w:t>Saidhai</w:t>
      </w:r>
      <w:proofErr w:type="spellEnd"/>
      <w:proofErr w:type="gramStart"/>
      <w:r w:rsidRPr="001B6E4D">
        <w:rPr>
          <w:rFonts w:ascii="標楷體" w:eastAsia="標楷體" w:hAnsi="標楷體" w:hint="eastAsia"/>
          <w:sz w:val="28"/>
          <w:szCs w:val="28"/>
        </w:rPr>
        <w:t>‧</w:t>
      </w:r>
      <w:proofErr w:type="spellStart"/>
      <w:proofErr w:type="gramEnd"/>
      <w:r w:rsidRPr="001B6E4D">
        <w:rPr>
          <w:rFonts w:ascii="標楷體" w:eastAsia="標楷體" w:hAnsi="標楷體" w:hint="eastAsia"/>
          <w:sz w:val="28"/>
          <w:szCs w:val="28"/>
        </w:rPr>
        <w:t>Tahovecahe</w:t>
      </w:r>
      <w:proofErr w:type="spellEnd"/>
      <w:r w:rsidRPr="001B6E4D">
        <w:rPr>
          <w:rFonts w:ascii="標楷體" w:eastAsia="標楷體" w:hAnsi="標楷體" w:hint="eastAsia"/>
          <w:sz w:val="28"/>
          <w:szCs w:val="28"/>
        </w:rPr>
        <w:t>、葉元之</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；委員蔡其昌、楊瓊瓔、林倩綺、吳宗憲提出書面質詢。</w:t>
      </w:r>
      <w:r w:rsidRPr="001B6E4D">
        <w:rPr>
          <w:rFonts w:ascii="標楷體" w:eastAsia="標楷體" w:hAnsi="標楷體"/>
          <w:sz w:val="28"/>
          <w:szCs w:val="28"/>
        </w:rPr>
        <w:t>）</w:t>
      </w:r>
    </w:p>
    <w:p w14:paraId="24016103" w14:textId="77777777" w:rsidR="005F5E6C" w:rsidRPr="001B6E4D" w:rsidRDefault="005F5E6C" w:rsidP="003D1018">
      <w:pPr>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定</w:t>
      </w:r>
      <w:r w:rsidRPr="001B6E4D">
        <w:rPr>
          <w:rFonts w:ascii="標楷體" w:eastAsia="標楷體" w:hAnsi="標楷體"/>
          <w:bCs/>
          <w:sz w:val="28"/>
          <w:szCs w:val="28"/>
        </w:rPr>
        <w:t>：</w:t>
      </w:r>
    </w:p>
    <w:p w14:paraId="63F3667C" w14:textId="77777777" w:rsidR="005F5E6C" w:rsidRPr="001B6E4D" w:rsidRDefault="005F5E6C"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一、報告及</w:t>
      </w:r>
      <w:proofErr w:type="gramStart"/>
      <w:r w:rsidRPr="001B6E4D">
        <w:rPr>
          <w:rFonts w:ascii="標楷體" w:eastAsia="標楷體" w:hAnsi="標楷體"/>
          <w:sz w:val="28"/>
          <w:szCs w:val="28"/>
        </w:rPr>
        <w:t>詢</w:t>
      </w:r>
      <w:proofErr w:type="gramEnd"/>
      <w:r w:rsidRPr="001B6E4D">
        <w:rPr>
          <w:rFonts w:ascii="標楷體" w:eastAsia="標楷體" w:hAnsi="標楷體"/>
          <w:sz w:val="28"/>
          <w:szCs w:val="28"/>
        </w:rPr>
        <w:t>答完畢。</w:t>
      </w:r>
    </w:p>
    <w:p w14:paraId="0BAF9E4F" w14:textId="77777777" w:rsidR="005F5E6C" w:rsidRPr="001B6E4D" w:rsidRDefault="005F5E6C"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6B58E874" w14:textId="77777777" w:rsidR="005F5E6C" w:rsidRPr="001B6E4D" w:rsidRDefault="005F5E6C" w:rsidP="003D1018">
      <w:pPr>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3883428B" w14:textId="77777777" w:rsidR="00321040" w:rsidRPr="001B6E4D" w:rsidRDefault="00321040" w:rsidP="003D1018">
      <w:pPr>
        <w:overflowPunct w:val="0"/>
        <w:spacing w:beforeLines="50" w:before="180" w:afterLines="50" w:after="180" w:line="360" w:lineRule="exact"/>
        <w:ind w:leftChars="6" w:left="548" w:hangingChars="200" w:hanging="534"/>
        <w:jc w:val="center"/>
        <w:outlineLvl w:val="2"/>
        <w:rPr>
          <w:rFonts w:ascii="標楷體" w:eastAsia="標楷體" w:hAnsi="標楷體"/>
          <w:b/>
          <w:spacing w:val="-4"/>
          <w:w w:val="98"/>
          <w:sz w:val="28"/>
          <w:szCs w:val="28"/>
        </w:rPr>
      </w:pPr>
      <w:r w:rsidRPr="001B6E4D">
        <w:rPr>
          <w:rFonts w:ascii="標楷體" w:eastAsia="標楷體" w:hAnsi="標楷體"/>
          <w:b/>
          <w:spacing w:val="-4"/>
          <w:w w:val="98"/>
          <w:sz w:val="28"/>
          <w:szCs w:val="28"/>
        </w:rPr>
        <w:br w:type="page"/>
      </w:r>
    </w:p>
    <w:p w14:paraId="4CDAAD57" w14:textId="7E2DA797" w:rsidR="005F5E6C" w:rsidRPr="001B6E4D" w:rsidRDefault="005F5E6C"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42" w:name="_Toc240446587"/>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3</w:t>
      </w:r>
      <w:r w:rsidRPr="001B6E4D">
        <w:rPr>
          <w:rFonts w:ascii="標楷體" w:eastAsia="標楷體" w:hAnsi="標楷體"/>
          <w:b/>
          <w:spacing w:val="-2"/>
          <w:sz w:val="28"/>
          <w:szCs w:val="28"/>
        </w:rPr>
        <w:t>次全體委員會議議事錄</w:t>
      </w:r>
      <w:bookmarkEnd w:id="442"/>
    </w:p>
    <w:p w14:paraId="7C38BE8A" w14:textId="77777777" w:rsidR="005F5E6C" w:rsidRPr="001B6E4D" w:rsidRDefault="005F5E6C" w:rsidP="003D1018">
      <w:pPr>
        <w:overflowPunct w:val="0"/>
        <w:adjustRightInd w:val="0"/>
        <w:snapToGrid w:val="0"/>
        <w:spacing w:line="360" w:lineRule="exact"/>
        <w:ind w:leftChars="1" w:left="1416" w:hangingChars="505" w:hanging="1414"/>
        <w:rPr>
          <w:rFonts w:ascii="標楷體" w:eastAsia="標楷體" w:hAnsi="標楷體"/>
          <w:spacing w:val="-10"/>
          <w:kern w:val="0"/>
          <w:sz w:val="28"/>
          <w:szCs w:val="28"/>
        </w:rPr>
      </w:pPr>
      <w:r w:rsidRPr="001B6E4D">
        <w:rPr>
          <w:rFonts w:ascii="標楷體" w:eastAsia="標楷體" w:hAnsi="標楷體"/>
          <w:kern w:val="0"/>
          <w:sz w:val="28"/>
          <w:szCs w:val="28"/>
          <w:fitText w:val="1120" w:id="-758489088"/>
          <w:lang w:val="x-none" w:eastAsia="x-none"/>
        </w:rPr>
        <w:t>時    間</w:t>
      </w:r>
      <w:r w:rsidRPr="001B6E4D">
        <w:rPr>
          <w:rFonts w:ascii="標楷體" w:eastAsia="標楷體" w:hAnsi="標楷體"/>
          <w:kern w:val="0"/>
          <w:sz w:val="28"/>
          <w:szCs w:val="28"/>
          <w:lang w:val="x-none" w:eastAsia="x-none"/>
        </w:rPr>
        <w:t>：</w:t>
      </w:r>
      <w:r w:rsidRPr="001B6E4D">
        <w:rPr>
          <w:rFonts w:ascii="標楷體" w:eastAsia="標楷體" w:hAnsi="標楷體"/>
          <w:spacing w:val="-6"/>
          <w:kern w:val="0"/>
          <w:sz w:val="28"/>
          <w:szCs w:val="28"/>
          <w:lang w:val="x-none" w:eastAsia="x-none"/>
        </w:rPr>
        <w:t>中華民國1</w:t>
      </w:r>
      <w:r w:rsidRPr="001B6E4D">
        <w:rPr>
          <w:rFonts w:ascii="標楷體" w:eastAsia="標楷體" w:hAnsi="標楷體" w:hint="eastAsia"/>
          <w:spacing w:val="-6"/>
          <w:kern w:val="0"/>
          <w:sz w:val="28"/>
          <w:szCs w:val="28"/>
          <w:lang w:val="x-none" w:eastAsia="x-none"/>
        </w:rPr>
        <w:t>1</w:t>
      </w:r>
      <w:r w:rsidRPr="001B6E4D">
        <w:rPr>
          <w:rFonts w:ascii="標楷體" w:eastAsia="標楷體" w:hAnsi="標楷體" w:hint="eastAsia"/>
          <w:spacing w:val="-6"/>
          <w:kern w:val="0"/>
          <w:sz w:val="28"/>
          <w:szCs w:val="28"/>
          <w:lang w:val="x-none"/>
        </w:rPr>
        <w:t>5</w:t>
      </w:r>
      <w:r w:rsidRPr="001B6E4D">
        <w:rPr>
          <w:rFonts w:ascii="標楷體" w:eastAsia="標楷體" w:hAnsi="標楷體"/>
          <w:spacing w:val="-6"/>
          <w:kern w:val="0"/>
          <w:sz w:val="28"/>
          <w:szCs w:val="28"/>
          <w:lang w:val="x-none" w:eastAsia="x-none"/>
        </w:rPr>
        <w:t>年</w:t>
      </w:r>
      <w:r w:rsidRPr="001B6E4D">
        <w:rPr>
          <w:rFonts w:ascii="標楷體" w:eastAsia="標楷體" w:hAnsi="標楷體" w:hint="eastAsia"/>
          <w:spacing w:val="-6"/>
          <w:kern w:val="0"/>
          <w:sz w:val="28"/>
          <w:szCs w:val="28"/>
          <w:lang w:val="x-none"/>
        </w:rPr>
        <w:t>3</w:t>
      </w:r>
      <w:r w:rsidRPr="001B6E4D">
        <w:rPr>
          <w:rFonts w:ascii="標楷體" w:eastAsia="標楷體" w:hAnsi="標楷體"/>
          <w:spacing w:val="-6"/>
          <w:kern w:val="0"/>
          <w:sz w:val="28"/>
          <w:szCs w:val="28"/>
          <w:lang w:val="x-none" w:eastAsia="x-none"/>
        </w:rPr>
        <w:t>月</w:t>
      </w:r>
      <w:r w:rsidRPr="001B6E4D">
        <w:rPr>
          <w:rFonts w:ascii="標楷體" w:eastAsia="標楷體" w:hAnsi="標楷體" w:hint="eastAsia"/>
          <w:spacing w:val="-6"/>
          <w:kern w:val="0"/>
          <w:sz w:val="28"/>
          <w:szCs w:val="28"/>
          <w:lang w:val="x-none"/>
        </w:rPr>
        <w:t>25</w:t>
      </w:r>
      <w:r w:rsidRPr="001B6E4D">
        <w:rPr>
          <w:rFonts w:ascii="標楷體" w:eastAsia="標楷體" w:hAnsi="標楷體"/>
          <w:spacing w:val="-6"/>
          <w:kern w:val="0"/>
          <w:sz w:val="28"/>
          <w:szCs w:val="28"/>
          <w:lang w:val="x-none" w:eastAsia="x-none"/>
        </w:rPr>
        <w:t>日（星期</w:t>
      </w:r>
      <w:r w:rsidRPr="001B6E4D">
        <w:rPr>
          <w:rFonts w:ascii="標楷體" w:eastAsia="標楷體" w:hAnsi="標楷體" w:hint="eastAsia"/>
          <w:spacing w:val="-6"/>
          <w:kern w:val="0"/>
          <w:sz w:val="28"/>
          <w:szCs w:val="28"/>
          <w:lang w:val="x-none"/>
        </w:rPr>
        <w:t>三</w:t>
      </w:r>
      <w:r w:rsidRPr="001B6E4D">
        <w:rPr>
          <w:rFonts w:ascii="標楷體" w:eastAsia="標楷體" w:hAnsi="標楷體"/>
          <w:spacing w:val="-6"/>
          <w:kern w:val="0"/>
          <w:sz w:val="28"/>
          <w:szCs w:val="28"/>
          <w:lang w:val="x-none" w:eastAsia="x-none"/>
        </w:rPr>
        <w:t>）上午</w:t>
      </w:r>
      <w:r w:rsidRPr="001B6E4D">
        <w:rPr>
          <w:rFonts w:ascii="標楷體" w:eastAsia="標楷體" w:hAnsi="標楷體" w:hint="eastAsia"/>
          <w:spacing w:val="-6"/>
          <w:kern w:val="0"/>
          <w:sz w:val="28"/>
          <w:szCs w:val="28"/>
          <w:lang w:val="x-none"/>
        </w:rPr>
        <w:t>9</w:t>
      </w:r>
      <w:r w:rsidRPr="001B6E4D">
        <w:rPr>
          <w:rFonts w:ascii="標楷體" w:eastAsia="標楷體" w:hAnsi="標楷體"/>
          <w:spacing w:val="-6"/>
          <w:kern w:val="0"/>
          <w:sz w:val="28"/>
          <w:szCs w:val="28"/>
          <w:lang w:val="x-none" w:eastAsia="x-none"/>
        </w:rPr>
        <w:t>時至</w:t>
      </w:r>
      <w:r w:rsidRPr="001B6E4D">
        <w:rPr>
          <w:rFonts w:ascii="標楷體" w:eastAsia="標楷體" w:hAnsi="標楷體"/>
          <w:spacing w:val="-6"/>
          <w:kern w:val="0"/>
          <w:sz w:val="28"/>
          <w:szCs w:val="28"/>
          <w:lang w:val="x-none"/>
        </w:rPr>
        <w:t>11</w:t>
      </w:r>
      <w:r w:rsidRPr="001B6E4D">
        <w:rPr>
          <w:rFonts w:ascii="標楷體" w:eastAsia="標楷體" w:hAnsi="標楷體"/>
          <w:spacing w:val="-6"/>
          <w:kern w:val="0"/>
          <w:sz w:val="28"/>
          <w:szCs w:val="28"/>
          <w:lang w:val="x-none" w:eastAsia="x-none"/>
        </w:rPr>
        <w:t>時</w:t>
      </w:r>
      <w:r w:rsidRPr="001B6E4D">
        <w:rPr>
          <w:rFonts w:ascii="標楷體" w:eastAsia="標楷體" w:hAnsi="標楷體" w:hint="eastAsia"/>
          <w:spacing w:val="-6"/>
          <w:kern w:val="0"/>
          <w:sz w:val="28"/>
          <w:szCs w:val="28"/>
          <w:lang w:val="x-none"/>
        </w:rPr>
        <w:t>2</w:t>
      </w:r>
      <w:r w:rsidRPr="001B6E4D">
        <w:rPr>
          <w:rFonts w:ascii="標楷體" w:eastAsia="標楷體" w:hAnsi="標楷體"/>
          <w:spacing w:val="-6"/>
          <w:kern w:val="0"/>
          <w:sz w:val="28"/>
          <w:szCs w:val="28"/>
          <w:lang w:val="x-none"/>
        </w:rPr>
        <w:t>7</w:t>
      </w:r>
      <w:r w:rsidRPr="001B6E4D">
        <w:rPr>
          <w:rFonts w:ascii="標楷體" w:eastAsia="標楷體" w:hAnsi="標楷體" w:hint="eastAsia"/>
          <w:spacing w:val="-6"/>
          <w:kern w:val="0"/>
          <w:sz w:val="28"/>
          <w:szCs w:val="28"/>
          <w:lang w:val="x-none" w:eastAsia="x-none"/>
        </w:rPr>
        <w:t>分</w:t>
      </w:r>
    </w:p>
    <w:p w14:paraId="27F2AF77" w14:textId="77777777" w:rsidR="005F5E6C" w:rsidRPr="001B6E4D" w:rsidRDefault="005F5E6C"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758489087"/>
          <w:lang w:val="x-none" w:eastAsia="x-none"/>
        </w:rPr>
        <w:t>地    點</w:t>
      </w:r>
      <w:r w:rsidRPr="001B6E4D">
        <w:rPr>
          <w:rFonts w:ascii="標楷體" w:eastAsia="標楷體" w:hAnsi="標楷體"/>
          <w:kern w:val="0"/>
          <w:sz w:val="28"/>
          <w:szCs w:val="28"/>
          <w:lang w:val="x-none" w:eastAsia="x-none"/>
        </w:rPr>
        <w:t>：本院紅樓302會議室</w:t>
      </w:r>
    </w:p>
    <w:p w14:paraId="24424179" w14:textId="77777777" w:rsidR="005F5E6C" w:rsidRPr="001B6E4D" w:rsidRDefault="005F5E6C" w:rsidP="003D1018">
      <w:pPr>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沈發惠</w:t>
      </w:r>
      <w:r w:rsidRPr="001B6E4D">
        <w:rPr>
          <w:rFonts w:ascii="標楷體" w:eastAsia="標楷體" w:hAnsi="標楷體" w:hint="eastAsia"/>
          <w:sz w:val="28"/>
          <w:szCs w:val="28"/>
        </w:rPr>
        <w:tab/>
        <w:t>張雅琳</w:t>
      </w:r>
      <w:r w:rsidRPr="001B6E4D">
        <w:rPr>
          <w:rFonts w:ascii="標楷體" w:eastAsia="標楷體" w:hAnsi="標楷體" w:hint="eastAsia"/>
          <w:sz w:val="28"/>
          <w:szCs w:val="28"/>
        </w:rPr>
        <w:tab/>
        <w:t>莊瑞雄</w:t>
      </w:r>
      <w:r w:rsidRPr="001B6E4D">
        <w:rPr>
          <w:rFonts w:ascii="標楷體" w:eastAsia="標楷體" w:hAnsi="標楷體"/>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r>
    </w:p>
    <w:p w14:paraId="1CD67F3F" w14:textId="77777777" w:rsidR="005F5E6C" w:rsidRPr="001B6E4D" w:rsidRDefault="005F5E6C" w:rsidP="003D1018">
      <w:pPr>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蔡其昌</w:t>
      </w:r>
      <w:r w:rsidRPr="001B6E4D">
        <w:rPr>
          <w:rFonts w:ascii="標楷體" w:eastAsia="標楷體" w:hAnsi="標楷體" w:hint="eastAsia"/>
          <w:sz w:val="28"/>
          <w:szCs w:val="28"/>
        </w:rPr>
        <w:tab/>
        <w:t>翁曉玲</w:t>
      </w:r>
      <w:r w:rsidRPr="001B6E4D">
        <w:rPr>
          <w:rFonts w:ascii="標楷體" w:eastAsia="標楷體" w:hAnsi="標楷體"/>
          <w:sz w:val="28"/>
          <w:szCs w:val="28"/>
        </w:rPr>
        <w:tab/>
      </w:r>
      <w:r w:rsidRPr="001B6E4D">
        <w:rPr>
          <w:rFonts w:ascii="標楷體" w:eastAsia="標楷體" w:hAnsi="標楷體" w:hint="eastAsia"/>
          <w:sz w:val="28"/>
          <w:szCs w:val="28"/>
        </w:rPr>
        <w:t>柯建銘</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林倩綺</w:t>
      </w:r>
      <w:r w:rsidRPr="001B6E4D">
        <w:rPr>
          <w:rFonts w:ascii="標楷體" w:eastAsia="標楷體" w:hAnsi="標楷體" w:hint="eastAsia"/>
          <w:sz w:val="28"/>
          <w:szCs w:val="28"/>
        </w:rPr>
        <w:tab/>
        <w:t>傅崐萁</w:t>
      </w:r>
    </w:p>
    <w:p w14:paraId="6BDC67E1"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13</w:t>
      </w:r>
      <w:r w:rsidRPr="001B6E4D">
        <w:rPr>
          <w:rFonts w:ascii="標楷體" w:eastAsia="標楷體" w:hAnsi="標楷體"/>
          <w:sz w:val="28"/>
          <w:szCs w:val="28"/>
        </w:rPr>
        <w:t>人</w:t>
      </w:r>
    </w:p>
    <w:p w14:paraId="018A1455" w14:textId="77777777" w:rsidR="005F5E6C" w:rsidRPr="001B6E4D" w:rsidRDefault="005F5E6C" w:rsidP="003D1018">
      <w:pPr>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sz w:val="28"/>
          <w:szCs w:val="28"/>
        </w:rPr>
        <w:tab/>
      </w:r>
      <w:r w:rsidRPr="001B6E4D">
        <w:rPr>
          <w:rFonts w:ascii="標楷體" w:eastAsia="標楷體" w:hAnsi="標楷體" w:hint="eastAsia"/>
          <w:sz w:val="28"/>
          <w:szCs w:val="28"/>
        </w:rPr>
        <w:t>葛如鈞</w:t>
      </w:r>
      <w:r w:rsidRPr="001B6E4D">
        <w:rPr>
          <w:rFonts w:ascii="標楷體" w:eastAsia="標楷體" w:hAnsi="標楷體"/>
          <w:sz w:val="28"/>
          <w:szCs w:val="28"/>
        </w:rPr>
        <w:tab/>
      </w:r>
      <w:r w:rsidRPr="001B6E4D">
        <w:rPr>
          <w:rFonts w:ascii="標楷體" w:eastAsia="標楷體" w:hAnsi="標楷體" w:hint="eastAsia"/>
          <w:sz w:val="28"/>
          <w:szCs w:val="28"/>
        </w:rPr>
        <w:t>鄭正鈐</w:t>
      </w:r>
      <w:r w:rsidRPr="001B6E4D">
        <w:rPr>
          <w:rFonts w:ascii="標楷體" w:eastAsia="標楷體" w:hAnsi="標楷體"/>
          <w:sz w:val="28"/>
          <w:szCs w:val="28"/>
        </w:rPr>
        <w:tab/>
      </w:r>
      <w:r w:rsidRPr="001B6E4D">
        <w:rPr>
          <w:rFonts w:ascii="標楷體" w:eastAsia="標楷體" w:hAnsi="標楷體" w:hint="eastAsia"/>
          <w:sz w:val="28"/>
          <w:szCs w:val="28"/>
        </w:rPr>
        <w:t>賴惠員</w:t>
      </w:r>
      <w:r w:rsidRPr="001B6E4D">
        <w:rPr>
          <w:rFonts w:ascii="標楷體" w:eastAsia="標楷體" w:hAnsi="標楷體"/>
          <w:sz w:val="28"/>
          <w:szCs w:val="28"/>
        </w:rPr>
        <w:tab/>
      </w:r>
      <w:r w:rsidRPr="001B6E4D">
        <w:rPr>
          <w:rFonts w:ascii="標楷體" w:eastAsia="標楷體" w:hAnsi="標楷體" w:hint="eastAsia"/>
          <w:sz w:val="28"/>
          <w:szCs w:val="28"/>
        </w:rPr>
        <w:t>洪孟楷</w:t>
      </w:r>
      <w:r w:rsidRPr="001B6E4D">
        <w:rPr>
          <w:rFonts w:ascii="標楷體" w:eastAsia="標楷體" w:hAnsi="標楷體"/>
          <w:sz w:val="28"/>
          <w:szCs w:val="28"/>
        </w:rPr>
        <w:tab/>
      </w:r>
      <w:r w:rsidRPr="001B6E4D">
        <w:rPr>
          <w:rFonts w:ascii="標楷體" w:eastAsia="標楷體" w:hAnsi="標楷體" w:hint="eastAsia"/>
          <w:sz w:val="28"/>
          <w:szCs w:val="28"/>
        </w:rPr>
        <w:t>羅明才</w:t>
      </w:r>
      <w:r w:rsidRPr="001B6E4D">
        <w:rPr>
          <w:rFonts w:ascii="標楷體" w:eastAsia="標楷體" w:hAnsi="標楷體"/>
          <w:sz w:val="28"/>
          <w:szCs w:val="28"/>
        </w:rPr>
        <w:tab/>
      </w:r>
      <w:r w:rsidRPr="001B6E4D">
        <w:rPr>
          <w:rFonts w:ascii="標楷體" w:eastAsia="標楷體" w:hAnsi="標楷體" w:hint="eastAsia"/>
          <w:sz w:val="28"/>
          <w:szCs w:val="28"/>
        </w:rPr>
        <w:t>吳思瑤</w:t>
      </w:r>
    </w:p>
    <w:p w14:paraId="293AC271" w14:textId="77777777" w:rsidR="005F5E6C" w:rsidRPr="001B6E4D" w:rsidRDefault="005F5E6C" w:rsidP="003D1018">
      <w:pPr>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蘇清泉</w:t>
      </w:r>
      <w:r w:rsidRPr="001B6E4D">
        <w:rPr>
          <w:rFonts w:ascii="標楷體" w:eastAsia="標楷體" w:hAnsi="標楷體"/>
          <w:sz w:val="28"/>
          <w:szCs w:val="28"/>
        </w:rPr>
        <w:tab/>
      </w:r>
      <w:r w:rsidRPr="001B6E4D">
        <w:rPr>
          <w:rFonts w:ascii="標楷體" w:eastAsia="標楷體" w:hAnsi="標楷體" w:hint="eastAsia"/>
          <w:sz w:val="28"/>
          <w:szCs w:val="28"/>
        </w:rPr>
        <w:t>葉元之</w:t>
      </w:r>
      <w:r w:rsidRPr="001B6E4D">
        <w:rPr>
          <w:rFonts w:ascii="標楷體" w:eastAsia="標楷體" w:hAnsi="標楷體"/>
          <w:sz w:val="28"/>
          <w:szCs w:val="28"/>
        </w:rPr>
        <w:tab/>
      </w:r>
      <w:r w:rsidRPr="001B6E4D">
        <w:rPr>
          <w:rFonts w:ascii="標楷體" w:eastAsia="標楷體" w:hAnsi="標楷體" w:hint="eastAsia"/>
          <w:sz w:val="28"/>
          <w:szCs w:val="28"/>
        </w:rPr>
        <w:t>張嘉郡</w:t>
      </w:r>
      <w:r w:rsidRPr="001B6E4D">
        <w:rPr>
          <w:rFonts w:ascii="標楷體" w:eastAsia="標楷體" w:hAnsi="標楷體"/>
          <w:sz w:val="28"/>
          <w:szCs w:val="28"/>
        </w:rPr>
        <w:tab/>
      </w:r>
    </w:p>
    <w:p w14:paraId="4E42406B"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10</w:t>
      </w:r>
      <w:r w:rsidRPr="001B6E4D">
        <w:rPr>
          <w:rFonts w:ascii="標楷體" w:eastAsia="標楷體" w:hAnsi="標楷體"/>
          <w:sz w:val="28"/>
          <w:szCs w:val="28"/>
        </w:rPr>
        <w:t>人</w:t>
      </w:r>
    </w:p>
    <w:p w14:paraId="5EAE2645" w14:textId="77777777" w:rsidR="005F5E6C" w:rsidRPr="001B6E4D" w:rsidRDefault="005F5E6C" w:rsidP="003D1018">
      <w:pPr>
        <w:pStyle w:val="-9"/>
        <w:overflowPunct w:val="0"/>
        <w:spacing w:line="360" w:lineRule="exact"/>
        <w:ind w:left="1361" w:hangingChars="486" w:hanging="1361"/>
        <w:rPr>
          <w:rFonts w:ascii="標楷體" w:hAnsi="標楷體"/>
          <w:sz w:val="28"/>
          <w:szCs w:val="28"/>
        </w:rPr>
      </w:pPr>
      <w:r w:rsidRPr="001B6E4D">
        <w:rPr>
          <w:rFonts w:ascii="標楷體" w:hAnsi="標楷體"/>
          <w:sz w:val="28"/>
          <w:szCs w:val="28"/>
        </w:rPr>
        <w:t>列席官員：</w:t>
      </w:r>
      <w:r w:rsidRPr="001B6E4D">
        <w:rPr>
          <w:rFonts w:ascii="標楷體" w:hAnsi="標楷體" w:hint="eastAsia"/>
          <w:sz w:val="28"/>
          <w:szCs w:val="28"/>
        </w:rPr>
        <w:t>行政院人事行政總處人事長　蘇俊榮</w:t>
      </w:r>
    </w:p>
    <w:p w14:paraId="59FEFBAF" w14:textId="77777777" w:rsidR="005F5E6C" w:rsidRPr="001B6E4D" w:rsidRDefault="005F5E6C" w:rsidP="003D1018">
      <w:pPr>
        <w:pStyle w:val="-9"/>
        <w:overflowPunct w:val="0"/>
        <w:spacing w:line="360" w:lineRule="exact"/>
        <w:ind w:leftChars="567" w:left="1361" w:firstLineChars="918" w:firstLine="2570"/>
        <w:rPr>
          <w:rFonts w:ascii="標楷體" w:hAnsi="標楷體"/>
          <w:sz w:val="28"/>
          <w:szCs w:val="28"/>
        </w:rPr>
      </w:pPr>
      <w:r w:rsidRPr="001B6E4D">
        <w:rPr>
          <w:rFonts w:ascii="標楷體" w:hAnsi="標楷體" w:hint="eastAsia"/>
          <w:sz w:val="28"/>
          <w:szCs w:val="28"/>
        </w:rPr>
        <w:t>公務人力發展學院院長　陳明忠</w:t>
      </w:r>
    </w:p>
    <w:p w14:paraId="260A4184" w14:textId="77777777" w:rsidR="005F5E6C" w:rsidRPr="001B6E4D" w:rsidRDefault="005F5E6C" w:rsidP="003D1018">
      <w:pPr>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席：莊召集委員瑞雄</w:t>
      </w:r>
    </w:p>
    <w:p w14:paraId="72802FBB" w14:textId="77777777" w:rsidR="005F5E6C" w:rsidRPr="001B6E4D" w:rsidRDefault="005F5E6C"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3AB3FD6A" w14:textId="77777777" w:rsidR="005F5E6C" w:rsidRPr="001B6E4D" w:rsidRDefault="005F5E6C"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260D9550" w14:textId="77777777" w:rsidR="005F5E6C" w:rsidRPr="001B6E4D" w:rsidRDefault="005F5E6C"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7225F4AD" w14:textId="77777777" w:rsidR="005F5E6C" w:rsidRPr="001B6E4D" w:rsidRDefault="005F5E6C"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35289027" w14:textId="77777777" w:rsidR="005F5E6C" w:rsidRPr="001B6E4D" w:rsidRDefault="005F5E6C"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702EF305" w14:textId="77777777" w:rsidR="005F5E6C" w:rsidRPr="001B6E4D" w:rsidRDefault="005F5E6C"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542DF243" w14:textId="77777777" w:rsidR="005F5E6C" w:rsidRPr="001B6E4D" w:rsidRDefault="005F5E6C" w:rsidP="003D1018">
      <w:pPr>
        <w:pStyle w:val="afffff6"/>
        <w:overflowPunct w:val="0"/>
        <w:spacing w:beforeLines="30" w:before="108" w:line="360" w:lineRule="exact"/>
        <w:ind w:leftChars="0" w:left="0" w:rightChars="0" w:right="0" w:firstLineChars="398" w:firstLine="1115"/>
        <w:jc w:val="both"/>
        <w:rPr>
          <w:rFonts w:ascii="標楷體" w:hAnsi="標楷體"/>
          <w:b/>
          <w:sz w:val="28"/>
          <w:szCs w:val="28"/>
        </w:rPr>
      </w:pPr>
      <w:r w:rsidRPr="001B6E4D">
        <w:rPr>
          <w:rFonts w:ascii="標楷體" w:hAnsi="標楷體"/>
          <w:b/>
          <w:sz w:val="28"/>
          <w:szCs w:val="28"/>
        </w:rPr>
        <w:t>報告事項</w:t>
      </w:r>
    </w:p>
    <w:p w14:paraId="01B3E077" w14:textId="77777777" w:rsidR="005F5E6C" w:rsidRPr="001B6E4D" w:rsidRDefault="005F5E6C"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一、</w:t>
      </w:r>
      <w:r w:rsidRPr="001B6E4D">
        <w:rPr>
          <w:rFonts w:ascii="標楷體" w:eastAsia="標楷體" w:hAnsi="標楷體"/>
          <w:sz w:val="28"/>
          <w:szCs w:val="28"/>
        </w:rPr>
        <w:t>宣讀上次會議議事錄。</w:t>
      </w:r>
    </w:p>
    <w:p w14:paraId="6CB6ECD3" w14:textId="77777777" w:rsidR="005F5E6C" w:rsidRPr="001B6E4D" w:rsidRDefault="005F5E6C" w:rsidP="003D1018">
      <w:pPr>
        <w:pStyle w:val="afffff6"/>
        <w:overflowPunct w:val="0"/>
        <w:spacing w:line="360" w:lineRule="exact"/>
        <w:ind w:leftChars="0" w:left="840" w:rightChars="0" w:right="0" w:hanging="840"/>
        <w:jc w:val="both"/>
        <w:rPr>
          <w:rFonts w:ascii="標楷體" w:hAnsi="標楷體"/>
          <w:sz w:val="28"/>
          <w:szCs w:val="28"/>
        </w:rPr>
      </w:pPr>
      <w:r w:rsidRPr="001B6E4D">
        <w:rPr>
          <w:rFonts w:ascii="標楷體" w:hAnsi="標楷體"/>
          <w:sz w:val="28"/>
          <w:szCs w:val="28"/>
        </w:rPr>
        <w:t>決定：確定。</w:t>
      </w:r>
    </w:p>
    <w:p w14:paraId="40A85251" w14:textId="77777777" w:rsidR="005F5E6C" w:rsidRPr="001B6E4D" w:rsidRDefault="005F5E6C" w:rsidP="003D1018">
      <w:pPr>
        <w:pStyle w:val="afffff6"/>
        <w:overflowPunct w:val="0"/>
        <w:spacing w:line="360" w:lineRule="exact"/>
        <w:ind w:leftChars="-1" w:left="558" w:rightChars="0" w:right="0" w:hangingChars="200" w:hanging="560"/>
        <w:jc w:val="both"/>
        <w:rPr>
          <w:rFonts w:ascii="標楷體" w:hAnsi="標楷體"/>
          <w:sz w:val="28"/>
          <w:szCs w:val="28"/>
        </w:rPr>
      </w:pPr>
      <w:r w:rsidRPr="001B6E4D">
        <w:rPr>
          <w:rFonts w:ascii="標楷體" w:hAnsi="標楷體" w:hint="eastAsia"/>
          <w:sz w:val="28"/>
          <w:szCs w:val="28"/>
        </w:rPr>
        <w:t>二、邀請行政院人事行政總處人事長列席報告業務概況及立法計畫，並備質詢。</w:t>
      </w:r>
    </w:p>
    <w:p w14:paraId="146ABAFB" w14:textId="77777777" w:rsidR="005F5E6C" w:rsidRPr="001B6E4D" w:rsidRDefault="005F5E6C"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陳昭姿、林沛祥、</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雲、沈發惠、張雅琳、莊瑞雄、許宇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、葛如鈞、鍾佳濱、賴惠員、葉元之</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；委員蔡其昌、翁曉玲、林倩綺、吳宗憲提出書面質詢。</w:t>
      </w:r>
      <w:r w:rsidRPr="001B6E4D">
        <w:rPr>
          <w:rFonts w:ascii="標楷體" w:eastAsia="標楷體" w:hAnsi="標楷體"/>
          <w:sz w:val="28"/>
          <w:szCs w:val="28"/>
        </w:rPr>
        <w:t>）</w:t>
      </w:r>
    </w:p>
    <w:p w14:paraId="5D93E295" w14:textId="77777777" w:rsidR="005F5E6C" w:rsidRPr="001B6E4D" w:rsidRDefault="005F5E6C" w:rsidP="003D1018">
      <w:pPr>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定</w:t>
      </w:r>
      <w:r w:rsidRPr="001B6E4D">
        <w:rPr>
          <w:rFonts w:ascii="標楷體" w:eastAsia="標楷體" w:hAnsi="標楷體"/>
          <w:bCs/>
          <w:sz w:val="28"/>
          <w:szCs w:val="28"/>
        </w:rPr>
        <w:t>：</w:t>
      </w:r>
    </w:p>
    <w:p w14:paraId="0D685F33" w14:textId="77777777" w:rsidR="005F5E6C" w:rsidRPr="001B6E4D" w:rsidRDefault="005F5E6C"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一、報告及</w:t>
      </w:r>
      <w:proofErr w:type="gramStart"/>
      <w:r w:rsidRPr="001B6E4D">
        <w:rPr>
          <w:rFonts w:ascii="標楷體" w:eastAsia="標楷體" w:hAnsi="標楷體"/>
          <w:sz w:val="28"/>
          <w:szCs w:val="28"/>
        </w:rPr>
        <w:t>詢</w:t>
      </w:r>
      <w:proofErr w:type="gramEnd"/>
      <w:r w:rsidRPr="001B6E4D">
        <w:rPr>
          <w:rFonts w:ascii="標楷體" w:eastAsia="標楷體" w:hAnsi="標楷體"/>
          <w:sz w:val="28"/>
          <w:szCs w:val="28"/>
        </w:rPr>
        <w:t>答完畢。</w:t>
      </w:r>
    </w:p>
    <w:p w14:paraId="7818DEAC" w14:textId="77777777" w:rsidR="005F5E6C" w:rsidRPr="001B6E4D" w:rsidRDefault="005F5E6C"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6D2360B2" w14:textId="77777777" w:rsidR="005F5E6C" w:rsidRPr="001B6E4D" w:rsidRDefault="005F5E6C" w:rsidP="003D1018">
      <w:pPr>
        <w:overflowPunct w:val="0"/>
        <w:spacing w:line="36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01418261" w14:textId="77777777" w:rsidR="005F5E6C" w:rsidRPr="001B6E4D" w:rsidRDefault="005F5E6C" w:rsidP="003D1018">
      <w:pPr>
        <w:overflowPunct w:val="0"/>
        <w:spacing w:line="400" w:lineRule="exact"/>
        <w:ind w:left="619" w:hangingChars="221" w:hanging="619"/>
        <w:contextualSpacing/>
        <w:jc w:val="both"/>
        <w:rPr>
          <w:rFonts w:ascii="標楷體" w:eastAsia="標楷體" w:hAnsi="標楷體"/>
          <w:sz w:val="28"/>
          <w:szCs w:val="28"/>
        </w:rPr>
      </w:pPr>
    </w:p>
    <w:p w14:paraId="45AAA624" w14:textId="77777777" w:rsidR="00321040" w:rsidRPr="001B6E4D" w:rsidRDefault="00321040" w:rsidP="003D1018">
      <w:pPr>
        <w:overflowPunct w:val="0"/>
        <w:spacing w:beforeLines="50" w:before="180" w:afterLines="50" w:after="180" w:line="360" w:lineRule="exact"/>
        <w:ind w:leftChars="6" w:left="548" w:hangingChars="200" w:hanging="534"/>
        <w:jc w:val="center"/>
        <w:outlineLvl w:val="2"/>
        <w:rPr>
          <w:rFonts w:ascii="標楷體" w:eastAsia="標楷體" w:hAnsi="標楷體"/>
          <w:b/>
          <w:spacing w:val="-4"/>
          <w:w w:val="98"/>
          <w:sz w:val="28"/>
          <w:szCs w:val="28"/>
        </w:rPr>
      </w:pPr>
      <w:r w:rsidRPr="001B6E4D">
        <w:rPr>
          <w:rFonts w:ascii="標楷體" w:eastAsia="標楷體" w:hAnsi="標楷體"/>
          <w:b/>
          <w:spacing w:val="-4"/>
          <w:w w:val="98"/>
          <w:sz w:val="28"/>
          <w:szCs w:val="28"/>
        </w:rPr>
        <w:br w:type="page"/>
      </w:r>
    </w:p>
    <w:p w14:paraId="49338480" w14:textId="7954CF89" w:rsidR="005F5E6C" w:rsidRPr="001B6E4D" w:rsidRDefault="005F5E6C"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43" w:name="_Toc240446588"/>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4</w:t>
      </w:r>
      <w:r w:rsidRPr="001B6E4D">
        <w:rPr>
          <w:rFonts w:ascii="標楷體" w:eastAsia="標楷體" w:hAnsi="標楷體"/>
          <w:b/>
          <w:spacing w:val="-2"/>
          <w:sz w:val="28"/>
          <w:szCs w:val="28"/>
        </w:rPr>
        <w:t>次全體委員會議議事錄</w:t>
      </w:r>
      <w:bookmarkEnd w:id="443"/>
    </w:p>
    <w:p w14:paraId="586F045B" w14:textId="77777777" w:rsidR="005F5E6C" w:rsidRPr="001B6E4D" w:rsidRDefault="005F5E6C" w:rsidP="003D1018">
      <w:pPr>
        <w:pStyle w:val="-9"/>
        <w:overflowPunct w:val="0"/>
        <w:spacing w:line="360" w:lineRule="exact"/>
        <w:ind w:leftChars="1" w:left="1416" w:hangingChars="505" w:hanging="1414"/>
        <w:jc w:val="left"/>
        <w:rPr>
          <w:rFonts w:ascii="標楷體" w:hAnsi="標楷體"/>
          <w:spacing w:val="-10"/>
          <w:sz w:val="28"/>
          <w:szCs w:val="28"/>
        </w:rPr>
      </w:pPr>
      <w:r w:rsidRPr="001B6E4D">
        <w:rPr>
          <w:rFonts w:ascii="標楷體" w:hAnsi="標楷體"/>
          <w:kern w:val="0"/>
          <w:sz w:val="28"/>
          <w:szCs w:val="28"/>
          <w:fitText w:val="1120" w:id="972279552"/>
        </w:rPr>
        <w:t>時    間</w:t>
      </w:r>
      <w:r w:rsidRPr="001B6E4D">
        <w:rPr>
          <w:rFonts w:ascii="標楷體" w:hAnsi="標楷體"/>
          <w:spacing w:val="-10"/>
          <w:sz w:val="28"/>
          <w:szCs w:val="28"/>
        </w:rPr>
        <w:t>：</w:t>
      </w:r>
      <w:r w:rsidRPr="001B6E4D">
        <w:rPr>
          <w:rFonts w:ascii="標楷體" w:hAnsi="標楷體"/>
          <w:spacing w:val="-16"/>
          <w:sz w:val="28"/>
          <w:szCs w:val="28"/>
        </w:rPr>
        <w:t>中華民國1</w:t>
      </w:r>
      <w:r w:rsidRPr="001B6E4D">
        <w:rPr>
          <w:rFonts w:ascii="標楷體" w:hAnsi="標楷體" w:hint="eastAsia"/>
          <w:spacing w:val="-16"/>
          <w:sz w:val="28"/>
          <w:szCs w:val="28"/>
        </w:rPr>
        <w:t>15</w:t>
      </w:r>
      <w:r w:rsidRPr="001B6E4D">
        <w:rPr>
          <w:rFonts w:ascii="標楷體" w:hAnsi="標楷體"/>
          <w:spacing w:val="-16"/>
          <w:sz w:val="28"/>
          <w:szCs w:val="28"/>
        </w:rPr>
        <w:t>年</w:t>
      </w:r>
      <w:r w:rsidRPr="001B6E4D">
        <w:rPr>
          <w:rFonts w:ascii="標楷體" w:hAnsi="標楷體" w:hint="eastAsia"/>
          <w:spacing w:val="-16"/>
          <w:sz w:val="28"/>
          <w:szCs w:val="28"/>
        </w:rPr>
        <w:t>3</w:t>
      </w:r>
      <w:r w:rsidRPr="001B6E4D">
        <w:rPr>
          <w:rFonts w:ascii="標楷體" w:hAnsi="標楷體"/>
          <w:spacing w:val="-16"/>
          <w:sz w:val="28"/>
          <w:szCs w:val="28"/>
        </w:rPr>
        <w:t>月</w:t>
      </w:r>
      <w:r w:rsidRPr="001B6E4D">
        <w:rPr>
          <w:rFonts w:ascii="標楷體" w:hAnsi="標楷體" w:hint="eastAsia"/>
          <w:spacing w:val="-16"/>
          <w:sz w:val="28"/>
          <w:szCs w:val="28"/>
        </w:rPr>
        <w:t>30</w:t>
      </w:r>
      <w:r w:rsidRPr="001B6E4D">
        <w:rPr>
          <w:rFonts w:ascii="標楷體" w:hAnsi="標楷體"/>
          <w:spacing w:val="-16"/>
          <w:sz w:val="28"/>
          <w:szCs w:val="28"/>
        </w:rPr>
        <w:t>日（星期</w:t>
      </w:r>
      <w:r w:rsidRPr="001B6E4D">
        <w:rPr>
          <w:rFonts w:ascii="標楷體" w:hAnsi="標楷體" w:hint="eastAsia"/>
          <w:spacing w:val="-16"/>
          <w:sz w:val="28"/>
          <w:szCs w:val="28"/>
        </w:rPr>
        <w:t>一</w:t>
      </w:r>
      <w:r w:rsidRPr="001B6E4D">
        <w:rPr>
          <w:rFonts w:ascii="標楷體" w:hAnsi="標楷體"/>
          <w:spacing w:val="-16"/>
          <w:sz w:val="28"/>
          <w:szCs w:val="28"/>
        </w:rPr>
        <w:t>）上午9時2</w:t>
      </w:r>
      <w:r w:rsidRPr="001B6E4D">
        <w:rPr>
          <w:rFonts w:ascii="標楷體" w:hAnsi="標楷體" w:hint="eastAsia"/>
          <w:spacing w:val="-16"/>
          <w:sz w:val="28"/>
          <w:szCs w:val="28"/>
        </w:rPr>
        <w:t>分</w:t>
      </w:r>
      <w:r w:rsidRPr="001B6E4D">
        <w:rPr>
          <w:rFonts w:ascii="標楷體" w:hAnsi="標楷體"/>
          <w:spacing w:val="-16"/>
          <w:sz w:val="28"/>
          <w:szCs w:val="28"/>
        </w:rPr>
        <w:t>至</w:t>
      </w:r>
      <w:r w:rsidRPr="001B6E4D">
        <w:rPr>
          <w:rFonts w:ascii="標楷體" w:hAnsi="標楷體" w:hint="eastAsia"/>
          <w:spacing w:val="-16"/>
          <w:sz w:val="28"/>
          <w:szCs w:val="28"/>
        </w:rPr>
        <w:t>1</w:t>
      </w:r>
      <w:r w:rsidRPr="001B6E4D">
        <w:rPr>
          <w:rFonts w:ascii="標楷體" w:hAnsi="標楷體"/>
          <w:spacing w:val="-16"/>
          <w:sz w:val="28"/>
          <w:szCs w:val="28"/>
        </w:rPr>
        <w:t>1時45</w:t>
      </w:r>
      <w:r w:rsidRPr="001B6E4D">
        <w:rPr>
          <w:rFonts w:ascii="標楷體" w:hAnsi="標楷體" w:hint="eastAsia"/>
          <w:spacing w:val="-16"/>
          <w:sz w:val="28"/>
          <w:szCs w:val="28"/>
        </w:rPr>
        <w:t>分</w:t>
      </w:r>
    </w:p>
    <w:p w14:paraId="360704E8" w14:textId="77777777" w:rsidR="005F5E6C" w:rsidRPr="001B6E4D" w:rsidRDefault="005F5E6C" w:rsidP="003D1018">
      <w:pPr>
        <w:pStyle w:val="-9"/>
        <w:overflowPunct w:val="0"/>
        <w:spacing w:line="360" w:lineRule="exact"/>
        <w:ind w:left="1364" w:hanging="1364"/>
        <w:rPr>
          <w:rFonts w:ascii="標楷體" w:hAnsi="標楷體"/>
          <w:sz w:val="28"/>
          <w:szCs w:val="28"/>
        </w:rPr>
      </w:pPr>
      <w:r w:rsidRPr="001B6E4D">
        <w:rPr>
          <w:rFonts w:ascii="標楷體" w:hAnsi="標楷體"/>
          <w:kern w:val="0"/>
          <w:sz w:val="28"/>
          <w:szCs w:val="28"/>
          <w:fitText w:val="1120" w:id="972279808"/>
        </w:rPr>
        <w:t>地    點</w:t>
      </w:r>
      <w:r w:rsidRPr="001B6E4D">
        <w:rPr>
          <w:rFonts w:ascii="標楷體" w:hAnsi="標楷體"/>
          <w:sz w:val="28"/>
          <w:szCs w:val="28"/>
        </w:rPr>
        <w:t>：本院紅樓302會議室</w:t>
      </w:r>
    </w:p>
    <w:p w14:paraId="4653F6B2" w14:textId="77777777" w:rsidR="005F5E6C" w:rsidRPr="001B6E4D" w:rsidRDefault="005F5E6C" w:rsidP="003D1018">
      <w:pPr>
        <w:overflowPunct w:val="0"/>
        <w:snapToGrid w:val="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翁曉玲</w:t>
      </w:r>
      <w:r w:rsidRPr="001B6E4D">
        <w:rPr>
          <w:rFonts w:ascii="標楷體" w:eastAsia="標楷體" w:hAnsi="標楷體"/>
          <w:sz w:val="28"/>
          <w:szCs w:val="28"/>
        </w:rPr>
        <w:tab/>
      </w:r>
      <w:r w:rsidRPr="001B6E4D">
        <w:rPr>
          <w:rFonts w:ascii="標楷體" w:eastAsia="標楷體" w:hAnsi="標楷體" w:hint="eastAsia"/>
          <w:sz w:val="28"/>
          <w:szCs w:val="28"/>
        </w:rPr>
        <w:t>林沛祥</w:t>
      </w:r>
      <w:r w:rsidRPr="001B6E4D">
        <w:rPr>
          <w:rFonts w:ascii="標楷體" w:eastAsia="標楷體" w:hAnsi="標楷體" w:hint="eastAsia"/>
          <w:sz w:val="28"/>
          <w:szCs w:val="28"/>
        </w:rPr>
        <w:tab/>
        <w:t>林倩綺</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t>張雅琳</w:t>
      </w:r>
      <w:r w:rsidRPr="001B6E4D">
        <w:rPr>
          <w:rFonts w:ascii="標楷體" w:eastAsia="標楷體" w:hAnsi="標楷體"/>
          <w:sz w:val="28"/>
          <w:szCs w:val="28"/>
        </w:rPr>
        <w:tab/>
      </w:r>
      <w:r w:rsidRPr="001B6E4D">
        <w:rPr>
          <w:rFonts w:ascii="標楷體" w:eastAsia="標楷體" w:hAnsi="標楷體" w:hint="eastAsia"/>
          <w:sz w:val="28"/>
          <w:szCs w:val="28"/>
        </w:rPr>
        <w:t>莊瑞雄</w:t>
      </w:r>
    </w:p>
    <w:p w14:paraId="1E2BF045" w14:textId="4A96C648" w:rsidR="005F5E6C" w:rsidRPr="001B6E4D" w:rsidRDefault="00640ABE" w:rsidP="003D1018">
      <w:pPr>
        <w:overflowPunct w:val="0"/>
        <w:snapToGrid w:val="0"/>
        <w:ind w:firstLine="1276"/>
        <w:rPr>
          <w:rFonts w:ascii="標楷體" w:eastAsia="標楷體" w:hAnsi="標楷體"/>
          <w:sz w:val="28"/>
          <w:szCs w:val="28"/>
        </w:rPr>
      </w:pPr>
      <w:r w:rsidRPr="001B6E4D">
        <w:rPr>
          <w:rFonts w:ascii="標楷體" w:eastAsia="標楷體" w:hAnsi="標楷體" w:hint="eastAsia"/>
          <w:sz w:val="28"/>
          <w:szCs w:val="28"/>
        </w:rPr>
        <w:t xml:space="preserve"> </w:t>
      </w:r>
      <w:r w:rsidR="005F5E6C" w:rsidRPr="001B6E4D">
        <w:rPr>
          <w:rFonts w:ascii="標楷體" w:eastAsia="標楷體" w:hAnsi="標楷體" w:hint="eastAsia"/>
          <w:sz w:val="28"/>
          <w:szCs w:val="28"/>
        </w:rPr>
        <w:t>許宇</w:t>
      </w:r>
      <w:proofErr w:type="gramStart"/>
      <w:r w:rsidR="005F5E6C" w:rsidRPr="001B6E4D">
        <w:rPr>
          <w:rFonts w:ascii="標楷體" w:eastAsia="標楷體" w:hAnsi="標楷體" w:hint="eastAsia"/>
          <w:sz w:val="28"/>
          <w:szCs w:val="28"/>
        </w:rPr>
        <w:t>甄</w:t>
      </w:r>
      <w:proofErr w:type="gramEnd"/>
      <w:r w:rsidR="005F5E6C" w:rsidRPr="001B6E4D">
        <w:rPr>
          <w:rFonts w:ascii="標楷體" w:eastAsia="標楷體" w:hAnsi="標楷體"/>
          <w:sz w:val="28"/>
          <w:szCs w:val="28"/>
        </w:rPr>
        <w:tab/>
      </w:r>
      <w:proofErr w:type="gramStart"/>
      <w:r w:rsidR="005F5E6C" w:rsidRPr="001B6E4D">
        <w:rPr>
          <w:rFonts w:ascii="標楷體" w:eastAsia="標楷體" w:hAnsi="標楷體" w:hint="eastAsia"/>
          <w:sz w:val="28"/>
          <w:szCs w:val="28"/>
        </w:rPr>
        <w:t>范</w:t>
      </w:r>
      <w:proofErr w:type="gramEnd"/>
      <w:r w:rsidR="005F5E6C" w:rsidRPr="001B6E4D">
        <w:rPr>
          <w:rFonts w:ascii="標楷體" w:eastAsia="標楷體" w:hAnsi="標楷體" w:hint="eastAsia"/>
          <w:sz w:val="28"/>
          <w:szCs w:val="28"/>
        </w:rPr>
        <w:t xml:space="preserve">  雲</w:t>
      </w:r>
      <w:r w:rsidR="005F5E6C" w:rsidRPr="001B6E4D">
        <w:rPr>
          <w:rFonts w:ascii="標楷體" w:eastAsia="標楷體" w:hAnsi="標楷體"/>
          <w:sz w:val="28"/>
          <w:szCs w:val="28"/>
        </w:rPr>
        <w:tab/>
      </w:r>
      <w:r w:rsidR="005F5E6C" w:rsidRPr="001B6E4D">
        <w:rPr>
          <w:rFonts w:ascii="標楷體" w:eastAsia="標楷體" w:hAnsi="標楷體" w:hint="eastAsia"/>
          <w:sz w:val="28"/>
          <w:szCs w:val="28"/>
        </w:rPr>
        <w:t>吳宗憲</w:t>
      </w:r>
      <w:r w:rsidR="005F5E6C" w:rsidRPr="001B6E4D">
        <w:rPr>
          <w:rFonts w:ascii="標楷體" w:eastAsia="標楷體" w:hAnsi="標楷體"/>
          <w:sz w:val="28"/>
          <w:szCs w:val="28"/>
        </w:rPr>
        <w:tab/>
      </w:r>
      <w:r w:rsidR="005F5E6C" w:rsidRPr="001B6E4D">
        <w:rPr>
          <w:rFonts w:ascii="標楷體" w:eastAsia="標楷體" w:hAnsi="標楷體" w:hint="eastAsia"/>
          <w:sz w:val="28"/>
          <w:szCs w:val="28"/>
        </w:rPr>
        <w:t>蔡其昌</w:t>
      </w:r>
      <w:r w:rsidR="005F5E6C" w:rsidRPr="001B6E4D">
        <w:rPr>
          <w:rFonts w:ascii="標楷體" w:eastAsia="標楷體" w:hAnsi="標楷體" w:hint="eastAsia"/>
          <w:sz w:val="28"/>
          <w:szCs w:val="28"/>
        </w:rPr>
        <w:tab/>
        <w:t>柯建銘</w:t>
      </w:r>
    </w:p>
    <w:p w14:paraId="16AD463C"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12</w:t>
      </w:r>
      <w:r w:rsidRPr="001B6E4D">
        <w:rPr>
          <w:rFonts w:ascii="標楷體" w:eastAsia="標楷體" w:hAnsi="標楷體"/>
          <w:sz w:val="28"/>
          <w:szCs w:val="28"/>
        </w:rPr>
        <w:t>人</w:t>
      </w:r>
    </w:p>
    <w:p w14:paraId="106C23FF" w14:textId="77777777" w:rsidR="005F5E6C" w:rsidRPr="001B6E4D" w:rsidRDefault="005F5E6C" w:rsidP="003D1018">
      <w:pPr>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李坤城</w:t>
      </w:r>
      <w:r w:rsidRPr="001B6E4D">
        <w:rPr>
          <w:rFonts w:ascii="標楷體" w:eastAsia="標楷體" w:hAnsi="標楷體" w:hint="eastAsia"/>
          <w:sz w:val="28"/>
          <w:szCs w:val="28"/>
        </w:rPr>
        <w:tab/>
        <w:t>林楚茵</w:t>
      </w:r>
      <w:r w:rsidRPr="001B6E4D">
        <w:rPr>
          <w:rFonts w:ascii="標楷體" w:eastAsia="標楷體" w:hAnsi="標楷體"/>
          <w:sz w:val="28"/>
          <w:szCs w:val="28"/>
        </w:rPr>
        <w:tab/>
      </w:r>
      <w:r w:rsidRPr="001B6E4D">
        <w:rPr>
          <w:rFonts w:ascii="標楷體" w:eastAsia="標楷體" w:hAnsi="標楷體" w:hint="eastAsia"/>
          <w:sz w:val="28"/>
          <w:szCs w:val="28"/>
        </w:rPr>
        <w:t>洪孟楷</w:t>
      </w:r>
      <w:r w:rsidRPr="001B6E4D">
        <w:rPr>
          <w:rFonts w:ascii="標楷體" w:eastAsia="標楷體" w:hAnsi="標楷體"/>
          <w:sz w:val="28"/>
          <w:szCs w:val="28"/>
        </w:rPr>
        <w:tab/>
      </w:r>
      <w:r w:rsidRPr="001B6E4D">
        <w:rPr>
          <w:rFonts w:ascii="標楷體" w:eastAsia="標楷體" w:hAnsi="標楷體" w:hint="eastAsia"/>
          <w:sz w:val="28"/>
          <w:szCs w:val="28"/>
        </w:rPr>
        <w:t>徐巧芯</w:t>
      </w:r>
      <w:r w:rsidRPr="001B6E4D">
        <w:rPr>
          <w:rFonts w:ascii="標楷體" w:eastAsia="標楷體" w:hAnsi="標楷體" w:hint="eastAsia"/>
          <w:sz w:val="28"/>
          <w:szCs w:val="28"/>
        </w:rPr>
        <w:tab/>
        <w:t>羅明才</w:t>
      </w:r>
      <w:r w:rsidRPr="001B6E4D">
        <w:rPr>
          <w:rFonts w:ascii="標楷體" w:eastAsia="標楷體" w:hAnsi="標楷體"/>
          <w:spacing w:val="-26"/>
          <w:sz w:val="28"/>
          <w:szCs w:val="28"/>
        </w:rPr>
        <w:tab/>
      </w:r>
    </w:p>
    <w:p w14:paraId="1FADA9F5"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席5人</w:t>
      </w:r>
    </w:p>
    <w:p w14:paraId="645DD7F2" w14:textId="77777777" w:rsidR="005F5E6C" w:rsidRPr="001B6E4D" w:rsidRDefault="005F5E6C" w:rsidP="003D1018">
      <w:pPr>
        <w:pStyle w:val="-9"/>
        <w:widowControl w:val="0"/>
        <w:overflowPunct w:val="0"/>
        <w:spacing w:line="360" w:lineRule="exact"/>
        <w:ind w:left="1361" w:hangingChars="486" w:hanging="1361"/>
        <w:rPr>
          <w:rFonts w:ascii="標楷體" w:hAnsi="標楷體"/>
          <w:sz w:val="28"/>
          <w:szCs w:val="28"/>
        </w:rPr>
      </w:pPr>
      <w:r w:rsidRPr="001B6E4D">
        <w:rPr>
          <w:rFonts w:ascii="標楷體" w:hAnsi="標楷體"/>
          <w:sz w:val="28"/>
          <w:szCs w:val="28"/>
        </w:rPr>
        <w:t>列席官員：</w:t>
      </w:r>
      <w:r w:rsidRPr="001B6E4D">
        <w:rPr>
          <w:rFonts w:ascii="標楷體" w:hAnsi="標楷體" w:hint="eastAsia"/>
          <w:sz w:val="28"/>
          <w:szCs w:val="28"/>
        </w:rPr>
        <w:t>司法院秘書長　高金枝</w:t>
      </w:r>
    </w:p>
    <w:p w14:paraId="7F3244BD"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法務部檢察司司長　張曉雯(部長請假)</w:t>
      </w:r>
    </w:p>
    <w:p w14:paraId="46840118"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內政部警政署刑事警察局副局長　林故</w:t>
      </w:r>
      <w:proofErr w:type="gramStart"/>
      <w:r w:rsidRPr="001B6E4D">
        <w:rPr>
          <w:rFonts w:ascii="標楷體" w:hAnsi="標楷體" w:hint="eastAsia"/>
          <w:sz w:val="28"/>
          <w:szCs w:val="28"/>
        </w:rPr>
        <w:t>廷</w:t>
      </w:r>
      <w:proofErr w:type="gramEnd"/>
    </w:p>
    <w:p w14:paraId="512AC810" w14:textId="77777777" w:rsidR="005F5E6C" w:rsidRPr="001B6E4D" w:rsidRDefault="005F5E6C" w:rsidP="003D1018">
      <w:pPr>
        <w:overflowPunct w:val="0"/>
        <w:snapToGrid w:val="0"/>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7149FF8D" w14:textId="77777777" w:rsidR="005F5E6C" w:rsidRPr="001B6E4D" w:rsidRDefault="005F5E6C" w:rsidP="003D1018">
      <w:pPr>
        <w:overflowPunct w:val="0"/>
        <w:snapToGrid w:val="0"/>
        <w:ind w:left="574"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3EDDBA16" w14:textId="77777777" w:rsidR="005F5E6C" w:rsidRPr="001B6E4D" w:rsidRDefault="005F5E6C" w:rsidP="003D1018">
      <w:pPr>
        <w:overflowPunct w:val="0"/>
        <w:snapToGrid w:val="0"/>
        <w:ind w:left="574"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5B38AD31" w14:textId="77777777" w:rsidR="005F5E6C" w:rsidRPr="001B6E4D" w:rsidRDefault="005F5E6C" w:rsidP="003D1018">
      <w:pPr>
        <w:overflowPunct w:val="0"/>
        <w:adjustRightInd w:val="0"/>
        <w:snapToGrid w:val="0"/>
        <w:ind w:left="574"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28590A6B"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7AF167A2"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1A21BDF8" w14:textId="77777777" w:rsidR="005F5E6C" w:rsidRPr="001B6E4D" w:rsidRDefault="005F5E6C" w:rsidP="003D1018">
      <w:pPr>
        <w:pStyle w:val="afffff6"/>
        <w:overflowPunct w:val="0"/>
        <w:spacing w:beforeLines="50" w:before="180" w:line="360" w:lineRule="exact"/>
        <w:ind w:leftChars="0" w:left="0" w:rightChars="0" w:right="0" w:firstLineChars="398" w:firstLine="1115"/>
        <w:jc w:val="both"/>
        <w:rPr>
          <w:rFonts w:ascii="標楷體" w:hAnsi="標楷體"/>
          <w:b/>
          <w:sz w:val="28"/>
          <w:szCs w:val="28"/>
        </w:rPr>
      </w:pPr>
      <w:r w:rsidRPr="001B6E4D">
        <w:rPr>
          <w:rFonts w:ascii="標楷體" w:hAnsi="標楷體"/>
          <w:b/>
          <w:sz w:val="28"/>
          <w:szCs w:val="28"/>
        </w:rPr>
        <w:t>報告事項</w:t>
      </w:r>
    </w:p>
    <w:p w14:paraId="1B81A059" w14:textId="77777777" w:rsidR="005F5E6C" w:rsidRPr="001B6E4D" w:rsidRDefault="005F5E6C" w:rsidP="003D1018">
      <w:pPr>
        <w:overflowPunct w:val="0"/>
        <w:adjustRightInd w:val="0"/>
        <w:snapToGrid w:val="0"/>
        <w:ind w:left="574" w:hanging="560"/>
        <w:jc w:val="both"/>
        <w:rPr>
          <w:rFonts w:ascii="標楷體" w:eastAsia="標楷體" w:hAnsi="標楷體"/>
          <w:sz w:val="28"/>
          <w:szCs w:val="28"/>
        </w:rPr>
      </w:pPr>
      <w:r w:rsidRPr="001B6E4D">
        <w:rPr>
          <w:rFonts w:ascii="標楷體" w:eastAsia="標楷體" w:hAnsi="標楷體" w:hint="eastAsia"/>
          <w:sz w:val="28"/>
          <w:szCs w:val="28"/>
        </w:rPr>
        <w:t>一、宣讀上次會議議事錄。</w:t>
      </w:r>
    </w:p>
    <w:p w14:paraId="56F13439" w14:textId="77777777" w:rsidR="005F5E6C" w:rsidRPr="001B6E4D" w:rsidRDefault="005F5E6C" w:rsidP="003D1018">
      <w:pPr>
        <w:overflowPunct w:val="0"/>
        <w:adjustRightInd w:val="0"/>
        <w:snapToGrid w:val="0"/>
        <w:ind w:left="574" w:hanging="560"/>
        <w:jc w:val="both"/>
        <w:rPr>
          <w:rFonts w:ascii="標楷體" w:eastAsia="標楷體" w:hAnsi="標楷體"/>
          <w:sz w:val="28"/>
          <w:szCs w:val="28"/>
        </w:rPr>
      </w:pPr>
      <w:r w:rsidRPr="001B6E4D">
        <w:rPr>
          <w:rFonts w:ascii="標楷體" w:eastAsia="標楷體" w:hAnsi="標楷體"/>
          <w:sz w:val="28"/>
          <w:szCs w:val="28"/>
        </w:rPr>
        <w:t>決定：確定。</w:t>
      </w:r>
    </w:p>
    <w:p w14:paraId="7E6D49E4" w14:textId="77777777" w:rsidR="005F5E6C" w:rsidRPr="001B6E4D" w:rsidRDefault="005F5E6C" w:rsidP="003D1018">
      <w:pPr>
        <w:overflowPunct w:val="0"/>
        <w:adjustRightInd w:val="0"/>
        <w:snapToGrid w:val="0"/>
        <w:ind w:left="574" w:hanging="560"/>
        <w:jc w:val="both"/>
        <w:rPr>
          <w:rFonts w:ascii="標楷體" w:eastAsia="標楷體" w:hAnsi="標楷體"/>
          <w:sz w:val="28"/>
          <w:szCs w:val="28"/>
        </w:rPr>
      </w:pPr>
      <w:r w:rsidRPr="001B6E4D">
        <w:rPr>
          <w:rFonts w:ascii="標楷體" w:eastAsia="標楷體" w:hAnsi="標楷體" w:hint="eastAsia"/>
          <w:sz w:val="28"/>
          <w:szCs w:val="28"/>
        </w:rPr>
        <w:t>二、邀請司法院秘書長、法務部部長、內政部警政署就「法院安全秩序維護與法警職權行使」進行專題報告，並備質詢。</w:t>
      </w:r>
    </w:p>
    <w:p w14:paraId="41B8B234" w14:textId="77777777" w:rsidR="005F5E6C" w:rsidRPr="001B6E4D" w:rsidRDefault="005F5E6C" w:rsidP="003D1018">
      <w:pPr>
        <w:overflowPunct w:val="0"/>
        <w:adjustRightInd w:val="0"/>
        <w:snapToGrid w:val="0"/>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陳昭姿、翁曉玲、林沛祥、林倩綺、沈發惠、張雅琳、莊瑞雄、許宇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雲、李坤城、洪孟楷、徐巧芯</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；委員蔡其昌、吳宗憲提出書面質詢。</w:t>
      </w:r>
      <w:r w:rsidRPr="001B6E4D">
        <w:rPr>
          <w:rFonts w:ascii="標楷體" w:eastAsia="標楷體" w:hAnsi="標楷體"/>
          <w:sz w:val="28"/>
          <w:szCs w:val="28"/>
        </w:rPr>
        <w:t>）</w:t>
      </w:r>
    </w:p>
    <w:p w14:paraId="659950D3" w14:textId="77777777" w:rsidR="005F5E6C" w:rsidRPr="001B6E4D" w:rsidRDefault="005F5E6C" w:rsidP="003D1018">
      <w:pPr>
        <w:overflowPunct w:val="0"/>
        <w:spacing w:line="400" w:lineRule="exact"/>
        <w:ind w:left="14"/>
        <w:jc w:val="both"/>
        <w:rPr>
          <w:rFonts w:ascii="標楷體" w:eastAsia="標楷體" w:hAnsi="標楷體"/>
          <w:bCs/>
          <w:sz w:val="28"/>
          <w:szCs w:val="28"/>
        </w:rPr>
      </w:pPr>
      <w:r w:rsidRPr="001B6E4D">
        <w:rPr>
          <w:rFonts w:ascii="標楷體" w:eastAsia="標楷體" w:hAnsi="標楷體" w:hint="eastAsia"/>
          <w:bCs/>
          <w:sz w:val="28"/>
          <w:szCs w:val="28"/>
        </w:rPr>
        <w:t>決定：</w:t>
      </w:r>
    </w:p>
    <w:p w14:paraId="57D6889F" w14:textId="77777777" w:rsidR="00321040" w:rsidRPr="001B6E4D" w:rsidRDefault="00321040" w:rsidP="003D1018">
      <w:pPr>
        <w:overflowPunct w:val="0"/>
        <w:spacing w:line="400" w:lineRule="exact"/>
        <w:ind w:leftChars="6" w:left="14"/>
        <w:jc w:val="both"/>
        <w:rPr>
          <w:rFonts w:ascii="標楷體" w:eastAsia="標楷體" w:hAnsi="標楷體"/>
          <w:bCs/>
          <w:sz w:val="28"/>
          <w:szCs w:val="28"/>
        </w:rPr>
      </w:pPr>
      <w:r w:rsidRPr="001B6E4D">
        <w:rPr>
          <w:rFonts w:ascii="標楷體" w:eastAsia="標楷體" w:hAnsi="標楷體" w:hint="eastAsia"/>
          <w:bCs/>
          <w:sz w:val="28"/>
          <w:szCs w:val="28"/>
        </w:rPr>
        <w:t>一、報告及</w:t>
      </w:r>
      <w:proofErr w:type="gramStart"/>
      <w:r w:rsidRPr="001B6E4D">
        <w:rPr>
          <w:rFonts w:ascii="標楷體" w:eastAsia="標楷體" w:hAnsi="標楷體" w:hint="eastAsia"/>
          <w:bCs/>
          <w:sz w:val="28"/>
          <w:szCs w:val="28"/>
        </w:rPr>
        <w:t>詢</w:t>
      </w:r>
      <w:proofErr w:type="gramEnd"/>
      <w:r w:rsidRPr="001B6E4D">
        <w:rPr>
          <w:rFonts w:ascii="標楷體" w:eastAsia="標楷體" w:hAnsi="標楷體" w:hint="eastAsia"/>
          <w:bCs/>
          <w:sz w:val="28"/>
          <w:szCs w:val="28"/>
        </w:rPr>
        <w:t>答完畢。</w:t>
      </w:r>
    </w:p>
    <w:p w14:paraId="5C44319F" w14:textId="77777777" w:rsidR="00321040" w:rsidRPr="001B6E4D" w:rsidRDefault="00321040"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二、委員質詢時，要求提供相關資料或以書面答復者，請相關機關儘速送交個別委員及本會。</w:t>
      </w:r>
    </w:p>
    <w:p w14:paraId="37A260B3" w14:textId="0D43C450" w:rsidR="005F5E6C" w:rsidRPr="001B6E4D" w:rsidRDefault="00321040"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散會</w:t>
      </w:r>
    </w:p>
    <w:p w14:paraId="6B647D81" w14:textId="4D31DEF9" w:rsidR="005F5E6C" w:rsidRPr="001B6E4D" w:rsidRDefault="00321040"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6"/>
          <w:sz w:val="28"/>
          <w:szCs w:val="28"/>
        </w:rPr>
      </w:pPr>
      <w:r w:rsidRPr="001B6E4D">
        <w:rPr>
          <w:rFonts w:ascii="標楷體" w:eastAsia="標楷體" w:hAnsi="標楷體"/>
          <w:b/>
          <w:spacing w:val="-2"/>
          <w:sz w:val="28"/>
          <w:szCs w:val="28"/>
        </w:rPr>
        <w:br w:type="page"/>
      </w:r>
      <w:bookmarkStart w:id="444" w:name="_Toc240446589"/>
      <w:r w:rsidR="005F5E6C" w:rsidRPr="001B6E4D">
        <w:rPr>
          <w:rFonts w:ascii="標楷體" w:eastAsia="標楷體" w:hAnsi="標楷體"/>
          <w:b/>
          <w:spacing w:val="-2"/>
          <w:sz w:val="28"/>
          <w:szCs w:val="28"/>
        </w:rPr>
        <w:lastRenderedPageBreak/>
        <w:t>立法院第</w:t>
      </w:r>
      <w:r w:rsidR="005F5E6C" w:rsidRPr="001B6E4D">
        <w:rPr>
          <w:rFonts w:ascii="標楷體" w:eastAsia="標楷體" w:hAnsi="標楷體" w:hint="eastAsia"/>
          <w:b/>
          <w:spacing w:val="-2"/>
          <w:sz w:val="28"/>
          <w:szCs w:val="28"/>
        </w:rPr>
        <w:t>11</w:t>
      </w:r>
      <w:r w:rsidR="005F5E6C" w:rsidRPr="001B6E4D">
        <w:rPr>
          <w:rFonts w:ascii="標楷體" w:eastAsia="標楷體" w:hAnsi="標楷體"/>
          <w:b/>
          <w:spacing w:val="-2"/>
          <w:sz w:val="28"/>
          <w:szCs w:val="28"/>
        </w:rPr>
        <w:t>屆第</w:t>
      </w:r>
      <w:r w:rsidR="005F5E6C" w:rsidRPr="001B6E4D">
        <w:rPr>
          <w:rFonts w:ascii="標楷體" w:eastAsia="標楷體" w:hAnsi="標楷體" w:hint="eastAsia"/>
          <w:b/>
          <w:spacing w:val="-2"/>
          <w:sz w:val="28"/>
          <w:szCs w:val="28"/>
        </w:rPr>
        <w:t>5</w:t>
      </w:r>
      <w:r w:rsidR="005F5E6C" w:rsidRPr="001B6E4D">
        <w:rPr>
          <w:rFonts w:ascii="標楷體" w:eastAsia="標楷體" w:hAnsi="標楷體"/>
          <w:b/>
          <w:spacing w:val="-2"/>
          <w:sz w:val="28"/>
          <w:szCs w:val="28"/>
        </w:rPr>
        <w:t>會期司法及法制委員會第</w:t>
      </w:r>
      <w:r w:rsidR="005F5E6C" w:rsidRPr="001B6E4D">
        <w:rPr>
          <w:rFonts w:ascii="標楷體" w:eastAsia="標楷體" w:hAnsi="標楷體" w:hint="eastAsia"/>
          <w:b/>
          <w:spacing w:val="-2"/>
          <w:sz w:val="28"/>
          <w:szCs w:val="28"/>
        </w:rPr>
        <w:t>5</w:t>
      </w:r>
      <w:r w:rsidR="005F5E6C" w:rsidRPr="001B6E4D">
        <w:rPr>
          <w:rFonts w:ascii="標楷體" w:eastAsia="標楷體" w:hAnsi="標楷體"/>
          <w:b/>
          <w:spacing w:val="-2"/>
          <w:sz w:val="28"/>
          <w:szCs w:val="28"/>
        </w:rPr>
        <w:t>次全體委員會議議事錄</w:t>
      </w:r>
      <w:bookmarkEnd w:id="444"/>
    </w:p>
    <w:p w14:paraId="092FACD6" w14:textId="77777777" w:rsidR="005F5E6C" w:rsidRPr="001B6E4D" w:rsidRDefault="005F5E6C" w:rsidP="003D1018">
      <w:pPr>
        <w:pStyle w:val="-9"/>
        <w:overflowPunct w:val="0"/>
        <w:spacing w:line="360" w:lineRule="exact"/>
        <w:ind w:leftChars="1" w:left="1416" w:hangingChars="505" w:hanging="1414"/>
        <w:jc w:val="left"/>
        <w:rPr>
          <w:rFonts w:ascii="標楷體" w:hAnsi="標楷體"/>
          <w:spacing w:val="-10"/>
          <w:sz w:val="28"/>
          <w:szCs w:val="28"/>
        </w:rPr>
      </w:pPr>
      <w:r w:rsidRPr="001B6E4D">
        <w:rPr>
          <w:rFonts w:ascii="標楷體" w:hAnsi="標楷體"/>
          <w:kern w:val="0"/>
          <w:sz w:val="28"/>
          <w:szCs w:val="28"/>
          <w:fitText w:val="1120" w:id="972279552"/>
        </w:rPr>
        <w:t>時    間</w:t>
      </w:r>
      <w:r w:rsidRPr="001B6E4D">
        <w:rPr>
          <w:rFonts w:ascii="標楷體" w:hAnsi="標楷體"/>
          <w:spacing w:val="-10"/>
          <w:sz w:val="28"/>
          <w:szCs w:val="28"/>
        </w:rPr>
        <w:t>：</w:t>
      </w:r>
      <w:r w:rsidRPr="001B6E4D">
        <w:rPr>
          <w:rFonts w:ascii="標楷體" w:hAnsi="標楷體"/>
          <w:spacing w:val="-4"/>
          <w:sz w:val="28"/>
          <w:szCs w:val="28"/>
        </w:rPr>
        <w:t>中華民國1</w:t>
      </w:r>
      <w:r w:rsidRPr="001B6E4D">
        <w:rPr>
          <w:rFonts w:ascii="標楷體" w:hAnsi="標楷體" w:hint="eastAsia"/>
          <w:spacing w:val="-4"/>
          <w:sz w:val="28"/>
          <w:szCs w:val="28"/>
        </w:rPr>
        <w:t>1</w:t>
      </w:r>
      <w:r w:rsidRPr="001B6E4D">
        <w:rPr>
          <w:rFonts w:ascii="標楷體" w:hAnsi="標楷體"/>
          <w:spacing w:val="-4"/>
          <w:sz w:val="28"/>
          <w:szCs w:val="28"/>
        </w:rPr>
        <w:t>5年</w:t>
      </w:r>
      <w:r w:rsidRPr="001B6E4D">
        <w:rPr>
          <w:rFonts w:ascii="標楷體" w:hAnsi="標楷體" w:hint="eastAsia"/>
          <w:spacing w:val="-4"/>
          <w:sz w:val="28"/>
          <w:szCs w:val="28"/>
        </w:rPr>
        <w:t>4</w:t>
      </w:r>
      <w:r w:rsidRPr="001B6E4D">
        <w:rPr>
          <w:rFonts w:ascii="標楷體" w:hAnsi="標楷體"/>
          <w:spacing w:val="-4"/>
          <w:sz w:val="28"/>
          <w:szCs w:val="28"/>
        </w:rPr>
        <w:t>月</w:t>
      </w:r>
      <w:r w:rsidRPr="001B6E4D">
        <w:rPr>
          <w:rFonts w:ascii="標楷體" w:hAnsi="標楷體" w:hint="eastAsia"/>
          <w:spacing w:val="-4"/>
          <w:sz w:val="28"/>
          <w:szCs w:val="28"/>
        </w:rPr>
        <w:t>1</w:t>
      </w:r>
      <w:r w:rsidRPr="001B6E4D">
        <w:rPr>
          <w:rFonts w:ascii="標楷體" w:hAnsi="標楷體"/>
          <w:spacing w:val="-4"/>
          <w:sz w:val="28"/>
          <w:szCs w:val="28"/>
        </w:rPr>
        <w:t>日（星期</w:t>
      </w:r>
      <w:r w:rsidRPr="001B6E4D">
        <w:rPr>
          <w:rFonts w:ascii="標楷體" w:hAnsi="標楷體" w:hint="eastAsia"/>
          <w:spacing w:val="-4"/>
          <w:sz w:val="28"/>
          <w:szCs w:val="28"/>
        </w:rPr>
        <w:t>三</w:t>
      </w:r>
      <w:r w:rsidRPr="001B6E4D">
        <w:rPr>
          <w:rFonts w:ascii="標楷體" w:hAnsi="標楷體"/>
          <w:spacing w:val="-4"/>
          <w:sz w:val="28"/>
          <w:szCs w:val="28"/>
        </w:rPr>
        <w:t>）上午9時至</w:t>
      </w:r>
      <w:r w:rsidRPr="001B6E4D">
        <w:rPr>
          <w:rFonts w:ascii="標楷體" w:hAnsi="標楷體" w:hint="eastAsia"/>
          <w:spacing w:val="-4"/>
          <w:sz w:val="28"/>
          <w:szCs w:val="28"/>
        </w:rPr>
        <w:t>12</w:t>
      </w:r>
      <w:r w:rsidRPr="001B6E4D">
        <w:rPr>
          <w:rFonts w:ascii="標楷體" w:hAnsi="標楷體"/>
          <w:spacing w:val="-4"/>
          <w:sz w:val="28"/>
          <w:szCs w:val="28"/>
        </w:rPr>
        <w:t>時</w:t>
      </w:r>
      <w:r w:rsidRPr="001B6E4D">
        <w:rPr>
          <w:rFonts w:ascii="標楷體" w:hAnsi="標楷體" w:hint="eastAsia"/>
          <w:spacing w:val="-4"/>
          <w:sz w:val="28"/>
          <w:szCs w:val="28"/>
        </w:rPr>
        <w:t>1</w:t>
      </w:r>
      <w:r w:rsidRPr="001B6E4D">
        <w:rPr>
          <w:rFonts w:ascii="標楷體" w:hAnsi="標楷體"/>
          <w:spacing w:val="-4"/>
          <w:sz w:val="28"/>
          <w:szCs w:val="28"/>
        </w:rPr>
        <w:t>0</w:t>
      </w:r>
      <w:r w:rsidRPr="001B6E4D">
        <w:rPr>
          <w:rFonts w:ascii="標楷體" w:hAnsi="標楷體" w:hint="eastAsia"/>
          <w:spacing w:val="-4"/>
          <w:sz w:val="28"/>
          <w:szCs w:val="28"/>
        </w:rPr>
        <w:t>分</w:t>
      </w:r>
    </w:p>
    <w:p w14:paraId="050641AC" w14:textId="77777777" w:rsidR="005F5E6C" w:rsidRPr="001B6E4D" w:rsidRDefault="005F5E6C" w:rsidP="003D1018">
      <w:pPr>
        <w:pStyle w:val="-9"/>
        <w:overflowPunct w:val="0"/>
        <w:spacing w:line="360" w:lineRule="exact"/>
        <w:ind w:left="1364" w:hanging="1364"/>
        <w:rPr>
          <w:rFonts w:ascii="標楷體" w:hAnsi="標楷體"/>
          <w:sz w:val="28"/>
          <w:szCs w:val="28"/>
        </w:rPr>
      </w:pPr>
      <w:r w:rsidRPr="001B6E4D">
        <w:rPr>
          <w:rFonts w:ascii="標楷體" w:hAnsi="標楷體"/>
          <w:kern w:val="0"/>
          <w:sz w:val="28"/>
          <w:szCs w:val="28"/>
          <w:fitText w:val="1120" w:id="972279808"/>
        </w:rPr>
        <w:t>地    點</w:t>
      </w:r>
      <w:r w:rsidRPr="001B6E4D">
        <w:rPr>
          <w:rFonts w:ascii="標楷體" w:hAnsi="標楷體"/>
          <w:sz w:val="28"/>
          <w:szCs w:val="28"/>
        </w:rPr>
        <w:t>：本院紅樓302會議室</w:t>
      </w:r>
    </w:p>
    <w:p w14:paraId="5C12123D" w14:textId="77777777" w:rsidR="005F5E6C" w:rsidRPr="001B6E4D" w:rsidRDefault="005F5E6C" w:rsidP="003D1018">
      <w:pPr>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翁曉玲</w:t>
      </w:r>
      <w:r w:rsidRPr="001B6E4D">
        <w:rPr>
          <w:rFonts w:ascii="標楷體" w:eastAsia="標楷體" w:hAnsi="標楷體"/>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t>張雅琳</w:t>
      </w:r>
      <w:r w:rsidRPr="001B6E4D">
        <w:rPr>
          <w:rFonts w:ascii="標楷體" w:eastAsia="標楷體" w:hAnsi="標楷體" w:hint="eastAsia"/>
          <w:sz w:val="28"/>
          <w:szCs w:val="28"/>
        </w:rPr>
        <w:tab/>
      </w:r>
    </w:p>
    <w:p w14:paraId="3C529530" w14:textId="77777777" w:rsidR="005F5E6C" w:rsidRPr="001B6E4D" w:rsidRDefault="005F5E6C" w:rsidP="003D1018">
      <w:pPr>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莊瑞雄</w:t>
      </w:r>
      <w:r w:rsidRPr="001B6E4D">
        <w:rPr>
          <w:rFonts w:ascii="標楷體" w:eastAsia="標楷體" w:hAnsi="標楷體"/>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林倩綺</w:t>
      </w:r>
      <w:r w:rsidRPr="001B6E4D">
        <w:rPr>
          <w:rFonts w:ascii="標楷體" w:eastAsia="標楷體" w:hAnsi="標楷體" w:hint="eastAsia"/>
          <w:sz w:val="28"/>
          <w:szCs w:val="28"/>
        </w:rPr>
        <w:tab/>
        <w:t>蔡其昌</w:t>
      </w:r>
      <w:r w:rsidRPr="001B6E4D">
        <w:rPr>
          <w:rFonts w:ascii="標楷體" w:eastAsia="標楷體" w:hAnsi="標楷體" w:hint="eastAsia"/>
          <w:sz w:val="28"/>
          <w:szCs w:val="28"/>
        </w:rPr>
        <w:tab/>
        <w:t>傅崐萁</w:t>
      </w:r>
      <w:r w:rsidRPr="001B6E4D">
        <w:rPr>
          <w:rFonts w:ascii="標楷體" w:eastAsia="標楷體" w:hAnsi="標楷體" w:hint="eastAsia"/>
          <w:sz w:val="28"/>
          <w:szCs w:val="28"/>
        </w:rPr>
        <w:tab/>
        <w:t>柯建銘</w:t>
      </w:r>
    </w:p>
    <w:p w14:paraId="473222E9"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13</w:t>
      </w:r>
      <w:r w:rsidRPr="001B6E4D">
        <w:rPr>
          <w:rFonts w:ascii="標楷體" w:eastAsia="標楷體" w:hAnsi="標楷體"/>
          <w:sz w:val="28"/>
          <w:szCs w:val="28"/>
        </w:rPr>
        <w:t>人</w:t>
      </w:r>
    </w:p>
    <w:p w14:paraId="697221A1" w14:textId="77777777" w:rsidR="005F5E6C" w:rsidRPr="001B6E4D" w:rsidRDefault="005F5E6C" w:rsidP="003D1018">
      <w:pPr>
        <w:overflowPunct w:val="0"/>
        <w:snapToGrid w:val="0"/>
        <w:ind w:left="572" w:hanging="561"/>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洪孟楷</w:t>
      </w:r>
      <w:r w:rsidRPr="001B6E4D">
        <w:rPr>
          <w:rFonts w:ascii="標楷體" w:eastAsia="標楷體" w:hAnsi="標楷體" w:hint="eastAsia"/>
          <w:sz w:val="28"/>
          <w:szCs w:val="28"/>
        </w:rPr>
        <w:tab/>
        <w:t>楊瓊瓔</w:t>
      </w:r>
      <w:r w:rsidRPr="001B6E4D">
        <w:rPr>
          <w:rFonts w:ascii="標楷體" w:eastAsia="標楷體" w:hAnsi="標楷體"/>
          <w:sz w:val="28"/>
          <w:szCs w:val="28"/>
        </w:rPr>
        <w:tab/>
      </w:r>
      <w:r w:rsidRPr="001B6E4D">
        <w:rPr>
          <w:rFonts w:ascii="標楷體" w:eastAsia="標楷體" w:hAnsi="標楷體" w:hint="eastAsia"/>
          <w:sz w:val="28"/>
          <w:szCs w:val="28"/>
        </w:rPr>
        <w:t>柯志恩</w:t>
      </w:r>
      <w:r w:rsidRPr="001B6E4D">
        <w:rPr>
          <w:rFonts w:ascii="標楷體" w:eastAsia="標楷體" w:hAnsi="標楷體" w:hint="eastAsia"/>
          <w:sz w:val="28"/>
          <w:szCs w:val="28"/>
        </w:rPr>
        <w:tab/>
        <w:t>鍾佳濱</w:t>
      </w:r>
      <w:r w:rsidRPr="001B6E4D">
        <w:rPr>
          <w:rFonts w:ascii="標楷體" w:eastAsia="標楷體" w:hAnsi="標楷體"/>
          <w:sz w:val="28"/>
          <w:szCs w:val="28"/>
        </w:rPr>
        <w:tab/>
      </w:r>
      <w:r w:rsidRPr="001B6E4D">
        <w:rPr>
          <w:rFonts w:ascii="標楷體" w:eastAsia="標楷體" w:hAnsi="標楷體" w:hint="eastAsia"/>
          <w:sz w:val="28"/>
          <w:szCs w:val="28"/>
        </w:rPr>
        <w:t>謝龍介</w:t>
      </w:r>
      <w:r w:rsidRPr="001B6E4D">
        <w:rPr>
          <w:rFonts w:ascii="標楷體" w:eastAsia="標楷體" w:hAnsi="標楷體"/>
          <w:spacing w:val="-30"/>
          <w:sz w:val="28"/>
          <w:szCs w:val="28"/>
        </w:rPr>
        <w:tab/>
      </w:r>
      <w:r w:rsidRPr="001B6E4D">
        <w:rPr>
          <w:rFonts w:ascii="標楷體" w:eastAsia="標楷體" w:hAnsi="標楷體" w:hint="eastAsia"/>
          <w:sz w:val="28"/>
          <w:szCs w:val="28"/>
        </w:rPr>
        <w:t>鄭正鈐</w:t>
      </w:r>
      <w:r w:rsidRPr="001B6E4D">
        <w:rPr>
          <w:rFonts w:ascii="標楷體" w:eastAsia="標楷體" w:hAnsi="標楷體" w:hint="eastAsia"/>
          <w:sz w:val="28"/>
          <w:szCs w:val="28"/>
        </w:rPr>
        <w:tab/>
        <w:t>黃健豪</w:t>
      </w:r>
    </w:p>
    <w:p w14:paraId="5A810749" w14:textId="77777777" w:rsidR="005F5E6C" w:rsidRPr="001B6E4D" w:rsidRDefault="005F5E6C" w:rsidP="003D1018">
      <w:pPr>
        <w:overflowPunct w:val="0"/>
        <w:snapToGrid w:val="0"/>
        <w:ind w:leftChars="239" w:left="574" w:firstLineChars="300" w:firstLine="840"/>
        <w:rPr>
          <w:rFonts w:ascii="標楷體" w:eastAsia="標楷體" w:hAnsi="標楷體"/>
          <w:sz w:val="28"/>
          <w:szCs w:val="28"/>
          <w:highlight w:val="yellow"/>
        </w:rPr>
      </w:pPr>
      <w:r w:rsidRPr="001B6E4D">
        <w:rPr>
          <w:rFonts w:ascii="標楷體" w:eastAsia="標楷體" w:hAnsi="標楷體" w:hint="eastAsia"/>
          <w:sz w:val="28"/>
          <w:szCs w:val="28"/>
        </w:rPr>
        <w:t>張智倫</w:t>
      </w:r>
      <w:r w:rsidRPr="001B6E4D">
        <w:rPr>
          <w:rFonts w:ascii="標楷體" w:eastAsia="標楷體" w:hAnsi="標楷體"/>
          <w:sz w:val="28"/>
          <w:szCs w:val="28"/>
        </w:rPr>
        <w:tab/>
      </w:r>
      <w:r w:rsidRPr="001B6E4D">
        <w:rPr>
          <w:rFonts w:ascii="標楷體" w:eastAsia="標楷體" w:hAnsi="標楷體" w:hint="eastAsia"/>
          <w:sz w:val="28"/>
          <w:szCs w:val="28"/>
        </w:rPr>
        <w:t>林楚茵</w:t>
      </w:r>
      <w:r w:rsidRPr="001B6E4D">
        <w:rPr>
          <w:rFonts w:ascii="標楷體" w:eastAsia="標楷體" w:hAnsi="標楷體" w:hint="eastAsia"/>
          <w:sz w:val="28"/>
          <w:szCs w:val="28"/>
        </w:rPr>
        <w:tab/>
        <w:t>蘇清泉</w:t>
      </w:r>
      <w:r w:rsidRPr="001B6E4D">
        <w:rPr>
          <w:rFonts w:ascii="標楷體" w:eastAsia="標楷體" w:hAnsi="標楷體"/>
          <w:sz w:val="28"/>
          <w:szCs w:val="28"/>
        </w:rPr>
        <w:tab/>
      </w:r>
      <w:r w:rsidRPr="001B6E4D">
        <w:rPr>
          <w:rFonts w:ascii="標楷體" w:eastAsia="標楷體" w:hAnsi="標楷體" w:hint="eastAsia"/>
          <w:sz w:val="28"/>
          <w:szCs w:val="28"/>
        </w:rPr>
        <w:t>陳菁徽</w:t>
      </w:r>
      <w:r w:rsidRPr="001B6E4D">
        <w:rPr>
          <w:rFonts w:ascii="標楷體" w:eastAsia="標楷體" w:hAnsi="標楷體" w:hint="eastAsia"/>
          <w:sz w:val="28"/>
          <w:szCs w:val="28"/>
        </w:rPr>
        <w:tab/>
        <w:t>林德福</w:t>
      </w:r>
      <w:r w:rsidRPr="001B6E4D">
        <w:rPr>
          <w:rFonts w:ascii="標楷體" w:eastAsia="標楷體" w:hAnsi="標楷體" w:hint="eastAsia"/>
          <w:sz w:val="28"/>
          <w:szCs w:val="28"/>
        </w:rPr>
        <w:tab/>
        <w:t>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sz w:val="28"/>
          <w:szCs w:val="28"/>
        </w:rPr>
        <w:tab/>
      </w:r>
    </w:p>
    <w:p w14:paraId="230167A5"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13</w:t>
      </w:r>
      <w:r w:rsidRPr="001B6E4D">
        <w:rPr>
          <w:rFonts w:ascii="標楷體" w:eastAsia="標楷體" w:hAnsi="標楷體"/>
          <w:sz w:val="28"/>
          <w:szCs w:val="28"/>
        </w:rPr>
        <w:t>人</w:t>
      </w:r>
    </w:p>
    <w:p w14:paraId="07F1DC8B" w14:textId="77777777" w:rsidR="005F5E6C" w:rsidRPr="001B6E4D" w:rsidRDefault="005F5E6C" w:rsidP="003D1018">
      <w:pPr>
        <w:pStyle w:val="-9"/>
        <w:widowControl w:val="0"/>
        <w:overflowPunct w:val="0"/>
        <w:spacing w:line="360" w:lineRule="exact"/>
        <w:ind w:left="1361" w:hangingChars="486" w:hanging="1361"/>
        <w:rPr>
          <w:rFonts w:ascii="標楷體" w:hAnsi="標楷體"/>
          <w:sz w:val="28"/>
          <w:szCs w:val="28"/>
        </w:rPr>
      </w:pPr>
      <w:r w:rsidRPr="001B6E4D">
        <w:rPr>
          <w:rFonts w:ascii="標楷體" w:hAnsi="標楷體"/>
          <w:sz w:val="28"/>
          <w:szCs w:val="28"/>
        </w:rPr>
        <w:t>列席官員：</w:t>
      </w:r>
      <w:r w:rsidRPr="001B6E4D">
        <w:rPr>
          <w:rFonts w:ascii="標楷體" w:hAnsi="標楷體" w:hint="eastAsia"/>
          <w:sz w:val="28"/>
          <w:szCs w:val="28"/>
        </w:rPr>
        <w:t>法務部政務次長　黃謀信</w:t>
      </w:r>
    </w:p>
    <w:p w14:paraId="64A66B6E"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司法院少年及家事廳廳長　鍾宗霖</w:t>
      </w:r>
    </w:p>
    <w:p w14:paraId="5F7437DF"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內政部地政司專門委員　張翠恩</w:t>
      </w:r>
    </w:p>
    <w:p w14:paraId="089048D9"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財政部賦稅署財產稅組專門委員　蔡孟</w:t>
      </w:r>
      <w:proofErr w:type="gramStart"/>
      <w:r w:rsidRPr="001B6E4D">
        <w:rPr>
          <w:rFonts w:ascii="標楷體" w:hAnsi="標楷體" w:hint="eastAsia"/>
          <w:sz w:val="28"/>
          <w:szCs w:val="28"/>
        </w:rPr>
        <w:t>洙</w:t>
      </w:r>
      <w:proofErr w:type="gramEnd"/>
    </w:p>
    <w:p w14:paraId="2247505A" w14:textId="77777777" w:rsidR="005F5E6C" w:rsidRPr="001B6E4D" w:rsidRDefault="005F5E6C" w:rsidP="003D1018">
      <w:pPr>
        <w:overflowPunct w:val="0"/>
        <w:snapToGrid w:val="0"/>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24E243EB" w14:textId="77777777" w:rsidR="005F5E6C" w:rsidRPr="001B6E4D" w:rsidRDefault="005F5E6C" w:rsidP="003D1018">
      <w:pPr>
        <w:overflowPunct w:val="0"/>
        <w:snapToGrid w:val="0"/>
        <w:ind w:left="574"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17546331" w14:textId="77777777" w:rsidR="005F5E6C" w:rsidRPr="001B6E4D" w:rsidRDefault="005F5E6C" w:rsidP="003D1018">
      <w:pPr>
        <w:overflowPunct w:val="0"/>
        <w:snapToGrid w:val="0"/>
        <w:ind w:left="574"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1B6E19F5" w14:textId="77777777" w:rsidR="005F5E6C" w:rsidRPr="001B6E4D" w:rsidRDefault="005F5E6C" w:rsidP="003D1018">
      <w:pPr>
        <w:overflowPunct w:val="0"/>
        <w:adjustRightInd w:val="0"/>
        <w:snapToGrid w:val="0"/>
        <w:ind w:left="574"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69E68698"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4BC67712"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17D2BF10"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0AF89445" w14:textId="77777777" w:rsidR="005F5E6C" w:rsidRPr="001B6E4D" w:rsidRDefault="005F5E6C" w:rsidP="003D1018">
      <w:pPr>
        <w:pStyle w:val="afffff6"/>
        <w:overflowPunct w:val="0"/>
        <w:spacing w:beforeLines="50" w:before="180" w:line="360" w:lineRule="exact"/>
        <w:ind w:leftChars="0" w:left="0" w:rightChars="0" w:right="0" w:firstLineChars="398" w:firstLine="1115"/>
        <w:jc w:val="both"/>
        <w:rPr>
          <w:rFonts w:ascii="標楷體" w:hAnsi="標楷體"/>
          <w:b/>
          <w:sz w:val="28"/>
          <w:szCs w:val="28"/>
        </w:rPr>
      </w:pPr>
      <w:r w:rsidRPr="001B6E4D">
        <w:rPr>
          <w:rFonts w:ascii="標楷體" w:hAnsi="標楷體"/>
          <w:b/>
          <w:sz w:val="28"/>
          <w:szCs w:val="28"/>
        </w:rPr>
        <w:t>報告事項</w:t>
      </w:r>
    </w:p>
    <w:p w14:paraId="7D5CCB2B" w14:textId="77777777" w:rsidR="005F5E6C" w:rsidRPr="001B6E4D" w:rsidRDefault="005F5E6C" w:rsidP="003D1018">
      <w:pPr>
        <w:overflowPunct w:val="0"/>
        <w:adjustRightInd w:val="0"/>
        <w:snapToGrid w:val="0"/>
        <w:ind w:left="574" w:hanging="560"/>
        <w:jc w:val="both"/>
        <w:rPr>
          <w:rFonts w:ascii="標楷體" w:eastAsia="標楷體" w:hAnsi="標楷體"/>
          <w:sz w:val="28"/>
          <w:szCs w:val="28"/>
        </w:rPr>
      </w:pPr>
      <w:r w:rsidRPr="001B6E4D">
        <w:rPr>
          <w:rFonts w:ascii="標楷體" w:eastAsia="標楷體" w:hAnsi="標楷體" w:hint="eastAsia"/>
          <w:sz w:val="28"/>
          <w:szCs w:val="28"/>
        </w:rPr>
        <w:t>宣讀上次會議議事錄。</w:t>
      </w:r>
    </w:p>
    <w:p w14:paraId="6BEB21FC" w14:textId="77777777" w:rsidR="005F5E6C" w:rsidRPr="001B6E4D" w:rsidRDefault="005F5E6C" w:rsidP="003D1018">
      <w:pPr>
        <w:overflowPunct w:val="0"/>
        <w:adjustRightInd w:val="0"/>
        <w:snapToGrid w:val="0"/>
        <w:ind w:left="574" w:hanging="560"/>
        <w:jc w:val="both"/>
        <w:rPr>
          <w:rFonts w:ascii="標楷體" w:eastAsia="標楷體" w:hAnsi="標楷體"/>
          <w:sz w:val="28"/>
          <w:szCs w:val="28"/>
        </w:rPr>
      </w:pPr>
      <w:r w:rsidRPr="001B6E4D">
        <w:rPr>
          <w:rFonts w:ascii="標楷體" w:eastAsia="標楷體" w:hAnsi="標楷體"/>
          <w:sz w:val="28"/>
          <w:szCs w:val="28"/>
        </w:rPr>
        <w:t>決定：確定。</w:t>
      </w:r>
    </w:p>
    <w:p w14:paraId="3683BA02" w14:textId="77777777" w:rsidR="005F5E6C" w:rsidRPr="001B6E4D" w:rsidRDefault="005F5E6C" w:rsidP="003D1018">
      <w:pPr>
        <w:pStyle w:val="afffff6"/>
        <w:overflowPunct w:val="0"/>
        <w:spacing w:beforeLines="50" w:before="180" w:line="360" w:lineRule="exact"/>
        <w:ind w:leftChars="0" w:left="0" w:rightChars="0" w:right="0" w:firstLineChars="398" w:firstLine="1115"/>
        <w:jc w:val="both"/>
        <w:rPr>
          <w:rFonts w:ascii="標楷體" w:hAnsi="標楷體"/>
          <w:b/>
          <w:sz w:val="28"/>
          <w:szCs w:val="28"/>
        </w:rPr>
      </w:pPr>
      <w:r w:rsidRPr="001B6E4D">
        <w:rPr>
          <w:rFonts w:ascii="標楷體" w:hAnsi="標楷體"/>
          <w:b/>
          <w:sz w:val="28"/>
          <w:szCs w:val="28"/>
        </w:rPr>
        <w:t>討論事項</w:t>
      </w:r>
    </w:p>
    <w:p w14:paraId="7683A322" w14:textId="77777777" w:rsidR="005F5E6C" w:rsidRPr="001B6E4D" w:rsidRDefault="005F5E6C" w:rsidP="003D1018">
      <w:pPr>
        <w:overflowPunct w:val="0"/>
        <w:adjustRightInd w:val="0"/>
        <w:snapToGrid w:val="0"/>
        <w:ind w:left="560" w:hanging="560"/>
        <w:jc w:val="both"/>
        <w:rPr>
          <w:rFonts w:ascii="標楷體" w:eastAsia="標楷體" w:hAnsi="標楷體"/>
          <w:sz w:val="28"/>
          <w:szCs w:val="28"/>
        </w:rPr>
      </w:pPr>
      <w:r w:rsidRPr="001B6E4D">
        <w:rPr>
          <w:rFonts w:ascii="標楷體" w:eastAsia="標楷體" w:hAnsi="標楷體" w:hint="eastAsia"/>
          <w:sz w:val="28"/>
          <w:szCs w:val="28"/>
        </w:rPr>
        <w:t>一、</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33164956"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（一）委員吳宗憲等18人擬具「民法第一千二百二十三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90836FD"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（二）委員林倩綺等19人擬具「民法第一千二百二十三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B328471"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（三）委員羅廷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等19人擬具「民法第一千二百二十三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C0FB8B1"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（四）委員林沛祥等18人擬具「民法第一千二百二十三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22D4FBE"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（五）委員柯志恩等16人擬具「民法第一千二百二十三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F59062A"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（六）委員楊瓊瓔等28人擬具「民法第一千二百二十三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54E4070"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lastRenderedPageBreak/>
        <w:t>（七）委員王鴻薇等16人擬具「民法第一千二百二十三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60AF7F6"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（八）委員翁曉玲等20人擬具「民法第一千二百二十三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DD741BA"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（九）委員徐巧芯等19人擬具「民法第一千二百二十三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6016099"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（十）委員林德福等31人擬具「民法第一千二百二十三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DE3BA4E"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（十一）委員</w:t>
      </w:r>
      <w:proofErr w:type="gramStart"/>
      <w:r w:rsidRPr="001B6E4D">
        <w:rPr>
          <w:rFonts w:ascii="標楷體" w:eastAsia="標楷體" w:hAnsi="標楷體" w:hint="eastAsia"/>
          <w:sz w:val="28"/>
          <w:szCs w:val="28"/>
        </w:rPr>
        <w:t>涂權吉</w:t>
      </w:r>
      <w:proofErr w:type="gramEnd"/>
      <w:r w:rsidRPr="001B6E4D">
        <w:rPr>
          <w:rFonts w:ascii="標楷體" w:eastAsia="標楷體" w:hAnsi="標楷體" w:hint="eastAsia"/>
          <w:sz w:val="28"/>
          <w:szCs w:val="28"/>
        </w:rPr>
        <w:t>等23人擬具「民法第一千二百二十三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46F0B65"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（十二）委員許宇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等17人擬具「民法第一千二百二十三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314D8FE"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（十三）委員張智倫等18人擬具「民法第一千二百二十三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1D53DB2"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（十四）委員黃健豪等16人擬具「民法第一千二百二十三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CACC30F"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（十五）委員羅智強等18人擬具「民法第一千二百二十三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AC40ECA"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（十六）委員</w:t>
      </w:r>
      <w:proofErr w:type="gramStart"/>
      <w:r w:rsidRPr="001B6E4D">
        <w:rPr>
          <w:rFonts w:ascii="標楷體" w:eastAsia="標楷體" w:hAnsi="標楷體" w:hint="eastAsia"/>
          <w:sz w:val="28"/>
          <w:szCs w:val="28"/>
        </w:rPr>
        <w:t>游顥</w:t>
      </w:r>
      <w:proofErr w:type="gramEnd"/>
      <w:r w:rsidRPr="001B6E4D">
        <w:rPr>
          <w:rFonts w:ascii="標楷體" w:eastAsia="標楷體" w:hAnsi="標楷體" w:hint="eastAsia"/>
          <w:sz w:val="28"/>
          <w:szCs w:val="28"/>
        </w:rPr>
        <w:t>等16人擬具「民法第一千二百二十三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E780412"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（十七）委員顏寬</w:t>
      </w:r>
      <w:proofErr w:type="gramStart"/>
      <w:r w:rsidRPr="001B6E4D">
        <w:rPr>
          <w:rFonts w:ascii="標楷體" w:eastAsia="標楷體" w:hAnsi="標楷體" w:hint="eastAsia"/>
          <w:sz w:val="28"/>
          <w:szCs w:val="28"/>
        </w:rPr>
        <w:t>恒</w:t>
      </w:r>
      <w:proofErr w:type="gramEnd"/>
      <w:r w:rsidRPr="001B6E4D">
        <w:rPr>
          <w:rFonts w:ascii="標楷體" w:eastAsia="標楷體" w:hAnsi="標楷體" w:hint="eastAsia"/>
          <w:sz w:val="28"/>
          <w:szCs w:val="28"/>
        </w:rPr>
        <w:t>等17人擬具「民法第一千二百二十三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D40F237"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（十八）委員賴士葆等16人擬具「民法第一千二百二十三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F99135A"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（十九）委員羅明才等18人擬具「民法第一千二百二十三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E8848C5" w14:textId="77777777" w:rsidR="005F5E6C" w:rsidRPr="001B6E4D" w:rsidRDefault="005F5E6C" w:rsidP="003D1018">
      <w:pPr>
        <w:overflowPunct w:val="0"/>
        <w:snapToGrid w:val="0"/>
        <w:spacing w:beforeLines="50" w:before="180"/>
        <w:ind w:left="833" w:hanging="822"/>
        <w:contextualSpacing/>
        <w:jc w:val="both"/>
        <w:rPr>
          <w:rFonts w:ascii="標楷體" w:eastAsia="標楷體" w:hAnsi="標楷體"/>
          <w:sz w:val="28"/>
          <w:szCs w:val="28"/>
        </w:rPr>
      </w:pPr>
      <w:r w:rsidRPr="001B6E4D">
        <w:rPr>
          <w:rFonts w:ascii="標楷體" w:eastAsia="標楷體" w:hAnsi="標楷體" w:hint="eastAsia"/>
          <w:sz w:val="28"/>
          <w:szCs w:val="28"/>
        </w:rPr>
        <w:t>（二十）委員陳菁徽等17人擬具「民法第一千二百二十三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D5CAF0A" w14:textId="77777777" w:rsidR="005F5E6C" w:rsidRPr="001B6E4D" w:rsidRDefault="005F5E6C" w:rsidP="003D1018">
      <w:pPr>
        <w:overflowPunct w:val="0"/>
        <w:adjustRightInd w:val="0"/>
        <w:snapToGrid w:val="0"/>
        <w:ind w:left="560" w:hanging="560"/>
        <w:jc w:val="both"/>
        <w:rPr>
          <w:rFonts w:ascii="標楷體" w:eastAsia="標楷體" w:hAnsi="標楷體"/>
          <w:sz w:val="28"/>
          <w:szCs w:val="28"/>
        </w:rPr>
      </w:pPr>
      <w:r w:rsidRPr="001B6E4D">
        <w:rPr>
          <w:rFonts w:ascii="標楷體" w:eastAsia="標楷體" w:hAnsi="標楷體" w:hint="eastAsia"/>
          <w:sz w:val="28"/>
          <w:szCs w:val="28"/>
        </w:rPr>
        <w:t>二、審查委員吳宗憲等18人擬具「民法繼承編施行法增訂第十二條條文草案」案。</w:t>
      </w:r>
    </w:p>
    <w:p w14:paraId="67B40E0A" w14:textId="77777777" w:rsidR="005F5E6C" w:rsidRPr="001B6E4D" w:rsidRDefault="005F5E6C" w:rsidP="003D1018">
      <w:pPr>
        <w:overflowPunct w:val="0"/>
        <w:adjustRightInd w:val="0"/>
        <w:snapToGrid w:val="0"/>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吳宗憲、陳昭姿、翁曉玲、林倩綺、林沛祥、沈發惠、</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雲、莊瑞雄、謝龍介、張雅琳、許宇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、楊瓊瓔</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；委員蔡其昌、張智倫提出書面質詢。</w:t>
      </w:r>
      <w:r w:rsidRPr="001B6E4D">
        <w:rPr>
          <w:rFonts w:ascii="標楷體" w:eastAsia="標楷體" w:hAnsi="標楷體"/>
          <w:sz w:val="28"/>
          <w:szCs w:val="28"/>
        </w:rPr>
        <w:t>）</w:t>
      </w:r>
    </w:p>
    <w:p w14:paraId="56047AAB" w14:textId="77777777" w:rsidR="00F47CD7" w:rsidRPr="001B6E4D" w:rsidRDefault="00F47CD7"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04E2E8A9" w14:textId="77777777" w:rsidR="00F47CD7" w:rsidRPr="001B6E4D" w:rsidRDefault="00F47CD7"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w:t>
      </w: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p>
    <w:p w14:paraId="10045C83" w14:textId="77777777" w:rsidR="00F47CD7" w:rsidRPr="001B6E4D" w:rsidRDefault="00F47CD7"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二、「民法第一千二百二十三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條文修正草案」等20案：</w:t>
      </w:r>
    </w:p>
    <w:p w14:paraId="125DBB26" w14:textId="77777777" w:rsidR="00F47CD7" w:rsidRPr="001B6E4D" w:rsidRDefault="00F47CD7" w:rsidP="003D1018">
      <w:pPr>
        <w:overflowPunct w:val="0"/>
        <w:snapToGrid w:val="0"/>
        <w:spacing w:line="360" w:lineRule="exact"/>
        <w:ind w:leftChars="100" w:left="800" w:hangingChars="200" w:hanging="560"/>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w:t>
      </w:r>
      <w:r w:rsidRPr="001B6E4D">
        <w:rPr>
          <w:rFonts w:ascii="標楷體" w:eastAsia="標楷體" w:hAnsi="標楷體" w:hint="eastAsia"/>
          <w:color w:val="000000"/>
          <w:kern w:val="0"/>
          <w:sz w:val="28"/>
          <w:szCs w:val="28"/>
        </w:rPr>
        <w:t>逕行逐條</w:t>
      </w:r>
      <w:r w:rsidRPr="001B6E4D">
        <w:rPr>
          <w:rFonts w:ascii="標楷體" w:eastAsia="標楷體" w:hAnsi="標楷體" w:hint="eastAsia"/>
          <w:sz w:val="28"/>
          <w:szCs w:val="28"/>
        </w:rPr>
        <w:t>審查。</w:t>
      </w:r>
    </w:p>
    <w:p w14:paraId="30E16511" w14:textId="77777777" w:rsidR="00F47CD7" w:rsidRPr="001B6E4D" w:rsidRDefault="00F47CD7" w:rsidP="003D1018">
      <w:pPr>
        <w:overflowPunct w:val="0"/>
        <w:snapToGrid w:val="0"/>
        <w:spacing w:line="360" w:lineRule="exact"/>
        <w:ind w:leftChars="100" w:left="800" w:hangingChars="200" w:hanging="560"/>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hint="eastAsia"/>
          <w:color w:val="000000"/>
          <w:kern w:val="0"/>
          <w:sz w:val="28"/>
          <w:szCs w:val="28"/>
        </w:rPr>
        <w:t>第一千二百二十三</w:t>
      </w:r>
      <w:r w:rsidRPr="001B6E4D">
        <w:rPr>
          <w:rFonts w:ascii="標楷體" w:eastAsia="標楷體" w:hAnsi="標楷體" w:hint="eastAsia"/>
          <w:sz w:val="28"/>
          <w:szCs w:val="28"/>
        </w:rPr>
        <w:t>條，保留，送院會處理。</w:t>
      </w:r>
    </w:p>
    <w:p w14:paraId="51EF02DC" w14:textId="77777777" w:rsidR="00F47CD7" w:rsidRPr="001B6E4D" w:rsidRDefault="00F47CD7" w:rsidP="003D1018">
      <w:pPr>
        <w:overflowPunct w:val="0"/>
        <w:snapToGrid w:val="0"/>
        <w:spacing w:line="360" w:lineRule="exact"/>
        <w:ind w:leftChars="100" w:left="800" w:hangingChars="200" w:hanging="560"/>
        <w:jc w:val="both"/>
        <w:rPr>
          <w:rFonts w:ascii="標楷體" w:eastAsia="標楷體" w:hAnsi="標楷體"/>
          <w:sz w:val="28"/>
          <w:szCs w:val="28"/>
        </w:rPr>
      </w:pPr>
      <w:r w:rsidRPr="001B6E4D">
        <w:rPr>
          <w:rFonts w:ascii="標楷體" w:eastAsia="標楷體" w:hAnsi="標楷體" w:hint="eastAsia"/>
          <w:sz w:val="28"/>
          <w:szCs w:val="28"/>
        </w:rPr>
        <w:t>(三)本案審查完竣，擬具審查報告，提請院會公決；須交由黨團協商；院會討論時，由翁召集委員曉玲出席說明。</w:t>
      </w:r>
    </w:p>
    <w:p w14:paraId="594D88EA" w14:textId="77777777" w:rsidR="00F47CD7" w:rsidRPr="001B6E4D" w:rsidRDefault="00F47CD7"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lastRenderedPageBreak/>
        <w:t>三、「民法繼承編施行法增訂第十二條條文草案」：</w:t>
      </w:r>
    </w:p>
    <w:p w14:paraId="0E8A4E6E" w14:textId="77777777" w:rsidR="00F47CD7" w:rsidRPr="001B6E4D" w:rsidRDefault="00F47CD7" w:rsidP="003D1018">
      <w:pPr>
        <w:overflowPunct w:val="0"/>
        <w:snapToGrid w:val="0"/>
        <w:spacing w:line="360" w:lineRule="exact"/>
        <w:ind w:leftChars="100" w:left="800" w:hangingChars="200" w:hanging="560"/>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w:t>
      </w:r>
      <w:r w:rsidRPr="001B6E4D">
        <w:rPr>
          <w:rFonts w:ascii="標楷體" w:eastAsia="標楷體" w:hAnsi="標楷體" w:hint="eastAsia"/>
          <w:color w:val="000000"/>
          <w:kern w:val="0"/>
          <w:sz w:val="28"/>
          <w:szCs w:val="28"/>
        </w:rPr>
        <w:t>逕行逐條</w:t>
      </w:r>
      <w:r w:rsidRPr="001B6E4D">
        <w:rPr>
          <w:rFonts w:ascii="標楷體" w:eastAsia="標楷體" w:hAnsi="標楷體" w:hint="eastAsia"/>
          <w:sz w:val="28"/>
          <w:szCs w:val="28"/>
        </w:rPr>
        <w:t>審查。</w:t>
      </w:r>
    </w:p>
    <w:p w14:paraId="6AEF8822" w14:textId="77777777" w:rsidR="00F47CD7" w:rsidRPr="001B6E4D" w:rsidRDefault="00F47CD7" w:rsidP="003D1018">
      <w:pPr>
        <w:overflowPunct w:val="0"/>
        <w:snapToGrid w:val="0"/>
        <w:spacing w:line="360" w:lineRule="exact"/>
        <w:ind w:leftChars="100" w:left="800" w:hangingChars="200" w:hanging="560"/>
        <w:jc w:val="both"/>
        <w:rPr>
          <w:rFonts w:ascii="標楷體" w:eastAsia="標楷體" w:hAnsi="標楷體"/>
          <w:sz w:val="28"/>
          <w:szCs w:val="28"/>
        </w:rPr>
      </w:pPr>
      <w:r w:rsidRPr="001B6E4D">
        <w:rPr>
          <w:rFonts w:ascii="標楷體" w:eastAsia="標楷體" w:hAnsi="標楷體" w:hint="eastAsia"/>
          <w:sz w:val="28"/>
          <w:szCs w:val="28"/>
        </w:rPr>
        <w:t>(二)增訂第十二條，保留，送院會處理。</w:t>
      </w:r>
    </w:p>
    <w:p w14:paraId="024666B5" w14:textId="77777777" w:rsidR="00F47CD7" w:rsidRPr="001B6E4D" w:rsidRDefault="00F47CD7" w:rsidP="003D1018">
      <w:pPr>
        <w:overflowPunct w:val="0"/>
        <w:snapToGrid w:val="0"/>
        <w:spacing w:line="360" w:lineRule="exact"/>
        <w:ind w:leftChars="100" w:left="800" w:hangingChars="200" w:hanging="560"/>
        <w:jc w:val="both"/>
        <w:rPr>
          <w:rFonts w:ascii="標楷體" w:eastAsia="標楷體" w:hAnsi="標楷體"/>
          <w:sz w:val="28"/>
          <w:szCs w:val="28"/>
        </w:rPr>
      </w:pPr>
      <w:r w:rsidRPr="001B6E4D">
        <w:rPr>
          <w:rFonts w:ascii="標楷體" w:eastAsia="標楷體" w:hAnsi="標楷體" w:hint="eastAsia"/>
          <w:sz w:val="28"/>
          <w:szCs w:val="28"/>
        </w:rPr>
        <w:t>(三)本案審查完竣，擬具審查報告，提請院會公決；須交由黨團協商；院會討論時，由翁召集委員曉玲出席說明。</w:t>
      </w:r>
    </w:p>
    <w:p w14:paraId="41B36C37" w14:textId="77777777" w:rsidR="005F5E6C" w:rsidRPr="001B6E4D" w:rsidRDefault="005F5E6C" w:rsidP="003D1018">
      <w:pPr>
        <w:overflowPunct w:val="0"/>
        <w:adjustRightInd w:val="0"/>
        <w:snapToGrid w:val="0"/>
        <w:spacing w:line="400" w:lineRule="exact"/>
        <w:ind w:leftChars="-1" w:left="558" w:hanging="560"/>
        <w:jc w:val="both"/>
        <w:rPr>
          <w:rFonts w:ascii="標楷體" w:eastAsia="標楷體" w:hAnsi="標楷體"/>
          <w:kern w:val="0"/>
          <w:sz w:val="28"/>
          <w:szCs w:val="28"/>
        </w:rPr>
      </w:pPr>
      <w:r w:rsidRPr="001B6E4D">
        <w:rPr>
          <w:rFonts w:ascii="標楷體" w:eastAsia="標楷體" w:hAnsi="標楷體" w:hint="eastAsia"/>
          <w:sz w:val="28"/>
          <w:szCs w:val="28"/>
        </w:rPr>
        <w:t>四、</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1B4B608F" w14:textId="77777777" w:rsidR="005F5E6C" w:rsidRPr="001B6E4D" w:rsidRDefault="005F5E6C" w:rsidP="003D1018">
      <w:pPr>
        <w:overflowPunct w:val="0"/>
        <w:spacing w:line="400" w:lineRule="exact"/>
        <w:ind w:left="14"/>
        <w:jc w:val="both"/>
        <w:rPr>
          <w:rFonts w:ascii="標楷體" w:eastAsia="標楷體" w:hAnsi="標楷體"/>
        </w:rPr>
      </w:pPr>
      <w:r w:rsidRPr="001B6E4D">
        <w:rPr>
          <w:rFonts w:ascii="標楷體" w:eastAsia="標楷體" w:hAnsi="標楷體"/>
          <w:sz w:val="28"/>
          <w:szCs w:val="28"/>
        </w:rPr>
        <w:t>散會</w:t>
      </w:r>
    </w:p>
    <w:p w14:paraId="086FF2EF" w14:textId="77777777" w:rsidR="00E7334C" w:rsidRPr="001B6E4D" w:rsidRDefault="00E7334C"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35C41AFA" w14:textId="0EFC8466" w:rsidR="005F5E6C" w:rsidRPr="001B6E4D" w:rsidRDefault="005F5E6C"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45" w:name="_Toc240446590"/>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會期司法及法制委員會第6次全體委員會議議事錄</w:t>
      </w:r>
      <w:bookmarkEnd w:id="445"/>
    </w:p>
    <w:p w14:paraId="18A3A110" w14:textId="77777777" w:rsidR="00E7334C" w:rsidRPr="001B6E4D" w:rsidRDefault="00E7334C" w:rsidP="003D1018">
      <w:pPr>
        <w:overflowPunct w:val="0"/>
        <w:adjustRightInd w:val="0"/>
        <w:snapToGrid w:val="0"/>
        <w:spacing w:line="360" w:lineRule="exact"/>
        <w:ind w:leftChars="1" w:left="1416" w:hangingChars="505" w:hanging="1414"/>
        <w:rPr>
          <w:rFonts w:ascii="標楷體" w:eastAsia="標楷體" w:hAnsi="標楷體"/>
          <w:spacing w:val="-10"/>
          <w:kern w:val="0"/>
          <w:sz w:val="28"/>
          <w:szCs w:val="28"/>
        </w:rPr>
      </w:pPr>
      <w:r w:rsidRPr="001B6E4D">
        <w:rPr>
          <w:rFonts w:ascii="標楷體" w:eastAsia="標楷體" w:hAnsi="標楷體"/>
          <w:kern w:val="0"/>
          <w:sz w:val="28"/>
          <w:szCs w:val="28"/>
          <w:fitText w:val="1120" w:id="-384134144"/>
        </w:rPr>
        <w:t>時    間</w:t>
      </w:r>
      <w:r w:rsidRPr="001B6E4D">
        <w:rPr>
          <w:rFonts w:ascii="標楷體" w:eastAsia="標楷體" w:hAnsi="標楷體"/>
          <w:spacing w:val="-10"/>
          <w:kern w:val="0"/>
          <w:sz w:val="28"/>
          <w:szCs w:val="28"/>
        </w:rPr>
        <w:t>：中華民國1</w:t>
      </w:r>
      <w:r w:rsidRPr="001B6E4D">
        <w:rPr>
          <w:rFonts w:ascii="標楷體" w:eastAsia="標楷體" w:hAnsi="標楷體" w:hint="eastAsia"/>
          <w:spacing w:val="-10"/>
          <w:kern w:val="0"/>
          <w:sz w:val="28"/>
          <w:szCs w:val="28"/>
        </w:rPr>
        <w:t>1</w:t>
      </w:r>
      <w:r w:rsidRPr="001B6E4D">
        <w:rPr>
          <w:rFonts w:ascii="標楷體" w:eastAsia="標楷體" w:hAnsi="標楷體"/>
          <w:spacing w:val="-10"/>
          <w:kern w:val="0"/>
          <w:sz w:val="28"/>
          <w:szCs w:val="28"/>
        </w:rPr>
        <w:t>5年4月13日（星期</w:t>
      </w:r>
      <w:r w:rsidRPr="001B6E4D">
        <w:rPr>
          <w:rFonts w:ascii="標楷體" w:eastAsia="標楷體" w:hAnsi="標楷體" w:hint="eastAsia"/>
          <w:spacing w:val="-10"/>
          <w:kern w:val="0"/>
          <w:sz w:val="28"/>
          <w:szCs w:val="28"/>
        </w:rPr>
        <w:t>一</w:t>
      </w:r>
      <w:r w:rsidRPr="001B6E4D">
        <w:rPr>
          <w:rFonts w:ascii="標楷體" w:eastAsia="標楷體" w:hAnsi="標楷體"/>
          <w:spacing w:val="-10"/>
          <w:kern w:val="0"/>
          <w:sz w:val="28"/>
          <w:szCs w:val="28"/>
        </w:rPr>
        <w:t>）上午9時至</w:t>
      </w:r>
      <w:r w:rsidRPr="001B6E4D">
        <w:rPr>
          <w:rFonts w:ascii="標楷體" w:eastAsia="標楷體" w:hAnsi="標楷體" w:hint="eastAsia"/>
          <w:spacing w:val="-10"/>
          <w:kern w:val="0"/>
          <w:sz w:val="28"/>
          <w:szCs w:val="28"/>
        </w:rPr>
        <w:t>1</w:t>
      </w:r>
      <w:r w:rsidRPr="001B6E4D">
        <w:rPr>
          <w:rFonts w:ascii="標楷體" w:eastAsia="標楷體" w:hAnsi="標楷體"/>
          <w:spacing w:val="-10"/>
          <w:kern w:val="0"/>
          <w:sz w:val="28"/>
          <w:szCs w:val="28"/>
        </w:rPr>
        <w:t>1時45</w:t>
      </w:r>
      <w:r w:rsidRPr="001B6E4D">
        <w:rPr>
          <w:rFonts w:ascii="標楷體" w:eastAsia="標楷體" w:hAnsi="標楷體" w:hint="eastAsia"/>
          <w:spacing w:val="-10"/>
          <w:kern w:val="0"/>
          <w:sz w:val="28"/>
          <w:szCs w:val="28"/>
        </w:rPr>
        <w:t>分</w:t>
      </w:r>
    </w:p>
    <w:p w14:paraId="5866A19A" w14:textId="77777777" w:rsidR="00E7334C" w:rsidRPr="001B6E4D" w:rsidRDefault="00E7334C"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rPr>
      </w:pPr>
      <w:r w:rsidRPr="001B6E4D">
        <w:rPr>
          <w:rFonts w:ascii="標楷體" w:eastAsia="標楷體" w:hAnsi="標楷體"/>
          <w:kern w:val="0"/>
          <w:sz w:val="28"/>
          <w:szCs w:val="28"/>
          <w:fitText w:val="1120" w:id="-384134143"/>
        </w:rPr>
        <w:t>地    點</w:t>
      </w:r>
      <w:r w:rsidRPr="001B6E4D">
        <w:rPr>
          <w:rFonts w:ascii="標楷體" w:eastAsia="標楷體" w:hAnsi="標楷體"/>
          <w:kern w:val="0"/>
          <w:sz w:val="28"/>
          <w:szCs w:val="28"/>
        </w:rPr>
        <w:t>：本院紅樓302會議室</w:t>
      </w:r>
    </w:p>
    <w:p w14:paraId="74527306" w14:textId="77777777" w:rsidR="00E7334C" w:rsidRPr="001B6E4D" w:rsidRDefault="00E7334C" w:rsidP="003D1018">
      <w:pPr>
        <w:widowControl w:val="0"/>
        <w:overflowPunct w:val="0"/>
        <w:snapToGrid w:val="0"/>
        <w:ind w:left="572" w:hanging="561"/>
        <w:rPr>
          <w:rFonts w:ascii="標楷體" w:eastAsia="標楷體" w:hAnsi="標楷體"/>
          <w:kern w:val="0"/>
          <w:sz w:val="28"/>
          <w:szCs w:val="28"/>
        </w:rPr>
      </w:pPr>
      <w:r w:rsidRPr="001B6E4D">
        <w:rPr>
          <w:rFonts w:ascii="標楷體" w:eastAsia="標楷體" w:hAnsi="標楷體"/>
          <w:kern w:val="0"/>
          <w:sz w:val="28"/>
          <w:szCs w:val="28"/>
        </w:rPr>
        <w:t>出席委員：</w:t>
      </w:r>
      <w:r w:rsidRPr="001B6E4D">
        <w:rPr>
          <w:rFonts w:ascii="標楷體" w:eastAsia="標楷體" w:hAnsi="標楷體" w:hint="eastAsia"/>
          <w:sz w:val="28"/>
          <w:szCs w:val="28"/>
        </w:rPr>
        <w:t>吳宗憲</w:t>
      </w:r>
      <w:r w:rsidRPr="001B6E4D">
        <w:rPr>
          <w:rFonts w:ascii="標楷體" w:eastAsia="標楷體" w:hAnsi="標楷體" w:hint="eastAsia"/>
          <w:kern w:val="0"/>
          <w:sz w:val="28"/>
          <w:szCs w:val="28"/>
        </w:rPr>
        <w:tab/>
        <w:t>陳昭姿</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沈發惠</w:t>
      </w:r>
      <w:r w:rsidRPr="001B6E4D">
        <w:rPr>
          <w:rFonts w:ascii="標楷體" w:eastAsia="標楷體" w:hAnsi="標楷體" w:hint="eastAsia"/>
          <w:kern w:val="0"/>
          <w:sz w:val="28"/>
          <w:szCs w:val="28"/>
        </w:rPr>
        <w:tab/>
        <w:t>翁曉玲</w:t>
      </w:r>
      <w:r w:rsidRPr="001B6E4D">
        <w:rPr>
          <w:rFonts w:ascii="標楷體" w:eastAsia="標楷體" w:hAnsi="標楷體" w:hint="eastAsia"/>
          <w:kern w:val="0"/>
          <w:sz w:val="28"/>
          <w:szCs w:val="28"/>
        </w:rPr>
        <w:tab/>
        <w:t>張雅琳</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莊瑞雄</w:t>
      </w:r>
      <w:r w:rsidRPr="001B6E4D">
        <w:rPr>
          <w:rFonts w:ascii="標楷體" w:eastAsia="標楷體" w:hAnsi="標楷體" w:hint="eastAsia"/>
          <w:kern w:val="0"/>
          <w:sz w:val="28"/>
          <w:szCs w:val="28"/>
        </w:rPr>
        <w:tab/>
        <w:t>林沛祥</w:t>
      </w:r>
    </w:p>
    <w:p w14:paraId="1A13A478" w14:textId="77777777" w:rsidR="00E7334C" w:rsidRPr="001B6E4D" w:rsidRDefault="00E7334C" w:rsidP="003D1018">
      <w:pPr>
        <w:widowControl w:val="0"/>
        <w:overflowPunct w:val="0"/>
        <w:snapToGrid w:val="0"/>
        <w:ind w:left="206" w:firstLine="1212"/>
        <w:rPr>
          <w:rFonts w:ascii="標楷體" w:eastAsia="標楷體" w:hAnsi="標楷體"/>
          <w:sz w:val="28"/>
          <w:szCs w:val="28"/>
        </w:rPr>
      </w:pP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蔡其昌</w:t>
      </w:r>
      <w:r w:rsidRPr="001B6E4D">
        <w:rPr>
          <w:rFonts w:ascii="標楷體" w:eastAsia="標楷體" w:hAnsi="標楷體" w:hint="eastAsia"/>
          <w:sz w:val="28"/>
          <w:szCs w:val="28"/>
        </w:rPr>
        <w:tab/>
        <w:t>柯建銘</w:t>
      </w:r>
    </w:p>
    <w:p w14:paraId="7E9949A9" w14:textId="77777777" w:rsidR="00E7334C" w:rsidRPr="001B6E4D" w:rsidRDefault="00E7334C"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11</w:t>
      </w:r>
      <w:r w:rsidRPr="001B6E4D">
        <w:rPr>
          <w:rFonts w:ascii="標楷體" w:eastAsia="標楷體" w:hAnsi="標楷體"/>
          <w:sz w:val="28"/>
          <w:szCs w:val="28"/>
        </w:rPr>
        <w:t>人</w:t>
      </w:r>
    </w:p>
    <w:p w14:paraId="59ABCFD4" w14:textId="77777777" w:rsidR="00E7334C" w:rsidRPr="001B6E4D" w:rsidRDefault="00E7334C" w:rsidP="003D1018">
      <w:pPr>
        <w:widowControl w:val="0"/>
        <w:overflowPunct w:val="0"/>
        <w:snapToGrid w:val="0"/>
        <w:ind w:left="572" w:hanging="561"/>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hint="eastAsia"/>
          <w:color w:val="000000"/>
          <w:sz w:val="28"/>
          <w:szCs w:val="28"/>
        </w:rPr>
        <w:tab/>
      </w:r>
      <w:r w:rsidRPr="001B6E4D">
        <w:rPr>
          <w:rFonts w:ascii="標楷體" w:eastAsia="標楷體" w:hAnsi="標楷體" w:hint="eastAsia"/>
          <w:sz w:val="28"/>
          <w:szCs w:val="28"/>
        </w:rPr>
        <w:t>羅明才</w:t>
      </w:r>
      <w:r w:rsidRPr="001B6E4D">
        <w:rPr>
          <w:rFonts w:ascii="標楷體" w:eastAsia="標楷體" w:hAnsi="標楷體" w:hint="eastAsia"/>
          <w:sz w:val="28"/>
          <w:szCs w:val="28"/>
        </w:rPr>
        <w:tab/>
        <w:t>林月琴</w:t>
      </w:r>
      <w:r w:rsidRPr="001B6E4D">
        <w:rPr>
          <w:rFonts w:ascii="標楷體" w:eastAsia="標楷體" w:hAnsi="標楷體" w:hint="eastAsia"/>
          <w:sz w:val="28"/>
          <w:szCs w:val="28"/>
        </w:rPr>
        <w:tab/>
        <w:t>洪孟楷</w:t>
      </w:r>
      <w:r w:rsidRPr="001B6E4D">
        <w:rPr>
          <w:rFonts w:ascii="標楷體" w:eastAsia="標楷體" w:hAnsi="標楷體"/>
          <w:spacing w:val="-30"/>
          <w:sz w:val="28"/>
          <w:szCs w:val="28"/>
        </w:rPr>
        <w:tab/>
      </w:r>
      <w:r w:rsidRPr="001B6E4D">
        <w:rPr>
          <w:rFonts w:ascii="標楷體" w:eastAsia="標楷體" w:hAnsi="標楷體" w:hint="eastAsia"/>
          <w:sz w:val="28"/>
          <w:szCs w:val="28"/>
        </w:rPr>
        <w:t>羅智強</w:t>
      </w:r>
      <w:r w:rsidRPr="001B6E4D">
        <w:rPr>
          <w:rFonts w:ascii="標楷體" w:eastAsia="標楷體" w:hAnsi="標楷體"/>
          <w:spacing w:val="-30"/>
          <w:sz w:val="28"/>
          <w:szCs w:val="28"/>
        </w:rPr>
        <w:tab/>
      </w:r>
      <w:r w:rsidRPr="001B6E4D">
        <w:rPr>
          <w:rFonts w:ascii="標楷體" w:eastAsia="標楷體" w:hAnsi="標楷體" w:hint="eastAsia"/>
          <w:sz w:val="28"/>
          <w:szCs w:val="28"/>
        </w:rPr>
        <w:t>林楚茵</w:t>
      </w:r>
      <w:r w:rsidRPr="001B6E4D">
        <w:rPr>
          <w:rFonts w:ascii="標楷體" w:eastAsia="標楷體" w:hAnsi="標楷體"/>
          <w:spacing w:val="-30"/>
          <w:sz w:val="28"/>
          <w:szCs w:val="28"/>
        </w:rPr>
        <w:tab/>
      </w:r>
      <w:r w:rsidRPr="001B6E4D">
        <w:rPr>
          <w:rFonts w:ascii="標楷體" w:eastAsia="標楷體" w:hAnsi="標楷體" w:hint="eastAsia"/>
          <w:sz w:val="28"/>
          <w:szCs w:val="28"/>
        </w:rPr>
        <w:t>楊瓊瓔</w:t>
      </w:r>
      <w:r w:rsidRPr="001B6E4D">
        <w:rPr>
          <w:rFonts w:ascii="標楷體" w:eastAsia="標楷體" w:hAnsi="標楷體"/>
          <w:sz w:val="28"/>
          <w:szCs w:val="28"/>
        </w:rPr>
        <w:tab/>
      </w:r>
    </w:p>
    <w:p w14:paraId="2F50E689" w14:textId="77777777" w:rsidR="00E7334C" w:rsidRPr="001B6E4D" w:rsidRDefault="00E7334C"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王育敏</w:t>
      </w:r>
      <w:r w:rsidRPr="001B6E4D">
        <w:rPr>
          <w:rFonts w:ascii="標楷體" w:eastAsia="標楷體" w:hAnsi="標楷體"/>
          <w:sz w:val="28"/>
          <w:szCs w:val="28"/>
        </w:rPr>
        <w:tab/>
      </w:r>
      <w:r w:rsidRPr="001B6E4D">
        <w:rPr>
          <w:rFonts w:ascii="標楷體" w:eastAsia="標楷體" w:hAnsi="標楷體" w:hint="eastAsia"/>
          <w:sz w:val="28"/>
          <w:szCs w:val="28"/>
        </w:rPr>
        <w:t>王鴻薇</w:t>
      </w:r>
      <w:r w:rsidRPr="001B6E4D">
        <w:rPr>
          <w:rFonts w:ascii="標楷體" w:eastAsia="標楷體" w:hAnsi="標楷體"/>
          <w:sz w:val="28"/>
          <w:szCs w:val="28"/>
        </w:rPr>
        <w:tab/>
      </w:r>
      <w:r w:rsidRPr="001B6E4D">
        <w:rPr>
          <w:rFonts w:ascii="標楷體" w:eastAsia="標楷體" w:hAnsi="標楷體" w:hint="eastAsia"/>
          <w:sz w:val="28"/>
          <w:szCs w:val="28"/>
        </w:rPr>
        <w:t>王正旭</w:t>
      </w:r>
      <w:r w:rsidRPr="001B6E4D">
        <w:rPr>
          <w:rFonts w:ascii="標楷體" w:eastAsia="標楷體" w:hAnsi="標楷體"/>
          <w:sz w:val="28"/>
          <w:szCs w:val="28"/>
        </w:rPr>
        <w:tab/>
      </w:r>
      <w:r w:rsidRPr="001B6E4D">
        <w:rPr>
          <w:rFonts w:ascii="標楷體" w:eastAsia="標楷體" w:hAnsi="標楷體" w:hint="eastAsia"/>
          <w:sz w:val="28"/>
          <w:szCs w:val="28"/>
        </w:rPr>
        <w:t>林思銘</w:t>
      </w:r>
    </w:p>
    <w:p w14:paraId="4DA8EC89" w14:textId="77777777" w:rsidR="00E7334C" w:rsidRPr="001B6E4D" w:rsidRDefault="00E7334C"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11</w:t>
      </w:r>
      <w:r w:rsidRPr="001B6E4D">
        <w:rPr>
          <w:rFonts w:ascii="標楷體" w:eastAsia="標楷體" w:hAnsi="標楷體"/>
          <w:sz w:val="28"/>
          <w:szCs w:val="28"/>
        </w:rPr>
        <w:t>人</w:t>
      </w:r>
    </w:p>
    <w:p w14:paraId="64872AA5" w14:textId="77777777" w:rsidR="00E7334C" w:rsidRPr="001B6E4D" w:rsidRDefault="00E7334C"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法務部常務次長　馮成(部長請假)</w:t>
      </w:r>
    </w:p>
    <w:p w14:paraId="307BE4D8" w14:textId="77777777" w:rsidR="00E7334C" w:rsidRPr="001B6E4D" w:rsidRDefault="00E7334C"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司法院刑事廳廳長　許辰舟</w:t>
      </w:r>
    </w:p>
    <w:p w14:paraId="1C06F156" w14:textId="77777777" w:rsidR="00E7334C" w:rsidRPr="001B6E4D" w:rsidRDefault="00E7334C" w:rsidP="003D1018">
      <w:pPr>
        <w:widowControl w:val="0"/>
        <w:overflowPunct w:val="0"/>
        <w:adjustRightInd w:val="0"/>
        <w:snapToGrid w:val="0"/>
        <w:spacing w:line="360" w:lineRule="exact"/>
        <w:ind w:leftChars="567" w:left="1361" w:firstLineChars="313" w:firstLine="876"/>
        <w:jc w:val="both"/>
        <w:rPr>
          <w:rFonts w:ascii="標楷體" w:eastAsia="標楷體" w:hAnsi="標楷體"/>
          <w:kern w:val="0"/>
          <w:sz w:val="28"/>
          <w:szCs w:val="28"/>
        </w:rPr>
      </w:pPr>
      <w:r w:rsidRPr="001B6E4D">
        <w:rPr>
          <w:rFonts w:ascii="標楷體" w:eastAsia="標楷體" w:hAnsi="標楷體" w:hint="eastAsia"/>
          <w:kern w:val="0"/>
          <w:sz w:val="28"/>
          <w:szCs w:val="28"/>
        </w:rPr>
        <w:t>民事廳廳長　林俊廷</w:t>
      </w:r>
    </w:p>
    <w:p w14:paraId="516532ED" w14:textId="77777777" w:rsidR="00E7334C" w:rsidRPr="001B6E4D" w:rsidRDefault="00E7334C"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衛生福利部保護服務司副司長　張靜倫</w:t>
      </w:r>
    </w:p>
    <w:p w14:paraId="325FA143" w14:textId="77777777" w:rsidR="00E7334C" w:rsidRPr="001B6E4D" w:rsidRDefault="00E7334C"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內政部警政署防治組副組長　徐坤隆</w:t>
      </w:r>
    </w:p>
    <w:p w14:paraId="19BA6826" w14:textId="77777777" w:rsidR="00E7334C" w:rsidRPr="001B6E4D" w:rsidRDefault="00E7334C"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1F3A475C" w14:textId="77777777" w:rsidR="00E7334C" w:rsidRPr="001B6E4D" w:rsidRDefault="00E7334C"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19D047D3" w14:textId="77777777" w:rsidR="00E7334C" w:rsidRPr="001B6E4D" w:rsidRDefault="00E7334C"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6660345B" w14:textId="77777777" w:rsidR="00E7334C" w:rsidRPr="001B6E4D" w:rsidRDefault="00E7334C"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13C56492" w14:textId="77777777" w:rsidR="00E7334C" w:rsidRPr="001B6E4D" w:rsidRDefault="00E7334C"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16B002E4" w14:textId="77777777" w:rsidR="00E7334C" w:rsidRPr="001B6E4D" w:rsidRDefault="00E7334C"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796BB419" w14:textId="77777777" w:rsidR="00E7334C" w:rsidRPr="001B6E4D" w:rsidRDefault="00E7334C"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33E92A07" w14:textId="77777777" w:rsidR="00E7334C" w:rsidRPr="001B6E4D" w:rsidRDefault="00E7334C"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宣讀上次會議議事錄。</w:t>
      </w:r>
    </w:p>
    <w:p w14:paraId="12FE2DA1" w14:textId="77777777" w:rsidR="00E7334C" w:rsidRPr="001B6E4D" w:rsidRDefault="00E7334C"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sz w:val="28"/>
          <w:szCs w:val="28"/>
        </w:rPr>
        <w:t>決定：確定。</w:t>
      </w:r>
    </w:p>
    <w:p w14:paraId="3C294039" w14:textId="77777777" w:rsidR="00E7334C" w:rsidRPr="001B6E4D" w:rsidRDefault="00E7334C"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討論事項</w:t>
      </w:r>
    </w:p>
    <w:p w14:paraId="1591902B" w14:textId="77777777" w:rsidR="00E7334C" w:rsidRPr="001B6E4D" w:rsidRDefault="00E7334C"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一、</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0C5483B6"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（一）委員賴瑞隆等20人擬具「貪污治罪條例第十二</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14D988A"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w:t>
      </w:r>
      <w:bookmarkStart w:id="446" w:name="_Hlk226982496"/>
      <w:r w:rsidRPr="001B6E4D">
        <w:rPr>
          <w:rFonts w:ascii="標楷體" w:eastAsia="標楷體" w:hAnsi="標楷體" w:hint="eastAsia"/>
          <w:sz w:val="28"/>
          <w:szCs w:val="28"/>
        </w:rPr>
        <w:t>林倩綺等22人</w:t>
      </w:r>
      <w:bookmarkEnd w:id="446"/>
      <w:r w:rsidRPr="001B6E4D">
        <w:rPr>
          <w:rFonts w:ascii="標楷體" w:eastAsia="標楷體" w:hAnsi="標楷體" w:hint="eastAsia"/>
          <w:sz w:val="28"/>
          <w:szCs w:val="28"/>
        </w:rPr>
        <w:t>擬具「貪污治罪條例第十二</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8E19B2F"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（三）委員蔡易餘等16人擬具「貪污治罪條例第十二</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20B24A1"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w:t>
      </w:r>
      <w:bookmarkStart w:id="447" w:name="_Hlk226982521"/>
      <w:r w:rsidRPr="001B6E4D">
        <w:rPr>
          <w:rFonts w:ascii="標楷體" w:eastAsia="標楷體" w:hAnsi="標楷體" w:hint="eastAsia"/>
          <w:sz w:val="28"/>
          <w:szCs w:val="28"/>
        </w:rPr>
        <w:t>委員王鴻薇等17人</w:t>
      </w:r>
      <w:bookmarkEnd w:id="447"/>
      <w:r w:rsidRPr="001B6E4D">
        <w:rPr>
          <w:rFonts w:ascii="標楷體" w:eastAsia="標楷體" w:hAnsi="標楷體" w:hint="eastAsia"/>
          <w:sz w:val="28"/>
          <w:szCs w:val="28"/>
        </w:rPr>
        <w:t>擬具「貪污治罪條例第十二</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0890410"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（五）委員翁曉玲等17人擬具「貪污治罪條例第十二</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36DAFE7"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（六）委員林思銘等17人擬具「貪污治罪條例第十二</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20225CF" w14:textId="77777777" w:rsidR="00E7334C" w:rsidRPr="001B6E4D" w:rsidRDefault="00E7334C" w:rsidP="003D1018">
      <w:pPr>
        <w:overflowPunct w:val="0"/>
        <w:adjustRightInd w:val="0"/>
        <w:snapToGrid w:val="0"/>
        <w:spacing w:line="360" w:lineRule="exact"/>
        <w:ind w:leftChars="-1" w:left="9" w:hangingChars="4" w:hanging="11"/>
        <w:jc w:val="both"/>
        <w:rPr>
          <w:rFonts w:ascii="標楷體" w:eastAsia="標楷體" w:hAnsi="標楷體"/>
          <w:sz w:val="28"/>
          <w:szCs w:val="28"/>
        </w:rPr>
      </w:pPr>
      <w:bookmarkStart w:id="448" w:name="_Hlk226447673"/>
      <w:r w:rsidRPr="001B6E4D">
        <w:rPr>
          <w:rFonts w:ascii="標楷體" w:eastAsia="標楷體" w:hAnsi="標楷體" w:hint="eastAsia"/>
          <w:sz w:val="28"/>
          <w:szCs w:val="28"/>
        </w:rPr>
        <w:t>二、繼續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27713777"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w:t>
      </w:r>
      <w:proofErr w:type="gramStart"/>
      <w:r w:rsidRPr="001B6E4D">
        <w:rPr>
          <w:rFonts w:ascii="標楷體" w:eastAsia="標楷體" w:hAnsi="標楷體" w:hint="eastAsia"/>
          <w:sz w:val="28"/>
          <w:szCs w:val="28"/>
        </w:rPr>
        <w:t>ㄧ</w:t>
      </w:r>
      <w:proofErr w:type="gramEnd"/>
      <w:r w:rsidRPr="001B6E4D">
        <w:rPr>
          <w:rFonts w:ascii="標楷體" w:eastAsia="標楷體" w:hAnsi="標楷體" w:hint="eastAsia"/>
          <w:sz w:val="28"/>
          <w:szCs w:val="28"/>
        </w:rPr>
        <w:t>）委員洪孟楷等21人擬具「中華民國刑法第八十三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D698BBA"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（二）委員王育敏等21人擬具「中華民國刑法增訂第八十條之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15223198"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雲等22人擬具「中華民國刑法第八十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BD55195"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（四）委員郭昱晴等16人擬具「中華民國刑法第八十三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1A7B844"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（五）委員李昆澤等17人擬具「中華民國刑法第八十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A54DB33"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（六）台灣民眾黨黨團擬具「中華民國刑法第八十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46A0CD7"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（七）委員李坤城等21人擬具「中華民國刑法第八十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bookmarkEnd w:id="448"/>
    <w:p w14:paraId="537B81BA"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（八）委員張雅琳等18人擬具「中華民國刑法第八十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42C8C72"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（九）委員黃捷等19人擬具「中華民國刑法第八十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C14BD03"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（十）委員</w:t>
      </w:r>
      <w:proofErr w:type="gramStart"/>
      <w:r w:rsidRPr="001B6E4D">
        <w:rPr>
          <w:rFonts w:ascii="標楷體" w:eastAsia="標楷體" w:hAnsi="標楷體" w:hint="eastAsia"/>
          <w:sz w:val="28"/>
          <w:szCs w:val="28"/>
        </w:rPr>
        <w:t>林楚茵等</w:t>
      </w:r>
      <w:proofErr w:type="gramEnd"/>
      <w:r w:rsidRPr="001B6E4D">
        <w:rPr>
          <w:rFonts w:ascii="標楷體" w:eastAsia="標楷體" w:hAnsi="標楷體" w:hint="eastAsia"/>
          <w:sz w:val="28"/>
          <w:szCs w:val="28"/>
        </w:rPr>
        <w:t>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2A426DB"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（十一）委員吳沛憶等17人擬具「中華民國刑法第八十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E7388AF"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（十二）委員林月琴等20人擬具「中華民國刑法第八十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14F7559"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（十三）委員蔡其昌等17人擬具「中華民國刑法第八十三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0558DA9"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（十四）委員王美惠等18人擬具「中華民國刑法第八十三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D2833F4"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（十五）委員陳素月等19人擬具「中華民國刑法第八十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A5E1440"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（十六）委員洪孟楷等17人擬具「中華民國刑法第八十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63B9FCF"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（十七）委員張宏陸等17人擬具「中華民國刑法第八十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86EA9C1"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（十八）委員林倩綺等21人擬具「中華民國刑法第八十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8733DFC"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（十九）委員吳思瑤等18人擬具「中華民國刑法第八十三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81DC38B"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（二十）委員翁曉玲等17人擬具「中華民國刑法第八十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8E35A8C"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（二十一）委員伍麗華</w:t>
      </w:r>
      <w:proofErr w:type="spellStart"/>
      <w:r w:rsidRPr="001B6E4D">
        <w:rPr>
          <w:rFonts w:ascii="標楷體" w:eastAsia="標楷體" w:hAnsi="標楷體" w:hint="eastAsia"/>
          <w:sz w:val="28"/>
          <w:szCs w:val="28"/>
        </w:rPr>
        <w:t>Saidhai</w:t>
      </w:r>
      <w:proofErr w:type="spellEnd"/>
      <w:proofErr w:type="gramStart"/>
      <w:r w:rsidRPr="001B6E4D">
        <w:rPr>
          <w:rFonts w:ascii="標楷體" w:eastAsia="標楷體" w:hAnsi="標楷體" w:hint="eastAsia"/>
          <w:sz w:val="28"/>
          <w:szCs w:val="28"/>
        </w:rPr>
        <w:t>‧</w:t>
      </w:r>
      <w:proofErr w:type="spellStart"/>
      <w:proofErr w:type="gramEnd"/>
      <w:r w:rsidRPr="001B6E4D">
        <w:rPr>
          <w:rFonts w:ascii="標楷體" w:eastAsia="標楷體" w:hAnsi="標楷體" w:hint="eastAsia"/>
          <w:sz w:val="28"/>
          <w:szCs w:val="28"/>
        </w:rPr>
        <w:t>Tahovecahe</w:t>
      </w:r>
      <w:proofErr w:type="spellEnd"/>
      <w:r w:rsidRPr="001B6E4D">
        <w:rPr>
          <w:rFonts w:ascii="標楷體" w:eastAsia="標楷體" w:hAnsi="標楷體" w:hint="eastAsia"/>
          <w:sz w:val="28"/>
          <w:szCs w:val="28"/>
        </w:rPr>
        <w:t>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515AFC2"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（二十二）委員羅智強等19人擬具「中華民國刑法第八十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C048BE7"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（二十三）委員王鴻薇等18人擬具「中華民國刑法第八十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5780260"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（二十四）委員羅廷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等18人擬具「中華民國刑法第八十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7FFCE40"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（二十五）委員王正旭等18人擬具「中華民國刑法第八十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B9861FD"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（二十六）委員林思銘等20人擬具「中華民國刑法第八十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FF40099" w14:textId="77777777" w:rsidR="00E7334C" w:rsidRPr="001B6E4D" w:rsidRDefault="00E7334C"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r w:rsidRPr="001B6E4D">
        <w:rPr>
          <w:rFonts w:ascii="標楷體" w:eastAsia="標楷體" w:hAnsi="標楷體" w:hint="eastAsia"/>
          <w:sz w:val="28"/>
          <w:szCs w:val="28"/>
        </w:rPr>
        <w:t>三、</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4EC7D7AE"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ㄧ</w:t>
      </w:r>
      <w:proofErr w:type="gramEnd"/>
      <w:r w:rsidRPr="001B6E4D">
        <w:rPr>
          <w:rFonts w:ascii="標楷體" w:eastAsia="標楷體" w:hAnsi="標楷體" w:hint="eastAsia"/>
          <w:sz w:val="28"/>
          <w:szCs w:val="28"/>
        </w:rPr>
        <w:t>）委員黃捷等19人擬具</w:t>
      </w:r>
      <w:bookmarkStart w:id="449" w:name="_Hlk226967445"/>
      <w:r w:rsidRPr="001B6E4D">
        <w:rPr>
          <w:rFonts w:ascii="標楷體" w:eastAsia="標楷體" w:hAnsi="標楷體" w:hint="eastAsia"/>
          <w:sz w:val="28"/>
          <w:szCs w:val="28"/>
        </w:rPr>
        <w:t>「中華民國刑法施行法增訂第八條之三條文草案」案</w:t>
      </w:r>
      <w:bookmarkEnd w:id="449"/>
      <w:r w:rsidRPr="001B6E4D">
        <w:rPr>
          <w:rFonts w:ascii="標楷體" w:eastAsia="標楷體" w:hAnsi="標楷體" w:hint="eastAsia"/>
          <w:sz w:val="28"/>
          <w:szCs w:val="28"/>
        </w:rPr>
        <w:t>。</w:t>
      </w:r>
    </w:p>
    <w:p w14:paraId="63AA0FD7"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w:t>
      </w:r>
      <w:proofErr w:type="gramStart"/>
      <w:r w:rsidRPr="001B6E4D">
        <w:rPr>
          <w:rFonts w:ascii="標楷體" w:eastAsia="標楷體" w:hAnsi="標楷體" w:hint="eastAsia"/>
          <w:sz w:val="28"/>
          <w:szCs w:val="28"/>
        </w:rPr>
        <w:t>林楚茵等</w:t>
      </w:r>
      <w:proofErr w:type="gramEnd"/>
      <w:r w:rsidRPr="001B6E4D">
        <w:rPr>
          <w:rFonts w:ascii="標楷體" w:eastAsia="標楷體" w:hAnsi="標楷體" w:hint="eastAsia"/>
          <w:sz w:val="28"/>
          <w:szCs w:val="28"/>
        </w:rPr>
        <w:t>16人擬具「中華民國刑法施行法第八條之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0E2E9EF3"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（三）委員吳沛憶等17人擬具「中華民國刑法施行法第八條之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2D947CB6"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（四）委員林月琴等21人擬具「中華民國刑法施行法增訂第八條之三條文草案」案。</w:t>
      </w:r>
    </w:p>
    <w:p w14:paraId="348120F1"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（五）委員蔡其昌等17人擬具「中華民國刑法施行法增訂第八條之三條文草案」案。</w:t>
      </w:r>
    </w:p>
    <w:p w14:paraId="58D99AAF"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（六）委員王美惠等17人擬具「中華民國刑法施行法增訂第八條之三條文草案」案。</w:t>
      </w:r>
    </w:p>
    <w:p w14:paraId="2F102350"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（七）委員陳素月等21人擬具「中華民國刑法施行法第八條之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19277195"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（八）委員林倩綺等21人擬具「中華民國刑法施行法第八條之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193D197A"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（九）委員吳思瑤等18人擬具「中華民國刑法施行法增訂第八條之三條文草案」案。</w:t>
      </w:r>
    </w:p>
    <w:p w14:paraId="58072793"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（十）委員羅智強等19人擬具「中華民國刑法施行法增訂第八條之三條文草案」案。</w:t>
      </w:r>
    </w:p>
    <w:p w14:paraId="25860C78"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（十一）委員李坤城等20人擬具「中華民國刑法施行法第八條之二條文修正草案」案。</w:t>
      </w:r>
    </w:p>
    <w:p w14:paraId="229917CF"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（十二）委員翁曉玲等27人擬具「中華民國刑法施行法第八條之二條文修正草案」案。</w:t>
      </w:r>
    </w:p>
    <w:p w14:paraId="66332D39"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（十三）委員王鴻薇等18人擬具「中華民國刑法施行法第八條之二條文修正草案」案。</w:t>
      </w:r>
    </w:p>
    <w:p w14:paraId="545AD96B"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（十四）委員王正旭等17人擬具「中華民國刑法施行法第八條之二條文修正草案」案。</w:t>
      </w:r>
    </w:p>
    <w:p w14:paraId="3C53C56C" w14:textId="77777777" w:rsidR="00E7334C" w:rsidRPr="001B6E4D" w:rsidRDefault="00E7334C"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四、</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74C99B1F"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ㄧ</w:t>
      </w:r>
      <w:proofErr w:type="gramEnd"/>
      <w:r w:rsidRPr="001B6E4D">
        <w:rPr>
          <w:rFonts w:ascii="標楷體" w:eastAsia="標楷體" w:hAnsi="標楷體" w:hint="eastAsia"/>
          <w:sz w:val="28"/>
          <w:szCs w:val="28"/>
        </w:rPr>
        <w:t>）委員王育敏等18人擬具「民法第一百九十七</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550DAC3"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（二）委員王世堅等16人擬具</w:t>
      </w:r>
      <w:bookmarkStart w:id="450" w:name="_Hlk226967504"/>
      <w:r w:rsidRPr="001B6E4D">
        <w:rPr>
          <w:rFonts w:ascii="標楷體" w:eastAsia="標楷體" w:hAnsi="標楷體" w:hint="eastAsia"/>
          <w:sz w:val="28"/>
          <w:szCs w:val="28"/>
        </w:rPr>
        <w:t>「民法增訂第一百九十七條之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w:t>
      </w:r>
      <w:bookmarkEnd w:id="450"/>
      <w:r w:rsidRPr="001B6E4D">
        <w:rPr>
          <w:rFonts w:ascii="標楷體" w:eastAsia="標楷體" w:hAnsi="標楷體" w:hint="eastAsia"/>
          <w:sz w:val="28"/>
          <w:szCs w:val="28"/>
        </w:rPr>
        <w:t>案。</w:t>
      </w:r>
    </w:p>
    <w:p w14:paraId="39E55743" w14:textId="77777777" w:rsidR="00E7334C" w:rsidRPr="001B6E4D" w:rsidRDefault="00E7334C"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（三）委員陳素月等16人擬具「民法增訂第一百九十七條之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2E5178E3" w14:textId="77777777" w:rsidR="00E7334C" w:rsidRPr="001B6E4D" w:rsidRDefault="00E7334C"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陳昭姿、翁曉玲、沈發惠、張雅琳、許宇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、羅智強、林月琴、莊瑞雄、洪孟楷、</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；委員蔡其昌、黃捷、吳沛憶、林倩綺、吳宗憲提出書面質詢。</w:t>
      </w:r>
      <w:r w:rsidRPr="001B6E4D">
        <w:rPr>
          <w:rFonts w:ascii="標楷體" w:eastAsia="標楷體" w:hAnsi="標楷體"/>
          <w:sz w:val="28"/>
          <w:szCs w:val="28"/>
        </w:rPr>
        <w:t>）</w:t>
      </w:r>
    </w:p>
    <w:p w14:paraId="06976440" w14:textId="77777777" w:rsidR="00E7334C" w:rsidRPr="001B6E4D" w:rsidRDefault="00E7334C"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78ED9F2C" w14:textId="77777777" w:rsidR="00E7334C" w:rsidRPr="001B6E4D" w:rsidRDefault="00E7334C" w:rsidP="003D1018">
      <w:pPr>
        <w:numPr>
          <w:ilvl w:val="0"/>
          <w:numId w:val="31"/>
        </w:num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p>
    <w:p w14:paraId="4F005677" w14:textId="77777777" w:rsidR="00E7334C" w:rsidRPr="001B6E4D" w:rsidRDefault="00E7334C" w:rsidP="003D1018">
      <w:pPr>
        <w:numPr>
          <w:ilvl w:val="0"/>
          <w:numId w:val="31"/>
        </w:num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「貪污治罪條例第十二</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w:t>
      </w:r>
      <w:bookmarkStart w:id="451" w:name="_Hlk226967466"/>
      <w:r w:rsidRPr="001B6E4D">
        <w:rPr>
          <w:rFonts w:ascii="標楷體" w:eastAsia="標楷體" w:hAnsi="標楷體" w:hint="eastAsia"/>
          <w:sz w:val="28"/>
          <w:szCs w:val="28"/>
        </w:rPr>
        <w:t>」等6案：</w:t>
      </w:r>
      <w:bookmarkEnd w:id="451"/>
    </w:p>
    <w:p w14:paraId="5B01FA41" w14:textId="77777777" w:rsidR="00E7334C" w:rsidRPr="001B6E4D" w:rsidRDefault="00E7334C" w:rsidP="003D1018">
      <w:pPr>
        <w:numPr>
          <w:ilvl w:val="0"/>
          <w:numId w:val="32"/>
        </w:numPr>
        <w:overflowPunct w:val="0"/>
        <w:spacing w:line="360" w:lineRule="exact"/>
        <w:ind w:hanging="450"/>
        <w:contextualSpacing/>
        <w:jc w:val="both"/>
        <w:rPr>
          <w:rFonts w:ascii="標楷體" w:eastAsia="標楷體" w:hAnsi="標楷體"/>
          <w:sz w:val="28"/>
          <w:szCs w:val="28"/>
        </w:rPr>
      </w:pPr>
      <w:r w:rsidRPr="001B6E4D">
        <w:rPr>
          <w:rFonts w:ascii="標楷體" w:eastAsia="標楷體" w:hAnsi="標楷體" w:hint="eastAsia"/>
          <w:sz w:val="28"/>
          <w:szCs w:val="28"/>
        </w:rPr>
        <w:t>逕行逐條審查。</w:t>
      </w:r>
    </w:p>
    <w:p w14:paraId="75EA8672" w14:textId="77777777" w:rsidR="00E7334C" w:rsidRPr="001B6E4D" w:rsidRDefault="00E7334C" w:rsidP="003D1018">
      <w:pPr>
        <w:numPr>
          <w:ilvl w:val="0"/>
          <w:numId w:val="32"/>
        </w:numPr>
        <w:overflowPunct w:val="0"/>
        <w:spacing w:line="360" w:lineRule="exact"/>
        <w:ind w:left="851" w:hanging="567"/>
        <w:contextualSpacing/>
        <w:jc w:val="both"/>
        <w:rPr>
          <w:rFonts w:ascii="標楷體" w:eastAsia="標楷體" w:hAnsi="標楷體"/>
          <w:sz w:val="28"/>
          <w:szCs w:val="28"/>
        </w:rPr>
      </w:pPr>
      <w:r w:rsidRPr="001B6E4D">
        <w:rPr>
          <w:rFonts w:ascii="標楷體" w:eastAsia="標楷體" w:hAnsi="標楷體" w:hint="eastAsia"/>
          <w:sz w:val="28"/>
          <w:szCs w:val="28"/>
        </w:rPr>
        <w:t>第十二條，照委員林倩綺等22人、委員王鴻薇等17人及委員翁曉玲等17人提案通過。</w:t>
      </w:r>
    </w:p>
    <w:p w14:paraId="4134C6C3" w14:textId="77777777" w:rsidR="00E7334C" w:rsidRPr="001B6E4D" w:rsidRDefault="00E7334C" w:rsidP="003D1018">
      <w:pPr>
        <w:numPr>
          <w:ilvl w:val="0"/>
          <w:numId w:val="32"/>
        </w:numPr>
        <w:overflowPunct w:val="0"/>
        <w:spacing w:line="360" w:lineRule="exact"/>
        <w:ind w:left="851" w:hanging="567"/>
        <w:contextualSpacing/>
        <w:jc w:val="both"/>
        <w:rPr>
          <w:rFonts w:ascii="標楷體" w:eastAsia="標楷體" w:hAnsi="標楷體"/>
          <w:sz w:val="28"/>
          <w:szCs w:val="28"/>
        </w:rPr>
      </w:pPr>
      <w:r w:rsidRPr="001B6E4D">
        <w:rPr>
          <w:rFonts w:ascii="標楷體" w:eastAsia="標楷體" w:hAnsi="標楷體" w:hint="eastAsia"/>
          <w:sz w:val="28"/>
          <w:szCs w:val="28"/>
        </w:rPr>
        <w:t>本案審查完竣，擬具審查報告，提請院會公決；不須交由黨團協商；院會討論時，由翁召集委員曉玲出席說明。</w:t>
      </w:r>
    </w:p>
    <w:p w14:paraId="20BA10B7" w14:textId="77777777" w:rsidR="00E7334C" w:rsidRPr="001B6E4D" w:rsidRDefault="00E7334C" w:rsidP="003D1018">
      <w:pPr>
        <w:numPr>
          <w:ilvl w:val="0"/>
          <w:numId w:val="32"/>
        </w:numPr>
        <w:overflowPunct w:val="0"/>
        <w:spacing w:line="360" w:lineRule="exact"/>
        <w:ind w:left="851" w:hanging="567"/>
        <w:contextualSpacing/>
        <w:jc w:val="both"/>
        <w:rPr>
          <w:rFonts w:ascii="標楷體" w:eastAsia="標楷體" w:hAnsi="標楷體"/>
          <w:sz w:val="28"/>
          <w:szCs w:val="28"/>
        </w:rPr>
      </w:pPr>
      <w:r w:rsidRPr="001B6E4D">
        <w:rPr>
          <w:rFonts w:ascii="標楷體" w:eastAsia="標楷體" w:hAnsi="標楷體" w:hint="eastAsia"/>
          <w:sz w:val="28"/>
          <w:szCs w:val="28"/>
        </w:rPr>
        <w:t>條次、引述條文部分文字及法制用字用語，授權主席及議事人員整理。</w:t>
      </w:r>
    </w:p>
    <w:p w14:paraId="1D200936" w14:textId="77777777" w:rsidR="00E7334C" w:rsidRPr="001B6E4D" w:rsidRDefault="00E7334C" w:rsidP="003D1018">
      <w:pPr>
        <w:numPr>
          <w:ilvl w:val="0"/>
          <w:numId w:val="31"/>
        </w:numPr>
        <w:kinsoku w:val="0"/>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「中華民國刑法第八十三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條文修正草案」等</w:t>
      </w:r>
      <w:r w:rsidRPr="001B6E4D">
        <w:rPr>
          <w:rFonts w:ascii="標楷體" w:eastAsia="標楷體" w:hAnsi="標楷體"/>
          <w:sz w:val="28"/>
          <w:szCs w:val="28"/>
        </w:rPr>
        <w:t>2</w:t>
      </w:r>
      <w:r w:rsidRPr="001B6E4D">
        <w:rPr>
          <w:rFonts w:ascii="標楷體" w:eastAsia="標楷體" w:hAnsi="標楷體" w:hint="eastAsia"/>
          <w:sz w:val="28"/>
          <w:szCs w:val="28"/>
        </w:rPr>
        <w:t>6案、「中華民國刑法施行法增訂第八條之三條文草案」等</w:t>
      </w:r>
      <w:r w:rsidRPr="001B6E4D">
        <w:rPr>
          <w:rFonts w:ascii="標楷體" w:eastAsia="標楷體" w:hAnsi="標楷體"/>
          <w:sz w:val="28"/>
          <w:szCs w:val="28"/>
        </w:rPr>
        <w:t>14</w:t>
      </w:r>
      <w:r w:rsidRPr="001B6E4D">
        <w:rPr>
          <w:rFonts w:ascii="標楷體" w:eastAsia="標楷體" w:hAnsi="標楷體" w:hint="eastAsia"/>
          <w:sz w:val="28"/>
          <w:szCs w:val="28"/>
        </w:rPr>
        <w:t>案及「民法第一百九十七</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條文修正草案」等</w:t>
      </w:r>
      <w:r w:rsidRPr="001B6E4D">
        <w:rPr>
          <w:rFonts w:ascii="標楷體" w:eastAsia="標楷體" w:hAnsi="標楷體"/>
          <w:sz w:val="28"/>
          <w:szCs w:val="28"/>
        </w:rPr>
        <w:t>3</w:t>
      </w:r>
      <w:r w:rsidRPr="001B6E4D">
        <w:rPr>
          <w:rFonts w:ascii="標楷體" w:eastAsia="標楷體" w:hAnsi="標楷體" w:hint="eastAsia"/>
          <w:sz w:val="28"/>
          <w:szCs w:val="28"/>
        </w:rPr>
        <w:t>案，</w:t>
      </w:r>
      <w:proofErr w:type="gramStart"/>
      <w:r w:rsidRPr="001B6E4D">
        <w:rPr>
          <w:rFonts w:ascii="標楷體" w:eastAsia="標楷體" w:hAnsi="標楷體" w:hint="eastAsia"/>
          <w:sz w:val="28"/>
          <w:szCs w:val="28"/>
        </w:rPr>
        <w:t>均另定期</w:t>
      </w:r>
      <w:proofErr w:type="gramEnd"/>
      <w:r w:rsidRPr="001B6E4D">
        <w:rPr>
          <w:rFonts w:ascii="標楷體" w:eastAsia="標楷體" w:hAnsi="標楷體" w:hint="eastAsia"/>
          <w:sz w:val="28"/>
          <w:szCs w:val="28"/>
        </w:rPr>
        <w:t>繼續審查。</w:t>
      </w:r>
    </w:p>
    <w:p w14:paraId="710E1017" w14:textId="77777777" w:rsidR="00E7334C" w:rsidRPr="001B6E4D" w:rsidRDefault="00E7334C" w:rsidP="003D1018">
      <w:pPr>
        <w:numPr>
          <w:ilvl w:val="0"/>
          <w:numId w:val="31"/>
        </w:numPr>
        <w:kinsoku w:val="0"/>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438C3A64" w14:textId="77777777" w:rsidR="00E7334C" w:rsidRPr="001B6E4D" w:rsidRDefault="00E7334C" w:rsidP="003D1018">
      <w:pPr>
        <w:overflowPunct w:val="0"/>
        <w:spacing w:line="400" w:lineRule="exact"/>
        <w:ind w:leftChars="6" w:left="14"/>
        <w:jc w:val="both"/>
        <w:rPr>
          <w:rFonts w:ascii="標楷體" w:eastAsia="標楷體" w:hAnsi="標楷體"/>
        </w:rPr>
      </w:pPr>
      <w:r w:rsidRPr="001B6E4D">
        <w:rPr>
          <w:rFonts w:ascii="標楷體" w:eastAsia="標楷體" w:hAnsi="標楷體"/>
          <w:sz w:val="28"/>
          <w:szCs w:val="28"/>
        </w:rPr>
        <w:t>散會</w:t>
      </w:r>
    </w:p>
    <w:p w14:paraId="636EEBDE" w14:textId="77777777" w:rsidR="005F5E6C" w:rsidRPr="001B6E4D" w:rsidRDefault="005F5E6C" w:rsidP="003D1018">
      <w:pPr>
        <w:pStyle w:val="a3"/>
        <w:numPr>
          <w:ilvl w:val="0"/>
          <w:numId w:val="0"/>
        </w:numPr>
        <w:overflowPunct w:val="0"/>
        <w:jc w:val="left"/>
      </w:pPr>
    </w:p>
    <w:p w14:paraId="1285026A" w14:textId="77777777" w:rsidR="00114C52" w:rsidRPr="001B6E4D" w:rsidRDefault="00114C52"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315B9910" w14:textId="5124F983" w:rsidR="005F5E6C" w:rsidRPr="001B6E4D" w:rsidRDefault="005F5E6C"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52" w:name="_Toc240446591"/>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7</w:t>
      </w:r>
      <w:r w:rsidRPr="001B6E4D">
        <w:rPr>
          <w:rFonts w:ascii="標楷體" w:eastAsia="標楷體" w:hAnsi="標楷體"/>
          <w:b/>
          <w:spacing w:val="-2"/>
          <w:sz w:val="28"/>
          <w:szCs w:val="28"/>
        </w:rPr>
        <w:t>次全體委員會議議事錄</w:t>
      </w:r>
      <w:bookmarkEnd w:id="452"/>
    </w:p>
    <w:p w14:paraId="220BC67E" w14:textId="77777777" w:rsidR="005F5E6C" w:rsidRPr="001B6E4D" w:rsidRDefault="005F5E6C" w:rsidP="003D1018">
      <w:pPr>
        <w:overflowPunct w:val="0"/>
        <w:adjustRightInd w:val="0"/>
        <w:snapToGrid w:val="0"/>
        <w:spacing w:line="360" w:lineRule="exact"/>
        <w:ind w:leftChars="1" w:left="1416" w:hangingChars="505" w:hanging="1414"/>
        <w:rPr>
          <w:rFonts w:ascii="標楷體" w:eastAsia="標楷體" w:hAnsi="標楷體"/>
          <w:spacing w:val="-10"/>
          <w:kern w:val="0"/>
          <w:sz w:val="28"/>
          <w:szCs w:val="28"/>
        </w:rPr>
      </w:pPr>
      <w:r w:rsidRPr="001B6E4D">
        <w:rPr>
          <w:rFonts w:ascii="標楷體" w:eastAsia="標楷體" w:hAnsi="標楷體"/>
          <w:kern w:val="0"/>
          <w:sz w:val="28"/>
          <w:szCs w:val="28"/>
          <w:fitText w:val="1120" w:id="-758489088"/>
          <w:lang w:val="x-none" w:eastAsia="x-none"/>
        </w:rPr>
        <w:t>時    間</w:t>
      </w:r>
      <w:r w:rsidRPr="001B6E4D">
        <w:rPr>
          <w:rFonts w:ascii="標楷體" w:eastAsia="標楷體" w:hAnsi="標楷體"/>
          <w:spacing w:val="-10"/>
          <w:kern w:val="0"/>
          <w:sz w:val="28"/>
          <w:szCs w:val="28"/>
          <w:lang w:val="x-none" w:eastAsia="x-none"/>
        </w:rPr>
        <w:t>：</w:t>
      </w:r>
      <w:r w:rsidRPr="001B6E4D">
        <w:rPr>
          <w:rFonts w:ascii="標楷體" w:eastAsia="標楷體" w:hAnsi="標楷體"/>
          <w:spacing w:val="-16"/>
          <w:kern w:val="0"/>
          <w:sz w:val="28"/>
          <w:szCs w:val="28"/>
          <w:lang w:val="x-none" w:eastAsia="x-none"/>
        </w:rPr>
        <w:t>中華民國1</w:t>
      </w:r>
      <w:r w:rsidRPr="001B6E4D">
        <w:rPr>
          <w:rFonts w:ascii="標楷體" w:eastAsia="標楷體" w:hAnsi="標楷體" w:hint="eastAsia"/>
          <w:spacing w:val="-16"/>
          <w:kern w:val="0"/>
          <w:sz w:val="28"/>
          <w:szCs w:val="28"/>
          <w:lang w:val="x-none" w:eastAsia="x-none"/>
        </w:rPr>
        <w:t>1</w:t>
      </w:r>
      <w:r w:rsidRPr="001B6E4D">
        <w:rPr>
          <w:rFonts w:ascii="標楷體" w:eastAsia="標楷體" w:hAnsi="標楷體" w:hint="eastAsia"/>
          <w:spacing w:val="-16"/>
          <w:kern w:val="0"/>
          <w:sz w:val="28"/>
          <w:szCs w:val="28"/>
          <w:lang w:val="x-none"/>
        </w:rPr>
        <w:t>5</w:t>
      </w:r>
      <w:r w:rsidRPr="001B6E4D">
        <w:rPr>
          <w:rFonts w:ascii="標楷體" w:eastAsia="標楷體" w:hAnsi="標楷體"/>
          <w:spacing w:val="-16"/>
          <w:kern w:val="0"/>
          <w:sz w:val="28"/>
          <w:szCs w:val="28"/>
          <w:lang w:val="x-none" w:eastAsia="x-none"/>
        </w:rPr>
        <w:t>年</w:t>
      </w:r>
      <w:r w:rsidRPr="001B6E4D">
        <w:rPr>
          <w:rFonts w:ascii="標楷體" w:eastAsia="標楷體" w:hAnsi="標楷體" w:hint="eastAsia"/>
          <w:spacing w:val="-16"/>
          <w:kern w:val="0"/>
          <w:sz w:val="28"/>
          <w:szCs w:val="28"/>
          <w:lang w:val="x-none"/>
        </w:rPr>
        <w:t>4</w:t>
      </w:r>
      <w:r w:rsidRPr="001B6E4D">
        <w:rPr>
          <w:rFonts w:ascii="標楷體" w:eastAsia="標楷體" w:hAnsi="標楷體"/>
          <w:spacing w:val="-16"/>
          <w:kern w:val="0"/>
          <w:sz w:val="28"/>
          <w:szCs w:val="28"/>
          <w:lang w:val="x-none" w:eastAsia="x-none"/>
        </w:rPr>
        <w:t>月</w:t>
      </w:r>
      <w:r w:rsidRPr="001B6E4D">
        <w:rPr>
          <w:rFonts w:ascii="標楷體" w:eastAsia="標楷體" w:hAnsi="標楷體" w:hint="eastAsia"/>
          <w:spacing w:val="-16"/>
          <w:kern w:val="0"/>
          <w:sz w:val="28"/>
          <w:szCs w:val="28"/>
          <w:lang w:val="x-none"/>
        </w:rPr>
        <w:t>15</w:t>
      </w:r>
      <w:r w:rsidRPr="001B6E4D">
        <w:rPr>
          <w:rFonts w:ascii="標楷體" w:eastAsia="標楷體" w:hAnsi="標楷體"/>
          <w:spacing w:val="-16"/>
          <w:kern w:val="0"/>
          <w:sz w:val="28"/>
          <w:szCs w:val="28"/>
          <w:lang w:val="x-none" w:eastAsia="x-none"/>
        </w:rPr>
        <w:t>日（星期</w:t>
      </w:r>
      <w:r w:rsidRPr="001B6E4D">
        <w:rPr>
          <w:rFonts w:ascii="標楷體" w:eastAsia="標楷體" w:hAnsi="標楷體" w:hint="eastAsia"/>
          <w:spacing w:val="-16"/>
          <w:kern w:val="0"/>
          <w:sz w:val="28"/>
          <w:szCs w:val="28"/>
          <w:lang w:val="x-none"/>
        </w:rPr>
        <w:t>三</w:t>
      </w:r>
      <w:r w:rsidRPr="001B6E4D">
        <w:rPr>
          <w:rFonts w:ascii="標楷體" w:eastAsia="標楷體" w:hAnsi="標楷體"/>
          <w:spacing w:val="-16"/>
          <w:kern w:val="0"/>
          <w:sz w:val="28"/>
          <w:szCs w:val="28"/>
          <w:lang w:val="x-none" w:eastAsia="x-none"/>
        </w:rPr>
        <w:t>）上午</w:t>
      </w:r>
      <w:r w:rsidRPr="001B6E4D">
        <w:rPr>
          <w:rFonts w:ascii="標楷體" w:eastAsia="標楷體" w:hAnsi="標楷體" w:hint="eastAsia"/>
          <w:spacing w:val="-16"/>
          <w:kern w:val="0"/>
          <w:sz w:val="28"/>
          <w:szCs w:val="28"/>
          <w:lang w:val="x-none"/>
        </w:rPr>
        <w:t>9</w:t>
      </w:r>
      <w:r w:rsidRPr="001B6E4D">
        <w:rPr>
          <w:rFonts w:ascii="標楷體" w:eastAsia="標楷體" w:hAnsi="標楷體"/>
          <w:spacing w:val="-16"/>
          <w:kern w:val="0"/>
          <w:sz w:val="28"/>
          <w:szCs w:val="28"/>
          <w:lang w:val="x-none" w:eastAsia="x-none"/>
        </w:rPr>
        <w:t>時</w:t>
      </w:r>
      <w:r w:rsidRPr="001B6E4D">
        <w:rPr>
          <w:rFonts w:ascii="標楷體" w:eastAsia="標楷體" w:hAnsi="標楷體"/>
          <w:spacing w:val="-16"/>
          <w:kern w:val="0"/>
          <w:sz w:val="28"/>
          <w:szCs w:val="28"/>
          <w:lang w:val="x-none"/>
        </w:rPr>
        <w:t>3</w:t>
      </w:r>
      <w:r w:rsidRPr="001B6E4D">
        <w:rPr>
          <w:rFonts w:ascii="標楷體" w:eastAsia="標楷體" w:hAnsi="標楷體" w:hint="eastAsia"/>
          <w:spacing w:val="-16"/>
          <w:kern w:val="0"/>
          <w:sz w:val="28"/>
          <w:szCs w:val="28"/>
          <w:lang w:val="x-none"/>
        </w:rPr>
        <w:t>分</w:t>
      </w:r>
      <w:r w:rsidRPr="001B6E4D">
        <w:rPr>
          <w:rFonts w:ascii="標楷體" w:eastAsia="標楷體" w:hAnsi="標楷體"/>
          <w:spacing w:val="-16"/>
          <w:kern w:val="0"/>
          <w:sz w:val="28"/>
          <w:szCs w:val="28"/>
          <w:lang w:val="x-none" w:eastAsia="x-none"/>
        </w:rPr>
        <w:t>至</w:t>
      </w:r>
      <w:r w:rsidRPr="001B6E4D">
        <w:rPr>
          <w:rFonts w:ascii="標楷體" w:eastAsia="標楷體" w:hAnsi="標楷體"/>
          <w:spacing w:val="-16"/>
          <w:kern w:val="0"/>
          <w:sz w:val="28"/>
          <w:szCs w:val="28"/>
          <w:lang w:val="x-none"/>
        </w:rPr>
        <w:t>11</w:t>
      </w:r>
      <w:r w:rsidRPr="001B6E4D">
        <w:rPr>
          <w:rFonts w:ascii="標楷體" w:eastAsia="標楷體" w:hAnsi="標楷體"/>
          <w:spacing w:val="-16"/>
          <w:kern w:val="0"/>
          <w:sz w:val="28"/>
          <w:szCs w:val="28"/>
          <w:lang w:val="x-none" w:eastAsia="x-none"/>
        </w:rPr>
        <w:t>時</w:t>
      </w:r>
      <w:r w:rsidRPr="001B6E4D">
        <w:rPr>
          <w:rFonts w:ascii="標楷體" w:eastAsia="標楷體" w:hAnsi="標楷體"/>
          <w:spacing w:val="-16"/>
          <w:kern w:val="0"/>
          <w:sz w:val="28"/>
          <w:szCs w:val="28"/>
          <w:lang w:val="x-none"/>
        </w:rPr>
        <w:t>44</w:t>
      </w:r>
      <w:r w:rsidRPr="001B6E4D">
        <w:rPr>
          <w:rFonts w:ascii="標楷體" w:eastAsia="標楷體" w:hAnsi="標楷體" w:hint="eastAsia"/>
          <w:spacing w:val="-16"/>
          <w:kern w:val="0"/>
          <w:sz w:val="28"/>
          <w:szCs w:val="28"/>
          <w:lang w:val="x-none" w:eastAsia="x-none"/>
        </w:rPr>
        <w:t>分</w:t>
      </w:r>
    </w:p>
    <w:p w14:paraId="38CA94C8" w14:textId="77777777" w:rsidR="005F5E6C" w:rsidRPr="001B6E4D" w:rsidRDefault="005F5E6C"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758489087"/>
          <w:lang w:val="x-none" w:eastAsia="x-none"/>
        </w:rPr>
        <w:t>地    點</w:t>
      </w:r>
      <w:r w:rsidRPr="001B6E4D">
        <w:rPr>
          <w:rFonts w:ascii="標楷體" w:eastAsia="標楷體" w:hAnsi="標楷體"/>
          <w:kern w:val="0"/>
          <w:sz w:val="28"/>
          <w:szCs w:val="28"/>
          <w:lang w:val="x-none" w:eastAsia="x-none"/>
        </w:rPr>
        <w:t>：本院紅樓302會議室</w:t>
      </w:r>
    </w:p>
    <w:p w14:paraId="4EBAA1A9" w14:textId="77777777" w:rsidR="005F5E6C" w:rsidRPr="001B6E4D" w:rsidRDefault="005F5E6C" w:rsidP="003D1018">
      <w:pPr>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翁曉玲</w:t>
      </w:r>
      <w:r w:rsidRPr="001B6E4D">
        <w:rPr>
          <w:rFonts w:ascii="標楷體" w:eastAsia="標楷體" w:hAnsi="標楷體"/>
          <w:sz w:val="28"/>
          <w:szCs w:val="28"/>
        </w:rPr>
        <w:tab/>
      </w:r>
      <w:r w:rsidRPr="001B6E4D">
        <w:rPr>
          <w:rFonts w:ascii="標楷體" w:eastAsia="標楷體" w:hAnsi="標楷體" w:hint="eastAsia"/>
          <w:sz w:val="28"/>
          <w:szCs w:val="28"/>
        </w:rPr>
        <w:t>張雅琳</w:t>
      </w:r>
      <w:r w:rsidRPr="001B6E4D">
        <w:rPr>
          <w:rFonts w:ascii="標楷體" w:eastAsia="標楷體" w:hAnsi="標楷體" w:hint="eastAsia"/>
          <w:sz w:val="28"/>
          <w:szCs w:val="28"/>
        </w:rPr>
        <w:tab/>
      </w:r>
    </w:p>
    <w:p w14:paraId="68D8A489" w14:textId="77777777" w:rsidR="005F5E6C" w:rsidRPr="001B6E4D" w:rsidRDefault="005F5E6C" w:rsidP="003D1018">
      <w:pPr>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莊瑞雄</w:t>
      </w:r>
      <w:r w:rsidRPr="001B6E4D">
        <w:rPr>
          <w:rFonts w:ascii="標楷體" w:eastAsia="標楷體" w:hAnsi="標楷體"/>
          <w:sz w:val="28"/>
          <w:szCs w:val="28"/>
        </w:rPr>
        <w:tab/>
      </w:r>
      <w:r w:rsidRPr="001B6E4D">
        <w:rPr>
          <w:rFonts w:ascii="標楷體" w:eastAsia="標楷體" w:hAnsi="標楷體" w:hint="eastAsia"/>
          <w:sz w:val="28"/>
          <w:szCs w:val="28"/>
        </w:rPr>
        <w:t>林倩綺</w:t>
      </w:r>
      <w:r w:rsidRPr="001B6E4D">
        <w:rPr>
          <w:rFonts w:ascii="標楷體" w:eastAsia="標楷體" w:hAnsi="標楷體" w:hint="eastAsia"/>
          <w:sz w:val="28"/>
          <w:szCs w:val="28"/>
        </w:rPr>
        <w:tab/>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蔡其昌</w:t>
      </w:r>
      <w:r w:rsidRPr="001B6E4D">
        <w:rPr>
          <w:rFonts w:ascii="標楷體" w:eastAsia="標楷體" w:hAnsi="標楷體" w:hint="eastAsia"/>
          <w:sz w:val="28"/>
          <w:szCs w:val="28"/>
        </w:rPr>
        <w:tab/>
        <w:t>傅崐萁</w:t>
      </w:r>
      <w:r w:rsidRPr="001B6E4D">
        <w:rPr>
          <w:rFonts w:ascii="標楷體" w:eastAsia="標楷體" w:hAnsi="標楷體" w:hint="eastAsia"/>
          <w:sz w:val="28"/>
          <w:szCs w:val="28"/>
        </w:rPr>
        <w:tab/>
        <w:t>柯建銘</w:t>
      </w:r>
    </w:p>
    <w:p w14:paraId="5A2D1B4C"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13</w:t>
      </w:r>
      <w:r w:rsidRPr="001B6E4D">
        <w:rPr>
          <w:rFonts w:ascii="標楷體" w:eastAsia="標楷體" w:hAnsi="標楷體"/>
          <w:sz w:val="28"/>
          <w:szCs w:val="28"/>
        </w:rPr>
        <w:t>人</w:t>
      </w:r>
    </w:p>
    <w:p w14:paraId="0F7D124C" w14:textId="77777777" w:rsidR="005F5E6C" w:rsidRPr="001B6E4D" w:rsidRDefault="005F5E6C" w:rsidP="003D1018">
      <w:pPr>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洪孟楷</w:t>
      </w:r>
      <w:r w:rsidRPr="001B6E4D">
        <w:rPr>
          <w:rFonts w:ascii="標楷體" w:eastAsia="標楷體" w:hAnsi="標楷體" w:hint="eastAsia"/>
          <w:sz w:val="28"/>
          <w:szCs w:val="28"/>
        </w:rPr>
        <w:tab/>
        <w:t>鍾佳濱</w:t>
      </w:r>
      <w:r w:rsidRPr="001B6E4D">
        <w:rPr>
          <w:rFonts w:ascii="標楷體" w:eastAsia="標楷體" w:hAnsi="標楷體"/>
          <w:sz w:val="28"/>
          <w:szCs w:val="28"/>
        </w:rPr>
        <w:tab/>
      </w:r>
      <w:r w:rsidRPr="001B6E4D">
        <w:rPr>
          <w:rFonts w:ascii="標楷體" w:eastAsia="標楷體" w:hAnsi="標楷體" w:hint="eastAsia"/>
          <w:sz w:val="28"/>
          <w:szCs w:val="28"/>
        </w:rPr>
        <w:t>楊瓊瓔</w:t>
      </w:r>
      <w:r w:rsidRPr="001B6E4D">
        <w:rPr>
          <w:rFonts w:ascii="標楷體" w:eastAsia="標楷體" w:hAnsi="標楷體"/>
          <w:sz w:val="28"/>
          <w:szCs w:val="28"/>
        </w:rPr>
        <w:tab/>
      </w:r>
      <w:r w:rsidRPr="001B6E4D">
        <w:rPr>
          <w:rFonts w:ascii="標楷體" w:eastAsia="標楷體" w:hAnsi="標楷體" w:hint="eastAsia"/>
          <w:sz w:val="28"/>
          <w:szCs w:val="28"/>
        </w:rPr>
        <w:t>鄭正鈐</w:t>
      </w:r>
      <w:r w:rsidRPr="001B6E4D">
        <w:rPr>
          <w:rFonts w:ascii="標楷體" w:eastAsia="標楷體" w:hAnsi="標楷體"/>
          <w:sz w:val="28"/>
          <w:szCs w:val="28"/>
        </w:rPr>
        <w:tab/>
      </w:r>
      <w:r w:rsidRPr="001B6E4D">
        <w:rPr>
          <w:rFonts w:ascii="標楷體" w:eastAsia="標楷體" w:hAnsi="標楷體" w:hint="eastAsia"/>
          <w:sz w:val="28"/>
          <w:szCs w:val="28"/>
        </w:rPr>
        <w:t>蔡易餘</w:t>
      </w:r>
      <w:r w:rsidRPr="001B6E4D">
        <w:rPr>
          <w:rFonts w:ascii="標楷體" w:eastAsia="標楷體" w:hAnsi="標楷體" w:hint="eastAsia"/>
          <w:sz w:val="28"/>
          <w:szCs w:val="28"/>
        </w:rPr>
        <w:tab/>
        <w:t>蘇清泉</w:t>
      </w:r>
      <w:r w:rsidRPr="001B6E4D">
        <w:rPr>
          <w:rFonts w:ascii="標楷體" w:eastAsia="標楷體" w:hAnsi="標楷體"/>
          <w:sz w:val="28"/>
          <w:szCs w:val="28"/>
        </w:rPr>
        <w:tab/>
      </w:r>
    </w:p>
    <w:p w14:paraId="4C339F5D"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6</w:t>
      </w:r>
      <w:r w:rsidRPr="001B6E4D">
        <w:rPr>
          <w:rFonts w:ascii="標楷體" w:eastAsia="標楷體" w:hAnsi="標楷體"/>
          <w:sz w:val="28"/>
          <w:szCs w:val="28"/>
        </w:rPr>
        <w:t>人</w:t>
      </w:r>
    </w:p>
    <w:p w14:paraId="73757DA3" w14:textId="77777777" w:rsidR="005F5E6C" w:rsidRPr="001B6E4D" w:rsidRDefault="005F5E6C" w:rsidP="003D1018">
      <w:pPr>
        <w:pStyle w:val="-9"/>
        <w:widowControl w:val="0"/>
        <w:overflowPunct w:val="0"/>
        <w:spacing w:line="360" w:lineRule="exact"/>
        <w:ind w:left="1361" w:hangingChars="486" w:hanging="1361"/>
        <w:rPr>
          <w:rFonts w:ascii="標楷體" w:hAnsi="標楷體"/>
          <w:sz w:val="28"/>
          <w:szCs w:val="28"/>
        </w:rPr>
      </w:pPr>
      <w:r w:rsidRPr="001B6E4D">
        <w:rPr>
          <w:rFonts w:ascii="標楷體" w:hAnsi="標楷體"/>
          <w:sz w:val="28"/>
          <w:szCs w:val="28"/>
        </w:rPr>
        <w:t>列席官員：</w:t>
      </w:r>
      <w:r w:rsidRPr="001B6E4D">
        <w:rPr>
          <w:rFonts w:ascii="標楷體" w:hAnsi="標楷體" w:hint="eastAsia"/>
          <w:sz w:val="28"/>
          <w:szCs w:val="28"/>
        </w:rPr>
        <w:t>監察院秘書長　黃適卓</w:t>
      </w:r>
    </w:p>
    <w:p w14:paraId="7D61C1A9" w14:textId="77777777" w:rsidR="005F5E6C" w:rsidRPr="001B6E4D" w:rsidRDefault="005F5E6C" w:rsidP="003D1018">
      <w:pPr>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2A4F5C85" w14:textId="77777777" w:rsidR="005F5E6C" w:rsidRPr="001B6E4D" w:rsidRDefault="005F5E6C"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419D11FD" w14:textId="77777777" w:rsidR="005F5E6C" w:rsidRPr="001B6E4D" w:rsidRDefault="005F5E6C"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41C7EF2D" w14:textId="77777777" w:rsidR="005F5E6C" w:rsidRPr="001B6E4D" w:rsidRDefault="005F5E6C"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2E2F6A24" w14:textId="77777777" w:rsidR="005F5E6C" w:rsidRPr="001B6E4D" w:rsidRDefault="005F5E6C"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6C07A3EB" w14:textId="77777777" w:rsidR="005F5E6C" w:rsidRPr="001B6E4D" w:rsidRDefault="005F5E6C"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7C285B17" w14:textId="77777777" w:rsidR="005F5E6C" w:rsidRPr="001B6E4D" w:rsidRDefault="005F5E6C"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333B70C6" w14:textId="77777777" w:rsidR="005F5E6C" w:rsidRPr="001B6E4D" w:rsidRDefault="005F5E6C" w:rsidP="003D1018">
      <w:pPr>
        <w:pStyle w:val="afffff6"/>
        <w:overflowPunct w:val="0"/>
        <w:spacing w:beforeLines="30" w:before="108" w:line="360" w:lineRule="exact"/>
        <w:ind w:leftChars="0" w:left="0" w:rightChars="0" w:right="0" w:firstLineChars="398" w:firstLine="1115"/>
        <w:jc w:val="both"/>
        <w:rPr>
          <w:rFonts w:ascii="標楷體" w:hAnsi="標楷體"/>
          <w:b/>
          <w:sz w:val="28"/>
          <w:szCs w:val="28"/>
        </w:rPr>
      </w:pPr>
      <w:r w:rsidRPr="001B6E4D">
        <w:rPr>
          <w:rFonts w:ascii="標楷體" w:hAnsi="標楷體"/>
          <w:b/>
          <w:sz w:val="28"/>
          <w:szCs w:val="28"/>
        </w:rPr>
        <w:t>報告事項</w:t>
      </w:r>
    </w:p>
    <w:p w14:paraId="0A6239AB" w14:textId="77777777" w:rsidR="005F5E6C" w:rsidRPr="001B6E4D" w:rsidRDefault="005F5E6C"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一、</w:t>
      </w:r>
      <w:r w:rsidRPr="001B6E4D">
        <w:rPr>
          <w:rFonts w:ascii="標楷體" w:eastAsia="標楷體" w:hAnsi="標楷體"/>
          <w:sz w:val="28"/>
          <w:szCs w:val="28"/>
        </w:rPr>
        <w:t>宣讀上次會議議事錄。</w:t>
      </w:r>
    </w:p>
    <w:p w14:paraId="754B1183" w14:textId="77777777" w:rsidR="005F5E6C" w:rsidRPr="001B6E4D" w:rsidRDefault="005F5E6C" w:rsidP="003D1018">
      <w:pPr>
        <w:pStyle w:val="afffff6"/>
        <w:overflowPunct w:val="0"/>
        <w:spacing w:line="360" w:lineRule="exact"/>
        <w:ind w:leftChars="0" w:left="840" w:rightChars="0" w:right="0" w:hanging="840"/>
        <w:jc w:val="both"/>
        <w:rPr>
          <w:rFonts w:ascii="標楷體" w:hAnsi="標楷體"/>
          <w:sz w:val="28"/>
          <w:szCs w:val="28"/>
        </w:rPr>
      </w:pPr>
      <w:r w:rsidRPr="001B6E4D">
        <w:rPr>
          <w:rFonts w:ascii="標楷體" w:hAnsi="標楷體"/>
          <w:sz w:val="28"/>
          <w:szCs w:val="28"/>
        </w:rPr>
        <w:t>決定：確定。</w:t>
      </w:r>
    </w:p>
    <w:p w14:paraId="5BEBB7DD" w14:textId="77777777" w:rsidR="005F5E6C" w:rsidRPr="001B6E4D" w:rsidRDefault="005F5E6C" w:rsidP="003D1018">
      <w:pPr>
        <w:pStyle w:val="afffff6"/>
        <w:overflowPunct w:val="0"/>
        <w:spacing w:line="360" w:lineRule="exact"/>
        <w:ind w:leftChars="-1" w:left="558" w:rightChars="0" w:right="0" w:hangingChars="200" w:hanging="560"/>
        <w:jc w:val="both"/>
        <w:rPr>
          <w:rFonts w:ascii="標楷體" w:hAnsi="標楷體"/>
          <w:sz w:val="28"/>
          <w:szCs w:val="28"/>
        </w:rPr>
      </w:pPr>
      <w:r w:rsidRPr="001B6E4D">
        <w:rPr>
          <w:rFonts w:ascii="標楷體" w:hAnsi="標楷體" w:hint="eastAsia"/>
          <w:sz w:val="28"/>
          <w:szCs w:val="28"/>
        </w:rPr>
        <w:t>二、邀請監察院秘書長列席說明立法計畫，並備質詢。</w:t>
      </w:r>
    </w:p>
    <w:p w14:paraId="7CF97B10" w14:textId="77777777" w:rsidR="005F5E6C" w:rsidRPr="001B6E4D" w:rsidRDefault="005F5E6C"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陳昭姿、吳宗憲、沈發惠、林沛祥、</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雲、莊瑞雄、張雅琳、翁曉玲、林倩綺、許宇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提出質詢</w:t>
      </w:r>
      <w:r w:rsidRPr="001B6E4D">
        <w:rPr>
          <w:rFonts w:ascii="標楷體" w:eastAsia="標楷體" w:hAnsi="標楷體" w:hint="eastAsia"/>
          <w:sz w:val="28"/>
          <w:szCs w:val="28"/>
        </w:rPr>
        <w:t>；委員蔡其昌</w:t>
      </w:r>
      <w:r w:rsidRPr="001B6E4D">
        <w:rPr>
          <w:rFonts w:ascii="標楷體" w:eastAsia="標楷體" w:hAnsi="標楷體"/>
          <w:sz w:val="28"/>
          <w:szCs w:val="28"/>
        </w:rPr>
        <w:t>提出</w:t>
      </w:r>
      <w:r w:rsidRPr="001B6E4D">
        <w:rPr>
          <w:rFonts w:ascii="標楷體" w:eastAsia="標楷體" w:hAnsi="標楷體" w:hint="eastAsia"/>
          <w:sz w:val="28"/>
          <w:szCs w:val="28"/>
        </w:rPr>
        <w:t>書面</w:t>
      </w:r>
      <w:r w:rsidRPr="001B6E4D">
        <w:rPr>
          <w:rFonts w:ascii="標楷體" w:eastAsia="標楷體" w:hAnsi="標楷體"/>
          <w:sz w:val="28"/>
          <w:szCs w:val="28"/>
        </w:rPr>
        <w:t>質詢</w:t>
      </w:r>
      <w:r w:rsidRPr="001B6E4D">
        <w:rPr>
          <w:rFonts w:ascii="標楷體" w:eastAsia="標楷體" w:hAnsi="標楷體" w:hint="eastAsia"/>
          <w:sz w:val="28"/>
          <w:szCs w:val="28"/>
        </w:rPr>
        <w:t>。</w:t>
      </w:r>
      <w:r w:rsidRPr="001B6E4D">
        <w:rPr>
          <w:rFonts w:ascii="標楷體" w:eastAsia="標楷體" w:hAnsi="標楷體"/>
          <w:sz w:val="28"/>
          <w:szCs w:val="28"/>
        </w:rPr>
        <w:t>）</w:t>
      </w:r>
    </w:p>
    <w:p w14:paraId="09F31698" w14:textId="77777777" w:rsidR="005F5E6C" w:rsidRPr="001B6E4D" w:rsidRDefault="005F5E6C" w:rsidP="003D1018">
      <w:pPr>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定</w:t>
      </w:r>
      <w:r w:rsidRPr="001B6E4D">
        <w:rPr>
          <w:rFonts w:ascii="標楷體" w:eastAsia="標楷體" w:hAnsi="標楷體"/>
          <w:bCs/>
          <w:sz w:val="28"/>
          <w:szCs w:val="28"/>
        </w:rPr>
        <w:t>：</w:t>
      </w:r>
    </w:p>
    <w:p w14:paraId="4DB66969" w14:textId="77777777" w:rsidR="005F5E6C" w:rsidRPr="001B6E4D" w:rsidRDefault="005F5E6C"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一、報告及</w:t>
      </w:r>
      <w:proofErr w:type="gramStart"/>
      <w:r w:rsidRPr="001B6E4D">
        <w:rPr>
          <w:rFonts w:ascii="標楷體" w:eastAsia="標楷體" w:hAnsi="標楷體"/>
          <w:sz w:val="28"/>
          <w:szCs w:val="28"/>
        </w:rPr>
        <w:t>詢</w:t>
      </w:r>
      <w:proofErr w:type="gramEnd"/>
      <w:r w:rsidRPr="001B6E4D">
        <w:rPr>
          <w:rFonts w:ascii="標楷體" w:eastAsia="標楷體" w:hAnsi="標楷體"/>
          <w:sz w:val="28"/>
          <w:szCs w:val="28"/>
        </w:rPr>
        <w:t>答完畢。</w:t>
      </w:r>
    </w:p>
    <w:p w14:paraId="69F6B0B7" w14:textId="77777777" w:rsidR="005F5E6C" w:rsidRPr="001B6E4D" w:rsidRDefault="005F5E6C"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37E658F0" w14:textId="77777777" w:rsidR="005F5E6C" w:rsidRPr="001B6E4D" w:rsidRDefault="005F5E6C" w:rsidP="003D1018">
      <w:pPr>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1AEEBDB7" w14:textId="77777777" w:rsidR="005F5E6C" w:rsidRPr="001B6E4D" w:rsidRDefault="005F5E6C" w:rsidP="003D1018">
      <w:pPr>
        <w:overflowPunct w:val="0"/>
        <w:spacing w:line="400" w:lineRule="exact"/>
        <w:ind w:left="619" w:hangingChars="221" w:hanging="619"/>
        <w:contextualSpacing/>
        <w:jc w:val="both"/>
        <w:rPr>
          <w:rFonts w:ascii="標楷體" w:eastAsia="標楷體" w:hAnsi="標楷體"/>
          <w:sz w:val="28"/>
          <w:szCs w:val="28"/>
        </w:rPr>
      </w:pPr>
    </w:p>
    <w:p w14:paraId="78D10E69" w14:textId="77777777" w:rsidR="00114C52" w:rsidRPr="001B6E4D" w:rsidRDefault="00114C52"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53F0D6BE" w14:textId="6FCBCEFF" w:rsidR="005F5E6C" w:rsidRPr="001B6E4D" w:rsidRDefault="005F5E6C"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53" w:name="_Toc240446592"/>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8</w:t>
      </w:r>
      <w:r w:rsidRPr="001B6E4D">
        <w:rPr>
          <w:rFonts w:ascii="標楷體" w:eastAsia="標楷體" w:hAnsi="標楷體"/>
          <w:b/>
          <w:spacing w:val="-2"/>
          <w:sz w:val="28"/>
          <w:szCs w:val="28"/>
        </w:rPr>
        <w:t>次全體委員會議議事錄</w:t>
      </w:r>
      <w:bookmarkEnd w:id="453"/>
    </w:p>
    <w:p w14:paraId="596B18E1" w14:textId="77777777" w:rsidR="005F5E6C" w:rsidRPr="001B6E4D" w:rsidRDefault="005F5E6C" w:rsidP="003D1018">
      <w:pPr>
        <w:pStyle w:val="-9"/>
        <w:overflowPunct w:val="0"/>
        <w:spacing w:line="360" w:lineRule="exact"/>
        <w:ind w:leftChars="1" w:left="1416" w:hangingChars="505" w:hanging="1414"/>
        <w:jc w:val="left"/>
        <w:rPr>
          <w:rFonts w:ascii="標楷體" w:hAnsi="標楷體"/>
          <w:spacing w:val="-10"/>
          <w:sz w:val="28"/>
          <w:szCs w:val="28"/>
        </w:rPr>
      </w:pPr>
      <w:r w:rsidRPr="001B6E4D">
        <w:rPr>
          <w:rFonts w:ascii="標楷體" w:hAnsi="標楷體"/>
          <w:kern w:val="0"/>
          <w:sz w:val="28"/>
          <w:szCs w:val="28"/>
          <w:fitText w:val="1120" w:id="972279552"/>
        </w:rPr>
        <w:t>時    間</w:t>
      </w:r>
      <w:r w:rsidRPr="001B6E4D">
        <w:rPr>
          <w:rFonts w:ascii="標楷體" w:hAnsi="標楷體"/>
          <w:spacing w:val="-10"/>
          <w:sz w:val="28"/>
          <w:szCs w:val="28"/>
        </w:rPr>
        <w:t>：</w:t>
      </w:r>
      <w:r w:rsidRPr="001B6E4D">
        <w:rPr>
          <w:rFonts w:ascii="標楷體" w:hAnsi="標楷體"/>
          <w:spacing w:val="-4"/>
          <w:sz w:val="28"/>
          <w:szCs w:val="28"/>
        </w:rPr>
        <w:t>中華民國1</w:t>
      </w:r>
      <w:r w:rsidRPr="001B6E4D">
        <w:rPr>
          <w:rFonts w:ascii="標楷體" w:hAnsi="標楷體" w:hint="eastAsia"/>
          <w:spacing w:val="-4"/>
          <w:sz w:val="28"/>
          <w:szCs w:val="28"/>
        </w:rPr>
        <w:t>1</w:t>
      </w:r>
      <w:r w:rsidRPr="001B6E4D">
        <w:rPr>
          <w:rFonts w:ascii="標楷體" w:hAnsi="標楷體"/>
          <w:spacing w:val="-4"/>
          <w:sz w:val="28"/>
          <w:szCs w:val="28"/>
        </w:rPr>
        <w:t>5年4月</w:t>
      </w:r>
      <w:r w:rsidRPr="001B6E4D">
        <w:rPr>
          <w:rFonts w:ascii="標楷體" w:hAnsi="標楷體" w:hint="eastAsia"/>
          <w:spacing w:val="-4"/>
          <w:sz w:val="28"/>
          <w:szCs w:val="28"/>
        </w:rPr>
        <w:t>23</w:t>
      </w:r>
      <w:r w:rsidRPr="001B6E4D">
        <w:rPr>
          <w:rFonts w:ascii="標楷體" w:hAnsi="標楷體"/>
          <w:spacing w:val="-4"/>
          <w:sz w:val="28"/>
          <w:szCs w:val="28"/>
        </w:rPr>
        <w:t>日（星期</w:t>
      </w:r>
      <w:r w:rsidRPr="001B6E4D">
        <w:rPr>
          <w:rFonts w:ascii="標楷體" w:hAnsi="標楷體" w:hint="eastAsia"/>
          <w:spacing w:val="-4"/>
          <w:sz w:val="28"/>
          <w:szCs w:val="28"/>
        </w:rPr>
        <w:t>四</w:t>
      </w:r>
      <w:r w:rsidRPr="001B6E4D">
        <w:rPr>
          <w:rFonts w:ascii="標楷體" w:hAnsi="標楷體"/>
          <w:spacing w:val="-4"/>
          <w:sz w:val="28"/>
          <w:szCs w:val="28"/>
        </w:rPr>
        <w:t>）上午9時至</w:t>
      </w:r>
      <w:r w:rsidRPr="001B6E4D">
        <w:rPr>
          <w:rFonts w:ascii="標楷體" w:hAnsi="標楷體" w:hint="eastAsia"/>
          <w:spacing w:val="-4"/>
          <w:sz w:val="28"/>
          <w:szCs w:val="28"/>
        </w:rPr>
        <w:t>1</w:t>
      </w:r>
      <w:r w:rsidRPr="001B6E4D">
        <w:rPr>
          <w:rFonts w:ascii="標楷體" w:hAnsi="標楷體"/>
          <w:spacing w:val="-4"/>
          <w:sz w:val="28"/>
          <w:szCs w:val="28"/>
        </w:rPr>
        <w:t>1時2</w:t>
      </w:r>
      <w:r w:rsidRPr="001B6E4D">
        <w:rPr>
          <w:rFonts w:ascii="標楷體" w:hAnsi="標楷體" w:hint="eastAsia"/>
          <w:spacing w:val="-4"/>
          <w:sz w:val="28"/>
          <w:szCs w:val="28"/>
        </w:rPr>
        <w:t>分</w:t>
      </w:r>
    </w:p>
    <w:p w14:paraId="7CA6521E" w14:textId="77777777" w:rsidR="005F5E6C" w:rsidRPr="001B6E4D" w:rsidRDefault="005F5E6C" w:rsidP="003D1018">
      <w:pPr>
        <w:pStyle w:val="-9"/>
        <w:overflowPunct w:val="0"/>
        <w:spacing w:line="360" w:lineRule="exact"/>
        <w:ind w:left="1364" w:hanging="1364"/>
        <w:rPr>
          <w:rFonts w:ascii="標楷體" w:hAnsi="標楷體"/>
          <w:sz w:val="28"/>
          <w:szCs w:val="28"/>
        </w:rPr>
      </w:pPr>
      <w:r w:rsidRPr="001B6E4D">
        <w:rPr>
          <w:rFonts w:ascii="標楷體" w:hAnsi="標楷體"/>
          <w:kern w:val="0"/>
          <w:sz w:val="28"/>
          <w:szCs w:val="28"/>
          <w:fitText w:val="1120" w:id="972279808"/>
        </w:rPr>
        <w:t>地    點</w:t>
      </w:r>
      <w:r w:rsidRPr="001B6E4D">
        <w:rPr>
          <w:rFonts w:ascii="標楷體" w:hAnsi="標楷體"/>
          <w:sz w:val="28"/>
          <w:szCs w:val="28"/>
        </w:rPr>
        <w:t>：本院紅樓302會議室</w:t>
      </w:r>
    </w:p>
    <w:p w14:paraId="13A935B3" w14:textId="77777777" w:rsidR="005F5E6C" w:rsidRPr="001B6E4D" w:rsidRDefault="005F5E6C" w:rsidP="003D1018">
      <w:pPr>
        <w:overflowPunct w:val="0"/>
        <w:snapToGrid w:val="0"/>
        <w:ind w:left="572" w:hanging="561"/>
        <w:rPr>
          <w:rFonts w:ascii="標楷體" w:eastAsia="標楷體" w:hAnsi="標楷體"/>
          <w:kern w:val="0"/>
          <w:sz w:val="28"/>
          <w:szCs w:val="28"/>
        </w:rPr>
      </w:pPr>
      <w:r w:rsidRPr="001B6E4D">
        <w:rPr>
          <w:rFonts w:ascii="標楷體" w:eastAsia="標楷體" w:hAnsi="標楷體"/>
          <w:kern w:val="0"/>
          <w:sz w:val="28"/>
          <w:szCs w:val="28"/>
        </w:rPr>
        <w:t>出席委員：</w:t>
      </w:r>
      <w:r w:rsidRPr="001B6E4D">
        <w:rPr>
          <w:rFonts w:ascii="標楷體" w:eastAsia="標楷體" w:hAnsi="標楷體" w:hint="eastAsia"/>
          <w:kern w:val="0"/>
          <w:sz w:val="28"/>
          <w:szCs w:val="28"/>
        </w:rPr>
        <w:t>陳昭姿</w:t>
      </w:r>
      <w:r w:rsidRPr="001B6E4D">
        <w:rPr>
          <w:rFonts w:ascii="標楷體" w:eastAsia="標楷體" w:hAnsi="標楷體"/>
          <w:kern w:val="0"/>
          <w:sz w:val="28"/>
          <w:szCs w:val="28"/>
        </w:rPr>
        <w:tab/>
      </w:r>
      <w:r w:rsidRPr="001B6E4D">
        <w:rPr>
          <w:rFonts w:ascii="標楷體" w:eastAsia="標楷體" w:hAnsi="標楷體" w:hint="eastAsia"/>
          <w:sz w:val="28"/>
          <w:szCs w:val="28"/>
        </w:rPr>
        <w:t>林倩綺</w:t>
      </w:r>
      <w:r w:rsidRPr="001B6E4D">
        <w:rPr>
          <w:rFonts w:ascii="標楷體" w:eastAsia="標楷體" w:hAnsi="標楷體" w:hint="eastAsia"/>
          <w:kern w:val="0"/>
          <w:sz w:val="28"/>
          <w:szCs w:val="28"/>
        </w:rPr>
        <w:tab/>
      </w:r>
      <w:r w:rsidRPr="001B6E4D">
        <w:rPr>
          <w:rFonts w:ascii="標楷體" w:eastAsia="標楷體" w:hAnsi="標楷體" w:hint="eastAsia"/>
          <w:sz w:val="28"/>
          <w:szCs w:val="28"/>
        </w:rPr>
        <w:t>吳宗憲</w:t>
      </w:r>
      <w:r w:rsidRPr="001B6E4D">
        <w:rPr>
          <w:rFonts w:ascii="標楷體" w:eastAsia="標楷體" w:hAnsi="標楷體" w:hint="eastAsia"/>
          <w:kern w:val="0"/>
          <w:sz w:val="28"/>
          <w:szCs w:val="28"/>
        </w:rPr>
        <w:tab/>
        <w:t>張雅琳</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沈發惠</w:t>
      </w:r>
      <w:r w:rsidRPr="001B6E4D">
        <w:rPr>
          <w:rFonts w:ascii="標楷體" w:eastAsia="標楷體" w:hAnsi="標楷體" w:hint="eastAsia"/>
          <w:kern w:val="0"/>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kern w:val="0"/>
          <w:sz w:val="28"/>
          <w:szCs w:val="28"/>
        </w:rPr>
        <w:t>林沛祥</w:t>
      </w:r>
    </w:p>
    <w:p w14:paraId="5D7DBD9C" w14:textId="0722C311" w:rsidR="005F5E6C" w:rsidRPr="001B6E4D" w:rsidRDefault="005F5E6C" w:rsidP="003D1018">
      <w:pPr>
        <w:overflowPunct w:val="0"/>
        <w:snapToGrid w:val="0"/>
        <w:ind w:firstLineChars="500" w:firstLine="1400"/>
        <w:rPr>
          <w:rFonts w:ascii="標楷體" w:eastAsia="標楷體" w:hAnsi="標楷體"/>
          <w:sz w:val="28"/>
          <w:szCs w:val="28"/>
        </w:rPr>
      </w:pPr>
      <w:r w:rsidRPr="001B6E4D">
        <w:rPr>
          <w:rFonts w:ascii="標楷體" w:eastAsia="標楷體" w:hAnsi="標楷體" w:hint="eastAsia"/>
          <w:kern w:val="0"/>
          <w:sz w:val="28"/>
          <w:szCs w:val="28"/>
        </w:rPr>
        <w:t>翁曉玲</w:t>
      </w:r>
      <w:r w:rsidRPr="001B6E4D">
        <w:rPr>
          <w:rFonts w:ascii="標楷體" w:eastAsia="標楷體" w:hAnsi="標楷體" w:hint="eastAsia"/>
          <w:kern w:val="0"/>
          <w:sz w:val="28"/>
          <w:szCs w:val="28"/>
        </w:rPr>
        <w:tab/>
        <w:t>莊瑞雄</w:t>
      </w:r>
      <w:r w:rsidRPr="001B6E4D">
        <w:rPr>
          <w:rFonts w:ascii="標楷體" w:eastAsia="標楷體" w:hAnsi="標楷體" w:hint="eastAsia"/>
          <w:sz w:val="28"/>
          <w:szCs w:val="28"/>
        </w:rPr>
        <w:tab/>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ab/>
      </w:r>
      <w:r w:rsidRPr="001B6E4D">
        <w:rPr>
          <w:rFonts w:ascii="標楷體" w:eastAsia="標楷體" w:hAnsi="標楷體" w:hint="eastAsia"/>
          <w:sz w:val="28"/>
          <w:szCs w:val="28"/>
        </w:rPr>
        <w:t>蔡其昌</w:t>
      </w:r>
      <w:r w:rsidRPr="001B6E4D">
        <w:rPr>
          <w:rFonts w:ascii="標楷體" w:eastAsia="標楷體" w:hAnsi="標楷體" w:hint="eastAsia"/>
          <w:sz w:val="28"/>
          <w:szCs w:val="28"/>
        </w:rPr>
        <w:tab/>
      </w:r>
    </w:p>
    <w:p w14:paraId="3BE0029B" w14:textId="77777777" w:rsidR="005F5E6C" w:rsidRPr="001B6E4D" w:rsidRDefault="005F5E6C" w:rsidP="003D1018">
      <w:pPr>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11</w:t>
      </w:r>
      <w:r w:rsidRPr="001B6E4D">
        <w:rPr>
          <w:rFonts w:ascii="標楷體" w:eastAsia="標楷體" w:hAnsi="標楷體"/>
          <w:sz w:val="28"/>
          <w:szCs w:val="28"/>
        </w:rPr>
        <w:t>人</w:t>
      </w:r>
    </w:p>
    <w:p w14:paraId="1BD0D498" w14:textId="77777777" w:rsidR="005F5E6C" w:rsidRPr="001B6E4D" w:rsidRDefault="005F5E6C" w:rsidP="003D1018">
      <w:pPr>
        <w:overflowPunct w:val="0"/>
        <w:snapToGrid w:val="0"/>
        <w:ind w:left="572" w:hanging="561"/>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謝龍介</w:t>
      </w:r>
      <w:r w:rsidRPr="001B6E4D">
        <w:rPr>
          <w:rFonts w:ascii="標楷體" w:eastAsia="標楷體" w:hAnsi="標楷體"/>
          <w:sz w:val="28"/>
          <w:szCs w:val="28"/>
        </w:rPr>
        <w:tab/>
      </w:r>
      <w:r w:rsidRPr="001B6E4D">
        <w:rPr>
          <w:rFonts w:ascii="標楷體" w:eastAsia="標楷體" w:hAnsi="標楷體" w:hint="eastAsia"/>
          <w:sz w:val="28"/>
          <w:szCs w:val="28"/>
        </w:rPr>
        <w:t>鍾佳濱</w:t>
      </w:r>
      <w:r w:rsidRPr="001B6E4D">
        <w:rPr>
          <w:rFonts w:ascii="標楷體" w:eastAsia="標楷體" w:hAnsi="標楷體" w:hint="eastAsia"/>
          <w:color w:val="000000"/>
          <w:sz w:val="28"/>
          <w:szCs w:val="28"/>
        </w:rPr>
        <w:tab/>
        <w:t>鄭正鈐</w:t>
      </w:r>
      <w:r w:rsidRPr="001B6E4D">
        <w:rPr>
          <w:rFonts w:ascii="標楷體" w:eastAsia="標楷體" w:hAnsi="標楷體" w:hint="eastAsia"/>
          <w:sz w:val="28"/>
          <w:szCs w:val="28"/>
        </w:rPr>
        <w:tab/>
        <w:t>賴士葆</w:t>
      </w:r>
      <w:r w:rsidRPr="001B6E4D">
        <w:rPr>
          <w:rFonts w:ascii="標楷體" w:eastAsia="標楷體" w:hAnsi="標楷體"/>
          <w:spacing w:val="-30"/>
          <w:sz w:val="28"/>
          <w:szCs w:val="28"/>
        </w:rPr>
        <w:tab/>
      </w:r>
      <w:r w:rsidRPr="001B6E4D">
        <w:rPr>
          <w:rFonts w:ascii="標楷體" w:eastAsia="標楷體" w:hAnsi="標楷體" w:hint="eastAsia"/>
          <w:sz w:val="28"/>
          <w:szCs w:val="28"/>
        </w:rPr>
        <w:t>楊瓊瓔</w:t>
      </w:r>
      <w:r w:rsidRPr="001B6E4D">
        <w:rPr>
          <w:rFonts w:ascii="標楷體" w:eastAsia="標楷體" w:hAnsi="標楷體" w:hint="eastAsia"/>
          <w:sz w:val="28"/>
          <w:szCs w:val="28"/>
        </w:rPr>
        <w:tab/>
      </w:r>
      <w:r w:rsidRPr="001B6E4D">
        <w:rPr>
          <w:rFonts w:ascii="標楷體" w:eastAsia="標楷體" w:hAnsi="標楷體" w:hint="eastAsia"/>
          <w:spacing w:val="-26"/>
          <w:sz w:val="28"/>
          <w:szCs w:val="28"/>
        </w:rPr>
        <w:t>鄭天財</w:t>
      </w:r>
      <w:proofErr w:type="spellStart"/>
      <w:r w:rsidRPr="001B6E4D">
        <w:rPr>
          <w:rFonts w:ascii="標楷體" w:eastAsia="標楷體" w:hAnsi="標楷體" w:hint="eastAsia"/>
          <w:spacing w:val="-26"/>
          <w:sz w:val="28"/>
          <w:szCs w:val="28"/>
        </w:rPr>
        <w:t>Sra</w:t>
      </w:r>
      <w:proofErr w:type="spellEnd"/>
      <w:r w:rsidRPr="001B6E4D">
        <w:rPr>
          <w:rFonts w:ascii="標楷體" w:eastAsia="標楷體" w:hAnsi="標楷體" w:hint="eastAsia"/>
          <w:spacing w:val="-26"/>
          <w:sz w:val="28"/>
          <w:szCs w:val="28"/>
        </w:rPr>
        <w:t xml:space="preserve"> </w:t>
      </w:r>
      <w:proofErr w:type="spellStart"/>
      <w:r w:rsidRPr="001B6E4D">
        <w:rPr>
          <w:rFonts w:ascii="標楷體" w:eastAsia="標楷體" w:hAnsi="標楷體" w:hint="eastAsia"/>
          <w:spacing w:val="-26"/>
          <w:sz w:val="28"/>
          <w:szCs w:val="28"/>
        </w:rPr>
        <w:t>Kacaw</w:t>
      </w:r>
      <w:proofErr w:type="spellEnd"/>
    </w:p>
    <w:p w14:paraId="35788E5B" w14:textId="77777777" w:rsidR="005F5E6C" w:rsidRPr="001B6E4D" w:rsidRDefault="005F5E6C" w:rsidP="003D1018">
      <w:pPr>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許忠信</w:t>
      </w:r>
      <w:r w:rsidRPr="001B6E4D">
        <w:rPr>
          <w:rFonts w:ascii="標楷體" w:eastAsia="標楷體" w:hAnsi="標楷體"/>
          <w:sz w:val="28"/>
          <w:szCs w:val="28"/>
        </w:rPr>
        <w:tab/>
      </w:r>
      <w:r w:rsidRPr="001B6E4D">
        <w:rPr>
          <w:rFonts w:ascii="標楷體" w:eastAsia="標楷體" w:hAnsi="標楷體" w:hint="eastAsia"/>
          <w:sz w:val="28"/>
          <w:szCs w:val="28"/>
        </w:rPr>
        <w:t>羅明才</w:t>
      </w:r>
      <w:r w:rsidRPr="001B6E4D">
        <w:rPr>
          <w:rFonts w:ascii="標楷體" w:eastAsia="標楷體" w:hAnsi="標楷體"/>
          <w:sz w:val="28"/>
          <w:szCs w:val="28"/>
        </w:rPr>
        <w:tab/>
      </w:r>
      <w:r w:rsidRPr="001B6E4D">
        <w:rPr>
          <w:rFonts w:ascii="標楷體" w:eastAsia="標楷體" w:hAnsi="標楷體" w:hint="eastAsia"/>
          <w:sz w:val="28"/>
          <w:szCs w:val="28"/>
        </w:rPr>
        <w:t>葉元之</w:t>
      </w:r>
      <w:r w:rsidRPr="001B6E4D">
        <w:rPr>
          <w:rFonts w:ascii="標楷體" w:eastAsia="標楷體" w:hAnsi="標楷體"/>
          <w:sz w:val="28"/>
          <w:szCs w:val="28"/>
        </w:rPr>
        <w:tab/>
      </w:r>
      <w:r w:rsidRPr="001B6E4D">
        <w:rPr>
          <w:rFonts w:ascii="標楷體" w:eastAsia="標楷體" w:hAnsi="標楷體" w:hint="eastAsia"/>
          <w:sz w:val="28"/>
          <w:szCs w:val="28"/>
        </w:rPr>
        <w:t>邱鎮軍</w:t>
      </w:r>
      <w:r w:rsidRPr="001B6E4D">
        <w:rPr>
          <w:rFonts w:ascii="標楷體" w:eastAsia="標楷體" w:hAnsi="標楷體"/>
          <w:sz w:val="28"/>
          <w:szCs w:val="28"/>
        </w:rPr>
        <w:tab/>
      </w:r>
      <w:r w:rsidRPr="001B6E4D">
        <w:rPr>
          <w:rFonts w:ascii="標楷體" w:eastAsia="標楷體" w:hAnsi="標楷體" w:hint="eastAsia"/>
          <w:sz w:val="28"/>
          <w:szCs w:val="28"/>
        </w:rPr>
        <w:t>張嘉郡</w:t>
      </w:r>
    </w:p>
    <w:p w14:paraId="6CFA094E" w14:textId="77777777" w:rsidR="005F5E6C" w:rsidRPr="001B6E4D" w:rsidRDefault="005F5E6C" w:rsidP="003D1018">
      <w:pPr>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11</w:t>
      </w:r>
      <w:r w:rsidRPr="001B6E4D">
        <w:rPr>
          <w:rFonts w:ascii="標楷體" w:eastAsia="標楷體" w:hAnsi="標楷體"/>
          <w:sz w:val="28"/>
          <w:szCs w:val="28"/>
        </w:rPr>
        <w:t>人</w:t>
      </w:r>
    </w:p>
    <w:p w14:paraId="4F43E3C8" w14:textId="77777777" w:rsidR="005F5E6C" w:rsidRPr="001B6E4D" w:rsidRDefault="005F5E6C" w:rsidP="003D1018">
      <w:pPr>
        <w:pStyle w:val="-9"/>
        <w:widowControl w:val="0"/>
        <w:overflowPunct w:val="0"/>
        <w:spacing w:line="360" w:lineRule="exact"/>
        <w:ind w:left="1361" w:hangingChars="486" w:hanging="1361"/>
        <w:rPr>
          <w:rFonts w:ascii="標楷體" w:hAnsi="標楷體"/>
          <w:sz w:val="28"/>
          <w:szCs w:val="28"/>
        </w:rPr>
      </w:pPr>
      <w:r w:rsidRPr="001B6E4D">
        <w:rPr>
          <w:rFonts w:ascii="標楷體" w:hAnsi="標楷體"/>
          <w:sz w:val="28"/>
          <w:szCs w:val="28"/>
        </w:rPr>
        <w:t>列席官員：</w:t>
      </w:r>
      <w:r w:rsidRPr="001B6E4D">
        <w:rPr>
          <w:rFonts w:ascii="標楷體" w:hAnsi="標楷體" w:hint="eastAsia"/>
          <w:sz w:val="28"/>
          <w:szCs w:val="28"/>
        </w:rPr>
        <w:t>法務部部長　鄭銘謙</w:t>
      </w:r>
    </w:p>
    <w:p w14:paraId="7A863F9A"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司法院少年及家事廳廳長　鍾宗霖(副秘書長請假)</w:t>
      </w:r>
      <w:r w:rsidRPr="001B6E4D">
        <w:rPr>
          <w:rFonts w:ascii="標楷體" w:hAnsi="標楷體"/>
          <w:sz w:val="28"/>
          <w:szCs w:val="28"/>
        </w:rPr>
        <w:t xml:space="preserve"> </w:t>
      </w:r>
    </w:p>
    <w:p w14:paraId="0B42EFE2"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銓敘部退撫司簡任視察　梁傑芳</w:t>
      </w:r>
    </w:p>
    <w:p w14:paraId="21F96B2C"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內政部地政司專門委員　張翠恩</w:t>
      </w:r>
    </w:p>
    <w:p w14:paraId="7891480E"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財政部法制處專門委員　謝智玲</w:t>
      </w:r>
    </w:p>
    <w:p w14:paraId="78862F74"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 xml:space="preserve">      賦稅署財產稅組專門委員　蔡孟</w:t>
      </w:r>
      <w:proofErr w:type="gramStart"/>
      <w:r w:rsidRPr="001B6E4D">
        <w:rPr>
          <w:rFonts w:ascii="標楷體" w:hAnsi="標楷體" w:hint="eastAsia"/>
          <w:sz w:val="28"/>
          <w:szCs w:val="28"/>
        </w:rPr>
        <w:t>洙</w:t>
      </w:r>
      <w:proofErr w:type="gramEnd"/>
    </w:p>
    <w:p w14:paraId="4ED76469"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勞動部勞動福祉退休司專門委員　邱倩莉</w:t>
      </w:r>
    </w:p>
    <w:p w14:paraId="3833DFF2"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衛生福利部社會及家庭署副署長　張美美</w:t>
      </w:r>
    </w:p>
    <w:p w14:paraId="39230B8D" w14:textId="77777777" w:rsidR="005F5E6C" w:rsidRPr="001B6E4D" w:rsidRDefault="005F5E6C" w:rsidP="003D1018">
      <w:pPr>
        <w:pStyle w:val="-9"/>
        <w:widowControl w:val="0"/>
        <w:overflowPunct w:val="0"/>
        <w:spacing w:line="360" w:lineRule="exact"/>
        <w:ind w:leftChars="567" w:left="1361" w:firstLineChars="13" w:firstLine="36"/>
        <w:rPr>
          <w:rFonts w:ascii="標楷體" w:hAnsi="標楷體"/>
          <w:sz w:val="28"/>
          <w:szCs w:val="28"/>
        </w:rPr>
      </w:pPr>
      <w:r w:rsidRPr="001B6E4D">
        <w:rPr>
          <w:rFonts w:ascii="標楷體" w:hAnsi="標楷體" w:hint="eastAsia"/>
          <w:sz w:val="28"/>
          <w:szCs w:val="28"/>
        </w:rPr>
        <w:t>行政院性別平等處綜合規劃科參議　郭勝峯</w:t>
      </w:r>
    </w:p>
    <w:p w14:paraId="107EE263" w14:textId="77777777" w:rsidR="005F5E6C" w:rsidRPr="001B6E4D" w:rsidRDefault="005F5E6C" w:rsidP="003D1018">
      <w:pPr>
        <w:overflowPunct w:val="0"/>
        <w:snapToGrid w:val="0"/>
        <w:jc w:val="both"/>
        <w:rPr>
          <w:rFonts w:ascii="標楷體" w:eastAsia="標楷體" w:hAnsi="標楷體"/>
          <w:sz w:val="28"/>
          <w:szCs w:val="28"/>
        </w:rPr>
      </w:pPr>
      <w:r w:rsidRPr="001B6E4D">
        <w:rPr>
          <w:rFonts w:ascii="標楷體" w:eastAsia="標楷體" w:hAnsi="標楷體" w:hint="eastAsia"/>
          <w:sz w:val="28"/>
          <w:szCs w:val="28"/>
        </w:rPr>
        <w:t>主    席：莊召集委員瑞雄</w:t>
      </w:r>
    </w:p>
    <w:p w14:paraId="6EBFB259" w14:textId="77777777" w:rsidR="005F5E6C" w:rsidRPr="001B6E4D" w:rsidRDefault="005F5E6C" w:rsidP="003D1018">
      <w:pPr>
        <w:overflowPunct w:val="0"/>
        <w:snapToGrid w:val="0"/>
        <w:ind w:left="574"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4B29FDFD" w14:textId="77777777" w:rsidR="005F5E6C" w:rsidRPr="001B6E4D" w:rsidRDefault="005F5E6C" w:rsidP="003D1018">
      <w:pPr>
        <w:overflowPunct w:val="0"/>
        <w:snapToGrid w:val="0"/>
        <w:ind w:left="574"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25019DEA" w14:textId="77777777" w:rsidR="005F5E6C" w:rsidRPr="001B6E4D" w:rsidRDefault="005F5E6C" w:rsidP="003D1018">
      <w:pPr>
        <w:overflowPunct w:val="0"/>
        <w:adjustRightInd w:val="0"/>
        <w:snapToGrid w:val="0"/>
        <w:ind w:left="574"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4A13ED07"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79790945"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33659334" w14:textId="77777777" w:rsidR="005F5E6C" w:rsidRPr="001B6E4D" w:rsidRDefault="005F5E6C" w:rsidP="003D1018">
      <w:pPr>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5ACD0489" w14:textId="77777777" w:rsidR="005F5E6C" w:rsidRPr="001B6E4D" w:rsidRDefault="005F5E6C" w:rsidP="003D1018">
      <w:pPr>
        <w:pStyle w:val="afffff6"/>
        <w:overflowPunct w:val="0"/>
        <w:spacing w:beforeLines="50" w:before="180" w:line="360" w:lineRule="exact"/>
        <w:ind w:leftChars="0" w:left="0" w:rightChars="0" w:right="0" w:firstLineChars="398" w:firstLine="1115"/>
        <w:jc w:val="both"/>
        <w:rPr>
          <w:rFonts w:ascii="標楷體" w:hAnsi="標楷體"/>
          <w:b/>
          <w:sz w:val="28"/>
          <w:szCs w:val="28"/>
        </w:rPr>
      </w:pPr>
      <w:r w:rsidRPr="001B6E4D">
        <w:rPr>
          <w:rFonts w:ascii="標楷體" w:hAnsi="標楷體"/>
          <w:b/>
          <w:sz w:val="28"/>
          <w:szCs w:val="28"/>
        </w:rPr>
        <w:t>報告事項</w:t>
      </w:r>
    </w:p>
    <w:p w14:paraId="0633E306" w14:textId="77777777" w:rsidR="005F5E6C" w:rsidRPr="001B6E4D" w:rsidRDefault="005F5E6C" w:rsidP="003D1018">
      <w:pPr>
        <w:overflowPunct w:val="0"/>
        <w:adjustRightInd w:val="0"/>
        <w:snapToGrid w:val="0"/>
        <w:ind w:left="574" w:hanging="560"/>
        <w:jc w:val="both"/>
        <w:rPr>
          <w:rFonts w:ascii="標楷體" w:eastAsia="標楷體" w:hAnsi="標楷體"/>
          <w:sz w:val="28"/>
          <w:szCs w:val="28"/>
        </w:rPr>
      </w:pPr>
      <w:r w:rsidRPr="001B6E4D">
        <w:rPr>
          <w:rFonts w:ascii="標楷體" w:eastAsia="標楷體" w:hAnsi="標楷體" w:hint="eastAsia"/>
          <w:sz w:val="28"/>
          <w:szCs w:val="28"/>
        </w:rPr>
        <w:t>宣讀上次會議議事錄。</w:t>
      </w:r>
    </w:p>
    <w:p w14:paraId="0F991C33" w14:textId="77777777" w:rsidR="005F5E6C" w:rsidRPr="001B6E4D" w:rsidRDefault="005F5E6C" w:rsidP="003D1018">
      <w:pPr>
        <w:overflowPunct w:val="0"/>
        <w:adjustRightInd w:val="0"/>
        <w:snapToGrid w:val="0"/>
        <w:ind w:left="574" w:hanging="560"/>
        <w:jc w:val="both"/>
        <w:rPr>
          <w:rFonts w:ascii="標楷體" w:eastAsia="標楷體" w:hAnsi="標楷體"/>
          <w:sz w:val="28"/>
          <w:szCs w:val="28"/>
        </w:rPr>
      </w:pPr>
      <w:r w:rsidRPr="001B6E4D">
        <w:rPr>
          <w:rFonts w:ascii="標楷體" w:eastAsia="標楷體" w:hAnsi="標楷體"/>
          <w:sz w:val="28"/>
          <w:szCs w:val="28"/>
        </w:rPr>
        <w:t>決定：確定。</w:t>
      </w:r>
    </w:p>
    <w:p w14:paraId="7FDB7AC9" w14:textId="77777777" w:rsidR="005F5E6C" w:rsidRPr="001B6E4D" w:rsidRDefault="005F5E6C" w:rsidP="003D1018">
      <w:pPr>
        <w:pStyle w:val="afffff6"/>
        <w:overflowPunct w:val="0"/>
        <w:spacing w:beforeLines="50" w:before="180" w:line="360" w:lineRule="exact"/>
        <w:ind w:leftChars="0" w:left="0" w:rightChars="0" w:right="0" w:firstLineChars="398" w:firstLine="1115"/>
        <w:jc w:val="both"/>
        <w:rPr>
          <w:rFonts w:ascii="標楷體" w:hAnsi="標楷體"/>
          <w:b/>
          <w:sz w:val="28"/>
          <w:szCs w:val="28"/>
        </w:rPr>
      </w:pPr>
      <w:r w:rsidRPr="001B6E4D">
        <w:rPr>
          <w:rFonts w:ascii="標楷體" w:hAnsi="標楷體"/>
          <w:b/>
          <w:sz w:val="28"/>
          <w:szCs w:val="28"/>
        </w:rPr>
        <w:t>討論事項</w:t>
      </w:r>
    </w:p>
    <w:p w14:paraId="22025BF2" w14:textId="77777777" w:rsidR="005F5E6C" w:rsidRPr="001B6E4D" w:rsidRDefault="005F5E6C" w:rsidP="003D1018">
      <w:pPr>
        <w:overflowPunct w:val="0"/>
        <w:adjustRightInd w:val="0"/>
        <w:snapToGrid w:val="0"/>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一、</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4F8E0E2F"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w:t>
      </w:r>
      <w:r w:rsidRPr="001B6E4D">
        <w:rPr>
          <w:rFonts w:ascii="標楷體" w:eastAsia="標楷體" w:hAnsi="標楷體" w:hint="eastAsia"/>
          <w:spacing w:val="-4"/>
          <w:sz w:val="28"/>
          <w:szCs w:val="28"/>
        </w:rPr>
        <w:t>行政院、司法院函請審議「民法親屬編部分條文修正草案」案。</w:t>
      </w:r>
    </w:p>
    <w:p w14:paraId="17C2EE8E"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雲等19人擬具「民法部分條文修正草案」案。（11-1-3院會付委）</w:t>
      </w:r>
    </w:p>
    <w:p w14:paraId="2C466A05"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（三）委員陳素月等17人擬具「民法部分條文修正草案」案。（11-1-7院會付委）</w:t>
      </w:r>
    </w:p>
    <w:p w14:paraId="245E10A5"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（四）委員吳秉</w:t>
      </w:r>
      <w:proofErr w:type="gramStart"/>
      <w:r w:rsidRPr="001B6E4D">
        <w:rPr>
          <w:rFonts w:ascii="標楷體" w:eastAsia="標楷體" w:hAnsi="標楷體" w:hint="eastAsia"/>
          <w:sz w:val="28"/>
          <w:szCs w:val="28"/>
        </w:rPr>
        <w:t>叡</w:t>
      </w:r>
      <w:proofErr w:type="gramEnd"/>
      <w:r w:rsidRPr="001B6E4D">
        <w:rPr>
          <w:rFonts w:ascii="標楷體" w:eastAsia="標楷體" w:hAnsi="標楷體" w:hint="eastAsia"/>
          <w:sz w:val="28"/>
          <w:szCs w:val="28"/>
        </w:rPr>
        <w:t>等21人擬具「民法第一千零三十條之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47B140B7"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（五）委員鄭天財</w:t>
      </w:r>
      <w:proofErr w:type="spellStart"/>
      <w:r w:rsidRPr="001B6E4D">
        <w:rPr>
          <w:rFonts w:ascii="標楷體" w:eastAsia="標楷體" w:hAnsi="標楷體" w:hint="eastAsia"/>
          <w:sz w:val="28"/>
          <w:szCs w:val="28"/>
        </w:rPr>
        <w:t>Sra</w:t>
      </w:r>
      <w:proofErr w:type="spellEnd"/>
      <w:r w:rsidRPr="001B6E4D">
        <w:rPr>
          <w:rFonts w:ascii="標楷體" w:eastAsia="標楷體" w:hAnsi="標楷體" w:hint="eastAsia"/>
          <w:sz w:val="28"/>
          <w:szCs w:val="28"/>
        </w:rPr>
        <w:t xml:space="preserve"> </w:t>
      </w:r>
      <w:proofErr w:type="spellStart"/>
      <w:r w:rsidRPr="001B6E4D">
        <w:rPr>
          <w:rFonts w:ascii="標楷體" w:eastAsia="標楷體" w:hAnsi="標楷體" w:hint="eastAsia"/>
          <w:sz w:val="28"/>
          <w:szCs w:val="28"/>
        </w:rPr>
        <w:t>Kacaw</w:t>
      </w:r>
      <w:proofErr w:type="spellEnd"/>
      <w:r w:rsidRPr="001B6E4D">
        <w:rPr>
          <w:rFonts w:ascii="標楷體" w:eastAsia="標楷體" w:hAnsi="標楷體" w:hint="eastAsia"/>
          <w:sz w:val="28"/>
          <w:szCs w:val="28"/>
        </w:rPr>
        <w:t>等16人擬具「民法部分條文修正草案」案。</w:t>
      </w:r>
    </w:p>
    <w:p w14:paraId="760C7DDA"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（六）委員沈發惠等17人擬具「民法部分條文修正草案」案。</w:t>
      </w:r>
    </w:p>
    <w:p w14:paraId="5844F813"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雲等19人擬具「民法部分條文修正草案」案。（11-3-6院會付委）</w:t>
      </w:r>
    </w:p>
    <w:p w14:paraId="68EDCFAF"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（八）委員林月琴等22人擬具「民法部分條文修正草案」案。</w:t>
      </w:r>
    </w:p>
    <w:p w14:paraId="0645642A"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（九）委員蔡易餘等17人擬具「民法部分條文修正草案」案。</w:t>
      </w:r>
    </w:p>
    <w:p w14:paraId="2F204ED7"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（十）委員林宜瑾等19人擬具「民法部分條文修正草案」案。</w:t>
      </w:r>
    </w:p>
    <w:p w14:paraId="057D4EB3"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（十一）委員陳素月等17人擬具「民法部分條文修正草案」案。（11-3-9院會付委）</w:t>
      </w:r>
    </w:p>
    <w:p w14:paraId="3340CC2B"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（十二）委員黃捷等18人擬具「民法部分條文修正草案」案。</w:t>
      </w:r>
    </w:p>
    <w:p w14:paraId="57E56EBA"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（十三）委員賴惠員等24人擬具「民法部分條文修正草案」案。</w:t>
      </w:r>
    </w:p>
    <w:p w14:paraId="17D5BEFF"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（十四）委員伍麗華</w:t>
      </w:r>
      <w:proofErr w:type="spellStart"/>
      <w:r w:rsidRPr="001B6E4D">
        <w:rPr>
          <w:rFonts w:ascii="標楷體" w:eastAsia="標楷體" w:hAnsi="標楷體" w:hint="eastAsia"/>
          <w:sz w:val="28"/>
          <w:szCs w:val="28"/>
        </w:rPr>
        <w:t>Saidhai</w:t>
      </w:r>
      <w:proofErr w:type="spellEnd"/>
      <w:proofErr w:type="gramStart"/>
      <w:r w:rsidRPr="001B6E4D">
        <w:rPr>
          <w:rFonts w:ascii="標楷體" w:eastAsia="標楷體" w:hAnsi="標楷體" w:hint="eastAsia"/>
          <w:sz w:val="28"/>
          <w:szCs w:val="28"/>
        </w:rPr>
        <w:t>‧</w:t>
      </w:r>
      <w:proofErr w:type="spellStart"/>
      <w:proofErr w:type="gramEnd"/>
      <w:r w:rsidRPr="001B6E4D">
        <w:rPr>
          <w:rFonts w:ascii="標楷體" w:eastAsia="標楷體" w:hAnsi="標楷體" w:hint="eastAsia"/>
          <w:sz w:val="28"/>
          <w:szCs w:val="28"/>
        </w:rPr>
        <w:t>Tahovecahe</w:t>
      </w:r>
      <w:proofErr w:type="spellEnd"/>
      <w:r w:rsidRPr="001B6E4D">
        <w:rPr>
          <w:rFonts w:ascii="標楷體" w:eastAsia="標楷體" w:hAnsi="標楷體" w:hint="eastAsia"/>
          <w:sz w:val="28"/>
          <w:szCs w:val="28"/>
        </w:rPr>
        <w:t>等18人擬具「民法部分條文修正草案」案。</w:t>
      </w:r>
    </w:p>
    <w:p w14:paraId="7E0D05EA"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（十五）委員</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雲等17人擬具「民法部分條文修正草案」案。</w:t>
      </w:r>
    </w:p>
    <w:p w14:paraId="54A8D492"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（十六）委員羅廷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等16人擬具「民法部分條文修正草案」案。</w:t>
      </w:r>
    </w:p>
    <w:p w14:paraId="6BEFDAE6"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（十七）委員郭昱晴等17人擬具「民法部分條文修正草案」案。</w:t>
      </w:r>
    </w:p>
    <w:p w14:paraId="6BAD9F0A"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（十八）委員林倩綺等19人擬具「民法部分條文修正草案」案。</w:t>
      </w:r>
    </w:p>
    <w:p w14:paraId="7EBB3BA3"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（十九）委員邱鎮軍等16人擬具「民法部分條文修正草案」案。</w:t>
      </w:r>
    </w:p>
    <w:p w14:paraId="6FEBE9E7" w14:textId="77777777" w:rsidR="005F5E6C" w:rsidRPr="001B6E4D" w:rsidRDefault="005F5E6C" w:rsidP="003D1018">
      <w:pPr>
        <w:overflowPunct w:val="0"/>
        <w:adjustRightInd w:val="0"/>
        <w:snapToGrid w:val="0"/>
        <w:ind w:leftChars="-53" w:left="13" w:hangingChars="50" w:hanging="140"/>
        <w:jc w:val="both"/>
        <w:rPr>
          <w:rFonts w:ascii="標楷體" w:eastAsia="標楷體" w:hAnsi="標楷體"/>
          <w:sz w:val="28"/>
          <w:szCs w:val="28"/>
        </w:rPr>
      </w:pPr>
      <w:r w:rsidRPr="001B6E4D">
        <w:rPr>
          <w:rFonts w:ascii="標楷體" w:eastAsia="標楷體" w:hAnsi="標楷體" w:hint="eastAsia"/>
          <w:sz w:val="28"/>
          <w:szCs w:val="28"/>
        </w:rPr>
        <w:t>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48792F57"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（一）行政院、司法院函請審議「民法親屬編施行法增訂第七條之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6C19F026"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（二）委員沈發惠等17人擬具「民法親屬編施行法增訂第七條之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3A1ECFF3"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（三）委員陳素月等17人擬具「民法親屬編施行法增訂第七條之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4B1C77B7"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（四）委員賴惠員等24人擬具「民法親屬編施行法增訂第七條之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1E298A8A"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等16人擬具「民法親屬編施行法增訂第七條之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3AB4888E"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（六）委員郭昱晴等17人擬具「民法親屬編施行法增訂第七條之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3AE780CF" w14:textId="77777777" w:rsidR="005F5E6C" w:rsidRPr="001B6E4D" w:rsidRDefault="005F5E6C" w:rsidP="003D1018">
      <w:pPr>
        <w:overflowPunct w:val="0"/>
        <w:adjustRightInd w:val="0"/>
        <w:snapToGrid w:val="0"/>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（七）委員林倩綺等19人擬具「民法親屬編施行法增訂第七條之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5E455B24" w14:textId="77777777" w:rsidR="005F5E6C" w:rsidRPr="001B6E4D" w:rsidRDefault="005F5E6C" w:rsidP="003D1018">
      <w:pPr>
        <w:overflowPunct w:val="0"/>
        <w:adjustRightInd w:val="0"/>
        <w:snapToGrid w:val="0"/>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陳昭姿、謝龍介、林倩綺、張雅琳、莊瑞雄、翁曉玲、</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提出質詢</w:t>
      </w:r>
      <w:r w:rsidRPr="001B6E4D">
        <w:rPr>
          <w:rFonts w:ascii="標楷體" w:eastAsia="標楷體" w:hAnsi="標楷體" w:hint="eastAsia"/>
          <w:sz w:val="28"/>
          <w:szCs w:val="28"/>
        </w:rPr>
        <w:t>；委員林沛祥、蔡其昌、沈發惠、黃捷、吳宗憲提出書面質詢。</w:t>
      </w:r>
      <w:r w:rsidRPr="001B6E4D">
        <w:rPr>
          <w:rFonts w:ascii="標楷體" w:eastAsia="標楷體" w:hAnsi="標楷體"/>
          <w:sz w:val="28"/>
          <w:szCs w:val="28"/>
        </w:rPr>
        <w:t>）</w:t>
      </w:r>
    </w:p>
    <w:p w14:paraId="4F7B9687" w14:textId="77777777" w:rsidR="00201B77" w:rsidRPr="001B6E4D" w:rsidRDefault="00201B77"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534AA04B" w14:textId="77777777" w:rsidR="00201B77" w:rsidRPr="001B6E4D" w:rsidRDefault="00201B77" w:rsidP="003D1018">
      <w:pPr>
        <w:numPr>
          <w:ilvl w:val="0"/>
          <w:numId w:val="53"/>
        </w:numPr>
        <w:overflowPunct w:val="0"/>
        <w:spacing w:line="360" w:lineRule="exact"/>
        <w:contextualSpacing/>
        <w:jc w:val="both"/>
        <w:rPr>
          <w:rFonts w:ascii="標楷體" w:eastAsia="標楷體" w:hAnsi="標楷體"/>
          <w:sz w:val="28"/>
          <w:szCs w:val="28"/>
        </w:rPr>
      </w:pP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p>
    <w:p w14:paraId="70F4429F" w14:textId="77777777" w:rsidR="00201B77" w:rsidRPr="001B6E4D" w:rsidRDefault="00201B77" w:rsidP="003D1018">
      <w:pPr>
        <w:numPr>
          <w:ilvl w:val="0"/>
          <w:numId w:val="53"/>
        </w:num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第一案及第二案，</w:t>
      </w:r>
      <w:proofErr w:type="gramStart"/>
      <w:r w:rsidRPr="001B6E4D">
        <w:rPr>
          <w:rFonts w:ascii="標楷體" w:eastAsia="標楷體" w:hAnsi="標楷體" w:hint="eastAsia"/>
          <w:sz w:val="28"/>
          <w:szCs w:val="28"/>
        </w:rPr>
        <w:t>均另定期</w:t>
      </w:r>
      <w:proofErr w:type="gramEnd"/>
      <w:r w:rsidRPr="001B6E4D">
        <w:rPr>
          <w:rFonts w:ascii="標楷體" w:eastAsia="標楷體" w:hAnsi="標楷體" w:hint="eastAsia"/>
          <w:sz w:val="28"/>
          <w:szCs w:val="28"/>
        </w:rPr>
        <w:t>繼續審查。</w:t>
      </w:r>
    </w:p>
    <w:p w14:paraId="65ACC4BF" w14:textId="77777777" w:rsidR="00201B77" w:rsidRPr="001B6E4D" w:rsidRDefault="00201B77" w:rsidP="003D1018">
      <w:pPr>
        <w:numPr>
          <w:ilvl w:val="0"/>
          <w:numId w:val="53"/>
        </w:numPr>
        <w:kinsoku w:val="0"/>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lastRenderedPageBreak/>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3004BE50" w14:textId="77777777" w:rsidR="00201B77" w:rsidRPr="001B6E4D" w:rsidRDefault="00201B77" w:rsidP="003D1018">
      <w:pPr>
        <w:overflowPunct w:val="0"/>
        <w:spacing w:line="400" w:lineRule="exact"/>
        <w:ind w:leftChars="6" w:left="14"/>
        <w:jc w:val="both"/>
        <w:rPr>
          <w:rFonts w:ascii="標楷體" w:eastAsia="標楷體" w:hAnsi="標楷體"/>
        </w:rPr>
      </w:pPr>
      <w:r w:rsidRPr="001B6E4D">
        <w:rPr>
          <w:rFonts w:ascii="標楷體" w:eastAsia="標楷體" w:hAnsi="標楷體"/>
          <w:sz w:val="28"/>
          <w:szCs w:val="28"/>
        </w:rPr>
        <w:t>散會</w:t>
      </w:r>
    </w:p>
    <w:p w14:paraId="5883BBFB" w14:textId="77777777" w:rsidR="00342EA5" w:rsidRPr="001B6E4D" w:rsidRDefault="00342EA5"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4F41E049" w14:textId="5D63CB86" w:rsidR="00201B77" w:rsidRPr="001B6E4D" w:rsidRDefault="00201B77"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54" w:name="_Toc240446593"/>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9</w:t>
      </w:r>
      <w:r w:rsidRPr="001B6E4D">
        <w:rPr>
          <w:rFonts w:ascii="標楷體" w:eastAsia="標楷體" w:hAnsi="標楷體"/>
          <w:b/>
          <w:spacing w:val="-2"/>
          <w:sz w:val="28"/>
          <w:szCs w:val="28"/>
        </w:rPr>
        <w:t>次全體委員會議議事錄</w:t>
      </w:r>
      <w:bookmarkEnd w:id="454"/>
    </w:p>
    <w:p w14:paraId="2D462DE2" w14:textId="77777777" w:rsidR="00201B77" w:rsidRPr="001B6E4D" w:rsidRDefault="00201B77" w:rsidP="003D1018">
      <w:pPr>
        <w:overflowPunct w:val="0"/>
        <w:adjustRightInd w:val="0"/>
        <w:snapToGrid w:val="0"/>
        <w:spacing w:line="360" w:lineRule="exact"/>
        <w:ind w:leftChars="1" w:left="1416" w:hangingChars="505" w:hanging="1414"/>
        <w:rPr>
          <w:rFonts w:ascii="標楷體" w:eastAsia="標楷體" w:hAnsi="標楷體"/>
          <w:spacing w:val="-6"/>
          <w:kern w:val="0"/>
          <w:sz w:val="28"/>
          <w:szCs w:val="28"/>
        </w:rPr>
      </w:pPr>
      <w:r w:rsidRPr="001B6E4D">
        <w:rPr>
          <w:rFonts w:ascii="標楷體" w:eastAsia="標楷體" w:hAnsi="標楷體"/>
          <w:kern w:val="0"/>
          <w:sz w:val="28"/>
          <w:szCs w:val="28"/>
          <w:fitText w:val="1120" w:id="-384133120"/>
        </w:rPr>
        <w:t>時    間</w:t>
      </w:r>
      <w:r w:rsidRPr="001B6E4D">
        <w:rPr>
          <w:rFonts w:ascii="標楷體" w:eastAsia="標楷體" w:hAnsi="標楷體"/>
          <w:spacing w:val="-6"/>
          <w:kern w:val="0"/>
          <w:sz w:val="28"/>
          <w:szCs w:val="28"/>
        </w:rPr>
        <w:t>：</w:t>
      </w:r>
      <w:r w:rsidRPr="001B6E4D">
        <w:rPr>
          <w:rFonts w:ascii="標楷體" w:eastAsia="標楷體" w:hAnsi="標楷體"/>
          <w:spacing w:val="-4"/>
          <w:kern w:val="0"/>
          <w:sz w:val="28"/>
          <w:szCs w:val="28"/>
        </w:rPr>
        <w:t>中華民國</w:t>
      </w:r>
      <w:r w:rsidRPr="001B6E4D">
        <w:rPr>
          <w:rFonts w:ascii="標楷體" w:eastAsia="標楷體" w:hAnsi="標楷體" w:hint="eastAsia"/>
          <w:spacing w:val="-4"/>
          <w:kern w:val="0"/>
          <w:sz w:val="28"/>
          <w:szCs w:val="28"/>
        </w:rPr>
        <w:t>115</w:t>
      </w:r>
      <w:r w:rsidRPr="001B6E4D">
        <w:rPr>
          <w:rFonts w:ascii="標楷體" w:eastAsia="標楷體" w:hAnsi="標楷體"/>
          <w:spacing w:val="-4"/>
          <w:kern w:val="0"/>
          <w:sz w:val="28"/>
          <w:szCs w:val="28"/>
        </w:rPr>
        <w:t>年</w:t>
      </w:r>
      <w:r w:rsidRPr="001B6E4D">
        <w:rPr>
          <w:rFonts w:ascii="標楷體" w:eastAsia="標楷體" w:hAnsi="標楷體" w:hint="eastAsia"/>
          <w:spacing w:val="-4"/>
          <w:kern w:val="0"/>
          <w:sz w:val="28"/>
          <w:szCs w:val="28"/>
        </w:rPr>
        <w:t>4</w:t>
      </w:r>
      <w:r w:rsidRPr="001B6E4D">
        <w:rPr>
          <w:rFonts w:ascii="標楷體" w:eastAsia="標楷體" w:hAnsi="標楷體"/>
          <w:spacing w:val="-4"/>
          <w:kern w:val="0"/>
          <w:sz w:val="28"/>
          <w:szCs w:val="28"/>
        </w:rPr>
        <w:t>月</w:t>
      </w:r>
      <w:r w:rsidRPr="001B6E4D">
        <w:rPr>
          <w:rFonts w:ascii="標楷體" w:eastAsia="標楷體" w:hAnsi="標楷體" w:hint="eastAsia"/>
          <w:spacing w:val="-4"/>
          <w:kern w:val="0"/>
          <w:sz w:val="28"/>
          <w:szCs w:val="28"/>
        </w:rPr>
        <w:t>29</w:t>
      </w:r>
      <w:r w:rsidRPr="001B6E4D">
        <w:rPr>
          <w:rFonts w:ascii="標楷體" w:eastAsia="標楷體" w:hAnsi="標楷體"/>
          <w:spacing w:val="-4"/>
          <w:kern w:val="0"/>
          <w:sz w:val="28"/>
          <w:szCs w:val="28"/>
        </w:rPr>
        <w:t>日（星期</w:t>
      </w:r>
      <w:r w:rsidRPr="001B6E4D">
        <w:rPr>
          <w:rFonts w:ascii="標楷體" w:eastAsia="標楷體" w:hAnsi="標楷體" w:hint="eastAsia"/>
          <w:spacing w:val="-4"/>
          <w:kern w:val="0"/>
          <w:sz w:val="28"/>
          <w:szCs w:val="28"/>
        </w:rPr>
        <w:t>三</w:t>
      </w:r>
      <w:r w:rsidRPr="001B6E4D">
        <w:rPr>
          <w:rFonts w:ascii="標楷體" w:eastAsia="標楷體" w:hAnsi="標楷體"/>
          <w:spacing w:val="-4"/>
          <w:kern w:val="0"/>
          <w:sz w:val="28"/>
          <w:szCs w:val="28"/>
        </w:rPr>
        <w:t>）上午9時至</w:t>
      </w:r>
      <w:r w:rsidRPr="001B6E4D">
        <w:rPr>
          <w:rFonts w:ascii="標楷體" w:eastAsia="標楷體" w:hAnsi="標楷體" w:hint="eastAsia"/>
          <w:spacing w:val="-4"/>
          <w:kern w:val="0"/>
          <w:sz w:val="28"/>
          <w:szCs w:val="28"/>
        </w:rPr>
        <w:t>10</w:t>
      </w:r>
      <w:r w:rsidRPr="001B6E4D">
        <w:rPr>
          <w:rFonts w:ascii="標楷體" w:eastAsia="標楷體" w:hAnsi="標楷體"/>
          <w:spacing w:val="-4"/>
          <w:kern w:val="0"/>
          <w:sz w:val="28"/>
          <w:szCs w:val="28"/>
        </w:rPr>
        <w:t>時41</w:t>
      </w:r>
      <w:r w:rsidRPr="001B6E4D">
        <w:rPr>
          <w:rFonts w:ascii="標楷體" w:eastAsia="標楷體" w:hAnsi="標楷體" w:hint="eastAsia"/>
          <w:spacing w:val="-4"/>
          <w:kern w:val="0"/>
          <w:sz w:val="28"/>
          <w:szCs w:val="28"/>
        </w:rPr>
        <w:t>分</w:t>
      </w:r>
    </w:p>
    <w:p w14:paraId="785AF703" w14:textId="77777777" w:rsidR="00201B77" w:rsidRPr="001B6E4D" w:rsidRDefault="00201B77"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rPr>
      </w:pPr>
      <w:r w:rsidRPr="001B6E4D">
        <w:rPr>
          <w:rFonts w:ascii="標楷體" w:eastAsia="標楷體" w:hAnsi="標楷體"/>
          <w:kern w:val="0"/>
          <w:sz w:val="28"/>
          <w:szCs w:val="28"/>
          <w:fitText w:val="1120" w:id="-384133119"/>
        </w:rPr>
        <w:t>地    點</w:t>
      </w:r>
      <w:r w:rsidRPr="001B6E4D">
        <w:rPr>
          <w:rFonts w:ascii="標楷體" w:eastAsia="標楷體" w:hAnsi="標楷體"/>
          <w:kern w:val="0"/>
          <w:sz w:val="28"/>
          <w:szCs w:val="28"/>
        </w:rPr>
        <w:t>：本院紅樓302會議室</w:t>
      </w:r>
    </w:p>
    <w:p w14:paraId="54C32BF8" w14:textId="77777777" w:rsidR="00201B77" w:rsidRPr="001B6E4D" w:rsidRDefault="00201B77"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sz w:val="28"/>
          <w:szCs w:val="28"/>
        </w:rPr>
        <w:tab/>
      </w:r>
      <w:r w:rsidRPr="001B6E4D">
        <w:rPr>
          <w:rFonts w:ascii="標楷體" w:eastAsia="標楷體" w:hAnsi="標楷體" w:hint="eastAsia"/>
          <w:sz w:val="28"/>
          <w:szCs w:val="28"/>
        </w:rPr>
        <w:t>沈發惠</w:t>
      </w:r>
      <w:r w:rsidRPr="001B6E4D">
        <w:rPr>
          <w:rFonts w:ascii="標楷體" w:eastAsia="標楷體" w:hAnsi="標楷體" w:hint="eastAsia"/>
          <w:sz w:val="28"/>
          <w:szCs w:val="28"/>
        </w:rPr>
        <w:tab/>
        <w:t>張雅琳</w:t>
      </w:r>
      <w:r w:rsidRPr="001B6E4D">
        <w:rPr>
          <w:rFonts w:ascii="標楷體" w:eastAsia="標楷體" w:hAnsi="標楷體"/>
          <w:sz w:val="28"/>
          <w:szCs w:val="28"/>
        </w:rPr>
        <w:tab/>
      </w:r>
      <w:r w:rsidRPr="001B6E4D">
        <w:rPr>
          <w:rFonts w:ascii="標楷體" w:eastAsia="標楷體" w:hAnsi="標楷體" w:hint="eastAsia"/>
          <w:sz w:val="28"/>
          <w:szCs w:val="28"/>
        </w:rPr>
        <w:t>莊瑞雄</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林沛祥</w:t>
      </w:r>
      <w:r w:rsidRPr="001B6E4D">
        <w:rPr>
          <w:rFonts w:ascii="標楷體" w:eastAsia="標楷體" w:hAnsi="標楷體" w:hint="eastAsia"/>
          <w:sz w:val="28"/>
          <w:szCs w:val="28"/>
        </w:rPr>
        <w:tab/>
        <w:t>翁曉玲</w:t>
      </w:r>
    </w:p>
    <w:p w14:paraId="5E7AA8ED" w14:textId="77777777" w:rsidR="00201B77" w:rsidRPr="001B6E4D" w:rsidRDefault="00201B77"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蔡其昌</w:t>
      </w:r>
      <w:r w:rsidRPr="001B6E4D">
        <w:rPr>
          <w:rFonts w:ascii="標楷體" w:eastAsia="標楷體" w:hAnsi="標楷體"/>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ab/>
      </w:r>
      <w:r w:rsidRPr="001B6E4D">
        <w:rPr>
          <w:rFonts w:ascii="標楷體" w:eastAsia="標楷體" w:hAnsi="標楷體" w:hint="eastAsia"/>
          <w:sz w:val="28"/>
          <w:szCs w:val="28"/>
        </w:rPr>
        <w:t>吳宗憲</w:t>
      </w:r>
      <w:r w:rsidRPr="001B6E4D">
        <w:rPr>
          <w:rFonts w:ascii="標楷體" w:eastAsia="標楷體" w:hAnsi="標楷體"/>
          <w:sz w:val="28"/>
          <w:szCs w:val="28"/>
        </w:rPr>
        <w:tab/>
      </w:r>
      <w:r w:rsidRPr="001B6E4D">
        <w:rPr>
          <w:rFonts w:ascii="標楷體" w:eastAsia="標楷體" w:hAnsi="標楷體" w:hint="eastAsia"/>
          <w:sz w:val="28"/>
          <w:szCs w:val="28"/>
        </w:rPr>
        <w:t>柯建銘</w:t>
      </w:r>
    </w:p>
    <w:p w14:paraId="22AF7227" w14:textId="77777777" w:rsidR="00201B77" w:rsidRPr="001B6E4D" w:rsidRDefault="00201B77"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11</w:t>
      </w:r>
      <w:r w:rsidRPr="001B6E4D">
        <w:rPr>
          <w:rFonts w:ascii="標楷體" w:eastAsia="標楷體" w:hAnsi="標楷體"/>
          <w:sz w:val="28"/>
          <w:szCs w:val="28"/>
        </w:rPr>
        <w:t>人</w:t>
      </w:r>
    </w:p>
    <w:p w14:paraId="3FBB04C8" w14:textId="77777777" w:rsidR="00201B77" w:rsidRPr="001B6E4D" w:rsidRDefault="00201B77"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hint="eastAsia"/>
          <w:color w:val="000000"/>
          <w:sz w:val="28"/>
          <w:szCs w:val="28"/>
        </w:rPr>
        <w:tab/>
        <w:t>羅智強</w:t>
      </w:r>
      <w:r w:rsidRPr="001B6E4D">
        <w:rPr>
          <w:rFonts w:ascii="標楷體" w:eastAsia="標楷體" w:hAnsi="標楷體" w:hint="eastAsia"/>
          <w:sz w:val="28"/>
          <w:szCs w:val="28"/>
        </w:rPr>
        <w:tab/>
        <w:t>蘇清泉</w:t>
      </w:r>
      <w:r w:rsidRPr="001B6E4D">
        <w:rPr>
          <w:rFonts w:ascii="標楷體" w:eastAsia="標楷體" w:hAnsi="標楷體"/>
          <w:sz w:val="28"/>
          <w:szCs w:val="28"/>
        </w:rPr>
        <w:tab/>
      </w:r>
    </w:p>
    <w:p w14:paraId="04B3327E" w14:textId="77777777" w:rsidR="00201B77" w:rsidRPr="001B6E4D" w:rsidRDefault="00201B77"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3</w:t>
      </w:r>
      <w:r w:rsidRPr="001B6E4D">
        <w:rPr>
          <w:rFonts w:ascii="標楷體" w:eastAsia="標楷體" w:hAnsi="標楷體"/>
          <w:sz w:val="28"/>
          <w:szCs w:val="28"/>
        </w:rPr>
        <w:t>人</w:t>
      </w:r>
    </w:p>
    <w:p w14:paraId="69A4CA56" w14:textId="77777777" w:rsidR="00201B77" w:rsidRPr="001B6E4D" w:rsidRDefault="00201B77"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監察院秘書長　黃適卓</w:t>
      </w:r>
    </w:p>
    <w:p w14:paraId="71F338C7" w14:textId="77777777" w:rsidR="00201B77" w:rsidRPr="001B6E4D" w:rsidRDefault="00201B77"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行政院主計總處公務預算處專門委員　曾</w:t>
      </w:r>
      <w:proofErr w:type="gramStart"/>
      <w:r w:rsidRPr="001B6E4D">
        <w:rPr>
          <w:rFonts w:ascii="標楷體" w:eastAsia="標楷體" w:hAnsi="標楷體" w:hint="eastAsia"/>
          <w:kern w:val="0"/>
          <w:sz w:val="28"/>
          <w:szCs w:val="28"/>
        </w:rPr>
        <w:t>驛</w:t>
      </w:r>
      <w:proofErr w:type="gramEnd"/>
      <w:r w:rsidRPr="001B6E4D">
        <w:rPr>
          <w:rFonts w:ascii="標楷體" w:eastAsia="標楷體" w:hAnsi="標楷體" w:hint="eastAsia"/>
          <w:kern w:val="0"/>
          <w:sz w:val="28"/>
          <w:szCs w:val="28"/>
        </w:rPr>
        <w:t>勝</w:t>
      </w:r>
    </w:p>
    <w:p w14:paraId="1AD62DF2" w14:textId="77777777" w:rsidR="00201B77" w:rsidRPr="001B6E4D" w:rsidRDefault="00201B77"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25AD55F0" w14:textId="77777777" w:rsidR="00201B77" w:rsidRPr="001B6E4D" w:rsidRDefault="00201B77"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05C6946F" w14:textId="77777777" w:rsidR="00201B77" w:rsidRPr="001B6E4D" w:rsidRDefault="00201B77"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2E391B4D" w14:textId="77777777" w:rsidR="00201B77" w:rsidRPr="001B6E4D" w:rsidRDefault="00201B77"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5FD91C8E" w14:textId="77777777" w:rsidR="00201B77" w:rsidRPr="001B6E4D" w:rsidRDefault="00201B77"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27296DA5" w14:textId="77777777" w:rsidR="00201B77" w:rsidRPr="001B6E4D" w:rsidRDefault="00201B77"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7B6028A8" w14:textId="77777777" w:rsidR="00201B77" w:rsidRPr="001B6E4D" w:rsidRDefault="00201B77"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3304AD71" w14:textId="77777777" w:rsidR="00201B77" w:rsidRPr="001B6E4D" w:rsidRDefault="00201B77"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557E9DFE" w14:textId="77777777" w:rsidR="00201B77" w:rsidRPr="001B6E4D" w:rsidRDefault="00201B77"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宣讀上次會議議事錄。</w:t>
      </w:r>
    </w:p>
    <w:p w14:paraId="75800039" w14:textId="77777777" w:rsidR="00201B77" w:rsidRPr="001B6E4D" w:rsidRDefault="00201B77"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sz w:val="28"/>
          <w:szCs w:val="28"/>
        </w:rPr>
        <w:t>決定：確定。</w:t>
      </w:r>
    </w:p>
    <w:p w14:paraId="4A957A93" w14:textId="77777777" w:rsidR="00201B77" w:rsidRPr="001B6E4D" w:rsidRDefault="00201B77"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討論事項</w:t>
      </w:r>
    </w:p>
    <w:p w14:paraId="638C3A95" w14:textId="77777777" w:rsidR="00201B77" w:rsidRPr="001B6E4D" w:rsidRDefault="00201B77" w:rsidP="003D1018">
      <w:pPr>
        <w:widowControl w:val="0"/>
        <w:overflowPunct w:val="0"/>
        <w:adjustRightInd w:val="0"/>
        <w:snapToGrid w:val="0"/>
        <w:spacing w:line="360" w:lineRule="exact"/>
        <w:ind w:leftChars="-1" w:left="12" w:hangingChars="5" w:hanging="14"/>
        <w:jc w:val="both"/>
        <w:rPr>
          <w:rFonts w:ascii="標楷體" w:eastAsia="標楷體" w:hAnsi="標楷體"/>
          <w:sz w:val="28"/>
          <w:szCs w:val="28"/>
        </w:rPr>
      </w:pPr>
      <w:r w:rsidRPr="001B6E4D">
        <w:rPr>
          <w:rFonts w:ascii="標楷體" w:eastAsia="標楷體" w:hAnsi="標楷體" w:hint="eastAsia"/>
          <w:sz w:val="28"/>
          <w:szCs w:val="28"/>
        </w:rPr>
        <w:t>審查</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年度中央政府總預算案關於監察院主管（不含審計部及所屬）收支部分。</w:t>
      </w:r>
    </w:p>
    <w:p w14:paraId="15B05686" w14:textId="77777777" w:rsidR="00201B77" w:rsidRPr="001B6E4D" w:rsidRDefault="00201B77"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hint="eastAsia"/>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陳昭姿、翁曉玲、張雅琳、</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雲、羅智強、莊瑞雄、許宇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提出質詢</w:t>
      </w:r>
      <w:r w:rsidRPr="001B6E4D">
        <w:rPr>
          <w:rFonts w:ascii="標楷體" w:eastAsia="標楷體" w:hAnsi="標楷體" w:hint="eastAsia"/>
          <w:sz w:val="28"/>
          <w:szCs w:val="28"/>
        </w:rPr>
        <w:t>；委員蔡其昌、沈發惠、林倩綺、吳宗憲提出書面質詢。）</w:t>
      </w:r>
    </w:p>
    <w:p w14:paraId="28F417D7" w14:textId="77777777" w:rsidR="00201B77" w:rsidRPr="001B6E4D" w:rsidRDefault="00201B77" w:rsidP="003D1018">
      <w:pPr>
        <w:overflowPunct w:val="0"/>
        <w:spacing w:line="360" w:lineRule="exact"/>
        <w:ind w:leftChars="6" w:left="507"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37435FAF" w14:textId="77777777" w:rsidR="00201B77" w:rsidRPr="001B6E4D" w:rsidRDefault="00201B77"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一、</w:t>
      </w:r>
      <w:r w:rsidRPr="001B6E4D">
        <w:rPr>
          <w:rFonts w:ascii="標楷體" w:eastAsia="標楷體" w:hAnsi="標楷體"/>
          <w:sz w:val="28"/>
          <w:szCs w:val="28"/>
        </w:rPr>
        <w:t>報告</w:t>
      </w:r>
      <w:r w:rsidRPr="001B6E4D">
        <w:rPr>
          <w:rFonts w:ascii="標楷體" w:eastAsia="標楷體" w:hAnsi="標楷體" w:hint="eastAsia"/>
          <w:sz w:val="28"/>
          <w:szCs w:val="28"/>
        </w:rPr>
        <w:t>及</w:t>
      </w:r>
      <w:proofErr w:type="gramStart"/>
      <w:r w:rsidRPr="001B6E4D">
        <w:rPr>
          <w:rFonts w:ascii="標楷體" w:eastAsia="標楷體" w:hAnsi="標楷體"/>
          <w:sz w:val="28"/>
          <w:szCs w:val="28"/>
        </w:rPr>
        <w:t>詢</w:t>
      </w:r>
      <w:proofErr w:type="gramEnd"/>
      <w:r w:rsidRPr="001B6E4D">
        <w:rPr>
          <w:rFonts w:ascii="標楷體" w:eastAsia="標楷體" w:hAnsi="標楷體"/>
          <w:sz w:val="28"/>
          <w:szCs w:val="28"/>
        </w:rPr>
        <w:t>答完畢</w:t>
      </w:r>
      <w:r w:rsidRPr="001B6E4D">
        <w:rPr>
          <w:rFonts w:ascii="標楷體" w:eastAsia="標楷體" w:hAnsi="標楷體" w:hint="eastAsia"/>
          <w:sz w:val="28"/>
          <w:szCs w:val="28"/>
        </w:rPr>
        <w:t>。</w:t>
      </w:r>
    </w:p>
    <w:p w14:paraId="2EBA887A" w14:textId="77777777" w:rsidR="00201B77" w:rsidRPr="001B6E4D" w:rsidRDefault="00201B77"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二、本案另定期繼續審查。</w:t>
      </w:r>
    </w:p>
    <w:p w14:paraId="45128A3C" w14:textId="77777777" w:rsidR="00201B77" w:rsidRPr="001B6E4D" w:rsidRDefault="00201B77"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三、</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734DF86F" w14:textId="77777777" w:rsidR="00201B77" w:rsidRPr="001B6E4D" w:rsidRDefault="00201B77"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四、審查會委員針對本次議程所列討論事項之預算提案，請於5月6日(星期三)下午2時前送交本會，逾時不予受理。</w:t>
      </w:r>
    </w:p>
    <w:p w14:paraId="1140B5F6" w14:textId="77777777" w:rsidR="00201B77" w:rsidRPr="001B6E4D" w:rsidRDefault="00201B77" w:rsidP="003D1018">
      <w:pPr>
        <w:overflowPunct w:val="0"/>
        <w:spacing w:line="360" w:lineRule="exact"/>
        <w:ind w:leftChars="6" w:left="14"/>
        <w:jc w:val="both"/>
        <w:rPr>
          <w:rFonts w:ascii="標楷體" w:eastAsia="標楷體" w:hAnsi="標楷體"/>
          <w:sz w:val="28"/>
          <w:szCs w:val="28"/>
        </w:rPr>
      </w:pPr>
      <w:r w:rsidRPr="001B6E4D">
        <w:rPr>
          <w:rFonts w:ascii="標楷體" w:eastAsia="標楷體" w:hAnsi="標楷體"/>
          <w:sz w:val="28"/>
          <w:szCs w:val="28"/>
        </w:rPr>
        <w:t>散會</w:t>
      </w:r>
    </w:p>
    <w:p w14:paraId="35F971B2" w14:textId="77777777" w:rsidR="00993057" w:rsidRPr="001B6E4D" w:rsidRDefault="00993057"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53322C6C" w14:textId="19A6FB0A" w:rsidR="00201B77" w:rsidRPr="001B6E4D" w:rsidRDefault="00201B77"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55" w:name="_Toc240446594"/>
      <w:r w:rsidRPr="001B6E4D">
        <w:rPr>
          <w:rFonts w:ascii="標楷體" w:eastAsia="標楷體" w:hAnsi="標楷體"/>
          <w:b/>
          <w:spacing w:val="-2"/>
          <w:sz w:val="28"/>
          <w:szCs w:val="28"/>
        </w:rPr>
        <w:lastRenderedPageBreak/>
        <w:t>立法院第11屆第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10</w:t>
      </w:r>
      <w:r w:rsidRPr="001B6E4D">
        <w:rPr>
          <w:rFonts w:ascii="標楷體" w:eastAsia="標楷體" w:hAnsi="標楷體"/>
          <w:b/>
          <w:spacing w:val="-2"/>
          <w:sz w:val="28"/>
          <w:szCs w:val="28"/>
        </w:rPr>
        <w:t>次全體委員會議議事錄</w:t>
      </w:r>
      <w:bookmarkEnd w:id="455"/>
    </w:p>
    <w:p w14:paraId="46DF0ED0" w14:textId="77777777" w:rsidR="00201B77" w:rsidRPr="001B6E4D" w:rsidRDefault="00201B77" w:rsidP="003D1018">
      <w:pPr>
        <w:widowControl w:val="0"/>
        <w:overflowPunct w:val="0"/>
        <w:autoSpaceDE w:val="0"/>
        <w:autoSpaceDN w:val="0"/>
        <w:adjustRightInd w:val="0"/>
        <w:spacing w:line="360" w:lineRule="exact"/>
        <w:ind w:left="1400" w:hangingChars="500" w:hanging="1400"/>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時　　間：</w:t>
      </w:r>
      <w:bookmarkStart w:id="456" w:name="時間"/>
      <w:bookmarkEnd w:id="456"/>
      <w:r w:rsidRPr="001B6E4D">
        <w:rPr>
          <w:rFonts w:ascii="標楷體" w:eastAsia="標楷體" w:hAnsi="標楷體" w:cs="標楷體" w:hint="eastAsia"/>
          <w:color w:val="000000"/>
          <w:kern w:val="0"/>
          <w:sz w:val="28"/>
          <w:szCs w:val="28"/>
        </w:rPr>
        <w:t>中華民國115</w:t>
      </w:r>
      <w:r w:rsidRPr="001B6E4D">
        <w:rPr>
          <w:rFonts w:ascii="標楷體" w:eastAsia="標楷體" w:hAnsi="標楷體" w:cs="標楷體"/>
          <w:color w:val="000000"/>
          <w:kern w:val="0"/>
          <w:sz w:val="28"/>
          <w:szCs w:val="28"/>
        </w:rPr>
        <w:t>年</w:t>
      </w:r>
      <w:r w:rsidRPr="001B6E4D">
        <w:rPr>
          <w:rFonts w:ascii="標楷體" w:eastAsia="標楷體" w:hAnsi="標楷體" w:cs="標楷體" w:hint="eastAsia"/>
          <w:color w:val="000000"/>
          <w:kern w:val="0"/>
          <w:sz w:val="28"/>
          <w:szCs w:val="28"/>
        </w:rPr>
        <w:t>4</w:t>
      </w:r>
      <w:r w:rsidRPr="001B6E4D">
        <w:rPr>
          <w:rFonts w:ascii="標楷體" w:eastAsia="標楷體" w:hAnsi="標楷體" w:cs="標楷體"/>
          <w:color w:val="000000"/>
          <w:kern w:val="0"/>
          <w:sz w:val="28"/>
          <w:szCs w:val="28"/>
        </w:rPr>
        <w:t>月</w:t>
      </w:r>
      <w:r w:rsidRPr="001B6E4D">
        <w:rPr>
          <w:rFonts w:ascii="標楷體" w:eastAsia="標楷體" w:hAnsi="標楷體" w:cs="標楷體" w:hint="eastAsia"/>
          <w:color w:val="000000"/>
          <w:kern w:val="0"/>
          <w:sz w:val="28"/>
          <w:szCs w:val="28"/>
        </w:rPr>
        <w:t>30</w:t>
      </w:r>
      <w:r w:rsidRPr="001B6E4D">
        <w:rPr>
          <w:rFonts w:ascii="標楷體" w:eastAsia="標楷體" w:hAnsi="標楷體" w:cs="標楷體"/>
          <w:color w:val="000000"/>
          <w:kern w:val="0"/>
          <w:sz w:val="28"/>
          <w:szCs w:val="28"/>
        </w:rPr>
        <w:t>日（星期</w:t>
      </w:r>
      <w:r w:rsidRPr="001B6E4D">
        <w:rPr>
          <w:rFonts w:ascii="標楷體" w:eastAsia="標楷體" w:hAnsi="標楷體" w:cs="標楷體" w:hint="eastAsia"/>
          <w:color w:val="000000"/>
          <w:kern w:val="0"/>
          <w:sz w:val="28"/>
          <w:szCs w:val="28"/>
        </w:rPr>
        <w:t>四</w:t>
      </w:r>
      <w:r w:rsidRPr="001B6E4D">
        <w:rPr>
          <w:rFonts w:ascii="標楷體" w:eastAsia="標楷體" w:hAnsi="標楷體" w:cs="標楷體"/>
          <w:color w:val="000000"/>
          <w:kern w:val="0"/>
          <w:sz w:val="28"/>
          <w:szCs w:val="28"/>
        </w:rPr>
        <w:t>）上午9時至</w:t>
      </w:r>
      <w:r w:rsidRPr="001B6E4D">
        <w:rPr>
          <w:rFonts w:ascii="標楷體" w:eastAsia="標楷體" w:hAnsi="標楷體" w:cs="標楷體" w:hint="eastAsia"/>
          <w:color w:val="000000"/>
          <w:kern w:val="0"/>
          <w:sz w:val="28"/>
          <w:szCs w:val="28"/>
        </w:rPr>
        <w:t>11</w:t>
      </w:r>
      <w:r w:rsidRPr="001B6E4D">
        <w:rPr>
          <w:rFonts w:ascii="標楷體" w:eastAsia="標楷體" w:hAnsi="標楷體" w:cs="標楷體"/>
          <w:color w:val="000000"/>
          <w:kern w:val="0"/>
          <w:sz w:val="28"/>
          <w:szCs w:val="28"/>
        </w:rPr>
        <w:t>時</w:t>
      </w:r>
      <w:r w:rsidRPr="001B6E4D">
        <w:rPr>
          <w:rFonts w:ascii="標楷體" w:eastAsia="標楷體" w:hAnsi="標楷體" w:cs="標楷體" w:hint="eastAsia"/>
          <w:color w:val="000000"/>
          <w:kern w:val="0"/>
          <w:sz w:val="28"/>
          <w:szCs w:val="28"/>
        </w:rPr>
        <w:t>28</w:t>
      </w:r>
      <w:r w:rsidRPr="001B6E4D">
        <w:rPr>
          <w:rFonts w:ascii="標楷體" w:eastAsia="標楷體" w:hAnsi="標楷體" w:cs="標楷體"/>
          <w:color w:val="000000"/>
          <w:kern w:val="0"/>
          <w:sz w:val="28"/>
          <w:szCs w:val="28"/>
        </w:rPr>
        <w:t>分</w:t>
      </w:r>
    </w:p>
    <w:p w14:paraId="76482AC2" w14:textId="77777777" w:rsidR="00201B77" w:rsidRPr="001B6E4D" w:rsidRDefault="00201B77" w:rsidP="003D1018">
      <w:pPr>
        <w:widowControl w:val="0"/>
        <w:overflowPunct w:val="0"/>
        <w:autoSpaceDE w:val="0"/>
        <w:autoSpaceDN w:val="0"/>
        <w:adjustRightInd w:val="0"/>
        <w:spacing w:line="360" w:lineRule="exact"/>
        <w:ind w:left="848" w:hangingChars="303" w:hanging="848"/>
        <w:jc w:val="both"/>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地　　點：</w:t>
      </w:r>
      <w:bookmarkStart w:id="457" w:name="地點"/>
      <w:bookmarkEnd w:id="457"/>
      <w:r w:rsidRPr="001B6E4D">
        <w:rPr>
          <w:rFonts w:ascii="標楷體" w:eastAsia="標楷體" w:hAnsi="標楷體" w:cs="標楷體" w:hint="eastAsia"/>
          <w:color w:val="000000"/>
          <w:kern w:val="0"/>
          <w:sz w:val="28"/>
          <w:szCs w:val="28"/>
        </w:rPr>
        <w:t>本院紅樓</w:t>
      </w:r>
      <w:r w:rsidRPr="001B6E4D">
        <w:rPr>
          <w:rFonts w:ascii="標楷體" w:eastAsia="標楷體" w:hAnsi="標楷體" w:cs="標楷體"/>
          <w:color w:val="000000"/>
          <w:kern w:val="0"/>
          <w:sz w:val="28"/>
          <w:szCs w:val="28"/>
        </w:rPr>
        <w:t>302會議室</w:t>
      </w:r>
    </w:p>
    <w:p w14:paraId="499D5594" w14:textId="77777777" w:rsidR="00201B77" w:rsidRPr="001B6E4D" w:rsidRDefault="00201B77" w:rsidP="003D1018">
      <w:pPr>
        <w:widowControl w:val="0"/>
        <w:overflowPunct w:val="0"/>
        <w:autoSpaceDE w:val="0"/>
        <w:autoSpaceDN w:val="0"/>
        <w:adjustRightInd w:val="0"/>
        <w:spacing w:line="360" w:lineRule="exact"/>
        <w:ind w:left="1386" w:hangingChars="495" w:hanging="1386"/>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出席委員：</w:t>
      </w:r>
      <w:bookmarkStart w:id="458" w:name="出席委員"/>
      <w:bookmarkEnd w:id="458"/>
      <w:r w:rsidRPr="001B6E4D">
        <w:rPr>
          <w:rFonts w:ascii="標楷體" w:eastAsia="標楷體" w:hAnsi="標楷體" w:cs="標楷體" w:hint="eastAsia"/>
          <w:color w:val="000000"/>
          <w:kern w:val="0"/>
          <w:sz w:val="28"/>
          <w:szCs w:val="28"/>
        </w:rPr>
        <w:t>陳昭姿</w:t>
      </w:r>
      <w:r w:rsidRPr="001B6E4D">
        <w:rPr>
          <w:rFonts w:ascii="標楷體" w:eastAsia="標楷體" w:hAnsi="標楷體" w:cs="標楷體" w:hint="eastAsia"/>
          <w:color w:val="000000"/>
          <w:kern w:val="0"/>
          <w:sz w:val="28"/>
          <w:szCs w:val="28"/>
        </w:rPr>
        <w:tab/>
        <w:t>吳宗憲</w:t>
      </w:r>
      <w:r w:rsidRPr="001B6E4D">
        <w:rPr>
          <w:rFonts w:ascii="標楷體" w:eastAsia="標楷體" w:hAnsi="標楷體" w:cs="標楷體" w:hint="eastAsia"/>
          <w:color w:val="000000"/>
          <w:kern w:val="0"/>
          <w:sz w:val="28"/>
          <w:szCs w:val="28"/>
        </w:rPr>
        <w:tab/>
      </w:r>
      <w:r w:rsidRPr="001B6E4D">
        <w:rPr>
          <w:rFonts w:ascii="標楷體" w:eastAsia="標楷體" w:hAnsi="標楷體" w:cs="標楷體" w:hint="eastAsia"/>
          <w:kern w:val="0"/>
          <w:sz w:val="28"/>
          <w:szCs w:val="28"/>
        </w:rPr>
        <w:t>莊瑞雄</w:t>
      </w:r>
      <w:r w:rsidRPr="001B6E4D">
        <w:rPr>
          <w:rFonts w:ascii="標楷體" w:eastAsia="標楷體" w:hAnsi="標楷體" w:cs="標楷體" w:hint="eastAsia"/>
          <w:color w:val="000000"/>
          <w:kern w:val="0"/>
          <w:sz w:val="28"/>
          <w:szCs w:val="28"/>
        </w:rPr>
        <w:tab/>
        <w:t>張雅琳</w:t>
      </w:r>
      <w:r w:rsidRPr="001B6E4D">
        <w:rPr>
          <w:rFonts w:ascii="標楷體" w:eastAsia="標楷體" w:hAnsi="標楷體" w:cs="標楷體" w:hint="eastAsia"/>
          <w:color w:val="000000"/>
          <w:kern w:val="0"/>
          <w:sz w:val="28"/>
          <w:szCs w:val="28"/>
        </w:rPr>
        <w:tab/>
      </w:r>
      <w:proofErr w:type="gramStart"/>
      <w:r w:rsidRPr="001B6E4D">
        <w:rPr>
          <w:rFonts w:ascii="標楷體" w:eastAsia="標楷體" w:hAnsi="標楷體" w:hint="eastAsia"/>
          <w:color w:val="000000"/>
          <w:kern w:val="0"/>
          <w:sz w:val="28"/>
          <w:szCs w:val="28"/>
        </w:rPr>
        <w:t>范</w:t>
      </w:r>
      <w:proofErr w:type="gramEnd"/>
      <w:r w:rsidRPr="001B6E4D">
        <w:rPr>
          <w:rFonts w:ascii="標楷體" w:eastAsia="標楷體" w:hAnsi="標楷體" w:hint="eastAsia"/>
          <w:color w:val="000000"/>
          <w:kern w:val="0"/>
          <w:sz w:val="28"/>
          <w:szCs w:val="28"/>
        </w:rPr>
        <w:t xml:space="preserve">  雲</w:t>
      </w:r>
      <w:r w:rsidRPr="001B6E4D">
        <w:rPr>
          <w:rFonts w:ascii="標楷體" w:eastAsia="標楷體" w:hAnsi="標楷體" w:cs="標楷體" w:hint="eastAsia"/>
          <w:color w:val="000000"/>
          <w:kern w:val="0"/>
          <w:sz w:val="28"/>
          <w:szCs w:val="28"/>
        </w:rPr>
        <w:tab/>
        <w:t>沈發惠</w:t>
      </w:r>
      <w:r w:rsidRPr="001B6E4D">
        <w:rPr>
          <w:rFonts w:ascii="標楷體" w:eastAsia="標楷體" w:hAnsi="標楷體" w:cs="標楷體" w:hint="eastAsia"/>
          <w:color w:val="000000"/>
          <w:kern w:val="0"/>
          <w:sz w:val="28"/>
          <w:szCs w:val="28"/>
        </w:rPr>
        <w:tab/>
      </w:r>
      <w:r w:rsidRPr="001B6E4D">
        <w:rPr>
          <w:rFonts w:ascii="標楷體" w:eastAsia="標楷體" w:hAnsi="標楷體" w:cs="標楷體" w:hint="eastAsia"/>
          <w:kern w:val="0"/>
          <w:sz w:val="28"/>
          <w:szCs w:val="28"/>
        </w:rPr>
        <w:t>翁曉玲</w:t>
      </w:r>
      <w:r w:rsidRPr="001B6E4D">
        <w:rPr>
          <w:rFonts w:ascii="標楷體" w:eastAsia="標楷體" w:hAnsi="標楷體" w:cs="標楷體" w:hint="eastAsia"/>
          <w:color w:val="000000"/>
          <w:kern w:val="0"/>
          <w:sz w:val="28"/>
          <w:szCs w:val="28"/>
        </w:rPr>
        <w:tab/>
      </w:r>
    </w:p>
    <w:p w14:paraId="33E8E768" w14:textId="77777777" w:rsidR="00201B77" w:rsidRPr="001B6E4D" w:rsidRDefault="00201B77" w:rsidP="003D1018">
      <w:pPr>
        <w:widowControl w:val="0"/>
        <w:overflowPunct w:val="0"/>
        <w:snapToGrid w:val="0"/>
        <w:ind w:leftChars="239" w:left="574" w:firstLineChars="300" w:firstLine="840"/>
        <w:rPr>
          <w:rFonts w:ascii="標楷體" w:eastAsia="標楷體" w:hAnsi="標楷體" w:cs="Arial"/>
          <w:sz w:val="28"/>
          <w:szCs w:val="28"/>
        </w:rPr>
      </w:pPr>
      <w:r w:rsidRPr="001B6E4D">
        <w:rPr>
          <w:rFonts w:ascii="標楷體" w:eastAsia="標楷體" w:hAnsi="標楷體" w:hint="eastAsia"/>
          <w:sz w:val="28"/>
          <w:szCs w:val="28"/>
        </w:rPr>
        <w:t>林沛祥</w:t>
      </w:r>
      <w:r w:rsidRPr="001B6E4D">
        <w:rPr>
          <w:rFonts w:ascii="標楷體" w:eastAsia="標楷體" w:hAnsi="標楷體" w:cs="Arial" w:hint="eastAsia"/>
          <w:sz w:val="28"/>
          <w:szCs w:val="28"/>
        </w:rPr>
        <w:tab/>
      </w:r>
      <w:r w:rsidRPr="001B6E4D">
        <w:rPr>
          <w:rFonts w:ascii="標楷體" w:eastAsia="標楷體" w:hAnsi="標楷體" w:hint="eastAsia"/>
          <w:sz w:val="28"/>
          <w:szCs w:val="28"/>
        </w:rPr>
        <w:t>蔡其昌</w:t>
      </w:r>
      <w:r w:rsidRPr="001B6E4D">
        <w:rPr>
          <w:rFonts w:ascii="標楷體" w:eastAsia="標楷體" w:hAnsi="標楷體" w:cs="Arial" w:hint="eastAsia"/>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cs="Arial" w:hint="eastAsia"/>
          <w:sz w:val="28"/>
          <w:szCs w:val="28"/>
        </w:rPr>
        <w:tab/>
      </w:r>
      <w:r w:rsidRPr="001B6E4D">
        <w:rPr>
          <w:rFonts w:ascii="標楷體" w:eastAsia="標楷體" w:hAnsi="標楷體" w:hint="eastAsia"/>
          <w:sz w:val="28"/>
          <w:szCs w:val="28"/>
        </w:rPr>
        <w:t>傅崐萁</w:t>
      </w:r>
      <w:r w:rsidRPr="001B6E4D">
        <w:rPr>
          <w:rFonts w:ascii="標楷體" w:eastAsia="標楷體" w:hAnsi="標楷體" w:cs="Arial" w:hint="eastAsia"/>
          <w:sz w:val="28"/>
          <w:szCs w:val="28"/>
        </w:rPr>
        <w:tab/>
      </w:r>
    </w:p>
    <w:p w14:paraId="0902560E" w14:textId="77777777" w:rsidR="00201B77" w:rsidRPr="001B6E4D" w:rsidRDefault="00201B77" w:rsidP="003D1018">
      <w:pPr>
        <w:widowControl w:val="0"/>
        <w:overflowPunct w:val="0"/>
        <w:autoSpaceDE w:val="0"/>
        <w:autoSpaceDN w:val="0"/>
        <w:adjustRightInd w:val="0"/>
        <w:spacing w:line="360" w:lineRule="exact"/>
        <w:ind w:leftChars="353" w:left="847" w:firstLineChars="203" w:firstLine="56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委員出席11人</w:t>
      </w:r>
      <w:r w:rsidRPr="001B6E4D">
        <w:rPr>
          <w:rFonts w:ascii="標楷體" w:eastAsia="標楷體" w:hAnsi="標楷體" w:cs="標楷體" w:hint="eastAsia"/>
          <w:color w:val="000000"/>
          <w:kern w:val="0"/>
          <w:sz w:val="28"/>
          <w:szCs w:val="28"/>
        </w:rPr>
        <w:tab/>
      </w:r>
    </w:p>
    <w:p w14:paraId="39ABFF53" w14:textId="77777777" w:rsidR="00201B77" w:rsidRPr="001B6E4D" w:rsidRDefault="00201B77" w:rsidP="003D1018">
      <w:pPr>
        <w:widowControl w:val="0"/>
        <w:overflowPunct w:val="0"/>
        <w:autoSpaceDE w:val="0"/>
        <w:autoSpaceDN w:val="0"/>
        <w:adjustRightInd w:val="0"/>
        <w:spacing w:line="360" w:lineRule="exact"/>
        <w:ind w:left="848" w:hangingChars="303" w:hanging="848"/>
        <w:rPr>
          <w:rFonts w:ascii="標楷體" w:eastAsia="標楷體" w:hAnsi="標楷體" w:cs="標楷體"/>
          <w:kern w:val="0"/>
          <w:sz w:val="28"/>
          <w:szCs w:val="28"/>
        </w:rPr>
      </w:pPr>
      <w:r w:rsidRPr="001B6E4D">
        <w:rPr>
          <w:rFonts w:ascii="標楷體" w:eastAsia="標楷體" w:hAnsi="標楷體" w:cs="標楷體" w:hint="eastAsia"/>
          <w:color w:val="000000"/>
          <w:kern w:val="0"/>
          <w:sz w:val="28"/>
          <w:szCs w:val="28"/>
        </w:rPr>
        <w:t>列席委員：</w:t>
      </w:r>
      <w:r w:rsidRPr="001B6E4D">
        <w:rPr>
          <w:rFonts w:ascii="標楷體" w:eastAsia="標楷體" w:hAnsi="標楷體" w:cs="標楷體" w:hint="eastAsia"/>
          <w:kern w:val="0"/>
          <w:sz w:val="28"/>
          <w:szCs w:val="28"/>
        </w:rPr>
        <w:t>鍾佳濱</w:t>
      </w:r>
      <w:r w:rsidRPr="001B6E4D">
        <w:rPr>
          <w:rFonts w:ascii="標楷體" w:eastAsia="標楷體" w:hAnsi="標楷體" w:cs="標楷體" w:hint="eastAsia"/>
          <w:color w:val="000000"/>
          <w:kern w:val="0"/>
          <w:sz w:val="28"/>
          <w:szCs w:val="28"/>
        </w:rPr>
        <w:tab/>
      </w:r>
      <w:r w:rsidRPr="001B6E4D">
        <w:rPr>
          <w:rFonts w:ascii="標楷體" w:eastAsia="標楷體" w:hAnsi="標楷體" w:cs="標楷體" w:hint="eastAsia"/>
          <w:kern w:val="0"/>
          <w:sz w:val="28"/>
          <w:szCs w:val="28"/>
        </w:rPr>
        <w:t>洪孟楷</w:t>
      </w:r>
      <w:r w:rsidRPr="001B6E4D">
        <w:rPr>
          <w:rFonts w:ascii="標楷體" w:eastAsia="標楷體" w:hAnsi="標楷體" w:cs="標楷體" w:hint="eastAsia"/>
          <w:color w:val="000000"/>
          <w:kern w:val="0"/>
          <w:sz w:val="28"/>
          <w:szCs w:val="28"/>
        </w:rPr>
        <w:tab/>
      </w:r>
      <w:r w:rsidRPr="001B6E4D">
        <w:rPr>
          <w:rFonts w:ascii="標楷體" w:eastAsia="標楷體" w:hAnsi="標楷體" w:cs="標楷體" w:hint="eastAsia"/>
          <w:kern w:val="0"/>
          <w:sz w:val="28"/>
          <w:szCs w:val="28"/>
        </w:rPr>
        <w:t>賴士葆</w:t>
      </w:r>
      <w:r w:rsidRPr="001B6E4D">
        <w:rPr>
          <w:rFonts w:ascii="標楷體" w:eastAsia="標楷體" w:hAnsi="標楷體" w:cs="標楷體" w:hint="eastAsia"/>
          <w:color w:val="000000"/>
          <w:kern w:val="0"/>
          <w:sz w:val="28"/>
          <w:szCs w:val="28"/>
        </w:rPr>
        <w:tab/>
        <w:t>蔡易餘</w:t>
      </w:r>
      <w:r w:rsidRPr="001B6E4D">
        <w:rPr>
          <w:rFonts w:ascii="標楷體" w:eastAsia="標楷體" w:hAnsi="標楷體" w:cs="標楷體" w:hint="eastAsia"/>
          <w:color w:val="000000"/>
          <w:kern w:val="0"/>
          <w:sz w:val="28"/>
          <w:szCs w:val="28"/>
        </w:rPr>
        <w:tab/>
      </w:r>
      <w:r w:rsidRPr="001B6E4D">
        <w:rPr>
          <w:rFonts w:ascii="標楷體" w:eastAsia="標楷體" w:hAnsi="標楷體" w:cs="標楷體" w:hint="eastAsia"/>
          <w:kern w:val="0"/>
          <w:sz w:val="28"/>
          <w:szCs w:val="28"/>
        </w:rPr>
        <w:t>羅明才</w:t>
      </w:r>
    </w:p>
    <w:p w14:paraId="166EDB63" w14:textId="77777777" w:rsidR="00201B77" w:rsidRPr="001B6E4D" w:rsidRDefault="00201B77" w:rsidP="003D1018">
      <w:pPr>
        <w:widowControl w:val="0"/>
        <w:overflowPunct w:val="0"/>
        <w:autoSpaceDE w:val="0"/>
        <w:autoSpaceDN w:val="0"/>
        <w:adjustRightInd w:val="0"/>
        <w:spacing w:line="360" w:lineRule="exact"/>
        <w:ind w:leftChars="577" w:left="1385" w:firstLineChars="11" w:firstLine="31"/>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委員列席5人</w:t>
      </w:r>
    </w:p>
    <w:p w14:paraId="35E31C56" w14:textId="77777777" w:rsidR="00201B77" w:rsidRPr="001B6E4D" w:rsidRDefault="00201B77" w:rsidP="003D1018">
      <w:pPr>
        <w:widowControl w:val="0"/>
        <w:overflowPunct w:val="0"/>
        <w:autoSpaceDE w:val="0"/>
        <w:autoSpaceDN w:val="0"/>
        <w:adjustRightInd w:val="0"/>
        <w:spacing w:line="360" w:lineRule="exact"/>
        <w:ind w:left="848" w:hangingChars="303" w:hanging="848"/>
        <w:rPr>
          <w:rFonts w:ascii="標楷體" w:eastAsia="標楷體" w:hAnsi="標楷體" w:cs="Arial"/>
          <w:kern w:val="0"/>
          <w:sz w:val="28"/>
          <w:szCs w:val="28"/>
        </w:rPr>
      </w:pPr>
      <w:r w:rsidRPr="001B6E4D">
        <w:rPr>
          <w:rFonts w:ascii="標楷體" w:eastAsia="標楷體" w:hAnsi="標楷體" w:cs="標楷體" w:hint="eastAsia"/>
          <w:color w:val="000000"/>
          <w:kern w:val="0"/>
          <w:sz w:val="28"/>
          <w:szCs w:val="28"/>
        </w:rPr>
        <w:t>列席官員：</w:t>
      </w:r>
      <w:r w:rsidRPr="001B6E4D">
        <w:rPr>
          <w:rFonts w:ascii="標楷體" w:eastAsia="標楷體" w:hAnsi="標楷體" w:cs="Arial" w:hint="eastAsia"/>
          <w:kern w:val="0"/>
          <w:sz w:val="28"/>
          <w:szCs w:val="28"/>
        </w:rPr>
        <w:t>法務部部長兼</w:t>
      </w:r>
      <w:r w:rsidRPr="001B6E4D">
        <w:rPr>
          <w:rFonts w:ascii="標楷體" w:eastAsia="標楷體" w:hAnsi="標楷體" w:hint="eastAsia"/>
          <w:sz w:val="28"/>
          <w:szCs w:val="28"/>
        </w:rPr>
        <w:t>毒品防制基金主持人</w:t>
      </w:r>
      <w:r w:rsidRPr="001B6E4D">
        <w:rPr>
          <w:rFonts w:ascii="標楷體" w:eastAsia="標楷體" w:hAnsi="標楷體" w:cs="Arial" w:hint="eastAsia"/>
          <w:kern w:val="0"/>
          <w:sz w:val="28"/>
          <w:szCs w:val="28"/>
        </w:rPr>
        <w:t xml:space="preserve">　鄭銘謙</w:t>
      </w:r>
    </w:p>
    <w:p w14:paraId="64C2F1FF"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spacing w:val="-4"/>
          <w:kern w:val="0"/>
          <w:sz w:val="28"/>
          <w:szCs w:val="28"/>
        </w:rPr>
      </w:pPr>
      <w:r w:rsidRPr="001B6E4D">
        <w:rPr>
          <w:rFonts w:ascii="標楷體" w:eastAsia="標楷體" w:hAnsi="標楷體" w:cs="Arial" w:hint="eastAsia"/>
          <w:kern w:val="0"/>
          <w:sz w:val="28"/>
          <w:szCs w:val="28"/>
        </w:rPr>
        <w:t xml:space="preserve">      </w:t>
      </w:r>
      <w:r w:rsidRPr="001B6E4D">
        <w:rPr>
          <w:rFonts w:ascii="標楷體" w:eastAsia="標楷體" w:hAnsi="標楷體" w:cs="Arial" w:hint="eastAsia"/>
          <w:spacing w:val="-4"/>
          <w:kern w:val="0"/>
          <w:sz w:val="28"/>
          <w:szCs w:val="28"/>
        </w:rPr>
        <w:t>政務次長兼法務部矯正機關作業基金主持人　黃謀信</w:t>
      </w:r>
    </w:p>
    <w:p w14:paraId="25CAACEA"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lang w:val="x-none"/>
        </w:rPr>
      </w:pPr>
      <w:r w:rsidRPr="001B6E4D">
        <w:rPr>
          <w:rFonts w:ascii="標楷體" w:eastAsia="標楷體" w:hAnsi="標楷體" w:cs="Arial" w:hint="eastAsia"/>
          <w:kern w:val="0"/>
          <w:sz w:val="28"/>
          <w:szCs w:val="28"/>
        </w:rPr>
        <w:t xml:space="preserve">最高檢察署檢察總長　</w:t>
      </w:r>
      <w:r w:rsidRPr="001B6E4D">
        <w:rPr>
          <w:rFonts w:ascii="標楷體" w:eastAsia="標楷體" w:hAnsi="標楷體" w:cs="Arial" w:hint="eastAsia"/>
          <w:kern w:val="0"/>
          <w:sz w:val="28"/>
          <w:szCs w:val="28"/>
          <w:lang w:val="x-none"/>
        </w:rPr>
        <w:t>邢泰釗(9</w:t>
      </w:r>
      <w:r w:rsidRPr="001B6E4D">
        <w:rPr>
          <w:rFonts w:ascii="標楷體" w:eastAsia="標楷體" w:hAnsi="標楷體" w:cs="Arial"/>
          <w:kern w:val="0"/>
          <w:sz w:val="28"/>
          <w:szCs w:val="28"/>
          <w:lang w:val="x-none"/>
        </w:rPr>
        <w:t>時</w:t>
      </w:r>
      <w:r w:rsidRPr="001B6E4D">
        <w:rPr>
          <w:rFonts w:ascii="標楷體" w:eastAsia="標楷體" w:hAnsi="標楷體" w:cs="Arial" w:hint="eastAsia"/>
          <w:kern w:val="0"/>
          <w:sz w:val="28"/>
          <w:szCs w:val="28"/>
          <w:lang w:val="x-none"/>
        </w:rPr>
        <w:t>2</w:t>
      </w:r>
      <w:r w:rsidRPr="001B6E4D">
        <w:rPr>
          <w:rFonts w:ascii="標楷體" w:eastAsia="標楷體" w:hAnsi="標楷體" w:cs="Arial"/>
          <w:kern w:val="0"/>
          <w:sz w:val="28"/>
          <w:szCs w:val="28"/>
          <w:lang w:val="x-none"/>
        </w:rPr>
        <w:t>0分</w:t>
      </w:r>
      <w:r w:rsidRPr="001B6E4D">
        <w:rPr>
          <w:rFonts w:ascii="標楷體" w:eastAsia="標楷體" w:hAnsi="標楷體" w:cs="Arial" w:hint="eastAsia"/>
          <w:kern w:val="0"/>
          <w:sz w:val="28"/>
          <w:szCs w:val="28"/>
          <w:lang w:val="x-none"/>
        </w:rPr>
        <w:t>以</w:t>
      </w:r>
      <w:r w:rsidRPr="001B6E4D">
        <w:rPr>
          <w:rFonts w:ascii="標楷體" w:eastAsia="標楷體" w:hAnsi="標楷體" w:cs="Arial"/>
          <w:kern w:val="0"/>
          <w:sz w:val="28"/>
          <w:szCs w:val="28"/>
          <w:lang w:val="x-none"/>
        </w:rPr>
        <w:t>前</w:t>
      </w:r>
      <w:r w:rsidRPr="001B6E4D">
        <w:rPr>
          <w:rFonts w:ascii="標楷體" w:eastAsia="標楷體" w:hAnsi="標楷體" w:cs="Arial" w:hint="eastAsia"/>
          <w:kern w:val="0"/>
          <w:sz w:val="28"/>
          <w:szCs w:val="28"/>
          <w:lang w:val="x-none"/>
        </w:rPr>
        <w:t>)</w:t>
      </w:r>
    </w:p>
    <w:p w14:paraId="6B584859"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 xml:space="preserve">          主任檢察官　呂文忠</w:t>
      </w:r>
      <w:r w:rsidRPr="001B6E4D">
        <w:rPr>
          <w:rFonts w:ascii="標楷體" w:eastAsia="標楷體" w:hAnsi="標楷體" w:cs="Arial" w:hint="eastAsia"/>
          <w:kern w:val="0"/>
          <w:sz w:val="28"/>
          <w:szCs w:val="28"/>
          <w:lang w:val="x-none"/>
        </w:rPr>
        <w:t>(9</w:t>
      </w:r>
      <w:r w:rsidRPr="001B6E4D">
        <w:rPr>
          <w:rFonts w:ascii="標楷體" w:eastAsia="標楷體" w:hAnsi="標楷體" w:cs="Arial"/>
          <w:kern w:val="0"/>
          <w:sz w:val="28"/>
          <w:szCs w:val="28"/>
          <w:lang w:val="x-none"/>
        </w:rPr>
        <w:t>時</w:t>
      </w:r>
      <w:r w:rsidRPr="001B6E4D">
        <w:rPr>
          <w:rFonts w:ascii="標楷體" w:eastAsia="標楷體" w:hAnsi="標楷體" w:cs="Arial" w:hint="eastAsia"/>
          <w:kern w:val="0"/>
          <w:sz w:val="28"/>
          <w:szCs w:val="28"/>
          <w:lang w:val="x-none"/>
        </w:rPr>
        <w:t>2</w:t>
      </w:r>
      <w:r w:rsidRPr="001B6E4D">
        <w:rPr>
          <w:rFonts w:ascii="標楷體" w:eastAsia="標楷體" w:hAnsi="標楷體" w:cs="Arial"/>
          <w:kern w:val="0"/>
          <w:sz w:val="28"/>
          <w:szCs w:val="28"/>
          <w:lang w:val="x-none"/>
        </w:rPr>
        <w:t>0分</w:t>
      </w:r>
      <w:r w:rsidRPr="001B6E4D">
        <w:rPr>
          <w:rFonts w:ascii="標楷體" w:eastAsia="標楷體" w:hAnsi="標楷體" w:cs="Arial" w:hint="eastAsia"/>
          <w:kern w:val="0"/>
          <w:sz w:val="28"/>
          <w:szCs w:val="28"/>
          <w:lang w:val="x-none"/>
        </w:rPr>
        <w:t>以後)</w:t>
      </w:r>
    </w:p>
    <w:p w14:paraId="34DC7924"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 xml:space="preserve">法務部調查局局長　</w:t>
      </w:r>
      <w:r w:rsidRPr="001B6E4D">
        <w:rPr>
          <w:rFonts w:ascii="標楷體" w:eastAsia="標楷體" w:hAnsi="標楷體" w:cs="Arial" w:hint="eastAsia"/>
          <w:color w:val="000000"/>
          <w:sz w:val="28"/>
          <w:szCs w:val="28"/>
        </w:rPr>
        <w:t>陳白立</w:t>
      </w:r>
    </w:p>
    <w:p w14:paraId="092028D5"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 xml:space="preserve">法務部廉政署署長　</w:t>
      </w:r>
      <w:r w:rsidRPr="001B6E4D">
        <w:rPr>
          <w:rFonts w:ascii="標楷體" w:eastAsia="標楷體" w:hAnsi="標楷體" w:cs="Arial" w:hint="eastAsia"/>
          <w:color w:val="000000"/>
          <w:sz w:val="28"/>
          <w:szCs w:val="28"/>
        </w:rPr>
        <w:t>謝名冠</w:t>
      </w:r>
    </w:p>
    <w:p w14:paraId="31CB232F"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法務部矯正署署長　林憲銘</w:t>
      </w:r>
    </w:p>
    <w:p w14:paraId="59119791"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法務部行政執行署署長　繆卓然</w:t>
      </w:r>
    </w:p>
    <w:p w14:paraId="12F0792F"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法務部司法官學院院長　吳巡龍</w:t>
      </w:r>
    </w:p>
    <w:p w14:paraId="2E65BBF1"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 xml:space="preserve">法務部法醫研究所所長　</w:t>
      </w:r>
      <w:r w:rsidRPr="001B6E4D">
        <w:rPr>
          <w:rFonts w:ascii="標楷體" w:eastAsia="標楷體" w:hAnsi="標楷體" w:cs="Arial" w:hint="eastAsia"/>
          <w:color w:val="000000"/>
          <w:sz w:val="28"/>
          <w:szCs w:val="28"/>
        </w:rPr>
        <w:t>侯寬仁</w:t>
      </w:r>
    </w:p>
    <w:p w14:paraId="0FE7EB6A" w14:textId="77777777" w:rsidR="00201B77" w:rsidRPr="001B6E4D" w:rsidRDefault="00201B77" w:rsidP="003D1018">
      <w:pPr>
        <w:widowControl w:val="0"/>
        <w:overflowPunct w:val="0"/>
        <w:adjustRightInd w:val="0"/>
        <w:snapToGrid w:val="0"/>
        <w:spacing w:line="360" w:lineRule="exact"/>
        <w:ind w:leftChars="584" w:left="1402"/>
        <w:jc w:val="both"/>
        <w:rPr>
          <w:rFonts w:ascii="標楷體" w:eastAsia="標楷體" w:hAnsi="標楷體" w:cs="Arial"/>
          <w:color w:val="000000"/>
          <w:sz w:val="28"/>
          <w:szCs w:val="28"/>
        </w:rPr>
      </w:pPr>
      <w:r w:rsidRPr="001B6E4D">
        <w:rPr>
          <w:rFonts w:ascii="標楷體" w:eastAsia="標楷體" w:hAnsi="標楷體" w:cs="Arial" w:hint="eastAsia"/>
          <w:kern w:val="0"/>
          <w:sz w:val="28"/>
          <w:szCs w:val="28"/>
        </w:rPr>
        <w:t>臺灣高等檢察署檢察長</w:t>
      </w:r>
      <w:r w:rsidRPr="001B6E4D">
        <w:rPr>
          <w:rFonts w:ascii="標楷體" w:eastAsia="標楷體" w:hAnsi="標楷體" w:cs="Arial" w:hint="eastAsia"/>
          <w:color w:val="000000"/>
          <w:sz w:val="28"/>
          <w:szCs w:val="28"/>
        </w:rPr>
        <w:t>兼財團法人犯罪被害人保護協會及財團法人臺灣更生保護會董事長</w:t>
      </w:r>
      <w:r w:rsidRPr="001B6E4D">
        <w:rPr>
          <w:rFonts w:ascii="標楷體" w:eastAsia="標楷體" w:hAnsi="標楷體" w:cs="Arial" w:hint="eastAsia"/>
          <w:kern w:val="0"/>
          <w:sz w:val="28"/>
          <w:szCs w:val="28"/>
        </w:rPr>
        <w:t xml:space="preserve">　張</w:t>
      </w:r>
      <w:proofErr w:type="gramStart"/>
      <w:r w:rsidRPr="001B6E4D">
        <w:rPr>
          <w:rFonts w:ascii="標楷體" w:eastAsia="標楷體" w:hAnsi="標楷體" w:cs="Arial" w:hint="eastAsia"/>
          <w:kern w:val="0"/>
          <w:sz w:val="28"/>
          <w:szCs w:val="28"/>
        </w:rPr>
        <w:t>斗</w:t>
      </w:r>
      <w:proofErr w:type="gramEnd"/>
      <w:r w:rsidRPr="001B6E4D">
        <w:rPr>
          <w:rFonts w:ascii="標楷體" w:eastAsia="標楷體" w:hAnsi="標楷體" w:cs="Arial" w:hint="eastAsia"/>
          <w:kern w:val="0"/>
          <w:sz w:val="28"/>
          <w:szCs w:val="28"/>
        </w:rPr>
        <w:t>輝</w:t>
      </w:r>
    </w:p>
    <w:p w14:paraId="4F3EF356"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臺灣高等檢察署</w:t>
      </w:r>
      <w:proofErr w:type="gramStart"/>
      <w:r w:rsidRPr="001B6E4D">
        <w:rPr>
          <w:rFonts w:ascii="標楷體" w:eastAsia="標楷體" w:hAnsi="標楷體" w:cs="Arial" w:hint="eastAsia"/>
          <w:kern w:val="0"/>
          <w:sz w:val="28"/>
          <w:szCs w:val="28"/>
        </w:rPr>
        <w:t>臺</w:t>
      </w:r>
      <w:proofErr w:type="gramEnd"/>
      <w:r w:rsidRPr="001B6E4D">
        <w:rPr>
          <w:rFonts w:ascii="標楷體" w:eastAsia="標楷體" w:hAnsi="標楷體" w:cs="Arial" w:hint="eastAsia"/>
          <w:kern w:val="0"/>
          <w:sz w:val="28"/>
          <w:szCs w:val="28"/>
        </w:rPr>
        <w:t xml:space="preserve">中檢察分署檢察長　</w:t>
      </w:r>
      <w:r w:rsidRPr="001B6E4D">
        <w:rPr>
          <w:rFonts w:ascii="標楷體" w:eastAsia="標楷體" w:hAnsi="標楷體" w:cs="Arial" w:hint="eastAsia"/>
          <w:color w:val="000000"/>
          <w:sz w:val="28"/>
          <w:szCs w:val="28"/>
        </w:rPr>
        <w:t>林錦村</w:t>
      </w:r>
    </w:p>
    <w:p w14:paraId="3D09FC10"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臺灣高等檢察署</w:t>
      </w:r>
      <w:proofErr w:type="gramStart"/>
      <w:r w:rsidRPr="001B6E4D">
        <w:rPr>
          <w:rFonts w:ascii="標楷體" w:eastAsia="標楷體" w:hAnsi="標楷體" w:cs="Arial" w:hint="eastAsia"/>
          <w:kern w:val="0"/>
          <w:sz w:val="28"/>
          <w:szCs w:val="28"/>
        </w:rPr>
        <w:t>臺</w:t>
      </w:r>
      <w:proofErr w:type="gramEnd"/>
      <w:r w:rsidRPr="001B6E4D">
        <w:rPr>
          <w:rFonts w:ascii="標楷體" w:eastAsia="標楷體" w:hAnsi="標楷體" w:cs="Arial" w:hint="eastAsia"/>
          <w:kern w:val="0"/>
          <w:sz w:val="28"/>
          <w:szCs w:val="28"/>
        </w:rPr>
        <w:t xml:space="preserve">南檢察分署檢察長　</w:t>
      </w:r>
      <w:r w:rsidRPr="001B6E4D">
        <w:rPr>
          <w:rFonts w:ascii="標楷體" w:eastAsia="標楷體" w:hAnsi="標楷體" w:cs="Arial" w:hint="eastAsia"/>
          <w:color w:val="000000"/>
          <w:sz w:val="28"/>
          <w:szCs w:val="28"/>
        </w:rPr>
        <w:t>黃玉垣</w:t>
      </w:r>
    </w:p>
    <w:p w14:paraId="4317D924"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 xml:space="preserve">臺灣高等檢察署高雄檢察分署檢察長　</w:t>
      </w:r>
      <w:r w:rsidRPr="001B6E4D">
        <w:rPr>
          <w:rFonts w:ascii="標楷體" w:eastAsia="標楷體" w:hAnsi="標楷體" w:cs="Arial" w:hint="eastAsia"/>
          <w:color w:val="000000"/>
          <w:sz w:val="28"/>
          <w:szCs w:val="28"/>
        </w:rPr>
        <w:t>朱家崎</w:t>
      </w:r>
    </w:p>
    <w:p w14:paraId="04F20011"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 xml:space="preserve">臺灣高等檢察署花蓮檢察分署檢察長　</w:t>
      </w:r>
      <w:r w:rsidRPr="001B6E4D">
        <w:rPr>
          <w:rFonts w:ascii="標楷體" w:eastAsia="標楷體" w:hAnsi="標楷體" w:cs="Arial" w:hint="eastAsia"/>
          <w:color w:val="000000"/>
          <w:sz w:val="28"/>
          <w:szCs w:val="28"/>
        </w:rPr>
        <w:t>洪培根</w:t>
      </w:r>
    </w:p>
    <w:p w14:paraId="52F93250"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color w:val="000000"/>
          <w:spacing w:val="-20"/>
          <w:sz w:val="28"/>
          <w:szCs w:val="28"/>
        </w:rPr>
      </w:pPr>
      <w:r w:rsidRPr="001B6E4D">
        <w:rPr>
          <w:rFonts w:ascii="標楷體" w:eastAsia="標楷體" w:hAnsi="標楷體" w:cs="Arial" w:hint="eastAsia"/>
          <w:kern w:val="0"/>
          <w:sz w:val="28"/>
          <w:szCs w:val="28"/>
        </w:rPr>
        <w:t>臺灣高等檢察署智慧財產檢察分署檢察長　張</w:t>
      </w:r>
      <w:proofErr w:type="gramStart"/>
      <w:r w:rsidRPr="001B6E4D">
        <w:rPr>
          <w:rFonts w:ascii="標楷體" w:eastAsia="標楷體" w:hAnsi="標楷體" w:cs="Arial" w:hint="eastAsia"/>
          <w:kern w:val="0"/>
          <w:sz w:val="28"/>
          <w:szCs w:val="28"/>
        </w:rPr>
        <w:t>斗</w:t>
      </w:r>
      <w:proofErr w:type="gramEnd"/>
      <w:r w:rsidRPr="001B6E4D">
        <w:rPr>
          <w:rFonts w:ascii="標楷體" w:eastAsia="標楷體" w:hAnsi="標楷體" w:cs="Arial" w:hint="eastAsia"/>
          <w:kern w:val="0"/>
          <w:sz w:val="28"/>
          <w:szCs w:val="28"/>
        </w:rPr>
        <w:t>輝</w:t>
      </w:r>
    </w:p>
    <w:p w14:paraId="3D0C125C"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w:t>
      </w:r>
      <w:proofErr w:type="gramStart"/>
      <w:r w:rsidRPr="001B6E4D">
        <w:rPr>
          <w:rFonts w:ascii="標楷體" w:eastAsia="標楷體" w:hAnsi="標楷體" w:cs="Arial" w:hint="eastAsia"/>
          <w:kern w:val="0"/>
          <w:sz w:val="28"/>
          <w:szCs w:val="28"/>
        </w:rPr>
        <w:t>臺</w:t>
      </w:r>
      <w:proofErr w:type="gramEnd"/>
      <w:r w:rsidRPr="001B6E4D">
        <w:rPr>
          <w:rFonts w:ascii="標楷體" w:eastAsia="標楷體" w:hAnsi="標楷體" w:cs="Arial" w:hint="eastAsia"/>
          <w:kern w:val="0"/>
          <w:sz w:val="28"/>
          <w:szCs w:val="28"/>
        </w:rPr>
        <w:t>北地方檢察署</w:t>
      </w:r>
      <w:r w:rsidRPr="001B6E4D">
        <w:rPr>
          <w:rFonts w:ascii="標楷體" w:eastAsia="標楷體" w:hAnsi="標楷體" w:cs="Arial" w:hint="eastAsia"/>
          <w:color w:val="000000"/>
          <w:sz w:val="28"/>
          <w:szCs w:val="28"/>
        </w:rPr>
        <w:t>檢察長</w:t>
      </w:r>
      <w:r w:rsidRPr="001B6E4D">
        <w:rPr>
          <w:rFonts w:ascii="標楷體" w:eastAsia="標楷體" w:hAnsi="標楷體" w:cs="Arial" w:hint="eastAsia"/>
          <w:kern w:val="0"/>
          <w:sz w:val="28"/>
          <w:szCs w:val="28"/>
        </w:rPr>
        <w:t xml:space="preserve">　</w:t>
      </w:r>
      <w:r w:rsidRPr="001B6E4D">
        <w:rPr>
          <w:rFonts w:ascii="標楷體" w:eastAsia="標楷體" w:hAnsi="標楷體" w:cs="Arial" w:hint="eastAsia"/>
          <w:color w:val="000000"/>
          <w:sz w:val="28"/>
          <w:szCs w:val="28"/>
        </w:rPr>
        <w:t>王俊力</w:t>
      </w:r>
    </w:p>
    <w:p w14:paraId="13293176"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 xml:space="preserve">臺灣士林地方檢察署檢察長　</w:t>
      </w:r>
      <w:r w:rsidRPr="001B6E4D">
        <w:rPr>
          <w:rFonts w:ascii="標楷體" w:eastAsia="標楷體" w:hAnsi="標楷體" w:cs="Arial" w:hint="eastAsia"/>
          <w:color w:val="000000"/>
          <w:sz w:val="28"/>
          <w:szCs w:val="28"/>
        </w:rPr>
        <w:t>王以文</w:t>
      </w:r>
    </w:p>
    <w:p w14:paraId="2E5B2DC5"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color w:val="000000"/>
          <w:sz w:val="28"/>
          <w:szCs w:val="28"/>
        </w:rPr>
      </w:pPr>
      <w:r w:rsidRPr="001B6E4D">
        <w:rPr>
          <w:rFonts w:ascii="標楷體" w:eastAsia="標楷體" w:hAnsi="標楷體" w:cs="Arial" w:hint="eastAsia"/>
          <w:kern w:val="0"/>
          <w:sz w:val="28"/>
          <w:szCs w:val="28"/>
        </w:rPr>
        <w:t xml:space="preserve">臺灣新北地方檢察署檢察長　</w:t>
      </w:r>
      <w:r w:rsidRPr="001B6E4D">
        <w:rPr>
          <w:rFonts w:ascii="標楷體" w:eastAsia="標楷體" w:hAnsi="標楷體" w:cs="Arial" w:hint="eastAsia"/>
          <w:color w:val="000000"/>
          <w:sz w:val="28"/>
          <w:szCs w:val="28"/>
        </w:rPr>
        <w:t>郭永發</w:t>
      </w:r>
    </w:p>
    <w:p w14:paraId="7AF7B75A"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臺灣桃園地方檢察署檢察長　張春暉</w:t>
      </w:r>
    </w:p>
    <w:p w14:paraId="0C420144"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臺灣新竹地方檢察署檢察長　柯宜</w:t>
      </w:r>
      <w:proofErr w:type="gramStart"/>
      <w:r w:rsidRPr="001B6E4D">
        <w:rPr>
          <w:rFonts w:ascii="標楷體" w:eastAsia="標楷體" w:hAnsi="標楷體" w:cs="Arial" w:hint="eastAsia"/>
          <w:color w:val="000000"/>
          <w:sz w:val="28"/>
          <w:szCs w:val="28"/>
        </w:rPr>
        <w:t>汾</w:t>
      </w:r>
      <w:proofErr w:type="gramEnd"/>
    </w:p>
    <w:p w14:paraId="5B37540F"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 xml:space="preserve">臺灣苗栗地方檢察署檢察長　</w:t>
      </w:r>
      <w:r w:rsidRPr="001B6E4D">
        <w:rPr>
          <w:rFonts w:ascii="標楷體" w:eastAsia="標楷體" w:hAnsi="標楷體" w:cs="Arial" w:hint="eastAsia"/>
          <w:color w:val="000000"/>
          <w:sz w:val="28"/>
          <w:szCs w:val="28"/>
        </w:rPr>
        <w:t>林映姿</w:t>
      </w:r>
    </w:p>
    <w:p w14:paraId="74A0B2CA"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w:t>
      </w:r>
      <w:proofErr w:type="gramStart"/>
      <w:r w:rsidRPr="001B6E4D">
        <w:rPr>
          <w:rFonts w:ascii="標楷體" w:eastAsia="標楷體" w:hAnsi="標楷體" w:cs="Arial" w:hint="eastAsia"/>
          <w:kern w:val="0"/>
          <w:sz w:val="28"/>
          <w:szCs w:val="28"/>
        </w:rPr>
        <w:t>臺</w:t>
      </w:r>
      <w:proofErr w:type="gramEnd"/>
      <w:r w:rsidRPr="001B6E4D">
        <w:rPr>
          <w:rFonts w:ascii="標楷體" w:eastAsia="標楷體" w:hAnsi="標楷體" w:cs="Arial" w:hint="eastAsia"/>
          <w:kern w:val="0"/>
          <w:sz w:val="28"/>
          <w:szCs w:val="28"/>
        </w:rPr>
        <w:t>中地方檢察署檢察長　洪家原</w:t>
      </w:r>
    </w:p>
    <w:p w14:paraId="53F7EC70"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臺灣南投地方檢察署檢察長　周士榆</w:t>
      </w:r>
    </w:p>
    <w:p w14:paraId="693664AB"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臺灣彰化地方檢察署檢察長　黃智勇</w:t>
      </w:r>
    </w:p>
    <w:p w14:paraId="66C0E81C"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臺灣雲林地方檢察署檢察長　林秀敏</w:t>
      </w:r>
    </w:p>
    <w:p w14:paraId="11955AE8"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臺灣嘉義地方檢察署檢察長　蔡宗熙</w:t>
      </w:r>
    </w:p>
    <w:p w14:paraId="29CD3CDE"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w:t>
      </w:r>
      <w:proofErr w:type="gramStart"/>
      <w:r w:rsidRPr="001B6E4D">
        <w:rPr>
          <w:rFonts w:ascii="標楷體" w:eastAsia="標楷體" w:hAnsi="標楷體" w:cs="Arial" w:hint="eastAsia"/>
          <w:kern w:val="0"/>
          <w:sz w:val="28"/>
          <w:szCs w:val="28"/>
        </w:rPr>
        <w:t>臺</w:t>
      </w:r>
      <w:proofErr w:type="gramEnd"/>
      <w:r w:rsidRPr="001B6E4D">
        <w:rPr>
          <w:rFonts w:ascii="標楷體" w:eastAsia="標楷體" w:hAnsi="標楷體" w:cs="Arial" w:hint="eastAsia"/>
          <w:kern w:val="0"/>
          <w:sz w:val="28"/>
          <w:szCs w:val="28"/>
        </w:rPr>
        <w:t xml:space="preserve">南地方檢察署檢察長　</w:t>
      </w:r>
      <w:r w:rsidRPr="001B6E4D">
        <w:rPr>
          <w:rFonts w:ascii="標楷體" w:eastAsia="標楷體" w:hAnsi="標楷體" w:cs="Arial" w:hint="eastAsia"/>
          <w:color w:val="000000"/>
          <w:sz w:val="28"/>
          <w:szCs w:val="28"/>
        </w:rPr>
        <w:t>鍾和憲</w:t>
      </w:r>
    </w:p>
    <w:p w14:paraId="41A4C82C"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臺灣橋頭地方檢察署檢察長　郭景東</w:t>
      </w:r>
    </w:p>
    <w:p w14:paraId="69A00A50"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臺灣高雄地方檢察署檢察長　黃元冠</w:t>
      </w:r>
    </w:p>
    <w:p w14:paraId="3BB88018"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臺灣屏東地方檢察署檢察長　林彥良</w:t>
      </w:r>
    </w:p>
    <w:p w14:paraId="3016FB2D"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lastRenderedPageBreak/>
        <w:t>臺灣</w:t>
      </w:r>
      <w:proofErr w:type="gramStart"/>
      <w:r w:rsidRPr="001B6E4D">
        <w:rPr>
          <w:rFonts w:ascii="標楷體" w:eastAsia="標楷體" w:hAnsi="標楷體" w:cs="Arial" w:hint="eastAsia"/>
          <w:kern w:val="0"/>
          <w:sz w:val="28"/>
          <w:szCs w:val="28"/>
        </w:rPr>
        <w:t>臺</w:t>
      </w:r>
      <w:proofErr w:type="gramEnd"/>
      <w:r w:rsidRPr="001B6E4D">
        <w:rPr>
          <w:rFonts w:ascii="標楷體" w:eastAsia="標楷體" w:hAnsi="標楷體" w:cs="Arial" w:hint="eastAsia"/>
          <w:kern w:val="0"/>
          <w:sz w:val="28"/>
          <w:szCs w:val="28"/>
        </w:rPr>
        <w:t>東地方檢察署檢察長　蕭方舟</w:t>
      </w:r>
    </w:p>
    <w:p w14:paraId="7CAEBABF"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臺灣花蓮地方檢察署檢察長　陳舒怡</w:t>
      </w:r>
    </w:p>
    <w:p w14:paraId="563F2394"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臺灣宜蘭地方檢察署檢察長　王柏敦</w:t>
      </w:r>
    </w:p>
    <w:p w14:paraId="4F44B7B6"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 xml:space="preserve">臺灣基隆地方檢察署檢察長　</w:t>
      </w:r>
      <w:r w:rsidRPr="001B6E4D">
        <w:rPr>
          <w:rFonts w:ascii="標楷體" w:eastAsia="標楷體" w:hAnsi="標楷體" w:cs="Arial" w:hint="eastAsia"/>
          <w:color w:val="000000"/>
          <w:sz w:val="28"/>
          <w:szCs w:val="28"/>
        </w:rPr>
        <w:t>陳佳秀</w:t>
      </w:r>
    </w:p>
    <w:p w14:paraId="1A489DE2"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臺灣澎湖地方檢察署檢察長　吳怡明</w:t>
      </w:r>
    </w:p>
    <w:p w14:paraId="6EDD95A1" w14:textId="77777777" w:rsidR="00201B77" w:rsidRPr="001B6E4D" w:rsidRDefault="00201B77" w:rsidP="003D1018">
      <w:pPr>
        <w:widowControl w:val="0"/>
        <w:overflowPunct w:val="0"/>
        <w:adjustRightInd w:val="0"/>
        <w:snapToGrid w:val="0"/>
        <w:spacing w:line="360" w:lineRule="exact"/>
        <w:ind w:leftChars="584" w:left="1402"/>
        <w:jc w:val="both"/>
        <w:rPr>
          <w:rFonts w:ascii="標楷體" w:eastAsia="標楷體" w:hAnsi="標楷體" w:cs="Arial"/>
          <w:color w:val="000000"/>
          <w:sz w:val="28"/>
          <w:szCs w:val="28"/>
        </w:rPr>
      </w:pPr>
      <w:r w:rsidRPr="001B6E4D">
        <w:rPr>
          <w:rFonts w:ascii="標楷體" w:eastAsia="標楷體" w:hAnsi="標楷體" w:cs="Arial" w:hint="eastAsia"/>
          <w:kern w:val="0"/>
          <w:sz w:val="28"/>
          <w:szCs w:val="28"/>
        </w:rPr>
        <w:t>福建高等檢察署金門檢察分署檢察長</w:t>
      </w:r>
      <w:r w:rsidRPr="001B6E4D">
        <w:rPr>
          <w:rFonts w:ascii="標楷體" w:eastAsia="標楷體" w:hAnsi="標楷體" w:cs="Arial" w:hint="eastAsia"/>
          <w:color w:val="000000"/>
          <w:sz w:val="28"/>
          <w:szCs w:val="28"/>
        </w:rPr>
        <w:t>兼財團法人福建更生保護會董事長</w:t>
      </w:r>
      <w:r w:rsidRPr="001B6E4D">
        <w:rPr>
          <w:rFonts w:ascii="標楷體" w:eastAsia="標楷體" w:hAnsi="標楷體" w:cs="Arial" w:hint="eastAsia"/>
          <w:kern w:val="0"/>
          <w:sz w:val="28"/>
          <w:szCs w:val="28"/>
        </w:rPr>
        <w:t xml:space="preserve">　</w:t>
      </w:r>
      <w:r w:rsidRPr="001B6E4D">
        <w:rPr>
          <w:rFonts w:ascii="標楷體" w:eastAsia="標楷體" w:hAnsi="標楷體" w:cs="Arial" w:hint="eastAsia"/>
          <w:color w:val="000000"/>
          <w:sz w:val="28"/>
          <w:szCs w:val="28"/>
        </w:rPr>
        <w:t>毛有增</w:t>
      </w:r>
    </w:p>
    <w:p w14:paraId="45C239F9"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kern w:val="0"/>
          <w:sz w:val="28"/>
          <w:szCs w:val="28"/>
        </w:rPr>
      </w:pPr>
      <w:r w:rsidRPr="001B6E4D">
        <w:rPr>
          <w:rFonts w:ascii="標楷體" w:eastAsia="標楷體" w:hAnsi="標楷體" w:cs="Arial" w:hint="eastAsia"/>
          <w:kern w:val="0"/>
          <w:sz w:val="28"/>
          <w:szCs w:val="28"/>
        </w:rPr>
        <w:t>福建金門地方檢察署檢察長　趙燕利</w:t>
      </w:r>
    </w:p>
    <w:p w14:paraId="4736E24B"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color w:val="000000"/>
          <w:sz w:val="28"/>
          <w:szCs w:val="28"/>
        </w:rPr>
      </w:pPr>
      <w:r w:rsidRPr="001B6E4D">
        <w:rPr>
          <w:rFonts w:ascii="標楷體" w:eastAsia="標楷體" w:hAnsi="標楷體" w:cs="Arial" w:hint="eastAsia"/>
          <w:kern w:val="0"/>
          <w:sz w:val="28"/>
          <w:szCs w:val="28"/>
        </w:rPr>
        <w:t>福建連江地方檢察署檢察長　劉俊杰</w:t>
      </w:r>
    </w:p>
    <w:p w14:paraId="1F94331C" w14:textId="77777777" w:rsidR="00201B77" w:rsidRPr="001B6E4D" w:rsidRDefault="00201B77"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snapToGrid w:val="0"/>
          <w:spacing w:val="-10"/>
          <w:sz w:val="28"/>
          <w:szCs w:val="28"/>
        </w:rPr>
      </w:pPr>
      <w:r w:rsidRPr="001B6E4D">
        <w:rPr>
          <w:rFonts w:ascii="標楷體" w:eastAsia="標楷體" w:hAnsi="標楷體" w:cs="Arial" w:hint="eastAsia"/>
          <w:kern w:val="0"/>
          <w:sz w:val="28"/>
          <w:szCs w:val="28"/>
        </w:rPr>
        <w:t>行政院主計總處公務預算處專門委員　陳台偉</w:t>
      </w:r>
    </w:p>
    <w:p w14:paraId="1379872D" w14:textId="77777777" w:rsidR="00201B77" w:rsidRPr="001B6E4D" w:rsidRDefault="00201B77" w:rsidP="003D1018">
      <w:pPr>
        <w:widowControl w:val="0"/>
        <w:overflowPunct w:val="0"/>
        <w:autoSpaceDE w:val="0"/>
        <w:autoSpaceDN w:val="0"/>
        <w:adjustRightInd w:val="0"/>
        <w:spacing w:line="360" w:lineRule="exact"/>
        <w:ind w:left="848" w:hangingChars="303" w:hanging="84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主　　席：</w:t>
      </w:r>
      <w:bookmarkStart w:id="459" w:name="主席"/>
      <w:bookmarkEnd w:id="459"/>
      <w:r w:rsidRPr="001B6E4D">
        <w:rPr>
          <w:rFonts w:ascii="標楷體" w:eastAsia="標楷體" w:hAnsi="標楷體" w:cs="標楷體" w:hint="eastAsia"/>
          <w:color w:val="000000"/>
          <w:kern w:val="0"/>
          <w:sz w:val="28"/>
          <w:szCs w:val="28"/>
        </w:rPr>
        <w:t>翁召集委員曉玲</w:t>
      </w:r>
    </w:p>
    <w:p w14:paraId="38438032" w14:textId="77777777" w:rsidR="00201B77" w:rsidRPr="001B6E4D" w:rsidRDefault="00201B77" w:rsidP="003D1018">
      <w:pPr>
        <w:widowControl w:val="0"/>
        <w:overflowPunct w:val="0"/>
        <w:autoSpaceDE w:val="0"/>
        <w:autoSpaceDN w:val="0"/>
        <w:adjustRightInd w:val="0"/>
        <w:spacing w:line="360" w:lineRule="exact"/>
        <w:ind w:left="848" w:hangingChars="303" w:hanging="84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專門委員：</w:t>
      </w:r>
      <w:bookmarkStart w:id="460" w:name="專門委員"/>
      <w:bookmarkEnd w:id="460"/>
      <w:r w:rsidRPr="001B6E4D">
        <w:rPr>
          <w:rFonts w:ascii="標楷體" w:eastAsia="標楷體" w:hAnsi="標楷體" w:cs="標楷體" w:hint="eastAsia"/>
          <w:color w:val="000000"/>
          <w:kern w:val="0"/>
          <w:sz w:val="28"/>
          <w:szCs w:val="28"/>
        </w:rPr>
        <w:t>黃良瑩</w:t>
      </w:r>
    </w:p>
    <w:p w14:paraId="1099D682" w14:textId="77777777" w:rsidR="00201B77" w:rsidRPr="001B6E4D" w:rsidRDefault="00201B77" w:rsidP="003D1018">
      <w:pPr>
        <w:widowControl w:val="0"/>
        <w:overflowPunct w:val="0"/>
        <w:autoSpaceDE w:val="0"/>
        <w:autoSpaceDN w:val="0"/>
        <w:adjustRightInd w:val="0"/>
        <w:spacing w:line="360" w:lineRule="exact"/>
        <w:ind w:left="848" w:hangingChars="303" w:hanging="84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主任秘書：</w:t>
      </w:r>
      <w:bookmarkStart w:id="461" w:name="主任秘書"/>
      <w:bookmarkEnd w:id="461"/>
      <w:r w:rsidRPr="001B6E4D">
        <w:rPr>
          <w:rFonts w:ascii="標楷體" w:eastAsia="標楷體" w:hAnsi="標楷體" w:cs="標楷體" w:hint="eastAsia"/>
          <w:color w:val="000000"/>
          <w:kern w:val="0"/>
          <w:sz w:val="28"/>
          <w:szCs w:val="28"/>
        </w:rPr>
        <w:t>張智為</w:t>
      </w:r>
    </w:p>
    <w:p w14:paraId="78C6F29E" w14:textId="77777777" w:rsidR="00201B77" w:rsidRPr="001B6E4D" w:rsidRDefault="00201B77" w:rsidP="003D1018">
      <w:pPr>
        <w:widowControl w:val="0"/>
        <w:tabs>
          <w:tab w:val="left" w:pos="5529"/>
        </w:tabs>
        <w:overflowPunct w:val="0"/>
        <w:autoSpaceDE w:val="0"/>
        <w:autoSpaceDN w:val="0"/>
        <w:adjustRightInd w:val="0"/>
        <w:spacing w:line="360" w:lineRule="exact"/>
        <w:ind w:left="848" w:hangingChars="303" w:hanging="84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 xml:space="preserve">紀　　錄：簡任秘書　</w:t>
      </w:r>
      <w:bookmarkStart w:id="462" w:name="簡任秘書"/>
      <w:bookmarkEnd w:id="462"/>
      <w:r w:rsidRPr="001B6E4D">
        <w:rPr>
          <w:rFonts w:ascii="標楷體" w:eastAsia="標楷體" w:hAnsi="標楷體" w:cs="標楷體" w:hint="eastAsia"/>
          <w:color w:val="000000"/>
          <w:kern w:val="0"/>
          <w:sz w:val="28"/>
          <w:szCs w:val="28"/>
        </w:rPr>
        <w:t>薛復寧</w:t>
      </w:r>
    </w:p>
    <w:p w14:paraId="03569CDA" w14:textId="77777777" w:rsidR="00201B77" w:rsidRPr="001B6E4D" w:rsidRDefault="00201B77" w:rsidP="003D1018">
      <w:pPr>
        <w:widowControl w:val="0"/>
        <w:tabs>
          <w:tab w:val="left" w:pos="5529"/>
        </w:tabs>
        <w:overflowPunct w:val="0"/>
        <w:autoSpaceDE w:val="0"/>
        <w:autoSpaceDN w:val="0"/>
        <w:adjustRightInd w:val="0"/>
        <w:spacing w:line="360" w:lineRule="exact"/>
        <w:ind w:leftChars="353" w:left="847" w:firstLineChars="203" w:firstLine="56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 xml:space="preserve">簡任編審　</w:t>
      </w:r>
      <w:bookmarkStart w:id="463" w:name="簡任編審"/>
      <w:bookmarkEnd w:id="463"/>
      <w:r w:rsidRPr="001B6E4D">
        <w:rPr>
          <w:rFonts w:ascii="標楷體" w:eastAsia="標楷體" w:hAnsi="標楷體" w:cs="標楷體" w:hint="eastAsia"/>
          <w:color w:val="000000"/>
          <w:kern w:val="0"/>
          <w:sz w:val="28"/>
          <w:szCs w:val="28"/>
        </w:rPr>
        <w:t>蔡國治</w:t>
      </w:r>
    </w:p>
    <w:p w14:paraId="2CCBF7A4" w14:textId="77777777" w:rsidR="00201B77" w:rsidRPr="001B6E4D" w:rsidRDefault="00201B77" w:rsidP="003D1018">
      <w:pPr>
        <w:widowControl w:val="0"/>
        <w:tabs>
          <w:tab w:val="left" w:pos="5529"/>
        </w:tabs>
        <w:overflowPunct w:val="0"/>
        <w:autoSpaceDE w:val="0"/>
        <w:autoSpaceDN w:val="0"/>
        <w:adjustRightInd w:val="0"/>
        <w:spacing w:line="360" w:lineRule="exact"/>
        <w:ind w:leftChars="353" w:left="847" w:firstLineChars="203" w:firstLine="56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 xml:space="preserve">科　　長　</w:t>
      </w:r>
      <w:bookmarkStart w:id="464" w:name="科長"/>
      <w:bookmarkEnd w:id="464"/>
      <w:r w:rsidRPr="001B6E4D">
        <w:rPr>
          <w:rFonts w:ascii="標楷體" w:eastAsia="標楷體" w:hAnsi="標楷體" w:cs="標楷體" w:hint="eastAsia"/>
          <w:color w:val="000000"/>
          <w:kern w:val="0"/>
          <w:sz w:val="28"/>
          <w:szCs w:val="28"/>
        </w:rPr>
        <w:t>余俊緯</w:t>
      </w:r>
    </w:p>
    <w:p w14:paraId="27E81B02" w14:textId="77777777" w:rsidR="00201B77" w:rsidRPr="001B6E4D" w:rsidRDefault="00201B77" w:rsidP="003D1018">
      <w:pPr>
        <w:widowControl w:val="0"/>
        <w:tabs>
          <w:tab w:val="left" w:pos="5529"/>
        </w:tabs>
        <w:overflowPunct w:val="0"/>
        <w:autoSpaceDE w:val="0"/>
        <w:autoSpaceDN w:val="0"/>
        <w:adjustRightInd w:val="0"/>
        <w:spacing w:line="360" w:lineRule="exact"/>
        <w:ind w:leftChars="353" w:left="847" w:firstLineChars="203" w:firstLine="56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 xml:space="preserve">專　　員　</w:t>
      </w:r>
      <w:bookmarkStart w:id="465" w:name="專員"/>
      <w:bookmarkEnd w:id="465"/>
      <w:r w:rsidRPr="001B6E4D">
        <w:rPr>
          <w:rFonts w:ascii="標楷體" w:eastAsia="標楷體" w:hAnsi="標楷體" w:cs="標楷體" w:hint="eastAsia"/>
          <w:color w:val="000000"/>
          <w:kern w:val="0"/>
          <w:sz w:val="28"/>
          <w:szCs w:val="28"/>
        </w:rPr>
        <w:t>莊鴻基</w:t>
      </w:r>
    </w:p>
    <w:p w14:paraId="0E60D9B2" w14:textId="77777777" w:rsidR="00201B77" w:rsidRPr="001B6E4D" w:rsidRDefault="00201B77" w:rsidP="003D1018">
      <w:pPr>
        <w:widowControl w:val="0"/>
        <w:overflowPunct w:val="0"/>
        <w:adjustRightInd w:val="0"/>
        <w:snapToGrid w:val="0"/>
        <w:spacing w:beforeLines="30" w:before="108" w:line="410" w:lineRule="exact"/>
        <w:ind w:firstLineChars="398" w:firstLine="1115"/>
        <w:jc w:val="both"/>
        <w:rPr>
          <w:rFonts w:ascii="標楷體" w:eastAsia="標楷體" w:hAnsi="標楷體"/>
          <w:b/>
          <w:kern w:val="0"/>
          <w:sz w:val="28"/>
          <w:szCs w:val="28"/>
          <w:lang w:val="x-none"/>
        </w:rPr>
      </w:pPr>
      <w:bookmarkStart w:id="466" w:name="開會事由開頭"/>
      <w:bookmarkEnd w:id="466"/>
      <w:r w:rsidRPr="001B6E4D">
        <w:rPr>
          <w:rFonts w:ascii="標楷體" w:eastAsia="標楷體" w:hAnsi="標楷體" w:hint="eastAsia"/>
          <w:b/>
          <w:kern w:val="0"/>
          <w:sz w:val="28"/>
          <w:szCs w:val="28"/>
          <w:lang w:val="x-none"/>
        </w:rPr>
        <w:t>報告事項</w:t>
      </w:r>
    </w:p>
    <w:p w14:paraId="348C3D75" w14:textId="77777777" w:rsidR="00201B77" w:rsidRPr="001B6E4D" w:rsidRDefault="00201B77" w:rsidP="003D1018">
      <w:pPr>
        <w:widowControl w:val="0"/>
        <w:overflowPunct w:val="0"/>
        <w:autoSpaceDE w:val="0"/>
        <w:autoSpaceDN w:val="0"/>
        <w:adjustRightInd w:val="0"/>
        <w:spacing w:line="360" w:lineRule="exact"/>
        <w:rPr>
          <w:rFonts w:ascii="標楷體" w:eastAsia="標楷體" w:hAnsi="標楷體" w:cs="標楷體"/>
          <w:kern w:val="0"/>
          <w:sz w:val="28"/>
          <w:szCs w:val="28"/>
        </w:rPr>
      </w:pPr>
      <w:r w:rsidRPr="001B6E4D">
        <w:rPr>
          <w:rFonts w:ascii="標楷體" w:eastAsia="標楷體" w:hAnsi="標楷體" w:cs="標楷體" w:hint="eastAsia"/>
          <w:kern w:val="0"/>
          <w:sz w:val="28"/>
          <w:szCs w:val="28"/>
        </w:rPr>
        <w:t>宣讀上次會議議事錄。</w:t>
      </w:r>
    </w:p>
    <w:p w14:paraId="031E8966" w14:textId="77777777" w:rsidR="00201B77" w:rsidRPr="001B6E4D" w:rsidRDefault="00201B77" w:rsidP="003D1018">
      <w:pPr>
        <w:widowControl w:val="0"/>
        <w:overflowPunct w:val="0"/>
        <w:autoSpaceDE w:val="0"/>
        <w:autoSpaceDN w:val="0"/>
        <w:adjustRightInd w:val="0"/>
        <w:spacing w:line="360" w:lineRule="exact"/>
        <w:rPr>
          <w:rFonts w:ascii="標楷體" w:eastAsia="標楷體" w:hAnsi="標楷體" w:cs="標楷體"/>
          <w:kern w:val="0"/>
          <w:sz w:val="28"/>
          <w:szCs w:val="28"/>
        </w:rPr>
      </w:pPr>
      <w:r w:rsidRPr="001B6E4D">
        <w:rPr>
          <w:rFonts w:ascii="標楷體" w:eastAsia="標楷體" w:hAnsi="標楷體" w:cs="標楷體" w:hint="eastAsia"/>
          <w:kern w:val="0"/>
          <w:sz w:val="28"/>
          <w:szCs w:val="28"/>
        </w:rPr>
        <w:t>決定：確定。</w:t>
      </w:r>
    </w:p>
    <w:p w14:paraId="4589C401" w14:textId="77777777" w:rsidR="00201B77" w:rsidRPr="001B6E4D" w:rsidRDefault="00201B77" w:rsidP="003D1018">
      <w:pPr>
        <w:widowControl w:val="0"/>
        <w:overflowPunct w:val="0"/>
        <w:adjustRightInd w:val="0"/>
        <w:snapToGrid w:val="0"/>
        <w:spacing w:beforeLines="30" w:before="108" w:line="410" w:lineRule="exact"/>
        <w:ind w:firstLineChars="398" w:firstLine="1115"/>
        <w:jc w:val="both"/>
        <w:rPr>
          <w:rFonts w:ascii="標楷體" w:eastAsia="標楷體" w:hAnsi="標楷體"/>
          <w:b/>
          <w:kern w:val="0"/>
          <w:sz w:val="28"/>
          <w:szCs w:val="28"/>
          <w:lang w:val="x-none"/>
        </w:rPr>
      </w:pPr>
      <w:r w:rsidRPr="001B6E4D">
        <w:rPr>
          <w:rFonts w:ascii="標楷體" w:eastAsia="標楷體" w:hAnsi="標楷體" w:hint="eastAsia"/>
          <w:b/>
          <w:kern w:val="0"/>
          <w:sz w:val="28"/>
          <w:szCs w:val="28"/>
          <w:lang w:val="x-none"/>
        </w:rPr>
        <w:t>討論事項</w:t>
      </w:r>
    </w:p>
    <w:p w14:paraId="51312BD0" w14:textId="77777777" w:rsidR="00201B77" w:rsidRPr="001B6E4D" w:rsidRDefault="00201B77" w:rsidP="003D1018">
      <w:pPr>
        <w:widowControl w:val="0"/>
        <w:overflowPunct w:val="0"/>
        <w:adjustRightInd w:val="0"/>
        <w:snapToGrid w:val="0"/>
        <w:spacing w:line="360" w:lineRule="exact"/>
        <w:ind w:left="536" w:hangingChars="200" w:hanging="536"/>
        <w:jc w:val="both"/>
        <w:rPr>
          <w:rFonts w:ascii="標楷體" w:eastAsia="標楷體" w:hAnsi="標楷體"/>
          <w:spacing w:val="-6"/>
          <w:sz w:val="28"/>
          <w:szCs w:val="28"/>
        </w:rPr>
      </w:pPr>
      <w:r w:rsidRPr="001B6E4D">
        <w:rPr>
          <w:rFonts w:ascii="標楷體" w:eastAsia="標楷體" w:hAnsi="標楷體" w:hint="eastAsia"/>
          <w:spacing w:val="-6"/>
          <w:sz w:val="28"/>
          <w:szCs w:val="28"/>
        </w:rPr>
        <w:t>一、</w:t>
      </w:r>
      <w:r w:rsidRPr="001B6E4D">
        <w:rPr>
          <w:rFonts w:ascii="標楷體" w:eastAsia="標楷體" w:hAnsi="標楷體" w:hint="eastAsia"/>
          <w:spacing w:val="-2"/>
          <w:kern w:val="0"/>
          <w:sz w:val="28"/>
          <w:szCs w:val="28"/>
        </w:rPr>
        <w:t>審查</w:t>
      </w:r>
      <w:proofErr w:type="gramStart"/>
      <w:r w:rsidRPr="001B6E4D">
        <w:rPr>
          <w:rFonts w:ascii="標楷體" w:eastAsia="標楷體" w:hAnsi="標楷體" w:hint="eastAsia"/>
          <w:spacing w:val="-2"/>
          <w:sz w:val="28"/>
          <w:szCs w:val="28"/>
        </w:rPr>
        <w:t>115</w:t>
      </w:r>
      <w:proofErr w:type="gramEnd"/>
      <w:r w:rsidRPr="001B6E4D">
        <w:rPr>
          <w:rFonts w:ascii="標楷體" w:eastAsia="標楷體" w:hAnsi="標楷體" w:hint="eastAsia"/>
          <w:spacing w:val="-2"/>
          <w:sz w:val="28"/>
          <w:szCs w:val="28"/>
        </w:rPr>
        <w:t>年度中央政府總預算案關於法務部及所屬主管收支部分。</w:t>
      </w:r>
    </w:p>
    <w:p w14:paraId="666AA60C" w14:textId="77777777" w:rsidR="00201B77" w:rsidRPr="001B6E4D" w:rsidRDefault="00201B77" w:rsidP="003D1018">
      <w:pPr>
        <w:widowControl w:val="0"/>
        <w:overflowPunct w:val="0"/>
        <w:adjustRightInd w:val="0"/>
        <w:snapToGrid w:val="0"/>
        <w:spacing w:line="360" w:lineRule="exact"/>
        <w:ind w:left="536" w:hangingChars="200" w:hanging="536"/>
        <w:jc w:val="both"/>
        <w:rPr>
          <w:rFonts w:ascii="標楷體" w:eastAsia="標楷體" w:hAnsi="標楷體"/>
          <w:spacing w:val="-6"/>
          <w:sz w:val="28"/>
          <w:szCs w:val="28"/>
        </w:rPr>
      </w:pPr>
      <w:r w:rsidRPr="001B6E4D">
        <w:rPr>
          <w:rFonts w:ascii="標楷體" w:eastAsia="標楷體" w:hAnsi="標楷體" w:hint="eastAsia"/>
          <w:spacing w:val="-6"/>
          <w:sz w:val="28"/>
          <w:szCs w:val="28"/>
        </w:rPr>
        <w:t>二、</w:t>
      </w:r>
      <w:r w:rsidRPr="001B6E4D">
        <w:rPr>
          <w:rFonts w:ascii="標楷體" w:eastAsia="標楷體" w:hAnsi="標楷體" w:hint="eastAsia"/>
          <w:kern w:val="0"/>
          <w:sz w:val="28"/>
          <w:szCs w:val="28"/>
        </w:rPr>
        <w:t>審查</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年度中央政府總預算案附屬單位預算非營業部分關於法務部主管「法務部矯正機關作業基金」收支部分</w:t>
      </w:r>
      <w:r w:rsidRPr="001B6E4D">
        <w:rPr>
          <w:rFonts w:ascii="標楷體" w:eastAsia="標楷體" w:hAnsi="標楷體" w:hint="eastAsia"/>
          <w:spacing w:val="-6"/>
          <w:sz w:val="28"/>
          <w:szCs w:val="28"/>
        </w:rPr>
        <w:t>。</w:t>
      </w:r>
    </w:p>
    <w:p w14:paraId="2471123F" w14:textId="77777777" w:rsidR="00201B77" w:rsidRPr="001B6E4D" w:rsidRDefault="00201B77" w:rsidP="003D1018">
      <w:pPr>
        <w:widowControl w:val="0"/>
        <w:overflowPunct w:val="0"/>
        <w:adjustRightInd w:val="0"/>
        <w:snapToGrid w:val="0"/>
        <w:spacing w:line="360" w:lineRule="exact"/>
        <w:ind w:left="536" w:hangingChars="200" w:hanging="536"/>
        <w:jc w:val="both"/>
        <w:rPr>
          <w:rFonts w:ascii="標楷體" w:eastAsia="標楷體" w:hAnsi="標楷體"/>
          <w:spacing w:val="-6"/>
          <w:sz w:val="28"/>
          <w:szCs w:val="28"/>
        </w:rPr>
      </w:pPr>
      <w:r w:rsidRPr="001B6E4D">
        <w:rPr>
          <w:rFonts w:ascii="標楷體" w:eastAsia="標楷體" w:hAnsi="標楷體" w:hint="eastAsia"/>
          <w:spacing w:val="-6"/>
          <w:sz w:val="28"/>
          <w:szCs w:val="28"/>
        </w:rPr>
        <w:t>三、</w:t>
      </w:r>
      <w:r w:rsidRPr="001B6E4D">
        <w:rPr>
          <w:rFonts w:ascii="標楷體" w:eastAsia="標楷體" w:hAnsi="標楷體" w:hint="eastAsia"/>
          <w:kern w:val="0"/>
          <w:sz w:val="28"/>
          <w:szCs w:val="28"/>
        </w:rPr>
        <w:t>審查</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年度中央政府總預算案附屬單位預算非營業部分關於法務部主管「毒品防制基金」收支部分。</w:t>
      </w:r>
    </w:p>
    <w:p w14:paraId="20D5C657" w14:textId="77777777" w:rsidR="00201B77" w:rsidRPr="001B6E4D" w:rsidRDefault="00201B77" w:rsidP="003D1018">
      <w:pPr>
        <w:widowControl w:val="0"/>
        <w:overflowPunct w:val="0"/>
        <w:adjustRightInd w:val="0"/>
        <w:snapToGrid w:val="0"/>
        <w:spacing w:line="360" w:lineRule="exact"/>
        <w:ind w:left="536" w:hangingChars="200" w:hanging="536"/>
        <w:jc w:val="both"/>
        <w:rPr>
          <w:rFonts w:ascii="標楷體" w:eastAsia="標楷體" w:hAnsi="標楷體"/>
          <w:spacing w:val="-6"/>
          <w:sz w:val="28"/>
          <w:szCs w:val="28"/>
        </w:rPr>
      </w:pPr>
      <w:r w:rsidRPr="001B6E4D">
        <w:rPr>
          <w:rFonts w:ascii="標楷體" w:eastAsia="標楷體" w:hAnsi="標楷體" w:hint="eastAsia"/>
          <w:spacing w:val="-6"/>
          <w:sz w:val="28"/>
          <w:szCs w:val="28"/>
        </w:rPr>
        <w:t>四、</w:t>
      </w:r>
      <w:r w:rsidRPr="001B6E4D">
        <w:rPr>
          <w:rFonts w:ascii="標楷體" w:eastAsia="標楷體" w:hAnsi="標楷體" w:hint="eastAsia"/>
          <w:spacing w:val="2"/>
          <w:kern w:val="0"/>
          <w:sz w:val="28"/>
          <w:szCs w:val="28"/>
        </w:rPr>
        <w:t>審查</w:t>
      </w:r>
      <w:r w:rsidRPr="001B6E4D">
        <w:rPr>
          <w:rFonts w:ascii="標楷體" w:eastAsia="標楷體" w:hAnsi="標楷體" w:hint="eastAsia"/>
          <w:spacing w:val="2"/>
          <w:sz w:val="28"/>
          <w:szCs w:val="28"/>
        </w:rPr>
        <w:t>法務部函送財團法人臺灣更生保護會、財團法人福建更生保護會及財團法人犯罪被害人保護協會</w:t>
      </w:r>
      <w:proofErr w:type="gramStart"/>
      <w:r w:rsidRPr="001B6E4D">
        <w:rPr>
          <w:rFonts w:ascii="標楷體" w:eastAsia="標楷體" w:hAnsi="標楷體" w:hint="eastAsia"/>
          <w:spacing w:val="2"/>
          <w:sz w:val="28"/>
          <w:szCs w:val="28"/>
        </w:rPr>
        <w:t>115</w:t>
      </w:r>
      <w:proofErr w:type="gramEnd"/>
      <w:r w:rsidRPr="001B6E4D">
        <w:rPr>
          <w:rFonts w:ascii="標楷體" w:eastAsia="標楷體" w:hAnsi="標楷體" w:hint="eastAsia"/>
          <w:spacing w:val="2"/>
          <w:sz w:val="28"/>
          <w:szCs w:val="28"/>
        </w:rPr>
        <w:t>年度預算書案。</w:t>
      </w:r>
    </w:p>
    <w:p w14:paraId="4426CE13" w14:textId="77777777" w:rsidR="00201B77" w:rsidRPr="001B6E4D" w:rsidRDefault="00201B77" w:rsidP="003D1018">
      <w:pPr>
        <w:widowControl w:val="0"/>
        <w:overflowPunct w:val="0"/>
        <w:spacing w:beforeLines="10" w:before="36" w:line="360" w:lineRule="exact"/>
        <w:ind w:left="280" w:hangingChars="100" w:hanging="280"/>
        <w:jc w:val="both"/>
        <w:rPr>
          <w:rFonts w:ascii="標楷體" w:eastAsia="標楷體" w:hAnsi="標楷體"/>
          <w:sz w:val="28"/>
          <w:szCs w:val="28"/>
        </w:rPr>
      </w:pPr>
      <w:proofErr w:type="gramStart"/>
      <w:r w:rsidRPr="001B6E4D">
        <w:rPr>
          <w:rFonts w:ascii="標楷體" w:eastAsia="標楷體" w:hAnsi="標楷體" w:hint="eastAsia"/>
          <w:sz w:val="28"/>
          <w:szCs w:val="28"/>
        </w:rPr>
        <w:t>（</w:t>
      </w:r>
      <w:proofErr w:type="gramEnd"/>
      <w:r w:rsidRPr="001B6E4D">
        <w:rPr>
          <w:rFonts w:ascii="標楷體" w:eastAsia="標楷體" w:hAnsi="標楷體" w:hint="eastAsia"/>
          <w:sz w:val="28"/>
          <w:szCs w:val="28"/>
        </w:rPr>
        <w:t>本次會議有委員莊瑞雄、陳昭姿、翁曉玲、張雅琳、沈發惠、</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雲、賴士葆、洪孟楷、鍾佳濱、蔡易餘提出質詢；委員蔡其昌、許宇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、吳宗憲、林倩綺提出書面質詢。）</w:t>
      </w:r>
    </w:p>
    <w:p w14:paraId="1FBC79E8" w14:textId="77777777" w:rsidR="00201B77" w:rsidRPr="001B6E4D" w:rsidRDefault="00201B77" w:rsidP="003D1018">
      <w:pPr>
        <w:widowControl w:val="0"/>
        <w:overflowPunct w:val="0"/>
        <w:spacing w:line="360" w:lineRule="exact"/>
        <w:contextualSpacing/>
        <w:jc w:val="both"/>
        <w:rPr>
          <w:rFonts w:ascii="標楷體" w:eastAsia="標楷體" w:hAnsi="標楷體" w:cs="Arial"/>
          <w:sz w:val="28"/>
          <w:szCs w:val="28"/>
        </w:rPr>
      </w:pPr>
      <w:r w:rsidRPr="001B6E4D">
        <w:rPr>
          <w:rFonts w:ascii="標楷體" w:eastAsia="標楷體" w:hAnsi="標楷體" w:cs="Arial" w:hint="eastAsia"/>
          <w:sz w:val="28"/>
          <w:szCs w:val="28"/>
        </w:rPr>
        <w:t>決議：</w:t>
      </w:r>
    </w:p>
    <w:p w14:paraId="1C9D8C4E" w14:textId="77777777" w:rsidR="00201B77" w:rsidRPr="001B6E4D" w:rsidRDefault="00201B77" w:rsidP="003D1018">
      <w:pPr>
        <w:widowControl w:val="0"/>
        <w:overflowPunct w:val="0"/>
        <w:spacing w:line="360" w:lineRule="exact"/>
        <w:contextualSpacing/>
        <w:jc w:val="both"/>
        <w:rPr>
          <w:rFonts w:ascii="標楷體" w:eastAsia="標楷體" w:hAnsi="標楷體" w:cs="Arial"/>
          <w:sz w:val="28"/>
          <w:szCs w:val="28"/>
        </w:rPr>
      </w:pPr>
      <w:r w:rsidRPr="001B6E4D">
        <w:rPr>
          <w:rFonts w:ascii="標楷體" w:eastAsia="標楷體" w:hAnsi="標楷體" w:cs="Arial" w:hint="eastAsia"/>
          <w:sz w:val="28"/>
          <w:szCs w:val="28"/>
        </w:rPr>
        <w:t>一、報告及</w:t>
      </w:r>
      <w:proofErr w:type="gramStart"/>
      <w:r w:rsidRPr="001B6E4D">
        <w:rPr>
          <w:rFonts w:ascii="標楷體" w:eastAsia="標楷體" w:hAnsi="標楷體" w:cs="Arial" w:hint="eastAsia"/>
          <w:sz w:val="28"/>
          <w:szCs w:val="28"/>
        </w:rPr>
        <w:t>詢</w:t>
      </w:r>
      <w:proofErr w:type="gramEnd"/>
      <w:r w:rsidRPr="001B6E4D">
        <w:rPr>
          <w:rFonts w:ascii="標楷體" w:eastAsia="標楷體" w:hAnsi="標楷體" w:cs="Arial" w:hint="eastAsia"/>
          <w:sz w:val="28"/>
          <w:szCs w:val="28"/>
        </w:rPr>
        <w:t>答完畢。</w:t>
      </w:r>
    </w:p>
    <w:p w14:paraId="631C49B3" w14:textId="77777777" w:rsidR="00201B77" w:rsidRPr="001B6E4D" w:rsidRDefault="00201B77" w:rsidP="003D1018">
      <w:pPr>
        <w:widowControl w:val="0"/>
        <w:overflowPunct w:val="0"/>
        <w:spacing w:line="360" w:lineRule="exact"/>
        <w:contextualSpacing/>
        <w:jc w:val="both"/>
        <w:rPr>
          <w:rFonts w:ascii="標楷體" w:eastAsia="標楷體" w:hAnsi="標楷體"/>
          <w:sz w:val="28"/>
          <w:szCs w:val="28"/>
        </w:rPr>
      </w:pPr>
      <w:r w:rsidRPr="001B6E4D">
        <w:rPr>
          <w:rFonts w:ascii="標楷體" w:eastAsia="標楷體" w:hAnsi="標楷體" w:cs="Arial" w:hint="eastAsia"/>
          <w:sz w:val="28"/>
          <w:szCs w:val="28"/>
        </w:rPr>
        <w:t>二、第一案至第四案，</w:t>
      </w:r>
      <w:proofErr w:type="gramStart"/>
      <w:r w:rsidRPr="001B6E4D">
        <w:rPr>
          <w:rFonts w:ascii="標楷體" w:eastAsia="標楷體" w:hAnsi="標楷體" w:cs="Arial" w:hint="eastAsia"/>
          <w:sz w:val="28"/>
          <w:szCs w:val="28"/>
        </w:rPr>
        <w:t>均</w:t>
      </w:r>
      <w:r w:rsidRPr="001B6E4D">
        <w:rPr>
          <w:rFonts w:ascii="標楷體" w:eastAsia="標楷體" w:hAnsi="標楷體" w:cs="Arial" w:hint="eastAsia"/>
          <w:spacing w:val="-6"/>
          <w:sz w:val="28"/>
          <w:szCs w:val="28"/>
        </w:rPr>
        <w:t>另定期</w:t>
      </w:r>
      <w:proofErr w:type="gramEnd"/>
      <w:r w:rsidRPr="001B6E4D">
        <w:rPr>
          <w:rFonts w:ascii="標楷體" w:eastAsia="標楷體" w:hAnsi="標楷體" w:cs="Arial" w:hint="eastAsia"/>
          <w:spacing w:val="-6"/>
          <w:sz w:val="28"/>
          <w:szCs w:val="28"/>
        </w:rPr>
        <w:t>繼續審查</w:t>
      </w:r>
      <w:r w:rsidRPr="001B6E4D">
        <w:rPr>
          <w:rFonts w:ascii="標楷體" w:eastAsia="標楷體" w:hAnsi="標楷體" w:cs="Arial" w:hint="eastAsia"/>
          <w:sz w:val="28"/>
          <w:szCs w:val="28"/>
        </w:rPr>
        <w:t>。</w:t>
      </w:r>
    </w:p>
    <w:p w14:paraId="4F444F2A" w14:textId="77777777" w:rsidR="00201B77" w:rsidRPr="001B6E4D" w:rsidRDefault="00201B77" w:rsidP="003D1018">
      <w:pPr>
        <w:widowControl w:val="0"/>
        <w:overflowPunct w:val="0"/>
        <w:spacing w:line="360" w:lineRule="exact"/>
        <w:ind w:left="560" w:hangingChars="200" w:hanging="560"/>
        <w:contextualSpacing/>
        <w:jc w:val="both"/>
        <w:rPr>
          <w:rFonts w:ascii="標楷體" w:eastAsia="標楷體" w:hAnsi="標楷體" w:cs="Arial"/>
          <w:sz w:val="28"/>
          <w:szCs w:val="28"/>
        </w:rPr>
      </w:pPr>
      <w:r w:rsidRPr="001B6E4D">
        <w:rPr>
          <w:rFonts w:ascii="標楷體" w:eastAsia="標楷體" w:hAnsi="標楷體" w:cs="Arial" w:hint="eastAsia"/>
          <w:sz w:val="28"/>
          <w:szCs w:val="28"/>
        </w:rPr>
        <w:t>三、</w:t>
      </w:r>
      <w:r w:rsidRPr="001B6E4D">
        <w:rPr>
          <w:rFonts w:ascii="標楷體" w:eastAsia="標楷體" w:hAnsi="標楷體" w:cs="Arial" w:hint="eastAsia"/>
          <w:spacing w:val="2"/>
          <w:sz w:val="28"/>
          <w:szCs w:val="28"/>
        </w:rPr>
        <w:t>委員質詢時，要求提供相關資料或以書面答復者，請相關機關儘速送交個別委員及本會。</w:t>
      </w:r>
    </w:p>
    <w:p w14:paraId="0A9DD0C2" w14:textId="77777777" w:rsidR="00201B77" w:rsidRPr="001B6E4D" w:rsidRDefault="00201B77" w:rsidP="003D1018">
      <w:pPr>
        <w:widowControl w:val="0"/>
        <w:overflowPunct w:val="0"/>
        <w:spacing w:line="360" w:lineRule="exact"/>
        <w:ind w:left="560" w:hangingChars="200" w:hanging="560"/>
        <w:contextualSpacing/>
        <w:jc w:val="both"/>
        <w:rPr>
          <w:rFonts w:ascii="標楷體" w:eastAsia="標楷體" w:hAnsi="標楷體" w:cs="Arial"/>
          <w:sz w:val="28"/>
          <w:szCs w:val="28"/>
        </w:rPr>
      </w:pPr>
      <w:r w:rsidRPr="001B6E4D">
        <w:rPr>
          <w:rFonts w:ascii="標楷體" w:eastAsia="標楷體" w:hAnsi="標楷體" w:cs="Arial" w:hint="eastAsia"/>
          <w:sz w:val="28"/>
          <w:szCs w:val="28"/>
        </w:rPr>
        <w:t>四、審查會委員針對本次議程所列討論事項之預算提案，請於5月14日(星期四)下午2時前送交本會，逾時不予受理。</w:t>
      </w:r>
    </w:p>
    <w:p w14:paraId="635E556D" w14:textId="77777777" w:rsidR="00201B77" w:rsidRPr="001B6E4D" w:rsidRDefault="00201B77" w:rsidP="003D1018">
      <w:pPr>
        <w:widowControl w:val="0"/>
        <w:overflowPunct w:val="0"/>
        <w:spacing w:line="360" w:lineRule="exact"/>
        <w:ind w:left="619" w:hangingChars="221" w:hanging="619"/>
        <w:contextualSpacing/>
        <w:jc w:val="both"/>
        <w:rPr>
          <w:rFonts w:ascii="標楷體" w:eastAsia="標楷體" w:hAnsi="標楷體" w:cs="Arial"/>
          <w:sz w:val="28"/>
          <w:szCs w:val="28"/>
        </w:rPr>
      </w:pPr>
      <w:r w:rsidRPr="001B6E4D">
        <w:rPr>
          <w:rFonts w:ascii="標楷體" w:eastAsia="標楷體" w:hAnsi="標楷體" w:cs="Arial"/>
          <w:sz w:val="28"/>
          <w:szCs w:val="28"/>
        </w:rPr>
        <w:t>散會</w:t>
      </w:r>
    </w:p>
    <w:p w14:paraId="2CC4650A" w14:textId="77777777" w:rsidR="00201B77" w:rsidRPr="001B6E4D" w:rsidRDefault="00201B77"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67" w:name="_Toc240446595"/>
      <w:r w:rsidRPr="001B6E4D">
        <w:rPr>
          <w:rFonts w:ascii="標楷體" w:eastAsia="標楷體" w:hAnsi="標楷體" w:hint="eastAsia"/>
          <w:b/>
          <w:spacing w:val="-2"/>
          <w:sz w:val="28"/>
          <w:szCs w:val="28"/>
        </w:rPr>
        <w:lastRenderedPageBreak/>
        <w:t>立法院第1</w:t>
      </w:r>
      <w:r w:rsidRPr="001B6E4D">
        <w:rPr>
          <w:rFonts w:ascii="標楷體" w:eastAsia="標楷體" w:hAnsi="標楷體"/>
          <w:b/>
          <w:spacing w:val="-2"/>
          <w:sz w:val="28"/>
          <w:szCs w:val="28"/>
        </w:rPr>
        <w:t>1</w:t>
      </w:r>
      <w:r w:rsidRPr="001B6E4D">
        <w:rPr>
          <w:rFonts w:ascii="標楷體" w:eastAsia="標楷體" w:hAnsi="標楷體" w:hint="eastAsia"/>
          <w:b/>
          <w:spacing w:val="-2"/>
          <w:sz w:val="28"/>
          <w:szCs w:val="28"/>
        </w:rPr>
        <w:t>屆第5會期司法及法制委員會第1</w:t>
      </w:r>
      <w:r w:rsidRPr="001B6E4D">
        <w:rPr>
          <w:rFonts w:ascii="標楷體" w:eastAsia="標楷體" w:hAnsi="標楷體"/>
          <w:b/>
          <w:spacing w:val="-2"/>
          <w:sz w:val="28"/>
          <w:szCs w:val="28"/>
        </w:rPr>
        <w:t>1</w:t>
      </w:r>
      <w:r w:rsidRPr="001B6E4D">
        <w:rPr>
          <w:rFonts w:ascii="標楷體" w:eastAsia="標楷體" w:hAnsi="標楷體" w:hint="eastAsia"/>
          <w:b/>
          <w:spacing w:val="-2"/>
          <w:sz w:val="28"/>
          <w:szCs w:val="28"/>
        </w:rPr>
        <w:t>次全體委員會議議事錄</w:t>
      </w:r>
      <w:bookmarkEnd w:id="467"/>
    </w:p>
    <w:p w14:paraId="0564EF80" w14:textId="77777777" w:rsidR="00201B77" w:rsidRPr="001B6E4D" w:rsidRDefault="00201B77" w:rsidP="003D1018">
      <w:pPr>
        <w:widowControl w:val="0"/>
        <w:overflowPunct w:val="0"/>
        <w:adjustRightInd w:val="0"/>
        <w:snapToGrid w:val="0"/>
        <w:spacing w:line="400" w:lineRule="exact"/>
        <w:ind w:left="1417" w:hangingChars="506" w:hanging="1417"/>
        <w:jc w:val="both"/>
        <w:rPr>
          <w:rFonts w:ascii="標楷體" w:eastAsia="標楷體" w:hAnsi="標楷體"/>
          <w:kern w:val="0"/>
          <w:sz w:val="28"/>
          <w:szCs w:val="28"/>
        </w:rPr>
      </w:pPr>
      <w:r w:rsidRPr="001B6E4D">
        <w:rPr>
          <w:rFonts w:ascii="標楷體" w:eastAsia="標楷體" w:hAnsi="標楷體"/>
          <w:kern w:val="0"/>
          <w:sz w:val="28"/>
          <w:szCs w:val="28"/>
          <w:fitText w:val="1120" w:id="-384132864"/>
        </w:rPr>
        <w:t>時    間</w:t>
      </w:r>
      <w:r w:rsidRPr="001B6E4D">
        <w:rPr>
          <w:rFonts w:ascii="標楷體" w:eastAsia="標楷體" w:hAnsi="標楷體"/>
          <w:kern w:val="0"/>
          <w:sz w:val="28"/>
          <w:szCs w:val="28"/>
        </w:rPr>
        <w:t>：</w:t>
      </w:r>
      <w:r w:rsidRPr="001B6E4D">
        <w:rPr>
          <w:rFonts w:ascii="標楷體" w:eastAsia="標楷體" w:hAnsi="標楷體" w:cs="標楷體"/>
          <w:color w:val="000000"/>
          <w:spacing w:val="-12"/>
          <w:kern w:val="0"/>
          <w:sz w:val="28"/>
          <w:szCs w:val="28"/>
        </w:rPr>
        <w:t>中華民國</w:t>
      </w:r>
      <w:r w:rsidRPr="001B6E4D">
        <w:rPr>
          <w:rFonts w:ascii="標楷體" w:eastAsia="標楷體" w:hAnsi="標楷體" w:cs="標楷體" w:hint="eastAsia"/>
          <w:color w:val="000000"/>
          <w:spacing w:val="-12"/>
          <w:kern w:val="0"/>
          <w:sz w:val="28"/>
          <w:szCs w:val="28"/>
        </w:rPr>
        <w:t>115年5月4日（星期一）上午9時</w:t>
      </w:r>
      <w:r w:rsidRPr="001B6E4D">
        <w:rPr>
          <w:rFonts w:ascii="標楷體" w:eastAsia="標楷體" w:hAnsi="標楷體" w:cs="標楷體"/>
          <w:color w:val="000000"/>
          <w:spacing w:val="-12"/>
          <w:kern w:val="0"/>
          <w:sz w:val="28"/>
          <w:szCs w:val="28"/>
        </w:rPr>
        <w:t>2</w:t>
      </w:r>
      <w:r w:rsidRPr="001B6E4D">
        <w:rPr>
          <w:rFonts w:ascii="標楷體" w:eastAsia="標楷體" w:hAnsi="標楷體" w:cs="標楷體" w:hint="eastAsia"/>
          <w:color w:val="000000"/>
          <w:spacing w:val="-12"/>
          <w:kern w:val="0"/>
          <w:sz w:val="28"/>
          <w:szCs w:val="28"/>
        </w:rPr>
        <w:t>分至11時21分</w:t>
      </w:r>
    </w:p>
    <w:p w14:paraId="0C44C431" w14:textId="77777777" w:rsidR="00201B77" w:rsidRPr="001B6E4D" w:rsidRDefault="00201B77"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fitText w:val="1120" w:id="-384132863"/>
        </w:rPr>
        <w:t>地    點</w:t>
      </w:r>
      <w:r w:rsidRPr="001B6E4D">
        <w:rPr>
          <w:rFonts w:ascii="標楷體" w:eastAsia="標楷體" w:hAnsi="標楷體"/>
          <w:sz w:val="28"/>
          <w:szCs w:val="28"/>
        </w:rPr>
        <w:t>：</w:t>
      </w:r>
      <w:r w:rsidRPr="001B6E4D">
        <w:rPr>
          <w:rFonts w:ascii="標楷體" w:eastAsia="標楷體" w:hAnsi="標楷體" w:hint="eastAsia"/>
          <w:sz w:val="28"/>
          <w:szCs w:val="28"/>
        </w:rPr>
        <w:t>本院群賢樓9樓大禮堂</w:t>
      </w:r>
    </w:p>
    <w:p w14:paraId="4527323D" w14:textId="77777777" w:rsidR="00201B77" w:rsidRPr="001B6E4D" w:rsidRDefault="00201B77" w:rsidP="003D1018">
      <w:pPr>
        <w:widowControl w:val="0"/>
        <w:overflowPunct w:val="0"/>
        <w:snapToGrid w:val="0"/>
        <w:ind w:left="206" w:hanging="20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張雅琳</w:t>
      </w:r>
      <w:r w:rsidRPr="001B6E4D">
        <w:rPr>
          <w:rFonts w:ascii="標楷體" w:eastAsia="標楷體" w:hAnsi="標楷體" w:hint="eastAsia"/>
          <w:sz w:val="28"/>
          <w:szCs w:val="28"/>
        </w:rPr>
        <w:tab/>
        <w:t>翁曉玲</w:t>
      </w:r>
      <w:r w:rsidRPr="001B6E4D">
        <w:rPr>
          <w:rFonts w:ascii="標楷體" w:eastAsia="標楷體" w:hAnsi="標楷體"/>
          <w:sz w:val="28"/>
          <w:szCs w:val="28"/>
        </w:rPr>
        <w:tab/>
      </w:r>
    </w:p>
    <w:p w14:paraId="0BBF2EF9" w14:textId="77777777" w:rsidR="00201B77" w:rsidRPr="001B6E4D" w:rsidRDefault="00201B77" w:rsidP="003D1018">
      <w:pPr>
        <w:widowControl w:val="0"/>
        <w:overflowPunct w:val="0"/>
        <w:snapToGrid w:val="0"/>
        <w:ind w:leftChars="239" w:left="574" w:firstLineChars="300" w:firstLine="840"/>
        <w:rPr>
          <w:rFonts w:ascii="標楷體" w:eastAsia="標楷體" w:hAnsi="標楷體"/>
          <w:sz w:val="28"/>
          <w:szCs w:val="28"/>
        </w:rPr>
      </w:pPr>
      <w:bookmarkStart w:id="468" w:name="_Hlk227932266"/>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莊瑞雄</w:t>
      </w:r>
      <w:bookmarkEnd w:id="468"/>
      <w:r w:rsidRPr="001B6E4D">
        <w:rPr>
          <w:rFonts w:ascii="標楷體" w:eastAsia="標楷體" w:hAnsi="標楷體"/>
          <w:sz w:val="28"/>
          <w:szCs w:val="28"/>
        </w:rPr>
        <w:tab/>
      </w:r>
      <w:r w:rsidRPr="001B6E4D">
        <w:rPr>
          <w:rFonts w:ascii="標楷體" w:eastAsia="標楷體" w:hAnsi="標楷體" w:hint="eastAsia"/>
          <w:sz w:val="28"/>
          <w:szCs w:val="28"/>
        </w:rPr>
        <w:t>蔡其昌</w:t>
      </w:r>
      <w:r w:rsidRPr="001B6E4D">
        <w:rPr>
          <w:rFonts w:ascii="標楷體" w:eastAsia="標楷體" w:hAnsi="標楷體"/>
          <w:sz w:val="28"/>
          <w:szCs w:val="28"/>
        </w:rPr>
        <w:tab/>
      </w:r>
      <w:r w:rsidRPr="001B6E4D">
        <w:rPr>
          <w:rFonts w:ascii="標楷體" w:eastAsia="標楷體" w:hAnsi="標楷體" w:hint="eastAsia"/>
          <w:sz w:val="28"/>
          <w:szCs w:val="28"/>
        </w:rPr>
        <w:t>柯建銘</w:t>
      </w:r>
      <w:r w:rsidRPr="001B6E4D">
        <w:rPr>
          <w:rFonts w:ascii="標楷體" w:eastAsia="標楷體" w:hAnsi="標楷體"/>
          <w:sz w:val="28"/>
          <w:szCs w:val="28"/>
        </w:rPr>
        <w:tab/>
      </w:r>
      <w:r w:rsidRPr="001B6E4D">
        <w:rPr>
          <w:rFonts w:ascii="標楷體" w:eastAsia="標楷體" w:hAnsi="標楷體" w:hint="eastAsia"/>
          <w:sz w:val="28"/>
          <w:szCs w:val="28"/>
        </w:rPr>
        <w:t>傅崐萁</w:t>
      </w:r>
    </w:p>
    <w:p w14:paraId="4079ADA5" w14:textId="77777777" w:rsidR="00201B77" w:rsidRPr="001B6E4D" w:rsidRDefault="00201B77"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委員出席12人</w:t>
      </w:r>
    </w:p>
    <w:p w14:paraId="17076CB5" w14:textId="77777777" w:rsidR="00201B77" w:rsidRPr="001B6E4D" w:rsidRDefault="00201B77"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sz w:val="28"/>
          <w:szCs w:val="28"/>
        </w:rPr>
        <w:tab/>
      </w:r>
      <w:r w:rsidRPr="001B6E4D">
        <w:rPr>
          <w:rFonts w:ascii="標楷體" w:eastAsia="標楷體" w:hAnsi="標楷體" w:hint="eastAsia"/>
          <w:sz w:val="28"/>
          <w:szCs w:val="28"/>
        </w:rPr>
        <w:t>洪孟楷</w:t>
      </w:r>
      <w:r w:rsidRPr="001B6E4D">
        <w:rPr>
          <w:rFonts w:ascii="標楷體" w:eastAsia="標楷體" w:hAnsi="標楷體"/>
          <w:sz w:val="28"/>
          <w:szCs w:val="28"/>
        </w:rPr>
        <w:tab/>
      </w:r>
    </w:p>
    <w:p w14:paraId="12E22676" w14:textId="77777777" w:rsidR="00201B77" w:rsidRPr="001B6E4D" w:rsidRDefault="00201B77"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委員列席</w:t>
      </w:r>
      <w:r w:rsidRPr="001B6E4D">
        <w:rPr>
          <w:rFonts w:ascii="標楷體" w:eastAsia="標楷體" w:hAnsi="標楷體" w:hint="eastAsia"/>
          <w:sz w:val="28"/>
          <w:szCs w:val="28"/>
        </w:rPr>
        <w:t>2</w:t>
      </w:r>
      <w:r w:rsidRPr="001B6E4D">
        <w:rPr>
          <w:rFonts w:ascii="標楷體" w:eastAsia="標楷體" w:hAnsi="標楷體"/>
          <w:sz w:val="28"/>
          <w:szCs w:val="28"/>
        </w:rPr>
        <w:t>人</w:t>
      </w:r>
    </w:p>
    <w:p w14:paraId="08EA3405" w14:textId="77777777" w:rsidR="00201B77" w:rsidRPr="001B6E4D" w:rsidRDefault="00201B77" w:rsidP="003D1018">
      <w:pPr>
        <w:widowControl w:val="0"/>
        <w:overflowPunct w:val="0"/>
        <w:adjustRightInd w:val="0"/>
        <w:snapToGrid w:val="0"/>
        <w:spacing w:line="380" w:lineRule="exact"/>
        <w:jc w:val="both"/>
        <w:rPr>
          <w:rFonts w:ascii="標楷體" w:eastAsia="標楷體" w:hAnsi="標楷體"/>
          <w:kern w:val="0"/>
          <w:sz w:val="28"/>
          <w:szCs w:val="28"/>
        </w:rPr>
      </w:pPr>
      <w:r w:rsidRPr="001B6E4D">
        <w:rPr>
          <w:rFonts w:ascii="標楷體" w:eastAsia="標楷體" w:hAnsi="標楷體"/>
          <w:sz w:val="28"/>
          <w:szCs w:val="28"/>
        </w:rPr>
        <w:t>列席官員：</w:t>
      </w:r>
      <w:r w:rsidRPr="001B6E4D">
        <w:rPr>
          <w:rFonts w:ascii="標楷體" w:eastAsia="標楷體" w:hAnsi="標楷體"/>
          <w:kern w:val="0"/>
          <w:sz w:val="28"/>
          <w:szCs w:val="28"/>
        </w:rPr>
        <w:t>司法院秘書長</w:t>
      </w:r>
      <w:r w:rsidRPr="001B6E4D">
        <w:rPr>
          <w:rFonts w:ascii="標楷體" w:eastAsia="標楷體" w:hAnsi="標楷體" w:hint="eastAsia"/>
          <w:kern w:val="0"/>
          <w:sz w:val="28"/>
          <w:szCs w:val="28"/>
        </w:rPr>
        <w:t xml:space="preserve">　高金枝</w:t>
      </w:r>
    </w:p>
    <w:p w14:paraId="1BDA4B4E"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最高法院院長　高孟</w:t>
      </w:r>
      <w:proofErr w:type="gramStart"/>
      <w:r w:rsidRPr="001B6E4D">
        <w:rPr>
          <w:rFonts w:ascii="標楷體" w:eastAsia="標楷體" w:hAnsi="標楷體" w:hint="eastAsia"/>
          <w:kern w:val="0"/>
          <w:sz w:val="28"/>
          <w:szCs w:val="28"/>
        </w:rPr>
        <w:t>焄</w:t>
      </w:r>
      <w:proofErr w:type="gramEnd"/>
    </w:p>
    <w:p w14:paraId="2087BE9D"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最高行政法院院長　吳東都</w:t>
      </w:r>
    </w:p>
    <w:p w14:paraId="12A84742"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懲戒法院院長　林輝煌</w:t>
      </w:r>
    </w:p>
    <w:p w14:paraId="5CC2679F"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法官學院院長　</w:t>
      </w:r>
      <w:proofErr w:type="gramStart"/>
      <w:r w:rsidRPr="001B6E4D">
        <w:rPr>
          <w:rFonts w:ascii="標楷體" w:eastAsia="標楷體" w:hAnsi="標楷體" w:hint="eastAsia"/>
          <w:kern w:val="0"/>
          <w:sz w:val="28"/>
          <w:szCs w:val="28"/>
        </w:rPr>
        <w:t>張升星</w:t>
      </w:r>
      <w:proofErr w:type="gramEnd"/>
    </w:p>
    <w:p w14:paraId="290E24E4"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proofErr w:type="gramStart"/>
      <w:r w:rsidRPr="001B6E4D">
        <w:rPr>
          <w:rFonts w:ascii="標楷體" w:eastAsia="標楷體" w:hAnsi="標楷體" w:hint="eastAsia"/>
          <w:kern w:val="0"/>
          <w:sz w:val="28"/>
          <w:szCs w:val="28"/>
        </w:rPr>
        <w:t>臺</w:t>
      </w:r>
      <w:proofErr w:type="gramEnd"/>
      <w:r w:rsidRPr="001B6E4D">
        <w:rPr>
          <w:rFonts w:ascii="標楷體" w:eastAsia="標楷體" w:hAnsi="標楷體" w:hint="eastAsia"/>
          <w:kern w:val="0"/>
          <w:sz w:val="28"/>
          <w:szCs w:val="28"/>
        </w:rPr>
        <w:t>北高等行政法院院長　侯東昇</w:t>
      </w:r>
    </w:p>
    <w:p w14:paraId="1EAA0869"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proofErr w:type="gramStart"/>
      <w:r w:rsidRPr="001B6E4D">
        <w:rPr>
          <w:rFonts w:ascii="標楷體" w:eastAsia="標楷體" w:hAnsi="標楷體" w:hint="eastAsia"/>
          <w:kern w:val="0"/>
          <w:sz w:val="28"/>
          <w:szCs w:val="28"/>
        </w:rPr>
        <w:t>臺</w:t>
      </w:r>
      <w:proofErr w:type="gramEnd"/>
      <w:r w:rsidRPr="001B6E4D">
        <w:rPr>
          <w:rFonts w:ascii="標楷體" w:eastAsia="標楷體" w:hAnsi="標楷體" w:hint="eastAsia"/>
          <w:kern w:val="0"/>
          <w:sz w:val="28"/>
          <w:szCs w:val="28"/>
        </w:rPr>
        <w:t>中高等行政法院院長　簡慧娟</w:t>
      </w:r>
    </w:p>
    <w:p w14:paraId="7C1165DA"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高雄高等行政法院院長　蘇秋津</w:t>
      </w:r>
    </w:p>
    <w:p w14:paraId="427D67DD"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智慧財產及商業法院院長　陳駿璧</w:t>
      </w:r>
    </w:p>
    <w:p w14:paraId="600652F0"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臺灣高等法院院長　王梅英</w:t>
      </w:r>
    </w:p>
    <w:p w14:paraId="6DA8B03B"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臺灣高等法院臺中分院院長　李寶堂</w:t>
      </w:r>
    </w:p>
    <w:p w14:paraId="7B7DA89D"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臺灣高等法院臺南分院院長　李文賢</w:t>
      </w:r>
    </w:p>
    <w:p w14:paraId="1EBA7F81"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臺灣高等法院高雄分院院長　梁玉芬</w:t>
      </w:r>
    </w:p>
    <w:p w14:paraId="73BA4410"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臺灣高等法院花蓮分院院長　張國忠</w:t>
      </w:r>
    </w:p>
    <w:p w14:paraId="4BD20F99"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福建高等法院金門分院院長　邱志平</w:t>
      </w:r>
    </w:p>
    <w:p w14:paraId="54AD4F1A"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w:t>
      </w:r>
      <w:proofErr w:type="gramStart"/>
      <w:r w:rsidRPr="001B6E4D">
        <w:rPr>
          <w:rFonts w:ascii="標楷體" w:eastAsia="標楷體" w:hAnsi="標楷體" w:hint="eastAsia"/>
          <w:kern w:val="0"/>
          <w:sz w:val="28"/>
          <w:szCs w:val="28"/>
        </w:rPr>
        <w:t>臺</w:t>
      </w:r>
      <w:proofErr w:type="gramEnd"/>
      <w:r w:rsidRPr="001B6E4D">
        <w:rPr>
          <w:rFonts w:ascii="標楷體" w:eastAsia="標楷體" w:hAnsi="標楷體" w:hint="eastAsia"/>
          <w:kern w:val="0"/>
          <w:sz w:val="28"/>
          <w:szCs w:val="28"/>
        </w:rPr>
        <w:t>北地方法院院長　何信慶</w:t>
      </w:r>
    </w:p>
    <w:p w14:paraId="17C06F37"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臺灣士林地方法院院長　邱璿如</w:t>
      </w:r>
    </w:p>
    <w:p w14:paraId="4C77517E"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臺灣新北地方法院院長　蕭胤</w:t>
      </w:r>
      <w:proofErr w:type="gramStart"/>
      <w:r w:rsidRPr="001B6E4D">
        <w:rPr>
          <w:rFonts w:ascii="標楷體" w:eastAsia="標楷體" w:hAnsi="標楷體" w:hint="eastAsia"/>
          <w:kern w:val="0"/>
          <w:sz w:val="28"/>
          <w:szCs w:val="28"/>
        </w:rPr>
        <w:t>瑮</w:t>
      </w:r>
      <w:proofErr w:type="gramEnd"/>
    </w:p>
    <w:p w14:paraId="187E37AD"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臺灣桃園地方法院院長　黃莉雲</w:t>
      </w:r>
    </w:p>
    <w:p w14:paraId="3D2AA6B7"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臺灣新竹地方法院院長　朱瑞娟</w:t>
      </w:r>
    </w:p>
    <w:p w14:paraId="284A7D2B"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臺灣苗栗地方法院院長　黃潔茹</w:t>
      </w:r>
    </w:p>
    <w:p w14:paraId="4CB0A76C"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w:t>
      </w:r>
      <w:proofErr w:type="gramStart"/>
      <w:r w:rsidRPr="001B6E4D">
        <w:rPr>
          <w:rFonts w:ascii="標楷體" w:eastAsia="標楷體" w:hAnsi="標楷體" w:hint="eastAsia"/>
          <w:kern w:val="0"/>
          <w:sz w:val="28"/>
          <w:szCs w:val="28"/>
        </w:rPr>
        <w:t>臺</w:t>
      </w:r>
      <w:proofErr w:type="gramEnd"/>
      <w:r w:rsidRPr="001B6E4D">
        <w:rPr>
          <w:rFonts w:ascii="標楷體" w:eastAsia="標楷體" w:hAnsi="標楷體" w:hint="eastAsia"/>
          <w:kern w:val="0"/>
          <w:sz w:val="28"/>
          <w:szCs w:val="28"/>
        </w:rPr>
        <w:t>中地方法院院長　王漢章</w:t>
      </w:r>
    </w:p>
    <w:p w14:paraId="3013BB0B"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臺灣南投地方法院院長　</w:t>
      </w:r>
      <w:proofErr w:type="gramStart"/>
      <w:r w:rsidRPr="001B6E4D">
        <w:rPr>
          <w:rFonts w:ascii="標楷體" w:eastAsia="標楷體" w:hAnsi="標楷體" w:hint="eastAsia"/>
          <w:kern w:val="0"/>
          <w:sz w:val="28"/>
          <w:szCs w:val="28"/>
        </w:rPr>
        <w:t>王邁揚</w:t>
      </w:r>
      <w:proofErr w:type="gramEnd"/>
    </w:p>
    <w:p w14:paraId="7FFB628B"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臺灣彰化地方法院院長　楊國精</w:t>
      </w:r>
    </w:p>
    <w:p w14:paraId="6A006E9F"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臺灣雲林地方法院院長　卓進仕</w:t>
      </w:r>
    </w:p>
    <w:p w14:paraId="2DA0BAFB"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臺灣嘉義地方法院院長　陳弘能</w:t>
      </w:r>
    </w:p>
    <w:p w14:paraId="0A31F445"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w:t>
      </w:r>
      <w:proofErr w:type="gramStart"/>
      <w:r w:rsidRPr="001B6E4D">
        <w:rPr>
          <w:rFonts w:ascii="標楷體" w:eastAsia="標楷體" w:hAnsi="標楷體" w:hint="eastAsia"/>
          <w:kern w:val="0"/>
          <w:sz w:val="28"/>
          <w:szCs w:val="28"/>
        </w:rPr>
        <w:t>臺</w:t>
      </w:r>
      <w:proofErr w:type="gramEnd"/>
      <w:r w:rsidRPr="001B6E4D">
        <w:rPr>
          <w:rFonts w:ascii="標楷體" w:eastAsia="標楷體" w:hAnsi="標楷體" w:hint="eastAsia"/>
          <w:kern w:val="0"/>
          <w:sz w:val="28"/>
          <w:szCs w:val="28"/>
        </w:rPr>
        <w:t>南地方法院院長　陳連發</w:t>
      </w:r>
    </w:p>
    <w:p w14:paraId="3974C0AD"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臺灣橋頭地方法院院長　</w:t>
      </w:r>
      <w:proofErr w:type="gramStart"/>
      <w:r w:rsidRPr="001B6E4D">
        <w:rPr>
          <w:rFonts w:ascii="標楷體" w:eastAsia="標楷體" w:hAnsi="標楷體" w:hint="eastAsia"/>
          <w:kern w:val="0"/>
          <w:sz w:val="28"/>
          <w:szCs w:val="28"/>
        </w:rPr>
        <w:t>甯</w:t>
      </w:r>
      <w:proofErr w:type="gramEnd"/>
      <w:r w:rsidRPr="001B6E4D">
        <w:rPr>
          <w:rFonts w:ascii="標楷體" w:eastAsia="標楷體" w:hAnsi="標楷體" w:hint="eastAsia"/>
          <w:kern w:val="0"/>
          <w:sz w:val="28"/>
          <w:szCs w:val="28"/>
        </w:rPr>
        <w:t xml:space="preserve">  馨</w:t>
      </w:r>
    </w:p>
    <w:p w14:paraId="4F107CDF"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臺灣高雄地方法院院長　蔡國卿</w:t>
      </w:r>
    </w:p>
    <w:p w14:paraId="4693508D"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臺灣屏東地方法院院長　李昭彥</w:t>
      </w:r>
    </w:p>
    <w:p w14:paraId="1C860D63"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lastRenderedPageBreak/>
        <w:t>臺灣</w:t>
      </w:r>
      <w:proofErr w:type="gramStart"/>
      <w:r w:rsidRPr="001B6E4D">
        <w:rPr>
          <w:rFonts w:ascii="標楷體" w:eastAsia="標楷體" w:hAnsi="標楷體" w:hint="eastAsia"/>
          <w:kern w:val="0"/>
          <w:sz w:val="28"/>
          <w:szCs w:val="28"/>
        </w:rPr>
        <w:t>臺</w:t>
      </w:r>
      <w:proofErr w:type="gramEnd"/>
      <w:r w:rsidRPr="001B6E4D">
        <w:rPr>
          <w:rFonts w:ascii="標楷體" w:eastAsia="標楷體" w:hAnsi="標楷體" w:hint="eastAsia"/>
          <w:kern w:val="0"/>
          <w:sz w:val="28"/>
          <w:szCs w:val="28"/>
        </w:rPr>
        <w:t>東地方法院院長　黃若美</w:t>
      </w:r>
    </w:p>
    <w:p w14:paraId="5DBC5279"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臺灣花蓮地方法院院長　張宏節</w:t>
      </w:r>
    </w:p>
    <w:p w14:paraId="1CB4DF0D"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臺灣宜蘭地方法院院長　黃斯偉</w:t>
      </w:r>
    </w:p>
    <w:p w14:paraId="61DDA932"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臺灣基隆地方法院院長　李麗珠</w:t>
      </w:r>
    </w:p>
    <w:p w14:paraId="0FB0DB34"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臺灣澎湖地方法院院長　楊智守</w:t>
      </w:r>
    </w:p>
    <w:p w14:paraId="0ED60CEC"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臺灣高雄少年及家事法院院長　涂秀玲</w:t>
      </w:r>
    </w:p>
    <w:p w14:paraId="44BA6199"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福建金門地方法院院長　陳信旗</w:t>
      </w:r>
    </w:p>
    <w:p w14:paraId="3D3EF656"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福建連江地方法院院長　游文科</w:t>
      </w:r>
    </w:p>
    <w:p w14:paraId="337D0D38"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財團法人法律扶助基金會執行長　周漢威(董事長請假)</w:t>
      </w:r>
    </w:p>
    <w:p w14:paraId="5F70FE39" w14:textId="77777777" w:rsidR="00201B77" w:rsidRPr="001B6E4D" w:rsidRDefault="00201B77" w:rsidP="003D1018">
      <w:pPr>
        <w:widowControl w:val="0"/>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行政院主計總處公務預算處專門委員　李培源</w:t>
      </w:r>
    </w:p>
    <w:p w14:paraId="0CD5CB98" w14:textId="77777777" w:rsidR="00201B77" w:rsidRPr="001B6E4D" w:rsidRDefault="00201B77" w:rsidP="003D1018">
      <w:pPr>
        <w:widowControl w:val="0"/>
        <w:overflowPunct w:val="0"/>
        <w:adjustRightInd w:val="0"/>
        <w:snapToGrid w:val="0"/>
        <w:spacing w:line="400" w:lineRule="exact"/>
        <w:ind w:left="1361" w:hangingChars="486" w:hanging="1361"/>
        <w:jc w:val="both"/>
        <w:rPr>
          <w:rFonts w:ascii="標楷體" w:eastAsia="標楷體" w:hAnsi="標楷體"/>
          <w:sz w:val="28"/>
          <w:szCs w:val="28"/>
        </w:rPr>
      </w:pPr>
      <w:r w:rsidRPr="001B6E4D">
        <w:rPr>
          <w:rFonts w:ascii="標楷體" w:eastAsia="標楷體" w:hAnsi="標楷體"/>
          <w:kern w:val="0"/>
          <w:sz w:val="28"/>
          <w:szCs w:val="28"/>
          <w:fitText w:val="1120" w:id="-384132862"/>
        </w:rPr>
        <w:t>主    席</w:t>
      </w:r>
      <w:r w:rsidRPr="001B6E4D">
        <w:rPr>
          <w:rFonts w:ascii="標楷體" w:eastAsia="標楷體" w:hAnsi="標楷體"/>
          <w:sz w:val="28"/>
          <w:szCs w:val="28"/>
        </w:rPr>
        <w:t>：</w:t>
      </w:r>
      <w:r w:rsidRPr="001B6E4D">
        <w:rPr>
          <w:rFonts w:ascii="標楷體" w:eastAsia="標楷體" w:hAnsi="標楷體" w:hint="eastAsia"/>
          <w:sz w:val="28"/>
          <w:szCs w:val="28"/>
        </w:rPr>
        <w:t>莊召集委員瑞雄</w:t>
      </w:r>
    </w:p>
    <w:p w14:paraId="00F03581" w14:textId="77777777" w:rsidR="00201B77" w:rsidRPr="001B6E4D" w:rsidRDefault="00201B77" w:rsidP="003D1018">
      <w:pPr>
        <w:widowControl w:val="0"/>
        <w:overflowPunct w:val="0"/>
        <w:snapToGrid w:val="0"/>
        <w:spacing w:line="410" w:lineRule="exact"/>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1A413A95" w14:textId="77777777" w:rsidR="00201B77" w:rsidRPr="001B6E4D" w:rsidRDefault="00201B77" w:rsidP="003D1018">
      <w:pPr>
        <w:widowControl w:val="0"/>
        <w:overflowPunct w:val="0"/>
        <w:snapToGrid w:val="0"/>
        <w:spacing w:line="410" w:lineRule="exact"/>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537119C1" w14:textId="77777777" w:rsidR="00201B77" w:rsidRPr="001B6E4D" w:rsidRDefault="00201B77" w:rsidP="003D1018">
      <w:pPr>
        <w:widowControl w:val="0"/>
        <w:overflowPunct w:val="0"/>
        <w:adjustRightInd w:val="0"/>
        <w:snapToGrid w:val="0"/>
        <w:spacing w:line="410" w:lineRule="exact"/>
        <w:rPr>
          <w:rFonts w:ascii="標楷體" w:eastAsia="標楷體" w:hAnsi="標楷體"/>
          <w:sz w:val="28"/>
          <w:szCs w:val="28"/>
        </w:rPr>
      </w:pPr>
      <w:r w:rsidRPr="001B6E4D">
        <w:rPr>
          <w:rFonts w:ascii="標楷體" w:eastAsia="標楷體" w:hAnsi="標楷體" w:hint="eastAsia"/>
          <w:sz w:val="28"/>
          <w:szCs w:val="28"/>
        </w:rPr>
        <w:t>紀    錄：簡任秘書　薛復寧</w:t>
      </w:r>
    </w:p>
    <w:p w14:paraId="34F5EC39" w14:textId="77777777" w:rsidR="00201B77" w:rsidRPr="001B6E4D" w:rsidRDefault="00201B77" w:rsidP="003D1018">
      <w:pPr>
        <w:widowControl w:val="0"/>
        <w:overflowPunct w:val="0"/>
        <w:adjustRightInd w:val="0"/>
        <w:snapToGrid w:val="0"/>
        <w:spacing w:line="410" w:lineRule="exact"/>
        <w:ind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59742677" w14:textId="77777777" w:rsidR="00201B77" w:rsidRPr="001B6E4D" w:rsidRDefault="00201B77" w:rsidP="003D1018">
      <w:pPr>
        <w:widowControl w:val="0"/>
        <w:overflowPunct w:val="0"/>
        <w:adjustRightInd w:val="0"/>
        <w:snapToGrid w:val="0"/>
        <w:spacing w:line="410" w:lineRule="exact"/>
        <w:ind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57F48250" w14:textId="77777777" w:rsidR="00201B77" w:rsidRPr="001B6E4D" w:rsidRDefault="00201B77" w:rsidP="003D1018">
      <w:pPr>
        <w:widowControl w:val="0"/>
        <w:overflowPunct w:val="0"/>
        <w:adjustRightInd w:val="0"/>
        <w:snapToGrid w:val="0"/>
        <w:spacing w:beforeLines="30" w:before="108" w:line="41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5A382428" w14:textId="77777777" w:rsidR="00201B77" w:rsidRPr="001B6E4D" w:rsidRDefault="00201B77" w:rsidP="003D1018">
      <w:pPr>
        <w:widowControl w:val="0"/>
        <w:overflowPunct w:val="0"/>
        <w:adjustRightInd w:val="0"/>
        <w:snapToGrid w:val="0"/>
        <w:spacing w:line="410" w:lineRule="exact"/>
        <w:ind w:left="560" w:hangingChars="200" w:hanging="560"/>
        <w:jc w:val="both"/>
        <w:rPr>
          <w:rFonts w:ascii="標楷體" w:eastAsia="標楷體" w:hAnsi="標楷體"/>
          <w:kern w:val="0"/>
          <w:sz w:val="28"/>
          <w:szCs w:val="28"/>
        </w:rPr>
      </w:pPr>
      <w:r w:rsidRPr="001B6E4D">
        <w:rPr>
          <w:rFonts w:ascii="標楷體" w:eastAsia="標楷體" w:hAnsi="標楷體"/>
          <w:kern w:val="0"/>
          <w:sz w:val="28"/>
          <w:szCs w:val="28"/>
        </w:rPr>
        <w:t>宣讀上次會議議事錄</w:t>
      </w:r>
      <w:r w:rsidRPr="001B6E4D">
        <w:rPr>
          <w:rFonts w:ascii="標楷體" w:eastAsia="標楷體" w:hAnsi="標楷體" w:hint="eastAsia"/>
          <w:kern w:val="0"/>
          <w:sz w:val="28"/>
          <w:szCs w:val="28"/>
        </w:rPr>
        <w:t>。</w:t>
      </w:r>
    </w:p>
    <w:p w14:paraId="36CFFE5B" w14:textId="77777777" w:rsidR="00201B77" w:rsidRPr="001B6E4D" w:rsidRDefault="00201B77" w:rsidP="003D1018">
      <w:pPr>
        <w:widowControl w:val="0"/>
        <w:overflowPunct w:val="0"/>
        <w:adjustRightInd w:val="0"/>
        <w:snapToGrid w:val="0"/>
        <w:spacing w:line="410" w:lineRule="exact"/>
        <w:ind w:left="840" w:hangingChars="300" w:hanging="840"/>
        <w:jc w:val="both"/>
        <w:rPr>
          <w:rFonts w:ascii="標楷體" w:eastAsia="標楷體" w:hAnsi="標楷體"/>
          <w:kern w:val="0"/>
          <w:sz w:val="28"/>
          <w:szCs w:val="28"/>
        </w:rPr>
      </w:pPr>
      <w:r w:rsidRPr="001B6E4D">
        <w:rPr>
          <w:rFonts w:ascii="標楷體" w:eastAsia="標楷體" w:hAnsi="標楷體" w:hint="eastAsia"/>
          <w:kern w:val="0"/>
          <w:sz w:val="28"/>
          <w:szCs w:val="28"/>
        </w:rPr>
        <w:t>決定：確定。</w:t>
      </w:r>
    </w:p>
    <w:p w14:paraId="645DAB25" w14:textId="77777777" w:rsidR="00201B77" w:rsidRPr="001B6E4D" w:rsidRDefault="00201B77" w:rsidP="003D1018">
      <w:pPr>
        <w:widowControl w:val="0"/>
        <w:overflowPunct w:val="0"/>
        <w:adjustRightInd w:val="0"/>
        <w:snapToGrid w:val="0"/>
        <w:spacing w:beforeLines="50" w:before="180" w:line="40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討論事項</w:t>
      </w:r>
    </w:p>
    <w:p w14:paraId="787B8C38" w14:textId="77777777" w:rsidR="00201B77" w:rsidRPr="001B6E4D" w:rsidRDefault="00201B77" w:rsidP="003D1018">
      <w:pPr>
        <w:widowControl w:val="0"/>
        <w:overflowPunct w:val="0"/>
        <w:adjustRightInd w:val="0"/>
        <w:snapToGrid w:val="0"/>
        <w:spacing w:line="400" w:lineRule="exact"/>
        <w:ind w:leftChars="-64" w:left="445" w:rightChars="138" w:right="331" w:hangingChars="214" w:hanging="599"/>
        <w:jc w:val="both"/>
        <w:rPr>
          <w:rFonts w:ascii="標楷體" w:eastAsia="標楷體" w:hAnsi="標楷體"/>
          <w:spacing w:val="-5"/>
          <w:sz w:val="28"/>
          <w:szCs w:val="28"/>
        </w:rPr>
      </w:pPr>
      <w:r w:rsidRPr="001B6E4D">
        <w:rPr>
          <w:rFonts w:ascii="標楷體" w:eastAsia="標楷體" w:hAnsi="標楷體" w:hint="eastAsia"/>
          <w:sz w:val="28"/>
          <w:szCs w:val="28"/>
        </w:rPr>
        <w:t>一、</w:t>
      </w:r>
      <w:r w:rsidRPr="001B6E4D">
        <w:rPr>
          <w:rFonts w:ascii="標楷體" w:eastAsia="標楷體" w:hAnsi="標楷體" w:hint="eastAsia"/>
          <w:spacing w:val="-5"/>
          <w:sz w:val="28"/>
          <w:szCs w:val="28"/>
        </w:rPr>
        <w:t>審查</w:t>
      </w:r>
      <w:proofErr w:type="gramStart"/>
      <w:r w:rsidRPr="001B6E4D">
        <w:rPr>
          <w:rFonts w:ascii="標楷體" w:eastAsia="標楷體" w:hAnsi="標楷體" w:hint="eastAsia"/>
          <w:spacing w:val="-5"/>
          <w:sz w:val="28"/>
          <w:szCs w:val="28"/>
        </w:rPr>
        <w:t>115</w:t>
      </w:r>
      <w:proofErr w:type="gramEnd"/>
      <w:r w:rsidRPr="001B6E4D">
        <w:rPr>
          <w:rFonts w:ascii="標楷體" w:eastAsia="標楷體" w:hAnsi="標楷體" w:hint="eastAsia"/>
          <w:spacing w:val="-5"/>
          <w:sz w:val="28"/>
          <w:szCs w:val="28"/>
        </w:rPr>
        <w:t>年度中央政府總預算案關於司法院及所屬主管收支部分。</w:t>
      </w:r>
    </w:p>
    <w:p w14:paraId="36BF421F" w14:textId="77777777" w:rsidR="00201B77" w:rsidRPr="001B6E4D" w:rsidRDefault="00201B77" w:rsidP="003D1018">
      <w:pPr>
        <w:widowControl w:val="0"/>
        <w:overflowPunct w:val="0"/>
        <w:adjustRightInd w:val="0"/>
        <w:snapToGrid w:val="0"/>
        <w:spacing w:line="400" w:lineRule="exact"/>
        <w:ind w:leftChars="-53" w:left="13" w:rightChars="138" w:right="331" w:hangingChars="50" w:hanging="140"/>
        <w:jc w:val="both"/>
        <w:rPr>
          <w:rFonts w:ascii="標楷體" w:eastAsia="標楷體" w:hAnsi="標楷體"/>
          <w:sz w:val="28"/>
          <w:szCs w:val="28"/>
        </w:rPr>
      </w:pPr>
      <w:r w:rsidRPr="001B6E4D">
        <w:rPr>
          <w:rFonts w:ascii="標楷體" w:eastAsia="標楷體" w:hAnsi="標楷體" w:hint="eastAsia"/>
          <w:sz w:val="28"/>
          <w:szCs w:val="28"/>
        </w:rPr>
        <w:t>二、審查司法院函送財團法人法律扶助基金會</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年度預算書案。</w:t>
      </w:r>
    </w:p>
    <w:p w14:paraId="625869D0" w14:textId="77777777" w:rsidR="00201B77" w:rsidRPr="001B6E4D" w:rsidRDefault="00201B77" w:rsidP="003D1018">
      <w:pPr>
        <w:widowControl w:val="0"/>
        <w:overflowPunct w:val="0"/>
        <w:adjustRightInd w:val="0"/>
        <w:snapToGrid w:val="0"/>
        <w:ind w:leftChars="-53" w:left="13" w:hangingChars="50" w:hanging="140"/>
        <w:jc w:val="both"/>
        <w:rPr>
          <w:rFonts w:ascii="標楷體" w:eastAsia="標楷體" w:hAnsi="標楷體"/>
          <w:sz w:val="28"/>
          <w:szCs w:val="28"/>
        </w:rPr>
      </w:pPr>
      <w:proofErr w:type="gramStart"/>
      <w:r w:rsidRPr="001B6E4D">
        <w:rPr>
          <w:rFonts w:ascii="標楷體" w:eastAsia="標楷體" w:hAnsi="標楷體" w:hint="eastAsia"/>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陳昭姿、吳宗憲、翁曉玲、張雅琳、沈發惠、許宇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雲、洪孟楷、莊瑞雄</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；委員蔡其昌、林倩綺提出書面質詢。）</w:t>
      </w:r>
    </w:p>
    <w:p w14:paraId="74E0467F" w14:textId="77777777" w:rsidR="00201B77" w:rsidRPr="001B6E4D" w:rsidRDefault="00201B77" w:rsidP="003D1018">
      <w:pPr>
        <w:widowControl w:val="0"/>
        <w:overflowPunct w:val="0"/>
        <w:spacing w:line="400" w:lineRule="exact"/>
        <w:contextualSpacing/>
        <w:jc w:val="both"/>
        <w:rPr>
          <w:rFonts w:ascii="標楷體" w:eastAsia="標楷體" w:hAnsi="標楷體"/>
          <w:sz w:val="28"/>
          <w:szCs w:val="28"/>
        </w:rPr>
      </w:pPr>
      <w:r w:rsidRPr="001B6E4D">
        <w:rPr>
          <w:rFonts w:ascii="標楷體" w:eastAsia="標楷體" w:hAnsi="標楷體" w:hint="eastAsia"/>
          <w:sz w:val="28"/>
          <w:szCs w:val="28"/>
        </w:rPr>
        <w:t>決議：</w:t>
      </w:r>
    </w:p>
    <w:p w14:paraId="5AFD7297" w14:textId="77777777" w:rsidR="00201B77" w:rsidRPr="001B6E4D" w:rsidRDefault="00201B77" w:rsidP="003D1018">
      <w:pPr>
        <w:widowControl w:val="0"/>
        <w:overflowPunct w:val="0"/>
        <w:spacing w:line="400" w:lineRule="exact"/>
        <w:contextualSpacing/>
        <w:jc w:val="both"/>
        <w:rPr>
          <w:rFonts w:ascii="標楷體" w:eastAsia="標楷體" w:hAnsi="標楷體"/>
          <w:sz w:val="28"/>
          <w:szCs w:val="28"/>
        </w:rPr>
      </w:pPr>
      <w:r w:rsidRPr="001B6E4D">
        <w:rPr>
          <w:rFonts w:ascii="標楷體" w:eastAsia="標楷體" w:hAnsi="標楷體" w:hint="eastAsia"/>
          <w:sz w:val="28"/>
          <w:szCs w:val="28"/>
        </w:rPr>
        <w:t>一、第一案及第二案，報告及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proofErr w:type="gramStart"/>
      <w:r w:rsidRPr="001B6E4D">
        <w:rPr>
          <w:rFonts w:ascii="標楷體" w:eastAsia="標楷體" w:hAnsi="標楷體" w:hint="eastAsia"/>
          <w:sz w:val="28"/>
          <w:szCs w:val="28"/>
        </w:rPr>
        <w:t>均另定期</w:t>
      </w:r>
      <w:proofErr w:type="gramEnd"/>
      <w:r w:rsidRPr="001B6E4D">
        <w:rPr>
          <w:rFonts w:ascii="標楷體" w:eastAsia="標楷體" w:hAnsi="標楷體" w:hint="eastAsia"/>
          <w:sz w:val="28"/>
          <w:szCs w:val="28"/>
        </w:rPr>
        <w:t>繼續審查。</w:t>
      </w:r>
    </w:p>
    <w:p w14:paraId="4821FFD1" w14:textId="77777777" w:rsidR="00201B77" w:rsidRPr="001B6E4D" w:rsidRDefault="00201B77" w:rsidP="003D1018">
      <w:pPr>
        <w:widowControl w:val="0"/>
        <w:overflowPunct w:val="0"/>
        <w:spacing w:line="40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二、委員質詢時，要求提供相關資料或以書面答復者，請相關機關儘速送交個別委員及本會。</w:t>
      </w:r>
    </w:p>
    <w:p w14:paraId="5B5FE385" w14:textId="77777777" w:rsidR="00201B77" w:rsidRPr="001B6E4D" w:rsidRDefault="00201B77" w:rsidP="003D1018">
      <w:pPr>
        <w:widowControl w:val="0"/>
        <w:kinsoku w:val="0"/>
        <w:overflowPunct w:val="0"/>
        <w:spacing w:beforeLines="50" w:before="180" w:line="40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三、審查會委員針對本次議程所列討論事項之預算提案，請於5月11日(星期一)下午</w:t>
      </w:r>
      <w:r w:rsidRPr="001B6E4D">
        <w:rPr>
          <w:rFonts w:ascii="標楷體" w:eastAsia="標楷體" w:hAnsi="標楷體"/>
          <w:sz w:val="28"/>
          <w:szCs w:val="28"/>
        </w:rPr>
        <w:t>2</w:t>
      </w:r>
      <w:r w:rsidRPr="001B6E4D">
        <w:rPr>
          <w:rFonts w:ascii="標楷體" w:eastAsia="標楷體" w:hAnsi="標楷體" w:hint="eastAsia"/>
          <w:sz w:val="28"/>
          <w:szCs w:val="28"/>
        </w:rPr>
        <w:t>時前送交本會，逾時不予受理。</w:t>
      </w:r>
    </w:p>
    <w:p w14:paraId="08A8430E" w14:textId="77777777" w:rsidR="00201B77" w:rsidRPr="001B6E4D" w:rsidRDefault="00201B77" w:rsidP="003D1018">
      <w:pPr>
        <w:widowControl w:val="0"/>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410F536D"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23840AC1" w14:textId="59663515" w:rsidR="00201B77" w:rsidRPr="001B6E4D" w:rsidRDefault="00201B77"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69" w:name="_Toc240446596"/>
      <w:r w:rsidRPr="001B6E4D">
        <w:rPr>
          <w:rFonts w:ascii="標楷體" w:eastAsia="標楷體" w:hAnsi="標楷體" w:hint="eastAsia"/>
          <w:b/>
          <w:spacing w:val="-2"/>
          <w:sz w:val="28"/>
          <w:szCs w:val="28"/>
        </w:rPr>
        <w:lastRenderedPageBreak/>
        <w:t>立法院第1</w:t>
      </w:r>
      <w:r w:rsidRPr="001B6E4D">
        <w:rPr>
          <w:rFonts w:ascii="標楷體" w:eastAsia="標楷體" w:hAnsi="標楷體"/>
          <w:b/>
          <w:spacing w:val="-2"/>
          <w:sz w:val="28"/>
          <w:szCs w:val="28"/>
        </w:rPr>
        <w:t>1</w:t>
      </w:r>
      <w:r w:rsidRPr="001B6E4D">
        <w:rPr>
          <w:rFonts w:ascii="標楷體" w:eastAsia="標楷體" w:hAnsi="標楷體" w:hint="eastAsia"/>
          <w:b/>
          <w:spacing w:val="-2"/>
          <w:sz w:val="28"/>
          <w:szCs w:val="28"/>
        </w:rPr>
        <w:t>屆第5會期司法及法制委員會第12次全體委員會議議事錄</w:t>
      </w:r>
      <w:bookmarkEnd w:id="469"/>
    </w:p>
    <w:p w14:paraId="1B9D65B5" w14:textId="77777777" w:rsidR="00201B77" w:rsidRPr="001B6E4D" w:rsidRDefault="00201B77" w:rsidP="003D1018">
      <w:pPr>
        <w:widowControl w:val="0"/>
        <w:overflowPunct w:val="0"/>
        <w:adjustRightInd w:val="0"/>
        <w:snapToGrid w:val="0"/>
        <w:spacing w:line="360" w:lineRule="exact"/>
        <w:ind w:left="1417" w:hangingChars="506" w:hanging="1417"/>
        <w:jc w:val="both"/>
        <w:rPr>
          <w:rFonts w:ascii="標楷體" w:eastAsia="標楷體" w:hAnsi="標楷體"/>
          <w:kern w:val="0"/>
          <w:sz w:val="28"/>
          <w:szCs w:val="28"/>
        </w:rPr>
      </w:pPr>
      <w:r w:rsidRPr="001B6E4D">
        <w:rPr>
          <w:rFonts w:ascii="標楷體" w:eastAsia="標楷體" w:hAnsi="標楷體"/>
          <w:kern w:val="0"/>
          <w:sz w:val="28"/>
          <w:szCs w:val="28"/>
          <w:fitText w:val="1120" w:id="-384132861"/>
        </w:rPr>
        <w:t>時    間</w:t>
      </w:r>
      <w:r w:rsidRPr="001B6E4D">
        <w:rPr>
          <w:rFonts w:ascii="標楷體" w:eastAsia="標楷體" w:hAnsi="標楷體"/>
          <w:kern w:val="0"/>
          <w:sz w:val="28"/>
          <w:szCs w:val="28"/>
        </w:rPr>
        <w:t>：</w:t>
      </w:r>
      <w:r w:rsidRPr="001B6E4D">
        <w:rPr>
          <w:rFonts w:ascii="標楷體" w:eastAsia="標楷體" w:hAnsi="標楷體" w:hint="eastAsia"/>
          <w:spacing w:val="-4"/>
          <w:kern w:val="0"/>
          <w:sz w:val="28"/>
          <w:szCs w:val="28"/>
        </w:rPr>
        <w:t>中華民國115年5月6日（星期三）上午9時至1</w:t>
      </w:r>
      <w:r w:rsidRPr="001B6E4D">
        <w:rPr>
          <w:rFonts w:ascii="標楷體" w:eastAsia="標楷體" w:hAnsi="標楷體"/>
          <w:spacing w:val="-4"/>
          <w:kern w:val="0"/>
          <w:sz w:val="28"/>
          <w:szCs w:val="28"/>
        </w:rPr>
        <w:t>1</w:t>
      </w:r>
      <w:r w:rsidRPr="001B6E4D">
        <w:rPr>
          <w:rFonts w:ascii="標楷體" w:eastAsia="標楷體" w:hAnsi="標楷體" w:hint="eastAsia"/>
          <w:spacing w:val="-4"/>
          <w:kern w:val="0"/>
          <w:sz w:val="28"/>
          <w:szCs w:val="28"/>
        </w:rPr>
        <w:t>時2</w:t>
      </w:r>
      <w:r w:rsidRPr="001B6E4D">
        <w:rPr>
          <w:rFonts w:ascii="標楷體" w:eastAsia="標楷體" w:hAnsi="標楷體"/>
          <w:spacing w:val="-4"/>
          <w:kern w:val="0"/>
          <w:sz w:val="28"/>
          <w:szCs w:val="28"/>
        </w:rPr>
        <w:t>8</w:t>
      </w:r>
      <w:r w:rsidRPr="001B6E4D">
        <w:rPr>
          <w:rFonts w:ascii="標楷體" w:eastAsia="標楷體" w:hAnsi="標楷體" w:hint="eastAsia"/>
          <w:spacing w:val="-4"/>
          <w:kern w:val="0"/>
          <w:sz w:val="28"/>
          <w:szCs w:val="28"/>
        </w:rPr>
        <w:t>分</w:t>
      </w:r>
      <w:r w:rsidRPr="001B6E4D">
        <w:rPr>
          <w:rFonts w:ascii="標楷體" w:eastAsia="標楷體" w:hAnsi="標楷體" w:hint="eastAsia"/>
          <w:spacing w:val="-10"/>
          <w:w w:val="95"/>
          <w:kern w:val="0"/>
          <w:sz w:val="28"/>
          <w:szCs w:val="28"/>
        </w:rPr>
        <w:t>；</w:t>
      </w:r>
      <w:r w:rsidRPr="001B6E4D">
        <w:rPr>
          <w:rFonts w:ascii="標楷體" w:eastAsia="標楷體" w:hAnsi="標楷體" w:hint="eastAsia"/>
          <w:spacing w:val="-10"/>
          <w:kern w:val="0"/>
          <w:sz w:val="28"/>
          <w:szCs w:val="28"/>
        </w:rPr>
        <w:t>5月7日（星期四）上午9時2分至11時</w:t>
      </w:r>
      <w:r w:rsidRPr="001B6E4D">
        <w:rPr>
          <w:rFonts w:ascii="標楷體" w:eastAsia="標楷體" w:hAnsi="標楷體"/>
          <w:spacing w:val="-10"/>
          <w:kern w:val="0"/>
          <w:sz w:val="28"/>
          <w:szCs w:val="28"/>
        </w:rPr>
        <w:t>11</w:t>
      </w:r>
      <w:r w:rsidRPr="001B6E4D">
        <w:rPr>
          <w:rFonts w:ascii="標楷體" w:eastAsia="標楷體" w:hAnsi="標楷體" w:hint="eastAsia"/>
          <w:spacing w:val="-10"/>
          <w:kern w:val="0"/>
          <w:sz w:val="28"/>
          <w:szCs w:val="28"/>
        </w:rPr>
        <w:t>分</w:t>
      </w:r>
    </w:p>
    <w:p w14:paraId="00539132" w14:textId="77777777" w:rsidR="00201B77" w:rsidRPr="001B6E4D" w:rsidRDefault="00201B77" w:rsidP="003D1018">
      <w:pPr>
        <w:widowControl w:val="0"/>
        <w:overflowPunct w:val="0"/>
        <w:snapToGrid w:val="0"/>
        <w:spacing w:line="360" w:lineRule="exact"/>
        <w:ind w:left="572" w:hanging="561"/>
        <w:rPr>
          <w:rFonts w:ascii="標楷體" w:eastAsia="標楷體" w:hAnsi="標楷體"/>
          <w:sz w:val="28"/>
          <w:szCs w:val="28"/>
        </w:rPr>
      </w:pPr>
      <w:r w:rsidRPr="001B6E4D">
        <w:rPr>
          <w:rFonts w:ascii="標楷體" w:eastAsia="標楷體" w:hAnsi="標楷體"/>
          <w:kern w:val="0"/>
          <w:sz w:val="28"/>
          <w:szCs w:val="28"/>
          <w:fitText w:val="1120" w:id="-384132860"/>
        </w:rPr>
        <w:t>地    點</w:t>
      </w:r>
      <w:r w:rsidRPr="001B6E4D">
        <w:rPr>
          <w:rFonts w:ascii="標楷體" w:eastAsia="標楷體" w:hAnsi="標楷體"/>
          <w:sz w:val="28"/>
          <w:szCs w:val="28"/>
        </w:rPr>
        <w:t>：</w:t>
      </w:r>
      <w:r w:rsidRPr="001B6E4D">
        <w:rPr>
          <w:rFonts w:ascii="標楷體" w:eastAsia="標楷體" w:hAnsi="標楷體" w:hint="eastAsia"/>
          <w:sz w:val="28"/>
          <w:szCs w:val="28"/>
        </w:rPr>
        <w:t>本院紅樓302會議室</w:t>
      </w:r>
    </w:p>
    <w:p w14:paraId="20F5E6BC" w14:textId="77777777" w:rsidR="00201B77" w:rsidRPr="001B6E4D" w:rsidRDefault="00201B77" w:rsidP="003D1018">
      <w:pPr>
        <w:widowControl w:val="0"/>
        <w:overflowPunct w:val="0"/>
        <w:snapToGrid w:val="0"/>
        <w:ind w:left="574" w:hanging="560"/>
        <w:rPr>
          <w:rFonts w:ascii="標楷體" w:eastAsia="標楷體" w:hAnsi="標楷體"/>
          <w:sz w:val="28"/>
          <w:szCs w:val="28"/>
        </w:rPr>
      </w:pPr>
      <w:proofErr w:type="spellStart"/>
      <w:r w:rsidRPr="001B6E4D">
        <w:rPr>
          <w:rFonts w:ascii="標楷體" w:eastAsia="標楷體" w:hAnsi="標楷體"/>
          <w:kern w:val="0"/>
          <w:sz w:val="28"/>
          <w:szCs w:val="28"/>
          <w:lang w:val="x-none" w:eastAsia="x-none"/>
        </w:rPr>
        <w:t>出席委員</w:t>
      </w:r>
      <w:r w:rsidRPr="001B6E4D">
        <w:rPr>
          <w:rFonts w:ascii="標楷體" w:eastAsia="標楷體" w:hAnsi="標楷體" w:hint="eastAsia"/>
          <w:kern w:val="0"/>
          <w:sz w:val="28"/>
          <w:szCs w:val="28"/>
          <w:lang w:val="x-none" w:eastAsia="x-none"/>
        </w:rPr>
        <w:t>：</w:t>
      </w:r>
      <w:r w:rsidRPr="001B6E4D">
        <w:rPr>
          <w:rFonts w:ascii="標楷體" w:eastAsia="標楷體" w:hAnsi="標楷體" w:hint="eastAsia"/>
          <w:sz w:val="28"/>
          <w:szCs w:val="28"/>
        </w:rPr>
        <w:t>吳宗憲</w:t>
      </w:r>
      <w:proofErr w:type="spellEnd"/>
      <w:r w:rsidRPr="001B6E4D">
        <w:rPr>
          <w:rFonts w:ascii="標楷體" w:eastAsia="標楷體" w:hAnsi="標楷體" w:hint="eastAsia"/>
          <w:kern w:val="0"/>
          <w:sz w:val="28"/>
          <w:szCs w:val="28"/>
          <w:lang w:eastAsia="x-none"/>
        </w:rPr>
        <w:tab/>
      </w:r>
      <w:proofErr w:type="spellStart"/>
      <w:r w:rsidRPr="001B6E4D">
        <w:rPr>
          <w:rFonts w:ascii="標楷體" w:eastAsia="標楷體" w:hAnsi="標楷體" w:hint="eastAsia"/>
          <w:kern w:val="0"/>
          <w:sz w:val="28"/>
          <w:szCs w:val="28"/>
          <w:lang w:eastAsia="x-none"/>
        </w:rPr>
        <w:t>陳昭姿</w:t>
      </w:r>
      <w:proofErr w:type="spellEnd"/>
      <w:r w:rsidRPr="001B6E4D">
        <w:rPr>
          <w:rFonts w:ascii="標楷體" w:eastAsia="標楷體" w:hAnsi="標楷體" w:hint="eastAsia"/>
          <w:kern w:val="0"/>
          <w:sz w:val="28"/>
          <w:szCs w:val="28"/>
          <w:lang w:eastAsia="x-none"/>
        </w:rPr>
        <w:tab/>
      </w:r>
      <w:r w:rsidRPr="001B6E4D">
        <w:rPr>
          <w:rFonts w:ascii="標楷體" w:eastAsia="標楷體" w:hAnsi="標楷體" w:hint="eastAsia"/>
          <w:sz w:val="28"/>
          <w:szCs w:val="28"/>
        </w:rPr>
        <w:t>蔡其昌</w:t>
      </w:r>
      <w:r w:rsidRPr="001B6E4D">
        <w:rPr>
          <w:rFonts w:ascii="標楷體" w:eastAsia="標楷體" w:hAnsi="標楷體" w:hint="eastAsia"/>
          <w:sz w:val="28"/>
          <w:szCs w:val="28"/>
        </w:rPr>
        <w:tab/>
        <w:t>莊瑞雄</w:t>
      </w:r>
      <w:r w:rsidRPr="001B6E4D">
        <w:rPr>
          <w:rFonts w:ascii="標楷體" w:eastAsia="標楷體" w:hAnsi="標楷體" w:hint="eastAsia"/>
          <w:sz w:val="28"/>
          <w:szCs w:val="28"/>
        </w:rPr>
        <w:tab/>
        <w:t>沈發惠</w:t>
      </w:r>
      <w:r w:rsidRPr="001B6E4D">
        <w:rPr>
          <w:rFonts w:ascii="標楷體" w:eastAsia="標楷體" w:hAnsi="標楷體"/>
          <w:sz w:val="28"/>
          <w:szCs w:val="28"/>
        </w:rPr>
        <w:tab/>
      </w:r>
      <w:r w:rsidRPr="001B6E4D">
        <w:rPr>
          <w:rFonts w:ascii="標楷體" w:eastAsia="標楷體" w:hAnsi="標楷體" w:hint="eastAsia"/>
          <w:sz w:val="28"/>
          <w:szCs w:val="28"/>
        </w:rPr>
        <w:t>張雅琳</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hint="eastAsia"/>
          <w:sz w:val="28"/>
          <w:szCs w:val="28"/>
        </w:rPr>
        <w:tab/>
      </w:r>
    </w:p>
    <w:p w14:paraId="14A17D4A" w14:textId="77777777" w:rsidR="00201B77" w:rsidRPr="001B6E4D" w:rsidRDefault="00201B77" w:rsidP="003D1018">
      <w:pPr>
        <w:widowControl w:val="0"/>
        <w:overflowPunct w:val="0"/>
        <w:snapToGrid w:val="0"/>
        <w:ind w:left="1418"/>
        <w:rPr>
          <w:rFonts w:ascii="標楷體" w:eastAsia="標楷體" w:hAnsi="標楷體"/>
          <w:sz w:val="28"/>
          <w:szCs w:val="28"/>
        </w:rPr>
      </w:pPr>
      <w:r w:rsidRPr="001B6E4D">
        <w:rPr>
          <w:rFonts w:ascii="標楷體" w:eastAsia="標楷體" w:hAnsi="標楷體" w:hint="eastAsia"/>
          <w:sz w:val="28"/>
          <w:szCs w:val="28"/>
        </w:rPr>
        <w:t>林倩綺</w:t>
      </w:r>
      <w:r w:rsidRPr="001B6E4D">
        <w:rPr>
          <w:rFonts w:ascii="標楷體" w:eastAsia="標楷體" w:hAnsi="標楷體"/>
          <w:sz w:val="28"/>
          <w:szCs w:val="28"/>
        </w:rPr>
        <w:tab/>
      </w:r>
      <w:r w:rsidRPr="001B6E4D">
        <w:rPr>
          <w:rFonts w:ascii="標楷體" w:eastAsia="標楷體" w:hAnsi="標楷體" w:hint="eastAsia"/>
          <w:sz w:val="28"/>
          <w:szCs w:val="28"/>
        </w:rPr>
        <w:t>翁曉玲</w:t>
      </w:r>
      <w:r w:rsidRPr="001B6E4D">
        <w:rPr>
          <w:rFonts w:ascii="標楷體" w:eastAsia="標楷體" w:hAnsi="標楷體" w:hint="eastAsia"/>
          <w:sz w:val="28"/>
          <w:szCs w:val="28"/>
        </w:rPr>
        <w:tab/>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ab/>
      </w:r>
      <w:r w:rsidRPr="001B6E4D">
        <w:rPr>
          <w:rFonts w:ascii="標楷體" w:eastAsia="標楷體" w:hAnsi="標楷體" w:hint="eastAsia"/>
          <w:sz w:val="28"/>
          <w:szCs w:val="28"/>
        </w:rPr>
        <w:t>林沛祥</w:t>
      </w:r>
      <w:r w:rsidRPr="001B6E4D">
        <w:rPr>
          <w:rFonts w:ascii="標楷體" w:eastAsia="標楷體" w:hAnsi="標楷體"/>
          <w:sz w:val="28"/>
          <w:szCs w:val="28"/>
        </w:rPr>
        <w:tab/>
      </w:r>
      <w:r w:rsidRPr="001B6E4D">
        <w:rPr>
          <w:rFonts w:ascii="標楷體" w:eastAsia="標楷體" w:hAnsi="標楷體" w:hint="eastAsia"/>
          <w:sz w:val="28"/>
          <w:szCs w:val="28"/>
        </w:rPr>
        <w:t>傅崐萁</w:t>
      </w:r>
      <w:r w:rsidRPr="001B6E4D">
        <w:rPr>
          <w:rFonts w:ascii="標楷體" w:eastAsia="標楷體" w:hAnsi="標楷體"/>
          <w:sz w:val="28"/>
          <w:szCs w:val="28"/>
        </w:rPr>
        <w:tab/>
      </w:r>
    </w:p>
    <w:p w14:paraId="12502A38" w14:textId="77777777" w:rsidR="00201B77" w:rsidRPr="001B6E4D" w:rsidRDefault="00201B77" w:rsidP="003D1018">
      <w:pPr>
        <w:overflowPunct w:val="0"/>
        <w:snapToGrid w:val="0"/>
        <w:ind w:leftChars="396" w:left="950" w:firstLineChars="170" w:firstLine="476"/>
        <w:jc w:val="both"/>
        <w:rPr>
          <w:rFonts w:ascii="標楷體" w:eastAsia="標楷體" w:hAnsi="標楷體"/>
          <w:sz w:val="28"/>
          <w:szCs w:val="28"/>
        </w:rPr>
      </w:pPr>
      <w:r w:rsidRPr="001B6E4D">
        <w:rPr>
          <w:rFonts w:ascii="標楷體" w:eastAsia="標楷體" w:hAnsi="標楷體" w:hint="eastAsia"/>
          <w:sz w:val="28"/>
          <w:szCs w:val="28"/>
        </w:rPr>
        <w:t>委員出席12人</w:t>
      </w:r>
    </w:p>
    <w:p w14:paraId="287071E0" w14:textId="77777777" w:rsidR="00201B77" w:rsidRPr="001B6E4D" w:rsidRDefault="00201B77"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hint="eastAsia"/>
          <w:sz w:val="28"/>
          <w:szCs w:val="28"/>
        </w:rPr>
        <w:tab/>
        <w:t>楊瓊瓔</w:t>
      </w:r>
      <w:r w:rsidRPr="001B6E4D">
        <w:rPr>
          <w:rFonts w:ascii="標楷體" w:eastAsia="標楷體" w:hAnsi="標楷體" w:hint="eastAsia"/>
          <w:sz w:val="28"/>
          <w:szCs w:val="28"/>
        </w:rPr>
        <w:tab/>
        <w:t>鄭正鈐</w:t>
      </w:r>
      <w:r w:rsidRPr="001B6E4D">
        <w:rPr>
          <w:rFonts w:ascii="標楷體" w:eastAsia="標楷體" w:hAnsi="標楷體" w:hint="eastAsia"/>
          <w:sz w:val="28"/>
          <w:szCs w:val="28"/>
        </w:rPr>
        <w:tab/>
        <w:t>葉元之</w:t>
      </w:r>
      <w:r w:rsidRPr="001B6E4D">
        <w:rPr>
          <w:rFonts w:ascii="標楷體" w:eastAsia="標楷體" w:hAnsi="標楷體" w:hint="eastAsia"/>
          <w:sz w:val="28"/>
          <w:szCs w:val="28"/>
        </w:rPr>
        <w:tab/>
        <w:t>羅明才</w:t>
      </w:r>
      <w:r w:rsidRPr="001B6E4D">
        <w:rPr>
          <w:rFonts w:ascii="標楷體" w:eastAsia="標楷體" w:hAnsi="標楷體" w:hint="eastAsia"/>
          <w:sz w:val="28"/>
          <w:szCs w:val="28"/>
        </w:rPr>
        <w:tab/>
      </w:r>
      <w:r w:rsidRPr="001B6E4D">
        <w:rPr>
          <w:rFonts w:ascii="標楷體" w:eastAsia="標楷體" w:hAnsi="標楷體" w:hint="eastAsia"/>
          <w:spacing w:val="-26"/>
          <w:sz w:val="28"/>
          <w:szCs w:val="28"/>
        </w:rPr>
        <w:t>鄭天財</w:t>
      </w:r>
      <w:proofErr w:type="spellStart"/>
      <w:r w:rsidRPr="001B6E4D">
        <w:rPr>
          <w:rFonts w:ascii="標楷體" w:eastAsia="標楷體" w:hAnsi="標楷體" w:hint="eastAsia"/>
          <w:spacing w:val="-26"/>
          <w:sz w:val="28"/>
          <w:szCs w:val="28"/>
        </w:rPr>
        <w:t>Sra</w:t>
      </w:r>
      <w:proofErr w:type="spellEnd"/>
      <w:r w:rsidRPr="001B6E4D">
        <w:rPr>
          <w:rFonts w:ascii="標楷體" w:eastAsia="標楷體" w:hAnsi="標楷體" w:hint="eastAsia"/>
          <w:spacing w:val="-26"/>
          <w:sz w:val="28"/>
          <w:szCs w:val="28"/>
        </w:rPr>
        <w:t xml:space="preserve"> </w:t>
      </w:r>
      <w:proofErr w:type="spellStart"/>
      <w:r w:rsidRPr="001B6E4D">
        <w:rPr>
          <w:rFonts w:ascii="標楷體" w:eastAsia="標楷體" w:hAnsi="標楷體" w:hint="eastAsia"/>
          <w:spacing w:val="-26"/>
          <w:sz w:val="28"/>
          <w:szCs w:val="28"/>
        </w:rPr>
        <w:t>Kacaw</w:t>
      </w:r>
      <w:proofErr w:type="spellEnd"/>
      <w:r w:rsidRPr="001B6E4D">
        <w:rPr>
          <w:rFonts w:ascii="標楷體" w:eastAsia="標楷體" w:hAnsi="標楷體" w:hint="eastAsia"/>
          <w:sz w:val="28"/>
          <w:szCs w:val="28"/>
        </w:rPr>
        <w:tab/>
      </w:r>
    </w:p>
    <w:p w14:paraId="7CCD5572" w14:textId="77777777" w:rsidR="00201B77" w:rsidRPr="001B6E4D" w:rsidRDefault="00201B77" w:rsidP="003D1018">
      <w:pPr>
        <w:widowControl w:val="0"/>
        <w:overflowPunct w:val="0"/>
        <w:snapToGrid w:val="0"/>
        <w:ind w:left="1418"/>
        <w:rPr>
          <w:rFonts w:ascii="標楷體" w:eastAsia="標楷體" w:hAnsi="標楷體"/>
          <w:sz w:val="28"/>
          <w:szCs w:val="28"/>
          <w:highlight w:val="yellow"/>
        </w:rPr>
      </w:pPr>
      <w:r w:rsidRPr="001B6E4D">
        <w:rPr>
          <w:rFonts w:ascii="標楷體" w:eastAsia="標楷體" w:hAnsi="標楷體" w:hint="eastAsia"/>
          <w:sz w:val="28"/>
          <w:szCs w:val="28"/>
        </w:rPr>
        <w:t>邱慧</w:t>
      </w:r>
      <w:proofErr w:type="gramStart"/>
      <w:r w:rsidRPr="001B6E4D">
        <w:rPr>
          <w:rFonts w:ascii="標楷體" w:eastAsia="標楷體" w:hAnsi="標楷體" w:hint="eastAsia"/>
          <w:sz w:val="28"/>
          <w:szCs w:val="28"/>
        </w:rPr>
        <w:t>洳</w:t>
      </w:r>
      <w:proofErr w:type="gramEnd"/>
      <w:r w:rsidRPr="001B6E4D">
        <w:rPr>
          <w:rFonts w:ascii="標楷體" w:eastAsia="標楷體" w:hAnsi="標楷體" w:hint="eastAsia"/>
          <w:sz w:val="28"/>
          <w:szCs w:val="28"/>
        </w:rPr>
        <w:tab/>
        <w:t>蘇清泉</w:t>
      </w:r>
      <w:r w:rsidRPr="001B6E4D">
        <w:rPr>
          <w:rFonts w:ascii="標楷體" w:eastAsia="標楷體" w:hAnsi="標楷體"/>
          <w:sz w:val="28"/>
          <w:szCs w:val="28"/>
        </w:rPr>
        <w:tab/>
      </w:r>
    </w:p>
    <w:p w14:paraId="6C53E3A8" w14:textId="77777777" w:rsidR="00201B77" w:rsidRPr="001B6E4D" w:rsidRDefault="00201B77" w:rsidP="003D1018">
      <w:pPr>
        <w:overflowPunct w:val="0"/>
        <w:snapToGrid w:val="0"/>
        <w:ind w:leftChars="396" w:left="950" w:firstLineChars="170" w:firstLine="476"/>
        <w:jc w:val="both"/>
        <w:rPr>
          <w:rFonts w:ascii="標楷體" w:eastAsia="標楷體" w:hAnsi="標楷體"/>
          <w:sz w:val="28"/>
          <w:szCs w:val="28"/>
        </w:rPr>
      </w:pPr>
      <w:r w:rsidRPr="001B6E4D">
        <w:rPr>
          <w:rFonts w:ascii="標楷體" w:eastAsia="標楷體" w:hAnsi="標楷體"/>
          <w:sz w:val="28"/>
          <w:szCs w:val="28"/>
        </w:rPr>
        <w:t>委員列席</w:t>
      </w:r>
      <w:r w:rsidRPr="001B6E4D">
        <w:rPr>
          <w:rFonts w:ascii="標楷體" w:eastAsia="標楷體" w:hAnsi="標楷體" w:hint="eastAsia"/>
          <w:sz w:val="28"/>
          <w:szCs w:val="28"/>
        </w:rPr>
        <w:t>8</w:t>
      </w:r>
      <w:r w:rsidRPr="001B6E4D">
        <w:rPr>
          <w:rFonts w:ascii="標楷體" w:eastAsia="標楷體" w:hAnsi="標楷體"/>
          <w:sz w:val="28"/>
          <w:szCs w:val="28"/>
        </w:rPr>
        <w:t>人</w:t>
      </w:r>
    </w:p>
    <w:p w14:paraId="69519DF0" w14:textId="77777777" w:rsidR="00201B77" w:rsidRPr="001B6E4D" w:rsidRDefault="00201B77" w:rsidP="003D1018">
      <w:pPr>
        <w:widowControl w:val="0"/>
        <w:overflowPunct w:val="0"/>
        <w:adjustRightInd w:val="0"/>
        <w:snapToGrid w:val="0"/>
        <w:spacing w:line="400" w:lineRule="exact"/>
        <w:ind w:left="1361" w:hangingChars="486" w:hanging="1361"/>
        <w:jc w:val="both"/>
        <w:rPr>
          <w:rFonts w:ascii="標楷體" w:eastAsia="標楷體" w:hAnsi="標楷體"/>
          <w:sz w:val="28"/>
          <w:szCs w:val="28"/>
        </w:rPr>
      </w:pPr>
      <w:r w:rsidRPr="001B6E4D">
        <w:rPr>
          <w:rFonts w:ascii="標楷體" w:eastAsia="標楷體" w:hAnsi="標楷體"/>
          <w:sz w:val="28"/>
          <w:szCs w:val="28"/>
        </w:rPr>
        <w:t>列席官員：</w:t>
      </w:r>
      <w:r w:rsidRPr="001B6E4D">
        <w:rPr>
          <w:rFonts w:ascii="標楷體" w:eastAsia="標楷體" w:hAnsi="標楷體" w:hint="eastAsia"/>
          <w:b/>
          <w:bCs/>
          <w:sz w:val="28"/>
          <w:szCs w:val="28"/>
        </w:rPr>
        <w:t>5月6日（星期三）</w:t>
      </w:r>
    </w:p>
    <w:p w14:paraId="7B24EE67" w14:textId="77777777" w:rsidR="00201B77" w:rsidRPr="001B6E4D" w:rsidRDefault="00201B77" w:rsidP="003D1018">
      <w:pPr>
        <w:widowControl w:val="0"/>
        <w:overflowPunct w:val="0"/>
        <w:adjustRightInd w:val="0"/>
        <w:snapToGrid w:val="0"/>
        <w:spacing w:line="360" w:lineRule="exact"/>
        <w:ind w:leftChars="600" w:left="2801" w:hangingChars="486" w:hanging="1361"/>
        <w:jc w:val="both"/>
        <w:rPr>
          <w:rFonts w:ascii="標楷體" w:eastAsia="標楷體" w:hAnsi="標楷體"/>
          <w:kern w:val="0"/>
          <w:sz w:val="28"/>
          <w:szCs w:val="28"/>
        </w:rPr>
      </w:pPr>
      <w:r w:rsidRPr="001B6E4D">
        <w:rPr>
          <w:rFonts w:ascii="標楷體" w:eastAsia="標楷體" w:hAnsi="標楷體" w:hint="eastAsia"/>
          <w:kern w:val="0"/>
          <w:sz w:val="28"/>
          <w:szCs w:val="28"/>
        </w:rPr>
        <w:t>行政院人事行政總處副人事長　張秋元(人事長請假)</w:t>
      </w:r>
    </w:p>
    <w:p w14:paraId="52DAED0A" w14:textId="77777777" w:rsidR="00201B77" w:rsidRPr="001B6E4D" w:rsidRDefault="00201B77" w:rsidP="003D1018">
      <w:pPr>
        <w:widowControl w:val="0"/>
        <w:overflowPunct w:val="0"/>
        <w:adjustRightInd w:val="0"/>
        <w:snapToGrid w:val="0"/>
        <w:spacing w:line="360" w:lineRule="exact"/>
        <w:ind w:leftChars="567" w:left="1361" w:firstLineChars="30" w:firstLine="84"/>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                  公務人力發展學院院長　陳明忠</w:t>
      </w:r>
    </w:p>
    <w:p w14:paraId="33C469C8" w14:textId="77777777" w:rsidR="00201B77" w:rsidRPr="001B6E4D" w:rsidRDefault="00201B77" w:rsidP="003D1018">
      <w:pPr>
        <w:widowControl w:val="0"/>
        <w:overflowPunct w:val="0"/>
        <w:adjustRightInd w:val="0"/>
        <w:snapToGrid w:val="0"/>
        <w:spacing w:line="360" w:lineRule="exact"/>
        <w:ind w:leftChars="600" w:left="2801" w:hangingChars="486" w:hanging="1361"/>
        <w:jc w:val="both"/>
        <w:rPr>
          <w:rFonts w:ascii="標楷體" w:eastAsia="標楷體" w:hAnsi="標楷體"/>
          <w:b/>
          <w:kern w:val="0"/>
          <w:sz w:val="28"/>
          <w:szCs w:val="28"/>
        </w:rPr>
      </w:pPr>
      <w:r w:rsidRPr="001B6E4D">
        <w:rPr>
          <w:rFonts w:ascii="標楷體" w:eastAsia="標楷體" w:hAnsi="標楷體" w:hint="eastAsia"/>
          <w:kern w:val="0"/>
          <w:sz w:val="28"/>
          <w:szCs w:val="28"/>
        </w:rPr>
        <w:t>行政院主計總處公務預算處專門委員　張正輝</w:t>
      </w:r>
    </w:p>
    <w:p w14:paraId="111AECA2" w14:textId="77777777" w:rsidR="00201B77" w:rsidRPr="001B6E4D" w:rsidRDefault="00201B77" w:rsidP="003D1018">
      <w:pPr>
        <w:widowControl w:val="0"/>
        <w:overflowPunct w:val="0"/>
        <w:adjustRightInd w:val="0"/>
        <w:snapToGrid w:val="0"/>
        <w:spacing w:line="400" w:lineRule="exact"/>
        <w:ind w:leftChars="600" w:left="2802" w:hangingChars="486" w:hanging="1362"/>
        <w:jc w:val="both"/>
        <w:rPr>
          <w:rFonts w:ascii="標楷體" w:eastAsia="標楷體" w:hAnsi="標楷體"/>
          <w:b/>
          <w:kern w:val="0"/>
          <w:sz w:val="28"/>
          <w:szCs w:val="28"/>
        </w:rPr>
      </w:pPr>
      <w:r w:rsidRPr="001B6E4D">
        <w:rPr>
          <w:rFonts w:ascii="標楷體" w:eastAsia="標楷體" w:hAnsi="標楷體" w:hint="eastAsia"/>
          <w:b/>
          <w:kern w:val="0"/>
          <w:sz w:val="28"/>
          <w:szCs w:val="28"/>
        </w:rPr>
        <w:t>5月7日（</w:t>
      </w:r>
      <w:r w:rsidRPr="001B6E4D">
        <w:rPr>
          <w:rFonts w:ascii="標楷體" w:eastAsia="標楷體" w:hAnsi="標楷體" w:hint="eastAsia"/>
          <w:b/>
          <w:bCs/>
          <w:kern w:val="0"/>
          <w:sz w:val="28"/>
          <w:szCs w:val="28"/>
        </w:rPr>
        <w:t>星期四）</w:t>
      </w:r>
    </w:p>
    <w:p w14:paraId="50F4C78F" w14:textId="77777777" w:rsidR="00201B77" w:rsidRPr="001B6E4D" w:rsidRDefault="00201B77" w:rsidP="003D1018">
      <w:pPr>
        <w:widowControl w:val="0"/>
        <w:overflowPunct w:val="0"/>
        <w:adjustRightInd w:val="0"/>
        <w:snapToGrid w:val="0"/>
        <w:spacing w:line="360" w:lineRule="exact"/>
        <w:ind w:leftChars="600" w:left="2801" w:hangingChars="486" w:hanging="1361"/>
        <w:jc w:val="both"/>
        <w:rPr>
          <w:rFonts w:ascii="標楷體" w:eastAsia="標楷體" w:hAnsi="標楷體"/>
          <w:kern w:val="0"/>
          <w:sz w:val="28"/>
          <w:szCs w:val="28"/>
        </w:rPr>
      </w:pPr>
      <w:r w:rsidRPr="001B6E4D">
        <w:rPr>
          <w:rFonts w:ascii="標楷體" w:eastAsia="標楷體" w:hAnsi="標楷體" w:hint="eastAsia"/>
          <w:kern w:val="0"/>
          <w:sz w:val="28"/>
          <w:szCs w:val="28"/>
        </w:rPr>
        <w:t>考試院秘書長　劉建忻</w:t>
      </w:r>
    </w:p>
    <w:p w14:paraId="5998A871" w14:textId="77777777" w:rsidR="00201B77" w:rsidRPr="001B6E4D" w:rsidRDefault="00201B77" w:rsidP="003D1018">
      <w:pPr>
        <w:widowControl w:val="0"/>
        <w:overflowPunct w:val="0"/>
        <w:adjustRightInd w:val="0"/>
        <w:snapToGrid w:val="0"/>
        <w:spacing w:line="360" w:lineRule="exact"/>
        <w:ind w:leftChars="600" w:left="2801" w:hangingChars="486" w:hanging="1361"/>
        <w:jc w:val="both"/>
        <w:rPr>
          <w:rFonts w:ascii="標楷體" w:eastAsia="標楷體" w:hAnsi="標楷體"/>
          <w:kern w:val="0"/>
          <w:sz w:val="28"/>
          <w:szCs w:val="28"/>
        </w:rPr>
      </w:pPr>
      <w:r w:rsidRPr="001B6E4D">
        <w:rPr>
          <w:rFonts w:ascii="標楷體" w:eastAsia="標楷體" w:hAnsi="標楷體" w:hint="eastAsia"/>
          <w:kern w:val="0"/>
          <w:sz w:val="28"/>
          <w:szCs w:val="28"/>
        </w:rPr>
        <w:t>考選部部長　劉孟奇</w:t>
      </w:r>
    </w:p>
    <w:p w14:paraId="5082DBAE" w14:textId="77777777" w:rsidR="00201B77" w:rsidRPr="001B6E4D" w:rsidRDefault="00201B77" w:rsidP="003D1018">
      <w:pPr>
        <w:widowControl w:val="0"/>
        <w:overflowPunct w:val="0"/>
        <w:adjustRightInd w:val="0"/>
        <w:snapToGrid w:val="0"/>
        <w:spacing w:line="360" w:lineRule="exact"/>
        <w:ind w:leftChars="600" w:left="280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銓敘部部長</w:t>
      </w:r>
      <w:r w:rsidRPr="001B6E4D">
        <w:rPr>
          <w:rFonts w:ascii="標楷體" w:eastAsia="標楷體" w:hAnsi="標楷體" w:hint="eastAsia"/>
          <w:kern w:val="0"/>
          <w:sz w:val="28"/>
          <w:szCs w:val="28"/>
        </w:rPr>
        <w:t xml:space="preserve">　施能傑</w:t>
      </w:r>
    </w:p>
    <w:p w14:paraId="473279E0" w14:textId="77777777" w:rsidR="00201B77" w:rsidRPr="001B6E4D" w:rsidRDefault="00201B77" w:rsidP="003D1018">
      <w:pPr>
        <w:widowControl w:val="0"/>
        <w:overflowPunct w:val="0"/>
        <w:adjustRightInd w:val="0"/>
        <w:snapToGrid w:val="0"/>
        <w:spacing w:line="360" w:lineRule="exact"/>
        <w:ind w:leftChars="600" w:left="2615" w:hangingChars="486" w:hanging="1175"/>
        <w:jc w:val="both"/>
        <w:rPr>
          <w:rFonts w:ascii="標楷體" w:eastAsia="標楷體" w:hAnsi="標楷體"/>
          <w:snapToGrid w:val="0"/>
          <w:spacing w:val="-12"/>
          <w:w w:val="95"/>
          <w:sz w:val="28"/>
          <w:szCs w:val="28"/>
          <w:shd w:val="clear" w:color="auto" w:fill="FFFFFF"/>
        </w:rPr>
      </w:pPr>
      <w:r w:rsidRPr="001B6E4D">
        <w:rPr>
          <w:rFonts w:ascii="標楷體" w:eastAsia="標楷體" w:hAnsi="標楷體" w:hint="eastAsia"/>
          <w:spacing w:val="-12"/>
          <w:w w:val="95"/>
          <w:sz w:val="28"/>
          <w:szCs w:val="28"/>
        </w:rPr>
        <w:t xml:space="preserve">公務人員保障暨培訓委員會主任委員兼國家文官學院院長　</w:t>
      </w:r>
      <w:r w:rsidRPr="001B6E4D">
        <w:rPr>
          <w:rFonts w:ascii="標楷體" w:eastAsia="標楷體" w:hAnsi="標楷體" w:hint="eastAsia"/>
          <w:snapToGrid w:val="0"/>
          <w:spacing w:val="-12"/>
          <w:w w:val="95"/>
          <w:sz w:val="28"/>
          <w:szCs w:val="28"/>
          <w:shd w:val="clear" w:color="auto" w:fill="FFFFFF"/>
        </w:rPr>
        <w:t>蔡秀涓</w:t>
      </w:r>
    </w:p>
    <w:p w14:paraId="767A7424" w14:textId="77777777" w:rsidR="00201B77" w:rsidRPr="001B6E4D" w:rsidRDefault="00201B77" w:rsidP="003D1018">
      <w:pPr>
        <w:widowControl w:val="0"/>
        <w:overflowPunct w:val="0"/>
        <w:adjustRightInd w:val="0"/>
        <w:snapToGrid w:val="0"/>
        <w:spacing w:line="360" w:lineRule="exact"/>
        <w:ind w:leftChars="600" w:left="2801" w:hangingChars="486" w:hanging="1361"/>
        <w:jc w:val="both"/>
        <w:rPr>
          <w:rFonts w:ascii="標楷體" w:eastAsia="標楷體" w:hAnsi="標楷體"/>
          <w:kern w:val="0"/>
          <w:sz w:val="28"/>
          <w:szCs w:val="28"/>
        </w:rPr>
      </w:pPr>
      <w:r w:rsidRPr="001B6E4D">
        <w:rPr>
          <w:rFonts w:ascii="標楷體" w:eastAsia="標楷體" w:hAnsi="標楷體" w:hint="eastAsia"/>
          <w:kern w:val="0"/>
          <w:sz w:val="28"/>
          <w:szCs w:val="28"/>
        </w:rPr>
        <w:t>公務人員退休撫</w:t>
      </w:r>
      <w:proofErr w:type="gramStart"/>
      <w:r w:rsidRPr="001B6E4D">
        <w:rPr>
          <w:rFonts w:ascii="標楷體" w:eastAsia="標楷體" w:hAnsi="標楷體" w:hint="eastAsia"/>
          <w:kern w:val="0"/>
          <w:sz w:val="28"/>
          <w:szCs w:val="28"/>
        </w:rPr>
        <w:t>卹</w:t>
      </w:r>
      <w:proofErr w:type="gramEnd"/>
      <w:r w:rsidRPr="001B6E4D">
        <w:rPr>
          <w:rFonts w:ascii="標楷體" w:eastAsia="標楷體" w:hAnsi="標楷體" w:hint="eastAsia"/>
          <w:kern w:val="0"/>
          <w:sz w:val="28"/>
          <w:szCs w:val="28"/>
        </w:rPr>
        <w:t>基金管理局局長　陳銘賢</w:t>
      </w:r>
    </w:p>
    <w:p w14:paraId="52C68D40" w14:textId="77777777" w:rsidR="00201B77" w:rsidRPr="001B6E4D" w:rsidRDefault="00201B77" w:rsidP="003D1018">
      <w:pPr>
        <w:widowControl w:val="0"/>
        <w:overflowPunct w:val="0"/>
        <w:adjustRightInd w:val="0"/>
        <w:snapToGrid w:val="0"/>
        <w:spacing w:line="360" w:lineRule="exact"/>
        <w:ind w:leftChars="600" w:left="2801" w:hangingChars="486" w:hanging="1361"/>
        <w:jc w:val="both"/>
        <w:rPr>
          <w:rFonts w:ascii="標楷體" w:eastAsia="標楷體" w:hAnsi="標楷體"/>
          <w:kern w:val="0"/>
          <w:sz w:val="28"/>
          <w:szCs w:val="28"/>
        </w:rPr>
      </w:pPr>
      <w:r w:rsidRPr="001B6E4D">
        <w:rPr>
          <w:rFonts w:ascii="標楷體" w:eastAsia="標楷體" w:hAnsi="標楷體" w:hint="eastAsia"/>
          <w:kern w:val="0"/>
          <w:sz w:val="28"/>
          <w:szCs w:val="28"/>
        </w:rPr>
        <w:t>行政院主計總處公務預算處專門委員　吳銘修</w:t>
      </w:r>
    </w:p>
    <w:p w14:paraId="2625B9FA" w14:textId="77777777" w:rsidR="00201B77" w:rsidRPr="001B6E4D" w:rsidRDefault="00201B77" w:rsidP="003D1018">
      <w:pPr>
        <w:widowControl w:val="0"/>
        <w:overflowPunct w:val="0"/>
        <w:spacing w:line="360" w:lineRule="exact"/>
        <w:ind w:left="1117" w:hangingChars="399" w:hanging="1117"/>
        <w:jc w:val="both"/>
        <w:rPr>
          <w:rFonts w:ascii="標楷體" w:eastAsia="標楷體" w:hAnsi="標楷體"/>
          <w:sz w:val="28"/>
          <w:szCs w:val="28"/>
        </w:rPr>
      </w:pPr>
      <w:r w:rsidRPr="001B6E4D">
        <w:rPr>
          <w:rFonts w:ascii="標楷體" w:eastAsia="標楷體" w:hAnsi="標楷體"/>
          <w:kern w:val="0"/>
          <w:sz w:val="28"/>
          <w:szCs w:val="28"/>
          <w:fitText w:val="1120" w:id="-384132859"/>
        </w:rPr>
        <w:t>主    席</w:t>
      </w:r>
      <w:r w:rsidRPr="001B6E4D">
        <w:rPr>
          <w:rFonts w:ascii="標楷體" w:eastAsia="標楷體" w:hAnsi="標楷體"/>
          <w:sz w:val="28"/>
          <w:szCs w:val="28"/>
        </w:rPr>
        <w:t>：</w:t>
      </w:r>
      <w:r w:rsidRPr="001B6E4D">
        <w:rPr>
          <w:rFonts w:ascii="標楷體" w:eastAsia="標楷體" w:hAnsi="標楷體" w:hint="eastAsia"/>
          <w:sz w:val="28"/>
          <w:szCs w:val="28"/>
        </w:rPr>
        <w:t>莊召集委員瑞雄</w:t>
      </w:r>
    </w:p>
    <w:p w14:paraId="105C6A9D" w14:textId="77777777" w:rsidR="00201B77" w:rsidRPr="001B6E4D" w:rsidRDefault="00201B77"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4472C4C1" w14:textId="77777777" w:rsidR="00201B77" w:rsidRPr="001B6E4D" w:rsidRDefault="00201B77"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01F2F10A" w14:textId="77777777" w:rsidR="00201B77" w:rsidRPr="001B6E4D" w:rsidRDefault="00201B77" w:rsidP="003D1018">
      <w:pPr>
        <w:widowControl w:val="0"/>
        <w:overflowPunct w:val="0"/>
        <w:adjustRightInd w:val="0"/>
        <w:snapToGrid w:val="0"/>
        <w:spacing w:line="360" w:lineRule="exact"/>
        <w:rPr>
          <w:rFonts w:ascii="標楷體" w:eastAsia="標楷體" w:hAnsi="標楷體"/>
          <w:sz w:val="28"/>
          <w:szCs w:val="28"/>
        </w:rPr>
      </w:pPr>
      <w:r w:rsidRPr="001B6E4D">
        <w:rPr>
          <w:rFonts w:ascii="標楷體" w:eastAsia="標楷體" w:hAnsi="標楷體" w:hint="eastAsia"/>
          <w:sz w:val="28"/>
          <w:szCs w:val="28"/>
        </w:rPr>
        <w:t>紀    錄：簡任秘書　薛復寧</w:t>
      </w:r>
    </w:p>
    <w:p w14:paraId="6015C6B3" w14:textId="77777777" w:rsidR="00201B77" w:rsidRPr="001B6E4D" w:rsidRDefault="00201B77" w:rsidP="003D1018">
      <w:pPr>
        <w:widowControl w:val="0"/>
        <w:tabs>
          <w:tab w:val="left" w:pos="5529"/>
        </w:tabs>
        <w:overflowPunct w:val="0"/>
        <w:autoSpaceDE w:val="0"/>
        <w:autoSpaceDN w:val="0"/>
        <w:adjustRightInd w:val="0"/>
        <w:spacing w:line="360" w:lineRule="exact"/>
        <w:ind w:leftChars="353" w:left="847" w:firstLineChars="203" w:firstLine="56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簡任編審　蔡國治</w:t>
      </w:r>
    </w:p>
    <w:p w14:paraId="3E74B877" w14:textId="77777777" w:rsidR="00201B77" w:rsidRPr="001B6E4D" w:rsidRDefault="00201B77" w:rsidP="003D1018">
      <w:pPr>
        <w:widowControl w:val="0"/>
        <w:tabs>
          <w:tab w:val="left" w:pos="5529"/>
        </w:tabs>
        <w:overflowPunct w:val="0"/>
        <w:autoSpaceDE w:val="0"/>
        <w:autoSpaceDN w:val="0"/>
        <w:adjustRightInd w:val="0"/>
        <w:spacing w:line="360" w:lineRule="exact"/>
        <w:ind w:leftChars="353" w:left="847" w:firstLineChars="203" w:firstLine="56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科　　長　余俊緯</w:t>
      </w:r>
    </w:p>
    <w:p w14:paraId="1ED58C3E" w14:textId="77777777" w:rsidR="00201B77" w:rsidRPr="001B6E4D" w:rsidRDefault="00201B77" w:rsidP="003D1018">
      <w:pPr>
        <w:widowControl w:val="0"/>
        <w:tabs>
          <w:tab w:val="left" w:pos="5529"/>
        </w:tabs>
        <w:overflowPunct w:val="0"/>
        <w:autoSpaceDE w:val="0"/>
        <w:autoSpaceDN w:val="0"/>
        <w:adjustRightInd w:val="0"/>
        <w:spacing w:line="360" w:lineRule="exact"/>
        <w:ind w:leftChars="353" w:left="847" w:firstLineChars="203" w:firstLine="56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專　　員　莊鴻基</w:t>
      </w:r>
    </w:p>
    <w:p w14:paraId="0171E64B" w14:textId="77777777" w:rsidR="00201B77" w:rsidRPr="001B6E4D" w:rsidRDefault="00201B77" w:rsidP="003D1018">
      <w:pPr>
        <w:widowControl w:val="0"/>
        <w:overflowPunct w:val="0"/>
        <w:adjustRightInd w:val="0"/>
        <w:snapToGrid w:val="0"/>
        <w:spacing w:beforeLines="30" w:before="108" w:line="410" w:lineRule="exact"/>
        <w:ind w:left="561" w:hangingChars="200" w:hanging="561"/>
        <w:jc w:val="both"/>
        <w:rPr>
          <w:rFonts w:ascii="標楷體" w:eastAsia="標楷體" w:hAnsi="標楷體"/>
          <w:b/>
          <w:bCs/>
          <w:sz w:val="28"/>
          <w:szCs w:val="28"/>
        </w:rPr>
      </w:pPr>
      <w:r w:rsidRPr="001B6E4D">
        <w:rPr>
          <w:rFonts w:ascii="標楷體" w:eastAsia="標楷體" w:hAnsi="標楷體" w:hint="eastAsia"/>
          <w:b/>
          <w:bCs/>
          <w:sz w:val="28"/>
          <w:szCs w:val="28"/>
        </w:rPr>
        <w:t>5月6日（星期三）</w:t>
      </w:r>
    </w:p>
    <w:p w14:paraId="099C6E77" w14:textId="77777777" w:rsidR="00201B77" w:rsidRPr="001B6E4D" w:rsidRDefault="00201B77" w:rsidP="003D1018">
      <w:pPr>
        <w:widowControl w:val="0"/>
        <w:overflowPunct w:val="0"/>
        <w:adjustRightInd w:val="0"/>
        <w:snapToGrid w:val="0"/>
        <w:spacing w:beforeLines="30" w:before="108" w:line="41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51468CF1" w14:textId="77777777" w:rsidR="00201B77" w:rsidRPr="001B6E4D" w:rsidRDefault="00201B77" w:rsidP="003D1018">
      <w:pPr>
        <w:widowControl w:val="0"/>
        <w:overflowPunct w:val="0"/>
        <w:adjustRightInd w:val="0"/>
        <w:snapToGrid w:val="0"/>
        <w:spacing w:line="410" w:lineRule="exact"/>
        <w:ind w:left="560" w:hangingChars="200" w:hanging="560"/>
        <w:jc w:val="both"/>
        <w:rPr>
          <w:rFonts w:ascii="標楷體" w:eastAsia="標楷體" w:hAnsi="標楷體"/>
          <w:kern w:val="0"/>
          <w:sz w:val="28"/>
          <w:szCs w:val="28"/>
        </w:rPr>
      </w:pPr>
      <w:r w:rsidRPr="001B6E4D">
        <w:rPr>
          <w:rFonts w:ascii="標楷體" w:eastAsia="標楷體" w:hAnsi="標楷體"/>
          <w:kern w:val="0"/>
          <w:sz w:val="28"/>
          <w:szCs w:val="28"/>
        </w:rPr>
        <w:t>宣讀上次會議議事錄</w:t>
      </w:r>
      <w:r w:rsidRPr="001B6E4D">
        <w:rPr>
          <w:rFonts w:ascii="標楷體" w:eastAsia="標楷體" w:hAnsi="標楷體" w:hint="eastAsia"/>
          <w:kern w:val="0"/>
          <w:sz w:val="28"/>
          <w:szCs w:val="28"/>
        </w:rPr>
        <w:t>。</w:t>
      </w:r>
    </w:p>
    <w:p w14:paraId="1A99EA5C" w14:textId="77777777" w:rsidR="00201B77" w:rsidRPr="001B6E4D" w:rsidRDefault="00201B77" w:rsidP="003D1018">
      <w:pPr>
        <w:widowControl w:val="0"/>
        <w:overflowPunct w:val="0"/>
        <w:adjustRightInd w:val="0"/>
        <w:snapToGrid w:val="0"/>
        <w:spacing w:line="410" w:lineRule="exact"/>
        <w:ind w:left="840" w:hangingChars="300" w:hanging="840"/>
        <w:jc w:val="both"/>
        <w:rPr>
          <w:rFonts w:ascii="標楷體" w:eastAsia="標楷體" w:hAnsi="標楷體"/>
          <w:kern w:val="0"/>
          <w:sz w:val="28"/>
          <w:szCs w:val="28"/>
        </w:rPr>
      </w:pPr>
      <w:r w:rsidRPr="001B6E4D">
        <w:rPr>
          <w:rFonts w:ascii="標楷體" w:eastAsia="標楷體" w:hAnsi="標楷體" w:hint="eastAsia"/>
          <w:kern w:val="0"/>
          <w:sz w:val="28"/>
          <w:szCs w:val="28"/>
        </w:rPr>
        <w:t>決定：確定。</w:t>
      </w:r>
    </w:p>
    <w:p w14:paraId="1DC07D54" w14:textId="77777777" w:rsidR="00201B77" w:rsidRPr="001B6E4D" w:rsidRDefault="00201B77" w:rsidP="003D1018">
      <w:pPr>
        <w:widowControl w:val="0"/>
        <w:overflowPunct w:val="0"/>
        <w:adjustRightInd w:val="0"/>
        <w:snapToGrid w:val="0"/>
        <w:spacing w:beforeLines="50" w:before="180" w:line="40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討論事項</w:t>
      </w:r>
    </w:p>
    <w:p w14:paraId="7C94B1F0" w14:textId="77777777" w:rsidR="00201B77" w:rsidRPr="001B6E4D" w:rsidRDefault="00201B77" w:rsidP="003D1018">
      <w:pPr>
        <w:widowControl w:val="0"/>
        <w:overflowPunct w:val="0"/>
        <w:adjustRightInd w:val="0"/>
        <w:snapToGrid w:val="0"/>
        <w:spacing w:line="360" w:lineRule="exact"/>
        <w:ind w:leftChars="-64" w:left="382" w:hangingChars="200" w:hanging="536"/>
        <w:jc w:val="both"/>
        <w:rPr>
          <w:rFonts w:ascii="標楷體" w:eastAsia="標楷體" w:hAnsi="標楷體"/>
          <w:spacing w:val="-6"/>
          <w:sz w:val="28"/>
          <w:szCs w:val="28"/>
        </w:rPr>
      </w:pPr>
      <w:r w:rsidRPr="001B6E4D">
        <w:rPr>
          <w:rFonts w:ascii="標楷體" w:eastAsia="標楷體" w:hAnsi="標楷體" w:hint="eastAsia"/>
          <w:spacing w:val="-6"/>
          <w:sz w:val="28"/>
          <w:szCs w:val="28"/>
        </w:rPr>
        <w:t>一、審查</w:t>
      </w:r>
      <w:proofErr w:type="gramStart"/>
      <w:r w:rsidRPr="001B6E4D">
        <w:rPr>
          <w:rFonts w:ascii="標楷體" w:eastAsia="標楷體" w:hAnsi="標楷體" w:hint="eastAsia"/>
          <w:spacing w:val="-6"/>
          <w:sz w:val="28"/>
          <w:szCs w:val="28"/>
        </w:rPr>
        <w:t>115</w:t>
      </w:r>
      <w:proofErr w:type="gramEnd"/>
      <w:r w:rsidRPr="001B6E4D">
        <w:rPr>
          <w:rFonts w:ascii="標楷體" w:eastAsia="標楷體" w:hAnsi="標楷體" w:hint="eastAsia"/>
          <w:spacing w:val="-6"/>
          <w:sz w:val="28"/>
          <w:szCs w:val="28"/>
        </w:rPr>
        <w:t>年度中央政府總預算案關於行政院人事行政總處及所屬主管收支部分。</w:t>
      </w:r>
    </w:p>
    <w:p w14:paraId="6F7B4DC1" w14:textId="77777777" w:rsidR="00201B77" w:rsidRPr="001B6E4D" w:rsidRDefault="00201B77" w:rsidP="003D1018">
      <w:pPr>
        <w:widowControl w:val="0"/>
        <w:overflowPunct w:val="0"/>
        <w:adjustRightInd w:val="0"/>
        <w:snapToGrid w:val="0"/>
        <w:spacing w:line="360" w:lineRule="exact"/>
        <w:ind w:leftChars="-64" w:left="382" w:hangingChars="200" w:hanging="536"/>
        <w:jc w:val="both"/>
        <w:rPr>
          <w:rFonts w:ascii="標楷體" w:eastAsia="標楷體" w:hAnsi="標楷體"/>
          <w:sz w:val="28"/>
          <w:szCs w:val="28"/>
        </w:rPr>
      </w:pPr>
      <w:r w:rsidRPr="001B6E4D">
        <w:rPr>
          <w:rFonts w:ascii="標楷體" w:eastAsia="標楷體" w:hAnsi="標楷體" w:hint="eastAsia"/>
          <w:spacing w:val="-6"/>
          <w:sz w:val="28"/>
          <w:szCs w:val="28"/>
        </w:rPr>
        <w:t>二、</w:t>
      </w:r>
      <w:r w:rsidRPr="001B6E4D">
        <w:rPr>
          <w:rFonts w:ascii="標楷體" w:eastAsia="標楷體" w:hAnsi="標楷體" w:hint="eastAsia"/>
          <w:sz w:val="28"/>
          <w:szCs w:val="28"/>
        </w:rPr>
        <w:t>審查</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年度中央政府總預算案附屬單位預算非營業部分關於行政院人事行</w:t>
      </w:r>
      <w:r w:rsidRPr="001B6E4D">
        <w:rPr>
          <w:rFonts w:ascii="標楷體" w:eastAsia="標楷體" w:hAnsi="標楷體" w:hint="eastAsia"/>
          <w:spacing w:val="-6"/>
          <w:sz w:val="28"/>
          <w:szCs w:val="28"/>
        </w:rPr>
        <w:t>政總處主管「中央公教人員急難救助基金」收支部分。</w:t>
      </w:r>
    </w:p>
    <w:p w14:paraId="6862D1D5" w14:textId="77777777" w:rsidR="00201B77" w:rsidRPr="001B6E4D" w:rsidRDefault="00201B77" w:rsidP="003D1018">
      <w:pPr>
        <w:widowControl w:val="0"/>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hint="eastAsia"/>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日會議有</w:t>
      </w:r>
      <w:r w:rsidRPr="001B6E4D">
        <w:rPr>
          <w:rFonts w:ascii="標楷體" w:eastAsia="標楷體" w:hAnsi="標楷體"/>
          <w:sz w:val="28"/>
          <w:szCs w:val="28"/>
        </w:rPr>
        <w:t>委員</w:t>
      </w:r>
      <w:r w:rsidRPr="001B6E4D">
        <w:rPr>
          <w:rFonts w:ascii="標楷體" w:eastAsia="標楷體" w:hAnsi="標楷體" w:hint="eastAsia"/>
          <w:sz w:val="28"/>
          <w:szCs w:val="28"/>
        </w:rPr>
        <w:t>吳宗憲、陳昭姿、莊瑞雄、林倩綺、張雅琳、沈發</w:t>
      </w:r>
      <w:r w:rsidRPr="001B6E4D">
        <w:rPr>
          <w:rFonts w:ascii="標楷體" w:eastAsia="標楷體" w:hAnsi="標楷體" w:hint="eastAsia"/>
          <w:sz w:val="28"/>
          <w:szCs w:val="28"/>
        </w:rPr>
        <w:lastRenderedPageBreak/>
        <w:t>惠、</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雲、翁曉玲、葉元之、許宇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提出質詢</w:t>
      </w:r>
      <w:r w:rsidRPr="001B6E4D">
        <w:rPr>
          <w:rFonts w:ascii="標楷體" w:eastAsia="標楷體" w:hAnsi="標楷體" w:hint="eastAsia"/>
          <w:sz w:val="28"/>
          <w:szCs w:val="28"/>
        </w:rPr>
        <w:t>；委員蔡其昌、徐欣瑩提出書面質詢。）</w:t>
      </w:r>
    </w:p>
    <w:p w14:paraId="3218C7CC" w14:textId="77777777" w:rsidR="00201B77" w:rsidRPr="001B6E4D" w:rsidRDefault="00201B77" w:rsidP="003D1018">
      <w:pPr>
        <w:widowControl w:val="0"/>
        <w:overflowPunct w:val="0"/>
        <w:spacing w:line="400" w:lineRule="exact"/>
        <w:contextualSpacing/>
        <w:jc w:val="both"/>
        <w:rPr>
          <w:rFonts w:ascii="標楷體" w:eastAsia="標楷體" w:hAnsi="標楷體"/>
          <w:sz w:val="28"/>
          <w:szCs w:val="28"/>
        </w:rPr>
      </w:pPr>
      <w:r w:rsidRPr="001B6E4D">
        <w:rPr>
          <w:rFonts w:ascii="標楷體" w:eastAsia="標楷體" w:hAnsi="標楷體" w:hint="eastAsia"/>
          <w:sz w:val="28"/>
          <w:szCs w:val="28"/>
        </w:rPr>
        <w:t>決議：</w:t>
      </w:r>
    </w:p>
    <w:p w14:paraId="7BB5BAC4" w14:textId="77777777" w:rsidR="00201B77" w:rsidRPr="001B6E4D" w:rsidRDefault="00201B77" w:rsidP="003D1018">
      <w:pPr>
        <w:widowControl w:val="0"/>
        <w:overflowPunct w:val="0"/>
        <w:spacing w:line="360" w:lineRule="exact"/>
        <w:contextualSpacing/>
        <w:jc w:val="both"/>
        <w:rPr>
          <w:rFonts w:ascii="標楷體" w:eastAsia="標楷體" w:hAnsi="標楷體"/>
          <w:sz w:val="28"/>
          <w:szCs w:val="28"/>
        </w:rPr>
      </w:pPr>
      <w:r w:rsidRPr="001B6E4D">
        <w:rPr>
          <w:rFonts w:ascii="標楷體" w:eastAsia="標楷體" w:hAnsi="標楷體" w:hint="eastAsia"/>
          <w:sz w:val="28"/>
          <w:szCs w:val="28"/>
        </w:rPr>
        <w:t>一、第一案及第二案，報告及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proofErr w:type="gramStart"/>
      <w:r w:rsidRPr="001B6E4D">
        <w:rPr>
          <w:rFonts w:ascii="標楷體" w:eastAsia="標楷體" w:hAnsi="標楷體" w:hint="eastAsia"/>
          <w:sz w:val="28"/>
          <w:szCs w:val="28"/>
        </w:rPr>
        <w:t>均</w:t>
      </w:r>
      <w:r w:rsidRPr="001B6E4D">
        <w:rPr>
          <w:rFonts w:ascii="標楷體" w:eastAsia="標楷體" w:hAnsi="標楷體" w:hint="eastAsia"/>
          <w:spacing w:val="-6"/>
          <w:sz w:val="28"/>
          <w:szCs w:val="28"/>
        </w:rPr>
        <w:t>另定期</w:t>
      </w:r>
      <w:proofErr w:type="gramEnd"/>
      <w:r w:rsidRPr="001B6E4D">
        <w:rPr>
          <w:rFonts w:ascii="標楷體" w:eastAsia="標楷體" w:hAnsi="標楷體" w:hint="eastAsia"/>
          <w:spacing w:val="-6"/>
          <w:sz w:val="28"/>
          <w:szCs w:val="28"/>
        </w:rPr>
        <w:t>繼續審查</w:t>
      </w:r>
      <w:r w:rsidRPr="001B6E4D">
        <w:rPr>
          <w:rFonts w:ascii="標楷體" w:eastAsia="標楷體" w:hAnsi="標楷體" w:hint="eastAsia"/>
          <w:sz w:val="28"/>
          <w:szCs w:val="28"/>
        </w:rPr>
        <w:t>。</w:t>
      </w:r>
    </w:p>
    <w:p w14:paraId="05CAF35C" w14:textId="77777777" w:rsidR="00201B77" w:rsidRPr="001B6E4D" w:rsidRDefault="00201B77" w:rsidP="003D1018">
      <w:pPr>
        <w:widowControl w:val="0"/>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二、委員質詢時，要求提供相關資料或以書面答復者，請相關機關儘速送交個別委員及本會。</w:t>
      </w:r>
    </w:p>
    <w:p w14:paraId="55E6B12A" w14:textId="77777777" w:rsidR="00201B77" w:rsidRPr="001B6E4D" w:rsidRDefault="00201B77" w:rsidP="003D1018">
      <w:pPr>
        <w:widowControl w:val="0"/>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三、審查會委員針對本日議程所列討論事項之預算提案，請於5月13日(星期三)下午</w:t>
      </w:r>
      <w:r w:rsidRPr="001B6E4D">
        <w:rPr>
          <w:rFonts w:ascii="標楷體" w:eastAsia="標楷體" w:hAnsi="標楷體"/>
          <w:sz w:val="28"/>
          <w:szCs w:val="28"/>
        </w:rPr>
        <w:t>2</w:t>
      </w:r>
      <w:r w:rsidRPr="001B6E4D">
        <w:rPr>
          <w:rFonts w:ascii="標楷體" w:eastAsia="標楷體" w:hAnsi="標楷體" w:hint="eastAsia"/>
          <w:sz w:val="28"/>
          <w:szCs w:val="28"/>
        </w:rPr>
        <w:t>時前送交本會，逾時不予受理。</w:t>
      </w:r>
    </w:p>
    <w:p w14:paraId="0E278090" w14:textId="77777777" w:rsidR="00201B77" w:rsidRPr="001B6E4D" w:rsidRDefault="00201B77" w:rsidP="003D1018">
      <w:pPr>
        <w:widowControl w:val="0"/>
        <w:overflowPunct w:val="0"/>
        <w:adjustRightInd w:val="0"/>
        <w:snapToGrid w:val="0"/>
        <w:spacing w:beforeLines="50" w:before="180" w:line="400" w:lineRule="exact"/>
        <w:ind w:left="561" w:hangingChars="200" w:hanging="561"/>
        <w:jc w:val="both"/>
        <w:rPr>
          <w:rFonts w:ascii="標楷體" w:eastAsia="標楷體" w:hAnsi="標楷體"/>
          <w:b/>
          <w:bCs/>
          <w:sz w:val="28"/>
          <w:szCs w:val="28"/>
        </w:rPr>
      </w:pPr>
      <w:r w:rsidRPr="001B6E4D">
        <w:rPr>
          <w:rFonts w:ascii="標楷體" w:eastAsia="標楷體" w:hAnsi="標楷體" w:hint="eastAsia"/>
          <w:b/>
          <w:bCs/>
          <w:sz w:val="28"/>
          <w:szCs w:val="28"/>
        </w:rPr>
        <w:t>5月7日（星期四）</w:t>
      </w:r>
    </w:p>
    <w:p w14:paraId="1C7BC1CC" w14:textId="77777777" w:rsidR="00201B77" w:rsidRPr="001B6E4D" w:rsidRDefault="00201B77" w:rsidP="003D1018">
      <w:pPr>
        <w:widowControl w:val="0"/>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討論事項</w:t>
      </w:r>
    </w:p>
    <w:p w14:paraId="52C66C66" w14:textId="77777777" w:rsidR="00201B77" w:rsidRPr="001B6E4D" w:rsidRDefault="00201B77" w:rsidP="003D1018">
      <w:pPr>
        <w:widowControl w:val="0"/>
        <w:overflowPunct w:val="0"/>
        <w:adjustRightInd w:val="0"/>
        <w:snapToGrid w:val="0"/>
        <w:spacing w:line="360" w:lineRule="exact"/>
        <w:ind w:leftChars="-1" w:left="516" w:hangingChars="185" w:hanging="518"/>
        <w:jc w:val="both"/>
        <w:rPr>
          <w:rFonts w:ascii="標楷體" w:eastAsia="標楷體" w:hAnsi="標楷體"/>
          <w:kern w:val="0"/>
          <w:sz w:val="28"/>
          <w:szCs w:val="28"/>
        </w:rPr>
      </w:pPr>
      <w:r w:rsidRPr="001B6E4D">
        <w:rPr>
          <w:rFonts w:ascii="標楷體" w:eastAsia="標楷體" w:hAnsi="標楷體" w:hint="eastAsia"/>
          <w:kern w:val="0"/>
          <w:sz w:val="28"/>
          <w:szCs w:val="28"/>
        </w:rPr>
        <w:t>一、審查</w:t>
      </w:r>
      <w:proofErr w:type="gramStart"/>
      <w:r w:rsidRPr="001B6E4D">
        <w:rPr>
          <w:rFonts w:ascii="標楷體" w:eastAsia="標楷體" w:hAnsi="標楷體" w:hint="eastAsia"/>
          <w:kern w:val="0"/>
          <w:sz w:val="28"/>
          <w:szCs w:val="28"/>
        </w:rPr>
        <w:t>115</w:t>
      </w:r>
      <w:proofErr w:type="gramEnd"/>
      <w:r w:rsidRPr="001B6E4D">
        <w:rPr>
          <w:rFonts w:ascii="標楷體" w:eastAsia="標楷體" w:hAnsi="標楷體" w:hint="eastAsia"/>
          <w:kern w:val="0"/>
          <w:sz w:val="28"/>
          <w:szCs w:val="28"/>
        </w:rPr>
        <w:t>年度中央政府總預算案關於考試院及所屬主管收支部分。</w:t>
      </w:r>
    </w:p>
    <w:p w14:paraId="21397539" w14:textId="77777777" w:rsidR="00201B77" w:rsidRPr="001B6E4D" w:rsidRDefault="00201B77" w:rsidP="003D1018">
      <w:pPr>
        <w:widowControl w:val="0"/>
        <w:overflowPunct w:val="0"/>
        <w:adjustRightInd w:val="0"/>
        <w:snapToGrid w:val="0"/>
        <w:spacing w:line="360" w:lineRule="exact"/>
        <w:ind w:leftChars="-1" w:left="558" w:hangingChars="200" w:hanging="560"/>
        <w:jc w:val="both"/>
        <w:rPr>
          <w:rFonts w:ascii="標楷體" w:eastAsia="標楷體" w:hAnsi="標楷體"/>
          <w:kern w:val="0"/>
          <w:sz w:val="28"/>
          <w:szCs w:val="28"/>
        </w:rPr>
      </w:pPr>
      <w:r w:rsidRPr="001B6E4D">
        <w:rPr>
          <w:rFonts w:ascii="標楷體" w:eastAsia="標楷體" w:hAnsi="標楷體" w:hint="eastAsia"/>
          <w:kern w:val="0"/>
          <w:sz w:val="28"/>
          <w:szCs w:val="28"/>
        </w:rPr>
        <w:t>二、審查</w:t>
      </w:r>
      <w:proofErr w:type="gramStart"/>
      <w:r w:rsidRPr="001B6E4D">
        <w:rPr>
          <w:rFonts w:ascii="標楷體" w:eastAsia="標楷體" w:hAnsi="標楷體" w:hint="eastAsia"/>
          <w:kern w:val="0"/>
          <w:sz w:val="28"/>
          <w:szCs w:val="28"/>
        </w:rPr>
        <w:t>115</w:t>
      </w:r>
      <w:proofErr w:type="gramEnd"/>
      <w:r w:rsidRPr="001B6E4D">
        <w:rPr>
          <w:rFonts w:ascii="標楷體" w:eastAsia="標楷體" w:hAnsi="標楷體" w:hint="eastAsia"/>
          <w:kern w:val="0"/>
          <w:sz w:val="28"/>
          <w:szCs w:val="28"/>
        </w:rPr>
        <w:t>年度中央政府總預算案附屬單位預算非營業部分關於考試院考選部主管「考選業務基金」收支部分。</w:t>
      </w:r>
    </w:p>
    <w:p w14:paraId="3452E253" w14:textId="77777777" w:rsidR="00201B77" w:rsidRPr="001B6E4D" w:rsidRDefault="00201B77" w:rsidP="003D1018">
      <w:pPr>
        <w:widowControl w:val="0"/>
        <w:overflowPunct w:val="0"/>
        <w:adjustRightInd w:val="0"/>
        <w:snapToGrid w:val="0"/>
        <w:spacing w:line="360" w:lineRule="exact"/>
        <w:ind w:leftChars="-1" w:left="558" w:hangingChars="200" w:hanging="560"/>
        <w:jc w:val="both"/>
        <w:rPr>
          <w:rFonts w:ascii="標楷體" w:eastAsia="標楷體" w:hAnsi="標楷體"/>
          <w:kern w:val="0"/>
          <w:sz w:val="28"/>
          <w:szCs w:val="28"/>
        </w:rPr>
      </w:pPr>
      <w:r w:rsidRPr="001B6E4D">
        <w:rPr>
          <w:rFonts w:ascii="標楷體" w:eastAsia="標楷體" w:hAnsi="標楷體" w:hint="eastAsia"/>
          <w:kern w:val="0"/>
          <w:sz w:val="28"/>
          <w:szCs w:val="28"/>
        </w:rPr>
        <w:t>三、審查</w:t>
      </w:r>
      <w:proofErr w:type="gramStart"/>
      <w:r w:rsidRPr="001B6E4D">
        <w:rPr>
          <w:rFonts w:ascii="標楷體" w:eastAsia="標楷體" w:hAnsi="標楷體" w:hint="eastAsia"/>
          <w:kern w:val="0"/>
          <w:sz w:val="28"/>
          <w:szCs w:val="28"/>
        </w:rPr>
        <w:t>115</w:t>
      </w:r>
      <w:proofErr w:type="gramEnd"/>
      <w:r w:rsidRPr="001B6E4D">
        <w:rPr>
          <w:rFonts w:ascii="標楷體" w:eastAsia="標楷體" w:hAnsi="標楷體" w:hint="eastAsia"/>
          <w:kern w:val="0"/>
          <w:sz w:val="28"/>
          <w:szCs w:val="28"/>
        </w:rPr>
        <w:t>年度中央政府總預算案附屬單位預算非營業部分關於考試院銓敘部主管「公務人員退休撫</w:t>
      </w:r>
      <w:proofErr w:type="gramStart"/>
      <w:r w:rsidRPr="001B6E4D">
        <w:rPr>
          <w:rFonts w:ascii="標楷體" w:eastAsia="標楷體" w:hAnsi="標楷體" w:hint="eastAsia"/>
          <w:kern w:val="0"/>
          <w:sz w:val="28"/>
          <w:szCs w:val="28"/>
        </w:rPr>
        <w:t>卹</w:t>
      </w:r>
      <w:proofErr w:type="gramEnd"/>
      <w:r w:rsidRPr="001B6E4D">
        <w:rPr>
          <w:rFonts w:ascii="標楷體" w:eastAsia="標楷體" w:hAnsi="標楷體" w:hint="eastAsia"/>
          <w:kern w:val="0"/>
          <w:sz w:val="28"/>
          <w:szCs w:val="28"/>
        </w:rPr>
        <w:t>基金」收支部分。</w:t>
      </w:r>
    </w:p>
    <w:p w14:paraId="6AC16317" w14:textId="77777777" w:rsidR="00201B77" w:rsidRPr="001B6E4D" w:rsidRDefault="00201B77" w:rsidP="003D1018">
      <w:pPr>
        <w:widowControl w:val="0"/>
        <w:overflowPunct w:val="0"/>
        <w:adjustRightInd w:val="0"/>
        <w:snapToGrid w:val="0"/>
        <w:spacing w:line="360" w:lineRule="exact"/>
        <w:ind w:leftChars="-1" w:left="558" w:hangingChars="200" w:hanging="560"/>
        <w:jc w:val="both"/>
        <w:rPr>
          <w:rFonts w:ascii="標楷體" w:eastAsia="標楷體" w:hAnsi="標楷體"/>
          <w:kern w:val="0"/>
          <w:sz w:val="28"/>
          <w:szCs w:val="28"/>
        </w:rPr>
      </w:pPr>
      <w:r w:rsidRPr="001B6E4D">
        <w:rPr>
          <w:rFonts w:ascii="標楷體" w:eastAsia="標楷體" w:hAnsi="標楷體" w:hint="eastAsia"/>
          <w:kern w:val="0"/>
          <w:sz w:val="28"/>
          <w:szCs w:val="28"/>
        </w:rPr>
        <w:t>四、審查</w:t>
      </w:r>
      <w:proofErr w:type="gramStart"/>
      <w:r w:rsidRPr="001B6E4D">
        <w:rPr>
          <w:rFonts w:ascii="標楷體" w:eastAsia="標楷體" w:hAnsi="標楷體" w:hint="eastAsia"/>
          <w:kern w:val="0"/>
          <w:sz w:val="28"/>
          <w:szCs w:val="28"/>
        </w:rPr>
        <w:t>115</w:t>
      </w:r>
      <w:proofErr w:type="gramEnd"/>
      <w:r w:rsidRPr="001B6E4D">
        <w:rPr>
          <w:rFonts w:ascii="標楷體" w:eastAsia="標楷體" w:hAnsi="標楷體" w:hint="eastAsia"/>
          <w:kern w:val="0"/>
          <w:sz w:val="28"/>
          <w:szCs w:val="28"/>
        </w:rPr>
        <w:t>年度中央政府總預算案附屬單位預算非營業部分關於考試院銓敘部主管「公教人員個人</w:t>
      </w:r>
      <w:proofErr w:type="gramStart"/>
      <w:r w:rsidRPr="001B6E4D">
        <w:rPr>
          <w:rFonts w:ascii="標楷體" w:eastAsia="標楷體" w:hAnsi="標楷體" w:hint="eastAsia"/>
          <w:kern w:val="0"/>
          <w:sz w:val="28"/>
          <w:szCs w:val="28"/>
        </w:rPr>
        <w:t>專戶制退撫</w:t>
      </w:r>
      <w:proofErr w:type="gramEnd"/>
      <w:r w:rsidRPr="001B6E4D">
        <w:rPr>
          <w:rFonts w:ascii="標楷體" w:eastAsia="標楷體" w:hAnsi="標楷體" w:hint="eastAsia"/>
          <w:kern w:val="0"/>
          <w:sz w:val="28"/>
          <w:szCs w:val="28"/>
        </w:rPr>
        <w:t>儲金基金」收支部分。</w:t>
      </w:r>
    </w:p>
    <w:p w14:paraId="18035A80" w14:textId="77777777" w:rsidR="00201B77" w:rsidRPr="001B6E4D" w:rsidRDefault="00201B77" w:rsidP="003D1018">
      <w:pPr>
        <w:widowControl w:val="0"/>
        <w:overflowPunct w:val="0"/>
        <w:spacing w:beforeLines="10" w:before="36" w:line="360" w:lineRule="exact"/>
        <w:ind w:left="280" w:hangingChars="100" w:hanging="280"/>
        <w:jc w:val="both"/>
        <w:rPr>
          <w:rFonts w:ascii="標楷體" w:eastAsia="標楷體" w:hAnsi="標楷體"/>
          <w:sz w:val="28"/>
          <w:szCs w:val="28"/>
        </w:rPr>
      </w:pPr>
      <w:proofErr w:type="gramStart"/>
      <w:r w:rsidRPr="001B6E4D">
        <w:rPr>
          <w:rFonts w:ascii="標楷體" w:eastAsia="標楷體" w:hAnsi="標楷體" w:hint="eastAsia"/>
          <w:sz w:val="28"/>
          <w:szCs w:val="28"/>
        </w:rPr>
        <w:t>（</w:t>
      </w:r>
      <w:proofErr w:type="gramEnd"/>
      <w:r w:rsidRPr="001B6E4D">
        <w:rPr>
          <w:rFonts w:ascii="標楷體" w:eastAsia="標楷體" w:hAnsi="標楷體" w:hint="eastAsia"/>
          <w:sz w:val="28"/>
          <w:szCs w:val="28"/>
        </w:rPr>
        <w:t>本日會議有委員陳昭姿、翁曉玲、張雅琳、沈發惠、莊瑞雄、許宇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、鄭天財</w:t>
      </w:r>
      <w:proofErr w:type="spellStart"/>
      <w:r w:rsidRPr="001B6E4D">
        <w:rPr>
          <w:rFonts w:ascii="標楷體" w:eastAsia="標楷體" w:hAnsi="標楷體" w:hint="eastAsia"/>
          <w:sz w:val="28"/>
          <w:szCs w:val="28"/>
        </w:rPr>
        <w:t>Sra</w:t>
      </w:r>
      <w:proofErr w:type="spellEnd"/>
      <w:r w:rsidRPr="001B6E4D">
        <w:rPr>
          <w:rFonts w:ascii="標楷體" w:eastAsia="標楷體" w:hAnsi="標楷體" w:hint="eastAsia"/>
          <w:sz w:val="28"/>
          <w:szCs w:val="28"/>
        </w:rPr>
        <w:t xml:space="preserve"> </w:t>
      </w:r>
      <w:proofErr w:type="spellStart"/>
      <w:r w:rsidRPr="001B6E4D">
        <w:rPr>
          <w:rFonts w:ascii="標楷體" w:eastAsia="標楷體" w:hAnsi="標楷體" w:hint="eastAsia"/>
          <w:sz w:val="28"/>
          <w:szCs w:val="28"/>
        </w:rPr>
        <w:t>Kacaw</w:t>
      </w:r>
      <w:proofErr w:type="spellEnd"/>
      <w:r w:rsidRPr="001B6E4D">
        <w:rPr>
          <w:rFonts w:ascii="標楷體" w:eastAsia="標楷體" w:hAnsi="標楷體" w:hint="eastAsia"/>
          <w:sz w:val="28"/>
          <w:szCs w:val="28"/>
        </w:rPr>
        <w:t>、邱慧</w:t>
      </w:r>
      <w:proofErr w:type="gramStart"/>
      <w:r w:rsidRPr="001B6E4D">
        <w:rPr>
          <w:rFonts w:ascii="標楷體" w:eastAsia="標楷體" w:hAnsi="標楷體" w:hint="eastAsia"/>
          <w:sz w:val="28"/>
          <w:szCs w:val="28"/>
        </w:rPr>
        <w:t>洳</w:t>
      </w:r>
      <w:proofErr w:type="gramEnd"/>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雲提出質詢；委員蔡其昌、吳宗憲、林倩綺提出書面質詢。）</w:t>
      </w:r>
    </w:p>
    <w:p w14:paraId="53B39E9D" w14:textId="77777777" w:rsidR="00201B77" w:rsidRPr="001B6E4D" w:rsidRDefault="00201B77" w:rsidP="003D1018">
      <w:pPr>
        <w:widowControl w:val="0"/>
        <w:overflowPunct w:val="0"/>
        <w:spacing w:line="360" w:lineRule="exact"/>
        <w:contextualSpacing/>
        <w:jc w:val="both"/>
        <w:rPr>
          <w:rFonts w:ascii="標楷體" w:eastAsia="標楷體" w:hAnsi="標楷體"/>
          <w:sz w:val="28"/>
          <w:szCs w:val="28"/>
        </w:rPr>
      </w:pPr>
      <w:r w:rsidRPr="001B6E4D">
        <w:rPr>
          <w:rFonts w:ascii="標楷體" w:eastAsia="標楷體" w:hAnsi="標楷體" w:hint="eastAsia"/>
          <w:sz w:val="28"/>
          <w:szCs w:val="28"/>
        </w:rPr>
        <w:t>決議：</w:t>
      </w:r>
    </w:p>
    <w:p w14:paraId="2CD8DD21" w14:textId="77777777" w:rsidR="00201B77" w:rsidRPr="001B6E4D" w:rsidRDefault="00201B77" w:rsidP="003D1018">
      <w:pPr>
        <w:widowControl w:val="0"/>
        <w:overflowPunct w:val="0"/>
        <w:spacing w:line="360" w:lineRule="exact"/>
        <w:contextualSpacing/>
        <w:jc w:val="both"/>
        <w:rPr>
          <w:rFonts w:ascii="標楷體" w:eastAsia="標楷體" w:hAnsi="標楷體"/>
          <w:sz w:val="28"/>
          <w:szCs w:val="28"/>
        </w:rPr>
      </w:pPr>
      <w:r w:rsidRPr="001B6E4D">
        <w:rPr>
          <w:rFonts w:ascii="標楷體" w:eastAsia="標楷體" w:hAnsi="標楷體" w:hint="eastAsia"/>
          <w:sz w:val="28"/>
          <w:szCs w:val="28"/>
        </w:rPr>
        <w:t>一、第一案至第四案，報告及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proofErr w:type="gramStart"/>
      <w:r w:rsidRPr="001B6E4D">
        <w:rPr>
          <w:rFonts w:ascii="標楷體" w:eastAsia="標楷體" w:hAnsi="標楷體" w:hint="eastAsia"/>
          <w:sz w:val="28"/>
          <w:szCs w:val="28"/>
        </w:rPr>
        <w:t>均</w:t>
      </w:r>
      <w:r w:rsidRPr="001B6E4D">
        <w:rPr>
          <w:rFonts w:ascii="標楷體" w:eastAsia="標楷體" w:hAnsi="標楷體" w:hint="eastAsia"/>
          <w:spacing w:val="-6"/>
          <w:sz w:val="28"/>
          <w:szCs w:val="28"/>
        </w:rPr>
        <w:t>另定期</w:t>
      </w:r>
      <w:proofErr w:type="gramEnd"/>
      <w:r w:rsidRPr="001B6E4D">
        <w:rPr>
          <w:rFonts w:ascii="標楷體" w:eastAsia="標楷體" w:hAnsi="標楷體" w:hint="eastAsia"/>
          <w:spacing w:val="-6"/>
          <w:sz w:val="28"/>
          <w:szCs w:val="28"/>
        </w:rPr>
        <w:t>繼續審查</w:t>
      </w:r>
      <w:r w:rsidRPr="001B6E4D">
        <w:rPr>
          <w:rFonts w:ascii="標楷體" w:eastAsia="標楷體" w:hAnsi="標楷體" w:hint="eastAsia"/>
          <w:sz w:val="28"/>
          <w:szCs w:val="28"/>
        </w:rPr>
        <w:t>。</w:t>
      </w:r>
    </w:p>
    <w:p w14:paraId="16A80AA4" w14:textId="77777777" w:rsidR="00201B77" w:rsidRPr="001B6E4D" w:rsidRDefault="00201B77" w:rsidP="003D1018">
      <w:pPr>
        <w:widowControl w:val="0"/>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二、委員質詢時，要求提供相關資料或以書面答復者，請相關機關儘速送交個別委員及本會。</w:t>
      </w:r>
    </w:p>
    <w:p w14:paraId="47ACEC47" w14:textId="77777777" w:rsidR="00201B77" w:rsidRPr="001B6E4D" w:rsidRDefault="00201B77" w:rsidP="003D1018">
      <w:pPr>
        <w:widowControl w:val="0"/>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三、審查會委員針對本日議程所列討論事項之預算提案，請於5月19日(星期二)下午2時前送交本會，逾時不予受理。</w:t>
      </w:r>
    </w:p>
    <w:p w14:paraId="4FF12A32" w14:textId="77777777" w:rsidR="00201B77" w:rsidRPr="001B6E4D" w:rsidRDefault="00201B77" w:rsidP="003D1018">
      <w:pPr>
        <w:widowControl w:val="0"/>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0B2A813F"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6F646149" w14:textId="1A85696F" w:rsidR="00201B77" w:rsidRPr="001B6E4D" w:rsidRDefault="00201B77"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70" w:name="_Toc240446597"/>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13</w:t>
      </w:r>
      <w:r w:rsidRPr="001B6E4D">
        <w:rPr>
          <w:rFonts w:ascii="標楷體" w:eastAsia="標楷體" w:hAnsi="標楷體"/>
          <w:b/>
          <w:spacing w:val="-2"/>
          <w:sz w:val="28"/>
          <w:szCs w:val="28"/>
        </w:rPr>
        <w:t>次全體委員會議議事錄</w:t>
      </w:r>
      <w:bookmarkEnd w:id="470"/>
    </w:p>
    <w:p w14:paraId="78F51358" w14:textId="77777777" w:rsidR="00201B77" w:rsidRPr="001B6E4D" w:rsidRDefault="00201B77" w:rsidP="003D1018">
      <w:pPr>
        <w:overflowPunct w:val="0"/>
        <w:adjustRightInd w:val="0"/>
        <w:snapToGrid w:val="0"/>
        <w:spacing w:line="360" w:lineRule="exact"/>
        <w:ind w:leftChars="1" w:left="1416" w:hangingChars="505" w:hanging="1414"/>
        <w:rPr>
          <w:rFonts w:ascii="標楷體" w:eastAsia="標楷體" w:hAnsi="標楷體"/>
          <w:spacing w:val="-10"/>
          <w:kern w:val="0"/>
          <w:sz w:val="28"/>
          <w:szCs w:val="28"/>
        </w:rPr>
      </w:pPr>
      <w:r w:rsidRPr="001B6E4D">
        <w:rPr>
          <w:rFonts w:ascii="標楷體" w:eastAsia="標楷體" w:hAnsi="標楷體"/>
          <w:kern w:val="0"/>
          <w:sz w:val="28"/>
          <w:szCs w:val="28"/>
          <w:fitText w:val="1120" w:id="-384132606"/>
        </w:rPr>
        <w:t>時    間</w:t>
      </w:r>
      <w:r w:rsidRPr="001B6E4D">
        <w:rPr>
          <w:rFonts w:ascii="標楷體" w:eastAsia="標楷體" w:hAnsi="標楷體"/>
          <w:spacing w:val="-10"/>
          <w:kern w:val="0"/>
          <w:sz w:val="28"/>
          <w:szCs w:val="28"/>
        </w:rPr>
        <w:t>：</w:t>
      </w:r>
      <w:r w:rsidRPr="001B6E4D">
        <w:rPr>
          <w:rFonts w:ascii="標楷體" w:eastAsia="標楷體" w:hAnsi="標楷體"/>
          <w:spacing w:val="-14"/>
          <w:kern w:val="0"/>
          <w:sz w:val="28"/>
          <w:szCs w:val="28"/>
        </w:rPr>
        <w:t>中華民國1</w:t>
      </w:r>
      <w:r w:rsidRPr="001B6E4D">
        <w:rPr>
          <w:rFonts w:ascii="標楷體" w:eastAsia="標楷體" w:hAnsi="標楷體" w:hint="eastAsia"/>
          <w:spacing w:val="-14"/>
          <w:kern w:val="0"/>
          <w:sz w:val="28"/>
          <w:szCs w:val="28"/>
        </w:rPr>
        <w:t>1</w:t>
      </w:r>
      <w:r w:rsidRPr="001B6E4D">
        <w:rPr>
          <w:rFonts w:ascii="標楷體" w:eastAsia="標楷體" w:hAnsi="標楷體"/>
          <w:spacing w:val="-14"/>
          <w:kern w:val="0"/>
          <w:sz w:val="28"/>
          <w:szCs w:val="28"/>
        </w:rPr>
        <w:t>5年</w:t>
      </w:r>
      <w:r w:rsidRPr="001B6E4D">
        <w:rPr>
          <w:rFonts w:ascii="標楷體" w:eastAsia="標楷體" w:hAnsi="標楷體" w:hint="eastAsia"/>
          <w:spacing w:val="-14"/>
          <w:kern w:val="0"/>
          <w:sz w:val="28"/>
          <w:szCs w:val="28"/>
        </w:rPr>
        <w:t>5</w:t>
      </w:r>
      <w:r w:rsidRPr="001B6E4D">
        <w:rPr>
          <w:rFonts w:ascii="標楷體" w:eastAsia="標楷體" w:hAnsi="標楷體"/>
          <w:spacing w:val="-14"/>
          <w:kern w:val="0"/>
          <w:sz w:val="28"/>
          <w:szCs w:val="28"/>
        </w:rPr>
        <w:t>月1</w:t>
      </w:r>
      <w:r w:rsidRPr="001B6E4D">
        <w:rPr>
          <w:rFonts w:ascii="標楷體" w:eastAsia="標楷體" w:hAnsi="標楷體" w:hint="eastAsia"/>
          <w:spacing w:val="-14"/>
          <w:kern w:val="0"/>
          <w:sz w:val="28"/>
          <w:szCs w:val="28"/>
        </w:rPr>
        <w:t>1</w:t>
      </w:r>
      <w:r w:rsidRPr="001B6E4D">
        <w:rPr>
          <w:rFonts w:ascii="標楷體" w:eastAsia="標楷體" w:hAnsi="標楷體"/>
          <w:spacing w:val="-14"/>
          <w:kern w:val="0"/>
          <w:sz w:val="28"/>
          <w:szCs w:val="28"/>
        </w:rPr>
        <w:t>日（星期</w:t>
      </w:r>
      <w:r w:rsidRPr="001B6E4D">
        <w:rPr>
          <w:rFonts w:ascii="標楷體" w:eastAsia="標楷體" w:hAnsi="標楷體" w:hint="eastAsia"/>
          <w:spacing w:val="-14"/>
          <w:kern w:val="0"/>
          <w:sz w:val="28"/>
          <w:szCs w:val="28"/>
        </w:rPr>
        <w:t>一</w:t>
      </w:r>
      <w:r w:rsidRPr="001B6E4D">
        <w:rPr>
          <w:rFonts w:ascii="標楷體" w:eastAsia="標楷體" w:hAnsi="標楷體"/>
          <w:spacing w:val="-14"/>
          <w:kern w:val="0"/>
          <w:sz w:val="28"/>
          <w:szCs w:val="28"/>
        </w:rPr>
        <w:t>）上午9時</w:t>
      </w:r>
      <w:r w:rsidRPr="001B6E4D">
        <w:rPr>
          <w:rFonts w:ascii="標楷體" w:eastAsia="標楷體" w:hAnsi="標楷體" w:hint="eastAsia"/>
          <w:spacing w:val="-14"/>
          <w:kern w:val="0"/>
          <w:sz w:val="28"/>
          <w:szCs w:val="28"/>
        </w:rPr>
        <w:t>1分</w:t>
      </w:r>
      <w:r w:rsidRPr="001B6E4D">
        <w:rPr>
          <w:rFonts w:ascii="標楷體" w:eastAsia="標楷體" w:hAnsi="標楷體"/>
          <w:spacing w:val="-14"/>
          <w:kern w:val="0"/>
          <w:sz w:val="28"/>
          <w:szCs w:val="28"/>
        </w:rPr>
        <w:t>至</w:t>
      </w:r>
      <w:r w:rsidRPr="001B6E4D">
        <w:rPr>
          <w:rFonts w:ascii="標楷體" w:eastAsia="標楷體" w:hAnsi="標楷體" w:hint="eastAsia"/>
          <w:spacing w:val="-14"/>
          <w:kern w:val="0"/>
          <w:sz w:val="28"/>
          <w:szCs w:val="28"/>
        </w:rPr>
        <w:t>1</w:t>
      </w:r>
      <w:r w:rsidRPr="001B6E4D">
        <w:rPr>
          <w:rFonts w:ascii="標楷體" w:eastAsia="標楷體" w:hAnsi="標楷體"/>
          <w:spacing w:val="-14"/>
          <w:kern w:val="0"/>
          <w:sz w:val="28"/>
          <w:szCs w:val="28"/>
        </w:rPr>
        <w:t>1時</w:t>
      </w:r>
      <w:r w:rsidRPr="001B6E4D">
        <w:rPr>
          <w:rFonts w:ascii="標楷體" w:eastAsia="標楷體" w:hAnsi="標楷體" w:hint="eastAsia"/>
          <w:spacing w:val="-14"/>
          <w:kern w:val="0"/>
          <w:sz w:val="28"/>
          <w:szCs w:val="28"/>
        </w:rPr>
        <w:t>5</w:t>
      </w:r>
      <w:r w:rsidRPr="001B6E4D">
        <w:rPr>
          <w:rFonts w:ascii="標楷體" w:eastAsia="標楷體" w:hAnsi="標楷體"/>
          <w:spacing w:val="-14"/>
          <w:kern w:val="0"/>
          <w:sz w:val="28"/>
          <w:szCs w:val="28"/>
        </w:rPr>
        <w:t>6</w:t>
      </w:r>
      <w:r w:rsidRPr="001B6E4D">
        <w:rPr>
          <w:rFonts w:ascii="標楷體" w:eastAsia="標楷體" w:hAnsi="標楷體" w:hint="eastAsia"/>
          <w:spacing w:val="-14"/>
          <w:kern w:val="0"/>
          <w:sz w:val="28"/>
          <w:szCs w:val="28"/>
        </w:rPr>
        <w:t>分</w:t>
      </w:r>
    </w:p>
    <w:p w14:paraId="6CF41179" w14:textId="77777777" w:rsidR="00201B77" w:rsidRPr="001B6E4D" w:rsidRDefault="00201B77"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rPr>
      </w:pPr>
      <w:r w:rsidRPr="001B6E4D">
        <w:rPr>
          <w:rFonts w:ascii="標楷體" w:eastAsia="標楷體" w:hAnsi="標楷體"/>
          <w:kern w:val="0"/>
          <w:sz w:val="28"/>
          <w:szCs w:val="28"/>
          <w:fitText w:val="1120" w:id="-384132605"/>
        </w:rPr>
        <w:t>地    點</w:t>
      </w:r>
      <w:r w:rsidRPr="001B6E4D">
        <w:rPr>
          <w:rFonts w:ascii="標楷體" w:eastAsia="標楷體" w:hAnsi="標楷體"/>
          <w:kern w:val="0"/>
          <w:sz w:val="28"/>
          <w:szCs w:val="28"/>
        </w:rPr>
        <w:t>：本院紅樓302會議室</w:t>
      </w:r>
    </w:p>
    <w:p w14:paraId="6A4F4E8F" w14:textId="77777777" w:rsidR="00201B77" w:rsidRPr="001B6E4D" w:rsidRDefault="00201B77" w:rsidP="003D1018">
      <w:pPr>
        <w:widowControl w:val="0"/>
        <w:overflowPunct w:val="0"/>
        <w:snapToGrid w:val="0"/>
        <w:ind w:left="572" w:hanging="561"/>
        <w:rPr>
          <w:rFonts w:ascii="標楷體" w:eastAsia="標楷體" w:hAnsi="標楷體"/>
          <w:kern w:val="0"/>
          <w:sz w:val="28"/>
          <w:szCs w:val="28"/>
        </w:rPr>
      </w:pPr>
      <w:r w:rsidRPr="001B6E4D">
        <w:rPr>
          <w:rFonts w:ascii="標楷體" w:eastAsia="標楷體" w:hAnsi="標楷體"/>
          <w:kern w:val="0"/>
          <w:sz w:val="28"/>
          <w:szCs w:val="28"/>
        </w:rPr>
        <w:t>出席委員：</w:t>
      </w:r>
      <w:r w:rsidRPr="001B6E4D">
        <w:rPr>
          <w:rFonts w:ascii="標楷體" w:eastAsia="標楷體" w:hAnsi="標楷體" w:hint="eastAsia"/>
          <w:kern w:val="0"/>
          <w:sz w:val="28"/>
          <w:szCs w:val="28"/>
        </w:rPr>
        <w:t>陳昭姿</w:t>
      </w:r>
      <w:r w:rsidRPr="001B6E4D">
        <w:rPr>
          <w:rFonts w:ascii="標楷體" w:eastAsia="標楷體" w:hAnsi="標楷體"/>
          <w:kern w:val="0"/>
          <w:sz w:val="28"/>
          <w:szCs w:val="28"/>
        </w:rPr>
        <w:tab/>
      </w:r>
      <w:r w:rsidRPr="001B6E4D">
        <w:rPr>
          <w:rFonts w:ascii="標楷體" w:eastAsia="標楷體" w:hAnsi="標楷體" w:hint="eastAsia"/>
          <w:sz w:val="28"/>
          <w:szCs w:val="28"/>
        </w:rPr>
        <w:t>吳宗憲</w:t>
      </w:r>
      <w:r w:rsidRPr="001B6E4D">
        <w:rPr>
          <w:rFonts w:ascii="標楷體" w:eastAsia="標楷體" w:hAnsi="標楷體" w:hint="eastAsia"/>
          <w:kern w:val="0"/>
          <w:sz w:val="28"/>
          <w:szCs w:val="28"/>
        </w:rPr>
        <w:tab/>
        <w:t>林倩綺</w:t>
      </w:r>
      <w:r w:rsidRPr="001B6E4D">
        <w:rPr>
          <w:rFonts w:ascii="標楷體" w:eastAsia="標楷體" w:hAnsi="標楷體" w:hint="eastAsia"/>
          <w:kern w:val="0"/>
          <w:sz w:val="28"/>
          <w:szCs w:val="28"/>
        </w:rPr>
        <w:tab/>
        <w:t>張雅琳</w:t>
      </w:r>
      <w:r w:rsidRPr="001B6E4D">
        <w:rPr>
          <w:rFonts w:ascii="標楷體" w:eastAsia="標楷體" w:hAnsi="標楷體"/>
          <w:kern w:val="0"/>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kern w:val="0"/>
          <w:sz w:val="28"/>
          <w:szCs w:val="28"/>
        </w:rPr>
        <w:t>沈發惠</w:t>
      </w:r>
      <w:r w:rsidRPr="001B6E4D">
        <w:rPr>
          <w:rFonts w:ascii="標楷體" w:eastAsia="標楷體" w:hAnsi="標楷體" w:hint="eastAsia"/>
          <w:kern w:val="0"/>
          <w:sz w:val="28"/>
          <w:szCs w:val="28"/>
        </w:rPr>
        <w:tab/>
        <w:t>翁曉玲</w:t>
      </w:r>
    </w:p>
    <w:p w14:paraId="7F85AAAC" w14:textId="77777777" w:rsidR="00201B77" w:rsidRPr="001B6E4D" w:rsidRDefault="00201B77" w:rsidP="003D1018">
      <w:pPr>
        <w:widowControl w:val="0"/>
        <w:overflowPunct w:val="0"/>
        <w:snapToGrid w:val="0"/>
        <w:ind w:left="206" w:firstLine="1212"/>
        <w:rPr>
          <w:rFonts w:ascii="標楷體" w:eastAsia="標楷體" w:hAnsi="標楷體"/>
          <w:kern w:val="0"/>
          <w:sz w:val="28"/>
          <w:szCs w:val="28"/>
        </w:rPr>
      </w:pPr>
      <w:r w:rsidRPr="001B6E4D">
        <w:rPr>
          <w:rFonts w:ascii="標楷體" w:eastAsia="標楷體" w:hAnsi="標楷體" w:hint="eastAsia"/>
          <w:kern w:val="0"/>
          <w:sz w:val="28"/>
          <w:szCs w:val="28"/>
        </w:rPr>
        <w:t>林沛祥</w:t>
      </w:r>
      <w:r w:rsidRPr="001B6E4D">
        <w:rPr>
          <w:rFonts w:ascii="標楷體" w:eastAsia="標楷體" w:hAnsi="標楷體" w:hint="eastAsia"/>
          <w:kern w:val="0"/>
          <w:sz w:val="28"/>
          <w:szCs w:val="28"/>
        </w:rPr>
        <w:tab/>
        <w:t>莊瑞雄</w:t>
      </w:r>
      <w:r w:rsidRPr="001B6E4D">
        <w:rPr>
          <w:rFonts w:ascii="標楷體" w:eastAsia="標楷體" w:hAnsi="標楷體" w:hint="eastAsia"/>
          <w:sz w:val="28"/>
          <w:szCs w:val="28"/>
        </w:rPr>
        <w:tab/>
        <w:t>蔡其昌</w:t>
      </w:r>
      <w:r w:rsidRPr="001B6E4D">
        <w:rPr>
          <w:rFonts w:ascii="標楷體" w:eastAsia="標楷體" w:hAnsi="標楷體"/>
          <w:sz w:val="28"/>
          <w:szCs w:val="28"/>
        </w:rPr>
        <w:tab/>
      </w:r>
      <w:r w:rsidRPr="001B6E4D">
        <w:rPr>
          <w:rFonts w:ascii="標楷體" w:eastAsia="標楷體" w:hAnsi="標楷體" w:hint="eastAsia"/>
          <w:sz w:val="28"/>
          <w:szCs w:val="28"/>
        </w:rPr>
        <w:t>柯建銘</w:t>
      </w:r>
      <w:r w:rsidRPr="001B6E4D">
        <w:rPr>
          <w:rFonts w:ascii="標楷體" w:eastAsia="標楷體" w:hAnsi="標楷體"/>
          <w:color w:val="FF0000"/>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p>
    <w:p w14:paraId="45F189D0" w14:textId="77777777" w:rsidR="00201B77" w:rsidRPr="001B6E4D" w:rsidRDefault="00201B77"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12</w:t>
      </w:r>
      <w:r w:rsidRPr="001B6E4D">
        <w:rPr>
          <w:rFonts w:ascii="標楷體" w:eastAsia="標楷體" w:hAnsi="標楷體"/>
          <w:sz w:val="28"/>
          <w:szCs w:val="28"/>
        </w:rPr>
        <w:t>人</w:t>
      </w:r>
    </w:p>
    <w:p w14:paraId="5E40B7D1" w14:textId="77777777" w:rsidR="00201B77" w:rsidRPr="001B6E4D" w:rsidRDefault="00201B77" w:rsidP="003D1018">
      <w:pPr>
        <w:widowControl w:val="0"/>
        <w:overflowPunct w:val="0"/>
        <w:snapToGrid w:val="0"/>
        <w:ind w:left="572" w:hanging="561"/>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hint="eastAsia"/>
          <w:color w:val="000000"/>
          <w:sz w:val="28"/>
          <w:szCs w:val="28"/>
        </w:rPr>
        <w:tab/>
        <w:t>謝龍介</w:t>
      </w:r>
      <w:r w:rsidRPr="001B6E4D">
        <w:rPr>
          <w:rFonts w:ascii="標楷體" w:eastAsia="標楷體" w:hAnsi="標楷體" w:hint="eastAsia"/>
          <w:sz w:val="28"/>
          <w:szCs w:val="28"/>
        </w:rPr>
        <w:tab/>
        <w:t>鄭正鈐</w:t>
      </w:r>
      <w:r w:rsidRPr="001B6E4D">
        <w:rPr>
          <w:rFonts w:ascii="標楷體" w:eastAsia="標楷體" w:hAnsi="標楷體" w:hint="eastAsia"/>
          <w:sz w:val="28"/>
          <w:szCs w:val="28"/>
        </w:rPr>
        <w:tab/>
        <w:t>蘇清泉</w:t>
      </w:r>
    </w:p>
    <w:p w14:paraId="73D8C329" w14:textId="77777777" w:rsidR="00201B77" w:rsidRPr="001B6E4D" w:rsidRDefault="00201B77"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4</w:t>
      </w:r>
      <w:r w:rsidRPr="001B6E4D">
        <w:rPr>
          <w:rFonts w:ascii="標楷體" w:eastAsia="標楷體" w:hAnsi="標楷體"/>
          <w:sz w:val="28"/>
          <w:szCs w:val="28"/>
        </w:rPr>
        <w:t>人</w:t>
      </w:r>
    </w:p>
    <w:p w14:paraId="5DC3EDDC" w14:textId="77777777" w:rsidR="00201B77" w:rsidRPr="001B6E4D" w:rsidRDefault="00201B77"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司法院秘書長　高金枝</w:t>
      </w:r>
    </w:p>
    <w:p w14:paraId="4088F567" w14:textId="77777777" w:rsidR="00201B77" w:rsidRPr="001B6E4D" w:rsidRDefault="00201B77"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法務部常務次長　馮成</w:t>
      </w:r>
    </w:p>
    <w:p w14:paraId="613B3A25" w14:textId="77777777" w:rsidR="00201B77" w:rsidRPr="001B6E4D" w:rsidRDefault="00201B77"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國防部法律事務司軍法事務處副處長　胡耀仁</w:t>
      </w:r>
    </w:p>
    <w:p w14:paraId="38329374" w14:textId="77777777" w:rsidR="00201B77" w:rsidRPr="001B6E4D" w:rsidRDefault="00201B77"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內政部警政署刑事警察局警政監　廖宗宏</w:t>
      </w:r>
    </w:p>
    <w:p w14:paraId="074FA635" w14:textId="77777777" w:rsidR="00201B77" w:rsidRPr="001B6E4D" w:rsidRDefault="00201B77"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海洋委員會海巡署情報組參議　黃永璋</w:t>
      </w:r>
    </w:p>
    <w:p w14:paraId="15A7E34C" w14:textId="77777777" w:rsidR="00201B77" w:rsidRPr="001B6E4D" w:rsidRDefault="00201B77"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64C79C3F" w14:textId="77777777" w:rsidR="00201B77" w:rsidRPr="001B6E4D" w:rsidRDefault="00201B77"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58C1FB38" w14:textId="77777777" w:rsidR="00201B77" w:rsidRPr="001B6E4D" w:rsidRDefault="00201B77"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24CF877C" w14:textId="77777777" w:rsidR="00201B77" w:rsidRPr="001B6E4D" w:rsidRDefault="00201B77"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488D685A" w14:textId="77777777" w:rsidR="00201B77" w:rsidRPr="001B6E4D" w:rsidRDefault="00201B77"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73E92965" w14:textId="77777777" w:rsidR="00201B77" w:rsidRPr="001B6E4D" w:rsidRDefault="00201B77"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52E60CB0" w14:textId="77777777" w:rsidR="00201B77" w:rsidRPr="001B6E4D" w:rsidRDefault="00201B77"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5E81A5A9" w14:textId="77777777" w:rsidR="00201B77" w:rsidRPr="001B6E4D" w:rsidRDefault="00201B77"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宣讀上次會議議事錄。</w:t>
      </w:r>
    </w:p>
    <w:p w14:paraId="2EBD298D" w14:textId="77777777" w:rsidR="00201B77" w:rsidRPr="001B6E4D" w:rsidRDefault="00201B77"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sz w:val="28"/>
          <w:szCs w:val="28"/>
        </w:rPr>
        <w:t>決定：確定。</w:t>
      </w:r>
    </w:p>
    <w:p w14:paraId="29EFC1F1" w14:textId="77777777" w:rsidR="00201B77" w:rsidRPr="001B6E4D" w:rsidRDefault="00201B77"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討論事項</w:t>
      </w:r>
    </w:p>
    <w:p w14:paraId="6DF00B79" w14:textId="77777777" w:rsidR="00201B77" w:rsidRPr="001B6E4D" w:rsidRDefault="00201B77"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一、</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2CF50164" w14:textId="77777777" w:rsidR="00201B77" w:rsidRPr="001B6E4D" w:rsidRDefault="00201B77"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（一）台灣民眾黨黨團擬具「法官法第九十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E432A7A" w14:textId="77777777" w:rsidR="00201B77" w:rsidRPr="001B6E4D" w:rsidRDefault="00201B77"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（二）委員翁曉玲等19人擬具「法官法第四條及第九十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1C1594D" w14:textId="77777777" w:rsidR="00201B77" w:rsidRPr="001B6E4D" w:rsidRDefault="00201B77"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二、繼續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718B7D51" w14:textId="77777777" w:rsidR="00201B77" w:rsidRPr="001B6E4D" w:rsidRDefault="00201B77"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ㄧ</w:t>
      </w:r>
      <w:proofErr w:type="gramEnd"/>
      <w:r w:rsidRPr="001B6E4D">
        <w:rPr>
          <w:rFonts w:ascii="標楷體" w:eastAsia="標楷體" w:hAnsi="標楷體" w:hint="eastAsia"/>
          <w:sz w:val="28"/>
          <w:szCs w:val="28"/>
        </w:rPr>
        <w:t>）台灣民眾黨黨團擬具「刑事訴訟法部分條文修正草案」案。(11-2-1院會付委)</w:t>
      </w:r>
    </w:p>
    <w:p w14:paraId="0F537BED" w14:textId="77777777" w:rsidR="00201B77" w:rsidRPr="001B6E4D" w:rsidRDefault="00201B77"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（二）委員鍾佳濱等19人擬具「刑事訴訟法第一百五十三條之十條文修正草案」案。</w:t>
      </w:r>
    </w:p>
    <w:p w14:paraId="10C5E215" w14:textId="77777777" w:rsidR="00201B77" w:rsidRPr="001B6E4D" w:rsidRDefault="00201B77"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（三）委員莊瑞雄等16人擬具「刑事訴訟法第一百五十三條之十條文修正草案」案。</w:t>
      </w:r>
    </w:p>
    <w:p w14:paraId="127EEED6" w14:textId="77777777" w:rsidR="00201B77" w:rsidRPr="001B6E4D" w:rsidRDefault="00201B77"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（四）委員吳宗憲等17人擬具「刑事訴訟法第四百零四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A9D4BDB" w14:textId="77777777" w:rsidR="00201B77" w:rsidRPr="001B6E4D" w:rsidRDefault="00201B77"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（五）委員李柏毅等16人擬具「刑事訴訟法第一百五十三條之十條文修正草案」案。</w:t>
      </w:r>
    </w:p>
    <w:p w14:paraId="6F73C84D" w14:textId="77777777" w:rsidR="00201B77" w:rsidRPr="001B6E4D" w:rsidRDefault="00201B77"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r w:rsidRPr="001B6E4D">
        <w:rPr>
          <w:rFonts w:ascii="標楷體" w:eastAsia="標楷體" w:hAnsi="標楷體" w:hint="eastAsia"/>
          <w:sz w:val="28"/>
          <w:szCs w:val="28"/>
        </w:rPr>
        <w:t>三、繼續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47D83792" w14:textId="77777777" w:rsidR="00201B77" w:rsidRPr="001B6E4D" w:rsidRDefault="00201B77"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w:t>
      </w:r>
      <w:proofErr w:type="gramStart"/>
      <w:r w:rsidRPr="001B6E4D">
        <w:rPr>
          <w:rFonts w:ascii="標楷體" w:eastAsia="標楷體" w:hAnsi="標楷體" w:hint="eastAsia"/>
          <w:sz w:val="28"/>
          <w:szCs w:val="28"/>
        </w:rPr>
        <w:t>ㄧ</w:t>
      </w:r>
      <w:proofErr w:type="gramEnd"/>
      <w:r w:rsidRPr="001B6E4D">
        <w:rPr>
          <w:rFonts w:ascii="標楷體" w:eastAsia="標楷體" w:hAnsi="標楷體" w:hint="eastAsia"/>
          <w:sz w:val="28"/>
          <w:szCs w:val="28"/>
        </w:rPr>
        <w:t>）台灣民眾黨黨團擬具「刑事訴訟法部分條文修正草案」案。(11-3-8院會付委)</w:t>
      </w:r>
    </w:p>
    <w:p w14:paraId="4CD8B0C8" w14:textId="77777777" w:rsidR="00201B77" w:rsidRPr="001B6E4D" w:rsidRDefault="00201B77"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（二）台灣民眾黨黨團擬具「刑事訴訟法第九十三條及第一百零一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002D335" w14:textId="77777777" w:rsidR="00201B77" w:rsidRPr="001B6E4D" w:rsidRDefault="00201B77"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（三）委員翁曉玲等25人擬具「刑事訴訟法第四百十三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76D56F7" w14:textId="77777777" w:rsidR="00201B77" w:rsidRPr="001B6E4D" w:rsidRDefault="00201B77"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（四）委員翁曉玲等18人擬具「刑事訴訟法第九十三條及第一百零一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8AE4335" w14:textId="77777777" w:rsidR="00201B77" w:rsidRPr="001B6E4D" w:rsidRDefault="00201B77"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吳宗憲、陳昭姿、林倩綺、謝龍介、翁曉玲、沈發惠、</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雲、莊瑞雄、張雅琳</w:t>
      </w:r>
      <w:r w:rsidRPr="001B6E4D">
        <w:rPr>
          <w:rFonts w:ascii="標楷體" w:eastAsia="標楷體" w:hAnsi="標楷體"/>
          <w:sz w:val="28"/>
          <w:szCs w:val="28"/>
        </w:rPr>
        <w:t>提出質詢</w:t>
      </w:r>
      <w:r w:rsidRPr="001B6E4D">
        <w:rPr>
          <w:rFonts w:ascii="標楷體" w:eastAsia="標楷體" w:hAnsi="標楷體" w:hint="eastAsia"/>
          <w:sz w:val="28"/>
          <w:szCs w:val="28"/>
        </w:rPr>
        <w:t>；委員許宇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、蔡其昌提出書面質詢。</w:t>
      </w:r>
      <w:r w:rsidRPr="001B6E4D">
        <w:rPr>
          <w:rFonts w:ascii="標楷體" w:eastAsia="標楷體" w:hAnsi="標楷體"/>
          <w:sz w:val="28"/>
          <w:szCs w:val="28"/>
        </w:rPr>
        <w:t>）</w:t>
      </w:r>
    </w:p>
    <w:p w14:paraId="10551D4D" w14:textId="77777777" w:rsidR="00201B77" w:rsidRPr="001B6E4D" w:rsidRDefault="00201B77"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2C51CCAB" w14:textId="77777777" w:rsidR="00201B77" w:rsidRPr="001B6E4D" w:rsidRDefault="00201B77" w:rsidP="003D1018">
      <w:pPr>
        <w:numPr>
          <w:ilvl w:val="0"/>
          <w:numId w:val="54"/>
        </w:numPr>
        <w:overflowPunct w:val="0"/>
        <w:spacing w:line="360" w:lineRule="exact"/>
        <w:contextualSpacing/>
        <w:jc w:val="both"/>
        <w:rPr>
          <w:rFonts w:ascii="標楷體" w:eastAsia="標楷體" w:hAnsi="標楷體"/>
          <w:sz w:val="28"/>
          <w:szCs w:val="28"/>
        </w:rPr>
      </w:pP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p>
    <w:p w14:paraId="592590B7" w14:textId="77777777" w:rsidR="00201B77" w:rsidRPr="001B6E4D" w:rsidRDefault="00201B77" w:rsidP="003D1018">
      <w:pPr>
        <w:numPr>
          <w:ilvl w:val="0"/>
          <w:numId w:val="54"/>
        </w:num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第一案至第三案，</w:t>
      </w:r>
      <w:proofErr w:type="gramStart"/>
      <w:r w:rsidRPr="001B6E4D">
        <w:rPr>
          <w:rFonts w:ascii="標楷體" w:eastAsia="標楷體" w:hAnsi="標楷體" w:hint="eastAsia"/>
          <w:sz w:val="28"/>
          <w:szCs w:val="28"/>
        </w:rPr>
        <w:t>均另定期</w:t>
      </w:r>
      <w:proofErr w:type="gramEnd"/>
      <w:r w:rsidRPr="001B6E4D">
        <w:rPr>
          <w:rFonts w:ascii="標楷體" w:eastAsia="標楷體" w:hAnsi="標楷體" w:hint="eastAsia"/>
          <w:sz w:val="28"/>
          <w:szCs w:val="28"/>
        </w:rPr>
        <w:t>繼續審查。</w:t>
      </w:r>
    </w:p>
    <w:p w14:paraId="112D9918" w14:textId="77777777" w:rsidR="00201B77" w:rsidRPr="001B6E4D" w:rsidRDefault="00201B77" w:rsidP="003D1018">
      <w:pPr>
        <w:numPr>
          <w:ilvl w:val="0"/>
          <w:numId w:val="54"/>
        </w:numPr>
        <w:kinsoku w:val="0"/>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1D56F4AE" w14:textId="77777777" w:rsidR="00201B77" w:rsidRPr="001B6E4D" w:rsidRDefault="00201B77" w:rsidP="003D1018">
      <w:pPr>
        <w:overflowPunct w:val="0"/>
        <w:spacing w:line="400" w:lineRule="exact"/>
        <w:ind w:leftChars="6" w:left="14"/>
        <w:jc w:val="both"/>
        <w:rPr>
          <w:rFonts w:ascii="標楷體" w:eastAsia="標楷體" w:hAnsi="標楷體"/>
        </w:rPr>
      </w:pPr>
      <w:r w:rsidRPr="001B6E4D">
        <w:rPr>
          <w:rFonts w:ascii="標楷體" w:eastAsia="標楷體" w:hAnsi="標楷體"/>
          <w:sz w:val="28"/>
          <w:szCs w:val="28"/>
        </w:rPr>
        <w:t>散會</w:t>
      </w:r>
    </w:p>
    <w:p w14:paraId="2C8BBB1E"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0F06969F" w14:textId="2272E36E" w:rsidR="00201B77" w:rsidRPr="001B6E4D" w:rsidRDefault="00201B77"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471" w:name="_Toc240446598"/>
      <w:r w:rsidRPr="001B6E4D">
        <w:rPr>
          <w:rFonts w:ascii="標楷體" w:eastAsia="標楷體" w:hAnsi="標楷體"/>
          <w:b/>
          <w:spacing w:val="-2"/>
          <w:sz w:val="28"/>
          <w:szCs w:val="28"/>
        </w:rPr>
        <w:lastRenderedPageBreak/>
        <w:t>立法院第11屆第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1</w:t>
      </w:r>
      <w:r w:rsidRPr="001B6E4D">
        <w:rPr>
          <w:rFonts w:ascii="標楷體" w:eastAsia="標楷體" w:hAnsi="標楷體"/>
          <w:b/>
          <w:spacing w:val="-2"/>
          <w:sz w:val="28"/>
          <w:szCs w:val="28"/>
        </w:rPr>
        <w:t>4次全體委員會議議事錄</w:t>
      </w:r>
      <w:bookmarkEnd w:id="471"/>
    </w:p>
    <w:p w14:paraId="0ACD0431" w14:textId="77777777" w:rsidR="00201B77" w:rsidRPr="001B6E4D" w:rsidRDefault="00201B77" w:rsidP="003D1018">
      <w:pPr>
        <w:pStyle w:val="Default"/>
        <w:overflowPunct w:val="0"/>
        <w:spacing w:line="360" w:lineRule="exact"/>
        <w:ind w:left="1400" w:hangingChars="500" w:hanging="1400"/>
        <w:jc w:val="both"/>
        <w:rPr>
          <w:rFonts w:ascii="標楷體" w:eastAsia="標楷體" w:hAnsi="標楷體"/>
          <w:color w:val="auto"/>
          <w:sz w:val="28"/>
          <w:szCs w:val="28"/>
        </w:rPr>
      </w:pPr>
      <w:r w:rsidRPr="001B6E4D">
        <w:rPr>
          <w:rFonts w:ascii="標楷體" w:eastAsia="標楷體" w:hAnsi="標楷體" w:hint="eastAsia"/>
          <w:color w:val="auto"/>
          <w:sz w:val="28"/>
          <w:szCs w:val="28"/>
        </w:rPr>
        <w:t>時　　間：中華民國</w:t>
      </w:r>
      <w:r w:rsidRPr="001B6E4D">
        <w:rPr>
          <w:rFonts w:ascii="標楷體" w:eastAsia="標楷體" w:hAnsi="標楷體"/>
          <w:color w:val="auto"/>
          <w:sz w:val="28"/>
          <w:szCs w:val="28"/>
        </w:rPr>
        <w:t>11</w:t>
      </w:r>
      <w:r w:rsidRPr="001B6E4D">
        <w:rPr>
          <w:rFonts w:ascii="標楷體" w:eastAsia="標楷體" w:hAnsi="標楷體" w:hint="eastAsia"/>
          <w:color w:val="auto"/>
          <w:sz w:val="28"/>
          <w:szCs w:val="28"/>
        </w:rPr>
        <w:t>5</w:t>
      </w:r>
      <w:r w:rsidRPr="001B6E4D">
        <w:rPr>
          <w:rFonts w:ascii="標楷體" w:eastAsia="標楷體" w:hAnsi="標楷體"/>
          <w:color w:val="auto"/>
          <w:sz w:val="28"/>
          <w:szCs w:val="28"/>
        </w:rPr>
        <w:t>年</w:t>
      </w:r>
      <w:r w:rsidRPr="001B6E4D">
        <w:rPr>
          <w:rFonts w:ascii="標楷體" w:eastAsia="標楷體" w:hAnsi="標楷體" w:hint="eastAsia"/>
          <w:color w:val="auto"/>
          <w:sz w:val="28"/>
          <w:szCs w:val="28"/>
        </w:rPr>
        <w:t>5</w:t>
      </w:r>
      <w:r w:rsidRPr="001B6E4D">
        <w:rPr>
          <w:rFonts w:ascii="標楷體" w:eastAsia="標楷體" w:hAnsi="標楷體"/>
          <w:color w:val="auto"/>
          <w:sz w:val="28"/>
          <w:szCs w:val="28"/>
        </w:rPr>
        <w:t>月</w:t>
      </w:r>
      <w:r w:rsidRPr="001B6E4D">
        <w:rPr>
          <w:rFonts w:ascii="標楷體" w:eastAsia="標楷體" w:hAnsi="標楷體" w:hint="eastAsia"/>
          <w:color w:val="auto"/>
          <w:sz w:val="28"/>
          <w:szCs w:val="28"/>
        </w:rPr>
        <w:t>18</w:t>
      </w:r>
      <w:r w:rsidRPr="001B6E4D">
        <w:rPr>
          <w:rFonts w:ascii="標楷體" w:eastAsia="標楷體" w:hAnsi="標楷體"/>
          <w:color w:val="auto"/>
          <w:sz w:val="28"/>
          <w:szCs w:val="28"/>
        </w:rPr>
        <w:t>日（星期</w:t>
      </w:r>
      <w:r w:rsidRPr="001B6E4D">
        <w:rPr>
          <w:rFonts w:ascii="標楷體" w:eastAsia="標楷體" w:hAnsi="標楷體" w:hint="eastAsia"/>
          <w:color w:val="auto"/>
          <w:sz w:val="28"/>
          <w:szCs w:val="28"/>
        </w:rPr>
        <w:t>一</w:t>
      </w:r>
      <w:r w:rsidRPr="001B6E4D">
        <w:rPr>
          <w:rFonts w:ascii="標楷體" w:eastAsia="標楷體" w:hAnsi="標楷體"/>
          <w:color w:val="auto"/>
          <w:sz w:val="28"/>
          <w:szCs w:val="28"/>
        </w:rPr>
        <w:t>）上午9時</w:t>
      </w:r>
      <w:r w:rsidRPr="001B6E4D">
        <w:rPr>
          <w:rFonts w:ascii="標楷體" w:eastAsia="標楷體" w:hAnsi="標楷體" w:hint="eastAsia"/>
          <w:color w:val="auto"/>
          <w:sz w:val="28"/>
          <w:szCs w:val="28"/>
        </w:rPr>
        <w:t>2</w:t>
      </w:r>
      <w:r w:rsidRPr="001B6E4D">
        <w:rPr>
          <w:rFonts w:ascii="標楷體" w:eastAsia="標楷體" w:hAnsi="標楷體"/>
          <w:color w:val="auto"/>
          <w:sz w:val="28"/>
          <w:szCs w:val="28"/>
        </w:rPr>
        <w:t>分至</w:t>
      </w:r>
      <w:r w:rsidRPr="001B6E4D">
        <w:rPr>
          <w:rFonts w:ascii="標楷體" w:eastAsia="標楷體" w:hAnsi="標楷體" w:hint="eastAsia"/>
          <w:color w:val="auto"/>
          <w:sz w:val="28"/>
          <w:szCs w:val="28"/>
        </w:rPr>
        <w:t>11</w:t>
      </w:r>
      <w:r w:rsidRPr="001B6E4D">
        <w:rPr>
          <w:rFonts w:ascii="標楷體" w:eastAsia="標楷體" w:hAnsi="標楷體"/>
          <w:color w:val="auto"/>
          <w:sz w:val="28"/>
          <w:szCs w:val="28"/>
        </w:rPr>
        <w:t>時</w:t>
      </w:r>
      <w:r w:rsidRPr="001B6E4D">
        <w:rPr>
          <w:rFonts w:ascii="標楷體" w:eastAsia="標楷體" w:hAnsi="標楷體" w:hint="eastAsia"/>
          <w:color w:val="auto"/>
          <w:sz w:val="28"/>
          <w:szCs w:val="28"/>
        </w:rPr>
        <w:t>51</w:t>
      </w:r>
      <w:r w:rsidRPr="001B6E4D">
        <w:rPr>
          <w:rFonts w:ascii="標楷體" w:eastAsia="標楷體" w:hAnsi="標楷體"/>
          <w:color w:val="auto"/>
          <w:sz w:val="28"/>
          <w:szCs w:val="28"/>
        </w:rPr>
        <w:t>分</w:t>
      </w:r>
      <w:bookmarkStart w:id="472" w:name="_Hlk227943858"/>
      <w:r w:rsidRPr="001B6E4D">
        <w:rPr>
          <w:rFonts w:ascii="標楷體" w:eastAsia="標楷體" w:hAnsi="標楷體" w:hint="eastAsia"/>
          <w:color w:val="auto"/>
          <w:sz w:val="28"/>
          <w:szCs w:val="28"/>
        </w:rPr>
        <w:t>；</w:t>
      </w:r>
      <w:bookmarkEnd w:id="472"/>
      <w:r w:rsidRPr="001B6E4D">
        <w:rPr>
          <w:rFonts w:ascii="標楷體" w:eastAsia="標楷體" w:hAnsi="標楷體" w:hint="eastAsia"/>
          <w:color w:val="auto"/>
          <w:sz w:val="28"/>
          <w:szCs w:val="28"/>
        </w:rPr>
        <w:t>5月20日（星期三）上午9時4分至10時25分；5</w:t>
      </w:r>
      <w:r w:rsidRPr="001B6E4D">
        <w:rPr>
          <w:rFonts w:ascii="標楷體" w:eastAsia="標楷體" w:hAnsi="標楷體"/>
          <w:color w:val="auto"/>
          <w:sz w:val="28"/>
          <w:szCs w:val="28"/>
        </w:rPr>
        <w:t>月</w:t>
      </w:r>
      <w:r w:rsidRPr="001B6E4D">
        <w:rPr>
          <w:rFonts w:ascii="標楷體" w:eastAsia="標楷體" w:hAnsi="標楷體" w:hint="eastAsia"/>
          <w:color w:val="auto"/>
          <w:sz w:val="28"/>
          <w:szCs w:val="28"/>
        </w:rPr>
        <w:t>21</w:t>
      </w:r>
      <w:r w:rsidRPr="001B6E4D">
        <w:rPr>
          <w:rFonts w:ascii="標楷體" w:eastAsia="標楷體" w:hAnsi="標楷體"/>
          <w:color w:val="auto"/>
          <w:sz w:val="28"/>
          <w:szCs w:val="28"/>
        </w:rPr>
        <w:t>日（星期</w:t>
      </w:r>
      <w:r w:rsidRPr="001B6E4D">
        <w:rPr>
          <w:rFonts w:ascii="標楷體" w:eastAsia="標楷體" w:hAnsi="標楷體" w:hint="eastAsia"/>
          <w:color w:val="auto"/>
          <w:sz w:val="28"/>
          <w:szCs w:val="28"/>
        </w:rPr>
        <w:t>四</w:t>
      </w:r>
      <w:r w:rsidRPr="001B6E4D">
        <w:rPr>
          <w:rFonts w:ascii="標楷體" w:eastAsia="標楷體" w:hAnsi="標楷體"/>
          <w:color w:val="auto"/>
          <w:sz w:val="28"/>
          <w:szCs w:val="28"/>
        </w:rPr>
        <w:t>）上午</w:t>
      </w:r>
      <w:r w:rsidRPr="001B6E4D">
        <w:rPr>
          <w:rFonts w:ascii="標楷體" w:eastAsia="標楷體" w:hAnsi="標楷體" w:hint="eastAsia"/>
          <w:color w:val="auto"/>
          <w:sz w:val="28"/>
          <w:szCs w:val="28"/>
        </w:rPr>
        <w:t>9</w:t>
      </w:r>
      <w:r w:rsidRPr="001B6E4D">
        <w:rPr>
          <w:rFonts w:ascii="標楷體" w:eastAsia="標楷體" w:hAnsi="標楷體"/>
          <w:color w:val="auto"/>
          <w:sz w:val="28"/>
          <w:szCs w:val="28"/>
        </w:rPr>
        <w:t>時至</w:t>
      </w:r>
      <w:r w:rsidRPr="001B6E4D">
        <w:rPr>
          <w:rFonts w:ascii="標楷體" w:eastAsia="標楷體" w:hAnsi="標楷體" w:hint="eastAsia"/>
          <w:color w:val="auto"/>
          <w:sz w:val="28"/>
          <w:szCs w:val="28"/>
        </w:rPr>
        <w:t>11</w:t>
      </w:r>
      <w:r w:rsidRPr="001B6E4D">
        <w:rPr>
          <w:rFonts w:ascii="標楷體" w:eastAsia="標楷體" w:hAnsi="標楷體"/>
          <w:color w:val="auto"/>
          <w:sz w:val="28"/>
          <w:szCs w:val="28"/>
        </w:rPr>
        <w:t>時</w:t>
      </w:r>
      <w:r w:rsidRPr="001B6E4D">
        <w:rPr>
          <w:rFonts w:ascii="標楷體" w:eastAsia="標楷體" w:hAnsi="標楷體" w:hint="eastAsia"/>
          <w:color w:val="auto"/>
          <w:sz w:val="28"/>
          <w:szCs w:val="28"/>
        </w:rPr>
        <w:t>7</w:t>
      </w:r>
      <w:r w:rsidRPr="001B6E4D">
        <w:rPr>
          <w:rFonts w:ascii="標楷體" w:eastAsia="標楷體" w:hAnsi="標楷體"/>
          <w:color w:val="auto"/>
          <w:sz w:val="28"/>
          <w:szCs w:val="28"/>
        </w:rPr>
        <w:t>分</w:t>
      </w:r>
      <w:r w:rsidRPr="001B6E4D">
        <w:rPr>
          <w:rFonts w:ascii="標楷體" w:eastAsia="標楷體" w:hAnsi="標楷體" w:hint="eastAsia"/>
          <w:color w:val="auto"/>
          <w:sz w:val="28"/>
          <w:szCs w:val="28"/>
        </w:rPr>
        <w:t>、下午2時至</w:t>
      </w:r>
      <w:r w:rsidRPr="001B6E4D">
        <w:rPr>
          <w:rFonts w:ascii="標楷體" w:eastAsia="標楷體" w:hAnsi="標楷體"/>
          <w:color w:val="auto"/>
          <w:sz w:val="28"/>
          <w:szCs w:val="28"/>
        </w:rPr>
        <w:t>4</w:t>
      </w:r>
      <w:r w:rsidRPr="001B6E4D">
        <w:rPr>
          <w:rFonts w:ascii="標楷體" w:eastAsia="標楷體" w:hAnsi="標楷體" w:hint="eastAsia"/>
          <w:color w:val="auto"/>
          <w:sz w:val="28"/>
          <w:szCs w:val="28"/>
        </w:rPr>
        <w:t>時</w:t>
      </w:r>
      <w:r w:rsidRPr="001B6E4D">
        <w:rPr>
          <w:rFonts w:ascii="標楷體" w:eastAsia="標楷體" w:hAnsi="標楷體"/>
          <w:color w:val="auto"/>
          <w:sz w:val="28"/>
          <w:szCs w:val="28"/>
        </w:rPr>
        <w:t>49</w:t>
      </w:r>
      <w:r w:rsidRPr="001B6E4D">
        <w:rPr>
          <w:rFonts w:ascii="標楷體" w:eastAsia="標楷體" w:hAnsi="標楷體" w:hint="eastAsia"/>
          <w:color w:val="auto"/>
          <w:sz w:val="28"/>
          <w:szCs w:val="28"/>
        </w:rPr>
        <w:t>分</w:t>
      </w:r>
    </w:p>
    <w:p w14:paraId="762688A4" w14:textId="77777777" w:rsidR="00201B77" w:rsidRPr="001B6E4D" w:rsidRDefault="00201B77" w:rsidP="003D1018">
      <w:pPr>
        <w:pStyle w:val="Default"/>
        <w:overflowPunct w:val="0"/>
        <w:spacing w:line="360" w:lineRule="exact"/>
        <w:ind w:left="848" w:hangingChars="303" w:hanging="848"/>
        <w:jc w:val="both"/>
        <w:rPr>
          <w:rFonts w:ascii="標楷體" w:eastAsia="標楷體" w:hAnsi="標楷體"/>
          <w:color w:val="auto"/>
          <w:sz w:val="28"/>
          <w:szCs w:val="28"/>
        </w:rPr>
      </w:pPr>
      <w:r w:rsidRPr="001B6E4D">
        <w:rPr>
          <w:rFonts w:ascii="標楷體" w:eastAsia="標楷體" w:hAnsi="標楷體" w:hint="eastAsia"/>
          <w:color w:val="auto"/>
          <w:sz w:val="28"/>
          <w:szCs w:val="28"/>
        </w:rPr>
        <w:t>地　　點：本院紅樓</w:t>
      </w:r>
      <w:r w:rsidRPr="001B6E4D">
        <w:rPr>
          <w:rFonts w:ascii="標楷體" w:eastAsia="標楷體" w:hAnsi="標楷體"/>
          <w:color w:val="auto"/>
          <w:sz w:val="28"/>
          <w:szCs w:val="28"/>
        </w:rPr>
        <w:t>302會議室</w:t>
      </w:r>
    </w:p>
    <w:p w14:paraId="3F54E84D" w14:textId="77777777" w:rsidR="00201B77" w:rsidRPr="001B6E4D" w:rsidRDefault="00201B77" w:rsidP="003D1018">
      <w:pPr>
        <w:pStyle w:val="Default"/>
        <w:overflowPunct w:val="0"/>
        <w:spacing w:line="360" w:lineRule="exact"/>
        <w:ind w:left="1386" w:hangingChars="495" w:hanging="1386"/>
        <w:rPr>
          <w:rFonts w:ascii="標楷體" w:eastAsia="標楷體" w:hAnsi="標楷體"/>
          <w:sz w:val="28"/>
          <w:szCs w:val="28"/>
        </w:rPr>
      </w:pPr>
      <w:r w:rsidRPr="001B6E4D">
        <w:rPr>
          <w:rFonts w:ascii="標楷體" w:eastAsia="標楷體" w:hAnsi="標楷體" w:hint="eastAsia"/>
          <w:color w:val="auto"/>
          <w:sz w:val="28"/>
          <w:szCs w:val="28"/>
        </w:rPr>
        <w:t>出席委員：</w:t>
      </w:r>
      <w:r w:rsidRPr="001B6E4D">
        <w:rPr>
          <w:rFonts w:ascii="標楷體" w:eastAsia="標楷體" w:hAnsi="標楷體" w:hint="eastAsia"/>
          <w:sz w:val="28"/>
          <w:szCs w:val="28"/>
        </w:rPr>
        <w:t>林倩綺</w:t>
      </w:r>
      <w:r w:rsidRPr="001B6E4D">
        <w:rPr>
          <w:rFonts w:ascii="標楷體" w:eastAsia="標楷體" w:hAnsi="標楷體" w:hint="eastAsia"/>
          <w:sz w:val="28"/>
          <w:szCs w:val="28"/>
        </w:rPr>
        <w:tab/>
        <w:t>莊瑞雄</w:t>
      </w:r>
      <w:r w:rsidRPr="001B6E4D">
        <w:rPr>
          <w:rFonts w:ascii="標楷體" w:eastAsia="標楷體" w:hAnsi="標楷體"/>
          <w:sz w:val="28"/>
          <w:szCs w:val="28"/>
        </w:rPr>
        <w:tab/>
      </w:r>
      <w:r w:rsidRPr="001B6E4D">
        <w:rPr>
          <w:rFonts w:ascii="標楷體" w:eastAsia="標楷體" w:hAnsi="標楷體" w:hint="eastAsia"/>
          <w:sz w:val="28"/>
          <w:szCs w:val="28"/>
        </w:rPr>
        <w:t>張雅琳</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r>
      <w:bookmarkStart w:id="473" w:name="_Hlk227940664"/>
      <w:r w:rsidRPr="001B6E4D">
        <w:rPr>
          <w:rFonts w:ascii="標楷體" w:eastAsia="標楷體" w:hAnsi="標楷體" w:hint="eastAsia"/>
          <w:sz w:val="28"/>
          <w:szCs w:val="28"/>
        </w:rPr>
        <w:t>翁曉玲</w:t>
      </w:r>
      <w:bookmarkEnd w:id="473"/>
      <w:r w:rsidRPr="001B6E4D">
        <w:rPr>
          <w:rFonts w:ascii="標楷體" w:eastAsia="標楷體" w:hAnsi="標楷體"/>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p>
    <w:p w14:paraId="37609B07" w14:textId="77777777" w:rsidR="00201B77" w:rsidRPr="001B6E4D" w:rsidRDefault="00201B77" w:rsidP="003D1018">
      <w:pPr>
        <w:pStyle w:val="Default"/>
        <w:overflowPunct w:val="0"/>
        <w:spacing w:line="360" w:lineRule="exact"/>
        <w:ind w:left="1386" w:hangingChars="495" w:hanging="1386"/>
        <w:rPr>
          <w:rFonts w:ascii="標楷體" w:eastAsia="標楷體" w:hAnsi="標楷體"/>
          <w:color w:val="auto"/>
          <w:sz w:val="28"/>
          <w:szCs w:val="28"/>
        </w:rPr>
      </w:pP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color w:val="auto"/>
          <w:sz w:val="28"/>
          <w:szCs w:val="28"/>
        </w:rPr>
        <w:t>柯建銘</w:t>
      </w:r>
      <w:r w:rsidRPr="001B6E4D">
        <w:rPr>
          <w:rFonts w:ascii="標楷體" w:eastAsia="標楷體" w:hAnsi="標楷體" w:hint="eastAsia"/>
          <w:color w:val="auto"/>
          <w:sz w:val="28"/>
          <w:szCs w:val="28"/>
        </w:rPr>
        <w:tab/>
        <w:t>蔡其昌</w:t>
      </w:r>
      <w:r w:rsidRPr="001B6E4D">
        <w:rPr>
          <w:rFonts w:ascii="標楷體" w:eastAsia="標楷體" w:hAnsi="標楷體" w:hint="eastAsia"/>
          <w:color w:val="auto"/>
          <w:sz w:val="28"/>
          <w:szCs w:val="28"/>
        </w:rPr>
        <w:tab/>
        <w:t>傅崐萁</w:t>
      </w:r>
    </w:p>
    <w:p w14:paraId="10283935" w14:textId="77777777" w:rsidR="00201B77" w:rsidRPr="001B6E4D" w:rsidRDefault="00201B77" w:rsidP="003D1018">
      <w:pPr>
        <w:pStyle w:val="Default"/>
        <w:overflowPunct w:val="0"/>
        <w:spacing w:line="360" w:lineRule="exact"/>
        <w:ind w:leftChars="353" w:left="847" w:firstLineChars="192" w:firstLine="538"/>
        <w:rPr>
          <w:rFonts w:ascii="標楷體" w:eastAsia="標楷體" w:hAnsi="標楷體"/>
          <w:color w:val="auto"/>
          <w:sz w:val="28"/>
          <w:szCs w:val="28"/>
        </w:rPr>
      </w:pPr>
      <w:r w:rsidRPr="001B6E4D">
        <w:rPr>
          <w:rFonts w:ascii="標楷體" w:eastAsia="標楷體" w:hAnsi="標楷體" w:hint="eastAsia"/>
          <w:color w:val="auto"/>
          <w:sz w:val="28"/>
          <w:szCs w:val="28"/>
        </w:rPr>
        <w:t>委員出席</w:t>
      </w:r>
      <w:r w:rsidRPr="001B6E4D">
        <w:rPr>
          <w:rFonts w:ascii="標楷體" w:eastAsia="標楷體" w:hAnsi="標楷體"/>
          <w:color w:val="auto"/>
          <w:sz w:val="28"/>
          <w:szCs w:val="28"/>
        </w:rPr>
        <w:t>12</w:t>
      </w:r>
      <w:r w:rsidRPr="001B6E4D">
        <w:rPr>
          <w:rFonts w:ascii="標楷體" w:eastAsia="標楷體" w:hAnsi="標楷體" w:hint="eastAsia"/>
          <w:color w:val="auto"/>
          <w:sz w:val="28"/>
          <w:szCs w:val="28"/>
        </w:rPr>
        <w:t>人</w:t>
      </w:r>
    </w:p>
    <w:p w14:paraId="72275BAD" w14:textId="77777777" w:rsidR="00201B77" w:rsidRPr="001B6E4D" w:rsidRDefault="00201B77" w:rsidP="003D1018">
      <w:pPr>
        <w:pStyle w:val="Default"/>
        <w:overflowPunct w:val="0"/>
        <w:spacing w:line="360" w:lineRule="exact"/>
        <w:ind w:left="848" w:hangingChars="303" w:hanging="848"/>
        <w:rPr>
          <w:rFonts w:ascii="標楷體" w:eastAsia="標楷體" w:hAnsi="標楷體"/>
          <w:sz w:val="28"/>
          <w:szCs w:val="28"/>
        </w:rPr>
      </w:pPr>
      <w:r w:rsidRPr="001B6E4D">
        <w:rPr>
          <w:rFonts w:ascii="標楷體" w:eastAsia="標楷體" w:hAnsi="標楷體" w:hint="eastAsia"/>
          <w:color w:val="auto"/>
          <w:sz w:val="28"/>
          <w:szCs w:val="28"/>
        </w:rPr>
        <w:t>列席委員：鍾佳濱</w:t>
      </w:r>
      <w:r w:rsidRPr="001B6E4D">
        <w:rPr>
          <w:rFonts w:ascii="標楷體" w:eastAsia="標楷體" w:hAnsi="標楷體" w:hint="eastAsia"/>
          <w:sz w:val="28"/>
          <w:szCs w:val="28"/>
        </w:rPr>
        <w:tab/>
        <w:t>鄭正鈐</w:t>
      </w:r>
      <w:r w:rsidRPr="001B6E4D">
        <w:rPr>
          <w:rFonts w:ascii="標楷體" w:eastAsia="標楷體" w:hAnsi="標楷體" w:hint="eastAsia"/>
          <w:sz w:val="28"/>
          <w:szCs w:val="28"/>
        </w:rPr>
        <w:tab/>
        <w:t>蘇清泉</w:t>
      </w:r>
      <w:r w:rsidRPr="001B6E4D">
        <w:rPr>
          <w:rFonts w:ascii="標楷體" w:eastAsia="標楷體" w:hAnsi="標楷體" w:hint="eastAsia"/>
          <w:sz w:val="28"/>
          <w:szCs w:val="28"/>
        </w:rPr>
        <w:tab/>
        <w:t>洪孟楷</w:t>
      </w:r>
      <w:r w:rsidRPr="001B6E4D">
        <w:rPr>
          <w:rFonts w:ascii="標楷體" w:eastAsia="標楷體" w:hAnsi="標楷體" w:hint="eastAsia"/>
          <w:sz w:val="28"/>
          <w:szCs w:val="28"/>
        </w:rPr>
        <w:tab/>
        <w:t>楊瓊瓔</w:t>
      </w:r>
      <w:r w:rsidRPr="001B6E4D">
        <w:rPr>
          <w:rFonts w:ascii="標楷體" w:eastAsia="標楷體" w:hAnsi="標楷體" w:hint="eastAsia"/>
          <w:sz w:val="28"/>
          <w:szCs w:val="28"/>
        </w:rPr>
        <w:tab/>
        <w:t>陳俊宇</w:t>
      </w:r>
      <w:r w:rsidRPr="001B6E4D">
        <w:rPr>
          <w:rFonts w:ascii="標楷體" w:eastAsia="標楷體" w:hAnsi="標楷體" w:hint="eastAsia"/>
          <w:sz w:val="28"/>
          <w:szCs w:val="28"/>
        </w:rPr>
        <w:tab/>
        <w:t>賴士葆</w:t>
      </w:r>
      <w:r w:rsidRPr="001B6E4D">
        <w:rPr>
          <w:rFonts w:ascii="標楷體" w:eastAsia="標楷體" w:hAnsi="標楷體" w:hint="eastAsia"/>
          <w:sz w:val="28"/>
          <w:szCs w:val="28"/>
        </w:rPr>
        <w:tab/>
      </w:r>
    </w:p>
    <w:p w14:paraId="6AF4E93E" w14:textId="77777777" w:rsidR="00201B77" w:rsidRPr="001B6E4D" w:rsidRDefault="00201B77" w:rsidP="003D1018">
      <w:pPr>
        <w:overflowPunct w:val="0"/>
        <w:snapToGrid w:val="0"/>
        <w:ind w:leftChars="239" w:left="574" w:firstLineChars="300" w:firstLine="840"/>
        <w:rPr>
          <w:rFonts w:ascii="標楷體" w:eastAsia="標楷體" w:hAnsi="標楷體"/>
          <w:color w:val="FF0000"/>
          <w:sz w:val="28"/>
          <w:szCs w:val="28"/>
        </w:rPr>
      </w:pPr>
      <w:r w:rsidRPr="001B6E4D">
        <w:rPr>
          <w:rFonts w:ascii="標楷體" w:eastAsia="標楷體" w:hAnsi="標楷體" w:hint="eastAsia"/>
          <w:sz w:val="28"/>
          <w:szCs w:val="28"/>
        </w:rPr>
        <w:t>陳冠廷</w:t>
      </w:r>
    </w:p>
    <w:p w14:paraId="50A4D0DB" w14:textId="77777777" w:rsidR="00201B77" w:rsidRPr="001B6E4D" w:rsidRDefault="00201B77" w:rsidP="003D1018">
      <w:pPr>
        <w:pStyle w:val="Default"/>
        <w:overflowPunct w:val="0"/>
        <w:spacing w:line="360" w:lineRule="exact"/>
        <w:ind w:leftChars="353" w:left="847" w:firstLineChars="203" w:firstLine="568"/>
        <w:rPr>
          <w:rFonts w:ascii="標楷體" w:eastAsia="標楷體" w:hAnsi="標楷體"/>
          <w:color w:val="auto"/>
          <w:sz w:val="28"/>
          <w:szCs w:val="28"/>
        </w:rPr>
      </w:pPr>
      <w:r w:rsidRPr="001B6E4D">
        <w:rPr>
          <w:rFonts w:ascii="標楷體" w:eastAsia="標楷體" w:hAnsi="標楷體" w:hint="eastAsia"/>
          <w:color w:val="auto"/>
          <w:sz w:val="28"/>
          <w:szCs w:val="28"/>
        </w:rPr>
        <w:t>委員列席8人</w:t>
      </w:r>
    </w:p>
    <w:p w14:paraId="5DED3999" w14:textId="77777777" w:rsidR="00201B77" w:rsidRPr="001B6E4D" w:rsidRDefault="00201B77" w:rsidP="003D1018">
      <w:pPr>
        <w:overflowPunct w:val="0"/>
        <w:adjustRightInd w:val="0"/>
        <w:snapToGrid w:val="0"/>
        <w:spacing w:line="400" w:lineRule="exact"/>
        <w:ind w:left="1361" w:hangingChars="486" w:hanging="1361"/>
        <w:jc w:val="both"/>
        <w:rPr>
          <w:rFonts w:ascii="標楷體" w:eastAsia="標楷體" w:hAnsi="標楷體"/>
          <w:sz w:val="28"/>
          <w:szCs w:val="28"/>
        </w:rPr>
      </w:pPr>
      <w:r w:rsidRPr="001B6E4D">
        <w:rPr>
          <w:rFonts w:ascii="標楷體" w:eastAsia="標楷體" w:hAnsi="標楷體"/>
          <w:sz w:val="28"/>
          <w:szCs w:val="28"/>
        </w:rPr>
        <w:t>列席官員：</w:t>
      </w:r>
      <w:r w:rsidRPr="001B6E4D">
        <w:rPr>
          <w:rFonts w:ascii="標楷體" w:eastAsia="標楷體" w:hAnsi="標楷體" w:hint="eastAsia"/>
          <w:b/>
          <w:bCs/>
          <w:sz w:val="28"/>
          <w:szCs w:val="28"/>
        </w:rPr>
        <w:t>5月18日（星期一）</w:t>
      </w:r>
    </w:p>
    <w:p w14:paraId="70C78CD4" w14:textId="77777777" w:rsidR="00201B77" w:rsidRPr="001B6E4D" w:rsidRDefault="00201B77" w:rsidP="003D1018">
      <w:pPr>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kern w:val="0"/>
          <w:sz w:val="28"/>
          <w:szCs w:val="28"/>
        </w:rPr>
        <w:t>司法院秘書長</w:t>
      </w:r>
      <w:r w:rsidRPr="001B6E4D">
        <w:rPr>
          <w:rFonts w:ascii="標楷體" w:eastAsia="標楷體" w:hAnsi="標楷體" w:hint="eastAsia"/>
          <w:kern w:val="0"/>
          <w:sz w:val="28"/>
          <w:szCs w:val="28"/>
        </w:rPr>
        <w:t xml:space="preserve">　高金枝</w:t>
      </w:r>
    </w:p>
    <w:p w14:paraId="32729096" w14:textId="77777777" w:rsidR="00201B77" w:rsidRPr="001B6E4D" w:rsidRDefault="00201B77" w:rsidP="003D1018">
      <w:pPr>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法官學院院長　</w:t>
      </w:r>
      <w:proofErr w:type="gramStart"/>
      <w:r w:rsidRPr="001B6E4D">
        <w:rPr>
          <w:rFonts w:ascii="標楷體" w:eastAsia="標楷體" w:hAnsi="標楷體" w:hint="eastAsia"/>
          <w:kern w:val="0"/>
          <w:sz w:val="28"/>
          <w:szCs w:val="28"/>
        </w:rPr>
        <w:t>張升星</w:t>
      </w:r>
      <w:proofErr w:type="gramEnd"/>
    </w:p>
    <w:p w14:paraId="70218FCC" w14:textId="77777777" w:rsidR="00201B77" w:rsidRPr="001B6E4D" w:rsidRDefault="00201B77" w:rsidP="003D1018">
      <w:pPr>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臺灣高等法院院長　王梅英</w:t>
      </w:r>
    </w:p>
    <w:p w14:paraId="529685FC" w14:textId="77777777" w:rsidR="00201B77" w:rsidRPr="001B6E4D" w:rsidRDefault="00201B77" w:rsidP="003D1018">
      <w:pPr>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w:t>
      </w:r>
      <w:proofErr w:type="gramStart"/>
      <w:r w:rsidRPr="001B6E4D">
        <w:rPr>
          <w:rFonts w:ascii="標楷體" w:eastAsia="標楷體" w:hAnsi="標楷體" w:hint="eastAsia"/>
          <w:kern w:val="0"/>
          <w:sz w:val="28"/>
          <w:szCs w:val="28"/>
        </w:rPr>
        <w:t>臺</w:t>
      </w:r>
      <w:proofErr w:type="gramEnd"/>
      <w:r w:rsidRPr="001B6E4D">
        <w:rPr>
          <w:rFonts w:ascii="標楷體" w:eastAsia="標楷體" w:hAnsi="標楷體" w:hint="eastAsia"/>
          <w:kern w:val="0"/>
          <w:sz w:val="28"/>
          <w:szCs w:val="28"/>
        </w:rPr>
        <w:t>北地方法院院長　何信慶</w:t>
      </w:r>
    </w:p>
    <w:p w14:paraId="739EFE91" w14:textId="77777777" w:rsidR="00201B77" w:rsidRPr="001B6E4D" w:rsidRDefault="00201B77" w:rsidP="003D1018">
      <w:pPr>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臺灣新北地方法院院長　蕭胤</w:t>
      </w:r>
      <w:proofErr w:type="gramStart"/>
      <w:r w:rsidRPr="001B6E4D">
        <w:rPr>
          <w:rFonts w:ascii="標楷體" w:eastAsia="標楷體" w:hAnsi="標楷體" w:hint="eastAsia"/>
          <w:kern w:val="0"/>
          <w:sz w:val="28"/>
          <w:szCs w:val="28"/>
        </w:rPr>
        <w:t>瑮</w:t>
      </w:r>
      <w:proofErr w:type="gramEnd"/>
    </w:p>
    <w:p w14:paraId="359901B4" w14:textId="77777777" w:rsidR="00201B77" w:rsidRPr="001B6E4D" w:rsidRDefault="00201B77" w:rsidP="003D1018">
      <w:pPr>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財團法人法律扶助基金會董事長　莊秋桃</w:t>
      </w:r>
    </w:p>
    <w:p w14:paraId="49E32823" w14:textId="77777777" w:rsidR="00201B77" w:rsidRPr="001B6E4D" w:rsidRDefault="00201B77" w:rsidP="003D1018">
      <w:pPr>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行政院主計總處公務預算處專門委員　邱碧珠</w:t>
      </w:r>
    </w:p>
    <w:p w14:paraId="2A87A713" w14:textId="77777777" w:rsidR="00201B77" w:rsidRPr="001B6E4D" w:rsidRDefault="00201B77" w:rsidP="003D1018">
      <w:pPr>
        <w:tabs>
          <w:tab w:val="left" w:pos="1843"/>
        </w:tabs>
        <w:overflowPunct w:val="0"/>
        <w:adjustRightInd w:val="0"/>
        <w:snapToGrid w:val="0"/>
        <w:spacing w:line="370" w:lineRule="exact"/>
        <w:ind w:leftChars="584" w:left="2803" w:hangingChars="500" w:hanging="1401"/>
        <w:jc w:val="both"/>
        <w:rPr>
          <w:rFonts w:ascii="標楷體" w:eastAsia="標楷體" w:hAnsi="標楷體" w:cs="標楷體"/>
          <w:b/>
          <w:kern w:val="0"/>
          <w:sz w:val="28"/>
          <w:szCs w:val="28"/>
        </w:rPr>
      </w:pPr>
      <w:r w:rsidRPr="001B6E4D">
        <w:rPr>
          <w:rFonts w:ascii="標楷體" w:eastAsia="標楷體" w:hAnsi="標楷體" w:cs="標楷體" w:hint="eastAsia"/>
          <w:b/>
          <w:kern w:val="0"/>
          <w:sz w:val="28"/>
          <w:szCs w:val="28"/>
        </w:rPr>
        <w:t>5月2</w:t>
      </w:r>
      <w:r w:rsidRPr="001B6E4D">
        <w:rPr>
          <w:rFonts w:ascii="標楷體" w:eastAsia="標楷體" w:hAnsi="標楷體" w:cs="標楷體"/>
          <w:b/>
          <w:kern w:val="0"/>
          <w:sz w:val="28"/>
          <w:szCs w:val="28"/>
        </w:rPr>
        <w:t>0</w:t>
      </w:r>
      <w:r w:rsidRPr="001B6E4D">
        <w:rPr>
          <w:rFonts w:ascii="標楷體" w:eastAsia="標楷體" w:hAnsi="標楷體" w:cs="標楷體" w:hint="eastAsia"/>
          <w:b/>
          <w:kern w:val="0"/>
          <w:sz w:val="28"/>
          <w:szCs w:val="28"/>
        </w:rPr>
        <w:t>日（星期三）</w:t>
      </w:r>
    </w:p>
    <w:p w14:paraId="31214E02" w14:textId="77777777" w:rsidR="00201B77" w:rsidRPr="001B6E4D" w:rsidRDefault="00201B77" w:rsidP="003D1018">
      <w:pPr>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行政院人事行政總處政務副人事長　張秋元(人事長請假)</w:t>
      </w:r>
    </w:p>
    <w:p w14:paraId="65BA6EDA" w14:textId="77777777" w:rsidR="00201B77" w:rsidRPr="001B6E4D" w:rsidRDefault="00201B77" w:rsidP="003D1018">
      <w:pPr>
        <w:overflowPunct w:val="0"/>
        <w:adjustRightInd w:val="0"/>
        <w:snapToGrid w:val="0"/>
        <w:spacing w:line="380" w:lineRule="exact"/>
        <w:ind w:leftChars="567" w:left="1361" w:firstLineChars="13" w:firstLine="36"/>
        <w:jc w:val="both"/>
        <w:rPr>
          <w:rFonts w:ascii="標楷體" w:eastAsia="標楷體" w:hAnsi="標楷體"/>
          <w:spacing w:val="-20"/>
          <w:w w:val="98"/>
          <w:kern w:val="0"/>
          <w:sz w:val="28"/>
          <w:szCs w:val="28"/>
        </w:rPr>
      </w:pPr>
      <w:r w:rsidRPr="001B6E4D">
        <w:rPr>
          <w:rFonts w:ascii="標楷體" w:eastAsia="標楷體" w:hAnsi="標楷體" w:hint="eastAsia"/>
          <w:kern w:val="0"/>
          <w:sz w:val="28"/>
          <w:szCs w:val="28"/>
        </w:rPr>
        <w:t xml:space="preserve">                  </w:t>
      </w:r>
      <w:r w:rsidRPr="001B6E4D">
        <w:rPr>
          <w:rFonts w:ascii="標楷體" w:eastAsia="標楷體" w:hAnsi="標楷體" w:hint="eastAsia"/>
          <w:spacing w:val="-20"/>
          <w:w w:val="98"/>
          <w:kern w:val="0"/>
          <w:sz w:val="28"/>
          <w:szCs w:val="28"/>
        </w:rPr>
        <w:t>公務人力發展學院副院長　廖英掌(院長請假)</w:t>
      </w:r>
    </w:p>
    <w:p w14:paraId="3C3B9004" w14:textId="77777777" w:rsidR="00201B77" w:rsidRPr="001B6E4D" w:rsidRDefault="00201B77" w:rsidP="003D1018">
      <w:pPr>
        <w:overflowPunct w:val="0"/>
        <w:adjustRightInd w:val="0"/>
        <w:snapToGrid w:val="0"/>
        <w:spacing w:line="38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行政院主計總處公務預算處科長　陳依辰</w:t>
      </w:r>
    </w:p>
    <w:p w14:paraId="5410B5BB" w14:textId="77777777" w:rsidR="00201B77" w:rsidRPr="001B6E4D" w:rsidRDefault="00201B77" w:rsidP="003D1018">
      <w:pPr>
        <w:overflowPunct w:val="0"/>
        <w:adjustRightInd w:val="0"/>
        <w:snapToGrid w:val="0"/>
        <w:spacing w:line="370" w:lineRule="exact"/>
        <w:ind w:leftChars="584" w:left="2803" w:hangingChars="500" w:hanging="1401"/>
        <w:jc w:val="both"/>
        <w:rPr>
          <w:rFonts w:ascii="標楷體" w:eastAsia="標楷體" w:hAnsi="標楷體" w:cs="標楷體"/>
          <w:b/>
          <w:kern w:val="0"/>
          <w:sz w:val="28"/>
          <w:szCs w:val="28"/>
        </w:rPr>
      </w:pPr>
      <w:r w:rsidRPr="001B6E4D">
        <w:rPr>
          <w:rFonts w:ascii="標楷體" w:eastAsia="標楷體" w:hAnsi="標楷體" w:cs="標楷體"/>
          <w:b/>
          <w:kern w:val="0"/>
          <w:sz w:val="28"/>
          <w:szCs w:val="28"/>
        </w:rPr>
        <w:t>5</w:t>
      </w:r>
      <w:r w:rsidRPr="001B6E4D">
        <w:rPr>
          <w:rFonts w:ascii="標楷體" w:eastAsia="標楷體" w:hAnsi="標楷體" w:cs="標楷體" w:hint="eastAsia"/>
          <w:b/>
          <w:kern w:val="0"/>
          <w:sz w:val="28"/>
          <w:szCs w:val="28"/>
        </w:rPr>
        <w:t>月2</w:t>
      </w:r>
      <w:r w:rsidRPr="001B6E4D">
        <w:rPr>
          <w:rFonts w:ascii="標楷體" w:eastAsia="標楷體" w:hAnsi="標楷體" w:cs="標楷體"/>
          <w:b/>
          <w:kern w:val="0"/>
          <w:sz w:val="28"/>
          <w:szCs w:val="28"/>
        </w:rPr>
        <w:t>1</w:t>
      </w:r>
      <w:r w:rsidRPr="001B6E4D">
        <w:rPr>
          <w:rFonts w:ascii="標楷體" w:eastAsia="標楷體" w:hAnsi="標楷體" w:cs="標楷體" w:hint="eastAsia"/>
          <w:b/>
          <w:kern w:val="0"/>
          <w:sz w:val="28"/>
          <w:szCs w:val="28"/>
        </w:rPr>
        <w:t>日（星期四）</w:t>
      </w:r>
    </w:p>
    <w:p w14:paraId="20189D54" w14:textId="77777777" w:rsidR="00201B77" w:rsidRPr="001B6E4D" w:rsidRDefault="00201B77" w:rsidP="003D1018">
      <w:pPr>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總統府秘書長　潘孟安（下午請假）</w:t>
      </w:r>
    </w:p>
    <w:p w14:paraId="6B58638C" w14:textId="77777777" w:rsidR="00201B77" w:rsidRPr="001B6E4D" w:rsidRDefault="00201B77" w:rsidP="003D1018">
      <w:pPr>
        <w:overflowPunct w:val="0"/>
        <w:adjustRightInd w:val="0"/>
        <w:snapToGrid w:val="0"/>
        <w:spacing w:line="380" w:lineRule="exact"/>
        <w:ind w:leftChars="567" w:left="1361" w:firstLineChars="323" w:firstLine="904"/>
        <w:jc w:val="both"/>
        <w:rPr>
          <w:rFonts w:ascii="標楷體" w:eastAsia="標楷體" w:hAnsi="標楷體"/>
          <w:sz w:val="28"/>
          <w:szCs w:val="28"/>
        </w:rPr>
      </w:pPr>
      <w:r w:rsidRPr="001B6E4D">
        <w:rPr>
          <w:rFonts w:ascii="標楷體" w:eastAsia="標楷體" w:hAnsi="標楷體" w:hint="eastAsia"/>
          <w:kern w:val="0"/>
          <w:sz w:val="28"/>
          <w:szCs w:val="28"/>
        </w:rPr>
        <w:t>副秘書長</w:t>
      </w:r>
      <w:r w:rsidRPr="001B6E4D">
        <w:rPr>
          <w:rFonts w:ascii="標楷體" w:eastAsia="標楷體" w:hAnsi="標楷體" w:hint="eastAsia"/>
          <w:sz w:val="28"/>
          <w:szCs w:val="28"/>
        </w:rPr>
        <w:t xml:space="preserve">　何志偉</w:t>
      </w:r>
    </w:p>
    <w:p w14:paraId="38EFEF5D" w14:textId="77777777" w:rsidR="00201B77" w:rsidRPr="001B6E4D" w:rsidRDefault="00201B77" w:rsidP="003D1018">
      <w:pPr>
        <w:overflowPunct w:val="0"/>
        <w:adjustRightInd w:val="0"/>
        <w:snapToGrid w:val="0"/>
        <w:spacing w:line="380" w:lineRule="exact"/>
        <w:ind w:leftChars="567" w:left="1361" w:firstLineChars="23" w:firstLine="64"/>
        <w:jc w:val="both"/>
        <w:rPr>
          <w:rFonts w:ascii="標楷體" w:eastAsia="標楷體" w:hAnsi="標楷體"/>
          <w:kern w:val="0"/>
          <w:sz w:val="28"/>
          <w:szCs w:val="28"/>
        </w:rPr>
      </w:pPr>
      <w:r w:rsidRPr="001B6E4D">
        <w:rPr>
          <w:rFonts w:ascii="標楷體" w:eastAsia="標楷體" w:hAnsi="標楷體" w:hint="eastAsia"/>
          <w:kern w:val="0"/>
          <w:sz w:val="28"/>
          <w:szCs w:val="28"/>
        </w:rPr>
        <w:t>國家安全會議秘書長</w:t>
      </w:r>
      <w:r w:rsidRPr="001B6E4D">
        <w:rPr>
          <w:rFonts w:ascii="標楷體" w:eastAsia="標楷體" w:hAnsi="標楷體" w:hint="eastAsia"/>
          <w:sz w:val="28"/>
          <w:szCs w:val="28"/>
        </w:rPr>
        <w:t xml:space="preserve">　吳釗燮（下午請假）</w:t>
      </w:r>
    </w:p>
    <w:p w14:paraId="67BEA637" w14:textId="77777777" w:rsidR="00201B77" w:rsidRPr="001B6E4D" w:rsidRDefault="00201B77" w:rsidP="003D1018">
      <w:pPr>
        <w:overflowPunct w:val="0"/>
        <w:adjustRightInd w:val="0"/>
        <w:snapToGrid w:val="0"/>
        <w:spacing w:line="380" w:lineRule="exact"/>
        <w:ind w:leftChars="567" w:left="1361" w:firstLineChars="618" w:firstLine="1730"/>
        <w:jc w:val="both"/>
        <w:rPr>
          <w:rFonts w:ascii="標楷體" w:eastAsia="標楷體" w:hAnsi="標楷體"/>
          <w:kern w:val="0"/>
          <w:sz w:val="28"/>
          <w:szCs w:val="28"/>
        </w:rPr>
      </w:pPr>
      <w:r w:rsidRPr="001B6E4D">
        <w:rPr>
          <w:rFonts w:ascii="標楷體" w:eastAsia="標楷體" w:hAnsi="標楷體" w:hint="eastAsia"/>
          <w:kern w:val="0"/>
          <w:sz w:val="28"/>
          <w:szCs w:val="28"/>
        </w:rPr>
        <w:t>副秘書長</w:t>
      </w:r>
      <w:r w:rsidRPr="001B6E4D">
        <w:rPr>
          <w:rFonts w:ascii="標楷體" w:eastAsia="標楷體" w:hAnsi="標楷體" w:hint="eastAsia"/>
          <w:sz w:val="28"/>
          <w:szCs w:val="28"/>
        </w:rPr>
        <w:t xml:space="preserve">　趙怡翔</w:t>
      </w:r>
    </w:p>
    <w:p w14:paraId="17FB673F" w14:textId="77777777" w:rsidR="00201B77" w:rsidRPr="001B6E4D" w:rsidRDefault="00201B77" w:rsidP="003D1018">
      <w:pPr>
        <w:overflowPunct w:val="0"/>
        <w:adjustRightInd w:val="0"/>
        <w:snapToGrid w:val="0"/>
        <w:spacing w:line="380" w:lineRule="exact"/>
        <w:ind w:leftChars="567" w:left="1361" w:firstLineChars="23" w:firstLine="64"/>
        <w:jc w:val="both"/>
        <w:rPr>
          <w:rFonts w:ascii="標楷體" w:eastAsia="標楷體" w:hAnsi="標楷體"/>
          <w:kern w:val="0"/>
          <w:sz w:val="28"/>
          <w:szCs w:val="28"/>
        </w:rPr>
      </w:pPr>
      <w:r w:rsidRPr="001B6E4D">
        <w:rPr>
          <w:rFonts w:ascii="標楷體" w:eastAsia="標楷體" w:hAnsi="標楷體" w:hint="eastAsia"/>
          <w:kern w:val="0"/>
          <w:sz w:val="28"/>
          <w:szCs w:val="28"/>
        </w:rPr>
        <w:t>國史館館長</w:t>
      </w:r>
      <w:r w:rsidRPr="001B6E4D">
        <w:rPr>
          <w:rFonts w:ascii="標楷體" w:eastAsia="標楷體" w:hAnsi="標楷體" w:hint="eastAsia"/>
          <w:sz w:val="28"/>
          <w:szCs w:val="28"/>
        </w:rPr>
        <w:t xml:space="preserve">　</w:t>
      </w:r>
      <w:r w:rsidRPr="001B6E4D">
        <w:rPr>
          <w:rFonts w:ascii="標楷體" w:eastAsia="標楷體" w:hAnsi="標楷體" w:hint="eastAsia"/>
          <w:kern w:val="0"/>
          <w:sz w:val="28"/>
          <w:szCs w:val="28"/>
        </w:rPr>
        <w:t>陳儀深</w:t>
      </w:r>
    </w:p>
    <w:p w14:paraId="22B49881" w14:textId="77777777" w:rsidR="00201B77" w:rsidRPr="001B6E4D" w:rsidRDefault="00201B77" w:rsidP="003D1018">
      <w:pPr>
        <w:overflowPunct w:val="0"/>
        <w:adjustRightInd w:val="0"/>
        <w:snapToGrid w:val="0"/>
        <w:spacing w:line="380" w:lineRule="exact"/>
        <w:ind w:leftChars="567" w:left="1361" w:firstLineChars="323" w:firstLine="904"/>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臺灣文獻館館長　</w:t>
      </w:r>
      <w:proofErr w:type="gramStart"/>
      <w:r w:rsidRPr="001B6E4D">
        <w:rPr>
          <w:rFonts w:ascii="標楷體" w:eastAsia="標楷體" w:hAnsi="標楷體" w:hint="eastAsia"/>
          <w:kern w:val="0"/>
          <w:sz w:val="28"/>
          <w:szCs w:val="28"/>
        </w:rPr>
        <w:t>黃翔瑜</w:t>
      </w:r>
      <w:proofErr w:type="gramEnd"/>
    </w:p>
    <w:p w14:paraId="054B64AF" w14:textId="77777777" w:rsidR="00201B77" w:rsidRPr="001B6E4D" w:rsidRDefault="00201B77" w:rsidP="003D1018">
      <w:pPr>
        <w:overflowPunct w:val="0"/>
        <w:adjustRightInd w:val="0"/>
        <w:snapToGrid w:val="0"/>
        <w:spacing w:line="380" w:lineRule="exact"/>
        <w:ind w:leftChars="567" w:left="1361" w:firstLineChars="13" w:firstLine="36"/>
        <w:jc w:val="both"/>
        <w:rPr>
          <w:rFonts w:ascii="標楷體" w:eastAsia="標楷體" w:hAnsi="標楷體" w:cs="標楷體"/>
          <w:b/>
          <w:kern w:val="0"/>
          <w:sz w:val="28"/>
          <w:szCs w:val="28"/>
        </w:rPr>
      </w:pPr>
      <w:r w:rsidRPr="001B6E4D">
        <w:rPr>
          <w:rFonts w:ascii="標楷體" w:eastAsia="標楷體" w:hAnsi="標楷體" w:hint="eastAsia"/>
          <w:kern w:val="0"/>
          <w:sz w:val="28"/>
          <w:szCs w:val="28"/>
        </w:rPr>
        <w:t>行政院主計總處公務預算處專門委員　吳銘修</w:t>
      </w:r>
    </w:p>
    <w:p w14:paraId="38623C8E" w14:textId="77777777" w:rsidR="00201B77" w:rsidRPr="001B6E4D" w:rsidRDefault="00201B77" w:rsidP="003D1018">
      <w:pPr>
        <w:pStyle w:val="Default"/>
        <w:overflowPunct w:val="0"/>
        <w:spacing w:line="360" w:lineRule="exact"/>
        <w:ind w:left="848" w:hangingChars="303" w:hanging="848"/>
        <w:rPr>
          <w:rFonts w:ascii="標楷體" w:eastAsia="標楷體" w:hAnsi="標楷體"/>
          <w:color w:val="auto"/>
          <w:sz w:val="28"/>
          <w:szCs w:val="28"/>
        </w:rPr>
      </w:pPr>
      <w:r w:rsidRPr="001B6E4D">
        <w:rPr>
          <w:rFonts w:ascii="標楷體" w:eastAsia="標楷體" w:hAnsi="標楷體" w:hint="eastAsia"/>
          <w:color w:val="auto"/>
          <w:sz w:val="28"/>
          <w:szCs w:val="28"/>
        </w:rPr>
        <w:t>主　　席：</w:t>
      </w:r>
      <w:bookmarkStart w:id="474" w:name="_Hlk228351593"/>
      <w:r w:rsidRPr="001B6E4D">
        <w:rPr>
          <w:rFonts w:ascii="標楷體" w:eastAsia="標楷體" w:hAnsi="標楷體" w:hint="eastAsia"/>
          <w:color w:val="auto"/>
          <w:sz w:val="28"/>
          <w:szCs w:val="28"/>
        </w:rPr>
        <w:t>莊召集委員瑞雄</w:t>
      </w:r>
      <w:bookmarkEnd w:id="474"/>
    </w:p>
    <w:p w14:paraId="2BB9E928" w14:textId="77777777" w:rsidR="00201B77" w:rsidRPr="001B6E4D" w:rsidRDefault="00201B77" w:rsidP="003D1018">
      <w:pPr>
        <w:pStyle w:val="Default"/>
        <w:overflowPunct w:val="0"/>
        <w:spacing w:line="360" w:lineRule="exact"/>
        <w:ind w:left="848" w:hangingChars="303" w:hanging="848"/>
        <w:rPr>
          <w:rFonts w:ascii="標楷體" w:eastAsia="標楷體" w:hAnsi="標楷體"/>
          <w:color w:val="auto"/>
          <w:sz w:val="28"/>
          <w:szCs w:val="28"/>
        </w:rPr>
      </w:pPr>
      <w:r w:rsidRPr="001B6E4D">
        <w:rPr>
          <w:rFonts w:ascii="標楷體" w:eastAsia="標楷體" w:hAnsi="標楷體" w:hint="eastAsia"/>
          <w:color w:val="auto"/>
          <w:sz w:val="28"/>
          <w:szCs w:val="28"/>
        </w:rPr>
        <w:t>專門委員：黃良瑩</w:t>
      </w:r>
    </w:p>
    <w:p w14:paraId="163267A5" w14:textId="77777777" w:rsidR="00201B77" w:rsidRPr="001B6E4D" w:rsidRDefault="00201B77" w:rsidP="003D1018">
      <w:pPr>
        <w:pStyle w:val="Default"/>
        <w:overflowPunct w:val="0"/>
        <w:spacing w:line="360" w:lineRule="exact"/>
        <w:ind w:left="848" w:hangingChars="303" w:hanging="848"/>
        <w:rPr>
          <w:rFonts w:ascii="標楷體" w:eastAsia="標楷體" w:hAnsi="標楷體"/>
          <w:color w:val="auto"/>
          <w:sz w:val="28"/>
          <w:szCs w:val="28"/>
        </w:rPr>
      </w:pPr>
      <w:r w:rsidRPr="001B6E4D">
        <w:rPr>
          <w:rFonts w:ascii="標楷體" w:eastAsia="標楷體" w:hAnsi="標楷體" w:hint="eastAsia"/>
          <w:color w:val="auto"/>
          <w:sz w:val="28"/>
          <w:szCs w:val="28"/>
        </w:rPr>
        <w:t>主任秘書：張智為</w:t>
      </w:r>
    </w:p>
    <w:p w14:paraId="26BEDCB1" w14:textId="77777777" w:rsidR="00201B77" w:rsidRPr="001B6E4D" w:rsidRDefault="00201B77" w:rsidP="003D1018">
      <w:pPr>
        <w:pStyle w:val="Default"/>
        <w:tabs>
          <w:tab w:val="left" w:pos="5529"/>
        </w:tabs>
        <w:overflowPunct w:val="0"/>
        <w:spacing w:line="360" w:lineRule="exact"/>
        <w:ind w:left="848" w:hangingChars="303" w:hanging="848"/>
        <w:rPr>
          <w:rFonts w:ascii="標楷體" w:eastAsia="標楷體" w:hAnsi="標楷體"/>
          <w:color w:val="auto"/>
          <w:sz w:val="28"/>
          <w:szCs w:val="28"/>
        </w:rPr>
      </w:pPr>
      <w:r w:rsidRPr="001B6E4D">
        <w:rPr>
          <w:rFonts w:ascii="標楷體" w:eastAsia="標楷體" w:hAnsi="標楷體" w:hint="eastAsia"/>
          <w:color w:val="auto"/>
          <w:sz w:val="28"/>
          <w:szCs w:val="28"/>
        </w:rPr>
        <w:t>紀　　錄：簡任秘書　薛復寧</w:t>
      </w:r>
    </w:p>
    <w:p w14:paraId="03252B2D" w14:textId="77777777" w:rsidR="00201B77" w:rsidRPr="001B6E4D" w:rsidRDefault="00201B77" w:rsidP="003D1018">
      <w:pPr>
        <w:pStyle w:val="Default"/>
        <w:tabs>
          <w:tab w:val="left" w:pos="5529"/>
        </w:tabs>
        <w:overflowPunct w:val="0"/>
        <w:spacing w:line="360" w:lineRule="exact"/>
        <w:ind w:leftChars="353" w:left="847" w:firstLineChars="203" w:firstLine="568"/>
        <w:rPr>
          <w:rFonts w:ascii="標楷體" w:eastAsia="標楷體" w:hAnsi="標楷體"/>
          <w:color w:val="auto"/>
          <w:sz w:val="28"/>
          <w:szCs w:val="28"/>
        </w:rPr>
      </w:pPr>
      <w:r w:rsidRPr="001B6E4D">
        <w:rPr>
          <w:rFonts w:ascii="標楷體" w:eastAsia="標楷體" w:hAnsi="標楷體" w:hint="eastAsia"/>
          <w:color w:val="auto"/>
          <w:sz w:val="28"/>
          <w:szCs w:val="28"/>
        </w:rPr>
        <w:t>簡任編審　蔡國治</w:t>
      </w:r>
    </w:p>
    <w:p w14:paraId="43F60BA7" w14:textId="77777777" w:rsidR="00201B77" w:rsidRPr="001B6E4D" w:rsidRDefault="00201B77" w:rsidP="003D1018">
      <w:pPr>
        <w:pStyle w:val="Default"/>
        <w:tabs>
          <w:tab w:val="left" w:pos="5529"/>
        </w:tabs>
        <w:overflowPunct w:val="0"/>
        <w:spacing w:line="360" w:lineRule="exact"/>
        <w:ind w:leftChars="353" w:left="847" w:firstLineChars="203" w:firstLine="568"/>
        <w:rPr>
          <w:rFonts w:ascii="標楷體" w:eastAsia="標楷體" w:hAnsi="標楷體"/>
          <w:color w:val="auto"/>
          <w:sz w:val="28"/>
          <w:szCs w:val="28"/>
        </w:rPr>
      </w:pPr>
      <w:r w:rsidRPr="001B6E4D">
        <w:rPr>
          <w:rFonts w:ascii="標楷體" w:eastAsia="標楷體" w:hAnsi="標楷體" w:hint="eastAsia"/>
          <w:color w:val="auto"/>
          <w:sz w:val="28"/>
          <w:szCs w:val="28"/>
        </w:rPr>
        <w:t>科　　長　余俊緯</w:t>
      </w:r>
    </w:p>
    <w:p w14:paraId="5129E940" w14:textId="77777777" w:rsidR="00201B77" w:rsidRPr="001B6E4D" w:rsidRDefault="00201B77" w:rsidP="003D1018">
      <w:pPr>
        <w:pStyle w:val="Default"/>
        <w:tabs>
          <w:tab w:val="left" w:pos="5529"/>
        </w:tabs>
        <w:overflowPunct w:val="0"/>
        <w:spacing w:line="360" w:lineRule="exact"/>
        <w:ind w:leftChars="353" w:left="847" w:firstLineChars="203" w:firstLine="568"/>
        <w:rPr>
          <w:rFonts w:ascii="標楷體" w:eastAsia="標楷體" w:hAnsi="標楷體"/>
          <w:color w:val="auto"/>
          <w:sz w:val="28"/>
          <w:szCs w:val="28"/>
        </w:rPr>
      </w:pPr>
      <w:r w:rsidRPr="001B6E4D">
        <w:rPr>
          <w:rFonts w:ascii="標楷體" w:eastAsia="標楷體" w:hAnsi="標楷體" w:hint="eastAsia"/>
          <w:color w:val="auto"/>
          <w:sz w:val="28"/>
          <w:szCs w:val="28"/>
        </w:rPr>
        <w:t>專　　員　莊鴻基</w:t>
      </w:r>
    </w:p>
    <w:p w14:paraId="4FE61617" w14:textId="77777777" w:rsidR="00201B77" w:rsidRPr="001B6E4D" w:rsidRDefault="00201B77" w:rsidP="003D1018">
      <w:pPr>
        <w:pStyle w:val="afffff8"/>
        <w:overflowPunct w:val="0"/>
        <w:spacing w:beforeLines="30" w:before="108" w:line="410" w:lineRule="exact"/>
        <w:ind w:left="561" w:hanging="561"/>
        <w:jc w:val="both"/>
        <w:rPr>
          <w:rFonts w:ascii="標楷體" w:hAnsi="標楷體"/>
          <w:b/>
          <w:bCs/>
          <w:sz w:val="28"/>
          <w:szCs w:val="28"/>
        </w:rPr>
      </w:pPr>
      <w:r w:rsidRPr="001B6E4D">
        <w:rPr>
          <w:rFonts w:ascii="標楷體" w:hAnsi="標楷體" w:cs="標楷體"/>
          <w:b/>
          <w:kern w:val="0"/>
          <w:sz w:val="28"/>
          <w:szCs w:val="28"/>
        </w:rPr>
        <w:lastRenderedPageBreak/>
        <w:t>5</w:t>
      </w:r>
      <w:r w:rsidRPr="001B6E4D">
        <w:rPr>
          <w:rFonts w:ascii="標楷體" w:hAnsi="標楷體" w:cs="標楷體" w:hint="eastAsia"/>
          <w:b/>
          <w:kern w:val="0"/>
          <w:sz w:val="28"/>
          <w:szCs w:val="28"/>
        </w:rPr>
        <w:t>月</w:t>
      </w:r>
      <w:r w:rsidRPr="001B6E4D">
        <w:rPr>
          <w:rFonts w:ascii="標楷體" w:hAnsi="標楷體" w:cs="標楷體"/>
          <w:b/>
          <w:kern w:val="0"/>
          <w:sz w:val="28"/>
          <w:szCs w:val="28"/>
        </w:rPr>
        <w:t>18</w:t>
      </w:r>
      <w:r w:rsidRPr="001B6E4D">
        <w:rPr>
          <w:rFonts w:ascii="標楷體" w:hAnsi="標楷體" w:cs="標楷體" w:hint="eastAsia"/>
          <w:b/>
          <w:kern w:val="0"/>
          <w:sz w:val="28"/>
          <w:szCs w:val="28"/>
        </w:rPr>
        <w:t>日（星期一）</w:t>
      </w:r>
    </w:p>
    <w:p w14:paraId="48EA4207" w14:textId="77777777" w:rsidR="00201B77" w:rsidRPr="001B6E4D" w:rsidRDefault="00201B77" w:rsidP="003D1018">
      <w:pPr>
        <w:pStyle w:val="afffff6"/>
        <w:overflowPunct w:val="0"/>
        <w:spacing w:beforeLines="30" w:before="108" w:line="410" w:lineRule="exact"/>
        <w:ind w:leftChars="0" w:left="0" w:rightChars="0" w:right="0" w:firstLineChars="398" w:firstLine="1115"/>
        <w:jc w:val="both"/>
        <w:rPr>
          <w:rFonts w:ascii="標楷體" w:hAnsi="標楷體"/>
          <w:b/>
          <w:sz w:val="28"/>
          <w:szCs w:val="28"/>
        </w:rPr>
      </w:pPr>
      <w:r w:rsidRPr="001B6E4D">
        <w:rPr>
          <w:rFonts w:ascii="標楷體" w:hAnsi="標楷體" w:hint="eastAsia"/>
          <w:b/>
          <w:sz w:val="28"/>
          <w:szCs w:val="28"/>
        </w:rPr>
        <w:t>報告事項</w:t>
      </w:r>
    </w:p>
    <w:p w14:paraId="5DF3DFEE" w14:textId="77777777" w:rsidR="00201B77" w:rsidRPr="001B6E4D" w:rsidRDefault="00201B77" w:rsidP="003D1018">
      <w:pPr>
        <w:pStyle w:val="Default"/>
        <w:overflowPunct w:val="0"/>
        <w:spacing w:line="360" w:lineRule="exact"/>
        <w:rPr>
          <w:rFonts w:ascii="標楷體" w:eastAsia="標楷體" w:hAnsi="標楷體"/>
          <w:color w:val="auto"/>
          <w:sz w:val="28"/>
          <w:szCs w:val="28"/>
        </w:rPr>
      </w:pPr>
      <w:r w:rsidRPr="001B6E4D">
        <w:rPr>
          <w:rFonts w:ascii="標楷體" w:eastAsia="標楷體" w:hAnsi="標楷體" w:hint="eastAsia"/>
          <w:color w:val="auto"/>
          <w:sz w:val="28"/>
          <w:szCs w:val="28"/>
        </w:rPr>
        <w:t>宣讀上次會議議事錄。</w:t>
      </w:r>
    </w:p>
    <w:p w14:paraId="6FE2A20C" w14:textId="77777777" w:rsidR="00201B77" w:rsidRPr="001B6E4D" w:rsidRDefault="00201B77" w:rsidP="003D1018">
      <w:pPr>
        <w:pStyle w:val="Default"/>
        <w:overflowPunct w:val="0"/>
        <w:spacing w:line="360" w:lineRule="exact"/>
        <w:rPr>
          <w:rFonts w:ascii="標楷體" w:eastAsia="標楷體" w:hAnsi="標楷體"/>
          <w:color w:val="auto"/>
          <w:sz w:val="28"/>
          <w:szCs w:val="28"/>
        </w:rPr>
      </w:pPr>
      <w:r w:rsidRPr="001B6E4D">
        <w:rPr>
          <w:rFonts w:ascii="標楷體" w:eastAsia="標楷體" w:hAnsi="標楷體" w:hint="eastAsia"/>
          <w:color w:val="auto"/>
          <w:sz w:val="28"/>
          <w:szCs w:val="28"/>
        </w:rPr>
        <w:t>決定：確定。</w:t>
      </w:r>
    </w:p>
    <w:p w14:paraId="646F9879" w14:textId="77777777" w:rsidR="00201B77" w:rsidRPr="001B6E4D" w:rsidRDefault="00201B77" w:rsidP="003D1018">
      <w:pPr>
        <w:pStyle w:val="afffff6"/>
        <w:overflowPunct w:val="0"/>
        <w:spacing w:beforeLines="30" w:before="108" w:line="410" w:lineRule="exact"/>
        <w:ind w:leftChars="0" w:left="0" w:rightChars="0" w:right="0" w:firstLineChars="398" w:firstLine="1115"/>
        <w:jc w:val="both"/>
        <w:rPr>
          <w:rFonts w:ascii="標楷體" w:hAnsi="標楷體"/>
          <w:b/>
          <w:sz w:val="28"/>
          <w:szCs w:val="28"/>
        </w:rPr>
      </w:pPr>
      <w:r w:rsidRPr="001B6E4D">
        <w:rPr>
          <w:rFonts w:ascii="標楷體" w:hAnsi="標楷體" w:hint="eastAsia"/>
          <w:b/>
          <w:sz w:val="28"/>
          <w:szCs w:val="28"/>
        </w:rPr>
        <w:t>討論事項</w:t>
      </w:r>
    </w:p>
    <w:p w14:paraId="28394C60" w14:textId="77777777" w:rsidR="00201B77" w:rsidRPr="001B6E4D" w:rsidRDefault="00201B77" w:rsidP="003D1018">
      <w:pPr>
        <w:kinsoku w:val="0"/>
        <w:overflowPunct w:val="0"/>
        <w:spacing w:line="360" w:lineRule="exact"/>
        <w:ind w:left="520" w:hangingChars="200" w:hanging="520"/>
        <w:contextualSpacing/>
        <w:jc w:val="both"/>
        <w:rPr>
          <w:rFonts w:ascii="標楷體" w:eastAsia="標楷體" w:hAnsi="標楷體"/>
          <w:spacing w:val="-10"/>
          <w:sz w:val="28"/>
          <w:szCs w:val="28"/>
        </w:rPr>
      </w:pPr>
      <w:r w:rsidRPr="001B6E4D">
        <w:rPr>
          <w:rFonts w:ascii="標楷體" w:eastAsia="標楷體" w:hAnsi="標楷體" w:hint="eastAsia"/>
          <w:spacing w:val="-10"/>
          <w:sz w:val="28"/>
          <w:szCs w:val="28"/>
        </w:rPr>
        <w:t>一、繼續審查</w:t>
      </w:r>
      <w:proofErr w:type="gramStart"/>
      <w:r w:rsidRPr="001B6E4D">
        <w:rPr>
          <w:rFonts w:ascii="標楷體" w:eastAsia="標楷體" w:hAnsi="標楷體" w:hint="eastAsia"/>
          <w:spacing w:val="-10"/>
          <w:sz w:val="28"/>
          <w:szCs w:val="28"/>
        </w:rPr>
        <w:t>115</w:t>
      </w:r>
      <w:proofErr w:type="gramEnd"/>
      <w:r w:rsidRPr="001B6E4D">
        <w:rPr>
          <w:rFonts w:ascii="標楷體" w:eastAsia="標楷體" w:hAnsi="標楷體" w:hint="eastAsia"/>
          <w:spacing w:val="-10"/>
          <w:sz w:val="28"/>
          <w:szCs w:val="28"/>
        </w:rPr>
        <w:t>年度中央政府總預算案關於司法院及所屬主管收支部分。</w:t>
      </w:r>
    </w:p>
    <w:p w14:paraId="3933C05D" w14:textId="77777777" w:rsidR="00201B77" w:rsidRPr="001B6E4D" w:rsidRDefault="00201B77" w:rsidP="003D1018">
      <w:pPr>
        <w:kinsoku w:val="0"/>
        <w:overflowPunct w:val="0"/>
        <w:spacing w:line="360" w:lineRule="exact"/>
        <w:ind w:left="536" w:hangingChars="200" w:hanging="536"/>
        <w:contextualSpacing/>
        <w:jc w:val="both"/>
        <w:rPr>
          <w:rFonts w:ascii="標楷體" w:eastAsia="標楷體" w:hAnsi="標楷體"/>
          <w:spacing w:val="-6"/>
          <w:sz w:val="28"/>
          <w:szCs w:val="28"/>
        </w:rPr>
      </w:pPr>
      <w:r w:rsidRPr="001B6E4D">
        <w:rPr>
          <w:rFonts w:ascii="標楷體" w:eastAsia="標楷體" w:hAnsi="標楷體" w:hint="eastAsia"/>
          <w:spacing w:val="-6"/>
          <w:sz w:val="28"/>
          <w:szCs w:val="28"/>
        </w:rPr>
        <w:t>二、繼續審查司法院函送財團法人法律扶助基金會</w:t>
      </w:r>
      <w:proofErr w:type="gramStart"/>
      <w:r w:rsidRPr="001B6E4D">
        <w:rPr>
          <w:rFonts w:ascii="標楷體" w:eastAsia="標楷體" w:hAnsi="標楷體" w:hint="eastAsia"/>
          <w:spacing w:val="-6"/>
          <w:sz w:val="28"/>
          <w:szCs w:val="28"/>
        </w:rPr>
        <w:t>11</w:t>
      </w:r>
      <w:r w:rsidRPr="001B6E4D">
        <w:rPr>
          <w:rFonts w:ascii="標楷體" w:eastAsia="標楷體" w:hAnsi="標楷體"/>
          <w:spacing w:val="-6"/>
          <w:sz w:val="28"/>
          <w:szCs w:val="28"/>
        </w:rPr>
        <w:t>5</w:t>
      </w:r>
      <w:proofErr w:type="gramEnd"/>
      <w:r w:rsidRPr="001B6E4D">
        <w:rPr>
          <w:rFonts w:ascii="標楷體" w:eastAsia="標楷體" w:hAnsi="標楷體" w:hint="eastAsia"/>
          <w:spacing w:val="-6"/>
          <w:sz w:val="28"/>
          <w:szCs w:val="28"/>
        </w:rPr>
        <w:t>年度預算書案。</w:t>
      </w:r>
    </w:p>
    <w:p w14:paraId="11678030" w14:textId="77777777" w:rsidR="00201B77" w:rsidRPr="001B6E4D" w:rsidRDefault="00201B77" w:rsidP="003D1018">
      <w:pPr>
        <w:overflowPunct w:val="0"/>
        <w:snapToGrid w:val="0"/>
        <w:rPr>
          <w:rFonts w:ascii="標楷體" w:eastAsia="標楷體" w:hAnsi="標楷體"/>
          <w:bCs/>
          <w:sz w:val="28"/>
          <w:szCs w:val="28"/>
        </w:rPr>
      </w:pPr>
      <w:r w:rsidRPr="001B6E4D">
        <w:rPr>
          <w:rFonts w:ascii="標楷體" w:eastAsia="標楷體" w:hAnsi="標楷體" w:hint="eastAsia"/>
          <w:bCs/>
          <w:sz w:val="28"/>
          <w:szCs w:val="28"/>
        </w:rPr>
        <w:t>決議：</w:t>
      </w:r>
    </w:p>
    <w:p w14:paraId="4AAD6117" w14:textId="77777777" w:rsidR="00201B77" w:rsidRPr="001B6E4D" w:rsidRDefault="00201B77" w:rsidP="003D1018">
      <w:pPr>
        <w:overflowPunct w:val="0"/>
        <w:snapToGrid w:val="0"/>
        <w:jc w:val="both"/>
        <w:rPr>
          <w:rFonts w:ascii="標楷體" w:eastAsia="標楷體" w:hAnsi="標楷體"/>
          <w:b/>
          <w:sz w:val="28"/>
          <w:szCs w:val="28"/>
        </w:rPr>
      </w:pPr>
      <w:r w:rsidRPr="001B6E4D">
        <w:rPr>
          <w:rFonts w:ascii="標楷體" w:eastAsia="標楷體" w:hAnsi="標楷體" w:hint="eastAsia"/>
          <w:b/>
          <w:sz w:val="28"/>
          <w:szCs w:val="28"/>
        </w:rPr>
        <w:t>一、</w:t>
      </w:r>
      <w:proofErr w:type="gramStart"/>
      <w:r w:rsidRPr="001B6E4D">
        <w:rPr>
          <w:rFonts w:ascii="標楷體" w:eastAsia="標楷體" w:hAnsi="標楷體" w:hint="eastAsia"/>
          <w:b/>
          <w:spacing w:val="-6"/>
          <w:sz w:val="28"/>
          <w:szCs w:val="28"/>
        </w:rPr>
        <w:t>11</w:t>
      </w:r>
      <w:r w:rsidRPr="001B6E4D">
        <w:rPr>
          <w:rFonts w:ascii="標楷體" w:eastAsia="標楷體" w:hAnsi="標楷體"/>
          <w:b/>
          <w:spacing w:val="-6"/>
          <w:sz w:val="28"/>
          <w:szCs w:val="28"/>
        </w:rPr>
        <w:t>5</w:t>
      </w:r>
      <w:proofErr w:type="gramEnd"/>
      <w:r w:rsidRPr="001B6E4D">
        <w:rPr>
          <w:rFonts w:ascii="標楷體" w:eastAsia="標楷體" w:hAnsi="標楷體" w:hint="eastAsia"/>
          <w:b/>
          <w:spacing w:val="-6"/>
          <w:sz w:val="28"/>
          <w:szCs w:val="28"/>
        </w:rPr>
        <w:t>年度中央政府總預算案關於司法院及所屬主管收支部分：</w:t>
      </w:r>
    </w:p>
    <w:p w14:paraId="78729D46" w14:textId="77777777" w:rsidR="00201B77" w:rsidRPr="001B6E4D" w:rsidRDefault="00201B77" w:rsidP="003D1018">
      <w:pPr>
        <w:overflowPunct w:val="0"/>
        <w:snapToGrid w:val="0"/>
        <w:rPr>
          <w:rFonts w:ascii="標楷體" w:eastAsia="標楷體" w:hAnsi="標楷體"/>
          <w:b/>
          <w:sz w:val="28"/>
          <w:szCs w:val="28"/>
        </w:rPr>
      </w:pPr>
      <w:r w:rsidRPr="001B6E4D">
        <w:rPr>
          <w:rFonts w:ascii="標楷體" w:eastAsia="標楷體" w:hAnsi="標楷體" w:hint="eastAsia"/>
          <w:b/>
          <w:sz w:val="28"/>
          <w:szCs w:val="28"/>
        </w:rPr>
        <w:t>(</w:t>
      </w:r>
      <w:proofErr w:type="gramStart"/>
      <w:r w:rsidRPr="001B6E4D">
        <w:rPr>
          <w:rFonts w:ascii="標楷體" w:eastAsia="標楷體" w:hAnsi="標楷體" w:hint="eastAsia"/>
          <w:b/>
          <w:sz w:val="28"/>
          <w:szCs w:val="28"/>
        </w:rPr>
        <w:t>一</w:t>
      </w:r>
      <w:proofErr w:type="gramEnd"/>
      <w:r w:rsidRPr="001B6E4D">
        <w:rPr>
          <w:rFonts w:ascii="標楷體" w:eastAsia="標楷體" w:hAnsi="標楷體" w:hint="eastAsia"/>
          <w:b/>
          <w:sz w:val="28"/>
          <w:szCs w:val="28"/>
        </w:rPr>
        <w:t>)</w:t>
      </w:r>
      <w:r w:rsidRPr="001B6E4D">
        <w:rPr>
          <w:rFonts w:ascii="標楷體" w:eastAsia="標楷體" w:hAnsi="標楷體"/>
          <w:b/>
          <w:sz w:val="28"/>
          <w:szCs w:val="28"/>
        </w:rPr>
        <w:t>歲入部分</w:t>
      </w:r>
    </w:p>
    <w:p w14:paraId="6008722D" w14:textId="77777777" w:rsidR="00201B77" w:rsidRPr="001B6E4D" w:rsidRDefault="00201B77" w:rsidP="003D1018">
      <w:pPr>
        <w:overflowPunct w:val="0"/>
        <w:snapToGrid w:val="0"/>
        <w:ind w:leftChars="50" w:left="120"/>
        <w:rPr>
          <w:rFonts w:ascii="標楷體" w:eastAsia="標楷體" w:hAnsi="標楷體"/>
          <w:b/>
          <w:color w:val="000000"/>
          <w:sz w:val="28"/>
          <w:szCs w:val="28"/>
        </w:rPr>
      </w:pPr>
      <w:r w:rsidRPr="001B6E4D">
        <w:rPr>
          <w:rFonts w:ascii="標楷體" w:eastAsia="標楷體" w:hAnsi="標楷體"/>
          <w:b/>
          <w:color w:val="000000"/>
          <w:sz w:val="28"/>
          <w:szCs w:val="28"/>
        </w:rPr>
        <w:t>第2款 罰款及賠償收入</w:t>
      </w:r>
    </w:p>
    <w:p w14:paraId="3F1109FB"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第23項 司法院，</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0BB8AFA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第24項 最高法院，</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4737B93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 xml:space="preserve">第25項 </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北高等行政法院，</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3FC85BA0"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 xml:space="preserve">第26項 </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中高等行政法院，</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046FE644"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第27項 懲戒法院，</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53E169B6"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第28項 法官學院，</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09A14F00"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第29項 臺灣高等法院286萬2千元，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C606B59"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第30項 臺灣高等法院臺中分院56萬元，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A02FF9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第31項 臺灣高等法院臺南分院10萬元，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013F78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第32項 臺灣高等法院高雄分院43萬元，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90CE929"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第33項 臺灣高等法院花蓮分院11萬元，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F59BD49"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第34項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北地方法院2,170萬8千元，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0BF68D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第35項 臺灣士林地方法院503萬6千元，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A26F432"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第36項 臺灣新北地方法院957萬6千元，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373236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第37項 臺灣桃園地方法院2,076萬元，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3228003"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第38項 臺灣新竹地方法院413萬2千元，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D95B92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第39項 臺灣苗栗地方法院185萬2千元，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3ECBA46"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第40項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中地方法院1,739萬元，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BB2F6C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第41項 臺灣南投地方法院148萬9千元，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BB13688"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第42項 臺灣彰化地方法院249萬8千元，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885F93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第43項 臺灣雲林地方法院354萬2千元，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6B7807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第44項 臺灣嘉義地方法院143萬4千元，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8C90164"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第45項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南地方法院732萬元，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2474C33"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第46項 臺灣橋頭地方法院296萬元，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442DF1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第47項 臺灣高雄地方法院462萬元，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475A01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第48項 臺灣屏東地方法院261萬9千元，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F8C8E27"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第49項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東地方法院87萬元，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E367B5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第50項 臺灣花蓮地方法院228萬4千元，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B27BDD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lastRenderedPageBreak/>
        <w:t>第51項 臺灣宜蘭地方法院97萬1千元，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EAB6C4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第52項 臺灣基隆地方法院109萬2千元，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1669578"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第53項 臺灣澎湖地方法院32萬8千元，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7811216"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第54項 臺灣高雄少年及家事法院23萬元，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D9F824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第55項 福建金門地方法院11萬元，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B559EAE" w14:textId="77777777" w:rsidR="00201B77" w:rsidRPr="001B6E4D" w:rsidRDefault="00201B77" w:rsidP="003D1018">
      <w:pPr>
        <w:overflowPunct w:val="0"/>
        <w:snapToGrid w:val="0"/>
        <w:ind w:leftChars="50" w:left="120"/>
        <w:rPr>
          <w:rFonts w:ascii="標楷體" w:eastAsia="標楷體" w:hAnsi="標楷體"/>
          <w:b/>
          <w:color w:val="000000"/>
          <w:sz w:val="28"/>
          <w:szCs w:val="28"/>
        </w:rPr>
      </w:pPr>
      <w:r w:rsidRPr="001B6E4D">
        <w:rPr>
          <w:rFonts w:ascii="標楷體" w:eastAsia="標楷體" w:hAnsi="標楷體"/>
          <w:b/>
          <w:color w:val="000000"/>
          <w:sz w:val="28"/>
          <w:szCs w:val="28"/>
        </w:rPr>
        <w:t>第3款 規費收入</w:t>
      </w:r>
    </w:p>
    <w:p w14:paraId="4EB55EB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第14項 司法院6萬7千元，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F00574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第15項 最高法院1,517萬7千元，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B21C1E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第16項 最高行政法院71萬7千元，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9184C6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 xml:space="preserve">第17項 </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北高等行政法院1,334萬2千元，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436E528"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 xml:space="preserve">第18項 </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中高等行政法院323萬2千元，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901E0A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第19項 高雄高等行政法院454萬5千元，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8157968"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第20項 懲戒法院1萬5千元，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ADF70D6"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第21項 智慧財產及商業法院8,571萬7千元，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8F8845B"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第22項 臺灣高等法院4億0,595萬8千元，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0FA5CE4"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第23項 臺灣高等法院臺中分院9,358萬3千元，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FCA7BC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第24項 臺灣高等法院臺南分院2,593萬6千元，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5FA8EA6"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第25項 臺灣高等法院高雄分院5,808萬6千元，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83F79F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第26項 臺灣高等法院花蓮分院697萬元，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6366507"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第27項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北地方法院14億6,252萬9千元，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FCE79C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第28項 臺灣士林地方法院4億7,065萬元，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F22EF5B"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第29項 臺灣新北地方法院6億8,094萬6千元，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A45600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第30項 臺灣桃園地方法院6億2,282萬元，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2810092"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第31項 臺灣新竹地方法院2億2,070萬5千元，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9FFC4C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第32項 臺灣苗栗地方法院8,052萬5千元，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42C8A57"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第33項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中地方法院6億9,650萬2千元，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BC3FE1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第34項 臺灣南投地方法院7,152萬8千元，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8F804C3"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第35項 臺灣彰化地方法院1億8,713萬8千元，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DDB7419"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第36項 臺灣雲林地方法院9,989萬9千元，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701B2F4"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第37項 臺灣嘉義地方法院1億2,229萬9千元，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73B2C9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第38項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南地方法院3億7,956萬元，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42B1AB7"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第39項 臺灣橋頭地方法院1億8,437萬7千元，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4ACA13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第40項 臺灣高雄地方法院4億1,976萬3千元，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DB29B4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第41項 臺灣屏東地方法院1億3,750萬6千元，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7FC691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第42項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東地方法院5,033萬2千元，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958267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第43項 臺灣花蓮地方法院8,178萬1千元，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5C97DC7"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第44項 臺灣宜蘭地方法院8,224萬5千元，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DEAF224"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第45項 臺灣基隆地方法院9,701萬2千元，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958276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第46項 臺灣澎湖地方法院1,611萬1千元，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5ED13A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第47項 臺灣高雄少年及家事法院4,206萬9千元，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316E6B9"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lastRenderedPageBreak/>
        <w:t>第48項 福建高等法院金門分院164萬5千元，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09E1BE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第49項 福建金門地方法院2,504萬4千元，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CA043F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第50項 福建連江地方法院199萬9千元，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B5BD0D7" w14:textId="77777777" w:rsidR="00201B77" w:rsidRPr="001B6E4D" w:rsidRDefault="00201B77" w:rsidP="003D1018">
      <w:pPr>
        <w:overflowPunct w:val="0"/>
        <w:snapToGrid w:val="0"/>
        <w:ind w:leftChars="50" w:left="120"/>
        <w:rPr>
          <w:rFonts w:ascii="標楷體" w:eastAsia="標楷體" w:hAnsi="標楷體"/>
          <w:b/>
          <w:color w:val="000000"/>
          <w:sz w:val="28"/>
          <w:szCs w:val="28"/>
        </w:rPr>
      </w:pPr>
      <w:r w:rsidRPr="001B6E4D">
        <w:rPr>
          <w:rFonts w:ascii="標楷體" w:eastAsia="標楷體" w:hAnsi="標楷體"/>
          <w:b/>
          <w:color w:val="000000"/>
          <w:sz w:val="28"/>
          <w:szCs w:val="28"/>
        </w:rPr>
        <w:t>第4款 財產收入</w:t>
      </w:r>
    </w:p>
    <w:p w14:paraId="1C67A2D9"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第24項 司法院56萬元，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EDF1109"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第25項 最高法院3萬3千元，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E9D549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第26項 最高行政法院4千元，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4C237C2"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 xml:space="preserve">第27項 </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北高等行政法院2千元，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9E1FBB2"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 xml:space="preserve">第28項 </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中高等行政法院4萬2千元，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D81BCE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第29項 高雄高等行政法院8萬6千元，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5397ABB"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第30項 懲戒法院1千元，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9263F5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第31項 法官學院79萬2千元，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B58933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第32項 智慧財產及商業法院16萬2千元，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013AD8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第33項 臺灣高等法院126萬3千元，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DF5995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第34項 臺灣高等法院臺中分院8萬元，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207A0E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第35項 臺灣高等法院臺南分院4萬元，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9B39327"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第36項 臺灣高等法院高雄分院16萬元，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92140F2"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第37項 臺灣高等法院花蓮分院2萬4千元，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BC54E77"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第38項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北地方法院73萬2千元，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B60212B"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第39項 臺灣士林地方法院19萬2千元，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1E544DE"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第40項 臺灣新北地方法院9萬5千元，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38FAEC0"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第41項 臺灣桃園地方法院270萬元，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A2FB4C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第42項 臺灣新竹地方法院41萬5千元，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336CC2B"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第43項 臺灣苗栗地方法院3萬2千元，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8438F53"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第44項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中地方法院38萬1千元，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2DE26C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第45項 臺灣南投地方法院11萬7千元，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F83D43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第46項 臺灣彰化地方法院2萬5千元，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F7186D2"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第47項 臺灣雲林地方法院22萬5千元，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14DE049"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第48項 臺灣嘉義地方法院7萬2千元，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3A21A9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第49項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南地方法院72萬元，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CE4384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第50項 臺灣橋頭地方法院109萬8千元，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A4EDE12"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第51項 臺灣高雄地方法院32萬9千元，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EAA24D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第52項 臺灣屏東地方法院2萬8千元，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0533C5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第53項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東地方法院3萬6千元，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43DD9D3"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第54項 臺灣花蓮地方法院19萬3千元，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3DA4AC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第55項 臺灣宜蘭地方法院32萬8千元，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874311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第56項 臺灣基隆地方法院4萬4千元，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C8C86B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第57項 臺灣澎湖地方法院2萬元，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619E7C4"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第58項 臺灣高雄少年及家事法院7萬1千元，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ADCFB47"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第59項 福建高等法院金門分院1千元，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AA0D206"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lastRenderedPageBreak/>
        <w:t>第60項 福建金門地方法院3萬元，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6A5F423"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第61項 福建連江地方法院1千元，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793D941" w14:textId="77777777" w:rsidR="00201B77" w:rsidRPr="001B6E4D" w:rsidRDefault="00201B77" w:rsidP="003D1018">
      <w:pPr>
        <w:overflowPunct w:val="0"/>
        <w:snapToGrid w:val="0"/>
        <w:ind w:leftChars="50" w:left="120"/>
        <w:rPr>
          <w:rFonts w:ascii="標楷體" w:eastAsia="標楷體" w:hAnsi="標楷體"/>
          <w:b/>
          <w:color w:val="000000"/>
          <w:sz w:val="28"/>
          <w:szCs w:val="28"/>
        </w:rPr>
      </w:pPr>
      <w:r w:rsidRPr="001B6E4D">
        <w:rPr>
          <w:rFonts w:ascii="標楷體" w:eastAsia="標楷體" w:hAnsi="標楷體"/>
          <w:b/>
          <w:color w:val="000000"/>
          <w:sz w:val="28"/>
          <w:szCs w:val="28"/>
        </w:rPr>
        <w:t>第7款 其他收入</w:t>
      </w:r>
    </w:p>
    <w:p w14:paraId="3E0253B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第24項 司法院327萬8千元，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A52DA7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第25項 最高法院66萬7千元，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794D808"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第26項 最高行政法院13萬7千元，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4309708"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 xml:space="preserve">第27項 </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北高等行政法院50萬元，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71EC58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 xml:space="preserve">第28項 </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中高等行政法院94萬2千元，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28BB729"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第29項 高雄高等行政法院64萬元，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4FE7CCE"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第30項 懲戒法院6萬2千元，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206CDAB"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第31項 法官學院21萬8千元，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A0CE30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第32項 智慧財產及商業法院29萬9千元，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B6D549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第33項 臺灣高等法院137萬1千元，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C52D350"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第34項 臺灣高等法院臺中分院246萬8千元，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0816F38"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第35項 臺灣高等法院臺南分院161萬3千元，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09471F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第36項 臺灣高等法院高雄分院92萬7千元，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9E3DFA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第37項 臺灣高等法院花蓮分院70萬5千元，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608CCD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第38項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北地方法院1億0,822萬8千元，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AA84A25"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第39項 臺灣士林地方法院4,936萬1千元，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531640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第40項 臺灣新北地方法院4,286萬1千元，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2D8352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第41項 臺灣桃園地方法院5,058萬元，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B7C826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第42項 臺灣新竹地方法院1,237萬4千元，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2A42DD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第43項 臺灣苗栗地方法院378萬7千元，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F80862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第44項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中地方法院4,288萬1千元，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0A82EB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第45項 臺灣南投地方法院335萬元，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F15B997"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第46項 臺灣彰化地方法院1,911萬3千元，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F7DA0C8"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第47項 臺灣雲林地方法院397萬元，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18E0B13"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第48項 臺灣嘉義地方法院440萬9千元，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14B9963"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第49項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南地方法院1,540萬元，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C4861B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第50項 臺灣橋頭地方法院208萬6千元，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FD9F296"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第51項 臺灣高雄地方法院2,992萬6千元，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73C526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第52項 臺灣屏東地方法院986萬7千元，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03271F8"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第53項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東地方法院124萬5千元，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A4AF92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第54項 臺灣花蓮地方法院442萬4千元，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9463B7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第55項 臺灣宜蘭地方法院726萬元，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6653A93"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第56項 臺灣基隆地方法院685萬8千元，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484DF29"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第57項 臺灣澎湖地方法院71萬元，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87205D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第58項 臺灣高雄少年及家事法院72萬元，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95773D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第59項 福建高等法院金門分院8萬4千元，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B047579"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第60項 福建金門地方法院56萬6千元，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51B5F6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lastRenderedPageBreak/>
        <w:t>第61項 福建連江地方法院，</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5628A27A" w14:textId="77777777" w:rsidR="00201B77" w:rsidRPr="001B6E4D" w:rsidRDefault="00201B77" w:rsidP="003D1018">
      <w:pPr>
        <w:overflowPunct w:val="0"/>
        <w:snapToGrid w:val="0"/>
        <w:ind w:leftChars="1" w:left="1179" w:hangingChars="420" w:hanging="1177"/>
        <w:jc w:val="both"/>
        <w:rPr>
          <w:rFonts w:ascii="標楷體" w:eastAsia="標楷體" w:hAnsi="標楷體"/>
          <w:sz w:val="28"/>
          <w:szCs w:val="28"/>
        </w:rPr>
      </w:pPr>
      <w:r w:rsidRPr="001B6E4D">
        <w:rPr>
          <w:rFonts w:ascii="標楷體" w:eastAsia="標楷體" w:hAnsi="標楷體" w:hint="eastAsia"/>
          <w:b/>
          <w:sz w:val="28"/>
          <w:szCs w:val="28"/>
        </w:rPr>
        <w:t>(二)</w:t>
      </w:r>
      <w:r w:rsidRPr="001B6E4D">
        <w:rPr>
          <w:rFonts w:ascii="標楷體" w:eastAsia="標楷體" w:hAnsi="標楷體"/>
          <w:b/>
          <w:sz w:val="28"/>
          <w:szCs w:val="28"/>
        </w:rPr>
        <w:t>歲出部分</w:t>
      </w:r>
    </w:p>
    <w:p w14:paraId="6FEDFFE7" w14:textId="77777777" w:rsidR="00201B77" w:rsidRPr="001B6E4D" w:rsidRDefault="00201B77" w:rsidP="003D1018">
      <w:pPr>
        <w:overflowPunct w:val="0"/>
        <w:snapToGrid w:val="0"/>
        <w:ind w:leftChars="50" w:left="120"/>
        <w:rPr>
          <w:rFonts w:ascii="標楷體" w:eastAsia="標楷體" w:hAnsi="標楷體"/>
          <w:b/>
          <w:color w:val="000000"/>
          <w:sz w:val="28"/>
          <w:szCs w:val="28"/>
        </w:rPr>
      </w:pPr>
      <w:r w:rsidRPr="001B6E4D">
        <w:rPr>
          <w:rFonts w:ascii="標楷體" w:eastAsia="標楷體" w:hAnsi="標楷體"/>
          <w:b/>
          <w:color w:val="000000"/>
          <w:sz w:val="28"/>
          <w:szCs w:val="28"/>
        </w:rPr>
        <w:t>第4款 司法院主管</w:t>
      </w:r>
    </w:p>
    <w:p w14:paraId="187F3C1A"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第1項 司法院</w:t>
      </w:r>
      <w:r w:rsidRPr="001B6E4D">
        <w:rPr>
          <w:rFonts w:ascii="標楷體" w:eastAsia="標楷體" w:hAnsi="標楷體" w:hint="eastAsia"/>
          <w:color w:val="000000"/>
          <w:sz w:val="28"/>
          <w:szCs w:val="28"/>
        </w:rPr>
        <w:t>原列</w:t>
      </w:r>
      <w:r w:rsidRPr="001B6E4D">
        <w:rPr>
          <w:rFonts w:ascii="標楷體" w:eastAsia="標楷體" w:hAnsi="標楷體"/>
          <w:sz w:val="28"/>
          <w:szCs w:val="28"/>
        </w:rPr>
        <w:t>40億8,359萬7千元，</w:t>
      </w:r>
      <w:r w:rsidRPr="001B6E4D">
        <w:rPr>
          <w:rFonts w:ascii="標楷體" w:eastAsia="標楷體" w:hAnsi="標楷體" w:hint="eastAsia"/>
          <w:color w:val="000000"/>
          <w:sz w:val="28"/>
          <w:szCs w:val="28"/>
        </w:rPr>
        <w:t>減列：</w:t>
      </w:r>
    </w:p>
    <w:p w14:paraId="64317C99" w14:textId="77777777" w:rsidR="00201B77" w:rsidRPr="001B6E4D" w:rsidRDefault="00201B77" w:rsidP="003D1018">
      <w:pPr>
        <w:overflowPunct w:val="0"/>
        <w:snapToGrid w:val="0"/>
        <w:ind w:leftChars="150" w:left="2040" w:hangingChars="600" w:hanging="168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（一）「媒體政策及業務宣導費」200萬元(科目自行調整)。【</w:t>
      </w:r>
      <w:r w:rsidRPr="001B6E4D">
        <w:rPr>
          <w:rFonts w:ascii="標楷體" w:eastAsia="標楷體" w:hAnsi="標楷體"/>
          <w:color w:val="000000"/>
          <w:sz w:val="28"/>
          <w:szCs w:val="28"/>
        </w:rPr>
        <w:t>1</w:t>
      </w:r>
      <w:r w:rsidRPr="001B6E4D">
        <w:rPr>
          <w:rFonts w:ascii="標楷體" w:eastAsia="標楷體" w:hAnsi="標楷體" w:hint="eastAsia"/>
          <w:color w:val="000000"/>
          <w:sz w:val="28"/>
          <w:szCs w:val="28"/>
        </w:rPr>
        <w:t>】</w:t>
      </w:r>
    </w:p>
    <w:p w14:paraId="5985DA8A"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（二）「業務費」1</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500萬元(科目自行調整)。【</w:t>
      </w:r>
      <w:r w:rsidRPr="001B6E4D">
        <w:rPr>
          <w:rFonts w:ascii="標楷體" w:eastAsia="標楷體" w:hAnsi="標楷體"/>
          <w:color w:val="000000"/>
          <w:sz w:val="28"/>
          <w:szCs w:val="28"/>
        </w:rPr>
        <w:t>5-11</w:t>
      </w:r>
      <w:r w:rsidRPr="001B6E4D">
        <w:rPr>
          <w:rFonts w:ascii="標楷體" w:eastAsia="標楷體" w:hAnsi="標楷體" w:hint="eastAsia"/>
          <w:color w:val="000000"/>
          <w:sz w:val="28"/>
          <w:szCs w:val="28"/>
        </w:rPr>
        <w:t>】</w:t>
      </w:r>
    </w:p>
    <w:p w14:paraId="7F1DBB9E"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（三）第1目「一般行政」200萬元(科目自行調整)。【</w:t>
      </w:r>
      <w:r w:rsidRPr="001B6E4D">
        <w:rPr>
          <w:rFonts w:ascii="標楷體" w:eastAsia="標楷體" w:hAnsi="標楷體"/>
          <w:color w:val="000000"/>
          <w:sz w:val="28"/>
          <w:szCs w:val="28"/>
        </w:rPr>
        <w:t>24</w:t>
      </w:r>
      <w:r w:rsidRPr="001B6E4D">
        <w:rPr>
          <w:rFonts w:ascii="標楷體" w:eastAsia="標楷體" w:hAnsi="標楷體" w:hint="eastAsia"/>
          <w:color w:val="000000"/>
          <w:sz w:val="28"/>
          <w:szCs w:val="28"/>
        </w:rPr>
        <w:t>】</w:t>
      </w:r>
    </w:p>
    <w:p w14:paraId="32B39449" w14:textId="77777777" w:rsidR="00201B77" w:rsidRPr="001B6E4D" w:rsidRDefault="00201B77" w:rsidP="003D1018">
      <w:pPr>
        <w:overflowPunct w:val="0"/>
        <w:snapToGrid w:val="0"/>
        <w:ind w:leftChars="150" w:left="1480" w:hangingChars="400" w:hanging="112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以上共計減列1</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900萬元，其餘均</w:t>
      </w:r>
      <w:proofErr w:type="gramStart"/>
      <w:r w:rsidRPr="001B6E4D">
        <w:rPr>
          <w:rFonts w:ascii="標楷體" w:eastAsia="標楷體" w:hAnsi="標楷體" w:hint="eastAsia"/>
          <w:color w:val="000000"/>
          <w:sz w:val="28"/>
          <w:szCs w:val="28"/>
        </w:rPr>
        <w:t>照列</w:t>
      </w:r>
      <w:proofErr w:type="gramEnd"/>
      <w:r w:rsidRPr="001B6E4D">
        <w:rPr>
          <w:rFonts w:ascii="標楷體" w:eastAsia="標楷體" w:hAnsi="標楷體" w:hint="eastAsia"/>
          <w:color w:val="000000"/>
          <w:sz w:val="28"/>
          <w:szCs w:val="28"/>
        </w:rPr>
        <w:t>，改列為</w:t>
      </w:r>
      <w:r w:rsidRPr="001B6E4D">
        <w:rPr>
          <w:rFonts w:ascii="標楷體" w:eastAsia="標楷體" w:hAnsi="標楷體"/>
          <w:color w:val="000000"/>
          <w:sz w:val="28"/>
          <w:szCs w:val="28"/>
        </w:rPr>
        <w:t>40</w:t>
      </w:r>
      <w:r w:rsidRPr="001B6E4D">
        <w:rPr>
          <w:rFonts w:ascii="標楷體" w:eastAsia="標楷體" w:hAnsi="標楷體" w:hint="eastAsia"/>
          <w:color w:val="000000"/>
          <w:sz w:val="28"/>
          <w:szCs w:val="28"/>
        </w:rPr>
        <w:t>億</w:t>
      </w:r>
      <w:r w:rsidRPr="001B6E4D">
        <w:rPr>
          <w:rFonts w:ascii="標楷體" w:eastAsia="標楷體" w:hAnsi="標楷體"/>
          <w:color w:val="000000"/>
          <w:sz w:val="28"/>
          <w:szCs w:val="28"/>
        </w:rPr>
        <w:t>6</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459</w:t>
      </w:r>
      <w:r w:rsidRPr="001B6E4D">
        <w:rPr>
          <w:rFonts w:ascii="標楷體" w:eastAsia="標楷體" w:hAnsi="標楷體" w:hint="eastAsia"/>
          <w:color w:val="000000"/>
          <w:sz w:val="28"/>
          <w:szCs w:val="28"/>
        </w:rPr>
        <w:t xml:space="preserve"> 萬</w:t>
      </w:r>
      <w:r w:rsidRPr="001B6E4D">
        <w:rPr>
          <w:rFonts w:ascii="標楷體" w:eastAsia="標楷體" w:hAnsi="標楷體"/>
          <w:color w:val="000000"/>
          <w:sz w:val="28"/>
          <w:szCs w:val="28"/>
        </w:rPr>
        <w:t>7</w:t>
      </w:r>
      <w:r w:rsidRPr="001B6E4D">
        <w:rPr>
          <w:rFonts w:ascii="標楷體" w:eastAsia="標楷體" w:hAnsi="標楷體" w:hint="eastAsia"/>
          <w:color w:val="000000"/>
          <w:sz w:val="28"/>
          <w:szCs w:val="28"/>
        </w:rPr>
        <w:t>千元。</w:t>
      </w:r>
    </w:p>
    <w:p w14:paraId="2E4C7FF9"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本項提案</w:t>
      </w:r>
      <w:r w:rsidRPr="001B6E4D">
        <w:rPr>
          <w:rFonts w:ascii="標楷體" w:eastAsia="標楷體" w:hAnsi="標楷體" w:hint="eastAsia"/>
          <w:b/>
          <w:bCs/>
          <w:sz w:val="28"/>
          <w:szCs w:val="28"/>
        </w:rPr>
        <w:t>4</w:t>
      </w:r>
      <w:r w:rsidRPr="001B6E4D">
        <w:rPr>
          <w:rFonts w:ascii="標楷體" w:eastAsia="標楷體" w:hAnsi="標楷體"/>
          <w:b/>
          <w:bCs/>
          <w:sz w:val="28"/>
          <w:szCs w:val="28"/>
        </w:rPr>
        <w:t>案，保留，送院會處理：</w:t>
      </w:r>
    </w:p>
    <w:p w14:paraId="47D649ED" w14:textId="77777777" w:rsidR="00201B77" w:rsidRPr="001B6E4D" w:rsidRDefault="00201B77" w:rsidP="003D1018">
      <w:pPr>
        <w:pStyle w:val="a"/>
        <w:overflowPunct w:val="0"/>
        <w:ind w:left="924" w:hanging="567"/>
      </w:pPr>
      <w:proofErr w:type="gramStart"/>
      <w:r w:rsidRPr="001B6E4D">
        <w:t>115</w:t>
      </w:r>
      <w:proofErr w:type="gramEnd"/>
      <w:r w:rsidRPr="001B6E4D">
        <w:t>年度司法院預算案於「司法院」派員出國考察計畫編列預算1,041萬1千元。</w:t>
      </w:r>
    </w:p>
    <w:p w14:paraId="02DED41B" w14:textId="77777777" w:rsidR="00201B77" w:rsidRPr="001B6E4D" w:rsidRDefault="00201B77" w:rsidP="003D1018">
      <w:pPr>
        <w:pStyle w:val="a"/>
        <w:numPr>
          <w:ilvl w:val="0"/>
          <w:numId w:val="0"/>
        </w:numPr>
        <w:overflowPunct w:val="0"/>
        <w:ind w:left="924" w:firstLineChars="200" w:firstLine="560"/>
      </w:pPr>
      <w:r w:rsidRPr="001B6E4D">
        <w:t>查司法院法定預算出國考察計畫，111年至113年共計有41件計畫，惟公布之考察報告僅有14案；司法院因應國民法官法之施行，派員考察日本裁判員制度多次，考察團111年5團、112年4團、113年2團，亦未見任何考察報告揭露於眾，115年再計畫2團考察，已違反《司法院及所屬機關因公派員出國案件處理要點》，公出國人員應於返國之日起算三個月內繳交出國報告之規定。</w:t>
      </w:r>
      <w:proofErr w:type="gramStart"/>
      <w:r w:rsidRPr="001B6E4D">
        <w:t>此外，</w:t>
      </w:r>
      <w:proofErr w:type="gramEnd"/>
      <w:r w:rsidRPr="001B6E4D">
        <w:t>115年大法官擬赴美國、波蘭及日本進行違憲審查法制相關考察，3件計畫計312萬4千元，然該三國之違憲審查制度未有變革，考察之</w:t>
      </w:r>
      <w:proofErr w:type="gramStart"/>
      <w:r w:rsidRPr="001B6E4D">
        <w:t>必要性恐有待</w:t>
      </w:r>
      <w:proofErr w:type="gramEnd"/>
      <w:r w:rsidRPr="001B6E4D">
        <w:t>斟酌。</w:t>
      </w:r>
    </w:p>
    <w:p w14:paraId="397BBC77" w14:textId="77777777" w:rsidR="00201B77" w:rsidRPr="001B6E4D" w:rsidRDefault="00201B77" w:rsidP="003D1018">
      <w:pPr>
        <w:pStyle w:val="a"/>
        <w:numPr>
          <w:ilvl w:val="0"/>
          <w:numId w:val="0"/>
        </w:numPr>
        <w:overflowPunct w:val="0"/>
        <w:ind w:left="924" w:firstLineChars="200" w:firstLine="560"/>
      </w:pPr>
      <w:proofErr w:type="gramStart"/>
      <w:r w:rsidRPr="001B6E4D">
        <w:t>爰</w:t>
      </w:r>
      <w:proofErr w:type="gramEnd"/>
      <w:r w:rsidRPr="001B6E4D">
        <w:t>該項預算之115年大法官違憲審查法制考察計畫312萬4千元，全數凍結，</w:t>
      </w:r>
      <w:proofErr w:type="gramStart"/>
      <w:r w:rsidRPr="001B6E4D">
        <w:t>俟</w:t>
      </w:r>
      <w:proofErr w:type="gramEnd"/>
      <w:r w:rsidRPr="001B6E4D">
        <w:t>大法官補足十人以上審議人數後，始得動支；並減列200萬元，凍結50%，</w:t>
      </w:r>
      <w:proofErr w:type="gramStart"/>
      <w:r w:rsidRPr="001B6E4D">
        <w:t>俟</w:t>
      </w:r>
      <w:proofErr w:type="gramEnd"/>
      <w:r w:rsidRPr="001B6E4D">
        <w:t>司法院於1個月內完整公布歷次出國考察報告後，向立法院司法及法制委員會提出書面報告，經同意後始得動支。</w:t>
      </w:r>
      <w:bookmarkStart w:id="475" w:name="_Hlk230030911"/>
      <w:r w:rsidRPr="001B6E4D">
        <w:t>【2】</w:t>
      </w:r>
      <w:bookmarkEnd w:id="475"/>
    </w:p>
    <w:p w14:paraId="5AFA04F6"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p>
    <w:p w14:paraId="449D3925"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連署人：許宇</w:t>
      </w:r>
      <w:proofErr w:type="gramStart"/>
      <w:r w:rsidRPr="001B6E4D">
        <w:rPr>
          <w:rFonts w:ascii="標楷體" w:eastAsia="標楷體" w:hAnsi="標楷體"/>
          <w:color w:val="000000"/>
          <w:sz w:val="28"/>
          <w:szCs w:val="28"/>
        </w:rPr>
        <w:t>甄</w:t>
      </w:r>
      <w:proofErr w:type="gramEnd"/>
      <w:r w:rsidRPr="001B6E4D">
        <w:rPr>
          <w:rFonts w:ascii="標楷體" w:eastAsia="標楷體" w:hAnsi="標楷體"/>
          <w:color w:val="000000"/>
          <w:sz w:val="28"/>
          <w:szCs w:val="28"/>
        </w:rPr>
        <w:t xml:space="preserve">　陳昭姿</w:t>
      </w:r>
    </w:p>
    <w:p w14:paraId="5EA609DF" w14:textId="77777777" w:rsidR="00201B77" w:rsidRPr="001B6E4D" w:rsidRDefault="00201B77" w:rsidP="003D1018">
      <w:pPr>
        <w:pStyle w:val="a"/>
        <w:overflowPunct w:val="0"/>
        <w:ind w:left="924" w:hanging="567"/>
      </w:pPr>
      <w:proofErr w:type="gramStart"/>
      <w:r w:rsidRPr="001B6E4D">
        <w:t>115</w:t>
      </w:r>
      <w:proofErr w:type="gramEnd"/>
      <w:r w:rsidRPr="001B6E4D">
        <w:t>年度司法院預算案於第1目「一般行政」編列司法政策、法律教育推廣宣導之相關媒體宣導製作、</w:t>
      </w:r>
      <w:proofErr w:type="gramStart"/>
      <w:r w:rsidRPr="001B6E4D">
        <w:t>託播及</w:t>
      </w:r>
      <w:proofErr w:type="gramEnd"/>
      <w:r w:rsidRPr="001B6E4D">
        <w:t>刊登編列預算2,100萬元。</w:t>
      </w:r>
    </w:p>
    <w:p w14:paraId="22D58A27" w14:textId="77777777" w:rsidR="00201B77" w:rsidRPr="001B6E4D" w:rsidRDefault="00201B77" w:rsidP="003D1018">
      <w:pPr>
        <w:pStyle w:val="a"/>
        <w:numPr>
          <w:ilvl w:val="0"/>
          <w:numId w:val="0"/>
        </w:numPr>
        <w:overflowPunct w:val="0"/>
        <w:ind w:left="924" w:firstLineChars="200" w:firstLine="560"/>
      </w:pPr>
      <w:r w:rsidRPr="001B6E4D">
        <w:t>按媒體政策及業務宣傳費非屬必要業務支出，理應考量政府財政狀況，</w:t>
      </w:r>
      <w:proofErr w:type="gramStart"/>
      <w:r w:rsidRPr="001B6E4D">
        <w:t>樽</w:t>
      </w:r>
      <w:proofErr w:type="gramEnd"/>
      <w:r w:rsidRPr="001B6E4D">
        <w:t>節支出。經查，115年中央政府總預算債務舉借2,992億元，連同特別預算1,008億元，合計舉債已高達近4千億元；依財政部國庫署公布，截至115年4月24日，我國中央政府1年以上債務</w:t>
      </w:r>
      <w:proofErr w:type="gramStart"/>
      <w:r w:rsidRPr="001B6E4D">
        <w:t>未償</w:t>
      </w:r>
      <w:proofErr w:type="gramEnd"/>
      <w:r w:rsidRPr="001B6E4D">
        <w:t>餘額為新臺幣5兆9,929億元，短期債務3,600億元，合計債務餘額6兆3,529億元，平均每人負擔債務為27.3萬元，除此之外，亦有潛藏債務問題。</w:t>
      </w:r>
    </w:p>
    <w:p w14:paraId="7521C159" w14:textId="77777777" w:rsidR="00201B77" w:rsidRPr="001B6E4D" w:rsidRDefault="00201B77" w:rsidP="003D1018">
      <w:pPr>
        <w:pStyle w:val="a"/>
        <w:numPr>
          <w:ilvl w:val="0"/>
          <w:numId w:val="0"/>
        </w:numPr>
        <w:overflowPunct w:val="0"/>
        <w:ind w:left="924" w:firstLineChars="200" w:firstLine="560"/>
      </w:pPr>
      <w:r w:rsidRPr="001B6E4D">
        <w:lastRenderedPageBreak/>
        <w:t>又，司法院媒體宣傳與法治教育宣導成效，無可資評估的具體成效報告，且與教育部、法務部法治教育宣導經費重複性甚高，司法</w:t>
      </w:r>
      <w:proofErr w:type="gramStart"/>
      <w:r w:rsidRPr="001B6E4D">
        <w:t>院媒宣費宜</w:t>
      </w:r>
      <w:proofErr w:type="gramEnd"/>
      <w:r w:rsidRPr="001B6E4D">
        <w:t>聚焦於審判本業。</w:t>
      </w:r>
      <w:proofErr w:type="gramStart"/>
      <w:r w:rsidRPr="001B6E4D">
        <w:t>115</w:t>
      </w:r>
      <w:proofErr w:type="gramEnd"/>
      <w:r w:rsidRPr="001B6E4D">
        <w:t>年</w:t>
      </w:r>
      <w:r w:rsidRPr="001B6E4D">
        <w:rPr>
          <w:rFonts w:hint="eastAsia"/>
        </w:rPr>
        <w:t>度一般行政</w:t>
      </w:r>
      <w:r w:rsidRPr="001B6E4D">
        <w:t>編列「媒體政策及業務宣導費」預算，較114年法定預算9400千元費，漲幅達223%，為</w:t>
      </w:r>
      <w:proofErr w:type="gramStart"/>
      <w:r w:rsidRPr="001B6E4D">
        <w:t>樽</w:t>
      </w:r>
      <w:proofErr w:type="gramEnd"/>
      <w:r w:rsidRPr="001B6E4D">
        <w:t>節經費，</w:t>
      </w:r>
      <w:proofErr w:type="gramStart"/>
      <w:r w:rsidRPr="001B6E4D">
        <w:t>爰</w:t>
      </w:r>
      <w:proofErr w:type="gramEnd"/>
      <w:r w:rsidRPr="001B6E4D">
        <w:t>減列該項預算1,500萬元。【12】</w:t>
      </w:r>
    </w:p>
    <w:p w14:paraId="2B03629A"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p>
    <w:p w14:paraId="3BEA7DBF"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連署人：許宇</w:t>
      </w:r>
      <w:proofErr w:type="gramStart"/>
      <w:r w:rsidRPr="001B6E4D">
        <w:rPr>
          <w:rFonts w:ascii="標楷體" w:eastAsia="標楷體" w:hAnsi="標楷體"/>
          <w:color w:val="000000"/>
          <w:sz w:val="28"/>
          <w:szCs w:val="28"/>
        </w:rPr>
        <w:t>甄</w:t>
      </w:r>
      <w:proofErr w:type="gramEnd"/>
      <w:r w:rsidRPr="001B6E4D">
        <w:rPr>
          <w:rFonts w:ascii="標楷體" w:eastAsia="標楷體" w:hAnsi="標楷體"/>
          <w:color w:val="000000"/>
          <w:sz w:val="28"/>
          <w:szCs w:val="28"/>
        </w:rPr>
        <w:t xml:space="preserve">　陳昭姿</w:t>
      </w:r>
    </w:p>
    <w:p w14:paraId="2DE6CD06" w14:textId="77777777" w:rsidR="00201B77" w:rsidRPr="001B6E4D" w:rsidRDefault="00201B77" w:rsidP="003D1018">
      <w:pPr>
        <w:pStyle w:val="a"/>
        <w:overflowPunct w:val="0"/>
        <w:ind w:left="924" w:hanging="567"/>
      </w:pPr>
      <w:proofErr w:type="gramStart"/>
      <w:r w:rsidRPr="001B6E4D">
        <w:t>115</w:t>
      </w:r>
      <w:proofErr w:type="gramEnd"/>
      <w:r w:rsidRPr="001B6E4D">
        <w:t>年度司法院預算案於第1目「一般行政」項下「基本行政工作維持」中「業務費」之「特別費」編列2,190千元，作為</w:t>
      </w:r>
      <w:proofErr w:type="gramStart"/>
      <w:r w:rsidRPr="001B6E4D">
        <w:t>喪</w:t>
      </w:r>
      <w:proofErr w:type="gramEnd"/>
      <w:r w:rsidRPr="001B6E4D">
        <w:t>喜慶之禮金及招待、</w:t>
      </w:r>
      <w:proofErr w:type="gramStart"/>
      <w:r w:rsidRPr="001B6E4D">
        <w:t>餽</w:t>
      </w:r>
      <w:proofErr w:type="gramEnd"/>
      <w:r w:rsidRPr="001B6E4D">
        <w:t>(捐)</w:t>
      </w:r>
      <w:proofErr w:type="gramStart"/>
      <w:r w:rsidRPr="001B6E4D">
        <w:t>贈及慰問</w:t>
      </w:r>
      <w:proofErr w:type="gramEnd"/>
      <w:r w:rsidRPr="001B6E4D">
        <w:t>等支出。</w:t>
      </w:r>
    </w:p>
    <w:p w14:paraId="0A542158" w14:textId="77777777" w:rsidR="00201B77" w:rsidRPr="001B6E4D" w:rsidRDefault="00201B77" w:rsidP="003D1018">
      <w:pPr>
        <w:pStyle w:val="a"/>
        <w:numPr>
          <w:ilvl w:val="0"/>
          <w:numId w:val="0"/>
        </w:numPr>
        <w:overflowPunct w:val="0"/>
        <w:ind w:left="924" w:firstLineChars="200" w:firstLine="560"/>
      </w:pPr>
      <w:proofErr w:type="gramStart"/>
      <w:r w:rsidRPr="001B6E4D">
        <w:t>115</w:t>
      </w:r>
      <w:proofErr w:type="gramEnd"/>
      <w:r w:rsidRPr="001B6E4D">
        <w:t>年度中央政府總預算債務舉借高達4千億元，已對教育、社會福利、交通建設與經濟發展等，造成嚴重的排擠效果，而</w:t>
      </w:r>
      <w:proofErr w:type="gramStart"/>
      <w:r w:rsidRPr="001B6E4D">
        <w:t>特別費非屬</w:t>
      </w:r>
      <w:proofErr w:type="gramEnd"/>
      <w:r w:rsidRPr="001B6E4D">
        <w:t>施政計畫執行之必要項目，</w:t>
      </w:r>
      <w:proofErr w:type="gramStart"/>
      <w:r w:rsidRPr="001B6E4D">
        <w:t>爰</w:t>
      </w:r>
      <w:proofErr w:type="gramEnd"/>
      <w:r w:rsidRPr="001B6E4D">
        <w:t>為</w:t>
      </w:r>
      <w:proofErr w:type="gramStart"/>
      <w:r w:rsidRPr="001B6E4D">
        <w:t>樽</w:t>
      </w:r>
      <w:proofErr w:type="gramEnd"/>
      <w:r w:rsidRPr="001B6E4D">
        <w:t>節經費，降低國家財政負擔，該項支出刪減50%，並凍結院長、副院長特別費(</w:t>
      </w:r>
      <w:r w:rsidRPr="001B6E4D">
        <w:rPr>
          <w:rFonts w:hint="eastAsia"/>
        </w:rPr>
        <w:t>74萬元</w:t>
      </w:r>
      <w:r w:rsidRPr="001B6E4D">
        <w:t>)，待新任院長、副院長就任後，</w:t>
      </w:r>
      <w:proofErr w:type="gramStart"/>
      <w:r w:rsidRPr="001B6E4D">
        <w:t>始予</w:t>
      </w:r>
      <w:r w:rsidRPr="001B6E4D">
        <w:rPr>
          <w:rFonts w:hint="eastAsia"/>
        </w:rPr>
        <w:t>動支</w:t>
      </w:r>
      <w:proofErr w:type="gramEnd"/>
      <w:r w:rsidRPr="001B6E4D">
        <w:t>。【17】</w:t>
      </w:r>
    </w:p>
    <w:p w14:paraId="588FEF5B"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p>
    <w:p w14:paraId="24DE4D5A"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連署人：許宇</w:t>
      </w:r>
      <w:proofErr w:type="gramStart"/>
      <w:r w:rsidRPr="001B6E4D">
        <w:rPr>
          <w:rFonts w:ascii="標楷體" w:eastAsia="標楷體" w:hAnsi="標楷體"/>
          <w:color w:val="000000"/>
          <w:sz w:val="28"/>
          <w:szCs w:val="28"/>
        </w:rPr>
        <w:t>甄</w:t>
      </w:r>
      <w:proofErr w:type="gramEnd"/>
      <w:r w:rsidRPr="001B6E4D">
        <w:rPr>
          <w:rFonts w:ascii="標楷體" w:eastAsia="標楷體" w:hAnsi="標楷體"/>
          <w:color w:val="000000"/>
          <w:sz w:val="28"/>
          <w:szCs w:val="28"/>
        </w:rPr>
        <w:t xml:space="preserve">　陳昭姿</w:t>
      </w:r>
    </w:p>
    <w:p w14:paraId="7F4A409F" w14:textId="77777777" w:rsidR="00201B77" w:rsidRPr="001B6E4D" w:rsidRDefault="00201B77" w:rsidP="003D1018">
      <w:pPr>
        <w:pStyle w:val="a"/>
        <w:overflowPunct w:val="0"/>
        <w:ind w:left="924" w:hanging="567"/>
      </w:pPr>
      <w:proofErr w:type="gramStart"/>
      <w:r w:rsidRPr="001B6E4D">
        <w:t>115</w:t>
      </w:r>
      <w:proofErr w:type="gramEnd"/>
      <w:r w:rsidRPr="001B6E4D">
        <w:t>年度司法院預算案於第2目「憲法訴訟業務」項下「辦理憲法訴訟審判業務」編列預算491萬6千元。</w:t>
      </w:r>
    </w:p>
    <w:p w14:paraId="5E9E062D" w14:textId="77777777" w:rsidR="00201B77" w:rsidRPr="001B6E4D" w:rsidRDefault="00201B77" w:rsidP="003D1018">
      <w:pPr>
        <w:pStyle w:val="a"/>
        <w:numPr>
          <w:ilvl w:val="0"/>
          <w:numId w:val="0"/>
        </w:numPr>
        <w:overflowPunct w:val="0"/>
        <w:ind w:left="924" w:firstLineChars="200" w:firstLine="560"/>
      </w:pPr>
      <w:r w:rsidRPr="001B6E4D">
        <w:t>依據《憲法訴訟法》規定，判決應經大法官現有總額三分之二以上參與評議，大法官現有總額過半數同意作成；參與評議之大法官人數不得低於十人。目前大法官現有人數八人，理應待人數補足後，方可做出憲法判決。</w:t>
      </w:r>
      <w:proofErr w:type="gramStart"/>
      <w:r w:rsidRPr="001B6E4D">
        <w:t>惟</w:t>
      </w:r>
      <w:proofErr w:type="gramEnd"/>
      <w:r w:rsidRPr="001B6E4D">
        <w:t>司法院五位大法官卻公然違背法律，做出憲法判決，僭越憲法賦予的權力，且有三名大法官拒絕參與評議，難以滿足審判組織的民主正當性，此舉已嚴重破壞了權力分立原則，將大法官的憲法審判權置於民主機制之上，</w:t>
      </w:r>
      <w:proofErr w:type="gramStart"/>
      <w:r w:rsidRPr="001B6E4D">
        <w:t>爰</w:t>
      </w:r>
      <w:proofErr w:type="gramEnd"/>
      <w:r w:rsidRPr="001B6E4D">
        <w:t>凍結該項預算70%，</w:t>
      </w:r>
      <w:proofErr w:type="gramStart"/>
      <w:r w:rsidRPr="001B6E4D">
        <w:t>俟</w:t>
      </w:r>
      <w:proofErr w:type="gramEnd"/>
      <w:r w:rsidRPr="001B6E4D">
        <w:t>大法官補足十人以上審議人數後，始得動支。【28】</w:t>
      </w:r>
    </w:p>
    <w:p w14:paraId="6F5FD445"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w:t>
      </w:r>
      <w:bookmarkStart w:id="476" w:name="_Hlk229996800"/>
      <w:r w:rsidRPr="001B6E4D">
        <w:rPr>
          <w:rFonts w:ascii="標楷體" w:eastAsia="標楷體" w:hAnsi="標楷體"/>
          <w:color w:val="000000"/>
          <w:sz w:val="28"/>
          <w:szCs w:val="28"/>
        </w:rPr>
        <w:t>翁曉玲</w:t>
      </w:r>
      <w:bookmarkEnd w:id="476"/>
    </w:p>
    <w:p w14:paraId="4A5F58CC"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連署人：許宇</w:t>
      </w:r>
      <w:proofErr w:type="gramStart"/>
      <w:r w:rsidRPr="001B6E4D">
        <w:rPr>
          <w:rFonts w:ascii="標楷體" w:eastAsia="標楷體" w:hAnsi="標楷體"/>
          <w:color w:val="000000"/>
          <w:sz w:val="28"/>
          <w:szCs w:val="28"/>
        </w:rPr>
        <w:t>甄</w:t>
      </w:r>
      <w:proofErr w:type="gramEnd"/>
      <w:r w:rsidRPr="001B6E4D">
        <w:rPr>
          <w:rFonts w:ascii="標楷體" w:eastAsia="標楷體" w:hAnsi="標楷體"/>
          <w:color w:val="000000"/>
          <w:sz w:val="28"/>
          <w:szCs w:val="28"/>
        </w:rPr>
        <w:t xml:space="preserve">　陳昭姿</w:t>
      </w:r>
    </w:p>
    <w:p w14:paraId="46DE5C28"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38</w:t>
      </w:r>
      <w:r w:rsidRPr="001B6E4D">
        <w:rPr>
          <w:rFonts w:ascii="標楷體" w:eastAsia="標楷體" w:hAnsi="標楷體"/>
          <w:b/>
          <w:bCs/>
          <w:sz w:val="28"/>
          <w:szCs w:val="28"/>
        </w:rPr>
        <w:t>項：</w:t>
      </w:r>
    </w:p>
    <w:p w14:paraId="5B824066" w14:textId="77777777" w:rsidR="00201B77" w:rsidRPr="001B6E4D" w:rsidRDefault="00201B77" w:rsidP="003D1018">
      <w:pPr>
        <w:pStyle w:val="a"/>
        <w:numPr>
          <w:ilvl w:val="0"/>
          <w:numId w:val="46"/>
        </w:numPr>
        <w:overflowPunct w:val="0"/>
        <w:ind w:left="924" w:hanging="567"/>
        <w:rPr>
          <w:color w:val="auto"/>
        </w:rPr>
      </w:pPr>
      <w:proofErr w:type="gramStart"/>
      <w:r w:rsidRPr="001B6E4D">
        <w:rPr>
          <w:color w:val="auto"/>
        </w:rPr>
        <w:t>115</w:t>
      </w:r>
      <w:proofErr w:type="gramEnd"/>
      <w:r w:rsidRPr="001B6E4D">
        <w:rPr>
          <w:color w:val="auto"/>
        </w:rPr>
        <w:t>年度</w:t>
      </w:r>
      <w:proofErr w:type="gramStart"/>
      <w:r w:rsidRPr="001B6E4D">
        <w:rPr>
          <w:color w:val="auto"/>
        </w:rPr>
        <w:t>司法院歲出</w:t>
      </w:r>
      <w:proofErr w:type="gramEnd"/>
      <w:r w:rsidRPr="001B6E4D">
        <w:rPr>
          <w:color w:val="auto"/>
        </w:rPr>
        <w:t>預算</w:t>
      </w:r>
      <w:r w:rsidRPr="001B6E4D">
        <w:rPr>
          <w:rFonts w:hint="eastAsia"/>
          <w:color w:val="auto"/>
        </w:rPr>
        <w:t>「媒體政策及業務宣導費」</w:t>
      </w:r>
      <w:r w:rsidRPr="001B6E4D">
        <w:rPr>
          <w:color w:val="auto"/>
        </w:rPr>
        <w:t>編列</w:t>
      </w:r>
      <w:r w:rsidRPr="001B6E4D">
        <w:rPr>
          <w:rFonts w:hint="eastAsia"/>
          <w:color w:val="auto"/>
        </w:rPr>
        <w:t>2,280萬元</w:t>
      </w:r>
      <w:r w:rsidRPr="001B6E4D">
        <w:rPr>
          <w:color w:val="auto"/>
        </w:rPr>
        <w:t>，凍結</w:t>
      </w:r>
      <w:r w:rsidRPr="001B6E4D">
        <w:rPr>
          <w:rFonts w:hint="eastAsia"/>
          <w:color w:val="auto"/>
        </w:rPr>
        <w:t>2</w:t>
      </w:r>
      <w:r w:rsidRPr="001B6E4D">
        <w:rPr>
          <w:color w:val="auto"/>
        </w:rPr>
        <w:t>28萬元，</w:t>
      </w:r>
      <w:proofErr w:type="gramStart"/>
      <w:r w:rsidRPr="001B6E4D">
        <w:rPr>
          <w:color w:val="auto"/>
        </w:rPr>
        <w:t>俟</w:t>
      </w:r>
      <w:proofErr w:type="gramEnd"/>
      <w:r w:rsidRPr="001B6E4D">
        <w:rPr>
          <w:color w:val="auto"/>
        </w:rPr>
        <w:t>向立法院司法及法制委員會提出書面報告後，始得動支。【1】</w:t>
      </w:r>
    </w:p>
    <w:p w14:paraId="2EED690A" w14:textId="77777777" w:rsidR="00201B77" w:rsidRPr="001B6E4D" w:rsidRDefault="00201B77" w:rsidP="003D1018">
      <w:pPr>
        <w:overflowPunct w:val="0"/>
        <w:snapToGrid w:val="0"/>
        <w:ind w:leftChars="1500" w:left="4776" w:hangingChars="420" w:hanging="1176"/>
        <w:jc w:val="both"/>
        <w:rPr>
          <w:rFonts w:ascii="標楷體" w:eastAsia="標楷體" w:hAnsi="標楷體"/>
          <w:sz w:val="28"/>
          <w:szCs w:val="28"/>
        </w:rPr>
      </w:pPr>
      <w:r w:rsidRPr="001B6E4D">
        <w:rPr>
          <w:rFonts w:ascii="標楷體" w:eastAsia="標楷體" w:hAnsi="標楷體"/>
          <w:sz w:val="28"/>
          <w:szCs w:val="28"/>
        </w:rPr>
        <w:t>提案人：</w:t>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 xml:space="preserve">　</w:t>
      </w:r>
    </w:p>
    <w:p w14:paraId="64E37242" w14:textId="77777777" w:rsidR="00201B77" w:rsidRPr="001B6E4D" w:rsidRDefault="00201B77" w:rsidP="003D1018">
      <w:pPr>
        <w:overflowPunct w:val="0"/>
        <w:snapToGrid w:val="0"/>
        <w:ind w:leftChars="1500" w:left="4776" w:hangingChars="420" w:hanging="1176"/>
        <w:jc w:val="both"/>
        <w:rPr>
          <w:rFonts w:ascii="標楷體" w:eastAsia="標楷體" w:hAnsi="標楷體"/>
          <w:sz w:val="28"/>
          <w:szCs w:val="28"/>
        </w:rPr>
      </w:pPr>
      <w:r w:rsidRPr="001B6E4D">
        <w:rPr>
          <w:rFonts w:ascii="標楷體" w:eastAsia="標楷體" w:hAnsi="標楷體"/>
          <w:sz w:val="28"/>
          <w:szCs w:val="28"/>
        </w:rPr>
        <w:t>連署人：</w:t>
      </w:r>
      <w:r w:rsidRPr="001B6E4D">
        <w:rPr>
          <w:rFonts w:ascii="標楷體" w:eastAsia="標楷體" w:hAnsi="標楷體" w:hint="eastAsia"/>
          <w:sz w:val="28"/>
          <w:szCs w:val="28"/>
        </w:rPr>
        <w:t>翁曉玲</w:t>
      </w:r>
      <w:r w:rsidRPr="001B6E4D">
        <w:rPr>
          <w:rFonts w:ascii="標楷體" w:eastAsia="標楷體" w:hAnsi="標楷體"/>
          <w:sz w:val="28"/>
          <w:szCs w:val="28"/>
        </w:rPr>
        <w:t xml:space="preserve">　</w:t>
      </w:r>
      <w:r w:rsidRPr="001B6E4D">
        <w:rPr>
          <w:rFonts w:ascii="標楷體" w:eastAsia="標楷體" w:hAnsi="標楷體" w:hint="eastAsia"/>
          <w:sz w:val="28"/>
          <w:szCs w:val="28"/>
        </w:rPr>
        <w:t>林沛祥</w:t>
      </w:r>
    </w:p>
    <w:p w14:paraId="04A32EB7" w14:textId="77777777" w:rsidR="00201B77" w:rsidRPr="001B6E4D" w:rsidRDefault="00201B77" w:rsidP="003D1018">
      <w:pPr>
        <w:pStyle w:val="affe"/>
        <w:widowControl w:val="0"/>
        <w:numPr>
          <w:ilvl w:val="0"/>
          <w:numId w:val="33"/>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sz w:val="28"/>
          <w:szCs w:val="28"/>
        </w:rPr>
        <w:lastRenderedPageBreak/>
        <w:t>115</w:t>
      </w:r>
      <w:proofErr w:type="gramEnd"/>
      <w:r w:rsidRPr="001B6E4D">
        <w:rPr>
          <w:rFonts w:ascii="標楷體" w:eastAsia="標楷體" w:hAnsi="標楷體"/>
          <w:sz w:val="28"/>
          <w:szCs w:val="28"/>
        </w:rPr>
        <w:t>年度</w:t>
      </w:r>
      <w:proofErr w:type="gramStart"/>
      <w:r w:rsidRPr="001B6E4D">
        <w:rPr>
          <w:rFonts w:ascii="標楷體" w:eastAsia="標楷體" w:hAnsi="標楷體"/>
          <w:sz w:val="28"/>
          <w:szCs w:val="28"/>
        </w:rPr>
        <w:t>司法院歲出</w:t>
      </w:r>
      <w:proofErr w:type="gramEnd"/>
      <w:r w:rsidRPr="001B6E4D">
        <w:rPr>
          <w:rFonts w:ascii="標楷體" w:eastAsia="標楷體" w:hAnsi="標楷體"/>
          <w:sz w:val="28"/>
          <w:szCs w:val="28"/>
        </w:rPr>
        <w:t>預算</w:t>
      </w:r>
      <w:r w:rsidRPr="001B6E4D">
        <w:rPr>
          <w:rFonts w:ascii="標楷體" w:eastAsia="標楷體" w:hAnsi="標楷體" w:hint="eastAsia"/>
          <w:sz w:val="28"/>
          <w:szCs w:val="28"/>
        </w:rPr>
        <w:t>於「非以人事費支付之『勞務承攬』」</w:t>
      </w:r>
      <w:r w:rsidRPr="001B6E4D">
        <w:rPr>
          <w:rFonts w:ascii="標楷體" w:eastAsia="標楷體" w:hAnsi="標楷體"/>
          <w:sz w:val="28"/>
          <w:szCs w:val="28"/>
        </w:rPr>
        <w:t>編列</w:t>
      </w:r>
      <w:r w:rsidRPr="001B6E4D">
        <w:rPr>
          <w:rFonts w:ascii="標楷體" w:eastAsia="標楷體" w:hAnsi="標楷體" w:hint="eastAsia"/>
          <w:sz w:val="28"/>
          <w:szCs w:val="28"/>
        </w:rPr>
        <w:t>9,158萬8千元</w:t>
      </w:r>
      <w:r w:rsidRPr="001B6E4D">
        <w:rPr>
          <w:rFonts w:ascii="標楷體" w:eastAsia="標楷體" w:hAnsi="標楷體"/>
          <w:sz w:val="28"/>
          <w:szCs w:val="28"/>
        </w:rPr>
        <w:t>，凍結</w:t>
      </w:r>
      <w:r w:rsidRPr="001B6E4D">
        <w:rPr>
          <w:rFonts w:ascii="標楷體" w:eastAsia="標楷體" w:hAnsi="標楷體" w:hint="eastAsia"/>
          <w:sz w:val="28"/>
          <w:szCs w:val="28"/>
        </w:rPr>
        <w:t>457萬9千</w:t>
      </w:r>
      <w:r w:rsidRPr="001B6E4D">
        <w:rPr>
          <w:rFonts w:ascii="標楷體" w:eastAsia="標楷體" w:hAnsi="標楷體"/>
          <w:sz w:val="28"/>
          <w:szCs w:val="28"/>
        </w:rPr>
        <w:t>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向立法院司法及法制委員會提出書面報告後，始得動支。</w:t>
      </w:r>
      <w:bookmarkStart w:id="477" w:name="_Hlk230013989"/>
      <w:r w:rsidRPr="001B6E4D">
        <w:rPr>
          <w:rFonts w:ascii="標楷體" w:eastAsia="標楷體" w:hAnsi="標楷體"/>
          <w:color w:val="000000"/>
          <w:sz w:val="28"/>
          <w:szCs w:val="28"/>
        </w:rPr>
        <w:t>【3】</w:t>
      </w:r>
      <w:bookmarkEnd w:id="477"/>
    </w:p>
    <w:p w14:paraId="0343C2B4"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bookmarkStart w:id="478" w:name="_Hlk230014016"/>
      <w:r w:rsidRPr="001B6E4D">
        <w:rPr>
          <w:rFonts w:ascii="標楷體" w:eastAsia="標楷體" w:hAnsi="標楷體"/>
          <w:color w:val="000000"/>
          <w:sz w:val="28"/>
          <w:szCs w:val="28"/>
        </w:rPr>
        <w:t>提案人：翁曉玲</w:t>
      </w:r>
    </w:p>
    <w:p w14:paraId="59912AE9"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bookmarkStart w:id="479" w:name="_Hlk230014693"/>
      <w:r w:rsidRPr="001B6E4D">
        <w:rPr>
          <w:rFonts w:ascii="標楷體" w:eastAsia="標楷體" w:hAnsi="標楷體"/>
          <w:color w:val="000000"/>
          <w:sz w:val="28"/>
          <w:szCs w:val="28"/>
        </w:rPr>
        <w:t>許宇</w:t>
      </w:r>
      <w:proofErr w:type="gramStart"/>
      <w:r w:rsidRPr="001B6E4D">
        <w:rPr>
          <w:rFonts w:ascii="標楷體" w:eastAsia="標楷體" w:hAnsi="標楷體"/>
          <w:color w:val="000000"/>
          <w:sz w:val="28"/>
          <w:szCs w:val="28"/>
        </w:rPr>
        <w:t>甄</w:t>
      </w:r>
      <w:bookmarkEnd w:id="479"/>
      <w:proofErr w:type="gramEnd"/>
      <w:r w:rsidRPr="001B6E4D">
        <w:rPr>
          <w:rFonts w:ascii="標楷體" w:eastAsia="標楷體" w:hAnsi="標楷體"/>
          <w:color w:val="000000"/>
          <w:sz w:val="28"/>
          <w:szCs w:val="28"/>
        </w:rPr>
        <w:t xml:space="preserve">　陳昭姿</w:t>
      </w:r>
    </w:p>
    <w:bookmarkEnd w:id="478"/>
    <w:p w14:paraId="31281D57" w14:textId="77777777" w:rsidR="00201B77" w:rsidRPr="001B6E4D" w:rsidRDefault="00201B77" w:rsidP="003D1018">
      <w:pPr>
        <w:pStyle w:val="affe"/>
        <w:widowControl w:val="0"/>
        <w:numPr>
          <w:ilvl w:val="0"/>
          <w:numId w:val="33"/>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hint="eastAsia"/>
          <w:color w:val="000000"/>
          <w:sz w:val="28"/>
          <w:szCs w:val="28"/>
        </w:rPr>
        <w:t>115</w:t>
      </w:r>
      <w:proofErr w:type="gramEnd"/>
      <w:r w:rsidRPr="001B6E4D">
        <w:rPr>
          <w:rFonts w:ascii="標楷體" w:eastAsia="標楷體" w:hAnsi="標楷體" w:hint="eastAsia"/>
          <w:color w:val="000000"/>
          <w:sz w:val="28"/>
          <w:szCs w:val="28"/>
        </w:rPr>
        <w:t>年度</w:t>
      </w:r>
      <w:proofErr w:type="gramStart"/>
      <w:r w:rsidRPr="001B6E4D">
        <w:rPr>
          <w:rFonts w:ascii="標楷體" w:eastAsia="標楷體" w:hAnsi="標楷體" w:hint="eastAsia"/>
          <w:color w:val="000000"/>
          <w:sz w:val="28"/>
          <w:szCs w:val="28"/>
        </w:rPr>
        <w:t>司法院歲出</w:t>
      </w:r>
      <w:proofErr w:type="gramEnd"/>
      <w:r w:rsidRPr="001B6E4D">
        <w:rPr>
          <w:rFonts w:ascii="標楷體" w:eastAsia="標楷體" w:hAnsi="標楷體" w:hint="eastAsia"/>
          <w:color w:val="000000"/>
          <w:sz w:val="28"/>
          <w:szCs w:val="28"/>
        </w:rPr>
        <w:t>預算第1目「一般行政」編列17億6,154萬元</w:t>
      </w:r>
      <w:bookmarkStart w:id="480" w:name="_Hlk230029699"/>
      <w:r w:rsidRPr="001B6E4D">
        <w:rPr>
          <w:rFonts w:ascii="標楷體" w:eastAsia="標楷體" w:hAnsi="標楷體" w:hint="eastAsia"/>
          <w:color w:val="000000"/>
          <w:sz w:val="28"/>
          <w:szCs w:val="28"/>
        </w:rPr>
        <w:t>，凍結1</w:t>
      </w:r>
      <w:r w:rsidRPr="001B6E4D">
        <w:rPr>
          <w:rFonts w:ascii="標楷體" w:eastAsia="標楷體" w:hAnsi="標楷體"/>
          <w:color w:val="000000"/>
          <w:sz w:val="28"/>
          <w:szCs w:val="28"/>
        </w:rPr>
        <w:t>,177</w:t>
      </w:r>
      <w:r w:rsidRPr="001B6E4D">
        <w:rPr>
          <w:rFonts w:ascii="標楷體" w:eastAsia="標楷體" w:hAnsi="標楷體" w:hint="eastAsia"/>
          <w:color w:val="000000"/>
          <w:sz w:val="28"/>
          <w:szCs w:val="28"/>
        </w:rPr>
        <w:t>萬5千元，</w:t>
      </w:r>
      <w:bookmarkStart w:id="481" w:name="_Hlk230015249"/>
      <w:proofErr w:type="gramStart"/>
      <w:r w:rsidRPr="001B6E4D">
        <w:rPr>
          <w:rFonts w:ascii="標楷體" w:eastAsia="標楷體" w:hAnsi="標楷體" w:hint="eastAsia"/>
          <w:color w:val="000000"/>
          <w:sz w:val="28"/>
          <w:szCs w:val="28"/>
        </w:rPr>
        <w:t>俟</w:t>
      </w:r>
      <w:proofErr w:type="gramEnd"/>
      <w:r w:rsidRPr="001B6E4D">
        <w:rPr>
          <w:rFonts w:ascii="標楷體" w:eastAsia="標楷體" w:hAnsi="標楷體" w:hint="eastAsia"/>
          <w:color w:val="000000"/>
          <w:sz w:val="28"/>
          <w:szCs w:val="28"/>
        </w:rPr>
        <w:t>向立法院司法及法制委員會提出書面報告後，始得動支。</w:t>
      </w:r>
      <w:bookmarkStart w:id="482" w:name="_Hlk230015008"/>
      <w:bookmarkEnd w:id="481"/>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16、21、23</w:t>
      </w:r>
      <w:r w:rsidRPr="001B6E4D">
        <w:rPr>
          <w:rFonts w:ascii="標楷體" w:eastAsia="標楷體" w:hAnsi="標楷體"/>
          <w:color w:val="000000"/>
          <w:sz w:val="28"/>
          <w:szCs w:val="28"/>
        </w:rPr>
        <w:t>】</w:t>
      </w:r>
      <w:bookmarkEnd w:id="480"/>
      <w:bookmarkEnd w:id="482"/>
    </w:p>
    <w:p w14:paraId="6AFA6446"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提案人：吳宗憲</w:t>
      </w:r>
      <w:bookmarkStart w:id="483" w:name="_Hlk230015102"/>
      <w:r w:rsidRPr="001B6E4D">
        <w:rPr>
          <w:rFonts w:ascii="標楷體" w:eastAsia="標楷體" w:hAnsi="標楷體" w:hint="eastAsia"/>
          <w:color w:val="000000"/>
          <w:sz w:val="28"/>
          <w:szCs w:val="28"/>
        </w:rPr>
        <w:t xml:space="preserve"> 許宇</w:t>
      </w:r>
      <w:proofErr w:type="gramStart"/>
      <w:r w:rsidRPr="001B6E4D">
        <w:rPr>
          <w:rFonts w:ascii="標楷體" w:eastAsia="標楷體" w:hAnsi="標楷體" w:hint="eastAsia"/>
          <w:color w:val="000000"/>
          <w:sz w:val="28"/>
          <w:szCs w:val="28"/>
        </w:rPr>
        <w:t>甄</w:t>
      </w:r>
      <w:bookmarkEnd w:id="483"/>
      <w:proofErr w:type="gramEnd"/>
    </w:p>
    <w:p w14:paraId="22E5D12F"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bookmarkStart w:id="484" w:name="_Hlk230015113"/>
      <w:r w:rsidRPr="001B6E4D">
        <w:rPr>
          <w:rFonts w:ascii="標楷體" w:eastAsia="標楷體" w:hAnsi="標楷體"/>
          <w:color w:val="000000"/>
          <w:sz w:val="28"/>
          <w:szCs w:val="28"/>
        </w:rPr>
        <w:t>連署人：</w:t>
      </w:r>
      <w:r w:rsidRPr="001B6E4D">
        <w:rPr>
          <w:rFonts w:ascii="標楷體" w:eastAsia="標楷體" w:hAnsi="標楷體"/>
          <w:color w:val="000000"/>
          <w:spacing w:val="-14"/>
          <w:sz w:val="28"/>
          <w:szCs w:val="28"/>
        </w:rPr>
        <w:t xml:space="preserve">林沛祥　陳昭姿　羅智強　</w:t>
      </w:r>
      <w:r w:rsidRPr="001B6E4D">
        <w:rPr>
          <w:rFonts w:ascii="標楷體" w:eastAsia="標楷體" w:hAnsi="標楷體" w:hint="eastAsia"/>
          <w:color w:val="000000"/>
          <w:spacing w:val="-14"/>
          <w:sz w:val="28"/>
          <w:szCs w:val="28"/>
        </w:rPr>
        <w:t>翁曉玲</w:t>
      </w:r>
    </w:p>
    <w:bookmarkEnd w:id="484"/>
    <w:p w14:paraId="6596C65F" w14:textId="77777777" w:rsidR="00201B77" w:rsidRPr="001B6E4D" w:rsidRDefault="00201B77" w:rsidP="003D1018">
      <w:pPr>
        <w:pStyle w:val="affe"/>
        <w:widowControl w:val="0"/>
        <w:numPr>
          <w:ilvl w:val="0"/>
          <w:numId w:val="33"/>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w:t>
      </w:r>
      <w:proofErr w:type="gramStart"/>
      <w:r w:rsidRPr="001B6E4D">
        <w:rPr>
          <w:rFonts w:ascii="標楷體" w:eastAsia="標楷體" w:hAnsi="標楷體"/>
          <w:color w:val="000000"/>
          <w:sz w:val="28"/>
          <w:szCs w:val="28"/>
        </w:rPr>
        <w:t>司法院歲出</w:t>
      </w:r>
      <w:proofErr w:type="gramEnd"/>
      <w:r w:rsidRPr="001B6E4D">
        <w:rPr>
          <w:rFonts w:ascii="標楷體" w:eastAsia="標楷體" w:hAnsi="標楷體"/>
          <w:color w:val="000000"/>
          <w:sz w:val="28"/>
          <w:szCs w:val="28"/>
        </w:rPr>
        <w:t>預算第3目「審判行政」編列 1億0,693萬2千</w:t>
      </w:r>
      <w:r w:rsidRPr="001B6E4D">
        <w:rPr>
          <w:rFonts w:ascii="標楷體" w:eastAsia="標楷體" w:hAnsi="標楷體" w:hint="eastAsia"/>
          <w:color w:val="000000"/>
          <w:sz w:val="28"/>
          <w:szCs w:val="28"/>
        </w:rPr>
        <w:t>元</w:t>
      </w:r>
      <w:r w:rsidRPr="001B6E4D">
        <w:rPr>
          <w:rFonts w:ascii="標楷體" w:eastAsia="標楷體" w:hAnsi="標楷體"/>
          <w:color w:val="000000"/>
          <w:sz w:val="28"/>
          <w:szCs w:val="28"/>
        </w:rPr>
        <w:t>，凍結</w:t>
      </w:r>
      <w:r w:rsidRPr="001B6E4D">
        <w:rPr>
          <w:rFonts w:ascii="標楷體" w:eastAsia="標楷體" w:hAnsi="標楷體" w:hint="eastAsia"/>
          <w:color w:val="000000"/>
          <w:sz w:val="28"/>
          <w:szCs w:val="28"/>
        </w:rPr>
        <w:t>390</w:t>
      </w:r>
      <w:r w:rsidRPr="001B6E4D">
        <w:rPr>
          <w:rFonts w:ascii="標楷體" w:eastAsia="標楷體" w:hAnsi="標楷體"/>
          <w:color w:val="000000"/>
          <w:sz w:val="28"/>
          <w:szCs w:val="28"/>
        </w:rPr>
        <w:t>萬</w:t>
      </w:r>
      <w:r w:rsidRPr="001B6E4D">
        <w:rPr>
          <w:rFonts w:ascii="標楷體" w:eastAsia="標楷體" w:hAnsi="標楷體" w:hint="eastAsia"/>
          <w:color w:val="000000"/>
          <w:sz w:val="28"/>
          <w:szCs w:val="28"/>
        </w:rPr>
        <w:t>7千</w:t>
      </w:r>
      <w:r w:rsidRPr="001B6E4D">
        <w:rPr>
          <w:rFonts w:ascii="標楷體" w:eastAsia="標楷體" w:hAnsi="標楷體"/>
          <w:color w:val="000000"/>
          <w:sz w:val="28"/>
          <w:szCs w:val="28"/>
        </w:rPr>
        <w:t>元，</w:t>
      </w:r>
      <w:bookmarkStart w:id="485" w:name="_Hlk230015230"/>
      <w:proofErr w:type="gramStart"/>
      <w:r w:rsidRPr="001B6E4D">
        <w:rPr>
          <w:rFonts w:ascii="標楷體" w:eastAsia="標楷體" w:hAnsi="標楷體" w:hint="eastAsia"/>
          <w:color w:val="000000"/>
          <w:sz w:val="28"/>
          <w:szCs w:val="28"/>
        </w:rPr>
        <w:t>俟</w:t>
      </w:r>
      <w:proofErr w:type="gramEnd"/>
      <w:r w:rsidRPr="001B6E4D">
        <w:rPr>
          <w:rFonts w:ascii="標楷體" w:eastAsia="標楷體" w:hAnsi="標楷體" w:hint="eastAsia"/>
          <w:color w:val="000000"/>
          <w:sz w:val="28"/>
          <w:szCs w:val="28"/>
        </w:rPr>
        <w:t>向立法院司法及法制委員會提出書面報告後，始得動支。</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29-31、33</w:t>
      </w:r>
      <w:r w:rsidRPr="001B6E4D">
        <w:rPr>
          <w:rFonts w:ascii="標楷體" w:eastAsia="標楷體" w:hAnsi="標楷體"/>
          <w:color w:val="000000"/>
          <w:sz w:val="28"/>
          <w:szCs w:val="28"/>
        </w:rPr>
        <w:t>】</w:t>
      </w:r>
      <w:bookmarkEnd w:id="485"/>
    </w:p>
    <w:p w14:paraId="64452398"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w:t>
      </w:r>
      <w:r w:rsidRPr="001B6E4D">
        <w:rPr>
          <w:rFonts w:ascii="標楷體" w:eastAsia="標楷體" w:hAnsi="標楷體"/>
          <w:color w:val="000000"/>
          <w:spacing w:val="-14"/>
          <w:sz w:val="28"/>
          <w:szCs w:val="28"/>
        </w:rPr>
        <w:t>吳宗憲</w:t>
      </w:r>
      <w:r w:rsidRPr="001B6E4D">
        <w:rPr>
          <w:rFonts w:ascii="標楷體" w:eastAsia="標楷體" w:hAnsi="標楷體" w:hint="eastAsia"/>
          <w:color w:val="000000"/>
          <w:spacing w:val="-14"/>
          <w:sz w:val="28"/>
          <w:szCs w:val="28"/>
        </w:rPr>
        <w:t xml:space="preserve">　</w:t>
      </w:r>
      <w:r w:rsidRPr="001B6E4D">
        <w:rPr>
          <w:rFonts w:ascii="標楷體" w:eastAsia="標楷體" w:hAnsi="標楷體"/>
          <w:color w:val="000000"/>
          <w:spacing w:val="-14"/>
          <w:sz w:val="28"/>
          <w:szCs w:val="28"/>
        </w:rPr>
        <w:t xml:space="preserve">陳昭姿　</w:t>
      </w:r>
      <w:r w:rsidRPr="001B6E4D">
        <w:rPr>
          <w:rFonts w:ascii="標楷體" w:eastAsia="標楷體" w:hAnsi="標楷體" w:hint="eastAsia"/>
          <w:color w:val="000000"/>
          <w:spacing w:val="-14"/>
          <w:sz w:val="28"/>
          <w:szCs w:val="28"/>
        </w:rPr>
        <w:t>許宇</w:t>
      </w:r>
      <w:proofErr w:type="gramStart"/>
      <w:r w:rsidRPr="001B6E4D">
        <w:rPr>
          <w:rFonts w:ascii="標楷體" w:eastAsia="標楷體" w:hAnsi="標楷體" w:hint="eastAsia"/>
          <w:color w:val="000000"/>
          <w:spacing w:val="-14"/>
          <w:sz w:val="28"/>
          <w:szCs w:val="28"/>
        </w:rPr>
        <w:t>甄</w:t>
      </w:r>
      <w:proofErr w:type="gramEnd"/>
      <w:r w:rsidRPr="001B6E4D">
        <w:rPr>
          <w:rFonts w:ascii="標楷體" w:eastAsia="標楷體" w:hAnsi="標楷體" w:hint="eastAsia"/>
          <w:color w:val="000000"/>
          <w:spacing w:val="-14"/>
          <w:sz w:val="28"/>
          <w:szCs w:val="28"/>
        </w:rPr>
        <w:t xml:space="preserve">　翁曉玲</w:t>
      </w:r>
    </w:p>
    <w:p w14:paraId="4B736C70"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連署人：林沛祥</w:t>
      </w: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羅智強</w:t>
      </w:r>
    </w:p>
    <w:p w14:paraId="2613E5F2" w14:textId="77777777" w:rsidR="00201B77" w:rsidRPr="001B6E4D" w:rsidRDefault="00201B77" w:rsidP="003D1018">
      <w:pPr>
        <w:pStyle w:val="affe"/>
        <w:widowControl w:val="0"/>
        <w:numPr>
          <w:ilvl w:val="0"/>
          <w:numId w:val="33"/>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w:t>
      </w:r>
      <w:proofErr w:type="gramStart"/>
      <w:r w:rsidRPr="001B6E4D">
        <w:rPr>
          <w:rFonts w:ascii="標楷體" w:eastAsia="標楷體" w:hAnsi="標楷體"/>
          <w:color w:val="000000"/>
          <w:sz w:val="28"/>
          <w:szCs w:val="28"/>
        </w:rPr>
        <w:t>司法院歲出</w:t>
      </w:r>
      <w:proofErr w:type="gramEnd"/>
      <w:r w:rsidRPr="001B6E4D">
        <w:rPr>
          <w:rFonts w:ascii="標楷體" w:eastAsia="標楷體" w:hAnsi="標楷體"/>
          <w:color w:val="000000"/>
          <w:sz w:val="28"/>
          <w:szCs w:val="28"/>
        </w:rPr>
        <w:t>預算第4目「司法業務規劃研考」編列 1,201萬7千</w:t>
      </w:r>
      <w:r w:rsidRPr="001B6E4D">
        <w:rPr>
          <w:rFonts w:ascii="標楷體" w:eastAsia="標楷體" w:hAnsi="標楷體" w:hint="eastAsia"/>
          <w:color w:val="000000"/>
          <w:sz w:val="28"/>
          <w:szCs w:val="28"/>
        </w:rPr>
        <w:t>元</w:t>
      </w:r>
      <w:r w:rsidRPr="001B6E4D">
        <w:rPr>
          <w:rFonts w:ascii="標楷體" w:eastAsia="標楷體" w:hAnsi="標楷體"/>
          <w:color w:val="000000"/>
          <w:sz w:val="28"/>
          <w:szCs w:val="28"/>
        </w:rPr>
        <w:t>，凍結</w:t>
      </w:r>
      <w:r w:rsidRPr="001B6E4D">
        <w:rPr>
          <w:rFonts w:ascii="標楷體" w:eastAsia="標楷體" w:hAnsi="標楷體" w:hint="eastAsia"/>
          <w:color w:val="000000"/>
          <w:sz w:val="28"/>
          <w:szCs w:val="28"/>
        </w:rPr>
        <w:t>10</w:t>
      </w:r>
      <w:r w:rsidRPr="001B6E4D">
        <w:rPr>
          <w:rFonts w:ascii="標楷體" w:eastAsia="標楷體" w:hAnsi="標楷體"/>
          <w:color w:val="000000"/>
          <w:sz w:val="28"/>
          <w:szCs w:val="28"/>
        </w:rPr>
        <w:t>萬</w:t>
      </w:r>
      <w:r w:rsidRPr="001B6E4D">
        <w:rPr>
          <w:rFonts w:ascii="標楷體" w:eastAsia="標楷體" w:hAnsi="標楷體" w:hint="eastAsia"/>
          <w:color w:val="000000"/>
          <w:sz w:val="28"/>
          <w:szCs w:val="28"/>
        </w:rPr>
        <w:t>2千</w:t>
      </w:r>
      <w:r w:rsidRPr="001B6E4D">
        <w:rPr>
          <w:rFonts w:ascii="標楷體" w:eastAsia="標楷體" w:hAnsi="標楷體"/>
          <w:color w:val="000000"/>
          <w:sz w:val="28"/>
          <w:szCs w:val="28"/>
        </w:rPr>
        <w:t>元，</w:t>
      </w:r>
      <w:proofErr w:type="gramStart"/>
      <w:r w:rsidRPr="001B6E4D">
        <w:rPr>
          <w:rFonts w:ascii="標楷體" w:eastAsia="標楷體" w:hAnsi="標楷體"/>
          <w:color w:val="000000"/>
          <w:sz w:val="28"/>
          <w:szCs w:val="28"/>
        </w:rPr>
        <w:t>俟</w:t>
      </w:r>
      <w:proofErr w:type="gramEnd"/>
      <w:r w:rsidRPr="001B6E4D">
        <w:rPr>
          <w:rFonts w:ascii="標楷體" w:eastAsia="標楷體" w:hAnsi="標楷體"/>
          <w:color w:val="000000"/>
          <w:sz w:val="28"/>
          <w:szCs w:val="28"/>
        </w:rPr>
        <w:t>向立法院司法及法制委員會提出</w:t>
      </w:r>
      <w:r w:rsidRPr="001B6E4D">
        <w:rPr>
          <w:rFonts w:ascii="標楷體" w:eastAsia="標楷體" w:hAnsi="標楷體" w:hint="eastAsia"/>
          <w:color w:val="000000"/>
          <w:sz w:val="28"/>
          <w:szCs w:val="28"/>
        </w:rPr>
        <w:t>專案</w:t>
      </w:r>
      <w:r w:rsidRPr="001B6E4D">
        <w:rPr>
          <w:rFonts w:ascii="標楷體" w:eastAsia="標楷體" w:hAnsi="標楷體"/>
          <w:color w:val="000000"/>
          <w:sz w:val="28"/>
          <w:szCs w:val="28"/>
        </w:rPr>
        <w:t>報告</w:t>
      </w:r>
      <w:r w:rsidRPr="001B6E4D">
        <w:rPr>
          <w:rFonts w:ascii="標楷體" w:eastAsia="標楷體" w:hAnsi="標楷體" w:hint="eastAsia"/>
          <w:color w:val="000000"/>
          <w:sz w:val="28"/>
          <w:szCs w:val="28"/>
        </w:rPr>
        <w:t>，經同意</w:t>
      </w:r>
      <w:r w:rsidRPr="001B6E4D">
        <w:rPr>
          <w:rFonts w:ascii="標楷體" w:eastAsia="標楷體" w:hAnsi="標楷體"/>
          <w:color w:val="000000"/>
          <w:sz w:val="28"/>
          <w:szCs w:val="28"/>
        </w:rPr>
        <w:t>後，始得動支。【</w:t>
      </w:r>
      <w:r w:rsidRPr="001B6E4D">
        <w:rPr>
          <w:rFonts w:ascii="標楷體" w:eastAsia="標楷體" w:hAnsi="標楷體" w:hint="eastAsia"/>
          <w:color w:val="000000"/>
          <w:sz w:val="28"/>
          <w:szCs w:val="28"/>
        </w:rPr>
        <w:t>36</w:t>
      </w:r>
      <w:r w:rsidRPr="001B6E4D">
        <w:rPr>
          <w:rFonts w:ascii="標楷體" w:eastAsia="標楷體" w:hAnsi="標楷體"/>
          <w:color w:val="000000"/>
          <w:sz w:val="28"/>
          <w:szCs w:val="28"/>
        </w:rPr>
        <w:t>】</w:t>
      </w:r>
    </w:p>
    <w:p w14:paraId="646945E9"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35ABE30C"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1E321050" w14:textId="77777777" w:rsidR="00201B77" w:rsidRPr="001B6E4D" w:rsidRDefault="00201B77" w:rsidP="003D1018">
      <w:pPr>
        <w:pStyle w:val="affe"/>
        <w:widowControl w:val="0"/>
        <w:numPr>
          <w:ilvl w:val="0"/>
          <w:numId w:val="33"/>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hint="eastAsia"/>
          <w:color w:val="000000"/>
          <w:sz w:val="28"/>
          <w:szCs w:val="28"/>
        </w:rPr>
        <w:t>115</w:t>
      </w:r>
      <w:proofErr w:type="gramEnd"/>
      <w:r w:rsidRPr="001B6E4D">
        <w:rPr>
          <w:rFonts w:ascii="標楷體" w:eastAsia="標楷體" w:hAnsi="標楷體" w:hint="eastAsia"/>
          <w:color w:val="000000"/>
          <w:sz w:val="28"/>
          <w:szCs w:val="28"/>
        </w:rPr>
        <w:t>年度</w:t>
      </w:r>
      <w:proofErr w:type="gramStart"/>
      <w:r w:rsidRPr="001B6E4D">
        <w:rPr>
          <w:rFonts w:ascii="標楷體" w:eastAsia="標楷體" w:hAnsi="標楷體" w:hint="eastAsia"/>
          <w:color w:val="000000"/>
          <w:sz w:val="28"/>
          <w:szCs w:val="28"/>
        </w:rPr>
        <w:t>司法院歲出</w:t>
      </w:r>
      <w:proofErr w:type="gramEnd"/>
      <w:r w:rsidRPr="001B6E4D">
        <w:rPr>
          <w:rFonts w:ascii="標楷體" w:eastAsia="標楷體" w:hAnsi="標楷體" w:hint="eastAsia"/>
          <w:color w:val="000000"/>
          <w:sz w:val="28"/>
          <w:szCs w:val="28"/>
        </w:rPr>
        <w:t>預算第7目「對財團法人法律扶助基金會捐助」編列 14億8,977萬1千元，凍結1億4,897萬7千元，</w:t>
      </w:r>
      <w:proofErr w:type="gramStart"/>
      <w:r w:rsidRPr="001B6E4D">
        <w:rPr>
          <w:rFonts w:ascii="標楷體" w:eastAsia="標楷體" w:hAnsi="標楷體" w:hint="eastAsia"/>
          <w:color w:val="000000"/>
          <w:sz w:val="28"/>
          <w:szCs w:val="28"/>
        </w:rPr>
        <w:t>俟</w:t>
      </w:r>
      <w:proofErr w:type="gramEnd"/>
      <w:r w:rsidRPr="001B6E4D">
        <w:rPr>
          <w:rFonts w:ascii="標楷體" w:eastAsia="標楷體" w:hAnsi="標楷體" w:hint="eastAsia"/>
          <w:color w:val="000000"/>
          <w:sz w:val="28"/>
          <w:szCs w:val="28"/>
        </w:rPr>
        <w:t>向立法院司法及法制委員會提出書面報告後，始得動支。【37、38】</w:t>
      </w:r>
    </w:p>
    <w:p w14:paraId="01A8957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r w:rsidRPr="001B6E4D">
        <w:rPr>
          <w:rFonts w:ascii="標楷體" w:eastAsia="標楷體" w:hAnsi="標楷體" w:hint="eastAsia"/>
          <w:color w:val="000000"/>
          <w:sz w:val="28"/>
          <w:szCs w:val="28"/>
        </w:rPr>
        <w:t xml:space="preserve"> 沈發惠　</w:t>
      </w:r>
    </w:p>
    <w:p w14:paraId="3B79FBB9"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伍麗華</w:t>
      </w:r>
      <w:proofErr w:type="spellStart"/>
      <w:r w:rsidRPr="001B6E4D">
        <w:rPr>
          <w:rFonts w:ascii="標楷體" w:eastAsia="標楷體" w:hAnsi="標楷體" w:hint="eastAsia"/>
          <w:color w:val="000000"/>
          <w:spacing w:val="-20"/>
          <w:sz w:val="28"/>
          <w:szCs w:val="28"/>
        </w:rPr>
        <w:t>Saidhai</w:t>
      </w:r>
      <w:proofErr w:type="spellEnd"/>
      <w:r w:rsidRPr="001B6E4D">
        <w:rPr>
          <w:rFonts w:ascii="標楷體" w:eastAsia="標楷體" w:hAnsi="標楷體" w:hint="eastAsia"/>
          <w:color w:val="000000"/>
          <w:spacing w:val="-20"/>
          <w:sz w:val="28"/>
          <w:szCs w:val="28"/>
        </w:rPr>
        <w:t>．</w:t>
      </w:r>
      <w:proofErr w:type="spellStart"/>
      <w:r w:rsidRPr="001B6E4D">
        <w:rPr>
          <w:rFonts w:ascii="標楷體" w:eastAsia="標楷體" w:hAnsi="標楷體" w:hint="eastAsia"/>
          <w:color w:val="000000"/>
          <w:spacing w:val="-20"/>
          <w:sz w:val="28"/>
          <w:szCs w:val="28"/>
        </w:rPr>
        <w:t>Tahovecahe</w:t>
      </w:r>
      <w:proofErr w:type="spellEnd"/>
    </w:p>
    <w:p w14:paraId="51BAC2B9"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r w:rsidRPr="001B6E4D">
        <w:rPr>
          <w:rFonts w:ascii="標楷體" w:eastAsia="標楷體" w:hAnsi="標楷體"/>
          <w:color w:val="000000"/>
          <w:spacing w:val="-14"/>
          <w:sz w:val="28"/>
          <w:szCs w:val="28"/>
        </w:rPr>
        <w:t>許宇</w:t>
      </w:r>
      <w:proofErr w:type="gramStart"/>
      <w:r w:rsidRPr="001B6E4D">
        <w:rPr>
          <w:rFonts w:ascii="標楷體" w:eastAsia="標楷體" w:hAnsi="標楷體"/>
          <w:color w:val="000000"/>
          <w:spacing w:val="-14"/>
          <w:sz w:val="28"/>
          <w:szCs w:val="28"/>
        </w:rPr>
        <w:t>甄</w:t>
      </w:r>
      <w:proofErr w:type="gramEnd"/>
      <w:r w:rsidRPr="001B6E4D">
        <w:rPr>
          <w:rFonts w:ascii="標楷體" w:eastAsia="標楷體" w:hAnsi="標楷體"/>
          <w:color w:val="000000"/>
          <w:spacing w:val="-14"/>
          <w:sz w:val="28"/>
          <w:szCs w:val="28"/>
        </w:rPr>
        <w:t xml:space="preserve">　陳昭姿</w:t>
      </w:r>
      <w:r w:rsidRPr="001B6E4D">
        <w:rPr>
          <w:rFonts w:ascii="標楷體" w:eastAsia="標楷體" w:hAnsi="標楷體" w:hint="eastAsia"/>
          <w:color w:val="000000"/>
          <w:spacing w:val="-14"/>
          <w:sz w:val="28"/>
          <w:szCs w:val="28"/>
        </w:rPr>
        <w:t xml:space="preserve">　張雅琳　</w:t>
      </w:r>
      <w:proofErr w:type="gramStart"/>
      <w:r w:rsidRPr="001B6E4D">
        <w:rPr>
          <w:rFonts w:ascii="標楷體" w:eastAsia="標楷體" w:hAnsi="標楷體" w:hint="eastAsia"/>
          <w:color w:val="000000"/>
          <w:spacing w:val="-14"/>
          <w:sz w:val="28"/>
          <w:szCs w:val="28"/>
        </w:rPr>
        <w:t>范</w:t>
      </w:r>
      <w:proofErr w:type="gramEnd"/>
      <w:r w:rsidRPr="001B6E4D">
        <w:rPr>
          <w:rFonts w:ascii="標楷體" w:eastAsia="標楷體" w:hAnsi="標楷體" w:hint="eastAsia"/>
          <w:color w:val="000000"/>
          <w:spacing w:val="-14"/>
          <w:sz w:val="28"/>
          <w:szCs w:val="28"/>
        </w:rPr>
        <w:t xml:space="preserve">　雲</w:t>
      </w:r>
    </w:p>
    <w:p w14:paraId="04CD0256" w14:textId="77777777" w:rsidR="00201B77" w:rsidRPr="001B6E4D" w:rsidRDefault="00201B77" w:rsidP="003D1018">
      <w:pPr>
        <w:pStyle w:val="affe"/>
        <w:widowControl w:val="0"/>
        <w:numPr>
          <w:ilvl w:val="0"/>
          <w:numId w:val="33"/>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w:t>
      </w:r>
      <w:bookmarkStart w:id="486" w:name="_Hlk230017831"/>
      <w:r w:rsidRPr="001B6E4D">
        <w:rPr>
          <w:rFonts w:ascii="標楷體" w:eastAsia="標楷體" w:hAnsi="標楷體" w:hint="eastAsia"/>
          <w:color w:val="000000"/>
          <w:sz w:val="28"/>
          <w:szCs w:val="28"/>
        </w:rPr>
        <w:t>度</w:t>
      </w:r>
      <w:bookmarkEnd w:id="486"/>
      <w:r w:rsidRPr="001B6E4D">
        <w:rPr>
          <w:rFonts w:ascii="標楷體" w:eastAsia="標楷體" w:hAnsi="標楷體"/>
          <w:color w:val="000000"/>
          <w:sz w:val="28"/>
          <w:szCs w:val="28"/>
        </w:rPr>
        <w:t>中央政府總預算，司法院單位預算編列40</w:t>
      </w:r>
      <w:r w:rsidRPr="001B6E4D">
        <w:rPr>
          <w:rFonts w:ascii="標楷體" w:eastAsia="標楷體" w:hAnsi="標楷體" w:hint="eastAsia"/>
          <w:color w:val="000000"/>
          <w:sz w:val="28"/>
          <w:szCs w:val="28"/>
        </w:rPr>
        <w:t>億</w:t>
      </w:r>
      <w:r w:rsidRPr="001B6E4D">
        <w:rPr>
          <w:rFonts w:ascii="標楷體" w:eastAsia="標楷體" w:hAnsi="標楷體"/>
          <w:color w:val="000000"/>
          <w:sz w:val="28"/>
          <w:szCs w:val="28"/>
        </w:rPr>
        <w:t>8,359</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7千元，比</w:t>
      </w:r>
      <w:proofErr w:type="gramStart"/>
      <w:r w:rsidRPr="001B6E4D">
        <w:rPr>
          <w:rFonts w:ascii="標楷體" w:eastAsia="標楷體" w:hAnsi="標楷體"/>
          <w:color w:val="000000"/>
          <w:sz w:val="28"/>
          <w:szCs w:val="28"/>
        </w:rPr>
        <w:t>114</w:t>
      </w:r>
      <w:proofErr w:type="gramEnd"/>
      <w:r w:rsidRPr="001B6E4D">
        <w:rPr>
          <w:rFonts w:ascii="標楷體" w:eastAsia="標楷體" w:hAnsi="標楷體"/>
          <w:color w:val="000000"/>
          <w:sz w:val="28"/>
          <w:szCs w:val="28"/>
        </w:rPr>
        <w:t>年度法定預算40</w:t>
      </w:r>
      <w:r w:rsidRPr="001B6E4D">
        <w:rPr>
          <w:rFonts w:ascii="標楷體" w:eastAsia="標楷體" w:hAnsi="標楷體" w:hint="eastAsia"/>
          <w:color w:val="000000"/>
          <w:sz w:val="28"/>
          <w:szCs w:val="28"/>
        </w:rPr>
        <w:t>億</w:t>
      </w:r>
      <w:r w:rsidRPr="001B6E4D">
        <w:rPr>
          <w:rFonts w:ascii="標楷體" w:eastAsia="標楷體" w:hAnsi="標楷體"/>
          <w:color w:val="000000"/>
          <w:sz w:val="28"/>
          <w:szCs w:val="28"/>
        </w:rPr>
        <w:t>0,805</w:t>
      </w:r>
      <w:bookmarkStart w:id="487" w:name="_Hlk230017862"/>
      <w:r w:rsidRPr="001B6E4D">
        <w:rPr>
          <w:rFonts w:ascii="標楷體" w:eastAsia="標楷體" w:hAnsi="標楷體" w:hint="eastAsia"/>
          <w:color w:val="000000"/>
          <w:sz w:val="28"/>
          <w:szCs w:val="28"/>
        </w:rPr>
        <w:t>萬</w:t>
      </w:r>
      <w:bookmarkEnd w:id="487"/>
      <w:r w:rsidRPr="001B6E4D">
        <w:rPr>
          <w:rFonts w:ascii="標楷體" w:eastAsia="標楷體" w:hAnsi="標楷體"/>
          <w:color w:val="000000"/>
          <w:sz w:val="28"/>
          <w:szCs w:val="28"/>
        </w:rPr>
        <w:t>5千元，增加7,554</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2千元（約7,</w:t>
      </w:r>
      <w:r w:rsidRPr="001B6E4D">
        <w:rPr>
          <w:rFonts w:ascii="標楷體" w:eastAsia="標楷體" w:hAnsi="標楷體" w:hint="eastAsia"/>
          <w:color w:val="000000"/>
          <w:sz w:val="28"/>
          <w:szCs w:val="28"/>
        </w:rPr>
        <w:t>500</w:t>
      </w:r>
      <w:r w:rsidRPr="001B6E4D">
        <w:rPr>
          <w:rFonts w:ascii="標楷體" w:eastAsia="標楷體" w:hAnsi="標楷體"/>
          <w:color w:val="000000"/>
          <w:sz w:val="28"/>
          <w:szCs w:val="28"/>
        </w:rPr>
        <w:t>萬元），成長幅度1.88%。且</w:t>
      </w:r>
      <w:proofErr w:type="gramStart"/>
      <w:r w:rsidRPr="001B6E4D">
        <w:rPr>
          <w:rFonts w:ascii="標楷體" w:eastAsia="標楷體" w:hAnsi="標楷體"/>
          <w:color w:val="000000"/>
          <w:sz w:val="28"/>
          <w:szCs w:val="28"/>
        </w:rPr>
        <w:t>114</w:t>
      </w:r>
      <w:proofErr w:type="gramEnd"/>
      <w:r w:rsidRPr="001B6E4D">
        <w:rPr>
          <w:rFonts w:ascii="標楷體" w:eastAsia="標楷體" w:hAnsi="標楷體"/>
          <w:color w:val="000000"/>
          <w:sz w:val="28"/>
          <w:szCs w:val="28"/>
        </w:rPr>
        <w:t>年</w:t>
      </w:r>
      <w:r w:rsidRPr="001B6E4D">
        <w:rPr>
          <w:rFonts w:ascii="標楷體" w:eastAsia="標楷體" w:hAnsi="標楷體" w:hint="eastAsia"/>
          <w:color w:val="000000"/>
          <w:sz w:val="28"/>
          <w:szCs w:val="28"/>
        </w:rPr>
        <w:t>度</w:t>
      </w:r>
      <w:r w:rsidRPr="001B6E4D">
        <w:rPr>
          <w:rFonts w:ascii="標楷體" w:eastAsia="標楷體" w:hAnsi="標楷體"/>
          <w:color w:val="000000"/>
          <w:sz w:val="28"/>
          <w:szCs w:val="28"/>
        </w:rPr>
        <w:t>，司法院單位決算賸餘數為2</w:t>
      </w:r>
      <w:r w:rsidRPr="001B6E4D">
        <w:rPr>
          <w:rFonts w:ascii="標楷體" w:eastAsia="標楷體" w:hAnsi="標楷體" w:hint="eastAsia"/>
          <w:color w:val="000000"/>
          <w:sz w:val="28"/>
          <w:szCs w:val="28"/>
        </w:rPr>
        <w:t>億</w:t>
      </w:r>
      <w:r w:rsidRPr="001B6E4D">
        <w:rPr>
          <w:rFonts w:ascii="標楷體" w:eastAsia="標楷體" w:hAnsi="標楷體"/>
          <w:color w:val="000000"/>
          <w:sz w:val="28"/>
          <w:szCs w:val="28"/>
        </w:rPr>
        <w:t>4,463</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2千元（約2.45億元），</w:t>
      </w:r>
      <w:proofErr w:type="gramStart"/>
      <w:r w:rsidRPr="001B6E4D">
        <w:rPr>
          <w:rFonts w:ascii="標楷體" w:eastAsia="標楷體" w:hAnsi="標楷體"/>
          <w:color w:val="000000"/>
          <w:sz w:val="28"/>
          <w:szCs w:val="28"/>
        </w:rPr>
        <w:t>合先敘</w:t>
      </w:r>
      <w:proofErr w:type="gramEnd"/>
      <w:r w:rsidRPr="001B6E4D">
        <w:rPr>
          <w:rFonts w:ascii="標楷體" w:eastAsia="標楷體" w:hAnsi="標楷體"/>
          <w:color w:val="000000"/>
          <w:sz w:val="28"/>
          <w:szCs w:val="28"/>
        </w:rPr>
        <w:t>明</w:t>
      </w:r>
      <w:r w:rsidRPr="001B6E4D">
        <w:rPr>
          <w:rFonts w:ascii="標楷體" w:eastAsia="標楷體" w:hAnsi="標楷體" w:hint="eastAsia"/>
          <w:color w:val="000000"/>
          <w:sz w:val="28"/>
          <w:szCs w:val="28"/>
        </w:rPr>
        <w:t>。</w:t>
      </w:r>
    </w:p>
    <w:p w14:paraId="47DF4986" w14:textId="77777777" w:rsidR="00201B77" w:rsidRPr="001B6E4D" w:rsidRDefault="00201B77" w:rsidP="003D1018">
      <w:pPr>
        <w:pStyle w:val="a"/>
        <w:numPr>
          <w:ilvl w:val="0"/>
          <w:numId w:val="0"/>
        </w:numPr>
        <w:overflowPunct w:val="0"/>
        <w:ind w:left="924" w:firstLineChars="200" w:firstLine="560"/>
      </w:pPr>
      <w:proofErr w:type="gramStart"/>
      <w:r w:rsidRPr="001B6E4D">
        <w:t>115</w:t>
      </w:r>
      <w:proofErr w:type="gramEnd"/>
      <w:r w:rsidRPr="001B6E4D">
        <w:t>年度</w:t>
      </w:r>
      <w:r w:rsidRPr="001B6E4D">
        <w:rPr>
          <w:rFonts w:hint="eastAsia"/>
        </w:rPr>
        <w:t>「</w:t>
      </w:r>
      <w:r w:rsidRPr="001B6E4D">
        <w:t>業務費</w:t>
      </w:r>
      <w:r w:rsidRPr="001B6E4D">
        <w:rPr>
          <w:rFonts w:hint="eastAsia"/>
        </w:rPr>
        <w:t>」</w:t>
      </w:r>
      <w:r w:rsidRPr="001B6E4D">
        <w:t>項下「水電費」預算編列1,680</w:t>
      </w:r>
      <w:bookmarkStart w:id="488" w:name="_Hlk230017957"/>
      <w:r w:rsidRPr="001B6E4D">
        <w:rPr>
          <w:rFonts w:hint="eastAsia"/>
        </w:rPr>
        <w:t>萬</w:t>
      </w:r>
      <w:bookmarkEnd w:id="488"/>
      <w:r w:rsidRPr="001B6E4D">
        <w:t>3千元，與</w:t>
      </w:r>
      <w:proofErr w:type="gramStart"/>
      <w:r w:rsidRPr="001B6E4D">
        <w:t>114</w:t>
      </w:r>
      <w:proofErr w:type="gramEnd"/>
      <w:r w:rsidRPr="001B6E4D">
        <w:t>年</w:t>
      </w:r>
      <w:r w:rsidRPr="001B6E4D">
        <w:rPr>
          <w:rFonts w:hint="eastAsia"/>
        </w:rPr>
        <w:t>度</w:t>
      </w:r>
      <w:r w:rsidRPr="001B6E4D">
        <w:t>法定預算1,676</w:t>
      </w:r>
      <w:r w:rsidRPr="001B6E4D">
        <w:rPr>
          <w:rFonts w:hint="eastAsia"/>
        </w:rPr>
        <w:t>萬</w:t>
      </w:r>
      <w:r w:rsidRPr="001B6E4D">
        <w:t>6千元相比，增列3</w:t>
      </w:r>
      <w:r w:rsidRPr="001B6E4D">
        <w:rPr>
          <w:rFonts w:hint="eastAsia"/>
        </w:rPr>
        <w:t>萬</w:t>
      </w:r>
      <w:r w:rsidRPr="001B6E4D">
        <w:t>7千元，成長幅度0.22%。</w:t>
      </w:r>
    </w:p>
    <w:p w14:paraId="5C1480EE" w14:textId="77777777" w:rsidR="00201B77" w:rsidRPr="001B6E4D" w:rsidRDefault="00201B77" w:rsidP="003D1018">
      <w:pPr>
        <w:pStyle w:val="affe"/>
        <w:overflowPunct w:val="0"/>
        <w:snapToGrid w:val="0"/>
        <w:ind w:leftChars="0" w:left="987"/>
        <w:jc w:val="both"/>
        <w:rPr>
          <w:rFonts w:ascii="標楷體" w:eastAsia="標楷體" w:hAnsi="標楷體"/>
          <w:color w:val="000000"/>
          <w:sz w:val="28"/>
          <w:szCs w:val="28"/>
        </w:rPr>
      </w:pPr>
      <w:r w:rsidRPr="001B6E4D">
        <w:rPr>
          <w:rFonts w:ascii="標楷體" w:eastAsia="標楷體" w:hAnsi="標楷體"/>
          <w:noProof/>
          <w:color w:val="000000"/>
          <w:sz w:val="28"/>
          <w:szCs w:val="28"/>
        </w:rPr>
        <w:drawing>
          <wp:inline distT="0" distB="0" distL="0" distR="0" wp14:anchorId="50864F3D" wp14:editId="1A826CCC">
            <wp:extent cx="5010150" cy="915035"/>
            <wp:effectExtent l="0" t="0" r="0" b="0"/>
            <wp:docPr id="1" name="圖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010447" cy="915089"/>
                    </a:xfrm>
                    <a:prstGeom prst="rect">
                      <a:avLst/>
                    </a:prstGeom>
                  </pic:spPr>
                </pic:pic>
              </a:graphicData>
            </a:graphic>
          </wp:inline>
        </w:drawing>
      </w:r>
    </w:p>
    <w:p w14:paraId="19A30FD7" w14:textId="77777777" w:rsidR="00201B77" w:rsidRPr="001B6E4D" w:rsidRDefault="00201B77" w:rsidP="003D1018">
      <w:pPr>
        <w:pStyle w:val="a"/>
        <w:numPr>
          <w:ilvl w:val="0"/>
          <w:numId w:val="0"/>
        </w:numPr>
        <w:overflowPunct w:val="0"/>
        <w:ind w:left="924" w:firstLineChars="200" w:firstLine="560"/>
      </w:pPr>
      <w:r w:rsidRPr="001B6E4D">
        <w:t>經查司法院112至114年</w:t>
      </w:r>
      <w:bookmarkStart w:id="489" w:name="_Hlk230018177"/>
      <w:r w:rsidRPr="001B6E4D">
        <w:rPr>
          <w:rFonts w:hint="eastAsia"/>
        </w:rPr>
        <w:t>度</w:t>
      </w:r>
      <w:bookmarkEnd w:id="489"/>
      <w:r w:rsidRPr="001B6E4D">
        <w:t>決算書資料如上表，</w:t>
      </w:r>
      <w:proofErr w:type="gramStart"/>
      <w:r w:rsidRPr="001B6E4D">
        <w:t>114</w:t>
      </w:r>
      <w:proofErr w:type="gramEnd"/>
      <w:r w:rsidRPr="001B6E4D">
        <w:t>年度</w:t>
      </w:r>
      <w:r w:rsidRPr="001B6E4D">
        <w:lastRenderedPageBreak/>
        <w:t>「水電費」實際決算數為1,350</w:t>
      </w:r>
      <w:r w:rsidRPr="001B6E4D">
        <w:rPr>
          <w:rFonts w:hint="eastAsia"/>
        </w:rPr>
        <w:t>萬</w:t>
      </w:r>
      <w:r w:rsidRPr="001B6E4D">
        <w:t>9千元，賸餘數高達326萬元，顯見，原有經費編列與實際需求之間存有相當落差，致使經費運用效益低落。</w:t>
      </w:r>
    </w:p>
    <w:p w14:paraId="1FA37BBB" w14:textId="77777777" w:rsidR="00201B77" w:rsidRPr="001B6E4D" w:rsidRDefault="00201B77" w:rsidP="003D1018">
      <w:pPr>
        <w:pStyle w:val="a"/>
        <w:numPr>
          <w:ilvl w:val="0"/>
          <w:numId w:val="0"/>
        </w:numPr>
        <w:overflowPunct w:val="0"/>
        <w:ind w:left="924" w:firstLineChars="200" w:firstLine="560"/>
      </w:pPr>
      <w:proofErr w:type="gramStart"/>
      <w:r w:rsidRPr="001B6E4D">
        <w:t>此外，</w:t>
      </w:r>
      <w:proofErr w:type="gramEnd"/>
      <w:r w:rsidRPr="001B6E4D">
        <w:t>台</w:t>
      </w:r>
      <w:r w:rsidRPr="001B6E4D">
        <w:rPr>
          <w:rFonts w:hint="eastAsia"/>
        </w:rPr>
        <w:t>灣</w:t>
      </w:r>
      <w:r w:rsidRPr="001B6E4D">
        <w:t>電</w:t>
      </w:r>
      <w:r w:rsidRPr="001B6E4D">
        <w:rPr>
          <w:rFonts w:hint="eastAsia"/>
        </w:rPr>
        <w:t>力股份有限</w:t>
      </w:r>
      <w:r w:rsidRPr="001B6E4D">
        <w:t>公司自113年4月1日大幅調漲產業用電12.5%之後，114年至今，台電公司對政府機關用電並無調整電價的計畫、因此，</w:t>
      </w:r>
      <w:proofErr w:type="gramStart"/>
      <w:r w:rsidRPr="001B6E4D">
        <w:t>115</w:t>
      </w:r>
      <w:proofErr w:type="gramEnd"/>
      <w:r w:rsidRPr="001B6E4D">
        <w:t>年</w:t>
      </w:r>
      <w:r w:rsidRPr="001B6E4D">
        <w:rPr>
          <w:rFonts w:hint="eastAsia"/>
        </w:rPr>
        <w:t>度</w:t>
      </w:r>
      <w:r w:rsidRPr="001B6E4D">
        <w:t>機關電費支出，應與</w:t>
      </w:r>
      <w:proofErr w:type="gramStart"/>
      <w:r w:rsidRPr="001B6E4D">
        <w:t>114</w:t>
      </w:r>
      <w:proofErr w:type="gramEnd"/>
      <w:r w:rsidRPr="001B6E4D">
        <w:t>年</w:t>
      </w:r>
      <w:r w:rsidRPr="001B6E4D">
        <w:rPr>
          <w:rFonts w:hint="eastAsia"/>
        </w:rPr>
        <w:t>度</w:t>
      </w:r>
      <w:r w:rsidRPr="001B6E4D">
        <w:t>決算數相差無幾。</w:t>
      </w:r>
    </w:p>
    <w:p w14:paraId="5DCE797E" w14:textId="77777777" w:rsidR="00201B77" w:rsidRPr="001B6E4D" w:rsidRDefault="00201B77" w:rsidP="003D1018">
      <w:pPr>
        <w:pStyle w:val="a"/>
        <w:numPr>
          <w:ilvl w:val="0"/>
          <w:numId w:val="0"/>
        </w:numPr>
        <w:overflowPunct w:val="0"/>
        <w:ind w:left="924" w:firstLineChars="200" w:firstLine="560"/>
      </w:pPr>
      <w:r w:rsidRPr="001B6E4D">
        <w:t>又，</w:t>
      </w:r>
      <w:proofErr w:type="gramStart"/>
      <w:r w:rsidRPr="001B6E4D">
        <w:t>115</w:t>
      </w:r>
      <w:proofErr w:type="gramEnd"/>
      <w:r w:rsidRPr="001B6E4D">
        <w:t>年</w:t>
      </w:r>
      <w:r w:rsidRPr="001B6E4D">
        <w:rPr>
          <w:rFonts w:hint="eastAsia"/>
        </w:rPr>
        <w:t>度</w:t>
      </w:r>
      <w:r w:rsidRPr="001B6E4D">
        <w:t>中央政府總預算連同特別預算，</w:t>
      </w:r>
      <w:proofErr w:type="gramStart"/>
      <w:r w:rsidRPr="001B6E4D">
        <w:t>已需舉</w:t>
      </w:r>
      <w:proofErr w:type="gramEnd"/>
      <w:r w:rsidRPr="001B6E4D">
        <w:t>債高達4</w:t>
      </w:r>
      <w:r w:rsidRPr="001B6E4D">
        <w:rPr>
          <w:rFonts w:hint="eastAsia"/>
        </w:rPr>
        <w:t>,</w:t>
      </w:r>
      <w:r w:rsidRPr="001B6E4D">
        <w:t>000億元。政府各單位更應量入為出、</w:t>
      </w:r>
      <w:proofErr w:type="gramStart"/>
      <w:r w:rsidRPr="001B6E4D">
        <w:t>撙</w:t>
      </w:r>
      <w:proofErr w:type="gramEnd"/>
      <w:r w:rsidRPr="001B6E4D">
        <w:t>節公</w:t>
      </w:r>
      <w:proofErr w:type="gramStart"/>
      <w:r w:rsidRPr="001B6E4D">
        <w:t>帑</w:t>
      </w:r>
      <w:proofErr w:type="gramEnd"/>
      <w:r w:rsidRPr="001B6E4D">
        <w:t>，</w:t>
      </w:r>
      <w:proofErr w:type="gramStart"/>
      <w:r w:rsidRPr="001B6E4D">
        <w:t>減列非必要</w:t>
      </w:r>
      <w:proofErr w:type="gramEnd"/>
      <w:r w:rsidRPr="001B6E4D">
        <w:t>、非急迫性的支出，以降低國庫舉債、</w:t>
      </w:r>
      <w:proofErr w:type="gramStart"/>
      <w:r w:rsidRPr="001B6E4D">
        <w:t>債留子孫</w:t>
      </w:r>
      <w:proofErr w:type="gramEnd"/>
      <w:r w:rsidRPr="001B6E4D">
        <w:t>的壓力。</w:t>
      </w:r>
    </w:p>
    <w:p w14:paraId="5517B854" w14:textId="77777777" w:rsidR="00201B77" w:rsidRPr="001B6E4D" w:rsidRDefault="00201B77" w:rsidP="003D1018">
      <w:pPr>
        <w:pStyle w:val="a"/>
        <w:numPr>
          <w:ilvl w:val="0"/>
          <w:numId w:val="0"/>
        </w:numPr>
        <w:overflowPunct w:val="0"/>
        <w:ind w:left="924" w:firstLineChars="200" w:firstLine="560"/>
      </w:pPr>
      <w:proofErr w:type="gramStart"/>
      <w:r w:rsidRPr="001B6E4D">
        <w:t>且</w:t>
      </w:r>
      <w:proofErr w:type="gramEnd"/>
      <w:r w:rsidRPr="001B6E4D">
        <w:t>，賴總統</w:t>
      </w:r>
      <w:r w:rsidRPr="001B6E4D">
        <w:rPr>
          <w:rFonts w:hint="eastAsia"/>
        </w:rPr>
        <w:t>清德</w:t>
      </w:r>
      <w:r w:rsidRPr="001B6E4D">
        <w:t>為回應美國對台灣應大幅增加國防支出的強硬立場與關切壓力，</w:t>
      </w:r>
      <w:proofErr w:type="gramStart"/>
      <w:r w:rsidRPr="001B6E4D">
        <w:t>115</w:t>
      </w:r>
      <w:proofErr w:type="gramEnd"/>
      <w:r w:rsidRPr="001B6E4D">
        <w:t>年度國防支出已創下歷史新高，達9,495億</w:t>
      </w:r>
      <w:r w:rsidRPr="001B6E4D">
        <w:rPr>
          <w:rFonts w:hint="eastAsia"/>
        </w:rPr>
        <w:t>元</w:t>
      </w:r>
      <w:r w:rsidRPr="001B6E4D">
        <w:t>新</w:t>
      </w:r>
      <w:r w:rsidRPr="001B6E4D">
        <w:rPr>
          <w:rFonts w:hint="eastAsia"/>
        </w:rPr>
        <w:t>臺</w:t>
      </w:r>
      <w:r w:rsidRPr="001B6E4D">
        <w:t>幣；大舉增加國防支出，必定會嚴重排擠年度的教育、文化等支出，亦即，各</w:t>
      </w:r>
      <w:proofErr w:type="gramStart"/>
      <w:r w:rsidRPr="001B6E4D">
        <w:t>部會應勒緊</w:t>
      </w:r>
      <w:proofErr w:type="gramEnd"/>
      <w:r w:rsidRPr="001B6E4D">
        <w:t>褲帶，共體時</w:t>
      </w:r>
      <w:proofErr w:type="gramStart"/>
      <w:r w:rsidRPr="001B6E4D">
        <w:t>艱</w:t>
      </w:r>
      <w:proofErr w:type="gramEnd"/>
      <w:r w:rsidRPr="001B6E4D">
        <w:t>、以</w:t>
      </w:r>
      <w:proofErr w:type="gramStart"/>
      <w:r w:rsidRPr="001B6E4D">
        <w:t>撙</w:t>
      </w:r>
      <w:proofErr w:type="gramEnd"/>
      <w:r w:rsidRPr="001B6E4D">
        <w:t>節支出的具體行動，來呼應賴總統對美方要求大幅增加國防支出的承諾。</w:t>
      </w:r>
    </w:p>
    <w:p w14:paraId="0A075B64" w14:textId="77777777" w:rsidR="00201B77" w:rsidRPr="001B6E4D" w:rsidRDefault="00201B77" w:rsidP="003D1018">
      <w:pPr>
        <w:pStyle w:val="a"/>
        <w:numPr>
          <w:ilvl w:val="0"/>
          <w:numId w:val="0"/>
        </w:numPr>
        <w:overflowPunct w:val="0"/>
        <w:ind w:left="924" w:firstLineChars="200" w:firstLine="560"/>
      </w:pPr>
      <w:r w:rsidRPr="001B6E4D">
        <w:t>惟</w:t>
      </w:r>
      <w:proofErr w:type="gramStart"/>
      <w:r w:rsidRPr="001B6E4D">
        <w:t>115</w:t>
      </w:r>
      <w:proofErr w:type="gramEnd"/>
      <w:r w:rsidRPr="001B6E4D">
        <w:t>年度司法院預算案編列「水電費」1,680</w:t>
      </w:r>
      <w:r w:rsidRPr="001B6E4D">
        <w:rPr>
          <w:rFonts w:hint="eastAsia"/>
        </w:rPr>
        <w:t>萬</w:t>
      </w:r>
      <w:r w:rsidRPr="001B6E4D">
        <w:t>3千元，與</w:t>
      </w:r>
      <w:proofErr w:type="gramStart"/>
      <w:r w:rsidRPr="001B6E4D">
        <w:t>114</w:t>
      </w:r>
      <w:proofErr w:type="gramEnd"/>
      <w:r w:rsidRPr="001B6E4D">
        <w:t>年</w:t>
      </w:r>
      <w:r w:rsidRPr="001B6E4D">
        <w:rPr>
          <w:rFonts w:hint="eastAsia"/>
        </w:rPr>
        <w:t>度</w:t>
      </w:r>
      <w:r w:rsidRPr="001B6E4D">
        <w:t>法定預算相比，增列3</w:t>
      </w:r>
      <w:r w:rsidRPr="001B6E4D">
        <w:rPr>
          <w:rFonts w:hint="eastAsia"/>
        </w:rPr>
        <w:t>萬</w:t>
      </w:r>
      <w:r w:rsidRPr="001B6E4D">
        <w:t>7千元，微幅成長0.22%。</w:t>
      </w:r>
      <w:r w:rsidRPr="001B6E4D">
        <w:rPr>
          <w:rFonts w:hint="eastAsia"/>
        </w:rPr>
        <w:t>經該院說明係因應新增辦公院區進駐使用新增電費，惟</w:t>
      </w:r>
      <w:r w:rsidRPr="001B6E4D">
        <w:t>有</w:t>
      </w:r>
      <w:proofErr w:type="gramStart"/>
      <w:r w:rsidRPr="001B6E4D">
        <w:t>鑑</w:t>
      </w:r>
      <w:proofErr w:type="gramEnd"/>
      <w:r w:rsidRPr="001B6E4D">
        <w:t>於</w:t>
      </w:r>
      <w:proofErr w:type="gramStart"/>
      <w:r w:rsidRPr="001B6E4D">
        <w:t>114</w:t>
      </w:r>
      <w:proofErr w:type="gramEnd"/>
      <w:r w:rsidRPr="001B6E4D">
        <w:t>年度司法院水電費決算賸餘數高達326萬元，為恪守財政紀律，且為兌現賴總統對美方的承諾，配合國防支出大幅增加之影響而必須</w:t>
      </w:r>
      <w:proofErr w:type="gramStart"/>
      <w:r w:rsidRPr="001B6E4D">
        <w:t>撙</w:t>
      </w:r>
      <w:proofErr w:type="gramEnd"/>
      <w:r w:rsidRPr="001B6E4D">
        <w:t>節經費，</w:t>
      </w:r>
      <w:proofErr w:type="gramStart"/>
      <w:r w:rsidRPr="001B6E4D">
        <w:t>爰</w:t>
      </w:r>
      <w:proofErr w:type="gramEnd"/>
      <w:r w:rsidRPr="001B6E4D">
        <w:rPr>
          <w:rFonts w:hint="eastAsia"/>
        </w:rPr>
        <w:t>請司法院應落實</w:t>
      </w:r>
      <w:proofErr w:type="gramStart"/>
      <w:r w:rsidRPr="001B6E4D">
        <w:rPr>
          <w:rFonts w:hint="eastAsia"/>
        </w:rPr>
        <w:t>節能減碳政策</w:t>
      </w:r>
      <w:proofErr w:type="gramEnd"/>
      <w:r w:rsidRPr="001B6E4D">
        <w:t>，</w:t>
      </w:r>
      <w:r w:rsidRPr="001B6E4D">
        <w:rPr>
          <w:rFonts w:hint="eastAsia"/>
        </w:rPr>
        <w:t>並於</w:t>
      </w:r>
      <w:r w:rsidRPr="001B6E4D">
        <w:t>1</w:t>
      </w:r>
      <w:r w:rsidRPr="001B6E4D">
        <w:rPr>
          <w:rFonts w:hint="eastAsia"/>
        </w:rPr>
        <w:t>個月內向立法院司法及法制委員會提出書面報告，</w:t>
      </w:r>
      <w:r w:rsidRPr="001B6E4D">
        <w:t>以避免有限之財政資源閒置與浪費，而</w:t>
      </w:r>
      <w:proofErr w:type="gramStart"/>
      <w:r w:rsidRPr="001B6E4D">
        <w:t>撙</w:t>
      </w:r>
      <w:proofErr w:type="gramEnd"/>
      <w:r w:rsidRPr="001B6E4D">
        <w:t>節之經費又可支援國防軍費的大幅增加。【4】</w:t>
      </w:r>
    </w:p>
    <w:p w14:paraId="5749BBE1"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p>
    <w:p w14:paraId="42B99B8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連署人：林倩綺　吳宗憲</w:t>
      </w:r>
    </w:p>
    <w:p w14:paraId="659150E1" w14:textId="77777777" w:rsidR="00201B77" w:rsidRPr="001B6E4D" w:rsidRDefault="00201B77" w:rsidP="003D1018">
      <w:pPr>
        <w:pStyle w:val="affe"/>
        <w:widowControl w:val="0"/>
        <w:numPr>
          <w:ilvl w:val="0"/>
          <w:numId w:val="33"/>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年度司法院預算案於第1目「一般行政」項下「人員維持」編列預算7億2,552萬4千元，較</w:t>
      </w:r>
      <w:proofErr w:type="gramStart"/>
      <w:r w:rsidRPr="001B6E4D">
        <w:rPr>
          <w:rFonts w:ascii="標楷體" w:eastAsia="標楷體" w:hAnsi="標楷體"/>
          <w:color w:val="000000"/>
          <w:sz w:val="28"/>
          <w:szCs w:val="28"/>
        </w:rPr>
        <w:t>114</w:t>
      </w:r>
      <w:proofErr w:type="gramEnd"/>
      <w:r w:rsidRPr="001B6E4D">
        <w:rPr>
          <w:rFonts w:ascii="標楷體" w:eastAsia="標楷體" w:hAnsi="標楷體"/>
          <w:color w:val="000000"/>
          <w:sz w:val="28"/>
          <w:szCs w:val="28"/>
        </w:rPr>
        <w:t>年度增加4,967萬5千元。然觀察各地方法院刑事</w:t>
      </w:r>
      <w:proofErr w:type="gramStart"/>
      <w:r w:rsidRPr="001B6E4D">
        <w:rPr>
          <w:rFonts w:ascii="標楷體" w:eastAsia="標楷體" w:hAnsi="標楷體"/>
          <w:color w:val="000000"/>
          <w:sz w:val="28"/>
          <w:szCs w:val="28"/>
        </w:rPr>
        <w:t>案件收結情形</w:t>
      </w:r>
      <w:proofErr w:type="gramEnd"/>
      <w:r w:rsidRPr="001B6E4D">
        <w:rPr>
          <w:rFonts w:ascii="標楷體" w:eastAsia="標楷體" w:hAnsi="標楷體"/>
          <w:color w:val="000000"/>
          <w:sz w:val="28"/>
          <w:szCs w:val="28"/>
        </w:rPr>
        <w:t>：</w:t>
      </w:r>
      <w:proofErr w:type="gramStart"/>
      <w:r w:rsidRPr="001B6E4D">
        <w:rPr>
          <w:rFonts w:ascii="標楷體" w:eastAsia="標楷體" w:hAnsi="標楷體"/>
          <w:color w:val="000000"/>
          <w:sz w:val="28"/>
          <w:szCs w:val="28"/>
        </w:rPr>
        <w:t>111</w:t>
      </w:r>
      <w:proofErr w:type="gramEnd"/>
      <w:r w:rsidRPr="001B6E4D">
        <w:rPr>
          <w:rFonts w:ascii="標楷體" w:eastAsia="標楷體" w:hAnsi="標楷體"/>
          <w:color w:val="000000"/>
          <w:sz w:val="28"/>
          <w:szCs w:val="28"/>
        </w:rPr>
        <w:t>年度新收案件數45</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5,594件，終結44</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6,326件，未結8</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1,660件，平均</w:t>
      </w:r>
      <w:r w:rsidRPr="001B6E4D">
        <w:rPr>
          <w:rFonts w:ascii="標楷體" w:eastAsia="標楷體" w:hAnsi="標楷體" w:hint="eastAsia"/>
          <w:color w:val="000000"/>
          <w:sz w:val="28"/>
          <w:szCs w:val="28"/>
        </w:rPr>
        <w:t>1</w:t>
      </w:r>
      <w:r w:rsidRPr="001B6E4D">
        <w:rPr>
          <w:rFonts w:ascii="標楷體" w:eastAsia="標楷體" w:hAnsi="標楷體"/>
          <w:color w:val="000000"/>
          <w:sz w:val="28"/>
          <w:szCs w:val="28"/>
        </w:rPr>
        <w:t>件終結所需日數為99.78日；</w:t>
      </w:r>
      <w:proofErr w:type="gramStart"/>
      <w:r w:rsidRPr="001B6E4D">
        <w:rPr>
          <w:rFonts w:ascii="標楷體" w:eastAsia="標楷體" w:hAnsi="標楷體"/>
          <w:color w:val="000000"/>
          <w:sz w:val="28"/>
          <w:szCs w:val="28"/>
        </w:rPr>
        <w:t>112</w:t>
      </w:r>
      <w:proofErr w:type="gramEnd"/>
      <w:r w:rsidRPr="001B6E4D">
        <w:rPr>
          <w:rFonts w:ascii="標楷體" w:eastAsia="標楷體" w:hAnsi="標楷體"/>
          <w:color w:val="000000"/>
          <w:sz w:val="28"/>
          <w:szCs w:val="28"/>
        </w:rPr>
        <w:t>年度新收48</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3,136件，終結47</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1,623件，未結9</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3,173件，平均</w:t>
      </w:r>
      <w:r w:rsidRPr="001B6E4D">
        <w:rPr>
          <w:rFonts w:ascii="標楷體" w:eastAsia="標楷體" w:hAnsi="標楷體" w:hint="eastAsia"/>
          <w:color w:val="000000"/>
          <w:sz w:val="28"/>
          <w:szCs w:val="28"/>
        </w:rPr>
        <w:t>1</w:t>
      </w:r>
      <w:r w:rsidRPr="001B6E4D">
        <w:rPr>
          <w:rFonts w:ascii="標楷體" w:eastAsia="標楷體" w:hAnsi="標楷體"/>
          <w:color w:val="000000"/>
          <w:sz w:val="28"/>
          <w:szCs w:val="28"/>
        </w:rPr>
        <w:t>件終結所需日數為100.92日；</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年度新收51</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4,451件，終結50</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3,000件，未結10</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4,624件，平均</w:t>
      </w:r>
      <w:r w:rsidRPr="001B6E4D">
        <w:rPr>
          <w:rFonts w:ascii="標楷體" w:eastAsia="標楷體" w:hAnsi="標楷體" w:hint="eastAsia"/>
          <w:color w:val="000000"/>
          <w:sz w:val="28"/>
          <w:szCs w:val="28"/>
        </w:rPr>
        <w:t>1</w:t>
      </w:r>
      <w:r w:rsidRPr="001B6E4D">
        <w:rPr>
          <w:rFonts w:ascii="標楷體" w:eastAsia="標楷體" w:hAnsi="標楷體"/>
          <w:color w:val="000000"/>
          <w:sz w:val="28"/>
          <w:szCs w:val="28"/>
        </w:rPr>
        <w:t>件終結所需日數為106.87日。</w:t>
      </w:r>
      <w:proofErr w:type="gramStart"/>
      <w:r w:rsidRPr="001B6E4D">
        <w:rPr>
          <w:rFonts w:ascii="標楷體" w:eastAsia="標楷體" w:hAnsi="標楷體"/>
          <w:color w:val="000000"/>
          <w:sz w:val="28"/>
          <w:szCs w:val="28"/>
        </w:rPr>
        <w:t>114</w:t>
      </w:r>
      <w:proofErr w:type="gramEnd"/>
      <w:r w:rsidRPr="001B6E4D">
        <w:rPr>
          <w:rFonts w:ascii="標楷體" w:eastAsia="標楷體" w:hAnsi="標楷體"/>
          <w:color w:val="000000"/>
          <w:sz w:val="28"/>
          <w:szCs w:val="28"/>
        </w:rPr>
        <w:t>年度截至7月，新收案件數與</w:t>
      </w:r>
      <w:proofErr w:type="gramStart"/>
      <w:r w:rsidRPr="001B6E4D">
        <w:rPr>
          <w:rFonts w:ascii="標楷體" w:eastAsia="標楷體" w:hAnsi="標楷體" w:hint="eastAsia"/>
          <w:color w:val="000000"/>
          <w:sz w:val="28"/>
          <w:szCs w:val="28"/>
        </w:rPr>
        <w:t>113</w:t>
      </w:r>
      <w:proofErr w:type="gramEnd"/>
      <w:r w:rsidRPr="001B6E4D">
        <w:rPr>
          <w:rFonts w:ascii="標楷體" w:eastAsia="標楷體" w:hAnsi="標楷體"/>
          <w:color w:val="000000"/>
          <w:sz w:val="28"/>
          <w:szCs w:val="28"/>
        </w:rPr>
        <w:t>年度同期比較，增幅已達8.3%。從前述數據可見，案件量逐年攀升，平均結案日數亦呈上升趨勢，未結案件數持續增加，顯示基層司法人員工作負荷日益沉重，過</w:t>
      </w:r>
      <w:proofErr w:type="gramStart"/>
      <w:r w:rsidRPr="001B6E4D">
        <w:rPr>
          <w:rFonts w:ascii="標楷體" w:eastAsia="標楷體" w:hAnsi="標楷體"/>
          <w:color w:val="000000"/>
          <w:sz w:val="28"/>
          <w:szCs w:val="28"/>
        </w:rPr>
        <w:t>勞</w:t>
      </w:r>
      <w:proofErr w:type="gramEnd"/>
      <w:r w:rsidRPr="001B6E4D">
        <w:rPr>
          <w:rFonts w:ascii="標楷體" w:eastAsia="標楷體" w:hAnsi="標楷體"/>
          <w:color w:val="000000"/>
          <w:sz w:val="28"/>
          <w:szCs w:val="28"/>
        </w:rPr>
        <w:t>問題嚴峻，而至今未見有效</w:t>
      </w:r>
      <w:r w:rsidRPr="001B6E4D">
        <w:rPr>
          <w:rFonts w:ascii="標楷體" w:eastAsia="標楷體" w:hAnsi="標楷體"/>
          <w:color w:val="000000"/>
          <w:sz w:val="28"/>
          <w:szCs w:val="28"/>
        </w:rPr>
        <w:lastRenderedPageBreak/>
        <w:t>改善。司法院應提出具體因應方案，以維護司法品質並保障司法人員權益。</w:t>
      </w:r>
    </w:p>
    <w:p w14:paraId="12D8ADB8" w14:textId="77777777" w:rsidR="00201B77" w:rsidRPr="001B6E4D" w:rsidRDefault="00201B77" w:rsidP="003D1018">
      <w:pPr>
        <w:pStyle w:val="a"/>
        <w:numPr>
          <w:ilvl w:val="0"/>
          <w:numId w:val="0"/>
        </w:numPr>
        <w:overflowPunct w:val="0"/>
        <w:ind w:left="924" w:firstLineChars="200" w:firstLine="560"/>
      </w:pPr>
      <w:r w:rsidRPr="001B6E4D">
        <w:rPr>
          <w:rFonts w:hint="eastAsia"/>
        </w:rPr>
        <w:t>請</w:t>
      </w:r>
      <w:r w:rsidRPr="001B6E4D">
        <w:t>司法院於</w:t>
      </w:r>
      <w:r w:rsidRPr="001B6E4D">
        <w:rPr>
          <w:rFonts w:hint="eastAsia"/>
        </w:rPr>
        <w:t>2</w:t>
      </w:r>
      <w:r w:rsidRPr="001B6E4D">
        <w:t>個月內向立法院司法及法制委員會提出</w:t>
      </w:r>
      <w:r w:rsidRPr="001B6E4D">
        <w:rPr>
          <w:rFonts w:hint="eastAsia"/>
        </w:rPr>
        <w:t>書面</w:t>
      </w:r>
      <w:r w:rsidRPr="001B6E4D">
        <w:t>報告，詳述各級法院案件處理趨勢、工作負荷評估及改善司法人員過</w:t>
      </w:r>
      <w:proofErr w:type="gramStart"/>
      <w:r w:rsidRPr="001B6E4D">
        <w:t>勞</w:t>
      </w:r>
      <w:proofErr w:type="gramEnd"/>
      <w:r w:rsidRPr="001B6E4D">
        <w:t>之具體措施。【13】</w:t>
      </w:r>
    </w:p>
    <w:p w14:paraId="1D8D277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4B30B05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25EAC457" w14:textId="77777777" w:rsidR="00201B77" w:rsidRPr="001B6E4D" w:rsidRDefault="00201B77" w:rsidP="003D1018">
      <w:pPr>
        <w:pStyle w:val="1f6"/>
        <w:overflowPunct w:val="0"/>
      </w:pPr>
      <w:proofErr w:type="gramStart"/>
      <w:r w:rsidRPr="001B6E4D">
        <w:t>115</w:t>
      </w:r>
      <w:proofErr w:type="gramEnd"/>
      <w:r w:rsidRPr="001B6E4D">
        <w:t>年度司法院預算案於第1目「一般行政」項下「人員維持」中「人事費」之「約聘僱人員待遇」</w:t>
      </w:r>
      <w:r w:rsidRPr="001B6E4D">
        <w:rPr>
          <w:rFonts w:hint="eastAsia"/>
        </w:rPr>
        <w:t>編列</w:t>
      </w:r>
      <w:r w:rsidRPr="001B6E4D">
        <w:t>4,753</w:t>
      </w:r>
      <w:r w:rsidRPr="001B6E4D">
        <w:rPr>
          <w:rFonts w:hint="eastAsia"/>
        </w:rPr>
        <w:t>萬</w:t>
      </w:r>
      <w:r w:rsidRPr="001B6E4D">
        <w:t>7千元，主要係增列14人，預算增加25%（</w:t>
      </w:r>
      <w:proofErr w:type="gramStart"/>
      <w:r w:rsidRPr="001B6E4D">
        <w:t>114</w:t>
      </w:r>
      <w:proofErr w:type="gramEnd"/>
      <w:r w:rsidRPr="001B6E4D">
        <w:t>年度約聘僱人員待遇3,802</w:t>
      </w:r>
      <w:r w:rsidRPr="001B6E4D">
        <w:rPr>
          <w:rFonts w:hint="eastAsia"/>
        </w:rPr>
        <w:t>萬</w:t>
      </w:r>
      <w:r w:rsidRPr="001B6E4D">
        <w:t>7千元，聘用人員51人）。經查，其中22名係借調至司法院各廳處之員額撥回，其餘5名則為減列其他員額後改置聘用員額。</w:t>
      </w:r>
    </w:p>
    <w:p w14:paraId="3A7B0E4E" w14:textId="77777777" w:rsidR="00201B77" w:rsidRPr="001B6E4D" w:rsidRDefault="00201B77" w:rsidP="003D1018">
      <w:pPr>
        <w:pStyle w:val="1f7"/>
        <w:overflowPunct w:val="0"/>
      </w:pPr>
      <w:r w:rsidRPr="001B6E4D">
        <w:t>按聘用人員員額數除機關組織法規另有規定者外，以不超過機關預算總人數5%為原則。</w:t>
      </w:r>
      <w:r w:rsidRPr="001B6E4D">
        <w:rPr>
          <w:rFonts w:hint="eastAsia"/>
        </w:rPr>
        <w:t>立法</w:t>
      </w:r>
      <w:r w:rsidRPr="001B6E4D">
        <w:t>院預算中心指出，司法院聘用預算員額進用比率高達16.8%，遠遠高於5%。司法院雖「確有重大特殊業務考量」例外規定之適用，但長久下來，加重中央政府財政負擔，連帶產生員工福利、工作穩定性、升遷發展以及潛在的薪資結構不公平等問題。過度依賴約聘僱人員，不僅影響組織內部長期發展的穩定性及員工的士氣，人力流動性大，也難以累積長期的組織經驗和專業。</w:t>
      </w:r>
    </w:p>
    <w:p w14:paraId="1DE091DE" w14:textId="77777777" w:rsidR="00201B77" w:rsidRPr="001B6E4D" w:rsidRDefault="00201B77" w:rsidP="003D1018">
      <w:pPr>
        <w:pStyle w:val="a"/>
        <w:numPr>
          <w:ilvl w:val="0"/>
          <w:numId w:val="0"/>
        </w:numPr>
        <w:overflowPunct w:val="0"/>
        <w:ind w:left="924" w:firstLineChars="200" w:firstLine="560"/>
      </w:pPr>
      <w:r w:rsidRPr="001B6E4D">
        <w:t>為避免人事成本不斷成長，影響國家整體資源配置，各</w:t>
      </w:r>
      <w:proofErr w:type="gramStart"/>
      <w:r w:rsidRPr="001B6E4D">
        <w:t>機關均應恪守</w:t>
      </w:r>
      <w:proofErr w:type="gramEnd"/>
      <w:r w:rsidRPr="001B6E4D">
        <w:t>精實用人原則，依業務內容、預算額度及法令規範等因素審慎檢討評估各種人力類型之分配，</w:t>
      </w:r>
      <w:r w:rsidRPr="001B6E4D">
        <w:rPr>
          <w:rFonts w:hint="eastAsia"/>
        </w:rPr>
        <w:t>請</w:t>
      </w:r>
      <w:r w:rsidRPr="001B6E4D">
        <w:t>司法院於</w:t>
      </w:r>
      <w:r w:rsidRPr="001B6E4D">
        <w:rPr>
          <w:rFonts w:hint="eastAsia"/>
        </w:rPr>
        <w:t>2</w:t>
      </w:r>
      <w:r w:rsidRPr="001B6E4D">
        <w:t>個月內向立法院司法及法制委員會提出司法院人力結構、預算支出及影響檢討改進書面報告。【14】</w:t>
      </w:r>
    </w:p>
    <w:p w14:paraId="4B48A8B8" w14:textId="77777777" w:rsidR="00201B77" w:rsidRPr="001B6E4D" w:rsidRDefault="00201B77" w:rsidP="003D1018">
      <w:pPr>
        <w:pStyle w:val="2fb"/>
        <w:overflowPunct w:val="0"/>
      </w:pPr>
      <w:r w:rsidRPr="001B6E4D">
        <w:t>提案人：翁曉玲</w:t>
      </w:r>
    </w:p>
    <w:p w14:paraId="3D7D8817" w14:textId="77777777" w:rsidR="00201B77" w:rsidRPr="001B6E4D" w:rsidRDefault="00201B77" w:rsidP="003D1018">
      <w:pPr>
        <w:pStyle w:val="2fb"/>
        <w:overflowPunct w:val="0"/>
      </w:pPr>
      <w:r w:rsidRPr="001B6E4D">
        <w:t>連署人：許宇</w:t>
      </w:r>
      <w:proofErr w:type="gramStart"/>
      <w:r w:rsidRPr="001B6E4D">
        <w:t>甄</w:t>
      </w:r>
      <w:proofErr w:type="gramEnd"/>
      <w:r w:rsidRPr="001B6E4D">
        <w:t xml:space="preserve">　陳昭姿</w:t>
      </w:r>
    </w:p>
    <w:p w14:paraId="13DAADC1" w14:textId="77777777" w:rsidR="00201B77" w:rsidRPr="001B6E4D" w:rsidRDefault="00201B77" w:rsidP="003D1018">
      <w:pPr>
        <w:pStyle w:val="a"/>
        <w:overflowPunct w:val="0"/>
        <w:ind w:left="924" w:hanging="567"/>
      </w:pPr>
      <w:r w:rsidRPr="001B6E4D">
        <w:t>全國法院書記官人力</w:t>
      </w:r>
      <w:proofErr w:type="gramStart"/>
      <w:r w:rsidRPr="001B6E4D">
        <w:t>缺額率破</w:t>
      </w:r>
      <w:proofErr w:type="gramEnd"/>
      <w:r w:rsidRPr="001B6E4D">
        <w:t>10%、</w:t>
      </w:r>
      <w:proofErr w:type="gramStart"/>
      <w:r w:rsidRPr="001B6E4D">
        <w:t>國考報到</w:t>
      </w:r>
      <w:proofErr w:type="gramEnd"/>
      <w:r w:rsidRPr="001B6E4D">
        <w:t>率大幅下滑，導致「血汗司法」惡性循環並嚴重衝擊審判行政品質之困境，提出具體改善專案報告。</w:t>
      </w:r>
    </w:p>
    <w:p w14:paraId="47487EF5" w14:textId="77777777" w:rsidR="00201B77" w:rsidRPr="001B6E4D" w:rsidRDefault="00201B77" w:rsidP="003D1018">
      <w:pPr>
        <w:pStyle w:val="a"/>
        <w:numPr>
          <w:ilvl w:val="0"/>
          <w:numId w:val="0"/>
        </w:numPr>
        <w:overflowPunct w:val="0"/>
        <w:ind w:left="924" w:firstLineChars="200" w:firstLine="560"/>
      </w:pPr>
      <w:r w:rsidRPr="001B6E4D">
        <w:t>截至115年5月，全國法院書記官缺額已達353人，缺額率超過一成，尤以</w:t>
      </w:r>
      <w:r w:rsidRPr="001B6E4D">
        <w:rPr>
          <w:rFonts w:hint="eastAsia"/>
        </w:rPr>
        <w:t>臺灣</w:t>
      </w:r>
      <w:r w:rsidRPr="001B6E4D">
        <w:t>新北地</w:t>
      </w:r>
      <w:r w:rsidRPr="001B6E4D">
        <w:rPr>
          <w:rFonts w:hint="eastAsia"/>
        </w:rPr>
        <w:t>方法</w:t>
      </w:r>
      <w:r w:rsidRPr="001B6E4D">
        <w:t>院、</w:t>
      </w:r>
      <w:r w:rsidRPr="001B6E4D">
        <w:rPr>
          <w:rFonts w:hint="eastAsia"/>
        </w:rPr>
        <w:t>臺</w:t>
      </w:r>
      <w:r w:rsidRPr="001B6E4D">
        <w:t>灣高等法院等案件繁重區域最為嚴峻。近年書記官國考報到率從過去的</w:t>
      </w:r>
      <w:r w:rsidRPr="001B6E4D">
        <w:rPr>
          <w:rFonts w:hint="eastAsia"/>
        </w:rPr>
        <w:t>七</w:t>
      </w:r>
      <w:r w:rsidRPr="001B6E4D">
        <w:t>成跌至</w:t>
      </w:r>
      <w:r w:rsidRPr="001B6E4D">
        <w:rPr>
          <w:rFonts w:hint="eastAsia"/>
        </w:rPr>
        <w:t>五</w:t>
      </w:r>
      <w:r w:rsidRPr="001B6E4D">
        <w:t>成，部分重點院所甚至出現錄取者僅2人報到之窘境，顯示司法體系已面臨嚴重的人才荒，職場環境與誘因已不足以留才、</w:t>
      </w:r>
      <w:proofErr w:type="gramStart"/>
      <w:r w:rsidRPr="001B6E4D">
        <w:t>攬才</w:t>
      </w:r>
      <w:proofErr w:type="gramEnd"/>
      <w:r w:rsidRPr="001B6E4D">
        <w:t>。</w:t>
      </w:r>
    </w:p>
    <w:p w14:paraId="433B5F89" w14:textId="77777777" w:rsidR="00201B77" w:rsidRPr="001B6E4D" w:rsidRDefault="00201B77" w:rsidP="003D1018">
      <w:pPr>
        <w:pStyle w:val="a"/>
        <w:numPr>
          <w:ilvl w:val="0"/>
          <w:numId w:val="0"/>
        </w:numPr>
        <w:overflowPunct w:val="0"/>
        <w:ind w:left="924" w:firstLineChars="200" w:firstLine="560"/>
      </w:pPr>
      <w:r w:rsidRPr="001B6E4D">
        <w:t>查司法案件量因「電信詐欺」及「科技犯罪」激增，110</w:t>
      </w:r>
      <w:r w:rsidRPr="001B6E4D">
        <w:lastRenderedPageBreak/>
        <w:t>至114年新收案量達97萬件，基層書記官除須負責高度專業的法庭紀錄與卷證整理，更須負擔繁雜的行政管考與文書送達。然而，書記官之專業加給長期未能與其法律責任及勞動強度對稱，導致基層同仁紛紛轉考法官助理或離職。113年發生的</w:t>
      </w:r>
      <w:r w:rsidRPr="001B6E4D">
        <w:rPr>
          <w:rFonts w:hint="eastAsia"/>
        </w:rPr>
        <w:t>臺灣</w:t>
      </w:r>
      <w:r w:rsidRPr="001B6E4D">
        <w:t>苗栗</w:t>
      </w:r>
      <w:r w:rsidRPr="001B6E4D">
        <w:rPr>
          <w:rFonts w:hint="eastAsia"/>
        </w:rPr>
        <w:t>地方法</w:t>
      </w:r>
      <w:r w:rsidRPr="001B6E4D">
        <w:t>院書記官過</w:t>
      </w:r>
      <w:proofErr w:type="gramStart"/>
      <w:r w:rsidRPr="001B6E4D">
        <w:t>勞</w:t>
      </w:r>
      <w:proofErr w:type="gramEnd"/>
      <w:r w:rsidRPr="001B6E4D">
        <w:t>殉職事件，以及近期發生因行政疏漏導致「判決確定五年漏未執行」之離譜情事，均</w:t>
      </w:r>
      <w:proofErr w:type="gramStart"/>
      <w:r w:rsidRPr="001B6E4D">
        <w:t>凸</w:t>
      </w:r>
      <w:proofErr w:type="gramEnd"/>
      <w:r w:rsidRPr="001B6E4D">
        <w:t>顯書記官過</w:t>
      </w:r>
      <w:proofErr w:type="gramStart"/>
      <w:r w:rsidRPr="001B6E4D">
        <w:t>勞</w:t>
      </w:r>
      <w:proofErr w:type="gramEnd"/>
      <w:r w:rsidRPr="001B6E4D">
        <w:t>與人力流失已非個人問題，而是足以影響司法效能、重創公信力的系統性風險。</w:t>
      </w:r>
    </w:p>
    <w:p w14:paraId="57CCDF23" w14:textId="77777777" w:rsidR="00201B77" w:rsidRPr="001B6E4D" w:rsidRDefault="00201B77" w:rsidP="003D1018">
      <w:pPr>
        <w:pStyle w:val="a"/>
        <w:numPr>
          <w:ilvl w:val="0"/>
          <w:numId w:val="0"/>
        </w:numPr>
        <w:overflowPunct w:val="0"/>
        <w:ind w:left="924" w:firstLineChars="200" w:firstLine="560"/>
      </w:pPr>
      <w:proofErr w:type="gramStart"/>
      <w:r w:rsidRPr="001B6E4D">
        <w:t>爰</w:t>
      </w:r>
      <w:proofErr w:type="gramEnd"/>
      <w:r w:rsidRPr="001B6E4D">
        <w:t>要求司法院應於</w:t>
      </w:r>
      <w:r w:rsidRPr="001B6E4D">
        <w:rPr>
          <w:rFonts w:hint="eastAsia"/>
        </w:rPr>
        <w:t>3</w:t>
      </w:r>
      <w:r w:rsidRPr="001B6E4D">
        <w:t>個月內，針對「書記官核心業務減壓」</w:t>
      </w:r>
      <w:r w:rsidRPr="001B6E4D">
        <w:rPr>
          <w:rFonts w:hint="eastAsia"/>
        </w:rPr>
        <w:t>向立法院司法及法制委員會</w:t>
      </w:r>
      <w:r w:rsidRPr="001B6E4D">
        <w:t>提出</w:t>
      </w:r>
      <w:r w:rsidRPr="001B6E4D">
        <w:rPr>
          <w:rFonts w:hint="eastAsia"/>
        </w:rPr>
        <w:t>書面報告</w:t>
      </w:r>
      <w:r w:rsidRPr="001B6E4D">
        <w:t>。內容應包含：針對案件繁重法院增聘臨時行政人力以分擔非核心庶務，</w:t>
      </w:r>
      <w:r w:rsidRPr="001B6E4D">
        <w:rPr>
          <w:rFonts w:hint="eastAsia"/>
        </w:rPr>
        <w:t>並就書記官工作環境優化及權益改善</w:t>
      </w:r>
      <w:proofErr w:type="gramStart"/>
      <w:r w:rsidRPr="001B6E4D">
        <w:rPr>
          <w:rFonts w:hint="eastAsia"/>
        </w:rPr>
        <w:t>研</w:t>
      </w:r>
      <w:proofErr w:type="gramEnd"/>
      <w:r w:rsidRPr="001B6E4D">
        <w:rPr>
          <w:rFonts w:hint="eastAsia"/>
        </w:rPr>
        <w:t>議對策，且由司法院偕同法務部積極</w:t>
      </w:r>
      <w:proofErr w:type="gramStart"/>
      <w:r w:rsidRPr="001B6E4D">
        <w:rPr>
          <w:rFonts w:hint="eastAsia"/>
        </w:rPr>
        <w:t>研</w:t>
      </w:r>
      <w:proofErr w:type="gramEnd"/>
      <w:r w:rsidRPr="001B6E4D">
        <w:rPr>
          <w:rFonts w:hint="eastAsia"/>
        </w:rPr>
        <w:t>議艱困法院（檢察機關）調增</w:t>
      </w:r>
      <w:proofErr w:type="gramStart"/>
      <w:r w:rsidRPr="001B6E4D">
        <w:rPr>
          <w:rFonts w:hint="eastAsia"/>
        </w:rPr>
        <w:t>增</w:t>
      </w:r>
      <w:proofErr w:type="gramEnd"/>
      <w:r w:rsidRPr="001B6E4D">
        <w:rPr>
          <w:rFonts w:hint="eastAsia"/>
        </w:rPr>
        <w:t>支專業加給，並建立追蹤機制，管控改善結果，</w:t>
      </w:r>
      <w:r w:rsidRPr="001B6E4D">
        <w:t>以防止基層人員持續過</w:t>
      </w:r>
      <w:proofErr w:type="gramStart"/>
      <w:r w:rsidRPr="001B6E4D">
        <w:t>勞</w:t>
      </w:r>
      <w:proofErr w:type="gramEnd"/>
      <w:r w:rsidRPr="001B6E4D">
        <w:t>，確保審判程序之正確性與執行時效。【15】</w:t>
      </w:r>
    </w:p>
    <w:p w14:paraId="69992FC8" w14:textId="77777777" w:rsidR="00201B77" w:rsidRPr="001B6E4D" w:rsidRDefault="00201B77" w:rsidP="003D1018">
      <w:pPr>
        <w:overflowPunct w:val="0"/>
        <w:snapToGrid w:val="0"/>
        <w:ind w:leftChars="1500" w:left="4692" w:hangingChars="420" w:hanging="1092"/>
        <w:jc w:val="both"/>
        <w:rPr>
          <w:rFonts w:ascii="標楷體" w:eastAsia="標楷體" w:hAnsi="標楷體"/>
          <w:color w:val="000000"/>
          <w:spacing w:val="-10"/>
          <w:sz w:val="28"/>
          <w:szCs w:val="28"/>
        </w:rPr>
      </w:pPr>
      <w:r w:rsidRPr="001B6E4D">
        <w:rPr>
          <w:rFonts w:ascii="標楷體" w:eastAsia="標楷體" w:hAnsi="標楷體"/>
          <w:color w:val="000000"/>
          <w:spacing w:val="-10"/>
          <w:sz w:val="28"/>
          <w:szCs w:val="28"/>
        </w:rPr>
        <w:t>提案人：</w:t>
      </w:r>
      <w:r w:rsidRPr="001B6E4D">
        <w:rPr>
          <w:rFonts w:ascii="標楷體" w:eastAsia="標楷體" w:hAnsi="標楷體"/>
          <w:color w:val="000000"/>
          <w:spacing w:val="-14"/>
          <w:sz w:val="28"/>
          <w:szCs w:val="28"/>
        </w:rPr>
        <w:t>陳昭姿　翁曉玲　林沛祥　劉書彬</w:t>
      </w:r>
    </w:p>
    <w:p w14:paraId="34CB0557" w14:textId="77777777" w:rsidR="00201B77" w:rsidRPr="001B6E4D" w:rsidRDefault="00201B77" w:rsidP="003D1018">
      <w:pPr>
        <w:pStyle w:val="1f6"/>
        <w:overflowPunct w:val="0"/>
        <w:rPr>
          <w:shd w:val="clear" w:color="auto" w:fill="FFFFFF"/>
        </w:rPr>
      </w:pPr>
      <w:proofErr w:type="gramStart"/>
      <w:r w:rsidRPr="001B6E4D">
        <w:rPr>
          <w:shd w:val="clear" w:color="auto" w:fill="FFFFFF"/>
        </w:rPr>
        <w:t>115</w:t>
      </w:r>
      <w:proofErr w:type="gramEnd"/>
      <w:r w:rsidRPr="001B6E4D">
        <w:rPr>
          <w:shd w:val="clear" w:color="auto" w:fill="FFFFFF"/>
        </w:rPr>
        <w:t>年度司法院預算案於第1目「一般行政」項下「辦理司法行政業務」</w:t>
      </w:r>
      <w:r w:rsidRPr="001B6E4D">
        <w:rPr>
          <w:rFonts w:hint="eastAsia"/>
          <w:shd w:val="clear" w:color="auto" w:fill="FFFFFF"/>
        </w:rPr>
        <w:t>編列</w:t>
      </w:r>
      <w:r w:rsidRPr="001B6E4D">
        <w:rPr>
          <w:shd w:val="clear" w:color="auto" w:fill="FFFFFF"/>
        </w:rPr>
        <w:t>辦理法律教育推廣宣導經費1,550</w:t>
      </w:r>
      <w:r w:rsidRPr="001B6E4D">
        <w:rPr>
          <w:rFonts w:hint="eastAsia"/>
          <w:shd w:val="clear" w:color="auto" w:fill="FFFFFF"/>
        </w:rPr>
        <w:t>萬</w:t>
      </w:r>
      <w:r w:rsidRPr="001B6E4D">
        <w:rPr>
          <w:shd w:val="clear" w:color="auto" w:fill="FFFFFF"/>
        </w:rPr>
        <w:t>元。</w:t>
      </w:r>
    </w:p>
    <w:p w14:paraId="6B98B3D8" w14:textId="77777777" w:rsidR="00201B77" w:rsidRPr="001B6E4D" w:rsidRDefault="00201B77" w:rsidP="003D1018">
      <w:pPr>
        <w:pStyle w:val="a"/>
        <w:numPr>
          <w:ilvl w:val="0"/>
          <w:numId w:val="0"/>
        </w:numPr>
        <w:overflowPunct w:val="0"/>
        <w:ind w:left="924" w:firstLineChars="200" w:firstLine="560"/>
      </w:pPr>
      <w:proofErr w:type="gramStart"/>
      <w:r w:rsidRPr="001B6E4D">
        <w:t>115</w:t>
      </w:r>
      <w:proofErr w:type="gramEnd"/>
      <w:r w:rsidRPr="001B6E4D">
        <w:t>年度司法院於「一般行政」項下「法律教育推廣宣導經費」編列1,550萬元，較</w:t>
      </w:r>
      <w:proofErr w:type="gramStart"/>
      <w:r w:rsidRPr="001B6E4D">
        <w:t>114</w:t>
      </w:r>
      <w:proofErr w:type="gramEnd"/>
      <w:r w:rsidRPr="001B6E4D">
        <w:t>年度法定預算1,100萬元增加450萬元，增幅達40.91%，顯著高於中央政府總預算</w:t>
      </w:r>
      <w:proofErr w:type="gramStart"/>
      <w:r w:rsidRPr="001B6E4D">
        <w:t>歲出增幅</w:t>
      </w:r>
      <w:proofErr w:type="gramEnd"/>
      <w:r w:rsidRPr="001B6E4D">
        <w:t>3.8%。</w:t>
      </w:r>
    </w:p>
    <w:p w14:paraId="5C384C1E" w14:textId="77777777" w:rsidR="00201B77" w:rsidRPr="001B6E4D" w:rsidRDefault="00201B77" w:rsidP="003D1018">
      <w:pPr>
        <w:pStyle w:val="1f7"/>
        <w:overflowPunct w:val="0"/>
      </w:pPr>
      <w:r w:rsidRPr="001B6E4D">
        <w:t>立法院早於民國99年通過《少年及家事法院組織法》並作成附帶決議，要求5年內於北、中、南、東各設一所專業法院。然司法院因與地方政府在土地撥用價款上未取得共識，</w:t>
      </w:r>
      <w:proofErr w:type="gramStart"/>
      <w:r w:rsidRPr="001B6E4D">
        <w:t>導致北少家</w:t>
      </w:r>
      <w:proofErr w:type="gramEnd"/>
      <w:r w:rsidRPr="001B6E4D">
        <w:t>法院計畫歷時逾10年仍未啟動興建，行政效能極其低下。</w:t>
      </w:r>
    </w:p>
    <w:p w14:paraId="76CD1567" w14:textId="77777777" w:rsidR="00201B77" w:rsidRPr="001B6E4D" w:rsidRDefault="00201B77" w:rsidP="003D1018">
      <w:pPr>
        <w:pStyle w:val="a"/>
        <w:numPr>
          <w:ilvl w:val="0"/>
          <w:numId w:val="0"/>
        </w:numPr>
        <w:overflowPunct w:val="0"/>
        <w:ind w:left="924" w:firstLineChars="200" w:firstLine="560"/>
      </w:pPr>
      <w:r w:rsidRPr="001B6E4D">
        <w:t>北部少年及家事法院籌設延宕多年，審計</w:t>
      </w:r>
      <w:proofErr w:type="gramStart"/>
      <w:r w:rsidRPr="001B6E4D">
        <w:t>部及立法院預算中心均已</w:t>
      </w:r>
      <w:proofErr w:type="gramEnd"/>
      <w:r w:rsidRPr="001B6E4D">
        <w:t>指出相關問題。預算中心評估報告亦將「</w:t>
      </w:r>
      <w:r w:rsidRPr="001B6E4D">
        <w:rPr>
          <w:rFonts w:hint="eastAsia"/>
        </w:rPr>
        <w:t>臺灣</w:t>
      </w:r>
      <w:r w:rsidRPr="001B6E4D">
        <w:t>新北地</w:t>
      </w:r>
      <w:r w:rsidRPr="001B6E4D">
        <w:rPr>
          <w:rFonts w:hint="eastAsia"/>
        </w:rPr>
        <w:t>方法</w:t>
      </w:r>
      <w:r w:rsidRPr="001B6E4D">
        <w:t>院</w:t>
      </w:r>
      <w:proofErr w:type="gramStart"/>
      <w:r w:rsidRPr="001B6E4D">
        <w:t>115</w:t>
      </w:r>
      <w:proofErr w:type="gramEnd"/>
      <w:r w:rsidRPr="001B6E4D">
        <w:t>年度新增編列遷建土城司法園區購地計畫」列為評估重點，</w:t>
      </w:r>
      <w:proofErr w:type="gramStart"/>
      <w:r w:rsidRPr="001B6E4D">
        <w:t>顯示北少家</w:t>
      </w:r>
      <w:proofErr w:type="gramEnd"/>
      <w:r w:rsidRPr="001B6E4D">
        <w:t>及北區少年家事司法量能問題，已非單一年度宣導或展示預算可迴避。</w:t>
      </w:r>
    </w:p>
    <w:p w14:paraId="34BB0FF2" w14:textId="77777777" w:rsidR="00201B77" w:rsidRPr="001B6E4D" w:rsidRDefault="00201B77" w:rsidP="003D1018">
      <w:pPr>
        <w:pStyle w:val="a"/>
        <w:numPr>
          <w:ilvl w:val="0"/>
          <w:numId w:val="0"/>
        </w:numPr>
        <w:overflowPunct w:val="0"/>
        <w:ind w:left="924" w:firstLineChars="200" w:firstLine="560"/>
      </w:pPr>
      <w:r w:rsidRPr="001B6E4D">
        <w:t>直至112年底發生校園割喉案，社會重新關注少年司法專業化之迫切，</w:t>
      </w:r>
      <w:proofErr w:type="gramStart"/>
      <w:r w:rsidRPr="001B6E4D">
        <w:t>司法院才重</w:t>
      </w:r>
      <w:proofErr w:type="gramEnd"/>
      <w:r w:rsidRPr="001B6E4D">
        <w:t>啟協商。此種「發生慘案才辦理」之被動施政態度，充分反映對少年保護業務之輕忽。</w:t>
      </w:r>
    </w:p>
    <w:p w14:paraId="075F96C0" w14:textId="77777777" w:rsidR="00201B77" w:rsidRPr="001B6E4D" w:rsidRDefault="00201B77" w:rsidP="003D1018">
      <w:pPr>
        <w:pStyle w:val="a"/>
        <w:numPr>
          <w:ilvl w:val="0"/>
          <w:numId w:val="0"/>
        </w:numPr>
        <w:overflowPunct w:val="0"/>
        <w:ind w:left="924" w:firstLineChars="200" w:firstLine="560"/>
      </w:pPr>
      <w:r w:rsidRPr="001B6E4D">
        <w:t>目前司法院雖爭取到都更分回之「</w:t>
      </w:r>
      <w:proofErr w:type="gramStart"/>
      <w:r w:rsidRPr="001B6E4D">
        <w:t>土城運校段</w:t>
      </w:r>
      <w:proofErr w:type="gramEnd"/>
      <w:r w:rsidRPr="001B6E4D">
        <w:t>」與「新店中華段」國有辦公廳舍作為替代方案，但距離掛牌尚有漫長</w:t>
      </w:r>
      <w:proofErr w:type="gramStart"/>
      <w:r w:rsidRPr="001B6E4D">
        <w:t>空窗期</w:t>
      </w:r>
      <w:proofErr w:type="gramEnd"/>
      <w:r w:rsidRPr="001B6E4D">
        <w:t>。目前台北、士林、新北三院之少年調查保護官平均每人</w:t>
      </w:r>
      <w:r w:rsidRPr="001B6E4D">
        <w:lastRenderedPageBreak/>
        <w:t>年負擔案件高達253件，工作負荷早已崩潰，司法院卻未能在替代方案中明確說明如何即刻補足專業人力缺口，而非僅在書面上等待新大樓落成。</w:t>
      </w:r>
    </w:p>
    <w:p w14:paraId="79270370" w14:textId="77777777" w:rsidR="00201B77" w:rsidRPr="001B6E4D" w:rsidRDefault="00201B77" w:rsidP="003D1018">
      <w:pPr>
        <w:pStyle w:val="a"/>
        <w:numPr>
          <w:ilvl w:val="0"/>
          <w:numId w:val="0"/>
        </w:numPr>
        <w:overflowPunct w:val="0"/>
        <w:ind w:left="924" w:firstLineChars="200" w:firstLine="560"/>
      </w:pPr>
      <w:r w:rsidRPr="001B6E4D">
        <w:t>司法院</w:t>
      </w:r>
      <w:proofErr w:type="gramStart"/>
      <w:r w:rsidRPr="001B6E4D">
        <w:t>115</w:t>
      </w:r>
      <w:proofErr w:type="gramEnd"/>
      <w:r w:rsidRPr="001B6E4D">
        <w:t>年度施政重點雖稱將</w:t>
      </w:r>
      <w:proofErr w:type="gramStart"/>
      <w:r w:rsidRPr="001B6E4D">
        <w:t>研</w:t>
      </w:r>
      <w:proofErr w:type="gramEnd"/>
      <w:r w:rsidRPr="001B6E4D">
        <w:t>具少年事件處理法相關配套、強化少年保護管束風險管理</w:t>
      </w:r>
      <w:proofErr w:type="gramStart"/>
      <w:r w:rsidRPr="001B6E4D">
        <w:t>機制與審前</w:t>
      </w:r>
      <w:proofErr w:type="gramEnd"/>
      <w:r w:rsidRPr="001B6E4D">
        <w:t>調查報告，</w:t>
      </w:r>
      <w:proofErr w:type="gramStart"/>
      <w:r w:rsidRPr="001B6E4D">
        <w:t>惟北少</w:t>
      </w:r>
      <w:proofErr w:type="gramEnd"/>
      <w:r w:rsidRPr="001B6E4D">
        <w:t>家法院於實體建置完成前，北區高風險少年、家事事件、校園重大暴力案件及安置轉銜案件仍須由既有法院承擔。</w:t>
      </w:r>
    </w:p>
    <w:p w14:paraId="68BBC8A9" w14:textId="77777777" w:rsidR="00201B77" w:rsidRPr="001B6E4D" w:rsidRDefault="00201B77" w:rsidP="003D1018">
      <w:pPr>
        <w:pStyle w:val="a"/>
        <w:numPr>
          <w:ilvl w:val="0"/>
          <w:numId w:val="0"/>
        </w:numPr>
        <w:overflowPunct w:val="0"/>
        <w:ind w:left="924" w:firstLineChars="200" w:firstLine="560"/>
      </w:pPr>
      <w:r w:rsidRPr="001B6E4D">
        <w:t>若司法院僅持續編列高額宣導、展示及教育推廣經費，卻</w:t>
      </w:r>
      <w:proofErr w:type="gramStart"/>
      <w:r w:rsidRPr="001B6E4D">
        <w:t>無北少家未完成前之</w:t>
      </w:r>
      <w:proofErr w:type="gramEnd"/>
      <w:r w:rsidRPr="001B6E4D">
        <w:t>替代服務方案，則預算配置顯有優先順序失衡之虞。</w:t>
      </w:r>
    </w:p>
    <w:p w14:paraId="070DE7AB" w14:textId="77777777" w:rsidR="00201B77" w:rsidRPr="001B6E4D" w:rsidRDefault="00201B77" w:rsidP="003D1018">
      <w:pPr>
        <w:pStyle w:val="a"/>
        <w:numPr>
          <w:ilvl w:val="0"/>
          <w:numId w:val="0"/>
        </w:numPr>
        <w:overflowPunct w:val="0"/>
        <w:ind w:left="924" w:firstLineChars="200" w:firstLine="560"/>
      </w:pPr>
      <w:r w:rsidRPr="001B6E4D">
        <w:rPr>
          <w:rFonts w:hint="eastAsia"/>
        </w:rPr>
        <w:t>請</w:t>
      </w:r>
      <w:r w:rsidRPr="001B6E4D">
        <w:t>司法院於</w:t>
      </w:r>
      <w:r w:rsidRPr="001B6E4D">
        <w:rPr>
          <w:rFonts w:hint="eastAsia"/>
        </w:rPr>
        <w:t>3</w:t>
      </w:r>
      <w:r w:rsidRPr="001B6E4D">
        <w:t>個月內向</w:t>
      </w:r>
      <w:r w:rsidRPr="001B6E4D">
        <w:rPr>
          <w:rFonts w:hint="eastAsia"/>
        </w:rPr>
        <w:t>立法院</w:t>
      </w:r>
      <w:r w:rsidRPr="001B6E4D">
        <w:t>司法及法制委員會提出「北區少家替代服務方案」之</w:t>
      </w:r>
      <w:r w:rsidRPr="001B6E4D">
        <w:rPr>
          <w:rFonts w:hint="eastAsia"/>
        </w:rPr>
        <w:t>書面</w:t>
      </w:r>
      <w:r w:rsidRPr="001B6E4D">
        <w:t>報告：</w:t>
      </w:r>
    </w:p>
    <w:p w14:paraId="3B7D50A8" w14:textId="77777777" w:rsidR="00201B77" w:rsidRPr="001B6E4D" w:rsidRDefault="00201B77" w:rsidP="003D1018">
      <w:pPr>
        <w:pStyle w:val="1003"/>
        <w:overflowPunct w:val="0"/>
      </w:pPr>
      <w:r w:rsidRPr="001B6E4D">
        <w:rPr>
          <w:rFonts w:hint="eastAsia"/>
        </w:rPr>
        <w:t xml:space="preserve">       1.</w:t>
      </w:r>
      <w:r w:rsidRPr="001B6E4D">
        <w:t>北區四院共享式巡迴支援團隊方案，至少包含</w:t>
      </w:r>
      <w:proofErr w:type="gramStart"/>
      <w:r w:rsidRPr="001B6E4D">
        <w:t>臺</w:t>
      </w:r>
      <w:proofErr w:type="gramEnd"/>
      <w:r w:rsidRPr="001B6E4D">
        <w:t>北、士林、新北、桃園。</w:t>
      </w:r>
    </w:p>
    <w:p w14:paraId="518C0616" w14:textId="77777777" w:rsidR="00201B77" w:rsidRPr="001B6E4D" w:rsidRDefault="00201B77" w:rsidP="003D1018">
      <w:pPr>
        <w:pStyle w:val="1003"/>
        <w:overflowPunct w:val="0"/>
      </w:pPr>
      <w:r w:rsidRPr="001B6E4D">
        <w:rPr>
          <w:rFonts w:hint="eastAsia"/>
        </w:rPr>
        <w:t xml:space="preserve">       2.</w:t>
      </w:r>
      <w:r w:rsidRPr="001B6E4D">
        <w:t>共享社工、心理師、少年調查官、少年保護官助理或相關支援人力配置。</w:t>
      </w:r>
    </w:p>
    <w:p w14:paraId="03D257A8" w14:textId="77777777" w:rsidR="00201B77" w:rsidRPr="001B6E4D" w:rsidRDefault="00201B77" w:rsidP="003D1018">
      <w:pPr>
        <w:pStyle w:val="1003"/>
        <w:overflowPunct w:val="0"/>
      </w:pPr>
      <w:r w:rsidRPr="001B6E4D">
        <w:rPr>
          <w:rFonts w:hint="eastAsia"/>
        </w:rPr>
        <w:t xml:space="preserve">       3.</w:t>
      </w:r>
      <w:r w:rsidRPr="001B6E4D">
        <w:t>安全會談空間、等待空間及視訊銜接設備清冊。</w:t>
      </w:r>
    </w:p>
    <w:p w14:paraId="37797D75" w14:textId="77777777" w:rsidR="00201B77" w:rsidRPr="001B6E4D" w:rsidRDefault="00201B77" w:rsidP="003D1018">
      <w:pPr>
        <w:pStyle w:val="1003"/>
        <w:overflowPunct w:val="0"/>
      </w:pPr>
      <w:r w:rsidRPr="001B6E4D">
        <w:rPr>
          <w:rFonts w:hint="eastAsia"/>
        </w:rPr>
        <w:t xml:space="preserve">       4.</w:t>
      </w:r>
      <w:r w:rsidRPr="001B6E4D">
        <w:t>社區安置、</w:t>
      </w:r>
      <w:proofErr w:type="gramStart"/>
      <w:r w:rsidRPr="001B6E4D">
        <w:t>回校轉銜</w:t>
      </w:r>
      <w:proofErr w:type="gramEnd"/>
      <w:r w:rsidRPr="001B6E4D">
        <w:t>、家庭支持之個案會議流程。</w:t>
      </w:r>
    </w:p>
    <w:p w14:paraId="4ACEB889" w14:textId="77777777" w:rsidR="00201B77" w:rsidRPr="001B6E4D" w:rsidRDefault="00201B77" w:rsidP="003D1018">
      <w:pPr>
        <w:pStyle w:val="1003"/>
        <w:overflowPunct w:val="0"/>
      </w:pPr>
      <w:r w:rsidRPr="001B6E4D">
        <w:rPr>
          <w:rFonts w:hint="eastAsia"/>
        </w:rPr>
        <w:t xml:space="preserve">       5.</w:t>
      </w:r>
      <w:r w:rsidRPr="001B6E4D">
        <w:t>高風險個案篩選標準、結案標準與追蹤標準。【20】</w:t>
      </w:r>
    </w:p>
    <w:p w14:paraId="778A4119"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提案人：吳宗憲</w:t>
      </w:r>
    </w:p>
    <w:p w14:paraId="0DF05A6A"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連署人：林沛祥　陳昭姿　羅智強</w:t>
      </w:r>
    </w:p>
    <w:p w14:paraId="58C95193" w14:textId="77777777" w:rsidR="00201B77" w:rsidRPr="001B6E4D" w:rsidRDefault="00201B77" w:rsidP="003D1018">
      <w:pPr>
        <w:pStyle w:val="a"/>
        <w:overflowPunct w:val="0"/>
        <w:ind w:left="924" w:hanging="567"/>
      </w:pPr>
      <w:proofErr w:type="gramStart"/>
      <w:r w:rsidRPr="001B6E4D">
        <w:t>115</w:t>
      </w:r>
      <w:proofErr w:type="gramEnd"/>
      <w:r w:rsidRPr="001B6E4D">
        <w:t>年度司法院預算案於第2目「憲法訴訟業務」項下「辦理憲法訴訟審判業務」編列預算491萬6千元。係為支應憲法法庭辦理憲法訴訟審判、維持制度運作。</w:t>
      </w:r>
      <w:proofErr w:type="gramStart"/>
      <w:r w:rsidRPr="001B6E4D">
        <w:t>惟</w:t>
      </w:r>
      <w:proofErr w:type="gramEnd"/>
      <w:r w:rsidRPr="001B6E4D">
        <w:t>近期憲法法庭持續引發外界對其組織合法性、評議程序、決議門檻及制度公信力之疑慮，涉及憲法法庭是否遵循法定程序、維持裁判正當性及制度信賴基礎之重大問題。憲法法庭判決具有高度憲政效力，足以影響立法、行政及司法體系運作，故其組成與評議門檻尤應受嚴格檢視。憲法法庭以部分大法官拒絕參與評議，類推適用大法官任命後未到職或依法迴避之規定，不計入現有總額，屬高度爭議之見解。憲法訴訟業務預算之編列，亦應用以維護憲法法庭之合法組成及制度公信。倘司法院未能就憲法法庭組織合法性、評議門檻計算、未參與評議大法官之法律效果及防止極少數大法官作成重大憲政判決之制度界線提出完整說明，難認本項預算係用於具程序正當性之憲法訴訟業務。</w:t>
      </w:r>
    </w:p>
    <w:p w14:paraId="3E4B4FAA" w14:textId="77777777" w:rsidR="00201B77" w:rsidRPr="001B6E4D" w:rsidRDefault="00201B77" w:rsidP="003D1018">
      <w:pPr>
        <w:pStyle w:val="a"/>
        <w:numPr>
          <w:ilvl w:val="0"/>
          <w:numId w:val="0"/>
        </w:numPr>
        <w:overflowPunct w:val="0"/>
        <w:ind w:left="924" w:firstLineChars="200" w:firstLine="560"/>
      </w:pPr>
      <w:r w:rsidRPr="001B6E4D">
        <w:t>司法院</w:t>
      </w:r>
      <w:r w:rsidRPr="001B6E4D">
        <w:rPr>
          <w:rFonts w:hint="eastAsia"/>
        </w:rPr>
        <w:t>應</w:t>
      </w:r>
      <w:r w:rsidRPr="001B6E4D">
        <w:t>於</w:t>
      </w:r>
      <w:r w:rsidRPr="001B6E4D">
        <w:rPr>
          <w:rFonts w:hint="eastAsia"/>
        </w:rPr>
        <w:t>2</w:t>
      </w:r>
      <w:r w:rsidRPr="001B6E4D">
        <w:t>個月內向立法院司法及法制委員會提出</w:t>
      </w:r>
      <w:r w:rsidRPr="001B6E4D">
        <w:rPr>
          <w:rFonts w:hint="eastAsia"/>
        </w:rPr>
        <w:t>書面</w:t>
      </w:r>
      <w:r w:rsidRPr="001B6E4D">
        <w:t>報告。【27】</w:t>
      </w:r>
    </w:p>
    <w:p w14:paraId="6A3C0FBC"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1D349D7B"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連署人：翁曉玲　林沛祥</w:t>
      </w:r>
    </w:p>
    <w:p w14:paraId="068A26AB" w14:textId="77777777" w:rsidR="00201B77" w:rsidRPr="001B6E4D" w:rsidRDefault="00201B77" w:rsidP="003D1018">
      <w:pPr>
        <w:pStyle w:val="a"/>
        <w:overflowPunct w:val="0"/>
        <w:ind w:left="924" w:hanging="567"/>
      </w:pPr>
      <w:proofErr w:type="gramStart"/>
      <w:r w:rsidRPr="001B6E4D">
        <w:t>115</w:t>
      </w:r>
      <w:proofErr w:type="gramEnd"/>
      <w:r w:rsidRPr="001B6E4D">
        <w:t>年度司法院預算案於第4目「司法業務規劃研考」項下「辦理研究改進司法制度業務」編列預算1,015萬5千元，較</w:t>
      </w:r>
      <w:proofErr w:type="gramStart"/>
      <w:r w:rsidRPr="001B6E4D">
        <w:t>114</w:t>
      </w:r>
      <w:proofErr w:type="gramEnd"/>
      <w:r w:rsidRPr="001B6E4D">
        <w:t>年度968萬6千元增加46萬9千元。其中，於該分支計畫下編列「法官評鑑委員會會務審議經費」174萬7千元，較</w:t>
      </w:r>
      <w:proofErr w:type="gramStart"/>
      <w:r w:rsidRPr="001B6E4D">
        <w:t>114</w:t>
      </w:r>
      <w:proofErr w:type="gramEnd"/>
      <w:r w:rsidRPr="001B6E4D">
        <w:t>年度108萬7千元增加66萬元，增幅達60.72%，主要係辦理法官評鑑委員會會務審議等相關業務所需。</w:t>
      </w:r>
    </w:p>
    <w:p w14:paraId="7CFA1D53" w14:textId="77777777" w:rsidR="00201B77" w:rsidRPr="001B6E4D" w:rsidRDefault="00201B77" w:rsidP="003D1018">
      <w:pPr>
        <w:pStyle w:val="a"/>
        <w:numPr>
          <w:ilvl w:val="0"/>
          <w:numId w:val="0"/>
        </w:numPr>
        <w:overflowPunct w:val="0"/>
        <w:ind w:left="924" w:firstLineChars="200" w:firstLine="560"/>
      </w:pPr>
      <w:r w:rsidRPr="001B6E4D">
        <w:t>法官評鑑制度本為強化</w:t>
      </w:r>
      <w:proofErr w:type="gramStart"/>
      <w:r w:rsidRPr="001B6E4D">
        <w:t>司法課責</w:t>
      </w:r>
      <w:proofErr w:type="gramEnd"/>
      <w:r w:rsidRPr="001B6E4D">
        <w:t>、提升司法公信的重要機制，預算增加亦應以制度有效運作為前提。然而，依立法院</w:t>
      </w:r>
      <w:r w:rsidRPr="001B6E4D">
        <w:rPr>
          <w:rFonts w:hint="eastAsia"/>
        </w:rPr>
        <w:t>預算中心</w:t>
      </w:r>
      <w:r w:rsidRPr="001B6E4D">
        <w:t>評估報告，法官評鑑新制自109年7月17日施行後，收案量大幅增加，惟人民請求案件合於評鑑要件及請求成立者甚少，顯示人民使用制度與制度實際門檻之間存在明顯落差，司法院應加強宣導，協助民眾正確使用。</w:t>
      </w:r>
    </w:p>
    <w:p w14:paraId="2243E3A1" w14:textId="77777777" w:rsidR="00201B77" w:rsidRPr="001B6E4D" w:rsidRDefault="00201B77" w:rsidP="003D1018">
      <w:pPr>
        <w:pStyle w:val="a"/>
        <w:numPr>
          <w:ilvl w:val="0"/>
          <w:numId w:val="0"/>
        </w:numPr>
        <w:overflowPunct w:val="0"/>
        <w:ind w:left="924" w:firstLineChars="200" w:firstLine="560"/>
      </w:pPr>
      <w:r w:rsidRPr="001B6E4D">
        <w:t>若人民大量聲請法官評鑑，最後多數卻因不符要件、不予受理或不付評鑑而無法進入實質審查，代表問題不只是會務審議量增加，而是制度設計、申請門檻、案件篩選、宣導方式與人民認知</w:t>
      </w:r>
      <w:proofErr w:type="gramStart"/>
      <w:r w:rsidRPr="001B6E4D">
        <w:t>之間均有檢討</w:t>
      </w:r>
      <w:proofErr w:type="gramEnd"/>
      <w:r w:rsidRPr="001B6E4D">
        <w:t>必要。司法院不能只因收案量增加，就提高會務審議經費，卻未同步處理人民「看得到制度、用不到制度、用後更失望」的根本問題。</w:t>
      </w:r>
    </w:p>
    <w:p w14:paraId="21804F50" w14:textId="77777777" w:rsidR="00201B77" w:rsidRPr="001B6E4D" w:rsidRDefault="00201B77" w:rsidP="003D1018">
      <w:pPr>
        <w:pStyle w:val="a"/>
        <w:numPr>
          <w:ilvl w:val="0"/>
          <w:numId w:val="0"/>
        </w:numPr>
        <w:overflowPunct w:val="0"/>
        <w:ind w:left="924" w:firstLineChars="200" w:firstLine="560"/>
      </w:pPr>
      <w:proofErr w:type="gramStart"/>
      <w:r w:rsidRPr="001B6E4D">
        <w:t>爰</w:t>
      </w:r>
      <w:proofErr w:type="gramEnd"/>
      <w:r w:rsidRPr="001B6E4D">
        <w:rPr>
          <w:rFonts w:hint="eastAsia"/>
        </w:rPr>
        <w:t>請</w:t>
      </w:r>
      <w:r w:rsidRPr="001B6E4D">
        <w:t>司法院</w:t>
      </w:r>
      <w:r w:rsidRPr="001B6E4D">
        <w:rPr>
          <w:rFonts w:hint="eastAsia"/>
        </w:rPr>
        <w:t>加強宣導評鑑制度，適時整理申請評鑑不符程序，致不予受理的態樣，以利民眾理解法官評鑑制度之功能，正確加以適用，以強化評鑑效能</w:t>
      </w:r>
      <w:r w:rsidRPr="001B6E4D">
        <w:t>。【35】</w:t>
      </w:r>
    </w:p>
    <w:p w14:paraId="526F6FE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提案人：許宇</w:t>
      </w:r>
      <w:proofErr w:type="gramStart"/>
      <w:r w:rsidRPr="001B6E4D">
        <w:rPr>
          <w:rFonts w:ascii="標楷體" w:eastAsia="標楷體" w:hAnsi="標楷體"/>
          <w:color w:val="000000"/>
          <w:sz w:val="28"/>
          <w:szCs w:val="28"/>
        </w:rPr>
        <w:t>甄</w:t>
      </w:r>
      <w:proofErr w:type="gramEnd"/>
    </w:p>
    <w:p w14:paraId="1824C178"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551ED62F" w14:textId="77777777" w:rsidR="00201B77" w:rsidRPr="001B6E4D" w:rsidRDefault="00201B77" w:rsidP="003D1018">
      <w:pPr>
        <w:pStyle w:val="a"/>
        <w:overflowPunct w:val="0"/>
        <w:ind w:left="924" w:hanging="567"/>
      </w:pPr>
      <w:proofErr w:type="gramStart"/>
      <w:r w:rsidRPr="001B6E4D">
        <w:t>鑑</w:t>
      </w:r>
      <w:proofErr w:type="gramEnd"/>
      <w:r w:rsidRPr="001B6E4D">
        <w:t>於精神衛生法第62條已明定，嚴重病人於緊急安置</w:t>
      </w:r>
      <w:proofErr w:type="gramStart"/>
      <w:r w:rsidRPr="001B6E4D">
        <w:t>期間，</w:t>
      </w:r>
      <w:proofErr w:type="gramEnd"/>
      <w:r w:rsidRPr="001B6E4D">
        <w:t>未經委任律師為代理人者，應由指定精神醫療機構通報中央主管機關提供必要之法律扶助，顯示國家已逐步建構由律師參與之程序保障機制，並延伸至強制鑑定及向法院聲請強制住院等程序，藉由律師介入，作為病人、醫療機構與法院之間之重要橋梁。</w:t>
      </w:r>
    </w:p>
    <w:p w14:paraId="1B0BAEC1" w14:textId="77777777" w:rsidR="00201B77" w:rsidRPr="001B6E4D" w:rsidRDefault="00201B77" w:rsidP="003D1018">
      <w:pPr>
        <w:pStyle w:val="a"/>
        <w:numPr>
          <w:ilvl w:val="0"/>
          <w:numId w:val="0"/>
        </w:numPr>
        <w:overflowPunct w:val="0"/>
        <w:ind w:left="924" w:firstLineChars="200" w:firstLine="560"/>
      </w:pPr>
      <w:r w:rsidRPr="001B6E4D">
        <w:t>復查財團法人法律扶助基金會已受衛生福利部心理</w:t>
      </w:r>
      <w:proofErr w:type="gramStart"/>
      <w:r w:rsidRPr="001B6E4D">
        <w:t>健康司</w:t>
      </w:r>
      <w:proofErr w:type="gramEnd"/>
      <w:r w:rsidRPr="001B6E4D">
        <w:t>委託辦理「緊急安置期間嚴重病人法律扶助專案」，並進一步擴大委託事項，納入「緊急安置及強制住院程序聲請之非</w:t>
      </w:r>
      <w:proofErr w:type="gramStart"/>
      <w:r w:rsidRPr="001B6E4D">
        <w:t>訟</w:t>
      </w:r>
      <w:proofErr w:type="gramEnd"/>
      <w:r w:rsidRPr="001B6E4D">
        <w:t>代理業務」，同時規劃辦理扶助律師教育訓練，內容涵蓋精神衛生法新制、精神醫學診斷知識、病人溝通技巧及案例分享等，方向固屬正確。</w:t>
      </w:r>
      <w:proofErr w:type="gramStart"/>
      <w:r w:rsidRPr="001B6E4D">
        <w:t>惟</w:t>
      </w:r>
      <w:proofErr w:type="gramEnd"/>
      <w:r w:rsidRPr="001B6E4D">
        <w:t>相關制度即將全面施行，律師量能是否充足、專業培訓是否到位，以及實際執行是否足以確保當事人權益，仍有待檢視。</w:t>
      </w:r>
    </w:p>
    <w:p w14:paraId="2A3BE83F" w14:textId="77777777" w:rsidR="00201B77" w:rsidRPr="001B6E4D" w:rsidRDefault="00201B77" w:rsidP="003D1018">
      <w:pPr>
        <w:pStyle w:val="afffffffffd"/>
        <w:overflowPunct w:val="0"/>
        <w:ind w:left="924"/>
      </w:pPr>
      <w:proofErr w:type="gramStart"/>
      <w:r w:rsidRPr="001B6E4D">
        <w:lastRenderedPageBreak/>
        <w:t>爰</w:t>
      </w:r>
      <w:proofErr w:type="gramEnd"/>
      <w:r w:rsidRPr="001B6E4D">
        <w:t>此，建請</w:t>
      </w:r>
      <w:r w:rsidRPr="001B6E4D">
        <w:rPr>
          <w:rFonts w:hint="eastAsia"/>
        </w:rPr>
        <w:t>司法院督導財團法人</w:t>
      </w:r>
      <w:r w:rsidRPr="001B6E4D">
        <w:t>法律扶助基金會盤點目前承辦精神衛生案件之扶助律師人數與專業訓練之成效評估</w:t>
      </w:r>
      <w:r w:rsidRPr="001B6E4D">
        <w:rPr>
          <w:rFonts w:hint="eastAsia"/>
        </w:rPr>
        <w:t>，</w:t>
      </w:r>
      <w:r w:rsidRPr="001B6E4D">
        <w:t>於3個月內提送書面報告予</w:t>
      </w:r>
      <w:bookmarkStart w:id="490" w:name="_Hlk229671018"/>
      <w:r w:rsidRPr="001B6E4D">
        <w:rPr>
          <w:rFonts w:hint="eastAsia"/>
        </w:rPr>
        <w:t>立法院</w:t>
      </w:r>
      <w:bookmarkEnd w:id="490"/>
      <w:r w:rsidRPr="001B6E4D">
        <w:t>司法及法制委員會。【39】</w:t>
      </w:r>
    </w:p>
    <w:p w14:paraId="5749935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3CA5BA35"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連署人：張雅琳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3CE5620A" w14:textId="77777777" w:rsidR="00201B77" w:rsidRPr="001B6E4D" w:rsidRDefault="00201B77" w:rsidP="003D1018">
      <w:pPr>
        <w:pStyle w:val="a"/>
        <w:overflowPunct w:val="0"/>
        <w:ind w:left="924" w:hanging="567"/>
      </w:pPr>
      <w:proofErr w:type="gramStart"/>
      <w:r w:rsidRPr="001B6E4D">
        <w:t>鑑</w:t>
      </w:r>
      <w:proofErr w:type="gramEnd"/>
      <w:r w:rsidRPr="001B6E4D">
        <w:t>於家庭暴力防治法所規範之違反保護令行為，係為防止家庭暴力再犯之重要防線，惟依司法院相關統計，實務上違反保護令</w:t>
      </w:r>
      <w:r w:rsidRPr="001B6E4D">
        <w:rPr>
          <w:rFonts w:hint="eastAsia"/>
        </w:rPr>
        <w:t>最</w:t>
      </w:r>
      <w:r w:rsidRPr="001B6E4D">
        <w:t>多以拘役或得易科罰金處理，拘役比例高達八成，且幾近全數得易科罰金，致刑責偏低，嚇阻效果有限，難以有效防止再犯風險。</w:t>
      </w:r>
    </w:p>
    <w:p w14:paraId="46EEEADB" w14:textId="77777777" w:rsidR="00201B77" w:rsidRPr="001B6E4D" w:rsidRDefault="00201B77" w:rsidP="003D1018">
      <w:pPr>
        <w:pStyle w:val="a"/>
        <w:numPr>
          <w:ilvl w:val="0"/>
          <w:numId w:val="0"/>
        </w:numPr>
        <w:overflowPunct w:val="0"/>
        <w:ind w:left="924" w:firstLineChars="200" w:firstLine="560"/>
      </w:pPr>
      <w:r w:rsidRPr="001B6E4D">
        <w:t>另現行制度雖設有強制處遇機制，然根據司法院統計法院強制處遇機制低，顯示對高風險加害人之介入與矯治尚有不足，恐影響被害人之人身安全與制度保護效果。</w:t>
      </w:r>
    </w:p>
    <w:p w14:paraId="56B4A980" w14:textId="77777777" w:rsidR="00201B77" w:rsidRPr="001B6E4D" w:rsidRDefault="00201B77" w:rsidP="003D1018">
      <w:pPr>
        <w:pStyle w:val="afffffffffd"/>
        <w:overflowPunct w:val="0"/>
        <w:ind w:left="924"/>
      </w:pPr>
      <w:proofErr w:type="gramStart"/>
      <w:r w:rsidRPr="001B6E4D">
        <w:t>爰</w:t>
      </w:r>
      <w:proofErr w:type="gramEnd"/>
      <w:r w:rsidRPr="001B6E4D">
        <w:t>此，建請司法院檢討違反</w:t>
      </w:r>
      <w:proofErr w:type="gramStart"/>
      <w:r w:rsidRPr="001B6E4D">
        <w:t>保護令罪之</w:t>
      </w:r>
      <w:proofErr w:type="gramEnd"/>
      <w:r w:rsidRPr="001B6E4D">
        <w:t>情狀以及現行強制處遇機制（含加害人處遇計畫、心理輔導或治療）適用比例偏低之原因</w:t>
      </w:r>
      <w:r w:rsidRPr="001B6E4D">
        <w:rPr>
          <w:rFonts w:hint="eastAsia"/>
        </w:rPr>
        <w:t>，</w:t>
      </w:r>
      <w:r w:rsidRPr="001B6E4D">
        <w:t>於3個月內提送書面報告予</w:t>
      </w:r>
      <w:r w:rsidRPr="001B6E4D">
        <w:rPr>
          <w:rFonts w:hint="eastAsia"/>
        </w:rPr>
        <w:t>立法院</w:t>
      </w:r>
      <w:r w:rsidRPr="001B6E4D">
        <w:t>司法及法制委員會。【40】</w:t>
      </w:r>
    </w:p>
    <w:p w14:paraId="6BD77A7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44817DA5"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連署人：張雅琳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36BE0420" w14:textId="77777777" w:rsidR="00201B77" w:rsidRPr="001B6E4D" w:rsidRDefault="00201B77" w:rsidP="003D1018">
      <w:pPr>
        <w:pStyle w:val="a"/>
        <w:overflowPunct w:val="0"/>
        <w:ind w:left="924" w:hanging="567"/>
      </w:pPr>
      <w:r w:rsidRPr="001B6E4D">
        <w:t>有</w:t>
      </w:r>
      <w:proofErr w:type="gramStart"/>
      <w:r w:rsidRPr="001B6E4D">
        <w:t>鑑</w:t>
      </w:r>
      <w:proofErr w:type="gramEnd"/>
      <w:r w:rsidRPr="001B6E4D">
        <w:t>於司法院所擬具之「程序監理人選任及酬金支給辦法」修正草案，已於2025年9月30日預告程序，並開放各界於法定期間內表示意見，惟迄今仍未完成發布施行，影響相關制度運作與當事人程序保障。</w:t>
      </w:r>
    </w:p>
    <w:p w14:paraId="32B109A8" w14:textId="77777777" w:rsidR="00201B77" w:rsidRPr="001B6E4D" w:rsidRDefault="00201B77" w:rsidP="003D1018">
      <w:pPr>
        <w:pStyle w:val="a"/>
        <w:numPr>
          <w:ilvl w:val="0"/>
          <w:numId w:val="0"/>
        </w:numPr>
        <w:overflowPunct w:val="0"/>
        <w:ind w:left="924" w:firstLineChars="200" w:firstLine="560"/>
      </w:pPr>
      <w:r w:rsidRPr="001B6E4D">
        <w:t>查該辦法</w:t>
      </w:r>
      <w:proofErr w:type="gramStart"/>
      <w:r w:rsidRPr="001B6E4D">
        <w:t>攸</w:t>
      </w:r>
      <w:proofErr w:type="gramEnd"/>
      <w:r w:rsidRPr="001B6E4D">
        <w:t>關程序監理人之選任機制與酬金支給標準，亦涉及推薦來源、專業資格審查及實務運作方式等重要事項，預告期間各界所提意見與分歧，允應具體盤點並妥為回應，避免制度長期延宕，影響司法程序之正當性與完整性。</w:t>
      </w:r>
    </w:p>
    <w:p w14:paraId="4CCC3731" w14:textId="77777777" w:rsidR="00201B77" w:rsidRPr="001B6E4D" w:rsidRDefault="00201B77" w:rsidP="003D1018">
      <w:pPr>
        <w:pStyle w:val="afffffffffd"/>
        <w:overflowPunct w:val="0"/>
        <w:ind w:left="924"/>
      </w:pPr>
      <w:proofErr w:type="gramStart"/>
      <w:r w:rsidRPr="001B6E4D">
        <w:t>爰</w:t>
      </w:r>
      <w:proofErr w:type="gramEnd"/>
      <w:r w:rsidRPr="001B6E4D">
        <w:t>此，建請司法院於</w:t>
      </w:r>
      <w:r w:rsidRPr="001B6E4D">
        <w:rPr>
          <w:rFonts w:hint="eastAsia"/>
        </w:rPr>
        <w:t>3</w:t>
      </w:r>
      <w:r w:rsidRPr="001B6E4D">
        <w:t>個月內提送書面報告予</w:t>
      </w:r>
      <w:r w:rsidRPr="001B6E4D">
        <w:rPr>
          <w:rFonts w:hint="eastAsia"/>
        </w:rPr>
        <w:t>立法院</w:t>
      </w:r>
      <w:r w:rsidRPr="001B6E4D">
        <w:t>司法及法制委員會，內容應包括：</w:t>
      </w:r>
    </w:p>
    <w:p w14:paraId="516E1F60" w14:textId="77777777" w:rsidR="00201B77" w:rsidRPr="001B6E4D" w:rsidRDefault="00201B77" w:rsidP="003D1018">
      <w:pPr>
        <w:pStyle w:val="1003"/>
        <w:overflowPunct w:val="0"/>
      </w:pPr>
      <w:r w:rsidRPr="001B6E4D">
        <w:t xml:space="preserve">       1.彙整預告期間各界（含實務界、學界及民間團體）所提主要意見與疑慮，並分類說明爭點所在。</w:t>
      </w:r>
    </w:p>
    <w:p w14:paraId="08B69825" w14:textId="77777777" w:rsidR="00201B77" w:rsidRPr="001B6E4D" w:rsidRDefault="00201B77" w:rsidP="003D1018">
      <w:pPr>
        <w:pStyle w:val="afffffffffd"/>
        <w:overflowPunct w:val="0"/>
        <w:ind w:leftChars="17" w:left="1301" w:hangingChars="450" w:hanging="1260"/>
      </w:pPr>
      <w:r w:rsidRPr="001B6E4D">
        <w:rPr>
          <w:rFonts w:hint="eastAsia"/>
        </w:rPr>
        <w:t xml:space="preserve">       2.</w:t>
      </w:r>
      <w:r w:rsidRPr="001B6E4D">
        <w:t>就爭議事項提出具體回應與修正方向，並說明是否涉及制度設計或實務運作調整。</w:t>
      </w:r>
    </w:p>
    <w:p w14:paraId="5FF776FE" w14:textId="77777777" w:rsidR="00201B77" w:rsidRPr="001B6E4D" w:rsidRDefault="00201B77" w:rsidP="003D1018">
      <w:pPr>
        <w:pStyle w:val="afffffffffd"/>
        <w:overflowPunct w:val="0"/>
        <w:ind w:leftChars="17" w:left="1301" w:hangingChars="450" w:hanging="1260"/>
      </w:pPr>
      <w:r w:rsidRPr="001B6E4D">
        <w:rPr>
          <w:rFonts w:hint="eastAsia"/>
        </w:rPr>
        <w:t xml:space="preserve">       3.</w:t>
      </w:r>
      <w:r w:rsidRPr="001B6E4D">
        <w:t>明確提出本辦法完成修正、發布施行之預定時程，避免影響相關制度上路。【41】</w:t>
      </w:r>
    </w:p>
    <w:p w14:paraId="339CC6EA"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2087D44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連署人：張雅琳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15E77665" w14:textId="77777777" w:rsidR="00201B77" w:rsidRPr="001B6E4D" w:rsidRDefault="00201B77" w:rsidP="003D1018">
      <w:pPr>
        <w:pStyle w:val="a"/>
        <w:overflowPunct w:val="0"/>
        <w:ind w:left="924" w:hanging="567"/>
      </w:pPr>
      <w:r w:rsidRPr="001B6E4D">
        <w:t>司法案量逐年遞增，且司法人員過</w:t>
      </w:r>
      <w:proofErr w:type="gramStart"/>
      <w:r w:rsidRPr="001B6E4D">
        <w:t>勞</w:t>
      </w:r>
      <w:proofErr w:type="gramEnd"/>
      <w:r w:rsidRPr="001B6E4D">
        <w:t>情況時有所聞。針對人</w:t>
      </w:r>
      <w:r w:rsidRPr="001B6E4D">
        <w:lastRenderedPageBreak/>
        <w:t>力有效分配，司法院早於1999年早在法院組織法新增法官，但法官助理培養升遷與職責範圍並未明確，以致人力並無有效利用。</w:t>
      </w:r>
    </w:p>
    <w:p w14:paraId="6BB5C8EC" w14:textId="77777777" w:rsidR="00201B77" w:rsidRPr="001B6E4D" w:rsidRDefault="00201B77" w:rsidP="003D1018">
      <w:pPr>
        <w:pStyle w:val="afffffffffd"/>
        <w:overflowPunct w:val="0"/>
        <w:ind w:left="924"/>
      </w:pPr>
      <w:r w:rsidRPr="001B6E4D">
        <w:t>參酌司法院於2024年8月出版委託計畫</w:t>
      </w:r>
      <w:proofErr w:type="gramStart"/>
      <w:r w:rsidRPr="001B6E4D">
        <w:t>《</w:t>
      </w:r>
      <w:proofErr w:type="gramEnd"/>
      <w:r w:rsidRPr="001B6E4D">
        <w:t>透視司法工作</w:t>
      </w:r>
      <w:r w:rsidRPr="001B6E4D">
        <w:rPr>
          <w:rFonts w:hint="eastAsia"/>
        </w:rPr>
        <w:t>：</w:t>
      </w:r>
      <w:r w:rsidRPr="001B6E4D">
        <w:t>一線視角下的負擔課題與管理優化對策計畫書</w:t>
      </w:r>
      <w:proofErr w:type="gramStart"/>
      <w:r w:rsidRPr="001B6E4D">
        <w:t>》</w:t>
      </w:r>
      <w:proofErr w:type="gramEnd"/>
      <w:r w:rsidRPr="001B6E4D">
        <w:t>指出，法官助理一年</w:t>
      </w:r>
      <w:proofErr w:type="gramStart"/>
      <w:r w:rsidRPr="001B6E4D">
        <w:t>一</w:t>
      </w:r>
      <w:proofErr w:type="gramEnd"/>
      <w:r w:rsidRPr="001B6E4D">
        <w:t>聘的約聘僱情況下，又缺乏完整升遷、留任與職</w:t>
      </w:r>
      <w:proofErr w:type="gramStart"/>
      <w:r w:rsidRPr="001B6E4D">
        <w:t>涯</w:t>
      </w:r>
      <w:proofErr w:type="gramEnd"/>
      <w:r w:rsidRPr="001B6E4D">
        <w:t>發展系統，使得法官助理工作不受重視。另針對法官助理可否協助草擬判決初稿之疑慮，部分法官仍有疑慮，以致工作職權模糊。</w:t>
      </w:r>
    </w:p>
    <w:p w14:paraId="37E9E378" w14:textId="77777777" w:rsidR="00201B77" w:rsidRPr="001B6E4D" w:rsidRDefault="00201B77" w:rsidP="003D1018">
      <w:pPr>
        <w:pStyle w:val="afffffffffd"/>
        <w:overflowPunct w:val="0"/>
        <w:ind w:left="924"/>
      </w:pPr>
      <w:proofErr w:type="gramStart"/>
      <w:r w:rsidRPr="001B6E4D">
        <w:t>爰</w:t>
      </w:r>
      <w:proofErr w:type="gramEnd"/>
      <w:r w:rsidRPr="001B6E4D">
        <w:t>此，建請司法院，針對法官助理功能改善方案，於3個月內提送書面報告予</w:t>
      </w:r>
      <w:r w:rsidRPr="001B6E4D">
        <w:rPr>
          <w:rFonts w:hint="eastAsia"/>
        </w:rPr>
        <w:t>立法院</w:t>
      </w:r>
      <w:r w:rsidRPr="001B6E4D">
        <w:t>司法及法制委員會。【42】</w:t>
      </w:r>
    </w:p>
    <w:p w14:paraId="22C8556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7A820079"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連署人：張雅琳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685925E7" w14:textId="77777777" w:rsidR="00201B77" w:rsidRPr="001B6E4D" w:rsidRDefault="00201B77" w:rsidP="003D1018">
      <w:pPr>
        <w:pStyle w:val="a"/>
        <w:overflowPunct w:val="0"/>
        <w:ind w:left="924" w:hanging="567"/>
      </w:pPr>
      <w:r w:rsidRPr="001B6E4D">
        <w:t>司法通譯牽涉當事人權益及司法體系做出正確裁判之能力甚深，通譯本身除必須理解當事人的母語，將其翻譯成一般人懂的中文外，亦應如實、完整通譯當事人所表達之內容，且須避免因自我意識增減、解釋法官或檢察官之提問。</w:t>
      </w:r>
    </w:p>
    <w:p w14:paraId="3F100A2D" w14:textId="77777777" w:rsidR="00201B77" w:rsidRPr="001B6E4D" w:rsidRDefault="00201B77" w:rsidP="003D1018">
      <w:pPr>
        <w:pStyle w:val="afffffffffd"/>
        <w:overflowPunct w:val="0"/>
        <w:ind w:left="924"/>
      </w:pPr>
      <w:r w:rsidRPr="001B6E4D">
        <w:t>司法院</w:t>
      </w:r>
      <w:proofErr w:type="gramStart"/>
      <w:r w:rsidRPr="001B6E4D">
        <w:t>115</w:t>
      </w:r>
      <w:proofErr w:type="gramEnd"/>
      <w:r w:rsidRPr="001B6E4D">
        <w:t>年度施政計畫之一，即為「健全通譯制度，提升法庭傳譯品質，保障聽覺或語言障礙者、語言不通人士之訴訟權益」。</w:t>
      </w:r>
    </w:p>
    <w:p w14:paraId="65633278" w14:textId="77777777" w:rsidR="00201B77" w:rsidRPr="001B6E4D" w:rsidRDefault="00201B77" w:rsidP="003D1018">
      <w:pPr>
        <w:pStyle w:val="afffffffffd"/>
        <w:overflowPunct w:val="0"/>
        <w:ind w:left="924"/>
      </w:pPr>
      <w:r w:rsidRPr="001B6E4D">
        <w:t>司法院為提供通譯服務，依據《法院特約通譯約聘辦法》設有特約通譯制度。查該辦法第</w:t>
      </w:r>
      <w:r w:rsidRPr="001B6E4D">
        <w:rPr>
          <w:rFonts w:hint="eastAsia"/>
        </w:rPr>
        <w:t>6</w:t>
      </w:r>
      <w:r w:rsidRPr="001B6E4D">
        <w:t>條至第</w:t>
      </w:r>
      <w:r w:rsidRPr="001B6E4D">
        <w:rPr>
          <w:rFonts w:hint="eastAsia"/>
        </w:rPr>
        <w:t>8</w:t>
      </w:r>
      <w:r w:rsidRPr="001B6E4D">
        <w:t>條所定之教育訓練，多以「聽講」為主要實施方式。然司法通譯涉及大量法律專業術語及法庭程序知識，此類實務</w:t>
      </w:r>
      <w:proofErr w:type="gramStart"/>
      <w:r w:rsidRPr="001B6E4D">
        <w:t>技能難僅憑</w:t>
      </w:r>
      <w:proofErr w:type="gramEnd"/>
      <w:r w:rsidRPr="001B6E4D">
        <w:t>聽講獲取，必須透過實際參與、觀摩法庭運作，始能有效熟稔法庭動態與專業語境。</w:t>
      </w:r>
    </w:p>
    <w:p w14:paraId="2994026E" w14:textId="77777777" w:rsidR="00201B77" w:rsidRPr="001B6E4D" w:rsidRDefault="00201B77" w:rsidP="003D1018">
      <w:pPr>
        <w:pStyle w:val="afffffffffd"/>
        <w:overflowPunct w:val="0"/>
        <w:ind w:left="924"/>
      </w:pPr>
      <w:r w:rsidRPr="001B6E4D">
        <w:t>為提升通譯服務品質、因應司法實務需求，建請司法院</w:t>
      </w:r>
      <w:proofErr w:type="gramStart"/>
      <w:r w:rsidRPr="001B6E4D">
        <w:t>研</w:t>
      </w:r>
      <w:proofErr w:type="gramEnd"/>
      <w:r w:rsidRPr="001B6E4D">
        <w:t>議增加聽講以外之教育訓練方式，提供包含但不限於案件模擬、現場或影像紀錄臨摹實習和與實務工作者之交流座談、互動式教案等方式；內容應包含協助特約通譯熟悉跨文化交流、情緒控制、法律知識等，增進更多應用練習及實務觀摩機會，協助特約通譯發展司法通譯能力，並將具體規劃及推動時程於</w:t>
      </w:r>
      <w:r w:rsidRPr="001B6E4D">
        <w:rPr>
          <w:rFonts w:hint="eastAsia"/>
        </w:rPr>
        <w:t>3</w:t>
      </w:r>
      <w:r w:rsidRPr="001B6E4D">
        <w:t>個月內向立法院司法及法制委員會提出書面報告。【43】</w:t>
      </w:r>
    </w:p>
    <w:p w14:paraId="2E2E11D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386E99A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連署人：張雅琳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060978E2" w14:textId="77777777" w:rsidR="00201B77" w:rsidRPr="001B6E4D" w:rsidRDefault="00201B77" w:rsidP="003D1018">
      <w:pPr>
        <w:pStyle w:val="a"/>
        <w:overflowPunct w:val="0"/>
        <w:ind w:left="1037" w:hanging="680"/>
      </w:pPr>
      <w:r w:rsidRPr="001B6E4D">
        <w:t>根據司法院及所屬各機關各項</w:t>
      </w:r>
      <w:proofErr w:type="gramStart"/>
      <w:r w:rsidRPr="001B6E4D">
        <w:t>案件收結概況</w:t>
      </w:r>
      <w:proofErr w:type="gramEnd"/>
      <w:r w:rsidRPr="001B6E4D">
        <w:t>顯示，自</w:t>
      </w:r>
      <w:proofErr w:type="gramStart"/>
      <w:r w:rsidRPr="001B6E4D">
        <w:t>111</w:t>
      </w:r>
      <w:proofErr w:type="gramEnd"/>
      <w:r w:rsidRPr="001B6E4D">
        <w:t>年</w:t>
      </w:r>
      <w:r w:rsidRPr="001B6E4D">
        <w:rPr>
          <w:rFonts w:hint="eastAsia"/>
        </w:rPr>
        <w:t>度</w:t>
      </w:r>
      <w:r w:rsidRPr="001B6E4D">
        <w:t>之386</w:t>
      </w:r>
      <w:r w:rsidRPr="001B6E4D">
        <w:rPr>
          <w:rFonts w:hint="eastAsia"/>
        </w:rPr>
        <w:t>萬</w:t>
      </w:r>
      <w:r w:rsidRPr="001B6E4D">
        <w:t>5,</w:t>
      </w:r>
      <w:proofErr w:type="gramStart"/>
      <w:r w:rsidRPr="001B6E4D">
        <w:t>320件逐增至114</w:t>
      </w:r>
      <w:proofErr w:type="gramEnd"/>
      <w:r w:rsidRPr="001B6E4D">
        <w:t>年</w:t>
      </w:r>
      <w:r w:rsidRPr="001B6E4D">
        <w:rPr>
          <w:rFonts w:hint="eastAsia"/>
        </w:rPr>
        <w:t>度</w:t>
      </w:r>
      <w:r w:rsidRPr="001B6E4D">
        <w:t>之475</w:t>
      </w:r>
      <w:r w:rsidRPr="001B6E4D">
        <w:rPr>
          <w:rFonts w:hint="eastAsia"/>
        </w:rPr>
        <w:t>萬</w:t>
      </w:r>
      <w:r w:rsidRPr="001B6E4D">
        <w:t>8,237件，案件量之劇增導致司法負荷日漸繁重，致法官、檢察官、書記官等</w:t>
      </w:r>
      <w:r w:rsidRPr="001B6E4D">
        <w:lastRenderedPageBreak/>
        <w:t>司法人員長期處於高壓工作環境，影響審判品質與司法效率。</w:t>
      </w:r>
    </w:p>
    <w:p w14:paraId="346F2814" w14:textId="77777777" w:rsidR="00201B77" w:rsidRPr="001B6E4D" w:rsidRDefault="00201B77" w:rsidP="003D1018">
      <w:pPr>
        <w:pStyle w:val="afffffffffd"/>
        <w:overflowPunct w:val="0"/>
      </w:pPr>
      <w:proofErr w:type="gramStart"/>
      <w:r w:rsidRPr="001B6E4D">
        <w:t>再者，</w:t>
      </w:r>
      <w:proofErr w:type="gramEnd"/>
      <w:r w:rsidRPr="001B6E4D">
        <w:t>現行法官與紀錄書記官之「實際加班時數」與「申請加班時數」存在顯著落差，造成「超時加班常態化」之現象。</w:t>
      </w:r>
      <w:proofErr w:type="gramStart"/>
      <w:r w:rsidRPr="001B6E4D">
        <w:t>此外，</w:t>
      </w:r>
      <w:proofErr w:type="gramEnd"/>
      <w:r w:rsidRPr="001B6E4D">
        <w:t>目前的補休制度亦難以讓人員達成真正的「離線休息」，未能對超時服勤給予適當之評價與補償。</w:t>
      </w:r>
    </w:p>
    <w:p w14:paraId="27616707" w14:textId="77777777" w:rsidR="00201B77" w:rsidRPr="001B6E4D" w:rsidRDefault="00201B77" w:rsidP="003D1018">
      <w:pPr>
        <w:pStyle w:val="afffffffffd"/>
        <w:overflowPunct w:val="0"/>
      </w:pPr>
      <w:r w:rsidRPr="001B6E4D">
        <w:t>為因應實務負荷，司法院雖於</w:t>
      </w:r>
      <w:r w:rsidRPr="001B6E4D">
        <w:rPr>
          <w:rFonts w:hint="eastAsia"/>
        </w:rPr>
        <w:t>115</w:t>
      </w:r>
      <w:r w:rsidRPr="001B6E4D">
        <w:t>年4月擬具《刑事訴訟法》部分條文修正草案，其中包含：對於被告認罪且對起訴事實無爭執案件，可簡化審理程序與證據調查，讓案件更快終結；放寬有罪判決書的記載方式，擴大簡化適用範圍，增訂得以「宣示判決筆錄」替代判決書的機制，以減輕法院文書負擔；增加審判筆錄製作彈性，除現行由書記官當場製作外，可</w:t>
      </w:r>
      <w:proofErr w:type="gramStart"/>
      <w:r w:rsidRPr="001B6E4D">
        <w:t>採</w:t>
      </w:r>
      <w:proofErr w:type="gramEnd"/>
      <w:r w:rsidRPr="001B6E4D">
        <w:t>委外記錄或科技輔助方式，必要時並得由其他適當人員協助處理等。</w:t>
      </w:r>
    </w:p>
    <w:p w14:paraId="5EBA3043" w14:textId="77777777" w:rsidR="00201B77" w:rsidRPr="001B6E4D" w:rsidRDefault="00201B77" w:rsidP="003D1018">
      <w:pPr>
        <w:pStyle w:val="afffffffffd"/>
        <w:overflowPunct w:val="0"/>
      </w:pPr>
      <w:proofErr w:type="gramStart"/>
      <w:r w:rsidRPr="001B6E4D">
        <w:t>惟</w:t>
      </w:r>
      <w:proofErr w:type="gramEnd"/>
      <w:r w:rsidRPr="001B6E4D">
        <w:t>現行人力編制與暴增的案件量已出現嚴重失衡，若未能從根本調整基層人力之員額，任何工作方法的改善及更新，最終仍會被基層同仁的勞動極限所抵銷。</w:t>
      </w:r>
    </w:p>
    <w:p w14:paraId="27DA6770" w14:textId="77777777" w:rsidR="00201B77" w:rsidRPr="001B6E4D" w:rsidRDefault="00201B77" w:rsidP="003D1018">
      <w:pPr>
        <w:pStyle w:val="afffffffffd"/>
        <w:overflowPunct w:val="0"/>
      </w:pPr>
      <w:r w:rsidRPr="001B6E4D">
        <w:t>依據《經濟社會文化權利國際公約》第7條，人人有權享有公平良好之工作條件及合理之工作時間限制。</w:t>
      </w:r>
      <w:proofErr w:type="gramStart"/>
      <w:r w:rsidRPr="001B6E4D">
        <w:t>爰</w:t>
      </w:r>
      <w:proofErr w:type="gramEnd"/>
      <w:r w:rsidRPr="001B6E4D">
        <w:t>針對司法案件量劇增導致之基層人力負荷過重問題，建請司法院應於</w:t>
      </w:r>
      <w:proofErr w:type="gramStart"/>
      <w:r w:rsidRPr="001B6E4D">
        <w:rPr>
          <w:rFonts w:hint="eastAsia"/>
        </w:rPr>
        <w:t>115</w:t>
      </w:r>
      <w:proofErr w:type="gramEnd"/>
      <w:r w:rsidRPr="001B6E4D">
        <w:t>年度預算案通過後3個月內，就「員額編制檢討」、「加班費預算調整」及「司法人員過</w:t>
      </w:r>
      <w:proofErr w:type="gramStart"/>
      <w:r w:rsidRPr="001B6E4D">
        <w:t>勞</w:t>
      </w:r>
      <w:proofErr w:type="gramEnd"/>
      <w:r w:rsidRPr="001B6E4D">
        <w:t>改善計畫」向立法院司法及法制委員會提出書面報告：</w:t>
      </w:r>
    </w:p>
    <w:p w14:paraId="00BEF926" w14:textId="77777777" w:rsidR="00201B77" w:rsidRPr="001B6E4D" w:rsidRDefault="00201B77" w:rsidP="003D1018">
      <w:pPr>
        <w:pStyle w:val="1003"/>
        <w:overflowPunct w:val="0"/>
        <w:ind w:leftChars="472" w:left="1413" w:hangingChars="100" w:hanging="280"/>
      </w:pPr>
      <w:r w:rsidRPr="001B6E4D">
        <w:rPr>
          <w:rFonts w:hint="eastAsia"/>
        </w:rPr>
        <w:t>1</w:t>
      </w:r>
      <w:r w:rsidRPr="001B6E4D">
        <w:t>.依據各級法院案件成長幅度及業務實際運作情形，審慎評估法官、書記官及相關司法人員之員額編制。</w:t>
      </w:r>
    </w:p>
    <w:p w14:paraId="3968E8E4" w14:textId="77777777" w:rsidR="00201B77" w:rsidRPr="001B6E4D" w:rsidRDefault="00201B77" w:rsidP="003D1018">
      <w:pPr>
        <w:pStyle w:val="1003"/>
        <w:overflowPunct w:val="0"/>
        <w:ind w:leftChars="472" w:left="1413" w:hangingChars="100" w:hanging="280"/>
      </w:pPr>
      <w:r w:rsidRPr="001B6E4D">
        <w:rPr>
          <w:rFonts w:hint="eastAsia"/>
        </w:rPr>
        <w:t>2</w:t>
      </w:r>
      <w:r w:rsidRPr="001B6E4D">
        <w:t>.針對超時服勤現況，應檢討現行加班費上限與補休制度，</w:t>
      </w:r>
      <w:proofErr w:type="gramStart"/>
      <w:r w:rsidRPr="001B6E4D">
        <w:t>研</w:t>
      </w:r>
      <w:proofErr w:type="gramEnd"/>
      <w:r w:rsidRPr="001B6E4D">
        <w:t>議如何給予司法人員實質之</w:t>
      </w:r>
      <w:r w:rsidRPr="001B6E4D">
        <w:rPr>
          <w:rFonts w:hint="eastAsia"/>
        </w:rPr>
        <w:t>誘因</w:t>
      </w:r>
      <w:r w:rsidRPr="001B6E4D">
        <w:t>（如提高加班費額度），避免基層人員長期過</w:t>
      </w:r>
      <w:proofErr w:type="gramStart"/>
      <w:r w:rsidRPr="001B6E4D">
        <w:t>勞</w:t>
      </w:r>
      <w:proofErr w:type="gramEnd"/>
      <w:r w:rsidRPr="001B6E4D">
        <w:t>。【44】</w:t>
      </w:r>
    </w:p>
    <w:p w14:paraId="08BB549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15A9CB8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連署人：沈發惠　張雅琳</w:t>
      </w:r>
    </w:p>
    <w:p w14:paraId="2DF2A2C3" w14:textId="77777777" w:rsidR="00201B77" w:rsidRPr="001B6E4D" w:rsidRDefault="00201B77" w:rsidP="003D1018">
      <w:pPr>
        <w:pStyle w:val="a"/>
        <w:overflowPunct w:val="0"/>
        <w:ind w:left="924" w:hanging="567"/>
      </w:pPr>
      <w:proofErr w:type="gramStart"/>
      <w:r w:rsidRPr="001B6E4D">
        <w:t>鑑</w:t>
      </w:r>
      <w:proofErr w:type="gramEnd"/>
      <w:r w:rsidRPr="001B6E4D">
        <w:t>於量刑前社會調查及鑑定制度，對於《</w:t>
      </w:r>
      <w:r w:rsidRPr="001B6E4D">
        <w:rPr>
          <w:rFonts w:hint="eastAsia"/>
        </w:rPr>
        <w:t>中華民國</w:t>
      </w:r>
      <w:r w:rsidRPr="001B6E4D">
        <w:t>刑法》第57條所定犯罪行為人之生活狀況、智識程度、品行及犯罪後態度等量刑事項，具有重要參考功能，亦有助於法院綜合評估被告之行為動機、再犯風險及社會復歸可能性。</w:t>
      </w:r>
      <w:proofErr w:type="gramStart"/>
      <w:r w:rsidRPr="001B6E4D">
        <w:t>另隨近年</w:t>
      </w:r>
      <w:proofErr w:type="gramEnd"/>
      <w:r w:rsidRPr="001B6E4D">
        <w:t>被害人權益保障制度逐步強化，「犯罪被害人影響陳述」已成為刑事程序中反映被害人損害、心理影響及程序參與權之重要機制，其在量刑</w:t>
      </w:r>
      <w:proofErr w:type="gramStart"/>
      <w:r w:rsidRPr="001B6E4D">
        <w:t>審酌上之</w:t>
      </w:r>
      <w:proofErr w:type="gramEnd"/>
      <w:r w:rsidRPr="001B6E4D">
        <w:t>實際運作情形，亦受社會關注。</w:t>
      </w:r>
    </w:p>
    <w:p w14:paraId="505AD1B4" w14:textId="77777777" w:rsidR="00201B77" w:rsidRPr="001B6E4D" w:rsidRDefault="00201B77" w:rsidP="003D1018">
      <w:pPr>
        <w:pStyle w:val="afffffffffd"/>
        <w:overflowPunct w:val="0"/>
        <w:ind w:left="924"/>
      </w:pPr>
      <w:proofErr w:type="gramStart"/>
      <w:r w:rsidRPr="001B6E4D">
        <w:t>惟</w:t>
      </w:r>
      <w:proofErr w:type="gramEnd"/>
      <w:r w:rsidRPr="001B6E4D">
        <w:t>目前各法院就犯罪被害人影響陳述之適用情形、採納比例、案件類型及量刑參</w:t>
      </w:r>
      <w:proofErr w:type="gramStart"/>
      <w:r w:rsidRPr="001B6E4D">
        <w:t>採</w:t>
      </w:r>
      <w:proofErr w:type="gramEnd"/>
      <w:r w:rsidRPr="001B6E4D">
        <w:t>方式，尚缺完整統計與公開資訊；實</w:t>
      </w:r>
      <w:r w:rsidRPr="001B6E4D">
        <w:lastRenderedPageBreak/>
        <w:t>務上法官於量刑理由中，對於被害人影響陳述之參</w:t>
      </w:r>
      <w:proofErr w:type="gramStart"/>
      <w:r w:rsidRPr="001B6E4D">
        <w:t>採</w:t>
      </w:r>
      <w:proofErr w:type="gramEnd"/>
      <w:r w:rsidRPr="001B6E4D">
        <w:t>程度、具體考量因素及不予採納理由之記載方式，是否已建立一致且明確之操作原則，亦有進一步檢討空間。</w:t>
      </w:r>
      <w:proofErr w:type="gramStart"/>
      <w:r w:rsidRPr="001B6E4D">
        <w:t>爰</w:t>
      </w:r>
      <w:proofErr w:type="gramEnd"/>
      <w:r w:rsidRPr="001B6E4D">
        <w:t>要求司法院就近三年各級法院辦理犯罪被害人</w:t>
      </w:r>
      <w:r w:rsidRPr="001B6E4D">
        <w:rPr>
          <w:rFonts w:hint="eastAsia"/>
        </w:rPr>
        <w:t>訴訟參與</w:t>
      </w:r>
      <w:r w:rsidRPr="001B6E4D">
        <w:t>之案件數量、案件類型及量刑理由記載方式進行整體盤點，並檢視現行制度於被害人</w:t>
      </w:r>
      <w:r w:rsidRPr="001B6E4D">
        <w:rPr>
          <w:rFonts w:hint="eastAsia"/>
        </w:rPr>
        <w:t>影響陳述</w:t>
      </w:r>
      <w:r w:rsidRPr="001B6E4D">
        <w:t>、陳述保護及救濟機制之運作情形，</w:t>
      </w:r>
      <w:proofErr w:type="gramStart"/>
      <w:r w:rsidRPr="001B6E4D">
        <w:t>研</w:t>
      </w:r>
      <w:proofErr w:type="gramEnd"/>
      <w:r w:rsidRPr="001B6E4D">
        <w:t>議相關精進措施及參考指引，以強化量刑程序透明性與被害人程序保障。</w:t>
      </w:r>
    </w:p>
    <w:p w14:paraId="472BCF71" w14:textId="77777777" w:rsidR="00201B77" w:rsidRPr="001B6E4D" w:rsidRDefault="00201B77" w:rsidP="003D1018">
      <w:pPr>
        <w:pStyle w:val="afffffffffd"/>
        <w:overflowPunct w:val="0"/>
        <w:ind w:left="924"/>
      </w:pPr>
      <w:proofErr w:type="gramStart"/>
      <w:r w:rsidRPr="001B6E4D">
        <w:t>爰</w:t>
      </w:r>
      <w:proofErr w:type="gramEnd"/>
      <w:r w:rsidRPr="001B6E4D">
        <w:t>建請司法院於3個月內向立法院司法及法制委員會提出書面報告。【45】</w:t>
      </w:r>
    </w:p>
    <w:p w14:paraId="76C1EED9"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08F50202"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連署人：張雅琳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3A5AADEA" w14:textId="77777777" w:rsidR="00201B77" w:rsidRPr="001B6E4D" w:rsidRDefault="00201B77" w:rsidP="003D1018">
      <w:pPr>
        <w:pStyle w:val="a"/>
        <w:overflowPunct w:val="0"/>
        <w:ind w:left="924" w:hanging="567"/>
      </w:pPr>
      <w:proofErr w:type="gramStart"/>
      <w:r w:rsidRPr="001B6E4D">
        <w:t>鑑</w:t>
      </w:r>
      <w:proofErr w:type="gramEnd"/>
      <w:r w:rsidRPr="001B6E4D">
        <w:t>於近年少年事件處理制度逐步朝向保護、輔導及社會復歸方向發展，少年保護管束執行期間之風險評估與分級處遇，已成為少年司法制度中重要之一環。依司法院推動之少年保護管束風險管理試辦計畫，其內容包含風險評估指標、處遇分流及追蹤輔導等機制，目的在於協助第一線少年調查官及相關人員，更有效掌握少年再犯風險及處遇需求。</w:t>
      </w:r>
    </w:p>
    <w:p w14:paraId="43CEC3C6" w14:textId="77777777" w:rsidR="00201B77" w:rsidRPr="001B6E4D" w:rsidRDefault="00201B77" w:rsidP="003D1018">
      <w:pPr>
        <w:pStyle w:val="afffffffffd"/>
        <w:overflowPunct w:val="0"/>
        <w:ind w:left="924"/>
      </w:pPr>
      <w:proofErr w:type="gramStart"/>
      <w:r w:rsidRPr="001B6E4D">
        <w:t>惟</w:t>
      </w:r>
      <w:proofErr w:type="gramEnd"/>
      <w:r w:rsidRPr="001B6E4D">
        <w:t>少年事件具有高度個案差異性，其家庭環境、成長歷程、同儕關係及心理狀態均可能影響風險評估結果，外界亦關注現行風險評估指標及操作模式，是否已建立一致、客觀且具實證基礎之評估標準，以及不同法院間之適用方式是否一致；另風險評估結果與後續處遇、保護管束措施及資源配置之連結機制，是否已具備明確操作原則，亦有進一步檢討空間。</w:t>
      </w:r>
    </w:p>
    <w:p w14:paraId="6E394DA1" w14:textId="77777777" w:rsidR="00201B77" w:rsidRPr="001B6E4D" w:rsidRDefault="00201B77" w:rsidP="003D1018">
      <w:pPr>
        <w:pStyle w:val="afffffffffd"/>
        <w:overflowPunct w:val="0"/>
        <w:ind w:left="924"/>
      </w:pPr>
      <w:proofErr w:type="gramStart"/>
      <w:r w:rsidRPr="001B6E4D">
        <w:t>爰</w:t>
      </w:r>
      <w:proofErr w:type="gramEnd"/>
      <w:r w:rsidRPr="001B6E4D">
        <w:t>請司法院就少年保護管束風險管理試辦計畫之執行情形、評估指標設計依據、各法院適用現況及後續處遇連結機制進行整體盤點，並</w:t>
      </w:r>
      <w:proofErr w:type="gramStart"/>
      <w:r w:rsidRPr="001B6E4D">
        <w:t>研</w:t>
      </w:r>
      <w:proofErr w:type="gramEnd"/>
      <w:r w:rsidRPr="001B6E4D">
        <w:t>議建立相關操作指引、教育訓練及成效追蹤機制，以兼顧少年最佳利益、個案</w:t>
      </w:r>
      <w:proofErr w:type="gramStart"/>
      <w:r w:rsidRPr="001B6E4D">
        <w:t>處遇妥適</w:t>
      </w:r>
      <w:proofErr w:type="gramEnd"/>
      <w:r w:rsidRPr="001B6E4D">
        <w:t>性及制度運作一致性。</w:t>
      </w:r>
    </w:p>
    <w:p w14:paraId="27641D5D" w14:textId="77777777" w:rsidR="00201B77" w:rsidRPr="001B6E4D" w:rsidRDefault="00201B77" w:rsidP="003D1018">
      <w:pPr>
        <w:pStyle w:val="afffffffffd"/>
        <w:overflowPunct w:val="0"/>
        <w:ind w:left="924"/>
      </w:pPr>
      <w:proofErr w:type="gramStart"/>
      <w:r w:rsidRPr="001B6E4D">
        <w:t>爰</w:t>
      </w:r>
      <w:proofErr w:type="gramEnd"/>
      <w:r w:rsidRPr="001B6E4D">
        <w:t>建請司法院於</w:t>
      </w:r>
      <w:r w:rsidRPr="001B6E4D">
        <w:rPr>
          <w:rFonts w:hint="eastAsia"/>
        </w:rPr>
        <w:t>6</w:t>
      </w:r>
      <w:r w:rsidRPr="001B6E4D">
        <w:t>個月內向立法院司法及法制委員會提出書面報告。【46】</w:t>
      </w:r>
    </w:p>
    <w:p w14:paraId="46C746A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　張雅琳</w:t>
      </w:r>
    </w:p>
    <w:p w14:paraId="65EDAA7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69B25DFE" w14:textId="77777777" w:rsidR="00201B77" w:rsidRPr="001B6E4D" w:rsidRDefault="00201B77" w:rsidP="003D1018">
      <w:pPr>
        <w:pStyle w:val="a"/>
        <w:overflowPunct w:val="0"/>
        <w:ind w:left="924" w:hanging="567"/>
      </w:pPr>
      <w:proofErr w:type="gramStart"/>
      <w:r w:rsidRPr="001B6E4D">
        <w:t>鑑</w:t>
      </w:r>
      <w:proofErr w:type="gramEnd"/>
      <w:r w:rsidRPr="001B6E4D">
        <w:t>於依《少年事件處理法》規定，少年調查保護官肩負少年保護事件調查、輔導、訪視及保護管束執行等重要職責，並須依少年個案情形進行風險評估、資源連結及後續處遇規劃，其業務內容已逐步朝向高度專業化與個案化發展。近年隨少年保護事件類型日趨複雜，第一線少年調查</w:t>
      </w:r>
      <w:proofErr w:type="gramStart"/>
      <w:r w:rsidRPr="001B6E4D">
        <w:t>保護官除需</w:t>
      </w:r>
      <w:proofErr w:type="gramEnd"/>
      <w:r w:rsidRPr="001B6E4D">
        <w:t>辦理保護管束案件外，亦須兼顧家庭訪視、校園聯繫、資源協調及跨機</w:t>
      </w:r>
      <w:r w:rsidRPr="001B6E4D">
        <w:lastRenderedPageBreak/>
        <w:t>關合作等工作，整體工作負荷及壓力持續增加。</w:t>
      </w:r>
    </w:p>
    <w:p w14:paraId="7ACCB847" w14:textId="77777777" w:rsidR="00201B77" w:rsidRPr="001B6E4D" w:rsidRDefault="00201B77" w:rsidP="003D1018">
      <w:pPr>
        <w:pStyle w:val="afffffffffd"/>
        <w:overflowPunct w:val="0"/>
        <w:ind w:left="924"/>
      </w:pPr>
      <w:r w:rsidRPr="001B6E4D">
        <w:t>惟依近年統計資料顯示，各地方法院少年調查保護官之案件量與執行負荷仍存在差異，部分法院未結案件數及平均執行案件量偏高，外界亦關注現行人力配置、案件分流及行政支援機制，是否足以因應少年事件處理制度日益複雜之需求；另在推動少年保護管束風險管理及個案分級處遇政策下，相關新增業務與人力配置是否相互對應，亦有進一步檢討必要。</w:t>
      </w:r>
    </w:p>
    <w:p w14:paraId="1AC68849" w14:textId="77777777" w:rsidR="00201B77" w:rsidRPr="001B6E4D" w:rsidRDefault="00201B77" w:rsidP="003D1018">
      <w:pPr>
        <w:pStyle w:val="afffffffffd"/>
        <w:overflowPunct w:val="0"/>
        <w:ind w:left="924"/>
      </w:pPr>
      <w:proofErr w:type="gramStart"/>
      <w:r w:rsidRPr="001B6E4D">
        <w:t>爰</w:t>
      </w:r>
      <w:proofErr w:type="gramEnd"/>
      <w:r w:rsidRPr="001B6E4D">
        <w:t>請司法院就各地方法院少年調查保護官之人力配置、案件負荷、未結案件情形及風險管理制度推動後之實際執行情況進行整體盤點，並</w:t>
      </w:r>
      <w:proofErr w:type="gramStart"/>
      <w:r w:rsidRPr="001B6E4D">
        <w:t>研</w:t>
      </w:r>
      <w:proofErr w:type="gramEnd"/>
      <w:r w:rsidRPr="001B6E4D">
        <w:t>議案件分流、行政支援及專業人力</w:t>
      </w:r>
      <w:proofErr w:type="gramStart"/>
      <w:r w:rsidRPr="001B6E4D">
        <w:t>補充等精進</w:t>
      </w:r>
      <w:proofErr w:type="gramEnd"/>
      <w:r w:rsidRPr="001B6E4D">
        <w:t>措施，以兼顧少年最佳利益、個案處遇品質及第一線執行量能。</w:t>
      </w:r>
    </w:p>
    <w:p w14:paraId="4D67222C" w14:textId="77777777" w:rsidR="00201B77" w:rsidRPr="001B6E4D" w:rsidRDefault="00201B77" w:rsidP="003D1018">
      <w:pPr>
        <w:pStyle w:val="afffffffffd"/>
        <w:overflowPunct w:val="0"/>
        <w:ind w:left="924"/>
      </w:pPr>
      <w:proofErr w:type="gramStart"/>
      <w:r w:rsidRPr="001B6E4D">
        <w:t>爰</w:t>
      </w:r>
      <w:proofErr w:type="gramEnd"/>
      <w:r w:rsidRPr="001B6E4D">
        <w:t>建請司法院於</w:t>
      </w:r>
      <w:r w:rsidRPr="001B6E4D">
        <w:rPr>
          <w:rFonts w:hint="eastAsia"/>
        </w:rPr>
        <w:t>6</w:t>
      </w:r>
      <w:r w:rsidRPr="001B6E4D">
        <w:t>個月內向立法院司法及法制委員會提出書面報告。【47】</w:t>
      </w:r>
    </w:p>
    <w:p w14:paraId="0896E108"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　張雅琳</w:t>
      </w:r>
    </w:p>
    <w:p w14:paraId="1F43AABA"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01F96B9B" w14:textId="77777777" w:rsidR="00201B77" w:rsidRPr="001B6E4D" w:rsidRDefault="00201B77" w:rsidP="003D1018">
      <w:pPr>
        <w:pStyle w:val="1f6"/>
        <w:overflowPunct w:val="0"/>
      </w:pPr>
      <w:proofErr w:type="gramStart"/>
      <w:r w:rsidRPr="001B6E4D">
        <w:t>鑑</w:t>
      </w:r>
      <w:proofErr w:type="gramEnd"/>
      <w:r w:rsidRPr="001B6E4D">
        <w:t>於近年科技犯罪態樣日益複雜，偵查實務上常需透過科技方法進行犯罪調查、證據保全及犯罪追訴。為回應科技偵查發展需求，《刑事訴訟法》有關特殊強制處分制度業於113年7月31日公布施行，並由司法院依同法第</w:t>
      </w:r>
      <w:r w:rsidRPr="001B6E4D">
        <w:rPr>
          <w:rFonts w:hint="eastAsia"/>
        </w:rPr>
        <w:t>153</w:t>
      </w:r>
      <w:r w:rsidRPr="001B6E4D">
        <w:t>條之</w:t>
      </w:r>
      <w:r w:rsidRPr="001B6E4D">
        <w:rPr>
          <w:rFonts w:hint="eastAsia"/>
        </w:rPr>
        <w:t>10</w:t>
      </w:r>
      <w:r w:rsidRPr="001B6E4D">
        <w:t>第</w:t>
      </w:r>
      <w:r w:rsidRPr="001B6E4D">
        <w:rPr>
          <w:rFonts w:hint="eastAsia"/>
        </w:rPr>
        <w:t>5</w:t>
      </w:r>
      <w:r w:rsidRPr="001B6E4D">
        <w:t>項授權，於114年1月14日訂定發布「刑事訴訟特殊強制處分執行辦法」，作為科技偵查措施執行、司法審查及實務運作之依據。</w:t>
      </w:r>
      <w:proofErr w:type="gramStart"/>
      <w:r w:rsidRPr="001B6E4D">
        <w:t>惟</w:t>
      </w:r>
      <w:proofErr w:type="gramEnd"/>
      <w:r w:rsidRPr="001B6E4D">
        <w:t>科技偵查措施涉及人民隱私權、資訊自主權及秘密通訊自由等基本權干預，其</w:t>
      </w:r>
      <w:proofErr w:type="gramStart"/>
      <w:r w:rsidRPr="001B6E4D">
        <w:t>性質屬具強制</w:t>
      </w:r>
      <w:proofErr w:type="gramEnd"/>
      <w:r w:rsidRPr="001B6E4D">
        <w:t>性之偵查處分，除應符合憲法比例原則及法律保留原則外，相關程序保障及救濟機制是否周延，亦有持續檢討必要。</w:t>
      </w:r>
    </w:p>
    <w:p w14:paraId="58A1B81A" w14:textId="77777777" w:rsidR="00201B77" w:rsidRPr="001B6E4D" w:rsidRDefault="00201B77" w:rsidP="003D1018">
      <w:pPr>
        <w:pStyle w:val="1f7"/>
        <w:overflowPunct w:val="0"/>
      </w:pPr>
      <w:r w:rsidRPr="001B6E4D">
        <w:t>查現行《刑事訴訟法》第</w:t>
      </w:r>
      <w:r w:rsidRPr="001B6E4D">
        <w:rPr>
          <w:rFonts w:hint="eastAsia"/>
        </w:rPr>
        <w:t>153</w:t>
      </w:r>
      <w:r w:rsidRPr="001B6E4D">
        <w:t>條之</w:t>
      </w:r>
      <w:r w:rsidRPr="001B6E4D">
        <w:rPr>
          <w:rFonts w:hint="eastAsia"/>
        </w:rPr>
        <w:t>10</w:t>
      </w:r>
      <w:r w:rsidRPr="001B6E4D">
        <w:t>規定，受調查人、被告或犯罪嫌疑人之辯護人，得就法官、檢察官所為裁定或處分提起抗告或聲請撤銷、變更，然對於司法警察官執行特殊強制處分所為之處置，現行法並未明文納入相應救濟程序。</w:t>
      </w:r>
      <w:proofErr w:type="gramStart"/>
      <w:r w:rsidRPr="001B6E4D">
        <w:t>惟</w:t>
      </w:r>
      <w:proofErr w:type="gramEnd"/>
      <w:r w:rsidRPr="001B6E4D">
        <w:t>司法警察官執行相關措施時，同樣可能涉及人民基本權之干預，其性質與法官、檢察官所為處分並無本質差異，是否已充分符合「有權利即有救濟」之憲法要求，容有進一步檢討空間。另依司法院114年3月19日相關報告資料，自113年8月至114年1月止，各地方法院辦理檢察機關聲請特殊強制處分案件終結件數共439件，其中准許311件、駁回118件、部分准許部分駁回10件，整體駁回比例接近三成，顯示新制施行初期，實務運作與聲請要件認定間，可能仍存在適用標準、證據基礎或程</w:t>
      </w:r>
      <w:r w:rsidRPr="001B6E4D">
        <w:lastRenderedPageBreak/>
        <w:t>序設計等問題，有待進一步統計分析與制度檢討。</w:t>
      </w:r>
    </w:p>
    <w:p w14:paraId="4F20B063" w14:textId="77777777" w:rsidR="00201B77" w:rsidRPr="001B6E4D" w:rsidRDefault="00201B77" w:rsidP="003D1018">
      <w:pPr>
        <w:pStyle w:val="afffffffffd"/>
        <w:overflowPunct w:val="0"/>
        <w:ind w:left="924"/>
      </w:pPr>
      <w:proofErr w:type="gramStart"/>
      <w:r w:rsidRPr="001B6E4D">
        <w:t>爰</w:t>
      </w:r>
      <w:proofErr w:type="gramEnd"/>
      <w:r w:rsidRPr="001B6E4D">
        <w:t>請司法院就特殊強制處分制度施行後之實務運作情形、法院駁回案件之主要原因類型、司法警察官執行處分之救濟制度是否周延，以及現行制度與人民基本權保障</w:t>
      </w:r>
      <w:proofErr w:type="gramStart"/>
      <w:r w:rsidRPr="001B6E4D">
        <w:t>間之衡平</w:t>
      </w:r>
      <w:proofErr w:type="gramEnd"/>
      <w:r w:rsidRPr="001B6E4D">
        <w:t>情形，進行整體檢討與</w:t>
      </w:r>
      <w:proofErr w:type="gramStart"/>
      <w:r w:rsidRPr="001B6E4D">
        <w:t>研</w:t>
      </w:r>
      <w:proofErr w:type="gramEnd"/>
      <w:r w:rsidRPr="001B6E4D">
        <w:t>析。</w:t>
      </w:r>
    </w:p>
    <w:p w14:paraId="341BA8DF" w14:textId="77777777" w:rsidR="00201B77" w:rsidRPr="001B6E4D" w:rsidRDefault="00201B77" w:rsidP="003D1018">
      <w:pPr>
        <w:pStyle w:val="afffffffffd"/>
        <w:overflowPunct w:val="0"/>
        <w:ind w:left="924"/>
      </w:pPr>
      <w:proofErr w:type="gramStart"/>
      <w:r w:rsidRPr="001B6E4D">
        <w:t>爰</w:t>
      </w:r>
      <w:proofErr w:type="gramEnd"/>
      <w:r w:rsidRPr="001B6E4D">
        <w:t>建請司法院於3個月內向立法院司法及法制委員會提出書面報告。【48】</w:t>
      </w:r>
    </w:p>
    <w:p w14:paraId="242A43D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　張雅琳</w:t>
      </w:r>
    </w:p>
    <w:p w14:paraId="047A2864"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5D6C3328" w14:textId="77777777" w:rsidR="00201B77" w:rsidRPr="001B6E4D" w:rsidRDefault="00201B77" w:rsidP="003D1018">
      <w:pPr>
        <w:pStyle w:val="1f6"/>
        <w:overflowPunct w:val="0"/>
      </w:pPr>
      <w:proofErr w:type="gramStart"/>
      <w:r w:rsidRPr="001B6E4D">
        <w:t>鑑</w:t>
      </w:r>
      <w:proofErr w:type="gramEnd"/>
      <w:r w:rsidRPr="001B6E4D">
        <w:t>於近年家庭暴力保護令制度之運作情形，依相關統計顯示，緊急保護令核發率長期維持在九成以上，反映法院對急迫危險案件能即時提供初步保護；</w:t>
      </w:r>
      <w:proofErr w:type="gramStart"/>
      <w:r w:rsidRPr="001B6E4D">
        <w:t>惟</w:t>
      </w:r>
      <w:proofErr w:type="gramEnd"/>
      <w:r w:rsidRPr="001B6E4D">
        <w:t>暫時保護令及通常保護令之核發率則長期約落在七成五左右，仍有相當比例案件遭駁回或由被害人自行撤回。不同類型保護令之核發結果存在明顯落差，外界亦關注各地方法院間是否存在審理標準、證據認定及程序運作差異，影響被害人聲請保護令之可近性與一致性。</w:t>
      </w:r>
    </w:p>
    <w:p w14:paraId="1AF37387" w14:textId="77777777" w:rsidR="00201B77" w:rsidRPr="001B6E4D" w:rsidRDefault="00201B77" w:rsidP="003D1018">
      <w:pPr>
        <w:pStyle w:val="1f7"/>
        <w:overflowPunct w:val="0"/>
      </w:pPr>
      <w:r w:rsidRPr="001B6E4D">
        <w:t>另家庭暴力案件具高度即時性與脆弱性，被害人往往需仰賴法院、家庭暴力防治中心及社工系統協助完成聲請及證據整理，如程序輔導、證據蒐集及跨機關協作不足，恐增加聲請撤回或駁回之風險，影響制度實際保護效果。</w:t>
      </w:r>
      <w:proofErr w:type="gramStart"/>
      <w:r w:rsidRPr="001B6E4D">
        <w:t>爰</w:t>
      </w:r>
      <w:proofErr w:type="gramEnd"/>
      <w:r w:rsidRPr="001B6E4D">
        <w:t>要求司法院就各地方法院保護令核發情形、審理標準及撤回、駁回事由進行整體盤點與分析，</w:t>
      </w:r>
      <w:proofErr w:type="gramStart"/>
      <w:r w:rsidRPr="001B6E4D">
        <w:t>研</w:t>
      </w:r>
      <w:proofErr w:type="gramEnd"/>
      <w:r w:rsidRPr="001B6E4D">
        <w:t>議建立相關審理參考機制及跨機關協作精進措施，並評估各地方法院核發率統計及差異分析之揭露與運用方式，作為後續法官專業訓練、制度檢討及被害人保護機制強化之參考。</w:t>
      </w:r>
    </w:p>
    <w:p w14:paraId="08A3CE66" w14:textId="77777777" w:rsidR="00201B77" w:rsidRPr="001B6E4D" w:rsidRDefault="00201B77" w:rsidP="003D1018">
      <w:pPr>
        <w:pStyle w:val="afffffffffd"/>
        <w:overflowPunct w:val="0"/>
        <w:ind w:left="924"/>
      </w:pPr>
      <w:proofErr w:type="gramStart"/>
      <w:r w:rsidRPr="001B6E4D">
        <w:t>爰</w:t>
      </w:r>
      <w:proofErr w:type="gramEnd"/>
      <w:r w:rsidRPr="001B6E4D">
        <w:t>建請司法院於3個月內向立法院司法及法制委員會提出書面報告。【49】</w:t>
      </w:r>
    </w:p>
    <w:p w14:paraId="0F31D60E"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05ED9701"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連署人：張雅琳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06C6B285" w14:textId="77777777" w:rsidR="00201B77" w:rsidRPr="001B6E4D" w:rsidRDefault="00201B77" w:rsidP="003D1018">
      <w:pPr>
        <w:pStyle w:val="1f6"/>
        <w:overflowPunct w:val="0"/>
      </w:pPr>
      <w:r w:rsidRPr="001B6E4D">
        <w:t>司法少年於結束收容、安置輔導、感化教育或其他機構</w:t>
      </w:r>
      <w:proofErr w:type="gramStart"/>
      <w:r w:rsidRPr="001B6E4D">
        <w:t>處遇後</w:t>
      </w:r>
      <w:proofErr w:type="gramEnd"/>
      <w:r w:rsidRPr="001B6E4D">
        <w:t>，未必已具備立即返家、返校，或穩定回歸社區生活之條件，仍可能需要短期安置與銜接支持，協助其逐步適應自由社會及校園生活。</w:t>
      </w:r>
      <w:proofErr w:type="gramStart"/>
      <w:r w:rsidRPr="001B6E4D">
        <w:t>惟</w:t>
      </w:r>
      <w:proofErr w:type="gramEnd"/>
      <w:r w:rsidRPr="001B6E4D">
        <w:t>目前部分縣市緊急短期安置床位有限，難以容納司法少年之實際需求，亦欠缺住宿型之過渡性教育措施，導致少年離開機構後，可能面臨照顧與教育銜接空窗。</w:t>
      </w:r>
    </w:p>
    <w:p w14:paraId="0FBB51CA" w14:textId="77777777" w:rsidR="00201B77" w:rsidRPr="001B6E4D" w:rsidRDefault="00201B77" w:rsidP="003D1018">
      <w:pPr>
        <w:pStyle w:val="afffffffffd"/>
        <w:overflowPunct w:val="0"/>
        <w:ind w:left="924"/>
      </w:pPr>
      <w:proofErr w:type="gramStart"/>
      <w:r w:rsidRPr="001B6E4D">
        <w:t>此外，</w:t>
      </w:r>
      <w:proofErr w:type="gramEnd"/>
      <w:r w:rsidRPr="001B6E4D">
        <w:t>各地過渡性教育措施之型態不一，有委託承辦單位於</w:t>
      </w:r>
      <w:proofErr w:type="gramStart"/>
      <w:r w:rsidRPr="001B6E4D">
        <w:t>固定場</w:t>
      </w:r>
      <w:proofErr w:type="gramEnd"/>
      <w:r w:rsidRPr="001B6E4D">
        <w:t>域辦理者，亦有運用中介教育之中途資源班或高關懷據點者；部分措施因課程時段有限，學生仍須在不同場域間往</w:t>
      </w:r>
      <w:r w:rsidRPr="001B6E4D">
        <w:lastRenderedPageBreak/>
        <w:t>返學習。</w:t>
      </w:r>
      <w:proofErr w:type="gramStart"/>
      <w:r w:rsidRPr="001B6E4D">
        <w:t>再者，</w:t>
      </w:r>
      <w:proofErr w:type="gramEnd"/>
      <w:r w:rsidRPr="001B6E4D">
        <w:t>學校對過渡性教育措施未必熟悉，各校在人力配置、實務經驗及資源連結能力上差異甚大，導致服務品質不一，恐影響學生學習權益，並產生制度公平性疑慮。</w:t>
      </w:r>
    </w:p>
    <w:p w14:paraId="203D7213" w14:textId="77777777" w:rsidR="00201B77" w:rsidRPr="001B6E4D" w:rsidRDefault="00201B77" w:rsidP="003D1018">
      <w:pPr>
        <w:pStyle w:val="afffffffffd"/>
        <w:overflowPunct w:val="0"/>
        <w:ind w:left="924"/>
      </w:pPr>
      <w:r w:rsidRPr="001B6E4D">
        <w:t>然司法少年之穩定復歸，並非僅靠返回原校或原家庭即可完成，而應依少年之個別需求，銜接短期住宿、生活照顧、心理支持、家庭修復、就學協助、自立生活及就業服務等整合性支持。尤其對於家庭支持薄弱、情緒行為不穩定或社交適應困難之少年，若欠缺介於機構處遇與完全回歸社區之間的過渡支持，將更容易形成照顧、教育與生活適應上的斷裂，影響其復歸成效。</w:t>
      </w:r>
    </w:p>
    <w:p w14:paraId="704E0583" w14:textId="77777777" w:rsidR="00201B77" w:rsidRPr="001B6E4D" w:rsidRDefault="00201B77" w:rsidP="003D1018">
      <w:pPr>
        <w:pStyle w:val="afffffffffd"/>
        <w:overflowPunct w:val="0"/>
        <w:ind w:left="924"/>
      </w:pPr>
      <w:proofErr w:type="gramStart"/>
      <w:r w:rsidRPr="001B6E4D">
        <w:t>爰</w:t>
      </w:r>
      <w:proofErr w:type="gramEnd"/>
      <w:r w:rsidRPr="001B6E4D">
        <w:t>要求司法院於</w:t>
      </w:r>
      <w:r w:rsidRPr="001B6E4D">
        <w:rPr>
          <w:rFonts w:hint="eastAsia"/>
        </w:rPr>
        <w:t>6</w:t>
      </w:r>
      <w:r w:rsidRPr="001B6E4D">
        <w:t>個月內，會同教育部、衛</w:t>
      </w:r>
      <w:r w:rsidRPr="001B6E4D">
        <w:rPr>
          <w:rFonts w:hint="eastAsia"/>
        </w:rPr>
        <w:t>生</w:t>
      </w:r>
      <w:proofErr w:type="gramStart"/>
      <w:r w:rsidRPr="001B6E4D">
        <w:t>福</w:t>
      </w:r>
      <w:r w:rsidRPr="001B6E4D">
        <w:rPr>
          <w:rFonts w:hint="eastAsia"/>
        </w:rPr>
        <w:t>利</w:t>
      </w:r>
      <w:r w:rsidRPr="001B6E4D">
        <w:t>部就司法</w:t>
      </w:r>
      <w:proofErr w:type="gramEnd"/>
      <w:r w:rsidRPr="001B6E4D">
        <w:t>少年短期安置、住宿型過渡性教育措施及出校、出所、出機構後之過渡支持，提出書面檢討報告送交立法院司法及法制委員會。【50】</w:t>
      </w:r>
    </w:p>
    <w:p w14:paraId="7C365EC8"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4CDF29F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28591C88" w14:textId="77777777" w:rsidR="00201B77" w:rsidRPr="001B6E4D" w:rsidRDefault="00201B77" w:rsidP="003D1018">
      <w:pPr>
        <w:pStyle w:val="a"/>
        <w:overflowPunct w:val="0"/>
        <w:ind w:left="924" w:hanging="567"/>
      </w:pPr>
      <w:r w:rsidRPr="001B6E4D">
        <w:t>依據立法院預算中心</w:t>
      </w:r>
      <w:proofErr w:type="gramStart"/>
      <w:r w:rsidRPr="001B6E4D">
        <w:t>115</w:t>
      </w:r>
      <w:proofErr w:type="gramEnd"/>
      <w:r w:rsidRPr="001B6E4D">
        <w:t>年</w:t>
      </w:r>
      <w:r w:rsidRPr="001B6E4D">
        <w:rPr>
          <w:rFonts w:hint="eastAsia"/>
        </w:rPr>
        <w:t>度</w:t>
      </w:r>
      <w:r w:rsidRPr="001B6E4D">
        <w:t>預算評估報告，法官評鑑新制自109年7月17日施行後，收案量明顯增加。相較於舊制時期總案件量僅70件，新制施行後至114年7月31日，總案件量已增至1,488件，其中由人民請求之案件為1,470件，占總收案量98.79%。</w:t>
      </w:r>
    </w:p>
    <w:p w14:paraId="7DA84B4B" w14:textId="77777777" w:rsidR="00201B77" w:rsidRPr="001B6E4D" w:rsidRDefault="00201B77" w:rsidP="003D1018">
      <w:pPr>
        <w:pStyle w:val="afffffffffd"/>
        <w:overflowPunct w:val="0"/>
        <w:ind w:left="924"/>
      </w:pPr>
      <w:r w:rsidRPr="001B6E4D">
        <w:t>然而，進一步分析案件，在已結案之1,353件中，決議不付評鑑者有1,206件，不予受理者有126件，兩者合計占總結案數98.45%。也就是說，雖然民眾請求案件大幅增加，但真正進入實質評鑑程序者仍屬少數。</w:t>
      </w:r>
    </w:p>
    <w:p w14:paraId="3C5D7DCC" w14:textId="77777777" w:rsidR="00201B77" w:rsidRPr="001B6E4D" w:rsidRDefault="00201B77" w:rsidP="003D1018">
      <w:pPr>
        <w:pStyle w:val="afffffffffd"/>
        <w:overflowPunct w:val="0"/>
        <w:ind w:left="924"/>
      </w:pPr>
      <w:r w:rsidRPr="001B6E4D">
        <w:t>查法官評鑑制度之目的，係針對法官違失行為進行究責，而非作為個案裁判結果之救濟途徑。然而，從新制施行後之案件樣態可見，許多民眾係因不服法院裁判結果而提出評鑑請求，甚至將法官評鑑制度誤認為類似上級審之救濟管道，期待藉此翻轉個案裁判結果。此種情形不僅造成請求案件數大幅增加，也反映民眾對法官評鑑制度之功能、範圍及限制，仍有明顯理解不足之問題。</w:t>
      </w:r>
    </w:p>
    <w:p w14:paraId="69AFD732" w14:textId="77777777" w:rsidR="00201B77" w:rsidRPr="001B6E4D" w:rsidRDefault="00201B77" w:rsidP="003D1018">
      <w:pPr>
        <w:pStyle w:val="afffffffffd"/>
        <w:overflowPunct w:val="0"/>
        <w:ind w:left="924"/>
      </w:pPr>
      <w:proofErr w:type="gramStart"/>
      <w:r w:rsidRPr="001B6E4D">
        <w:t>爰</w:t>
      </w:r>
      <w:proofErr w:type="gramEnd"/>
      <w:r w:rsidRPr="001B6E4D">
        <w:t>要求司法院於</w:t>
      </w:r>
      <w:r w:rsidRPr="001B6E4D">
        <w:rPr>
          <w:rFonts w:hint="eastAsia"/>
        </w:rPr>
        <w:t>網站或請求書範例上加強宣導，讓民眾理解法官評鑑制度之功能及注意哪些情形會是不予受理或不付評鑑</w:t>
      </w:r>
      <w:r w:rsidRPr="001B6E4D">
        <w:t>。【51】</w:t>
      </w:r>
    </w:p>
    <w:p w14:paraId="19DF7C12"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2DA78F6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1034A26F" w14:textId="77777777" w:rsidR="00201B77" w:rsidRPr="001B6E4D" w:rsidRDefault="00201B77" w:rsidP="003D1018">
      <w:pPr>
        <w:pStyle w:val="a"/>
        <w:overflowPunct w:val="0"/>
        <w:ind w:left="924" w:hanging="567"/>
      </w:pPr>
      <w:r w:rsidRPr="001B6E4D">
        <w:t>司法院</w:t>
      </w:r>
      <w:proofErr w:type="gramStart"/>
      <w:r w:rsidRPr="001B6E4D">
        <w:t>115</w:t>
      </w:r>
      <w:proofErr w:type="gramEnd"/>
      <w:r w:rsidRPr="001B6E4D">
        <w:t>年度施政計畫已將「持續精進裁判書公開作業</w:t>
      </w:r>
      <w:r w:rsidRPr="001B6E4D">
        <w:lastRenderedPageBreak/>
        <w:t>規定」列為重要目標，並強調應完善裁判書公開方式及</w:t>
      </w:r>
      <w:proofErr w:type="gramStart"/>
      <w:r w:rsidRPr="001B6E4D">
        <w:t>相關遮隱措施</w:t>
      </w:r>
      <w:proofErr w:type="gramEnd"/>
      <w:r w:rsidRPr="001B6E4D">
        <w:t>，以平衡「人民知的權利」與「個人資訊隱私權」之法益衝突，落實司法公開透明。</w:t>
      </w:r>
      <w:proofErr w:type="gramStart"/>
      <w:r w:rsidRPr="001B6E4D">
        <w:t>此外，</w:t>
      </w:r>
      <w:proofErr w:type="gramEnd"/>
      <w:r w:rsidRPr="001B6E4D">
        <w:t>司法院亦曾於114年5月函請所屬各機關，辦理裁判書公開作業時，應切實檢視並妥</w:t>
      </w:r>
      <w:proofErr w:type="gramStart"/>
      <w:r w:rsidRPr="001B6E4D">
        <w:t>適遮隱</w:t>
      </w:r>
      <w:proofErr w:type="gramEnd"/>
      <w:r w:rsidRPr="001B6E4D">
        <w:t>未成年人、被害人等依法不得揭示身分之資訊；另就民事保護令事件涉及性影像保護令款項者，提醒法院應特別注意性影像證據之隱私保護及卷證管理。</w:t>
      </w:r>
    </w:p>
    <w:p w14:paraId="4E482B27" w14:textId="77777777" w:rsidR="00201B77" w:rsidRPr="001B6E4D" w:rsidRDefault="00201B77" w:rsidP="003D1018">
      <w:pPr>
        <w:pStyle w:val="afffffffffd"/>
        <w:overflowPunct w:val="0"/>
        <w:ind w:left="924"/>
      </w:pPr>
      <w:proofErr w:type="gramStart"/>
      <w:r w:rsidRPr="001B6E4D">
        <w:t>惟性侵害</w:t>
      </w:r>
      <w:proofErr w:type="gramEnd"/>
      <w:r w:rsidRPr="001B6E4D">
        <w:t>、性騷擾、家庭暴力、</w:t>
      </w:r>
      <w:proofErr w:type="gramStart"/>
      <w:r w:rsidRPr="001B6E4D">
        <w:t>兒少性剝削</w:t>
      </w:r>
      <w:proofErr w:type="gramEnd"/>
      <w:r w:rsidRPr="001B6E4D">
        <w:t>及數位性別暴力等案件，具有高度隱私性及二度傷害風險。裁判書即使</w:t>
      </w:r>
      <w:proofErr w:type="gramStart"/>
      <w:r w:rsidRPr="001B6E4D">
        <w:t>已遮隱</w:t>
      </w:r>
      <w:proofErr w:type="gramEnd"/>
      <w:r w:rsidRPr="001B6E4D">
        <w:t>姓名、身分證字號、地址等基本個人資料，仍可能因案發地點、雙方關係、就學或工作資訊、家庭成員、社群對話、影像內容或其他案件細節，使被害人身分遭外界辨識。尤其數位性別暴力案件常涉及偷拍、散布、合成或持有性影像等情形，若裁判書公開內容未建立更細緻</w:t>
      </w:r>
      <w:proofErr w:type="gramStart"/>
      <w:r w:rsidRPr="001B6E4D">
        <w:t>之遮隱檢核</w:t>
      </w:r>
      <w:proofErr w:type="gramEnd"/>
      <w:r w:rsidRPr="001B6E4D">
        <w:t>標準，恐使被害人在司法程序結束後，仍持續承受隱私暴露、網路搜尋的二度傷害。</w:t>
      </w:r>
    </w:p>
    <w:p w14:paraId="41AC652A" w14:textId="77777777" w:rsidR="00201B77" w:rsidRPr="001B6E4D" w:rsidRDefault="00201B77" w:rsidP="003D1018">
      <w:pPr>
        <w:pStyle w:val="afffffffffd"/>
        <w:overflowPunct w:val="0"/>
        <w:ind w:left="924"/>
      </w:pPr>
      <w:r w:rsidRPr="001B6E4D">
        <w:t>裁判書公開制度固然有助於司法透明、學術研究及社會監督，惟公開不應以犧牲被害人隱私與安全為代價。對於性別暴力案件，司法院應進一步建立更明確之案件類型、</w:t>
      </w:r>
      <w:proofErr w:type="gramStart"/>
      <w:r w:rsidRPr="001B6E4D">
        <w:t>遮隱範圍</w:t>
      </w:r>
      <w:proofErr w:type="gramEnd"/>
      <w:r w:rsidRPr="001B6E4D">
        <w:t>、公開前檢核、補充</w:t>
      </w:r>
      <w:proofErr w:type="gramStart"/>
      <w:r w:rsidRPr="001B6E4D">
        <w:t>遮隱申請</w:t>
      </w:r>
      <w:proofErr w:type="gramEnd"/>
      <w:r w:rsidRPr="001B6E4D">
        <w:t>及教育訓練機制，避免各法院或承辦人員對「足資識別被害人身分」之判斷標準不一，影響被害人權益保障。</w:t>
      </w:r>
    </w:p>
    <w:p w14:paraId="0DB1C89D" w14:textId="77777777" w:rsidR="00201B77" w:rsidRPr="001B6E4D" w:rsidRDefault="00201B77" w:rsidP="003D1018">
      <w:pPr>
        <w:pStyle w:val="afffffffffd"/>
        <w:overflowPunct w:val="0"/>
        <w:ind w:left="924"/>
      </w:pPr>
      <w:r w:rsidRPr="001B6E4D">
        <w:t>綜上，</w:t>
      </w:r>
      <w:proofErr w:type="gramStart"/>
      <w:r w:rsidRPr="001B6E4D">
        <w:t>爰</w:t>
      </w:r>
      <w:proofErr w:type="gramEnd"/>
      <w:r w:rsidRPr="001B6E4D">
        <w:t>要求司法院應針對性侵害、性騷擾、家庭暴力、</w:t>
      </w:r>
      <w:proofErr w:type="gramStart"/>
      <w:r w:rsidRPr="001B6E4D">
        <w:t>兒少性剝削</w:t>
      </w:r>
      <w:proofErr w:type="gramEnd"/>
      <w:r w:rsidRPr="001B6E4D">
        <w:t>及數位性別暴力等案件之隱私保護機制，建立更完善的制度，於</w:t>
      </w:r>
      <w:r w:rsidRPr="001B6E4D">
        <w:rPr>
          <w:rFonts w:hint="eastAsia"/>
        </w:rPr>
        <w:t>5</w:t>
      </w:r>
      <w:r w:rsidRPr="001B6E4D">
        <w:t>個月內向立法院司法及法制委員會提出書面報告。【52】</w:t>
      </w:r>
    </w:p>
    <w:p w14:paraId="7869E608"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11AAA730"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5ADC8DAA" w14:textId="77777777" w:rsidR="00201B77" w:rsidRPr="001B6E4D" w:rsidRDefault="00201B77" w:rsidP="003D1018">
      <w:pPr>
        <w:pStyle w:val="a"/>
        <w:overflowPunct w:val="0"/>
        <w:ind w:left="924" w:hanging="567"/>
      </w:pPr>
      <w:r w:rsidRPr="001B6E4D">
        <w:t>法律扶助制度之目的，在於使無資力或因其他原因無法受到法律適當保護者，得以獲得訴訟代理、辯護、法律文件撰擬、法律諮詢等必要法律協助，扶助律師除須進行閱卷、書狀撰擬及出庭外，亦須投入會談、溝通、程序說明及案件風險評估等工作。</w:t>
      </w:r>
    </w:p>
    <w:p w14:paraId="5A33998F" w14:textId="77777777" w:rsidR="00201B77" w:rsidRPr="001B6E4D" w:rsidRDefault="00201B77" w:rsidP="003D1018">
      <w:pPr>
        <w:pStyle w:val="afffffffffd"/>
        <w:overflowPunct w:val="0"/>
        <w:ind w:left="924"/>
      </w:pPr>
      <w:r w:rsidRPr="001B6E4D">
        <w:t>扶助律師酬金制度是否合理，</w:t>
      </w:r>
      <w:proofErr w:type="gramStart"/>
      <w:r w:rsidRPr="001B6E4D">
        <w:t>攸</w:t>
      </w:r>
      <w:proofErr w:type="gramEnd"/>
      <w:r w:rsidRPr="001B6E4D">
        <w:t>關律師承辦意願、服務品質及法律扶助制度之永續運作。</w:t>
      </w:r>
      <w:proofErr w:type="gramStart"/>
      <w:r w:rsidRPr="001B6E4D">
        <w:t>惟</w:t>
      </w:r>
      <w:proofErr w:type="gramEnd"/>
      <w:r w:rsidRPr="001B6E4D">
        <w:t>現行扶助律師酬金雖曾就國民法官案件、偏遠地區交通費、陪同偵訊、特定案件酌增等個別項目進行調整，然多屬特定案件類型或特殊項目之修補，尚未就一般扶助案件基本酬金基數建立定期檢討機制。尤其一般</w:t>
      </w:r>
      <w:r w:rsidRPr="001B6E4D">
        <w:lastRenderedPageBreak/>
        <w:t>扶助案件之基本酬金基數，自</w:t>
      </w:r>
      <w:r w:rsidRPr="001B6E4D">
        <w:rPr>
          <w:rFonts w:hint="eastAsia"/>
        </w:rPr>
        <w:t>財團法人</w:t>
      </w:r>
      <w:r w:rsidRPr="001B6E4D">
        <w:t>法律扶助基金會成立以來長期維持每一基數1,000元，迄今已逾20年未全面調整，恐難充分反映物價變動、案件複雜程度、實際工時及辦案成本，進而影響扶助律師承辦意願與受扶助人權益。</w:t>
      </w:r>
    </w:p>
    <w:p w14:paraId="0896E4E2" w14:textId="77777777" w:rsidR="00201B77" w:rsidRPr="001B6E4D" w:rsidRDefault="00201B77" w:rsidP="003D1018">
      <w:pPr>
        <w:pStyle w:val="afffffffffd"/>
        <w:overflowPunct w:val="0"/>
        <w:ind w:left="924"/>
      </w:pPr>
      <w:proofErr w:type="gramStart"/>
      <w:r w:rsidRPr="001B6E4D">
        <w:t>爰</w:t>
      </w:r>
      <w:proofErr w:type="gramEnd"/>
      <w:r w:rsidRPr="001B6E4D">
        <w:t>要求司法院於3個月內就一般扶助案件基本酬金建立定期檢討機制，並將物價變動、案件類型、平均工時、辦案成本及第一線扶助律師意見納入評估</w:t>
      </w:r>
      <w:r w:rsidRPr="001B6E4D">
        <w:rPr>
          <w:rFonts w:hint="eastAsia"/>
        </w:rPr>
        <w:t>書面報告</w:t>
      </w:r>
      <w:r w:rsidRPr="001B6E4D">
        <w:t>，送交立法院司法及法制委員會。【53】</w:t>
      </w:r>
    </w:p>
    <w:p w14:paraId="1FD7751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27B3B5AB"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344D3172" w14:textId="77777777" w:rsidR="00201B77" w:rsidRPr="001B6E4D" w:rsidRDefault="00201B77" w:rsidP="003D1018">
      <w:pPr>
        <w:pStyle w:val="a"/>
        <w:overflowPunct w:val="0"/>
        <w:ind w:left="924" w:hanging="567"/>
      </w:pPr>
      <w:r w:rsidRPr="001B6E4D">
        <w:t>司法院依《法律扶助法》第3條及第6條規定設立</w:t>
      </w:r>
      <w:r w:rsidRPr="001B6E4D">
        <w:rPr>
          <w:rFonts w:hint="eastAsia"/>
        </w:rPr>
        <w:t>財團法人</w:t>
      </w:r>
      <w:r w:rsidRPr="001B6E4D">
        <w:t>法律扶助基金會，並將基金法定目標額度定為100億元。</w:t>
      </w:r>
      <w:proofErr w:type="gramStart"/>
      <w:r w:rsidRPr="001B6E4D">
        <w:t>惟</w:t>
      </w:r>
      <w:proofErr w:type="gramEnd"/>
      <w:r w:rsidRPr="001B6E4D">
        <w:t>截至</w:t>
      </w:r>
      <w:proofErr w:type="gramStart"/>
      <w:r w:rsidRPr="001B6E4D">
        <w:t>115</w:t>
      </w:r>
      <w:proofErr w:type="gramEnd"/>
      <w:r w:rsidRPr="001B6E4D">
        <w:t>年度，法律扶助基金會基金餘額雖逐年略增至38.55億元，仍僅達法定目標值100億元之38.55%；且基金來源幾乎全數仰賴司法院捐助，顯示現行民間捐助及自籌財源成效有限，尚難有效</w:t>
      </w:r>
      <w:proofErr w:type="gramStart"/>
      <w:r w:rsidRPr="001B6E4D">
        <w:t>挹</w:t>
      </w:r>
      <w:proofErr w:type="gramEnd"/>
      <w:r w:rsidRPr="001B6E4D">
        <w:t>注基金累積，亦不利基金長期穩健發展。</w:t>
      </w:r>
    </w:p>
    <w:p w14:paraId="106EB177" w14:textId="77777777" w:rsidR="00201B77" w:rsidRPr="001B6E4D" w:rsidRDefault="00201B77" w:rsidP="003D1018">
      <w:pPr>
        <w:pStyle w:val="afffffffffd"/>
        <w:overflowPunct w:val="0"/>
        <w:ind w:left="924"/>
      </w:pPr>
      <w:proofErr w:type="gramStart"/>
      <w:r w:rsidRPr="001B6E4D">
        <w:t>爰</w:t>
      </w:r>
      <w:proofErr w:type="gramEnd"/>
      <w:r w:rsidRPr="001B6E4D">
        <w:t>要求司法院於3個月內，針對</w:t>
      </w:r>
      <w:r w:rsidRPr="001B6E4D">
        <w:rPr>
          <w:rFonts w:hint="eastAsia"/>
        </w:rPr>
        <w:t>財團法人</w:t>
      </w:r>
      <w:r w:rsidRPr="001B6E4D">
        <w:t>法律扶助基金會基金來源結構、民間捐助宣傳成效及自籌財源推動情形進行檢討，並</w:t>
      </w:r>
      <w:proofErr w:type="gramStart"/>
      <w:r w:rsidRPr="001B6E4D">
        <w:t>研</w:t>
      </w:r>
      <w:proofErr w:type="gramEnd"/>
      <w:r w:rsidRPr="001B6E4D">
        <w:t>議多元捐助模式及具體自籌財源計畫，向立法院司法及法制委員會提出書面報告。【54】</w:t>
      </w:r>
    </w:p>
    <w:p w14:paraId="019AEDEA"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2FA5C8A8"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060F93AD" w14:textId="77777777" w:rsidR="00201B77" w:rsidRPr="001B6E4D" w:rsidRDefault="00201B77" w:rsidP="003D1018">
      <w:pPr>
        <w:pStyle w:val="a"/>
        <w:overflowPunct w:val="0"/>
        <w:ind w:left="924" w:hanging="567"/>
      </w:pPr>
      <w:r w:rsidRPr="001B6E4D">
        <w:t>針對司法院及其所屬機關106至115年度派員出國計畫，總計畫項數共103項，總預算經費達7,429萬2千元，其中單一類別「考察」之項數即占101項，經費占比高達98.89%，顯見出國計畫之類別嚴重集中於考察項目，恐因重複考察如日本裁判員制度或違憲審查制度等類似目標，導致建議報告內容趨於雷同並降低實質效益</w:t>
      </w:r>
      <w:r w:rsidRPr="001B6E4D">
        <w:rPr>
          <w:rFonts w:hint="eastAsia"/>
        </w:rPr>
        <w:t>。</w:t>
      </w:r>
    </w:p>
    <w:p w14:paraId="1EA10D22" w14:textId="77777777" w:rsidR="00201B77" w:rsidRPr="001B6E4D" w:rsidRDefault="00201B77" w:rsidP="003D1018">
      <w:pPr>
        <w:pStyle w:val="afffffffffd"/>
        <w:overflowPunct w:val="0"/>
        <w:ind w:left="924"/>
      </w:pPr>
      <w:r w:rsidRPr="001B6E4D">
        <w:t>又依據《行政院及所屬各級機關因公派員出國案件編審要點》第3點規定，出國</w:t>
      </w:r>
      <w:proofErr w:type="gramStart"/>
      <w:r w:rsidRPr="001B6E4D">
        <w:t>計畫應確屬</w:t>
      </w:r>
      <w:proofErr w:type="gramEnd"/>
      <w:r w:rsidRPr="001B6E4D">
        <w:t>業務需要且變更須從嚴核定，然司法院近年實際依原計畫執行者每年度僅1至4項，變更計畫（含項目、人數或天數）之項數卻高達8至16項，顯示預算編列時未審慎評估，致使出國計畫流於形式並徒增行政作業成本。</w:t>
      </w:r>
    </w:p>
    <w:p w14:paraId="238192CE" w14:textId="77777777" w:rsidR="00201B77" w:rsidRPr="001B6E4D" w:rsidRDefault="00201B77" w:rsidP="003D1018">
      <w:pPr>
        <w:pStyle w:val="afffffffffd"/>
        <w:overflowPunct w:val="0"/>
        <w:ind w:left="924"/>
      </w:pPr>
      <w:proofErr w:type="gramStart"/>
      <w:r w:rsidRPr="001B6E4D">
        <w:t>爰</w:t>
      </w:r>
      <w:proofErr w:type="gramEnd"/>
      <w:r w:rsidRPr="001B6E4D">
        <w:t>要求司法院針對現行派員出國計畫之執行情形進行檢討，並於3個月內向立法院司法及法制委員會提出書面報告</w:t>
      </w:r>
      <w:r w:rsidRPr="001B6E4D">
        <w:rPr>
          <w:rFonts w:hint="eastAsia"/>
        </w:rPr>
        <w:t>。</w:t>
      </w:r>
      <w:r w:rsidRPr="001B6E4D">
        <w:t>【55】</w:t>
      </w:r>
    </w:p>
    <w:p w14:paraId="3CE9A292"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6A0E7FEF"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連署人：莊瑞雄　沈發惠</w:t>
      </w:r>
    </w:p>
    <w:p w14:paraId="494EE185" w14:textId="77777777" w:rsidR="00201B77" w:rsidRPr="001B6E4D" w:rsidRDefault="00201B77" w:rsidP="003D1018">
      <w:pPr>
        <w:pStyle w:val="a"/>
        <w:overflowPunct w:val="0"/>
        <w:ind w:left="924" w:hanging="567"/>
      </w:pPr>
      <w:r w:rsidRPr="001B6E4D">
        <w:t>依據立法院預算中心</w:t>
      </w:r>
      <w:proofErr w:type="gramStart"/>
      <w:r w:rsidRPr="001B6E4D">
        <w:t>115</w:t>
      </w:r>
      <w:proofErr w:type="gramEnd"/>
      <w:r w:rsidRPr="001B6E4D">
        <w:t>年</w:t>
      </w:r>
      <w:r w:rsidRPr="001B6E4D">
        <w:rPr>
          <w:rFonts w:hint="eastAsia"/>
        </w:rPr>
        <w:t>度</w:t>
      </w:r>
      <w:r w:rsidRPr="001B6E4D">
        <w:t>預算評估報告，司法院主管112及</w:t>
      </w:r>
      <w:proofErr w:type="gramStart"/>
      <w:r w:rsidRPr="001B6E4D">
        <w:t>113</w:t>
      </w:r>
      <w:proofErr w:type="gramEnd"/>
      <w:r w:rsidRPr="001B6E4D">
        <w:t>年度推動國民法官制度相關經費預算數分別為2億8,650萬元及2億7,265萬9千元，惟決算數僅分別為5,893萬4千元及5,851萬4千元，執行率為20.57%及21.46%，顯示相關經費執行情形明顯欠佳。</w:t>
      </w:r>
    </w:p>
    <w:p w14:paraId="722E8228" w14:textId="77777777" w:rsidR="00201B77" w:rsidRPr="001B6E4D" w:rsidRDefault="00201B77" w:rsidP="003D1018">
      <w:pPr>
        <w:pStyle w:val="afffffffffd"/>
        <w:overflowPunct w:val="0"/>
        <w:ind w:left="924"/>
      </w:pPr>
      <w:r w:rsidRPr="001B6E4D">
        <w:t>又司法院主管112及</w:t>
      </w:r>
      <w:proofErr w:type="gramStart"/>
      <w:r w:rsidRPr="001B6E4D">
        <w:t>113</w:t>
      </w:r>
      <w:proofErr w:type="gramEnd"/>
      <w:r w:rsidRPr="001B6E4D">
        <w:t>年度推動國民法官制度相關經費，可用預算數占當年度可用預算數之比重分別達74.27%及77.67%，顯示該項經費占比甚高；</w:t>
      </w:r>
      <w:proofErr w:type="gramStart"/>
      <w:r w:rsidRPr="001B6E4D">
        <w:t>惟</w:t>
      </w:r>
      <w:proofErr w:type="gramEnd"/>
      <w:r w:rsidRPr="001B6E4D">
        <w:t>實際執行結果卻與原編列預算有明顯落差，反映相關經費需求估算與實際執行情形未盡相符，恐影響預算配置之合理性及資源運用效益，實有檢討必要。</w:t>
      </w:r>
    </w:p>
    <w:p w14:paraId="7D44265F" w14:textId="77777777" w:rsidR="00201B77" w:rsidRPr="001B6E4D" w:rsidRDefault="00201B77" w:rsidP="003D1018">
      <w:pPr>
        <w:pStyle w:val="afffffffffd"/>
        <w:overflowPunct w:val="0"/>
        <w:ind w:left="924"/>
      </w:pPr>
      <w:proofErr w:type="gramStart"/>
      <w:r w:rsidRPr="001B6E4D">
        <w:t>爰</w:t>
      </w:r>
      <w:proofErr w:type="gramEnd"/>
      <w:r w:rsidRPr="001B6E4D">
        <w:t>要求司法院於3個月內針對上述情況，向立法院司法及法制委員會提出</w:t>
      </w:r>
      <w:r w:rsidRPr="001B6E4D">
        <w:rPr>
          <w:rFonts w:hint="eastAsia"/>
        </w:rPr>
        <w:t>書面</w:t>
      </w:r>
      <w:r w:rsidRPr="001B6E4D">
        <w:t>報告。【56】</w:t>
      </w:r>
    </w:p>
    <w:p w14:paraId="3A8115CE"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052E4D1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5C50293F" w14:textId="77777777" w:rsidR="00201B77" w:rsidRPr="001B6E4D" w:rsidRDefault="00201B77" w:rsidP="003D1018">
      <w:pPr>
        <w:pStyle w:val="a"/>
        <w:overflowPunct w:val="0"/>
        <w:ind w:left="924" w:hanging="567"/>
      </w:pPr>
      <w:proofErr w:type="gramStart"/>
      <w:r w:rsidRPr="001B6E4D">
        <w:t>115</w:t>
      </w:r>
      <w:proofErr w:type="gramEnd"/>
      <w:r w:rsidRPr="001B6E4D">
        <w:t>年度司法院</w:t>
      </w:r>
      <w:r w:rsidRPr="001B6E4D">
        <w:rPr>
          <w:rFonts w:hint="eastAsia"/>
        </w:rPr>
        <w:t>預算案</w:t>
      </w:r>
      <w:r w:rsidRPr="001B6E4D">
        <w:t>於</w:t>
      </w:r>
      <w:r w:rsidRPr="001B6E4D">
        <w:rPr>
          <w:rFonts w:hint="eastAsia"/>
        </w:rPr>
        <w:t>第3目</w:t>
      </w:r>
      <w:r w:rsidRPr="001B6E4D">
        <w:t>「審判行政」項下「辦理少年及家事審判行政業務」編列新臺幣5,739萬6千元，用以持續</w:t>
      </w:r>
      <w:proofErr w:type="gramStart"/>
      <w:r w:rsidRPr="001B6E4D">
        <w:t>研</w:t>
      </w:r>
      <w:proofErr w:type="gramEnd"/>
      <w:r w:rsidRPr="001B6E4D">
        <w:t>修少年及家事事件相關法案與配套措施，完備少年及家事事件相關法制及行政業務。又司法院</w:t>
      </w:r>
      <w:proofErr w:type="gramStart"/>
      <w:r w:rsidRPr="001B6E4D">
        <w:t>115</w:t>
      </w:r>
      <w:proofErr w:type="gramEnd"/>
      <w:r w:rsidRPr="001B6E4D">
        <w:t>年度施政計畫已明列，應整合專家資源，發展</w:t>
      </w:r>
      <w:proofErr w:type="gramStart"/>
      <w:r w:rsidRPr="001B6E4D">
        <w:t>兒少表意</w:t>
      </w:r>
      <w:proofErr w:type="gramEnd"/>
      <w:r w:rsidRPr="001B6E4D">
        <w:t>權相關辦案工具，以落實家事事件處理之正當程序。</w:t>
      </w:r>
    </w:p>
    <w:p w14:paraId="0A4B3114" w14:textId="77777777" w:rsidR="00201B77" w:rsidRPr="001B6E4D" w:rsidRDefault="00201B77" w:rsidP="003D1018">
      <w:pPr>
        <w:pStyle w:val="afffffffffd"/>
        <w:overflowPunct w:val="0"/>
        <w:ind w:left="924"/>
      </w:pPr>
      <w:r w:rsidRPr="001B6E4D">
        <w:t>憲法法庭</w:t>
      </w:r>
      <w:proofErr w:type="gramStart"/>
      <w:r w:rsidRPr="001B6E4D">
        <w:t>111年憲判字</w:t>
      </w:r>
      <w:proofErr w:type="gramEnd"/>
      <w:r w:rsidRPr="001B6E4D">
        <w:t>第8號判決明確指出，未成年子女並非家事程序中的被動客體，而是具有程序主體地位；法院於處理親權、交付子女或相關暫時處分事件時，只要未成年子女具備表達意見能力，且客觀上有表達可能，即應以適當方式，使其有陳述意見之機會，且程序監理人或其他專業人員之意見，不能取代兒少本人表意。尤其交付子女之暫時處分，可能立即改變兒少生活環境、語言、就學及人際關係，法院更應以兒少最佳利益為核心，審慎衡量兒少意願與生活連續性，避免</w:t>
      </w:r>
      <w:proofErr w:type="gramStart"/>
      <w:r w:rsidRPr="001B6E4D">
        <w:t>使兒少表</w:t>
      </w:r>
      <w:proofErr w:type="gramEnd"/>
      <w:r w:rsidRPr="001B6E4D">
        <w:t>意權流於形式。</w:t>
      </w:r>
    </w:p>
    <w:p w14:paraId="01A681EB" w14:textId="77777777" w:rsidR="00201B77" w:rsidRPr="001B6E4D" w:rsidRDefault="00201B77" w:rsidP="003D1018">
      <w:pPr>
        <w:pStyle w:val="afffffffffd"/>
        <w:overflowPunct w:val="0"/>
        <w:ind w:left="924"/>
      </w:pPr>
      <w:r w:rsidRPr="001B6E4D">
        <w:t>依據兒童權利公約之精神，</w:t>
      </w:r>
      <w:proofErr w:type="gramStart"/>
      <w:r w:rsidRPr="001B6E4D">
        <w:t>兒少表意</w:t>
      </w:r>
      <w:proofErr w:type="gramEnd"/>
      <w:r w:rsidRPr="001B6E4D">
        <w:t>權之落實，並非形式上詢問未成年子女意見，亦不該簡化為僅要求兒少在父母之間作出選擇。尤其於高衝突離婚、親權酌定或會面交往事件中，兒少可能承受父母衝突、心理控制、父母離間行為或選邊壓力，若法院未有專業評估機制，恐</w:t>
      </w:r>
      <w:proofErr w:type="gramStart"/>
      <w:r w:rsidRPr="001B6E4D">
        <w:t>使兒少表</w:t>
      </w:r>
      <w:proofErr w:type="gramEnd"/>
      <w:r w:rsidRPr="001B6E4D">
        <w:t>意權流於形式，</w:t>
      </w:r>
      <w:proofErr w:type="gramStart"/>
      <w:r w:rsidRPr="001B6E4D">
        <w:t>甚至使兒少</w:t>
      </w:r>
      <w:proofErr w:type="gramEnd"/>
      <w:r w:rsidRPr="001B6E4D">
        <w:t>承受額外心理壓力，反而不利其身心發展。</w:t>
      </w:r>
    </w:p>
    <w:p w14:paraId="6BD2C9F1" w14:textId="77777777" w:rsidR="00201B77" w:rsidRPr="001B6E4D" w:rsidRDefault="00201B77" w:rsidP="003D1018">
      <w:pPr>
        <w:pStyle w:val="afffffffffd"/>
        <w:overflowPunct w:val="0"/>
        <w:ind w:left="924"/>
      </w:pPr>
      <w:proofErr w:type="gramStart"/>
      <w:r w:rsidRPr="001B6E4D">
        <w:t>爰</w:t>
      </w:r>
      <w:proofErr w:type="gramEnd"/>
      <w:r w:rsidRPr="001B6E4D">
        <w:t>要求司法院於3個月內，就家事事件</w:t>
      </w:r>
      <w:proofErr w:type="gramStart"/>
      <w:r w:rsidRPr="001B6E4D">
        <w:t>兒少表意</w:t>
      </w:r>
      <w:proofErr w:type="gramEnd"/>
      <w:r w:rsidRPr="001B6E4D">
        <w:t>權之落實</w:t>
      </w:r>
      <w:r w:rsidRPr="001B6E4D">
        <w:lastRenderedPageBreak/>
        <w:t>與精進、</w:t>
      </w:r>
      <w:proofErr w:type="gramStart"/>
      <w:r w:rsidRPr="001B6E4D">
        <w:t>兒少表意</w:t>
      </w:r>
      <w:proofErr w:type="gramEnd"/>
      <w:r w:rsidRPr="001B6E4D">
        <w:t>權辦案工具之</w:t>
      </w:r>
      <w:proofErr w:type="gramStart"/>
      <w:r w:rsidRPr="001B6E4D">
        <w:t>研</w:t>
      </w:r>
      <w:proofErr w:type="gramEnd"/>
      <w:r w:rsidRPr="001B6E4D">
        <w:t>擬進度、法官及相關專業人員教育訓練規劃，提出書面報告並送交立法院司法及法制委員會，以建立適齡、友善、安全且具跨專業支持之</w:t>
      </w:r>
      <w:proofErr w:type="gramStart"/>
      <w:r w:rsidRPr="001B6E4D">
        <w:t>兒少表意</w:t>
      </w:r>
      <w:proofErr w:type="gramEnd"/>
      <w:r w:rsidRPr="001B6E4D">
        <w:t>權保障制度。【57】</w:t>
      </w:r>
    </w:p>
    <w:p w14:paraId="109A1DE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03794BBC"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5F5B1C99" w14:textId="77777777" w:rsidR="00201B77" w:rsidRPr="001B6E4D" w:rsidRDefault="00201B77" w:rsidP="003D1018">
      <w:pPr>
        <w:pStyle w:val="a"/>
        <w:overflowPunct w:val="0"/>
        <w:ind w:left="924" w:hanging="567"/>
      </w:pPr>
      <w:r w:rsidRPr="001B6E4D">
        <w:t>現行民法關於兩願離婚之規定，主要係以夫妻雙方具有離婚合意、作成書面、經二人以上證人簽名，並向戶政機關辦理離婚登記為要件。然而，對於育有未成年子女之家庭而言，離婚並不只是婚姻關係的解消，更會直接影響未成年子女日後的生活照顧、親權行使、會面交往、扶養費負擔、教育與醫療決定，以及其他重大生活安排。</w:t>
      </w:r>
    </w:p>
    <w:p w14:paraId="4565075A" w14:textId="77777777" w:rsidR="00201B77" w:rsidRPr="001B6E4D" w:rsidRDefault="00201B77" w:rsidP="003D1018">
      <w:pPr>
        <w:pStyle w:val="afffffffffd"/>
        <w:overflowPunct w:val="0"/>
        <w:ind w:left="924"/>
      </w:pPr>
      <w:r w:rsidRPr="001B6E4D">
        <w:t>實務上，部分父母雖已完成兩願離婚登記，卻未同步就未成年子女之照顧與權益事項作成明確安排，導致離婚後仍持續發生親權、會面交往、扶養費及照顧分工等爭議。此種情形不僅使未成年子女被迫承受父母衝突，也讓其生活安排長期處於不確定狀態，並可能進一步增加後續家事事件之</w:t>
      </w:r>
      <w:proofErr w:type="gramStart"/>
      <w:r w:rsidRPr="001B6E4D">
        <w:t>訟</w:t>
      </w:r>
      <w:proofErr w:type="gramEnd"/>
      <w:r w:rsidRPr="001B6E4D">
        <w:t>源。</w:t>
      </w:r>
    </w:p>
    <w:p w14:paraId="4FD7E581" w14:textId="77777777" w:rsidR="00201B77" w:rsidRPr="001B6E4D" w:rsidRDefault="00201B77" w:rsidP="003D1018">
      <w:pPr>
        <w:pStyle w:val="afffffffffd"/>
        <w:overflowPunct w:val="0"/>
        <w:ind w:left="924"/>
      </w:pPr>
      <w:r w:rsidRPr="001B6E4D">
        <w:t>但若以兒童最佳利益為優先，不應等到父母發生爭</w:t>
      </w:r>
      <w:proofErr w:type="gramStart"/>
      <w:r w:rsidRPr="001B6E4D">
        <w:t>訟</w:t>
      </w:r>
      <w:proofErr w:type="gramEnd"/>
      <w:r w:rsidRPr="001B6E4D">
        <w:t>後才被動處理，而應在兩願離婚程序中即被納入制度設計，特別針對未成年子女之照顧安排與權益保障，應於離婚登記前即獲得基本確認。</w:t>
      </w:r>
    </w:p>
    <w:p w14:paraId="288C6F97" w14:textId="77777777" w:rsidR="00201B77" w:rsidRPr="001B6E4D" w:rsidRDefault="00201B77" w:rsidP="003D1018">
      <w:pPr>
        <w:pStyle w:val="afffffffffd"/>
        <w:overflowPunct w:val="0"/>
        <w:ind w:left="924"/>
      </w:pPr>
      <w:proofErr w:type="gramStart"/>
      <w:r w:rsidRPr="001B6E4D">
        <w:t>爰</w:t>
      </w:r>
      <w:proofErr w:type="gramEnd"/>
      <w:r w:rsidRPr="001B6E4D">
        <w:rPr>
          <w:rFonts w:hint="eastAsia"/>
        </w:rPr>
        <w:t>請</w:t>
      </w:r>
      <w:r w:rsidRPr="001B6E4D">
        <w:t>司法院</w:t>
      </w:r>
      <w:r w:rsidRPr="001B6E4D">
        <w:rPr>
          <w:rFonts w:hint="eastAsia"/>
        </w:rPr>
        <w:t>配合法務部</w:t>
      </w:r>
      <w:proofErr w:type="gramStart"/>
      <w:r w:rsidRPr="001B6E4D">
        <w:rPr>
          <w:rFonts w:hint="eastAsia"/>
        </w:rPr>
        <w:t>研</w:t>
      </w:r>
      <w:proofErr w:type="gramEnd"/>
      <w:r w:rsidRPr="001B6E4D">
        <w:rPr>
          <w:rFonts w:hint="eastAsia"/>
        </w:rPr>
        <w:t>議</w:t>
      </w:r>
      <w:r w:rsidRPr="001B6E4D">
        <w:t>「育有未成年子女之夫妻辦理兩願離婚時，是否將未成年子女照顧協議或相關安排納入法定要件或登記前必要確認事項」</w:t>
      </w:r>
      <w:r w:rsidRPr="001B6E4D">
        <w:rPr>
          <w:rFonts w:hint="eastAsia"/>
        </w:rPr>
        <w:t>之可行性書面</w:t>
      </w:r>
      <w:r w:rsidRPr="001B6E4D">
        <w:t>報告。【58】</w:t>
      </w:r>
    </w:p>
    <w:p w14:paraId="2EA1B2A6"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0C4F460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583E251A" w14:textId="77777777" w:rsidR="00201B77" w:rsidRPr="001B6E4D" w:rsidRDefault="00201B77" w:rsidP="003D1018">
      <w:pPr>
        <w:pStyle w:val="a"/>
        <w:overflowPunct w:val="0"/>
        <w:ind w:left="924" w:hanging="567"/>
      </w:pPr>
      <w:r w:rsidRPr="001B6E4D">
        <w:t>依據</w:t>
      </w:r>
      <w:r w:rsidRPr="001B6E4D">
        <w:rPr>
          <w:rFonts w:hint="eastAsia"/>
        </w:rPr>
        <w:t>監察院</w:t>
      </w:r>
      <w:r w:rsidRPr="001B6E4D">
        <w:t>國家人權委員會115年3月24日提出《平等近用司法</w:t>
      </w:r>
      <w:r w:rsidRPr="001B6E4D">
        <w:rPr>
          <w:rFonts w:hint="eastAsia"/>
        </w:rPr>
        <w:t>－</w:t>
      </w:r>
      <w:r w:rsidRPr="001B6E4D">
        <w:t>台灣司法通譯與指定辯護制度》報告指出，現行司法通譯制度仍有若干亟待改善之處。報告指出，法院現場往往難以即時確認通譯內容是否完整、正確，事後也不易進行有效檢核；同時，當事人及關係人在通譯服務近用性、卷證資訊獲知權、通譯品質控管，以及不適任通譯人員</w:t>
      </w:r>
      <w:proofErr w:type="gramStart"/>
      <w:r w:rsidRPr="001B6E4D">
        <w:t>汰</w:t>
      </w:r>
      <w:proofErr w:type="gramEnd"/>
      <w:r w:rsidRPr="001B6E4D">
        <w:t>除機制等方面，仍面臨制度不足的問題。</w:t>
      </w:r>
    </w:p>
    <w:p w14:paraId="632236E0" w14:textId="77777777" w:rsidR="00201B77" w:rsidRPr="001B6E4D" w:rsidRDefault="00201B77" w:rsidP="003D1018">
      <w:pPr>
        <w:pStyle w:val="afffffffffd"/>
        <w:overflowPunct w:val="0"/>
        <w:ind w:left="924"/>
      </w:pPr>
      <w:r w:rsidRPr="001B6E4D">
        <w:t>回到法院實務現場，雖然現行制度已設有通譯具結、倫理規範、評量表及意見反應表等機制，但這些措施多偏向事前要求或事後評價，仍難以確保傳譯過程中的即時品質。尤其當事人之所以需要通譯協助，正是因為語言不通；一旦發生</w:t>
      </w:r>
      <w:proofErr w:type="gramStart"/>
      <w:r w:rsidRPr="001B6E4D">
        <w:t>錯譯、漏譯</w:t>
      </w:r>
      <w:proofErr w:type="gramEnd"/>
      <w:r w:rsidRPr="001B6E4D">
        <w:t>，或通譯僅以摘要方式轉述，當事人往往難以即時察覺或</w:t>
      </w:r>
      <w:r w:rsidRPr="001B6E4D">
        <w:lastRenderedPageBreak/>
        <w:t>提出異議。如此</w:t>
      </w:r>
      <w:proofErr w:type="gramStart"/>
      <w:r w:rsidRPr="001B6E4D">
        <w:t>一來，</w:t>
      </w:r>
      <w:proofErr w:type="gramEnd"/>
      <w:r w:rsidRPr="001B6E4D">
        <w:t>不僅可能影響其對訴訟程序與卷證內容的理解，也將進一步影響其陳述意見及行使防禦權的實質保障。</w:t>
      </w:r>
    </w:p>
    <w:p w14:paraId="32A026D0" w14:textId="77777777" w:rsidR="00201B77" w:rsidRPr="001B6E4D" w:rsidRDefault="00201B77" w:rsidP="003D1018">
      <w:pPr>
        <w:pStyle w:val="afffffffffd"/>
        <w:overflowPunct w:val="0"/>
        <w:ind w:left="924"/>
      </w:pPr>
      <w:proofErr w:type="gramStart"/>
      <w:r w:rsidRPr="001B6E4D">
        <w:t>爰</w:t>
      </w:r>
      <w:proofErr w:type="gramEnd"/>
      <w:r w:rsidRPr="001B6E4D">
        <w:t>要求司法院於3個月內檢討現行法院通譯品質評量及申訴處理機制，</w:t>
      </w:r>
      <w:proofErr w:type="gramStart"/>
      <w:r w:rsidRPr="001B6E4D">
        <w:t>研</w:t>
      </w:r>
      <w:proofErr w:type="gramEnd"/>
      <w:r w:rsidRPr="001B6E4D">
        <w:t>議建立具體可行之品質控管措施，並向立法院司法及法制委員會提出書面報告。【59】</w:t>
      </w:r>
    </w:p>
    <w:p w14:paraId="44FDC192"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55F7C6DE"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1D9521C5" w14:textId="77777777" w:rsidR="00201B77" w:rsidRPr="001B6E4D" w:rsidRDefault="00201B77" w:rsidP="003D1018">
      <w:pPr>
        <w:pStyle w:val="a"/>
        <w:overflowPunct w:val="0"/>
        <w:ind w:left="924" w:hanging="567"/>
      </w:pPr>
      <w:r w:rsidRPr="001B6E4D">
        <w:t>近年醫師性別事件頻傳，引發社會高度關注。依衛</w:t>
      </w:r>
      <w:r w:rsidRPr="001B6E4D">
        <w:rPr>
          <w:rFonts w:hint="eastAsia"/>
        </w:rPr>
        <w:t>生</w:t>
      </w:r>
      <w:r w:rsidRPr="001B6E4D">
        <w:t>福</w:t>
      </w:r>
      <w:r w:rsidRPr="001B6E4D">
        <w:rPr>
          <w:rFonts w:hint="eastAsia"/>
        </w:rPr>
        <w:t>利</w:t>
      </w:r>
      <w:r w:rsidRPr="001B6E4D">
        <w:t>部《醫師法》第25條規定，醫師涉及利用業務犯罪經判決確定或執行業務違背醫學倫理等情事，由醫師公會或主管機關移付懲戒。</w:t>
      </w:r>
      <w:proofErr w:type="gramStart"/>
      <w:r w:rsidRPr="001B6E4D">
        <w:t>衛福部雖</w:t>
      </w:r>
      <w:proofErr w:type="gramEnd"/>
      <w:r w:rsidRPr="001B6E4D">
        <w:t>針對相關案件於2025年底建置「</w:t>
      </w:r>
      <w:proofErr w:type="gramStart"/>
      <w:r w:rsidRPr="001B6E4D">
        <w:t>醫</w:t>
      </w:r>
      <w:proofErr w:type="gramEnd"/>
      <w:r w:rsidRPr="001B6E4D">
        <w:t>事人員性別事件資訊專區」揭露，但資訊限於判決確定後，對於地方政府衛生局於事件發生之時即可行政調查後啟動懲戒程序之時效過慢，甚或出現需透過媒體報導案件後，地方衛生局始啟動懲戒之情形。</w:t>
      </w:r>
    </w:p>
    <w:p w14:paraId="7D3D445A" w14:textId="77777777" w:rsidR="00201B77" w:rsidRPr="001B6E4D" w:rsidRDefault="00201B77" w:rsidP="003D1018">
      <w:pPr>
        <w:pStyle w:val="afffffffffd"/>
        <w:overflowPunct w:val="0"/>
        <w:ind w:left="924"/>
      </w:pPr>
      <w:r w:rsidRPr="001B6E4D">
        <w:t>近期，司法院已召開會議與法務部和衛福部再次針對如何串接資訊達成初步共識，</w:t>
      </w:r>
      <w:proofErr w:type="gramStart"/>
      <w:r w:rsidRPr="001B6E4D">
        <w:t>然受限於</w:t>
      </w:r>
      <w:proofErr w:type="gramEnd"/>
      <w:r w:rsidRPr="001B6E4D">
        <w:t>現行司法院判決書查詢系統等資料庫未納入「身分證字號」，易產生同名同姓、查詢不易等情況，需以眾多書記官人工方式處理，亦有時效問題。</w:t>
      </w:r>
    </w:p>
    <w:p w14:paraId="32741CF8" w14:textId="77777777" w:rsidR="00201B77" w:rsidRPr="001B6E4D" w:rsidRDefault="00201B77" w:rsidP="003D1018">
      <w:pPr>
        <w:pStyle w:val="afffffffffd"/>
        <w:overflowPunct w:val="0"/>
        <w:ind w:left="924"/>
      </w:pPr>
      <w:r w:rsidRPr="001B6E4D">
        <w:t>考量後續《兒童及少年福利與權益保障法》修正將納入「兒少工作證」，實務上亦會再次面對類似資料庫</w:t>
      </w:r>
      <w:proofErr w:type="gramStart"/>
      <w:r w:rsidRPr="001B6E4D">
        <w:t>介</w:t>
      </w:r>
      <w:proofErr w:type="gramEnd"/>
      <w:r w:rsidRPr="001B6E4D">
        <w:t>接狀況。</w:t>
      </w:r>
    </w:p>
    <w:p w14:paraId="2B881BB4" w14:textId="77777777" w:rsidR="00201B77" w:rsidRPr="001B6E4D" w:rsidRDefault="00201B77" w:rsidP="003D1018">
      <w:pPr>
        <w:pStyle w:val="afffffffffd"/>
        <w:overflowPunct w:val="0"/>
        <w:ind w:left="924"/>
      </w:pPr>
      <w:proofErr w:type="gramStart"/>
      <w:r w:rsidRPr="001B6E4D">
        <w:t>爰</w:t>
      </w:r>
      <w:proofErr w:type="gramEnd"/>
      <w:r w:rsidRPr="001B6E4D">
        <w:t>建請司法院研究各國相關作法，評估於裁判書相關系統內部增置身分證字號資訊之可行性，以即時啟動醫師等</w:t>
      </w:r>
      <w:proofErr w:type="gramStart"/>
      <w:r w:rsidRPr="001B6E4D">
        <w:t>醫</w:t>
      </w:r>
      <w:proofErr w:type="gramEnd"/>
      <w:r w:rsidRPr="001B6E4D">
        <w:t>事人員懲戒以及保障兒少避免接觸相關前科犯。請</w:t>
      </w:r>
      <w:proofErr w:type="gramStart"/>
      <w:r w:rsidRPr="001B6E4D">
        <w:t>研</w:t>
      </w:r>
      <w:proofErr w:type="gramEnd"/>
      <w:r w:rsidRPr="001B6E4D">
        <w:t>擬研究、評估及相關規劃之期程，做成書面報告，於2個月內提交予立法院司法及法制委員會。【60】</w:t>
      </w:r>
    </w:p>
    <w:p w14:paraId="1F9B986B"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2F32F40C"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張雅琳</w:t>
      </w:r>
    </w:p>
    <w:p w14:paraId="50C94C85" w14:textId="77777777" w:rsidR="00201B77" w:rsidRPr="001B6E4D" w:rsidRDefault="00201B77" w:rsidP="003D1018">
      <w:pPr>
        <w:pStyle w:val="a"/>
        <w:overflowPunct w:val="0"/>
        <w:ind w:left="924" w:hanging="567"/>
      </w:pPr>
      <w:proofErr w:type="gramStart"/>
      <w:r w:rsidRPr="001B6E4D">
        <w:t>鑑</w:t>
      </w:r>
      <w:proofErr w:type="gramEnd"/>
      <w:r w:rsidRPr="001B6E4D">
        <w:t>於</w:t>
      </w:r>
      <w:r w:rsidRPr="001B6E4D">
        <w:rPr>
          <w:rFonts w:hint="eastAsia"/>
        </w:rPr>
        <w:t>111</w:t>
      </w:r>
      <w:r w:rsidRPr="001B6E4D">
        <w:t>年</w:t>
      </w:r>
      <w:r w:rsidRPr="001B6E4D">
        <w:rPr>
          <w:rFonts w:hint="eastAsia"/>
        </w:rPr>
        <w:t>消除對婦女一切形式歧視公約（以下簡稱</w:t>
      </w:r>
      <w:r w:rsidRPr="001B6E4D">
        <w:t>CEDAW</w:t>
      </w:r>
      <w:r w:rsidRPr="001B6E4D">
        <w:rPr>
          <w:rFonts w:hint="eastAsia"/>
        </w:rPr>
        <w:t>）</w:t>
      </w:r>
      <w:r w:rsidRPr="001B6E4D">
        <w:t>第4次國家報告結論性意見與建議，國際審查委員會關切臺灣的離婚案件高比例</w:t>
      </w:r>
      <w:proofErr w:type="gramStart"/>
      <w:r w:rsidRPr="001B6E4D">
        <w:t>採</w:t>
      </w:r>
      <w:proofErr w:type="gramEnd"/>
      <w:r w:rsidRPr="001B6E4D">
        <w:t>協議離婚途徑，且離婚訴訟中調解的作法被強烈鼓勵，擔憂調解離婚可能使處於權力位階較低的一方(實務上常是女性)妥協或讓步，致使調解離婚結果存在性別不平等效果。</w:t>
      </w:r>
    </w:p>
    <w:p w14:paraId="55897430" w14:textId="77777777" w:rsidR="00201B77" w:rsidRPr="001B6E4D" w:rsidRDefault="00201B77" w:rsidP="003D1018">
      <w:pPr>
        <w:pStyle w:val="afffffffffd"/>
        <w:overflowPunct w:val="0"/>
        <w:ind w:left="924"/>
      </w:pPr>
      <w:r w:rsidRPr="001B6E4D">
        <w:t>民間婦女團體建議，若全國各地皆有專責的少年及家事法院，投注專業人力與資源進行更加細膩的離婚調解程序，或可更妥善落實性別平等的調解程序及調解結果，則可更周延回應</w:t>
      </w:r>
      <w:r w:rsidRPr="001B6E4D">
        <w:lastRenderedPageBreak/>
        <w:t>CEDAW國際審查委員會的擔憂。</w:t>
      </w:r>
    </w:p>
    <w:p w14:paraId="153B4888" w14:textId="77777777" w:rsidR="00201B77" w:rsidRPr="001B6E4D" w:rsidRDefault="00201B77" w:rsidP="003D1018">
      <w:pPr>
        <w:pStyle w:val="afffffffffd"/>
        <w:overflowPunct w:val="0"/>
        <w:ind w:left="924"/>
      </w:pPr>
      <w:r w:rsidRPr="001B6E4D">
        <w:t>經查，司法院應於99年11月19日少年及家事法院組織法三讀通過後之5年內，在北、中、南、東地區各成立1所少年及家事法院。其中，高雄少年及家事法院已於101年6月1日成立，其餘少家院則至今未見具體成立期程。</w:t>
      </w:r>
    </w:p>
    <w:p w14:paraId="1E5A3CE2" w14:textId="77777777" w:rsidR="00201B77" w:rsidRPr="001B6E4D" w:rsidRDefault="00201B77" w:rsidP="003D1018">
      <w:pPr>
        <w:pStyle w:val="afffffffffd"/>
        <w:overflowPunct w:val="0"/>
        <w:ind w:left="924"/>
      </w:pPr>
      <w:proofErr w:type="gramStart"/>
      <w:r w:rsidRPr="001B6E4D">
        <w:t>爰</w:t>
      </w:r>
      <w:proofErr w:type="gramEnd"/>
      <w:r w:rsidRPr="001B6E4D">
        <w:t>建請司法院盤點資源並</w:t>
      </w:r>
      <w:proofErr w:type="gramStart"/>
      <w:r w:rsidRPr="001B6E4D">
        <w:t>明列北</w:t>
      </w:r>
      <w:proofErr w:type="gramEnd"/>
      <w:r w:rsidRPr="001B6E4D">
        <w:t>、中、東部少年及家事法院設立規劃，說明目前已完成事項與待完成事項之期程，以利更深入討論我國離婚調解制度之實務執行狀況</w:t>
      </w:r>
      <w:r w:rsidRPr="001B6E4D">
        <w:rPr>
          <w:rFonts w:hint="eastAsia"/>
        </w:rPr>
        <w:t>，並</w:t>
      </w:r>
      <w:r w:rsidRPr="001B6E4D">
        <w:t>請做成書面報告於</w:t>
      </w:r>
      <w:r w:rsidRPr="001B6E4D">
        <w:rPr>
          <w:rFonts w:hint="eastAsia"/>
        </w:rPr>
        <w:t>6</w:t>
      </w:r>
      <w:r w:rsidRPr="001B6E4D">
        <w:t>個月內提交予立法院司法及法制委員</w:t>
      </w:r>
      <w:r w:rsidRPr="001B6E4D">
        <w:rPr>
          <w:rFonts w:hint="eastAsia"/>
        </w:rPr>
        <w:t>會</w:t>
      </w:r>
      <w:r w:rsidRPr="001B6E4D">
        <w:t>。【61】</w:t>
      </w:r>
    </w:p>
    <w:p w14:paraId="06DE7BC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203F3452"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連署人：沈發惠　莊瑞雄</w:t>
      </w:r>
    </w:p>
    <w:p w14:paraId="33C6FC04" w14:textId="77777777" w:rsidR="00201B77" w:rsidRPr="001B6E4D" w:rsidRDefault="00201B77" w:rsidP="003D1018">
      <w:pPr>
        <w:pStyle w:val="a"/>
        <w:overflowPunct w:val="0"/>
        <w:ind w:left="924" w:hanging="567"/>
      </w:pPr>
      <w:r w:rsidRPr="001B6E4D">
        <w:t>根據</w:t>
      </w:r>
      <w:r w:rsidRPr="001B6E4D">
        <w:rPr>
          <w:rFonts w:hint="eastAsia"/>
        </w:rPr>
        <w:t>111</w:t>
      </w:r>
      <w:r w:rsidRPr="001B6E4D">
        <w:t>年</w:t>
      </w:r>
      <w:r w:rsidRPr="001B6E4D">
        <w:rPr>
          <w:rFonts w:hint="eastAsia"/>
        </w:rPr>
        <w:t>消除對婦女一切形式歧視公約（以下簡稱</w:t>
      </w:r>
      <w:r w:rsidRPr="001B6E4D">
        <w:t>CEDAW</w:t>
      </w:r>
      <w:r w:rsidRPr="001B6E4D">
        <w:rPr>
          <w:rFonts w:hint="eastAsia"/>
        </w:rPr>
        <w:t>）</w:t>
      </w:r>
      <w:r w:rsidRPr="001B6E4D">
        <w:t>第4次國家報告結論性意見與建議，國際審查委員會關切臺灣的法規鼓勵離婚案件調解先行。委員會擔憂，調解離婚可能使涉及家暴的案件中處於權力位階較低的一方（實務上常是女性）妥協或讓步，致使離婚結果存在性別不平等效果。</w:t>
      </w:r>
    </w:p>
    <w:p w14:paraId="73BEF134" w14:textId="77777777" w:rsidR="00201B77" w:rsidRPr="001B6E4D" w:rsidRDefault="00201B77" w:rsidP="003D1018">
      <w:pPr>
        <w:pStyle w:val="afffffffffd"/>
        <w:overflowPunct w:val="0"/>
        <w:ind w:left="924"/>
      </w:pPr>
      <w:r w:rsidRPr="001B6E4D">
        <w:t>經查，司法院曾於第4次國家報告結論性意見與建議行動回應表中指出，家事調解委員皆有接受專業核心能力課程訓練，內容包括家庭暴力處理、家庭動力與衝突處理、社會正義與弱勢保護等。</w:t>
      </w:r>
      <w:proofErr w:type="gramStart"/>
      <w:r w:rsidRPr="001B6E4D">
        <w:t>此外，</w:t>
      </w:r>
      <w:proofErr w:type="gramEnd"/>
      <w:r w:rsidRPr="001B6E4D">
        <w:t>家庭暴力防治法第47條規定，法院於訴訟或調解程序中如認為有家庭暴力之情事時，不得進行和解或調解。但，行和解或調解之人曾受家庭暴力防治之訓練並以確保被害人安全之方式進行和解或調解等情形者，則不在此限。符合此但書規定時，將指定曾受家庭暴力防治訓練之家事調解委員進行調解。然僅宣稱「家事調解委員有能力進行公正調解」而缺乏實證，恐難以周延回應委員會的疑慮。</w:t>
      </w:r>
    </w:p>
    <w:p w14:paraId="7F384A3A" w14:textId="77777777" w:rsidR="00201B77" w:rsidRPr="001B6E4D" w:rsidRDefault="00201B77" w:rsidP="003D1018">
      <w:pPr>
        <w:pStyle w:val="afffffffffd"/>
        <w:overflowPunct w:val="0"/>
        <w:ind w:left="924"/>
      </w:pPr>
      <w:r w:rsidRPr="001B6E4D">
        <w:t>為更周延回應CEDAW國際審查委員會之擔憂，</w:t>
      </w:r>
      <w:proofErr w:type="gramStart"/>
      <w:r w:rsidRPr="001B6E4D">
        <w:t>爰</w:t>
      </w:r>
      <w:proofErr w:type="gramEnd"/>
      <w:r w:rsidRPr="001B6E4D">
        <w:t>建請司法院</w:t>
      </w:r>
      <w:proofErr w:type="gramStart"/>
      <w:r w:rsidRPr="001B6E4D">
        <w:t>研</w:t>
      </w:r>
      <w:proofErr w:type="gramEnd"/>
      <w:r w:rsidRPr="001B6E4D">
        <w:t>議是否建置並追蹤相關指標，以利掌握我國調解離婚之執行狀況，指標包含但不限於：</w:t>
      </w:r>
      <w:r w:rsidRPr="001B6E4D">
        <w:rPr>
          <w:rFonts w:hint="eastAsia"/>
        </w:rPr>
        <w:t>1.</w:t>
      </w:r>
      <w:r w:rsidRPr="001B6E4D">
        <w:t>家事調解委員受性平意識培訓成效。</w:t>
      </w:r>
      <w:r w:rsidRPr="001B6E4D">
        <w:rPr>
          <w:rFonts w:hint="eastAsia"/>
        </w:rPr>
        <w:t>2.</w:t>
      </w:r>
      <w:r w:rsidRPr="001B6E4D">
        <w:t>家事調解委員受年度評鑑狀況。</w:t>
      </w:r>
      <w:r w:rsidRPr="001B6E4D">
        <w:rPr>
          <w:rFonts w:hint="eastAsia"/>
        </w:rPr>
        <w:t>3.</w:t>
      </w:r>
      <w:r w:rsidRPr="001B6E4D">
        <w:t>家事調解委員被陳情之次數、內容與結果。</w:t>
      </w:r>
      <w:r w:rsidRPr="001B6E4D">
        <w:rPr>
          <w:rFonts w:hint="eastAsia"/>
        </w:rPr>
        <w:t>4.</w:t>
      </w:r>
      <w:r w:rsidRPr="001B6E4D">
        <w:t>涉及家暴案件</w:t>
      </w:r>
      <w:proofErr w:type="gramStart"/>
      <w:r w:rsidRPr="001B6E4D">
        <w:t>採</w:t>
      </w:r>
      <w:proofErr w:type="gramEnd"/>
      <w:r w:rsidRPr="001B6E4D">
        <w:t>調解途徑比例之統計。</w:t>
      </w:r>
      <w:r w:rsidRPr="001B6E4D">
        <w:rPr>
          <w:rFonts w:hint="eastAsia"/>
        </w:rPr>
        <w:t>5.</w:t>
      </w:r>
      <w:r w:rsidRPr="001B6E4D">
        <w:t>涉及家暴案件</w:t>
      </w:r>
      <w:proofErr w:type="gramStart"/>
      <w:r w:rsidRPr="001B6E4D">
        <w:t>採</w:t>
      </w:r>
      <w:proofErr w:type="gramEnd"/>
      <w:r w:rsidRPr="001B6E4D">
        <w:t>調解離婚途徑的執行效果統計，如扶養費、親權、財產權的分配結果等。</w:t>
      </w:r>
      <w:r w:rsidRPr="001B6E4D">
        <w:rPr>
          <w:rFonts w:hint="eastAsia"/>
        </w:rPr>
        <w:t>並</w:t>
      </w:r>
      <w:r w:rsidRPr="001B6E4D">
        <w:t>請於2個月內向立法院司法及法制委員會提交</w:t>
      </w:r>
      <w:r w:rsidRPr="001B6E4D">
        <w:rPr>
          <w:rFonts w:hint="eastAsia"/>
        </w:rPr>
        <w:t>書面</w:t>
      </w:r>
      <w:r w:rsidRPr="001B6E4D">
        <w:t>報告。【62】</w:t>
      </w:r>
    </w:p>
    <w:p w14:paraId="2D849A78"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5326A9C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連署人：沈發惠　莊瑞雄</w:t>
      </w:r>
    </w:p>
    <w:p w14:paraId="0D4B7236" w14:textId="77777777" w:rsidR="00201B77" w:rsidRPr="001B6E4D" w:rsidRDefault="00201B77" w:rsidP="003D1018">
      <w:pPr>
        <w:pStyle w:val="a"/>
        <w:overflowPunct w:val="0"/>
        <w:ind w:left="924" w:hanging="567"/>
      </w:pPr>
      <w:r w:rsidRPr="001B6E4D">
        <w:t>有</w:t>
      </w:r>
      <w:proofErr w:type="gramStart"/>
      <w:r w:rsidRPr="001B6E4D">
        <w:rPr>
          <w:rFonts w:hint="eastAsia"/>
        </w:rPr>
        <w:t>鑑</w:t>
      </w:r>
      <w:proofErr w:type="gramEnd"/>
      <w:r w:rsidRPr="001B6E4D">
        <w:t>於司法院為緩解司法過</w:t>
      </w:r>
      <w:proofErr w:type="gramStart"/>
      <w:r w:rsidRPr="001B6E4D">
        <w:t>勞</w:t>
      </w:r>
      <w:proofErr w:type="gramEnd"/>
      <w:r w:rsidRPr="001B6E4D">
        <w:t>，積極推動 AI 輔助撰寫判決書草案及再犯風險評估工具。</w:t>
      </w:r>
      <w:proofErr w:type="gramStart"/>
      <w:r w:rsidRPr="001B6E4D">
        <w:t>然查</w:t>
      </w:r>
      <w:proofErr w:type="gramEnd"/>
      <w:r w:rsidRPr="001B6E4D">
        <w:t>，民間專家學者</w:t>
      </w:r>
      <w:proofErr w:type="gramStart"/>
      <w:r w:rsidRPr="001B6E4D">
        <w:t>多次指</w:t>
      </w:r>
      <w:proofErr w:type="gramEnd"/>
      <w:r w:rsidRPr="001B6E4D">
        <w:lastRenderedPageBreak/>
        <w:t>陳，司法審判涉及人民之生命與自由，具備高度法律敏感性。若 AI 訓練數據存有歷史性偏見，恐產生「自動化偏見」並導致審判</w:t>
      </w:r>
      <w:proofErr w:type="gramStart"/>
      <w:r w:rsidRPr="001B6E4D">
        <w:t>黑箱化</w:t>
      </w:r>
      <w:proofErr w:type="gramEnd"/>
      <w:r w:rsidRPr="001B6E4D">
        <w:t>；且 AI 模型可能產生「幻覺」而編造虛假事實或法源，若法官因追求效率而過度依賴，將使科技取代裁判者之心證判斷，嚴重侵蝕司法公信力。</w:t>
      </w:r>
    </w:p>
    <w:p w14:paraId="22694953" w14:textId="77777777" w:rsidR="00201B77" w:rsidRPr="001B6E4D" w:rsidRDefault="00201B77" w:rsidP="003D1018">
      <w:pPr>
        <w:pStyle w:val="afffffffffd"/>
        <w:overflowPunct w:val="0"/>
        <w:ind w:left="924"/>
      </w:pPr>
      <w:r w:rsidRPr="001B6E4D">
        <w:t>尤有甚者，行為經濟學研究警示，人類對科技常具備無意識的「科技效應」樂觀偏見，易產生對電腦判斷盲目信任之「</w:t>
      </w:r>
      <w:proofErr w:type="gramStart"/>
      <w:r w:rsidRPr="001B6E4D">
        <w:t>自動化偏誤</w:t>
      </w:r>
      <w:proofErr w:type="gramEnd"/>
      <w:r w:rsidRPr="001B6E4D">
        <w:t>」。參考美國 COMPAS 系統之爭議，若司法 AI 系統設計不佳或預測有誤，恐導致裁判者提供不適配的處遇，或因不信任系統而棄之不用，導致司法效率未獲提升，甚至使法官在無意識中棄守獨立思考能力，將本應參考之數據奉為法規圭臬。</w:t>
      </w:r>
    </w:p>
    <w:p w14:paraId="3C2EC879" w14:textId="77777777" w:rsidR="00201B77" w:rsidRPr="001B6E4D" w:rsidRDefault="00201B77" w:rsidP="003D1018">
      <w:pPr>
        <w:pStyle w:val="afffffffffd"/>
        <w:overflowPunct w:val="0"/>
        <w:ind w:left="924"/>
      </w:pPr>
      <w:proofErr w:type="gramStart"/>
      <w:r w:rsidRPr="001B6E4D">
        <w:t>爰</w:t>
      </w:r>
      <w:proofErr w:type="gramEnd"/>
      <w:r w:rsidRPr="001B6E4D">
        <w:t>要求司法院應針對「司法 AI 應用之監管、倫理及核查機制」向</w:t>
      </w:r>
      <w:r w:rsidRPr="001B6E4D">
        <w:rPr>
          <w:rFonts w:hint="eastAsia"/>
        </w:rPr>
        <w:t>立法</w:t>
      </w:r>
      <w:r w:rsidRPr="001B6E4D">
        <w:t>院司法及法制委員會提出</w:t>
      </w:r>
      <w:r w:rsidRPr="001B6E4D">
        <w:rPr>
          <w:rFonts w:hint="eastAsia"/>
        </w:rPr>
        <w:t>書面</w:t>
      </w:r>
      <w:r w:rsidRPr="001B6E4D">
        <w:t>報告。報告內容應包含：建立 AI 產出內容之正確性覆核流程、劃定 AI 不得介入</w:t>
      </w:r>
      <w:proofErr w:type="gramStart"/>
      <w:r w:rsidRPr="001B6E4D">
        <w:t>心證裁量</w:t>
      </w:r>
      <w:proofErr w:type="gramEnd"/>
      <w:r w:rsidRPr="001B6E4D">
        <w:t>之法律紅線</w:t>
      </w:r>
      <w:r w:rsidRPr="001B6E4D">
        <w:rPr>
          <w:rFonts w:hint="eastAsia"/>
        </w:rPr>
        <w:t>等</w:t>
      </w:r>
      <w:r w:rsidRPr="001B6E4D">
        <w:t>，並針對演算法進行定期公平性審計與防範 AI 幻覺之配套措施，以落實科技司法之責任化、透明化與公正性。【63】</w:t>
      </w:r>
    </w:p>
    <w:p w14:paraId="69CDA332" w14:textId="77777777" w:rsidR="00201B77" w:rsidRPr="001B6E4D" w:rsidRDefault="00201B77" w:rsidP="003D1018">
      <w:pPr>
        <w:overflowPunct w:val="0"/>
        <w:snapToGrid w:val="0"/>
        <w:ind w:leftChars="1500" w:left="4692" w:hangingChars="420" w:hanging="1092"/>
        <w:jc w:val="both"/>
        <w:rPr>
          <w:rFonts w:ascii="標楷體" w:eastAsia="標楷體" w:hAnsi="標楷體"/>
          <w:color w:val="000000"/>
          <w:spacing w:val="-10"/>
          <w:sz w:val="28"/>
          <w:szCs w:val="28"/>
        </w:rPr>
      </w:pPr>
      <w:r w:rsidRPr="001B6E4D">
        <w:rPr>
          <w:rFonts w:ascii="標楷體" w:eastAsia="標楷體" w:hAnsi="標楷體"/>
          <w:color w:val="000000"/>
          <w:spacing w:val="-10"/>
          <w:sz w:val="28"/>
          <w:szCs w:val="28"/>
        </w:rPr>
        <w:t>提案人：</w:t>
      </w:r>
      <w:r w:rsidRPr="001B6E4D">
        <w:rPr>
          <w:rFonts w:ascii="標楷體" w:eastAsia="標楷體" w:hAnsi="標楷體"/>
          <w:color w:val="000000"/>
          <w:spacing w:val="-14"/>
          <w:sz w:val="28"/>
          <w:szCs w:val="28"/>
        </w:rPr>
        <w:t>陳昭姿　翁曉玲　林沛祥　劉書彬</w:t>
      </w:r>
    </w:p>
    <w:p w14:paraId="10FA9BD2"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第2項 最高法院5億8,065萬4千元，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93874EB"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第3項 最高行政法院1億7,166萬5千元，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5EA4CF7"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第4項 </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北高等行政法院4億9,198萬8千元，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897614C"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第5項 </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中高等行政法院1億8,459萬6千元，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27C519D"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第6項 高雄高等行政法院2億4,120萬8千元，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653C5EE"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第7項 懲戒法院1億2,070萬2千元，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6DD29C2"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第8項 法官學院1億9,764萬3千元，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D97B956"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20AE0B7C" w14:textId="77777777" w:rsidR="00201B77" w:rsidRPr="001B6E4D" w:rsidRDefault="00201B77" w:rsidP="003D1018">
      <w:pPr>
        <w:pStyle w:val="affe"/>
        <w:widowControl w:val="0"/>
        <w:numPr>
          <w:ilvl w:val="0"/>
          <w:numId w:val="34"/>
        </w:numPr>
        <w:overflowPunct w:val="0"/>
        <w:snapToGrid w:val="0"/>
        <w:spacing w:line="380" w:lineRule="exact"/>
        <w:ind w:leftChars="163" w:left="951"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法官學院預算案於第2目「研習業務」項下「辦理研習業務」編列預算5,223萬8千元。主要配合司法院推動新制，規劃專業法律課程，並辦理專業法庭在職進修，視時事需要增列課程，以應審理涉及法律以外專業性案件之需求，並安排各界專業人士講授與司法密切相關之多元化課程。其中亦包含原住民族人權保障相關研習。</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有關課程內容是否能於文化理解層面有所深化，使國家法律與原住民族傳統在體系內實現共存共榮，尚待檢視其實際成效。</w:t>
      </w:r>
    </w:p>
    <w:p w14:paraId="4FFB5575" w14:textId="77777777" w:rsidR="00201B77" w:rsidRPr="001B6E4D" w:rsidRDefault="00201B77" w:rsidP="003D1018">
      <w:pPr>
        <w:pStyle w:val="afffffffffd"/>
        <w:overflowPunct w:val="0"/>
        <w:ind w:left="924"/>
      </w:pPr>
      <w:r w:rsidRPr="001B6E4D">
        <w:rPr>
          <w:rFonts w:hint="eastAsia"/>
        </w:rPr>
        <w:t>請</w:t>
      </w:r>
      <w:r w:rsidRPr="001B6E4D">
        <w:t>法官學院於2個月內向立法院司法及法制委員會提出</w:t>
      </w:r>
      <w:r w:rsidRPr="001B6E4D">
        <w:rPr>
          <w:rFonts w:hint="eastAsia"/>
        </w:rPr>
        <w:t>書面</w:t>
      </w:r>
      <w:r w:rsidRPr="001B6E4D">
        <w:t>報告，詳列</w:t>
      </w:r>
      <w:r w:rsidRPr="001B6E4D">
        <w:rPr>
          <w:rFonts w:hint="eastAsia"/>
        </w:rPr>
        <w:t>所有</w:t>
      </w:r>
      <w:r w:rsidRPr="001B6E4D">
        <w:t>在原住民族相關研習課程之規劃內容、實際執行情形及成果。【64】</w:t>
      </w:r>
    </w:p>
    <w:p w14:paraId="780A594B"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提案人：林倩綺</w:t>
      </w:r>
    </w:p>
    <w:p w14:paraId="401092C0"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56DA9701"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第9項 智慧財產及商業法院3億1,921萬元，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ADFF79A"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第10項 臺灣高等法院20億7,583萬5千元，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D2A9A8D"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0677D144" w14:textId="77777777" w:rsidR="00201B77" w:rsidRPr="001B6E4D" w:rsidRDefault="00201B77" w:rsidP="003D1018">
      <w:pPr>
        <w:pStyle w:val="affe"/>
        <w:widowControl w:val="0"/>
        <w:numPr>
          <w:ilvl w:val="0"/>
          <w:numId w:val="47"/>
        </w:numPr>
        <w:overflowPunct w:val="0"/>
        <w:snapToGrid w:val="0"/>
        <w:spacing w:line="380" w:lineRule="exact"/>
        <w:ind w:leftChars="0" w:left="924" w:hanging="567"/>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年度臺灣高等法院預算案於第4目「司法</w:t>
      </w:r>
      <w:proofErr w:type="gramStart"/>
      <w:r w:rsidRPr="001B6E4D">
        <w:rPr>
          <w:rFonts w:ascii="標楷體" w:eastAsia="標楷體" w:hAnsi="標楷體"/>
          <w:color w:val="000000"/>
          <w:sz w:val="28"/>
          <w:szCs w:val="28"/>
        </w:rPr>
        <w:t>機關擴遷建</w:t>
      </w:r>
      <w:proofErr w:type="gramEnd"/>
      <w:r w:rsidRPr="001B6E4D">
        <w:rPr>
          <w:rFonts w:ascii="標楷體" w:eastAsia="標楷體" w:hAnsi="標楷體"/>
          <w:color w:val="000000"/>
          <w:sz w:val="28"/>
          <w:szCs w:val="28"/>
        </w:rPr>
        <w:t>計畫」項下「</w:t>
      </w:r>
      <w:proofErr w:type="gramStart"/>
      <w:r w:rsidRPr="001B6E4D">
        <w:rPr>
          <w:rFonts w:ascii="標楷體" w:eastAsia="標楷體" w:hAnsi="標楷體"/>
          <w:color w:val="000000"/>
          <w:sz w:val="28"/>
          <w:szCs w:val="28"/>
        </w:rPr>
        <w:t>擴遷建</w:t>
      </w:r>
      <w:proofErr w:type="gramEnd"/>
      <w:r w:rsidRPr="001B6E4D">
        <w:rPr>
          <w:rFonts w:ascii="標楷體" w:eastAsia="標楷體" w:hAnsi="標楷體"/>
          <w:color w:val="000000"/>
          <w:sz w:val="28"/>
          <w:szCs w:val="28"/>
        </w:rPr>
        <w:t>辦公廳舍計畫」</w:t>
      </w:r>
      <w:r w:rsidRPr="001B6E4D">
        <w:rPr>
          <w:rFonts w:ascii="標楷體" w:eastAsia="標楷體" w:hAnsi="標楷體" w:hint="eastAsia"/>
          <w:color w:val="000000"/>
          <w:sz w:val="28"/>
          <w:szCs w:val="28"/>
        </w:rPr>
        <w:t>中「新建</w:t>
      </w:r>
      <w:r w:rsidRPr="001B6E4D">
        <w:rPr>
          <w:rFonts w:ascii="標楷體" w:eastAsia="標楷體" w:hAnsi="標楷體"/>
          <w:color w:val="000000"/>
          <w:sz w:val="28"/>
          <w:szCs w:val="28"/>
        </w:rPr>
        <w:t>聯合檔案暨贓證物庫大樓新興房屋建築計畫</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編列預算2,844萬4千元。</w:t>
      </w:r>
    </w:p>
    <w:p w14:paraId="3DA3E077" w14:textId="77777777" w:rsidR="00201B77" w:rsidRPr="001B6E4D" w:rsidRDefault="00201B77" w:rsidP="003D1018">
      <w:pPr>
        <w:pStyle w:val="afffffffffd"/>
        <w:overflowPunct w:val="0"/>
        <w:ind w:left="924"/>
      </w:pPr>
      <w:r w:rsidRPr="001B6E4D">
        <w:t>查臺灣高等法院新建聯合檔案暨贓證物庫大樓新興房屋建築計畫總經費8</w:t>
      </w:r>
      <w:r w:rsidRPr="001B6E4D">
        <w:rPr>
          <w:rFonts w:hint="eastAsia"/>
        </w:rPr>
        <w:t>億</w:t>
      </w:r>
      <w:r w:rsidRPr="001B6E4D">
        <w:t>7,678</w:t>
      </w:r>
      <w:r w:rsidRPr="001B6E4D">
        <w:rPr>
          <w:rFonts w:hint="eastAsia"/>
        </w:rPr>
        <w:t>萬</w:t>
      </w:r>
      <w:r w:rsidRPr="001B6E4D">
        <w:t>5千元，分12年辦理，</w:t>
      </w:r>
      <w:proofErr w:type="gramStart"/>
      <w:r w:rsidRPr="001B6E4D">
        <w:rPr>
          <w:rFonts w:hint="eastAsia"/>
        </w:rPr>
        <w:t>115</w:t>
      </w:r>
      <w:proofErr w:type="gramEnd"/>
      <w:r w:rsidRPr="001B6E4D">
        <w:t>年度續編最後1年經費2,844</w:t>
      </w:r>
      <w:r w:rsidRPr="001B6E4D">
        <w:rPr>
          <w:rFonts w:hint="eastAsia"/>
        </w:rPr>
        <w:t>萬</w:t>
      </w:r>
      <w:r w:rsidRPr="001B6E4D">
        <w:t>4千元，預計115至116 年間竣工驗收，並於117年前完成遷入。</w:t>
      </w:r>
    </w:p>
    <w:p w14:paraId="52E70900" w14:textId="77777777" w:rsidR="00201B77" w:rsidRPr="001B6E4D" w:rsidRDefault="00201B77" w:rsidP="003D1018">
      <w:pPr>
        <w:pStyle w:val="afffffffffd"/>
        <w:overflowPunct w:val="0"/>
        <w:ind w:left="924"/>
      </w:pPr>
      <w:r w:rsidRPr="001B6E4D">
        <w:t>根據</w:t>
      </w:r>
      <w:r w:rsidRPr="001B6E4D">
        <w:rPr>
          <w:rFonts w:hint="eastAsia"/>
        </w:rPr>
        <w:t>立法院</w:t>
      </w:r>
      <w:r w:rsidRPr="001B6E4D">
        <w:t>預算中心調查，司法</w:t>
      </w:r>
      <w:proofErr w:type="gramStart"/>
      <w:r w:rsidRPr="001B6E4D">
        <w:t>機關擴遷建</w:t>
      </w:r>
      <w:proofErr w:type="gramEnd"/>
      <w:r w:rsidRPr="001B6E4D">
        <w:t>計畫執行率時有偏低情事，司法院應積極監督，避免因趕工導致工程瑕疵。又，</w:t>
      </w:r>
      <w:r w:rsidRPr="001B6E4D">
        <w:rPr>
          <w:rFonts w:hint="eastAsia"/>
        </w:rPr>
        <w:t>新建</w:t>
      </w:r>
      <w:r w:rsidRPr="001B6E4D">
        <w:t>聯合檔案暨贓證物庫大樓新興</w:t>
      </w:r>
      <w:r w:rsidRPr="001B6E4D">
        <w:rPr>
          <w:rFonts w:hint="eastAsia"/>
        </w:rPr>
        <w:t>房屋建築計畫</w:t>
      </w:r>
      <w:r w:rsidRPr="001B6E4D">
        <w:t>不僅是單純的硬體建築，更涉及大量司法卷證、證物搬遷的安全與數位化管理轉型。司法院及臺灣高等法院</w:t>
      </w:r>
      <w:r w:rsidRPr="001B6E4D">
        <w:rPr>
          <w:rFonts w:hint="eastAsia"/>
        </w:rPr>
        <w:t>請</w:t>
      </w:r>
      <w:r w:rsidRPr="001B6E4D">
        <w:t>提前規</w:t>
      </w:r>
      <w:r w:rsidRPr="001B6E4D">
        <w:rPr>
          <w:rFonts w:hint="eastAsia"/>
        </w:rPr>
        <w:t>劃</w:t>
      </w:r>
      <w:r w:rsidRPr="001B6E4D">
        <w:t>後續搬遷及管理事宜，制定標準作業程序（SOP）、檔案庫房的數位化與檢索效能、清理已無需搬遷之資料等。【65】</w:t>
      </w:r>
    </w:p>
    <w:p w14:paraId="045121B1"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p>
    <w:p w14:paraId="37862AD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連署人：許宇</w:t>
      </w:r>
      <w:proofErr w:type="gramStart"/>
      <w:r w:rsidRPr="001B6E4D">
        <w:rPr>
          <w:rFonts w:ascii="標楷體" w:eastAsia="標楷體" w:hAnsi="標楷體"/>
          <w:color w:val="000000"/>
          <w:sz w:val="28"/>
          <w:szCs w:val="28"/>
        </w:rPr>
        <w:t>甄</w:t>
      </w:r>
      <w:proofErr w:type="gramEnd"/>
      <w:r w:rsidRPr="001B6E4D">
        <w:rPr>
          <w:rFonts w:ascii="標楷體" w:eastAsia="標楷體" w:hAnsi="標楷體"/>
          <w:color w:val="000000"/>
          <w:sz w:val="28"/>
          <w:szCs w:val="28"/>
        </w:rPr>
        <w:t xml:space="preserve">　陳昭姿</w:t>
      </w:r>
    </w:p>
    <w:p w14:paraId="31273687"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第11項 臺灣高等法院臺中分院8億4,583萬4千元，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863B581"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第12項 臺灣高等法院臺南分院15億7,867萬3千元，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436F53F"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第13項 臺灣高等法院高雄分院6億8,790萬4千元，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B6B547E"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第14項 臺灣高等法院花蓮分院2億1,058萬2千元，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F95411D"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第15項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北地方法院24億0,342萬8千元，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BEFB91F"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769DADF4" w14:textId="77777777" w:rsidR="00201B77" w:rsidRPr="001B6E4D" w:rsidRDefault="00201B77" w:rsidP="003D1018">
      <w:pPr>
        <w:pStyle w:val="affe"/>
        <w:widowControl w:val="0"/>
        <w:numPr>
          <w:ilvl w:val="0"/>
          <w:numId w:val="35"/>
        </w:numPr>
        <w:overflowPunct w:val="0"/>
        <w:snapToGrid w:val="0"/>
        <w:ind w:leftChars="178" w:left="987" w:hangingChars="200" w:hanging="560"/>
        <w:jc w:val="both"/>
        <w:rPr>
          <w:rFonts w:ascii="標楷體" w:eastAsia="標楷體" w:hAnsi="標楷體"/>
          <w:sz w:val="28"/>
          <w:szCs w:val="28"/>
        </w:rPr>
      </w:pP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年度臺灣</w:t>
      </w:r>
      <w:proofErr w:type="gramStart"/>
      <w:r w:rsidRPr="001B6E4D">
        <w:rPr>
          <w:rFonts w:ascii="標楷體" w:eastAsia="標楷體" w:hAnsi="標楷體"/>
          <w:sz w:val="28"/>
          <w:szCs w:val="28"/>
        </w:rPr>
        <w:t>臺</w:t>
      </w:r>
      <w:proofErr w:type="gramEnd"/>
      <w:r w:rsidRPr="001B6E4D">
        <w:rPr>
          <w:rFonts w:ascii="標楷體" w:eastAsia="標楷體" w:hAnsi="標楷體"/>
          <w:sz w:val="28"/>
          <w:szCs w:val="28"/>
        </w:rPr>
        <w:t>北地方法院歲出預算第3目「司法</w:t>
      </w:r>
      <w:proofErr w:type="gramStart"/>
      <w:r w:rsidRPr="001B6E4D">
        <w:rPr>
          <w:rFonts w:ascii="標楷體" w:eastAsia="標楷體" w:hAnsi="標楷體"/>
          <w:sz w:val="28"/>
          <w:szCs w:val="28"/>
        </w:rPr>
        <w:t>機關擴遷建</w:t>
      </w:r>
      <w:proofErr w:type="gramEnd"/>
      <w:r w:rsidRPr="001B6E4D">
        <w:rPr>
          <w:rFonts w:ascii="標楷體" w:eastAsia="標楷體" w:hAnsi="標楷體"/>
          <w:sz w:val="28"/>
          <w:szCs w:val="28"/>
        </w:rPr>
        <w:t>計畫」編列 2億7,000萬</w:t>
      </w:r>
      <w:r w:rsidRPr="001B6E4D">
        <w:rPr>
          <w:rFonts w:ascii="標楷體" w:eastAsia="標楷體" w:hAnsi="標楷體" w:hint="eastAsia"/>
          <w:sz w:val="28"/>
          <w:szCs w:val="28"/>
        </w:rPr>
        <w:t>元</w:t>
      </w:r>
      <w:r w:rsidRPr="001B6E4D">
        <w:rPr>
          <w:rFonts w:ascii="標楷體" w:eastAsia="標楷體" w:hAnsi="標楷體"/>
          <w:sz w:val="28"/>
          <w:szCs w:val="28"/>
        </w:rPr>
        <w:t>，凍結</w:t>
      </w:r>
      <w:r w:rsidRPr="001B6E4D">
        <w:rPr>
          <w:rFonts w:ascii="標楷體" w:eastAsia="標楷體" w:hAnsi="標楷體" w:hint="eastAsia"/>
          <w:sz w:val="28"/>
          <w:szCs w:val="28"/>
        </w:rPr>
        <w:t>8</w:t>
      </w:r>
      <w:r w:rsidRPr="001B6E4D">
        <w:rPr>
          <w:rFonts w:ascii="標楷體" w:eastAsia="標楷體" w:hAnsi="標楷體"/>
          <w:sz w:val="28"/>
          <w:szCs w:val="28"/>
        </w:rPr>
        <w:t>,</w:t>
      </w:r>
      <w:r w:rsidRPr="001B6E4D">
        <w:rPr>
          <w:rFonts w:ascii="標楷體" w:eastAsia="標楷體" w:hAnsi="標楷體" w:hint="eastAsia"/>
          <w:sz w:val="28"/>
          <w:szCs w:val="28"/>
        </w:rPr>
        <w:t>100</w:t>
      </w:r>
      <w:r w:rsidRPr="001B6E4D">
        <w:rPr>
          <w:rFonts w:ascii="標楷體" w:eastAsia="標楷體" w:hAnsi="標楷體"/>
          <w:sz w:val="28"/>
          <w:szCs w:val="28"/>
        </w:rPr>
        <w:t>萬元，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向立法院司法及法制委員會提出書面報告後，始得動支。【66】</w:t>
      </w:r>
    </w:p>
    <w:p w14:paraId="1A2765B9" w14:textId="77777777" w:rsidR="00201B77" w:rsidRPr="001B6E4D" w:rsidRDefault="00201B77" w:rsidP="003D1018">
      <w:pPr>
        <w:overflowPunct w:val="0"/>
        <w:snapToGrid w:val="0"/>
        <w:ind w:leftChars="1500" w:left="4776" w:hangingChars="420" w:hanging="1176"/>
        <w:jc w:val="both"/>
        <w:rPr>
          <w:rFonts w:ascii="標楷體" w:eastAsia="標楷體" w:hAnsi="標楷體"/>
          <w:sz w:val="28"/>
          <w:szCs w:val="28"/>
        </w:rPr>
      </w:pPr>
      <w:r w:rsidRPr="001B6E4D">
        <w:rPr>
          <w:rFonts w:ascii="標楷體" w:eastAsia="標楷體" w:hAnsi="標楷體"/>
          <w:sz w:val="28"/>
          <w:szCs w:val="28"/>
        </w:rPr>
        <w:t>提案人：翁曉玲</w:t>
      </w:r>
    </w:p>
    <w:p w14:paraId="74763C40" w14:textId="77777777" w:rsidR="00201B77" w:rsidRPr="001B6E4D" w:rsidRDefault="00201B77" w:rsidP="003D1018">
      <w:pPr>
        <w:overflowPunct w:val="0"/>
        <w:snapToGrid w:val="0"/>
        <w:ind w:leftChars="1500" w:left="4776" w:hangingChars="420" w:hanging="1176"/>
        <w:jc w:val="both"/>
        <w:rPr>
          <w:rFonts w:ascii="標楷體" w:eastAsia="標楷體" w:hAnsi="標楷體"/>
          <w:sz w:val="28"/>
          <w:szCs w:val="28"/>
        </w:rPr>
      </w:pPr>
      <w:r w:rsidRPr="001B6E4D">
        <w:rPr>
          <w:rFonts w:ascii="標楷體" w:eastAsia="標楷體" w:hAnsi="標楷體"/>
          <w:sz w:val="28"/>
          <w:szCs w:val="28"/>
        </w:rPr>
        <w:t>連署人：許宇</w:t>
      </w:r>
      <w:proofErr w:type="gramStart"/>
      <w:r w:rsidRPr="001B6E4D">
        <w:rPr>
          <w:rFonts w:ascii="標楷體" w:eastAsia="標楷體" w:hAnsi="標楷體"/>
          <w:sz w:val="28"/>
          <w:szCs w:val="28"/>
        </w:rPr>
        <w:t>甄</w:t>
      </w:r>
      <w:proofErr w:type="gramEnd"/>
      <w:r w:rsidRPr="001B6E4D">
        <w:rPr>
          <w:rFonts w:ascii="標楷體" w:eastAsia="標楷體" w:hAnsi="標楷體"/>
          <w:sz w:val="28"/>
          <w:szCs w:val="28"/>
        </w:rPr>
        <w:t xml:space="preserve">　陳昭姿</w:t>
      </w:r>
    </w:p>
    <w:p w14:paraId="76F25F7A"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第16項 臺灣士林地方法院11億2,768萬9千元，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B45D1D1"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第17項 臺灣新北地方法院38億9,340萬1千元，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08F1A90"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2</w:t>
      </w:r>
      <w:r w:rsidRPr="001B6E4D">
        <w:rPr>
          <w:rFonts w:ascii="標楷體" w:eastAsia="標楷體" w:hAnsi="標楷體"/>
          <w:b/>
          <w:bCs/>
          <w:sz w:val="28"/>
          <w:szCs w:val="28"/>
        </w:rPr>
        <w:t>項：</w:t>
      </w:r>
    </w:p>
    <w:p w14:paraId="1CFAE5C6" w14:textId="77777777" w:rsidR="00201B77" w:rsidRPr="001B6E4D" w:rsidRDefault="00201B77" w:rsidP="003D1018">
      <w:pPr>
        <w:pStyle w:val="affe"/>
        <w:widowControl w:val="0"/>
        <w:numPr>
          <w:ilvl w:val="0"/>
          <w:numId w:val="48"/>
        </w:numPr>
        <w:overflowPunct w:val="0"/>
        <w:snapToGrid w:val="0"/>
        <w:spacing w:line="380" w:lineRule="exact"/>
        <w:ind w:leftChars="0" w:left="924" w:hanging="567"/>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年度臺灣新北地方法院預算案於第2目「審判業務」編列預算1億9,594萬6千元。</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原住民族於司法程序中享有使用其語言之權利，然實際運作情形未</w:t>
      </w:r>
      <w:proofErr w:type="gramStart"/>
      <w:r w:rsidRPr="001B6E4D">
        <w:rPr>
          <w:rFonts w:ascii="標楷體" w:eastAsia="標楷體" w:hAnsi="標楷體"/>
          <w:color w:val="000000"/>
          <w:sz w:val="28"/>
          <w:szCs w:val="28"/>
        </w:rPr>
        <w:t>臻</w:t>
      </w:r>
      <w:proofErr w:type="gramEnd"/>
      <w:r w:rsidRPr="001B6E4D">
        <w:rPr>
          <w:rFonts w:ascii="標楷體" w:eastAsia="標楷體" w:hAnsi="標楷體"/>
          <w:color w:val="000000"/>
          <w:sz w:val="28"/>
          <w:szCs w:val="28"/>
        </w:rPr>
        <w:t>完善。新北地院轄區涵蓋之烏來區為原住民族地區，涉及原住民族案件比例不容忽視，</w:t>
      </w:r>
      <w:r w:rsidRPr="001B6E4D">
        <w:rPr>
          <w:rFonts w:ascii="標楷體" w:eastAsia="標楷體" w:hAnsi="標楷體"/>
          <w:color w:val="000000"/>
          <w:sz w:val="28"/>
          <w:szCs w:val="28"/>
        </w:rPr>
        <w:lastRenderedPageBreak/>
        <w:t>司法程序中落實原住民族語言權益，尤為重要。監察委員王美玉113年調查報告指出，我國原住民族共16族語、42種方言，惟法院通譯僅有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顯然不足，恐使特定族群於司法程序中處於弱勢。司法實務中亦曾發生因語言與文化差異而導致誤解之案例，顯示司法通譯資源不足，將影響審判公平與當事人之訴訟權益。原民通譯不僅是語言翻譯，更是文化脈絡的詮釋者，以協助司法機關正確認知文化內涵與法律事實之落差，確保原住民族司法權益。</w:t>
      </w:r>
    </w:p>
    <w:p w14:paraId="604DA024" w14:textId="77777777" w:rsidR="00201B77" w:rsidRPr="001B6E4D" w:rsidRDefault="00201B77" w:rsidP="003D1018">
      <w:pPr>
        <w:pStyle w:val="afffffffffd"/>
        <w:overflowPunct w:val="0"/>
        <w:ind w:left="924"/>
      </w:pPr>
      <w:proofErr w:type="gramStart"/>
      <w:r w:rsidRPr="001B6E4D">
        <w:t>爰</w:t>
      </w:r>
      <w:proofErr w:type="gramEnd"/>
      <w:r w:rsidRPr="001B6E4D">
        <w:rPr>
          <w:rFonts w:hint="eastAsia"/>
        </w:rPr>
        <w:t>請</w:t>
      </w:r>
      <w:r w:rsidRPr="001B6E4D">
        <w:t>臺灣新北地方法院於2個月內向立法院司法及法制委員會提出</w:t>
      </w:r>
      <w:r w:rsidRPr="001B6E4D">
        <w:rPr>
          <w:rFonts w:hint="eastAsia"/>
        </w:rPr>
        <w:t>書面</w:t>
      </w:r>
      <w:r w:rsidRPr="001B6E4D">
        <w:t>報告。【67】</w:t>
      </w:r>
    </w:p>
    <w:p w14:paraId="1D055C4C"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71B29391"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6AD41836" w14:textId="77777777" w:rsidR="00201B77" w:rsidRPr="001B6E4D" w:rsidRDefault="00201B77" w:rsidP="003D1018">
      <w:pPr>
        <w:pStyle w:val="affe"/>
        <w:widowControl w:val="0"/>
        <w:numPr>
          <w:ilvl w:val="0"/>
          <w:numId w:val="48"/>
        </w:numPr>
        <w:overflowPunct w:val="0"/>
        <w:snapToGrid w:val="0"/>
        <w:spacing w:line="380" w:lineRule="exact"/>
        <w:ind w:leftChars="0" w:left="924" w:hanging="567"/>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年度臺灣新北地方法院預算案於第3目「司法</w:t>
      </w:r>
      <w:proofErr w:type="gramStart"/>
      <w:r w:rsidRPr="001B6E4D">
        <w:rPr>
          <w:rFonts w:ascii="標楷體" w:eastAsia="標楷體" w:hAnsi="標楷體"/>
          <w:color w:val="000000"/>
          <w:sz w:val="28"/>
          <w:szCs w:val="28"/>
        </w:rPr>
        <w:t>機關擴遷建</w:t>
      </w:r>
      <w:proofErr w:type="gramEnd"/>
      <w:r w:rsidRPr="001B6E4D">
        <w:rPr>
          <w:rFonts w:ascii="標楷體" w:eastAsia="標楷體" w:hAnsi="標楷體"/>
          <w:color w:val="000000"/>
          <w:sz w:val="28"/>
          <w:szCs w:val="28"/>
        </w:rPr>
        <w:t>計畫」項下「</w:t>
      </w:r>
      <w:proofErr w:type="gramStart"/>
      <w:r w:rsidRPr="001B6E4D">
        <w:rPr>
          <w:rFonts w:ascii="標楷體" w:eastAsia="標楷體" w:hAnsi="標楷體"/>
          <w:color w:val="000000"/>
          <w:sz w:val="28"/>
          <w:szCs w:val="28"/>
        </w:rPr>
        <w:t>擴遷建</w:t>
      </w:r>
      <w:proofErr w:type="gramEnd"/>
      <w:r w:rsidRPr="001B6E4D">
        <w:rPr>
          <w:rFonts w:ascii="標楷體" w:eastAsia="標楷體" w:hAnsi="標楷體"/>
          <w:color w:val="000000"/>
          <w:sz w:val="28"/>
          <w:szCs w:val="28"/>
        </w:rPr>
        <w:t>辦公廳舍計畫」</w:t>
      </w:r>
      <w:r w:rsidRPr="001B6E4D">
        <w:rPr>
          <w:rFonts w:ascii="標楷體" w:eastAsia="標楷體" w:hAnsi="標楷體" w:hint="eastAsia"/>
          <w:color w:val="000000"/>
          <w:sz w:val="28"/>
          <w:szCs w:val="28"/>
        </w:rPr>
        <w:t>中「遷建</w:t>
      </w:r>
      <w:r w:rsidRPr="001B6E4D">
        <w:rPr>
          <w:rFonts w:ascii="標楷體" w:eastAsia="標楷體" w:hAnsi="標楷體"/>
          <w:color w:val="000000"/>
          <w:sz w:val="28"/>
          <w:szCs w:val="28"/>
        </w:rPr>
        <w:t>土城司法園區購地計畫</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編列預算20億1,473萬2千元。</w:t>
      </w:r>
    </w:p>
    <w:p w14:paraId="65B1B73E" w14:textId="77777777" w:rsidR="00201B77" w:rsidRPr="001B6E4D" w:rsidRDefault="00201B77" w:rsidP="003D1018">
      <w:pPr>
        <w:pStyle w:val="afffffffffd"/>
        <w:overflowPunct w:val="0"/>
        <w:ind w:left="924"/>
      </w:pPr>
      <w:r w:rsidRPr="001B6E4D">
        <w:t>查司法院114年7月10日院台廳三字第1140500752號函核定，土城司法園區專用區所需用地，擬以有償撥用及專案讓售等方式，向內政部及國防部軍備局購置，總經費56億5,944萬元，計畫期程為115至117年分3年辦理，</w:t>
      </w:r>
      <w:proofErr w:type="gramStart"/>
      <w:r w:rsidRPr="001B6E4D">
        <w:rPr>
          <w:rFonts w:hint="eastAsia"/>
        </w:rPr>
        <w:t>115</w:t>
      </w:r>
      <w:proofErr w:type="gramEnd"/>
      <w:r w:rsidRPr="001B6E4D">
        <w:t>年度編列第一年經費20億1,473萬2千元，尚待編列36億4,470萬8千元。</w:t>
      </w:r>
    </w:p>
    <w:p w14:paraId="6DCFA774" w14:textId="77777777" w:rsidR="00201B77" w:rsidRPr="001B6E4D" w:rsidRDefault="00201B77" w:rsidP="003D1018">
      <w:pPr>
        <w:pStyle w:val="afffffffffd"/>
        <w:overflowPunct w:val="0"/>
        <w:ind w:left="924"/>
      </w:pPr>
      <w:r w:rsidRPr="001B6E4D">
        <w:rPr>
          <w:rFonts w:hint="eastAsia"/>
        </w:rPr>
        <w:t>立法</w:t>
      </w:r>
      <w:r w:rsidRPr="001B6E4D">
        <w:t>院預算中心指出，依《預算法》第34條及《政府公共建設計畫先期作業實施要點》總投資金額在10億元以上之重要公共工程建設及重大施政計畫，應先行製作選擇方案及替代方案之成本效益分析報告，並提供財源籌措及資金運用之說明，始得編列概算及預算案，並送立法院備查。</w:t>
      </w:r>
      <w:proofErr w:type="gramStart"/>
      <w:r w:rsidRPr="001B6E4D">
        <w:t>惟本購地</w:t>
      </w:r>
      <w:proofErr w:type="gramEnd"/>
      <w:r w:rsidRPr="001B6E4D">
        <w:t>計畫，司法院核定後即編列相關預算送立法院審議，未提出「土城司法園區」可行性研究及成本效益分析等報告</w:t>
      </w:r>
      <w:r w:rsidRPr="001B6E4D">
        <w:rPr>
          <w:rFonts w:hint="eastAsia"/>
        </w:rPr>
        <w:t>，請司法院儘速報送立法院司法及法制委員會</w:t>
      </w:r>
      <w:r w:rsidRPr="001B6E4D">
        <w:t>。【68】</w:t>
      </w:r>
    </w:p>
    <w:p w14:paraId="5257F67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p>
    <w:p w14:paraId="1398023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連署人：許宇</w:t>
      </w:r>
      <w:proofErr w:type="gramStart"/>
      <w:r w:rsidRPr="001B6E4D">
        <w:rPr>
          <w:rFonts w:ascii="標楷體" w:eastAsia="標楷體" w:hAnsi="標楷體"/>
          <w:color w:val="000000"/>
          <w:sz w:val="28"/>
          <w:szCs w:val="28"/>
        </w:rPr>
        <w:t>甄</w:t>
      </w:r>
      <w:proofErr w:type="gramEnd"/>
      <w:r w:rsidRPr="001B6E4D">
        <w:rPr>
          <w:rFonts w:ascii="標楷體" w:eastAsia="標楷體" w:hAnsi="標楷體"/>
          <w:color w:val="000000"/>
          <w:sz w:val="28"/>
          <w:szCs w:val="28"/>
        </w:rPr>
        <w:t xml:space="preserve">　陳昭姿</w:t>
      </w:r>
    </w:p>
    <w:p w14:paraId="499A960E"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第18項 臺灣桃園地方法院15億2,894萬7千元，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A7B8442"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7F8DA466" w14:textId="77777777" w:rsidR="00201B77" w:rsidRPr="001B6E4D" w:rsidRDefault="00201B77" w:rsidP="003D1018">
      <w:pPr>
        <w:pStyle w:val="affe"/>
        <w:widowControl w:val="0"/>
        <w:numPr>
          <w:ilvl w:val="0"/>
          <w:numId w:val="49"/>
        </w:numPr>
        <w:overflowPunct w:val="0"/>
        <w:snapToGrid w:val="0"/>
        <w:spacing w:line="380" w:lineRule="exact"/>
        <w:ind w:leftChars="0" w:left="924" w:hanging="567"/>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年度臺灣桃園地方法院預算案於第2目「審判業務」編列預算1億7,162萬5千元。</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原住民族於司法程序中享有使用其語言之權利，然實際運作情形未</w:t>
      </w:r>
      <w:proofErr w:type="gramStart"/>
      <w:r w:rsidRPr="001B6E4D">
        <w:rPr>
          <w:rFonts w:ascii="標楷體" w:eastAsia="標楷體" w:hAnsi="標楷體"/>
          <w:color w:val="000000"/>
          <w:sz w:val="28"/>
          <w:szCs w:val="28"/>
        </w:rPr>
        <w:t>臻</w:t>
      </w:r>
      <w:proofErr w:type="gramEnd"/>
      <w:r w:rsidRPr="001B6E4D">
        <w:rPr>
          <w:rFonts w:ascii="標楷體" w:eastAsia="標楷體" w:hAnsi="標楷體"/>
          <w:color w:val="000000"/>
          <w:sz w:val="28"/>
          <w:szCs w:val="28"/>
        </w:rPr>
        <w:t>完善。桃園地院轄區涵蓋之復興區為原住民族地區，涉及原住民族案件比例不容忽視，司法程序中落實原住民族語言權益，尤為重要。監察委員王美玉113年調查報告指出，我國原住民族共16族語、42種方言，</w:t>
      </w:r>
      <w:r w:rsidRPr="001B6E4D">
        <w:rPr>
          <w:rFonts w:ascii="標楷體" w:eastAsia="標楷體" w:hAnsi="標楷體"/>
          <w:color w:val="000000"/>
          <w:sz w:val="28"/>
          <w:szCs w:val="28"/>
        </w:rPr>
        <w:lastRenderedPageBreak/>
        <w:t>惟法院通譯僅有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顯然不足，恐使特定族群於司法程序中處於弱勢。司法實務中亦曾發生因語言與文化差異而導致誤解之案例，顯示司法通譯資源不足，將影響審判公平與當事人之訴訟權益。原民通譯不僅是語言翻譯，更是文化脈絡的詮釋者，以協助司法機關正確認知文化內涵與法律事實之落差，確保原住民族司法權益。</w:t>
      </w:r>
    </w:p>
    <w:p w14:paraId="77E8E7BE" w14:textId="77777777" w:rsidR="00201B77" w:rsidRPr="001B6E4D" w:rsidRDefault="00201B77" w:rsidP="003D1018">
      <w:pPr>
        <w:pStyle w:val="afffffffffd"/>
        <w:overflowPunct w:val="0"/>
        <w:ind w:left="924"/>
      </w:pPr>
      <w:r w:rsidRPr="001B6E4D">
        <w:rPr>
          <w:rFonts w:hint="eastAsia"/>
        </w:rPr>
        <w:t>請</w:t>
      </w:r>
      <w:r w:rsidRPr="001B6E4D">
        <w:t>臺灣桃園地方法院於2個月內向立法院司法及法制委員會提出</w:t>
      </w:r>
      <w:r w:rsidRPr="001B6E4D">
        <w:rPr>
          <w:rFonts w:hint="eastAsia"/>
        </w:rPr>
        <w:t>書面</w:t>
      </w:r>
      <w:r w:rsidRPr="001B6E4D">
        <w:t>報告。【69】</w:t>
      </w:r>
    </w:p>
    <w:p w14:paraId="3D0F6C9E"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13C6C856"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4C00440A"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第19項 臺灣新竹地方法院7億4,991萬3千元，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13F0155"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29230195" w14:textId="77777777" w:rsidR="00201B77" w:rsidRPr="001B6E4D" w:rsidRDefault="00201B77" w:rsidP="003D1018">
      <w:pPr>
        <w:pStyle w:val="affe"/>
        <w:widowControl w:val="0"/>
        <w:numPr>
          <w:ilvl w:val="0"/>
          <w:numId w:val="36"/>
        </w:numPr>
        <w:overflowPunct w:val="0"/>
        <w:snapToGrid w:val="0"/>
        <w:spacing w:line="380" w:lineRule="exact"/>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年度臺灣新竹地方法院預算案於第2目「審判業務」編列預算7,500萬4千元。</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原住民族於司法程序中享有使用其語言之權利，然實際運作情形未</w:t>
      </w:r>
      <w:proofErr w:type="gramStart"/>
      <w:r w:rsidRPr="001B6E4D">
        <w:rPr>
          <w:rFonts w:ascii="標楷體" w:eastAsia="標楷體" w:hAnsi="標楷體"/>
          <w:color w:val="000000"/>
          <w:sz w:val="28"/>
          <w:szCs w:val="28"/>
        </w:rPr>
        <w:t>臻</w:t>
      </w:r>
      <w:proofErr w:type="gramEnd"/>
      <w:r w:rsidRPr="001B6E4D">
        <w:rPr>
          <w:rFonts w:ascii="標楷體" w:eastAsia="標楷體" w:hAnsi="標楷體"/>
          <w:color w:val="000000"/>
          <w:sz w:val="28"/>
          <w:szCs w:val="28"/>
        </w:rPr>
        <w:t>完善。新竹地院轄區涵蓋關西鎮、尖石鄉、五峰鄉等原住民族地區，涉及原住民族案件比例相對較高，司法程序中落實原住民族語言權益，尤為重要。監察委員王美玉113年調查報告指出，我國原住民族共16族語、42種方言，惟法院通譯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顯然不足，恐使特定族群於司法程序中處於弱勢。司法實務中亦曾發生因語言與文化差異而導致誤解之案例，顯示司法通譯資源不足，將影響審判公平與當事人之訴訟權益。原民通譯不僅是語言翻譯，更是文化脈絡的詮釋者，以協助司法機關正確認知文化內涵與法律事實之落差，確保原住民族司法權益。</w:t>
      </w:r>
    </w:p>
    <w:p w14:paraId="3F007397" w14:textId="77777777" w:rsidR="00201B77" w:rsidRPr="001B6E4D" w:rsidRDefault="00201B77" w:rsidP="003D1018">
      <w:pPr>
        <w:pStyle w:val="afffffffffd"/>
        <w:overflowPunct w:val="0"/>
        <w:ind w:left="924"/>
      </w:pPr>
      <w:r w:rsidRPr="001B6E4D">
        <w:rPr>
          <w:rFonts w:hint="eastAsia"/>
        </w:rPr>
        <w:t>請</w:t>
      </w:r>
      <w:r w:rsidRPr="001B6E4D">
        <w:t>臺灣新竹地方法院於2個月內向立法院司法及法制委員會提出</w:t>
      </w:r>
      <w:r w:rsidRPr="001B6E4D">
        <w:rPr>
          <w:rFonts w:hint="eastAsia"/>
        </w:rPr>
        <w:t>書面</w:t>
      </w:r>
      <w:r w:rsidRPr="001B6E4D">
        <w:t>報告。【70】</w:t>
      </w:r>
    </w:p>
    <w:p w14:paraId="0F5F461E"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5511B3B4"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2327F32F"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第20項 臺灣苗栗地方法院4億5,810萬9千元，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EA9100A"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46D931CA" w14:textId="77777777" w:rsidR="00201B77" w:rsidRPr="001B6E4D" w:rsidRDefault="00201B77" w:rsidP="003D1018">
      <w:pPr>
        <w:pStyle w:val="affe"/>
        <w:widowControl w:val="0"/>
        <w:numPr>
          <w:ilvl w:val="0"/>
          <w:numId w:val="37"/>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年度臺灣苗栗地方法院預算案於第2目「審判業務」編列預算5,280萬1千元。</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原住民族於司法程序中享有使用其語言之權利，然實際運作情形未</w:t>
      </w:r>
      <w:proofErr w:type="gramStart"/>
      <w:r w:rsidRPr="001B6E4D">
        <w:rPr>
          <w:rFonts w:ascii="標楷體" w:eastAsia="標楷體" w:hAnsi="標楷體"/>
          <w:color w:val="000000"/>
          <w:sz w:val="28"/>
          <w:szCs w:val="28"/>
        </w:rPr>
        <w:t>臻</w:t>
      </w:r>
      <w:proofErr w:type="gramEnd"/>
      <w:r w:rsidRPr="001B6E4D">
        <w:rPr>
          <w:rFonts w:ascii="標楷體" w:eastAsia="標楷體" w:hAnsi="標楷體"/>
          <w:color w:val="000000"/>
          <w:sz w:val="28"/>
          <w:szCs w:val="28"/>
        </w:rPr>
        <w:t>完善。苗栗地院轄區涵蓋南庄鄉、獅潭鄉及泰安鄉等原住民族地區，涉及原住民族案件比例相對較高，司法程序中落實原住民族語言權益，尤為重要。監察委員王美玉113年調查報告指出，我國原住民族共16族語、42種方言，惟法院通譯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，語言保障顯然不足，恐使特定族群於司法程序中處於弱勢。司法實務中亦曾發生因語言與文化差異而導致誤解之案例，顯示司法通譯資源不足，</w:t>
      </w:r>
      <w:r w:rsidRPr="001B6E4D">
        <w:rPr>
          <w:rFonts w:ascii="標楷體" w:eastAsia="標楷體" w:hAnsi="標楷體"/>
          <w:color w:val="000000"/>
          <w:sz w:val="28"/>
          <w:szCs w:val="28"/>
        </w:rPr>
        <w:lastRenderedPageBreak/>
        <w:t>將影響審判公平與當事人之訴訟權益。原民通譯不僅是語言翻譯，更是文化脈絡的詮釋者，以協助司法機關正確認知文化內涵與法律事實之落差，確保原住民族司法權益。</w:t>
      </w:r>
    </w:p>
    <w:p w14:paraId="1557EA47" w14:textId="77777777" w:rsidR="00201B77" w:rsidRPr="001B6E4D" w:rsidRDefault="00201B77" w:rsidP="003D1018">
      <w:pPr>
        <w:pStyle w:val="afffffffffd"/>
        <w:overflowPunct w:val="0"/>
        <w:ind w:left="924"/>
      </w:pPr>
      <w:proofErr w:type="gramStart"/>
      <w:r w:rsidRPr="001B6E4D">
        <w:t>爰</w:t>
      </w:r>
      <w:proofErr w:type="gramEnd"/>
      <w:r w:rsidRPr="001B6E4D">
        <w:rPr>
          <w:rFonts w:hint="eastAsia"/>
        </w:rPr>
        <w:t>請</w:t>
      </w:r>
      <w:r w:rsidRPr="001B6E4D">
        <w:t>臺灣苗栗地方法院於2個月內向立法院司法及法制委員會提出</w:t>
      </w:r>
      <w:r w:rsidRPr="001B6E4D">
        <w:rPr>
          <w:rFonts w:hint="eastAsia"/>
        </w:rPr>
        <w:t>書面</w:t>
      </w:r>
      <w:r w:rsidRPr="001B6E4D">
        <w:t>報告。【71】</w:t>
      </w:r>
    </w:p>
    <w:p w14:paraId="68C35BB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29A35979"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7AAC3B70"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第21項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中地方法院20億0,240萬7千元，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C7138A4"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5E96B648" w14:textId="77777777" w:rsidR="00201B77" w:rsidRPr="001B6E4D" w:rsidRDefault="00201B77" w:rsidP="003D1018">
      <w:pPr>
        <w:pStyle w:val="affe"/>
        <w:widowControl w:val="0"/>
        <w:numPr>
          <w:ilvl w:val="0"/>
          <w:numId w:val="38"/>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中地方法院預算案於第2目「審判業務」編列預算2億0,077萬5千元。</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原住民族於司法程序中享有使用其語言之權利，然實際運作情形未</w:t>
      </w:r>
      <w:proofErr w:type="gramStart"/>
      <w:r w:rsidRPr="001B6E4D">
        <w:rPr>
          <w:rFonts w:ascii="標楷體" w:eastAsia="標楷體" w:hAnsi="標楷體"/>
          <w:color w:val="000000"/>
          <w:sz w:val="28"/>
          <w:szCs w:val="28"/>
        </w:rPr>
        <w:t>臻</w:t>
      </w:r>
      <w:proofErr w:type="gramEnd"/>
      <w:r w:rsidRPr="001B6E4D">
        <w:rPr>
          <w:rFonts w:ascii="標楷體" w:eastAsia="標楷體" w:hAnsi="標楷體"/>
          <w:color w:val="000000"/>
          <w:sz w:val="28"/>
          <w:szCs w:val="28"/>
        </w:rPr>
        <w:t>完善。</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院轄區涵蓋之和平區為原住民族地區，涉及原住民族案件比例相對較高，司法程序中落實原住民族語言權益，尤為重要。監察委員王美玉113年調查報告指出，我國原住民族共16族語、42種方言，惟法院通譯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顯然不足，恐使特定族群於司法程序中處於弱勢。司法實務中亦曾發生因語言與文化差異而導致誤解之案例，顯示司法通譯資源不足，將影響審判公平與當事人之訴訟權益。原民通譯不僅是語言翻譯，更是文化脈絡的詮釋者，以協助司法機關正確認知文化內涵與法律事實之落差，確保原住民族司法權益。</w:t>
      </w:r>
    </w:p>
    <w:p w14:paraId="56DBC5AA" w14:textId="77777777" w:rsidR="00201B77" w:rsidRPr="001B6E4D" w:rsidRDefault="00201B77" w:rsidP="003D1018">
      <w:pPr>
        <w:pStyle w:val="afffffffffd"/>
        <w:overflowPunct w:val="0"/>
        <w:ind w:left="924"/>
      </w:pPr>
      <w:proofErr w:type="gramStart"/>
      <w:r w:rsidRPr="001B6E4D">
        <w:t>爰</w:t>
      </w:r>
      <w:proofErr w:type="gramEnd"/>
      <w:r w:rsidRPr="001B6E4D">
        <w:rPr>
          <w:rFonts w:hint="eastAsia"/>
        </w:rPr>
        <w:t>請</w:t>
      </w:r>
      <w:r w:rsidRPr="001B6E4D">
        <w:t>臺灣</w:t>
      </w:r>
      <w:proofErr w:type="gramStart"/>
      <w:r w:rsidRPr="001B6E4D">
        <w:t>臺</w:t>
      </w:r>
      <w:proofErr w:type="gramEnd"/>
      <w:r w:rsidRPr="001B6E4D">
        <w:t>中地方法院於2個月內向立法院司法及法制委員會提出</w:t>
      </w:r>
      <w:r w:rsidRPr="001B6E4D">
        <w:rPr>
          <w:rFonts w:hint="eastAsia"/>
        </w:rPr>
        <w:t>書面</w:t>
      </w:r>
      <w:r w:rsidRPr="001B6E4D">
        <w:t>報告。【72】</w:t>
      </w:r>
    </w:p>
    <w:p w14:paraId="483AFEF9"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1A5465BC"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32CF9784"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第22項 臺灣南投地方法院4億1,703萬9千元，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0F481F6"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1F2AA07F" w14:textId="77777777" w:rsidR="00201B77" w:rsidRPr="001B6E4D" w:rsidRDefault="00201B77" w:rsidP="003D1018">
      <w:pPr>
        <w:pStyle w:val="affe"/>
        <w:widowControl w:val="0"/>
        <w:numPr>
          <w:ilvl w:val="0"/>
          <w:numId w:val="39"/>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年度臺灣南投地方法院預算案於第2目「審判業務」編列預算4,255萬6千元。</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原住民族於司法程序中享有使用其語言之權利，然實際運作情形未</w:t>
      </w:r>
      <w:proofErr w:type="gramStart"/>
      <w:r w:rsidRPr="001B6E4D">
        <w:rPr>
          <w:rFonts w:ascii="標楷體" w:eastAsia="標楷體" w:hAnsi="標楷體"/>
          <w:color w:val="000000"/>
          <w:sz w:val="28"/>
          <w:szCs w:val="28"/>
        </w:rPr>
        <w:t>臻</w:t>
      </w:r>
      <w:proofErr w:type="gramEnd"/>
      <w:r w:rsidRPr="001B6E4D">
        <w:rPr>
          <w:rFonts w:ascii="標楷體" w:eastAsia="標楷體" w:hAnsi="標楷體"/>
          <w:color w:val="000000"/>
          <w:sz w:val="28"/>
          <w:szCs w:val="28"/>
        </w:rPr>
        <w:t>完善。南投地院轄區涵蓋仁愛鄉、魚池鄉、信義鄉等原住民族地區，涉及原住民族案件比例相對較高，司法程序中落實原住民族語言權益，尤為重要。監察委員王美玉113年調查報告指出，我國原住民族共16族語、42種方言，惟法院通譯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顯然不足，恐使特定族群於司法程序中處於弱勢。實務上亦有因缺乏原民通譯導致文化語境誤解之案例，顯示通譯不足將影響司法公正與當事人權益。原民通譯不僅是語言翻譯，更是文化脈絡的詮釋者，能協助司法機關正確認知文化與法律落差，以確保原住民族司法權益。</w:t>
      </w:r>
    </w:p>
    <w:p w14:paraId="415BF1B7" w14:textId="77777777" w:rsidR="00201B77" w:rsidRPr="001B6E4D" w:rsidRDefault="00201B77" w:rsidP="003D1018">
      <w:pPr>
        <w:pStyle w:val="afffffffffd"/>
        <w:overflowPunct w:val="0"/>
        <w:ind w:left="924"/>
      </w:pPr>
      <w:r w:rsidRPr="001B6E4D">
        <w:rPr>
          <w:rFonts w:hint="eastAsia"/>
        </w:rPr>
        <w:lastRenderedPageBreak/>
        <w:t>請</w:t>
      </w:r>
      <w:r w:rsidRPr="001B6E4D">
        <w:t>臺灣南投地方法院於2個月內向立法院司法及法制委員會提出</w:t>
      </w:r>
      <w:r w:rsidRPr="001B6E4D">
        <w:rPr>
          <w:rFonts w:hint="eastAsia"/>
        </w:rPr>
        <w:t>書面</w:t>
      </w:r>
      <w:r w:rsidRPr="001B6E4D">
        <w:t>報告。【73】</w:t>
      </w:r>
    </w:p>
    <w:p w14:paraId="7F54E18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765DE9E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0BE2997C"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第23項 臺灣彰化地方法院8億7,821萬2千元，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F26F2CE"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第24項 臺灣雲林地方法院5億8,146萬9千元，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43D8A9F"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第25項 臺灣嘉義地方法院7億2,978萬6千元，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7FBE209"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051B38CF" w14:textId="77777777" w:rsidR="00201B77" w:rsidRPr="001B6E4D" w:rsidRDefault="00201B77" w:rsidP="003D1018">
      <w:pPr>
        <w:pStyle w:val="affe"/>
        <w:widowControl w:val="0"/>
        <w:numPr>
          <w:ilvl w:val="0"/>
          <w:numId w:val="40"/>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年度臺灣嘉義地方法院預算案於第2目「審判業務」編列預算7,282萬2千元。</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原住民族於司法程序中享有使用其語言之權利，然實際運作情形未</w:t>
      </w:r>
      <w:proofErr w:type="gramStart"/>
      <w:r w:rsidRPr="001B6E4D">
        <w:rPr>
          <w:rFonts w:ascii="標楷體" w:eastAsia="標楷體" w:hAnsi="標楷體"/>
          <w:color w:val="000000"/>
          <w:sz w:val="28"/>
          <w:szCs w:val="28"/>
        </w:rPr>
        <w:t>臻</w:t>
      </w:r>
      <w:proofErr w:type="gramEnd"/>
      <w:r w:rsidRPr="001B6E4D">
        <w:rPr>
          <w:rFonts w:ascii="標楷體" w:eastAsia="標楷體" w:hAnsi="標楷體"/>
          <w:color w:val="000000"/>
          <w:sz w:val="28"/>
          <w:szCs w:val="28"/>
        </w:rPr>
        <w:t>完善。嘉義地院轄區涵蓋之阿里山鄉為原住民族地區，涉及原住民族案件比例相對較高，司法程序中落實原住民族語言權益，尤為重要。監察委員王美玉113年調查報告指出，我國原住民族共16族語、42種方言，惟法院通譯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顯然不足，恐使特定族群於司法程序中處於弱勢。司法實務中亦曾發生因語言與文化差異而導致誤解之案例，顯示司法通譯資源不足，將影響審判公平與當事人之訴訟權益。原民通譯不僅是語言翻譯，更是文化脈絡的詮釋者，以協助司法機關正確認知文化內涵與法律事實之落差，確保原住民族司法權益。</w:t>
      </w:r>
    </w:p>
    <w:p w14:paraId="005EFFE5" w14:textId="77777777" w:rsidR="00201B77" w:rsidRPr="001B6E4D" w:rsidRDefault="00201B77" w:rsidP="003D1018">
      <w:pPr>
        <w:pStyle w:val="afffffffffd"/>
        <w:overflowPunct w:val="0"/>
        <w:ind w:left="924"/>
      </w:pPr>
      <w:proofErr w:type="gramStart"/>
      <w:r w:rsidRPr="001B6E4D">
        <w:t>爰</w:t>
      </w:r>
      <w:proofErr w:type="gramEnd"/>
      <w:r w:rsidRPr="001B6E4D">
        <w:rPr>
          <w:rFonts w:hint="eastAsia"/>
        </w:rPr>
        <w:t>請</w:t>
      </w:r>
      <w:r w:rsidRPr="001B6E4D">
        <w:t>臺灣嘉義地方法院於2個月內向立法院司法及法制委員會提出</w:t>
      </w:r>
      <w:r w:rsidRPr="001B6E4D">
        <w:rPr>
          <w:rFonts w:hint="eastAsia"/>
        </w:rPr>
        <w:t>書面</w:t>
      </w:r>
      <w:r w:rsidRPr="001B6E4D">
        <w:t>報告。【74】</w:t>
      </w:r>
    </w:p>
    <w:p w14:paraId="578BAB7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243EB63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14E097F3"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第26項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南地方法院12億7,781萬1千元，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731FB74"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第27項 臺灣橋頭地方法院6億9,893萬3千元，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3885122"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3F9D3D79" w14:textId="77777777" w:rsidR="00201B77" w:rsidRPr="001B6E4D" w:rsidRDefault="00201B77" w:rsidP="003D1018">
      <w:pPr>
        <w:pStyle w:val="affe"/>
        <w:widowControl w:val="0"/>
        <w:numPr>
          <w:ilvl w:val="0"/>
          <w:numId w:val="41"/>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年度臺灣橋頭地方法院預算案於第2目「審判業務」編列預算8,767萬5千元。</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原住民族於司法程序中享有使用其語言之權利，然實際運作情形未</w:t>
      </w:r>
      <w:proofErr w:type="gramStart"/>
      <w:r w:rsidRPr="001B6E4D">
        <w:rPr>
          <w:rFonts w:ascii="標楷體" w:eastAsia="標楷體" w:hAnsi="標楷體"/>
          <w:color w:val="000000"/>
          <w:sz w:val="28"/>
          <w:szCs w:val="28"/>
        </w:rPr>
        <w:t>臻</w:t>
      </w:r>
      <w:proofErr w:type="gramEnd"/>
      <w:r w:rsidRPr="001B6E4D">
        <w:rPr>
          <w:rFonts w:ascii="標楷體" w:eastAsia="標楷體" w:hAnsi="標楷體"/>
          <w:color w:val="000000"/>
          <w:sz w:val="28"/>
          <w:szCs w:val="28"/>
        </w:rPr>
        <w:t>完善，其中橋頭地方法院轄區涵蓋那瑪夏區、桃源區、茂林區等原住民族地區，涉及原住民族案件比例相對較高，司法程序中落實原住民族語言權益，尤為重要。監察委員王美玉113年調查報告即指出，我國原住民族共16族語、42種方言，惟法院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，語言保障顯然不足，恐使特定族群在司法程序中處於弱勢。更有實際案例顯示，因缺乏原民通譯而造成文化語境誤解。例如</w:t>
      </w:r>
      <w:proofErr w:type="gramStart"/>
      <w:r w:rsidRPr="001B6E4D">
        <w:rPr>
          <w:rFonts w:ascii="標楷體" w:eastAsia="標楷體" w:hAnsi="標楷體"/>
          <w:color w:val="000000"/>
          <w:sz w:val="28"/>
          <w:szCs w:val="28"/>
        </w:rPr>
        <w:t>原住民族依傳統</w:t>
      </w:r>
      <w:proofErr w:type="gramEnd"/>
      <w:r w:rsidRPr="001B6E4D">
        <w:rPr>
          <w:rFonts w:ascii="標楷體" w:eastAsia="標楷體" w:hAnsi="標楷體"/>
          <w:color w:val="000000"/>
          <w:sz w:val="28"/>
          <w:szCs w:val="28"/>
        </w:rPr>
        <w:t>慣習之行為，卻因無法以中文表述其文化內涵，而被誤解為違法行為。當事人並非聽懂華語即可免於通譯，否則文化背景與法律語境的差距將難以彌補。原民通譯不僅是語言翻譯，</w:t>
      </w:r>
      <w:r w:rsidRPr="001B6E4D">
        <w:rPr>
          <w:rFonts w:ascii="標楷體" w:eastAsia="標楷體" w:hAnsi="標楷體"/>
          <w:color w:val="000000"/>
          <w:sz w:val="28"/>
          <w:szCs w:val="28"/>
        </w:rPr>
        <w:lastRenderedPageBreak/>
        <w:t>更是文化脈絡的詮釋者，以保障原住民族司法權益，應檢討現行原民通譯制度之不足，並具體回應社會各界關切。</w:t>
      </w:r>
    </w:p>
    <w:p w14:paraId="0E4C26AC" w14:textId="77777777" w:rsidR="00201B77" w:rsidRPr="001B6E4D" w:rsidRDefault="00201B77" w:rsidP="003D1018">
      <w:pPr>
        <w:pStyle w:val="afffffffffd"/>
        <w:overflowPunct w:val="0"/>
        <w:ind w:left="924"/>
      </w:pPr>
      <w:proofErr w:type="gramStart"/>
      <w:r w:rsidRPr="001B6E4D">
        <w:t>爰</w:t>
      </w:r>
      <w:proofErr w:type="gramEnd"/>
      <w:r w:rsidRPr="001B6E4D">
        <w:rPr>
          <w:rFonts w:hint="eastAsia"/>
        </w:rPr>
        <w:t>請</w:t>
      </w:r>
      <w:r w:rsidRPr="001B6E4D">
        <w:t>臺灣橋頭地方法院於2個月內向立法院司法及法制委員會提出</w:t>
      </w:r>
      <w:r w:rsidRPr="001B6E4D">
        <w:rPr>
          <w:rFonts w:hint="eastAsia"/>
        </w:rPr>
        <w:t>書面</w:t>
      </w:r>
      <w:r w:rsidRPr="001B6E4D">
        <w:t>報告。【75】</w:t>
      </w:r>
    </w:p>
    <w:p w14:paraId="1A74548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7BDC644F"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510128A7"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第28項 臺灣高雄地方法院12億7,234萬5千元，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481758C"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第29項 臺灣屏東地方法院7億1,444萬3千元，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5873E65"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10718DEC" w14:textId="77777777" w:rsidR="00201B77" w:rsidRPr="001B6E4D" w:rsidRDefault="00201B77" w:rsidP="003D1018">
      <w:pPr>
        <w:pStyle w:val="affe"/>
        <w:widowControl w:val="0"/>
        <w:numPr>
          <w:ilvl w:val="0"/>
          <w:numId w:val="42"/>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年度臺灣屏東地方法院預算案於第2目「審判業務」編列預算7,210萬6千元。然屏東地院轄區涵蓋瑪家鄉、泰武鄉、來義鄉、春日鄉、獅子鄉、牡丹鄉、三地門鄉、霧</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鄉及滿州鄉等原住民族地區，涉及原住民族案件比例相對較高，司法程序中落實原住民族語言權益，尤為重要。原住民族於司法程序中享有使用其語言之權利，然現行制度建置尚不完備。監察委員王美玉113年調查報告亦曾指出，我國原住民族共16族語42種方言，然法院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，語言保障明顯不足，致使部分族群於司法程序中處於弱勢。司法實務中更曾發生因語言與文化差異導致誤解的案例，顯示司法通譯資源不足，將影響審判公平與當事人之訴訟權益。</w:t>
      </w:r>
    </w:p>
    <w:p w14:paraId="6F5E596B" w14:textId="77777777" w:rsidR="00201B77" w:rsidRPr="001B6E4D" w:rsidRDefault="00201B77" w:rsidP="003D1018">
      <w:pPr>
        <w:pStyle w:val="afffffffffd"/>
        <w:overflowPunct w:val="0"/>
        <w:ind w:left="924"/>
      </w:pPr>
      <w:proofErr w:type="gramStart"/>
      <w:r w:rsidRPr="001B6E4D">
        <w:t>爰</w:t>
      </w:r>
      <w:proofErr w:type="gramEnd"/>
      <w:r w:rsidRPr="001B6E4D">
        <w:rPr>
          <w:rFonts w:hint="eastAsia"/>
        </w:rPr>
        <w:t>請</w:t>
      </w:r>
      <w:r w:rsidRPr="001B6E4D">
        <w:t>臺灣屏東地方法院於2個月內向立法院司法及法制委員會提出</w:t>
      </w:r>
      <w:r w:rsidRPr="001B6E4D">
        <w:rPr>
          <w:rFonts w:hint="eastAsia"/>
        </w:rPr>
        <w:t>書面</w:t>
      </w:r>
      <w:r w:rsidRPr="001B6E4D">
        <w:t>報告。【76】</w:t>
      </w:r>
    </w:p>
    <w:p w14:paraId="1199510A"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41C6A72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7D0757AF"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第30項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東地方法院3億3,377萬5千元，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DBBD095"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493DAF48" w14:textId="77777777" w:rsidR="00201B77" w:rsidRPr="001B6E4D" w:rsidRDefault="00201B77" w:rsidP="003D1018">
      <w:pPr>
        <w:pStyle w:val="affe"/>
        <w:widowControl w:val="0"/>
        <w:numPr>
          <w:ilvl w:val="0"/>
          <w:numId w:val="43"/>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東地方法院預算案於第2目「審判業務」編列預算3,217萬7千元。</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原住民族於司法程序中享有使用其語言之權利，然實際運作情形未</w:t>
      </w:r>
      <w:proofErr w:type="gramStart"/>
      <w:r w:rsidRPr="001B6E4D">
        <w:rPr>
          <w:rFonts w:ascii="標楷體" w:eastAsia="標楷體" w:hAnsi="標楷體"/>
          <w:color w:val="000000"/>
          <w:sz w:val="28"/>
          <w:szCs w:val="28"/>
        </w:rPr>
        <w:t>臻</w:t>
      </w:r>
      <w:proofErr w:type="gramEnd"/>
      <w:r w:rsidRPr="001B6E4D">
        <w:rPr>
          <w:rFonts w:ascii="標楷體" w:eastAsia="標楷體" w:hAnsi="標楷體"/>
          <w:color w:val="000000"/>
          <w:sz w:val="28"/>
          <w:szCs w:val="28"/>
        </w:rPr>
        <w:t>完善。</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院轄區涵蓋達仁鄉、大武鄉、金峰鄉、太麻里鄉、卑南鄉、蘭嶼鄉、延平鄉、鹿野鄉、台東市、東河鄉、關山鎮、池上鄉、成功鎮、海端鄉、長濱鄉等原住民族地區，涉及原住民族案件比例相對較高，司法程序中落實原住民族語言權益，尤為重要。監察委員王美玉113年調查報告指出，我國原住民族共16族語、42種方言，惟法院通譯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顯然不足，恐使特定族群於司法程序中處於弱勢。實務上亦曾發生因語言與文化差異而導致誤解之案例，顯示司法通譯資源不足，將影響審判公平與當事人之訴訟權益。原民通譯不僅是語言翻譯，更是文化脈絡的詮釋者，以協助法官、檢察官及律師正確認知文化</w:t>
      </w:r>
      <w:r w:rsidRPr="001B6E4D">
        <w:rPr>
          <w:rFonts w:ascii="標楷體" w:eastAsia="標楷體" w:hAnsi="標楷體"/>
          <w:color w:val="000000"/>
          <w:sz w:val="28"/>
          <w:szCs w:val="28"/>
        </w:rPr>
        <w:lastRenderedPageBreak/>
        <w:t>內涵與法律事實之落差，確保原住民族司法權益。</w:t>
      </w:r>
    </w:p>
    <w:p w14:paraId="5E7A3E1D" w14:textId="77777777" w:rsidR="00201B77" w:rsidRPr="001B6E4D" w:rsidRDefault="00201B77" w:rsidP="003D1018">
      <w:pPr>
        <w:pStyle w:val="afffffffffd"/>
        <w:overflowPunct w:val="0"/>
        <w:ind w:left="924"/>
      </w:pPr>
      <w:r w:rsidRPr="001B6E4D">
        <w:rPr>
          <w:rFonts w:hint="eastAsia"/>
        </w:rPr>
        <w:t>請</w:t>
      </w:r>
      <w:r w:rsidRPr="001B6E4D">
        <w:t>臺灣</w:t>
      </w:r>
      <w:proofErr w:type="gramStart"/>
      <w:r w:rsidRPr="001B6E4D">
        <w:t>臺</w:t>
      </w:r>
      <w:proofErr w:type="gramEnd"/>
      <w:r w:rsidRPr="001B6E4D">
        <w:t>東地方法院於2個月內向立法院司法及法制委員會提出</w:t>
      </w:r>
      <w:r w:rsidRPr="001B6E4D">
        <w:rPr>
          <w:rFonts w:hint="eastAsia"/>
        </w:rPr>
        <w:t>書面</w:t>
      </w:r>
      <w:r w:rsidRPr="001B6E4D">
        <w:t>報告。【77】</w:t>
      </w:r>
    </w:p>
    <w:p w14:paraId="12ADBA0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2DC649B4"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2B0649D8"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第31項 臺灣花蓮地方法院4億7,253萬7千元，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B4BB9F0"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1328F732" w14:textId="77777777" w:rsidR="00201B77" w:rsidRPr="001B6E4D" w:rsidRDefault="00201B77" w:rsidP="003D1018">
      <w:pPr>
        <w:pStyle w:val="affe"/>
        <w:widowControl w:val="0"/>
        <w:numPr>
          <w:ilvl w:val="0"/>
          <w:numId w:val="44"/>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年度臺灣花蓮地方法院預算案於第2目「審判業務」編列預算4,164萬2千元。</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原住民族於司法程序中享有使用其語言之權利，然實際運作情形未</w:t>
      </w:r>
      <w:proofErr w:type="gramStart"/>
      <w:r w:rsidRPr="001B6E4D">
        <w:rPr>
          <w:rFonts w:ascii="標楷體" w:eastAsia="標楷體" w:hAnsi="標楷體"/>
          <w:color w:val="000000"/>
          <w:sz w:val="28"/>
          <w:szCs w:val="28"/>
        </w:rPr>
        <w:t>臻</w:t>
      </w:r>
      <w:proofErr w:type="gramEnd"/>
      <w:r w:rsidRPr="001B6E4D">
        <w:rPr>
          <w:rFonts w:ascii="標楷體" w:eastAsia="標楷體" w:hAnsi="標楷體"/>
          <w:color w:val="000000"/>
          <w:sz w:val="28"/>
          <w:szCs w:val="28"/>
        </w:rPr>
        <w:t>完善。花蓮地院轄區涵蓋富里鄉、卓溪鄉、玉里鎮、瑞穗鄉、豐濱鄉、光復鄉、鳳林鎮、萬榮鄉、壽豐鄉、吉安鄉、花蓮市、新城鄉及秀林鄉等原住民族地區，涉及原住民族案件比例相對較高，司法程序中落實原住民族語言權益，尤為重要。監察委員王美玉113年調查報告指出，我國原住民族共16族語、42種方言，惟法院通譯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顯然不足，恐使特定族群於司法程序中處於弱勢。實務上亦曾發生因語言與文化差異而導致誤解之案例，顯示司法通譯資源不足，將影響審判公平與當事人之訴訟權益。原民通譯不僅是語言翻譯，更是文化脈絡的詮釋者，以協助法官、檢察官及律師正確認知文化內涵與法律事實之落差，確保原住民族司法權益。</w:t>
      </w:r>
    </w:p>
    <w:p w14:paraId="259FE5D3" w14:textId="77777777" w:rsidR="00201B77" w:rsidRPr="001B6E4D" w:rsidRDefault="00201B77" w:rsidP="003D1018">
      <w:pPr>
        <w:pStyle w:val="afffffffffd"/>
        <w:overflowPunct w:val="0"/>
        <w:ind w:left="924"/>
      </w:pPr>
      <w:r w:rsidRPr="001B6E4D">
        <w:rPr>
          <w:rFonts w:hint="eastAsia"/>
        </w:rPr>
        <w:t>請</w:t>
      </w:r>
      <w:r w:rsidRPr="001B6E4D">
        <w:t>臺灣花蓮地方法院於2個月內向立法院司法及法制委員會提出</w:t>
      </w:r>
      <w:r w:rsidRPr="001B6E4D">
        <w:rPr>
          <w:rFonts w:hint="eastAsia"/>
        </w:rPr>
        <w:t>書面</w:t>
      </w:r>
      <w:r w:rsidRPr="001B6E4D">
        <w:t>報告。【78】</w:t>
      </w:r>
    </w:p>
    <w:p w14:paraId="02408D06"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016EC998"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1238785B" w14:textId="77777777" w:rsidR="00201B77" w:rsidRPr="001B6E4D" w:rsidRDefault="00201B77" w:rsidP="003D1018">
      <w:pPr>
        <w:overflowPunct w:val="0"/>
        <w:snapToGrid w:val="0"/>
        <w:ind w:leftChars="150" w:left="1200" w:hangingChars="300" w:hanging="840"/>
        <w:jc w:val="both"/>
        <w:rPr>
          <w:rFonts w:ascii="標楷體" w:eastAsia="標楷體" w:hAnsi="標楷體"/>
          <w:sz w:val="28"/>
          <w:szCs w:val="28"/>
        </w:rPr>
      </w:pPr>
      <w:r w:rsidRPr="001B6E4D">
        <w:rPr>
          <w:rFonts w:ascii="標楷體" w:eastAsia="標楷體" w:hAnsi="標楷體"/>
          <w:sz w:val="28"/>
          <w:szCs w:val="28"/>
        </w:rPr>
        <w:t>第32項 臺灣宜蘭地方法院4億0,486萬7千元，</w:t>
      </w:r>
      <w:proofErr w:type="gramStart"/>
      <w:r w:rsidRPr="001B6E4D">
        <w:rPr>
          <w:rFonts w:ascii="標楷體" w:eastAsia="標楷體" w:hAnsi="標楷體"/>
          <w:sz w:val="28"/>
          <w:szCs w:val="28"/>
        </w:rPr>
        <w:t>照列</w:t>
      </w:r>
      <w:proofErr w:type="gramEnd"/>
      <w:r w:rsidRPr="001B6E4D">
        <w:rPr>
          <w:rFonts w:ascii="標楷體" w:eastAsia="標楷體" w:hAnsi="標楷體"/>
          <w:sz w:val="28"/>
          <w:szCs w:val="28"/>
        </w:rPr>
        <w:t>。</w:t>
      </w:r>
    </w:p>
    <w:p w14:paraId="1B6E0502" w14:textId="77777777" w:rsidR="00201B77" w:rsidRPr="001B6E4D" w:rsidRDefault="00201B77"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1</w:t>
      </w:r>
      <w:r w:rsidRPr="001B6E4D">
        <w:rPr>
          <w:rFonts w:ascii="標楷體" w:eastAsia="標楷體" w:hAnsi="標楷體"/>
          <w:b/>
          <w:bCs/>
          <w:sz w:val="28"/>
          <w:szCs w:val="28"/>
        </w:rPr>
        <w:t>項：</w:t>
      </w:r>
    </w:p>
    <w:p w14:paraId="66C2EF27" w14:textId="77777777" w:rsidR="00201B77" w:rsidRPr="001B6E4D" w:rsidRDefault="00201B77" w:rsidP="003D1018">
      <w:pPr>
        <w:pStyle w:val="affe"/>
        <w:widowControl w:val="0"/>
        <w:numPr>
          <w:ilvl w:val="0"/>
          <w:numId w:val="45"/>
        </w:numPr>
        <w:overflowPunct w:val="0"/>
        <w:snapToGrid w:val="0"/>
        <w:ind w:leftChars="178" w:left="987" w:hangingChars="200" w:hanging="560"/>
        <w:jc w:val="both"/>
        <w:rPr>
          <w:rFonts w:ascii="標楷體" w:eastAsia="標楷體" w:hAnsi="標楷體"/>
          <w:color w:val="000000"/>
          <w:sz w:val="28"/>
          <w:szCs w:val="28"/>
        </w:rPr>
      </w:pPr>
      <w:bookmarkStart w:id="491" w:name="tmpsummary"/>
      <w:bookmarkEnd w:id="491"/>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年度臺灣宜蘭地方法院預算案於第2目「審判業務」編列預算4,317萬5千元。</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原住民族於司法程序中享有使用其語言之權利，然實際運作情形未</w:t>
      </w:r>
      <w:proofErr w:type="gramStart"/>
      <w:r w:rsidRPr="001B6E4D">
        <w:rPr>
          <w:rFonts w:ascii="標楷體" w:eastAsia="標楷體" w:hAnsi="標楷體"/>
          <w:color w:val="000000"/>
          <w:sz w:val="28"/>
          <w:szCs w:val="28"/>
        </w:rPr>
        <w:t>臻</w:t>
      </w:r>
      <w:proofErr w:type="gramEnd"/>
      <w:r w:rsidRPr="001B6E4D">
        <w:rPr>
          <w:rFonts w:ascii="標楷體" w:eastAsia="標楷體" w:hAnsi="標楷體"/>
          <w:color w:val="000000"/>
          <w:sz w:val="28"/>
          <w:szCs w:val="28"/>
        </w:rPr>
        <w:t>完善。宜蘭地院轄區涵蓋大同鄉、南澳鄉等原住民族地區，涉及原住民族案件比例相對較高，司法程序中落實原住民族語言權益，尤為重要。監察委員王美玉113年調查報告指出，我國原住民族共16族語、42種方言，惟法院通譯僅有</w:t>
      </w:r>
      <w:proofErr w:type="gramStart"/>
      <w:r w:rsidRPr="001B6E4D">
        <w:rPr>
          <w:rFonts w:ascii="標楷體" w:eastAsia="標楷體" w:hAnsi="標楷體"/>
          <w:color w:val="000000"/>
          <w:sz w:val="28"/>
          <w:szCs w:val="28"/>
        </w:rPr>
        <w:t>11種語別</w:t>
      </w:r>
      <w:proofErr w:type="gramEnd"/>
      <w:r w:rsidRPr="001B6E4D">
        <w:rPr>
          <w:rFonts w:ascii="標楷體" w:eastAsia="標楷體" w:hAnsi="標楷體"/>
          <w:color w:val="000000"/>
          <w:sz w:val="28"/>
          <w:szCs w:val="28"/>
        </w:rPr>
        <w:t>，語言保障顯然不足，恐使特定族群於司法程序中處於弱勢。司法實務中亦曾發生因語言與文化差異而導致誤解之案例，顯示司法通譯資源不足，將影響審判公平與當事人之訴訟權益。原民通譯不僅是語言翻譯，更是文化脈絡的詮釋者，以協助司法機關正確認知文化內涵與法律事實之落差，確保原住民族司法權益。</w:t>
      </w:r>
    </w:p>
    <w:p w14:paraId="5F5D9DE2" w14:textId="77777777" w:rsidR="00201B77" w:rsidRPr="001B6E4D" w:rsidRDefault="00201B77" w:rsidP="003D1018">
      <w:pPr>
        <w:pStyle w:val="afffffffffd"/>
        <w:overflowPunct w:val="0"/>
        <w:ind w:left="924"/>
      </w:pPr>
      <w:r w:rsidRPr="001B6E4D">
        <w:rPr>
          <w:rFonts w:hint="eastAsia"/>
        </w:rPr>
        <w:lastRenderedPageBreak/>
        <w:t>請</w:t>
      </w:r>
      <w:r w:rsidRPr="001B6E4D">
        <w:t>臺灣宜蘭地方法院於2個月內向立法院司法及法制委員會提出</w:t>
      </w:r>
      <w:r w:rsidRPr="001B6E4D">
        <w:rPr>
          <w:rFonts w:hint="eastAsia"/>
        </w:rPr>
        <w:t>書面</w:t>
      </w:r>
      <w:r w:rsidRPr="001B6E4D">
        <w:t>報告。【79】</w:t>
      </w:r>
    </w:p>
    <w:p w14:paraId="257EC47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0B43C926"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428867F5"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第33項 臺灣基隆地方法院4億7,468萬5千元，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60901D7"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第34項 臺灣澎湖地方法院1億5,716萬5千元，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29854CC"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第35項 臺灣高雄少年及家事法院4億7,820萬4千元，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8F9D8B8"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第36項 福建高等法院金門分院5,819萬4千元，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3FBF70B" w14:textId="77777777" w:rsidR="00201B77" w:rsidRPr="001B6E4D" w:rsidRDefault="00201B77"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第37項 福建金門地方法院1億2,004萬3千元，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4411F8F" w14:textId="77777777" w:rsidR="00201B77" w:rsidRPr="001B6E4D" w:rsidRDefault="00201B77" w:rsidP="003D1018">
      <w:pPr>
        <w:overflowPunct w:val="0"/>
        <w:snapToGrid w:val="0"/>
        <w:ind w:leftChars="150" w:left="1536" w:hangingChars="420" w:hanging="1176"/>
        <w:jc w:val="both"/>
        <w:rPr>
          <w:rFonts w:ascii="標楷體" w:eastAsia="標楷體" w:hAnsi="標楷體"/>
          <w:sz w:val="28"/>
          <w:szCs w:val="28"/>
        </w:rPr>
      </w:pPr>
      <w:r w:rsidRPr="001B6E4D">
        <w:rPr>
          <w:rFonts w:ascii="標楷體" w:eastAsia="標楷體" w:hAnsi="標楷體"/>
          <w:color w:val="000000"/>
          <w:sz w:val="28"/>
          <w:szCs w:val="28"/>
        </w:rPr>
        <w:t>第38項 福建連江地方法院3,656萬5千元，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164A47D" w14:textId="77777777" w:rsidR="00201B77" w:rsidRPr="001B6E4D" w:rsidRDefault="00201B77" w:rsidP="003D1018">
      <w:pPr>
        <w:overflowPunct w:val="0"/>
        <w:snapToGrid w:val="0"/>
        <w:spacing w:line="380" w:lineRule="exact"/>
        <w:ind w:leftChars="53" w:left="688" w:hangingChars="200" w:hanging="561"/>
        <w:jc w:val="both"/>
        <w:rPr>
          <w:rFonts w:ascii="標楷體" w:eastAsia="標楷體" w:hAnsi="標楷體"/>
          <w:b/>
          <w:sz w:val="28"/>
          <w:szCs w:val="28"/>
          <w:shd w:val="clear" w:color="auto" w:fill="FFFFFF"/>
        </w:rPr>
      </w:pPr>
      <w:r w:rsidRPr="001B6E4D">
        <w:rPr>
          <w:rFonts w:ascii="標楷體" w:eastAsia="標楷體" w:hAnsi="標楷體" w:hint="eastAsia"/>
          <w:b/>
          <w:sz w:val="28"/>
          <w:szCs w:val="28"/>
          <w:shd w:val="clear" w:color="auto" w:fill="FFFFFF"/>
        </w:rPr>
        <w:t>(三)</w:t>
      </w:r>
      <w:r w:rsidRPr="001B6E4D">
        <w:rPr>
          <w:rFonts w:ascii="標楷體" w:eastAsia="標楷體" w:hAnsi="標楷體" w:hint="eastAsia"/>
          <w:b/>
          <w:bCs/>
          <w:sz w:val="28"/>
          <w:szCs w:val="28"/>
        </w:rPr>
        <w:t>中華民國</w:t>
      </w:r>
      <w:proofErr w:type="gramStart"/>
      <w:r w:rsidRPr="001B6E4D">
        <w:rPr>
          <w:rFonts w:ascii="標楷體" w:eastAsia="標楷體" w:hAnsi="標楷體" w:hint="eastAsia"/>
          <w:b/>
          <w:sz w:val="28"/>
          <w:szCs w:val="28"/>
          <w:shd w:val="clear" w:color="auto" w:fill="FFFFFF"/>
        </w:rPr>
        <w:t>11</w:t>
      </w:r>
      <w:r w:rsidRPr="001B6E4D">
        <w:rPr>
          <w:rFonts w:ascii="標楷體" w:eastAsia="標楷體" w:hAnsi="標楷體"/>
          <w:b/>
          <w:sz w:val="28"/>
          <w:szCs w:val="28"/>
          <w:shd w:val="clear" w:color="auto" w:fill="FFFFFF"/>
        </w:rPr>
        <w:t>5</w:t>
      </w:r>
      <w:proofErr w:type="gramEnd"/>
      <w:r w:rsidRPr="001B6E4D">
        <w:rPr>
          <w:rFonts w:ascii="標楷體" w:eastAsia="標楷體" w:hAnsi="標楷體" w:hint="eastAsia"/>
          <w:b/>
          <w:sz w:val="28"/>
          <w:szCs w:val="28"/>
          <w:shd w:val="clear" w:color="auto" w:fill="FFFFFF"/>
        </w:rPr>
        <w:t>年度中央政府總預算案關於司法院及所屬主管收支部分</w:t>
      </w:r>
      <w:r w:rsidRPr="001B6E4D">
        <w:rPr>
          <w:rFonts w:ascii="標楷體" w:eastAsia="標楷體" w:hAnsi="標楷體"/>
          <w:b/>
          <w:sz w:val="28"/>
          <w:szCs w:val="28"/>
          <w:shd w:val="clear" w:color="auto" w:fill="FFFFFF"/>
        </w:rPr>
        <w:t>審查完竣，</w:t>
      </w:r>
      <w:r w:rsidRPr="001B6E4D">
        <w:rPr>
          <w:rFonts w:ascii="標楷體" w:eastAsia="標楷體" w:hAnsi="標楷體" w:hint="eastAsia"/>
          <w:b/>
          <w:sz w:val="28"/>
          <w:szCs w:val="28"/>
          <w:shd w:val="clear" w:color="auto" w:fill="FFFFFF"/>
        </w:rPr>
        <w:t>提報院會，院會討論前，</w:t>
      </w:r>
      <w:r w:rsidRPr="001B6E4D">
        <w:rPr>
          <w:rFonts w:ascii="標楷體" w:eastAsia="標楷體" w:hAnsi="標楷體"/>
          <w:b/>
          <w:sz w:val="28"/>
          <w:szCs w:val="28"/>
          <w:shd w:val="clear" w:color="auto" w:fill="FFFFFF"/>
        </w:rPr>
        <w:t>須交由黨團協商</w:t>
      </w:r>
      <w:r w:rsidRPr="001B6E4D">
        <w:rPr>
          <w:rFonts w:ascii="標楷體" w:eastAsia="標楷體" w:hAnsi="標楷體" w:hint="eastAsia"/>
          <w:b/>
          <w:sz w:val="28"/>
          <w:szCs w:val="28"/>
          <w:shd w:val="clear" w:color="auto" w:fill="FFFFFF"/>
        </w:rPr>
        <w:t>；院會討論時，由莊召集委員瑞雄出席說明</w:t>
      </w:r>
      <w:r w:rsidRPr="001B6E4D">
        <w:rPr>
          <w:rFonts w:ascii="標楷體" w:eastAsia="標楷體" w:hAnsi="標楷體"/>
          <w:b/>
          <w:sz w:val="28"/>
          <w:szCs w:val="28"/>
          <w:shd w:val="clear" w:color="auto" w:fill="FFFFFF"/>
        </w:rPr>
        <w:t>。</w:t>
      </w:r>
    </w:p>
    <w:p w14:paraId="7D072CB1" w14:textId="77777777" w:rsidR="00201B77" w:rsidRPr="001B6E4D" w:rsidRDefault="00201B77" w:rsidP="003D1018">
      <w:pPr>
        <w:kinsoku w:val="0"/>
        <w:overflowPunct w:val="0"/>
        <w:adjustRightInd w:val="0"/>
        <w:snapToGrid w:val="0"/>
        <w:spacing w:line="380" w:lineRule="exact"/>
        <w:ind w:left="560" w:hangingChars="200" w:hanging="560"/>
        <w:jc w:val="both"/>
        <w:rPr>
          <w:rFonts w:ascii="標楷體" w:eastAsia="標楷體" w:hAnsi="標楷體"/>
          <w:sz w:val="28"/>
          <w:szCs w:val="28"/>
        </w:rPr>
      </w:pPr>
    </w:p>
    <w:p w14:paraId="174A87FA" w14:textId="77777777" w:rsidR="00201B77" w:rsidRPr="001B6E4D" w:rsidRDefault="00201B77" w:rsidP="003D1018">
      <w:pPr>
        <w:kinsoku w:val="0"/>
        <w:overflowPunct w:val="0"/>
        <w:adjustRightInd w:val="0"/>
        <w:snapToGrid w:val="0"/>
        <w:spacing w:line="380" w:lineRule="exact"/>
        <w:ind w:left="561" w:hangingChars="200" w:hanging="561"/>
        <w:jc w:val="both"/>
        <w:rPr>
          <w:rFonts w:ascii="標楷體" w:eastAsia="標楷體" w:hAnsi="標楷體"/>
          <w:b/>
          <w:bCs/>
          <w:kern w:val="0"/>
          <w:sz w:val="28"/>
          <w:szCs w:val="28"/>
          <w:shd w:val="pct15" w:color="auto" w:fill="FFFFFF"/>
        </w:rPr>
      </w:pPr>
      <w:r w:rsidRPr="001B6E4D">
        <w:rPr>
          <w:rFonts w:ascii="標楷體" w:eastAsia="標楷體" w:hAnsi="標楷體" w:hint="eastAsia"/>
          <w:b/>
          <w:bCs/>
          <w:sz w:val="28"/>
          <w:szCs w:val="28"/>
        </w:rPr>
        <w:t>二、財團法人法律扶助基金會</w:t>
      </w:r>
      <w:proofErr w:type="gramStart"/>
      <w:r w:rsidRPr="001B6E4D">
        <w:rPr>
          <w:rFonts w:ascii="標楷體" w:eastAsia="標楷體" w:hAnsi="標楷體" w:hint="eastAsia"/>
          <w:b/>
          <w:bCs/>
          <w:sz w:val="28"/>
          <w:szCs w:val="28"/>
        </w:rPr>
        <w:t>11</w:t>
      </w:r>
      <w:r w:rsidRPr="001B6E4D">
        <w:rPr>
          <w:rFonts w:ascii="標楷體" w:eastAsia="標楷體" w:hAnsi="標楷體"/>
          <w:b/>
          <w:bCs/>
          <w:sz w:val="28"/>
          <w:szCs w:val="28"/>
        </w:rPr>
        <w:t>5</w:t>
      </w:r>
      <w:proofErr w:type="gramEnd"/>
      <w:r w:rsidRPr="001B6E4D">
        <w:rPr>
          <w:rFonts w:ascii="標楷體" w:eastAsia="標楷體" w:hAnsi="標楷體" w:hint="eastAsia"/>
          <w:b/>
          <w:bCs/>
          <w:sz w:val="28"/>
          <w:szCs w:val="28"/>
        </w:rPr>
        <w:t>年度預算書案</w:t>
      </w:r>
      <w:r w:rsidRPr="001B6E4D">
        <w:rPr>
          <w:rFonts w:ascii="標楷體" w:eastAsia="標楷體" w:hAnsi="標楷體"/>
          <w:b/>
          <w:bCs/>
          <w:sz w:val="28"/>
          <w:szCs w:val="28"/>
          <w:shd w:val="clear" w:color="auto" w:fill="FFFFFF"/>
        </w:rPr>
        <w:t>：</w:t>
      </w:r>
    </w:p>
    <w:p w14:paraId="214F3719" w14:textId="77777777" w:rsidR="00201B77" w:rsidRPr="001B6E4D" w:rsidRDefault="00201B77" w:rsidP="003D1018">
      <w:pPr>
        <w:overflowPunct w:val="0"/>
        <w:adjustRightInd w:val="0"/>
        <w:snapToGrid w:val="0"/>
        <w:spacing w:line="380" w:lineRule="exact"/>
        <w:ind w:left="602" w:hangingChars="215" w:hanging="602"/>
        <w:jc w:val="both"/>
        <w:rPr>
          <w:rFonts w:ascii="標楷體" w:eastAsia="標楷體" w:hAnsi="標楷體"/>
          <w:sz w:val="28"/>
          <w:szCs w:val="28"/>
        </w:rPr>
      </w:pPr>
      <w:r w:rsidRPr="001B6E4D">
        <w:rPr>
          <w:rFonts w:ascii="標楷體" w:eastAsia="標楷體" w:hAnsi="標楷體"/>
          <w:sz w:val="28"/>
          <w:szCs w:val="28"/>
          <w:shd w:val="clear" w:color="auto" w:fill="FFFFFF"/>
        </w:rPr>
        <w:t>(</w:t>
      </w:r>
      <w:proofErr w:type="gramStart"/>
      <w:r w:rsidRPr="001B6E4D">
        <w:rPr>
          <w:rFonts w:ascii="標楷體" w:eastAsia="標楷體" w:hAnsi="標楷體"/>
          <w:sz w:val="28"/>
          <w:szCs w:val="28"/>
          <w:shd w:val="clear" w:color="auto" w:fill="FFFFFF"/>
        </w:rPr>
        <w:t>一</w:t>
      </w:r>
      <w:proofErr w:type="gramEnd"/>
      <w:r w:rsidRPr="001B6E4D">
        <w:rPr>
          <w:rFonts w:ascii="標楷體" w:eastAsia="標楷體" w:hAnsi="標楷體"/>
          <w:sz w:val="28"/>
          <w:szCs w:val="28"/>
          <w:shd w:val="clear" w:color="auto" w:fill="FFFFFF"/>
        </w:rPr>
        <w:t>)業務計畫：應依據業務收支、轉投資、固定資產</w:t>
      </w:r>
      <w:r w:rsidRPr="001B6E4D">
        <w:rPr>
          <w:rFonts w:ascii="標楷體" w:eastAsia="標楷體" w:hAnsi="標楷體" w:hint="eastAsia"/>
          <w:sz w:val="28"/>
          <w:szCs w:val="28"/>
          <w:shd w:val="clear" w:color="auto" w:fill="FFFFFF"/>
        </w:rPr>
        <w:t>投資</w:t>
      </w:r>
      <w:r w:rsidRPr="001B6E4D">
        <w:rPr>
          <w:rFonts w:ascii="標楷體" w:eastAsia="標楷體" w:hAnsi="標楷體"/>
          <w:sz w:val="28"/>
          <w:szCs w:val="28"/>
          <w:shd w:val="clear" w:color="auto" w:fill="FFFFFF"/>
        </w:rPr>
        <w:t>及資金運用等項之審查結果，隨同調整。</w:t>
      </w:r>
    </w:p>
    <w:p w14:paraId="7701732D" w14:textId="77777777" w:rsidR="00201B77" w:rsidRPr="001B6E4D" w:rsidRDefault="00201B77" w:rsidP="003D1018">
      <w:pPr>
        <w:overflowPunct w:val="0"/>
        <w:adjustRightInd w:val="0"/>
        <w:snapToGrid w:val="0"/>
        <w:spacing w:line="380" w:lineRule="exact"/>
        <w:ind w:left="280" w:hangingChars="100" w:hanging="280"/>
        <w:jc w:val="both"/>
        <w:rPr>
          <w:rFonts w:ascii="標楷體" w:eastAsia="標楷體" w:hAnsi="標楷體"/>
          <w:sz w:val="28"/>
          <w:szCs w:val="28"/>
        </w:rPr>
      </w:pPr>
      <w:r w:rsidRPr="001B6E4D">
        <w:rPr>
          <w:rFonts w:ascii="標楷體" w:eastAsia="標楷體" w:hAnsi="標楷體"/>
          <w:sz w:val="28"/>
          <w:szCs w:val="28"/>
        </w:rPr>
        <w:t>(</w:t>
      </w:r>
      <w:r w:rsidRPr="001B6E4D">
        <w:rPr>
          <w:rFonts w:ascii="標楷體" w:eastAsia="標楷體" w:hAnsi="標楷體" w:hint="eastAsia"/>
          <w:sz w:val="28"/>
          <w:szCs w:val="28"/>
        </w:rPr>
        <w:t>二</w:t>
      </w:r>
      <w:r w:rsidRPr="001B6E4D">
        <w:rPr>
          <w:rFonts w:ascii="標楷體" w:eastAsia="標楷體" w:hAnsi="標楷體"/>
          <w:sz w:val="28"/>
          <w:szCs w:val="28"/>
        </w:rPr>
        <w:t>)收支</w:t>
      </w:r>
      <w:r w:rsidRPr="001B6E4D">
        <w:rPr>
          <w:rFonts w:ascii="標楷體" w:eastAsia="標楷體" w:hAnsi="標楷體" w:hint="eastAsia"/>
          <w:sz w:val="28"/>
          <w:szCs w:val="28"/>
        </w:rPr>
        <w:t>預算</w:t>
      </w:r>
      <w:r w:rsidRPr="001B6E4D">
        <w:rPr>
          <w:rFonts w:ascii="標楷體" w:eastAsia="標楷體" w:hAnsi="標楷體"/>
          <w:sz w:val="28"/>
          <w:szCs w:val="28"/>
        </w:rPr>
        <w:t>：</w:t>
      </w:r>
    </w:p>
    <w:p w14:paraId="0DAC6EED" w14:textId="77777777" w:rsidR="00201B77" w:rsidRPr="001B6E4D" w:rsidRDefault="00201B77" w:rsidP="003D1018">
      <w:pPr>
        <w:overflowPunct w:val="0"/>
        <w:adjustRightInd w:val="0"/>
        <w:snapToGrid w:val="0"/>
        <w:spacing w:line="380" w:lineRule="exact"/>
        <w:ind w:leftChars="221" w:left="1230" w:hangingChars="250" w:hanging="700"/>
        <w:jc w:val="both"/>
        <w:rPr>
          <w:rFonts w:ascii="標楷體" w:eastAsia="標楷體" w:hAnsi="標楷體"/>
          <w:sz w:val="28"/>
          <w:szCs w:val="28"/>
        </w:rPr>
      </w:pPr>
      <w:r w:rsidRPr="001B6E4D">
        <w:rPr>
          <w:rFonts w:ascii="標楷體" w:eastAsia="標楷體" w:hAnsi="標楷體" w:hint="eastAsia"/>
          <w:sz w:val="28"/>
          <w:szCs w:val="28"/>
        </w:rPr>
        <w:t>1.</w:t>
      </w:r>
      <w:r w:rsidRPr="001B6E4D">
        <w:rPr>
          <w:rFonts w:ascii="標楷體" w:eastAsia="標楷體" w:hAnsi="標楷體"/>
          <w:sz w:val="28"/>
          <w:szCs w:val="28"/>
        </w:rPr>
        <w:t>總收入：</w:t>
      </w:r>
      <w:r w:rsidRPr="001B6E4D">
        <w:rPr>
          <w:rFonts w:ascii="標楷體" w:eastAsia="標楷體" w:hAnsi="標楷體" w:hint="eastAsia"/>
          <w:sz w:val="28"/>
          <w:szCs w:val="28"/>
        </w:rPr>
        <w:t>16億8,820萬8千元，</w:t>
      </w:r>
      <w:proofErr w:type="gramStart"/>
      <w:r w:rsidRPr="001B6E4D">
        <w:rPr>
          <w:rFonts w:ascii="標楷體" w:eastAsia="標楷體" w:hAnsi="標楷體"/>
          <w:sz w:val="28"/>
          <w:szCs w:val="28"/>
        </w:rPr>
        <w:t>照列</w:t>
      </w:r>
      <w:proofErr w:type="gramEnd"/>
      <w:r w:rsidRPr="001B6E4D">
        <w:rPr>
          <w:rFonts w:ascii="標楷體" w:eastAsia="標楷體" w:hAnsi="標楷體"/>
          <w:sz w:val="28"/>
          <w:szCs w:val="28"/>
        </w:rPr>
        <w:t>。</w:t>
      </w:r>
    </w:p>
    <w:p w14:paraId="2B282B07" w14:textId="77777777" w:rsidR="00201B77" w:rsidRPr="001B6E4D" w:rsidRDefault="00201B77" w:rsidP="003D1018">
      <w:pPr>
        <w:overflowPunct w:val="0"/>
        <w:adjustRightInd w:val="0"/>
        <w:snapToGrid w:val="0"/>
        <w:spacing w:line="380" w:lineRule="exact"/>
        <w:ind w:leftChars="221" w:left="810" w:hangingChars="100" w:hanging="280"/>
        <w:jc w:val="both"/>
        <w:rPr>
          <w:rFonts w:ascii="標楷體" w:eastAsia="標楷體" w:hAnsi="標楷體"/>
          <w:color w:val="FF0000"/>
          <w:sz w:val="28"/>
          <w:szCs w:val="28"/>
        </w:rPr>
      </w:pPr>
      <w:r w:rsidRPr="001B6E4D">
        <w:rPr>
          <w:rFonts w:ascii="標楷體" w:eastAsia="標楷體" w:hAnsi="標楷體" w:hint="eastAsia"/>
          <w:sz w:val="28"/>
          <w:szCs w:val="28"/>
        </w:rPr>
        <w:t>2.</w:t>
      </w:r>
      <w:r w:rsidRPr="001B6E4D">
        <w:rPr>
          <w:rFonts w:ascii="標楷體" w:eastAsia="標楷體" w:hAnsi="標楷體"/>
          <w:sz w:val="28"/>
          <w:szCs w:val="28"/>
        </w:rPr>
        <w:t>總支出：</w:t>
      </w:r>
      <w:r w:rsidRPr="001B6E4D">
        <w:rPr>
          <w:rFonts w:ascii="標楷體" w:eastAsia="標楷體" w:hAnsi="標楷體" w:hint="eastAsia"/>
          <w:sz w:val="28"/>
          <w:szCs w:val="28"/>
        </w:rPr>
        <w:t>原列</w:t>
      </w:r>
      <w:bookmarkStart w:id="492" w:name="_Hlk230028989"/>
      <w:r w:rsidRPr="001B6E4D">
        <w:rPr>
          <w:rFonts w:ascii="標楷體" w:eastAsia="標楷體" w:hAnsi="標楷體" w:hint="eastAsia"/>
          <w:sz w:val="28"/>
          <w:szCs w:val="28"/>
        </w:rPr>
        <w:t>16億8,820萬8千元</w:t>
      </w:r>
      <w:bookmarkEnd w:id="492"/>
      <w:r w:rsidRPr="001B6E4D">
        <w:rPr>
          <w:rFonts w:ascii="標楷體" w:eastAsia="標楷體" w:hAnsi="標楷體" w:hint="eastAsia"/>
          <w:sz w:val="28"/>
          <w:szCs w:val="28"/>
        </w:rPr>
        <w:t>，減列「業務成本與費用」項下「業務成本」中「用人成本」500萬元，其餘均</w:t>
      </w:r>
      <w:proofErr w:type="gramStart"/>
      <w:r w:rsidRPr="001B6E4D">
        <w:rPr>
          <w:rFonts w:ascii="標楷體" w:eastAsia="標楷體" w:hAnsi="標楷體" w:hint="eastAsia"/>
          <w:sz w:val="28"/>
          <w:szCs w:val="28"/>
        </w:rPr>
        <w:t>照列</w:t>
      </w:r>
      <w:proofErr w:type="gramEnd"/>
      <w:r w:rsidRPr="001B6E4D">
        <w:rPr>
          <w:rFonts w:ascii="標楷體" w:eastAsia="標楷體" w:hAnsi="標楷體" w:hint="eastAsia"/>
          <w:sz w:val="28"/>
          <w:szCs w:val="28"/>
        </w:rPr>
        <w:t>，改列為16億8,320萬8千元。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4</w:t>
      </w:r>
      <w:r w:rsidRPr="001B6E4D">
        <w:rPr>
          <w:rFonts w:ascii="標楷體" w:eastAsia="標楷體" w:hAnsi="標楷體"/>
          <w:color w:val="000000"/>
          <w:sz w:val="28"/>
          <w:szCs w:val="28"/>
        </w:rPr>
        <w:t>】</w:t>
      </w:r>
    </w:p>
    <w:p w14:paraId="3F077679" w14:textId="77777777" w:rsidR="00201B77" w:rsidRPr="001B6E4D" w:rsidRDefault="00201B77" w:rsidP="003D1018">
      <w:pPr>
        <w:overflowPunct w:val="0"/>
        <w:adjustRightInd w:val="0"/>
        <w:snapToGrid w:val="0"/>
        <w:spacing w:line="380" w:lineRule="exact"/>
        <w:ind w:leftChars="221" w:left="1230" w:hangingChars="250" w:hanging="700"/>
        <w:jc w:val="both"/>
        <w:rPr>
          <w:rFonts w:ascii="標楷體" w:eastAsia="標楷體" w:hAnsi="標楷體"/>
          <w:sz w:val="28"/>
          <w:szCs w:val="28"/>
        </w:rPr>
      </w:pPr>
      <w:r w:rsidRPr="001B6E4D">
        <w:rPr>
          <w:rFonts w:ascii="標楷體" w:eastAsia="標楷體" w:hAnsi="標楷體" w:hint="eastAsia"/>
          <w:sz w:val="28"/>
          <w:szCs w:val="28"/>
        </w:rPr>
        <w:t>3.</w:t>
      </w:r>
      <w:r w:rsidRPr="001B6E4D">
        <w:rPr>
          <w:rFonts w:ascii="標楷體" w:eastAsia="標楷體" w:hAnsi="標楷體"/>
          <w:sz w:val="28"/>
          <w:szCs w:val="28"/>
        </w:rPr>
        <w:t>本期</w:t>
      </w:r>
      <w:r w:rsidRPr="001B6E4D">
        <w:rPr>
          <w:rFonts w:ascii="標楷體" w:eastAsia="標楷體" w:hAnsi="標楷體" w:hint="eastAsia"/>
          <w:sz w:val="28"/>
          <w:szCs w:val="28"/>
        </w:rPr>
        <w:t>賸</w:t>
      </w:r>
      <w:r w:rsidRPr="001B6E4D">
        <w:rPr>
          <w:rFonts w:ascii="標楷體" w:eastAsia="標楷體" w:hAnsi="標楷體"/>
          <w:sz w:val="28"/>
          <w:szCs w:val="28"/>
        </w:rPr>
        <w:t>餘：</w:t>
      </w:r>
      <w:r w:rsidRPr="001B6E4D">
        <w:rPr>
          <w:rFonts w:ascii="標楷體" w:eastAsia="標楷體" w:hAnsi="標楷體" w:hint="eastAsia"/>
          <w:sz w:val="28"/>
          <w:szCs w:val="28"/>
        </w:rPr>
        <w:t>原列0元，</w:t>
      </w:r>
      <w:bookmarkStart w:id="493" w:name="_Hlk230028858"/>
      <w:r w:rsidRPr="001B6E4D">
        <w:rPr>
          <w:rFonts w:ascii="標楷體" w:eastAsia="標楷體" w:hAnsi="標楷體" w:hint="eastAsia"/>
          <w:sz w:val="28"/>
          <w:szCs w:val="28"/>
        </w:rPr>
        <w:t>增列500萬元，改列為500萬元。</w:t>
      </w:r>
      <w:bookmarkEnd w:id="493"/>
    </w:p>
    <w:p w14:paraId="1C58CC03" w14:textId="77777777" w:rsidR="00201B77" w:rsidRPr="001B6E4D" w:rsidRDefault="00201B77" w:rsidP="003D1018">
      <w:pPr>
        <w:overflowPunct w:val="0"/>
        <w:adjustRightInd w:val="0"/>
        <w:snapToGrid w:val="0"/>
        <w:spacing w:line="380" w:lineRule="exact"/>
        <w:ind w:left="280" w:hangingChars="100" w:hanging="280"/>
        <w:jc w:val="both"/>
        <w:rPr>
          <w:rFonts w:ascii="標楷體" w:eastAsia="標楷體" w:hAnsi="標楷體"/>
          <w:sz w:val="28"/>
          <w:szCs w:val="28"/>
        </w:rPr>
      </w:pPr>
      <w:r w:rsidRPr="001B6E4D">
        <w:rPr>
          <w:rFonts w:ascii="標楷體" w:eastAsia="標楷體" w:hAnsi="標楷體" w:hint="eastAsia"/>
          <w:sz w:val="28"/>
          <w:szCs w:val="28"/>
        </w:rPr>
        <w:t>(三)</w:t>
      </w:r>
      <w:proofErr w:type="gramStart"/>
      <w:r w:rsidRPr="001B6E4D">
        <w:rPr>
          <w:rFonts w:ascii="標楷體" w:eastAsia="標楷體" w:hAnsi="標楷體"/>
          <w:sz w:val="28"/>
          <w:szCs w:val="28"/>
        </w:rPr>
        <w:t>解繳</w:t>
      </w:r>
      <w:r w:rsidRPr="001B6E4D">
        <w:rPr>
          <w:rFonts w:ascii="標楷體" w:eastAsia="標楷體" w:hAnsi="標楷體" w:hint="eastAsia"/>
          <w:sz w:val="28"/>
          <w:szCs w:val="28"/>
        </w:rPr>
        <w:t>公</w:t>
      </w:r>
      <w:r w:rsidRPr="001B6E4D">
        <w:rPr>
          <w:rFonts w:ascii="標楷體" w:eastAsia="標楷體" w:hAnsi="標楷體"/>
          <w:sz w:val="28"/>
          <w:szCs w:val="28"/>
        </w:rPr>
        <w:t>庫</w:t>
      </w:r>
      <w:proofErr w:type="gramEnd"/>
      <w:r w:rsidRPr="001B6E4D">
        <w:rPr>
          <w:rFonts w:ascii="標楷體" w:eastAsia="標楷體" w:hAnsi="標楷體"/>
          <w:sz w:val="28"/>
          <w:szCs w:val="28"/>
        </w:rPr>
        <w:t>淨額：</w:t>
      </w:r>
      <w:proofErr w:type="gramStart"/>
      <w:r w:rsidRPr="001B6E4D">
        <w:rPr>
          <w:rFonts w:ascii="標楷體" w:eastAsia="標楷體" w:hAnsi="標楷體"/>
          <w:sz w:val="28"/>
          <w:szCs w:val="28"/>
        </w:rPr>
        <w:t>無列數</w:t>
      </w:r>
      <w:proofErr w:type="gramEnd"/>
      <w:r w:rsidRPr="001B6E4D">
        <w:rPr>
          <w:rFonts w:ascii="標楷體" w:eastAsia="標楷體" w:hAnsi="標楷體"/>
          <w:sz w:val="28"/>
          <w:szCs w:val="28"/>
        </w:rPr>
        <w:t>。</w:t>
      </w:r>
    </w:p>
    <w:p w14:paraId="15975095" w14:textId="77777777" w:rsidR="00201B77" w:rsidRPr="001B6E4D" w:rsidRDefault="00201B77" w:rsidP="003D1018">
      <w:pPr>
        <w:overflowPunct w:val="0"/>
        <w:adjustRightInd w:val="0"/>
        <w:snapToGrid w:val="0"/>
        <w:spacing w:line="380" w:lineRule="exact"/>
        <w:ind w:left="280" w:hangingChars="100" w:hanging="280"/>
        <w:jc w:val="both"/>
        <w:rPr>
          <w:rFonts w:ascii="標楷體" w:eastAsia="標楷體" w:hAnsi="標楷體"/>
          <w:sz w:val="28"/>
          <w:szCs w:val="28"/>
        </w:rPr>
      </w:pPr>
      <w:r w:rsidRPr="001B6E4D">
        <w:rPr>
          <w:rFonts w:ascii="標楷體" w:eastAsia="標楷體" w:hAnsi="標楷體" w:hint="eastAsia"/>
          <w:sz w:val="28"/>
          <w:szCs w:val="28"/>
        </w:rPr>
        <w:t>(四)</w:t>
      </w:r>
      <w:r w:rsidRPr="001B6E4D">
        <w:rPr>
          <w:rFonts w:ascii="標楷體" w:eastAsia="標楷體" w:hAnsi="標楷體"/>
          <w:sz w:val="28"/>
          <w:szCs w:val="28"/>
        </w:rPr>
        <w:t>轉投資計畫：</w:t>
      </w:r>
      <w:proofErr w:type="gramStart"/>
      <w:r w:rsidRPr="001B6E4D">
        <w:rPr>
          <w:rFonts w:ascii="標楷體" w:eastAsia="標楷體" w:hAnsi="標楷體"/>
          <w:sz w:val="28"/>
          <w:szCs w:val="28"/>
        </w:rPr>
        <w:t>無列數</w:t>
      </w:r>
      <w:proofErr w:type="gramEnd"/>
      <w:r w:rsidRPr="001B6E4D">
        <w:rPr>
          <w:rFonts w:ascii="標楷體" w:eastAsia="標楷體" w:hAnsi="標楷體"/>
          <w:sz w:val="28"/>
          <w:szCs w:val="28"/>
        </w:rPr>
        <w:t>。</w:t>
      </w:r>
    </w:p>
    <w:p w14:paraId="68FB0E29" w14:textId="77777777" w:rsidR="00201B77" w:rsidRPr="001B6E4D" w:rsidRDefault="00201B77" w:rsidP="003D1018">
      <w:pPr>
        <w:overflowPunct w:val="0"/>
        <w:adjustRightInd w:val="0"/>
        <w:snapToGrid w:val="0"/>
        <w:spacing w:line="380" w:lineRule="exact"/>
        <w:ind w:left="1319" w:hangingChars="471" w:hanging="1319"/>
        <w:jc w:val="both"/>
        <w:rPr>
          <w:rFonts w:ascii="標楷體" w:eastAsia="標楷體" w:hAnsi="標楷體"/>
          <w:sz w:val="28"/>
          <w:szCs w:val="28"/>
        </w:rPr>
      </w:pPr>
      <w:r w:rsidRPr="001B6E4D">
        <w:rPr>
          <w:rFonts w:ascii="標楷體" w:eastAsia="標楷體" w:hAnsi="標楷體" w:hint="eastAsia"/>
          <w:sz w:val="28"/>
          <w:szCs w:val="28"/>
        </w:rPr>
        <w:t>(</w:t>
      </w:r>
      <w:r w:rsidRPr="001B6E4D">
        <w:rPr>
          <w:rFonts w:ascii="標楷體" w:eastAsia="標楷體" w:hAnsi="標楷體"/>
          <w:sz w:val="28"/>
          <w:szCs w:val="28"/>
        </w:rPr>
        <w:t>五</w:t>
      </w:r>
      <w:r w:rsidRPr="001B6E4D">
        <w:rPr>
          <w:rFonts w:ascii="標楷體" w:eastAsia="標楷體" w:hAnsi="標楷體" w:hint="eastAsia"/>
          <w:sz w:val="28"/>
          <w:szCs w:val="28"/>
        </w:rPr>
        <w:t>)固定資產投資</w:t>
      </w:r>
      <w:r w:rsidRPr="001B6E4D">
        <w:rPr>
          <w:rFonts w:ascii="標楷體" w:eastAsia="標楷體" w:hAnsi="標楷體"/>
          <w:sz w:val="28"/>
          <w:szCs w:val="28"/>
        </w:rPr>
        <w:t>：</w:t>
      </w:r>
      <w:r w:rsidRPr="001B6E4D">
        <w:rPr>
          <w:rFonts w:ascii="標楷體" w:eastAsia="標楷體" w:hAnsi="標楷體" w:hint="eastAsia"/>
          <w:sz w:val="28"/>
          <w:szCs w:val="28"/>
        </w:rPr>
        <w:t>3,132萬元</w:t>
      </w:r>
      <w:r w:rsidRPr="001B6E4D">
        <w:rPr>
          <w:rFonts w:ascii="標楷體" w:eastAsia="標楷體" w:hAnsi="標楷體"/>
          <w:sz w:val="28"/>
          <w:szCs w:val="28"/>
        </w:rPr>
        <w:t>，</w:t>
      </w:r>
      <w:proofErr w:type="gramStart"/>
      <w:r w:rsidRPr="001B6E4D">
        <w:rPr>
          <w:rFonts w:ascii="標楷體" w:eastAsia="標楷體" w:hAnsi="標楷體"/>
          <w:sz w:val="28"/>
          <w:szCs w:val="28"/>
        </w:rPr>
        <w:t>照列</w:t>
      </w:r>
      <w:proofErr w:type="gramEnd"/>
      <w:r w:rsidRPr="001B6E4D">
        <w:rPr>
          <w:rFonts w:ascii="標楷體" w:eastAsia="標楷體" w:hAnsi="標楷體"/>
          <w:sz w:val="28"/>
          <w:szCs w:val="28"/>
        </w:rPr>
        <w:t>。</w:t>
      </w:r>
    </w:p>
    <w:p w14:paraId="025B3748" w14:textId="77777777" w:rsidR="00201B77" w:rsidRPr="001B6E4D" w:rsidRDefault="00201B77" w:rsidP="003D1018">
      <w:pPr>
        <w:overflowPunct w:val="0"/>
        <w:adjustRightInd w:val="0"/>
        <w:snapToGrid w:val="0"/>
        <w:spacing w:line="380" w:lineRule="exact"/>
        <w:ind w:left="1319" w:hangingChars="471" w:hanging="1319"/>
        <w:jc w:val="both"/>
        <w:rPr>
          <w:rFonts w:ascii="標楷體" w:eastAsia="標楷體" w:hAnsi="標楷體"/>
          <w:sz w:val="28"/>
          <w:szCs w:val="28"/>
        </w:rPr>
      </w:pPr>
      <w:r w:rsidRPr="001B6E4D">
        <w:rPr>
          <w:rFonts w:ascii="標楷體" w:eastAsia="標楷體" w:hAnsi="標楷體" w:hint="eastAsia"/>
          <w:sz w:val="28"/>
          <w:szCs w:val="28"/>
        </w:rPr>
        <w:t>(</w:t>
      </w:r>
      <w:r w:rsidRPr="001B6E4D">
        <w:rPr>
          <w:rFonts w:ascii="標楷體" w:eastAsia="標楷體" w:hAnsi="標楷體"/>
          <w:sz w:val="28"/>
          <w:szCs w:val="28"/>
        </w:rPr>
        <w:t>六</w:t>
      </w:r>
      <w:r w:rsidRPr="001B6E4D">
        <w:rPr>
          <w:rFonts w:ascii="標楷體" w:eastAsia="標楷體" w:hAnsi="標楷體" w:hint="eastAsia"/>
          <w:sz w:val="28"/>
          <w:szCs w:val="28"/>
        </w:rPr>
        <w:t>)</w:t>
      </w:r>
      <w:r w:rsidRPr="001B6E4D">
        <w:rPr>
          <w:rFonts w:ascii="標楷體" w:eastAsia="標楷體" w:hAnsi="標楷體"/>
          <w:sz w:val="28"/>
          <w:szCs w:val="28"/>
        </w:rPr>
        <w:t>國庫增撥基金額：</w:t>
      </w:r>
      <w:r w:rsidRPr="001B6E4D">
        <w:rPr>
          <w:rFonts w:ascii="標楷體" w:eastAsia="標楷體" w:hAnsi="標楷體" w:hint="eastAsia"/>
          <w:sz w:val="28"/>
          <w:szCs w:val="28"/>
        </w:rPr>
        <w:t>2,000萬元，</w:t>
      </w:r>
      <w:proofErr w:type="gramStart"/>
      <w:r w:rsidRPr="001B6E4D">
        <w:rPr>
          <w:rFonts w:ascii="標楷體" w:eastAsia="標楷體" w:hAnsi="標楷體" w:hint="eastAsia"/>
          <w:sz w:val="28"/>
          <w:szCs w:val="28"/>
        </w:rPr>
        <w:t>照列</w:t>
      </w:r>
      <w:proofErr w:type="gramEnd"/>
      <w:r w:rsidRPr="001B6E4D">
        <w:rPr>
          <w:rFonts w:ascii="標楷體" w:eastAsia="標楷體" w:hAnsi="標楷體"/>
          <w:sz w:val="28"/>
          <w:szCs w:val="28"/>
        </w:rPr>
        <w:t>。</w:t>
      </w:r>
    </w:p>
    <w:p w14:paraId="0064665B" w14:textId="77777777" w:rsidR="00201B77" w:rsidRPr="001B6E4D" w:rsidRDefault="00201B77" w:rsidP="003D1018">
      <w:pPr>
        <w:overflowPunct w:val="0"/>
        <w:spacing w:line="380" w:lineRule="exact"/>
        <w:ind w:leftChars="6" w:left="610" w:hangingChars="213" w:hanging="596"/>
        <w:rPr>
          <w:rFonts w:ascii="標楷體" w:eastAsia="標楷體" w:hAnsi="標楷體"/>
          <w:bCs/>
          <w:sz w:val="28"/>
          <w:szCs w:val="28"/>
        </w:rPr>
      </w:pPr>
      <w:r w:rsidRPr="001B6E4D">
        <w:rPr>
          <w:rFonts w:ascii="標楷體" w:eastAsia="標楷體" w:hAnsi="標楷體" w:hint="eastAsia"/>
          <w:bCs/>
          <w:sz w:val="28"/>
          <w:szCs w:val="28"/>
        </w:rPr>
        <w:t>(七)</w:t>
      </w:r>
      <w:r w:rsidRPr="001B6E4D">
        <w:rPr>
          <w:rFonts w:ascii="標楷體" w:eastAsia="標楷體" w:hAnsi="標楷體" w:hint="eastAsia"/>
          <w:b/>
          <w:sz w:val="28"/>
          <w:szCs w:val="28"/>
        </w:rPr>
        <w:t>通過決議2項：</w:t>
      </w:r>
    </w:p>
    <w:p w14:paraId="26B75015" w14:textId="77777777" w:rsidR="00201B77" w:rsidRPr="001B6E4D" w:rsidRDefault="00201B77" w:rsidP="003D1018">
      <w:pPr>
        <w:overflowPunct w:val="0"/>
        <w:spacing w:line="380" w:lineRule="exact"/>
        <w:ind w:leftChars="250" w:left="880" w:hangingChars="100" w:hanging="280"/>
        <w:jc w:val="both"/>
        <w:rPr>
          <w:rFonts w:ascii="標楷體" w:eastAsia="標楷體" w:hAnsi="標楷體"/>
          <w:sz w:val="28"/>
          <w:szCs w:val="28"/>
        </w:rPr>
      </w:pPr>
      <w:r w:rsidRPr="001B6E4D">
        <w:rPr>
          <w:rFonts w:ascii="標楷體" w:eastAsia="標楷體" w:hAnsi="標楷體" w:hint="eastAsia"/>
          <w:sz w:val="28"/>
          <w:szCs w:val="28"/>
        </w:rPr>
        <w:t>1.財團法人法律扶助基金會</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年度預算書案於「業務成本與費用」項下「法律扶助成本」編列9億4,193萬6千元，凍結6,000萬元，</w:t>
      </w:r>
      <w:proofErr w:type="gramStart"/>
      <w:r w:rsidRPr="001B6E4D">
        <w:rPr>
          <w:rFonts w:ascii="標楷體" w:eastAsia="標楷體" w:hAnsi="標楷體" w:hint="eastAsia"/>
          <w:sz w:val="28"/>
          <w:szCs w:val="28"/>
        </w:rPr>
        <w:t>俟</w:t>
      </w:r>
      <w:proofErr w:type="gramEnd"/>
      <w:r w:rsidRPr="001B6E4D">
        <w:rPr>
          <w:rFonts w:ascii="標楷體" w:eastAsia="標楷體" w:hAnsi="標楷體" w:hint="eastAsia"/>
          <w:sz w:val="28"/>
          <w:szCs w:val="28"/>
        </w:rPr>
        <w:t>向立法院司法及法制委員會提出書面報告後，始得動支。【1、2】</w:t>
      </w:r>
    </w:p>
    <w:p w14:paraId="618807BE"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bookmarkStart w:id="494" w:name="_Hlk230030085"/>
      <w:r w:rsidRPr="001B6E4D">
        <w:rPr>
          <w:rFonts w:ascii="標楷體" w:eastAsia="標楷體" w:hAnsi="標楷體"/>
          <w:color w:val="000000"/>
          <w:sz w:val="28"/>
          <w:szCs w:val="28"/>
        </w:rPr>
        <w:t>提案人：許宇</w:t>
      </w:r>
      <w:proofErr w:type="gramStart"/>
      <w:r w:rsidRPr="001B6E4D">
        <w:rPr>
          <w:rFonts w:ascii="標楷體" w:eastAsia="標楷體" w:hAnsi="標楷體"/>
          <w:color w:val="000000"/>
          <w:sz w:val="28"/>
          <w:szCs w:val="28"/>
        </w:rPr>
        <w:t>甄</w:t>
      </w:r>
      <w:proofErr w:type="gramEnd"/>
    </w:p>
    <w:p w14:paraId="3A9DF6F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bookmarkEnd w:id="494"/>
    <w:p w14:paraId="59182DA2" w14:textId="77777777" w:rsidR="00201B77" w:rsidRPr="001B6E4D" w:rsidRDefault="00201B77" w:rsidP="003D1018">
      <w:pPr>
        <w:overflowPunct w:val="0"/>
        <w:spacing w:line="380" w:lineRule="exact"/>
        <w:ind w:leftChars="250" w:left="880" w:hangingChars="100" w:hanging="280"/>
        <w:jc w:val="both"/>
        <w:rPr>
          <w:rFonts w:ascii="標楷體" w:eastAsia="標楷體" w:hAnsi="標楷體"/>
          <w:sz w:val="28"/>
          <w:szCs w:val="28"/>
        </w:rPr>
      </w:pPr>
      <w:r w:rsidRPr="001B6E4D">
        <w:rPr>
          <w:rFonts w:ascii="標楷體" w:eastAsia="標楷體" w:hAnsi="標楷體" w:hint="eastAsia"/>
          <w:sz w:val="28"/>
          <w:szCs w:val="28"/>
        </w:rPr>
        <w:t>2.財團法人法律扶助基金會</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年度預算書案於</w:t>
      </w:r>
      <w:bookmarkStart w:id="495" w:name="_Hlk230029852"/>
      <w:r w:rsidRPr="001B6E4D">
        <w:rPr>
          <w:rFonts w:ascii="標楷體" w:eastAsia="標楷體" w:hAnsi="標楷體" w:hint="eastAsia"/>
          <w:sz w:val="28"/>
          <w:szCs w:val="28"/>
        </w:rPr>
        <w:t>「業務成本與費用」項下「業務成本」</w:t>
      </w:r>
      <w:bookmarkEnd w:id="495"/>
      <w:r w:rsidRPr="001B6E4D">
        <w:rPr>
          <w:rFonts w:ascii="標楷體" w:eastAsia="標楷體" w:hAnsi="標楷體" w:hint="eastAsia"/>
          <w:sz w:val="28"/>
          <w:szCs w:val="28"/>
        </w:rPr>
        <w:t>編列3億7,121萬8千元，凍結3,712萬2千元，</w:t>
      </w:r>
      <w:proofErr w:type="gramStart"/>
      <w:r w:rsidRPr="001B6E4D">
        <w:rPr>
          <w:rFonts w:ascii="標楷體" w:eastAsia="標楷體" w:hAnsi="標楷體" w:hint="eastAsia"/>
          <w:sz w:val="28"/>
          <w:szCs w:val="28"/>
        </w:rPr>
        <w:t>俟</w:t>
      </w:r>
      <w:proofErr w:type="gramEnd"/>
      <w:r w:rsidRPr="001B6E4D">
        <w:rPr>
          <w:rFonts w:ascii="標楷體" w:eastAsia="標楷體" w:hAnsi="標楷體" w:hint="eastAsia"/>
          <w:sz w:val="28"/>
          <w:szCs w:val="28"/>
        </w:rPr>
        <w:t>向立法院司法及法制委員會提出書面報告後，始得動支。【3-6】</w:t>
      </w:r>
    </w:p>
    <w:p w14:paraId="0F9B79C5"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提案人：翁曉玲　許宇</w:t>
      </w:r>
      <w:proofErr w:type="gramStart"/>
      <w:r w:rsidRPr="001B6E4D">
        <w:rPr>
          <w:rFonts w:ascii="標楷體" w:eastAsia="標楷體" w:hAnsi="標楷體"/>
          <w:color w:val="000000"/>
          <w:sz w:val="28"/>
          <w:szCs w:val="28"/>
        </w:rPr>
        <w:t>甄</w:t>
      </w:r>
      <w:proofErr w:type="gramEnd"/>
    </w:p>
    <w:p w14:paraId="5A9B2CD8"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r w:rsidRPr="001B6E4D">
        <w:rPr>
          <w:rFonts w:ascii="標楷體" w:eastAsia="標楷體" w:hAnsi="標楷體" w:hint="eastAsia"/>
          <w:color w:val="000000"/>
          <w:sz w:val="28"/>
          <w:szCs w:val="28"/>
        </w:rPr>
        <w:t xml:space="preserve">陳昭姿　</w:t>
      </w:r>
      <w:r w:rsidRPr="001B6E4D">
        <w:rPr>
          <w:rFonts w:ascii="標楷體" w:eastAsia="標楷體" w:hAnsi="標楷體"/>
          <w:color w:val="000000"/>
          <w:sz w:val="28"/>
          <w:szCs w:val="28"/>
        </w:rPr>
        <w:t>林沛祥</w:t>
      </w:r>
    </w:p>
    <w:p w14:paraId="0E142FBE" w14:textId="77777777" w:rsidR="00201B77" w:rsidRPr="001B6E4D" w:rsidRDefault="00201B77" w:rsidP="003D1018">
      <w:pPr>
        <w:overflowPunct w:val="0"/>
        <w:adjustRightInd w:val="0"/>
        <w:snapToGrid w:val="0"/>
        <w:spacing w:line="380" w:lineRule="exact"/>
        <w:ind w:leftChars="1" w:left="563" w:hangingChars="200" w:hanging="561"/>
        <w:jc w:val="both"/>
        <w:rPr>
          <w:rFonts w:ascii="標楷體" w:eastAsia="標楷體" w:hAnsi="標楷體"/>
          <w:b/>
          <w:bCs/>
          <w:sz w:val="28"/>
          <w:szCs w:val="28"/>
        </w:rPr>
      </w:pPr>
      <w:r w:rsidRPr="001B6E4D">
        <w:rPr>
          <w:rFonts w:ascii="標楷體" w:eastAsia="標楷體" w:hAnsi="標楷體" w:hint="eastAsia"/>
          <w:b/>
          <w:bCs/>
          <w:sz w:val="28"/>
          <w:szCs w:val="28"/>
        </w:rPr>
        <w:t>(八)本案</w:t>
      </w:r>
      <w:r w:rsidRPr="001B6E4D">
        <w:rPr>
          <w:rFonts w:ascii="標楷體" w:eastAsia="標楷體" w:hAnsi="標楷體"/>
          <w:b/>
          <w:bCs/>
          <w:sz w:val="28"/>
          <w:szCs w:val="28"/>
        </w:rPr>
        <w:t>審查完竣，</w:t>
      </w:r>
      <w:r w:rsidRPr="001B6E4D">
        <w:rPr>
          <w:rFonts w:ascii="標楷體" w:eastAsia="標楷體" w:hAnsi="標楷體" w:hint="eastAsia"/>
          <w:b/>
          <w:bCs/>
          <w:sz w:val="28"/>
          <w:szCs w:val="28"/>
        </w:rPr>
        <w:t>擬具審查報告，</w:t>
      </w:r>
      <w:r w:rsidRPr="001B6E4D">
        <w:rPr>
          <w:rFonts w:ascii="標楷體" w:eastAsia="標楷體" w:hAnsi="標楷體"/>
          <w:b/>
          <w:bCs/>
          <w:sz w:val="28"/>
          <w:szCs w:val="28"/>
        </w:rPr>
        <w:t>提</w:t>
      </w:r>
      <w:r w:rsidRPr="001B6E4D">
        <w:rPr>
          <w:rFonts w:ascii="標楷體" w:eastAsia="標楷體" w:hAnsi="標楷體" w:hint="eastAsia"/>
          <w:b/>
          <w:bCs/>
          <w:sz w:val="28"/>
          <w:szCs w:val="28"/>
        </w:rPr>
        <w:t>請</w:t>
      </w:r>
      <w:r w:rsidRPr="001B6E4D">
        <w:rPr>
          <w:rFonts w:ascii="標楷體" w:eastAsia="標楷體" w:hAnsi="標楷體"/>
          <w:b/>
          <w:bCs/>
          <w:sz w:val="28"/>
          <w:szCs w:val="28"/>
        </w:rPr>
        <w:t>院會</w:t>
      </w:r>
      <w:r w:rsidRPr="001B6E4D">
        <w:rPr>
          <w:rFonts w:ascii="標楷體" w:eastAsia="標楷體" w:hAnsi="標楷體" w:hint="eastAsia"/>
          <w:b/>
          <w:bCs/>
          <w:sz w:val="28"/>
          <w:szCs w:val="28"/>
        </w:rPr>
        <w:t>公決，</w:t>
      </w:r>
      <w:r w:rsidRPr="001B6E4D">
        <w:rPr>
          <w:rFonts w:ascii="標楷體" w:eastAsia="標楷體" w:hAnsi="標楷體"/>
          <w:b/>
          <w:bCs/>
          <w:sz w:val="28"/>
          <w:szCs w:val="28"/>
        </w:rPr>
        <w:t>院會討論</w:t>
      </w:r>
      <w:r w:rsidRPr="001B6E4D">
        <w:rPr>
          <w:rFonts w:ascii="標楷體" w:eastAsia="標楷體" w:hAnsi="標楷體" w:hint="eastAsia"/>
          <w:b/>
          <w:bCs/>
          <w:sz w:val="28"/>
          <w:szCs w:val="28"/>
        </w:rPr>
        <w:t>前，不</w:t>
      </w:r>
      <w:r w:rsidRPr="001B6E4D">
        <w:rPr>
          <w:rFonts w:ascii="標楷體" w:eastAsia="標楷體" w:hAnsi="標楷體"/>
          <w:b/>
          <w:bCs/>
          <w:sz w:val="28"/>
          <w:szCs w:val="28"/>
        </w:rPr>
        <w:t>須交由黨團協商</w:t>
      </w:r>
      <w:r w:rsidRPr="001B6E4D">
        <w:rPr>
          <w:rFonts w:ascii="標楷體" w:eastAsia="標楷體" w:hAnsi="標楷體" w:hint="eastAsia"/>
          <w:b/>
          <w:bCs/>
          <w:sz w:val="28"/>
          <w:szCs w:val="28"/>
        </w:rPr>
        <w:t>；院會討論時，由莊召集委員瑞雄出席說明</w:t>
      </w:r>
      <w:r w:rsidRPr="001B6E4D">
        <w:rPr>
          <w:rFonts w:ascii="標楷體" w:eastAsia="標楷體" w:hAnsi="標楷體"/>
          <w:b/>
          <w:bCs/>
          <w:sz w:val="28"/>
          <w:szCs w:val="28"/>
        </w:rPr>
        <w:t>。</w:t>
      </w:r>
    </w:p>
    <w:p w14:paraId="37783443" w14:textId="77777777" w:rsidR="00201B77" w:rsidRPr="001B6E4D" w:rsidRDefault="00201B77" w:rsidP="003D1018">
      <w:pPr>
        <w:pStyle w:val="afffff8"/>
        <w:overflowPunct w:val="0"/>
        <w:spacing w:beforeLines="30" w:before="108" w:line="410" w:lineRule="exact"/>
        <w:ind w:left="561" w:hanging="561"/>
        <w:jc w:val="both"/>
        <w:rPr>
          <w:rFonts w:ascii="標楷體" w:hAnsi="標楷體"/>
          <w:b/>
          <w:bCs/>
          <w:sz w:val="28"/>
          <w:szCs w:val="28"/>
        </w:rPr>
      </w:pPr>
      <w:r w:rsidRPr="001B6E4D">
        <w:rPr>
          <w:rFonts w:ascii="標楷體" w:hAnsi="標楷體" w:hint="eastAsia"/>
          <w:b/>
          <w:bCs/>
          <w:sz w:val="28"/>
          <w:szCs w:val="28"/>
        </w:rPr>
        <w:t>5月20日（星期三）</w:t>
      </w:r>
    </w:p>
    <w:p w14:paraId="1979B693" w14:textId="77777777" w:rsidR="00201B77" w:rsidRPr="001B6E4D" w:rsidRDefault="00201B77" w:rsidP="003D1018">
      <w:pPr>
        <w:pStyle w:val="afffff6"/>
        <w:overflowPunct w:val="0"/>
        <w:spacing w:beforeLines="30" w:before="108" w:line="410" w:lineRule="exact"/>
        <w:ind w:leftChars="0" w:left="0" w:rightChars="0" w:right="0" w:firstLineChars="398" w:firstLine="1115"/>
        <w:jc w:val="both"/>
        <w:rPr>
          <w:rFonts w:ascii="標楷體" w:hAnsi="標楷體"/>
          <w:b/>
          <w:sz w:val="28"/>
          <w:szCs w:val="28"/>
        </w:rPr>
      </w:pPr>
      <w:r w:rsidRPr="001B6E4D">
        <w:rPr>
          <w:rFonts w:ascii="標楷體" w:hAnsi="標楷體" w:hint="eastAsia"/>
          <w:b/>
          <w:sz w:val="28"/>
          <w:szCs w:val="28"/>
        </w:rPr>
        <w:t>討論事項</w:t>
      </w:r>
    </w:p>
    <w:p w14:paraId="6D5DDCC6" w14:textId="77777777" w:rsidR="00201B77" w:rsidRPr="001B6E4D" w:rsidRDefault="00201B77" w:rsidP="003D1018">
      <w:pPr>
        <w:pStyle w:val="Default"/>
        <w:overflowPunct w:val="0"/>
        <w:spacing w:line="360" w:lineRule="exact"/>
        <w:ind w:left="560" w:hangingChars="200" w:hanging="560"/>
        <w:jc w:val="both"/>
        <w:rPr>
          <w:rFonts w:ascii="標楷體" w:eastAsia="標楷體" w:hAnsi="標楷體"/>
          <w:color w:val="000000" w:themeColor="text1"/>
          <w:sz w:val="28"/>
          <w:szCs w:val="28"/>
        </w:rPr>
      </w:pPr>
      <w:r w:rsidRPr="001B6E4D">
        <w:rPr>
          <w:rFonts w:ascii="標楷體" w:eastAsia="標楷體" w:hAnsi="標楷體"/>
          <w:color w:val="000000" w:themeColor="text1"/>
          <w:sz w:val="28"/>
          <w:szCs w:val="28"/>
        </w:rPr>
        <w:t>一、</w:t>
      </w:r>
      <w:r w:rsidRPr="001B6E4D">
        <w:rPr>
          <w:rFonts w:ascii="標楷體" w:eastAsia="標楷體" w:hAnsi="標楷體"/>
          <w:color w:val="000000" w:themeColor="text1"/>
          <w:spacing w:val="-2"/>
          <w:sz w:val="28"/>
          <w:szCs w:val="28"/>
        </w:rPr>
        <w:t>繼續審查</w:t>
      </w:r>
      <w:proofErr w:type="gramStart"/>
      <w:r w:rsidRPr="001B6E4D">
        <w:rPr>
          <w:rFonts w:ascii="標楷體" w:eastAsia="標楷體" w:hAnsi="標楷體"/>
          <w:color w:val="000000" w:themeColor="text1"/>
          <w:spacing w:val="-2"/>
          <w:sz w:val="28"/>
          <w:szCs w:val="28"/>
        </w:rPr>
        <w:t>11</w:t>
      </w:r>
      <w:r w:rsidRPr="001B6E4D">
        <w:rPr>
          <w:rFonts w:ascii="標楷體" w:eastAsia="標楷體" w:hAnsi="標楷體" w:hint="eastAsia"/>
          <w:color w:val="000000" w:themeColor="text1"/>
          <w:spacing w:val="-2"/>
          <w:sz w:val="28"/>
          <w:szCs w:val="28"/>
        </w:rPr>
        <w:t>5</w:t>
      </w:r>
      <w:proofErr w:type="gramEnd"/>
      <w:r w:rsidRPr="001B6E4D">
        <w:rPr>
          <w:rFonts w:ascii="標楷體" w:eastAsia="標楷體" w:hAnsi="標楷體"/>
          <w:color w:val="000000" w:themeColor="text1"/>
          <w:spacing w:val="-2"/>
          <w:sz w:val="28"/>
          <w:szCs w:val="28"/>
        </w:rPr>
        <w:t>年度中央政府總預算案關於行政院人事行政總處及所屬主管收支部分</w:t>
      </w:r>
      <w:r w:rsidRPr="001B6E4D">
        <w:rPr>
          <w:rFonts w:ascii="標楷體" w:eastAsia="標楷體" w:hAnsi="標楷體"/>
          <w:color w:val="000000" w:themeColor="text1"/>
          <w:sz w:val="28"/>
          <w:szCs w:val="28"/>
        </w:rPr>
        <w:t>。</w:t>
      </w:r>
    </w:p>
    <w:p w14:paraId="44EB7AAF" w14:textId="77777777" w:rsidR="00201B77" w:rsidRPr="001B6E4D" w:rsidRDefault="00201B77" w:rsidP="003D1018">
      <w:pPr>
        <w:pStyle w:val="Default"/>
        <w:overflowPunct w:val="0"/>
        <w:spacing w:line="360" w:lineRule="exact"/>
        <w:ind w:left="560" w:hangingChars="200" w:hanging="560"/>
        <w:jc w:val="both"/>
        <w:rPr>
          <w:rFonts w:ascii="標楷體" w:eastAsia="標楷體" w:hAnsi="標楷體"/>
          <w:color w:val="000000" w:themeColor="text1"/>
          <w:sz w:val="28"/>
          <w:szCs w:val="28"/>
        </w:rPr>
      </w:pPr>
      <w:r w:rsidRPr="001B6E4D">
        <w:rPr>
          <w:rFonts w:ascii="標楷體" w:eastAsia="標楷體" w:hAnsi="標楷體"/>
          <w:color w:val="000000" w:themeColor="text1"/>
          <w:sz w:val="28"/>
          <w:szCs w:val="28"/>
        </w:rPr>
        <w:t>二、</w:t>
      </w:r>
      <w:r w:rsidRPr="001B6E4D">
        <w:rPr>
          <w:rFonts w:ascii="標楷體" w:eastAsia="標楷體" w:hAnsi="標楷體"/>
          <w:color w:val="000000" w:themeColor="text1"/>
          <w:spacing w:val="-2"/>
          <w:sz w:val="28"/>
          <w:szCs w:val="28"/>
        </w:rPr>
        <w:t>繼續審查</w:t>
      </w:r>
      <w:proofErr w:type="gramStart"/>
      <w:r w:rsidRPr="001B6E4D">
        <w:rPr>
          <w:rFonts w:ascii="標楷體" w:eastAsia="標楷體" w:hAnsi="標楷體"/>
          <w:color w:val="000000" w:themeColor="text1"/>
          <w:spacing w:val="-2"/>
          <w:sz w:val="28"/>
          <w:szCs w:val="28"/>
        </w:rPr>
        <w:t>11</w:t>
      </w:r>
      <w:r w:rsidRPr="001B6E4D">
        <w:rPr>
          <w:rFonts w:ascii="標楷體" w:eastAsia="標楷體" w:hAnsi="標楷體" w:hint="eastAsia"/>
          <w:color w:val="000000" w:themeColor="text1"/>
          <w:spacing w:val="-2"/>
          <w:sz w:val="28"/>
          <w:szCs w:val="28"/>
        </w:rPr>
        <w:t>5</w:t>
      </w:r>
      <w:proofErr w:type="gramEnd"/>
      <w:r w:rsidRPr="001B6E4D">
        <w:rPr>
          <w:rFonts w:ascii="標楷體" w:eastAsia="標楷體" w:hAnsi="標楷體"/>
          <w:color w:val="000000" w:themeColor="text1"/>
          <w:spacing w:val="-2"/>
          <w:sz w:val="28"/>
          <w:szCs w:val="28"/>
        </w:rPr>
        <w:t>年度中央政府總預算案附屬單位預算非營業部分關於行政院人事行政總處主管「中央公教人員急難救助基金」收支部分。</w:t>
      </w:r>
    </w:p>
    <w:p w14:paraId="18CE7500" w14:textId="77777777" w:rsidR="00201B77" w:rsidRPr="001B6E4D" w:rsidRDefault="00201B77" w:rsidP="003D1018">
      <w:pPr>
        <w:pStyle w:val="Default"/>
        <w:overflowPunct w:val="0"/>
        <w:spacing w:line="360" w:lineRule="exact"/>
        <w:rPr>
          <w:rFonts w:ascii="標楷體" w:eastAsia="標楷體" w:hAnsi="標楷體"/>
          <w:sz w:val="28"/>
          <w:szCs w:val="28"/>
        </w:rPr>
      </w:pPr>
      <w:r w:rsidRPr="001B6E4D">
        <w:rPr>
          <w:rFonts w:ascii="標楷體" w:eastAsia="標楷體" w:hAnsi="標楷體" w:hint="eastAsia"/>
          <w:sz w:val="28"/>
          <w:szCs w:val="28"/>
        </w:rPr>
        <w:t>決議：</w:t>
      </w:r>
    </w:p>
    <w:p w14:paraId="436B4A48" w14:textId="77777777" w:rsidR="00201B77" w:rsidRPr="001B6E4D" w:rsidRDefault="00201B77" w:rsidP="003D1018">
      <w:pPr>
        <w:overflowPunct w:val="0"/>
        <w:spacing w:line="400" w:lineRule="exact"/>
        <w:ind w:left="537" w:hangingChars="200" w:hanging="537"/>
        <w:contextualSpacing/>
        <w:jc w:val="both"/>
        <w:rPr>
          <w:rFonts w:ascii="標楷體" w:eastAsia="標楷體" w:hAnsi="標楷體"/>
          <w:sz w:val="28"/>
          <w:szCs w:val="28"/>
        </w:rPr>
      </w:pPr>
      <w:r w:rsidRPr="001B6E4D">
        <w:rPr>
          <w:rFonts w:ascii="標楷體" w:eastAsia="標楷體" w:hAnsi="標楷體" w:hint="eastAsia"/>
          <w:b/>
          <w:spacing w:val="-6"/>
          <w:sz w:val="28"/>
          <w:szCs w:val="28"/>
        </w:rPr>
        <w:t>一、</w:t>
      </w:r>
      <w:bookmarkStart w:id="496" w:name="_Hlk20681751"/>
      <w:proofErr w:type="gramStart"/>
      <w:r w:rsidRPr="001B6E4D">
        <w:rPr>
          <w:rFonts w:ascii="標楷體" w:eastAsia="標楷體" w:hAnsi="標楷體" w:hint="eastAsia"/>
          <w:b/>
          <w:spacing w:val="-6"/>
          <w:sz w:val="28"/>
          <w:szCs w:val="28"/>
        </w:rPr>
        <w:t>1</w:t>
      </w:r>
      <w:r w:rsidRPr="001B6E4D">
        <w:rPr>
          <w:rFonts w:ascii="標楷體" w:eastAsia="標楷體" w:hAnsi="標楷體"/>
          <w:b/>
          <w:spacing w:val="-6"/>
          <w:sz w:val="28"/>
          <w:szCs w:val="28"/>
        </w:rPr>
        <w:t>1</w:t>
      </w:r>
      <w:r w:rsidRPr="001B6E4D">
        <w:rPr>
          <w:rFonts w:ascii="標楷體" w:eastAsia="標楷體" w:hAnsi="標楷體" w:hint="eastAsia"/>
          <w:b/>
          <w:spacing w:val="-6"/>
          <w:sz w:val="28"/>
          <w:szCs w:val="28"/>
        </w:rPr>
        <w:t>5</w:t>
      </w:r>
      <w:proofErr w:type="gramEnd"/>
      <w:r w:rsidRPr="001B6E4D">
        <w:rPr>
          <w:rFonts w:ascii="標楷體" w:eastAsia="標楷體" w:hAnsi="標楷體" w:hint="eastAsia"/>
          <w:b/>
          <w:spacing w:val="-6"/>
          <w:sz w:val="28"/>
          <w:szCs w:val="28"/>
        </w:rPr>
        <w:t>年度中央政府總預算案關於行政院人事行政總處及所屬主管收支部分</w:t>
      </w:r>
      <w:bookmarkEnd w:id="496"/>
      <w:r w:rsidRPr="001B6E4D">
        <w:rPr>
          <w:rFonts w:ascii="標楷體" w:eastAsia="標楷體" w:hAnsi="標楷體" w:hint="eastAsia"/>
          <w:b/>
          <w:spacing w:val="-6"/>
          <w:sz w:val="28"/>
          <w:szCs w:val="28"/>
        </w:rPr>
        <w:t>：</w:t>
      </w:r>
    </w:p>
    <w:p w14:paraId="060D785D" w14:textId="77777777" w:rsidR="00201B77" w:rsidRPr="001B6E4D" w:rsidRDefault="00201B77" w:rsidP="003D1018">
      <w:pPr>
        <w:overflowPunct w:val="0"/>
        <w:snapToGrid w:val="0"/>
        <w:rPr>
          <w:rFonts w:ascii="標楷體" w:eastAsia="標楷體" w:hAnsi="標楷體"/>
          <w:sz w:val="28"/>
          <w:szCs w:val="28"/>
        </w:rPr>
      </w:pPr>
      <w:r w:rsidRPr="001B6E4D">
        <w:rPr>
          <w:rFonts w:ascii="標楷體" w:eastAsia="標楷體" w:hAnsi="標楷體" w:hint="eastAsia"/>
          <w:b/>
          <w:color w:val="000000" w:themeColor="text1"/>
          <w:sz w:val="28"/>
          <w:szCs w:val="28"/>
        </w:rPr>
        <w:t>（一）</w:t>
      </w:r>
      <w:r w:rsidRPr="001B6E4D">
        <w:rPr>
          <w:rFonts w:ascii="標楷體" w:eastAsia="標楷體" w:hAnsi="標楷體"/>
          <w:b/>
          <w:color w:val="000000" w:themeColor="text1"/>
          <w:sz w:val="28"/>
          <w:szCs w:val="28"/>
        </w:rPr>
        <w:t>歲入部分</w:t>
      </w:r>
    </w:p>
    <w:p w14:paraId="4DCF30D8" w14:textId="77777777" w:rsidR="00201B77" w:rsidRPr="001B6E4D" w:rsidRDefault="00201B77"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第2款 罰款及賠償收入</w:t>
      </w:r>
    </w:p>
    <w:p w14:paraId="2091BCF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第7項 人事行政總處，</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120C0CAE"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第8項 公務人力發展學院，</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734F2FB9" w14:textId="77777777" w:rsidR="00201B77" w:rsidRPr="001B6E4D" w:rsidRDefault="00201B77"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第4款 財產收入</w:t>
      </w:r>
    </w:p>
    <w:p w14:paraId="3FE6B51B"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第8項 人事行政總處32萬2千元，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0BEB20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第9項 公務人力發展學院3,899萬9千元，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EC0EC51" w14:textId="77777777" w:rsidR="00201B77" w:rsidRPr="001B6E4D" w:rsidRDefault="00201B77"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第7款 其他收入</w:t>
      </w:r>
    </w:p>
    <w:p w14:paraId="4A36D297"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第8項 人事行政總處8萬7千元，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439CBBD"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第9項 公務人力發展學院22萬元，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849E62E" w14:textId="77777777" w:rsidR="00201B77" w:rsidRPr="001B6E4D" w:rsidRDefault="00201B77" w:rsidP="003D1018">
      <w:pPr>
        <w:overflowPunct w:val="0"/>
        <w:snapToGrid w:val="0"/>
        <w:rPr>
          <w:rFonts w:ascii="標楷體" w:eastAsia="標楷體" w:hAnsi="標楷體"/>
          <w:sz w:val="28"/>
          <w:szCs w:val="28"/>
        </w:rPr>
      </w:pPr>
      <w:r w:rsidRPr="001B6E4D">
        <w:rPr>
          <w:rFonts w:ascii="標楷體" w:eastAsia="標楷體" w:hAnsi="標楷體" w:hint="eastAsia"/>
          <w:b/>
          <w:color w:val="000000" w:themeColor="text1"/>
          <w:sz w:val="28"/>
          <w:szCs w:val="28"/>
        </w:rPr>
        <w:t>（二）</w:t>
      </w:r>
      <w:r w:rsidRPr="001B6E4D">
        <w:rPr>
          <w:rFonts w:ascii="標楷體" w:eastAsia="標楷體" w:hAnsi="標楷體"/>
          <w:b/>
          <w:color w:val="000000" w:themeColor="text1"/>
          <w:sz w:val="28"/>
          <w:szCs w:val="28"/>
        </w:rPr>
        <w:t>歲出部分</w:t>
      </w:r>
    </w:p>
    <w:p w14:paraId="3610485B" w14:textId="77777777" w:rsidR="00201B77" w:rsidRPr="001B6E4D" w:rsidRDefault="00201B77"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第2款 行政院主管</w:t>
      </w:r>
    </w:p>
    <w:p w14:paraId="29B49623"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第3項 人事行政總處</w:t>
      </w:r>
      <w:r w:rsidRPr="001B6E4D">
        <w:rPr>
          <w:rFonts w:ascii="標楷體" w:eastAsia="標楷體" w:hAnsi="標楷體" w:hint="eastAsia"/>
          <w:color w:val="000000"/>
          <w:sz w:val="28"/>
          <w:szCs w:val="28"/>
        </w:rPr>
        <w:t>原列</w:t>
      </w:r>
      <w:r w:rsidRPr="001B6E4D">
        <w:rPr>
          <w:rFonts w:ascii="標楷體" w:eastAsia="標楷體" w:hAnsi="標楷體"/>
          <w:color w:val="000000"/>
          <w:sz w:val="28"/>
          <w:szCs w:val="28"/>
        </w:rPr>
        <w:t>23億9,171萬5千元，</w:t>
      </w:r>
      <w:r w:rsidRPr="001B6E4D">
        <w:rPr>
          <w:rFonts w:ascii="標楷體" w:eastAsia="標楷體" w:hAnsi="標楷體" w:hint="eastAsia"/>
          <w:color w:val="000000"/>
          <w:sz w:val="28"/>
          <w:szCs w:val="28"/>
        </w:rPr>
        <w:t>減列：</w:t>
      </w:r>
    </w:p>
    <w:p w14:paraId="0FF096B5"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proofErr w:type="gramStart"/>
      <w:r w:rsidRPr="001B6E4D">
        <w:rPr>
          <w:rFonts w:ascii="標楷體" w:eastAsia="標楷體" w:hAnsi="標楷體" w:hint="eastAsia"/>
          <w:color w:val="000000"/>
          <w:sz w:val="28"/>
          <w:szCs w:val="28"/>
        </w:rPr>
        <w:t>一</w:t>
      </w:r>
      <w:proofErr w:type="gramEnd"/>
      <w:r w:rsidRPr="001B6E4D">
        <w:rPr>
          <w:rFonts w:ascii="標楷體" w:eastAsia="標楷體" w:hAnsi="標楷體" w:hint="eastAsia"/>
          <w:color w:val="000000"/>
          <w:sz w:val="28"/>
          <w:szCs w:val="28"/>
        </w:rPr>
        <w:t>)「業務費」100萬元(科目自行調整)</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【2、3】</w:t>
      </w:r>
    </w:p>
    <w:p w14:paraId="1BD25700" w14:textId="77777777" w:rsidR="00201B77" w:rsidRPr="001B6E4D" w:rsidRDefault="00201B77" w:rsidP="003D1018">
      <w:pPr>
        <w:overflowPunct w:val="0"/>
        <w:snapToGrid w:val="0"/>
        <w:ind w:leftChars="150" w:left="1900" w:hangingChars="550" w:hanging="15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(二)第2目</w:t>
      </w:r>
      <w:r w:rsidRPr="001B6E4D">
        <w:rPr>
          <w:rFonts w:ascii="標楷體" w:eastAsia="標楷體" w:hAnsi="標楷體"/>
          <w:color w:val="000000"/>
          <w:sz w:val="28"/>
          <w:szCs w:val="28"/>
        </w:rPr>
        <w:t>「人事行政之政策規劃執行及發展」50</w:t>
      </w:r>
      <w:r w:rsidRPr="001B6E4D">
        <w:rPr>
          <w:rFonts w:ascii="標楷體" w:eastAsia="標楷體" w:hAnsi="標楷體" w:hint="eastAsia"/>
          <w:color w:val="000000"/>
          <w:sz w:val="28"/>
          <w:szCs w:val="28"/>
        </w:rPr>
        <w:t>萬元(科目自行調整)</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【20】</w:t>
      </w:r>
    </w:p>
    <w:p w14:paraId="6F606C25" w14:textId="77777777" w:rsidR="00201B77" w:rsidRPr="001B6E4D" w:rsidRDefault="00201B77" w:rsidP="003D1018">
      <w:pPr>
        <w:overflowPunct w:val="0"/>
        <w:snapToGrid w:val="0"/>
        <w:ind w:leftChars="150" w:left="1900" w:hangingChars="550" w:hanging="15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(三)第2目</w:t>
      </w:r>
      <w:r w:rsidRPr="001B6E4D">
        <w:rPr>
          <w:rFonts w:ascii="標楷體" w:eastAsia="標楷體" w:hAnsi="標楷體"/>
          <w:color w:val="000000"/>
          <w:sz w:val="28"/>
          <w:szCs w:val="28"/>
        </w:rPr>
        <w:t>「人事行政之政策規劃執行及發展」</w:t>
      </w:r>
      <w:r w:rsidRPr="001B6E4D">
        <w:rPr>
          <w:rFonts w:ascii="標楷體" w:eastAsia="標楷體" w:hAnsi="標楷體" w:hint="eastAsia"/>
          <w:color w:val="000000"/>
          <w:sz w:val="28"/>
          <w:szCs w:val="28"/>
        </w:rPr>
        <w:t>項下「公務人員培訓與考用」中「業務費」之「教育訓練費」50萬元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【22】</w:t>
      </w:r>
    </w:p>
    <w:p w14:paraId="6121BCC7" w14:textId="77777777" w:rsidR="00201B77" w:rsidRPr="001B6E4D" w:rsidRDefault="00201B77" w:rsidP="003D1018">
      <w:pPr>
        <w:overflowPunct w:val="0"/>
        <w:snapToGrid w:val="0"/>
        <w:ind w:leftChars="150" w:left="1340" w:hangingChars="350" w:hanging="980"/>
        <w:jc w:val="both"/>
        <w:rPr>
          <w:rFonts w:ascii="標楷體" w:eastAsia="標楷體" w:hAnsi="標楷體"/>
          <w:sz w:val="28"/>
          <w:szCs w:val="28"/>
        </w:rPr>
      </w:pPr>
      <w:r w:rsidRPr="001B6E4D">
        <w:rPr>
          <w:rFonts w:ascii="標楷體" w:eastAsia="標楷體" w:hAnsi="標楷體" w:hint="eastAsia"/>
          <w:color w:val="000000"/>
          <w:sz w:val="28"/>
          <w:szCs w:val="28"/>
        </w:rPr>
        <w:t xml:space="preserve">       以上共計減列200萬元，其餘均</w:t>
      </w:r>
      <w:proofErr w:type="gramStart"/>
      <w:r w:rsidRPr="001B6E4D">
        <w:rPr>
          <w:rFonts w:ascii="標楷體" w:eastAsia="標楷體" w:hAnsi="標楷體" w:hint="eastAsia"/>
          <w:color w:val="000000"/>
          <w:sz w:val="28"/>
          <w:szCs w:val="28"/>
        </w:rPr>
        <w:t>照列</w:t>
      </w:r>
      <w:proofErr w:type="gramEnd"/>
      <w:r w:rsidRPr="001B6E4D">
        <w:rPr>
          <w:rFonts w:ascii="標楷體" w:eastAsia="標楷體" w:hAnsi="標楷體" w:hint="eastAsia"/>
          <w:color w:val="000000"/>
          <w:sz w:val="28"/>
          <w:szCs w:val="28"/>
        </w:rPr>
        <w:t>，改列為23</w:t>
      </w:r>
      <w:r w:rsidRPr="001B6E4D">
        <w:rPr>
          <w:rFonts w:ascii="標楷體" w:eastAsia="標楷體" w:hAnsi="標楷體"/>
          <w:color w:val="000000"/>
          <w:sz w:val="28"/>
          <w:szCs w:val="28"/>
        </w:rPr>
        <w:t>億</w:t>
      </w:r>
      <w:r w:rsidRPr="001B6E4D">
        <w:rPr>
          <w:rFonts w:ascii="標楷體" w:eastAsia="標楷體" w:hAnsi="標楷體" w:hint="eastAsia"/>
          <w:color w:val="000000"/>
          <w:sz w:val="28"/>
          <w:szCs w:val="28"/>
        </w:rPr>
        <w:t>8</w:t>
      </w:r>
      <w:r w:rsidRPr="001B6E4D">
        <w:rPr>
          <w:rFonts w:ascii="標楷體" w:eastAsia="標楷體" w:hAnsi="標楷體"/>
          <w:color w:val="000000"/>
          <w:sz w:val="28"/>
          <w:szCs w:val="28"/>
        </w:rPr>
        <w:t>,9</w:t>
      </w:r>
      <w:r w:rsidRPr="001B6E4D">
        <w:rPr>
          <w:rFonts w:ascii="標楷體" w:eastAsia="標楷體" w:hAnsi="標楷體" w:hint="eastAsia"/>
          <w:color w:val="000000"/>
          <w:sz w:val="28"/>
          <w:szCs w:val="28"/>
        </w:rPr>
        <w:t>71</w:t>
      </w:r>
      <w:r w:rsidRPr="001B6E4D">
        <w:rPr>
          <w:rFonts w:ascii="標楷體" w:eastAsia="標楷體" w:hAnsi="標楷體"/>
          <w:color w:val="000000"/>
          <w:sz w:val="28"/>
          <w:szCs w:val="28"/>
        </w:rPr>
        <w:t>萬</w:t>
      </w:r>
      <w:r w:rsidRPr="001B6E4D">
        <w:rPr>
          <w:rFonts w:ascii="標楷體" w:eastAsia="標楷體" w:hAnsi="標楷體" w:hint="eastAsia"/>
          <w:color w:val="000000"/>
          <w:sz w:val="28"/>
          <w:szCs w:val="28"/>
        </w:rPr>
        <w:t>5千</w:t>
      </w:r>
      <w:r w:rsidRPr="001B6E4D">
        <w:rPr>
          <w:rFonts w:ascii="標楷體" w:eastAsia="標楷體" w:hAnsi="標楷體"/>
          <w:color w:val="000000"/>
          <w:sz w:val="28"/>
          <w:szCs w:val="28"/>
        </w:rPr>
        <w:t>元</w:t>
      </w:r>
      <w:r w:rsidRPr="001B6E4D">
        <w:rPr>
          <w:rFonts w:ascii="標楷體" w:eastAsia="標楷體" w:hAnsi="標楷體" w:hint="eastAsia"/>
          <w:color w:val="000000"/>
          <w:sz w:val="28"/>
          <w:szCs w:val="28"/>
        </w:rPr>
        <w:t>。</w:t>
      </w:r>
    </w:p>
    <w:p w14:paraId="66540983" w14:textId="77777777" w:rsidR="00201B77" w:rsidRPr="001B6E4D" w:rsidRDefault="00201B77"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sz w:val="28"/>
          <w:szCs w:val="28"/>
        </w:rPr>
        <w:t>本項提案</w:t>
      </w:r>
      <w:r w:rsidRPr="001B6E4D">
        <w:rPr>
          <w:rFonts w:ascii="標楷體" w:eastAsia="標楷體" w:hAnsi="標楷體" w:hint="eastAsia"/>
          <w:b/>
          <w:sz w:val="28"/>
          <w:szCs w:val="28"/>
        </w:rPr>
        <w:t>3</w:t>
      </w:r>
      <w:r w:rsidRPr="001B6E4D">
        <w:rPr>
          <w:rFonts w:ascii="標楷體" w:eastAsia="標楷體" w:hAnsi="標楷體"/>
          <w:b/>
          <w:sz w:val="28"/>
          <w:szCs w:val="28"/>
        </w:rPr>
        <w:t>案，保留，送院會處理：</w:t>
      </w:r>
    </w:p>
    <w:p w14:paraId="40FDE405" w14:textId="77777777" w:rsidR="00201B77" w:rsidRPr="001B6E4D" w:rsidRDefault="00201B77" w:rsidP="003D1018">
      <w:pPr>
        <w:pStyle w:val="a"/>
        <w:numPr>
          <w:ilvl w:val="0"/>
          <w:numId w:val="55"/>
        </w:numPr>
        <w:overflowPunct w:val="0"/>
        <w:ind w:left="924" w:hanging="567"/>
      </w:pPr>
      <w:r w:rsidRPr="001B6E4D">
        <w:t>115年中央政府總預算，行政院人事行政總處單位預算編列2,391,715千元，比</w:t>
      </w:r>
      <w:proofErr w:type="gramStart"/>
      <w:r w:rsidRPr="001B6E4D">
        <w:t>114</w:t>
      </w:r>
      <w:proofErr w:type="gramEnd"/>
      <w:r w:rsidRPr="001B6E4D">
        <w:t>年度法定預算2,318,478千元，增加</w:t>
      </w:r>
      <w:r w:rsidRPr="001B6E4D">
        <w:lastRenderedPageBreak/>
        <w:t>73,237千元，成長幅度3.16%。</w:t>
      </w:r>
    </w:p>
    <w:p w14:paraId="67217033" w14:textId="77777777" w:rsidR="00201B77" w:rsidRPr="001B6E4D" w:rsidRDefault="00201B77" w:rsidP="003D1018">
      <w:pPr>
        <w:pStyle w:val="1f7"/>
        <w:overflowPunct w:val="0"/>
      </w:pPr>
      <w:proofErr w:type="gramStart"/>
      <w:r w:rsidRPr="001B6E4D">
        <w:t>115</w:t>
      </w:r>
      <w:proofErr w:type="gramEnd"/>
      <w:r w:rsidRPr="001B6E4D">
        <w:t>年度業務費預算編列155,476千元，與114年法定預算117,725千元相比，</w:t>
      </w:r>
      <w:r w:rsidRPr="001B6E4D">
        <w:rPr>
          <w:b/>
          <w:u w:val="single"/>
        </w:rPr>
        <w:t>增列37,751千元（3,775萬），成長幅度高達32.07%。</w:t>
      </w:r>
    </w:p>
    <w:p w14:paraId="08DA534F" w14:textId="77777777" w:rsidR="00201B77" w:rsidRPr="001B6E4D" w:rsidRDefault="00201B77" w:rsidP="003D1018">
      <w:pPr>
        <w:pStyle w:val="1f7"/>
        <w:overflowPunct w:val="0"/>
      </w:pPr>
      <w:r w:rsidRPr="001B6E4D">
        <w:t>然，115年中央政府總預算連同特別預算，</w:t>
      </w:r>
      <w:proofErr w:type="gramStart"/>
      <w:r w:rsidRPr="001B6E4D">
        <w:t>已需舉</w:t>
      </w:r>
      <w:proofErr w:type="gramEnd"/>
      <w:r w:rsidRPr="001B6E4D">
        <w:t>債高達4千億元。</w:t>
      </w:r>
      <w:r w:rsidRPr="001B6E4D">
        <w:rPr>
          <w:b/>
          <w:u w:val="single"/>
        </w:rPr>
        <w:t>政府各單位更應量入為出、</w:t>
      </w:r>
      <w:proofErr w:type="gramStart"/>
      <w:r w:rsidRPr="001B6E4D">
        <w:rPr>
          <w:b/>
          <w:u w:val="single"/>
        </w:rPr>
        <w:t>撙</w:t>
      </w:r>
      <w:proofErr w:type="gramEnd"/>
      <w:r w:rsidRPr="001B6E4D">
        <w:rPr>
          <w:b/>
          <w:u w:val="single"/>
        </w:rPr>
        <w:t>節公</w:t>
      </w:r>
      <w:proofErr w:type="gramStart"/>
      <w:r w:rsidRPr="001B6E4D">
        <w:rPr>
          <w:b/>
          <w:u w:val="single"/>
        </w:rPr>
        <w:t>帑</w:t>
      </w:r>
      <w:proofErr w:type="gramEnd"/>
      <w:r w:rsidRPr="001B6E4D">
        <w:rPr>
          <w:b/>
          <w:u w:val="single"/>
        </w:rPr>
        <w:t>，</w:t>
      </w:r>
      <w:proofErr w:type="gramStart"/>
      <w:r w:rsidRPr="001B6E4D">
        <w:rPr>
          <w:b/>
          <w:u w:val="single"/>
        </w:rPr>
        <w:t>減列非必要</w:t>
      </w:r>
      <w:proofErr w:type="gramEnd"/>
      <w:r w:rsidRPr="001B6E4D">
        <w:rPr>
          <w:b/>
          <w:u w:val="single"/>
        </w:rPr>
        <w:t>、非急迫性的支出，</w:t>
      </w:r>
      <w:r w:rsidRPr="001B6E4D">
        <w:t>以降低國庫舉債、</w:t>
      </w:r>
      <w:proofErr w:type="gramStart"/>
      <w:r w:rsidRPr="001B6E4D">
        <w:t>債留子孫</w:t>
      </w:r>
      <w:proofErr w:type="gramEnd"/>
      <w:r w:rsidRPr="001B6E4D">
        <w:t>的壓力。</w:t>
      </w:r>
    </w:p>
    <w:p w14:paraId="3ABABE10" w14:textId="77777777" w:rsidR="00201B77" w:rsidRPr="001B6E4D" w:rsidRDefault="00201B77" w:rsidP="003D1018">
      <w:pPr>
        <w:pStyle w:val="1f7"/>
        <w:overflowPunct w:val="0"/>
      </w:pPr>
      <w:proofErr w:type="gramStart"/>
      <w:r w:rsidRPr="001B6E4D">
        <w:t>且</w:t>
      </w:r>
      <w:proofErr w:type="gramEnd"/>
      <w:r w:rsidRPr="001B6E4D">
        <w:t>，賴總統為回應美國對台灣應大幅增加國防支出的強硬立場與關切壓力，</w:t>
      </w:r>
      <w:proofErr w:type="gramStart"/>
      <w:r w:rsidRPr="001B6E4D">
        <w:t>115</w:t>
      </w:r>
      <w:proofErr w:type="gramEnd"/>
      <w:r w:rsidRPr="001B6E4D">
        <w:t>年度國防支出已創下歷史新高，達9495億新台幣；大舉增加國防支出，必定會嚴重排擠年度的教育、文化等支出，亦即，</w:t>
      </w:r>
      <w:r w:rsidRPr="001B6E4D">
        <w:rPr>
          <w:b/>
        </w:rPr>
        <w:t>各</w:t>
      </w:r>
      <w:proofErr w:type="gramStart"/>
      <w:r w:rsidRPr="001B6E4D">
        <w:rPr>
          <w:b/>
        </w:rPr>
        <w:t>部會應勒緊</w:t>
      </w:r>
      <w:proofErr w:type="gramEnd"/>
      <w:r w:rsidRPr="001B6E4D">
        <w:rPr>
          <w:b/>
        </w:rPr>
        <w:t>褲帶，共體時</w:t>
      </w:r>
      <w:proofErr w:type="gramStart"/>
      <w:r w:rsidRPr="001B6E4D">
        <w:rPr>
          <w:b/>
        </w:rPr>
        <w:t>艱</w:t>
      </w:r>
      <w:proofErr w:type="gramEnd"/>
      <w:r w:rsidRPr="001B6E4D">
        <w:rPr>
          <w:b/>
        </w:rPr>
        <w:t>、以</w:t>
      </w:r>
      <w:proofErr w:type="gramStart"/>
      <w:r w:rsidRPr="001B6E4D">
        <w:rPr>
          <w:b/>
        </w:rPr>
        <w:t>撙</w:t>
      </w:r>
      <w:proofErr w:type="gramEnd"/>
      <w:r w:rsidRPr="001B6E4D">
        <w:rPr>
          <w:b/>
        </w:rPr>
        <w:t>節支出的具體行動，來呼應賴總統對美方要求大幅增加國防支出的承諾。</w:t>
      </w:r>
    </w:p>
    <w:p w14:paraId="291A46C7" w14:textId="5673A846" w:rsidR="00201B77" w:rsidRPr="001B6E4D" w:rsidRDefault="00201B77" w:rsidP="003D1018">
      <w:pPr>
        <w:pStyle w:val="1f7"/>
        <w:overflowPunct w:val="0"/>
      </w:pPr>
      <w:proofErr w:type="gramStart"/>
      <w:r w:rsidRPr="001B6E4D">
        <w:t>惟</w:t>
      </w:r>
      <w:proofErr w:type="gramEnd"/>
      <w:r w:rsidRPr="001B6E4D">
        <w:t>人事行政總處</w:t>
      </w:r>
      <w:proofErr w:type="gramStart"/>
      <w:r w:rsidRPr="001B6E4D">
        <w:t>115</w:t>
      </w:r>
      <w:proofErr w:type="gramEnd"/>
      <w:r w:rsidRPr="001B6E4D">
        <w:t>年度預算案編列業務費155,476千元，與114年法定預算相比，</w:t>
      </w:r>
      <w:r w:rsidRPr="001B6E4D">
        <w:rPr>
          <w:b/>
          <w:u w:val="single"/>
        </w:rPr>
        <w:t>增列37,751千元，成長幅度高達32.07%。</w:t>
      </w:r>
      <w:r w:rsidRPr="001B6E4D">
        <w:t>為兌現賴總統對美方的承諾，為配合國防支出大幅增加之影響而必須</w:t>
      </w:r>
      <w:proofErr w:type="gramStart"/>
      <w:r w:rsidRPr="001B6E4D">
        <w:t>撙</w:t>
      </w:r>
      <w:proofErr w:type="gramEnd"/>
      <w:r w:rsidRPr="001B6E4D">
        <w:t>節經費。且人事行政總處日前發函明文揭示，對未具結無大陸身份證、居住證等證件之公務人員將不得進用、調任，顯</w:t>
      </w:r>
      <w:proofErr w:type="gramStart"/>
      <w:r w:rsidRPr="001B6E4D">
        <w:t>悖離</w:t>
      </w:r>
      <w:proofErr w:type="gramEnd"/>
      <w:r w:rsidRPr="001B6E4D">
        <w:t>法律保留原則，有濫權之嫌！</w:t>
      </w:r>
      <w:proofErr w:type="gramStart"/>
      <w:r w:rsidRPr="001B6E4D">
        <w:rPr>
          <w:b/>
          <w:u w:val="single"/>
        </w:rPr>
        <w:t>爰</w:t>
      </w:r>
      <w:proofErr w:type="gramEnd"/>
      <w:r w:rsidRPr="001B6E4D">
        <w:rPr>
          <w:b/>
          <w:u w:val="single"/>
        </w:rPr>
        <w:t>提案減列</w:t>
      </w:r>
      <w:proofErr w:type="gramStart"/>
      <w:r w:rsidRPr="001B6E4D">
        <w:rPr>
          <w:b/>
          <w:u w:val="single"/>
        </w:rPr>
        <w:t>3000萬元整且不得流用勻支</w:t>
      </w:r>
      <w:proofErr w:type="gramEnd"/>
      <w:r w:rsidRPr="001B6E4D">
        <w:rPr>
          <w:b/>
          <w:u w:val="single"/>
        </w:rPr>
        <w:t>，並凍結20%</w:t>
      </w:r>
      <w:r w:rsidRPr="001B6E4D">
        <w:t>，以避免有限之財政資源閒置與浪費。</w:t>
      </w:r>
      <w:proofErr w:type="gramStart"/>
      <w:r w:rsidRPr="001B6E4D">
        <w:t>俟</w:t>
      </w:r>
      <w:proofErr w:type="gramEnd"/>
      <w:r w:rsidRPr="001B6E4D">
        <w:t>行政院人事行政總處發函重申公務人員如未簽署具結者，不會有任何不利處分和懲處，於完成發文後向立法院司法及法制委員會提交</w:t>
      </w:r>
      <w:r w:rsidRPr="001B6E4D">
        <w:rPr>
          <w:rFonts w:hint="eastAsia"/>
        </w:rPr>
        <w:t>書面</w:t>
      </w:r>
      <w:r w:rsidRPr="001B6E4D">
        <w:t>報告，經同意後始得動支。【1】</w:t>
      </w:r>
    </w:p>
    <w:p w14:paraId="701A0766" w14:textId="77777777" w:rsidR="00201B77" w:rsidRPr="001B6E4D" w:rsidRDefault="00201B77" w:rsidP="003D1018">
      <w:pPr>
        <w:pStyle w:val="2fb"/>
        <w:overflowPunct w:val="0"/>
      </w:pPr>
      <w:r w:rsidRPr="001B6E4D">
        <w:t>提案人：翁曉玲</w:t>
      </w:r>
    </w:p>
    <w:p w14:paraId="319ABC5B" w14:textId="77777777" w:rsidR="00201B77" w:rsidRPr="001B6E4D" w:rsidRDefault="00201B77" w:rsidP="003D1018">
      <w:pPr>
        <w:pStyle w:val="2fb"/>
        <w:overflowPunct w:val="0"/>
      </w:pPr>
      <w:r w:rsidRPr="001B6E4D">
        <w:t>連署人：林倩綺　許宇</w:t>
      </w:r>
      <w:proofErr w:type="gramStart"/>
      <w:r w:rsidRPr="001B6E4D">
        <w:t>甄</w:t>
      </w:r>
      <w:proofErr w:type="gramEnd"/>
    </w:p>
    <w:p w14:paraId="1838C2E8" w14:textId="77777777" w:rsidR="00201B77" w:rsidRPr="001B6E4D" w:rsidRDefault="00201B77" w:rsidP="003D1018">
      <w:pPr>
        <w:pStyle w:val="1f6"/>
        <w:overflowPunct w:val="0"/>
      </w:pPr>
      <w:r w:rsidRPr="001B6E4D">
        <w:t>115年中央政府總預算，行政院人事行政總處單位預算編列2,391,715千元，比</w:t>
      </w:r>
      <w:proofErr w:type="gramStart"/>
      <w:r w:rsidRPr="001B6E4D">
        <w:t>114</w:t>
      </w:r>
      <w:proofErr w:type="gramEnd"/>
      <w:r w:rsidRPr="001B6E4D">
        <w:t>年度法定預算2,318,478千元，增加73,237千元，成長幅度3.16%。</w:t>
      </w:r>
    </w:p>
    <w:p w14:paraId="5499FB92" w14:textId="1811C954" w:rsidR="00201B77" w:rsidRPr="001B6E4D" w:rsidRDefault="00444ED5" w:rsidP="003D1018">
      <w:pPr>
        <w:pStyle w:val="1f7"/>
        <w:overflowPunct w:val="0"/>
      </w:pPr>
      <w:r w:rsidRPr="001B6E4D">
        <w:rPr>
          <w:noProof/>
        </w:rPr>
        <w:drawing>
          <wp:anchor distT="0" distB="0" distL="114300" distR="114300" simplePos="0" relativeHeight="251683840" behindDoc="0" locked="0" layoutInCell="1" allowOverlap="1" wp14:anchorId="096B1454" wp14:editId="3DCC5417">
            <wp:simplePos x="0" y="0"/>
            <wp:positionH relativeFrom="column">
              <wp:posOffset>624840</wp:posOffset>
            </wp:positionH>
            <wp:positionV relativeFrom="paragraph">
              <wp:posOffset>727075</wp:posOffset>
            </wp:positionV>
            <wp:extent cx="5162550" cy="992505"/>
            <wp:effectExtent l="0" t="0" r="0" b="0"/>
            <wp:wrapTopAndBottom/>
            <wp:docPr id="5" name="圖片 5"/>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4">
                      <a:extLst>
                        <a:ext uri="{28A0092B-C50C-407E-A947-70E740481C1C}">
                          <a14:useLocalDpi xmlns:a14="http://schemas.microsoft.com/office/drawing/2010/main" val="0"/>
                        </a:ext>
                      </a:extLst>
                    </a:blip>
                    <a:stretch>
                      <a:fillRect/>
                    </a:stretch>
                  </pic:blipFill>
                  <pic:spPr>
                    <a:xfrm>
                      <a:off x="0" y="0"/>
                      <a:ext cx="5162550" cy="992505"/>
                    </a:xfrm>
                    <a:prstGeom prst="rect">
                      <a:avLst/>
                    </a:prstGeom>
                  </pic:spPr>
                </pic:pic>
              </a:graphicData>
            </a:graphic>
            <wp14:sizeRelH relativeFrom="margin">
              <wp14:pctWidth>0</wp14:pctWidth>
            </wp14:sizeRelH>
          </wp:anchor>
        </w:drawing>
      </w:r>
      <w:proofErr w:type="gramStart"/>
      <w:r w:rsidR="00201B77" w:rsidRPr="001B6E4D">
        <w:t>115</w:t>
      </w:r>
      <w:proofErr w:type="gramEnd"/>
      <w:r w:rsidR="00201B77" w:rsidRPr="001B6E4D">
        <w:t>年度業務費項下預算編列「一般事務費」37,173千元，與114年法定預算27,522千元相比，</w:t>
      </w:r>
      <w:r w:rsidR="00201B77" w:rsidRPr="001B6E4D">
        <w:rPr>
          <w:b/>
          <w:u w:val="single"/>
        </w:rPr>
        <w:t>增列9,651千元（965萬），成長幅度高達35.07%。</w:t>
      </w:r>
    </w:p>
    <w:p w14:paraId="32550035" w14:textId="53059429" w:rsidR="00201B77" w:rsidRPr="001B6E4D" w:rsidRDefault="00201B77" w:rsidP="003D1018">
      <w:pPr>
        <w:pStyle w:val="1f7"/>
        <w:overflowPunct w:val="0"/>
      </w:pPr>
      <w:r w:rsidRPr="001B6E4D">
        <w:t>經查行政院人事行政總處114年決算書資料如上表，「一般事務費」執行率為94.92％。顯見，原有經費編列與實際需求</w:t>
      </w:r>
      <w:r w:rsidRPr="001B6E4D">
        <w:lastRenderedPageBreak/>
        <w:t>之間存有相當落差，致使經費運用效益低落。</w:t>
      </w:r>
    </w:p>
    <w:p w14:paraId="01F5C7E0" w14:textId="77777777" w:rsidR="00201B77" w:rsidRPr="001B6E4D" w:rsidRDefault="00201B77" w:rsidP="003D1018">
      <w:pPr>
        <w:pStyle w:val="1f7"/>
        <w:overflowPunct w:val="0"/>
      </w:pPr>
      <w:r w:rsidRPr="001B6E4D">
        <w:t>然，115年中央政府總預算連同特別預算，</w:t>
      </w:r>
      <w:proofErr w:type="gramStart"/>
      <w:r w:rsidRPr="001B6E4D">
        <w:t>已需舉</w:t>
      </w:r>
      <w:proofErr w:type="gramEnd"/>
      <w:r w:rsidRPr="001B6E4D">
        <w:t>債高達4千億元。</w:t>
      </w:r>
      <w:r w:rsidRPr="001B6E4D">
        <w:rPr>
          <w:b/>
          <w:u w:val="single"/>
        </w:rPr>
        <w:t>政府各單位更應量入為出、</w:t>
      </w:r>
      <w:proofErr w:type="gramStart"/>
      <w:r w:rsidRPr="001B6E4D">
        <w:rPr>
          <w:b/>
          <w:u w:val="single"/>
        </w:rPr>
        <w:t>撙</w:t>
      </w:r>
      <w:proofErr w:type="gramEnd"/>
      <w:r w:rsidRPr="001B6E4D">
        <w:rPr>
          <w:b/>
          <w:u w:val="single"/>
        </w:rPr>
        <w:t>節公</w:t>
      </w:r>
      <w:proofErr w:type="gramStart"/>
      <w:r w:rsidRPr="001B6E4D">
        <w:rPr>
          <w:b/>
          <w:u w:val="single"/>
        </w:rPr>
        <w:t>帑</w:t>
      </w:r>
      <w:proofErr w:type="gramEnd"/>
      <w:r w:rsidRPr="001B6E4D">
        <w:rPr>
          <w:b/>
          <w:u w:val="single"/>
        </w:rPr>
        <w:t>，</w:t>
      </w:r>
      <w:proofErr w:type="gramStart"/>
      <w:r w:rsidRPr="001B6E4D">
        <w:rPr>
          <w:b/>
          <w:u w:val="single"/>
        </w:rPr>
        <w:t>減列非必要</w:t>
      </w:r>
      <w:proofErr w:type="gramEnd"/>
      <w:r w:rsidRPr="001B6E4D">
        <w:rPr>
          <w:b/>
          <w:u w:val="single"/>
        </w:rPr>
        <w:t>、非急迫性的支出，</w:t>
      </w:r>
      <w:r w:rsidRPr="001B6E4D">
        <w:t>以降低國庫舉債、</w:t>
      </w:r>
      <w:proofErr w:type="gramStart"/>
      <w:r w:rsidRPr="001B6E4D">
        <w:t>債留子孫</w:t>
      </w:r>
      <w:proofErr w:type="gramEnd"/>
      <w:r w:rsidRPr="001B6E4D">
        <w:t>的壓力。</w:t>
      </w:r>
    </w:p>
    <w:p w14:paraId="4D018EF3" w14:textId="77777777" w:rsidR="00201B77" w:rsidRPr="001B6E4D" w:rsidRDefault="00201B77" w:rsidP="003D1018">
      <w:pPr>
        <w:pStyle w:val="1f7"/>
        <w:overflowPunct w:val="0"/>
      </w:pPr>
      <w:proofErr w:type="gramStart"/>
      <w:r w:rsidRPr="001B6E4D">
        <w:t>且</w:t>
      </w:r>
      <w:proofErr w:type="gramEnd"/>
      <w:r w:rsidRPr="001B6E4D">
        <w:t>，賴總統為回應美國對台灣應大幅增加國防支出的強硬立場與關切壓力，</w:t>
      </w:r>
      <w:proofErr w:type="gramStart"/>
      <w:r w:rsidRPr="001B6E4D">
        <w:t>115</w:t>
      </w:r>
      <w:proofErr w:type="gramEnd"/>
      <w:r w:rsidRPr="001B6E4D">
        <w:t>年度國防支出已創下歷史新高，達9495億新台幣；大舉增加國防支出，必定會嚴重排擠年度的教育、文化等支出，亦即，</w:t>
      </w:r>
      <w:r w:rsidRPr="001B6E4D">
        <w:rPr>
          <w:b/>
        </w:rPr>
        <w:t>各</w:t>
      </w:r>
      <w:proofErr w:type="gramStart"/>
      <w:r w:rsidRPr="001B6E4D">
        <w:rPr>
          <w:b/>
        </w:rPr>
        <w:t>部會應勒緊</w:t>
      </w:r>
      <w:proofErr w:type="gramEnd"/>
      <w:r w:rsidRPr="001B6E4D">
        <w:rPr>
          <w:b/>
        </w:rPr>
        <w:t>褲帶，共體時</w:t>
      </w:r>
      <w:proofErr w:type="gramStart"/>
      <w:r w:rsidRPr="001B6E4D">
        <w:rPr>
          <w:b/>
        </w:rPr>
        <w:t>艱</w:t>
      </w:r>
      <w:proofErr w:type="gramEnd"/>
      <w:r w:rsidRPr="001B6E4D">
        <w:rPr>
          <w:b/>
        </w:rPr>
        <w:t>、以</w:t>
      </w:r>
      <w:proofErr w:type="gramStart"/>
      <w:r w:rsidRPr="001B6E4D">
        <w:rPr>
          <w:b/>
        </w:rPr>
        <w:t>撙</w:t>
      </w:r>
      <w:proofErr w:type="gramEnd"/>
      <w:r w:rsidRPr="001B6E4D">
        <w:rPr>
          <w:b/>
        </w:rPr>
        <w:t>節支出的具體行動，來呼應賴總統對美方要求大幅增加國防支出的承諾。</w:t>
      </w:r>
    </w:p>
    <w:p w14:paraId="4FD5F16C" w14:textId="77777777" w:rsidR="00201B77" w:rsidRPr="001B6E4D" w:rsidRDefault="00201B77" w:rsidP="003D1018">
      <w:pPr>
        <w:pStyle w:val="1f7"/>
        <w:overflowPunct w:val="0"/>
      </w:pPr>
      <w:proofErr w:type="gramStart"/>
      <w:r w:rsidRPr="001B6E4D">
        <w:t>惟</w:t>
      </w:r>
      <w:proofErr w:type="gramEnd"/>
      <w:r w:rsidRPr="001B6E4D">
        <w:t>人事行政總處</w:t>
      </w:r>
      <w:proofErr w:type="gramStart"/>
      <w:r w:rsidRPr="001B6E4D">
        <w:t>115</w:t>
      </w:r>
      <w:proofErr w:type="gramEnd"/>
      <w:r w:rsidRPr="001B6E4D">
        <w:t>年度預算案仍編列「一般事務費」37,173千元，與114年法定預算相比，</w:t>
      </w:r>
      <w:r w:rsidRPr="001B6E4D">
        <w:rPr>
          <w:b/>
          <w:u w:val="single"/>
        </w:rPr>
        <w:t>增列9,651千元，成長幅度高達35.07%</w:t>
      </w:r>
      <w:r w:rsidRPr="001B6E4D">
        <w:t>。為兌現賴總統對美方的承諾，為配合國防支出大幅增加之影響而必須</w:t>
      </w:r>
      <w:proofErr w:type="gramStart"/>
      <w:r w:rsidRPr="001B6E4D">
        <w:t>撙</w:t>
      </w:r>
      <w:proofErr w:type="gramEnd"/>
      <w:r w:rsidRPr="001B6E4D">
        <w:t>節經費，</w:t>
      </w:r>
      <w:r w:rsidRPr="001B6E4D">
        <w:rPr>
          <w:b/>
          <w:u w:val="single"/>
        </w:rPr>
        <w:t>且人總遲遲未能將「軍公教調薪法制化」之草案送交立院審議</w:t>
      </w:r>
      <w:r w:rsidRPr="001B6E4D">
        <w:t>，</w:t>
      </w:r>
      <w:proofErr w:type="gramStart"/>
      <w:r w:rsidRPr="001B6E4D">
        <w:rPr>
          <w:b/>
          <w:u w:val="single"/>
        </w:rPr>
        <w:t>爰</w:t>
      </w:r>
      <w:proofErr w:type="gramEnd"/>
      <w:r w:rsidRPr="001B6E4D">
        <w:rPr>
          <w:b/>
          <w:u w:val="single"/>
        </w:rPr>
        <w:t>提案減列</w:t>
      </w:r>
      <w:proofErr w:type="gramStart"/>
      <w:r w:rsidRPr="001B6E4D">
        <w:rPr>
          <w:b/>
          <w:u w:val="single"/>
        </w:rPr>
        <w:t>150萬元整且不得流用勻支</w:t>
      </w:r>
      <w:proofErr w:type="gramEnd"/>
      <w:r w:rsidRPr="001B6E4D">
        <w:rPr>
          <w:b/>
          <w:u w:val="single"/>
        </w:rPr>
        <w:t>，並凍結20%</w:t>
      </w:r>
      <w:r w:rsidRPr="001B6E4D">
        <w:t>，以避免有限之財政資源閒置與浪費。</w:t>
      </w:r>
      <w:proofErr w:type="gramStart"/>
      <w:r w:rsidRPr="001B6E4D">
        <w:t>俟</w:t>
      </w:r>
      <w:proofErr w:type="gramEnd"/>
      <w:r w:rsidRPr="001B6E4D">
        <w:t>行政院人事行政總處將軍公教調薪法制化草案送交立法院審議後，始得動支。【4】</w:t>
      </w:r>
    </w:p>
    <w:p w14:paraId="5D9B915A" w14:textId="77777777" w:rsidR="00201B77" w:rsidRPr="001B6E4D" w:rsidRDefault="00201B77" w:rsidP="003D1018">
      <w:pPr>
        <w:pStyle w:val="2fb"/>
        <w:overflowPunct w:val="0"/>
      </w:pPr>
      <w:r w:rsidRPr="001B6E4D">
        <w:t>提案人：翁曉玲</w:t>
      </w:r>
    </w:p>
    <w:p w14:paraId="342410B9" w14:textId="77777777" w:rsidR="00201B77" w:rsidRPr="001B6E4D" w:rsidRDefault="00201B77" w:rsidP="003D1018">
      <w:pPr>
        <w:pStyle w:val="2fb"/>
        <w:overflowPunct w:val="0"/>
      </w:pPr>
      <w:r w:rsidRPr="001B6E4D">
        <w:t>連署人：林沛祥　許宇</w:t>
      </w:r>
      <w:proofErr w:type="gramStart"/>
      <w:r w:rsidRPr="001B6E4D">
        <w:t>甄</w:t>
      </w:r>
      <w:proofErr w:type="gramEnd"/>
    </w:p>
    <w:p w14:paraId="66A259AE" w14:textId="77777777" w:rsidR="00201B77" w:rsidRPr="001B6E4D" w:rsidRDefault="00201B77" w:rsidP="003D1018">
      <w:pPr>
        <w:pStyle w:val="1f6"/>
        <w:overflowPunct w:val="0"/>
      </w:pPr>
      <w:proofErr w:type="gramStart"/>
      <w:r w:rsidRPr="001B6E4D">
        <w:t>115</w:t>
      </w:r>
      <w:proofErr w:type="gramEnd"/>
      <w:r w:rsidRPr="001B6E4D">
        <w:t>年度行政院人事行政總處預算案於第1目「一般行政」項下「基本行政工作維持」中「業務費」之「特別費」，係人事長、政務副人事長及常務副人事長等3人編列94萬5千元。</w:t>
      </w:r>
    </w:p>
    <w:p w14:paraId="7D574532" w14:textId="77777777" w:rsidR="00201B77" w:rsidRPr="001B6E4D" w:rsidRDefault="00201B77" w:rsidP="003D1018">
      <w:pPr>
        <w:pStyle w:val="1f7"/>
        <w:overflowPunct w:val="0"/>
      </w:pPr>
      <w:r w:rsidRPr="001B6E4D">
        <w:t>依照行政院95年12月29日</w:t>
      </w:r>
      <w:proofErr w:type="gramStart"/>
      <w:r w:rsidRPr="001B6E4D">
        <w:t>院授主忠字</w:t>
      </w:r>
      <w:proofErr w:type="gramEnd"/>
      <w:r w:rsidRPr="001B6E4D">
        <w:t>第0950007913號函，各級政府機關特別費支用規定之特別費使用範圍，係婚喪喜慶之禮金及招待、</w:t>
      </w:r>
      <w:proofErr w:type="gramStart"/>
      <w:r w:rsidRPr="001B6E4D">
        <w:t>餽</w:t>
      </w:r>
      <w:proofErr w:type="gramEnd"/>
      <w:r w:rsidRPr="001B6E4D">
        <w:t>（捐）</w:t>
      </w:r>
      <w:proofErr w:type="gramStart"/>
      <w:r w:rsidRPr="001B6E4D">
        <w:t>贈及慰問</w:t>
      </w:r>
      <w:proofErr w:type="gramEnd"/>
      <w:r w:rsidRPr="001B6E4D">
        <w:t>等支出。恐非屬各項施政計畫執行之必要項目。</w:t>
      </w:r>
    </w:p>
    <w:p w14:paraId="180678F7" w14:textId="77777777" w:rsidR="00201B77" w:rsidRPr="001B6E4D" w:rsidRDefault="00201B77" w:rsidP="003D1018">
      <w:pPr>
        <w:pStyle w:val="1f7"/>
        <w:overflowPunct w:val="0"/>
      </w:pPr>
      <w:r w:rsidRPr="001B6E4D">
        <w:t>然，115年中央政府總預算連同特別預算，</w:t>
      </w:r>
      <w:proofErr w:type="gramStart"/>
      <w:r w:rsidRPr="001B6E4D">
        <w:t>已需舉</w:t>
      </w:r>
      <w:proofErr w:type="gramEnd"/>
      <w:r w:rsidRPr="001B6E4D">
        <w:t>債高達4千億元。政府各單位更應量入為出、</w:t>
      </w:r>
      <w:proofErr w:type="gramStart"/>
      <w:r w:rsidRPr="001B6E4D">
        <w:t>撙</w:t>
      </w:r>
      <w:proofErr w:type="gramEnd"/>
      <w:r w:rsidRPr="001B6E4D">
        <w:t>節公</w:t>
      </w:r>
      <w:proofErr w:type="gramStart"/>
      <w:r w:rsidRPr="001B6E4D">
        <w:t>帑</w:t>
      </w:r>
      <w:proofErr w:type="gramEnd"/>
      <w:r w:rsidRPr="001B6E4D">
        <w:t>，</w:t>
      </w:r>
      <w:proofErr w:type="gramStart"/>
      <w:r w:rsidRPr="001B6E4D">
        <w:t>減列非必要</w:t>
      </w:r>
      <w:proofErr w:type="gramEnd"/>
      <w:r w:rsidRPr="001B6E4D">
        <w:t>、非急迫性的支出，以降低國庫舉債、</w:t>
      </w:r>
      <w:proofErr w:type="gramStart"/>
      <w:r w:rsidRPr="001B6E4D">
        <w:t>債留子孫</w:t>
      </w:r>
      <w:proofErr w:type="gramEnd"/>
      <w:r w:rsidRPr="001B6E4D">
        <w:t>的壓力。</w:t>
      </w:r>
    </w:p>
    <w:p w14:paraId="4B5B617D" w14:textId="77777777" w:rsidR="00201B77" w:rsidRPr="001B6E4D" w:rsidRDefault="00201B77" w:rsidP="003D1018">
      <w:pPr>
        <w:pStyle w:val="1f7"/>
        <w:overflowPunct w:val="0"/>
      </w:pPr>
      <w:proofErr w:type="gramStart"/>
      <w:r w:rsidRPr="001B6E4D">
        <w:t>且</w:t>
      </w:r>
      <w:proofErr w:type="gramEnd"/>
      <w:r w:rsidRPr="001B6E4D">
        <w:t>，賴總統為回應美國對台灣應大幅增加國防支出的強硬立場與關切壓力，</w:t>
      </w:r>
      <w:proofErr w:type="gramStart"/>
      <w:r w:rsidRPr="001B6E4D">
        <w:t>115</w:t>
      </w:r>
      <w:proofErr w:type="gramEnd"/>
      <w:r w:rsidRPr="001B6E4D">
        <w:t>年度國防支出已創下歷史新高．達9,495億新台幣．較去年度相比暴增1,768億．漲幅達16%，負擔不可謂不重；大舉增加國防支出，必定會嚴重排擠年度的教育、文化、經濟發展、社會福利等支出。亦即，各</w:t>
      </w:r>
      <w:proofErr w:type="gramStart"/>
      <w:r w:rsidRPr="001B6E4D">
        <w:t>部會應勒緊</w:t>
      </w:r>
      <w:proofErr w:type="gramEnd"/>
      <w:r w:rsidRPr="001B6E4D">
        <w:t>褲帶，共體時</w:t>
      </w:r>
      <w:proofErr w:type="gramStart"/>
      <w:r w:rsidRPr="001B6E4D">
        <w:t>艱</w:t>
      </w:r>
      <w:proofErr w:type="gramEnd"/>
      <w:r w:rsidRPr="001B6E4D">
        <w:t>、以</w:t>
      </w:r>
      <w:proofErr w:type="gramStart"/>
      <w:r w:rsidRPr="001B6E4D">
        <w:t>撙</w:t>
      </w:r>
      <w:proofErr w:type="gramEnd"/>
      <w:r w:rsidRPr="001B6E4D">
        <w:t>節非必要支出的具體行動，來呼應賴總統對美方要求大幅增加國防支出的承諾。</w:t>
      </w:r>
    </w:p>
    <w:p w14:paraId="0BB7D660" w14:textId="77777777" w:rsidR="00201B77" w:rsidRPr="001B6E4D" w:rsidRDefault="00201B77" w:rsidP="003D1018">
      <w:pPr>
        <w:pStyle w:val="1f7"/>
        <w:overflowPunct w:val="0"/>
      </w:pPr>
      <w:r w:rsidRPr="001B6E4D">
        <w:t>有</w:t>
      </w:r>
      <w:proofErr w:type="gramStart"/>
      <w:r w:rsidRPr="001B6E4D">
        <w:t>鑑</w:t>
      </w:r>
      <w:proofErr w:type="gramEnd"/>
      <w:r w:rsidRPr="001B6E4D">
        <w:t>於行政院人事行政總處所編之「特別費」，係婚喪喜</w:t>
      </w:r>
      <w:r w:rsidRPr="001B6E4D">
        <w:lastRenderedPageBreak/>
        <w:t>慶之禮金及招待、</w:t>
      </w:r>
      <w:proofErr w:type="gramStart"/>
      <w:r w:rsidRPr="001B6E4D">
        <w:t>餽</w:t>
      </w:r>
      <w:proofErr w:type="gramEnd"/>
      <w:r w:rsidRPr="001B6E4D">
        <w:t>（捐）</w:t>
      </w:r>
      <w:proofErr w:type="gramStart"/>
      <w:r w:rsidRPr="001B6E4D">
        <w:t>贈及慰問</w:t>
      </w:r>
      <w:proofErr w:type="gramEnd"/>
      <w:r w:rsidRPr="001B6E4D">
        <w:t>等支出，非屬各項施政計畫執行之必要項目。為兌現賴總統對美方的承諾，且配合國防支出大幅增加之影響而必須</w:t>
      </w:r>
      <w:proofErr w:type="gramStart"/>
      <w:r w:rsidRPr="001B6E4D">
        <w:t>撙</w:t>
      </w:r>
      <w:proofErr w:type="gramEnd"/>
      <w:r w:rsidRPr="001B6E4D">
        <w:t>節經費，</w:t>
      </w:r>
      <w:proofErr w:type="gramStart"/>
      <w:r w:rsidRPr="001B6E4D">
        <w:t>爰</w:t>
      </w:r>
      <w:proofErr w:type="gramEnd"/>
      <w:r w:rsidRPr="001B6E4D">
        <w:t>提案減列九成共計85萬元整，且不得</w:t>
      </w:r>
      <w:proofErr w:type="gramStart"/>
      <w:r w:rsidRPr="001B6E4D">
        <w:t>流用勻支</w:t>
      </w:r>
      <w:proofErr w:type="gramEnd"/>
      <w:r w:rsidRPr="001B6E4D">
        <w:t>，以將有限之財政資源集中，支援必須擴增的國防經費支出。【9】</w:t>
      </w:r>
    </w:p>
    <w:p w14:paraId="26A7CBD0" w14:textId="77777777" w:rsidR="00201B77" w:rsidRPr="001B6E4D" w:rsidRDefault="00201B77" w:rsidP="003D1018">
      <w:pPr>
        <w:pStyle w:val="2fb"/>
        <w:overflowPunct w:val="0"/>
      </w:pPr>
      <w:r w:rsidRPr="001B6E4D">
        <w:t>提案人：翁曉玲</w:t>
      </w:r>
    </w:p>
    <w:p w14:paraId="0E42A11D" w14:textId="77777777" w:rsidR="00201B77" w:rsidRPr="001B6E4D" w:rsidRDefault="00201B77" w:rsidP="003D1018">
      <w:pPr>
        <w:pStyle w:val="2fb"/>
        <w:overflowPunct w:val="0"/>
      </w:pPr>
      <w:r w:rsidRPr="001B6E4D">
        <w:t>連署人：林倩綺　許宇</w:t>
      </w:r>
      <w:proofErr w:type="gramStart"/>
      <w:r w:rsidRPr="001B6E4D">
        <w:t>甄</w:t>
      </w:r>
      <w:proofErr w:type="gramEnd"/>
    </w:p>
    <w:p w14:paraId="2D2B9201" w14:textId="77777777" w:rsidR="00201B77" w:rsidRPr="001B6E4D" w:rsidRDefault="00201B77" w:rsidP="003D1018">
      <w:pPr>
        <w:overflowPunct w:val="0"/>
        <w:snapToGrid w:val="0"/>
        <w:ind w:leftChars="150" w:left="1201" w:hangingChars="300" w:hanging="841"/>
        <w:jc w:val="both"/>
        <w:rPr>
          <w:rFonts w:ascii="標楷體" w:eastAsia="標楷體" w:hAnsi="標楷體"/>
          <w:color w:val="000000"/>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26</w:t>
      </w:r>
      <w:r w:rsidRPr="001B6E4D">
        <w:rPr>
          <w:rFonts w:ascii="標楷體" w:eastAsia="標楷體" w:hAnsi="標楷體"/>
          <w:b/>
          <w:bCs/>
          <w:sz w:val="28"/>
          <w:szCs w:val="28"/>
        </w:rPr>
        <w:t>項：</w:t>
      </w:r>
    </w:p>
    <w:p w14:paraId="7B8CFA3D" w14:textId="77777777" w:rsidR="00201B77" w:rsidRPr="001B6E4D" w:rsidRDefault="00201B77" w:rsidP="003D1018">
      <w:pPr>
        <w:pStyle w:val="a"/>
        <w:numPr>
          <w:ilvl w:val="0"/>
          <w:numId w:val="56"/>
        </w:numPr>
        <w:overflowPunct w:val="0"/>
      </w:pPr>
      <w:proofErr w:type="gramStart"/>
      <w:r w:rsidRPr="001B6E4D">
        <w:t>115</w:t>
      </w:r>
      <w:proofErr w:type="gramEnd"/>
      <w:r w:rsidRPr="001B6E4D">
        <w:t>年度行政院人事行政</w:t>
      </w:r>
      <w:proofErr w:type="gramStart"/>
      <w:r w:rsidRPr="001B6E4D">
        <w:t>總處歲出</w:t>
      </w:r>
      <w:proofErr w:type="gramEnd"/>
      <w:r w:rsidRPr="001B6E4D">
        <w:t>預算第1目「一般行政」編列4億1,038萬1千</w:t>
      </w:r>
      <w:r w:rsidRPr="001B6E4D">
        <w:rPr>
          <w:rFonts w:hint="eastAsia"/>
        </w:rPr>
        <w:t>元</w:t>
      </w:r>
      <w:r w:rsidRPr="001B6E4D">
        <w:t>，凍結</w:t>
      </w:r>
      <w:r w:rsidRPr="001B6E4D">
        <w:rPr>
          <w:rFonts w:hint="eastAsia"/>
        </w:rPr>
        <w:t>50</w:t>
      </w:r>
      <w:r w:rsidRPr="001B6E4D">
        <w:t>萬元，</w:t>
      </w:r>
      <w:proofErr w:type="gramStart"/>
      <w:r w:rsidRPr="001B6E4D">
        <w:t>俟</w:t>
      </w:r>
      <w:proofErr w:type="gramEnd"/>
      <w:r w:rsidRPr="001B6E4D">
        <w:t>向立法院司法及法制委員會提出書面報告後，始得動支。【</w:t>
      </w:r>
      <w:r w:rsidRPr="001B6E4D">
        <w:rPr>
          <w:rFonts w:hint="eastAsia"/>
        </w:rPr>
        <w:t>7</w:t>
      </w:r>
      <w:r w:rsidRPr="001B6E4D">
        <w:t>】</w:t>
      </w:r>
    </w:p>
    <w:p w14:paraId="6A68FA1B" w14:textId="77777777" w:rsidR="00201B77" w:rsidRPr="001B6E4D" w:rsidRDefault="00201B77" w:rsidP="003D1018">
      <w:pPr>
        <w:overflowPunct w:val="0"/>
        <w:snapToGrid w:val="0"/>
        <w:ind w:leftChars="1500" w:left="4776" w:hangingChars="420" w:hanging="1176"/>
        <w:jc w:val="both"/>
        <w:rPr>
          <w:rFonts w:ascii="標楷體" w:eastAsia="標楷體" w:hAnsi="標楷體"/>
          <w:sz w:val="28"/>
          <w:szCs w:val="28"/>
        </w:rPr>
      </w:pPr>
      <w:r w:rsidRPr="001B6E4D">
        <w:rPr>
          <w:rFonts w:ascii="標楷體" w:eastAsia="標楷體" w:hAnsi="標楷體"/>
          <w:sz w:val="28"/>
          <w:szCs w:val="28"/>
        </w:rPr>
        <w:t>提案人：</w:t>
      </w:r>
      <w:r w:rsidRPr="001B6E4D">
        <w:rPr>
          <w:rFonts w:ascii="標楷體" w:eastAsia="標楷體" w:hAnsi="標楷體" w:hint="eastAsia"/>
          <w:sz w:val="28"/>
          <w:szCs w:val="28"/>
        </w:rPr>
        <w:t>吳宗憲</w:t>
      </w:r>
    </w:p>
    <w:p w14:paraId="584FD911" w14:textId="77777777" w:rsidR="00201B77" w:rsidRPr="001B6E4D" w:rsidRDefault="00201B77" w:rsidP="003D1018">
      <w:pPr>
        <w:overflowPunct w:val="0"/>
        <w:snapToGrid w:val="0"/>
        <w:ind w:leftChars="1500" w:left="4776" w:hangingChars="420" w:hanging="1176"/>
        <w:jc w:val="both"/>
        <w:rPr>
          <w:rFonts w:ascii="標楷體" w:eastAsia="標楷體" w:hAnsi="標楷體"/>
          <w:sz w:val="28"/>
          <w:szCs w:val="28"/>
        </w:rPr>
      </w:pPr>
      <w:r w:rsidRPr="001B6E4D">
        <w:rPr>
          <w:rFonts w:ascii="標楷體" w:eastAsia="標楷體" w:hAnsi="標楷體"/>
          <w:sz w:val="28"/>
          <w:szCs w:val="28"/>
        </w:rPr>
        <w:t>連署人：</w:t>
      </w:r>
      <w:r w:rsidRPr="001B6E4D">
        <w:rPr>
          <w:rFonts w:ascii="標楷體" w:eastAsia="標楷體" w:hAnsi="標楷體" w:hint="eastAsia"/>
          <w:sz w:val="28"/>
          <w:szCs w:val="28"/>
        </w:rPr>
        <w:t>翁曉玲</w:t>
      </w:r>
      <w:r w:rsidRPr="001B6E4D">
        <w:rPr>
          <w:rFonts w:ascii="標楷體" w:eastAsia="標楷體" w:hAnsi="標楷體"/>
          <w:sz w:val="28"/>
          <w:szCs w:val="28"/>
        </w:rPr>
        <w:t xml:space="preserve">　</w:t>
      </w:r>
      <w:r w:rsidRPr="001B6E4D">
        <w:rPr>
          <w:rFonts w:ascii="標楷體" w:eastAsia="標楷體" w:hAnsi="標楷體" w:hint="eastAsia"/>
          <w:sz w:val="28"/>
          <w:szCs w:val="28"/>
        </w:rPr>
        <w:t>林倩綺</w:t>
      </w:r>
    </w:p>
    <w:p w14:paraId="0A47334D" w14:textId="77777777" w:rsidR="00201B77" w:rsidRPr="001B6E4D" w:rsidRDefault="00201B77" w:rsidP="003D1018">
      <w:pPr>
        <w:pStyle w:val="1f6"/>
        <w:overflowPunct w:val="0"/>
        <w:rPr>
          <w:color w:val="FF0000"/>
        </w:rPr>
      </w:pPr>
      <w:proofErr w:type="gramStart"/>
      <w:r w:rsidRPr="001B6E4D">
        <w:t>115</w:t>
      </w:r>
      <w:proofErr w:type="gramEnd"/>
      <w:r w:rsidRPr="001B6E4D">
        <w:t>年度行政院人事行政</w:t>
      </w:r>
      <w:proofErr w:type="gramStart"/>
      <w:r w:rsidRPr="001B6E4D">
        <w:t>總處歲出</w:t>
      </w:r>
      <w:proofErr w:type="gramEnd"/>
      <w:r w:rsidRPr="001B6E4D">
        <w:t>預算第2目「人事行政之政策規劃執行及發展」編列1億8,999萬5千</w:t>
      </w:r>
      <w:r w:rsidRPr="001B6E4D">
        <w:rPr>
          <w:rFonts w:hint="eastAsia"/>
        </w:rPr>
        <w:t>元</w:t>
      </w:r>
      <w:r w:rsidRPr="001B6E4D">
        <w:t>，凍結</w:t>
      </w:r>
      <w:r w:rsidRPr="001B6E4D">
        <w:rPr>
          <w:rFonts w:hint="eastAsia"/>
        </w:rPr>
        <w:t>678</w:t>
      </w:r>
      <w:r w:rsidRPr="001B6E4D">
        <w:t>萬</w:t>
      </w:r>
      <w:r w:rsidRPr="001B6E4D">
        <w:rPr>
          <w:rFonts w:hint="eastAsia"/>
        </w:rPr>
        <w:t>4千</w:t>
      </w:r>
      <w:r w:rsidRPr="001B6E4D">
        <w:t>元，</w:t>
      </w:r>
      <w:proofErr w:type="gramStart"/>
      <w:r w:rsidRPr="001B6E4D">
        <w:t>俟</w:t>
      </w:r>
      <w:proofErr w:type="gramEnd"/>
      <w:r w:rsidRPr="001B6E4D">
        <w:t>向立法院司法及法制委員會提出書面報告後，始得動支。【</w:t>
      </w:r>
      <w:r w:rsidRPr="001B6E4D">
        <w:rPr>
          <w:rFonts w:hint="eastAsia"/>
        </w:rPr>
        <w:t>15-18、20、2</w:t>
      </w:r>
      <w:r w:rsidRPr="001B6E4D">
        <w:t>2</w:t>
      </w:r>
      <w:r w:rsidRPr="001B6E4D">
        <w:rPr>
          <w:rFonts w:hint="eastAsia"/>
        </w:rPr>
        <w:t>、24</w:t>
      </w:r>
      <w:r w:rsidRPr="001B6E4D">
        <w:t>】</w:t>
      </w:r>
    </w:p>
    <w:p w14:paraId="6887C772" w14:textId="77777777" w:rsidR="00201B77" w:rsidRPr="001B6E4D" w:rsidRDefault="00201B77" w:rsidP="003D1018">
      <w:pPr>
        <w:pStyle w:val="2fb"/>
        <w:overflowPunct w:val="0"/>
      </w:pPr>
      <w:r w:rsidRPr="001B6E4D">
        <w:t>提案人：</w:t>
      </w:r>
      <w:r w:rsidRPr="001B6E4D">
        <w:rPr>
          <w:rFonts w:hint="eastAsia"/>
          <w:spacing w:val="-14"/>
        </w:rPr>
        <w:t>翁曉玲</w:t>
      </w:r>
      <w:r w:rsidRPr="001B6E4D">
        <w:rPr>
          <w:spacing w:val="-14"/>
        </w:rPr>
        <w:t xml:space="preserve">　</w:t>
      </w:r>
      <w:r w:rsidRPr="001B6E4D">
        <w:rPr>
          <w:rFonts w:hint="eastAsia"/>
          <w:spacing w:val="-14"/>
        </w:rPr>
        <w:t>許宇</w:t>
      </w:r>
      <w:proofErr w:type="gramStart"/>
      <w:r w:rsidRPr="001B6E4D">
        <w:rPr>
          <w:rFonts w:hint="eastAsia"/>
          <w:spacing w:val="-14"/>
        </w:rPr>
        <w:t>甄</w:t>
      </w:r>
      <w:proofErr w:type="gramEnd"/>
      <w:r w:rsidRPr="001B6E4D">
        <w:rPr>
          <w:spacing w:val="-14"/>
        </w:rPr>
        <w:t xml:space="preserve">　</w:t>
      </w:r>
      <w:r w:rsidRPr="001B6E4D">
        <w:rPr>
          <w:rFonts w:hint="eastAsia"/>
          <w:spacing w:val="-14"/>
        </w:rPr>
        <w:t>陳昭姿</w:t>
      </w:r>
      <w:r w:rsidRPr="001B6E4D">
        <w:rPr>
          <w:spacing w:val="-14"/>
        </w:rPr>
        <w:t xml:space="preserve">　</w:t>
      </w:r>
      <w:r w:rsidRPr="001B6E4D">
        <w:rPr>
          <w:rFonts w:hint="eastAsia"/>
          <w:spacing w:val="-14"/>
        </w:rPr>
        <w:t>吳宗憲</w:t>
      </w:r>
    </w:p>
    <w:p w14:paraId="3BFB3C47" w14:textId="77777777" w:rsidR="00201B77" w:rsidRPr="001B6E4D" w:rsidRDefault="00201B77" w:rsidP="003D1018">
      <w:pPr>
        <w:overflowPunct w:val="0"/>
        <w:snapToGrid w:val="0"/>
        <w:ind w:leftChars="1500" w:left="4776" w:hangingChars="420" w:hanging="1176"/>
        <w:jc w:val="both"/>
        <w:rPr>
          <w:rFonts w:ascii="標楷體" w:eastAsia="標楷體" w:hAnsi="標楷體"/>
          <w:spacing w:val="-14"/>
          <w:sz w:val="28"/>
          <w:szCs w:val="28"/>
        </w:rPr>
      </w:pPr>
      <w:r w:rsidRPr="001B6E4D">
        <w:rPr>
          <w:rFonts w:ascii="標楷體" w:eastAsia="標楷體" w:hAnsi="標楷體" w:hint="eastAsia"/>
          <w:sz w:val="28"/>
          <w:szCs w:val="28"/>
        </w:rPr>
        <w:t xml:space="preserve">        </w:t>
      </w:r>
      <w:r w:rsidRPr="001B6E4D">
        <w:rPr>
          <w:rFonts w:ascii="標楷體" w:eastAsia="標楷體" w:hAnsi="標楷體" w:hint="eastAsia"/>
          <w:spacing w:val="-14"/>
          <w:sz w:val="28"/>
          <w:szCs w:val="28"/>
        </w:rPr>
        <w:t>劉書彬</w:t>
      </w:r>
    </w:p>
    <w:p w14:paraId="30443DCB" w14:textId="77777777" w:rsidR="00201B77" w:rsidRPr="001B6E4D" w:rsidRDefault="00201B77" w:rsidP="003D1018">
      <w:pPr>
        <w:pStyle w:val="2fb"/>
        <w:overflowPunct w:val="0"/>
      </w:pPr>
      <w:r w:rsidRPr="001B6E4D">
        <w:t>連署人：</w:t>
      </w:r>
      <w:r w:rsidRPr="001B6E4D">
        <w:rPr>
          <w:rFonts w:hint="eastAsia"/>
        </w:rPr>
        <w:t>林倩綺</w:t>
      </w:r>
      <w:r w:rsidRPr="001B6E4D">
        <w:t xml:space="preserve">　</w:t>
      </w:r>
      <w:r w:rsidRPr="001B6E4D">
        <w:rPr>
          <w:rFonts w:hint="eastAsia"/>
        </w:rPr>
        <w:t>林沛祥</w:t>
      </w:r>
    </w:p>
    <w:p w14:paraId="450371F5" w14:textId="77777777" w:rsidR="00201B77" w:rsidRPr="001B6E4D" w:rsidRDefault="00201B77" w:rsidP="003D1018">
      <w:pPr>
        <w:pStyle w:val="1f6"/>
        <w:overflowPunct w:val="0"/>
      </w:pPr>
      <w:proofErr w:type="gramStart"/>
      <w:r w:rsidRPr="001B6E4D">
        <w:t>115</w:t>
      </w:r>
      <w:proofErr w:type="gramEnd"/>
      <w:r w:rsidRPr="001B6E4D">
        <w:t>年度行政院人事行政總處預算案於第1目「一般行政」項下「基本行政工作維持」編列預算3,917萬7千元，較</w:t>
      </w:r>
      <w:proofErr w:type="gramStart"/>
      <w:r w:rsidRPr="001B6E4D">
        <w:t>114</w:t>
      </w:r>
      <w:proofErr w:type="gramEnd"/>
      <w:r w:rsidRPr="001B6E4D">
        <w:t>年度增加</w:t>
      </w:r>
      <w:r w:rsidRPr="001B6E4D">
        <w:rPr>
          <w:rFonts w:hint="eastAsia"/>
        </w:rPr>
        <w:t>325</w:t>
      </w:r>
      <w:r w:rsidRPr="001B6E4D">
        <w:t>萬</w:t>
      </w:r>
      <w:r w:rsidRPr="001B6E4D">
        <w:rPr>
          <w:rFonts w:hint="eastAsia"/>
        </w:rPr>
        <w:t>4</w:t>
      </w:r>
      <w:r w:rsidRPr="001B6E4D">
        <w:t>千元。預算說明指出，在基本行政工作維持費方面，主要</w:t>
      </w:r>
      <w:proofErr w:type="gramStart"/>
      <w:r w:rsidRPr="001B6E4D">
        <w:t>係減列汰</w:t>
      </w:r>
      <w:proofErr w:type="gramEnd"/>
      <w:r w:rsidRPr="001B6E4D">
        <w:t>換空調箱等經費610萬5千元，卻又</w:t>
      </w:r>
      <w:proofErr w:type="gramStart"/>
      <w:r w:rsidRPr="001B6E4D">
        <w:t>增列北棟</w:t>
      </w:r>
      <w:proofErr w:type="gramEnd"/>
      <w:r w:rsidRPr="001B6E4D">
        <w:t>辦公大樓管理費等935萬9千元，</w:t>
      </w:r>
      <w:proofErr w:type="gramStart"/>
      <w:r w:rsidRPr="001B6E4D">
        <w:t>計淨增</w:t>
      </w:r>
      <w:proofErr w:type="gramEnd"/>
      <w:r w:rsidRPr="001B6E4D">
        <w:t>325萬4千元。</w:t>
      </w:r>
    </w:p>
    <w:p w14:paraId="30379C58" w14:textId="77777777" w:rsidR="00201B77" w:rsidRPr="001B6E4D" w:rsidRDefault="00201B77" w:rsidP="003D1018">
      <w:pPr>
        <w:pStyle w:val="1f7"/>
        <w:overflowPunct w:val="0"/>
      </w:pPr>
      <w:r w:rsidRPr="001B6E4D">
        <w:t>惟「基本行政工作維持」屬例行性支出，理應依員額、業務規模及實際辦公需求核實編列。</w:t>
      </w:r>
      <w:proofErr w:type="gramStart"/>
      <w:r w:rsidRPr="001B6E4D">
        <w:t>115</w:t>
      </w:r>
      <w:proofErr w:type="gramEnd"/>
      <w:r w:rsidRPr="001B6E4D">
        <w:t>年度人事總處預算員額由</w:t>
      </w:r>
      <w:proofErr w:type="gramStart"/>
      <w:r w:rsidRPr="001B6E4D">
        <w:t>114</w:t>
      </w:r>
      <w:proofErr w:type="gramEnd"/>
      <w:r w:rsidRPr="001B6E4D">
        <w:t>年度286人減為281人，減少5人，行政支援成本</w:t>
      </w:r>
      <w:proofErr w:type="gramStart"/>
      <w:r w:rsidRPr="001B6E4D">
        <w:t>本</w:t>
      </w:r>
      <w:proofErr w:type="gramEnd"/>
      <w:r w:rsidRPr="001B6E4D">
        <w:t>應更審慎控管，卻反而增加相關經費，已與</w:t>
      </w:r>
      <w:proofErr w:type="gramStart"/>
      <w:r w:rsidRPr="001B6E4D">
        <w:t>撙</w:t>
      </w:r>
      <w:proofErr w:type="gramEnd"/>
      <w:r w:rsidRPr="001B6E4D">
        <w:t>節原則不符；若無具體說明費用結構及增列原因，難免有浮編疑慮。</w:t>
      </w:r>
    </w:p>
    <w:p w14:paraId="6075BBBA" w14:textId="77777777" w:rsidR="00201B77" w:rsidRPr="001B6E4D" w:rsidRDefault="00201B77" w:rsidP="003D1018">
      <w:pPr>
        <w:pStyle w:val="1f7"/>
        <w:overflowPunct w:val="0"/>
      </w:pPr>
      <w:r w:rsidRPr="001B6E4D">
        <w:t>且查預算書內容，人事總處</w:t>
      </w:r>
      <w:proofErr w:type="gramStart"/>
      <w:r w:rsidRPr="001B6E4D">
        <w:t>115</w:t>
      </w:r>
      <w:proofErr w:type="gramEnd"/>
      <w:r w:rsidRPr="001B6E4D">
        <w:t>年度編列北棟辦公大樓管理費1,357萬6千元，</w:t>
      </w:r>
      <w:proofErr w:type="gramStart"/>
      <w:r w:rsidRPr="001B6E4D">
        <w:t>114</w:t>
      </w:r>
      <w:proofErr w:type="gramEnd"/>
      <w:r w:rsidRPr="001B6E4D">
        <w:t>年度法定預算則為</w:t>
      </w:r>
      <w:r w:rsidRPr="001B6E4D">
        <w:rPr>
          <w:rFonts w:hint="eastAsia"/>
        </w:rPr>
        <w:t>1</w:t>
      </w:r>
      <w:r w:rsidRPr="001B6E4D">
        <w:t>,</w:t>
      </w:r>
      <w:r w:rsidRPr="001B6E4D">
        <w:rPr>
          <w:rFonts w:hint="eastAsia"/>
        </w:rPr>
        <w:t>145</w:t>
      </w:r>
      <w:r w:rsidRPr="001B6E4D">
        <w:t>萬</w:t>
      </w:r>
      <w:r w:rsidRPr="001B6E4D">
        <w:rPr>
          <w:rFonts w:hint="eastAsia"/>
        </w:rPr>
        <w:t>9</w:t>
      </w:r>
      <w:r w:rsidRPr="001B6E4D">
        <w:t>千元</w:t>
      </w:r>
      <w:r w:rsidRPr="001B6E4D">
        <w:rPr>
          <w:rFonts w:hint="eastAsia"/>
        </w:rPr>
        <w:t>(含追加)</w:t>
      </w:r>
      <w:r w:rsidRPr="001B6E4D">
        <w:t>，增加</w:t>
      </w:r>
      <w:r w:rsidRPr="001B6E4D">
        <w:rPr>
          <w:rFonts w:hint="eastAsia"/>
        </w:rPr>
        <w:t>211</w:t>
      </w:r>
      <w:r w:rsidRPr="001B6E4D">
        <w:t>萬</w:t>
      </w:r>
      <w:r w:rsidRPr="001B6E4D">
        <w:rPr>
          <w:rFonts w:hint="eastAsia"/>
        </w:rPr>
        <w:t>7</w:t>
      </w:r>
      <w:r w:rsidRPr="001B6E4D">
        <w:t>千元，增幅達</w:t>
      </w:r>
      <w:r w:rsidRPr="001B6E4D">
        <w:rPr>
          <w:rFonts w:hint="eastAsia"/>
        </w:rPr>
        <w:t>18</w:t>
      </w:r>
      <w:r w:rsidRPr="001B6E4D">
        <w:t>.</w:t>
      </w:r>
      <w:r w:rsidRPr="001B6E4D">
        <w:rPr>
          <w:rFonts w:hint="eastAsia"/>
        </w:rPr>
        <w:t>5</w:t>
      </w:r>
      <w:r w:rsidRPr="001B6E4D">
        <w:t>%。相較同樣位於行政院中央聯合辦公大樓北棟之公平交易委員會，</w:t>
      </w:r>
      <w:proofErr w:type="gramStart"/>
      <w:r w:rsidRPr="001B6E4D">
        <w:t>115</w:t>
      </w:r>
      <w:proofErr w:type="gramEnd"/>
      <w:r w:rsidRPr="001B6E4D">
        <w:t>年度編列北棟大樓管理費479萬1千元，扣除19樓屋頂平台修繕分攤款60萬6千元後，實際管理費為418萬5千元；</w:t>
      </w:r>
      <w:proofErr w:type="gramStart"/>
      <w:r w:rsidRPr="001B6E4D">
        <w:t>114</w:t>
      </w:r>
      <w:proofErr w:type="gramEnd"/>
      <w:r w:rsidRPr="001B6E4D">
        <w:t>年度法定預算編列747萬元，扣除</w:t>
      </w:r>
      <w:proofErr w:type="gramStart"/>
      <w:r w:rsidRPr="001B6E4D">
        <w:t>汰</w:t>
      </w:r>
      <w:proofErr w:type="gramEnd"/>
      <w:r w:rsidRPr="001B6E4D">
        <w:t>換空調箱及消防廣播設備分攤款311萬3千元後，實際管理費為435萬7千元，實際管理費反而減</w:t>
      </w:r>
      <w:r w:rsidRPr="001B6E4D">
        <w:lastRenderedPageBreak/>
        <w:t>少17萬2千元，減幅約3.95%。</w:t>
      </w:r>
    </w:p>
    <w:p w14:paraId="1FAFADA8" w14:textId="77777777" w:rsidR="00201B77" w:rsidRPr="001B6E4D" w:rsidRDefault="00201B77" w:rsidP="003D1018">
      <w:pPr>
        <w:pStyle w:val="1f7"/>
        <w:overflowPunct w:val="0"/>
      </w:pPr>
      <w:r w:rsidRPr="001B6E4D">
        <w:t>同樣位於北棟大樓，為何有機關管理費下降，人事總處卻大幅上漲近四成？究竟是人事總處預算未依實際需求核實編列，還是北棟大樓管理費分攤機制失衡，使人事總處承擔不合理成本，均有</w:t>
      </w:r>
      <w:proofErr w:type="gramStart"/>
      <w:r w:rsidRPr="001B6E4D">
        <w:t>釐</w:t>
      </w:r>
      <w:proofErr w:type="gramEnd"/>
      <w:r w:rsidRPr="001B6E4D">
        <w:t>清必要，不能僅以「管理費」概括帶過。</w:t>
      </w:r>
    </w:p>
    <w:p w14:paraId="31A5CCC4" w14:textId="77777777" w:rsidR="00201B77" w:rsidRPr="001B6E4D" w:rsidRDefault="00201B77" w:rsidP="003D1018">
      <w:pPr>
        <w:pStyle w:val="1f7"/>
        <w:overflowPunct w:val="0"/>
      </w:pPr>
      <w:r w:rsidRPr="001B6E4D">
        <w:t>更何況，人民正深受通膨與高房租之苦，統計顯示115年3月房租指數仍達110.21，續創歷史新高。政府本應穩定成本、帶頭</w:t>
      </w:r>
      <w:proofErr w:type="gramStart"/>
      <w:r w:rsidRPr="001B6E4D">
        <w:t>撙</w:t>
      </w:r>
      <w:proofErr w:type="gramEnd"/>
      <w:r w:rsidRPr="001B6E4D">
        <w:t>節，人事總處卻在員額減少情況下增列近</w:t>
      </w:r>
      <w:r w:rsidRPr="001B6E4D">
        <w:rPr>
          <w:rFonts w:hint="eastAsia"/>
        </w:rPr>
        <w:t>二</w:t>
      </w:r>
      <w:r w:rsidRPr="001B6E4D">
        <w:t>成管理費，形同帶頭示範行政成本膨脹，對社會觀感及居住</w:t>
      </w:r>
      <w:proofErr w:type="gramStart"/>
      <w:r w:rsidRPr="001B6E4D">
        <w:t>正義均有不良</w:t>
      </w:r>
      <w:proofErr w:type="gramEnd"/>
      <w:r w:rsidRPr="001B6E4D">
        <w:t>影響。行政機關可以主張大樓管理費為必要支出，但不代表可以不受監督，不代表可以自然膨脹</w:t>
      </w:r>
      <w:r w:rsidRPr="001B6E4D">
        <w:rPr>
          <w:rFonts w:hint="eastAsia"/>
        </w:rPr>
        <w:t>，</w:t>
      </w:r>
      <w:proofErr w:type="gramStart"/>
      <w:r w:rsidRPr="001B6E4D">
        <w:rPr>
          <w:rFonts w:hint="eastAsia"/>
        </w:rPr>
        <w:t>俟</w:t>
      </w:r>
      <w:proofErr w:type="gramEnd"/>
      <w:r w:rsidRPr="001B6E4D">
        <w:t>行政院人事行政總處於</w:t>
      </w:r>
      <w:r w:rsidRPr="001B6E4D">
        <w:rPr>
          <w:rFonts w:hint="eastAsia"/>
        </w:rPr>
        <w:t>3</w:t>
      </w:r>
      <w:r w:rsidRPr="001B6E4D">
        <w:t>個月內向立法院司法及法制委員會提出</w:t>
      </w:r>
      <w:r w:rsidRPr="001B6E4D">
        <w:rPr>
          <w:rFonts w:hint="eastAsia"/>
        </w:rPr>
        <w:t>書面</w:t>
      </w:r>
      <w:r w:rsidRPr="001B6E4D">
        <w:t>報告，具體說明北棟辦公大樓管理費增加原因、分攤標準、使用空間變化、與同棟其他機關管理費差異，以及是否存在分攤</w:t>
      </w:r>
      <w:proofErr w:type="gramStart"/>
      <w:r w:rsidRPr="001B6E4D">
        <w:t>不均或編列</w:t>
      </w:r>
      <w:proofErr w:type="gramEnd"/>
      <w:r w:rsidRPr="001B6E4D">
        <w:t>不實情形，以督促其核實編列、</w:t>
      </w:r>
      <w:proofErr w:type="gramStart"/>
      <w:r w:rsidRPr="001B6E4D">
        <w:t>撙</w:t>
      </w:r>
      <w:proofErr w:type="gramEnd"/>
      <w:r w:rsidRPr="001B6E4D">
        <w:t>節支出。【5】</w:t>
      </w:r>
    </w:p>
    <w:p w14:paraId="40AD40A9" w14:textId="77777777" w:rsidR="00201B77" w:rsidRPr="001B6E4D" w:rsidRDefault="00201B77" w:rsidP="003D1018">
      <w:pPr>
        <w:pStyle w:val="2fb"/>
        <w:overflowPunct w:val="0"/>
      </w:pPr>
      <w:r w:rsidRPr="001B6E4D">
        <w:t>提案人：許宇</w:t>
      </w:r>
      <w:proofErr w:type="gramStart"/>
      <w:r w:rsidRPr="001B6E4D">
        <w:t>甄</w:t>
      </w:r>
      <w:proofErr w:type="gramEnd"/>
    </w:p>
    <w:p w14:paraId="51967BD8" w14:textId="77777777" w:rsidR="00201B77" w:rsidRPr="001B6E4D" w:rsidRDefault="00201B77" w:rsidP="003D1018">
      <w:pPr>
        <w:pStyle w:val="2fb"/>
        <w:overflowPunct w:val="0"/>
      </w:pPr>
      <w:r w:rsidRPr="001B6E4D">
        <w:t>連署人：林倩綺　林沛祥</w:t>
      </w:r>
    </w:p>
    <w:p w14:paraId="1519EF41" w14:textId="77777777" w:rsidR="00201B77" w:rsidRPr="001B6E4D" w:rsidRDefault="00201B77" w:rsidP="003D1018">
      <w:pPr>
        <w:pStyle w:val="1f6"/>
        <w:overflowPunct w:val="0"/>
      </w:pPr>
      <w:proofErr w:type="gramStart"/>
      <w:r w:rsidRPr="001B6E4D">
        <w:t>115</w:t>
      </w:r>
      <w:proofErr w:type="gramEnd"/>
      <w:r w:rsidRPr="001B6E4D">
        <w:t>年度行政院人事行政總處預算案於第1目「一般行政」項下「基本行政工作維持」中「業務費」之「一般事務費」</w:t>
      </w:r>
      <w:r w:rsidRPr="001B6E4D">
        <w:rPr>
          <w:rFonts w:hint="eastAsia"/>
        </w:rPr>
        <w:t>之「</w:t>
      </w:r>
      <w:r w:rsidRPr="001B6E4D">
        <w:t>北棟辦公大樓管理費</w:t>
      </w:r>
      <w:r w:rsidRPr="001B6E4D">
        <w:rPr>
          <w:rFonts w:hint="eastAsia"/>
        </w:rPr>
        <w:t>」</w:t>
      </w:r>
      <w:r w:rsidRPr="001B6E4D">
        <w:t>編列預算1,357萬6千元。較</w:t>
      </w:r>
      <w:proofErr w:type="gramStart"/>
      <w:r w:rsidRPr="001B6E4D">
        <w:t>114</w:t>
      </w:r>
      <w:proofErr w:type="gramEnd"/>
      <w:r w:rsidRPr="001B6E4D">
        <w:t>年度編列之1,145萬9千元大幅增加211萬7千元，增幅約18.5%。</w:t>
      </w:r>
      <w:proofErr w:type="gramStart"/>
      <w:r w:rsidRPr="001B6E4D">
        <w:t>惟</w:t>
      </w:r>
      <w:proofErr w:type="gramEnd"/>
      <w:r w:rsidRPr="001B6E4D">
        <w:t>說明欄位並無重大新建、</w:t>
      </w:r>
      <w:proofErr w:type="gramStart"/>
      <w:r w:rsidRPr="001B6E4D">
        <w:t>汰</w:t>
      </w:r>
      <w:proofErr w:type="gramEnd"/>
      <w:r w:rsidRPr="001B6E4D">
        <w:t>換或特殊情況，未具體交代增加之理由及必要性。該項經費性質主要為水電支出及設備維護，按理應隨物價或一般維運需求小幅增減，實無短期內大幅成長近</w:t>
      </w:r>
      <w:r w:rsidRPr="001B6E4D">
        <w:rPr>
          <w:rFonts w:hint="eastAsia"/>
        </w:rPr>
        <w:t>二</w:t>
      </w:r>
      <w:r w:rsidRPr="001B6E4D">
        <w:t>成之理。</w:t>
      </w:r>
    </w:p>
    <w:p w14:paraId="1EFC45AA" w14:textId="77777777" w:rsidR="00201B77" w:rsidRPr="001B6E4D" w:rsidRDefault="00201B77" w:rsidP="003D1018">
      <w:pPr>
        <w:pStyle w:val="1f7"/>
        <w:overflowPunct w:val="0"/>
      </w:pPr>
      <w:proofErr w:type="gramStart"/>
      <w:r w:rsidRPr="001B6E4D">
        <w:t>爰</w:t>
      </w:r>
      <w:proofErr w:type="gramEnd"/>
      <w:r w:rsidRPr="001B6E4D">
        <w:t>此，</w:t>
      </w:r>
      <w:r w:rsidRPr="001B6E4D">
        <w:rPr>
          <w:rFonts w:hint="eastAsia"/>
        </w:rPr>
        <w:t>請</w:t>
      </w:r>
      <w:r w:rsidRPr="001B6E4D">
        <w:t>行政院人事行政總處</w:t>
      </w:r>
      <w:proofErr w:type="gramStart"/>
      <w:r w:rsidRPr="001B6E4D">
        <w:rPr>
          <w:rFonts w:hint="eastAsia"/>
        </w:rPr>
        <w:t>撙</w:t>
      </w:r>
      <w:proofErr w:type="gramEnd"/>
      <w:r w:rsidRPr="001B6E4D">
        <w:rPr>
          <w:rFonts w:hint="eastAsia"/>
        </w:rPr>
        <w:t>節支出，工程完竣後通報林委員</w:t>
      </w:r>
      <w:proofErr w:type="gramStart"/>
      <w:r w:rsidRPr="001B6E4D">
        <w:rPr>
          <w:rFonts w:hint="eastAsia"/>
        </w:rPr>
        <w:t>倩綺</w:t>
      </w:r>
      <w:proofErr w:type="gramEnd"/>
      <w:r w:rsidRPr="001B6E4D">
        <w:rPr>
          <w:rFonts w:hint="eastAsia"/>
        </w:rPr>
        <w:t>辦公室知悉並提供完工資料（含前後對照表）</w:t>
      </w:r>
      <w:r w:rsidRPr="001B6E4D">
        <w:t>。【8】</w:t>
      </w:r>
    </w:p>
    <w:p w14:paraId="4F095550" w14:textId="77777777" w:rsidR="00201B77" w:rsidRPr="001B6E4D" w:rsidRDefault="00201B77" w:rsidP="003D1018">
      <w:pPr>
        <w:pStyle w:val="2fb"/>
        <w:overflowPunct w:val="0"/>
      </w:pPr>
      <w:r w:rsidRPr="001B6E4D">
        <w:t>提案人：林倩綺</w:t>
      </w:r>
    </w:p>
    <w:p w14:paraId="341AADA3" w14:textId="77777777" w:rsidR="00201B77" w:rsidRPr="001B6E4D" w:rsidRDefault="00201B77" w:rsidP="003D1018">
      <w:pPr>
        <w:pStyle w:val="2fb"/>
        <w:overflowPunct w:val="0"/>
      </w:pPr>
      <w:r w:rsidRPr="001B6E4D">
        <w:t>連署人：翁曉玲　陳昭姿</w:t>
      </w:r>
    </w:p>
    <w:p w14:paraId="7E841C4E" w14:textId="77777777" w:rsidR="00201B77" w:rsidRPr="001B6E4D" w:rsidRDefault="00201B77" w:rsidP="003D1018">
      <w:pPr>
        <w:pStyle w:val="1f6"/>
        <w:overflowPunct w:val="0"/>
      </w:pPr>
      <w:r w:rsidRPr="001B6E4D">
        <w:t>全國教師工會總聯合會（全教總）及多個公教團體指出，儘管</w:t>
      </w:r>
      <w:proofErr w:type="gramStart"/>
      <w:r w:rsidRPr="001B6E4D">
        <w:t>114</w:t>
      </w:r>
      <w:proofErr w:type="gramEnd"/>
      <w:r w:rsidRPr="001B6E4D">
        <w:t>年度已通案調薪3%，惟過去10年台灣人均GDP成長率達93.2%，公教待遇累積調幅僅14.7%，實質薪資成長嚴重落後於經濟果實與物價漲幅。全教總強烈主張</w:t>
      </w:r>
      <w:proofErr w:type="gramStart"/>
      <w:r w:rsidRPr="001B6E4D">
        <w:t>116</w:t>
      </w:r>
      <w:proofErr w:type="gramEnd"/>
      <w:r w:rsidRPr="001B6E4D">
        <w:t>年度整體調薪幅度應至少達10%，且應同步調升「專業加給」與「學術研究加給」20%，以根本解決因長期薪資停滯導致的教職及公部門人才流失危機，並修復公務體系之市場競爭力。否則</w:t>
      </w:r>
      <w:proofErr w:type="gramStart"/>
      <w:r w:rsidRPr="001B6E4D">
        <w:t>恐</w:t>
      </w:r>
      <w:proofErr w:type="gramEnd"/>
      <w:r w:rsidRPr="001B6E4D">
        <w:t>難以回應基層對「結構性調薪」之期待。若整體調薪幅度無法抵銷通膨</w:t>
      </w:r>
      <w:r w:rsidRPr="001B6E4D">
        <w:lastRenderedPageBreak/>
        <w:t>影響並與GDP成長率接軌，將持續導致國考報考人數低迷與資深人才逃亡。</w:t>
      </w:r>
      <w:r w:rsidRPr="001B6E4D">
        <w:rPr>
          <w:rFonts w:hint="eastAsia"/>
        </w:rPr>
        <w:t>行政院</w:t>
      </w:r>
      <w:r w:rsidRPr="001B6E4D">
        <w:t>人事行政總處應落實「照顧基層」之宣示，將公教團體提出之「整體10%、加給20%」訴求納入正式評估，而非僅採取局部性補貼。</w:t>
      </w:r>
    </w:p>
    <w:p w14:paraId="2D3ED13A" w14:textId="77777777" w:rsidR="00201B77" w:rsidRPr="001B6E4D" w:rsidRDefault="00201B77" w:rsidP="003D1018">
      <w:pPr>
        <w:pStyle w:val="1f7"/>
        <w:overflowPunct w:val="0"/>
      </w:pPr>
      <w:proofErr w:type="gramStart"/>
      <w:r w:rsidRPr="001B6E4D">
        <w:t>爰</w:t>
      </w:r>
      <w:proofErr w:type="gramEnd"/>
      <w:r w:rsidRPr="001B6E4D">
        <w:t>此，要求</w:t>
      </w:r>
      <w:r w:rsidRPr="001B6E4D">
        <w:rPr>
          <w:rFonts w:hint="eastAsia"/>
        </w:rPr>
        <w:t>行政院</w:t>
      </w:r>
      <w:r w:rsidRPr="001B6E4D">
        <w:t>人事行政總處應</w:t>
      </w:r>
      <w:r w:rsidRPr="001B6E4D">
        <w:rPr>
          <w:rFonts w:hint="eastAsia"/>
        </w:rPr>
        <w:t>於</w:t>
      </w:r>
      <w:r w:rsidRPr="001B6E4D">
        <w:t>3個月內針對「</w:t>
      </w:r>
      <w:proofErr w:type="gramStart"/>
      <w:r w:rsidRPr="001B6E4D">
        <w:t>116</w:t>
      </w:r>
      <w:proofErr w:type="gramEnd"/>
      <w:r w:rsidRPr="001B6E4D">
        <w:t>年度公教人員整體調薪10%暨專業/學術研究加給調升20%」</w:t>
      </w:r>
      <w:r w:rsidRPr="001B6E4D">
        <w:rPr>
          <w:rFonts w:hint="eastAsia"/>
        </w:rPr>
        <w:t>提出書面</w:t>
      </w:r>
      <w:r w:rsidRPr="001B6E4D">
        <w:t>報告，內容應具體包含如何透過大幅調薪縮減公教與民間之薪資差距、建立科學化之薪資審議機制，以及確保經濟成長果實由全體公教同仁共享之預算配置方案。【10】</w:t>
      </w:r>
    </w:p>
    <w:p w14:paraId="5DED5F55" w14:textId="77777777" w:rsidR="00201B77" w:rsidRPr="001B6E4D" w:rsidRDefault="00201B77" w:rsidP="003D1018">
      <w:pPr>
        <w:pStyle w:val="2fb"/>
        <w:overflowPunct w:val="0"/>
      </w:pPr>
      <w:r w:rsidRPr="001B6E4D">
        <w:t>提案人：陳昭姿　劉書彬</w:t>
      </w:r>
    </w:p>
    <w:p w14:paraId="766F21BB" w14:textId="77777777" w:rsidR="00201B77" w:rsidRPr="001B6E4D" w:rsidRDefault="00201B77" w:rsidP="003D1018">
      <w:pPr>
        <w:pStyle w:val="2fb"/>
        <w:overflowPunct w:val="0"/>
      </w:pPr>
      <w:r w:rsidRPr="001B6E4D">
        <w:t>連署人：翁曉玲　吳宗憲</w:t>
      </w:r>
    </w:p>
    <w:p w14:paraId="206E0BAE" w14:textId="77777777" w:rsidR="00201B77" w:rsidRPr="001B6E4D" w:rsidRDefault="00201B77" w:rsidP="003D1018">
      <w:pPr>
        <w:pStyle w:val="1f6"/>
        <w:overflowPunct w:val="0"/>
      </w:pPr>
      <w:proofErr w:type="gramStart"/>
      <w:r w:rsidRPr="001B6E4D">
        <w:t>115</w:t>
      </w:r>
      <w:proofErr w:type="gramEnd"/>
      <w:r w:rsidRPr="001B6E4D">
        <w:t>年度行政院人事行政總處預算案於第2目「人事行政之政策規劃執行及發展」編列預算1億8,999萬5千元。</w:t>
      </w:r>
    </w:p>
    <w:p w14:paraId="38C2D8B8" w14:textId="77777777" w:rsidR="00201B77" w:rsidRPr="001B6E4D" w:rsidRDefault="00201B77" w:rsidP="003D1018">
      <w:pPr>
        <w:pStyle w:val="1f7"/>
        <w:overflowPunct w:val="0"/>
      </w:pPr>
      <w:r w:rsidRPr="001B6E4D">
        <w:t>軍公教調薪機制無納入基層代表、欠缺法律依據，早已備受外界批評。107年，監察院就曾指出「軍公教法定給與以外其他給與項目，部分欠缺明確法律依據</w:t>
      </w:r>
      <w:proofErr w:type="gramStart"/>
      <w:r w:rsidRPr="001B6E4D">
        <w:t>等情案</w:t>
      </w:r>
      <w:proofErr w:type="gramEnd"/>
      <w:r w:rsidRPr="001B6E4D">
        <w:t>，行政院自96年推動法制化作業迄今仍未有具體進展，遷延過久。」</w:t>
      </w:r>
    </w:p>
    <w:p w14:paraId="2600E1C3" w14:textId="77777777" w:rsidR="00201B77" w:rsidRPr="001B6E4D" w:rsidRDefault="00201B77" w:rsidP="003D1018">
      <w:pPr>
        <w:pStyle w:val="1f7"/>
        <w:overflowPunct w:val="0"/>
      </w:pPr>
      <w:r w:rsidRPr="001B6E4D">
        <w:t>113年5月，行政院人事行政總處送出「軍公教調薪機制法制化」書面報告，回應將朝法制化方向規</w:t>
      </w:r>
      <w:r w:rsidRPr="001B6E4D">
        <w:rPr>
          <w:rFonts w:hint="eastAsia"/>
        </w:rPr>
        <w:t>劃</w:t>
      </w:r>
      <w:r w:rsidRPr="001B6E4D">
        <w:t>，並以113年底前報請行政院送請立法院審議為目標。113年9月30日，人事長於備</w:t>
      </w:r>
      <w:proofErr w:type="gramStart"/>
      <w:r w:rsidRPr="001B6E4D">
        <w:t>詢</w:t>
      </w:r>
      <w:proofErr w:type="gramEnd"/>
      <w:r w:rsidRPr="001B6E4D">
        <w:t>時承諾113年底以前會將法案送至立法院，人事長更信誓旦旦掛保證「不會跳票」。但是到113年年底，</w:t>
      </w:r>
      <w:r w:rsidRPr="001B6E4D">
        <w:rPr>
          <w:rFonts w:hint="eastAsia"/>
        </w:rPr>
        <w:t>「軍</w:t>
      </w:r>
      <w:r w:rsidRPr="001B6E4D">
        <w:t>公教人員待遇調整條例草案</w:t>
      </w:r>
      <w:r w:rsidRPr="001B6E4D">
        <w:rPr>
          <w:rFonts w:hint="eastAsia"/>
        </w:rPr>
        <w:t>」</w:t>
      </w:r>
      <w:r w:rsidRPr="001B6E4D">
        <w:t>仍不見蹤影。</w:t>
      </w:r>
    </w:p>
    <w:p w14:paraId="0AE1C44B" w14:textId="77777777" w:rsidR="00201B77" w:rsidRPr="001B6E4D" w:rsidRDefault="00201B77" w:rsidP="003D1018">
      <w:pPr>
        <w:pStyle w:val="1f7"/>
        <w:overflowPunct w:val="0"/>
      </w:pPr>
      <w:r w:rsidRPr="001B6E4D">
        <w:t>114年3月20日，人</w:t>
      </w:r>
      <w:r w:rsidRPr="001B6E4D">
        <w:rPr>
          <w:rFonts w:hint="eastAsia"/>
        </w:rPr>
        <w:t>事</w:t>
      </w:r>
      <w:r w:rsidRPr="001B6E4D">
        <w:t>總</w:t>
      </w:r>
      <w:r w:rsidRPr="001B6E4D">
        <w:rPr>
          <w:rFonts w:hint="eastAsia"/>
        </w:rPr>
        <w:t>處</w:t>
      </w:r>
      <w:r w:rsidRPr="001B6E4D">
        <w:t>於立法院備</w:t>
      </w:r>
      <w:proofErr w:type="gramStart"/>
      <w:r w:rsidRPr="001B6E4D">
        <w:t>詢</w:t>
      </w:r>
      <w:proofErr w:type="gramEnd"/>
      <w:r w:rsidRPr="001B6E4D">
        <w:t>時表示法案已經送行政院審查，要等行政院的議程。114年10月29日人</w:t>
      </w:r>
      <w:r w:rsidRPr="001B6E4D">
        <w:rPr>
          <w:rFonts w:hint="eastAsia"/>
        </w:rPr>
        <w:t>事</w:t>
      </w:r>
      <w:r w:rsidRPr="001B6E4D">
        <w:t>總</w:t>
      </w:r>
      <w:r w:rsidRPr="001B6E4D">
        <w:rPr>
          <w:rFonts w:hint="eastAsia"/>
        </w:rPr>
        <w:t>處</w:t>
      </w:r>
      <w:r w:rsidRPr="001B6E4D">
        <w:t>於立法院備</w:t>
      </w:r>
      <w:proofErr w:type="gramStart"/>
      <w:r w:rsidRPr="001B6E4D">
        <w:t>詢</w:t>
      </w:r>
      <w:proofErr w:type="gramEnd"/>
      <w:r w:rsidRPr="001B6E4D">
        <w:t>時，仍表示草案仍在政院審議流程，並提到基層代表將預計達</w:t>
      </w:r>
      <w:r w:rsidRPr="001B6E4D">
        <w:rPr>
          <w:rFonts w:hint="eastAsia"/>
        </w:rPr>
        <w:t>二</w:t>
      </w:r>
      <w:r w:rsidRPr="001B6E4D">
        <w:t>成。至115年5月6日，人</w:t>
      </w:r>
      <w:r w:rsidRPr="001B6E4D">
        <w:rPr>
          <w:rFonts w:hint="eastAsia"/>
        </w:rPr>
        <w:t>事</w:t>
      </w:r>
      <w:r w:rsidRPr="001B6E4D">
        <w:t>總</w:t>
      </w:r>
      <w:r w:rsidRPr="001B6E4D">
        <w:rPr>
          <w:rFonts w:hint="eastAsia"/>
        </w:rPr>
        <w:t>處</w:t>
      </w:r>
      <w:r w:rsidRPr="001B6E4D">
        <w:t>於立法院備</w:t>
      </w:r>
      <w:proofErr w:type="gramStart"/>
      <w:r w:rsidRPr="001B6E4D">
        <w:t>詢</w:t>
      </w:r>
      <w:proofErr w:type="gramEnd"/>
      <w:r w:rsidRPr="001B6E4D">
        <w:t>時，仍表示草案仍在政院審議。</w:t>
      </w:r>
    </w:p>
    <w:p w14:paraId="12342B8B" w14:textId="77777777" w:rsidR="00201B77" w:rsidRPr="001B6E4D" w:rsidRDefault="00201B77" w:rsidP="003D1018">
      <w:pPr>
        <w:pStyle w:val="1f7"/>
        <w:overflowPunct w:val="0"/>
      </w:pPr>
      <w:r w:rsidRPr="001B6E4D">
        <w:t>軍公教調薪機制法制化已延宕多年，一再跳票，人</w:t>
      </w:r>
      <w:r w:rsidRPr="001B6E4D">
        <w:rPr>
          <w:rFonts w:hint="eastAsia"/>
        </w:rPr>
        <w:t>事</w:t>
      </w:r>
      <w:r w:rsidRPr="001B6E4D">
        <w:t>總</w:t>
      </w:r>
      <w:r w:rsidRPr="001B6E4D">
        <w:rPr>
          <w:rFonts w:hint="eastAsia"/>
        </w:rPr>
        <w:t>處</w:t>
      </w:r>
      <w:r w:rsidRPr="001B6E4D">
        <w:t>應兌現對全國軍公教人員的承諾。另基層代表倘若僅占</w:t>
      </w:r>
      <w:r w:rsidRPr="001B6E4D">
        <w:rPr>
          <w:rFonts w:hint="eastAsia"/>
        </w:rPr>
        <w:t>二</w:t>
      </w:r>
      <w:r w:rsidRPr="001B6E4D">
        <w:t>成，恐對基層發聲不利。</w:t>
      </w:r>
      <w:proofErr w:type="gramStart"/>
      <w:r w:rsidRPr="001B6E4D">
        <w:t>爰</w:t>
      </w:r>
      <w:proofErr w:type="gramEnd"/>
      <w:r w:rsidRPr="001B6E4D">
        <w:t>請</w:t>
      </w:r>
      <w:r w:rsidRPr="001B6E4D">
        <w:rPr>
          <w:rFonts w:hint="eastAsia"/>
        </w:rPr>
        <w:t>行政院</w:t>
      </w:r>
      <w:r w:rsidRPr="001B6E4D">
        <w:t>人</w:t>
      </w:r>
      <w:r w:rsidRPr="001B6E4D">
        <w:rPr>
          <w:rFonts w:hint="eastAsia"/>
        </w:rPr>
        <w:t>事行政</w:t>
      </w:r>
      <w:r w:rsidRPr="001B6E4D">
        <w:t>總</w:t>
      </w:r>
      <w:r w:rsidRPr="001B6E4D">
        <w:rPr>
          <w:rFonts w:hint="eastAsia"/>
        </w:rPr>
        <w:t>處</w:t>
      </w:r>
      <w:r w:rsidRPr="001B6E4D">
        <w:t>於3個月內</w:t>
      </w:r>
      <w:r w:rsidRPr="001B6E4D">
        <w:rPr>
          <w:rFonts w:hint="eastAsia"/>
        </w:rPr>
        <w:t>就</w:t>
      </w:r>
      <w:r w:rsidRPr="001B6E4D">
        <w:t>軍公教調薪機制法制化進度</w:t>
      </w:r>
      <w:r w:rsidRPr="001B6E4D">
        <w:rPr>
          <w:rFonts w:hint="eastAsia"/>
        </w:rPr>
        <w:t>及</w:t>
      </w:r>
      <w:r w:rsidRPr="001B6E4D">
        <w:t>基層代表比例</w:t>
      </w:r>
      <w:r w:rsidRPr="001B6E4D">
        <w:rPr>
          <w:rFonts w:hint="eastAsia"/>
        </w:rPr>
        <w:t>向立法院</w:t>
      </w:r>
      <w:r w:rsidRPr="001B6E4D">
        <w:t>司法</w:t>
      </w:r>
      <w:r w:rsidRPr="001B6E4D">
        <w:rPr>
          <w:rFonts w:hint="eastAsia"/>
        </w:rPr>
        <w:t>及</w:t>
      </w:r>
      <w:r w:rsidRPr="001B6E4D">
        <w:t>法制委員會</w:t>
      </w:r>
      <w:r w:rsidRPr="001B6E4D">
        <w:rPr>
          <w:rFonts w:hint="eastAsia"/>
        </w:rPr>
        <w:t>提出</w:t>
      </w:r>
      <w:r w:rsidRPr="001B6E4D">
        <w:t>書面報告。【1</w:t>
      </w:r>
      <w:r w:rsidRPr="001B6E4D">
        <w:rPr>
          <w:rFonts w:hint="eastAsia"/>
        </w:rPr>
        <w:t>2】</w:t>
      </w:r>
    </w:p>
    <w:p w14:paraId="7677331B" w14:textId="77777777" w:rsidR="00201B77" w:rsidRPr="001B6E4D" w:rsidRDefault="00201B77" w:rsidP="003D1018">
      <w:pPr>
        <w:pStyle w:val="2fb"/>
        <w:overflowPunct w:val="0"/>
      </w:pPr>
      <w:r w:rsidRPr="001B6E4D">
        <w:t>提案人：陳昭姿</w:t>
      </w:r>
    </w:p>
    <w:p w14:paraId="55F09B2D" w14:textId="77777777" w:rsidR="00201B77" w:rsidRPr="001B6E4D" w:rsidRDefault="00201B77" w:rsidP="003D1018">
      <w:pPr>
        <w:pStyle w:val="2fb"/>
        <w:overflowPunct w:val="0"/>
      </w:pPr>
      <w:r w:rsidRPr="001B6E4D">
        <w:t>連署人：翁曉玲　林沛祥</w:t>
      </w:r>
    </w:p>
    <w:p w14:paraId="0A7DFDAB" w14:textId="77777777" w:rsidR="00201B77" w:rsidRPr="001B6E4D" w:rsidRDefault="00201B77" w:rsidP="003D1018">
      <w:pPr>
        <w:pStyle w:val="1f6"/>
        <w:overflowPunct w:val="0"/>
      </w:pPr>
      <w:proofErr w:type="gramStart"/>
      <w:r w:rsidRPr="001B6E4D">
        <w:t>115</w:t>
      </w:r>
      <w:proofErr w:type="gramEnd"/>
      <w:r w:rsidRPr="001B6E4D">
        <w:t>年度行政院人事行政總處預算案於第2目「人事行政之政策規劃執行及發展」項下「合理配置組設人力」編列預算270萬3千元，較</w:t>
      </w:r>
      <w:proofErr w:type="gramStart"/>
      <w:r w:rsidRPr="001B6E4D">
        <w:t>114</w:t>
      </w:r>
      <w:proofErr w:type="gramEnd"/>
      <w:r w:rsidRPr="001B6E4D">
        <w:t>年度增加109萬1千元，增幅達67.7%，主要係</w:t>
      </w:r>
      <w:r w:rsidRPr="001B6E4D">
        <w:lastRenderedPageBreak/>
        <w:t>增列員額評鑑及進用約用人員等經費。</w:t>
      </w:r>
    </w:p>
    <w:p w14:paraId="1E794750" w14:textId="77777777" w:rsidR="00201B77" w:rsidRPr="001B6E4D" w:rsidRDefault="00201B77" w:rsidP="003D1018">
      <w:pPr>
        <w:pStyle w:val="1f7"/>
        <w:overflowPunct w:val="0"/>
      </w:pPr>
      <w:r w:rsidRPr="001B6E4D">
        <w:t>人事總處為中央機關員額管理主管機關，職責在於檢討各機關組織、業務及人力配置，使有限人力用於核心業務。惟</w:t>
      </w:r>
      <w:proofErr w:type="gramStart"/>
      <w:r w:rsidRPr="001B6E4D">
        <w:t>115</w:t>
      </w:r>
      <w:proofErr w:type="gramEnd"/>
      <w:r w:rsidRPr="001B6E4D">
        <w:t>年度「合理配置組設人力」項下新增約用人員酬金60萬元。人事總處一方面負責檢討各機關員額與多元人力運用，另一方面卻在同一科目新增約用人力，究係協助員額評鑑、資料整理、行政庶務，或參與實質審查各機關人力配置，</w:t>
      </w:r>
      <w:proofErr w:type="gramStart"/>
      <w:r w:rsidRPr="001B6E4D">
        <w:t>均未具體</w:t>
      </w:r>
      <w:proofErr w:type="gramEnd"/>
      <w:r w:rsidRPr="001B6E4D">
        <w:t>說明。若僅為行政工作，應先由現有人力調整支應；若涉及實質審查，更應說明其專業資格、權責分工及必要性。</w:t>
      </w:r>
    </w:p>
    <w:p w14:paraId="2DB198C3" w14:textId="77777777" w:rsidR="00201B77" w:rsidRPr="001B6E4D" w:rsidRDefault="00201B77" w:rsidP="003D1018">
      <w:pPr>
        <w:pStyle w:val="1f7"/>
        <w:overflowPunct w:val="0"/>
      </w:pPr>
      <w:r w:rsidRPr="001B6E4D">
        <w:t>另據人事總處備</w:t>
      </w:r>
      <w:proofErr w:type="gramStart"/>
      <w:r w:rsidRPr="001B6E4D">
        <w:t>詢</w:t>
      </w:r>
      <w:proofErr w:type="gramEnd"/>
      <w:r w:rsidRPr="001B6E4D">
        <w:t>說明，</w:t>
      </w:r>
      <w:proofErr w:type="gramStart"/>
      <w:r w:rsidRPr="001B6E4D">
        <w:t>113</w:t>
      </w:r>
      <w:proofErr w:type="gramEnd"/>
      <w:r w:rsidRPr="001B6E4D">
        <w:t>年度員額評鑑已對39個機關提出456項評鑑建議，惟其解除列管標準，似僅以各機關「朝評鑑建議方向發展」即可認定辦理，並未設定明確量化指標、完成期限及責任追蹤。如此</w:t>
      </w:r>
      <w:proofErr w:type="gramStart"/>
      <w:r w:rsidRPr="001B6E4D">
        <w:t>一來，</w:t>
      </w:r>
      <w:proofErr w:type="gramEnd"/>
      <w:r w:rsidRPr="001B6E4D">
        <w:t>員額評鑑恐流於「有改善方向即可交差」的</w:t>
      </w:r>
      <w:proofErr w:type="gramStart"/>
      <w:r w:rsidRPr="001B6E4D">
        <w:t>和稀泥式管考</w:t>
      </w:r>
      <w:proofErr w:type="gramEnd"/>
      <w:r w:rsidRPr="001B6E4D">
        <w:t>，難以真正檢驗各機關是否完成業務簡化、人力重分配及效能提升。</w:t>
      </w:r>
    </w:p>
    <w:p w14:paraId="113E3C5F" w14:textId="77777777" w:rsidR="00201B77" w:rsidRPr="001B6E4D" w:rsidRDefault="00201B77" w:rsidP="003D1018">
      <w:pPr>
        <w:pStyle w:val="1f7"/>
        <w:overflowPunct w:val="0"/>
      </w:pPr>
      <w:r w:rsidRPr="001B6E4D">
        <w:t>目前各部會</w:t>
      </w:r>
      <w:proofErr w:type="gramStart"/>
      <w:r w:rsidRPr="001B6E4D">
        <w:t>一方面喊缺人</w:t>
      </w:r>
      <w:proofErr w:type="gramEnd"/>
      <w:r w:rsidRPr="001B6E4D">
        <w:t>，另一方面約用、委外及臨時性人力持續存在；一方面宣稱員額受控，另一方面新設機關、新增任務及新增計畫不斷擴張。若員額評鑑不能有效要求各機關檢討去任務化、流程簡化、委外合理性及人力錯置問題，預算再增加，也只是讓評鑑報告一本接一本，實際上無法減輕基層負擔。</w:t>
      </w:r>
    </w:p>
    <w:p w14:paraId="1B9EBF96" w14:textId="77777777" w:rsidR="00201B77" w:rsidRPr="001B6E4D" w:rsidRDefault="00201B77" w:rsidP="003D1018">
      <w:pPr>
        <w:pStyle w:val="1f7"/>
        <w:overflowPunct w:val="0"/>
      </w:pPr>
      <w:r w:rsidRPr="001B6E4D">
        <w:t>尤其</w:t>
      </w:r>
      <w:proofErr w:type="gramStart"/>
      <w:r w:rsidRPr="001B6E4D">
        <w:t>115</w:t>
      </w:r>
      <w:proofErr w:type="gramEnd"/>
      <w:r w:rsidRPr="001B6E4D">
        <w:t>年度又將辦理第8次員額評鑑，若前次456項建議未具體揭露辦理進度、解除列管標準及未完成原因，即再編列經費推動下一輪評鑑，恐有重複作業、績效不明之虞。員額管理不是寫報告給自己看，而是要讓人民看到政府組織有沒有瘦身、業務有沒有簡化、人力有沒有用在刀口上。</w:t>
      </w:r>
    </w:p>
    <w:p w14:paraId="3428A460" w14:textId="77777777" w:rsidR="00201B77" w:rsidRPr="001B6E4D" w:rsidRDefault="00201B77" w:rsidP="003D1018">
      <w:pPr>
        <w:pStyle w:val="1f7"/>
        <w:overflowPunct w:val="0"/>
      </w:pPr>
      <w:proofErr w:type="gramStart"/>
      <w:r w:rsidRPr="001B6E4D">
        <w:t>爰</w:t>
      </w:r>
      <w:proofErr w:type="gramEnd"/>
      <w:r w:rsidRPr="001B6E4D">
        <w:rPr>
          <w:rFonts w:hint="eastAsia"/>
        </w:rPr>
        <w:t>請</w:t>
      </w:r>
      <w:r w:rsidRPr="001B6E4D">
        <w:t>行政院人事行政總處於3個月內向立法院司法及法制委員會提出</w:t>
      </w:r>
      <w:r w:rsidRPr="001B6E4D">
        <w:rPr>
          <w:rFonts w:hint="eastAsia"/>
        </w:rPr>
        <w:t>書面</w:t>
      </w:r>
      <w:r w:rsidRPr="001B6E4D">
        <w:t>報告，說明</w:t>
      </w:r>
      <w:proofErr w:type="gramStart"/>
      <w:r w:rsidRPr="001B6E4D">
        <w:t>113</w:t>
      </w:r>
      <w:proofErr w:type="gramEnd"/>
      <w:r w:rsidRPr="001B6E4D">
        <w:t>年度員額評鑑456項建議之辦理進度、解除列管標準、未完成原因、</w:t>
      </w:r>
      <w:proofErr w:type="gramStart"/>
      <w:r w:rsidRPr="001B6E4D">
        <w:t>115</w:t>
      </w:r>
      <w:proofErr w:type="gramEnd"/>
      <w:r w:rsidRPr="001B6E4D">
        <w:t>年度第8次員額評鑑重點，以及新增約用人員之必要性、工作內容與權責分工。【19】</w:t>
      </w:r>
    </w:p>
    <w:p w14:paraId="1636CA46" w14:textId="77777777" w:rsidR="00201B77" w:rsidRPr="001B6E4D" w:rsidRDefault="00201B77" w:rsidP="003D1018">
      <w:pPr>
        <w:pStyle w:val="2fb"/>
        <w:overflowPunct w:val="0"/>
      </w:pPr>
      <w:r w:rsidRPr="001B6E4D">
        <w:t>提案人：許宇</w:t>
      </w:r>
      <w:proofErr w:type="gramStart"/>
      <w:r w:rsidRPr="001B6E4D">
        <w:t>甄</w:t>
      </w:r>
      <w:proofErr w:type="gramEnd"/>
    </w:p>
    <w:p w14:paraId="4EFA9946" w14:textId="77777777" w:rsidR="00201B77" w:rsidRPr="001B6E4D" w:rsidRDefault="00201B77" w:rsidP="003D1018">
      <w:pPr>
        <w:pStyle w:val="2fb"/>
        <w:overflowPunct w:val="0"/>
      </w:pPr>
      <w:r w:rsidRPr="001B6E4D">
        <w:t>連署人：林倩綺　林沛祥</w:t>
      </w:r>
    </w:p>
    <w:p w14:paraId="7ED6F4F5" w14:textId="77777777" w:rsidR="00201B77" w:rsidRPr="001B6E4D" w:rsidRDefault="00201B77" w:rsidP="003D1018">
      <w:pPr>
        <w:pStyle w:val="1f6"/>
        <w:overflowPunct w:val="0"/>
      </w:pPr>
      <w:r w:rsidRPr="001B6E4D">
        <w:t>有</w:t>
      </w:r>
      <w:proofErr w:type="gramStart"/>
      <w:r w:rsidRPr="001B6E4D">
        <w:t>鑑</w:t>
      </w:r>
      <w:proofErr w:type="gramEnd"/>
      <w:r w:rsidRPr="001B6E4D">
        <w:t>於</w:t>
      </w:r>
      <w:r w:rsidRPr="001B6E4D">
        <w:rPr>
          <w:rFonts w:hint="eastAsia"/>
        </w:rPr>
        <w:t>行政院</w:t>
      </w:r>
      <w:r w:rsidRPr="001B6E4D">
        <w:t>人事</w:t>
      </w:r>
      <w:r w:rsidRPr="001B6E4D">
        <w:rPr>
          <w:rFonts w:hint="eastAsia"/>
        </w:rPr>
        <w:t>行政</w:t>
      </w:r>
      <w:r w:rsidRPr="001B6E4D">
        <w:t>總處已於</w:t>
      </w:r>
      <w:proofErr w:type="gramStart"/>
      <w:r w:rsidRPr="001B6E4D">
        <w:t>113</w:t>
      </w:r>
      <w:proofErr w:type="gramEnd"/>
      <w:r w:rsidRPr="001B6E4D">
        <w:t>年度</w:t>
      </w:r>
      <w:proofErr w:type="gramStart"/>
      <w:r w:rsidRPr="001B6E4D">
        <w:t>辦竣第7次</w:t>
      </w:r>
      <w:proofErr w:type="gramEnd"/>
      <w:r w:rsidRPr="001B6E4D">
        <w:t>全面性員額評鑑，並針對39個機關提出多項改進建議。其報告指出多數機關需檢討業務辦理方式，並建議將人力調整至核心業務或重大施政需求。</w:t>
      </w:r>
      <w:proofErr w:type="gramStart"/>
      <w:r w:rsidRPr="001B6E4D">
        <w:t>爰</w:t>
      </w:r>
      <w:proofErr w:type="gramEnd"/>
      <w:r w:rsidRPr="001B6E4D">
        <w:t>要求</w:t>
      </w:r>
      <w:r w:rsidRPr="001B6E4D">
        <w:rPr>
          <w:rFonts w:hint="eastAsia"/>
        </w:rPr>
        <w:t>行政院</w:t>
      </w:r>
      <w:r w:rsidRPr="001B6E4D">
        <w:t>人事</w:t>
      </w:r>
      <w:r w:rsidRPr="001B6E4D">
        <w:rPr>
          <w:rFonts w:hint="eastAsia"/>
        </w:rPr>
        <w:t>行政</w:t>
      </w:r>
      <w:r w:rsidRPr="001B6E4D">
        <w:t>總處</w:t>
      </w:r>
      <w:r w:rsidRPr="001B6E4D">
        <w:rPr>
          <w:rFonts w:hint="eastAsia"/>
        </w:rPr>
        <w:t>於3個月內</w:t>
      </w:r>
      <w:r w:rsidRPr="001B6E4D">
        <w:t>向立法院</w:t>
      </w:r>
      <w:r w:rsidRPr="001B6E4D">
        <w:rPr>
          <w:rFonts w:hint="eastAsia"/>
        </w:rPr>
        <w:t>司法及法制委員會</w:t>
      </w:r>
      <w:r w:rsidRPr="001B6E4D">
        <w:t>提交「</w:t>
      </w:r>
      <w:proofErr w:type="gramStart"/>
      <w:r w:rsidRPr="001B6E4D">
        <w:t>113</w:t>
      </w:r>
      <w:proofErr w:type="gramEnd"/>
      <w:r w:rsidRPr="001B6E4D">
        <w:t>年度員額評鑑建議事項之後續執</w:t>
      </w:r>
      <w:r w:rsidRPr="001B6E4D">
        <w:lastRenderedPageBreak/>
        <w:t>行管考結果</w:t>
      </w:r>
      <w:r w:rsidRPr="001B6E4D">
        <w:rPr>
          <w:rFonts w:hint="eastAsia"/>
        </w:rPr>
        <w:t>書面</w:t>
      </w:r>
      <w:r w:rsidRPr="001B6E4D">
        <w:t>報告」。【21】</w:t>
      </w:r>
    </w:p>
    <w:p w14:paraId="178055BD" w14:textId="77777777" w:rsidR="00201B77" w:rsidRPr="001B6E4D" w:rsidRDefault="00201B77" w:rsidP="003D1018">
      <w:pPr>
        <w:pStyle w:val="2fb"/>
        <w:overflowPunct w:val="0"/>
      </w:pPr>
      <w:r w:rsidRPr="001B6E4D">
        <w:t xml:space="preserve">提案人：張雅琳　</w:t>
      </w:r>
      <w:r w:rsidRPr="001B6E4D">
        <w:rPr>
          <w:spacing w:val="-20"/>
          <w:w w:val="88"/>
        </w:rPr>
        <w:t>伍麗華</w:t>
      </w:r>
      <w:proofErr w:type="spellStart"/>
      <w:r w:rsidRPr="001B6E4D">
        <w:rPr>
          <w:spacing w:val="-20"/>
          <w:w w:val="88"/>
        </w:rPr>
        <w:t>Saidhai</w:t>
      </w:r>
      <w:proofErr w:type="spellEnd"/>
      <w:r w:rsidRPr="001B6E4D">
        <w:rPr>
          <w:spacing w:val="-20"/>
          <w:w w:val="88"/>
        </w:rPr>
        <w:t>．</w:t>
      </w:r>
      <w:proofErr w:type="spellStart"/>
      <w:r w:rsidRPr="001B6E4D">
        <w:rPr>
          <w:spacing w:val="-20"/>
          <w:w w:val="88"/>
        </w:rPr>
        <w:t>Tahovecahe</w:t>
      </w:r>
      <w:proofErr w:type="spellEnd"/>
    </w:p>
    <w:p w14:paraId="3165FB85" w14:textId="77777777" w:rsidR="00201B77" w:rsidRPr="001B6E4D" w:rsidRDefault="00201B77" w:rsidP="003D1018">
      <w:pPr>
        <w:pStyle w:val="2fb"/>
        <w:overflowPunct w:val="0"/>
      </w:pPr>
      <w:r w:rsidRPr="001B6E4D">
        <w:t xml:space="preserve">連署人：沈發惠　</w:t>
      </w:r>
      <w:proofErr w:type="gramStart"/>
      <w:r w:rsidRPr="001B6E4D">
        <w:t>范</w:t>
      </w:r>
      <w:proofErr w:type="gramEnd"/>
      <w:r w:rsidRPr="001B6E4D">
        <w:t xml:space="preserve">　雲</w:t>
      </w:r>
    </w:p>
    <w:p w14:paraId="306ED836" w14:textId="77777777" w:rsidR="00201B77" w:rsidRPr="001B6E4D" w:rsidRDefault="00201B77" w:rsidP="003D1018">
      <w:pPr>
        <w:pStyle w:val="1f6"/>
        <w:overflowPunct w:val="0"/>
      </w:pPr>
      <w:r w:rsidRPr="001B6E4D">
        <w:t>有關</w:t>
      </w:r>
      <w:proofErr w:type="gramStart"/>
      <w:r w:rsidRPr="001B6E4D">
        <w:t>113</w:t>
      </w:r>
      <w:proofErr w:type="gramEnd"/>
      <w:r w:rsidRPr="001B6E4D">
        <w:t>年度全國公務人員離職人數達3,183人（中央1,593人、地方1,590人），相較</w:t>
      </w:r>
      <w:proofErr w:type="gramStart"/>
      <w:r w:rsidRPr="001B6E4D">
        <w:t>109</w:t>
      </w:r>
      <w:proofErr w:type="gramEnd"/>
      <w:r w:rsidRPr="001B6E4D">
        <w:t>年度的1,703人，增幅高達86.9%。且離職者中以「薦任職等」</w:t>
      </w:r>
      <w:r w:rsidRPr="001B6E4D">
        <w:rPr>
          <w:rFonts w:hint="eastAsia"/>
        </w:rPr>
        <w:t>占</w:t>
      </w:r>
      <w:r w:rsidRPr="001B6E4D">
        <w:t>比最高，高達54.54%。薦任官是政府執行業務的中堅力量，大量流失將嚴重影響政策執行品質與連續性。其中，30歲以下離職者</w:t>
      </w:r>
      <w:r w:rsidRPr="001B6E4D">
        <w:rPr>
          <w:rFonts w:hint="eastAsia"/>
        </w:rPr>
        <w:t>占</w:t>
      </w:r>
      <w:r w:rsidRPr="001B6E4D">
        <w:t>比逐年攀升（113年達33.43%），且絕大多數為大學以上學歷，這顯示公務體系對優秀年輕人才的吸引力正在急速衰退。</w:t>
      </w:r>
      <w:r w:rsidRPr="001B6E4D">
        <w:rPr>
          <w:rFonts w:hint="eastAsia"/>
        </w:rPr>
        <w:t>行政院</w:t>
      </w:r>
      <w:r w:rsidRPr="001B6E4D">
        <w:t>人事</w:t>
      </w:r>
      <w:r w:rsidRPr="001B6E4D">
        <w:rPr>
          <w:rFonts w:hint="eastAsia"/>
        </w:rPr>
        <w:t>行政</w:t>
      </w:r>
      <w:r w:rsidRPr="001B6E4D">
        <w:t>總處應</w:t>
      </w:r>
      <w:proofErr w:type="gramStart"/>
      <w:r w:rsidRPr="001B6E4D">
        <w:t>研</w:t>
      </w:r>
      <w:proofErr w:type="gramEnd"/>
      <w:r w:rsidRPr="001B6E4D">
        <w:t>謀評估「薪資待遇調整」與「職場環境優化」對減少薦任官及年輕人員離職之實質關聯性，並提出改善方案。於3個月內向立法院司法及法制委員會提出書面報告。【23】</w:t>
      </w:r>
    </w:p>
    <w:p w14:paraId="2769609E"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提案人：張雅琳　</w:t>
      </w:r>
      <w:r w:rsidRPr="001B6E4D">
        <w:rPr>
          <w:rFonts w:ascii="標楷體" w:eastAsia="標楷體" w:hAnsi="標楷體"/>
          <w:color w:val="000000"/>
          <w:spacing w:val="-20"/>
          <w:w w:val="90"/>
          <w:sz w:val="28"/>
          <w:szCs w:val="28"/>
        </w:rPr>
        <w:t>伍麗華</w:t>
      </w:r>
      <w:proofErr w:type="spellStart"/>
      <w:r w:rsidRPr="001B6E4D">
        <w:rPr>
          <w:rFonts w:ascii="標楷體" w:eastAsia="標楷體" w:hAnsi="標楷體"/>
          <w:color w:val="000000"/>
          <w:spacing w:val="-20"/>
          <w:w w:val="90"/>
          <w:sz w:val="28"/>
          <w:szCs w:val="28"/>
        </w:rPr>
        <w:t>Sa</w:t>
      </w:r>
      <w:r w:rsidRPr="001B6E4D">
        <w:rPr>
          <w:rFonts w:ascii="標楷體" w:eastAsia="標楷體" w:hAnsi="標楷體"/>
          <w:color w:val="000000"/>
          <w:spacing w:val="-20"/>
          <w:w w:val="88"/>
          <w:sz w:val="28"/>
          <w:szCs w:val="28"/>
        </w:rPr>
        <w:t>idhai</w:t>
      </w:r>
      <w:proofErr w:type="spellEnd"/>
      <w:r w:rsidRPr="001B6E4D">
        <w:rPr>
          <w:rFonts w:ascii="標楷體" w:eastAsia="標楷體" w:hAnsi="標楷體"/>
          <w:color w:val="000000"/>
          <w:spacing w:val="-20"/>
          <w:w w:val="88"/>
          <w:sz w:val="28"/>
          <w:szCs w:val="28"/>
        </w:rPr>
        <w:t>．</w:t>
      </w:r>
      <w:proofErr w:type="spellStart"/>
      <w:r w:rsidRPr="001B6E4D">
        <w:rPr>
          <w:rFonts w:ascii="標楷體" w:eastAsia="標楷體" w:hAnsi="標楷體"/>
          <w:color w:val="000000"/>
          <w:spacing w:val="-20"/>
          <w:w w:val="88"/>
          <w:sz w:val="28"/>
          <w:szCs w:val="28"/>
        </w:rPr>
        <w:t>Tahovecahe</w:t>
      </w:r>
      <w:proofErr w:type="spellEnd"/>
    </w:p>
    <w:p w14:paraId="10AC4E70"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連署人：沈發惠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3D49EBA4" w14:textId="77777777" w:rsidR="00201B77" w:rsidRPr="001B6E4D" w:rsidRDefault="00201B77" w:rsidP="003D1018">
      <w:pPr>
        <w:pStyle w:val="1f6"/>
        <w:overflowPunct w:val="0"/>
      </w:pPr>
      <w:proofErr w:type="gramStart"/>
      <w:r w:rsidRPr="001B6E4D">
        <w:t>115</w:t>
      </w:r>
      <w:proofErr w:type="gramEnd"/>
      <w:r w:rsidRPr="001B6E4D">
        <w:t>年度行政院人事行政總處預算案於第2目「人事行政之政策規劃執行及發展」項下「智慧</w:t>
      </w:r>
      <w:proofErr w:type="gramStart"/>
      <w:r w:rsidRPr="001B6E4D">
        <w:t>永續人資</w:t>
      </w:r>
      <w:proofErr w:type="gramEnd"/>
      <w:r w:rsidRPr="001B6E4D">
        <w:t>發展」中「業務費」編列預算1,038萬元。人事總處未來欲辦理「智慧</w:t>
      </w:r>
      <w:proofErr w:type="gramStart"/>
      <w:r w:rsidRPr="001B6E4D">
        <w:t>永續人資</w:t>
      </w:r>
      <w:proofErr w:type="gramEnd"/>
      <w:r w:rsidRPr="001B6E4D">
        <w:t>發展」計畫，該計畫導入生成式AI優化人資流程</w:t>
      </w:r>
      <w:proofErr w:type="gramStart"/>
      <w:r w:rsidRPr="001B6E4D">
        <w:t>（</w:t>
      </w:r>
      <w:proofErr w:type="gramEnd"/>
      <w:r w:rsidRPr="001B6E4D">
        <w:t>如：智慧系統、智慧客服</w:t>
      </w:r>
      <w:proofErr w:type="gramStart"/>
      <w:r w:rsidRPr="001B6E4D">
        <w:t>）</w:t>
      </w:r>
      <w:proofErr w:type="gramEnd"/>
      <w:r w:rsidRPr="001B6E4D">
        <w:t>，涉及大量全國人事與差勤敏感資料，也易導致AI</w:t>
      </w:r>
      <w:proofErr w:type="gramStart"/>
      <w:r w:rsidRPr="001B6E4D">
        <w:t>個</w:t>
      </w:r>
      <w:proofErr w:type="gramEnd"/>
      <w:r w:rsidRPr="001B6E4D">
        <w:t>資之流出風險。有鑑於此，人事總處</w:t>
      </w:r>
      <w:proofErr w:type="gramStart"/>
      <w:r w:rsidRPr="001B6E4D">
        <w:t>健全資安</w:t>
      </w:r>
      <w:proofErr w:type="gramEnd"/>
      <w:r w:rsidRPr="001B6E4D">
        <w:t>防護措施，並定期查核AI模型分析結果之正確性，以保障公務人員</w:t>
      </w:r>
      <w:proofErr w:type="gramStart"/>
      <w:r w:rsidRPr="001B6E4D">
        <w:t>個</w:t>
      </w:r>
      <w:proofErr w:type="gramEnd"/>
      <w:r w:rsidRPr="001B6E4D">
        <w:t>資安全。</w:t>
      </w:r>
      <w:proofErr w:type="gramStart"/>
      <w:r w:rsidRPr="001B6E4D">
        <w:t>爰</w:t>
      </w:r>
      <w:proofErr w:type="gramEnd"/>
      <w:r w:rsidRPr="001B6E4D">
        <w:rPr>
          <w:rFonts w:hint="eastAsia"/>
        </w:rPr>
        <w:t>請</w:t>
      </w:r>
      <w:r w:rsidRPr="001B6E4D">
        <w:t>行政院人事行政總處於3個月內向立法院司法及法制委員會提出書面報告。【25】</w:t>
      </w:r>
    </w:p>
    <w:p w14:paraId="57E1BAF5"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提案人：張雅琳　</w:t>
      </w:r>
      <w:r w:rsidRPr="001B6E4D">
        <w:rPr>
          <w:rFonts w:ascii="標楷體" w:eastAsia="標楷體" w:hAnsi="標楷體"/>
          <w:color w:val="000000"/>
          <w:spacing w:val="-20"/>
          <w:w w:val="88"/>
          <w:sz w:val="28"/>
          <w:szCs w:val="28"/>
        </w:rPr>
        <w:t>伍麗華</w:t>
      </w:r>
      <w:proofErr w:type="spellStart"/>
      <w:r w:rsidRPr="001B6E4D">
        <w:rPr>
          <w:rFonts w:ascii="標楷體" w:eastAsia="標楷體" w:hAnsi="標楷體"/>
          <w:color w:val="000000"/>
          <w:spacing w:val="-20"/>
          <w:w w:val="88"/>
          <w:sz w:val="28"/>
          <w:szCs w:val="28"/>
        </w:rPr>
        <w:t>Saidhai</w:t>
      </w:r>
      <w:proofErr w:type="spellEnd"/>
      <w:r w:rsidRPr="001B6E4D">
        <w:rPr>
          <w:rFonts w:ascii="標楷體" w:eastAsia="標楷體" w:hAnsi="標楷體"/>
          <w:color w:val="000000"/>
          <w:spacing w:val="-20"/>
          <w:w w:val="88"/>
          <w:sz w:val="28"/>
          <w:szCs w:val="28"/>
        </w:rPr>
        <w:t>．</w:t>
      </w:r>
      <w:proofErr w:type="spellStart"/>
      <w:r w:rsidRPr="001B6E4D">
        <w:rPr>
          <w:rFonts w:ascii="標楷體" w:eastAsia="標楷體" w:hAnsi="標楷體"/>
          <w:color w:val="000000"/>
          <w:spacing w:val="-20"/>
          <w:w w:val="88"/>
          <w:sz w:val="28"/>
          <w:szCs w:val="28"/>
        </w:rPr>
        <w:t>Tahovecahe</w:t>
      </w:r>
      <w:proofErr w:type="spellEnd"/>
    </w:p>
    <w:p w14:paraId="09CE34AE"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連署人：沈發惠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46C7AB5C" w14:textId="77777777" w:rsidR="00201B77" w:rsidRPr="001B6E4D" w:rsidRDefault="00201B77" w:rsidP="003D1018">
      <w:pPr>
        <w:pStyle w:val="1f6"/>
        <w:overflowPunct w:val="0"/>
      </w:pPr>
      <w:r w:rsidRPr="001B6E4D">
        <w:t>有</w:t>
      </w:r>
      <w:proofErr w:type="gramStart"/>
      <w:r w:rsidRPr="001B6E4D">
        <w:t>鑑</w:t>
      </w:r>
      <w:proofErr w:type="gramEnd"/>
      <w:r w:rsidRPr="001B6E4D">
        <w:t>於行政院人事行政總處自</w:t>
      </w:r>
      <w:r w:rsidRPr="001B6E4D">
        <w:rPr>
          <w:rFonts w:hint="eastAsia"/>
        </w:rPr>
        <w:t>2017</w:t>
      </w:r>
      <w:r w:rsidRPr="001B6E4D">
        <w:t>年起推動公務人員終身學習制度，規定每人每年應完成20小時與業務相關之學習時數，其中包含10小時必修課程及10小時自行選讀課程，制度立意在於強化公務人員專業能力與持續進修。</w:t>
      </w:r>
    </w:p>
    <w:p w14:paraId="7505D271" w14:textId="77777777" w:rsidR="00201B77" w:rsidRPr="001B6E4D" w:rsidRDefault="00201B77" w:rsidP="003D1018">
      <w:pPr>
        <w:pStyle w:val="1f7"/>
        <w:overflowPunct w:val="0"/>
      </w:pPr>
      <w:r w:rsidRPr="001B6E4D">
        <w:t>然現行制度之績效評估，多以「學習時數」及「參與人數」作為主要指標，對於實際政策問題之改善效果，尚缺乏具體衡量機制。</w:t>
      </w:r>
      <w:proofErr w:type="gramStart"/>
      <w:r w:rsidRPr="001B6E4D">
        <w:t>爰</w:t>
      </w:r>
      <w:proofErr w:type="gramEnd"/>
      <w:r w:rsidRPr="001B6E4D">
        <w:t>此，建請行政院人事行政總處評估現行終身學習指標與檢討課程設計與實務運用</w:t>
      </w:r>
      <w:r w:rsidRPr="001B6E4D">
        <w:rPr>
          <w:rFonts w:hint="eastAsia"/>
        </w:rPr>
        <w:t>，</w:t>
      </w:r>
      <w:r w:rsidRPr="001B6E4D">
        <w:t>於3個月內提送書面報告予</w:t>
      </w:r>
      <w:r w:rsidRPr="001B6E4D">
        <w:rPr>
          <w:rFonts w:hint="eastAsia"/>
        </w:rPr>
        <w:t>立法院</w:t>
      </w:r>
      <w:r w:rsidRPr="001B6E4D">
        <w:t>司法及法制委員會。【26】</w:t>
      </w:r>
    </w:p>
    <w:p w14:paraId="7B673A13" w14:textId="77777777" w:rsidR="00201B77" w:rsidRPr="001B6E4D" w:rsidRDefault="00201B77" w:rsidP="003D1018">
      <w:pPr>
        <w:pStyle w:val="2fb"/>
        <w:overflowPunct w:val="0"/>
      </w:pPr>
      <w:r w:rsidRPr="001B6E4D">
        <w:t>提案人：莊瑞雄</w:t>
      </w:r>
    </w:p>
    <w:p w14:paraId="422BE303" w14:textId="77777777" w:rsidR="00201B77" w:rsidRPr="001B6E4D" w:rsidRDefault="00201B77" w:rsidP="003D1018">
      <w:pPr>
        <w:pStyle w:val="2fb"/>
        <w:overflowPunct w:val="0"/>
      </w:pPr>
      <w:r w:rsidRPr="001B6E4D">
        <w:t>連署人：沈發惠　張雅琳</w:t>
      </w:r>
    </w:p>
    <w:p w14:paraId="28B0CA86" w14:textId="77777777" w:rsidR="00201B77" w:rsidRPr="001B6E4D" w:rsidRDefault="00201B77" w:rsidP="003D1018">
      <w:pPr>
        <w:pStyle w:val="1f6"/>
        <w:overflowPunct w:val="0"/>
      </w:pPr>
      <w:r w:rsidRPr="001B6E4D">
        <w:t>查行政院人事行政總處《軍公教員工待遇審議委員會設置要</w:t>
      </w:r>
      <w:r w:rsidRPr="001B6E4D">
        <w:lastRenderedPageBreak/>
        <w:t>點》第</w:t>
      </w:r>
      <w:r w:rsidRPr="001B6E4D">
        <w:rPr>
          <w:rFonts w:hint="eastAsia"/>
        </w:rPr>
        <w:t>2</w:t>
      </w:r>
      <w:r w:rsidRPr="001B6E4D">
        <w:t>條</w:t>
      </w:r>
      <w:proofErr w:type="gramStart"/>
      <w:r w:rsidRPr="001B6E4D">
        <w:t>明揭，</w:t>
      </w:r>
      <w:proofErr w:type="gramEnd"/>
      <w:r w:rsidRPr="001B6E4D">
        <w:t>「軍公教員工待遇審議委員會」之</w:t>
      </w:r>
      <w:proofErr w:type="gramStart"/>
      <w:r w:rsidRPr="001B6E4D">
        <w:t>任務係軍公教</w:t>
      </w:r>
      <w:proofErr w:type="gramEnd"/>
      <w:r w:rsidRPr="001B6E4D">
        <w:t>員工年度待遇調整、加給項目及標準、待遇改進方案等審議，</w:t>
      </w:r>
      <w:proofErr w:type="gramStart"/>
      <w:r w:rsidRPr="001B6E4D">
        <w:t>攸</w:t>
      </w:r>
      <w:proofErr w:type="gramEnd"/>
      <w:r w:rsidRPr="001B6E4D">
        <w:t>關員工基本工作權益。</w:t>
      </w:r>
    </w:p>
    <w:p w14:paraId="215647C1" w14:textId="77777777" w:rsidR="00201B77" w:rsidRPr="001B6E4D" w:rsidRDefault="00201B77" w:rsidP="003D1018">
      <w:pPr>
        <w:pStyle w:val="1f7"/>
        <w:overflowPunct w:val="0"/>
      </w:pPr>
      <w:proofErr w:type="gramStart"/>
      <w:r w:rsidRPr="001B6E4D">
        <w:t>惟軍公教</w:t>
      </w:r>
      <w:proofErr w:type="gramEnd"/>
      <w:r w:rsidRPr="001B6E4D">
        <w:t>員工待遇審議委員會14至16名委員中，9人為各部會簡任12職等以上官員代表，4至6人的地方政府代表，另設4名學者代表，並無設置任何</w:t>
      </w:r>
      <w:r w:rsidRPr="001B6E4D">
        <w:rPr>
          <w:rFonts w:hint="eastAsia"/>
        </w:rPr>
        <w:t>1</w:t>
      </w:r>
      <w:r w:rsidRPr="001B6E4D">
        <w:t>席次予「基層員工代表」。相較於職能相似之「最低工資審議委員會」明定應有勞方代表，軍公教待遇審議機制顯過於封閉，未能落實利害關係人參與之民主精神。</w:t>
      </w:r>
    </w:p>
    <w:p w14:paraId="060B7F20" w14:textId="77777777" w:rsidR="00201B77" w:rsidRPr="001B6E4D" w:rsidRDefault="00201B77" w:rsidP="003D1018">
      <w:pPr>
        <w:pStyle w:val="1f7"/>
        <w:overflowPunct w:val="0"/>
      </w:pPr>
      <w:r w:rsidRPr="001B6E4D">
        <w:t>人事行政總處曾於</w:t>
      </w:r>
      <w:r w:rsidRPr="001B6E4D">
        <w:rPr>
          <w:rFonts w:hint="eastAsia"/>
        </w:rPr>
        <w:t>2025</w:t>
      </w:r>
      <w:r w:rsidRPr="001B6E4D">
        <w:t>年10月對外承諾，軍公教待遇調整法制化後，將設立「軍公教員工待遇諮詢委員會」，並預計基層代表比例將達</w:t>
      </w:r>
      <w:r w:rsidRPr="001B6E4D">
        <w:rPr>
          <w:rFonts w:hint="eastAsia"/>
        </w:rPr>
        <w:t>二</w:t>
      </w:r>
      <w:r w:rsidRPr="001B6E4D">
        <w:t>成。然時至今日，相關法制化進程與委員會重組規劃仍未見明確進度。</w:t>
      </w:r>
    </w:p>
    <w:p w14:paraId="02189119" w14:textId="77777777" w:rsidR="00201B77" w:rsidRPr="001B6E4D" w:rsidRDefault="00201B77" w:rsidP="003D1018">
      <w:pPr>
        <w:pStyle w:val="1f7"/>
        <w:overflowPunct w:val="0"/>
      </w:pPr>
      <w:r w:rsidRPr="001B6E4D">
        <w:t>行政機關不應以公法職務關係為由，維持高權單方面決定待遇之現狀，特別在「特別權力關係」理論已被摒棄的今日，待遇決定機制應朝向公開對話與實質審議轉型。</w:t>
      </w:r>
    </w:p>
    <w:p w14:paraId="03830E7A" w14:textId="77777777" w:rsidR="00201B77" w:rsidRPr="001B6E4D" w:rsidRDefault="00201B77" w:rsidP="003D1018">
      <w:pPr>
        <w:pStyle w:val="1f7"/>
        <w:overflowPunct w:val="0"/>
      </w:pPr>
      <w:r w:rsidRPr="001B6E4D">
        <w:t>軍公教員工待遇</w:t>
      </w:r>
      <w:proofErr w:type="gramStart"/>
      <w:r w:rsidRPr="001B6E4D">
        <w:t>攸</w:t>
      </w:r>
      <w:proofErr w:type="gramEnd"/>
      <w:r w:rsidRPr="001B6E4D">
        <w:t>關勞動尊嚴與工作權益，相關調整應納入基層團體代表，方能確保資訊透明並化解基層疑義。為避免待遇調整淪為黑箱作業，人事行政總處應落實先前承諾，建立常態性之基層參與管道。</w:t>
      </w:r>
    </w:p>
    <w:p w14:paraId="55CF201C" w14:textId="77777777" w:rsidR="00201B77" w:rsidRPr="001B6E4D" w:rsidRDefault="00201B77" w:rsidP="003D1018">
      <w:pPr>
        <w:pStyle w:val="1f7"/>
        <w:overflowPunct w:val="0"/>
      </w:pPr>
      <w:proofErr w:type="gramStart"/>
      <w:r w:rsidRPr="001B6E4D">
        <w:t>爰</w:t>
      </w:r>
      <w:proofErr w:type="gramEnd"/>
      <w:r w:rsidRPr="001B6E4D">
        <w:t>建請行政院人事行政總處儘速提出軍公教待遇調整法制化之修正草案，並就軍公教待遇審議機制之改革進度、基層代表納入方式及法制化具體時程，於</w:t>
      </w:r>
      <w:r w:rsidRPr="001B6E4D">
        <w:rPr>
          <w:rFonts w:hint="eastAsia"/>
        </w:rPr>
        <w:t>3</w:t>
      </w:r>
      <w:r w:rsidRPr="001B6E4D">
        <w:t>個月內向立法院司法及法制委員會提出書面報告。【27】</w:t>
      </w:r>
    </w:p>
    <w:p w14:paraId="060FAF14" w14:textId="77777777" w:rsidR="00201B77" w:rsidRPr="001B6E4D" w:rsidRDefault="00201B77" w:rsidP="003D1018">
      <w:pPr>
        <w:pStyle w:val="2fb"/>
        <w:overflowPunct w:val="0"/>
      </w:pPr>
      <w:r w:rsidRPr="001B6E4D">
        <w:t>提案人：莊瑞雄</w:t>
      </w:r>
    </w:p>
    <w:p w14:paraId="22BC3F73" w14:textId="77777777" w:rsidR="00201B77" w:rsidRPr="001B6E4D" w:rsidRDefault="00201B77" w:rsidP="003D1018">
      <w:pPr>
        <w:pStyle w:val="2fb"/>
        <w:overflowPunct w:val="0"/>
      </w:pPr>
      <w:r w:rsidRPr="001B6E4D">
        <w:t>連署人：沈發惠　張雅琳</w:t>
      </w:r>
    </w:p>
    <w:p w14:paraId="2ADAE68F" w14:textId="77777777" w:rsidR="00201B77" w:rsidRPr="001B6E4D" w:rsidRDefault="00201B77" w:rsidP="003D1018">
      <w:pPr>
        <w:pStyle w:val="1f6"/>
        <w:overflowPunct w:val="0"/>
      </w:pPr>
      <w:proofErr w:type="gramStart"/>
      <w:r w:rsidRPr="001B6E4D">
        <w:rPr>
          <w:rFonts w:hint="eastAsia"/>
        </w:rPr>
        <w:t>鑑</w:t>
      </w:r>
      <w:proofErr w:type="gramEnd"/>
      <w:r w:rsidRPr="001B6E4D">
        <w:t>於政府「</w:t>
      </w:r>
      <w:proofErr w:type="gramStart"/>
      <w:r w:rsidRPr="001B6E4D">
        <w:t>健康台灣</w:t>
      </w:r>
      <w:proofErr w:type="gramEnd"/>
      <w:r w:rsidRPr="001B6E4D">
        <w:t>」之國政願景，業已推動公務人員心理調適假，彰顯對公部門從業人員身心健康之重視。</w:t>
      </w:r>
      <w:proofErr w:type="gramStart"/>
      <w:r w:rsidRPr="001B6E4D">
        <w:t>然查</w:t>
      </w:r>
      <w:proofErr w:type="gramEnd"/>
      <w:r w:rsidRPr="001B6E4D">
        <w:t>，現行依據《公務人員一般健康檢查實施要點》所訂定之健檢補助級距存在顯著落差，高階首長每年最高得補助新臺幣1萬6千元，而一般年滿40歲人員僅每</w:t>
      </w:r>
      <w:r w:rsidRPr="001B6E4D">
        <w:rPr>
          <w:rFonts w:hint="eastAsia"/>
        </w:rPr>
        <w:t>二</w:t>
      </w:r>
      <w:r w:rsidRPr="001B6E4D">
        <w:t>年補助4,500元；未滿40歲且從事具安全及衛生顧慮工作者，僅每三年補助3,500元，其餘未滿40歲之基層人員則毫無補助。此等依年齡與職階劃分之機制，不僅未能合理反映警消、夜班及基層外勤人員高強度與高風險之工作特性，亦將承擔繁重業務之年輕基層公務人員排除於防護網外，顯有悖於預防醫學理念與職場健康平權精神。</w:t>
      </w:r>
    </w:p>
    <w:p w14:paraId="2ACBD63D" w14:textId="77777777" w:rsidR="00201B77" w:rsidRPr="001B6E4D" w:rsidRDefault="00201B77" w:rsidP="003D1018">
      <w:pPr>
        <w:pStyle w:val="1f7"/>
        <w:overflowPunct w:val="0"/>
      </w:pPr>
      <w:r w:rsidRPr="001B6E4D">
        <w:t>復查，</w:t>
      </w:r>
      <w:r w:rsidRPr="001B6E4D">
        <w:rPr>
          <w:rFonts w:hint="eastAsia"/>
        </w:rPr>
        <w:t>行政院</w:t>
      </w:r>
      <w:r w:rsidRPr="001B6E4D">
        <w:t>人事行政總處為彌補現有制度之不足所推出之「健康99</w:t>
      </w:r>
      <w:proofErr w:type="gramStart"/>
      <w:r w:rsidRPr="001B6E4D">
        <w:t>─</w:t>
      </w:r>
      <w:proofErr w:type="gramEnd"/>
      <w:r w:rsidRPr="001B6E4D">
        <w:t>全國公教健檢方案」，雖已115至117年之新期</w:t>
      </w:r>
      <w:r w:rsidRPr="001B6E4D">
        <w:lastRenderedPageBreak/>
        <w:t>程，並明訂醫療機構應提供4,500元之多項檢查方案。然該方案本質上仍屬「自費選擇參考」，未能實質解決年輕基層公務人員「無補助」或高風險職務者「補助間隔過長（三年</w:t>
      </w:r>
      <w:proofErr w:type="gramStart"/>
      <w:r w:rsidRPr="001B6E4D">
        <w:t>一</w:t>
      </w:r>
      <w:proofErr w:type="gramEnd"/>
      <w:r w:rsidRPr="001B6E4D">
        <w:t>檢）」之核心痛點。參酌日本等先進國家對國家公務員多訂有每年至少一次、特定職務每半年一次之定期健檢規範，人事行政總處作為行政院人事政策與福利資源配置之主管機關，允應肩負起實質照護基層生理健康</w:t>
      </w:r>
      <w:proofErr w:type="gramStart"/>
      <w:r w:rsidRPr="001B6E4D">
        <w:t>及院際政策</w:t>
      </w:r>
      <w:proofErr w:type="gramEnd"/>
      <w:r w:rsidRPr="001B6E4D">
        <w:t>協調之責。</w:t>
      </w:r>
    </w:p>
    <w:p w14:paraId="68E6B747" w14:textId="77777777" w:rsidR="00201B77" w:rsidRPr="001B6E4D" w:rsidRDefault="00201B77" w:rsidP="003D1018">
      <w:pPr>
        <w:pStyle w:val="1f7"/>
        <w:overflowPunct w:val="0"/>
      </w:pPr>
      <w:proofErr w:type="gramStart"/>
      <w:r w:rsidRPr="001B6E4D">
        <w:t>爰</w:t>
      </w:r>
      <w:proofErr w:type="gramEnd"/>
      <w:r w:rsidRPr="001B6E4D">
        <w:t>此，人事行政總處除</w:t>
      </w:r>
      <w:proofErr w:type="gramStart"/>
      <w:r w:rsidRPr="001B6E4D">
        <w:t>賡</w:t>
      </w:r>
      <w:proofErr w:type="gramEnd"/>
      <w:r w:rsidRPr="001B6E4D">
        <w:t>續辦理「健康99」特約方案外，應主動會商考試院針對《公務人員一般健康檢查實施要點》啟動通盤檢討，</w:t>
      </w:r>
      <w:proofErr w:type="gramStart"/>
      <w:r w:rsidRPr="001B6E4D">
        <w:t>研</w:t>
      </w:r>
      <w:proofErr w:type="gramEnd"/>
      <w:r w:rsidRPr="001B6E4D">
        <w:t>議縮短高風險職務與基層人員之健檢間隔、縮小職階間之補助差距，並實質擴大未滿40歲公務人員之健檢「經費補助」涵蓋範圍，以健全公務人員整體防護網。</w:t>
      </w:r>
    </w:p>
    <w:p w14:paraId="761205D1" w14:textId="77777777" w:rsidR="00201B77" w:rsidRPr="001B6E4D" w:rsidRDefault="00201B77" w:rsidP="003D1018">
      <w:pPr>
        <w:pStyle w:val="1f7"/>
        <w:overflowPunct w:val="0"/>
      </w:pPr>
      <w:r w:rsidRPr="001B6E4D">
        <w:rPr>
          <w:rFonts w:hint="eastAsia"/>
        </w:rPr>
        <w:t>綜上所述，建請行政院</w:t>
      </w:r>
      <w:r w:rsidRPr="001B6E4D">
        <w:t>人事行政總處</w:t>
      </w:r>
      <w:r w:rsidRPr="001B6E4D">
        <w:rPr>
          <w:rFonts w:hint="eastAsia"/>
        </w:rPr>
        <w:t>於3個月內提送書面報告予立法院</w:t>
      </w:r>
      <w:r w:rsidRPr="001B6E4D">
        <w:t>司法及法制委員會【28】</w:t>
      </w:r>
    </w:p>
    <w:p w14:paraId="2C7619C3" w14:textId="77777777" w:rsidR="00201B77" w:rsidRPr="001B6E4D" w:rsidRDefault="00201B77" w:rsidP="003D1018">
      <w:pPr>
        <w:pStyle w:val="2fb"/>
        <w:overflowPunct w:val="0"/>
      </w:pPr>
      <w:r w:rsidRPr="001B6E4D">
        <w:t>提案人：莊瑞雄</w:t>
      </w:r>
    </w:p>
    <w:p w14:paraId="49C72AFA" w14:textId="77777777" w:rsidR="00201B77" w:rsidRPr="001B6E4D" w:rsidRDefault="00201B77" w:rsidP="003D1018">
      <w:pPr>
        <w:pStyle w:val="2fb"/>
        <w:overflowPunct w:val="0"/>
      </w:pPr>
      <w:r w:rsidRPr="001B6E4D">
        <w:t>連署人：沈發惠　張雅琳</w:t>
      </w:r>
    </w:p>
    <w:p w14:paraId="78C88A30" w14:textId="77777777" w:rsidR="00201B77" w:rsidRPr="001B6E4D" w:rsidRDefault="00201B77" w:rsidP="003D1018">
      <w:pPr>
        <w:pStyle w:val="1f6"/>
        <w:overflowPunct w:val="0"/>
      </w:pPr>
      <w:proofErr w:type="gramStart"/>
      <w:r w:rsidRPr="001B6E4D">
        <w:rPr>
          <w:rFonts w:hint="eastAsia"/>
        </w:rPr>
        <w:t>鑑</w:t>
      </w:r>
      <w:proofErr w:type="gramEnd"/>
      <w:r w:rsidRPr="001B6E4D">
        <w:t>於行政院以過去四年已三度調薪（累計幅度達11.4%）為由，核定</w:t>
      </w:r>
      <w:proofErr w:type="gramStart"/>
      <w:r w:rsidRPr="001B6E4D">
        <w:t>115</w:t>
      </w:r>
      <w:proofErr w:type="gramEnd"/>
      <w:r w:rsidRPr="001B6E4D">
        <w:t>年度軍公教員工待遇不予調整。</w:t>
      </w:r>
      <w:proofErr w:type="gramStart"/>
      <w:r w:rsidRPr="001B6E4D">
        <w:t>然查</w:t>
      </w:r>
      <w:proofErr w:type="gramEnd"/>
      <w:r w:rsidRPr="001B6E4D">
        <w:t>，近年國內消費者物價指數（CPI）持續攀升，基層公務人員普遍反映現行薪資調整幅度，實難追及總體經濟成長率（GDP）及國民薪資中位數之增幅，致使公務人員之實質購買力呈現下滑窘境，長此以往恐有損基層士氣及</w:t>
      </w:r>
      <w:proofErr w:type="gramStart"/>
      <w:r w:rsidRPr="001B6E4D">
        <w:t>政府攬才留</w:t>
      </w:r>
      <w:proofErr w:type="gramEnd"/>
      <w:r w:rsidRPr="001B6E4D">
        <w:t>才之競爭力。</w:t>
      </w:r>
    </w:p>
    <w:p w14:paraId="406A5DAE" w14:textId="77777777" w:rsidR="00201B77" w:rsidRPr="001B6E4D" w:rsidRDefault="00201B77" w:rsidP="003D1018">
      <w:pPr>
        <w:pStyle w:val="1f7"/>
        <w:overflowPunct w:val="0"/>
      </w:pPr>
      <w:r w:rsidRPr="001B6E4D">
        <w:t>為真實反映國家總體經濟表現並保障公務人員合理待遇，</w:t>
      </w:r>
      <w:r w:rsidRPr="001B6E4D">
        <w:rPr>
          <w:rFonts w:hint="eastAsia"/>
        </w:rPr>
        <w:t>行政院</w:t>
      </w:r>
      <w:r w:rsidRPr="001B6E4D">
        <w:t>人事行政</w:t>
      </w:r>
      <w:proofErr w:type="gramStart"/>
      <w:r w:rsidRPr="001B6E4D">
        <w:t>總處允應</w:t>
      </w:r>
      <w:proofErr w:type="gramEnd"/>
      <w:r w:rsidRPr="001B6E4D">
        <w:t>就</w:t>
      </w:r>
      <w:proofErr w:type="gramStart"/>
      <w:r w:rsidRPr="001B6E4D">
        <w:t>116</w:t>
      </w:r>
      <w:proofErr w:type="gramEnd"/>
      <w:r w:rsidRPr="001B6E4D">
        <w:t>年度軍公教員工待遇調整機制及早啟動通盤評估。</w:t>
      </w:r>
      <w:proofErr w:type="gramStart"/>
      <w:r w:rsidRPr="001B6E4D">
        <w:t>爰</w:t>
      </w:r>
      <w:proofErr w:type="gramEnd"/>
      <w:r w:rsidRPr="001B6E4D">
        <w:t>此，人事行政總處應具體說明</w:t>
      </w:r>
      <w:proofErr w:type="gramStart"/>
      <w:r w:rsidRPr="001B6E4D">
        <w:t>116</w:t>
      </w:r>
      <w:proofErr w:type="gramEnd"/>
      <w:r w:rsidRPr="001B6E4D">
        <w:t>年度軍公教員工待遇審議委員會之預計啟動期程，並檢討現行調薪審議機制，</w:t>
      </w:r>
      <w:proofErr w:type="gramStart"/>
      <w:r w:rsidRPr="001B6E4D">
        <w:t>研</w:t>
      </w:r>
      <w:proofErr w:type="gramEnd"/>
      <w:r w:rsidRPr="001B6E4D">
        <w:t>議將「實質購買力補償」、「經濟成長果實共享」及「民間薪資中位數基準」等實質經濟指標，具體納入常態性評估標準之可行性，以建構更為公平、透明之薪資調整制度。</w:t>
      </w:r>
    </w:p>
    <w:p w14:paraId="4B98BAFF" w14:textId="77777777" w:rsidR="00201B77" w:rsidRPr="001B6E4D" w:rsidRDefault="00201B77" w:rsidP="003D1018">
      <w:pPr>
        <w:pStyle w:val="1f7"/>
        <w:overflowPunct w:val="0"/>
      </w:pPr>
      <w:r w:rsidRPr="001B6E4D">
        <w:t>綜上所述，建請行政院人事行政總處於</w:t>
      </w:r>
      <w:r w:rsidRPr="001B6E4D">
        <w:rPr>
          <w:rFonts w:hint="eastAsia"/>
        </w:rPr>
        <w:t>3</w:t>
      </w:r>
      <w:r w:rsidRPr="001B6E4D">
        <w:t>個月內提送書面報告予</w:t>
      </w:r>
      <w:r w:rsidRPr="001B6E4D">
        <w:rPr>
          <w:rFonts w:hint="eastAsia"/>
        </w:rPr>
        <w:t>立法院</w:t>
      </w:r>
      <w:r w:rsidRPr="001B6E4D">
        <w:t>司法及法制委員會。【29】</w:t>
      </w:r>
    </w:p>
    <w:p w14:paraId="3D4A99DC" w14:textId="77777777" w:rsidR="00201B77" w:rsidRPr="001B6E4D" w:rsidRDefault="00201B77" w:rsidP="003D1018">
      <w:pPr>
        <w:pStyle w:val="2fb"/>
        <w:overflowPunct w:val="0"/>
      </w:pPr>
      <w:r w:rsidRPr="001B6E4D">
        <w:t>提案人：莊瑞雄</w:t>
      </w:r>
    </w:p>
    <w:p w14:paraId="71FD62DD" w14:textId="77777777" w:rsidR="00201B77" w:rsidRPr="001B6E4D" w:rsidRDefault="00201B77" w:rsidP="003D1018">
      <w:pPr>
        <w:pStyle w:val="2fb"/>
        <w:overflowPunct w:val="0"/>
      </w:pPr>
      <w:r w:rsidRPr="001B6E4D">
        <w:t>連署人：沈發惠　張雅琳</w:t>
      </w:r>
    </w:p>
    <w:p w14:paraId="20C69F3D" w14:textId="77777777" w:rsidR="00201B77" w:rsidRPr="001B6E4D" w:rsidRDefault="00201B77" w:rsidP="003D1018">
      <w:pPr>
        <w:pStyle w:val="1f6"/>
        <w:overflowPunct w:val="0"/>
      </w:pPr>
      <w:proofErr w:type="gramStart"/>
      <w:r w:rsidRPr="001B6E4D">
        <w:rPr>
          <w:rFonts w:hint="eastAsia"/>
        </w:rPr>
        <w:t>鑑</w:t>
      </w:r>
      <w:proofErr w:type="gramEnd"/>
      <w:r w:rsidRPr="001B6E4D">
        <w:t>於公務機關業務繁重，基層人員</w:t>
      </w:r>
      <w:proofErr w:type="gramStart"/>
      <w:r w:rsidRPr="001B6E4D">
        <w:t>迭生過勞</w:t>
      </w:r>
      <w:proofErr w:type="gramEnd"/>
      <w:r w:rsidRPr="001B6E4D">
        <w:t>及身心壓力等情事，建構友善且具支持性之職場環境實屬政府首要之</w:t>
      </w:r>
      <w:proofErr w:type="gramStart"/>
      <w:r w:rsidRPr="001B6E4D">
        <w:t>務</w:t>
      </w:r>
      <w:proofErr w:type="gramEnd"/>
      <w:r w:rsidRPr="001B6E4D">
        <w:t>。查</w:t>
      </w:r>
      <w:r w:rsidRPr="001B6E4D">
        <w:rPr>
          <w:rFonts w:hint="eastAsia"/>
        </w:rPr>
        <w:t>行政院</w:t>
      </w:r>
      <w:r w:rsidRPr="001B6E4D">
        <w:t>人事行政總處自105年起停辦中央機關員工運動會，改以宣導鼓勵同仁參與運動賽事替代，惟政策推動迄今屆滿</w:t>
      </w:r>
      <w:r w:rsidRPr="001B6E4D">
        <w:rPr>
          <w:rFonts w:hint="eastAsia"/>
        </w:rPr>
        <w:t>10</w:t>
      </w:r>
      <w:r w:rsidRPr="001B6E4D">
        <w:t>年，多流於形式宣導而</w:t>
      </w:r>
      <w:r w:rsidRPr="001B6E4D">
        <w:rPr>
          <w:rFonts w:hint="eastAsia"/>
        </w:rPr>
        <w:t>缺</w:t>
      </w:r>
      <w:r w:rsidRPr="001B6E4D">
        <w:t>乏實質資源</w:t>
      </w:r>
      <w:proofErr w:type="gramStart"/>
      <w:r w:rsidRPr="001B6E4D">
        <w:t>挹</w:t>
      </w:r>
      <w:proofErr w:type="gramEnd"/>
      <w:r w:rsidRPr="001B6E4D">
        <w:t>注與誘因，致公務人員運動</w:t>
      </w:r>
      <w:r w:rsidRPr="001B6E4D">
        <w:lastRenderedPageBreak/>
        <w:t>風氣之提升難見實效。</w:t>
      </w:r>
    </w:p>
    <w:p w14:paraId="7ED7B0D0" w14:textId="77777777" w:rsidR="00201B77" w:rsidRPr="001B6E4D" w:rsidRDefault="00201B77" w:rsidP="003D1018">
      <w:pPr>
        <w:pStyle w:val="1f7"/>
        <w:overflowPunct w:val="0"/>
      </w:pPr>
      <w:r w:rsidRPr="001B6E4D">
        <w:t>配合國家成立「運動部」提倡全民運動之政策願景，為實質降低公務人員參與運動之門檻與成本，人事行政</w:t>
      </w:r>
      <w:proofErr w:type="gramStart"/>
      <w:r w:rsidRPr="001B6E4D">
        <w:t>總處允應</w:t>
      </w:r>
      <w:proofErr w:type="gramEnd"/>
      <w:r w:rsidRPr="001B6E4D">
        <w:t>善用既有福利制度，</w:t>
      </w:r>
      <w:proofErr w:type="gramStart"/>
      <w:r w:rsidRPr="001B6E4D">
        <w:t>賡</w:t>
      </w:r>
      <w:proofErr w:type="gramEnd"/>
      <w:r w:rsidRPr="001B6E4D">
        <w:t>續檢討「國民旅遊卡」之適用範疇。現行</w:t>
      </w:r>
      <w:proofErr w:type="gramStart"/>
      <w:r w:rsidRPr="001B6E4D">
        <w:t>國旅卡雖</w:t>
      </w:r>
      <w:proofErr w:type="gramEnd"/>
      <w:r w:rsidRPr="001B6E4D">
        <w:t>已逐步放寬特約消費限制，然就促進身心健康之「運動領域」仍具擴充空間。</w:t>
      </w:r>
      <w:proofErr w:type="gramStart"/>
      <w:r w:rsidRPr="001B6E4D">
        <w:t>爰</w:t>
      </w:r>
      <w:proofErr w:type="gramEnd"/>
      <w:r w:rsidRPr="001B6E4D">
        <w:t>此，人事行政總處應盤點105年迄今推動鼓勵公務人員參與運動活動之具體成效，</w:t>
      </w:r>
      <w:proofErr w:type="gramStart"/>
      <w:r w:rsidRPr="001B6E4D">
        <w:t>研</w:t>
      </w:r>
      <w:proofErr w:type="gramEnd"/>
      <w:r w:rsidRPr="001B6E4D">
        <w:t>擬提供實質資源與誘因之精進作為；同時，積極評估將各地國民運動中心、民營</w:t>
      </w:r>
      <w:proofErr w:type="gramStart"/>
      <w:r w:rsidRPr="001B6E4D">
        <w:t>健身房等場館</w:t>
      </w:r>
      <w:proofErr w:type="gramEnd"/>
      <w:r w:rsidRPr="001B6E4D">
        <w:t>設施納入特約機構，並</w:t>
      </w:r>
      <w:proofErr w:type="gramStart"/>
      <w:r w:rsidRPr="001B6E4D">
        <w:t>研</w:t>
      </w:r>
      <w:proofErr w:type="gramEnd"/>
      <w:r w:rsidRPr="001B6E4D">
        <w:t>議將民間體育賽事（如馬拉松、自行車賽等）之報名費納入核銷範圍之可行配套。</w:t>
      </w:r>
    </w:p>
    <w:p w14:paraId="33A70A9B" w14:textId="77777777" w:rsidR="00201B77" w:rsidRPr="001B6E4D" w:rsidRDefault="00201B77" w:rsidP="003D1018">
      <w:pPr>
        <w:pStyle w:val="1f7"/>
        <w:overflowPunct w:val="0"/>
      </w:pPr>
      <w:r w:rsidRPr="001B6E4D">
        <w:t>綜上所述，建請行政院人事行政總處於</w:t>
      </w:r>
      <w:r w:rsidRPr="001B6E4D">
        <w:rPr>
          <w:rFonts w:hint="eastAsia"/>
        </w:rPr>
        <w:t>3</w:t>
      </w:r>
      <w:r w:rsidRPr="001B6E4D">
        <w:t>個月內提送書面報告予</w:t>
      </w:r>
      <w:r w:rsidRPr="001B6E4D">
        <w:rPr>
          <w:rFonts w:hint="eastAsia"/>
        </w:rPr>
        <w:t>立法院</w:t>
      </w:r>
      <w:r w:rsidRPr="001B6E4D">
        <w:t>司法及法制委員會。【30】</w:t>
      </w:r>
    </w:p>
    <w:p w14:paraId="2A4EBDA4" w14:textId="77777777" w:rsidR="00201B77" w:rsidRPr="001B6E4D" w:rsidRDefault="00201B77" w:rsidP="003D1018">
      <w:pPr>
        <w:pStyle w:val="2fb"/>
        <w:overflowPunct w:val="0"/>
      </w:pPr>
      <w:r w:rsidRPr="001B6E4D">
        <w:t>提案人：莊瑞雄</w:t>
      </w:r>
    </w:p>
    <w:p w14:paraId="29CE148C" w14:textId="77777777" w:rsidR="00201B77" w:rsidRPr="001B6E4D" w:rsidRDefault="00201B77" w:rsidP="003D1018">
      <w:pPr>
        <w:pStyle w:val="2fb"/>
        <w:overflowPunct w:val="0"/>
      </w:pPr>
      <w:r w:rsidRPr="001B6E4D">
        <w:t xml:space="preserve">連署人：張雅琳　</w:t>
      </w:r>
      <w:proofErr w:type="gramStart"/>
      <w:r w:rsidRPr="001B6E4D">
        <w:t>范</w:t>
      </w:r>
      <w:proofErr w:type="gramEnd"/>
      <w:r w:rsidRPr="001B6E4D">
        <w:t xml:space="preserve">　雲</w:t>
      </w:r>
    </w:p>
    <w:p w14:paraId="61F6FBC6" w14:textId="77777777" w:rsidR="00201B77" w:rsidRPr="001B6E4D" w:rsidRDefault="00201B77" w:rsidP="003D1018">
      <w:pPr>
        <w:pStyle w:val="1f6"/>
        <w:overflowPunct w:val="0"/>
      </w:pPr>
      <w:r w:rsidRPr="001B6E4D">
        <w:t>查審計部報告，截至113年底止，各機關為因應資通安全管理法所</w:t>
      </w:r>
      <w:proofErr w:type="gramStart"/>
      <w:r w:rsidRPr="001B6E4D">
        <w:t>定資安</w:t>
      </w:r>
      <w:proofErr w:type="gramEnd"/>
      <w:r w:rsidRPr="001B6E4D">
        <w:t>人力需求，仍有相當比例未依專業職系配置</w:t>
      </w:r>
      <w:r w:rsidRPr="001B6E4D">
        <w:rPr>
          <w:rFonts w:hint="eastAsia"/>
        </w:rPr>
        <w:t>；</w:t>
      </w:r>
      <w:r w:rsidRPr="001B6E4D">
        <w:t>其中有106個機關由統計、綜合行政等非資訊處理職系人員</w:t>
      </w:r>
      <w:proofErr w:type="gramStart"/>
      <w:r w:rsidRPr="001B6E4D">
        <w:t>擔任資安專責</w:t>
      </w:r>
      <w:proofErr w:type="gramEnd"/>
      <w:r w:rsidRPr="001B6E4D">
        <w:t>人員，共計112人；另有78個機關以約聘僱、委</w:t>
      </w:r>
      <w:proofErr w:type="gramStart"/>
      <w:r w:rsidRPr="001B6E4D">
        <w:t>外或約用</w:t>
      </w:r>
      <w:proofErr w:type="gramEnd"/>
      <w:r w:rsidRPr="001B6E4D">
        <w:t>人員擔任，共計86人；亦有32個機關由上級機關派駐資訊人員兼辦，共計37人。顯示目前各</w:t>
      </w:r>
      <w:proofErr w:type="gramStart"/>
      <w:r w:rsidRPr="001B6E4D">
        <w:t>機關資安業務</w:t>
      </w:r>
      <w:proofErr w:type="gramEnd"/>
      <w:r w:rsidRPr="001B6E4D">
        <w:t>，仍普遍存在由非資訊專業人員兼辦，或以非正式人力支應之情形。</w:t>
      </w:r>
    </w:p>
    <w:p w14:paraId="5B25CE9E" w14:textId="77777777" w:rsidR="00201B77" w:rsidRPr="001B6E4D" w:rsidRDefault="00201B77" w:rsidP="003D1018">
      <w:pPr>
        <w:pStyle w:val="1f7"/>
        <w:overflowPunct w:val="0"/>
      </w:pPr>
      <w:r w:rsidRPr="001B6E4D">
        <w:t>上開現象，除與《資通安全責任等級分級辦法》所</w:t>
      </w:r>
      <w:proofErr w:type="gramStart"/>
      <w:r w:rsidRPr="001B6E4D">
        <w:t>定資安</w:t>
      </w:r>
      <w:proofErr w:type="gramEnd"/>
      <w:r w:rsidRPr="001B6E4D">
        <w:t>業務應由專責人員全職辦理之規範未盡相符外，亦可能</w:t>
      </w:r>
      <w:proofErr w:type="gramStart"/>
      <w:r w:rsidRPr="001B6E4D">
        <w:t>影響資安專業</w:t>
      </w:r>
      <w:proofErr w:type="gramEnd"/>
      <w:r w:rsidRPr="001B6E4D">
        <w:t>能力之穩定性與持續性。又以委</w:t>
      </w:r>
      <w:proofErr w:type="gramStart"/>
      <w:r w:rsidRPr="001B6E4D">
        <w:t>外或約用</w:t>
      </w:r>
      <w:proofErr w:type="gramEnd"/>
      <w:r w:rsidRPr="001B6E4D">
        <w:t>人力</w:t>
      </w:r>
      <w:proofErr w:type="gramStart"/>
      <w:r w:rsidRPr="001B6E4D">
        <w:t>辦理資安業務</w:t>
      </w:r>
      <w:proofErr w:type="gramEnd"/>
      <w:r w:rsidRPr="001B6E4D">
        <w:t>，因機關對其指揮監督權限相對有限，實務上恐生管理落差；倘其業務內容已</w:t>
      </w:r>
      <w:proofErr w:type="gramStart"/>
      <w:r w:rsidRPr="001B6E4D">
        <w:t>涉及資安維護</w:t>
      </w:r>
      <w:proofErr w:type="gramEnd"/>
      <w:r w:rsidRPr="001B6E4D">
        <w:t>計畫之訂定、執行、檢討，及對委外廠商之管理與稽核等事項，亦有涉公權力行使範圍之疑義，允宜審慎檢討其適法性與制度設計。</w:t>
      </w:r>
    </w:p>
    <w:p w14:paraId="54746E9F" w14:textId="77777777" w:rsidR="00201B77" w:rsidRPr="001B6E4D" w:rsidRDefault="00201B77" w:rsidP="003D1018">
      <w:pPr>
        <w:pStyle w:val="1f7"/>
        <w:overflowPunct w:val="0"/>
      </w:pPr>
      <w:proofErr w:type="gramStart"/>
      <w:r w:rsidRPr="001B6E4D">
        <w:t>爰</w:t>
      </w:r>
      <w:proofErr w:type="gramEnd"/>
      <w:r w:rsidRPr="001B6E4D">
        <w:t>請行政院人事行政總處會同主管機關</w:t>
      </w:r>
      <w:r w:rsidRPr="001B6E4D">
        <w:rPr>
          <w:rFonts w:hint="eastAsia"/>
        </w:rPr>
        <w:t>數位發展部</w:t>
      </w:r>
      <w:r w:rsidRPr="001B6E4D">
        <w:t>，就</w:t>
      </w:r>
      <w:r w:rsidRPr="001B6E4D">
        <w:rPr>
          <w:rFonts w:hint="eastAsia"/>
        </w:rPr>
        <w:t>中央</w:t>
      </w:r>
      <w:r w:rsidRPr="001B6E4D">
        <w:t>各</w:t>
      </w:r>
      <w:proofErr w:type="gramStart"/>
      <w:r w:rsidRPr="001B6E4D">
        <w:t>機關資安人力</w:t>
      </w:r>
      <w:proofErr w:type="gramEnd"/>
      <w:r w:rsidRPr="001B6E4D">
        <w:t>配置現況進行全面盤點，</w:t>
      </w:r>
      <w:r w:rsidRPr="001B6E4D">
        <w:rPr>
          <w:rFonts w:hint="eastAsia"/>
        </w:rPr>
        <w:t>持續</w:t>
      </w:r>
      <w:proofErr w:type="gramStart"/>
      <w:r w:rsidRPr="001B6E4D">
        <w:rPr>
          <w:rFonts w:hint="eastAsia"/>
        </w:rPr>
        <w:t>規劃攬才措施</w:t>
      </w:r>
      <w:proofErr w:type="gramEnd"/>
      <w:r w:rsidRPr="001B6E4D">
        <w:t>，落實</w:t>
      </w:r>
      <w:proofErr w:type="gramStart"/>
      <w:r w:rsidRPr="001B6E4D">
        <w:t>資安專</w:t>
      </w:r>
      <w:proofErr w:type="gramEnd"/>
      <w:r w:rsidRPr="001B6E4D">
        <w:t>才專用原則，並就專責人力配置及相關配套措施，於3個月內向立法院司法及法制委員會提出書面報告。【31】</w:t>
      </w:r>
    </w:p>
    <w:p w14:paraId="11C4A0D5" w14:textId="77777777" w:rsidR="00201B77" w:rsidRPr="001B6E4D" w:rsidRDefault="00201B77" w:rsidP="003D1018">
      <w:pPr>
        <w:pStyle w:val="2fb"/>
        <w:overflowPunct w:val="0"/>
      </w:pPr>
      <w:r w:rsidRPr="001B6E4D">
        <w:t>提案人：沈發惠</w:t>
      </w:r>
    </w:p>
    <w:p w14:paraId="3F5AC167" w14:textId="77777777" w:rsidR="00201B77" w:rsidRPr="001B6E4D" w:rsidRDefault="00201B77" w:rsidP="003D1018">
      <w:pPr>
        <w:pStyle w:val="2fb"/>
        <w:overflowPunct w:val="0"/>
      </w:pPr>
      <w:r w:rsidRPr="001B6E4D">
        <w:t>連署人：</w:t>
      </w:r>
      <w:proofErr w:type="gramStart"/>
      <w:r w:rsidRPr="001B6E4D">
        <w:t>范</w:t>
      </w:r>
      <w:proofErr w:type="gramEnd"/>
      <w:r w:rsidRPr="001B6E4D">
        <w:t xml:space="preserve">　雲　莊瑞雄</w:t>
      </w:r>
    </w:p>
    <w:p w14:paraId="17BA64D6" w14:textId="77777777" w:rsidR="00201B77" w:rsidRPr="001B6E4D" w:rsidRDefault="00201B77" w:rsidP="003D1018">
      <w:pPr>
        <w:pStyle w:val="1f6"/>
        <w:overflowPunct w:val="0"/>
      </w:pPr>
      <w:r w:rsidRPr="001B6E4D">
        <w:t>查行政院人事行政總處，為建立友善職場及敦促各機關重視職</w:t>
      </w:r>
      <w:proofErr w:type="gramStart"/>
      <w:r w:rsidRPr="001B6E4D">
        <w:t>場霸凌</w:t>
      </w:r>
      <w:proofErr w:type="gramEnd"/>
      <w:r w:rsidRPr="001B6E4D">
        <w:t>問題，避免公務人員於執行職務時遭受身體或精神不</w:t>
      </w:r>
      <w:r w:rsidRPr="001B6E4D">
        <w:lastRenderedPageBreak/>
        <w:t>法侵害，訂定「員工職</w:t>
      </w:r>
      <w:proofErr w:type="gramStart"/>
      <w:r w:rsidRPr="001B6E4D">
        <w:t>場霸凌</w:t>
      </w:r>
      <w:proofErr w:type="gramEnd"/>
      <w:r w:rsidRPr="001B6E4D">
        <w:t>處理標準作業流程（範例）」並建置職</w:t>
      </w:r>
      <w:proofErr w:type="gramStart"/>
      <w:r w:rsidRPr="001B6E4D">
        <w:t>場霸凌</w:t>
      </w:r>
      <w:proofErr w:type="gramEnd"/>
      <w:r w:rsidRPr="001B6E4D">
        <w:t>案件通報平</w:t>
      </w:r>
      <w:proofErr w:type="gramStart"/>
      <w:r w:rsidRPr="001B6E4D">
        <w:t>臺</w:t>
      </w:r>
      <w:proofErr w:type="gramEnd"/>
      <w:r w:rsidRPr="001B6E4D">
        <w:t>。審計部報告顯示，111至113年度（截至11月底止）各機關職</w:t>
      </w:r>
      <w:proofErr w:type="gramStart"/>
      <w:r w:rsidRPr="001B6E4D">
        <w:t>場霸凌</w:t>
      </w:r>
      <w:proofErr w:type="gramEnd"/>
      <w:r w:rsidRPr="001B6E4D">
        <w:t>申訴案件各為150件、341件及472件，呈逐年攀升趨勢，並將通報案件轉交權責機關處理，並追蹤列管結案情形，惟尚未將相關資訊予以統計分類，進行態樣分析應用；</w:t>
      </w:r>
      <w:proofErr w:type="gramStart"/>
      <w:r w:rsidRPr="001B6E4D">
        <w:t>鑑</w:t>
      </w:r>
      <w:proofErr w:type="gramEnd"/>
      <w:r w:rsidRPr="001B6E4D">
        <w:t>於職</w:t>
      </w:r>
      <w:proofErr w:type="gramStart"/>
      <w:r w:rsidRPr="001B6E4D">
        <w:t>場霸凌</w:t>
      </w:r>
      <w:proofErr w:type="gramEnd"/>
      <w:r w:rsidRPr="001B6E4D">
        <w:t>申訴之處理調查，涉及心理衛生或法律領域等專業判斷，為利案件調查及後續防治追蹤。</w:t>
      </w:r>
    </w:p>
    <w:p w14:paraId="64BB261B" w14:textId="77777777" w:rsidR="00201B77" w:rsidRPr="001B6E4D" w:rsidRDefault="00201B77" w:rsidP="003D1018">
      <w:pPr>
        <w:pStyle w:val="1f7"/>
        <w:overflowPunct w:val="0"/>
      </w:pPr>
      <w:proofErr w:type="gramStart"/>
      <w:r w:rsidRPr="001B6E4D">
        <w:t>爰</w:t>
      </w:r>
      <w:proofErr w:type="gramEnd"/>
      <w:r w:rsidRPr="001B6E4D">
        <w:t>請行政院人事行政總處，就職</w:t>
      </w:r>
      <w:proofErr w:type="gramStart"/>
      <w:r w:rsidRPr="001B6E4D">
        <w:t>場霸凌</w:t>
      </w:r>
      <w:proofErr w:type="gramEnd"/>
      <w:r w:rsidRPr="001B6E4D">
        <w:t>案件通報平</w:t>
      </w:r>
      <w:proofErr w:type="gramStart"/>
      <w:r w:rsidRPr="001B6E4D">
        <w:t>臺</w:t>
      </w:r>
      <w:proofErr w:type="gramEnd"/>
      <w:r w:rsidRPr="001B6E4D">
        <w:t>之相關數據，定期辦理資料</w:t>
      </w:r>
      <w:proofErr w:type="gramStart"/>
      <w:r w:rsidRPr="001B6E4D">
        <w:t>分類與態樣</w:t>
      </w:r>
      <w:proofErr w:type="gramEnd"/>
      <w:r w:rsidRPr="001B6E4D">
        <w:t>分析，進而滾動檢討並持續策進公部門之友善職場環境</w:t>
      </w:r>
      <w:proofErr w:type="gramStart"/>
      <w:r w:rsidRPr="001B6E4D">
        <w:t>與霸凌防治</w:t>
      </w:r>
      <w:proofErr w:type="gramEnd"/>
      <w:r w:rsidRPr="001B6E4D">
        <w:t>作為，於3個月內向立法院司法及法制委員會提出書面報告。【32】</w:t>
      </w:r>
    </w:p>
    <w:p w14:paraId="7AB1B4C5" w14:textId="77777777" w:rsidR="00201B77" w:rsidRPr="001B6E4D" w:rsidRDefault="00201B77" w:rsidP="003D1018">
      <w:pPr>
        <w:pStyle w:val="2fb"/>
        <w:overflowPunct w:val="0"/>
      </w:pPr>
      <w:r w:rsidRPr="001B6E4D">
        <w:t>提案人：沈發惠</w:t>
      </w:r>
    </w:p>
    <w:p w14:paraId="0E70D70A" w14:textId="77777777" w:rsidR="00201B77" w:rsidRPr="001B6E4D" w:rsidRDefault="00201B77" w:rsidP="003D1018">
      <w:pPr>
        <w:pStyle w:val="2fb"/>
        <w:overflowPunct w:val="0"/>
      </w:pPr>
      <w:r w:rsidRPr="001B6E4D">
        <w:t>連署人：</w:t>
      </w:r>
      <w:proofErr w:type="gramStart"/>
      <w:r w:rsidRPr="001B6E4D">
        <w:t>范</w:t>
      </w:r>
      <w:proofErr w:type="gramEnd"/>
      <w:r w:rsidRPr="001B6E4D">
        <w:t xml:space="preserve">　雲　莊瑞雄</w:t>
      </w:r>
    </w:p>
    <w:p w14:paraId="19F65CA6" w14:textId="77777777" w:rsidR="00201B77" w:rsidRPr="001B6E4D" w:rsidRDefault="00201B77" w:rsidP="003D1018">
      <w:pPr>
        <w:pStyle w:val="1f6"/>
        <w:overflowPunct w:val="0"/>
      </w:pPr>
      <w:r w:rsidRPr="001B6E4D">
        <w:t>各機關國會聯絡人為行政機關與立法院之間重要溝通窗口，平時需協助處理立法委員問政資料、預算與法案審查、民眾陳情案件、臨時協調事項及跨機關聯繫作業，業務內容繁重且時效壓力高，並經常需配合立法院議事運作及臨時需求，即時完成資料彙整、政策說明及溝通協調工作。</w:t>
      </w:r>
    </w:p>
    <w:p w14:paraId="1B4D00C2" w14:textId="77777777" w:rsidR="00201B77" w:rsidRPr="001B6E4D" w:rsidRDefault="00201B77" w:rsidP="003D1018">
      <w:pPr>
        <w:pStyle w:val="1f7"/>
        <w:overflowPunct w:val="0"/>
      </w:pPr>
      <w:proofErr w:type="gramStart"/>
      <w:r w:rsidRPr="001B6E4D">
        <w:t>惟</w:t>
      </w:r>
      <w:proofErr w:type="gramEnd"/>
      <w:r w:rsidRPr="001B6E4D">
        <w:t>現行公務人員待遇及支持制度中，尚未針對國會聯絡業務設置專屬加給、工作補償或其他激勵措施，導致承辦相關業務之人員長期承擔高度聯繫、協調與即時回應責任，卻未有相應之制度性支持。</w:t>
      </w:r>
    </w:p>
    <w:p w14:paraId="7422CBA5" w14:textId="77777777" w:rsidR="00201B77" w:rsidRPr="001B6E4D" w:rsidRDefault="00201B77" w:rsidP="003D1018">
      <w:pPr>
        <w:pStyle w:val="1f7"/>
        <w:overflowPunct w:val="0"/>
      </w:pPr>
      <w:proofErr w:type="gramStart"/>
      <w:r w:rsidRPr="001B6E4D">
        <w:t>爰</w:t>
      </w:r>
      <w:proofErr w:type="gramEnd"/>
      <w:r w:rsidRPr="001B6E4D">
        <w:t>建請行政院人事行政總處，通盤檢討國會聯絡人員之業務負擔、加班補休、人力配置及職</w:t>
      </w:r>
      <w:proofErr w:type="gramStart"/>
      <w:r w:rsidRPr="001B6E4D">
        <w:t>涯</w:t>
      </w:r>
      <w:proofErr w:type="gramEnd"/>
      <w:r w:rsidRPr="001B6E4D">
        <w:t>發展情形，</w:t>
      </w:r>
      <w:proofErr w:type="gramStart"/>
      <w:r w:rsidRPr="001B6E4D">
        <w:t>研</w:t>
      </w:r>
      <w:proofErr w:type="gramEnd"/>
      <w:r w:rsidRPr="001B6E4D">
        <w:t>議建立合理之支持與福利調整機制，包括國會聯絡業務加給或專案津貼、加班及補休保障、彈性工時安排、代理及輪調制度、專業訓練、心理支持與考績升遷評價機制，以合理反映國會聯絡人員所承擔之工作責任，健全行政機關與立法院間之溝通協調制度。請行政院人事行政總處針對上述於3個月內向立法院司法及法制委員會提出可行性</w:t>
      </w:r>
      <w:proofErr w:type="gramStart"/>
      <w:r w:rsidRPr="001B6E4D">
        <w:t>研</w:t>
      </w:r>
      <w:proofErr w:type="gramEnd"/>
      <w:r w:rsidRPr="001B6E4D">
        <w:t>議評估書面報告。【33】</w:t>
      </w:r>
    </w:p>
    <w:p w14:paraId="75EB697B" w14:textId="77777777" w:rsidR="00201B77" w:rsidRPr="001B6E4D" w:rsidRDefault="00201B77" w:rsidP="003D1018">
      <w:pPr>
        <w:pStyle w:val="2fb"/>
        <w:overflowPunct w:val="0"/>
      </w:pPr>
      <w:r w:rsidRPr="001B6E4D">
        <w:t>提案人：張雅琳</w:t>
      </w:r>
    </w:p>
    <w:p w14:paraId="633A8D4A" w14:textId="77777777" w:rsidR="00201B77" w:rsidRPr="001B6E4D" w:rsidRDefault="00201B77" w:rsidP="003D1018">
      <w:pPr>
        <w:pStyle w:val="2fb"/>
        <w:overflowPunct w:val="0"/>
      </w:pPr>
      <w:r w:rsidRPr="001B6E4D">
        <w:t>連署人：莊瑞雄　沈發惠</w:t>
      </w:r>
    </w:p>
    <w:p w14:paraId="584B4897" w14:textId="77777777" w:rsidR="00201B77" w:rsidRPr="001B6E4D" w:rsidRDefault="00201B77" w:rsidP="003D1018">
      <w:pPr>
        <w:pStyle w:val="1f6"/>
        <w:overflowPunct w:val="0"/>
      </w:pPr>
      <w:r w:rsidRPr="001B6E4D">
        <w:t>根據《天下雜誌》於</w:t>
      </w:r>
      <w:r w:rsidRPr="001B6E4D">
        <w:rPr>
          <w:rFonts w:hint="eastAsia"/>
        </w:rPr>
        <w:t>115</w:t>
      </w:r>
      <w:r w:rsidRPr="001B6E4D">
        <w:t>年3月之報導，我國人事費占GDP比例約為5.9%，相較於</w:t>
      </w:r>
      <w:r w:rsidRPr="001B6E4D">
        <w:rPr>
          <w:rFonts w:hint="eastAsia"/>
        </w:rPr>
        <w:t>其</w:t>
      </w:r>
      <w:r w:rsidRPr="001B6E4D">
        <w:t>他OECD國家偏低，顯示我國公共服務量能可能已處於相對緊繃狀態。</w:t>
      </w:r>
    </w:p>
    <w:p w14:paraId="5B2CBA98" w14:textId="77777777" w:rsidR="00201B77" w:rsidRPr="001B6E4D" w:rsidRDefault="00201B77" w:rsidP="003D1018">
      <w:pPr>
        <w:pStyle w:val="1f7"/>
        <w:overflowPunct w:val="0"/>
      </w:pPr>
      <w:r w:rsidRPr="001B6E4D">
        <w:t>另依</w:t>
      </w:r>
      <w:proofErr w:type="gramStart"/>
      <w:r w:rsidRPr="001B6E4D">
        <w:t>113</w:t>
      </w:r>
      <w:proofErr w:type="gramEnd"/>
      <w:r w:rsidRPr="001B6E4D">
        <w:t>年度</w:t>
      </w:r>
      <w:proofErr w:type="gramStart"/>
      <w:r w:rsidRPr="001B6E4D">
        <w:t>審計部總決算</w:t>
      </w:r>
      <w:proofErr w:type="gramEnd"/>
      <w:r w:rsidRPr="001B6E4D">
        <w:t>審核報告表示，中央政府之第一類員額已達法定員額95%以上，接近法定上限；此外中央政</w:t>
      </w:r>
      <w:r w:rsidRPr="001B6E4D">
        <w:lastRenderedPageBreak/>
        <w:t>府另聘有約10萬2,000名多元人力，顯示在正式員額難以增加之情況下，政府實際運作已高度仰賴多元人力支撐。</w:t>
      </w:r>
    </w:p>
    <w:p w14:paraId="5DFF4F14" w14:textId="77777777" w:rsidR="00201B77" w:rsidRPr="001B6E4D" w:rsidRDefault="00201B77" w:rsidP="003D1018">
      <w:pPr>
        <w:pStyle w:val="1f7"/>
        <w:overflowPunct w:val="0"/>
      </w:pPr>
      <w:r w:rsidRPr="001B6E4D">
        <w:t>《中央政府機關總員額法》於99年制定時，中央政府總預算規模約為1.7兆元，108年修法時約為1.9兆元，惟目前中央政府總預算規模已達約3兆元。近年政府亦新增社會安全網、長照政策、青年百億圓夢基金等多項法定業務，整體業務量明顯增加，顯示總員額制度並未隨預算規模及業務需求同步檢討。</w:t>
      </w:r>
    </w:p>
    <w:p w14:paraId="2689A7C1" w14:textId="77777777" w:rsidR="00201B77" w:rsidRPr="001B6E4D" w:rsidRDefault="00201B77" w:rsidP="003D1018">
      <w:pPr>
        <w:pStyle w:val="1f7"/>
        <w:overflowPunct w:val="0"/>
      </w:pPr>
      <w:r w:rsidRPr="001B6E4D">
        <w:t>另參考國際經驗，挪威整體預算規模與我國相近，全國公務人員人數約為90萬人，其公共治理特色在於政府信任度、行政服務滿意度及數位政府表現均優於OECD平均，顯示較完整之公共服務體系與穩定人力配置，有助於支撐政府治理效能；澳洲、羅馬尼亞等與我國人口規模相近之國家，若</w:t>
      </w:r>
      <w:proofErr w:type="gramStart"/>
      <w:r w:rsidRPr="001B6E4D">
        <w:t>採</w:t>
      </w:r>
      <w:proofErr w:type="gramEnd"/>
      <w:r w:rsidRPr="001B6E4D">
        <w:t>較廣義之公部門定義，包含教師、醫療人員等，其公部門人力規模分別約為130萬人及260萬人，其中澳洲近年重視數位優先、跨機關服務整合及以使用者為中心之行政服務設計，羅馬尼亞則在公共行政改革過程中，推動公部門數位化、廉政透明及人力制度調整。雖各國行政體制、公部門範圍及統計定義未盡相同，仍可作為我國檢討政府員額配置、人力運用、數位治理及人事支出結構之重要參考。</w:t>
      </w:r>
    </w:p>
    <w:p w14:paraId="09F569C3" w14:textId="77777777" w:rsidR="00201B77" w:rsidRPr="001B6E4D" w:rsidRDefault="00201B77" w:rsidP="003D1018">
      <w:pPr>
        <w:pStyle w:val="1f7"/>
        <w:overflowPunct w:val="0"/>
      </w:pPr>
      <w:proofErr w:type="gramStart"/>
      <w:r w:rsidRPr="001B6E4D">
        <w:t>爰</w:t>
      </w:r>
      <w:proofErr w:type="gramEnd"/>
      <w:r w:rsidRPr="001B6E4D">
        <w:t>建請行政院人事行政總處於</w:t>
      </w:r>
      <w:r w:rsidRPr="001B6E4D">
        <w:rPr>
          <w:rFonts w:hint="eastAsia"/>
        </w:rPr>
        <w:t>5</w:t>
      </w:r>
      <w:r w:rsidRPr="001B6E4D">
        <w:t>個月內，針對與我國人口規模或中央政府總預算規模相近國家之公務人員數量、人事支出比例、員額配置及相關制度進行比較研究，並就我國現行總員額制度、多元人力運用情形及未來修法或制度調整方向提出檢討建議，向立法院司法及法制委員會提出書面報告。【34】</w:t>
      </w:r>
    </w:p>
    <w:p w14:paraId="26E71EBB" w14:textId="77777777" w:rsidR="00201B77" w:rsidRPr="001B6E4D" w:rsidRDefault="00201B77" w:rsidP="003D1018">
      <w:pPr>
        <w:pStyle w:val="2fb"/>
        <w:overflowPunct w:val="0"/>
      </w:pPr>
      <w:r w:rsidRPr="001B6E4D">
        <w:t>提案人：張雅琳</w:t>
      </w:r>
    </w:p>
    <w:p w14:paraId="0B92AAF4" w14:textId="77777777" w:rsidR="00201B77" w:rsidRPr="001B6E4D" w:rsidRDefault="00201B77" w:rsidP="003D1018">
      <w:pPr>
        <w:pStyle w:val="2fb"/>
        <w:overflowPunct w:val="0"/>
      </w:pPr>
      <w:r w:rsidRPr="001B6E4D">
        <w:t>連署人：莊瑞雄　沈發惠</w:t>
      </w:r>
    </w:p>
    <w:p w14:paraId="14B4FCE7" w14:textId="77777777" w:rsidR="00201B77" w:rsidRPr="001B6E4D" w:rsidRDefault="00201B77" w:rsidP="003D1018">
      <w:pPr>
        <w:pStyle w:val="1f6"/>
        <w:overflowPunct w:val="0"/>
      </w:pPr>
      <w:r w:rsidRPr="001B6E4D">
        <w:t>依《各機關加班費支給辦法》第</w:t>
      </w:r>
      <w:r w:rsidRPr="001B6E4D">
        <w:rPr>
          <w:rFonts w:hint="eastAsia"/>
        </w:rPr>
        <w:t>5</w:t>
      </w:r>
      <w:r w:rsidRPr="001B6E4D">
        <w:t>條規定，各機關支給每人加班費時數上限，辦公日不得超過</w:t>
      </w:r>
      <w:r w:rsidRPr="001B6E4D">
        <w:rPr>
          <w:rFonts w:hint="eastAsia"/>
        </w:rPr>
        <w:t>4</w:t>
      </w:r>
      <w:r w:rsidRPr="001B6E4D">
        <w:t>小時，放假日及例假日不得超過</w:t>
      </w:r>
      <w:r w:rsidRPr="001B6E4D">
        <w:rPr>
          <w:rFonts w:hint="eastAsia"/>
        </w:rPr>
        <w:t>8</w:t>
      </w:r>
      <w:r w:rsidRPr="001B6E4D">
        <w:t>小時，每月不得超過</w:t>
      </w:r>
      <w:r w:rsidRPr="001B6E4D">
        <w:rPr>
          <w:rFonts w:hint="eastAsia"/>
        </w:rPr>
        <w:t>20</w:t>
      </w:r>
      <w:r w:rsidRPr="001B6E4D">
        <w:t>小時；但因業務需要，得報主管機關或其授權機關核准，支給專案加班費。</w:t>
      </w:r>
    </w:p>
    <w:p w14:paraId="7E56EE79" w14:textId="77777777" w:rsidR="00201B77" w:rsidRPr="001B6E4D" w:rsidRDefault="00201B77" w:rsidP="003D1018">
      <w:pPr>
        <w:pStyle w:val="1f7"/>
        <w:overflowPunct w:val="0"/>
      </w:pPr>
      <w:r w:rsidRPr="001B6E4D">
        <w:t>據行政院人事行政總處說明，除法務部外，中央各機關平均加班時數多低於每月</w:t>
      </w:r>
      <w:r w:rsidRPr="001B6E4D">
        <w:rPr>
          <w:rFonts w:hint="eastAsia"/>
        </w:rPr>
        <w:t>20</w:t>
      </w:r>
      <w:r w:rsidRPr="001B6E4D">
        <w:t>小時。</w:t>
      </w:r>
      <w:proofErr w:type="gramStart"/>
      <w:r w:rsidRPr="001B6E4D">
        <w:t>惟</w:t>
      </w:r>
      <w:proofErr w:type="gramEnd"/>
      <w:r w:rsidRPr="001B6E4D">
        <w:t>基層公務人員反映，實務上仍存在加班事實未完整登載、因加班費預算不足而改以補休處理、專案加班申請程序繁瑣或不易核准等情形，導致實際工時與統計數據之間可能存在落差。</w:t>
      </w:r>
    </w:p>
    <w:p w14:paraId="68079FE0" w14:textId="77777777" w:rsidR="00201B77" w:rsidRPr="001B6E4D" w:rsidRDefault="00201B77" w:rsidP="003D1018">
      <w:pPr>
        <w:pStyle w:val="1f7"/>
        <w:overflowPunct w:val="0"/>
      </w:pPr>
      <w:proofErr w:type="gramStart"/>
      <w:r w:rsidRPr="001B6E4D">
        <w:t>此外，</w:t>
      </w:r>
      <w:proofErr w:type="gramEnd"/>
      <w:r w:rsidRPr="001B6E4D">
        <w:t>雖得以補休作為加班補償方式，惟基層公務人員多反映因業務量長期繁重、人力不足或職務代理困難，公務人員</w:t>
      </w:r>
      <w:r w:rsidRPr="001B6E4D">
        <w:lastRenderedPageBreak/>
        <w:t>即使累積補休時數，也未必有時間</w:t>
      </w:r>
      <w:proofErr w:type="gramStart"/>
      <w:r w:rsidRPr="001B6E4D">
        <w:t>實際休</w:t>
      </w:r>
      <w:proofErr w:type="gramEnd"/>
      <w:r w:rsidRPr="001B6E4D">
        <w:t>畢，形成「加班無法</w:t>
      </w:r>
      <w:proofErr w:type="gramStart"/>
      <w:r w:rsidRPr="001B6E4D">
        <w:t>覈</w:t>
      </w:r>
      <w:proofErr w:type="gramEnd"/>
      <w:r w:rsidRPr="001B6E4D">
        <w:t>實支給、</w:t>
      </w:r>
      <w:proofErr w:type="gramStart"/>
      <w:r w:rsidRPr="001B6E4D">
        <w:t>補休也無法</w:t>
      </w:r>
      <w:proofErr w:type="gramEnd"/>
      <w:r w:rsidRPr="001B6E4D">
        <w:t>實際使用」之雙重困境，影響基層公務人員勞動權益與身心負荷。加班制度應以「</w:t>
      </w:r>
      <w:proofErr w:type="gramStart"/>
      <w:r w:rsidRPr="001B6E4D">
        <w:t>覈</w:t>
      </w:r>
      <w:proofErr w:type="gramEnd"/>
      <w:r w:rsidRPr="001B6E4D">
        <w:t>實登載、合理補償、</w:t>
      </w:r>
      <w:proofErr w:type="gramStart"/>
      <w:r w:rsidRPr="001B6E4D">
        <w:t>補休可實際</w:t>
      </w:r>
      <w:proofErr w:type="gramEnd"/>
      <w:r w:rsidRPr="001B6E4D">
        <w:t>使用、制度檢討」為原則。若機關因業務量長期增加而反覆需要加班，應回到員額配置、業務簡化、數位化及人力調整等制度面檢討，而非僅要求基層以自行吸收、累積補休或未登載加班之方式因應。</w:t>
      </w:r>
    </w:p>
    <w:p w14:paraId="078D4166" w14:textId="77777777" w:rsidR="00201B77" w:rsidRPr="001B6E4D" w:rsidRDefault="00201B77" w:rsidP="003D1018">
      <w:pPr>
        <w:pStyle w:val="1f7"/>
        <w:overflowPunct w:val="0"/>
      </w:pPr>
      <w:proofErr w:type="gramStart"/>
      <w:r w:rsidRPr="001B6E4D">
        <w:t>爰</w:t>
      </w:r>
      <w:proofErr w:type="gramEnd"/>
      <w:r w:rsidRPr="001B6E4D">
        <w:t>建請行政院人事行政總處於3個月內，針對中央各機關加班時數登載、加班費支給、專案加班核准、加班費預算編列、補休累積及</w:t>
      </w:r>
      <w:proofErr w:type="gramStart"/>
      <w:r w:rsidRPr="001B6E4D">
        <w:t>實際休</w:t>
      </w:r>
      <w:proofErr w:type="gramEnd"/>
      <w:r w:rsidRPr="001B6E4D">
        <w:t>畢情形進行通盤檢討，並督促各機關</w:t>
      </w:r>
      <w:proofErr w:type="gramStart"/>
      <w:r w:rsidRPr="001B6E4D">
        <w:t>覈</w:t>
      </w:r>
      <w:proofErr w:type="gramEnd"/>
      <w:r w:rsidRPr="001B6E4D">
        <w:t>實登載加班事實，不得以預算不足、行政程序或機關內部慣例，拒絕或影響公務人員依法申請加班費、專案加班及實際使用補休之權益；另應就加班或補休累積情形長期偏高之機關，協助員額配置、業務簡化及加班費制度改革，向立法院司法及法制委員會提出書面報告。【35】</w:t>
      </w:r>
    </w:p>
    <w:p w14:paraId="5112A48B" w14:textId="77777777" w:rsidR="00201B77" w:rsidRPr="001B6E4D" w:rsidRDefault="00201B77" w:rsidP="003D1018">
      <w:pPr>
        <w:pStyle w:val="2fb"/>
        <w:overflowPunct w:val="0"/>
      </w:pPr>
      <w:r w:rsidRPr="001B6E4D">
        <w:t>提案人：張雅琳</w:t>
      </w:r>
    </w:p>
    <w:p w14:paraId="533F5511" w14:textId="77777777" w:rsidR="00201B77" w:rsidRPr="001B6E4D" w:rsidRDefault="00201B77" w:rsidP="003D1018">
      <w:pPr>
        <w:pStyle w:val="2fb"/>
        <w:overflowPunct w:val="0"/>
      </w:pPr>
      <w:r w:rsidRPr="001B6E4D">
        <w:t>連署人：莊瑞雄　沈發惠</w:t>
      </w:r>
    </w:p>
    <w:p w14:paraId="3FAF4E95" w14:textId="77777777" w:rsidR="00201B77" w:rsidRPr="001B6E4D" w:rsidRDefault="00201B77" w:rsidP="003D1018">
      <w:pPr>
        <w:pStyle w:val="1f6"/>
        <w:overflowPunct w:val="0"/>
      </w:pPr>
      <w:r w:rsidRPr="001B6E4D">
        <w:t>行政院人事行政總處</w:t>
      </w:r>
      <w:proofErr w:type="gramStart"/>
      <w:r w:rsidRPr="001B6E4D">
        <w:t>115</w:t>
      </w:r>
      <w:proofErr w:type="gramEnd"/>
      <w:r w:rsidRPr="001B6E4D">
        <w:t>年度預算案於「人事行政之政策規劃執行及發展」工作計畫</w:t>
      </w:r>
      <w:r w:rsidRPr="001B6E4D">
        <w:rPr>
          <w:rFonts w:hint="eastAsia"/>
        </w:rPr>
        <w:t>辦理</w:t>
      </w:r>
      <w:r w:rsidRPr="001B6E4D">
        <w:t>「智慧</w:t>
      </w:r>
      <w:proofErr w:type="gramStart"/>
      <w:r w:rsidRPr="001B6E4D">
        <w:t>永續人資</w:t>
      </w:r>
      <w:proofErr w:type="gramEnd"/>
      <w:r w:rsidRPr="001B6E4D">
        <w:t>發展」。依該計畫內容，人事總處預計辦理中央機關員額評鑑智慧系統、全國人事資料統計智慧系統、全國差勤資料倉儲、生成式人事業務智慧客服、公務人員事求人系統智慧化助手、主管機關差勤管理智慧系統、智慧公文系統及智慧資訊安全助手等項目，服務對象包含人事總處同仁、各機關人事人員、公務人員及民眾，影響範圍甚廣。</w:t>
      </w:r>
    </w:p>
    <w:p w14:paraId="43668910" w14:textId="77777777" w:rsidR="00201B77" w:rsidRPr="001B6E4D" w:rsidRDefault="00201B77" w:rsidP="003D1018">
      <w:pPr>
        <w:pStyle w:val="1f7"/>
        <w:overflowPunct w:val="0"/>
      </w:pPr>
      <w:proofErr w:type="gramStart"/>
      <w:r w:rsidRPr="001B6E4D">
        <w:t>惟</w:t>
      </w:r>
      <w:proofErr w:type="gramEnd"/>
      <w:r w:rsidRPr="001B6E4D">
        <w:t>依據立法院預算中心</w:t>
      </w:r>
      <w:r w:rsidRPr="001B6E4D">
        <w:rPr>
          <w:rFonts w:hint="eastAsia"/>
        </w:rPr>
        <w:t>評估</w:t>
      </w:r>
      <w:r w:rsidRPr="001B6E4D">
        <w:t>報告表示，人事總處建有人事雲端資料中心及全國共用人事資訊系統，並保有全國公教人員完整</w:t>
      </w:r>
      <w:proofErr w:type="gramStart"/>
      <w:r w:rsidRPr="001B6E4D">
        <w:t>個</w:t>
      </w:r>
      <w:proofErr w:type="gramEnd"/>
      <w:r w:rsidRPr="001B6E4D">
        <w:t>資，屬政府人事政策制定及業務推動之核心機關。若於全國人事系統導入生成式人工智慧及數據分析模組，涉及大量人事資料、差勤資料、應徵資料及公文資料之蒐集、清理、訓練、分析與應用，更應審慎</w:t>
      </w:r>
      <w:proofErr w:type="gramStart"/>
      <w:r w:rsidRPr="001B6E4D">
        <w:t>評估資安風險</w:t>
      </w:r>
      <w:proofErr w:type="gramEnd"/>
      <w:r w:rsidRPr="001B6E4D">
        <w:t>、</w:t>
      </w:r>
      <w:proofErr w:type="gramStart"/>
      <w:r w:rsidRPr="001B6E4D">
        <w:t>個</w:t>
      </w:r>
      <w:proofErr w:type="gramEnd"/>
      <w:r w:rsidRPr="001B6E4D">
        <w:t>資保護、資料治理及模型使用邊界。</w:t>
      </w:r>
    </w:p>
    <w:p w14:paraId="4FA509F9" w14:textId="77777777" w:rsidR="00201B77" w:rsidRPr="001B6E4D" w:rsidRDefault="00201B77" w:rsidP="003D1018">
      <w:pPr>
        <w:pStyle w:val="1f7"/>
        <w:overflowPunct w:val="0"/>
      </w:pPr>
      <w:r w:rsidRPr="001B6E4D">
        <w:t>另108年曾發生包含國</w:t>
      </w:r>
      <w:r w:rsidRPr="001B6E4D">
        <w:rPr>
          <w:rFonts w:hint="eastAsia"/>
        </w:rPr>
        <w:t>家</w:t>
      </w:r>
      <w:r w:rsidRPr="001B6E4D">
        <w:t>安</w:t>
      </w:r>
      <w:r w:rsidRPr="001B6E4D">
        <w:rPr>
          <w:rFonts w:hint="eastAsia"/>
        </w:rPr>
        <w:t>全</w:t>
      </w:r>
      <w:r w:rsidRPr="001B6E4D">
        <w:t>局等機敏機關在內之大量公務人員</w:t>
      </w:r>
      <w:proofErr w:type="gramStart"/>
      <w:r w:rsidRPr="001B6E4D">
        <w:t>個</w:t>
      </w:r>
      <w:proofErr w:type="gramEnd"/>
      <w:r w:rsidRPr="001B6E4D">
        <w:t>資外</w:t>
      </w:r>
      <w:proofErr w:type="gramStart"/>
      <w:r w:rsidRPr="001B6E4D">
        <w:t>洩</w:t>
      </w:r>
      <w:proofErr w:type="gramEnd"/>
      <w:r w:rsidRPr="001B6E4D">
        <w:t>事件，影響重大。雖該案係銓敘部相關疏失所致，惟人事總處同樣掌有全國公教人員</w:t>
      </w:r>
      <w:proofErr w:type="gramStart"/>
      <w:r w:rsidRPr="001B6E4D">
        <w:t>個</w:t>
      </w:r>
      <w:proofErr w:type="gramEnd"/>
      <w:r w:rsidRPr="001B6E4D">
        <w:t>資，應引以為</w:t>
      </w:r>
      <w:proofErr w:type="gramStart"/>
      <w:r w:rsidRPr="001B6E4D">
        <w:t>鑑</w:t>
      </w:r>
      <w:proofErr w:type="gramEnd"/>
      <w:r w:rsidRPr="001B6E4D">
        <w:t>，於推動AI導入時，落實《人工智慧基本法》、《資通安全管理法》及《個人資料保護法》等相關規範，避免AI應用擴大後反而增加個資外</w:t>
      </w:r>
      <w:proofErr w:type="gramStart"/>
      <w:r w:rsidRPr="001B6E4D">
        <w:t>洩及資安風險</w:t>
      </w:r>
      <w:proofErr w:type="gramEnd"/>
      <w:r w:rsidRPr="001B6E4D">
        <w:t>。</w:t>
      </w:r>
    </w:p>
    <w:p w14:paraId="097C6329" w14:textId="77777777" w:rsidR="00201B77" w:rsidRPr="001B6E4D" w:rsidRDefault="00201B77" w:rsidP="003D1018">
      <w:pPr>
        <w:pStyle w:val="1f7"/>
        <w:overflowPunct w:val="0"/>
      </w:pPr>
      <w:proofErr w:type="gramStart"/>
      <w:r w:rsidRPr="001B6E4D">
        <w:lastRenderedPageBreak/>
        <w:t>爰</w:t>
      </w:r>
      <w:proofErr w:type="gramEnd"/>
      <w:r w:rsidRPr="001B6E4D">
        <w:t>建請行政院人事行政總處針對「智慧</w:t>
      </w:r>
      <w:proofErr w:type="gramStart"/>
      <w:r w:rsidRPr="001B6E4D">
        <w:t>永續人資</w:t>
      </w:r>
      <w:proofErr w:type="gramEnd"/>
      <w:r w:rsidRPr="001B6E4D">
        <w:t>發展計畫」導入生成式人工智慧及相關資訊系統</w:t>
      </w:r>
      <w:proofErr w:type="gramStart"/>
      <w:r w:rsidRPr="001B6E4D">
        <w:t>之資安防護</w:t>
      </w:r>
      <w:proofErr w:type="gramEnd"/>
      <w:r w:rsidRPr="001B6E4D">
        <w:t>、</w:t>
      </w:r>
      <w:proofErr w:type="gramStart"/>
      <w:r w:rsidRPr="001B6E4D">
        <w:t>個</w:t>
      </w:r>
      <w:proofErr w:type="gramEnd"/>
      <w:r w:rsidRPr="001B6E4D">
        <w:t>資保護、資料治理、模型訓練資料使用範圍、權限控管、稽核機制及風險應變措施進行通盤</w:t>
      </w:r>
      <w:proofErr w:type="gramStart"/>
      <w:r w:rsidRPr="001B6E4D">
        <w:t>研</w:t>
      </w:r>
      <w:proofErr w:type="gramEnd"/>
      <w:r w:rsidRPr="001B6E4D">
        <w:t>議。並於</w:t>
      </w:r>
      <w:r w:rsidRPr="001B6E4D">
        <w:rPr>
          <w:rFonts w:hint="eastAsia"/>
        </w:rPr>
        <w:t>3</w:t>
      </w:r>
      <w:r w:rsidRPr="001B6E4D">
        <w:t>個月內，將相關執行狀況，向</w:t>
      </w:r>
      <w:r w:rsidRPr="001B6E4D">
        <w:rPr>
          <w:rFonts w:hint="eastAsia"/>
        </w:rPr>
        <w:t>立法院</w:t>
      </w:r>
      <w:r w:rsidRPr="001B6E4D">
        <w:t>司法及法制委員會送交書面報告。【36】</w:t>
      </w:r>
    </w:p>
    <w:p w14:paraId="03F4DD3C" w14:textId="77777777" w:rsidR="00201B77" w:rsidRPr="001B6E4D" w:rsidRDefault="00201B77" w:rsidP="003D1018">
      <w:pPr>
        <w:pStyle w:val="2fb"/>
        <w:overflowPunct w:val="0"/>
      </w:pPr>
      <w:r w:rsidRPr="001B6E4D">
        <w:t>提案人：張雅琳</w:t>
      </w:r>
    </w:p>
    <w:p w14:paraId="63D80942" w14:textId="77777777" w:rsidR="00201B77" w:rsidRPr="001B6E4D" w:rsidRDefault="00201B77" w:rsidP="003D1018">
      <w:pPr>
        <w:pStyle w:val="2fb"/>
        <w:overflowPunct w:val="0"/>
      </w:pPr>
      <w:r w:rsidRPr="001B6E4D">
        <w:t>連署人：莊瑞雄　沈發惠</w:t>
      </w:r>
    </w:p>
    <w:p w14:paraId="71E8073C" w14:textId="77777777" w:rsidR="00201B77" w:rsidRPr="001B6E4D" w:rsidRDefault="00201B77" w:rsidP="003D1018">
      <w:pPr>
        <w:pStyle w:val="1f6"/>
        <w:overflowPunct w:val="0"/>
      </w:pPr>
      <w:r w:rsidRPr="001B6E4D">
        <w:t>行政院為</w:t>
      </w:r>
      <w:proofErr w:type="gramStart"/>
      <w:r w:rsidRPr="001B6E4D">
        <w:t>吸引資安人員</w:t>
      </w:r>
      <w:proofErr w:type="gramEnd"/>
      <w:r w:rsidRPr="001B6E4D">
        <w:t>投入</w:t>
      </w:r>
      <w:proofErr w:type="gramStart"/>
      <w:r w:rsidRPr="001B6E4D">
        <w:t>重點資安業務</w:t>
      </w:r>
      <w:proofErr w:type="gramEnd"/>
      <w:r w:rsidRPr="001B6E4D">
        <w:t>機關，核定自112年7月1日起，</w:t>
      </w:r>
      <w:proofErr w:type="gramStart"/>
      <w:r w:rsidRPr="001B6E4D">
        <w:t>資安責任</w:t>
      </w:r>
      <w:proofErr w:type="gramEnd"/>
      <w:r w:rsidRPr="001B6E4D">
        <w:t>等級A級機關或關鍵基礎設施領域協調機關中，已支領資訊專業加給且實際</w:t>
      </w:r>
      <w:proofErr w:type="gramStart"/>
      <w:r w:rsidRPr="001B6E4D">
        <w:t>從事資安業務</w:t>
      </w:r>
      <w:proofErr w:type="gramEnd"/>
      <w:r w:rsidRPr="001B6E4D">
        <w:t>之人員，得按月領取</w:t>
      </w:r>
      <w:proofErr w:type="gramStart"/>
      <w:r w:rsidRPr="001B6E4D">
        <w:t>資安增</w:t>
      </w:r>
      <w:proofErr w:type="gramEnd"/>
      <w:r w:rsidRPr="001B6E4D">
        <w:t>支加給3,000至5,000元。</w:t>
      </w:r>
    </w:p>
    <w:p w14:paraId="6D6A75F7" w14:textId="77777777" w:rsidR="00201B77" w:rsidRPr="001B6E4D" w:rsidRDefault="00201B77" w:rsidP="003D1018">
      <w:pPr>
        <w:pStyle w:val="1f7"/>
        <w:overflowPunct w:val="0"/>
      </w:pPr>
      <w:r w:rsidRPr="001B6E4D">
        <w:t>惟經</w:t>
      </w:r>
      <w:proofErr w:type="gramStart"/>
      <w:r w:rsidRPr="001B6E4D">
        <w:t>審計部總決算</w:t>
      </w:r>
      <w:proofErr w:type="gramEnd"/>
      <w:r w:rsidRPr="001B6E4D">
        <w:t>審核報告，符合</w:t>
      </w:r>
      <w:proofErr w:type="gramStart"/>
      <w:r w:rsidRPr="001B6E4D">
        <w:t>資安增</w:t>
      </w:r>
      <w:proofErr w:type="gramEnd"/>
      <w:r w:rsidRPr="001B6E4D">
        <w:t>支加給條件之機關僅25個，占行政院及</w:t>
      </w:r>
      <w:proofErr w:type="gramStart"/>
      <w:r w:rsidRPr="001B6E4D">
        <w:t>所屬資安責任</w:t>
      </w:r>
      <w:proofErr w:type="gramEnd"/>
      <w:r w:rsidRPr="001B6E4D">
        <w:t>等級A至C級機關之比率僅5.29%。多數</w:t>
      </w:r>
      <w:proofErr w:type="gramStart"/>
      <w:r w:rsidRPr="001B6E4D">
        <w:t>機關資安專職</w:t>
      </w:r>
      <w:proofErr w:type="gramEnd"/>
      <w:r w:rsidRPr="001B6E4D">
        <w:t>人員同樣</w:t>
      </w:r>
      <w:proofErr w:type="gramStart"/>
      <w:r w:rsidRPr="001B6E4D">
        <w:t>辦理資安業務</w:t>
      </w:r>
      <w:proofErr w:type="gramEnd"/>
      <w:r w:rsidRPr="001B6E4D">
        <w:t>，卻未能領取</w:t>
      </w:r>
      <w:proofErr w:type="gramStart"/>
      <w:r w:rsidRPr="001B6E4D">
        <w:t>資安增</w:t>
      </w:r>
      <w:proofErr w:type="gramEnd"/>
      <w:r w:rsidRPr="001B6E4D">
        <w:t>支加給，恐不利於各</w:t>
      </w:r>
      <w:proofErr w:type="gramStart"/>
      <w:r w:rsidRPr="001B6E4D">
        <w:t>機關資安人才</w:t>
      </w:r>
      <w:proofErr w:type="gramEnd"/>
      <w:r w:rsidRPr="001B6E4D">
        <w:t>之留任及延攬。</w:t>
      </w:r>
    </w:p>
    <w:p w14:paraId="283C7799" w14:textId="77777777" w:rsidR="00201B77" w:rsidRPr="001B6E4D" w:rsidRDefault="00201B77" w:rsidP="003D1018">
      <w:pPr>
        <w:pStyle w:val="1f7"/>
        <w:overflowPunct w:val="0"/>
      </w:pPr>
      <w:r w:rsidRPr="001B6E4D">
        <w:t>另截至113年底，行政院所屬機關仍有</w:t>
      </w:r>
      <w:proofErr w:type="gramStart"/>
      <w:r w:rsidRPr="001B6E4D">
        <w:t>122名資安專職</w:t>
      </w:r>
      <w:proofErr w:type="gramEnd"/>
      <w:r w:rsidRPr="001B6E4D">
        <w:t>人員未</w:t>
      </w:r>
      <w:proofErr w:type="gramStart"/>
      <w:r w:rsidRPr="001B6E4D">
        <w:t>取得資安專業</w:t>
      </w:r>
      <w:proofErr w:type="gramEnd"/>
      <w:r w:rsidRPr="001B6E4D">
        <w:t>證照或職能訓練證書，其中35人未</w:t>
      </w:r>
      <w:proofErr w:type="gramStart"/>
      <w:r w:rsidRPr="001B6E4D">
        <w:t>取得資安專業</w:t>
      </w:r>
      <w:proofErr w:type="gramEnd"/>
      <w:r w:rsidRPr="001B6E4D">
        <w:t>證照、41人未取得職能訓練證書，另有46人兩者皆未取得，</w:t>
      </w:r>
      <w:proofErr w:type="gramStart"/>
      <w:r w:rsidRPr="001B6E4D">
        <w:t>顯示資安人力</w:t>
      </w:r>
      <w:proofErr w:type="gramEnd"/>
      <w:r w:rsidRPr="001B6E4D">
        <w:t>培訓及專業支持制度仍有強化必要。</w:t>
      </w:r>
    </w:p>
    <w:p w14:paraId="32C4ED98" w14:textId="77777777" w:rsidR="00201B77" w:rsidRPr="001B6E4D" w:rsidRDefault="00201B77" w:rsidP="003D1018">
      <w:pPr>
        <w:pStyle w:val="1f7"/>
        <w:overflowPunct w:val="0"/>
      </w:pPr>
      <w:proofErr w:type="gramStart"/>
      <w:r w:rsidRPr="001B6E4D">
        <w:t>爰</w:t>
      </w:r>
      <w:proofErr w:type="gramEnd"/>
      <w:r w:rsidRPr="001B6E4D">
        <w:t>請行政院人事行政總處會同數位發展</w:t>
      </w:r>
      <w:proofErr w:type="gramStart"/>
      <w:r w:rsidRPr="001B6E4D">
        <w:t>部資通安全署</w:t>
      </w:r>
      <w:proofErr w:type="gramEnd"/>
      <w:r w:rsidRPr="001B6E4D">
        <w:t>，</w:t>
      </w:r>
      <w:proofErr w:type="gramStart"/>
      <w:r w:rsidRPr="001B6E4D">
        <w:t>針對資安責任</w:t>
      </w:r>
      <w:proofErr w:type="gramEnd"/>
      <w:r w:rsidRPr="001B6E4D">
        <w:t>等級C級以上機關</w:t>
      </w:r>
      <w:proofErr w:type="gramStart"/>
      <w:r w:rsidRPr="001B6E4D">
        <w:t>及資安專職</w:t>
      </w:r>
      <w:proofErr w:type="gramEnd"/>
      <w:r w:rsidRPr="001B6E4D">
        <w:t>人員，</w:t>
      </w:r>
      <w:proofErr w:type="gramStart"/>
      <w:r w:rsidRPr="001B6E4D">
        <w:t>研</w:t>
      </w:r>
      <w:proofErr w:type="gramEnd"/>
      <w:r w:rsidRPr="001B6E4D">
        <w:t>議設置績效評核獎勵機制，並檢討</w:t>
      </w:r>
      <w:proofErr w:type="gramStart"/>
      <w:r w:rsidRPr="001B6E4D">
        <w:t>資安增</w:t>
      </w:r>
      <w:proofErr w:type="gramEnd"/>
      <w:r w:rsidRPr="001B6E4D">
        <w:t>支加給擴大適用範圍及相關配套措施，提出具體改善方案，並於3個月內向立法院司法及法制委員會提出書面報告。【37】</w:t>
      </w:r>
    </w:p>
    <w:p w14:paraId="47DB9EDC" w14:textId="77777777" w:rsidR="00201B77" w:rsidRPr="001B6E4D" w:rsidRDefault="00201B77" w:rsidP="003D1018">
      <w:pPr>
        <w:pStyle w:val="2fb"/>
        <w:overflowPunct w:val="0"/>
      </w:pPr>
      <w:r w:rsidRPr="001B6E4D">
        <w:t>提案人：張雅琳</w:t>
      </w:r>
    </w:p>
    <w:p w14:paraId="4F6A3211" w14:textId="77777777" w:rsidR="00201B77" w:rsidRPr="001B6E4D" w:rsidRDefault="00201B77" w:rsidP="003D1018">
      <w:pPr>
        <w:pStyle w:val="2fb"/>
        <w:overflowPunct w:val="0"/>
      </w:pPr>
      <w:r w:rsidRPr="001B6E4D">
        <w:t>連署人：莊瑞雄　沈發惠</w:t>
      </w:r>
    </w:p>
    <w:p w14:paraId="380F8F57" w14:textId="77777777" w:rsidR="00201B77" w:rsidRPr="001B6E4D" w:rsidRDefault="00201B77" w:rsidP="003D1018">
      <w:pPr>
        <w:pStyle w:val="1f6"/>
        <w:overflowPunct w:val="0"/>
      </w:pPr>
      <w:r w:rsidRPr="001B6E4D">
        <w:t>有關</w:t>
      </w:r>
      <w:proofErr w:type="gramStart"/>
      <w:r w:rsidRPr="001B6E4D">
        <w:t>113</w:t>
      </w:r>
      <w:proofErr w:type="gramEnd"/>
      <w:r w:rsidRPr="001B6E4D">
        <w:t>年度全國公務人員離職人數達3,183人（中央1,593人、地方1,590人），相較</w:t>
      </w:r>
      <w:proofErr w:type="gramStart"/>
      <w:r w:rsidRPr="001B6E4D">
        <w:t>109</w:t>
      </w:r>
      <w:proofErr w:type="gramEnd"/>
      <w:r w:rsidRPr="001B6E4D">
        <w:t>年度的1,703人，增幅高達86.9%。且離職者中以「薦任職等」</w:t>
      </w:r>
      <w:r w:rsidRPr="001B6E4D">
        <w:rPr>
          <w:rFonts w:hint="eastAsia"/>
        </w:rPr>
        <w:t>占</w:t>
      </w:r>
      <w:r w:rsidRPr="001B6E4D">
        <w:t>比最高，高達54.54%。薦任官是政府執行業務的中堅力量，大量流失將嚴重影響政策執行品質與連續性。而30歲以下離職者</w:t>
      </w:r>
      <w:r w:rsidRPr="001B6E4D">
        <w:rPr>
          <w:rFonts w:hint="eastAsia"/>
        </w:rPr>
        <w:t>占</w:t>
      </w:r>
      <w:r w:rsidRPr="001B6E4D">
        <w:t>比逐年攀升（</w:t>
      </w:r>
      <w:proofErr w:type="gramStart"/>
      <w:r w:rsidRPr="001B6E4D">
        <w:t>113</w:t>
      </w:r>
      <w:proofErr w:type="gramEnd"/>
      <w:r w:rsidRPr="001B6E4D">
        <w:t>年</w:t>
      </w:r>
      <w:r w:rsidRPr="001B6E4D">
        <w:rPr>
          <w:rFonts w:hint="eastAsia"/>
        </w:rPr>
        <w:t>度</w:t>
      </w:r>
      <w:r w:rsidRPr="001B6E4D">
        <w:t>達33.43%），且絕大多數為大學以上學歷。這顯示公務體系對優秀年輕人才的吸引力正在急速衰退。</w:t>
      </w:r>
      <w:r w:rsidRPr="001B6E4D">
        <w:rPr>
          <w:rFonts w:hint="eastAsia"/>
        </w:rPr>
        <w:t>行政院</w:t>
      </w:r>
      <w:r w:rsidRPr="001B6E4D">
        <w:t>人事</w:t>
      </w:r>
      <w:r w:rsidRPr="001B6E4D">
        <w:rPr>
          <w:rFonts w:hint="eastAsia"/>
        </w:rPr>
        <w:t>行政</w:t>
      </w:r>
      <w:r w:rsidRPr="001B6E4D">
        <w:t>總處應</w:t>
      </w:r>
      <w:proofErr w:type="gramStart"/>
      <w:r w:rsidRPr="001B6E4D">
        <w:rPr>
          <w:rFonts w:hint="eastAsia"/>
        </w:rPr>
        <w:t>研</w:t>
      </w:r>
      <w:proofErr w:type="gramEnd"/>
      <w:r w:rsidRPr="001B6E4D">
        <w:t>謀評估「薪資待遇調整」與「職場環境優化」對減少薦任官及年輕人員離職之實質關聯性，並提出改善方案。</w:t>
      </w:r>
    </w:p>
    <w:p w14:paraId="47FADC4A" w14:textId="77777777" w:rsidR="00201B77" w:rsidRPr="001B6E4D" w:rsidRDefault="00201B77" w:rsidP="003D1018">
      <w:pPr>
        <w:pStyle w:val="1f7"/>
        <w:overflowPunct w:val="0"/>
      </w:pPr>
      <w:r w:rsidRPr="001B6E4D">
        <w:t>另外，地方政府離職人數與中央政府幾乎旗鼓相當（</w:t>
      </w:r>
      <w:proofErr w:type="gramStart"/>
      <w:r w:rsidRPr="001B6E4D">
        <w:t>113</w:t>
      </w:r>
      <w:proofErr w:type="gramEnd"/>
      <w:r w:rsidRPr="001B6E4D">
        <w:t>年</w:t>
      </w:r>
      <w:r w:rsidRPr="001B6E4D">
        <w:rPr>
          <w:rFonts w:hint="eastAsia"/>
        </w:rPr>
        <w:t>度</w:t>
      </w:r>
      <w:r w:rsidRPr="001B6E4D">
        <w:t>地方1,590人、中央1,593人）。地方政府身處第一線，直接面對民眾且業務繁雜，若離職率持續走高，將嚴重衝擊地方</w:t>
      </w:r>
      <w:r w:rsidRPr="001B6E4D">
        <w:lastRenderedPageBreak/>
        <w:t>政府的公共服務品質。</w:t>
      </w:r>
      <w:proofErr w:type="gramStart"/>
      <w:r w:rsidRPr="001B6E4D">
        <w:t>故人事總處</w:t>
      </w:r>
      <w:proofErr w:type="gramEnd"/>
      <w:r w:rsidRPr="001B6E4D">
        <w:t>身為全國人事行政最高主管機關，應檢討現行中央與地方人力配置或福利津貼之差距，是否為導致地方人才流向中央或民間的主因。</w:t>
      </w:r>
      <w:proofErr w:type="gramStart"/>
      <w:r w:rsidRPr="001B6E4D">
        <w:t>爰</w:t>
      </w:r>
      <w:proofErr w:type="gramEnd"/>
      <w:r w:rsidRPr="001B6E4D">
        <w:t>要求</w:t>
      </w:r>
      <w:r w:rsidRPr="001B6E4D">
        <w:rPr>
          <w:rFonts w:hint="eastAsia"/>
        </w:rPr>
        <w:t>行政院</w:t>
      </w:r>
      <w:r w:rsidRPr="001B6E4D">
        <w:t>人事</w:t>
      </w:r>
      <w:r w:rsidRPr="001B6E4D">
        <w:rPr>
          <w:rFonts w:hint="eastAsia"/>
        </w:rPr>
        <w:t>行政</w:t>
      </w:r>
      <w:r w:rsidRPr="001B6E4D">
        <w:t>總處於</w:t>
      </w:r>
      <w:r w:rsidRPr="001B6E4D">
        <w:rPr>
          <w:rFonts w:hint="eastAsia"/>
        </w:rPr>
        <w:t>3</w:t>
      </w:r>
      <w:r w:rsidRPr="001B6E4D">
        <w:t>個月內針對「地方政府離職率偏高之機關」</w:t>
      </w:r>
      <w:r w:rsidRPr="001B6E4D">
        <w:rPr>
          <w:rFonts w:hint="eastAsia"/>
        </w:rPr>
        <w:t>，分析缺額原因及精進作法等</w:t>
      </w:r>
      <w:r w:rsidRPr="001B6E4D">
        <w:t>具體措施</w:t>
      </w:r>
      <w:r w:rsidRPr="001B6E4D">
        <w:rPr>
          <w:rFonts w:hint="eastAsia"/>
        </w:rPr>
        <w:t>向立法院司法及法制委員會提出</w:t>
      </w:r>
      <w:r w:rsidRPr="001B6E4D">
        <w:t>書面報告。【38】</w:t>
      </w:r>
    </w:p>
    <w:p w14:paraId="7DE1DAFF"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提案人：張雅琳　</w:t>
      </w:r>
      <w:r w:rsidRPr="001B6E4D">
        <w:rPr>
          <w:rFonts w:ascii="標楷體" w:eastAsia="標楷體" w:hAnsi="標楷體"/>
          <w:color w:val="000000"/>
          <w:spacing w:val="-20"/>
          <w:w w:val="88"/>
          <w:sz w:val="28"/>
          <w:szCs w:val="28"/>
        </w:rPr>
        <w:t>伍麗華</w:t>
      </w:r>
      <w:proofErr w:type="spellStart"/>
      <w:r w:rsidRPr="001B6E4D">
        <w:rPr>
          <w:rFonts w:ascii="標楷體" w:eastAsia="標楷體" w:hAnsi="標楷體"/>
          <w:color w:val="000000"/>
          <w:spacing w:val="-20"/>
          <w:w w:val="88"/>
          <w:sz w:val="28"/>
          <w:szCs w:val="28"/>
        </w:rPr>
        <w:t>Saidhai</w:t>
      </w:r>
      <w:proofErr w:type="spellEnd"/>
      <w:r w:rsidRPr="001B6E4D">
        <w:rPr>
          <w:rFonts w:ascii="標楷體" w:eastAsia="標楷體" w:hAnsi="標楷體"/>
          <w:color w:val="000000"/>
          <w:spacing w:val="-20"/>
          <w:w w:val="88"/>
          <w:sz w:val="28"/>
          <w:szCs w:val="28"/>
        </w:rPr>
        <w:t>．</w:t>
      </w:r>
      <w:proofErr w:type="spellStart"/>
      <w:r w:rsidRPr="001B6E4D">
        <w:rPr>
          <w:rFonts w:ascii="標楷體" w:eastAsia="標楷體" w:hAnsi="標楷體"/>
          <w:color w:val="000000"/>
          <w:spacing w:val="-20"/>
          <w:w w:val="88"/>
          <w:sz w:val="28"/>
          <w:szCs w:val="28"/>
        </w:rPr>
        <w:t>Tahovecahe</w:t>
      </w:r>
      <w:proofErr w:type="spellEnd"/>
    </w:p>
    <w:p w14:paraId="5C9B59DA"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連署人：沈發惠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4ED2EBB8" w14:textId="77777777" w:rsidR="00201B77" w:rsidRPr="001B6E4D" w:rsidRDefault="00201B77" w:rsidP="003D1018">
      <w:pPr>
        <w:pStyle w:val="1f6"/>
        <w:overflowPunct w:val="0"/>
      </w:pPr>
      <w:r w:rsidRPr="001B6E4D">
        <w:t>經查，行政院人事行政總處所辦理之中高階公務員培訓計畫，部分</w:t>
      </w:r>
      <w:proofErr w:type="gramStart"/>
      <w:r w:rsidRPr="001B6E4D">
        <w:t>計畫參訓人員</w:t>
      </w:r>
      <w:proofErr w:type="gramEnd"/>
      <w:r w:rsidRPr="001B6E4D">
        <w:t>之性別比例顯見落差。據人</w:t>
      </w:r>
      <w:r w:rsidRPr="001B6E4D">
        <w:rPr>
          <w:rFonts w:hint="eastAsia"/>
        </w:rPr>
        <w:t>事</w:t>
      </w:r>
      <w:r w:rsidRPr="001B6E4D">
        <w:t>總</w:t>
      </w:r>
      <w:r w:rsidRPr="001B6E4D">
        <w:rPr>
          <w:rFonts w:hint="eastAsia"/>
        </w:rPr>
        <w:t>處</w:t>
      </w:r>
      <w:r w:rsidRPr="001B6E4D">
        <w:t>統計，97</w:t>
      </w:r>
      <w:r w:rsidRPr="001B6E4D">
        <w:rPr>
          <w:rFonts w:hint="eastAsia"/>
        </w:rPr>
        <w:t>至</w:t>
      </w:r>
      <w:r w:rsidRPr="001B6E4D">
        <w:t>114年「高階人才培育」計畫（包含國家政務研究班、高階領導研究班、地方政務研究班），女性僅</w:t>
      </w:r>
      <w:proofErr w:type="gramStart"/>
      <w:r w:rsidRPr="001B6E4D">
        <w:rPr>
          <w:rFonts w:hint="eastAsia"/>
        </w:rPr>
        <w:t>占</w:t>
      </w:r>
      <w:r w:rsidRPr="001B6E4D">
        <w:t>參訓</w:t>
      </w:r>
      <w:proofErr w:type="gramEnd"/>
      <w:r w:rsidRPr="001B6E4D">
        <w:t>人員35.88%，又「選送國外進修學位」人員，女性僅</w:t>
      </w:r>
      <w:r w:rsidRPr="001B6E4D">
        <w:rPr>
          <w:rFonts w:hint="eastAsia"/>
        </w:rPr>
        <w:t>占</w:t>
      </w:r>
      <w:r w:rsidRPr="001B6E4D">
        <w:t>29.63%。</w:t>
      </w:r>
    </w:p>
    <w:p w14:paraId="0CA9BE6D" w14:textId="77777777" w:rsidR="00201B77" w:rsidRPr="001B6E4D" w:rsidRDefault="00201B77" w:rsidP="003D1018">
      <w:pPr>
        <w:pStyle w:val="1f7"/>
        <w:overflowPunct w:val="0"/>
      </w:pPr>
      <w:r w:rsidRPr="001B6E4D">
        <w:rPr>
          <w:rFonts w:hint="eastAsia"/>
        </w:rPr>
        <w:t>復</w:t>
      </w:r>
      <w:r w:rsidRPr="001B6E4D">
        <w:t>查我國公務員之性別組成結構，可見高階公務員中女性本就</w:t>
      </w:r>
      <w:r w:rsidRPr="001B6E4D">
        <w:rPr>
          <w:rFonts w:hint="eastAsia"/>
        </w:rPr>
        <w:t>占</w:t>
      </w:r>
      <w:r w:rsidRPr="001B6E4D">
        <w:t>少數。有鑑於此，如何使女性高階公務人才享有充足、優質的培訓機會，於女性公務員個人職</w:t>
      </w:r>
      <w:proofErr w:type="gramStart"/>
      <w:r w:rsidRPr="001B6E4D">
        <w:t>涯</w:t>
      </w:r>
      <w:proofErr w:type="gramEnd"/>
      <w:r w:rsidRPr="001B6E4D">
        <w:t>發展及我國整體公務員體系的性別平等，都是至關重要的課題。</w:t>
      </w:r>
    </w:p>
    <w:p w14:paraId="66FB0122" w14:textId="77777777" w:rsidR="00201B77" w:rsidRPr="001B6E4D" w:rsidRDefault="00201B77" w:rsidP="003D1018">
      <w:pPr>
        <w:pStyle w:val="1f7"/>
        <w:overflowPunct w:val="0"/>
      </w:pPr>
      <w:proofErr w:type="gramStart"/>
      <w:r w:rsidRPr="001B6E4D">
        <w:t>爰</w:t>
      </w:r>
      <w:proofErr w:type="gramEnd"/>
      <w:r w:rsidRPr="001B6E4D">
        <w:t>建請行政院人事行政總處就過去</w:t>
      </w:r>
      <w:r w:rsidRPr="001B6E4D">
        <w:rPr>
          <w:rFonts w:hint="eastAsia"/>
        </w:rPr>
        <w:t>5</w:t>
      </w:r>
      <w:r w:rsidRPr="001B6E4D">
        <w:t>年中高階公務員培訓計畫，分項統計不同性別</w:t>
      </w:r>
      <w:proofErr w:type="gramStart"/>
      <w:r w:rsidRPr="001B6E4D">
        <w:t>人員參訓狀況</w:t>
      </w:r>
      <w:proofErr w:type="gramEnd"/>
      <w:r w:rsidRPr="001B6E4D">
        <w:t>，並</w:t>
      </w:r>
      <w:proofErr w:type="gramStart"/>
      <w:r w:rsidRPr="001B6E4D">
        <w:t>就參訓狀況</w:t>
      </w:r>
      <w:proofErr w:type="gramEnd"/>
      <w:r w:rsidRPr="001B6E4D">
        <w:t>有性別落差之部分進行研究，分析落差成因，並提出相應的對策，</w:t>
      </w:r>
      <w:proofErr w:type="gramStart"/>
      <w:r w:rsidRPr="001B6E4D">
        <w:t>俾</w:t>
      </w:r>
      <w:proofErr w:type="gramEnd"/>
      <w:r w:rsidRPr="001B6E4D">
        <w:t>使我國公務員體系性別平等更進一步。請做成書面報告，於2個月內提交予立法院司法及法制委員會。【39】</w:t>
      </w:r>
    </w:p>
    <w:p w14:paraId="466775A1" w14:textId="77777777" w:rsidR="00201B77" w:rsidRPr="001B6E4D" w:rsidRDefault="00201B77" w:rsidP="003D1018">
      <w:pPr>
        <w:pStyle w:val="2fb"/>
        <w:overflowPunct w:val="0"/>
      </w:pPr>
      <w:r w:rsidRPr="001B6E4D">
        <w:t>提案人：</w:t>
      </w:r>
      <w:proofErr w:type="gramStart"/>
      <w:r w:rsidRPr="001B6E4D">
        <w:t>范</w:t>
      </w:r>
      <w:proofErr w:type="gramEnd"/>
      <w:r w:rsidRPr="001B6E4D">
        <w:t xml:space="preserve">　雲</w:t>
      </w:r>
    </w:p>
    <w:p w14:paraId="0A187A22" w14:textId="77777777" w:rsidR="00201B77" w:rsidRPr="001B6E4D" w:rsidRDefault="00201B77" w:rsidP="003D1018">
      <w:pPr>
        <w:pStyle w:val="2fb"/>
        <w:overflowPunct w:val="0"/>
      </w:pPr>
      <w:r w:rsidRPr="001B6E4D">
        <w:t>連署人：莊瑞雄　張雅琳</w:t>
      </w:r>
    </w:p>
    <w:p w14:paraId="68121941" w14:textId="77777777" w:rsidR="00201B77" w:rsidRPr="001B6E4D" w:rsidRDefault="00201B77" w:rsidP="003D1018">
      <w:pPr>
        <w:pStyle w:val="1f6"/>
        <w:overflowPunct w:val="0"/>
      </w:pPr>
      <w:r w:rsidRPr="001B6E4D">
        <w:t>根據行政院</w:t>
      </w:r>
      <w:r w:rsidRPr="001B6E4D">
        <w:rPr>
          <w:rFonts w:hint="eastAsia"/>
        </w:rPr>
        <w:t>114</w:t>
      </w:r>
      <w:r w:rsidRPr="001B6E4D">
        <w:t>年性別圖像報告，公部門女性參與決策比率較10年前提升。全國公務員近半數是女性，顯示公部門</w:t>
      </w:r>
      <w:proofErr w:type="gramStart"/>
      <w:r w:rsidRPr="001B6E4D">
        <w:t>職場漸趨</w:t>
      </w:r>
      <w:proofErr w:type="gramEnd"/>
      <w:r w:rsidRPr="001B6E4D">
        <w:t>性別平等，國家事務權力與影響力之性別差距逐漸縮小。各部會多年為公部門性別平等所做努力值得肯定，然就公務員受訓升遷方面，仍有進步空間。</w:t>
      </w:r>
    </w:p>
    <w:p w14:paraId="195FC794" w14:textId="77777777" w:rsidR="00201B77" w:rsidRPr="001B6E4D" w:rsidRDefault="00201B77" w:rsidP="003D1018">
      <w:pPr>
        <w:pStyle w:val="1f7"/>
        <w:overflowPunct w:val="0"/>
      </w:pPr>
      <w:r w:rsidRPr="001B6E4D">
        <w:t>據銓敘部113年底統計，我國具有委任/薦任/簡任官等別</w:t>
      </w:r>
      <w:proofErr w:type="gramStart"/>
      <w:r w:rsidRPr="001B6E4D">
        <w:t>之</w:t>
      </w:r>
      <w:proofErr w:type="gramEnd"/>
      <w:r w:rsidRPr="001B6E4D">
        <w:t>公務員中，女性</w:t>
      </w:r>
      <w:r w:rsidRPr="001B6E4D">
        <w:rPr>
          <w:rFonts w:hint="eastAsia"/>
        </w:rPr>
        <w:t>占</w:t>
      </w:r>
      <w:r w:rsidRPr="001B6E4D">
        <w:t>總體57.4%，男性</w:t>
      </w:r>
      <w:r w:rsidRPr="001B6E4D">
        <w:rPr>
          <w:rFonts w:hint="eastAsia"/>
        </w:rPr>
        <w:t>占</w:t>
      </w:r>
      <w:r w:rsidRPr="001B6E4D">
        <w:t>42.6%。委任與薦任官等別，與整體性別比例大致相當，然若單獨檢視簡任官等別，女性</w:t>
      </w:r>
      <w:r w:rsidRPr="001B6E4D">
        <w:rPr>
          <w:rFonts w:hint="eastAsia"/>
        </w:rPr>
        <w:t>占</w:t>
      </w:r>
      <w:r w:rsidRPr="001B6E4D">
        <w:t>比僅39.7%，顯示中高階公務人員性別平等尚有進步空間。</w:t>
      </w:r>
      <w:r w:rsidRPr="001B6E4D">
        <w:rPr>
          <w:rFonts w:hint="eastAsia"/>
        </w:rPr>
        <w:t>復</w:t>
      </w:r>
      <w:r w:rsidRPr="001B6E4D">
        <w:t>查，升官等訓練人員性別比率統計，109至113年度，女性</w:t>
      </w:r>
      <w:proofErr w:type="gramStart"/>
      <w:r w:rsidRPr="001B6E4D">
        <w:t>參與薦升簡</w:t>
      </w:r>
      <w:proofErr w:type="gramEnd"/>
      <w:r w:rsidRPr="001B6E4D">
        <w:t>訓練之人數皆少於男性(女性</w:t>
      </w:r>
      <w:r w:rsidRPr="001B6E4D">
        <w:rPr>
          <w:rFonts w:hint="eastAsia"/>
        </w:rPr>
        <w:t>占</w:t>
      </w:r>
      <w:r w:rsidRPr="001B6E4D">
        <w:t>45.6%，約631人；男性</w:t>
      </w:r>
      <w:r w:rsidRPr="001B6E4D">
        <w:rPr>
          <w:rFonts w:hint="eastAsia"/>
        </w:rPr>
        <w:t>占</w:t>
      </w:r>
      <w:r w:rsidRPr="001B6E4D">
        <w:t>54.4%，約752人)，反映早在參與升官等訓練階段，就已出現女性公務員流失現象。</w:t>
      </w:r>
    </w:p>
    <w:p w14:paraId="0A784100" w14:textId="77777777" w:rsidR="00201B77" w:rsidRPr="001B6E4D" w:rsidRDefault="00201B77" w:rsidP="003D1018">
      <w:pPr>
        <w:pStyle w:val="1f7"/>
        <w:overflowPunct w:val="0"/>
      </w:pPr>
      <w:r w:rsidRPr="001B6E4D">
        <w:t>雖升官等訓練由</w:t>
      </w:r>
      <w:r w:rsidRPr="001B6E4D">
        <w:rPr>
          <w:rFonts w:hint="eastAsia"/>
        </w:rPr>
        <w:t>公務人員</w:t>
      </w:r>
      <w:r w:rsidRPr="001B6E4D">
        <w:t>保</w:t>
      </w:r>
      <w:r w:rsidRPr="001B6E4D">
        <w:rPr>
          <w:rFonts w:hint="eastAsia"/>
        </w:rPr>
        <w:t>障暨培</w:t>
      </w:r>
      <w:r w:rsidRPr="001B6E4D">
        <w:t>訓</w:t>
      </w:r>
      <w:r w:rsidRPr="001B6E4D">
        <w:rPr>
          <w:rFonts w:hint="eastAsia"/>
        </w:rPr>
        <w:t>委員</w:t>
      </w:r>
      <w:r w:rsidRPr="001B6E4D">
        <w:t>會主辦，然各機</w:t>
      </w:r>
      <w:r w:rsidRPr="001B6E4D">
        <w:lastRenderedPageBreak/>
        <w:t>關公務員受訓遴選作業與名冊</w:t>
      </w:r>
      <w:proofErr w:type="gramStart"/>
      <w:r w:rsidRPr="001B6E4D">
        <w:t>報送皆由</w:t>
      </w:r>
      <w:proofErr w:type="gramEnd"/>
      <w:r w:rsidRPr="001B6E4D">
        <w:t>各機關人事處室辦理，於我國「人事一條鞭」體制下，</w:t>
      </w:r>
      <w:r w:rsidRPr="001B6E4D">
        <w:rPr>
          <w:rFonts w:hint="eastAsia"/>
        </w:rPr>
        <w:t>行政院</w:t>
      </w:r>
      <w:r w:rsidRPr="001B6E4D">
        <w:t>人事行政總處對所屬各機關人事處室辦理業務實有監督之責，包含監督遴選作業流程是否落實性別平等原則。</w:t>
      </w:r>
    </w:p>
    <w:p w14:paraId="4262545F" w14:textId="77777777" w:rsidR="00201B77" w:rsidRPr="001B6E4D" w:rsidRDefault="00201B77" w:rsidP="003D1018">
      <w:pPr>
        <w:pStyle w:val="1f7"/>
        <w:overflowPunct w:val="0"/>
      </w:pPr>
      <w:proofErr w:type="gramStart"/>
      <w:r w:rsidRPr="001B6E4D">
        <w:t>爰</w:t>
      </w:r>
      <w:proofErr w:type="gramEnd"/>
      <w:r w:rsidRPr="001B6E4D">
        <w:t>建請行政院人事行政總處進行統計工作，研究行政院所屬機關與地方機關過去</w:t>
      </w:r>
      <w:r w:rsidRPr="001B6E4D">
        <w:rPr>
          <w:rFonts w:hint="eastAsia"/>
        </w:rPr>
        <w:t>5</w:t>
      </w:r>
      <w:r w:rsidRPr="001B6E4D">
        <w:t>年內，不同性別公務人員</w:t>
      </w:r>
      <w:proofErr w:type="gramStart"/>
      <w:r w:rsidRPr="001B6E4D">
        <w:t>受薦升</w:t>
      </w:r>
      <w:proofErr w:type="gramEnd"/>
      <w:r w:rsidRPr="001B6E4D">
        <w:t>簡訓練狀況。報告中應分機關列出</w:t>
      </w:r>
      <w:r w:rsidRPr="001B6E4D">
        <w:rPr>
          <w:rFonts w:hint="eastAsia"/>
        </w:rPr>
        <w:t>1.</w:t>
      </w:r>
      <w:r w:rsidRPr="001B6E4D">
        <w:t>當年度薦任公務員之性別比率、</w:t>
      </w:r>
      <w:r w:rsidRPr="001B6E4D">
        <w:rPr>
          <w:rFonts w:hint="eastAsia"/>
        </w:rPr>
        <w:t>2.</w:t>
      </w:r>
      <w:r w:rsidRPr="001B6E4D">
        <w:t>當年度有受訓</w:t>
      </w:r>
      <w:proofErr w:type="gramStart"/>
      <w:r w:rsidRPr="001B6E4D">
        <w:t>資格之薦任</w:t>
      </w:r>
      <w:proofErr w:type="gramEnd"/>
      <w:r w:rsidRPr="001B6E4D">
        <w:t>公務員性別比率、</w:t>
      </w:r>
      <w:r w:rsidRPr="001B6E4D">
        <w:rPr>
          <w:rFonts w:hint="eastAsia"/>
        </w:rPr>
        <w:t>3.</w:t>
      </w:r>
      <w:r w:rsidRPr="001B6E4D">
        <w:t>實際獲得受訓</w:t>
      </w:r>
      <w:proofErr w:type="gramStart"/>
      <w:r w:rsidRPr="001B6E4D">
        <w:t>資格之薦任</w:t>
      </w:r>
      <w:proofErr w:type="gramEnd"/>
      <w:r w:rsidRPr="001B6E4D">
        <w:t>公務員性別比率；並比較前述數據，檢視各機關不同性別公務人員是否按比例合理獲得受升官等訓練機會？</w:t>
      </w:r>
      <w:proofErr w:type="gramStart"/>
      <w:r w:rsidRPr="001B6E4D">
        <w:t>若顯有</w:t>
      </w:r>
      <w:proofErr w:type="gramEnd"/>
      <w:r w:rsidRPr="001B6E4D">
        <w:t>比例失衡之情事，亦請</w:t>
      </w:r>
      <w:proofErr w:type="gramStart"/>
      <w:r w:rsidRPr="001B6E4D">
        <w:t>研</w:t>
      </w:r>
      <w:proofErr w:type="gramEnd"/>
      <w:r w:rsidRPr="001B6E4D">
        <w:t>析成因，</w:t>
      </w:r>
      <w:proofErr w:type="gramStart"/>
      <w:r w:rsidRPr="001B6E4D">
        <w:t>俾</w:t>
      </w:r>
      <w:proofErr w:type="gramEnd"/>
      <w:r w:rsidRPr="001B6E4D">
        <w:t>使我國公務員體系性別平等更</w:t>
      </w:r>
      <w:proofErr w:type="gramStart"/>
      <w:r w:rsidRPr="001B6E4D">
        <w:t>臻</w:t>
      </w:r>
      <w:proofErr w:type="gramEnd"/>
      <w:r w:rsidRPr="001B6E4D">
        <w:t>完善。請做成書面報告，於3個月內提交予立法院司法及法制委員會。【40】</w:t>
      </w:r>
    </w:p>
    <w:p w14:paraId="514BA344" w14:textId="77777777" w:rsidR="00201B77" w:rsidRPr="001B6E4D" w:rsidRDefault="00201B77" w:rsidP="003D1018">
      <w:pPr>
        <w:pStyle w:val="2fb"/>
        <w:overflowPunct w:val="0"/>
      </w:pPr>
      <w:r w:rsidRPr="001B6E4D">
        <w:t>提案人：</w:t>
      </w:r>
      <w:proofErr w:type="gramStart"/>
      <w:r w:rsidRPr="001B6E4D">
        <w:t>范</w:t>
      </w:r>
      <w:proofErr w:type="gramEnd"/>
      <w:r w:rsidRPr="001B6E4D">
        <w:t xml:space="preserve">　雲</w:t>
      </w:r>
    </w:p>
    <w:p w14:paraId="5DC350FA" w14:textId="77777777" w:rsidR="00201B77" w:rsidRPr="001B6E4D" w:rsidRDefault="00201B77" w:rsidP="003D1018">
      <w:pPr>
        <w:pStyle w:val="2fb"/>
        <w:overflowPunct w:val="0"/>
      </w:pPr>
      <w:r w:rsidRPr="001B6E4D">
        <w:t>連署人：莊瑞雄　張雅琳</w:t>
      </w:r>
    </w:p>
    <w:p w14:paraId="29066887" w14:textId="77777777" w:rsidR="00201B77" w:rsidRPr="001B6E4D" w:rsidRDefault="00201B77" w:rsidP="003D1018">
      <w:pPr>
        <w:pStyle w:val="1f6"/>
        <w:overflowPunct w:val="0"/>
      </w:pPr>
      <w:r w:rsidRPr="001B6E4D">
        <w:t>行政院人事行政總處（以下簡稱人總）於</w:t>
      </w:r>
      <w:proofErr w:type="gramStart"/>
      <w:r w:rsidRPr="001B6E4D">
        <w:t>115</w:t>
      </w:r>
      <w:proofErr w:type="gramEnd"/>
      <w:r w:rsidRPr="001B6E4D">
        <w:t>年度預算案中，強調推動「員工協助方案（EAP）」及「心理健康協助」之重要性。過去公部門職場環境之良</w:t>
      </w:r>
      <w:proofErr w:type="gramStart"/>
      <w:r w:rsidRPr="001B6E4D">
        <w:t>窳</w:t>
      </w:r>
      <w:proofErr w:type="gramEnd"/>
      <w:r w:rsidRPr="001B6E4D">
        <w:t>，直接影響公務人力之穩固，近年社會高度關注之勞政機關職場憾事，不僅反映出機關內部申訴機制失靈之風險，更暴露出既有心理輔導措施未能發揮及時預警與實質救援之功能，顯見職場安全感與行政效能之維繫已到關鍵時刻。</w:t>
      </w:r>
    </w:p>
    <w:p w14:paraId="75E4D77C" w14:textId="77777777" w:rsidR="00201B77" w:rsidRPr="001B6E4D" w:rsidRDefault="00201B77" w:rsidP="003D1018">
      <w:pPr>
        <w:pStyle w:val="1f7"/>
        <w:overflowPunct w:val="0"/>
      </w:pPr>
      <w:r w:rsidRPr="001B6E4D">
        <w:t>觀察人總</w:t>
      </w:r>
      <w:proofErr w:type="gramStart"/>
      <w:r w:rsidRPr="001B6E4D">
        <w:t>114</w:t>
      </w:r>
      <w:proofErr w:type="gramEnd"/>
      <w:r w:rsidRPr="001B6E4D">
        <w:t>年度之實施成果，各機關落實法定性別友善事項雖宣稱達100%，惟針對「職場健康促進」與「正向求助意識」等核心指標，其考核標準仍多偏重於辦理研習班、滿意度調查或諮詢場次等量化數據，對於如何實質緩解基層壓力，並進而降低因職場壓力與環境因素導致之離職率，目前尚缺乏具體且有效之質性評估機制。若相關方案無法從組織文化與管理機制著手，恐使員工協助方案流於形式，難以預防悲劇之發生。</w:t>
      </w:r>
    </w:p>
    <w:p w14:paraId="672BA515" w14:textId="77777777" w:rsidR="00201B77" w:rsidRPr="001B6E4D" w:rsidRDefault="00201B77" w:rsidP="003D1018">
      <w:pPr>
        <w:pStyle w:val="1f7"/>
        <w:overflowPunct w:val="0"/>
      </w:pPr>
      <w:r w:rsidRPr="001B6E4D">
        <w:t>尤有甚者，隨著《職業安全衛生法》修正案及相關職</w:t>
      </w:r>
      <w:proofErr w:type="gramStart"/>
      <w:r w:rsidRPr="001B6E4D">
        <w:t>場霸凌防</w:t>
      </w:r>
      <w:proofErr w:type="gramEnd"/>
      <w:r w:rsidRPr="001B6E4D">
        <w:t>制新制於115年7月正式施行，職</w:t>
      </w:r>
      <w:proofErr w:type="gramStart"/>
      <w:r w:rsidRPr="001B6E4D">
        <w:t>場霸凌已</w:t>
      </w:r>
      <w:proofErr w:type="gramEnd"/>
      <w:r w:rsidRPr="001B6E4D">
        <w:t>從行政指導提升至雇主法律義務。人事總處作為全國公務人員人力資源主管機關，面對新法要求之「立即有效之處置義務」，其現行EAP方案是否具備足夠之外部性與專業度，以應對機關內權力不對等引發之嚴重職場傷害，並保護申訴人免於二次傷害，顯有待進一步</w:t>
      </w:r>
      <w:proofErr w:type="gramStart"/>
      <w:r w:rsidRPr="001B6E4D">
        <w:t>釐</w:t>
      </w:r>
      <w:proofErr w:type="gramEnd"/>
      <w:r w:rsidRPr="001B6E4D">
        <w:t>清。人</w:t>
      </w:r>
      <w:r w:rsidRPr="001B6E4D">
        <w:rPr>
          <w:rFonts w:hint="eastAsia"/>
        </w:rPr>
        <w:t>事</w:t>
      </w:r>
      <w:r w:rsidRPr="001B6E4D">
        <w:t>總</w:t>
      </w:r>
      <w:r w:rsidRPr="001B6E4D">
        <w:rPr>
          <w:rFonts w:hint="eastAsia"/>
        </w:rPr>
        <w:t>處</w:t>
      </w:r>
      <w:r w:rsidRPr="001B6E4D">
        <w:t>應引以為戒，確保預算之編列能確實強化內部控制機制，落實對同仁生命與身心健康之保障。</w:t>
      </w:r>
    </w:p>
    <w:p w14:paraId="10690C58" w14:textId="77777777" w:rsidR="00201B77" w:rsidRPr="001B6E4D" w:rsidRDefault="00201B77" w:rsidP="003D1018">
      <w:pPr>
        <w:pStyle w:val="1f7"/>
        <w:overflowPunct w:val="0"/>
      </w:pPr>
      <w:proofErr w:type="gramStart"/>
      <w:r w:rsidRPr="001B6E4D">
        <w:lastRenderedPageBreak/>
        <w:t>爰</w:t>
      </w:r>
      <w:proofErr w:type="gramEnd"/>
      <w:r w:rsidRPr="001B6E4D">
        <w:t>此，為督促行政機關正視職場環境對公務人力穩固之影響，並落實《職場霸凌防治相關法制》之配套措施，</w:t>
      </w:r>
      <w:proofErr w:type="gramStart"/>
      <w:r w:rsidRPr="001B6E4D">
        <w:t>爰</w:t>
      </w:r>
      <w:proofErr w:type="gramEnd"/>
      <w:r w:rsidRPr="001B6E4D">
        <w:t>要求行政院人事行政總處應就「如何精進員工協助方案（EAP）實效</w:t>
      </w:r>
      <w:r w:rsidRPr="001B6E4D">
        <w:rPr>
          <w:rFonts w:hint="eastAsia"/>
        </w:rPr>
        <w:t>進行</w:t>
      </w:r>
      <w:proofErr w:type="gramStart"/>
      <w:r w:rsidRPr="001B6E4D">
        <w:rPr>
          <w:rFonts w:hint="eastAsia"/>
        </w:rPr>
        <w:t>研</w:t>
      </w:r>
      <w:proofErr w:type="gramEnd"/>
      <w:r w:rsidRPr="001B6E4D">
        <w:rPr>
          <w:rFonts w:hint="eastAsia"/>
        </w:rPr>
        <w:t>議，並會同考試院相關機關</w:t>
      </w:r>
      <w:r w:rsidRPr="001B6E4D">
        <w:t>建立降低離職率之質性評估指標，並針對職</w:t>
      </w:r>
      <w:proofErr w:type="gramStart"/>
      <w:r w:rsidRPr="001B6E4D">
        <w:t>場霸凌</w:t>
      </w:r>
      <w:proofErr w:type="gramEnd"/>
      <w:r w:rsidRPr="001B6E4D">
        <w:t>防治新制，建立具外部性之第三方申訴保障與調查機制」，於</w:t>
      </w:r>
      <w:r w:rsidRPr="001B6E4D">
        <w:rPr>
          <w:rFonts w:hint="eastAsia"/>
        </w:rPr>
        <w:t>3</w:t>
      </w:r>
      <w:r w:rsidRPr="001B6E4D">
        <w:t>個月內向立法院司法及法制委員會提出</w:t>
      </w:r>
      <w:r w:rsidRPr="001B6E4D">
        <w:rPr>
          <w:rFonts w:hint="eastAsia"/>
        </w:rPr>
        <w:t>書面</w:t>
      </w:r>
      <w:r w:rsidRPr="001B6E4D">
        <w:t>報告。藉此確保公部門職場安全，保障公務同仁之身心健康與勞動尊嚴，落實政府作為雇主之法定義務。【41】</w:t>
      </w:r>
    </w:p>
    <w:p w14:paraId="290B4D28" w14:textId="77777777" w:rsidR="00201B77" w:rsidRPr="001B6E4D" w:rsidRDefault="00201B77" w:rsidP="003D1018">
      <w:pPr>
        <w:pStyle w:val="2fb"/>
        <w:overflowPunct w:val="0"/>
      </w:pPr>
      <w:r w:rsidRPr="001B6E4D">
        <w:t>提案人：陳昭姿　翁曉玲　劉書彬</w:t>
      </w:r>
    </w:p>
    <w:p w14:paraId="319BD26C" w14:textId="77777777" w:rsidR="00201B77" w:rsidRPr="001B6E4D" w:rsidRDefault="00201B77" w:rsidP="003D1018">
      <w:pPr>
        <w:pStyle w:val="2fb"/>
        <w:overflowPunct w:val="0"/>
      </w:pPr>
      <w:r w:rsidRPr="001B6E4D">
        <w:t>連署人：吳宗憲</w:t>
      </w:r>
    </w:p>
    <w:p w14:paraId="41E43960"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第4項 公務人力發展學院3億6,079萬5千元，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B79DDEE" w14:textId="77777777" w:rsidR="00201B77" w:rsidRPr="001B6E4D" w:rsidRDefault="00201B77" w:rsidP="003D1018">
      <w:pPr>
        <w:overflowPunct w:val="0"/>
        <w:snapToGrid w:val="0"/>
        <w:ind w:leftChars="150" w:left="1201" w:hangingChars="300" w:hanging="841"/>
        <w:jc w:val="both"/>
        <w:rPr>
          <w:rFonts w:ascii="標楷體" w:eastAsia="標楷體" w:hAnsi="標楷體"/>
          <w:b/>
          <w:sz w:val="28"/>
          <w:szCs w:val="28"/>
        </w:rPr>
      </w:pPr>
      <w:r w:rsidRPr="001B6E4D">
        <w:rPr>
          <w:rFonts w:ascii="標楷體" w:eastAsia="標楷體" w:hAnsi="標楷體"/>
          <w:b/>
          <w:sz w:val="28"/>
          <w:szCs w:val="28"/>
        </w:rPr>
        <w:t>本項通過決議</w:t>
      </w:r>
      <w:r w:rsidRPr="001B6E4D">
        <w:rPr>
          <w:rFonts w:ascii="標楷體" w:eastAsia="標楷體" w:hAnsi="標楷體" w:hint="eastAsia"/>
          <w:b/>
          <w:sz w:val="28"/>
          <w:szCs w:val="28"/>
        </w:rPr>
        <w:t>3</w:t>
      </w:r>
      <w:r w:rsidRPr="001B6E4D">
        <w:rPr>
          <w:rFonts w:ascii="標楷體" w:eastAsia="標楷體" w:hAnsi="標楷體"/>
          <w:b/>
          <w:sz w:val="28"/>
          <w:szCs w:val="28"/>
        </w:rPr>
        <w:t>項：</w:t>
      </w:r>
    </w:p>
    <w:p w14:paraId="3D43ED4B" w14:textId="77777777" w:rsidR="00201B77" w:rsidRPr="001B6E4D" w:rsidRDefault="00201B77" w:rsidP="003D1018">
      <w:pPr>
        <w:pStyle w:val="a"/>
        <w:numPr>
          <w:ilvl w:val="0"/>
          <w:numId w:val="57"/>
        </w:numPr>
        <w:overflowPunct w:val="0"/>
      </w:pPr>
      <w:proofErr w:type="gramStart"/>
      <w:r w:rsidRPr="001B6E4D">
        <w:t>115</w:t>
      </w:r>
      <w:proofErr w:type="gramEnd"/>
      <w:r w:rsidRPr="001B6E4D">
        <w:t>年度行政院人事行政總處公務人力發展學院歲出預算第2目「訓練輔導及研究」編列2億1,430萬4千</w:t>
      </w:r>
      <w:r w:rsidRPr="001B6E4D">
        <w:rPr>
          <w:rFonts w:hint="eastAsia"/>
        </w:rPr>
        <w:t>元</w:t>
      </w:r>
      <w:r w:rsidRPr="001B6E4D">
        <w:t>，凍結</w:t>
      </w:r>
      <w:r w:rsidRPr="001B6E4D">
        <w:rPr>
          <w:rFonts w:hint="eastAsia"/>
        </w:rPr>
        <w:t>500</w:t>
      </w:r>
      <w:r w:rsidRPr="001B6E4D">
        <w:t>萬元，</w:t>
      </w:r>
      <w:proofErr w:type="gramStart"/>
      <w:r w:rsidRPr="001B6E4D">
        <w:t>俟</w:t>
      </w:r>
      <w:proofErr w:type="gramEnd"/>
      <w:r w:rsidRPr="001B6E4D">
        <w:t>向立法院司法及法制委員會提出書面報告後，始得動支。【4</w:t>
      </w:r>
      <w:r w:rsidRPr="001B6E4D">
        <w:rPr>
          <w:rFonts w:hint="eastAsia"/>
        </w:rPr>
        <w:t>2</w:t>
      </w:r>
      <w:r w:rsidRPr="001B6E4D">
        <w:t>】</w:t>
      </w:r>
    </w:p>
    <w:p w14:paraId="71F33D92" w14:textId="77777777" w:rsidR="00201B77" w:rsidRPr="001B6E4D" w:rsidRDefault="00201B77" w:rsidP="003D1018">
      <w:pPr>
        <w:overflowPunct w:val="0"/>
        <w:snapToGrid w:val="0"/>
        <w:ind w:leftChars="1500" w:left="4776" w:hangingChars="420" w:hanging="1176"/>
        <w:jc w:val="both"/>
        <w:rPr>
          <w:rFonts w:ascii="標楷體" w:eastAsia="標楷體" w:hAnsi="標楷體"/>
          <w:sz w:val="28"/>
          <w:szCs w:val="28"/>
        </w:rPr>
      </w:pPr>
      <w:r w:rsidRPr="001B6E4D">
        <w:rPr>
          <w:rFonts w:ascii="標楷體" w:eastAsia="標楷體" w:hAnsi="標楷體"/>
          <w:sz w:val="28"/>
          <w:szCs w:val="28"/>
        </w:rPr>
        <w:t>提案人：</w:t>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p>
    <w:p w14:paraId="1B8DF663"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sz w:val="28"/>
          <w:szCs w:val="28"/>
        </w:rPr>
        <w:t>連署人：</w:t>
      </w:r>
      <w:r w:rsidRPr="001B6E4D">
        <w:rPr>
          <w:rFonts w:ascii="標楷體" w:eastAsia="標楷體" w:hAnsi="標楷體" w:hint="eastAsia"/>
          <w:sz w:val="28"/>
          <w:szCs w:val="28"/>
        </w:rPr>
        <w:t>林倩綺</w:t>
      </w:r>
      <w:r w:rsidRPr="001B6E4D">
        <w:rPr>
          <w:rFonts w:ascii="標楷體" w:eastAsia="標楷體" w:hAnsi="標楷體"/>
          <w:color w:val="000000"/>
          <w:sz w:val="28"/>
          <w:szCs w:val="28"/>
        </w:rPr>
        <w:t xml:space="preserve">　</w:t>
      </w:r>
      <w:r w:rsidRPr="001B6E4D">
        <w:rPr>
          <w:rFonts w:ascii="標楷體" w:eastAsia="標楷體" w:hAnsi="標楷體" w:hint="eastAsia"/>
          <w:color w:val="000000"/>
          <w:sz w:val="28"/>
          <w:szCs w:val="28"/>
        </w:rPr>
        <w:t>林沛祥</w:t>
      </w:r>
    </w:p>
    <w:p w14:paraId="3032009E" w14:textId="77777777" w:rsidR="00201B77" w:rsidRPr="001B6E4D" w:rsidRDefault="00201B77" w:rsidP="003D1018">
      <w:pPr>
        <w:pStyle w:val="1f6"/>
        <w:overflowPunct w:val="0"/>
      </w:pPr>
      <w:r w:rsidRPr="001B6E4D">
        <w:t>「AI政府領航人才發展計畫」規劃「發展公務AI學習地圖、認證體系及標準教材」，積極回應數位治理轉型需求，為系統性提升全體公務人員AI職能奠定制度基礎，並與當前數位社會發展趨勢相互接軌，政策方向值得肯定。然現行公務AI認證體系之建構方式及制度設計未有具體說明，亦即，認證制度能否有效形成公務人員自主精進之誘因機制，為確保政策目標得以具體落實，並建立有效之後續追蹤機制。</w:t>
      </w:r>
    </w:p>
    <w:p w14:paraId="094E8046" w14:textId="77777777" w:rsidR="00201B77" w:rsidRPr="001B6E4D" w:rsidRDefault="00201B77" w:rsidP="003D1018">
      <w:pPr>
        <w:pStyle w:val="1f7"/>
        <w:overflowPunct w:val="0"/>
      </w:pPr>
      <w:proofErr w:type="gramStart"/>
      <w:r w:rsidRPr="001B6E4D">
        <w:t>爰</w:t>
      </w:r>
      <w:proofErr w:type="gramEnd"/>
      <w:r w:rsidRPr="001B6E4D">
        <w:t>請行政院人事行政總處公務人力發展學院就公務AI認證體系之完整制度設計，各層級認證標準、適用對象，以及未來與公務人員訓練</w:t>
      </w:r>
      <w:proofErr w:type="gramStart"/>
      <w:r w:rsidRPr="001B6E4D">
        <w:t>研</w:t>
      </w:r>
      <w:proofErr w:type="gramEnd"/>
      <w:r w:rsidRPr="001B6E4D">
        <w:t>議納入</w:t>
      </w:r>
      <w:proofErr w:type="gramStart"/>
      <w:r w:rsidRPr="001B6E4D">
        <w:t>升遷晉敘之</w:t>
      </w:r>
      <w:proofErr w:type="gramEnd"/>
      <w:r w:rsidRPr="001B6E4D">
        <w:t>可行規劃方向，於3個月內向立法院司法及法制委員會提出書面報告。【43】</w:t>
      </w:r>
    </w:p>
    <w:p w14:paraId="239BACDD"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26434CF0"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　莊瑞雄</w:t>
      </w:r>
    </w:p>
    <w:p w14:paraId="7EEB64EE" w14:textId="77777777" w:rsidR="00201B77" w:rsidRPr="001B6E4D" w:rsidRDefault="00201B77" w:rsidP="003D1018">
      <w:pPr>
        <w:pStyle w:val="1f6"/>
        <w:overflowPunct w:val="0"/>
      </w:pPr>
      <w:proofErr w:type="gramStart"/>
      <w:r w:rsidRPr="001B6E4D">
        <w:t>鑑</w:t>
      </w:r>
      <w:proofErr w:type="gramEnd"/>
      <w:r w:rsidRPr="001B6E4D">
        <w:t>於近年公務人力培訓需求日益多元，涉及數位轉型應用、專業職能深化、AI工具輔助</w:t>
      </w:r>
      <w:proofErr w:type="gramStart"/>
      <w:r w:rsidRPr="001B6E4D">
        <w:t>及跨域溝通</w:t>
      </w:r>
      <w:proofErr w:type="gramEnd"/>
      <w:r w:rsidRPr="001B6E4D">
        <w:t>協作等多重面向，現行《</w:t>
      </w:r>
      <w:r w:rsidRPr="001B6E4D">
        <w:rPr>
          <w:rFonts w:hint="eastAsia"/>
        </w:rPr>
        <w:t>行政院及所屬機關學校推動</w:t>
      </w:r>
      <w:r w:rsidRPr="001B6E4D">
        <w:t>公務人員終身學習實施要點》及相關考核機制，仍有學習型態異化、必修類別僵化重複、行政程序流於形式等問題。具體困境包含部分數位學習課程缺乏互動性，導致基層同仁以「</w:t>
      </w:r>
      <w:proofErr w:type="gramStart"/>
      <w:r w:rsidRPr="001B6E4D">
        <w:t>掛機播放</w:t>
      </w:r>
      <w:proofErr w:type="gramEnd"/>
      <w:r w:rsidRPr="001B6E4D">
        <w:t>」方式虛耗時數，學習效益</w:t>
      </w:r>
      <w:proofErr w:type="gramStart"/>
      <w:r w:rsidRPr="001B6E4D">
        <w:t>不</w:t>
      </w:r>
      <w:proofErr w:type="gramEnd"/>
      <w:r w:rsidRPr="001B6E4D">
        <w:t>彰；且必修類別（如環境教育、性平、廉政等）課程內容多</w:t>
      </w:r>
      <w:r w:rsidRPr="001B6E4D">
        <w:lastRenderedPageBreak/>
        <w:t>年未大幅更新，與各機關業務實務關聯度不一，造成重複受訓之資源浪費。</w:t>
      </w:r>
      <w:proofErr w:type="gramStart"/>
      <w:r w:rsidRPr="001B6E4D">
        <w:t>此外，</w:t>
      </w:r>
      <w:proofErr w:type="gramEnd"/>
      <w:r w:rsidRPr="001B6E4D">
        <w:t>年度考核過度強調完成率與總時數，導致基層同仁與人事人員在繁重公務之外，尚需承擔沉重之數位學習行政負擔，致使「終身學習」之良法美意異化為公務體系之行政枷鎖。</w:t>
      </w:r>
    </w:p>
    <w:p w14:paraId="278C052F" w14:textId="77777777" w:rsidR="00201B77" w:rsidRPr="001B6E4D" w:rsidRDefault="00201B77" w:rsidP="003D1018">
      <w:pPr>
        <w:pStyle w:val="1f7"/>
        <w:overflowPunct w:val="0"/>
      </w:pPr>
      <w:r w:rsidRPr="001B6E4D">
        <w:t>為強化公務人力培訓效能並落實實質學習，行政院人事行政總處公務人力發展學院應全面檢討現行終身學習考核機制，盤點各級機關必修時數之必要性、數位學習平台課程之品質控管、外部優質教學資源之引進機制、以及「</w:t>
      </w:r>
      <w:proofErr w:type="gramStart"/>
      <w:r w:rsidRPr="001B6E4D">
        <w:t>量轉質</w:t>
      </w:r>
      <w:proofErr w:type="gramEnd"/>
      <w:r w:rsidRPr="001B6E4D">
        <w:t>」之考核指標轉型。</w:t>
      </w:r>
    </w:p>
    <w:p w14:paraId="41AFA654" w14:textId="77777777" w:rsidR="00201B77" w:rsidRPr="001B6E4D" w:rsidRDefault="00201B77" w:rsidP="003D1018">
      <w:pPr>
        <w:pStyle w:val="1f7"/>
        <w:overflowPunct w:val="0"/>
      </w:pPr>
      <w:proofErr w:type="gramStart"/>
      <w:r w:rsidRPr="001B6E4D">
        <w:t>爰</w:t>
      </w:r>
      <w:proofErr w:type="gramEnd"/>
      <w:r w:rsidRPr="001B6E4D">
        <w:t>要求行政院人事行政總處公務人力發展學院於</w:t>
      </w:r>
      <w:r w:rsidRPr="001B6E4D">
        <w:rPr>
          <w:rFonts w:hint="eastAsia"/>
        </w:rPr>
        <w:t>3</w:t>
      </w:r>
      <w:r w:rsidRPr="001B6E4D">
        <w:t>個月內向立法院</w:t>
      </w:r>
      <w:r w:rsidRPr="001B6E4D">
        <w:rPr>
          <w:rFonts w:hint="eastAsia"/>
        </w:rPr>
        <w:t>司法及法制委員會</w:t>
      </w:r>
      <w:r w:rsidRPr="001B6E4D">
        <w:t>提出「公務人員終身學習制度成效檢討、數位學習平台精進方案及公務人力職能培育多元化」書面報告，以確保國家公務人力資源之良善發展與行政效能。【44】</w:t>
      </w:r>
    </w:p>
    <w:p w14:paraId="0A8CBE95"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54781A57" w14:textId="77777777" w:rsidR="00201B77" w:rsidRPr="001B6E4D" w:rsidRDefault="00201B77" w:rsidP="003D1018">
      <w:pPr>
        <w:overflowPunct w:val="0"/>
        <w:snapToGrid w:val="0"/>
        <w:ind w:leftChars="1500" w:left="4776" w:hangingChars="420" w:hanging="1176"/>
        <w:jc w:val="both"/>
        <w:rPr>
          <w:rFonts w:ascii="標楷體" w:eastAsia="標楷體" w:hAnsi="標楷體"/>
          <w:sz w:val="28"/>
          <w:szCs w:val="28"/>
        </w:rPr>
      </w:pPr>
      <w:r w:rsidRPr="001B6E4D">
        <w:rPr>
          <w:rFonts w:ascii="標楷體" w:eastAsia="標楷體" w:hAnsi="標楷體"/>
          <w:color w:val="000000"/>
          <w:sz w:val="28"/>
          <w:szCs w:val="28"/>
        </w:rPr>
        <w:t>連署人：莊瑞雄　沈發惠</w:t>
      </w:r>
    </w:p>
    <w:p w14:paraId="1E976EFF" w14:textId="77777777" w:rsidR="00201B77" w:rsidRPr="001B6E4D" w:rsidRDefault="00201B77" w:rsidP="003D1018">
      <w:pPr>
        <w:overflowPunct w:val="0"/>
        <w:snapToGrid w:val="0"/>
        <w:spacing w:line="380" w:lineRule="exact"/>
        <w:ind w:leftChars="53" w:left="828" w:hangingChars="250" w:hanging="701"/>
        <w:jc w:val="both"/>
        <w:rPr>
          <w:rFonts w:ascii="標楷體" w:eastAsia="標楷體" w:hAnsi="標楷體"/>
          <w:b/>
          <w:bCs/>
          <w:sz w:val="28"/>
          <w:szCs w:val="28"/>
        </w:rPr>
      </w:pPr>
      <w:r w:rsidRPr="001B6E4D">
        <w:rPr>
          <w:rFonts w:ascii="標楷體" w:eastAsia="標楷體" w:hAnsi="標楷體" w:hint="eastAsia"/>
          <w:b/>
          <w:bCs/>
          <w:sz w:val="28"/>
          <w:szCs w:val="28"/>
        </w:rPr>
        <w:t>(三</w:t>
      </w:r>
      <w:proofErr w:type="gramStart"/>
      <w:r w:rsidRPr="001B6E4D">
        <w:rPr>
          <w:rFonts w:ascii="標楷體" w:eastAsia="標楷體" w:hAnsi="標楷體"/>
          <w:b/>
          <w:bCs/>
          <w:sz w:val="28"/>
          <w:szCs w:val="28"/>
        </w:rPr>
        <w:t>）</w:t>
      </w:r>
      <w:proofErr w:type="gramEnd"/>
      <w:r w:rsidRPr="001B6E4D">
        <w:rPr>
          <w:rFonts w:ascii="標楷體" w:eastAsia="標楷體" w:hAnsi="標楷體" w:hint="eastAsia"/>
          <w:b/>
          <w:color w:val="000000" w:themeColor="text1"/>
          <w:kern w:val="0"/>
          <w:sz w:val="28"/>
          <w:szCs w:val="28"/>
          <w:shd w:val="clear" w:color="auto" w:fill="FFFFFF"/>
        </w:rPr>
        <w:t>中華民國</w:t>
      </w:r>
      <w:proofErr w:type="gramStart"/>
      <w:r w:rsidRPr="001B6E4D">
        <w:rPr>
          <w:rFonts w:ascii="標楷體" w:eastAsia="標楷體" w:hAnsi="標楷體" w:hint="eastAsia"/>
          <w:b/>
          <w:bCs/>
          <w:sz w:val="28"/>
          <w:szCs w:val="28"/>
        </w:rPr>
        <w:t>115</w:t>
      </w:r>
      <w:proofErr w:type="gramEnd"/>
      <w:r w:rsidRPr="001B6E4D">
        <w:rPr>
          <w:rFonts w:ascii="標楷體" w:eastAsia="標楷體" w:hAnsi="標楷體" w:hint="eastAsia"/>
          <w:b/>
          <w:bCs/>
          <w:sz w:val="28"/>
          <w:szCs w:val="28"/>
        </w:rPr>
        <w:t>年度中央政府總預算案關於行政院人事行政總處及所屬主管收支部分</w:t>
      </w:r>
      <w:r w:rsidRPr="001B6E4D">
        <w:rPr>
          <w:rFonts w:ascii="標楷體" w:eastAsia="標楷體" w:hAnsi="標楷體"/>
          <w:b/>
          <w:bCs/>
          <w:sz w:val="28"/>
          <w:szCs w:val="28"/>
        </w:rPr>
        <w:t>審查完竣，提報院會</w:t>
      </w:r>
      <w:r w:rsidRPr="001B6E4D">
        <w:rPr>
          <w:rFonts w:ascii="標楷體" w:eastAsia="標楷體" w:hAnsi="標楷體" w:hint="eastAsia"/>
          <w:b/>
          <w:bCs/>
          <w:sz w:val="28"/>
          <w:szCs w:val="28"/>
        </w:rPr>
        <w:t>，</w:t>
      </w:r>
      <w:r w:rsidRPr="001B6E4D">
        <w:rPr>
          <w:rFonts w:ascii="標楷體" w:eastAsia="標楷體" w:hAnsi="標楷體"/>
          <w:b/>
          <w:bCs/>
          <w:sz w:val="28"/>
          <w:szCs w:val="28"/>
        </w:rPr>
        <w:t>院會討論</w:t>
      </w:r>
      <w:r w:rsidRPr="001B6E4D">
        <w:rPr>
          <w:rFonts w:ascii="標楷體" w:eastAsia="標楷體" w:hAnsi="標楷體" w:hint="eastAsia"/>
          <w:b/>
          <w:bCs/>
          <w:sz w:val="28"/>
          <w:szCs w:val="28"/>
        </w:rPr>
        <w:t>前，</w:t>
      </w:r>
      <w:r w:rsidRPr="001B6E4D">
        <w:rPr>
          <w:rFonts w:ascii="標楷體" w:eastAsia="標楷體" w:hAnsi="標楷體"/>
          <w:b/>
          <w:bCs/>
          <w:sz w:val="28"/>
          <w:szCs w:val="28"/>
        </w:rPr>
        <w:t>須交由黨團協商</w:t>
      </w:r>
      <w:r w:rsidRPr="001B6E4D">
        <w:rPr>
          <w:rFonts w:ascii="標楷體" w:eastAsia="標楷體" w:hAnsi="標楷體" w:hint="eastAsia"/>
          <w:b/>
          <w:bCs/>
          <w:sz w:val="28"/>
          <w:szCs w:val="28"/>
        </w:rPr>
        <w:t>；院會討論時，由莊召集委員瑞雄出席說明</w:t>
      </w:r>
      <w:r w:rsidRPr="001B6E4D">
        <w:rPr>
          <w:rFonts w:ascii="標楷體" w:eastAsia="標楷體" w:hAnsi="標楷體"/>
          <w:b/>
          <w:bCs/>
          <w:sz w:val="28"/>
          <w:szCs w:val="28"/>
        </w:rPr>
        <w:t>。</w:t>
      </w:r>
    </w:p>
    <w:p w14:paraId="3289FBFD" w14:textId="77777777" w:rsidR="00201B77" w:rsidRPr="001B6E4D" w:rsidRDefault="00201B77" w:rsidP="003D1018">
      <w:pPr>
        <w:overflowPunct w:val="0"/>
        <w:snapToGrid w:val="0"/>
        <w:spacing w:line="380" w:lineRule="exact"/>
        <w:ind w:leftChars="53" w:left="828" w:hangingChars="250" w:hanging="701"/>
        <w:jc w:val="both"/>
        <w:rPr>
          <w:rFonts w:ascii="標楷體" w:eastAsia="標楷體" w:hAnsi="標楷體"/>
          <w:b/>
          <w:bCs/>
          <w:sz w:val="28"/>
          <w:szCs w:val="28"/>
        </w:rPr>
      </w:pPr>
    </w:p>
    <w:p w14:paraId="7294DA18" w14:textId="77777777" w:rsidR="00201B77" w:rsidRPr="001B6E4D" w:rsidRDefault="00201B77" w:rsidP="003D1018">
      <w:pPr>
        <w:overflowPunct w:val="0"/>
        <w:spacing w:beforeLines="50" w:before="180" w:line="400" w:lineRule="exact"/>
        <w:ind w:left="426" w:hangingChars="152" w:hanging="426"/>
        <w:contextualSpacing/>
        <w:jc w:val="both"/>
        <w:rPr>
          <w:rFonts w:ascii="標楷體" w:eastAsia="標楷體" w:hAnsi="標楷體"/>
          <w:b/>
          <w:sz w:val="28"/>
          <w:szCs w:val="28"/>
        </w:rPr>
      </w:pPr>
      <w:r w:rsidRPr="001B6E4D">
        <w:rPr>
          <w:rFonts w:ascii="標楷體" w:eastAsia="標楷體" w:hAnsi="標楷體" w:hint="eastAsia"/>
          <w:b/>
          <w:sz w:val="28"/>
          <w:szCs w:val="28"/>
        </w:rPr>
        <w:t>二</w:t>
      </w:r>
      <w:r w:rsidRPr="001B6E4D">
        <w:rPr>
          <w:rFonts w:ascii="標楷體" w:eastAsia="標楷體" w:hAnsi="標楷體"/>
          <w:b/>
          <w:sz w:val="28"/>
          <w:szCs w:val="28"/>
        </w:rPr>
        <w:t>、</w:t>
      </w:r>
      <w:proofErr w:type="gramStart"/>
      <w:r w:rsidRPr="001B6E4D">
        <w:rPr>
          <w:rFonts w:ascii="標楷體" w:eastAsia="標楷體" w:hAnsi="標楷體" w:hint="eastAsia"/>
          <w:b/>
          <w:sz w:val="28"/>
          <w:szCs w:val="28"/>
        </w:rPr>
        <w:t>115</w:t>
      </w:r>
      <w:proofErr w:type="gramEnd"/>
      <w:r w:rsidRPr="001B6E4D">
        <w:rPr>
          <w:rFonts w:ascii="標楷體" w:eastAsia="標楷體" w:hAnsi="標楷體" w:hint="eastAsia"/>
          <w:b/>
          <w:sz w:val="28"/>
          <w:szCs w:val="28"/>
        </w:rPr>
        <w:t>年度中央政府總預算案附屬單位預算非營業部分關於行政院人事行政總處主管「中央公教人員急難救助基金」收支部分</w:t>
      </w:r>
      <w:r w:rsidRPr="001B6E4D">
        <w:rPr>
          <w:rFonts w:ascii="標楷體" w:eastAsia="標楷體" w:hAnsi="標楷體"/>
          <w:b/>
          <w:sz w:val="28"/>
          <w:szCs w:val="28"/>
        </w:rPr>
        <w:t>：</w:t>
      </w:r>
    </w:p>
    <w:p w14:paraId="537FCBF8" w14:textId="77777777" w:rsidR="00201B77" w:rsidRPr="001B6E4D" w:rsidRDefault="00201B77" w:rsidP="003D1018">
      <w:pPr>
        <w:overflowPunct w:val="0"/>
        <w:spacing w:line="400" w:lineRule="exact"/>
        <w:ind w:leftChars="200" w:left="1040" w:hangingChars="200" w:hanging="560"/>
        <w:jc w:val="both"/>
        <w:rPr>
          <w:rFonts w:ascii="標楷體" w:eastAsia="標楷體" w:hAnsi="標楷體"/>
          <w:sz w:val="28"/>
          <w:szCs w:val="28"/>
        </w:rPr>
      </w:pPr>
      <w:r w:rsidRPr="001B6E4D">
        <w:rPr>
          <w:rFonts w:ascii="標楷體" w:eastAsia="標楷體" w:hAnsi="標楷體"/>
          <w:sz w:val="28"/>
          <w:szCs w:val="28"/>
        </w:rPr>
        <w:t>(</w:t>
      </w:r>
      <w:proofErr w:type="gramStart"/>
      <w:r w:rsidRPr="001B6E4D">
        <w:rPr>
          <w:rFonts w:ascii="標楷體" w:eastAsia="標楷體" w:hAnsi="標楷體"/>
          <w:sz w:val="28"/>
          <w:szCs w:val="28"/>
        </w:rPr>
        <w:t>一</w:t>
      </w:r>
      <w:proofErr w:type="gramEnd"/>
      <w:r w:rsidRPr="001B6E4D">
        <w:rPr>
          <w:rFonts w:ascii="標楷體" w:eastAsia="標楷體" w:hAnsi="標楷體"/>
          <w:sz w:val="28"/>
          <w:szCs w:val="28"/>
        </w:rPr>
        <w:t>)基金運用計畫：應依據收支、餘</w:t>
      </w:r>
      <w:proofErr w:type="gramStart"/>
      <w:r w:rsidRPr="001B6E4D">
        <w:rPr>
          <w:rFonts w:ascii="標楷體" w:eastAsia="標楷體" w:hAnsi="標楷體"/>
          <w:sz w:val="28"/>
          <w:szCs w:val="28"/>
        </w:rPr>
        <w:t>絀</w:t>
      </w:r>
      <w:proofErr w:type="gramEnd"/>
      <w:r w:rsidRPr="001B6E4D">
        <w:rPr>
          <w:rFonts w:ascii="標楷體" w:eastAsia="標楷體" w:hAnsi="標楷體"/>
          <w:sz w:val="28"/>
          <w:szCs w:val="28"/>
        </w:rPr>
        <w:t>撥補等項之審查結果</w:t>
      </w:r>
      <w:r w:rsidRPr="001B6E4D">
        <w:rPr>
          <w:rFonts w:ascii="標楷體" w:eastAsia="標楷體" w:hAnsi="標楷體" w:hint="eastAsia"/>
          <w:sz w:val="28"/>
          <w:szCs w:val="28"/>
        </w:rPr>
        <w:t>，隨同</w:t>
      </w:r>
      <w:r w:rsidRPr="001B6E4D">
        <w:rPr>
          <w:rFonts w:ascii="標楷體" w:eastAsia="標楷體" w:hAnsi="標楷體"/>
          <w:sz w:val="28"/>
          <w:szCs w:val="28"/>
        </w:rPr>
        <w:t>調整。</w:t>
      </w:r>
    </w:p>
    <w:p w14:paraId="68C0CFAB" w14:textId="77777777" w:rsidR="00201B77" w:rsidRPr="001B6E4D" w:rsidRDefault="00201B77" w:rsidP="003D1018">
      <w:pPr>
        <w:overflowPunct w:val="0"/>
        <w:spacing w:line="400" w:lineRule="exact"/>
        <w:ind w:leftChars="199" w:left="962" w:hangingChars="173" w:hanging="484"/>
        <w:jc w:val="both"/>
        <w:rPr>
          <w:rFonts w:ascii="標楷體" w:eastAsia="標楷體" w:hAnsi="標楷體"/>
          <w:sz w:val="28"/>
          <w:szCs w:val="28"/>
        </w:rPr>
      </w:pPr>
      <w:r w:rsidRPr="001B6E4D">
        <w:rPr>
          <w:rFonts w:ascii="標楷體" w:eastAsia="標楷體" w:hAnsi="標楷體"/>
          <w:sz w:val="28"/>
          <w:szCs w:val="28"/>
        </w:rPr>
        <w:t>(二)總收入：62</w:t>
      </w:r>
      <w:r w:rsidRPr="001B6E4D">
        <w:rPr>
          <w:rFonts w:ascii="標楷體" w:eastAsia="標楷體" w:hAnsi="標楷體" w:hint="eastAsia"/>
          <w:sz w:val="28"/>
          <w:szCs w:val="28"/>
        </w:rPr>
        <w:t>8萬元</w:t>
      </w:r>
      <w:r w:rsidRPr="001B6E4D">
        <w:rPr>
          <w:rFonts w:ascii="標楷體" w:eastAsia="標楷體" w:hAnsi="標楷體"/>
          <w:sz w:val="28"/>
          <w:szCs w:val="28"/>
        </w:rPr>
        <w:t>，</w:t>
      </w:r>
      <w:proofErr w:type="gramStart"/>
      <w:r w:rsidRPr="001B6E4D">
        <w:rPr>
          <w:rFonts w:ascii="標楷體" w:eastAsia="標楷體" w:hAnsi="標楷體"/>
          <w:sz w:val="28"/>
          <w:szCs w:val="28"/>
        </w:rPr>
        <w:t>照列</w:t>
      </w:r>
      <w:proofErr w:type="gramEnd"/>
      <w:r w:rsidRPr="001B6E4D">
        <w:rPr>
          <w:rFonts w:ascii="標楷體" w:eastAsia="標楷體" w:hAnsi="標楷體"/>
          <w:sz w:val="28"/>
          <w:szCs w:val="28"/>
        </w:rPr>
        <w:t>。</w:t>
      </w:r>
    </w:p>
    <w:p w14:paraId="47EBC683" w14:textId="77777777" w:rsidR="00201B77" w:rsidRPr="001B6E4D" w:rsidRDefault="00201B77" w:rsidP="003D1018">
      <w:pPr>
        <w:overflowPunct w:val="0"/>
        <w:spacing w:line="400" w:lineRule="exact"/>
        <w:ind w:leftChars="199" w:left="962" w:hangingChars="173" w:hanging="484"/>
        <w:jc w:val="both"/>
        <w:rPr>
          <w:rFonts w:ascii="標楷體" w:eastAsia="標楷體" w:hAnsi="標楷體"/>
          <w:sz w:val="28"/>
          <w:szCs w:val="28"/>
        </w:rPr>
      </w:pPr>
      <w:r w:rsidRPr="001B6E4D">
        <w:rPr>
          <w:rFonts w:ascii="標楷體" w:eastAsia="標楷體" w:hAnsi="標楷體"/>
          <w:sz w:val="28"/>
          <w:szCs w:val="28"/>
        </w:rPr>
        <w:t>(三)總支出：</w:t>
      </w:r>
      <w:r w:rsidRPr="001B6E4D">
        <w:rPr>
          <w:rFonts w:ascii="標楷體" w:eastAsia="標楷體" w:hAnsi="標楷體" w:hint="eastAsia"/>
          <w:bCs/>
          <w:sz w:val="28"/>
          <w:szCs w:val="28"/>
        </w:rPr>
        <w:t>1</w:t>
      </w:r>
      <w:r w:rsidRPr="001B6E4D">
        <w:rPr>
          <w:rFonts w:ascii="標楷體" w:eastAsia="標楷體" w:hAnsi="標楷體"/>
          <w:bCs/>
          <w:sz w:val="28"/>
          <w:szCs w:val="28"/>
        </w:rPr>
        <w:t>05</w:t>
      </w:r>
      <w:r w:rsidRPr="001B6E4D">
        <w:rPr>
          <w:rFonts w:ascii="標楷體" w:eastAsia="標楷體" w:hAnsi="標楷體" w:hint="eastAsia"/>
          <w:sz w:val="28"/>
          <w:szCs w:val="28"/>
        </w:rPr>
        <w:t>萬4千元</w:t>
      </w:r>
      <w:r w:rsidRPr="001B6E4D">
        <w:rPr>
          <w:rFonts w:ascii="標楷體" w:eastAsia="標楷體" w:hAnsi="標楷體"/>
          <w:sz w:val="28"/>
          <w:szCs w:val="28"/>
        </w:rPr>
        <w:t>，</w:t>
      </w:r>
      <w:proofErr w:type="gramStart"/>
      <w:r w:rsidRPr="001B6E4D">
        <w:rPr>
          <w:rFonts w:ascii="標楷體" w:eastAsia="標楷體" w:hAnsi="標楷體"/>
          <w:sz w:val="28"/>
          <w:szCs w:val="28"/>
        </w:rPr>
        <w:t>照列</w:t>
      </w:r>
      <w:proofErr w:type="gramEnd"/>
      <w:r w:rsidRPr="001B6E4D">
        <w:rPr>
          <w:rFonts w:ascii="標楷體" w:eastAsia="標楷體" w:hAnsi="標楷體"/>
          <w:sz w:val="28"/>
          <w:szCs w:val="28"/>
        </w:rPr>
        <w:t>。</w:t>
      </w:r>
    </w:p>
    <w:p w14:paraId="3B2B5EF1" w14:textId="77777777" w:rsidR="00201B77" w:rsidRPr="001B6E4D" w:rsidRDefault="00201B77" w:rsidP="003D1018">
      <w:pPr>
        <w:overflowPunct w:val="0"/>
        <w:spacing w:line="400" w:lineRule="exact"/>
        <w:ind w:leftChars="199" w:left="962" w:hangingChars="173" w:hanging="484"/>
        <w:jc w:val="both"/>
        <w:rPr>
          <w:rFonts w:ascii="標楷體" w:eastAsia="標楷體" w:hAnsi="標楷體"/>
          <w:sz w:val="28"/>
          <w:szCs w:val="28"/>
        </w:rPr>
      </w:pPr>
      <w:r w:rsidRPr="001B6E4D">
        <w:rPr>
          <w:rFonts w:ascii="標楷體" w:eastAsia="標楷體" w:hAnsi="標楷體"/>
          <w:sz w:val="28"/>
          <w:szCs w:val="28"/>
        </w:rPr>
        <w:t>(四)本期賸餘：</w:t>
      </w:r>
      <w:r w:rsidRPr="001B6E4D">
        <w:rPr>
          <w:rFonts w:ascii="標楷體" w:eastAsia="標楷體" w:hAnsi="標楷體" w:hint="eastAsia"/>
          <w:sz w:val="28"/>
          <w:szCs w:val="28"/>
        </w:rPr>
        <w:t>522萬6千元</w:t>
      </w:r>
      <w:r w:rsidRPr="001B6E4D">
        <w:rPr>
          <w:rFonts w:ascii="標楷體" w:eastAsia="標楷體" w:hAnsi="標楷體"/>
          <w:sz w:val="28"/>
          <w:szCs w:val="28"/>
        </w:rPr>
        <w:t>，</w:t>
      </w:r>
      <w:proofErr w:type="gramStart"/>
      <w:r w:rsidRPr="001B6E4D">
        <w:rPr>
          <w:rFonts w:ascii="標楷體" w:eastAsia="標楷體" w:hAnsi="標楷體"/>
          <w:sz w:val="28"/>
          <w:szCs w:val="28"/>
        </w:rPr>
        <w:t>照列</w:t>
      </w:r>
      <w:proofErr w:type="gramEnd"/>
      <w:r w:rsidRPr="001B6E4D">
        <w:rPr>
          <w:rFonts w:ascii="標楷體" w:eastAsia="標楷體" w:hAnsi="標楷體"/>
          <w:sz w:val="28"/>
          <w:szCs w:val="28"/>
        </w:rPr>
        <w:t>。</w:t>
      </w:r>
    </w:p>
    <w:p w14:paraId="09E604BE" w14:textId="77777777" w:rsidR="00201B77" w:rsidRPr="001B6E4D" w:rsidRDefault="00201B77" w:rsidP="003D1018">
      <w:pPr>
        <w:overflowPunct w:val="0"/>
        <w:adjustRightInd w:val="0"/>
        <w:snapToGrid w:val="0"/>
        <w:spacing w:line="400" w:lineRule="exact"/>
        <w:ind w:leftChars="210" w:left="1065" w:hangingChars="200" w:hanging="561"/>
        <w:jc w:val="both"/>
        <w:rPr>
          <w:rFonts w:ascii="標楷體" w:eastAsia="標楷體" w:hAnsi="標楷體"/>
          <w:b/>
          <w:sz w:val="28"/>
          <w:szCs w:val="28"/>
        </w:rPr>
      </w:pPr>
      <w:r w:rsidRPr="001B6E4D">
        <w:rPr>
          <w:rFonts w:ascii="標楷體" w:eastAsia="標楷體" w:hAnsi="標楷體"/>
          <w:b/>
          <w:sz w:val="28"/>
          <w:szCs w:val="28"/>
        </w:rPr>
        <w:t>(</w:t>
      </w:r>
      <w:r w:rsidRPr="001B6E4D">
        <w:rPr>
          <w:rFonts w:ascii="標楷體" w:eastAsia="標楷體" w:hAnsi="標楷體" w:hint="eastAsia"/>
          <w:b/>
          <w:sz w:val="28"/>
          <w:szCs w:val="28"/>
        </w:rPr>
        <w:t>五</w:t>
      </w:r>
      <w:r w:rsidRPr="001B6E4D">
        <w:rPr>
          <w:rFonts w:ascii="標楷體" w:eastAsia="標楷體" w:hAnsi="標楷體"/>
          <w:b/>
          <w:sz w:val="28"/>
          <w:szCs w:val="28"/>
        </w:rPr>
        <w:t>)</w:t>
      </w:r>
      <w:r w:rsidRPr="001B6E4D">
        <w:rPr>
          <w:rFonts w:ascii="標楷體" w:eastAsia="標楷體" w:hAnsi="標楷體" w:hint="eastAsia"/>
          <w:b/>
          <w:sz w:val="28"/>
          <w:szCs w:val="28"/>
        </w:rPr>
        <w:t>本案</w:t>
      </w:r>
      <w:r w:rsidRPr="001B6E4D">
        <w:rPr>
          <w:rFonts w:ascii="標楷體" w:eastAsia="標楷體" w:hAnsi="標楷體"/>
          <w:b/>
          <w:sz w:val="28"/>
          <w:szCs w:val="28"/>
        </w:rPr>
        <w:t>審查完竣，提報院會</w:t>
      </w:r>
      <w:r w:rsidRPr="001B6E4D">
        <w:rPr>
          <w:rFonts w:ascii="標楷體" w:eastAsia="標楷體" w:hAnsi="標楷體" w:hint="eastAsia"/>
          <w:b/>
          <w:sz w:val="28"/>
          <w:szCs w:val="28"/>
        </w:rPr>
        <w:t>，</w:t>
      </w:r>
      <w:r w:rsidRPr="001B6E4D">
        <w:rPr>
          <w:rFonts w:ascii="標楷體" w:eastAsia="標楷體" w:hAnsi="標楷體"/>
          <w:b/>
          <w:sz w:val="28"/>
          <w:szCs w:val="28"/>
        </w:rPr>
        <w:t>院會討論</w:t>
      </w:r>
      <w:r w:rsidRPr="001B6E4D">
        <w:rPr>
          <w:rFonts w:ascii="標楷體" w:eastAsia="標楷體" w:hAnsi="標楷體" w:hint="eastAsia"/>
          <w:b/>
          <w:sz w:val="28"/>
          <w:szCs w:val="28"/>
        </w:rPr>
        <w:t>前，</w:t>
      </w:r>
      <w:r w:rsidRPr="001B6E4D">
        <w:rPr>
          <w:rFonts w:ascii="標楷體" w:eastAsia="標楷體" w:hAnsi="標楷體"/>
          <w:b/>
          <w:sz w:val="28"/>
          <w:szCs w:val="28"/>
        </w:rPr>
        <w:t>須交由黨團協商</w:t>
      </w:r>
      <w:r w:rsidRPr="001B6E4D">
        <w:rPr>
          <w:rFonts w:ascii="標楷體" w:eastAsia="標楷體" w:hAnsi="標楷體" w:hint="eastAsia"/>
          <w:b/>
          <w:sz w:val="28"/>
          <w:szCs w:val="28"/>
        </w:rPr>
        <w:t>；院會討論時，由莊召集委員瑞雄出席說明</w:t>
      </w:r>
      <w:r w:rsidRPr="001B6E4D">
        <w:rPr>
          <w:rFonts w:ascii="標楷體" w:eastAsia="標楷體" w:hAnsi="標楷體"/>
          <w:b/>
          <w:sz w:val="28"/>
          <w:szCs w:val="28"/>
        </w:rPr>
        <w:t>。</w:t>
      </w:r>
    </w:p>
    <w:p w14:paraId="5850A18C" w14:textId="77777777" w:rsidR="00201B77" w:rsidRPr="001B6E4D" w:rsidRDefault="00201B77" w:rsidP="003D1018">
      <w:pPr>
        <w:overflowPunct w:val="0"/>
        <w:adjustRightInd w:val="0"/>
        <w:snapToGrid w:val="0"/>
        <w:spacing w:beforeLines="30" w:before="108" w:line="410" w:lineRule="exact"/>
        <w:ind w:left="561" w:hangingChars="200" w:hanging="561"/>
        <w:jc w:val="both"/>
        <w:rPr>
          <w:rFonts w:ascii="標楷體" w:eastAsia="標楷體" w:hAnsi="標楷體"/>
          <w:b/>
          <w:bCs/>
          <w:sz w:val="28"/>
          <w:szCs w:val="28"/>
        </w:rPr>
      </w:pPr>
      <w:r w:rsidRPr="001B6E4D">
        <w:rPr>
          <w:rFonts w:ascii="標楷體" w:eastAsia="標楷體" w:hAnsi="標楷體" w:cs="標楷體"/>
          <w:b/>
          <w:kern w:val="0"/>
          <w:sz w:val="28"/>
          <w:szCs w:val="28"/>
        </w:rPr>
        <w:t>5</w:t>
      </w:r>
      <w:r w:rsidRPr="001B6E4D">
        <w:rPr>
          <w:rFonts w:ascii="標楷體" w:eastAsia="標楷體" w:hAnsi="標楷體" w:cs="標楷體" w:hint="eastAsia"/>
          <w:b/>
          <w:kern w:val="0"/>
          <w:sz w:val="28"/>
          <w:szCs w:val="28"/>
        </w:rPr>
        <w:t>月</w:t>
      </w:r>
      <w:r w:rsidRPr="001B6E4D">
        <w:rPr>
          <w:rFonts w:ascii="標楷體" w:eastAsia="標楷體" w:hAnsi="標楷體" w:cs="標楷體"/>
          <w:b/>
          <w:kern w:val="0"/>
          <w:sz w:val="28"/>
          <w:szCs w:val="28"/>
        </w:rPr>
        <w:t>2</w:t>
      </w:r>
      <w:r w:rsidRPr="001B6E4D">
        <w:rPr>
          <w:rFonts w:ascii="標楷體" w:eastAsia="標楷體" w:hAnsi="標楷體" w:cs="標楷體" w:hint="eastAsia"/>
          <w:b/>
          <w:kern w:val="0"/>
          <w:sz w:val="28"/>
          <w:szCs w:val="28"/>
        </w:rPr>
        <w:t>1日（星期四）</w:t>
      </w:r>
    </w:p>
    <w:p w14:paraId="28525E5D" w14:textId="77777777" w:rsidR="00201B77" w:rsidRPr="001B6E4D" w:rsidRDefault="00201B77" w:rsidP="003D1018">
      <w:pPr>
        <w:pStyle w:val="afffff6"/>
        <w:overflowPunct w:val="0"/>
        <w:spacing w:beforeLines="30" w:before="108" w:line="410" w:lineRule="exact"/>
        <w:ind w:leftChars="0" w:left="0" w:rightChars="0" w:right="0" w:firstLineChars="398" w:firstLine="1115"/>
        <w:jc w:val="both"/>
        <w:rPr>
          <w:rFonts w:ascii="標楷體" w:hAnsi="標楷體"/>
          <w:b/>
          <w:sz w:val="28"/>
          <w:szCs w:val="28"/>
        </w:rPr>
      </w:pPr>
      <w:r w:rsidRPr="001B6E4D">
        <w:rPr>
          <w:rFonts w:ascii="標楷體" w:hAnsi="標楷體" w:hint="eastAsia"/>
          <w:b/>
          <w:sz w:val="28"/>
          <w:szCs w:val="28"/>
        </w:rPr>
        <w:t>討論事項</w:t>
      </w:r>
    </w:p>
    <w:p w14:paraId="7AFADBD7" w14:textId="77777777" w:rsidR="00201B77" w:rsidRPr="001B6E4D" w:rsidRDefault="00201B77" w:rsidP="003D1018">
      <w:pPr>
        <w:pStyle w:val="Default"/>
        <w:overflowPunct w:val="0"/>
        <w:spacing w:line="360" w:lineRule="exact"/>
        <w:jc w:val="both"/>
        <w:rPr>
          <w:rFonts w:ascii="標楷體" w:eastAsia="標楷體" w:hAnsi="標楷體"/>
          <w:color w:val="auto"/>
          <w:sz w:val="28"/>
          <w:szCs w:val="28"/>
        </w:rPr>
      </w:pPr>
      <w:r w:rsidRPr="001B6E4D">
        <w:rPr>
          <w:rFonts w:ascii="標楷體" w:eastAsia="標楷體" w:hAnsi="標楷體" w:hint="eastAsia"/>
          <w:color w:val="auto"/>
          <w:sz w:val="28"/>
          <w:szCs w:val="28"/>
        </w:rPr>
        <w:t>審查</w:t>
      </w:r>
      <w:proofErr w:type="gramStart"/>
      <w:r w:rsidRPr="001B6E4D">
        <w:rPr>
          <w:rFonts w:ascii="標楷體" w:eastAsia="標楷體" w:hAnsi="標楷體" w:hint="eastAsia"/>
          <w:color w:val="auto"/>
          <w:sz w:val="28"/>
          <w:szCs w:val="28"/>
        </w:rPr>
        <w:t>115</w:t>
      </w:r>
      <w:proofErr w:type="gramEnd"/>
      <w:r w:rsidRPr="001B6E4D">
        <w:rPr>
          <w:rFonts w:ascii="標楷體" w:eastAsia="標楷體" w:hAnsi="標楷體" w:hint="eastAsia"/>
          <w:color w:val="auto"/>
          <w:sz w:val="28"/>
          <w:szCs w:val="28"/>
        </w:rPr>
        <w:t>年度中央政府總預算案關於總統府主管（不含中央研究院）收支部分。</w:t>
      </w:r>
    </w:p>
    <w:p w14:paraId="04D0C0F1" w14:textId="77777777" w:rsidR="00201B77" w:rsidRPr="001B6E4D" w:rsidRDefault="00201B77" w:rsidP="003D1018">
      <w:pPr>
        <w:overflowPunct w:val="0"/>
        <w:spacing w:beforeLines="10" w:before="36" w:line="360" w:lineRule="exact"/>
        <w:ind w:left="280" w:hangingChars="100" w:hanging="280"/>
        <w:jc w:val="both"/>
        <w:rPr>
          <w:rFonts w:ascii="標楷體" w:eastAsia="標楷體" w:hAnsi="標楷體"/>
          <w:sz w:val="28"/>
          <w:szCs w:val="28"/>
        </w:rPr>
      </w:pPr>
      <w:proofErr w:type="gramStart"/>
      <w:r w:rsidRPr="001B6E4D">
        <w:rPr>
          <w:rFonts w:ascii="標楷體" w:eastAsia="標楷體" w:hAnsi="標楷體" w:hint="eastAsia"/>
          <w:sz w:val="28"/>
          <w:szCs w:val="28"/>
        </w:rPr>
        <w:t>（</w:t>
      </w:r>
      <w:proofErr w:type="gramEnd"/>
      <w:r w:rsidRPr="001B6E4D">
        <w:rPr>
          <w:rFonts w:ascii="標楷體" w:eastAsia="標楷體" w:hAnsi="標楷體" w:hint="eastAsia"/>
          <w:sz w:val="28"/>
          <w:szCs w:val="28"/>
        </w:rPr>
        <w:t>本日會議有委員沈發惠、</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雲、莊瑞雄、林倩綺、翁曉玲、張雅琳、洪孟楷、賴士葆提出質詢；委員蔡其昌提出書面質詢。）</w:t>
      </w:r>
    </w:p>
    <w:p w14:paraId="57869E83" w14:textId="77777777" w:rsidR="00201B77" w:rsidRPr="001B6E4D" w:rsidRDefault="00201B77" w:rsidP="003D1018">
      <w:pPr>
        <w:pStyle w:val="Default"/>
        <w:overflowPunct w:val="0"/>
        <w:spacing w:line="360" w:lineRule="exact"/>
        <w:ind w:left="846" w:hangingChars="302" w:hanging="846"/>
        <w:rPr>
          <w:rFonts w:ascii="標楷體" w:eastAsia="標楷體" w:hAnsi="標楷體"/>
          <w:color w:val="auto"/>
          <w:sz w:val="28"/>
          <w:szCs w:val="28"/>
        </w:rPr>
      </w:pPr>
      <w:r w:rsidRPr="001B6E4D">
        <w:rPr>
          <w:rFonts w:ascii="標楷體" w:eastAsia="標楷體" w:hAnsi="標楷體" w:hint="eastAsia"/>
          <w:color w:val="auto"/>
          <w:sz w:val="28"/>
          <w:szCs w:val="28"/>
        </w:rPr>
        <w:t>決議：</w:t>
      </w:r>
    </w:p>
    <w:p w14:paraId="627BF3EF" w14:textId="77777777" w:rsidR="00201B77" w:rsidRPr="001B6E4D" w:rsidRDefault="00201B77" w:rsidP="003D1018">
      <w:pPr>
        <w:overflowPunct w:val="0"/>
        <w:spacing w:line="360" w:lineRule="exact"/>
        <w:contextualSpacing/>
        <w:jc w:val="both"/>
        <w:rPr>
          <w:rFonts w:ascii="標楷體" w:eastAsia="標楷體" w:hAnsi="標楷體"/>
          <w:sz w:val="28"/>
          <w:szCs w:val="28"/>
        </w:rPr>
      </w:pPr>
      <w:r w:rsidRPr="001B6E4D">
        <w:rPr>
          <w:rFonts w:ascii="標楷體" w:eastAsia="標楷體" w:hAnsi="標楷體" w:hint="eastAsia"/>
          <w:sz w:val="28"/>
          <w:szCs w:val="28"/>
        </w:rPr>
        <w:lastRenderedPageBreak/>
        <w:t>一、報告及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p>
    <w:p w14:paraId="484A0AB0" w14:textId="77777777" w:rsidR="00201B77" w:rsidRPr="001B6E4D" w:rsidRDefault="00201B77" w:rsidP="003D1018">
      <w:pPr>
        <w:overflowPunct w:val="0"/>
        <w:spacing w:line="360" w:lineRule="exact"/>
        <w:ind w:left="504" w:hangingChars="180" w:hanging="504"/>
        <w:contextualSpacing/>
        <w:jc w:val="both"/>
        <w:rPr>
          <w:rFonts w:ascii="標楷體" w:eastAsia="標楷體" w:hAnsi="標楷體"/>
          <w:b/>
          <w:sz w:val="28"/>
          <w:szCs w:val="28"/>
        </w:rPr>
      </w:pPr>
      <w:r w:rsidRPr="001B6E4D">
        <w:rPr>
          <w:rFonts w:ascii="標楷體" w:eastAsia="標楷體" w:hAnsi="標楷體" w:hint="eastAsia"/>
          <w:b/>
          <w:kern w:val="0"/>
          <w:sz w:val="28"/>
          <w:szCs w:val="28"/>
        </w:rPr>
        <w:t>二、</w:t>
      </w:r>
      <w:bookmarkStart w:id="497" w:name="歲入部分"/>
      <w:bookmarkEnd w:id="497"/>
      <w:proofErr w:type="gramStart"/>
      <w:r w:rsidRPr="001B6E4D">
        <w:rPr>
          <w:rFonts w:ascii="標楷體" w:eastAsia="標楷體" w:hAnsi="標楷體" w:hint="eastAsia"/>
          <w:b/>
          <w:kern w:val="0"/>
          <w:sz w:val="28"/>
          <w:szCs w:val="28"/>
        </w:rPr>
        <w:t>115</w:t>
      </w:r>
      <w:proofErr w:type="gramEnd"/>
      <w:r w:rsidRPr="001B6E4D">
        <w:rPr>
          <w:rFonts w:ascii="標楷體" w:eastAsia="標楷體" w:hAnsi="標楷體" w:hint="eastAsia"/>
          <w:b/>
          <w:kern w:val="0"/>
          <w:sz w:val="28"/>
          <w:szCs w:val="28"/>
        </w:rPr>
        <w:t>年度中央政府總預算案關於總統府主管（不含中央研究院）收支部分：</w:t>
      </w:r>
    </w:p>
    <w:p w14:paraId="5B88ED3C" w14:textId="77777777" w:rsidR="00201B77" w:rsidRPr="001B6E4D" w:rsidRDefault="00201B77" w:rsidP="003D1018">
      <w:pPr>
        <w:overflowPunct w:val="0"/>
        <w:snapToGrid w:val="0"/>
        <w:rPr>
          <w:rFonts w:ascii="標楷體" w:eastAsia="標楷體" w:hAnsi="標楷體"/>
          <w:color w:val="000000"/>
          <w:sz w:val="28"/>
          <w:szCs w:val="28"/>
        </w:rPr>
      </w:pPr>
      <w:r w:rsidRPr="001B6E4D">
        <w:rPr>
          <w:rFonts w:ascii="標楷體" w:eastAsia="標楷體" w:hAnsi="標楷體" w:hint="eastAsia"/>
          <w:b/>
          <w:sz w:val="28"/>
          <w:szCs w:val="28"/>
        </w:rPr>
        <w:t>(</w:t>
      </w:r>
      <w:proofErr w:type="gramStart"/>
      <w:r w:rsidRPr="001B6E4D">
        <w:rPr>
          <w:rFonts w:ascii="標楷體" w:eastAsia="標楷體" w:hAnsi="標楷體" w:hint="eastAsia"/>
          <w:b/>
          <w:sz w:val="28"/>
          <w:szCs w:val="28"/>
        </w:rPr>
        <w:t>一</w:t>
      </w:r>
      <w:proofErr w:type="gramEnd"/>
      <w:r w:rsidRPr="001B6E4D">
        <w:rPr>
          <w:rFonts w:ascii="標楷體" w:eastAsia="標楷體" w:hAnsi="標楷體" w:hint="eastAsia"/>
          <w:b/>
          <w:sz w:val="28"/>
          <w:szCs w:val="28"/>
        </w:rPr>
        <w:t>)</w:t>
      </w:r>
      <w:r w:rsidRPr="001B6E4D">
        <w:rPr>
          <w:rFonts w:ascii="標楷體" w:eastAsia="標楷體" w:hAnsi="標楷體"/>
          <w:b/>
          <w:sz w:val="28"/>
          <w:szCs w:val="28"/>
        </w:rPr>
        <w:t>歲入部分</w:t>
      </w:r>
    </w:p>
    <w:p w14:paraId="2F01F4D5" w14:textId="77777777" w:rsidR="00201B77" w:rsidRPr="001B6E4D" w:rsidRDefault="00201B77"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第2款 罰款及賠償收入</w:t>
      </w:r>
    </w:p>
    <w:p w14:paraId="791A67A4"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第1項 總統府，</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0506FDBC"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第2項 國史館，</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7840D236"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第3項 國史館臺灣文獻館，</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69CD554E" w14:textId="77777777" w:rsidR="00201B77" w:rsidRPr="001B6E4D" w:rsidRDefault="00201B77"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第3款 規費收入</w:t>
      </w:r>
    </w:p>
    <w:p w14:paraId="054E7C90"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第1項 總統府1千元，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F0D5104"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第2項 國史館30萬元，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CE9E2D7"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第3項 國史館臺灣文獻館31萬3千元，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3B02A86" w14:textId="77777777" w:rsidR="00201B77" w:rsidRPr="001B6E4D" w:rsidRDefault="00201B77" w:rsidP="003D1018">
      <w:pPr>
        <w:overflowPunct w:val="0"/>
        <w:snapToGrid w:val="0"/>
        <w:ind w:leftChars="150" w:left="360"/>
        <w:rPr>
          <w:rFonts w:ascii="標楷體" w:eastAsia="標楷體" w:hAnsi="標楷體"/>
          <w:b/>
          <w:color w:val="000000"/>
          <w:sz w:val="28"/>
          <w:szCs w:val="28"/>
        </w:rPr>
      </w:pPr>
      <w:r w:rsidRPr="001B6E4D">
        <w:rPr>
          <w:rFonts w:ascii="標楷體" w:eastAsia="標楷體" w:hAnsi="標楷體"/>
          <w:b/>
          <w:color w:val="000000"/>
          <w:sz w:val="28"/>
          <w:szCs w:val="28"/>
        </w:rPr>
        <w:t>本項通過決議1項：</w:t>
      </w:r>
    </w:p>
    <w:p w14:paraId="385C170B" w14:textId="77777777" w:rsidR="00201B77" w:rsidRPr="001B6E4D" w:rsidRDefault="00201B77" w:rsidP="003D1018">
      <w:pPr>
        <w:pStyle w:val="a"/>
        <w:numPr>
          <w:ilvl w:val="0"/>
          <w:numId w:val="58"/>
        </w:numPr>
        <w:overflowPunct w:val="0"/>
      </w:pPr>
      <w:proofErr w:type="gramStart"/>
      <w:r w:rsidRPr="001B6E4D">
        <w:rPr>
          <w:rFonts w:hint="eastAsia"/>
        </w:rPr>
        <w:t>1</w:t>
      </w:r>
      <w:r w:rsidRPr="001B6E4D">
        <w:t>15</w:t>
      </w:r>
      <w:proofErr w:type="gramEnd"/>
      <w:r w:rsidRPr="001B6E4D">
        <w:rPr>
          <w:rFonts w:hint="eastAsia"/>
        </w:rPr>
        <w:t>年度國史館臺灣文獻館歲入來源別預算編列1</w:t>
      </w:r>
      <w:r w:rsidRPr="001B6E4D">
        <w:t>15</w:t>
      </w:r>
      <w:r w:rsidRPr="001B6E4D">
        <w:rPr>
          <w:rFonts w:hint="eastAsia"/>
        </w:rPr>
        <w:t>萬7千元。</w:t>
      </w:r>
    </w:p>
    <w:p w14:paraId="3FECDBF6" w14:textId="77777777" w:rsidR="00201B77" w:rsidRPr="001B6E4D" w:rsidRDefault="00201B77" w:rsidP="003D1018">
      <w:pPr>
        <w:pStyle w:val="1f7"/>
        <w:overflowPunct w:val="0"/>
      </w:pPr>
      <w:proofErr w:type="gramStart"/>
      <w:r w:rsidRPr="001B6E4D">
        <w:t>115</w:t>
      </w:r>
      <w:proofErr w:type="gramEnd"/>
      <w:r w:rsidRPr="001B6E4D">
        <w:rPr>
          <w:rFonts w:hint="eastAsia"/>
        </w:rPr>
        <w:t>年度國史館臺灣文獻館歲入預算於第1目「使用規費收入」第2節「場地設施使用費」編列5萬元，係就該館</w:t>
      </w:r>
      <w:proofErr w:type="gramStart"/>
      <w:r w:rsidRPr="001B6E4D">
        <w:rPr>
          <w:rFonts w:hint="eastAsia"/>
        </w:rPr>
        <w:t>特</w:t>
      </w:r>
      <w:proofErr w:type="gramEnd"/>
      <w:r w:rsidRPr="001B6E4D">
        <w:rPr>
          <w:rFonts w:hint="eastAsia"/>
        </w:rPr>
        <w:t>展室及簡報室等場地使用收入編列。根據立法院預算中心評估報告顯示，查該館111至113年度「場地設施使用費」決算數分別為1</w:t>
      </w:r>
      <w:r w:rsidRPr="001B6E4D">
        <w:t>6</w:t>
      </w:r>
      <w:r w:rsidRPr="001B6E4D">
        <w:rPr>
          <w:rFonts w:hint="eastAsia"/>
        </w:rPr>
        <w:t>萬9千元、2</w:t>
      </w:r>
      <w:r w:rsidRPr="001B6E4D">
        <w:t>0</w:t>
      </w:r>
      <w:r w:rsidRPr="001B6E4D">
        <w:rPr>
          <w:rFonts w:hint="eastAsia"/>
        </w:rPr>
        <w:t>萬8千元及31萬9千元，呈逐年成長趨勢，顯示場地開放使用已有一定需求及活化成效。然</w:t>
      </w:r>
      <w:proofErr w:type="gramStart"/>
      <w:r w:rsidRPr="001B6E4D">
        <w:rPr>
          <w:rFonts w:hint="eastAsia"/>
        </w:rPr>
        <w:t>115</w:t>
      </w:r>
      <w:proofErr w:type="gramEnd"/>
      <w:r w:rsidRPr="001B6E4D">
        <w:rPr>
          <w:rFonts w:hint="eastAsia"/>
        </w:rPr>
        <w:t>年度預算案仍僅編列5萬元，明顯低於近年實際收入，恐未能</w:t>
      </w:r>
      <w:proofErr w:type="gramStart"/>
      <w:r w:rsidRPr="001B6E4D">
        <w:rPr>
          <w:rFonts w:hint="eastAsia"/>
        </w:rPr>
        <w:t>覈</w:t>
      </w:r>
      <w:proofErr w:type="gramEnd"/>
      <w:r w:rsidRPr="001B6E4D">
        <w:rPr>
          <w:rFonts w:hint="eastAsia"/>
        </w:rPr>
        <w:t>實反映場地營運及資源活化情形。</w:t>
      </w:r>
    </w:p>
    <w:p w14:paraId="7CBF3379" w14:textId="77777777" w:rsidR="00201B77" w:rsidRPr="001B6E4D" w:rsidRDefault="00201B77" w:rsidP="003D1018">
      <w:pPr>
        <w:pStyle w:val="1f7"/>
        <w:overflowPunct w:val="0"/>
      </w:pPr>
      <w:r w:rsidRPr="001B6E4D">
        <w:rPr>
          <w:rFonts w:hint="eastAsia"/>
        </w:rPr>
        <w:t>為提升預算編列精確度，並合理反映場地設施使用收入，</w:t>
      </w:r>
      <w:proofErr w:type="gramStart"/>
      <w:r w:rsidRPr="001B6E4D">
        <w:rPr>
          <w:rFonts w:hint="eastAsia"/>
        </w:rPr>
        <w:t>爰</w:t>
      </w:r>
      <w:proofErr w:type="gramEnd"/>
      <w:r w:rsidRPr="001B6E4D">
        <w:rPr>
          <w:rFonts w:hint="eastAsia"/>
        </w:rPr>
        <w:t>建議國史館臺灣文獻館應積極辦理場地外借，並</w:t>
      </w:r>
      <w:proofErr w:type="gramStart"/>
      <w:r w:rsidRPr="001B6E4D">
        <w:rPr>
          <w:rFonts w:hint="eastAsia"/>
        </w:rPr>
        <w:t>研</w:t>
      </w:r>
      <w:proofErr w:type="gramEnd"/>
      <w:r w:rsidRPr="001B6E4D">
        <w:rPr>
          <w:rFonts w:hint="eastAsia"/>
        </w:rPr>
        <w:t>擬空間活化計畫，以增加國庫收入，於2個月內提交書面報告至立法院司法及法制委員會。</w:t>
      </w:r>
      <w:r w:rsidRPr="001B6E4D">
        <w:t>【1】</w:t>
      </w:r>
    </w:p>
    <w:p w14:paraId="4E269142" w14:textId="77777777" w:rsidR="00201B77" w:rsidRPr="001B6E4D" w:rsidRDefault="00201B77" w:rsidP="003D1018">
      <w:pPr>
        <w:pStyle w:val="2fb"/>
        <w:overflowPunct w:val="0"/>
      </w:pPr>
      <w:r w:rsidRPr="001B6E4D">
        <w:t>提案人：</w:t>
      </w:r>
      <w:r w:rsidRPr="001B6E4D">
        <w:rPr>
          <w:rFonts w:hint="eastAsia"/>
        </w:rPr>
        <w:t>張雅琳</w:t>
      </w:r>
    </w:p>
    <w:p w14:paraId="389F64D2" w14:textId="77777777" w:rsidR="00201B77" w:rsidRPr="001B6E4D" w:rsidRDefault="00201B77" w:rsidP="003D1018">
      <w:pPr>
        <w:pStyle w:val="2fb"/>
        <w:overflowPunct w:val="0"/>
      </w:pPr>
      <w:r w:rsidRPr="001B6E4D">
        <w:t>連署人：</w:t>
      </w:r>
      <w:r w:rsidRPr="001B6E4D">
        <w:rPr>
          <w:rFonts w:hint="eastAsia"/>
        </w:rPr>
        <w:t>沈發惠</w:t>
      </w:r>
      <w:r w:rsidRPr="001B6E4D">
        <w:t xml:space="preserve">　</w:t>
      </w:r>
      <w:r w:rsidRPr="001B6E4D">
        <w:rPr>
          <w:rFonts w:hint="eastAsia"/>
        </w:rPr>
        <w:t>莊瑞雄</w:t>
      </w:r>
    </w:p>
    <w:p w14:paraId="55EBAFF1" w14:textId="77777777" w:rsidR="00201B77" w:rsidRPr="001B6E4D" w:rsidRDefault="00201B77"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第4款 財產收入</w:t>
      </w:r>
    </w:p>
    <w:p w14:paraId="4DC9A0B8"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第1項 總統府225萬元，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B278976"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第2項 國家安全會議5千元，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6D14CCF"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第3項 國史館46萬元，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67C6BF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第4項 國史館臺灣文獻館12萬1千元，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E473A4C" w14:textId="77777777" w:rsidR="00201B77" w:rsidRPr="001B6E4D" w:rsidRDefault="00201B77"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第7款 其他收入</w:t>
      </w:r>
    </w:p>
    <w:p w14:paraId="1D9465B4"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第1項 總統府33萬7千元，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10E7A0A"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第2項 國家安全會議1萬8千元，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36CAEB3"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第3項 國史館50萬元，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B76AD11" w14:textId="77777777" w:rsidR="00201B77" w:rsidRPr="001B6E4D" w:rsidRDefault="00201B77"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第4項 國史館臺灣文獻館72萬3千元，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2DA4D2E" w14:textId="77777777" w:rsidR="00201B77" w:rsidRPr="001B6E4D" w:rsidRDefault="00201B77" w:rsidP="003D1018">
      <w:pPr>
        <w:overflowPunct w:val="0"/>
        <w:snapToGrid w:val="0"/>
        <w:rPr>
          <w:rFonts w:ascii="標楷體" w:eastAsia="標楷體" w:hAnsi="標楷體"/>
          <w:sz w:val="28"/>
          <w:szCs w:val="28"/>
        </w:rPr>
      </w:pPr>
      <w:r w:rsidRPr="001B6E4D">
        <w:rPr>
          <w:rFonts w:ascii="標楷體" w:eastAsia="標楷體" w:hAnsi="標楷體" w:hint="eastAsia"/>
          <w:b/>
          <w:sz w:val="28"/>
          <w:szCs w:val="28"/>
        </w:rPr>
        <w:t>(二)</w:t>
      </w:r>
      <w:r w:rsidRPr="001B6E4D">
        <w:rPr>
          <w:rFonts w:ascii="標楷體" w:eastAsia="標楷體" w:hAnsi="標楷體"/>
          <w:b/>
          <w:sz w:val="28"/>
          <w:szCs w:val="28"/>
        </w:rPr>
        <w:t>歲出部分</w:t>
      </w:r>
    </w:p>
    <w:p w14:paraId="5BCF95AE" w14:textId="77777777" w:rsidR="00201B77" w:rsidRPr="001B6E4D" w:rsidRDefault="00201B77"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lastRenderedPageBreak/>
        <w:t>第1款 總統府主管</w:t>
      </w:r>
    </w:p>
    <w:p w14:paraId="45AE285A"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第1項 總統府</w:t>
      </w:r>
      <w:r w:rsidRPr="001B6E4D">
        <w:rPr>
          <w:rFonts w:ascii="標楷體" w:eastAsia="標楷體" w:hAnsi="標楷體" w:hint="eastAsia"/>
          <w:color w:val="000000"/>
          <w:sz w:val="28"/>
          <w:szCs w:val="28"/>
        </w:rPr>
        <w:t>原列</w:t>
      </w:r>
      <w:r w:rsidRPr="001B6E4D">
        <w:rPr>
          <w:rFonts w:ascii="標楷體" w:eastAsia="標楷體" w:hAnsi="標楷體"/>
          <w:color w:val="000000"/>
          <w:sz w:val="28"/>
          <w:szCs w:val="28"/>
        </w:rPr>
        <w:t>11億6,381萬1千元，</w:t>
      </w:r>
      <w:r w:rsidRPr="001B6E4D">
        <w:rPr>
          <w:rFonts w:ascii="標楷體" w:eastAsia="標楷體" w:hAnsi="標楷體" w:hint="eastAsia"/>
          <w:color w:val="000000"/>
          <w:sz w:val="28"/>
          <w:szCs w:val="28"/>
        </w:rPr>
        <w:t>減列：</w:t>
      </w:r>
    </w:p>
    <w:p w14:paraId="454ECD00"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proofErr w:type="gramStart"/>
      <w:r w:rsidRPr="001B6E4D">
        <w:rPr>
          <w:rFonts w:ascii="標楷體" w:eastAsia="標楷體" w:hAnsi="標楷體" w:hint="eastAsia"/>
          <w:color w:val="000000"/>
          <w:sz w:val="28"/>
          <w:szCs w:val="28"/>
        </w:rPr>
        <w:t>一</w:t>
      </w:r>
      <w:proofErr w:type="gramEnd"/>
      <w:r w:rsidRPr="001B6E4D">
        <w:rPr>
          <w:rFonts w:ascii="標楷體" w:eastAsia="標楷體" w:hAnsi="標楷體" w:hint="eastAsia"/>
          <w:color w:val="000000"/>
          <w:sz w:val="28"/>
          <w:szCs w:val="28"/>
        </w:rPr>
        <w:t>)「業務費」項下</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教育訓練費</w:t>
      </w:r>
      <w:r w:rsidRPr="001B6E4D">
        <w:rPr>
          <w:rFonts w:ascii="標楷體" w:eastAsia="標楷體" w:hAnsi="標楷體"/>
          <w:color w:val="000000"/>
          <w:sz w:val="28"/>
          <w:szCs w:val="28"/>
        </w:rPr>
        <w:t>」50</w:t>
      </w:r>
      <w:r w:rsidRPr="001B6E4D">
        <w:rPr>
          <w:rFonts w:ascii="標楷體" w:eastAsia="標楷體" w:hAnsi="標楷體" w:hint="eastAsia"/>
          <w:color w:val="000000"/>
          <w:sz w:val="28"/>
          <w:szCs w:val="28"/>
        </w:rPr>
        <w:t>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【2】</w:t>
      </w:r>
    </w:p>
    <w:p w14:paraId="7B1B5DB3"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(二)「業務費」項下</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水電費</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100萬元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【3】</w:t>
      </w:r>
    </w:p>
    <w:p w14:paraId="63E6A106"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(三)「業務費」項下</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通訊費</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1</w:t>
      </w:r>
      <w:r w:rsidRPr="001B6E4D">
        <w:rPr>
          <w:rFonts w:ascii="標楷體" w:eastAsia="標楷體" w:hAnsi="標楷體"/>
          <w:color w:val="000000"/>
          <w:sz w:val="28"/>
          <w:szCs w:val="28"/>
        </w:rPr>
        <w:t>0</w:t>
      </w:r>
      <w:r w:rsidRPr="001B6E4D">
        <w:rPr>
          <w:rFonts w:ascii="標楷體" w:eastAsia="標楷體" w:hAnsi="標楷體" w:hint="eastAsia"/>
          <w:color w:val="000000"/>
          <w:sz w:val="28"/>
          <w:szCs w:val="28"/>
        </w:rPr>
        <w:t>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【4】</w:t>
      </w:r>
    </w:p>
    <w:p w14:paraId="21BC4CE8"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(四)「業務費」項下</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約用人員酬金</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1</w:t>
      </w:r>
      <w:r w:rsidRPr="001B6E4D">
        <w:rPr>
          <w:rFonts w:ascii="標楷體" w:eastAsia="標楷體" w:hAnsi="標楷體"/>
          <w:color w:val="000000"/>
          <w:sz w:val="28"/>
          <w:szCs w:val="28"/>
        </w:rPr>
        <w:t>0</w:t>
      </w:r>
      <w:r w:rsidRPr="001B6E4D">
        <w:rPr>
          <w:rFonts w:ascii="標楷體" w:eastAsia="標楷體" w:hAnsi="標楷體" w:hint="eastAsia"/>
          <w:color w:val="000000"/>
          <w:sz w:val="28"/>
          <w:szCs w:val="28"/>
        </w:rPr>
        <w:t>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【5】</w:t>
      </w:r>
    </w:p>
    <w:p w14:paraId="4FDF1F12"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(五)「業務費」項下</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一般事務費</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20</w:t>
      </w:r>
      <w:r w:rsidRPr="001B6E4D">
        <w:rPr>
          <w:rFonts w:ascii="標楷體" w:eastAsia="標楷體" w:hAnsi="標楷體"/>
          <w:color w:val="000000"/>
          <w:sz w:val="28"/>
          <w:szCs w:val="28"/>
        </w:rPr>
        <w:t>0</w:t>
      </w:r>
      <w:r w:rsidRPr="001B6E4D">
        <w:rPr>
          <w:rFonts w:ascii="標楷體" w:eastAsia="標楷體" w:hAnsi="標楷體" w:hint="eastAsia"/>
          <w:color w:val="000000"/>
          <w:sz w:val="28"/>
          <w:szCs w:val="28"/>
        </w:rPr>
        <w:t>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【7】</w:t>
      </w:r>
    </w:p>
    <w:p w14:paraId="3DB7D79F"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(六)「業務費」項下</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房屋建築養護費</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200萬元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【8】</w:t>
      </w:r>
    </w:p>
    <w:p w14:paraId="50D7BFAF" w14:textId="77777777" w:rsidR="00201B77" w:rsidRPr="001B6E4D" w:rsidRDefault="00201B77" w:rsidP="003D1018">
      <w:pPr>
        <w:overflowPunct w:val="0"/>
        <w:snapToGrid w:val="0"/>
        <w:ind w:leftChars="150" w:left="1900" w:hangingChars="550" w:hanging="15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(七)「業務費」項下</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車輛及辦公器具養護費</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1</w:t>
      </w:r>
      <w:r w:rsidRPr="001B6E4D">
        <w:rPr>
          <w:rFonts w:ascii="標楷體" w:eastAsia="標楷體" w:hAnsi="標楷體"/>
          <w:color w:val="000000"/>
          <w:sz w:val="28"/>
          <w:szCs w:val="28"/>
        </w:rPr>
        <w:t>0</w:t>
      </w:r>
      <w:r w:rsidRPr="001B6E4D">
        <w:rPr>
          <w:rFonts w:ascii="標楷體" w:eastAsia="標楷體" w:hAnsi="標楷體" w:hint="eastAsia"/>
          <w:color w:val="000000"/>
          <w:sz w:val="28"/>
          <w:szCs w:val="28"/>
        </w:rPr>
        <w:t>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【9】</w:t>
      </w:r>
    </w:p>
    <w:p w14:paraId="7FE17D01"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(八)「業務費」項下</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短程車資</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1</w:t>
      </w:r>
      <w:r w:rsidRPr="001B6E4D">
        <w:rPr>
          <w:rFonts w:ascii="標楷體" w:eastAsia="標楷體" w:hAnsi="標楷體"/>
          <w:color w:val="000000"/>
          <w:sz w:val="28"/>
          <w:szCs w:val="28"/>
        </w:rPr>
        <w:t>0</w:t>
      </w:r>
      <w:r w:rsidRPr="001B6E4D">
        <w:rPr>
          <w:rFonts w:ascii="標楷體" w:eastAsia="標楷體" w:hAnsi="標楷體" w:hint="eastAsia"/>
          <w:color w:val="000000"/>
          <w:sz w:val="28"/>
          <w:szCs w:val="28"/>
        </w:rPr>
        <w:t>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【10】</w:t>
      </w:r>
    </w:p>
    <w:p w14:paraId="088586CD" w14:textId="77777777" w:rsidR="00201B77" w:rsidRPr="001B6E4D" w:rsidRDefault="00201B77" w:rsidP="003D1018">
      <w:pPr>
        <w:overflowPunct w:val="0"/>
        <w:snapToGrid w:val="0"/>
        <w:ind w:leftChars="150" w:left="1900" w:hangingChars="550" w:hanging="1540"/>
        <w:jc w:val="both"/>
        <w:rPr>
          <w:rFonts w:ascii="標楷體" w:eastAsia="標楷體" w:hAnsi="標楷體"/>
          <w:color w:val="000000"/>
          <w:sz w:val="28"/>
          <w:szCs w:val="28"/>
          <w:highlight w:val="yellow"/>
        </w:rPr>
      </w:pPr>
      <w:r w:rsidRPr="001B6E4D">
        <w:rPr>
          <w:rFonts w:ascii="標楷體" w:eastAsia="標楷體" w:hAnsi="標楷體" w:hint="eastAsia"/>
          <w:color w:val="000000"/>
          <w:sz w:val="28"/>
          <w:szCs w:val="28"/>
        </w:rPr>
        <w:t xml:space="preserve">       (九)第</w:t>
      </w:r>
      <w:r w:rsidRPr="001B6E4D">
        <w:rPr>
          <w:rFonts w:ascii="標楷體" w:eastAsia="標楷體" w:hAnsi="標楷體"/>
          <w:color w:val="000000"/>
          <w:sz w:val="28"/>
          <w:szCs w:val="28"/>
        </w:rPr>
        <w:t>4</w:t>
      </w:r>
      <w:r w:rsidRPr="001B6E4D">
        <w:rPr>
          <w:rFonts w:ascii="標楷體" w:eastAsia="標楷體" w:hAnsi="標楷體" w:hint="eastAsia"/>
          <w:color w:val="000000"/>
          <w:sz w:val="28"/>
          <w:szCs w:val="28"/>
        </w:rPr>
        <w:t>目</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研究發展</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第1節「國家發展研究及諮詢」項下「國政規劃與諮詢」</w:t>
      </w:r>
      <w:r w:rsidRPr="001B6E4D">
        <w:rPr>
          <w:rFonts w:ascii="標楷體" w:eastAsia="標楷體" w:hAnsi="標楷體"/>
          <w:color w:val="000000"/>
          <w:sz w:val="28"/>
          <w:szCs w:val="28"/>
        </w:rPr>
        <w:t>20</w:t>
      </w:r>
      <w:r w:rsidRPr="001B6E4D">
        <w:rPr>
          <w:rFonts w:ascii="標楷體" w:eastAsia="標楷體" w:hAnsi="標楷體" w:hint="eastAsia"/>
          <w:color w:val="000000"/>
          <w:sz w:val="28"/>
          <w:szCs w:val="28"/>
        </w:rPr>
        <w:t>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【1</w:t>
      </w:r>
      <w:r w:rsidRPr="001B6E4D">
        <w:rPr>
          <w:rFonts w:ascii="標楷體" w:eastAsia="標楷體" w:hAnsi="標楷體"/>
          <w:color w:val="000000"/>
          <w:sz w:val="28"/>
          <w:szCs w:val="28"/>
        </w:rPr>
        <w:t>8</w:t>
      </w:r>
      <w:r w:rsidRPr="001B6E4D">
        <w:rPr>
          <w:rFonts w:ascii="標楷體" w:eastAsia="標楷體" w:hAnsi="標楷體" w:hint="eastAsia"/>
          <w:color w:val="000000"/>
          <w:sz w:val="28"/>
          <w:szCs w:val="28"/>
        </w:rPr>
        <w:t>】</w:t>
      </w:r>
    </w:p>
    <w:p w14:paraId="05912EA2" w14:textId="77777777" w:rsidR="00201B77" w:rsidRPr="001B6E4D" w:rsidRDefault="00201B77" w:rsidP="003D1018">
      <w:pPr>
        <w:overflowPunct w:val="0"/>
        <w:snapToGrid w:val="0"/>
        <w:ind w:leftChars="150" w:left="1900" w:hangingChars="550" w:hanging="15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(十)第</w:t>
      </w:r>
      <w:r w:rsidRPr="001B6E4D">
        <w:rPr>
          <w:rFonts w:ascii="標楷體" w:eastAsia="標楷體" w:hAnsi="標楷體"/>
          <w:color w:val="000000"/>
          <w:sz w:val="28"/>
          <w:szCs w:val="28"/>
        </w:rPr>
        <w:t>5</w:t>
      </w:r>
      <w:r w:rsidRPr="001B6E4D">
        <w:rPr>
          <w:rFonts w:ascii="標楷體" w:eastAsia="標楷體" w:hAnsi="標楷體" w:hint="eastAsia"/>
          <w:color w:val="000000"/>
          <w:sz w:val="28"/>
          <w:szCs w:val="28"/>
        </w:rPr>
        <w:t>目</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新聞發布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50萬元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【2</w:t>
      </w:r>
      <w:r w:rsidRPr="001B6E4D">
        <w:rPr>
          <w:rFonts w:ascii="標楷體" w:eastAsia="標楷體" w:hAnsi="標楷體"/>
          <w:color w:val="000000"/>
          <w:sz w:val="28"/>
          <w:szCs w:val="28"/>
        </w:rPr>
        <w:t>0</w:t>
      </w:r>
      <w:r w:rsidRPr="001B6E4D">
        <w:rPr>
          <w:rFonts w:ascii="標楷體" w:eastAsia="標楷體" w:hAnsi="標楷體" w:hint="eastAsia"/>
          <w:color w:val="000000"/>
          <w:sz w:val="28"/>
          <w:szCs w:val="28"/>
        </w:rPr>
        <w:t>】</w:t>
      </w:r>
    </w:p>
    <w:p w14:paraId="2DB6AD42" w14:textId="77777777" w:rsidR="00201B77" w:rsidRPr="001B6E4D" w:rsidRDefault="00201B77" w:rsidP="003D1018">
      <w:pPr>
        <w:overflowPunct w:val="0"/>
        <w:snapToGrid w:val="0"/>
        <w:ind w:leftChars="150" w:left="1340" w:hangingChars="350" w:hanging="98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以上共計減列</w:t>
      </w:r>
      <w:r w:rsidRPr="001B6E4D">
        <w:rPr>
          <w:rFonts w:ascii="標楷體" w:eastAsia="標楷體" w:hAnsi="標楷體"/>
          <w:color w:val="000000"/>
          <w:sz w:val="28"/>
          <w:szCs w:val="28"/>
        </w:rPr>
        <w:t>66</w:t>
      </w:r>
      <w:r w:rsidRPr="001B6E4D">
        <w:rPr>
          <w:rFonts w:ascii="標楷體" w:eastAsia="標楷體" w:hAnsi="標楷體" w:hint="eastAsia"/>
          <w:color w:val="000000"/>
          <w:sz w:val="28"/>
          <w:szCs w:val="28"/>
        </w:rPr>
        <w:t>0萬元，其餘均</w:t>
      </w:r>
      <w:proofErr w:type="gramStart"/>
      <w:r w:rsidRPr="001B6E4D">
        <w:rPr>
          <w:rFonts w:ascii="標楷體" w:eastAsia="標楷體" w:hAnsi="標楷體" w:hint="eastAsia"/>
          <w:color w:val="000000"/>
          <w:sz w:val="28"/>
          <w:szCs w:val="28"/>
        </w:rPr>
        <w:t>照列</w:t>
      </w:r>
      <w:proofErr w:type="gramEnd"/>
      <w:r w:rsidRPr="001B6E4D">
        <w:rPr>
          <w:rFonts w:ascii="標楷體" w:eastAsia="標楷體" w:hAnsi="標楷體" w:hint="eastAsia"/>
          <w:color w:val="000000"/>
          <w:sz w:val="28"/>
          <w:szCs w:val="28"/>
        </w:rPr>
        <w:t>，改列為</w:t>
      </w:r>
      <w:r w:rsidRPr="001B6E4D">
        <w:rPr>
          <w:rFonts w:ascii="標楷體" w:eastAsia="標楷體" w:hAnsi="標楷體"/>
          <w:color w:val="000000"/>
          <w:sz w:val="28"/>
          <w:szCs w:val="28"/>
        </w:rPr>
        <w:t>11億5,72</w:t>
      </w:r>
      <w:r w:rsidRPr="001B6E4D">
        <w:rPr>
          <w:rFonts w:ascii="標楷體" w:eastAsia="標楷體" w:hAnsi="標楷體" w:hint="eastAsia"/>
          <w:color w:val="000000"/>
          <w:sz w:val="28"/>
          <w:szCs w:val="28"/>
        </w:rPr>
        <w:t>1</w:t>
      </w:r>
      <w:r w:rsidRPr="001B6E4D">
        <w:rPr>
          <w:rFonts w:ascii="標楷體" w:eastAsia="標楷體" w:hAnsi="標楷體"/>
          <w:color w:val="000000"/>
          <w:sz w:val="28"/>
          <w:szCs w:val="28"/>
        </w:rPr>
        <w:t>萬1</w:t>
      </w:r>
      <w:r w:rsidRPr="001B6E4D">
        <w:rPr>
          <w:rFonts w:ascii="標楷體" w:eastAsia="標楷體" w:hAnsi="標楷體" w:hint="eastAsia"/>
          <w:color w:val="000000"/>
          <w:sz w:val="28"/>
          <w:szCs w:val="28"/>
        </w:rPr>
        <w:t>千</w:t>
      </w:r>
      <w:r w:rsidRPr="001B6E4D">
        <w:rPr>
          <w:rFonts w:ascii="標楷體" w:eastAsia="標楷體" w:hAnsi="標楷體"/>
          <w:color w:val="000000"/>
          <w:sz w:val="28"/>
          <w:szCs w:val="28"/>
        </w:rPr>
        <w:t>元</w:t>
      </w:r>
      <w:r w:rsidRPr="001B6E4D">
        <w:rPr>
          <w:rFonts w:ascii="標楷體" w:eastAsia="標楷體" w:hAnsi="標楷體" w:hint="eastAsia"/>
          <w:color w:val="000000"/>
          <w:sz w:val="28"/>
          <w:szCs w:val="28"/>
        </w:rPr>
        <w:t>。</w:t>
      </w:r>
    </w:p>
    <w:p w14:paraId="54217D7D" w14:textId="77777777" w:rsidR="00201B77" w:rsidRPr="001B6E4D" w:rsidRDefault="00201B77"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bCs/>
          <w:sz w:val="28"/>
          <w:szCs w:val="28"/>
        </w:rPr>
        <w:t>本項提案5案，保留，送院會處理</w:t>
      </w:r>
      <w:r w:rsidRPr="001B6E4D">
        <w:rPr>
          <w:rFonts w:ascii="標楷體" w:eastAsia="標楷體" w:hAnsi="標楷體"/>
          <w:b/>
          <w:sz w:val="28"/>
          <w:szCs w:val="28"/>
        </w:rPr>
        <w:t>：</w:t>
      </w:r>
    </w:p>
    <w:p w14:paraId="23D80D50" w14:textId="77777777" w:rsidR="00201B77" w:rsidRPr="001B6E4D" w:rsidRDefault="00201B77" w:rsidP="003D1018">
      <w:pPr>
        <w:pStyle w:val="a"/>
        <w:numPr>
          <w:ilvl w:val="0"/>
          <w:numId w:val="59"/>
        </w:numPr>
        <w:overflowPunct w:val="0"/>
        <w:ind w:left="924" w:hanging="567"/>
      </w:pPr>
      <w:bookmarkStart w:id="498" w:name="_Hlk212035283"/>
      <w:r w:rsidRPr="001B6E4D">
        <w:rPr>
          <w:rFonts w:hint="eastAsia"/>
        </w:rPr>
        <w:t>總統府</w:t>
      </w:r>
      <w:proofErr w:type="gramStart"/>
      <w:r w:rsidRPr="001B6E4D">
        <w:rPr>
          <w:rFonts w:hint="eastAsia"/>
        </w:rPr>
        <w:t>115</w:t>
      </w:r>
      <w:proofErr w:type="gramEnd"/>
      <w:r w:rsidRPr="001B6E4D">
        <w:rPr>
          <w:rFonts w:hint="eastAsia"/>
        </w:rPr>
        <w:t>年度預算案</w:t>
      </w:r>
      <w:r w:rsidRPr="001B6E4D">
        <w:t>編列1,163,811千元，比</w:t>
      </w:r>
      <w:bookmarkStart w:id="499" w:name="_Hlk212801218"/>
      <w:proofErr w:type="gramStart"/>
      <w:r w:rsidRPr="001B6E4D">
        <w:t>114</w:t>
      </w:r>
      <w:proofErr w:type="gramEnd"/>
      <w:r w:rsidRPr="001B6E4D">
        <w:t>年度法定預算1,067,647千元，增加96,164千元（</w:t>
      </w:r>
      <w:r w:rsidRPr="001B6E4D">
        <w:rPr>
          <w:rFonts w:hint="eastAsia"/>
        </w:rPr>
        <w:t>約9千6百萬元</w:t>
      </w:r>
      <w:r w:rsidRPr="001B6E4D">
        <w:t>），成長幅度9.01%。</w:t>
      </w:r>
      <w:bookmarkEnd w:id="499"/>
      <w:r w:rsidRPr="001B6E4D">
        <w:rPr>
          <w:rFonts w:hint="eastAsia"/>
          <w:b/>
          <w:u w:val="thick"/>
        </w:rPr>
        <w:t>114年決算剩餘數63,484千元，約為6千3</w:t>
      </w:r>
      <w:proofErr w:type="gramStart"/>
      <w:r w:rsidRPr="001B6E4D">
        <w:rPr>
          <w:rFonts w:hint="eastAsia"/>
          <w:b/>
          <w:u w:val="thick"/>
        </w:rPr>
        <w:t>百萬</w:t>
      </w:r>
      <w:proofErr w:type="gramEnd"/>
      <w:r w:rsidRPr="001B6E4D">
        <w:rPr>
          <w:rFonts w:hint="eastAsia"/>
          <w:b/>
          <w:u w:val="thick"/>
        </w:rPr>
        <w:t>。</w:t>
      </w:r>
    </w:p>
    <w:p w14:paraId="328374EE" w14:textId="77777777" w:rsidR="00201B77" w:rsidRPr="001B6E4D" w:rsidRDefault="00201B77" w:rsidP="003D1018">
      <w:pPr>
        <w:pStyle w:val="1f7"/>
        <w:overflowPunct w:val="0"/>
      </w:pPr>
      <w:bookmarkStart w:id="500" w:name="_Hlk213077131"/>
      <w:r w:rsidRPr="001B6E4D">
        <w:rPr>
          <w:rFonts w:hint="eastAsia"/>
        </w:rPr>
        <w:t>總統府115年</w:t>
      </w:r>
      <w:bookmarkEnd w:id="500"/>
      <w:r w:rsidRPr="001B6E4D">
        <w:rPr>
          <w:rFonts w:hint="eastAsia"/>
        </w:rPr>
        <w:t>「按日按</w:t>
      </w:r>
      <w:proofErr w:type="gramStart"/>
      <w:r w:rsidRPr="001B6E4D">
        <w:rPr>
          <w:rFonts w:hint="eastAsia"/>
        </w:rPr>
        <w:t>件計資</w:t>
      </w:r>
      <w:proofErr w:type="gramEnd"/>
      <w:r w:rsidRPr="001B6E4D">
        <w:rPr>
          <w:rFonts w:hint="eastAsia"/>
        </w:rPr>
        <w:t>酬金」編列預算</w:t>
      </w:r>
      <w:r w:rsidRPr="001B6E4D">
        <w:t>5,433</w:t>
      </w:r>
      <w:r w:rsidRPr="001B6E4D">
        <w:rPr>
          <w:rFonts w:hint="eastAsia"/>
        </w:rPr>
        <w:t>千元，</w:t>
      </w:r>
      <w:r w:rsidRPr="001B6E4D">
        <w:rPr>
          <w:rFonts w:hint="eastAsia"/>
          <w:b/>
          <w:u w:val="thick"/>
        </w:rPr>
        <w:t>與</w:t>
      </w:r>
      <w:proofErr w:type="gramStart"/>
      <w:r w:rsidRPr="001B6E4D">
        <w:rPr>
          <w:rFonts w:hint="eastAsia"/>
          <w:b/>
          <w:u w:val="thick"/>
        </w:rPr>
        <w:t>114</w:t>
      </w:r>
      <w:proofErr w:type="gramEnd"/>
      <w:r w:rsidRPr="001B6E4D">
        <w:rPr>
          <w:rFonts w:hint="eastAsia"/>
          <w:b/>
          <w:u w:val="thick"/>
        </w:rPr>
        <w:t>年度預算數</w:t>
      </w:r>
      <w:r w:rsidRPr="001B6E4D">
        <w:rPr>
          <w:b/>
          <w:u w:val="thick"/>
        </w:rPr>
        <w:t>5,161</w:t>
      </w:r>
      <w:r w:rsidRPr="001B6E4D">
        <w:rPr>
          <w:rFonts w:hint="eastAsia"/>
          <w:b/>
          <w:u w:val="thick"/>
        </w:rPr>
        <w:t>千元相比，</w:t>
      </w:r>
      <w:bookmarkStart w:id="501" w:name="_Hlk230106211"/>
      <w:bookmarkStart w:id="502" w:name="_Hlk230104256"/>
      <w:r w:rsidRPr="001B6E4D">
        <w:rPr>
          <w:rFonts w:hint="eastAsia"/>
          <w:b/>
          <w:u w:val="thick"/>
        </w:rPr>
        <w:t>增列</w:t>
      </w:r>
      <w:r w:rsidRPr="001B6E4D">
        <w:rPr>
          <w:b/>
          <w:u w:val="thick"/>
        </w:rPr>
        <w:t>272</w:t>
      </w:r>
      <w:r w:rsidRPr="001B6E4D">
        <w:rPr>
          <w:rFonts w:hint="eastAsia"/>
          <w:b/>
          <w:u w:val="thick"/>
        </w:rPr>
        <w:t>千元，成長比例</w:t>
      </w:r>
      <w:r w:rsidRPr="001B6E4D">
        <w:rPr>
          <w:b/>
          <w:u w:val="thick"/>
        </w:rPr>
        <w:t>5.27%</w:t>
      </w:r>
      <w:bookmarkEnd w:id="501"/>
      <w:r w:rsidRPr="001B6E4D">
        <w:rPr>
          <w:rFonts w:hint="eastAsia"/>
          <w:b/>
          <w:u w:val="thick"/>
        </w:rPr>
        <w:t>。</w:t>
      </w:r>
      <w:bookmarkEnd w:id="502"/>
    </w:p>
    <w:tbl>
      <w:tblPr>
        <w:tblpPr w:leftFromText="180" w:rightFromText="180" w:vertAnchor="text" w:horzAnchor="margin" w:tblpX="411" w:tblpY="194"/>
        <w:tblW w:w="86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8"/>
        <w:gridCol w:w="1545"/>
        <w:gridCol w:w="1560"/>
        <w:gridCol w:w="1467"/>
        <w:gridCol w:w="1524"/>
        <w:gridCol w:w="1828"/>
      </w:tblGrid>
      <w:tr w:rsidR="00201B77" w:rsidRPr="001B6E4D" w14:paraId="6DB22B9B" w14:textId="77777777" w:rsidTr="00866112">
        <w:trPr>
          <w:tblHeader/>
        </w:trPr>
        <w:tc>
          <w:tcPr>
            <w:tcW w:w="8632" w:type="dxa"/>
            <w:gridSpan w:val="6"/>
          </w:tcPr>
          <w:p w14:paraId="78299125" w14:textId="77777777" w:rsidR="00201B77" w:rsidRPr="001B6E4D" w:rsidRDefault="00201B77" w:rsidP="003D1018">
            <w:pPr>
              <w:overflowPunct w:val="0"/>
              <w:spacing w:line="280" w:lineRule="exact"/>
              <w:jc w:val="center"/>
              <w:rPr>
                <w:rFonts w:ascii="標楷體" w:eastAsia="標楷體" w:hAnsi="標楷體" w:cstheme="minorHAnsi"/>
                <w:b/>
                <w:bCs/>
              </w:rPr>
            </w:pPr>
            <w:r w:rsidRPr="001B6E4D">
              <w:rPr>
                <w:rFonts w:ascii="標楷體" w:eastAsia="標楷體" w:hAnsi="標楷體" w:cstheme="minorHAnsi" w:hint="eastAsia"/>
                <w:b/>
                <w:bCs/>
              </w:rPr>
              <w:t>按日按</w:t>
            </w:r>
            <w:proofErr w:type="gramStart"/>
            <w:r w:rsidRPr="001B6E4D">
              <w:rPr>
                <w:rFonts w:ascii="標楷體" w:eastAsia="標楷體" w:hAnsi="標楷體" w:cstheme="minorHAnsi" w:hint="eastAsia"/>
                <w:b/>
                <w:bCs/>
              </w:rPr>
              <w:t>件計資</w:t>
            </w:r>
            <w:proofErr w:type="gramEnd"/>
            <w:r w:rsidRPr="001B6E4D">
              <w:rPr>
                <w:rFonts w:ascii="標楷體" w:eastAsia="標楷體" w:hAnsi="標楷體" w:cstheme="minorHAnsi" w:hint="eastAsia"/>
                <w:b/>
                <w:bCs/>
              </w:rPr>
              <w:t>酬金</w:t>
            </w:r>
          </w:p>
        </w:tc>
      </w:tr>
      <w:tr w:rsidR="00201B77" w:rsidRPr="001B6E4D" w14:paraId="575D3861" w14:textId="77777777" w:rsidTr="00866112">
        <w:trPr>
          <w:tblHeader/>
        </w:trPr>
        <w:tc>
          <w:tcPr>
            <w:tcW w:w="708" w:type="dxa"/>
          </w:tcPr>
          <w:p w14:paraId="673FBA30"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年度</w:t>
            </w:r>
          </w:p>
        </w:tc>
        <w:tc>
          <w:tcPr>
            <w:tcW w:w="1545" w:type="dxa"/>
          </w:tcPr>
          <w:p w14:paraId="12D6BE66"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預算數/千元</w:t>
            </w:r>
          </w:p>
        </w:tc>
        <w:tc>
          <w:tcPr>
            <w:tcW w:w="1560" w:type="dxa"/>
          </w:tcPr>
          <w:p w14:paraId="5353054D"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決算數/千元</w:t>
            </w:r>
          </w:p>
        </w:tc>
        <w:tc>
          <w:tcPr>
            <w:tcW w:w="1467" w:type="dxa"/>
          </w:tcPr>
          <w:p w14:paraId="32FF484B"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執行率</w:t>
            </w:r>
          </w:p>
        </w:tc>
        <w:tc>
          <w:tcPr>
            <w:tcW w:w="1524" w:type="dxa"/>
            <w:shd w:val="clear" w:color="auto" w:fill="auto"/>
            <w:vAlign w:val="center"/>
          </w:tcPr>
          <w:p w14:paraId="06853F9D"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剩餘數/千元</w:t>
            </w:r>
          </w:p>
        </w:tc>
        <w:tc>
          <w:tcPr>
            <w:tcW w:w="1828" w:type="dxa"/>
            <w:shd w:val="clear" w:color="auto" w:fill="auto"/>
            <w:vAlign w:val="center"/>
          </w:tcPr>
          <w:p w14:paraId="40E61FC2"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備註</w:t>
            </w:r>
          </w:p>
        </w:tc>
      </w:tr>
      <w:tr w:rsidR="00201B77" w:rsidRPr="001B6E4D" w14:paraId="6217C9BE" w14:textId="77777777" w:rsidTr="00866112">
        <w:tc>
          <w:tcPr>
            <w:tcW w:w="708" w:type="dxa"/>
          </w:tcPr>
          <w:p w14:paraId="2E48D873"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112</w:t>
            </w:r>
          </w:p>
        </w:tc>
        <w:tc>
          <w:tcPr>
            <w:tcW w:w="1545" w:type="dxa"/>
          </w:tcPr>
          <w:p w14:paraId="3BA48D3E"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4,614 </w:t>
            </w:r>
          </w:p>
        </w:tc>
        <w:tc>
          <w:tcPr>
            <w:tcW w:w="1560" w:type="dxa"/>
          </w:tcPr>
          <w:p w14:paraId="32CB58B8" w14:textId="77777777" w:rsidR="00201B77" w:rsidRPr="001B6E4D" w:rsidRDefault="00201B77" w:rsidP="003D1018">
            <w:pPr>
              <w:overflowPunct w:val="0"/>
              <w:spacing w:line="280" w:lineRule="exact"/>
              <w:jc w:val="right"/>
              <w:rPr>
                <w:rFonts w:ascii="標楷體" w:eastAsia="標楷體" w:hAnsi="標楷體" w:cstheme="minorHAnsi"/>
                <w:b/>
              </w:rPr>
            </w:pPr>
            <w:r w:rsidRPr="001B6E4D">
              <w:rPr>
                <w:rFonts w:ascii="標楷體" w:eastAsia="標楷體" w:hAnsi="標楷體"/>
              </w:rPr>
              <w:t xml:space="preserve">3,673 </w:t>
            </w:r>
          </w:p>
        </w:tc>
        <w:tc>
          <w:tcPr>
            <w:tcW w:w="1467" w:type="dxa"/>
          </w:tcPr>
          <w:p w14:paraId="3E17527A" w14:textId="77777777" w:rsidR="00201B77" w:rsidRPr="001B6E4D" w:rsidRDefault="00201B77" w:rsidP="003D1018">
            <w:pPr>
              <w:overflowPunct w:val="0"/>
              <w:spacing w:line="280" w:lineRule="exact"/>
              <w:jc w:val="right"/>
              <w:rPr>
                <w:rFonts w:ascii="標楷體" w:eastAsia="標楷體" w:hAnsi="標楷體" w:cstheme="minorHAnsi"/>
                <w:b/>
                <w:sz w:val="20"/>
                <w:szCs w:val="20"/>
              </w:rPr>
            </w:pPr>
            <w:r w:rsidRPr="001B6E4D">
              <w:rPr>
                <w:rFonts w:ascii="標楷體" w:eastAsia="標楷體" w:hAnsi="標楷體"/>
              </w:rPr>
              <w:t>79.60%</w:t>
            </w:r>
          </w:p>
        </w:tc>
        <w:tc>
          <w:tcPr>
            <w:tcW w:w="1524" w:type="dxa"/>
            <w:shd w:val="clear" w:color="auto" w:fill="auto"/>
          </w:tcPr>
          <w:p w14:paraId="1FC3DEAD"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941 </w:t>
            </w:r>
          </w:p>
        </w:tc>
        <w:tc>
          <w:tcPr>
            <w:tcW w:w="1828" w:type="dxa"/>
            <w:shd w:val="clear" w:color="auto" w:fill="auto"/>
          </w:tcPr>
          <w:p w14:paraId="384249D9"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33F8371F" w14:textId="77777777" w:rsidTr="00866112">
        <w:tc>
          <w:tcPr>
            <w:tcW w:w="708" w:type="dxa"/>
          </w:tcPr>
          <w:p w14:paraId="45A37BE7"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113</w:t>
            </w:r>
          </w:p>
        </w:tc>
        <w:tc>
          <w:tcPr>
            <w:tcW w:w="1545" w:type="dxa"/>
          </w:tcPr>
          <w:p w14:paraId="2BD52CC1"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4,641 </w:t>
            </w:r>
          </w:p>
        </w:tc>
        <w:tc>
          <w:tcPr>
            <w:tcW w:w="1560" w:type="dxa"/>
          </w:tcPr>
          <w:p w14:paraId="2C22A7CE"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4,291 </w:t>
            </w:r>
          </w:p>
        </w:tc>
        <w:tc>
          <w:tcPr>
            <w:tcW w:w="1467" w:type="dxa"/>
          </w:tcPr>
          <w:p w14:paraId="488C4C72" w14:textId="77777777" w:rsidR="00201B77" w:rsidRPr="001B6E4D" w:rsidRDefault="00201B77" w:rsidP="003D1018">
            <w:pPr>
              <w:overflowPunct w:val="0"/>
              <w:spacing w:line="280" w:lineRule="exact"/>
              <w:jc w:val="right"/>
              <w:rPr>
                <w:rFonts w:ascii="標楷體" w:eastAsia="標楷體" w:hAnsi="標楷體" w:cstheme="minorHAnsi"/>
                <w:sz w:val="20"/>
                <w:szCs w:val="20"/>
              </w:rPr>
            </w:pPr>
            <w:r w:rsidRPr="001B6E4D">
              <w:rPr>
                <w:rFonts w:ascii="標楷體" w:eastAsia="標楷體" w:hAnsi="標楷體"/>
              </w:rPr>
              <w:t>92.47%</w:t>
            </w:r>
          </w:p>
        </w:tc>
        <w:tc>
          <w:tcPr>
            <w:tcW w:w="1524" w:type="dxa"/>
            <w:shd w:val="clear" w:color="auto" w:fill="auto"/>
          </w:tcPr>
          <w:p w14:paraId="495D9D9C"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350 </w:t>
            </w:r>
          </w:p>
        </w:tc>
        <w:tc>
          <w:tcPr>
            <w:tcW w:w="1828" w:type="dxa"/>
            <w:shd w:val="clear" w:color="auto" w:fill="auto"/>
          </w:tcPr>
          <w:p w14:paraId="27744E9A"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1EEC6FAC" w14:textId="77777777" w:rsidTr="00866112">
        <w:tc>
          <w:tcPr>
            <w:tcW w:w="708" w:type="dxa"/>
          </w:tcPr>
          <w:p w14:paraId="54677D8C" w14:textId="77777777" w:rsidR="00201B77" w:rsidRPr="001B6E4D" w:rsidRDefault="00201B77" w:rsidP="003D1018">
            <w:pPr>
              <w:overflowPunct w:val="0"/>
              <w:spacing w:line="280" w:lineRule="exact"/>
              <w:jc w:val="center"/>
              <w:rPr>
                <w:rFonts w:ascii="標楷體" w:eastAsia="標楷體" w:hAnsi="標楷體" w:cstheme="minorHAnsi"/>
              </w:rPr>
            </w:pPr>
            <w:bookmarkStart w:id="503" w:name="_Hlk230106061"/>
            <w:r w:rsidRPr="001B6E4D">
              <w:rPr>
                <w:rFonts w:ascii="標楷體" w:eastAsia="標楷體" w:hAnsi="標楷體" w:cstheme="minorHAnsi" w:hint="eastAsia"/>
              </w:rPr>
              <w:t>114</w:t>
            </w:r>
          </w:p>
        </w:tc>
        <w:tc>
          <w:tcPr>
            <w:tcW w:w="1545" w:type="dxa"/>
          </w:tcPr>
          <w:p w14:paraId="2148432C"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5,161 </w:t>
            </w:r>
          </w:p>
        </w:tc>
        <w:tc>
          <w:tcPr>
            <w:tcW w:w="1560" w:type="dxa"/>
          </w:tcPr>
          <w:p w14:paraId="6C45A442"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3,675 </w:t>
            </w:r>
          </w:p>
        </w:tc>
        <w:tc>
          <w:tcPr>
            <w:tcW w:w="1467" w:type="dxa"/>
          </w:tcPr>
          <w:p w14:paraId="46BB576F" w14:textId="77777777" w:rsidR="00201B77" w:rsidRPr="001B6E4D" w:rsidRDefault="00201B77" w:rsidP="003D1018">
            <w:pPr>
              <w:overflowPunct w:val="0"/>
              <w:spacing w:line="280" w:lineRule="exact"/>
              <w:jc w:val="right"/>
              <w:rPr>
                <w:rFonts w:ascii="標楷體" w:eastAsia="標楷體" w:hAnsi="標楷體" w:cstheme="minorHAnsi"/>
                <w:b/>
                <w:sz w:val="22"/>
              </w:rPr>
            </w:pPr>
            <w:r w:rsidRPr="001B6E4D">
              <w:rPr>
                <w:rFonts w:ascii="標楷體" w:eastAsia="標楷體" w:hAnsi="標楷體"/>
              </w:rPr>
              <w:t>71.20%</w:t>
            </w:r>
          </w:p>
        </w:tc>
        <w:tc>
          <w:tcPr>
            <w:tcW w:w="1524" w:type="dxa"/>
            <w:shd w:val="clear" w:color="auto" w:fill="auto"/>
          </w:tcPr>
          <w:p w14:paraId="1C16270D"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1,486 </w:t>
            </w:r>
          </w:p>
        </w:tc>
        <w:tc>
          <w:tcPr>
            <w:tcW w:w="1828" w:type="dxa"/>
            <w:shd w:val="clear" w:color="auto" w:fill="auto"/>
          </w:tcPr>
          <w:p w14:paraId="18E4DC84" w14:textId="77777777" w:rsidR="00201B77" w:rsidRPr="001B6E4D" w:rsidRDefault="00201B77" w:rsidP="003D1018">
            <w:pPr>
              <w:overflowPunct w:val="0"/>
              <w:spacing w:line="280" w:lineRule="exact"/>
              <w:jc w:val="center"/>
              <w:rPr>
                <w:rFonts w:ascii="標楷體" w:eastAsia="標楷體" w:hAnsi="標楷體" w:cstheme="minorHAnsi"/>
              </w:rPr>
            </w:pPr>
          </w:p>
        </w:tc>
      </w:tr>
      <w:bookmarkEnd w:id="503"/>
      <w:tr w:rsidR="00201B77" w:rsidRPr="001B6E4D" w14:paraId="5029941F" w14:textId="77777777" w:rsidTr="00866112">
        <w:tc>
          <w:tcPr>
            <w:tcW w:w="708" w:type="dxa"/>
          </w:tcPr>
          <w:p w14:paraId="6F84EA68"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115</w:t>
            </w:r>
          </w:p>
        </w:tc>
        <w:tc>
          <w:tcPr>
            <w:tcW w:w="1545" w:type="dxa"/>
          </w:tcPr>
          <w:p w14:paraId="59217836"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cstheme="minorHAnsi"/>
              </w:rPr>
              <w:t>5,433</w:t>
            </w:r>
          </w:p>
        </w:tc>
        <w:tc>
          <w:tcPr>
            <w:tcW w:w="1560" w:type="dxa"/>
          </w:tcPr>
          <w:p w14:paraId="740DA720"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cstheme="minorHAnsi" w:hint="eastAsia"/>
              </w:rPr>
              <w:t>1</w:t>
            </w:r>
            <w:r w:rsidRPr="001B6E4D">
              <w:rPr>
                <w:rFonts w:ascii="標楷體" w:eastAsia="標楷體" w:hAnsi="標楷體" w:cstheme="minorHAnsi"/>
              </w:rPr>
              <w:t>,166</w:t>
            </w:r>
          </w:p>
        </w:tc>
        <w:tc>
          <w:tcPr>
            <w:tcW w:w="1467" w:type="dxa"/>
          </w:tcPr>
          <w:p w14:paraId="4AD16BF6"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cstheme="minorHAnsi"/>
              </w:rPr>
              <w:t>21.46％</w:t>
            </w:r>
          </w:p>
        </w:tc>
        <w:tc>
          <w:tcPr>
            <w:tcW w:w="1524" w:type="dxa"/>
            <w:shd w:val="clear" w:color="auto" w:fill="auto"/>
          </w:tcPr>
          <w:p w14:paraId="5F27A797" w14:textId="77777777" w:rsidR="00201B77" w:rsidRPr="001B6E4D" w:rsidRDefault="00201B77" w:rsidP="003D1018">
            <w:pPr>
              <w:overflowPunct w:val="0"/>
              <w:spacing w:line="280" w:lineRule="exact"/>
              <w:jc w:val="right"/>
              <w:rPr>
                <w:rFonts w:ascii="標楷體" w:eastAsia="標楷體" w:hAnsi="標楷體" w:cstheme="minorHAnsi"/>
              </w:rPr>
            </w:pPr>
          </w:p>
        </w:tc>
        <w:tc>
          <w:tcPr>
            <w:tcW w:w="1828" w:type="dxa"/>
            <w:shd w:val="clear" w:color="auto" w:fill="auto"/>
          </w:tcPr>
          <w:p w14:paraId="0F5522ED" w14:textId="77777777" w:rsidR="00201B77" w:rsidRPr="001B6E4D" w:rsidRDefault="00201B77" w:rsidP="003D1018">
            <w:pPr>
              <w:overflowPunct w:val="0"/>
              <w:spacing w:line="280" w:lineRule="exact"/>
              <w:jc w:val="right"/>
              <w:rPr>
                <w:rFonts w:ascii="標楷體" w:eastAsia="標楷體" w:hAnsi="標楷體" w:cstheme="minorHAnsi"/>
                <w:spacing w:val="-20"/>
                <w:sz w:val="20"/>
                <w:szCs w:val="20"/>
              </w:rPr>
            </w:pPr>
            <w:r w:rsidRPr="001B6E4D">
              <w:rPr>
                <w:rFonts w:ascii="標楷體" w:eastAsia="標楷體" w:hAnsi="標楷體" w:cstheme="minorHAnsi" w:hint="eastAsia"/>
                <w:spacing w:val="-20"/>
                <w:sz w:val="20"/>
                <w:szCs w:val="20"/>
              </w:rPr>
              <w:t>截至1</w:t>
            </w:r>
            <w:r w:rsidRPr="001B6E4D">
              <w:rPr>
                <w:rFonts w:ascii="標楷體" w:eastAsia="標楷體" w:hAnsi="標楷體" w:cstheme="minorHAnsi"/>
                <w:spacing w:val="-20"/>
                <w:sz w:val="20"/>
                <w:szCs w:val="20"/>
              </w:rPr>
              <w:t>15</w:t>
            </w:r>
            <w:r w:rsidRPr="001B6E4D">
              <w:rPr>
                <w:rFonts w:ascii="標楷體" w:eastAsia="標楷體" w:hAnsi="標楷體" w:cstheme="minorHAnsi" w:hint="eastAsia"/>
                <w:spacing w:val="-20"/>
                <w:sz w:val="20"/>
                <w:szCs w:val="20"/>
              </w:rPr>
              <w:t>年4月3</w:t>
            </w:r>
            <w:r w:rsidRPr="001B6E4D">
              <w:rPr>
                <w:rFonts w:ascii="標楷體" w:eastAsia="標楷體" w:hAnsi="標楷體" w:cstheme="minorHAnsi"/>
                <w:spacing w:val="-20"/>
                <w:sz w:val="20"/>
                <w:szCs w:val="20"/>
              </w:rPr>
              <w:t>0</w:t>
            </w:r>
            <w:r w:rsidRPr="001B6E4D">
              <w:rPr>
                <w:rFonts w:ascii="標楷體" w:eastAsia="標楷體" w:hAnsi="標楷體" w:cstheme="minorHAnsi" w:hint="eastAsia"/>
                <w:spacing w:val="-20"/>
                <w:sz w:val="20"/>
                <w:szCs w:val="20"/>
              </w:rPr>
              <w:t>日</w:t>
            </w:r>
          </w:p>
        </w:tc>
      </w:tr>
    </w:tbl>
    <w:bookmarkEnd w:id="498"/>
    <w:p w14:paraId="662441AD" w14:textId="77777777" w:rsidR="00201B77" w:rsidRPr="001B6E4D" w:rsidRDefault="00201B77" w:rsidP="003D1018">
      <w:pPr>
        <w:pStyle w:val="1f7"/>
        <w:overflowPunct w:val="0"/>
      </w:pPr>
      <w:r w:rsidRPr="001B6E4D">
        <w:rPr>
          <w:rFonts w:hint="eastAsia"/>
        </w:rPr>
        <w:t>經查總統府近三年決算書資料如上表，「按日按</w:t>
      </w:r>
      <w:proofErr w:type="gramStart"/>
      <w:r w:rsidRPr="001B6E4D">
        <w:rPr>
          <w:rFonts w:hint="eastAsia"/>
        </w:rPr>
        <w:t>件計資</w:t>
      </w:r>
      <w:proofErr w:type="gramEnd"/>
      <w:r w:rsidRPr="001B6E4D">
        <w:rPr>
          <w:rFonts w:hint="eastAsia"/>
        </w:rPr>
        <w:t>酬金」近三年平均執行率為8</w:t>
      </w:r>
      <w:r w:rsidRPr="001B6E4D">
        <w:t>1</w:t>
      </w:r>
      <w:r w:rsidRPr="001B6E4D">
        <w:rPr>
          <w:rFonts w:hint="eastAsia"/>
        </w:rPr>
        <w:t>.</w:t>
      </w:r>
      <w:r w:rsidRPr="001B6E4D">
        <w:t>09</w:t>
      </w:r>
      <w:r w:rsidRPr="001B6E4D">
        <w:rPr>
          <w:rFonts w:hint="eastAsia"/>
        </w:rPr>
        <w:t>％，</w:t>
      </w:r>
      <w:r w:rsidRPr="001B6E4D">
        <w:rPr>
          <w:rFonts w:hint="eastAsia"/>
          <w:b/>
          <w:bCs/>
          <w:u w:val="thick"/>
        </w:rPr>
        <w:t>而</w:t>
      </w:r>
      <w:proofErr w:type="gramStart"/>
      <w:r w:rsidRPr="001B6E4D">
        <w:rPr>
          <w:rFonts w:hint="eastAsia"/>
          <w:b/>
          <w:bCs/>
          <w:u w:val="thick"/>
        </w:rPr>
        <w:t>1</w:t>
      </w:r>
      <w:r w:rsidRPr="001B6E4D">
        <w:rPr>
          <w:b/>
          <w:bCs/>
          <w:u w:val="thick"/>
        </w:rPr>
        <w:t>14</w:t>
      </w:r>
      <w:proofErr w:type="gramEnd"/>
      <w:r w:rsidRPr="001B6E4D">
        <w:rPr>
          <w:rFonts w:hint="eastAsia"/>
          <w:b/>
          <w:bCs/>
          <w:u w:val="thick"/>
        </w:rPr>
        <w:t>年度執行率更低至僅有7</w:t>
      </w:r>
      <w:r w:rsidRPr="001B6E4D">
        <w:rPr>
          <w:b/>
          <w:bCs/>
          <w:u w:val="thick"/>
        </w:rPr>
        <w:t>1.2</w:t>
      </w:r>
      <w:r w:rsidRPr="001B6E4D">
        <w:rPr>
          <w:rFonts w:hint="eastAsia"/>
          <w:b/>
          <w:bCs/>
          <w:u w:val="thick"/>
        </w:rPr>
        <w:t>％</w:t>
      </w:r>
      <w:r w:rsidRPr="001B6E4D">
        <w:rPr>
          <w:rFonts w:hint="eastAsia"/>
        </w:rPr>
        <w:t>；剩餘數從3</w:t>
      </w:r>
      <w:r w:rsidRPr="001B6E4D">
        <w:t>50</w:t>
      </w:r>
      <w:r w:rsidRPr="001B6E4D">
        <w:rPr>
          <w:rFonts w:hint="eastAsia"/>
        </w:rPr>
        <w:t>千元到1</w:t>
      </w:r>
      <w:r w:rsidRPr="001B6E4D">
        <w:t>,486</w:t>
      </w:r>
      <w:r w:rsidRPr="001B6E4D">
        <w:rPr>
          <w:rFonts w:hint="eastAsia"/>
        </w:rPr>
        <w:t>千元</w:t>
      </w:r>
      <w:proofErr w:type="gramStart"/>
      <w:r w:rsidRPr="001B6E4D">
        <w:rPr>
          <w:rFonts w:hint="eastAsia"/>
        </w:rPr>
        <w:t>之間，</w:t>
      </w:r>
      <w:proofErr w:type="gramEnd"/>
      <w:r w:rsidRPr="001B6E4D">
        <w:rPr>
          <w:rFonts w:hint="eastAsia"/>
        </w:rPr>
        <w:t>顯見，原有經費編列與實際需求之間存有相當落差，致使經費運用效益低落。</w:t>
      </w:r>
    </w:p>
    <w:p w14:paraId="17F87094" w14:textId="77777777" w:rsidR="00201B77" w:rsidRPr="001B6E4D" w:rsidRDefault="00201B77" w:rsidP="003D1018">
      <w:pPr>
        <w:pStyle w:val="1f7"/>
        <w:overflowPunct w:val="0"/>
      </w:pPr>
      <w:r w:rsidRPr="001B6E4D">
        <w:rPr>
          <w:rFonts w:hint="eastAsia"/>
        </w:rPr>
        <w:t>然，115年中央政府總預算連同特別預算，</w:t>
      </w:r>
      <w:proofErr w:type="gramStart"/>
      <w:r w:rsidRPr="001B6E4D">
        <w:rPr>
          <w:rFonts w:hint="eastAsia"/>
        </w:rPr>
        <w:t>已需舉</w:t>
      </w:r>
      <w:proofErr w:type="gramEnd"/>
      <w:r w:rsidRPr="001B6E4D">
        <w:rPr>
          <w:rFonts w:hint="eastAsia"/>
        </w:rPr>
        <w:t>債高達4千億元。政府各單位更應量入為出、</w:t>
      </w:r>
      <w:proofErr w:type="gramStart"/>
      <w:r w:rsidRPr="001B6E4D">
        <w:rPr>
          <w:rFonts w:hint="eastAsia"/>
        </w:rPr>
        <w:t>撙</w:t>
      </w:r>
      <w:proofErr w:type="gramEnd"/>
      <w:r w:rsidRPr="001B6E4D">
        <w:rPr>
          <w:rFonts w:hint="eastAsia"/>
        </w:rPr>
        <w:t>節公</w:t>
      </w:r>
      <w:proofErr w:type="gramStart"/>
      <w:r w:rsidRPr="001B6E4D">
        <w:rPr>
          <w:rFonts w:hint="eastAsia"/>
        </w:rPr>
        <w:t>帑</w:t>
      </w:r>
      <w:proofErr w:type="gramEnd"/>
      <w:r w:rsidRPr="001B6E4D">
        <w:rPr>
          <w:rFonts w:hint="eastAsia"/>
        </w:rPr>
        <w:t>，</w:t>
      </w:r>
      <w:proofErr w:type="gramStart"/>
      <w:r w:rsidRPr="001B6E4D">
        <w:rPr>
          <w:rFonts w:hint="eastAsia"/>
        </w:rPr>
        <w:t>減列非必要</w:t>
      </w:r>
      <w:proofErr w:type="gramEnd"/>
      <w:r w:rsidRPr="001B6E4D">
        <w:rPr>
          <w:rFonts w:hint="eastAsia"/>
        </w:rPr>
        <w:t>、非急迫性的支出，以降低國庫舉債、</w:t>
      </w:r>
      <w:proofErr w:type="gramStart"/>
      <w:r w:rsidRPr="001B6E4D">
        <w:rPr>
          <w:rFonts w:hint="eastAsia"/>
        </w:rPr>
        <w:t>債留子孫</w:t>
      </w:r>
      <w:proofErr w:type="gramEnd"/>
      <w:r w:rsidRPr="001B6E4D">
        <w:rPr>
          <w:rFonts w:hint="eastAsia"/>
        </w:rPr>
        <w:t>的壓力。</w:t>
      </w:r>
    </w:p>
    <w:p w14:paraId="3103925E" w14:textId="77777777" w:rsidR="00201B77" w:rsidRPr="001B6E4D" w:rsidRDefault="00201B77" w:rsidP="003D1018">
      <w:pPr>
        <w:pStyle w:val="1f7"/>
        <w:overflowPunct w:val="0"/>
      </w:pPr>
      <w:proofErr w:type="gramStart"/>
      <w:r w:rsidRPr="001B6E4D">
        <w:rPr>
          <w:rFonts w:hint="eastAsia"/>
        </w:rPr>
        <w:t>且</w:t>
      </w:r>
      <w:proofErr w:type="gramEnd"/>
      <w:r w:rsidRPr="001B6E4D">
        <w:rPr>
          <w:rFonts w:hint="eastAsia"/>
        </w:rPr>
        <w:t>，賴總統為回應美國對台灣應大幅增加國防支出的強硬</w:t>
      </w:r>
      <w:r w:rsidRPr="001B6E4D">
        <w:rPr>
          <w:rFonts w:hint="eastAsia"/>
        </w:rPr>
        <w:lastRenderedPageBreak/>
        <w:t>立場與關切壓力，</w:t>
      </w:r>
      <w:proofErr w:type="gramStart"/>
      <w:r w:rsidRPr="001B6E4D">
        <w:rPr>
          <w:rFonts w:hint="eastAsia"/>
        </w:rPr>
        <w:t>115</w:t>
      </w:r>
      <w:proofErr w:type="gramEnd"/>
      <w:r w:rsidRPr="001B6E4D">
        <w:rPr>
          <w:rFonts w:hint="eastAsia"/>
        </w:rPr>
        <w:t>年度國防支出已創下歷史新高，達9495億新台幣；大舉增加國防支出，必定會嚴重排擠年度的教育、文化等支出，亦即，各</w:t>
      </w:r>
      <w:proofErr w:type="gramStart"/>
      <w:r w:rsidRPr="001B6E4D">
        <w:rPr>
          <w:rFonts w:hint="eastAsia"/>
        </w:rPr>
        <w:t>部會應勒緊</w:t>
      </w:r>
      <w:proofErr w:type="gramEnd"/>
      <w:r w:rsidRPr="001B6E4D">
        <w:rPr>
          <w:rFonts w:hint="eastAsia"/>
        </w:rPr>
        <w:t>褲帶，共體時</w:t>
      </w:r>
      <w:proofErr w:type="gramStart"/>
      <w:r w:rsidRPr="001B6E4D">
        <w:rPr>
          <w:rFonts w:hint="eastAsia"/>
        </w:rPr>
        <w:t>艱</w:t>
      </w:r>
      <w:proofErr w:type="gramEnd"/>
      <w:r w:rsidRPr="001B6E4D">
        <w:rPr>
          <w:rFonts w:hint="eastAsia"/>
        </w:rPr>
        <w:t>、以</w:t>
      </w:r>
      <w:proofErr w:type="gramStart"/>
      <w:r w:rsidRPr="001B6E4D">
        <w:rPr>
          <w:rFonts w:hint="eastAsia"/>
        </w:rPr>
        <w:t>撙</w:t>
      </w:r>
      <w:proofErr w:type="gramEnd"/>
      <w:r w:rsidRPr="001B6E4D">
        <w:rPr>
          <w:rFonts w:hint="eastAsia"/>
        </w:rPr>
        <w:t>節支出的具體行動，來呼應賴總統對美方要求大幅增加國防支出的承諾。</w:t>
      </w:r>
    </w:p>
    <w:p w14:paraId="7112E741" w14:textId="77777777" w:rsidR="00201B77" w:rsidRPr="001B6E4D" w:rsidRDefault="00201B77" w:rsidP="003D1018">
      <w:pPr>
        <w:pStyle w:val="1f7"/>
        <w:overflowPunct w:val="0"/>
      </w:pPr>
      <w:proofErr w:type="gramStart"/>
      <w:r w:rsidRPr="001B6E4D">
        <w:rPr>
          <w:rFonts w:hint="eastAsia"/>
        </w:rPr>
        <w:t>惟</w:t>
      </w:r>
      <w:proofErr w:type="gramEnd"/>
      <w:r w:rsidRPr="001B6E4D">
        <w:rPr>
          <w:rFonts w:hint="eastAsia"/>
        </w:rPr>
        <w:t>總統府</w:t>
      </w:r>
      <w:proofErr w:type="gramStart"/>
      <w:r w:rsidRPr="001B6E4D">
        <w:rPr>
          <w:rFonts w:hint="eastAsia"/>
        </w:rPr>
        <w:t>115</w:t>
      </w:r>
      <w:proofErr w:type="gramEnd"/>
      <w:r w:rsidRPr="001B6E4D">
        <w:rPr>
          <w:rFonts w:hint="eastAsia"/>
        </w:rPr>
        <w:t>年度預算案仍編列「按日按</w:t>
      </w:r>
      <w:proofErr w:type="gramStart"/>
      <w:r w:rsidRPr="001B6E4D">
        <w:rPr>
          <w:rFonts w:hint="eastAsia"/>
        </w:rPr>
        <w:t>件計資</w:t>
      </w:r>
      <w:proofErr w:type="gramEnd"/>
      <w:r w:rsidRPr="001B6E4D">
        <w:rPr>
          <w:rFonts w:hint="eastAsia"/>
        </w:rPr>
        <w:t>酬金」</w:t>
      </w:r>
      <w:r w:rsidRPr="001B6E4D">
        <w:t>5,433</w:t>
      </w:r>
      <w:r w:rsidRPr="001B6E4D">
        <w:rPr>
          <w:rFonts w:hint="eastAsia"/>
        </w:rPr>
        <w:t>千元，與114年法定預算相比，增列272千元，成長比例5.27%。為兌現賴總統對美方的承諾，且為配合國防支出大幅增加之影響而必須</w:t>
      </w:r>
      <w:proofErr w:type="gramStart"/>
      <w:r w:rsidRPr="001B6E4D">
        <w:rPr>
          <w:rFonts w:hint="eastAsia"/>
        </w:rPr>
        <w:t>撙</w:t>
      </w:r>
      <w:proofErr w:type="gramEnd"/>
      <w:r w:rsidRPr="001B6E4D">
        <w:rPr>
          <w:rFonts w:hint="eastAsia"/>
        </w:rPr>
        <w:t>節經費，</w:t>
      </w:r>
      <w:proofErr w:type="gramStart"/>
      <w:r w:rsidRPr="001B6E4D">
        <w:rPr>
          <w:rFonts w:hint="eastAsia"/>
          <w:b/>
          <w:u w:val="thick"/>
        </w:rPr>
        <w:t>爰</w:t>
      </w:r>
      <w:proofErr w:type="gramEnd"/>
      <w:r w:rsidRPr="001B6E4D">
        <w:rPr>
          <w:rFonts w:hint="eastAsia"/>
          <w:b/>
          <w:u w:val="thick"/>
        </w:rPr>
        <w:t>提案減列1</w:t>
      </w:r>
      <w:r w:rsidRPr="001B6E4D">
        <w:rPr>
          <w:b/>
          <w:u w:val="thick"/>
        </w:rPr>
        <w:t>35</w:t>
      </w:r>
      <w:r w:rsidRPr="001B6E4D">
        <w:rPr>
          <w:rFonts w:hint="eastAsia"/>
          <w:b/>
          <w:u w:val="thick"/>
        </w:rPr>
        <w:t>萬元整（以執行率7</w:t>
      </w:r>
      <w:r w:rsidRPr="001B6E4D">
        <w:rPr>
          <w:b/>
          <w:u w:val="thick"/>
        </w:rPr>
        <w:t>5</w:t>
      </w:r>
      <w:r w:rsidRPr="001B6E4D">
        <w:rPr>
          <w:rFonts w:hint="eastAsia"/>
          <w:b/>
          <w:u w:val="thick"/>
        </w:rPr>
        <w:t>％計算）且不得</w:t>
      </w:r>
      <w:proofErr w:type="gramStart"/>
      <w:r w:rsidRPr="001B6E4D">
        <w:rPr>
          <w:rFonts w:hint="eastAsia"/>
          <w:b/>
          <w:u w:val="thick"/>
        </w:rPr>
        <w:t>流用勻支</w:t>
      </w:r>
      <w:proofErr w:type="gramEnd"/>
      <w:r w:rsidRPr="001B6E4D">
        <w:rPr>
          <w:rFonts w:hint="eastAsia"/>
        </w:rPr>
        <w:t>，以避免有限之財政資源閒置與浪費。</w:t>
      </w:r>
      <w:r w:rsidRPr="001B6E4D">
        <w:t>【6】</w:t>
      </w:r>
    </w:p>
    <w:p w14:paraId="7D3E90E9" w14:textId="77777777" w:rsidR="00201B77" w:rsidRPr="001B6E4D" w:rsidRDefault="00201B77" w:rsidP="003D1018">
      <w:pPr>
        <w:pStyle w:val="2fb"/>
        <w:overflowPunct w:val="0"/>
      </w:pPr>
      <w:r w:rsidRPr="001B6E4D">
        <w:t>提案人：翁曉玲</w:t>
      </w:r>
    </w:p>
    <w:p w14:paraId="644A34DA" w14:textId="77777777" w:rsidR="00201B77" w:rsidRPr="001B6E4D" w:rsidRDefault="00201B77" w:rsidP="003D1018">
      <w:pPr>
        <w:pStyle w:val="2fb"/>
        <w:overflowPunct w:val="0"/>
      </w:pPr>
      <w:r w:rsidRPr="001B6E4D">
        <w:t>連署人：許宇</w:t>
      </w:r>
      <w:proofErr w:type="gramStart"/>
      <w:r w:rsidRPr="001B6E4D">
        <w:t>甄</w:t>
      </w:r>
      <w:proofErr w:type="gramEnd"/>
      <w:r w:rsidRPr="001B6E4D">
        <w:t xml:space="preserve">　林倩綺</w:t>
      </w:r>
    </w:p>
    <w:p w14:paraId="0DDA72EE" w14:textId="77777777" w:rsidR="00201B77" w:rsidRPr="001B6E4D" w:rsidRDefault="00201B77" w:rsidP="003D1018">
      <w:pPr>
        <w:pStyle w:val="1f6"/>
        <w:overflowPunct w:val="0"/>
      </w:pPr>
      <w:proofErr w:type="gramStart"/>
      <w:r w:rsidRPr="001B6E4D">
        <w:rPr>
          <w:rFonts w:hint="eastAsia"/>
        </w:rPr>
        <w:t>115</w:t>
      </w:r>
      <w:proofErr w:type="gramEnd"/>
      <w:r w:rsidRPr="001B6E4D">
        <w:rPr>
          <w:rFonts w:hint="eastAsia"/>
        </w:rPr>
        <w:t>年度總統府預算案於第1目「一般行政」項下「基本行政工作維持」中「業務費」之「特別費」3,006千元，係副總統2,061千元（171,700元x12月）、秘書長477千元（39,700元x12月），副秘書長468千元（19,500元x12月x2人）。</w:t>
      </w:r>
    </w:p>
    <w:p w14:paraId="1077BEE0" w14:textId="77777777" w:rsidR="00201B77" w:rsidRPr="001B6E4D" w:rsidRDefault="00201B77" w:rsidP="003D1018">
      <w:pPr>
        <w:pStyle w:val="1f7"/>
        <w:overflowPunct w:val="0"/>
      </w:pPr>
      <w:r w:rsidRPr="001B6E4D">
        <w:rPr>
          <w:rFonts w:hint="eastAsia"/>
        </w:rPr>
        <w:t>依照行政院</w:t>
      </w:r>
      <w:r w:rsidRPr="001B6E4D">
        <w:t>95</w:t>
      </w:r>
      <w:r w:rsidRPr="001B6E4D">
        <w:rPr>
          <w:rFonts w:hint="eastAsia"/>
        </w:rPr>
        <w:t>年</w:t>
      </w:r>
      <w:r w:rsidRPr="001B6E4D">
        <w:t>12</w:t>
      </w:r>
      <w:r w:rsidRPr="001B6E4D">
        <w:rPr>
          <w:rFonts w:hint="eastAsia"/>
        </w:rPr>
        <w:t>月</w:t>
      </w:r>
      <w:r w:rsidRPr="001B6E4D">
        <w:t>29</w:t>
      </w:r>
      <w:r w:rsidRPr="001B6E4D">
        <w:rPr>
          <w:rFonts w:hint="eastAsia"/>
        </w:rPr>
        <w:t>日</w:t>
      </w:r>
      <w:proofErr w:type="gramStart"/>
      <w:r w:rsidRPr="001B6E4D">
        <w:rPr>
          <w:rFonts w:hint="eastAsia"/>
        </w:rPr>
        <w:t>院授主忠字</w:t>
      </w:r>
      <w:proofErr w:type="gramEnd"/>
      <w:r w:rsidRPr="001B6E4D">
        <w:rPr>
          <w:rFonts w:hint="eastAsia"/>
        </w:rPr>
        <w:t>第</w:t>
      </w:r>
      <w:r w:rsidRPr="001B6E4D">
        <w:t>0950007913</w:t>
      </w:r>
      <w:r w:rsidRPr="001B6E4D">
        <w:rPr>
          <w:rFonts w:hint="eastAsia"/>
        </w:rPr>
        <w:t>號函，各級政府機關特別費支用規定之特別費使用範圍，係婚喪喜慶之禮金及招待、</w:t>
      </w:r>
      <w:proofErr w:type="gramStart"/>
      <w:r w:rsidRPr="001B6E4D">
        <w:rPr>
          <w:rFonts w:hint="eastAsia"/>
        </w:rPr>
        <w:t>餽</w:t>
      </w:r>
      <w:proofErr w:type="gramEnd"/>
      <w:r w:rsidRPr="001B6E4D">
        <w:rPr>
          <w:rFonts w:hint="eastAsia"/>
        </w:rPr>
        <w:t>（捐）</w:t>
      </w:r>
      <w:proofErr w:type="gramStart"/>
      <w:r w:rsidRPr="001B6E4D">
        <w:rPr>
          <w:rFonts w:hint="eastAsia"/>
        </w:rPr>
        <w:t>贈及慰問</w:t>
      </w:r>
      <w:proofErr w:type="gramEnd"/>
      <w:r w:rsidRPr="001B6E4D">
        <w:rPr>
          <w:rFonts w:hint="eastAsia"/>
        </w:rPr>
        <w:t>等支出。恐非屬各項施政計畫執行之必要項目。</w:t>
      </w:r>
    </w:p>
    <w:p w14:paraId="5CE24382" w14:textId="77777777" w:rsidR="00201B77" w:rsidRPr="001B6E4D" w:rsidRDefault="00201B77" w:rsidP="003D1018">
      <w:pPr>
        <w:pStyle w:val="1f7"/>
        <w:overflowPunct w:val="0"/>
      </w:pPr>
      <w:r w:rsidRPr="001B6E4D">
        <w:rPr>
          <w:rFonts w:hint="eastAsia"/>
        </w:rPr>
        <w:t>然，115年中央政府總預算連同特別預算，</w:t>
      </w:r>
      <w:proofErr w:type="gramStart"/>
      <w:r w:rsidRPr="001B6E4D">
        <w:rPr>
          <w:rFonts w:hint="eastAsia"/>
        </w:rPr>
        <w:t>已需舉</w:t>
      </w:r>
      <w:proofErr w:type="gramEnd"/>
      <w:r w:rsidRPr="001B6E4D">
        <w:rPr>
          <w:rFonts w:hint="eastAsia"/>
        </w:rPr>
        <w:t>債高達4千億元。政府各單位更應量入為出、</w:t>
      </w:r>
      <w:proofErr w:type="gramStart"/>
      <w:r w:rsidRPr="001B6E4D">
        <w:rPr>
          <w:rFonts w:hint="eastAsia"/>
        </w:rPr>
        <w:t>撙</w:t>
      </w:r>
      <w:proofErr w:type="gramEnd"/>
      <w:r w:rsidRPr="001B6E4D">
        <w:rPr>
          <w:rFonts w:hint="eastAsia"/>
        </w:rPr>
        <w:t>節公</w:t>
      </w:r>
      <w:proofErr w:type="gramStart"/>
      <w:r w:rsidRPr="001B6E4D">
        <w:rPr>
          <w:rFonts w:hint="eastAsia"/>
        </w:rPr>
        <w:t>帑</w:t>
      </w:r>
      <w:proofErr w:type="gramEnd"/>
      <w:r w:rsidRPr="001B6E4D">
        <w:rPr>
          <w:rFonts w:hint="eastAsia"/>
        </w:rPr>
        <w:t>，</w:t>
      </w:r>
      <w:proofErr w:type="gramStart"/>
      <w:r w:rsidRPr="001B6E4D">
        <w:rPr>
          <w:rFonts w:hint="eastAsia"/>
          <w:b/>
          <w:u w:val="thick"/>
        </w:rPr>
        <w:t>減列非必要</w:t>
      </w:r>
      <w:proofErr w:type="gramEnd"/>
      <w:r w:rsidRPr="001B6E4D">
        <w:rPr>
          <w:rFonts w:hint="eastAsia"/>
          <w:b/>
          <w:u w:val="thick"/>
        </w:rPr>
        <w:t>、非急迫性的支出</w:t>
      </w:r>
      <w:r w:rsidRPr="001B6E4D">
        <w:rPr>
          <w:rFonts w:hint="eastAsia"/>
        </w:rPr>
        <w:t>，以降低國庫舉債、</w:t>
      </w:r>
      <w:proofErr w:type="gramStart"/>
      <w:r w:rsidRPr="001B6E4D">
        <w:rPr>
          <w:rFonts w:hint="eastAsia"/>
        </w:rPr>
        <w:t>債留子孫</w:t>
      </w:r>
      <w:proofErr w:type="gramEnd"/>
      <w:r w:rsidRPr="001B6E4D">
        <w:rPr>
          <w:rFonts w:hint="eastAsia"/>
        </w:rPr>
        <w:t>的壓力。</w:t>
      </w:r>
    </w:p>
    <w:p w14:paraId="6F44AB8A" w14:textId="77777777" w:rsidR="00201B77" w:rsidRPr="001B6E4D" w:rsidRDefault="00201B77" w:rsidP="003D1018">
      <w:pPr>
        <w:pStyle w:val="1f7"/>
        <w:overflowPunct w:val="0"/>
        <w:rPr>
          <w:b/>
          <w:u w:val="thick"/>
        </w:rPr>
      </w:pPr>
      <w:proofErr w:type="gramStart"/>
      <w:r w:rsidRPr="001B6E4D">
        <w:rPr>
          <w:rFonts w:hint="eastAsia"/>
        </w:rPr>
        <w:t>且</w:t>
      </w:r>
      <w:proofErr w:type="gramEnd"/>
      <w:r w:rsidRPr="001B6E4D">
        <w:rPr>
          <w:rFonts w:hint="eastAsia"/>
        </w:rPr>
        <w:t>，賴總統為回應美國對台灣應大幅增加國防支出的強硬立場與關切壓力，</w:t>
      </w:r>
      <w:proofErr w:type="gramStart"/>
      <w:r w:rsidRPr="001B6E4D">
        <w:rPr>
          <w:rFonts w:hint="eastAsia"/>
        </w:rPr>
        <w:t>115</w:t>
      </w:r>
      <w:proofErr w:type="gramEnd"/>
      <w:r w:rsidRPr="001B6E4D">
        <w:rPr>
          <w:rFonts w:hint="eastAsia"/>
        </w:rPr>
        <w:t>年度國防支出已創下歷史新高，達9,495億新台幣，較去年度相比暴增1,768億，漲幅達16%，負擔不可謂不重；大舉增加國防支出，必定會嚴重排擠年度的教育、文化、經濟發展、社會福利等支出。亦即，</w:t>
      </w:r>
      <w:r w:rsidRPr="001B6E4D">
        <w:rPr>
          <w:rFonts w:hint="eastAsia"/>
          <w:b/>
          <w:u w:val="thick"/>
        </w:rPr>
        <w:t>各</w:t>
      </w:r>
      <w:proofErr w:type="gramStart"/>
      <w:r w:rsidRPr="001B6E4D">
        <w:rPr>
          <w:rFonts w:hint="eastAsia"/>
          <w:b/>
          <w:u w:val="thick"/>
        </w:rPr>
        <w:t>部會應勒緊</w:t>
      </w:r>
      <w:proofErr w:type="gramEnd"/>
      <w:r w:rsidRPr="001B6E4D">
        <w:rPr>
          <w:rFonts w:hint="eastAsia"/>
          <w:b/>
          <w:u w:val="thick"/>
        </w:rPr>
        <w:t>褲帶，共體時</w:t>
      </w:r>
      <w:proofErr w:type="gramStart"/>
      <w:r w:rsidRPr="001B6E4D">
        <w:rPr>
          <w:rFonts w:hint="eastAsia"/>
          <w:b/>
          <w:u w:val="thick"/>
        </w:rPr>
        <w:t>艱</w:t>
      </w:r>
      <w:proofErr w:type="gramEnd"/>
      <w:r w:rsidRPr="001B6E4D">
        <w:rPr>
          <w:rFonts w:hint="eastAsia"/>
          <w:b/>
          <w:u w:val="thick"/>
        </w:rPr>
        <w:t>、以</w:t>
      </w:r>
      <w:proofErr w:type="gramStart"/>
      <w:r w:rsidRPr="001B6E4D">
        <w:rPr>
          <w:rFonts w:hint="eastAsia"/>
          <w:b/>
          <w:u w:val="thick"/>
        </w:rPr>
        <w:t>撙</w:t>
      </w:r>
      <w:proofErr w:type="gramEnd"/>
      <w:r w:rsidRPr="001B6E4D">
        <w:rPr>
          <w:rFonts w:hint="eastAsia"/>
          <w:b/>
          <w:u w:val="thick"/>
        </w:rPr>
        <w:t>節非必要支出的具體行動，來呼應賴總統對美方要求大幅增加國防支出的承諾。</w:t>
      </w:r>
    </w:p>
    <w:p w14:paraId="3875BAC1" w14:textId="77777777" w:rsidR="00201B77" w:rsidRPr="001B6E4D" w:rsidRDefault="00201B77" w:rsidP="003D1018">
      <w:pPr>
        <w:pStyle w:val="1f7"/>
        <w:overflowPunct w:val="0"/>
      </w:pPr>
      <w:r w:rsidRPr="001B6E4D">
        <w:rPr>
          <w:rFonts w:hint="eastAsia"/>
        </w:rPr>
        <w:t>有</w:t>
      </w:r>
      <w:proofErr w:type="gramStart"/>
      <w:r w:rsidRPr="001B6E4D">
        <w:rPr>
          <w:rFonts w:hint="eastAsia"/>
        </w:rPr>
        <w:t>鑑</w:t>
      </w:r>
      <w:proofErr w:type="gramEnd"/>
      <w:r w:rsidRPr="001B6E4D">
        <w:rPr>
          <w:rFonts w:hint="eastAsia"/>
        </w:rPr>
        <w:t>於總統府所編之「特別費」，係婚喪喜慶之禮金及招待、</w:t>
      </w:r>
      <w:proofErr w:type="gramStart"/>
      <w:r w:rsidRPr="001B6E4D">
        <w:rPr>
          <w:rFonts w:hint="eastAsia"/>
        </w:rPr>
        <w:t>餽</w:t>
      </w:r>
      <w:proofErr w:type="gramEnd"/>
      <w:r w:rsidRPr="001B6E4D">
        <w:rPr>
          <w:rFonts w:hint="eastAsia"/>
        </w:rPr>
        <w:t>（捐）</w:t>
      </w:r>
      <w:proofErr w:type="gramStart"/>
      <w:r w:rsidRPr="001B6E4D">
        <w:rPr>
          <w:rFonts w:hint="eastAsia"/>
        </w:rPr>
        <w:t>贈及慰問</w:t>
      </w:r>
      <w:proofErr w:type="gramEnd"/>
      <w:r w:rsidRPr="001B6E4D">
        <w:rPr>
          <w:rFonts w:hint="eastAsia"/>
        </w:rPr>
        <w:t>等支出，非屬各項施政計畫執行之必要項目。</w:t>
      </w:r>
      <w:r w:rsidRPr="001B6E4D">
        <w:rPr>
          <w:rFonts w:hint="eastAsia"/>
          <w:b/>
          <w:u w:val="thick"/>
        </w:rPr>
        <w:t>為兌現賴總統對美方的承諾，且配合國防支出大幅增加之影響而必須</w:t>
      </w:r>
      <w:proofErr w:type="gramStart"/>
      <w:r w:rsidRPr="001B6E4D">
        <w:rPr>
          <w:rFonts w:hint="eastAsia"/>
          <w:b/>
          <w:u w:val="thick"/>
        </w:rPr>
        <w:t>撙</w:t>
      </w:r>
      <w:proofErr w:type="gramEnd"/>
      <w:r w:rsidRPr="001B6E4D">
        <w:rPr>
          <w:rFonts w:hint="eastAsia"/>
          <w:b/>
          <w:u w:val="thick"/>
        </w:rPr>
        <w:t>節經費</w:t>
      </w:r>
      <w:r w:rsidRPr="001B6E4D">
        <w:rPr>
          <w:rFonts w:hint="eastAsia"/>
        </w:rPr>
        <w:t>，</w:t>
      </w:r>
      <w:proofErr w:type="gramStart"/>
      <w:r w:rsidRPr="001B6E4D">
        <w:rPr>
          <w:rFonts w:hint="eastAsia"/>
          <w:b/>
          <w:u w:val="thick"/>
        </w:rPr>
        <w:t>爰</w:t>
      </w:r>
      <w:proofErr w:type="gramEnd"/>
      <w:r w:rsidRPr="001B6E4D">
        <w:rPr>
          <w:rFonts w:hint="eastAsia"/>
          <w:b/>
          <w:u w:val="thick"/>
        </w:rPr>
        <w:t>提案減列五成共計150萬元整並凍結150萬6千元整，且不得</w:t>
      </w:r>
      <w:proofErr w:type="gramStart"/>
      <w:r w:rsidRPr="001B6E4D">
        <w:rPr>
          <w:rFonts w:hint="eastAsia"/>
          <w:b/>
          <w:u w:val="thick"/>
        </w:rPr>
        <w:t>流用勻支</w:t>
      </w:r>
      <w:proofErr w:type="gramEnd"/>
      <w:r w:rsidRPr="001B6E4D">
        <w:rPr>
          <w:rFonts w:hint="eastAsia"/>
        </w:rPr>
        <w:t>，以將有限之財政資源集中，支援必須擴增的國防經費支出。</w:t>
      </w:r>
      <w:proofErr w:type="gramStart"/>
      <w:r w:rsidRPr="001B6E4D">
        <w:rPr>
          <w:rFonts w:hint="eastAsia"/>
          <w:b/>
          <w:u w:val="thick"/>
        </w:rPr>
        <w:t>俟</w:t>
      </w:r>
      <w:proofErr w:type="gramEnd"/>
      <w:r w:rsidRPr="001B6E4D">
        <w:rPr>
          <w:rFonts w:hint="eastAsia"/>
          <w:b/>
          <w:u w:val="thick"/>
        </w:rPr>
        <w:t>賴總統忠實履行憲政義務，</w:t>
      </w:r>
      <w:r w:rsidRPr="001B6E4D">
        <w:rPr>
          <w:rFonts w:hint="eastAsia"/>
        </w:rPr>
        <w:t>依照憲法第72條：「立法院法律案通過後，移送總統及行</w:t>
      </w:r>
      <w:r w:rsidRPr="001B6E4D">
        <w:rPr>
          <w:rFonts w:hint="eastAsia"/>
        </w:rPr>
        <w:lastRenderedPageBreak/>
        <w:t>政院，總統應於收到後十日內公布。」之剛性規定，公布五項已由立法院三讀通過，卻仍未公布、遭到賴總統擱置的法律案，於五項法律案全數完成公布後，向立法院司法及法制委員會提交書面報告，經同意後始得動支。</w:t>
      </w:r>
      <w:r w:rsidRPr="001B6E4D">
        <w:t>【1</w:t>
      </w:r>
      <w:r w:rsidRPr="001B6E4D">
        <w:rPr>
          <w:rFonts w:hint="eastAsia"/>
        </w:rPr>
        <w:t>2</w:t>
      </w:r>
      <w:r w:rsidRPr="001B6E4D">
        <w:t>】</w:t>
      </w:r>
    </w:p>
    <w:p w14:paraId="178A4E11" w14:textId="77777777" w:rsidR="00201B77" w:rsidRPr="001B6E4D" w:rsidRDefault="00201B77" w:rsidP="003D1018">
      <w:pPr>
        <w:pStyle w:val="2fb"/>
        <w:overflowPunct w:val="0"/>
      </w:pPr>
      <w:r w:rsidRPr="001B6E4D">
        <w:t>提案人：翁曉玲</w:t>
      </w:r>
    </w:p>
    <w:p w14:paraId="2FE18E63" w14:textId="77777777" w:rsidR="00201B77" w:rsidRPr="001B6E4D" w:rsidRDefault="00201B77" w:rsidP="003D1018">
      <w:pPr>
        <w:pStyle w:val="2fb"/>
        <w:overflowPunct w:val="0"/>
      </w:pPr>
      <w:r w:rsidRPr="001B6E4D">
        <w:t>連署人：許宇</w:t>
      </w:r>
      <w:proofErr w:type="gramStart"/>
      <w:r w:rsidRPr="001B6E4D">
        <w:t>甄</w:t>
      </w:r>
      <w:proofErr w:type="gramEnd"/>
      <w:r w:rsidRPr="001B6E4D">
        <w:t xml:space="preserve">　林倩綺</w:t>
      </w:r>
    </w:p>
    <w:p w14:paraId="7B2025E2" w14:textId="77777777" w:rsidR="00201B77" w:rsidRPr="001B6E4D" w:rsidRDefault="00201B77" w:rsidP="003D1018">
      <w:pPr>
        <w:pStyle w:val="1f6"/>
        <w:overflowPunct w:val="0"/>
      </w:pPr>
      <w:proofErr w:type="gramStart"/>
      <w:r w:rsidRPr="001B6E4D">
        <w:rPr>
          <w:rFonts w:hint="eastAsia"/>
        </w:rPr>
        <w:t>115</w:t>
      </w:r>
      <w:proofErr w:type="gramEnd"/>
      <w:r w:rsidRPr="001B6E4D">
        <w:rPr>
          <w:rFonts w:hint="eastAsia"/>
        </w:rPr>
        <w:t>年度總統府預算案於第2目「國務機要」項下「國務機要」國家元首行使職權所需相關費用，計需30,000千元，包括訪視、犒賞、獎助、慰問、接待、贈禮及其他相關費用等經費。編列預算3,000萬元。</w:t>
      </w:r>
    </w:p>
    <w:p w14:paraId="1B5A389A" w14:textId="77777777" w:rsidR="00201B77" w:rsidRPr="001B6E4D" w:rsidRDefault="00201B77" w:rsidP="003D1018">
      <w:pPr>
        <w:pStyle w:val="1f7"/>
        <w:overflowPunct w:val="0"/>
      </w:pPr>
      <w:r w:rsidRPr="001B6E4D">
        <w:rPr>
          <w:rFonts w:hint="eastAsia"/>
        </w:rPr>
        <w:t>觀其預算書說明，其用途</w:t>
      </w:r>
      <w:proofErr w:type="gramStart"/>
      <w:r w:rsidRPr="001B6E4D">
        <w:rPr>
          <w:rFonts w:hint="eastAsia"/>
        </w:rPr>
        <w:t>係指訪視</w:t>
      </w:r>
      <w:proofErr w:type="gramEnd"/>
      <w:r w:rsidRPr="001B6E4D">
        <w:rPr>
          <w:rFonts w:hint="eastAsia"/>
        </w:rPr>
        <w:t>、犒賞、獎助、慰問、接待、贈禮及其他相關費用等支出，恐非屬各項施政計畫執行之必要項目。</w:t>
      </w:r>
    </w:p>
    <w:p w14:paraId="6F3A3C31" w14:textId="77777777" w:rsidR="00201B77" w:rsidRPr="001B6E4D" w:rsidRDefault="00201B77" w:rsidP="003D1018">
      <w:pPr>
        <w:pStyle w:val="1f7"/>
        <w:overflowPunct w:val="0"/>
      </w:pPr>
      <w:r w:rsidRPr="001B6E4D">
        <w:rPr>
          <w:rFonts w:hint="eastAsia"/>
        </w:rPr>
        <w:t>然，115年中央政府總預算連同特別預算，</w:t>
      </w:r>
      <w:proofErr w:type="gramStart"/>
      <w:r w:rsidRPr="001B6E4D">
        <w:rPr>
          <w:rFonts w:hint="eastAsia"/>
        </w:rPr>
        <w:t>已需舉</w:t>
      </w:r>
      <w:proofErr w:type="gramEnd"/>
      <w:r w:rsidRPr="001B6E4D">
        <w:rPr>
          <w:rFonts w:hint="eastAsia"/>
        </w:rPr>
        <w:t>債高達4千億元。</w:t>
      </w:r>
      <w:r w:rsidRPr="001B6E4D">
        <w:rPr>
          <w:rFonts w:hint="eastAsia"/>
          <w:b/>
          <w:u w:val="thick"/>
        </w:rPr>
        <w:t>政府各單位更應量入為出、</w:t>
      </w:r>
      <w:proofErr w:type="gramStart"/>
      <w:r w:rsidRPr="001B6E4D">
        <w:rPr>
          <w:rFonts w:hint="eastAsia"/>
          <w:b/>
          <w:u w:val="thick"/>
        </w:rPr>
        <w:t>撙</w:t>
      </w:r>
      <w:proofErr w:type="gramEnd"/>
      <w:r w:rsidRPr="001B6E4D">
        <w:rPr>
          <w:rFonts w:hint="eastAsia"/>
          <w:b/>
          <w:u w:val="thick"/>
        </w:rPr>
        <w:t>節公</w:t>
      </w:r>
      <w:proofErr w:type="gramStart"/>
      <w:r w:rsidRPr="001B6E4D">
        <w:rPr>
          <w:rFonts w:hint="eastAsia"/>
          <w:b/>
          <w:u w:val="thick"/>
        </w:rPr>
        <w:t>帑</w:t>
      </w:r>
      <w:proofErr w:type="gramEnd"/>
      <w:r w:rsidRPr="001B6E4D">
        <w:rPr>
          <w:rFonts w:hint="eastAsia"/>
        </w:rPr>
        <w:t>，</w:t>
      </w:r>
      <w:proofErr w:type="gramStart"/>
      <w:r w:rsidRPr="001B6E4D">
        <w:rPr>
          <w:rFonts w:hint="eastAsia"/>
          <w:b/>
          <w:u w:val="thick"/>
        </w:rPr>
        <w:t>減列非必要</w:t>
      </w:r>
      <w:proofErr w:type="gramEnd"/>
      <w:r w:rsidRPr="001B6E4D">
        <w:rPr>
          <w:rFonts w:hint="eastAsia"/>
          <w:b/>
          <w:u w:val="thick"/>
        </w:rPr>
        <w:t>、非急迫性的支出</w:t>
      </w:r>
      <w:r w:rsidRPr="001B6E4D">
        <w:rPr>
          <w:rFonts w:hint="eastAsia"/>
        </w:rPr>
        <w:t>，以降低國庫舉債、</w:t>
      </w:r>
      <w:proofErr w:type="gramStart"/>
      <w:r w:rsidRPr="001B6E4D">
        <w:rPr>
          <w:rFonts w:hint="eastAsia"/>
        </w:rPr>
        <w:t>債留子孫</w:t>
      </w:r>
      <w:proofErr w:type="gramEnd"/>
      <w:r w:rsidRPr="001B6E4D">
        <w:rPr>
          <w:rFonts w:hint="eastAsia"/>
        </w:rPr>
        <w:t>的壓力。</w:t>
      </w:r>
    </w:p>
    <w:p w14:paraId="2824123F" w14:textId="77777777" w:rsidR="00201B77" w:rsidRPr="001B6E4D" w:rsidRDefault="00201B77" w:rsidP="003D1018">
      <w:pPr>
        <w:pStyle w:val="1f7"/>
        <w:overflowPunct w:val="0"/>
        <w:rPr>
          <w:b/>
          <w:u w:val="thick"/>
        </w:rPr>
      </w:pPr>
      <w:proofErr w:type="gramStart"/>
      <w:r w:rsidRPr="001B6E4D">
        <w:rPr>
          <w:rFonts w:hint="eastAsia"/>
        </w:rPr>
        <w:t>且</w:t>
      </w:r>
      <w:proofErr w:type="gramEnd"/>
      <w:r w:rsidRPr="001B6E4D">
        <w:rPr>
          <w:rFonts w:hint="eastAsia"/>
        </w:rPr>
        <w:t>，賴總統為回應美國對台灣應大幅增加國防支出的強硬立場與關切壓力，</w:t>
      </w:r>
      <w:proofErr w:type="gramStart"/>
      <w:r w:rsidRPr="001B6E4D">
        <w:rPr>
          <w:rFonts w:hint="eastAsia"/>
        </w:rPr>
        <w:t>115</w:t>
      </w:r>
      <w:proofErr w:type="gramEnd"/>
      <w:r w:rsidRPr="001B6E4D">
        <w:rPr>
          <w:rFonts w:hint="eastAsia"/>
        </w:rPr>
        <w:t>年度國防支出已創下歷史新高．達9,495億新台幣．較去年度相比暴增1,768億．漲幅達16%，負擔不可謂不重；大舉增加國防支出，必定會嚴重排擠年度的教育、文化、經濟發展、社會福利等支出。亦即，</w:t>
      </w:r>
      <w:r w:rsidRPr="001B6E4D">
        <w:rPr>
          <w:rFonts w:hint="eastAsia"/>
          <w:b/>
          <w:u w:val="thick"/>
        </w:rPr>
        <w:t>各</w:t>
      </w:r>
      <w:proofErr w:type="gramStart"/>
      <w:r w:rsidRPr="001B6E4D">
        <w:rPr>
          <w:rFonts w:hint="eastAsia"/>
          <w:b/>
          <w:u w:val="thick"/>
        </w:rPr>
        <w:t>部會應勒緊</w:t>
      </w:r>
      <w:proofErr w:type="gramEnd"/>
      <w:r w:rsidRPr="001B6E4D">
        <w:rPr>
          <w:rFonts w:hint="eastAsia"/>
          <w:b/>
          <w:u w:val="thick"/>
        </w:rPr>
        <w:t>褲帶，共體時</w:t>
      </w:r>
      <w:proofErr w:type="gramStart"/>
      <w:r w:rsidRPr="001B6E4D">
        <w:rPr>
          <w:rFonts w:hint="eastAsia"/>
          <w:b/>
          <w:u w:val="thick"/>
        </w:rPr>
        <w:t>艱</w:t>
      </w:r>
      <w:proofErr w:type="gramEnd"/>
      <w:r w:rsidRPr="001B6E4D">
        <w:rPr>
          <w:rFonts w:hint="eastAsia"/>
          <w:b/>
          <w:u w:val="thick"/>
        </w:rPr>
        <w:t>、以</w:t>
      </w:r>
      <w:proofErr w:type="gramStart"/>
      <w:r w:rsidRPr="001B6E4D">
        <w:rPr>
          <w:rFonts w:hint="eastAsia"/>
          <w:b/>
          <w:u w:val="thick"/>
        </w:rPr>
        <w:t>撙</w:t>
      </w:r>
      <w:proofErr w:type="gramEnd"/>
      <w:r w:rsidRPr="001B6E4D">
        <w:rPr>
          <w:rFonts w:hint="eastAsia"/>
          <w:b/>
          <w:u w:val="thick"/>
        </w:rPr>
        <w:t>節非必要支出的具體行動，來呼應賴總統對美方要求大幅增加國防支出的承諾！總統府更應發揮帶頭作用，為全國各機關做出表率，以實際削減非必要開支的具體行動，熱烈回應賴總統的號召。</w:t>
      </w:r>
    </w:p>
    <w:p w14:paraId="0ADCCAD7" w14:textId="77777777" w:rsidR="00201B77" w:rsidRPr="001B6E4D" w:rsidRDefault="00201B77" w:rsidP="003D1018">
      <w:pPr>
        <w:pStyle w:val="1f7"/>
        <w:overflowPunct w:val="0"/>
      </w:pPr>
      <w:r w:rsidRPr="001B6E4D">
        <w:rPr>
          <w:rFonts w:hint="eastAsia"/>
        </w:rPr>
        <w:t>有</w:t>
      </w:r>
      <w:proofErr w:type="gramStart"/>
      <w:r w:rsidRPr="001B6E4D">
        <w:rPr>
          <w:rFonts w:hint="eastAsia"/>
        </w:rPr>
        <w:t>鑑</w:t>
      </w:r>
      <w:proofErr w:type="gramEnd"/>
      <w:r w:rsidRPr="001B6E4D">
        <w:rPr>
          <w:rFonts w:hint="eastAsia"/>
        </w:rPr>
        <w:t>於總統府所編之「國務機要費」</w:t>
      </w:r>
      <w:proofErr w:type="gramStart"/>
      <w:r w:rsidRPr="001B6E4D">
        <w:rPr>
          <w:rFonts w:hint="eastAsia"/>
        </w:rPr>
        <w:t>係訪視</w:t>
      </w:r>
      <w:proofErr w:type="gramEnd"/>
      <w:r w:rsidRPr="001B6E4D">
        <w:rPr>
          <w:rFonts w:hint="eastAsia"/>
        </w:rPr>
        <w:t>、犒賞、獎助、慰問、接待、贈禮及其他相關費用等支出，非屬各項施政計畫執行之必要項目。</w:t>
      </w:r>
      <w:r w:rsidRPr="001B6E4D">
        <w:rPr>
          <w:rFonts w:hint="eastAsia"/>
          <w:b/>
          <w:u w:val="thick"/>
        </w:rPr>
        <w:t>為兌現賴總統對美方的承諾，且配合國防支出大幅增加之影響而必須</w:t>
      </w:r>
      <w:proofErr w:type="gramStart"/>
      <w:r w:rsidRPr="001B6E4D">
        <w:rPr>
          <w:rFonts w:hint="eastAsia"/>
          <w:b/>
          <w:u w:val="thick"/>
        </w:rPr>
        <w:t>撙</w:t>
      </w:r>
      <w:proofErr w:type="gramEnd"/>
      <w:r w:rsidRPr="001B6E4D">
        <w:rPr>
          <w:rFonts w:hint="eastAsia"/>
          <w:b/>
          <w:u w:val="thick"/>
        </w:rPr>
        <w:t>節經費</w:t>
      </w:r>
      <w:r w:rsidRPr="001B6E4D">
        <w:rPr>
          <w:rFonts w:hint="eastAsia"/>
        </w:rPr>
        <w:t>，</w:t>
      </w:r>
      <w:proofErr w:type="gramStart"/>
      <w:r w:rsidRPr="001B6E4D">
        <w:rPr>
          <w:rFonts w:hint="eastAsia"/>
          <w:b/>
          <w:u w:val="thick"/>
        </w:rPr>
        <w:t>爰</w:t>
      </w:r>
      <w:proofErr w:type="gramEnd"/>
      <w:r w:rsidRPr="001B6E4D">
        <w:rPr>
          <w:rFonts w:hint="eastAsia"/>
          <w:b/>
          <w:u w:val="thick"/>
        </w:rPr>
        <w:t>提案減列1</w:t>
      </w:r>
      <w:r w:rsidRPr="001B6E4D">
        <w:rPr>
          <w:b/>
          <w:u w:val="thick"/>
        </w:rPr>
        <w:t>,00</w:t>
      </w:r>
      <w:r w:rsidRPr="001B6E4D">
        <w:rPr>
          <w:rFonts w:hint="eastAsia"/>
          <w:b/>
          <w:u w:val="thick"/>
        </w:rPr>
        <w:t>0萬元並凍結2</w:t>
      </w:r>
      <w:r w:rsidRPr="001B6E4D">
        <w:rPr>
          <w:b/>
          <w:u w:val="thick"/>
        </w:rPr>
        <w:t>000</w:t>
      </w:r>
      <w:r w:rsidRPr="001B6E4D">
        <w:rPr>
          <w:rFonts w:hint="eastAsia"/>
          <w:b/>
          <w:u w:val="thick"/>
        </w:rPr>
        <w:t>萬元整，且不得</w:t>
      </w:r>
      <w:proofErr w:type="gramStart"/>
      <w:r w:rsidRPr="001B6E4D">
        <w:rPr>
          <w:rFonts w:hint="eastAsia"/>
          <w:b/>
          <w:u w:val="thick"/>
        </w:rPr>
        <w:t>流用勻支</w:t>
      </w:r>
      <w:proofErr w:type="gramEnd"/>
      <w:r w:rsidRPr="001B6E4D">
        <w:rPr>
          <w:rFonts w:hint="eastAsia"/>
        </w:rPr>
        <w:t>，以將有限之財政資源集中，支援必須擴增的國防經費支出。</w:t>
      </w:r>
      <w:proofErr w:type="gramStart"/>
      <w:r w:rsidRPr="001B6E4D">
        <w:rPr>
          <w:rFonts w:hint="eastAsia"/>
          <w:b/>
          <w:u w:val="thick"/>
        </w:rPr>
        <w:t>俟</w:t>
      </w:r>
      <w:proofErr w:type="gramEnd"/>
      <w:r w:rsidRPr="001B6E4D">
        <w:rPr>
          <w:rFonts w:hint="eastAsia"/>
          <w:b/>
          <w:u w:val="thick"/>
        </w:rPr>
        <w:t>賴總統忠實履行憲政義務，</w:t>
      </w:r>
      <w:r w:rsidRPr="001B6E4D">
        <w:rPr>
          <w:rFonts w:hint="eastAsia"/>
        </w:rPr>
        <w:t>依照憲法第72條：「立法院法律案通過後，移送總統及行政院，總統應於收到後十日內公布。」之剛性憲政義務規定，公布五項已由立法院三讀通過，卻仍未公布、遭到賴總統擱置的法律案，於五項法律案全數完成公布後，向立法院司法及法制委員會提交書面報告，經同意後始得動支。</w:t>
      </w:r>
      <w:r w:rsidRPr="001B6E4D">
        <w:t>【1</w:t>
      </w:r>
      <w:r w:rsidRPr="001B6E4D">
        <w:rPr>
          <w:rFonts w:hint="eastAsia"/>
        </w:rPr>
        <w:t>5</w:t>
      </w:r>
      <w:r w:rsidRPr="001B6E4D">
        <w:t>】</w:t>
      </w:r>
    </w:p>
    <w:p w14:paraId="535E4650" w14:textId="77777777" w:rsidR="00201B77" w:rsidRPr="001B6E4D" w:rsidRDefault="00201B77" w:rsidP="003D1018">
      <w:pPr>
        <w:pStyle w:val="2fb"/>
        <w:overflowPunct w:val="0"/>
      </w:pPr>
      <w:r w:rsidRPr="001B6E4D">
        <w:t>提案人：翁曉玲</w:t>
      </w:r>
    </w:p>
    <w:p w14:paraId="62BC4B58" w14:textId="77777777" w:rsidR="00201B77" w:rsidRPr="001B6E4D" w:rsidRDefault="00201B77" w:rsidP="003D1018">
      <w:pPr>
        <w:pStyle w:val="2fb"/>
        <w:overflowPunct w:val="0"/>
        <w:rPr>
          <w:rFonts w:cs="Times New Roman"/>
        </w:rPr>
      </w:pPr>
      <w:r w:rsidRPr="001B6E4D">
        <w:t>連署人：許宇</w:t>
      </w:r>
      <w:proofErr w:type="gramStart"/>
      <w:r w:rsidRPr="001B6E4D">
        <w:t>甄</w:t>
      </w:r>
      <w:proofErr w:type="gramEnd"/>
      <w:r w:rsidRPr="001B6E4D">
        <w:t xml:space="preserve">　林倩綺</w:t>
      </w:r>
    </w:p>
    <w:p w14:paraId="6CA35877" w14:textId="77777777" w:rsidR="00201B77" w:rsidRPr="001B6E4D" w:rsidRDefault="00201B77" w:rsidP="003D1018">
      <w:pPr>
        <w:pStyle w:val="1f6"/>
        <w:overflowPunct w:val="0"/>
      </w:pPr>
      <w:proofErr w:type="gramStart"/>
      <w:r w:rsidRPr="001B6E4D">
        <w:lastRenderedPageBreak/>
        <w:t>115</w:t>
      </w:r>
      <w:proofErr w:type="gramEnd"/>
      <w:r w:rsidRPr="001B6E4D">
        <w:t>年度總統府預算案於第2目「國務機要」編列預算3,000萬元，全數為業務費，較</w:t>
      </w:r>
      <w:proofErr w:type="gramStart"/>
      <w:r w:rsidRPr="001B6E4D">
        <w:t>114</w:t>
      </w:r>
      <w:proofErr w:type="gramEnd"/>
      <w:r w:rsidRPr="001B6E4D">
        <w:t>年度1,000萬元增加2,000萬元，增幅高達200%。預算書僅以「國家元首訪視、犒賞、獎助、慰問、接待、贈禮及其他相關經費」概括說明，未具體交代增加原因、使用規模及必要性，預算</w:t>
      </w:r>
      <w:proofErr w:type="gramStart"/>
      <w:r w:rsidRPr="001B6E4D">
        <w:t>編列顯嫌籠統</w:t>
      </w:r>
      <w:proofErr w:type="gramEnd"/>
      <w:r w:rsidRPr="001B6E4D">
        <w:t>。</w:t>
      </w:r>
    </w:p>
    <w:p w14:paraId="5185C3D7" w14:textId="77777777" w:rsidR="00201B77" w:rsidRPr="001B6E4D" w:rsidRDefault="00201B77" w:rsidP="003D1018">
      <w:pPr>
        <w:pStyle w:val="1f7"/>
        <w:overflowPunct w:val="0"/>
      </w:pPr>
      <w:r w:rsidRPr="001B6E4D">
        <w:t>國務機要費雖具有一定機密性與特殊性，個別支出明細不宜完全公開，然此並不代表即可排除國會監督。尤其</w:t>
      </w:r>
      <w:proofErr w:type="gramStart"/>
      <w:r w:rsidRPr="001B6E4D">
        <w:t>114</w:t>
      </w:r>
      <w:proofErr w:type="gramEnd"/>
      <w:r w:rsidRPr="001B6E4D">
        <w:t>年度該項預算已由3,000萬元降為1,000萬元，</w:t>
      </w:r>
      <w:proofErr w:type="gramStart"/>
      <w:r w:rsidRPr="001B6E4D">
        <w:t>115</w:t>
      </w:r>
      <w:proofErr w:type="gramEnd"/>
      <w:r w:rsidRPr="001B6E4D">
        <w:t>年度又恢復至3,000萬元，預算大幅反彈，卻未見總統府說明年度需求何以急遽增加，亦未提出支出結構、使用原則或前年度執行情形供國會審酌，難免引發</w:t>
      </w:r>
      <w:proofErr w:type="gramStart"/>
      <w:r w:rsidRPr="001B6E4D">
        <w:t>裁量性支出</w:t>
      </w:r>
      <w:proofErr w:type="gramEnd"/>
      <w:r w:rsidRPr="001B6E4D">
        <w:t>過度寬鬆之疑慮。</w:t>
      </w:r>
    </w:p>
    <w:p w14:paraId="13B6FDA1" w14:textId="77777777" w:rsidR="00201B77" w:rsidRPr="001B6E4D" w:rsidRDefault="00201B77" w:rsidP="003D1018">
      <w:pPr>
        <w:pStyle w:val="1f7"/>
        <w:overflowPunct w:val="0"/>
      </w:pPr>
      <w:r w:rsidRPr="001B6E4D">
        <w:t>在政府財政資源有限、各機關均應</w:t>
      </w:r>
      <w:proofErr w:type="gramStart"/>
      <w:r w:rsidRPr="001B6E4D">
        <w:t>撙</w:t>
      </w:r>
      <w:proofErr w:type="gramEnd"/>
      <w:r w:rsidRPr="001B6E4D">
        <w:t>節支出的情況下，總統府作為國家最高機關，更應率先示範預算紀律。若僅以「國家元首相關必要費用」作為概括說明，即要求國會全額</w:t>
      </w:r>
      <w:proofErr w:type="gramStart"/>
      <w:r w:rsidRPr="001B6E4D">
        <w:t>照列</w:t>
      </w:r>
      <w:proofErr w:type="gramEnd"/>
      <w:r w:rsidRPr="001B6E4D">
        <w:t>，實不符預算審查應有之透明、合理與必要原則。</w:t>
      </w:r>
    </w:p>
    <w:p w14:paraId="6E2CB9E4" w14:textId="77777777" w:rsidR="00201B77" w:rsidRPr="001B6E4D" w:rsidRDefault="00201B77" w:rsidP="003D1018">
      <w:pPr>
        <w:pStyle w:val="1f7"/>
        <w:overflowPunct w:val="0"/>
      </w:pPr>
      <w:proofErr w:type="gramStart"/>
      <w:r w:rsidRPr="001B6E4D">
        <w:t>爰</w:t>
      </w:r>
      <w:proofErr w:type="gramEnd"/>
      <w:r w:rsidRPr="001B6E4D">
        <w:t>該項預算減列1,000萬元並凍結1,000萬元，</w:t>
      </w:r>
      <w:proofErr w:type="gramStart"/>
      <w:r w:rsidRPr="001B6E4D">
        <w:t>俟</w:t>
      </w:r>
      <w:proofErr w:type="gramEnd"/>
      <w:r w:rsidRPr="001B6E4D">
        <w:t>總統府於2個月內向立法院司法及法制委員會提出專案報告並經同意後，始得動支。【1</w:t>
      </w:r>
      <w:r w:rsidRPr="001B6E4D">
        <w:rPr>
          <w:rFonts w:hint="eastAsia"/>
        </w:rPr>
        <w:t>6</w:t>
      </w:r>
      <w:r w:rsidRPr="001B6E4D">
        <w:t>】</w:t>
      </w:r>
    </w:p>
    <w:p w14:paraId="44E446B4" w14:textId="77777777" w:rsidR="00201B77" w:rsidRPr="001B6E4D" w:rsidRDefault="00201B77" w:rsidP="003D1018">
      <w:pPr>
        <w:pStyle w:val="2fb"/>
        <w:overflowPunct w:val="0"/>
      </w:pPr>
      <w:r w:rsidRPr="001B6E4D">
        <w:t>提案人：許宇</w:t>
      </w:r>
      <w:proofErr w:type="gramStart"/>
      <w:r w:rsidRPr="001B6E4D">
        <w:t>甄</w:t>
      </w:r>
      <w:proofErr w:type="gramEnd"/>
    </w:p>
    <w:p w14:paraId="0479505E" w14:textId="77777777" w:rsidR="00201B77" w:rsidRPr="001B6E4D" w:rsidRDefault="00201B77" w:rsidP="003D1018">
      <w:pPr>
        <w:pStyle w:val="2fb"/>
        <w:overflowPunct w:val="0"/>
      </w:pPr>
      <w:r w:rsidRPr="001B6E4D">
        <w:rPr>
          <w:rFonts w:hint="eastAsia"/>
        </w:rPr>
        <w:t>連署人：翁曉玲　林倩綺</w:t>
      </w:r>
    </w:p>
    <w:p w14:paraId="3D0CEBFB" w14:textId="77777777" w:rsidR="00201B77" w:rsidRPr="001B6E4D" w:rsidRDefault="00201B77" w:rsidP="003D1018">
      <w:pPr>
        <w:pStyle w:val="1f6"/>
        <w:overflowPunct w:val="0"/>
      </w:pPr>
      <w:proofErr w:type="gramStart"/>
      <w:r w:rsidRPr="001B6E4D">
        <w:t>115</w:t>
      </w:r>
      <w:proofErr w:type="gramEnd"/>
      <w:r w:rsidRPr="001B6E4D">
        <w:t>年度總統府預算案於第2目「國務機要」項下「國務機要」中「業務費」之「機要費」編列預算3,000萬元，作為總統依法行使憲法職權之必要經費。</w:t>
      </w:r>
    </w:p>
    <w:p w14:paraId="33C5E11D" w14:textId="77777777" w:rsidR="00201B77" w:rsidRPr="001B6E4D" w:rsidRDefault="00201B77" w:rsidP="003D1018">
      <w:pPr>
        <w:pStyle w:val="1f7"/>
        <w:overflowPunct w:val="0"/>
      </w:pPr>
      <w:r w:rsidRPr="001B6E4D">
        <w:t>自賴清德總統上任以來，總統未依法遵守憲法規範，且帶頭選擇性行使法律，憲法法庭違憲判決、三讀通過法案</w:t>
      </w:r>
      <w:proofErr w:type="gramStart"/>
      <w:r w:rsidRPr="001B6E4D">
        <w:t>不</w:t>
      </w:r>
      <w:proofErr w:type="gramEnd"/>
      <w:r w:rsidRPr="001B6E4D">
        <w:t>副署、</w:t>
      </w:r>
      <w:proofErr w:type="gramStart"/>
      <w:r w:rsidRPr="001B6E4D">
        <w:t>不</w:t>
      </w:r>
      <w:proofErr w:type="gramEnd"/>
      <w:r w:rsidRPr="001B6E4D">
        <w:t>公布、不執行，經立法院否決之人事案，強行用總統指派來代理，引社會對政府權力分際及憲政程序之落實高度關注。在此情況下，作為總統執行國務所需之機要經費，更應強化資訊揭露與預算透明，以回應社會對政府施政公開及權責明確之期待。</w:t>
      </w:r>
    </w:p>
    <w:p w14:paraId="4959E2B6" w14:textId="77777777" w:rsidR="00201B77" w:rsidRPr="001B6E4D" w:rsidRDefault="00201B77" w:rsidP="003D1018">
      <w:pPr>
        <w:pStyle w:val="1f7"/>
        <w:overflowPunct w:val="0"/>
      </w:pPr>
      <w:proofErr w:type="gramStart"/>
      <w:r w:rsidRPr="001B6E4D">
        <w:t>鑑</w:t>
      </w:r>
      <w:proofErr w:type="gramEnd"/>
      <w:r w:rsidRPr="001B6E4D">
        <w:t>於國務機要費涉及公</w:t>
      </w:r>
      <w:proofErr w:type="gramStart"/>
      <w:r w:rsidRPr="001B6E4D">
        <w:t>帑</w:t>
      </w:r>
      <w:proofErr w:type="gramEnd"/>
      <w:r w:rsidRPr="001B6E4D">
        <w:t>運用與政府信任基礎，相關預算應秉持公開透明及接受監督原則，對經費使用目的、執行原則及控管機制提出更具體說明，以確保預算支出符合必要性及財政紀律。</w:t>
      </w:r>
    </w:p>
    <w:p w14:paraId="185B3D68" w14:textId="77777777" w:rsidR="00201B77" w:rsidRPr="001B6E4D" w:rsidRDefault="00201B77" w:rsidP="003D1018">
      <w:pPr>
        <w:pStyle w:val="1f7"/>
        <w:overflowPunct w:val="0"/>
      </w:pPr>
      <w:proofErr w:type="gramStart"/>
      <w:r w:rsidRPr="001B6E4D">
        <w:t>爰</w:t>
      </w:r>
      <w:proofErr w:type="gramEnd"/>
      <w:r w:rsidRPr="001B6E4D">
        <w:t>針對</w:t>
      </w:r>
      <w:proofErr w:type="gramStart"/>
      <w:r w:rsidRPr="001B6E4D">
        <w:t>115</w:t>
      </w:r>
      <w:proofErr w:type="gramEnd"/>
      <w:r w:rsidRPr="001B6E4D">
        <w:t>年度總統府第2目「國務機要」項下「國務機要」中「業務費」之「機要費」預算編列3,000萬元，凍結20%，</w:t>
      </w:r>
      <w:proofErr w:type="gramStart"/>
      <w:r w:rsidRPr="001B6E4D">
        <w:t>俟</w:t>
      </w:r>
      <w:proofErr w:type="gramEnd"/>
      <w:r w:rsidRPr="001B6E4D">
        <w:t>總統府於1個月內向立法院司法及法制委員會提出書面報告後，始得動支。【1</w:t>
      </w:r>
      <w:r w:rsidRPr="001B6E4D">
        <w:rPr>
          <w:rFonts w:hint="eastAsia"/>
        </w:rPr>
        <w:t>7</w:t>
      </w:r>
      <w:r w:rsidRPr="001B6E4D">
        <w:t>】</w:t>
      </w:r>
    </w:p>
    <w:p w14:paraId="7F4F77B9" w14:textId="77777777" w:rsidR="00201B77" w:rsidRPr="001B6E4D" w:rsidRDefault="00201B77" w:rsidP="003D1018">
      <w:pPr>
        <w:pStyle w:val="2fb"/>
        <w:overflowPunct w:val="0"/>
      </w:pPr>
      <w:r w:rsidRPr="001B6E4D">
        <w:lastRenderedPageBreak/>
        <w:t>提案人：林沛祥</w:t>
      </w:r>
    </w:p>
    <w:p w14:paraId="26B0F636" w14:textId="77777777" w:rsidR="00201B77" w:rsidRPr="001B6E4D" w:rsidRDefault="00201B77" w:rsidP="003D1018">
      <w:pPr>
        <w:pStyle w:val="2fb"/>
        <w:overflowPunct w:val="0"/>
        <w:rPr>
          <w:rFonts w:cs="Times New Roman"/>
        </w:rPr>
      </w:pPr>
      <w:r w:rsidRPr="001B6E4D">
        <w:rPr>
          <w:rFonts w:hint="eastAsia"/>
        </w:rPr>
        <w:t>連署人：翁曉玲　許宇</w:t>
      </w:r>
      <w:proofErr w:type="gramStart"/>
      <w:r w:rsidRPr="001B6E4D">
        <w:rPr>
          <w:rFonts w:hint="eastAsia"/>
        </w:rPr>
        <w:t>甄</w:t>
      </w:r>
      <w:proofErr w:type="gramEnd"/>
    </w:p>
    <w:p w14:paraId="6DE22EC9" w14:textId="77777777" w:rsidR="00201B77" w:rsidRPr="001B6E4D" w:rsidRDefault="00201B77" w:rsidP="003D1018">
      <w:pPr>
        <w:overflowPunct w:val="0"/>
        <w:snapToGrid w:val="0"/>
        <w:ind w:leftChars="150" w:left="1201" w:hangingChars="300" w:hanging="841"/>
        <w:jc w:val="both"/>
        <w:rPr>
          <w:rFonts w:ascii="標楷體" w:eastAsia="標楷體" w:hAnsi="標楷體"/>
          <w:b/>
          <w:sz w:val="28"/>
          <w:szCs w:val="28"/>
        </w:rPr>
      </w:pPr>
      <w:r w:rsidRPr="001B6E4D">
        <w:rPr>
          <w:rFonts w:ascii="標楷體" w:eastAsia="標楷體" w:hAnsi="標楷體"/>
          <w:b/>
          <w:sz w:val="28"/>
          <w:szCs w:val="28"/>
        </w:rPr>
        <w:t>本項通過決議</w:t>
      </w:r>
      <w:r w:rsidRPr="001B6E4D">
        <w:rPr>
          <w:rFonts w:ascii="標楷體" w:eastAsia="標楷體" w:hAnsi="標楷體" w:hint="eastAsia"/>
          <w:b/>
          <w:sz w:val="28"/>
          <w:szCs w:val="28"/>
        </w:rPr>
        <w:t>1</w:t>
      </w:r>
      <w:r w:rsidRPr="001B6E4D">
        <w:rPr>
          <w:rFonts w:ascii="標楷體" w:eastAsia="標楷體" w:hAnsi="標楷體"/>
          <w:b/>
          <w:sz w:val="28"/>
          <w:szCs w:val="28"/>
        </w:rPr>
        <w:t>0項：</w:t>
      </w:r>
    </w:p>
    <w:p w14:paraId="1929C591" w14:textId="77777777" w:rsidR="00201B77" w:rsidRPr="001B6E4D" w:rsidRDefault="00201B77" w:rsidP="003D1018">
      <w:pPr>
        <w:pStyle w:val="a"/>
        <w:numPr>
          <w:ilvl w:val="0"/>
          <w:numId w:val="60"/>
        </w:numPr>
        <w:overflowPunct w:val="0"/>
        <w:rPr>
          <w:color w:val="FF0000"/>
        </w:rPr>
      </w:pPr>
      <w:proofErr w:type="gramStart"/>
      <w:r w:rsidRPr="001B6E4D">
        <w:t>115</w:t>
      </w:r>
      <w:proofErr w:type="gramEnd"/>
      <w:r w:rsidRPr="001B6E4D">
        <w:t>年度總統府歲出預算第1目「一般行政」編列10億8,445萬1千</w:t>
      </w:r>
      <w:r w:rsidRPr="001B6E4D">
        <w:rPr>
          <w:rFonts w:hint="eastAsia"/>
        </w:rPr>
        <w:t>元</w:t>
      </w:r>
      <w:r w:rsidRPr="001B6E4D">
        <w:t>，凍結1,500萬元，</w:t>
      </w:r>
      <w:proofErr w:type="gramStart"/>
      <w:r w:rsidRPr="001B6E4D">
        <w:t>俟</w:t>
      </w:r>
      <w:proofErr w:type="gramEnd"/>
      <w:r w:rsidRPr="001B6E4D">
        <w:t>向立法院司法及法制委員會提出書面報告後，始得動支。</w:t>
      </w:r>
      <w:r w:rsidRPr="001B6E4D">
        <w:rPr>
          <w:rFonts w:hint="eastAsia"/>
        </w:rPr>
        <w:t>【1</w:t>
      </w:r>
      <w:r w:rsidRPr="001B6E4D">
        <w:t>1</w:t>
      </w:r>
      <w:r w:rsidRPr="001B6E4D">
        <w:rPr>
          <w:rFonts w:hint="eastAsia"/>
        </w:rPr>
        <w:t>、</w:t>
      </w:r>
      <w:r w:rsidRPr="001B6E4D">
        <w:t>13</w:t>
      </w:r>
      <w:r w:rsidRPr="001B6E4D">
        <w:rPr>
          <w:rFonts w:hint="eastAsia"/>
        </w:rPr>
        <w:t>、</w:t>
      </w:r>
      <w:r w:rsidRPr="001B6E4D">
        <w:t>14</w:t>
      </w:r>
      <w:r w:rsidRPr="001B6E4D">
        <w:rPr>
          <w:rFonts w:hint="eastAsia"/>
        </w:rPr>
        <w:t>】</w:t>
      </w:r>
    </w:p>
    <w:p w14:paraId="728CF88E" w14:textId="77777777" w:rsidR="00201B77" w:rsidRPr="001B6E4D" w:rsidRDefault="00201B77" w:rsidP="003D1018">
      <w:pPr>
        <w:pStyle w:val="2fb"/>
        <w:overflowPunct w:val="0"/>
      </w:pPr>
      <w:r w:rsidRPr="001B6E4D">
        <w:t>提案人：</w:t>
      </w:r>
      <w:r w:rsidRPr="001B6E4D">
        <w:rPr>
          <w:rFonts w:hint="eastAsia"/>
        </w:rPr>
        <w:t>許宇</w:t>
      </w:r>
      <w:proofErr w:type="gramStart"/>
      <w:r w:rsidRPr="001B6E4D">
        <w:rPr>
          <w:rFonts w:hint="eastAsia"/>
        </w:rPr>
        <w:t>甄</w:t>
      </w:r>
      <w:proofErr w:type="gramEnd"/>
      <w:r w:rsidRPr="001B6E4D">
        <w:rPr>
          <w:rFonts w:hint="eastAsia"/>
        </w:rPr>
        <w:t xml:space="preserve">　吳宗憲</w:t>
      </w:r>
    </w:p>
    <w:p w14:paraId="25285839" w14:textId="77777777" w:rsidR="00201B77" w:rsidRPr="001B6E4D" w:rsidRDefault="00201B77" w:rsidP="003D1018">
      <w:pPr>
        <w:pStyle w:val="2fb"/>
        <w:overflowPunct w:val="0"/>
      </w:pPr>
      <w:r w:rsidRPr="001B6E4D">
        <w:t>連署人：</w:t>
      </w:r>
      <w:r w:rsidRPr="001B6E4D">
        <w:rPr>
          <w:rFonts w:hint="eastAsia"/>
        </w:rPr>
        <w:t>翁曉玲　林倩綺</w:t>
      </w:r>
    </w:p>
    <w:p w14:paraId="17CD4745" w14:textId="77777777" w:rsidR="00201B77" w:rsidRPr="001B6E4D" w:rsidRDefault="00201B77" w:rsidP="003D1018">
      <w:pPr>
        <w:pStyle w:val="1f6"/>
        <w:overflowPunct w:val="0"/>
      </w:pPr>
      <w:proofErr w:type="gramStart"/>
      <w:r w:rsidRPr="001B6E4D">
        <w:t>115</w:t>
      </w:r>
      <w:proofErr w:type="gramEnd"/>
      <w:r w:rsidRPr="001B6E4D">
        <w:t>年度總統府歲出預算第4目「研究發展」編列555萬9千</w:t>
      </w:r>
      <w:r w:rsidRPr="001B6E4D">
        <w:rPr>
          <w:rFonts w:hint="eastAsia"/>
        </w:rPr>
        <w:t>元</w:t>
      </w:r>
      <w:r w:rsidRPr="001B6E4D">
        <w:t>，凍結50萬元，</w:t>
      </w:r>
      <w:proofErr w:type="gramStart"/>
      <w:r w:rsidRPr="001B6E4D">
        <w:t>俟</w:t>
      </w:r>
      <w:proofErr w:type="gramEnd"/>
      <w:r w:rsidRPr="001B6E4D">
        <w:t>向立法院司法及法制委員會提出書面報告後，始得動支。【18】</w:t>
      </w:r>
    </w:p>
    <w:p w14:paraId="3933DD43" w14:textId="77777777" w:rsidR="00201B77" w:rsidRPr="001B6E4D" w:rsidRDefault="00201B77" w:rsidP="003D1018">
      <w:pPr>
        <w:pStyle w:val="2fb"/>
        <w:overflowPunct w:val="0"/>
      </w:pPr>
      <w:r w:rsidRPr="001B6E4D">
        <w:t>提案人：</w:t>
      </w:r>
      <w:r w:rsidRPr="001B6E4D">
        <w:rPr>
          <w:rFonts w:hint="eastAsia"/>
        </w:rPr>
        <w:t>許宇</w:t>
      </w:r>
      <w:proofErr w:type="gramStart"/>
      <w:r w:rsidRPr="001B6E4D">
        <w:rPr>
          <w:rFonts w:hint="eastAsia"/>
        </w:rPr>
        <w:t>甄</w:t>
      </w:r>
      <w:proofErr w:type="gramEnd"/>
    </w:p>
    <w:p w14:paraId="15BC19DA" w14:textId="77777777" w:rsidR="00201B77" w:rsidRPr="001B6E4D" w:rsidRDefault="00201B77" w:rsidP="003D1018">
      <w:pPr>
        <w:pStyle w:val="2fb"/>
        <w:overflowPunct w:val="0"/>
      </w:pPr>
      <w:r w:rsidRPr="001B6E4D">
        <w:t>連署人：</w:t>
      </w:r>
      <w:r w:rsidRPr="001B6E4D">
        <w:rPr>
          <w:rFonts w:hint="eastAsia"/>
        </w:rPr>
        <w:t>翁曉玲　林倩綺</w:t>
      </w:r>
    </w:p>
    <w:p w14:paraId="6C3870BF" w14:textId="77777777" w:rsidR="00201B77" w:rsidRPr="001B6E4D" w:rsidRDefault="00201B77" w:rsidP="003D1018">
      <w:pPr>
        <w:pStyle w:val="1f6"/>
        <w:overflowPunct w:val="0"/>
      </w:pPr>
      <w:proofErr w:type="gramStart"/>
      <w:r w:rsidRPr="001B6E4D">
        <w:t>115</w:t>
      </w:r>
      <w:proofErr w:type="gramEnd"/>
      <w:r w:rsidRPr="001B6E4D">
        <w:t>年度總統府歲出預算第5目「新聞發布」編列869萬8千</w:t>
      </w:r>
      <w:r w:rsidRPr="001B6E4D">
        <w:rPr>
          <w:rFonts w:hint="eastAsia"/>
        </w:rPr>
        <w:t>元</w:t>
      </w:r>
      <w:r w:rsidRPr="001B6E4D">
        <w:t>，凍結</w:t>
      </w:r>
      <w:r w:rsidRPr="001B6E4D">
        <w:rPr>
          <w:rFonts w:hint="eastAsia"/>
        </w:rPr>
        <w:t>5</w:t>
      </w:r>
      <w:r w:rsidRPr="001B6E4D">
        <w:t>0萬元，</w:t>
      </w:r>
      <w:proofErr w:type="gramStart"/>
      <w:r w:rsidRPr="001B6E4D">
        <w:t>俟</w:t>
      </w:r>
      <w:proofErr w:type="gramEnd"/>
      <w:r w:rsidRPr="001B6E4D">
        <w:t>向立法院司法及法制委員會提出書面報告後，始得動支。【20】</w:t>
      </w:r>
    </w:p>
    <w:p w14:paraId="4C4A4433" w14:textId="77777777" w:rsidR="00201B77" w:rsidRPr="001B6E4D" w:rsidRDefault="00201B77" w:rsidP="003D1018">
      <w:pPr>
        <w:pStyle w:val="2fb"/>
        <w:overflowPunct w:val="0"/>
      </w:pPr>
      <w:r w:rsidRPr="001B6E4D">
        <w:t>提案人：</w:t>
      </w:r>
      <w:r w:rsidRPr="001B6E4D">
        <w:rPr>
          <w:rFonts w:hint="eastAsia"/>
        </w:rPr>
        <w:t>許宇</w:t>
      </w:r>
      <w:proofErr w:type="gramStart"/>
      <w:r w:rsidRPr="001B6E4D">
        <w:rPr>
          <w:rFonts w:hint="eastAsia"/>
        </w:rPr>
        <w:t>甄</w:t>
      </w:r>
      <w:proofErr w:type="gramEnd"/>
    </w:p>
    <w:p w14:paraId="58273942" w14:textId="77777777" w:rsidR="00201B77" w:rsidRPr="001B6E4D" w:rsidRDefault="00201B77" w:rsidP="003D1018">
      <w:pPr>
        <w:pStyle w:val="2fb"/>
        <w:overflowPunct w:val="0"/>
      </w:pPr>
      <w:r w:rsidRPr="001B6E4D">
        <w:t>連署人：</w:t>
      </w:r>
      <w:r w:rsidRPr="001B6E4D">
        <w:rPr>
          <w:rFonts w:hint="eastAsia"/>
        </w:rPr>
        <w:t>翁曉玲　林倩綺</w:t>
      </w:r>
    </w:p>
    <w:p w14:paraId="73CC85EB" w14:textId="77777777" w:rsidR="00201B77" w:rsidRPr="001B6E4D" w:rsidRDefault="00201B77" w:rsidP="003D1018">
      <w:pPr>
        <w:pStyle w:val="1f6"/>
        <w:overflowPunct w:val="0"/>
      </w:pPr>
      <w:r w:rsidRPr="001B6E4D">
        <w:t>針對</w:t>
      </w:r>
      <w:proofErr w:type="gramStart"/>
      <w:r w:rsidRPr="001B6E4D">
        <w:t>115</w:t>
      </w:r>
      <w:proofErr w:type="gramEnd"/>
      <w:r w:rsidRPr="001B6E4D">
        <w:t>年度總統府</w:t>
      </w:r>
      <w:r w:rsidRPr="001B6E4D">
        <w:rPr>
          <w:rFonts w:hint="eastAsia"/>
        </w:rPr>
        <w:t>預算案</w:t>
      </w:r>
      <w:r w:rsidRPr="001B6E4D">
        <w:t>於</w:t>
      </w:r>
      <w:r w:rsidRPr="001B6E4D">
        <w:rPr>
          <w:rFonts w:hint="eastAsia"/>
        </w:rPr>
        <w:t>第1目</w:t>
      </w:r>
      <w:r w:rsidRPr="001B6E4D">
        <w:t>「一般行政」項下「資訊行政工作維持費」編列1億1,303萬餘元，其中歷時4年之「</w:t>
      </w:r>
      <w:proofErr w:type="gramStart"/>
      <w:r w:rsidRPr="001B6E4D">
        <w:t>資訊資安基礎</w:t>
      </w:r>
      <w:proofErr w:type="gramEnd"/>
      <w:r w:rsidRPr="001B6E4D">
        <w:t>環境創新升級計畫」（總經費1億2,261萬餘元）進入最後一年，並續編3,503萬餘元預算。為因應當前生成式AI、</w:t>
      </w:r>
      <w:proofErr w:type="gramStart"/>
      <w:r w:rsidRPr="001B6E4D">
        <w:t>深偽技術</w:t>
      </w:r>
      <w:proofErr w:type="gramEnd"/>
      <w:r w:rsidRPr="001B6E4D">
        <w:t>（Deepfake）與複合式網路攻擊之嚴峻威脅，確保國家最高中樞數位環境之絕對安全，總統府應針對該4年期計畫執行成效進行總體驗收，並評估新型態防禦能量之實質提升情形，</w:t>
      </w:r>
      <w:proofErr w:type="gramStart"/>
      <w:r w:rsidRPr="001B6E4D">
        <w:t>爰</w:t>
      </w:r>
      <w:proofErr w:type="gramEnd"/>
      <w:r w:rsidRPr="001B6E4D">
        <w:t>建請總統府於</w:t>
      </w:r>
      <w:r w:rsidRPr="001B6E4D">
        <w:rPr>
          <w:rFonts w:hint="eastAsia"/>
        </w:rPr>
        <w:t>3</w:t>
      </w:r>
      <w:r w:rsidRPr="001B6E4D">
        <w:t>個月內提交書面報告送予立法院司法及法制委員會。【2</w:t>
      </w:r>
      <w:r w:rsidRPr="001B6E4D">
        <w:rPr>
          <w:rFonts w:hint="eastAsia"/>
        </w:rPr>
        <w:t>3</w:t>
      </w:r>
      <w:r w:rsidRPr="001B6E4D">
        <w:t>】</w:t>
      </w:r>
    </w:p>
    <w:p w14:paraId="083A8CA0" w14:textId="77777777" w:rsidR="00201B77" w:rsidRPr="001B6E4D" w:rsidRDefault="00201B77" w:rsidP="003D1018">
      <w:pPr>
        <w:pStyle w:val="2fb"/>
        <w:overflowPunct w:val="0"/>
      </w:pPr>
      <w:r w:rsidRPr="001B6E4D">
        <w:t>提案人：莊瑞雄</w:t>
      </w:r>
    </w:p>
    <w:p w14:paraId="49317A2A" w14:textId="77777777" w:rsidR="00201B77" w:rsidRPr="001B6E4D" w:rsidRDefault="00201B77" w:rsidP="003D1018">
      <w:pPr>
        <w:pStyle w:val="2fb"/>
        <w:overflowPunct w:val="0"/>
        <w:rPr>
          <w:color w:val="FF0000"/>
        </w:rPr>
      </w:pPr>
      <w:r w:rsidRPr="001B6E4D">
        <w:t>連署人：</w:t>
      </w:r>
      <w:proofErr w:type="gramStart"/>
      <w:r w:rsidRPr="001B6E4D">
        <w:rPr>
          <w:rFonts w:hint="eastAsia"/>
        </w:rPr>
        <w:t>范</w:t>
      </w:r>
      <w:proofErr w:type="gramEnd"/>
      <w:r w:rsidRPr="001B6E4D">
        <w:rPr>
          <w:rFonts w:hint="eastAsia"/>
        </w:rPr>
        <w:t xml:space="preserve">  雲  張雅琳</w:t>
      </w:r>
    </w:p>
    <w:p w14:paraId="0A288543" w14:textId="77777777" w:rsidR="00201B77" w:rsidRPr="001B6E4D" w:rsidRDefault="00201B77" w:rsidP="003D1018">
      <w:pPr>
        <w:pStyle w:val="1f6"/>
        <w:overflowPunct w:val="0"/>
      </w:pPr>
      <w:r w:rsidRPr="001B6E4D">
        <w:t>針對總統府推動跨年度之「中央空調主機與送風機系統</w:t>
      </w:r>
      <w:proofErr w:type="gramStart"/>
      <w:r w:rsidRPr="001B6E4D">
        <w:t>汰</w:t>
      </w:r>
      <w:proofErr w:type="gramEnd"/>
      <w:r w:rsidRPr="001B6E4D">
        <w:t>換計畫」（總經費高達9,960萬元）及「</w:t>
      </w:r>
      <w:proofErr w:type="gramStart"/>
      <w:r w:rsidRPr="001B6E4D">
        <w:t>外牆立面</w:t>
      </w:r>
      <w:proofErr w:type="gramEnd"/>
      <w:r w:rsidRPr="001B6E4D">
        <w:t>門窗整修</w:t>
      </w:r>
      <w:proofErr w:type="gramStart"/>
      <w:r w:rsidRPr="001B6E4D">
        <w:t>及露台</w:t>
      </w:r>
      <w:proofErr w:type="gramEnd"/>
      <w:r w:rsidRPr="001B6E4D">
        <w:t>防水改善計畫」（總經費達9,700萬元），</w:t>
      </w:r>
      <w:proofErr w:type="gramStart"/>
      <w:r w:rsidRPr="001B6E4D">
        <w:t>115</w:t>
      </w:r>
      <w:proofErr w:type="gramEnd"/>
      <w:r w:rsidRPr="001B6E4D">
        <w:t>年度於「一般行政」項下分別</w:t>
      </w:r>
      <w:proofErr w:type="gramStart"/>
      <w:r w:rsidRPr="001B6E4D">
        <w:t>賡</w:t>
      </w:r>
      <w:proofErr w:type="gramEnd"/>
      <w:r w:rsidRPr="001B6E4D">
        <w:t>續編列最後一年經費5,756萬餘元及第2年經費2,690萬餘元。為引領政府機關落實2050</w:t>
      </w:r>
      <w:proofErr w:type="gramStart"/>
      <w:r w:rsidRPr="001B6E4D">
        <w:t>淨零轉型</w:t>
      </w:r>
      <w:proofErr w:type="gramEnd"/>
      <w:r w:rsidRPr="001B6E4D">
        <w:t>，總統府應將ESG與最高標準</w:t>
      </w:r>
      <w:proofErr w:type="gramStart"/>
      <w:r w:rsidRPr="001B6E4D">
        <w:t>之綠能建材</w:t>
      </w:r>
      <w:proofErr w:type="gramEnd"/>
      <w:r w:rsidRPr="001B6E4D">
        <w:t>、智慧能源管理系統納入修繕執行計畫，政府維護國定古蹟，其意義除保存歷史建物，更應符合當代國家發展之核心價值。在全球氣候變遷與國家推動</w:t>
      </w:r>
      <w:proofErr w:type="gramStart"/>
      <w:r w:rsidRPr="001B6E4D">
        <w:t>淨零碳排</w:t>
      </w:r>
      <w:proofErr w:type="gramEnd"/>
      <w:r w:rsidRPr="001B6E4D">
        <w:t>之戰略目標下，總統府作為國家最高政治中樞，其建築養</w:t>
      </w:r>
      <w:r w:rsidRPr="001B6E4D">
        <w:lastRenderedPageBreak/>
        <w:t>護與機電設備</w:t>
      </w:r>
      <w:proofErr w:type="gramStart"/>
      <w:r w:rsidRPr="001B6E4D">
        <w:t>汰</w:t>
      </w:r>
      <w:proofErr w:type="gramEnd"/>
      <w:r w:rsidRPr="001B6E4D">
        <w:t>換，應成為全國公部門之綠色標竿。古蹟修繕雖受限於文資法規，執行難度甚高，但仍應在不破壞歷史外觀之原則下，極大化能源使用效率，確保具備長期的</w:t>
      </w:r>
      <w:proofErr w:type="gramStart"/>
      <w:r w:rsidRPr="001B6E4D">
        <w:t>節能減碳效益</w:t>
      </w:r>
      <w:proofErr w:type="gramEnd"/>
      <w:r w:rsidRPr="001B6E4D">
        <w:t>，並導入現代化之能源監控機制，</w:t>
      </w:r>
      <w:proofErr w:type="gramStart"/>
      <w:r w:rsidRPr="001B6E4D">
        <w:t>爰</w:t>
      </w:r>
      <w:proofErr w:type="gramEnd"/>
      <w:r w:rsidRPr="001B6E4D">
        <w:t>建請總統府於</w:t>
      </w:r>
      <w:r w:rsidRPr="001B6E4D">
        <w:rPr>
          <w:rFonts w:hint="eastAsia"/>
        </w:rPr>
        <w:t>3</w:t>
      </w:r>
      <w:r w:rsidRPr="001B6E4D">
        <w:t>個月內提交書面報告送予立法院司法及法制委員會。【2</w:t>
      </w:r>
      <w:r w:rsidRPr="001B6E4D">
        <w:rPr>
          <w:rFonts w:hint="eastAsia"/>
        </w:rPr>
        <w:t>4</w:t>
      </w:r>
      <w:r w:rsidRPr="001B6E4D">
        <w:t>】</w:t>
      </w:r>
    </w:p>
    <w:p w14:paraId="4F8D1350" w14:textId="77777777" w:rsidR="00201B77" w:rsidRPr="001B6E4D" w:rsidRDefault="00201B77" w:rsidP="003D1018">
      <w:pPr>
        <w:pStyle w:val="2fb"/>
        <w:overflowPunct w:val="0"/>
      </w:pPr>
      <w:r w:rsidRPr="001B6E4D">
        <w:t>提案人：莊瑞雄</w:t>
      </w:r>
    </w:p>
    <w:p w14:paraId="722AB1D6" w14:textId="77777777" w:rsidR="00201B77" w:rsidRPr="001B6E4D" w:rsidRDefault="00201B77" w:rsidP="003D1018">
      <w:pPr>
        <w:pStyle w:val="2fb"/>
        <w:overflowPunct w:val="0"/>
      </w:pPr>
      <w:r w:rsidRPr="001B6E4D">
        <w:rPr>
          <w:rFonts w:hint="eastAsia"/>
        </w:rPr>
        <w:t>連署人：</w:t>
      </w:r>
      <w:proofErr w:type="gramStart"/>
      <w:r w:rsidRPr="001B6E4D">
        <w:rPr>
          <w:rFonts w:hint="eastAsia"/>
        </w:rPr>
        <w:t>范</w:t>
      </w:r>
      <w:proofErr w:type="gramEnd"/>
      <w:r w:rsidRPr="001B6E4D">
        <w:rPr>
          <w:rFonts w:hint="eastAsia"/>
        </w:rPr>
        <w:t xml:space="preserve">  雲  張雅琳</w:t>
      </w:r>
    </w:p>
    <w:p w14:paraId="6AF54D69" w14:textId="77777777" w:rsidR="00201B77" w:rsidRPr="001B6E4D" w:rsidRDefault="00201B77" w:rsidP="003D1018">
      <w:pPr>
        <w:pStyle w:val="1f6"/>
        <w:overflowPunct w:val="0"/>
      </w:pPr>
      <w:proofErr w:type="gramStart"/>
      <w:r w:rsidRPr="001B6E4D">
        <w:t>115</w:t>
      </w:r>
      <w:proofErr w:type="gramEnd"/>
      <w:r w:rsidRPr="001B6E4D">
        <w:t>年度總統府預算案</w:t>
      </w:r>
      <w:r w:rsidRPr="001B6E4D">
        <w:rPr>
          <w:rFonts w:hint="eastAsia"/>
        </w:rPr>
        <w:t>於第1目</w:t>
      </w:r>
      <w:r w:rsidRPr="001B6E4D">
        <w:t>「一般行政</w:t>
      </w:r>
      <w:r w:rsidRPr="001B6E4D">
        <w:rPr>
          <w:rFonts w:hint="eastAsia"/>
        </w:rPr>
        <w:t>」項下「</w:t>
      </w:r>
      <w:r w:rsidRPr="001B6E4D">
        <w:t>基本行政工作維持」</w:t>
      </w:r>
      <w:r w:rsidRPr="001B6E4D">
        <w:rPr>
          <w:rFonts w:hint="eastAsia"/>
        </w:rPr>
        <w:t>中</w:t>
      </w:r>
      <w:r w:rsidRPr="001B6E4D">
        <w:t>「中央空調主機與送風機系統</w:t>
      </w:r>
      <w:proofErr w:type="gramStart"/>
      <w:r w:rsidRPr="001B6E4D">
        <w:t>汰換風</w:t>
      </w:r>
      <w:proofErr w:type="gramEnd"/>
      <w:r w:rsidRPr="001B6E4D">
        <w:t>機與管線計畫」編列5,756萬元，惟總統府為國定古蹟，相關修繕及設備改善工程應嚴格遵循文化資產保存法、古蹟修復相關規範及職業安全衛生法等規定，兼顧工程品質、施工安全、勞工安全及古蹟本體保存；然該計畫截至114年8月底</w:t>
      </w:r>
      <w:proofErr w:type="gramStart"/>
      <w:r w:rsidRPr="001B6E4D">
        <w:t>止</w:t>
      </w:r>
      <w:proofErr w:type="gramEnd"/>
      <w:r w:rsidRPr="001B6E4D">
        <w:t>累計預算執行率僅2.66%，且114年4月24日因承商未經許可擅自動火施工，致發生火警事故，雖未造成古蹟本體損害及人員傷亡，仍顯示工程進度管控、施工安全監督、現場管理及風險防範</w:t>
      </w:r>
      <w:proofErr w:type="gramStart"/>
      <w:r w:rsidRPr="001B6E4D">
        <w:t>機制均有不足</w:t>
      </w:r>
      <w:proofErr w:type="gramEnd"/>
      <w:r w:rsidRPr="001B6E4D">
        <w:t>，並已影響後續工程期程。</w:t>
      </w:r>
    </w:p>
    <w:p w14:paraId="5FA799EC" w14:textId="77777777" w:rsidR="00201B77" w:rsidRPr="001B6E4D" w:rsidRDefault="00201B77" w:rsidP="003D1018">
      <w:pPr>
        <w:pStyle w:val="1f7"/>
        <w:overflowPunct w:val="0"/>
      </w:pPr>
      <w:r w:rsidRPr="001B6E4D">
        <w:t>為避免工程再度延宕，確保施工現場符合職業安全衛生法規範、維護國定古蹟安全，並使相關修繕及設備</w:t>
      </w:r>
      <w:proofErr w:type="gramStart"/>
      <w:r w:rsidRPr="001B6E4D">
        <w:t>汰</w:t>
      </w:r>
      <w:proofErr w:type="gramEnd"/>
      <w:r w:rsidRPr="001B6E4D">
        <w:t>換工程得以</w:t>
      </w:r>
      <w:r w:rsidRPr="001B6E4D">
        <w:rPr>
          <w:rFonts w:hint="eastAsia"/>
        </w:rPr>
        <w:t>儘</w:t>
      </w:r>
      <w:r w:rsidRPr="001B6E4D">
        <w:t>速推動完成。建請總統府就工程重新招標期程、施工安全管理、職業安全衛生防護措施、古蹟保護措施、風險防範機制及進度管考機制，於3個月內向立法院司法及法制委員會提出書面報告。【2</w:t>
      </w:r>
      <w:r w:rsidRPr="001B6E4D">
        <w:rPr>
          <w:rFonts w:hint="eastAsia"/>
        </w:rPr>
        <w:t>5</w:t>
      </w:r>
      <w:r w:rsidRPr="001B6E4D">
        <w:t>】</w:t>
      </w:r>
    </w:p>
    <w:p w14:paraId="3BC8D86A" w14:textId="77777777" w:rsidR="00201B77" w:rsidRPr="001B6E4D" w:rsidRDefault="00201B77" w:rsidP="003D1018">
      <w:pPr>
        <w:pStyle w:val="2fb"/>
        <w:overflowPunct w:val="0"/>
      </w:pPr>
      <w:r w:rsidRPr="001B6E4D">
        <w:t>提案人：張雅琳</w:t>
      </w:r>
    </w:p>
    <w:p w14:paraId="232320A5" w14:textId="77777777" w:rsidR="00201B77" w:rsidRPr="001B6E4D" w:rsidRDefault="00201B77" w:rsidP="003D1018">
      <w:pPr>
        <w:pStyle w:val="2fb"/>
        <w:overflowPunct w:val="0"/>
      </w:pPr>
      <w:r w:rsidRPr="001B6E4D">
        <w:rPr>
          <w:rFonts w:hint="eastAsia"/>
        </w:rPr>
        <w:t>連署人：沈發惠  莊瑞雄</w:t>
      </w:r>
    </w:p>
    <w:p w14:paraId="15A80E05" w14:textId="77777777" w:rsidR="00201B77" w:rsidRPr="001B6E4D" w:rsidRDefault="00201B77" w:rsidP="003D1018">
      <w:pPr>
        <w:pStyle w:val="1f6"/>
        <w:overflowPunct w:val="0"/>
      </w:pPr>
      <w:r w:rsidRPr="001B6E4D">
        <w:t>總統府設置之「國家氣候變遷對策委員會」、「</w:t>
      </w:r>
      <w:proofErr w:type="gramStart"/>
      <w:r w:rsidRPr="001B6E4D">
        <w:t>健康台灣推動委員會</w:t>
      </w:r>
      <w:proofErr w:type="gramEnd"/>
      <w:r w:rsidRPr="001B6E4D">
        <w:t>」及「全社會防衛韌性委員會」，均屬國家重大政策諮詢平台，肩負協助總統</w:t>
      </w:r>
      <w:proofErr w:type="gramStart"/>
      <w:r w:rsidRPr="001B6E4D">
        <w:t>擘</w:t>
      </w:r>
      <w:proofErr w:type="gramEnd"/>
      <w:r w:rsidRPr="001B6E4D">
        <w:t>劃氣候治理、全民健康及社會防衛韌性等重要政策方向之功能，</w:t>
      </w:r>
      <w:proofErr w:type="gramStart"/>
      <w:r w:rsidRPr="001B6E4D">
        <w:t>惟查第2屆</w:t>
      </w:r>
      <w:proofErr w:type="gramEnd"/>
      <w:r w:rsidRPr="001B6E4D">
        <w:t>三大委員會女性委員比例分別僅為28.57%、14.81%及37.04%，</w:t>
      </w:r>
      <w:proofErr w:type="gramStart"/>
      <w:r w:rsidRPr="001B6E4D">
        <w:t>均未達</w:t>
      </w:r>
      <w:proofErr w:type="gramEnd"/>
      <w:r w:rsidRPr="001B6E4D">
        <w:t>任</w:t>
      </w:r>
      <w:proofErr w:type="gramStart"/>
      <w:r w:rsidRPr="001B6E4D">
        <w:t>一</w:t>
      </w:r>
      <w:proofErr w:type="gramEnd"/>
      <w:r w:rsidRPr="001B6E4D">
        <w:t>性別比例40%之原則，且所聘顧問亦未見女性成員，顯示委員及顧問</w:t>
      </w:r>
      <w:proofErr w:type="gramStart"/>
      <w:r w:rsidRPr="001B6E4D">
        <w:t>遴</w:t>
      </w:r>
      <w:proofErr w:type="gramEnd"/>
      <w:r w:rsidRPr="001B6E4D">
        <w:t>聘機制仍有檢討空間。</w:t>
      </w:r>
    </w:p>
    <w:p w14:paraId="6B2E9282" w14:textId="77777777" w:rsidR="00201B77" w:rsidRPr="001B6E4D" w:rsidRDefault="00201B77" w:rsidP="003D1018">
      <w:pPr>
        <w:pStyle w:val="1f7"/>
        <w:overflowPunct w:val="0"/>
      </w:pPr>
      <w:proofErr w:type="gramStart"/>
      <w:r w:rsidRPr="001B6E4D">
        <w:t>鑑</w:t>
      </w:r>
      <w:proofErr w:type="gramEnd"/>
      <w:r w:rsidRPr="001B6E4D">
        <w:t>於性別平等及多元參與為我國落實</w:t>
      </w:r>
      <w:r w:rsidRPr="001B6E4D">
        <w:rPr>
          <w:rFonts w:hint="eastAsia"/>
        </w:rPr>
        <w:t>消除對婦女一切形式歧視公約(</w:t>
      </w:r>
      <w:r w:rsidRPr="001B6E4D">
        <w:t>CEDAW)、性別平等政策綱領及</w:t>
      </w:r>
      <w:r w:rsidRPr="001B6E4D">
        <w:rPr>
          <w:rFonts w:hint="eastAsia"/>
        </w:rPr>
        <w:t>聯合國永續發展目標(</w:t>
      </w:r>
      <w:r w:rsidRPr="001B6E4D">
        <w:t>SDGs</w:t>
      </w:r>
      <w:r w:rsidRPr="001B6E4D">
        <w:rPr>
          <w:rFonts w:hint="eastAsia"/>
        </w:rPr>
        <w:t>)</w:t>
      </w:r>
      <w:r w:rsidRPr="001B6E4D">
        <w:t>之重要目標，總統府作為國家核心象徵機關，更應發揮表率作用，於重大政策諮詢平台中納入不同性別及多元背景之專業意見。</w:t>
      </w:r>
      <w:proofErr w:type="gramStart"/>
      <w:r w:rsidRPr="001B6E4D">
        <w:t>爰</w:t>
      </w:r>
      <w:proofErr w:type="gramEnd"/>
      <w:r w:rsidRPr="001B6E4D">
        <w:rPr>
          <w:rFonts w:hint="eastAsia"/>
        </w:rPr>
        <w:t>建請</w:t>
      </w:r>
      <w:r w:rsidRPr="001B6E4D">
        <w:t>總統府於</w:t>
      </w:r>
      <w:r w:rsidRPr="001B6E4D">
        <w:rPr>
          <w:rFonts w:hint="eastAsia"/>
        </w:rPr>
        <w:t>3</w:t>
      </w:r>
      <w:r w:rsidRPr="001B6E4D">
        <w:t>個月內，就三大委員會委員及顧問之性別比例、</w:t>
      </w:r>
      <w:proofErr w:type="gramStart"/>
      <w:r w:rsidRPr="001B6E4D">
        <w:t>遴</w:t>
      </w:r>
      <w:proofErr w:type="gramEnd"/>
      <w:r w:rsidRPr="001B6E4D">
        <w:t>聘標準、專業領域分布</w:t>
      </w:r>
      <w:r w:rsidRPr="001B6E4D">
        <w:rPr>
          <w:rFonts w:hint="eastAsia"/>
        </w:rPr>
        <w:t>等</w:t>
      </w:r>
      <w:r w:rsidRPr="001B6E4D">
        <w:t>進行檢討，向立法</w:t>
      </w:r>
      <w:r w:rsidRPr="001B6E4D">
        <w:lastRenderedPageBreak/>
        <w:t>院司法及法制委員會提出書面報告，以促進政策諮詢機制之性別平衡、多元代表性及公共決策品質。【2</w:t>
      </w:r>
      <w:r w:rsidRPr="001B6E4D">
        <w:rPr>
          <w:rFonts w:hint="eastAsia"/>
        </w:rPr>
        <w:t>6</w:t>
      </w:r>
      <w:r w:rsidRPr="001B6E4D">
        <w:t>】</w:t>
      </w:r>
    </w:p>
    <w:p w14:paraId="74B76402" w14:textId="77777777" w:rsidR="00201B77" w:rsidRPr="001B6E4D" w:rsidRDefault="00201B77" w:rsidP="003D1018">
      <w:pPr>
        <w:pStyle w:val="2fb"/>
        <w:overflowPunct w:val="0"/>
      </w:pPr>
      <w:r w:rsidRPr="001B6E4D">
        <w:t>提案人：張雅琳</w:t>
      </w:r>
    </w:p>
    <w:p w14:paraId="3A849863" w14:textId="77777777" w:rsidR="00201B77" w:rsidRPr="001B6E4D" w:rsidRDefault="00201B77" w:rsidP="003D1018">
      <w:pPr>
        <w:pStyle w:val="2fb"/>
        <w:overflowPunct w:val="0"/>
      </w:pPr>
      <w:r w:rsidRPr="001B6E4D">
        <w:rPr>
          <w:rFonts w:hint="eastAsia"/>
        </w:rPr>
        <w:t>連署人：沈發惠  莊瑞雄</w:t>
      </w:r>
    </w:p>
    <w:p w14:paraId="0BD6EAF4" w14:textId="77777777" w:rsidR="00201B77" w:rsidRPr="001B6E4D" w:rsidRDefault="00201B77" w:rsidP="003D1018">
      <w:pPr>
        <w:pStyle w:val="1f6"/>
        <w:overflowPunct w:val="0"/>
      </w:pPr>
      <w:r w:rsidRPr="001B6E4D">
        <w:t>總統府設置之「國家氣候變遷對策委員會」，係國家重大氣候治理</w:t>
      </w:r>
      <w:proofErr w:type="gramStart"/>
      <w:r w:rsidRPr="001B6E4D">
        <w:t>及淨零轉型</w:t>
      </w:r>
      <w:proofErr w:type="gramEnd"/>
      <w:r w:rsidRPr="001B6E4D">
        <w:t>政策之重要諮詢平台，所</w:t>
      </w:r>
      <w:proofErr w:type="gramStart"/>
      <w:r w:rsidRPr="001B6E4D">
        <w:t>研</w:t>
      </w:r>
      <w:proofErr w:type="gramEnd"/>
      <w:r w:rsidRPr="001B6E4D">
        <w:t>議事項</w:t>
      </w:r>
      <w:proofErr w:type="gramStart"/>
      <w:r w:rsidRPr="001B6E4D">
        <w:t>涉及淨零路徑</w:t>
      </w:r>
      <w:proofErr w:type="gramEnd"/>
      <w:r w:rsidRPr="001B6E4D">
        <w:t>、能源轉型、公正轉型、國土調適韌性及永續生活等重大公共政策，對不同</w:t>
      </w:r>
      <w:proofErr w:type="gramStart"/>
      <w:r w:rsidRPr="001B6E4D">
        <w:t>世代均有深遠</w:t>
      </w:r>
      <w:proofErr w:type="gramEnd"/>
      <w:r w:rsidRPr="001B6E4D">
        <w:t>影響。</w:t>
      </w:r>
      <w:proofErr w:type="gramStart"/>
      <w:r w:rsidRPr="001B6E4D">
        <w:t>惟</w:t>
      </w:r>
      <w:proofErr w:type="gramEnd"/>
      <w:r w:rsidRPr="001B6E4D">
        <w:t>氣候變遷所造成之極端氣候、空氣污染、災害風險、居住環境變遷及未來產業轉型成本，將長期影響兒童及少年之健康、受教育權、生活環境及未來發展機會；</w:t>
      </w:r>
      <w:proofErr w:type="gramStart"/>
      <w:r w:rsidRPr="001B6E4D">
        <w:t>且兒少雖</w:t>
      </w:r>
      <w:proofErr w:type="gramEnd"/>
      <w:r w:rsidRPr="001B6E4D">
        <w:t>為氣候政策之重要利害關係人，現行公共決策過程中仍較缺乏兒少觀點之制度性納入機制。</w:t>
      </w:r>
    </w:p>
    <w:p w14:paraId="4F005613" w14:textId="77777777" w:rsidR="00201B77" w:rsidRPr="001B6E4D" w:rsidRDefault="00201B77" w:rsidP="003D1018">
      <w:pPr>
        <w:pStyle w:val="1f7"/>
        <w:overflowPunct w:val="0"/>
      </w:pPr>
      <w:proofErr w:type="gramStart"/>
      <w:r w:rsidRPr="001B6E4D">
        <w:t>爰</w:t>
      </w:r>
      <w:proofErr w:type="gramEnd"/>
      <w:r w:rsidRPr="001B6E4D">
        <w:rPr>
          <w:rFonts w:hint="eastAsia"/>
        </w:rPr>
        <w:t>建請</w:t>
      </w:r>
      <w:r w:rsidRPr="001B6E4D">
        <w:t>總統府於「國家氣候變遷對策委員會」議題設定及會議運作中，應強化兒童及少年觀點之參與及代表性，積極納入兒少權益、教育、健康、環境及世代正義等相關專家意見，並</w:t>
      </w:r>
      <w:proofErr w:type="gramStart"/>
      <w:r w:rsidRPr="001B6E4D">
        <w:t>研</w:t>
      </w:r>
      <w:proofErr w:type="gramEnd"/>
      <w:r w:rsidRPr="001B6E4D">
        <w:t>議建立兒少意見蒐集及回饋機制，於</w:t>
      </w:r>
      <w:r w:rsidRPr="001B6E4D">
        <w:rPr>
          <w:rFonts w:hint="eastAsia"/>
        </w:rPr>
        <w:t>3</w:t>
      </w:r>
      <w:r w:rsidRPr="001B6E4D">
        <w:t>個月內向立法院司法及法制委員會提出書面報告，說明</w:t>
      </w:r>
      <w:proofErr w:type="gramStart"/>
      <w:r w:rsidRPr="001B6E4D">
        <w:t>現行兒</w:t>
      </w:r>
      <w:proofErr w:type="gramEnd"/>
      <w:r w:rsidRPr="001B6E4D">
        <w:t>少觀點納入情形、參與機制及後續改善</w:t>
      </w:r>
      <w:r w:rsidRPr="001B6E4D">
        <w:rPr>
          <w:rFonts w:hint="eastAsia"/>
        </w:rPr>
        <w:t>情形</w:t>
      </w:r>
      <w:r w:rsidRPr="001B6E4D">
        <w:t>，以確保氣候政策兼顧世代正義與兒少權益保障。【2</w:t>
      </w:r>
      <w:r w:rsidRPr="001B6E4D">
        <w:rPr>
          <w:rFonts w:hint="eastAsia"/>
        </w:rPr>
        <w:t>7</w:t>
      </w:r>
      <w:r w:rsidRPr="001B6E4D">
        <w:t>】</w:t>
      </w:r>
    </w:p>
    <w:p w14:paraId="5AF30306" w14:textId="77777777" w:rsidR="00201B77" w:rsidRPr="001B6E4D" w:rsidRDefault="00201B77" w:rsidP="003D1018">
      <w:pPr>
        <w:pStyle w:val="2fb"/>
        <w:overflowPunct w:val="0"/>
      </w:pPr>
      <w:r w:rsidRPr="001B6E4D">
        <w:t>提案人：張雅琳</w:t>
      </w:r>
    </w:p>
    <w:p w14:paraId="37C7DB24" w14:textId="77777777" w:rsidR="00201B77" w:rsidRPr="001B6E4D" w:rsidRDefault="00201B77" w:rsidP="003D1018">
      <w:pPr>
        <w:pStyle w:val="2fb"/>
        <w:overflowPunct w:val="0"/>
      </w:pPr>
      <w:r w:rsidRPr="001B6E4D">
        <w:rPr>
          <w:rFonts w:hint="eastAsia"/>
        </w:rPr>
        <w:t>連署人：沈發惠  莊瑞雄</w:t>
      </w:r>
    </w:p>
    <w:p w14:paraId="092EC561" w14:textId="77777777" w:rsidR="00201B77" w:rsidRPr="001B6E4D" w:rsidRDefault="00201B77" w:rsidP="003D1018">
      <w:pPr>
        <w:pStyle w:val="1f6"/>
        <w:overflowPunct w:val="0"/>
      </w:pPr>
      <w:r w:rsidRPr="001B6E4D">
        <w:t>總統府為國家核心象徵機關，亦為人民理解憲政制度、民主運作及公共治理之重要場域。依《兒童權利公約》第12條規定，兒童有權就影響其本身之所有事項自由表示意見，其意見並應依其年齡及成熟度予以適當重視；另依兒童權利公約施行法精神，政府機關於規劃公共政策、民主教育及開放參與機制時，應重視兒童及少年表達意見、取得資訊及參與公共事務之權利。</w:t>
      </w:r>
      <w:proofErr w:type="gramStart"/>
      <w:r w:rsidRPr="001B6E4D">
        <w:t>惟</w:t>
      </w:r>
      <w:proofErr w:type="gramEnd"/>
      <w:r w:rsidRPr="001B6E4D">
        <w:t>現行總統府相關公共參與及民主教育機制，對兒童及少年之制度性參與管道仍有強化空間。</w:t>
      </w:r>
    </w:p>
    <w:p w14:paraId="6256D0C9" w14:textId="77777777" w:rsidR="00201B77" w:rsidRPr="001B6E4D" w:rsidRDefault="00201B77" w:rsidP="003D1018">
      <w:pPr>
        <w:pStyle w:val="1f7"/>
        <w:overflowPunct w:val="0"/>
      </w:pPr>
      <w:proofErr w:type="gramStart"/>
      <w:r w:rsidRPr="001B6E4D">
        <w:t>爰</w:t>
      </w:r>
      <w:proofErr w:type="gramEnd"/>
      <w:r w:rsidRPr="001B6E4D">
        <w:t>要求總統府</w:t>
      </w:r>
      <w:proofErr w:type="gramStart"/>
      <w:r w:rsidRPr="001B6E4D">
        <w:t>研</w:t>
      </w:r>
      <w:proofErr w:type="gramEnd"/>
      <w:r w:rsidRPr="001B6E4D">
        <w:t>議建立兒少友善之開放參與機制，包括規劃適合兒少理解之總統府參訪、民主及憲政教育內容、兒少公共議題諮詢機制、意見蒐集與回饋制度，</w:t>
      </w:r>
      <w:proofErr w:type="gramStart"/>
      <w:r w:rsidRPr="001B6E4D">
        <w:t>並以兒少</w:t>
      </w:r>
      <w:proofErr w:type="gramEnd"/>
      <w:r w:rsidRPr="001B6E4D">
        <w:t>可理解之布置說明總統府職能及重大公共政策。綜上，建請</w:t>
      </w:r>
      <w:r w:rsidRPr="001B6E4D">
        <w:rPr>
          <w:rFonts w:hint="eastAsia"/>
        </w:rPr>
        <w:t>3</w:t>
      </w:r>
      <w:r w:rsidRPr="001B6E4D">
        <w:t>個月內向立法院司法及法制委員會提出書面報告，以落實《兒童權利公約》第12條所揭示之</w:t>
      </w:r>
      <w:proofErr w:type="gramStart"/>
      <w:r w:rsidRPr="001B6E4D">
        <w:t>兒少表意</w:t>
      </w:r>
      <w:proofErr w:type="gramEnd"/>
      <w:r w:rsidRPr="001B6E4D">
        <w:t>權與參與精神，促進兒童及少年對民主治理之理解與公共參與。【2</w:t>
      </w:r>
      <w:r w:rsidRPr="001B6E4D">
        <w:rPr>
          <w:rFonts w:hint="eastAsia"/>
        </w:rPr>
        <w:t>8</w:t>
      </w:r>
      <w:r w:rsidRPr="001B6E4D">
        <w:t>】</w:t>
      </w:r>
    </w:p>
    <w:p w14:paraId="379491DA" w14:textId="77777777" w:rsidR="00201B77" w:rsidRPr="001B6E4D" w:rsidRDefault="00201B77" w:rsidP="003D1018">
      <w:pPr>
        <w:pStyle w:val="2fb"/>
        <w:overflowPunct w:val="0"/>
      </w:pPr>
      <w:r w:rsidRPr="001B6E4D">
        <w:t>提案人：張雅琳</w:t>
      </w:r>
    </w:p>
    <w:p w14:paraId="59AC2213" w14:textId="77777777" w:rsidR="00201B77" w:rsidRPr="001B6E4D" w:rsidRDefault="00201B77" w:rsidP="003D1018">
      <w:pPr>
        <w:pStyle w:val="2fb"/>
        <w:overflowPunct w:val="0"/>
      </w:pPr>
      <w:r w:rsidRPr="001B6E4D">
        <w:rPr>
          <w:rFonts w:hint="eastAsia"/>
        </w:rPr>
        <w:t>連署人：沈發惠  莊瑞雄</w:t>
      </w:r>
    </w:p>
    <w:p w14:paraId="3BA4107D" w14:textId="77777777" w:rsidR="00201B77" w:rsidRPr="001B6E4D" w:rsidRDefault="00201B77" w:rsidP="003D1018">
      <w:pPr>
        <w:pStyle w:val="1f6"/>
        <w:overflowPunct w:val="0"/>
        <w:spacing w:beforeLines="10" w:before="36" w:afterLines="10" w:after="36" w:line="264" w:lineRule="auto"/>
        <w:ind w:rightChars="23" w:right="55"/>
      </w:pPr>
      <w:r w:rsidRPr="001B6E4D">
        <w:rPr>
          <w:rFonts w:hint="eastAsia"/>
        </w:rPr>
        <w:lastRenderedPageBreak/>
        <w:t>我國推動性別主流化已逾二十年，行政院、立法院、司法院、監察院、考試院皆已設置專責單位推動組織內部性別平等。總統府身為我國政治中樞，自102年起亦陸續舉辦27場相關講座，積極投入內部同仁之觀念提升，其投入意識培力之初衷實值肯定。</w:t>
      </w:r>
    </w:p>
    <w:p w14:paraId="2019603B" w14:textId="77777777" w:rsidR="00201B77" w:rsidRPr="001B6E4D" w:rsidRDefault="00201B77" w:rsidP="003D1018">
      <w:pPr>
        <w:pStyle w:val="1f7"/>
        <w:overflowPunct w:val="0"/>
      </w:pPr>
      <w:r w:rsidRPr="001B6E4D">
        <w:rPr>
          <w:rFonts w:hint="eastAsia"/>
        </w:rPr>
        <w:t>然總統府之組織文化具關鍵之示範效應，為顯示中央政府對性別平等價值之</w:t>
      </w:r>
      <w:proofErr w:type="gramStart"/>
      <w:r w:rsidRPr="001B6E4D">
        <w:rPr>
          <w:rFonts w:hint="eastAsia"/>
        </w:rPr>
        <w:t>一致肯</w:t>
      </w:r>
      <w:proofErr w:type="gramEnd"/>
      <w:r w:rsidRPr="001B6E4D">
        <w:rPr>
          <w:rFonts w:hint="eastAsia"/>
        </w:rPr>
        <w:t>認，現行機制仍有可精進之處。</w:t>
      </w:r>
    </w:p>
    <w:p w14:paraId="088D8297" w14:textId="77777777" w:rsidR="00201B77" w:rsidRPr="001B6E4D" w:rsidRDefault="00201B77" w:rsidP="003D1018">
      <w:pPr>
        <w:pStyle w:val="1f7"/>
        <w:overflowPunct w:val="0"/>
      </w:pPr>
      <w:r w:rsidRPr="001B6E4D">
        <w:rPr>
          <w:rFonts w:hint="eastAsia"/>
        </w:rPr>
        <w:t>首先，總統府現雖設有「性別平等小組」，惟相關運作情形並未公開上網，民眾難以了解；其次，為響應國家性別主流化策略，總統府實宜增加資源投入，以深化內部人員之性別敏感度與意識培力。</w:t>
      </w:r>
    </w:p>
    <w:p w14:paraId="37D79573" w14:textId="77777777" w:rsidR="00201B77" w:rsidRPr="001B6E4D" w:rsidRDefault="00201B77" w:rsidP="003D1018">
      <w:pPr>
        <w:pStyle w:val="1f7"/>
        <w:overflowPunct w:val="0"/>
      </w:pPr>
      <w:proofErr w:type="gramStart"/>
      <w:r w:rsidRPr="001B6E4D">
        <w:rPr>
          <w:rFonts w:hint="eastAsia"/>
        </w:rPr>
        <w:t>爰</w:t>
      </w:r>
      <w:proofErr w:type="gramEnd"/>
      <w:r w:rsidRPr="001B6E4D">
        <w:rPr>
          <w:rFonts w:hint="eastAsia"/>
        </w:rPr>
        <w:t>建請總統府針對上述精進作為，就「性別平等小組資訊公開可行性」以及「強化內部同仁性別意識培力之具體計畫」，做成書面報告，於3個月內提交予立法院司法及法制委員會。</w:t>
      </w:r>
      <w:r w:rsidRPr="001B6E4D">
        <w:t>【</w:t>
      </w:r>
      <w:r w:rsidRPr="001B6E4D">
        <w:rPr>
          <w:rFonts w:hint="eastAsia"/>
        </w:rPr>
        <w:t>29</w:t>
      </w:r>
      <w:r w:rsidRPr="001B6E4D">
        <w:t>】</w:t>
      </w:r>
    </w:p>
    <w:p w14:paraId="648D3843" w14:textId="77777777" w:rsidR="00201B77" w:rsidRPr="001B6E4D" w:rsidRDefault="00201B77" w:rsidP="003D1018">
      <w:pPr>
        <w:pStyle w:val="2fb"/>
        <w:overflowPunct w:val="0"/>
      </w:pPr>
      <w:r w:rsidRPr="001B6E4D">
        <w:t>提案人：</w:t>
      </w:r>
      <w:proofErr w:type="gramStart"/>
      <w:r w:rsidRPr="001B6E4D">
        <w:rPr>
          <w:rFonts w:hint="eastAsia"/>
        </w:rPr>
        <w:t>范</w:t>
      </w:r>
      <w:proofErr w:type="gramEnd"/>
      <w:r w:rsidRPr="001B6E4D">
        <w:rPr>
          <w:rFonts w:hint="eastAsia"/>
        </w:rPr>
        <w:t xml:space="preserve"> </w:t>
      </w:r>
      <w:r w:rsidRPr="001B6E4D">
        <w:t xml:space="preserve"> </w:t>
      </w:r>
      <w:r w:rsidRPr="001B6E4D">
        <w:rPr>
          <w:rFonts w:hint="eastAsia"/>
        </w:rPr>
        <w:t>雲</w:t>
      </w:r>
    </w:p>
    <w:p w14:paraId="18B45A3A" w14:textId="77777777" w:rsidR="00201B77" w:rsidRPr="001B6E4D" w:rsidRDefault="00201B77" w:rsidP="003D1018">
      <w:pPr>
        <w:pStyle w:val="2fb"/>
        <w:overflowPunct w:val="0"/>
        <w:rPr>
          <w:b/>
        </w:rPr>
      </w:pPr>
      <w:r w:rsidRPr="001B6E4D">
        <w:rPr>
          <w:rFonts w:hint="eastAsia"/>
        </w:rPr>
        <w:t xml:space="preserve">連署人：莊瑞雄  沈發惠 </w:t>
      </w:r>
    </w:p>
    <w:p w14:paraId="59F62E86" w14:textId="77777777" w:rsidR="00201B77" w:rsidRPr="001B6E4D" w:rsidRDefault="00201B77" w:rsidP="003D1018">
      <w:pPr>
        <w:overflowPunct w:val="0"/>
        <w:snapToGrid w:val="0"/>
        <w:ind w:leftChars="150" w:left="1340" w:hangingChars="350" w:hanging="980"/>
        <w:jc w:val="both"/>
        <w:rPr>
          <w:rFonts w:ascii="標楷體" w:eastAsia="標楷體" w:hAnsi="標楷體"/>
          <w:color w:val="000000"/>
          <w:sz w:val="28"/>
          <w:szCs w:val="28"/>
        </w:rPr>
      </w:pPr>
      <w:r w:rsidRPr="001B6E4D">
        <w:rPr>
          <w:rFonts w:ascii="標楷體" w:eastAsia="標楷體" w:hAnsi="標楷體"/>
          <w:color w:val="000000"/>
          <w:sz w:val="28"/>
          <w:szCs w:val="28"/>
        </w:rPr>
        <w:t>第2項 國家安全會議</w:t>
      </w:r>
      <w:r w:rsidRPr="001B6E4D">
        <w:rPr>
          <w:rFonts w:ascii="標楷體" w:eastAsia="標楷體" w:hAnsi="標楷體" w:hint="eastAsia"/>
          <w:color w:val="000000"/>
          <w:sz w:val="28"/>
          <w:szCs w:val="28"/>
        </w:rPr>
        <w:t>原列</w:t>
      </w:r>
      <w:r w:rsidRPr="001B6E4D">
        <w:rPr>
          <w:rFonts w:ascii="標楷體" w:eastAsia="標楷體" w:hAnsi="標楷體"/>
          <w:color w:val="000000"/>
          <w:sz w:val="28"/>
          <w:szCs w:val="28"/>
        </w:rPr>
        <w:t>2億4,663萬1千元，</w:t>
      </w:r>
      <w:r w:rsidRPr="001B6E4D">
        <w:rPr>
          <w:rFonts w:ascii="標楷體" w:eastAsia="標楷體" w:hAnsi="標楷體" w:hint="eastAsia"/>
          <w:color w:val="000000"/>
          <w:sz w:val="28"/>
          <w:szCs w:val="28"/>
        </w:rPr>
        <w:t>減列「業務費」項下「國內旅費」40萬元，其餘均</w:t>
      </w:r>
      <w:proofErr w:type="gramStart"/>
      <w:r w:rsidRPr="001B6E4D">
        <w:rPr>
          <w:rFonts w:ascii="標楷體" w:eastAsia="標楷體" w:hAnsi="標楷體" w:hint="eastAsia"/>
          <w:color w:val="000000"/>
          <w:sz w:val="28"/>
          <w:szCs w:val="28"/>
        </w:rPr>
        <w:t>照列</w:t>
      </w:r>
      <w:proofErr w:type="gramEnd"/>
      <w:r w:rsidRPr="001B6E4D">
        <w:rPr>
          <w:rFonts w:ascii="標楷體" w:eastAsia="標楷體" w:hAnsi="標楷體" w:hint="eastAsia"/>
          <w:color w:val="000000"/>
          <w:sz w:val="28"/>
          <w:szCs w:val="28"/>
        </w:rPr>
        <w:t>，改列為2億4,623萬1千元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36</w:t>
      </w:r>
      <w:r w:rsidRPr="001B6E4D">
        <w:rPr>
          <w:rFonts w:ascii="標楷體" w:eastAsia="標楷體" w:hAnsi="標楷體"/>
          <w:color w:val="000000"/>
          <w:sz w:val="28"/>
          <w:szCs w:val="28"/>
        </w:rPr>
        <w:t>】</w:t>
      </w:r>
    </w:p>
    <w:p w14:paraId="5463A125" w14:textId="77777777" w:rsidR="00201B77" w:rsidRPr="001B6E4D" w:rsidRDefault="00201B77" w:rsidP="003D1018">
      <w:pPr>
        <w:overflowPunct w:val="0"/>
        <w:snapToGrid w:val="0"/>
        <w:ind w:leftChars="150" w:left="1201" w:hangingChars="300" w:hanging="841"/>
        <w:jc w:val="both"/>
        <w:rPr>
          <w:rFonts w:ascii="標楷體" w:eastAsia="標楷體" w:hAnsi="標楷體"/>
          <w:color w:val="000000"/>
          <w:sz w:val="28"/>
          <w:szCs w:val="28"/>
        </w:rPr>
      </w:pPr>
      <w:r w:rsidRPr="001B6E4D">
        <w:rPr>
          <w:rFonts w:ascii="標楷體" w:eastAsia="標楷體" w:hAnsi="標楷體"/>
          <w:b/>
          <w:bCs/>
          <w:sz w:val="28"/>
          <w:szCs w:val="28"/>
        </w:rPr>
        <w:t>本項提案</w:t>
      </w:r>
      <w:r w:rsidRPr="001B6E4D">
        <w:rPr>
          <w:rFonts w:ascii="標楷體" w:eastAsia="標楷體" w:hAnsi="標楷體" w:hint="eastAsia"/>
          <w:b/>
          <w:bCs/>
          <w:sz w:val="28"/>
          <w:szCs w:val="28"/>
        </w:rPr>
        <w:t>6</w:t>
      </w:r>
      <w:r w:rsidRPr="001B6E4D">
        <w:rPr>
          <w:rFonts w:ascii="標楷體" w:eastAsia="標楷體" w:hAnsi="標楷體"/>
          <w:b/>
          <w:bCs/>
          <w:sz w:val="28"/>
          <w:szCs w:val="28"/>
        </w:rPr>
        <w:t>案，保留，送院會處理：</w:t>
      </w:r>
    </w:p>
    <w:p w14:paraId="0D29F9D0" w14:textId="77777777" w:rsidR="00201B77" w:rsidRPr="001B6E4D" w:rsidRDefault="00201B77" w:rsidP="003D1018">
      <w:pPr>
        <w:pStyle w:val="a"/>
        <w:numPr>
          <w:ilvl w:val="0"/>
          <w:numId w:val="61"/>
        </w:numPr>
        <w:overflowPunct w:val="0"/>
      </w:pPr>
      <w:r w:rsidRPr="001B6E4D">
        <w:rPr>
          <w:rFonts w:hint="eastAsia"/>
        </w:rPr>
        <w:t>國家安全會議(以下簡稱國安會)</w:t>
      </w:r>
      <w:proofErr w:type="gramStart"/>
      <w:r w:rsidRPr="001B6E4D">
        <w:rPr>
          <w:rFonts w:hint="eastAsia"/>
        </w:rPr>
        <w:t>115</w:t>
      </w:r>
      <w:proofErr w:type="gramEnd"/>
      <w:r w:rsidRPr="001B6E4D">
        <w:rPr>
          <w:rFonts w:hint="eastAsia"/>
        </w:rPr>
        <w:t>年度預算案</w:t>
      </w:r>
      <w:r w:rsidRPr="001B6E4D">
        <w:t>編列246,631千元，比</w:t>
      </w:r>
      <w:proofErr w:type="gramStart"/>
      <w:r w:rsidRPr="001B6E4D">
        <w:t>114</w:t>
      </w:r>
      <w:proofErr w:type="gramEnd"/>
      <w:r w:rsidRPr="001B6E4D">
        <w:t>年度法定預算223,589千元，增加23,042千元（</w:t>
      </w:r>
      <w:r w:rsidRPr="001B6E4D">
        <w:rPr>
          <w:rFonts w:hint="eastAsia"/>
        </w:rPr>
        <w:t>逾2千3百萬元</w:t>
      </w:r>
      <w:r w:rsidRPr="001B6E4D">
        <w:t>），成長幅度</w:t>
      </w:r>
      <w:r w:rsidRPr="001B6E4D">
        <w:rPr>
          <w:rFonts w:hint="eastAsia"/>
        </w:rPr>
        <w:t>1</w:t>
      </w:r>
      <w:r w:rsidRPr="001B6E4D">
        <w:t>0.31%。</w:t>
      </w:r>
    </w:p>
    <w:p w14:paraId="1E614D39" w14:textId="77777777" w:rsidR="00201B77" w:rsidRPr="001B6E4D" w:rsidRDefault="00201B77" w:rsidP="003D1018">
      <w:pPr>
        <w:pStyle w:val="1f7"/>
        <w:overflowPunct w:val="0"/>
      </w:pPr>
      <w:r w:rsidRPr="001B6E4D">
        <w:rPr>
          <w:rFonts w:hint="eastAsia"/>
        </w:rPr>
        <w:t>國安會115年「教育訓練費」編列預算200千元，與</w:t>
      </w:r>
      <w:proofErr w:type="gramStart"/>
      <w:r w:rsidRPr="001B6E4D">
        <w:rPr>
          <w:rFonts w:hint="eastAsia"/>
        </w:rPr>
        <w:t>114</w:t>
      </w:r>
      <w:proofErr w:type="gramEnd"/>
      <w:r w:rsidRPr="001B6E4D">
        <w:rPr>
          <w:rFonts w:hint="eastAsia"/>
        </w:rPr>
        <w:t>年度預算數20千元相同。</w:t>
      </w:r>
    </w:p>
    <w:tbl>
      <w:tblPr>
        <w:tblpPr w:leftFromText="180" w:rightFromText="180" w:vertAnchor="text" w:horzAnchor="margin" w:tblpX="396" w:tblpY="194"/>
        <w:tblW w:w="823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51"/>
        <w:gridCol w:w="1701"/>
        <w:gridCol w:w="1701"/>
        <w:gridCol w:w="1701"/>
        <w:gridCol w:w="1417"/>
        <w:gridCol w:w="865"/>
      </w:tblGrid>
      <w:tr w:rsidR="00201B77" w:rsidRPr="001B6E4D" w14:paraId="3DB946AD" w14:textId="77777777" w:rsidTr="00460977">
        <w:trPr>
          <w:tblHeader/>
        </w:trPr>
        <w:tc>
          <w:tcPr>
            <w:tcW w:w="8236" w:type="dxa"/>
            <w:gridSpan w:val="6"/>
          </w:tcPr>
          <w:p w14:paraId="15DC4114" w14:textId="77777777" w:rsidR="00201B77" w:rsidRPr="001B6E4D" w:rsidRDefault="00201B77" w:rsidP="003D1018">
            <w:pPr>
              <w:overflowPunct w:val="0"/>
              <w:spacing w:line="280" w:lineRule="exact"/>
              <w:jc w:val="center"/>
              <w:rPr>
                <w:rFonts w:ascii="標楷體" w:eastAsia="標楷體" w:hAnsi="標楷體" w:cstheme="minorHAnsi"/>
                <w:b/>
                <w:bCs/>
              </w:rPr>
            </w:pPr>
            <w:r w:rsidRPr="001B6E4D">
              <w:rPr>
                <w:rFonts w:ascii="標楷體" w:eastAsia="標楷體" w:hAnsi="標楷體" w:cstheme="minorHAnsi" w:hint="eastAsia"/>
                <w:b/>
                <w:bCs/>
              </w:rPr>
              <w:t>教育訓練費</w:t>
            </w:r>
          </w:p>
        </w:tc>
      </w:tr>
      <w:tr w:rsidR="00201B77" w:rsidRPr="001B6E4D" w14:paraId="6C569E4B" w14:textId="77777777" w:rsidTr="00460977">
        <w:trPr>
          <w:tblHeader/>
        </w:trPr>
        <w:tc>
          <w:tcPr>
            <w:tcW w:w="851" w:type="dxa"/>
          </w:tcPr>
          <w:p w14:paraId="07D92D59"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年度</w:t>
            </w:r>
          </w:p>
        </w:tc>
        <w:tc>
          <w:tcPr>
            <w:tcW w:w="1701" w:type="dxa"/>
          </w:tcPr>
          <w:p w14:paraId="31AD6249"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預算數/千元</w:t>
            </w:r>
          </w:p>
        </w:tc>
        <w:tc>
          <w:tcPr>
            <w:tcW w:w="1701" w:type="dxa"/>
          </w:tcPr>
          <w:p w14:paraId="63A051C6"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決算數/千元</w:t>
            </w:r>
          </w:p>
        </w:tc>
        <w:tc>
          <w:tcPr>
            <w:tcW w:w="1701" w:type="dxa"/>
          </w:tcPr>
          <w:p w14:paraId="186E0F2B"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執行率</w:t>
            </w:r>
          </w:p>
        </w:tc>
        <w:tc>
          <w:tcPr>
            <w:tcW w:w="1417" w:type="dxa"/>
            <w:shd w:val="clear" w:color="auto" w:fill="auto"/>
            <w:vAlign w:val="center"/>
          </w:tcPr>
          <w:p w14:paraId="5148B039"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剩餘數/千元</w:t>
            </w:r>
          </w:p>
        </w:tc>
        <w:tc>
          <w:tcPr>
            <w:tcW w:w="865" w:type="dxa"/>
            <w:shd w:val="clear" w:color="auto" w:fill="auto"/>
            <w:vAlign w:val="center"/>
          </w:tcPr>
          <w:p w14:paraId="6C9D5F1C"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備註</w:t>
            </w:r>
          </w:p>
        </w:tc>
      </w:tr>
      <w:tr w:rsidR="00201B77" w:rsidRPr="001B6E4D" w14:paraId="0A3D4583" w14:textId="77777777" w:rsidTr="00460977">
        <w:tc>
          <w:tcPr>
            <w:tcW w:w="851" w:type="dxa"/>
          </w:tcPr>
          <w:p w14:paraId="52039D74"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112</w:t>
            </w:r>
          </w:p>
        </w:tc>
        <w:tc>
          <w:tcPr>
            <w:tcW w:w="1701" w:type="dxa"/>
          </w:tcPr>
          <w:p w14:paraId="6FBC4EDE"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200 </w:t>
            </w:r>
          </w:p>
        </w:tc>
        <w:tc>
          <w:tcPr>
            <w:tcW w:w="1701" w:type="dxa"/>
          </w:tcPr>
          <w:p w14:paraId="262A91C9" w14:textId="77777777" w:rsidR="00201B77" w:rsidRPr="001B6E4D" w:rsidRDefault="00201B77" w:rsidP="003D1018">
            <w:pPr>
              <w:overflowPunct w:val="0"/>
              <w:spacing w:line="280" w:lineRule="exact"/>
              <w:jc w:val="right"/>
              <w:rPr>
                <w:rFonts w:ascii="標楷體" w:eastAsia="標楷體" w:hAnsi="標楷體" w:cstheme="minorHAnsi"/>
                <w:b/>
              </w:rPr>
            </w:pPr>
            <w:r w:rsidRPr="001B6E4D">
              <w:rPr>
                <w:rFonts w:ascii="標楷體" w:eastAsia="標楷體" w:hAnsi="標楷體"/>
              </w:rPr>
              <w:t xml:space="preserve">84 </w:t>
            </w:r>
          </w:p>
        </w:tc>
        <w:tc>
          <w:tcPr>
            <w:tcW w:w="1701" w:type="dxa"/>
          </w:tcPr>
          <w:p w14:paraId="4A279EAA" w14:textId="77777777" w:rsidR="00201B77" w:rsidRPr="001B6E4D" w:rsidRDefault="00201B77" w:rsidP="003D1018">
            <w:pPr>
              <w:overflowPunct w:val="0"/>
              <w:spacing w:line="280" w:lineRule="exact"/>
              <w:jc w:val="right"/>
              <w:rPr>
                <w:rFonts w:ascii="標楷體" w:eastAsia="標楷體" w:hAnsi="標楷體" w:cstheme="minorHAnsi"/>
                <w:b/>
                <w:sz w:val="20"/>
                <w:szCs w:val="20"/>
              </w:rPr>
            </w:pPr>
            <w:r w:rsidRPr="001B6E4D">
              <w:rPr>
                <w:rFonts w:ascii="標楷體" w:eastAsia="標楷體" w:hAnsi="標楷體"/>
              </w:rPr>
              <w:t>42.00%</w:t>
            </w:r>
          </w:p>
        </w:tc>
        <w:tc>
          <w:tcPr>
            <w:tcW w:w="1417" w:type="dxa"/>
            <w:shd w:val="clear" w:color="auto" w:fill="auto"/>
          </w:tcPr>
          <w:p w14:paraId="6CFEC702"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116 </w:t>
            </w:r>
          </w:p>
        </w:tc>
        <w:tc>
          <w:tcPr>
            <w:tcW w:w="865" w:type="dxa"/>
            <w:shd w:val="clear" w:color="auto" w:fill="auto"/>
          </w:tcPr>
          <w:p w14:paraId="05257D1C" w14:textId="77777777" w:rsidR="00201B77" w:rsidRPr="001B6E4D" w:rsidRDefault="00201B77" w:rsidP="003D1018">
            <w:pPr>
              <w:overflowPunct w:val="0"/>
              <w:spacing w:line="280" w:lineRule="exact"/>
              <w:ind w:rightChars="27" w:right="65"/>
              <w:jc w:val="center"/>
              <w:rPr>
                <w:rFonts w:ascii="標楷體" w:eastAsia="標楷體" w:hAnsi="標楷體" w:cstheme="minorHAnsi"/>
              </w:rPr>
            </w:pPr>
          </w:p>
        </w:tc>
      </w:tr>
      <w:tr w:rsidR="00201B77" w:rsidRPr="001B6E4D" w14:paraId="1CC0FCF0" w14:textId="77777777" w:rsidTr="00460977">
        <w:tc>
          <w:tcPr>
            <w:tcW w:w="851" w:type="dxa"/>
          </w:tcPr>
          <w:p w14:paraId="6BA057C0"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113</w:t>
            </w:r>
          </w:p>
        </w:tc>
        <w:tc>
          <w:tcPr>
            <w:tcW w:w="1701" w:type="dxa"/>
          </w:tcPr>
          <w:p w14:paraId="0153648E"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200 </w:t>
            </w:r>
          </w:p>
        </w:tc>
        <w:tc>
          <w:tcPr>
            <w:tcW w:w="1701" w:type="dxa"/>
          </w:tcPr>
          <w:p w14:paraId="77453C2D"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30 </w:t>
            </w:r>
          </w:p>
        </w:tc>
        <w:tc>
          <w:tcPr>
            <w:tcW w:w="1701" w:type="dxa"/>
          </w:tcPr>
          <w:p w14:paraId="36228B14" w14:textId="77777777" w:rsidR="00201B77" w:rsidRPr="001B6E4D" w:rsidRDefault="00201B77" w:rsidP="003D1018">
            <w:pPr>
              <w:overflowPunct w:val="0"/>
              <w:spacing w:line="280" w:lineRule="exact"/>
              <w:jc w:val="right"/>
              <w:rPr>
                <w:rFonts w:ascii="標楷體" w:eastAsia="標楷體" w:hAnsi="標楷體" w:cstheme="minorHAnsi"/>
                <w:sz w:val="20"/>
                <w:szCs w:val="20"/>
              </w:rPr>
            </w:pPr>
            <w:r w:rsidRPr="001B6E4D">
              <w:rPr>
                <w:rFonts w:ascii="標楷體" w:eastAsia="標楷體" w:hAnsi="標楷體"/>
              </w:rPr>
              <w:t>15.00%</w:t>
            </w:r>
          </w:p>
        </w:tc>
        <w:tc>
          <w:tcPr>
            <w:tcW w:w="1417" w:type="dxa"/>
            <w:shd w:val="clear" w:color="auto" w:fill="auto"/>
          </w:tcPr>
          <w:p w14:paraId="663E3F87"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170 </w:t>
            </w:r>
          </w:p>
        </w:tc>
        <w:tc>
          <w:tcPr>
            <w:tcW w:w="865" w:type="dxa"/>
            <w:shd w:val="clear" w:color="auto" w:fill="auto"/>
          </w:tcPr>
          <w:p w14:paraId="7D17FFE5"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08BF2615" w14:textId="77777777" w:rsidTr="00460977">
        <w:tc>
          <w:tcPr>
            <w:tcW w:w="851" w:type="dxa"/>
          </w:tcPr>
          <w:p w14:paraId="32B449B2"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114</w:t>
            </w:r>
          </w:p>
        </w:tc>
        <w:tc>
          <w:tcPr>
            <w:tcW w:w="1701" w:type="dxa"/>
          </w:tcPr>
          <w:p w14:paraId="497C0895"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200 </w:t>
            </w:r>
          </w:p>
        </w:tc>
        <w:tc>
          <w:tcPr>
            <w:tcW w:w="1701" w:type="dxa"/>
          </w:tcPr>
          <w:p w14:paraId="36620A94"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64 </w:t>
            </w:r>
          </w:p>
        </w:tc>
        <w:tc>
          <w:tcPr>
            <w:tcW w:w="1701" w:type="dxa"/>
          </w:tcPr>
          <w:p w14:paraId="6A3CB06C" w14:textId="77777777" w:rsidR="00201B77" w:rsidRPr="001B6E4D" w:rsidRDefault="00201B77" w:rsidP="003D1018">
            <w:pPr>
              <w:overflowPunct w:val="0"/>
              <w:spacing w:line="280" w:lineRule="exact"/>
              <w:jc w:val="right"/>
              <w:rPr>
                <w:rFonts w:ascii="標楷體" w:eastAsia="標楷體" w:hAnsi="標楷體" w:cstheme="minorHAnsi"/>
                <w:b/>
                <w:sz w:val="22"/>
              </w:rPr>
            </w:pPr>
            <w:r w:rsidRPr="001B6E4D">
              <w:rPr>
                <w:rFonts w:ascii="標楷體" w:eastAsia="標楷體" w:hAnsi="標楷體"/>
              </w:rPr>
              <w:t>32.20%</w:t>
            </w:r>
          </w:p>
        </w:tc>
        <w:tc>
          <w:tcPr>
            <w:tcW w:w="1417" w:type="dxa"/>
            <w:shd w:val="clear" w:color="auto" w:fill="auto"/>
          </w:tcPr>
          <w:p w14:paraId="35490536"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136 </w:t>
            </w:r>
          </w:p>
        </w:tc>
        <w:tc>
          <w:tcPr>
            <w:tcW w:w="865" w:type="dxa"/>
            <w:shd w:val="clear" w:color="auto" w:fill="auto"/>
          </w:tcPr>
          <w:p w14:paraId="4D59CA9F"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74CB9FF7" w14:textId="77777777" w:rsidTr="00460977">
        <w:tc>
          <w:tcPr>
            <w:tcW w:w="851" w:type="dxa"/>
          </w:tcPr>
          <w:p w14:paraId="2824B1D2"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115</w:t>
            </w:r>
          </w:p>
        </w:tc>
        <w:tc>
          <w:tcPr>
            <w:tcW w:w="1701" w:type="dxa"/>
          </w:tcPr>
          <w:p w14:paraId="22C695FD"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cstheme="minorHAnsi" w:hint="eastAsia"/>
              </w:rPr>
              <w:t>200</w:t>
            </w:r>
          </w:p>
        </w:tc>
        <w:tc>
          <w:tcPr>
            <w:tcW w:w="1701" w:type="dxa"/>
          </w:tcPr>
          <w:p w14:paraId="3774D670" w14:textId="77777777" w:rsidR="00201B77" w:rsidRPr="001B6E4D" w:rsidRDefault="00201B77" w:rsidP="003D1018">
            <w:pPr>
              <w:overflowPunct w:val="0"/>
              <w:spacing w:line="280" w:lineRule="exact"/>
              <w:jc w:val="right"/>
              <w:rPr>
                <w:rFonts w:ascii="標楷體" w:eastAsia="標楷體" w:hAnsi="標楷體" w:cstheme="minorHAnsi"/>
              </w:rPr>
            </w:pPr>
          </w:p>
        </w:tc>
        <w:tc>
          <w:tcPr>
            <w:tcW w:w="1701" w:type="dxa"/>
          </w:tcPr>
          <w:p w14:paraId="18536420" w14:textId="77777777" w:rsidR="00201B77" w:rsidRPr="001B6E4D" w:rsidRDefault="00201B77" w:rsidP="003D1018">
            <w:pPr>
              <w:overflowPunct w:val="0"/>
              <w:spacing w:line="280" w:lineRule="exact"/>
              <w:jc w:val="right"/>
              <w:rPr>
                <w:rFonts w:ascii="標楷體" w:eastAsia="標楷體" w:hAnsi="標楷體" w:cstheme="minorHAnsi"/>
              </w:rPr>
            </w:pPr>
          </w:p>
        </w:tc>
        <w:tc>
          <w:tcPr>
            <w:tcW w:w="1417" w:type="dxa"/>
            <w:shd w:val="clear" w:color="auto" w:fill="auto"/>
          </w:tcPr>
          <w:p w14:paraId="5234E682" w14:textId="77777777" w:rsidR="00201B77" w:rsidRPr="001B6E4D" w:rsidRDefault="00201B77" w:rsidP="003D1018">
            <w:pPr>
              <w:overflowPunct w:val="0"/>
              <w:spacing w:line="280" w:lineRule="exact"/>
              <w:jc w:val="right"/>
              <w:rPr>
                <w:rFonts w:ascii="標楷體" w:eastAsia="標楷體" w:hAnsi="標楷體" w:cstheme="minorHAnsi"/>
              </w:rPr>
            </w:pPr>
          </w:p>
        </w:tc>
        <w:tc>
          <w:tcPr>
            <w:tcW w:w="865" w:type="dxa"/>
            <w:shd w:val="clear" w:color="auto" w:fill="auto"/>
          </w:tcPr>
          <w:p w14:paraId="527BDC9F" w14:textId="77777777" w:rsidR="00201B77" w:rsidRPr="001B6E4D" w:rsidRDefault="00201B77" w:rsidP="003D1018">
            <w:pPr>
              <w:overflowPunct w:val="0"/>
              <w:spacing w:line="280" w:lineRule="exact"/>
              <w:jc w:val="right"/>
              <w:rPr>
                <w:rFonts w:ascii="標楷體" w:eastAsia="標楷體" w:hAnsi="標楷體" w:cstheme="minorHAnsi"/>
                <w:sz w:val="16"/>
                <w:szCs w:val="16"/>
              </w:rPr>
            </w:pPr>
          </w:p>
        </w:tc>
      </w:tr>
    </w:tbl>
    <w:p w14:paraId="42C4CFA0" w14:textId="77777777" w:rsidR="00201B77" w:rsidRPr="001B6E4D" w:rsidRDefault="00201B77" w:rsidP="003D1018">
      <w:pPr>
        <w:pStyle w:val="1f7"/>
        <w:overflowPunct w:val="0"/>
      </w:pPr>
      <w:proofErr w:type="gramStart"/>
      <w:r w:rsidRPr="001B6E4D">
        <w:rPr>
          <w:rFonts w:hint="eastAsia"/>
        </w:rPr>
        <w:t>經查國安</w:t>
      </w:r>
      <w:proofErr w:type="gramEnd"/>
      <w:r w:rsidRPr="001B6E4D">
        <w:rPr>
          <w:rFonts w:hint="eastAsia"/>
        </w:rPr>
        <w:t>會近三年決算書資料如上表，「教育訓練費」近三年平均執行率為2</w:t>
      </w:r>
      <w:r w:rsidRPr="001B6E4D">
        <w:t>9</w:t>
      </w:r>
      <w:r w:rsidRPr="001B6E4D">
        <w:rPr>
          <w:rFonts w:hint="eastAsia"/>
        </w:rPr>
        <w:t>.</w:t>
      </w:r>
      <w:r w:rsidRPr="001B6E4D">
        <w:t>73</w:t>
      </w:r>
      <w:r w:rsidRPr="001B6E4D">
        <w:rPr>
          <w:rFonts w:hint="eastAsia"/>
        </w:rPr>
        <w:t>％。剩餘數從116千元到170千元</w:t>
      </w:r>
      <w:proofErr w:type="gramStart"/>
      <w:r w:rsidRPr="001B6E4D">
        <w:rPr>
          <w:rFonts w:hint="eastAsia"/>
        </w:rPr>
        <w:t>之間，</w:t>
      </w:r>
      <w:proofErr w:type="gramEnd"/>
      <w:r w:rsidRPr="001B6E4D">
        <w:rPr>
          <w:rFonts w:hint="eastAsia"/>
        </w:rPr>
        <w:t>顯見，原有經費編列與實際需求之間存有相當落差，致使經費運用效益低落。</w:t>
      </w:r>
    </w:p>
    <w:p w14:paraId="135E0192" w14:textId="77777777" w:rsidR="00201B77" w:rsidRPr="001B6E4D" w:rsidRDefault="00201B77" w:rsidP="003D1018">
      <w:pPr>
        <w:pStyle w:val="1f7"/>
        <w:overflowPunct w:val="0"/>
      </w:pPr>
      <w:r w:rsidRPr="001B6E4D">
        <w:rPr>
          <w:rFonts w:hint="eastAsia"/>
        </w:rPr>
        <w:t>然，115年中央政府總預算連同特別預算，</w:t>
      </w:r>
      <w:proofErr w:type="gramStart"/>
      <w:r w:rsidRPr="001B6E4D">
        <w:rPr>
          <w:rFonts w:hint="eastAsia"/>
        </w:rPr>
        <w:t>已需舉</w:t>
      </w:r>
      <w:proofErr w:type="gramEnd"/>
      <w:r w:rsidRPr="001B6E4D">
        <w:rPr>
          <w:rFonts w:hint="eastAsia"/>
        </w:rPr>
        <w:t>債高達4千億元。政府各單位更應量入為出、</w:t>
      </w:r>
      <w:proofErr w:type="gramStart"/>
      <w:r w:rsidRPr="001B6E4D">
        <w:rPr>
          <w:rFonts w:hint="eastAsia"/>
        </w:rPr>
        <w:t>撙</w:t>
      </w:r>
      <w:proofErr w:type="gramEnd"/>
      <w:r w:rsidRPr="001B6E4D">
        <w:rPr>
          <w:rFonts w:hint="eastAsia"/>
        </w:rPr>
        <w:t>節公</w:t>
      </w:r>
      <w:proofErr w:type="gramStart"/>
      <w:r w:rsidRPr="001B6E4D">
        <w:rPr>
          <w:rFonts w:hint="eastAsia"/>
        </w:rPr>
        <w:t>帑</w:t>
      </w:r>
      <w:proofErr w:type="gramEnd"/>
      <w:r w:rsidRPr="001B6E4D">
        <w:rPr>
          <w:rFonts w:hint="eastAsia"/>
        </w:rPr>
        <w:t>，</w:t>
      </w:r>
      <w:proofErr w:type="gramStart"/>
      <w:r w:rsidRPr="001B6E4D">
        <w:rPr>
          <w:rFonts w:hint="eastAsia"/>
        </w:rPr>
        <w:t>減列非必要</w:t>
      </w:r>
      <w:proofErr w:type="gramEnd"/>
      <w:r w:rsidRPr="001B6E4D">
        <w:rPr>
          <w:rFonts w:hint="eastAsia"/>
        </w:rPr>
        <w:t>、非急迫性的支出，以降低國庫舉債、</w:t>
      </w:r>
      <w:proofErr w:type="gramStart"/>
      <w:r w:rsidRPr="001B6E4D">
        <w:rPr>
          <w:rFonts w:hint="eastAsia"/>
        </w:rPr>
        <w:t>債留子孫</w:t>
      </w:r>
      <w:proofErr w:type="gramEnd"/>
      <w:r w:rsidRPr="001B6E4D">
        <w:rPr>
          <w:rFonts w:hint="eastAsia"/>
        </w:rPr>
        <w:t>的壓力。</w:t>
      </w:r>
    </w:p>
    <w:p w14:paraId="186F0CB7" w14:textId="77777777" w:rsidR="00201B77" w:rsidRPr="001B6E4D" w:rsidRDefault="00201B77" w:rsidP="003D1018">
      <w:pPr>
        <w:pStyle w:val="1f7"/>
        <w:overflowPunct w:val="0"/>
      </w:pPr>
      <w:proofErr w:type="gramStart"/>
      <w:r w:rsidRPr="001B6E4D">
        <w:rPr>
          <w:rFonts w:hint="eastAsia"/>
        </w:rPr>
        <w:lastRenderedPageBreak/>
        <w:t>且</w:t>
      </w:r>
      <w:proofErr w:type="gramEnd"/>
      <w:r w:rsidRPr="001B6E4D">
        <w:rPr>
          <w:rFonts w:hint="eastAsia"/>
        </w:rPr>
        <w:t>，賴總統為回應美國對台灣應大幅增加國防支出的強硬立場與關切壓力，</w:t>
      </w:r>
      <w:proofErr w:type="gramStart"/>
      <w:r w:rsidRPr="001B6E4D">
        <w:rPr>
          <w:rFonts w:hint="eastAsia"/>
        </w:rPr>
        <w:t>115</w:t>
      </w:r>
      <w:proofErr w:type="gramEnd"/>
      <w:r w:rsidRPr="001B6E4D">
        <w:rPr>
          <w:rFonts w:hint="eastAsia"/>
        </w:rPr>
        <w:t>年度國防支出已創下歷史新高，達9495億新台幣；大舉增加國防支出，必定會嚴重排擠年度的教育、文化等支出，亦即，各</w:t>
      </w:r>
      <w:proofErr w:type="gramStart"/>
      <w:r w:rsidRPr="001B6E4D">
        <w:rPr>
          <w:rFonts w:hint="eastAsia"/>
        </w:rPr>
        <w:t>部會應勒緊</w:t>
      </w:r>
      <w:proofErr w:type="gramEnd"/>
      <w:r w:rsidRPr="001B6E4D">
        <w:rPr>
          <w:rFonts w:hint="eastAsia"/>
        </w:rPr>
        <w:t>褲帶，共體時</w:t>
      </w:r>
      <w:proofErr w:type="gramStart"/>
      <w:r w:rsidRPr="001B6E4D">
        <w:rPr>
          <w:rFonts w:hint="eastAsia"/>
        </w:rPr>
        <w:t>艱</w:t>
      </w:r>
      <w:proofErr w:type="gramEnd"/>
      <w:r w:rsidRPr="001B6E4D">
        <w:rPr>
          <w:rFonts w:hint="eastAsia"/>
        </w:rPr>
        <w:t>、以</w:t>
      </w:r>
      <w:proofErr w:type="gramStart"/>
      <w:r w:rsidRPr="001B6E4D">
        <w:rPr>
          <w:rFonts w:hint="eastAsia"/>
        </w:rPr>
        <w:t>撙</w:t>
      </w:r>
      <w:proofErr w:type="gramEnd"/>
      <w:r w:rsidRPr="001B6E4D">
        <w:rPr>
          <w:rFonts w:hint="eastAsia"/>
        </w:rPr>
        <w:t>節支出的具體行動，來呼應賴總統對美方要求大幅增加國防支出的承諾。</w:t>
      </w:r>
    </w:p>
    <w:p w14:paraId="774797AD" w14:textId="77777777" w:rsidR="00201B77" w:rsidRPr="001B6E4D" w:rsidRDefault="00201B77" w:rsidP="003D1018">
      <w:pPr>
        <w:pStyle w:val="1f7"/>
        <w:overflowPunct w:val="0"/>
      </w:pPr>
      <w:r w:rsidRPr="001B6E4D">
        <w:rPr>
          <w:rFonts w:hint="eastAsia"/>
        </w:rPr>
        <w:t>惟國安會</w:t>
      </w:r>
      <w:proofErr w:type="gramStart"/>
      <w:r w:rsidRPr="001B6E4D">
        <w:rPr>
          <w:rFonts w:hint="eastAsia"/>
        </w:rPr>
        <w:t>115</w:t>
      </w:r>
      <w:proofErr w:type="gramEnd"/>
      <w:r w:rsidRPr="001B6E4D">
        <w:rPr>
          <w:rFonts w:hint="eastAsia"/>
        </w:rPr>
        <w:t>年度預算案仍編列「教育訓練費」200千元，與114年法定預算相同。為兌現賴總統對美方的承諾，且為配合國防支出大幅增加之影響而必須</w:t>
      </w:r>
      <w:proofErr w:type="gramStart"/>
      <w:r w:rsidRPr="001B6E4D">
        <w:rPr>
          <w:rFonts w:hint="eastAsia"/>
        </w:rPr>
        <w:t>撙</w:t>
      </w:r>
      <w:proofErr w:type="gramEnd"/>
      <w:r w:rsidRPr="001B6E4D">
        <w:rPr>
          <w:rFonts w:hint="eastAsia"/>
        </w:rPr>
        <w:t>節經費，</w:t>
      </w:r>
      <w:proofErr w:type="gramStart"/>
      <w:r w:rsidRPr="001B6E4D">
        <w:rPr>
          <w:rFonts w:hint="eastAsia"/>
          <w:b/>
          <w:u w:val="thick"/>
        </w:rPr>
        <w:t>爰</w:t>
      </w:r>
      <w:proofErr w:type="gramEnd"/>
      <w:r w:rsidRPr="001B6E4D">
        <w:rPr>
          <w:rFonts w:hint="eastAsia"/>
          <w:b/>
          <w:u w:val="thick"/>
        </w:rPr>
        <w:t>提案減列12萬元整（以執行率</w:t>
      </w:r>
      <w:proofErr w:type="gramStart"/>
      <w:r w:rsidRPr="001B6E4D">
        <w:rPr>
          <w:rFonts w:hint="eastAsia"/>
          <w:b/>
          <w:u w:val="thick"/>
        </w:rPr>
        <w:t>4成</w:t>
      </w:r>
      <w:proofErr w:type="gramEnd"/>
      <w:r w:rsidRPr="001B6E4D">
        <w:rPr>
          <w:rFonts w:hint="eastAsia"/>
          <w:b/>
          <w:u w:val="thick"/>
        </w:rPr>
        <w:t>計算）且不得</w:t>
      </w:r>
      <w:proofErr w:type="gramStart"/>
      <w:r w:rsidRPr="001B6E4D">
        <w:rPr>
          <w:rFonts w:hint="eastAsia"/>
          <w:b/>
          <w:u w:val="thick"/>
        </w:rPr>
        <w:t>流用勻支</w:t>
      </w:r>
      <w:proofErr w:type="gramEnd"/>
      <w:r w:rsidRPr="001B6E4D">
        <w:rPr>
          <w:rFonts w:hint="eastAsia"/>
        </w:rPr>
        <w:t>，以避免有限之財政資源閒置與浪費。</w:t>
      </w:r>
      <w:r w:rsidRPr="001B6E4D">
        <w:t>【</w:t>
      </w:r>
      <w:r w:rsidRPr="001B6E4D">
        <w:rPr>
          <w:rFonts w:hint="eastAsia"/>
        </w:rPr>
        <w:t>31</w:t>
      </w:r>
      <w:r w:rsidRPr="001B6E4D">
        <w:t>】</w:t>
      </w:r>
    </w:p>
    <w:p w14:paraId="1092C7D4" w14:textId="77777777" w:rsidR="00201B77" w:rsidRPr="001B6E4D" w:rsidRDefault="00201B77" w:rsidP="003D1018">
      <w:pPr>
        <w:pStyle w:val="2fb"/>
        <w:overflowPunct w:val="0"/>
      </w:pPr>
      <w:r w:rsidRPr="001B6E4D">
        <w:t>提案人：翁曉玲</w:t>
      </w:r>
    </w:p>
    <w:p w14:paraId="6A08CCC8" w14:textId="77777777" w:rsidR="00201B77" w:rsidRPr="001B6E4D" w:rsidRDefault="00201B77" w:rsidP="003D1018">
      <w:pPr>
        <w:pStyle w:val="2fb"/>
        <w:overflowPunct w:val="0"/>
      </w:pPr>
      <w:r w:rsidRPr="001B6E4D">
        <w:t>連署人：許宇</w:t>
      </w:r>
      <w:proofErr w:type="gramStart"/>
      <w:r w:rsidRPr="001B6E4D">
        <w:t>甄</w:t>
      </w:r>
      <w:proofErr w:type="gramEnd"/>
      <w:r w:rsidRPr="001B6E4D">
        <w:t xml:space="preserve">　林倩綺</w:t>
      </w:r>
    </w:p>
    <w:p w14:paraId="6EA4FA68" w14:textId="77777777" w:rsidR="00201B77" w:rsidRPr="001B6E4D" w:rsidRDefault="00201B77" w:rsidP="003D1018">
      <w:pPr>
        <w:pStyle w:val="1f6"/>
        <w:overflowPunct w:val="0"/>
      </w:pPr>
      <w:r w:rsidRPr="001B6E4D">
        <w:rPr>
          <w:rFonts w:hint="eastAsia"/>
        </w:rPr>
        <w:t>國家安全會議(以下簡稱國安會)</w:t>
      </w:r>
      <w:proofErr w:type="gramStart"/>
      <w:r w:rsidRPr="001B6E4D">
        <w:rPr>
          <w:rFonts w:hint="eastAsia"/>
        </w:rPr>
        <w:t>115</w:t>
      </w:r>
      <w:proofErr w:type="gramEnd"/>
      <w:r w:rsidRPr="001B6E4D">
        <w:rPr>
          <w:rFonts w:hint="eastAsia"/>
        </w:rPr>
        <w:t>年度預算案</w:t>
      </w:r>
      <w:r w:rsidRPr="001B6E4D">
        <w:t>編列246,631千元，比</w:t>
      </w:r>
      <w:proofErr w:type="gramStart"/>
      <w:r w:rsidRPr="001B6E4D">
        <w:t>114</w:t>
      </w:r>
      <w:proofErr w:type="gramEnd"/>
      <w:r w:rsidRPr="001B6E4D">
        <w:t>年度法定預算223,589千元，增加23,042千元（</w:t>
      </w:r>
      <w:r w:rsidRPr="001B6E4D">
        <w:rPr>
          <w:rFonts w:hint="eastAsia"/>
        </w:rPr>
        <w:t>逾2千3百萬元</w:t>
      </w:r>
      <w:r w:rsidRPr="001B6E4D">
        <w:t>），成長幅度</w:t>
      </w:r>
      <w:r w:rsidRPr="001B6E4D">
        <w:rPr>
          <w:rFonts w:hint="eastAsia"/>
        </w:rPr>
        <w:t>1</w:t>
      </w:r>
      <w:r w:rsidRPr="001B6E4D">
        <w:t>0.31%。</w:t>
      </w:r>
    </w:p>
    <w:p w14:paraId="4A275B3F" w14:textId="77777777" w:rsidR="00201B77" w:rsidRPr="001B6E4D" w:rsidRDefault="00201B77" w:rsidP="003D1018">
      <w:pPr>
        <w:pStyle w:val="1f7"/>
        <w:overflowPunct w:val="0"/>
      </w:pPr>
      <w:r w:rsidRPr="001B6E4D">
        <w:rPr>
          <w:rFonts w:hint="eastAsia"/>
        </w:rPr>
        <w:t>國安會115年「權利使用費」編列預算</w:t>
      </w:r>
      <w:r w:rsidRPr="001B6E4D">
        <w:t>530</w:t>
      </w:r>
      <w:r w:rsidRPr="001B6E4D">
        <w:rPr>
          <w:rFonts w:hint="eastAsia"/>
        </w:rPr>
        <w:t>千元，與</w:t>
      </w:r>
      <w:proofErr w:type="gramStart"/>
      <w:r w:rsidRPr="001B6E4D">
        <w:rPr>
          <w:rFonts w:hint="eastAsia"/>
        </w:rPr>
        <w:t>114</w:t>
      </w:r>
      <w:proofErr w:type="gramEnd"/>
      <w:r w:rsidRPr="001B6E4D">
        <w:rPr>
          <w:rFonts w:hint="eastAsia"/>
        </w:rPr>
        <w:t>年度預算數</w:t>
      </w:r>
      <w:r w:rsidRPr="001B6E4D">
        <w:t>530</w:t>
      </w:r>
      <w:r w:rsidRPr="001B6E4D">
        <w:rPr>
          <w:rFonts w:hint="eastAsia"/>
        </w:rPr>
        <w:t>千元相同。</w:t>
      </w:r>
    </w:p>
    <w:tbl>
      <w:tblPr>
        <w:tblpPr w:leftFromText="180" w:rightFromText="180" w:vertAnchor="text" w:horzAnchor="margin" w:tblpX="411" w:tblpY="194"/>
        <w:tblW w:w="822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92"/>
        <w:gridCol w:w="1701"/>
        <w:gridCol w:w="1701"/>
        <w:gridCol w:w="1559"/>
        <w:gridCol w:w="1418"/>
        <w:gridCol w:w="850"/>
      </w:tblGrid>
      <w:tr w:rsidR="00201B77" w:rsidRPr="001B6E4D" w14:paraId="6CCECC30" w14:textId="77777777" w:rsidTr="00502FCA">
        <w:trPr>
          <w:tblHeader/>
        </w:trPr>
        <w:tc>
          <w:tcPr>
            <w:tcW w:w="8221" w:type="dxa"/>
            <w:gridSpan w:val="6"/>
          </w:tcPr>
          <w:p w14:paraId="62E45647" w14:textId="77777777" w:rsidR="00201B77" w:rsidRPr="001B6E4D" w:rsidRDefault="00201B77" w:rsidP="003D1018">
            <w:pPr>
              <w:overflowPunct w:val="0"/>
              <w:spacing w:line="280" w:lineRule="exact"/>
              <w:jc w:val="center"/>
              <w:rPr>
                <w:rFonts w:ascii="標楷體" w:eastAsia="標楷體" w:hAnsi="標楷體" w:cstheme="minorHAnsi"/>
                <w:b/>
                <w:bCs/>
              </w:rPr>
            </w:pPr>
            <w:r w:rsidRPr="001B6E4D">
              <w:rPr>
                <w:rFonts w:ascii="標楷體" w:eastAsia="標楷體" w:hAnsi="標楷體" w:cstheme="minorHAnsi" w:hint="eastAsia"/>
                <w:b/>
                <w:bCs/>
              </w:rPr>
              <w:t>權利使用費</w:t>
            </w:r>
          </w:p>
        </w:tc>
      </w:tr>
      <w:tr w:rsidR="00201B77" w:rsidRPr="001B6E4D" w14:paraId="6ABB1A9B" w14:textId="77777777" w:rsidTr="00502FCA">
        <w:trPr>
          <w:tblHeader/>
        </w:trPr>
        <w:tc>
          <w:tcPr>
            <w:tcW w:w="992" w:type="dxa"/>
          </w:tcPr>
          <w:p w14:paraId="547C4AF1"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年度</w:t>
            </w:r>
          </w:p>
        </w:tc>
        <w:tc>
          <w:tcPr>
            <w:tcW w:w="1701" w:type="dxa"/>
          </w:tcPr>
          <w:p w14:paraId="3F53E2FB"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預算數/千元</w:t>
            </w:r>
          </w:p>
        </w:tc>
        <w:tc>
          <w:tcPr>
            <w:tcW w:w="1701" w:type="dxa"/>
          </w:tcPr>
          <w:p w14:paraId="10379273"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決算數/千元</w:t>
            </w:r>
          </w:p>
        </w:tc>
        <w:tc>
          <w:tcPr>
            <w:tcW w:w="1559" w:type="dxa"/>
          </w:tcPr>
          <w:p w14:paraId="3EFA0265"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執行率</w:t>
            </w:r>
          </w:p>
        </w:tc>
        <w:tc>
          <w:tcPr>
            <w:tcW w:w="1418" w:type="dxa"/>
            <w:shd w:val="clear" w:color="auto" w:fill="auto"/>
            <w:vAlign w:val="center"/>
          </w:tcPr>
          <w:p w14:paraId="183AB483"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剩餘數/千元</w:t>
            </w:r>
          </w:p>
        </w:tc>
        <w:tc>
          <w:tcPr>
            <w:tcW w:w="850" w:type="dxa"/>
            <w:shd w:val="clear" w:color="auto" w:fill="auto"/>
            <w:vAlign w:val="center"/>
          </w:tcPr>
          <w:p w14:paraId="1F2BB492"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備註</w:t>
            </w:r>
          </w:p>
        </w:tc>
      </w:tr>
      <w:tr w:rsidR="00201B77" w:rsidRPr="001B6E4D" w14:paraId="1CD6841E" w14:textId="77777777" w:rsidTr="00502FCA">
        <w:tc>
          <w:tcPr>
            <w:tcW w:w="992" w:type="dxa"/>
          </w:tcPr>
          <w:p w14:paraId="26F896C9"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112</w:t>
            </w:r>
          </w:p>
        </w:tc>
        <w:tc>
          <w:tcPr>
            <w:tcW w:w="1701" w:type="dxa"/>
          </w:tcPr>
          <w:p w14:paraId="29BD54C5"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530 </w:t>
            </w:r>
          </w:p>
        </w:tc>
        <w:tc>
          <w:tcPr>
            <w:tcW w:w="1701" w:type="dxa"/>
          </w:tcPr>
          <w:p w14:paraId="5F69C26F" w14:textId="77777777" w:rsidR="00201B77" w:rsidRPr="001B6E4D" w:rsidRDefault="00201B77" w:rsidP="003D1018">
            <w:pPr>
              <w:overflowPunct w:val="0"/>
              <w:spacing w:line="280" w:lineRule="exact"/>
              <w:jc w:val="right"/>
              <w:rPr>
                <w:rFonts w:ascii="標楷體" w:eastAsia="標楷體" w:hAnsi="標楷體" w:cstheme="minorHAnsi"/>
                <w:b/>
              </w:rPr>
            </w:pPr>
            <w:r w:rsidRPr="001B6E4D">
              <w:rPr>
                <w:rFonts w:ascii="標楷體" w:eastAsia="標楷體" w:hAnsi="標楷體"/>
              </w:rPr>
              <w:t xml:space="preserve">425 </w:t>
            </w:r>
          </w:p>
        </w:tc>
        <w:tc>
          <w:tcPr>
            <w:tcW w:w="1559" w:type="dxa"/>
          </w:tcPr>
          <w:p w14:paraId="7755175A" w14:textId="77777777" w:rsidR="00201B77" w:rsidRPr="001B6E4D" w:rsidRDefault="00201B77" w:rsidP="003D1018">
            <w:pPr>
              <w:overflowPunct w:val="0"/>
              <w:spacing w:line="280" w:lineRule="exact"/>
              <w:jc w:val="right"/>
              <w:rPr>
                <w:rFonts w:ascii="標楷體" w:eastAsia="標楷體" w:hAnsi="標楷體" w:cstheme="minorHAnsi"/>
                <w:b/>
                <w:sz w:val="20"/>
                <w:szCs w:val="20"/>
              </w:rPr>
            </w:pPr>
            <w:r w:rsidRPr="001B6E4D">
              <w:rPr>
                <w:rFonts w:ascii="標楷體" w:eastAsia="標楷體" w:hAnsi="標楷體"/>
              </w:rPr>
              <w:t>80.17%</w:t>
            </w:r>
          </w:p>
        </w:tc>
        <w:tc>
          <w:tcPr>
            <w:tcW w:w="1418" w:type="dxa"/>
            <w:shd w:val="clear" w:color="auto" w:fill="auto"/>
          </w:tcPr>
          <w:p w14:paraId="166DE1A4"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105 </w:t>
            </w:r>
          </w:p>
        </w:tc>
        <w:tc>
          <w:tcPr>
            <w:tcW w:w="850" w:type="dxa"/>
            <w:shd w:val="clear" w:color="auto" w:fill="auto"/>
          </w:tcPr>
          <w:p w14:paraId="1076137E"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5D00B6C0" w14:textId="77777777" w:rsidTr="00502FCA">
        <w:tc>
          <w:tcPr>
            <w:tcW w:w="992" w:type="dxa"/>
          </w:tcPr>
          <w:p w14:paraId="6C974757"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113</w:t>
            </w:r>
          </w:p>
        </w:tc>
        <w:tc>
          <w:tcPr>
            <w:tcW w:w="1701" w:type="dxa"/>
          </w:tcPr>
          <w:p w14:paraId="0298C9A6"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530 </w:t>
            </w:r>
          </w:p>
        </w:tc>
        <w:tc>
          <w:tcPr>
            <w:tcW w:w="1701" w:type="dxa"/>
          </w:tcPr>
          <w:p w14:paraId="3A7C8E4B"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526 </w:t>
            </w:r>
          </w:p>
        </w:tc>
        <w:tc>
          <w:tcPr>
            <w:tcW w:w="1559" w:type="dxa"/>
          </w:tcPr>
          <w:p w14:paraId="576B946F" w14:textId="77777777" w:rsidR="00201B77" w:rsidRPr="001B6E4D" w:rsidRDefault="00201B77" w:rsidP="003D1018">
            <w:pPr>
              <w:overflowPunct w:val="0"/>
              <w:spacing w:line="280" w:lineRule="exact"/>
              <w:jc w:val="right"/>
              <w:rPr>
                <w:rFonts w:ascii="標楷體" w:eastAsia="標楷體" w:hAnsi="標楷體" w:cstheme="minorHAnsi"/>
                <w:sz w:val="20"/>
                <w:szCs w:val="20"/>
              </w:rPr>
            </w:pPr>
            <w:r w:rsidRPr="001B6E4D">
              <w:rPr>
                <w:rFonts w:ascii="標楷體" w:eastAsia="標楷體" w:hAnsi="標楷體"/>
              </w:rPr>
              <w:t>99.28%</w:t>
            </w:r>
          </w:p>
        </w:tc>
        <w:tc>
          <w:tcPr>
            <w:tcW w:w="1418" w:type="dxa"/>
            <w:shd w:val="clear" w:color="auto" w:fill="auto"/>
          </w:tcPr>
          <w:p w14:paraId="552A5837"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4 </w:t>
            </w:r>
          </w:p>
        </w:tc>
        <w:tc>
          <w:tcPr>
            <w:tcW w:w="850" w:type="dxa"/>
            <w:shd w:val="clear" w:color="auto" w:fill="auto"/>
          </w:tcPr>
          <w:p w14:paraId="5487136A"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73DD06CD" w14:textId="77777777" w:rsidTr="00502FCA">
        <w:tc>
          <w:tcPr>
            <w:tcW w:w="992" w:type="dxa"/>
          </w:tcPr>
          <w:p w14:paraId="7F6FDD81"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114</w:t>
            </w:r>
          </w:p>
        </w:tc>
        <w:tc>
          <w:tcPr>
            <w:tcW w:w="1701" w:type="dxa"/>
          </w:tcPr>
          <w:p w14:paraId="0191A470"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530 </w:t>
            </w:r>
          </w:p>
        </w:tc>
        <w:tc>
          <w:tcPr>
            <w:tcW w:w="1701" w:type="dxa"/>
          </w:tcPr>
          <w:p w14:paraId="4B5E18DB"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353 </w:t>
            </w:r>
          </w:p>
        </w:tc>
        <w:tc>
          <w:tcPr>
            <w:tcW w:w="1559" w:type="dxa"/>
          </w:tcPr>
          <w:p w14:paraId="73EC5DED" w14:textId="77777777" w:rsidR="00201B77" w:rsidRPr="001B6E4D" w:rsidRDefault="00201B77" w:rsidP="003D1018">
            <w:pPr>
              <w:overflowPunct w:val="0"/>
              <w:spacing w:line="280" w:lineRule="exact"/>
              <w:jc w:val="right"/>
              <w:rPr>
                <w:rFonts w:ascii="標楷體" w:eastAsia="標楷體" w:hAnsi="標楷體" w:cstheme="minorHAnsi"/>
                <w:b/>
                <w:sz w:val="22"/>
              </w:rPr>
            </w:pPr>
            <w:r w:rsidRPr="001B6E4D">
              <w:rPr>
                <w:rFonts w:ascii="標楷體" w:eastAsia="標楷體" w:hAnsi="標楷體"/>
              </w:rPr>
              <w:t>66.60%</w:t>
            </w:r>
          </w:p>
        </w:tc>
        <w:tc>
          <w:tcPr>
            <w:tcW w:w="1418" w:type="dxa"/>
            <w:shd w:val="clear" w:color="auto" w:fill="auto"/>
          </w:tcPr>
          <w:p w14:paraId="4DDC46A1"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177 </w:t>
            </w:r>
          </w:p>
        </w:tc>
        <w:tc>
          <w:tcPr>
            <w:tcW w:w="850" w:type="dxa"/>
            <w:shd w:val="clear" w:color="auto" w:fill="auto"/>
          </w:tcPr>
          <w:p w14:paraId="168E804F"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2D9E4A87" w14:textId="77777777" w:rsidTr="00502FCA">
        <w:tc>
          <w:tcPr>
            <w:tcW w:w="992" w:type="dxa"/>
          </w:tcPr>
          <w:p w14:paraId="015AD7D8"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115</w:t>
            </w:r>
          </w:p>
        </w:tc>
        <w:tc>
          <w:tcPr>
            <w:tcW w:w="1701" w:type="dxa"/>
          </w:tcPr>
          <w:p w14:paraId="15172634"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530</w:t>
            </w:r>
          </w:p>
        </w:tc>
        <w:tc>
          <w:tcPr>
            <w:tcW w:w="1701" w:type="dxa"/>
          </w:tcPr>
          <w:p w14:paraId="34215D3A" w14:textId="77777777" w:rsidR="00201B77" w:rsidRPr="001B6E4D" w:rsidRDefault="00201B77" w:rsidP="003D1018">
            <w:pPr>
              <w:overflowPunct w:val="0"/>
              <w:spacing w:line="280" w:lineRule="exact"/>
              <w:jc w:val="right"/>
              <w:rPr>
                <w:rFonts w:ascii="標楷體" w:eastAsia="標楷體" w:hAnsi="標楷體" w:cstheme="minorHAnsi"/>
              </w:rPr>
            </w:pPr>
          </w:p>
        </w:tc>
        <w:tc>
          <w:tcPr>
            <w:tcW w:w="1559" w:type="dxa"/>
          </w:tcPr>
          <w:p w14:paraId="7F025238" w14:textId="77777777" w:rsidR="00201B77" w:rsidRPr="001B6E4D" w:rsidRDefault="00201B77" w:rsidP="003D1018">
            <w:pPr>
              <w:overflowPunct w:val="0"/>
              <w:spacing w:line="280" w:lineRule="exact"/>
              <w:jc w:val="right"/>
              <w:rPr>
                <w:rFonts w:ascii="標楷體" w:eastAsia="標楷體" w:hAnsi="標楷體" w:cstheme="minorHAnsi"/>
              </w:rPr>
            </w:pPr>
          </w:p>
        </w:tc>
        <w:tc>
          <w:tcPr>
            <w:tcW w:w="1418" w:type="dxa"/>
            <w:shd w:val="clear" w:color="auto" w:fill="auto"/>
          </w:tcPr>
          <w:p w14:paraId="1719363B" w14:textId="77777777" w:rsidR="00201B77" w:rsidRPr="001B6E4D" w:rsidRDefault="00201B77" w:rsidP="003D1018">
            <w:pPr>
              <w:overflowPunct w:val="0"/>
              <w:spacing w:line="280" w:lineRule="exact"/>
              <w:jc w:val="right"/>
              <w:rPr>
                <w:rFonts w:ascii="標楷體" w:eastAsia="標楷體" w:hAnsi="標楷體" w:cstheme="minorHAnsi"/>
              </w:rPr>
            </w:pPr>
          </w:p>
        </w:tc>
        <w:tc>
          <w:tcPr>
            <w:tcW w:w="850" w:type="dxa"/>
            <w:shd w:val="clear" w:color="auto" w:fill="auto"/>
          </w:tcPr>
          <w:p w14:paraId="3D422550" w14:textId="77777777" w:rsidR="00201B77" w:rsidRPr="001B6E4D" w:rsidRDefault="00201B77" w:rsidP="003D1018">
            <w:pPr>
              <w:overflowPunct w:val="0"/>
              <w:spacing w:line="280" w:lineRule="exact"/>
              <w:jc w:val="right"/>
              <w:rPr>
                <w:rFonts w:ascii="標楷體" w:eastAsia="標楷體" w:hAnsi="標楷體" w:cstheme="minorHAnsi"/>
                <w:sz w:val="16"/>
                <w:szCs w:val="16"/>
              </w:rPr>
            </w:pPr>
          </w:p>
        </w:tc>
      </w:tr>
    </w:tbl>
    <w:p w14:paraId="2C9DD611" w14:textId="77777777" w:rsidR="00201B77" w:rsidRPr="001B6E4D" w:rsidRDefault="00201B77" w:rsidP="003D1018">
      <w:pPr>
        <w:pStyle w:val="1f7"/>
        <w:overflowPunct w:val="0"/>
      </w:pPr>
      <w:proofErr w:type="gramStart"/>
      <w:r w:rsidRPr="001B6E4D">
        <w:rPr>
          <w:rFonts w:hint="eastAsia"/>
        </w:rPr>
        <w:t>經查國安</w:t>
      </w:r>
      <w:proofErr w:type="gramEnd"/>
      <w:r w:rsidRPr="001B6E4D">
        <w:rPr>
          <w:rFonts w:hint="eastAsia"/>
        </w:rPr>
        <w:t>會近三年決算書資料如上表，「權利使用費」近三年平均執行率為82.</w:t>
      </w:r>
      <w:r w:rsidRPr="001B6E4D">
        <w:t>02</w:t>
      </w:r>
      <w:r w:rsidRPr="001B6E4D">
        <w:rPr>
          <w:rFonts w:hint="eastAsia"/>
        </w:rPr>
        <w:t>％。剩餘數從4千元到177千元</w:t>
      </w:r>
      <w:proofErr w:type="gramStart"/>
      <w:r w:rsidRPr="001B6E4D">
        <w:rPr>
          <w:rFonts w:hint="eastAsia"/>
        </w:rPr>
        <w:t>之間，</w:t>
      </w:r>
      <w:proofErr w:type="gramEnd"/>
      <w:r w:rsidRPr="001B6E4D">
        <w:rPr>
          <w:rFonts w:hint="eastAsia"/>
        </w:rPr>
        <w:t>顯見，原有經費編列與實際需求之間存有相當落差，致使經費運用效益低落。</w:t>
      </w:r>
    </w:p>
    <w:p w14:paraId="3E2A066B" w14:textId="77777777" w:rsidR="00201B77" w:rsidRPr="001B6E4D" w:rsidRDefault="00201B77" w:rsidP="003D1018">
      <w:pPr>
        <w:pStyle w:val="1f7"/>
        <w:overflowPunct w:val="0"/>
      </w:pPr>
      <w:r w:rsidRPr="001B6E4D">
        <w:rPr>
          <w:rFonts w:hint="eastAsia"/>
        </w:rPr>
        <w:t>然，115年中央政府總預算連同特別預算，</w:t>
      </w:r>
      <w:proofErr w:type="gramStart"/>
      <w:r w:rsidRPr="001B6E4D">
        <w:rPr>
          <w:rFonts w:hint="eastAsia"/>
        </w:rPr>
        <w:t>已需舉</w:t>
      </w:r>
      <w:proofErr w:type="gramEnd"/>
      <w:r w:rsidRPr="001B6E4D">
        <w:rPr>
          <w:rFonts w:hint="eastAsia"/>
        </w:rPr>
        <w:t>債高達4千億元。政府各單位更應量入為出、</w:t>
      </w:r>
      <w:proofErr w:type="gramStart"/>
      <w:r w:rsidRPr="001B6E4D">
        <w:rPr>
          <w:rFonts w:hint="eastAsia"/>
        </w:rPr>
        <w:t>撙</w:t>
      </w:r>
      <w:proofErr w:type="gramEnd"/>
      <w:r w:rsidRPr="001B6E4D">
        <w:rPr>
          <w:rFonts w:hint="eastAsia"/>
        </w:rPr>
        <w:t>節公</w:t>
      </w:r>
      <w:proofErr w:type="gramStart"/>
      <w:r w:rsidRPr="001B6E4D">
        <w:rPr>
          <w:rFonts w:hint="eastAsia"/>
        </w:rPr>
        <w:t>帑</w:t>
      </w:r>
      <w:proofErr w:type="gramEnd"/>
      <w:r w:rsidRPr="001B6E4D">
        <w:rPr>
          <w:rFonts w:hint="eastAsia"/>
        </w:rPr>
        <w:t>，</w:t>
      </w:r>
      <w:proofErr w:type="gramStart"/>
      <w:r w:rsidRPr="001B6E4D">
        <w:rPr>
          <w:rFonts w:hint="eastAsia"/>
        </w:rPr>
        <w:t>減列非必要</w:t>
      </w:r>
      <w:proofErr w:type="gramEnd"/>
      <w:r w:rsidRPr="001B6E4D">
        <w:rPr>
          <w:rFonts w:hint="eastAsia"/>
        </w:rPr>
        <w:t>、非急迫性的支出，以降低國庫舉債、</w:t>
      </w:r>
      <w:proofErr w:type="gramStart"/>
      <w:r w:rsidRPr="001B6E4D">
        <w:rPr>
          <w:rFonts w:hint="eastAsia"/>
        </w:rPr>
        <w:t>債留子孫</w:t>
      </w:r>
      <w:proofErr w:type="gramEnd"/>
      <w:r w:rsidRPr="001B6E4D">
        <w:rPr>
          <w:rFonts w:hint="eastAsia"/>
        </w:rPr>
        <w:t>的壓力。</w:t>
      </w:r>
    </w:p>
    <w:p w14:paraId="6D451235" w14:textId="77777777" w:rsidR="00201B77" w:rsidRPr="001B6E4D" w:rsidRDefault="00201B77" w:rsidP="003D1018">
      <w:pPr>
        <w:pStyle w:val="1f7"/>
        <w:overflowPunct w:val="0"/>
      </w:pPr>
      <w:proofErr w:type="gramStart"/>
      <w:r w:rsidRPr="001B6E4D">
        <w:rPr>
          <w:rFonts w:hint="eastAsia"/>
        </w:rPr>
        <w:t>且</w:t>
      </w:r>
      <w:proofErr w:type="gramEnd"/>
      <w:r w:rsidRPr="001B6E4D">
        <w:rPr>
          <w:rFonts w:hint="eastAsia"/>
        </w:rPr>
        <w:t>，賴總統為回應美國對台灣應大幅增加國防支出的強硬立場與關切壓力，</w:t>
      </w:r>
      <w:proofErr w:type="gramStart"/>
      <w:r w:rsidRPr="001B6E4D">
        <w:rPr>
          <w:rFonts w:hint="eastAsia"/>
        </w:rPr>
        <w:t>115</w:t>
      </w:r>
      <w:proofErr w:type="gramEnd"/>
      <w:r w:rsidRPr="001B6E4D">
        <w:rPr>
          <w:rFonts w:hint="eastAsia"/>
        </w:rPr>
        <w:t>年度國防支出已創下歷史新高，達9495億新台幣；大舉增加國防支出，必定會嚴重排擠年度的教育、文化等支出，亦即，各</w:t>
      </w:r>
      <w:proofErr w:type="gramStart"/>
      <w:r w:rsidRPr="001B6E4D">
        <w:rPr>
          <w:rFonts w:hint="eastAsia"/>
        </w:rPr>
        <w:t>部會應勒緊</w:t>
      </w:r>
      <w:proofErr w:type="gramEnd"/>
      <w:r w:rsidRPr="001B6E4D">
        <w:rPr>
          <w:rFonts w:hint="eastAsia"/>
        </w:rPr>
        <w:t>褲帶，共體時</w:t>
      </w:r>
      <w:proofErr w:type="gramStart"/>
      <w:r w:rsidRPr="001B6E4D">
        <w:rPr>
          <w:rFonts w:hint="eastAsia"/>
        </w:rPr>
        <w:t>艱</w:t>
      </w:r>
      <w:proofErr w:type="gramEnd"/>
      <w:r w:rsidRPr="001B6E4D">
        <w:rPr>
          <w:rFonts w:hint="eastAsia"/>
        </w:rPr>
        <w:t>、以</w:t>
      </w:r>
      <w:proofErr w:type="gramStart"/>
      <w:r w:rsidRPr="001B6E4D">
        <w:rPr>
          <w:rFonts w:hint="eastAsia"/>
        </w:rPr>
        <w:t>撙</w:t>
      </w:r>
      <w:proofErr w:type="gramEnd"/>
      <w:r w:rsidRPr="001B6E4D">
        <w:rPr>
          <w:rFonts w:hint="eastAsia"/>
        </w:rPr>
        <w:t>節支出的具體行動，來呼應賴總統對美方要求大幅增加國防支出的承諾。</w:t>
      </w:r>
    </w:p>
    <w:p w14:paraId="0DD86535" w14:textId="77777777" w:rsidR="00201B77" w:rsidRPr="001B6E4D" w:rsidRDefault="00201B77" w:rsidP="003D1018">
      <w:pPr>
        <w:pStyle w:val="1f7"/>
        <w:overflowPunct w:val="0"/>
      </w:pPr>
      <w:r w:rsidRPr="001B6E4D">
        <w:rPr>
          <w:rFonts w:hint="eastAsia"/>
        </w:rPr>
        <w:t>惟國安會</w:t>
      </w:r>
      <w:proofErr w:type="gramStart"/>
      <w:r w:rsidRPr="001B6E4D">
        <w:rPr>
          <w:rFonts w:hint="eastAsia"/>
        </w:rPr>
        <w:t>115</w:t>
      </w:r>
      <w:proofErr w:type="gramEnd"/>
      <w:r w:rsidRPr="001B6E4D">
        <w:rPr>
          <w:rFonts w:hint="eastAsia"/>
        </w:rPr>
        <w:t>年度預算案仍編列「權利使用費」</w:t>
      </w:r>
      <w:r w:rsidRPr="001B6E4D">
        <w:t>530</w:t>
      </w:r>
      <w:r w:rsidRPr="001B6E4D">
        <w:rPr>
          <w:rFonts w:hint="eastAsia"/>
        </w:rPr>
        <w:t>千元，與114年法定預算相比。為兌現賴總統對美方的承諾，且為配</w:t>
      </w:r>
      <w:r w:rsidRPr="001B6E4D">
        <w:rPr>
          <w:rFonts w:hint="eastAsia"/>
        </w:rPr>
        <w:lastRenderedPageBreak/>
        <w:t>合國防支出大幅增加之影響而必須</w:t>
      </w:r>
      <w:proofErr w:type="gramStart"/>
      <w:r w:rsidRPr="001B6E4D">
        <w:rPr>
          <w:rFonts w:hint="eastAsia"/>
        </w:rPr>
        <w:t>撙</w:t>
      </w:r>
      <w:proofErr w:type="gramEnd"/>
      <w:r w:rsidRPr="001B6E4D">
        <w:rPr>
          <w:rFonts w:hint="eastAsia"/>
        </w:rPr>
        <w:t>節經費，</w:t>
      </w:r>
      <w:proofErr w:type="gramStart"/>
      <w:r w:rsidRPr="001B6E4D">
        <w:rPr>
          <w:rFonts w:hint="eastAsia"/>
          <w:b/>
          <w:u w:val="thick"/>
        </w:rPr>
        <w:t>爰</w:t>
      </w:r>
      <w:proofErr w:type="gramEnd"/>
      <w:r w:rsidRPr="001B6E4D">
        <w:rPr>
          <w:rFonts w:hint="eastAsia"/>
          <w:b/>
          <w:u w:val="thick"/>
        </w:rPr>
        <w:t>提案減列15萬元整（以決算數38萬計算）且不得</w:t>
      </w:r>
      <w:proofErr w:type="gramStart"/>
      <w:r w:rsidRPr="001B6E4D">
        <w:rPr>
          <w:rFonts w:hint="eastAsia"/>
          <w:b/>
          <w:u w:val="thick"/>
        </w:rPr>
        <w:t>流用勻支</w:t>
      </w:r>
      <w:proofErr w:type="gramEnd"/>
      <w:r w:rsidRPr="001B6E4D">
        <w:rPr>
          <w:rFonts w:hint="eastAsia"/>
        </w:rPr>
        <w:t>，以避免有限之財政資源閒置與浪費。</w:t>
      </w:r>
      <w:r w:rsidRPr="001B6E4D">
        <w:t>【</w:t>
      </w:r>
      <w:r w:rsidRPr="001B6E4D">
        <w:rPr>
          <w:rFonts w:hint="eastAsia"/>
        </w:rPr>
        <w:t>32</w:t>
      </w:r>
      <w:r w:rsidRPr="001B6E4D">
        <w:t>】</w:t>
      </w:r>
    </w:p>
    <w:p w14:paraId="41AF4FBC" w14:textId="77777777" w:rsidR="00201B77" w:rsidRPr="001B6E4D" w:rsidRDefault="00201B77" w:rsidP="003D1018">
      <w:pPr>
        <w:pStyle w:val="2fb"/>
        <w:overflowPunct w:val="0"/>
      </w:pPr>
      <w:r w:rsidRPr="001B6E4D">
        <w:t>提案人：翁曉玲</w:t>
      </w:r>
    </w:p>
    <w:p w14:paraId="7D92C2F3" w14:textId="77777777" w:rsidR="00201B77" w:rsidRPr="001B6E4D" w:rsidRDefault="00201B77" w:rsidP="003D1018">
      <w:pPr>
        <w:pStyle w:val="2fb"/>
        <w:overflowPunct w:val="0"/>
      </w:pPr>
      <w:r w:rsidRPr="001B6E4D">
        <w:t>連署人：許宇</w:t>
      </w:r>
      <w:proofErr w:type="gramStart"/>
      <w:r w:rsidRPr="001B6E4D">
        <w:t>甄</w:t>
      </w:r>
      <w:proofErr w:type="gramEnd"/>
      <w:r w:rsidRPr="001B6E4D">
        <w:t xml:space="preserve">　林倩綺</w:t>
      </w:r>
    </w:p>
    <w:p w14:paraId="024DD473" w14:textId="77777777" w:rsidR="00201B77" w:rsidRPr="001B6E4D" w:rsidRDefault="00201B77" w:rsidP="003D1018">
      <w:pPr>
        <w:pStyle w:val="1f6"/>
        <w:overflowPunct w:val="0"/>
      </w:pPr>
      <w:r w:rsidRPr="001B6E4D">
        <w:rPr>
          <w:rFonts w:hint="eastAsia"/>
        </w:rPr>
        <w:t>國家安全會議(以下簡稱國安會)</w:t>
      </w:r>
      <w:proofErr w:type="gramStart"/>
      <w:r w:rsidRPr="001B6E4D">
        <w:rPr>
          <w:rFonts w:hint="eastAsia"/>
        </w:rPr>
        <w:t>115</w:t>
      </w:r>
      <w:proofErr w:type="gramEnd"/>
      <w:r w:rsidRPr="001B6E4D">
        <w:rPr>
          <w:rFonts w:hint="eastAsia"/>
        </w:rPr>
        <w:t>年度預算案</w:t>
      </w:r>
      <w:r w:rsidRPr="001B6E4D">
        <w:t>編列246,631千元，比</w:t>
      </w:r>
      <w:proofErr w:type="gramStart"/>
      <w:r w:rsidRPr="001B6E4D">
        <w:t>114</w:t>
      </w:r>
      <w:proofErr w:type="gramEnd"/>
      <w:r w:rsidRPr="001B6E4D">
        <w:t>年度法定預算223,589千元，增加23,042千元（</w:t>
      </w:r>
      <w:r w:rsidRPr="001B6E4D">
        <w:rPr>
          <w:rFonts w:hint="eastAsia"/>
        </w:rPr>
        <w:t>逾2千3百萬元</w:t>
      </w:r>
      <w:r w:rsidRPr="001B6E4D">
        <w:t>），成長幅度</w:t>
      </w:r>
      <w:r w:rsidRPr="001B6E4D">
        <w:rPr>
          <w:rFonts w:hint="eastAsia"/>
        </w:rPr>
        <w:t>1</w:t>
      </w:r>
      <w:r w:rsidRPr="001B6E4D">
        <w:t>0.31%。</w:t>
      </w:r>
    </w:p>
    <w:p w14:paraId="7EDBF01A" w14:textId="77777777" w:rsidR="00201B77" w:rsidRPr="001B6E4D" w:rsidRDefault="00201B77" w:rsidP="003D1018">
      <w:pPr>
        <w:pStyle w:val="1f7"/>
        <w:overflowPunct w:val="0"/>
      </w:pPr>
      <w:r w:rsidRPr="001B6E4D">
        <w:rPr>
          <w:rFonts w:hint="eastAsia"/>
        </w:rPr>
        <w:t>國安會115年「按日按</w:t>
      </w:r>
      <w:proofErr w:type="gramStart"/>
      <w:r w:rsidRPr="001B6E4D">
        <w:rPr>
          <w:rFonts w:hint="eastAsia"/>
        </w:rPr>
        <w:t>件計資</w:t>
      </w:r>
      <w:proofErr w:type="gramEnd"/>
      <w:r w:rsidRPr="001B6E4D">
        <w:rPr>
          <w:rFonts w:hint="eastAsia"/>
        </w:rPr>
        <w:t>酬金」編列預算</w:t>
      </w:r>
      <w:r w:rsidRPr="001B6E4D">
        <w:t>3,171</w:t>
      </w:r>
      <w:r w:rsidRPr="001B6E4D">
        <w:rPr>
          <w:rFonts w:hint="eastAsia"/>
        </w:rPr>
        <w:t>千元，較</w:t>
      </w:r>
      <w:proofErr w:type="gramStart"/>
      <w:r w:rsidRPr="001B6E4D">
        <w:rPr>
          <w:rFonts w:hint="eastAsia"/>
        </w:rPr>
        <w:t>114</w:t>
      </w:r>
      <w:proofErr w:type="gramEnd"/>
      <w:r w:rsidRPr="001B6E4D">
        <w:rPr>
          <w:rFonts w:hint="eastAsia"/>
        </w:rPr>
        <w:t>年度預算數</w:t>
      </w:r>
      <w:r w:rsidRPr="001B6E4D">
        <w:t>3,005</w:t>
      </w:r>
      <w:r w:rsidRPr="001B6E4D">
        <w:rPr>
          <w:rFonts w:hint="eastAsia"/>
        </w:rPr>
        <w:t>千元，增列</w:t>
      </w:r>
      <w:r w:rsidRPr="001B6E4D">
        <w:t>166</w:t>
      </w:r>
      <w:r w:rsidRPr="001B6E4D">
        <w:rPr>
          <w:rFonts w:hint="eastAsia"/>
        </w:rPr>
        <w:t>千元，增加幅度為</w:t>
      </w:r>
      <w:r w:rsidRPr="001B6E4D">
        <w:t>5.52%</w:t>
      </w:r>
      <w:r w:rsidRPr="001B6E4D">
        <w:rPr>
          <w:rFonts w:hint="eastAsia"/>
        </w:rPr>
        <w:t>。</w:t>
      </w:r>
    </w:p>
    <w:tbl>
      <w:tblPr>
        <w:tblpPr w:leftFromText="180" w:rightFromText="180" w:vertAnchor="text" w:horzAnchor="margin" w:tblpX="411" w:tblpY="194"/>
        <w:tblW w:w="820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8"/>
        <w:gridCol w:w="1701"/>
        <w:gridCol w:w="1701"/>
        <w:gridCol w:w="1701"/>
        <w:gridCol w:w="1701"/>
        <w:gridCol w:w="695"/>
      </w:tblGrid>
      <w:tr w:rsidR="00201B77" w:rsidRPr="001B6E4D" w14:paraId="7E0F3F93" w14:textId="77777777" w:rsidTr="00271E5D">
        <w:trPr>
          <w:tblHeader/>
        </w:trPr>
        <w:tc>
          <w:tcPr>
            <w:tcW w:w="8207" w:type="dxa"/>
            <w:gridSpan w:val="6"/>
          </w:tcPr>
          <w:p w14:paraId="56971BB8" w14:textId="77777777" w:rsidR="00201B77" w:rsidRPr="001B6E4D" w:rsidRDefault="00201B77" w:rsidP="003D1018">
            <w:pPr>
              <w:overflowPunct w:val="0"/>
              <w:spacing w:line="280" w:lineRule="exact"/>
              <w:jc w:val="center"/>
              <w:rPr>
                <w:rFonts w:ascii="標楷體" w:eastAsia="標楷體" w:hAnsi="標楷體" w:cstheme="minorHAnsi"/>
                <w:b/>
                <w:bCs/>
              </w:rPr>
            </w:pPr>
            <w:r w:rsidRPr="001B6E4D">
              <w:rPr>
                <w:rFonts w:ascii="標楷體" w:eastAsia="標楷體" w:hAnsi="標楷體" w:cstheme="minorHAnsi" w:hint="eastAsia"/>
                <w:b/>
                <w:bCs/>
              </w:rPr>
              <w:t>按日按</w:t>
            </w:r>
            <w:proofErr w:type="gramStart"/>
            <w:r w:rsidRPr="001B6E4D">
              <w:rPr>
                <w:rFonts w:ascii="標楷體" w:eastAsia="標楷體" w:hAnsi="標楷體" w:cstheme="minorHAnsi" w:hint="eastAsia"/>
                <w:b/>
                <w:bCs/>
              </w:rPr>
              <w:t>件計資</w:t>
            </w:r>
            <w:proofErr w:type="gramEnd"/>
            <w:r w:rsidRPr="001B6E4D">
              <w:rPr>
                <w:rFonts w:ascii="標楷體" w:eastAsia="標楷體" w:hAnsi="標楷體" w:cstheme="minorHAnsi" w:hint="eastAsia"/>
                <w:b/>
                <w:bCs/>
              </w:rPr>
              <w:t>酬金</w:t>
            </w:r>
          </w:p>
        </w:tc>
      </w:tr>
      <w:tr w:rsidR="00201B77" w:rsidRPr="001B6E4D" w14:paraId="1316B9A7" w14:textId="77777777" w:rsidTr="00271E5D">
        <w:trPr>
          <w:tblHeader/>
        </w:trPr>
        <w:tc>
          <w:tcPr>
            <w:tcW w:w="708" w:type="dxa"/>
          </w:tcPr>
          <w:p w14:paraId="2A06F386"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年度</w:t>
            </w:r>
          </w:p>
        </w:tc>
        <w:tc>
          <w:tcPr>
            <w:tcW w:w="1701" w:type="dxa"/>
          </w:tcPr>
          <w:p w14:paraId="67B91EBD"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預算數/千元</w:t>
            </w:r>
          </w:p>
        </w:tc>
        <w:tc>
          <w:tcPr>
            <w:tcW w:w="1701" w:type="dxa"/>
          </w:tcPr>
          <w:p w14:paraId="43DD284E"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決算數/千元</w:t>
            </w:r>
          </w:p>
        </w:tc>
        <w:tc>
          <w:tcPr>
            <w:tcW w:w="1701" w:type="dxa"/>
          </w:tcPr>
          <w:p w14:paraId="1660048A"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執行率</w:t>
            </w:r>
          </w:p>
        </w:tc>
        <w:tc>
          <w:tcPr>
            <w:tcW w:w="1701" w:type="dxa"/>
            <w:shd w:val="clear" w:color="auto" w:fill="auto"/>
            <w:vAlign w:val="center"/>
          </w:tcPr>
          <w:p w14:paraId="7C9AF18E"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剩餘數/千元</w:t>
            </w:r>
          </w:p>
        </w:tc>
        <w:tc>
          <w:tcPr>
            <w:tcW w:w="695" w:type="dxa"/>
            <w:shd w:val="clear" w:color="auto" w:fill="auto"/>
            <w:vAlign w:val="center"/>
          </w:tcPr>
          <w:p w14:paraId="5F31C31B"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備註</w:t>
            </w:r>
          </w:p>
        </w:tc>
      </w:tr>
      <w:tr w:rsidR="00201B77" w:rsidRPr="001B6E4D" w14:paraId="1D91DC1A" w14:textId="77777777" w:rsidTr="00271E5D">
        <w:tc>
          <w:tcPr>
            <w:tcW w:w="708" w:type="dxa"/>
          </w:tcPr>
          <w:p w14:paraId="69DD0326"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112</w:t>
            </w:r>
          </w:p>
        </w:tc>
        <w:tc>
          <w:tcPr>
            <w:tcW w:w="1701" w:type="dxa"/>
          </w:tcPr>
          <w:p w14:paraId="5ECEAD95"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3,115 </w:t>
            </w:r>
          </w:p>
        </w:tc>
        <w:tc>
          <w:tcPr>
            <w:tcW w:w="1701" w:type="dxa"/>
          </w:tcPr>
          <w:p w14:paraId="39E612BB" w14:textId="77777777" w:rsidR="00201B77" w:rsidRPr="001B6E4D" w:rsidRDefault="00201B77" w:rsidP="003D1018">
            <w:pPr>
              <w:overflowPunct w:val="0"/>
              <w:spacing w:line="280" w:lineRule="exact"/>
              <w:jc w:val="right"/>
              <w:rPr>
                <w:rFonts w:ascii="標楷體" w:eastAsia="標楷體" w:hAnsi="標楷體" w:cstheme="minorHAnsi"/>
                <w:b/>
              </w:rPr>
            </w:pPr>
            <w:r w:rsidRPr="001B6E4D">
              <w:rPr>
                <w:rFonts w:ascii="標楷體" w:eastAsia="標楷體" w:hAnsi="標楷體"/>
              </w:rPr>
              <w:t xml:space="preserve">910 </w:t>
            </w:r>
          </w:p>
        </w:tc>
        <w:tc>
          <w:tcPr>
            <w:tcW w:w="1701" w:type="dxa"/>
          </w:tcPr>
          <w:p w14:paraId="4A697576" w14:textId="77777777" w:rsidR="00201B77" w:rsidRPr="001B6E4D" w:rsidRDefault="00201B77" w:rsidP="003D1018">
            <w:pPr>
              <w:overflowPunct w:val="0"/>
              <w:spacing w:line="280" w:lineRule="exact"/>
              <w:jc w:val="right"/>
              <w:rPr>
                <w:rFonts w:ascii="標楷體" w:eastAsia="標楷體" w:hAnsi="標楷體" w:cstheme="minorHAnsi"/>
                <w:b/>
                <w:sz w:val="20"/>
                <w:szCs w:val="20"/>
              </w:rPr>
            </w:pPr>
            <w:r w:rsidRPr="001B6E4D">
              <w:rPr>
                <w:rFonts w:ascii="標楷體" w:eastAsia="標楷體" w:hAnsi="標楷體"/>
              </w:rPr>
              <w:t>29.23%</w:t>
            </w:r>
          </w:p>
        </w:tc>
        <w:tc>
          <w:tcPr>
            <w:tcW w:w="1701" w:type="dxa"/>
            <w:shd w:val="clear" w:color="auto" w:fill="auto"/>
          </w:tcPr>
          <w:p w14:paraId="4ACC0E6D"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2,205 </w:t>
            </w:r>
          </w:p>
        </w:tc>
        <w:tc>
          <w:tcPr>
            <w:tcW w:w="695" w:type="dxa"/>
            <w:shd w:val="clear" w:color="auto" w:fill="auto"/>
          </w:tcPr>
          <w:p w14:paraId="11524E48"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3CAEDAF2" w14:textId="77777777" w:rsidTr="00271E5D">
        <w:tc>
          <w:tcPr>
            <w:tcW w:w="708" w:type="dxa"/>
          </w:tcPr>
          <w:p w14:paraId="7FB590E8"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113</w:t>
            </w:r>
          </w:p>
        </w:tc>
        <w:tc>
          <w:tcPr>
            <w:tcW w:w="1701" w:type="dxa"/>
          </w:tcPr>
          <w:p w14:paraId="73850EB6"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3,179 </w:t>
            </w:r>
          </w:p>
        </w:tc>
        <w:tc>
          <w:tcPr>
            <w:tcW w:w="1701" w:type="dxa"/>
          </w:tcPr>
          <w:p w14:paraId="529254D3"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526 </w:t>
            </w:r>
          </w:p>
        </w:tc>
        <w:tc>
          <w:tcPr>
            <w:tcW w:w="1701" w:type="dxa"/>
          </w:tcPr>
          <w:p w14:paraId="52CD1478" w14:textId="77777777" w:rsidR="00201B77" w:rsidRPr="001B6E4D" w:rsidRDefault="00201B77" w:rsidP="003D1018">
            <w:pPr>
              <w:overflowPunct w:val="0"/>
              <w:spacing w:line="280" w:lineRule="exact"/>
              <w:jc w:val="right"/>
              <w:rPr>
                <w:rFonts w:ascii="標楷體" w:eastAsia="標楷體" w:hAnsi="標楷體" w:cstheme="minorHAnsi"/>
                <w:sz w:val="20"/>
                <w:szCs w:val="20"/>
              </w:rPr>
            </w:pPr>
            <w:r w:rsidRPr="001B6E4D">
              <w:rPr>
                <w:rFonts w:ascii="標楷體" w:eastAsia="標楷體" w:hAnsi="標楷體"/>
              </w:rPr>
              <w:t>16.56%</w:t>
            </w:r>
          </w:p>
        </w:tc>
        <w:tc>
          <w:tcPr>
            <w:tcW w:w="1701" w:type="dxa"/>
            <w:shd w:val="clear" w:color="auto" w:fill="auto"/>
          </w:tcPr>
          <w:p w14:paraId="20971610"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2,653 </w:t>
            </w:r>
          </w:p>
        </w:tc>
        <w:tc>
          <w:tcPr>
            <w:tcW w:w="695" w:type="dxa"/>
            <w:shd w:val="clear" w:color="auto" w:fill="auto"/>
          </w:tcPr>
          <w:p w14:paraId="5F362ED0"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6361B6A1" w14:textId="77777777" w:rsidTr="00271E5D">
        <w:tc>
          <w:tcPr>
            <w:tcW w:w="708" w:type="dxa"/>
          </w:tcPr>
          <w:p w14:paraId="1B1259A5"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114</w:t>
            </w:r>
          </w:p>
        </w:tc>
        <w:tc>
          <w:tcPr>
            <w:tcW w:w="1701" w:type="dxa"/>
          </w:tcPr>
          <w:p w14:paraId="2A05DFB7"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3,005 </w:t>
            </w:r>
          </w:p>
        </w:tc>
        <w:tc>
          <w:tcPr>
            <w:tcW w:w="1701" w:type="dxa"/>
          </w:tcPr>
          <w:p w14:paraId="3E6441FA"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536 </w:t>
            </w:r>
          </w:p>
        </w:tc>
        <w:tc>
          <w:tcPr>
            <w:tcW w:w="1701" w:type="dxa"/>
          </w:tcPr>
          <w:p w14:paraId="2743ED23" w14:textId="77777777" w:rsidR="00201B77" w:rsidRPr="001B6E4D" w:rsidRDefault="00201B77" w:rsidP="003D1018">
            <w:pPr>
              <w:overflowPunct w:val="0"/>
              <w:spacing w:line="280" w:lineRule="exact"/>
              <w:jc w:val="right"/>
              <w:rPr>
                <w:rFonts w:ascii="標楷體" w:eastAsia="標楷體" w:hAnsi="標楷體" w:cstheme="minorHAnsi"/>
                <w:b/>
                <w:sz w:val="22"/>
              </w:rPr>
            </w:pPr>
            <w:r w:rsidRPr="001B6E4D">
              <w:rPr>
                <w:rFonts w:ascii="標楷體" w:eastAsia="標楷體" w:hAnsi="標楷體"/>
              </w:rPr>
              <w:t>17.84%</w:t>
            </w:r>
          </w:p>
        </w:tc>
        <w:tc>
          <w:tcPr>
            <w:tcW w:w="1701" w:type="dxa"/>
            <w:shd w:val="clear" w:color="auto" w:fill="auto"/>
          </w:tcPr>
          <w:p w14:paraId="73ED1EF8"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2,469 </w:t>
            </w:r>
          </w:p>
        </w:tc>
        <w:tc>
          <w:tcPr>
            <w:tcW w:w="695" w:type="dxa"/>
            <w:shd w:val="clear" w:color="auto" w:fill="auto"/>
          </w:tcPr>
          <w:p w14:paraId="6ACA0654"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4DD17526" w14:textId="77777777" w:rsidTr="00271E5D">
        <w:tc>
          <w:tcPr>
            <w:tcW w:w="708" w:type="dxa"/>
          </w:tcPr>
          <w:p w14:paraId="36A830E8"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115</w:t>
            </w:r>
          </w:p>
        </w:tc>
        <w:tc>
          <w:tcPr>
            <w:tcW w:w="1701" w:type="dxa"/>
          </w:tcPr>
          <w:p w14:paraId="6D68F5C4"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cstheme="minorHAnsi"/>
              </w:rPr>
              <w:t>3,171</w:t>
            </w:r>
          </w:p>
        </w:tc>
        <w:tc>
          <w:tcPr>
            <w:tcW w:w="1701" w:type="dxa"/>
          </w:tcPr>
          <w:p w14:paraId="6EA956F6" w14:textId="77777777" w:rsidR="00201B77" w:rsidRPr="001B6E4D" w:rsidRDefault="00201B77" w:rsidP="003D1018">
            <w:pPr>
              <w:overflowPunct w:val="0"/>
              <w:spacing w:line="280" w:lineRule="exact"/>
              <w:jc w:val="right"/>
              <w:rPr>
                <w:rFonts w:ascii="標楷體" w:eastAsia="標楷體" w:hAnsi="標楷體" w:cstheme="minorHAnsi"/>
              </w:rPr>
            </w:pPr>
          </w:p>
        </w:tc>
        <w:tc>
          <w:tcPr>
            <w:tcW w:w="1701" w:type="dxa"/>
          </w:tcPr>
          <w:p w14:paraId="717A17D2" w14:textId="77777777" w:rsidR="00201B77" w:rsidRPr="001B6E4D" w:rsidRDefault="00201B77" w:rsidP="003D1018">
            <w:pPr>
              <w:overflowPunct w:val="0"/>
              <w:spacing w:line="280" w:lineRule="exact"/>
              <w:jc w:val="right"/>
              <w:rPr>
                <w:rFonts w:ascii="標楷體" w:eastAsia="標楷體" w:hAnsi="標楷體" w:cstheme="minorHAnsi"/>
              </w:rPr>
            </w:pPr>
          </w:p>
        </w:tc>
        <w:tc>
          <w:tcPr>
            <w:tcW w:w="1701" w:type="dxa"/>
            <w:shd w:val="clear" w:color="auto" w:fill="auto"/>
          </w:tcPr>
          <w:p w14:paraId="73F0C840" w14:textId="77777777" w:rsidR="00201B77" w:rsidRPr="001B6E4D" w:rsidRDefault="00201B77" w:rsidP="003D1018">
            <w:pPr>
              <w:overflowPunct w:val="0"/>
              <w:spacing w:line="280" w:lineRule="exact"/>
              <w:jc w:val="right"/>
              <w:rPr>
                <w:rFonts w:ascii="標楷體" w:eastAsia="標楷體" w:hAnsi="標楷體" w:cstheme="minorHAnsi"/>
              </w:rPr>
            </w:pPr>
          </w:p>
        </w:tc>
        <w:tc>
          <w:tcPr>
            <w:tcW w:w="695" w:type="dxa"/>
            <w:shd w:val="clear" w:color="auto" w:fill="auto"/>
          </w:tcPr>
          <w:p w14:paraId="773F2DEB" w14:textId="77777777" w:rsidR="00201B77" w:rsidRPr="001B6E4D" w:rsidRDefault="00201B77" w:rsidP="003D1018">
            <w:pPr>
              <w:overflowPunct w:val="0"/>
              <w:spacing w:line="280" w:lineRule="exact"/>
              <w:jc w:val="right"/>
              <w:rPr>
                <w:rFonts w:ascii="標楷體" w:eastAsia="標楷體" w:hAnsi="標楷體" w:cstheme="minorHAnsi"/>
                <w:sz w:val="16"/>
                <w:szCs w:val="16"/>
              </w:rPr>
            </w:pPr>
          </w:p>
        </w:tc>
      </w:tr>
    </w:tbl>
    <w:p w14:paraId="7788187B" w14:textId="77777777" w:rsidR="00201B77" w:rsidRPr="001B6E4D" w:rsidRDefault="00201B77" w:rsidP="003D1018">
      <w:pPr>
        <w:pStyle w:val="1f7"/>
        <w:overflowPunct w:val="0"/>
      </w:pPr>
      <w:proofErr w:type="gramStart"/>
      <w:r w:rsidRPr="001B6E4D">
        <w:rPr>
          <w:rFonts w:hint="eastAsia"/>
        </w:rPr>
        <w:t>經查國安</w:t>
      </w:r>
      <w:proofErr w:type="gramEnd"/>
      <w:r w:rsidRPr="001B6E4D">
        <w:rPr>
          <w:rFonts w:hint="eastAsia"/>
        </w:rPr>
        <w:t>會近三年決算書資料如上表，「按日按</w:t>
      </w:r>
      <w:proofErr w:type="gramStart"/>
      <w:r w:rsidRPr="001B6E4D">
        <w:rPr>
          <w:rFonts w:hint="eastAsia"/>
        </w:rPr>
        <w:t>件計資</w:t>
      </w:r>
      <w:proofErr w:type="gramEnd"/>
      <w:r w:rsidRPr="001B6E4D">
        <w:rPr>
          <w:rFonts w:hint="eastAsia"/>
        </w:rPr>
        <w:t>酬金」近三年平均執行率為21.</w:t>
      </w:r>
      <w:r w:rsidRPr="001B6E4D">
        <w:t>21</w:t>
      </w:r>
      <w:r w:rsidRPr="001B6E4D">
        <w:rPr>
          <w:rFonts w:hint="eastAsia"/>
        </w:rPr>
        <w:t>％，已連續兩年執行率不到</w:t>
      </w:r>
      <w:proofErr w:type="gramStart"/>
      <w:r w:rsidRPr="001B6E4D">
        <w:rPr>
          <w:rFonts w:hint="eastAsia"/>
        </w:rPr>
        <w:t>2成</w:t>
      </w:r>
      <w:proofErr w:type="gramEnd"/>
      <w:r w:rsidRPr="001B6E4D">
        <w:rPr>
          <w:rFonts w:hint="eastAsia"/>
        </w:rPr>
        <w:t>。剩餘數從2,205千元到2,</w:t>
      </w:r>
      <w:r w:rsidRPr="001B6E4D">
        <w:t>653</w:t>
      </w:r>
      <w:r w:rsidRPr="001B6E4D">
        <w:rPr>
          <w:rFonts w:hint="eastAsia"/>
        </w:rPr>
        <w:t>千元</w:t>
      </w:r>
      <w:proofErr w:type="gramStart"/>
      <w:r w:rsidRPr="001B6E4D">
        <w:rPr>
          <w:rFonts w:hint="eastAsia"/>
        </w:rPr>
        <w:t>之間，</w:t>
      </w:r>
      <w:proofErr w:type="gramEnd"/>
      <w:r w:rsidRPr="001B6E4D">
        <w:rPr>
          <w:rFonts w:hint="eastAsia"/>
        </w:rPr>
        <w:t>顯見，原有經費編列與實際需求之間存有相當落差，致使經費運用效益低落。</w:t>
      </w:r>
    </w:p>
    <w:p w14:paraId="3B20132E" w14:textId="77777777" w:rsidR="00201B77" w:rsidRPr="001B6E4D" w:rsidRDefault="00201B77" w:rsidP="003D1018">
      <w:pPr>
        <w:pStyle w:val="1f7"/>
        <w:overflowPunct w:val="0"/>
      </w:pPr>
      <w:r w:rsidRPr="001B6E4D">
        <w:rPr>
          <w:rFonts w:hint="eastAsia"/>
        </w:rPr>
        <w:t>然，115年中央政府總預算連同特別預算，</w:t>
      </w:r>
      <w:proofErr w:type="gramStart"/>
      <w:r w:rsidRPr="001B6E4D">
        <w:rPr>
          <w:rFonts w:hint="eastAsia"/>
        </w:rPr>
        <w:t>已需舉</w:t>
      </w:r>
      <w:proofErr w:type="gramEnd"/>
      <w:r w:rsidRPr="001B6E4D">
        <w:rPr>
          <w:rFonts w:hint="eastAsia"/>
        </w:rPr>
        <w:t>債高達4千億元。政府各單位更應量入為出、</w:t>
      </w:r>
      <w:proofErr w:type="gramStart"/>
      <w:r w:rsidRPr="001B6E4D">
        <w:rPr>
          <w:rFonts w:hint="eastAsia"/>
        </w:rPr>
        <w:t>撙</w:t>
      </w:r>
      <w:proofErr w:type="gramEnd"/>
      <w:r w:rsidRPr="001B6E4D">
        <w:rPr>
          <w:rFonts w:hint="eastAsia"/>
        </w:rPr>
        <w:t>節公</w:t>
      </w:r>
      <w:proofErr w:type="gramStart"/>
      <w:r w:rsidRPr="001B6E4D">
        <w:rPr>
          <w:rFonts w:hint="eastAsia"/>
        </w:rPr>
        <w:t>帑</w:t>
      </w:r>
      <w:proofErr w:type="gramEnd"/>
      <w:r w:rsidRPr="001B6E4D">
        <w:rPr>
          <w:rFonts w:hint="eastAsia"/>
        </w:rPr>
        <w:t>，</w:t>
      </w:r>
      <w:proofErr w:type="gramStart"/>
      <w:r w:rsidRPr="001B6E4D">
        <w:rPr>
          <w:rFonts w:hint="eastAsia"/>
        </w:rPr>
        <w:t>減列非必要</w:t>
      </w:r>
      <w:proofErr w:type="gramEnd"/>
      <w:r w:rsidRPr="001B6E4D">
        <w:rPr>
          <w:rFonts w:hint="eastAsia"/>
        </w:rPr>
        <w:t>、非急迫性的支出，以降低國庫舉債、</w:t>
      </w:r>
      <w:proofErr w:type="gramStart"/>
      <w:r w:rsidRPr="001B6E4D">
        <w:rPr>
          <w:rFonts w:hint="eastAsia"/>
        </w:rPr>
        <w:t>債留子孫</w:t>
      </w:r>
      <w:proofErr w:type="gramEnd"/>
      <w:r w:rsidRPr="001B6E4D">
        <w:rPr>
          <w:rFonts w:hint="eastAsia"/>
        </w:rPr>
        <w:t>的壓力。</w:t>
      </w:r>
    </w:p>
    <w:p w14:paraId="588CA626" w14:textId="77777777" w:rsidR="00201B77" w:rsidRPr="001B6E4D" w:rsidRDefault="00201B77" w:rsidP="003D1018">
      <w:pPr>
        <w:pStyle w:val="1f7"/>
        <w:overflowPunct w:val="0"/>
      </w:pPr>
      <w:proofErr w:type="gramStart"/>
      <w:r w:rsidRPr="001B6E4D">
        <w:rPr>
          <w:rFonts w:hint="eastAsia"/>
        </w:rPr>
        <w:t>且</w:t>
      </w:r>
      <w:proofErr w:type="gramEnd"/>
      <w:r w:rsidRPr="001B6E4D">
        <w:rPr>
          <w:rFonts w:hint="eastAsia"/>
        </w:rPr>
        <w:t>，賴總統為回應美國對台灣應大幅增加國防支出的強硬立場與關切壓力，</w:t>
      </w:r>
      <w:proofErr w:type="gramStart"/>
      <w:r w:rsidRPr="001B6E4D">
        <w:rPr>
          <w:rFonts w:hint="eastAsia"/>
        </w:rPr>
        <w:t>115</w:t>
      </w:r>
      <w:proofErr w:type="gramEnd"/>
      <w:r w:rsidRPr="001B6E4D">
        <w:rPr>
          <w:rFonts w:hint="eastAsia"/>
        </w:rPr>
        <w:t>年度國防支出已創下歷史新高，達9495億新台幣；大舉增加國防支出，必定會嚴重排擠年度的教育、文化等支出，亦即，各</w:t>
      </w:r>
      <w:proofErr w:type="gramStart"/>
      <w:r w:rsidRPr="001B6E4D">
        <w:rPr>
          <w:rFonts w:hint="eastAsia"/>
        </w:rPr>
        <w:t>部會應勒緊</w:t>
      </w:r>
      <w:proofErr w:type="gramEnd"/>
      <w:r w:rsidRPr="001B6E4D">
        <w:rPr>
          <w:rFonts w:hint="eastAsia"/>
        </w:rPr>
        <w:t>褲帶，共體時</w:t>
      </w:r>
      <w:proofErr w:type="gramStart"/>
      <w:r w:rsidRPr="001B6E4D">
        <w:rPr>
          <w:rFonts w:hint="eastAsia"/>
        </w:rPr>
        <w:t>艱</w:t>
      </w:r>
      <w:proofErr w:type="gramEnd"/>
      <w:r w:rsidRPr="001B6E4D">
        <w:rPr>
          <w:rFonts w:hint="eastAsia"/>
        </w:rPr>
        <w:t>、以</w:t>
      </w:r>
      <w:proofErr w:type="gramStart"/>
      <w:r w:rsidRPr="001B6E4D">
        <w:rPr>
          <w:rFonts w:hint="eastAsia"/>
        </w:rPr>
        <w:t>撙</w:t>
      </w:r>
      <w:proofErr w:type="gramEnd"/>
      <w:r w:rsidRPr="001B6E4D">
        <w:rPr>
          <w:rFonts w:hint="eastAsia"/>
        </w:rPr>
        <w:t>節支出的具體行動，來呼應賴總統對美方要求大幅增加國防支出的承諾。</w:t>
      </w:r>
    </w:p>
    <w:p w14:paraId="26CEE2DD" w14:textId="77777777" w:rsidR="00201B77" w:rsidRPr="001B6E4D" w:rsidRDefault="00201B77" w:rsidP="003D1018">
      <w:pPr>
        <w:pStyle w:val="1f7"/>
        <w:overflowPunct w:val="0"/>
      </w:pPr>
      <w:r w:rsidRPr="001B6E4D">
        <w:rPr>
          <w:rFonts w:hint="eastAsia"/>
        </w:rPr>
        <w:t>惟國安會</w:t>
      </w:r>
      <w:proofErr w:type="gramStart"/>
      <w:r w:rsidRPr="001B6E4D">
        <w:rPr>
          <w:rFonts w:hint="eastAsia"/>
        </w:rPr>
        <w:t>115</w:t>
      </w:r>
      <w:proofErr w:type="gramEnd"/>
      <w:r w:rsidRPr="001B6E4D">
        <w:rPr>
          <w:rFonts w:hint="eastAsia"/>
        </w:rPr>
        <w:t>年度預算案仍編列「按日按</w:t>
      </w:r>
      <w:proofErr w:type="gramStart"/>
      <w:r w:rsidRPr="001B6E4D">
        <w:rPr>
          <w:rFonts w:hint="eastAsia"/>
        </w:rPr>
        <w:t>件計資</w:t>
      </w:r>
      <w:proofErr w:type="gramEnd"/>
      <w:r w:rsidRPr="001B6E4D">
        <w:rPr>
          <w:rFonts w:hint="eastAsia"/>
        </w:rPr>
        <w:t>酬金」</w:t>
      </w:r>
      <w:r w:rsidRPr="001B6E4D">
        <w:t>3,171</w:t>
      </w:r>
      <w:r w:rsidRPr="001B6E4D">
        <w:rPr>
          <w:rFonts w:hint="eastAsia"/>
        </w:rPr>
        <w:t>千元，與114年法定預算相比，增列166千元，增加幅度為5.52%。為兌現賴總統對美方的承諾，且為配合國防支出大幅增加之影響而必須</w:t>
      </w:r>
      <w:proofErr w:type="gramStart"/>
      <w:r w:rsidRPr="001B6E4D">
        <w:rPr>
          <w:rFonts w:hint="eastAsia"/>
        </w:rPr>
        <w:t>撙</w:t>
      </w:r>
      <w:proofErr w:type="gramEnd"/>
      <w:r w:rsidRPr="001B6E4D">
        <w:rPr>
          <w:rFonts w:hint="eastAsia"/>
        </w:rPr>
        <w:t>節經費，</w:t>
      </w:r>
      <w:proofErr w:type="gramStart"/>
      <w:r w:rsidRPr="001B6E4D">
        <w:rPr>
          <w:rFonts w:hint="eastAsia"/>
          <w:b/>
          <w:u w:val="thick"/>
        </w:rPr>
        <w:t>爰</w:t>
      </w:r>
      <w:proofErr w:type="gramEnd"/>
      <w:r w:rsidRPr="001B6E4D">
        <w:rPr>
          <w:rFonts w:hint="eastAsia"/>
          <w:b/>
          <w:u w:val="thick"/>
        </w:rPr>
        <w:t>提案減列250萬元整（以決算數60萬計算）且不得</w:t>
      </w:r>
      <w:proofErr w:type="gramStart"/>
      <w:r w:rsidRPr="001B6E4D">
        <w:rPr>
          <w:rFonts w:hint="eastAsia"/>
          <w:b/>
          <w:u w:val="thick"/>
        </w:rPr>
        <w:t>流用勻支</w:t>
      </w:r>
      <w:proofErr w:type="gramEnd"/>
      <w:r w:rsidRPr="001B6E4D">
        <w:rPr>
          <w:rFonts w:hint="eastAsia"/>
        </w:rPr>
        <w:t>，以避免有限之財政資源閒置與浪費。</w:t>
      </w:r>
      <w:r w:rsidRPr="001B6E4D">
        <w:t>【</w:t>
      </w:r>
      <w:r w:rsidRPr="001B6E4D">
        <w:rPr>
          <w:rFonts w:hint="eastAsia"/>
        </w:rPr>
        <w:t>33</w:t>
      </w:r>
      <w:r w:rsidRPr="001B6E4D">
        <w:t>】</w:t>
      </w:r>
    </w:p>
    <w:p w14:paraId="69E1F0B4" w14:textId="77777777" w:rsidR="00201B77" w:rsidRPr="001B6E4D" w:rsidRDefault="00201B77" w:rsidP="003D1018">
      <w:pPr>
        <w:pStyle w:val="2fb"/>
        <w:overflowPunct w:val="0"/>
      </w:pPr>
      <w:r w:rsidRPr="001B6E4D">
        <w:t>提案人：翁曉玲</w:t>
      </w:r>
    </w:p>
    <w:p w14:paraId="1BDC20FB" w14:textId="77777777" w:rsidR="00201B77" w:rsidRPr="001B6E4D" w:rsidRDefault="00201B77" w:rsidP="003D1018">
      <w:pPr>
        <w:pStyle w:val="2fb"/>
        <w:overflowPunct w:val="0"/>
      </w:pPr>
      <w:r w:rsidRPr="001B6E4D">
        <w:t>連署人：許宇</w:t>
      </w:r>
      <w:proofErr w:type="gramStart"/>
      <w:r w:rsidRPr="001B6E4D">
        <w:t>甄</w:t>
      </w:r>
      <w:proofErr w:type="gramEnd"/>
      <w:r w:rsidRPr="001B6E4D">
        <w:t xml:space="preserve">　林倩綺</w:t>
      </w:r>
    </w:p>
    <w:p w14:paraId="66E9ECC3" w14:textId="77777777" w:rsidR="00201B77" w:rsidRPr="001B6E4D" w:rsidRDefault="00201B77" w:rsidP="003D1018">
      <w:pPr>
        <w:pStyle w:val="1f6"/>
        <w:overflowPunct w:val="0"/>
      </w:pPr>
      <w:r w:rsidRPr="001B6E4D">
        <w:rPr>
          <w:rFonts w:hint="eastAsia"/>
        </w:rPr>
        <w:t>國家安全會議(以下簡稱國安會)</w:t>
      </w:r>
      <w:proofErr w:type="gramStart"/>
      <w:r w:rsidRPr="001B6E4D">
        <w:rPr>
          <w:rFonts w:hint="eastAsia"/>
        </w:rPr>
        <w:t>115</w:t>
      </w:r>
      <w:proofErr w:type="gramEnd"/>
      <w:r w:rsidRPr="001B6E4D">
        <w:rPr>
          <w:rFonts w:hint="eastAsia"/>
        </w:rPr>
        <w:t>年度預算案</w:t>
      </w:r>
      <w:r w:rsidRPr="001B6E4D">
        <w:t>編列246,631千</w:t>
      </w:r>
      <w:r w:rsidRPr="001B6E4D">
        <w:lastRenderedPageBreak/>
        <w:t>元，比</w:t>
      </w:r>
      <w:proofErr w:type="gramStart"/>
      <w:r w:rsidRPr="001B6E4D">
        <w:t>114</w:t>
      </w:r>
      <w:proofErr w:type="gramEnd"/>
      <w:r w:rsidRPr="001B6E4D">
        <w:t>年度法定預算223,589千元，增加23,042千元（</w:t>
      </w:r>
      <w:r w:rsidRPr="001B6E4D">
        <w:rPr>
          <w:rFonts w:hint="eastAsia"/>
        </w:rPr>
        <w:t>逾2千3百萬元</w:t>
      </w:r>
      <w:r w:rsidRPr="001B6E4D">
        <w:t>），成長幅度</w:t>
      </w:r>
      <w:r w:rsidRPr="001B6E4D">
        <w:rPr>
          <w:rFonts w:hint="eastAsia"/>
        </w:rPr>
        <w:t>1</w:t>
      </w:r>
      <w:r w:rsidRPr="001B6E4D">
        <w:t>0.31%。</w:t>
      </w:r>
    </w:p>
    <w:p w14:paraId="372CDBCB" w14:textId="77777777" w:rsidR="00201B77" w:rsidRPr="001B6E4D" w:rsidRDefault="00201B77" w:rsidP="003D1018">
      <w:pPr>
        <w:pStyle w:val="1f7"/>
        <w:overflowPunct w:val="0"/>
      </w:pPr>
      <w:r w:rsidRPr="001B6E4D">
        <w:rPr>
          <w:rFonts w:hint="eastAsia"/>
        </w:rPr>
        <w:t>國安會115年「委辦費」編列預算</w:t>
      </w:r>
      <w:r w:rsidRPr="001B6E4D">
        <w:t>1,600</w:t>
      </w:r>
      <w:r w:rsidRPr="001B6E4D">
        <w:rPr>
          <w:rFonts w:hint="eastAsia"/>
        </w:rPr>
        <w:t>千元，較</w:t>
      </w:r>
      <w:proofErr w:type="gramStart"/>
      <w:r w:rsidRPr="001B6E4D">
        <w:rPr>
          <w:rFonts w:hint="eastAsia"/>
        </w:rPr>
        <w:t>114</w:t>
      </w:r>
      <w:proofErr w:type="gramEnd"/>
      <w:r w:rsidRPr="001B6E4D">
        <w:rPr>
          <w:rFonts w:hint="eastAsia"/>
        </w:rPr>
        <w:t>年度預算數1</w:t>
      </w:r>
      <w:r w:rsidRPr="001B6E4D">
        <w:t>,620</w:t>
      </w:r>
      <w:r w:rsidRPr="001B6E4D">
        <w:rPr>
          <w:rFonts w:hint="eastAsia"/>
        </w:rPr>
        <w:t>千元，減列2</w:t>
      </w:r>
      <w:r w:rsidRPr="001B6E4D">
        <w:t>0</w:t>
      </w:r>
      <w:r w:rsidRPr="001B6E4D">
        <w:rPr>
          <w:rFonts w:hint="eastAsia"/>
        </w:rPr>
        <w:t>千元。</w:t>
      </w:r>
    </w:p>
    <w:tbl>
      <w:tblPr>
        <w:tblpPr w:leftFromText="180" w:rightFromText="180" w:vertAnchor="text" w:horzAnchor="margin" w:tblpX="411" w:tblpY="14"/>
        <w:tblW w:w="820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708"/>
        <w:gridCol w:w="1665"/>
        <w:gridCol w:w="1666"/>
        <w:gridCol w:w="1666"/>
        <w:gridCol w:w="1666"/>
        <w:gridCol w:w="836"/>
      </w:tblGrid>
      <w:tr w:rsidR="00201B77" w:rsidRPr="001B6E4D" w14:paraId="388DAC5C" w14:textId="77777777" w:rsidTr="009B0253">
        <w:trPr>
          <w:tblHeader/>
        </w:trPr>
        <w:tc>
          <w:tcPr>
            <w:tcW w:w="8207" w:type="dxa"/>
            <w:gridSpan w:val="6"/>
          </w:tcPr>
          <w:p w14:paraId="4EF8C440" w14:textId="77777777" w:rsidR="00201B77" w:rsidRPr="001B6E4D" w:rsidRDefault="00201B77" w:rsidP="003D1018">
            <w:pPr>
              <w:overflowPunct w:val="0"/>
              <w:spacing w:line="280" w:lineRule="exact"/>
              <w:jc w:val="center"/>
              <w:rPr>
                <w:rFonts w:ascii="標楷體" w:eastAsia="標楷體" w:hAnsi="標楷體" w:cstheme="minorHAnsi"/>
                <w:bCs/>
              </w:rPr>
            </w:pPr>
            <w:r w:rsidRPr="001B6E4D">
              <w:rPr>
                <w:rFonts w:ascii="標楷體" w:eastAsia="標楷體" w:hAnsi="標楷體" w:cstheme="minorHAnsi" w:hint="eastAsia"/>
                <w:bCs/>
              </w:rPr>
              <w:t>委辦費</w:t>
            </w:r>
          </w:p>
        </w:tc>
      </w:tr>
      <w:tr w:rsidR="00201B77" w:rsidRPr="001B6E4D" w14:paraId="5EF156D5" w14:textId="77777777" w:rsidTr="009B0253">
        <w:trPr>
          <w:tblHeader/>
        </w:trPr>
        <w:tc>
          <w:tcPr>
            <w:tcW w:w="708" w:type="dxa"/>
          </w:tcPr>
          <w:p w14:paraId="2E1A087C"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年度</w:t>
            </w:r>
          </w:p>
        </w:tc>
        <w:tc>
          <w:tcPr>
            <w:tcW w:w="1665" w:type="dxa"/>
          </w:tcPr>
          <w:p w14:paraId="37C44654"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預算數/千元</w:t>
            </w:r>
          </w:p>
        </w:tc>
        <w:tc>
          <w:tcPr>
            <w:tcW w:w="1666" w:type="dxa"/>
          </w:tcPr>
          <w:p w14:paraId="7FCAD0B7"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決算數/千元</w:t>
            </w:r>
          </w:p>
        </w:tc>
        <w:tc>
          <w:tcPr>
            <w:tcW w:w="1666" w:type="dxa"/>
          </w:tcPr>
          <w:p w14:paraId="22B5F245"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rPr>
              <w:t>執行率</w:t>
            </w:r>
          </w:p>
        </w:tc>
        <w:tc>
          <w:tcPr>
            <w:tcW w:w="1666" w:type="dxa"/>
            <w:shd w:val="clear" w:color="auto" w:fill="auto"/>
            <w:vAlign w:val="center"/>
          </w:tcPr>
          <w:p w14:paraId="391C0939"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剩餘數/千元</w:t>
            </w:r>
          </w:p>
        </w:tc>
        <w:tc>
          <w:tcPr>
            <w:tcW w:w="836" w:type="dxa"/>
            <w:shd w:val="clear" w:color="auto" w:fill="auto"/>
            <w:vAlign w:val="center"/>
          </w:tcPr>
          <w:p w14:paraId="039AA67A"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備註</w:t>
            </w:r>
          </w:p>
        </w:tc>
      </w:tr>
      <w:tr w:rsidR="00201B77" w:rsidRPr="001B6E4D" w14:paraId="36CC6F00" w14:textId="77777777" w:rsidTr="009B0253">
        <w:tc>
          <w:tcPr>
            <w:tcW w:w="708" w:type="dxa"/>
          </w:tcPr>
          <w:p w14:paraId="6B9D1247"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112</w:t>
            </w:r>
          </w:p>
        </w:tc>
        <w:tc>
          <w:tcPr>
            <w:tcW w:w="1665" w:type="dxa"/>
          </w:tcPr>
          <w:p w14:paraId="03D31306"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1,150 </w:t>
            </w:r>
          </w:p>
        </w:tc>
        <w:tc>
          <w:tcPr>
            <w:tcW w:w="1666" w:type="dxa"/>
          </w:tcPr>
          <w:p w14:paraId="538D8FF1" w14:textId="77777777" w:rsidR="00201B77" w:rsidRPr="001B6E4D" w:rsidRDefault="00201B77" w:rsidP="003D1018">
            <w:pPr>
              <w:overflowPunct w:val="0"/>
              <w:spacing w:line="280" w:lineRule="exact"/>
              <w:jc w:val="right"/>
              <w:rPr>
                <w:rFonts w:ascii="標楷體" w:eastAsia="標楷體" w:hAnsi="標楷體" w:cstheme="minorHAnsi"/>
                <w:b/>
              </w:rPr>
            </w:pPr>
            <w:r w:rsidRPr="001B6E4D">
              <w:rPr>
                <w:rFonts w:ascii="標楷體" w:eastAsia="標楷體" w:hAnsi="標楷體"/>
              </w:rPr>
              <w:t xml:space="preserve">851 </w:t>
            </w:r>
          </w:p>
        </w:tc>
        <w:tc>
          <w:tcPr>
            <w:tcW w:w="1666" w:type="dxa"/>
          </w:tcPr>
          <w:p w14:paraId="78D7E451"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rPr>
              <w:t>74.01%</w:t>
            </w:r>
          </w:p>
        </w:tc>
        <w:tc>
          <w:tcPr>
            <w:tcW w:w="1666" w:type="dxa"/>
            <w:shd w:val="clear" w:color="auto" w:fill="auto"/>
          </w:tcPr>
          <w:p w14:paraId="0D5EFA7B"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299 </w:t>
            </w:r>
          </w:p>
        </w:tc>
        <w:tc>
          <w:tcPr>
            <w:tcW w:w="836" w:type="dxa"/>
            <w:shd w:val="clear" w:color="auto" w:fill="auto"/>
          </w:tcPr>
          <w:p w14:paraId="0FBBE853"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392D164E" w14:textId="77777777" w:rsidTr="009B0253">
        <w:tc>
          <w:tcPr>
            <w:tcW w:w="708" w:type="dxa"/>
          </w:tcPr>
          <w:p w14:paraId="5BCB2B57"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113</w:t>
            </w:r>
          </w:p>
        </w:tc>
        <w:tc>
          <w:tcPr>
            <w:tcW w:w="1665" w:type="dxa"/>
          </w:tcPr>
          <w:p w14:paraId="1C4A885E"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1,195 </w:t>
            </w:r>
          </w:p>
        </w:tc>
        <w:tc>
          <w:tcPr>
            <w:tcW w:w="1666" w:type="dxa"/>
          </w:tcPr>
          <w:p w14:paraId="725E36DE"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99 </w:t>
            </w:r>
          </w:p>
        </w:tc>
        <w:tc>
          <w:tcPr>
            <w:tcW w:w="1666" w:type="dxa"/>
          </w:tcPr>
          <w:p w14:paraId="236BCFBF" w14:textId="77777777" w:rsidR="00201B77" w:rsidRPr="001B6E4D" w:rsidRDefault="00201B77" w:rsidP="003D1018">
            <w:pPr>
              <w:overflowPunct w:val="0"/>
              <w:spacing w:line="280" w:lineRule="exact"/>
              <w:jc w:val="center"/>
              <w:rPr>
                <w:rFonts w:ascii="標楷體" w:eastAsia="標楷體" w:hAnsi="標楷體" w:cstheme="minorHAnsi"/>
                <w:sz w:val="20"/>
                <w:szCs w:val="20"/>
              </w:rPr>
            </w:pPr>
            <w:r w:rsidRPr="001B6E4D">
              <w:rPr>
                <w:rFonts w:ascii="標楷體" w:eastAsia="標楷體" w:hAnsi="標楷體"/>
              </w:rPr>
              <w:t>8.27%</w:t>
            </w:r>
          </w:p>
        </w:tc>
        <w:tc>
          <w:tcPr>
            <w:tcW w:w="1666" w:type="dxa"/>
            <w:shd w:val="clear" w:color="auto" w:fill="auto"/>
          </w:tcPr>
          <w:p w14:paraId="7A0D97D8"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1,096 </w:t>
            </w:r>
          </w:p>
        </w:tc>
        <w:tc>
          <w:tcPr>
            <w:tcW w:w="836" w:type="dxa"/>
            <w:shd w:val="clear" w:color="auto" w:fill="auto"/>
          </w:tcPr>
          <w:p w14:paraId="768721EA"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58B6B5AF" w14:textId="77777777" w:rsidTr="009B0253">
        <w:tc>
          <w:tcPr>
            <w:tcW w:w="708" w:type="dxa"/>
          </w:tcPr>
          <w:p w14:paraId="11BD7166"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114</w:t>
            </w:r>
          </w:p>
        </w:tc>
        <w:tc>
          <w:tcPr>
            <w:tcW w:w="1665" w:type="dxa"/>
          </w:tcPr>
          <w:p w14:paraId="2BB41F56"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1,620 </w:t>
            </w:r>
          </w:p>
        </w:tc>
        <w:tc>
          <w:tcPr>
            <w:tcW w:w="1666" w:type="dxa"/>
          </w:tcPr>
          <w:p w14:paraId="3822F272"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429 </w:t>
            </w:r>
          </w:p>
        </w:tc>
        <w:tc>
          <w:tcPr>
            <w:tcW w:w="1666" w:type="dxa"/>
          </w:tcPr>
          <w:p w14:paraId="2FBBCED7" w14:textId="77777777" w:rsidR="00201B77" w:rsidRPr="001B6E4D" w:rsidRDefault="00201B77" w:rsidP="003D1018">
            <w:pPr>
              <w:overflowPunct w:val="0"/>
              <w:spacing w:line="280" w:lineRule="exact"/>
              <w:jc w:val="center"/>
              <w:rPr>
                <w:rFonts w:ascii="標楷體" w:eastAsia="標楷體" w:hAnsi="標楷體" w:cstheme="minorHAnsi"/>
                <w:b/>
                <w:sz w:val="22"/>
              </w:rPr>
            </w:pPr>
            <w:r w:rsidRPr="001B6E4D">
              <w:rPr>
                <w:rFonts w:ascii="標楷體" w:eastAsia="標楷體" w:hAnsi="標楷體"/>
              </w:rPr>
              <w:t>26.51%</w:t>
            </w:r>
          </w:p>
        </w:tc>
        <w:tc>
          <w:tcPr>
            <w:tcW w:w="1666" w:type="dxa"/>
            <w:shd w:val="clear" w:color="auto" w:fill="auto"/>
          </w:tcPr>
          <w:p w14:paraId="52FAD643"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1,191 </w:t>
            </w:r>
          </w:p>
        </w:tc>
        <w:tc>
          <w:tcPr>
            <w:tcW w:w="836" w:type="dxa"/>
            <w:shd w:val="clear" w:color="auto" w:fill="auto"/>
          </w:tcPr>
          <w:p w14:paraId="7BFA9F1A" w14:textId="77777777" w:rsidR="00201B77" w:rsidRPr="001B6E4D" w:rsidRDefault="00201B77" w:rsidP="003D1018">
            <w:pPr>
              <w:overflowPunct w:val="0"/>
              <w:spacing w:line="280" w:lineRule="exact"/>
              <w:jc w:val="center"/>
              <w:rPr>
                <w:rFonts w:ascii="標楷體" w:eastAsia="標楷體" w:hAnsi="標楷體" w:cstheme="minorHAnsi"/>
              </w:rPr>
            </w:pPr>
          </w:p>
        </w:tc>
      </w:tr>
      <w:tr w:rsidR="00201B77" w:rsidRPr="001B6E4D" w14:paraId="67B385CC" w14:textId="77777777" w:rsidTr="009B0253">
        <w:tc>
          <w:tcPr>
            <w:tcW w:w="708" w:type="dxa"/>
          </w:tcPr>
          <w:p w14:paraId="7464E38C"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115</w:t>
            </w:r>
          </w:p>
        </w:tc>
        <w:tc>
          <w:tcPr>
            <w:tcW w:w="1665" w:type="dxa"/>
          </w:tcPr>
          <w:p w14:paraId="5D7A5E0E"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cstheme="minorHAnsi"/>
              </w:rPr>
              <w:t>1,600</w:t>
            </w:r>
          </w:p>
        </w:tc>
        <w:tc>
          <w:tcPr>
            <w:tcW w:w="1666" w:type="dxa"/>
          </w:tcPr>
          <w:p w14:paraId="3A772404" w14:textId="77777777" w:rsidR="00201B77" w:rsidRPr="001B6E4D" w:rsidRDefault="00201B77" w:rsidP="003D1018">
            <w:pPr>
              <w:overflowPunct w:val="0"/>
              <w:spacing w:line="280" w:lineRule="exact"/>
              <w:jc w:val="right"/>
              <w:rPr>
                <w:rFonts w:ascii="標楷體" w:eastAsia="標楷體" w:hAnsi="標楷體" w:cstheme="minorHAnsi"/>
              </w:rPr>
            </w:pPr>
          </w:p>
        </w:tc>
        <w:tc>
          <w:tcPr>
            <w:tcW w:w="1666" w:type="dxa"/>
          </w:tcPr>
          <w:p w14:paraId="07AD7AA2" w14:textId="77777777" w:rsidR="00201B77" w:rsidRPr="001B6E4D" w:rsidRDefault="00201B77" w:rsidP="003D1018">
            <w:pPr>
              <w:overflowPunct w:val="0"/>
              <w:spacing w:line="280" w:lineRule="exact"/>
              <w:jc w:val="right"/>
              <w:rPr>
                <w:rFonts w:ascii="標楷體" w:eastAsia="標楷體" w:hAnsi="標楷體" w:cstheme="minorHAnsi"/>
              </w:rPr>
            </w:pPr>
          </w:p>
        </w:tc>
        <w:tc>
          <w:tcPr>
            <w:tcW w:w="1666" w:type="dxa"/>
            <w:shd w:val="clear" w:color="auto" w:fill="auto"/>
          </w:tcPr>
          <w:p w14:paraId="25464FC7" w14:textId="77777777" w:rsidR="00201B77" w:rsidRPr="001B6E4D" w:rsidRDefault="00201B77" w:rsidP="003D1018">
            <w:pPr>
              <w:overflowPunct w:val="0"/>
              <w:spacing w:line="280" w:lineRule="exact"/>
              <w:jc w:val="right"/>
              <w:rPr>
                <w:rFonts w:ascii="標楷體" w:eastAsia="標楷體" w:hAnsi="標楷體" w:cstheme="minorHAnsi"/>
              </w:rPr>
            </w:pPr>
          </w:p>
        </w:tc>
        <w:tc>
          <w:tcPr>
            <w:tcW w:w="836" w:type="dxa"/>
            <w:shd w:val="clear" w:color="auto" w:fill="auto"/>
          </w:tcPr>
          <w:p w14:paraId="156F3E3E" w14:textId="77777777" w:rsidR="00201B77" w:rsidRPr="001B6E4D" w:rsidRDefault="00201B77" w:rsidP="003D1018">
            <w:pPr>
              <w:overflowPunct w:val="0"/>
              <w:spacing w:line="280" w:lineRule="exact"/>
              <w:jc w:val="right"/>
              <w:rPr>
                <w:rFonts w:ascii="標楷體" w:eastAsia="標楷體" w:hAnsi="標楷體" w:cstheme="minorHAnsi"/>
                <w:sz w:val="16"/>
                <w:szCs w:val="16"/>
              </w:rPr>
            </w:pPr>
          </w:p>
        </w:tc>
      </w:tr>
    </w:tbl>
    <w:p w14:paraId="6D20C291" w14:textId="77777777" w:rsidR="00201B77" w:rsidRPr="001B6E4D" w:rsidRDefault="00201B77" w:rsidP="003D1018">
      <w:pPr>
        <w:pStyle w:val="1f7"/>
        <w:overflowPunct w:val="0"/>
      </w:pPr>
      <w:proofErr w:type="gramStart"/>
      <w:r w:rsidRPr="001B6E4D">
        <w:rPr>
          <w:rFonts w:hint="eastAsia"/>
        </w:rPr>
        <w:t>經查國安</w:t>
      </w:r>
      <w:proofErr w:type="gramEnd"/>
      <w:r w:rsidRPr="001B6E4D">
        <w:rPr>
          <w:rFonts w:hint="eastAsia"/>
        </w:rPr>
        <w:t>會近三年決算書資料如上表，「委辦費」近三年平均執行率僅36.</w:t>
      </w:r>
      <w:r w:rsidRPr="001B6E4D">
        <w:t>26</w:t>
      </w:r>
      <w:r w:rsidRPr="001B6E4D">
        <w:rPr>
          <w:rFonts w:hint="eastAsia"/>
        </w:rPr>
        <w:t>％，剩餘數從299千元到1,</w:t>
      </w:r>
      <w:r w:rsidRPr="001B6E4D">
        <w:t>191</w:t>
      </w:r>
      <w:r w:rsidRPr="001B6E4D">
        <w:rPr>
          <w:rFonts w:hint="eastAsia"/>
        </w:rPr>
        <w:t>千元</w:t>
      </w:r>
      <w:proofErr w:type="gramStart"/>
      <w:r w:rsidRPr="001B6E4D">
        <w:rPr>
          <w:rFonts w:hint="eastAsia"/>
        </w:rPr>
        <w:t>之間，</w:t>
      </w:r>
      <w:proofErr w:type="gramEnd"/>
      <w:r w:rsidRPr="001B6E4D">
        <w:rPr>
          <w:rFonts w:hint="eastAsia"/>
        </w:rPr>
        <w:t>顯見，原有經費編列與實際需求之間存有相當落差，致使經費運用效益低落。</w:t>
      </w:r>
    </w:p>
    <w:p w14:paraId="1CD51E41" w14:textId="77777777" w:rsidR="00201B77" w:rsidRPr="001B6E4D" w:rsidRDefault="00201B77" w:rsidP="003D1018">
      <w:pPr>
        <w:pStyle w:val="1f7"/>
        <w:overflowPunct w:val="0"/>
      </w:pPr>
      <w:r w:rsidRPr="001B6E4D">
        <w:rPr>
          <w:rFonts w:hint="eastAsia"/>
        </w:rPr>
        <w:t>然，115年中央政府總預算連同特別預算，</w:t>
      </w:r>
      <w:proofErr w:type="gramStart"/>
      <w:r w:rsidRPr="001B6E4D">
        <w:rPr>
          <w:rFonts w:hint="eastAsia"/>
        </w:rPr>
        <w:t>已需舉</w:t>
      </w:r>
      <w:proofErr w:type="gramEnd"/>
      <w:r w:rsidRPr="001B6E4D">
        <w:rPr>
          <w:rFonts w:hint="eastAsia"/>
        </w:rPr>
        <w:t>債高達4千億元。政府各單位更應量入為出、</w:t>
      </w:r>
      <w:proofErr w:type="gramStart"/>
      <w:r w:rsidRPr="001B6E4D">
        <w:rPr>
          <w:rFonts w:hint="eastAsia"/>
        </w:rPr>
        <w:t>撙</w:t>
      </w:r>
      <w:proofErr w:type="gramEnd"/>
      <w:r w:rsidRPr="001B6E4D">
        <w:rPr>
          <w:rFonts w:hint="eastAsia"/>
        </w:rPr>
        <w:t>節公</w:t>
      </w:r>
      <w:proofErr w:type="gramStart"/>
      <w:r w:rsidRPr="001B6E4D">
        <w:rPr>
          <w:rFonts w:hint="eastAsia"/>
        </w:rPr>
        <w:t>帑</w:t>
      </w:r>
      <w:proofErr w:type="gramEnd"/>
      <w:r w:rsidRPr="001B6E4D">
        <w:rPr>
          <w:rFonts w:hint="eastAsia"/>
        </w:rPr>
        <w:t>，</w:t>
      </w:r>
      <w:proofErr w:type="gramStart"/>
      <w:r w:rsidRPr="001B6E4D">
        <w:rPr>
          <w:rFonts w:hint="eastAsia"/>
        </w:rPr>
        <w:t>減列非必要</w:t>
      </w:r>
      <w:proofErr w:type="gramEnd"/>
      <w:r w:rsidRPr="001B6E4D">
        <w:rPr>
          <w:rFonts w:hint="eastAsia"/>
        </w:rPr>
        <w:t>、非急迫性的支出，以降低國庫舉債、</w:t>
      </w:r>
      <w:proofErr w:type="gramStart"/>
      <w:r w:rsidRPr="001B6E4D">
        <w:rPr>
          <w:rFonts w:hint="eastAsia"/>
        </w:rPr>
        <w:t>債留子孫</w:t>
      </w:r>
      <w:proofErr w:type="gramEnd"/>
      <w:r w:rsidRPr="001B6E4D">
        <w:rPr>
          <w:rFonts w:hint="eastAsia"/>
        </w:rPr>
        <w:t>的壓力。</w:t>
      </w:r>
    </w:p>
    <w:p w14:paraId="36F6548B" w14:textId="77777777" w:rsidR="00201B77" w:rsidRPr="001B6E4D" w:rsidRDefault="00201B77" w:rsidP="003D1018">
      <w:pPr>
        <w:pStyle w:val="1f7"/>
        <w:overflowPunct w:val="0"/>
      </w:pPr>
      <w:proofErr w:type="gramStart"/>
      <w:r w:rsidRPr="001B6E4D">
        <w:rPr>
          <w:rFonts w:hint="eastAsia"/>
        </w:rPr>
        <w:t>且</w:t>
      </w:r>
      <w:proofErr w:type="gramEnd"/>
      <w:r w:rsidRPr="001B6E4D">
        <w:rPr>
          <w:rFonts w:hint="eastAsia"/>
        </w:rPr>
        <w:t>，賴總統為回應美國對台灣應大幅增加國防支出的強硬立場與關切壓力，</w:t>
      </w:r>
      <w:proofErr w:type="gramStart"/>
      <w:r w:rsidRPr="001B6E4D">
        <w:rPr>
          <w:rFonts w:hint="eastAsia"/>
        </w:rPr>
        <w:t>115</w:t>
      </w:r>
      <w:proofErr w:type="gramEnd"/>
      <w:r w:rsidRPr="001B6E4D">
        <w:rPr>
          <w:rFonts w:hint="eastAsia"/>
        </w:rPr>
        <w:t>年度國防支出已創下歷史新高，達9495億新台幣；大舉增加國防支出，必定會嚴重排擠年度的教育、文化等支出，亦即，各</w:t>
      </w:r>
      <w:proofErr w:type="gramStart"/>
      <w:r w:rsidRPr="001B6E4D">
        <w:rPr>
          <w:rFonts w:hint="eastAsia"/>
        </w:rPr>
        <w:t>部會應勒緊</w:t>
      </w:r>
      <w:proofErr w:type="gramEnd"/>
      <w:r w:rsidRPr="001B6E4D">
        <w:rPr>
          <w:rFonts w:hint="eastAsia"/>
        </w:rPr>
        <w:t>褲帶，共體時</w:t>
      </w:r>
      <w:proofErr w:type="gramStart"/>
      <w:r w:rsidRPr="001B6E4D">
        <w:rPr>
          <w:rFonts w:hint="eastAsia"/>
        </w:rPr>
        <w:t>艱</w:t>
      </w:r>
      <w:proofErr w:type="gramEnd"/>
      <w:r w:rsidRPr="001B6E4D">
        <w:rPr>
          <w:rFonts w:hint="eastAsia"/>
        </w:rPr>
        <w:t>、以</w:t>
      </w:r>
      <w:proofErr w:type="gramStart"/>
      <w:r w:rsidRPr="001B6E4D">
        <w:rPr>
          <w:rFonts w:hint="eastAsia"/>
        </w:rPr>
        <w:t>撙</w:t>
      </w:r>
      <w:proofErr w:type="gramEnd"/>
      <w:r w:rsidRPr="001B6E4D">
        <w:rPr>
          <w:rFonts w:hint="eastAsia"/>
        </w:rPr>
        <w:t>節支出的具體行動，來呼應賴總統對美方要求大幅增加國防支出的承諾。</w:t>
      </w:r>
    </w:p>
    <w:p w14:paraId="2316236D" w14:textId="77777777" w:rsidR="00201B77" w:rsidRPr="001B6E4D" w:rsidRDefault="00201B77" w:rsidP="003D1018">
      <w:pPr>
        <w:pStyle w:val="1f7"/>
        <w:overflowPunct w:val="0"/>
      </w:pPr>
      <w:r w:rsidRPr="001B6E4D">
        <w:rPr>
          <w:rFonts w:hint="eastAsia"/>
        </w:rPr>
        <w:t>惟國安會</w:t>
      </w:r>
      <w:proofErr w:type="gramStart"/>
      <w:r w:rsidRPr="001B6E4D">
        <w:rPr>
          <w:rFonts w:hint="eastAsia"/>
        </w:rPr>
        <w:t>115</w:t>
      </w:r>
      <w:proofErr w:type="gramEnd"/>
      <w:r w:rsidRPr="001B6E4D">
        <w:rPr>
          <w:rFonts w:hint="eastAsia"/>
        </w:rPr>
        <w:t>年度預算案仍編列「委辦費」1,</w:t>
      </w:r>
      <w:r w:rsidRPr="001B6E4D">
        <w:t>600</w:t>
      </w:r>
      <w:r w:rsidRPr="001B6E4D">
        <w:rPr>
          <w:rFonts w:hint="eastAsia"/>
        </w:rPr>
        <w:t>千元，與114年法定預算相比，減列20千元。為兌現賴總統對美方的承諾，且為配合國防支出大幅增加之影響而必須</w:t>
      </w:r>
      <w:proofErr w:type="gramStart"/>
      <w:r w:rsidRPr="001B6E4D">
        <w:rPr>
          <w:rFonts w:hint="eastAsia"/>
        </w:rPr>
        <w:t>撙</w:t>
      </w:r>
      <w:proofErr w:type="gramEnd"/>
      <w:r w:rsidRPr="001B6E4D">
        <w:rPr>
          <w:rFonts w:hint="eastAsia"/>
        </w:rPr>
        <w:t>節經費，</w:t>
      </w:r>
      <w:proofErr w:type="gramStart"/>
      <w:r w:rsidRPr="001B6E4D">
        <w:rPr>
          <w:rFonts w:hint="eastAsia"/>
        </w:rPr>
        <w:t>爰</w:t>
      </w:r>
      <w:proofErr w:type="gramEnd"/>
      <w:r w:rsidRPr="001B6E4D">
        <w:rPr>
          <w:rFonts w:hint="eastAsia"/>
        </w:rPr>
        <w:t>提案減列110萬元整（以執行率</w:t>
      </w:r>
      <w:proofErr w:type="gramStart"/>
      <w:r w:rsidRPr="001B6E4D">
        <w:rPr>
          <w:rFonts w:hint="eastAsia"/>
        </w:rPr>
        <w:t>3成</w:t>
      </w:r>
      <w:proofErr w:type="gramEnd"/>
      <w:r w:rsidRPr="001B6E4D">
        <w:rPr>
          <w:rFonts w:hint="eastAsia"/>
        </w:rPr>
        <w:t>計算）且不得</w:t>
      </w:r>
      <w:proofErr w:type="gramStart"/>
      <w:r w:rsidRPr="001B6E4D">
        <w:rPr>
          <w:rFonts w:hint="eastAsia"/>
        </w:rPr>
        <w:t>流用勻支</w:t>
      </w:r>
      <w:proofErr w:type="gramEnd"/>
      <w:r w:rsidRPr="001B6E4D">
        <w:rPr>
          <w:rFonts w:hint="eastAsia"/>
        </w:rPr>
        <w:t>，以避免有限之財政資源閒置與浪費。</w:t>
      </w:r>
      <w:r w:rsidRPr="001B6E4D">
        <w:t>【</w:t>
      </w:r>
      <w:r w:rsidRPr="001B6E4D">
        <w:rPr>
          <w:rFonts w:hint="eastAsia"/>
        </w:rPr>
        <w:t>34</w:t>
      </w:r>
      <w:r w:rsidRPr="001B6E4D">
        <w:t>】</w:t>
      </w:r>
    </w:p>
    <w:p w14:paraId="2359D8A7" w14:textId="77777777" w:rsidR="00201B77" w:rsidRPr="001B6E4D" w:rsidRDefault="00201B77" w:rsidP="003D1018">
      <w:pPr>
        <w:pStyle w:val="2fb"/>
        <w:overflowPunct w:val="0"/>
      </w:pPr>
      <w:r w:rsidRPr="001B6E4D">
        <w:t>提案人：翁曉玲</w:t>
      </w:r>
    </w:p>
    <w:p w14:paraId="48D94028" w14:textId="77777777" w:rsidR="00201B77" w:rsidRPr="001B6E4D" w:rsidRDefault="00201B77" w:rsidP="003D1018">
      <w:pPr>
        <w:pStyle w:val="2fb"/>
        <w:overflowPunct w:val="0"/>
      </w:pPr>
      <w:r w:rsidRPr="001B6E4D">
        <w:t>連署人：許宇</w:t>
      </w:r>
      <w:proofErr w:type="gramStart"/>
      <w:r w:rsidRPr="001B6E4D">
        <w:t>甄</w:t>
      </w:r>
      <w:proofErr w:type="gramEnd"/>
      <w:r w:rsidRPr="001B6E4D">
        <w:t xml:space="preserve">　林倩綺</w:t>
      </w:r>
    </w:p>
    <w:p w14:paraId="517F0EEE" w14:textId="77777777" w:rsidR="00201B77" w:rsidRPr="001B6E4D" w:rsidRDefault="00201B77" w:rsidP="003D1018">
      <w:pPr>
        <w:pStyle w:val="1f6"/>
        <w:overflowPunct w:val="0"/>
      </w:pPr>
      <w:proofErr w:type="gramStart"/>
      <w:r w:rsidRPr="001B6E4D">
        <w:rPr>
          <w:rFonts w:hint="eastAsia"/>
        </w:rPr>
        <w:t>115</w:t>
      </w:r>
      <w:proofErr w:type="gramEnd"/>
      <w:r w:rsidRPr="001B6E4D">
        <w:rPr>
          <w:rFonts w:hint="eastAsia"/>
        </w:rPr>
        <w:t>年度國家安全會議預算案於第1目「一般行政」項下「基本行政工作維持」中「業務費」之「特別費」，係秘書長、副秘書長之特別費1,179千元。</w:t>
      </w:r>
    </w:p>
    <w:p w14:paraId="126C967B" w14:textId="77777777" w:rsidR="00201B77" w:rsidRPr="001B6E4D" w:rsidRDefault="00201B77" w:rsidP="003D1018">
      <w:pPr>
        <w:pStyle w:val="1f7"/>
        <w:overflowPunct w:val="0"/>
        <w:ind w:firstLine="561"/>
        <w:rPr>
          <w:b/>
          <w:bCs/>
        </w:rPr>
      </w:pPr>
      <w:r w:rsidRPr="001B6E4D">
        <w:rPr>
          <w:rFonts w:hint="eastAsia"/>
          <w:b/>
          <w:bCs/>
        </w:rPr>
        <w:t>依照行政院</w:t>
      </w:r>
      <w:r w:rsidRPr="001B6E4D">
        <w:rPr>
          <w:b/>
          <w:bCs/>
        </w:rPr>
        <w:t>95</w:t>
      </w:r>
      <w:r w:rsidRPr="001B6E4D">
        <w:rPr>
          <w:rFonts w:hint="eastAsia"/>
          <w:b/>
          <w:bCs/>
        </w:rPr>
        <w:t>年</w:t>
      </w:r>
      <w:r w:rsidRPr="001B6E4D">
        <w:rPr>
          <w:b/>
          <w:bCs/>
        </w:rPr>
        <w:t>12</w:t>
      </w:r>
      <w:r w:rsidRPr="001B6E4D">
        <w:rPr>
          <w:rFonts w:hint="eastAsia"/>
          <w:b/>
          <w:bCs/>
        </w:rPr>
        <w:t>月</w:t>
      </w:r>
      <w:r w:rsidRPr="001B6E4D">
        <w:rPr>
          <w:b/>
          <w:bCs/>
        </w:rPr>
        <w:t>29</w:t>
      </w:r>
      <w:r w:rsidRPr="001B6E4D">
        <w:rPr>
          <w:rFonts w:hint="eastAsia"/>
          <w:b/>
          <w:bCs/>
        </w:rPr>
        <w:t>日</w:t>
      </w:r>
      <w:proofErr w:type="gramStart"/>
      <w:r w:rsidRPr="001B6E4D">
        <w:rPr>
          <w:rFonts w:hint="eastAsia"/>
          <w:b/>
          <w:bCs/>
        </w:rPr>
        <w:t>院授主忠字</w:t>
      </w:r>
      <w:proofErr w:type="gramEnd"/>
      <w:r w:rsidRPr="001B6E4D">
        <w:rPr>
          <w:rFonts w:hint="eastAsia"/>
          <w:b/>
          <w:bCs/>
        </w:rPr>
        <w:t>第</w:t>
      </w:r>
      <w:r w:rsidRPr="001B6E4D">
        <w:rPr>
          <w:b/>
          <w:bCs/>
        </w:rPr>
        <w:t>0950007913</w:t>
      </w:r>
      <w:r w:rsidRPr="001B6E4D">
        <w:rPr>
          <w:rFonts w:hint="eastAsia"/>
          <w:b/>
          <w:bCs/>
        </w:rPr>
        <w:t>號函，各級政府機關特別費支用規定所訂定之特別費使用範圍，係婚喪喜慶之禮金及招待、</w:t>
      </w:r>
      <w:proofErr w:type="gramStart"/>
      <w:r w:rsidRPr="001B6E4D">
        <w:rPr>
          <w:rFonts w:hint="eastAsia"/>
          <w:b/>
          <w:bCs/>
        </w:rPr>
        <w:t>餽</w:t>
      </w:r>
      <w:proofErr w:type="gramEnd"/>
      <w:r w:rsidRPr="001B6E4D">
        <w:rPr>
          <w:rFonts w:hint="eastAsia"/>
          <w:b/>
          <w:bCs/>
        </w:rPr>
        <w:t>（捐）</w:t>
      </w:r>
      <w:proofErr w:type="gramStart"/>
      <w:r w:rsidRPr="001B6E4D">
        <w:rPr>
          <w:rFonts w:hint="eastAsia"/>
          <w:b/>
          <w:bCs/>
        </w:rPr>
        <w:t>贈及慰問</w:t>
      </w:r>
      <w:proofErr w:type="gramEnd"/>
      <w:r w:rsidRPr="001B6E4D">
        <w:rPr>
          <w:rFonts w:hint="eastAsia"/>
          <w:b/>
          <w:bCs/>
        </w:rPr>
        <w:t>等支出。恐非屬各項施政計畫執行之必要項目。</w:t>
      </w:r>
    </w:p>
    <w:p w14:paraId="6AD5B43D" w14:textId="77777777" w:rsidR="00201B77" w:rsidRPr="001B6E4D" w:rsidRDefault="00201B77" w:rsidP="003D1018">
      <w:pPr>
        <w:pStyle w:val="1f7"/>
        <w:overflowPunct w:val="0"/>
      </w:pPr>
      <w:r w:rsidRPr="001B6E4D">
        <w:rPr>
          <w:rFonts w:hint="eastAsia"/>
        </w:rPr>
        <w:t>然，115年中央政府總預算連同特別預算，</w:t>
      </w:r>
      <w:proofErr w:type="gramStart"/>
      <w:r w:rsidRPr="001B6E4D">
        <w:rPr>
          <w:rFonts w:hint="eastAsia"/>
        </w:rPr>
        <w:t>已需舉</w:t>
      </w:r>
      <w:proofErr w:type="gramEnd"/>
      <w:r w:rsidRPr="001B6E4D">
        <w:rPr>
          <w:rFonts w:hint="eastAsia"/>
        </w:rPr>
        <w:t>債高達4千億元。政府各單位更應量入為出、</w:t>
      </w:r>
      <w:proofErr w:type="gramStart"/>
      <w:r w:rsidRPr="001B6E4D">
        <w:rPr>
          <w:rFonts w:hint="eastAsia"/>
        </w:rPr>
        <w:t>撙</w:t>
      </w:r>
      <w:proofErr w:type="gramEnd"/>
      <w:r w:rsidRPr="001B6E4D">
        <w:rPr>
          <w:rFonts w:hint="eastAsia"/>
        </w:rPr>
        <w:t>節公</w:t>
      </w:r>
      <w:proofErr w:type="gramStart"/>
      <w:r w:rsidRPr="001B6E4D">
        <w:rPr>
          <w:rFonts w:hint="eastAsia"/>
        </w:rPr>
        <w:t>帑</w:t>
      </w:r>
      <w:proofErr w:type="gramEnd"/>
      <w:r w:rsidRPr="001B6E4D">
        <w:rPr>
          <w:rFonts w:hint="eastAsia"/>
        </w:rPr>
        <w:t>，</w:t>
      </w:r>
      <w:proofErr w:type="gramStart"/>
      <w:r w:rsidRPr="001B6E4D">
        <w:rPr>
          <w:rFonts w:hint="eastAsia"/>
        </w:rPr>
        <w:t>減列非必要</w:t>
      </w:r>
      <w:proofErr w:type="gramEnd"/>
      <w:r w:rsidRPr="001B6E4D">
        <w:rPr>
          <w:rFonts w:hint="eastAsia"/>
        </w:rPr>
        <w:t>、</w:t>
      </w:r>
      <w:r w:rsidRPr="001B6E4D">
        <w:rPr>
          <w:rFonts w:hint="eastAsia"/>
        </w:rPr>
        <w:lastRenderedPageBreak/>
        <w:t>非急迫性的支出，以降低國庫舉債、</w:t>
      </w:r>
      <w:proofErr w:type="gramStart"/>
      <w:r w:rsidRPr="001B6E4D">
        <w:rPr>
          <w:rFonts w:hint="eastAsia"/>
        </w:rPr>
        <w:t>債留子孫</w:t>
      </w:r>
      <w:proofErr w:type="gramEnd"/>
      <w:r w:rsidRPr="001B6E4D">
        <w:rPr>
          <w:rFonts w:hint="eastAsia"/>
        </w:rPr>
        <w:t>的壓力。</w:t>
      </w:r>
    </w:p>
    <w:p w14:paraId="237073E9" w14:textId="77777777" w:rsidR="00201B77" w:rsidRPr="001B6E4D" w:rsidRDefault="00201B77" w:rsidP="003D1018">
      <w:pPr>
        <w:pStyle w:val="1f7"/>
        <w:overflowPunct w:val="0"/>
      </w:pPr>
      <w:proofErr w:type="gramStart"/>
      <w:r w:rsidRPr="001B6E4D">
        <w:rPr>
          <w:rFonts w:hint="eastAsia"/>
        </w:rPr>
        <w:t>且</w:t>
      </w:r>
      <w:proofErr w:type="gramEnd"/>
      <w:r w:rsidRPr="001B6E4D">
        <w:rPr>
          <w:rFonts w:hint="eastAsia"/>
        </w:rPr>
        <w:t>，賴總統為回應美國對台灣應大幅增加國防支出的強硬立場與關切壓力，</w:t>
      </w:r>
      <w:proofErr w:type="gramStart"/>
      <w:r w:rsidRPr="001B6E4D">
        <w:rPr>
          <w:rFonts w:hint="eastAsia"/>
        </w:rPr>
        <w:t>115</w:t>
      </w:r>
      <w:proofErr w:type="gramEnd"/>
      <w:r w:rsidRPr="001B6E4D">
        <w:rPr>
          <w:rFonts w:hint="eastAsia"/>
        </w:rPr>
        <w:t>年度國防支出已創下歷史新高，達9,495億新台幣，較去年度相比暴增1,768億，漲幅達16%，負擔不可謂不重；大舉增加國防支出，必定會嚴重排擠年度的教育、文化、經濟發展、社會福利等支出。亦即，各</w:t>
      </w:r>
      <w:proofErr w:type="gramStart"/>
      <w:r w:rsidRPr="001B6E4D">
        <w:rPr>
          <w:rFonts w:hint="eastAsia"/>
        </w:rPr>
        <w:t>部會應勒緊</w:t>
      </w:r>
      <w:proofErr w:type="gramEnd"/>
      <w:r w:rsidRPr="001B6E4D">
        <w:rPr>
          <w:rFonts w:hint="eastAsia"/>
        </w:rPr>
        <w:t>褲帶，共體時</w:t>
      </w:r>
      <w:proofErr w:type="gramStart"/>
      <w:r w:rsidRPr="001B6E4D">
        <w:rPr>
          <w:rFonts w:hint="eastAsia"/>
        </w:rPr>
        <w:t>艱</w:t>
      </w:r>
      <w:proofErr w:type="gramEnd"/>
      <w:r w:rsidRPr="001B6E4D">
        <w:rPr>
          <w:rFonts w:hint="eastAsia"/>
        </w:rPr>
        <w:t>、以</w:t>
      </w:r>
      <w:proofErr w:type="gramStart"/>
      <w:r w:rsidRPr="001B6E4D">
        <w:rPr>
          <w:rFonts w:hint="eastAsia"/>
        </w:rPr>
        <w:t>撙</w:t>
      </w:r>
      <w:proofErr w:type="gramEnd"/>
      <w:r w:rsidRPr="001B6E4D">
        <w:rPr>
          <w:rFonts w:hint="eastAsia"/>
        </w:rPr>
        <w:t>節非必要支出的具體行動，來呼應賴總統對美方要求大幅增加國防支出的承諾。</w:t>
      </w:r>
    </w:p>
    <w:p w14:paraId="2C1B6CEA" w14:textId="77777777" w:rsidR="00201B77" w:rsidRPr="001B6E4D" w:rsidRDefault="00201B77" w:rsidP="003D1018">
      <w:pPr>
        <w:pStyle w:val="1f7"/>
        <w:overflowPunct w:val="0"/>
      </w:pPr>
      <w:r w:rsidRPr="001B6E4D">
        <w:rPr>
          <w:rFonts w:hint="eastAsia"/>
        </w:rPr>
        <w:t>有</w:t>
      </w:r>
      <w:proofErr w:type="gramStart"/>
      <w:r w:rsidRPr="001B6E4D">
        <w:rPr>
          <w:rFonts w:hint="eastAsia"/>
        </w:rPr>
        <w:t>鑑</w:t>
      </w:r>
      <w:proofErr w:type="gramEnd"/>
      <w:r w:rsidRPr="001B6E4D">
        <w:rPr>
          <w:rFonts w:hint="eastAsia"/>
        </w:rPr>
        <w:t>於國家安全會議所編列之「特別費」預算，係婚喪喜慶之禮金及招待、</w:t>
      </w:r>
      <w:proofErr w:type="gramStart"/>
      <w:r w:rsidRPr="001B6E4D">
        <w:rPr>
          <w:rFonts w:hint="eastAsia"/>
        </w:rPr>
        <w:t>餽</w:t>
      </w:r>
      <w:proofErr w:type="gramEnd"/>
      <w:r w:rsidRPr="001B6E4D">
        <w:rPr>
          <w:rFonts w:hint="eastAsia"/>
        </w:rPr>
        <w:t>（捐）</w:t>
      </w:r>
      <w:proofErr w:type="gramStart"/>
      <w:r w:rsidRPr="001B6E4D">
        <w:rPr>
          <w:rFonts w:hint="eastAsia"/>
        </w:rPr>
        <w:t>贈及慰問</w:t>
      </w:r>
      <w:proofErr w:type="gramEnd"/>
      <w:r w:rsidRPr="001B6E4D">
        <w:rPr>
          <w:rFonts w:hint="eastAsia"/>
        </w:rPr>
        <w:t>等支出，非屬各項施政計畫執行之必要項目。為兌現賴總統對美方的承諾，且配合國防支出大幅增加之影響而必須</w:t>
      </w:r>
      <w:proofErr w:type="gramStart"/>
      <w:r w:rsidRPr="001B6E4D">
        <w:rPr>
          <w:rFonts w:hint="eastAsia"/>
        </w:rPr>
        <w:t>撙</w:t>
      </w:r>
      <w:proofErr w:type="gramEnd"/>
      <w:r w:rsidRPr="001B6E4D">
        <w:rPr>
          <w:rFonts w:hint="eastAsia"/>
        </w:rPr>
        <w:t>節經費，</w:t>
      </w:r>
      <w:proofErr w:type="gramStart"/>
      <w:r w:rsidRPr="001B6E4D">
        <w:rPr>
          <w:rFonts w:hint="eastAsia"/>
        </w:rPr>
        <w:t>爰</w:t>
      </w:r>
      <w:proofErr w:type="gramEnd"/>
      <w:r w:rsidRPr="001B6E4D">
        <w:rPr>
          <w:rFonts w:hint="eastAsia"/>
        </w:rPr>
        <w:t>提案減列九成共計106萬元整，且不得</w:t>
      </w:r>
      <w:proofErr w:type="gramStart"/>
      <w:r w:rsidRPr="001B6E4D">
        <w:rPr>
          <w:rFonts w:hint="eastAsia"/>
        </w:rPr>
        <w:t>流用勻支</w:t>
      </w:r>
      <w:proofErr w:type="gramEnd"/>
      <w:r w:rsidRPr="001B6E4D">
        <w:rPr>
          <w:rFonts w:hint="eastAsia"/>
        </w:rPr>
        <w:t>，以將有限之財政資源集中，支援必須擴增的國防經費支出。</w:t>
      </w:r>
      <w:r w:rsidRPr="001B6E4D">
        <w:t>【</w:t>
      </w:r>
      <w:r w:rsidRPr="001B6E4D">
        <w:rPr>
          <w:rFonts w:hint="eastAsia"/>
        </w:rPr>
        <w:t>37</w:t>
      </w:r>
      <w:r w:rsidRPr="001B6E4D">
        <w:t>】</w:t>
      </w:r>
    </w:p>
    <w:p w14:paraId="332E1A7C" w14:textId="77777777" w:rsidR="00201B77" w:rsidRPr="001B6E4D" w:rsidRDefault="00201B77" w:rsidP="003D1018">
      <w:pPr>
        <w:pStyle w:val="2fb"/>
        <w:overflowPunct w:val="0"/>
      </w:pPr>
      <w:r w:rsidRPr="001B6E4D">
        <w:t>提案人：翁曉玲</w:t>
      </w:r>
    </w:p>
    <w:p w14:paraId="0ABAD9D9" w14:textId="77777777" w:rsidR="00201B77" w:rsidRPr="001B6E4D" w:rsidRDefault="00201B77" w:rsidP="003D1018">
      <w:pPr>
        <w:pStyle w:val="2fb"/>
        <w:overflowPunct w:val="0"/>
      </w:pPr>
      <w:r w:rsidRPr="001B6E4D">
        <w:t>連署人：許宇</w:t>
      </w:r>
      <w:proofErr w:type="gramStart"/>
      <w:r w:rsidRPr="001B6E4D">
        <w:t>甄</w:t>
      </w:r>
      <w:proofErr w:type="gramEnd"/>
      <w:r w:rsidRPr="001B6E4D">
        <w:t xml:space="preserve">　林倩綺</w:t>
      </w:r>
    </w:p>
    <w:p w14:paraId="3D44024B" w14:textId="77777777" w:rsidR="00201B77" w:rsidRPr="001B6E4D" w:rsidRDefault="00201B77" w:rsidP="003D1018">
      <w:pPr>
        <w:pStyle w:val="1f6"/>
        <w:overflowPunct w:val="0"/>
      </w:pPr>
      <w:r w:rsidRPr="001B6E4D">
        <w:rPr>
          <w:rFonts w:hint="eastAsia"/>
        </w:rPr>
        <w:t>國家安全會議(以下簡稱國安會)</w:t>
      </w:r>
      <w:proofErr w:type="gramStart"/>
      <w:r w:rsidRPr="001B6E4D">
        <w:rPr>
          <w:rFonts w:hint="eastAsia"/>
        </w:rPr>
        <w:t>115</w:t>
      </w:r>
      <w:proofErr w:type="gramEnd"/>
      <w:r w:rsidRPr="001B6E4D">
        <w:rPr>
          <w:rFonts w:hint="eastAsia"/>
        </w:rPr>
        <w:t>年度預算案</w:t>
      </w:r>
      <w:r w:rsidRPr="001B6E4D">
        <w:t>編列246,631千元，比</w:t>
      </w:r>
      <w:proofErr w:type="gramStart"/>
      <w:r w:rsidRPr="001B6E4D">
        <w:t>114</w:t>
      </w:r>
      <w:proofErr w:type="gramEnd"/>
      <w:r w:rsidRPr="001B6E4D">
        <w:t>年度法定預算223,589千元，增加23,042千元（</w:t>
      </w:r>
      <w:r w:rsidRPr="001B6E4D">
        <w:rPr>
          <w:rFonts w:hint="eastAsia"/>
        </w:rPr>
        <w:t>逾2千3百萬元</w:t>
      </w:r>
      <w:r w:rsidRPr="001B6E4D">
        <w:t>），成長幅度</w:t>
      </w:r>
      <w:r w:rsidRPr="001B6E4D">
        <w:rPr>
          <w:rFonts w:hint="eastAsia"/>
        </w:rPr>
        <w:t>1</w:t>
      </w:r>
      <w:r w:rsidRPr="001B6E4D">
        <w:t>0.31%。</w:t>
      </w:r>
    </w:p>
    <w:p w14:paraId="7518D461" w14:textId="77777777" w:rsidR="00201B77" w:rsidRPr="001B6E4D" w:rsidRDefault="00201B77" w:rsidP="003D1018">
      <w:pPr>
        <w:pStyle w:val="1f7"/>
        <w:overflowPunct w:val="0"/>
      </w:pPr>
      <w:r w:rsidRPr="001B6E4D">
        <w:rPr>
          <w:rFonts w:hint="eastAsia"/>
        </w:rPr>
        <w:t>國安會115年「國外旅費」編列預算</w:t>
      </w:r>
      <w:r w:rsidRPr="001B6E4D">
        <w:t>20,031</w:t>
      </w:r>
      <w:r w:rsidRPr="001B6E4D">
        <w:rPr>
          <w:rFonts w:hint="eastAsia"/>
        </w:rPr>
        <w:t>千元，較</w:t>
      </w:r>
      <w:proofErr w:type="gramStart"/>
      <w:r w:rsidRPr="001B6E4D">
        <w:rPr>
          <w:rFonts w:hint="eastAsia"/>
        </w:rPr>
        <w:t>114</w:t>
      </w:r>
      <w:proofErr w:type="gramEnd"/>
      <w:r w:rsidRPr="001B6E4D">
        <w:rPr>
          <w:rFonts w:hint="eastAsia"/>
        </w:rPr>
        <w:t>年度預算數</w:t>
      </w:r>
      <w:r w:rsidRPr="001B6E4D">
        <w:t>7,718</w:t>
      </w:r>
      <w:r w:rsidRPr="001B6E4D">
        <w:rPr>
          <w:rFonts w:hint="eastAsia"/>
        </w:rPr>
        <w:t>千元，</w:t>
      </w:r>
      <w:bookmarkStart w:id="504" w:name="_Hlk230076960"/>
      <w:bookmarkStart w:id="505" w:name="_Hlk230079944"/>
      <w:r w:rsidRPr="001B6E4D">
        <w:rPr>
          <w:rFonts w:hint="eastAsia"/>
        </w:rPr>
        <w:t>增列</w:t>
      </w:r>
      <w:r w:rsidRPr="001B6E4D">
        <w:t>12,313</w:t>
      </w:r>
      <w:r w:rsidRPr="001B6E4D">
        <w:rPr>
          <w:rFonts w:hint="eastAsia"/>
        </w:rPr>
        <w:t>千元（1</w:t>
      </w:r>
      <w:r w:rsidRPr="001B6E4D">
        <w:t>,231</w:t>
      </w:r>
      <w:r w:rsidRPr="001B6E4D">
        <w:rPr>
          <w:rFonts w:hint="eastAsia"/>
        </w:rPr>
        <w:t>萬元），增加幅度高達</w:t>
      </w:r>
      <w:r w:rsidRPr="001B6E4D">
        <w:t>159.54%</w:t>
      </w:r>
      <w:r w:rsidRPr="001B6E4D">
        <w:rPr>
          <w:rFonts w:hint="eastAsia"/>
        </w:rPr>
        <w:t>，也就是原來的1</w:t>
      </w:r>
      <w:r w:rsidRPr="001B6E4D">
        <w:t>.6</w:t>
      </w:r>
      <w:r w:rsidRPr="001B6E4D">
        <w:rPr>
          <w:rFonts w:hint="eastAsia"/>
        </w:rPr>
        <w:t>倍</w:t>
      </w:r>
      <w:bookmarkEnd w:id="504"/>
      <w:r w:rsidRPr="001B6E4D">
        <w:rPr>
          <w:rFonts w:hint="eastAsia"/>
        </w:rPr>
        <w:t>！</w:t>
      </w:r>
      <w:bookmarkEnd w:id="505"/>
    </w:p>
    <w:tbl>
      <w:tblPr>
        <w:tblpPr w:leftFromText="180" w:rightFromText="180" w:vertAnchor="text" w:horzAnchor="margin" w:tblpY="194"/>
        <w:tblW w:w="90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36"/>
        <w:gridCol w:w="992"/>
        <w:gridCol w:w="992"/>
        <w:gridCol w:w="993"/>
        <w:gridCol w:w="1417"/>
        <w:gridCol w:w="3827"/>
      </w:tblGrid>
      <w:tr w:rsidR="00201B77" w:rsidRPr="001B6E4D" w14:paraId="7A32287C" w14:textId="77777777" w:rsidTr="00F73480">
        <w:trPr>
          <w:tblHeader/>
        </w:trPr>
        <w:tc>
          <w:tcPr>
            <w:tcW w:w="9057" w:type="dxa"/>
            <w:gridSpan w:val="6"/>
          </w:tcPr>
          <w:p w14:paraId="549884F9" w14:textId="77777777" w:rsidR="00201B77" w:rsidRPr="001B6E4D" w:rsidRDefault="00201B77" w:rsidP="003D1018">
            <w:pPr>
              <w:overflowPunct w:val="0"/>
              <w:spacing w:line="280" w:lineRule="exact"/>
              <w:jc w:val="center"/>
              <w:rPr>
                <w:rFonts w:ascii="標楷體" w:eastAsia="標楷體" w:hAnsi="標楷體" w:cstheme="minorHAnsi"/>
                <w:b/>
                <w:bCs/>
              </w:rPr>
            </w:pPr>
            <w:bookmarkStart w:id="506" w:name="_Hlk230079304"/>
            <w:r w:rsidRPr="001B6E4D">
              <w:rPr>
                <w:rFonts w:ascii="標楷體" w:eastAsia="標楷體" w:hAnsi="標楷體" w:cstheme="minorHAnsi" w:hint="eastAsia"/>
                <w:b/>
                <w:bCs/>
              </w:rPr>
              <w:t xml:space="preserve">國外旅費       </w:t>
            </w:r>
            <w:r w:rsidRPr="001B6E4D">
              <w:rPr>
                <w:rFonts w:ascii="標楷體" w:eastAsia="標楷體" w:hAnsi="標楷體" w:cstheme="minorHAnsi" w:hint="eastAsia"/>
                <w:b/>
                <w:bCs/>
                <w:sz w:val="20"/>
                <w:szCs w:val="20"/>
              </w:rPr>
              <w:t>單位：千元</w:t>
            </w:r>
          </w:p>
        </w:tc>
      </w:tr>
      <w:tr w:rsidR="00201B77" w:rsidRPr="001B6E4D" w14:paraId="2479684F" w14:textId="77777777" w:rsidTr="00F73480">
        <w:trPr>
          <w:tblHeader/>
        </w:trPr>
        <w:tc>
          <w:tcPr>
            <w:tcW w:w="836" w:type="dxa"/>
          </w:tcPr>
          <w:p w14:paraId="714809B1"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年度</w:t>
            </w:r>
          </w:p>
        </w:tc>
        <w:tc>
          <w:tcPr>
            <w:tcW w:w="992" w:type="dxa"/>
          </w:tcPr>
          <w:p w14:paraId="73A8B3D3"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sz w:val="20"/>
                <w:szCs w:val="20"/>
              </w:rPr>
              <w:t>預算數</w:t>
            </w:r>
          </w:p>
        </w:tc>
        <w:tc>
          <w:tcPr>
            <w:tcW w:w="992" w:type="dxa"/>
          </w:tcPr>
          <w:p w14:paraId="2A078E7B"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sz w:val="20"/>
                <w:szCs w:val="20"/>
              </w:rPr>
              <w:t>決算數</w:t>
            </w:r>
          </w:p>
        </w:tc>
        <w:tc>
          <w:tcPr>
            <w:tcW w:w="993" w:type="dxa"/>
          </w:tcPr>
          <w:p w14:paraId="7EF1BCA7"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sz w:val="20"/>
                <w:szCs w:val="20"/>
              </w:rPr>
              <w:t>執行率</w:t>
            </w:r>
          </w:p>
        </w:tc>
        <w:tc>
          <w:tcPr>
            <w:tcW w:w="1417" w:type="dxa"/>
            <w:shd w:val="clear" w:color="auto" w:fill="auto"/>
            <w:vAlign w:val="center"/>
          </w:tcPr>
          <w:p w14:paraId="1ADF46CF"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剩餘數/千元</w:t>
            </w:r>
          </w:p>
        </w:tc>
        <w:tc>
          <w:tcPr>
            <w:tcW w:w="3827" w:type="dxa"/>
            <w:shd w:val="clear" w:color="auto" w:fill="auto"/>
            <w:vAlign w:val="center"/>
          </w:tcPr>
          <w:p w14:paraId="02AC3BA9"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cstheme="minorHAnsi" w:hint="eastAsia"/>
                <w:b/>
                <w:sz w:val="20"/>
                <w:szCs w:val="20"/>
              </w:rPr>
              <w:t>備註</w:t>
            </w:r>
          </w:p>
        </w:tc>
      </w:tr>
      <w:tr w:rsidR="00201B77" w:rsidRPr="001B6E4D" w14:paraId="40EC434D" w14:textId="77777777" w:rsidTr="00F73480">
        <w:tc>
          <w:tcPr>
            <w:tcW w:w="836" w:type="dxa"/>
          </w:tcPr>
          <w:p w14:paraId="60A37518"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112</w:t>
            </w:r>
          </w:p>
        </w:tc>
        <w:tc>
          <w:tcPr>
            <w:tcW w:w="992" w:type="dxa"/>
          </w:tcPr>
          <w:p w14:paraId="79CFF4C1"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7,715 </w:t>
            </w:r>
          </w:p>
        </w:tc>
        <w:tc>
          <w:tcPr>
            <w:tcW w:w="992" w:type="dxa"/>
          </w:tcPr>
          <w:p w14:paraId="39ED848D" w14:textId="77777777" w:rsidR="00201B77" w:rsidRPr="001B6E4D" w:rsidRDefault="00201B77" w:rsidP="003D1018">
            <w:pPr>
              <w:overflowPunct w:val="0"/>
              <w:spacing w:line="280" w:lineRule="exact"/>
              <w:jc w:val="right"/>
              <w:rPr>
                <w:rFonts w:ascii="標楷體" w:eastAsia="標楷體" w:hAnsi="標楷體" w:cstheme="minorHAnsi"/>
                <w:b/>
              </w:rPr>
            </w:pPr>
            <w:r w:rsidRPr="001B6E4D">
              <w:rPr>
                <w:rFonts w:ascii="標楷體" w:eastAsia="標楷體" w:hAnsi="標楷體"/>
              </w:rPr>
              <w:t xml:space="preserve">9,444 </w:t>
            </w:r>
          </w:p>
        </w:tc>
        <w:tc>
          <w:tcPr>
            <w:tcW w:w="993" w:type="dxa"/>
          </w:tcPr>
          <w:p w14:paraId="6802F98D" w14:textId="77777777" w:rsidR="00201B77" w:rsidRPr="001B6E4D" w:rsidRDefault="00201B77" w:rsidP="003D1018">
            <w:pPr>
              <w:overflowPunct w:val="0"/>
              <w:spacing w:line="280" w:lineRule="exact"/>
              <w:jc w:val="right"/>
              <w:rPr>
                <w:rFonts w:ascii="標楷體" w:eastAsia="標楷體" w:hAnsi="標楷體" w:cstheme="minorHAnsi"/>
                <w:b/>
                <w:sz w:val="20"/>
                <w:szCs w:val="20"/>
              </w:rPr>
            </w:pPr>
            <w:r w:rsidRPr="001B6E4D">
              <w:rPr>
                <w:rFonts w:ascii="標楷體" w:eastAsia="標楷體" w:hAnsi="標楷體"/>
              </w:rPr>
              <w:t>122.41%</w:t>
            </w:r>
          </w:p>
        </w:tc>
        <w:tc>
          <w:tcPr>
            <w:tcW w:w="1417" w:type="dxa"/>
            <w:shd w:val="clear" w:color="auto" w:fill="auto"/>
          </w:tcPr>
          <w:p w14:paraId="552C7861"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(1,729) </w:t>
            </w:r>
          </w:p>
        </w:tc>
        <w:tc>
          <w:tcPr>
            <w:tcW w:w="3827" w:type="dxa"/>
            <w:shd w:val="clear" w:color="auto" w:fill="auto"/>
          </w:tcPr>
          <w:p w14:paraId="2612F922"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2</w:t>
            </w:r>
            <w:r w:rsidRPr="001B6E4D">
              <w:rPr>
                <w:rFonts w:ascii="標楷體" w:eastAsia="標楷體" w:hAnsi="標楷體" w:cstheme="minorHAnsi"/>
              </w:rPr>
              <w:t>3</w:t>
            </w:r>
            <w:r w:rsidRPr="001B6E4D">
              <w:rPr>
                <w:rFonts w:ascii="標楷體" w:eastAsia="標楷體" w:hAnsi="標楷體" w:cstheme="minorHAnsi" w:hint="eastAsia"/>
              </w:rPr>
              <w:t>項計畫、3</w:t>
            </w:r>
            <w:r w:rsidRPr="001B6E4D">
              <w:rPr>
                <w:rFonts w:ascii="標楷體" w:eastAsia="標楷體" w:hAnsi="標楷體" w:cstheme="minorHAnsi"/>
              </w:rPr>
              <w:t>82</w:t>
            </w:r>
            <w:r w:rsidRPr="001B6E4D">
              <w:rPr>
                <w:rFonts w:ascii="標楷體" w:eastAsia="標楷體" w:hAnsi="標楷體" w:cstheme="minorHAnsi" w:hint="eastAsia"/>
              </w:rPr>
              <w:t>人天、7,033千元</w:t>
            </w:r>
          </w:p>
        </w:tc>
      </w:tr>
      <w:tr w:rsidR="00201B77" w:rsidRPr="001B6E4D" w14:paraId="11EDCF3A" w14:textId="77777777" w:rsidTr="00F73480">
        <w:tc>
          <w:tcPr>
            <w:tcW w:w="836" w:type="dxa"/>
          </w:tcPr>
          <w:p w14:paraId="42DEB26B"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113</w:t>
            </w:r>
          </w:p>
        </w:tc>
        <w:tc>
          <w:tcPr>
            <w:tcW w:w="992" w:type="dxa"/>
          </w:tcPr>
          <w:p w14:paraId="746F9DB7"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7,033 </w:t>
            </w:r>
          </w:p>
        </w:tc>
        <w:tc>
          <w:tcPr>
            <w:tcW w:w="992" w:type="dxa"/>
          </w:tcPr>
          <w:p w14:paraId="7902766E"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720 </w:t>
            </w:r>
          </w:p>
        </w:tc>
        <w:tc>
          <w:tcPr>
            <w:tcW w:w="993" w:type="dxa"/>
          </w:tcPr>
          <w:p w14:paraId="6E864B06" w14:textId="77777777" w:rsidR="00201B77" w:rsidRPr="001B6E4D" w:rsidRDefault="00201B77" w:rsidP="003D1018">
            <w:pPr>
              <w:overflowPunct w:val="0"/>
              <w:spacing w:line="280" w:lineRule="exact"/>
              <w:jc w:val="right"/>
              <w:rPr>
                <w:rFonts w:ascii="標楷體" w:eastAsia="標楷體" w:hAnsi="標楷體" w:cstheme="minorHAnsi"/>
                <w:sz w:val="20"/>
                <w:szCs w:val="20"/>
              </w:rPr>
            </w:pPr>
            <w:r w:rsidRPr="001B6E4D">
              <w:rPr>
                <w:rFonts w:ascii="標楷體" w:eastAsia="標楷體" w:hAnsi="標楷體"/>
              </w:rPr>
              <w:t>10.24%</w:t>
            </w:r>
          </w:p>
        </w:tc>
        <w:tc>
          <w:tcPr>
            <w:tcW w:w="1417" w:type="dxa"/>
            <w:shd w:val="clear" w:color="auto" w:fill="auto"/>
          </w:tcPr>
          <w:p w14:paraId="30F92921"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6,313 </w:t>
            </w:r>
          </w:p>
        </w:tc>
        <w:tc>
          <w:tcPr>
            <w:tcW w:w="3827" w:type="dxa"/>
            <w:shd w:val="clear" w:color="auto" w:fill="auto"/>
          </w:tcPr>
          <w:p w14:paraId="61ABABE1"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2</w:t>
            </w:r>
            <w:r w:rsidRPr="001B6E4D">
              <w:rPr>
                <w:rFonts w:ascii="標楷體" w:eastAsia="標楷體" w:hAnsi="標楷體" w:cstheme="minorHAnsi"/>
              </w:rPr>
              <w:t>4</w:t>
            </w:r>
            <w:r w:rsidRPr="001B6E4D">
              <w:rPr>
                <w:rFonts w:ascii="標楷體" w:eastAsia="標楷體" w:hAnsi="標楷體" w:cstheme="minorHAnsi" w:hint="eastAsia"/>
              </w:rPr>
              <w:t>項計畫、3</w:t>
            </w:r>
            <w:r w:rsidRPr="001B6E4D">
              <w:rPr>
                <w:rFonts w:ascii="標楷體" w:eastAsia="標楷體" w:hAnsi="標楷體" w:cstheme="minorHAnsi"/>
              </w:rPr>
              <w:t>14</w:t>
            </w:r>
            <w:r w:rsidRPr="001B6E4D">
              <w:rPr>
                <w:rFonts w:ascii="標楷體" w:eastAsia="標楷體" w:hAnsi="標楷體" w:cstheme="minorHAnsi" w:hint="eastAsia"/>
              </w:rPr>
              <w:t>人天、7</w:t>
            </w:r>
            <w:r w:rsidRPr="001B6E4D">
              <w:rPr>
                <w:rFonts w:ascii="標楷體" w:eastAsia="標楷體" w:hAnsi="標楷體" w:cstheme="minorHAnsi"/>
              </w:rPr>
              <w:t>,033</w:t>
            </w:r>
            <w:r w:rsidRPr="001B6E4D">
              <w:rPr>
                <w:rFonts w:ascii="標楷體" w:eastAsia="標楷體" w:hAnsi="標楷體" w:cstheme="minorHAnsi" w:hint="eastAsia"/>
              </w:rPr>
              <w:t>千元</w:t>
            </w:r>
          </w:p>
        </w:tc>
      </w:tr>
      <w:tr w:rsidR="00201B77" w:rsidRPr="001B6E4D" w14:paraId="233A49D6" w14:textId="77777777" w:rsidTr="00F73480">
        <w:tc>
          <w:tcPr>
            <w:tcW w:w="836" w:type="dxa"/>
          </w:tcPr>
          <w:p w14:paraId="6B339A8A"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114</w:t>
            </w:r>
          </w:p>
        </w:tc>
        <w:tc>
          <w:tcPr>
            <w:tcW w:w="992" w:type="dxa"/>
          </w:tcPr>
          <w:p w14:paraId="35BCA25C" w14:textId="77777777" w:rsidR="00201B77" w:rsidRPr="001B6E4D" w:rsidRDefault="00201B77" w:rsidP="003D1018">
            <w:pPr>
              <w:overflowPunct w:val="0"/>
              <w:spacing w:line="280" w:lineRule="exact"/>
              <w:jc w:val="right"/>
              <w:rPr>
                <w:rFonts w:ascii="標楷體" w:eastAsia="標楷體" w:hAnsi="標楷體" w:cstheme="minorHAnsi"/>
              </w:rPr>
            </w:pPr>
            <w:bookmarkStart w:id="507" w:name="_Hlk230077367"/>
            <w:r w:rsidRPr="001B6E4D">
              <w:rPr>
                <w:rFonts w:ascii="標楷體" w:eastAsia="標楷體" w:hAnsi="標楷體"/>
              </w:rPr>
              <w:t>7,718</w:t>
            </w:r>
            <w:bookmarkEnd w:id="507"/>
            <w:r w:rsidRPr="001B6E4D">
              <w:rPr>
                <w:rFonts w:ascii="標楷體" w:eastAsia="標楷體" w:hAnsi="標楷體"/>
              </w:rPr>
              <w:t xml:space="preserve"> </w:t>
            </w:r>
          </w:p>
        </w:tc>
        <w:tc>
          <w:tcPr>
            <w:tcW w:w="992" w:type="dxa"/>
          </w:tcPr>
          <w:p w14:paraId="20AD7193"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7,524 </w:t>
            </w:r>
          </w:p>
        </w:tc>
        <w:tc>
          <w:tcPr>
            <w:tcW w:w="993" w:type="dxa"/>
          </w:tcPr>
          <w:p w14:paraId="38EAD930" w14:textId="77777777" w:rsidR="00201B77" w:rsidRPr="001B6E4D" w:rsidRDefault="00201B77" w:rsidP="003D1018">
            <w:pPr>
              <w:overflowPunct w:val="0"/>
              <w:spacing w:line="280" w:lineRule="exact"/>
              <w:jc w:val="right"/>
              <w:rPr>
                <w:rFonts w:ascii="標楷體" w:eastAsia="標楷體" w:hAnsi="標楷體" w:cstheme="minorHAnsi"/>
                <w:b/>
                <w:sz w:val="22"/>
              </w:rPr>
            </w:pPr>
            <w:r w:rsidRPr="001B6E4D">
              <w:rPr>
                <w:rFonts w:ascii="標楷體" w:eastAsia="標楷體" w:hAnsi="標楷體"/>
              </w:rPr>
              <w:t>97.49%</w:t>
            </w:r>
          </w:p>
        </w:tc>
        <w:tc>
          <w:tcPr>
            <w:tcW w:w="1417" w:type="dxa"/>
            <w:shd w:val="clear" w:color="auto" w:fill="auto"/>
          </w:tcPr>
          <w:p w14:paraId="249AD68A"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194 </w:t>
            </w:r>
          </w:p>
        </w:tc>
        <w:tc>
          <w:tcPr>
            <w:tcW w:w="3827" w:type="dxa"/>
            <w:shd w:val="clear" w:color="auto" w:fill="auto"/>
          </w:tcPr>
          <w:p w14:paraId="63252646"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w:t>
            </w:r>
            <w:r w:rsidRPr="001B6E4D">
              <w:rPr>
                <w:rFonts w:ascii="標楷體" w:eastAsia="標楷體" w:hAnsi="標楷體" w:cstheme="minorHAnsi"/>
              </w:rPr>
              <w:t>8</w:t>
            </w:r>
            <w:r w:rsidRPr="001B6E4D">
              <w:rPr>
                <w:rFonts w:ascii="標楷體" w:eastAsia="標楷體" w:hAnsi="標楷體" w:cstheme="minorHAnsi" w:hint="eastAsia"/>
              </w:rPr>
              <w:t>項計畫、2</w:t>
            </w:r>
            <w:r w:rsidRPr="001B6E4D">
              <w:rPr>
                <w:rFonts w:ascii="標楷體" w:eastAsia="標楷體" w:hAnsi="標楷體" w:cstheme="minorHAnsi"/>
              </w:rPr>
              <w:t>78</w:t>
            </w:r>
            <w:r w:rsidRPr="001B6E4D">
              <w:rPr>
                <w:rFonts w:ascii="標楷體" w:eastAsia="標楷體" w:hAnsi="標楷體" w:cstheme="minorHAnsi" w:hint="eastAsia"/>
              </w:rPr>
              <w:t>人天、7</w:t>
            </w:r>
            <w:r w:rsidRPr="001B6E4D">
              <w:rPr>
                <w:rFonts w:ascii="標楷體" w:eastAsia="標楷體" w:hAnsi="標楷體" w:cstheme="minorHAnsi"/>
              </w:rPr>
              <w:t>,718</w:t>
            </w:r>
            <w:r w:rsidRPr="001B6E4D">
              <w:rPr>
                <w:rFonts w:ascii="標楷體" w:eastAsia="標楷體" w:hAnsi="標楷體" w:cstheme="minorHAnsi" w:hint="eastAsia"/>
              </w:rPr>
              <w:t>千元</w:t>
            </w:r>
          </w:p>
        </w:tc>
      </w:tr>
      <w:tr w:rsidR="00201B77" w:rsidRPr="001B6E4D" w14:paraId="7497298A" w14:textId="77777777" w:rsidTr="00F73480">
        <w:tc>
          <w:tcPr>
            <w:tcW w:w="836" w:type="dxa"/>
          </w:tcPr>
          <w:p w14:paraId="0E2F5AA1"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hint="eastAsia"/>
              </w:rPr>
              <w:t>115</w:t>
            </w:r>
          </w:p>
        </w:tc>
        <w:tc>
          <w:tcPr>
            <w:tcW w:w="992" w:type="dxa"/>
          </w:tcPr>
          <w:p w14:paraId="49B49BB1"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cstheme="minorHAnsi"/>
              </w:rPr>
              <w:t>20,031</w:t>
            </w:r>
          </w:p>
        </w:tc>
        <w:tc>
          <w:tcPr>
            <w:tcW w:w="992" w:type="dxa"/>
          </w:tcPr>
          <w:p w14:paraId="30C5C0E6" w14:textId="77777777" w:rsidR="00201B77" w:rsidRPr="001B6E4D" w:rsidRDefault="00201B77" w:rsidP="003D1018">
            <w:pPr>
              <w:overflowPunct w:val="0"/>
              <w:spacing w:line="280" w:lineRule="exact"/>
              <w:jc w:val="right"/>
              <w:rPr>
                <w:rFonts w:ascii="標楷體" w:eastAsia="標楷體" w:hAnsi="標楷體" w:cstheme="minorHAnsi"/>
              </w:rPr>
            </w:pPr>
          </w:p>
        </w:tc>
        <w:tc>
          <w:tcPr>
            <w:tcW w:w="993" w:type="dxa"/>
          </w:tcPr>
          <w:p w14:paraId="2D860B1A" w14:textId="77777777" w:rsidR="00201B77" w:rsidRPr="001B6E4D" w:rsidRDefault="00201B77" w:rsidP="003D1018">
            <w:pPr>
              <w:overflowPunct w:val="0"/>
              <w:spacing w:line="280" w:lineRule="exact"/>
              <w:jc w:val="right"/>
              <w:rPr>
                <w:rFonts w:ascii="標楷體" w:eastAsia="標楷體" w:hAnsi="標楷體" w:cstheme="minorHAnsi"/>
              </w:rPr>
            </w:pPr>
          </w:p>
        </w:tc>
        <w:tc>
          <w:tcPr>
            <w:tcW w:w="1417" w:type="dxa"/>
            <w:shd w:val="clear" w:color="auto" w:fill="auto"/>
          </w:tcPr>
          <w:p w14:paraId="0A64AC3B" w14:textId="77777777" w:rsidR="00201B77" w:rsidRPr="001B6E4D" w:rsidRDefault="00201B77" w:rsidP="003D1018">
            <w:pPr>
              <w:overflowPunct w:val="0"/>
              <w:spacing w:line="280" w:lineRule="exact"/>
              <w:jc w:val="right"/>
              <w:rPr>
                <w:rFonts w:ascii="標楷體" w:eastAsia="標楷體" w:hAnsi="標楷體" w:cstheme="minorHAnsi"/>
              </w:rPr>
            </w:pPr>
          </w:p>
        </w:tc>
        <w:tc>
          <w:tcPr>
            <w:tcW w:w="3827" w:type="dxa"/>
            <w:shd w:val="clear" w:color="auto" w:fill="auto"/>
          </w:tcPr>
          <w:p w14:paraId="5330075C" w14:textId="77777777" w:rsidR="00201B77" w:rsidRPr="001B6E4D" w:rsidRDefault="00201B77" w:rsidP="003D1018">
            <w:pPr>
              <w:overflowPunct w:val="0"/>
              <w:spacing w:line="280" w:lineRule="exact"/>
              <w:jc w:val="center"/>
              <w:rPr>
                <w:rFonts w:ascii="標楷體" w:eastAsia="標楷體" w:hAnsi="標楷體" w:cstheme="minorHAnsi"/>
                <w:spacing w:val="-4"/>
                <w:sz w:val="16"/>
                <w:szCs w:val="16"/>
              </w:rPr>
            </w:pPr>
            <w:r w:rsidRPr="001B6E4D">
              <w:rPr>
                <w:rFonts w:ascii="標楷體" w:eastAsia="標楷體" w:hAnsi="標楷體" w:cstheme="minorHAnsi" w:hint="eastAsia"/>
                <w:spacing w:val="-4"/>
              </w:rPr>
              <w:t>2</w:t>
            </w:r>
            <w:r w:rsidRPr="001B6E4D">
              <w:rPr>
                <w:rFonts w:ascii="標楷體" w:eastAsia="標楷體" w:hAnsi="標楷體" w:cstheme="minorHAnsi"/>
                <w:spacing w:val="-4"/>
              </w:rPr>
              <w:t>6</w:t>
            </w:r>
            <w:r w:rsidRPr="001B6E4D">
              <w:rPr>
                <w:rFonts w:ascii="標楷體" w:eastAsia="標楷體" w:hAnsi="標楷體" w:cstheme="minorHAnsi" w:hint="eastAsia"/>
                <w:spacing w:val="-4"/>
              </w:rPr>
              <w:t>項計畫、6</w:t>
            </w:r>
            <w:r w:rsidRPr="001B6E4D">
              <w:rPr>
                <w:rFonts w:ascii="標楷體" w:eastAsia="標楷體" w:hAnsi="標楷體" w:cstheme="minorHAnsi"/>
                <w:spacing w:val="-4"/>
              </w:rPr>
              <w:t>23</w:t>
            </w:r>
            <w:r w:rsidRPr="001B6E4D">
              <w:rPr>
                <w:rFonts w:ascii="標楷體" w:eastAsia="標楷體" w:hAnsi="標楷體" w:cstheme="minorHAnsi" w:hint="eastAsia"/>
                <w:spacing w:val="-4"/>
              </w:rPr>
              <w:t>人天、2</w:t>
            </w:r>
            <w:r w:rsidRPr="001B6E4D">
              <w:rPr>
                <w:rFonts w:ascii="標楷體" w:eastAsia="標楷體" w:hAnsi="標楷體" w:cstheme="minorHAnsi"/>
                <w:spacing w:val="-4"/>
              </w:rPr>
              <w:t>0,031</w:t>
            </w:r>
            <w:r w:rsidRPr="001B6E4D">
              <w:rPr>
                <w:rFonts w:ascii="標楷體" w:eastAsia="標楷體" w:hAnsi="標楷體" w:cstheme="minorHAnsi" w:hint="eastAsia"/>
                <w:spacing w:val="-4"/>
              </w:rPr>
              <w:t>千元</w:t>
            </w:r>
          </w:p>
        </w:tc>
      </w:tr>
    </w:tbl>
    <w:bookmarkEnd w:id="506"/>
    <w:p w14:paraId="66217A28" w14:textId="77777777" w:rsidR="00201B77" w:rsidRPr="001B6E4D" w:rsidRDefault="00201B77" w:rsidP="003D1018">
      <w:pPr>
        <w:pStyle w:val="1f7"/>
        <w:overflowPunct w:val="0"/>
      </w:pPr>
      <w:r w:rsidRPr="001B6E4D">
        <w:rPr>
          <w:rFonts w:hint="eastAsia"/>
        </w:rPr>
        <w:t>國外旅費暴增1</w:t>
      </w:r>
      <w:r w:rsidRPr="001B6E4D">
        <w:t>.6</w:t>
      </w:r>
      <w:r w:rsidRPr="001B6E4D">
        <w:rPr>
          <w:rFonts w:hint="eastAsia"/>
        </w:rPr>
        <w:t>倍，將備註欄的年度計畫數、人天數與預算數加以分析單價，結果如下表：</w:t>
      </w:r>
    </w:p>
    <w:tbl>
      <w:tblPr>
        <w:tblpPr w:leftFromText="180" w:rightFromText="180" w:vertAnchor="text" w:horzAnchor="margin" w:tblpY="194"/>
        <w:tblW w:w="905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36"/>
        <w:gridCol w:w="1086"/>
        <w:gridCol w:w="1087"/>
        <w:gridCol w:w="1087"/>
        <w:gridCol w:w="2480"/>
        <w:gridCol w:w="2481"/>
      </w:tblGrid>
      <w:tr w:rsidR="00201B77" w:rsidRPr="001B6E4D" w14:paraId="2EB99E02" w14:textId="77777777" w:rsidTr="00E86EF7">
        <w:trPr>
          <w:tblHeader/>
        </w:trPr>
        <w:tc>
          <w:tcPr>
            <w:tcW w:w="9057" w:type="dxa"/>
            <w:gridSpan w:val="6"/>
          </w:tcPr>
          <w:p w14:paraId="2D584772" w14:textId="77777777" w:rsidR="00201B77" w:rsidRPr="001B6E4D" w:rsidRDefault="00201B77" w:rsidP="003D1018">
            <w:pPr>
              <w:overflowPunct w:val="0"/>
              <w:spacing w:line="280" w:lineRule="exact"/>
              <w:jc w:val="center"/>
              <w:rPr>
                <w:rFonts w:ascii="標楷體" w:eastAsia="標楷體" w:hAnsi="標楷體" w:cstheme="minorHAnsi"/>
                <w:b/>
                <w:bCs/>
              </w:rPr>
            </w:pPr>
            <w:r w:rsidRPr="001B6E4D">
              <w:rPr>
                <w:rFonts w:ascii="標楷體" w:eastAsia="標楷體" w:hAnsi="標楷體" w:cstheme="minorHAnsi" w:hint="eastAsia"/>
                <w:b/>
                <w:bCs/>
              </w:rPr>
              <w:t xml:space="preserve">年度國外旅費分析       </w:t>
            </w:r>
            <w:r w:rsidRPr="001B6E4D">
              <w:rPr>
                <w:rFonts w:ascii="標楷體" w:eastAsia="標楷體" w:hAnsi="標楷體" w:cstheme="minorHAnsi" w:hint="eastAsia"/>
                <w:b/>
                <w:bCs/>
                <w:sz w:val="20"/>
                <w:szCs w:val="20"/>
              </w:rPr>
              <w:t>單位：千元</w:t>
            </w:r>
          </w:p>
        </w:tc>
      </w:tr>
      <w:tr w:rsidR="00201B77" w:rsidRPr="001B6E4D" w14:paraId="025D2C02" w14:textId="77777777" w:rsidTr="00E86EF7">
        <w:trPr>
          <w:tblHeader/>
        </w:trPr>
        <w:tc>
          <w:tcPr>
            <w:tcW w:w="836" w:type="dxa"/>
          </w:tcPr>
          <w:p w14:paraId="21EF720B"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p>
        </w:tc>
        <w:tc>
          <w:tcPr>
            <w:tcW w:w="1086" w:type="dxa"/>
          </w:tcPr>
          <w:p w14:paraId="79F6D620"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sz w:val="20"/>
                <w:szCs w:val="20"/>
              </w:rPr>
              <w:t>計畫數</w:t>
            </w:r>
          </w:p>
        </w:tc>
        <w:tc>
          <w:tcPr>
            <w:tcW w:w="1087" w:type="dxa"/>
          </w:tcPr>
          <w:p w14:paraId="0D818A6E"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sz w:val="20"/>
                <w:szCs w:val="20"/>
              </w:rPr>
              <w:t>人天數</w:t>
            </w:r>
          </w:p>
        </w:tc>
        <w:tc>
          <w:tcPr>
            <w:tcW w:w="1087" w:type="dxa"/>
          </w:tcPr>
          <w:p w14:paraId="3DA85ABA"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sz w:val="20"/>
                <w:szCs w:val="20"/>
              </w:rPr>
              <w:t>預算</w:t>
            </w:r>
          </w:p>
        </w:tc>
        <w:tc>
          <w:tcPr>
            <w:tcW w:w="2480" w:type="dxa"/>
            <w:shd w:val="clear" w:color="auto" w:fill="auto"/>
          </w:tcPr>
          <w:p w14:paraId="7EAD7752"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sz w:val="20"/>
                <w:szCs w:val="20"/>
              </w:rPr>
              <w:t>每項計畫費用</w:t>
            </w:r>
          </w:p>
        </w:tc>
        <w:tc>
          <w:tcPr>
            <w:tcW w:w="2481" w:type="dxa"/>
            <w:shd w:val="clear" w:color="auto" w:fill="auto"/>
          </w:tcPr>
          <w:p w14:paraId="5FC77840" w14:textId="77777777" w:rsidR="00201B77" w:rsidRPr="001B6E4D" w:rsidRDefault="00201B77" w:rsidP="003D1018">
            <w:pPr>
              <w:overflowPunct w:val="0"/>
              <w:spacing w:line="280" w:lineRule="exact"/>
              <w:jc w:val="center"/>
              <w:rPr>
                <w:rFonts w:ascii="標楷體" w:eastAsia="標楷體" w:hAnsi="標楷體" w:cstheme="minorHAnsi"/>
                <w:b/>
                <w:sz w:val="20"/>
                <w:szCs w:val="20"/>
              </w:rPr>
            </w:pPr>
            <w:r w:rsidRPr="001B6E4D">
              <w:rPr>
                <w:rFonts w:ascii="標楷體" w:eastAsia="標楷體" w:hAnsi="標楷體" w:hint="eastAsia"/>
                <w:sz w:val="20"/>
                <w:szCs w:val="20"/>
              </w:rPr>
              <w:t>每人天費用</w:t>
            </w:r>
          </w:p>
        </w:tc>
      </w:tr>
      <w:tr w:rsidR="00201B77" w:rsidRPr="001B6E4D" w14:paraId="114B11E5" w14:textId="77777777" w:rsidTr="00E86EF7">
        <w:tc>
          <w:tcPr>
            <w:tcW w:w="836" w:type="dxa"/>
          </w:tcPr>
          <w:p w14:paraId="4B6E0CC3"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112</w:t>
            </w:r>
          </w:p>
        </w:tc>
        <w:tc>
          <w:tcPr>
            <w:tcW w:w="1086" w:type="dxa"/>
          </w:tcPr>
          <w:p w14:paraId="57EC6BFC"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23</w:t>
            </w:r>
          </w:p>
        </w:tc>
        <w:tc>
          <w:tcPr>
            <w:tcW w:w="1087" w:type="dxa"/>
          </w:tcPr>
          <w:p w14:paraId="23F7768B" w14:textId="77777777" w:rsidR="00201B77" w:rsidRPr="001B6E4D" w:rsidRDefault="00201B77" w:rsidP="003D1018">
            <w:pPr>
              <w:overflowPunct w:val="0"/>
              <w:spacing w:line="280" w:lineRule="exact"/>
              <w:jc w:val="center"/>
              <w:rPr>
                <w:rFonts w:ascii="標楷體" w:eastAsia="標楷體" w:hAnsi="標楷體" w:cstheme="minorHAnsi"/>
                <w:b/>
              </w:rPr>
            </w:pPr>
            <w:r w:rsidRPr="001B6E4D">
              <w:rPr>
                <w:rFonts w:ascii="標楷體" w:eastAsia="標楷體" w:hAnsi="標楷體"/>
              </w:rPr>
              <w:t>382</w:t>
            </w:r>
          </w:p>
        </w:tc>
        <w:tc>
          <w:tcPr>
            <w:tcW w:w="1087" w:type="dxa"/>
          </w:tcPr>
          <w:p w14:paraId="678B7DB9" w14:textId="77777777" w:rsidR="00201B77" w:rsidRPr="001B6E4D" w:rsidRDefault="00201B77" w:rsidP="003D1018">
            <w:pPr>
              <w:overflowPunct w:val="0"/>
              <w:spacing w:line="280" w:lineRule="exact"/>
              <w:jc w:val="right"/>
              <w:rPr>
                <w:rFonts w:ascii="標楷體" w:eastAsia="標楷體" w:hAnsi="標楷體" w:cstheme="minorHAnsi"/>
                <w:b/>
                <w:sz w:val="20"/>
                <w:szCs w:val="20"/>
              </w:rPr>
            </w:pPr>
            <w:r w:rsidRPr="001B6E4D">
              <w:rPr>
                <w:rFonts w:ascii="標楷體" w:eastAsia="標楷體" w:hAnsi="標楷體"/>
              </w:rPr>
              <w:t xml:space="preserve">7,033 </w:t>
            </w:r>
          </w:p>
        </w:tc>
        <w:tc>
          <w:tcPr>
            <w:tcW w:w="2480" w:type="dxa"/>
            <w:shd w:val="clear" w:color="auto" w:fill="auto"/>
          </w:tcPr>
          <w:p w14:paraId="6D630A21"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306</w:t>
            </w:r>
          </w:p>
        </w:tc>
        <w:tc>
          <w:tcPr>
            <w:tcW w:w="2481" w:type="dxa"/>
            <w:shd w:val="clear" w:color="auto" w:fill="auto"/>
          </w:tcPr>
          <w:p w14:paraId="0B8891B9"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 xml:space="preserve">18.41 </w:t>
            </w:r>
          </w:p>
        </w:tc>
      </w:tr>
      <w:tr w:rsidR="00201B77" w:rsidRPr="001B6E4D" w14:paraId="522809C2" w14:textId="77777777" w:rsidTr="00E86EF7">
        <w:tc>
          <w:tcPr>
            <w:tcW w:w="836" w:type="dxa"/>
          </w:tcPr>
          <w:p w14:paraId="07FA2DB3"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113</w:t>
            </w:r>
          </w:p>
        </w:tc>
        <w:tc>
          <w:tcPr>
            <w:tcW w:w="1086" w:type="dxa"/>
          </w:tcPr>
          <w:p w14:paraId="23B7E5A6"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24</w:t>
            </w:r>
          </w:p>
        </w:tc>
        <w:tc>
          <w:tcPr>
            <w:tcW w:w="1087" w:type="dxa"/>
          </w:tcPr>
          <w:p w14:paraId="60F1DEEE"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314</w:t>
            </w:r>
          </w:p>
        </w:tc>
        <w:tc>
          <w:tcPr>
            <w:tcW w:w="1087" w:type="dxa"/>
          </w:tcPr>
          <w:p w14:paraId="3A023132" w14:textId="77777777" w:rsidR="00201B77" w:rsidRPr="001B6E4D" w:rsidRDefault="00201B77" w:rsidP="003D1018">
            <w:pPr>
              <w:overflowPunct w:val="0"/>
              <w:spacing w:line="280" w:lineRule="exact"/>
              <w:jc w:val="right"/>
              <w:rPr>
                <w:rFonts w:ascii="標楷體" w:eastAsia="標楷體" w:hAnsi="標楷體" w:cstheme="minorHAnsi"/>
                <w:sz w:val="20"/>
                <w:szCs w:val="20"/>
              </w:rPr>
            </w:pPr>
            <w:r w:rsidRPr="001B6E4D">
              <w:rPr>
                <w:rFonts w:ascii="標楷體" w:eastAsia="標楷體" w:hAnsi="標楷體"/>
              </w:rPr>
              <w:t xml:space="preserve">7,033 </w:t>
            </w:r>
          </w:p>
        </w:tc>
        <w:tc>
          <w:tcPr>
            <w:tcW w:w="2480" w:type="dxa"/>
            <w:shd w:val="clear" w:color="auto" w:fill="auto"/>
          </w:tcPr>
          <w:p w14:paraId="012611C0"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293</w:t>
            </w:r>
          </w:p>
        </w:tc>
        <w:tc>
          <w:tcPr>
            <w:tcW w:w="2481" w:type="dxa"/>
            <w:shd w:val="clear" w:color="auto" w:fill="auto"/>
          </w:tcPr>
          <w:p w14:paraId="2C83AA46"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 xml:space="preserve">22.40 </w:t>
            </w:r>
          </w:p>
        </w:tc>
      </w:tr>
      <w:tr w:rsidR="00201B77" w:rsidRPr="001B6E4D" w14:paraId="694A6159" w14:textId="77777777" w:rsidTr="00E86EF7">
        <w:tc>
          <w:tcPr>
            <w:tcW w:w="836" w:type="dxa"/>
          </w:tcPr>
          <w:p w14:paraId="650B4402"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114</w:t>
            </w:r>
          </w:p>
        </w:tc>
        <w:tc>
          <w:tcPr>
            <w:tcW w:w="1086" w:type="dxa"/>
          </w:tcPr>
          <w:p w14:paraId="7C3CF1DD"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18</w:t>
            </w:r>
          </w:p>
        </w:tc>
        <w:tc>
          <w:tcPr>
            <w:tcW w:w="1087" w:type="dxa"/>
          </w:tcPr>
          <w:p w14:paraId="4917B621"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278</w:t>
            </w:r>
          </w:p>
        </w:tc>
        <w:tc>
          <w:tcPr>
            <w:tcW w:w="1087" w:type="dxa"/>
          </w:tcPr>
          <w:p w14:paraId="2DB2D9CB" w14:textId="77777777" w:rsidR="00201B77" w:rsidRPr="001B6E4D" w:rsidRDefault="00201B77" w:rsidP="003D1018">
            <w:pPr>
              <w:overflowPunct w:val="0"/>
              <w:spacing w:line="280" w:lineRule="exact"/>
              <w:jc w:val="right"/>
              <w:rPr>
                <w:rFonts w:ascii="標楷體" w:eastAsia="標楷體" w:hAnsi="標楷體" w:cstheme="minorHAnsi"/>
                <w:b/>
                <w:sz w:val="22"/>
              </w:rPr>
            </w:pPr>
            <w:r w:rsidRPr="001B6E4D">
              <w:rPr>
                <w:rFonts w:ascii="標楷體" w:eastAsia="標楷體" w:hAnsi="標楷體"/>
              </w:rPr>
              <w:t xml:space="preserve">7,718 </w:t>
            </w:r>
          </w:p>
        </w:tc>
        <w:tc>
          <w:tcPr>
            <w:tcW w:w="2480" w:type="dxa"/>
            <w:shd w:val="clear" w:color="auto" w:fill="auto"/>
          </w:tcPr>
          <w:p w14:paraId="415A175D"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429</w:t>
            </w:r>
          </w:p>
        </w:tc>
        <w:tc>
          <w:tcPr>
            <w:tcW w:w="2481" w:type="dxa"/>
            <w:shd w:val="clear" w:color="auto" w:fill="auto"/>
          </w:tcPr>
          <w:p w14:paraId="383F23BA"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 xml:space="preserve">27.76 </w:t>
            </w:r>
          </w:p>
        </w:tc>
      </w:tr>
      <w:tr w:rsidR="00201B77" w:rsidRPr="001B6E4D" w14:paraId="0BEFE759" w14:textId="77777777" w:rsidTr="00E86EF7">
        <w:tc>
          <w:tcPr>
            <w:tcW w:w="836" w:type="dxa"/>
          </w:tcPr>
          <w:p w14:paraId="658577CF"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115</w:t>
            </w:r>
          </w:p>
        </w:tc>
        <w:tc>
          <w:tcPr>
            <w:tcW w:w="1086" w:type="dxa"/>
          </w:tcPr>
          <w:p w14:paraId="4C52304B"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26</w:t>
            </w:r>
          </w:p>
        </w:tc>
        <w:tc>
          <w:tcPr>
            <w:tcW w:w="1087" w:type="dxa"/>
          </w:tcPr>
          <w:p w14:paraId="08137CE6"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623</w:t>
            </w:r>
          </w:p>
        </w:tc>
        <w:tc>
          <w:tcPr>
            <w:tcW w:w="1087" w:type="dxa"/>
          </w:tcPr>
          <w:p w14:paraId="6EAB3A40" w14:textId="77777777" w:rsidR="00201B77" w:rsidRPr="001B6E4D" w:rsidRDefault="00201B77" w:rsidP="003D1018">
            <w:pPr>
              <w:overflowPunct w:val="0"/>
              <w:spacing w:line="280" w:lineRule="exact"/>
              <w:jc w:val="right"/>
              <w:rPr>
                <w:rFonts w:ascii="標楷體" w:eastAsia="標楷體" w:hAnsi="標楷體" w:cstheme="minorHAnsi"/>
              </w:rPr>
            </w:pPr>
            <w:r w:rsidRPr="001B6E4D">
              <w:rPr>
                <w:rFonts w:ascii="標楷體" w:eastAsia="標楷體" w:hAnsi="標楷體"/>
              </w:rPr>
              <w:t xml:space="preserve">20,031 </w:t>
            </w:r>
          </w:p>
        </w:tc>
        <w:tc>
          <w:tcPr>
            <w:tcW w:w="2480" w:type="dxa"/>
            <w:shd w:val="clear" w:color="auto" w:fill="auto"/>
          </w:tcPr>
          <w:p w14:paraId="39E69A05" w14:textId="77777777" w:rsidR="00201B77" w:rsidRPr="001B6E4D" w:rsidRDefault="00201B77" w:rsidP="003D1018">
            <w:pPr>
              <w:overflowPunct w:val="0"/>
              <w:spacing w:line="280" w:lineRule="exact"/>
              <w:jc w:val="center"/>
              <w:rPr>
                <w:rFonts w:ascii="標楷體" w:eastAsia="標楷體" w:hAnsi="標楷體" w:cstheme="minorHAnsi"/>
              </w:rPr>
            </w:pPr>
            <w:r w:rsidRPr="001B6E4D">
              <w:rPr>
                <w:rFonts w:ascii="標楷體" w:eastAsia="標楷體" w:hAnsi="標楷體"/>
              </w:rPr>
              <w:t>770</w:t>
            </w:r>
          </w:p>
        </w:tc>
        <w:tc>
          <w:tcPr>
            <w:tcW w:w="2481" w:type="dxa"/>
            <w:shd w:val="clear" w:color="auto" w:fill="auto"/>
          </w:tcPr>
          <w:p w14:paraId="5EAF7387" w14:textId="77777777" w:rsidR="00201B77" w:rsidRPr="001B6E4D" w:rsidRDefault="00201B77" w:rsidP="003D1018">
            <w:pPr>
              <w:overflowPunct w:val="0"/>
              <w:spacing w:line="280" w:lineRule="exact"/>
              <w:jc w:val="center"/>
              <w:rPr>
                <w:rFonts w:ascii="標楷體" w:eastAsia="標楷體" w:hAnsi="標楷體" w:cstheme="minorHAnsi"/>
                <w:sz w:val="16"/>
                <w:szCs w:val="16"/>
              </w:rPr>
            </w:pPr>
            <w:r w:rsidRPr="001B6E4D">
              <w:rPr>
                <w:rFonts w:ascii="標楷體" w:eastAsia="標楷體" w:hAnsi="標楷體"/>
              </w:rPr>
              <w:t xml:space="preserve">32.15 </w:t>
            </w:r>
          </w:p>
        </w:tc>
      </w:tr>
    </w:tbl>
    <w:p w14:paraId="0D8B0AFD" w14:textId="77777777" w:rsidR="00201B77" w:rsidRPr="001B6E4D" w:rsidRDefault="00201B77" w:rsidP="003D1018">
      <w:pPr>
        <w:pStyle w:val="1f7"/>
        <w:overflowPunct w:val="0"/>
      </w:pPr>
      <w:proofErr w:type="gramStart"/>
      <w:r w:rsidRPr="001B6E4D">
        <w:rPr>
          <w:rFonts w:hint="eastAsia"/>
        </w:rPr>
        <w:t>1</w:t>
      </w:r>
      <w:r w:rsidRPr="001B6E4D">
        <w:t>15</w:t>
      </w:r>
      <w:proofErr w:type="gramEnd"/>
      <w:r w:rsidRPr="001B6E4D">
        <w:rPr>
          <w:rFonts w:hint="eastAsia"/>
        </w:rPr>
        <w:t>年度每項計畫平均費用已高達7</w:t>
      </w:r>
      <w:r w:rsidRPr="001B6E4D">
        <w:t>70</w:t>
      </w:r>
      <w:r w:rsidRPr="001B6E4D">
        <w:rPr>
          <w:rFonts w:hint="eastAsia"/>
        </w:rPr>
        <w:t>千元，而每人天費用也高達3</w:t>
      </w:r>
      <w:r w:rsidRPr="001B6E4D">
        <w:t>2.15</w:t>
      </w:r>
      <w:r w:rsidRPr="001B6E4D">
        <w:rPr>
          <w:rFonts w:hint="eastAsia"/>
        </w:rPr>
        <w:t>千元。顯見1</w:t>
      </w:r>
      <w:r w:rsidRPr="001B6E4D">
        <w:t>15</w:t>
      </w:r>
      <w:r w:rsidRPr="001B6E4D">
        <w:rPr>
          <w:rFonts w:hint="eastAsia"/>
        </w:rPr>
        <w:t>年國安會所編列之「國外旅費」確有不尋常之處，有加以說明之必要。</w:t>
      </w:r>
    </w:p>
    <w:p w14:paraId="2A315498" w14:textId="77777777" w:rsidR="00201B77" w:rsidRPr="001B6E4D" w:rsidRDefault="00201B77" w:rsidP="003D1018">
      <w:pPr>
        <w:pStyle w:val="1f7"/>
        <w:overflowPunct w:val="0"/>
      </w:pPr>
      <w:r w:rsidRPr="001B6E4D">
        <w:rPr>
          <w:rFonts w:hint="eastAsia"/>
        </w:rPr>
        <w:lastRenderedPageBreak/>
        <w:t>惟國安會</w:t>
      </w:r>
      <w:proofErr w:type="gramStart"/>
      <w:r w:rsidRPr="001B6E4D">
        <w:rPr>
          <w:rFonts w:hint="eastAsia"/>
        </w:rPr>
        <w:t>115</w:t>
      </w:r>
      <w:proofErr w:type="gramEnd"/>
      <w:r w:rsidRPr="001B6E4D">
        <w:rPr>
          <w:rFonts w:hint="eastAsia"/>
        </w:rPr>
        <w:t>年度預算案仍編列「國外旅費」</w:t>
      </w:r>
      <w:r w:rsidRPr="001B6E4D">
        <w:t>20,031</w:t>
      </w:r>
      <w:r w:rsidRPr="001B6E4D">
        <w:rPr>
          <w:rFonts w:hint="eastAsia"/>
        </w:rPr>
        <w:t>千元，與114年法定預算相比，增列1,231萬元，增加幅度高達159.54%，也就是原來的1.6倍！為兌現賴總統對美方的承諾，且為配合國防支出大幅增加之影響而必須</w:t>
      </w:r>
      <w:proofErr w:type="gramStart"/>
      <w:r w:rsidRPr="001B6E4D">
        <w:rPr>
          <w:rFonts w:hint="eastAsia"/>
        </w:rPr>
        <w:t>撙</w:t>
      </w:r>
      <w:proofErr w:type="gramEnd"/>
      <w:r w:rsidRPr="001B6E4D">
        <w:rPr>
          <w:rFonts w:hint="eastAsia"/>
        </w:rPr>
        <w:t>節經費，</w:t>
      </w:r>
      <w:proofErr w:type="gramStart"/>
      <w:r w:rsidRPr="001B6E4D">
        <w:rPr>
          <w:rFonts w:hint="eastAsia"/>
          <w:b/>
          <w:u w:val="thick"/>
        </w:rPr>
        <w:t>爰</w:t>
      </w:r>
      <w:proofErr w:type="gramEnd"/>
      <w:r w:rsidRPr="001B6E4D">
        <w:rPr>
          <w:rFonts w:hint="eastAsia"/>
          <w:b/>
          <w:u w:val="thick"/>
        </w:rPr>
        <w:t>提案減列1</w:t>
      </w:r>
      <w:r w:rsidRPr="001B6E4D">
        <w:rPr>
          <w:b/>
          <w:u w:val="thick"/>
        </w:rPr>
        <w:t>,20</w:t>
      </w:r>
      <w:r w:rsidRPr="001B6E4D">
        <w:rPr>
          <w:rFonts w:hint="eastAsia"/>
          <w:b/>
          <w:u w:val="thick"/>
        </w:rPr>
        <w:t>0萬元整並凍結</w:t>
      </w:r>
      <w:proofErr w:type="gramStart"/>
      <w:r w:rsidRPr="001B6E4D">
        <w:rPr>
          <w:rFonts w:hint="eastAsia"/>
          <w:b/>
          <w:u w:val="thick"/>
        </w:rPr>
        <w:t>1成</w:t>
      </w:r>
      <w:proofErr w:type="gramEnd"/>
      <w:r w:rsidRPr="001B6E4D">
        <w:rPr>
          <w:rFonts w:hint="eastAsia"/>
          <w:b/>
          <w:u w:val="thick"/>
        </w:rPr>
        <w:t>且不得</w:t>
      </w:r>
      <w:proofErr w:type="gramStart"/>
      <w:r w:rsidRPr="001B6E4D">
        <w:rPr>
          <w:rFonts w:hint="eastAsia"/>
          <w:b/>
          <w:u w:val="thick"/>
        </w:rPr>
        <w:t>流用勻支</w:t>
      </w:r>
      <w:proofErr w:type="gramEnd"/>
      <w:r w:rsidRPr="001B6E4D">
        <w:rPr>
          <w:rFonts w:hint="eastAsia"/>
        </w:rPr>
        <w:t>，以避免有限之財政資源閒置與浪費。</w:t>
      </w:r>
      <w:proofErr w:type="gramStart"/>
      <w:r w:rsidRPr="001B6E4D">
        <w:rPr>
          <w:rFonts w:hint="eastAsia"/>
        </w:rPr>
        <w:t>俟</w:t>
      </w:r>
      <w:proofErr w:type="gramEnd"/>
      <w:r w:rsidRPr="001B6E4D">
        <w:rPr>
          <w:rFonts w:hint="eastAsia"/>
        </w:rPr>
        <w:t>國安會於二個月內向立法院司法及法制委員會提交書面報告，經同意後始得動支。</w:t>
      </w:r>
      <w:r w:rsidRPr="001B6E4D">
        <w:t>【</w:t>
      </w:r>
      <w:r w:rsidRPr="001B6E4D">
        <w:rPr>
          <w:rFonts w:hint="eastAsia"/>
        </w:rPr>
        <w:t>42</w:t>
      </w:r>
      <w:r w:rsidRPr="001B6E4D">
        <w:t>】</w:t>
      </w:r>
    </w:p>
    <w:p w14:paraId="4187060A" w14:textId="77777777" w:rsidR="00201B77" w:rsidRPr="001B6E4D" w:rsidRDefault="00201B77" w:rsidP="003D1018">
      <w:pPr>
        <w:pStyle w:val="2fb"/>
        <w:overflowPunct w:val="0"/>
      </w:pPr>
      <w:r w:rsidRPr="001B6E4D">
        <w:t>提案人：翁曉玲</w:t>
      </w:r>
    </w:p>
    <w:p w14:paraId="73FF77A9" w14:textId="77777777" w:rsidR="00201B77" w:rsidRPr="001B6E4D" w:rsidRDefault="00201B77" w:rsidP="003D1018">
      <w:pPr>
        <w:pStyle w:val="2fb"/>
        <w:overflowPunct w:val="0"/>
      </w:pPr>
      <w:r w:rsidRPr="001B6E4D">
        <w:t>連署人：許宇</w:t>
      </w:r>
      <w:proofErr w:type="gramStart"/>
      <w:r w:rsidRPr="001B6E4D">
        <w:t>甄</w:t>
      </w:r>
      <w:proofErr w:type="gramEnd"/>
      <w:r w:rsidRPr="001B6E4D">
        <w:t xml:space="preserve">　林倩綺</w:t>
      </w:r>
    </w:p>
    <w:p w14:paraId="2A9E79EB" w14:textId="77777777" w:rsidR="00201B77" w:rsidRPr="001B6E4D" w:rsidRDefault="00201B77"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sz w:val="28"/>
          <w:szCs w:val="28"/>
        </w:rPr>
        <w:t>本項通過決議</w:t>
      </w:r>
      <w:r w:rsidRPr="001B6E4D">
        <w:rPr>
          <w:rFonts w:ascii="標楷體" w:eastAsia="標楷體" w:hAnsi="標楷體" w:hint="eastAsia"/>
          <w:b/>
          <w:sz w:val="28"/>
          <w:szCs w:val="28"/>
        </w:rPr>
        <w:t>4</w:t>
      </w:r>
      <w:r w:rsidRPr="001B6E4D">
        <w:rPr>
          <w:rFonts w:ascii="標楷體" w:eastAsia="標楷體" w:hAnsi="標楷體"/>
          <w:b/>
          <w:sz w:val="28"/>
          <w:szCs w:val="28"/>
        </w:rPr>
        <w:t>項：</w:t>
      </w:r>
    </w:p>
    <w:p w14:paraId="1CB7F906" w14:textId="77777777" w:rsidR="00201B77" w:rsidRPr="001B6E4D" w:rsidRDefault="00201B77" w:rsidP="003D1018">
      <w:pPr>
        <w:pStyle w:val="a"/>
        <w:numPr>
          <w:ilvl w:val="0"/>
          <w:numId w:val="64"/>
        </w:numPr>
        <w:overflowPunct w:val="0"/>
        <w:ind w:left="924" w:hanging="567"/>
      </w:pPr>
      <w:proofErr w:type="gramStart"/>
      <w:r w:rsidRPr="001B6E4D">
        <w:t>115</w:t>
      </w:r>
      <w:proofErr w:type="gramEnd"/>
      <w:r w:rsidRPr="001B6E4D">
        <w:t>年度國家安全會議歲出預算「</w:t>
      </w:r>
      <w:r w:rsidRPr="001B6E4D">
        <w:rPr>
          <w:rFonts w:hint="eastAsia"/>
        </w:rPr>
        <w:t>人事費</w:t>
      </w:r>
      <w:r w:rsidRPr="001B6E4D">
        <w:t>」</w:t>
      </w:r>
      <w:r w:rsidRPr="001B6E4D">
        <w:rPr>
          <w:rFonts w:hint="eastAsia"/>
        </w:rPr>
        <w:t>項下「約聘僱人員待遇」</w:t>
      </w:r>
      <w:r w:rsidRPr="001B6E4D">
        <w:t>編列</w:t>
      </w:r>
      <w:r w:rsidRPr="001B6E4D">
        <w:rPr>
          <w:rFonts w:hint="eastAsia"/>
        </w:rPr>
        <w:t>662</w:t>
      </w:r>
      <w:r w:rsidRPr="001B6E4D">
        <w:t>萬</w:t>
      </w:r>
      <w:r w:rsidRPr="001B6E4D">
        <w:rPr>
          <w:rFonts w:hint="eastAsia"/>
        </w:rPr>
        <w:t>2</w:t>
      </w:r>
      <w:r w:rsidRPr="001B6E4D">
        <w:t>千</w:t>
      </w:r>
      <w:r w:rsidRPr="001B6E4D">
        <w:rPr>
          <w:rFonts w:hint="eastAsia"/>
        </w:rPr>
        <w:t>元</w:t>
      </w:r>
      <w:r w:rsidRPr="001B6E4D">
        <w:t>，凍結</w:t>
      </w:r>
      <w:r w:rsidRPr="001B6E4D">
        <w:rPr>
          <w:rFonts w:hint="eastAsia"/>
        </w:rPr>
        <w:t>66</w:t>
      </w:r>
      <w:r w:rsidRPr="001B6E4D">
        <w:t>萬</w:t>
      </w:r>
      <w:r w:rsidRPr="001B6E4D">
        <w:rPr>
          <w:rFonts w:hint="eastAsia"/>
        </w:rPr>
        <w:t>2千</w:t>
      </w:r>
      <w:r w:rsidRPr="001B6E4D">
        <w:t>元，</w:t>
      </w:r>
      <w:proofErr w:type="gramStart"/>
      <w:r w:rsidRPr="001B6E4D">
        <w:t>俟</w:t>
      </w:r>
      <w:proofErr w:type="gramEnd"/>
      <w:r w:rsidRPr="001B6E4D">
        <w:t>向立法院司法及法制委員會提出書面報告後，始得動支。【</w:t>
      </w:r>
      <w:r w:rsidRPr="001B6E4D">
        <w:rPr>
          <w:rFonts w:hint="eastAsia"/>
        </w:rPr>
        <w:t>30</w:t>
      </w:r>
      <w:r w:rsidRPr="001B6E4D">
        <w:t>】</w:t>
      </w:r>
    </w:p>
    <w:p w14:paraId="58D92E0D" w14:textId="77777777" w:rsidR="00201B77" w:rsidRPr="001B6E4D" w:rsidRDefault="00201B77" w:rsidP="003D1018">
      <w:pPr>
        <w:pStyle w:val="2fb"/>
        <w:overflowPunct w:val="0"/>
      </w:pPr>
      <w:r w:rsidRPr="001B6E4D">
        <w:t>提案人：翁曉玲</w:t>
      </w:r>
    </w:p>
    <w:p w14:paraId="1EC87E85" w14:textId="77777777" w:rsidR="00201B77" w:rsidRPr="001B6E4D" w:rsidRDefault="00201B77" w:rsidP="003D1018">
      <w:pPr>
        <w:pStyle w:val="2fb"/>
        <w:overflowPunct w:val="0"/>
      </w:pPr>
      <w:r w:rsidRPr="001B6E4D">
        <w:t>連署人：許宇</w:t>
      </w:r>
      <w:proofErr w:type="gramStart"/>
      <w:r w:rsidRPr="001B6E4D">
        <w:t>甄</w:t>
      </w:r>
      <w:proofErr w:type="gramEnd"/>
      <w:r w:rsidRPr="001B6E4D">
        <w:t xml:space="preserve">　林倩綺</w:t>
      </w:r>
    </w:p>
    <w:p w14:paraId="0CAA66F9" w14:textId="77777777" w:rsidR="00201B77" w:rsidRPr="001B6E4D" w:rsidRDefault="00201B77" w:rsidP="003D1018">
      <w:pPr>
        <w:pStyle w:val="1f6"/>
        <w:overflowPunct w:val="0"/>
      </w:pPr>
      <w:proofErr w:type="gramStart"/>
      <w:r w:rsidRPr="001B6E4D">
        <w:t>115</w:t>
      </w:r>
      <w:proofErr w:type="gramEnd"/>
      <w:r w:rsidRPr="001B6E4D">
        <w:t>年度國家安全會議歲出預算第2目「諮詢研究業務」編列3,385萬3千</w:t>
      </w:r>
      <w:r w:rsidRPr="001B6E4D">
        <w:rPr>
          <w:rFonts w:hint="eastAsia"/>
        </w:rPr>
        <w:t>元</w:t>
      </w:r>
      <w:r w:rsidRPr="001B6E4D">
        <w:t>，凍結</w:t>
      </w:r>
      <w:r w:rsidRPr="001B6E4D">
        <w:rPr>
          <w:rFonts w:hint="eastAsia"/>
        </w:rPr>
        <w:t>169</w:t>
      </w:r>
      <w:r w:rsidRPr="001B6E4D">
        <w:t>萬</w:t>
      </w:r>
      <w:r w:rsidRPr="001B6E4D">
        <w:rPr>
          <w:rFonts w:hint="eastAsia"/>
        </w:rPr>
        <w:t>3千</w:t>
      </w:r>
      <w:r w:rsidRPr="001B6E4D">
        <w:t>元，</w:t>
      </w:r>
      <w:proofErr w:type="gramStart"/>
      <w:r w:rsidRPr="001B6E4D">
        <w:t>俟</w:t>
      </w:r>
      <w:proofErr w:type="gramEnd"/>
      <w:r w:rsidRPr="001B6E4D">
        <w:t>向立法院司法及法制委員會提出書面報告後，始得動支。【</w:t>
      </w:r>
      <w:r w:rsidRPr="001B6E4D">
        <w:rPr>
          <w:rFonts w:hint="eastAsia"/>
        </w:rPr>
        <w:t>40</w:t>
      </w:r>
      <w:r w:rsidRPr="001B6E4D">
        <w:t>】</w:t>
      </w:r>
    </w:p>
    <w:p w14:paraId="003D09D8" w14:textId="77777777" w:rsidR="00201B77" w:rsidRPr="001B6E4D" w:rsidRDefault="00201B77" w:rsidP="003D1018">
      <w:pPr>
        <w:pStyle w:val="2fb"/>
        <w:overflowPunct w:val="0"/>
      </w:pPr>
      <w:r w:rsidRPr="001B6E4D">
        <w:t>提案人：許宇</w:t>
      </w:r>
      <w:proofErr w:type="gramStart"/>
      <w:r w:rsidRPr="001B6E4D">
        <w:t>甄</w:t>
      </w:r>
      <w:proofErr w:type="gramEnd"/>
    </w:p>
    <w:p w14:paraId="40AF5D77" w14:textId="77777777" w:rsidR="00201B77" w:rsidRPr="001B6E4D" w:rsidRDefault="00201B77" w:rsidP="003D1018">
      <w:pPr>
        <w:pStyle w:val="2fb"/>
        <w:overflowPunct w:val="0"/>
      </w:pPr>
      <w:r w:rsidRPr="001B6E4D">
        <w:t>連署人：翁曉玲　林倩綺</w:t>
      </w:r>
    </w:p>
    <w:p w14:paraId="22A16857" w14:textId="77777777" w:rsidR="00201B77" w:rsidRPr="001B6E4D" w:rsidRDefault="00201B77" w:rsidP="003D1018">
      <w:pPr>
        <w:pStyle w:val="1f6"/>
        <w:overflowPunct w:val="0"/>
      </w:pPr>
      <w:r w:rsidRPr="001B6E4D">
        <w:t>針對</w:t>
      </w:r>
      <w:proofErr w:type="gramStart"/>
      <w:r w:rsidRPr="001B6E4D">
        <w:t>115</w:t>
      </w:r>
      <w:proofErr w:type="gramEnd"/>
      <w:r w:rsidRPr="001B6E4D">
        <w:t>年度國家安全會議</w:t>
      </w:r>
      <w:r w:rsidRPr="001B6E4D">
        <w:rPr>
          <w:rFonts w:hint="eastAsia"/>
        </w:rPr>
        <w:t>預算案</w:t>
      </w:r>
      <w:r w:rsidRPr="001B6E4D">
        <w:t>於</w:t>
      </w:r>
      <w:r w:rsidRPr="001B6E4D">
        <w:rPr>
          <w:rFonts w:hint="eastAsia"/>
        </w:rPr>
        <w:t>第2目</w:t>
      </w:r>
      <w:r w:rsidRPr="001B6E4D">
        <w:t>「諮詢研究業務」增列1,325萬餘元，總經費達3,385萬餘元，用於</w:t>
      </w:r>
      <w:proofErr w:type="gramStart"/>
      <w:r w:rsidRPr="001B6E4D">
        <w:t>研</w:t>
      </w:r>
      <w:proofErr w:type="gramEnd"/>
      <w:r w:rsidRPr="001B6E4D">
        <w:t>處全社會防衛韌性及國內資源整備等事宜。為確保國安高層智庫之戰略研究能有效轉譯為基層公務體系與民眾可遵循之實戰指引，國家安全會議應提出具體之政策落地與跨部會演練規劃。</w:t>
      </w:r>
      <w:proofErr w:type="gramStart"/>
      <w:r w:rsidRPr="001B6E4D">
        <w:t>115</w:t>
      </w:r>
      <w:proofErr w:type="gramEnd"/>
      <w:r w:rsidRPr="001B6E4D">
        <w:t>年度國家安全會議預算中，計畫內容明確包含</w:t>
      </w:r>
      <w:proofErr w:type="gramStart"/>
      <w:r w:rsidRPr="001B6E4D">
        <w:t>研</w:t>
      </w:r>
      <w:proofErr w:type="gramEnd"/>
      <w:r w:rsidRPr="001B6E4D">
        <w:t>處全社會防衛韌性、國內資源整備、演練及國際合作事宜，以建構國人應變緊急災害能力。建構防衛韌性為當前國家生存發展之核心，然國家層級之戰略推演與國際諮詢成果，若未能有效向下扎根，將導致戰略大腦與地方神經末梢脫節，面對複合式災難或極端國安威脅，真正在第一線承受壓力者為地方政府、民生物資供應鏈及村里鄰長，國</w:t>
      </w:r>
      <w:r w:rsidRPr="001B6E4D">
        <w:rPr>
          <w:rFonts w:hint="eastAsia"/>
        </w:rPr>
        <w:t>家</w:t>
      </w:r>
      <w:r w:rsidRPr="001B6E4D">
        <w:t>安</w:t>
      </w:r>
      <w:r w:rsidRPr="001B6E4D">
        <w:rPr>
          <w:rFonts w:hint="eastAsia"/>
        </w:rPr>
        <w:t>全</w:t>
      </w:r>
      <w:r w:rsidRPr="001B6E4D">
        <w:t>會</w:t>
      </w:r>
      <w:r w:rsidRPr="001B6E4D">
        <w:rPr>
          <w:rFonts w:hint="eastAsia"/>
        </w:rPr>
        <w:t>議</w:t>
      </w:r>
      <w:r w:rsidRPr="001B6E4D">
        <w:t>之研究成果應</w:t>
      </w:r>
      <w:proofErr w:type="gramStart"/>
      <w:r w:rsidRPr="001B6E4D">
        <w:t>研</w:t>
      </w:r>
      <w:proofErr w:type="gramEnd"/>
      <w:r w:rsidRPr="001B6E4D">
        <w:t>議逐步化為基層可執行之韌性整備指標與備援作業程序。【43】</w:t>
      </w:r>
    </w:p>
    <w:p w14:paraId="252C85C2" w14:textId="77777777" w:rsidR="00201B77" w:rsidRPr="001B6E4D" w:rsidRDefault="00201B77" w:rsidP="003D1018">
      <w:pPr>
        <w:pStyle w:val="2fb"/>
        <w:overflowPunct w:val="0"/>
      </w:pPr>
      <w:r w:rsidRPr="001B6E4D">
        <w:t>提案人：莊瑞雄</w:t>
      </w:r>
    </w:p>
    <w:p w14:paraId="38142723" w14:textId="77777777" w:rsidR="00201B77" w:rsidRPr="001B6E4D" w:rsidRDefault="00201B77" w:rsidP="003D1018">
      <w:pPr>
        <w:pStyle w:val="2fb"/>
        <w:overflowPunct w:val="0"/>
      </w:pPr>
      <w:r w:rsidRPr="001B6E4D">
        <w:rPr>
          <w:rFonts w:hint="eastAsia"/>
          <w:kern w:val="0"/>
        </w:rPr>
        <w:t>連署人：</w:t>
      </w:r>
      <w:proofErr w:type="gramStart"/>
      <w:r w:rsidRPr="001B6E4D">
        <w:rPr>
          <w:rFonts w:hint="eastAsia"/>
          <w:kern w:val="0"/>
        </w:rPr>
        <w:t>范</w:t>
      </w:r>
      <w:proofErr w:type="gramEnd"/>
      <w:r w:rsidRPr="001B6E4D">
        <w:rPr>
          <w:rFonts w:hint="eastAsia"/>
          <w:kern w:val="0"/>
        </w:rPr>
        <w:t xml:space="preserve">  雲  張雅琳</w:t>
      </w:r>
    </w:p>
    <w:p w14:paraId="782E4460" w14:textId="77777777" w:rsidR="00201B77" w:rsidRPr="001B6E4D" w:rsidRDefault="00201B77" w:rsidP="003D1018">
      <w:pPr>
        <w:pStyle w:val="1f6"/>
        <w:overflowPunct w:val="0"/>
      </w:pPr>
      <w:proofErr w:type="gramStart"/>
      <w:r w:rsidRPr="001B6E4D">
        <w:t>115</w:t>
      </w:r>
      <w:proofErr w:type="gramEnd"/>
      <w:r w:rsidRPr="001B6E4D">
        <w:t>年度國家安全會議預算案於</w:t>
      </w:r>
      <w:r w:rsidRPr="001B6E4D">
        <w:rPr>
          <w:rFonts w:hint="eastAsia"/>
        </w:rPr>
        <w:t>第1目</w:t>
      </w:r>
      <w:r w:rsidRPr="001B6E4D">
        <w:t>「一般行政」及</w:t>
      </w:r>
      <w:r w:rsidRPr="001B6E4D">
        <w:rPr>
          <w:rFonts w:hint="eastAsia"/>
        </w:rPr>
        <w:t>第2目</w:t>
      </w:r>
      <w:r w:rsidRPr="001B6E4D">
        <w:t>「諮詢研究業務」項下「按日按</w:t>
      </w:r>
      <w:proofErr w:type="gramStart"/>
      <w:r w:rsidRPr="001B6E4D">
        <w:t>件計資</w:t>
      </w:r>
      <w:proofErr w:type="gramEnd"/>
      <w:r w:rsidRPr="001B6E4D">
        <w:t>酬金」合計編列317萬1千元，主要用於法律諮詢、邀集學者專家出席研討國安議題</w:t>
      </w:r>
      <w:r w:rsidRPr="001B6E4D">
        <w:lastRenderedPageBreak/>
        <w:t>及撰稿等支出。</w:t>
      </w:r>
      <w:proofErr w:type="gramStart"/>
      <w:r w:rsidRPr="001B6E4D">
        <w:t>惟查該</w:t>
      </w:r>
      <w:proofErr w:type="gramEnd"/>
      <w:r w:rsidRPr="001B6E4D">
        <w:t>科目近年執行率明顯偏低，111至113年度執行率分別僅42.79%、29.21%及16.55%，</w:t>
      </w:r>
      <w:proofErr w:type="gramStart"/>
      <w:r w:rsidRPr="001B6E4D">
        <w:t>114</w:t>
      </w:r>
      <w:proofErr w:type="gramEnd"/>
      <w:r w:rsidRPr="001B6E4D">
        <w:t>年度截至8月底亦僅8.29%，顯示預算編列與實際需求間存有明顯落差，恐影響政府資源運用效益。</w:t>
      </w:r>
      <w:proofErr w:type="gramStart"/>
      <w:r w:rsidRPr="001B6E4D">
        <w:t>爰</w:t>
      </w:r>
      <w:proofErr w:type="gramEnd"/>
      <w:r w:rsidRPr="001B6E4D">
        <w:t>要求國家安全會議應依實際法律諮詢、國安議題研討、專家學者出席及撰稿需求，檢討「按日按</w:t>
      </w:r>
      <w:proofErr w:type="gramStart"/>
      <w:r w:rsidRPr="001B6E4D">
        <w:t>件計資</w:t>
      </w:r>
      <w:proofErr w:type="gramEnd"/>
      <w:r w:rsidRPr="001B6E4D">
        <w:t>酬金」之編列基礎、執行方式及需求評估機制，並於3個月內向立法院司法及法制委員會提出書面報告，以</w:t>
      </w:r>
      <w:proofErr w:type="gramStart"/>
      <w:r w:rsidRPr="001B6E4D">
        <w:t>撙</w:t>
      </w:r>
      <w:proofErr w:type="gramEnd"/>
      <w:r w:rsidRPr="001B6E4D">
        <w:t>節國庫支出。【44】</w:t>
      </w:r>
    </w:p>
    <w:p w14:paraId="22020ED6"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43FFFA3D" w14:textId="77777777" w:rsidR="00201B77" w:rsidRPr="001B6E4D" w:rsidRDefault="00201B77" w:rsidP="003D1018">
      <w:pPr>
        <w:pStyle w:val="2fb"/>
        <w:overflowPunct w:val="0"/>
      </w:pPr>
      <w:r w:rsidRPr="001B6E4D">
        <w:rPr>
          <w:rFonts w:hint="eastAsia"/>
        </w:rPr>
        <w:t>連署人：沈發惠  莊瑞雄</w:t>
      </w:r>
    </w:p>
    <w:p w14:paraId="4E2FCF79"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第3項 國史館2億5,173萬3千元，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B374294" w14:textId="77777777" w:rsidR="00201B77" w:rsidRPr="001B6E4D" w:rsidRDefault="00201B77"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sz w:val="28"/>
          <w:szCs w:val="28"/>
        </w:rPr>
        <w:t>本項通過決議</w:t>
      </w:r>
      <w:r w:rsidRPr="001B6E4D">
        <w:rPr>
          <w:rFonts w:ascii="標楷體" w:eastAsia="標楷體" w:hAnsi="標楷體" w:hint="eastAsia"/>
          <w:b/>
          <w:sz w:val="28"/>
          <w:szCs w:val="28"/>
        </w:rPr>
        <w:t>8</w:t>
      </w:r>
      <w:r w:rsidRPr="001B6E4D">
        <w:rPr>
          <w:rFonts w:ascii="標楷體" w:eastAsia="標楷體" w:hAnsi="標楷體"/>
          <w:b/>
          <w:sz w:val="28"/>
          <w:szCs w:val="28"/>
        </w:rPr>
        <w:t>項：</w:t>
      </w:r>
    </w:p>
    <w:p w14:paraId="3201F7A4" w14:textId="77777777" w:rsidR="00201B77" w:rsidRPr="001B6E4D" w:rsidRDefault="00201B77" w:rsidP="003D1018">
      <w:pPr>
        <w:pStyle w:val="a"/>
        <w:numPr>
          <w:ilvl w:val="0"/>
          <w:numId w:val="63"/>
        </w:numPr>
        <w:overflowPunct w:val="0"/>
        <w:ind w:left="924" w:hanging="567"/>
      </w:pPr>
      <w:r w:rsidRPr="001B6E4D">
        <w:t>國</w:t>
      </w:r>
      <w:r w:rsidRPr="001B6E4D">
        <w:rPr>
          <w:rFonts w:hint="eastAsia"/>
        </w:rPr>
        <w:t>家</w:t>
      </w:r>
      <w:r w:rsidRPr="001B6E4D">
        <w:t>安</w:t>
      </w:r>
      <w:r w:rsidRPr="001B6E4D">
        <w:rPr>
          <w:rFonts w:hint="eastAsia"/>
        </w:rPr>
        <w:t>全</w:t>
      </w:r>
      <w:r w:rsidRPr="001B6E4D">
        <w:t>局在2026</w:t>
      </w:r>
      <w:r w:rsidRPr="001B6E4D">
        <w:rPr>
          <w:rFonts w:hint="eastAsia"/>
        </w:rPr>
        <w:t>年2</w:t>
      </w:r>
      <w:r w:rsidRPr="001B6E4D">
        <w:t>月移轉了5</w:t>
      </w:r>
      <w:r w:rsidRPr="001B6E4D">
        <w:rPr>
          <w:rFonts w:hint="eastAsia"/>
        </w:rPr>
        <w:t>萬</w:t>
      </w:r>
      <w:r w:rsidRPr="001B6E4D">
        <w:t>1,133筆政治檔案給國家</w:t>
      </w:r>
      <w:r w:rsidRPr="001B6E4D">
        <w:rPr>
          <w:rFonts w:hint="eastAsia"/>
        </w:rPr>
        <w:t>發展委員會</w:t>
      </w:r>
      <w:r w:rsidRPr="001B6E4D">
        <w:t>檔案</w:t>
      </w:r>
      <w:r w:rsidRPr="001B6E4D">
        <w:rPr>
          <w:rFonts w:hint="eastAsia"/>
        </w:rPr>
        <w:t>管理</w:t>
      </w:r>
      <w:r w:rsidRPr="001B6E4D">
        <w:t>局，由國安局累計移交的檔案計14萬</w:t>
      </w:r>
      <w:r w:rsidRPr="001B6E4D">
        <w:rPr>
          <w:rFonts w:hint="eastAsia"/>
        </w:rPr>
        <w:t>0,</w:t>
      </w:r>
      <w:r w:rsidRPr="001B6E4D">
        <w:t>758件，經過向檔案局的了解，最遲會在</w:t>
      </w:r>
      <w:r w:rsidRPr="001B6E4D">
        <w:rPr>
          <w:rFonts w:hint="eastAsia"/>
        </w:rPr>
        <w:t>2026</w:t>
      </w:r>
      <w:r w:rsidRPr="001B6E4D">
        <w:t>年</w:t>
      </w:r>
      <w:r w:rsidRPr="001B6E4D">
        <w:rPr>
          <w:rFonts w:hint="eastAsia"/>
        </w:rPr>
        <w:t>5</w:t>
      </w:r>
      <w:r w:rsidRPr="001B6E4D">
        <w:t>月開放查閱最新移轉這批檔案的「目錄」。</w:t>
      </w:r>
    </w:p>
    <w:p w14:paraId="10861A2F" w14:textId="77777777" w:rsidR="00201B77" w:rsidRPr="001B6E4D" w:rsidRDefault="00201B77" w:rsidP="003D1018">
      <w:pPr>
        <w:pStyle w:val="1f7"/>
        <w:overflowPunct w:val="0"/>
      </w:pPr>
      <w:r w:rsidRPr="001B6E4D">
        <w:t>然而，如何開放應用，如何解讀，其實是個浩大而且專業的工程。目前，政治檔案研究主要由國家人權博物館主導，不過，針對是否有足夠</w:t>
      </w:r>
      <w:proofErr w:type="gramStart"/>
      <w:r w:rsidRPr="001B6E4D">
        <w:t>人力去彙整</w:t>
      </w:r>
      <w:proofErr w:type="gramEnd"/>
      <w:r w:rsidRPr="001B6E4D">
        <w:t>、研究這批政治檔案，前二二八事件紀念基金會董事長薛化元教授就明確指出，「目前國內來講，檔案局是有非常專業的檔案整理，可是在研究方面，研究能力最強的是國史館。」因此，薛教授就建議政府應該考慮讓國史館加入對政治檔案的研究。</w:t>
      </w:r>
    </w:p>
    <w:p w14:paraId="03A73B1E" w14:textId="77777777" w:rsidR="00201B77" w:rsidRPr="001B6E4D" w:rsidRDefault="00201B77" w:rsidP="003D1018">
      <w:pPr>
        <w:pStyle w:val="1f7"/>
        <w:overflowPunct w:val="0"/>
      </w:pPr>
      <w:r w:rsidRPr="001B6E4D">
        <w:t>目前，國史館的定位聚焦在修</w:t>
      </w:r>
      <w:proofErr w:type="gramStart"/>
      <w:r w:rsidRPr="001B6E4D">
        <w:t>纂</w:t>
      </w:r>
      <w:proofErr w:type="gramEnd"/>
      <w:r w:rsidRPr="001B6E4D">
        <w:t>國史與總統文物，在政治檔案上的角色主要是管理與移轉，而非核心研究機構。不過就薛教授的觀點來看，應該讓檔案</w:t>
      </w:r>
      <w:proofErr w:type="gramStart"/>
      <w:r w:rsidRPr="001B6E4D">
        <w:t>研</w:t>
      </w:r>
      <w:proofErr w:type="gramEnd"/>
      <w:r w:rsidRPr="001B6E4D">
        <w:t>讀能力強的國史館一起加入「研究其他機關移轉之政治檔案」的行列，希望能藉此加速政治檔案應用與後續教育推廣。</w:t>
      </w:r>
      <w:proofErr w:type="gramStart"/>
      <w:r w:rsidRPr="001B6E4D">
        <w:t>爰</w:t>
      </w:r>
      <w:proofErr w:type="gramEnd"/>
      <w:r w:rsidRPr="001B6E4D">
        <w:t>建請國史館</w:t>
      </w:r>
      <w:proofErr w:type="gramStart"/>
      <w:r w:rsidRPr="001B6E4D">
        <w:t>研</w:t>
      </w:r>
      <w:proofErr w:type="gramEnd"/>
      <w:r w:rsidRPr="001B6E4D">
        <w:t>議擴大自身之研究角色，協助補強政治檔案的研究量能。並建請國史館於3個月內向提案委員及立法院司法及法制委員會提出書面報告。【45】</w:t>
      </w:r>
    </w:p>
    <w:p w14:paraId="4193B0A9" w14:textId="77777777" w:rsidR="00201B77" w:rsidRPr="001B6E4D" w:rsidRDefault="00201B77" w:rsidP="003D1018">
      <w:pPr>
        <w:pStyle w:val="2fb"/>
        <w:overflowPunct w:val="0"/>
      </w:pPr>
      <w:r w:rsidRPr="001B6E4D">
        <w:t xml:space="preserve">提案人：張雅琳　</w:t>
      </w:r>
      <w:r w:rsidRPr="001B6E4D">
        <w:rPr>
          <w:rFonts w:hint="eastAsia"/>
        </w:rPr>
        <w:t>林宜瑾</w:t>
      </w:r>
    </w:p>
    <w:p w14:paraId="59ED172A" w14:textId="77777777" w:rsidR="00201B77" w:rsidRPr="001B6E4D" w:rsidRDefault="00201B77" w:rsidP="003D1018">
      <w:pPr>
        <w:pStyle w:val="2fb"/>
        <w:overflowPunct w:val="0"/>
      </w:pPr>
      <w:r w:rsidRPr="001B6E4D">
        <w:t>連署人：</w:t>
      </w:r>
      <w:r w:rsidRPr="001B6E4D">
        <w:rPr>
          <w:rFonts w:hint="eastAsia"/>
        </w:rPr>
        <w:t>沈發惠</w:t>
      </w:r>
      <w:r w:rsidRPr="001B6E4D">
        <w:t xml:space="preserve">　</w:t>
      </w:r>
      <w:proofErr w:type="gramStart"/>
      <w:r w:rsidRPr="001B6E4D">
        <w:rPr>
          <w:rFonts w:hint="eastAsia"/>
        </w:rPr>
        <w:t>范</w:t>
      </w:r>
      <w:proofErr w:type="gramEnd"/>
      <w:r w:rsidRPr="001B6E4D">
        <w:t xml:space="preserve">　</w:t>
      </w:r>
      <w:r w:rsidRPr="001B6E4D">
        <w:rPr>
          <w:rFonts w:hint="eastAsia"/>
        </w:rPr>
        <w:t>雲</w:t>
      </w:r>
      <w:r w:rsidRPr="001B6E4D">
        <w:t xml:space="preserve">　</w:t>
      </w:r>
      <w:r w:rsidRPr="001B6E4D">
        <w:rPr>
          <w:rFonts w:hint="eastAsia"/>
        </w:rPr>
        <w:t>陳素月</w:t>
      </w:r>
    </w:p>
    <w:p w14:paraId="779E82F1" w14:textId="77777777" w:rsidR="00201B77" w:rsidRPr="001B6E4D" w:rsidRDefault="00201B77" w:rsidP="003D1018">
      <w:pPr>
        <w:pStyle w:val="1f6"/>
        <w:overflowPunct w:val="0"/>
      </w:pPr>
      <w:r w:rsidRPr="001B6E4D">
        <w:t>有</w:t>
      </w:r>
      <w:proofErr w:type="gramStart"/>
      <w:r w:rsidRPr="001B6E4D">
        <w:t>鑑</w:t>
      </w:r>
      <w:proofErr w:type="gramEnd"/>
      <w:r w:rsidRPr="001B6E4D">
        <w:t>於國史館典藏大量珍貴歷史檔案與文獻史料，為保存重要文化資產、避免原件因年代久遠產生劣化毀損，並提升史料保存、安全維護及公共近用價值，近年已積極推動館藏檔案史料數位化作業，除編列公務預算經費持續辦理外，相關成果亦已成為國內外研究臺灣史重要基礎。</w:t>
      </w:r>
    </w:p>
    <w:p w14:paraId="17124BD8" w14:textId="77777777" w:rsidR="00201B77" w:rsidRPr="001B6E4D" w:rsidRDefault="00201B77" w:rsidP="003D1018">
      <w:pPr>
        <w:pStyle w:val="1f7"/>
        <w:overflowPunct w:val="0"/>
      </w:pPr>
      <w:proofErr w:type="gramStart"/>
      <w:r w:rsidRPr="001B6E4D">
        <w:lastRenderedPageBreak/>
        <w:t>惟</w:t>
      </w:r>
      <w:proofErr w:type="gramEnd"/>
      <w:r w:rsidRPr="001B6E4D">
        <w:t>部分史料仍面臨</w:t>
      </w:r>
      <w:proofErr w:type="gramStart"/>
      <w:r w:rsidRPr="001B6E4D">
        <w:t>紙張脆化</w:t>
      </w:r>
      <w:proofErr w:type="gramEnd"/>
      <w:r w:rsidRPr="001B6E4D">
        <w:t>、</w:t>
      </w:r>
      <w:proofErr w:type="gramStart"/>
      <w:r w:rsidRPr="001B6E4D">
        <w:t>檔案磚化</w:t>
      </w:r>
      <w:proofErr w:type="gramEnd"/>
      <w:r w:rsidRPr="001B6E4D">
        <w:t>、裱褙修復量能不足及數位化進度尚待提升等問題，且數位成果之公共應用與教育推廣仍有精進空間。</w:t>
      </w:r>
    </w:p>
    <w:p w14:paraId="33F44D59" w14:textId="77777777" w:rsidR="00201B77" w:rsidRPr="001B6E4D" w:rsidRDefault="00201B77" w:rsidP="003D1018">
      <w:pPr>
        <w:pStyle w:val="1f7"/>
        <w:overflowPunct w:val="0"/>
      </w:pPr>
      <w:proofErr w:type="gramStart"/>
      <w:r w:rsidRPr="001B6E4D">
        <w:t>爰</w:t>
      </w:r>
      <w:proofErr w:type="gramEnd"/>
      <w:r w:rsidRPr="001B6E4D">
        <w:t>此，建請國史館持續強化館藏史料數位化及修復保存工作，提出具體規劃與執行進度，並於</w:t>
      </w:r>
      <w:r w:rsidRPr="001B6E4D">
        <w:rPr>
          <w:rFonts w:hint="eastAsia"/>
        </w:rPr>
        <w:t>3</w:t>
      </w:r>
      <w:r w:rsidRPr="001B6E4D">
        <w:t>個月內向</w:t>
      </w:r>
      <w:r w:rsidRPr="001B6E4D">
        <w:rPr>
          <w:rFonts w:hint="eastAsia"/>
        </w:rPr>
        <w:t>立法院</w:t>
      </w:r>
      <w:r w:rsidRPr="001B6E4D">
        <w:t>司法及法制委員會提出書面報告。【4</w:t>
      </w:r>
      <w:r w:rsidRPr="001B6E4D">
        <w:rPr>
          <w:rFonts w:hint="eastAsia"/>
        </w:rPr>
        <w:t>6</w:t>
      </w:r>
      <w:r w:rsidRPr="001B6E4D">
        <w:t>】</w:t>
      </w:r>
    </w:p>
    <w:p w14:paraId="3E482BCB"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71C4EA21" w14:textId="77777777" w:rsidR="00201B77" w:rsidRPr="001B6E4D" w:rsidRDefault="00201B77" w:rsidP="003D1018">
      <w:pPr>
        <w:pStyle w:val="2fb"/>
        <w:overflowPunct w:val="0"/>
      </w:pPr>
      <w:r w:rsidRPr="001B6E4D">
        <w:rPr>
          <w:rFonts w:hint="eastAsia"/>
        </w:rPr>
        <w:t>連署人：</w:t>
      </w:r>
      <w:proofErr w:type="gramStart"/>
      <w:r w:rsidRPr="001B6E4D">
        <w:rPr>
          <w:rFonts w:hint="eastAsia"/>
        </w:rPr>
        <w:t>范</w:t>
      </w:r>
      <w:proofErr w:type="gramEnd"/>
      <w:r w:rsidRPr="001B6E4D">
        <w:rPr>
          <w:rFonts w:hint="eastAsia"/>
        </w:rPr>
        <w:t xml:space="preserve">  雲  張雅琳</w:t>
      </w:r>
    </w:p>
    <w:p w14:paraId="2A56D698" w14:textId="77777777" w:rsidR="00201B77" w:rsidRPr="001B6E4D" w:rsidRDefault="00201B77" w:rsidP="003D1018">
      <w:pPr>
        <w:pStyle w:val="1f6"/>
        <w:overflowPunct w:val="0"/>
      </w:pPr>
      <w:proofErr w:type="gramStart"/>
      <w:r w:rsidRPr="001B6E4D">
        <w:t>115</w:t>
      </w:r>
      <w:proofErr w:type="gramEnd"/>
      <w:r w:rsidRPr="001B6E4D">
        <w:t>年度國史館持續推動「歷任總統資料庫」及相關史料研究計畫，包含蔣中正、蔣經國、李登輝及嚴家淦等總統資料庫建置、全文</w:t>
      </w:r>
      <w:proofErr w:type="gramStart"/>
      <w:r w:rsidRPr="001B6E4D">
        <w:t>文</w:t>
      </w:r>
      <w:proofErr w:type="gramEnd"/>
      <w:r w:rsidRPr="001B6E4D">
        <w:t>本分析與系統維護等工作，並辦理相關史料彙編、學術研究及推廣活動。</w:t>
      </w:r>
      <w:proofErr w:type="gramStart"/>
      <w:r w:rsidRPr="001B6E4D">
        <w:t>惟查各</w:t>
      </w:r>
      <w:proofErr w:type="gramEnd"/>
      <w:r w:rsidRPr="001B6E4D">
        <w:t>資料庫間之系統整合、資料標準化、多元史料交互比對及國際研究應用等面向，仍有進一步整合與強化空間，以提升歷史研究公共近用與學術應用效益。</w:t>
      </w:r>
    </w:p>
    <w:p w14:paraId="6073608E" w14:textId="77777777" w:rsidR="00201B77" w:rsidRPr="001B6E4D" w:rsidRDefault="00201B77" w:rsidP="003D1018">
      <w:pPr>
        <w:pStyle w:val="1f7"/>
        <w:overflowPunct w:val="0"/>
      </w:pPr>
      <w:proofErr w:type="gramStart"/>
      <w:r w:rsidRPr="001B6E4D">
        <w:t>爰</w:t>
      </w:r>
      <w:proofErr w:type="gramEnd"/>
      <w:r w:rsidRPr="001B6E4D">
        <w:t>請國史館，針對「歷任總統資料庫」整體規劃、資料整合機制、全文</w:t>
      </w:r>
      <w:proofErr w:type="gramStart"/>
      <w:r w:rsidRPr="001B6E4D">
        <w:t>文</w:t>
      </w:r>
      <w:proofErr w:type="gramEnd"/>
      <w:r w:rsidRPr="001B6E4D">
        <w:t>本分析應用、跨資料庫檢索功能及未來國際學術交流推動方向，於3個月內向立法院司法及法制委員會提出書面報告。【47】</w:t>
      </w:r>
    </w:p>
    <w:p w14:paraId="454C1189"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12498878" w14:textId="77777777" w:rsidR="00201B77" w:rsidRPr="001B6E4D" w:rsidRDefault="00201B77" w:rsidP="003D1018">
      <w:pPr>
        <w:pStyle w:val="2fb"/>
        <w:overflowPunct w:val="0"/>
      </w:pPr>
      <w:r w:rsidRPr="001B6E4D">
        <w:rPr>
          <w:rFonts w:hint="eastAsia"/>
        </w:rPr>
        <w:t>連署人：張雅琳  莊瑞雄</w:t>
      </w:r>
    </w:p>
    <w:p w14:paraId="2A0512F3" w14:textId="77777777" w:rsidR="00201B77" w:rsidRPr="001B6E4D" w:rsidRDefault="00201B77" w:rsidP="003D1018">
      <w:pPr>
        <w:pStyle w:val="1f6"/>
        <w:overflowPunct w:val="0"/>
      </w:pPr>
      <w:proofErr w:type="gramStart"/>
      <w:r w:rsidRPr="001B6E4D">
        <w:t>115</w:t>
      </w:r>
      <w:proofErr w:type="gramEnd"/>
      <w:r w:rsidRPr="001B6E4D">
        <w:t>年度國史館編列預算辦理總統副總統文物蒐集、典藏保存、庫房管理及相關設備維護等業務。</w:t>
      </w:r>
      <w:proofErr w:type="gramStart"/>
      <w:r w:rsidRPr="001B6E4D">
        <w:t>惟查近年</w:t>
      </w:r>
      <w:proofErr w:type="gramEnd"/>
      <w:r w:rsidRPr="001B6E4D">
        <w:t>館藏文物數量持續增加，並陸續辦理庫房冷氣、消防、</w:t>
      </w:r>
      <w:proofErr w:type="gramStart"/>
      <w:r w:rsidRPr="001B6E4D">
        <w:t>監視及溫濕度</w:t>
      </w:r>
      <w:proofErr w:type="gramEnd"/>
      <w:r w:rsidRPr="001B6E4D">
        <w:t>控制系統等更新工程，顯示文物典藏環境維護及庫房安全管理需求日益提高。然相關典藏環境監測、設備更新週期、災害應變機制及文物保存風險管理等事項，仍有持續檢討強化必要。</w:t>
      </w:r>
    </w:p>
    <w:p w14:paraId="1FB4C653" w14:textId="77777777" w:rsidR="00201B77" w:rsidRPr="001B6E4D" w:rsidRDefault="00201B77" w:rsidP="003D1018">
      <w:pPr>
        <w:pStyle w:val="1f7"/>
        <w:overflowPunct w:val="0"/>
      </w:pPr>
      <w:proofErr w:type="gramStart"/>
      <w:r w:rsidRPr="001B6E4D">
        <w:t>爰</w:t>
      </w:r>
      <w:proofErr w:type="gramEnd"/>
      <w:r w:rsidRPr="001B6E4D">
        <w:t>請國史館，針對總統副總統文物典藏環境維護、庫房安全管理、溫濕度控制設備更新、消防防災機制及文物保存風險管理等事項，於3個月內向立法院司法及法制委員會提出書面報告。【48】</w:t>
      </w:r>
    </w:p>
    <w:p w14:paraId="75293404"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48BD83CD" w14:textId="77777777" w:rsidR="00201B77" w:rsidRPr="001B6E4D" w:rsidRDefault="00201B77" w:rsidP="003D1018">
      <w:pPr>
        <w:pStyle w:val="2fb"/>
        <w:overflowPunct w:val="0"/>
      </w:pPr>
      <w:r w:rsidRPr="001B6E4D">
        <w:rPr>
          <w:rFonts w:hint="eastAsia"/>
        </w:rPr>
        <w:t>連署人：張雅琳  莊瑞雄</w:t>
      </w:r>
    </w:p>
    <w:p w14:paraId="29761D2D" w14:textId="77777777" w:rsidR="00201B77" w:rsidRPr="001B6E4D" w:rsidRDefault="00201B77" w:rsidP="003D1018">
      <w:pPr>
        <w:pStyle w:val="1f6"/>
        <w:overflowPunct w:val="0"/>
      </w:pPr>
      <w:proofErr w:type="gramStart"/>
      <w:r w:rsidRPr="001B6E4D">
        <w:t>115</w:t>
      </w:r>
      <w:proofErr w:type="gramEnd"/>
      <w:r w:rsidRPr="001B6E4D">
        <w:t>年度國史館</w:t>
      </w:r>
      <w:r w:rsidRPr="001B6E4D">
        <w:rPr>
          <w:rFonts w:hint="eastAsia"/>
        </w:rPr>
        <w:t>預算案</w:t>
      </w:r>
      <w:r w:rsidRPr="001B6E4D">
        <w:t>於</w:t>
      </w:r>
      <w:r w:rsidRPr="001B6E4D">
        <w:rPr>
          <w:rFonts w:hint="eastAsia"/>
        </w:rPr>
        <w:t>第2目</w:t>
      </w:r>
      <w:r w:rsidRPr="001B6E4D">
        <w:t>「檔案文物管理與編纂」計畫編列相關預算，辦理檔案史料整理編目、數位化、查詢系統建置及數位</w:t>
      </w:r>
      <w:proofErr w:type="gramStart"/>
      <w:r w:rsidRPr="001B6E4D">
        <w:t>檔</w:t>
      </w:r>
      <w:proofErr w:type="gramEnd"/>
      <w:r w:rsidRPr="001B6E4D">
        <w:t>開放閱覽等業務。</w:t>
      </w:r>
      <w:proofErr w:type="gramStart"/>
      <w:r w:rsidRPr="001B6E4D">
        <w:t>惟查近年</w:t>
      </w:r>
      <w:proofErr w:type="gramEnd"/>
      <w:r w:rsidRPr="001B6E4D">
        <w:t>館藏數位檔案數量與系統使用人次持續增加，檔案數位化、全文</w:t>
      </w:r>
      <w:proofErr w:type="gramStart"/>
      <w:r w:rsidRPr="001B6E4D">
        <w:t>文</w:t>
      </w:r>
      <w:proofErr w:type="gramEnd"/>
      <w:r w:rsidRPr="001B6E4D">
        <w:t>本分析及資料庫擴充等工作亦逐步推展，然對於數位化優先順序、權利盤點、數位保存機制、系統穩定性及後續開放應用效益等，仍有持續精進</w:t>
      </w:r>
      <w:r w:rsidRPr="001B6E4D">
        <w:lastRenderedPageBreak/>
        <w:t>空間。</w:t>
      </w:r>
    </w:p>
    <w:p w14:paraId="334A08B0" w14:textId="77777777" w:rsidR="00201B77" w:rsidRPr="001B6E4D" w:rsidRDefault="00201B77" w:rsidP="003D1018">
      <w:pPr>
        <w:pStyle w:val="1f7"/>
        <w:overflowPunct w:val="0"/>
      </w:pPr>
      <w:proofErr w:type="gramStart"/>
      <w:r w:rsidRPr="001B6E4D">
        <w:t>爰</w:t>
      </w:r>
      <w:proofErr w:type="gramEnd"/>
      <w:r w:rsidRPr="001B6E4D">
        <w:t>請國史館，針對館藏檔案史料數位化推動情形、開放應用成果、數位保存機制、權利盤點進度及後續精進規劃，於3個月內向立法院司法及法制委員會提出書面報告。【49】</w:t>
      </w:r>
    </w:p>
    <w:p w14:paraId="3A3C0A66"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2C67C951" w14:textId="77777777" w:rsidR="00201B77" w:rsidRPr="001B6E4D" w:rsidRDefault="00201B77" w:rsidP="003D1018">
      <w:pPr>
        <w:pStyle w:val="2fb"/>
        <w:overflowPunct w:val="0"/>
      </w:pPr>
      <w:r w:rsidRPr="001B6E4D">
        <w:rPr>
          <w:rFonts w:hint="eastAsia"/>
        </w:rPr>
        <w:t>連署人：張雅琳  莊瑞雄</w:t>
      </w:r>
    </w:p>
    <w:p w14:paraId="24A2EF3C" w14:textId="77777777" w:rsidR="00201B77" w:rsidRPr="001B6E4D" w:rsidRDefault="00201B77" w:rsidP="003D1018">
      <w:pPr>
        <w:pStyle w:val="1f6"/>
        <w:overflowPunct w:val="0"/>
      </w:pPr>
      <w:proofErr w:type="gramStart"/>
      <w:r w:rsidRPr="001B6E4D">
        <w:t>115</w:t>
      </w:r>
      <w:proofErr w:type="gramEnd"/>
      <w:r w:rsidRPr="001B6E4D">
        <w:t>年度國史館預算案於</w:t>
      </w:r>
      <w:r w:rsidRPr="001B6E4D">
        <w:rPr>
          <w:rFonts w:hint="eastAsia"/>
        </w:rPr>
        <w:t>第1目</w:t>
      </w:r>
      <w:r w:rsidRPr="001B6E4D">
        <w:t>「一般行政</w:t>
      </w:r>
      <w:r w:rsidRPr="001B6E4D">
        <w:rPr>
          <w:rFonts w:hint="eastAsia"/>
        </w:rPr>
        <w:t>」項下「</w:t>
      </w:r>
      <w:r w:rsidRPr="001B6E4D">
        <w:t>基本行政工作維持」，新增辦理臺北市直轄市定古蹟「臺灣總督府</w:t>
      </w:r>
      <w:proofErr w:type="gramStart"/>
      <w:r w:rsidRPr="001B6E4D">
        <w:t>交通局遞信</w:t>
      </w:r>
      <w:proofErr w:type="gramEnd"/>
      <w:r w:rsidRPr="001B6E4D">
        <w:t>部」修復再利用計畫，並編列第1年經費2,229萬6千元，該計畫期程自115至118年度，總經費達2億7,031萬6千元。惟國史館</w:t>
      </w:r>
      <w:proofErr w:type="gramStart"/>
      <w:r w:rsidRPr="001B6E4D">
        <w:t>臺</w:t>
      </w:r>
      <w:proofErr w:type="gramEnd"/>
      <w:r w:rsidRPr="001B6E4D">
        <w:t>北館區近年因古蹟外牆年久失修、磁磚浮</w:t>
      </w:r>
      <w:proofErr w:type="gramStart"/>
      <w:r w:rsidRPr="001B6E4D">
        <w:t>凸</w:t>
      </w:r>
      <w:proofErr w:type="gramEnd"/>
      <w:r w:rsidRPr="001B6E4D">
        <w:t>剝落、</w:t>
      </w:r>
      <w:proofErr w:type="gramStart"/>
      <w:r w:rsidRPr="001B6E4D">
        <w:t>外牆滲水</w:t>
      </w:r>
      <w:proofErr w:type="gramEnd"/>
      <w:r w:rsidRPr="001B6E4D">
        <w:t>、排水系統不良、白蟻</w:t>
      </w:r>
      <w:proofErr w:type="gramStart"/>
      <w:r w:rsidRPr="001B6E4D">
        <w:t>蟲蛀及空調</w:t>
      </w:r>
      <w:proofErr w:type="gramEnd"/>
      <w:r w:rsidRPr="001B6E4D">
        <w:t>設備效能不足等問題，已衍生公共安全、典藏環境及辦公使用機能疑慮；另該計畫工程範圍涵蓋外牆、屋頂、力霸鋼架、室內地坪、天花</w:t>
      </w:r>
      <w:r w:rsidRPr="001B6E4D">
        <w:rPr>
          <w:rFonts w:hint="eastAsia"/>
        </w:rPr>
        <w:t>板</w:t>
      </w:r>
      <w:r w:rsidRPr="001B6E4D">
        <w:t>、牆體、門窗、景觀及照明改善等項目，期程長達4年，施工期間亦將影響館舍使用、參觀動線及國家重要史料文物保存環境。</w:t>
      </w:r>
    </w:p>
    <w:p w14:paraId="19C09D3A" w14:textId="77777777" w:rsidR="00201B77" w:rsidRPr="001B6E4D" w:rsidRDefault="00201B77" w:rsidP="003D1018">
      <w:pPr>
        <w:pStyle w:val="1f7"/>
        <w:overflowPunct w:val="0"/>
      </w:pPr>
      <w:proofErr w:type="gramStart"/>
      <w:r w:rsidRPr="001B6E4D">
        <w:t>鑑</w:t>
      </w:r>
      <w:proofErr w:type="gramEnd"/>
      <w:r w:rsidRPr="001B6E4D">
        <w:t>於國史館為我國最高史料保存機關，並負責總統、副總統文物保存，該建物本身亦具市定古蹟身分，兼具文化資產保存、公共安全及公共使用利益，</w:t>
      </w:r>
      <w:proofErr w:type="gramStart"/>
      <w:r w:rsidRPr="001B6E4D">
        <w:t>爰</w:t>
      </w:r>
      <w:proofErr w:type="gramEnd"/>
      <w:r w:rsidRPr="001B6E4D">
        <w:t>要求國史館應依</w:t>
      </w:r>
      <w:r w:rsidRPr="001B6E4D">
        <w:rPr>
          <w:rFonts w:hint="eastAsia"/>
        </w:rPr>
        <w:t>「</w:t>
      </w:r>
      <w:r w:rsidRPr="001B6E4D">
        <w:t>文化資產保存法</w:t>
      </w:r>
      <w:r w:rsidRPr="001B6E4D">
        <w:rPr>
          <w:rFonts w:hint="eastAsia"/>
        </w:rPr>
        <w:t>」</w:t>
      </w:r>
      <w:r w:rsidRPr="001B6E4D">
        <w:t>等相關規範，妥善規劃工程前置作業、施工安全、典藏文物保護、參觀動線調整、館</w:t>
      </w:r>
      <w:proofErr w:type="gramStart"/>
      <w:r w:rsidRPr="001B6E4D">
        <w:t>務</w:t>
      </w:r>
      <w:proofErr w:type="gramEnd"/>
      <w:r w:rsidRPr="001B6E4D">
        <w:t>維持及分年進度管控機制，並於</w:t>
      </w:r>
      <w:r w:rsidRPr="001B6E4D">
        <w:rPr>
          <w:rFonts w:hint="eastAsia"/>
        </w:rPr>
        <w:t>3</w:t>
      </w:r>
      <w:r w:rsidRPr="001B6E4D">
        <w:t>個月內向立法院司法及法制委員會提出書面報告，以確保修復再利用計畫如期如質完成，維護古蹟價值、國家文物安全及公共使用利益。【</w:t>
      </w:r>
      <w:r w:rsidRPr="001B6E4D">
        <w:rPr>
          <w:rFonts w:hint="eastAsia"/>
        </w:rPr>
        <w:t>50</w:t>
      </w:r>
      <w:r w:rsidRPr="001B6E4D">
        <w:t>】</w:t>
      </w:r>
    </w:p>
    <w:p w14:paraId="0D5C780A"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2F75D36D" w14:textId="77777777" w:rsidR="00201B77" w:rsidRPr="001B6E4D" w:rsidRDefault="00201B77" w:rsidP="003D1018">
      <w:pPr>
        <w:pStyle w:val="2fb"/>
        <w:overflowPunct w:val="0"/>
      </w:pPr>
      <w:r w:rsidRPr="001B6E4D">
        <w:rPr>
          <w:rFonts w:hint="eastAsia"/>
        </w:rPr>
        <w:t>連署人：沈發惠  莊瑞雄</w:t>
      </w:r>
    </w:p>
    <w:p w14:paraId="563CD47D" w14:textId="77777777" w:rsidR="00201B77" w:rsidRPr="001B6E4D" w:rsidRDefault="00201B77" w:rsidP="003D1018">
      <w:pPr>
        <w:pStyle w:val="1f6"/>
        <w:overflowPunct w:val="0"/>
      </w:pPr>
      <w:proofErr w:type="gramStart"/>
      <w:r w:rsidRPr="001B6E4D">
        <w:t>115</w:t>
      </w:r>
      <w:proofErr w:type="gramEnd"/>
      <w:r w:rsidRPr="001B6E4D">
        <w:t>年度國史館預算案於</w:t>
      </w:r>
      <w:r w:rsidRPr="001B6E4D">
        <w:rPr>
          <w:rFonts w:hint="eastAsia"/>
        </w:rPr>
        <w:t>第2目</w:t>
      </w:r>
      <w:r w:rsidRPr="001B6E4D">
        <w:t>「檔案文物管理與編纂</w:t>
      </w:r>
      <w:r w:rsidRPr="001B6E4D">
        <w:rPr>
          <w:rFonts w:hint="eastAsia"/>
        </w:rPr>
        <w:t>」項下「</w:t>
      </w:r>
      <w:r w:rsidRPr="001B6E4D">
        <w:t>檔案管理應用」編列相關經費，用以辦理檔案史料數位化及轉製作業，惟截至114年8月底止，國史館已整編館藏檔案資料中，仍有18萬6,172卷尚未完成數位掃描，占已整編館藏36.58%，顯示館藏史料數位化作業仍有相當進度待加速推動；且</w:t>
      </w:r>
      <w:proofErr w:type="gramStart"/>
      <w:r w:rsidRPr="001B6E4D">
        <w:t>115</w:t>
      </w:r>
      <w:proofErr w:type="gramEnd"/>
      <w:r w:rsidRPr="001B6E4D">
        <w:t>年度「檔案管理應用」相關經費較</w:t>
      </w:r>
      <w:proofErr w:type="gramStart"/>
      <w:r w:rsidRPr="001B6E4D">
        <w:t>114</w:t>
      </w:r>
      <w:proofErr w:type="gramEnd"/>
      <w:r w:rsidRPr="001B6E4D">
        <w:t>年度減少45.25%，恐不利國家重要史料之長期保存與永續利用。</w:t>
      </w:r>
      <w:proofErr w:type="gramStart"/>
      <w:r w:rsidRPr="001B6E4D">
        <w:t>鑑於館</w:t>
      </w:r>
      <w:proofErr w:type="gramEnd"/>
      <w:r w:rsidRPr="001B6E4D">
        <w:t>藏文獻年代久遠，並可能受</w:t>
      </w:r>
      <w:proofErr w:type="gramStart"/>
      <w:r w:rsidRPr="001B6E4D">
        <w:t>自然毀耗</w:t>
      </w:r>
      <w:proofErr w:type="gramEnd"/>
      <w:r w:rsidRPr="001B6E4D">
        <w:t>、酸化或保存環境影響而增加</w:t>
      </w:r>
      <w:proofErr w:type="gramStart"/>
      <w:r w:rsidRPr="001B6E4D">
        <w:t>損壞及劣化</w:t>
      </w:r>
      <w:proofErr w:type="gramEnd"/>
      <w:r w:rsidRPr="001B6E4D">
        <w:t>風險。</w:t>
      </w:r>
    </w:p>
    <w:p w14:paraId="76B09BB8" w14:textId="77777777" w:rsidR="00201B77" w:rsidRPr="001B6E4D" w:rsidRDefault="00201B77" w:rsidP="003D1018">
      <w:pPr>
        <w:pStyle w:val="1f7"/>
        <w:overflowPunct w:val="0"/>
      </w:pPr>
      <w:proofErr w:type="gramStart"/>
      <w:r w:rsidRPr="001B6E4D">
        <w:t>爰</w:t>
      </w:r>
      <w:proofErr w:type="gramEnd"/>
      <w:r w:rsidRPr="001B6E4D">
        <w:t>要求國史館應秉持專業與審慎原則，加速推動館藏檔案數位化作業，針對館藏檔案數位化之優先順序、分年推動目</w:t>
      </w:r>
      <w:r w:rsidRPr="001B6E4D">
        <w:lastRenderedPageBreak/>
        <w:t>標、保存規格、人力及經費需求、風險管理機制，以及後續公開應用與加值利用規劃，以確保國家重要史料之完整保存、永續典藏及公共利用，請於</w:t>
      </w:r>
      <w:r w:rsidRPr="001B6E4D">
        <w:rPr>
          <w:rFonts w:hint="eastAsia"/>
        </w:rPr>
        <w:t>3</w:t>
      </w:r>
      <w:r w:rsidRPr="001B6E4D">
        <w:t>個月內向立法院司法及法制委員會提出書面報告</w:t>
      </w:r>
      <w:r w:rsidRPr="001B6E4D">
        <w:rPr>
          <w:rFonts w:hint="eastAsia"/>
        </w:rPr>
        <w:t>。</w:t>
      </w:r>
      <w:r w:rsidRPr="001B6E4D">
        <w:t>【</w:t>
      </w:r>
      <w:r w:rsidRPr="001B6E4D">
        <w:rPr>
          <w:rFonts w:hint="eastAsia"/>
        </w:rPr>
        <w:t>51</w:t>
      </w:r>
      <w:r w:rsidRPr="001B6E4D">
        <w:t>】</w:t>
      </w:r>
    </w:p>
    <w:p w14:paraId="7052D9A7"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3574C697" w14:textId="77777777" w:rsidR="00201B77" w:rsidRPr="001B6E4D" w:rsidRDefault="00201B77" w:rsidP="003D1018">
      <w:pPr>
        <w:pStyle w:val="2fb"/>
        <w:overflowPunct w:val="0"/>
      </w:pPr>
      <w:r w:rsidRPr="001B6E4D">
        <w:rPr>
          <w:rFonts w:hint="eastAsia"/>
        </w:rPr>
        <w:t>連署人：沈發惠  莊瑞雄</w:t>
      </w:r>
    </w:p>
    <w:p w14:paraId="5BF3707C" w14:textId="77777777" w:rsidR="00201B77" w:rsidRPr="001B6E4D" w:rsidRDefault="00201B77" w:rsidP="003D1018">
      <w:pPr>
        <w:pStyle w:val="1f6"/>
        <w:overflowPunct w:val="0"/>
      </w:pPr>
      <w:proofErr w:type="gramStart"/>
      <w:r w:rsidRPr="001B6E4D">
        <w:t>115</w:t>
      </w:r>
      <w:proofErr w:type="gramEnd"/>
      <w:r w:rsidRPr="001B6E4D">
        <w:t>年度國史館預算案於</w:t>
      </w:r>
      <w:r w:rsidRPr="001B6E4D">
        <w:rPr>
          <w:rFonts w:hint="eastAsia"/>
        </w:rPr>
        <w:t>第2目</w:t>
      </w:r>
      <w:r w:rsidRPr="001B6E4D">
        <w:t>「檔案文物管理與編纂」編列3,056萬4千元，計畫內容包括各類檔案史料及書刊之採集、整理、數位化、修裱、典藏，館藏分類、編目、資料庫建置，以及重要檔案史料彙編、口述訪談紀錄、史事專題研究等史學專書與學術期刊之編輯出版；其預期成果亦包括透過資訊網路開放國家重要檔案史料供各界查詢、閱覽應用，並編輯出版檔案史料彙編、專著及學術期刊，提供各界參考。</w:t>
      </w:r>
    </w:p>
    <w:p w14:paraId="252F38E3" w14:textId="77777777" w:rsidR="00201B77" w:rsidRPr="001B6E4D" w:rsidRDefault="00201B77" w:rsidP="003D1018">
      <w:pPr>
        <w:pStyle w:val="1f7"/>
        <w:overflowPunct w:val="0"/>
      </w:pPr>
      <w:proofErr w:type="gramStart"/>
      <w:r w:rsidRPr="001B6E4D">
        <w:t>又國史館</w:t>
      </w:r>
      <w:proofErr w:type="gramEnd"/>
      <w:r w:rsidRPr="001B6E4D">
        <w:t>近年已具備整理白色恐怖、戰後政治案件及民主化相關史料之基礎。依</w:t>
      </w:r>
      <w:proofErr w:type="gramStart"/>
      <w:r w:rsidRPr="001B6E4D">
        <w:t>115</w:t>
      </w:r>
      <w:proofErr w:type="gramEnd"/>
      <w:r w:rsidRPr="001B6E4D">
        <w:t>年度預算書所載，國史館刻正辦理《戰後臺灣政治案件—臺灣獨立聯盟史料彙編》、《戰後臺灣政治案件—臺灣基督長老教會相關案件史料彙編》、《戰後臺灣政治案件—鄭南榕案史料彙編》、《二二八事件檔案彙編》、《國內安全委員會檔案選編》及《美國國會與臺灣民主發展史料選譯》等編纂作業，顯示國史館確有參與政治案件、威權統治、國家安全體制及民主化歷程相關史料之整理與出版工作。</w:t>
      </w:r>
    </w:p>
    <w:p w14:paraId="1FA62F43" w14:textId="77777777" w:rsidR="00201B77" w:rsidRPr="001B6E4D" w:rsidRDefault="00201B77" w:rsidP="003D1018">
      <w:pPr>
        <w:pStyle w:val="1f7"/>
        <w:overflowPunct w:val="0"/>
      </w:pPr>
      <w:proofErr w:type="gramStart"/>
      <w:r w:rsidRPr="001B6E4D">
        <w:t>惟</w:t>
      </w:r>
      <w:proofErr w:type="gramEnd"/>
      <w:r w:rsidRPr="001B6E4D">
        <w:t>白色恐怖、戒嚴體制及戰後政治案件相關史料散見於國史館、國家發展委員會檔案管理局及其他政府機關與民間收藏之中，若僅以個別史料彙編或單一出版計畫方式推動，恐難以完整呈現威權統治體制如何透過情治、警政、軍事審判、校園監控、海外監控及地方行政網絡運作，亦不利於後續研究、公共教育及社會理解。</w:t>
      </w:r>
    </w:p>
    <w:p w14:paraId="456FEC2A" w14:textId="77777777" w:rsidR="00201B77" w:rsidRPr="001B6E4D" w:rsidRDefault="00201B77" w:rsidP="003D1018">
      <w:pPr>
        <w:pStyle w:val="1f7"/>
        <w:overflowPunct w:val="0"/>
      </w:pPr>
      <w:proofErr w:type="gramStart"/>
      <w:r w:rsidRPr="001B6E4D">
        <w:t>爰</w:t>
      </w:r>
      <w:proofErr w:type="gramEnd"/>
      <w:r w:rsidRPr="001B6E4D">
        <w:t>要求國史館於</w:t>
      </w:r>
      <w:r w:rsidRPr="001B6E4D">
        <w:rPr>
          <w:rFonts w:hint="eastAsia"/>
        </w:rPr>
        <w:t>3</w:t>
      </w:r>
      <w:r w:rsidRPr="001B6E4D">
        <w:t>個月內，就</w:t>
      </w:r>
      <w:proofErr w:type="gramStart"/>
      <w:r w:rsidRPr="001B6E4D">
        <w:t>115</w:t>
      </w:r>
      <w:proofErr w:type="gramEnd"/>
      <w:r w:rsidRPr="001B6E4D">
        <w:t>年度「檔案文物管理與編纂」項下涉及威權統治、政治案件、戒嚴體制及國家暴力相關史料之整理、數位化、開放應用及研究出版情形進行盤點，並</w:t>
      </w:r>
      <w:proofErr w:type="gramStart"/>
      <w:r w:rsidRPr="001B6E4D">
        <w:t>研</w:t>
      </w:r>
      <w:proofErr w:type="gramEnd"/>
      <w:r w:rsidRPr="001B6E4D">
        <w:t>議後續可優先推動之工作項目，向立法院司法及法制委員會提出書面報告。【</w:t>
      </w:r>
      <w:r w:rsidRPr="001B6E4D">
        <w:rPr>
          <w:rFonts w:hint="eastAsia"/>
        </w:rPr>
        <w:t>52</w:t>
      </w:r>
      <w:r w:rsidRPr="001B6E4D">
        <w:t>】</w:t>
      </w:r>
    </w:p>
    <w:p w14:paraId="71C3E464"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031DC811" w14:textId="77777777" w:rsidR="00201B77" w:rsidRPr="001B6E4D" w:rsidRDefault="00201B77" w:rsidP="003D1018">
      <w:pPr>
        <w:pStyle w:val="2fb"/>
        <w:overflowPunct w:val="0"/>
      </w:pPr>
      <w:r w:rsidRPr="001B6E4D">
        <w:rPr>
          <w:rFonts w:hint="eastAsia"/>
        </w:rPr>
        <w:t>連署人：沈發惠  莊瑞雄</w:t>
      </w:r>
    </w:p>
    <w:p w14:paraId="2890F1D8" w14:textId="77777777" w:rsidR="00201B77" w:rsidRPr="001B6E4D" w:rsidRDefault="00201B77"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第4項 國史館臺灣文獻館1億2,622萬2千元，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B9AB1C1" w14:textId="77777777" w:rsidR="00201B77" w:rsidRPr="001B6E4D" w:rsidRDefault="00201B77"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sz w:val="28"/>
          <w:szCs w:val="28"/>
        </w:rPr>
        <w:t>本項通過決議</w:t>
      </w:r>
      <w:r w:rsidRPr="001B6E4D">
        <w:rPr>
          <w:rFonts w:ascii="標楷體" w:eastAsia="標楷體" w:hAnsi="標楷體" w:hint="eastAsia"/>
          <w:b/>
          <w:sz w:val="28"/>
          <w:szCs w:val="28"/>
        </w:rPr>
        <w:t>6</w:t>
      </w:r>
      <w:r w:rsidRPr="001B6E4D">
        <w:rPr>
          <w:rFonts w:ascii="標楷體" w:eastAsia="標楷體" w:hAnsi="標楷體"/>
          <w:b/>
          <w:sz w:val="28"/>
          <w:szCs w:val="28"/>
        </w:rPr>
        <w:t>項：</w:t>
      </w:r>
    </w:p>
    <w:p w14:paraId="58A21220" w14:textId="77777777" w:rsidR="00201B77" w:rsidRPr="001B6E4D" w:rsidRDefault="00201B77" w:rsidP="003D1018">
      <w:pPr>
        <w:pStyle w:val="a"/>
        <w:numPr>
          <w:ilvl w:val="0"/>
          <w:numId w:val="62"/>
        </w:numPr>
        <w:overflowPunct w:val="0"/>
        <w:ind w:left="924" w:hanging="567"/>
      </w:pPr>
      <w:proofErr w:type="gramStart"/>
      <w:r w:rsidRPr="001B6E4D">
        <w:t>鑑</w:t>
      </w:r>
      <w:proofErr w:type="gramEnd"/>
      <w:r w:rsidRPr="001B6E4D">
        <w:t>於國史館臺灣文獻館典藏之「臺灣總督府檔案」、「臺灣總督府專賣局公文類</w:t>
      </w:r>
      <w:proofErr w:type="gramStart"/>
      <w:r w:rsidRPr="001B6E4D">
        <w:t>纂</w:t>
      </w:r>
      <w:proofErr w:type="gramEnd"/>
      <w:r w:rsidRPr="001B6E4D">
        <w:t>」及「臺灣拓殖株式會社文書」等重要史</w:t>
      </w:r>
      <w:r w:rsidRPr="001B6E4D">
        <w:lastRenderedPageBreak/>
        <w:t>料，完整記錄日治時期臺灣之政治、經濟、財稅、教育、司法、產業及殖民政策發展歷程，具有高度歷史、文化及研究價值。近年相關檔案數位化成果已具相當成效，惟目前多以學術研究使用為主，一般民眾仍普遍面臨閱讀門檻高、歷史脈絡不易理解等問題，致珍貴史料與社會</w:t>
      </w:r>
      <w:proofErr w:type="gramStart"/>
      <w:r w:rsidRPr="001B6E4D">
        <w:t>大眾間仍有</w:t>
      </w:r>
      <w:proofErr w:type="gramEnd"/>
      <w:r w:rsidRPr="001B6E4D">
        <w:t>距離。</w:t>
      </w:r>
    </w:p>
    <w:p w14:paraId="5C9E4DBC" w14:textId="77777777" w:rsidR="00201B77" w:rsidRPr="001B6E4D" w:rsidRDefault="00201B77" w:rsidP="003D1018">
      <w:pPr>
        <w:pStyle w:val="1f7"/>
        <w:overflowPunct w:val="0"/>
      </w:pPr>
      <w:proofErr w:type="gramStart"/>
      <w:r w:rsidRPr="001B6E4D">
        <w:t>爰</w:t>
      </w:r>
      <w:proofErr w:type="gramEnd"/>
      <w:r w:rsidRPr="001B6E4D">
        <w:t>此，建請國史館臺灣文獻館持續推動檔案數位化作業外，強化歷史檔案公共近用與教育推廣功能精進策略，並於</w:t>
      </w:r>
      <w:r w:rsidRPr="001B6E4D">
        <w:rPr>
          <w:rFonts w:hint="eastAsia"/>
        </w:rPr>
        <w:t>3</w:t>
      </w:r>
      <w:r w:rsidRPr="001B6E4D">
        <w:t>個月內提送書面報告予</w:t>
      </w:r>
      <w:r w:rsidRPr="001B6E4D">
        <w:rPr>
          <w:rFonts w:hint="eastAsia"/>
        </w:rPr>
        <w:t>立法院</w:t>
      </w:r>
      <w:r w:rsidRPr="001B6E4D">
        <w:t>司法及法制委員會。【53】</w:t>
      </w:r>
    </w:p>
    <w:p w14:paraId="401905A8"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1AFAC823" w14:textId="77777777" w:rsidR="00201B77" w:rsidRPr="001B6E4D" w:rsidRDefault="00201B77" w:rsidP="003D1018">
      <w:pPr>
        <w:pStyle w:val="2fb"/>
        <w:overflowPunct w:val="0"/>
      </w:pPr>
      <w:r w:rsidRPr="001B6E4D">
        <w:rPr>
          <w:rFonts w:hint="eastAsia"/>
        </w:rPr>
        <w:t>連署人：</w:t>
      </w:r>
      <w:proofErr w:type="gramStart"/>
      <w:r w:rsidRPr="001B6E4D">
        <w:rPr>
          <w:rFonts w:hint="eastAsia"/>
        </w:rPr>
        <w:t>范</w:t>
      </w:r>
      <w:proofErr w:type="gramEnd"/>
      <w:r w:rsidRPr="001B6E4D">
        <w:rPr>
          <w:rFonts w:hint="eastAsia"/>
        </w:rPr>
        <w:t xml:space="preserve">  雲  張雅琳</w:t>
      </w:r>
    </w:p>
    <w:p w14:paraId="21DCB2D8" w14:textId="77777777" w:rsidR="00201B77" w:rsidRPr="001B6E4D" w:rsidRDefault="00201B77" w:rsidP="003D1018">
      <w:pPr>
        <w:pStyle w:val="1f6"/>
        <w:overflowPunct w:val="0"/>
      </w:pPr>
      <w:proofErr w:type="gramStart"/>
      <w:r w:rsidRPr="001B6E4D">
        <w:t>115</w:t>
      </w:r>
      <w:proofErr w:type="gramEnd"/>
      <w:r w:rsidRPr="001B6E4D">
        <w:t>年度國史館臺灣文獻館</w:t>
      </w:r>
      <w:r w:rsidRPr="001B6E4D">
        <w:rPr>
          <w:rFonts w:hint="eastAsia"/>
        </w:rPr>
        <w:t>預算案於第2目</w:t>
      </w:r>
      <w:r w:rsidRPr="001B6E4D">
        <w:t>「文獻業務」項下編列相關預算，辦理文獻檔案數位化、資料庫維護及開放應用等業務。</w:t>
      </w:r>
      <w:proofErr w:type="gramStart"/>
      <w:r w:rsidRPr="001B6E4D">
        <w:t>惟查該</w:t>
      </w:r>
      <w:proofErr w:type="gramEnd"/>
      <w:r w:rsidRPr="001B6E4D">
        <w:t>館近年持續推動文獻檔案數位化</w:t>
      </w:r>
      <w:proofErr w:type="gramStart"/>
      <w:r w:rsidRPr="001B6E4D">
        <w:t>與線上閱覽</w:t>
      </w:r>
      <w:proofErr w:type="gramEnd"/>
      <w:r w:rsidRPr="001B6E4D">
        <w:t>服務，</w:t>
      </w:r>
      <w:proofErr w:type="gramStart"/>
      <w:r w:rsidRPr="001B6E4D">
        <w:t>114</w:t>
      </w:r>
      <w:proofErr w:type="gramEnd"/>
      <w:r w:rsidRPr="001B6E4D">
        <w:t>年度上半年文獻檔案查詢系統瀏覽人次已逾67萬人次，顯示民眾對臺灣歷史文獻數位應用需求日益提升。然目前各資料庫系統間之整合性、檢索便利性、跨系統串接及數位典藏資料開放應用情形，仍有持續精進空間。</w:t>
      </w:r>
    </w:p>
    <w:p w14:paraId="2AC5D0ED" w14:textId="77777777" w:rsidR="00201B77" w:rsidRPr="001B6E4D" w:rsidRDefault="00201B77" w:rsidP="003D1018">
      <w:pPr>
        <w:pStyle w:val="1f7"/>
        <w:overflowPunct w:val="0"/>
      </w:pPr>
      <w:proofErr w:type="gramStart"/>
      <w:r w:rsidRPr="001B6E4D">
        <w:t>爰</w:t>
      </w:r>
      <w:proofErr w:type="gramEnd"/>
      <w:r w:rsidRPr="001B6E4D">
        <w:t>請國史館臺灣文獻館，就文獻資料庫整合優化、數位典藏資料開放應用、原住民族及地方史料詮釋資料建置進度，以及提升民眾查詢與研究使用便利性等事項，於3個月內向立法院司法及法制委員會提出書面報告。【54】</w:t>
      </w:r>
    </w:p>
    <w:p w14:paraId="01ECE061"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77689944" w14:textId="77777777" w:rsidR="00201B77" w:rsidRPr="001B6E4D" w:rsidRDefault="00201B77" w:rsidP="003D1018">
      <w:pPr>
        <w:pStyle w:val="2fb"/>
        <w:overflowPunct w:val="0"/>
      </w:pPr>
      <w:r w:rsidRPr="001B6E4D">
        <w:rPr>
          <w:rFonts w:hint="eastAsia"/>
        </w:rPr>
        <w:t>連署人：張雅琳  莊瑞雄</w:t>
      </w:r>
    </w:p>
    <w:p w14:paraId="02CCB01C" w14:textId="77777777" w:rsidR="00201B77" w:rsidRPr="001B6E4D" w:rsidRDefault="00201B77" w:rsidP="003D1018">
      <w:pPr>
        <w:pStyle w:val="1f6"/>
        <w:overflowPunct w:val="0"/>
      </w:pPr>
      <w:proofErr w:type="gramStart"/>
      <w:r w:rsidRPr="001B6E4D">
        <w:rPr>
          <w:spacing w:val="-4"/>
        </w:rPr>
        <w:t>115</w:t>
      </w:r>
      <w:proofErr w:type="gramEnd"/>
      <w:r w:rsidRPr="001B6E4D">
        <w:rPr>
          <w:spacing w:val="-4"/>
        </w:rPr>
        <w:t>年度國史館臺灣文獻館編列相關預算辦理館藏文物典藏維護、</w:t>
      </w:r>
      <w:r w:rsidRPr="001B6E4D">
        <w:t>檔案庫房管理及典藏環境改善等業務，包括檔案修護、庫房空調設備維護、消防設備檢測及檔案庫房整修等工作。</w:t>
      </w:r>
      <w:proofErr w:type="gramStart"/>
      <w:r w:rsidRPr="001B6E4D">
        <w:t>惟查館</w:t>
      </w:r>
      <w:proofErr w:type="gramEnd"/>
      <w:r w:rsidRPr="001B6E4D">
        <w:t>藏文獻檔案及民俗文物數量龐大，且多屬珍貴歷史文化資產，相關典藏環境、消防安全、空調溫濕度控制及災害風險管理，均</w:t>
      </w:r>
      <w:proofErr w:type="gramStart"/>
      <w:r w:rsidRPr="001B6E4D">
        <w:t>攸</w:t>
      </w:r>
      <w:proofErr w:type="gramEnd"/>
      <w:r w:rsidRPr="001B6E4D">
        <w:t>關文化資產保存品質與安全。</w:t>
      </w:r>
    </w:p>
    <w:p w14:paraId="018CC3AB" w14:textId="77777777" w:rsidR="00201B77" w:rsidRPr="001B6E4D" w:rsidRDefault="00201B77" w:rsidP="003D1018">
      <w:pPr>
        <w:pStyle w:val="1f7"/>
        <w:overflowPunct w:val="0"/>
      </w:pPr>
      <w:proofErr w:type="gramStart"/>
      <w:r w:rsidRPr="001B6E4D">
        <w:t>爰</w:t>
      </w:r>
      <w:proofErr w:type="gramEnd"/>
      <w:r w:rsidRPr="001B6E4D">
        <w:t>請國史館臺灣文獻館，就館藏文獻與文物典藏環境現況、檔案庫房消防與防災設備改善規劃、珍貴文獻及文物保存維護機制，以及中長程典藏環境優化與數位備援規劃等事項，於3個月內向立法院司法及法制委員會提出書面報告。【5</w:t>
      </w:r>
      <w:r w:rsidRPr="001B6E4D">
        <w:rPr>
          <w:rFonts w:hint="eastAsia"/>
        </w:rPr>
        <w:t>5</w:t>
      </w:r>
      <w:r w:rsidRPr="001B6E4D">
        <w:t>】</w:t>
      </w:r>
    </w:p>
    <w:p w14:paraId="103B3205" w14:textId="77777777" w:rsidR="00201B77" w:rsidRPr="001B6E4D" w:rsidRDefault="00201B77" w:rsidP="003D1018">
      <w:pPr>
        <w:pStyle w:val="2fb"/>
        <w:overflowPunct w:val="0"/>
      </w:pPr>
      <w:r w:rsidRPr="001B6E4D">
        <w:t>提案人：沈發惠</w:t>
      </w:r>
    </w:p>
    <w:p w14:paraId="49FAAB73" w14:textId="77777777" w:rsidR="00201B77" w:rsidRPr="001B6E4D" w:rsidRDefault="00201B77" w:rsidP="003D1018">
      <w:pPr>
        <w:pStyle w:val="2fb"/>
        <w:overflowPunct w:val="0"/>
      </w:pPr>
      <w:r w:rsidRPr="001B6E4D">
        <w:rPr>
          <w:rFonts w:hint="eastAsia"/>
        </w:rPr>
        <w:t>連署人：張雅琳  莊瑞雄</w:t>
      </w:r>
    </w:p>
    <w:p w14:paraId="309025FD" w14:textId="77777777" w:rsidR="00201B77" w:rsidRPr="001B6E4D" w:rsidRDefault="00201B77" w:rsidP="003D1018">
      <w:pPr>
        <w:pStyle w:val="1f6"/>
        <w:overflowPunct w:val="0"/>
      </w:pPr>
      <w:proofErr w:type="gramStart"/>
      <w:r w:rsidRPr="001B6E4D">
        <w:rPr>
          <w:spacing w:val="-4"/>
        </w:rPr>
        <w:t>115</w:t>
      </w:r>
      <w:proofErr w:type="gramEnd"/>
      <w:r w:rsidRPr="001B6E4D">
        <w:rPr>
          <w:spacing w:val="-4"/>
        </w:rPr>
        <w:t>年度國史館臺灣文獻館編列相關預算辦理文獻檔案整理編目、</w:t>
      </w:r>
      <w:r w:rsidRPr="001B6E4D">
        <w:t>數位典藏及資料庫維護等業務，並持續辦理原住民族、地方議會及日治時期檔案之詮釋資料著錄與研究應用。</w:t>
      </w:r>
      <w:proofErr w:type="gramStart"/>
      <w:r w:rsidRPr="001B6E4D">
        <w:t>惟查不同</w:t>
      </w:r>
      <w:proofErr w:type="gramEnd"/>
      <w:r w:rsidRPr="001B6E4D">
        <w:lastRenderedPageBreak/>
        <w:t>時期、族群及地方史料之分類方式、關鍵詞著錄標準及詮釋內容，涉及歷史脈絡、族群文化與資料檢索一致性，</w:t>
      </w:r>
      <w:proofErr w:type="gramStart"/>
      <w:r w:rsidRPr="001B6E4D">
        <w:t>攸</w:t>
      </w:r>
      <w:proofErr w:type="gramEnd"/>
      <w:r w:rsidRPr="001B6E4D">
        <w:t>關研究使用效能與歷史資料近用品質。</w:t>
      </w:r>
    </w:p>
    <w:p w14:paraId="250E2458" w14:textId="77777777" w:rsidR="00201B77" w:rsidRPr="001B6E4D" w:rsidRDefault="00201B77" w:rsidP="003D1018">
      <w:pPr>
        <w:pStyle w:val="1f7"/>
        <w:overflowPunct w:val="0"/>
      </w:pPr>
      <w:proofErr w:type="gramStart"/>
      <w:r w:rsidRPr="001B6E4D">
        <w:t>爰</w:t>
      </w:r>
      <w:proofErr w:type="gramEnd"/>
      <w:r w:rsidRPr="001B6E4D">
        <w:t>請國史館臺灣文獻館，就原住民族、地方議會及日治時期檔案等重要史料之詮釋資料建置原則、關鍵詞著錄標準、資料庫整合情形及後續推動規劃，於3個月內向立法院司法及法制委員會提出書面報告。【56】</w:t>
      </w:r>
    </w:p>
    <w:p w14:paraId="2A94F7BF"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2FF12192" w14:textId="77777777" w:rsidR="00201B77" w:rsidRPr="001B6E4D" w:rsidRDefault="00201B77" w:rsidP="003D1018">
      <w:pPr>
        <w:pStyle w:val="2fb"/>
        <w:overflowPunct w:val="0"/>
      </w:pPr>
      <w:r w:rsidRPr="001B6E4D">
        <w:rPr>
          <w:rFonts w:hint="eastAsia"/>
        </w:rPr>
        <w:t>連署人：張雅琳  莊瑞雄</w:t>
      </w:r>
    </w:p>
    <w:p w14:paraId="50A1A6F2" w14:textId="77777777" w:rsidR="00201B77" w:rsidRPr="001B6E4D" w:rsidRDefault="00201B77" w:rsidP="003D1018">
      <w:pPr>
        <w:pStyle w:val="1f6"/>
        <w:overflowPunct w:val="0"/>
      </w:pPr>
      <w:proofErr w:type="gramStart"/>
      <w:r w:rsidRPr="001B6E4D">
        <w:t>115</w:t>
      </w:r>
      <w:proofErr w:type="gramEnd"/>
      <w:r w:rsidRPr="001B6E4D">
        <w:t>年度國史館臺灣文獻館</w:t>
      </w:r>
      <w:r w:rsidRPr="001B6E4D">
        <w:rPr>
          <w:rFonts w:hint="eastAsia"/>
        </w:rPr>
        <w:t>歲入</w:t>
      </w:r>
      <w:r w:rsidRPr="001B6E4D">
        <w:t>預算於</w:t>
      </w:r>
      <w:r w:rsidRPr="001B6E4D">
        <w:rPr>
          <w:rFonts w:hint="eastAsia"/>
        </w:rPr>
        <w:t>「規費收入」科目項下</w:t>
      </w:r>
      <w:r w:rsidRPr="001B6E4D">
        <w:rPr>
          <w:color w:val="000000" w:themeColor="text1"/>
          <w:shd w:val="clear" w:color="auto" w:fill="FFFFFF"/>
        </w:rPr>
        <w:t>第1目</w:t>
      </w:r>
      <w:r w:rsidRPr="001B6E4D">
        <w:t>「使用規費收入</w:t>
      </w:r>
      <w:r w:rsidRPr="001B6E4D">
        <w:rPr>
          <w:rFonts w:hint="eastAsia"/>
        </w:rPr>
        <w:t>」之「</w:t>
      </w:r>
      <w:r w:rsidRPr="001B6E4D">
        <w:t>資料使用費」編列7萬3千元，另於</w:t>
      </w:r>
      <w:r w:rsidRPr="001B6E4D">
        <w:rPr>
          <w:rFonts w:hint="eastAsia"/>
        </w:rPr>
        <w:t>歲出預算第2目</w:t>
      </w:r>
      <w:r w:rsidRPr="001B6E4D">
        <w:t>「文獻業務</w:t>
      </w:r>
      <w:r w:rsidRPr="001B6E4D">
        <w:rPr>
          <w:rFonts w:hint="eastAsia"/>
        </w:rPr>
        <w:t>」項下「</w:t>
      </w:r>
      <w:r w:rsidRPr="001B6E4D">
        <w:t>民俗文物管理應用」及</w:t>
      </w:r>
      <w:r w:rsidRPr="001B6E4D">
        <w:rPr>
          <w:rFonts w:hint="eastAsia"/>
        </w:rPr>
        <w:t>「</w:t>
      </w:r>
      <w:r w:rsidRPr="001B6E4D">
        <w:t>文獻管理應用」分支計畫分別編列871萬元及1,693萬1千元，用於館藏文物及文獻檔案之管理應用。</w:t>
      </w:r>
      <w:proofErr w:type="gramStart"/>
      <w:r w:rsidRPr="001B6E4D">
        <w:t>惟查該</w:t>
      </w:r>
      <w:proofErr w:type="gramEnd"/>
      <w:r w:rsidRPr="001B6E4D">
        <w:t>館109至113年度「資料使用費」決算數分別為10萬2千元、7萬1千元、7萬4千元、9萬8千元及7萬7千元，整體收入金額有限，且</w:t>
      </w:r>
      <w:proofErr w:type="gramStart"/>
      <w:r w:rsidRPr="001B6E4D">
        <w:t>113</w:t>
      </w:r>
      <w:proofErr w:type="gramEnd"/>
      <w:r w:rsidRPr="001B6E4D">
        <w:t>年</w:t>
      </w:r>
      <w:r w:rsidRPr="001B6E4D">
        <w:rPr>
          <w:rFonts w:hint="eastAsia"/>
        </w:rPr>
        <w:t>度</w:t>
      </w:r>
      <w:r w:rsidRPr="001B6E4D">
        <w:t>較</w:t>
      </w:r>
      <w:proofErr w:type="gramStart"/>
      <w:r w:rsidRPr="001B6E4D">
        <w:t>109</w:t>
      </w:r>
      <w:proofErr w:type="gramEnd"/>
      <w:r w:rsidRPr="001B6E4D">
        <w:t>年度減少24.51%；另截至114年7月底，該館典藏文獻檔案43萬6,099卷、文物類4萬2,203件、館藏圖書9萬8,517冊，館藏資源豐富，惟</w:t>
      </w:r>
      <w:proofErr w:type="gramStart"/>
      <w:r w:rsidRPr="001B6E4D">
        <w:t>109</w:t>
      </w:r>
      <w:proofErr w:type="gramEnd"/>
      <w:r w:rsidRPr="001B6E4D">
        <w:t>年度至114年7月底止，文物類加值運用僅介於14至32件，其中民俗文物及碑碣拓本部分年度甚至無加值運用紀錄，顯示相較於龐大館藏，文物類活化應用成效仍有不足。</w:t>
      </w:r>
    </w:p>
    <w:p w14:paraId="648E61A3" w14:textId="77777777" w:rsidR="00201B77" w:rsidRPr="001B6E4D" w:rsidRDefault="00201B77" w:rsidP="003D1018">
      <w:pPr>
        <w:pStyle w:val="1f7"/>
        <w:overflowPunct w:val="0"/>
      </w:pPr>
      <w:r w:rsidRPr="001B6E4D">
        <w:t>臺灣文獻館肩負保存臺灣歷史記憶、傳承常民文化及推廣臺灣史料之重要任務，</w:t>
      </w:r>
      <w:proofErr w:type="gramStart"/>
      <w:r w:rsidRPr="001B6E4D">
        <w:t>爰</w:t>
      </w:r>
      <w:proofErr w:type="gramEnd"/>
      <w:r w:rsidRPr="001B6E4D">
        <w:t>要求國史館臺灣文獻館應於兼顧文物安全、典藏保存及權利管理之前提下，檢討館藏資料及文物圖像加值運用機制，</w:t>
      </w:r>
      <w:proofErr w:type="gramStart"/>
      <w:r w:rsidRPr="001B6E4D">
        <w:t>研</w:t>
      </w:r>
      <w:proofErr w:type="gramEnd"/>
      <w:r w:rsidRPr="001B6E4D">
        <w:t>議強化民俗文物、古文書、碑碣拓本等</w:t>
      </w:r>
      <w:proofErr w:type="gramStart"/>
      <w:r w:rsidRPr="001B6E4D">
        <w:t>文物類館藏</w:t>
      </w:r>
      <w:proofErr w:type="gramEnd"/>
      <w:r w:rsidRPr="001B6E4D">
        <w:t>之展示、授權、數位應用、教育推廣</w:t>
      </w:r>
      <w:proofErr w:type="gramStart"/>
      <w:r w:rsidRPr="001B6E4D">
        <w:t>及文創合作</w:t>
      </w:r>
      <w:proofErr w:type="gramEnd"/>
      <w:r w:rsidRPr="001B6E4D">
        <w:t>等多元應用模式，並於</w:t>
      </w:r>
      <w:r w:rsidRPr="001B6E4D">
        <w:rPr>
          <w:rFonts w:hint="eastAsia"/>
        </w:rPr>
        <w:t>3</w:t>
      </w:r>
      <w:r w:rsidRPr="001B6E4D">
        <w:t>個月內向立法院司法及法制委員會提出書面報告，以提升館藏活化效益，促進臺灣文化傳承，並策進資料使用收入。【5</w:t>
      </w:r>
      <w:r w:rsidRPr="001B6E4D">
        <w:rPr>
          <w:rFonts w:hint="eastAsia"/>
        </w:rPr>
        <w:t>7</w:t>
      </w:r>
      <w:r w:rsidRPr="001B6E4D">
        <w:t>】</w:t>
      </w:r>
    </w:p>
    <w:p w14:paraId="45448E3E" w14:textId="77777777" w:rsidR="00201B77" w:rsidRPr="001B6E4D" w:rsidRDefault="00201B77"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7211CD2B" w14:textId="77777777" w:rsidR="00201B77" w:rsidRPr="001B6E4D" w:rsidRDefault="00201B77" w:rsidP="003D1018">
      <w:pPr>
        <w:pStyle w:val="2fb"/>
        <w:overflowPunct w:val="0"/>
      </w:pPr>
      <w:r w:rsidRPr="001B6E4D">
        <w:rPr>
          <w:rFonts w:hint="eastAsia"/>
        </w:rPr>
        <w:t>連署人：沈發惠  莊瑞雄</w:t>
      </w:r>
    </w:p>
    <w:p w14:paraId="2FF8D2FF" w14:textId="77777777" w:rsidR="00201B77" w:rsidRPr="001B6E4D" w:rsidRDefault="00201B77" w:rsidP="003D1018">
      <w:pPr>
        <w:pStyle w:val="1f6"/>
        <w:overflowPunct w:val="0"/>
      </w:pPr>
      <w:proofErr w:type="gramStart"/>
      <w:r w:rsidRPr="001B6E4D">
        <w:rPr>
          <w:rFonts w:hint="eastAsia"/>
        </w:rPr>
        <w:t>鑑</w:t>
      </w:r>
      <w:proofErr w:type="gramEnd"/>
      <w:r w:rsidRPr="001B6E4D">
        <w:rPr>
          <w:rFonts w:hint="eastAsia"/>
        </w:rPr>
        <w:t>於新竹縣立總圖書館將於115年底開館，地方文史工作者及民意代表均殷切期盼能尋回新竹州圖書館於日治時期流散各地之館藏珍貴書籍，以充實地方文史脈絡。</w:t>
      </w:r>
    </w:p>
    <w:p w14:paraId="77C35B86" w14:textId="77777777" w:rsidR="00201B77" w:rsidRPr="001B6E4D" w:rsidRDefault="00201B77" w:rsidP="003D1018">
      <w:pPr>
        <w:pStyle w:val="1f7"/>
        <w:overflowPunct w:val="0"/>
        <w:rPr>
          <w:color w:val="000000" w:themeColor="text1"/>
        </w:rPr>
      </w:pPr>
      <w:r w:rsidRPr="001B6E4D">
        <w:rPr>
          <w:rFonts w:hint="eastAsia"/>
        </w:rPr>
        <w:t>經查，新竹縣政府文化局曾於102年間，考量藏品屬性及專業研究人力之配置，將該批約4,000冊之</w:t>
      </w:r>
      <w:proofErr w:type="gramStart"/>
      <w:r w:rsidRPr="001B6E4D">
        <w:rPr>
          <w:rFonts w:hint="eastAsia"/>
        </w:rPr>
        <w:t>日文舊籍贈與</w:t>
      </w:r>
      <w:proofErr w:type="gramEnd"/>
      <w:r w:rsidRPr="001B6E4D">
        <w:rPr>
          <w:rFonts w:hint="eastAsia"/>
        </w:rPr>
        <w:t>國史館臺灣文獻館（下稱臺灣文獻館）。臺灣</w:t>
      </w:r>
      <w:proofErr w:type="gramStart"/>
      <w:r w:rsidRPr="001B6E4D">
        <w:rPr>
          <w:rFonts w:hint="eastAsia"/>
        </w:rPr>
        <w:t>文獻館收受</w:t>
      </w:r>
      <w:proofErr w:type="gramEnd"/>
      <w:r w:rsidRPr="001B6E4D">
        <w:rPr>
          <w:rFonts w:hint="eastAsia"/>
        </w:rPr>
        <w:t>該批書籍</w:t>
      </w:r>
      <w:r w:rsidRPr="001B6E4D">
        <w:rPr>
          <w:rFonts w:hint="eastAsia"/>
        </w:rPr>
        <w:lastRenderedPageBreak/>
        <w:t>後，歷經數年審慎整編、建置專業庫房並購置典藏櫃架，已於106年完成全面編目，並將目錄公開上網提供讀者提調閱覽；近年更積極致力於圖書數位化，規劃建置數位平台以加速開放研究、展示等應用，其對於保存珍貴臺灣文獻之努力與專業貢獻，實值肯定。</w:t>
      </w:r>
    </w:p>
    <w:p w14:paraId="1C9B0A2F" w14:textId="77777777" w:rsidR="00201B77" w:rsidRPr="001B6E4D" w:rsidRDefault="00201B77" w:rsidP="003D1018">
      <w:pPr>
        <w:pStyle w:val="1f7"/>
        <w:overflowPunct w:val="0"/>
      </w:pPr>
      <w:r w:rsidRPr="001B6E4D">
        <w:rPr>
          <w:rFonts w:hint="eastAsia"/>
        </w:rPr>
        <w:t>復查，新竹州圖書館之館</w:t>
      </w:r>
      <w:proofErr w:type="gramStart"/>
      <w:r w:rsidRPr="001B6E4D">
        <w:rPr>
          <w:rFonts w:hint="eastAsia"/>
        </w:rPr>
        <w:t>藏舊籍</w:t>
      </w:r>
      <w:proofErr w:type="gramEnd"/>
      <w:r w:rsidRPr="001B6E4D">
        <w:rPr>
          <w:rFonts w:hint="eastAsia"/>
        </w:rPr>
        <w:t>，承載日治時期新竹州轄區（今桃園、新竹、苗栗地區）重要之地方文史脈絡。適逢新竹縣立總圖書館開館在即，為深化地方文史研究，提升該批</w:t>
      </w:r>
      <w:proofErr w:type="gramStart"/>
      <w:r w:rsidRPr="001B6E4D">
        <w:rPr>
          <w:rFonts w:hint="eastAsia"/>
        </w:rPr>
        <w:t>日文舊籍之</w:t>
      </w:r>
      <w:proofErr w:type="gramEnd"/>
      <w:r w:rsidRPr="001B6E4D">
        <w:rPr>
          <w:rFonts w:hint="eastAsia"/>
        </w:rPr>
        <w:t>社會利用，中央與地方實有協作之空間。在不影響臺灣文獻館典藏環境與專業管理之前提下，思考如何促進中央與地方之交流。</w:t>
      </w:r>
    </w:p>
    <w:p w14:paraId="02E27323" w14:textId="77777777" w:rsidR="00201B77" w:rsidRPr="001B6E4D" w:rsidRDefault="00201B77" w:rsidP="003D1018">
      <w:pPr>
        <w:pStyle w:val="1f7"/>
        <w:overflowPunct w:val="0"/>
      </w:pPr>
      <w:r w:rsidRPr="001B6E4D">
        <w:rPr>
          <w:rFonts w:hint="eastAsia"/>
        </w:rPr>
        <w:t>為促進珍貴地方文獻之流通、研究與活化利用，</w:t>
      </w:r>
      <w:proofErr w:type="gramStart"/>
      <w:r w:rsidRPr="001B6E4D">
        <w:rPr>
          <w:rFonts w:hint="eastAsia"/>
        </w:rPr>
        <w:t>爰</w:t>
      </w:r>
      <w:proofErr w:type="gramEnd"/>
      <w:r w:rsidRPr="001B6E4D">
        <w:rPr>
          <w:rFonts w:hint="eastAsia"/>
        </w:rPr>
        <w:t>建請國史館臺灣文獻館評估與地方協作之可行性，如館際交流、出借展覽或其他方式等，並於3個月內提出書面報告予立法院司法及法制委員會。</w:t>
      </w:r>
      <w:r w:rsidRPr="001B6E4D">
        <w:t>【5</w:t>
      </w:r>
      <w:r w:rsidRPr="001B6E4D">
        <w:rPr>
          <w:rFonts w:hint="eastAsia"/>
        </w:rPr>
        <w:t>8</w:t>
      </w:r>
      <w:r w:rsidRPr="001B6E4D">
        <w:t>】</w:t>
      </w:r>
    </w:p>
    <w:p w14:paraId="4467B2D2" w14:textId="77777777" w:rsidR="00201B77" w:rsidRPr="001B6E4D" w:rsidRDefault="00201B77" w:rsidP="003D1018">
      <w:pPr>
        <w:pStyle w:val="2fb"/>
        <w:overflowPunct w:val="0"/>
      </w:pPr>
      <w:r w:rsidRPr="001B6E4D">
        <w:t>提案人：</w:t>
      </w:r>
      <w:proofErr w:type="gramStart"/>
      <w:r w:rsidRPr="001B6E4D">
        <w:rPr>
          <w:rFonts w:hint="eastAsia"/>
        </w:rPr>
        <w:t>范</w:t>
      </w:r>
      <w:proofErr w:type="gramEnd"/>
      <w:r w:rsidRPr="001B6E4D">
        <w:rPr>
          <w:rFonts w:hint="eastAsia"/>
        </w:rPr>
        <w:t xml:space="preserve">  雲</w:t>
      </w:r>
    </w:p>
    <w:p w14:paraId="59440977" w14:textId="77777777" w:rsidR="00201B77" w:rsidRPr="001B6E4D" w:rsidRDefault="00201B77" w:rsidP="003D1018">
      <w:pPr>
        <w:pStyle w:val="2fb"/>
        <w:overflowPunct w:val="0"/>
      </w:pPr>
      <w:r w:rsidRPr="001B6E4D">
        <w:rPr>
          <w:rFonts w:hint="eastAsia"/>
        </w:rPr>
        <w:t xml:space="preserve">連署人：莊瑞雄  沈發惠 </w:t>
      </w:r>
    </w:p>
    <w:p w14:paraId="222C0FA5" w14:textId="77777777" w:rsidR="00201B77" w:rsidRPr="001B6E4D" w:rsidRDefault="00201B77" w:rsidP="003D1018">
      <w:pPr>
        <w:overflowPunct w:val="0"/>
        <w:snapToGrid w:val="0"/>
        <w:spacing w:line="380" w:lineRule="exact"/>
        <w:ind w:leftChars="53" w:left="688" w:hangingChars="200" w:hanging="561"/>
        <w:jc w:val="both"/>
        <w:rPr>
          <w:rFonts w:ascii="標楷體" w:eastAsia="標楷體" w:hAnsi="標楷體"/>
          <w:b/>
          <w:color w:val="000000" w:themeColor="text1"/>
          <w:kern w:val="0"/>
          <w:sz w:val="28"/>
          <w:szCs w:val="28"/>
          <w:shd w:val="clear" w:color="auto" w:fill="FFFFFF"/>
        </w:rPr>
      </w:pPr>
      <w:r w:rsidRPr="001B6E4D">
        <w:rPr>
          <w:rFonts w:ascii="標楷體" w:eastAsia="標楷體" w:hAnsi="標楷體" w:hint="eastAsia"/>
          <w:b/>
          <w:color w:val="000000" w:themeColor="text1"/>
          <w:kern w:val="0"/>
          <w:sz w:val="28"/>
          <w:szCs w:val="28"/>
          <w:shd w:val="clear" w:color="auto" w:fill="FFFFFF"/>
        </w:rPr>
        <w:t>(三)中華民國</w:t>
      </w:r>
      <w:proofErr w:type="gramStart"/>
      <w:r w:rsidRPr="001B6E4D">
        <w:rPr>
          <w:rFonts w:ascii="標楷體" w:eastAsia="標楷體" w:hAnsi="標楷體" w:hint="eastAsia"/>
          <w:b/>
          <w:color w:val="000000" w:themeColor="text1"/>
          <w:kern w:val="0"/>
          <w:sz w:val="28"/>
          <w:szCs w:val="28"/>
          <w:shd w:val="clear" w:color="auto" w:fill="FFFFFF"/>
        </w:rPr>
        <w:t>11</w:t>
      </w:r>
      <w:r w:rsidRPr="001B6E4D">
        <w:rPr>
          <w:rFonts w:ascii="標楷體" w:eastAsia="標楷體" w:hAnsi="標楷體"/>
          <w:b/>
          <w:color w:val="000000" w:themeColor="text1"/>
          <w:kern w:val="0"/>
          <w:sz w:val="28"/>
          <w:szCs w:val="28"/>
          <w:shd w:val="clear" w:color="auto" w:fill="FFFFFF"/>
        </w:rPr>
        <w:t>5</w:t>
      </w:r>
      <w:proofErr w:type="gramEnd"/>
      <w:r w:rsidRPr="001B6E4D">
        <w:rPr>
          <w:rFonts w:ascii="標楷體" w:eastAsia="標楷體" w:hAnsi="標楷體" w:hint="eastAsia"/>
          <w:b/>
          <w:color w:val="000000" w:themeColor="text1"/>
          <w:kern w:val="0"/>
          <w:sz w:val="28"/>
          <w:szCs w:val="28"/>
          <w:shd w:val="clear" w:color="auto" w:fill="FFFFFF"/>
        </w:rPr>
        <w:t>年度中央政府總預算案關於總統府主管（不含中央研究院）收支部分</w:t>
      </w:r>
      <w:r w:rsidRPr="001B6E4D">
        <w:rPr>
          <w:rFonts w:ascii="標楷體" w:eastAsia="標楷體" w:hAnsi="標楷體"/>
          <w:b/>
          <w:color w:val="000000" w:themeColor="text1"/>
          <w:kern w:val="0"/>
          <w:sz w:val="28"/>
          <w:szCs w:val="28"/>
          <w:shd w:val="clear" w:color="auto" w:fill="FFFFFF"/>
        </w:rPr>
        <w:t>審查完竣，</w:t>
      </w:r>
      <w:r w:rsidRPr="001B6E4D">
        <w:rPr>
          <w:rFonts w:ascii="標楷體" w:eastAsia="標楷體" w:hAnsi="標楷體" w:hint="eastAsia"/>
          <w:b/>
          <w:color w:val="000000" w:themeColor="text1"/>
          <w:kern w:val="0"/>
          <w:sz w:val="28"/>
          <w:szCs w:val="28"/>
          <w:shd w:val="clear" w:color="auto" w:fill="FFFFFF"/>
        </w:rPr>
        <w:t>提報院會，院會討論前，</w:t>
      </w:r>
      <w:r w:rsidRPr="001B6E4D">
        <w:rPr>
          <w:rFonts w:ascii="標楷體" w:eastAsia="標楷體" w:hAnsi="標楷體"/>
          <w:b/>
          <w:color w:val="000000" w:themeColor="text1"/>
          <w:kern w:val="0"/>
          <w:sz w:val="28"/>
          <w:szCs w:val="28"/>
          <w:shd w:val="clear" w:color="auto" w:fill="FFFFFF"/>
        </w:rPr>
        <w:t>須交由黨團協商</w:t>
      </w:r>
      <w:r w:rsidRPr="001B6E4D">
        <w:rPr>
          <w:rFonts w:ascii="標楷體" w:eastAsia="標楷體" w:hAnsi="標楷體" w:hint="eastAsia"/>
          <w:b/>
          <w:color w:val="000000" w:themeColor="text1"/>
          <w:kern w:val="0"/>
          <w:sz w:val="28"/>
          <w:szCs w:val="28"/>
          <w:shd w:val="clear" w:color="auto" w:fill="FFFFFF"/>
        </w:rPr>
        <w:t>；院會討論時，由莊召集委員瑞雄出席說明</w:t>
      </w:r>
      <w:r w:rsidRPr="001B6E4D">
        <w:rPr>
          <w:rFonts w:ascii="標楷體" w:eastAsia="標楷體" w:hAnsi="標楷體"/>
          <w:b/>
          <w:color w:val="000000" w:themeColor="text1"/>
          <w:kern w:val="0"/>
          <w:sz w:val="28"/>
          <w:szCs w:val="28"/>
          <w:shd w:val="clear" w:color="auto" w:fill="FFFFFF"/>
        </w:rPr>
        <w:t>。</w:t>
      </w:r>
    </w:p>
    <w:p w14:paraId="0F60F89F" w14:textId="77777777" w:rsidR="00201B77" w:rsidRPr="001B6E4D" w:rsidRDefault="00201B77" w:rsidP="003D1018">
      <w:pPr>
        <w:overflowPunct w:val="0"/>
        <w:spacing w:line="380" w:lineRule="exact"/>
        <w:ind w:left="504" w:hangingChars="180" w:hanging="504"/>
        <w:contextualSpacing/>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三、</w:t>
      </w:r>
      <w:r w:rsidRPr="001B6E4D">
        <w:rPr>
          <w:rFonts w:ascii="標楷體" w:eastAsia="標楷體" w:hAnsi="標楷體" w:hint="eastAsia"/>
          <w:sz w:val="28"/>
          <w:szCs w:val="28"/>
        </w:rPr>
        <w:t>本次會議通過之決議，依例文字授權主席及議事人員整理。</w:t>
      </w:r>
    </w:p>
    <w:p w14:paraId="162EB0C6" w14:textId="77777777" w:rsidR="00201B77" w:rsidRPr="001B6E4D" w:rsidRDefault="00201B77" w:rsidP="003D1018">
      <w:pPr>
        <w:overflowPunct w:val="0"/>
        <w:spacing w:line="380" w:lineRule="exact"/>
        <w:ind w:left="504" w:hangingChars="180" w:hanging="504"/>
        <w:contextualSpacing/>
        <w:jc w:val="both"/>
        <w:rPr>
          <w:rFonts w:ascii="標楷體" w:eastAsia="標楷體" w:hAnsi="標楷體" w:cs="標楷體"/>
          <w:color w:val="000000"/>
          <w:kern w:val="0"/>
          <w:sz w:val="28"/>
          <w:szCs w:val="28"/>
        </w:rPr>
      </w:pPr>
      <w:r w:rsidRPr="001B6E4D">
        <w:rPr>
          <w:rFonts w:ascii="標楷體" w:eastAsia="標楷體" w:hAnsi="標楷體" w:hint="eastAsia"/>
          <w:sz w:val="28"/>
          <w:szCs w:val="28"/>
        </w:rPr>
        <w:t>四、委員</w:t>
      </w:r>
      <w:r w:rsidRPr="001B6E4D">
        <w:rPr>
          <w:rFonts w:ascii="標楷體" w:eastAsia="標楷體" w:hAnsi="標楷體" w:hint="eastAsia"/>
          <w:color w:val="000000" w:themeColor="text1"/>
          <w:sz w:val="28"/>
          <w:szCs w:val="28"/>
        </w:rPr>
        <w:t>質詢時，要求提供相關資料或以書面答復者，請相關機關儘速送交個別委員及本會。</w:t>
      </w:r>
    </w:p>
    <w:p w14:paraId="18405A93" w14:textId="77777777" w:rsidR="00201B77" w:rsidRPr="001B6E4D" w:rsidRDefault="00201B77" w:rsidP="003D1018">
      <w:pPr>
        <w:overflowPunct w:val="0"/>
        <w:spacing w:line="360" w:lineRule="exact"/>
        <w:ind w:left="560" w:hangingChars="200" w:hanging="560"/>
        <w:contextualSpacing/>
        <w:jc w:val="both"/>
        <w:rPr>
          <w:rFonts w:ascii="標楷體" w:eastAsia="標楷體" w:hAnsi="標楷體"/>
          <w:sz w:val="28"/>
          <w:szCs w:val="28"/>
          <w:shd w:val="clear" w:color="auto" w:fill="FFFFFF" w:themeFill="background1"/>
        </w:rPr>
      </w:pPr>
      <w:r w:rsidRPr="001B6E4D">
        <w:rPr>
          <w:rFonts w:ascii="標楷體" w:eastAsia="標楷體" w:hAnsi="標楷體"/>
          <w:sz w:val="28"/>
          <w:szCs w:val="28"/>
        </w:rPr>
        <w:t>散會</w:t>
      </w:r>
    </w:p>
    <w:p w14:paraId="4B8573C0"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3D3EED3B" w14:textId="2AD514A3" w:rsidR="00705B3D" w:rsidRPr="001B6E4D" w:rsidRDefault="00705B3D"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08" w:name="_Toc240446599"/>
      <w:r w:rsidRPr="001B6E4D">
        <w:rPr>
          <w:rFonts w:ascii="標楷體" w:eastAsia="標楷體" w:hAnsi="標楷體"/>
          <w:b/>
          <w:spacing w:val="-2"/>
          <w:sz w:val="28"/>
          <w:szCs w:val="28"/>
        </w:rPr>
        <w:lastRenderedPageBreak/>
        <w:t>立法院第11屆第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15</w:t>
      </w:r>
      <w:r w:rsidRPr="001B6E4D">
        <w:rPr>
          <w:rFonts w:ascii="標楷體" w:eastAsia="標楷體" w:hAnsi="標楷體"/>
          <w:b/>
          <w:spacing w:val="-2"/>
          <w:sz w:val="28"/>
          <w:szCs w:val="28"/>
        </w:rPr>
        <w:t>次全體委員會議議事錄</w:t>
      </w:r>
      <w:bookmarkEnd w:id="508"/>
    </w:p>
    <w:p w14:paraId="321FD6F0" w14:textId="77777777" w:rsidR="00705B3D" w:rsidRPr="001B6E4D" w:rsidRDefault="00705B3D" w:rsidP="003D1018">
      <w:pPr>
        <w:pStyle w:val="Default"/>
        <w:overflowPunct w:val="0"/>
        <w:spacing w:line="360" w:lineRule="exact"/>
        <w:ind w:left="1400" w:hangingChars="500" w:hanging="1400"/>
        <w:jc w:val="both"/>
        <w:rPr>
          <w:rFonts w:ascii="標楷體" w:eastAsia="標楷體" w:hAnsi="標楷體"/>
          <w:color w:val="auto"/>
          <w:sz w:val="28"/>
          <w:szCs w:val="28"/>
        </w:rPr>
      </w:pPr>
      <w:r w:rsidRPr="001B6E4D">
        <w:rPr>
          <w:rFonts w:ascii="標楷體" w:eastAsia="標楷體" w:hAnsi="標楷體" w:hint="eastAsia"/>
          <w:color w:val="auto"/>
          <w:sz w:val="28"/>
          <w:szCs w:val="28"/>
        </w:rPr>
        <w:t>時　　間：</w:t>
      </w:r>
      <w:r w:rsidRPr="001B6E4D">
        <w:rPr>
          <w:rFonts w:ascii="標楷體" w:eastAsia="標楷體" w:hAnsi="標楷體" w:hint="eastAsia"/>
          <w:color w:val="auto"/>
          <w:spacing w:val="6"/>
          <w:sz w:val="28"/>
          <w:szCs w:val="28"/>
        </w:rPr>
        <w:t>中華民國</w:t>
      </w:r>
      <w:r w:rsidRPr="001B6E4D">
        <w:rPr>
          <w:rFonts w:ascii="標楷體" w:eastAsia="標楷體" w:hAnsi="標楷體"/>
          <w:color w:val="auto"/>
          <w:spacing w:val="6"/>
          <w:sz w:val="28"/>
          <w:szCs w:val="28"/>
        </w:rPr>
        <w:t>11</w:t>
      </w:r>
      <w:r w:rsidRPr="001B6E4D">
        <w:rPr>
          <w:rFonts w:ascii="標楷體" w:eastAsia="標楷體" w:hAnsi="標楷體" w:hint="eastAsia"/>
          <w:color w:val="auto"/>
          <w:spacing w:val="6"/>
          <w:sz w:val="28"/>
          <w:szCs w:val="28"/>
        </w:rPr>
        <w:t>5</w:t>
      </w:r>
      <w:r w:rsidRPr="001B6E4D">
        <w:rPr>
          <w:rFonts w:ascii="標楷體" w:eastAsia="標楷體" w:hAnsi="標楷體"/>
          <w:color w:val="auto"/>
          <w:spacing w:val="6"/>
          <w:sz w:val="28"/>
          <w:szCs w:val="28"/>
        </w:rPr>
        <w:t>年</w:t>
      </w:r>
      <w:r w:rsidRPr="001B6E4D">
        <w:rPr>
          <w:rFonts w:ascii="標楷體" w:eastAsia="標楷體" w:hAnsi="標楷體" w:hint="eastAsia"/>
          <w:color w:val="auto"/>
          <w:spacing w:val="6"/>
          <w:sz w:val="28"/>
          <w:szCs w:val="28"/>
        </w:rPr>
        <w:t>5</w:t>
      </w:r>
      <w:r w:rsidRPr="001B6E4D">
        <w:rPr>
          <w:rFonts w:ascii="標楷體" w:eastAsia="標楷體" w:hAnsi="標楷體"/>
          <w:color w:val="auto"/>
          <w:spacing w:val="6"/>
          <w:sz w:val="28"/>
          <w:szCs w:val="28"/>
        </w:rPr>
        <w:t>月</w:t>
      </w:r>
      <w:r w:rsidRPr="001B6E4D">
        <w:rPr>
          <w:rFonts w:ascii="標楷體" w:eastAsia="標楷體" w:hAnsi="標楷體" w:hint="eastAsia"/>
          <w:color w:val="auto"/>
          <w:spacing w:val="6"/>
          <w:sz w:val="28"/>
          <w:szCs w:val="28"/>
        </w:rPr>
        <w:t>25</w:t>
      </w:r>
      <w:r w:rsidRPr="001B6E4D">
        <w:rPr>
          <w:rFonts w:ascii="標楷體" w:eastAsia="標楷體" w:hAnsi="標楷體"/>
          <w:color w:val="auto"/>
          <w:spacing w:val="6"/>
          <w:sz w:val="28"/>
          <w:szCs w:val="28"/>
        </w:rPr>
        <w:t>日（星期</w:t>
      </w:r>
      <w:r w:rsidRPr="001B6E4D">
        <w:rPr>
          <w:rFonts w:ascii="標楷體" w:eastAsia="標楷體" w:hAnsi="標楷體" w:hint="eastAsia"/>
          <w:color w:val="auto"/>
          <w:spacing w:val="6"/>
          <w:sz w:val="28"/>
          <w:szCs w:val="28"/>
        </w:rPr>
        <w:t>一</w:t>
      </w:r>
      <w:r w:rsidRPr="001B6E4D">
        <w:rPr>
          <w:rFonts w:ascii="標楷體" w:eastAsia="標楷體" w:hAnsi="標楷體"/>
          <w:color w:val="auto"/>
          <w:spacing w:val="6"/>
          <w:sz w:val="28"/>
          <w:szCs w:val="28"/>
        </w:rPr>
        <w:t>）上午9時</w:t>
      </w:r>
      <w:r w:rsidRPr="001B6E4D">
        <w:rPr>
          <w:rFonts w:ascii="標楷體" w:eastAsia="標楷體" w:hAnsi="標楷體" w:hint="eastAsia"/>
          <w:color w:val="auto"/>
          <w:spacing w:val="6"/>
          <w:sz w:val="28"/>
          <w:szCs w:val="28"/>
        </w:rPr>
        <w:t>1</w:t>
      </w:r>
      <w:r w:rsidRPr="001B6E4D">
        <w:rPr>
          <w:rFonts w:ascii="標楷體" w:eastAsia="標楷體" w:hAnsi="標楷體"/>
          <w:color w:val="auto"/>
          <w:spacing w:val="6"/>
          <w:sz w:val="28"/>
          <w:szCs w:val="28"/>
        </w:rPr>
        <w:t>3分至</w:t>
      </w:r>
      <w:r w:rsidRPr="001B6E4D">
        <w:rPr>
          <w:rFonts w:ascii="標楷體" w:eastAsia="標楷體" w:hAnsi="標楷體" w:hint="eastAsia"/>
          <w:color w:val="auto"/>
          <w:spacing w:val="6"/>
          <w:sz w:val="28"/>
          <w:szCs w:val="28"/>
        </w:rPr>
        <w:t>11</w:t>
      </w:r>
      <w:r w:rsidRPr="001B6E4D">
        <w:rPr>
          <w:rFonts w:ascii="標楷體" w:eastAsia="標楷體" w:hAnsi="標楷體"/>
          <w:color w:val="auto"/>
          <w:spacing w:val="6"/>
          <w:sz w:val="28"/>
          <w:szCs w:val="28"/>
        </w:rPr>
        <w:t>時</w:t>
      </w:r>
      <w:r w:rsidRPr="001B6E4D">
        <w:rPr>
          <w:rFonts w:ascii="標楷體" w:eastAsia="標楷體" w:hAnsi="標楷體" w:hint="eastAsia"/>
          <w:color w:val="auto"/>
          <w:spacing w:val="6"/>
          <w:sz w:val="28"/>
          <w:szCs w:val="28"/>
        </w:rPr>
        <w:t>23</w:t>
      </w:r>
      <w:r w:rsidRPr="001B6E4D">
        <w:rPr>
          <w:rFonts w:ascii="標楷體" w:eastAsia="標楷體" w:hAnsi="標楷體"/>
          <w:color w:val="auto"/>
          <w:spacing w:val="6"/>
          <w:sz w:val="28"/>
          <w:szCs w:val="28"/>
        </w:rPr>
        <w:t>分</w:t>
      </w:r>
      <w:r w:rsidRPr="001B6E4D">
        <w:rPr>
          <w:rFonts w:ascii="標楷體" w:eastAsia="標楷體" w:hAnsi="標楷體" w:hint="eastAsia"/>
          <w:color w:val="auto"/>
          <w:sz w:val="28"/>
          <w:szCs w:val="28"/>
        </w:rPr>
        <w:t>；</w:t>
      </w:r>
      <w:r w:rsidRPr="001B6E4D">
        <w:rPr>
          <w:rFonts w:ascii="標楷體" w:eastAsia="標楷體" w:hAnsi="標楷體" w:hint="eastAsia"/>
          <w:color w:val="auto"/>
          <w:spacing w:val="6"/>
          <w:sz w:val="28"/>
          <w:szCs w:val="28"/>
        </w:rPr>
        <w:t>5月27日（星期三）上午</w:t>
      </w:r>
      <w:r w:rsidRPr="001B6E4D">
        <w:rPr>
          <w:rFonts w:ascii="標楷體" w:eastAsia="標楷體" w:hAnsi="標楷體"/>
          <w:color w:val="auto"/>
          <w:spacing w:val="6"/>
          <w:sz w:val="28"/>
          <w:szCs w:val="28"/>
        </w:rPr>
        <w:t>9</w:t>
      </w:r>
      <w:r w:rsidRPr="001B6E4D">
        <w:rPr>
          <w:rFonts w:ascii="標楷體" w:eastAsia="標楷體" w:hAnsi="標楷體" w:hint="eastAsia"/>
          <w:color w:val="auto"/>
          <w:spacing w:val="6"/>
          <w:sz w:val="28"/>
          <w:szCs w:val="28"/>
        </w:rPr>
        <w:t>時</w:t>
      </w:r>
      <w:r w:rsidRPr="001B6E4D">
        <w:rPr>
          <w:rFonts w:ascii="標楷體" w:eastAsia="標楷體" w:hAnsi="標楷體"/>
          <w:color w:val="auto"/>
          <w:spacing w:val="6"/>
          <w:sz w:val="28"/>
          <w:szCs w:val="28"/>
        </w:rPr>
        <w:t>3</w:t>
      </w:r>
      <w:r w:rsidRPr="001B6E4D">
        <w:rPr>
          <w:rFonts w:ascii="標楷體" w:eastAsia="標楷體" w:hAnsi="標楷體" w:hint="eastAsia"/>
          <w:color w:val="auto"/>
          <w:spacing w:val="6"/>
          <w:sz w:val="28"/>
          <w:szCs w:val="28"/>
        </w:rPr>
        <w:t>分至</w:t>
      </w:r>
      <w:r w:rsidRPr="001B6E4D">
        <w:rPr>
          <w:rFonts w:ascii="標楷體" w:eastAsia="標楷體" w:hAnsi="標楷體"/>
          <w:color w:val="auto"/>
          <w:spacing w:val="6"/>
          <w:sz w:val="28"/>
          <w:szCs w:val="28"/>
        </w:rPr>
        <w:t>12</w:t>
      </w:r>
      <w:r w:rsidRPr="001B6E4D">
        <w:rPr>
          <w:rFonts w:ascii="標楷體" w:eastAsia="標楷體" w:hAnsi="標楷體" w:hint="eastAsia"/>
          <w:color w:val="auto"/>
          <w:spacing w:val="6"/>
          <w:sz w:val="28"/>
          <w:szCs w:val="28"/>
        </w:rPr>
        <w:t>時6分；5</w:t>
      </w:r>
      <w:r w:rsidRPr="001B6E4D">
        <w:rPr>
          <w:rFonts w:ascii="標楷體" w:eastAsia="標楷體" w:hAnsi="標楷體"/>
          <w:color w:val="auto"/>
          <w:spacing w:val="6"/>
          <w:sz w:val="28"/>
          <w:szCs w:val="28"/>
        </w:rPr>
        <w:t>月</w:t>
      </w:r>
      <w:r w:rsidRPr="001B6E4D">
        <w:rPr>
          <w:rFonts w:ascii="標楷體" w:eastAsia="標楷體" w:hAnsi="標楷體" w:hint="eastAsia"/>
          <w:color w:val="auto"/>
          <w:spacing w:val="6"/>
          <w:sz w:val="28"/>
          <w:szCs w:val="28"/>
        </w:rPr>
        <w:t>28</w:t>
      </w:r>
      <w:r w:rsidRPr="001B6E4D">
        <w:rPr>
          <w:rFonts w:ascii="標楷體" w:eastAsia="標楷體" w:hAnsi="標楷體"/>
          <w:color w:val="auto"/>
          <w:spacing w:val="6"/>
          <w:sz w:val="28"/>
          <w:szCs w:val="28"/>
        </w:rPr>
        <w:t>日（星期</w:t>
      </w:r>
      <w:r w:rsidRPr="001B6E4D">
        <w:rPr>
          <w:rFonts w:ascii="標楷體" w:eastAsia="標楷體" w:hAnsi="標楷體" w:hint="eastAsia"/>
          <w:color w:val="auto"/>
          <w:spacing w:val="6"/>
          <w:sz w:val="28"/>
          <w:szCs w:val="28"/>
        </w:rPr>
        <w:t>四</w:t>
      </w:r>
      <w:r w:rsidRPr="001B6E4D">
        <w:rPr>
          <w:rFonts w:ascii="標楷體" w:eastAsia="標楷體" w:hAnsi="標楷體"/>
          <w:color w:val="auto"/>
          <w:spacing w:val="6"/>
          <w:sz w:val="28"/>
          <w:szCs w:val="28"/>
        </w:rPr>
        <w:t>）上午</w:t>
      </w:r>
      <w:r w:rsidRPr="001B6E4D">
        <w:rPr>
          <w:rFonts w:ascii="標楷體" w:eastAsia="標楷體" w:hAnsi="標楷體" w:hint="eastAsia"/>
          <w:color w:val="auto"/>
          <w:spacing w:val="6"/>
          <w:sz w:val="28"/>
          <w:szCs w:val="28"/>
        </w:rPr>
        <w:t>9時</w:t>
      </w:r>
      <w:r w:rsidRPr="001B6E4D">
        <w:rPr>
          <w:rFonts w:ascii="標楷體" w:eastAsia="標楷體" w:hAnsi="標楷體"/>
          <w:color w:val="auto"/>
          <w:spacing w:val="6"/>
          <w:sz w:val="28"/>
          <w:szCs w:val="28"/>
        </w:rPr>
        <w:t>至</w:t>
      </w:r>
      <w:r w:rsidRPr="001B6E4D">
        <w:rPr>
          <w:rFonts w:ascii="標楷體" w:eastAsia="標楷體" w:hAnsi="標楷體" w:hint="eastAsia"/>
          <w:color w:val="auto"/>
          <w:spacing w:val="6"/>
          <w:sz w:val="28"/>
          <w:szCs w:val="28"/>
        </w:rPr>
        <w:t>12</w:t>
      </w:r>
      <w:r w:rsidRPr="001B6E4D">
        <w:rPr>
          <w:rFonts w:ascii="標楷體" w:eastAsia="標楷體" w:hAnsi="標楷體"/>
          <w:color w:val="auto"/>
          <w:spacing w:val="6"/>
          <w:sz w:val="28"/>
          <w:szCs w:val="28"/>
        </w:rPr>
        <w:t>時</w:t>
      </w:r>
      <w:r w:rsidRPr="001B6E4D">
        <w:rPr>
          <w:rFonts w:ascii="標楷體" w:eastAsia="標楷體" w:hAnsi="標楷體" w:hint="eastAsia"/>
          <w:color w:val="auto"/>
          <w:spacing w:val="6"/>
          <w:sz w:val="28"/>
          <w:szCs w:val="28"/>
        </w:rPr>
        <w:t>21</w:t>
      </w:r>
      <w:r w:rsidRPr="001B6E4D">
        <w:rPr>
          <w:rFonts w:ascii="標楷體" w:eastAsia="標楷體" w:hAnsi="標楷體"/>
          <w:color w:val="auto"/>
          <w:spacing w:val="6"/>
          <w:sz w:val="28"/>
          <w:szCs w:val="28"/>
        </w:rPr>
        <w:t>分</w:t>
      </w:r>
    </w:p>
    <w:p w14:paraId="0A857B40" w14:textId="77777777" w:rsidR="00705B3D" w:rsidRPr="001B6E4D" w:rsidRDefault="00705B3D" w:rsidP="003D1018">
      <w:pPr>
        <w:pStyle w:val="Default"/>
        <w:overflowPunct w:val="0"/>
        <w:spacing w:line="360" w:lineRule="exact"/>
        <w:ind w:left="848" w:hangingChars="303" w:hanging="848"/>
        <w:jc w:val="both"/>
        <w:rPr>
          <w:rFonts w:ascii="標楷體" w:eastAsia="標楷體" w:hAnsi="標楷體"/>
          <w:sz w:val="28"/>
          <w:szCs w:val="28"/>
        </w:rPr>
      </w:pPr>
      <w:r w:rsidRPr="001B6E4D">
        <w:rPr>
          <w:rFonts w:ascii="標楷體" w:eastAsia="標楷體" w:hAnsi="標楷體" w:hint="eastAsia"/>
          <w:sz w:val="28"/>
          <w:szCs w:val="28"/>
        </w:rPr>
        <w:t>地　　點：本院紅樓</w:t>
      </w:r>
      <w:r w:rsidRPr="001B6E4D">
        <w:rPr>
          <w:rFonts w:ascii="標楷體" w:eastAsia="標楷體" w:hAnsi="標楷體"/>
          <w:sz w:val="28"/>
          <w:szCs w:val="28"/>
        </w:rPr>
        <w:t>302會議室</w:t>
      </w:r>
    </w:p>
    <w:p w14:paraId="532F9884" w14:textId="77777777" w:rsidR="0092387E" w:rsidRPr="001B6E4D" w:rsidRDefault="00705B3D" w:rsidP="003D1018">
      <w:pPr>
        <w:overflowPunct w:val="0"/>
        <w:snapToGrid w:val="0"/>
        <w:ind w:left="574" w:hanging="560"/>
        <w:rPr>
          <w:rFonts w:ascii="標楷體" w:eastAsia="標楷體" w:hAnsi="標楷體"/>
          <w:sz w:val="28"/>
          <w:szCs w:val="28"/>
        </w:rPr>
      </w:pPr>
      <w:proofErr w:type="spellStart"/>
      <w:r w:rsidRPr="001B6E4D">
        <w:rPr>
          <w:rFonts w:ascii="標楷體" w:eastAsia="標楷體" w:hAnsi="標楷體"/>
          <w:kern w:val="0"/>
          <w:sz w:val="28"/>
          <w:szCs w:val="28"/>
          <w:lang w:val="x-none" w:eastAsia="x-none"/>
        </w:rPr>
        <w:t>出席委員</w:t>
      </w:r>
      <w:r w:rsidRPr="001B6E4D">
        <w:rPr>
          <w:rFonts w:ascii="標楷體" w:eastAsia="標楷體" w:hAnsi="標楷體" w:hint="eastAsia"/>
          <w:kern w:val="0"/>
          <w:sz w:val="28"/>
          <w:szCs w:val="28"/>
          <w:lang w:val="x-none" w:eastAsia="x-none"/>
        </w:rPr>
        <w:t>：</w:t>
      </w:r>
      <w:r w:rsidRPr="001B6E4D">
        <w:rPr>
          <w:rFonts w:ascii="標楷體" w:eastAsia="標楷體" w:hAnsi="標楷體" w:hint="eastAsia"/>
          <w:sz w:val="28"/>
          <w:szCs w:val="28"/>
        </w:rPr>
        <w:t>陳昭姿</w:t>
      </w:r>
      <w:proofErr w:type="spellEnd"/>
      <w:r w:rsidR="0092387E" w:rsidRPr="001B6E4D">
        <w:rPr>
          <w:rFonts w:ascii="標楷體" w:eastAsia="標楷體" w:hAnsi="標楷體" w:hint="eastAsia"/>
          <w:sz w:val="28"/>
          <w:szCs w:val="28"/>
        </w:rPr>
        <w:t xml:space="preserve"> </w:t>
      </w:r>
      <w:r w:rsidRPr="001B6E4D">
        <w:rPr>
          <w:rFonts w:ascii="標楷體" w:eastAsia="標楷體" w:hAnsi="標楷體" w:hint="eastAsia"/>
          <w:sz w:val="28"/>
          <w:szCs w:val="28"/>
        </w:rPr>
        <w:t>林沛祥</w:t>
      </w:r>
      <w:r w:rsidR="0092387E" w:rsidRPr="001B6E4D">
        <w:rPr>
          <w:rFonts w:ascii="標楷體" w:eastAsia="標楷體" w:hAnsi="標楷體" w:hint="eastAsia"/>
          <w:sz w:val="28"/>
          <w:szCs w:val="28"/>
        </w:rPr>
        <w:t xml:space="preserve"> </w:t>
      </w:r>
      <w:r w:rsidRPr="001B6E4D">
        <w:rPr>
          <w:rFonts w:ascii="標楷體" w:eastAsia="標楷體" w:hAnsi="標楷體" w:hint="eastAsia"/>
          <w:sz w:val="28"/>
          <w:szCs w:val="28"/>
        </w:rPr>
        <w:t>翁曉玲</w:t>
      </w:r>
      <w:r w:rsidR="0092387E" w:rsidRPr="001B6E4D">
        <w:rPr>
          <w:rFonts w:ascii="標楷體" w:eastAsia="標楷體" w:hAnsi="標楷體" w:hint="eastAsia"/>
          <w:sz w:val="28"/>
          <w:szCs w:val="28"/>
        </w:rPr>
        <w:t xml:space="preserve"> </w:t>
      </w:r>
      <w:r w:rsidRPr="001B6E4D">
        <w:rPr>
          <w:rFonts w:ascii="標楷體" w:eastAsia="標楷體" w:hAnsi="標楷體" w:hint="eastAsia"/>
          <w:sz w:val="28"/>
          <w:szCs w:val="28"/>
        </w:rPr>
        <w:t>沈發惠</w:t>
      </w:r>
      <w:r w:rsidR="0092387E" w:rsidRPr="001B6E4D">
        <w:rPr>
          <w:rFonts w:ascii="標楷體" w:eastAsia="標楷體" w:hAnsi="標楷體" w:hint="eastAsia"/>
          <w:sz w:val="28"/>
          <w:szCs w:val="28"/>
        </w:rPr>
        <w:t xml:space="preserve"> </w:t>
      </w:r>
      <w:r w:rsidRPr="001B6E4D">
        <w:rPr>
          <w:rFonts w:ascii="標楷體" w:eastAsia="標楷體" w:hAnsi="標楷體" w:hint="eastAsia"/>
          <w:sz w:val="28"/>
          <w:szCs w:val="28"/>
        </w:rPr>
        <w:t>吳宗憲</w:t>
      </w:r>
      <w:r w:rsidR="0092387E" w:rsidRPr="001B6E4D">
        <w:rPr>
          <w:rFonts w:ascii="標楷體" w:eastAsia="標楷體" w:hAnsi="標楷體" w:hint="eastAsia"/>
          <w:sz w:val="28"/>
          <w:szCs w:val="28"/>
        </w:rPr>
        <w:t xml:space="preserve"> </w:t>
      </w:r>
      <w:r w:rsidRPr="001B6E4D">
        <w:rPr>
          <w:rFonts w:ascii="標楷體" w:eastAsia="標楷體" w:hAnsi="標楷體" w:hint="eastAsia"/>
          <w:sz w:val="28"/>
          <w:szCs w:val="28"/>
        </w:rPr>
        <w:t>張雅琳</w:t>
      </w:r>
      <w:r w:rsidR="0092387E" w:rsidRPr="001B6E4D">
        <w:rPr>
          <w:rFonts w:ascii="標楷體" w:eastAsia="標楷體" w:hAnsi="標楷體" w:hint="eastAsia"/>
          <w:sz w:val="28"/>
          <w:szCs w:val="28"/>
        </w:rPr>
        <w:t xml:space="preserve"> </w:t>
      </w:r>
      <w:r w:rsidRPr="001B6E4D">
        <w:rPr>
          <w:rFonts w:ascii="標楷體" w:eastAsia="標楷體" w:hAnsi="標楷體" w:hint="eastAsia"/>
          <w:sz w:val="28"/>
          <w:szCs w:val="28"/>
        </w:rPr>
        <w:t>莊瑞雄</w:t>
      </w:r>
    </w:p>
    <w:p w14:paraId="53E5D13C" w14:textId="2B47F83B" w:rsidR="00705B3D" w:rsidRPr="001B6E4D" w:rsidRDefault="00705B3D" w:rsidP="003D1018">
      <w:pPr>
        <w:overflowPunct w:val="0"/>
        <w:snapToGrid w:val="0"/>
        <w:ind w:left="574" w:firstLine="844"/>
        <w:rPr>
          <w:rFonts w:ascii="標楷體" w:eastAsia="標楷體" w:hAnsi="標楷體"/>
          <w:sz w:val="28"/>
          <w:szCs w:val="28"/>
        </w:rPr>
      </w:pP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0092387E" w:rsidRPr="001B6E4D">
        <w:rPr>
          <w:rFonts w:ascii="標楷體" w:eastAsia="標楷體" w:hAnsi="標楷體" w:hint="eastAsia"/>
          <w:sz w:val="28"/>
          <w:szCs w:val="28"/>
        </w:rPr>
        <w:t xml:space="preserve"> </w:t>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0092387E" w:rsidRPr="001B6E4D">
        <w:rPr>
          <w:rFonts w:ascii="標楷體" w:eastAsia="標楷體" w:hAnsi="標楷體" w:hint="eastAsia"/>
          <w:sz w:val="28"/>
          <w:szCs w:val="28"/>
        </w:rPr>
        <w:t xml:space="preserve"> </w:t>
      </w:r>
      <w:r w:rsidRPr="001B6E4D">
        <w:rPr>
          <w:rFonts w:ascii="標楷體" w:eastAsia="標楷體" w:hAnsi="標楷體" w:hint="eastAsia"/>
          <w:sz w:val="28"/>
          <w:szCs w:val="28"/>
        </w:rPr>
        <w:t>柯建銘</w:t>
      </w:r>
      <w:r w:rsidR="0092387E" w:rsidRPr="001B6E4D">
        <w:rPr>
          <w:rFonts w:ascii="標楷體" w:eastAsia="標楷體" w:hAnsi="標楷體" w:hint="eastAsia"/>
          <w:sz w:val="28"/>
          <w:szCs w:val="28"/>
        </w:rPr>
        <w:t xml:space="preserve"> </w:t>
      </w:r>
      <w:r w:rsidRPr="001B6E4D">
        <w:rPr>
          <w:rFonts w:ascii="標楷體" w:eastAsia="標楷體" w:hAnsi="標楷體" w:hint="eastAsia"/>
          <w:sz w:val="28"/>
          <w:szCs w:val="28"/>
        </w:rPr>
        <w:t>蔡其昌</w:t>
      </w:r>
      <w:r w:rsidR="0092387E" w:rsidRPr="001B6E4D">
        <w:rPr>
          <w:rFonts w:ascii="標楷體" w:eastAsia="標楷體" w:hAnsi="標楷體" w:hint="eastAsia"/>
          <w:sz w:val="28"/>
          <w:szCs w:val="28"/>
        </w:rPr>
        <w:t xml:space="preserve"> </w:t>
      </w:r>
      <w:r w:rsidRPr="001B6E4D">
        <w:rPr>
          <w:rFonts w:ascii="標楷體" w:eastAsia="標楷體" w:hAnsi="標楷體" w:hint="eastAsia"/>
          <w:sz w:val="28"/>
          <w:szCs w:val="28"/>
        </w:rPr>
        <w:t>林倩綺</w:t>
      </w:r>
    </w:p>
    <w:p w14:paraId="3298C935" w14:textId="77777777" w:rsidR="00705B3D" w:rsidRPr="001B6E4D" w:rsidRDefault="00705B3D" w:rsidP="003D1018">
      <w:pPr>
        <w:pStyle w:val="Default"/>
        <w:overflowPunct w:val="0"/>
        <w:spacing w:line="360" w:lineRule="exact"/>
        <w:ind w:leftChars="353" w:left="847" w:firstLineChars="203" w:firstLine="568"/>
        <w:rPr>
          <w:rFonts w:ascii="標楷體" w:eastAsia="標楷體" w:hAnsi="標楷體"/>
          <w:sz w:val="28"/>
          <w:szCs w:val="28"/>
        </w:rPr>
      </w:pPr>
      <w:r w:rsidRPr="001B6E4D">
        <w:rPr>
          <w:rFonts w:ascii="標楷體" w:eastAsia="標楷體" w:hAnsi="標楷體" w:hint="eastAsia"/>
          <w:sz w:val="28"/>
          <w:szCs w:val="28"/>
        </w:rPr>
        <w:t>委員出席12人</w:t>
      </w:r>
    </w:p>
    <w:p w14:paraId="2A6BCB00" w14:textId="4442FBEB" w:rsidR="00705B3D" w:rsidRPr="001B6E4D" w:rsidRDefault="00705B3D" w:rsidP="003D1018">
      <w:pPr>
        <w:overflowPunct w:val="0"/>
        <w:snapToGrid w:val="0"/>
        <w:ind w:left="574" w:hanging="560"/>
        <w:rPr>
          <w:rFonts w:ascii="標楷體" w:eastAsia="標楷體" w:hAnsi="標楷體"/>
          <w:kern w:val="0"/>
          <w:sz w:val="28"/>
          <w:szCs w:val="28"/>
          <w:lang w:val="x-none" w:eastAsia="x-none"/>
        </w:rPr>
      </w:pPr>
      <w:proofErr w:type="spellStart"/>
      <w:r w:rsidRPr="001B6E4D">
        <w:rPr>
          <w:rFonts w:ascii="標楷體" w:eastAsia="標楷體" w:hAnsi="標楷體"/>
          <w:kern w:val="0"/>
          <w:sz w:val="28"/>
          <w:szCs w:val="28"/>
          <w:lang w:val="x-none" w:eastAsia="x-none"/>
        </w:rPr>
        <w:t>列席委員：</w:t>
      </w:r>
      <w:r w:rsidRPr="001B6E4D">
        <w:rPr>
          <w:rFonts w:ascii="標楷體" w:eastAsia="標楷體" w:hAnsi="標楷體" w:hint="eastAsia"/>
          <w:kern w:val="0"/>
          <w:sz w:val="28"/>
          <w:szCs w:val="28"/>
          <w:lang w:val="x-none" w:eastAsia="x-none"/>
        </w:rPr>
        <w:t>洪孟楷</w:t>
      </w:r>
      <w:proofErr w:type="spellEnd"/>
      <w:r w:rsidR="0092387E" w:rsidRPr="001B6E4D">
        <w:rPr>
          <w:rFonts w:ascii="標楷體" w:eastAsia="標楷體" w:hAnsi="標楷體" w:hint="eastAsia"/>
          <w:kern w:val="0"/>
          <w:sz w:val="28"/>
          <w:szCs w:val="28"/>
          <w:lang w:val="x-none" w:eastAsia="x-none"/>
        </w:rPr>
        <w:t xml:space="preserve"> </w:t>
      </w:r>
      <w:proofErr w:type="spellStart"/>
      <w:r w:rsidRPr="001B6E4D">
        <w:rPr>
          <w:rFonts w:ascii="標楷體" w:eastAsia="標楷體" w:hAnsi="標楷體" w:hint="eastAsia"/>
          <w:kern w:val="0"/>
          <w:sz w:val="28"/>
          <w:szCs w:val="28"/>
          <w:lang w:val="x-none" w:eastAsia="x-none"/>
        </w:rPr>
        <w:t>鄭正鈐</w:t>
      </w:r>
      <w:proofErr w:type="spellEnd"/>
      <w:r w:rsidR="0092387E" w:rsidRPr="001B6E4D">
        <w:rPr>
          <w:rFonts w:ascii="標楷體" w:eastAsia="標楷體" w:hAnsi="標楷體" w:hint="eastAsia"/>
          <w:kern w:val="0"/>
          <w:sz w:val="28"/>
          <w:szCs w:val="28"/>
          <w:lang w:val="x-none" w:eastAsia="x-none"/>
        </w:rPr>
        <w:t xml:space="preserve"> </w:t>
      </w:r>
      <w:proofErr w:type="spellStart"/>
      <w:r w:rsidRPr="001B6E4D">
        <w:rPr>
          <w:rFonts w:ascii="標楷體" w:eastAsia="標楷體" w:hAnsi="標楷體" w:hint="eastAsia"/>
          <w:kern w:val="0"/>
          <w:sz w:val="28"/>
          <w:szCs w:val="28"/>
          <w:lang w:val="x-none" w:eastAsia="x-none"/>
        </w:rPr>
        <w:t>蘇清泉</w:t>
      </w:r>
      <w:proofErr w:type="spellEnd"/>
      <w:r w:rsidR="0092387E" w:rsidRPr="001B6E4D">
        <w:rPr>
          <w:rFonts w:ascii="標楷體" w:eastAsia="標楷體" w:hAnsi="標楷體" w:hint="eastAsia"/>
          <w:kern w:val="0"/>
          <w:sz w:val="28"/>
          <w:szCs w:val="28"/>
          <w:lang w:val="x-none" w:eastAsia="x-none"/>
        </w:rPr>
        <w:t xml:space="preserve"> </w:t>
      </w:r>
      <w:proofErr w:type="spellStart"/>
      <w:r w:rsidRPr="001B6E4D">
        <w:rPr>
          <w:rFonts w:ascii="標楷體" w:eastAsia="標楷體" w:hAnsi="標楷體" w:hint="eastAsia"/>
          <w:kern w:val="0"/>
          <w:sz w:val="28"/>
          <w:szCs w:val="28"/>
          <w:lang w:val="x-none" w:eastAsia="x-none"/>
        </w:rPr>
        <w:t>陳培瑜</w:t>
      </w:r>
      <w:proofErr w:type="spellEnd"/>
      <w:r w:rsidR="0092387E" w:rsidRPr="001B6E4D">
        <w:rPr>
          <w:rFonts w:ascii="標楷體" w:eastAsia="標楷體" w:hAnsi="標楷體" w:hint="eastAsia"/>
          <w:kern w:val="0"/>
          <w:sz w:val="28"/>
          <w:szCs w:val="28"/>
          <w:lang w:val="x-none" w:eastAsia="x-none"/>
        </w:rPr>
        <w:t xml:space="preserve"> </w:t>
      </w:r>
      <w:proofErr w:type="spellStart"/>
      <w:r w:rsidRPr="001B6E4D">
        <w:rPr>
          <w:rFonts w:ascii="標楷體" w:eastAsia="標楷體" w:hAnsi="標楷體" w:hint="eastAsia"/>
          <w:kern w:val="0"/>
          <w:sz w:val="28"/>
          <w:szCs w:val="28"/>
          <w:lang w:val="x-none" w:eastAsia="x-none"/>
        </w:rPr>
        <w:t>劉書彬</w:t>
      </w:r>
      <w:proofErr w:type="spellEnd"/>
      <w:r w:rsidR="0092387E" w:rsidRPr="001B6E4D">
        <w:rPr>
          <w:rFonts w:ascii="標楷體" w:eastAsia="標楷體" w:hAnsi="標楷體" w:hint="eastAsia"/>
          <w:kern w:val="0"/>
          <w:sz w:val="28"/>
          <w:szCs w:val="28"/>
          <w:lang w:val="x-none" w:eastAsia="x-none"/>
        </w:rPr>
        <w:t xml:space="preserve"> </w:t>
      </w:r>
      <w:proofErr w:type="spellStart"/>
      <w:r w:rsidRPr="001B6E4D">
        <w:rPr>
          <w:rFonts w:ascii="標楷體" w:eastAsia="標楷體" w:hAnsi="標楷體" w:hint="eastAsia"/>
          <w:kern w:val="0"/>
          <w:sz w:val="28"/>
          <w:szCs w:val="28"/>
          <w:lang w:val="x-none" w:eastAsia="x-none"/>
        </w:rPr>
        <w:t>葉元之</w:t>
      </w:r>
      <w:proofErr w:type="spellEnd"/>
    </w:p>
    <w:p w14:paraId="04578330" w14:textId="77777777" w:rsidR="00705B3D" w:rsidRPr="001B6E4D" w:rsidRDefault="00705B3D" w:rsidP="003D1018">
      <w:pPr>
        <w:pStyle w:val="Default"/>
        <w:overflowPunct w:val="0"/>
        <w:spacing w:line="360" w:lineRule="exact"/>
        <w:ind w:leftChars="353" w:left="847" w:firstLineChars="203" w:firstLine="568"/>
        <w:rPr>
          <w:rFonts w:ascii="標楷體" w:eastAsia="標楷體" w:hAnsi="標楷體"/>
          <w:sz w:val="28"/>
          <w:szCs w:val="28"/>
        </w:rPr>
      </w:pPr>
      <w:r w:rsidRPr="001B6E4D">
        <w:rPr>
          <w:rFonts w:ascii="標楷體" w:eastAsia="標楷體" w:hAnsi="標楷體" w:hint="eastAsia"/>
          <w:sz w:val="28"/>
          <w:szCs w:val="28"/>
        </w:rPr>
        <w:t>委員列席6人</w:t>
      </w:r>
    </w:p>
    <w:p w14:paraId="2C508727" w14:textId="77777777" w:rsidR="00705B3D" w:rsidRPr="001B6E4D" w:rsidRDefault="00705B3D" w:rsidP="003D1018">
      <w:pPr>
        <w:overflowPunct w:val="0"/>
        <w:adjustRightInd w:val="0"/>
        <w:snapToGrid w:val="0"/>
        <w:spacing w:line="400" w:lineRule="exact"/>
        <w:ind w:left="1361" w:hangingChars="486" w:hanging="1361"/>
        <w:jc w:val="both"/>
        <w:rPr>
          <w:rFonts w:ascii="標楷體" w:eastAsia="標楷體" w:hAnsi="標楷體"/>
          <w:sz w:val="28"/>
          <w:szCs w:val="28"/>
        </w:rPr>
      </w:pPr>
      <w:r w:rsidRPr="001B6E4D">
        <w:rPr>
          <w:rFonts w:ascii="標楷體" w:eastAsia="標楷體" w:hAnsi="標楷體"/>
          <w:sz w:val="28"/>
          <w:szCs w:val="28"/>
        </w:rPr>
        <w:t>列席官員：</w:t>
      </w:r>
      <w:r w:rsidRPr="001B6E4D">
        <w:rPr>
          <w:rFonts w:ascii="標楷體" w:eastAsia="標楷體" w:hAnsi="標楷體" w:hint="eastAsia"/>
          <w:b/>
          <w:bCs/>
          <w:sz w:val="28"/>
          <w:szCs w:val="28"/>
        </w:rPr>
        <w:t>5月25日（星期一）</w:t>
      </w:r>
    </w:p>
    <w:p w14:paraId="285DBE48" w14:textId="77777777" w:rsidR="00705B3D" w:rsidRPr="001B6E4D" w:rsidRDefault="00705B3D" w:rsidP="003D1018">
      <w:pPr>
        <w:overflowPunct w:val="0"/>
        <w:adjustRightInd w:val="0"/>
        <w:snapToGrid w:val="0"/>
        <w:spacing w:line="370" w:lineRule="exact"/>
        <w:ind w:leftChars="584" w:left="2802" w:hangingChars="500" w:hanging="1400"/>
        <w:jc w:val="both"/>
        <w:rPr>
          <w:rFonts w:ascii="標楷體" w:eastAsia="標楷體" w:hAnsi="標楷體"/>
          <w:snapToGrid w:val="0"/>
          <w:kern w:val="0"/>
          <w:sz w:val="28"/>
          <w:szCs w:val="28"/>
          <w:lang w:val="x-none"/>
        </w:rPr>
      </w:pPr>
      <w:r w:rsidRPr="001B6E4D">
        <w:rPr>
          <w:rFonts w:ascii="標楷體" w:eastAsia="標楷體" w:hAnsi="標楷體" w:hint="eastAsia"/>
          <w:snapToGrid w:val="0"/>
          <w:kern w:val="0"/>
          <w:sz w:val="28"/>
          <w:szCs w:val="28"/>
          <w:lang w:val="x-none"/>
        </w:rPr>
        <w:t>監察院秘書長</w:t>
      </w:r>
      <w:bookmarkStart w:id="509" w:name="_Hlk230161292"/>
      <w:r w:rsidRPr="001B6E4D">
        <w:rPr>
          <w:rFonts w:ascii="標楷體" w:eastAsia="標楷體" w:hAnsi="標楷體" w:hint="eastAsia"/>
          <w:snapToGrid w:val="0"/>
          <w:kern w:val="0"/>
          <w:sz w:val="28"/>
          <w:szCs w:val="28"/>
          <w:lang w:val="x-none"/>
        </w:rPr>
        <w:t xml:space="preserve">　</w:t>
      </w:r>
      <w:bookmarkEnd w:id="509"/>
      <w:r w:rsidRPr="001B6E4D">
        <w:rPr>
          <w:rFonts w:ascii="標楷體" w:eastAsia="標楷體" w:hAnsi="標楷體" w:hint="eastAsia"/>
          <w:snapToGrid w:val="0"/>
          <w:kern w:val="0"/>
          <w:sz w:val="28"/>
          <w:szCs w:val="28"/>
          <w:lang w:val="x-none"/>
        </w:rPr>
        <w:t>黃適卓</w:t>
      </w:r>
    </w:p>
    <w:p w14:paraId="2F59A534" w14:textId="77777777" w:rsidR="00705B3D" w:rsidRPr="001B6E4D" w:rsidRDefault="00705B3D" w:rsidP="003D1018">
      <w:pPr>
        <w:overflowPunct w:val="0"/>
        <w:adjustRightInd w:val="0"/>
        <w:snapToGrid w:val="0"/>
        <w:spacing w:line="370" w:lineRule="exact"/>
        <w:ind w:leftChars="584" w:left="2802" w:hangingChars="500" w:hanging="1400"/>
        <w:jc w:val="both"/>
        <w:rPr>
          <w:rFonts w:ascii="標楷體" w:eastAsia="標楷體" w:hAnsi="標楷體"/>
          <w:snapToGrid w:val="0"/>
          <w:kern w:val="0"/>
          <w:sz w:val="28"/>
          <w:szCs w:val="28"/>
          <w:lang w:val="x-none"/>
        </w:rPr>
      </w:pPr>
      <w:r w:rsidRPr="001B6E4D">
        <w:rPr>
          <w:rFonts w:ascii="標楷體" w:eastAsia="標楷體" w:hAnsi="標楷體" w:hint="eastAsia"/>
          <w:snapToGrid w:val="0"/>
          <w:kern w:val="0"/>
          <w:sz w:val="28"/>
          <w:szCs w:val="28"/>
          <w:lang w:val="x-none"/>
        </w:rPr>
        <w:t>行政院主計總處公務預算處簡任視察　嚴</w:t>
      </w:r>
      <w:proofErr w:type="gramStart"/>
      <w:r w:rsidRPr="001B6E4D">
        <w:rPr>
          <w:rFonts w:ascii="標楷體" w:eastAsia="標楷體" w:hAnsi="標楷體" w:hint="eastAsia"/>
          <w:snapToGrid w:val="0"/>
          <w:kern w:val="0"/>
          <w:sz w:val="28"/>
          <w:szCs w:val="28"/>
          <w:lang w:val="x-none"/>
        </w:rPr>
        <w:t>于</w:t>
      </w:r>
      <w:proofErr w:type="gramEnd"/>
      <w:r w:rsidRPr="001B6E4D">
        <w:rPr>
          <w:rFonts w:ascii="標楷體" w:eastAsia="標楷體" w:hAnsi="標楷體" w:hint="eastAsia"/>
          <w:snapToGrid w:val="0"/>
          <w:kern w:val="0"/>
          <w:sz w:val="28"/>
          <w:szCs w:val="28"/>
          <w:lang w:val="x-none"/>
        </w:rPr>
        <w:t>屏</w:t>
      </w:r>
    </w:p>
    <w:p w14:paraId="1D237596" w14:textId="77777777" w:rsidR="00705B3D" w:rsidRPr="001B6E4D" w:rsidRDefault="00705B3D" w:rsidP="003D1018">
      <w:pPr>
        <w:overflowPunct w:val="0"/>
        <w:adjustRightInd w:val="0"/>
        <w:snapToGrid w:val="0"/>
        <w:spacing w:line="370" w:lineRule="exact"/>
        <w:ind w:leftChars="584" w:left="2803" w:hangingChars="500" w:hanging="1401"/>
        <w:jc w:val="both"/>
        <w:rPr>
          <w:rFonts w:ascii="標楷體" w:eastAsia="標楷體" w:hAnsi="標楷體" w:cs="標楷體"/>
          <w:b/>
          <w:kern w:val="0"/>
          <w:sz w:val="28"/>
          <w:szCs w:val="28"/>
        </w:rPr>
      </w:pPr>
      <w:r w:rsidRPr="001B6E4D">
        <w:rPr>
          <w:rFonts w:ascii="標楷體" w:eastAsia="標楷體" w:hAnsi="標楷體" w:cs="標楷體" w:hint="eastAsia"/>
          <w:b/>
          <w:kern w:val="0"/>
          <w:sz w:val="28"/>
          <w:szCs w:val="28"/>
        </w:rPr>
        <w:t>5月27日（星期三）</w:t>
      </w:r>
    </w:p>
    <w:p w14:paraId="7462D015" w14:textId="77777777" w:rsidR="00705B3D" w:rsidRPr="001B6E4D" w:rsidRDefault="00705B3D" w:rsidP="003D1018">
      <w:pPr>
        <w:overflowPunct w:val="0"/>
        <w:adjustRightInd w:val="0"/>
        <w:snapToGrid w:val="0"/>
        <w:spacing w:line="37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法務部</w:t>
      </w:r>
      <w:r w:rsidRPr="001B6E4D">
        <w:rPr>
          <w:rFonts w:ascii="標楷體" w:eastAsia="標楷體" w:hAnsi="標楷體" w:hint="eastAsia"/>
          <w:snapToGrid w:val="0"/>
          <w:kern w:val="0"/>
          <w:sz w:val="28"/>
          <w:szCs w:val="28"/>
          <w:lang w:val="x-none"/>
        </w:rPr>
        <w:t>部長</w:t>
      </w:r>
      <w:r w:rsidRPr="001B6E4D">
        <w:rPr>
          <w:rFonts w:ascii="標楷體" w:eastAsia="標楷體" w:hAnsi="標楷體" w:hint="eastAsia"/>
          <w:kern w:val="0"/>
          <w:sz w:val="28"/>
          <w:szCs w:val="28"/>
        </w:rPr>
        <w:t>兼</w:t>
      </w:r>
      <w:r w:rsidRPr="001B6E4D">
        <w:rPr>
          <w:rFonts w:ascii="標楷體" w:eastAsia="標楷體" w:hAnsi="標楷體" w:hint="eastAsia"/>
          <w:sz w:val="28"/>
          <w:szCs w:val="28"/>
        </w:rPr>
        <w:t>毒品防制基金主持人</w:t>
      </w:r>
      <w:r w:rsidRPr="001B6E4D">
        <w:rPr>
          <w:rFonts w:ascii="標楷體" w:eastAsia="標楷體" w:hAnsi="標楷體" w:hint="eastAsia"/>
          <w:kern w:val="0"/>
          <w:sz w:val="28"/>
          <w:szCs w:val="28"/>
        </w:rPr>
        <w:t xml:space="preserve">　鄭銘謙</w:t>
      </w:r>
    </w:p>
    <w:p w14:paraId="0DD5B89B" w14:textId="77777777" w:rsidR="00705B3D" w:rsidRPr="001B6E4D" w:rsidRDefault="00705B3D" w:rsidP="003D1018">
      <w:pPr>
        <w:overflowPunct w:val="0"/>
        <w:adjustRightInd w:val="0"/>
        <w:snapToGrid w:val="0"/>
        <w:spacing w:line="370" w:lineRule="exact"/>
        <w:ind w:leftChars="607" w:left="2760" w:hangingChars="479" w:hanging="1303"/>
        <w:jc w:val="both"/>
        <w:rPr>
          <w:rFonts w:ascii="標楷體" w:eastAsia="標楷體" w:hAnsi="標楷體"/>
          <w:spacing w:val="-2"/>
          <w:kern w:val="0"/>
          <w:sz w:val="28"/>
          <w:szCs w:val="28"/>
        </w:rPr>
      </w:pPr>
      <w:r w:rsidRPr="001B6E4D">
        <w:rPr>
          <w:rFonts w:ascii="標楷體" w:eastAsia="標楷體" w:hAnsi="標楷體" w:hint="eastAsia"/>
          <w:spacing w:val="-4"/>
          <w:kern w:val="0"/>
          <w:sz w:val="28"/>
          <w:szCs w:val="28"/>
        </w:rPr>
        <w:t xml:space="preserve">      </w:t>
      </w:r>
      <w:r w:rsidRPr="001B6E4D">
        <w:rPr>
          <w:rFonts w:ascii="標楷體" w:eastAsia="標楷體" w:hAnsi="標楷體" w:hint="eastAsia"/>
          <w:spacing w:val="-2"/>
          <w:kern w:val="0"/>
          <w:sz w:val="28"/>
          <w:szCs w:val="28"/>
        </w:rPr>
        <w:t>政務次長兼法務部矯正機關作業基金主持人　黃謀信</w:t>
      </w:r>
    </w:p>
    <w:p w14:paraId="5B17D944" w14:textId="77777777" w:rsidR="00705B3D" w:rsidRPr="001B6E4D" w:rsidRDefault="00705B3D" w:rsidP="003D1018">
      <w:pPr>
        <w:overflowPunct w:val="0"/>
        <w:adjustRightInd w:val="0"/>
        <w:snapToGrid w:val="0"/>
        <w:spacing w:line="370" w:lineRule="exact"/>
        <w:ind w:leftChars="618" w:left="2796" w:hangingChars="469" w:hanging="1313"/>
        <w:jc w:val="both"/>
        <w:rPr>
          <w:rFonts w:ascii="標楷體" w:eastAsia="標楷體" w:hAnsi="標楷體"/>
          <w:kern w:val="0"/>
          <w:sz w:val="28"/>
          <w:szCs w:val="28"/>
        </w:rPr>
      </w:pPr>
      <w:r w:rsidRPr="001B6E4D">
        <w:rPr>
          <w:rFonts w:ascii="標楷體" w:eastAsia="標楷體" w:hAnsi="標楷體" w:hint="eastAsia"/>
          <w:kern w:val="0"/>
          <w:sz w:val="28"/>
          <w:szCs w:val="28"/>
        </w:rPr>
        <w:t>最高檢察署代理檢察總長</w:t>
      </w:r>
      <w:r w:rsidRPr="001B6E4D">
        <w:rPr>
          <w:rFonts w:ascii="標楷體" w:eastAsia="標楷體" w:hAnsi="標楷體" w:hint="eastAsia"/>
          <w:spacing w:val="-4"/>
          <w:kern w:val="0"/>
          <w:sz w:val="28"/>
          <w:szCs w:val="28"/>
        </w:rPr>
        <w:t xml:space="preserve">　</w:t>
      </w:r>
      <w:r w:rsidRPr="001B6E4D">
        <w:rPr>
          <w:rFonts w:ascii="標楷體" w:eastAsia="標楷體" w:hAnsi="標楷體" w:hint="eastAsia"/>
          <w:kern w:val="0"/>
          <w:sz w:val="28"/>
          <w:szCs w:val="28"/>
        </w:rPr>
        <w:t>徐錫祥</w:t>
      </w:r>
    </w:p>
    <w:p w14:paraId="3CF6E011" w14:textId="77777777" w:rsidR="00705B3D" w:rsidRPr="001B6E4D" w:rsidRDefault="00705B3D" w:rsidP="003D1018">
      <w:pPr>
        <w:overflowPunct w:val="0"/>
        <w:adjustRightInd w:val="0"/>
        <w:snapToGrid w:val="0"/>
        <w:spacing w:line="370" w:lineRule="exact"/>
        <w:ind w:leftChars="618" w:left="2796" w:hangingChars="469" w:hanging="1313"/>
        <w:jc w:val="both"/>
        <w:rPr>
          <w:rFonts w:ascii="標楷體" w:eastAsia="標楷體" w:hAnsi="標楷體"/>
          <w:kern w:val="0"/>
          <w:sz w:val="28"/>
          <w:szCs w:val="28"/>
        </w:rPr>
      </w:pPr>
      <w:r w:rsidRPr="001B6E4D">
        <w:rPr>
          <w:rFonts w:ascii="標楷體" w:eastAsia="標楷體" w:hAnsi="標楷體" w:hint="eastAsia"/>
          <w:kern w:val="0"/>
          <w:sz w:val="28"/>
          <w:szCs w:val="28"/>
        </w:rPr>
        <w:t>法務部調查局局長</w:t>
      </w:r>
      <w:r w:rsidRPr="001B6E4D">
        <w:rPr>
          <w:rFonts w:ascii="標楷體" w:eastAsia="標楷體" w:hAnsi="標楷體" w:hint="eastAsia"/>
          <w:spacing w:val="-4"/>
          <w:kern w:val="0"/>
          <w:sz w:val="28"/>
          <w:szCs w:val="28"/>
        </w:rPr>
        <w:t xml:space="preserve">　</w:t>
      </w:r>
      <w:r w:rsidRPr="001B6E4D">
        <w:rPr>
          <w:rFonts w:ascii="標楷體" w:eastAsia="標楷體" w:hAnsi="標楷體" w:hint="eastAsia"/>
          <w:kern w:val="0"/>
          <w:sz w:val="28"/>
          <w:szCs w:val="28"/>
        </w:rPr>
        <w:t>陳白立</w:t>
      </w:r>
    </w:p>
    <w:p w14:paraId="65FEC843" w14:textId="77777777" w:rsidR="00705B3D" w:rsidRPr="001B6E4D" w:rsidRDefault="00705B3D" w:rsidP="003D1018">
      <w:pPr>
        <w:overflowPunct w:val="0"/>
        <w:adjustRightInd w:val="0"/>
        <w:snapToGrid w:val="0"/>
        <w:spacing w:line="370" w:lineRule="exact"/>
        <w:ind w:leftChars="618" w:left="2796" w:hangingChars="469" w:hanging="1313"/>
        <w:jc w:val="both"/>
        <w:rPr>
          <w:rFonts w:ascii="標楷體" w:eastAsia="標楷體" w:hAnsi="標楷體"/>
          <w:kern w:val="0"/>
          <w:sz w:val="28"/>
          <w:szCs w:val="28"/>
        </w:rPr>
      </w:pPr>
      <w:r w:rsidRPr="001B6E4D">
        <w:rPr>
          <w:rFonts w:ascii="標楷體" w:eastAsia="標楷體" w:hAnsi="標楷體" w:hint="eastAsia"/>
          <w:kern w:val="0"/>
          <w:sz w:val="28"/>
          <w:szCs w:val="28"/>
        </w:rPr>
        <w:t>法務部廉政署署長</w:t>
      </w:r>
      <w:r w:rsidRPr="001B6E4D">
        <w:rPr>
          <w:rFonts w:ascii="標楷體" w:eastAsia="標楷體" w:hAnsi="標楷體" w:hint="eastAsia"/>
          <w:spacing w:val="-4"/>
          <w:kern w:val="0"/>
          <w:sz w:val="28"/>
          <w:szCs w:val="28"/>
        </w:rPr>
        <w:t xml:space="preserve">　</w:t>
      </w:r>
      <w:r w:rsidRPr="001B6E4D">
        <w:rPr>
          <w:rFonts w:ascii="標楷體" w:eastAsia="標楷體" w:hAnsi="標楷體" w:hint="eastAsia"/>
          <w:kern w:val="0"/>
          <w:sz w:val="28"/>
          <w:szCs w:val="28"/>
        </w:rPr>
        <w:t>謝名冠</w:t>
      </w:r>
    </w:p>
    <w:p w14:paraId="7A55953E" w14:textId="77777777" w:rsidR="00705B3D" w:rsidRPr="001B6E4D" w:rsidRDefault="00705B3D" w:rsidP="003D1018">
      <w:pPr>
        <w:overflowPunct w:val="0"/>
        <w:adjustRightInd w:val="0"/>
        <w:snapToGrid w:val="0"/>
        <w:spacing w:line="370" w:lineRule="exact"/>
        <w:ind w:leftChars="618" w:left="2796" w:hangingChars="469" w:hanging="1313"/>
        <w:jc w:val="both"/>
        <w:rPr>
          <w:rFonts w:ascii="標楷體" w:eastAsia="標楷體" w:hAnsi="標楷體"/>
          <w:kern w:val="0"/>
          <w:sz w:val="28"/>
          <w:szCs w:val="28"/>
        </w:rPr>
      </w:pPr>
      <w:r w:rsidRPr="001B6E4D">
        <w:rPr>
          <w:rFonts w:ascii="標楷體" w:eastAsia="標楷體" w:hAnsi="標楷體" w:hint="eastAsia"/>
          <w:kern w:val="0"/>
          <w:sz w:val="28"/>
          <w:szCs w:val="28"/>
        </w:rPr>
        <w:t>法務部矯正署署長</w:t>
      </w:r>
      <w:r w:rsidRPr="001B6E4D">
        <w:rPr>
          <w:rFonts w:ascii="標楷體" w:eastAsia="標楷體" w:hAnsi="標楷體" w:hint="eastAsia"/>
          <w:spacing w:val="-4"/>
          <w:kern w:val="0"/>
          <w:sz w:val="28"/>
          <w:szCs w:val="28"/>
        </w:rPr>
        <w:t xml:space="preserve">　</w:t>
      </w:r>
      <w:r w:rsidRPr="001B6E4D">
        <w:rPr>
          <w:rFonts w:ascii="標楷體" w:eastAsia="標楷體" w:hAnsi="標楷體" w:hint="eastAsia"/>
          <w:kern w:val="0"/>
          <w:sz w:val="28"/>
          <w:szCs w:val="28"/>
        </w:rPr>
        <w:t>林憲銘</w:t>
      </w:r>
    </w:p>
    <w:p w14:paraId="404B62BC" w14:textId="77777777" w:rsidR="00705B3D" w:rsidRPr="001B6E4D" w:rsidRDefault="00705B3D" w:rsidP="003D1018">
      <w:pPr>
        <w:overflowPunct w:val="0"/>
        <w:adjustRightInd w:val="0"/>
        <w:snapToGrid w:val="0"/>
        <w:spacing w:line="370" w:lineRule="exact"/>
        <w:ind w:leftChars="618" w:left="2796" w:hangingChars="469" w:hanging="1313"/>
        <w:jc w:val="both"/>
        <w:rPr>
          <w:rFonts w:ascii="標楷體" w:eastAsia="標楷體" w:hAnsi="標楷體"/>
          <w:spacing w:val="-4"/>
          <w:kern w:val="0"/>
          <w:sz w:val="28"/>
          <w:szCs w:val="28"/>
        </w:rPr>
      </w:pPr>
      <w:r w:rsidRPr="001B6E4D">
        <w:rPr>
          <w:rFonts w:ascii="標楷體" w:eastAsia="標楷體" w:hAnsi="標楷體" w:hint="eastAsia"/>
          <w:kern w:val="0"/>
          <w:sz w:val="28"/>
          <w:szCs w:val="28"/>
        </w:rPr>
        <w:t>法務部行政執行署署長</w:t>
      </w:r>
      <w:r w:rsidRPr="001B6E4D">
        <w:rPr>
          <w:rFonts w:ascii="標楷體" w:eastAsia="標楷體" w:hAnsi="標楷體" w:hint="eastAsia"/>
          <w:spacing w:val="-4"/>
          <w:kern w:val="0"/>
          <w:sz w:val="28"/>
          <w:szCs w:val="28"/>
        </w:rPr>
        <w:t xml:space="preserve">　繆卓然</w:t>
      </w:r>
    </w:p>
    <w:p w14:paraId="27179FD7" w14:textId="77777777" w:rsidR="00705B3D" w:rsidRPr="001B6E4D" w:rsidRDefault="00705B3D" w:rsidP="003D1018">
      <w:pPr>
        <w:overflowPunct w:val="0"/>
        <w:adjustRightInd w:val="0"/>
        <w:snapToGrid w:val="0"/>
        <w:spacing w:line="370" w:lineRule="exact"/>
        <w:ind w:leftChars="618" w:left="2796" w:hangingChars="469" w:hanging="1313"/>
        <w:jc w:val="both"/>
        <w:rPr>
          <w:rFonts w:ascii="標楷體" w:eastAsia="標楷體" w:hAnsi="標楷體"/>
          <w:kern w:val="0"/>
          <w:sz w:val="28"/>
          <w:szCs w:val="28"/>
        </w:rPr>
      </w:pPr>
      <w:r w:rsidRPr="001B6E4D">
        <w:rPr>
          <w:rFonts w:ascii="標楷體" w:eastAsia="標楷體" w:hAnsi="標楷體" w:hint="eastAsia"/>
          <w:kern w:val="0"/>
          <w:sz w:val="28"/>
          <w:szCs w:val="28"/>
        </w:rPr>
        <w:t>臺灣高等檢察署檢察長兼財團法人犯罪被害人保護協會及</w:t>
      </w:r>
    </w:p>
    <w:p w14:paraId="505BB0E7" w14:textId="77777777" w:rsidR="00705B3D" w:rsidRPr="001B6E4D" w:rsidRDefault="00705B3D" w:rsidP="003D1018">
      <w:pPr>
        <w:overflowPunct w:val="0"/>
        <w:adjustRightInd w:val="0"/>
        <w:snapToGrid w:val="0"/>
        <w:spacing w:line="370" w:lineRule="exact"/>
        <w:ind w:leftChars="618" w:left="2796" w:hangingChars="469" w:hanging="1313"/>
        <w:jc w:val="both"/>
        <w:rPr>
          <w:rFonts w:ascii="標楷體" w:eastAsia="標楷體" w:hAnsi="標楷體"/>
          <w:kern w:val="0"/>
          <w:sz w:val="28"/>
          <w:szCs w:val="28"/>
        </w:rPr>
      </w:pPr>
      <w:r w:rsidRPr="001B6E4D">
        <w:rPr>
          <w:rFonts w:ascii="標楷體" w:eastAsia="標楷體" w:hAnsi="標楷體" w:hint="eastAsia"/>
          <w:kern w:val="0"/>
          <w:sz w:val="28"/>
          <w:szCs w:val="28"/>
        </w:rPr>
        <w:t>財團法人臺灣更生保護會董事長</w:t>
      </w:r>
      <w:r w:rsidRPr="001B6E4D">
        <w:rPr>
          <w:rFonts w:ascii="標楷體" w:eastAsia="標楷體" w:hAnsi="標楷體" w:hint="eastAsia"/>
          <w:spacing w:val="-4"/>
          <w:kern w:val="0"/>
          <w:sz w:val="28"/>
          <w:szCs w:val="28"/>
        </w:rPr>
        <w:t xml:space="preserve">　</w:t>
      </w:r>
      <w:r w:rsidRPr="001B6E4D">
        <w:rPr>
          <w:rFonts w:ascii="標楷體" w:eastAsia="標楷體" w:hAnsi="標楷體" w:hint="eastAsia"/>
          <w:kern w:val="0"/>
          <w:sz w:val="28"/>
          <w:szCs w:val="28"/>
        </w:rPr>
        <w:t>張</w:t>
      </w:r>
      <w:proofErr w:type="gramStart"/>
      <w:r w:rsidRPr="001B6E4D">
        <w:rPr>
          <w:rFonts w:ascii="標楷體" w:eastAsia="標楷體" w:hAnsi="標楷體" w:hint="eastAsia"/>
          <w:kern w:val="0"/>
          <w:sz w:val="28"/>
          <w:szCs w:val="28"/>
        </w:rPr>
        <w:t>斗</w:t>
      </w:r>
      <w:proofErr w:type="gramEnd"/>
      <w:r w:rsidRPr="001B6E4D">
        <w:rPr>
          <w:rFonts w:ascii="標楷體" w:eastAsia="標楷體" w:hAnsi="標楷體" w:hint="eastAsia"/>
          <w:kern w:val="0"/>
          <w:sz w:val="28"/>
          <w:szCs w:val="28"/>
        </w:rPr>
        <w:t>輝</w:t>
      </w:r>
    </w:p>
    <w:p w14:paraId="689E77CA" w14:textId="77777777" w:rsidR="00705B3D" w:rsidRPr="001B6E4D" w:rsidRDefault="00705B3D" w:rsidP="003D1018">
      <w:pPr>
        <w:overflowPunct w:val="0"/>
        <w:adjustRightInd w:val="0"/>
        <w:snapToGrid w:val="0"/>
        <w:spacing w:line="370" w:lineRule="exact"/>
        <w:ind w:leftChars="618" w:left="2796" w:hangingChars="469" w:hanging="1313"/>
        <w:jc w:val="both"/>
        <w:rPr>
          <w:rFonts w:ascii="標楷體" w:eastAsia="標楷體" w:hAnsi="標楷體"/>
          <w:kern w:val="0"/>
          <w:sz w:val="28"/>
          <w:szCs w:val="28"/>
        </w:rPr>
      </w:pPr>
      <w:r w:rsidRPr="001B6E4D">
        <w:rPr>
          <w:rFonts w:ascii="標楷體" w:eastAsia="標楷體" w:hAnsi="標楷體" w:hint="eastAsia"/>
          <w:kern w:val="0"/>
          <w:sz w:val="28"/>
          <w:szCs w:val="28"/>
        </w:rPr>
        <w:t>行政院洗錢防制辦公室執行秘書</w:t>
      </w:r>
      <w:r w:rsidRPr="001B6E4D">
        <w:rPr>
          <w:rFonts w:ascii="標楷體" w:eastAsia="標楷體" w:hAnsi="標楷體" w:hint="eastAsia"/>
          <w:spacing w:val="-4"/>
          <w:kern w:val="0"/>
          <w:sz w:val="28"/>
          <w:szCs w:val="28"/>
        </w:rPr>
        <w:t xml:space="preserve">　</w:t>
      </w:r>
      <w:proofErr w:type="gramStart"/>
      <w:r w:rsidRPr="001B6E4D">
        <w:rPr>
          <w:rFonts w:ascii="標楷體" w:eastAsia="標楷體" w:hAnsi="標楷體" w:hint="eastAsia"/>
          <w:kern w:val="0"/>
          <w:sz w:val="28"/>
          <w:szCs w:val="28"/>
        </w:rPr>
        <w:t>羅韋淵</w:t>
      </w:r>
      <w:proofErr w:type="gramEnd"/>
    </w:p>
    <w:p w14:paraId="2266737A" w14:textId="77777777" w:rsidR="00705B3D" w:rsidRPr="001B6E4D" w:rsidRDefault="00705B3D" w:rsidP="003D1018">
      <w:pPr>
        <w:overflowPunct w:val="0"/>
        <w:adjustRightInd w:val="0"/>
        <w:snapToGrid w:val="0"/>
        <w:spacing w:line="370" w:lineRule="exact"/>
        <w:ind w:leftChars="618" w:left="2796" w:hangingChars="469" w:hanging="1313"/>
        <w:jc w:val="both"/>
        <w:rPr>
          <w:rFonts w:ascii="標楷體" w:eastAsia="標楷體" w:hAnsi="標楷體"/>
          <w:kern w:val="0"/>
          <w:sz w:val="28"/>
          <w:szCs w:val="28"/>
        </w:rPr>
      </w:pPr>
      <w:r w:rsidRPr="001B6E4D">
        <w:rPr>
          <w:rFonts w:ascii="標楷體" w:eastAsia="標楷體" w:hAnsi="標楷體" w:hint="eastAsia"/>
          <w:kern w:val="0"/>
          <w:sz w:val="28"/>
          <w:szCs w:val="28"/>
        </w:rPr>
        <w:t>行政院主計總處公務預算處簡任視察</w:t>
      </w:r>
      <w:r w:rsidRPr="001B6E4D">
        <w:rPr>
          <w:rFonts w:ascii="標楷體" w:eastAsia="標楷體" w:hAnsi="標楷體" w:hint="eastAsia"/>
          <w:spacing w:val="-4"/>
          <w:kern w:val="0"/>
          <w:sz w:val="28"/>
          <w:szCs w:val="28"/>
        </w:rPr>
        <w:t xml:space="preserve">　</w:t>
      </w:r>
      <w:r w:rsidRPr="001B6E4D">
        <w:rPr>
          <w:rFonts w:ascii="標楷體" w:eastAsia="標楷體" w:hAnsi="標楷體" w:hint="eastAsia"/>
          <w:kern w:val="0"/>
          <w:sz w:val="28"/>
          <w:szCs w:val="28"/>
        </w:rPr>
        <w:t>嚴</w:t>
      </w:r>
      <w:proofErr w:type="gramStart"/>
      <w:r w:rsidRPr="001B6E4D">
        <w:rPr>
          <w:rFonts w:ascii="標楷體" w:eastAsia="標楷體" w:hAnsi="標楷體" w:hint="eastAsia"/>
          <w:kern w:val="0"/>
          <w:sz w:val="28"/>
          <w:szCs w:val="28"/>
        </w:rPr>
        <w:t>于</w:t>
      </w:r>
      <w:proofErr w:type="gramEnd"/>
      <w:r w:rsidRPr="001B6E4D">
        <w:rPr>
          <w:rFonts w:ascii="標楷體" w:eastAsia="標楷體" w:hAnsi="標楷體" w:hint="eastAsia"/>
          <w:kern w:val="0"/>
          <w:sz w:val="28"/>
          <w:szCs w:val="28"/>
        </w:rPr>
        <w:t>屏</w:t>
      </w:r>
    </w:p>
    <w:p w14:paraId="4F68C2CC" w14:textId="77777777" w:rsidR="00705B3D" w:rsidRPr="001B6E4D" w:rsidRDefault="00705B3D" w:rsidP="003D1018">
      <w:pPr>
        <w:overflowPunct w:val="0"/>
        <w:adjustRightInd w:val="0"/>
        <w:snapToGrid w:val="0"/>
        <w:spacing w:line="370" w:lineRule="exact"/>
        <w:ind w:leftChars="584" w:left="2803" w:hangingChars="500" w:hanging="1401"/>
        <w:jc w:val="both"/>
        <w:rPr>
          <w:rFonts w:ascii="標楷體" w:eastAsia="標楷體" w:hAnsi="標楷體" w:cs="標楷體"/>
          <w:b/>
          <w:kern w:val="0"/>
          <w:sz w:val="28"/>
          <w:szCs w:val="28"/>
        </w:rPr>
      </w:pPr>
      <w:r w:rsidRPr="001B6E4D">
        <w:rPr>
          <w:rFonts w:ascii="標楷體" w:eastAsia="標楷體" w:hAnsi="標楷體" w:cs="標楷體"/>
          <w:b/>
          <w:kern w:val="0"/>
          <w:sz w:val="28"/>
          <w:szCs w:val="28"/>
        </w:rPr>
        <w:t>5</w:t>
      </w:r>
      <w:r w:rsidRPr="001B6E4D">
        <w:rPr>
          <w:rFonts w:ascii="標楷體" w:eastAsia="標楷體" w:hAnsi="標楷體" w:cs="標楷體" w:hint="eastAsia"/>
          <w:b/>
          <w:kern w:val="0"/>
          <w:sz w:val="28"/>
          <w:szCs w:val="28"/>
        </w:rPr>
        <w:t>月28日（星期四）</w:t>
      </w:r>
    </w:p>
    <w:p w14:paraId="0105DDC9" w14:textId="77777777" w:rsidR="00705B3D" w:rsidRPr="001B6E4D" w:rsidRDefault="00705B3D" w:rsidP="003D1018">
      <w:pPr>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立法院秘書長　周萬來</w:t>
      </w:r>
    </w:p>
    <w:p w14:paraId="591A1B0B" w14:textId="77777777" w:rsidR="00705B3D" w:rsidRPr="001B6E4D" w:rsidRDefault="00705B3D" w:rsidP="003D1018">
      <w:pPr>
        <w:overflowPunct w:val="0"/>
        <w:adjustRightInd w:val="0"/>
        <w:snapToGrid w:val="0"/>
        <w:spacing w:line="370" w:lineRule="exact"/>
        <w:ind w:leftChars="584" w:left="2802" w:hangingChars="500" w:hanging="1400"/>
        <w:jc w:val="both"/>
        <w:rPr>
          <w:rFonts w:ascii="標楷體" w:eastAsia="標楷體" w:hAnsi="標楷體"/>
          <w:snapToGrid w:val="0"/>
          <w:kern w:val="0"/>
          <w:sz w:val="28"/>
          <w:szCs w:val="28"/>
          <w:lang w:val="x-none"/>
        </w:rPr>
      </w:pPr>
      <w:r w:rsidRPr="001B6E4D">
        <w:rPr>
          <w:rFonts w:ascii="標楷體" w:eastAsia="標楷體" w:hAnsi="標楷體" w:hint="eastAsia"/>
          <w:kern w:val="0"/>
          <w:sz w:val="28"/>
          <w:szCs w:val="28"/>
        </w:rPr>
        <w:t>行政院主計總處公務預算處專門委員　吳銘修</w:t>
      </w:r>
    </w:p>
    <w:p w14:paraId="598C6996" w14:textId="77777777" w:rsidR="00705B3D" w:rsidRPr="001B6E4D" w:rsidRDefault="00705B3D" w:rsidP="003D1018">
      <w:pPr>
        <w:pStyle w:val="Default"/>
        <w:overflowPunct w:val="0"/>
        <w:spacing w:line="360" w:lineRule="exact"/>
        <w:ind w:left="848" w:hangingChars="303" w:hanging="848"/>
        <w:rPr>
          <w:rFonts w:ascii="標楷體" w:eastAsia="標楷體" w:hAnsi="標楷體"/>
          <w:sz w:val="28"/>
          <w:szCs w:val="28"/>
        </w:rPr>
      </w:pPr>
      <w:r w:rsidRPr="001B6E4D">
        <w:rPr>
          <w:rFonts w:ascii="標楷體" w:eastAsia="標楷體" w:hAnsi="標楷體" w:hint="eastAsia"/>
          <w:sz w:val="28"/>
          <w:szCs w:val="28"/>
        </w:rPr>
        <w:t>主　　席：翁召集委員曉玲</w:t>
      </w:r>
    </w:p>
    <w:p w14:paraId="7ABB76B5" w14:textId="77777777" w:rsidR="00705B3D" w:rsidRPr="001B6E4D" w:rsidRDefault="00705B3D" w:rsidP="003D1018">
      <w:pPr>
        <w:pStyle w:val="Default"/>
        <w:overflowPunct w:val="0"/>
        <w:spacing w:line="360" w:lineRule="exact"/>
        <w:ind w:left="848" w:hangingChars="303" w:hanging="848"/>
        <w:rPr>
          <w:rFonts w:ascii="標楷體" w:eastAsia="標楷體" w:hAnsi="標楷體"/>
          <w:sz w:val="28"/>
          <w:szCs w:val="28"/>
        </w:rPr>
      </w:pPr>
      <w:r w:rsidRPr="001B6E4D">
        <w:rPr>
          <w:rFonts w:ascii="標楷體" w:eastAsia="標楷體" w:hAnsi="標楷體" w:hint="eastAsia"/>
          <w:sz w:val="28"/>
          <w:szCs w:val="28"/>
        </w:rPr>
        <w:t>專門委員：黃良瑩</w:t>
      </w:r>
    </w:p>
    <w:p w14:paraId="04C5E815" w14:textId="77777777" w:rsidR="00705B3D" w:rsidRPr="001B6E4D" w:rsidRDefault="00705B3D" w:rsidP="003D1018">
      <w:pPr>
        <w:pStyle w:val="Default"/>
        <w:overflowPunct w:val="0"/>
        <w:spacing w:line="360" w:lineRule="exact"/>
        <w:ind w:left="848" w:hangingChars="303" w:hanging="848"/>
        <w:rPr>
          <w:rFonts w:ascii="標楷體" w:eastAsia="標楷體" w:hAnsi="標楷體"/>
          <w:sz w:val="28"/>
          <w:szCs w:val="28"/>
        </w:rPr>
      </w:pPr>
      <w:r w:rsidRPr="001B6E4D">
        <w:rPr>
          <w:rFonts w:ascii="標楷體" w:eastAsia="標楷體" w:hAnsi="標楷體" w:hint="eastAsia"/>
          <w:sz w:val="28"/>
          <w:szCs w:val="28"/>
        </w:rPr>
        <w:t>主任秘書：張智為</w:t>
      </w:r>
    </w:p>
    <w:p w14:paraId="37651784" w14:textId="77777777" w:rsidR="00705B3D" w:rsidRPr="001B6E4D" w:rsidRDefault="00705B3D" w:rsidP="003D1018">
      <w:pPr>
        <w:pStyle w:val="Default"/>
        <w:tabs>
          <w:tab w:val="left" w:pos="5529"/>
        </w:tabs>
        <w:overflowPunct w:val="0"/>
        <w:spacing w:line="360" w:lineRule="exact"/>
        <w:rPr>
          <w:rFonts w:ascii="標楷體" w:eastAsia="標楷體" w:hAnsi="標楷體"/>
          <w:sz w:val="28"/>
          <w:szCs w:val="28"/>
        </w:rPr>
      </w:pPr>
      <w:r w:rsidRPr="001B6E4D">
        <w:rPr>
          <w:rFonts w:ascii="標楷體" w:eastAsia="標楷體" w:hAnsi="標楷體" w:hint="eastAsia"/>
          <w:sz w:val="28"/>
          <w:szCs w:val="28"/>
        </w:rPr>
        <w:t>紀　　錄：簡任秘書　薛復寧</w:t>
      </w:r>
    </w:p>
    <w:p w14:paraId="3C43EB09" w14:textId="77777777" w:rsidR="00705B3D" w:rsidRPr="001B6E4D" w:rsidRDefault="00705B3D" w:rsidP="003D1018">
      <w:pPr>
        <w:pStyle w:val="Default"/>
        <w:tabs>
          <w:tab w:val="left" w:pos="5529"/>
        </w:tabs>
        <w:overflowPunct w:val="0"/>
        <w:spacing w:line="360" w:lineRule="exact"/>
        <w:ind w:leftChars="353" w:left="847" w:firstLineChars="203" w:firstLine="568"/>
        <w:rPr>
          <w:rFonts w:ascii="標楷體" w:eastAsia="標楷體" w:hAnsi="標楷體"/>
          <w:sz w:val="28"/>
          <w:szCs w:val="28"/>
        </w:rPr>
      </w:pPr>
      <w:r w:rsidRPr="001B6E4D">
        <w:rPr>
          <w:rFonts w:ascii="標楷體" w:eastAsia="標楷體" w:hAnsi="標楷體" w:hint="eastAsia"/>
          <w:sz w:val="28"/>
          <w:szCs w:val="28"/>
        </w:rPr>
        <w:t>簡任編審　蔡國治</w:t>
      </w:r>
    </w:p>
    <w:p w14:paraId="149C8812" w14:textId="77777777" w:rsidR="00705B3D" w:rsidRPr="001B6E4D" w:rsidRDefault="00705B3D" w:rsidP="003D1018">
      <w:pPr>
        <w:pStyle w:val="Default"/>
        <w:tabs>
          <w:tab w:val="left" w:pos="5529"/>
        </w:tabs>
        <w:overflowPunct w:val="0"/>
        <w:spacing w:line="360" w:lineRule="exact"/>
        <w:ind w:leftChars="353" w:left="847" w:firstLineChars="203" w:firstLine="568"/>
        <w:rPr>
          <w:rFonts w:ascii="標楷體" w:eastAsia="標楷體" w:hAnsi="標楷體"/>
          <w:sz w:val="28"/>
          <w:szCs w:val="28"/>
        </w:rPr>
      </w:pPr>
      <w:r w:rsidRPr="001B6E4D">
        <w:rPr>
          <w:rFonts w:ascii="標楷體" w:eastAsia="標楷體" w:hAnsi="標楷體" w:hint="eastAsia"/>
          <w:sz w:val="28"/>
          <w:szCs w:val="28"/>
        </w:rPr>
        <w:t>科　　長　余俊緯</w:t>
      </w:r>
    </w:p>
    <w:p w14:paraId="541CDF2C" w14:textId="77777777" w:rsidR="00705B3D" w:rsidRPr="001B6E4D" w:rsidRDefault="00705B3D" w:rsidP="003D1018">
      <w:pPr>
        <w:pStyle w:val="Default"/>
        <w:tabs>
          <w:tab w:val="left" w:pos="5529"/>
        </w:tabs>
        <w:overflowPunct w:val="0"/>
        <w:spacing w:line="360" w:lineRule="exact"/>
        <w:ind w:leftChars="353" w:left="847" w:firstLineChars="203" w:firstLine="568"/>
        <w:rPr>
          <w:rFonts w:ascii="標楷體" w:eastAsia="標楷體" w:hAnsi="標楷體"/>
          <w:color w:val="auto"/>
          <w:sz w:val="28"/>
          <w:szCs w:val="28"/>
        </w:rPr>
      </w:pPr>
      <w:r w:rsidRPr="001B6E4D">
        <w:rPr>
          <w:rFonts w:ascii="標楷體" w:eastAsia="標楷體" w:hAnsi="標楷體" w:hint="eastAsia"/>
          <w:color w:val="auto"/>
          <w:sz w:val="28"/>
          <w:szCs w:val="28"/>
        </w:rPr>
        <w:t>專　　員　莊鴻基</w:t>
      </w:r>
    </w:p>
    <w:p w14:paraId="72AA8382" w14:textId="77777777" w:rsidR="00705B3D" w:rsidRPr="001B6E4D" w:rsidRDefault="00705B3D" w:rsidP="003D1018">
      <w:pPr>
        <w:overflowPunct w:val="0"/>
        <w:adjustRightInd w:val="0"/>
        <w:snapToGrid w:val="0"/>
        <w:spacing w:beforeLines="30" w:before="108" w:line="410" w:lineRule="exact"/>
        <w:ind w:left="561" w:hangingChars="200" w:hanging="561"/>
        <w:jc w:val="both"/>
        <w:rPr>
          <w:rFonts w:ascii="標楷體" w:eastAsia="標楷體" w:hAnsi="標楷體"/>
          <w:b/>
          <w:sz w:val="28"/>
          <w:szCs w:val="28"/>
        </w:rPr>
      </w:pPr>
      <w:r w:rsidRPr="001B6E4D">
        <w:rPr>
          <w:rFonts w:ascii="標楷體" w:eastAsia="標楷體" w:hAnsi="標楷體" w:hint="eastAsia"/>
          <w:b/>
          <w:bCs/>
          <w:sz w:val="28"/>
          <w:szCs w:val="28"/>
        </w:rPr>
        <w:t>5月25日（</w:t>
      </w:r>
      <w:r w:rsidRPr="001B6E4D">
        <w:rPr>
          <w:rFonts w:ascii="標楷體" w:eastAsia="標楷體" w:hAnsi="標楷體" w:cs="標楷體" w:hint="eastAsia"/>
          <w:b/>
          <w:kern w:val="0"/>
          <w:sz w:val="28"/>
          <w:szCs w:val="28"/>
        </w:rPr>
        <w:t>星期一</w:t>
      </w:r>
      <w:r w:rsidRPr="001B6E4D">
        <w:rPr>
          <w:rFonts w:ascii="標楷體" w:eastAsia="標楷體" w:hAnsi="標楷體" w:hint="eastAsia"/>
          <w:b/>
          <w:bCs/>
          <w:sz w:val="28"/>
          <w:szCs w:val="28"/>
        </w:rPr>
        <w:t>）</w:t>
      </w:r>
    </w:p>
    <w:p w14:paraId="1283FAFB" w14:textId="77777777" w:rsidR="00705B3D" w:rsidRPr="001B6E4D" w:rsidRDefault="00705B3D" w:rsidP="003D1018">
      <w:pPr>
        <w:pStyle w:val="afffff6"/>
        <w:overflowPunct w:val="0"/>
        <w:spacing w:beforeLines="30" w:before="108" w:line="410" w:lineRule="exact"/>
        <w:ind w:leftChars="0" w:left="0" w:rightChars="0" w:right="0" w:firstLineChars="398" w:firstLine="1115"/>
        <w:jc w:val="both"/>
        <w:rPr>
          <w:rFonts w:ascii="標楷體" w:hAnsi="標楷體"/>
          <w:b/>
          <w:sz w:val="28"/>
          <w:szCs w:val="28"/>
        </w:rPr>
      </w:pPr>
      <w:r w:rsidRPr="001B6E4D">
        <w:rPr>
          <w:rFonts w:ascii="標楷體" w:hAnsi="標楷體" w:hint="eastAsia"/>
          <w:b/>
          <w:sz w:val="28"/>
          <w:szCs w:val="28"/>
        </w:rPr>
        <w:t>報告事項</w:t>
      </w:r>
    </w:p>
    <w:p w14:paraId="6C402042" w14:textId="77777777" w:rsidR="00705B3D" w:rsidRPr="001B6E4D" w:rsidRDefault="00705B3D" w:rsidP="003D1018">
      <w:pPr>
        <w:pStyle w:val="Default"/>
        <w:overflowPunct w:val="0"/>
        <w:spacing w:line="360" w:lineRule="exact"/>
        <w:rPr>
          <w:rFonts w:ascii="標楷體" w:eastAsia="標楷體" w:hAnsi="標楷體"/>
          <w:color w:val="auto"/>
          <w:sz w:val="28"/>
          <w:szCs w:val="28"/>
        </w:rPr>
      </w:pPr>
      <w:r w:rsidRPr="001B6E4D">
        <w:rPr>
          <w:rFonts w:ascii="標楷體" w:eastAsia="標楷體" w:hAnsi="標楷體" w:hint="eastAsia"/>
          <w:color w:val="auto"/>
          <w:sz w:val="28"/>
          <w:szCs w:val="28"/>
        </w:rPr>
        <w:t>宣讀上次會議議事錄。</w:t>
      </w:r>
    </w:p>
    <w:p w14:paraId="73228334" w14:textId="77777777" w:rsidR="00705B3D" w:rsidRPr="001B6E4D" w:rsidRDefault="00705B3D" w:rsidP="003D1018">
      <w:pPr>
        <w:pStyle w:val="Default"/>
        <w:overflowPunct w:val="0"/>
        <w:spacing w:line="360" w:lineRule="exact"/>
        <w:rPr>
          <w:rFonts w:ascii="標楷體" w:eastAsia="標楷體" w:hAnsi="標楷體"/>
          <w:color w:val="auto"/>
          <w:sz w:val="28"/>
          <w:szCs w:val="28"/>
        </w:rPr>
      </w:pPr>
      <w:r w:rsidRPr="001B6E4D">
        <w:rPr>
          <w:rFonts w:ascii="標楷體" w:eastAsia="標楷體" w:hAnsi="標楷體" w:hint="eastAsia"/>
          <w:color w:val="auto"/>
          <w:sz w:val="28"/>
          <w:szCs w:val="28"/>
        </w:rPr>
        <w:lastRenderedPageBreak/>
        <w:t>決定：確定。</w:t>
      </w:r>
    </w:p>
    <w:p w14:paraId="0E104C38" w14:textId="77777777" w:rsidR="00705B3D" w:rsidRPr="001B6E4D" w:rsidRDefault="00705B3D" w:rsidP="003D1018">
      <w:pPr>
        <w:pStyle w:val="afffff6"/>
        <w:overflowPunct w:val="0"/>
        <w:spacing w:beforeLines="30" w:before="108" w:line="410" w:lineRule="exact"/>
        <w:ind w:leftChars="0" w:left="0" w:rightChars="0" w:right="0" w:firstLineChars="398" w:firstLine="1115"/>
        <w:jc w:val="both"/>
        <w:rPr>
          <w:rFonts w:ascii="標楷體" w:hAnsi="標楷體"/>
          <w:b/>
          <w:sz w:val="28"/>
          <w:szCs w:val="28"/>
        </w:rPr>
      </w:pPr>
      <w:r w:rsidRPr="001B6E4D">
        <w:rPr>
          <w:rFonts w:ascii="標楷體" w:hAnsi="標楷體" w:hint="eastAsia"/>
          <w:b/>
          <w:sz w:val="28"/>
          <w:szCs w:val="28"/>
        </w:rPr>
        <w:t>討論事項</w:t>
      </w:r>
    </w:p>
    <w:p w14:paraId="2248AA3B" w14:textId="77777777" w:rsidR="00705B3D" w:rsidRPr="001B6E4D" w:rsidRDefault="00705B3D" w:rsidP="003D1018">
      <w:pPr>
        <w:pStyle w:val="Default"/>
        <w:overflowPunct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繼續審查</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年度中央政府總預算案關於監察院主管（不含審計部及所屬）收支部分。</w:t>
      </w:r>
    </w:p>
    <w:p w14:paraId="58B76183" w14:textId="77777777" w:rsidR="00705B3D" w:rsidRPr="001B6E4D" w:rsidRDefault="00705B3D" w:rsidP="003D1018">
      <w:pPr>
        <w:pStyle w:val="Default"/>
        <w:overflowPunct w:val="0"/>
        <w:spacing w:line="360" w:lineRule="exact"/>
        <w:ind w:left="846" w:hangingChars="302" w:hanging="846"/>
        <w:rPr>
          <w:rFonts w:ascii="標楷體" w:eastAsia="標楷體" w:hAnsi="標楷體"/>
          <w:b/>
          <w:bCs/>
          <w:sz w:val="28"/>
          <w:szCs w:val="28"/>
        </w:rPr>
      </w:pPr>
      <w:r w:rsidRPr="001B6E4D">
        <w:rPr>
          <w:rFonts w:ascii="標楷體" w:eastAsia="標楷體" w:hAnsi="標楷體" w:hint="eastAsia"/>
          <w:sz w:val="28"/>
          <w:szCs w:val="28"/>
        </w:rPr>
        <w:t>決議：</w:t>
      </w:r>
    </w:p>
    <w:p w14:paraId="0E24D4C1" w14:textId="77777777" w:rsidR="00705B3D" w:rsidRPr="001B6E4D" w:rsidRDefault="00705B3D" w:rsidP="003D1018">
      <w:pPr>
        <w:overflowPunct w:val="0"/>
        <w:snapToGrid w:val="0"/>
        <w:jc w:val="both"/>
        <w:rPr>
          <w:rFonts w:ascii="標楷體" w:eastAsia="標楷體" w:hAnsi="標楷體" w:cs="標楷體"/>
          <w:b/>
          <w:color w:val="000000"/>
          <w:kern w:val="0"/>
          <w:sz w:val="28"/>
          <w:szCs w:val="28"/>
        </w:rPr>
      </w:pPr>
      <w:proofErr w:type="gramStart"/>
      <w:r w:rsidRPr="001B6E4D">
        <w:rPr>
          <w:rFonts w:ascii="標楷體" w:eastAsia="標楷體" w:hAnsi="標楷體" w:cs="標楷體" w:hint="eastAsia"/>
          <w:b/>
          <w:color w:val="000000"/>
          <w:kern w:val="0"/>
          <w:sz w:val="28"/>
          <w:szCs w:val="28"/>
        </w:rPr>
        <w:t>115</w:t>
      </w:r>
      <w:proofErr w:type="gramEnd"/>
      <w:r w:rsidRPr="001B6E4D">
        <w:rPr>
          <w:rFonts w:ascii="標楷體" w:eastAsia="標楷體" w:hAnsi="標楷體" w:cs="標楷體" w:hint="eastAsia"/>
          <w:b/>
          <w:color w:val="000000"/>
          <w:kern w:val="0"/>
          <w:sz w:val="28"/>
          <w:szCs w:val="28"/>
        </w:rPr>
        <w:t>年度中央政府總預算案關於監察院主管（不含審計部及所屬）收支部分：</w:t>
      </w:r>
    </w:p>
    <w:p w14:paraId="3602B4C0" w14:textId="77777777" w:rsidR="00705B3D" w:rsidRPr="001B6E4D" w:rsidRDefault="00705B3D" w:rsidP="003D1018">
      <w:pPr>
        <w:overflowPunct w:val="0"/>
        <w:snapToGrid w:val="0"/>
        <w:rPr>
          <w:rFonts w:ascii="標楷體" w:eastAsia="標楷體" w:hAnsi="標楷體"/>
          <w:b/>
          <w:sz w:val="28"/>
          <w:szCs w:val="28"/>
        </w:rPr>
      </w:pPr>
      <w:r w:rsidRPr="001B6E4D">
        <w:rPr>
          <w:rFonts w:ascii="標楷體" w:eastAsia="標楷體" w:hAnsi="標楷體" w:hint="eastAsia"/>
          <w:b/>
          <w:sz w:val="28"/>
          <w:szCs w:val="28"/>
        </w:rPr>
        <w:t>一、</w:t>
      </w:r>
      <w:r w:rsidRPr="001B6E4D">
        <w:rPr>
          <w:rFonts w:ascii="標楷體" w:eastAsia="標楷體" w:hAnsi="標楷體"/>
          <w:b/>
          <w:sz w:val="28"/>
          <w:szCs w:val="28"/>
        </w:rPr>
        <w:t>歲入部分</w:t>
      </w:r>
    </w:p>
    <w:p w14:paraId="20DCEBEA" w14:textId="77777777" w:rsidR="00705B3D" w:rsidRPr="001B6E4D" w:rsidRDefault="00705B3D" w:rsidP="003D1018">
      <w:pPr>
        <w:overflowPunct w:val="0"/>
        <w:snapToGrid w:val="0"/>
        <w:ind w:leftChars="50" w:left="120"/>
        <w:rPr>
          <w:rFonts w:ascii="標楷體" w:eastAsia="標楷體" w:hAnsi="標楷體"/>
          <w:b/>
          <w:sz w:val="28"/>
          <w:szCs w:val="28"/>
        </w:rPr>
      </w:pPr>
      <w:r w:rsidRPr="001B6E4D">
        <w:rPr>
          <w:rFonts w:ascii="標楷體" w:eastAsia="標楷體" w:hAnsi="標楷體"/>
          <w:b/>
          <w:sz w:val="28"/>
          <w:szCs w:val="28"/>
        </w:rPr>
        <w:t>第2款 罰款及賠償收入</w:t>
      </w:r>
    </w:p>
    <w:p w14:paraId="56533265" w14:textId="77777777" w:rsidR="00705B3D" w:rsidRPr="001B6E4D" w:rsidRDefault="00705B3D" w:rsidP="003D1018">
      <w:pPr>
        <w:overflowPunct w:val="0"/>
        <w:snapToGrid w:val="0"/>
        <w:ind w:leftChars="150" w:left="360"/>
        <w:rPr>
          <w:rFonts w:ascii="標楷體" w:eastAsia="標楷體" w:hAnsi="標楷體"/>
          <w:bCs/>
          <w:sz w:val="28"/>
          <w:szCs w:val="28"/>
        </w:rPr>
      </w:pPr>
      <w:r w:rsidRPr="001B6E4D">
        <w:rPr>
          <w:rFonts w:ascii="標楷體" w:eastAsia="標楷體" w:hAnsi="標楷體"/>
          <w:bCs/>
          <w:sz w:val="28"/>
          <w:szCs w:val="28"/>
        </w:rPr>
        <w:t>第61項 監察院</w:t>
      </w:r>
      <w:r w:rsidRPr="001B6E4D">
        <w:rPr>
          <w:rFonts w:ascii="標楷體" w:eastAsia="標楷體" w:hAnsi="標楷體" w:hint="eastAsia"/>
          <w:bCs/>
          <w:sz w:val="28"/>
          <w:szCs w:val="28"/>
        </w:rPr>
        <w:t>2,990萬元</w:t>
      </w:r>
      <w:r w:rsidRPr="001B6E4D">
        <w:rPr>
          <w:rFonts w:ascii="標楷體" w:eastAsia="標楷體" w:hAnsi="標楷體"/>
          <w:bCs/>
          <w:sz w:val="28"/>
          <w:szCs w:val="28"/>
        </w:rPr>
        <w:t>，</w:t>
      </w:r>
      <w:proofErr w:type="gramStart"/>
      <w:r w:rsidRPr="001B6E4D">
        <w:rPr>
          <w:rFonts w:ascii="標楷體" w:eastAsia="標楷體" w:hAnsi="標楷體"/>
          <w:bCs/>
          <w:sz w:val="28"/>
          <w:szCs w:val="28"/>
        </w:rPr>
        <w:t>照列</w:t>
      </w:r>
      <w:proofErr w:type="gramEnd"/>
      <w:r w:rsidRPr="001B6E4D">
        <w:rPr>
          <w:rFonts w:ascii="標楷體" w:eastAsia="標楷體" w:hAnsi="標楷體"/>
          <w:bCs/>
          <w:sz w:val="28"/>
          <w:szCs w:val="28"/>
        </w:rPr>
        <w:t>。</w:t>
      </w:r>
    </w:p>
    <w:p w14:paraId="50C123FB" w14:textId="77777777" w:rsidR="00705B3D" w:rsidRPr="001B6E4D" w:rsidRDefault="00705B3D"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2</w:t>
      </w:r>
      <w:r w:rsidRPr="001B6E4D">
        <w:rPr>
          <w:rFonts w:ascii="標楷體" w:eastAsia="標楷體" w:hAnsi="標楷體"/>
          <w:b/>
          <w:bCs/>
          <w:sz w:val="28"/>
          <w:szCs w:val="28"/>
        </w:rPr>
        <w:t>項：</w:t>
      </w:r>
    </w:p>
    <w:p w14:paraId="1C8E457A" w14:textId="77777777" w:rsidR="00705B3D" w:rsidRPr="001B6E4D" w:rsidRDefault="00705B3D" w:rsidP="003D1018">
      <w:pPr>
        <w:pStyle w:val="affe"/>
        <w:widowControl w:val="0"/>
        <w:numPr>
          <w:ilvl w:val="0"/>
          <w:numId w:val="50"/>
        </w:numPr>
        <w:overflowPunct w:val="0"/>
        <w:snapToGrid w:val="0"/>
        <w:ind w:leftChars="178" w:left="987"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年度監察院預算案於歲入第2款</w:t>
      </w:r>
      <w:bookmarkStart w:id="510" w:name="_Hlk230591846"/>
      <w:r w:rsidRPr="001B6E4D">
        <w:rPr>
          <w:rFonts w:ascii="標楷體" w:eastAsia="標楷體" w:hAnsi="標楷體"/>
          <w:color w:val="000000"/>
          <w:sz w:val="28"/>
          <w:szCs w:val="28"/>
        </w:rPr>
        <w:t>「罰款及賠償收入」</w:t>
      </w:r>
      <w:bookmarkEnd w:id="510"/>
      <w:r w:rsidRPr="001B6E4D">
        <w:rPr>
          <w:rFonts w:ascii="標楷體" w:eastAsia="標楷體" w:hAnsi="標楷體"/>
          <w:color w:val="000000"/>
          <w:sz w:val="28"/>
          <w:szCs w:val="28"/>
        </w:rPr>
        <w:t>第61項「監察院」編列預算2,990萬元。</w:t>
      </w:r>
    </w:p>
    <w:p w14:paraId="190C2560" w14:textId="77777777" w:rsidR="00705B3D" w:rsidRPr="001B6E4D" w:rsidRDefault="00705B3D" w:rsidP="003D1018">
      <w:pPr>
        <w:pStyle w:val="affe"/>
        <w:overflowPunct w:val="0"/>
        <w:snapToGrid w:val="0"/>
        <w:ind w:leftChars="0"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依據立法院預算中心</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w:t>
      </w:r>
      <w:r w:rsidRPr="001B6E4D">
        <w:rPr>
          <w:rFonts w:ascii="標楷體" w:eastAsia="標楷體" w:hAnsi="標楷體" w:hint="eastAsia"/>
          <w:color w:val="000000"/>
          <w:sz w:val="28"/>
          <w:szCs w:val="28"/>
        </w:rPr>
        <w:t>度</w:t>
      </w:r>
      <w:r w:rsidRPr="001B6E4D">
        <w:rPr>
          <w:rFonts w:ascii="標楷體" w:eastAsia="標楷體" w:hAnsi="標楷體"/>
          <w:color w:val="000000"/>
          <w:sz w:val="28"/>
          <w:szCs w:val="28"/>
        </w:rPr>
        <w:t>預算評估報告，監察院辦理違反公職人員財產申報法、公職人員利益衝突迴避法、政治獻金法及遊說法等相關罰鍰及沒入金收入，110至113年度決算數介於2,271萬4千元至4,304萬2千元間，除</w:t>
      </w:r>
      <w:proofErr w:type="gramStart"/>
      <w:r w:rsidRPr="001B6E4D">
        <w:rPr>
          <w:rFonts w:ascii="標楷體" w:eastAsia="標楷體" w:hAnsi="標楷體"/>
          <w:color w:val="000000"/>
          <w:sz w:val="28"/>
          <w:szCs w:val="28"/>
        </w:rPr>
        <w:t>112</w:t>
      </w:r>
      <w:proofErr w:type="gramEnd"/>
      <w:r w:rsidRPr="001B6E4D">
        <w:rPr>
          <w:rFonts w:ascii="標楷體" w:eastAsia="標楷體" w:hAnsi="標楷體"/>
          <w:color w:val="000000"/>
          <w:sz w:val="28"/>
          <w:szCs w:val="28"/>
        </w:rPr>
        <w:t>年度預算達成率為89.43%外，其餘年度均超過100%，其中</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年度決算數更達4,126萬4千元，預算達成率高達155.13%。</w:t>
      </w:r>
    </w:p>
    <w:p w14:paraId="0202955E" w14:textId="77777777" w:rsidR="00705B3D" w:rsidRPr="001B6E4D" w:rsidRDefault="00705B3D" w:rsidP="003D1018">
      <w:pPr>
        <w:pStyle w:val="affe"/>
        <w:overflowPunct w:val="0"/>
        <w:snapToGrid w:val="0"/>
        <w:ind w:leftChars="0" w:left="987"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監察院</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年度「罰款及賠償收入」僅編列2,990萬元，低於近年決算數，其預算目標顯有保守低估之虞。為使</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w:t>
      </w:r>
      <w:r w:rsidRPr="001B6E4D">
        <w:rPr>
          <w:rFonts w:ascii="標楷體" w:eastAsia="標楷體" w:hAnsi="標楷體" w:hint="eastAsia"/>
          <w:color w:val="000000"/>
          <w:sz w:val="28"/>
          <w:szCs w:val="28"/>
        </w:rPr>
        <w:t>度</w:t>
      </w:r>
      <w:r w:rsidRPr="001B6E4D">
        <w:rPr>
          <w:rFonts w:ascii="標楷體" w:eastAsia="標楷體" w:hAnsi="標楷體"/>
          <w:color w:val="000000"/>
          <w:sz w:val="28"/>
          <w:szCs w:val="28"/>
        </w:rPr>
        <w:t>歲入更符合近年實際執行情形，並督促監察院積極辦理裁罰、沒入金收繳及相關催繳作業，確保國庫權益，</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監察院應就「罰款及賠償收入」收繳情形，於3個月內向立法院司法及法制委員會提出書面報告</w:t>
      </w:r>
      <w:r w:rsidRPr="001B6E4D">
        <w:rPr>
          <w:rFonts w:ascii="標楷體" w:eastAsia="標楷體" w:hAnsi="標楷體"/>
          <w:color w:val="000000"/>
          <w:sz w:val="28"/>
          <w:szCs w:val="28"/>
        </w:rPr>
        <w:t>。【1】</w:t>
      </w:r>
    </w:p>
    <w:p w14:paraId="3828E12F"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13539E19"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09E4DD48" w14:textId="77777777" w:rsidR="00705B3D" w:rsidRPr="001B6E4D" w:rsidRDefault="00705B3D" w:rsidP="003D1018">
      <w:pPr>
        <w:pStyle w:val="affe"/>
        <w:widowControl w:val="0"/>
        <w:numPr>
          <w:ilvl w:val="0"/>
          <w:numId w:val="50"/>
        </w:numPr>
        <w:overflowPunct w:val="0"/>
        <w:snapToGrid w:val="0"/>
        <w:ind w:leftChars="178" w:left="987" w:hangingChars="200" w:hanging="560"/>
        <w:jc w:val="both"/>
        <w:rPr>
          <w:rFonts w:ascii="標楷體" w:eastAsia="標楷體" w:hAnsi="標楷體"/>
          <w:color w:val="000000"/>
          <w:sz w:val="28"/>
          <w:szCs w:val="28"/>
        </w:rPr>
      </w:pPr>
      <w:r w:rsidRPr="001B6E4D">
        <w:rPr>
          <w:rFonts w:ascii="標楷體" w:eastAsia="標楷體" w:hAnsi="標楷體"/>
          <w:color w:val="000000"/>
          <w:sz w:val="28"/>
          <w:szCs w:val="28"/>
        </w:rPr>
        <w:t>查監察院近年「罰款及賠償收入」決算數中，約有二至三成餘無法於當年度實現而列為</w:t>
      </w:r>
      <w:proofErr w:type="gramStart"/>
      <w:r w:rsidRPr="001B6E4D">
        <w:rPr>
          <w:rFonts w:ascii="標楷體" w:eastAsia="標楷體" w:hAnsi="標楷體"/>
          <w:color w:val="000000"/>
          <w:sz w:val="28"/>
          <w:szCs w:val="28"/>
        </w:rPr>
        <w:t>應收數</w:t>
      </w:r>
      <w:proofErr w:type="gramEnd"/>
      <w:r w:rsidRPr="001B6E4D">
        <w:rPr>
          <w:rFonts w:ascii="標楷體" w:eastAsia="標楷體" w:hAnsi="標楷體"/>
          <w:color w:val="000000"/>
          <w:sz w:val="28"/>
          <w:szCs w:val="28"/>
        </w:rPr>
        <w:t>。其中</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w:t>
      </w:r>
      <w:proofErr w:type="gramStart"/>
      <w:r w:rsidRPr="001B6E4D">
        <w:rPr>
          <w:rFonts w:ascii="標楷體" w:eastAsia="標楷體" w:hAnsi="標楷體"/>
          <w:color w:val="000000"/>
          <w:sz w:val="28"/>
          <w:szCs w:val="28"/>
        </w:rPr>
        <w:t>應收數達</w:t>
      </w:r>
      <w:proofErr w:type="gramEnd"/>
      <w:r w:rsidRPr="001B6E4D">
        <w:rPr>
          <w:rFonts w:ascii="標楷體" w:eastAsia="標楷體" w:hAnsi="標楷體"/>
          <w:color w:val="000000"/>
          <w:sz w:val="28"/>
          <w:szCs w:val="28"/>
        </w:rPr>
        <w:t>1,509萬6千元，占該年度罰款及賠償收入決算數36.58%，其金額及占</w:t>
      </w:r>
      <w:proofErr w:type="gramStart"/>
      <w:r w:rsidRPr="001B6E4D">
        <w:rPr>
          <w:rFonts w:ascii="標楷體" w:eastAsia="標楷體" w:hAnsi="標楷體"/>
          <w:color w:val="000000"/>
          <w:sz w:val="28"/>
          <w:szCs w:val="28"/>
        </w:rPr>
        <w:t>比均為近年</w:t>
      </w:r>
      <w:proofErr w:type="gramEnd"/>
      <w:r w:rsidRPr="001B6E4D">
        <w:rPr>
          <w:rFonts w:ascii="標楷體" w:eastAsia="標楷體" w:hAnsi="標楷體"/>
          <w:color w:val="000000"/>
          <w:sz w:val="28"/>
          <w:szCs w:val="28"/>
        </w:rPr>
        <w:t>新高。另截至112年底止，監察院尚未收回之以前年度應收罰款及賠償收入共計2,302萬5千元，惟</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年度實際收回數僅693萬2千元，實現率僅30.11%；截至113年底止，仍有未</w:t>
      </w:r>
      <w:proofErr w:type="gramStart"/>
      <w:r w:rsidRPr="001B6E4D">
        <w:rPr>
          <w:rFonts w:ascii="標楷體" w:eastAsia="標楷體" w:hAnsi="標楷體"/>
          <w:color w:val="000000"/>
          <w:sz w:val="28"/>
          <w:szCs w:val="28"/>
        </w:rPr>
        <w:t>結清數</w:t>
      </w:r>
      <w:proofErr w:type="gramEnd"/>
      <w:r w:rsidRPr="001B6E4D">
        <w:rPr>
          <w:rFonts w:ascii="標楷體" w:eastAsia="標楷體" w:hAnsi="標楷體"/>
          <w:color w:val="000000"/>
          <w:sz w:val="28"/>
          <w:szCs w:val="28"/>
        </w:rPr>
        <w:t>1,549萬4千元。若未能積極辦理財產清查、催繳及行政執行，恐增加帳款無法收回之風險，並影響國庫權益。</w:t>
      </w:r>
    </w:p>
    <w:p w14:paraId="2C09CF7A" w14:textId="77777777" w:rsidR="00705B3D" w:rsidRPr="001B6E4D" w:rsidRDefault="00705B3D" w:rsidP="003D1018">
      <w:pPr>
        <w:pStyle w:val="affe"/>
        <w:overflowPunct w:val="0"/>
        <w:snapToGrid w:val="0"/>
        <w:ind w:leftChars="0"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依行政執行法第7條規定，行政執行具有一定期間限制，</w:t>
      </w:r>
      <w:proofErr w:type="gramStart"/>
      <w:r w:rsidRPr="001B6E4D">
        <w:rPr>
          <w:rFonts w:ascii="標楷體" w:eastAsia="標楷體" w:hAnsi="標楷體"/>
          <w:color w:val="000000"/>
          <w:sz w:val="28"/>
          <w:szCs w:val="28"/>
        </w:rPr>
        <w:t>倘未及時</w:t>
      </w:r>
      <w:proofErr w:type="gramEnd"/>
      <w:r w:rsidRPr="001B6E4D">
        <w:rPr>
          <w:rFonts w:ascii="標楷體" w:eastAsia="標楷體" w:hAnsi="標楷體"/>
          <w:color w:val="000000"/>
          <w:sz w:val="28"/>
          <w:szCs w:val="28"/>
        </w:rPr>
        <w:t>掌握案件進度及執行時效，恐導致部分應收款項逾期</w:t>
      </w:r>
      <w:r w:rsidRPr="001B6E4D">
        <w:rPr>
          <w:rFonts w:ascii="標楷體" w:eastAsia="標楷體" w:hAnsi="標楷體"/>
          <w:color w:val="000000"/>
          <w:sz w:val="28"/>
          <w:szCs w:val="28"/>
        </w:rPr>
        <w:lastRenderedPageBreak/>
        <w:t>無法執行。監察院應就歷年應收罰款及賠償收入建立完整追蹤管理機制，並提出具體改善措施。</w:t>
      </w:r>
    </w:p>
    <w:p w14:paraId="0F693744" w14:textId="77777777" w:rsidR="00705B3D" w:rsidRPr="001B6E4D" w:rsidRDefault="00705B3D" w:rsidP="003D1018">
      <w:pPr>
        <w:pStyle w:val="affe"/>
        <w:overflowPunct w:val="0"/>
        <w:snapToGrid w:val="0"/>
        <w:ind w:leftChars="0"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綜上，監察院應針對下列項目，於3個月內向立法院司法及法制委員會提出書面報告：</w:t>
      </w:r>
    </w:p>
    <w:p w14:paraId="5279EB2B" w14:textId="77777777" w:rsidR="00705B3D" w:rsidRPr="001B6E4D" w:rsidRDefault="00705B3D" w:rsidP="003D1018">
      <w:pPr>
        <w:pStyle w:val="afffffffffd"/>
        <w:overflowPunct w:val="0"/>
        <w:ind w:leftChars="35" w:left="1344" w:hangingChars="450" w:hanging="1260"/>
      </w:pPr>
      <w:r w:rsidRPr="001B6E4D">
        <w:rPr>
          <w:rFonts w:hint="eastAsia"/>
        </w:rPr>
        <w:t xml:space="preserve">       1.</w:t>
      </w:r>
      <w:r w:rsidRPr="001B6E4D">
        <w:t>歷年「罰款及賠償收入」應收款項之分析、案件類型及未收回原因。</w:t>
      </w:r>
    </w:p>
    <w:p w14:paraId="2A3FA4B1" w14:textId="77777777" w:rsidR="00705B3D" w:rsidRPr="001B6E4D" w:rsidRDefault="00705B3D" w:rsidP="003D1018">
      <w:pPr>
        <w:pStyle w:val="afffffffffd"/>
        <w:overflowPunct w:val="0"/>
        <w:ind w:firstLineChars="0" w:firstLine="0"/>
      </w:pPr>
      <w:r w:rsidRPr="001B6E4D">
        <w:rPr>
          <w:rFonts w:hint="eastAsia"/>
        </w:rPr>
        <w:t>2.</w:t>
      </w:r>
      <w:r w:rsidRPr="001B6E4D">
        <w:t>已移送行政執行案件之辦理進度、執行成效及後續追蹤機制。</w:t>
      </w:r>
    </w:p>
    <w:p w14:paraId="669DEC7F" w14:textId="77777777" w:rsidR="00705B3D" w:rsidRPr="001B6E4D" w:rsidRDefault="00705B3D" w:rsidP="003D1018">
      <w:pPr>
        <w:pStyle w:val="afffffffffd"/>
        <w:overflowPunct w:val="0"/>
        <w:ind w:firstLineChars="0" w:firstLine="0"/>
      </w:pPr>
      <w:r w:rsidRPr="001B6E4D">
        <w:rPr>
          <w:rFonts w:hint="eastAsia"/>
        </w:rPr>
        <w:t>3.</w:t>
      </w:r>
      <w:r w:rsidRPr="001B6E4D">
        <w:t>針對即將屆滿行政執行時效案件之清查及處理措施。</w:t>
      </w:r>
    </w:p>
    <w:p w14:paraId="5386A7F1" w14:textId="77777777" w:rsidR="00705B3D" w:rsidRPr="001B6E4D" w:rsidRDefault="00705B3D" w:rsidP="003D1018">
      <w:pPr>
        <w:pStyle w:val="afffffffffd"/>
        <w:overflowPunct w:val="0"/>
        <w:ind w:firstLineChars="0" w:firstLine="0"/>
      </w:pPr>
      <w:r w:rsidRPr="001B6E4D">
        <w:rPr>
          <w:rFonts w:hint="eastAsia"/>
        </w:rPr>
        <w:t>4.</w:t>
      </w:r>
      <w:r w:rsidRPr="001B6E4D">
        <w:t>提升應收款項收回率之具體目標及年度改善期程。【2】</w:t>
      </w:r>
    </w:p>
    <w:p w14:paraId="6FE5A04A"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57432B9F"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46ED4C9A" w14:textId="77777777" w:rsidR="00705B3D" w:rsidRPr="001B6E4D" w:rsidRDefault="00705B3D" w:rsidP="003D1018">
      <w:pPr>
        <w:overflowPunct w:val="0"/>
        <w:snapToGrid w:val="0"/>
        <w:ind w:leftChars="50" w:left="120"/>
        <w:rPr>
          <w:rFonts w:ascii="標楷體" w:eastAsia="標楷體" w:hAnsi="標楷體"/>
          <w:b/>
          <w:sz w:val="28"/>
          <w:szCs w:val="28"/>
        </w:rPr>
      </w:pPr>
      <w:r w:rsidRPr="001B6E4D">
        <w:rPr>
          <w:rFonts w:ascii="標楷體" w:eastAsia="標楷體" w:hAnsi="標楷體"/>
          <w:b/>
          <w:sz w:val="28"/>
          <w:szCs w:val="28"/>
        </w:rPr>
        <w:t>第4款 財產收入</w:t>
      </w:r>
    </w:p>
    <w:p w14:paraId="18A0819F" w14:textId="77777777" w:rsidR="00705B3D" w:rsidRPr="001B6E4D" w:rsidRDefault="00705B3D" w:rsidP="003D1018">
      <w:pPr>
        <w:overflowPunct w:val="0"/>
        <w:snapToGrid w:val="0"/>
        <w:ind w:leftChars="150" w:left="360"/>
        <w:rPr>
          <w:rFonts w:ascii="標楷體" w:eastAsia="標楷體" w:hAnsi="標楷體"/>
          <w:bCs/>
          <w:sz w:val="28"/>
          <w:szCs w:val="28"/>
        </w:rPr>
      </w:pPr>
      <w:r w:rsidRPr="001B6E4D">
        <w:rPr>
          <w:rFonts w:ascii="標楷體" w:eastAsia="標楷體" w:hAnsi="標楷體"/>
          <w:bCs/>
          <w:sz w:val="28"/>
          <w:szCs w:val="28"/>
        </w:rPr>
        <w:t>第68項 監察院</w:t>
      </w:r>
      <w:r w:rsidRPr="001B6E4D">
        <w:rPr>
          <w:rFonts w:ascii="標楷體" w:eastAsia="標楷體" w:hAnsi="標楷體" w:hint="eastAsia"/>
          <w:bCs/>
          <w:sz w:val="28"/>
          <w:szCs w:val="28"/>
        </w:rPr>
        <w:t>115萬4千元</w:t>
      </w:r>
      <w:r w:rsidRPr="001B6E4D">
        <w:rPr>
          <w:rFonts w:ascii="標楷體" w:eastAsia="標楷體" w:hAnsi="標楷體"/>
          <w:bCs/>
          <w:sz w:val="28"/>
          <w:szCs w:val="28"/>
        </w:rPr>
        <w:t>，</w:t>
      </w:r>
      <w:proofErr w:type="gramStart"/>
      <w:r w:rsidRPr="001B6E4D">
        <w:rPr>
          <w:rFonts w:ascii="標楷體" w:eastAsia="標楷體" w:hAnsi="標楷體"/>
          <w:bCs/>
          <w:sz w:val="28"/>
          <w:szCs w:val="28"/>
        </w:rPr>
        <w:t>照列</w:t>
      </w:r>
      <w:proofErr w:type="gramEnd"/>
      <w:r w:rsidRPr="001B6E4D">
        <w:rPr>
          <w:rFonts w:ascii="標楷體" w:eastAsia="標楷體" w:hAnsi="標楷體"/>
          <w:bCs/>
          <w:sz w:val="28"/>
          <w:szCs w:val="28"/>
        </w:rPr>
        <w:t>。</w:t>
      </w:r>
    </w:p>
    <w:p w14:paraId="609963C9" w14:textId="77777777" w:rsidR="00705B3D" w:rsidRPr="001B6E4D" w:rsidRDefault="00705B3D" w:rsidP="003D1018">
      <w:pPr>
        <w:overflowPunct w:val="0"/>
        <w:snapToGrid w:val="0"/>
        <w:ind w:leftChars="50" w:left="120"/>
        <w:rPr>
          <w:rFonts w:ascii="標楷體" w:eastAsia="標楷體" w:hAnsi="標楷體"/>
          <w:b/>
          <w:sz w:val="28"/>
          <w:szCs w:val="28"/>
        </w:rPr>
      </w:pPr>
      <w:r w:rsidRPr="001B6E4D">
        <w:rPr>
          <w:rFonts w:ascii="標楷體" w:eastAsia="標楷體" w:hAnsi="標楷體"/>
          <w:b/>
          <w:sz w:val="28"/>
          <w:szCs w:val="28"/>
        </w:rPr>
        <w:t>第7款 其他收入</w:t>
      </w:r>
    </w:p>
    <w:p w14:paraId="77960A9B" w14:textId="77777777" w:rsidR="00705B3D" w:rsidRPr="001B6E4D" w:rsidRDefault="00705B3D" w:rsidP="003D1018">
      <w:pPr>
        <w:overflowPunct w:val="0"/>
        <w:snapToGrid w:val="0"/>
        <w:ind w:leftChars="150" w:left="360"/>
        <w:rPr>
          <w:rFonts w:ascii="標楷體" w:eastAsia="標楷體" w:hAnsi="標楷體"/>
          <w:bCs/>
          <w:sz w:val="28"/>
          <w:szCs w:val="28"/>
        </w:rPr>
      </w:pPr>
      <w:r w:rsidRPr="001B6E4D">
        <w:rPr>
          <w:rFonts w:ascii="標楷體" w:eastAsia="標楷體" w:hAnsi="標楷體"/>
          <w:bCs/>
          <w:sz w:val="28"/>
          <w:szCs w:val="28"/>
        </w:rPr>
        <w:t>第67項 監察院</w:t>
      </w:r>
      <w:r w:rsidRPr="001B6E4D">
        <w:rPr>
          <w:rFonts w:ascii="標楷體" w:eastAsia="標楷體" w:hAnsi="標楷體" w:hint="eastAsia"/>
          <w:bCs/>
          <w:sz w:val="28"/>
          <w:szCs w:val="28"/>
        </w:rPr>
        <w:t>25萬6千元</w:t>
      </w:r>
      <w:r w:rsidRPr="001B6E4D">
        <w:rPr>
          <w:rFonts w:ascii="標楷體" w:eastAsia="標楷體" w:hAnsi="標楷體"/>
          <w:bCs/>
          <w:sz w:val="28"/>
          <w:szCs w:val="28"/>
        </w:rPr>
        <w:t>，</w:t>
      </w:r>
      <w:proofErr w:type="gramStart"/>
      <w:r w:rsidRPr="001B6E4D">
        <w:rPr>
          <w:rFonts w:ascii="標楷體" w:eastAsia="標楷體" w:hAnsi="標楷體"/>
          <w:bCs/>
          <w:sz w:val="28"/>
          <w:szCs w:val="28"/>
        </w:rPr>
        <w:t>照列</w:t>
      </w:r>
      <w:proofErr w:type="gramEnd"/>
      <w:r w:rsidRPr="001B6E4D">
        <w:rPr>
          <w:rFonts w:ascii="標楷體" w:eastAsia="標楷體" w:hAnsi="標楷體"/>
          <w:bCs/>
          <w:sz w:val="28"/>
          <w:szCs w:val="28"/>
        </w:rPr>
        <w:t>。</w:t>
      </w:r>
    </w:p>
    <w:p w14:paraId="5221CE6C" w14:textId="77777777" w:rsidR="00705B3D" w:rsidRPr="001B6E4D" w:rsidRDefault="00705B3D" w:rsidP="003D1018">
      <w:pPr>
        <w:overflowPunct w:val="0"/>
        <w:snapToGrid w:val="0"/>
        <w:ind w:leftChars="1" w:left="2"/>
        <w:rPr>
          <w:rFonts w:ascii="標楷體" w:eastAsia="標楷體" w:hAnsi="標楷體"/>
          <w:b/>
          <w:sz w:val="28"/>
          <w:szCs w:val="28"/>
        </w:rPr>
      </w:pPr>
      <w:r w:rsidRPr="001B6E4D">
        <w:rPr>
          <w:rFonts w:ascii="標楷體" w:eastAsia="標楷體" w:hAnsi="標楷體" w:hint="eastAsia"/>
          <w:b/>
          <w:sz w:val="28"/>
          <w:szCs w:val="28"/>
        </w:rPr>
        <w:t>二、</w:t>
      </w:r>
      <w:r w:rsidRPr="001B6E4D">
        <w:rPr>
          <w:rFonts w:ascii="標楷體" w:eastAsia="標楷體" w:hAnsi="標楷體"/>
          <w:b/>
          <w:sz w:val="28"/>
          <w:szCs w:val="28"/>
        </w:rPr>
        <w:t>歲出部分</w:t>
      </w:r>
    </w:p>
    <w:p w14:paraId="75F8F7A6" w14:textId="77777777" w:rsidR="00705B3D" w:rsidRPr="001B6E4D" w:rsidRDefault="00705B3D" w:rsidP="003D1018">
      <w:pPr>
        <w:overflowPunct w:val="0"/>
        <w:snapToGrid w:val="0"/>
        <w:ind w:leftChars="50" w:left="120"/>
        <w:rPr>
          <w:rFonts w:ascii="標楷體" w:eastAsia="標楷體" w:hAnsi="標楷體"/>
          <w:b/>
          <w:color w:val="000000"/>
          <w:sz w:val="28"/>
          <w:szCs w:val="28"/>
        </w:rPr>
      </w:pPr>
      <w:r w:rsidRPr="001B6E4D">
        <w:rPr>
          <w:rFonts w:ascii="標楷體" w:eastAsia="標楷體" w:hAnsi="標楷體"/>
          <w:b/>
          <w:color w:val="000000"/>
          <w:sz w:val="28"/>
          <w:szCs w:val="28"/>
        </w:rPr>
        <w:t>第6款 監察院主管</w:t>
      </w:r>
    </w:p>
    <w:p w14:paraId="6B418327" w14:textId="77777777" w:rsidR="00705B3D" w:rsidRPr="001B6E4D" w:rsidRDefault="00705B3D" w:rsidP="003D1018">
      <w:pPr>
        <w:overflowPunct w:val="0"/>
        <w:snapToGrid w:val="0"/>
        <w:ind w:leftChars="150" w:left="1200" w:hangingChars="300" w:hanging="840"/>
        <w:jc w:val="both"/>
        <w:rPr>
          <w:rFonts w:ascii="標楷體" w:eastAsia="標楷體" w:hAnsi="標楷體"/>
          <w:bCs/>
          <w:color w:val="000000"/>
          <w:sz w:val="28"/>
          <w:szCs w:val="28"/>
        </w:rPr>
      </w:pPr>
      <w:r w:rsidRPr="001B6E4D">
        <w:rPr>
          <w:rFonts w:ascii="標楷體" w:eastAsia="標楷體" w:hAnsi="標楷體"/>
          <w:bCs/>
          <w:color w:val="000000"/>
          <w:sz w:val="28"/>
          <w:szCs w:val="28"/>
        </w:rPr>
        <w:t>第1項 監察院</w:t>
      </w:r>
      <w:r w:rsidRPr="001B6E4D">
        <w:rPr>
          <w:rFonts w:ascii="標楷體" w:eastAsia="標楷體" w:hAnsi="標楷體" w:hint="eastAsia"/>
          <w:bCs/>
          <w:color w:val="000000"/>
          <w:sz w:val="28"/>
          <w:szCs w:val="28"/>
        </w:rPr>
        <w:t>原列11億5,418萬4千元</w:t>
      </w:r>
      <w:r w:rsidRPr="001B6E4D">
        <w:rPr>
          <w:rFonts w:ascii="標楷體" w:eastAsia="標楷體" w:hAnsi="標楷體"/>
          <w:bCs/>
          <w:color w:val="000000"/>
          <w:sz w:val="28"/>
          <w:szCs w:val="28"/>
        </w:rPr>
        <w:t>，</w:t>
      </w:r>
      <w:r w:rsidRPr="001B6E4D">
        <w:rPr>
          <w:rFonts w:ascii="標楷體" w:eastAsia="標楷體" w:hAnsi="標楷體" w:hint="eastAsia"/>
          <w:bCs/>
          <w:color w:val="000000"/>
          <w:sz w:val="28"/>
          <w:szCs w:val="28"/>
        </w:rPr>
        <w:t>減列：</w:t>
      </w:r>
    </w:p>
    <w:p w14:paraId="4B516614" w14:textId="77777777" w:rsidR="00705B3D" w:rsidRPr="001B6E4D" w:rsidRDefault="00705B3D" w:rsidP="003D1018">
      <w:pPr>
        <w:overflowPunct w:val="0"/>
        <w:snapToGrid w:val="0"/>
        <w:ind w:leftChars="150" w:left="1900" w:hangingChars="550" w:hanging="15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bookmarkStart w:id="511" w:name="_Hlk230611183"/>
      <w:r w:rsidRPr="001B6E4D">
        <w:rPr>
          <w:rFonts w:ascii="標楷體" w:eastAsia="標楷體" w:hAnsi="標楷體" w:hint="eastAsia"/>
          <w:color w:val="000000"/>
          <w:sz w:val="28"/>
          <w:szCs w:val="28"/>
        </w:rPr>
        <w:t xml:space="preserve">    (</w:t>
      </w:r>
      <w:proofErr w:type="gramStart"/>
      <w:r w:rsidRPr="001B6E4D">
        <w:rPr>
          <w:rFonts w:ascii="標楷體" w:eastAsia="標楷體" w:hAnsi="標楷體" w:hint="eastAsia"/>
          <w:color w:val="000000"/>
          <w:sz w:val="28"/>
          <w:szCs w:val="28"/>
        </w:rPr>
        <w:t>一</w:t>
      </w:r>
      <w:proofErr w:type="gramEnd"/>
      <w:r w:rsidRPr="001B6E4D">
        <w:rPr>
          <w:rFonts w:ascii="標楷體" w:eastAsia="標楷體" w:hAnsi="標楷體" w:hint="eastAsia"/>
          <w:color w:val="000000"/>
          <w:sz w:val="28"/>
          <w:szCs w:val="28"/>
        </w:rPr>
        <w:t>)「業務費」項下「通訊費」100萬元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【4、5】</w:t>
      </w:r>
    </w:p>
    <w:p w14:paraId="0CC5F14C" w14:textId="77777777" w:rsidR="00705B3D" w:rsidRPr="001B6E4D" w:rsidRDefault="00705B3D" w:rsidP="003D1018">
      <w:pPr>
        <w:overflowPunct w:val="0"/>
        <w:snapToGrid w:val="0"/>
        <w:ind w:leftChars="150" w:left="1900" w:hangingChars="550" w:hanging="15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bookmarkStart w:id="512" w:name="_Hlk230611097"/>
      <w:r w:rsidRPr="001B6E4D">
        <w:rPr>
          <w:rFonts w:ascii="標楷體" w:eastAsia="標楷體" w:hAnsi="標楷體" w:hint="eastAsia"/>
          <w:color w:val="000000"/>
          <w:sz w:val="28"/>
          <w:szCs w:val="28"/>
        </w:rPr>
        <w:t>(二)「業務費」項下「國內旅費」100萬元。【6】</w:t>
      </w:r>
    </w:p>
    <w:bookmarkEnd w:id="511"/>
    <w:bookmarkEnd w:id="512"/>
    <w:p w14:paraId="20C6B6E5" w14:textId="77777777" w:rsidR="00705B3D" w:rsidRPr="001B6E4D" w:rsidRDefault="00705B3D" w:rsidP="003D1018">
      <w:pPr>
        <w:overflowPunct w:val="0"/>
        <w:snapToGrid w:val="0"/>
        <w:ind w:leftChars="560" w:left="1896" w:hangingChars="197" w:hanging="552"/>
        <w:jc w:val="both"/>
        <w:rPr>
          <w:rFonts w:ascii="標楷體" w:eastAsia="標楷體" w:hAnsi="標楷體"/>
          <w:color w:val="000000"/>
          <w:sz w:val="28"/>
          <w:szCs w:val="28"/>
        </w:rPr>
      </w:pPr>
      <w:r w:rsidRPr="001B6E4D">
        <w:rPr>
          <w:rFonts w:ascii="標楷體" w:eastAsia="標楷體" w:hAnsi="標楷體" w:hint="eastAsia"/>
          <w:color w:val="000000"/>
          <w:sz w:val="28"/>
          <w:szCs w:val="28"/>
        </w:rPr>
        <w:t>(三)「業務費」項下「國外旅費」200萬元。【7】</w:t>
      </w:r>
    </w:p>
    <w:p w14:paraId="02633135" w14:textId="77777777" w:rsidR="00705B3D" w:rsidRPr="001B6E4D" w:rsidRDefault="00705B3D" w:rsidP="003D1018">
      <w:pPr>
        <w:overflowPunct w:val="0"/>
        <w:snapToGrid w:val="0"/>
        <w:ind w:leftChars="321" w:left="1896" w:hangingChars="402" w:hanging="1126"/>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(四)第1目「一般行政」項下「業務費」100萬元。【9】</w:t>
      </w:r>
    </w:p>
    <w:p w14:paraId="326372B4" w14:textId="77777777" w:rsidR="00705B3D" w:rsidRPr="001B6E4D" w:rsidRDefault="00705B3D" w:rsidP="003D1018">
      <w:pPr>
        <w:overflowPunct w:val="0"/>
        <w:snapToGrid w:val="0"/>
        <w:ind w:leftChars="150" w:left="1900" w:hangingChars="550" w:hanging="15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(五)第1目「一般行政」項下「基本行政工作維持」中「業務費」100萬元。【12】</w:t>
      </w:r>
    </w:p>
    <w:p w14:paraId="2C3442EE" w14:textId="77777777" w:rsidR="00705B3D" w:rsidRPr="001B6E4D" w:rsidRDefault="00705B3D" w:rsidP="003D1018">
      <w:pPr>
        <w:overflowPunct w:val="0"/>
        <w:snapToGrid w:val="0"/>
        <w:ind w:leftChars="150" w:left="1900" w:hangingChars="550" w:hanging="15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(六)第1目「一般行政」項下「基本行政工作維持」中</w:t>
      </w:r>
      <w:bookmarkStart w:id="513" w:name="_Hlk230611915"/>
      <w:r w:rsidRPr="001B6E4D">
        <w:rPr>
          <w:rFonts w:ascii="標楷體" w:eastAsia="標楷體" w:hAnsi="標楷體" w:hint="eastAsia"/>
          <w:color w:val="000000"/>
          <w:sz w:val="28"/>
          <w:szCs w:val="28"/>
        </w:rPr>
        <w:t>「業務費」</w:t>
      </w:r>
      <w:bookmarkEnd w:id="513"/>
      <w:r w:rsidRPr="001B6E4D">
        <w:rPr>
          <w:rFonts w:ascii="標楷體" w:eastAsia="標楷體" w:hAnsi="標楷體" w:hint="eastAsia"/>
          <w:color w:val="000000"/>
          <w:sz w:val="28"/>
          <w:szCs w:val="28"/>
        </w:rPr>
        <w:t>之「特別費」100萬元。【15、16】</w:t>
      </w:r>
    </w:p>
    <w:p w14:paraId="6BF85F47" w14:textId="77777777" w:rsidR="00705B3D" w:rsidRPr="001B6E4D" w:rsidRDefault="00705B3D" w:rsidP="003D1018">
      <w:pPr>
        <w:overflowPunct w:val="0"/>
        <w:snapToGrid w:val="0"/>
        <w:ind w:leftChars="150" w:left="1340" w:hangingChars="350" w:hanging="980"/>
        <w:jc w:val="both"/>
        <w:rPr>
          <w:rFonts w:ascii="標楷體" w:eastAsia="標楷體" w:hAnsi="標楷體"/>
          <w:sz w:val="28"/>
          <w:szCs w:val="28"/>
        </w:rPr>
      </w:pPr>
      <w:r w:rsidRPr="001B6E4D">
        <w:rPr>
          <w:rFonts w:ascii="標楷體" w:eastAsia="標楷體" w:hAnsi="標楷體" w:hint="eastAsia"/>
          <w:color w:val="000000"/>
          <w:sz w:val="28"/>
          <w:szCs w:val="28"/>
        </w:rPr>
        <w:t xml:space="preserve">       以上共計減列700萬元，其餘均</w:t>
      </w:r>
      <w:proofErr w:type="gramStart"/>
      <w:r w:rsidRPr="001B6E4D">
        <w:rPr>
          <w:rFonts w:ascii="標楷體" w:eastAsia="標楷體" w:hAnsi="標楷體" w:hint="eastAsia"/>
          <w:color w:val="000000"/>
          <w:sz w:val="28"/>
          <w:szCs w:val="28"/>
        </w:rPr>
        <w:t>照列</w:t>
      </w:r>
      <w:proofErr w:type="gramEnd"/>
      <w:r w:rsidRPr="001B6E4D">
        <w:rPr>
          <w:rFonts w:ascii="標楷體" w:eastAsia="標楷體" w:hAnsi="標楷體" w:hint="eastAsia"/>
          <w:color w:val="000000"/>
          <w:sz w:val="28"/>
          <w:szCs w:val="28"/>
        </w:rPr>
        <w:t>，改列為11</w:t>
      </w:r>
      <w:r w:rsidRPr="001B6E4D">
        <w:rPr>
          <w:rFonts w:ascii="標楷體" w:eastAsia="標楷體" w:hAnsi="標楷體"/>
          <w:color w:val="000000"/>
          <w:sz w:val="28"/>
          <w:szCs w:val="28"/>
        </w:rPr>
        <w:t>億</w:t>
      </w:r>
      <w:r w:rsidRPr="001B6E4D">
        <w:rPr>
          <w:rFonts w:ascii="標楷體" w:eastAsia="標楷體" w:hAnsi="標楷體" w:hint="eastAsia"/>
          <w:color w:val="000000"/>
          <w:sz w:val="28"/>
          <w:szCs w:val="28"/>
        </w:rPr>
        <w:t>4</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718</w:t>
      </w:r>
      <w:r w:rsidRPr="001B6E4D">
        <w:rPr>
          <w:rFonts w:ascii="標楷體" w:eastAsia="標楷體" w:hAnsi="標楷體"/>
          <w:color w:val="000000"/>
          <w:sz w:val="28"/>
          <w:szCs w:val="28"/>
        </w:rPr>
        <w:t>萬</w:t>
      </w:r>
      <w:r w:rsidRPr="001B6E4D">
        <w:rPr>
          <w:rFonts w:ascii="標楷體" w:eastAsia="標楷體" w:hAnsi="標楷體" w:hint="eastAsia"/>
          <w:color w:val="000000"/>
          <w:sz w:val="28"/>
          <w:szCs w:val="28"/>
        </w:rPr>
        <w:t>4千</w:t>
      </w:r>
      <w:r w:rsidRPr="001B6E4D">
        <w:rPr>
          <w:rFonts w:ascii="標楷體" w:eastAsia="標楷體" w:hAnsi="標楷體"/>
          <w:color w:val="000000"/>
          <w:sz w:val="28"/>
          <w:szCs w:val="28"/>
        </w:rPr>
        <w:t>元</w:t>
      </w:r>
      <w:r w:rsidRPr="001B6E4D">
        <w:rPr>
          <w:rFonts w:ascii="標楷體" w:eastAsia="標楷體" w:hAnsi="標楷體" w:hint="eastAsia"/>
          <w:color w:val="000000"/>
          <w:sz w:val="28"/>
          <w:szCs w:val="28"/>
        </w:rPr>
        <w:t>。</w:t>
      </w:r>
    </w:p>
    <w:p w14:paraId="326C1730" w14:textId="77777777" w:rsidR="00705B3D" w:rsidRPr="001B6E4D" w:rsidRDefault="00705B3D"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本項提案</w:t>
      </w:r>
      <w:r w:rsidRPr="001B6E4D">
        <w:rPr>
          <w:rFonts w:ascii="標楷體" w:eastAsia="標楷體" w:hAnsi="標楷體" w:hint="eastAsia"/>
          <w:b/>
          <w:bCs/>
          <w:sz w:val="28"/>
          <w:szCs w:val="28"/>
        </w:rPr>
        <w:t>15</w:t>
      </w:r>
      <w:r w:rsidRPr="001B6E4D">
        <w:rPr>
          <w:rFonts w:ascii="標楷體" w:eastAsia="標楷體" w:hAnsi="標楷體"/>
          <w:b/>
          <w:bCs/>
          <w:sz w:val="28"/>
          <w:szCs w:val="28"/>
        </w:rPr>
        <w:t>案，保留，送院會處理：</w:t>
      </w:r>
    </w:p>
    <w:p w14:paraId="77C25198" w14:textId="77777777" w:rsidR="00705B3D" w:rsidRPr="001B6E4D" w:rsidRDefault="00705B3D" w:rsidP="003D1018">
      <w:pPr>
        <w:pStyle w:val="4"/>
      </w:pPr>
      <w:proofErr w:type="gramStart"/>
      <w:r w:rsidRPr="001B6E4D">
        <w:t>115</w:t>
      </w:r>
      <w:proofErr w:type="gramEnd"/>
      <w:r w:rsidRPr="001B6E4D">
        <w:t>年度監察院預算案「業務費」之「國外旅費」編列預算1,296萬元，包括考察、訪問、定期會議，呈現逐年增加趨勢。</w:t>
      </w:r>
    </w:p>
    <w:p w14:paraId="74C12728"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考察擬前往國家，除職員出國考察明定考察新加坡，了解AI於政府部門行政調查之應用之外，監察委員考察編列265萬2千元，國外人權機構團體考察交流編列330萬元，專案性訪查調查編列130萬元，合計725萬2千元，概括表述考察「亞太、歐美、</w:t>
      </w:r>
      <w:proofErr w:type="gramStart"/>
      <w:r w:rsidRPr="001B6E4D">
        <w:rPr>
          <w:rFonts w:ascii="標楷體" w:eastAsia="標楷體" w:hAnsi="標楷體"/>
          <w:color w:val="000000"/>
          <w:sz w:val="28"/>
          <w:szCs w:val="28"/>
        </w:rPr>
        <w:t>紐</w:t>
      </w:r>
      <w:proofErr w:type="gramEnd"/>
      <w:r w:rsidRPr="001B6E4D">
        <w:rPr>
          <w:rFonts w:ascii="標楷體" w:eastAsia="標楷體" w:hAnsi="標楷體"/>
          <w:color w:val="000000"/>
          <w:sz w:val="28"/>
          <w:szCs w:val="28"/>
        </w:rPr>
        <w:t>澳等地區」，欠缺明確性，致立法院無從知悉其必要性，</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減列該項預算400萬元，凍結該項預算80萬9</w:t>
      </w:r>
      <w:r w:rsidRPr="001B6E4D">
        <w:rPr>
          <w:rFonts w:ascii="標楷體" w:eastAsia="標楷體" w:hAnsi="標楷體"/>
          <w:color w:val="000000"/>
          <w:sz w:val="28"/>
          <w:szCs w:val="28"/>
        </w:rPr>
        <w:lastRenderedPageBreak/>
        <w:t>千元(首長、副首長政務需要出國訪問)，並於3個月內向立法院司法及法制委員會提出檢討書面報告後，始得動支。【8】</w:t>
      </w:r>
    </w:p>
    <w:p w14:paraId="31081BF3"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p>
    <w:p w14:paraId="1F24FAD8"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連署人：林沛祥　林倩綺</w:t>
      </w:r>
    </w:p>
    <w:p w14:paraId="68B7E178" w14:textId="77777777" w:rsidR="00705B3D" w:rsidRPr="001B6E4D" w:rsidRDefault="00705B3D" w:rsidP="003D1018">
      <w:pPr>
        <w:pStyle w:val="4"/>
      </w:pPr>
      <w:proofErr w:type="gramStart"/>
      <w:r w:rsidRPr="001B6E4D">
        <w:t>115</w:t>
      </w:r>
      <w:proofErr w:type="gramEnd"/>
      <w:r w:rsidRPr="001B6E4D">
        <w:t>年度監察院預算案於第1目「一般行政」編列預算9億1,793萬6千元。</w:t>
      </w:r>
    </w:p>
    <w:p w14:paraId="7151B0DA"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有</w:t>
      </w: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於社會普遍認為監察院已喪失功能，淪為執政黨酬庸、供政治人物養老之機關，每名監委平均一年查案量僅十餘案，立案派查原則更是毫無準則，有違人民對於政府機關之期待，更嚴重傷害人民對於政府信賴；為有效</w:t>
      </w:r>
      <w:proofErr w:type="gramStart"/>
      <w:r w:rsidRPr="001B6E4D">
        <w:rPr>
          <w:rFonts w:ascii="標楷體" w:eastAsia="標楷體" w:hAnsi="標楷體"/>
          <w:color w:val="000000"/>
          <w:sz w:val="28"/>
          <w:szCs w:val="28"/>
        </w:rPr>
        <w:t>樽</w:t>
      </w:r>
      <w:proofErr w:type="gramEnd"/>
      <w:r w:rsidRPr="001B6E4D">
        <w:rPr>
          <w:rFonts w:ascii="標楷體" w:eastAsia="標楷體" w:hAnsi="標楷體"/>
          <w:color w:val="000000"/>
          <w:sz w:val="28"/>
          <w:szCs w:val="28"/>
        </w:rPr>
        <w:t>節預算，避免無用機關持續浪費人民之稅金，</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減列該「基本行政工作維持」及「資訊管理」之預算9,124萬3千元。【10】</w:t>
      </w:r>
    </w:p>
    <w:p w14:paraId="65FA897D"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提案人：陳昭姿</w:t>
      </w:r>
    </w:p>
    <w:p w14:paraId="577968A2"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許宇</w:t>
      </w:r>
      <w:proofErr w:type="gramStart"/>
      <w:r w:rsidRPr="001B6E4D">
        <w:rPr>
          <w:rFonts w:ascii="標楷體" w:eastAsia="標楷體" w:hAnsi="標楷體"/>
          <w:color w:val="000000"/>
          <w:sz w:val="28"/>
          <w:szCs w:val="28"/>
        </w:rPr>
        <w:t>甄</w:t>
      </w:r>
      <w:proofErr w:type="gramEnd"/>
    </w:p>
    <w:p w14:paraId="67B00217" w14:textId="77777777" w:rsidR="00705B3D" w:rsidRPr="001B6E4D" w:rsidRDefault="00705B3D" w:rsidP="003D1018">
      <w:pPr>
        <w:pStyle w:val="4"/>
      </w:pPr>
      <w:proofErr w:type="gramStart"/>
      <w:r w:rsidRPr="001B6E4D">
        <w:t>鑑</w:t>
      </w:r>
      <w:proofErr w:type="gramEnd"/>
      <w:r w:rsidRPr="001B6E4D">
        <w:t>於近年國際交流模式已大幅轉變，相關出訪活動具高度替代性，考察之必要性與實質效益沒有實際關聯，且於預算書說明欄中僅用一段話來詮釋，無列出為何國外考察的相關計畫與執行細節。</w:t>
      </w:r>
    </w:p>
    <w:p w14:paraId="664D1421"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考量近年國外考察並未對監察院的辦案推動有具體的成效，為</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節國家財政支出並強化預算運用效益，</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針對</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年度監察院第1目「一般行政」項下「基本行政工作維持」中「業務費」之「國外旅費」預算編列111萬8千元，減列55萬9千元並凍結50%，</w:t>
      </w:r>
      <w:proofErr w:type="gramStart"/>
      <w:r w:rsidRPr="001B6E4D">
        <w:rPr>
          <w:rFonts w:ascii="標楷體" w:eastAsia="標楷體" w:hAnsi="標楷體"/>
          <w:color w:val="000000"/>
          <w:sz w:val="28"/>
          <w:szCs w:val="28"/>
        </w:rPr>
        <w:t>俟</w:t>
      </w:r>
      <w:proofErr w:type="gramEnd"/>
      <w:r w:rsidRPr="001B6E4D">
        <w:rPr>
          <w:rFonts w:ascii="標楷體" w:eastAsia="標楷體" w:hAnsi="標楷體"/>
          <w:color w:val="000000"/>
          <w:sz w:val="28"/>
          <w:szCs w:val="28"/>
        </w:rPr>
        <w:t>監察院於3個月內向立法院司法及法制委員會提出書面報告後，始得動支。【14】</w:t>
      </w:r>
    </w:p>
    <w:p w14:paraId="360A25C8" w14:textId="77777777" w:rsidR="00705B3D" w:rsidRPr="001B6E4D" w:rsidRDefault="00705B3D" w:rsidP="003D1018">
      <w:pPr>
        <w:pStyle w:val="2fb"/>
        <w:overflowPunct w:val="0"/>
      </w:pPr>
      <w:r w:rsidRPr="001B6E4D">
        <w:t>提案人：林沛祥</w:t>
      </w:r>
    </w:p>
    <w:p w14:paraId="3E5843CC" w14:textId="77777777" w:rsidR="00705B3D" w:rsidRPr="001B6E4D" w:rsidRDefault="00705B3D" w:rsidP="003D1018">
      <w:pPr>
        <w:pStyle w:val="2fb"/>
        <w:overflowPunct w:val="0"/>
      </w:pPr>
      <w:r w:rsidRPr="001B6E4D">
        <w:t>連署人：翁曉玲　許宇</w:t>
      </w:r>
      <w:proofErr w:type="gramStart"/>
      <w:r w:rsidRPr="001B6E4D">
        <w:t>甄</w:t>
      </w:r>
      <w:proofErr w:type="gramEnd"/>
    </w:p>
    <w:p w14:paraId="5B2DB04A" w14:textId="77777777" w:rsidR="00705B3D" w:rsidRPr="001B6E4D" w:rsidRDefault="00705B3D" w:rsidP="003D1018">
      <w:pPr>
        <w:pStyle w:val="4"/>
      </w:pPr>
      <w:r w:rsidRPr="001B6E4D">
        <w:t>議事行政編列之業務費在於提高行政效率，輔助監察工作的推動，有</w:t>
      </w:r>
      <w:proofErr w:type="gramStart"/>
      <w:r w:rsidRPr="001B6E4D">
        <w:t>鑑</w:t>
      </w:r>
      <w:proofErr w:type="gramEnd"/>
      <w:r w:rsidRPr="001B6E4D">
        <w:t>於監察</w:t>
      </w:r>
      <w:proofErr w:type="gramStart"/>
      <w:r w:rsidRPr="001B6E4D">
        <w:t>院本屆查案</w:t>
      </w:r>
      <w:proofErr w:type="gramEnd"/>
      <w:r w:rsidRPr="001B6E4D">
        <w:t>率目前執行下來僅2%，成效</w:t>
      </w:r>
      <w:proofErr w:type="gramStart"/>
      <w:r w:rsidRPr="001B6E4D">
        <w:t>不</w:t>
      </w:r>
      <w:proofErr w:type="gramEnd"/>
      <w:r w:rsidRPr="001B6E4D">
        <w:t>彰，相關經費編列顯有檢討空間。</w:t>
      </w:r>
    </w:p>
    <w:p w14:paraId="02D0F628"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為</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節國家財政支出並強化預算使用效益，</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針對</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年度監察院第2目「議事業務」項下「議事行政」中「業務費」預算編列489萬3千元，減列244萬7千元並凍結50%，</w:t>
      </w:r>
      <w:proofErr w:type="gramStart"/>
      <w:r w:rsidRPr="001B6E4D">
        <w:rPr>
          <w:rFonts w:ascii="標楷體" w:eastAsia="標楷體" w:hAnsi="標楷體"/>
          <w:color w:val="000000"/>
          <w:sz w:val="28"/>
          <w:szCs w:val="28"/>
        </w:rPr>
        <w:t>俟</w:t>
      </w:r>
      <w:proofErr w:type="gramEnd"/>
      <w:r w:rsidRPr="001B6E4D">
        <w:rPr>
          <w:rFonts w:ascii="標楷體" w:eastAsia="標楷體" w:hAnsi="標楷體"/>
          <w:color w:val="000000"/>
          <w:sz w:val="28"/>
          <w:szCs w:val="28"/>
        </w:rPr>
        <w:t>監察院於3個月內向立法院司法及法制委員會提出書面報告後，始得動支。【17】</w:t>
      </w:r>
    </w:p>
    <w:p w14:paraId="258005E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提案人：林沛祥</w:t>
      </w:r>
    </w:p>
    <w:p w14:paraId="3B6EDFDC"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許宇</w:t>
      </w:r>
      <w:proofErr w:type="gramStart"/>
      <w:r w:rsidRPr="001B6E4D">
        <w:rPr>
          <w:rFonts w:ascii="標楷體" w:eastAsia="標楷體" w:hAnsi="標楷體"/>
          <w:color w:val="000000"/>
          <w:sz w:val="28"/>
          <w:szCs w:val="28"/>
        </w:rPr>
        <w:t>甄</w:t>
      </w:r>
      <w:proofErr w:type="gramEnd"/>
    </w:p>
    <w:p w14:paraId="278ED836" w14:textId="77777777" w:rsidR="00705B3D" w:rsidRPr="001B6E4D" w:rsidRDefault="00705B3D" w:rsidP="003D1018">
      <w:pPr>
        <w:pStyle w:val="4"/>
      </w:pPr>
      <w:proofErr w:type="gramStart"/>
      <w:r w:rsidRPr="001B6E4D">
        <w:t>惟</w:t>
      </w:r>
      <w:proofErr w:type="gramEnd"/>
      <w:r w:rsidRPr="001B6E4D">
        <w:t>相關國際交流活動之必要性與實質效益未見具體績效評估，且多數交流形式已可透過視訊會議或其他替代方式辦理，相關支出顯有檢討空間；另高額差旅與接待經費之編列，亦有浮編之虞，該機關應先從制度面來著手，落實行政中立與辦案標準</w:t>
      </w:r>
      <w:r w:rsidRPr="001B6E4D">
        <w:lastRenderedPageBreak/>
        <w:t>一致的方向。</w:t>
      </w:r>
    </w:p>
    <w:p w14:paraId="2E094890"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為</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節國家財政支出並強化預算運用效益，</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針對</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年度監察院第2目「議事業務」項下「國際監察事務活動」中「業務費」預算編列431萬9千元，減列216萬元並凍結50%，</w:t>
      </w:r>
      <w:proofErr w:type="gramStart"/>
      <w:r w:rsidRPr="001B6E4D">
        <w:rPr>
          <w:rFonts w:ascii="標楷體" w:eastAsia="標楷體" w:hAnsi="標楷體"/>
          <w:color w:val="000000"/>
          <w:sz w:val="28"/>
          <w:szCs w:val="28"/>
        </w:rPr>
        <w:t>俟</w:t>
      </w:r>
      <w:proofErr w:type="gramEnd"/>
      <w:r w:rsidRPr="001B6E4D">
        <w:rPr>
          <w:rFonts w:ascii="標楷體" w:eastAsia="標楷體" w:hAnsi="標楷體"/>
          <w:color w:val="000000"/>
          <w:sz w:val="28"/>
          <w:szCs w:val="28"/>
        </w:rPr>
        <w:t>監察院於3個月內向立法院司法及法制委員會提出書面報告後，始得動支。【18】</w:t>
      </w:r>
    </w:p>
    <w:p w14:paraId="353197F3"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提案人：林沛祥</w:t>
      </w:r>
    </w:p>
    <w:p w14:paraId="4A9F24BC"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許宇</w:t>
      </w:r>
      <w:proofErr w:type="gramStart"/>
      <w:r w:rsidRPr="001B6E4D">
        <w:rPr>
          <w:rFonts w:ascii="標楷體" w:eastAsia="標楷體" w:hAnsi="標楷體"/>
          <w:color w:val="000000"/>
          <w:sz w:val="28"/>
          <w:szCs w:val="28"/>
        </w:rPr>
        <w:t>甄</w:t>
      </w:r>
      <w:proofErr w:type="gramEnd"/>
    </w:p>
    <w:p w14:paraId="565129DF" w14:textId="77777777" w:rsidR="00705B3D" w:rsidRPr="001B6E4D" w:rsidRDefault="00705B3D" w:rsidP="003D1018">
      <w:pPr>
        <w:pStyle w:val="4"/>
      </w:pPr>
      <w:r w:rsidRPr="001B6E4D">
        <w:t>本計畫業務費，係以「加強受理人民陳訴、提升調查績效、厚植專業知能及強化巡察監督」等為預期成果，惟相關成果不符預期，本屆陳情案件增加，卻沒有對應的查案率，本計畫難以具體量化其新增預算之實質效益，</w:t>
      </w:r>
      <w:proofErr w:type="gramStart"/>
      <w:r w:rsidRPr="001B6E4D">
        <w:t>鑑</w:t>
      </w:r>
      <w:proofErr w:type="gramEnd"/>
      <w:r w:rsidRPr="001B6E4D">
        <w:t>於預算編列未能明確對應具體績效指標與實際成果，亦欠缺可驗證之效益評估機制。</w:t>
      </w:r>
    </w:p>
    <w:p w14:paraId="02C0273B"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為避免資源配置流於形式，並落實預算監督與財政紀律，</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針對</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年度監察院第3目「調查巡察業務」項下「調查巡察業務」中「業務費」預算編列1,456萬7千元，減列728萬4千元並凍結50%，</w:t>
      </w:r>
      <w:proofErr w:type="gramStart"/>
      <w:r w:rsidRPr="001B6E4D">
        <w:rPr>
          <w:rFonts w:ascii="標楷體" w:eastAsia="標楷體" w:hAnsi="標楷體"/>
          <w:color w:val="000000"/>
          <w:sz w:val="28"/>
          <w:szCs w:val="28"/>
        </w:rPr>
        <w:t>俟</w:t>
      </w:r>
      <w:proofErr w:type="gramEnd"/>
      <w:r w:rsidRPr="001B6E4D">
        <w:rPr>
          <w:rFonts w:ascii="標楷體" w:eastAsia="標楷體" w:hAnsi="標楷體"/>
          <w:color w:val="000000"/>
          <w:sz w:val="28"/>
          <w:szCs w:val="28"/>
        </w:rPr>
        <w:t>監察院於3個月內向立法院司法及法制委員會提出書面報告後，始得動支。【21】</w:t>
      </w:r>
    </w:p>
    <w:p w14:paraId="20ADC66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提案人：林沛祥</w:t>
      </w:r>
    </w:p>
    <w:p w14:paraId="45A0E0DE"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許宇</w:t>
      </w:r>
      <w:proofErr w:type="gramStart"/>
      <w:r w:rsidRPr="001B6E4D">
        <w:rPr>
          <w:rFonts w:ascii="標楷體" w:eastAsia="標楷體" w:hAnsi="標楷體"/>
          <w:color w:val="000000"/>
          <w:sz w:val="28"/>
          <w:szCs w:val="28"/>
        </w:rPr>
        <w:t>甄</w:t>
      </w:r>
      <w:proofErr w:type="gramEnd"/>
    </w:p>
    <w:p w14:paraId="47DF7CC4" w14:textId="77777777" w:rsidR="00705B3D" w:rsidRPr="001B6E4D" w:rsidRDefault="00705B3D" w:rsidP="003D1018">
      <w:pPr>
        <w:pStyle w:val="4"/>
      </w:pPr>
      <w:r w:rsidRPr="001B6E4D">
        <w:t>本計畫係供委員及隨團人員赴國外考察及巡察駐外機關之用。惟該項計畫以借鏡國外經驗、強化監督效能及辦理專業訓練為目標，然歷年查案績效未見顯著提升，相關出訪與監察成果間之具體關聯性不足，實質效益有待檢討；且現行多數國際交流與專業研習已可透過遠距方式辦理，相關出國考察之</w:t>
      </w:r>
      <w:proofErr w:type="gramStart"/>
      <w:r w:rsidRPr="001B6E4D">
        <w:t>必要性顯有</w:t>
      </w:r>
      <w:proofErr w:type="gramEnd"/>
      <w:r w:rsidRPr="001B6E4D">
        <w:t>疑義。</w:t>
      </w:r>
    </w:p>
    <w:p w14:paraId="63C2360E"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為避免資源配置流於形式，並落實預算監督與財政紀律，</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針對</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年度監察院第3目「調查巡察業務」項下「委員國外考察」中「業務費」預算編列265萬2千元，減列132萬6千元並凍結50%，</w:t>
      </w:r>
      <w:proofErr w:type="gramStart"/>
      <w:r w:rsidRPr="001B6E4D">
        <w:rPr>
          <w:rFonts w:ascii="標楷體" w:eastAsia="標楷體" w:hAnsi="標楷體"/>
          <w:color w:val="000000"/>
          <w:sz w:val="28"/>
          <w:szCs w:val="28"/>
        </w:rPr>
        <w:t>俟</w:t>
      </w:r>
      <w:proofErr w:type="gramEnd"/>
      <w:r w:rsidRPr="001B6E4D">
        <w:rPr>
          <w:rFonts w:ascii="標楷體" w:eastAsia="標楷體" w:hAnsi="標楷體"/>
          <w:color w:val="000000"/>
          <w:sz w:val="28"/>
          <w:szCs w:val="28"/>
        </w:rPr>
        <w:t>監察院於3個月內向立法院司法及法制委員會提出書面報告後，始得動支。【23】</w:t>
      </w:r>
    </w:p>
    <w:p w14:paraId="2CA0A289"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提案人：林沛祥</w:t>
      </w:r>
    </w:p>
    <w:p w14:paraId="29882761"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許宇</w:t>
      </w:r>
      <w:proofErr w:type="gramStart"/>
      <w:r w:rsidRPr="001B6E4D">
        <w:rPr>
          <w:rFonts w:ascii="標楷體" w:eastAsia="標楷體" w:hAnsi="標楷體"/>
          <w:color w:val="000000"/>
          <w:sz w:val="28"/>
          <w:szCs w:val="28"/>
        </w:rPr>
        <w:t>甄</w:t>
      </w:r>
      <w:proofErr w:type="gramEnd"/>
    </w:p>
    <w:p w14:paraId="675B8442" w14:textId="77777777" w:rsidR="00705B3D" w:rsidRPr="001B6E4D" w:rsidRDefault="00705B3D" w:rsidP="003D1018">
      <w:pPr>
        <w:pStyle w:val="4"/>
      </w:pPr>
      <w:proofErr w:type="gramStart"/>
      <w:r w:rsidRPr="001B6E4D">
        <w:t>115</w:t>
      </w:r>
      <w:proofErr w:type="gramEnd"/>
      <w:r w:rsidRPr="001B6E4D">
        <w:t>年度監察院預算案於第5目「國家人權業務」編列預算1億1,151萬6千元。</w:t>
      </w:r>
    </w:p>
    <w:p w14:paraId="3CEDD7E1"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有</w:t>
      </w: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於社會普遍認為監察院已喪失功能，淪為執政黨酬庸、供政治人物養老之機關，而監察院下設之國家人權委員會，雖係為落實我國人權保障功能所設置，但過去無視公務員遭受職</w:t>
      </w:r>
      <w:proofErr w:type="gramStart"/>
      <w:r w:rsidRPr="001B6E4D">
        <w:rPr>
          <w:rFonts w:ascii="標楷體" w:eastAsia="標楷體" w:hAnsi="標楷體"/>
          <w:color w:val="000000"/>
          <w:sz w:val="28"/>
          <w:szCs w:val="28"/>
        </w:rPr>
        <w:t>場霸凌、</w:t>
      </w:r>
      <w:proofErr w:type="gramEnd"/>
      <w:r w:rsidRPr="001B6E4D">
        <w:rPr>
          <w:rFonts w:ascii="標楷體" w:eastAsia="標楷體" w:hAnsi="標楷體"/>
          <w:color w:val="000000"/>
          <w:sz w:val="28"/>
          <w:szCs w:val="28"/>
        </w:rPr>
        <w:t>警察及消防員無法組工會、勞工權益保障</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彰等問題，已有違人權保障之意旨，傷害人民對於政府信賴，無</w:t>
      </w:r>
      <w:r w:rsidRPr="001B6E4D">
        <w:rPr>
          <w:rFonts w:ascii="標楷體" w:eastAsia="標楷體" w:hAnsi="標楷體"/>
          <w:color w:val="000000"/>
          <w:sz w:val="28"/>
          <w:szCs w:val="28"/>
        </w:rPr>
        <w:lastRenderedPageBreak/>
        <w:t>法令人民了解監察院設立國家人權委員會之實際意義，對於國家人權保障絲毫不見具體功效，經常淪為大</w:t>
      </w:r>
      <w:proofErr w:type="gramStart"/>
      <w:r w:rsidRPr="001B6E4D">
        <w:rPr>
          <w:rFonts w:ascii="標楷體" w:eastAsia="標楷體" w:hAnsi="標楷體"/>
          <w:color w:val="000000"/>
          <w:sz w:val="28"/>
          <w:szCs w:val="28"/>
        </w:rPr>
        <w:t>拜拜式的會議</w:t>
      </w:r>
      <w:proofErr w:type="gramEnd"/>
      <w:r w:rsidRPr="001B6E4D">
        <w:rPr>
          <w:rFonts w:ascii="標楷體" w:eastAsia="標楷體" w:hAnsi="標楷體"/>
          <w:color w:val="000000"/>
          <w:sz w:val="28"/>
          <w:szCs w:val="28"/>
        </w:rPr>
        <w:t>、</w:t>
      </w:r>
      <w:proofErr w:type="gramStart"/>
      <w:r w:rsidRPr="001B6E4D">
        <w:rPr>
          <w:rFonts w:ascii="標楷體" w:eastAsia="標楷體" w:hAnsi="標楷體"/>
          <w:color w:val="000000"/>
          <w:sz w:val="28"/>
          <w:szCs w:val="28"/>
        </w:rPr>
        <w:t>觀光式的訪查</w:t>
      </w:r>
      <w:proofErr w:type="gramEnd"/>
      <w:r w:rsidRPr="001B6E4D">
        <w:rPr>
          <w:rFonts w:ascii="標楷體" w:eastAsia="標楷體" w:hAnsi="標楷體"/>
          <w:color w:val="000000"/>
          <w:sz w:val="28"/>
          <w:szCs w:val="28"/>
        </w:rPr>
        <w:t>。基此，在成效</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彰、民意多數</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支持情況下，為有效</w:t>
      </w:r>
      <w:proofErr w:type="gramStart"/>
      <w:r w:rsidRPr="001B6E4D">
        <w:rPr>
          <w:rFonts w:ascii="標楷體" w:eastAsia="標楷體" w:hAnsi="標楷體"/>
          <w:color w:val="000000"/>
          <w:sz w:val="28"/>
          <w:szCs w:val="28"/>
        </w:rPr>
        <w:t>樽</w:t>
      </w:r>
      <w:proofErr w:type="gramEnd"/>
      <w:r w:rsidRPr="001B6E4D">
        <w:rPr>
          <w:rFonts w:ascii="標楷體" w:eastAsia="標楷體" w:hAnsi="標楷體"/>
          <w:color w:val="000000"/>
          <w:sz w:val="28"/>
          <w:szCs w:val="28"/>
        </w:rPr>
        <w:t>節預算，避免無用機關持續浪費人民之稅金，</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減列該項預算8,000萬元。【26】</w:t>
      </w:r>
    </w:p>
    <w:p w14:paraId="0B7FAEE7"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提案人：陳昭姿</w:t>
      </w:r>
    </w:p>
    <w:p w14:paraId="3C65976E"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許宇</w:t>
      </w:r>
      <w:proofErr w:type="gramStart"/>
      <w:r w:rsidRPr="001B6E4D">
        <w:rPr>
          <w:rFonts w:ascii="標楷體" w:eastAsia="標楷體" w:hAnsi="標楷體"/>
          <w:color w:val="000000"/>
          <w:sz w:val="28"/>
          <w:szCs w:val="28"/>
        </w:rPr>
        <w:t>甄</w:t>
      </w:r>
      <w:proofErr w:type="gramEnd"/>
    </w:p>
    <w:p w14:paraId="206F23B1" w14:textId="77777777" w:rsidR="00705B3D" w:rsidRPr="001B6E4D" w:rsidRDefault="00705B3D" w:rsidP="003D1018">
      <w:pPr>
        <w:pStyle w:val="4"/>
      </w:pPr>
      <w:proofErr w:type="gramStart"/>
      <w:r w:rsidRPr="001B6E4D">
        <w:t>115</w:t>
      </w:r>
      <w:proofErr w:type="gramEnd"/>
      <w:r w:rsidRPr="001B6E4D">
        <w:t>年度監察院預算案於第5目「國家人權業務」編列預算1億1,151萬6千元。其預期成果為依《巴黎原則》，強化國家人權機構及保障人權之機制，有效建議人權政策與法令評估研究及分析建議等。</w:t>
      </w:r>
    </w:p>
    <w:p w14:paraId="62B8F0C6"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經查，預算法第37條規定及「概算應編書表格式及注意事項」規定，計畫應選定工作衡量單位並以量化方式表達預期成效。</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監察院僅以「強化、建立、推動、建構、深化、確保」等較為抽象性宣示性用語說明，致使經費執行效益難以評估。</w:t>
      </w:r>
    </w:p>
    <w:p w14:paraId="6BF9D3F6"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又考量監察院</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年度「國家人權業務」預算之業務費高達100,623千元，相較於監察核心職權之「調查巡察業務」17,219千元及「財產申報業務17,005千元，兩者落差</w:t>
      </w:r>
      <w:proofErr w:type="gramStart"/>
      <w:r w:rsidRPr="001B6E4D">
        <w:rPr>
          <w:rFonts w:ascii="標楷體" w:eastAsia="標楷體" w:hAnsi="標楷體"/>
          <w:color w:val="000000"/>
          <w:sz w:val="28"/>
          <w:szCs w:val="28"/>
        </w:rPr>
        <w:t>極</w:t>
      </w:r>
      <w:proofErr w:type="gramEnd"/>
      <w:r w:rsidRPr="001B6E4D">
        <w:rPr>
          <w:rFonts w:ascii="標楷體" w:eastAsia="標楷體" w:hAnsi="標楷體"/>
          <w:color w:val="000000"/>
          <w:sz w:val="28"/>
          <w:szCs w:val="28"/>
        </w:rPr>
        <w:t>巨。預算資源多集中於國家人權業務，恐稀釋彈劾、糾舉、糾正</w:t>
      </w:r>
      <w:proofErr w:type="gramStart"/>
      <w:r w:rsidRPr="001B6E4D">
        <w:rPr>
          <w:rFonts w:ascii="標楷體" w:eastAsia="標楷體" w:hAnsi="標楷體"/>
          <w:color w:val="000000"/>
          <w:sz w:val="28"/>
          <w:szCs w:val="28"/>
        </w:rPr>
        <w:t>等憲定職權</w:t>
      </w:r>
      <w:proofErr w:type="gramEnd"/>
      <w:r w:rsidRPr="001B6E4D">
        <w:rPr>
          <w:rFonts w:ascii="標楷體" w:eastAsia="標楷體" w:hAnsi="標楷體"/>
          <w:color w:val="000000"/>
          <w:sz w:val="28"/>
          <w:szCs w:val="28"/>
        </w:rPr>
        <w:t>之執行量能，影響核心功能發揮。</w:t>
      </w:r>
    </w:p>
    <w:p w14:paraId="6A45841E"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綜上所述，因該預算未落實法規要求之量化指標，且資源配置嚴重失衡，</w:t>
      </w:r>
      <w:proofErr w:type="gramStart"/>
      <w:r w:rsidRPr="001B6E4D">
        <w:rPr>
          <w:rFonts w:ascii="標楷體" w:eastAsia="標楷體" w:hAnsi="標楷體"/>
          <w:color w:val="000000"/>
          <w:sz w:val="28"/>
          <w:szCs w:val="28"/>
        </w:rPr>
        <w:t>恐致憲定</w:t>
      </w:r>
      <w:proofErr w:type="gramEnd"/>
      <w:r w:rsidRPr="001B6E4D">
        <w:rPr>
          <w:rFonts w:ascii="標楷體" w:eastAsia="標楷體" w:hAnsi="標楷體"/>
          <w:color w:val="000000"/>
          <w:sz w:val="28"/>
          <w:szCs w:val="28"/>
        </w:rPr>
        <w:t>核心職權遭受排擠，為確保公</w:t>
      </w:r>
      <w:proofErr w:type="gramStart"/>
      <w:r w:rsidRPr="001B6E4D">
        <w:rPr>
          <w:rFonts w:ascii="標楷體" w:eastAsia="標楷體" w:hAnsi="標楷體"/>
          <w:color w:val="000000"/>
          <w:sz w:val="28"/>
          <w:szCs w:val="28"/>
        </w:rPr>
        <w:t>帑</w:t>
      </w:r>
      <w:proofErr w:type="gramEnd"/>
      <w:r w:rsidRPr="001B6E4D">
        <w:rPr>
          <w:rFonts w:ascii="標楷體" w:eastAsia="標楷體" w:hAnsi="標楷體"/>
          <w:color w:val="000000"/>
          <w:sz w:val="28"/>
          <w:szCs w:val="28"/>
        </w:rPr>
        <w:t>有效運用，</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減列該項預算5,500萬元。【27】</w:t>
      </w:r>
    </w:p>
    <w:p w14:paraId="07EA6791"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提案人：許宇</w:t>
      </w:r>
      <w:proofErr w:type="gramStart"/>
      <w:r w:rsidRPr="001B6E4D">
        <w:rPr>
          <w:rFonts w:ascii="標楷體" w:eastAsia="標楷體" w:hAnsi="標楷體"/>
          <w:color w:val="000000"/>
          <w:sz w:val="28"/>
          <w:szCs w:val="28"/>
        </w:rPr>
        <w:t>甄</w:t>
      </w:r>
      <w:proofErr w:type="gramEnd"/>
    </w:p>
    <w:p w14:paraId="4693D209"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2FED6B21" w14:textId="77777777" w:rsidR="00705B3D" w:rsidRPr="001B6E4D" w:rsidRDefault="00705B3D" w:rsidP="003D1018">
      <w:pPr>
        <w:pStyle w:val="4"/>
      </w:pPr>
      <w:r w:rsidRPr="001B6E4D">
        <w:t>115年中央政府總預算，</w:t>
      </w:r>
      <w:proofErr w:type="gramStart"/>
      <w:r w:rsidRPr="001B6E4D">
        <w:t>媒宣費</w:t>
      </w:r>
      <w:proofErr w:type="gramEnd"/>
      <w:r w:rsidRPr="001B6E4D">
        <w:t>共計編列1,379,452千元，比</w:t>
      </w:r>
      <w:proofErr w:type="gramStart"/>
      <w:r w:rsidRPr="001B6E4D">
        <w:t>114</w:t>
      </w:r>
      <w:proofErr w:type="gramEnd"/>
      <w:r w:rsidRPr="001B6E4D">
        <w:t>年度法定預算752,073千元（含追加預算）增加627,379千元，成長幅度高達83.42%。</w:t>
      </w:r>
    </w:p>
    <w:p w14:paraId="42338BE2"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然115年中央政府總預算債務舉借2,992億元，連同特別預算1,008億元，合計舉債已高達近4千億元。</w:t>
      </w:r>
      <w:proofErr w:type="gramStart"/>
      <w:r w:rsidRPr="001B6E4D">
        <w:rPr>
          <w:rFonts w:ascii="標楷體" w:eastAsia="標楷體" w:hAnsi="標楷體"/>
          <w:color w:val="000000"/>
          <w:sz w:val="28"/>
          <w:szCs w:val="28"/>
        </w:rPr>
        <w:t>且</w:t>
      </w:r>
      <w:proofErr w:type="gramEnd"/>
      <w:r w:rsidRPr="001B6E4D">
        <w:rPr>
          <w:rFonts w:ascii="標楷體" w:eastAsia="標楷體" w:hAnsi="標楷體"/>
          <w:color w:val="000000"/>
          <w:sz w:val="28"/>
          <w:szCs w:val="28"/>
        </w:rPr>
        <w:t>，賴總統為回應美國對台灣大幅增加國防支出的要求，</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年度國防預算編列9495億新台幣，</w:t>
      </w:r>
      <w:proofErr w:type="gramStart"/>
      <w:r w:rsidRPr="001B6E4D">
        <w:rPr>
          <w:rFonts w:ascii="標楷體" w:eastAsia="標楷體" w:hAnsi="標楷體"/>
          <w:color w:val="000000"/>
          <w:sz w:val="28"/>
          <w:szCs w:val="28"/>
        </w:rPr>
        <w:t>佔</w:t>
      </w:r>
      <w:proofErr w:type="gramEnd"/>
      <w:r w:rsidRPr="001B6E4D">
        <w:rPr>
          <w:rFonts w:ascii="標楷體" w:eastAsia="標楷體" w:hAnsi="標楷體"/>
          <w:color w:val="000000"/>
          <w:sz w:val="28"/>
          <w:szCs w:val="28"/>
        </w:rPr>
        <w:t>國內生產總值（GDP）3.32%，比2025年成長23%（增加1,775億元），創下歷史新高。此舉勢必對年度的教育、社會福利、交通建設與經濟發展等預算，造成嚴重的排擠效果。</w:t>
      </w:r>
    </w:p>
    <w:p w14:paraId="4E8A2E19"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基此，政府應量入為出、</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節公</w:t>
      </w:r>
      <w:proofErr w:type="gramStart"/>
      <w:r w:rsidRPr="001B6E4D">
        <w:rPr>
          <w:rFonts w:ascii="標楷體" w:eastAsia="標楷體" w:hAnsi="標楷體"/>
          <w:color w:val="000000"/>
          <w:sz w:val="28"/>
          <w:szCs w:val="28"/>
        </w:rPr>
        <w:t>帑</w:t>
      </w:r>
      <w:proofErr w:type="gramEnd"/>
      <w:r w:rsidRPr="001B6E4D">
        <w:rPr>
          <w:rFonts w:ascii="標楷體" w:eastAsia="標楷體" w:hAnsi="標楷體"/>
          <w:color w:val="000000"/>
          <w:sz w:val="28"/>
          <w:szCs w:val="28"/>
        </w:rPr>
        <w:t>，共體時</w:t>
      </w:r>
      <w:proofErr w:type="gramStart"/>
      <w:r w:rsidRPr="001B6E4D">
        <w:rPr>
          <w:rFonts w:ascii="標楷體" w:eastAsia="標楷體" w:hAnsi="標楷體"/>
          <w:color w:val="000000"/>
          <w:sz w:val="28"/>
          <w:szCs w:val="28"/>
        </w:rPr>
        <w:t>艱</w:t>
      </w:r>
      <w:proofErr w:type="gramEnd"/>
      <w:r w:rsidRPr="001B6E4D">
        <w:rPr>
          <w:rFonts w:ascii="標楷體" w:eastAsia="標楷體" w:hAnsi="標楷體"/>
          <w:color w:val="000000"/>
          <w:sz w:val="28"/>
          <w:szCs w:val="28"/>
        </w:rPr>
        <w:t>，避免不必要的支出。</w:t>
      </w:r>
      <w:proofErr w:type="gramStart"/>
      <w:r w:rsidRPr="001B6E4D">
        <w:rPr>
          <w:rFonts w:ascii="標楷體" w:eastAsia="標楷體" w:hAnsi="標楷體"/>
          <w:color w:val="000000"/>
          <w:sz w:val="28"/>
          <w:szCs w:val="28"/>
        </w:rPr>
        <w:t>媒宣費</w:t>
      </w:r>
      <w:proofErr w:type="gramEnd"/>
      <w:r w:rsidRPr="001B6E4D">
        <w:rPr>
          <w:rFonts w:ascii="標楷體" w:eastAsia="標楷體" w:hAnsi="標楷體"/>
          <w:color w:val="000000"/>
          <w:sz w:val="28"/>
          <w:szCs w:val="28"/>
        </w:rPr>
        <w:t>既非屬必要的業務支出，理應考量政府財政狀況而予以</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w:t>
      </w:r>
    </w:p>
    <w:p w14:paraId="26175C7C"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經查114年監察院法定</w:t>
      </w:r>
      <w:proofErr w:type="gramStart"/>
      <w:r w:rsidRPr="001B6E4D">
        <w:rPr>
          <w:rFonts w:ascii="標楷體" w:eastAsia="標楷體" w:hAnsi="標楷體"/>
          <w:color w:val="000000"/>
          <w:sz w:val="28"/>
          <w:szCs w:val="28"/>
        </w:rPr>
        <w:t>預算媒宣費</w:t>
      </w:r>
      <w:proofErr w:type="gramEnd"/>
      <w:r w:rsidRPr="001B6E4D">
        <w:rPr>
          <w:rFonts w:ascii="標楷體" w:eastAsia="標楷體" w:hAnsi="標楷體"/>
          <w:color w:val="000000"/>
          <w:sz w:val="28"/>
          <w:szCs w:val="28"/>
        </w:rPr>
        <w:t>為零元，故</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w:t>
      </w:r>
      <w:proofErr w:type="gramStart"/>
      <w:r w:rsidRPr="001B6E4D">
        <w:rPr>
          <w:rFonts w:ascii="標楷體" w:eastAsia="標楷體" w:hAnsi="標楷體"/>
          <w:color w:val="000000"/>
          <w:sz w:val="28"/>
          <w:szCs w:val="28"/>
        </w:rPr>
        <w:t>編列媒宣費</w:t>
      </w:r>
      <w:proofErr w:type="gramEnd"/>
      <w:r w:rsidRPr="001B6E4D">
        <w:rPr>
          <w:rFonts w:ascii="標楷體" w:eastAsia="標楷體" w:hAnsi="標楷體"/>
          <w:color w:val="000000"/>
          <w:sz w:val="28"/>
          <w:szCs w:val="28"/>
        </w:rPr>
        <w:t>9,000千元實無急迫性及必要性，在考量整體國防預算增額及國家其他重大施政如災後重建等經費所需，為共體時</w:t>
      </w:r>
      <w:proofErr w:type="gramStart"/>
      <w:r w:rsidRPr="001B6E4D">
        <w:rPr>
          <w:rFonts w:ascii="標楷體" w:eastAsia="標楷體" w:hAnsi="標楷體"/>
          <w:color w:val="000000"/>
          <w:sz w:val="28"/>
          <w:szCs w:val="28"/>
        </w:rPr>
        <w:t>艱</w:t>
      </w:r>
      <w:proofErr w:type="gramEnd"/>
      <w:r w:rsidRPr="001B6E4D">
        <w:rPr>
          <w:rFonts w:ascii="標楷體" w:eastAsia="標楷體" w:hAnsi="標楷體"/>
          <w:color w:val="000000"/>
          <w:sz w:val="28"/>
          <w:szCs w:val="28"/>
        </w:rPr>
        <w:t>，</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提案全數刪除</w:t>
      </w:r>
      <w:proofErr w:type="gramStart"/>
      <w:r w:rsidRPr="001B6E4D">
        <w:rPr>
          <w:rFonts w:ascii="標楷體" w:eastAsia="標楷體" w:hAnsi="標楷體"/>
          <w:color w:val="000000"/>
          <w:sz w:val="28"/>
          <w:szCs w:val="28"/>
        </w:rPr>
        <w:t>115年媒宣費</w:t>
      </w:r>
      <w:proofErr w:type="gramEnd"/>
      <w:r w:rsidRPr="001B6E4D">
        <w:rPr>
          <w:rFonts w:ascii="標楷體" w:eastAsia="標楷體" w:hAnsi="標楷體"/>
          <w:color w:val="000000"/>
          <w:sz w:val="28"/>
          <w:szCs w:val="28"/>
        </w:rPr>
        <w:t>，減列9,000千元。【28】</w:t>
      </w:r>
    </w:p>
    <w:p w14:paraId="6943CDFF"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p>
    <w:p w14:paraId="69429E61"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連署人：林沛祥　林倩綺</w:t>
      </w:r>
    </w:p>
    <w:p w14:paraId="3BC2DAE9" w14:textId="77777777" w:rsidR="00705B3D" w:rsidRPr="001B6E4D" w:rsidRDefault="00705B3D" w:rsidP="003D1018">
      <w:pPr>
        <w:pStyle w:val="4"/>
      </w:pPr>
      <w:proofErr w:type="gramStart"/>
      <w:r w:rsidRPr="001B6E4D">
        <w:t>115</w:t>
      </w:r>
      <w:proofErr w:type="gramEnd"/>
      <w:r w:rsidRPr="001B6E4D">
        <w:t>年度監察院預算案於「監察院」編列媒體政策及業務宣導費預算900萬元。係辦理綜合性人權專題倡導、創新合作計畫、獎項之規劃、評審、獎勵等相關宣導；訪視人權受害者或團體，口述及影像紀錄人權</w:t>
      </w:r>
      <w:proofErr w:type="gramStart"/>
      <w:r w:rsidRPr="001B6E4D">
        <w:t>侵</w:t>
      </w:r>
      <w:proofErr w:type="gramEnd"/>
      <w:r w:rsidRPr="001B6E4D">
        <w:t>侵害與相關、辦理國際研討會、人權公約系列活動及成果發表相關媒體宣導、辦理人權教育推廣徵件活動相關宣導。</w:t>
      </w:r>
    </w:p>
    <w:p w14:paraId="3D54F729"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經查，</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年度媒體政策及業務宣導費預算案數較112及</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年度預算數分別增加100萬元及107萬5千元，增幅12.5%及13.56%，惟112及</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年度預算實現率偏低，分別僅69.73%及81.85%；又國家人權委員會自109年8月成立迄今已5年餘，所辦理業務宣導內容概包含兒童人權、婦女人權、移工人</w:t>
      </w:r>
      <w:proofErr w:type="gramStart"/>
      <w:r w:rsidRPr="001B6E4D">
        <w:rPr>
          <w:rFonts w:ascii="標楷體" w:eastAsia="標楷體" w:hAnsi="標楷體"/>
          <w:color w:val="000000"/>
          <w:sz w:val="28"/>
          <w:szCs w:val="28"/>
        </w:rPr>
        <w:t>權等似有</w:t>
      </w:r>
      <w:proofErr w:type="gramEnd"/>
      <w:r w:rsidRPr="001B6E4D">
        <w:rPr>
          <w:rFonts w:ascii="標楷體" w:eastAsia="標楷體" w:hAnsi="標楷體"/>
          <w:color w:val="000000"/>
          <w:sz w:val="28"/>
          <w:szCs w:val="28"/>
        </w:rPr>
        <w:t>雷同項目，</w:t>
      </w:r>
      <w:proofErr w:type="gramStart"/>
      <w:r w:rsidRPr="001B6E4D">
        <w:rPr>
          <w:rFonts w:ascii="標楷體" w:eastAsia="標楷體" w:hAnsi="標楷體"/>
          <w:color w:val="000000"/>
          <w:sz w:val="28"/>
          <w:szCs w:val="28"/>
        </w:rPr>
        <w:t>且評核</w:t>
      </w:r>
      <w:proofErr w:type="gramEnd"/>
      <w:r w:rsidRPr="001B6E4D">
        <w:rPr>
          <w:rFonts w:ascii="標楷體" w:eastAsia="標楷體" w:hAnsi="標楷體"/>
          <w:color w:val="000000"/>
          <w:sz w:val="28"/>
          <w:szCs w:val="28"/>
        </w:rPr>
        <w:t>指標為點閱、觸及閱聽及宣導人次為評核標準，對於其宣導成效、認知提升率和以及人權申訴諮詢件數增加率等並未能彰顯。對於連年編列此重複性預算顯無必要。</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提案全數減列。【29】</w:t>
      </w:r>
    </w:p>
    <w:p w14:paraId="7F9AA38D" w14:textId="77777777" w:rsidR="00705B3D" w:rsidRPr="001B6E4D" w:rsidRDefault="00705B3D" w:rsidP="003D1018">
      <w:pPr>
        <w:overflowPunct w:val="0"/>
        <w:snapToGrid w:val="0"/>
        <w:jc w:val="both"/>
        <w:rPr>
          <w:rFonts w:ascii="標楷體" w:eastAsia="標楷體" w:hAnsi="標楷體"/>
          <w:color w:val="000000"/>
          <w:sz w:val="28"/>
          <w:szCs w:val="28"/>
        </w:rPr>
      </w:pPr>
      <w:r w:rsidRPr="001B6E4D">
        <w:rPr>
          <w:rFonts w:ascii="標楷體" w:eastAsia="標楷體" w:hAnsi="標楷體"/>
          <w:noProof/>
          <w:color w:val="000000"/>
          <w:sz w:val="28"/>
          <w:szCs w:val="28"/>
        </w:rPr>
        <w:drawing>
          <wp:inline distT="0" distB="0" distL="0" distR="0" wp14:anchorId="1C668BAD" wp14:editId="02F98BD4">
            <wp:extent cx="5692775" cy="2205355"/>
            <wp:effectExtent l="0" t="0" r="3175" b="4445"/>
            <wp:docPr id="3" name="圖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5">
                      <a:extLst>
                        <a:ext uri="{28A0092B-C50C-407E-A947-70E740481C1C}">
                          <a14:useLocalDpi xmlns:a14="http://schemas.microsoft.com/office/drawing/2010/main" val="0"/>
                        </a:ext>
                      </a:extLst>
                    </a:blip>
                    <a:stretch>
                      <a:fillRect/>
                    </a:stretch>
                  </pic:blipFill>
                  <pic:spPr>
                    <a:xfrm>
                      <a:off x="0" y="0"/>
                      <a:ext cx="5692775" cy="2205355"/>
                    </a:xfrm>
                    <a:prstGeom prst="rect">
                      <a:avLst/>
                    </a:prstGeom>
                  </pic:spPr>
                </pic:pic>
              </a:graphicData>
            </a:graphic>
          </wp:inline>
        </w:drawing>
      </w:r>
    </w:p>
    <w:p w14:paraId="6A81593F"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提案人：許宇</w:t>
      </w:r>
      <w:proofErr w:type="gramStart"/>
      <w:r w:rsidRPr="001B6E4D">
        <w:rPr>
          <w:rFonts w:ascii="標楷體" w:eastAsia="標楷體" w:hAnsi="標楷體"/>
          <w:color w:val="000000"/>
          <w:sz w:val="28"/>
          <w:szCs w:val="28"/>
        </w:rPr>
        <w:t>甄</w:t>
      </w:r>
      <w:proofErr w:type="gramEnd"/>
    </w:p>
    <w:p w14:paraId="7F49BDFE"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4B0ABFFF" w14:textId="77777777" w:rsidR="00705B3D" w:rsidRPr="001B6E4D" w:rsidRDefault="00705B3D" w:rsidP="003D1018">
      <w:pPr>
        <w:pStyle w:val="4"/>
      </w:pPr>
      <w:proofErr w:type="gramStart"/>
      <w:r w:rsidRPr="001B6E4D">
        <w:t>115</w:t>
      </w:r>
      <w:proofErr w:type="gramEnd"/>
      <w:r w:rsidRPr="001B6E4D">
        <w:t>年度監察院預算案於第5目「國家人權業務」編列預算1億1,151萬6千元，包括業務費1億0062萬3千元。</w:t>
      </w:r>
    </w:p>
    <w:p w14:paraId="767463E3"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本院預算中心指出，該項「業務費」預算案數顯著高於監察院他項核心業務，如高於調查巡查業務5.84倍，且預算連續4年保留數介於1千多萬至3千多萬元(110至114年度分別保留2,286萬元、1,573萬元、1,114萬元及3,228萬1千元)，預算資源集中於國家人權業務，與憲法賦予的職權之核心業務</w:t>
      </w:r>
      <w:r w:rsidRPr="001B6E4D">
        <w:rPr>
          <w:rFonts w:ascii="標楷體" w:eastAsia="標楷體" w:hAnsi="標楷體"/>
          <w:color w:val="000000"/>
          <w:sz w:val="28"/>
          <w:szCs w:val="28"/>
        </w:rPr>
        <w:lastRenderedPageBreak/>
        <w:t>未盡相符，恐影響監察權功能之發揮，</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減列該項預算3,000萬元。【32】</w:t>
      </w:r>
    </w:p>
    <w:p w14:paraId="6A28FBE4"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p>
    <w:p w14:paraId="4154408E"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連署人：林沛祥　林倩綺</w:t>
      </w:r>
    </w:p>
    <w:p w14:paraId="583D628C" w14:textId="77777777" w:rsidR="00705B3D" w:rsidRPr="001B6E4D" w:rsidRDefault="00705B3D" w:rsidP="003D1018">
      <w:pPr>
        <w:pStyle w:val="4"/>
      </w:pPr>
      <w:r w:rsidRPr="001B6E4D">
        <w:t>預算編列多集中於研究、媒體宣導、合作交流及委辦事項，與實質人權保障成效之直接關聯性未明，另近年在人權與社會安全相關議題上，包括兒童、女性</w:t>
      </w:r>
      <w:proofErr w:type="gramStart"/>
      <w:r w:rsidRPr="001B6E4D">
        <w:t>及移工等</w:t>
      </w:r>
      <w:proofErr w:type="gramEnd"/>
      <w:r w:rsidRPr="001B6E4D">
        <w:t>族群權益，從社會案件及整體環境觀察，相關保障機制仍未見有效落實，顯示預算投入與政策成果間存有落差，且欠缺具體績效評估機制。</w:t>
      </w:r>
    </w:p>
    <w:p w14:paraId="45FA8254"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於資源配置</w:t>
      </w:r>
      <w:proofErr w:type="gramStart"/>
      <w:r w:rsidRPr="001B6E4D">
        <w:rPr>
          <w:rFonts w:ascii="標楷體" w:eastAsia="標楷體" w:hAnsi="標楷體"/>
          <w:color w:val="000000"/>
          <w:sz w:val="28"/>
          <w:szCs w:val="28"/>
        </w:rPr>
        <w:t>恐</w:t>
      </w:r>
      <w:proofErr w:type="gramEnd"/>
      <w:r w:rsidRPr="001B6E4D">
        <w:rPr>
          <w:rFonts w:ascii="標楷體" w:eastAsia="標楷體" w:hAnsi="標楷體"/>
          <w:color w:val="000000"/>
          <w:sz w:val="28"/>
          <w:szCs w:val="28"/>
        </w:rPr>
        <w:t>流於形式，為落實預算監督與財政紀律，</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針對</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年度監察院第5目「國家人權業務」項下「規劃、評估與研究」中「業務費」預算編列3,741萬9千元，減列1,871萬元並凍結50%，</w:t>
      </w:r>
      <w:proofErr w:type="gramStart"/>
      <w:r w:rsidRPr="001B6E4D">
        <w:rPr>
          <w:rFonts w:ascii="標楷體" w:eastAsia="標楷體" w:hAnsi="標楷體"/>
          <w:color w:val="000000"/>
          <w:sz w:val="28"/>
          <w:szCs w:val="28"/>
        </w:rPr>
        <w:t>俟</w:t>
      </w:r>
      <w:proofErr w:type="gramEnd"/>
      <w:r w:rsidRPr="001B6E4D">
        <w:rPr>
          <w:rFonts w:ascii="標楷體" w:eastAsia="標楷體" w:hAnsi="標楷體"/>
          <w:color w:val="000000"/>
          <w:sz w:val="28"/>
          <w:szCs w:val="28"/>
        </w:rPr>
        <w:t>監察院於3個月內向立法院司法及法制委員會提出書面報告後，始得動支。【33】</w:t>
      </w:r>
    </w:p>
    <w:p w14:paraId="3666B8D1"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提案人：林沛祥</w:t>
      </w:r>
    </w:p>
    <w:p w14:paraId="1DCCFDC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許宇</w:t>
      </w:r>
      <w:proofErr w:type="gramStart"/>
      <w:r w:rsidRPr="001B6E4D">
        <w:rPr>
          <w:rFonts w:ascii="標楷體" w:eastAsia="標楷體" w:hAnsi="標楷體"/>
          <w:color w:val="000000"/>
          <w:sz w:val="28"/>
          <w:szCs w:val="28"/>
        </w:rPr>
        <w:t>甄</w:t>
      </w:r>
      <w:proofErr w:type="gramEnd"/>
    </w:p>
    <w:p w14:paraId="5C305238" w14:textId="77777777" w:rsidR="00705B3D" w:rsidRPr="001B6E4D" w:rsidRDefault="00705B3D" w:rsidP="003D1018">
      <w:pPr>
        <w:pStyle w:val="4"/>
      </w:pPr>
      <w:proofErr w:type="gramStart"/>
      <w:r w:rsidRPr="001B6E4D">
        <w:t>惟</w:t>
      </w:r>
      <w:proofErr w:type="gramEnd"/>
      <w:r w:rsidRPr="001B6E4D">
        <w:t>業務內容包含相關人權案件處理與制度改善成效間之關聯性與績效衡量機制仍不明確。另外媒體宣導及國際合作等項目經費龐雜，是否確實對應人權保障核心成果，亦有檢討必要。</w:t>
      </w:r>
    </w:p>
    <w:p w14:paraId="44CF1E83"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為避免資源投入擴張但成效不易檢證，並促使相關業務回歸實質效能導向之制度設計，強化預算監督與財政紀律，</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針對</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年度監察院第5目「國家人權業務」項下「訪視、調查與合作」中「業務費」預算編列2,828萬1千元，減列1,414萬1千元並凍結50%，</w:t>
      </w:r>
      <w:proofErr w:type="gramStart"/>
      <w:r w:rsidRPr="001B6E4D">
        <w:rPr>
          <w:rFonts w:ascii="標楷體" w:eastAsia="標楷體" w:hAnsi="標楷體"/>
          <w:color w:val="000000"/>
          <w:sz w:val="28"/>
          <w:szCs w:val="28"/>
        </w:rPr>
        <w:t>俟</w:t>
      </w:r>
      <w:proofErr w:type="gramEnd"/>
      <w:r w:rsidRPr="001B6E4D">
        <w:rPr>
          <w:rFonts w:ascii="標楷體" w:eastAsia="標楷體" w:hAnsi="標楷體"/>
          <w:color w:val="000000"/>
          <w:sz w:val="28"/>
          <w:szCs w:val="28"/>
        </w:rPr>
        <w:t>監察院於3個月內向立法院司法及法制委員會提出書面報告後，始得動支。【34】</w:t>
      </w:r>
    </w:p>
    <w:p w14:paraId="58D25E3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提案人：林沛祥</w:t>
      </w:r>
    </w:p>
    <w:p w14:paraId="1974F032"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許宇</w:t>
      </w:r>
      <w:proofErr w:type="gramStart"/>
      <w:r w:rsidRPr="001B6E4D">
        <w:rPr>
          <w:rFonts w:ascii="標楷體" w:eastAsia="標楷體" w:hAnsi="標楷體"/>
          <w:color w:val="000000"/>
          <w:sz w:val="28"/>
          <w:szCs w:val="28"/>
        </w:rPr>
        <w:t>甄</w:t>
      </w:r>
      <w:proofErr w:type="gramEnd"/>
    </w:p>
    <w:p w14:paraId="362F78F2" w14:textId="77777777" w:rsidR="00705B3D" w:rsidRPr="001B6E4D" w:rsidRDefault="00705B3D" w:rsidP="003D1018">
      <w:pPr>
        <w:pStyle w:val="4"/>
      </w:pPr>
      <w:r w:rsidRPr="001B6E4D">
        <w:t>該會在人權議題之調查深度、制度倡議及政策影響力，與其預算及人力規模間存有落差，未能充分展現其應有功能，且對多項重大人權議題之關注程度不足。現行業務內容多集中於教育推廣、活動辦理及交流合作，恐有偏離其應強化制度監督與政策建議之核心職責之虞。</w:t>
      </w:r>
    </w:p>
    <w:p w14:paraId="563F9A07"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在制度定位與職權範圍尚未明確、績效評估機制亦未健全之前，持續編列大額活動及交流性質經費，恐使資源配置流於形式，難以有效提升人權保障實質效能。</w:t>
      </w:r>
    </w:p>
    <w:p w14:paraId="6104EEA2"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為促使相關機關優先檢討法制定位與職權分工，並強化制度面功能，為避免預算資源持續擴張而效益不易檢證，並落實財政紀律與預算監督原則，</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針對</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年度監察院第5目「國家人權業務」項下「教育、推廣與交流」中「業務費」預算編列3,492萬3千元，減列1,746萬2千元並凍結50%，</w:t>
      </w:r>
      <w:proofErr w:type="gramStart"/>
      <w:r w:rsidRPr="001B6E4D">
        <w:rPr>
          <w:rFonts w:ascii="標楷體" w:eastAsia="標楷體" w:hAnsi="標楷體"/>
          <w:color w:val="000000"/>
          <w:sz w:val="28"/>
          <w:szCs w:val="28"/>
        </w:rPr>
        <w:t>俟</w:t>
      </w:r>
      <w:proofErr w:type="gramEnd"/>
      <w:r w:rsidRPr="001B6E4D">
        <w:rPr>
          <w:rFonts w:ascii="標楷體" w:eastAsia="標楷體" w:hAnsi="標楷體"/>
          <w:color w:val="000000"/>
          <w:sz w:val="28"/>
          <w:szCs w:val="28"/>
        </w:rPr>
        <w:t>監察</w:t>
      </w:r>
      <w:r w:rsidRPr="001B6E4D">
        <w:rPr>
          <w:rFonts w:ascii="標楷體" w:eastAsia="標楷體" w:hAnsi="標楷體"/>
          <w:color w:val="000000"/>
          <w:sz w:val="28"/>
          <w:szCs w:val="28"/>
        </w:rPr>
        <w:lastRenderedPageBreak/>
        <w:t>院於3個月內向立法院司法及法制委員會提出書面報告後，始得動支。【35】</w:t>
      </w:r>
    </w:p>
    <w:p w14:paraId="1543B2DE"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提案人：林沛祥</w:t>
      </w:r>
    </w:p>
    <w:p w14:paraId="6131A558"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連署人：翁曉玲　</w:t>
      </w:r>
      <w:bookmarkStart w:id="514" w:name="_Hlk230613681"/>
      <w:r w:rsidRPr="001B6E4D">
        <w:rPr>
          <w:rFonts w:ascii="標楷體" w:eastAsia="標楷體" w:hAnsi="標楷體"/>
          <w:color w:val="000000"/>
          <w:sz w:val="28"/>
          <w:szCs w:val="28"/>
        </w:rPr>
        <w:t>許宇</w:t>
      </w:r>
      <w:proofErr w:type="gramStart"/>
      <w:r w:rsidRPr="001B6E4D">
        <w:rPr>
          <w:rFonts w:ascii="標楷體" w:eastAsia="標楷體" w:hAnsi="標楷體"/>
          <w:color w:val="000000"/>
          <w:sz w:val="28"/>
          <w:szCs w:val="28"/>
        </w:rPr>
        <w:t>甄</w:t>
      </w:r>
      <w:bookmarkEnd w:id="514"/>
      <w:proofErr w:type="gramEnd"/>
    </w:p>
    <w:p w14:paraId="48A111BC" w14:textId="77777777" w:rsidR="00705B3D" w:rsidRPr="001B6E4D" w:rsidRDefault="00705B3D" w:rsidP="003D1018">
      <w:pPr>
        <w:overflowPunct w:val="0"/>
        <w:snapToGrid w:val="0"/>
        <w:ind w:leftChars="150" w:left="1201" w:hangingChars="300" w:hanging="841"/>
        <w:jc w:val="both"/>
        <w:rPr>
          <w:rFonts w:ascii="標楷體" w:eastAsia="標楷體" w:hAnsi="標楷體"/>
          <w:b/>
          <w:bCs/>
          <w:sz w:val="28"/>
          <w:szCs w:val="28"/>
        </w:rPr>
      </w:pPr>
      <w:r w:rsidRPr="001B6E4D">
        <w:rPr>
          <w:rFonts w:ascii="標楷體" w:eastAsia="標楷體" w:hAnsi="標楷體"/>
          <w:b/>
          <w:bCs/>
          <w:sz w:val="28"/>
          <w:szCs w:val="28"/>
        </w:rPr>
        <w:t>本項通過決議</w:t>
      </w:r>
      <w:r w:rsidRPr="001B6E4D">
        <w:rPr>
          <w:rFonts w:ascii="標楷體" w:eastAsia="標楷體" w:hAnsi="標楷體" w:hint="eastAsia"/>
          <w:b/>
          <w:bCs/>
          <w:sz w:val="28"/>
          <w:szCs w:val="28"/>
        </w:rPr>
        <w:t>25</w:t>
      </w:r>
      <w:r w:rsidRPr="001B6E4D">
        <w:rPr>
          <w:rFonts w:ascii="標楷體" w:eastAsia="標楷體" w:hAnsi="標楷體"/>
          <w:b/>
          <w:bCs/>
          <w:sz w:val="28"/>
          <w:szCs w:val="28"/>
        </w:rPr>
        <w:t>項：</w:t>
      </w:r>
    </w:p>
    <w:p w14:paraId="6632414C" w14:textId="77777777" w:rsidR="00705B3D" w:rsidRPr="001B6E4D" w:rsidRDefault="00705B3D" w:rsidP="003D1018">
      <w:pPr>
        <w:pStyle w:val="4"/>
        <w:numPr>
          <w:ilvl w:val="0"/>
          <w:numId w:val="52"/>
        </w:numPr>
        <w:ind w:leftChars="0" w:left="992" w:firstLineChars="0" w:hanging="567"/>
      </w:pPr>
      <w:proofErr w:type="gramStart"/>
      <w:r w:rsidRPr="001B6E4D">
        <w:rPr>
          <w:rFonts w:hint="eastAsia"/>
        </w:rPr>
        <w:t>115</w:t>
      </w:r>
      <w:proofErr w:type="gramEnd"/>
      <w:r w:rsidRPr="001B6E4D">
        <w:rPr>
          <w:rFonts w:hint="eastAsia"/>
        </w:rPr>
        <w:t>年度監察院歲出預算第1目「一般行政」編列9億1,793萬6千元，凍結439萬1千元，</w:t>
      </w:r>
      <w:proofErr w:type="gramStart"/>
      <w:r w:rsidRPr="001B6E4D">
        <w:rPr>
          <w:rFonts w:hint="eastAsia"/>
        </w:rPr>
        <w:t>俟</w:t>
      </w:r>
      <w:proofErr w:type="gramEnd"/>
      <w:r w:rsidRPr="001B6E4D">
        <w:rPr>
          <w:rFonts w:hint="eastAsia"/>
        </w:rPr>
        <w:t>向立法院司法及法制委員會提出書面報告後，始得動支。【11、13、16】</w:t>
      </w:r>
    </w:p>
    <w:p w14:paraId="30FFDEF2"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r w:rsidRPr="001B6E4D">
        <w:rPr>
          <w:rFonts w:ascii="標楷體" w:eastAsia="標楷體" w:hAnsi="標楷體" w:hint="eastAsia"/>
          <w:color w:val="000000"/>
          <w:sz w:val="28"/>
          <w:szCs w:val="28"/>
        </w:rPr>
        <w:t xml:space="preserve">　吳宗憲</w:t>
      </w:r>
    </w:p>
    <w:p w14:paraId="6318B7B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連署人：林沛祥　林倩綺</w:t>
      </w:r>
    </w:p>
    <w:p w14:paraId="464BC99B" w14:textId="77777777" w:rsidR="00705B3D" w:rsidRPr="001B6E4D" w:rsidRDefault="00705B3D" w:rsidP="003D1018">
      <w:pPr>
        <w:pStyle w:val="4"/>
      </w:pPr>
      <w:proofErr w:type="gramStart"/>
      <w:r w:rsidRPr="001B6E4D">
        <w:rPr>
          <w:rFonts w:hint="eastAsia"/>
        </w:rPr>
        <w:t>115</w:t>
      </w:r>
      <w:proofErr w:type="gramEnd"/>
      <w:r w:rsidRPr="001B6E4D">
        <w:rPr>
          <w:rFonts w:hint="eastAsia"/>
        </w:rPr>
        <w:t>年度監察院歲出預算第3目「調查巡察業務」編列1,721萬9千元，凍結231萬8千元，</w:t>
      </w:r>
      <w:proofErr w:type="gramStart"/>
      <w:r w:rsidRPr="001B6E4D">
        <w:rPr>
          <w:rFonts w:hint="eastAsia"/>
        </w:rPr>
        <w:t>俟</w:t>
      </w:r>
      <w:proofErr w:type="gramEnd"/>
      <w:r w:rsidRPr="001B6E4D">
        <w:rPr>
          <w:rFonts w:hint="eastAsia"/>
        </w:rPr>
        <w:t>向立法院司法及法制委員會提出書面報告後，始得動支。【19、22】</w:t>
      </w:r>
    </w:p>
    <w:p w14:paraId="64822403"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bookmarkStart w:id="515" w:name="_Hlk230613851"/>
      <w:r w:rsidRPr="001B6E4D">
        <w:rPr>
          <w:rFonts w:ascii="標楷體" w:eastAsia="標楷體" w:hAnsi="標楷體"/>
          <w:color w:val="000000"/>
          <w:sz w:val="28"/>
          <w:szCs w:val="28"/>
        </w:rPr>
        <w:t>提案人：</w:t>
      </w:r>
      <w:r w:rsidRPr="001B6E4D">
        <w:rPr>
          <w:rFonts w:ascii="標楷體" w:eastAsia="標楷體" w:hAnsi="標楷體" w:hint="eastAsia"/>
          <w:color w:val="000000"/>
          <w:sz w:val="28"/>
          <w:szCs w:val="28"/>
        </w:rPr>
        <w:t>吳宗憲　許宇</w:t>
      </w:r>
      <w:proofErr w:type="gramStart"/>
      <w:r w:rsidRPr="001B6E4D">
        <w:rPr>
          <w:rFonts w:ascii="標楷體" w:eastAsia="標楷體" w:hAnsi="標楷體" w:hint="eastAsia"/>
          <w:color w:val="000000"/>
          <w:sz w:val="28"/>
          <w:szCs w:val="28"/>
        </w:rPr>
        <w:t>甄</w:t>
      </w:r>
      <w:proofErr w:type="gramEnd"/>
    </w:p>
    <w:p w14:paraId="6FAC65B9"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林倩綺</w:t>
      </w: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林沛祥</w:t>
      </w:r>
    </w:p>
    <w:bookmarkEnd w:id="515"/>
    <w:p w14:paraId="43C753DB" w14:textId="77777777" w:rsidR="00705B3D" w:rsidRPr="001B6E4D" w:rsidRDefault="00705B3D" w:rsidP="003D1018">
      <w:pPr>
        <w:pStyle w:val="4"/>
      </w:pPr>
      <w:proofErr w:type="gramStart"/>
      <w:r w:rsidRPr="001B6E4D">
        <w:rPr>
          <w:rFonts w:hint="eastAsia"/>
        </w:rPr>
        <w:t>115</w:t>
      </w:r>
      <w:proofErr w:type="gramEnd"/>
      <w:r w:rsidRPr="001B6E4D">
        <w:rPr>
          <w:rFonts w:hint="eastAsia"/>
        </w:rPr>
        <w:t>年度監察院歲出預算第4目「財產申報業務」編列1,700萬5千元，凍結78萬3千元，</w:t>
      </w:r>
      <w:proofErr w:type="gramStart"/>
      <w:r w:rsidRPr="001B6E4D">
        <w:rPr>
          <w:rFonts w:hint="eastAsia"/>
        </w:rPr>
        <w:t>俟</w:t>
      </w:r>
      <w:proofErr w:type="gramEnd"/>
      <w:r w:rsidRPr="001B6E4D">
        <w:rPr>
          <w:rFonts w:hint="eastAsia"/>
        </w:rPr>
        <w:t>向立法院司法及法制委員會提出書面報告後，始得動支。【24、25】</w:t>
      </w:r>
    </w:p>
    <w:p w14:paraId="50E8D6E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w:t>
      </w:r>
      <w:r w:rsidRPr="001B6E4D">
        <w:rPr>
          <w:rFonts w:ascii="標楷體" w:eastAsia="標楷體" w:hAnsi="標楷體" w:hint="eastAsia"/>
          <w:color w:val="000000"/>
          <w:sz w:val="28"/>
          <w:szCs w:val="28"/>
        </w:rPr>
        <w:t>許宇</w:t>
      </w:r>
      <w:proofErr w:type="gramStart"/>
      <w:r w:rsidRPr="001B6E4D">
        <w:rPr>
          <w:rFonts w:ascii="標楷體" w:eastAsia="標楷體" w:hAnsi="標楷體" w:hint="eastAsia"/>
          <w:color w:val="000000"/>
          <w:sz w:val="28"/>
          <w:szCs w:val="28"/>
        </w:rPr>
        <w:t>甄</w:t>
      </w:r>
      <w:proofErr w:type="gramEnd"/>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翁曉玲</w:t>
      </w:r>
    </w:p>
    <w:p w14:paraId="0F88DCF8"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連署人：林沛祥　林倩綺</w:t>
      </w:r>
    </w:p>
    <w:p w14:paraId="1091DE67" w14:textId="77777777" w:rsidR="00705B3D" w:rsidRPr="001B6E4D" w:rsidRDefault="00705B3D" w:rsidP="003D1018">
      <w:pPr>
        <w:pStyle w:val="4"/>
      </w:pPr>
      <w:proofErr w:type="gramStart"/>
      <w:r w:rsidRPr="001B6E4D">
        <w:rPr>
          <w:rFonts w:hint="eastAsia"/>
        </w:rPr>
        <w:t>115</w:t>
      </w:r>
      <w:proofErr w:type="gramEnd"/>
      <w:r w:rsidRPr="001B6E4D">
        <w:rPr>
          <w:rFonts w:hint="eastAsia"/>
        </w:rPr>
        <w:t>年度監察院歲出預算第5目「國家人權業務」編列1億1,151萬6千元，凍結1</w:t>
      </w:r>
      <w:r w:rsidRPr="001B6E4D">
        <w:t>,</w:t>
      </w:r>
      <w:r w:rsidRPr="001B6E4D">
        <w:rPr>
          <w:rFonts w:hint="eastAsia"/>
        </w:rPr>
        <w:t>672萬7千元，</w:t>
      </w:r>
      <w:proofErr w:type="gramStart"/>
      <w:r w:rsidRPr="001B6E4D">
        <w:rPr>
          <w:rFonts w:hint="eastAsia"/>
        </w:rPr>
        <w:t>俟</w:t>
      </w:r>
      <w:proofErr w:type="gramEnd"/>
      <w:r w:rsidRPr="001B6E4D">
        <w:rPr>
          <w:rFonts w:hint="eastAsia"/>
        </w:rPr>
        <w:t>向立法院司法及法制委員會提出書面報告後，始得動支。【</w:t>
      </w:r>
      <w:r w:rsidRPr="001B6E4D">
        <w:t>30</w:t>
      </w:r>
      <w:r w:rsidRPr="001B6E4D">
        <w:rPr>
          <w:rFonts w:hint="eastAsia"/>
        </w:rPr>
        <w:t>】</w:t>
      </w:r>
    </w:p>
    <w:p w14:paraId="470DD3C2"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w:t>
      </w:r>
      <w:r w:rsidRPr="001B6E4D">
        <w:rPr>
          <w:rFonts w:ascii="標楷體" w:eastAsia="標楷體" w:hAnsi="標楷體" w:hint="eastAsia"/>
          <w:color w:val="000000"/>
          <w:sz w:val="28"/>
          <w:szCs w:val="28"/>
        </w:rPr>
        <w:t>吳宗憲</w:t>
      </w:r>
    </w:p>
    <w:p w14:paraId="7881981C"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林倩綺</w:t>
      </w:r>
    </w:p>
    <w:p w14:paraId="1EB553D3" w14:textId="77777777" w:rsidR="00705B3D" w:rsidRPr="001B6E4D" w:rsidRDefault="00705B3D" w:rsidP="003D1018">
      <w:pPr>
        <w:pStyle w:val="4"/>
      </w:pPr>
      <w:proofErr w:type="gramStart"/>
      <w:r w:rsidRPr="001B6E4D">
        <w:t>115</w:t>
      </w:r>
      <w:proofErr w:type="gramEnd"/>
      <w:r w:rsidRPr="001B6E4D">
        <w:t>年度監察院預算案於「業務費」項下「水電費」編列預算1,120萬1千元。較</w:t>
      </w:r>
      <w:proofErr w:type="gramStart"/>
      <w:r w:rsidRPr="001B6E4D">
        <w:t>113</w:t>
      </w:r>
      <w:proofErr w:type="gramEnd"/>
      <w:r w:rsidRPr="001B6E4D">
        <w:rPr>
          <w:rFonts w:hint="eastAsia"/>
        </w:rPr>
        <w:t>年度</w:t>
      </w:r>
      <w:r w:rsidRPr="001B6E4D">
        <w:t>決算數933</w:t>
      </w:r>
      <w:r w:rsidRPr="001B6E4D">
        <w:rPr>
          <w:rFonts w:hint="eastAsia"/>
        </w:rPr>
        <w:t>萬</w:t>
      </w:r>
      <w:r w:rsidRPr="001B6E4D">
        <w:t>2千元增加186</w:t>
      </w:r>
      <w:r w:rsidRPr="001B6E4D">
        <w:rPr>
          <w:rFonts w:hint="eastAsia"/>
        </w:rPr>
        <w:t>萬</w:t>
      </w:r>
      <w:r w:rsidRPr="001B6E4D">
        <w:t>9千元，增幅20.03%；較</w:t>
      </w:r>
      <w:proofErr w:type="gramStart"/>
      <w:r w:rsidRPr="001B6E4D">
        <w:t>111</w:t>
      </w:r>
      <w:proofErr w:type="gramEnd"/>
      <w:r w:rsidRPr="001B6E4D">
        <w:t>年度決算數808</w:t>
      </w:r>
      <w:r w:rsidRPr="001B6E4D">
        <w:rPr>
          <w:rFonts w:hint="eastAsia"/>
        </w:rPr>
        <w:t>萬</w:t>
      </w:r>
      <w:r w:rsidRPr="001B6E4D">
        <w:t>5千元增加311</w:t>
      </w:r>
      <w:r w:rsidRPr="001B6E4D">
        <w:rPr>
          <w:rFonts w:hint="eastAsia"/>
        </w:rPr>
        <w:t>萬</w:t>
      </w:r>
      <w:r w:rsidRPr="001B6E4D">
        <w:t>6千元，增幅38.54%。</w:t>
      </w:r>
    </w:p>
    <w:p w14:paraId="2D5D7DA0"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有</w:t>
      </w: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於執政黨強推「非核家園」，能源結構過度依賴火力發電與</w:t>
      </w:r>
      <w:proofErr w:type="gramStart"/>
      <w:r w:rsidRPr="001B6E4D">
        <w:rPr>
          <w:rFonts w:ascii="標楷體" w:eastAsia="標楷體" w:hAnsi="標楷體"/>
          <w:color w:val="000000"/>
          <w:sz w:val="28"/>
          <w:szCs w:val="28"/>
        </w:rPr>
        <w:t>昂貴綠能</w:t>
      </w:r>
      <w:proofErr w:type="gramEnd"/>
      <w:r w:rsidRPr="001B6E4D">
        <w:rPr>
          <w:rFonts w:ascii="標楷體" w:eastAsia="標楷體" w:hAnsi="標楷體"/>
          <w:color w:val="000000"/>
          <w:sz w:val="28"/>
          <w:szCs w:val="28"/>
        </w:rPr>
        <w:t>，導致電價執政迄今已調漲6次，廢核代價粗估高達9,000億元。當國人深陷「</w:t>
      </w:r>
      <w:proofErr w:type="gramStart"/>
      <w:r w:rsidRPr="001B6E4D">
        <w:rPr>
          <w:rFonts w:ascii="標楷體" w:eastAsia="標楷體" w:hAnsi="標楷體"/>
          <w:color w:val="000000"/>
          <w:sz w:val="28"/>
          <w:szCs w:val="28"/>
        </w:rPr>
        <w:t>用肺發電</w:t>
      </w:r>
      <w:proofErr w:type="gramEnd"/>
      <w:r w:rsidRPr="001B6E4D">
        <w:rPr>
          <w:rFonts w:ascii="標楷體" w:eastAsia="標楷體" w:hAnsi="標楷體"/>
          <w:color w:val="000000"/>
          <w:sz w:val="28"/>
          <w:szCs w:val="28"/>
        </w:rPr>
        <w:t>」之健康威脅與高物價壓力時，政府卻透過編列高額預算支應公部門水電需求，消弭機關對能源價格上漲之痛感，實屬</w:t>
      </w:r>
      <w:proofErr w:type="gramStart"/>
      <w:r w:rsidRPr="001B6E4D">
        <w:rPr>
          <w:rFonts w:ascii="標楷體" w:eastAsia="標楷體" w:hAnsi="標楷體"/>
          <w:color w:val="000000"/>
          <w:sz w:val="28"/>
          <w:szCs w:val="28"/>
        </w:rPr>
        <w:t>慷</w:t>
      </w:r>
      <w:proofErr w:type="gramEnd"/>
      <w:r w:rsidRPr="001B6E4D">
        <w:rPr>
          <w:rFonts w:ascii="標楷體" w:eastAsia="標楷體" w:hAnsi="標楷體"/>
          <w:color w:val="000000"/>
          <w:sz w:val="28"/>
          <w:szCs w:val="28"/>
        </w:rPr>
        <w:t>全民之</w:t>
      </w:r>
      <w:proofErr w:type="gramStart"/>
      <w:r w:rsidRPr="001B6E4D">
        <w:rPr>
          <w:rFonts w:ascii="標楷體" w:eastAsia="標楷體" w:hAnsi="標楷體"/>
          <w:color w:val="000000"/>
          <w:sz w:val="28"/>
          <w:szCs w:val="28"/>
        </w:rPr>
        <w:t>慨</w:t>
      </w:r>
      <w:proofErr w:type="gramEnd"/>
      <w:r w:rsidRPr="001B6E4D">
        <w:rPr>
          <w:rFonts w:ascii="標楷體" w:eastAsia="標楷體" w:hAnsi="標楷體"/>
          <w:color w:val="000000"/>
          <w:sz w:val="28"/>
          <w:szCs w:val="28"/>
        </w:rPr>
        <w:t>，極度不公。然而面對政府錯誤能源政策，監察院職司</w:t>
      </w:r>
      <w:proofErr w:type="gramStart"/>
      <w:r w:rsidRPr="001B6E4D">
        <w:rPr>
          <w:rFonts w:ascii="標楷體" w:eastAsia="標楷體" w:hAnsi="標楷體"/>
          <w:color w:val="000000"/>
          <w:sz w:val="28"/>
          <w:szCs w:val="28"/>
        </w:rPr>
        <w:t>糾彈官邪</w:t>
      </w:r>
      <w:proofErr w:type="gramEnd"/>
      <w:r w:rsidRPr="001B6E4D">
        <w:rPr>
          <w:rFonts w:ascii="標楷體" w:eastAsia="標楷體" w:hAnsi="標楷體"/>
          <w:color w:val="000000"/>
          <w:sz w:val="28"/>
          <w:szCs w:val="28"/>
        </w:rPr>
        <w:t>，卻對行政部門之能源政策違失噤若寒蟬，無任何實質糾正作為。</w:t>
      </w:r>
    </w:p>
    <w:p w14:paraId="76A930E6"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監察院</w:t>
      </w:r>
      <w:r w:rsidRPr="001B6E4D">
        <w:rPr>
          <w:rFonts w:ascii="標楷體" w:eastAsia="標楷體" w:hAnsi="標楷體" w:hint="eastAsia"/>
          <w:color w:val="000000"/>
          <w:sz w:val="28"/>
          <w:szCs w:val="28"/>
        </w:rPr>
        <w:t>應</w:t>
      </w:r>
      <w:r w:rsidRPr="001B6E4D">
        <w:rPr>
          <w:rFonts w:ascii="標楷體" w:eastAsia="標楷體" w:hAnsi="標楷體"/>
          <w:color w:val="000000"/>
          <w:sz w:val="28"/>
          <w:szCs w:val="28"/>
        </w:rPr>
        <w:t>發揮監督職能以導正國家能源方針，即不應要求受害納稅人為其調增的水電費用買單。為促使監察院正視民間疾苦，</w:t>
      </w:r>
      <w:r w:rsidRPr="001B6E4D">
        <w:rPr>
          <w:rFonts w:ascii="標楷體" w:eastAsia="標楷體" w:hAnsi="標楷體" w:hint="eastAsia"/>
          <w:color w:val="000000"/>
          <w:sz w:val="28"/>
          <w:szCs w:val="28"/>
        </w:rPr>
        <w:t>該院應</w:t>
      </w:r>
      <w:r w:rsidRPr="001B6E4D">
        <w:rPr>
          <w:rFonts w:ascii="標楷體" w:eastAsia="標楷體" w:hAnsi="標楷體"/>
          <w:color w:val="000000"/>
          <w:sz w:val="28"/>
          <w:szCs w:val="28"/>
        </w:rPr>
        <w:t>強化其節約能源</w:t>
      </w:r>
      <w:r w:rsidRPr="001B6E4D">
        <w:rPr>
          <w:rFonts w:ascii="標楷體" w:eastAsia="標楷體" w:hAnsi="標楷體" w:hint="eastAsia"/>
          <w:color w:val="000000"/>
          <w:sz w:val="28"/>
          <w:szCs w:val="28"/>
        </w:rPr>
        <w:t>措施，室內空調溫度不得低於攝氏28度，落實環境永續之目標</w:t>
      </w:r>
      <w:r w:rsidRPr="001B6E4D">
        <w:rPr>
          <w:rFonts w:ascii="標楷體" w:eastAsia="標楷體" w:hAnsi="標楷體"/>
          <w:color w:val="000000"/>
          <w:sz w:val="28"/>
          <w:szCs w:val="28"/>
        </w:rPr>
        <w:t>。【3】</w:t>
      </w:r>
    </w:p>
    <w:p w14:paraId="53C5D639"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提案人：許宇</w:t>
      </w:r>
      <w:proofErr w:type="gramStart"/>
      <w:r w:rsidRPr="001B6E4D">
        <w:rPr>
          <w:rFonts w:ascii="標楷體" w:eastAsia="標楷體" w:hAnsi="標楷體"/>
          <w:color w:val="000000"/>
          <w:sz w:val="28"/>
          <w:szCs w:val="28"/>
        </w:rPr>
        <w:t>甄</w:t>
      </w:r>
      <w:proofErr w:type="gramEnd"/>
    </w:p>
    <w:p w14:paraId="67B82D7C"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1FB5D3A7" w14:textId="77777777" w:rsidR="00705B3D" w:rsidRPr="001B6E4D" w:rsidRDefault="00705B3D" w:rsidP="003D1018">
      <w:pPr>
        <w:pStyle w:val="4"/>
      </w:pPr>
      <w:proofErr w:type="gramStart"/>
      <w:r w:rsidRPr="001B6E4D">
        <w:t>115</w:t>
      </w:r>
      <w:proofErr w:type="gramEnd"/>
      <w:r w:rsidRPr="001B6E4D">
        <w:t>年度監察院預算案於第3目「調查巡察業務」編列預算1,721萬9千元。然而，近來監察院內部有濫用公務車情事，時任秘書長、監察委員利用公務車進行非公務活動。</w:t>
      </w:r>
      <w:proofErr w:type="gramStart"/>
      <w:r w:rsidRPr="001B6E4D">
        <w:t>此外，</w:t>
      </w:r>
      <w:proofErr w:type="gramEnd"/>
      <w:r w:rsidRPr="001B6E4D">
        <w:t>近一年監察院彈劾案中至少有</w:t>
      </w:r>
      <w:r w:rsidRPr="001B6E4D">
        <w:rPr>
          <w:rFonts w:hint="eastAsia"/>
        </w:rPr>
        <w:t>2</w:t>
      </w:r>
      <w:r w:rsidRPr="001B6E4D">
        <w:t>件係官員因「公務車私用」為理由之一遭彈劾，且涉案之監察委員亦曾參與該等彈劾會議，並出具「彈劾成立」意見，顯見其行徑矛盾。依據《監察院監察委員自律規範》第17條規定，監察委員若有違法失職，應經紀律委員會審議並提報院會決議，得為促其注意、警告、道歉、乃至彈劾、移送法辦之處分。然就上述濫用公務車情事，迄今僅見監察院內部依</w:t>
      </w:r>
      <w:proofErr w:type="gramStart"/>
      <w:r w:rsidRPr="001B6E4D">
        <w:t>規</w:t>
      </w:r>
      <w:proofErr w:type="gramEnd"/>
      <w:r w:rsidRPr="001B6E4D">
        <w:t>處理要求道歉。監察院本應以糾舉、彈劾等職權肅清吏治，但自身卻對違法失職行為若無法有效發揮應有功能，</w:t>
      </w:r>
      <w:r w:rsidRPr="001B6E4D">
        <w:rPr>
          <w:rFonts w:hint="eastAsia"/>
        </w:rPr>
        <w:t>恐</w:t>
      </w:r>
      <w:r w:rsidRPr="001B6E4D">
        <w:t>難支持繼續編列相關預算。</w:t>
      </w:r>
    </w:p>
    <w:p w14:paraId="1D856CD6"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請</w:t>
      </w:r>
      <w:r w:rsidRPr="001B6E4D">
        <w:rPr>
          <w:rFonts w:ascii="標楷體" w:eastAsia="標楷體" w:hAnsi="標楷體"/>
          <w:color w:val="000000"/>
          <w:sz w:val="28"/>
          <w:szCs w:val="28"/>
        </w:rPr>
        <w:t>監察院於3個月內向立法院司法及法制委員會提出</w:t>
      </w:r>
      <w:r w:rsidRPr="001B6E4D">
        <w:rPr>
          <w:rFonts w:ascii="標楷體" w:eastAsia="標楷體" w:hAnsi="標楷體" w:hint="eastAsia"/>
          <w:color w:val="000000"/>
          <w:sz w:val="28"/>
          <w:szCs w:val="28"/>
        </w:rPr>
        <w:t>書面</w:t>
      </w:r>
      <w:r w:rsidRPr="001B6E4D">
        <w:rPr>
          <w:rFonts w:ascii="標楷體" w:eastAsia="標楷體" w:hAnsi="標楷體"/>
          <w:color w:val="000000"/>
          <w:sz w:val="28"/>
          <w:szCs w:val="28"/>
        </w:rPr>
        <w:t>報告。【20】</w:t>
      </w:r>
    </w:p>
    <w:p w14:paraId="22AD05F1"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62C9AADE"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6DACE8F4" w14:textId="77777777" w:rsidR="00705B3D" w:rsidRPr="001B6E4D" w:rsidRDefault="00705B3D" w:rsidP="003D1018">
      <w:pPr>
        <w:pStyle w:val="4"/>
      </w:pPr>
      <w:proofErr w:type="gramStart"/>
      <w:r w:rsidRPr="001B6E4D">
        <w:t>115</w:t>
      </w:r>
      <w:proofErr w:type="gramEnd"/>
      <w:r w:rsidRPr="001B6E4D">
        <w:t>年度監察院預算案於第5目「國家人權業務」編列預算1億1,151萬6千元。主要辦理國際人權公約獨立評估意見及監督、人權政策</w:t>
      </w:r>
      <w:proofErr w:type="gramStart"/>
      <w:r w:rsidRPr="001B6E4D">
        <w:t>研</w:t>
      </w:r>
      <w:proofErr w:type="gramEnd"/>
      <w:r w:rsidRPr="001B6E4D">
        <w:t>析、人權報告、系統性訪查、人權陳情申訴、推廣及國際合作交流等業務。惟</w:t>
      </w:r>
      <w:proofErr w:type="gramStart"/>
      <w:r w:rsidRPr="001B6E4D">
        <w:rPr>
          <w:rFonts w:hint="eastAsia"/>
        </w:rPr>
        <w:t>1</w:t>
      </w:r>
      <w:r w:rsidRPr="001B6E4D">
        <w:t>15</w:t>
      </w:r>
      <w:proofErr w:type="gramEnd"/>
      <w:r w:rsidRPr="001B6E4D">
        <w:t>年度監察院歲出預算總額為11億5,418萬4千元，其中「調查巡察業務」僅編列1,721萬9千元，約占</w:t>
      </w:r>
      <w:proofErr w:type="gramStart"/>
      <w:r w:rsidRPr="001B6E4D">
        <w:t>全院歲出</w:t>
      </w:r>
      <w:proofErr w:type="gramEnd"/>
      <w:r w:rsidRPr="001B6E4D">
        <w:t>預算1.49%；相較之下，「國家人權業務」約占9.66%，並達調查巡察業務預算之6.48倍。監察院作為憲法機關，其核心職權在於調查、彈劾、糾舉、糾正及巡察，並藉此發揮對行政權之監督制衡功能。然依監察院所列業務量，</w:t>
      </w:r>
      <w:proofErr w:type="gramStart"/>
      <w:r w:rsidRPr="001B6E4D">
        <w:t>114</w:t>
      </w:r>
      <w:proofErr w:type="gramEnd"/>
      <w:r w:rsidRPr="001B6E4D">
        <w:t>年</w:t>
      </w:r>
      <w:r w:rsidRPr="001B6E4D">
        <w:rPr>
          <w:rFonts w:hint="eastAsia"/>
        </w:rPr>
        <w:t>度</w:t>
      </w:r>
      <w:proofErr w:type="gramStart"/>
      <w:r w:rsidRPr="001B6E4D">
        <w:t>收受書狀</w:t>
      </w:r>
      <w:proofErr w:type="gramEnd"/>
      <w:r w:rsidRPr="001B6E4D">
        <w:t>1</w:t>
      </w:r>
      <w:r w:rsidRPr="001B6E4D">
        <w:rPr>
          <w:rFonts w:hint="eastAsia"/>
        </w:rPr>
        <w:t>萬</w:t>
      </w:r>
      <w:r w:rsidRPr="001B6E4D">
        <w:t>5,546件、提出調查報告254案、成立彈劾案27案、糾正案89案，並函請各機關改善237案，另有中央及地方巡察等業務，顯示核心監察權仍有相當工作量。在此情形下，國家人權業務及相關周邊業務預算比重顯著高於調查巡察業務，恐使外界質疑監察院預算配置與憲政本業之優先順序失衡。監察院允宜就國家人權業務之具體成效、預算配置基準、與調查巡察等核心監察職權間之資源分配關係提出完整說明，並檢討如何避免周邊業務擴張而稀釋核心監察權量能。</w:t>
      </w:r>
    </w:p>
    <w:p w14:paraId="1D71BE78"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hint="eastAsia"/>
          <w:color w:val="000000"/>
          <w:sz w:val="28"/>
          <w:szCs w:val="28"/>
        </w:rPr>
        <w:t>請</w:t>
      </w:r>
      <w:r w:rsidRPr="001B6E4D">
        <w:rPr>
          <w:rFonts w:ascii="標楷體" w:eastAsia="標楷體" w:hAnsi="標楷體"/>
          <w:color w:val="000000"/>
          <w:sz w:val="28"/>
          <w:szCs w:val="28"/>
        </w:rPr>
        <w:t>監察院於3個月內向立法院司法及法制委員會提出</w:t>
      </w:r>
      <w:r w:rsidRPr="001B6E4D">
        <w:rPr>
          <w:rFonts w:ascii="標楷體" w:eastAsia="標楷體" w:hAnsi="標楷體" w:hint="eastAsia"/>
          <w:color w:val="000000"/>
          <w:sz w:val="28"/>
          <w:szCs w:val="28"/>
        </w:rPr>
        <w:t>書面</w:t>
      </w:r>
      <w:r w:rsidRPr="001B6E4D">
        <w:rPr>
          <w:rFonts w:ascii="標楷體" w:eastAsia="標楷體" w:hAnsi="標楷體"/>
          <w:color w:val="000000"/>
          <w:sz w:val="28"/>
          <w:szCs w:val="28"/>
        </w:rPr>
        <w:t>報告。【31】</w:t>
      </w:r>
    </w:p>
    <w:p w14:paraId="2FA4D5BD"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61A88CD3"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1A2F5A57" w14:textId="77777777" w:rsidR="00705B3D" w:rsidRPr="001B6E4D" w:rsidRDefault="00705B3D" w:rsidP="003D1018">
      <w:pPr>
        <w:pStyle w:val="4"/>
      </w:pPr>
      <w:proofErr w:type="gramStart"/>
      <w:r w:rsidRPr="001B6E4D">
        <w:lastRenderedPageBreak/>
        <w:t>115</w:t>
      </w:r>
      <w:proofErr w:type="gramEnd"/>
      <w:r w:rsidRPr="001B6E4D">
        <w:t>年度監察院預算案於第6目「一般建築及設備」第1節「營建工程」編列預算4,367萬3千元。其中包含：1.古蹟及廳舍等修繕工程200</w:t>
      </w:r>
      <w:r w:rsidRPr="001B6E4D">
        <w:rPr>
          <w:rFonts w:hint="eastAsia"/>
        </w:rPr>
        <w:t>萬</w:t>
      </w:r>
      <w:r w:rsidRPr="001B6E4D">
        <w:t>元、2.白蟻防治及木構件回測檢視作業等50</w:t>
      </w:r>
      <w:r w:rsidRPr="001B6E4D">
        <w:rPr>
          <w:rFonts w:hint="eastAsia"/>
        </w:rPr>
        <w:t>萬</w:t>
      </w:r>
      <w:r w:rsidRPr="001B6E4D">
        <w:t>元、3.國定古蹟區域等相關維護工程等413</w:t>
      </w:r>
      <w:r w:rsidRPr="001B6E4D">
        <w:rPr>
          <w:rFonts w:hint="eastAsia"/>
        </w:rPr>
        <w:t>萬</w:t>
      </w:r>
      <w:r w:rsidRPr="001B6E4D">
        <w:t>9千元、4.改善或新建消防系統工程等3,600</w:t>
      </w:r>
      <w:r w:rsidRPr="001B6E4D">
        <w:rPr>
          <w:rFonts w:hint="eastAsia"/>
        </w:rPr>
        <w:t>萬</w:t>
      </w:r>
      <w:r w:rsidRPr="001B6E4D">
        <w:t>元、5.中央空調、通風暨監控等相關系統改善工程等</w:t>
      </w:r>
      <w:r w:rsidRPr="001B6E4D">
        <w:rPr>
          <w:rFonts w:hint="eastAsia"/>
        </w:rPr>
        <w:t>1</w:t>
      </w:r>
      <w:r w:rsidRPr="001B6E4D">
        <w:t>03</w:t>
      </w:r>
      <w:r w:rsidRPr="001B6E4D">
        <w:rPr>
          <w:rFonts w:hint="eastAsia"/>
        </w:rPr>
        <w:t>萬</w:t>
      </w:r>
      <w:r w:rsidRPr="001B6E4D">
        <w:t>4千元。</w:t>
      </w:r>
    </w:p>
    <w:p w14:paraId="25A96D5C"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監察院</w:t>
      </w:r>
      <w:proofErr w:type="gramStart"/>
      <w:r w:rsidRPr="001B6E4D">
        <w:rPr>
          <w:rFonts w:ascii="標楷體" w:eastAsia="標楷體" w:hAnsi="標楷體" w:hint="eastAsia"/>
          <w:color w:val="000000"/>
          <w:sz w:val="28"/>
          <w:szCs w:val="28"/>
        </w:rPr>
        <w:t>115</w:t>
      </w:r>
      <w:proofErr w:type="gramEnd"/>
      <w:r w:rsidRPr="001B6E4D">
        <w:rPr>
          <w:rFonts w:ascii="標楷體" w:eastAsia="標楷體" w:hAnsi="標楷體" w:hint="eastAsia"/>
          <w:color w:val="000000"/>
          <w:sz w:val="28"/>
          <w:szCs w:val="28"/>
        </w:rPr>
        <w:t>年度營建工程預算增加2</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668萬3千元，應確實管控工程進度，避免工程延宕，落實工程品質管理</w:t>
      </w:r>
      <w:proofErr w:type="gramStart"/>
      <w:r w:rsidRPr="001B6E4D">
        <w:rPr>
          <w:rFonts w:ascii="標楷體" w:eastAsia="標楷體" w:hAnsi="標楷體" w:hint="eastAsia"/>
          <w:color w:val="000000"/>
          <w:sz w:val="28"/>
          <w:szCs w:val="28"/>
        </w:rPr>
        <w:t>及職安管理</w:t>
      </w:r>
      <w:proofErr w:type="gramEnd"/>
      <w:r w:rsidRPr="001B6E4D">
        <w:rPr>
          <w:rFonts w:ascii="標楷體" w:eastAsia="標楷體" w:hAnsi="標楷體" w:hint="eastAsia"/>
          <w:color w:val="000000"/>
          <w:sz w:val="28"/>
          <w:szCs w:val="28"/>
        </w:rPr>
        <w:t>，並以書面詳為說明施工項目，提供安全之辦公場域</w:t>
      </w:r>
      <w:r w:rsidRPr="001B6E4D">
        <w:rPr>
          <w:rFonts w:ascii="標楷體" w:eastAsia="標楷體" w:hAnsi="標楷體"/>
          <w:color w:val="000000"/>
          <w:sz w:val="28"/>
          <w:szCs w:val="28"/>
        </w:rPr>
        <w:t>。【36】</w:t>
      </w:r>
    </w:p>
    <w:p w14:paraId="6FD52D4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提案人：陳昭姿</w:t>
      </w:r>
    </w:p>
    <w:p w14:paraId="6036C1E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許宇</w:t>
      </w:r>
      <w:proofErr w:type="gramStart"/>
      <w:r w:rsidRPr="001B6E4D">
        <w:rPr>
          <w:rFonts w:ascii="標楷體" w:eastAsia="標楷體" w:hAnsi="標楷體"/>
          <w:color w:val="000000"/>
          <w:sz w:val="28"/>
          <w:szCs w:val="28"/>
        </w:rPr>
        <w:t>甄</w:t>
      </w:r>
      <w:proofErr w:type="gramEnd"/>
    </w:p>
    <w:p w14:paraId="2FB89A7F" w14:textId="77777777" w:rsidR="00705B3D" w:rsidRPr="001B6E4D" w:rsidRDefault="00705B3D" w:rsidP="003D1018">
      <w:pPr>
        <w:pStyle w:val="4"/>
      </w:pPr>
      <w:proofErr w:type="gramStart"/>
      <w:r w:rsidRPr="001B6E4D">
        <w:t>115</w:t>
      </w:r>
      <w:proofErr w:type="gramEnd"/>
      <w:r w:rsidRPr="001B6E4D">
        <w:t>年度監察院預算案於第6目「一般建築及設備」第1節「營建工程」編列預算4,367萬3千元。其中包含：1.古蹟及廳舍等修繕工程200</w:t>
      </w:r>
      <w:r w:rsidRPr="001B6E4D">
        <w:rPr>
          <w:rFonts w:hint="eastAsia"/>
        </w:rPr>
        <w:t>萬</w:t>
      </w:r>
      <w:r w:rsidRPr="001B6E4D">
        <w:t>元、2.白蟻防治及木構件回測檢視作業等50</w:t>
      </w:r>
      <w:r w:rsidRPr="001B6E4D">
        <w:rPr>
          <w:rFonts w:hint="eastAsia"/>
        </w:rPr>
        <w:t>萬</w:t>
      </w:r>
      <w:r w:rsidRPr="001B6E4D">
        <w:t>元、3.國定古蹟區域等相關維護工程等413</w:t>
      </w:r>
      <w:r w:rsidRPr="001B6E4D">
        <w:rPr>
          <w:rFonts w:hint="eastAsia"/>
        </w:rPr>
        <w:t>萬</w:t>
      </w:r>
      <w:r w:rsidRPr="001B6E4D">
        <w:t>9千元、4.改善或新建消防系統工程等3,600</w:t>
      </w:r>
      <w:r w:rsidRPr="001B6E4D">
        <w:rPr>
          <w:rFonts w:hint="eastAsia"/>
        </w:rPr>
        <w:t>萬</w:t>
      </w:r>
      <w:r w:rsidRPr="001B6E4D">
        <w:t>元、5.中央空調、通風暨監控等相關系統改善工程等103</w:t>
      </w:r>
      <w:r w:rsidRPr="001B6E4D">
        <w:rPr>
          <w:rFonts w:hint="eastAsia"/>
        </w:rPr>
        <w:t>萬</w:t>
      </w:r>
      <w:r w:rsidRPr="001B6E4D">
        <w:t>4千元。</w:t>
      </w:r>
    </w:p>
    <w:p w14:paraId="580BD818"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有</w:t>
      </w: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於監察院國家預算應</w:t>
      </w:r>
      <w:proofErr w:type="gramStart"/>
      <w:r w:rsidRPr="001B6E4D">
        <w:rPr>
          <w:rFonts w:ascii="標楷體" w:eastAsia="標楷體" w:hAnsi="標楷體" w:hint="eastAsia"/>
          <w:color w:val="000000"/>
          <w:sz w:val="28"/>
          <w:szCs w:val="28"/>
        </w:rPr>
        <w:t>撙</w:t>
      </w:r>
      <w:proofErr w:type="gramEnd"/>
      <w:r w:rsidRPr="001B6E4D">
        <w:rPr>
          <w:rFonts w:ascii="標楷體" w:eastAsia="標楷體" w:hAnsi="標楷體"/>
          <w:color w:val="000000"/>
          <w:sz w:val="28"/>
          <w:szCs w:val="28"/>
        </w:rPr>
        <w:t>節，監察院「營建工程」項下「改善或新建消防系統工程等」經費預算3,500萬元，</w:t>
      </w:r>
      <w:r w:rsidRPr="001B6E4D">
        <w:rPr>
          <w:rFonts w:ascii="標楷體" w:eastAsia="標楷體" w:hAnsi="標楷體" w:hint="eastAsia"/>
          <w:color w:val="000000"/>
          <w:sz w:val="28"/>
          <w:szCs w:val="28"/>
        </w:rPr>
        <w:t>工程規模較大，應確實管控工程進度及品質，確保該項工程如期如質完竣，發揮公</w:t>
      </w:r>
      <w:proofErr w:type="gramStart"/>
      <w:r w:rsidRPr="001B6E4D">
        <w:rPr>
          <w:rFonts w:ascii="標楷體" w:eastAsia="標楷體" w:hAnsi="標楷體" w:hint="eastAsia"/>
          <w:color w:val="000000"/>
          <w:sz w:val="28"/>
          <w:szCs w:val="28"/>
        </w:rPr>
        <w:t>帑</w:t>
      </w:r>
      <w:proofErr w:type="gramEnd"/>
      <w:r w:rsidRPr="001B6E4D">
        <w:rPr>
          <w:rFonts w:ascii="標楷體" w:eastAsia="標楷體" w:hAnsi="標楷體" w:hint="eastAsia"/>
          <w:color w:val="000000"/>
          <w:sz w:val="28"/>
          <w:szCs w:val="28"/>
        </w:rPr>
        <w:t>最大效益</w:t>
      </w:r>
      <w:r w:rsidRPr="001B6E4D">
        <w:rPr>
          <w:rFonts w:ascii="標楷體" w:eastAsia="標楷體" w:hAnsi="標楷體"/>
          <w:color w:val="000000"/>
          <w:sz w:val="28"/>
          <w:szCs w:val="28"/>
        </w:rPr>
        <w:t>。【37】</w:t>
      </w:r>
    </w:p>
    <w:p w14:paraId="596E0861"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提案人：陳昭姿</w:t>
      </w:r>
    </w:p>
    <w:p w14:paraId="6D444E2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許宇</w:t>
      </w:r>
      <w:proofErr w:type="gramStart"/>
      <w:r w:rsidRPr="001B6E4D">
        <w:rPr>
          <w:rFonts w:ascii="標楷體" w:eastAsia="標楷體" w:hAnsi="標楷體"/>
          <w:color w:val="000000"/>
          <w:sz w:val="28"/>
          <w:szCs w:val="28"/>
        </w:rPr>
        <w:t>甄</w:t>
      </w:r>
      <w:proofErr w:type="gramEnd"/>
    </w:p>
    <w:p w14:paraId="7076EAA2" w14:textId="77777777" w:rsidR="00705B3D" w:rsidRPr="001B6E4D" w:rsidRDefault="00705B3D" w:rsidP="003D1018">
      <w:pPr>
        <w:pStyle w:val="4"/>
      </w:pPr>
      <w:proofErr w:type="gramStart"/>
      <w:r w:rsidRPr="001B6E4D">
        <w:t>115</w:t>
      </w:r>
      <w:proofErr w:type="gramEnd"/>
      <w:r w:rsidRPr="001B6E4D">
        <w:t>年度監察院預算案於第6目「一般建築及設備」第1節「營建工程」編列預算4,367萬3千元。其中，「房屋建築及設備費」</w:t>
      </w:r>
      <w:proofErr w:type="gramStart"/>
      <w:r w:rsidRPr="001B6E4D">
        <w:rPr>
          <w:rFonts w:hint="eastAsia"/>
        </w:rPr>
        <w:t>115</w:t>
      </w:r>
      <w:proofErr w:type="gramEnd"/>
      <w:r w:rsidRPr="001B6E4D">
        <w:t>年度</w:t>
      </w:r>
      <w:proofErr w:type="gramStart"/>
      <w:r w:rsidRPr="001B6E4D">
        <w:t>遽</w:t>
      </w:r>
      <w:proofErr w:type="gramEnd"/>
      <w:r w:rsidRPr="001B6E4D">
        <w:t>增2,668萬3千元，其中「國定古蹟區域等相關維護工程」</w:t>
      </w:r>
      <w:proofErr w:type="gramStart"/>
      <w:r w:rsidRPr="001B6E4D">
        <w:t>113</w:t>
      </w:r>
      <w:proofErr w:type="gramEnd"/>
      <w:r w:rsidRPr="001B6E4D">
        <w:t>年度編列300萬元，</w:t>
      </w:r>
      <w:proofErr w:type="gramStart"/>
      <w:r w:rsidRPr="001B6E4D">
        <w:t>115</w:t>
      </w:r>
      <w:proofErr w:type="gramEnd"/>
      <w:r w:rsidRPr="001B6E4D">
        <w:t>年度卻增至413萬9千元，增幅高達37.97%；然預算</w:t>
      </w:r>
      <w:proofErr w:type="gramStart"/>
      <w:r w:rsidRPr="001B6E4D">
        <w:t>中尚編有</w:t>
      </w:r>
      <w:proofErr w:type="gramEnd"/>
      <w:r w:rsidRPr="001B6E4D">
        <w:t>「改善或新建消防系統工程」3,600萬元，以及「中央空調、通風暨監控等相關系統改善工程」103萬4千元。於此情況下，例行維護經費無顯然大幅增列之必要。</w:t>
      </w:r>
    </w:p>
    <w:p w14:paraId="1D14392C" w14:textId="77777777" w:rsidR="00705B3D" w:rsidRPr="001B6E4D" w:rsidRDefault="00705B3D" w:rsidP="003D1018">
      <w:pPr>
        <w:overflowPunct w:val="0"/>
        <w:snapToGrid w:val="0"/>
        <w:ind w:left="987" w:firstLineChars="200" w:firstLine="560"/>
        <w:jc w:val="both"/>
        <w:rPr>
          <w:rFonts w:ascii="標楷體" w:eastAsia="標楷體" w:hAnsi="標楷體"/>
          <w:color w:val="000000"/>
          <w:sz w:val="28"/>
          <w:szCs w:val="28"/>
        </w:rPr>
      </w:pP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hint="eastAsia"/>
          <w:color w:val="000000"/>
          <w:sz w:val="28"/>
          <w:szCs w:val="28"/>
        </w:rPr>
        <w:t>於</w:t>
      </w:r>
      <w:r w:rsidRPr="001B6E4D">
        <w:rPr>
          <w:rFonts w:ascii="標楷體" w:eastAsia="標楷體" w:hAnsi="標楷體"/>
          <w:color w:val="000000"/>
          <w:sz w:val="28"/>
          <w:szCs w:val="28"/>
        </w:rPr>
        <w:t>監察院</w:t>
      </w:r>
      <w:proofErr w:type="gramStart"/>
      <w:r w:rsidRPr="001B6E4D">
        <w:rPr>
          <w:rFonts w:ascii="標楷體" w:eastAsia="標楷體" w:hAnsi="標楷體" w:hint="eastAsia"/>
          <w:color w:val="000000"/>
          <w:sz w:val="28"/>
          <w:szCs w:val="28"/>
        </w:rPr>
        <w:t>115</w:t>
      </w:r>
      <w:proofErr w:type="gramEnd"/>
      <w:r w:rsidRPr="001B6E4D">
        <w:rPr>
          <w:rFonts w:ascii="標楷體" w:eastAsia="標楷體" w:hAnsi="標楷體" w:hint="eastAsia"/>
          <w:color w:val="000000"/>
          <w:sz w:val="28"/>
          <w:szCs w:val="28"/>
        </w:rPr>
        <w:t>年度營建工程預算高達4</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367萬3千元，雖有其</w:t>
      </w:r>
      <w:proofErr w:type="gramStart"/>
      <w:r w:rsidRPr="001B6E4D">
        <w:rPr>
          <w:rFonts w:ascii="標楷體" w:eastAsia="標楷體" w:hAnsi="標楷體" w:hint="eastAsia"/>
          <w:color w:val="000000"/>
          <w:sz w:val="28"/>
          <w:szCs w:val="28"/>
        </w:rPr>
        <w:t>汰</w:t>
      </w:r>
      <w:proofErr w:type="gramEnd"/>
      <w:r w:rsidRPr="001B6E4D">
        <w:rPr>
          <w:rFonts w:ascii="標楷體" w:eastAsia="標楷體" w:hAnsi="標楷體" w:hint="eastAsia"/>
          <w:color w:val="000000"/>
          <w:sz w:val="28"/>
          <w:szCs w:val="28"/>
        </w:rPr>
        <w:t>換及修繕之必要，惟應落實三級品管機制，如期如質完工。</w:t>
      </w:r>
      <w:r w:rsidRPr="001B6E4D">
        <w:rPr>
          <w:rFonts w:ascii="標楷體" w:eastAsia="標楷體" w:hAnsi="標楷體"/>
          <w:color w:val="000000"/>
          <w:sz w:val="28"/>
          <w:szCs w:val="28"/>
        </w:rPr>
        <w:t>【38】</w:t>
      </w:r>
    </w:p>
    <w:p w14:paraId="2BE20B4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19D66DEB"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林沛祥</w:t>
      </w:r>
    </w:p>
    <w:p w14:paraId="524397C7" w14:textId="77777777" w:rsidR="00705B3D" w:rsidRPr="001B6E4D" w:rsidRDefault="00705B3D" w:rsidP="003D1018">
      <w:pPr>
        <w:pStyle w:val="4"/>
      </w:pPr>
      <w:r w:rsidRPr="001B6E4D">
        <w:t>有</w:t>
      </w:r>
      <w:proofErr w:type="gramStart"/>
      <w:r w:rsidRPr="001B6E4D">
        <w:t>鑑</w:t>
      </w:r>
      <w:proofErr w:type="gramEnd"/>
      <w:r w:rsidRPr="001B6E4D">
        <w:t>於監察院國家人權委員會自2020年成立以來，連續多年編列「國家人權業務」計畫經費</w:t>
      </w:r>
      <w:proofErr w:type="gramStart"/>
      <w:r w:rsidRPr="001B6E4D">
        <w:t>均逾新</w:t>
      </w:r>
      <w:proofErr w:type="gramEnd"/>
      <w:r w:rsidRPr="001B6E4D">
        <w:t>臺幣1億元，且近年於「規劃、評估與研究」、「訪視、調查與合作」及「教育、推</w:t>
      </w:r>
      <w:r w:rsidRPr="001B6E4D">
        <w:lastRenderedPageBreak/>
        <w:t>廣與交流」三大面向</w:t>
      </w:r>
      <w:proofErr w:type="gramStart"/>
      <w:r w:rsidRPr="001B6E4D">
        <w:t>預算均有顯著</w:t>
      </w:r>
      <w:proofErr w:type="gramEnd"/>
      <w:r w:rsidRPr="001B6E4D">
        <w:t>成長，惟相關經費配置與實際執行成果，社會各界尚難具體檢視其成效，亦有資源配置偏重研究、倡議或交流活動，而相對忽略制度改善及個案救濟之疑慮。</w:t>
      </w:r>
    </w:p>
    <w:p w14:paraId="06228B1B"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另查該會所提2023至2026年中程策略計畫，涵蓋四大策略及</w:t>
      </w:r>
      <w:r w:rsidRPr="001B6E4D">
        <w:rPr>
          <w:rFonts w:ascii="標楷體" w:eastAsia="標楷體" w:hAnsi="標楷體" w:hint="eastAsia"/>
          <w:color w:val="000000"/>
          <w:sz w:val="28"/>
          <w:szCs w:val="28"/>
        </w:rPr>
        <w:t>21</w:t>
      </w:r>
      <w:r w:rsidRPr="001B6E4D">
        <w:rPr>
          <w:rFonts w:ascii="標楷體" w:eastAsia="標楷體" w:hAnsi="標楷體"/>
          <w:color w:val="000000"/>
          <w:sz w:val="28"/>
          <w:szCs w:val="28"/>
        </w:rPr>
        <w:t>項議題，</w:t>
      </w:r>
      <w:proofErr w:type="gramStart"/>
      <w:r w:rsidRPr="001B6E4D">
        <w:rPr>
          <w:rFonts w:ascii="標楷體" w:eastAsia="標楷體" w:hAnsi="標楷體"/>
          <w:color w:val="000000"/>
          <w:sz w:val="28"/>
          <w:szCs w:val="28"/>
        </w:rPr>
        <w:t>攸</w:t>
      </w:r>
      <w:proofErr w:type="gramEnd"/>
      <w:r w:rsidRPr="001B6E4D">
        <w:rPr>
          <w:rFonts w:ascii="標楷體" w:eastAsia="標楷體" w:hAnsi="標楷體"/>
          <w:color w:val="000000"/>
          <w:sz w:val="28"/>
          <w:szCs w:val="28"/>
        </w:rPr>
        <w:t>關我國人權政策整體推動方向，其執行進度、績效指標及落實情形，允應強化對外揭露與定期檢討機制，以確保政策推動具體可行並達成實質人權保障目標。</w:t>
      </w:r>
    </w:p>
    <w:p w14:paraId="763F4E2B"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此，針對2023至2026年中程策略計畫（四大策略及</w:t>
      </w:r>
      <w:r w:rsidRPr="001B6E4D">
        <w:rPr>
          <w:rFonts w:ascii="標楷體" w:eastAsia="標楷體" w:hAnsi="標楷體" w:hint="eastAsia"/>
          <w:color w:val="000000"/>
          <w:sz w:val="28"/>
          <w:szCs w:val="28"/>
        </w:rPr>
        <w:t>21</w:t>
      </w:r>
      <w:r w:rsidRPr="001B6E4D">
        <w:rPr>
          <w:rFonts w:ascii="標楷體" w:eastAsia="標楷體" w:hAnsi="標楷體"/>
          <w:color w:val="000000"/>
          <w:sz w:val="28"/>
          <w:szCs w:val="28"/>
        </w:rPr>
        <w:t>項議題），提出各項目目前執行進度、階段性成果及落後項目之檢討與改善機制，於</w:t>
      </w:r>
      <w:r w:rsidRPr="001B6E4D">
        <w:rPr>
          <w:rFonts w:ascii="標楷體" w:eastAsia="標楷體" w:hAnsi="標楷體" w:hint="eastAsia"/>
          <w:color w:val="000000"/>
          <w:sz w:val="28"/>
          <w:szCs w:val="28"/>
        </w:rPr>
        <w:t>3</w:t>
      </w:r>
      <w:r w:rsidRPr="001B6E4D">
        <w:rPr>
          <w:rFonts w:ascii="標楷體" w:eastAsia="標楷體" w:hAnsi="標楷體"/>
          <w:color w:val="000000"/>
          <w:sz w:val="28"/>
          <w:szCs w:val="28"/>
        </w:rPr>
        <w:t>個月內提送書面報告予</w:t>
      </w:r>
      <w:bookmarkStart w:id="516" w:name="_Hlk229413425"/>
      <w:r w:rsidRPr="001B6E4D">
        <w:rPr>
          <w:rFonts w:ascii="標楷體" w:eastAsia="標楷體" w:hAnsi="標楷體" w:hint="eastAsia"/>
          <w:color w:val="000000"/>
          <w:sz w:val="28"/>
          <w:szCs w:val="28"/>
        </w:rPr>
        <w:t>立法院</w:t>
      </w:r>
      <w:bookmarkEnd w:id="516"/>
      <w:r w:rsidRPr="001B6E4D">
        <w:rPr>
          <w:rFonts w:ascii="標楷體" w:eastAsia="標楷體" w:hAnsi="標楷體"/>
          <w:color w:val="000000"/>
          <w:sz w:val="28"/>
          <w:szCs w:val="28"/>
        </w:rPr>
        <w:t>司法及法制委員會</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【39】</w:t>
      </w:r>
    </w:p>
    <w:p w14:paraId="75A6ACC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163F0A2A"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　沈發惠</w:t>
      </w:r>
    </w:p>
    <w:p w14:paraId="0B75A5D5" w14:textId="77777777" w:rsidR="00705B3D" w:rsidRPr="001B6E4D" w:rsidRDefault="00705B3D" w:rsidP="003D1018">
      <w:pPr>
        <w:pStyle w:val="4"/>
      </w:pPr>
      <w:proofErr w:type="gramStart"/>
      <w:r w:rsidRPr="001B6E4D">
        <w:t>鑑</w:t>
      </w:r>
      <w:proofErr w:type="gramEnd"/>
      <w:r w:rsidRPr="001B6E4D">
        <w:t>於監察院依《監察法》第3條辦理分區巡察及相關調查業務，</w:t>
      </w:r>
      <w:proofErr w:type="gramStart"/>
      <w:r w:rsidRPr="001B6E4D">
        <w:rPr>
          <w:rFonts w:hint="eastAsia"/>
        </w:rPr>
        <w:t>115</w:t>
      </w:r>
      <w:proofErr w:type="gramEnd"/>
      <w:r w:rsidRPr="001B6E4D">
        <w:rPr>
          <w:rFonts w:hint="eastAsia"/>
        </w:rPr>
        <w:t>年度監察院預算案於第3目「調查巡察業務」</w:t>
      </w:r>
      <w:r w:rsidRPr="001B6E4D">
        <w:t>編列辦理調查巡察所需專家學者出席費、物品及委員國外考察等經費合計1,721萬元，其中委員赴國外巡察駐外機關之旅費即達265萬元。</w:t>
      </w:r>
    </w:p>
    <w:p w14:paraId="3B67952D"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相關出國巡察之必要性、執行內容及實際成效，外界難以具體檢視，亦欠缺明確績效評估與成果揭露機制，恐有流於形式考察之疑慮，影響預算使用之正當性與社會信賴。</w:t>
      </w:r>
    </w:p>
    <w:p w14:paraId="0FD2AD0D"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此，建請監察院於</w:t>
      </w:r>
      <w:r w:rsidRPr="001B6E4D">
        <w:rPr>
          <w:rFonts w:ascii="標楷體" w:eastAsia="標楷體" w:hAnsi="標楷體" w:hint="eastAsia"/>
          <w:color w:val="000000"/>
          <w:sz w:val="28"/>
          <w:szCs w:val="28"/>
        </w:rPr>
        <w:t>3</w:t>
      </w:r>
      <w:r w:rsidRPr="001B6E4D">
        <w:rPr>
          <w:rFonts w:ascii="標楷體" w:eastAsia="標楷體" w:hAnsi="標楷體"/>
          <w:color w:val="000000"/>
          <w:sz w:val="28"/>
          <w:szCs w:val="28"/>
        </w:rPr>
        <w:t>個月內提送書面報告予</w:t>
      </w:r>
      <w:r w:rsidRPr="001B6E4D">
        <w:rPr>
          <w:rFonts w:ascii="標楷體" w:eastAsia="標楷體" w:hAnsi="標楷體" w:hint="eastAsia"/>
          <w:color w:val="000000"/>
          <w:sz w:val="28"/>
          <w:szCs w:val="28"/>
        </w:rPr>
        <w:t>立法院</w:t>
      </w:r>
      <w:r w:rsidRPr="001B6E4D">
        <w:rPr>
          <w:rFonts w:ascii="標楷體" w:eastAsia="標楷體" w:hAnsi="標楷體"/>
          <w:color w:val="000000"/>
          <w:sz w:val="28"/>
          <w:szCs w:val="28"/>
        </w:rPr>
        <w:t>司法及法制委員會：</w:t>
      </w:r>
    </w:p>
    <w:p w14:paraId="20458D10" w14:textId="77777777" w:rsidR="00705B3D" w:rsidRPr="001B6E4D" w:rsidRDefault="00705B3D" w:rsidP="003D1018">
      <w:pPr>
        <w:pStyle w:val="afffffffffd"/>
        <w:overflowPunct w:val="0"/>
        <w:ind w:leftChars="35" w:left="1344" w:hangingChars="450" w:hanging="1260"/>
      </w:pPr>
      <w:r w:rsidRPr="001B6E4D">
        <w:rPr>
          <w:rFonts w:hint="eastAsia"/>
        </w:rPr>
        <w:t xml:space="preserve">       1.</w:t>
      </w:r>
      <w:r w:rsidRPr="001B6E4D">
        <w:t>近三年辦理國外巡察之案件數、地點、目的及具體行程內容，並說明其與監察職權之關聯性與必要性。</w:t>
      </w:r>
    </w:p>
    <w:p w14:paraId="27416147" w14:textId="77777777" w:rsidR="00705B3D" w:rsidRPr="001B6E4D" w:rsidRDefault="00705B3D" w:rsidP="003D1018">
      <w:pPr>
        <w:pStyle w:val="afffffffffd"/>
        <w:overflowPunct w:val="0"/>
        <w:ind w:leftChars="35" w:left="1344" w:hangingChars="450" w:hanging="1260"/>
      </w:pPr>
      <w:r w:rsidRPr="001B6E4D">
        <w:rPr>
          <w:rFonts w:hint="eastAsia"/>
        </w:rPr>
        <w:t xml:space="preserve">       2.</w:t>
      </w:r>
      <w:r w:rsidRPr="001B6E4D">
        <w:t>各次國外巡察之具體成果，應包含對駐外機關運作之監督發現、缺失改善建議及後續追蹤辦理情形。【40】</w:t>
      </w:r>
    </w:p>
    <w:p w14:paraId="123D98B1"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6017851B"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　沈發惠</w:t>
      </w:r>
    </w:p>
    <w:p w14:paraId="015A4F9A" w14:textId="77777777" w:rsidR="00705B3D" w:rsidRPr="001B6E4D" w:rsidRDefault="00705B3D" w:rsidP="003D1018">
      <w:pPr>
        <w:widowControl w:val="0"/>
        <w:numPr>
          <w:ilvl w:val="0"/>
          <w:numId w:val="51"/>
        </w:numPr>
        <w:overflowPunct w:val="0"/>
        <w:snapToGrid w:val="0"/>
        <w:spacing w:line="380" w:lineRule="exact"/>
        <w:ind w:leftChars="200" w:left="1040" w:hangingChars="200" w:hanging="560"/>
        <w:jc w:val="both"/>
        <w:rPr>
          <w:rFonts w:ascii="標楷體" w:eastAsia="標楷體" w:hAnsi="標楷體"/>
          <w:color w:val="000000"/>
          <w:sz w:val="28"/>
          <w:szCs w:val="28"/>
        </w:rPr>
      </w:pPr>
      <w:r w:rsidRPr="001B6E4D">
        <w:rPr>
          <w:rFonts w:ascii="標楷體" w:eastAsia="標楷體" w:hAnsi="標楷體"/>
          <w:color w:val="000000"/>
          <w:sz w:val="28"/>
          <w:szCs w:val="28"/>
        </w:rPr>
        <w:t>查「文</w:t>
      </w:r>
      <w:r w:rsidRPr="001B6E4D">
        <w:rPr>
          <w:rFonts w:ascii="標楷體" w:eastAsia="標楷體" w:hAnsi="標楷體" w:hint="eastAsia"/>
          <w:color w:val="000000"/>
          <w:sz w:val="28"/>
          <w:szCs w:val="28"/>
        </w:rPr>
        <w:t>化</w:t>
      </w:r>
      <w:r w:rsidRPr="001B6E4D">
        <w:rPr>
          <w:rFonts w:ascii="標楷體" w:eastAsia="標楷體" w:hAnsi="標楷體"/>
          <w:color w:val="000000"/>
          <w:sz w:val="28"/>
          <w:szCs w:val="28"/>
        </w:rPr>
        <w:t>資</w:t>
      </w:r>
      <w:r w:rsidRPr="001B6E4D">
        <w:rPr>
          <w:rFonts w:ascii="標楷體" w:eastAsia="標楷體" w:hAnsi="標楷體" w:hint="eastAsia"/>
          <w:color w:val="000000"/>
          <w:sz w:val="28"/>
          <w:szCs w:val="28"/>
        </w:rPr>
        <w:t>產保存</w:t>
      </w:r>
      <w:r w:rsidRPr="001B6E4D">
        <w:rPr>
          <w:rFonts w:ascii="標楷體" w:eastAsia="標楷體" w:hAnsi="標楷體"/>
          <w:color w:val="000000"/>
          <w:sz w:val="28"/>
          <w:szCs w:val="28"/>
        </w:rPr>
        <w:t>法之父」陳奇祿與「台灣島史觀」提出者曹永和之溫州街故居，分別於2024、2025年遭宣告「</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具文資價值」後火速拆除，引發社會對文資保存意識退步之強烈質疑。</w:t>
      </w:r>
    </w:p>
    <w:p w14:paraId="00AC84EA"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兩位前輩對臺灣學術與文化保存具奠基性貢獻，其故居性質顯與《古蹟指定及廢止審查辦法》及《歷史建築紀念建築登錄廢止審查及輔助辦法》中所稱「與歷史文化有重要貢獻人物具高度關聯」之要件相符，且其建物形式「</w:t>
      </w:r>
      <w:proofErr w:type="gramStart"/>
      <w:r w:rsidRPr="001B6E4D">
        <w:rPr>
          <w:rFonts w:ascii="標楷體" w:eastAsia="標楷體" w:hAnsi="標楷體"/>
          <w:color w:val="000000"/>
          <w:sz w:val="28"/>
          <w:szCs w:val="28"/>
        </w:rPr>
        <w:t>判任官</w:t>
      </w:r>
      <w:proofErr w:type="gramEnd"/>
      <w:r w:rsidRPr="001B6E4D">
        <w:rPr>
          <w:rFonts w:ascii="標楷體" w:eastAsia="標楷體" w:hAnsi="標楷體"/>
          <w:color w:val="000000"/>
          <w:sz w:val="28"/>
          <w:szCs w:val="28"/>
        </w:rPr>
        <w:t>乙種官舍」具地域風貌特色。然相關審議結果卻否定其文資價值，顯示現</w:t>
      </w:r>
      <w:r w:rsidRPr="001B6E4D">
        <w:rPr>
          <w:rFonts w:ascii="標楷體" w:eastAsia="標楷體" w:hAnsi="標楷體"/>
          <w:color w:val="000000"/>
          <w:sz w:val="28"/>
          <w:szCs w:val="28"/>
        </w:rPr>
        <w:lastRenderedPageBreak/>
        <w:t>行審議機制對於歷史精神指標之認定有待檢視，恐造成台灣文化記憶之系統性流失。</w:t>
      </w:r>
    </w:p>
    <w:p w14:paraId="7573C0CC"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次查，監察院雖曾針對國立臺灣大學文資維護案提出調查意見，指出校方坐擁369棟50年以上建物，卻採取「消極維護、積極拆除」之策略；台大校務基金規模超過200億元，投入文資維護之經費比例竟低於</w:t>
      </w:r>
      <w:r w:rsidRPr="001B6E4D">
        <w:rPr>
          <w:rFonts w:ascii="標楷體" w:eastAsia="標楷體" w:hAnsi="標楷體" w:hint="eastAsia"/>
          <w:color w:val="000000"/>
          <w:sz w:val="28"/>
          <w:szCs w:val="28"/>
        </w:rPr>
        <w:t>0.</w:t>
      </w:r>
      <w:r w:rsidRPr="001B6E4D">
        <w:rPr>
          <w:rFonts w:ascii="標楷體" w:eastAsia="標楷體" w:hAnsi="標楷體"/>
          <w:color w:val="000000"/>
          <w:sz w:val="28"/>
          <w:szCs w:val="28"/>
        </w:rPr>
        <w:t>3%，且在監察院介入調查</w:t>
      </w:r>
      <w:proofErr w:type="gramStart"/>
      <w:r w:rsidRPr="001B6E4D">
        <w:rPr>
          <w:rFonts w:ascii="標楷體" w:eastAsia="標楷體" w:hAnsi="標楷體"/>
          <w:color w:val="000000"/>
          <w:sz w:val="28"/>
          <w:szCs w:val="28"/>
        </w:rPr>
        <w:t>期間，</w:t>
      </w:r>
      <w:proofErr w:type="gramEnd"/>
      <w:r w:rsidRPr="001B6E4D">
        <w:rPr>
          <w:rFonts w:ascii="標楷體" w:eastAsia="標楷體" w:hAnsi="標楷體"/>
          <w:color w:val="000000"/>
          <w:sz w:val="28"/>
          <w:szCs w:val="28"/>
        </w:rPr>
        <w:t>仍以「安全」為由加速拆除具重要文化意義之故居，顯見校方對於文化資產之保存義務缺乏責任感。</w:t>
      </w:r>
    </w:p>
    <w:p w14:paraId="74B85BDC"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此舉不僅是對臺灣文化記憶的刪除，更是對監察權行使的公然蔑視。監察院作為國家最高監察機關，若僅止於提出調查意見而無後續強力監督或糾正手段，恐使監察職權流於形式，難以捍衛公共利益與文化正義。</w:t>
      </w:r>
    </w:p>
    <w:p w14:paraId="5FA90147"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此，為落實監察職權並回應社會對於文資保存之急切期待，建請監察院應就本案展現積極監督立場</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針對</w:t>
      </w:r>
      <w:r w:rsidRPr="001B6E4D">
        <w:rPr>
          <w:rFonts w:ascii="標楷體" w:eastAsia="標楷體" w:hAnsi="標楷體" w:hint="eastAsia"/>
          <w:color w:val="000000"/>
          <w:sz w:val="28"/>
          <w:szCs w:val="28"/>
        </w:rPr>
        <w:t>國立臺灣大學</w:t>
      </w:r>
      <w:r w:rsidRPr="001B6E4D">
        <w:rPr>
          <w:rFonts w:ascii="標楷體" w:eastAsia="標楷體" w:hAnsi="標楷體"/>
          <w:color w:val="000000"/>
          <w:sz w:val="28"/>
          <w:szCs w:val="28"/>
        </w:rPr>
        <w:t>校方及文化主管機關是否涉及行政怠惰或無視監察意見等情事，以及後續如何強化文資保存之監督機制，於</w:t>
      </w:r>
      <w:r w:rsidRPr="001B6E4D">
        <w:rPr>
          <w:rFonts w:ascii="標楷體" w:eastAsia="標楷體" w:hAnsi="標楷體" w:hint="eastAsia"/>
          <w:color w:val="000000"/>
          <w:sz w:val="28"/>
          <w:szCs w:val="28"/>
        </w:rPr>
        <w:t>3</w:t>
      </w:r>
      <w:r w:rsidRPr="001B6E4D">
        <w:rPr>
          <w:rFonts w:ascii="標楷體" w:eastAsia="標楷體" w:hAnsi="標楷體"/>
          <w:color w:val="000000"/>
          <w:sz w:val="28"/>
          <w:szCs w:val="28"/>
        </w:rPr>
        <w:t>個月內向立法院司法及法制委員會提出書面報告。【41】</w:t>
      </w:r>
    </w:p>
    <w:p w14:paraId="71A2F27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133C6167"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　沈發惠</w:t>
      </w:r>
    </w:p>
    <w:p w14:paraId="0E71594E" w14:textId="77777777" w:rsidR="00705B3D" w:rsidRPr="001B6E4D" w:rsidRDefault="00705B3D" w:rsidP="003D1018">
      <w:pPr>
        <w:widowControl w:val="0"/>
        <w:numPr>
          <w:ilvl w:val="0"/>
          <w:numId w:val="51"/>
        </w:numPr>
        <w:overflowPunct w:val="0"/>
        <w:snapToGrid w:val="0"/>
        <w:spacing w:line="380" w:lineRule="exact"/>
        <w:ind w:leftChars="200" w:left="1040" w:hangingChars="200" w:hanging="560"/>
        <w:jc w:val="both"/>
        <w:rPr>
          <w:rFonts w:ascii="標楷體" w:eastAsia="標楷體" w:hAnsi="標楷體"/>
          <w:color w:val="000000"/>
          <w:sz w:val="28"/>
          <w:szCs w:val="28"/>
        </w:rPr>
      </w:pP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color w:val="000000"/>
          <w:sz w:val="28"/>
          <w:szCs w:val="28"/>
        </w:rPr>
        <w:t>於監察院針對數位轉型推動進度，允諾將持續導入數位技術、試辦生成式AI應用及建構電子化環境。</w:t>
      </w:r>
      <w:proofErr w:type="gramStart"/>
      <w:r w:rsidRPr="001B6E4D">
        <w:rPr>
          <w:rFonts w:ascii="標楷體" w:eastAsia="標楷體" w:hAnsi="標楷體"/>
          <w:color w:val="000000"/>
          <w:sz w:val="28"/>
          <w:szCs w:val="28"/>
        </w:rPr>
        <w:t>惟查</w:t>
      </w:r>
      <w:proofErr w:type="gramEnd"/>
      <w:r w:rsidRPr="001B6E4D">
        <w:rPr>
          <w:rFonts w:ascii="標楷體" w:eastAsia="標楷體" w:hAnsi="標楷體"/>
          <w:color w:val="000000"/>
          <w:sz w:val="28"/>
          <w:szCs w:val="28"/>
        </w:rPr>
        <w:t>，監察院依法</w:t>
      </w:r>
      <w:proofErr w:type="gramStart"/>
      <w:r w:rsidRPr="001B6E4D">
        <w:rPr>
          <w:rFonts w:ascii="標楷體" w:eastAsia="標楷體" w:hAnsi="標楷體"/>
          <w:color w:val="000000"/>
          <w:sz w:val="28"/>
          <w:szCs w:val="28"/>
        </w:rPr>
        <w:t>掌理糾舉</w:t>
      </w:r>
      <w:proofErr w:type="gramEnd"/>
      <w:r w:rsidRPr="001B6E4D">
        <w:rPr>
          <w:rFonts w:ascii="標楷體" w:eastAsia="標楷體" w:hAnsi="標楷體"/>
          <w:color w:val="000000"/>
          <w:sz w:val="28"/>
          <w:szCs w:val="28"/>
        </w:rPr>
        <w:t>彈劾、財產申報及民眾陳情等高度機敏資料，導入大數據分析與生成式AI</w:t>
      </w:r>
      <w:proofErr w:type="gramStart"/>
      <w:r w:rsidRPr="001B6E4D">
        <w:rPr>
          <w:rFonts w:ascii="標楷體" w:eastAsia="標楷體" w:hAnsi="標楷體"/>
          <w:color w:val="000000"/>
          <w:sz w:val="28"/>
          <w:szCs w:val="28"/>
        </w:rPr>
        <w:t>技術固能提升</w:t>
      </w:r>
      <w:proofErr w:type="gramEnd"/>
      <w:r w:rsidRPr="001B6E4D">
        <w:rPr>
          <w:rFonts w:ascii="標楷體" w:eastAsia="標楷體" w:hAnsi="標楷體"/>
          <w:color w:val="000000"/>
          <w:sz w:val="28"/>
          <w:szCs w:val="28"/>
        </w:rPr>
        <w:t>辦案效能，然若未完備AI治理規範與</w:t>
      </w:r>
      <w:proofErr w:type="gramStart"/>
      <w:r w:rsidRPr="001B6E4D">
        <w:rPr>
          <w:rFonts w:ascii="標楷體" w:eastAsia="標楷體" w:hAnsi="標楷體"/>
          <w:color w:val="000000"/>
          <w:sz w:val="28"/>
          <w:szCs w:val="28"/>
        </w:rPr>
        <w:t>資料脫敏機制</w:t>
      </w:r>
      <w:proofErr w:type="gramEnd"/>
      <w:r w:rsidRPr="001B6E4D">
        <w:rPr>
          <w:rFonts w:ascii="標楷體" w:eastAsia="標楷體" w:hAnsi="標楷體"/>
          <w:color w:val="000000"/>
          <w:sz w:val="28"/>
          <w:szCs w:val="28"/>
        </w:rPr>
        <w:t>，極易衍生國家機密外</w:t>
      </w:r>
      <w:proofErr w:type="gramStart"/>
      <w:r w:rsidRPr="001B6E4D">
        <w:rPr>
          <w:rFonts w:ascii="標楷體" w:eastAsia="標楷體" w:hAnsi="標楷體"/>
          <w:color w:val="000000"/>
          <w:sz w:val="28"/>
          <w:szCs w:val="28"/>
        </w:rPr>
        <w:t>洩</w:t>
      </w:r>
      <w:proofErr w:type="gramEnd"/>
      <w:r w:rsidRPr="001B6E4D">
        <w:rPr>
          <w:rFonts w:ascii="標楷體" w:eastAsia="標楷體" w:hAnsi="標楷體"/>
          <w:color w:val="000000"/>
          <w:sz w:val="28"/>
          <w:szCs w:val="28"/>
        </w:rPr>
        <w:t>或侵害個資之</w:t>
      </w:r>
      <w:proofErr w:type="gramStart"/>
      <w:r w:rsidRPr="001B6E4D">
        <w:rPr>
          <w:rFonts w:ascii="標楷體" w:eastAsia="標楷體" w:hAnsi="標楷體"/>
          <w:color w:val="000000"/>
          <w:sz w:val="28"/>
          <w:szCs w:val="28"/>
        </w:rPr>
        <w:t>重大資安風險</w:t>
      </w:r>
      <w:proofErr w:type="gramEnd"/>
      <w:r w:rsidRPr="001B6E4D">
        <w:rPr>
          <w:rFonts w:ascii="標楷體" w:eastAsia="標楷體" w:hAnsi="標楷體"/>
          <w:color w:val="000000"/>
          <w:sz w:val="28"/>
          <w:szCs w:val="28"/>
        </w:rPr>
        <w:t>。</w:t>
      </w:r>
    </w:p>
    <w:p w14:paraId="2D7BB13F"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復查，機關數位轉型非僅止於軟硬體採購，其實質成效允應具體反映於調查期程縮減、跨部會</w:t>
      </w:r>
      <w:proofErr w:type="gramStart"/>
      <w:r w:rsidRPr="001B6E4D">
        <w:rPr>
          <w:rFonts w:ascii="標楷體" w:eastAsia="標楷體" w:hAnsi="標楷體"/>
          <w:color w:val="000000"/>
          <w:sz w:val="28"/>
          <w:szCs w:val="28"/>
        </w:rPr>
        <w:t>協作提效及防偽與數位</w:t>
      </w:r>
      <w:proofErr w:type="gramEnd"/>
      <w:r w:rsidRPr="001B6E4D">
        <w:rPr>
          <w:rFonts w:ascii="標楷體" w:eastAsia="標楷體" w:hAnsi="標楷體"/>
          <w:color w:val="000000"/>
          <w:sz w:val="28"/>
          <w:szCs w:val="28"/>
        </w:rPr>
        <w:t>跡證查核能力之提升。為防杜數位轉型流於形式，確保監察權行使兼顧智慧化與</w:t>
      </w:r>
      <w:proofErr w:type="gramStart"/>
      <w:r w:rsidRPr="001B6E4D">
        <w:rPr>
          <w:rFonts w:ascii="標楷體" w:eastAsia="標楷體" w:hAnsi="標楷體"/>
          <w:color w:val="000000"/>
          <w:sz w:val="28"/>
          <w:szCs w:val="28"/>
        </w:rPr>
        <w:t>嚴密資安防護</w:t>
      </w:r>
      <w:proofErr w:type="gramEnd"/>
      <w:r w:rsidRPr="001B6E4D">
        <w:rPr>
          <w:rFonts w:ascii="標楷體" w:eastAsia="標楷體" w:hAnsi="標楷體"/>
          <w:color w:val="000000"/>
          <w:sz w:val="28"/>
          <w:szCs w:val="28"/>
        </w:rPr>
        <w:t>，監察院應</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擬監察業務之</w:t>
      </w:r>
      <w:proofErr w:type="gramStart"/>
      <w:r w:rsidRPr="001B6E4D">
        <w:rPr>
          <w:rFonts w:ascii="標楷體" w:eastAsia="標楷體" w:hAnsi="標楷體"/>
          <w:color w:val="000000"/>
          <w:sz w:val="28"/>
          <w:szCs w:val="28"/>
        </w:rPr>
        <w:t>專屬資安治理</w:t>
      </w:r>
      <w:proofErr w:type="gramEnd"/>
      <w:r w:rsidRPr="001B6E4D">
        <w:rPr>
          <w:rFonts w:ascii="標楷體" w:eastAsia="標楷體" w:hAnsi="標楷體"/>
          <w:color w:val="000000"/>
          <w:sz w:val="28"/>
          <w:szCs w:val="28"/>
        </w:rPr>
        <w:t>準則，暨防止調查資料外流之具體作為；另應具體量化評估電子化案件管理、電子簽章等系統建置迄今，對於縮短行政流程、</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節成本及提升結案效率之實質成效指標，並針對調查人員之進階數位培力</w:t>
      </w:r>
      <w:proofErr w:type="gramStart"/>
      <w:r w:rsidRPr="001B6E4D">
        <w:rPr>
          <w:rFonts w:ascii="標楷體" w:eastAsia="標楷體" w:hAnsi="標楷體"/>
          <w:color w:val="000000"/>
          <w:sz w:val="28"/>
          <w:szCs w:val="28"/>
        </w:rPr>
        <w:t>（</w:t>
      </w:r>
      <w:proofErr w:type="gramEnd"/>
      <w:r w:rsidRPr="001B6E4D">
        <w:rPr>
          <w:rFonts w:ascii="標楷體" w:eastAsia="標楷體" w:hAnsi="標楷體"/>
          <w:color w:val="000000"/>
          <w:sz w:val="28"/>
          <w:szCs w:val="28"/>
        </w:rPr>
        <w:t>如：AI偽造跡證識別、數位金流追蹤及資安</w:t>
      </w: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識</w:t>
      </w:r>
      <w:proofErr w:type="gramStart"/>
      <w:r w:rsidRPr="001B6E4D">
        <w:rPr>
          <w:rFonts w:ascii="標楷體" w:eastAsia="標楷體" w:hAnsi="標楷體"/>
          <w:color w:val="000000"/>
          <w:sz w:val="28"/>
          <w:szCs w:val="28"/>
        </w:rPr>
        <w:t>）</w:t>
      </w:r>
      <w:proofErr w:type="gramEnd"/>
      <w:r w:rsidRPr="001B6E4D">
        <w:rPr>
          <w:rFonts w:ascii="標楷體" w:eastAsia="標楷體" w:hAnsi="標楷體"/>
          <w:color w:val="000000"/>
          <w:sz w:val="28"/>
          <w:szCs w:val="28"/>
        </w:rPr>
        <w:t>，提出具體訓練計畫及相應預算資源配置。</w:t>
      </w:r>
    </w:p>
    <w:p w14:paraId="7D4B824B"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綜上所述，建請監察院於</w:t>
      </w:r>
      <w:r w:rsidRPr="001B6E4D">
        <w:rPr>
          <w:rFonts w:ascii="標楷體" w:eastAsia="標楷體" w:hAnsi="標楷體" w:hint="eastAsia"/>
          <w:color w:val="000000"/>
          <w:sz w:val="28"/>
          <w:szCs w:val="28"/>
        </w:rPr>
        <w:t>3</w:t>
      </w:r>
      <w:r w:rsidRPr="001B6E4D">
        <w:rPr>
          <w:rFonts w:ascii="標楷體" w:eastAsia="標楷體" w:hAnsi="標楷體"/>
          <w:color w:val="000000"/>
          <w:sz w:val="28"/>
          <w:szCs w:val="28"/>
        </w:rPr>
        <w:t>個月內提送書面報告予立法院司法及法制委員會。【42】</w:t>
      </w:r>
    </w:p>
    <w:p w14:paraId="54D2713A"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284EB32F"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　沈發惠</w:t>
      </w:r>
    </w:p>
    <w:p w14:paraId="6E3CE83D" w14:textId="77777777" w:rsidR="00705B3D" w:rsidRPr="001B6E4D" w:rsidRDefault="00705B3D" w:rsidP="003D1018">
      <w:pPr>
        <w:widowControl w:val="0"/>
        <w:numPr>
          <w:ilvl w:val="0"/>
          <w:numId w:val="51"/>
        </w:numPr>
        <w:overflowPunct w:val="0"/>
        <w:snapToGrid w:val="0"/>
        <w:spacing w:line="380" w:lineRule="exact"/>
        <w:ind w:leftChars="200" w:left="1040" w:hangingChars="200" w:hanging="560"/>
        <w:jc w:val="both"/>
        <w:rPr>
          <w:rFonts w:ascii="標楷體" w:eastAsia="標楷體" w:hAnsi="標楷體"/>
          <w:color w:val="000000"/>
          <w:sz w:val="28"/>
          <w:szCs w:val="28"/>
        </w:rPr>
      </w:pPr>
      <w:proofErr w:type="gramStart"/>
      <w:r w:rsidRPr="001B6E4D">
        <w:rPr>
          <w:rFonts w:ascii="標楷體" w:eastAsia="標楷體" w:hAnsi="標楷體" w:hint="eastAsia"/>
          <w:color w:val="000000"/>
          <w:sz w:val="28"/>
          <w:szCs w:val="28"/>
        </w:rPr>
        <w:lastRenderedPageBreak/>
        <w:t>鑑</w:t>
      </w:r>
      <w:proofErr w:type="gramEnd"/>
      <w:r w:rsidRPr="001B6E4D">
        <w:rPr>
          <w:rFonts w:ascii="標楷體" w:eastAsia="標楷體" w:hAnsi="標楷體"/>
          <w:color w:val="000000"/>
          <w:sz w:val="28"/>
          <w:szCs w:val="28"/>
        </w:rPr>
        <w:t>於《政治獻金法》施行迄今已逾二十載，網際網路科技及新興金融工具發展迅猛，如加密貨幣與網路影音平台贊助等新型態資金</w:t>
      </w:r>
      <w:proofErr w:type="gramStart"/>
      <w:r w:rsidRPr="001B6E4D">
        <w:rPr>
          <w:rFonts w:ascii="標楷體" w:eastAsia="標楷體" w:hAnsi="標楷體"/>
          <w:color w:val="000000"/>
          <w:sz w:val="28"/>
          <w:szCs w:val="28"/>
        </w:rPr>
        <w:t>挹</w:t>
      </w:r>
      <w:proofErr w:type="gramEnd"/>
      <w:r w:rsidRPr="001B6E4D">
        <w:rPr>
          <w:rFonts w:ascii="標楷體" w:eastAsia="標楷體" w:hAnsi="標楷體"/>
          <w:color w:val="000000"/>
          <w:sz w:val="28"/>
          <w:szCs w:val="28"/>
        </w:rPr>
        <w:t>注模式，</w:t>
      </w:r>
      <w:proofErr w:type="gramStart"/>
      <w:r w:rsidRPr="001B6E4D">
        <w:rPr>
          <w:rFonts w:ascii="標楷體" w:eastAsia="標楷體" w:hAnsi="標楷體"/>
          <w:color w:val="000000"/>
          <w:sz w:val="28"/>
          <w:szCs w:val="28"/>
        </w:rPr>
        <w:t>屢對政治</w:t>
      </w:r>
      <w:proofErr w:type="gramEnd"/>
      <w:r w:rsidRPr="001B6E4D">
        <w:rPr>
          <w:rFonts w:ascii="標楷體" w:eastAsia="標楷體" w:hAnsi="標楷體"/>
          <w:color w:val="000000"/>
          <w:sz w:val="28"/>
          <w:szCs w:val="28"/>
        </w:rPr>
        <w:t>獻金查核業務形成嚴峻挑戰。經查，加密</w:t>
      </w:r>
      <w:proofErr w:type="gramStart"/>
      <w:r w:rsidRPr="001B6E4D">
        <w:rPr>
          <w:rFonts w:ascii="標楷體" w:eastAsia="標楷體" w:hAnsi="標楷體"/>
          <w:color w:val="000000"/>
          <w:sz w:val="28"/>
          <w:szCs w:val="28"/>
        </w:rPr>
        <w:t>貨幣具去中心化</w:t>
      </w:r>
      <w:proofErr w:type="gramEnd"/>
      <w:r w:rsidRPr="001B6E4D">
        <w:rPr>
          <w:rFonts w:ascii="標楷體" w:eastAsia="標楷體" w:hAnsi="標楷體"/>
          <w:color w:val="000000"/>
          <w:sz w:val="28"/>
          <w:szCs w:val="28"/>
        </w:rPr>
        <w:t>與高度匿名等特質，且市場價格波動劇烈，易淪為有心人士規避法規或境外資金違法介入選舉之管道；復查網路影音平台多設立於境外，除實務上橫生跨國查核之窒礙外，其內建之分潤機制</w:t>
      </w:r>
      <w:proofErr w:type="gramStart"/>
      <w:r w:rsidRPr="001B6E4D">
        <w:rPr>
          <w:rFonts w:ascii="標楷體" w:eastAsia="標楷體" w:hAnsi="標楷體"/>
          <w:color w:val="000000"/>
          <w:sz w:val="28"/>
          <w:szCs w:val="28"/>
        </w:rPr>
        <w:t>亦致使</w:t>
      </w:r>
      <w:proofErr w:type="gramEnd"/>
      <w:r w:rsidRPr="001B6E4D">
        <w:rPr>
          <w:rFonts w:ascii="標楷體" w:eastAsia="標楷體" w:hAnsi="標楷體"/>
          <w:color w:val="000000"/>
          <w:sz w:val="28"/>
          <w:szCs w:val="28"/>
        </w:rPr>
        <w:t>實際捐贈額度無從精確</w:t>
      </w:r>
      <w:proofErr w:type="gramStart"/>
      <w:r w:rsidRPr="001B6E4D">
        <w:rPr>
          <w:rFonts w:ascii="標楷體" w:eastAsia="標楷體" w:hAnsi="標楷體"/>
          <w:color w:val="000000"/>
          <w:sz w:val="28"/>
          <w:szCs w:val="28"/>
        </w:rPr>
        <w:t>釐</w:t>
      </w:r>
      <w:proofErr w:type="gramEnd"/>
      <w:r w:rsidRPr="001B6E4D">
        <w:rPr>
          <w:rFonts w:ascii="標楷體" w:eastAsia="標楷體" w:hAnsi="標楷體"/>
          <w:color w:val="000000"/>
          <w:sz w:val="28"/>
          <w:szCs w:val="28"/>
        </w:rPr>
        <w:t>清。</w:t>
      </w:r>
      <w:proofErr w:type="gramStart"/>
      <w:r w:rsidRPr="001B6E4D">
        <w:rPr>
          <w:rFonts w:ascii="標楷體" w:eastAsia="標楷體" w:hAnsi="標楷體"/>
          <w:color w:val="000000"/>
          <w:sz w:val="28"/>
          <w:szCs w:val="28"/>
        </w:rPr>
        <w:t>再者，倘擬</w:t>
      </w:r>
      <w:proofErr w:type="gramEnd"/>
      <w:r w:rsidRPr="001B6E4D">
        <w:rPr>
          <w:rFonts w:ascii="標楷體" w:eastAsia="標楷體" w:hAnsi="標楷體"/>
          <w:color w:val="000000"/>
          <w:sz w:val="28"/>
          <w:szCs w:val="28"/>
        </w:rPr>
        <w:t>參選人兼具「網路內容創作者」或「直播主」身分，其所獲之網路贊助</w:t>
      </w:r>
      <w:proofErr w:type="gramStart"/>
      <w:r w:rsidRPr="001B6E4D">
        <w:rPr>
          <w:rFonts w:ascii="標楷體" w:eastAsia="標楷體" w:hAnsi="標楷體"/>
          <w:color w:val="000000"/>
          <w:sz w:val="28"/>
          <w:szCs w:val="28"/>
        </w:rPr>
        <w:t>金流究屬</w:t>
      </w:r>
      <w:proofErr w:type="gramEnd"/>
      <w:r w:rsidRPr="001B6E4D">
        <w:rPr>
          <w:rFonts w:ascii="標楷體" w:eastAsia="標楷體" w:hAnsi="標楷體"/>
          <w:color w:val="000000"/>
          <w:sz w:val="28"/>
          <w:szCs w:val="28"/>
        </w:rPr>
        <w:t>商業行為之對價收入，抑或屬政治獻金範疇，實難涇渭分明，</w:t>
      </w:r>
      <w:proofErr w:type="gramStart"/>
      <w:r w:rsidRPr="001B6E4D">
        <w:rPr>
          <w:rFonts w:ascii="標楷體" w:eastAsia="標楷體" w:hAnsi="標楷體"/>
          <w:color w:val="000000"/>
          <w:sz w:val="28"/>
          <w:szCs w:val="28"/>
        </w:rPr>
        <w:t>易生適法</w:t>
      </w:r>
      <w:proofErr w:type="gramEnd"/>
      <w:r w:rsidRPr="001B6E4D">
        <w:rPr>
          <w:rFonts w:ascii="標楷體" w:eastAsia="標楷體" w:hAnsi="標楷體"/>
          <w:color w:val="000000"/>
          <w:sz w:val="28"/>
          <w:szCs w:val="28"/>
        </w:rPr>
        <w:t>性之模糊空間。為防杜申報漏洞並完備法制，建請監察院會商主管機關內政部</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擬具體查核與防弊對策，並於</w:t>
      </w:r>
      <w:r w:rsidRPr="001B6E4D">
        <w:rPr>
          <w:rFonts w:ascii="標楷體" w:eastAsia="標楷體" w:hAnsi="標楷體" w:hint="eastAsia"/>
          <w:color w:val="000000"/>
          <w:sz w:val="28"/>
          <w:szCs w:val="28"/>
        </w:rPr>
        <w:t>3</w:t>
      </w:r>
      <w:r w:rsidRPr="001B6E4D">
        <w:rPr>
          <w:rFonts w:ascii="標楷體" w:eastAsia="標楷體" w:hAnsi="標楷體"/>
          <w:color w:val="000000"/>
          <w:sz w:val="28"/>
          <w:szCs w:val="28"/>
        </w:rPr>
        <w:t>個月內向</w:t>
      </w:r>
      <w:r w:rsidRPr="001B6E4D">
        <w:rPr>
          <w:rFonts w:ascii="標楷體" w:eastAsia="標楷體" w:hAnsi="標楷體" w:hint="eastAsia"/>
          <w:color w:val="000000"/>
          <w:sz w:val="28"/>
          <w:szCs w:val="28"/>
        </w:rPr>
        <w:t>立法</w:t>
      </w:r>
      <w:r w:rsidRPr="001B6E4D">
        <w:rPr>
          <w:rFonts w:ascii="標楷體" w:eastAsia="標楷體" w:hAnsi="標楷體"/>
          <w:color w:val="000000"/>
          <w:sz w:val="28"/>
          <w:szCs w:val="28"/>
        </w:rPr>
        <w:t>院司法及法制委員會提送書面報告。【43】</w:t>
      </w:r>
    </w:p>
    <w:p w14:paraId="31A6680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57F14508"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　沈發惠</w:t>
      </w:r>
    </w:p>
    <w:p w14:paraId="5DF22D1B" w14:textId="77777777" w:rsidR="00705B3D" w:rsidRPr="001B6E4D" w:rsidRDefault="00705B3D" w:rsidP="003D1018">
      <w:pPr>
        <w:widowControl w:val="0"/>
        <w:numPr>
          <w:ilvl w:val="0"/>
          <w:numId w:val="51"/>
        </w:numPr>
        <w:overflowPunct w:val="0"/>
        <w:snapToGrid w:val="0"/>
        <w:spacing w:line="380" w:lineRule="exact"/>
        <w:ind w:leftChars="200" w:left="1040"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於監察院</w:t>
      </w:r>
      <w:proofErr w:type="gramStart"/>
      <w:r w:rsidRPr="001B6E4D">
        <w:rPr>
          <w:rFonts w:ascii="標楷體" w:eastAsia="標楷體" w:hAnsi="標楷體"/>
          <w:color w:val="000000"/>
          <w:sz w:val="28"/>
          <w:szCs w:val="28"/>
        </w:rPr>
        <w:t>為資安等級</w:t>
      </w:r>
      <w:proofErr w:type="gramEnd"/>
      <w:r w:rsidRPr="001B6E4D">
        <w:rPr>
          <w:rFonts w:ascii="標楷體" w:eastAsia="標楷體" w:hAnsi="標楷體"/>
          <w:color w:val="000000"/>
          <w:sz w:val="28"/>
          <w:szCs w:val="28"/>
        </w:rPr>
        <w:t>A級機關，並於</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年度預算中編列資訊系統維運、</w:t>
      </w:r>
      <w:proofErr w:type="gramStart"/>
      <w:r w:rsidRPr="001B6E4D">
        <w:rPr>
          <w:rFonts w:ascii="標楷體" w:eastAsia="標楷體" w:hAnsi="標楷體"/>
          <w:color w:val="000000"/>
          <w:sz w:val="28"/>
          <w:szCs w:val="28"/>
        </w:rPr>
        <w:t>資安防護</w:t>
      </w:r>
      <w:proofErr w:type="gramEnd"/>
      <w:r w:rsidRPr="001B6E4D">
        <w:rPr>
          <w:rFonts w:ascii="標楷體" w:eastAsia="標楷體" w:hAnsi="標楷體"/>
          <w:color w:val="000000"/>
          <w:sz w:val="28"/>
          <w:szCs w:val="28"/>
        </w:rPr>
        <w:t>及資料傳輸等相關經費，</w:t>
      </w:r>
      <w:proofErr w:type="gramStart"/>
      <w:r w:rsidRPr="001B6E4D">
        <w:rPr>
          <w:rFonts w:ascii="標楷體" w:eastAsia="標楷體" w:hAnsi="標楷體"/>
          <w:color w:val="000000"/>
          <w:sz w:val="28"/>
          <w:szCs w:val="28"/>
        </w:rPr>
        <w:t>惟資安</w:t>
      </w:r>
      <w:proofErr w:type="gramEnd"/>
      <w:r w:rsidRPr="001B6E4D">
        <w:rPr>
          <w:rFonts w:ascii="標楷體" w:eastAsia="標楷體" w:hAnsi="標楷體"/>
          <w:color w:val="000000"/>
          <w:sz w:val="28"/>
          <w:szCs w:val="28"/>
        </w:rPr>
        <w:t>治理除設備與系統建置外，尚涉及整體風險管理、跨機關資料交換安全及持續營運能力等制度面問題。為確保相關預算運用具體提升</w:t>
      </w:r>
      <w:proofErr w:type="gramStart"/>
      <w:r w:rsidRPr="001B6E4D">
        <w:rPr>
          <w:rFonts w:ascii="標楷體" w:eastAsia="標楷體" w:hAnsi="標楷體"/>
          <w:color w:val="000000"/>
          <w:sz w:val="28"/>
          <w:szCs w:val="28"/>
        </w:rPr>
        <w:t>整體資安韌性</w:t>
      </w:r>
      <w:proofErr w:type="gramEnd"/>
      <w:r w:rsidRPr="001B6E4D">
        <w:rPr>
          <w:rFonts w:ascii="標楷體" w:eastAsia="標楷體" w:hAnsi="標楷體"/>
          <w:color w:val="000000"/>
          <w:sz w:val="28"/>
          <w:szCs w:val="28"/>
        </w:rPr>
        <w:t>與資料保護能力，並避免流於分散建置或短期維運，</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要求監察院就</w:t>
      </w:r>
      <w:proofErr w:type="gramStart"/>
      <w:r w:rsidRPr="001B6E4D">
        <w:rPr>
          <w:rFonts w:ascii="標楷體" w:eastAsia="標楷體" w:hAnsi="標楷體"/>
          <w:color w:val="000000"/>
          <w:sz w:val="28"/>
          <w:szCs w:val="28"/>
        </w:rPr>
        <w:t>整體資安策略</w:t>
      </w:r>
      <w:proofErr w:type="gramEnd"/>
      <w:r w:rsidRPr="001B6E4D">
        <w:rPr>
          <w:rFonts w:ascii="標楷體" w:eastAsia="標楷體" w:hAnsi="標楷體"/>
          <w:color w:val="000000"/>
          <w:sz w:val="28"/>
          <w:szCs w:val="28"/>
        </w:rPr>
        <w:t>、風險控管機制、</w:t>
      </w:r>
      <w:proofErr w:type="gramStart"/>
      <w:r w:rsidRPr="001B6E4D">
        <w:rPr>
          <w:rFonts w:ascii="標楷體" w:eastAsia="標楷體" w:hAnsi="標楷體"/>
          <w:color w:val="000000"/>
          <w:sz w:val="28"/>
          <w:szCs w:val="28"/>
        </w:rPr>
        <w:t>資安事件</w:t>
      </w:r>
      <w:proofErr w:type="gramEnd"/>
      <w:r w:rsidRPr="001B6E4D">
        <w:rPr>
          <w:rFonts w:ascii="標楷體" w:eastAsia="標楷體" w:hAnsi="標楷體"/>
          <w:color w:val="000000"/>
          <w:sz w:val="28"/>
          <w:szCs w:val="28"/>
        </w:rPr>
        <w:t>通報與應變流程，以及與其他政府機關之資料</w:t>
      </w:r>
      <w:proofErr w:type="gramStart"/>
      <w:r w:rsidRPr="001B6E4D">
        <w:rPr>
          <w:rFonts w:ascii="標楷體" w:eastAsia="標楷體" w:hAnsi="標楷體"/>
          <w:color w:val="000000"/>
          <w:sz w:val="28"/>
          <w:szCs w:val="28"/>
        </w:rPr>
        <w:t>介</w:t>
      </w:r>
      <w:proofErr w:type="gramEnd"/>
      <w:r w:rsidRPr="001B6E4D">
        <w:rPr>
          <w:rFonts w:ascii="標楷體" w:eastAsia="標楷體" w:hAnsi="標楷體"/>
          <w:color w:val="000000"/>
          <w:sz w:val="28"/>
          <w:szCs w:val="28"/>
        </w:rPr>
        <w:t>接安全控管機制，提出完整規劃與說明。</w:t>
      </w:r>
    </w:p>
    <w:p w14:paraId="2EB93F8C"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建請監察院於2個月內向立法院司法及法制委員會提出書面報告。【44】</w:t>
      </w:r>
    </w:p>
    <w:p w14:paraId="13C7B66D"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6FAE41E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　張雅琳</w:t>
      </w:r>
    </w:p>
    <w:p w14:paraId="0B22E747" w14:textId="77777777" w:rsidR="00705B3D" w:rsidRPr="001B6E4D" w:rsidRDefault="00705B3D" w:rsidP="003D1018">
      <w:pPr>
        <w:widowControl w:val="0"/>
        <w:numPr>
          <w:ilvl w:val="0"/>
          <w:numId w:val="51"/>
        </w:numPr>
        <w:overflowPunct w:val="0"/>
        <w:snapToGrid w:val="0"/>
        <w:spacing w:line="380" w:lineRule="exact"/>
        <w:ind w:leftChars="200" w:left="1040" w:hangingChars="200" w:hanging="560"/>
        <w:jc w:val="both"/>
        <w:rPr>
          <w:rFonts w:ascii="標楷體" w:eastAsia="標楷體" w:hAnsi="標楷體"/>
          <w:color w:val="000000"/>
          <w:sz w:val="28"/>
          <w:szCs w:val="28"/>
        </w:rPr>
      </w:pPr>
      <w:r w:rsidRPr="001B6E4D">
        <w:rPr>
          <w:rFonts w:ascii="標楷體" w:eastAsia="標楷體" w:hAnsi="標楷體"/>
          <w:color w:val="000000"/>
          <w:sz w:val="28"/>
          <w:szCs w:val="28"/>
        </w:rPr>
        <w:t>查</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年度監察院</w:t>
      </w:r>
      <w:r w:rsidRPr="001B6E4D">
        <w:rPr>
          <w:rFonts w:ascii="標楷體" w:eastAsia="標楷體" w:hAnsi="標楷體" w:hint="eastAsia"/>
          <w:color w:val="000000"/>
          <w:sz w:val="28"/>
          <w:szCs w:val="28"/>
        </w:rPr>
        <w:t>預算案於第5目</w:t>
      </w:r>
      <w:r w:rsidRPr="001B6E4D">
        <w:rPr>
          <w:rFonts w:ascii="標楷體" w:eastAsia="標楷體" w:hAnsi="標楷體"/>
          <w:color w:val="000000"/>
          <w:sz w:val="28"/>
          <w:szCs w:val="28"/>
        </w:rPr>
        <w:t>「國家人權業務」編列約1億1,151萬餘元，主要用於人權調查訪視、政策研究、教育推廣及國際交流等項目。隨業務規模擴大，外界對於相關資源配置、業務推動重點及成果呈現方式，亦有所關注，允宜適度對外說明，以利社會理解監察院人權職權之運作情形。</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請監察院就人權業務之推動重點及經費配置原則、人權申訴案件之辦理流程與整體辦理情形、人權調查及相關建議意見之後續追蹤作法，以及未來人權業務推動之整體規劃方向，提出書面報告。</w:t>
      </w:r>
    </w:p>
    <w:p w14:paraId="550F56A6"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建請監察院於2個月內向立法院司法及法制委員會提出書面報告。【45】</w:t>
      </w:r>
    </w:p>
    <w:p w14:paraId="487BFF9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提案人：沈發惠</w:t>
      </w:r>
    </w:p>
    <w:p w14:paraId="5808084F"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　張雅琳</w:t>
      </w:r>
    </w:p>
    <w:p w14:paraId="4733A61A" w14:textId="77777777" w:rsidR="00705B3D" w:rsidRPr="001B6E4D" w:rsidRDefault="00705B3D" w:rsidP="003D1018">
      <w:pPr>
        <w:widowControl w:val="0"/>
        <w:numPr>
          <w:ilvl w:val="0"/>
          <w:numId w:val="51"/>
        </w:numPr>
        <w:overflowPunct w:val="0"/>
        <w:snapToGrid w:val="0"/>
        <w:spacing w:line="380" w:lineRule="exact"/>
        <w:ind w:leftChars="200" w:left="1040" w:hangingChars="200" w:hanging="560"/>
        <w:jc w:val="both"/>
        <w:rPr>
          <w:rFonts w:ascii="標楷體" w:eastAsia="標楷體" w:hAnsi="標楷體"/>
          <w:color w:val="000000"/>
          <w:sz w:val="28"/>
          <w:szCs w:val="28"/>
        </w:rPr>
      </w:pPr>
      <w:r w:rsidRPr="001B6E4D">
        <w:rPr>
          <w:rFonts w:ascii="標楷體" w:eastAsia="標楷體" w:hAnsi="標楷體"/>
          <w:color w:val="000000"/>
          <w:sz w:val="28"/>
          <w:szCs w:val="28"/>
        </w:rPr>
        <w:t>查</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年度將辦理地方公職人員選舉，監察院依政治獻金法及公職人員財產申報法，負責政治</w:t>
      </w:r>
      <w:proofErr w:type="gramStart"/>
      <w:r w:rsidRPr="001B6E4D">
        <w:rPr>
          <w:rFonts w:ascii="標楷體" w:eastAsia="標楷體" w:hAnsi="標楷體"/>
          <w:color w:val="000000"/>
          <w:sz w:val="28"/>
          <w:szCs w:val="28"/>
        </w:rPr>
        <w:t>獻金專戶</w:t>
      </w:r>
      <w:proofErr w:type="gramEnd"/>
      <w:r w:rsidRPr="001B6E4D">
        <w:rPr>
          <w:rFonts w:ascii="標楷體" w:eastAsia="標楷體" w:hAnsi="標楷體"/>
          <w:color w:val="000000"/>
          <w:sz w:val="28"/>
          <w:szCs w:val="28"/>
        </w:rPr>
        <w:t>許可、申報查核及財產申報審查等相關職權。依監察院歷年統計，107及</w:t>
      </w:r>
      <w:proofErr w:type="gramStart"/>
      <w:r w:rsidRPr="001B6E4D">
        <w:rPr>
          <w:rFonts w:ascii="標楷體" w:eastAsia="標楷體" w:hAnsi="標楷體"/>
          <w:color w:val="000000"/>
          <w:sz w:val="28"/>
          <w:szCs w:val="28"/>
        </w:rPr>
        <w:t>111</w:t>
      </w:r>
      <w:proofErr w:type="gramEnd"/>
      <w:r w:rsidRPr="001B6E4D">
        <w:rPr>
          <w:rFonts w:ascii="標楷體" w:eastAsia="標楷體" w:hAnsi="標楷體"/>
          <w:color w:val="000000"/>
          <w:sz w:val="28"/>
          <w:szCs w:val="28"/>
        </w:rPr>
        <w:t>年</w:t>
      </w:r>
      <w:r w:rsidRPr="001B6E4D">
        <w:rPr>
          <w:rFonts w:ascii="標楷體" w:eastAsia="標楷體" w:hAnsi="標楷體" w:hint="eastAsia"/>
          <w:color w:val="000000"/>
          <w:sz w:val="28"/>
          <w:szCs w:val="28"/>
        </w:rPr>
        <w:t>度</w:t>
      </w:r>
      <w:r w:rsidRPr="001B6E4D">
        <w:rPr>
          <w:rFonts w:ascii="標楷體" w:eastAsia="標楷體" w:hAnsi="標楷體"/>
          <w:color w:val="000000"/>
          <w:sz w:val="28"/>
          <w:szCs w:val="28"/>
        </w:rPr>
        <w:t>地方公職人員選舉</w:t>
      </w:r>
      <w:proofErr w:type="gramStart"/>
      <w:r w:rsidRPr="001B6E4D">
        <w:rPr>
          <w:rFonts w:ascii="標楷體" w:eastAsia="標楷體" w:hAnsi="標楷體"/>
          <w:color w:val="000000"/>
          <w:sz w:val="28"/>
          <w:szCs w:val="28"/>
        </w:rPr>
        <w:t>期間，</w:t>
      </w:r>
      <w:proofErr w:type="gramEnd"/>
      <w:r w:rsidRPr="001B6E4D">
        <w:rPr>
          <w:rFonts w:ascii="標楷體" w:eastAsia="標楷體" w:hAnsi="標楷體"/>
          <w:color w:val="000000"/>
          <w:sz w:val="28"/>
          <w:szCs w:val="28"/>
        </w:rPr>
        <w:t>受理政治</w:t>
      </w:r>
      <w:proofErr w:type="gramStart"/>
      <w:r w:rsidRPr="001B6E4D">
        <w:rPr>
          <w:rFonts w:ascii="標楷體" w:eastAsia="標楷體" w:hAnsi="標楷體"/>
          <w:color w:val="000000"/>
          <w:sz w:val="28"/>
          <w:szCs w:val="28"/>
        </w:rPr>
        <w:t>獻金專戶</w:t>
      </w:r>
      <w:proofErr w:type="gramEnd"/>
      <w:r w:rsidRPr="001B6E4D">
        <w:rPr>
          <w:rFonts w:ascii="標楷體" w:eastAsia="標楷體" w:hAnsi="標楷體"/>
          <w:color w:val="000000"/>
          <w:sz w:val="28"/>
          <w:szCs w:val="28"/>
        </w:rPr>
        <w:t>申請件數約為2,300戶，顯示選舉年度相關業務量具一定規模，並涉及案件受理、查核作業及資訊系統運作等多面向工作。為利外界瞭解歷年業務量變化及其資源配置情形，允宜就相關統計資料加以整理說明。</w:t>
      </w:r>
    </w:p>
    <w:p w14:paraId="23780066"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請監察院就歷次地方公職人員選舉</w:t>
      </w:r>
      <w:proofErr w:type="gramStart"/>
      <w:r w:rsidRPr="001B6E4D">
        <w:rPr>
          <w:rFonts w:ascii="標楷體" w:eastAsia="標楷體" w:hAnsi="標楷體"/>
          <w:color w:val="000000"/>
          <w:sz w:val="28"/>
          <w:szCs w:val="28"/>
        </w:rPr>
        <w:t>期間，</w:t>
      </w:r>
      <w:proofErr w:type="gramEnd"/>
      <w:r w:rsidRPr="001B6E4D">
        <w:rPr>
          <w:rFonts w:ascii="標楷體" w:eastAsia="標楷體" w:hAnsi="標楷體"/>
          <w:color w:val="000000"/>
          <w:sz w:val="28"/>
          <w:szCs w:val="28"/>
        </w:rPr>
        <w:t>政治</w:t>
      </w:r>
      <w:proofErr w:type="gramStart"/>
      <w:r w:rsidRPr="001B6E4D">
        <w:rPr>
          <w:rFonts w:ascii="標楷體" w:eastAsia="標楷體" w:hAnsi="標楷體"/>
          <w:color w:val="000000"/>
          <w:sz w:val="28"/>
          <w:szCs w:val="28"/>
        </w:rPr>
        <w:t>獻金專戶</w:t>
      </w:r>
      <w:proofErr w:type="gramEnd"/>
      <w:r w:rsidRPr="001B6E4D">
        <w:rPr>
          <w:rFonts w:ascii="標楷體" w:eastAsia="標楷體" w:hAnsi="標楷體"/>
          <w:color w:val="000000"/>
          <w:sz w:val="28"/>
          <w:szCs w:val="28"/>
        </w:rPr>
        <w:t>申請件數、申報案件數量(預估)、查核作業量、人力配置及相關資訊系統運作情形等統計資料，</w:t>
      </w:r>
      <w:proofErr w:type="gramStart"/>
      <w:r w:rsidRPr="001B6E4D">
        <w:rPr>
          <w:rFonts w:ascii="標楷體" w:eastAsia="標楷體" w:hAnsi="標楷體"/>
          <w:color w:val="000000"/>
          <w:sz w:val="28"/>
          <w:szCs w:val="28"/>
        </w:rPr>
        <w:t>併</w:t>
      </w:r>
      <w:proofErr w:type="gramEnd"/>
      <w:r w:rsidRPr="001B6E4D">
        <w:rPr>
          <w:rFonts w:ascii="標楷體" w:eastAsia="標楷體" w:hAnsi="標楷體"/>
          <w:color w:val="000000"/>
          <w:sz w:val="28"/>
          <w:szCs w:val="28"/>
        </w:rPr>
        <w:t>同說明配合</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年度選舉之整體規劃及需求，以利後續預算審議及制度檢討參考。</w:t>
      </w:r>
    </w:p>
    <w:p w14:paraId="4DB4116F"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建請監察院於2個月內向立法院司法及法制委員會提出書面報告。【46】</w:t>
      </w:r>
    </w:p>
    <w:p w14:paraId="100DBB0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79CBA32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　張雅琳</w:t>
      </w:r>
    </w:p>
    <w:p w14:paraId="143ED2D5" w14:textId="77777777" w:rsidR="00705B3D" w:rsidRPr="001B6E4D" w:rsidRDefault="00705B3D" w:rsidP="003D1018">
      <w:pPr>
        <w:widowControl w:val="0"/>
        <w:numPr>
          <w:ilvl w:val="0"/>
          <w:numId w:val="51"/>
        </w:numPr>
        <w:overflowPunct w:val="0"/>
        <w:snapToGrid w:val="0"/>
        <w:spacing w:line="380" w:lineRule="exact"/>
        <w:ind w:leftChars="200" w:left="1040"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於國內近年兒</w:t>
      </w:r>
      <w:proofErr w:type="gramStart"/>
      <w:r w:rsidRPr="001B6E4D">
        <w:rPr>
          <w:rFonts w:ascii="標楷體" w:eastAsia="標楷體" w:hAnsi="標楷體"/>
          <w:color w:val="000000"/>
          <w:sz w:val="28"/>
          <w:szCs w:val="28"/>
        </w:rPr>
        <w:t>虐</w:t>
      </w:r>
      <w:proofErr w:type="gramEnd"/>
      <w:r w:rsidRPr="001B6E4D">
        <w:rPr>
          <w:rFonts w:ascii="標楷體" w:eastAsia="標楷體" w:hAnsi="標楷體"/>
          <w:color w:val="000000"/>
          <w:sz w:val="28"/>
          <w:szCs w:val="28"/>
        </w:rPr>
        <w:t>與校園性平事件問題頻傳，包括多起公立學校校長及</w:t>
      </w:r>
      <w:proofErr w:type="gramStart"/>
      <w:r w:rsidRPr="001B6E4D">
        <w:rPr>
          <w:rFonts w:ascii="標楷體" w:eastAsia="標楷體" w:hAnsi="標楷體"/>
          <w:color w:val="000000"/>
          <w:sz w:val="28"/>
          <w:szCs w:val="28"/>
        </w:rPr>
        <w:t>教師性侵案件</w:t>
      </w:r>
      <w:proofErr w:type="gramEnd"/>
      <w:r w:rsidRPr="001B6E4D">
        <w:rPr>
          <w:rFonts w:ascii="標楷體" w:eastAsia="標楷體" w:hAnsi="標楷體"/>
          <w:color w:val="000000"/>
          <w:sz w:val="28"/>
          <w:szCs w:val="28"/>
        </w:rPr>
        <w:t>，甚至有安置機構發生</w:t>
      </w:r>
      <w:proofErr w:type="gramStart"/>
      <w:r w:rsidRPr="001B6E4D">
        <w:rPr>
          <w:rFonts w:ascii="標楷體" w:eastAsia="標楷體" w:hAnsi="標楷體"/>
          <w:color w:val="000000"/>
          <w:sz w:val="28"/>
          <w:szCs w:val="28"/>
        </w:rPr>
        <w:t>集體性侵事件</w:t>
      </w:r>
      <w:proofErr w:type="gramEnd"/>
      <w:r w:rsidRPr="001B6E4D">
        <w:rPr>
          <w:rFonts w:ascii="標楷體" w:eastAsia="標楷體" w:hAnsi="標楷體"/>
          <w:color w:val="000000"/>
          <w:sz w:val="28"/>
          <w:szCs w:val="28"/>
        </w:rPr>
        <w:t>等。可見校園內的保護和行政調查機制仍有其限制，多個民間團體建議，臺灣應建立第三方兒童保護機制，以更周延保障兒童權益。</w:t>
      </w:r>
    </w:p>
    <w:p w14:paraId="492AE9C1"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依據2002年聯合國《兒童權利公約》（CRC）第2號一般性意見，締約國應建立獨立國家人權機構和兒童監察使或兒童專員及類似獨立機構，以促進並監督公約的執行。2017年我國首次CRC國際審查結論性意見，國際審查委員亦建議，應儘速成立國家人權機構內設之兒童權利專責單位，或成立兒童監察使辦公室，或設置兒童權利委員。</w:t>
      </w:r>
    </w:p>
    <w:p w14:paraId="0E5669AF"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r w:rsidRPr="001B6E4D">
        <w:rPr>
          <w:rFonts w:ascii="標楷體" w:eastAsia="標楷體" w:hAnsi="標楷體" w:hint="eastAsia"/>
          <w:color w:val="000000"/>
          <w:sz w:val="28"/>
          <w:szCs w:val="28"/>
        </w:rPr>
        <w:t>監察院</w:t>
      </w:r>
      <w:r w:rsidRPr="001B6E4D">
        <w:rPr>
          <w:rFonts w:ascii="標楷體" w:eastAsia="標楷體" w:hAnsi="標楷體"/>
          <w:color w:val="000000"/>
          <w:sz w:val="28"/>
          <w:szCs w:val="28"/>
        </w:rPr>
        <w:t>國家人權委員會於2020年依《監察院國家人權委員會組織法》成立，即以建構符合「巴黎原則」之獨立、專責、多元的國家人權機構為目標。據此，建請監察院及</w:t>
      </w:r>
      <w:r w:rsidRPr="001B6E4D">
        <w:rPr>
          <w:rFonts w:ascii="標楷體" w:eastAsia="標楷體" w:hAnsi="標楷體" w:hint="eastAsia"/>
          <w:color w:val="000000"/>
          <w:sz w:val="28"/>
          <w:szCs w:val="28"/>
        </w:rPr>
        <w:t>監察院</w:t>
      </w:r>
      <w:r w:rsidRPr="001B6E4D">
        <w:rPr>
          <w:rFonts w:ascii="標楷體" w:eastAsia="標楷體" w:hAnsi="標楷體"/>
          <w:color w:val="000000"/>
          <w:sz w:val="28"/>
          <w:szCs w:val="28"/>
        </w:rPr>
        <w:t>國家人權委員會，參酌國際案例，</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設立獨立兒童監察機制之可行性，包括賦予其獨立調查權、建立友善申訴管道、執行跨部會政策監督、進行兒少權利影響評估，以及推動社會倡議等職權，以確保能建構符合國際標準的獨立監督機制，積極保障兒少人權。請監察院於</w:t>
      </w:r>
      <w:r w:rsidRPr="001B6E4D">
        <w:rPr>
          <w:rFonts w:ascii="標楷體" w:eastAsia="標楷體" w:hAnsi="標楷體" w:hint="eastAsia"/>
          <w:color w:val="000000"/>
          <w:sz w:val="28"/>
          <w:szCs w:val="28"/>
        </w:rPr>
        <w:t>2</w:t>
      </w:r>
      <w:r w:rsidRPr="001B6E4D">
        <w:rPr>
          <w:rFonts w:ascii="標楷體" w:eastAsia="標楷體" w:hAnsi="標楷體"/>
          <w:color w:val="000000"/>
          <w:sz w:val="28"/>
          <w:szCs w:val="28"/>
        </w:rPr>
        <w:t>個月內提</w:t>
      </w:r>
      <w:r w:rsidRPr="001B6E4D">
        <w:rPr>
          <w:rFonts w:ascii="標楷體" w:eastAsia="標楷體" w:hAnsi="標楷體" w:hint="eastAsia"/>
          <w:color w:val="000000"/>
          <w:sz w:val="28"/>
          <w:szCs w:val="28"/>
        </w:rPr>
        <w:t>送</w:t>
      </w:r>
      <w:r w:rsidRPr="001B6E4D">
        <w:rPr>
          <w:rFonts w:ascii="標楷體" w:eastAsia="標楷體" w:hAnsi="標楷體"/>
          <w:color w:val="000000"/>
          <w:sz w:val="28"/>
          <w:szCs w:val="28"/>
        </w:rPr>
        <w:t>書面報告予立法院司法及法制委員會。【47】</w:t>
      </w:r>
    </w:p>
    <w:p w14:paraId="24210683"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提案人：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2203A25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00769EEC" w14:textId="77777777" w:rsidR="00705B3D" w:rsidRPr="001B6E4D" w:rsidRDefault="00705B3D" w:rsidP="003D1018">
      <w:pPr>
        <w:widowControl w:val="0"/>
        <w:numPr>
          <w:ilvl w:val="0"/>
          <w:numId w:val="51"/>
        </w:numPr>
        <w:overflowPunct w:val="0"/>
        <w:snapToGrid w:val="0"/>
        <w:spacing w:line="380" w:lineRule="exact"/>
        <w:ind w:leftChars="200" w:left="1040" w:hangingChars="200" w:hanging="560"/>
        <w:jc w:val="both"/>
        <w:rPr>
          <w:rFonts w:ascii="標楷體" w:eastAsia="標楷體" w:hAnsi="標楷體"/>
          <w:color w:val="000000"/>
          <w:sz w:val="28"/>
          <w:szCs w:val="28"/>
        </w:rPr>
      </w:pPr>
      <w:r w:rsidRPr="001B6E4D">
        <w:rPr>
          <w:rFonts w:ascii="標楷體" w:eastAsia="標楷體" w:hAnsi="標楷體" w:hint="eastAsia"/>
          <w:color w:val="000000"/>
          <w:sz w:val="28"/>
          <w:szCs w:val="28"/>
        </w:rPr>
        <w:t>監察院</w:t>
      </w:r>
      <w:r w:rsidRPr="001B6E4D">
        <w:rPr>
          <w:rFonts w:ascii="標楷體" w:eastAsia="標楷體" w:hAnsi="標楷體"/>
          <w:color w:val="000000"/>
          <w:sz w:val="28"/>
          <w:szCs w:val="28"/>
        </w:rPr>
        <w:t>國家人權委員會於2020年依《監察院國家人權委員會組織法》成立，其中列出國家人權委員會之職權，然而，至今未有作用法進一步規範職權行使。雖監察院已提出《監察法》部分條文修正草案送交立法院，但依據聯合國《巴黎原則》揭示，國家人權機構應在法律上保持獨立性，以確保能夠積極保障促進人權。</w:t>
      </w:r>
    </w:p>
    <w:p w14:paraId="61BB7EA0"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此外，</w:t>
      </w:r>
      <w:proofErr w:type="gramEnd"/>
      <w:r w:rsidRPr="001B6E4D">
        <w:rPr>
          <w:rFonts w:ascii="標楷體" w:eastAsia="標楷體" w:hAnsi="標楷體"/>
          <w:color w:val="000000"/>
          <w:sz w:val="28"/>
          <w:szCs w:val="28"/>
        </w:rPr>
        <w:t>學者與人權團體長年呼籲，有關國家人權委員會之職權行使，應另有專法周延規定。學者專家指出，我國監察委員與人權委員職權</w:t>
      </w:r>
      <w:proofErr w:type="gramStart"/>
      <w:r w:rsidRPr="001B6E4D">
        <w:rPr>
          <w:rFonts w:ascii="標楷體" w:eastAsia="標楷體" w:hAnsi="標楷體"/>
          <w:color w:val="000000"/>
          <w:sz w:val="28"/>
          <w:szCs w:val="28"/>
        </w:rPr>
        <w:t>迥</w:t>
      </w:r>
      <w:proofErr w:type="gramEnd"/>
      <w:r w:rsidRPr="001B6E4D">
        <w:rPr>
          <w:rFonts w:ascii="標楷體" w:eastAsia="標楷體" w:hAnsi="標楷體"/>
          <w:color w:val="000000"/>
          <w:sz w:val="28"/>
          <w:szCs w:val="28"/>
        </w:rPr>
        <w:t>異，前者職權行使對象僅限於公部門，並</w:t>
      </w:r>
      <w:proofErr w:type="gramStart"/>
      <w:r w:rsidRPr="001B6E4D">
        <w:rPr>
          <w:rFonts w:ascii="標楷體" w:eastAsia="標楷體" w:hAnsi="標楷體"/>
          <w:color w:val="000000"/>
          <w:sz w:val="28"/>
          <w:szCs w:val="28"/>
        </w:rPr>
        <w:t>採</w:t>
      </w:r>
      <w:proofErr w:type="gramEnd"/>
      <w:r w:rsidRPr="001B6E4D">
        <w:rPr>
          <w:rFonts w:ascii="標楷體" w:eastAsia="標楷體" w:hAnsi="標楷體"/>
          <w:color w:val="000000"/>
          <w:sz w:val="28"/>
          <w:szCs w:val="28"/>
        </w:rPr>
        <w:t>「事後被動監督」，不主動介入行政過程；後者職權行使對象涵蓋公私部門，並且面對有違人權疑慮之情形，有「事前主動介入」特性。若將人權委員會職權行使規定修訂於《監察法》，恐使外界混淆兩者，並不利於</w:t>
      </w:r>
      <w:proofErr w:type="gramStart"/>
      <w:r w:rsidRPr="001B6E4D">
        <w:rPr>
          <w:rFonts w:ascii="標楷體" w:eastAsia="標楷體" w:hAnsi="標楷體"/>
          <w:color w:val="000000"/>
          <w:sz w:val="28"/>
          <w:szCs w:val="28"/>
        </w:rPr>
        <w:t>釐</w:t>
      </w:r>
      <w:proofErr w:type="gramEnd"/>
      <w:r w:rsidRPr="001B6E4D">
        <w:rPr>
          <w:rFonts w:ascii="標楷體" w:eastAsia="標楷體" w:hAnsi="標楷體"/>
          <w:color w:val="000000"/>
          <w:sz w:val="28"/>
          <w:szCs w:val="28"/>
        </w:rPr>
        <w:t>清國家人權委員會獨特的職責與使命。</w:t>
      </w:r>
    </w:p>
    <w:p w14:paraId="70F5B77C" w14:textId="77777777" w:rsidR="00705B3D" w:rsidRPr="001B6E4D" w:rsidRDefault="00705B3D" w:rsidP="003D1018">
      <w:pPr>
        <w:overflowPunct w:val="0"/>
        <w:snapToGrid w:val="0"/>
        <w:spacing w:line="380" w:lineRule="exact"/>
        <w:ind w:left="1038"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建請監察院及</w:t>
      </w:r>
      <w:r w:rsidRPr="001B6E4D">
        <w:rPr>
          <w:rFonts w:ascii="標楷體" w:eastAsia="標楷體" w:hAnsi="標楷體" w:hint="eastAsia"/>
          <w:color w:val="000000"/>
          <w:sz w:val="28"/>
          <w:szCs w:val="28"/>
        </w:rPr>
        <w:t>監察院</w:t>
      </w:r>
      <w:r w:rsidRPr="001B6E4D">
        <w:rPr>
          <w:rFonts w:ascii="標楷體" w:eastAsia="標楷體" w:hAnsi="標楷體"/>
          <w:color w:val="000000"/>
          <w:sz w:val="28"/>
          <w:szCs w:val="28"/>
        </w:rPr>
        <w:t>國家人權委員會積極溝通，參酌國際案例，</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議是否訂定國家人權委員會作用法，以確保國家人權委員會能妥善行使職權，積極推動人權工作，並且在法律、政策、財政等方面皆保持獨立性，符合《巴黎原則》所揭示的國際標準。請監察院於</w:t>
      </w:r>
      <w:r w:rsidRPr="001B6E4D">
        <w:rPr>
          <w:rFonts w:ascii="標楷體" w:eastAsia="標楷體" w:hAnsi="標楷體" w:hint="eastAsia"/>
          <w:color w:val="000000"/>
          <w:sz w:val="28"/>
          <w:szCs w:val="28"/>
        </w:rPr>
        <w:t>2</w:t>
      </w:r>
      <w:r w:rsidRPr="001B6E4D">
        <w:rPr>
          <w:rFonts w:ascii="標楷體" w:eastAsia="標楷體" w:hAnsi="標楷體"/>
          <w:color w:val="000000"/>
          <w:sz w:val="28"/>
          <w:szCs w:val="28"/>
        </w:rPr>
        <w:t>個月內提</w:t>
      </w:r>
      <w:r w:rsidRPr="001B6E4D">
        <w:rPr>
          <w:rFonts w:ascii="標楷體" w:eastAsia="標楷體" w:hAnsi="標楷體" w:hint="eastAsia"/>
          <w:color w:val="000000"/>
          <w:sz w:val="28"/>
          <w:szCs w:val="28"/>
        </w:rPr>
        <w:t>送</w:t>
      </w:r>
      <w:r w:rsidRPr="001B6E4D">
        <w:rPr>
          <w:rFonts w:ascii="標楷體" w:eastAsia="標楷體" w:hAnsi="標楷體"/>
          <w:color w:val="000000"/>
          <w:sz w:val="28"/>
          <w:szCs w:val="28"/>
        </w:rPr>
        <w:t>書面報告</w:t>
      </w:r>
      <w:bookmarkStart w:id="517" w:name="_Hlk229474742"/>
      <w:r w:rsidRPr="001B6E4D">
        <w:rPr>
          <w:rFonts w:ascii="標楷體" w:eastAsia="標楷體" w:hAnsi="標楷體"/>
          <w:color w:val="000000"/>
          <w:sz w:val="28"/>
          <w:szCs w:val="28"/>
        </w:rPr>
        <w:t>予立法院司法及法制委員會</w:t>
      </w:r>
      <w:bookmarkEnd w:id="517"/>
      <w:r w:rsidRPr="001B6E4D">
        <w:rPr>
          <w:rFonts w:ascii="標楷體" w:eastAsia="標楷體" w:hAnsi="標楷體"/>
          <w:color w:val="000000"/>
          <w:sz w:val="28"/>
          <w:szCs w:val="28"/>
        </w:rPr>
        <w:t>。【48】</w:t>
      </w:r>
    </w:p>
    <w:p w14:paraId="1D8D02EA"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45B59004"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6162CE74" w14:textId="77777777" w:rsidR="00705B3D" w:rsidRPr="001B6E4D" w:rsidRDefault="00705B3D" w:rsidP="003D1018">
      <w:pPr>
        <w:widowControl w:val="0"/>
        <w:numPr>
          <w:ilvl w:val="0"/>
          <w:numId w:val="51"/>
        </w:numPr>
        <w:overflowPunct w:val="0"/>
        <w:snapToGrid w:val="0"/>
        <w:spacing w:line="380" w:lineRule="exact"/>
        <w:ind w:leftChars="200" w:left="1040" w:hangingChars="200" w:hanging="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年度監察院</w:t>
      </w:r>
      <w:bookmarkStart w:id="518" w:name="_Hlk229474361"/>
      <w:r w:rsidRPr="001B6E4D">
        <w:rPr>
          <w:rFonts w:ascii="標楷體" w:eastAsia="標楷體" w:hAnsi="標楷體" w:hint="eastAsia"/>
          <w:color w:val="000000"/>
          <w:sz w:val="28"/>
          <w:szCs w:val="28"/>
        </w:rPr>
        <w:t>預算案於第5目</w:t>
      </w:r>
      <w:bookmarkEnd w:id="518"/>
      <w:r w:rsidRPr="001B6E4D">
        <w:rPr>
          <w:rFonts w:ascii="標楷體" w:eastAsia="標楷體" w:hAnsi="標楷體"/>
          <w:color w:val="000000"/>
          <w:sz w:val="28"/>
          <w:szCs w:val="28"/>
        </w:rPr>
        <w:t>「國家人權業務」計畫編列1億1,151萬6千元，其中業務費編列1億</w:t>
      </w:r>
      <w:r w:rsidRPr="001B6E4D">
        <w:rPr>
          <w:rFonts w:ascii="標楷體" w:eastAsia="標楷體" w:hAnsi="標楷體" w:hint="eastAsia"/>
          <w:color w:val="000000"/>
          <w:sz w:val="28"/>
          <w:szCs w:val="28"/>
        </w:rPr>
        <w:t>0</w:t>
      </w:r>
      <w:r w:rsidRPr="001B6E4D">
        <w:rPr>
          <w:rFonts w:ascii="標楷體" w:eastAsia="標楷體" w:hAnsi="標楷體"/>
          <w:color w:val="000000"/>
          <w:sz w:val="28"/>
          <w:szCs w:val="28"/>
        </w:rPr>
        <w:t>,062萬3千元，占監察院整體業務費42.86%，為各項業務計畫中最高者。國家人權業務屬監察院法定職掌，推動相關人權保障工作確有其必要性，惟預算編列及執行仍應建立明確之政策目標、績效指標及經費效益評估機制，以利立法院審議監督，並使社會大眾瞭解國家人權業務之推動方向及實際成效。</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要求監察院應就</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年度單位預算「國家人權業務」之執行內容、預期成果提出完整說明，並</w:t>
      </w:r>
      <w:r w:rsidRPr="001B6E4D">
        <w:rPr>
          <w:rFonts w:ascii="標楷體" w:eastAsia="標楷體" w:hAnsi="標楷體" w:hint="eastAsia"/>
          <w:color w:val="000000"/>
          <w:sz w:val="28"/>
          <w:szCs w:val="28"/>
        </w:rPr>
        <w:t>將相關成果</w:t>
      </w:r>
      <w:r w:rsidRPr="001B6E4D">
        <w:rPr>
          <w:rFonts w:ascii="標楷體" w:eastAsia="標楷體" w:hAnsi="標楷體"/>
          <w:color w:val="000000"/>
          <w:sz w:val="28"/>
          <w:szCs w:val="28"/>
        </w:rPr>
        <w:t>公布於網站，應於3個月內向立法院司法及法制委員會提出書面報告。【49】</w:t>
      </w:r>
    </w:p>
    <w:p w14:paraId="269732A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117EE379"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4BE95247" w14:textId="77777777" w:rsidR="00705B3D" w:rsidRPr="001B6E4D" w:rsidRDefault="00705B3D" w:rsidP="003D1018">
      <w:pPr>
        <w:pStyle w:val="4"/>
      </w:pPr>
      <w:proofErr w:type="gramStart"/>
      <w:r w:rsidRPr="001B6E4D">
        <w:t>115</w:t>
      </w:r>
      <w:proofErr w:type="gramEnd"/>
      <w:r w:rsidRPr="001B6E4D">
        <w:t>年度監察院單位預算各業務計畫項下「國外旅費」合計編列1,296萬元，較</w:t>
      </w:r>
      <w:proofErr w:type="gramStart"/>
      <w:r w:rsidRPr="001B6E4D">
        <w:t>113</w:t>
      </w:r>
      <w:proofErr w:type="gramEnd"/>
      <w:r w:rsidRPr="001B6E4D">
        <w:t>年度決算數增加337萬2千元，增</w:t>
      </w:r>
      <w:r w:rsidRPr="001B6E4D">
        <w:lastRenderedPageBreak/>
        <w:t>幅達35.17%，顯示相關經費已有明顯成長。</w:t>
      </w:r>
      <w:proofErr w:type="gramStart"/>
      <w:r w:rsidRPr="001B6E4D">
        <w:t>惟</w:t>
      </w:r>
      <w:proofErr w:type="gramEnd"/>
      <w:r w:rsidRPr="001B6E4D">
        <w:t>出國考察、會議及交流計畫，仍應本</w:t>
      </w:r>
      <w:proofErr w:type="gramStart"/>
      <w:r w:rsidRPr="001B6E4D">
        <w:t>撙</w:t>
      </w:r>
      <w:proofErr w:type="gramEnd"/>
      <w:r w:rsidRPr="001B6E4D">
        <w:t>節原則審慎編列，並檢討是否有相同考察國家、相近交流對象或相容議題可予整</w:t>
      </w:r>
      <w:proofErr w:type="gramStart"/>
      <w:r w:rsidRPr="001B6E4D">
        <w:t>併</w:t>
      </w:r>
      <w:proofErr w:type="gramEnd"/>
      <w:r w:rsidRPr="001B6E4D">
        <w:t>辦理，以避免重複派員、分散資源，並提升出國計畫之實質效益。</w:t>
      </w:r>
    </w:p>
    <w:p w14:paraId="510645E8" w14:textId="77777777" w:rsidR="00705B3D" w:rsidRPr="001B6E4D" w:rsidRDefault="00705B3D" w:rsidP="003D1018">
      <w:pPr>
        <w:pStyle w:val="afffffffffd"/>
        <w:overflowPunct w:val="0"/>
      </w:pPr>
      <w:proofErr w:type="gramStart"/>
      <w:r w:rsidRPr="001B6E4D">
        <w:t>爰</w:t>
      </w:r>
      <w:proofErr w:type="gramEnd"/>
      <w:r w:rsidRPr="001B6E4D">
        <w:t>要求監察院</w:t>
      </w:r>
      <w:r w:rsidRPr="001B6E4D">
        <w:rPr>
          <w:rFonts w:hint="eastAsia"/>
        </w:rPr>
        <w:t>3</w:t>
      </w:r>
      <w:r w:rsidRPr="001B6E4D">
        <w:t>個月內應就</w:t>
      </w:r>
      <w:proofErr w:type="gramStart"/>
      <w:r w:rsidRPr="001B6E4D">
        <w:t>115</w:t>
      </w:r>
      <w:proofErr w:type="gramEnd"/>
      <w:r w:rsidRPr="001B6E4D">
        <w:t>年度各項出國計畫之目的、預期成果、經費估算、出國人員配置、過往執行成效及可整</w:t>
      </w:r>
      <w:proofErr w:type="gramStart"/>
      <w:r w:rsidRPr="001B6E4D">
        <w:t>併</w:t>
      </w:r>
      <w:proofErr w:type="gramEnd"/>
      <w:r w:rsidRPr="001B6E4D">
        <w:t>項目進行檢討，並提出具體精進措施</w:t>
      </w:r>
      <w:r w:rsidRPr="001B6E4D">
        <w:rPr>
          <w:rFonts w:hint="eastAsia"/>
        </w:rPr>
        <w:t>送立法院司法及法制委員會</w:t>
      </w:r>
      <w:r w:rsidRPr="001B6E4D">
        <w:t>，以強化預算使用效益及外部監督。【50】</w:t>
      </w:r>
    </w:p>
    <w:p w14:paraId="78B4C67F"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4A2FE19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連署人：沈發惠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29EDFD41" w14:textId="77777777" w:rsidR="00705B3D" w:rsidRPr="001B6E4D" w:rsidRDefault="00705B3D" w:rsidP="003D1018">
      <w:pPr>
        <w:pStyle w:val="4"/>
      </w:pPr>
      <w:proofErr w:type="gramStart"/>
      <w:r w:rsidRPr="001B6E4D">
        <w:t>115</w:t>
      </w:r>
      <w:proofErr w:type="gramEnd"/>
      <w:r w:rsidRPr="001B6E4D">
        <w:t>年度監察院</w:t>
      </w:r>
      <w:r w:rsidRPr="001B6E4D">
        <w:rPr>
          <w:rFonts w:hint="eastAsia"/>
        </w:rPr>
        <w:t>預算案於第4目</w:t>
      </w:r>
      <w:r w:rsidRPr="001B6E4D">
        <w:t>「財產申報業務」</w:t>
      </w:r>
      <w:r w:rsidRPr="001B6E4D">
        <w:rPr>
          <w:rFonts w:hint="eastAsia"/>
        </w:rPr>
        <w:t>項下</w:t>
      </w:r>
      <w:r w:rsidRPr="001B6E4D">
        <w:t>「政治獻金申報」編列566萬9千元，較</w:t>
      </w:r>
      <w:proofErr w:type="gramStart"/>
      <w:r w:rsidRPr="001B6E4D">
        <w:t>114</w:t>
      </w:r>
      <w:proofErr w:type="gramEnd"/>
      <w:r w:rsidRPr="001B6E4D">
        <w:t>年度預算數61萬元，增加505萬9千元，主要係因政治獻金業務系統委外維護、平台雲端服務費用，以及因應115年底地方公職人員選舉，需辦理政治</w:t>
      </w:r>
      <w:proofErr w:type="gramStart"/>
      <w:r w:rsidRPr="001B6E4D">
        <w:t>獻金專戶</w:t>
      </w:r>
      <w:proofErr w:type="gramEnd"/>
      <w:r w:rsidRPr="001B6E4D">
        <w:t>許可設立與輔導作業等。</w:t>
      </w:r>
    </w:p>
    <w:p w14:paraId="2A195E36" w14:textId="77777777" w:rsidR="00705B3D" w:rsidRPr="001B6E4D" w:rsidRDefault="00705B3D" w:rsidP="003D1018">
      <w:pPr>
        <w:pStyle w:val="afffffffffd"/>
        <w:overflowPunct w:val="0"/>
      </w:pPr>
      <w:proofErr w:type="gramStart"/>
      <w:r w:rsidRPr="001B6E4D">
        <w:t>惟查</w:t>
      </w:r>
      <w:proofErr w:type="gramEnd"/>
      <w:r w:rsidRPr="001B6E4D">
        <w:t>，近次政治獻金查核計畫中，各類查核對象之查核比率差異甚大，其中政黨查核比率約37%、總統副總統約43%、立法委員約66%，惟地方公職人員查核比率僅約16.6%，明顯偏低。</w:t>
      </w:r>
      <w:proofErr w:type="gramStart"/>
      <w:r w:rsidRPr="001B6E4D">
        <w:t>鑑</w:t>
      </w:r>
      <w:proofErr w:type="gramEnd"/>
      <w:r w:rsidRPr="001B6E4D">
        <w:t>於115年底即將辦理地方公職人員選舉，政治獻金申報及查核案件勢必增加，監察院應就地方公職人員政治獻金查核建立更明確之風險分級、抽查標準及查核強化機制，以避免查核資源配置失衡。另查，104至113年度監察院政治獻金查核及調查案件審議結果，總計審議1,581案，其中處罰726件，占45.9%；不處罰830件，占52.5%，不處罰比率逾五成。尤其擬參選人案件不處罰件數達788件，占比77%。不處罰比率偏高，究係因案件本無違法事實，抑或受限於現行查核人力、查核工具、金流勾</w:t>
      </w:r>
      <w:proofErr w:type="gramStart"/>
      <w:r w:rsidRPr="001B6E4D">
        <w:t>稽</w:t>
      </w:r>
      <w:proofErr w:type="gramEnd"/>
      <w:r w:rsidRPr="001B6E4D">
        <w:t>及法規不足，致難以查明不法，</w:t>
      </w:r>
      <w:proofErr w:type="gramStart"/>
      <w:r w:rsidRPr="001B6E4D">
        <w:t>均有進一步</w:t>
      </w:r>
      <w:proofErr w:type="gramEnd"/>
      <w:r w:rsidRPr="001B6E4D">
        <w:t>檢討必要。</w:t>
      </w:r>
      <w:proofErr w:type="gramStart"/>
      <w:r w:rsidRPr="001B6E4D">
        <w:t>此外，</w:t>
      </w:r>
      <w:proofErr w:type="gramEnd"/>
      <w:r w:rsidRPr="001B6E4D">
        <w:t>直播捐獻、網路</w:t>
      </w:r>
      <w:proofErr w:type="gramStart"/>
      <w:r w:rsidRPr="001B6E4D">
        <w:t>平台抖內</w:t>
      </w:r>
      <w:proofErr w:type="gramEnd"/>
      <w:r w:rsidRPr="001B6E4D">
        <w:t>、虛擬通貨等新型態政治獻金，是否納入規範及如何查核，仍待法制明確化；超過一定金額之政治獻金支出，是否應強制由政治</w:t>
      </w:r>
      <w:proofErr w:type="gramStart"/>
      <w:r w:rsidRPr="001B6E4D">
        <w:t>獻金專戶</w:t>
      </w:r>
      <w:proofErr w:type="gramEnd"/>
      <w:r w:rsidRPr="001B6E4D">
        <w:t>匯出，以利金流勾</w:t>
      </w:r>
      <w:proofErr w:type="gramStart"/>
      <w:r w:rsidRPr="001B6E4D">
        <w:t>稽</w:t>
      </w:r>
      <w:proofErr w:type="gramEnd"/>
      <w:r w:rsidRPr="001B6E4D">
        <w:t>，亦有檢討必要。</w:t>
      </w:r>
    </w:p>
    <w:p w14:paraId="2A400EEB" w14:textId="77777777" w:rsidR="00705B3D" w:rsidRPr="001B6E4D" w:rsidRDefault="00705B3D" w:rsidP="003D1018">
      <w:pPr>
        <w:pStyle w:val="afffffffffd"/>
        <w:overflowPunct w:val="0"/>
      </w:pPr>
      <w:r w:rsidRPr="001B6E4D">
        <w:t>為確保</w:t>
      </w:r>
      <w:proofErr w:type="gramStart"/>
      <w:r w:rsidRPr="001B6E4D">
        <w:t>115</w:t>
      </w:r>
      <w:proofErr w:type="gramEnd"/>
      <w:r w:rsidRPr="001B6E4D">
        <w:t>年度新增預算確實用於提升政治獻金查核效能，而</w:t>
      </w:r>
      <w:r w:rsidRPr="001B6E4D">
        <w:rPr>
          <w:rFonts w:hint="eastAsia"/>
        </w:rPr>
        <w:t>非僅支應系統維護及行政作業，請監察院於3個月內向立法院司法及法制委員會提出具體檢討及改善之書面報告。</w:t>
      </w:r>
      <w:r w:rsidRPr="001B6E4D">
        <w:t>【51】</w:t>
      </w:r>
    </w:p>
    <w:p w14:paraId="768903EA"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0168313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連署人：沈發惠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153461D9" w14:textId="77777777" w:rsidR="00705B3D" w:rsidRPr="001B6E4D" w:rsidRDefault="00705B3D" w:rsidP="003D1018">
      <w:pPr>
        <w:pStyle w:val="4"/>
      </w:pPr>
      <w:r w:rsidRPr="001B6E4D">
        <w:t>監察院</w:t>
      </w:r>
      <w:proofErr w:type="gramStart"/>
      <w:r w:rsidRPr="001B6E4D">
        <w:t>115</w:t>
      </w:r>
      <w:proofErr w:type="gramEnd"/>
      <w:r w:rsidRPr="001B6E4D">
        <w:t>年度聘用人員預算員額為98人，較</w:t>
      </w:r>
      <w:proofErr w:type="gramStart"/>
      <w:r w:rsidRPr="001B6E4D">
        <w:t>114</w:t>
      </w:r>
      <w:proofErr w:type="gramEnd"/>
      <w:r w:rsidRPr="001B6E4D">
        <w:t>年度增加2人，係專案函報行政院核准用以辦理政治獻金支出查核業</w:t>
      </w:r>
      <w:r w:rsidRPr="001B6E4D">
        <w:lastRenderedPageBreak/>
        <w:t>務，並預計於</w:t>
      </w:r>
      <w:proofErr w:type="gramStart"/>
      <w:r w:rsidRPr="001B6E4D">
        <w:t>117</w:t>
      </w:r>
      <w:proofErr w:type="gramEnd"/>
      <w:r w:rsidRPr="001B6E4D">
        <w:t>年度審議預算員額時全數減列。</w:t>
      </w:r>
      <w:proofErr w:type="gramStart"/>
      <w:r w:rsidRPr="001B6E4D">
        <w:t>惟查</w:t>
      </w:r>
      <w:proofErr w:type="gramEnd"/>
      <w:r w:rsidRPr="001B6E4D">
        <w:t>，監察院</w:t>
      </w:r>
      <w:proofErr w:type="gramStart"/>
      <w:r w:rsidRPr="001B6E4D">
        <w:t>115</w:t>
      </w:r>
      <w:proofErr w:type="gramEnd"/>
      <w:r w:rsidRPr="001B6E4D">
        <w:t>年度聘用人員員額占該院預算總人數548人(約17.88%)；即使扣除依監察院組織法及監察院國家人權委員會組織法規定之聘用員額39人後，占比仍達10.77%，高於一般聘用人員員額以不超過預算總人數5%為原則之管控精神。</w:t>
      </w:r>
    </w:p>
    <w:p w14:paraId="159A8007" w14:textId="77777777" w:rsidR="00705B3D" w:rsidRPr="001B6E4D" w:rsidRDefault="00705B3D" w:rsidP="003D1018">
      <w:pPr>
        <w:pStyle w:val="afffffffffd"/>
        <w:overflowPunct w:val="0"/>
      </w:pPr>
      <w:r w:rsidRPr="001B6E4D">
        <w:t>另查，監察院另以專案核准方式增加聘用員額，用以辦理陽光四法等經常性業務，恐有以專案聘用人力長期支應常態性業務之情形。尤其截至114年8月底止，監察院聘用人員服務年資滿7年以上者占比約56%；若加計服務滿3年以上未滿7年者，合計占比達83%，顯示原應屬一年</w:t>
      </w:r>
      <w:proofErr w:type="gramStart"/>
      <w:r w:rsidRPr="001B6E4D">
        <w:t>一</w:t>
      </w:r>
      <w:proofErr w:type="gramEnd"/>
      <w:r w:rsidRPr="001B6E4D">
        <w:t>聘之契約型人力，已有</w:t>
      </w:r>
      <w:proofErr w:type="gramStart"/>
      <w:r w:rsidRPr="001B6E4D">
        <w:t>明顯久任化</w:t>
      </w:r>
      <w:proofErr w:type="gramEnd"/>
      <w:r w:rsidRPr="001B6E4D">
        <w:t>現象。</w:t>
      </w:r>
    </w:p>
    <w:p w14:paraId="632E4261" w14:textId="77777777" w:rsidR="00705B3D" w:rsidRPr="001B6E4D" w:rsidRDefault="00705B3D" w:rsidP="003D1018">
      <w:pPr>
        <w:pStyle w:val="afffffffffd"/>
        <w:overflowPunct w:val="0"/>
      </w:pPr>
      <w:r w:rsidRPr="001B6E4D">
        <w:t>聘用人員制度原係為因應專業性、技術性及非現有人員所能擔任之業務需求，並非作為長期辦理經常性業務之替代人力。監察院作為憲政機關，應更審慎檢討聘用人員員額配置、</w:t>
      </w:r>
      <w:proofErr w:type="gramStart"/>
      <w:r w:rsidRPr="001B6E4D">
        <w:t>專案核增之</w:t>
      </w:r>
      <w:proofErr w:type="gramEnd"/>
      <w:r w:rsidRPr="001B6E4D">
        <w:t>必要性，以及經常性業務是否應回歸編制內人員辦理，以避免組織編制外人力持續擴張，並符合員額控管及用人制度合理化原則。</w:t>
      </w:r>
    </w:p>
    <w:p w14:paraId="00B55D6B" w14:textId="77777777" w:rsidR="00705B3D" w:rsidRPr="001B6E4D" w:rsidRDefault="00705B3D" w:rsidP="003D1018">
      <w:pPr>
        <w:pStyle w:val="afffffffffd"/>
        <w:overflowPunct w:val="0"/>
      </w:pPr>
      <w:r w:rsidRPr="001B6E4D">
        <w:t>綜上，請監察院針對約聘僱人員業務以及聘用進行檢討，於3個月內向立法院司法及法制委員會提出書面報告。【52】</w:t>
      </w:r>
    </w:p>
    <w:p w14:paraId="48CD8951"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1019D227"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499FEC6C" w14:textId="77777777" w:rsidR="00705B3D" w:rsidRPr="001B6E4D" w:rsidRDefault="00705B3D" w:rsidP="003D1018">
      <w:pPr>
        <w:pStyle w:val="4"/>
      </w:pPr>
      <w:proofErr w:type="gramStart"/>
      <w:r w:rsidRPr="001B6E4D">
        <w:t>115</w:t>
      </w:r>
      <w:proofErr w:type="gramEnd"/>
      <w:r w:rsidRPr="001B6E4D">
        <w:t>年度監察院預算</w:t>
      </w:r>
      <w:r w:rsidRPr="001B6E4D">
        <w:rPr>
          <w:rFonts w:hint="eastAsia"/>
        </w:rPr>
        <w:t>案於第6目</w:t>
      </w:r>
      <w:r w:rsidRPr="001B6E4D">
        <w:t>「一般建築及設備」</w:t>
      </w:r>
      <w:r w:rsidRPr="001B6E4D">
        <w:rPr>
          <w:rFonts w:hint="eastAsia"/>
        </w:rPr>
        <w:t>第1節</w:t>
      </w:r>
      <w:r w:rsidRPr="001B6E4D">
        <w:t>「營建工程」</w:t>
      </w:r>
      <w:bookmarkStart w:id="519" w:name="_Hlk229475030"/>
      <w:r w:rsidRPr="001B6E4D">
        <w:rPr>
          <w:rFonts w:hint="eastAsia"/>
        </w:rPr>
        <w:t>項下</w:t>
      </w:r>
      <w:r w:rsidRPr="001B6E4D">
        <w:t>「</w:t>
      </w:r>
      <w:bookmarkEnd w:id="519"/>
      <w:r w:rsidRPr="001B6E4D">
        <w:t>設備及投資」</w:t>
      </w:r>
      <w:r w:rsidRPr="001B6E4D">
        <w:rPr>
          <w:rFonts w:hint="eastAsia"/>
        </w:rPr>
        <w:t>中「</w:t>
      </w:r>
      <w:r w:rsidRPr="001B6E4D">
        <w:t>房屋建築及設備費</w:t>
      </w:r>
      <w:r w:rsidRPr="001B6E4D">
        <w:rPr>
          <w:rFonts w:hint="eastAsia"/>
        </w:rPr>
        <w:t>」編列</w:t>
      </w:r>
      <w:r w:rsidRPr="001B6E4D">
        <w:t>4,367萬3千元，較</w:t>
      </w:r>
      <w:proofErr w:type="gramStart"/>
      <w:r w:rsidRPr="001B6E4D">
        <w:t>114</w:t>
      </w:r>
      <w:proofErr w:type="gramEnd"/>
      <w:r w:rsidRPr="001B6E4D">
        <w:t>年度預算數1,699萬元增加2,668萬3千元，增幅達157.05%，主要係辦理古蹟及廳舍修繕、國定古蹟區域維護、消防系統改善或新建等工程。</w:t>
      </w:r>
      <w:proofErr w:type="gramStart"/>
      <w:r w:rsidRPr="001B6E4D">
        <w:t>惟查</w:t>
      </w:r>
      <w:proofErr w:type="gramEnd"/>
      <w:r w:rsidRPr="001B6E4D">
        <w:t>，監察院107至113年度「營建工程」計畫多有預算執行率偏低情形，其中109及</w:t>
      </w:r>
      <w:proofErr w:type="gramStart"/>
      <w:r w:rsidRPr="001B6E4D">
        <w:t>111</w:t>
      </w:r>
      <w:proofErr w:type="gramEnd"/>
      <w:r w:rsidRPr="001B6E4D">
        <w:t>年度執行率甚至未達五成，相關經費多保留至以後年度執行，顯示工程規劃、採購期程及年度執行量能仍有檢討必要。</w:t>
      </w:r>
    </w:p>
    <w:p w14:paraId="173DC54D" w14:textId="77777777" w:rsidR="00705B3D" w:rsidRPr="001B6E4D" w:rsidRDefault="00705B3D" w:rsidP="003D1018">
      <w:pPr>
        <w:pStyle w:val="afffffffffd"/>
        <w:overflowPunct w:val="0"/>
      </w:pPr>
      <w:proofErr w:type="gramStart"/>
      <w:r w:rsidRPr="001B6E4D">
        <w:t>鑑</w:t>
      </w:r>
      <w:proofErr w:type="gramEnd"/>
      <w:r w:rsidRPr="001B6E4D">
        <w:t>於</w:t>
      </w:r>
      <w:proofErr w:type="gramStart"/>
      <w:r w:rsidRPr="001B6E4D">
        <w:t>115</w:t>
      </w:r>
      <w:proofErr w:type="gramEnd"/>
      <w:r w:rsidRPr="001B6E4D">
        <w:t>年度營建工程預算大幅增加，且工程內容涉及古蹟、廳舍、消防系統、中央空調及通風監控等設施改善，除應避免預算執行不及或持續形成保留款外，更應確保施工期間及完工後之工作環境安全，並符合《職業安全衛生法》及相關法規要求，落實危害辨識、風險評估、承攬管理、施工安全、防火避難、通風換氣及勞工安全衛生管理等事項。監察院應參酌以前年度決算數、實際工程需求、採購進度及執行量能，核實編列並加強管控各項工程期程，以提升年度預算執行率及預算資源運用效益，</w:t>
      </w:r>
      <w:proofErr w:type="gramStart"/>
      <w:r w:rsidRPr="001B6E4D">
        <w:t>爰</w:t>
      </w:r>
      <w:proofErr w:type="gramEnd"/>
      <w:r w:rsidRPr="001B6E4D">
        <w:t>要求監察院於3個月內向立法院司法及法制</w:t>
      </w:r>
      <w:r w:rsidRPr="001B6E4D">
        <w:lastRenderedPageBreak/>
        <w:t>委員會提出「營建工程預算編列、執行量能及職業安全衛生管考改善書面報告」。【53】</w:t>
      </w:r>
    </w:p>
    <w:p w14:paraId="37C6DB3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62D38D7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沈發惠</w:t>
      </w:r>
    </w:p>
    <w:p w14:paraId="68E6DD94" w14:textId="77777777" w:rsidR="00705B3D" w:rsidRPr="001B6E4D" w:rsidRDefault="00705B3D" w:rsidP="003D1018">
      <w:pPr>
        <w:pStyle w:val="0-"/>
        <w:overflowPunct w:val="0"/>
        <w:spacing w:line="380" w:lineRule="exact"/>
        <w:ind w:leftChars="2" w:left="566" w:hanging="561"/>
        <w:rPr>
          <w:b/>
          <w:shd w:val="clear" w:color="auto" w:fill="FFFFFF"/>
        </w:rPr>
      </w:pPr>
      <w:r w:rsidRPr="001B6E4D">
        <w:rPr>
          <w:rFonts w:hint="eastAsia"/>
          <w:b/>
          <w:shd w:val="clear" w:color="auto" w:fill="FFFFFF"/>
        </w:rPr>
        <w:t>三、中華民國</w:t>
      </w:r>
      <w:proofErr w:type="gramStart"/>
      <w:r w:rsidRPr="001B6E4D">
        <w:rPr>
          <w:b/>
          <w:shd w:val="clear" w:color="auto" w:fill="FFFFFF"/>
        </w:rPr>
        <w:t>115</w:t>
      </w:r>
      <w:proofErr w:type="gramEnd"/>
      <w:r w:rsidRPr="001B6E4D">
        <w:rPr>
          <w:rFonts w:hint="eastAsia"/>
          <w:b/>
          <w:shd w:val="clear" w:color="auto" w:fill="FFFFFF"/>
        </w:rPr>
        <w:t>年度中央政府總預算案關於監察院主管</w:t>
      </w:r>
      <w:r w:rsidRPr="001B6E4D">
        <w:rPr>
          <w:rFonts w:hint="eastAsia"/>
          <w:b/>
        </w:rPr>
        <w:t>（</w:t>
      </w:r>
      <w:r w:rsidRPr="001B6E4D">
        <w:rPr>
          <w:b/>
          <w:shd w:val="clear" w:color="auto" w:fill="FFFFFF"/>
        </w:rPr>
        <w:t>不含審計部及所屬</w:t>
      </w:r>
      <w:r w:rsidRPr="001B6E4D">
        <w:rPr>
          <w:rFonts w:hint="eastAsia"/>
          <w:b/>
        </w:rPr>
        <w:t>）</w:t>
      </w:r>
      <w:r w:rsidRPr="001B6E4D">
        <w:rPr>
          <w:rFonts w:hint="eastAsia"/>
          <w:b/>
          <w:shd w:val="clear" w:color="auto" w:fill="FFFFFF"/>
        </w:rPr>
        <w:t>收支部分</w:t>
      </w:r>
      <w:r w:rsidRPr="001B6E4D">
        <w:rPr>
          <w:b/>
          <w:shd w:val="clear" w:color="auto" w:fill="FFFFFF"/>
        </w:rPr>
        <w:t>審查完竣，</w:t>
      </w:r>
      <w:r w:rsidRPr="001B6E4D">
        <w:rPr>
          <w:rFonts w:hint="eastAsia"/>
          <w:b/>
          <w:shd w:val="clear" w:color="auto" w:fill="FFFFFF"/>
        </w:rPr>
        <w:t>提報院會，院會討論前，</w:t>
      </w:r>
      <w:r w:rsidRPr="001B6E4D">
        <w:rPr>
          <w:b/>
          <w:shd w:val="clear" w:color="auto" w:fill="FFFFFF"/>
        </w:rPr>
        <w:t>須交由黨團協商</w:t>
      </w:r>
      <w:r w:rsidRPr="001B6E4D">
        <w:rPr>
          <w:rFonts w:hint="eastAsia"/>
          <w:b/>
          <w:shd w:val="clear" w:color="auto" w:fill="FFFFFF"/>
        </w:rPr>
        <w:t>；院會討論時，由翁召集委員曉玲出席說明</w:t>
      </w:r>
      <w:r w:rsidRPr="001B6E4D">
        <w:rPr>
          <w:b/>
          <w:shd w:val="clear" w:color="auto" w:fill="FFFFFF"/>
        </w:rPr>
        <w:t>。</w:t>
      </w:r>
    </w:p>
    <w:p w14:paraId="7BCF5E50" w14:textId="77777777" w:rsidR="00705B3D" w:rsidRPr="001B6E4D" w:rsidRDefault="00705B3D" w:rsidP="003D1018">
      <w:pPr>
        <w:overflowPunct w:val="0"/>
        <w:adjustRightInd w:val="0"/>
        <w:snapToGrid w:val="0"/>
        <w:spacing w:beforeLines="30" w:before="108" w:line="410" w:lineRule="exact"/>
        <w:ind w:left="561" w:hangingChars="200" w:hanging="561"/>
        <w:jc w:val="both"/>
        <w:rPr>
          <w:rFonts w:ascii="標楷體" w:eastAsia="標楷體" w:hAnsi="標楷體"/>
          <w:color w:val="FF0000"/>
          <w:sz w:val="28"/>
          <w:szCs w:val="28"/>
        </w:rPr>
      </w:pPr>
      <w:r w:rsidRPr="001B6E4D">
        <w:rPr>
          <w:rFonts w:ascii="標楷體" w:eastAsia="標楷體" w:hAnsi="標楷體" w:cs="標楷體"/>
          <w:b/>
          <w:kern w:val="0"/>
          <w:sz w:val="28"/>
          <w:szCs w:val="28"/>
        </w:rPr>
        <w:t>5</w:t>
      </w:r>
      <w:r w:rsidRPr="001B6E4D">
        <w:rPr>
          <w:rFonts w:ascii="標楷體" w:eastAsia="標楷體" w:hAnsi="標楷體" w:cs="標楷體" w:hint="eastAsia"/>
          <w:b/>
          <w:kern w:val="0"/>
          <w:sz w:val="28"/>
          <w:szCs w:val="28"/>
        </w:rPr>
        <w:t>月</w:t>
      </w:r>
      <w:r w:rsidRPr="001B6E4D">
        <w:rPr>
          <w:rFonts w:ascii="標楷體" w:eastAsia="標楷體" w:hAnsi="標楷體" w:cs="標楷體"/>
          <w:b/>
          <w:kern w:val="0"/>
          <w:sz w:val="28"/>
          <w:szCs w:val="28"/>
        </w:rPr>
        <w:t>27</w:t>
      </w:r>
      <w:r w:rsidRPr="001B6E4D">
        <w:rPr>
          <w:rFonts w:ascii="標楷體" w:eastAsia="標楷體" w:hAnsi="標楷體" w:cs="標楷體" w:hint="eastAsia"/>
          <w:b/>
          <w:kern w:val="0"/>
          <w:sz w:val="28"/>
          <w:szCs w:val="28"/>
        </w:rPr>
        <w:t>日（星期三）</w:t>
      </w:r>
    </w:p>
    <w:p w14:paraId="5D622450" w14:textId="77777777" w:rsidR="00705B3D" w:rsidRPr="001B6E4D" w:rsidRDefault="00705B3D" w:rsidP="003D1018">
      <w:pPr>
        <w:overflowPunct w:val="0"/>
        <w:adjustRightInd w:val="0"/>
        <w:snapToGrid w:val="0"/>
        <w:spacing w:beforeLines="30" w:before="108" w:line="410" w:lineRule="exact"/>
        <w:ind w:firstLineChars="398" w:firstLine="1115"/>
        <w:jc w:val="both"/>
        <w:rPr>
          <w:rFonts w:ascii="標楷體" w:eastAsia="標楷體" w:hAnsi="標楷體"/>
          <w:b/>
          <w:kern w:val="0"/>
          <w:sz w:val="28"/>
          <w:szCs w:val="28"/>
          <w:lang w:val="x-none"/>
        </w:rPr>
      </w:pPr>
      <w:r w:rsidRPr="001B6E4D">
        <w:rPr>
          <w:rFonts w:ascii="標楷體" w:eastAsia="標楷體" w:hAnsi="標楷體" w:hint="eastAsia"/>
          <w:b/>
          <w:kern w:val="0"/>
          <w:sz w:val="28"/>
          <w:szCs w:val="28"/>
          <w:lang w:val="x-none"/>
        </w:rPr>
        <w:t>討論事項</w:t>
      </w:r>
    </w:p>
    <w:p w14:paraId="1917F7A4" w14:textId="77777777" w:rsidR="00705B3D" w:rsidRPr="001B6E4D" w:rsidRDefault="00705B3D" w:rsidP="003D1018">
      <w:pPr>
        <w:kinsoku w:val="0"/>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一、</w:t>
      </w:r>
      <w:r w:rsidRPr="001B6E4D">
        <w:rPr>
          <w:rFonts w:ascii="標楷體" w:eastAsia="標楷體" w:hAnsi="標楷體" w:hint="eastAsia"/>
          <w:spacing w:val="-4"/>
          <w:sz w:val="28"/>
          <w:szCs w:val="28"/>
        </w:rPr>
        <w:t>繼續審查</w:t>
      </w:r>
      <w:proofErr w:type="gramStart"/>
      <w:r w:rsidRPr="001B6E4D">
        <w:rPr>
          <w:rFonts w:ascii="標楷體" w:eastAsia="標楷體" w:hAnsi="標楷體" w:hint="eastAsia"/>
          <w:spacing w:val="-4"/>
          <w:sz w:val="28"/>
          <w:szCs w:val="28"/>
        </w:rPr>
        <w:t>115</w:t>
      </w:r>
      <w:proofErr w:type="gramEnd"/>
      <w:r w:rsidRPr="001B6E4D">
        <w:rPr>
          <w:rFonts w:ascii="標楷體" w:eastAsia="標楷體" w:hAnsi="標楷體" w:hint="eastAsia"/>
          <w:spacing w:val="-4"/>
          <w:sz w:val="28"/>
          <w:szCs w:val="28"/>
        </w:rPr>
        <w:t>年度中央政府總預算案關於法務部及所屬主管收支部分。</w:t>
      </w:r>
    </w:p>
    <w:p w14:paraId="47841B9B" w14:textId="77777777" w:rsidR="00705B3D" w:rsidRPr="001B6E4D" w:rsidRDefault="00705B3D" w:rsidP="003D1018">
      <w:pPr>
        <w:kinsoku w:val="0"/>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二、繼續審查</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年度中央政府總預算案附屬單位預算非營業部分關於法務部主管「法務部矯正機關作業基金」收支部分。</w:t>
      </w:r>
    </w:p>
    <w:p w14:paraId="3223D8A9" w14:textId="77777777" w:rsidR="00705B3D" w:rsidRPr="001B6E4D" w:rsidRDefault="00705B3D" w:rsidP="003D1018">
      <w:pPr>
        <w:kinsoku w:val="0"/>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三、繼續審查</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年度中央政府總預算案附屬單位預算非營業部分關於法務部主管「毒品防制基金」收支部分。</w:t>
      </w:r>
    </w:p>
    <w:p w14:paraId="243B8C96" w14:textId="77777777" w:rsidR="00705B3D" w:rsidRPr="001B6E4D" w:rsidRDefault="00705B3D" w:rsidP="003D1018">
      <w:pPr>
        <w:kinsoku w:val="0"/>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四、</w:t>
      </w:r>
      <w:r w:rsidRPr="001B6E4D">
        <w:rPr>
          <w:rFonts w:ascii="標楷體" w:eastAsia="標楷體" w:hAnsi="標楷體" w:hint="eastAsia"/>
          <w:spacing w:val="2"/>
          <w:sz w:val="28"/>
          <w:szCs w:val="28"/>
        </w:rPr>
        <w:t>繼續審查法務部函送財團法人臺灣更生保護會、財團法人福建更生保護會及</w:t>
      </w:r>
      <w:r w:rsidRPr="001B6E4D">
        <w:rPr>
          <w:rFonts w:ascii="標楷體" w:eastAsia="標楷體" w:hAnsi="標楷體" w:hint="eastAsia"/>
          <w:sz w:val="28"/>
          <w:szCs w:val="28"/>
        </w:rPr>
        <w:t>財團法人犯罪被害人保護協會</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年度預算書案。</w:t>
      </w:r>
    </w:p>
    <w:p w14:paraId="1B8D0B05" w14:textId="77777777" w:rsidR="00705B3D" w:rsidRPr="001B6E4D" w:rsidRDefault="00705B3D" w:rsidP="003D1018">
      <w:pPr>
        <w:overflowPunct w:val="0"/>
        <w:autoSpaceDE w:val="0"/>
        <w:autoSpaceDN w:val="0"/>
        <w:adjustRightInd w:val="0"/>
        <w:spacing w:line="360" w:lineRule="exact"/>
        <w:ind w:left="848" w:hangingChars="303" w:hanging="848"/>
        <w:jc w:val="both"/>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決議：</w:t>
      </w:r>
      <w:bookmarkStart w:id="520" w:name="開會事由"/>
      <w:bookmarkEnd w:id="520"/>
    </w:p>
    <w:p w14:paraId="0CEC7EF5" w14:textId="77777777" w:rsidR="00705B3D" w:rsidRPr="001B6E4D" w:rsidRDefault="00705B3D" w:rsidP="003D1018">
      <w:pPr>
        <w:kinsoku w:val="0"/>
        <w:overflowPunct w:val="0"/>
        <w:spacing w:line="360" w:lineRule="exact"/>
        <w:ind w:left="537" w:hangingChars="200" w:hanging="537"/>
        <w:contextualSpacing/>
        <w:jc w:val="both"/>
        <w:rPr>
          <w:rFonts w:ascii="標楷體" w:eastAsia="標楷體" w:hAnsi="標楷體"/>
          <w:b/>
          <w:spacing w:val="-6"/>
          <w:sz w:val="28"/>
          <w:szCs w:val="28"/>
        </w:rPr>
      </w:pPr>
      <w:r w:rsidRPr="001B6E4D">
        <w:rPr>
          <w:rFonts w:ascii="標楷體" w:eastAsia="標楷體" w:hAnsi="標楷體" w:hint="eastAsia"/>
          <w:b/>
          <w:spacing w:val="-6"/>
          <w:sz w:val="28"/>
          <w:szCs w:val="28"/>
        </w:rPr>
        <w:t>一、</w:t>
      </w:r>
      <w:proofErr w:type="gramStart"/>
      <w:r w:rsidRPr="001B6E4D">
        <w:rPr>
          <w:rFonts w:ascii="標楷體" w:eastAsia="標楷體" w:hAnsi="標楷體" w:hint="eastAsia"/>
          <w:b/>
          <w:sz w:val="28"/>
          <w:szCs w:val="28"/>
        </w:rPr>
        <w:t>115</w:t>
      </w:r>
      <w:proofErr w:type="gramEnd"/>
      <w:r w:rsidRPr="001B6E4D">
        <w:rPr>
          <w:rFonts w:ascii="標楷體" w:eastAsia="標楷體" w:hAnsi="標楷體" w:hint="eastAsia"/>
          <w:b/>
          <w:sz w:val="28"/>
          <w:szCs w:val="28"/>
        </w:rPr>
        <w:t>年度中央政府總預算案關於法務部及所屬主管收支部分：</w:t>
      </w:r>
    </w:p>
    <w:p w14:paraId="67CF430F" w14:textId="77777777" w:rsidR="00705B3D" w:rsidRPr="001B6E4D" w:rsidRDefault="00705B3D" w:rsidP="003D1018">
      <w:pPr>
        <w:overflowPunct w:val="0"/>
        <w:snapToGrid w:val="0"/>
        <w:rPr>
          <w:rFonts w:ascii="標楷體" w:eastAsia="標楷體" w:hAnsi="標楷體" w:cs="標楷體"/>
          <w:b/>
          <w:bCs/>
          <w:color w:val="000000"/>
          <w:kern w:val="0"/>
          <w:sz w:val="28"/>
          <w:szCs w:val="28"/>
        </w:rPr>
      </w:pPr>
      <w:r w:rsidRPr="001B6E4D">
        <w:rPr>
          <w:rFonts w:ascii="標楷體" w:eastAsia="標楷體" w:hAnsi="標楷體" w:cs="標楷體" w:hint="eastAsia"/>
          <w:b/>
          <w:color w:val="000000"/>
          <w:kern w:val="0"/>
          <w:sz w:val="28"/>
          <w:szCs w:val="28"/>
        </w:rPr>
        <w:t>(</w:t>
      </w:r>
      <w:proofErr w:type="gramStart"/>
      <w:r w:rsidRPr="001B6E4D">
        <w:rPr>
          <w:rFonts w:ascii="標楷體" w:eastAsia="標楷體" w:hAnsi="標楷體" w:cs="標楷體" w:hint="eastAsia"/>
          <w:b/>
          <w:color w:val="000000"/>
          <w:kern w:val="0"/>
          <w:sz w:val="28"/>
          <w:szCs w:val="28"/>
        </w:rPr>
        <w:t>一</w:t>
      </w:r>
      <w:proofErr w:type="gramEnd"/>
      <w:r w:rsidRPr="001B6E4D">
        <w:rPr>
          <w:rFonts w:ascii="標楷體" w:eastAsia="標楷體" w:hAnsi="標楷體" w:cs="標楷體" w:hint="eastAsia"/>
          <w:b/>
          <w:color w:val="000000"/>
          <w:kern w:val="0"/>
          <w:sz w:val="28"/>
          <w:szCs w:val="28"/>
        </w:rPr>
        <w:t>)</w:t>
      </w:r>
      <w:r w:rsidRPr="001B6E4D">
        <w:rPr>
          <w:rFonts w:ascii="標楷體" w:eastAsia="標楷體" w:hAnsi="標楷體" w:cs="標楷體"/>
          <w:b/>
          <w:color w:val="000000"/>
          <w:kern w:val="0"/>
          <w:sz w:val="28"/>
          <w:szCs w:val="28"/>
        </w:rPr>
        <w:t>歲入</w:t>
      </w:r>
      <w:r w:rsidRPr="001B6E4D">
        <w:rPr>
          <w:rFonts w:ascii="標楷體" w:eastAsia="標楷體" w:hAnsi="標楷體"/>
          <w:b/>
          <w:sz w:val="28"/>
          <w:szCs w:val="28"/>
        </w:rPr>
        <w:t>部分</w:t>
      </w:r>
    </w:p>
    <w:p w14:paraId="154C9049" w14:textId="77777777" w:rsidR="00705B3D" w:rsidRPr="001B6E4D" w:rsidRDefault="00705B3D"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第2款 罰款及賠償收入</w:t>
      </w:r>
    </w:p>
    <w:p w14:paraId="35480155"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 xml:space="preserve">第98項 </w:t>
      </w:r>
      <w:r w:rsidRPr="001B6E4D">
        <w:rPr>
          <w:rFonts w:ascii="標楷體" w:eastAsia="標楷體" w:hAnsi="標楷體"/>
          <w:bCs/>
          <w:sz w:val="28"/>
          <w:szCs w:val="28"/>
        </w:rPr>
        <w:t>法務部</w:t>
      </w:r>
      <w:r w:rsidRPr="001B6E4D">
        <w:rPr>
          <w:rFonts w:ascii="標楷體" w:eastAsia="標楷體" w:hAnsi="標楷體"/>
          <w:color w:val="000000"/>
          <w:sz w:val="28"/>
          <w:szCs w:val="28"/>
        </w:rPr>
        <w:t>133萬元，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667F84A"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第99項 司法官學院2萬3千元，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DAD03A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第100項 法醫研究所4萬3千元，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170FBAC"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第101項 廉政署1,011萬元，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673DAB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第102項 矯正署及所屬854萬6千元，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59A613D"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第103項 行政執行署及所屬22萬5千元，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E915B4B"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第104項 最高檢察署，</w:t>
      </w:r>
      <w:proofErr w:type="gramStart"/>
      <w:r w:rsidRPr="001B6E4D">
        <w:rPr>
          <w:rFonts w:ascii="標楷體" w:eastAsia="標楷體" w:hAnsi="標楷體"/>
          <w:color w:val="000000"/>
          <w:sz w:val="28"/>
          <w:szCs w:val="28"/>
        </w:rPr>
        <w:t>無列數</w:t>
      </w:r>
      <w:proofErr w:type="gramEnd"/>
      <w:r w:rsidRPr="001B6E4D">
        <w:rPr>
          <w:rFonts w:ascii="標楷體" w:eastAsia="標楷體" w:hAnsi="標楷體"/>
          <w:color w:val="000000"/>
          <w:sz w:val="28"/>
          <w:szCs w:val="28"/>
        </w:rPr>
        <w:t>。</w:t>
      </w:r>
    </w:p>
    <w:p w14:paraId="69682914"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第105項 臺灣高等檢察署158萬7千元，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BFCE67D"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第106項 臺灣高等檢察署</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中檢察分署92萬9千元，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0233DC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第107項 臺灣高等檢察署</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南檢察分署35萬3千元，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305B224"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第108項 臺灣高等檢察署高雄檢察分署327萬8千元，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C8FE76A"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第109項 臺灣高等檢察署花蓮檢察分署23萬9千元，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7ADD3A1"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第110項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北地方檢察署7億2,132萬7千元，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29CA6B9"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第111項 臺灣士林地方檢察署3億8,012萬4千元，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EB4DBE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第112項 臺灣新北地方檢察署8億0,786萬7千元，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B6403F5"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第113項 臺灣桃園地方檢察署10億0,449萬7千元，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6F890EA"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第114項 臺灣新竹地方檢察署3億6,020萬3千元，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8DC42B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第115項 臺灣苗栗地方檢察署1億9,421萬1千元，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4F83AED"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lastRenderedPageBreak/>
        <w:t>第116項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中地方檢察署11億7,865萬元，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1F964D9"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第117項 臺灣南投地方檢察署1億7,663萬2千元，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79EAF0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第118項 臺灣彰化地方檢察署4億7,662萬3千元，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DAC687F"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第119項 臺灣雲林地方檢察署2億2,513萬3千元，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A318D4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第120項 臺灣嘉義地方檢察署2億8,057萬2千元，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A05BF0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第121項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南地方檢察署6億5,493萬1千元，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97E2809"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第122項 臺灣橋頭地方檢察署3億8,172萬4千元，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7D2DFD2"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第123項 臺灣高雄地方檢察署6億1,111萬8千元，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FE1738C"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第124項 臺灣屏東地方檢察署3億4,767萬5千元，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71AB03B"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第125項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東地方檢察署1億1,038萬7千元，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5E7905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第126項 臺灣花蓮地方檢察署1億2,671萬4千元，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F992954"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第127項 臺灣宜蘭地方檢察署1億5,463萬9千元，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1D35F8B"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第128項 臺灣基隆地方檢察署1億2,993萬3千元，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5054439"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第129項 臺灣澎湖地方檢察署4,506萬1千元，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616E153"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第130項 福建金門地方檢察署3,688萬7千元，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6CF03D9"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第131項 福建連江地方檢察署527萬5千元，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ED3556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第132項 調查局93萬1千元，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C7F30E5" w14:textId="77777777" w:rsidR="00705B3D" w:rsidRPr="001B6E4D" w:rsidRDefault="00705B3D"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第3款 規費收入</w:t>
      </w:r>
    </w:p>
    <w:p w14:paraId="7683A61E"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第82項 法務部237萬6千元，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388C07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第83項 司法官學院1千元，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04B662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第84項 矯正署及所屬19萬9千元，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799A083"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第85項 行政執行署及所屬1萬8千元，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BAF6EA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第86項 最高檢察署2千元，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433A9F9"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第87項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北地方檢察署9萬2千元，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D0C71A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第88項 臺灣士林地方檢察署3千元，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16FDB7E"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第89項 臺灣新北地方檢察署5萬元，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B445ED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第90項 臺灣桃園地方檢察署3萬2千元，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8F757DD"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第91項 臺灣新竹地方檢察署8千元，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3F29992"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第92項 臺灣苗栗地方檢察署5千元，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CFA392E"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第93項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中地方檢察署3萬3千元，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6704398"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第94項 臺灣南投地方檢察署1千元，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BDE0CAA"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第95項 臺灣彰化地方檢察署1萬4千元，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098A5B5"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第96項 臺灣雲林地方檢察署9千元，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B19E354"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第97項 臺灣嘉義地方檢察署7千元，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B32C76F"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第98項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南地方檢察署1萬7千元，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619D6D2"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第99項 臺灣橋頭地方檢察署3萬元，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8532CE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第100項 臺灣高雄地方檢察署3萬8千元，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9EE6214"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第101項 臺灣屏東地方檢察署6千元，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93549AC"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第102項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東地方檢察署5千元，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C580C0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第103項 臺灣花蓮地方檢察署4千元，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8D11E89"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lastRenderedPageBreak/>
        <w:t>第104項 臺灣宜蘭地方檢察署4千元，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98D530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第105項 臺灣基隆地方檢察署5千元，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DB5E9AF"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第106項 福建金門地方檢察署2千元，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6D2D1BE"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第107項 調查局189萬元，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0C52079" w14:textId="77777777" w:rsidR="00705B3D" w:rsidRPr="001B6E4D" w:rsidRDefault="00705B3D"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第4款 財產收入</w:t>
      </w:r>
    </w:p>
    <w:p w14:paraId="257B6925"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第108項 法務部123萬1千元，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A7D8A3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第109項 司法官學院9萬6千元，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D2BE97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第110項 法醫研究所31萬元，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8A819A9"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第111項 廉政署5萬4千元，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3ED5D0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第112項 矯正署及所屬2,175萬4千元，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4166B4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第113項 行政執行署及所屬637萬5千元，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B1E29D5"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第114項 最高檢察署8千元，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F379C3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第115項 臺灣高等檢察署7萬3千元，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3707033"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第116項 臺灣高等檢察署</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中檢察分署8萬元，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B8D3149"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第117項 臺灣高等檢察署</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南檢察分署1萬9千元，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2A8B8C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第118項 臺灣高等檢察署高雄檢察分署11萬9千元，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DC57C7D"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第119項 臺灣高等檢察署花蓮檢察分署4萬9千元，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C45AB3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第120項 臺灣高等檢察署智慧財產檢察分署3千元，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7C634B8"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第121項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北地方檢察署41萬8千元，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9E16B9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第122項 臺灣士林地方檢察署12萬7千元，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7E90CF8"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第123項 臺灣新北地方檢察署6萬元，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2A357C4"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第124項 臺灣桃園地方檢察署121萬5千元，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F6AD398"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第125項 臺灣新竹地方檢察署2萬9千元，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0443C73"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第126項 臺灣苗栗地方檢察署46萬7千元，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4CFAD2A"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第127項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中地方檢察署31萬8千元，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E33169A"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第128項 臺灣南投地方檢察署15萬1千元，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8F6DADA"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第129項 臺灣彰化地方檢察署3萬6千元，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136ACEB"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第130項 臺灣雲林地方檢察署6萬9千元，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994976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第131項 臺灣嘉義地方檢察署16萬3千元，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48110B4"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第132項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南地方檢察署23萬1千元，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66A8B6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第133項 臺灣橋頭地方檢察署3萬8千元，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072C93C"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第134項 臺灣高雄地方檢察署19萬1千元，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E9EBBF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第135項 臺灣屏東地方檢察署7萬4千元，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A9DE345"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第136項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東地方檢察署9萬5千元，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624C7AC"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第137項 臺灣花蓮地方檢察署3萬8千元，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C0D0A1E"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第138項 臺灣宜蘭地方檢察署13萬7千元，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B4A0BD3"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第139項 臺灣基隆地方檢察署9千元，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2B458ED"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第140項 臺灣澎湖地方檢察署3萬1千元，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BC42335"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第141項 福建高等檢察署金門檢察分署5千元，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E87A16B"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第142項 福建金門地方檢察署4萬元，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448455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lastRenderedPageBreak/>
        <w:t>第143項 福建連江地方檢察署1萬4千元，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398C84F"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第144項 調查局136萬4千元，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7497741" w14:textId="77777777" w:rsidR="00705B3D" w:rsidRPr="001B6E4D" w:rsidRDefault="00705B3D"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第7款 其他收入</w:t>
      </w:r>
    </w:p>
    <w:p w14:paraId="587102C8"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第107項 法務部65萬4千元，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2848A6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第108項 司法官學院1萬5千元，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1BE396E"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第109項 廉政署23萬5千元，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9AE0AA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第110項 矯正署及所屬8,720萬9千元，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4DB8368"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第111項 行政執行署及所屬250萬1千元，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44D055A"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第112項 最高檢察署40萬4千元，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9D2F5A2"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第113項 臺灣高等檢察署133萬3千元，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D261A92"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第114項 臺灣高等檢察署</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中檢察分署40萬3千元，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9D64142"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第115項 臺灣高等檢察署</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南檢察分署23萬1千元，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B92623C"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第116項 臺灣高等檢察署高雄檢察分署38萬元，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9CF68CB"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第117項 臺灣高等檢察署花蓮檢察分署16萬7千元，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4F41B2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第118項 臺灣高等檢察署智慧財產檢察分署9千元，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3C24DC2"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第119項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北地方檢察署2,443萬2千元，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02DD3DC"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第120項 臺灣士林地方檢察署236萬9千元，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925643B"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第121項 臺灣新北地方檢察署5,628萬5千元，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A8305F3"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第122項 臺灣桃園地方檢察署4,254萬元，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F87FEF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第123項 臺灣新竹地方檢察署128萬2千元，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F4C17DA"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第124項 臺灣苗栗地方檢察署108萬9千元，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53BD7CC"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第125項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中地方檢察署2億6,614萬8千元，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3D2592B"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第126項 臺灣南投地方檢察署47萬9千元，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7B398F8"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第127項 臺灣彰化地方檢察署121萬元，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0002D79"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第128項 臺灣雲林地方檢察署63萬5千元，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1DD4A7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第129項 臺灣嘉義地方檢察署44萬5千元，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17E39A0"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第130項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南地方檢察署722萬3千元，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275A823"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第131項 臺灣橋頭地方檢察署115萬5千元，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6C007AD"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第132項 臺灣高雄地方檢察署1,715萬9千元，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FF36431"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第133項 臺灣屏東地方檢察署149萬1千元，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7579EAA"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第134項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東地方檢察署87萬8千元，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76ECB0F"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第135項 臺灣花蓮地方檢察署98萬6千元，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070B61F"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第136項 臺灣宜蘭地方檢察署75萬4千元，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F079B87"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第137項 臺灣基隆地方檢察署119萬2千元，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1E662D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第138項 臺灣澎湖地方檢察署29萬9千元，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E6A6896"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第139項 福建高等檢察署金門檢察分署3萬5千元，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33B08D9"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第140項 福建金門地方檢察署25萬4千元，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ACF5C2D"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第141項 調查局88萬6千元，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0100131" w14:textId="77777777" w:rsidR="00705B3D" w:rsidRPr="001B6E4D" w:rsidRDefault="00705B3D" w:rsidP="003D1018">
      <w:pPr>
        <w:overflowPunct w:val="0"/>
        <w:snapToGrid w:val="0"/>
        <w:rPr>
          <w:rFonts w:ascii="標楷體" w:eastAsia="標楷體" w:hAnsi="標楷體" w:cs="標楷體"/>
          <w:kern w:val="0"/>
          <w:sz w:val="28"/>
          <w:szCs w:val="28"/>
        </w:rPr>
      </w:pPr>
      <w:r w:rsidRPr="001B6E4D">
        <w:rPr>
          <w:rFonts w:ascii="標楷體" w:eastAsia="標楷體" w:hAnsi="標楷體" w:cs="標楷體" w:hint="eastAsia"/>
          <w:b/>
          <w:kern w:val="0"/>
          <w:sz w:val="28"/>
          <w:szCs w:val="28"/>
        </w:rPr>
        <w:t>(二)</w:t>
      </w:r>
      <w:r w:rsidRPr="001B6E4D">
        <w:rPr>
          <w:rFonts w:ascii="標楷體" w:eastAsia="標楷體" w:hAnsi="標楷體" w:cs="標楷體"/>
          <w:b/>
          <w:kern w:val="0"/>
          <w:sz w:val="28"/>
          <w:szCs w:val="28"/>
        </w:rPr>
        <w:t>歲出部分</w:t>
      </w:r>
    </w:p>
    <w:p w14:paraId="410A7C48" w14:textId="77777777" w:rsidR="00705B3D" w:rsidRPr="001B6E4D" w:rsidRDefault="00705B3D"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第12款 法務部主管</w:t>
      </w:r>
    </w:p>
    <w:p w14:paraId="4A4EBAEF"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第1項 法務部</w:t>
      </w:r>
      <w:r w:rsidRPr="001B6E4D">
        <w:rPr>
          <w:rFonts w:ascii="標楷體" w:eastAsia="標楷體" w:hAnsi="標楷體" w:hint="eastAsia"/>
          <w:color w:val="000000"/>
          <w:sz w:val="28"/>
          <w:szCs w:val="28"/>
        </w:rPr>
        <w:t>原列</w:t>
      </w:r>
      <w:r w:rsidRPr="001B6E4D">
        <w:rPr>
          <w:rFonts w:ascii="標楷體" w:eastAsia="標楷體" w:hAnsi="標楷體"/>
          <w:color w:val="000000"/>
          <w:sz w:val="28"/>
          <w:szCs w:val="28"/>
        </w:rPr>
        <w:t>29億6,627萬8千元，</w:t>
      </w:r>
      <w:r w:rsidRPr="001B6E4D">
        <w:rPr>
          <w:rFonts w:ascii="標楷體" w:eastAsia="標楷體" w:hAnsi="標楷體" w:hint="eastAsia"/>
          <w:color w:val="000000"/>
          <w:sz w:val="28"/>
          <w:szCs w:val="28"/>
        </w:rPr>
        <w:t>減列：</w:t>
      </w:r>
    </w:p>
    <w:p w14:paraId="4966486D"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w:t>
      </w:r>
      <w:proofErr w:type="gramStart"/>
      <w:r w:rsidRPr="001B6E4D">
        <w:rPr>
          <w:rFonts w:ascii="標楷體" w:eastAsia="標楷體" w:hAnsi="標楷體" w:hint="eastAsia"/>
          <w:color w:val="000000"/>
          <w:sz w:val="28"/>
          <w:szCs w:val="28"/>
        </w:rPr>
        <w:t>一</w:t>
      </w:r>
      <w:proofErr w:type="gramEnd"/>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「媒體政策及業務宣導費」2</w:t>
      </w:r>
      <w:r w:rsidRPr="001B6E4D">
        <w:rPr>
          <w:rFonts w:ascii="標楷體" w:eastAsia="標楷體" w:hAnsi="標楷體"/>
          <w:color w:val="000000"/>
          <w:sz w:val="28"/>
          <w:szCs w:val="28"/>
        </w:rPr>
        <w:t>50</w:t>
      </w:r>
      <w:r w:rsidRPr="001B6E4D">
        <w:rPr>
          <w:rFonts w:ascii="標楷體" w:eastAsia="標楷體" w:hAnsi="標楷體" w:hint="eastAsia"/>
          <w:color w:val="000000"/>
          <w:sz w:val="28"/>
          <w:szCs w:val="28"/>
        </w:rPr>
        <w:t>萬元</w:t>
      </w:r>
      <w:r w:rsidRPr="001B6E4D">
        <w:rPr>
          <w:rFonts w:ascii="標楷體" w:eastAsia="標楷體" w:hAnsi="標楷體"/>
          <w:color w:val="000000"/>
          <w:sz w:val="28"/>
          <w:szCs w:val="28"/>
        </w:rPr>
        <w:t>。【1</w:t>
      </w:r>
      <w:r w:rsidRPr="001B6E4D">
        <w:rPr>
          <w:rFonts w:ascii="標楷體" w:eastAsia="標楷體" w:hAnsi="標楷體" w:hint="eastAsia"/>
          <w:color w:val="000000"/>
          <w:sz w:val="28"/>
          <w:szCs w:val="28"/>
        </w:rPr>
        <w:t>、2</w:t>
      </w:r>
      <w:r w:rsidRPr="001B6E4D">
        <w:rPr>
          <w:rFonts w:ascii="標楷體" w:eastAsia="標楷體" w:hAnsi="標楷體"/>
          <w:color w:val="000000"/>
          <w:sz w:val="28"/>
          <w:szCs w:val="28"/>
        </w:rPr>
        <w:t>】</w:t>
      </w:r>
    </w:p>
    <w:p w14:paraId="73F5631F"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 xml:space="preserve">      (</w:t>
      </w:r>
      <w:r w:rsidRPr="001B6E4D">
        <w:rPr>
          <w:rFonts w:ascii="標楷體" w:eastAsia="標楷體" w:hAnsi="標楷體" w:hint="eastAsia"/>
          <w:color w:val="000000"/>
          <w:sz w:val="28"/>
          <w:szCs w:val="28"/>
        </w:rPr>
        <w:t>二</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「派員出國計畫」50萬元。【3】</w:t>
      </w:r>
    </w:p>
    <w:p w14:paraId="27E8A130"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三</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「業務費」項下「通訊費」</w:t>
      </w:r>
      <w:r w:rsidRPr="001B6E4D">
        <w:rPr>
          <w:rFonts w:ascii="標楷體" w:eastAsia="標楷體" w:hAnsi="標楷體"/>
          <w:color w:val="000000"/>
          <w:sz w:val="28"/>
          <w:szCs w:val="28"/>
        </w:rPr>
        <w:t>2</w:t>
      </w:r>
      <w:r w:rsidRPr="001B6E4D">
        <w:rPr>
          <w:rFonts w:ascii="標楷體" w:eastAsia="標楷體" w:hAnsi="標楷體" w:hint="eastAsia"/>
          <w:color w:val="000000"/>
          <w:sz w:val="28"/>
          <w:szCs w:val="28"/>
        </w:rPr>
        <w:t>0萬元。【4】</w:t>
      </w:r>
    </w:p>
    <w:p w14:paraId="227C6AE8" w14:textId="77777777" w:rsidR="00705B3D" w:rsidRPr="001B6E4D" w:rsidRDefault="00705B3D" w:rsidP="003D1018">
      <w:pPr>
        <w:overflowPunct w:val="0"/>
        <w:snapToGrid w:val="0"/>
        <w:ind w:leftChars="150" w:left="1900" w:hangingChars="550" w:hanging="15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四</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第2目「法務行政」項下「媒體政策及業務宣導費」</w:t>
      </w:r>
      <w:r w:rsidRPr="001B6E4D">
        <w:rPr>
          <w:rFonts w:ascii="標楷體" w:eastAsia="標楷體" w:hAnsi="標楷體"/>
          <w:color w:val="000000"/>
          <w:sz w:val="28"/>
          <w:szCs w:val="28"/>
        </w:rPr>
        <w:t>2</w:t>
      </w:r>
      <w:r w:rsidRPr="001B6E4D">
        <w:rPr>
          <w:rFonts w:ascii="標楷體" w:eastAsia="標楷體" w:hAnsi="標楷體" w:hint="eastAsia"/>
          <w:color w:val="000000"/>
          <w:sz w:val="28"/>
          <w:szCs w:val="28"/>
        </w:rPr>
        <w:t>00萬元。【</w:t>
      </w:r>
      <w:r w:rsidRPr="001B6E4D">
        <w:rPr>
          <w:rFonts w:ascii="標楷體" w:eastAsia="標楷體" w:hAnsi="標楷體"/>
          <w:color w:val="000000"/>
          <w:sz w:val="28"/>
          <w:szCs w:val="28"/>
        </w:rPr>
        <w:t>13</w:t>
      </w:r>
      <w:r w:rsidRPr="001B6E4D">
        <w:rPr>
          <w:rFonts w:ascii="標楷體" w:eastAsia="標楷體" w:hAnsi="標楷體" w:hint="eastAsia"/>
          <w:color w:val="000000"/>
          <w:sz w:val="28"/>
          <w:szCs w:val="28"/>
        </w:rPr>
        <w:t>】</w:t>
      </w:r>
    </w:p>
    <w:p w14:paraId="1A1E102A" w14:textId="77777777" w:rsidR="00705B3D" w:rsidRPr="001B6E4D" w:rsidRDefault="00705B3D" w:rsidP="003D1018">
      <w:pPr>
        <w:overflowPunct w:val="0"/>
        <w:snapToGrid w:val="0"/>
        <w:ind w:leftChars="150" w:left="1900" w:hangingChars="550" w:hanging="15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五</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第2目「法務行政」項下「辦理國際及兩岸法律事務」中「業務費」之「大陸地區旅費」</w:t>
      </w:r>
      <w:r w:rsidRPr="001B6E4D">
        <w:rPr>
          <w:rFonts w:ascii="標楷體" w:eastAsia="標楷體" w:hAnsi="標楷體"/>
          <w:color w:val="000000"/>
          <w:sz w:val="28"/>
          <w:szCs w:val="28"/>
        </w:rPr>
        <w:t>2</w:t>
      </w:r>
      <w:r w:rsidRPr="001B6E4D">
        <w:rPr>
          <w:rFonts w:ascii="標楷體" w:eastAsia="標楷體" w:hAnsi="標楷體" w:hint="eastAsia"/>
          <w:color w:val="000000"/>
          <w:sz w:val="28"/>
          <w:szCs w:val="28"/>
        </w:rPr>
        <w:t>0萬元。【22】</w:t>
      </w:r>
    </w:p>
    <w:p w14:paraId="0E5ED27C" w14:textId="77777777" w:rsidR="00705B3D" w:rsidRPr="001B6E4D" w:rsidRDefault="00705B3D" w:rsidP="003D1018">
      <w:pPr>
        <w:overflowPunct w:val="0"/>
        <w:snapToGrid w:val="0"/>
        <w:ind w:leftChars="150" w:left="1900" w:hangingChars="550" w:hanging="154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六</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第2目「法務行政」項下「辦理國際及兩岸法律事務」中「業務費」之「國外旅費」50萬元。【24】</w:t>
      </w:r>
    </w:p>
    <w:p w14:paraId="66BD8D80" w14:textId="77777777" w:rsidR="00705B3D" w:rsidRPr="001B6E4D" w:rsidRDefault="00705B3D" w:rsidP="003D1018">
      <w:pPr>
        <w:overflowPunct w:val="0"/>
        <w:snapToGrid w:val="0"/>
        <w:ind w:leftChars="150" w:left="1340" w:hangingChars="350" w:hanging="98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以上共計減列590萬元，其餘均</w:t>
      </w:r>
      <w:proofErr w:type="gramStart"/>
      <w:r w:rsidRPr="001B6E4D">
        <w:rPr>
          <w:rFonts w:ascii="標楷體" w:eastAsia="標楷體" w:hAnsi="標楷體" w:hint="eastAsia"/>
          <w:color w:val="000000"/>
          <w:sz w:val="28"/>
          <w:szCs w:val="28"/>
        </w:rPr>
        <w:t>照列</w:t>
      </w:r>
      <w:proofErr w:type="gramEnd"/>
      <w:r w:rsidRPr="001B6E4D">
        <w:rPr>
          <w:rFonts w:ascii="標楷體" w:eastAsia="標楷體" w:hAnsi="標楷體" w:hint="eastAsia"/>
          <w:color w:val="000000"/>
          <w:sz w:val="28"/>
          <w:szCs w:val="28"/>
        </w:rPr>
        <w:t>，改列為29億6,037萬8千元。</w:t>
      </w:r>
    </w:p>
    <w:p w14:paraId="10EA5905" w14:textId="77777777" w:rsidR="00705B3D" w:rsidRPr="001B6E4D" w:rsidRDefault="00705B3D" w:rsidP="003D1018">
      <w:pPr>
        <w:overflowPunct w:val="0"/>
        <w:snapToGrid w:val="0"/>
        <w:ind w:leftChars="150" w:left="1201" w:hangingChars="300" w:hanging="841"/>
        <w:jc w:val="both"/>
        <w:rPr>
          <w:rFonts w:ascii="標楷體" w:eastAsia="標楷體" w:hAnsi="標楷體"/>
          <w:color w:val="000000"/>
          <w:sz w:val="28"/>
          <w:szCs w:val="28"/>
        </w:rPr>
      </w:pPr>
      <w:r w:rsidRPr="001B6E4D">
        <w:rPr>
          <w:rFonts w:ascii="標楷體" w:eastAsia="標楷體" w:hAnsi="標楷體"/>
          <w:b/>
          <w:sz w:val="28"/>
          <w:szCs w:val="28"/>
        </w:rPr>
        <w:t>本項提案</w:t>
      </w:r>
      <w:r w:rsidRPr="001B6E4D">
        <w:rPr>
          <w:rFonts w:ascii="標楷體" w:eastAsia="標楷體" w:hAnsi="標楷體" w:hint="eastAsia"/>
          <w:b/>
          <w:sz w:val="28"/>
          <w:szCs w:val="28"/>
        </w:rPr>
        <w:t>7</w:t>
      </w:r>
      <w:r w:rsidRPr="001B6E4D">
        <w:rPr>
          <w:rFonts w:ascii="標楷體" w:eastAsia="標楷體" w:hAnsi="標楷體"/>
          <w:b/>
          <w:sz w:val="28"/>
          <w:szCs w:val="28"/>
        </w:rPr>
        <w:t>案，保留，送院會處理：</w:t>
      </w:r>
    </w:p>
    <w:p w14:paraId="0965CF6A" w14:textId="77777777" w:rsidR="00705B3D" w:rsidRPr="001B6E4D" w:rsidRDefault="00705B3D" w:rsidP="003D1018">
      <w:pPr>
        <w:pStyle w:val="a"/>
        <w:numPr>
          <w:ilvl w:val="0"/>
          <w:numId w:val="65"/>
        </w:numPr>
        <w:overflowPunct w:val="0"/>
        <w:ind w:left="924" w:hanging="567"/>
      </w:pPr>
      <w:r w:rsidRPr="001B6E4D">
        <w:t>115年中央政府總預算，法務部單位預算編列2,966,278千元，比</w:t>
      </w:r>
      <w:proofErr w:type="gramStart"/>
      <w:r w:rsidRPr="001B6E4D">
        <w:t>114</w:t>
      </w:r>
      <w:proofErr w:type="gramEnd"/>
      <w:r w:rsidRPr="001B6E4D">
        <w:t>年度法定預算2,813,774千元，增加152,504千元（約1億5</w:t>
      </w:r>
      <w:proofErr w:type="gramStart"/>
      <w:r w:rsidRPr="001B6E4D">
        <w:t>千萬</w:t>
      </w:r>
      <w:proofErr w:type="gramEnd"/>
      <w:r w:rsidRPr="001B6E4D">
        <w:t>元），成長幅度5.42%。且114年，法務部單位決算賸餘數為101,896千元（約1億元），</w:t>
      </w:r>
      <w:proofErr w:type="gramStart"/>
      <w:r w:rsidRPr="001B6E4D">
        <w:t>合先敘</w:t>
      </w:r>
      <w:proofErr w:type="gramEnd"/>
      <w:r w:rsidRPr="001B6E4D">
        <w:t>明！</w:t>
      </w:r>
    </w:p>
    <w:p w14:paraId="21D2CAA2" w14:textId="77777777" w:rsidR="00705B3D" w:rsidRPr="001B6E4D" w:rsidRDefault="00705B3D" w:rsidP="003D1018">
      <w:pPr>
        <w:pStyle w:val="1f7"/>
        <w:overflowPunct w:val="0"/>
      </w:pPr>
      <w:proofErr w:type="gramStart"/>
      <w:r w:rsidRPr="001B6E4D">
        <w:t>115</w:t>
      </w:r>
      <w:proofErr w:type="gramEnd"/>
      <w:r w:rsidRPr="001B6E4D">
        <w:t>年度業務費項下預算編列「一般事務費」127,127千元，與114年法定預算113,340千元相比，已增列13,787千元，成長幅度高達12.16%。</w:t>
      </w:r>
    </w:p>
    <w:p w14:paraId="2EB47A60" w14:textId="77777777" w:rsidR="00705B3D" w:rsidRPr="001B6E4D" w:rsidRDefault="00705B3D" w:rsidP="003D1018">
      <w:pPr>
        <w:overflowPunct w:val="0"/>
        <w:snapToGrid w:val="0"/>
        <w:ind w:left="987"/>
        <w:jc w:val="both"/>
        <w:rPr>
          <w:rFonts w:ascii="標楷體" w:eastAsia="標楷體" w:hAnsi="標楷體"/>
          <w:color w:val="000000"/>
          <w:sz w:val="28"/>
          <w:szCs w:val="28"/>
        </w:rPr>
      </w:pPr>
      <w:r w:rsidRPr="001B6E4D">
        <w:rPr>
          <w:rFonts w:ascii="標楷體" w:eastAsia="標楷體" w:hAnsi="標楷體"/>
          <w:noProof/>
          <w:color w:val="000000"/>
          <w:sz w:val="28"/>
          <w:szCs w:val="28"/>
        </w:rPr>
        <w:drawing>
          <wp:inline distT="0" distB="0" distL="0" distR="0" wp14:anchorId="6A7C3F64" wp14:editId="281A7566">
            <wp:extent cx="4943475" cy="1021080"/>
            <wp:effectExtent l="0" t="0" r="9525" b="7620"/>
            <wp:docPr id="7" name="圖片 7"/>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6">
                      <a:extLst>
                        <a:ext uri="{28A0092B-C50C-407E-A947-70E740481C1C}">
                          <a14:useLocalDpi xmlns:a14="http://schemas.microsoft.com/office/drawing/2010/main" val="0"/>
                        </a:ext>
                      </a:extLst>
                    </a:blip>
                    <a:stretch>
                      <a:fillRect/>
                    </a:stretch>
                  </pic:blipFill>
                  <pic:spPr>
                    <a:xfrm>
                      <a:off x="0" y="0"/>
                      <a:ext cx="4943475" cy="1021080"/>
                    </a:xfrm>
                    <a:prstGeom prst="rect">
                      <a:avLst/>
                    </a:prstGeom>
                  </pic:spPr>
                </pic:pic>
              </a:graphicData>
            </a:graphic>
          </wp:inline>
        </w:drawing>
      </w:r>
    </w:p>
    <w:p w14:paraId="5CC78054" w14:textId="77777777" w:rsidR="00705B3D" w:rsidRPr="001B6E4D" w:rsidRDefault="00705B3D" w:rsidP="003D1018">
      <w:pPr>
        <w:pStyle w:val="1f7"/>
        <w:overflowPunct w:val="0"/>
      </w:pPr>
      <w:r w:rsidRPr="001B6E4D">
        <w:t>經查法務部112年至114年決算書資料如上表，「</w:t>
      </w:r>
      <w:r w:rsidRPr="001B6E4D">
        <w:rPr>
          <w:b/>
        </w:rPr>
        <w:t>一般事務費</w:t>
      </w:r>
      <w:r w:rsidRPr="001B6E4D">
        <w:t>」執行率最高不到72％，去年114年更降至60.85％，三年平均執行率為66.88％，近三年未執行數在3,212萬到4,437萬之間。顯見，原有經費編列與實際需求之間存有相當落差，致使經費運用效益低落。</w:t>
      </w:r>
    </w:p>
    <w:p w14:paraId="6C92ECFB" w14:textId="77777777" w:rsidR="00705B3D" w:rsidRPr="001B6E4D" w:rsidRDefault="00705B3D" w:rsidP="003D1018">
      <w:pPr>
        <w:pStyle w:val="1f7"/>
        <w:overflowPunct w:val="0"/>
      </w:pPr>
      <w:r w:rsidRPr="001B6E4D">
        <w:t>然，115年中央政府總預算連同特別預算，</w:t>
      </w:r>
      <w:proofErr w:type="gramStart"/>
      <w:r w:rsidRPr="001B6E4D">
        <w:t>已需舉</w:t>
      </w:r>
      <w:proofErr w:type="gramEnd"/>
      <w:r w:rsidRPr="001B6E4D">
        <w:t>債高達4千億元。政府各單位更應量入為出、</w:t>
      </w:r>
      <w:proofErr w:type="gramStart"/>
      <w:r w:rsidRPr="001B6E4D">
        <w:t>撙</w:t>
      </w:r>
      <w:proofErr w:type="gramEnd"/>
      <w:r w:rsidRPr="001B6E4D">
        <w:t>節公</w:t>
      </w:r>
      <w:proofErr w:type="gramStart"/>
      <w:r w:rsidRPr="001B6E4D">
        <w:t>帑</w:t>
      </w:r>
      <w:proofErr w:type="gramEnd"/>
      <w:r w:rsidRPr="001B6E4D">
        <w:t>，</w:t>
      </w:r>
      <w:proofErr w:type="gramStart"/>
      <w:r w:rsidRPr="001B6E4D">
        <w:t>減列非必要</w:t>
      </w:r>
      <w:proofErr w:type="gramEnd"/>
      <w:r w:rsidRPr="001B6E4D">
        <w:t>、非急迫性的支出，以降低國庫舉債、</w:t>
      </w:r>
      <w:proofErr w:type="gramStart"/>
      <w:r w:rsidRPr="001B6E4D">
        <w:t>債留子孫</w:t>
      </w:r>
      <w:proofErr w:type="gramEnd"/>
      <w:r w:rsidRPr="001B6E4D">
        <w:t>的壓力。</w:t>
      </w:r>
    </w:p>
    <w:p w14:paraId="5B9A4A8C" w14:textId="77777777" w:rsidR="00705B3D" w:rsidRPr="001B6E4D" w:rsidRDefault="00705B3D" w:rsidP="003D1018">
      <w:pPr>
        <w:pStyle w:val="1f7"/>
        <w:overflowPunct w:val="0"/>
      </w:pPr>
      <w:proofErr w:type="gramStart"/>
      <w:r w:rsidRPr="001B6E4D">
        <w:t>且</w:t>
      </w:r>
      <w:proofErr w:type="gramEnd"/>
      <w:r w:rsidRPr="001B6E4D">
        <w:t>，賴總統為回應美國對台灣應大幅增加國防支出的強硬立場與關切壓力，</w:t>
      </w:r>
      <w:proofErr w:type="gramStart"/>
      <w:r w:rsidRPr="001B6E4D">
        <w:t>115</w:t>
      </w:r>
      <w:proofErr w:type="gramEnd"/>
      <w:r w:rsidRPr="001B6E4D">
        <w:t>年度國防支出已創下歷史新高，達9495億新台幣；大舉增加國防支出，必定會嚴重排擠年度的教育、文化等支出，亦即，各</w:t>
      </w:r>
      <w:proofErr w:type="gramStart"/>
      <w:r w:rsidRPr="001B6E4D">
        <w:t>部會應勒緊</w:t>
      </w:r>
      <w:proofErr w:type="gramEnd"/>
      <w:r w:rsidRPr="001B6E4D">
        <w:t>褲帶，共體時</w:t>
      </w:r>
      <w:proofErr w:type="gramStart"/>
      <w:r w:rsidRPr="001B6E4D">
        <w:t>艱</w:t>
      </w:r>
      <w:proofErr w:type="gramEnd"/>
      <w:r w:rsidRPr="001B6E4D">
        <w:t>、以</w:t>
      </w:r>
      <w:proofErr w:type="gramStart"/>
      <w:r w:rsidRPr="001B6E4D">
        <w:t>撙</w:t>
      </w:r>
      <w:proofErr w:type="gramEnd"/>
      <w:r w:rsidRPr="001B6E4D">
        <w:t>節支出的具體行動，來呼應賴總統對美方要求大幅增加國防支出的承諾。</w:t>
      </w:r>
    </w:p>
    <w:p w14:paraId="492AD651" w14:textId="77777777" w:rsidR="00705B3D" w:rsidRPr="001B6E4D" w:rsidRDefault="00705B3D" w:rsidP="003D1018">
      <w:pPr>
        <w:pStyle w:val="1f7"/>
        <w:overflowPunct w:val="0"/>
      </w:pPr>
      <w:proofErr w:type="gramStart"/>
      <w:r w:rsidRPr="001B6E4D">
        <w:lastRenderedPageBreak/>
        <w:t>惟</w:t>
      </w:r>
      <w:proofErr w:type="gramEnd"/>
      <w:r w:rsidRPr="001B6E4D">
        <w:t>法務部</w:t>
      </w:r>
      <w:proofErr w:type="gramStart"/>
      <w:r w:rsidRPr="001B6E4D">
        <w:t>115</w:t>
      </w:r>
      <w:proofErr w:type="gramEnd"/>
      <w:r w:rsidRPr="001B6E4D">
        <w:t>年度預算案編列「一般事務費」1</w:t>
      </w:r>
      <w:r w:rsidRPr="001B6E4D">
        <w:rPr>
          <w:rFonts w:hint="eastAsia"/>
        </w:rPr>
        <w:t>27</w:t>
      </w:r>
      <w:r w:rsidRPr="001B6E4D">
        <w:t>,</w:t>
      </w:r>
      <w:r w:rsidRPr="001B6E4D">
        <w:rPr>
          <w:rFonts w:hint="eastAsia"/>
        </w:rPr>
        <w:t>127</w:t>
      </w:r>
      <w:r w:rsidRPr="001B6E4D">
        <w:t>千元，與114年法定預算相比，已增列13,787千元，成長幅度高達12.16%。</w:t>
      </w:r>
      <w:r w:rsidRPr="001B6E4D">
        <w:rPr>
          <w:b/>
          <w:u w:val="single"/>
        </w:rPr>
        <w:t>有</w:t>
      </w:r>
      <w:proofErr w:type="gramStart"/>
      <w:r w:rsidRPr="001B6E4D">
        <w:rPr>
          <w:b/>
          <w:u w:val="single"/>
        </w:rPr>
        <w:t>鑑</w:t>
      </w:r>
      <w:proofErr w:type="gramEnd"/>
      <w:r w:rsidRPr="001B6E4D">
        <w:rPr>
          <w:b/>
          <w:u w:val="single"/>
        </w:rPr>
        <w:t>於近三年執行率最高僅71.52％、最高執行數約8千餘萬</w:t>
      </w:r>
      <w:r w:rsidRPr="001B6E4D">
        <w:t>。為恪守財政紀律且兌現賴總統對美方的承諾，配合國防支出大幅增加之影響而必須</w:t>
      </w:r>
      <w:proofErr w:type="gramStart"/>
      <w:r w:rsidRPr="001B6E4D">
        <w:t>撙</w:t>
      </w:r>
      <w:proofErr w:type="gramEnd"/>
      <w:r w:rsidRPr="001B6E4D">
        <w:t>節經費，</w:t>
      </w:r>
      <w:proofErr w:type="gramStart"/>
      <w:r w:rsidRPr="001B6E4D">
        <w:t>爰</w:t>
      </w:r>
      <w:proofErr w:type="gramEnd"/>
      <w:r w:rsidRPr="001B6E4D">
        <w:t>提案減列3,700萬元整（以執行數9</w:t>
      </w:r>
      <w:proofErr w:type="gramStart"/>
      <w:r w:rsidRPr="001B6E4D">
        <w:t>千萬</w:t>
      </w:r>
      <w:proofErr w:type="gramEnd"/>
      <w:r w:rsidRPr="001B6E4D">
        <w:t>計算）且不得</w:t>
      </w:r>
      <w:proofErr w:type="gramStart"/>
      <w:r w:rsidRPr="001B6E4D">
        <w:t>流用勻支</w:t>
      </w:r>
      <w:proofErr w:type="gramEnd"/>
      <w:r w:rsidRPr="001B6E4D">
        <w:t>，以避免有限之財政資源閒置與浪費，而</w:t>
      </w:r>
      <w:proofErr w:type="gramStart"/>
      <w:r w:rsidRPr="001B6E4D">
        <w:t>撙</w:t>
      </w:r>
      <w:proofErr w:type="gramEnd"/>
      <w:r w:rsidRPr="001B6E4D">
        <w:t>節之經費又可支援國防軍費的大幅增加。【5】</w:t>
      </w:r>
    </w:p>
    <w:p w14:paraId="0B6CCC21" w14:textId="77777777" w:rsidR="00705B3D" w:rsidRPr="001B6E4D" w:rsidRDefault="00705B3D" w:rsidP="003D1018">
      <w:pPr>
        <w:pStyle w:val="2fb"/>
        <w:overflowPunct w:val="0"/>
      </w:pPr>
      <w:r w:rsidRPr="001B6E4D">
        <w:t>提案人：翁曉玲</w:t>
      </w:r>
    </w:p>
    <w:p w14:paraId="67DFB446" w14:textId="77777777" w:rsidR="00705B3D" w:rsidRPr="001B6E4D" w:rsidRDefault="00705B3D" w:rsidP="003D1018">
      <w:pPr>
        <w:pStyle w:val="2fb"/>
        <w:overflowPunct w:val="0"/>
      </w:pPr>
      <w:r w:rsidRPr="001B6E4D">
        <w:t>連署人：林倩綺　吳宗憲</w:t>
      </w:r>
    </w:p>
    <w:p w14:paraId="0C13DAAB" w14:textId="77777777" w:rsidR="00705B3D" w:rsidRPr="001B6E4D" w:rsidRDefault="00705B3D" w:rsidP="003D1018">
      <w:pPr>
        <w:pStyle w:val="a"/>
        <w:numPr>
          <w:ilvl w:val="0"/>
          <w:numId w:val="46"/>
        </w:numPr>
        <w:overflowPunct w:val="0"/>
        <w:ind w:left="924" w:hanging="567"/>
      </w:pPr>
      <w:r w:rsidRPr="001B6E4D">
        <w:t>115年中央政府總預算，法務部單位預算編列2,966,278千元，比</w:t>
      </w:r>
      <w:proofErr w:type="gramStart"/>
      <w:r w:rsidRPr="001B6E4D">
        <w:t>114</w:t>
      </w:r>
      <w:proofErr w:type="gramEnd"/>
      <w:r w:rsidRPr="001B6E4D">
        <w:t>年度法定預算2,813,774千元，增加152,504千元（約1億5</w:t>
      </w:r>
      <w:proofErr w:type="gramStart"/>
      <w:r w:rsidRPr="001B6E4D">
        <w:t>千萬</w:t>
      </w:r>
      <w:proofErr w:type="gramEnd"/>
      <w:r w:rsidRPr="001B6E4D">
        <w:t>元），成長幅度5.42%。且114年，法務部單位決算賸餘數為101,896千元（約1億元），</w:t>
      </w:r>
      <w:proofErr w:type="gramStart"/>
      <w:r w:rsidRPr="001B6E4D">
        <w:t>合先敘</w:t>
      </w:r>
      <w:proofErr w:type="gramEnd"/>
      <w:r w:rsidRPr="001B6E4D">
        <w:t>明！</w:t>
      </w:r>
    </w:p>
    <w:p w14:paraId="70B8818C" w14:textId="77777777" w:rsidR="00705B3D" w:rsidRPr="001B6E4D" w:rsidRDefault="00705B3D" w:rsidP="003D1018">
      <w:pPr>
        <w:pStyle w:val="1f7"/>
        <w:overflowPunct w:val="0"/>
      </w:pPr>
      <w:proofErr w:type="gramStart"/>
      <w:r w:rsidRPr="001B6E4D">
        <w:t>115</w:t>
      </w:r>
      <w:proofErr w:type="gramEnd"/>
      <w:r w:rsidRPr="001B6E4D">
        <w:t>年度業務費項下預算編列「設施及機械設備養護費」25,488千元，與114年法定預算24,694千元相比，已增列794千元，成長幅度3.22%。</w:t>
      </w:r>
    </w:p>
    <w:p w14:paraId="714ED73C" w14:textId="77777777" w:rsidR="00705B3D" w:rsidRPr="001B6E4D" w:rsidRDefault="00705B3D" w:rsidP="003D1018">
      <w:pPr>
        <w:overflowPunct w:val="0"/>
        <w:snapToGrid w:val="0"/>
        <w:ind w:left="987"/>
        <w:jc w:val="both"/>
        <w:rPr>
          <w:rFonts w:ascii="標楷體" w:eastAsia="標楷體" w:hAnsi="標楷體"/>
          <w:color w:val="000000"/>
          <w:sz w:val="28"/>
          <w:szCs w:val="28"/>
        </w:rPr>
      </w:pPr>
      <w:r w:rsidRPr="001B6E4D">
        <w:rPr>
          <w:rFonts w:ascii="標楷體" w:eastAsia="標楷體" w:hAnsi="標楷體"/>
          <w:noProof/>
          <w:color w:val="000000"/>
          <w:sz w:val="28"/>
          <w:szCs w:val="28"/>
        </w:rPr>
        <w:drawing>
          <wp:inline distT="0" distB="0" distL="0" distR="0" wp14:anchorId="6FC1D8BC" wp14:editId="7C5D0820">
            <wp:extent cx="4867275" cy="998855"/>
            <wp:effectExtent l="0" t="0" r="9525" b="0"/>
            <wp:docPr id="8" name="圖片 8"/>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a:extLst>
                        <a:ext uri="{28A0092B-C50C-407E-A947-70E740481C1C}">
                          <a14:useLocalDpi xmlns:a14="http://schemas.microsoft.com/office/drawing/2010/main" val="0"/>
                        </a:ext>
                      </a:extLst>
                    </a:blip>
                    <a:stretch>
                      <a:fillRect/>
                    </a:stretch>
                  </pic:blipFill>
                  <pic:spPr>
                    <a:xfrm>
                      <a:off x="0" y="0"/>
                      <a:ext cx="4867275" cy="998855"/>
                    </a:xfrm>
                    <a:prstGeom prst="rect">
                      <a:avLst/>
                    </a:prstGeom>
                  </pic:spPr>
                </pic:pic>
              </a:graphicData>
            </a:graphic>
          </wp:inline>
        </w:drawing>
      </w:r>
    </w:p>
    <w:p w14:paraId="78A410E7" w14:textId="77777777" w:rsidR="00705B3D" w:rsidRPr="001B6E4D" w:rsidRDefault="00705B3D" w:rsidP="003D1018">
      <w:pPr>
        <w:pStyle w:val="1f7"/>
        <w:overflowPunct w:val="0"/>
      </w:pPr>
      <w:r w:rsidRPr="001B6E4D">
        <w:t>經查法務部112年至114年決算書資料如上表，「</w:t>
      </w:r>
      <w:r w:rsidRPr="001B6E4D">
        <w:rPr>
          <w:b/>
        </w:rPr>
        <w:t>設施及機械設備養護費</w:t>
      </w:r>
      <w:r w:rsidRPr="001B6E4D">
        <w:t>」三年執行率最高不到</w:t>
      </w:r>
      <w:proofErr w:type="gramStart"/>
      <w:r w:rsidRPr="001B6E4D">
        <w:t>5成</w:t>
      </w:r>
      <w:proofErr w:type="gramEnd"/>
      <w:r w:rsidRPr="001B6E4D">
        <w:t>，三年平均執行率為43.91％，近三年未執行數在1,313萬到1,504萬之間。顯見，原有經費編列與實際需求之間存有相當落差，致使經費運用效益低落。</w:t>
      </w:r>
    </w:p>
    <w:p w14:paraId="492974B7" w14:textId="77777777" w:rsidR="00705B3D" w:rsidRPr="001B6E4D" w:rsidRDefault="00705B3D" w:rsidP="003D1018">
      <w:pPr>
        <w:pStyle w:val="1f7"/>
        <w:overflowPunct w:val="0"/>
      </w:pPr>
      <w:r w:rsidRPr="001B6E4D">
        <w:t>然，115年中央政府總預算連同特別預算，</w:t>
      </w:r>
      <w:proofErr w:type="gramStart"/>
      <w:r w:rsidRPr="001B6E4D">
        <w:t>已需舉</w:t>
      </w:r>
      <w:proofErr w:type="gramEnd"/>
      <w:r w:rsidRPr="001B6E4D">
        <w:t>債高達4千億元。政府各單位更應量入為出、</w:t>
      </w:r>
      <w:proofErr w:type="gramStart"/>
      <w:r w:rsidRPr="001B6E4D">
        <w:t>撙</w:t>
      </w:r>
      <w:proofErr w:type="gramEnd"/>
      <w:r w:rsidRPr="001B6E4D">
        <w:t>節公</w:t>
      </w:r>
      <w:proofErr w:type="gramStart"/>
      <w:r w:rsidRPr="001B6E4D">
        <w:t>帑</w:t>
      </w:r>
      <w:proofErr w:type="gramEnd"/>
      <w:r w:rsidRPr="001B6E4D">
        <w:t>，</w:t>
      </w:r>
      <w:proofErr w:type="gramStart"/>
      <w:r w:rsidRPr="001B6E4D">
        <w:t>減列非必要</w:t>
      </w:r>
      <w:proofErr w:type="gramEnd"/>
      <w:r w:rsidRPr="001B6E4D">
        <w:t>、非急迫性的支出，以降低國庫舉債、</w:t>
      </w:r>
      <w:proofErr w:type="gramStart"/>
      <w:r w:rsidRPr="001B6E4D">
        <w:t>債留子孫</w:t>
      </w:r>
      <w:proofErr w:type="gramEnd"/>
      <w:r w:rsidRPr="001B6E4D">
        <w:t>的壓力。</w:t>
      </w:r>
    </w:p>
    <w:p w14:paraId="566F61A0" w14:textId="77777777" w:rsidR="00705B3D" w:rsidRPr="001B6E4D" w:rsidRDefault="00705B3D" w:rsidP="003D1018">
      <w:pPr>
        <w:pStyle w:val="1f7"/>
        <w:overflowPunct w:val="0"/>
      </w:pPr>
      <w:proofErr w:type="gramStart"/>
      <w:r w:rsidRPr="001B6E4D">
        <w:t>且</w:t>
      </w:r>
      <w:proofErr w:type="gramEnd"/>
      <w:r w:rsidRPr="001B6E4D">
        <w:t>，賴總統為回應美國對台灣應大幅增加國防支出的強硬立場與關切壓力，</w:t>
      </w:r>
      <w:proofErr w:type="gramStart"/>
      <w:r w:rsidRPr="001B6E4D">
        <w:t>115</w:t>
      </w:r>
      <w:proofErr w:type="gramEnd"/>
      <w:r w:rsidRPr="001B6E4D">
        <w:t>年度國防支出已創下歷史新高，達9495億新台幣；大舉增加國防支出，必定會嚴重排擠年度的教育、文化等支出，亦即，各</w:t>
      </w:r>
      <w:proofErr w:type="gramStart"/>
      <w:r w:rsidRPr="001B6E4D">
        <w:t>部會應勒緊</w:t>
      </w:r>
      <w:proofErr w:type="gramEnd"/>
      <w:r w:rsidRPr="001B6E4D">
        <w:t>褲帶，共體時</w:t>
      </w:r>
      <w:proofErr w:type="gramStart"/>
      <w:r w:rsidRPr="001B6E4D">
        <w:t>艱</w:t>
      </w:r>
      <w:proofErr w:type="gramEnd"/>
      <w:r w:rsidRPr="001B6E4D">
        <w:t>、以</w:t>
      </w:r>
      <w:proofErr w:type="gramStart"/>
      <w:r w:rsidRPr="001B6E4D">
        <w:t>撙</w:t>
      </w:r>
      <w:proofErr w:type="gramEnd"/>
      <w:r w:rsidRPr="001B6E4D">
        <w:t>節支出的具體行動，來呼應賴總統對美方要求大幅增加國防支出的承諾。</w:t>
      </w:r>
    </w:p>
    <w:p w14:paraId="0A012C77" w14:textId="77777777" w:rsidR="00705B3D" w:rsidRPr="001B6E4D" w:rsidRDefault="00705B3D" w:rsidP="003D1018">
      <w:pPr>
        <w:pStyle w:val="1f7"/>
        <w:overflowPunct w:val="0"/>
      </w:pPr>
      <w:proofErr w:type="gramStart"/>
      <w:r w:rsidRPr="001B6E4D">
        <w:t>惟</w:t>
      </w:r>
      <w:proofErr w:type="gramEnd"/>
      <w:r w:rsidRPr="001B6E4D">
        <w:t>法務部</w:t>
      </w:r>
      <w:proofErr w:type="gramStart"/>
      <w:r w:rsidRPr="001B6E4D">
        <w:t>115</w:t>
      </w:r>
      <w:proofErr w:type="gramEnd"/>
      <w:r w:rsidRPr="001B6E4D">
        <w:t>年度預算案編列「設施及機械設備養護費」25,488千元，與114年法定預算相比，已增列794千元，成長幅度3.22%。</w:t>
      </w:r>
      <w:r w:rsidRPr="001B6E4D">
        <w:rPr>
          <w:b/>
          <w:u w:val="single"/>
        </w:rPr>
        <w:t>有</w:t>
      </w:r>
      <w:proofErr w:type="gramStart"/>
      <w:r w:rsidRPr="001B6E4D">
        <w:rPr>
          <w:b/>
          <w:u w:val="single"/>
        </w:rPr>
        <w:t>鑑</w:t>
      </w:r>
      <w:proofErr w:type="gramEnd"/>
      <w:r w:rsidRPr="001B6E4D">
        <w:rPr>
          <w:b/>
          <w:u w:val="single"/>
        </w:rPr>
        <w:t>於近三年執行率最高僅46.8％、最高執行數</w:t>
      </w:r>
      <w:r w:rsidRPr="001B6E4D">
        <w:rPr>
          <w:b/>
          <w:u w:val="single"/>
        </w:rPr>
        <w:lastRenderedPageBreak/>
        <w:t>約1,155萬</w:t>
      </w:r>
      <w:r w:rsidRPr="001B6E4D">
        <w:t>。為恪守財政紀律，且為兌現賴總統對美方的承諾，配合國防支出大幅增加之影響而必須</w:t>
      </w:r>
      <w:proofErr w:type="gramStart"/>
      <w:r w:rsidRPr="001B6E4D">
        <w:t>撙</w:t>
      </w:r>
      <w:proofErr w:type="gramEnd"/>
      <w:r w:rsidRPr="001B6E4D">
        <w:t>節經費，</w:t>
      </w:r>
      <w:proofErr w:type="gramStart"/>
      <w:r w:rsidRPr="001B6E4D">
        <w:t>爰</w:t>
      </w:r>
      <w:proofErr w:type="gramEnd"/>
      <w:r w:rsidRPr="001B6E4D">
        <w:t>提案減列1,000萬元整（以執行率</w:t>
      </w:r>
      <w:proofErr w:type="gramStart"/>
      <w:r w:rsidRPr="001B6E4D">
        <w:t>6成</w:t>
      </w:r>
      <w:proofErr w:type="gramEnd"/>
      <w:r w:rsidRPr="001B6E4D">
        <w:t>計算）且不得</w:t>
      </w:r>
      <w:proofErr w:type="gramStart"/>
      <w:r w:rsidRPr="001B6E4D">
        <w:t>流用勻支</w:t>
      </w:r>
      <w:proofErr w:type="gramEnd"/>
      <w:r w:rsidRPr="001B6E4D">
        <w:t>，以避免有限之財政資源閒置與浪費，而</w:t>
      </w:r>
      <w:proofErr w:type="gramStart"/>
      <w:r w:rsidRPr="001B6E4D">
        <w:t>撙</w:t>
      </w:r>
      <w:proofErr w:type="gramEnd"/>
      <w:r w:rsidRPr="001B6E4D">
        <w:t>節之經費又可支援國防軍費的大幅增加。【6】</w:t>
      </w:r>
    </w:p>
    <w:p w14:paraId="6A1395F0" w14:textId="77777777" w:rsidR="00705B3D" w:rsidRPr="001B6E4D" w:rsidRDefault="00705B3D" w:rsidP="003D1018">
      <w:pPr>
        <w:pStyle w:val="2fb"/>
        <w:overflowPunct w:val="0"/>
      </w:pPr>
      <w:r w:rsidRPr="001B6E4D">
        <w:t>提案人：翁曉玲</w:t>
      </w:r>
    </w:p>
    <w:p w14:paraId="0C6C07AF" w14:textId="77777777" w:rsidR="00705B3D" w:rsidRPr="001B6E4D" w:rsidRDefault="00705B3D" w:rsidP="003D1018">
      <w:pPr>
        <w:pStyle w:val="2fb"/>
        <w:overflowPunct w:val="0"/>
      </w:pPr>
      <w:r w:rsidRPr="001B6E4D">
        <w:t>連署人：林倩綺　吳宗憲</w:t>
      </w:r>
    </w:p>
    <w:p w14:paraId="276F82D7" w14:textId="77777777" w:rsidR="00705B3D" w:rsidRPr="001B6E4D" w:rsidRDefault="00705B3D" w:rsidP="003D1018">
      <w:pPr>
        <w:pStyle w:val="a"/>
        <w:numPr>
          <w:ilvl w:val="0"/>
          <w:numId w:val="46"/>
        </w:numPr>
        <w:overflowPunct w:val="0"/>
        <w:ind w:left="924" w:hanging="567"/>
      </w:pPr>
      <w:proofErr w:type="gramStart"/>
      <w:r w:rsidRPr="001B6E4D">
        <w:t>115</w:t>
      </w:r>
      <w:proofErr w:type="gramEnd"/>
      <w:r w:rsidRPr="001B6E4D">
        <w:t>年度法務預算案於第1目「一般行政」項下「基本行政工作維持」中「業務費」之「特別費」，其中部長特別費477千元，政務次長及常務次長共3人特別費計702千元，合計1,178千元。</w:t>
      </w:r>
    </w:p>
    <w:p w14:paraId="7BFB49C5" w14:textId="77777777" w:rsidR="00705B3D" w:rsidRPr="001B6E4D" w:rsidRDefault="00705B3D" w:rsidP="003D1018">
      <w:pPr>
        <w:pStyle w:val="1f7"/>
        <w:overflowPunct w:val="0"/>
      </w:pPr>
      <w:r w:rsidRPr="001B6E4D">
        <w:t>依照行政院95年12月29日</w:t>
      </w:r>
      <w:proofErr w:type="gramStart"/>
      <w:r w:rsidRPr="001B6E4D">
        <w:t>院授主忠字</w:t>
      </w:r>
      <w:proofErr w:type="gramEnd"/>
      <w:r w:rsidRPr="001B6E4D">
        <w:t>第0950007913號函，各級政府機關特別費支用規定之特別費使用範圍，係婚喪喜慶之禮金及招待、</w:t>
      </w:r>
      <w:proofErr w:type="gramStart"/>
      <w:r w:rsidRPr="001B6E4D">
        <w:t>餽</w:t>
      </w:r>
      <w:proofErr w:type="gramEnd"/>
      <w:r w:rsidRPr="001B6E4D">
        <w:t>（捐）</w:t>
      </w:r>
      <w:proofErr w:type="gramStart"/>
      <w:r w:rsidRPr="001B6E4D">
        <w:t>贈及慰問</w:t>
      </w:r>
      <w:proofErr w:type="gramEnd"/>
      <w:r w:rsidRPr="001B6E4D">
        <w:t>等支出。恐非屬各項施政計畫執行之必要項目。</w:t>
      </w:r>
    </w:p>
    <w:p w14:paraId="7249F855" w14:textId="77777777" w:rsidR="00705B3D" w:rsidRPr="001B6E4D" w:rsidRDefault="00705B3D" w:rsidP="003D1018">
      <w:pPr>
        <w:pStyle w:val="1f7"/>
        <w:overflowPunct w:val="0"/>
      </w:pPr>
      <w:r w:rsidRPr="001B6E4D">
        <w:t>然，115年中央政府總預算連同特別預算，</w:t>
      </w:r>
      <w:proofErr w:type="gramStart"/>
      <w:r w:rsidRPr="001B6E4D">
        <w:t>已需舉</w:t>
      </w:r>
      <w:proofErr w:type="gramEnd"/>
      <w:r w:rsidRPr="001B6E4D">
        <w:t>債高達4千億元。政府各單位更應量入為出、</w:t>
      </w:r>
      <w:proofErr w:type="gramStart"/>
      <w:r w:rsidRPr="001B6E4D">
        <w:t>撙</w:t>
      </w:r>
      <w:proofErr w:type="gramEnd"/>
      <w:r w:rsidRPr="001B6E4D">
        <w:t>節公</w:t>
      </w:r>
      <w:proofErr w:type="gramStart"/>
      <w:r w:rsidRPr="001B6E4D">
        <w:t>帑</w:t>
      </w:r>
      <w:proofErr w:type="gramEnd"/>
      <w:r w:rsidRPr="001B6E4D">
        <w:t>，</w:t>
      </w:r>
      <w:proofErr w:type="gramStart"/>
      <w:r w:rsidRPr="001B6E4D">
        <w:t>減列非必要</w:t>
      </w:r>
      <w:proofErr w:type="gramEnd"/>
      <w:r w:rsidRPr="001B6E4D">
        <w:t>、非急迫性的支出，以降低國庫舉債、</w:t>
      </w:r>
      <w:proofErr w:type="gramStart"/>
      <w:r w:rsidRPr="001B6E4D">
        <w:t>債留子孫</w:t>
      </w:r>
      <w:proofErr w:type="gramEnd"/>
      <w:r w:rsidRPr="001B6E4D">
        <w:t>的壓力。</w:t>
      </w:r>
    </w:p>
    <w:p w14:paraId="1AC8D921" w14:textId="77777777" w:rsidR="00705B3D" w:rsidRPr="001B6E4D" w:rsidRDefault="00705B3D" w:rsidP="003D1018">
      <w:pPr>
        <w:pStyle w:val="1f7"/>
        <w:overflowPunct w:val="0"/>
      </w:pPr>
      <w:proofErr w:type="gramStart"/>
      <w:r w:rsidRPr="001B6E4D">
        <w:t>且</w:t>
      </w:r>
      <w:proofErr w:type="gramEnd"/>
      <w:r w:rsidRPr="001B6E4D">
        <w:t>，賴總統為回應美國對台灣應大幅增加國防支出的強硬立場與關切壓力，</w:t>
      </w:r>
      <w:proofErr w:type="gramStart"/>
      <w:r w:rsidRPr="001B6E4D">
        <w:t>115</w:t>
      </w:r>
      <w:proofErr w:type="gramEnd"/>
      <w:r w:rsidRPr="001B6E4D">
        <w:t>年度國防支出已創下歷史新高．達9,495億新台幣．較去年度相比暴增1,768億．漲幅達16%，負擔不可謂不重；大舉增加國防支出，必定會嚴重排擠年度的教育、文化、經濟發展、社會福利等支出。亦即，各</w:t>
      </w:r>
      <w:proofErr w:type="gramStart"/>
      <w:r w:rsidRPr="001B6E4D">
        <w:t>部會應勒緊</w:t>
      </w:r>
      <w:proofErr w:type="gramEnd"/>
      <w:r w:rsidRPr="001B6E4D">
        <w:t>褲帶，共體時</w:t>
      </w:r>
      <w:proofErr w:type="gramStart"/>
      <w:r w:rsidRPr="001B6E4D">
        <w:t>艱</w:t>
      </w:r>
      <w:proofErr w:type="gramEnd"/>
      <w:r w:rsidRPr="001B6E4D">
        <w:t>、以</w:t>
      </w:r>
      <w:proofErr w:type="gramStart"/>
      <w:r w:rsidRPr="001B6E4D">
        <w:t>撙</w:t>
      </w:r>
      <w:proofErr w:type="gramEnd"/>
      <w:r w:rsidRPr="001B6E4D">
        <w:t>節非必要支出的具體行動，來呼應賴總統對美方要求大幅增加國防支出的承諾。</w:t>
      </w:r>
    </w:p>
    <w:p w14:paraId="263E9165" w14:textId="77777777" w:rsidR="00705B3D" w:rsidRPr="001B6E4D" w:rsidRDefault="00705B3D" w:rsidP="003D1018">
      <w:pPr>
        <w:pStyle w:val="1f7"/>
        <w:overflowPunct w:val="0"/>
      </w:pPr>
      <w:r w:rsidRPr="001B6E4D">
        <w:t>有</w:t>
      </w:r>
      <w:proofErr w:type="gramStart"/>
      <w:r w:rsidRPr="001B6E4D">
        <w:t>鑑</w:t>
      </w:r>
      <w:proofErr w:type="gramEnd"/>
      <w:r w:rsidRPr="001B6E4D">
        <w:t>於法務部所編之「特別費」，係婚喪喜慶之禮金及招待、</w:t>
      </w:r>
      <w:proofErr w:type="gramStart"/>
      <w:r w:rsidRPr="001B6E4D">
        <w:t>餽</w:t>
      </w:r>
      <w:proofErr w:type="gramEnd"/>
      <w:r w:rsidRPr="001B6E4D">
        <w:t>（捐）</w:t>
      </w:r>
      <w:proofErr w:type="gramStart"/>
      <w:r w:rsidRPr="001B6E4D">
        <w:t>贈及慰問</w:t>
      </w:r>
      <w:proofErr w:type="gramEnd"/>
      <w:r w:rsidRPr="001B6E4D">
        <w:t>等支出，非屬各項施政計畫執行之必要項目。為兌現賴總統對美方的承諾，且配合國防支出大幅增加之影響而必須</w:t>
      </w:r>
      <w:proofErr w:type="gramStart"/>
      <w:r w:rsidRPr="001B6E4D">
        <w:t>撙</w:t>
      </w:r>
      <w:proofErr w:type="gramEnd"/>
      <w:r w:rsidRPr="001B6E4D">
        <w:t>節經費，</w:t>
      </w:r>
      <w:proofErr w:type="gramStart"/>
      <w:r w:rsidRPr="001B6E4D">
        <w:t>爰</w:t>
      </w:r>
      <w:proofErr w:type="gramEnd"/>
      <w:r w:rsidRPr="001B6E4D">
        <w:t>提案減列九成共計106萬1千元整，且不得</w:t>
      </w:r>
      <w:proofErr w:type="gramStart"/>
      <w:r w:rsidRPr="001B6E4D">
        <w:t>流用勻支</w:t>
      </w:r>
      <w:proofErr w:type="gramEnd"/>
      <w:r w:rsidRPr="001B6E4D">
        <w:t>，以將有限之財政資源集中，支援必須擴增的國防經費支出。【7】</w:t>
      </w:r>
    </w:p>
    <w:p w14:paraId="495C9154" w14:textId="77777777" w:rsidR="00705B3D" w:rsidRPr="001B6E4D" w:rsidRDefault="00705B3D" w:rsidP="003D1018">
      <w:pPr>
        <w:pStyle w:val="2fb"/>
        <w:overflowPunct w:val="0"/>
      </w:pPr>
      <w:r w:rsidRPr="001B6E4D">
        <w:t>提案人：翁曉玲</w:t>
      </w:r>
    </w:p>
    <w:p w14:paraId="7F4021D9"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林倩綺</w:t>
      </w:r>
    </w:p>
    <w:p w14:paraId="5A5F75F8"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年度法務部預算案於第1目「一般行政」辦理法制及兩公約人權業務經費11,720千元，較上年度增列每四年定期辦理兩公約國家報告及國際審查等經費8,766千元。編列預算1,172萬元。</w:t>
      </w:r>
    </w:p>
    <w:p w14:paraId="1B3D99EA" w14:textId="77777777" w:rsidR="00705B3D" w:rsidRPr="001B6E4D" w:rsidRDefault="00705B3D" w:rsidP="003D1018">
      <w:pPr>
        <w:pStyle w:val="1f7"/>
        <w:overflowPunct w:val="0"/>
      </w:pPr>
      <w:r w:rsidRPr="001B6E4D">
        <w:t>依《兩公約施行法》第8條規定，「各級政府機關應依兩公</w:t>
      </w:r>
      <w:r w:rsidRPr="001B6E4D">
        <w:lastRenderedPageBreak/>
        <w:t>約規定之內容，檢討所主管之法令及行政措施，有不符兩公約規定者，應於本法施行後二年內，完成法令之制（訂）定、修正或廢止及行政措施之改進」，該法自民國98年12月施行迄今早已逾法定檢討期限。且依《監察院國家人權委員會組織法》第2條規定，有關對重要人權議題提出專案報告，或提出年度國家人權狀況報告；針對國內憲法及法令作有系統之研究，提出必要及可行修憲、立法及修法之建議等事項；</w:t>
      </w:r>
      <w:proofErr w:type="gramStart"/>
      <w:r w:rsidRPr="001B6E4D">
        <w:t>以及撰提對</w:t>
      </w:r>
      <w:proofErr w:type="gramEnd"/>
      <w:r w:rsidRPr="001B6E4D">
        <w:t>政府機關依各項人權公約規定所提國家報告之評估意見，悉屬國家人權委員會之職權。法務部編列此等預算，顯有違法浮濫之嫌。</w:t>
      </w:r>
      <w:proofErr w:type="gramStart"/>
      <w:r w:rsidRPr="001B6E4D">
        <w:t>爰</w:t>
      </w:r>
      <w:proofErr w:type="gramEnd"/>
      <w:r w:rsidRPr="001B6E4D">
        <w:t>減列該項預算906萬1千元。【10】</w:t>
      </w:r>
    </w:p>
    <w:p w14:paraId="25467249" w14:textId="77777777" w:rsidR="00705B3D" w:rsidRPr="001B6E4D" w:rsidRDefault="00705B3D" w:rsidP="003D1018">
      <w:pPr>
        <w:pStyle w:val="2fb"/>
        <w:overflowPunct w:val="0"/>
      </w:pPr>
      <w:r w:rsidRPr="001B6E4D">
        <w:t>提案人：翁曉玲</w:t>
      </w:r>
    </w:p>
    <w:p w14:paraId="1A9B30EA"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林倩綺</w:t>
      </w:r>
    </w:p>
    <w:p w14:paraId="4EB0450B"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年度法務部預算案於第1目「一般行政」項下「辦理法制及兩公約人權業務」中「業務費」業務費編列預算1,172萬元。經查，發現編列之高額預算用途於</w:t>
      </w:r>
      <w:proofErr w:type="gramStart"/>
      <w:r w:rsidRPr="001B6E4D">
        <w:t>邀集廢死專家</w:t>
      </w:r>
      <w:proofErr w:type="gramEnd"/>
      <w:r w:rsidRPr="001B6E4D">
        <w:t>學者交流、座談會及教育訓練等。近年社會重大治安事件頻傳，包括詐欺、</w:t>
      </w:r>
      <w:proofErr w:type="gramStart"/>
      <w:r w:rsidRPr="001B6E4D">
        <w:t>性侵及虐</w:t>
      </w:r>
      <w:proofErr w:type="gramEnd"/>
      <w:r w:rsidRPr="001B6E4D">
        <w:t>童等案件持續不斷，顯示人民對於治安維護及司法改革有更高期待，且台灣民意對</w:t>
      </w:r>
      <w:proofErr w:type="gramStart"/>
      <w:r w:rsidRPr="001B6E4D">
        <w:t>反對廢死有</w:t>
      </w:r>
      <w:proofErr w:type="gramEnd"/>
      <w:r w:rsidRPr="001B6E4D">
        <w:t>高度共識，根據中華人權協會與台灣審議民主協會所公布的最新死刑存廢民調，有高達83%的受訪民眾表示不贊同廢除死刑，因此相關政策討論應兼顧社會感受與制度發展，並以之治安維護、司法改革及有效打擊犯罪為優先。</w:t>
      </w:r>
    </w:p>
    <w:p w14:paraId="5B558E23" w14:textId="77777777" w:rsidR="00705B3D" w:rsidRPr="001B6E4D" w:rsidRDefault="00705B3D" w:rsidP="003D1018">
      <w:pPr>
        <w:pStyle w:val="1f7"/>
        <w:overflowPunct w:val="0"/>
      </w:pPr>
      <w:r w:rsidRPr="001B6E4D">
        <w:t>為促使資源配置更貼近社會需求，並強化預算使用效益與透明度，</w:t>
      </w:r>
      <w:proofErr w:type="gramStart"/>
      <w:r w:rsidRPr="001B6E4D">
        <w:t>爰</w:t>
      </w:r>
      <w:proofErr w:type="gramEnd"/>
      <w:r w:rsidRPr="001B6E4D">
        <w:t>針對</w:t>
      </w:r>
      <w:proofErr w:type="gramStart"/>
      <w:r w:rsidRPr="001B6E4D">
        <w:t>115</w:t>
      </w:r>
      <w:proofErr w:type="gramEnd"/>
      <w:r w:rsidRPr="001B6E4D">
        <w:t>年度法務部第1目「一般行政」項下「辦理法制及兩公約人權業務」中「業務費」預算編列1,172萬元，減列200萬元並凍結20%，</w:t>
      </w:r>
      <w:proofErr w:type="gramStart"/>
      <w:r w:rsidRPr="001B6E4D">
        <w:t>俟</w:t>
      </w:r>
      <w:proofErr w:type="gramEnd"/>
      <w:r w:rsidRPr="001B6E4D">
        <w:t>法務部就相關業務之執行內容、經費用途、政策目標及績效評估機制於3個月內向立法院司法及法制委員會提出書面報告後，始得動支。【11】</w:t>
      </w:r>
    </w:p>
    <w:p w14:paraId="7C3AB811" w14:textId="77777777" w:rsidR="00705B3D" w:rsidRPr="001B6E4D" w:rsidRDefault="00705B3D" w:rsidP="003D1018">
      <w:pPr>
        <w:pStyle w:val="2fb"/>
        <w:overflowPunct w:val="0"/>
      </w:pPr>
      <w:r w:rsidRPr="001B6E4D">
        <w:t>提案人：林沛祥</w:t>
      </w:r>
    </w:p>
    <w:p w14:paraId="73B45ED5" w14:textId="77777777" w:rsidR="00705B3D" w:rsidRPr="001B6E4D" w:rsidRDefault="00705B3D" w:rsidP="003D1018">
      <w:pPr>
        <w:pStyle w:val="2fb"/>
        <w:overflowPunct w:val="0"/>
      </w:pPr>
      <w:r w:rsidRPr="001B6E4D">
        <w:t>連署人：翁曉玲　許宇</w:t>
      </w:r>
      <w:proofErr w:type="gramStart"/>
      <w:r w:rsidRPr="001B6E4D">
        <w:t>甄</w:t>
      </w:r>
      <w:proofErr w:type="gramEnd"/>
    </w:p>
    <w:p w14:paraId="69A6F88E"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年度法務部預算案於第2目「法務行政」項下「辦理檢察行政業務」中「業務費」業務費48,137千元。較</w:t>
      </w:r>
      <w:proofErr w:type="gramStart"/>
      <w:r w:rsidRPr="001B6E4D">
        <w:t>114</w:t>
      </w:r>
      <w:proofErr w:type="gramEnd"/>
      <w:r w:rsidRPr="001B6E4D">
        <w:t>年度2,949萬7千元，增列1,864萬元，增幅高達63％。其中「教育訓練費」、「委辦費」、「國際組織會費」、「物品」、「一般事務費」、「國內旅費」、「大陸地區旅費」及「國外旅費」，</w:t>
      </w:r>
      <w:proofErr w:type="gramStart"/>
      <w:r w:rsidRPr="001B6E4D">
        <w:t>均有顯著</w:t>
      </w:r>
      <w:proofErr w:type="gramEnd"/>
      <w:r w:rsidRPr="001B6E4D">
        <w:t>增加，如下表：</w:t>
      </w:r>
    </w:p>
    <w:p w14:paraId="459A3E12" w14:textId="77777777" w:rsidR="00705B3D" w:rsidRPr="001B6E4D" w:rsidRDefault="00705B3D" w:rsidP="003D1018">
      <w:pPr>
        <w:overflowPunct w:val="0"/>
        <w:snapToGrid w:val="0"/>
        <w:ind w:left="1267"/>
        <w:jc w:val="both"/>
        <w:rPr>
          <w:rFonts w:ascii="標楷體" w:eastAsia="標楷體" w:hAnsi="標楷體"/>
          <w:color w:val="000000"/>
          <w:sz w:val="28"/>
          <w:szCs w:val="28"/>
        </w:rPr>
      </w:pPr>
      <w:r w:rsidRPr="001B6E4D">
        <w:rPr>
          <w:rFonts w:ascii="標楷體" w:eastAsia="標楷體" w:hAnsi="標楷體"/>
          <w:noProof/>
          <w:color w:val="000000"/>
          <w:sz w:val="28"/>
          <w:szCs w:val="28"/>
        </w:rPr>
        <w:lastRenderedPageBreak/>
        <w:drawing>
          <wp:inline distT="0" distB="0" distL="0" distR="0" wp14:anchorId="17FFE2FE" wp14:editId="4D40F7F0">
            <wp:extent cx="4619625" cy="2028825"/>
            <wp:effectExtent l="0" t="0" r="9525" b="9525"/>
            <wp:docPr id="9" name="圖片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8">
                      <a:extLst>
                        <a:ext uri="{28A0092B-C50C-407E-A947-70E740481C1C}">
                          <a14:useLocalDpi xmlns:a14="http://schemas.microsoft.com/office/drawing/2010/main" val="0"/>
                        </a:ext>
                      </a:extLst>
                    </a:blip>
                    <a:stretch>
                      <a:fillRect/>
                    </a:stretch>
                  </pic:blipFill>
                  <pic:spPr>
                    <a:xfrm>
                      <a:off x="0" y="0"/>
                      <a:ext cx="4619625" cy="2028825"/>
                    </a:xfrm>
                    <a:prstGeom prst="rect">
                      <a:avLst/>
                    </a:prstGeom>
                  </pic:spPr>
                </pic:pic>
              </a:graphicData>
            </a:graphic>
          </wp:inline>
        </w:drawing>
      </w:r>
    </w:p>
    <w:p w14:paraId="494C1440" w14:textId="77777777" w:rsidR="00705B3D" w:rsidRPr="001B6E4D" w:rsidRDefault="00705B3D" w:rsidP="003D1018">
      <w:pPr>
        <w:pStyle w:val="1f7"/>
        <w:overflowPunct w:val="0"/>
      </w:pPr>
      <w:proofErr w:type="gramStart"/>
      <w:r w:rsidRPr="001B6E4D">
        <w:t>惟查該</w:t>
      </w:r>
      <w:proofErr w:type="gramEnd"/>
      <w:r w:rsidRPr="001B6E4D">
        <w:t>部</w:t>
      </w:r>
      <w:proofErr w:type="gramStart"/>
      <w:r w:rsidRPr="001B6E4D">
        <w:t>115</w:t>
      </w:r>
      <w:proofErr w:type="gramEnd"/>
      <w:r w:rsidRPr="001B6E4D">
        <w:t>年度預算書說明，經費使用之項目與內容，與</w:t>
      </w:r>
      <w:proofErr w:type="gramStart"/>
      <w:r w:rsidRPr="001B6E4D">
        <w:t>114</w:t>
      </w:r>
      <w:proofErr w:type="gramEnd"/>
      <w:r w:rsidRPr="001B6E4D">
        <w:t>年度幾乎完全相同，例如「委辦費」中「辦理律師職前訓練經費」（</w:t>
      </w:r>
      <w:proofErr w:type="gramStart"/>
      <w:r w:rsidRPr="001B6E4D">
        <w:t>115</w:t>
      </w:r>
      <w:proofErr w:type="gramEnd"/>
      <w:r w:rsidRPr="001B6E4D">
        <w:t>年度560萬元，</w:t>
      </w:r>
      <w:proofErr w:type="gramStart"/>
      <w:r w:rsidRPr="001B6E4D">
        <w:t>114</w:t>
      </w:r>
      <w:proofErr w:type="gramEnd"/>
      <w:r w:rsidRPr="001B6E4D">
        <w:t>年度297萬9千元，並自</w:t>
      </w:r>
      <w:proofErr w:type="gramStart"/>
      <w:r w:rsidRPr="001B6E4D">
        <w:t>116</w:t>
      </w:r>
      <w:proofErr w:type="gramEnd"/>
      <w:r w:rsidRPr="001B6E4D">
        <w:t>年度起不再編列是項預算）、「一般事務費」中「辦理律師業務(含律師資格審查委員會)經費」（</w:t>
      </w:r>
      <w:proofErr w:type="gramStart"/>
      <w:r w:rsidRPr="001B6E4D">
        <w:t>115</w:t>
      </w:r>
      <w:proofErr w:type="gramEnd"/>
      <w:r w:rsidRPr="001B6E4D">
        <w:t>年度129萬7千元，</w:t>
      </w:r>
      <w:proofErr w:type="gramStart"/>
      <w:r w:rsidRPr="001B6E4D">
        <w:t>114</w:t>
      </w:r>
      <w:proofErr w:type="gramEnd"/>
      <w:r w:rsidRPr="001B6E4D">
        <w:t>年度58萬元），並無大幅增列預算之理由，恐有編列浮濫之嫌。</w:t>
      </w:r>
      <w:proofErr w:type="gramStart"/>
      <w:r w:rsidRPr="001B6E4D">
        <w:t>爰</w:t>
      </w:r>
      <w:proofErr w:type="gramEnd"/>
      <w:r w:rsidRPr="001B6E4D">
        <w:t>減列「辦理檢察行政業務」中「業務費」該項預算1,900萬元，其中「大陸地區旅費」維持上年度8萬4千元，並不得</w:t>
      </w:r>
      <w:proofErr w:type="gramStart"/>
      <w:r w:rsidRPr="001B6E4D">
        <w:t>流用勻支</w:t>
      </w:r>
      <w:proofErr w:type="gramEnd"/>
      <w:r w:rsidRPr="001B6E4D">
        <w:t>。【16】</w:t>
      </w:r>
    </w:p>
    <w:p w14:paraId="06B1C1AE" w14:textId="77777777" w:rsidR="00705B3D" w:rsidRPr="001B6E4D" w:rsidRDefault="00705B3D" w:rsidP="003D1018">
      <w:pPr>
        <w:pStyle w:val="2fb"/>
        <w:overflowPunct w:val="0"/>
      </w:pPr>
      <w:r w:rsidRPr="001B6E4D">
        <w:t>提案人：翁曉玲</w:t>
      </w:r>
    </w:p>
    <w:p w14:paraId="6C5FEF4C"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林倩綺</w:t>
      </w:r>
    </w:p>
    <w:p w14:paraId="376C3491" w14:textId="77777777" w:rsidR="00705B3D" w:rsidRPr="001B6E4D" w:rsidRDefault="00705B3D" w:rsidP="003D1018">
      <w:pPr>
        <w:pStyle w:val="1-1"/>
        <w:numPr>
          <w:ilvl w:val="0"/>
          <w:numId w:val="33"/>
        </w:numPr>
        <w:ind w:left="924" w:hanging="567"/>
        <w:rPr>
          <w:b/>
        </w:rPr>
      </w:pPr>
      <w:proofErr w:type="gramStart"/>
      <w:r w:rsidRPr="001B6E4D">
        <w:rPr>
          <w:b/>
        </w:rPr>
        <w:t>115</w:t>
      </w:r>
      <w:proofErr w:type="gramEnd"/>
      <w:r w:rsidRPr="001B6E4D">
        <w:rPr>
          <w:b/>
        </w:rPr>
        <w:t>年度法務部預算案於第5目「司法科技業務」項下「新世代智慧檢察AI科技計畫」編列預算929萬8千元。</w:t>
      </w:r>
    </w:p>
    <w:p w14:paraId="4D295F30" w14:textId="77777777" w:rsidR="00705B3D" w:rsidRPr="001B6E4D" w:rsidRDefault="00705B3D" w:rsidP="003D1018">
      <w:pPr>
        <w:pStyle w:val="1f7"/>
        <w:overflowPunct w:val="0"/>
      </w:pPr>
      <w:proofErr w:type="gramStart"/>
      <w:r w:rsidRPr="001B6E4D">
        <w:t>115</w:t>
      </w:r>
      <w:proofErr w:type="gramEnd"/>
      <w:r w:rsidRPr="001B6E4D">
        <w:t>年度法務部單位預算第5目「司法科技業務」項下「新世代智慧檢察AI科技計畫」編列929萬8千元，係由檢察司辦理，預期成果包括：由AI自動產製案件量大、重複性高之刑事案件結案書類；於大型詐欺集團案件、吸金案件，自動生成較複雜之被害人紀錄附表；並訓練AI系統對進階型複雜案件分析偵查筆錄後，提供偵查方向、補強證據及輔助決策建議。</w:t>
      </w:r>
    </w:p>
    <w:p w14:paraId="47359D56" w14:textId="77777777" w:rsidR="00705B3D" w:rsidRPr="001B6E4D" w:rsidRDefault="00705B3D" w:rsidP="003D1018">
      <w:pPr>
        <w:pStyle w:val="1f7"/>
        <w:overflowPunct w:val="0"/>
      </w:pPr>
      <w:r w:rsidRPr="001B6E4D">
        <w:t>查本計畫並非首次編列。法務部自110年至112年間已辦理3年期檢察機關AI智慧輔助系統建置，113年起續行，</w:t>
      </w:r>
      <w:proofErr w:type="gramStart"/>
      <w:r w:rsidRPr="001B6E4D">
        <w:t>114</w:t>
      </w:r>
      <w:proofErr w:type="gramEnd"/>
      <w:r w:rsidRPr="001B6E4D">
        <w:t>年度亦曾因執行成效不明遭立法院凍結預算。法務部於</w:t>
      </w:r>
      <w:proofErr w:type="gramStart"/>
      <w:r w:rsidRPr="001B6E4D">
        <w:t>114</w:t>
      </w:r>
      <w:proofErr w:type="gramEnd"/>
      <w:r w:rsidRPr="001B6E4D">
        <w:t>年度送交立法院之解凍報告雖稱，試辦機關已自桃園地檢署、</w:t>
      </w:r>
      <w:proofErr w:type="gramStart"/>
      <w:r w:rsidRPr="001B6E4D">
        <w:t>臺</w:t>
      </w:r>
      <w:proofErr w:type="gramEnd"/>
      <w:r w:rsidRPr="001B6E4D">
        <w:t>中地檢署擴大至</w:t>
      </w:r>
      <w:proofErr w:type="gramStart"/>
      <w:r w:rsidRPr="001B6E4D">
        <w:t>臺</w:t>
      </w:r>
      <w:proofErr w:type="gramEnd"/>
      <w:r w:rsidRPr="001B6E4D">
        <w:t>北地檢署、新北地檢署，並於113年9月至12月底產製詐欺附表、</w:t>
      </w:r>
      <w:proofErr w:type="gramStart"/>
      <w:r w:rsidRPr="001B6E4D">
        <w:t>酒駕結案</w:t>
      </w:r>
      <w:proofErr w:type="gramEnd"/>
      <w:r w:rsidRPr="001B6E4D">
        <w:t>書類共3,438件，驗收件數及正確率均提升，另</w:t>
      </w:r>
      <w:proofErr w:type="gramStart"/>
      <w:r w:rsidRPr="001B6E4D">
        <w:t>研</w:t>
      </w:r>
      <w:proofErr w:type="gramEnd"/>
      <w:r w:rsidRPr="001B6E4D">
        <w:t>擬「生成車手取款附表」、「生成定應執行</w:t>
      </w:r>
      <w:proofErr w:type="gramStart"/>
      <w:r w:rsidRPr="001B6E4D">
        <w:t>刑</w:t>
      </w:r>
      <w:proofErr w:type="gramEnd"/>
      <w:r w:rsidRPr="001B6E4D">
        <w:t>一覽表」及「統計資料擷取」等項目。</w:t>
      </w:r>
    </w:p>
    <w:p w14:paraId="6EE1D178" w14:textId="77777777" w:rsidR="00705B3D" w:rsidRPr="001B6E4D" w:rsidRDefault="00705B3D" w:rsidP="003D1018">
      <w:pPr>
        <w:pStyle w:val="1f7"/>
        <w:overflowPunct w:val="0"/>
      </w:pPr>
      <w:proofErr w:type="gramStart"/>
      <w:r w:rsidRPr="001B6E4D">
        <w:t>惟</w:t>
      </w:r>
      <w:proofErr w:type="gramEnd"/>
      <w:r w:rsidRPr="001B6E4D">
        <w:t>截至目前為止，外界仍難清楚掌握：各試辦地檢署實際使用頻率、實際採用率、撤回率、修正率、檢察官滿意度、實際節省工時、書類品質提升幅度，以及AI是否已從單純類型</w:t>
      </w:r>
      <w:proofErr w:type="gramStart"/>
      <w:r w:rsidRPr="001B6E4D">
        <w:t>化</w:t>
      </w:r>
      <w:r w:rsidRPr="001B6E4D">
        <w:lastRenderedPageBreak/>
        <w:t>酒駕</w:t>
      </w:r>
      <w:proofErr w:type="gramEnd"/>
      <w:r w:rsidRPr="001B6E4D">
        <w:t>、詐欺附表製作，進一步擴張至較複雜案件之證據分析與偵查建議。</w:t>
      </w:r>
    </w:p>
    <w:p w14:paraId="682DD1A4" w14:textId="77777777" w:rsidR="00705B3D" w:rsidRPr="001B6E4D" w:rsidRDefault="00705B3D" w:rsidP="003D1018">
      <w:pPr>
        <w:pStyle w:val="1f7"/>
        <w:overflowPunct w:val="0"/>
      </w:pPr>
      <w:r w:rsidRPr="001B6E4D">
        <w:t>再者，</w:t>
      </w:r>
      <w:proofErr w:type="gramStart"/>
      <w:r w:rsidRPr="001B6E4D">
        <w:t>115</w:t>
      </w:r>
      <w:proofErr w:type="gramEnd"/>
      <w:r w:rsidRPr="001B6E4D">
        <w:t>年度本計畫除編列業務費210萬元辦理AI引擎人工智慧業務模組訓練與優化、導入數位資料整合、AI技術、專案管理及維護外，另編列設備及投資719萬8千元，包括：</w:t>
      </w:r>
    </w:p>
    <w:p w14:paraId="40D073E5" w14:textId="77777777" w:rsidR="00705B3D" w:rsidRPr="001B6E4D" w:rsidRDefault="00705B3D" w:rsidP="003D1018">
      <w:pPr>
        <w:pStyle w:val="afffffffffd"/>
        <w:overflowPunct w:val="0"/>
        <w:ind w:left="1400" w:hangingChars="500" w:hanging="1400"/>
      </w:pPr>
      <w:r w:rsidRPr="001B6E4D">
        <w:rPr>
          <w:rFonts w:hint="eastAsia"/>
        </w:rPr>
        <w:t xml:space="preserve">       </w:t>
      </w:r>
      <w:r w:rsidRPr="001B6E4D">
        <w:t>1、增加「AI人工智慧辨識模組」功能與現有系統功能整合，並持續擴充數位儲存等設備276萬8千元；</w:t>
      </w:r>
    </w:p>
    <w:p w14:paraId="17FAE093" w14:textId="77777777" w:rsidR="00705B3D" w:rsidRPr="001B6E4D" w:rsidRDefault="00705B3D" w:rsidP="003D1018">
      <w:pPr>
        <w:pStyle w:val="afffffffffd"/>
        <w:overflowPunct w:val="0"/>
        <w:ind w:left="1400" w:hangingChars="500" w:hanging="1400"/>
      </w:pPr>
      <w:r w:rsidRPr="001B6E4D">
        <w:rPr>
          <w:rFonts w:hint="eastAsia"/>
        </w:rPr>
        <w:t xml:space="preserve">       </w:t>
      </w:r>
      <w:r w:rsidRPr="001B6E4D">
        <w:t>2、檢察官AI助理系統優化及訓練改善，並提升AI針對司法專業語料之NLP分析能力，自動產製複雜案件結案書類等功能開發費用443萬元。</w:t>
      </w:r>
    </w:p>
    <w:p w14:paraId="0E862CB7" w14:textId="77777777" w:rsidR="00705B3D" w:rsidRPr="001B6E4D" w:rsidRDefault="00705B3D" w:rsidP="003D1018">
      <w:pPr>
        <w:pStyle w:val="1f7"/>
        <w:overflowPunct w:val="0"/>
      </w:pPr>
      <w:r w:rsidRPr="001B6E4D">
        <w:t>惟本案涉及AI生成檢察書類、卷證分析、偵查建議與司法專業語料訓練，已不再只是單純行政流程自動化，而牽涉檢察官辦案判斷、書類品質、責任歸屬與程序正義。</w:t>
      </w:r>
    </w:p>
    <w:p w14:paraId="4C6E1CA1" w14:textId="77777777" w:rsidR="00705B3D" w:rsidRPr="001B6E4D" w:rsidRDefault="00705B3D" w:rsidP="003D1018">
      <w:pPr>
        <w:pStyle w:val="1f7"/>
        <w:overflowPunct w:val="0"/>
      </w:pPr>
      <w:r w:rsidRPr="001B6E4D">
        <w:t>若法務部未提出具體統計數據與績效指標，立法院即難以判斷該項經費是否確實用在刀口上，亦無從檢驗其是否真正減輕基層檢察官負擔，抑或只是持續擴充一套成果尚未充分證明之AI系統。</w:t>
      </w:r>
    </w:p>
    <w:p w14:paraId="374D3683" w14:textId="77777777" w:rsidR="00705B3D" w:rsidRPr="001B6E4D" w:rsidRDefault="00705B3D" w:rsidP="003D1018">
      <w:pPr>
        <w:pStyle w:val="1f7"/>
        <w:overflowPunct w:val="0"/>
      </w:pPr>
      <w:proofErr w:type="gramStart"/>
      <w:r w:rsidRPr="001B6E4D">
        <w:t>爰</w:t>
      </w:r>
      <w:proofErr w:type="gramEnd"/>
      <w:r w:rsidRPr="001B6E4D">
        <w:t>此，凍結法務部</w:t>
      </w:r>
      <w:proofErr w:type="gramStart"/>
      <w:r w:rsidRPr="001B6E4D">
        <w:t>115</w:t>
      </w:r>
      <w:proofErr w:type="gramEnd"/>
      <w:r w:rsidRPr="001B6E4D">
        <w:t>年度第5目「司法科技業務」項下「新世代智慧檢察AI科技計畫」預算20%，</w:t>
      </w:r>
      <w:proofErr w:type="gramStart"/>
      <w:r w:rsidRPr="001B6E4D">
        <w:t>俟</w:t>
      </w:r>
      <w:proofErr w:type="gramEnd"/>
      <w:r w:rsidRPr="001B6E4D">
        <w:t>法務部於2個月內向立法院司法及法制委員會提出專案報告，具體說明「試辦情形、使用成效、書類製作協助之實際成果與責任界線」，包括應具體說明事項：</w:t>
      </w:r>
    </w:p>
    <w:p w14:paraId="28311A41" w14:textId="77777777" w:rsidR="00705B3D" w:rsidRPr="001B6E4D" w:rsidRDefault="00705B3D" w:rsidP="003D1018">
      <w:pPr>
        <w:pStyle w:val="afffffffffd"/>
        <w:overflowPunct w:val="0"/>
        <w:ind w:firstLineChars="0" w:firstLine="0"/>
      </w:pPr>
      <w:r w:rsidRPr="001B6E4D">
        <w:rPr>
          <w:b/>
        </w:rPr>
        <w:t>1、最近2年各試辦地檢署之使用統計</w:t>
      </w:r>
    </w:p>
    <w:p w14:paraId="7EC90135" w14:textId="77777777" w:rsidR="00705B3D" w:rsidRPr="001B6E4D" w:rsidRDefault="00705B3D" w:rsidP="003D1018">
      <w:pPr>
        <w:pStyle w:val="afffffffffd"/>
        <w:overflowPunct w:val="0"/>
        <w:ind w:left="1446" w:firstLineChars="0" w:firstLine="0"/>
      </w:pPr>
      <w:r w:rsidRPr="001B6E4D">
        <w:t>包括桃園、</w:t>
      </w:r>
      <w:proofErr w:type="gramStart"/>
      <w:r w:rsidRPr="001B6E4D">
        <w:t>臺</w:t>
      </w:r>
      <w:proofErr w:type="gramEnd"/>
      <w:r w:rsidRPr="001B6E4D">
        <w:t>中、</w:t>
      </w:r>
      <w:proofErr w:type="gramStart"/>
      <w:r w:rsidRPr="001B6E4D">
        <w:t>臺</w:t>
      </w:r>
      <w:proofErr w:type="gramEnd"/>
      <w:r w:rsidRPr="001B6E4D">
        <w:t>北、新北等試辦機關之使用次數、案件類型、AI產製件數、實際採用件數、修正後採用件數、未採用件數及原因。</w:t>
      </w:r>
    </w:p>
    <w:p w14:paraId="0040470B" w14:textId="77777777" w:rsidR="00705B3D" w:rsidRPr="001B6E4D" w:rsidRDefault="00705B3D" w:rsidP="003D1018">
      <w:pPr>
        <w:pStyle w:val="afffffffffd"/>
        <w:overflowPunct w:val="0"/>
        <w:ind w:firstLineChars="0" w:firstLine="0"/>
      </w:pPr>
      <w:r w:rsidRPr="001B6E4D">
        <w:rPr>
          <w:b/>
        </w:rPr>
        <w:t>2、具體協助書類製作之範圍與成果</w:t>
      </w:r>
    </w:p>
    <w:p w14:paraId="3CF21CFB" w14:textId="77777777" w:rsidR="00705B3D" w:rsidRPr="001B6E4D" w:rsidRDefault="00705B3D" w:rsidP="003D1018">
      <w:pPr>
        <w:pStyle w:val="afffffffffd"/>
        <w:overflowPunct w:val="0"/>
        <w:ind w:left="1446" w:firstLineChars="0" w:firstLine="0"/>
      </w:pPr>
      <w:proofErr w:type="gramStart"/>
      <w:r w:rsidRPr="001B6E4D">
        <w:t>請逐項</w:t>
      </w:r>
      <w:proofErr w:type="gramEnd"/>
      <w:r w:rsidRPr="001B6E4D">
        <w:t>說明目前已可產製或協助之書類，</w:t>
      </w:r>
      <w:proofErr w:type="gramStart"/>
      <w:r w:rsidRPr="001B6E4D">
        <w:t>包括酒駕結案</w:t>
      </w:r>
      <w:proofErr w:type="gramEnd"/>
      <w:r w:rsidRPr="001B6E4D">
        <w:t>書類、詐欺附表、車手取款附表、定應執行</w:t>
      </w:r>
      <w:proofErr w:type="gramStart"/>
      <w:r w:rsidRPr="001B6E4D">
        <w:t>刑</w:t>
      </w:r>
      <w:proofErr w:type="gramEnd"/>
      <w:r w:rsidRPr="001B6E4D">
        <w:t>一覽表、吸金案件被害人紀錄附表等，其各別使用量、正確率及人工修正率為何。</w:t>
      </w:r>
    </w:p>
    <w:p w14:paraId="2F4E9490" w14:textId="77777777" w:rsidR="00705B3D" w:rsidRPr="001B6E4D" w:rsidRDefault="00705B3D" w:rsidP="003D1018">
      <w:pPr>
        <w:pStyle w:val="afffffffffd"/>
        <w:overflowPunct w:val="0"/>
        <w:ind w:firstLineChars="0" w:firstLine="0"/>
      </w:pPr>
      <w:r w:rsidRPr="001B6E4D">
        <w:rPr>
          <w:b/>
        </w:rPr>
        <w:t>3、節省工時與減輕負擔之量化證據</w:t>
      </w:r>
    </w:p>
    <w:p w14:paraId="74A63632" w14:textId="77777777" w:rsidR="00705B3D" w:rsidRPr="001B6E4D" w:rsidRDefault="00705B3D" w:rsidP="003D1018">
      <w:pPr>
        <w:pStyle w:val="afffffffffd"/>
        <w:overflowPunct w:val="0"/>
        <w:ind w:left="1446" w:firstLineChars="0" w:firstLine="0"/>
      </w:pPr>
      <w:r w:rsidRPr="001B6E4D">
        <w:t>請提出各類案件導入AI前後，平均製作時間、閱卷時間、附表整理時間、檢察官及書記官實際節省工時之比較數據。</w:t>
      </w:r>
    </w:p>
    <w:p w14:paraId="277A0CDC" w14:textId="77777777" w:rsidR="00705B3D" w:rsidRPr="001B6E4D" w:rsidRDefault="00705B3D" w:rsidP="003D1018">
      <w:pPr>
        <w:pStyle w:val="afffffffffd"/>
        <w:overflowPunct w:val="0"/>
        <w:ind w:firstLineChars="0" w:firstLine="0"/>
      </w:pPr>
      <w:r w:rsidRPr="001B6E4D">
        <w:rPr>
          <w:b/>
        </w:rPr>
        <w:t>4、滿意度與品質評估</w:t>
      </w:r>
    </w:p>
    <w:p w14:paraId="104C0E98" w14:textId="77777777" w:rsidR="00705B3D" w:rsidRPr="001B6E4D" w:rsidRDefault="00705B3D" w:rsidP="003D1018">
      <w:pPr>
        <w:pStyle w:val="afffffffffd"/>
        <w:overflowPunct w:val="0"/>
        <w:ind w:left="1446" w:firstLineChars="0" w:firstLine="0"/>
      </w:pPr>
      <w:r w:rsidRPr="001B6E4D">
        <w:t>請提出試辦檢察官、檢察事務官、書記官使用滿意度調查結果，以及AI生成書類正確率、</w:t>
      </w:r>
      <w:proofErr w:type="gramStart"/>
      <w:r w:rsidRPr="001B6E4D">
        <w:t>退件率</w:t>
      </w:r>
      <w:proofErr w:type="gramEnd"/>
      <w:r w:rsidRPr="001B6E4D">
        <w:t>、修正率與錯誤類</w:t>
      </w:r>
      <w:r w:rsidRPr="001B6E4D">
        <w:lastRenderedPageBreak/>
        <w:t>型統計。</w:t>
      </w:r>
    </w:p>
    <w:p w14:paraId="50D8994F" w14:textId="77777777" w:rsidR="00705B3D" w:rsidRPr="001B6E4D" w:rsidRDefault="00705B3D" w:rsidP="003D1018">
      <w:pPr>
        <w:pStyle w:val="afffffffffd"/>
        <w:overflowPunct w:val="0"/>
        <w:ind w:firstLineChars="0" w:firstLine="0"/>
      </w:pPr>
      <w:r w:rsidRPr="001B6E4D">
        <w:rPr>
          <w:b/>
        </w:rPr>
        <w:t>5、AI參與書類製作與偵查建議之責任界線</w:t>
      </w:r>
    </w:p>
    <w:p w14:paraId="207E5F77" w14:textId="77777777" w:rsidR="00705B3D" w:rsidRPr="001B6E4D" w:rsidRDefault="00705B3D" w:rsidP="003D1018">
      <w:pPr>
        <w:pStyle w:val="afffffffffd"/>
        <w:overflowPunct w:val="0"/>
        <w:ind w:left="1446" w:firstLineChars="0" w:firstLine="0"/>
      </w:pPr>
      <w:r w:rsidRPr="001B6E4D">
        <w:t>請具體說明：哪些部分僅屬機械性、重複性輔助；哪些部分已涉及卷證分析、證據建議、偵查方向建議；最終責任歸屬、人工覆核機制及錯誤責任追究如何設計。</w:t>
      </w:r>
    </w:p>
    <w:p w14:paraId="2B21240F" w14:textId="77777777" w:rsidR="00705B3D" w:rsidRPr="001B6E4D" w:rsidRDefault="00705B3D" w:rsidP="003D1018">
      <w:pPr>
        <w:pStyle w:val="afffffffffd"/>
        <w:overflowPunct w:val="0"/>
        <w:ind w:firstLineChars="0" w:firstLine="0"/>
        <w:rPr>
          <w:b/>
        </w:rPr>
      </w:pPr>
      <w:r w:rsidRPr="001B6E4D">
        <w:rPr>
          <w:b/>
        </w:rPr>
        <w:t>6、115年度新增功能之必要性與效益</w:t>
      </w:r>
    </w:p>
    <w:p w14:paraId="31712665" w14:textId="77777777" w:rsidR="00705B3D" w:rsidRPr="001B6E4D" w:rsidRDefault="00705B3D" w:rsidP="003D1018">
      <w:pPr>
        <w:pStyle w:val="afffffffffd"/>
        <w:overflowPunct w:val="0"/>
        <w:ind w:left="1446" w:firstLineChars="0" w:firstLine="0"/>
      </w:pPr>
      <w:r w:rsidRPr="001B6E4D">
        <w:t>就</w:t>
      </w:r>
      <w:proofErr w:type="gramStart"/>
      <w:r w:rsidRPr="001B6E4D">
        <w:t>115</w:t>
      </w:r>
      <w:proofErr w:type="gramEnd"/>
      <w:r w:rsidRPr="001B6E4D">
        <w:t>年度新增編列之「AI人工智慧辨識模組」、「司法專業語料NLP分析能力」、「複雜案件結案書類自動產製」等，提出功能說明、與舊系統差異、預期效益及評估指標。</w:t>
      </w:r>
    </w:p>
    <w:p w14:paraId="5CDACD74" w14:textId="77777777" w:rsidR="00705B3D" w:rsidRPr="001B6E4D" w:rsidRDefault="00705B3D" w:rsidP="003D1018">
      <w:pPr>
        <w:pStyle w:val="afffffffffd"/>
        <w:overflowPunct w:val="0"/>
        <w:ind w:firstLineChars="0" w:firstLine="0"/>
        <w:rPr>
          <w:b/>
        </w:rPr>
      </w:pPr>
      <w:r w:rsidRPr="001B6E4D">
        <w:rPr>
          <w:b/>
        </w:rPr>
        <w:t>7、試辦擴大與正式推動時程</w:t>
      </w:r>
    </w:p>
    <w:p w14:paraId="5108B009" w14:textId="77777777" w:rsidR="00705B3D" w:rsidRPr="001B6E4D" w:rsidRDefault="00705B3D" w:rsidP="003D1018">
      <w:pPr>
        <w:pStyle w:val="afffffffffd"/>
        <w:overflowPunct w:val="0"/>
        <w:ind w:left="1446" w:firstLineChars="0" w:firstLine="0"/>
      </w:pPr>
      <w:r w:rsidRPr="001B6E4D">
        <w:t>目前是否仍屬試辦階段，何時要擴大到其他地檢署；如擴大全國使用，需再投入多少預算與維護成本，請一併說明。</w:t>
      </w:r>
    </w:p>
    <w:p w14:paraId="55561B64" w14:textId="77777777" w:rsidR="00705B3D" w:rsidRPr="001B6E4D" w:rsidRDefault="00705B3D" w:rsidP="003D1018">
      <w:pPr>
        <w:pStyle w:val="1f7"/>
        <w:overflowPunct w:val="0"/>
        <w:ind w:firstLineChars="190" w:firstLine="532"/>
      </w:pPr>
      <w:r w:rsidRPr="001B6E4D">
        <w:t>以上並經同意後，始得動支。【28】</w:t>
      </w:r>
    </w:p>
    <w:p w14:paraId="6365A82A" w14:textId="77777777" w:rsidR="00705B3D" w:rsidRPr="001B6E4D" w:rsidRDefault="00705B3D" w:rsidP="003D1018">
      <w:pPr>
        <w:pStyle w:val="2fb"/>
        <w:overflowPunct w:val="0"/>
      </w:pPr>
      <w:r w:rsidRPr="001B6E4D">
        <w:t>提案人：吳宗憲</w:t>
      </w:r>
    </w:p>
    <w:p w14:paraId="4DF12F1F"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連署人：林倩綺　翁曉玲</w:t>
      </w:r>
    </w:p>
    <w:p w14:paraId="38A98643" w14:textId="77777777" w:rsidR="00705B3D" w:rsidRPr="001B6E4D" w:rsidRDefault="00705B3D" w:rsidP="003D1018">
      <w:pPr>
        <w:overflowPunct w:val="0"/>
        <w:snapToGrid w:val="0"/>
        <w:ind w:leftChars="150" w:left="1201" w:hangingChars="300" w:hanging="841"/>
        <w:jc w:val="both"/>
        <w:rPr>
          <w:rFonts w:ascii="標楷體" w:eastAsia="標楷體" w:hAnsi="標楷體"/>
          <w:color w:val="000000"/>
          <w:sz w:val="28"/>
          <w:szCs w:val="28"/>
        </w:rPr>
      </w:pPr>
      <w:r w:rsidRPr="001B6E4D">
        <w:rPr>
          <w:rFonts w:ascii="標楷體" w:eastAsia="標楷體" w:hAnsi="標楷體"/>
          <w:b/>
          <w:sz w:val="28"/>
          <w:szCs w:val="28"/>
        </w:rPr>
        <w:t>本項通過決議</w:t>
      </w:r>
      <w:r w:rsidRPr="001B6E4D">
        <w:rPr>
          <w:rFonts w:ascii="標楷體" w:eastAsia="標楷體" w:hAnsi="標楷體" w:hint="eastAsia"/>
          <w:b/>
          <w:sz w:val="28"/>
          <w:szCs w:val="28"/>
        </w:rPr>
        <w:t>38</w:t>
      </w:r>
      <w:r w:rsidRPr="001B6E4D">
        <w:rPr>
          <w:rFonts w:ascii="標楷體" w:eastAsia="標楷體" w:hAnsi="標楷體"/>
          <w:b/>
          <w:sz w:val="28"/>
          <w:szCs w:val="28"/>
        </w:rPr>
        <w:t>項：</w:t>
      </w:r>
    </w:p>
    <w:p w14:paraId="5A90958D" w14:textId="77777777" w:rsidR="00705B3D" w:rsidRPr="001B6E4D" w:rsidRDefault="00705B3D" w:rsidP="003D1018">
      <w:pPr>
        <w:pStyle w:val="a"/>
        <w:numPr>
          <w:ilvl w:val="0"/>
          <w:numId w:val="66"/>
        </w:numPr>
        <w:overflowPunct w:val="0"/>
        <w:ind w:left="924" w:hanging="567"/>
        <w:rPr>
          <w:color w:val="FF0000"/>
        </w:rPr>
      </w:pPr>
      <w:proofErr w:type="gramStart"/>
      <w:r w:rsidRPr="001B6E4D">
        <w:t>115</w:t>
      </w:r>
      <w:proofErr w:type="gramEnd"/>
      <w:r w:rsidRPr="001B6E4D">
        <w:t>年度法務部歲出預算第1目「一般行政」編列7億6,932萬9千元，凍結41萬</w:t>
      </w:r>
      <w:r w:rsidRPr="001B6E4D">
        <w:rPr>
          <w:rFonts w:hint="eastAsia"/>
        </w:rPr>
        <w:t>8千</w:t>
      </w:r>
      <w:r w:rsidRPr="001B6E4D">
        <w:t>元，</w:t>
      </w:r>
      <w:proofErr w:type="gramStart"/>
      <w:r w:rsidRPr="001B6E4D">
        <w:t>俟</w:t>
      </w:r>
      <w:proofErr w:type="gramEnd"/>
      <w:r w:rsidRPr="001B6E4D">
        <w:t>向立法院司法及法制委員會提出書面報告後，始得動支。【</w:t>
      </w:r>
      <w:r w:rsidRPr="001B6E4D">
        <w:rPr>
          <w:rFonts w:hint="eastAsia"/>
        </w:rPr>
        <w:t>8、</w:t>
      </w:r>
      <w:r w:rsidRPr="001B6E4D">
        <w:t>9】</w:t>
      </w:r>
    </w:p>
    <w:p w14:paraId="77C61A8F" w14:textId="77777777" w:rsidR="00705B3D" w:rsidRPr="001B6E4D" w:rsidRDefault="00705B3D" w:rsidP="003D1018">
      <w:pPr>
        <w:pStyle w:val="2fb"/>
        <w:overflowPunct w:val="0"/>
      </w:pPr>
      <w:r w:rsidRPr="001B6E4D">
        <w:t>提案人：</w:t>
      </w:r>
      <w:r w:rsidRPr="001B6E4D">
        <w:rPr>
          <w:rFonts w:hint="eastAsia"/>
        </w:rPr>
        <w:t>陳昭姿  林倩綺</w:t>
      </w:r>
    </w:p>
    <w:p w14:paraId="05F5E613" w14:textId="77777777" w:rsidR="00705B3D" w:rsidRPr="001B6E4D" w:rsidRDefault="00705B3D" w:rsidP="003D1018">
      <w:pPr>
        <w:pStyle w:val="2fb"/>
        <w:overflowPunct w:val="0"/>
      </w:pPr>
      <w:r w:rsidRPr="001B6E4D">
        <w:t>連署人：</w:t>
      </w:r>
      <w:r w:rsidRPr="001B6E4D">
        <w:rPr>
          <w:rFonts w:hint="eastAsia"/>
        </w:rPr>
        <w:t>林沛祥  許宇</w:t>
      </w:r>
      <w:proofErr w:type="gramStart"/>
      <w:r w:rsidRPr="001B6E4D">
        <w:rPr>
          <w:rFonts w:hint="eastAsia"/>
        </w:rPr>
        <w:t>甄</w:t>
      </w:r>
      <w:proofErr w:type="gramEnd"/>
    </w:p>
    <w:p w14:paraId="45881FC6" w14:textId="77777777" w:rsidR="00705B3D" w:rsidRPr="001B6E4D" w:rsidRDefault="00705B3D" w:rsidP="003D1018">
      <w:pPr>
        <w:pStyle w:val="1f6"/>
        <w:overflowPunct w:val="0"/>
      </w:pPr>
      <w:proofErr w:type="gramStart"/>
      <w:r w:rsidRPr="001B6E4D">
        <w:t>115</w:t>
      </w:r>
      <w:proofErr w:type="gramEnd"/>
      <w:r w:rsidRPr="001B6E4D">
        <w:t>年度法務部歲出預算第2目「法務行政」編列15億8,263萬5千元，凍結</w:t>
      </w:r>
      <w:r w:rsidRPr="001B6E4D">
        <w:rPr>
          <w:rFonts w:hint="eastAsia"/>
        </w:rPr>
        <w:t>1</w:t>
      </w:r>
      <w:r w:rsidRPr="001B6E4D">
        <w:t>,</w:t>
      </w:r>
      <w:r w:rsidRPr="001B6E4D">
        <w:rPr>
          <w:rFonts w:hint="eastAsia"/>
        </w:rPr>
        <w:t>021</w:t>
      </w:r>
      <w:r w:rsidRPr="001B6E4D">
        <w:t>萬</w:t>
      </w:r>
      <w:r w:rsidRPr="001B6E4D">
        <w:rPr>
          <w:rFonts w:hint="eastAsia"/>
        </w:rPr>
        <w:t>9千</w:t>
      </w:r>
      <w:r w:rsidRPr="001B6E4D">
        <w:t>元，</w:t>
      </w:r>
      <w:proofErr w:type="gramStart"/>
      <w:r w:rsidRPr="001B6E4D">
        <w:t>俟</w:t>
      </w:r>
      <w:proofErr w:type="gramEnd"/>
      <w:r w:rsidRPr="001B6E4D">
        <w:t>向立法院司法及法制委員會提出書面報告後，始得動支。【</w:t>
      </w:r>
      <w:r w:rsidRPr="001B6E4D">
        <w:rPr>
          <w:rFonts w:hint="eastAsia"/>
        </w:rPr>
        <w:t>1</w:t>
      </w:r>
      <w:r w:rsidRPr="001B6E4D">
        <w:t>5</w:t>
      </w:r>
      <w:r w:rsidRPr="001B6E4D">
        <w:rPr>
          <w:rFonts w:hint="eastAsia"/>
        </w:rPr>
        <w:t>、1</w:t>
      </w:r>
      <w:r w:rsidRPr="001B6E4D">
        <w:t>7</w:t>
      </w:r>
      <w:r w:rsidRPr="001B6E4D">
        <w:rPr>
          <w:rFonts w:hint="eastAsia"/>
        </w:rPr>
        <w:t>、18、20、21</w:t>
      </w:r>
      <w:r w:rsidRPr="001B6E4D">
        <w:t>】</w:t>
      </w:r>
    </w:p>
    <w:p w14:paraId="1237C39A" w14:textId="77777777" w:rsidR="00705B3D" w:rsidRPr="001B6E4D" w:rsidRDefault="00705B3D" w:rsidP="003D1018">
      <w:pPr>
        <w:pStyle w:val="2fb"/>
        <w:overflowPunct w:val="0"/>
      </w:pPr>
      <w:r w:rsidRPr="001B6E4D">
        <w:t>提案人：</w:t>
      </w:r>
      <w:r w:rsidRPr="001B6E4D">
        <w:rPr>
          <w:rFonts w:hint="eastAsia"/>
          <w:spacing w:val="-10"/>
        </w:rPr>
        <w:t>吳宗憲  陳昭姿  張雅琳  林沛祥</w:t>
      </w:r>
    </w:p>
    <w:p w14:paraId="0057A82A" w14:textId="77777777" w:rsidR="00705B3D" w:rsidRPr="001B6E4D" w:rsidRDefault="00705B3D" w:rsidP="003D1018">
      <w:pPr>
        <w:pStyle w:val="2fb"/>
        <w:overflowPunct w:val="0"/>
      </w:pPr>
      <w:r w:rsidRPr="001B6E4D">
        <w:rPr>
          <w:rFonts w:hint="eastAsia"/>
        </w:rPr>
        <w:t xml:space="preserve">        林月琴</w:t>
      </w:r>
    </w:p>
    <w:p w14:paraId="3DDB1618" w14:textId="77777777" w:rsidR="00705B3D" w:rsidRPr="001B6E4D" w:rsidRDefault="00705B3D" w:rsidP="003D1018">
      <w:pPr>
        <w:pStyle w:val="2fb"/>
        <w:overflowPunct w:val="0"/>
      </w:pPr>
      <w:r w:rsidRPr="001B6E4D">
        <w:t>連署人：</w:t>
      </w:r>
      <w:r w:rsidRPr="001B6E4D">
        <w:rPr>
          <w:rFonts w:hint="eastAsia"/>
          <w:spacing w:val="-10"/>
        </w:rPr>
        <w:t xml:space="preserve">林倩綺  翁曉玲  沈發惠  </w:t>
      </w:r>
      <w:proofErr w:type="gramStart"/>
      <w:r w:rsidRPr="001B6E4D">
        <w:rPr>
          <w:rFonts w:hint="eastAsia"/>
          <w:spacing w:val="-10"/>
        </w:rPr>
        <w:t>范</w:t>
      </w:r>
      <w:proofErr w:type="gramEnd"/>
      <w:r w:rsidRPr="001B6E4D">
        <w:rPr>
          <w:rFonts w:hint="eastAsia"/>
          <w:spacing w:val="-10"/>
        </w:rPr>
        <w:t xml:space="preserve">  雲</w:t>
      </w:r>
    </w:p>
    <w:p w14:paraId="18EB7176" w14:textId="77777777" w:rsidR="00705B3D" w:rsidRPr="001B6E4D" w:rsidRDefault="00705B3D" w:rsidP="003D1018">
      <w:pPr>
        <w:pStyle w:val="2fb"/>
        <w:overflowPunct w:val="0"/>
      </w:pPr>
      <w:r w:rsidRPr="001B6E4D">
        <w:rPr>
          <w:rFonts w:hint="eastAsia"/>
        </w:rPr>
        <w:t xml:space="preserve">      </w:t>
      </w:r>
      <w:r w:rsidRPr="001B6E4D">
        <w:t xml:space="preserve"> </w:t>
      </w:r>
      <w:r w:rsidRPr="001B6E4D">
        <w:rPr>
          <w:rFonts w:hint="eastAsia"/>
        </w:rPr>
        <w:t xml:space="preserve"> 許宇</w:t>
      </w:r>
      <w:proofErr w:type="gramStart"/>
      <w:r w:rsidRPr="001B6E4D">
        <w:rPr>
          <w:rFonts w:hint="eastAsia"/>
        </w:rPr>
        <w:t>甄</w:t>
      </w:r>
      <w:proofErr w:type="gramEnd"/>
    </w:p>
    <w:p w14:paraId="1B6C7C75" w14:textId="77777777" w:rsidR="00705B3D" w:rsidRPr="001B6E4D" w:rsidRDefault="00705B3D" w:rsidP="003D1018">
      <w:pPr>
        <w:pStyle w:val="1f6"/>
        <w:overflowPunct w:val="0"/>
      </w:pPr>
      <w:proofErr w:type="gramStart"/>
      <w:r w:rsidRPr="001B6E4D">
        <w:t>115</w:t>
      </w:r>
      <w:proofErr w:type="gramEnd"/>
      <w:r w:rsidRPr="001B6E4D">
        <w:t>年度法務部歲出預算第2目「法務行政」編列15億8,263萬5千元，凍結</w:t>
      </w:r>
      <w:r w:rsidRPr="001B6E4D">
        <w:rPr>
          <w:rFonts w:hint="eastAsia"/>
        </w:rPr>
        <w:t>6</w:t>
      </w:r>
      <w:r w:rsidRPr="001B6E4D">
        <w:t>,</w:t>
      </w:r>
      <w:r w:rsidRPr="001B6E4D">
        <w:rPr>
          <w:rFonts w:hint="eastAsia"/>
        </w:rPr>
        <w:t>664</w:t>
      </w:r>
      <w:r w:rsidRPr="001B6E4D">
        <w:t>萬</w:t>
      </w:r>
      <w:r w:rsidRPr="001B6E4D">
        <w:rPr>
          <w:rFonts w:hint="eastAsia"/>
        </w:rPr>
        <w:t>9千</w:t>
      </w:r>
      <w:r w:rsidRPr="001B6E4D">
        <w:t>元，</w:t>
      </w:r>
      <w:proofErr w:type="gramStart"/>
      <w:r w:rsidRPr="001B6E4D">
        <w:t>俟</w:t>
      </w:r>
      <w:proofErr w:type="gramEnd"/>
      <w:r w:rsidRPr="001B6E4D">
        <w:t>向立法院司法及法制委員會提出書面報告，</w:t>
      </w:r>
      <w:r w:rsidRPr="001B6E4D">
        <w:rPr>
          <w:rFonts w:hint="eastAsia"/>
        </w:rPr>
        <w:t>並經同意</w:t>
      </w:r>
      <w:r w:rsidRPr="001B6E4D">
        <w:t>後</w:t>
      </w:r>
      <w:r w:rsidRPr="001B6E4D">
        <w:rPr>
          <w:rFonts w:hint="eastAsia"/>
        </w:rPr>
        <w:t>，</w:t>
      </w:r>
      <w:r w:rsidRPr="001B6E4D">
        <w:t>始得動支。【</w:t>
      </w:r>
      <w:r w:rsidRPr="001B6E4D">
        <w:rPr>
          <w:rFonts w:hint="eastAsia"/>
        </w:rPr>
        <w:t>19、</w:t>
      </w:r>
      <w:r w:rsidRPr="001B6E4D">
        <w:t>25】</w:t>
      </w:r>
    </w:p>
    <w:p w14:paraId="2BEF5E03" w14:textId="77777777" w:rsidR="00705B3D" w:rsidRPr="001B6E4D" w:rsidRDefault="00705B3D" w:rsidP="003D1018">
      <w:pPr>
        <w:pStyle w:val="2fb"/>
        <w:overflowPunct w:val="0"/>
      </w:pPr>
      <w:r w:rsidRPr="001B6E4D">
        <w:t>提案人：</w:t>
      </w:r>
      <w:r w:rsidRPr="001B6E4D">
        <w:rPr>
          <w:rFonts w:hint="eastAsia"/>
        </w:rPr>
        <w:t>陳昭姿</w:t>
      </w:r>
    </w:p>
    <w:p w14:paraId="18F653D6" w14:textId="77777777" w:rsidR="00705B3D" w:rsidRPr="001B6E4D" w:rsidRDefault="00705B3D" w:rsidP="003D1018">
      <w:pPr>
        <w:pStyle w:val="2fb"/>
        <w:overflowPunct w:val="0"/>
      </w:pPr>
      <w:r w:rsidRPr="001B6E4D">
        <w:t>連署人：</w:t>
      </w:r>
      <w:r w:rsidRPr="001B6E4D">
        <w:rPr>
          <w:rFonts w:hint="eastAsia"/>
        </w:rPr>
        <w:t>林倩綺  林沛祥</w:t>
      </w:r>
    </w:p>
    <w:p w14:paraId="3CFAFBCE" w14:textId="77777777" w:rsidR="00705B3D" w:rsidRPr="001B6E4D" w:rsidRDefault="00705B3D" w:rsidP="003D1018">
      <w:pPr>
        <w:pStyle w:val="1f6"/>
        <w:overflowPunct w:val="0"/>
      </w:pPr>
      <w:proofErr w:type="gramStart"/>
      <w:r w:rsidRPr="001B6E4D">
        <w:t>115</w:t>
      </w:r>
      <w:proofErr w:type="gramEnd"/>
      <w:r w:rsidRPr="001B6E4D">
        <w:t>年度法務部歲出預算第3目「一般建築及設備」編列2億</w:t>
      </w:r>
      <w:r w:rsidRPr="001B6E4D">
        <w:rPr>
          <w:rFonts w:hint="eastAsia"/>
        </w:rPr>
        <w:t>4</w:t>
      </w:r>
      <w:r w:rsidRPr="001B6E4D">
        <w:t>,3</w:t>
      </w:r>
      <w:r w:rsidRPr="001B6E4D">
        <w:rPr>
          <w:rFonts w:hint="eastAsia"/>
        </w:rPr>
        <w:t>68</w:t>
      </w:r>
      <w:r w:rsidRPr="001B6E4D">
        <w:t>萬7千元，凍結500萬元，</w:t>
      </w:r>
      <w:proofErr w:type="gramStart"/>
      <w:r w:rsidRPr="001B6E4D">
        <w:t>俟</w:t>
      </w:r>
      <w:proofErr w:type="gramEnd"/>
      <w:r w:rsidRPr="001B6E4D">
        <w:t>向立法院司法及法制委員會提出書面報告後，始得動支。</w:t>
      </w:r>
      <w:r w:rsidRPr="001B6E4D">
        <w:rPr>
          <w:rFonts w:hint="eastAsia"/>
        </w:rPr>
        <w:t>【2</w:t>
      </w:r>
      <w:r w:rsidRPr="001B6E4D">
        <w:t>7</w:t>
      </w:r>
      <w:r w:rsidRPr="001B6E4D">
        <w:rPr>
          <w:rFonts w:hint="eastAsia"/>
        </w:rPr>
        <w:t>】</w:t>
      </w:r>
    </w:p>
    <w:p w14:paraId="039AD71F" w14:textId="77777777" w:rsidR="00705B3D" w:rsidRPr="001B6E4D" w:rsidRDefault="00705B3D" w:rsidP="003D1018">
      <w:pPr>
        <w:pStyle w:val="2fb"/>
        <w:overflowPunct w:val="0"/>
      </w:pPr>
      <w:r w:rsidRPr="001B6E4D">
        <w:lastRenderedPageBreak/>
        <w:t>提案人：</w:t>
      </w:r>
      <w:r w:rsidRPr="001B6E4D">
        <w:rPr>
          <w:rFonts w:hint="eastAsia"/>
        </w:rPr>
        <w:t>許宇</w:t>
      </w:r>
      <w:proofErr w:type="gramStart"/>
      <w:r w:rsidRPr="001B6E4D">
        <w:rPr>
          <w:rFonts w:hint="eastAsia"/>
        </w:rPr>
        <w:t>甄</w:t>
      </w:r>
      <w:proofErr w:type="gramEnd"/>
    </w:p>
    <w:p w14:paraId="663B6619" w14:textId="77777777" w:rsidR="00705B3D" w:rsidRPr="001B6E4D" w:rsidRDefault="00705B3D" w:rsidP="003D1018">
      <w:pPr>
        <w:pStyle w:val="2fb"/>
        <w:overflowPunct w:val="0"/>
      </w:pPr>
      <w:r w:rsidRPr="001B6E4D">
        <w:t>連署人：</w:t>
      </w:r>
      <w:r w:rsidRPr="001B6E4D">
        <w:rPr>
          <w:rFonts w:hint="eastAsia"/>
        </w:rPr>
        <w:t>林沛祥  翁曉玲</w:t>
      </w:r>
    </w:p>
    <w:p w14:paraId="0FC8C2DF" w14:textId="77777777" w:rsidR="00705B3D" w:rsidRPr="001B6E4D" w:rsidRDefault="00705B3D" w:rsidP="003D1018">
      <w:pPr>
        <w:pStyle w:val="1f6"/>
        <w:overflowPunct w:val="0"/>
      </w:pPr>
      <w:proofErr w:type="gramStart"/>
      <w:r w:rsidRPr="001B6E4D">
        <w:t>115</w:t>
      </w:r>
      <w:proofErr w:type="gramEnd"/>
      <w:r w:rsidRPr="001B6E4D">
        <w:t>年度法務部預算案於第1目「一般行政」項下「資訊管理業務」中「業務費」之「一般事務費」編列預算2,151萬7千元。</w:t>
      </w:r>
    </w:p>
    <w:p w14:paraId="23E8AD2B" w14:textId="77777777" w:rsidR="00705B3D" w:rsidRPr="001B6E4D" w:rsidRDefault="00705B3D" w:rsidP="003D1018">
      <w:pPr>
        <w:pStyle w:val="1f7"/>
        <w:overflowPunct w:val="0"/>
      </w:pPr>
      <w:r w:rsidRPr="001B6E4D">
        <w:t>查</w:t>
      </w:r>
      <w:r w:rsidRPr="001B6E4D">
        <w:rPr>
          <w:rFonts w:hint="eastAsia"/>
        </w:rPr>
        <w:t>「</w:t>
      </w:r>
      <w:r w:rsidRPr="001B6E4D">
        <w:t>法務數位服務智慧創新計畫</w:t>
      </w:r>
      <w:r w:rsidRPr="001B6E4D">
        <w:rPr>
          <w:rFonts w:hint="eastAsia"/>
        </w:rPr>
        <w:t>」</w:t>
      </w:r>
      <w:r w:rsidRPr="001B6E4D">
        <w:t>為新增辦理計畫，惟預算書面資料就其具體工作項目，尚</w:t>
      </w:r>
      <w:r w:rsidRPr="001B6E4D">
        <w:rPr>
          <w:rFonts w:hint="eastAsia"/>
        </w:rPr>
        <w:t>缺</w:t>
      </w:r>
      <w:r w:rsidRPr="001B6E4D">
        <w:t>乏充分而明確之說明，致難以據以審認其實際辦理內容、資源配置之妥適性及預算編列之必要性，</w:t>
      </w:r>
      <w:r w:rsidRPr="001B6E4D">
        <w:rPr>
          <w:rFonts w:hint="eastAsia"/>
        </w:rPr>
        <w:t>請</w:t>
      </w:r>
      <w:r w:rsidRPr="001B6E4D">
        <w:t>法務部於3個月內向立法院司法及法制委員會提出書面報告。【12】</w:t>
      </w:r>
    </w:p>
    <w:p w14:paraId="30482164" w14:textId="77777777" w:rsidR="00705B3D" w:rsidRPr="001B6E4D" w:rsidRDefault="00705B3D" w:rsidP="003D1018">
      <w:pPr>
        <w:pStyle w:val="2fb"/>
        <w:overflowPunct w:val="0"/>
      </w:pPr>
      <w:r w:rsidRPr="001B6E4D">
        <w:t>提案人：沈發惠</w:t>
      </w:r>
    </w:p>
    <w:p w14:paraId="5A35B9D7" w14:textId="77777777" w:rsidR="00705B3D" w:rsidRPr="001B6E4D" w:rsidRDefault="00705B3D" w:rsidP="003D1018">
      <w:pPr>
        <w:pStyle w:val="2fb"/>
        <w:overflowPunct w:val="0"/>
      </w:pPr>
      <w:r w:rsidRPr="001B6E4D">
        <w:t xml:space="preserve">連署人：張雅琳　</w:t>
      </w:r>
      <w:proofErr w:type="gramStart"/>
      <w:r w:rsidRPr="001B6E4D">
        <w:t>范</w:t>
      </w:r>
      <w:proofErr w:type="gramEnd"/>
      <w:r w:rsidRPr="001B6E4D">
        <w:t xml:space="preserve">　雲</w:t>
      </w:r>
    </w:p>
    <w:p w14:paraId="5A275601"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法務部預算案於第2目「法務行政」項下「業務費」之「大陸地區旅費」編列161萬3千元，包含兩岸共同打擊毒品、電信詐騙、人口販運、金融犯罪等具體案件合作機制、法務部協議人員互訪與工作會談、前往香港、澳門洽談司法互助業務、參加兩岸檢察實務研討會，以及海峽兩岸暨</w:t>
      </w:r>
      <w:proofErr w:type="gramStart"/>
      <w:r w:rsidRPr="001B6E4D">
        <w:t>港澳警學研討會</w:t>
      </w:r>
      <w:proofErr w:type="gramEnd"/>
      <w:r w:rsidRPr="001B6E4D">
        <w:t>籌備會、正式會等。預算書並載明，各項赴陸計畫「前三年內有無赴同一單位拜會」</w:t>
      </w:r>
      <w:proofErr w:type="gramStart"/>
      <w:r w:rsidRPr="001B6E4D">
        <w:t>均為</w:t>
      </w:r>
      <w:proofErr w:type="gramEnd"/>
      <w:r w:rsidRPr="001B6E4D">
        <w:t>「無」。</w:t>
      </w:r>
    </w:p>
    <w:p w14:paraId="321B4998" w14:textId="77777777" w:rsidR="00705B3D" w:rsidRPr="001B6E4D" w:rsidRDefault="00705B3D" w:rsidP="003D1018">
      <w:pPr>
        <w:pStyle w:val="1f7"/>
        <w:overflowPunct w:val="0"/>
      </w:pPr>
      <w:proofErr w:type="gramStart"/>
      <w:r w:rsidRPr="001B6E4D">
        <w:t>惟查</w:t>
      </w:r>
      <w:proofErr w:type="gramEnd"/>
      <w:r w:rsidRPr="001B6E4D">
        <w:t>，近年兩岸關係緊張，大陸方面對我官方交流態度保守，法務部</w:t>
      </w:r>
      <w:proofErr w:type="gramStart"/>
      <w:r w:rsidRPr="001B6E4D">
        <w:t>所列赴陸</w:t>
      </w:r>
      <w:proofErr w:type="gramEnd"/>
      <w:r w:rsidRPr="001B6E4D">
        <w:t>計畫，</w:t>
      </w:r>
      <w:proofErr w:type="gramStart"/>
      <w:r w:rsidRPr="001B6E4D">
        <w:t>前三年既未</w:t>
      </w:r>
      <w:proofErr w:type="gramEnd"/>
      <w:r w:rsidRPr="001B6E4D">
        <w:t>赴同一單位拜會，顯示相關官方交流並非常態執行。若對岸尚未明確回應、未</w:t>
      </w:r>
      <w:proofErr w:type="gramStart"/>
      <w:r w:rsidRPr="001B6E4D">
        <w:t>確認對口機關</w:t>
      </w:r>
      <w:proofErr w:type="gramEnd"/>
      <w:r w:rsidRPr="001B6E4D">
        <w:t>、議程及會談內容，</w:t>
      </w:r>
      <w:proofErr w:type="gramStart"/>
      <w:r w:rsidRPr="001B6E4D">
        <w:t>115</w:t>
      </w:r>
      <w:proofErr w:type="gramEnd"/>
      <w:r w:rsidRPr="001B6E4D">
        <w:t>年度即編列赴陸交流、研討與工作會談經費，恐淪為「有預算、</w:t>
      </w:r>
      <w:proofErr w:type="gramStart"/>
      <w:r w:rsidRPr="001B6E4D">
        <w:t>無對口</w:t>
      </w:r>
      <w:proofErr w:type="gramEnd"/>
      <w:r w:rsidRPr="001B6E4D">
        <w:t>；有計畫、難執行」之形式編列。</w:t>
      </w:r>
    </w:p>
    <w:p w14:paraId="5BE30EE7" w14:textId="77777777" w:rsidR="00705B3D" w:rsidRPr="001B6E4D" w:rsidRDefault="00705B3D" w:rsidP="003D1018">
      <w:pPr>
        <w:pStyle w:val="1f7"/>
        <w:overflowPunct w:val="0"/>
      </w:pPr>
      <w:r w:rsidRPr="001B6E4D">
        <w:t>兩岸共同打擊犯罪及司法互助固有必要，尤其詐欺、毒品、人口販運與金融犯罪均涉及人民重大權益；但此類經費必須建立在對方機關有實質回應、雙方有明確議題、案件合作有具體需求之基礎上。</w:t>
      </w:r>
    </w:p>
    <w:p w14:paraId="30BFA716" w14:textId="77777777" w:rsidR="00705B3D" w:rsidRPr="001B6E4D" w:rsidRDefault="00705B3D" w:rsidP="003D1018">
      <w:pPr>
        <w:pStyle w:val="1f7"/>
        <w:overflowPunct w:val="0"/>
      </w:pPr>
      <w:r w:rsidRPr="001B6E4D">
        <w:rPr>
          <w:rFonts w:hint="eastAsia"/>
        </w:rPr>
        <w:t>請</w:t>
      </w:r>
      <w:r w:rsidRPr="001B6E4D">
        <w:t>法務部</w:t>
      </w:r>
      <w:r w:rsidRPr="001B6E4D">
        <w:rPr>
          <w:rFonts w:hint="eastAsia"/>
        </w:rPr>
        <w:t>積極</w:t>
      </w:r>
      <w:r w:rsidRPr="001B6E4D">
        <w:t>與對岸相關機關聯繫，</w:t>
      </w:r>
      <w:r w:rsidRPr="001B6E4D">
        <w:rPr>
          <w:rFonts w:hint="eastAsia"/>
        </w:rPr>
        <w:t>於</w:t>
      </w:r>
      <w:r w:rsidRPr="001B6E4D">
        <w:t>3個月內就加強執行兩岸司法互助聯繫事項向立法院司法及法制委員會提出</w:t>
      </w:r>
      <w:r w:rsidRPr="001B6E4D">
        <w:rPr>
          <w:rFonts w:hint="eastAsia"/>
        </w:rPr>
        <w:t>書面</w:t>
      </w:r>
      <w:r w:rsidRPr="001B6E4D">
        <w:t>報告，</w:t>
      </w:r>
      <w:r w:rsidRPr="001B6E4D">
        <w:rPr>
          <w:rFonts w:hint="eastAsia"/>
        </w:rPr>
        <w:t>以維護人民權益</w:t>
      </w:r>
      <w:r w:rsidRPr="001B6E4D">
        <w:t>。【14】</w:t>
      </w:r>
    </w:p>
    <w:p w14:paraId="4379B170" w14:textId="77777777" w:rsidR="00705B3D" w:rsidRPr="001B6E4D" w:rsidRDefault="00705B3D" w:rsidP="003D1018">
      <w:pPr>
        <w:pStyle w:val="2fb"/>
        <w:overflowPunct w:val="0"/>
      </w:pPr>
      <w:r w:rsidRPr="001B6E4D">
        <w:t>提案人：許宇</w:t>
      </w:r>
      <w:proofErr w:type="gramStart"/>
      <w:r w:rsidRPr="001B6E4D">
        <w:t>甄</w:t>
      </w:r>
      <w:proofErr w:type="gramEnd"/>
    </w:p>
    <w:p w14:paraId="2E98E33D" w14:textId="77777777" w:rsidR="00705B3D" w:rsidRPr="001B6E4D" w:rsidRDefault="00705B3D" w:rsidP="003D1018">
      <w:pPr>
        <w:pStyle w:val="2fb"/>
        <w:overflowPunct w:val="0"/>
      </w:pPr>
      <w:r w:rsidRPr="001B6E4D">
        <w:t>連署人：林沛祥　翁曉玲</w:t>
      </w:r>
    </w:p>
    <w:p w14:paraId="3A5274ED"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年度法務部預算案於第2目「法務行政」項下「辦理國際及兩岸法律事務」中「業務費」之「大陸地區旅費」編列預算119萬2千元。</w:t>
      </w:r>
    </w:p>
    <w:p w14:paraId="085C72CE" w14:textId="77777777" w:rsidR="00705B3D" w:rsidRPr="001B6E4D" w:rsidRDefault="00705B3D" w:rsidP="003D1018">
      <w:pPr>
        <w:pStyle w:val="1f7"/>
        <w:overflowPunct w:val="0"/>
      </w:pPr>
      <w:r w:rsidRPr="001B6E4D">
        <w:t>係辦理兩岸共同打擊犯罪與司法互助及受刑人</w:t>
      </w:r>
      <w:proofErr w:type="gramStart"/>
      <w:r w:rsidRPr="001B6E4D">
        <w:t>接返等相關</w:t>
      </w:r>
      <w:proofErr w:type="gramEnd"/>
      <w:r w:rsidRPr="001B6E4D">
        <w:lastRenderedPageBreak/>
        <w:t>業務所需差旅費。惟相較其他國外旅費項目多</w:t>
      </w:r>
      <w:proofErr w:type="gramStart"/>
      <w:r w:rsidRPr="001B6E4D">
        <w:t>採</w:t>
      </w:r>
      <w:proofErr w:type="gramEnd"/>
      <w:r w:rsidRPr="001B6E4D">
        <w:t>逐項細列方式揭露執行內容，本項預算僅以概括方式說明，未具體呈現實際辦理項目、出訪規劃、執行內容及預期效益，預算編列之必要性與合理性尚難以檢視。且我們看到114年12月的新聞，</w:t>
      </w:r>
      <w:proofErr w:type="gramStart"/>
      <w:r w:rsidRPr="001B6E4D">
        <w:t>陸方單方面突將</w:t>
      </w:r>
      <w:proofErr w:type="gramEnd"/>
      <w:r w:rsidRPr="001B6E4D">
        <w:t>通緝犯丟回台，是否顯現出兩岸共打機制停擺的跡象?</w:t>
      </w:r>
    </w:p>
    <w:p w14:paraId="5DACFFFB" w14:textId="77777777" w:rsidR="00705B3D" w:rsidRPr="001B6E4D" w:rsidRDefault="00705B3D" w:rsidP="003D1018">
      <w:pPr>
        <w:pStyle w:val="1f7"/>
        <w:overflowPunct w:val="0"/>
      </w:pPr>
      <w:proofErr w:type="gramStart"/>
      <w:r w:rsidRPr="001B6E4D">
        <w:t>鑑</w:t>
      </w:r>
      <w:proofErr w:type="gramEnd"/>
      <w:r w:rsidRPr="001B6E4D">
        <w:t>於相關業務涉及兩岸司法合作與人員往返，應更加審慎規劃並強化資訊揭露，以利立法院進行預算監督；然現行說明未能提供足夠具體之執行細節與績效指標，恐影響預算使用效益。</w:t>
      </w:r>
      <w:r w:rsidRPr="001B6E4D">
        <w:rPr>
          <w:rFonts w:hint="eastAsia"/>
        </w:rPr>
        <w:t>要求</w:t>
      </w:r>
      <w:r w:rsidRPr="001B6E4D">
        <w:t>法務部就實際辦理項目、出訪規劃、執行內容及預期效益於3個月內向立法院司法及法制委員會提出書面報告。【23】</w:t>
      </w:r>
    </w:p>
    <w:p w14:paraId="50E53466" w14:textId="77777777" w:rsidR="00705B3D" w:rsidRPr="001B6E4D" w:rsidRDefault="00705B3D" w:rsidP="003D1018">
      <w:pPr>
        <w:pStyle w:val="2fb"/>
        <w:overflowPunct w:val="0"/>
      </w:pPr>
      <w:r w:rsidRPr="001B6E4D">
        <w:t>提案人：林沛祥</w:t>
      </w:r>
    </w:p>
    <w:p w14:paraId="0417FC55" w14:textId="77777777" w:rsidR="00705B3D" w:rsidRPr="001B6E4D" w:rsidRDefault="00705B3D" w:rsidP="003D1018">
      <w:pPr>
        <w:pStyle w:val="2fb"/>
        <w:overflowPunct w:val="0"/>
      </w:pPr>
      <w:r w:rsidRPr="001B6E4D">
        <w:t>連署人：翁曉玲　許宇</w:t>
      </w:r>
      <w:proofErr w:type="gramStart"/>
      <w:r w:rsidRPr="001B6E4D">
        <w:t>甄</w:t>
      </w:r>
      <w:proofErr w:type="gramEnd"/>
    </w:p>
    <w:p w14:paraId="2738031A"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年度法務部預算案於第3目「一般建築及設備」第2節「其他設備」項下「資訊設備」編列預算1億4,706萬6千元，其中「法務部個人電腦及週邊設備新增</w:t>
      </w:r>
      <w:proofErr w:type="gramStart"/>
      <w:r w:rsidRPr="001B6E4D">
        <w:t>汰</w:t>
      </w:r>
      <w:proofErr w:type="gramEnd"/>
      <w:r w:rsidRPr="001B6E4D">
        <w:t>換計畫」總經費高達6億7,872萬元，分4年辦理；</w:t>
      </w:r>
      <w:proofErr w:type="gramStart"/>
      <w:r w:rsidRPr="001B6E4D">
        <w:t>114</w:t>
      </w:r>
      <w:proofErr w:type="gramEnd"/>
      <w:r w:rsidRPr="001B6E4D">
        <w:t>年度已編列8,722萬1千元，</w:t>
      </w:r>
      <w:proofErr w:type="gramStart"/>
      <w:r w:rsidRPr="001B6E4D">
        <w:t>115</w:t>
      </w:r>
      <w:proofErr w:type="gramEnd"/>
      <w:r w:rsidRPr="001B6E4D">
        <w:t>年度續編第2年經費9,208萬1千元，後續尚待編列4億9,941萬8千元。預算書說明，本計畫係</w:t>
      </w:r>
      <w:proofErr w:type="gramStart"/>
      <w:r w:rsidRPr="001B6E4D">
        <w:t>汰</w:t>
      </w:r>
      <w:proofErr w:type="gramEnd"/>
      <w:r w:rsidRPr="001B6E4D">
        <w:t>換</w:t>
      </w:r>
      <w:r w:rsidRPr="001B6E4D">
        <w:rPr>
          <w:rFonts w:hint="eastAsia"/>
        </w:rPr>
        <w:t>法務</w:t>
      </w:r>
      <w:r w:rsidRPr="001B6E4D">
        <w:t>部及所屬機關老舊個人電腦相關設備及改善網路環境，</w:t>
      </w:r>
      <w:proofErr w:type="gramStart"/>
      <w:r w:rsidRPr="001B6E4D">
        <w:t>115</w:t>
      </w:r>
      <w:proofErr w:type="gramEnd"/>
      <w:r w:rsidRPr="001B6E4D">
        <w:t>年度預定</w:t>
      </w:r>
      <w:proofErr w:type="gramStart"/>
      <w:r w:rsidRPr="001B6E4D">
        <w:t>汰</w:t>
      </w:r>
      <w:proofErr w:type="gramEnd"/>
      <w:r w:rsidRPr="001B6E4D">
        <w:t>換購置老</w:t>
      </w:r>
      <w:proofErr w:type="gramStart"/>
      <w:r w:rsidRPr="001B6E4D">
        <w:t>舊已逾汰</w:t>
      </w:r>
      <w:proofErr w:type="gramEnd"/>
      <w:r w:rsidRPr="001B6E4D">
        <w:t>換年限及新增人員之個人電腦、印表機等資訊設備。</w:t>
      </w:r>
    </w:p>
    <w:p w14:paraId="2ADBB518" w14:textId="77777777" w:rsidR="00705B3D" w:rsidRPr="001B6E4D" w:rsidRDefault="00705B3D" w:rsidP="003D1018">
      <w:pPr>
        <w:pStyle w:val="1f7"/>
        <w:overflowPunct w:val="0"/>
      </w:pPr>
      <w:r w:rsidRPr="001B6E4D">
        <w:t>電腦設備屆滿</w:t>
      </w:r>
      <w:proofErr w:type="gramStart"/>
      <w:r w:rsidRPr="001B6E4D">
        <w:t>汰</w:t>
      </w:r>
      <w:proofErr w:type="gramEnd"/>
      <w:r w:rsidRPr="001B6E4D">
        <w:t>換年限後，確有更新必要，且法務體系涉及檢察、矯正、行政執行、廉政、調查等敏感資訊，資訊設備老舊亦可能</w:t>
      </w:r>
      <w:proofErr w:type="gramStart"/>
      <w:r w:rsidRPr="001B6E4D">
        <w:t>影響資安與</w:t>
      </w:r>
      <w:proofErr w:type="gramEnd"/>
      <w:r w:rsidRPr="001B6E4D">
        <w:t>行政效率。惟正因本計畫總經費高達6億餘元，</w:t>
      </w:r>
      <w:proofErr w:type="gramStart"/>
      <w:r w:rsidRPr="001B6E4D">
        <w:t>且跨4年</w:t>
      </w:r>
      <w:proofErr w:type="gramEnd"/>
      <w:r w:rsidRPr="001B6E4D">
        <w:t>執行，法務部更應提出完整盤點與分年採購依據，不能僅以「逾</w:t>
      </w:r>
      <w:proofErr w:type="gramStart"/>
      <w:r w:rsidRPr="001B6E4D">
        <w:t>汰</w:t>
      </w:r>
      <w:proofErr w:type="gramEnd"/>
      <w:r w:rsidRPr="001B6E4D">
        <w:t>換年限」概括說明，即逐年編列高額採購經費。</w:t>
      </w:r>
    </w:p>
    <w:p w14:paraId="49BF197C" w14:textId="77777777" w:rsidR="00705B3D" w:rsidRPr="001B6E4D" w:rsidRDefault="00705B3D" w:rsidP="003D1018">
      <w:pPr>
        <w:pStyle w:val="1f7"/>
        <w:overflowPunct w:val="0"/>
      </w:pPr>
      <w:r w:rsidRPr="001B6E4D">
        <w:t>尤其</w:t>
      </w:r>
      <w:proofErr w:type="gramStart"/>
      <w:r w:rsidRPr="001B6E4D">
        <w:t>115</w:t>
      </w:r>
      <w:proofErr w:type="gramEnd"/>
      <w:r w:rsidRPr="001B6E4D">
        <w:t>年度預算書僅說明將</w:t>
      </w:r>
      <w:proofErr w:type="gramStart"/>
      <w:r w:rsidRPr="001B6E4D">
        <w:t>汰</w:t>
      </w:r>
      <w:proofErr w:type="gramEnd"/>
      <w:r w:rsidRPr="001B6E4D">
        <w:t>換</w:t>
      </w:r>
      <w:proofErr w:type="gramStart"/>
      <w:r w:rsidRPr="001B6E4D">
        <w:t>老舊已逾</w:t>
      </w:r>
      <w:proofErr w:type="gramEnd"/>
      <w:r w:rsidRPr="001B6E4D">
        <w:t>年限及新增人員設備，卻未具體揭示</w:t>
      </w:r>
      <w:r w:rsidRPr="001B6E4D">
        <w:rPr>
          <w:rFonts w:hint="eastAsia"/>
        </w:rPr>
        <w:t>法務</w:t>
      </w:r>
      <w:r w:rsidRPr="001B6E4D">
        <w:t>部及各所屬機關現有個人電腦、印表機與周邊設備數量、使用年限分布、各年度</w:t>
      </w:r>
      <w:proofErr w:type="gramStart"/>
      <w:r w:rsidRPr="001B6E4D">
        <w:t>汰</w:t>
      </w:r>
      <w:proofErr w:type="gramEnd"/>
      <w:r w:rsidRPr="001B6E4D">
        <w:t>換數量、單價估算基礎、新增人員設備需求，以及</w:t>
      </w:r>
      <w:proofErr w:type="gramStart"/>
      <w:r w:rsidRPr="001B6E4D">
        <w:t>汰換後舊設備</w:t>
      </w:r>
      <w:proofErr w:type="gramEnd"/>
      <w:r w:rsidRPr="001B6E4D">
        <w:t>如何處理。若缺乏完整盤點，立法院即難以判斷9,208萬1千元是否符合實際需求，也難以確認各機關分配是否合理。</w:t>
      </w:r>
    </w:p>
    <w:p w14:paraId="434173A0" w14:textId="77777777" w:rsidR="00705B3D" w:rsidRPr="001B6E4D" w:rsidRDefault="00705B3D" w:rsidP="003D1018">
      <w:pPr>
        <w:pStyle w:val="1f7"/>
        <w:overflowPunct w:val="0"/>
      </w:pPr>
      <w:proofErr w:type="gramStart"/>
      <w:r w:rsidRPr="001B6E4D">
        <w:t>此外，</w:t>
      </w:r>
      <w:proofErr w:type="gramEnd"/>
      <w:r w:rsidRPr="001B6E4D">
        <w:t>法務部</w:t>
      </w:r>
      <w:proofErr w:type="gramStart"/>
      <w:r w:rsidRPr="001B6E4D">
        <w:t>115</w:t>
      </w:r>
      <w:proofErr w:type="gramEnd"/>
      <w:r w:rsidRPr="001B6E4D">
        <w:t>年度另編列「資通訊設備效能與安全提升暨系統軟體更新計畫」2,568萬4千元、「應用系統功能提升計畫」2,930萬1千元。上述計畫均涉及資訊設備、系統軟體、</w:t>
      </w:r>
      <w:proofErr w:type="gramStart"/>
      <w:r w:rsidRPr="001B6E4D">
        <w:lastRenderedPageBreak/>
        <w:t>資安防護</w:t>
      </w:r>
      <w:proofErr w:type="gramEnd"/>
      <w:r w:rsidRPr="001B6E4D">
        <w:t>及應用系統建置，若各項經費分工不明，恐形成硬體</w:t>
      </w:r>
      <w:proofErr w:type="gramStart"/>
      <w:r w:rsidRPr="001B6E4D">
        <w:t>汰</w:t>
      </w:r>
      <w:proofErr w:type="gramEnd"/>
      <w:r w:rsidRPr="001B6E4D">
        <w:t>換、系統更新、</w:t>
      </w:r>
      <w:proofErr w:type="gramStart"/>
      <w:r w:rsidRPr="001B6E4D">
        <w:t>資安強化</w:t>
      </w:r>
      <w:proofErr w:type="gramEnd"/>
      <w:r w:rsidRPr="001B6E4D">
        <w:t>及智慧服務計畫多頭編列，難以檢驗是否有重複採購或後續維運費用擴張之問題。</w:t>
      </w:r>
    </w:p>
    <w:p w14:paraId="40FDA933" w14:textId="77777777" w:rsidR="00705B3D" w:rsidRPr="001B6E4D" w:rsidRDefault="00705B3D" w:rsidP="003D1018">
      <w:pPr>
        <w:pStyle w:val="1f7"/>
        <w:overflowPunct w:val="0"/>
      </w:pPr>
      <w:r w:rsidRPr="001B6E4D">
        <w:rPr>
          <w:rFonts w:hint="eastAsia"/>
        </w:rPr>
        <w:t>請</w:t>
      </w:r>
      <w:r w:rsidRPr="001B6E4D">
        <w:t>法務部於3個月內向立法院司法及法制委員會提出</w:t>
      </w:r>
      <w:r w:rsidRPr="001B6E4D">
        <w:rPr>
          <w:rFonts w:hint="eastAsia"/>
        </w:rPr>
        <w:t>書面</w:t>
      </w:r>
      <w:r w:rsidRPr="001B6E4D">
        <w:t>報告，明確說明包含但不限於各所屬機關設備盤點結果、使用年限分布、</w:t>
      </w:r>
      <w:proofErr w:type="gramStart"/>
      <w:r w:rsidRPr="001B6E4D">
        <w:t>115</w:t>
      </w:r>
      <w:proofErr w:type="gramEnd"/>
      <w:r w:rsidRPr="001B6E4D">
        <w:t>年度</w:t>
      </w:r>
      <w:proofErr w:type="gramStart"/>
      <w:r w:rsidRPr="001B6E4D">
        <w:t>汰</w:t>
      </w:r>
      <w:proofErr w:type="gramEnd"/>
      <w:r w:rsidRPr="001B6E4D">
        <w:t>換數量及採購規格、單價估算基礎、新增人員設備需求、舊設備處理方式，以及本計畫與其他資訊、</w:t>
      </w:r>
      <w:proofErr w:type="gramStart"/>
      <w:r w:rsidRPr="001B6E4D">
        <w:t>資安</w:t>
      </w:r>
      <w:proofErr w:type="gramEnd"/>
      <w:r w:rsidRPr="001B6E4D">
        <w:t>、系統更新計畫之經費分工。【26】</w:t>
      </w:r>
    </w:p>
    <w:p w14:paraId="5E50EED4"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提案人：許宇</w:t>
      </w:r>
      <w:proofErr w:type="gramStart"/>
      <w:r w:rsidRPr="001B6E4D">
        <w:rPr>
          <w:rFonts w:ascii="標楷體" w:eastAsia="標楷體" w:hAnsi="標楷體"/>
          <w:color w:val="000000"/>
          <w:sz w:val="28"/>
          <w:szCs w:val="28"/>
        </w:rPr>
        <w:t>甄</w:t>
      </w:r>
      <w:proofErr w:type="gramEnd"/>
    </w:p>
    <w:p w14:paraId="61E72B08"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連署人：林沛祥　翁曉玲</w:t>
      </w:r>
    </w:p>
    <w:p w14:paraId="7C6AC0F2" w14:textId="77777777" w:rsidR="00705B3D" w:rsidRPr="001B6E4D" w:rsidRDefault="00705B3D" w:rsidP="003D1018">
      <w:pPr>
        <w:pStyle w:val="1-1"/>
        <w:numPr>
          <w:ilvl w:val="0"/>
          <w:numId w:val="33"/>
        </w:numPr>
        <w:ind w:left="924" w:hanging="567"/>
      </w:pPr>
      <w:proofErr w:type="gramStart"/>
      <w:r w:rsidRPr="001B6E4D">
        <w:t>鑑</w:t>
      </w:r>
      <w:proofErr w:type="gramEnd"/>
      <w:r w:rsidRPr="001B6E4D">
        <w:t>於我國自88年全國司法改革會議即已決議強化法醫人才培育、充實</w:t>
      </w:r>
      <w:proofErr w:type="gramStart"/>
      <w:r w:rsidRPr="001B6E4D">
        <w:t>鑑</w:t>
      </w:r>
      <w:proofErr w:type="gramEnd"/>
      <w:r w:rsidRPr="001B6E4D">
        <w:t>識機構與科學辦案設備，復於106年司法改革國是會議進一步提出設立國家級司法科學機制，全面檢討鑑定制度並完善</w:t>
      </w:r>
      <w:proofErr w:type="gramStart"/>
      <w:r w:rsidRPr="001B6E4D">
        <w:t>鑑</w:t>
      </w:r>
      <w:proofErr w:type="gramEnd"/>
      <w:r w:rsidRPr="001B6E4D">
        <w:t>識服務體系，迄今仍未建構完整之國家司法科學體系。112年雖提出將法醫研究所改制為國家司法科學研究院之構想，惟整體定位、功能分工及推動期程，尚待具體化。</w:t>
      </w:r>
    </w:p>
    <w:p w14:paraId="26790B76" w14:textId="77777777" w:rsidR="00705B3D" w:rsidRPr="001B6E4D" w:rsidRDefault="00705B3D" w:rsidP="003D1018">
      <w:pPr>
        <w:pStyle w:val="1f7"/>
        <w:overflowPunct w:val="0"/>
      </w:pPr>
      <w:r w:rsidRPr="001B6E4D">
        <w:t>另查，</w:t>
      </w:r>
      <w:proofErr w:type="gramStart"/>
      <w:r w:rsidRPr="001B6E4D">
        <w:rPr>
          <w:rFonts w:hint="eastAsia"/>
        </w:rPr>
        <w:t>115</w:t>
      </w:r>
      <w:proofErr w:type="gramEnd"/>
      <w:r w:rsidRPr="001B6E4D">
        <w:t>年度</w:t>
      </w:r>
      <w:r w:rsidRPr="001B6E4D">
        <w:rPr>
          <w:rFonts w:hint="eastAsia"/>
        </w:rPr>
        <w:t>法醫研究所</w:t>
      </w:r>
      <w:r w:rsidRPr="001B6E4D">
        <w:t>預算案於第</w:t>
      </w:r>
      <w:r w:rsidRPr="001B6E4D">
        <w:rPr>
          <w:rFonts w:hint="eastAsia"/>
        </w:rPr>
        <w:t>2</w:t>
      </w:r>
      <w:r w:rsidRPr="001B6E4D">
        <w:t>目「法醫業務」編列8,683萬元，較</w:t>
      </w:r>
      <w:proofErr w:type="gramStart"/>
      <w:r w:rsidRPr="001B6E4D">
        <w:rPr>
          <w:rFonts w:hint="eastAsia"/>
        </w:rPr>
        <w:t>114</w:t>
      </w:r>
      <w:proofErr w:type="gramEnd"/>
      <w:r w:rsidRPr="001B6E4D">
        <w:t>年度增加18.25%，反映</w:t>
      </w:r>
      <w:proofErr w:type="gramStart"/>
      <w:r w:rsidRPr="001B6E4D">
        <w:t>鑑</w:t>
      </w:r>
      <w:proofErr w:type="gramEnd"/>
      <w:r w:rsidRPr="001B6E4D">
        <w:t>識需求持續成長；相關案件數自</w:t>
      </w:r>
      <w:proofErr w:type="gramStart"/>
      <w:r w:rsidRPr="001B6E4D">
        <w:t>110</w:t>
      </w:r>
      <w:proofErr w:type="gramEnd"/>
      <w:r w:rsidRPr="001B6E4D">
        <w:t>年度3,148件增至</w:t>
      </w:r>
      <w:proofErr w:type="gramStart"/>
      <w:r w:rsidRPr="001B6E4D">
        <w:t>113</w:t>
      </w:r>
      <w:proofErr w:type="gramEnd"/>
      <w:r w:rsidRPr="001B6E4D">
        <w:t>年度3,421件，為近年新高，惟平均結案天數亦由44.4日延長至50.1日，顯示</w:t>
      </w:r>
      <w:proofErr w:type="gramStart"/>
      <w:r w:rsidRPr="001B6E4D">
        <w:t>鑑</w:t>
      </w:r>
      <w:proofErr w:type="gramEnd"/>
      <w:r w:rsidRPr="001B6E4D">
        <w:t>識量能與案件成長未能同步。且目前編制內法醫師僅4人，長期仰賴8至10名兼任醫師支援解剖鑑定，專業人力結構明顯不足，恐影響鑑定品質與司法公信力。</w:t>
      </w:r>
    </w:p>
    <w:p w14:paraId="0CB977FA" w14:textId="77777777" w:rsidR="00705B3D" w:rsidRPr="001B6E4D" w:rsidRDefault="00705B3D" w:rsidP="003D1018">
      <w:pPr>
        <w:pStyle w:val="1f7"/>
        <w:overflowPunct w:val="0"/>
      </w:pPr>
      <w:r w:rsidRPr="001B6E4D">
        <w:t>綜上，不論未來係</w:t>
      </w:r>
      <w:proofErr w:type="gramStart"/>
      <w:r w:rsidRPr="001B6E4D">
        <w:t>採</w:t>
      </w:r>
      <w:proofErr w:type="gramEnd"/>
      <w:r w:rsidRPr="001B6E4D">
        <w:t>擴編既有機構或設立國家司法科學研究院，專業人才培育與</w:t>
      </w:r>
      <w:proofErr w:type="gramStart"/>
      <w:r w:rsidRPr="001B6E4D">
        <w:t>鑑</w:t>
      </w:r>
      <w:proofErr w:type="gramEnd"/>
      <w:r w:rsidRPr="001B6E4D">
        <w:t>識量能提升，已屬當務之急。</w:t>
      </w:r>
      <w:proofErr w:type="gramStart"/>
      <w:r w:rsidRPr="001B6E4D">
        <w:t>爰</w:t>
      </w:r>
      <w:proofErr w:type="gramEnd"/>
      <w:r w:rsidRPr="001B6E4D">
        <w:t>要求法務部</w:t>
      </w:r>
      <w:r w:rsidRPr="001B6E4D">
        <w:rPr>
          <w:rFonts w:hint="eastAsia"/>
        </w:rPr>
        <w:t>於</w:t>
      </w:r>
      <w:r w:rsidRPr="001B6E4D">
        <w:t>3個月內提送書面報告予</w:t>
      </w:r>
      <w:r w:rsidRPr="001B6E4D">
        <w:rPr>
          <w:rFonts w:hint="eastAsia"/>
        </w:rPr>
        <w:t>立法院</w:t>
      </w:r>
      <w:r w:rsidRPr="001B6E4D">
        <w:t>司法及法制委員會：</w:t>
      </w:r>
    </w:p>
    <w:p w14:paraId="423C5796"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1.「國家司法科學研究院」之整體規劃報告，明確說明其與現行法醫研究所之功能差異、組織架構、業務範圍。</w:t>
      </w:r>
    </w:p>
    <w:p w14:paraId="1FF8DDF3"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2.針對法醫及各類司法科學專業人力不足問題，提出中長期人才培育與進用計畫，包含專職人力擴充、培訓制度、職</w:t>
      </w:r>
      <w:proofErr w:type="gramStart"/>
      <w:r w:rsidRPr="001B6E4D">
        <w:t>涯</w:t>
      </w:r>
      <w:proofErr w:type="gramEnd"/>
      <w:r w:rsidRPr="001B6E4D">
        <w:t>發展及待遇改善等具體措施，以強化</w:t>
      </w:r>
      <w:proofErr w:type="gramStart"/>
      <w:r w:rsidRPr="001B6E4D">
        <w:t>鑑</w:t>
      </w:r>
      <w:proofErr w:type="gramEnd"/>
      <w:r w:rsidRPr="001B6E4D">
        <w:t>識專業量能。</w:t>
      </w:r>
    </w:p>
    <w:p w14:paraId="29677F8E"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3.檢討現行</w:t>
      </w:r>
      <w:proofErr w:type="gramStart"/>
      <w:r w:rsidRPr="001B6E4D">
        <w:t>鑑</w:t>
      </w:r>
      <w:proofErr w:type="gramEnd"/>
      <w:r w:rsidRPr="001B6E4D">
        <w:t>識案件處理流程及量能配置，提出縮短結案時程之具體改善方案與年度目標，並建立績效指標，逐年檢討執行成效。【29】</w:t>
      </w:r>
    </w:p>
    <w:p w14:paraId="029540FB" w14:textId="77777777" w:rsidR="00705B3D" w:rsidRPr="001B6E4D" w:rsidRDefault="00705B3D" w:rsidP="003D1018">
      <w:pPr>
        <w:pStyle w:val="2fb"/>
        <w:overflowPunct w:val="0"/>
      </w:pPr>
      <w:r w:rsidRPr="001B6E4D">
        <w:t>提案人：莊瑞雄</w:t>
      </w:r>
    </w:p>
    <w:p w14:paraId="32EAA138" w14:textId="77777777" w:rsidR="00705B3D" w:rsidRPr="001B6E4D" w:rsidRDefault="00705B3D" w:rsidP="003D1018">
      <w:pPr>
        <w:pStyle w:val="2fb"/>
        <w:overflowPunct w:val="0"/>
      </w:pPr>
      <w:r w:rsidRPr="001B6E4D">
        <w:t>連署人：張雅琳　沈發惠</w:t>
      </w:r>
    </w:p>
    <w:p w14:paraId="6E37B87C" w14:textId="77777777" w:rsidR="00705B3D" w:rsidRPr="001B6E4D" w:rsidRDefault="00705B3D" w:rsidP="003D1018">
      <w:pPr>
        <w:pStyle w:val="1-1"/>
        <w:numPr>
          <w:ilvl w:val="0"/>
          <w:numId w:val="33"/>
        </w:numPr>
        <w:ind w:left="924" w:hanging="567"/>
      </w:pPr>
      <w:r w:rsidRPr="001B6E4D">
        <w:t>依據《公民與政治權利國際公約》(ICCPR)第14條，國家有義務確保</w:t>
      </w:r>
      <w:proofErr w:type="gramStart"/>
      <w:r w:rsidRPr="001B6E4D">
        <w:t>所有人均能在</w:t>
      </w:r>
      <w:proofErr w:type="gramEnd"/>
      <w:r w:rsidRPr="001B6E4D">
        <w:t>理解程序內容並在有效辯護的情況下接受</w:t>
      </w:r>
      <w:r w:rsidRPr="001B6E4D">
        <w:lastRenderedPageBreak/>
        <w:t>審判。</w:t>
      </w:r>
    </w:p>
    <w:p w14:paraId="6AAD6767" w14:textId="77777777" w:rsidR="00705B3D" w:rsidRPr="001B6E4D" w:rsidRDefault="00705B3D" w:rsidP="003D1018">
      <w:pPr>
        <w:pStyle w:val="1f7"/>
        <w:overflowPunct w:val="0"/>
      </w:pPr>
      <w:r w:rsidRPr="001B6E4D">
        <w:t>《法院組織法》第98條也規定「訴訟當事人、證人、鑑定人及其他有關係之人，如有不通國語者，由通譯傳譯之。」因此，司法通譯制度的完善涉及當事人與利害關係人在司法程序中完整闡述己意之權利，其權利是否受到應有的保障與權利便十分重要。</w:t>
      </w:r>
    </w:p>
    <w:p w14:paraId="1964CC16" w14:textId="77777777" w:rsidR="00705B3D" w:rsidRPr="001B6E4D" w:rsidRDefault="00705B3D" w:rsidP="003D1018">
      <w:pPr>
        <w:pStyle w:val="1f7"/>
        <w:overflowPunct w:val="0"/>
      </w:pPr>
      <w:r w:rsidRPr="001B6E4D">
        <w:t>2026年，</w:t>
      </w:r>
      <w:r w:rsidRPr="001B6E4D">
        <w:rPr>
          <w:rFonts w:hint="eastAsia"/>
        </w:rPr>
        <w:t>監察院</w:t>
      </w:r>
      <w:r w:rsidRPr="001B6E4D">
        <w:t>國家人權委員會於3月31日發布《平等近用司法－台灣司法通譯與指定辯護制度》專案報告，全面檢視我國司法通譯與指定辯護制度的運作現況與制度困境。報告指出，語言不通與資源弱勢的當事人，在刑事司法程序中仍普遍面臨實質近用障礙，影響其防禦權的行使，亦可能動搖公平審判權的落實。</w:t>
      </w:r>
    </w:p>
    <w:p w14:paraId="4AF63086" w14:textId="77777777" w:rsidR="00705B3D" w:rsidRPr="001B6E4D" w:rsidRDefault="00705B3D" w:rsidP="003D1018">
      <w:pPr>
        <w:pStyle w:val="1f7"/>
        <w:overflowPunct w:val="0"/>
      </w:pPr>
      <w:r w:rsidRPr="001B6E4D">
        <w:t>有</w:t>
      </w:r>
      <w:proofErr w:type="gramStart"/>
      <w:r w:rsidRPr="001B6E4D">
        <w:t>鑑</w:t>
      </w:r>
      <w:proofErr w:type="gramEnd"/>
      <w:r w:rsidRPr="001B6E4D">
        <w:t>於通譯人員通常為兼職工作，收入不穩且保障不足，特約通譯人員亦反映，例如：臨時通譯之報酬規範與特約通譯相同；特約通譯內部間，不論其累積服務時數、是否有特殊或優良表現，亦依相同規定核給報酬；陪同檢調搜索、陪同當事人或關係人指認大體等工作，超出司法通譯範圍，有安全疑慮卻沒有額外給付等。</w:t>
      </w:r>
    </w:p>
    <w:p w14:paraId="61B057EC" w14:textId="77777777" w:rsidR="00705B3D" w:rsidRPr="001B6E4D" w:rsidRDefault="00705B3D" w:rsidP="003D1018">
      <w:pPr>
        <w:pStyle w:val="1f7"/>
        <w:overflowPunct w:val="0"/>
      </w:pPr>
      <w:proofErr w:type="gramStart"/>
      <w:r w:rsidRPr="001B6E4D">
        <w:t>惟</w:t>
      </w:r>
      <w:proofErr w:type="gramEnd"/>
      <w:r w:rsidRPr="001B6E4D">
        <w:t>司</w:t>
      </w:r>
      <w:r w:rsidRPr="001B6E4D">
        <w:rPr>
          <w:rFonts w:hint="eastAsia"/>
        </w:rPr>
        <w:t>法</w:t>
      </w:r>
      <w:r w:rsidRPr="001B6E4D">
        <w:t>改</w:t>
      </w:r>
      <w:r w:rsidRPr="001B6E4D">
        <w:rPr>
          <w:rFonts w:hint="eastAsia"/>
        </w:rPr>
        <w:t>革</w:t>
      </w:r>
      <w:r w:rsidRPr="001B6E4D">
        <w:t>國是會議曾建議建立分級費用支給制度，監察院於「平等近用</w:t>
      </w:r>
      <w:proofErr w:type="gramStart"/>
      <w:r w:rsidRPr="001B6E4D">
        <w:t>司法專報</w:t>
      </w:r>
      <w:proofErr w:type="gramEnd"/>
      <w:r w:rsidRPr="001B6E4D">
        <w:t>」亦建議應訂定分級分類報酬支給標準，將通譯酬金制度化，甚至設置專職輪值的排班通譯人員。</w:t>
      </w:r>
    </w:p>
    <w:p w14:paraId="4529F15E" w14:textId="77777777" w:rsidR="00705B3D" w:rsidRPr="001B6E4D" w:rsidRDefault="00705B3D" w:rsidP="003D1018">
      <w:pPr>
        <w:pStyle w:val="1f7"/>
        <w:overflowPunct w:val="0"/>
      </w:pPr>
      <w:r w:rsidRPr="001B6E4D">
        <w:t>為持續提升翻譯品質、建立穩定充足人才之司法通譯制度，</w:t>
      </w:r>
      <w:proofErr w:type="gramStart"/>
      <w:r w:rsidRPr="001B6E4D">
        <w:t>爰</w:t>
      </w:r>
      <w:proofErr w:type="gramEnd"/>
      <w:r w:rsidRPr="001B6E4D">
        <w:t>建請法務部</w:t>
      </w:r>
      <w:proofErr w:type="gramStart"/>
      <w:r w:rsidRPr="001B6E4D">
        <w:t>研</w:t>
      </w:r>
      <w:proofErr w:type="gramEnd"/>
      <w:r w:rsidRPr="001B6E4D">
        <w:t>議提出「通譯報酬基準制度化及分層化」之具體規劃及推動時程，並於3個月內向立法院司法及法制委員會提出書面報告。【30】</w:t>
      </w:r>
    </w:p>
    <w:p w14:paraId="751D8DEB" w14:textId="77777777" w:rsidR="00705B3D" w:rsidRPr="001B6E4D" w:rsidRDefault="00705B3D" w:rsidP="003D1018">
      <w:pPr>
        <w:pStyle w:val="2fb"/>
        <w:overflowPunct w:val="0"/>
      </w:pPr>
      <w:r w:rsidRPr="001B6E4D">
        <w:t>提案人：莊瑞雄</w:t>
      </w:r>
    </w:p>
    <w:p w14:paraId="09DA6A5C" w14:textId="77777777" w:rsidR="00705B3D" w:rsidRPr="001B6E4D" w:rsidRDefault="00705B3D" w:rsidP="003D1018">
      <w:pPr>
        <w:pStyle w:val="2fb"/>
        <w:overflowPunct w:val="0"/>
      </w:pPr>
      <w:r w:rsidRPr="001B6E4D">
        <w:t>連署人：張雅琳　沈發惠</w:t>
      </w:r>
    </w:p>
    <w:p w14:paraId="1B2EF3D0" w14:textId="77777777" w:rsidR="00705B3D" w:rsidRPr="001B6E4D" w:rsidRDefault="00705B3D" w:rsidP="003D1018">
      <w:pPr>
        <w:pStyle w:val="1-1"/>
        <w:numPr>
          <w:ilvl w:val="0"/>
          <w:numId w:val="33"/>
        </w:numPr>
        <w:ind w:left="924" w:hanging="567"/>
      </w:pPr>
      <w:r w:rsidRPr="001B6E4D">
        <w:t>113年，監察院司法及獄政委員會監</w:t>
      </w:r>
      <w:r w:rsidRPr="001B6E4D">
        <w:rPr>
          <w:rFonts w:hint="eastAsia"/>
        </w:rPr>
        <w:t>察</w:t>
      </w:r>
      <w:r w:rsidRPr="001B6E4D">
        <w:t>委</w:t>
      </w:r>
      <w:r w:rsidRPr="001B6E4D">
        <w:rPr>
          <w:rFonts w:hint="eastAsia"/>
        </w:rPr>
        <w:t>員</w:t>
      </w:r>
      <w:r w:rsidRPr="001B6E4D">
        <w:t>王美玉所提調查報告指出，花蓮的</w:t>
      </w:r>
      <w:proofErr w:type="gramStart"/>
      <w:r w:rsidRPr="001B6E4D">
        <w:t>太魯閣族李姓婦人遭控行賄</w:t>
      </w:r>
      <w:proofErr w:type="gramEnd"/>
      <w:r w:rsidRPr="001B6E4D">
        <w:t>罪，檢警偵辦過程中未落實對原住民司法權益保護，使原住民在無律師協助下應訊的例外成為原則，程序存有瑕疵，請司法機關</w:t>
      </w:r>
      <w:proofErr w:type="gramStart"/>
      <w:r w:rsidRPr="001B6E4D">
        <w:t>研</w:t>
      </w:r>
      <w:proofErr w:type="gramEnd"/>
      <w:r w:rsidRPr="001B6E4D">
        <w:t>議有無再審或非常上訴事由。又提到各級法院或檢察署，就原住民司法通譯之建置不周，請行政院檢討改進。</w:t>
      </w:r>
    </w:p>
    <w:p w14:paraId="734C225D" w14:textId="77777777" w:rsidR="00705B3D" w:rsidRPr="001B6E4D" w:rsidRDefault="00705B3D" w:rsidP="003D1018">
      <w:pPr>
        <w:pStyle w:val="1f7"/>
        <w:overflowPunct w:val="0"/>
      </w:pPr>
      <w:r w:rsidRPr="001B6E4D">
        <w:t>目前各級法院、檢察署之原住民司法通譯，無論是</w:t>
      </w:r>
      <w:proofErr w:type="gramStart"/>
      <w:r w:rsidRPr="001B6E4D">
        <w:t>在語別或</w:t>
      </w:r>
      <w:proofErr w:type="gramEnd"/>
      <w:r w:rsidRPr="001B6E4D">
        <w:t>人數，</w:t>
      </w:r>
      <w:proofErr w:type="gramStart"/>
      <w:r w:rsidRPr="001B6E4D">
        <w:t>均較原住民</w:t>
      </w:r>
      <w:proofErr w:type="gramEnd"/>
      <w:r w:rsidRPr="001B6E4D">
        <w:t>族相關案件數為低，比例失衡(113年統計通譯案件比190:1、109</w:t>
      </w:r>
      <w:r w:rsidRPr="001B6E4D">
        <w:rPr>
          <w:rFonts w:hint="eastAsia"/>
        </w:rPr>
        <w:t>至</w:t>
      </w:r>
      <w:r w:rsidRPr="001B6E4D">
        <w:t>113年平均每年案件7,000件)。</w:t>
      </w:r>
    </w:p>
    <w:p w14:paraId="4ACF45A4" w14:textId="77777777" w:rsidR="00705B3D" w:rsidRPr="001B6E4D" w:rsidRDefault="00705B3D" w:rsidP="003D1018">
      <w:pPr>
        <w:pStyle w:val="1f7"/>
        <w:overflowPunct w:val="0"/>
      </w:pPr>
      <w:r w:rsidRPr="001B6E4D">
        <w:t>原住民族至少有16種族語、42種方言別，原</w:t>
      </w:r>
      <w:r w:rsidRPr="001B6E4D">
        <w:rPr>
          <w:rFonts w:hint="eastAsia"/>
        </w:rPr>
        <w:t>住</w:t>
      </w:r>
      <w:r w:rsidRPr="001B6E4D">
        <w:t>民</w:t>
      </w:r>
      <w:r w:rsidRPr="001B6E4D">
        <w:rPr>
          <w:rFonts w:hint="eastAsia"/>
        </w:rPr>
        <w:t>族委員</w:t>
      </w:r>
      <w:proofErr w:type="gramStart"/>
      <w:r w:rsidRPr="001B6E4D">
        <w:t>會所督管之</w:t>
      </w:r>
      <w:proofErr w:type="gramEnd"/>
      <w:r w:rsidRPr="001B6E4D">
        <w:t>原住民族語言人才資料庫，即具完整之族語人才</w:t>
      </w:r>
      <w:r w:rsidRPr="001B6E4D">
        <w:lastRenderedPageBreak/>
        <w:t>(其中具高級認證者有3,756人)。</w:t>
      </w:r>
    </w:p>
    <w:p w14:paraId="0CAF8829" w14:textId="77777777" w:rsidR="00705B3D" w:rsidRPr="001B6E4D" w:rsidRDefault="00705B3D" w:rsidP="003D1018">
      <w:pPr>
        <w:pStyle w:val="1f7"/>
        <w:overflowPunct w:val="0"/>
      </w:pPr>
      <w:r w:rsidRPr="001B6E4D">
        <w:t>然而，法院或檢察署之原住民司法通譯，卻未及於</w:t>
      </w:r>
      <w:proofErr w:type="gramStart"/>
      <w:r w:rsidRPr="001B6E4D">
        <w:t>全數語別</w:t>
      </w:r>
      <w:proofErr w:type="gramEnd"/>
      <w:r w:rsidRPr="001B6E4D">
        <w:t>(檢察署僅具</w:t>
      </w:r>
      <w:proofErr w:type="gramStart"/>
      <w:r w:rsidRPr="001B6E4D">
        <w:t>7種語別</w:t>
      </w:r>
      <w:proofErr w:type="gramEnd"/>
      <w:r w:rsidRPr="001B6E4D">
        <w:t>；法院僅具</w:t>
      </w:r>
      <w:proofErr w:type="gramStart"/>
      <w:r w:rsidRPr="001B6E4D">
        <w:t>11種語別</w:t>
      </w:r>
      <w:proofErr w:type="gramEnd"/>
      <w:r w:rsidRPr="001B6E4D">
        <w:t>)，不但與兩公約、</w:t>
      </w:r>
      <w:r w:rsidRPr="001B6E4D">
        <w:rPr>
          <w:rFonts w:hint="eastAsia"/>
        </w:rPr>
        <w:t>消除一切形式種族歧視國際公約</w:t>
      </w:r>
      <w:r w:rsidRPr="001B6E4D">
        <w:t>(ICERD)及司</w:t>
      </w:r>
      <w:r w:rsidRPr="001B6E4D">
        <w:rPr>
          <w:rFonts w:hint="eastAsia"/>
        </w:rPr>
        <w:t>法</w:t>
      </w:r>
      <w:r w:rsidRPr="001B6E4D">
        <w:t>改</w:t>
      </w:r>
      <w:r w:rsidRPr="001B6E4D">
        <w:rPr>
          <w:rFonts w:hint="eastAsia"/>
        </w:rPr>
        <w:t>革</w:t>
      </w:r>
      <w:r w:rsidRPr="001B6E4D">
        <w:t>國是會議決議維護司法程序中之弱勢族群意旨不符，在個案中，更將侵蝕原住民之司法權益。</w:t>
      </w:r>
    </w:p>
    <w:p w14:paraId="45074FBB" w14:textId="77777777" w:rsidR="00705B3D" w:rsidRPr="001B6E4D" w:rsidRDefault="00705B3D" w:rsidP="003D1018">
      <w:pPr>
        <w:pStyle w:val="1f7"/>
        <w:overflowPunct w:val="0"/>
      </w:pPr>
      <w:r w:rsidRPr="001B6E4D">
        <w:t>良善的司法通譯制度，不僅</w:t>
      </w:r>
      <w:proofErr w:type="gramStart"/>
      <w:r w:rsidRPr="001B6E4D">
        <w:t>攸</w:t>
      </w:r>
      <w:proofErr w:type="gramEnd"/>
      <w:r w:rsidRPr="001B6E4D">
        <w:t>關弱勢族群的權利維護與真相發現，更是公約明定國家對弱勢族群的責任。適當的通譯有助於消除語言和文化隔閡，避免文化背景差異導致誤解，進而實現法律實質平等。</w:t>
      </w:r>
      <w:proofErr w:type="gramStart"/>
      <w:r w:rsidRPr="001B6E4D">
        <w:t>爰</w:t>
      </w:r>
      <w:proofErr w:type="gramEnd"/>
      <w:r w:rsidRPr="001B6E4D">
        <w:t>建請法務部檢視</w:t>
      </w:r>
      <w:r w:rsidRPr="001B6E4D">
        <w:rPr>
          <w:rFonts w:hint="eastAsia"/>
        </w:rPr>
        <w:t>臺灣</w:t>
      </w:r>
      <w:r w:rsidRPr="001B6E4D">
        <w:t>高</w:t>
      </w:r>
      <w:r w:rsidRPr="001B6E4D">
        <w:rPr>
          <w:rFonts w:hint="eastAsia"/>
        </w:rPr>
        <w:t>等</w:t>
      </w:r>
      <w:r w:rsidRPr="001B6E4D">
        <w:t>檢</w:t>
      </w:r>
      <w:r w:rsidRPr="001B6E4D">
        <w:rPr>
          <w:rFonts w:hint="eastAsia"/>
        </w:rPr>
        <w:t>察</w:t>
      </w:r>
      <w:r w:rsidRPr="001B6E4D">
        <w:t>署及各檢察分署所建置之「原住民</w:t>
      </w:r>
      <w:proofErr w:type="gramStart"/>
      <w:r w:rsidRPr="001B6E4D">
        <w:t>族語別</w:t>
      </w:r>
      <w:proofErr w:type="gramEnd"/>
      <w:r w:rsidRPr="001B6E4D">
        <w:t>」及「通譯人員」之充足性，並將通譯資源具體改善方案</w:t>
      </w:r>
      <w:r w:rsidRPr="001B6E4D">
        <w:rPr>
          <w:rFonts w:hint="eastAsia"/>
        </w:rPr>
        <w:t>，</w:t>
      </w:r>
      <w:r w:rsidRPr="001B6E4D">
        <w:t>於3個月內向立法院司法及法制委員會提出書面報告。【31】</w:t>
      </w:r>
    </w:p>
    <w:p w14:paraId="448A93AC"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1350060D"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連署人：張雅琳　沈發惠</w:t>
      </w:r>
    </w:p>
    <w:p w14:paraId="0004EF07" w14:textId="77777777" w:rsidR="00705B3D" w:rsidRPr="001B6E4D" w:rsidRDefault="00705B3D" w:rsidP="003D1018">
      <w:pPr>
        <w:pStyle w:val="1-1"/>
        <w:numPr>
          <w:ilvl w:val="0"/>
          <w:numId w:val="33"/>
        </w:numPr>
        <w:ind w:left="924" w:hanging="567"/>
      </w:pPr>
      <w:r w:rsidRPr="001B6E4D">
        <w:t>司法通譯牽涉當事人權益及司法體系做出正確裁判之能力甚深，通譯本身除必須理解當事人的母語，將其翻譯成一般人懂的中文外，亦應如實、完整通譯當事人所表達之內容，且須避免因自我意識增減、解釋法官或檢察官之提問。</w:t>
      </w:r>
    </w:p>
    <w:p w14:paraId="58528BE6" w14:textId="77777777" w:rsidR="00705B3D" w:rsidRPr="001B6E4D" w:rsidRDefault="00705B3D" w:rsidP="003D1018">
      <w:pPr>
        <w:pStyle w:val="1f7"/>
        <w:overflowPunct w:val="0"/>
      </w:pPr>
      <w:r w:rsidRPr="001B6E4D">
        <w:t>依據《高等檢察署及其檢察分署建置特約通譯名冊及日費旅費報酬支給要點》所定之教育訓練（第5至7條），已於2023年修正增加「實務演練3小時」之課程項目，有別以往只有聽講為主的訓練方式。</w:t>
      </w:r>
    </w:p>
    <w:p w14:paraId="71CDE4C6" w14:textId="77777777" w:rsidR="00705B3D" w:rsidRPr="001B6E4D" w:rsidRDefault="00705B3D" w:rsidP="003D1018">
      <w:pPr>
        <w:pStyle w:val="1f7"/>
        <w:overflowPunct w:val="0"/>
      </w:pPr>
      <w:r w:rsidRPr="001B6E4D">
        <w:t>為強化通譯人才之實務能力，並落實公政公約所揭示之「有效辯護」意旨，</w:t>
      </w:r>
      <w:proofErr w:type="gramStart"/>
      <w:r w:rsidRPr="001B6E4D">
        <w:t>爰</w:t>
      </w:r>
      <w:proofErr w:type="gramEnd"/>
      <w:r w:rsidRPr="001B6E4D">
        <w:t>建請法務部針對以下內容規劃具體精進方案及推動期程，並於3個月內向立法院司法及法制委員會提出書面報告：</w:t>
      </w:r>
    </w:p>
    <w:p w14:paraId="02CE6F0D"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1.</w:t>
      </w:r>
      <w:proofErr w:type="gramStart"/>
      <w:r w:rsidRPr="001B6E4D">
        <w:t>研</w:t>
      </w:r>
      <w:proofErr w:type="gramEnd"/>
      <w:r w:rsidRPr="001B6E4D">
        <w:t>議持續增加聽講以外之教育訓練方式及頻率，提供包含但不限於案件模擬、現場或影像紀錄臨摹實習和與實務工作者之交流座談、互動式教案等方式；內容應包含協助特約通譯熟悉跨文化交流、情緒控制、法律知識等，以如</w:t>
      </w:r>
      <w:r w:rsidRPr="001B6E4D">
        <w:rPr>
          <w:rFonts w:hint="eastAsia"/>
        </w:rPr>
        <w:t>實</w:t>
      </w:r>
      <w:r w:rsidRPr="001B6E4D">
        <w:t>履行翻譯職責。</w:t>
      </w:r>
    </w:p>
    <w:p w14:paraId="44870796"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2.為避免通譯人才有專業素養不足、服務態度不佳，或有未遵循通譯專業倫理等不良行為，應</w:t>
      </w:r>
      <w:proofErr w:type="gramStart"/>
      <w:r w:rsidRPr="001B6E4D">
        <w:t>研</w:t>
      </w:r>
      <w:proofErr w:type="gramEnd"/>
      <w:r w:rsidRPr="001B6E4D">
        <w:t>議明確且適當之退場機制，例如：「不適任」之定義標準、違規者之處置（口頭勸</w:t>
      </w:r>
      <w:proofErr w:type="gramStart"/>
      <w:r w:rsidRPr="001B6E4D">
        <w:t>諭</w:t>
      </w:r>
      <w:proofErr w:type="gramEnd"/>
      <w:r w:rsidRPr="001B6E4D">
        <w:t>、警告、解任）、累犯處置、加強使用者問卷回饋意願及真實性等，使通譯人才通譯品質可供合理評價及檢視，以利語言不通或弱勢資源者能夠獲得優質通譯服務。【32】</w:t>
      </w:r>
    </w:p>
    <w:p w14:paraId="0B3AD26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提案人：莊瑞雄</w:t>
      </w:r>
    </w:p>
    <w:p w14:paraId="6AA55EED"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連署人：張雅琳　沈發惠</w:t>
      </w:r>
    </w:p>
    <w:p w14:paraId="653790D3" w14:textId="77777777" w:rsidR="00705B3D" w:rsidRPr="001B6E4D" w:rsidRDefault="00705B3D" w:rsidP="003D1018">
      <w:pPr>
        <w:pStyle w:val="1-1"/>
        <w:numPr>
          <w:ilvl w:val="0"/>
          <w:numId w:val="33"/>
        </w:numPr>
        <w:ind w:left="924" w:hanging="567"/>
      </w:pPr>
      <w:r w:rsidRPr="001B6E4D">
        <w:t>現行刑事訴訟法中，針對檢察官不起訴處分之外部監督，雖有「再議」及「准許提起自訴」機制，然對於貪瀆等社會矚目案件，經檢察官為不起訴之處分後，如無得聲請再議之人，雖原檢察官應依職權</w:t>
      </w:r>
      <w:proofErr w:type="gramStart"/>
      <w:r w:rsidRPr="001B6E4D">
        <w:t>逕</w:t>
      </w:r>
      <w:proofErr w:type="gramEnd"/>
      <w:r w:rsidRPr="001B6E4D">
        <w:t>送上級檢察署檢察長再議，惟此內部監督機制是否足夠，於司法改革國是會議討論並</w:t>
      </w:r>
      <w:proofErr w:type="gramStart"/>
      <w:r w:rsidRPr="001B6E4D">
        <w:t>研</w:t>
      </w:r>
      <w:proofErr w:type="gramEnd"/>
      <w:r w:rsidRPr="001B6E4D">
        <w:t>議引進日本檢察審查會制度。</w:t>
      </w:r>
    </w:p>
    <w:p w14:paraId="1FBBC99E" w14:textId="77777777" w:rsidR="00705B3D" w:rsidRPr="001B6E4D" w:rsidRDefault="00705B3D" w:rsidP="003D1018">
      <w:pPr>
        <w:pStyle w:val="1f7"/>
        <w:overflowPunct w:val="0"/>
      </w:pPr>
      <w:r w:rsidRPr="001B6E4D">
        <w:t>司法改革國是會議「推動人民參與司法制度」議題中，司法院已建立國民法官制度，並於109年8月12日經總統公布《國民法官法》，並自112年起施行。法務部雖已</w:t>
      </w:r>
      <w:proofErr w:type="gramStart"/>
      <w:r w:rsidRPr="001B6E4D">
        <w:t>研</w:t>
      </w:r>
      <w:proofErr w:type="gramEnd"/>
      <w:r w:rsidRPr="001B6E4D">
        <w:t>擬「國民參與不起訴處分審查法草案」，惟受限於各界對設置方式尚未達成共識，導致立法期程一再延宕。審計部</w:t>
      </w:r>
      <w:proofErr w:type="gramStart"/>
      <w:r w:rsidRPr="001B6E4D">
        <w:t>110</w:t>
      </w:r>
      <w:proofErr w:type="gramEnd"/>
      <w:r w:rsidRPr="001B6E4D">
        <w:t>年度中央政府總決算審核報告亦對此進度表示關切，強調應積極建立人民參與檢察審查機制。</w:t>
      </w:r>
    </w:p>
    <w:p w14:paraId="02327982" w14:textId="77777777" w:rsidR="00705B3D" w:rsidRPr="001B6E4D" w:rsidRDefault="00705B3D" w:rsidP="003D1018">
      <w:pPr>
        <w:pStyle w:val="1f7"/>
        <w:overflowPunct w:val="0"/>
      </w:pPr>
      <w:r w:rsidRPr="001B6E4D">
        <w:t>法務部於115年1月與社團法人台灣日本刑事法研究學會舉辦「台日人民參與司法制度實務對話」，會中肯定人民直接參與司法對於實現監督與正當性之價值。既法務部亦將該法案納入</w:t>
      </w:r>
      <w:proofErr w:type="gramStart"/>
      <w:r w:rsidRPr="001B6E4D">
        <w:t>115</w:t>
      </w:r>
      <w:proofErr w:type="gramEnd"/>
      <w:r w:rsidRPr="001B6E4D">
        <w:t>年度立法計畫，且借鏡日本制度運作經驗之共識已成，實應把握時機，將過往之學術對話轉化為具體立法成果。</w:t>
      </w:r>
    </w:p>
    <w:p w14:paraId="656C3229" w14:textId="77777777" w:rsidR="00705B3D" w:rsidRPr="001B6E4D" w:rsidRDefault="00705B3D" w:rsidP="003D1018">
      <w:pPr>
        <w:pStyle w:val="1f7"/>
        <w:overflowPunct w:val="0"/>
      </w:pPr>
      <w:r w:rsidRPr="001B6E4D">
        <w:t>為確保司法決策的公正性與透明度，進而落實司法民主，</w:t>
      </w:r>
      <w:proofErr w:type="gramStart"/>
      <w:r w:rsidRPr="001B6E4D">
        <w:t>爰</w:t>
      </w:r>
      <w:proofErr w:type="gramEnd"/>
      <w:r w:rsidRPr="001B6E4D">
        <w:t>建請法務部加強溝通協調，化解各界疑義，加速</w:t>
      </w:r>
      <w:proofErr w:type="gramStart"/>
      <w:r w:rsidRPr="001B6E4D">
        <w:t>研</w:t>
      </w:r>
      <w:proofErr w:type="gramEnd"/>
      <w:r w:rsidRPr="001B6E4D">
        <w:t>擬進程，完成制定</w:t>
      </w:r>
      <w:r w:rsidRPr="001B6E4D">
        <w:rPr>
          <w:rFonts w:hint="eastAsia"/>
        </w:rPr>
        <w:t>「</w:t>
      </w:r>
      <w:r w:rsidRPr="001B6E4D">
        <w:t>國民參與不起訴處分審查法草案</w:t>
      </w:r>
      <w:r w:rsidRPr="001B6E4D">
        <w:rPr>
          <w:rFonts w:hint="eastAsia"/>
        </w:rPr>
        <w:t>」</w:t>
      </w:r>
      <w:r w:rsidRPr="001B6E4D">
        <w:t>陳報行政院送立法院審議；並針對窒礙難行之處及後續推動具體期程，於3個月內向立法院司法及法制委員會提出書面報告。【33】</w:t>
      </w:r>
    </w:p>
    <w:p w14:paraId="02CD491C"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187A651B"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連署人：張雅琳　沈發惠</w:t>
      </w:r>
    </w:p>
    <w:p w14:paraId="2A857D8D" w14:textId="77777777" w:rsidR="00705B3D" w:rsidRPr="001B6E4D" w:rsidRDefault="00705B3D" w:rsidP="003D1018">
      <w:pPr>
        <w:pStyle w:val="1-1"/>
        <w:numPr>
          <w:ilvl w:val="0"/>
          <w:numId w:val="33"/>
        </w:numPr>
        <w:ind w:left="924" w:hanging="567"/>
      </w:pPr>
      <w:r w:rsidRPr="001B6E4D">
        <w:t>法務部長期推動少年矯正教育，強調「矯正即教育」，並以學生為中心落實各項專業處遇。目前矯正學校已配置教師、教導員、特教老師、心理師及社工師等多元人力。為健全學生人格發展、矯正情緒經驗，教育專業人力之投入，關乎輔導量能與復歸社會之成效，應受主管機關高度重視。</w:t>
      </w:r>
    </w:p>
    <w:p w14:paraId="5E2E524D" w14:textId="77777777" w:rsidR="00705B3D" w:rsidRPr="001B6E4D" w:rsidRDefault="00705B3D" w:rsidP="003D1018">
      <w:pPr>
        <w:pStyle w:val="1f7"/>
        <w:overflowPunct w:val="0"/>
      </w:pPr>
      <w:r w:rsidRPr="001B6E4D">
        <w:t>依據《學生輔導法》第6條，學校應提供發展性、介入性及</w:t>
      </w:r>
      <w:proofErr w:type="gramStart"/>
      <w:r w:rsidRPr="001B6E4D">
        <w:t>處遇性之</w:t>
      </w:r>
      <w:proofErr w:type="gramEnd"/>
      <w:r w:rsidRPr="001B6E4D">
        <w:t>三級輔導。矯正學校作為特殊教育環境，更需仰賴「輔導教師」與「專業輔導人員（心理師、社工師）」之嚴密合作。</w:t>
      </w:r>
    </w:p>
    <w:p w14:paraId="32184A23" w14:textId="77777777" w:rsidR="00705B3D" w:rsidRPr="001B6E4D" w:rsidRDefault="00705B3D" w:rsidP="003D1018">
      <w:pPr>
        <w:pStyle w:val="1f7"/>
        <w:overflowPunct w:val="0"/>
      </w:pPr>
      <w:r w:rsidRPr="001B6E4D">
        <w:t>法務部矯正署雖自2025年起推動「矯正機關心理</w:t>
      </w:r>
      <w:proofErr w:type="gramStart"/>
      <w:r w:rsidRPr="001B6E4D">
        <w:t>社工專輔人力</w:t>
      </w:r>
      <w:proofErr w:type="gramEnd"/>
      <w:r w:rsidRPr="001B6E4D">
        <w:t>員額增補計畫」，針對心理師與社工師進行增聘，然輔導</w:t>
      </w:r>
      <w:r w:rsidRPr="001B6E4D">
        <w:lastRenderedPageBreak/>
        <w:t>教師仍承擔極高強度之行政整合與日常評估工作。若輔導教師人力不足，將可能導致：個案篩選與轉</w:t>
      </w:r>
      <w:proofErr w:type="gramStart"/>
      <w:r w:rsidRPr="001B6E4D">
        <w:t>介</w:t>
      </w:r>
      <w:proofErr w:type="gramEnd"/>
      <w:r w:rsidRPr="001B6E4D">
        <w:t>機制失靈，影響後</w:t>
      </w:r>
      <w:proofErr w:type="gramStart"/>
      <w:r w:rsidRPr="001B6E4D">
        <w:t>端專輔</w:t>
      </w:r>
      <w:proofErr w:type="gramEnd"/>
      <w:r w:rsidRPr="001B6E4D">
        <w:t>人力之執行效能；親師溝通與資源</w:t>
      </w:r>
      <w:proofErr w:type="gramStart"/>
      <w:r w:rsidRPr="001B6E4D">
        <w:t>網絡串接</w:t>
      </w:r>
      <w:proofErr w:type="gramEnd"/>
      <w:r w:rsidRPr="001B6E4D">
        <w:t>斷層，難以維持輔導的連續性；一線工作者勞務過重，影響輔導品質及穩定度。</w:t>
      </w:r>
    </w:p>
    <w:p w14:paraId="68E0E559" w14:textId="77777777" w:rsidR="00705B3D" w:rsidRPr="001B6E4D" w:rsidRDefault="00705B3D" w:rsidP="003D1018">
      <w:pPr>
        <w:pStyle w:val="1f7"/>
        <w:overflowPunct w:val="0"/>
      </w:pPr>
      <w:r w:rsidRPr="001B6E4D">
        <w:t>為落實《學生輔導法》之三級輔導架構，確保矯正教育之輔導能與</w:t>
      </w:r>
      <w:proofErr w:type="gramStart"/>
      <w:r w:rsidRPr="001B6E4D">
        <w:t>專業專輔人力</w:t>
      </w:r>
      <w:proofErr w:type="gramEnd"/>
      <w:r w:rsidRPr="001B6E4D">
        <w:t>相輔相成，提升學生復歸社會之處遇成效，</w:t>
      </w:r>
      <w:proofErr w:type="gramStart"/>
      <w:r w:rsidRPr="001B6E4D">
        <w:t>爰</w:t>
      </w:r>
      <w:proofErr w:type="gramEnd"/>
      <w:r w:rsidRPr="001B6E4D">
        <w:t>建請法務部會同</w:t>
      </w:r>
      <w:r w:rsidRPr="001B6E4D">
        <w:rPr>
          <w:rFonts w:hint="eastAsia"/>
        </w:rPr>
        <w:t>法務部</w:t>
      </w:r>
      <w:r w:rsidRPr="001B6E4D">
        <w:t>矯正署針對現行4所矯正學校之輔導教師</w:t>
      </w:r>
      <w:proofErr w:type="gramStart"/>
      <w:r w:rsidRPr="001B6E4D">
        <w:t>及專輔人員</w:t>
      </w:r>
      <w:proofErr w:type="gramEnd"/>
      <w:r w:rsidRPr="001B6E4D">
        <w:t>之師生比進行評估，檢視現行編制是否足以應對日益複雜之少年個案議題；另在推動「心理</w:t>
      </w:r>
      <w:proofErr w:type="gramStart"/>
      <w:r w:rsidRPr="001B6E4D">
        <w:t>社工專輔人力</w:t>
      </w:r>
      <w:proofErr w:type="gramEnd"/>
      <w:r w:rsidRPr="001B6E4D">
        <w:t>增補」之際，應同步</w:t>
      </w:r>
      <w:proofErr w:type="gramStart"/>
      <w:r w:rsidRPr="001B6E4D">
        <w:t>研</w:t>
      </w:r>
      <w:proofErr w:type="gramEnd"/>
      <w:r w:rsidRPr="001B6E4D">
        <w:t>議增加「輔導教師」員額之可行性，確保各校具備足額之輔導教師，以發揮校園輔導網絡之核心樞紐功能；並將人力增補規劃進度</w:t>
      </w:r>
      <w:r w:rsidRPr="001B6E4D">
        <w:rPr>
          <w:rFonts w:hint="eastAsia"/>
        </w:rPr>
        <w:t>，</w:t>
      </w:r>
      <w:r w:rsidRPr="001B6E4D">
        <w:t>於3個月內向立法院司法及法制委員會提出書面報告。【34】</w:t>
      </w:r>
    </w:p>
    <w:p w14:paraId="16CB6FDC"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提案人：莊瑞雄</w:t>
      </w:r>
    </w:p>
    <w:p w14:paraId="158F0D5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連署人：沈發惠　張雅琳</w:t>
      </w:r>
    </w:p>
    <w:p w14:paraId="2BFE66FE" w14:textId="77777777" w:rsidR="00705B3D" w:rsidRPr="001B6E4D" w:rsidRDefault="00705B3D" w:rsidP="003D1018">
      <w:pPr>
        <w:pStyle w:val="1-1"/>
        <w:numPr>
          <w:ilvl w:val="0"/>
          <w:numId w:val="33"/>
        </w:numPr>
        <w:ind w:left="924" w:hanging="567"/>
      </w:pPr>
      <w:r w:rsidRPr="001B6E4D">
        <w:t>現行「促</w:t>
      </w:r>
      <w:r w:rsidRPr="001B6E4D">
        <w:rPr>
          <w:rFonts w:hint="eastAsia"/>
        </w:rPr>
        <w:t>進</w:t>
      </w:r>
      <w:r w:rsidRPr="001B6E4D">
        <w:t>轉</w:t>
      </w:r>
      <w:r w:rsidRPr="001B6E4D">
        <w:rPr>
          <w:rFonts w:hint="eastAsia"/>
        </w:rPr>
        <w:t>型正義</w:t>
      </w:r>
      <w:r w:rsidRPr="001B6E4D">
        <w:t>條例」跟「</w:t>
      </w:r>
      <w:r w:rsidRPr="001B6E4D">
        <w:rPr>
          <w:rFonts w:hint="eastAsia"/>
        </w:rPr>
        <w:t>威權統治時期國家不法行為被害者</w:t>
      </w:r>
      <w:r w:rsidRPr="001B6E4D">
        <w:t>權利回復條例」，只有明文對生命、身體及財產所有權的行政不法進行平復。並無法針對「國家不法監控」、「因政治案件遭強制退學」、「海外黑名單而無法入境」等違背《憲法》基本權的侵害態樣，進行權利回復。有關這項議題，林委員宜瑾曾經質詢過法務部，法制司司長當時回覆，若國家侵害《憲法》所保障基本權，亦可能涉及行政不法。</w:t>
      </w:r>
    </w:p>
    <w:p w14:paraId="59C1E933" w14:textId="77777777" w:rsidR="00705B3D" w:rsidRPr="001B6E4D" w:rsidRDefault="00705B3D" w:rsidP="003D1018">
      <w:pPr>
        <w:pStyle w:val="1f7"/>
        <w:overflowPunct w:val="0"/>
      </w:pPr>
      <w:r w:rsidRPr="001B6E4D">
        <w:t>然根據行政院推動轉型正義會報第7次會議資料，經行政院人權及轉型正義處的意見檢視，針對各類司法不法平復以及行政不法平復結果，倘若累積「一定數量之准駁個案成果」，除相關成果之資料</w:t>
      </w:r>
      <w:proofErr w:type="gramStart"/>
      <w:r w:rsidRPr="001B6E4D">
        <w:t>彙整外</w:t>
      </w:r>
      <w:proofErr w:type="gramEnd"/>
      <w:r w:rsidRPr="001B6E4D">
        <w:t>，建議法務部爬梳分析平復國家不法迄今之整體圖像及特殊個案態樣，以利外界理解威權統治時期國家不法侵害人民權利之實際狀況，並適時透過成果發表會、學術研討會或其他平台發表成果，以強化社會對話，增進人民對轉型正義之理解。</w:t>
      </w:r>
    </w:p>
    <w:p w14:paraId="7F1C3BF0" w14:textId="77777777" w:rsidR="00705B3D" w:rsidRPr="001B6E4D" w:rsidRDefault="00705B3D" w:rsidP="003D1018">
      <w:pPr>
        <w:pStyle w:val="1f7"/>
        <w:overflowPunct w:val="0"/>
      </w:pPr>
      <w:proofErr w:type="gramStart"/>
      <w:r w:rsidRPr="001B6E4D">
        <w:t>爰</w:t>
      </w:r>
      <w:proofErr w:type="gramEnd"/>
      <w:r w:rsidRPr="001B6E4D">
        <w:t>此，法務部應照行政院人權</w:t>
      </w:r>
      <w:r w:rsidRPr="001B6E4D">
        <w:rPr>
          <w:rFonts w:hint="eastAsia"/>
        </w:rPr>
        <w:t>及轉型正義</w:t>
      </w:r>
      <w:r w:rsidRPr="001B6E4D">
        <w:t>處之指示，具體研究准駁個案之特性，</w:t>
      </w:r>
      <w:proofErr w:type="gramStart"/>
      <w:r w:rsidRPr="001B6E4D">
        <w:t>爬梳准駁</w:t>
      </w:r>
      <w:proofErr w:type="gramEnd"/>
      <w:r w:rsidRPr="001B6E4D">
        <w:t>類型，據以建立研究成果。</w:t>
      </w:r>
      <w:proofErr w:type="gramStart"/>
      <w:r w:rsidRPr="001B6E4D">
        <w:t>爰</w:t>
      </w:r>
      <w:proofErr w:type="gramEnd"/>
      <w:r w:rsidRPr="001B6E4D">
        <w:t>建請法務部於3個月內向提案委員及立法院司法及法制委員會提出書面報告。【35】</w:t>
      </w:r>
    </w:p>
    <w:p w14:paraId="79347466" w14:textId="77777777" w:rsidR="00705B3D" w:rsidRPr="001B6E4D" w:rsidRDefault="00705B3D" w:rsidP="003D1018">
      <w:pPr>
        <w:pStyle w:val="2fb"/>
        <w:overflowPunct w:val="0"/>
      </w:pPr>
      <w:r w:rsidRPr="001B6E4D">
        <w:t>提案人：張雅琳　林宜瑾</w:t>
      </w:r>
    </w:p>
    <w:p w14:paraId="6C6263F7" w14:textId="77777777" w:rsidR="00705B3D" w:rsidRPr="001B6E4D" w:rsidRDefault="00705B3D" w:rsidP="003D1018">
      <w:pPr>
        <w:pStyle w:val="2fb"/>
        <w:overflowPunct w:val="0"/>
      </w:pPr>
      <w:r w:rsidRPr="001B6E4D">
        <w:t xml:space="preserve">連署人：沈發惠　</w:t>
      </w:r>
      <w:proofErr w:type="gramStart"/>
      <w:r w:rsidRPr="001B6E4D">
        <w:t>范</w:t>
      </w:r>
      <w:proofErr w:type="gramEnd"/>
      <w:r w:rsidRPr="001B6E4D">
        <w:t xml:space="preserve">　雲</w:t>
      </w:r>
    </w:p>
    <w:p w14:paraId="15A1DEC3" w14:textId="77777777" w:rsidR="00705B3D" w:rsidRPr="001B6E4D" w:rsidRDefault="00705B3D" w:rsidP="003D1018">
      <w:pPr>
        <w:pStyle w:val="1-1"/>
        <w:numPr>
          <w:ilvl w:val="0"/>
          <w:numId w:val="33"/>
        </w:numPr>
        <w:ind w:left="924" w:hanging="567"/>
      </w:pPr>
      <w:proofErr w:type="gramStart"/>
      <w:r w:rsidRPr="001B6E4D">
        <w:t>鑑</w:t>
      </w:r>
      <w:proofErr w:type="gramEnd"/>
      <w:r w:rsidRPr="001B6E4D">
        <w:t>於近年檢察機關案件量持續攀升，113年全國司法案件量</w:t>
      </w:r>
      <w:r w:rsidRPr="001B6E4D">
        <w:lastRenderedPageBreak/>
        <w:t>已達248萬餘件，惟第一線法警人力自108至114年間僅由646人增至723人，成長幅度有限，與實際業務負荷是否相當，已有檢討空間。尤其在現行制度下，法警除須負責偵查庭內秩序維護外，對於地</w:t>
      </w:r>
      <w:r w:rsidRPr="001B6E4D">
        <w:rPr>
          <w:rFonts w:hint="eastAsia"/>
        </w:rPr>
        <w:t>方</w:t>
      </w:r>
      <w:r w:rsidRPr="001B6E4D">
        <w:t>檢</w:t>
      </w:r>
      <w:r w:rsidRPr="001B6E4D">
        <w:rPr>
          <w:rFonts w:hint="eastAsia"/>
        </w:rPr>
        <w:t>察</w:t>
      </w:r>
      <w:r w:rsidRPr="001B6E4D">
        <w:t>署出入口、</w:t>
      </w:r>
      <w:proofErr w:type="gramStart"/>
      <w:r w:rsidRPr="001B6E4D">
        <w:t>走廊等庭外</w:t>
      </w:r>
      <w:proofErr w:type="gramEnd"/>
      <w:r w:rsidRPr="001B6E4D">
        <w:t>空間之安全管理，亦常需即時應對突發情況，但其職權多依《法院組織法》相關規定</w:t>
      </w:r>
      <w:proofErr w:type="gramStart"/>
      <w:r w:rsidRPr="001B6E4D">
        <w:t>準</w:t>
      </w:r>
      <w:proofErr w:type="gramEnd"/>
      <w:r w:rsidRPr="001B6E4D">
        <w:t>用於地檢署之行政規範運作，欠缺如《警察職權行使法》般明確且具體之法律授權，致第一線人員於面對情緒升高或潛在衝突時，是否具備明確介入標準及足夠法律依據，容有疑義，影響現場安全維護之即時性與一致性。</w:t>
      </w:r>
    </w:p>
    <w:p w14:paraId="7DEBA532" w14:textId="77777777" w:rsidR="00705B3D" w:rsidRPr="001B6E4D" w:rsidRDefault="00705B3D" w:rsidP="003D1018">
      <w:pPr>
        <w:pStyle w:val="1f7"/>
        <w:overflowPunct w:val="0"/>
      </w:pPr>
      <w:proofErr w:type="gramStart"/>
      <w:r w:rsidRPr="001B6E4D">
        <w:t>爰</w:t>
      </w:r>
      <w:proofErr w:type="gramEnd"/>
      <w:r w:rsidRPr="001B6E4D">
        <w:t>此，要求法務部就現行法警人力配置與案件量成長間之落差，進行整體評估，並提出具體補充及配置優化之規劃；同時盤點現行法警職權相關法規與行政規範，針對偵查庭內外安全維護之權限範圍、介入時機及程序，</w:t>
      </w:r>
      <w:proofErr w:type="gramStart"/>
      <w:r w:rsidRPr="001B6E4D">
        <w:t>研</w:t>
      </w:r>
      <w:proofErr w:type="gramEnd"/>
      <w:r w:rsidRPr="001B6E4D">
        <w:t>議是否有強化法律授權及建立統一標準之必要，並就整體檢察機關安全維護機制（含人力配置、現場應變及作業流程）提出具體精進措施。</w:t>
      </w:r>
    </w:p>
    <w:p w14:paraId="542D5E82" w14:textId="77777777" w:rsidR="00705B3D" w:rsidRPr="001B6E4D" w:rsidRDefault="00705B3D" w:rsidP="003D1018">
      <w:pPr>
        <w:pStyle w:val="1f7"/>
        <w:overflowPunct w:val="0"/>
      </w:pPr>
      <w:proofErr w:type="gramStart"/>
      <w:r w:rsidRPr="001B6E4D">
        <w:t>爰</w:t>
      </w:r>
      <w:proofErr w:type="gramEnd"/>
      <w:r w:rsidRPr="001B6E4D">
        <w:t>請法務部於2個月內向立法院司法及法制委員會提出書面報告。【36】</w:t>
      </w:r>
    </w:p>
    <w:p w14:paraId="6B8F7811" w14:textId="77777777" w:rsidR="00705B3D" w:rsidRPr="001B6E4D" w:rsidRDefault="00705B3D" w:rsidP="003D1018">
      <w:pPr>
        <w:pStyle w:val="2fb"/>
        <w:overflowPunct w:val="0"/>
      </w:pPr>
      <w:r w:rsidRPr="001B6E4D">
        <w:t>提案人：沈發惠</w:t>
      </w:r>
    </w:p>
    <w:p w14:paraId="79FE1204" w14:textId="77777777" w:rsidR="00705B3D" w:rsidRPr="001B6E4D" w:rsidRDefault="00705B3D" w:rsidP="003D1018">
      <w:pPr>
        <w:pStyle w:val="2fb"/>
        <w:overflowPunct w:val="0"/>
      </w:pPr>
      <w:r w:rsidRPr="001B6E4D">
        <w:t>連署人：張雅琳　莊瑞雄</w:t>
      </w:r>
    </w:p>
    <w:p w14:paraId="23062EBF" w14:textId="77777777" w:rsidR="00705B3D" w:rsidRPr="001B6E4D" w:rsidRDefault="00705B3D" w:rsidP="003D1018">
      <w:pPr>
        <w:pStyle w:val="1-1"/>
        <w:numPr>
          <w:ilvl w:val="0"/>
          <w:numId w:val="33"/>
        </w:numPr>
        <w:ind w:left="924" w:hanging="567"/>
      </w:pPr>
      <w:r w:rsidRPr="001B6E4D">
        <w:t>為保障未成年犯罪被害人權益，《犯罪被害人權益保障法》（下稱犯保法）於2023年曾修正，將未成年犯罪被害人的補償金請求權時效，自犯罪被害發生時5年，修正為自成年起5年。然該次修法未涵蓋「請求權時效依舊法已消滅者」，民間司法改革團體指出，許多童年受害之被害人於2023年修法後滿懷希望提起請求，卻仍因時效限制遭駁回，權益保障未</w:t>
      </w:r>
      <w:proofErr w:type="gramStart"/>
      <w:r w:rsidRPr="001B6E4D">
        <w:t>臻</w:t>
      </w:r>
      <w:proofErr w:type="gramEnd"/>
      <w:r w:rsidRPr="001B6E4D">
        <w:t>完善。</w:t>
      </w:r>
    </w:p>
    <w:p w14:paraId="3F3C22A3" w14:textId="77777777" w:rsidR="00705B3D" w:rsidRPr="001B6E4D" w:rsidRDefault="00705B3D" w:rsidP="003D1018">
      <w:pPr>
        <w:pStyle w:val="1f7"/>
        <w:overflowPunct w:val="0"/>
      </w:pPr>
      <w:r w:rsidRPr="001B6E4D">
        <w:t>經查，法務部於2026年3月31日預告犯保法修正草案，擬增訂第100條之1，針對修法前時效業已完成者，在符合特定障礙事由(與犯罪行為人間有共同生活、監督、監護、扶助或照護關係；因性侵害犯罪行為致身心創傷；受犯罪行為人或他人之強暴、脅迫)前提下，賦予其再度請求補償之機會。此項修法方向回應社會期待，填補過往法律</w:t>
      </w:r>
      <w:proofErr w:type="gramStart"/>
      <w:r w:rsidRPr="001B6E4D">
        <w:t>空窗期</w:t>
      </w:r>
      <w:proofErr w:type="gramEnd"/>
      <w:r w:rsidRPr="001B6E4D">
        <w:t>，值得肯定。</w:t>
      </w:r>
    </w:p>
    <w:p w14:paraId="0109AB79" w14:textId="77777777" w:rsidR="00705B3D" w:rsidRPr="001B6E4D" w:rsidRDefault="00705B3D" w:rsidP="003D1018">
      <w:pPr>
        <w:pStyle w:val="1f7"/>
        <w:overflowPunct w:val="0"/>
      </w:pPr>
      <w:proofErr w:type="gramStart"/>
      <w:r w:rsidRPr="001B6E4D">
        <w:t>然查</w:t>
      </w:r>
      <w:proofErr w:type="gramEnd"/>
      <w:r w:rsidRPr="001B6E4D">
        <w:t>，針對2023年修法後至本次修法施行前，曾尋求救濟卻因法規不備而遭駁回之被害人，權益有所損害。若要求被害人自行隨時關注法律變更，</w:t>
      </w:r>
      <w:proofErr w:type="gramStart"/>
      <w:r w:rsidRPr="001B6E4D">
        <w:t>恐課予</w:t>
      </w:r>
      <w:proofErr w:type="gramEnd"/>
      <w:r w:rsidRPr="001B6E4D">
        <w:t>創傷個案過重負擔。若由行政機關全面通知召回，地方檢察署量能</w:t>
      </w:r>
      <w:proofErr w:type="gramStart"/>
      <w:r w:rsidRPr="001B6E4D">
        <w:t>恐</w:t>
      </w:r>
      <w:proofErr w:type="gramEnd"/>
      <w:r w:rsidRPr="001B6E4D">
        <w:t>難以負荷。若僅針對特定案情進行篩選通知，則可能引發未審先判之疑慮。基於前述考量，建請法務部</w:t>
      </w:r>
      <w:proofErr w:type="gramStart"/>
      <w:r w:rsidRPr="001B6E4D">
        <w:t>研</w:t>
      </w:r>
      <w:proofErr w:type="gramEnd"/>
      <w:r w:rsidRPr="001B6E4D">
        <w:t>擬召回被害人之妥適作法，於2個月內</w:t>
      </w:r>
      <w:r w:rsidRPr="001B6E4D">
        <w:lastRenderedPageBreak/>
        <w:t>做成書面報告，提交予立法院司法及法制委員會。【37】</w:t>
      </w:r>
    </w:p>
    <w:p w14:paraId="6B03F5C7" w14:textId="77777777" w:rsidR="00705B3D" w:rsidRPr="001B6E4D" w:rsidRDefault="00705B3D" w:rsidP="003D1018">
      <w:pPr>
        <w:pStyle w:val="2fb"/>
        <w:overflowPunct w:val="0"/>
      </w:pPr>
      <w:r w:rsidRPr="001B6E4D">
        <w:t>提案人：</w:t>
      </w:r>
      <w:proofErr w:type="gramStart"/>
      <w:r w:rsidRPr="001B6E4D">
        <w:t>范</w:t>
      </w:r>
      <w:proofErr w:type="gramEnd"/>
      <w:r w:rsidRPr="001B6E4D">
        <w:t xml:space="preserve">　雲</w:t>
      </w:r>
    </w:p>
    <w:p w14:paraId="11F8D5AC" w14:textId="77777777" w:rsidR="00705B3D" w:rsidRPr="001B6E4D" w:rsidRDefault="00705B3D" w:rsidP="003D1018">
      <w:pPr>
        <w:pStyle w:val="2fb"/>
        <w:overflowPunct w:val="0"/>
      </w:pPr>
      <w:r w:rsidRPr="001B6E4D">
        <w:t>連署人：莊瑞雄　張雅琳</w:t>
      </w:r>
    </w:p>
    <w:p w14:paraId="1229E89A" w14:textId="77777777" w:rsidR="00705B3D" w:rsidRPr="001B6E4D" w:rsidRDefault="00705B3D" w:rsidP="003D1018">
      <w:pPr>
        <w:pStyle w:val="1-1"/>
        <w:numPr>
          <w:ilvl w:val="0"/>
          <w:numId w:val="33"/>
        </w:numPr>
        <w:ind w:left="924" w:hanging="567"/>
      </w:pPr>
      <w:r w:rsidRPr="001B6E4D">
        <w:t>行政院於2026年1月通過法務部擬具</w:t>
      </w:r>
      <w:r w:rsidRPr="001B6E4D">
        <w:rPr>
          <w:rFonts w:hint="eastAsia"/>
        </w:rPr>
        <w:t>「中華民國</w:t>
      </w:r>
      <w:r w:rsidRPr="001B6E4D">
        <w:t>刑法部分條文修正草案</w:t>
      </w:r>
      <w:r w:rsidRPr="001B6E4D">
        <w:rPr>
          <w:rFonts w:hint="eastAsia"/>
        </w:rPr>
        <w:t>」</w:t>
      </w:r>
      <w:r w:rsidRPr="001B6E4D">
        <w:t>，擬修正</w:t>
      </w:r>
      <w:r w:rsidRPr="001B6E4D">
        <w:rPr>
          <w:rFonts w:hint="eastAsia"/>
        </w:rPr>
        <w:t>中華民國</w:t>
      </w:r>
      <w:r w:rsidRPr="001B6E4D">
        <w:t>刑法第80條，將未成年性侵害被害人追訴時效延長為自年滿20歲起算。這踏出了保障未成年被害人的第一步，法務部努力值得肯定，然為更完善保障被害人權益，配套法規也須一</w:t>
      </w:r>
      <w:r w:rsidRPr="001B6E4D">
        <w:rPr>
          <w:rFonts w:hint="eastAsia"/>
        </w:rPr>
        <w:t>併</w:t>
      </w:r>
      <w:r w:rsidRPr="001B6E4D">
        <w:t>修正。</w:t>
      </w:r>
    </w:p>
    <w:p w14:paraId="6CCD0980" w14:textId="77777777" w:rsidR="00705B3D" w:rsidRPr="001B6E4D" w:rsidRDefault="00705B3D" w:rsidP="003D1018">
      <w:pPr>
        <w:pStyle w:val="1f7"/>
        <w:overflowPunct w:val="0"/>
      </w:pPr>
      <w:r w:rsidRPr="001B6E4D">
        <w:t>法務部於2026年4月14日</w:t>
      </w:r>
      <w:r w:rsidRPr="001B6E4D">
        <w:rPr>
          <w:rFonts w:hint="eastAsia"/>
        </w:rPr>
        <w:t>所</w:t>
      </w:r>
      <w:r w:rsidRPr="001B6E4D">
        <w:t>提交</w:t>
      </w:r>
      <w:r w:rsidRPr="001B6E4D">
        <w:rPr>
          <w:rFonts w:hint="eastAsia"/>
        </w:rPr>
        <w:t>之</w:t>
      </w:r>
      <w:r w:rsidRPr="001B6E4D">
        <w:t>答覆質詢</w:t>
      </w:r>
      <w:r w:rsidRPr="001B6E4D">
        <w:rPr>
          <w:rFonts w:hint="eastAsia"/>
        </w:rPr>
        <w:t>書面報告中</w:t>
      </w:r>
      <w:r w:rsidRPr="001B6E4D">
        <w:t>敘明</w:t>
      </w:r>
      <w:r w:rsidRPr="001B6E4D">
        <w:rPr>
          <w:rFonts w:hint="eastAsia"/>
        </w:rPr>
        <w:t>，</w:t>
      </w:r>
      <w:r w:rsidRPr="001B6E4D">
        <w:t>民法消滅時效制度刻正進行</w:t>
      </w:r>
      <w:proofErr w:type="gramStart"/>
      <w:r w:rsidRPr="001B6E4D">
        <w:t>研</w:t>
      </w:r>
      <w:proofErr w:type="gramEnd"/>
      <w:r w:rsidRPr="001B6E4D">
        <w:t>修，其中包含與未成年性侵害案件賠償請求權相關修正，修正方向為「故意不法侵害他人生命、性自主、身體或健康之情形，時效為</w:t>
      </w:r>
      <w:proofErr w:type="gramStart"/>
      <w:r w:rsidRPr="001B6E4D">
        <w:t>主觀5年</w:t>
      </w:r>
      <w:proofErr w:type="gramEnd"/>
      <w:r w:rsidRPr="001B6E4D">
        <w:t>、客觀20年。」如被害人為未成年人，其損害賠償請求權比照</w:t>
      </w:r>
      <w:r w:rsidRPr="001B6E4D">
        <w:rPr>
          <w:rFonts w:hint="eastAsia"/>
        </w:rPr>
        <w:t>中華民國</w:t>
      </w:r>
      <w:r w:rsidRPr="001B6E4D">
        <w:t>刑法修正方向，於</w:t>
      </w:r>
      <w:proofErr w:type="gramStart"/>
      <w:r w:rsidRPr="001B6E4D">
        <w:t>成年前</w:t>
      </w:r>
      <w:proofErr w:type="gramEnd"/>
      <w:r w:rsidRPr="001B6E4D">
        <w:t>停止進行。並且「如被害人於時效終止前1年內有與加害人共同生活、監督或照護關係者，其損害賠償請求權於該關係消滅後1年內，時效不完成。」</w:t>
      </w:r>
    </w:p>
    <w:p w14:paraId="10F25E20" w14:textId="77777777" w:rsidR="00705B3D" w:rsidRPr="001B6E4D" w:rsidRDefault="00705B3D" w:rsidP="003D1018">
      <w:pPr>
        <w:pStyle w:val="1f7"/>
        <w:overflowPunct w:val="0"/>
      </w:pPr>
      <w:proofErr w:type="gramStart"/>
      <w:r w:rsidRPr="001B6E4D">
        <w:t>然查</w:t>
      </w:r>
      <w:r w:rsidRPr="001B6E4D">
        <w:rPr>
          <w:rFonts w:hint="eastAsia"/>
        </w:rPr>
        <w:t>中華民國</w:t>
      </w:r>
      <w:proofErr w:type="gramEnd"/>
      <w:r w:rsidRPr="001B6E4D">
        <w:t>刑法第80條所規定之追訴權時效，最長可達30年。若民事賠償請求權時效修正僅延長至20年，實務上可能出現被害人可提起刑事訴訟，卻無法請求民事賠償之情形。為更周全保障未成年被害人之權益，</w:t>
      </w:r>
      <w:proofErr w:type="gramStart"/>
      <w:r w:rsidRPr="001B6E4D">
        <w:t>爰</w:t>
      </w:r>
      <w:proofErr w:type="gramEnd"/>
      <w:r w:rsidRPr="001B6E4D">
        <w:t>建請法務部參酌</w:t>
      </w:r>
      <w:r w:rsidRPr="001B6E4D">
        <w:rPr>
          <w:rFonts w:hint="eastAsia"/>
        </w:rPr>
        <w:t>中華民國</w:t>
      </w:r>
      <w:r w:rsidRPr="001B6E4D">
        <w:t>刑法第80條，</w:t>
      </w:r>
      <w:proofErr w:type="gramStart"/>
      <w:r w:rsidRPr="001B6E4D">
        <w:t>研</w:t>
      </w:r>
      <w:proofErr w:type="gramEnd"/>
      <w:r w:rsidRPr="001B6E4D">
        <w:t>議將民事賠償請求權比照刑事案件之可行性。請做成書面報告，於2個月內提交予立法院司法及法制委員會。【38】</w:t>
      </w:r>
    </w:p>
    <w:p w14:paraId="3D11B762" w14:textId="77777777" w:rsidR="00705B3D" w:rsidRPr="001B6E4D" w:rsidRDefault="00705B3D" w:rsidP="003D1018">
      <w:pPr>
        <w:pStyle w:val="2fb"/>
        <w:overflowPunct w:val="0"/>
      </w:pPr>
      <w:r w:rsidRPr="001B6E4D">
        <w:t>提案人：</w:t>
      </w:r>
      <w:proofErr w:type="gramStart"/>
      <w:r w:rsidRPr="001B6E4D">
        <w:t>范</w:t>
      </w:r>
      <w:proofErr w:type="gramEnd"/>
      <w:r w:rsidRPr="001B6E4D">
        <w:t xml:space="preserve">　雲</w:t>
      </w:r>
    </w:p>
    <w:p w14:paraId="6BB5088F" w14:textId="77777777" w:rsidR="00705B3D" w:rsidRPr="001B6E4D" w:rsidRDefault="00705B3D" w:rsidP="003D1018">
      <w:pPr>
        <w:pStyle w:val="2fb"/>
        <w:overflowPunct w:val="0"/>
      </w:pPr>
      <w:r w:rsidRPr="001B6E4D">
        <w:t>連署人：莊瑞雄　張雅琳</w:t>
      </w:r>
    </w:p>
    <w:p w14:paraId="1B164D9D" w14:textId="77777777" w:rsidR="00705B3D" w:rsidRPr="001B6E4D" w:rsidRDefault="00705B3D" w:rsidP="003D1018">
      <w:pPr>
        <w:pStyle w:val="1-1"/>
        <w:numPr>
          <w:ilvl w:val="0"/>
          <w:numId w:val="33"/>
        </w:numPr>
        <w:ind w:left="924" w:hanging="567"/>
      </w:pPr>
      <w:r w:rsidRPr="001B6E4D">
        <w:t>自2022年5月促進轉型正義委員會依法提出任務總結報告並解散後，轉型正義相關事務依《促進轉型正義條例》第11條之1及第11條之2規定，各項任務移交各該中央主管機關接續辦理，其中，關於平復司法不法、行政不法，與識別及處置加害者事項，移交予法務部辦理。</w:t>
      </w:r>
    </w:p>
    <w:p w14:paraId="41AC36A8" w14:textId="77777777" w:rsidR="00705B3D" w:rsidRPr="001B6E4D" w:rsidRDefault="00705B3D" w:rsidP="003D1018">
      <w:pPr>
        <w:pStyle w:val="1f7"/>
        <w:overflowPunct w:val="0"/>
      </w:pPr>
      <w:r w:rsidRPr="001B6E4D">
        <w:t>為</w:t>
      </w:r>
      <w:proofErr w:type="gramStart"/>
      <w:r w:rsidRPr="001B6E4D">
        <w:t>研</w:t>
      </w:r>
      <w:proofErr w:type="gramEnd"/>
      <w:r w:rsidRPr="001B6E4D">
        <w:t>商處置威權時期加害者相關立法，法務部自2022年起已進行「法務部識別及處置加害者專法研究制定小組」諮詢會議、專案會議等多次評估。然，「促進轉型正義條例加害者之識別、揭露及處置專章」草案進度至今仍停留在</w:t>
      </w:r>
      <w:proofErr w:type="gramStart"/>
      <w:r w:rsidRPr="001B6E4D">
        <w:t>研</w:t>
      </w:r>
      <w:proofErr w:type="gramEnd"/>
      <w:r w:rsidRPr="001B6E4D">
        <w:t>擬與評估階段，立法進度與社會期待存在落差。</w:t>
      </w:r>
    </w:p>
    <w:p w14:paraId="06B9B4D5" w14:textId="77777777" w:rsidR="00705B3D" w:rsidRPr="001B6E4D" w:rsidRDefault="00705B3D" w:rsidP="003D1018">
      <w:pPr>
        <w:pStyle w:val="1f7"/>
        <w:overflowPunct w:val="0"/>
      </w:pPr>
      <w:proofErr w:type="gramStart"/>
      <w:r w:rsidRPr="001B6E4D">
        <w:rPr>
          <w:rFonts w:hint="eastAsia"/>
        </w:rPr>
        <w:t>鑑</w:t>
      </w:r>
      <w:proofErr w:type="gramEnd"/>
      <w:r w:rsidRPr="001B6E4D">
        <w:t>於政治受難者與家屬</w:t>
      </w:r>
      <w:r w:rsidRPr="001B6E4D">
        <w:rPr>
          <w:rFonts w:hint="eastAsia"/>
        </w:rPr>
        <w:t>因年邁逐漸</w:t>
      </w:r>
      <w:r w:rsidRPr="001B6E4D">
        <w:t>凋零，轉型正義實現具備高度急迫性，為落實轉型正義、促進社會和解，並確保國家體制運作符合人權原則，建請法務部加快加害者識別及處置專</w:t>
      </w:r>
      <w:r w:rsidRPr="001B6E4D">
        <w:lastRenderedPageBreak/>
        <w:t>法之立法進程，提出明確立法作業時程表，該時程表應包含草案</w:t>
      </w:r>
      <w:proofErr w:type="gramStart"/>
      <w:r w:rsidRPr="001B6E4D">
        <w:t>研</w:t>
      </w:r>
      <w:proofErr w:type="gramEnd"/>
      <w:r w:rsidRPr="001B6E4D">
        <w:t>擬完成期限，以及預計送請行政院審議之具體目標時限，使轉型正義</w:t>
      </w:r>
      <w:r w:rsidRPr="001B6E4D">
        <w:rPr>
          <w:rFonts w:hint="eastAsia"/>
        </w:rPr>
        <w:t>進度如期落實</w:t>
      </w:r>
      <w:r w:rsidRPr="001B6E4D">
        <w:t>。</w:t>
      </w:r>
    </w:p>
    <w:p w14:paraId="1D5B1524" w14:textId="77777777" w:rsidR="00705B3D" w:rsidRPr="001B6E4D" w:rsidRDefault="00705B3D" w:rsidP="003D1018">
      <w:pPr>
        <w:pStyle w:val="1f7"/>
        <w:overflowPunct w:val="0"/>
      </w:pPr>
      <w:r w:rsidRPr="001B6E4D">
        <w:t>綜上，</w:t>
      </w:r>
      <w:proofErr w:type="gramStart"/>
      <w:r w:rsidRPr="001B6E4D">
        <w:t>爰</w:t>
      </w:r>
      <w:proofErr w:type="gramEnd"/>
      <w:r w:rsidRPr="001B6E4D">
        <w:t>建請法務部於3個月內</w:t>
      </w:r>
      <w:r w:rsidRPr="001B6E4D">
        <w:rPr>
          <w:rFonts w:hint="eastAsia"/>
        </w:rPr>
        <w:t>提出</w:t>
      </w:r>
      <w:r w:rsidRPr="001B6E4D">
        <w:t>書面報告</w:t>
      </w:r>
      <w:r w:rsidRPr="001B6E4D">
        <w:rPr>
          <w:rFonts w:hint="eastAsia"/>
        </w:rPr>
        <w:t>予</w:t>
      </w:r>
      <w:r w:rsidRPr="001B6E4D">
        <w:t>立法院司法及法制委員會。【39】</w:t>
      </w:r>
    </w:p>
    <w:p w14:paraId="4A46BDAD"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16E7672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張雅琳</w:t>
      </w:r>
    </w:p>
    <w:p w14:paraId="466CD35A" w14:textId="77777777" w:rsidR="00705B3D" w:rsidRPr="001B6E4D" w:rsidRDefault="00705B3D" w:rsidP="003D1018">
      <w:pPr>
        <w:pStyle w:val="1-1"/>
        <w:numPr>
          <w:ilvl w:val="0"/>
          <w:numId w:val="33"/>
        </w:numPr>
        <w:ind w:left="924" w:hanging="567"/>
      </w:pPr>
      <w:r w:rsidRPr="001B6E4D">
        <w:t>臺灣社會傳統觀念下，女性於婚後往往承擔較多家庭照顧及育兒責任，更容易因婚姻影響學業或職</w:t>
      </w:r>
      <w:proofErr w:type="gramStart"/>
      <w:r w:rsidRPr="001B6E4D">
        <w:t>涯</w:t>
      </w:r>
      <w:proofErr w:type="gramEnd"/>
      <w:r w:rsidRPr="001B6E4D">
        <w:t>發展機會。誠如聯合國《消除對婦女一切形式歧視公約》（CEDAW）第29號一般性建議所指出：「學業和就業生涯的中斷以及育兒責任往往妨礙婦女走上一條足以在婚姻解體後養家</w:t>
      </w:r>
      <w:proofErr w:type="gramStart"/>
      <w:r w:rsidRPr="001B6E4D">
        <w:t>餬</w:t>
      </w:r>
      <w:proofErr w:type="gramEnd"/>
      <w:r w:rsidRPr="001B6E4D">
        <w:t>口的有償就業之路」。該建議明確指出，「締約國有義務規定，離婚時雙方平等分割婚姻期間所累積的所有財產。締約國應承認任何一方對婚姻存續期間所取得的財產做出的非直接、包括非金錢貢獻的價值。」並且大力鼓勵「計算延付報酬、養老金或人壽保險單等其他因為婚姻存續期間所做貢獻而在解體後得到的支付的現值，作為可分割的婚姻財產的一部分。」</w:t>
      </w:r>
    </w:p>
    <w:p w14:paraId="57F50686" w14:textId="77777777" w:rsidR="00705B3D" w:rsidRPr="001B6E4D" w:rsidRDefault="00705B3D" w:rsidP="003D1018">
      <w:pPr>
        <w:pStyle w:val="1f7"/>
        <w:overflowPunct w:val="0"/>
      </w:pPr>
      <w:r w:rsidRPr="001B6E4D">
        <w:t>經查，我國年金體系中之</w:t>
      </w:r>
      <w:proofErr w:type="gramStart"/>
      <w:r w:rsidRPr="001B6E4D">
        <w:t>第二柱</w:t>
      </w:r>
      <w:proofErr w:type="gramEnd"/>
      <w:r w:rsidRPr="001B6E4D">
        <w:t>職業年金，其給付水準高度反映個人之勞動成就。為肯定配偶於婚姻存續期間對他方職業成就之非直接貢獻，我國軍公教退撫制度已自2017年起陸續納入離婚財產請求分配範圍。</w:t>
      </w:r>
      <w:proofErr w:type="gramStart"/>
      <w:r w:rsidRPr="001B6E4D">
        <w:t>然查</w:t>
      </w:r>
      <w:proofErr w:type="gramEnd"/>
      <w:r w:rsidRPr="001B6E4D">
        <w:t>，目前勞工或</w:t>
      </w:r>
      <w:proofErr w:type="gramStart"/>
      <w:r w:rsidRPr="001B6E4D">
        <w:t>其他職域之</w:t>
      </w:r>
      <w:proofErr w:type="gramEnd"/>
      <w:r w:rsidRPr="001B6E4D">
        <w:t>職業年金尚未修正納入離婚分配條文，導致國人離婚後經濟保障因「職業身分」而異，恐產生差別待遇。</w:t>
      </w:r>
    </w:p>
    <w:p w14:paraId="6E0832EB" w14:textId="77777777" w:rsidR="00705B3D" w:rsidRPr="001B6E4D" w:rsidRDefault="00705B3D" w:rsidP="003D1018">
      <w:pPr>
        <w:pStyle w:val="1f7"/>
        <w:overflowPunct w:val="0"/>
      </w:pPr>
      <w:r w:rsidRPr="001B6E4D">
        <w:t>復查，法務部於</w:t>
      </w:r>
      <w:r w:rsidRPr="001B6E4D">
        <w:rPr>
          <w:rFonts w:hint="eastAsia"/>
        </w:rPr>
        <w:t>立法</w:t>
      </w:r>
      <w:r w:rsidRPr="001B6E4D">
        <w:t>院第11屆第5會期</w:t>
      </w:r>
      <w:r w:rsidRPr="001B6E4D">
        <w:rPr>
          <w:rFonts w:hint="eastAsia"/>
        </w:rPr>
        <w:t>司法及法制委員會</w:t>
      </w:r>
      <w:r w:rsidRPr="001B6E4D">
        <w:t>第8次全體委員會議書面報告稱，各職業年金性質不同，難於《民法》統一規定，應由各主管機關</w:t>
      </w:r>
      <w:proofErr w:type="gramStart"/>
      <w:r w:rsidRPr="001B6E4D">
        <w:t>研</w:t>
      </w:r>
      <w:proofErr w:type="gramEnd"/>
      <w:r w:rsidRPr="001B6E4D">
        <w:t>提。</w:t>
      </w:r>
      <w:proofErr w:type="gramStart"/>
      <w:r w:rsidRPr="001B6E4D">
        <w:t>惟</w:t>
      </w:r>
      <w:proofErr w:type="gramEnd"/>
      <w:r w:rsidRPr="001B6E4D">
        <w:t>銓敘部報告則主張，本事項本質係離婚配偶間之財產分配，若能於《民法》統一訂定，方可解決各</w:t>
      </w:r>
      <w:proofErr w:type="gramStart"/>
      <w:r w:rsidRPr="001B6E4D">
        <w:t>職域入</w:t>
      </w:r>
      <w:proofErr w:type="gramEnd"/>
      <w:r w:rsidRPr="001B6E4D">
        <w:t>法時程不一、規範內容不一的問題。兩部會意見顯有分歧，恐導致軍公教人員與其他</w:t>
      </w:r>
      <w:proofErr w:type="gramStart"/>
      <w:r w:rsidRPr="001B6E4D">
        <w:t>職域人員間的</w:t>
      </w:r>
      <w:proofErr w:type="gramEnd"/>
      <w:r w:rsidRPr="001B6E4D">
        <w:t>權益落差。</w:t>
      </w:r>
    </w:p>
    <w:p w14:paraId="4B966552" w14:textId="77777777" w:rsidR="00705B3D" w:rsidRPr="001B6E4D" w:rsidRDefault="00705B3D" w:rsidP="003D1018">
      <w:pPr>
        <w:pStyle w:val="1f7"/>
        <w:overflowPunct w:val="0"/>
      </w:pPr>
      <w:r w:rsidRPr="001B6E4D">
        <w:t>為落實CEDAW精神並完善國人離婚後經濟保障，</w:t>
      </w:r>
      <w:proofErr w:type="gramStart"/>
      <w:r w:rsidRPr="001B6E4D">
        <w:t>爰</w:t>
      </w:r>
      <w:proofErr w:type="gramEnd"/>
      <w:r w:rsidRPr="001B6E4D">
        <w:t>請法務部針對「職業年金納入離婚財產請求分配範圍」之修法方向（包含於《民法》訂定原則性規範</w:t>
      </w:r>
      <w:r w:rsidRPr="001B6E4D">
        <w:rPr>
          <w:rFonts w:hint="eastAsia"/>
        </w:rPr>
        <w:t>及</w:t>
      </w:r>
      <w:r w:rsidRPr="001B6E4D">
        <w:t>由各職域法規分別入法）提出</w:t>
      </w:r>
      <w:r w:rsidRPr="001B6E4D">
        <w:rPr>
          <w:rFonts w:hint="eastAsia"/>
        </w:rPr>
        <w:t>不同方案之修法建議及可行性評估</w:t>
      </w:r>
      <w:r w:rsidRPr="001B6E4D">
        <w:t>之書面報告，於2個月內提交予</w:t>
      </w:r>
      <w:r w:rsidRPr="001B6E4D">
        <w:rPr>
          <w:rFonts w:hint="eastAsia"/>
        </w:rPr>
        <w:t>立法</w:t>
      </w:r>
      <w:r w:rsidRPr="001B6E4D">
        <w:t>院司法及法制委員會。【40】</w:t>
      </w:r>
    </w:p>
    <w:p w14:paraId="63B9CFAE"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6A613EB2"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連署人：莊瑞雄　張雅琳</w:t>
      </w:r>
    </w:p>
    <w:p w14:paraId="2FAF0F80" w14:textId="77777777" w:rsidR="00705B3D" w:rsidRPr="001B6E4D" w:rsidRDefault="00705B3D" w:rsidP="003D1018">
      <w:pPr>
        <w:pStyle w:val="1-1"/>
        <w:numPr>
          <w:ilvl w:val="0"/>
          <w:numId w:val="33"/>
        </w:numPr>
        <w:ind w:left="924" w:hanging="567"/>
      </w:pPr>
      <w:r w:rsidRPr="001B6E4D">
        <w:lastRenderedPageBreak/>
        <w:t>現今《犯罪被害人權益保障法》第57條規定各類犯罪被害補償金額度，其中「性侵害補償金」額度遠低於「重傷補償金」。經查，根據中華民國刑法第10條第4項，稱重傷者，</w:t>
      </w:r>
      <w:proofErr w:type="gramStart"/>
      <w:r w:rsidRPr="001B6E4D">
        <w:t>除謂毀敗或</w:t>
      </w:r>
      <w:proofErr w:type="gramEnd"/>
      <w:r w:rsidRPr="001B6E4D">
        <w:t>嚴重減損視能、聽能、</w:t>
      </w:r>
      <w:proofErr w:type="gramStart"/>
      <w:r w:rsidRPr="001B6E4D">
        <w:t>語能</w:t>
      </w:r>
      <w:proofErr w:type="gramEnd"/>
      <w:r w:rsidRPr="001B6E4D">
        <w:t>、味能、</w:t>
      </w:r>
      <w:proofErr w:type="gramStart"/>
      <w:r w:rsidRPr="001B6E4D">
        <w:t>嗅能</w:t>
      </w:r>
      <w:proofErr w:type="gramEnd"/>
      <w:r w:rsidRPr="001B6E4D">
        <w:t>、</w:t>
      </w:r>
      <w:proofErr w:type="gramStart"/>
      <w:r w:rsidRPr="001B6E4D">
        <w:t>一</w:t>
      </w:r>
      <w:proofErr w:type="gramEnd"/>
      <w:r w:rsidRPr="001B6E4D">
        <w:t>肢以上機能或生殖機能外，還包含「其他於身體或健康，有重大</w:t>
      </w:r>
      <w:proofErr w:type="gramStart"/>
      <w:r w:rsidRPr="001B6E4D">
        <w:t>不治或難治</w:t>
      </w:r>
      <w:proofErr w:type="gramEnd"/>
      <w:r w:rsidRPr="001B6E4D">
        <w:t>之傷害」。然事實上，曾有被害人因性侵害而產生驚恐、羞愧、憂鬱等嚴重心理創傷，甚或出現解離情形或自傷傾向，顯示性侵害亦可能對被害人造成相當於重傷之損害，</w:t>
      </w:r>
      <w:proofErr w:type="gramStart"/>
      <w:r w:rsidRPr="001B6E4D">
        <w:t>爰</w:t>
      </w:r>
      <w:proofErr w:type="gramEnd"/>
      <w:r w:rsidRPr="001B6E4D">
        <w:t>性侵害</w:t>
      </w:r>
      <w:proofErr w:type="gramStart"/>
      <w:r w:rsidRPr="001B6E4D">
        <w:t>補償金實有</w:t>
      </w:r>
      <w:proofErr w:type="gramEnd"/>
      <w:r w:rsidRPr="001B6E4D">
        <w:t>提高之必要。</w:t>
      </w:r>
    </w:p>
    <w:p w14:paraId="69F27D5C" w14:textId="77777777" w:rsidR="00705B3D" w:rsidRPr="001B6E4D" w:rsidRDefault="00705B3D" w:rsidP="003D1018">
      <w:pPr>
        <w:pStyle w:val="1f7"/>
        <w:overflowPunct w:val="0"/>
      </w:pPr>
      <w:r w:rsidRPr="001B6E4D">
        <w:t>經查，他國亦有將物理損傷與心理損傷一視同仁，提供充足補償以支持受害者復原之路的先例。如紐西蘭〈2001年意外傷害補償法〉(Accident Compensation Act 2001)所定義「個人所受傷害」，即同時涵蓋「物理損傷」與「因為性暴力而生的心理損傷」，並且依不同損害程度，可請領的一次性補償金最高可達190萬元。又例如，澳洲皇家調查委員會針對機構中未成年性侵害案件提出國家補償計畫，被害人最高可獲得約320萬元的補償金，國家也提供心理諮商與支援服務，陪伴受害人走過程序。</w:t>
      </w:r>
    </w:p>
    <w:p w14:paraId="16C026CA" w14:textId="77777777" w:rsidR="00705B3D" w:rsidRPr="001B6E4D" w:rsidRDefault="00705B3D" w:rsidP="003D1018">
      <w:pPr>
        <w:pStyle w:val="1f7"/>
        <w:overflowPunct w:val="0"/>
      </w:pPr>
      <w:r w:rsidRPr="001B6E4D">
        <w:t>有鑑於此，我國可參酌他國經驗，</w:t>
      </w:r>
      <w:proofErr w:type="gramStart"/>
      <w:r w:rsidRPr="001B6E4D">
        <w:t>研</w:t>
      </w:r>
      <w:proofErr w:type="gramEnd"/>
      <w:r w:rsidRPr="001B6E4D">
        <w:t>議將性侵害補償金比照重傷害補償金，酌予提升賠償額度之可能，以充分支持性侵害被害人的復原之路。</w:t>
      </w:r>
      <w:proofErr w:type="gramStart"/>
      <w:r w:rsidRPr="001B6E4D">
        <w:t>爰</w:t>
      </w:r>
      <w:proofErr w:type="gramEnd"/>
      <w:r w:rsidRPr="001B6E4D">
        <w:t>建請法務部參酌他國案例，研究提高性侵害犯罪補償金額度之可能，請於2個月內</w:t>
      </w:r>
      <w:r w:rsidRPr="001B6E4D">
        <w:rPr>
          <w:rFonts w:hint="eastAsia"/>
        </w:rPr>
        <w:t>作</w:t>
      </w:r>
      <w:r w:rsidRPr="001B6E4D">
        <w:t>成書面報告，提交予立法院司法及法制委員會。【41】</w:t>
      </w:r>
    </w:p>
    <w:p w14:paraId="649CCA3A" w14:textId="77777777" w:rsidR="00705B3D" w:rsidRPr="001B6E4D" w:rsidRDefault="00705B3D" w:rsidP="003D1018">
      <w:pPr>
        <w:pStyle w:val="2fb"/>
        <w:overflowPunct w:val="0"/>
      </w:pPr>
      <w:r w:rsidRPr="001B6E4D">
        <w:t>提案人：</w:t>
      </w:r>
      <w:proofErr w:type="gramStart"/>
      <w:r w:rsidRPr="001B6E4D">
        <w:t>范</w:t>
      </w:r>
      <w:proofErr w:type="gramEnd"/>
      <w:r w:rsidRPr="001B6E4D">
        <w:t xml:space="preserve">　雲</w:t>
      </w:r>
    </w:p>
    <w:p w14:paraId="6E0711C6" w14:textId="77777777" w:rsidR="00705B3D" w:rsidRPr="001B6E4D" w:rsidRDefault="00705B3D" w:rsidP="003D1018">
      <w:pPr>
        <w:pStyle w:val="2fb"/>
        <w:overflowPunct w:val="0"/>
      </w:pPr>
      <w:r w:rsidRPr="001B6E4D">
        <w:t>連署人：莊瑞雄　張雅琳</w:t>
      </w:r>
    </w:p>
    <w:p w14:paraId="2041B8B1" w14:textId="77777777" w:rsidR="00705B3D" w:rsidRPr="001B6E4D" w:rsidRDefault="00705B3D" w:rsidP="003D1018">
      <w:pPr>
        <w:pStyle w:val="1-1"/>
        <w:numPr>
          <w:ilvl w:val="0"/>
          <w:numId w:val="33"/>
        </w:numPr>
        <w:ind w:left="924" w:hanging="567"/>
      </w:pPr>
      <w:r w:rsidRPr="001B6E4D">
        <w:t>近十年國內性侵害通報總數逾十萬件。現行《</w:t>
      </w:r>
      <w:r w:rsidRPr="001B6E4D">
        <w:rPr>
          <w:rFonts w:hint="eastAsia"/>
        </w:rPr>
        <w:t>中華民國</w:t>
      </w:r>
      <w:r w:rsidRPr="001B6E4D">
        <w:t>刑法》妨害性自主罪章自88年修法以來，以處罰行為人採取強暴威脅等違反意願的手段為主，惟實務判決中，法官仍聚焦於當事人是否有機會抵抗而未抵抗、抵抗程度等。此舉忽視性侵害案件中的權力不對等本質，且因聚焦被害人的抵抗義務，也易使其於訴訟過程遭受二度傷害。</w:t>
      </w:r>
    </w:p>
    <w:p w14:paraId="1457172D" w14:textId="77777777" w:rsidR="00705B3D" w:rsidRPr="001B6E4D" w:rsidRDefault="00705B3D" w:rsidP="003D1018">
      <w:pPr>
        <w:pStyle w:val="1f7"/>
        <w:overflowPunct w:val="0"/>
      </w:pPr>
      <w:r w:rsidRPr="001B6E4D">
        <w:t>司法實務上，110年最高法院「</w:t>
      </w:r>
      <w:proofErr w:type="gramStart"/>
      <w:r w:rsidRPr="001B6E4D">
        <w:t>110</w:t>
      </w:r>
      <w:proofErr w:type="gramEnd"/>
      <w:r w:rsidRPr="001B6E4D">
        <w:t>年度台上字第1781號刑事判決」已納入積極同意之「明示同意」定義，否則即屬違反意願之性侵害犯罪行為。至今國內已有194件判決援引此觀點，顯示採納積極同意定義入法之必要性與實務基礎。</w:t>
      </w:r>
    </w:p>
    <w:p w14:paraId="6C20C7A7" w14:textId="77777777" w:rsidR="00705B3D" w:rsidRPr="001B6E4D" w:rsidRDefault="00705B3D" w:rsidP="003D1018">
      <w:pPr>
        <w:pStyle w:val="1f7"/>
        <w:overflowPunct w:val="0"/>
      </w:pPr>
      <w:r w:rsidRPr="001B6E4D">
        <w:t>據114年</w:t>
      </w:r>
      <w:r w:rsidRPr="001B6E4D">
        <w:rPr>
          <w:rFonts w:hint="eastAsia"/>
        </w:rPr>
        <w:t>消除對婦女一切形式歧視公約（CEDAW）</w:t>
      </w:r>
      <w:r w:rsidRPr="001B6E4D">
        <w:t>第5次國家報告之獨立評估意見，性侵害案件具隱密性且舉證不易，110至113年高達95%</w:t>
      </w:r>
      <w:proofErr w:type="gramStart"/>
      <w:r w:rsidRPr="001B6E4D">
        <w:t>性侵案件</w:t>
      </w:r>
      <w:proofErr w:type="gramEnd"/>
      <w:r w:rsidRPr="001B6E4D">
        <w:t>因嫌疑不足不起訴，</w:t>
      </w:r>
      <w:proofErr w:type="gramStart"/>
      <w:r w:rsidRPr="001B6E4D">
        <w:t>凸</w:t>
      </w:r>
      <w:proofErr w:type="gramEnd"/>
      <w:r w:rsidRPr="001B6E4D">
        <w:t>顯現行要</w:t>
      </w:r>
      <w:r w:rsidRPr="001B6E4D">
        <w:lastRenderedPageBreak/>
        <w:t>件舉證之難度。據此，政府應檢討《</w:t>
      </w:r>
      <w:r w:rsidRPr="001B6E4D">
        <w:rPr>
          <w:rFonts w:hint="eastAsia"/>
        </w:rPr>
        <w:t>中華民國</w:t>
      </w:r>
      <w:r w:rsidRPr="001B6E4D">
        <w:t>刑法》妨害性自主罪成立要件，採納積極同意模式，促進司法人員於偵審過程尋求多元證據。</w:t>
      </w:r>
    </w:p>
    <w:p w14:paraId="4098353F" w14:textId="77777777" w:rsidR="00705B3D" w:rsidRPr="001B6E4D" w:rsidRDefault="00705B3D" w:rsidP="003D1018">
      <w:pPr>
        <w:pStyle w:val="1f7"/>
        <w:overflowPunct w:val="0"/>
      </w:pPr>
      <w:r w:rsidRPr="001B6E4D">
        <w:t>婦運團體自101年起即已倡議採納積極同意定義入法，也為使我國法治符合國際CEDAW精神，</w:t>
      </w:r>
      <w:proofErr w:type="gramStart"/>
      <w:r w:rsidRPr="001B6E4D">
        <w:t>爰</w:t>
      </w:r>
      <w:proofErr w:type="gramEnd"/>
      <w:r w:rsidRPr="001B6E4D">
        <w:t>建請法務部研究各國相關立法作法，評估</w:t>
      </w:r>
      <w:r w:rsidRPr="001B6E4D">
        <w:rPr>
          <w:rFonts w:hint="eastAsia"/>
        </w:rPr>
        <w:t>中華民國</w:t>
      </w:r>
      <w:r w:rsidRPr="001B6E4D">
        <w:t>刑法妨害性自主罪成立要件採納積極同意定義入法之可行性，以落實保障性自主權。請</w:t>
      </w:r>
      <w:proofErr w:type="gramStart"/>
      <w:r w:rsidRPr="001B6E4D">
        <w:t>研</w:t>
      </w:r>
      <w:proofErr w:type="gramEnd"/>
      <w:r w:rsidRPr="001B6E4D">
        <w:t>擬研究、評估及相關規劃之期程作成書面報告，於2個月內提交</w:t>
      </w:r>
      <w:r w:rsidRPr="001B6E4D">
        <w:rPr>
          <w:rFonts w:hint="eastAsia"/>
        </w:rPr>
        <w:t>立法</w:t>
      </w:r>
      <w:r w:rsidRPr="001B6E4D">
        <w:t>院司法及法制委員會。【42】</w:t>
      </w:r>
    </w:p>
    <w:p w14:paraId="2A3F9B2A" w14:textId="77777777" w:rsidR="00705B3D" w:rsidRPr="001B6E4D" w:rsidRDefault="00705B3D" w:rsidP="003D1018">
      <w:pPr>
        <w:pStyle w:val="2fb"/>
        <w:overflowPunct w:val="0"/>
      </w:pPr>
      <w:r w:rsidRPr="001B6E4D">
        <w:t>提案人：</w:t>
      </w:r>
      <w:proofErr w:type="gramStart"/>
      <w:r w:rsidRPr="001B6E4D">
        <w:t>范</w:t>
      </w:r>
      <w:proofErr w:type="gramEnd"/>
      <w:r w:rsidRPr="001B6E4D">
        <w:t xml:space="preserve">　雲</w:t>
      </w:r>
    </w:p>
    <w:p w14:paraId="65305599" w14:textId="77777777" w:rsidR="00705B3D" w:rsidRPr="001B6E4D" w:rsidRDefault="00705B3D" w:rsidP="003D1018">
      <w:pPr>
        <w:pStyle w:val="2fb"/>
        <w:overflowPunct w:val="0"/>
      </w:pPr>
      <w:r w:rsidRPr="001B6E4D">
        <w:t>連署人：莊瑞雄　張雅琳</w:t>
      </w:r>
    </w:p>
    <w:p w14:paraId="0A50C965"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年度法務部</w:t>
      </w:r>
      <w:r w:rsidRPr="001B6E4D">
        <w:rPr>
          <w:rFonts w:hint="eastAsia"/>
        </w:rPr>
        <w:t>預算案於第</w:t>
      </w:r>
      <w:r w:rsidRPr="001B6E4D">
        <w:t>5目</w:t>
      </w:r>
      <w:r w:rsidRPr="001B6E4D">
        <w:rPr>
          <w:rFonts w:hint="eastAsia"/>
        </w:rPr>
        <w:t>「司法科技業務」項下</w:t>
      </w:r>
      <w:r w:rsidRPr="001B6E4D">
        <w:t>「新世代智慧檢察AI科技計畫」編列929萬8千元，計畫內容涵蓋：以AI自</w:t>
      </w:r>
      <w:proofErr w:type="gramStart"/>
      <w:r w:rsidRPr="001B6E4D">
        <w:t>動產製案量</w:t>
      </w:r>
      <w:proofErr w:type="gramEnd"/>
      <w:r w:rsidRPr="001B6E4D">
        <w:t>龐大、重複性高之刑事案件結案書類；於大型詐欺集團案件中自動生成被害人紀錄附表；以及訓練AI分析偵查筆錄、建議偵查方向，並比對卷證資料以提供決策建議。</w:t>
      </w:r>
      <w:proofErr w:type="gramStart"/>
      <w:r w:rsidRPr="001B6E4D">
        <w:t>惟</w:t>
      </w:r>
      <w:proofErr w:type="gramEnd"/>
      <w:r w:rsidRPr="001B6E4D">
        <w:t>司法程序與一般行政業務性質</w:t>
      </w:r>
      <w:proofErr w:type="gramStart"/>
      <w:r w:rsidRPr="001B6E4D">
        <w:t>迥</w:t>
      </w:r>
      <w:proofErr w:type="gramEnd"/>
      <w:r w:rsidRPr="001B6E4D">
        <w:t>異，AI應用於檢察辦案一旦發生錯誤，所影響者不僅係行政效率，更可能左右偵查方向與起訴內容，進而波及被告之人身自由及被害人之權益。</w:t>
      </w:r>
    </w:p>
    <w:p w14:paraId="584AD000" w14:textId="77777777" w:rsidR="00705B3D" w:rsidRPr="001B6E4D" w:rsidRDefault="00705B3D" w:rsidP="003D1018">
      <w:pPr>
        <w:pStyle w:val="1f7"/>
        <w:overflowPunct w:val="0"/>
      </w:pPr>
      <w:r w:rsidRPr="001B6E4D">
        <w:t>又本計畫所涉及之資料範圍廣泛，涵蓋通訊紀錄、定位資料、金融資料、網路活動紀錄，</w:t>
      </w:r>
      <w:proofErr w:type="gramStart"/>
      <w:r w:rsidRPr="001B6E4D">
        <w:t>乃至兒</w:t>
      </w:r>
      <w:proofErr w:type="gramEnd"/>
      <w:r w:rsidRPr="001B6E4D">
        <w:t>少、性侵害、家暴、人口販運等案件之被害人個人資料，</w:t>
      </w:r>
      <w:proofErr w:type="gramStart"/>
      <w:r w:rsidRPr="001B6E4D">
        <w:t>均屬高度</w:t>
      </w:r>
      <w:proofErr w:type="gramEnd"/>
      <w:r w:rsidRPr="001B6E4D">
        <w:t>敏感。若資料治理機制付之闕如，科技偵查之</w:t>
      </w:r>
      <w:proofErr w:type="gramStart"/>
      <w:r w:rsidRPr="001B6E4D">
        <w:t>範疇恐從</w:t>
      </w:r>
      <w:proofErr w:type="gramEnd"/>
      <w:r w:rsidRPr="001B6E4D">
        <w:t>「精</w:t>
      </w:r>
      <w:proofErr w:type="gramStart"/>
      <w:r w:rsidRPr="001B6E4D">
        <w:t>準</w:t>
      </w:r>
      <w:proofErr w:type="gramEnd"/>
      <w:r w:rsidRPr="001B6E4D">
        <w:t>打擊犯罪」逐步擴張為「無節制蒐集人民資料」，對人民基本權利造成難以回復之侵害。</w:t>
      </w:r>
    </w:p>
    <w:p w14:paraId="491A8590" w14:textId="77777777" w:rsidR="00705B3D" w:rsidRPr="001B6E4D" w:rsidRDefault="00705B3D" w:rsidP="003D1018">
      <w:pPr>
        <w:pStyle w:val="1f7"/>
        <w:overflowPunct w:val="0"/>
      </w:pPr>
      <w:proofErr w:type="gramStart"/>
      <w:r w:rsidRPr="001B6E4D">
        <w:t>爰</w:t>
      </w:r>
      <w:proofErr w:type="gramEnd"/>
      <w:r w:rsidRPr="001B6E4D">
        <w:t>要求法務部於行政院核定人工智慧風險分類框架後，於3個月內提出針對新世代智慧檢察AI科技計畫之評估報告，送交立法院司法及法制委員會。【43】</w:t>
      </w:r>
    </w:p>
    <w:p w14:paraId="1982BEEE"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47E36D3A"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連署人：沈發惠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7AE22FD2" w14:textId="77777777" w:rsidR="00705B3D" w:rsidRPr="001B6E4D" w:rsidRDefault="00705B3D" w:rsidP="003D1018">
      <w:pPr>
        <w:pStyle w:val="1-1"/>
        <w:numPr>
          <w:ilvl w:val="0"/>
          <w:numId w:val="33"/>
        </w:numPr>
        <w:ind w:left="924" w:hanging="567"/>
      </w:pPr>
      <w:r w:rsidRPr="001B6E4D">
        <w:t>依據112年2月8日修正公布犯罪被害人權益保障法，其立法意旨揭示「補償從優、審議從速、程序從簡」，務求加速審議效率，避免被害人二度傷害。</w:t>
      </w:r>
      <w:proofErr w:type="gramStart"/>
      <w:r w:rsidRPr="001B6E4D">
        <w:t>惟參據</w:t>
      </w:r>
      <w:proofErr w:type="gramEnd"/>
      <w:r w:rsidRPr="001B6E4D">
        <w:t>113年「犯罪被害人權益保障法新法推動周年成果報告」，犯罪被害重傷補償金審議流程新制比較舊制審議日數平均增加28日</w:t>
      </w:r>
      <w:r w:rsidRPr="001B6E4D">
        <w:rPr>
          <w:rFonts w:hint="eastAsia"/>
        </w:rPr>
        <w:t>，</w:t>
      </w:r>
      <w:r w:rsidRPr="001B6E4D">
        <w:t>顯示與「審議從速」之立法目的有所</w:t>
      </w:r>
      <w:proofErr w:type="gramStart"/>
      <w:r w:rsidRPr="001B6E4D">
        <w:t>悖離</w:t>
      </w:r>
      <w:proofErr w:type="gramEnd"/>
      <w:r w:rsidRPr="001B6E4D">
        <w:t>。</w:t>
      </w:r>
    </w:p>
    <w:p w14:paraId="52517EC1" w14:textId="77777777" w:rsidR="00705B3D" w:rsidRPr="001B6E4D" w:rsidRDefault="00705B3D" w:rsidP="003D1018">
      <w:pPr>
        <w:pStyle w:val="1f7"/>
        <w:overflowPunct w:val="0"/>
      </w:pPr>
      <w:r w:rsidRPr="001B6E4D">
        <w:t>犯罪行為致重傷者，多伴隨永久性失能或勞動能力之喪失減損，於審議期間須持續支應醫療、復健、輔具購置及長期照</w:t>
      </w:r>
      <w:r w:rsidRPr="001B6E4D">
        <w:lastRenderedPageBreak/>
        <w:t>顧自付額等必要費用，又重傷被害人之家庭照顧者，</w:t>
      </w:r>
      <w:proofErr w:type="gramStart"/>
      <w:r w:rsidRPr="001B6E4D">
        <w:t>每因負起</w:t>
      </w:r>
      <w:proofErr w:type="gramEnd"/>
      <w:r w:rsidRPr="001B6E4D">
        <w:t>照護責任而被迫離職或減少工時，致家庭所得來源同時遭受衝擊。補償決定遲未作成，使家庭經濟支柱失衡情形持續惡化，與本法防止被害人陷於二度傷害之立法精神亦有相違。</w:t>
      </w:r>
    </w:p>
    <w:p w14:paraId="1B788882" w14:textId="77777777" w:rsidR="00705B3D" w:rsidRPr="001B6E4D" w:rsidRDefault="00705B3D" w:rsidP="003D1018">
      <w:pPr>
        <w:pStyle w:val="1f7"/>
        <w:overflowPunct w:val="0"/>
      </w:pPr>
      <w:proofErr w:type="gramStart"/>
      <w:r w:rsidRPr="001B6E4D">
        <w:t>爰</w:t>
      </w:r>
      <w:proofErr w:type="gramEnd"/>
      <w:r w:rsidRPr="001B6E4D">
        <w:t>要求法務部於3個月內就現行審議流程及平均審議天數延長之具體成因分析，</w:t>
      </w:r>
      <w:proofErr w:type="gramStart"/>
      <w:r w:rsidRPr="001B6E4D">
        <w:t>研</w:t>
      </w:r>
      <w:proofErr w:type="gramEnd"/>
      <w:r w:rsidRPr="001B6E4D">
        <w:t>議具體改善措施，提出書面檢討報告送交立法院司法及法制委員會。【44】</w:t>
      </w:r>
    </w:p>
    <w:p w14:paraId="7A19A742"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45328C7B"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連署人：沈發惠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3F442E1D" w14:textId="77777777" w:rsidR="00705B3D" w:rsidRPr="001B6E4D" w:rsidRDefault="00705B3D" w:rsidP="003D1018">
      <w:pPr>
        <w:pStyle w:val="1-1"/>
        <w:numPr>
          <w:ilvl w:val="0"/>
          <w:numId w:val="33"/>
        </w:numPr>
        <w:ind w:left="924" w:hanging="567"/>
      </w:pPr>
      <w:r w:rsidRPr="001B6E4D">
        <w:t>依</w:t>
      </w:r>
      <w:r w:rsidRPr="001B6E4D">
        <w:rPr>
          <w:rFonts w:hint="eastAsia"/>
        </w:rPr>
        <w:t>法務部</w:t>
      </w:r>
      <w:r w:rsidRPr="001B6E4D">
        <w:t>矯正署資料我國矯正機關超額收容情形，114年9月底全國矯正機關收容人數已達6萬2,532人，超出</w:t>
      </w:r>
      <w:proofErr w:type="gramStart"/>
      <w:r w:rsidRPr="001B6E4D">
        <w:t>核定容額</w:t>
      </w:r>
      <w:proofErr w:type="gramEnd"/>
      <w:r w:rsidRPr="001B6E4D">
        <w:t>1,980人，計有18所監獄、10所看守所及1所少年矯正機關出現超額收容；其中</w:t>
      </w:r>
      <w:r w:rsidRPr="001B6E4D">
        <w:rPr>
          <w:rFonts w:hint="eastAsia"/>
        </w:rPr>
        <w:t>法務部矯正署</w:t>
      </w:r>
      <w:proofErr w:type="gramStart"/>
      <w:r w:rsidRPr="001B6E4D">
        <w:t>臺</w:t>
      </w:r>
      <w:proofErr w:type="gramEnd"/>
      <w:r w:rsidRPr="001B6E4D">
        <w:t>北看守所超收比率高達54.7%、</w:t>
      </w:r>
      <w:r w:rsidRPr="001B6E4D">
        <w:rPr>
          <w:rFonts w:hint="eastAsia"/>
        </w:rPr>
        <w:t>法務部矯正署</w:t>
      </w:r>
      <w:r w:rsidRPr="001B6E4D">
        <w:t>桃園女子監獄51.1%、</w:t>
      </w:r>
      <w:r w:rsidRPr="001B6E4D">
        <w:rPr>
          <w:rFonts w:hint="eastAsia"/>
        </w:rPr>
        <w:t>法務部矯正署</w:t>
      </w:r>
      <w:r w:rsidRPr="001B6E4D">
        <w:t>桃園監獄49.7%、</w:t>
      </w:r>
      <w:r w:rsidRPr="001B6E4D">
        <w:rPr>
          <w:rFonts w:hint="eastAsia"/>
        </w:rPr>
        <w:t>法務部矯正署</w:t>
      </w:r>
      <w:r w:rsidRPr="001B6E4D">
        <w:t>新竹看守所53.6%，</w:t>
      </w:r>
      <w:r w:rsidRPr="001B6E4D">
        <w:rPr>
          <w:rFonts w:hint="eastAsia"/>
        </w:rPr>
        <w:t>法務部矯正署</w:t>
      </w:r>
      <w:proofErr w:type="gramStart"/>
      <w:r w:rsidRPr="001B6E4D">
        <w:t>臺</w:t>
      </w:r>
      <w:proofErr w:type="gramEnd"/>
      <w:r w:rsidRPr="001B6E4D">
        <w:t>北女子看守所及</w:t>
      </w:r>
      <w:r w:rsidRPr="001B6E4D">
        <w:rPr>
          <w:rFonts w:hint="eastAsia"/>
        </w:rPr>
        <w:t>法務部矯正署</w:t>
      </w:r>
      <w:r w:rsidRPr="001B6E4D">
        <w:t>彰化看守所超收比率</w:t>
      </w:r>
      <w:proofErr w:type="gramStart"/>
      <w:r w:rsidRPr="001B6E4D">
        <w:t>亦均逾四成</w:t>
      </w:r>
      <w:proofErr w:type="gramEnd"/>
      <w:r w:rsidRPr="001B6E4D">
        <w:t>，已嚴重影響收容人權保障、處遇品質及戒護管理。</w:t>
      </w:r>
    </w:p>
    <w:p w14:paraId="35A9E9CC" w14:textId="77777777" w:rsidR="00705B3D" w:rsidRPr="001B6E4D" w:rsidRDefault="00705B3D" w:rsidP="003D1018">
      <w:pPr>
        <w:pStyle w:val="1f7"/>
        <w:overflowPunct w:val="0"/>
      </w:pPr>
      <w:r w:rsidRPr="001B6E4D">
        <w:t>又監察院於114年4月提出「如何保障矯正機關收容人之移監權益議題</w:t>
      </w:r>
      <w:proofErr w:type="gramStart"/>
      <w:r w:rsidRPr="001B6E4D">
        <w:t>研</w:t>
      </w:r>
      <w:proofErr w:type="gramEnd"/>
      <w:r w:rsidRPr="001B6E4D">
        <w:t>析報告」，已具體指明現行移監制度存有受刑人申請困難、規定過於僵化、法院供</w:t>
      </w:r>
      <w:proofErr w:type="gramStart"/>
      <w:r w:rsidRPr="001B6E4D">
        <w:t>採</w:t>
      </w:r>
      <w:proofErr w:type="gramEnd"/>
      <w:r w:rsidRPr="001B6E4D">
        <w:t>影響移監等問題。</w:t>
      </w:r>
    </w:p>
    <w:p w14:paraId="527B1A17" w14:textId="77777777" w:rsidR="00705B3D" w:rsidRPr="001B6E4D" w:rsidRDefault="00705B3D" w:rsidP="003D1018">
      <w:pPr>
        <w:pStyle w:val="1f7"/>
        <w:overflowPunct w:val="0"/>
      </w:pPr>
      <w:proofErr w:type="gramStart"/>
      <w:r w:rsidRPr="001B6E4D">
        <w:t>爰</w:t>
      </w:r>
      <w:proofErr w:type="gramEnd"/>
      <w:r w:rsidRPr="001B6E4D">
        <w:t>要求法務部於3個月內</w:t>
      </w:r>
      <w:proofErr w:type="gramStart"/>
      <w:r w:rsidRPr="001B6E4D">
        <w:t>研議短</w:t>
      </w:r>
      <w:proofErr w:type="gramEnd"/>
      <w:r w:rsidRPr="001B6E4D">
        <w:t>中期紓解措施，</w:t>
      </w:r>
      <w:proofErr w:type="gramStart"/>
      <w:r w:rsidRPr="001B6E4D">
        <w:t>含移監</w:t>
      </w:r>
      <w:proofErr w:type="gramEnd"/>
      <w:r w:rsidRPr="001B6E4D">
        <w:t>調配、替代處遇、假釋與易服社會勞動審核流程精進等，並提出書面檢討報告送交立法院司法及法制</w:t>
      </w:r>
      <w:r w:rsidRPr="001B6E4D">
        <w:rPr>
          <w:rFonts w:hint="eastAsia"/>
        </w:rPr>
        <w:t>委員</w:t>
      </w:r>
      <w:r w:rsidRPr="001B6E4D">
        <w:t>會。【45】</w:t>
      </w:r>
    </w:p>
    <w:p w14:paraId="57A4BC2C" w14:textId="77777777" w:rsidR="00705B3D" w:rsidRPr="001B6E4D" w:rsidRDefault="00705B3D" w:rsidP="003D1018">
      <w:pPr>
        <w:pStyle w:val="2fb"/>
        <w:overflowPunct w:val="0"/>
      </w:pPr>
      <w:r w:rsidRPr="001B6E4D">
        <w:t>提案人：張雅琳</w:t>
      </w:r>
    </w:p>
    <w:p w14:paraId="65D3B953" w14:textId="77777777" w:rsidR="00705B3D" w:rsidRPr="001B6E4D" w:rsidRDefault="00705B3D" w:rsidP="003D1018">
      <w:pPr>
        <w:pStyle w:val="2fb"/>
        <w:overflowPunct w:val="0"/>
      </w:pPr>
      <w:r w:rsidRPr="001B6E4D">
        <w:t xml:space="preserve">連署人：沈發惠　</w:t>
      </w:r>
      <w:proofErr w:type="gramStart"/>
      <w:r w:rsidRPr="001B6E4D">
        <w:t>范</w:t>
      </w:r>
      <w:proofErr w:type="gramEnd"/>
      <w:r w:rsidRPr="001B6E4D">
        <w:t xml:space="preserve">　雲</w:t>
      </w:r>
    </w:p>
    <w:p w14:paraId="0679A116" w14:textId="77777777" w:rsidR="00705B3D" w:rsidRPr="001B6E4D" w:rsidRDefault="00705B3D" w:rsidP="003D1018">
      <w:pPr>
        <w:pStyle w:val="1-1"/>
        <w:numPr>
          <w:ilvl w:val="0"/>
          <w:numId w:val="33"/>
        </w:numPr>
        <w:ind w:left="924" w:hanging="567"/>
      </w:pPr>
      <w:r w:rsidRPr="001B6E4D">
        <w:t>法務部</w:t>
      </w:r>
      <w:proofErr w:type="gramStart"/>
      <w:r w:rsidRPr="001B6E4D">
        <w:t>115</w:t>
      </w:r>
      <w:proofErr w:type="gramEnd"/>
      <w:r w:rsidRPr="001B6E4D">
        <w:t>年度施政計畫列明，將推動轉型正義，辦理平復國家不法案件與</w:t>
      </w:r>
      <w:proofErr w:type="gramStart"/>
      <w:r w:rsidRPr="001B6E4D">
        <w:t>研</w:t>
      </w:r>
      <w:proofErr w:type="gramEnd"/>
      <w:r w:rsidRPr="001B6E4D">
        <w:t>定識別及處置加害者法案等事項。</w:t>
      </w:r>
      <w:proofErr w:type="gramStart"/>
      <w:r w:rsidRPr="001B6E4D">
        <w:t>惟查</w:t>
      </w:r>
      <w:proofErr w:type="gramEnd"/>
      <w:r w:rsidRPr="001B6E4D">
        <w:t>，法務部為完備轉型正義「識別及處置加害者」事項相關法制，自111年10月起至114年6月已召開14次諮詢及</w:t>
      </w:r>
      <w:proofErr w:type="gramStart"/>
      <w:r w:rsidRPr="001B6E4D">
        <w:t>研</w:t>
      </w:r>
      <w:proofErr w:type="gramEnd"/>
      <w:r w:rsidRPr="001B6E4D">
        <w:t>商會議，並配合行政院審查</w:t>
      </w:r>
      <w:r w:rsidRPr="001B6E4D">
        <w:rPr>
          <w:rFonts w:hint="eastAsia"/>
        </w:rPr>
        <w:t>「</w:t>
      </w:r>
      <w:r w:rsidRPr="001B6E4D">
        <w:t>促進轉型正義條例修正草案</w:t>
      </w:r>
      <w:r w:rsidRPr="001B6E4D">
        <w:rPr>
          <w:rFonts w:hint="eastAsia"/>
        </w:rPr>
        <w:t>」</w:t>
      </w:r>
      <w:r w:rsidRPr="001B6E4D">
        <w:t>進度，參與22次審查及</w:t>
      </w:r>
      <w:proofErr w:type="gramStart"/>
      <w:r w:rsidRPr="001B6E4D">
        <w:t>研</w:t>
      </w:r>
      <w:proofErr w:type="gramEnd"/>
      <w:r w:rsidRPr="001B6E4D">
        <w:t>修相關會議；然目前仍係</w:t>
      </w:r>
      <w:proofErr w:type="gramStart"/>
      <w:r w:rsidRPr="001B6E4D">
        <w:t>研</w:t>
      </w:r>
      <w:proofErr w:type="gramEnd"/>
      <w:r w:rsidRPr="001B6E4D">
        <w:t>提各項可能對案，以供行政院政策決定，尚未見明確法制方向及完成期程。</w:t>
      </w:r>
    </w:p>
    <w:p w14:paraId="03258D1B" w14:textId="77777777" w:rsidR="00705B3D" w:rsidRPr="001B6E4D" w:rsidRDefault="00705B3D" w:rsidP="003D1018">
      <w:pPr>
        <w:pStyle w:val="1f7"/>
        <w:overflowPunct w:val="0"/>
      </w:pPr>
      <w:r w:rsidRPr="001B6E4D">
        <w:t>轉型正義之落實，不僅在於平復威權統治時期司法不法及行政不法案件，亦應就國家不法形成過程中相關加害者之識別、責任</w:t>
      </w:r>
      <w:proofErr w:type="gramStart"/>
      <w:r w:rsidRPr="001B6E4D">
        <w:t>釐</w:t>
      </w:r>
      <w:proofErr w:type="gramEnd"/>
      <w:r w:rsidRPr="001B6E4D">
        <w:t>清、處置方式及程序保障建立明確制度。若相關法制作業長期停留於</w:t>
      </w:r>
      <w:proofErr w:type="gramStart"/>
      <w:r w:rsidRPr="001B6E4D">
        <w:t>研</w:t>
      </w:r>
      <w:proofErr w:type="gramEnd"/>
      <w:r w:rsidRPr="001B6E4D">
        <w:t>議階段，將不利於社會理解國家推動轉型正義之具體方向，亦難以回應受難者、家屬及社會對歷史真相與制度責任之期待。</w:t>
      </w:r>
    </w:p>
    <w:p w14:paraId="52A2FC8E" w14:textId="77777777" w:rsidR="00705B3D" w:rsidRPr="001B6E4D" w:rsidRDefault="00705B3D" w:rsidP="003D1018">
      <w:pPr>
        <w:pStyle w:val="1f7"/>
        <w:overflowPunct w:val="0"/>
      </w:pPr>
      <w:proofErr w:type="gramStart"/>
      <w:r w:rsidRPr="001B6E4D">
        <w:lastRenderedPageBreak/>
        <w:t>爰</w:t>
      </w:r>
      <w:proofErr w:type="gramEnd"/>
      <w:r w:rsidRPr="001B6E4D">
        <w:t>要求法務部於3個月內，就「識別及處置加害者」相關法制作業進度，向立法院司法及法制委員會提出書面報告。【46】</w:t>
      </w:r>
    </w:p>
    <w:p w14:paraId="51BFB2D2"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423C0DF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連署人：沈發惠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14F070E2" w14:textId="77777777" w:rsidR="00705B3D" w:rsidRPr="001B6E4D" w:rsidRDefault="00705B3D" w:rsidP="003D1018">
      <w:pPr>
        <w:pStyle w:val="1-1"/>
        <w:numPr>
          <w:ilvl w:val="0"/>
          <w:numId w:val="33"/>
        </w:numPr>
        <w:ind w:left="924" w:hanging="567"/>
      </w:pPr>
      <w:r w:rsidRPr="001B6E4D">
        <w:t>依據立法院預算中心</w:t>
      </w:r>
      <w:proofErr w:type="gramStart"/>
      <w:r w:rsidRPr="001B6E4D">
        <w:t>115</w:t>
      </w:r>
      <w:proofErr w:type="gramEnd"/>
      <w:r w:rsidRPr="001B6E4D">
        <w:t>年</w:t>
      </w:r>
      <w:r w:rsidRPr="001B6E4D">
        <w:rPr>
          <w:rFonts w:hint="eastAsia"/>
        </w:rPr>
        <w:t>度</w:t>
      </w:r>
      <w:r w:rsidRPr="001B6E4D">
        <w:t>預算評估報告，近年各地</w:t>
      </w:r>
      <w:r w:rsidRPr="001B6E4D">
        <w:rPr>
          <w:rFonts w:hint="eastAsia"/>
        </w:rPr>
        <w:t>方</w:t>
      </w:r>
      <w:r w:rsidRPr="001B6E4D">
        <w:t>檢</w:t>
      </w:r>
      <w:r w:rsidRPr="001B6E4D">
        <w:rPr>
          <w:rFonts w:hint="eastAsia"/>
        </w:rPr>
        <w:t>察</w:t>
      </w:r>
      <w:r w:rsidRPr="001B6E4D">
        <w:t>署易服社會勞動案件新收及終結件</w:t>
      </w:r>
      <w:proofErr w:type="gramStart"/>
      <w:r w:rsidRPr="001B6E4D">
        <w:t>數均有增加</w:t>
      </w:r>
      <w:proofErr w:type="gramEnd"/>
      <w:r w:rsidRPr="001B6E4D">
        <w:t>，惟履行完成率卻呈下降趨勢。依評估報告所載，110至113年度易服社會勞動案件履行完成率，由75.22%下降至60.8%，顯示制度執行成效已有檢討必要。</w:t>
      </w:r>
    </w:p>
    <w:p w14:paraId="672751C2" w14:textId="77777777" w:rsidR="00705B3D" w:rsidRPr="001B6E4D" w:rsidRDefault="00705B3D" w:rsidP="003D1018">
      <w:pPr>
        <w:pStyle w:val="1f7"/>
        <w:overflowPunct w:val="0"/>
      </w:pPr>
      <w:r w:rsidRPr="001B6E4D">
        <w:t>易服社會勞動制度之目的，在於使符合條件之受刑人得以社會勞動替代短期自由刑或罰金執行，一方面避免短期入監造成家庭、工作及社會連結中斷，另一方面也透過公益服務回饋社會。若履行完成率持續偏低，不僅可能增加後續撤銷、改</w:t>
      </w:r>
      <w:proofErr w:type="gramStart"/>
      <w:r w:rsidRPr="001B6E4D">
        <w:t>執行原刑或</w:t>
      </w:r>
      <w:proofErr w:type="gramEnd"/>
      <w:r w:rsidRPr="001B6E4D">
        <w:t>罰金之行政成本，也可能使制度原本兼顧刑罰執行、社會復歸及減少監所負擔之功能無法充分發揮。</w:t>
      </w:r>
    </w:p>
    <w:p w14:paraId="6A788080" w14:textId="77777777" w:rsidR="00705B3D" w:rsidRPr="001B6E4D" w:rsidRDefault="00705B3D" w:rsidP="003D1018">
      <w:pPr>
        <w:pStyle w:val="1f7"/>
        <w:overflowPunct w:val="0"/>
      </w:pPr>
      <w:proofErr w:type="gramStart"/>
      <w:r w:rsidRPr="001B6E4D">
        <w:t>爰</w:t>
      </w:r>
      <w:proofErr w:type="gramEnd"/>
      <w:r w:rsidRPr="001B6E4D">
        <w:t>要求法務部於3個月內，就上述情形提出檢討報告，並將書面報告送交立法院司法及法制委員會。【47】</w:t>
      </w:r>
    </w:p>
    <w:p w14:paraId="2BE6A67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4A8CCF4A" w14:textId="77777777" w:rsidR="00705B3D" w:rsidRPr="001B6E4D" w:rsidRDefault="00705B3D" w:rsidP="003D1018">
      <w:pPr>
        <w:pStyle w:val="2fb"/>
        <w:overflowPunct w:val="0"/>
      </w:pPr>
      <w:r w:rsidRPr="001B6E4D">
        <w:t xml:space="preserve">連署人：沈發惠　</w:t>
      </w:r>
      <w:proofErr w:type="gramStart"/>
      <w:r w:rsidRPr="001B6E4D">
        <w:t>范</w:t>
      </w:r>
      <w:proofErr w:type="gramEnd"/>
      <w:r w:rsidRPr="001B6E4D">
        <w:t xml:space="preserve">　雲</w:t>
      </w:r>
    </w:p>
    <w:p w14:paraId="16F91C3B"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年度臺灣新北地方檢察署預算案於第2目「檢察業務」項下「辦理刑事案件偵查及執行等業務」中「業務費」編列預算9,435萬6千元。</w:t>
      </w:r>
      <w:proofErr w:type="gramStart"/>
      <w:r w:rsidRPr="001B6E4D">
        <w:t>惟</w:t>
      </w:r>
      <w:proofErr w:type="gramEnd"/>
      <w:r w:rsidRPr="001B6E4D">
        <w:t>原住民族於刑事偵查程序中依法享有使用其語言之權利，然實際運作情形未</w:t>
      </w:r>
      <w:proofErr w:type="gramStart"/>
      <w:r w:rsidRPr="001B6E4D">
        <w:t>臻</w:t>
      </w:r>
      <w:proofErr w:type="gramEnd"/>
      <w:r w:rsidRPr="001B6E4D">
        <w:t>完善。新北地檢署轄區涵蓋之烏來區為原住民族地區，於偵查程序中如何確保語言權益，尤為關鍵。監察委員王美玉113年調查報告指出，我國原住民族共16族語、42種方言，惟檢察署僅涵蓋</w:t>
      </w:r>
      <w:proofErr w:type="gramStart"/>
      <w:r w:rsidRPr="001B6E4D">
        <w:t>7種語別</w:t>
      </w:r>
      <w:proofErr w:type="gramEnd"/>
      <w:r w:rsidRPr="001B6E4D">
        <w:t>，保障顯然不足，恐使特定族群在刑事偵查程序中處於弱勢。若因缺乏適當通譯，致使當事人無法充分表達其文化</w:t>
      </w:r>
      <w:proofErr w:type="gramStart"/>
      <w:r w:rsidRPr="001B6E4D">
        <w:t>背景與語境</w:t>
      </w:r>
      <w:proofErr w:type="gramEnd"/>
      <w:r w:rsidRPr="001B6E4D">
        <w:t>內涵，將可能造成偵查事實認定偏差，影響檢察官對案件本質之判斷，進而動搖司法公信與程序正義。原民通譯不僅是語言翻譯，更是文化脈絡的詮釋者，應確保其人力建置與專業訓練充足。</w:t>
      </w:r>
    </w:p>
    <w:p w14:paraId="6DBCCECF" w14:textId="77777777" w:rsidR="00705B3D" w:rsidRPr="001B6E4D" w:rsidRDefault="00705B3D" w:rsidP="003D1018">
      <w:pPr>
        <w:pStyle w:val="1f7"/>
        <w:overflowPunct w:val="0"/>
      </w:pPr>
      <w:r w:rsidRPr="001B6E4D">
        <w:rPr>
          <w:rFonts w:hint="eastAsia"/>
        </w:rPr>
        <w:t>請法務部</w:t>
      </w:r>
      <w:r w:rsidRPr="001B6E4D">
        <w:t>於2個月內向立法院司法及法制委員會提出</w:t>
      </w:r>
      <w:r w:rsidRPr="001B6E4D">
        <w:rPr>
          <w:rFonts w:hint="eastAsia"/>
        </w:rPr>
        <w:t>書面</w:t>
      </w:r>
      <w:r w:rsidRPr="001B6E4D">
        <w:t>報告。【79】</w:t>
      </w:r>
    </w:p>
    <w:p w14:paraId="7F56D10F" w14:textId="77777777" w:rsidR="00705B3D" w:rsidRPr="001B6E4D" w:rsidRDefault="00705B3D" w:rsidP="003D1018">
      <w:pPr>
        <w:pStyle w:val="2fb"/>
        <w:overflowPunct w:val="0"/>
      </w:pPr>
      <w:r w:rsidRPr="001B6E4D">
        <w:t>提案人：林倩綺</w:t>
      </w:r>
    </w:p>
    <w:p w14:paraId="409F2203"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林沛祥</w:t>
      </w:r>
    </w:p>
    <w:p w14:paraId="33E8A6C8"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年度臺灣桃園地方檢察署預算案於第2目「檢察業務」</w:t>
      </w:r>
      <w:r w:rsidRPr="001B6E4D">
        <w:lastRenderedPageBreak/>
        <w:t>項下「辦理刑事案件偵查及執行等業務」中「業務費」編列預算8,387萬8千元。</w:t>
      </w:r>
      <w:proofErr w:type="gramStart"/>
      <w:r w:rsidRPr="001B6E4D">
        <w:t>惟</w:t>
      </w:r>
      <w:proofErr w:type="gramEnd"/>
      <w:r w:rsidRPr="001B6E4D">
        <w:t>原住民族於刑事偵查程序中依法享有使用其語言之權利，然實際運作情形未</w:t>
      </w:r>
      <w:proofErr w:type="gramStart"/>
      <w:r w:rsidRPr="001B6E4D">
        <w:t>臻</w:t>
      </w:r>
      <w:proofErr w:type="gramEnd"/>
      <w:r w:rsidRPr="001B6E4D">
        <w:t>完善。桃園地檢署轄區涵蓋之復興區為原住民族地區，於偵查程序中如何確保語言權益，尤為關鍵。監察委員王美玉113年調查報告指出，我國原住民族共16族語、42種方言，惟檢察署僅涵蓋</w:t>
      </w:r>
      <w:proofErr w:type="gramStart"/>
      <w:r w:rsidRPr="001B6E4D">
        <w:t>7種語別</w:t>
      </w:r>
      <w:proofErr w:type="gramEnd"/>
      <w:r w:rsidRPr="001B6E4D">
        <w:t>，保障顯然不足，恐使特定族群在刑事偵查程序中處於弱勢。若因缺乏適當通譯，致使當事人無法充分表達其文化</w:t>
      </w:r>
      <w:proofErr w:type="gramStart"/>
      <w:r w:rsidRPr="001B6E4D">
        <w:t>背景與語境</w:t>
      </w:r>
      <w:proofErr w:type="gramEnd"/>
      <w:r w:rsidRPr="001B6E4D">
        <w:t>內涵，將可能造成偵查事實認定偏差，影響檢察官對案件本質之判斷，進而動搖司法公信與程序正義。原民通譯不僅是語言翻譯，更是文化脈絡的詮釋者，應確保其人力建置與專業訓練充足。</w:t>
      </w:r>
    </w:p>
    <w:p w14:paraId="7F530A63" w14:textId="77777777" w:rsidR="00705B3D" w:rsidRPr="001B6E4D" w:rsidRDefault="00705B3D" w:rsidP="003D1018">
      <w:pPr>
        <w:pStyle w:val="1f7"/>
        <w:overflowPunct w:val="0"/>
      </w:pPr>
      <w:r w:rsidRPr="001B6E4D">
        <w:rPr>
          <w:rFonts w:hint="eastAsia"/>
        </w:rPr>
        <w:t>請法務部</w:t>
      </w:r>
      <w:r w:rsidRPr="001B6E4D">
        <w:t>於2個月內向立法院司法及法制委員會提出</w:t>
      </w:r>
      <w:r w:rsidRPr="001B6E4D">
        <w:rPr>
          <w:rFonts w:hint="eastAsia"/>
        </w:rPr>
        <w:t>書面</w:t>
      </w:r>
      <w:r w:rsidRPr="001B6E4D">
        <w:t>報告。【80】</w:t>
      </w:r>
    </w:p>
    <w:p w14:paraId="2FC27FF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53B3CDEB"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連署人：許宇</w:t>
      </w:r>
      <w:proofErr w:type="gramStart"/>
      <w:r w:rsidRPr="001B6E4D">
        <w:rPr>
          <w:rFonts w:ascii="標楷體" w:eastAsia="標楷體" w:hAnsi="標楷體"/>
          <w:color w:val="000000"/>
          <w:sz w:val="28"/>
          <w:szCs w:val="28"/>
        </w:rPr>
        <w:t>甄</w:t>
      </w:r>
      <w:proofErr w:type="gramEnd"/>
      <w:r w:rsidRPr="001B6E4D">
        <w:rPr>
          <w:rFonts w:ascii="標楷體" w:eastAsia="標楷體" w:hAnsi="標楷體"/>
          <w:color w:val="000000"/>
          <w:sz w:val="28"/>
          <w:szCs w:val="28"/>
        </w:rPr>
        <w:t xml:space="preserve">　林沛祥</w:t>
      </w:r>
    </w:p>
    <w:p w14:paraId="33EF8A23"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年度臺灣新竹地方檢察署預算案於第2目「檢察業務」項下「辦理刑事案件偵查及執行等業務」中「業務費」編列預算3,666萬4千元。</w:t>
      </w:r>
      <w:proofErr w:type="gramStart"/>
      <w:r w:rsidRPr="001B6E4D">
        <w:t>惟</w:t>
      </w:r>
      <w:proofErr w:type="gramEnd"/>
      <w:r w:rsidRPr="001B6E4D">
        <w:t>原住民族於刑事偵查程序中依法享有使用其語言之權利，然實際運作情形未</w:t>
      </w:r>
      <w:proofErr w:type="gramStart"/>
      <w:r w:rsidRPr="001B6E4D">
        <w:t>臻</w:t>
      </w:r>
      <w:proofErr w:type="gramEnd"/>
      <w:r w:rsidRPr="001B6E4D">
        <w:t>完善。新竹地檢署轄區涵蓋關西鎮、尖石鄉、五峰鄉等原住民族地區，於偵查程序中如何確保語言權益，尤為關鍵。監察委員王美玉113年調查報告指出，我國原住民族共16族語、42種方言，惟檢察署僅涵蓋</w:t>
      </w:r>
      <w:proofErr w:type="gramStart"/>
      <w:r w:rsidRPr="001B6E4D">
        <w:t>7種語別</w:t>
      </w:r>
      <w:proofErr w:type="gramEnd"/>
      <w:r w:rsidRPr="001B6E4D">
        <w:t>，保障顯然不足，恐使特定族群在刑事偵查程序中處於弱勢。若因缺乏適當通譯，致使當事人無法充分表達其文化</w:t>
      </w:r>
      <w:proofErr w:type="gramStart"/>
      <w:r w:rsidRPr="001B6E4D">
        <w:t>背景與語境</w:t>
      </w:r>
      <w:proofErr w:type="gramEnd"/>
      <w:r w:rsidRPr="001B6E4D">
        <w:t>內涵，將可能造成偵查事實認定偏差，影響檢察官對案件本質之判斷，進而動搖司法公信與程序正義。原民通譯不僅是語言翻譯，更是文化脈絡的詮釋者，應確保其人力建置與專業訓練充足。</w:t>
      </w:r>
    </w:p>
    <w:p w14:paraId="07932B6C" w14:textId="77777777" w:rsidR="00705B3D" w:rsidRPr="001B6E4D" w:rsidRDefault="00705B3D" w:rsidP="003D1018">
      <w:pPr>
        <w:pStyle w:val="1f7"/>
        <w:overflowPunct w:val="0"/>
      </w:pPr>
      <w:r w:rsidRPr="001B6E4D">
        <w:rPr>
          <w:rFonts w:hint="eastAsia"/>
        </w:rPr>
        <w:t>請法務部</w:t>
      </w:r>
      <w:r w:rsidRPr="001B6E4D">
        <w:t>於2個月內向立法院司法及法制委員會提出</w:t>
      </w:r>
      <w:r w:rsidRPr="001B6E4D">
        <w:rPr>
          <w:rFonts w:hint="eastAsia"/>
        </w:rPr>
        <w:t>書面</w:t>
      </w:r>
      <w:r w:rsidRPr="001B6E4D">
        <w:t>報</w:t>
      </w:r>
      <w:r w:rsidRPr="001B6E4D">
        <w:rPr>
          <w:rFonts w:hint="eastAsia"/>
        </w:rPr>
        <w:t>告</w:t>
      </w:r>
      <w:r w:rsidRPr="001B6E4D">
        <w:t>。【81】</w:t>
      </w:r>
    </w:p>
    <w:p w14:paraId="33F58562" w14:textId="77777777" w:rsidR="00705B3D" w:rsidRPr="001B6E4D" w:rsidRDefault="00705B3D" w:rsidP="003D1018">
      <w:pPr>
        <w:pStyle w:val="2fb"/>
        <w:overflowPunct w:val="0"/>
      </w:pPr>
      <w:r w:rsidRPr="001B6E4D">
        <w:t>提案人：林倩綺</w:t>
      </w:r>
    </w:p>
    <w:p w14:paraId="6D0ACE73"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林沛祥</w:t>
      </w:r>
    </w:p>
    <w:p w14:paraId="529F076A"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年度臺灣苗栗地方檢察署預算案於第2目「檢察業務」項下「辦理刑事案件偵查及執行等業務」中「業務費」編列預算2,602萬4千元。</w:t>
      </w:r>
      <w:proofErr w:type="gramStart"/>
      <w:r w:rsidRPr="001B6E4D">
        <w:t>惟</w:t>
      </w:r>
      <w:proofErr w:type="gramEnd"/>
      <w:r w:rsidRPr="001B6E4D">
        <w:t>原住民族於刑事偵查程序中依法享有使用其語言之權利，然實際運作情形未</w:t>
      </w:r>
      <w:proofErr w:type="gramStart"/>
      <w:r w:rsidRPr="001B6E4D">
        <w:t>臻</w:t>
      </w:r>
      <w:proofErr w:type="gramEnd"/>
      <w:r w:rsidRPr="001B6E4D">
        <w:t>完善。苗栗地檢署轄區涵蓋南庄鄉、獅潭鄉、泰安鄉等原住民族地區，於偵查程序中</w:t>
      </w:r>
      <w:r w:rsidRPr="001B6E4D">
        <w:lastRenderedPageBreak/>
        <w:t>如何確保語言權益，尤為關鍵。監察委員王美玉113年調查報告指出，我國原住民族共16族語、42種方言，惟檢察署僅涵蓋</w:t>
      </w:r>
      <w:proofErr w:type="gramStart"/>
      <w:r w:rsidRPr="001B6E4D">
        <w:t>7種語別</w:t>
      </w:r>
      <w:proofErr w:type="gramEnd"/>
      <w:r w:rsidRPr="001B6E4D">
        <w:t>，保障顯然不足，恐使特定族群在刑事偵查程序中處於弱勢。若因缺乏適當通譯，致使當事人無法充分表達其文化</w:t>
      </w:r>
      <w:proofErr w:type="gramStart"/>
      <w:r w:rsidRPr="001B6E4D">
        <w:t>背景與語境</w:t>
      </w:r>
      <w:proofErr w:type="gramEnd"/>
      <w:r w:rsidRPr="001B6E4D">
        <w:t>內涵，將可能造成偵查事實認定偏差，影響檢察官對案件本質之判斷，進而動搖司法公信與程序正義。原民通譯不僅是語言翻譯，更是文化脈絡的詮釋者，應確保其人力建置與專業訓練充足。</w:t>
      </w:r>
    </w:p>
    <w:p w14:paraId="39EC4E3E" w14:textId="77777777" w:rsidR="00705B3D" w:rsidRPr="001B6E4D" w:rsidRDefault="00705B3D" w:rsidP="003D1018">
      <w:pPr>
        <w:pStyle w:val="1f7"/>
        <w:overflowPunct w:val="0"/>
      </w:pPr>
      <w:r w:rsidRPr="001B6E4D">
        <w:rPr>
          <w:rFonts w:hint="eastAsia"/>
        </w:rPr>
        <w:t>請法務部</w:t>
      </w:r>
      <w:r w:rsidRPr="001B6E4D">
        <w:t>於2個月內向立法院司法及法制委員會提出</w:t>
      </w:r>
      <w:r w:rsidRPr="001B6E4D">
        <w:rPr>
          <w:rFonts w:hint="eastAsia"/>
        </w:rPr>
        <w:t>書面</w:t>
      </w:r>
      <w:r w:rsidRPr="001B6E4D">
        <w:t>報告。【82】</w:t>
      </w:r>
    </w:p>
    <w:p w14:paraId="3982671B" w14:textId="77777777" w:rsidR="00705B3D" w:rsidRPr="001B6E4D" w:rsidRDefault="00705B3D" w:rsidP="003D1018">
      <w:pPr>
        <w:pStyle w:val="2fb"/>
        <w:overflowPunct w:val="0"/>
      </w:pPr>
      <w:r w:rsidRPr="001B6E4D">
        <w:t>提案人：林倩綺</w:t>
      </w:r>
    </w:p>
    <w:p w14:paraId="5ABA54B1"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林沛祥</w:t>
      </w:r>
    </w:p>
    <w:p w14:paraId="394FFAFE"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年度臺灣</w:t>
      </w:r>
      <w:proofErr w:type="gramStart"/>
      <w:r w:rsidRPr="001B6E4D">
        <w:t>臺</w:t>
      </w:r>
      <w:proofErr w:type="gramEnd"/>
      <w:r w:rsidRPr="001B6E4D">
        <w:t>中地方檢察署預算案於第2目「檢察業務」項下「辦理刑事案件偵查及執行等業務」中「業務費」編列預算9,848萬7千元。</w:t>
      </w:r>
      <w:proofErr w:type="gramStart"/>
      <w:r w:rsidRPr="001B6E4D">
        <w:t>惟</w:t>
      </w:r>
      <w:proofErr w:type="gramEnd"/>
      <w:r w:rsidRPr="001B6E4D">
        <w:t>原住民族於刑事偵查程序中依法享有使用其語言之權利，然實際運作情形未</w:t>
      </w:r>
      <w:proofErr w:type="gramStart"/>
      <w:r w:rsidRPr="001B6E4D">
        <w:t>臻</w:t>
      </w:r>
      <w:proofErr w:type="gramEnd"/>
      <w:r w:rsidRPr="001B6E4D">
        <w:t>完善。</w:t>
      </w:r>
      <w:proofErr w:type="gramStart"/>
      <w:r w:rsidRPr="001B6E4D">
        <w:t>臺</w:t>
      </w:r>
      <w:proofErr w:type="gramEnd"/>
      <w:r w:rsidRPr="001B6E4D">
        <w:t>中地檢署轄區涵蓋之和平區為原住民族地區，於偵查程序中如何確保語言權益，尤為關鍵。監察委員王美玉113年調查報告指出，我國原住民族共16族語、42種方言，惟檢察署僅涵蓋</w:t>
      </w:r>
      <w:proofErr w:type="gramStart"/>
      <w:r w:rsidRPr="001B6E4D">
        <w:t>7種語別</w:t>
      </w:r>
      <w:proofErr w:type="gramEnd"/>
      <w:r w:rsidRPr="001B6E4D">
        <w:t>，保障顯然不足，恐使特定族群在刑事偵查程序中處於弱勢。若因缺乏適當通譯，致使當事人無法充分表達其文化</w:t>
      </w:r>
      <w:proofErr w:type="gramStart"/>
      <w:r w:rsidRPr="001B6E4D">
        <w:t>背景與語境</w:t>
      </w:r>
      <w:proofErr w:type="gramEnd"/>
      <w:r w:rsidRPr="001B6E4D">
        <w:t>內涵，將可能造成偵查事實認定偏差，影響檢察官對案件本質之判斷，進而動搖司法公信與程序正義。原民通譯不僅是語言翻譯，更是文化脈絡的詮釋者，應確保其人力建置與專業訓練充足。</w:t>
      </w:r>
    </w:p>
    <w:p w14:paraId="4C5CC34E" w14:textId="77777777" w:rsidR="00705B3D" w:rsidRPr="001B6E4D" w:rsidRDefault="00705B3D" w:rsidP="003D1018">
      <w:pPr>
        <w:pStyle w:val="1f7"/>
        <w:overflowPunct w:val="0"/>
      </w:pPr>
      <w:r w:rsidRPr="001B6E4D">
        <w:rPr>
          <w:rFonts w:hint="eastAsia"/>
        </w:rPr>
        <w:t>請法務部</w:t>
      </w:r>
      <w:r w:rsidRPr="001B6E4D">
        <w:t>於2個月內向立法院司法及法制委員會提出</w:t>
      </w:r>
      <w:r w:rsidRPr="001B6E4D">
        <w:rPr>
          <w:rFonts w:hint="eastAsia"/>
        </w:rPr>
        <w:t>書面</w:t>
      </w:r>
      <w:r w:rsidRPr="001B6E4D">
        <w:t>報告。【83】</w:t>
      </w:r>
    </w:p>
    <w:p w14:paraId="1DBD69CB" w14:textId="77777777" w:rsidR="00705B3D" w:rsidRPr="001B6E4D" w:rsidRDefault="00705B3D" w:rsidP="003D1018">
      <w:pPr>
        <w:pStyle w:val="2fb"/>
        <w:overflowPunct w:val="0"/>
      </w:pPr>
      <w:r w:rsidRPr="001B6E4D">
        <w:t>提案人：林倩綺</w:t>
      </w:r>
    </w:p>
    <w:p w14:paraId="06905E27"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林沛祥</w:t>
      </w:r>
    </w:p>
    <w:p w14:paraId="6B78A3A1"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年度臺灣南投地方檢察署預算案於第2目「檢察業務」項下「辦理刑事案件偵查及執行等業務」中「業務費」編列預算2,008萬7千元。</w:t>
      </w:r>
      <w:proofErr w:type="gramStart"/>
      <w:r w:rsidRPr="001B6E4D">
        <w:t>惟</w:t>
      </w:r>
      <w:proofErr w:type="gramEnd"/>
      <w:r w:rsidRPr="001B6E4D">
        <w:t>原住民族於刑事偵查程序中依法享有使用其語言之權利，然實際運作情形未</w:t>
      </w:r>
      <w:proofErr w:type="gramStart"/>
      <w:r w:rsidRPr="001B6E4D">
        <w:t>臻</w:t>
      </w:r>
      <w:proofErr w:type="gramEnd"/>
      <w:r w:rsidRPr="001B6E4D">
        <w:t>完善。南投地檢署轄區涵蓋仁愛鄉、魚池鄉、信義鄉等原住民族地區，涉及原住民族案件比例相對較高，於偵查程序中如何確保語言權益，尤為關鍵。監察委員王美玉113年調查報告指出，我國原住民族共16族語、42種方言，惟檢察署僅涵蓋</w:t>
      </w:r>
      <w:proofErr w:type="gramStart"/>
      <w:r w:rsidRPr="001B6E4D">
        <w:t>7種語別</w:t>
      </w:r>
      <w:proofErr w:type="gramEnd"/>
      <w:r w:rsidRPr="001B6E4D">
        <w:t>，保障顯然不足，恐使特定族群在刑事偵查程序中處於弱勢。若因缺乏適當通</w:t>
      </w:r>
      <w:r w:rsidRPr="001B6E4D">
        <w:lastRenderedPageBreak/>
        <w:t>譯，致使當事人無法充分表達其文化</w:t>
      </w:r>
      <w:proofErr w:type="gramStart"/>
      <w:r w:rsidRPr="001B6E4D">
        <w:t>背景與語境</w:t>
      </w:r>
      <w:proofErr w:type="gramEnd"/>
      <w:r w:rsidRPr="001B6E4D">
        <w:t>內涵，將可能造成偵查事實認定偏差，影響檢察官對案件本質之判斷，進而動搖司法公信與程序正義。原民通譯不僅是語言翻譯，更是文化脈絡的詮釋者，應確保其人力建置與專業訓練充足。</w:t>
      </w:r>
    </w:p>
    <w:p w14:paraId="0E2A50CD" w14:textId="77777777" w:rsidR="00705B3D" w:rsidRPr="001B6E4D" w:rsidRDefault="00705B3D" w:rsidP="003D1018">
      <w:pPr>
        <w:pStyle w:val="1f7"/>
        <w:overflowPunct w:val="0"/>
      </w:pPr>
      <w:r w:rsidRPr="001B6E4D">
        <w:rPr>
          <w:rFonts w:hint="eastAsia"/>
        </w:rPr>
        <w:t>請法務部</w:t>
      </w:r>
      <w:r w:rsidRPr="001B6E4D">
        <w:t>於2個月內向立法院司法及法制委員會提出</w:t>
      </w:r>
      <w:r w:rsidRPr="001B6E4D">
        <w:rPr>
          <w:rFonts w:hint="eastAsia"/>
        </w:rPr>
        <w:t>書面</w:t>
      </w:r>
      <w:r w:rsidRPr="001B6E4D">
        <w:t>報告。【84】</w:t>
      </w:r>
    </w:p>
    <w:p w14:paraId="086A7EF3"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7894E5C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連署人：許宇</w:t>
      </w:r>
      <w:proofErr w:type="gramStart"/>
      <w:r w:rsidRPr="001B6E4D">
        <w:rPr>
          <w:rFonts w:ascii="標楷體" w:eastAsia="標楷體" w:hAnsi="標楷體"/>
          <w:color w:val="000000"/>
          <w:sz w:val="28"/>
          <w:szCs w:val="28"/>
        </w:rPr>
        <w:t>甄</w:t>
      </w:r>
      <w:proofErr w:type="gramEnd"/>
      <w:r w:rsidRPr="001B6E4D">
        <w:rPr>
          <w:rFonts w:ascii="標楷體" w:eastAsia="標楷體" w:hAnsi="標楷體"/>
          <w:color w:val="000000"/>
          <w:sz w:val="28"/>
          <w:szCs w:val="28"/>
        </w:rPr>
        <w:t xml:space="preserve">　林沛祥</w:t>
      </w:r>
    </w:p>
    <w:p w14:paraId="033FD14C"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年度臺灣嘉義地方檢察署預算案於第2目「檢察業務」項下「辦理刑事案件偵查及執行等業務」中「業務費」編列預算3,113萬1千元。</w:t>
      </w:r>
      <w:proofErr w:type="gramStart"/>
      <w:r w:rsidRPr="001B6E4D">
        <w:t>惟</w:t>
      </w:r>
      <w:proofErr w:type="gramEnd"/>
      <w:r w:rsidRPr="001B6E4D">
        <w:t>原住民族於刑事偵查程序中依法享有使用其語言之權利，然實際運作情形未</w:t>
      </w:r>
      <w:proofErr w:type="gramStart"/>
      <w:r w:rsidRPr="001B6E4D">
        <w:t>臻</w:t>
      </w:r>
      <w:proofErr w:type="gramEnd"/>
      <w:r w:rsidRPr="001B6E4D">
        <w:t>完善。嘉義地檢署轄區涵蓋阿里山鄉，涉及原住民族案件比例相對較高，於偵查程序中如何確保語言權益，尤為關鍵。監察委員王美玉113年調查報告指出，我國原住民族共16族語、42種方言，惟檢察署僅涵蓋</w:t>
      </w:r>
      <w:proofErr w:type="gramStart"/>
      <w:r w:rsidRPr="001B6E4D">
        <w:t>7種語別</w:t>
      </w:r>
      <w:proofErr w:type="gramEnd"/>
      <w:r w:rsidRPr="001B6E4D">
        <w:t>，保障顯然不足，恐使特定族群在刑事偵查程序中處於弱勢。若因缺乏適當通譯，致使當事人無法充分表達其文化</w:t>
      </w:r>
      <w:proofErr w:type="gramStart"/>
      <w:r w:rsidRPr="001B6E4D">
        <w:t>背景與語境</w:t>
      </w:r>
      <w:proofErr w:type="gramEnd"/>
      <w:r w:rsidRPr="001B6E4D">
        <w:t>內涵，將可能造成偵查事實認定偏差，影響檢察官對案件本質之判斷，進而動搖司法公信與程序正義。原民通譯不僅是語言翻譯，更是文化脈絡的詮釋者，應確保其人力建置與專業訓練充足。</w:t>
      </w:r>
    </w:p>
    <w:p w14:paraId="424D0788" w14:textId="77777777" w:rsidR="00705B3D" w:rsidRPr="001B6E4D" w:rsidRDefault="00705B3D" w:rsidP="003D1018">
      <w:pPr>
        <w:pStyle w:val="1f7"/>
        <w:overflowPunct w:val="0"/>
      </w:pPr>
      <w:r w:rsidRPr="001B6E4D">
        <w:rPr>
          <w:rFonts w:hint="eastAsia"/>
        </w:rPr>
        <w:t>請法務部</w:t>
      </w:r>
      <w:r w:rsidRPr="001B6E4D">
        <w:t>於2個月內向立法院司法及法制委員會提出</w:t>
      </w:r>
      <w:r w:rsidRPr="001B6E4D">
        <w:rPr>
          <w:rFonts w:hint="eastAsia"/>
        </w:rPr>
        <w:t>書面</w:t>
      </w:r>
      <w:r w:rsidRPr="001B6E4D">
        <w:t>報告。【85】</w:t>
      </w:r>
    </w:p>
    <w:p w14:paraId="2026CBB8"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0B621E2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連署人：許宇</w:t>
      </w:r>
      <w:proofErr w:type="gramStart"/>
      <w:r w:rsidRPr="001B6E4D">
        <w:rPr>
          <w:rFonts w:ascii="標楷體" w:eastAsia="標楷體" w:hAnsi="標楷體"/>
          <w:color w:val="000000"/>
          <w:sz w:val="28"/>
          <w:szCs w:val="28"/>
        </w:rPr>
        <w:t>甄</w:t>
      </w:r>
      <w:proofErr w:type="gramEnd"/>
      <w:r w:rsidRPr="001B6E4D">
        <w:rPr>
          <w:rFonts w:ascii="標楷體" w:eastAsia="標楷體" w:hAnsi="標楷體"/>
          <w:color w:val="000000"/>
          <w:sz w:val="28"/>
          <w:szCs w:val="28"/>
        </w:rPr>
        <w:t xml:space="preserve">　林沛祥</w:t>
      </w:r>
    </w:p>
    <w:p w14:paraId="4E2A61A7"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年度臺灣橋頭地方檢察署預算案於第2目「檢察業務」項下「辦理刑事案件偵查及執行等業務」中「業務費」編列預算4,334萬2千元。</w:t>
      </w:r>
      <w:proofErr w:type="gramStart"/>
      <w:r w:rsidRPr="001B6E4D">
        <w:t>惟</w:t>
      </w:r>
      <w:proofErr w:type="gramEnd"/>
      <w:r w:rsidRPr="001B6E4D">
        <w:t>原住民族於刑事偵查程序中依法享有使用其語言之權利，然實際運作情形未</w:t>
      </w:r>
      <w:proofErr w:type="gramStart"/>
      <w:r w:rsidRPr="001B6E4D">
        <w:t>臻</w:t>
      </w:r>
      <w:proofErr w:type="gramEnd"/>
      <w:r w:rsidRPr="001B6E4D">
        <w:t>完善。橋頭地檢署轄區涵蓋那瑪夏區、桃源區、茂林區等原住民族地區，涉及原住民族案件比例相對較高，於偵查程序中如何確保語言權益，尤為關鍵。監察委員王美玉113年調查報告指出，我國原住民族共16族語、42種方言，惟檢察署僅涵蓋</w:t>
      </w:r>
      <w:proofErr w:type="gramStart"/>
      <w:r w:rsidRPr="001B6E4D">
        <w:t>7種語別</w:t>
      </w:r>
      <w:proofErr w:type="gramEnd"/>
      <w:r w:rsidRPr="001B6E4D">
        <w:t>，保障顯然不足，恐使特定族群在刑事偵查程序中處於弱勢。若因缺乏適當通譯，致使當事人無法充分表達其文化</w:t>
      </w:r>
      <w:proofErr w:type="gramStart"/>
      <w:r w:rsidRPr="001B6E4D">
        <w:t>背景與語境</w:t>
      </w:r>
      <w:proofErr w:type="gramEnd"/>
      <w:r w:rsidRPr="001B6E4D">
        <w:t>內涵，將可能造成偵查事實認定偏差，影響檢察官對案件本質之判斷，進而動搖司法公信與程序正義。原民通譯不僅是語言翻譯，更是文化脈絡的詮釋者，應確保其人力建置與專業訓練充足。</w:t>
      </w:r>
    </w:p>
    <w:p w14:paraId="4AF12E11" w14:textId="77777777" w:rsidR="00705B3D" w:rsidRPr="001B6E4D" w:rsidRDefault="00705B3D" w:rsidP="003D1018">
      <w:pPr>
        <w:pStyle w:val="1f7"/>
        <w:overflowPunct w:val="0"/>
      </w:pPr>
      <w:r w:rsidRPr="001B6E4D">
        <w:rPr>
          <w:rFonts w:hint="eastAsia"/>
        </w:rPr>
        <w:lastRenderedPageBreak/>
        <w:t>請法務部</w:t>
      </w:r>
      <w:r w:rsidRPr="001B6E4D">
        <w:t>於2個月內向立法院司法及法制委員會提出</w:t>
      </w:r>
      <w:r w:rsidRPr="001B6E4D">
        <w:rPr>
          <w:rFonts w:hint="eastAsia"/>
        </w:rPr>
        <w:t>書面</w:t>
      </w:r>
      <w:r w:rsidRPr="001B6E4D">
        <w:t>報告。【86】</w:t>
      </w:r>
    </w:p>
    <w:p w14:paraId="21811952" w14:textId="77777777" w:rsidR="00705B3D" w:rsidRPr="001B6E4D" w:rsidRDefault="00705B3D" w:rsidP="003D1018">
      <w:pPr>
        <w:pStyle w:val="2fb"/>
        <w:overflowPunct w:val="0"/>
      </w:pPr>
      <w:r w:rsidRPr="001B6E4D">
        <w:t>提案人：林倩綺</w:t>
      </w:r>
    </w:p>
    <w:p w14:paraId="70B51BC7"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林沛祥</w:t>
      </w:r>
    </w:p>
    <w:p w14:paraId="6EF79BF3"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年度臺灣</w:t>
      </w:r>
      <w:proofErr w:type="gramStart"/>
      <w:r w:rsidRPr="001B6E4D">
        <w:t>臺</w:t>
      </w:r>
      <w:proofErr w:type="gramEnd"/>
      <w:r w:rsidRPr="001B6E4D">
        <w:t>東地方檢察署預算案於第2目「檢察業務」項下「辦理刑事案件偵查及執行等業務」中「業務費」編列預算1,430萬3千元。</w:t>
      </w:r>
      <w:proofErr w:type="gramStart"/>
      <w:r w:rsidRPr="001B6E4D">
        <w:t>惟</w:t>
      </w:r>
      <w:proofErr w:type="gramEnd"/>
      <w:r w:rsidRPr="001B6E4D">
        <w:t>原住民族於刑事偵查程序中依法享有使用其語言之權利，然實際運作情形未</w:t>
      </w:r>
      <w:proofErr w:type="gramStart"/>
      <w:r w:rsidRPr="001B6E4D">
        <w:t>臻</w:t>
      </w:r>
      <w:proofErr w:type="gramEnd"/>
      <w:r w:rsidRPr="001B6E4D">
        <w:t>完善。</w:t>
      </w:r>
      <w:proofErr w:type="gramStart"/>
      <w:r w:rsidRPr="001B6E4D">
        <w:t>臺</w:t>
      </w:r>
      <w:proofErr w:type="gramEnd"/>
      <w:r w:rsidRPr="001B6E4D">
        <w:t>東地檢署轄區涵蓋達仁鄉、大武鄉、金峰鄉、太麻里鄉、</w:t>
      </w:r>
      <w:proofErr w:type="gramStart"/>
      <w:r w:rsidRPr="001B6E4D">
        <w:t>臺</w:t>
      </w:r>
      <w:proofErr w:type="gramEnd"/>
      <w:r w:rsidRPr="001B6E4D">
        <w:t>東市、卑南鄉、蘭嶼鄉、延平鄉、鹿野鄉、關山鎮、東河鄉、池上鄉、成功鎮、海端鄉、長濱鄉等原住民族地區，涉及原住民族案件比例相對較高，於偵查程序中如何確保語言權益，尤為關鍵。監察委員王美玉113年調查報告指出，我國原住民族共16族語、42種方言，惟檢察署僅涵蓋</w:t>
      </w:r>
      <w:proofErr w:type="gramStart"/>
      <w:r w:rsidRPr="001B6E4D">
        <w:t>7種語別</w:t>
      </w:r>
      <w:proofErr w:type="gramEnd"/>
      <w:r w:rsidRPr="001B6E4D">
        <w:t>，保障顯然不足，恐使特定族群在刑事偵查程序中處於弱勢。若因缺乏適當通譯，致使當事人無法充分表達其文化</w:t>
      </w:r>
      <w:proofErr w:type="gramStart"/>
      <w:r w:rsidRPr="001B6E4D">
        <w:t>背景與語境</w:t>
      </w:r>
      <w:proofErr w:type="gramEnd"/>
      <w:r w:rsidRPr="001B6E4D">
        <w:t>內涵，將可能造成偵查事實認定偏差，影響檢察官對案件本質之判斷，進而動搖司法公信與程序正義。原民通譯不僅是語言翻譯，更是文化脈絡的詮釋者，應確保其人力建置與專業訓練充足。</w:t>
      </w:r>
    </w:p>
    <w:p w14:paraId="2C26A075" w14:textId="77777777" w:rsidR="00705B3D" w:rsidRPr="001B6E4D" w:rsidRDefault="00705B3D" w:rsidP="003D1018">
      <w:pPr>
        <w:pStyle w:val="1f7"/>
        <w:overflowPunct w:val="0"/>
      </w:pPr>
      <w:r w:rsidRPr="001B6E4D">
        <w:rPr>
          <w:rFonts w:hint="eastAsia"/>
        </w:rPr>
        <w:t>請法務部</w:t>
      </w:r>
      <w:r w:rsidRPr="001B6E4D">
        <w:t>於2個月內向立法院司法及法制委員會提出</w:t>
      </w:r>
      <w:r w:rsidRPr="001B6E4D">
        <w:rPr>
          <w:rFonts w:hint="eastAsia"/>
        </w:rPr>
        <w:t>書面</w:t>
      </w:r>
      <w:r w:rsidRPr="001B6E4D">
        <w:t>報告。【87】</w:t>
      </w:r>
    </w:p>
    <w:p w14:paraId="60E660A0" w14:textId="77777777" w:rsidR="00705B3D" w:rsidRPr="001B6E4D" w:rsidRDefault="00705B3D" w:rsidP="003D1018">
      <w:pPr>
        <w:pStyle w:val="2fb"/>
        <w:overflowPunct w:val="0"/>
      </w:pPr>
      <w:r w:rsidRPr="001B6E4D">
        <w:t>提案人：林倩綺</w:t>
      </w:r>
    </w:p>
    <w:p w14:paraId="0115B5D7"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林沛祥</w:t>
      </w:r>
    </w:p>
    <w:p w14:paraId="38EDB92B"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年度臺灣花蓮地方檢察署預算案於第2目「檢察業務」項下「辦理刑事案件偵查及執行等業務」中「業務費」編列預算1,922萬1千元。</w:t>
      </w:r>
      <w:proofErr w:type="gramStart"/>
      <w:r w:rsidRPr="001B6E4D">
        <w:t>惟</w:t>
      </w:r>
      <w:proofErr w:type="gramEnd"/>
      <w:r w:rsidRPr="001B6E4D">
        <w:t>原住民族於刑事偵查程序中依法享有使用其語言之權利，然實際運作情形未</w:t>
      </w:r>
      <w:proofErr w:type="gramStart"/>
      <w:r w:rsidRPr="001B6E4D">
        <w:t>臻</w:t>
      </w:r>
      <w:proofErr w:type="gramEnd"/>
      <w:r w:rsidRPr="001B6E4D">
        <w:t>完善。花蓮地檢署轄區涵蓋富里鄉、卓溪鄉、玉里鎮、瑞穗鄉、豐濱鄉、光復鄉、鳳林鎮、萬榮鄉、壽豐鄉、吉安鄉、花蓮市、新城鄉及秀林鄉等原住民族地區，涉及原住民族案件比例相對較高，於偵查程序中如何確保語言權益，尤為關鍵。監察委員王美玉113年調查報告指出，我國原住民族共16族語、42種方言，惟檢察署僅涵蓋</w:t>
      </w:r>
      <w:proofErr w:type="gramStart"/>
      <w:r w:rsidRPr="001B6E4D">
        <w:t>7種語別</w:t>
      </w:r>
      <w:proofErr w:type="gramEnd"/>
      <w:r w:rsidRPr="001B6E4D">
        <w:t>，保障顯然不足，恐使特定族群在刑事偵查程序中處於弱勢。若因缺乏適當通譯，致使當事人無法充分表達其文化</w:t>
      </w:r>
      <w:proofErr w:type="gramStart"/>
      <w:r w:rsidRPr="001B6E4D">
        <w:t>背景與語境</w:t>
      </w:r>
      <w:proofErr w:type="gramEnd"/>
      <w:r w:rsidRPr="001B6E4D">
        <w:t>內涵，將可能造成偵查事實認定偏差，影響檢察官對案件本質之判斷，進而動搖司法公信與程序正義。原民通譯不僅是語言翻譯，更是文化脈絡的詮釋者，應確保其人力建置與專業訓練充足。</w:t>
      </w:r>
    </w:p>
    <w:p w14:paraId="12E58C14" w14:textId="77777777" w:rsidR="00705B3D" w:rsidRPr="001B6E4D" w:rsidRDefault="00705B3D" w:rsidP="003D1018">
      <w:pPr>
        <w:pStyle w:val="1f7"/>
        <w:overflowPunct w:val="0"/>
      </w:pPr>
      <w:r w:rsidRPr="001B6E4D">
        <w:rPr>
          <w:rFonts w:hint="eastAsia"/>
        </w:rPr>
        <w:lastRenderedPageBreak/>
        <w:t>請法務部</w:t>
      </w:r>
      <w:r w:rsidRPr="001B6E4D">
        <w:t>於2個月內向立法院司法及法制委員會提出</w:t>
      </w:r>
      <w:r w:rsidRPr="001B6E4D">
        <w:rPr>
          <w:rFonts w:hint="eastAsia"/>
        </w:rPr>
        <w:t>書面</w:t>
      </w:r>
      <w:r w:rsidRPr="001B6E4D">
        <w:t>報告。【88】</w:t>
      </w:r>
    </w:p>
    <w:p w14:paraId="0B3B97F6" w14:textId="77777777" w:rsidR="00705B3D" w:rsidRPr="001B6E4D" w:rsidRDefault="00705B3D" w:rsidP="003D1018">
      <w:pPr>
        <w:pStyle w:val="2fb"/>
        <w:overflowPunct w:val="0"/>
      </w:pPr>
      <w:r w:rsidRPr="001B6E4D">
        <w:t>提案人：林倩綺</w:t>
      </w:r>
    </w:p>
    <w:p w14:paraId="084170CB"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林沛祥</w:t>
      </w:r>
    </w:p>
    <w:p w14:paraId="5190C69B"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年度臺灣宜蘭地方檢察署預算案於第2目「檢察業務」項下「辦理刑事案件偵查及執行等業務」中「業務費」編列預算2,114萬6千元。</w:t>
      </w:r>
      <w:proofErr w:type="gramStart"/>
      <w:r w:rsidRPr="001B6E4D">
        <w:t>惟</w:t>
      </w:r>
      <w:proofErr w:type="gramEnd"/>
      <w:r w:rsidRPr="001B6E4D">
        <w:t>原住民族於刑事偵查程序中依法享有使用其語言之權利，然實際運作情形未</w:t>
      </w:r>
      <w:proofErr w:type="gramStart"/>
      <w:r w:rsidRPr="001B6E4D">
        <w:t>臻</w:t>
      </w:r>
      <w:proofErr w:type="gramEnd"/>
      <w:r w:rsidRPr="001B6E4D">
        <w:t>完善。宜蘭地檢署轄區涵蓋南澳鄉及大同鄉等原住民族地區，涉及原住民族案件比例相對較高，於偵查程序中如何確保語言權益，尤為關鍵。監察委員王美玉113年調查報告指出，我國原住民族共16族語、42種方言，惟檢察署僅涵蓋</w:t>
      </w:r>
      <w:proofErr w:type="gramStart"/>
      <w:r w:rsidRPr="001B6E4D">
        <w:t>7種語別</w:t>
      </w:r>
      <w:proofErr w:type="gramEnd"/>
      <w:r w:rsidRPr="001B6E4D">
        <w:t>，保障顯然不足，恐使特定族群在刑事偵查程序中處於弱勢。若因缺乏適當通譯，致使當事人無法充分表達其文化</w:t>
      </w:r>
      <w:proofErr w:type="gramStart"/>
      <w:r w:rsidRPr="001B6E4D">
        <w:t>背景與語境</w:t>
      </w:r>
      <w:proofErr w:type="gramEnd"/>
      <w:r w:rsidRPr="001B6E4D">
        <w:t>內涵，將可能造成偵查事實認定偏差，影響檢察官對案件本質之判斷，進而動搖司法公信與程序正義。原民通譯不僅是語言翻譯，更是文化脈絡的詮釋者，應確保其人力建置與專業訓練充足。</w:t>
      </w:r>
    </w:p>
    <w:p w14:paraId="3A1FFE41" w14:textId="77777777" w:rsidR="00705B3D" w:rsidRPr="001B6E4D" w:rsidRDefault="00705B3D" w:rsidP="003D1018">
      <w:pPr>
        <w:pStyle w:val="1f7"/>
        <w:overflowPunct w:val="0"/>
      </w:pPr>
      <w:r w:rsidRPr="001B6E4D">
        <w:rPr>
          <w:rFonts w:hint="eastAsia"/>
        </w:rPr>
        <w:t>請法務部</w:t>
      </w:r>
      <w:r w:rsidRPr="001B6E4D">
        <w:t>於2個月內向立法院司法及法制委員會提出</w:t>
      </w:r>
      <w:r w:rsidRPr="001B6E4D">
        <w:rPr>
          <w:rFonts w:hint="eastAsia"/>
        </w:rPr>
        <w:t>書面</w:t>
      </w:r>
      <w:r w:rsidRPr="001B6E4D">
        <w:t>報告。【89】</w:t>
      </w:r>
    </w:p>
    <w:p w14:paraId="7869C433" w14:textId="77777777" w:rsidR="00705B3D" w:rsidRPr="001B6E4D" w:rsidRDefault="00705B3D" w:rsidP="003D1018">
      <w:pPr>
        <w:pStyle w:val="2fb"/>
        <w:overflowPunct w:val="0"/>
      </w:pPr>
      <w:r w:rsidRPr="001B6E4D">
        <w:t>提案人：林倩綺</w:t>
      </w:r>
    </w:p>
    <w:p w14:paraId="0C98C866"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林沛祥</w:t>
      </w:r>
    </w:p>
    <w:p w14:paraId="5C4CABDF"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第2項 司法官學院4億5,841萬7千元，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46A7A68"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第3項 法醫研究所2億0,778萬8千元，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3E6ACF2"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第4項 廉政署5億3,841萬5千元，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3856621" w14:textId="77777777" w:rsidR="00705B3D" w:rsidRPr="001B6E4D" w:rsidRDefault="00705B3D"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sz w:val="28"/>
          <w:szCs w:val="28"/>
        </w:rPr>
        <w:t>本項通過決議4項：</w:t>
      </w:r>
    </w:p>
    <w:p w14:paraId="6FABCBE3" w14:textId="77777777" w:rsidR="00705B3D" w:rsidRPr="001B6E4D" w:rsidRDefault="00705B3D" w:rsidP="003D1018">
      <w:pPr>
        <w:pStyle w:val="a"/>
        <w:numPr>
          <w:ilvl w:val="0"/>
          <w:numId w:val="67"/>
        </w:numPr>
        <w:overflowPunct w:val="0"/>
        <w:ind w:left="924" w:hanging="567"/>
      </w:pPr>
      <w:proofErr w:type="gramStart"/>
      <w:r w:rsidRPr="001B6E4D">
        <w:t>115</w:t>
      </w:r>
      <w:proofErr w:type="gramEnd"/>
      <w:r w:rsidRPr="001B6E4D">
        <w:t>年度</w:t>
      </w:r>
      <w:proofErr w:type="gramStart"/>
      <w:r w:rsidRPr="001B6E4D">
        <w:t>廉政署歲出</w:t>
      </w:r>
      <w:proofErr w:type="gramEnd"/>
      <w:r w:rsidRPr="001B6E4D">
        <w:t>預算第2目「廉政業務」編列7,871萬5千元，凍結30萬元，</w:t>
      </w:r>
      <w:proofErr w:type="gramStart"/>
      <w:r w:rsidRPr="001B6E4D">
        <w:t>俟</w:t>
      </w:r>
      <w:proofErr w:type="gramEnd"/>
      <w:r w:rsidRPr="001B6E4D">
        <w:t>向立法院司法及法制委員會提出書面報告後，始得動支。【4</w:t>
      </w:r>
      <w:r w:rsidRPr="001B6E4D">
        <w:rPr>
          <w:rFonts w:hint="eastAsia"/>
        </w:rPr>
        <w:t>8</w:t>
      </w:r>
      <w:r w:rsidRPr="001B6E4D">
        <w:t>】</w:t>
      </w:r>
    </w:p>
    <w:p w14:paraId="2CB9C3BE" w14:textId="77777777" w:rsidR="00705B3D" w:rsidRPr="001B6E4D" w:rsidRDefault="00705B3D" w:rsidP="003D1018">
      <w:pPr>
        <w:pStyle w:val="2fb"/>
        <w:overflowPunct w:val="0"/>
      </w:pPr>
      <w:r w:rsidRPr="001B6E4D">
        <w:t>提案人：</w:t>
      </w:r>
      <w:r w:rsidRPr="001B6E4D">
        <w:rPr>
          <w:rFonts w:hint="eastAsia"/>
        </w:rPr>
        <w:t>吳宗憲</w:t>
      </w:r>
    </w:p>
    <w:p w14:paraId="6D9728A9" w14:textId="77777777" w:rsidR="00705B3D" w:rsidRPr="001B6E4D" w:rsidRDefault="00705B3D" w:rsidP="003D1018">
      <w:pPr>
        <w:pStyle w:val="2fb"/>
        <w:overflowPunct w:val="0"/>
      </w:pPr>
      <w:r w:rsidRPr="001B6E4D">
        <w:t>連署人：</w:t>
      </w:r>
      <w:r w:rsidRPr="001B6E4D">
        <w:rPr>
          <w:rFonts w:hint="eastAsia"/>
        </w:rPr>
        <w:t>林倩綺  翁曉玲</w:t>
      </w:r>
    </w:p>
    <w:p w14:paraId="5AFFD706"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年度廉政署預算案於第2目「廉政業務」項下「辦理廉政政策規劃考核業務」編列預算2,690萬9千元，較</w:t>
      </w:r>
      <w:proofErr w:type="gramStart"/>
      <w:r w:rsidRPr="001B6E4D">
        <w:t>114</w:t>
      </w:r>
      <w:proofErr w:type="gramEnd"/>
      <w:r w:rsidRPr="001B6E4D">
        <w:t>年度1,534萬4千元增加1,156萬5千元，增幅高達75.37%，主要係增列辦理聯合國反貪腐公約國家報告等經費。</w:t>
      </w:r>
      <w:r w:rsidRPr="001B6E4D">
        <w:rPr>
          <w:rFonts w:hint="eastAsia"/>
        </w:rPr>
        <w:t>法務部</w:t>
      </w:r>
      <w:r w:rsidRPr="001B6E4D">
        <w:t>廉政署</w:t>
      </w:r>
      <w:proofErr w:type="gramStart"/>
      <w:r w:rsidRPr="001B6E4D">
        <w:t>115</w:t>
      </w:r>
      <w:proofErr w:type="gramEnd"/>
      <w:r w:rsidRPr="001B6E4D">
        <w:t>年度施政計畫亦將辦理聯合國反貪腐公約第</w:t>
      </w:r>
      <w:r w:rsidRPr="001B6E4D">
        <w:rPr>
          <w:rFonts w:hint="eastAsia"/>
        </w:rPr>
        <w:t>3</w:t>
      </w:r>
      <w:r w:rsidRPr="001B6E4D">
        <w:t>次國家報告國際審查、</w:t>
      </w:r>
      <w:proofErr w:type="gramStart"/>
      <w:r w:rsidRPr="001B6E4D">
        <w:t>透明晶質</w:t>
      </w:r>
      <w:proofErr w:type="gramEnd"/>
      <w:r w:rsidRPr="001B6E4D">
        <w:t>獎及相關國際交流列為重要工作。</w:t>
      </w:r>
    </w:p>
    <w:p w14:paraId="23E8F64B" w14:textId="77777777" w:rsidR="00705B3D" w:rsidRPr="001B6E4D" w:rsidRDefault="00705B3D" w:rsidP="003D1018">
      <w:pPr>
        <w:pStyle w:val="1f7"/>
        <w:overflowPunct w:val="0"/>
      </w:pPr>
      <w:proofErr w:type="gramStart"/>
      <w:r w:rsidRPr="001B6E4D">
        <w:t>惟</w:t>
      </w:r>
      <w:proofErr w:type="gramEnd"/>
      <w:r w:rsidRPr="001B6E4D">
        <w:t>廉政工作的核心，不在於報告寫得漂亮、活動辦得熱鬧、國際交流次數增加，而在於政府機關貪腐風險是否降低，</w:t>
      </w:r>
      <w:r w:rsidRPr="001B6E4D">
        <w:lastRenderedPageBreak/>
        <w:t>公務體系是否更透明，人民是否更信任政府。依立法院預算</w:t>
      </w:r>
      <w:r w:rsidRPr="001B6E4D">
        <w:rPr>
          <w:rFonts w:hint="eastAsia"/>
        </w:rPr>
        <w:t>中心</w:t>
      </w:r>
      <w:r w:rsidRPr="001B6E4D">
        <w:t>評估報告指出，</w:t>
      </w:r>
      <w:proofErr w:type="gramStart"/>
      <w:r w:rsidRPr="001B6E4D">
        <w:t>113</w:t>
      </w:r>
      <w:proofErr w:type="gramEnd"/>
      <w:r w:rsidRPr="001B6E4D">
        <w:t>年度各地方檢察署偵辦列管貪瀆案件起訴件數及人數為近年新高，其中具有公務人員身分者亦呈增加趨勢；政風機構部分防貪作為件數亦有下降情形。若國家報告與國際審查經費大幅增加，卻無法轉化為具體制度改革，恐使廉政工作流於形式。</w:t>
      </w:r>
    </w:p>
    <w:p w14:paraId="3B3D716A" w14:textId="77777777" w:rsidR="00705B3D" w:rsidRPr="001B6E4D" w:rsidRDefault="00705B3D" w:rsidP="003D1018">
      <w:pPr>
        <w:pStyle w:val="1f7"/>
        <w:overflowPunct w:val="0"/>
      </w:pPr>
      <w:r w:rsidRPr="001B6E4D">
        <w:rPr>
          <w:rFonts w:hint="eastAsia"/>
        </w:rPr>
        <w:t>請法務部</w:t>
      </w:r>
      <w:r w:rsidRPr="001B6E4D">
        <w:t>廉政署於3個月內就聯合國反貪腐公約第</w:t>
      </w:r>
      <w:r w:rsidRPr="001B6E4D">
        <w:rPr>
          <w:rFonts w:hint="eastAsia"/>
        </w:rPr>
        <w:t>3</w:t>
      </w:r>
      <w:r w:rsidRPr="001B6E4D">
        <w:t>次國家報告辦理項目、委辦或採購內容、國際審查預期成果、</w:t>
      </w:r>
      <w:proofErr w:type="gramStart"/>
      <w:r w:rsidRPr="001B6E4D">
        <w:t>透明晶質</w:t>
      </w:r>
      <w:proofErr w:type="gramEnd"/>
      <w:r w:rsidRPr="001B6E4D">
        <w:t>獎實際效益、審查意見如何轉化為防貪制度改革，以及具體量化績效指標，向立法院司法及法制委員會提出</w:t>
      </w:r>
      <w:r w:rsidRPr="001B6E4D">
        <w:rPr>
          <w:rFonts w:hint="eastAsia"/>
        </w:rPr>
        <w:t>書面</w:t>
      </w:r>
      <w:r w:rsidRPr="001B6E4D">
        <w:t>報告。【49】</w:t>
      </w:r>
    </w:p>
    <w:p w14:paraId="3F34C500" w14:textId="77777777" w:rsidR="00705B3D" w:rsidRPr="001B6E4D" w:rsidRDefault="00705B3D" w:rsidP="003D1018">
      <w:pPr>
        <w:pStyle w:val="2fb"/>
        <w:overflowPunct w:val="0"/>
      </w:pPr>
      <w:r w:rsidRPr="001B6E4D">
        <w:t>提案人：許宇</w:t>
      </w:r>
      <w:proofErr w:type="gramStart"/>
      <w:r w:rsidRPr="001B6E4D">
        <w:t>甄</w:t>
      </w:r>
      <w:proofErr w:type="gramEnd"/>
    </w:p>
    <w:p w14:paraId="66767481" w14:textId="77777777" w:rsidR="00705B3D" w:rsidRPr="001B6E4D" w:rsidRDefault="00705B3D" w:rsidP="003D1018">
      <w:pPr>
        <w:pStyle w:val="2fb"/>
        <w:overflowPunct w:val="0"/>
      </w:pPr>
      <w:r w:rsidRPr="001B6E4D">
        <w:t>連署人：林沛祥　翁曉玲</w:t>
      </w:r>
    </w:p>
    <w:p w14:paraId="69605B18"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年度廉政署預算案於第5目「司法科技業務」編列預算612萬元，新增辦理「AI</w:t>
      </w:r>
      <w:proofErr w:type="gramStart"/>
      <w:r w:rsidRPr="001B6E4D">
        <w:t>肅</w:t>
      </w:r>
      <w:proofErr w:type="gramEnd"/>
      <w:r w:rsidRPr="001B6E4D">
        <w:t>貪數位探</w:t>
      </w:r>
      <w:proofErr w:type="gramStart"/>
      <w:r w:rsidRPr="001B6E4D">
        <w:t>勘</w:t>
      </w:r>
      <w:proofErr w:type="gramEnd"/>
      <w:r w:rsidRPr="001B6E4D">
        <w:t>分析系統科技計畫」。</w:t>
      </w:r>
      <w:r w:rsidRPr="001B6E4D">
        <w:rPr>
          <w:rFonts w:hint="eastAsia"/>
        </w:rPr>
        <w:t>法務部</w:t>
      </w:r>
      <w:r w:rsidRPr="001B6E4D">
        <w:t>廉政署說明，該計畫係透過已建立之「行動譯文分析系統」，建置專屬貪瀆案件領域之語言資料庫，提升通訊監察譯文製作、整合、分析及運用效率，精進科技偵查作為。</w:t>
      </w:r>
    </w:p>
    <w:p w14:paraId="30938694" w14:textId="77777777" w:rsidR="00705B3D" w:rsidRPr="001B6E4D" w:rsidRDefault="00705B3D" w:rsidP="003D1018">
      <w:pPr>
        <w:pStyle w:val="1f7"/>
        <w:overflowPunct w:val="0"/>
      </w:pPr>
      <w:r w:rsidRPr="001B6E4D">
        <w:t>惟</w:t>
      </w:r>
      <w:proofErr w:type="gramStart"/>
      <w:r w:rsidRPr="001B6E4D">
        <w:t>114</w:t>
      </w:r>
      <w:proofErr w:type="gramEnd"/>
      <w:r w:rsidRPr="001B6E4D">
        <w:t>年度廉政署已辦理「智慧</w:t>
      </w:r>
      <w:proofErr w:type="gramStart"/>
      <w:r w:rsidRPr="001B6E4D">
        <w:t>肅</w:t>
      </w:r>
      <w:proofErr w:type="gramEnd"/>
      <w:r w:rsidRPr="001B6E4D">
        <w:t>貪科技計畫」，內容包括整合通訊監察光碟、開發行動譯文分析系統及AI智慧</w:t>
      </w:r>
      <w:proofErr w:type="gramStart"/>
      <w:r w:rsidRPr="001B6E4D">
        <w:t>肅</w:t>
      </w:r>
      <w:proofErr w:type="gramEnd"/>
      <w:r w:rsidRPr="001B6E4D">
        <w:t>貪分析系統。</w:t>
      </w:r>
      <w:proofErr w:type="gramStart"/>
      <w:r w:rsidRPr="001B6E4D">
        <w:t>115</w:t>
      </w:r>
      <w:proofErr w:type="gramEnd"/>
      <w:r w:rsidRPr="001B6E4D">
        <w:t>年度又接續新增AI</w:t>
      </w:r>
      <w:proofErr w:type="gramStart"/>
      <w:r w:rsidRPr="001B6E4D">
        <w:t>肅</w:t>
      </w:r>
      <w:proofErr w:type="gramEnd"/>
      <w:r w:rsidRPr="001B6E4D">
        <w:t>貪數位探</w:t>
      </w:r>
      <w:proofErr w:type="gramStart"/>
      <w:r w:rsidRPr="001B6E4D">
        <w:t>勘</w:t>
      </w:r>
      <w:proofErr w:type="gramEnd"/>
      <w:r w:rsidRPr="001B6E4D">
        <w:t>分析系統，應先完整揭露前案建置成果、驗收情形、使用率、協助偵辦案件數、是否實際提升偵查效率與定罪率，以及是否涉及通訊監察資料、偵查不公開資料與</w:t>
      </w:r>
      <w:proofErr w:type="gramStart"/>
      <w:r w:rsidRPr="001B6E4D">
        <w:t>個</w:t>
      </w:r>
      <w:proofErr w:type="gramEnd"/>
      <w:r w:rsidRPr="001B6E4D">
        <w:t>資保護等重大風險。</w:t>
      </w:r>
    </w:p>
    <w:p w14:paraId="269EB3F5" w14:textId="77777777" w:rsidR="00705B3D" w:rsidRPr="001B6E4D" w:rsidRDefault="00705B3D" w:rsidP="003D1018">
      <w:pPr>
        <w:pStyle w:val="1f7"/>
        <w:overflowPunct w:val="0"/>
      </w:pPr>
      <w:r w:rsidRPr="001B6E4D">
        <w:t>AI系統不是名稱加上「智慧」或「數位探</w:t>
      </w:r>
      <w:proofErr w:type="gramStart"/>
      <w:r w:rsidRPr="001B6E4D">
        <w:t>勘</w:t>
      </w:r>
      <w:proofErr w:type="gramEnd"/>
      <w:r w:rsidRPr="001B6E4D">
        <w:t>」，就等於效能提升。廉政署掌握高度敏感之</w:t>
      </w:r>
      <w:proofErr w:type="gramStart"/>
      <w:r w:rsidRPr="001B6E4D">
        <w:t>貪瀆情資</w:t>
      </w:r>
      <w:proofErr w:type="gramEnd"/>
      <w:r w:rsidRPr="001B6E4D">
        <w:t>、通訊監察資料及偵查資料，更應建立明確資料治理、權限控管、操作紀錄留存、</w:t>
      </w:r>
      <w:proofErr w:type="gramStart"/>
      <w:r w:rsidRPr="001B6E4D">
        <w:t>資安稽核</w:t>
      </w:r>
      <w:proofErr w:type="gramEnd"/>
      <w:r w:rsidRPr="001B6E4D">
        <w:t>及</w:t>
      </w:r>
      <w:proofErr w:type="gramStart"/>
      <w:r w:rsidRPr="001B6E4D">
        <w:t>模型偏誤風險</w:t>
      </w:r>
      <w:proofErr w:type="gramEnd"/>
      <w:r w:rsidRPr="001B6E4D">
        <w:t>評估機制。</w:t>
      </w:r>
    </w:p>
    <w:p w14:paraId="316A8FD4" w14:textId="77777777" w:rsidR="00705B3D" w:rsidRPr="001B6E4D" w:rsidRDefault="00705B3D" w:rsidP="003D1018">
      <w:pPr>
        <w:pStyle w:val="1f7"/>
        <w:overflowPunct w:val="0"/>
      </w:pPr>
      <w:r w:rsidRPr="001B6E4D">
        <w:rPr>
          <w:rFonts w:hint="eastAsia"/>
        </w:rPr>
        <w:t>請法務部</w:t>
      </w:r>
      <w:r w:rsidRPr="001B6E4D">
        <w:t>廉政署於3個月內就</w:t>
      </w:r>
      <w:proofErr w:type="gramStart"/>
      <w:r w:rsidRPr="001B6E4D">
        <w:t>114</w:t>
      </w:r>
      <w:proofErr w:type="gramEnd"/>
      <w:r w:rsidRPr="001B6E4D">
        <w:t>年度智慧</w:t>
      </w:r>
      <w:proofErr w:type="gramStart"/>
      <w:r w:rsidRPr="001B6E4D">
        <w:t>肅</w:t>
      </w:r>
      <w:proofErr w:type="gramEnd"/>
      <w:r w:rsidRPr="001B6E4D">
        <w:t>貪科技計畫執行成果、系統驗收情形及</w:t>
      </w:r>
      <w:proofErr w:type="gramStart"/>
      <w:r w:rsidRPr="001B6E4D">
        <w:t>115</w:t>
      </w:r>
      <w:proofErr w:type="gramEnd"/>
      <w:r w:rsidRPr="001B6E4D">
        <w:t>年度新計畫與前案差異，向立法院司法及法制委員會提出</w:t>
      </w:r>
      <w:r w:rsidRPr="001B6E4D">
        <w:rPr>
          <w:rFonts w:hint="eastAsia"/>
        </w:rPr>
        <w:t>書面</w:t>
      </w:r>
      <w:r w:rsidRPr="001B6E4D">
        <w:t>報告。【50】</w:t>
      </w:r>
    </w:p>
    <w:p w14:paraId="601C78FA"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提案人：許宇</w:t>
      </w:r>
      <w:proofErr w:type="gramStart"/>
      <w:r w:rsidRPr="001B6E4D">
        <w:rPr>
          <w:rFonts w:ascii="標楷體" w:eastAsia="標楷體" w:hAnsi="標楷體"/>
          <w:color w:val="000000"/>
          <w:sz w:val="28"/>
          <w:szCs w:val="28"/>
        </w:rPr>
        <w:t>甄</w:t>
      </w:r>
      <w:proofErr w:type="gramEnd"/>
    </w:p>
    <w:p w14:paraId="3F59FB2B"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連署人：林沛祥　翁曉玲</w:t>
      </w:r>
    </w:p>
    <w:p w14:paraId="7A056D1F" w14:textId="77777777" w:rsidR="00705B3D" w:rsidRPr="001B6E4D" w:rsidRDefault="00705B3D" w:rsidP="003D1018">
      <w:pPr>
        <w:pStyle w:val="1-1"/>
        <w:numPr>
          <w:ilvl w:val="0"/>
          <w:numId w:val="33"/>
        </w:numPr>
        <w:ind w:left="924" w:hanging="567"/>
      </w:pPr>
      <w:r w:rsidRPr="001B6E4D">
        <w:t>目前「食品</w:t>
      </w:r>
      <w:proofErr w:type="gramStart"/>
      <w:r w:rsidRPr="001B6E4D">
        <w:t>安全廉政</w:t>
      </w:r>
      <w:proofErr w:type="gramEnd"/>
      <w:r w:rsidRPr="001B6E4D">
        <w:t>平台」係由</w:t>
      </w:r>
      <w:r w:rsidRPr="001B6E4D">
        <w:rPr>
          <w:rFonts w:hint="eastAsia"/>
        </w:rPr>
        <w:t>法務部</w:t>
      </w:r>
      <w:r w:rsidRPr="001B6E4D">
        <w:t>廉政署</w:t>
      </w:r>
      <w:r w:rsidRPr="001B6E4D">
        <w:rPr>
          <w:rFonts w:hint="eastAsia"/>
        </w:rPr>
        <w:t>統合中央及地方相關政風</w:t>
      </w:r>
      <w:proofErr w:type="gramStart"/>
      <w:r w:rsidRPr="001B6E4D">
        <w:rPr>
          <w:rFonts w:hint="eastAsia"/>
        </w:rPr>
        <w:t>機構跨域建置</w:t>
      </w:r>
      <w:proofErr w:type="gramEnd"/>
      <w:r w:rsidRPr="001B6E4D">
        <w:rPr>
          <w:rFonts w:hint="eastAsia"/>
        </w:rPr>
        <w:t>，以協助維護食品安全及公務員廉潔之立場，</w:t>
      </w:r>
      <w:proofErr w:type="gramStart"/>
      <w:r w:rsidRPr="001B6E4D">
        <w:rPr>
          <w:rFonts w:hint="eastAsia"/>
        </w:rPr>
        <w:t>蒐</w:t>
      </w:r>
      <w:proofErr w:type="gramEnd"/>
      <w:r w:rsidRPr="001B6E4D">
        <w:rPr>
          <w:rFonts w:hint="eastAsia"/>
        </w:rPr>
        <w:t>報相關食</w:t>
      </w:r>
      <w:proofErr w:type="gramStart"/>
      <w:r w:rsidRPr="001B6E4D">
        <w:rPr>
          <w:rFonts w:hint="eastAsia"/>
        </w:rPr>
        <w:t>安情資</w:t>
      </w:r>
      <w:proofErr w:type="gramEnd"/>
      <w:r w:rsidRPr="001B6E4D">
        <w:rPr>
          <w:rFonts w:hint="eastAsia"/>
        </w:rPr>
        <w:t>、防制廉政風險，並適時</w:t>
      </w:r>
      <w:proofErr w:type="gramStart"/>
      <w:r w:rsidRPr="001B6E4D">
        <w:rPr>
          <w:rFonts w:hint="eastAsia"/>
        </w:rPr>
        <w:t>配合各食安</w:t>
      </w:r>
      <w:proofErr w:type="gramEnd"/>
      <w:r w:rsidRPr="001B6E4D">
        <w:rPr>
          <w:rFonts w:hint="eastAsia"/>
        </w:rPr>
        <w:t>主管機關辦理聯合稽查。</w:t>
      </w:r>
      <w:r w:rsidRPr="001B6E4D">
        <w:t>衛</w:t>
      </w:r>
      <w:r w:rsidRPr="001B6E4D">
        <w:rPr>
          <w:rFonts w:hint="eastAsia"/>
        </w:rPr>
        <w:t>生</w:t>
      </w:r>
      <w:proofErr w:type="gramStart"/>
      <w:r w:rsidRPr="001B6E4D">
        <w:t>福</w:t>
      </w:r>
      <w:r w:rsidRPr="001B6E4D">
        <w:rPr>
          <w:rFonts w:hint="eastAsia"/>
        </w:rPr>
        <w:t>利</w:t>
      </w:r>
      <w:r w:rsidRPr="001B6E4D">
        <w:t>部</w:t>
      </w:r>
      <w:r w:rsidRPr="001B6E4D">
        <w:rPr>
          <w:rFonts w:hint="eastAsia"/>
        </w:rPr>
        <w:t>政風</w:t>
      </w:r>
      <w:proofErr w:type="gramEnd"/>
      <w:r w:rsidRPr="001B6E4D">
        <w:rPr>
          <w:rFonts w:hint="eastAsia"/>
        </w:rPr>
        <w:t>處及相關政風機構組成</w:t>
      </w:r>
      <w:r w:rsidRPr="001B6E4D">
        <w:t>之「食品</w:t>
      </w:r>
      <w:proofErr w:type="gramStart"/>
      <w:r w:rsidRPr="001B6E4D">
        <w:t>安全廉政</w:t>
      </w:r>
      <w:proofErr w:type="gramEnd"/>
      <w:r w:rsidRPr="001B6E4D">
        <w:t>工作小組」，則</w:t>
      </w:r>
      <w:r w:rsidRPr="001B6E4D">
        <w:rPr>
          <w:rFonts w:hint="eastAsia"/>
        </w:rPr>
        <w:t>為食安廉政</w:t>
      </w:r>
      <w:r w:rsidRPr="001B6E4D">
        <w:t>平台架構下之</w:t>
      </w:r>
      <w:r w:rsidRPr="001B6E4D">
        <w:lastRenderedPageBreak/>
        <w:t>執行機制。現行制度下，政風人員並非食安專業稽查體系的一部分，而是以廉政風險防制與程序監督角色參與聯合稽查，依「食品</w:t>
      </w:r>
      <w:proofErr w:type="gramStart"/>
      <w:r w:rsidRPr="001B6E4D">
        <w:t>安全廉政</w:t>
      </w:r>
      <w:proofErr w:type="gramEnd"/>
      <w:r w:rsidRPr="001B6E4D">
        <w:t>工作小組」任務執行注意事項，現場若遇業者質疑或拒絕配合，最終決定仍「原則予以尊重」。</w:t>
      </w:r>
    </w:p>
    <w:p w14:paraId="3D38298F" w14:textId="77777777" w:rsidR="00705B3D" w:rsidRPr="001B6E4D" w:rsidRDefault="00705B3D" w:rsidP="003D1018">
      <w:pPr>
        <w:pStyle w:val="1f7"/>
        <w:overflowPunct w:val="0"/>
      </w:pPr>
      <w:proofErr w:type="gramStart"/>
      <w:r w:rsidRPr="001B6E4D">
        <w:t>爰</w:t>
      </w:r>
      <w:proofErr w:type="gramEnd"/>
      <w:r w:rsidRPr="001B6E4D">
        <w:t>請</w:t>
      </w:r>
      <w:r w:rsidRPr="001B6E4D">
        <w:rPr>
          <w:rFonts w:hint="eastAsia"/>
        </w:rPr>
        <w:t>法務部</w:t>
      </w:r>
      <w:r w:rsidRPr="001B6E4D">
        <w:t>廉政署，</w:t>
      </w:r>
      <w:proofErr w:type="gramStart"/>
      <w:r w:rsidRPr="001B6E4D">
        <w:rPr>
          <w:rFonts w:hint="eastAsia"/>
        </w:rPr>
        <w:t>就</w:t>
      </w:r>
      <w:r w:rsidRPr="001B6E4D">
        <w:t>現行政</w:t>
      </w:r>
      <w:proofErr w:type="gramEnd"/>
      <w:r w:rsidRPr="001B6E4D">
        <w:t>風人員參與食安聯合稽查之法律定位、權責範圍及作業程序，建立明確角色分工與標準，於2個月內向立法院司法及法制委員會提出書面報告。【51】</w:t>
      </w:r>
    </w:p>
    <w:p w14:paraId="2E9F30FC" w14:textId="77777777" w:rsidR="00705B3D" w:rsidRPr="001B6E4D" w:rsidRDefault="00705B3D" w:rsidP="003D1018">
      <w:pPr>
        <w:pStyle w:val="2fb"/>
        <w:overflowPunct w:val="0"/>
      </w:pPr>
      <w:r w:rsidRPr="001B6E4D">
        <w:t>提案人：沈發惠</w:t>
      </w:r>
    </w:p>
    <w:p w14:paraId="2C270BD0" w14:textId="77777777" w:rsidR="00705B3D" w:rsidRPr="001B6E4D" w:rsidRDefault="00705B3D" w:rsidP="003D1018">
      <w:pPr>
        <w:pStyle w:val="2fb"/>
        <w:overflowPunct w:val="0"/>
      </w:pPr>
      <w:r w:rsidRPr="001B6E4D">
        <w:t>連署人：張雅琳　莊瑞雄</w:t>
      </w:r>
    </w:p>
    <w:p w14:paraId="70FD035A"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第5項 矯正署及所屬189億7,414萬9千元，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57676E7" w14:textId="77777777" w:rsidR="00705B3D" w:rsidRPr="001B6E4D" w:rsidRDefault="00705B3D" w:rsidP="003D1018">
      <w:pPr>
        <w:overflowPunct w:val="0"/>
        <w:snapToGrid w:val="0"/>
        <w:ind w:leftChars="150" w:left="1201" w:hangingChars="300" w:hanging="841"/>
        <w:jc w:val="both"/>
        <w:rPr>
          <w:rFonts w:ascii="標楷體" w:eastAsia="標楷體" w:hAnsi="標楷體"/>
          <w:b/>
          <w:sz w:val="28"/>
          <w:szCs w:val="28"/>
        </w:rPr>
      </w:pPr>
      <w:r w:rsidRPr="001B6E4D">
        <w:rPr>
          <w:rFonts w:ascii="標楷體" w:eastAsia="標楷體" w:hAnsi="標楷體"/>
          <w:b/>
          <w:sz w:val="28"/>
          <w:szCs w:val="28"/>
        </w:rPr>
        <w:t>本項提案2案，保留，送院會處理：</w:t>
      </w:r>
    </w:p>
    <w:p w14:paraId="1CBC4247" w14:textId="77777777" w:rsidR="00705B3D" w:rsidRPr="001B6E4D" w:rsidRDefault="00705B3D" w:rsidP="003D1018">
      <w:pPr>
        <w:pStyle w:val="a"/>
        <w:numPr>
          <w:ilvl w:val="0"/>
          <w:numId w:val="68"/>
        </w:numPr>
        <w:overflowPunct w:val="0"/>
        <w:ind w:left="924" w:hanging="567"/>
      </w:pPr>
      <w:proofErr w:type="gramStart"/>
      <w:r w:rsidRPr="001B6E4D">
        <w:t>115</w:t>
      </w:r>
      <w:proofErr w:type="gramEnd"/>
      <w:r w:rsidRPr="001B6E4D">
        <w:t>年度矯正署及所屬預算案於第1目「一般行政」項下「基本行政工作維持」中「業務費」之「特別費」217千元，係按署長每月18,100元計列。編列預算21萬7千元。</w:t>
      </w:r>
    </w:p>
    <w:p w14:paraId="7D4766C5" w14:textId="77777777" w:rsidR="00705B3D" w:rsidRPr="001B6E4D" w:rsidRDefault="00705B3D" w:rsidP="003D1018">
      <w:pPr>
        <w:pStyle w:val="1f7"/>
        <w:overflowPunct w:val="0"/>
      </w:pPr>
      <w:r w:rsidRPr="001B6E4D">
        <w:t>依行政院95年12月29日</w:t>
      </w:r>
      <w:proofErr w:type="gramStart"/>
      <w:r w:rsidRPr="001B6E4D">
        <w:t>院授主忠字</w:t>
      </w:r>
      <w:proofErr w:type="gramEnd"/>
      <w:r w:rsidRPr="001B6E4D">
        <w:t>第0950007913號函規定，各級政府機關特別費之使用範圍，係婚喪喜慶之禮金及招待、</w:t>
      </w:r>
      <w:proofErr w:type="gramStart"/>
      <w:r w:rsidRPr="001B6E4D">
        <w:t>餽</w:t>
      </w:r>
      <w:proofErr w:type="gramEnd"/>
      <w:r w:rsidRPr="001B6E4D">
        <w:t>(捐)</w:t>
      </w:r>
      <w:proofErr w:type="gramStart"/>
      <w:r w:rsidRPr="001B6E4D">
        <w:t>贈及慰問</w:t>
      </w:r>
      <w:proofErr w:type="gramEnd"/>
      <w:r w:rsidRPr="001B6E4D">
        <w:t>等支出，恐非屬各項施政計畫執行之必要項目。</w:t>
      </w:r>
    </w:p>
    <w:p w14:paraId="373E909F" w14:textId="77777777" w:rsidR="00705B3D" w:rsidRPr="001B6E4D" w:rsidRDefault="00705B3D" w:rsidP="003D1018">
      <w:pPr>
        <w:pStyle w:val="1f7"/>
        <w:overflowPunct w:val="0"/>
      </w:pPr>
      <w:r w:rsidRPr="001B6E4D">
        <w:t>然115年中央政府總預算連同特別預算，</w:t>
      </w:r>
      <w:proofErr w:type="gramStart"/>
      <w:r w:rsidRPr="001B6E4D">
        <w:t>已需舉</w:t>
      </w:r>
      <w:proofErr w:type="gramEnd"/>
      <w:r w:rsidRPr="001B6E4D">
        <w:t>債高達4千億元。政府各單位更需量入為出、</w:t>
      </w:r>
      <w:proofErr w:type="gramStart"/>
      <w:r w:rsidRPr="001B6E4D">
        <w:t>撙</w:t>
      </w:r>
      <w:proofErr w:type="gramEnd"/>
      <w:r w:rsidRPr="001B6E4D">
        <w:t>節公</w:t>
      </w:r>
      <w:proofErr w:type="gramStart"/>
      <w:r w:rsidRPr="001B6E4D">
        <w:t>帑</w:t>
      </w:r>
      <w:proofErr w:type="gramEnd"/>
      <w:r w:rsidRPr="001B6E4D">
        <w:t>，避免不必要的支出。</w:t>
      </w:r>
    </w:p>
    <w:p w14:paraId="763F03BE" w14:textId="77777777" w:rsidR="00705B3D" w:rsidRPr="001B6E4D" w:rsidRDefault="00705B3D" w:rsidP="003D1018">
      <w:pPr>
        <w:pStyle w:val="1f7"/>
        <w:overflowPunct w:val="0"/>
      </w:pPr>
      <w:r w:rsidRPr="001B6E4D">
        <w:t>且賴總統為回應美國對台灣應大幅增加國防支出的強硬立場與關切壓力，</w:t>
      </w:r>
      <w:proofErr w:type="gramStart"/>
      <w:r w:rsidRPr="001B6E4D">
        <w:t>115</w:t>
      </w:r>
      <w:proofErr w:type="gramEnd"/>
      <w:r w:rsidRPr="001B6E4D">
        <w:t>年度國防支出創下歷史新高，達9,495億新台幣，較上年度暴增1,768億，漲幅達16％，顯已加重國家財政負擔；大幅增加國防支出，勢必對年度的教育、社會福利、交通建設與經濟發展等，造成嚴重的排擠效果。亦即各</w:t>
      </w:r>
      <w:proofErr w:type="gramStart"/>
      <w:r w:rsidRPr="001B6E4D">
        <w:t>部會應勒緊</w:t>
      </w:r>
      <w:proofErr w:type="gramEnd"/>
      <w:r w:rsidRPr="001B6E4D">
        <w:t>褲帶，共體時</w:t>
      </w:r>
      <w:proofErr w:type="gramStart"/>
      <w:r w:rsidRPr="001B6E4D">
        <w:t>艱</w:t>
      </w:r>
      <w:proofErr w:type="gramEnd"/>
      <w:r w:rsidRPr="001B6E4D">
        <w:t>，以具體呼應賴總統對美方的承諾。</w:t>
      </w:r>
    </w:p>
    <w:p w14:paraId="6A7F8403" w14:textId="77777777" w:rsidR="00705B3D" w:rsidRPr="001B6E4D" w:rsidRDefault="00705B3D" w:rsidP="003D1018">
      <w:pPr>
        <w:pStyle w:val="1f7"/>
        <w:overflowPunct w:val="0"/>
      </w:pPr>
      <w:r w:rsidRPr="001B6E4D">
        <w:t>因此，特別費屬非必要的民生支出，理應配合國防支出大幅增加之影響而予以</w:t>
      </w:r>
      <w:proofErr w:type="gramStart"/>
      <w:r w:rsidRPr="001B6E4D">
        <w:t>撙</w:t>
      </w:r>
      <w:proofErr w:type="gramEnd"/>
      <w:r w:rsidRPr="001B6E4D">
        <w:t>節。</w:t>
      </w:r>
      <w:proofErr w:type="gramStart"/>
      <w:r w:rsidRPr="001B6E4D">
        <w:t>爰</w:t>
      </w:r>
      <w:proofErr w:type="gramEnd"/>
      <w:r w:rsidRPr="001B6E4D">
        <w:t>減列該項預算19萬5千元。【52】</w:t>
      </w:r>
    </w:p>
    <w:p w14:paraId="38F847D3" w14:textId="77777777" w:rsidR="00705B3D" w:rsidRPr="001B6E4D" w:rsidRDefault="00705B3D" w:rsidP="003D1018">
      <w:pPr>
        <w:pStyle w:val="2fb"/>
        <w:overflowPunct w:val="0"/>
      </w:pPr>
      <w:r w:rsidRPr="001B6E4D">
        <w:t>提案人：翁曉玲</w:t>
      </w:r>
    </w:p>
    <w:p w14:paraId="27E8303D" w14:textId="77777777" w:rsidR="00705B3D" w:rsidRPr="001B6E4D" w:rsidRDefault="00705B3D" w:rsidP="003D1018">
      <w:pPr>
        <w:pStyle w:val="2fb"/>
        <w:overflowPunct w:val="0"/>
      </w:pPr>
      <w:r w:rsidRPr="001B6E4D">
        <w:t>連署人：林倩綺　林沛祥</w:t>
      </w:r>
    </w:p>
    <w:p w14:paraId="118F4BAF"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年度矯正署及所屬預算案於第4目「一般建築及設備」第1節「交通及運輸設備」項下「交通及運輸設備」中「設備及投資」之「運輸設備費」本年度編列運輸設備費87,110千元，擬</w:t>
      </w:r>
      <w:proofErr w:type="gramStart"/>
      <w:r w:rsidRPr="001B6E4D">
        <w:t>汰</w:t>
      </w:r>
      <w:proofErr w:type="gramEnd"/>
      <w:r w:rsidRPr="001B6E4D">
        <w:t>購42輛小客車，2輛機車。經查，公務車輛明細表，擬</w:t>
      </w:r>
      <w:proofErr w:type="gramStart"/>
      <w:r w:rsidRPr="001B6E4D">
        <w:t>汰</w:t>
      </w:r>
      <w:proofErr w:type="gramEnd"/>
      <w:r w:rsidRPr="001B6E4D">
        <w:t>購之小客車係104年後購置者計有6輛，分別為矯正署首長用車(106.08購置)、</w:t>
      </w:r>
      <w:proofErr w:type="gramStart"/>
      <w:r w:rsidRPr="001B6E4D">
        <w:t>臺</w:t>
      </w:r>
      <w:proofErr w:type="gramEnd"/>
      <w:r w:rsidRPr="001B6E4D">
        <w:t>南監獄(104.10購)、</w:t>
      </w:r>
      <w:proofErr w:type="gramStart"/>
      <w:r w:rsidRPr="001B6E4D">
        <w:t>敦</w:t>
      </w:r>
      <w:proofErr w:type="gramEnd"/>
      <w:r w:rsidRPr="001B6E4D">
        <w:t>品中學(106.07購)、</w:t>
      </w:r>
      <w:r w:rsidRPr="001B6E4D">
        <w:lastRenderedPageBreak/>
        <w:t>勵志中學(107.06購)、東成監獄(106.04購)及</w:t>
      </w:r>
      <w:proofErr w:type="gramStart"/>
      <w:r w:rsidRPr="001B6E4D">
        <w:t>臺</w:t>
      </w:r>
      <w:proofErr w:type="gramEnd"/>
      <w:r w:rsidRPr="001B6E4D">
        <w:t>南第二監獄(104.12購)，為</w:t>
      </w:r>
      <w:proofErr w:type="gramStart"/>
      <w:r w:rsidRPr="001B6E4D">
        <w:t>樽</w:t>
      </w:r>
      <w:proofErr w:type="gramEnd"/>
      <w:r w:rsidRPr="001B6E4D">
        <w:t>節支出，</w:t>
      </w:r>
      <w:proofErr w:type="gramStart"/>
      <w:r w:rsidRPr="001B6E4D">
        <w:t>爰</w:t>
      </w:r>
      <w:proofErr w:type="gramEnd"/>
      <w:r w:rsidRPr="001B6E4D">
        <w:t>減列該項預算1,200萬元。【63】</w:t>
      </w:r>
    </w:p>
    <w:p w14:paraId="415742E7" w14:textId="77777777" w:rsidR="00705B3D" w:rsidRPr="001B6E4D" w:rsidRDefault="00705B3D" w:rsidP="003D1018">
      <w:pPr>
        <w:pStyle w:val="2fb"/>
        <w:overflowPunct w:val="0"/>
      </w:pPr>
      <w:r w:rsidRPr="001B6E4D">
        <w:t>提案人：翁曉玲</w:t>
      </w:r>
    </w:p>
    <w:p w14:paraId="4BAE78F3"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林倩綺</w:t>
      </w:r>
    </w:p>
    <w:p w14:paraId="7F62E4BB" w14:textId="77777777" w:rsidR="00705B3D" w:rsidRPr="001B6E4D" w:rsidRDefault="00705B3D" w:rsidP="003D1018">
      <w:pPr>
        <w:overflowPunct w:val="0"/>
        <w:snapToGrid w:val="0"/>
        <w:ind w:leftChars="150" w:left="1201" w:hangingChars="300" w:hanging="841"/>
        <w:jc w:val="both"/>
        <w:rPr>
          <w:rFonts w:ascii="標楷體" w:eastAsia="標楷體" w:hAnsi="標楷體"/>
          <w:b/>
          <w:color w:val="FF0000"/>
          <w:sz w:val="28"/>
          <w:szCs w:val="28"/>
        </w:rPr>
      </w:pPr>
      <w:r w:rsidRPr="001B6E4D">
        <w:rPr>
          <w:rFonts w:ascii="標楷體" w:eastAsia="標楷體" w:hAnsi="標楷體"/>
          <w:b/>
          <w:sz w:val="28"/>
          <w:szCs w:val="28"/>
        </w:rPr>
        <w:t>本項通過決議</w:t>
      </w:r>
      <w:r w:rsidRPr="001B6E4D">
        <w:rPr>
          <w:rFonts w:ascii="標楷體" w:eastAsia="標楷體" w:hAnsi="標楷體" w:hint="eastAsia"/>
          <w:b/>
          <w:sz w:val="28"/>
          <w:szCs w:val="28"/>
        </w:rPr>
        <w:t>14</w:t>
      </w:r>
      <w:r w:rsidRPr="001B6E4D">
        <w:rPr>
          <w:rFonts w:ascii="標楷體" w:eastAsia="標楷體" w:hAnsi="標楷體"/>
          <w:b/>
          <w:sz w:val="28"/>
          <w:szCs w:val="28"/>
        </w:rPr>
        <w:t>項：</w:t>
      </w:r>
    </w:p>
    <w:p w14:paraId="0FEDCDB3" w14:textId="77777777" w:rsidR="00705B3D" w:rsidRPr="001B6E4D" w:rsidRDefault="00705B3D" w:rsidP="003D1018">
      <w:pPr>
        <w:pStyle w:val="a"/>
        <w:numPr>
          <w:ilvl w:val="0"/>
          <w:numId w:val="69"/>
        </w:numPr>
        <w:overflowPunct w:val="0"/>
        <w:ind w:left="924" w:hanging="567"/>
      </w:pPr>
      <w:proofErr w:type="gramStart"/>
      <w:r w:rsidRPr="001B6E4D">
        <w:t>115</w:t>
      </w:r>
      <w:proofErr w:type="gramEnd"/>
      <w:r w:rsidRPr="001B6E4D">
        <w:t>年度矯正署及所屬歲出預算第2目「矯正業務」編列166億1,523萬4千元，凍結</w:t>
      </w:r>
      <w:r w:rsidRPr="001B6E4D">
        <w:rPr>
          <w:rFonts w:hint="eastAsia"/>
        </w:rPr>
        <w:t>5</w:t>
      </w:r>
      <w:r w:rsidRPr="001B6E4D">
        <w:t>,</w:t>
      </w:r>
      <w:r w:rsidRPr="001B6E4D">
        <w:rPr>
          <w:rFonts w:hint="eastAsia"/>
        </w:rPr>
        <w:t>062</w:t>
      </w:r>
      <w:r w:rsidRPr="001B6E4D">
        <w:t>萬元，</w:t>
      </w:r>
      <w:proofErr w:type="gramStart"/>
      <w:r w:rsidRPr="001B6E4D">
        <w:t>俟</w:t>
      </w:r>
      <w:proofErr w:type="gramEnd"/>
      <w:r w:rsidRPr="001B6E4D">
        <w:t>向立法院司法及法制委員會提出書面報告</w:t>
      </w:r>
      <w:r w:rsidRPr="001B6E4D">
        <w:rPr>
          <w:rFonts w:hint="eastAsia"/>
        </w:rPr>
        <w:t>，並經同意</w:t>
      </w:r>
      <w:r w:rsidRPr="001B6E4D">
        <w:t>後，始得動支。【</w:t>
      </w:r>
      <w:r w:rsidRPr="001B6E4D">
        <w:rPr>
          <w:rFonts w:hint="eastAsia"/>
        </w:rPr>
        <w:t>58、59、61</w:t>
      </w:r>
      <w:r w:rsidRPr="001B6E4D">
        <w:t>】</w:t>
      </w:r>
    </w:p>
    <w:p w14:paraId="30F917EE" w14:textId="77777777" w:rsidR="00705B3D" w:rsidRPr="001B6E4D" w:rsidRDefault="00705B3D" w:rsidP="003D1018">
      <w:pPr>
        <w:overflowPunct w:val="0"/>
        <w:snapToGrid w:val="0"/>
        <w:ind w:leftChars="1500" w:left="4776" w:hangingChars="420" w:hanging="1176"/>
        <w:jc w:val="both"/>
        <w:rPr>
          <w:rFonts w:ascii="標楷體" w:eastAsia="標楷體" w:hAnsi="標楷體"/>
          <w:sz w:val="28"/>
          <w:szCs w:val="28"/>
        </w:rPr>
      </w:pPr>
      <w:r w:rsidRPr="001B6E4D">
        <w:rPr>
          <w:rFonts w:ascii="標楷體" w:eastAsia="標楷體" w:hAnsi="標楷體"/>
          <w:sz w:val="28"/>
          <w:szCs w:val="28"/>
        </w:rPr>
        <w:t>提案人：</w:t>
      </w:r>
      <w:r w:rsidRPr="001B6E4D">
        <w:rPr>
          <w:rFonts w:ascii="標楷體" w:eastAsia="標楷體" w:hAnsi="標楷體" w:hint="eastAsia"/>
          <w:sz w:val="28"/>
          <w:szCs w:val="28"/>
        </w:rPr>
        <w:t>翁曉玲  陳昭姿</w:t>
      </w:r>
    </w:p>
    <w:p w14:paraId="5F17DF60" w14:textId="77777777" w:rsidR="00705B3D" w:rsidRPr="001B6E4D" w:rsidRDefault="00705B3D" w:rsidP="003D1018">
      <w:pPr>
        <w:overflowPunct w:val="0"/>
        <w:snapToGrid w:val="0"/>
        <w:ind w:leftChars="1500" w:left="4776" w:hangingChars="420" w:hanging="1176"/>
        <w:jc w:val="both"/>
        <w:rPr>
          <w:rFonts w:ascii="標楷體" w:eastAsia="標楷體" w:hAnsi="標楷體"/>
          <w:sz w:val="28"/>
          <w:szCs w:val="28"/>
        </w:rPr>
      </w:pPr>
      <w:r w:rsidRPr="001B6E4D">
        <w:rPr>
          <w:rFonts w:ascii="標楷體" w:eastAsia="標楷體" w:hAnsi="標楷體"/>
          <w:sz w:val="28"/>
          <w:szCs w:val="28"/>
        </w:rPr>
        <w:t>連署人：</w:t>
      </w:r>
      <w:r w:rsidRPr="001B6E4D">
        <w:rPr>
          <w:rFonts w:ascii="標楷體" w:eastAsia="標楷體" w:hAnsi="標楷體" w:hint="eastAsia"/>
          <w:sz w:val="28"/>
          <w:szCs w:val="28"/>
        </w:rPr>
        <w:t>林倩綺  林沛祥  許宇</w:t>
      </w:r>
      <w:proofErr w:type="gramStart"/>
      <w:r w:rsidRPr="001B6E4D">
        <w:rPr>
          <w:rFonts w:ascii="標楷體" w:eastAsia="標楷體" w:hAnsi="標楷體" w:hint="eastAsia"/>
          <w:sz w:val="28"/>
          <w:szCs w:val="28"/>
        </w:rPr>
        <w:t>甄</w:t>
      </w:r>
      <w:proofErr w:type="gramEnd"/>
    </w:p>
    <w:p w14:paraId="31E13E84" w14:textId="77777777" w:rsidR="00705B3D" w:rsidRPr="001B6E4D" w:rsidRDefault="00705B3D" w:rsidP="003D1018">
      <w:pPr>
        <w:pStyle w:val="1-1"/>
        <w:numPr>
          <w:ilvl w:val="0"/>
          <w:numId w:val="33"/>
        </w:numPr>
        <w:ind w:left="924" w:hanging="567"/>
      </w:pPr>
      <w:proofErr w:type="gramStart"/>
      <w:r w:rsidRPr="001B6E4D">
        <w:rPr>
          <w:rFonts w:hint="eastAsia"/>
        </w:rPr>
        <w:t>明陽中學</w:t>
      </w:r>
      <w:r w:rsidRPr="001B6E4D">
        <w:t>校</w:t>
      </w:r>
      <w:proofErr w:type="gramEnd"/>
      <w:r w:rsidRPr="001B6E4D">
        <w:t>內無障礙設施需持續改善，通行動線應充分符合行動不便者及特殊照護需求之使用情形；</w:t>
      </w:r>
      <w:proofErr w:type="gramStart"/>
      <w:r w:rsidRPr="001B6E4D">
        <w:t>另校區</w:t>
      </w:r>
      <w:proofErr w:type="gramEnd"/>
      <w:r w:rsidRPr="001B6E4D">
        <w:t>道路亦須注意樹根系橫向生長影響，避免路面凸起、柏油破損等問題，以防增加日常管理及戒護風險。考察其他學校發現前述問題，設施維護不應僅止於一般修繕，更應兼顧安全通行、友善校園、矯正教育及少年身心照護之實際需求。針對無障礙環境、校區道路平整、樹根破壞路面及相關公共安全風險，法務部矯正署及明陽中學允應進行整體盤點，以確保設施養護經費確實改善校園安全與收容環境。</w:t>
      </w:r>
    </w:p>
    <w:p w14:paraId="29282339" w14:textId="77777777" w:rsidR="00705B3D" w:rsidRPr="001B6E4D" w:rsidRDefault="00705B3D" w:rsidP="003D1018">
      <w:pPr>
        <w:pStyle w:val="1f7"/>
        <w:overflowPunct w:val="0"/>
      </w:pPr>
      <w:proofErr w:type="gramStart"/>
      <w:r w:rsidRPr="001B6E4D">
        <w:t>爰</w:t>
      </w:r>
      <w:proofErr w:type="gramEnd"/>
      <w:r w:rsidRPr="001B6E4D">
        <w:rPr>
          <w:rFonts w:hint="eastAsia"/>
        </w:rPr>
        <w:t>請法務部矯正署</w:t>
      </w:r>
      <w:r w:rsidRPr="001B6E4D">
        <w:t>於3個月內向立法院司法及法制委員會提出</w:t>
      </w:r>
      <w:r w:rsidRPr="001B6E4D">
        <w:rPr>
          <w:rFonts w:hint="eastAsia"/>
        </w:rPr>
        <w:t>書面</w:t>
      </w:r>
      <w:r w:rsidRPr="001B6E4D">
        <w:t>報告。【53】</w:t>
      </w:r>
    </w:p>
    <w:p w14:paraId="03DC105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2C6A6EEE"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連署人：翁曉玲　陳昭姿</w:t>
      </w:r>
    </w:p>
    <w:p w14:paraId="0A2E7E33" w14:textId="77777777" w:rsidR="00705B3D" w:rsidRPr="001B6E4D" w:rsidRDefault="00705B3D" w:rsidP="003D1018">
      <w:pPr>
        <w:pStyle w:val="1-1"/>
        <w:numPr>
          <w:ilvl w:val="0"/>
          <w:numId w:val="33"/>
        </w:numPr>
        <w:ind w:left="924" w:hanging="567"/>
      </w:pPr>
      <w:r w:rsidRPr="001B6E4D">
        <w:t>實地考察</w:t>
      </w:r>
      <w:proofErr w:type="gramStart"/>
      <w:r w:rsidRPr="001B6E4D">
        <w:t>敦</w:t>
      </w:r>
      <w:proofErr w:type="gramEnd"/>
      <w:r w:rsidRPr="001B6E4D">
        <w:t>品中學後發現，校內無障礙設施仍有待改善，部分通行動線未能充分符合行動不便者及特殊照護需求之使用情形；</w:t>
      </w:r>
      <w:proofErr w:type="gramStart"/>
      <w:r w:rsidRPr="001B6E4D">
        <w:t>另校區</w:t>
      </w:r>
      <w:proofErr w:type="gramEnd"/>
      <w:r w:rsidRPr="001B6E4D">
        <w:t>道路受榕樹根系橫向生長影響，出現路面凸起、柏油破損等問題，可能增加日常管理及戒護風險。</w:t>
      </w:r>
      <w:proofErr w:type="gramStart"/>
      <w:r w:rsidRPr="001B6E4D">
        <w:t>敦</w:t>
      </w:r>
      <w:proofErr w:type="gramEnd"/>
      <w:r w:rsidRPr="001B6E4D">
        <w:t>品中學作為少年矯正教育機構，其設施維護不應僅止於一般修繕，更應兼顧安全通行、友善校園、矯正教育及少年身心照護之實際需求。針對無障礙環境、校區道路平整、樹根破壞路面及相關公共安全風險，法務部矯正署及</w:t>
      </w:r>
      <w:proofErr w:type="gramStart"/>
      <w:r w:rsidRPr="001B6E4D">
        <w:t>敦</w:t>
      </w:r>
      <w:proofErr w:type="gramEnd"/>
      <w:r w:rsidRPr="001B6E4D">
        <w:t>品中學允應進行整體盤點，提出具體改善期程，以確保設施養護經費確實改善校園安全與收容環境</w:t>
      </w:r>
      <w:r w:rsidRPr="001B6E4D">
        <w:rPr>
          <w:rFonts w:hint="eastAsia"/>
        </w:rPr>
        <w:t>。</w:t>
      </w:r>
    </w:p>
    <w:p w14:paraId="34AC26EC" w14:textId="77777777" w:rsidR="00705B3D" w:rsidRPr="001B6E4D" w:rsidRDefault="00705B3D" w:rsidP="003D1018">
      <w:pPr>
        <w:pStyle w:val="1f7"/>
        <w:overflowPunct w:val="0"/>
      </w:pPr>
      <w:proofErr w:type="gramStart"/>
      <w:r w:rsidRPr="001B6E4D">
        <w:t>爰</w:t>
      </w:r>
      <w:proofErr w:type="gramEnd"/>
      <w:r w:rsidRPr="001B6E4D">
        <w:rPr>
          <w:rFonts w:hint="eastAsia"/>
        </w:rPr>
        <w:t>請法務部矯正署</w:t>
      </w:r>
      <w:r w:rsidRPr="001B6E4D">
        <w:t>於3個月內向立法院司法及法制委員會提出</w:t>
      </w:r>
      <w:r w:rsidRPr="001B6E4D">
        <w:rPr>
          <w:rFonts w:hint="eastAsia"/>
        </w:rPr>
        <w:t>書面</w:t>
      </w:r>
      <w:r w:rsidRPr="001B6E4D">
        <w:t>報告。【54】</w:t>
      </w:r>
    </w:p>
    <w:p w14:paraId="4B5DEEA5" w14:textId="77777777" w:rsidR="00705B3D" w:rsidRPr="001B6E4D" w:rsidRDefault="00705B3D" w:rsidP="003D1018">
      <w:pPr>
        <w:pStyle w:val="2fb"/>
        <w:overflowPunct w:val="0"/>
      </w:pPr>
      <w:r w:rsidRPr="001B6E4D">
        <w:t>提案人：林倩綺</w:t>
      </w:r>
    </w:p>
    <w:p w14:paraId="6D9911A5" w14:textId="77777777" w:rsidR="00705B3D" w:rsidRPr="001B6E4D" w:rsidRDefault="00705B3D" w:rsidP="003D1018">
      <w:pPr>
        <w:pStyle w:val="2fb"/>
        <w:overflowPunct w:val="0"/>
      </w:pPr>
      <w:r w:rsidRPr="001B6E4D">
        <w:t>連署人：翁曉玲　陳昭姿</w:t>
      </w:r>
    </w:p>
    <w:p w14:paraId="2446E1C0"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年度矯正署及所屬預算案於第2目「矯正業務」項下「辦理</w:t>
      </w:r>
      <w:r w:rsidRPr="001B6E4D">
        <w:lastRenderedPageBreak/>
        <w:t>矯正行政業務」中「業務費」編列預算1億3,775萬1千元。</w:t>
      </w:r>
    </w:p>
    <w:p w14:paraId="4E4F5180" w14:textId="77777777" w:rsidR="00705B3D" w:rsidRPr="001B6E4D" w:rsidRDefault="00705B3D" w:rsidP="003D1018">
      <w:pPr>
        <w:pStyle w:val="1f7"/>
        <w:overflowPunct w:val="0"/>
      </w:pPr>
      <w:r w:rsidRPr="001B6E4D">
        <w:t>近期媒體披露</w:t>
      </w:r>
      <w:r w:rsidRPr="001B6E4D">
        <w:rPr>
          <w:rFonts w:hint="eastAsia"/>
        </w:rPr>
        <w:t>法務部矯正署</w:t>
      </w:r>
      <w:proofErr w:type="gramStart"/>
      <w:r w:rsidRPr="001B6E4D">
        <w:rPr>
          <w:rFonts w:hint="eastAsia"/>
        </w:rPr>
        <w:t>臺</w:t>
      </w:r>
      <w:proofErr w:type="gramEnd"/>
      <w:r w:rsidRPr="001B6E4D">
        <w:t>南看守所爆發重大風紀醜聞，受刑人竟能長期盜用他人保管之手機與外界聯繫，時間長達一年，且涉及管理人員涉嫌協助充電、包庇，甚至發生受刑人出獄後與獄政主管餐敘之情事；以及</w:t>
      </w:r>
      <w:r w:rsidRPr="001B6E4D">
        <w:rPr>
          <w:rFonts w:hint="eastAsia"/>
        </w:rPr>
        <w:t>法務部矯正署</w:t>
      </w:r>
      <w:r w:rsidRPr="001B6E4D">
        <w:t>武陵外役監</w:t>
      </w:r>
      <w:r w:rsidRPr="001B6E4D">
        <w:rPr>
          <w:rFonts w:hint="eastAsia"/>
        </w:rPr>
        <w:t>獄</w:t>
      </w:r>
      <w:r w:rsidRPr="001B6E4D">
        <w:t>發生受刑人因索賄不成毆打同袍，並口出「科長</w:t>
      </w:r>
      <w:proofErr w:type="gramStart"/>
      <w:r w:rsidRPr="001B6E4D">
        <w:t>會罩我</w:t>
      </w:r>
      <w:proofErr w:type="gramEnd"/>
      <w:r w:rsidRPr="001B6E4D">
        <w:t>」之狂言，事後更發生機關疑似「技術性干預」被害人移監申請之離譜情事。</w:t>
      </w:r>
    </w:p>
    <w:p w14:paraId="53F671AB" w14:textId="77777777" w:rsidR="00705B3D" w:rsidRPr="001B6E4D" w:rsidRDefault="00705B3D" w:rsidP="003D1018">
      <w:pPr>
        <w:pStyle w:val="1f7"/>
        <w:overflowPunct w:val="0"/>
      </w:pPr>
      <w:r w:rsidRPr="001B6E4D">
        <w:t>有</w:t>
      </w:r>
      <w:proofErr w:type="gramStart"/>
      <w:r w:rsidRPr="001B6E4D">
        <w:t>鑑</w:t>
      </w:r>
      <w:proofErr w:type="gramEnd"/>
      <w:r w:rsidRPr="001B6E4D">
        <w:t>於</w:t>
      </w:r>
      <w:r w:rsidRPr="001B6E4D">
        <w:rPr>
          <w:rFonts w:hint="eastAsia"/>
        </w:rPr>
        <w:t>前開</w:t>
      </w:r>
      <w:r w:rsidRPr="001B6E4D">
        <w:t>獄政管理</w:t>
      </w:r>
      <w:r w:rsidRPr="001B6E4D">
        <w:rPr>
          <w:rFonts w:hint="eastAsia"/>
        </w:rPr>
        <w:t>問題</w:t>
      </w:r>
      <w:r w:rsidRPr="001B6E4D">
        <w:t>，內部申訴機制無法保障被害人，甚至存在特定受刑人享有特權之疑慮。</w:t>
      </w:r>
      <w:r w:rsidRPr="001B6E4D">
        <w:rPr>
          <w:rFonts w:hint="eastAsia"/>
        </w:rPr>
        <w:t>法務部</w:t>
      </w:r>
      <w:r w:rsidRPr="001B6E4D">
        <w:t>矯正</w:t>
      </w:r>
      <w:proofErr w:type="gramStart"/>
      <w:r w:rsidRPr="001B6E4D">
        <w:t>署作</w:t>
      </w:r>
      <w:proofErr w:type="gramEnd"/>
      <w:r w:rsidRPr="001B6E4D">
        <w:t>為監所主管機關，對於所屬監所爆發之集體包庇、</w:t>
      </w:r>
      <w:proofErr w:type="gramStart"/>
      <w:r w:rsidRPr="001B6E4D">
        <w:t>霸凌及</w:t>
      </w:r>
      <w:proofErr w:type="gramEnd"/>
      <w:r w:rsidRPr="001B6E4D">
        <w:t>管理不當案件，未能事前有效督導，事後調查亦被質疑未能秉公處理。</w:t>
      </w:r>
    </w:p>
    <w:p w14:paraId="3073829E" w14:textId="77777777" w:rsidR="00705B3D" w:rsidRPr="001B6E4D" w:rsidRDefault="00705B3D" w:rsidP="003D1018">
      <w:pPr>
        <w:pStyle w:val="1f7"/>
        <w:overflowPunct w:val="0"/>
      </w:pPr>
      <w:proofErr w:type="gramStart"/>
      <w:r w:rsidRPr="001B6E4D">
        <w:t>爰</w:t>
      </w:r>
      <w:proofErr w:type="gramEnd"/>
      <w:r w:rsidRPr="001B6E4D">
        <w:rPr>
          <w:rFonts w:hint="eastAsia"/>
        </w:rPr>
        <w:t>請法務部</w:t>
      </w:r>
      <w:r w:rsidRPr="001B6E4D">
        <w:t>矯正署</w:t>
      </w:r>
      <w:r w:rsidRPr="001B6E4D">
        <w:rPr>
          <w:rFonts w:hint="eastAsia"/>
        </w:rPr>
        <w:t>持續督導各矯正機關落實各項獄政管理措施，並</w:t>
      </w:r>
      <w:r w:rsidRPr="001B6E4D">
        <w:t>於3個月內向立法院司法及法制委員會提出</w:t>
      </w:r>
      <w:r w:rsidRPr="001B6E4D">
        <w:rPr>
          <w:rFonts w:hint="eastAsia"/>
        </w:rPr>
        <w:t>書面</w:t>
      </w:r>
      <w:r w:rsidRPr="001B6E4D">
        <w:t>報告。【55】</w:t>
      </w:r>
    </w:p>
    <w:p w14:paraId="5A66A48A" w14:textId="77777777" w:rsidR="00705B3D" w:rsidRPr="001B6E4D" w:rsidRDefault="00705B3D" w:rsidP="003D1018">
      <w:pPr>
        <w:pStyle w:val="2fb"/>
        <w:overflowPunct w:val="0"/>
      </w:pPr>
      <w:r w:rsidRPr="001B6E4D">
        <w:t>提案人：許宇</w:t>
      </w:r>
      <w:proofErr w:type="gramStart"/>
      <w:r w:rsidRPr="001B6E4D">
        <w:t>甄</w:t>
      </w:r>
      <w:proofErr w:type="gramEnd"/>
    </w:p>
    <w:p w14:paraId="2EC3245D" w14:textId="77777777" w:rsidR="00705B3D" w:rsidRPr="001B6E4D" w:rsidRDefault="00705B3D" w:rsidP="003D1018">
      <w:pPr>
        <w:pStyle w:val="2fb"/>
        <w:overflowPunct w:val="0"/>
      </w:pPr>
      <w:r w:rsidRPr="001B6E4D">
        <w:t>連署人：林沛祥　翁曉玲</w:t>
      </w:r>
    </w:p>
    <w:p w14:paraId="0F56E2A6" w14:textId="77777777" w:rsidR="00705B3D" w:rsidRPr="001B6E4D" w:rsidRDefault="00705B3D" w:rsidP="003D1018">
      <w:pPr>
        <w:pStyle w:val="1f6"/>
        <w:overflowPunct w:val="0"/>
      </w:pPr>
      <w:proofErr w:type="gramStart"/>
      <w:r w:rsidRPr="001B6E4D">
        <w:t>115</w:t>
      </w:r>
      <w:proofErr w:type="gramEnd"/>
      <w:r w:rsidRPr="001B6E4D">
        <w:t>年度矯正署及所屬預算案於第2目「矯正業務」項下「辦理矯正行政業務」中「業務費」之「設施及機械設備養護費」編列預算3,390萬4千元。係為辦理矯正設施之維修、養護及無障礙改善所需。</w:t>
      </w:r>
      <w:proofErr w:type="gramStart"/>
      <w:r w:rsidRPr="001B6E4D">
        <w:t>惟</w:t>
      </w:r>
      <w:proofErr w:type="gramEnd"/>
      <w:r w:rsidRPr="001B6E4D">
        <w:t>實地考察矯正學校及監獄設施後發現，部</w:t>
      </w:r>
      <w:proofErr w:type="gramStart"/>
      <w:r w:rsidRPr="001B6E4D">
        <w:t>分場域仍有</w:t>
      </w:r>
      <w:proofErr w:type="gramEnd"/>
      <w:r w:rsidRPr="001B6E4D">
        <w:t>路面崎嶇、通行動線不佳、無障礙設施不足等問題，顯示相關設施維護及環境改善尚未能充分回應實際收容管理需求。近年矯正機關面臨高齡收容人增加、部分監所超收，以及少年收容人身心發展、心理支持與輔導需求提高等挑戰，矯正設施之安全性將直接影響收容人基本照護、戒護安全、教化輔導及工作人員執勤環境。</w:t>
      </w:r>
      <w:r w:rsidRPr="001B6E4D">
        <w:rPr>
          <w:rFonts w:hint="eastAsia"/>
        </w:rPr>
        <w:t>法務部</w:t>
      </w:r>
      <w:proofErr w:type="gramStart"/>
      <w:r w:rsidRPr="001B6E4D">
        <w:t>矯正署允應</w:t>
      </w:r>
      <w:proofErr w:type="gramEnd"/>
      <w:r w:rsidRPr="001B6E4D">
        <w:t>針對所屬矯正機關之路面鋪設、無障礙設施、老舊設備維修、少年矯正教育空間、醫療及心理輔導場域等項目，建立完整盤點、分級改善及優先辦理機制，並就高齡犯增加、超收問題及少年犯身心理需求提出具體設施改善規劃。</w:t>
      </w:r>
    </w:p>
    <w:p w14:paraId="1341AC23" w14:textId="77777777" w:rsidR="00705B3D" w:rsidRPr="001B6E4D" w:rsidRDefault="00705B3D" w:rsidP="003D1018">
      <w:pPr>
        <w:pStyle w:val="1f7"/>
        <w:overflowPunct w:val="0"/>
      </w:pPr>
      <w:r w:rsidRPr="001B6E4D">
        <w:rPr>
          <w:rFonts w:hint="eastAsia"/>
        </w:rPr>
        <w:t>請法務部</w:t>
      </w:r>
      <w:r w:rsidRPr="001B6E4D">
        <w:t>矯正署於3個月內向立法院司法及法制委員會提出</w:t>
      </w:r>
      <w:r w:rsidRPr="001B6E4D">
        <w:rPr>
          <w:rFonts w:hint="eastAsia"/>
        </w:rPr>
        <w:t>書面</w:t>
      </w:r>
      <w:r w:rsidRPr="001B6E4D">
        <w:t>報告。【56】</w:t>
      </w:r>
    </w:p>
    <w:p w14:paraId="5975662C" w14:textId="77777777" w:rsidR="00705B3D" w:rsidRPr="001B6E4D" w:rsidRDefault="00705B3D" w:rsidP="003D1018">
      <w:pPr>
        <w:pStyle w:val="2fb"/>
        <w:overflowPunct w:val="0"/>
      </w:pPr>
      <w:r w:rsidRPr="001B6E4D">
        <w:t>提案人：林倩綺</w:t>
      </w:r>
    </w:p>
    <w:p w14:paraId="07DD8D50" w14:textId="77777777" w:rsidR="00705B3D" w:rsidRPr="001B6E4D" w:rsidRDefault="00705B3D" w:rsidP="003D1018">
      <w:pPr>
        <w:pStyle w:val="2fb"/>
        <w:overflowPunct w:val="0"/>
      </w:pPr>
      <w:r w:rsidRPr="001B6E4D">
        <w:t>連署人：翁曉玲　陳昭姿</w:t>
      </w:r>
    </w:p>
    <w:p w14:paraId="5982FC0B"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年度矯正署及所屬預算案於第2目「矯正業務」項下「辦理矯正行政業務」中「設備及投資」編列預算5,089萬7千元。</w:t>
      </w:r>
      <w:r w:rsidRPr="001B6E4D">
        <w:lastRenderedPageBreak/>
        <w:t>較</w:t>
      </w:r>
      <w:proofErr w:type="gramStart"/>
      <w:r w:rsidRPr="001B6E4D">
        <w:t>114</w:t>
      </w:r>
      <w:proofErr w:type="gramEnd"/>
      <w:r w:rsidRPr="001B6E4D">
        <w:t>年度預算數2,671</w:t>
      </w:r>
      <w:r w:rsidRPr="001B6E4D">
        <w:rPr>
          <w:rFonts w:hint="eastAsia"/>
        </w:rPr>
        <w:t>萬</w:t>
      </w:r>
      <w:r w:rsidRPr="001B6E4D">
        <w:t>5千元，增加2,418</w:t>
      </w:r>
      <w:r w:rsidRPr="001B6E4D">
        <w:rPr>
          <w:rFonts w:hint="eastAsia"/>
        </w:rPr>
        <w:t>萬</w:t>
      </w:r>
      <w:r w:rsidRPr="001B6E4D">
        <w:t>2千元，增幅90.51%。</w:t>
      </w:r>
    </w:p>
    <w:p w14:paraId="110C24DD" w14:textId="77777777" w:rsidR="00705B3D" w:rsidRPr="001B6E4D" w:rsidRDefault="00705B3D" w:rsidP="003D1018">
      <w:pPr>
        <w:pStyle w:val="1f7"/>
        <w:overflowPunct w:val="0"/>
      </w:pPr>
      <w:r w:rsidRPr="001B6E4D">
        <w:t>有</w:t>
      </w:r>
      <w:proofErr w:type="gramStart"/>
      <w:r w:rsidRPr="001B6E4D">
        <w:t>鑑</w:t>
      </w:r>
      <w:proofErr w:type="gramEnd"/>
      <w:r w:rsidRPr="001B6E4D">
        <w:t>於政府支出大幅提高，預算書卻僅簡略說明矯正機關各項設備</w:t>
      </w:r>
      <w:proofErr w:type="gramStart"/>
      <w:r w:rsidRPr="001B6E4D">
        <w:t>汰</w:t>
      </w:r>
      <w:proofErr w:type="gramEnd"/>
      <w:r w:rsidRPr="001B6E4D">
        <w:t>換、購置等經費，並未載明詳細內容，不利</w:t>
      </w:r>
      <w:r w:rsidRPr="001B6E4D">
        <w:rPr>
          <w:rFonts w:hint="eastAsia"/>
        </w:rPr>
        <w:t>立法</w:t>
      </w:r>
      <w:r w:rsidRPr="001B6E4D">
        <w:t>院預算監督審議。</w:t>
      </w:r>
      <w:r w:rsidRPr="001B6E4D">
        <w:rPr>
          <w:rFonts w:hint="eastAsia"/>
        </w:rPr>
        <w:t>請法務部</w:t>
      </w:r>
      <w:r w:rsidRPr="001B6E4D">
        <w:t>矯正署於3個月內向立法院司法及法制委員會提出</w:t>
      </w:r>
      <w:r w:rsidRPr="001B6E4D">
        <w:rPr>
          <w:rFonts w:hint="eastAsia"/>
        </w:rPr>
        <w:t>書面</w:t>
      </w:r>
      <w:r w:rsidRPr="001B6E4D">
        <w:t>報告</w:t>
      </w:r>
      <w:r w:rsidRPr="001B6E4D">
        <w:rPr>
          <w:rFonts w:hint="eastAsia"/>
        </w:rPr>
        <w:t>說明</w:t>
      </w:r>
      <w:r w:rsidRPr="001B6E4D">
        <w:t>。【57】</w:t>
      </w:r>
    </w:p>
    <w:p w14:paraId="19EEF739" w14:textId="77777777" w:rsidR="00705B3D" w:rsidRPr="001B6E4D" w:rsidRDefault="00705B3D" w:rsidP="003D1018">
      <w:pPr>
        <w:pStyle w:val="2fb"/>
        <w:overflowPunct w:val="0"/>
      </w:pPr>
      <w:r w:rsidRPr="001B6E4D">
        <w:t>提案人：許宇</w:t>
      </w:r>
      <w:proofErr w:type="gramStart"/>
      <w:r w:rsidRPr="001B6E4D">
        <w:t>甄</w:t>
      </w:r>
      <w:proofErr w:type="gramEnd"/>
    </w:p>
    <w:p w14:paraId="7F8EFD60" w14:textId="77777777" w:rsidR="00705B3D" w:rsidRPr="001B6E4D" w:rsidRDefault="00705B3D" w:rsidP="003D1018">
      <w:pPr>
        <w:pStyle w:val="2fb"/>
        <w:overflowPunct w:val="0"/>
      </w:pPr>
      <w:r w:rsidRPr="001B6E4D">
        <w:t>連署人：林沛祥　翁曉玲</w:t>
      </w:r>
    </w:p>
    <w:p w14:paraId="2B9B4A81"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年度矯正署及所屬預算案於第2目「矯正業務」項下「辦理矯正、醫療及訓練業務」中「業務費」編列預算5億0,905萬5千元。</w:t>
      </w:r>
    </w:p>
    <w:p w14:paraId="7F860FCD" w14:textId="77777777" w:rsidR="00705B3D" w:rsidRPr="001B6E4D" w:rsidRDefault="00705B3D" w:rsidP="003D1018">
      <w:pPr>
        <w:pStyle w:val="1f7"/>
        <w:overflowPunct w:val="0"/>
      </w:pPr>
      <w:r w:rsidRPr="001B6E4D">
        <w:t>根據監察院糾正案文，</w:t>
      </w:r>
      <w:r w:rsidRPr="001B6E4D">
        <w:rPr>
          <w:rFonts w:hint="eastAsia"/>
        </w:rPr>
        <w:t>法務部</w:t>
      </w:r>
      <w:r w:rsidRPr="001B6E4D">
        <w:t>矯正署高雄女子監獄對戒護管理人員值勤教育訓練未盡周延，</w:t>
      </w:r>
      <w:proofErr w:type="gramStart"/>
      <w:r w:rsidRPr="001B6E4D">
        <w:t>致戒護</w:t>
      </w:r>
      <w:proofErr w:type="gramEnd"/>
      <w:r w:rsidRPr="001B6E4D">
        <w:t>管理人員應處糖尿病、急重症等收容人</w:t>
      </w:r>
      <w:proofErr w:type="gramStart"/>
      <w:r w:rsidRPr="001B6E4D">
        <w:t>戒護知能</w:t>
      </w:r>
      <w:proofErr w:type="gramEnd"/>
      <w:r w:rsidRPr="001B6E4D">
        <w:t>與敏感度不足，對收容人病況處置失當；嘉義監獄鹿草分監對於身障收容人遭施暴重傷處遇消極並延宕救治，醫療、</w:t>
      </w:r>
      <w:proofErr w:type="gramStart"/>
      <w:r w:rsidRPr="001B6E4D">
        <w:t>戒護處遇</w:t>
      </w:r>
      <w:proofErr w:type="gramEnd"/>
      <w:r w:rsidRPr="001B6E4D">
        <w:t>及執勤</w:t>
      </w:r>
      <w:proofErr w:type="gramStart"/>
      <w:r w:rsidRPr="001B6E4D">
        <w:t>管理均有失當</w:t>
      </w:r>
      <w:proofErr w:type="gramEnd"/>
      <w:r w:rsidRPr="001B6E4D">
        <w:t>；</w:t>
      </w:r>
      <w:r w:rsidRPr="001B6E4D">
        <w:rPr>
          <w:rFonts w:hint="eastAsia"/>
        </w:rPr>
        <w:t>法務部矯正署</w:t>
      </w:r>
      <w:proofErr w:type="gramStart"/>
      <w:r w:rsidRPr="001B6E4D">
        <w:t>臺</w:t>
      </w:r>
      <w:proofErr w:type="gramEnd"/>
      <w:r w:rsidRPr="001B6E4D">
        <w:t>北看守所醫療應變</w:t>
      </w:r>
      <w:proofErr w:type="gramStart"/>
      <w:r w:rsidRPr="001B6E4D">
        <w:t>遲滯，</w:t>
      </w:r>
      <w:proofErr w:type="gramEnd"/>
      <w:r w:rsidRPr="001B6E4D">
        <w:t>對昏迷收容人救助不力致其器官衰竭與終生傷害。有</w:t>
      </w:r>
      <w:proofErr w:type="gramStart"/>
      <w:r w:rsidRPr="001B6E4D">
        <w:t>鑑</w:t>
      </w:r>
      <w:proofErr w:type="gramEnd"/>
      <w:r w:rsidRPr="001B6E4D">
        <w:t>於</w:t>
      </w:r>
      <w:r w:rsidRPr="001B6E4D">
        <w:rPr>
          <w:rFonts w:hint="eastAsia"/>
        </w:rPr>
        <w:t>法務部</w:t>
      </w:r>
      <w:r w:rsidRPr="001B6E4D">
        <w:t>矯正署連年編列高額醫療管理經費，卻一再發生收容人患病後未受到妥善照護，顯見矯正</w:t>
      </w:r>
      <w:r w:rsidRPr="001B6E4D">
        <w:rPr>
          <w:rFonts w:hint="eastAsia"/>
        </w:rPr>
        <w:t>署</w:t>
      </w:r>
      <w:r w:rsidRPr="001B6E4D">
        <w:t>未能落實醫療人權保障。</w:t>
      </w:r>
    </w:p>
    <w:p w14:paraId="55191C9D" w14:textId="77777777" w:rsidR="00705B3D" w:rsidRPr="001B6E4D" w:rsidRDefault="00705B3D" w:rsidP="003D1018">
      <w:pPr>
        <w:pStyle w:val="1f7"/>
        <w:overflowPunct w:val="0"/>
      </w:pPr>
      <w:proofErr w:type="gramStart"/>
      <w:r w:rsidRPr="001B6E4D">
        <w:rPr>
          <w:rFonts w:hint="eastAsia"/>
        </w:rPr>
        <w:t>爰</w:t>
      </w:r>
      <w:proofErr w:type="gramEnd"/>
      <w:r w:rsidRPr="001B6E4D">
        <w:rPr>
          <w:rFonts w:hint="eastAsia"/>
        </w:rPr>
        <w:t>請法務部</w:t>
      </w:r>
      <w:r w:rsidRPr="001B6E4D">
        <w:t>矯正署</w:t>
      </w:r>
      <w:r w:rsidRPr="001B6E4D">
        <w:rPr>
          <w:rFonts w:hint="eastAsia"/>
        </w:rPr>
        <w:t>針對收容人醫療照護機制</w:t>
      </w:r>
      <w:r w:rsidRPr="001B6E4D">
        <w:t>於3個月內向立法院司法及法制委員會提出</w:t>
      </w:r>
      <w:r w:rsidRPr="001B6E4D">
        <w:rPr>
          <w:rFonts w:hint="eastAsia"/>
        </w:rPr>
        <w:t>書面</w:t>
      </w:r>
      <w:r w:rsidRPr="001B6E4D">
        <w:t>報告。【60】</w:t>
      </w:r>
    </w:p>
    <w:p w14:paraId="3F6B97AA" w14:textId="77777777" w:rsidR="00705B3D" w:rsidRPr="001B6E4D" w:rsidRDefault="00705B3D" w:rsidP="003D1018">
      <w:pPr>
        <w:pStyle w:val="2fb"/>
        <w:overflowPunct w:val="0"/>
      </w:pPr>
      <w:r w:rsidRPr="001B6E4D">
        <w:t>提案人：許宇</w:t>
      </w:r>
      <w:proofErr w:type="gramStart"/>
      <w:r w:rsidRPr="001B6E4D">
        <w:t>甄</w:t>
      </w:r>
      <w:proofErr w:type="gramEnd"/>
    </w:p>
    <w:p w14:paraId="1DA62C6D" w14:textId="77777777" w:rsidR="00705B3D" w:rsidRPr="001B6E4D" w:rsidRDefault="00705B3D" w:rsidP="003D1018">
      <w:pPr>
        <w:pStyle w:val="2fb"/>
        <w:overflowPunct w:val="0"/>
      </w:pPr>
      <w:r w:rsidRPr="001B6E4D">
        <w:t>連署人：林沛祥　翁曉玲</w:t>
      </w:r>
    </w:p>
    <w:p w14:paraId="0B031902"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年度矯正署及所屬預算案於第3目「改善監所計畫」項下「改善監所計畫」中「設備及投資」</w:t>
      </w:r>
      <w:proofErr w:type="gramStart"/>
      <w:r w:rsidRPr="001B6E4D">
        <w:t>臺</w:t>
      </w:r>
      <w:proofErr w:type="gramEnd"/>
      <w:r w:rsidRPr="001B6E4D">
        <w:t>北看守所及</w:t>
      </w:r>
      <w:proofErr w:type="gramStart"/>
      <w:r w:rsidRPr="001B6E4D">
        <w:t>臺</w:t>
      </w:r>
      <w:proofErr w:type="gramEnd"/>
      <w:r w:rsidRPr="001B6E4D">
        <w:t>北女子看守所遷建工程中長程個案計畫</w:t>
      </w:r>
      <w:r w:rsidRPr="001B6E4D">
        <w:rPr>
          <w:rFonts w:hint="eastAsia"/>
        </w:rPr>
        <w:t>，</w:t>
      </w:r>
      <w:proofErr w:type="gramStart"/>
      <w:r w:rsidRPr="001B6E4D">
        <w:rPr>
          <w:rFonts w:hint="eastAsia"/>
        </w:rPr>
        <w:t>115</w:t>
      </w:r>
      <w:proofErr w:type="gramEnd"/>
      <w:r w:rsidRPr="001B6E4D">
        <w:rPr>
          <w:rFonts w:hint="eastAsia"/>
        </w:rPr>
        <w:t>年度</w:t>
      </w:r>
      <w:r w:rsidRPr="001B6E4D">
        <w:t>編列第1年經費20</w:t>
      </w:r>
      <w:r w:rsidRPr="001B6E4D">
        <w:rPr>
          <w:rFonts w:hint="eastAsia"/>
        </w:rPr>
        <w:t>億</w:t>
      </w:r>
      <w:r w:rsidRPr="001B6E4D">
        <w:t>2,805</w:t>
      </w:r>
      <w:r w:rsidRPr="001B6E4D">
        <w:rPr>
          <w:rFonts w:hint="eastAsia"/>
        </w:rPr>
        <w:t>萬</w:t>
      </w:r>
      <w:r w:rsidRPr="001B6E4D">
        <w:t>3千元，預定辦理國有不動產撥用相關作業。</w:t>
      </w:r>
      <w:proofErr w:type="gramStart"/>
      <w:r w:rsidRPr="001B6E4D">
        <w:rPr>
          <w:rFonts w:hint="eastAsia"/>
        </w:rPr>
        <w:t>鑑</w:t>
      </w:r>
      <w:r w:rsidRPr="001B6E4D">
        <w:t>於監</w:t>
      </w:r>
      <w:proofErr w:type="gramEnd"/>
      <w:r w:rsidRPr="001B6E4D">
        <w:t>所改善計畫成功工程進度屢屢未盡理想，執行進度延宕，為監督政府改善監所</w:t>
      </w:r>
      <w:r w:rsidRPr="001B6E4D">
        <w:rPr>
          <w:rFonts w:hint="eastAsia"/>
        </w:rPr>
        <w:t>收</w:t>
      </w:r>
      <w:r w:rsidRPr="001B6E4D">
        <w:t>容空間不足現況，</w:t>
      </w:r>
      <w:r w:rsidRPr="001B6E4D">
        <w:rPr>
          <w:rFonts w:hint="eastAsia"/>
        </w:rPr>
        <w:t>為利掌握法務部</w:t>
      </w:r>
      <w:r w:rsidRPr="001B6E4D">
        <w:t>矯正署</w:t>
      </w:r>
      <w:r w:rsidRPr="001B6E4D">
        <w:rPr>
          <w:rFonts w:hint="eastAsia"/>
        </w:rPr>
        <w:t>現行推動相關工程之進度與期程，</w:t>
      </w:r>
      <w:proofErr w:type="gramStart"/>
      <w:r w:rsidRPr="001B6E4D">
        <w:rPr>
          <w:rFonts w:hint="eastAsia"/>
        </w:rPr>
        <w:t>爰</w:t>
      </w:r>
      <w:proofErr w:type="gramEnd"/>
      <w:r w:rsidRPr="001B6E4D">
        <w:rPr>
          <w:rFonts w:hint="eastAsia"/>
        </w:rPr>
        <w:t>請法務部</w:t>
      </w:r>
      <w:r w:rsidRPr="001B6E4D">
        <w:t>矯正署</w:t>
      </w:r>
      <w:r w:rsidRPr="001B6E4D">
        <w:rPr>
          <w:rFonts w:hint="eastAsia"/>
        </w:rPr>
        <w:t>於3個月內</w:t>
      </w:r>
      <w:r w:rsidRPr="001B6E4D">
        <w:t>向立法院司法及法制委員會提出書面報告。【62】</w:t>
      </w:r>
    </w:p>
    <w:p w14:paraId="10E3192D"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提案人：翁曉玲</w:t>
      </w:r>
    </w:p>
    <w:p w14:paraId="734996B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連署人：許宇</w:t>
      </w:r>
      <w:proofErr w:type="gramStart"/>
      <w:r w:rsidRPr="001B6E4D">
        <w:rPr>
          <w:rFonts w:ascii="標楷體" w:eastAsia="標楷體" w:hAnsi="標楷體"/>
          <w:color w:val="000000"/>
          <w:sz w:val="28"/>
          <w:szCs w:val="28"/>
        </w:rPr>
        <w:t>甄</w:t>
      </w:r>
      <w:proofErr w:type="gramEnd"/>
      <w:r w:rsidRPr="001B6E4D">
        <w:rPr>
          <w:rFonts w:ascii="標楷體" w:eastAsia="標楷體" w:hAnsi="標楷體"/>
          <w:color w:val="000000"/>
          <w:sz w:val="28"/>
          <w:szCs w:val="28"/>
        </w:rPr>
        <w:t xml:space="preserve">　林倩綺</w:t>
      </w:r>
    </w:p>
    <w:p w14:paraId="692782E8" w14:textId="77777777" w:rsidR="00705B3D" w:rsidRPr="001B6E4D" w:rsidRDefault="00705B3D" w:rsidP="003D1018">
      <w:pPr>
        <w:pStyle w:val="1-1"/>
        <w:numPr>
          <w:ilvl w:val="0"/>
          <w:numId w:val="33"/>
        </w:numPr>
        <w:ind w:left="924" w:hanging="567"/>
      </w:pPr>
      <w:r w:rsidRPr="001B6E4D">
        <w:t>為了提升受刑人</w:t>
      </w:r>
      <w:proofErr w:type="gramStart"/>
      <w:r w:rsidRPr="001B6E4D">
        <w:t>個</w:t>
      </w:r>
      <w:proofErr w:type="gramEnd"/>
      <w:r w:rsidRPr="001B6E4D">
        <w:t>別處遇計畫，</w:t>
      </w:r>
      <w:r w:rsidRPr="001B6E4D">
        <w:rPr>
          <w:rFonts w:hint="eastAsia"/>
        </w:rPr>
        <w:t>法務部矯正署</w:t>
      </w:r>
      <w:proofErr w:type="gramStart"/>
      <w:r w:rsidRPr="001B6E4D">
        <w:t>臺</w:t>
      </w:r>
      <w:proofErr w:type="gramEnd"/>
      <w:r w:rsidRPr="001B6E4D">
        <w:t>南第二監獄試辦「受刑人</w:t>
      </w:r>
      <w:proofErr w:type="gramStart"/>
      <w:r w:rsidRPr="001B6E4D">
        <w:t>個</w:t>
      </w:r>
      <w:proofErr w:type="gramEnd"/>
      <w:r w:rsidRPr="001B6E4D">
        <w:t>別處遇自主管理卡（自主卡）」，讓受刑人擔任自身個案管理師，教誨師轉變為大個案督導，簡化行政流程並強化學習自主性。建立受刑人自主管理機制，強化其自我約束與</w:t>
      </w:r>
      <w:r w:rsidRPr="001B6E4D">
        <w:lastRenderedPageBreak/>
        <w:t>終身學習態度，提升教誨師個案管理效率，達成司法改革「深化個別處遇」之目標，激發受刑人學習動機，促進假釋審核量表中「處遇成效」指標之達成。</w:t>
      </w:r>
    </w:p>
    <w:p w14:paraId="2BD5E084" w14:textId="77777777" w:rsidR="00705B3D" w:rsidRPr="001B6E4D" w:rsidRDefault="00705B3D" w:rsidP="003D1018">
      <w:pPr>
        <w:pStyle w:val="1f7"/>
        <w:overflowPunct w:val="0"/>
      </w:pPr>
      <w:proofErr w:type="gramStart"/>
      <w:r w:rsidRPr="001B6E4D">
        <w:t>爰</w:t>
      </w:r>
      <w:proofErr w:type="gramEnd"/>
      <w:r w:rsidRPr="001B6E4D">
        <w:t>請</w:t>
      </w:r>
      <w:r w:rsidRPr="001B6E4D">
        <w:rPr>
          <w:rFonts w:hint="eastAsia"/>
        </w:rPr>
        <w:t>法務部</w:t>
      </w:r>
      <w:r w:rsidRPr="001B6E4D">
        <w:t>矯正署評估如何將「</w:t>
      </w:r>
      <w:proofErr w:type="gramStart"/>
      <w:r w:rsidRPr="001B6E4D">
        <w:t>個</w:t>
      </w:r>
      <w:proofErr w:type="gramEnd"/>
      <w:r w:rsidRPr="001B6E4D">
        <w:t>別處遇自主管理卡」，推廣至全國各地之矯正機關</w:t>
      </w:r>
      <w:r w:rsidRPr="001B6E4D">
        <w:rPr>
          <w:rFonts w:hint="eastAsia"/>
        </w:rPr>
        <w:t>，</w:t>
      </w:r>
      <w:r w:rsidRPr="001B6E4D">
        <w:t>於3個月內向立法院司法及法制委員會提出評估報告。【64】</w:t>
      </w:r>
    </w:p>
    <w:p w14:paraId="4712E073" w14:textId="77777777" w:rsidR="00705B3D" w:rsidRPr="001B6E4D" w:rsidRDefault="00705B3D" w:rsidP="003D1018">
      <w:pPr>
        <w:pStyle w:val="2fb"/>
        <w:overflowPunct w:val="0"/>
      </w:pPr>
      <w:r w:rsidRPr="001B6E4D">
        <w:t>提案人：沈發惠</w:t>
      </w:r>
    </w:p>
    <w:p w14:paraId="3A3973F8" w14:textId="77777777" w:rsidR="00705B3D" w:rsidRPr="001B6E4D" w:rsidRDefault="00705B3D" w:rsidP="003D1018">
      <w:pPr>
        <w:pStyle w:val="2fb"/>
        <w:overflowPunct w:val="0"/>
      </w:pPr>
      <w:r w:rsidRPr="001B6E4D">
        <w:t>連署人：張雅琳　莊瑞雄</w:t>
      </w:r>
    </w:p>
    <w:p w14:paraId="4922C2EA" w14:textId="77777777" w:rsidR="00705B3D" w:rsidRPr="001B6E4D" w:rsidRDefault="00705B3D" w:rsidP="003D1018">
      <w:pPr>
        <w:pStyle w:val="1-1"/>
        <w:numPr>
          <w:ilvl w:val="0"/>
          <w:numId w:val="33"/>
        </w:numPr>
        <w:ind w:left="924" w:hanging="567"/>
      </w:pPr>
      <w:r w:rsidRPr="001B6E4D">
        <w:t>查審計部報告指出，法務部為協助收容人親友便捷查詢及辦理接見作業，減輕矯正機關人員工作負荷，達到穩定</w:t>
      </w:r>
      <w:proofErr w:type="gramStart"/>
      <w:r w:rsidRPr="001B6E4D">
        <w:t>囚情及使</w:t>
      </w:r>
      <w:proofErr w:type="gramEnd"/>
      <w:r w:rsidRPr="001B6E4D">
        <w:t>收容人家屬安心之雙重效益，於110至113年間，提供一站式智慧接見整合服務，於矯正機關接見室設置實體機</w:t>
      </w:r>
      <w:proofErr w:type="gramStart"/>
      <w:r w:rsidRPr="001B6E4D">
        <w:t>臺</w:t>
      </w:r>
      <w:proofErr w:type="gramEnd"/>
      <w:r w:rsidRPr="001B6E4D">
        <w:t>，供收容人親友於辦理接見登記時自行操作該設備辦理接見或寄菜服務，截至114年3月底止，已導入10個矯正機關（監獄）使用，占所有29個監獄之34.48%。</w:t>
      </w:r>
    </w:p>
    <w:p w14:paraId="559C7255" w14:textId="77777777" w:rsidR="00705B3D" w:rsidRPr="001B6E4D" w:rsidRDefault="00705B3D" w:rsidP="003D1018">
      <w:pPr>
        <w:pStyle w:val="1f7"/>
        <w:overflowPunct w:val="0"/>
      </w:pPr>
      <w:proofErr w:type="gramStart"/>
      <w:r w:rsidRPr="001B6E4D">
        <w:t>爰</w:t>
      </w:r>
      <w:proofErr w:type="gramEnd"/>
      <w:r w:rsidRPr="001B6E4D">
        <w:t>請</w:t>
      </w:r>
      <w:r w:rsidRPr="001B6E4D">
        <w:rPr>
          <w:rFonts w:hint="eastAsia"/>
        </w:rPr>
        <w:t>法務部</w:t>
      </w:r>
      <w:r w:rsidRPr="001B6E4D">
        <w:t>矯正署針對「一站式智慧接見整合服務」導入各級矯正機關（含其餘監獄、看守所、戒治所及少觀所等）提出建置評估計畫，於2個月內向立法院司法及法制委員會提出書面報告。【65】</w:t>
      </w:r>
    </w:p>
    <w:p w14:paraId="6DDB1339" w14:textId="77777777" w:rsidR="00705B3D" w:rsidRPr="001B6E4D" w:rsidRDefault="00705B3D" w:rsidP="003D1018">
      <w:pPr>
        <w:pStyle w:val="2fb"/>
        <w:overflowPunct w:val="0"/>
      </w:pPr>
      <w:r w:rsidRPr="001B6E4D">
        <w:t>提案人：沈發惠</w:t>
      </w:r>
    </w:p>
    <w:p w14:paraId="087D6493" w14:textId="77777777" w:rsidR="00705B3D" w:rsidRPr="001B6E4D" w:rsidRDefault="00705B3D" w:rsidP="003D1018">
      <w:pPr>
        <w:pStyle w:val="2fb"/>
        <w:overflowPunct w:val="0"/>
      </w:pPr>
      <w:r w:rsidRPr="001B6E4D">
        <w:t>連署人：張雅琳　莊瑞雄</w:t>
      </w:r>
    </w:p>
    <w:p w14:paraId="4D882069" w14:textId="77777777" w:rsidR="00705B3D" w:rsidRPr="001B6E4D" w:rsidRDefault="00705B3D" w:rsidP="003D1018">
      <w:pPr>
        <w:pStyle w:val="1-1"/>
        <w:numPr>
          <w:ilvl w:val="0"/>
          <w:numId w:val="33"/>
        </w:numPr>
        <w:ind w:left="924" w:hanging="567"/>
      </w:pPr>
      <w:r w:rsidRPr="001B6E4D">
        <w:t>依法務</w:t>
      </w:r>
      <w:r w:rsidRPr="001B6E4D">
        <w:rPr>
          <w:rFonts w:hint="eastAsia"/>
        </w:rPr>
        <w:t>部法務</w:t>
      </w:r>
      <w:r w:rsidRPr="001B6E4D">
        <w:t>統計觀之，104至113年毒品危害防制條例受刑人長期約占在監受刑人四成，毒品戒癮高度仰賴醫療、心理、社工及職能治療之多元介入，查矯正期刊指出，目前矯正機關內專業人力嚴重匱乏與跨專業合作不足，影響處遇成效，為健全</w:t>
      </w:r>
      <w:proofErr w:type="gramStart"/>
      <w:r w:rsidRPr="001B6E4D">
        <w:t>戒癮處遇</w:t>
      </w:r>
      <w:proofErr w:type="gramEnd"/>
      <w:r w:rsidRPr="001B6E4D">
        <w:t>與協助</w:t>
      </w:r>
      <w:proofErr w:type="gramStart"/>
      <w:r w:rsidRPr="001B6E4D">
        <w:t>毒品犯復歸</w:t>
      </w:r>
      <w:proofErr w:type="gramEnd"/>
      <w:r w:rsidRPr="001B6E4D">
        <w:t>社會，應增加職能治療師在戒癮支持體系中的參與比例及推動跨專業整合模式，建立一個能全面支持成癮者復原的多面向性支持體系。</w:t>
      </w:r>
    </w:p>
    <w:p w14:paraId="7A504125" w14:textId="77777777" w:rsidR="00705B3D" w:rsidRPr="001B6E4D" w:rsidRDefault="00705B3D" w:rsidP="003D1018">
      <w:pPr>
        <w:pStyle w:val="1f7"/>
        <w:overflowPunct w:val="0"/>
      </w:pPr>
      <w:r w:rsidRPr="001B6E4D">
        <w:t>為完善整體</w:t>
      </w:r>
      <w:proofErr w:type="gramStart"/>
      <w:r w:rsidRPr="001B6E4D">
        <w:t>戒癮處遇</w:t>
      </w:r>
      <w:proofErr w:type="gramEnd"/>
      <w:r w:rsidRPr="001B6E4D">
        <w:t>計畫，</w:t>
      </w:r>
      <w:proofErr w:type="gramStart"/>
      <w:r w:rsidRPr="001B6E4D">
        <w:t>爰</w:t>
      </w:r>
      <w:proofErr w:type="gramEnd"/>
      <w:r w:rsidRPr="001B6E4D">
        <w:t>請</w:t>
      </w:r>
      <w:r w:rsidRPr="001B6E4D">
        <w:rPr>
          <w:rFonts w:hint="eastAsia"/>
        </w:rPr>
        <w:t>法務部</w:t>
      </w:r>
      <w:r w:rsidRPr="001B6E4D">
        <w:t>矯正署針對現行戒癮體系中的問題，評估建立與相關部會橫向協調醫療、心理、社工、職能治療師等多元專業參與之機制，確保服務整合與個案需求被滿足</w:t>
      </w:r>
      <w:r w:rsidRPr="001B6E4D">
        <w:rPr>
          <w:rFonts w:hint="eastAsia"/>
        </w:rPr>
        <w:t>，</w:t>
      </w:r>
      <w:r w:rsidRPr="001B6E4D">
        <w:t>於3個月內向立法院司法及法制委員會提出書面報告。【66】</w:t>
      </w:r>
    </w:p>
    <w:p w14:paraId="73E022F2"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78A99D84"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連署人：張雅琳　莊瑞雄</w:t>
      </w:r>
    </w:p>
    <w:p w14:paraId="1E0CB7AF" w14:textId="77777777" w:rsidR="00705B3D" w:rsidRPr="001B6E4D" w:rsidRDefault="00705B3D" w:rsidP="003D1018">
      <w:pPr>
        <w:pStyle w:val="1-1"/>
        <w:numPr>
          <w:ilvl w:val="0"/>
          <w:numId w:val="33"/>
        </w:numPr>
        <w:ind w:left="924" w:hanging="567"/>
      </w:pPr>
      <w:r w:rsidRPr="001B6E4D">
        <w:t>少年矯正學校兼具教育、生活、輔導、技職訓練及矯正處遇功能，其校園設施安全、無障礙環境及基本學習生活空間品質，</w:t>
      </w:r>
      <w:proofErr w:type="gramStart"/>
      <w:r w:rsidRPr="001B6E4D">
        <w:t>攸</w:t>
      </w:r>
      <w:proofErr w:type="gramEnd"/>
      <w:r w:rsidRPr="001B6E4D">
        <w:t>關學生受教權、身心安全、生活品質、教師工作條件及</w:t>
      </w:r>
      <w:r w:rsidRPr="001B6E4D">
        <w:lastRenderedPageBreak/>
        <w:t>感化教育成效。其收容對象多為仍在發展階段之少年，且部分學生可能有身心障礙、情緒障礙、學習障礙、行動不便或其他特殊教育需求。若校園環境存在路面隆起、動線不平、無障礙設施不足、教室與宿舍設備老舊、活動空間安全性不足等問題，不僅會影響日常管理，也可能增加跌倒、受傷、衝突或情緒失控等風險，進而影響教學、輔導與處遇品質。</w:t>
      </w:r>
    </w:p>
    <w:p w14:paraId="68EF693F" w14:textId="77777777" w:rsidR="00705B3D" w:rsidRPr="001B6E4D" w:rsidRDefault="00705B3D" w:rsidP="003D1018">
      <w:pPr>
        <w:pStyle w:val="1f7"/>
        <w:overflowPunct w:val="0"/>
      </w:pPr>
      <w:r w:rsidRPr="001B6E4D">
        <w:t>又少年矯正學校不同於一般矯正機關，其日常場域同時包含教室、宿舍、輔導空間、技職訓練教室、活動場地、醫療及心理諮商空間等，</w:t>
      </w:r>
      <w:proofErr w:type="gramStart"/>
      <w:r w:rsidRPr="001B6E4D">
        <w:t>均應符合</w:t>
      </w:r>
      <w:proofErr w:type="gramEnd"/>
      <w:r w:rsidRPr="001B6E4D">
        <w:t>安全、可近用、友善及適齡原則。若未能定期盤點並分年改善，不僅不利於特殊需求學生平等參與學習與處遇，也將增加第一線教師、教導員、輔導人員及戒護管理人員之工作負擔。</w:t>
      </w:r>
    </w:p>
    <w:p w14:paraId="43A58A53" w14:textId="77777777" w:rsidR="00705B3D" w:rsidRPr="001B6E4D" w:rsidRDefault="00705B3D" w:rsidP="003D1018">
      <w:pPr>
        <w:pStyle w:val="1f7"/>
        <w:overflowPunct w:val="0"/>
      </w:pPr>
      <w:r w:rsidRPr="001B6E4D">
        <w:t>可見少年矯正學校之設施維護與學習生活環境改善，不應僅被視為一般庶務支出，而應作為少年矯正教育及復歸處遇之基礎條件。</w:t>
      </w:r>
    </w:p>
    <w:p w14:paraId="40B87655" w14:textId="77777777" w:rsidR="00705B3D" w:rsidRPr="001B6E4D" w:rsidRDefault="00705B3D" w:rsidP="003D1018">
      <w:pPr>
        <w:pStyle w:val="1f7"/>
        <w:overflowPunct w:val="0"/>
      </w:pPr>
      <w:proofErr w:type="gramStart"/>
      <w:r w:rsidRPr="001B6E4D">
        <w:t>爰</w:t>
      </w:r>
      <w:proofErr w:type="gramEnd"/>
      <w:r w:rsidRPr="001B6E4D">
        <w:t>要求法務部矯正署於3個月內，就</w:t>
      </w:r>
      <w:proofErr w:type="gramStart"/>
      <w:r w:rsidRPr="001B6E4D">
        <w:t>敦</w:t>
      </w:r>
      <w:proofErr w:type="gramEnd"/>
      <w:r w:rsidRPr="001B6E4D">
        <w:t>品中學、誠正中學、勵志中學及明陽中學4所少年矯正學校之設施設備安全、無障礙環境及基本學習生活空間進行全面盤點，並就高風險或急迫改善項目</w:t>
      </w:r>
      <w:r w:rsidRPr="001B6E4D">
        <w:rPr>
          <w:rFonts w:hint="eastAsia"/>
        </w:rPr>
        <w:t>向</w:t>
      </w:r>
      <w:r w:rsidRPr="001B6E4D">
        <w:t>立法院司法及法制委員會提出優先順序及改善期程書面報告。【67】</w:t>
      </w:r>
    </w:p>
    <w:p w14:paraId="7FA06F18" w14:textId="77777777" w:rsidR="00705B3D" w:rsidRPr="001B6E4D" w:rsidRDefault="00705B3D" w:rsidP="003D1018">
      <w:pPr>
        <w:pStyle w:val="2fb"/>
        <w:overflowPunct w:val="0"/>
      </w:pPr>
      <w:r w:rsidRPr="001B6E4D">
        <w:t>提案人：張雅琳</w:t>
      </w:r>
    </w:p>
    <w:p w14:paraId="48D2F237" w14:textId="77777777" w:rsidR="00705B3D" w:rsidRPr="001B6E4D" w:rsidRDefault="00705B3D" w:rsidP="003D1018">
      <w:pPr>
        <w:pStyle w:val="2fb"/>
        <w:overflowPunct w:val="0"/>
      </w:pPr>
      <w:r w:rsidRPr="001B6E4D">
        <w:t xml:space="preserve">連署人：沈發惠　</w:t>
      </w:r>
      <w:proofErr w:type="gramStart"/>
      <w:r w:rsidRPr="001B6E4D">
        <w:t>范</w:t>
      </w:r>
      <w:proofErr w:type="gramEnd"/>
      <w:r w:rsidRPr="001B6E4D">
        <w:t xml:space="preserve">　雲</w:t>
      </w:r>
    </w:p>
    <w:p w14:paraId="5FA3039E" w14:textId="77777777" w:rsidR="00705B3D" w:rsidRPr="001B6E4D" w:rsidRDefault="00705B3D" w:rsidP="003D1018">
      <w:pPr>
        <w:pStyle w:val="1-1"/>
        <w:numPr>
          <w:ilvl w:val="0"/>
          <w:numId w:val="33"/>
        </w:numPr>
        <w:ind w:left="924" w:hanging="567"/>
      </w:pPr>
      <w:r w:rsidRPr="001B6E4D">
        <w:t>少年矯正學校收容對象多為仍在發展階段之少年，其身處封閉式生活與學習環境，日常生活、課程安排、輔導處遇、戒護管理、懲處措施、同儕互動及與外界聯繫等事項，均可能直接影響其受教權、身心安全、表意權及受適當處遇之權利。</w:t>
      </w:r>
    </w:p>
    <w:p w14:paraId="0BCEA3DC" w14:textId="77777777" w:rsidR="00705B3D" w:rsidRPr="001B6E4D" w:rsidRDefault="00705B3D" w:rsidP="003D1018">
      <w:pPr>
        <w:pStyle w:val="1f7"/>
        <w:overflowPunct w:val="0"/>
      </w:pPr>
      <w:r w:rsidRPr="001B6E4D">
        <w:t>相較一般學生，矯正學校學生因資訊取得、外部支持、法律資源及親友</w:t>
      </w:r>
      <w:proofErr w:type="gramStart"/>
      <w:r w:rsidRPr="001B6E4D">
        <w:t>協助均較受</w:t>
      </w:r>
      <w:proofErr w:type="gramEnd"/>
      <w:r w:rsidRPr="001B6E4D">
        <w:t>限制，</w:t>
      </w:r>
      <w:proofErr w:type="gramStart"/>
      <w:r w:rsidRPr="001B6E4D">
        <w:t>若校內</w:t>
      </w:r>
      <w:proofErr w:type="gramEnd"/>
      <w:r w:rsidRPr="001B6E4D">
        <w:t>申</w:t>
      </w:r>
      <w:r w:rsidRPr="001B6E4D">
        <w:rPr>
          <w:rFonts w:hint="eastAsia"/>
        </w:rPr>
        <w:t>訴</w:t>
      </w:r>
      <w:r w:rsidRPr="001B6E4D">
        <w:t>、陳情或意見反映機制不夠友善及保密，將可能使學生即使遭遇不當對待，也不敢反映、無從反映，或反映後未能獲得妥適處理。</w:t>
      </w:r>
    </w:p>
    <w:p w14:paraId="1170F223" w14:textId="77777777" w:rsidR="00705B3D" w:rsidRPr="001B6E4D" w:rsidRDefault="00705B3D" w:rsidP="003D1018">
      <w:pPr>
        <w:pStyle w:val="1f7"/>
        <w:overflowPunct w:val="0"/>
      </w:pPr>
      <w:r w:rsidRPr="001B6E4D">
        <w:t>現行校內雖設有意見箱、申訴或反映管道，並由保護官、教師、教導員、輔導人員等與學生接觸，惟各校申</w:t>
      </w:r>
      <w:r w:rsidRPr="001B6E4D">
        <w:rPr>
          <w:rFonts w:hint="eastAsia"/>
        </w:rPr>
        <w:t>訴</w:t>
      </w:r>
      <w:r w:rsidRPr="001B6E4D">
        <w:t>管道是否明確告知學生、學生是否理解可申</w:t>
      </w:r>
      <w:r w:rsidRPr="001B6E4D">
        <w:rPr>
          <w:rFonts w:hint="eastAsia"/>
        </w:rPr>
        <w:t>訴</w:t>
      </w:r>
      <w:r w:rsidRPr="001B6E4D">
        <w:t>事項、申</w:t>
      </w:r>
      <w:r w:rsidRPr="001B6E4D">
        <w:rPr>
          <w:rFonts w:hint="eastAsia"/>
        </w:rPr>
        <w:t>訴</w:t>
      </w:r>
      <w:r w:rsidRPr="001B6E4D">
        <w:t>後處理流程及期限是否一致、是否設有防止報復或不利對待之機制、是否能就特殊需求學生提供協助，仍有進一步檢討必要。</w:t>
      </w:r>
    </w:p>
    <w:p w14:paraId="3505D992" w14:textId="77777777" w:rsidR="00705B3D" w:rsidRPr="001B6E4D" w:rsidRDefault="00705B3D" w:rsidP="003D1018">
      <w:pPr>
        <w:pStyle w:val="1f7"/>
        <w:overflowPunct w:val="0"/>
      </w:pPr>
      <w:r w:rsidRPr="001B6E4D">
        <w:t>另考量少年矯正學校屬封閉式場域，學生與校方、戒護管理人員及處遇人員間存在權力不對等關係，若申</w:t>
      </w:r>
      <w:r w:rsidRPr="001B6E4D">
        <w:rPr>
          <w:rFonts w:hint="eastAsia"/>
        </w:rPr>
        <w:t>訴</w:t>
      </w:r>
      <w:r w:rsidRPr="001B6E4D">
        <w:t>案件完全由校內或矯正體系內部處理，恐難充分消除學生對申</w:t>
      </w:r>
      <w:r w:rsidRPr="001B6E4D">
        <w:rPr>
          <w:rFonts w:hint="eastAsia"/>
        </w:rPr>
        <w:t>訴</w:t>
      </w:r>
      <w:r w:rsidRPr="001B6E4D">
        <w:t>後遭受不</w:t>
      </w:r>
      <w:r w:rsidRPr="001B6E4D">
        <w:lastRenderedPageBreak/>
        <w:t>利對待之疑慮。為提升申</w:t>
      </w:r>
      <w:r w:rsidRPr="001B6E4D">
        <w:rPr>
          <w:rFonts w:hint="eastAsia"/>
        </w:rPr>
        <w:t>訴</w:t>
      </w:r>
      <w:r w:rsidRPr="001B6E4D">
        <w:t>制度之公正性、可信賴性及外部監督功能，應</w:t>
      </w:r>
      <w:proofErr w:type="gramStart"/>
      <w:r w:rsidRPr="001B6E4D">
        <w:t>研</w:t>
      </w:r>
      <w:proofErr w:type="gramEnd"/>
      <w:r w:rsidRPr="001B6E4D">
        <w:t>議</w:t>
      </w:r>
      <w:proofErr w:type="gramStart"/>
      <w:r w:rsidRPr="001B6E4D">
        <w:t>納入具兒少</w:t>
      </w:r>
      <w:proofErr w:type="gramEnd"/>
      <w:r w:rsidRPr="001B6E4D">
        <w:t>、教育、心理、法律、人權或社會工作專業之外部委員參與申訴案件審查。</w:t>
      </w:r>
    </w:p>
    <w:p w14:paraId="3C787A00" w14:textId="77777777" w:rsidR="00705B3D" w:rsidRPr="001B6E4D" w:rsidRDefault="00705B3D" w:rsidP="003D1018">
      <w:pPr>
        <w:pStyle w:val="1f7"/>
        <w:overflowPunct w:val="0"/>
      </w:pPr>
      <w:r w:rsidRPr="001B6E4D">
        <w:t>由於少年矯正學校學生仍屬兒童權利公約保障之權利主體，且其處於高度機構化之生活與管教環境中，申訴、陳情及意見表達機制是否具備兒少友善、保密、獨立及有效救濟功能，</w:t>
      </w:r>
      <w:proofErr w:type="gramStart"/>
      <w:r w:rsidRPr="001B6E4D">
        <w:t>攸</w:t>
      </w:r>
      <w:proofErr w:type="gramEnd"/>
      <w:r w:rsidRPr="001B6E4D">
        <w:t>關少年之表意權、人身安全及程序保障。</w:t>
      </w:r>
      <w:proofErr w:type="gramStart"/>
      <w:r w:rsidRPr="001B6E4D">
        <w:t>爰</w:t>
      </w:r>
      <w:proofErr w:type="gramEnd"/>
      <w:r w:rsidRPr="001B6E4D">
        <w:t>要求法務部矯正署於3個月內，依據兒童權利公約兒少最佳利益原則，會同</w:t>
      </w:r>
      <w:proofErr w:type="gramStart"/>
      <w:r w:rsidRPr="001B6E4D">
        <w:t>敦</w:t>
      </w:r>
      <w:proofErr w:type="gramEnd"/>
      <w:r w:rsidRPr="001B6E4D">
        <w:t>品中學、誠正中學、勵志中學及明陽中學，就4所少年矯正學校學生之陳述意見、申訴、再申訴、陳情及其他意見反映機制進行通盤檢討，並提出書面報告送交立法院司法及法制委員會。【68】</w:t>
      </w:r>
    </w:p>
    <w:p w14:paraId="74ED222C" w14:textId="77777777" w:rsidR="00705B3D" w:rsidRPr="001B6E4D" w:rsidRDefault="00705B3D" w:rsidP="003D1018">
      <w:pPr>
        <w:pStyle w:val="2fb"/>
        <w:overflowPunct w:val="0"/>
      </w:pPr>
      <w:r w:rsidRPr="001B6E4D">
        <w:t>提案人：張雅琳</w:t>
      </w:r>
    </w:p>
    <w:p w14:paraId="4844D976" w14:textId="77777777" w:rsidR="00705B3D" w:rsidRPr="001B6E4D" w:rsidRDefault="00705B3D" w:rsidP="003D1018">
      <w:pPr>
        <w:pStyle w:val="2fb"/>
        <w:overflowPunct w:val="0"/>
      </w:pPr>
      <w:r w:rsidRPr="001B6E4D">
        <w:t xml:space="preserve">連署人：沈發惠　</w:t>
      </w:r>
      <w:proofErr w:type="gramStart"/>
      <w:r w:rsidRPr="001B6E4D">
        <w:t>范</w:t>
      </w:r>
      <w:proofErr w:type="gramEnd"/>
      <w:r w:rsidRPr="001B6E4D">
        <w:t xml:space="preserve">　雲</w:t>
      </w:r>
    </w:p>
    <w:p w14:paraId="145757DD" w14:textId="77777777" w:rsidR="00705B3D" w:rsidRPr="001B6E4D" w:rsidRDefault="00705B3D" w:rsidP="003D1018">
      <w:pPr>
        <w:pStyle w:val="1-1"/>
        <w:numPr>
          <w:ilvl w:val="0"/>
          <w:numId w:val="33"/>
        </w:numPr>
        <w:ind w:left="924" w:hanging="567"/>
      </w:pPr>
      <w:proofErr w:type="gramStart"/>
      <w:r w:rsidRPr="001B6E4D">
        <w:t>鑑</w:t>
      </w:r>
      <w:proofErr w:type="gramEnd"/>
      <w:r w:rsidRPr="001B6E4D">
        <w:t>於重大暴力犯罪、長刑期受刑人及曾於審判中被法院以「教化可能性」或「改善可能性」作為量刑考量之個案，其是否真正具有</w:t>
      </w:r>
      <w:proofErr w:type="gramStart"/>
      <w:r w:rsidRPr="001B6E4D">
        <w:t>悛</w:t>
      </w:r>
      <w:proofErr w:type="gramEnd"/>
      <w:r w:rsidRPr="001B6E4D">
        <w:t>悔、改善與再社會化可能，不能僅憑審判</w:t>
      </w:r>
      <w:proofErr w:type="gramStart"/>
      <w:r w:rsidRPr="001B6E4D">
        <w:t>當時之卷內</w:t>
      </w:r>
      <w:proofErr w:type="gramEnd"/>
      <w:r w:rsidRPr="001B6E4D">
        <w:t>資料一次判斷，而應透過入監後之長期觀察與動態評估加以驗證。受刑人入監後之教誨、技能訓練、心理輔導、社工處遇、作業表現、獎懲紀錄、風險評估、假釋審查意見等資料，</w:t>
      </w:r>
      <w:proofErr w:type="gramStart"/>
      <w:r w:rsidRPr="001B6E4D">
        <w:t>均屬判斷</w:t>
      </w:r>
      <w:proofErr w:type="gramEnd"/>
      <w:r w:rsidRPr="001B6E4D">
        <w:t>其教化成效、再犯風險與社會復歸可能性之重要依據，矯正機關本應建立更完整、持續且可回溯之動態評估機制。</w:t>
      </w:r>
    </w:p>
    <w:p w14:paraId="75D28483" w14:textId="77777777" w:rsidR="00705B3D" w:rsidRPr="001B6E4D" w:rsidRDefault="00705B3D" w:rsidP="003D1018">
      <w:pPr>
        <w:pStyle w:val="1f7"/>
        <w:overflowPunct w:val="0"/>
      </w:pPr>
      <w:proofErr w:type="gramStart"/>
      <w:r w:rsidRPr="001B6E4D">
        <w:t>惟</w:t>
      </w:r>
      <w:proofErr w:type="gramEnd"/>
      <w:r w:rsidRPr="001B6E4D">
        <w:t>目前我國矯正實務，對於入</w:t>
      </w:r>
      <w:proofErr w:type="gramStart"/>
      <w:r w:rsidRPr="001B6E4D">
        <w:t>監後處遇</w:t>
      </w:r>
      <w:proofErr w:type="gramEnd"/>
      <w:r w:rsidRPr="001B6E4D">
        <w:t>資料之累積、標準化、</w:t>
      </w:r>
      <w:proofErr w:type="gramStart"/>
      <w:r w:rsidRPr="001B6E4D">
        <w:t>跨監所</w:t>
      </w:r>
      <w:proofErr w:type="gramEnd"/>
      <w:r w:rsidRPr="001B6E4D">
        <w:t>銜接及假釋前比對運用，仍有精進空間。</w:t>
      </w:r>
      <w:proofErr w:type="gramStart"/>
      <w:r w:rsidRPr="001B6E4D">
        <w:t>審計部亦指出</w:t>
      </w:r>
      <w:proofErr w:type="gramEnd"/>
      <w:r w:rsidRPr="001B6E4D">
        <w:t>，受刑人原監所接受教誨、技能訓練、作業等處遇資料，</w:t>
      </w:r>
      <w:proofErr w:type="gramStart"/>
      <w:r w:rsidRPr="001B6E4D">
        <w:t>雖已鍵入獄</w:t>
      </w:r>
      <w:proofErr w:type="gramEnd"/>
      <w:r w:rsidRPr="001B6E4D">
        <w:t>政管理系統，然於移監等情形下，尚未完全達到系統化直接移轉，影響處遇資訊銜接與整體評估完整性。是</w:t>
      </w:r>
      <w:proofErr w:type="gramStart"/>
      <w:r w:rsidRPr="001B6E4D">
        <w:t>以</w:t>
      </w:r>
      <w:proofErr w:type="gramEnd"/>
      <w:r w:rsidRPr="001B6E4D">
        <w:t>，若入監後之真實處遇表現，無法形成持續性、制度化、可比較之評估資料，不僅難以作為假釋審查、</w:t>
      </w:r>
      <w:proofErr w:type="gramStart"/>
      <w:r w:rsidRPr="001B6E4D">
        <w:t>個別化處遇</w:t>
      </w:r>
      <w:proofErr w:type="gramEnd"/>
      <w:r w:rsidRPr="001B6E4D">
        <w:t>及風險管理之基礎，亦無從回應社會對重大個案教化成效與公共安全之關切。</w:t>
      </w:r>
    </w:p>
    <w:p w14:paraId="28327D84" w14:textId="77777777" w:rsidR="00705B3D" w:rsidRPr="001B6E4D" w:rsidRDefault="00705B3D" w:rsidP="003D1018">
      <w:pPr>
        <w:pStyle w:val="1f7"/>
        <w:overflowPunct w:val="0"/>
      </w:pPr>
      <w:proofErr w:type="gramStart"/>
      <w:r w:rsidRPr="001B6E4D">
        <w:t>爰</w:t>
      </w:r>
      <w:proofErr w:type="gramEnd"/>
      <w:r w:rsidRPr="001B6E4D">
        <w:t>建請</w:t>
      </w:r>
      <w:r w:rsidRPr="001B6E4D">
        <w:rPr>
          <w:rFonts w:hint="eastAsia"/>
        </w:rPr>
        <w:t>法務部</w:t>
      </w:r>
      <w:r w:rsidRPr="001B6E4D">
        <w:t>矯正署於2個月內向立法院司法及法制委員會就「重大暴力犯罪、長刑期受刑人及高風險受刑人之入監後動態評估機制」提出書面報告，具體事項應包括：</w:t>
      </w:r>
    </w:p>
    <w:p w14:paraId="34060865"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1.入監後教誨、技能訓練、心理輔導、社工處遇、作業表現、獎懲紀錄、風險評估及假釋審查意見等資料，現行蒐集、建檔、標準化</w:t>
      </w:r>
      <w:proofErr w:type="gramStart"/>
      <w:r w:rsidRPr="001B6E4D">
        <w:t>與跨監所</w:t>
      </w:r>
      <w:proofErr w:type="gramEnd"/>
      <w:r w:rsidRPr="001B6E4D">
        <w:t>銜接之辦理情形。</w:t>
      </w:r>
    </w:p>
    <w:p w14:paraId="667CE38E" w14:textId="77777777" w:rsidR="00705B3D" w:rsidRPr="001B6E4D" w:rsidRDefault="00705B3D" w:rsidP="003D1018">
      <w:pPr>
        <w:pStyle w:val="afffffffffd"/>
        <w:overflowPunct w:val="0"/>
        <w:ind w:left="1260" w:hangingChars="450" w:hanging="1260"/>
      </w:pPr>
      <w:r w:rsidRPr="001B6E4D">
        <w:rPr>
          <w:rFonts w:hint="eastAsia"/>
        </w:rPr>
        <w:lastRenderedPageBreak/>
        <w:t xml:space="preserve">       </w:t>
      </w:r>
      <w:r w:rsidRPr="001B6E4D">
        <w:t>2.是否建立針對重大暴力犯罪、長刑期受刑人及高風險個案之分級管理、定期</w:t>
      </w:r>
      <w:proofErr w:type="gramStart"/>
      <w:r w:rsidRPr="001B6E4D">
        <w:t>複</w:t>
      </w:r>
      <w:proofErr w:type="gramEnd"/>
      <w:r w:rsidRPr="001B6E4D">
        <w:t>評與動態追蹤制度；如有，請具體說明評估項目、辦理頻率及實際運作情形；如無，請提出改善規劃。</w:t>
      </w:r>
    </w:p>
    <w:p w14:paraId="6032A8C2"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3.現行假釋審查多元評估機制中，入</w:t>
      </w:r>
      <w:proofErr w:type="gramStart"/>
      <w:r w:rsidRPr="001B6E4D">
        <w:t>監後處遇</w:t>
      </w:r>
      <w:proofErr w:type="gramEnd"/>
      <w:r w:rsidRPr="001B6E4D">
        <w:t>資料之比重與運用方式，及如何避免僅以片段資料形成判斷。</w:t>
      </w:r>
    </w:p>
    <w:p w14:paraId="12810314"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4.對於移監、外役監、特殊處遇或即將假釋個案，如何確保處遇資料完整移轉、持續追蹤與風險管理不中斷。</w:t>
      </w:r>
    </w:p>
    <w:p w14:paraId="7A5FDF9E"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5.未來如何強化入監後動態評估資料之數位化、標準化與政策運用，使矯正處遇不僅止於執行管理，而能真正提升教化評估品質與社會安全保障。【69】</w:t>
      </w:r>
    </w:p>
    <w:p w14:paraId="4B12A9EF"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提案人：吳宗憲</w:t>
      </w:r>
    </w:p>
    <w:p w14:paraId="260E0147"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連署人：林倩綺　翁曉玲</w:t>
      </w:r>
    </w:p>
    <w:p w14:paraId="0253D744"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第6項 行政執行署及所屬19億2,531萬4千元，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575F057" w14:textId="77777777" w:rsidR="00705B3D" w:rsidRPr="001B6E4D" w:rsidRDefault="00705B3D"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sz w:val="28"/>
          <w:szCs w:val="28"/>
        </w:rPr>
        <w:t>本項通過決議</w:t>
      </w:r>
      <w:r w:rsidRPr="001B6E4D">
        <w:rPr>
          <w:rFonts w:ascii="標楷體" w:eastAsia="標楷體" w:hAnsi="標楷體" w:hint="eastAsia"/>
          <w:b/>
          <w:sz w:val="28"/>
          <w:szCs w:val="28"/>
        </w:rPr>
        <w:t>2</w:t>
      </w:r>
      <w:r w:rsidRPr="001B6E4D">
        <w:rPr>
          <w:rFonts w:ascii="標楷體" w:eastAsia="標楷體" w:hAnsi="標楷體"/>
          <w:b/>
          <w:sz w:val="28"/>
          <w:szCs w:val="28"/>
        </w:rPr>
        <w:t>項：</w:t>
      </w:r>
    </w:p>
    <w:p w14:paraId="789232FD" w14:textId="77777777" w:rsidR="00705B3D" w:rsidRPr="001B6E4D" w:rsidRDefault="00705B3D" w:rsidP="003D1018">
      <w:pPr>
        <w:pStyle w:val="a"/>
        <w:numPr>
          <w:ilvl w:val="0"/>
          <w:numId w:val="70"/>
        </w:numPr>
        <w:overflowPunct w:val="0"/>
        <w:ind w:left="924" w:hanging="567"/>
      </w:pPr>
      <w:proofErr w:type="gramStart"/>
      <w:r w:rsidRPr="001B6E4D">
        <w:t>115</w:t>
      </w:r>
      <w:proofErr w:type="gramEnd"/>
      <w:r w:rsidRPr="001B6E4D">
        <w:t>年度行政執行署及所屬預算案於第3目「執行案件處理」編列預算16億</w:t>
      </w:r>
      <w:r w:rsidRPr="001B6E4D">
        <w:rPr>
          <w:rFonts w:hint="eastAsia"/>
        </w:rPr>
        <w:t>0</w:t>
      </w:r>
      <w:r w:rsidRPr="001B6E4D">
        <w:t>,615萬4千元，較</w:t>
      </w:r>
      <w:proofErr w:type="gramStart"/>
      <w:r w:rsidRPr="001B6E4D">
        <w:t>114</w:t>
      </w:r>
      <w:proofErr w:type="gramEnd"/>
      <w:r w:rsidRPr="001B6E4D">
        <w:t>年度14億8,792萬5千元增加1億1,822萬9千元，增幅達7.95%。其中「辦理執行業務」編列4億</w:t>
      </w:r>
      <w:r w:rsidRPr="001B6E4D">
        <w:rPr>
          <w:rFonts w:hint="eastAsia"/>
        </w:rPr>
        <w:t>3,950</w:t>
      </w:r>
      <w:r w:rsidRPr="001B6E4D">
        <w:t>萬</w:t>
      </w:r>
      <w:r w:rsidRPr="001B6E4D">
        <w:rPr>
          <w:rFonts w:hint="eastAsia"/>
        </w:rPr>
        <w:t>9千</w:t>
      </w:r>
      <w:r w:rsidRPr="001B6E4D">
        <w:t>元，較</w:t>
      </w:r>
      <w:proofErr w:type="gramStart"/>
      <w:r w:rsidRPr="001B6E4D">
        <w:t>114</w:t>
      </w:r>
      <w:proofErr w:type="gramEnd"/>
      <w:r w:rsidRPr="001B6E4D">
        <w:t>年度3億5,002萬8千元增加</w:t>
      </w:r>
      <w:r w:rsidRPr="001B6E4D">
        <w:rPr>
          <w:rFonts w:hint="eastAsia"/>
        </w:rPr>
        <w:t>8</w:t>
      </w:r>
      <w:r w:rsidRPr="001B6E4D">
        <w:t>,</w:t>
      </w:r>
      <w:r w:rsidRPr="001B6E4D">
        <w:rPr>
          <w:rFonts w:hint="eastAsia"/>
        </w:rPr>
        <w:t>948</w:t>
      </w:r>
      <w:r w:rsidRPr="001B6E4D">
        <w:t>萬</w:t>
      </w:r>
      <w:r w:rsidRPr="001B6E4D">
        <w:rPr>
          <w:rFonts w:hint="eastAsia"/>
        </w:rPr>
        <w:t>1</w:t>
      </w:r>
      <w:r w:rsidRPr="001B6E4D">
        <w:t>千元，增幅達</w:t>
      </w:r>
      <w:r w:rsidRPr="001B6E4D">
        <w:rPr>
          <w:rFonts w:hint="eastAsia"/>
        </w:rPr>
        <w:t>2</w:t>
      </w:r>
      <w:r w:rsidRPr="001B6E4D">
        <w:t>5.</w:t>
      </w:r>
      <w:r w:rsidRPr="001B6E4D">
        <w:rPr>
          <w:rFonts w:hint="eastAsia"/>
        </w:rPr>
        <w:t>56</w:t>
      </w:r>
      <w:r w:rsidRPr="001B6E4D">
        <w:t>%。</w:t>
      </w:r>
    </w:p>
    <w:p w14:paraId="1BBB0EA5" w14:textId="77777777" w:rsidR="00705B3D" w:rsidRPr="001B6E4D" w:rsidRDefault="00705B3D" w:rsidP="003D1018">
      <w:pPr>
        <w:pStyle w:val="1f7"/>
        <w:overflowPunct w:val="0"/>
      </w:pPr>
      <w:r w:rsidRPr="001B6E4D">
        <w:t>然依立法院預算</w:t>
      </w:r>
      <w:r w:rsidRPr="001B6E4D">
        <w:rPr>
          <w:rFonts w:hint="eastAsia"/>
        </w:rPr>
        <w:t>中心</w:t>
      </w:r>
      <w:r w:rsidRPr="001B6E4D">
        <w:t>評估報告指出，行政執行案件未結數仍持續累增，截至113年底已近775萬件；</w:t>
      </w:r>
      <w:proofErr w:type="gramStart"/>
      <w:r w:rsidRPr="001B6E4D">
        <w:t>113</w:t>
      </w:r>
      <w:proofErr w:type="gramEnd"/>
      <w:r w:rsidRPr="001B6E4D">
        <w:t>年度有效結案率僅35.54%，更為近</w:t>
      </w:r>
      <w:r w:rsidRPr="001B6E4D">
        <w:rPr>
          <w:rFonts w:hint="eastAsia"/>
        </w:rPr>
        <w:t>五</w:t>
      </w:r>
      <w:r w:rsidRPr="001B6E4D">
        <w:t>年最低。換言之，預算逐年增加，案件去化效率卻未同步改善，反而出現未結案件龐大、有效結案率下滑之情形。</w:t>
      </w:r>
    </w:p>
    <w:p w14:paraId="722D97CB" w14:textId="77777777" w:rsidR="00705B3D" w:rsidRPr="001B6E4D" w:rsidRDefault="00705B3D" w:rsidP="003D1018">
      <w:pPr>
        <w:pStyle w:val="1f7"/>
        <w:overflowPunct w:val="0"/>
      </w:pPr>
      <w:r w:rsidRPr="001B6E4D">
        <w:t>更值得注意的是，</w:t>
      </w:r>
      <w:r w:rsidRPr="001B6E4D">
        <w:rPr>
          <w:rFonts w:hint="eastAsia"/>
        </w:rPr>
        <w:t>法務部</w:t>
      </w:r>
      <w:r w:rsidRPr="001B6E4D">
        <w:t>行政執行署及所屬長期面臨正式員額不足，需仰賴約用人員及勞務承攬人力協助處理案件；</w:t>
      </w:r>
      <w:proofErr w:type="gramStart"/>
      <w:r w:rsidRPr="001B6E4D">
        <w:t>115</w:t>
      </w:r>
      <w:proofErr w:type="gramEnd"/>
      <w:r w:rsidRPr="001B6E4D">
        <w:t>年度預計進用368名約用人員及運用391名勞務承攬人員，其中勞務承攬人員較</w:t>
      </w:r>
      <w:proofErr w:type="gramStart"/>
      <w:r w:rsidRPr="001B6E4D">
        <w:t>114</w:t>
      </w:r>
      <w:proofErr w:type="gramEnd"/>
      <w:r w:rsidRPr="001B6E4D">
        <w:t>年度增加67名。惟在委外人力持續增加的同時，未</w:t>
      </w:r>
      <w:proofErr w:type="gramStart"/>
      <w:r w:rsidRPr="001B6E4D">
        <w:t>結案件仍近</w:t>
      </w:r>
      <w:proofErr w:type="gramEnd"/>
      <w:r w:rsidRPr="001B6E4D">
        <w:t>775萬件，有效結案率卻降至近</w:t>
      </w:r>
      <w:r w:rsidRPr="001B6E4D">
        <w:rPr>
          <w:rFonts w:hint="eastAsia"/>
        </w:rPr>
        <w:t>五</w:t>
      </w:r>
      <w:r w:rsidRPr="001B6E4D">
        <w:t>年最低，顯示單純增加委外人力，未必能解決案件累積問題。</w:t>
      </w:r>
    </w:p>
    <w:p w14:paraId="5A254E5D" w14:textId="77777777" w:rsidR="00705B3D" w:rsidRPr="001B6E4D" w:rsidRDefault="00705B3D" w:rsidP="003D1018">
      <w:pPr>
        <w:pStyle w:val="1f7"/>
        <w:overflowPunct w:val="0"/>
      </w:pPr>
      <w:r w:rsidRPr="001B6E4D">
        <w:t>行政執行署職責在於實現公權力、維護國家債權，其業務涉及人民財產權保障、程序正義及國家執法威信，並非一般行政庶務。若長期以承攬人力支撐案件處理，不僅可能造成責任歸屬不清，也可能衍生資訊安全、案件品質及指揮監督風險。行政執行署若只是「案件多就加承攬、人力不足就再委外」，卻未同步檢討案件流程、科技輔助、正式人力配置及組織管理，恐只是治標不治本。</w:t>
      </w:r>
    </w:p>
    <w:p w14:paraId="643C3D4B" w14:textId="77777777" w:rsidR="00705B3D" w:rsidRPr="001B6E4D" w:rsidRDefault="00705B3D" w:rsidP="003D1018">
      <w:pPr>
        <w:pStyle w:val="1f7"/>
        <w:overflowPunct w:val="0"/>
      </w:pPr>
      <w:r w:rsidRPr="001B6E4D">
        <w:lastRenderedPageBreak/>
        <w:t>尤其行政執行署</w:t>
      </w:r>
      <w:proofErr w:type="gramStart"/>
      <w:r w:rsidRPr="001B6E4D">
        <w:t>115</w:t>
      </w:r>
      <w:proofErr w:type="gramEnd"/>
      <w:r w:rsidRPr="001B6E4D">
        <w:t>年度施政核心標榜「數位化、科技化行政程序」，並強調運用AI技術優化類型化事務、推動執行程序電子化，以簡化流程及減輕人力負擔。既然一方面強調科技化、電子化，另一方面仍持續擴大承攬人力，便應交代科技導入後究竟減輕多少人力負荷、改善多少結案效率，而非科技</w:t>
      </w:r>
      <w:proofErr w:type="gramStart"/>
      <w:r w:rsidRPr="001B6E4D">
        <w:t>預算照編</w:t>
      </w:r>
      <w:proofErr w:type="gramEnd"/>
      <w:r w:rsidRPr="001B6E4D">
        <w:t>、委外人力</w:t>
      </w:r>
      <w:proofErr w:type="gramStart"/>
      <w:r w:rsidRPr="001B6E4D">
        <w:t>也照增</w:t>
      </w:r>
      <w:proofErr w:type="gramEnd"/>
      <w:r w:rsidRPr="001B6E4D">
        <w:t>，最後卻看不出案件去化成效。</w:t>
      </w:r>
    </w:p>
    <w:p w14:paraId="76085B95" w14:textId="77777777" w:rsidR="00705B3D" w:rsidRPr="001B6E4D" w:rsidRDefault="00705B3D" w:rsidP="003D1018">
      <w:pPr>
        <w:pStyle w:val="1f7"/>
        <w:overflowPunct w:val="0"/>
      </w:pPr>
      <w:r w:rsidRPr="001B6E4D">
        <w:rPr>
          <w:rFonts w:hint="eastAsia"/>
        </w:rPr>
        <w:t>請法務部</w:t>
      </w:r>
      <w:r w:rsidRPr="001B6E4D">
        <w:t>行政執行署於3個月內向立法院司法及法制委員會提出</w:t>
      </w:r>
      <w:r w:rsidRPr="001B6E4D">
        <w:rPr>
          <w:rFonts w:hint="eastAsia"/>
        </w:rPr>
        <w:t>書面</w:t>
      </w:r>
      <w:r w:rsidRPr="001B6E4D">
        <w:t>報告，具體說明包含並不限於：1.近</w:t>
      </w:r>
      <w:r w:rsidRPr="001B6E4D">
        <w:rPr>
          <w:rFonts w:hint="eastAsia"/>
        </w:rPr>
        <w:t>五</w:t>
      </w:r>
      <w:r w:rsidRPr="001B6E4D">
        <w:t>年未結案件累增原因及</w:t>
      </w:r>
      <w:proofErr w:type="gramStart"/>
      <w:r w:rsidRPr="001B6E4D">
        <w:t>115</w:t>
      </w:r>
      <w:proofErr w:type="gramEnd"/>
      <w:r w:rsidRPr="001B6E4D">
        <w:t>年度有效結案率提升目標；2.約用人員及勞務承攬人力具體工作內容，及是否涉及核心執行業務與公權力行使；3.近</w:t>
      </w:r>
      <w:r w:rsidRPr="001B6E4D">
        <w:rPr>
          <w:rFonts w:hint="eastAsia"/>
        </w:rPr>
        <w:t>三</w:t>
      </w:r>
      <w:r w:rsidRPr="001B6E4D">
        <w:t>年承攬人力流動率、訓練成本及績效評估；4.科技輔助案件分類、財產查調、流程管理及提升結案效率之具體措施、時程及量化指標；5.各分署案件量、人力配置與結案成效檢討；6.科技化、電子化措施與降低委外人力依賴之關聯。【70】</w:t>
      </w:r>
    </w:p>
    <w:p w14:paraId="39AE4E34" w14:textId="77777777" w:rsidR="00705B3D" w:rsidRPr="001B6E4D" w:rsidRDefault="00705B3D" w:rsidP="003D1018">
      <w:pPr>
        <w:pStyle w:val="2fb"/>
        <w:overflowPunct w:val="0"/>
      </w:pPr>
      <w:r w:rsidRPr="001B6E4D">
        <w:t>提案人：許宇</w:t>
      </w:r>
      <w:proofErr w:type="gramStart"/>
      <w:r w:rsidRPr="001B6E4D">
        <w:t>甄</w:t>
      </w:r>
      <w:proofErr w:type="gramEnd"/>
    </w:p>
    <w:p w14:paraId="6EFAEA18" w14:textId="77777777" w:rsidR="00705B3D" w:rsidRPr="001B6E4D" w:rsidRDefault="00705B3D" w:rsidP="003D1018">
      <w:pPr>
        <w:pStyle w:val="2fb"/>
        <w:overflowPunct w:val="0"/>
      </w:pPr>
      <w:r w:rsidRPr="001B6E4D">
        <w:t>連署人：林沛祥　翁曉玲</w:t>
      </w:r>
    </w:p>
    <w:p w14:paraId="2AF38651" w14:textId="77777777" w:rsidR="00705B3D" w:rsidRPr="001B6E4D" w:rsidRDefault="00705B3D" w:rsidP="003D1018">
      <w:pPr>
        <w:pStyle w:val="1-1"/>
        <w:numPr>
          <w:ilvl w:val="0"/>
          <w:numId w:val="33"/>
        </w:numPr>
        <w:ind w:left="924" w:hanging="567"/>
      </w:pPr>
      <w:r w:rsidRPr="001B6E4D">
        <w:t>查全臺本國銀行、外國及大陸地區銀行在</w:t>
      </w:r>
      <w:proofErr w:type="gramStart"/>
      <w:r w:rsidRPr="001B6E4D">
        <w:t>臺</w:t>
      </w:r>
      <w:proofErr w:type="gramEnd"/>
      <w:r w:rsidRPr="001B6E4D">
        <w:t>代表行、郵局等金融機構（總行）計398家，惟</w:t>
      </w:r>
      <w:r w:rsidRPr="001B6E4D">
        <w:rPr>
          <w:rFonts w:hint="eastAsia"/>
        </w:rPr>
        <w:t>行政</w:t>
      </w:r>
      <w:r w:rsidRPr="001B6E4D">
        <w:t>執行</w:t>
      </w:r>
      <w:r w:rsidRPr="001B6E4D">
        <w:rPr>
          <w:rFonts w:hint="eastAsia"/>
        </w:rPr>
        <w:t>署各</w:t>
      </w:r>
      <w:r w:rsidRPr="001B6E4D">
        <w:t>分署</w:t>
      </w:r>
      <w:proofErr w:type="gramStart"/>
      <w:r w:rsidRPr="001B6E4D">
        <w:t>113</w:t>
      </w:r>
      <w:proofErr w:type="gramEnd"/>
      <w:r w:rsidRPr="001B6E4D">
        <w:t>年度僅查詢其中106家（26.63%），可能存有義務人其他金融存款資料漏未查核風險，又金融科技發展迅速，義務人得以透過虛擬貨幣、電子支付、數位銀行及境外帳戶等方式隱匿財產，查「金融資料調閱電子化平</w:t>
      </w:r>
      <w:proofErr w:type="gramStart"/>
      <w:r w:rsidRPr="001B6E4D">
        <w:t>臺</w:t>
      </w:r>
      <w:proofErr w:type="gramEnd"/>
      <w:r w:rsidRPr="001B6E4D">
        <w:t>」，規劃於114年9月開放各執行分署上線使用該平</w:t>
      </w:r>
      <w:proofErr w:type="gramStart"/>
      <w:r w:rsidRPr="001B6E4D">
        <w:t>臺</w:t>
      </w:r>
      <w:proofErr w:type="gramEnd"/>
      <w:r w:rsidRPr="001B6E4D">
        <w:t>辦理批次查詢事宜。</w:t>
      </w:r>
    </w:p>
    <w:p w14:paraId="5B74A4F8" w14:textId="77777777" w:rsidR="00705B3D" w:rsidRPr="001B6E4D" w:rsidRDefault="00705B3D" w:rsidP="003D1018">
      <w:pPr>
        <w:pStyle w:val="1f7"/>
        <w:overflowPunct w:val="0"/>
      </w:pPr>
      <w:proofErr w:type="gramStart"/>
      <w:r w:rsidRPr="001B6E4D">
        <w:t>爰</w:t>
      </w:r>
      <w:proofErr w:type="gramEnd"/>
      <w:r w:rsidRPr="001B6E4D">
        <w:t>請</w:t>
      </w:r>
      <w:r w:rsidRPr="001B6E4D">
        <w:rPr>
          <w:rFonts w:hint="eastAsia"/>
        </w:rPr>
        <w:t>法務部</w:t>
      </w:r>
      <w:r w:rsidRPr="001B6E4D">
        <w:t>行政執行署就「金融資料調閱電子化平</w:t>
      </w:r>
      <w:proofErr w:type="gramStart"/>
      <w:r w:rsidRPr="001B6E4D">
        <w:t>臺</w:t>
      </w:r>
      <w:proofErr w:type="gramEnd"/>
      <w:r w:rsidRPr="001B6E4D">
        <w:t>」正式使用後，由各執行分署</w:t>
      </w:r>
      <w:proofErr w:type="gramStart"/>
      <w:r w:rsidRPr="001B6E4D">
        <w:t>就滯欠</w:t>
      </w:r>
      <w:proofErr w:type="gramEnd"/>
      <w:r w:rsidRPr="001B6E4D">
        <w:t>大戶或其他重大案件查調義務人電子支付、第三方支付、虛擬資產等開戶及餘額情形，整</w:t>
      </w:r>
      <w:proofErr w:type="gramStart"/>
      <w:r w:rsidRPr="001B6E4D">
        <w:t>併</w:t>
      </w:r>
      <w:proofErr w:type="gramEnd"/>
      <w:r w:rsidRPr="001B6E4D">
        <w:t>及擴大提高查詢義務人金融帳戶餘額之效率及即時性，於3個月內向立法院司法及法制委員會提出書面報告。【71】</w:t>
      </w:r>
    </w:p>
    <w:p w14:paraId="24E9AC3E"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33817A73"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連署人：張雅琳　莊瑞雄</w:t>
      </w:r>
    </w:p>
    <w:p w14:paraId="094362E6"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第7項 最高檢察署2億1,484萬4千元，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935D237" w14:textId="77777777" w:rsidR="00705B3D" w:rsidRPr="001B6E4D" w:rsidRDefault="00705B3D"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sz w:val="28"/>
          <w:szCs w:val="28"/>
        </w:rPr>
        <w:t>本項提案1案，保留，送院會處理：</w:t>
      </w:r>
    </w:p>
    <w:p w14:paraId="20CE7ED2" w14:textId="77777777" w:rsidR="00705B3D" w:rsidRPr="001B6E4D" w:rsidRDefault="00705B3D" w:rsidP="003D1018">
      <w:pPr>
        <w:pStyle w:val="a"/>
        <w:numPr>
          <w:ilvl w:val="0"/>
          <w:numId w:val="71"/>
        </w:numPr>
        <w:overflowPunct w:val="0"/>
        <w:ind w:left="924" w:hanging="567"/>
      </w:pPr>
      <w:proofErr w:type="gramStart"/>
      <w:r w:rsidRPr="001B6E4D">
        <w:t>115</w:t>
      </w:r>
      <w:proofErr w:type="gramEnd"/>
      <w:r w:rsidRPr="001B6E4D">
        <w:t>年度最高檢察署預算案於第1目「一般行政」項下「基本行政工作維持」中「業務費」之「特別費」476千元，係按首長每月39,700元計列。編列預算47萬6千元。</w:t>
      </w:r>
    </w:p>
    <w:p w14:paraId="2CE3F510" w14:textId="77777777" w:rsidR="00705B3D" w:rsidRPr="001B6E4D" w:rsidRDefault="00705B3D" w:rsidP="003D1018">
      <w:pPr>
        <w:pStyle w:val="1f7"/>
        <w:overflowPunct w:val="0"/>
      </w:pPr>
      <w:r w:rsidRPr="001B6E4D">
        <w:t>依行政院95年12月29日</w:t>
      </w:r>
      <w:proofErr w:type="gramStart"/>
      <w:r w:rsidRPr="001B6E4D">
        <w:t>院授主忠字</w:t>
      </w:r>
      <w:proofErr w:type="gramEnd"/>
      <w:r w:rsidRPr="001B6E4D">
        <w:t>第0950007913號函規定，各級政府機關特別費之使用範圍，係婚喪喜慶之禮金及</w:t>
      </w:r>
      <w:r w:rsidRPr="001B6E4D">
        <w:lastRenderedPageBreak/>
        <w:t>招待、</w:t>
      </w:r>
      <w:proofErr w:type="gramStart"/>
      <w:r w:rsidRPr="001B6E4D">
        <w:t>餽</w:t>
      </w:r>
      <w:proofErr w:type="gramEnd"/>
      <w:r w:rsidRPr="001B6E4D">
        <w:t>(捐)</w:t>
      </w:r>
      <w:proofErr w:type="gramStart"/>
      <w:r w:rsidRPr="001B6E4D">
        <w:t>贈及慰問</w:t>
      </w:r>
      <w:proofErr w:type="gramEnd"/>
      <w:r w:rsidRPr="001B6E4D">
        <w:t>等支出，恐非屬各項施政計畫執行之必要項目。</w:t>
      </w:r>
    </w:p>
    <w:p w14:paraId="403D382F" w14:textId="77777777" w:rsidR="00705B3D" w:rsidRPr="001B6E4D" w:rsidRDefault="00705B3D" w:rsidP="003D1018">
      <w:pPr>
        <w:pStyle w:val="1f7"/>
        <w:overflowPunct w:val="0"/>
      </w:pPr>
      <w:r w:rsidRPr="001B6E4D">
        <w:t>然115年中央政府總預算連同特別預算，</w:t>
      </w:r>
      <w:proofErr w:type="gramStart"/>
      <w:r w:rsidRPr="001B6E4D">
        <w:t>已需舉</w:t>
      </w:r>
      <w:proofErr w:type="gramEnd"/>
      <w:r w:rsidRPr="001B6E4D">
        <w:t>債高達4千億元。政府各單位更需量入為出、</w:t>
      </w:r>
      <w:proofErr w:type="gramStart"/>
      <w:r w:rsidRPr="001B6E4D">
        <w:t>撙</w:t>
      </w:r>
      <w:proofErr w:type="gramEnd"/>
      <w:r w:rsidRPr="001B6E4D">
        <w:t>節公</w:t>
      </w:r>
      <w:proofErr w:type="gramStart"/>
      <w:r w:rsidRPr="001B6E4D">
        <w:t>帑</w:t>
      </w:r>
      <w:proofErr w:type="gramEnd"/>
      <w:r w:rsidRPr="001B6E4D">
        <w:t>，避免不必要的支出。</w:t>
      </w:r>
    </w:p>
    <w:p w14:paraId="07A146F5" w14:textId="77777777" w:rsidR="00705B3D" w:rsidRPr="001B6E4D" w:rsidRDefault="00705B3D" w:rsidP="003D1018">
      <w:pPr>
        <w:pStyle w:val="1f7"/>
        <w:overflowPunct w:val="0"/>
      </w:pPr>
      <w:r w:rsidRPr="001B6E4D">
        <w:t>且賴總統為回應美國對台灣應大幅增加國防支出的強硬立場與關切壓力，</w:t>
      </w:r>
      <w:proofErr w:type="gramStart"/>
      <w:r w:rsidRPr="001B6E4D">
        <w:t>115</w:t>
      </w:r>
      <w:proofErr w:type="gramEnd"/>
      <w:r w:rsidRPr="001B6E4D">
        <w:t>年度國防支出創下歷史新高，達9,495億新台幣，較上年度暴增1,768億，漲幅達16％，顯已加重國家財政負擔；大幅增加國防支出，勢必對年度的教育、社會福利、交通建設與經濟發展等，造成嚴重的排擠效果。亦即各</w:t>
      </w:r>
      <w:proofErr w:type="gramStart"/>
      <w:r w:rsidRPr="001B6E4D">
        <w:t>部會應勒緊</w:t>
      </w:r>
      <w:proofErr w:type="gramEnd"/>
      <w:r w:rsidRPr="001B6E4D">
        <w:t>褲帶，共體時</w:t>
      </w:r>
      <w:proofErr w:type="gramStart"/>
      <w:r w:rsidRPr="001B6E4D">
        <w:t>艱</w:t>
      </w:r>
      <w:proofErr w:type="gramEnd"/>
      <w:r w:rsidRPr="001B6E4D">
        <w:t>，以具體呼應賴總統對美方的承諾。</w:t>
      </w:r>
    </w:p>
    <w:p w14:paraId="512BDD59" w14:textId="77777777" w:rsidR="00705B3D" w:rsidRPr="001B6E4D" w:rsidRDefault="00705B3D" w:rsidP="003D1018">
      <w:pPr>
        <w:pStyle w:val="1f7"/>
        <w:overflowPunct w:val="0"/>
      </w:pPr>
      <w:r w:rsidRPr="001B6E4D">
        <w:t>因此，特別費屬非必要的民生支出，理應配合國防支出大幅增加之影響而予以</w:t>
      </w:r>
      <w:proofErr w:type="gramStart"/>
      <w:r w:rsidRPr="001B6E4D">
        <w:t>撙</w:t>
      </w:r>
      <w:proofErr w:type="gramEnd"/>
      <w:r w:rsidRPr="001B6E4D">
        <w:t>節。又檢察總長於115年5月7日任期屆滿出缺，新任總長未就任前，是項部分預算應暫予凍結。</w:t>
      </w:r>
    </w:p>
    <w:p w14:paraId="1AD78FF4" w14:textId="77777777" w:rsidR="00705B3D" w:rsidRPr="001B6E4D" w:rsidRDefault="00705B3D" w:rsidP="003D1018">
      <w:pPr>
        <w:pStyle w:val="1f7"/>
        <w:overflowPunct w:val="0"/>
      </w:pPr>
      <w:proofErr w:type="gramStart"/>
      <w:r w:rsidRPr="001B6E4D">
        <w:t>爰</w:t>
      </w:r>
      <w:proofErr w:type="gramEnd"/>
      <w:r w:rsidRPr="001B6E4D">
        <w:t>該項預算減列23萬8千元，並凍結13萬8千元，</w:t>
      </w:r>
      <w:proofErr w:type="gramStart"/>
      <w:r w:rsidRPr="001B6E4D">
        <w:t>俟</w:t>
      </w:r>
      <w:proofErr w:type="gramEnd"/>
      <w:r w:rsidRPr="001B6E4D">
        <w:t>新任總長到任並向立法院司法及法制委員會提出書面報告後，始得動支。【72】</w:t>
      </w:r>
    </w:p>
    <w:p w14:paraId="5ABA3757" w14:textId="77777777" w:rsidR="00705B3D" w:rsidRPr="001B6E4D" w:rsidRDefault="00705B3D" w:rsidP="003D1018">
      <w:pPr>
        <w:pStyle w:val="2fb"/>
        <w:overflowPunct w:val="0"/>
      </w:pPr>
      <w:r w:rsidRPr="001B6E4D">
        <w:t>提案人：翁曉玲</w:t>
      </w:r>
    </w:p>
    <w:p w14:paraId="34E9EB2F" w14:textId="77777777" w:rsidR="00705B3D" w:rsidRPr="001B6E4D" w:rsidRDefault="00705B3D" w:rsidP="003D1018">
      <w:pPr>
        <w:pStyle w:val="2fb"/>
        <w:overflowPunct w:val="0"/>
      </w:pPr>
      <w:r w:rsidRPr="001B6E4D">
        <w:t>連署人：林倩綺　林沛祥</w:t>
      </w:r>
    </w:p>
    <w:p w14:paraId="0CF0371B" w14:textId="77777777" w:rsidR="00705B3D" w:rsidRPr="001B6E4D" w:rsidRDefault="00705B3D"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sz w:val="28"/>
          <w:szCs w:val="28"/>
        </w:rPr>
        <w:t>本項通過決議2項：</w:t>
      </w:r>
    </w:p>
    <w:p w14:paraId="767EAFCB" w14:textId="77777777" w:rsidR="00705B3D" w:rsidRPr="001B6E4D" w:rsidRDefault="00705B3D" w:rsidP="003D1018">
      <w:pPr>
        <w:pStyle w:val="a"/>
        <w:numPr>
          <w:ilvl w:val="0"/>
          <w:numId w:val="72"/>
        </w:numPr>
        <w:overflowPunct w:val="0"/>
        <w:ind w:left="924" w:hanging="567"/>
      </w:pPr>
      <w:proofErr w:type="gramStart"/>
      <w:r w:rsidRPr="001B6E4D">
        <w:t>115</w:t>
      </w:r>
      <w:proofErr w:type="gramEnd"/>
      <w:r w:rsidRPr="001B6E4D">
        <w:t>年度最高檢察署歲出預算第2目「檢察業務」編列6,029萬3千元，凍結100萬元，</w:t>
      </w:r>
      <w:proofErr w:type="gramStart"/>
      <w:r w:rsidRPr="001B6E4D">
        <w:t>俟</w:t>
      </w:r>
      <w:proofErr w:type="gramEnd"/>
      <w:r w:rsidRPr="001B6E4D">
        <w:t>向立法院司法及法制委員會提出書面報告後，始得動支。【73】</w:t>
      </w:r>
    </w:p>
    <w:p w14:paraId="752AE64B" w14:textId="77777777" w:rsidR="00705B3D" w:rsidRPr="001B6E4D" w:rsidRDefault="00705B3D" w:rsidP="003D1018">
      <w:pPr>
        <w:pStyle w:val="2fb"/>
        <w:overflowPunct w:val="0"/>
      </w:pPr>
      <w:r w:rsidRPr="001B6E4D">
        <w:t>提案人：吳宗憲</w:t>
      </w:r>
    </w:p>
    <w:p w14:paraId="09D1CCA7" w14:textId="77777777" w:rsidR="00705B3D" w:rsidRPr="001B6E4D" w:rsidRDefault="00705B3D" w:rsidP="003D1018">
      <w:pPr>
        <w:pStyle w:val="2fb"/>
        <w:overflowPunct w:val="0"/>
      </w:pPr>
      <w:r w:rsidRPr="001B6E4D">
        <w:t>連署人：林倩綺　翁曉玲</w:t>
      </w:r>
    </w:p>
    <w:p w14:paraId="50A4CA74"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年度最高檢察署預算案於第2目「檢察業務」項下「督導</w:t>
      </w:r>
      <w:proofErr w:type="gramStart"/>
      <w:r w:rsidRPr="001B6E4D">
        <w:t>肅貪暨</w:t>
      </w:r>
      <w:proofErr w:type="gramEnd"/>
      <w:r w:rsidRPr="001B6E4D">
        <w:t>重大刑事案件辦理」中「業務費」編列預算916萬6千元。然而近來檢調系統屢屢傳出偵查內容外</w:t>
      </w:r>
      <w:proofErr w:type="gramStart"/>
      <w:r w:rsidRPr="001B6E4D">
        <w:t>洩</w:t>
      </w:r>
      <w:proofErr w:type="gramEnd"/>
      <w:r w:rsidRPr="001B6E4D">
        <w:t>，涉案當事人之隱私與名譽遭受嚴重影響。尚未經法院審理之情節，卻先行於媒體曝光，不僅使社會大眾對司法專業性產生懷疑，更嚴重動搖司法公信力。偵查不公開係維護程序正義、保障人權之基本原則，但屢次外</w:t>
      </w:r>
      <w:proofErr w:type="gramStart"/>
      <w:r w:rsidRPr="001B6E4D">
        <w:t>洩</w:t>
      </w:r>
      <w:proofErr w:type="gramEnd"/>
      <w:r w:rsidRPr="001B6E4D">
        <w:t>情事顯示相關防堵機制未</w:t>
      </w:r>
      <w:proofErr w:type="gramStart"/>
      <w:r w:rsidRPr="001B6E4D">
        <w:t>臻</w:t>
      </w:r>
      <w:proofErr w:type="gramEnd"/>
      <w:r w:rsidRPr="001B6E4D">
        <w:t>落實，甚至淪為政治角力與輿論操作的工具。立法院審查</w:t>
      </w:r>
      <w:proofErr w:type="gramStart"/>
      <w:r w:rsidRPr="001B6E4D">
        <w:t>114</w:t>
      </w:r>
      <w:proofErr w:type="gramEnd"/>
      <w:r w:rsidRPr="001B6E4D">
        <w:t>年度預算時，已明確要求最高檢察署強化管控機制，以杜絕偵查資訊任意外流，但迄今未見具體改善。</w:t>
      </w:r>
    </w:p>
    <w:p w14:paraId="5CF7AF49" w14:textId="77777777" w:rsidR="00705B3D" w:rsidRPr="001B6E4D" w:rsidRDefault="00705B3D" w:rsidP="003D1018">
      <w:pPr>
        <w:pStyle w:val="1f7"/>
        <w:overflowPunct w:val="0"/>
      </w:pPr>
      <w:r w:rsidRPr="001B6E4D">
        <w:rPr>
          <w:rFonts w:hint="eastAsia"/>
        </w:rPr>
        <w:t>請</w:t>
      </w:r>
      <w:r w:rsidRPr="001B6E4D">
        <w:t>最高檢察署於2個月內向立法院司法及法制委員會提出</w:t>
      </w:r>
      <w:r w:rsidRPr="001B6E4D">
        <w:rPr>
          <w:rFonts w:hint="eastAsia"/>
        </w:rPr>
        <w:t>書面</w:t>
      </w:r>
      <w:r w:rsidRPr="001B6E4D">
        <w:t>報告。【74】</w:t>
      </w:r>
    </w:p>
    <w:p w14:paraId="250C79FC"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提案人：林倩綺</w:t>
      </w:r>
    </w:p>
    <w:p w14:paraId="6AB072B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連署人：許宇</w:t>
      </w:r>
      <w:proofErr w:type="gramStart"/>
      <w:r w:rsidRPr="001B6E4D">
        <w:rPr>
          <w:rFonts w:ascii="標楷體" w:eastAsia="標楷體" w:hAnsi="標楷體"/>
          <w:color w:val="000000"/>
          <w:sz w:val="28"/>
          <w:szCs w:val="28"/>
        </w:rPr>
        <w:t>甄</w:t>
      </w:r>
      <w:proofErr w:type="gramEnd"/>
      <w:r w:rsidRPr="001B6E4D">
        <w:rPr>
          <w:rFonts w:ascii="標楷體" w:eastAsia="標楷體" w:hAnsi="標楷體"/>
          <w:color w:val="000000"/>
          <w:sz w:val="28"/>
          <w:szCs w:val="28"/>
        </w:rPr>
        <w:t xml:space="preserve">　林沛祥</w:t>
      </w:r>
    </w:p>
    <w:p w14:paraId="0E2CC858"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第8項 臺灣高等檢察署27億0,798萬6千元，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70E9BDA" w14:textId="77777777" w:rsidR="00705B3D" w:rsidRPr="001B6E4D" w:rsidRDefault="00705B3D" w:rsidP="003D1018">
      <w:pPr>
        <w:overflowPunct w:val="0"/>
        <w:snapToGrid w:val="0"/>
        <w:ind w:leftChars="150" w:left="1201" w:hangingChars="300" w:hanging="841"/>
        <w:jc w:val="both"/>
        <w:rPr>
          <w:rFonts w:ascii="標楷體" w:eastAsia="標楷體" w:hAnsi="標楷體"/>
          <w:b/>
          <w:sz w:val="28"/>
          <w:szCs w:val="28"/>
        </w:rPr>
      </w:pPr>
      <w:r w:rsidRPr="001B6E4D">
        <w:rPr>
          <w:rFonts w:ascii="標楷體" w:eastAsia="標楷體" w:hAnsi="標楷體"/>
          <w:b/>
          <w:sz w:val="28"/>
          <w:szCs w:val="28"/>
        </w:rPr>
        <w:t>本項通過決議</w:t>
      </w:r>
      <w:r w:rsidRPr="001B6E4D">
        <w:rPr>
          <w:rFonts w:ascii="標楷體" w:eastAsia="標楷體" w:hAnsi="標楷體" w:hint="eastAsia"/>
          <w:b/>
          <w:sz w:val="28"/>
          <w:szCs w:val="28"/>
        </w:rPr>
        <w:t>2</w:t>
      </w:r>
      <w:r w:rsidRPr="001B6E4D">
        <w:rPr>
          <w:rFonts w:ascii="標楷體" w:eastAsia="標楷體" w:hAnsi="標楷體"/>
          <w:b/>
          <w:sz w:val="28"/>
          <w:szCs w:val="28"/>
        </w:rPr>
        <w:t>項：</w:t>
      </w:r>
    </w:p>
    <w:p w14:paraId="367DE9C4" w14:textId="77777777" w:rsidR="00705B3D" w:rsidRPr="001B6E4D" w:rsidRDefault="00705B3D" w:rsidP="003D1018">
      <w:pPr>
        <w:pStyle w:val="a"/>
        <w:numPr>
          <w:ilvl w:val="0"/>
          <w:numId w:val="73"/>
        </w:numPr>
        <w:overflowPunct w:val="0"/>
        <w:ind w:left="924" w:hanging="567"/>
      </w:pPr>
      <w:proofErr w:type="gramStart"/>
      <w:r w:rsidRPr="001B6E4D">
        <w:t>115</w:t>
      </w:r>
      <w:proofErr w:type="gramEnd"/>
      <w:r w:rsidRPr="001B6E4D">
        <w:t>年度臺灣高等檢察署歲出預算第2目「檢察業務」編列16億9,921萬1千元，凍結</w:t>
      </w:r>
      <w:r w:rsidRPr="001B6E4D">
        <w:rPr>
          <w:rFonts w:hint="eastAsia"/>
        </w:rPr>
        <w:t>250</w:t>
      </w:r>
      <w:r w:rsidRPr="001B6E4D">
        <w:t>萬元，</w:t>
      </w:r>
      <w:proofErr w:type="gramStart"/>
      <w:r w:rsidRPr="001B6E4D">
        <w:t>俟</w:t>
      </w:r>
      <w:proofErr w:type="gramEnd"/>
      <w:r w:rsidRPr="001B6E4D">
        <w:t>向立法院司法及法制委員會提出書面報告後，始得動支。【7</w:t>
      </w:r>
      <w:r w:rsidRPr="001B6E4D">
        <w:rPr>
          <w:rFonts w:hint="eastAsia"/>
        </w:rPr>
        <w:t>5-77</w:t>
      </w:r>
      <w:r w:rsidRPr="001B6E4D">
        <w:t>】</w:t>
      </w:r>
    </w:p>
    <w:p w14:paraId="177DC971" w14:textId="77777777" w:rsidR="00705B3D" w:rsidRPr="001B6E4D" w:rsidRDefault="00705B3D" w:rsidP="003D1018">
      <w:pPr>
        <w:overflowPunct w:val="0"/>
        <w:snapToGrid w:val="0"/>
        <w:ind w:leftChars="1500" w:left="4776" w:hangingChars="420" w:hanging="1176"/>
        <w:jc w:val="both"/>
        <w:rPr>
          <w:rFonts w:ascii="標楷體" w:eastAsia="標楷體" w:hAnsi="標楷體"/>
          <w:sz w:val="28"/>
          <w:szCs w:val="28"/>
        </w:rPr>
      </w:pPr>
      <w:r w:rsidRPr="001B6E4D">
        <w:rPr>
          <w:rFonts w:ascii="標楷體" w:eastAsia="標楷體" w:hAnsi="標楷體"/>
          <w:sz w:val="28"/>
          <w:szCs w:val="28"/>
        </w:rPr>
        <w:t>提案人：</w:t>
      </w:r>
      <w:r w:rsidRPr="001B6E4D">
        <w:rPr>
          <w:rFonts w:ascii="標楷體" w:eastAsia="標楷體" w:hAnsi="標楷體" w:hint="eastAsia"/>
          <w:sz w:val="28"/>
          <w:szCs w:val="28"/>
        </w:rPr>
        <w:t>吳宗憲</w:t>
      </w:r>
    </w:p>
    <w:p w14:paraId="4FA5A13B"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sz w:val="28"/>
          <w:szCs w:val="28"/>
        </w:rPr>
        <w:t>連署人：</w:t>
      </w:r>
      <w:r w:rsidRPr="001B6E4D">
        <w:rPr>
          <w:rFonts w:ascii="標楷體" w:eastAsia="標楷體" w:hAnsi="標楷體"/>
          <w:color w:val="000000"/>
          <w:sz w:val="28"/>
          <w:szCs w:val="28"/>
        </w:rPr>
        <w:t xml:space="preserve">林倩綺　</w:t>
      </w:r>
      <w:r w:rsidRPr="001B6E4D">
        <w:rPr>
          <w:rFonts w:ascii="標楷體" w:eastAsia="標楷體" w:hAnsi="標楷體" w:hint="eastAsia"/>
          <w:color w:val="000000"/>
          <w:sz w:val="28"/>
          <w:szCs w:val="28"/>
        </w:rPr>
        <w:t>翁曉玲</w:t>
      </w:r>
    </w:p>
    <w:p w14:paraId="20274295" w14:textId="77777777" w:rsidR="00705B3D" w:rsidRPr="001B6E4D" w:rsidRDefault="00705B3D" w:rsidP="003D1018">
      <w:pPr>
        <w:pStyle w:val="1-1"/>
        <w:numPr>
          <w:ilvl w:val="0"/>
          <w:numId w:val="33"/>
        </w:numPr>
        <w:ind w:left="924" w:hanging="567"/>
      </w:pPr>
      <w:r w:rsidRPr="001B6E4D">
        <w:t>臺灣高等檢察署依法負有監督所屬各級檢察署執行刑事裁判與相關執行業務之責，</w:t>
      </w:r>
      <w:proofErr w:type="gramStart"/>
      <w:r w:rsidRPr="001B6E4D">
        <w:t>115</w:t>
      </w:r>
      <w:proofErr w:type="gramEnd"/>
      <w:r w:rsidRPr="001B6E4D">
        <w:t>年度預算總說明亦明載，其重要施政計畫包括：督導所屬短期</w:t>
      </w:r>
      <w:proofErr w:type="gramStart"/>
      <w:r w:rsidRPr="001B6E4D">
        <w:t>自由刑得易</w:t>
      </w:r>
      <w:proofErr w:type="gramEnd"/>
      <w:r w:rsidRPr="001B6E4D">
        <w:t>科罰金案件之執行、督導所屬易服社會勞動業務之執行、督導所屬加強監護處分、刑後強制治療及禁戒處分之執行等。</w:t>
      </w:r>
    </w:p>
    <w:p w14:paraId="1D32020F" w14:textId="77777777" w:rsidR="00705B3D" w:rsidRPr="001B6E4D" w:rsidRDefault="00705B3D" w:rsidP="003D1018">
      <w:pPr>
        <w:pStyle w:val="1f7"/>
        <w:overflowPunct w:val="0"/>
      </w:pPr>
      <w:r w:rsidRPr="001B6E4D">
        <w:t>而高檢署</w:t>
      </w:r>
      <w:proofErr w:type="gramStart"/>
      <w:r w:rsidRPr="001B6E4D">
        <w:rPr>
          <w:rFonts w:hint="eastAsia"/>
        </w:rPr>
        <w:t>114</w:t>
      </w:r>
      <w:proofErr w:type="gramEnd"/>
      <w:r w:rsidRPr="001B6E4D">
        <w:t>年度執行情形顯示，114年1至6月，</w:t>
      </w:r>
      <w:proofErr w:type="gramStart"/>
      <w:r w:rsidRPr="001B6E4D">
        <w:rPr>
          <w:rFonts w:hint="eastAsia"/>
        </w:rPr>
        <w:t>該</w:t>
      </w:r>
      <w:r w:rsidRPr="001B6E4D">
        <w:t>署暨所屬</w:t>
      </w:r>
      <w:proofErr w:type="gramEnd"/>
      <w:r w:rsidRPr="001B6E4D">
        <w:t>各檢察署聲請社會勞動6,187人次，准予社會勞動6,102人次，占98.63%；同期聲請易科罰金2萬6,962人，准予易科罰金2萬5,963人，占96.29%。代表高檢署不只是形式上的督導機關，而是實際掌握全國社會勞動與刑事執行政策節奏之中樞。</w:t>
      </w:r>
    </w:p>
    <w:p w14:paraId="2285A835" w14:textId="77777777" w:rsidR="00705B3D" w:rsidRPr="001B6E4D" w:rsidRDefault="00705B3D" w:rsidP="003D1018">
      <w:pPr>
        <w:pStyle w:val="1f7"/>
        <w:overflowPunct w:val="0"/>
      </w:pPr>
      <w:proofErr w:type="gramStart"/>
      <w:r w:rsidRPr="001B6E4D">
        <w:t>惟</w:t>
      </w:r>
      <w:proofErr w:type="gramEnd"/>
      <w:r w:rsidRPr="001B6E4D">
        <w:t>目前社會勞動制度已出現多項疑義，包括詐欺、洗錢等案件是否被用作延緩入監工具、履行未完成案件比例及原因分析是否充足、觀護及執行端是否有足夠人力與配套因應，以及弱勢或高風險個案之分流調整機制是否健全。若高檢署長期掌握全國執行數據與督導權限，卻未能提出罪名別完成率、未完成原因、回流入監情形及督導改善作為，即難認已善盡監督之責。</w:t>
      </w:r>
    </w:p>
    <w:p w14:paraId="7C92B9EA" w14:textId="77777777" w:rsidR="00705B3D" w:rsidRPr="001B6E4D" w:rsidRDefault="00705B3D" w:rsidP="003D1018">
      <w:pPr>
        <w:pStyle w:val="1f7"/>
        <w:overflowPunct w:val="0"/>
      </w:pPr>
      <w:r w:rsidRPr="001B6E4D">
        <w:rPr>
          <w:rFonts w:hint="eastAsia"/>
        </w:rPr>
        <w:t>請</w:t>
      </w:r>
      <w:r w:rsidRPr="001B6E4D">
        <w:t>臺灣高等檢察署於2個月內向立法院司法及法制委員會提出</w:t>
      </w:r>
      <w:r w:rsidRPr="001B6E4D">
        <w:rPr>
          <w:rFonts w:hint="eastAsia"/>
        </w:rPr>
        <w:t>書面</w:t>
      </w:r>
      <w:r w:rsidRPr="001B6E4D">
        <w:t>報告說明「就近</w:t>
      </w:r>
      <w:r w:rsidRPr="001B6E4D">
        <w:rPr>
          <w:rFonts w:hint="eastAsia"/>
        </w:rPr>
        <w:t>五</w:t>
      </w:r>
      <w:r w:rsidRPr="001B6E4D">
        <w:t>年易服社會勞動案件之罪名別完成率、詐欺及洗錢案件履行未完成原因、准駁標準、回流入監情形、觀護執行負荷與督導改善作為」。【78】</w:t>
      </w:r>
    </w:p>
    <w:p w14:paraId="23F33CD9"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提案人：吳宗憲</w:t>
      </w:r>
    </w:p>
    <w:p w14:paraId="4572079B"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連署人：林倩綺　翁曉玲</w:t>
      </w:r>
    </w:p>
    <w:p w14:paraId="429A96AE"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第9項 臺灣高等檢察署</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中檢察分署1億8,464萬元，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F937517"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第10項 臺灣高等檢察署</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南檢察分署1億4,235萬6千元，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6FFD211"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第11項 臺灣高等檢察署高雄檢察分署1億8,403萬5千元，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F2AA06D"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第12項 臺灣高等檢察署花蓮檢察分署6,193萬8千元，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1597606"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第13項 臺灣高等檢察署智慧財產檢察分署1,732萬5千元，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011AAE7"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第14項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北地方檢察署19億9,355萬5千元，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0D6613E"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第15項 臺灣士林地方檢察署6億7,664萬9千元，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B5D7524"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第16項 臺灣新北地方檢察署11億9,368萬7千元，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B63DC63"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第17項 臺灣桃園地方檢察署10億1,686萬5千元，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10ABAF9"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第18項 臺灣新竹地方檢察署4億4,406萬元，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3B3C9C8"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第19項 臺灣苗栗地方檢察署3億0,435萬6千元，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350EA01"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第20項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中地方檢察署23億5,025萬3千元，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22DF4DE"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第21項 臺灣南投地方檢察署2億6,148萬元，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817AD94"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第22項 臺灣彰化地方檢察署5億7,365萬4千元，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F6B0B2A"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第23項 臺灣雲林地方檢察署3億1,267萬2千元，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898229A"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第24項 臺灣嘉義地方檢察署4億0,759萬2千元，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F742757"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第25項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南地方檢察署7億9,638萬8千元，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61613B1"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第26項 臺灣橋頭地方檢察署5億3,266萬9千元，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7FE3409"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第27項 臺灣高雄地方檢察署10億0,906萬4千元，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E1F02BA"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第28項 臺灣屏東地方檢察署4億2,139萬3千元，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6B88205"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第29項 臺灣</w:t>
      </w:r>
      <w:proofErr w:type="gramStart"/>
      <w:r w:rsidRPr="001B6E4D">
        <w:rPr>
          <w:rFonts w:ascii="標楷體" w:eastAsia="標楷體" w:hAnsi="標楷體"/>
          <w:color w:val="000000"/>
          <w:sz w:val="28"/>
          <w:szCs w:val="28"/>
        </w:rPr>
        <w:t>臺</w:t>
      </w:r>
      <w:proofErr w:type="gramEnd"/>
      <w:r w:rsidRPr="001B6E4D">
        <w:rPr>
          <w:rFonts w:ascii="標楷體" w:eastAsia="標楷體" w:hAnsi="標楷體"/>
          <w:color w:val="000000"/>
          <w:sz w:val="28"/>
          <w:szCs w:val="28"/>
        </w:rPr>
        <w:t>東地方檢察署1億9,810萬9千元，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2F60DB99"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第30項 臺灣花蓮地方檢察署2億5,706萬元，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1D557FF"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第31項 臺灣宜蘭地方檢察署2億6,037萬7千元，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09D9C30"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第32項 臺灣基隆地方檢察署2億7,366萬3千元，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97DD361"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第33項 臺灣澎湖地方檢察署1億2,501萬1千元，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0B22DFF9"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第34項 福建高等檢察署金門檢察分署2,559萬5千元，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3F6FB9E"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第35項 福建金門地方檢察署7,658萬7千元，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51FC406" w14:textId="77777777" w:rsidR="00705B3D" w:rsidRPr="001B6E4D" w:rsidRDefault="00705B3D" w:rsidP="003D1018">
      <w:pPr>
        <w:overflowPunct w:val="0"/>
        <w:snapToGrid w:val="0"/>
        <w:ind w:leftChars="150" w:left="153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第36項 福建連江地方檢察署2,608萬元，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6EAFFC09"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第37項 調查局86億8,335萬元，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7064C7A6" w14:textId="77777777" w:rsidR="00705B3D" w:rsidRPr="001B6E4D" w:rsidRDefault="00705B3D"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sz w:val="28"/>
          <w:szCs w:val="28"/>
        </w:rPr>
        <w:t>本項通過決議</w:t>
      </w:r>
      <w:r w:rsidRPr="001B6E4D">
        <w:rPr>
          <w:rFonts w:ascii="標楷體" w:eastAsia="標楷體" w:hAnsi="標楷體" w:hint="eastAsia"/>
          <w:b/>
          <w:sz w:val="28"/>
          <w:szCs w:val="28"/>
        </w:rPr>
        <w:t>6</w:t>
      </w:r>
      <w:r w:rsidRPr="001B6E4D">
        <w:rPr>
          <w:rFonts w:ascii="標楷體" w:eastAsia="標楷體" w:hAnsi="標楷體"/>
          <w:b/>
          <w:sz w:val="28"/>
          <w:szCs w:val="28"/>
        </w:rPr>
        <w:t>項：</w:t>
      </w:r>
    </w:p>
    <w:p w14:paraId="654C182C" w14:textId="77777777" w:rsidR="00705B3D" w:rsidRPr="001B6E4D" w:rsidRDefault="00705B3D" w:rsidP="003D1018">
      <w:pPr>
        <w:pStyle w:val="a"/>
        <w:numPr>
          <w:ilvl w:val="0"/>
          <w:numId w:val="74"/>
        </w:numPr>
        <w:overflowPunct w:val="0"/>
        <w:ind w:left="924" w:hanging="567"/>
      </w:pPr>
      <w:proofErr w:type="gramStart"/>
      <w:r w:rsidRPr="001B6E4D">
        <w:t>115</w:t>
      </w:r>
      <w:proofErr w:type="gramEnd"/>
      <w:r w:rsidRPr="001B6E4D">
        <w:t>年度調查局歲出預算第3目「</w:t>
      </w:r>
      <w:proofErr w:type="gramStart"/>
      <w:r w:rsidRPr="001B6E4D">
        <w:t>鑑</w:t>
      </w:r>
      <w:proofErr w:type="gramEnd"/>
      <w:r w:rsidRPr="001B6E4D">
        <w:t>識科學及通訊監察業務」編列15億1,582萬9千元，凍結</w:t>
      </w:r>
      <w:r w:rsidRPr="001B6E4D">
        <w:rPr>
          <w:rFonts w:hint="eastAsia"/>
        </w:rPr>
        <w:t>1</w:t>
      </w:r>
      <w:r w:rsidRPr="001B6E4D">
        <w:t>,</w:t>
      </w:r>
      <w:r w:rsidRPr="001B6E4D">
        <w:rPr>
          <w:rFonts w:hint="eastAsia"/>
        </w:rPr>
        <w:t>000</w:t>
      </w:r>
      <w:r w:rsidRPr="001B6E4D">
        <w:t>萬元，</w:t>
      </w:r>
      <w:proofErr w:type="gramStart"/>
      <w:r w:rsidRPr="001B6E4D">
        <w:t>俟</w:t>
      </w:r>
      <w:proofErr w:type="gramEnd"/>
      <w:r w:rsidRPr="001B6E4D">
        <w:t>向立法院司法及法制委員會提出書面報告後，始得動支。【9</w:t>
      </w:r>
      <w:r w:rsidRPr="001B6E4D">
        <w:rPr>
          <w:rFonts w:hint="eastAsia"/>
        </w:rPr>
        <w:t>5</w:t>
      </w:r>
      <w:r w:rsidRPr="001B6E4D">
        <w:t>】</w:t>
      </w:r>
    </w:p>
    <w:p w14:paraId="33484D57" w14:textId="77777777" w:rsidR="00705B3D" w:rsidRPr="001B6E4D" w:rsidRDefault="00705B3D" w:rsidP="003D1018">
      <w:pPr>
        <w:pStyle w:val="2fb"/>
        <w:overflowPunct w:val="0"/>
      </w:pPr>
      <w:r w:rsidRPr="001B6E4D">
        <w:rPr>
          <w:color w:val="auto"/>
        </w:rPr>
        <w:t>提案人：</w:t>
      </w:r>
      <w:r w:rsidRPr="001B6E4D">
        <w:t>許宇</w:t>
      </w:r>
      <w:proofErr w:type="gramStart"/>
      <w:r w:rsidRPr="001B6E4D">
        <w:t>甄</w:t>
      </w:r>
      <w:proofErr w:type="gramEnd"/>
    </w:p>
    <w:p w14:paraId="77CBD805" w14:textId="77777777" w:rsidR="00705B3D" w:rsidRPr="001B6E4D" w:rsidRDefault="00705B3D" w:rsidP="003D1018">
      <w:pPr>
        <w:pStyle w:val="2fb"/>
        <w:overflowPunct w:val="0"/>
      </w:pPr>
      <w:r w:rsidRPr="001B6E4D">
        <w:t>連署人：林沛祥　翁曉玲</w:t>
      </w:r>
    </w:p>
    <w:p w14:paraId="622B3AB7"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年度調查局預算案於第1目「一般行政」項下「基本行政工作維持」中「業務費」之「特別費」編列預算303萬9千元。</w:t>
      </w:r>
    </w:p>
    <w:p w14:paraId="2F7864E9" w14:textId="77777777" w:rsidR="00705B3D" w:rsidRPr="001B6E4D" w:rsidRDefault="00705B3D" w:rsidP="003D1018">
      <w:pPr>
        <w:pStyle w:val="1f7"/>
        <w:overflowPunct w:val="0"/>
      </w:pPr>
      <w:r w:rsidRPr="001B6E4D">
        <w:rPr>
          <w:rFonts w:hint="eastAsia"/>
        </w:rPr>
        <w:t>115</w:t>
      </w:r>
      <w:r w:rsidRPr="001B6E4D">
        <w:t>年</w:t>
      </w:r>
      <w:r w:rsidRPr="001B6E4D">
        <w:rPr>
          <w:rFonts w:hint="eastAsia"/>
        </w:rPr>
        <w:t>5</w:t>
      </w:r>
      <w:r w:rsidRPr="001B6E4D">
        <w:t>月，</w:t>
      </w:r>
      <w:r w:rsidRPr="001B6E4D">
        <w:rPr>
          <w:rFonts w:hint="eastAsia"/>
        </w:rPr>
        <w:t>法務部</w:t>
      </w:r>
      <w:r w:rsidRPr="001B6E4D">
        <w:t>調查局桃園市調查處偵辦一起貪瀆案，</w:t>
      </w:r>
      <w:proofErr w:type="gramStart"/>
      <w:r w:rsidRPr="001B6E4D">
        <w:t>偵</w:t>
      </w:r>
      <w:proofErr w:type="gramEnd"/>
      <w:r w:rsidRPr="001B6E4D">
        <w:t>悉有調查官涉嫌</w:t>
      </w:r>
      <w:proofErr w:type="gramStart"/>
      <w:r w:rsidRPr="001B6E4D">
        <w:t>協助線上博弈</w:t>
      </w:r>
      <w:proofErr w:type="gramEnd"/>
      <w:r w:rsidRPr="001B6E4D">
        <w:t>集團設計博弈程式，並獲取不法報酬。此舉已嚴重違背調查人員之職守，更有損害國家執法機關之公正、清廉形象。</w:t>
      </w:r>
    </w:p>
    <w:p w14:paraId="38C3FDBC" w14:textId="77777777" w:rsidR="00705B3D" w:rsidRPr="001B6E4D" w:rsidRDefault="00705B3D" w:rsidP="003D1018">
      <w:pPr>
        <w:pStyle w:val="1f7"/>
        <w:overflowPunct w:val="0"/>
      </w:pPr>
      <w:r w:rsidRPr="001B6E4D">
        <w:t>為此，</w:t>
      </w:r>
      <w:r w:rsidRPr="001B6E4D">
        <w:rPr>
          <w:rFonts w:hint="eastAsia"/>
        </w:rPr>
        <w:t>法務部</w:t>
      </w:r>
      <w:r w:rsidRPr="001B6E4D">
        <w:t>調查局應即刻檢討內部管控流程，就如何防範調查人員與犯罪集團緊密接觸時，在複雜的人物關係中，形成利益共同體，</w:t>
      </w:r>
      <w:proofErr w:type="gramStart"/>
      <w:r w:rsidRPr="001B6E4D">
        <w:t>以嚴阻類似</w:t>
      </w:r>
      <w:proofErr w:type="gramEnd"/>
      <w:r w:rsidRPr="001B6E4D">
        <w:t>勾結情事再次發生。</w:t>
      </w:r>
      <w:r w:rsidRPr="001B6E4D">
        <w:rPr>
          <w:rFonts w:hint="eastAsia"/>
        </w:rPr>
        <w:t>請法務部</w:t>
      </w:r>
      <w:r w:rsidRPr="001B6E4D">
        <w:t>調查局</w:t>
      </w:r>
      <w:r w:rsidRPr="001B6E4D">
        <w:rPr>
          <w:rFonts w:hint="eastAsia"/>
        </w:rPr>
        <w:t>務實檢討人事管理、風紀管理及風險控管等制度，以杜絕類似案件發生，並</w:t>
      </w:r>
      <w:r w:rsidRPr="001B6E4D">
        <w:t>於3個月內向立法院司法及法制委員會提出</w:t>
      </w:r>
      <w:r w:rsidRPr="001B6E4D">
        <w:rPr>
          <w:rFonts w:hint="eastAsia"/>
        </w:rPr>
        <w:t>書</w:t>
      </w:r>
      <w:r w:rsidRPr="001B6E4D">
        <w:rPr>
          <w:rFonts w:hint="eastAsia"/>
        </w:rPr>
        <w:lastRenderedPageBreak/>
        <w:t>面</w:t>
      </w:r>
      <w:r w:rsidRPr="001B6E4D">
        <w:t>報告。【90】</w:t>
      </w:r>
    </w:p>
    <w:p w14:paraId="51E9ECE3" w14:textId="77777777" w:rsidR="00705B3D" w:rsidRPr="001B6E4D" w:rsidRDefault="00705B3D" w:rsidP="003D1018">
      <w:pPr>
        <w:pStyle w:val="2fb"/>
        <w:overflowPunct w:val="0"/>
      </w:pPr>
      <w:r w:rsidRPr="001B6E4D">
        <w:t>提案人：陳昭姿</w:t>
      </w:r>
    </w:p>
    <w:p w14:paraId="1631A745" w14:textId="77777777" w:rsidR="00705B3D" w:rsidRPr="001B6E4D" w:rsidRDefault="00705B3D" w:rsidP="003D1018">
      <w:pPr>
        <w:pStyle w:val="2fb"/>
        <w:overflowPunct w:val="0"/>
      </w:pPr>
      <w:r w:rsidRPr="001B6E4D">
        <w:t>連署人：林倩綺　林沛祥</w:t>
      </w:r>
    </w:p>
    <w:p w14:paraId="09EABDA3"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年度調查局預算案於第1目「一般行政」項下「資訊作業」中「設備及投資」編列預算1億0,451萬2千元</w:t>
      </w:r>
      <w:r w:rsidRPr="001B6E4D">
        <w:rPr>
          <w:rFonts w:hint="eastAsia"/>
        </w:rPr>
        <w:t>，</w:t>
      </w:r>
      <w:r w:rsidRPr="001B6E4D">
        <w:t>其中包含電腦設備</w:t>
      </w:r>
      <w:proofErr w:type="gramStart"/>
      <w:r w:rsidRPr="001B6E4D">
        <w:t>汰</w:t>
      </w:r>
      <w:proofErr w:type="gramEnd"/>
      <w:r w:rsidRPr="001B6E4D">
        <w:t>換等經費2,420</w:t>
      </w:r>
      <w:r w:rsidRPr="001B6E4D">
        <w:rPr>
          <w:rFonts w:hint="eastAsia"/>
        </w:rPr>
        <w:t>萬</w:t>
      </w:r>
      <w:r w:rsidRPr="001B6E4D">
        <w:t>元。</w:t>
      </w:r>
    </w:p>
    <w:p w14:paraId="0D79D934" w14:textId="77777777" w:rsidR="00705B3D" w:rsidRPr="001B6E4D" w:rsidRDefault="00705B3D" w:rsidP="003D1018">
      <w:pPr>
        <w:pStyle w:val="1f7"/>
        <w:overflowPunct w:val="0"/>
      </w:pPr>
      <w:r w:rsidRPr="001B6E4D">
        <w:t>經查，</w:t>
      </w:r>
      <w:r w:rsidRPr="001B6E4D">
        <w:rPr>
          <w:rFonts w:hint="eastAsia"/>
        </w:rPr>
        <w:t>法務部</w:t>
      </w:r>
      <w:r w:rsidRPr="001B6E4D">
        <w:t>調查局連年編列高額電腦</w:t>
      </w:r>
      <w:proofErr w:type="gramStart"/>
      <w:r w:rsidRPr="001B6E4D">
        <w:t>汰</w:t>
      </w:r>
      <w:proofErr w:type="gramEnd"/>
      <w:r w:rsidRPr="001B6E4D">
        <w:t>換經費，111至114年度已編列7,431</w:t>
      </w:r>
      <w:r w:rsidRPr="001B6E4D">
        <w:rPr>
          <w:rFonts w:hint="eastAsia"/>
        </w:rPr>
        <w:t>萬</w:t>
      </w:r>
      <w:r w:rsidRPr="001B6E4D">
        <w:t>7千元，惟</w:t>
      </w:r>
      <w:proofErr w:type="gramStart"/>
      <w:r w:rsidRPr="001B6E4D">
        <w:t>汰</w:t>
      </w:r>
      <w:proofErr w:type="gramEnd"/>
      <w:r w:rsidRPr="001B6E4D">
        <w:t>換數量、理由、裝備規格等</w:t>
      </w:r>
      <w:proofErr w:type="gramStart"/>
      <w:r w:rsidRPr="001B6E4D">
        <w:t>皆無敘明</w:t>
      </w:r>
      <w:proofErr w:type="gramEnd"/>
      <w:r w:rsidRPr="001B6E4D">
        <w:t>，不利</w:t>
      </w:r>
      <w:r w:rsidRPr="001B6E4D">
        <w:rPr>
          <w:rFonts w:hint="eastAsia"/>
        </w:rPr>
        <w:t>立法</w:t>
      </w:r>
      <w:r w:rsidRPr="001B6E4D">
        <w:t>院監督審議設備</w:t>
      </w:r>
      <w:proofErr w:type="gramStart"/>
      <w:r w:rsidRPr="001B6E4D">
        <w:t>汰</w:t>
      </w:r>
      <w:proofErr w:type="gramEnd"/>
      <w:r w:rsidRPr="001B6E4D">
        <w:t>換情形。</w:t>
      </w:r>
    </w:p>
    <w:p w14:paraId="168E6234" w14:textId="77777777" w:rsidR="00705B3D" w:rsidRPr="001B6E4D" w:rsidRDefault="00705B3D" w:rsidP="003D1018">
      <w:pPr>
        <w:pStyle w:val="1f7"/>
        <w:overflowPunct w:val="0"/>
      </w:pPr>
      <w:proofErr w:type="gramStart"/>
      <w:r w:rsidRPr="001B6E4D">
        <w:rPr>
          <w:rFonts w:hint="eastAsia"/>
        </w:rPr>
        <w:t>鑑</w:t>
      </w:r>
      <w:proofErr w:type="gramEnd"/>
      <w:r w:rsidRPr="001B6E4D">
        <w:rPr>
          <w:rFonts w:hint="eastAsia"/>
        </w:rPr>
        <w:t>於調查局兼具司法與情報業務，本項雖屬個人電腦等設備</w:t>
      </w:r>
      <w:proofErr w:type="gramStart"/>
      <w:r w:rsidRPr="001B6E4D">
        <w:rPr>
          <w:rFonts w:hint="eastAsia"/>
        </w:rPr>
        <w:t>汰</w:t>
      </w:r>
      <w:proofErr w:type="gramEnd"/>
      <w:r w:rsidRPr="001B6E4D">
        <w:rPr>
          <w:rFonts w:hint="eastAsia"/>
        </w:rPr>
        <w:t>換為辦公作業固定支出，實用於支援職掌業務所需之基礎資訊設備，請法務部</w:t>
      </w:r>
      <w:r w:rsidRPr="001B6E4D">
        <w:t>調查局</w:t>
      </w:r>
      <w:r w:rsidRPr="001B6E4D">
        <w:rPr>
          <w:rFonts w:hint="eastAsia"/>
        </w:rPr>
        <w:t>在資源合理配置</w:t>
      </w:r>
      <w:proofErr w:type="gramStart"/>
      <w:r w:rsidRPr="001B6E4D">
        <w:rPr>
          <w:rFonts w:hint="eastAsia"/>
        </w:rPr>
        <w:t>及資安防護</w:t>
      </w:r>
      <w:proofErr w:type="gramEnd"/>
      <w:r w:rsidRPr="001B6E4D">
        <w:rPr>
          <w:rFonts w:hint="eastAsia"/>
        </w:rPr>
        <w:t>無虞前提下，審慎規劃電腦設備</w:t>
      </w:r>
      <w:proofErr w:type="gramStart"/>
      <w:r w:rsidRPr="001B6E4D">
        <w:rPr>
          <w:rFonts w:hint="eastAsia"/>
        </w:rPr>
        <w:t>汰</w:t>
      </w:r>
      <w:proofErr w:type="gramEnd"/>
      <w:r w:rsidRPr="001B6E4D">
        <w:rPr>
          <w:rFonts w:hint="eastAsia"/>
        </w:rPr>
        <w:t>換之規格及數量</w:t>
      </w:r>
      <w:r w:rsidRPr="001B6E4D">
        <w:t>。【91】</w:t>
      </w:r>
    </w:p>
    <w:p w14:paraId="6F5A353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提案人：許宇</w:t>
      </w:r>
      <w:proofErr w:type="gramStart"/>
      <w:r w:rsidRPr="001B6E4D">
        <w:rPr>
          <w:rFonts w:ascii="標楷體" w:eastAsia="標楷體" w:hAnsi="標楷體"/>
          <w:color w:val="000000"/>
          <w:sz w:val="28"/>
          <w:szCs w:val="28"/>
        </w:rPr>
        <w:t>甄</w:t>
      </w:r>
      <w:proofErr w:type="gramEnd"/>
    </w:p>
    <w:p w14:paraId="72B84E07"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連署人：林沛祥　翁曉玲</w:t>
      </w:r>
    </w:p>
    <w:p w14:paraId="239654A9"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年度調查局預算案於第1目「一般行政」項下「人員訓練」編列預算4,650萬元。</w:t>
      </w:r>
    </w:p>
    <w:p w14:paraId="593AA372" w14:textId="77777777" w:rsidR="00705B3D" w:rsidRPr="001B6E4D" w:rsidRDefault="00705B3D" w:rsidP="003D1018">
      <w:pPr>
        <w:pStyle w:val="1f7"/>
        <w:overflowPunct w:val="0"/>
      </w:pPr>
      <w:r w:rsidRPr="001B6E4D">
        <w:rPr>
          <w:rFonts w:hint="eastAsia"/>
        </w:rPr>
        <w:t>法務部</w:t>
      </w:r>
      <w:r w:rsidRPr="001B6E4D">
        <w:t>調查局肩負國家安全及犯罪防制重任，本應為執法人員表率。然近年來違法違紀事件頻傳，包括主管及同仁涉嫌性騷擾、強制猥褻、拍攝未成年性影像，甚至結群出入有女陪</w:t>
      </w:r>
      <w:proofErr w:type="gramStart"/>
      <w:r w:rsidRPr="001B6E4D">
        <w:t>侍</w:t>
      </w:r>
      <w:proofErr w:type="gramEnd"/>
      <w:r w:rsidRPr="001B6E4D">
        <w:t>之場所。此類重大</w:t>
      </w:r>
      <w:proofErr w:type="gramStart"/>
      <w:r w:rsidRPr="001B6E4D">
        <w:t>不</w:t>
      </w:r>
      <w:proofErr w:type="gramEnd"/>
      <w:r w:rsidRPr="001B6E4D">
        <w:t>檢言行嚴重玷汙司法公信力，顯見該局內部管理機制失靈，此事亦引起監察委員關注，申請自動調查。然而多起案件即便經查證屬實或遭檢察官提起公訴，調查局內部竟僅</w:t>
      </w:r>
      <w:proofErr w:type="gramStart"/>
      <w:r w:rsidRPr="001B6E4D">
        <w:t>給予輕懲交代</w:t>
      </w:r>
      <w:proofErr w:type="gramEnd"/>
      <w:r w:rsidRPr="001B6E4D">
        <w:t>，外界質疑官官相護，未能建立有效之違失人員淘汰機制，組織文化亟待</w:t>
      </w:r>
      <w:r w:rsidRPr="001B6E4D">
        <w:rPr>
          <w:rFonts w:hint="eastAsia"/>
        </w:rPr>
        <w:t>澈</w:t>
      </w:r>
      <w:r w:rsidRPr="001B6E4D">
        <w:t>底改革。</w:t>
      </w:r>
      <w:proofErr w:type="gramStart"/>
      <w:r w:rsidRPr="001B6E4D">
        <w:t>爰</w:t>
      </w:r>
      <w:proofErr w:type="gramEnd"/>
      <w:r w:rsidRPr="001B6E4D">
        <w:t>要求調查局針對風紀敗壞、性平教育落實不力等情事做檢討改善。</w:t>
      </w:r>
    </w:p>
    <w:p w14:paraId="399D3444" w14:textId="77777777" w:rsidR="00705B3D" w:rsidRPr="001B6E4D" w:rsidRDefault="00705B3D" w:rsidP="003D1018">
      <w:pPr>
        <w:pStyle w:val="1f7"/>
        <w:overflowPunct w:val="0"/>
      </w:pPr>
      <w:r w:rsidRPr="001B6E4D">
        <w:rPr>
          <w:rFonts w:hint="eastAsia"/>
        </w:rPr>
        <w:t>請法務部</w:t>
      </w:r>
      <w:r w:rsidRPr="001B6E4D">
        <w:t>調查局</w:t>
      </w:r>
      <w:r w:rsidRPr="001B6E4D">
        <w:rPr>
          <w:rFonts w:hint="eastAsia"/>
        </w:rPr>
        <w:t>持續針對新進及在職同仁加強性平教育並務實檢討人事管理、風紀管理及風險控管等制度，以杜絕類似案件發生</w:t>
      </w:r>
      <w:r w:rsidRPr="001B6E4D">
        <w:t>。【92】</w:t>
      </w:r>
    </w:p>
    <w:p w14:paraId="5EEAE51A" w14:textId="77777777" w:rsidR="00705B3D" w:rsidRPr="001B6E4D" w:rsidRDefault="00705B3D" w:rsidP="003D1018">
      <w:pPr>
        <w:pStyle w:val="2fb"/>
        <w:overflowPunct w:val="0"/>
      </w:pPr>
      <w:r w:rsidRPr="001B6E4D">
        <w:t>提案人：許宇</w:t>
      </w:r>
      <w:proofErr w:type="gramStart"/>
      <w:r w:rsidRPr="001B6E4D">
        <w:t>甄</w:t>
      </w:r>
      <w:proofErr w:type="gramEnd"/>
    </w:p>
    <w:p w14:paraId="7463EC76" w14:textId="77777777" w:rsidR="00705B3D" w:rsidRPr="001B6E4D" w:rsidRDefault="00705B3D" w:rsidP="003D1018">
      <w:pPr>
        <w:pStyle w:val="2fb"/>
        <w:overflowPunct w:val="0"/>
      </w:pPr>
      <w:r w:rsidRPr="001B6E4D">
        <w:t>連署人：林沛祥　翁曉玲</w:t>
      </w:r>
    </w:p>
    <w:p w14:paraId="387358CA"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年度調查局預算案於</w:t>
      </w:r>
      <w:r w:rsidRPr="001B6E4D">
        <w:rPr>
          <w:rFonts w:hint="eastAsia"/>
        </w:rPr>
        <w:t>「</w:t>
      </w:r>
      <w:r w:rsidRPr="001B6E4D">
        <w:t>媒體政策及業務宣導費</w:t>
      </w:r>
      <w:r w:rsidRPr="001B6E4D">
        <w:rPr>
          <w:rFonts w:hint="eastAsia"/>
        </w:rPr>
        <w:t>」</w:t>
      </w:r>
      <w:r w:rsidRPr="001B6E4D">
        <w:t>編列298萬6千元，較</w:t>
      </w:r>
      <w:proofErr w:type="gramStart"/>
      <w:r w:rsidRPr="001B6E4D">
        <w:t>114</w:t>
      </w:r>
      <w:proofErr w:type="gramEnd"/>
      <w:r w:rsidRPr="001B6E4D">
        <w:t>年度119萬4千元增加179萬2千元，增幅高達150.08%。其用途係辦理國安宣導活動及製作犯罪防制影片等，用以宣導保護國家安全、防制滲透、機密維護等概念，評核指標則為每檔次活動或影片推廣期間觸及率達5萬觀賞人次。</w:t>
      </w:r>
    </w:p>
    <w:p w14:paraId="3C2202D8" w14:textId="77777777" w:rsidR="00705B3D" w:rsidRPr="001B6E4D" w:rsidRDefault="00705B3D" w:rsidP="003D1018">
      <w:pPr>
        <w:pStyle w:val="1f7"/>
        <w:overflowPunct w:val="0"/>
      </w:pPr>
      <w:r w:rsidRPr="001B6E4D">
        <w:t>國家安全宣導固有其必要，但預算一年暴增逾1.5倍，卻</w:t>
      </w:r>
      <w:r w:rsidRPr="001B6E4D">
        <w:lastRenderedPageBreak/>
        <w:t>僅以「觸及率5萬觀賞</w:t>
      </w:r>
      <w:proofErr w:type="gramStart"/>
      <w:r w:rsidRPr="001B6E4D">
        <w:t>人次」</w:t>
      </w:r>
      <w:proofErr w:type="gramEnd"/>
      <w:r w:rsidRPr="001B6E4D">
        <w:t>作為評核指標，顯然過於粗略。觸及率不等於實際觀看，不等於完整觀看，更不等於民眾理解、辨識風險或提高檢舉意願。若宣導成效僅以平台數據表面觸及作為交代，容易流於廣告投放，而非真正提升國安意識與犯罪防制能力。</w:t>
      </w:r>
    </w:p>
    <w:p w14:paraId="7FD3DA8D" w14:textId="77777777" w:rsidR="00705B3D" w:rsidRPr="001B6E4D" w:rsidRDefault="00705B3D" w:rsidP="003D1018">
      <w:pPr>
        <w:pStyle w:val="1f7"/>
        <w:overflowPunct w:val="0"/>
      </w:pPr>
      <w:r w:rsidRPr="001B6E4D">
        <w:t>更何況</w:t>
      </w:r>
      <w:r w:rsidRPr="001B6E4D">
        <w:rPr>
          <w:rFonts w:hint="eastAsia"/>
        </w:rPr>
        <w:t>法務部</w:t>
      </w:r>
      <w:r w:rsidRPr="001B6E4D">
        <w:t>調查局作為國家安全與重大犯罪調查機關，業務性質本就高度敏感，媒體宣導更應嚴守必要性、比例性及政治中立原則。若宣導內容、投放對象、媒體選擇、採購方式及成效評估未具體揭露，恐引發外界對政府大</w:t>
      </w:r>
      <w:proofErr w:type="gramStart"/>
      <w:r w:rsidRPr="001B6E4D">
        <w:t>內宣或</w:t>
      </w:r>
      <w:proofErr w:type="gramEnd"/>
      <w:r w:rsidRPr="001B6E4D">
        <w:t>特定媒體資源分配之疑慮。</w:t>
      </w:r>
    </w:p>
    <w:p w14:paraId="7D745B5D" w14:textId="77777777" w:rsidR="00705B3D" w:rsidRPr="001B6E4D" w:rsidRDefault="00705B3D" w:rsidP="003D1018">
      <w:pPr>
        <w:pStyle w:val="1f7"/>
        <w:overflowPunct w:val="0"/>
      </w:pPr>
      <w:r w:rsidRPr="001B6E4D">
        <w:t>政策宣導不是不能做，而是必須說</w:t>
      </w:r>
      <w:proofErr w:type="gramStart"/>
      <w:r w:rsidRPr="001B6E4D">
        <w:t>清楚、</w:t>
      </w:r>
      <w:proofErr w:type="gramEnd"/>
      <w:r w:rsidRPr="001B6E4D">
        <w:t>可檢驗、有效益。調查局應提出更具體的績效指標，例如完整觀看率、互動率、政策理解度、受眾回饋、檢舉案件導流效果、校園或機關</w:t>
      </w:r>
      <w:proofErr w:type="gramStart"/>
      <w:r w:rsidRPr="001B6E4D">
        <w:t>宣導後測結果</w:t>
      </w:r>
      <w:proofErr w:type="gramEnd"/>
      <w:r w:rsidRPr="001B6E4D">
        <w:t>等，不能只用觸及人次包裝預算成效。</w:t>
      </w:r>
    </w:p>
    <w:p w14:paraId="73E200A2" w14:textId="77777777" w:rsidR="00705B3D" w:rsidRPr="001B6E4D" w:rsidRDefault="00705B3D" w:rsidP="003D1018">
      <w:pPr>
        <w:pStyle w:val="1f7"/>
        <w:overflowPunct w:val="0"/>
      </w:pPr>
      <w:r w:rsidRPr="001B6E4D">
        <w:rPr>
          <w:rFonts w:hint="eastAsia"/>
        </w:rPr>
        <w:t>請法務部調查局檢討評核指標</w:t>
      </w:r>
      <w:r w:rsidRPr="001B6E4D">
        <w:t>，</w:t>
      </w:r>
      <w:r w:rsidRPr="001B6E4D">
        <w:rPr>
          <w:rFonts w:hint="eastAsia"/>
        </w:rPr>
        <w:t>以更具體之方式思考國家安全及各類型犯罪防制宣導作為</w:t>
      </w:r>
      <w:r w:rsidRPr="001B6E4D">
        <w:t>。【93】</w:t>
      </w:r>
    </w:p>
    <w:p w14:paraId="403F3ED0"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提案人：許宇</w:t>
      </w:r>
      <w:proofErr w:type="gramStart"/>
      <w:r w:rsidRPr="001B6E4D">
        <w:rPr>
          <w:rFonts w:ascii="標楷體" w:eastAsia="標楷體" w:hAnsi="標楷體"/>
          <w:color w:val="000000"/>
          <w:sz w:val="28"/>
          <w:szCs w:val="28"/>
        </w:rPr>
        <w:t>甄</w:t>
      </w:r>
      <w:proofErr w:type="gramEnd"/>
    </w:p>
    <w:p w14:paraId="5559840F"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連署人：林沛祥　翁曉玲</w:t>
      </w:r>
    </w:p>
    <w:p w14:paraId="662C0CC3"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年度調查局預算案於第2目「司法調查業務」項下「國家安全維護及安全防護工作」中「業務費」之「一般事務費」辦理國安宣導活動及製作犯罪防制影片等媒體政策及業務宣導費編列預算298萬6千元。</w:t>
      </w:r>
      <w:proofErr w:type="gramStart"/>
      <w:r w:rsidRPr="001B6E4D">
        <w:t>然查</w:t>
      </w:r>
      <w:proofErr w:type="gramEnd"/>
      <w:r w:rsidRPr="001B6E4D">
        <w:t>，</w:t>
      </w:r>
      <w:r w:rsidRPr="001B6E4D">
        <w:rPr>
          <w:rFonts w:hint="eastAsia"/>
        </w:rPr>
        <w:t>法務部</w:t>
      </w:r>
      <w:r w:rsidRPr="001B6E4D">
        <w:t>調查局官方YouTube頻道於114年僅於8月25日上架</w:t>
      </w:r>
      <w:r w:rsidRPr="001B6E4D">
        <w:rPr>
          <w:rFonts w:hint="eastAsia"/>
        </w:rPr>
        <w:t>1</w:t>
      </w:r>
      <w:r w:rsidRPr="001B6E4D">
        <w:t>部國安宣導影片，迄今觀看數</w:t>
      </w:r>
      <w:proofErr w:type="gramStart"/>
      <w:r w:rsidRPr="001B6E4D">
        <w:t>不足1</w:t>
      </w:r>
      <w:r w:rsidRPr="001B6E4D">
        <w:rPr>
          <w:rFonts w:hint="eastAsia"/>
        </w:rPr>
        <w:t>萬</w:t>
      </w:r>
      <w:proofErr w:type="gramEnd"/>
      <w:r w:rsidRPr="001B6E4D">
        <w:t>5,000次；</w:t>
      </w:r>
      <w:proofErr w:type="gramStart"/>
      <w:r w:rsidRPr="001B6E4D">
        <w:t>113</w:t>
      </w:r>
      <w:proofErr w:type="gramEnd"/>
      <w:r w:rsidRPr="001B6E4D">
        <w:t>年度亦曾編列223萬9千元製作</w:t>
      </w:r>
      <w:r w:rsidRPr="001B6E4D">
        <w:rPr>
          <w:rFonts w:hint="eastAsia"/>
        </w:rPr>
        <w:t>1</w:t>
      </w:r>
      <w:r w:rsidRPr="001B6E4D">
        <w:t>部以職業棒球隊中信兄弟為主演之國安宣導影片，迄今觀看數仍</w:t>
      </w:r>
      <w:proofErr w:type="gramStart"/>
      <w:r w:rsidRPr="001B6E4D">
        <w:t>不足1</w:t>
      </w:r>
      <w:r w:rsidRPr="001B6E4D">
        <w:rPr>
          <w:rFonts w:hint="eastAsia"/>
        </w:rPr>
        <w:t>萬</w:t>
      </w:r>
      <w:proofErr w:type="gramEnd"/>
      <w:r w:rsidRPr="001B6E4D">
        <w:t>1,000次。由此可見，調查局所辦理之政策宣導方式未能有效觸及社會大眾，費用支出與成效顯不相當。過去一年未見調查局宣導方式有所改進，僅見沿用舊有模式，未能回應數位時代之傳播需求。調查局應積極檢討並改善，以確保公共資源之有效運用。</w:t>
      </w:r>
    </w:p>
    <w:p w14:paraId="42F28276" w14:textId="77777777" w:rsidR="00705B3D" w:rsidRPr="001B6E4D" w:rsidRDefault="00705B3D" w:rsidP="003D1018">
      <w:pPr>
        <w:pStyle w:val="1f7"/>
        <w:overflowPunct w:val="0"/>
      </w:pPr>
      <w:r w:rsidRPr="001B6E4D">
        <w:rPr>
          <w:rFonts w:hint="eastAsia"/>
        </w:rPr>
        <w:t>請法務部調查局考量經濟效益</w:t>
      </w:r>
      <w:r w:rsidRPr="001B6E4D">
        <w:t>，</w:t>
      </w:r>
      <w:r w:rsidRPr="001B6E4D">
        <w:rPr>
          <w:rFonts w:hint="eastAsia"/>
        </w:rPr>
        <w:t>以最能</w:t>
      </w:r>
      <w:proofErr w:type="gramStart"/>
      <w:r w:rsidRPr="001B6E4D">
        <w:rPr>
          <w:rFonts w:hint="eastAsia"/>
        </w:rPr>
        <w:t>撙</w:t>
      </w:r>
      <w:proofErr w:type="gramEnd"/>
      <w:r w:rsidRPr="001B6E4D">
        <w:rPr>
          <w:rFonts w:hint="eastAsia"/>
        </w:rPr>
        <w:t>節經費之方式思考國家安全宣導作為</w:t>
      </w:r>
      <w:r w:rsidRPr="001B6E4D">
        <w:t>，</w:t>
      </w:r>
      <w:r w:rsidRPr="001B6E4D">
        <w:rPr>
          <w:rFonts w:hint="eastAsia"/>
        </w:rPr>
        <w:t>避免重複性過高或題材雷同之宣傳方式</w:t>
      </w:r>
      <w:r w:rsidRPr="001B6E4D">
        <w:t>。【94】</w:t>
      </w:r>
    </w:p>
    <w:p w14:paraId="6C83B8BD" w14:textId="77777777" w:rsidR="00705B3D" w:rsidRPr="001B6E4D" w:rsidRDefault="00705B3D" w:rsidP="003D1018">
      <w:pPr>
        <w:pStyle w:val="2fb"/>
        <w:overflowPunct w:val="0"/>
      </w:pPr>
      <w:r w:rsidRPr="001B6E4D">
        <w:t>提案人：林倩綺</w:t>
      </w:r>
    </w:p>
    <w:p w14:paraId="14531CA1"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林沛祥</w:t>
      </w:r>
    </w:p>
    <w:p w14:paraId="537E0A9A" w14:textId="77777777" w:rsidR="00705B3D" w:rsidRPr="001B6E4D" w:rsidRDefault="00705B3D" w:rsidP="003D1018">
      <w:pPr>
        <w:pStyle w:val="0-"/>
        <w:overflowPunct w:val="0"/>
        <w:spacing w:line="380" w:lineRule="exact"/>
        <w:ind w:leftChars="2" w:left="566" w:hanging="561"/>
        <w:rPr>
          <w:b/>
          <w:bCs/>
        </w:rPr>
      </w:pPr>
      <w:r w:rsidRPr="001B6E4D">
        <w:rPr>
          <w:rFonts w:hint="eastAsia"/>
          <w:b/>
          <w:bCs/>
        </w:rPr>
        <w:t>(三)中華民國</w:t>
      </w:r>
      <w:proofErr w:type="gramStart"/>
      <w:r w:rsidRPr="001B6E4D">
        <w:rPr>
          <w:rFonts w:hint="eastAsia"/>
          <w:b/>
          <w:bCs/>
        </w:rPr>
        <w:t>115</w:t>
      </w:r>
      <w:proofErr w:type="gramEnd"/>
      <w:r w:rsidRPr="001B6E4D">
        <w:rPr>
          <w:rFonts w:hint="eastAsia"/>
          <w:b/>
          <w:bCs/>
        </w:rPr>
        <w:t>年度中央政府總預算案關於法務部及所屬主管收支部分</w:t>
      </w:r>
      <w:r w:rsidRPr="001B6E4D">
        <w:rPr>
          <w:b/>
          <w:bCs/>
        </w:rPr>
        <w:t>審查完竣，</w:t>
      </w:r>
      <w:r w:rsidRPr="001B6E4D">
        <w:rPr>
          <w:rFonts w:hint="eastAsia"/>
          <w:b/>
          <w:bCs/>
        </w:rPr>
        <w:t>提報院會，院會討論前，</w:t>
      </w:r>
      <w:r w:rsidRPr="001B6E4D">
        <w:rPr>
          <w:b/>
          <w:bCs/>
        </w:rPr>
        <w:t>須交由黨團協商</w:t>
      </w:r>
      <w:r w:rsidRPr="001B6E4D">
        <w:rPr>
          <w:rFonts w:hint="eastAsia"/>
          <w:b/>
          <w:bCs/>
        </w:rPr>
        <w:t>；院會討論時，由翁召集委員曉玲出席說明</w:t>
      </w:r>
      <w:r w:rsidRPr="001B6E4D">
        <w:rPr>
          <w:b/>
          <w:bCs/>
        </w:rPr>
        <w:t>。</w:t>
      </w:r>
    </w:p>
    <w:p w14:paraId="2569A60A" w14:textId="77777777" w:rsidR="00705B3D" w:rsidRPr="001B6E4D" w:rsidRDefault="00705B3D" w:rsidP="003D1018">
      <w:pPr>
        <w:overflowPunct w:val="0"/>
        <w:adjustRightInd w:val="0"/>
        <w:snapToGrid w:val="0"/>
        <w:spacing w:beforeLines="20" w:before="72" w:line="380" w:lineRule="exact"/>
        <w:jc w:val="both"/>
        <w:rPr>
          <w:rFonts w:ascii="標楷體" w:eastAsia="標楷體" w:hAnsi="標楷體"/>
          <w:b/>
          <w:color w:val="000000" w:themeColor="text1"/>
          <w:sz w:val="28"/>
          <w:szCs w:val="28"/>
        </w:rPr>
      </w:pPr>
      <w:r w:rsidRPr="001B6E4D">
        <w:rPr>
          <w:rFonts w:ascii="標楷體" w:eastAsia="標楷體" w:hAnsi="標楷體" w:hint="eastAsia"/>
          <w:b/>
          <w:color w:val="000000" w:themeColor="text1"/>
          <w:sz w:val="28"/>
          <w:szCs w:val="28"/>
        </w:rPr>
        <w:lastRenderedPageBreak/>
        <w:t>二、「法務部矯正機關作業基金」：</w:t>
      </w:r>
    </w:p>
    <w:p w14:paraId="61139D48"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w:t>
      </w:r>
      <w:proofErr w:type="gramStart"/>
      <w:r w:rsidRPr="001B6E4D">
        <w:rPr>
          <w:rFonts w:ascii="標楷體" w:eastAsia="標楷體" w:hAnsi="標楷體" w:hint="eastAsia"/>
          <w:color w:val="000000" w:themeColor="text1"/>
          <w:sz w:val="28"/>
          <w:szCs w:val="28"/>
        </w:rPr>
        <w:t>一</w:t>
      </w:r>
      <w:proofErr w:type="gramEnd"/>
      <w:r w:rsidRPr="001B6E4D">
        <w:rPr>
          <w:rFonts w:ascii="標楷體" w:eastAsia="標楷體" w:hAnsi="標楷體" w:hint="eastAsia"/>
          <w:color w:val="000000" w:themeColor="text1"/>
          <w:sz w:val="28"/>
          <w:szCs w:val="28"/>
        </w:rPr>
        <w:t>)業務計畫：應依據業務收支、轉投資、固定資產建設改良擴充及資金運用等項之審查結果，隨同調整。</w:t>
      </w:r>
    </w:p>
    <w:p w14:paraId="4885B038" w14:textId="77777777" w:rsidR="00705B3D" w:rsidRPr="001B6E4D" w:rsidRDefault="00705B3D" w:rsidP="003D1018">
      <w:pPr>
        <w:overflowPunct w:val="0"/>
        <w:spacing w:line="380" w:lineRule="exact"/>
        <w:ind w:leftChars="200" w:left="964" w:hangingChars="173" w:hanging="484"/>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(二)業務收支：</w:t>
      </w:r>
    </w:p>
    <w:p w14:paraId="4BC61EBF" w14:textId="77777777" w:rsidR="00705B3D" w:rsidRPr="001B6E4D" w:rsidRDefault="00705B3D" w:rsidP="003D1018">
      <w:pPr>
        <w:overflowPunct w:val="0"/>
        <w:spacing w:line="380" w:lineRule="exact"/>
        <w:ind w:leftChars="450" w:left="1360" w:hangingChars="100" w:hanging="28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1.業務總收入：原列11億2,239萬6千元，增列「業務收入」項下「銷貨收入」50</w:t>
      </w:r>
      <w:r w:rsidRPr="001B6E4D">
        <w:rPr>
          <w:rFonts w:ascii="標楷體" w:eastAsia="標楷體" w:hAnsi="標楷體"/>
          <w:color w:val="000000" w:themeColor="text1"/>
          <w:sz w:val="28"/>
          <w:szCs w:val="28"/>
        </w:rPr>
        <w:t>0萬元，其餘均</w:t>
      </w:r>
      <w:proofErr w:type="gramStart"/>
      <w:r w:rsidRPr="001B6E4D">
        <w:rPr>
          <w:rFonts w:ascii="標楷體" w:eastAsia="標楷體" w:hAnsi="標楷體"/>
          <w:color w:val="000000" w:themeColor="text1"/>
          <w:sz w:val="28"/>
          <w:szCs w:val="28"/>
        </w:rPr>
        <w:t>照列</w:t>
      </w:r>
      <w:proofErr w:type="gramEnd"/>
      <w:r w:rsidRPr="001B6E4D">
        <w:rPr>
          <w:rFonts w:ascii="標楷體" w:eastAsia="標楷體" w:hAnsi="標楷體"/>
          <w:color w:val="000000" w:themeColor="text1"/>
          <w:sz w:val="28"/>
          <w:szCs w:val="28"/>
        </w:rPr>
        <w:t>，改列為</w:t>
      </w:r>
      <w:r w:rsidRPr="001B6E4D">
        <w:rPr>
          <w:rFonts w:ascii="標楷體" w:eastAsia="標楷體" w:hAnsi="標楷體" w:hint="eastAsia"/>
          <w:color w:val="000000" w:themeColor="text1"/>
          <w:sz w:val="28"/>
          <w:szCs w:val="28"/>
        </w:rPr>
        <w:t>11億2,739萬6千元。</w:t>
      </w:r>
      <w:r w:rsidRPr="001B6E4D">
        <w:rPr>
          <w:rFonts w:ascii="標楷體" w:eastAsia="標楷體" w:hAnsi="標楷體"/>
          <w:color w:val="000000"/>
          <w:sz w:val="28"/>
          <w:szCs w:val="28"/>
        </w:rPr>
        <w:t>【</w:t>
      </w:r>
      <w:r w:rsidRPr="001B6E4D">
        <w:rPr>
          <w:rFonts w:ascii="標楷體" w:eastAsia="標楷體" w:hAnsi="標楷體" w:hint="eastAsia"/>
          <w:color w:val="000000"/>
          <w:sz w:val="28"/>
          <w:szCs w:val="28"/>
        </w:rPr>
        <w:t>1</w:t>
      </w:r>
      <w:r w:rsidRPr="001B6E4D">
        <w:rPr>
          <w:rFonts w:ascii="標楷體" w:eastAsia="標楷體" w:hAnsi="標楷體"/>
          <w:color w:val="000000"/>
          <w:sz w:val="28"/>
          <w:szCs w:val="28"/>
        </w:rPr>
        <w:t>】</w:t>
      </w:r>
    </w:p>
    <w:p w14:paraId="0A966D64" w14:textId="77777777" w:rsidR="00705B3D" w:rsidRPr="001B6E4D" w:rsidRDefault="00705B3D" w:rsidP="003D1018">
      <w:pPr>
        <w:overflowPunct w:val="0"/>
        <w:spacing w:line="380" w:lineRule="exact"/>
        <w:ind w:leftChars="450" w:left="1360" w:hangingChars="100" w:hanging="28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2.業務總支出：原列12億4,381萬6千元，配合「業務收入」增列，隨同調增「業務成本與費用」項下「銷貨成本」400萬元及「業務外費用」50萬元，共計增列450萬元</w:t>
      </w:r>
      <w:r w:rsidRPr="001B6E4D">
        <w:rPr>
          <w:rFonts w:ascii="標楷體" w:eastAsia="標楷體" w:hAnsi="標楷體"/>
          <w:color w:val="000000" w:themeColor="text1"/>
          <w:sz w:val="28"/>
          <w:szCs w:val="28"/>
        </w:rPr>
        <w:t>，其餘均</w:t>
      </w:r>
      <w:proofErr w:type="gramStart"/>
      <w:r w:rsidRPr="001B6E4D">
        <w:rPr>
          <w:rFonts w:ascii="標楷體" w:eastAsia="標楷體" w:hAnsi="標楷體"/>
          <w:color w:val="000000" w:themeColor="text1"/>
          <w:sz w:val="28"/>
          <w:szCs w:val="28"/>
        </w:rPr>
        <w:t>照列</w:t>
      </w:r>
      <w:proofErr w:type="gramEnd"/>
      <w:r w:rsidRPr="001B6E4D">
        <w:rPr>
          <w:rFonts w:ascii="標楷體" w:eastAsia="標楷體" w:hAnsi="標楷體"/>
          <w:color w:val="000000" w:themeColor="text1"/>
          <w:sz w:val="28"/>
          <w:szCs w:val="28"/>
        </w:rPr>
        <w:t>，改列為</w:t>
      </w:r>
      <w:r w:rsidRPr="001B6E4D">
        <w:rPr>
          <w:rFonts w:ascii="標楷體" w:eastAsia="標楷體" w:hAnsi="標楷體" w:hint="eastAsia"/>
          <w:color w:val="000000" w:themeColor="text1"/>
          <w:sz w:val="28"/>
          <w:szCs w:val="28"/>
        </w:rPr>
        <w:t>12億4,831萬6千元。</w:t>
      </w:r>
    </w:p>
    <w:p w14:paraId="47EF4D4D" w14:textId="77777777" w:rsidR="00705B3D" w:rsidRPr="001B6E4D" w:rsidRDefault="00705B3D" w:rsidP="003D1018">
      <w:pPr>
        <w:overflowPunct w:val="0"/>
        <w:spacing w:line="380" w:lineRule="exact"/>
        <w:ind w:leftChars="450" w:left="1360" w:hangingChars="100" w:hanging="28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3.本期短</w:t>
      </w:r>
      <w:proofErr w:type="gramStart"/>
      <w:r w:rsidRPr="001B6E4D">
        <w:rPr>
          <w:rFonts w:ascii="標楷體" w:eastAsia="標楷體" w:hAnsi="標楷體" w:hint="eastAsia"/>
          <w:color w:val="000000" w:themeColor="text1"/>
          <w:sz w:val="28"/>
          <w:szCs w:val="28"/>
        </w:rPr>
        <w:t>絀</w:t>
      </w:r>
      <w:proofErr w:type="gramEnd"/>
      <w:r w:rsidRPr="001B6E4D">
        <w:rPr>
          <w:rFonts w:ascii="標楷體" w:eastAsia="標楷體" w:hAnsi="標楷體" w:hint="eastAsia"/>
          <w:color w:val="000000" w:themeColor="text1"/>
          <w:sz w:val="28"/>
          <w:szCs w:val="28"/>
        </w:rPr>
        <w:t>：原列1億2,142萬元，減列</w:t>
      </w:r>
      <w:r w:rsidRPr="001B6E4D">
        <w:rPr>
          <w:rFonts w:ascii="標楷體" w:eastAsia="標楷體" w:hAnsi="標楷體"/>
          <w:color w:val="000000" w:themeColor="text1"/>
          <w:sz w:val="28"/>
          <w:szCs w:val="28"/>
        </w:rPr>
        <w:t>50萬元，改列為</w:t>
      </w:r>
      <w:r w:rsidRPr="001B6E4D">
        <w:rPr>
          <w:rFonts w:ascii="標楷體" w:eastAsia="標楷體" w:hAnsi="標楷體" w:hint="eastAsia"/>
          <w:color w:val="000000" w:themeColor="text1"/>
          <w:sz w:val="28"/>
          <w:szCs w:val="28"/>
        </w:rPr>
        <w:t>1億2,092萬元。</w:t>
      </w:r>
    </w:p>
    <w:p w14:paraId="427550C0" w14:textId="77777777" w:rsidR="00705B3D" w:rsidRPr="001B6E4D" w:rsidRDefault="00705B3D" w:rsidP="003D1018">
      <w:pPr>
        <w:overflowPunct w:val="0"/>
        <w:spacing w:line="380" w:lineRule="exact"/>
        <w:ind w:leftChars="200" w:left="964" w:hangingChars="173" w:hanging="484"/>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(三)</w:t>
      </w:r>
      <w:proofErr w:type="gramStart"/>
      <w:r w:rsidRPr="001B6E4D">
        <w:rPr>
          <w:rFonts w:ascii="標楷體" w:eastAsia="標楷體" w:hAnsi="標楷體" w:hint="eastAsia"/>
          <w:color w:val="000000" w:themeColor="text1"/>
          <w:sz w:val="28"/>
          <w:szCs w:val="28"/>
        </w:rPr>
        <w:t>解繳公庫</w:t>
      </w:r>
      <w:proofErr w:type="gramEnd"/>
      <w:r w:rsidRPr="001B6E4D">
        <w:rPr>
          <w:rFonts w:ascii="標楷體" w:eastAsia="標楷體" w:hAnsi="標楷體" w:hint="eastAsia"/>
          <w:color w:val="000000" w:themeColor="text1"/>
          <w:sz w:val="28"/>
          <w:szCs w:val="28"/>
        </w:rPr>
        <w:t>淨額：</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29A79E0F" w14:textId="77777777" w:rsidR="00705B3D" w:rsidRPr="001B6E4D" w:rsidRDefault="00705B3D" w:rsidP="003D1018">
      <w:pPr>
        <w:overflowPunct w:val="0"/>
        <w:spacing w:line="380" w:lineRule="exact"/>
        <w:ind w:leftChars="199" w:left="962" w:hangingChars="173" w:hanging="484"/>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(四)轉投資計畫：</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1E6763CB" w14:textId="77777777" w:rsidR="00705B3D" w:rsidRPr="001B6E4D" w:rsidRDefault="00705B3D" w:rsidP="003D1018">
      <w:pPr>
        <w:overflowPunct w:val="0"/>
        <w:spacing w:line="380" w:lineRule="exact"/>
        <w:ind w:leftChars="199" w:left="962" w:hangingChars="173" w:hanging="484"/>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(五)固定資產建設改良擴充：1</w:t>
      </w:r>
      <w:r w:rsidRPr="001B6E4D">
        <w:rPr>
          <w:rFonts w:ascii="標楷體" w:eastAsia="標楷體" w:hAnsi="標楷體"/>
          <w:color w:val="000000" w:themeColor="text1"/>
          <w:sz w:val="28"/>
          <w:szCs w:val="28"/>
        </w:rPr>
        <w:t>,</w:t>
      </w:r>
      <w:r w:rsidRPr="001B6E4D">
        <w:rPr>
          <w:rFonts w:ascii="標楷體" w:eastAsia="標楷體" w:hAnsi="標楷體" w:hint="eastAsia"/>
          <w:color w:val="000000" w:themeColor="text1"/>
          <w:sz w:val="28"/>
          <w:szCs w:val="28"/>
        </w:rPr>
        <w:t>065萬2千元，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7F6C1B04" w14:textId="77777777" w:rsidR="00705B3D" w:rsidRPr="001B6E4D" w:rsidRDefault="00705B3D" w:rsidP="003D1018">
      <w:pPr>
        <w:overflowPunct w:val="0"/>
        <w:spacing w:line="380" w:lineRule="exact"/>
        <w:ind w:leftChars="204" w:left="781" w:hangingChars="104" w:hanging="291"/>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shd w:val="clear" w:color="auto" w:fill="FFFFFF"/>
        </w:rPr>
        <w:t>(六)國庫增撥基金額：</w:t>
      </w:r>
      <w:proofErr w:type="gramStart"/>
      <w:r w:rsidRPr="001B6E4D">
        <w:rPr>
          <w:rFonts w:ascii="標楷體" w:eastAsia="標楷體" w:hAnsi="標楷體" w:hint="eastAsia"/>
          <w:color w:val="000000" w:themeColor="text1"/>
          <w:sz w:val="28"/>
          <w:szCs w:val="28"/>
          <w:shd w:val="clear" w:color="auto" w:fill="FFFFFF"/>
        </w:rPr>
        <w:t>無列數</w:t>
      </w:r>
      <w:proofErr w:type="gramEnd"/>
      <w:r w:rsidRPr="001B6E4D">
        <w:rPr>
          <w:rFonts w:ascii="標楷體" w:eastAsia="標楷體" w:hAnsi="標楷體" w:hint="eastAsia"/>
          <w:color w:val="000000" w:themeColor="text1"/>
          <w:sz w:val="28"/>
          <w:szCs w:val="28"/>
        </w:rPr>
        <w:t>。</w:t>
      </w:r>
    </w:p>
    <w:p w14:paraId="71555219" w14:textId="77777777" w:rsidR="00705B3D" w:rsidRPr="001B6E4D" w:rsidRDefault="00705B3D" w:rsidP="003D1018">
      <w:pPr>
        <w:overflowPunct w:val="0"/>
        <w:spacing w:line="380" w:lineRule="exact"/>
        <w:ind w:leftChars="204" w:left="1051" w:hangingChars="200" w:hanging="561"/>
        <w:jc w:val="both"/>
        <w:rPr>
          <w:rFonts w:ascii="標楷體" w:eastAsia="標楷體" w:hAnsi="標楷體"/>
          <w:b/>
          <w:color w:val="000000" w:themeColor="text1"/>
          <w:sz w:val="28"/>
          <w:szCs w:val="28"/>
          <w:shd w:val="clear" w:color="auto" w:fill="FFFFFF"/>
        </w:rPr>
      </w:pPr>
      <w:r w:rsidRPr="001B6E4D">
        <w:rPr>
          <w:rFonts w:ascii="標楷體" w:eastAsia="標楷體" w:hAnsi="標楷體"/>
          <w:b/>
          <w:color w:val="000000" w:themeColor="text1"/>
          <w:sz w:val="28"/>
          <w:szCs w:val="28"/>
        </w:rPr>
        <w:t>(</w:t>
      </w:r>
      <w:r w:rsidRPr="001B6E4D">
        <w:rPr>
          <w:rFonts w:ascii="標楷體" w:eastAsia="標楷體" w:hAnsi="標楷體" w:hint="eastAsia"/>
          <w:b/>
          <w:color w:val="000000" w:themeColor="text1"/>
          <w:sz w:val="28"/>
          <w:szCs w:val="28"/>
        </w:rPr>
        <w:t>七</w:t>
      </w:r>
      <w:r w:rsidRPr="001B6E4D">
        <w:rPr>
          <w:rFonts w:ascii="標楷體" w:eastAsia="標楷體" w:hAnsi="標楷體"/>
          <w:b/>
          <w:color w:val="000000" w:themeColor="text1"/>
          <w:sz w:val="28"/>
          <w:szCs w:val="28"/>
        </w:rPr>
        <w:t>)本案</w:t>
      </w:r>
      <w:r w:rsidRPr="001B6E4D">
        <w:rPr>
          <w:rFonts w:ascii="標楷體" w:eastAsia="標楷體" w:hAnsi="標楷體" w:hint="eastAsia"/>
          <w:b/>
          <w:color w:val="000000" w:themeColor="text1"/>
          <w:sz w:val="28"/>
          <w:szCs w:val="28"/>
        </w:rPr>
        <w:t>審查完竣，提報院會，院會討論前，須交由黨團協商；院會討論時，由翁召集</w:t>
      </w:r>
      <w:r w:rsidRPr="001B6E4D">
        <w:rPr>
          <w:rFonts w:ascii="標楷體" w:eastAsia="標楷體" w:hAnsi="標楷體"/>
          <w:b/>
          <w:color w:val="000000" w:themeColor="text1"/>
          <w:sz w:val="28"/>
          <w:szCs w:val="28"/>
        </w:rPr>
        <w:t>委員</w:t>
      </w:r>
      <w:r w:rsidRPr="001B6E4D">
        <w:rPr>
          <w:rFonts w:ascii="標楷體" w:eastAsia="標楷體" w:hAnsi="標楷體" w:hint="eastAsia"/>
          <w:b/>
          <w:color w:val="000000" w:themeColor="text1"/>
          <w:sz w:val="28"/>
          <w:szCs w:val="28"/>
        </w:rPr>
        <w:t>曉玲出席說明。</w:t>
      </w:r>
    </w:p>
    <w:p w14:paraId="713B8DC7" w14:textId="77777777" w:rsidR="00705B3D" w:rsidRPr="001B6E4D" w:rsidRDefault="00705B3D" w:rsidP="003D1018">
      <w:pPr>
        <w:overflowPunct w:val="0"/>
        <w:adjustRightInd w:val="0"/>
        <w:snapToGrid w:val="0"/>
        <w:spacing w:beforeLines="20" w:before="72" w:line="380" w:lineRule="exact"/>
        <w:jc w:val="both"/>
        <w:rPr>
          <w:rFonts w:ascii="標楷體" w:eastAsia="標楷體" w:hAnsi="標楷體"/>
          <w:b/>
          <w:color w:val="000000" w:themeColor="text1"/>
          <w:sz w:val="28"/>
          <w:szCs w:val="28"/>
        </w:rPr>
      </w:pPr>
      <w:r w:rsidRPr="001B6E4D">
        <w:rPr>
          <w:rFonts w:ascii="標楷體" w:eastAsia="標楷體" w:hAnsi="標楷體" w:hint="eastAsia"/>
          <w:b/>
          <w:color w:val="000000" w:themeColor="text1"/>
          <w:sz w:val="28"/>
          <w:szCs w:val="28"/>
        </w:rPr>
        <w:t>三、「毒品防制基金」：</w:t>
      </w:r>
    </w:p>
    <w:p w14:paraId="14BAFF82"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w:t>
      </w:r>
      <w:proofErr w:type="gramStart"/>
      <w:r w:rsidRPr="001B6E4D">
        <w:rPr>
          <w:rFonts w:ascii="標楷體" w:eastAsia="標楷體" w:hAnsi="標楷體" w:hint="eastAsia"/>
          <w:color w:val="000000" w:themeColor="text1"/>
          <w:sz w:val="28"/>
          <w:szCs w:val="28"/>
        </w:rPr>
        <w:t>一</w:t>
      </w:r>
      <w:proofErr w:type="gramEnd"/>
      <w:r w:rsidRPr="001B6E4D">
        <w:rPr>
          <w:rFonts w:ascii="標楷體" w:eastAsia="標楷體" w:hAnsi="標楷體" w:hint="eastAsia"/>
          <w:color w:val="000000" w:themeColor="text1"/>
          <w:sz w:val="28"/>
          <w:szCs w:val="28"/>
        </w:rPr>
        <w:t>)業務計畫：應依據基金來源與用途審查結果，隨同調整。</w:t>
      </w:r>
    </w:p>
    <w:p w14:paraId="64E8ED93"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(二)基金來源、用途及餘</w:t>
      </w:r>
      <w:proofErr w:type="gramStart"/>
      <w:r w:rsidRPr="001B6E4D">
        <w:rPr>
          <w:rFonts w:ascii="標楷體" w:eastAsia="標楷體" w:hAnsi="標楷體" w:hint="eastAsia"/>
          <w:color w:val="000000" w:themeColor="text1"/>
          <w:sz w:val="28"/>
          <w:szCs w:val="28"/>
        </w:rPr>
        <w:t>絀</w:t>
      </w:r>
      <w:proofErr w:type="gramEnd"/>
      <w:r w:rsidRPr="001B6E4D">
        <w:rPr>
          <w:rFonts w:ascii="標楷體" w:eastAsia="標楷體" w:hAnsi="標楷體" w:hint="eastAsia"/>
          <w:color w:val="000000" w:themeColor="text1"/>
          <w:sz w:val="28"/>
          <w:szCs w:val="28"/>
        </w:rPr>
        <w:t>：</w:t>
      </w:r>
    </w:p>
    <w:p w14:paraId="56EF07F4" w14:textId="77777777" w:rsidR="00705B3D" w:rsidRPr="001B6E4D" w:rsidRDefault="00705B3D" w:rsidP="003D1018">
      <w:pPr>
        <w:overflowPunct w:val="0"/>
        <w:spacing w:line="380" w:lineRule="exact"/>
        <w:ind w:leftChars="450" w:left="16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1.基金來源：6億6,229萬1千元，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2B10F688" w14:textId="77777777" w:rsidR="00705B3D" w:rsidRPr="001B6E4D" w:rsidRDefault="00705B3D" w:rsidP="003D1018">
      <w:pPr>
        <w:overflowPunct w:val="0"/>
        <w:spacing w:line="380" w:lineRule="exact"/>
        <w:ind w:leftChars="449" w:left="1358" w:hangingChars="100" w:hanging="28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2.基金用途：6億8,951萬7千元，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44CE7F8B" w14:textId="77777777" w:rsidR="00705B3D" w:rsidRPr="001B6E4D" w:rsidRDefault="00705B3D" w:rsidP="003D1018">
      <w:pPr>
        <w:overflowPunct w:val="0"/>
        <w:spacing w:line="380" w:lineRule="exact"/>
        <w:ind w:leftChars="449" w:left="1358" w:hangingChars="100" w:hanging="28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3.本期短</w:t>
      </w:r>
      <w:proofErr w:type="gramStart"/>
      <w:r w:rsidRPr="001B6E4D">
        <w:rPr>
          <w:rFonts w:ascii="標楷體" w:eastAsia="標楷體" w:hAnsi="標楷體" w:hint="eastAsia"/>
          <w:color w:val="000000" w:themeColor="text1"/>
          <w:sz w:val="28"/>
          <w:szCs w:val="28"/>
        </w:rPr>
        <w:t>絀</w:t>
      </w:r>
      <w:proofErr w:type="gramEnd"/>
      <w:r w:rsidRPr="001B6E4D">
        <w:rPr>
          <w:rFonts w:ascii="標楷體" w:eastAsia="標楷體" w:hAnsi="標楷體" w:hint="eastAsia"/>
          <w:color w:val="000000" w:themeColor="text1"/>
          <w:sz w:val="28"/>
          <w:szCs w:val="28"/>
        </w:rPr>
        <w:t>：2,722萬6千元，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40FFE3EB"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(三)</w:t>
      </w:r>
      <w:proofErr w:type="gramStart"/>
      <w:r w:rsidRPr="001B6E4D">
        <w:rPr>
          <w:rFonts w:ascii="標楷體" w:eastAsia="標楷體" w:hAnsi="標楷體" w:hint="eastAsia"/>
          <w:color w:val="000000" w:themeColor="text1"/>
          <w:sz w:val="28"/>
          <w:szCs w:val="28"/>
        </w:rPr>
        <w:t>解繳公庫</w:t>
      </w:r>
      <w:proofErr w:type="gramEnd"/>
      <w:r w:rsidRPr="001B6E4D">
        <w:rPr>
          <w:rFonts w:ascii="標楷體" w:eastAsia="標楷體" w:hAnsi="標楷體" w:hint="eastAsia"/>
          <w:color w:val="000000" w:themeColor="text1"/>
          <w:sz w:val="28"/>
          <w:szCs w:val="28"/>
        </w:rPr>
        <w:t>：</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33D781D8" w14:textId="77777777" w:rsidR="00705B3D" w:rsidRPr="001B6E4D" w:rsidRDefault="00705B3D" w:rsidP="003D1018">
      <w:pPr>
        <w:overflowPunct w:val="0"/>
        <w:spacing w:line="380" w:lineRule="exact"/>
        <w:ind w:leftChars="211" w:left="1067" w:hangingChars="200" w:hanging="561"/>
        <w:jc w:val="both"/>
        <w:rPr>
          <w:rFonts w:ascii="標楷體" w:eastAsia="標楷體" w:hAnsi="標楷體"/>
          <w:b/>
          <w:color w:val="000000" w:themeColor="text1"/>
          <w:sz w:val="28"/>
          <w:szCs w:val="28"/>
        </w:rPr>
      </w:pPr>
      <w:r w:rsidRPr="001B6E4D">
        <w:rPr>
          <w:rFonts w:ascii="標楷體" w:eastAsia="標楷體" w:hAnsi="標楷體" w:hint="eastAsia"/>
          <w:b/>
          <w:color w:val="000000" w:themeColor="text1"/>
          <w:sz w:val="28"/>
          <w:szCs w:val="28"/>
        </w:rPr>
        <w:t>(四)本案審查完竣，提報院會，院會討論前，須交由黨團協商；院會討論時，由翁召集</w:t>
      </w:r>
      <w:r w:rsidRPr="001B6E4D">
        <w:rPr>
          <w:rFonts w:ascii="標楷體" w:eastAsia="標楷體" w:hAnsi="標楷體"/>
          <w:b/>
          <w:color w:val="000000" w:themeColor="text1"/>
          <w:sz w:val="28"/>
          <w:szCs w:val="28"/>
        </w:rPr>
        <w:t>委員</w:t>
      </w:r>
      <w:r w:rsidRPr="001B6E4D">
        <w:rPr>
          <w:rFonts w:ascii="標楷體" w:eastAsia="標楷體" w:hAnsi="標楷體" w:hint="eastAsia"/>
          <w:b/>
          <w:color w:val="000000" w:themeColor="text1"/>
          <w:sz w:val="28"/>
          <w:szCs w:val="28"/>
        </w:rPr>
        <w:t>曉玲出席說明。</w:t>
      </w:r>
    </w:p>
    <w:p w14:paraId="6D9CFC47" w14:textId="77777777" w:rsidR="00705B3D" w:rsidRPr="001B6E4D" w:rsidRDefault="00705B3D" w:rsidP="003D1018">
      <w:pPr>
        <w:overflowPunct w:val="0"/>
        <w:adjustRightInd w:val="0"/>
        <w:snapToGrid w:val="0"/>
        <w:spacing w:beforeLines="20" w:before="72" w:line="380" w:lineRule="exact"/>
        <w:jc w:val="both"/>
        <w:rPr>
          <w:rFonts w:ascii="標楷體" w:eastAsia="標楷體" w:hAnsi="標楷體"/>
          <w:b/>
          <w:color w:val="000000" w:themeColor="text1"/>
          <w:sz w:val="28"/>
          <w:szCs w:val="28"/>
        </w:rPr>
      </w:pPr>
      <w:r w:rsidRPr="001B6E4D">
        <w:rPr>
          <w:rFonts w:ascii="標楷體" w:eastAsia="標楷體" w:hAnsi="標楷體" w:hint="eastAsia"/>
          <w:b/>
          <w:color w:val="000000" w:themeColor="text1"/>
          <w:sz w:val="28"/>
          <w:szCs w:val="28"/>
        </w:rPr>
        <w:t>四、</w:t>
      </w:r>
      <w:r w:rsidRPr="001B6E4D">
        <w:rPr>
          <w:rFonts w:ascii="標楷體" w:eastAsia="標楷體" w:hAnsi="標楷體"/>
          <w:b/>
          <w:color w:val="000000" w:themeColor="text1"/>
          <w:sz w:val="28"/>
          <w:szCs w:val="28"/>
        </w:rPr>
        <w:t>財團法人臺灣更生保護會</w:t>
      </w:r>
      <w:proofErr w:type="gramStart"/>
      <w:r w:rsidRPr="001B6E4D">
        <w:rPr>
          <w:rFonts w:ascii="標楷體" w:eastAsia="標楷體" w:hAnsi="標楷體" w:hint="eastAsia"/>
          <w:b/>
          <w:color w:val="000000" w:themeColor="text1"/>
          <w:sz w:val="28"/>
          <w:szCs w:val="28"/>
        </w:rPr>
        <w:t>115</w:t>
      </w:r>
      <w:proofErr w:type="gramEnd"/>
      <w:r w:rsidRPr="001B6E4D">
        <w:rPr>
          <w:rFonts w:ascii="標楷體" w:eastAsia="標楷體" w:hAnsi="標楷體" w:hint="eastAsia"/>
          <w:b/>
          <w:color w:val="000000" w:themeColor="text1"/>
          <w:sz w:val="28"/>
          <w:szCs w:val="28"/>
        </w:rPr>
        <w:t>年度預算書案：</w:t>
      </w:r>
    </w:p>
    <w:p w14:paraId="3A873491"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w:t>
      </w:r>
      <w:proofErr w:type="gramStart"/>
      <w:r w:rsidRPr="001B6E4D">
        <w:rPr>
          <w:rFonts w:ascii="標楷體" w:eastAsia="標楷體" w:hAnsi="標楷體" w:hint="eastAsia"/>
          <w:color w:val="000000" w:themeColor="text1"/>
          <w:sz w:val="28"/>
          <w:szCs w:val="28"/>
        </w:rPr>
        <w:t>一</w:t>
      </w:r>
      <w:proofErr w:type="gramEnd"/>
      <w:r w:rsidRPr="001B6E4D">
        <w:rPr>
          <w:rFonts w:ascii="標楷體" w:eastAsia="標楷體" w:hAnsi="標楷體" w:hint="eastAsia"/>
          <w:color w:val="000000" w:themeColor="text1"/>
          <w:sz w:val="28"/>
          <w:szCs w:val="28"/>
        </w:rPr>
        <w:t>)業務計畫：應依據業務收支、轉投資、固定資產投資及資金運用等項之審查結果，隨同調整。</w:t>
      </w:r>
    </w:p>
    <w:p w14:paraId="6FF8736B"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(二)業務收支：</w:t>
      </w:r>
    </w:p>
    <w:p w14:paraId="2970BA6C" w14:textId="77777777" w:rsidR="00705B3D" w:rsidRPr="001B6E4D" w:rsidRDefault="00705B3D" w:rsidP="003D1018">
      <w:pPr>
        <w:overflowPunct w:val="0"/>
        <w:spacing w:line="380" w:lineRule="exact"/>
        <w:ind w:leftChars="450" w:left="1360" w:hangingChars="100" w:hanging="28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1.業務總收入：3億8,968萬6千元，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64AC8019" w14:textId="77777777" w:rsidR="00705B3D" w:rsidRPr="001B6E4D" w:rsidRDefault="00705B3D" w:rsidP="003D1018">
      <w:pPr>
        <w:overflowPunct w:val="0"/>
        <w:spacing w:line="380" w:lineRule="exact"/>
        <w:ind w:leftChars="450" w:left="1360" w:hangingChars="100" w:hanging="28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2.業務總支出：3億8,968萬6千元，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48BB2822" w14:textId="77777777" w:rsidR="00705B3D" w:rsidRPr="001B6E4D" w:rsidRDefault="00705B3D" w:rsidP="003D1018">
      <w:pPr>
        <w:overflowPunct w:val="0"/>
        <w:spacing w:line="380" w:lineRule="exact"/>
        <w:ind w:leftChars="450" w:left="1360" w:hangingChars="100" w:hanging="28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3.本期餘</w:t>
      </w:r>
      <w:proofErr w:type="gramStart"/>
      <w:r w:rsidRPr="001B6E4D">
        <w:rPr>
          <w:rFonts w:ascii="標楷體" w:eastAsia="標楷體" w:hAnsi="標楷體" w:hint="eastAsia"/>
          <w:color w:val="000000" w:themeColor="text1"/>
          <w:sz w:val="28"/>
          <w:szCs w:val="28"/>
        </w:rPr>
        <w:t>絀</w:t>
      </w:r>
      <w:proofErr w:type="gramEnd"/>
      <w:r w:rsidRPr="001B6E4D">
        <w:rPr>
          <w:rFonts w:ascii="標楷體" w:eastAsia="標楷體" w:hAnsi="標楷體" w:hint="eastAsia"/>
          <w:color w:val="000000" w:themeColor="text1"/>
          <w:sz w:val="28"/>
          <w:szCs w:val="28"/>
        </w:rPr>
        <w:t>：0元，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color w:val="000000" w:themeColor="text1"/>
          <w:sz w:val="28"/>
          <w:szCs w:val="28"/>
        </w:rPr>
        <w:t>。</w:t>
      </w:r>
    </w:p>
    <w:p w14:paraId="4EFF6D27"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(三)</w:t>
      </w:r>
      <w:proofErr w:type="gramStart"/>
      <w:r w:rsidRPr="001B6E4D">
        <w:rPr>
          <w:rFonts w:ascii="標楷體" w:eastAsia="標楷體" w:hAnsi="標楷體" w:hint="eastAsia"/>
          <w:color w:val="000000" w:themeColor="text1"/>
          <w:sz w:val="28"/>
          <w:szCs w:val="28"/>
        </w:rPr>
        <w:t>解繳公庫</w:t>
      </w:r>
      <w:proofErr w:type="gramEnd"/>
      <w:r w:rsidRPr="001B6E4D">
        <w:rPr>
          <w:rFonts w:ascii="標楷體" w:eastAsia="標楷體" w:hAnsi="標楷體" w:hint="eastAsia"/>
          <w:color w:val="000000" w:themeColor="text1"/>
          <w:sz w:val="28"/>
          <w:szCs w:val="28"/>
        </w:rPr>
        <w:t>淨額：</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380B51FA"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(四)轉投資計畫：</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2554B160"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(五)固定資產投資：974萬3千元，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3D256347"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lastRenderedPageBreak/>
        <w:t>(六)國庫增撥基金額：</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5E5E657F" w14:textId="77777777" w:rsidR="00705B3D" w:rsidRPr="001B6E4D" w:rsidRDefault="00705B3D" w:rsidP="003D1018">
      <w:pPr>
        <w:overflowPunct w:val="0"/>
        <w:spacing w:line="380" w:lineRule="exact"/>
        <w:ind w:leftChars="200" w:left="1041" w:hangingChars="200" w:hanging="561"/>
        <w:jc w:val="both"/>
        <w:rPr>
          <w:rFonts w:ascii="標楷體" w:eastAsia="標楷體" w:hAnsi="標楷體"/>
          <w:color w:val="000000" w:themeColor="text1"/>
          <w:sz w:val="28"/>
          <w:szCs w:val="28"/>
        </w:rPr>
      </w:pPr>
      <w:r w:rsidRPr="001B6E4D">
        <w:rPr>
          <w:rFonts w:ascii="標楷體" w:eastAsia="標楷體" w:hAnsi="標楷體" w:hint="eastAsia"/>
          <w:b/>
          <w:color w:val="000000" w:themeColor="text1"/>
          <w:sz w:val="28"/>
          <w:szCs w:val="28"/>
        </w:rPr>
        <w:t>(七)通過決議1項：</w:t>
      </w:r>
    </w:p>
    <w:p w14:paraId="666896A5" w14:textId="77777777" w:rsidR="00705B3D" w:rsidRPr="001B6E4D" w:rsidRDefault="00705B3D" w:rsidP="003D1018">
      <w:pPr>
        <w:overflowPunct w:val="0"/>
        <w:spacing w:line="380" w:lineRule="exact"/>
        <w:ind w:leftChars="450" w:left="1346" w:hangingChars="95" w:hanging="266"/>
        <w:jc w:val="both"/>
        <w:rPr>
          <w:rFonts w:ascii="標楷體" w:eastAsia="標楷體" w:hAnsi="標楷體"/>
        </w:rPr>
      </w:pPr>
      <w:r w:rsidRPr="001B6E4D">
        <w:rPr>
          <w:rFonts w:ascii="標楷體" w:eastAsia="標楷體" w:hAnsi="標楷體" w:hint="eastAsia"/>
          <w:sz w:val="28"/>
          <w:szCs w:val="28"/>
        </w:rPr>
        <w:t>1.依財團法人臺灣更生保護會</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工作計畫，規劃提供更生人子女獎助學金，輔導300人次；並結合社會資源提供監所收容人子女獎助學金，輔導300人次。另更生保護會亦規劃辦理家庭支持及援助家庭服務方案，預估輔導350個家庭，係因家庭接納為更生人向善重要支持力量，並委託社福團體運用社工專業及資源，提供更生人與家屬關懷協助，促進關係和諧、穩定復歸、減少再犯。</w:t>
      </w:r>
    </w:p>
    <w:p w14:paraId="55682C27" w14:textId="77777777" w:rsidR="00705B3D" w:rsidRPr="001B6E4D" w:rsidRDefault="00705B3D" w:rsidP="003D1018">
      <w:pPr>
        <w:overflowPunct w:val="0"/>
        <w:spacing w:line="380" w:lineRule="exact"/>
        <w:ind w:leftChars="450" w:left="1360" w:hangingChars="100" w:hanging="280"/>
        <w:jc w:val="both"/>
        <w:rPr>
          <w:rFonts w:ascii="標楷體" w:eastAsia="標楷體" w:hAnsi="標楷體"/>
        </w:rPr>
      </w:pPr>
      <w:r w:rsidRPr="001B6E4D">
        <w:rPr>
          <w:rFonts w:ascii="標楷體" w:eastAsia="標楷體" w:hAnsi="標楷體" w:hint="eastAsia"/>
          <w:sz w:val="28"/>
          <w:szCs w:val="28"/>
        </w:rPr>
        <w:t xml:space="preserve">      </w:t>
      </w:r>
      <w:proofErr w:type="gramStart"/>
      <w:r w:rsidRPr="001B6E4D">
        <w:rPr>
          <w:rFonts w:ascii="標楷體" w:eastAsia="標楷體" w:hAnsi="標楷體" w:hint="eastAsia"/>
          <w:sz w:val="28"/>
          <w:szCs w:val="28"/>
        </w:rPr>
        <w:t>惟</w:t>
      </w:r>
      <w:proofErr w:type="gramEnd"/>
      <w:r w:rsidRPr="001B6E4D">
        <w:rPr>
          <w:rFonts w:ascii="標楷體" w:eastAsia="標楷體" w:hAnsi="標楷體" w:hint="eastAsia"/>
          <w:sz w:val="28"/>
          <w:szCs w:val="28"/>
        </w:rPr>
        <w:t>更生人子女及收容人子女所面臨之困境，往往不僅是</w:t>
      </w:r>
      <w:proofErr w:type="gramStart"/>
      <w:r w:rsidRPr="001B6E4D">
        <w:rPr>
          <w:rFonts w:ascii="標楷體" w:eastAsia="標楷體" w:hAnsi="標楷體" w:hint="eastAsia"/>
          <w:sz w:val="28"/>
          <w:szCs w:val="28"/>
        </w:rPr>
        <w:t>學費或獎助學金</w:t>
      </w:r>
      <w:proofErr w:type="gramEnd"/>
      <w:r w:rsidRPr="001B6E4D">
        <w:rPr>
          <w:rFonts w:ascii="標楷體" w:eastAsia="標楷體" w:hAnsi="標楷體" w:hint="eastAsia"/>
          <w:sz w:val="28"/>
          <w:szCs w:val="28"/>
        </w:rPr>
        <w:t>問題，亦可能包含家庭經濟驟變、主要照顧者入監或出監後家庭關係重組、照顧安排不穩、同儕污名與心理壓力、學習中斷、親子會面困難，以及是否需轉</w:t>
      </w:r>
      <w:proofErr w:type="gramStart"/>
      <w:r w:rsidRPr="001B6E4D">
        <w:rPr>
          <w:rFonts w:ascii="標楷體" w:eastAsia="標楷體" w:hAnsi="標楷體" w:hint="eastAsia"/>
          <w:sz w:val="28"/>
          <w:szCs w:val="28"/>
        </w:rPr>
        <w:t>介</w:t>
      </w:r>
      <w:proofErr w:type="gramEnd"/>
      <w:r w:rsidRPr="001B6E4D">
        <w:rPr>
          <w:rFonts w:ascii="標楷體" w:eastAsia="標楷體" w:hAnsi="標楷體" w:hint="eastAsia"/>
          <w:sz w:val="28"/>
          <w:szCs w:val="28"/>
        </w:rPr>
        <w:t>地方社政、教育、心理輔導或脆弱家庭服務等問題。</w:t>
      </w:r>
    </w:p>
    <w:p w14:paraId="1872C9CF" w14:textId="77777777" w:rsidR="00705B3D" w:rsidRPr="001B6E4D" w:rsidRDefault="00705B3D" w:rsidP="003D1018">
      <w:pPr>
        <w:overflowPunct w:val="0"/>
        <w:spacing w:line="380" w:lineRule="exact"/>
        <w:ind w:leftChars="450" w:left="1360" w:hangingChars="100" w:hanging="280"/>
        <w:jc w:val="both"/>
        <w:rPr>
          <w:rFonts w:ascii="標楷體" w:eastAsia="標楷體" w:hAnsi="標楷體"/>
        </w:rPr>
      </w:pPr>
      <w:r w:rsidRPr="001B6E4D">
        <w:rPr>
          <w:rFonts w:ascii="標楷體" w:eastAsia="標楷體" w:hAnsi="標楷體" w:hint="eastAsia"/>
          <w:sz w:val="28"/>
          <w:szCs w:val="28"/>
        </w:rPr>
        <w:t xml:space="preserve">      聯合國兒童權利公約(CRC)第3次國家報告附件亦已將「矯正機關收容人18歲以下子女照顧需求調查及通報情形」列為統計項目，顯示收容人未成年子女照顧需求並非單純福利補助問題，而涉及兒少照顧與跨網絡轉</w:t>
      </w:r>
      <w:proofErr w:type="gramStart"/>
      <w:r w:rsidRPr="001B6E4D">
        <w:rPr>
          <w:rFonts w:ascii="標楷體" w:eastAsia="標楷體" w:hAnsi="標楷體" w:hint="eastAsia"/>
          <w:sz w:val="28"/>
          <w:szCs w:val="28"/>
        </w:rPr>
        <w:t>介</w:t>
      </w:r>
      <w:proofErr w:type="gramEnd"/>
      <w:r w:rsidRPr="001B6E4D">
        <w:rPr>
          <w:rFonts w:ascii="標楷體" w:eastAsia="標楷體" w:hAnsi="標楷體" w:hint="eastAsia"/>
          <w:sz w:val="28"/>
          <w:szCs w:val="28"/>
        </w:rPr>
        <w:t>。</w:t>
      </w:r>
    </w:p>
    <w:p w14:paraId="06B4C46C" w14:textId="77777777" w:rsidR="00705B3D" w:rsidRPr="001B6E4D" w:rsidRDefault="00705B3D" w:rsidP="003D1018">
      <w:pPr>
        <w:overflowPunct w:val="0"/>
        <w:spacing w:line="380" w:lineRule="exact"/>
        <w:ind w:leftChars="450" w:left="1360" w:hangingChars="100" w:hanging="280"/>
        <w:jc w:val="both"/>
        <w:rPr>
          <w:rFonts w:ascii="標楷體" w:eastAsia="標楷體" w:hAnsi="標楷體"/>
        </w:rPr>
      </w:pPr>
      <w:r w:rsidRPr="001B6E4D">
        <w:rPr>
          <w:rFonts w:ascii="標楷體" w:eastAsia="標楷體" w:hAnsi="標楷體" w:hint="eastAsia"/>
          <w:sz w:val="28"/>
          <w:szCs w:val="28"/>
        </w:rPr>
        <w:t xml:space="preserve">      </w:t>
      </w:r>
      <w:proofErr w:type="gramStart"/>
      <w:r w:rsidRPr="001B6E4D">
        <w:rPr>
          <w:rFonts w:ascii="標楷體" w:eastAsia="標楷體" w:hAnsi="標楷體" w:hint="eastAsia"/>
          <w:sz w:val="28"/>
          <w:szCs w:val="28"/>
        </w:rPr>
        <w:t>爰</w:t>
      </w:r>
      <w:proofErr w:type="gramEnd"/>
      <w:r w:rsidRPr="001B6E4D">
        <w:rPr>
          <w:rFonts w:ascii="標楷體" w:eastAsia="標楷體" w:hAnsi="標楷體" w:hint="eastAsia"/>
          <w:sz w:val="28"/>
          <w:szCs w:val="28"/>
        </w:rPr>
        <w:t>此，現行服務若僅以獎助學金人次呈現，恐難以掌握更生人子女及收容人子女之實際需求、服務覆蓋率及後續支持成效。為避免</w:t>
      </w:r>
      <w:proofErr w:type="gramStart"/>
      <w:r w:rsidRPr="001B6E4D">
        <w:rPr>
          <w:rFonts w:ascii="標楷體" w:eastAsia="標楷體" w:hAnsi="標楷體" w:hint="eastAsia"/>
          <w:sz w:val="28"/>
          <w:szCs w:val="28"/>
        </w:rPr>
        <w:t>兒少因父母</w:t>
      </w:r>
      <w:proofErr w:type="gramEnd"/>
      <w:r w:rsidRPr="001B6E4D">
        <w:rPr>
          <w:rFonts w:ascii="標楷體" w:eastAsia="標楷體" w:hAnsi="標楷體" w:hint="eastAsia"/>
          <w:sz w:val="28"/>
          <w:szCs w:val="28"/>
        </w:rPr>
        <w:t>入監、出監或家庭支持不足而落入社福邊緣，並強化更生人復歸之家庭支持基礎，允宜建立更完整之需求盤點、轉</w:t>
      </w:r>
      <w:proofErr w:type="gramStart"/>
      <w:r w:rsidRPr="001B6E4D">
        <w:rPr>
          <w:rFonts w:ascii="標楷體" w:eastAsia="標楷體" w:hAnsi="標楷體" w:hint="eastAsia"/>
          <w:sz w:val="28"/>
          <w:szCs w:val="28"/>
        </w:rPr>
        <w:t>介</w:t>
      </w:r>
      <w:proofErr w:type="gramEnd"/>
      <w:r w:rsidRPr="001B6E4D">
        <w:rPr>
          <w:rFonts w:ascii="標楷體" w:eastAsia="標楷體" w:hAnsi="標楷體" w:hint="eastAsia"/>
          <w:sz w:val="28"/>
          <w:szCs w:val="28"/>
        </w:rPr>
        <w:t>合作與追蹤機制。</w:t>
      </w:r>
    </w:p>
    <w:p w14:paraId="5FE01BE1" w14:textId="77777777" w:rsidR="00705B3D" w:rsidRPr="001B6E4D" w:rsidRDefault="00705B3D" w:rsidP="003D1018">
      <w:pPr>
        <w:overflowPunct w:val="0"/>
        <w:spacing w:line="380" w:lineRule="exact"/>
        <w:ind w:leftChars="450" w:left="1360" w:hangingChars="100" w:hanging="280"/>
        <w:jc w:val="both"/>
        <w:rPr>
          <w:rFonts w:ascii="標楷體" w:eastAsia="標楷體" w:hAnsi="標楷體"/>
        </w:rPr>
      </w:pPr>
      <w:r w:rsidRPr="001B6E4D">
        <w:rPr>
          <w:rFonts w:ascii="標楷體" w:eastAsia="標楷體" w:hAnsi="標楷體" w:hint="eastAsia"/>
          <w:sz w:val="28"/>
          <w:szCs w:val="28"/>
        </w:rPr>
        <w:t xml:space="preserve">    </w:t>
      </w:r>
      <w:proofErr w:type="gramStart"/>
      <w:r w:rsidRPr="001B6E4D">
        <w:rPr>
          <w:rFonts w:ascii="標楷體" w:eastAsia="標楷體" w:hAnsi="標楷體" w:hint="eastAsia"/>
          <w:sz w:val="28"/>
          <w:szCs w:val="28"/>
        </w:rPr>
        <w:t>爰</w:t>
      </w:r>
      <w:proofErr w:type="gramEnd"/>
      <w:r w:rsidRPr="001B6E4D">
        <w:rPr>
          <w:rFonts w:ascii="標楷體" w:eastAsia="標楷體" w:hAnsi="標楷體" w:hint="eastAsia"/>
          <w:sz w:val="28"/>
          <w:szCs w:val="28"/>
        </w:rPr>
        <w:t>要求財團法人臺灣更生保護會就更生人子女及收容人子女支持服務進行以下說明，並於3個月內向立法院司法及法制委員會提出書面報告：</w:t>
      </w:r>
    </w:p>
    <w:p w14:paraId="339A6CDE" w14:textId="77777777" w:rsidR="00705B3D" w:rsidRPr="001B6E4D" w:rsidRDefault="00705B3D" w:rsidP="003D1018">
      <w:pPr>
        <w:overflowPunct w:val="0"/>
        <w:spacing w:line="380" w:lineRule="exact"/>
        <w:ind w:leftChars="600" w:left="1860" w:hangingChars="150" w:hanging="420"/>
        <w:jc w:val="both"/>
        <w:rPr>
          <w:rFonts w:ascii="標楷體" w:eastAsia="標楷體" w:hAnsi="標楷體"/>
          <w:sz w:val="28"/>
          <w:szCs w:val="28"/>
        </w:rPr>
      </w:pPr>
      <w:r w:rsidRPr="001B6E4D">
        <w:rPr>
          <w:rFonts w:ascii="標楷體" w:eastAsia="標楷體" w:hAnsi="標楷體" w:hint="eastAsia"/>
          <w:sz w:val="28"/>
          <w:szCs w:val="28"/>
        </w:rPr>
        <w:t>(1)更生人子女及收容人子女之服務對象範圍、收案標準及近三年服務人數、補助金額、區域分布與服務類型。</w:t>
      </w:r>
    </w:p>
    <w:p w14:paraId="464F4A3A" w14:textId="77777777" w:rsidR="00705B3D" w:rsidRPr="001B6E4D" w:rsidRDefault="00705B3D" w:rsidP="003D1018">
      <w:pPr>
        <w:overflowPunct w:val="0"/>
        <w:spacing w:line="380" w:lineRule="exact"/>
        <w:ind w:leftChars="600" w:left="1860" w:hangingChars="150" w:hanging="420"/>
        <w:jc w:val="both"/>
        <w:rPr>
          <w:rFonts w:ascii="標楷體" w:eastAsia="標楷體" w:hAnsi="標楷體"/>
          <w:sz w:val="28"/>
          <w:szCs w:val="28"/>
        </w:rPr>
      </w:pPr>
      <w:r w:rsidRPr="001B6E4D">
        <w:rPr>
          <w:rFonts w:ascii="標楷體" w:eastAsia="標楷體" w:hAnsi="標楷體" w:hint="eastAsia"/>
          <w:sz w:val="28"/>
          <w:szCs w:val="28"/>
        </w:rPr>
        <w:t>(2)收容人及更生人未成年子女需求通報、轉</w:t>
      </w:r>
      <w:proofErr w:type="gramStart"/>
      <w:r w:rsidRPr="001B6E4D">
        <w:rPr>
          <w:rFonts w:ascii="標楷體" w:eastAsia="標楷體" w:hAnsi="標楷體" w:hint="eastAsia"/>
          <w:sz w:val="28"/>
          <w:szCs w:val="28"/>
        </w:rPr>
        <w:t>介</w:t>
      </w:r>
      <w:proofErr w:type="gramEnd"/>
      <w:r w:rsidRPr="001B6E4D">
        <w:rPr>
          <w:rFonts w:ascii="標楷體" w:eastAsia="標楷體" w:hAnsi="標楷體" w:hint="eastAsia"/>
          <w:sz w:val="28"/>
          <w:szCs w:val="28"/>
        </w:rPr>
        <w:t>、追蹤與回饋之流程。</w:t>
      </w:r>
    </w:p>
    <w:p w14:paraId="6ADF7B25" w14:textId="77777777" w:rsidR="00705B3D" w:rsidRPr="001B6E4D" w:rsidRDefault="00705B3D" w:rsidP="003D1018">
      <w:pPr>
        <w:overflowPunct w:val="0"/>
        <w:spacing w:line="380" w:lineRule="exact"/>
        <w:ind w:leftChars="600" w:left="1860" w:hangingChars="150" w:hanging="420"/>
        <w:jc w:val="both"/>
        <w:rPr>
          <w:rFonts w:ascii="標楷體" w:eastAsia="標楷體" w:hAnsi="標楷體"/>
          <w:sz w:val="28"/>
          <w:szCs w:val="28"/>
        </w:rPr>
      </w:pPr>
      <w:r w:rsidRPr="001B6E4D">
        <w:rPr>
          <w:rFonts w:ascii="標楷體" w:eastAsia="標楷體" w:hAnsi="標楷體" w:hint="eastAsia"/>
          <w:sz w:val="28"/>
          <w:szCs w:val="28"/>
        </w:rPr>
        <w:t>(3)針對脆弱家庭</w:t>
      </w:r>
      <w:proofErr w:type="gramStart"/>
      <w:r w:rsidRPr="001B6E4D">
        <w:rPr>
          <w:rFonts w:ascii="標楷體" w:eastAsia="標楷體" w:hAnsi="標楷體" w:hint="eastAsia"/>
          <w:sz w:val="28"/>
          <w:szCs w:val="28"/>
        </w:rPr>
        <w:t>研</w:t>
      </w:r>
      <w:proofErr w:type="gramEnd"/>
      <w:r w:rsidRPr="001B6E4D">
        <w:rPr>
          <w:rFonts w:ascii="標楷體" w:eastAsia="標楷體" w:hAnsi="標楷體" w:hint="eastAsia"/>
          <w:sz w:val="28"/>
          <w:szCs w:val="28"/>
        </w:rPr>
        <w:t>議分級支持及個案管理機制。</w:t>
      </w:r>
    </w:p>
    <w:p w14:paraId="1A841FBF" w14:textId="77777777" w:rsidR="00705B3D" w:rsidRPr="001B6E4D" w:rsidRDefault="00705B3D" w:rsidP="003D1018">
      <w:pPr>
        <w:overflowPunct w:val="0"/>
        <w:spacing w:line="380" w:lineRule="exact"/>
        <w:ind w:leftChars="600" w:left="1860" w:hangingChars="150" w:hanging="420"/>
        <w:jc w:val="both"/>
        <w:rPr>
          <w:rFonts w:ascii="標楷體" w:eastAsia="標楷體" w:hAnsi="標楷體"/>
          <w:sz w:val="28"/>
          <w:szCs w:val="28"/>
        </w:rPr>
      </w:pPr>
      <w:r w:rsidRPr="001B6E4D">
        <w:rPr>
          <w:rFonts w:ascii="標楷體" w:eastAsia="標楷體" w:hAnsi="標楷體" w:hint="eastAsia"/>
          <w:sz w:val="28"/>
          <w:szCs w:val="28"/>
        </w:rPr>
        <w:t>(4)</w:t>
      </w:r>
      <w:proofErr w:type="gramStart"/>
      <w:r w:rsidRPr="001B6E4D">
        <w:rPr>
          <w:rFonts w:ascii="標楷體" w:eastAsia="標楷體" w:hAnsi="標楷體" w:hint="eastAsia"/>
          <w:sz w:val="28"/>
          <w:szCs w:val="28"/>
        </w:rPr>
        <w:t>研</w:t>
      </w:r>
      <w:proofErr w:type="gramEnd"/>
      <w:r w:rsidRPr="001B6E4D">
        <w:rPr>
          <w:rFonts w:ascii="標楷體" w:eastAsia="標楷體" w:hAnsi="標楷體" w:hint="eastAsia"/>
          <w:sz w:val="28"/>
          <w:szCs w:val="28"/>
        </w:rPr>
        <w:t>議建立更生人子女及收容人子女支持服務之成效指標，包括持續就學、生活穩定、心理支持、家庭關係改善、服務中斷原因及後續轉</w:t>
      </w:r>
      <w:proofErr w:type="gramStart"/>
      <w:r w:rsidRPr="001B6E4D">
        <w:rPr>
          <w:rFonts w:ascii="標楷體" w:eastAsia="標楷體" w:hAnsi="標楷體" w:hint="eastAsia"/>
          <w:sz w:val="28"/>
          <w:szCs w:val="28"/>
        </w:rPr>
        <w:t>介</w:t>
      </w:r>
      <w:proofErr w:type="gramEnd"/>
      <w:r w:rsidRPr="001B6E4D">
        <w:rPr>
          <w:rFonts w:ascii="標楷體" w:eastAsia="標楷體" w:hAnsi="標楷體" w:hint="eastAsia"/>
          <w:sz w:val="28"/>
          <w:szCs w:val="28"/>
        </w:rPr>
        <w:t>成效等，以避免相關服務僅</w:t>
      </w:r>
      <w:proofErr w:type="gramStart"/>
      <w:r w:rsidRPr="001B6E4D">
        <w:rPr>
          <w:rFonts w:ascii="標楷體" w:eastAsia="標楷體" w:hAnsi="標楷體" w:hint="eastAsia"/>
          <w:sz w:val="28"/>
          <w:szCs w:val="28"/>
        </w:rPr>
        <w:t>停留於獎助學金</w:t>
      </w:r>
      <w:proofErr w:type="gramEnd"/>
      <w:r w:rsidRPr="001B6E4D">
        <w:rPr>
          <w:rFonts w:ascii="標楷體" w:eastAsia="標楷體" w:hAnsi="標楷體" w:hint="eastAsia"/>
          <w:sz w:val="28"/>
          <w:szCs w:val="28"/>
        </w:rPr>
        <w:t>發放或服務人次統計。</w:t>
      </w:r>
      <w:r w:rsidRPr="001B6E4D">
        <w:rPr>
          <w:rFonts w:ascii="標楷體" w:eastAsia="標楷體" w:hAnsi="標楷體"/>
          <w:sz w:val="28"/>
          <w:szCs w:val="28"/>
        </w:rPr>
        <w:t>【</w:t>
      </w:r>
      <w:r w:rsidRPr="001B6E4D">
        <w:rPr>
          <w:rFonts w:ascii="標楷體" w:eastAsia="標楷體" w:hAnsi="標楷體" w:hint="eastAsia"/>
          <w:sz w:val="28"/>
          <w:szCs w:val="28"/>
        </w:rPr>
        <w:t>1</w:t>
      </w:r>
      <w:r w:rsidRPr="001B6E4D">
        <w:rPr>
          <w:rFonts w:ascii="標楷體" w:eastAsia="標楷體" w:hAnsi="標楷體"/>
          <w:sz w:val="28"/>
          <w:szCs w:val="28"/>
        </w:rPr>
        <w:t>】</w:t>
      </w:r>
    </w:p>
    <w:p w14:paraId="59C2AC0A" w14:textId="77777777" w:rsidR="00705B3D" w:rsidRPr="001B6E4D" w:rsidRDefault="00705B3D" w:rsidP="003D1018">
      <w:pPr>
        <w:pStyle w:val="2fb"/>
        <w:overflowPunct w:val="0"/>
      </w:pPr>
      <w:r w:rsidRPr="001B6E4D">
        <w:t>提案人：</w:t>
      </w:r>
      <w:r w:rsidRPr="001B6E4D">
        <w:rPr>
          <w:rFonts w:hint="eastAsia"/>
        </w:rPr>
        <w:t>張雅琳</w:t>
      </w:r>
    </w:p>
    <w:p w14:paraId="1C4EEAAE" w14:textId="77777777" w:rsidR="00705B3D" w:rsidRPr="001B6E4D" w:rsidRDefault="00705B3D" w:rsidP="003D1018">
      <w:pPr>
        <w:pStyle w:val="2fb"/>
        <w:overflowPunct w:val="0"/>
      </w:pPr>
      <w:r w:rsidRPr="001B6E4D">
        <w:rPr>
          <w:rFonts w:hint="eastAsia"/>
        </w:rPr>
        <w:t xml:space="preserve">連署人：沈發惠 </w:t>
      </w:r>
      <w:proofErr w:type="gramStart"/>
      <w:r w:rsidRPr="001B6E4D">
        <w:rPr>
          <w:rFonts w:hint="eastAsia"/>
        </w:rPr>
        <w:t>范</w:t>
      </w:r>
      <w:proofErr w:type="gramEnd"/>
      <w:r w:rsidRPr="001B6E4D">
        <w:rPr>
          <w:rFonts w:hint="eastAsia"/>
        </w:rPr>
        <w:t xml:space="preserve">  雲</w:t>
      </w:r>
    </w:p>
    <w:p w14:paraId="1A8DD008" w14:textId="77777777" w:rsidR="00705B3D" w:rsidRPr="001B6E4D" w:rsidRDefault="00705B3D" w:rsidP="003D1018">
      <w:pPr>
        <w:overflowPunct w:val="0"/>
        <w:adjustRightInd w:val="0"/>
        <w:snapToGrid w:val="0"/>
        <w:spacing w:beforeLines="20" w:before="72" w:line="380" w:lineRule="exact"/>
        <w:jc w:val="both"/>
        <w:rPr>
          <w:rFonts w:ascii="標楷體" w:eastAsia="標楷體" w:hAnsi="標楷體"/>
          <w:b/>
          <w:color w:val="000000" w:themeColor="text1"/>
          <w:sz w:val="28"/>
          <w:szCs w:val="28"/>
        </w:rPr>
      </w:pPr>
      <w:r w:rsidRPr="001B6E4D">
        <w:rPr>
          <w:rFonts w:ascii="標楷體" w:eastAsia="標楷體" w:hAnsi="標楷體" w:hint="eastAsia"/>
          <w:b/>
          <w:color w:val="000000" w:themeColor="text1"/>
          <w:sz w:val="28"/>
          <w:szCs w:val="28"/>
        </w:rPr>
        <w:t>五、財團法人福建更生保護會</w:t>
      </w:r>
      <w:proofErr w:type="gramStart"/>
      <w:r w:rsidRPr="001B6E4D">
        <w:rPr>
          <w:rFonts w:ascii="標楷體" w:eastAsia="標楷體" w:hAnsi="標楷體" w:hint="eastAsia"/>
          <w:b/>
          <w:color w:val="000000" w:themeColor="text1"/>
          <w:sz w:val="28"/>
          <w:szCs w:val="28"/>
        </w:rPr>
        <w:t>115</w:t>
      </w:r>
      <w:proofErr w:type="gramEnd"/>
      <w:r w:rsidRPr="001B6E4D">
        <w:rPr>
          <w:rFonts w:ascii="標楷體" w:eastAsia="標楷體" w:hAnsi="標楷體" w:hint="eastAsia"/>
          <w:b/>
          <w:color w:val="000000" w:themeColor="text1"/>
          <w:sz w:val="28"/>
          <w:szCs w:val="28"/>
        </w:rPr>
        <w:t>年度預算書案：</w:t>
      </w:r>
    </w:p>
    <w:p w14:paraId="4D728CEF"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lastRenderedPageBreak/>
        <w:t>(</w:t>
      </w:r>
      <w:proofErr w:type="gramStart"/>
      <w:r w:rsidRPr="001B6E4D">
        <w:rPr>
          <w:rFonts w:ascii="標楷體" w:eastAsia="標楷體" w:hAnsi="標楷體" w:hint="eastAsia"/>
          <w:color w:val="000000" w:themeColor="text1"/>
          <w:sz w:val="28"/>
          <w:szCs w:val="28"/>
        </w:rPr>
        <w:t>一</w:t>
      </w:r>
      <w:proofErr w:type="gramEnd"/>
      <w:r w:rsidRPr="001B6E4D">
        <w:rPr>
          <w:rFonts w:ascii="標楷體" w:eastAsia="標楷體" w:hAnsi="標楷體" w:hint="eastAsia"/>
          <w:color w:val="000000" w:themeColor="text1"/>
          <w:sz w:val="28"/>
          <w:szCs w:val="28"/>
        </w:rPr>
        <w:t>)業務計畫：應依據業務收支、轉投資、固定資產投資及資金運用等項之審查結果，隨同調整。</w:t>
      </w:r>
    </w:p>
    <w:p w14:paraId="3E959859"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(二)業務收支：</w:t>
      </w:r>
    </w:p>
    <w:p w14:paraId="0C025AEA" w14:textId="77777777" w:rsidR="00705B3D" w:rsidRPr="001B6E4D" w:rsidRDefault="00705B3D" w:rsidP="003D1018">
      <w:pPr>
        <w:overflowPunct w:val="0"/>
        <w:spacing w:line="380" w:lineRule="exact"/>
        <w:ind w:leftChars="450" w:left="16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1.業務總收入：915萬2千元，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5166688C" w14:textId="77777777" w:rsidR="00705B3D" w:rsidRPr="001B6E4D" w:rsidRDefault="00705B3D" w:rsidP="003D1018">
      <w:pPr>
        <w:overflowPunct w:val="0"/>
        <w:spacing w:line="380" w:lineRule="exact"/>
        <w:ind w:leftChars="450" w:left="16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2.業務總支出：915萬2千元，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60C59CC6" w14:textId="77777777" w:rsidR="00705B3D" w:rsidRPr="001B6E4D" w:rsidRDefault="00705B3D" w:rsidP="003D1018">
      <w:pPr>
        <w:overflowPunct w:val="0"/>
        <w:spacing w:line="380" w:lineRule="exact"/>
        <w:ind w:leftChars="450" w:left="16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3.本期餘</w:t>
      </w:r>
      <w:proofErr w:type="gramStart"/>
      <w:r w:rsidRPr="001B6E4D">
        <w:rPr>
          <w:rFonts w:ascii="標楷體" w:eastAsia="標楷體" w:hAnsi="標楷體" w:hint="eastAsia"/>
          <w:color w:val="000000" w:themeColor="text1"/>
          <w:sz w:val="28"/>
          <w:szCs w:val="28"/>
        </w:rPr>
        <w:t>絀</w:t>
      </w:r>
      <w:proofErr w:type="gramEnd"/>
      <w:r w:rsidRPr="001B6E4D">
        <w:rPr>
          <w:rFonts w:ascii="標楷體" w:eastAsia="標楷體" w:hAnsi="標楷體" w:hint="eastAsia"/>
          <w:color w:val="000000" w:themeColor="text1"/>
          <w:sz w:val="28"/>
          <w:szCs w:val="28"/>
        </w:rPr>
        <w:t>：0元，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181C3093"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(三)</w:t>
      </w:r>
      <w:proofErr w:type="gramStart"/>
      <w:r w:rsidRPr="001B6E4D">
        <w:rPr>
          <w:rFonts w:ascii="標楷體" w:eastAsia="標楷體" w:hAnsi="標楷體" w:hint="eastAsia"/>
          <w:color w:val="000000" w:themeColor="text1"/>
          <w:sz w:val="28"/>
          <w:szCs w:val="28"/>
        </w:rPr>
        <w:t>解繳公庫</w:t>
      </w:r>
      <w:proofErr w:type="gramEnd"/>
      <w:r w:rsidRPr="001B6E4D">
        <w:rPr>
          <w:rFonts w:ascii="標楷體" w:eastAsia="標楷體" w:hAnsi="標楷體" w:hint="eastAsia"/>
          <w:color w:val="000000" w:themeColor="text1"/>
          <w:sz w:val="28"/>
          <w:szCs w:val="28"/>
        </w:rPr>
        <w:t>淨額：</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0C802650"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(四)轉投資計畫：</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2B4A734D"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(五)固定資產投資：190萬5千元，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62361934"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(六)國庫增撥基金額：</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5071BDA0" w14:textId="77777777" w:rsidR="00705B3D" w:rsidRPr="001B6E4D" w:rsidRDefault="00705B3D" w:rsidP="003D1018">
      <w:pPr>
        <w:overflowPunct w:val="0"/>
        <w:adjustRightInd w:val="0"/>
        <w:snapToGrid w:val="0"/>
        <w:spacing w:beforeLines="20" w:before="72" w:line="380" w:lineRule="exact"/>
        <w:jc w:val="both"/>
        <w:rPr>
          <w:rFonts w:ascii="標楷體" w:eastAsia="標楷體" w:hAnsi="標楷體"/>
          <w:b/>
          <w:color w:val="000000" w:themeColor="text1"/>
          <w:sz w:val="28"/>
          <w:szCs w:val="28"/>
        </w:rPr>
      </w:pPr>
      <w:r w:rsidRPr="001B6E4D">
        <w:rPr>
          <w:rFonts w:ascii="標楷體" w:eastAsia="標楷體" w:hAnsi="標楷體" w:hint="eastAsia"/>
          <w:b/>
          <w:color w:val="000000" w:themeColor="text1"/>
          <w:sz w:val="28"/>
          <w:szCs w:val="28"/>
        </w:rPr>
        <w:t>六、</w:t>
      </w:r>
      <w:r w:rsidRPr="001B6E4D">
        <w:rPr>
          <w:rFonts w:ascii="標楷體" w:eastAsia="標楷體" w:hAnsi="標楷體"/>
          <w:b/>
          <w:color w:val="000000" w:themeColor="text1"/>
          <w:sz w:val="28"/>
          <w:szCs w:val="28"/>
        </w:rPr>
        <w:t>財團法人犯罪被害人保護協會</w:t>
      </w:r>
      <w:proofErr w:type="gramStart"/>
      <w:r w:rsidRPr="001B6E4D">
        <w:rPr>
          <w:rFonts w:ascii="標楷體" w:eastAsia="標楷體" w:hAnsi="標楷體" w:hint="eastAsia"/>
          <w:b/>
          <w:color w:val="000000" w:themeColor="text1"/>
          <w:sz w:val="28"/>
          <w:szCs w:val="28"/>
        </w:rPr>
        <w:t>115</w:t>
      </w:r>
      <w:proofErr w:type="gramEnd"/>
      <w:r w:rsidRPr="001B6E4D">
        <w:rPr>
          <w:rFonts w:ascii="標楷體" w:eastAsia="標楷體" w:hAnsi="標楷體" w:hint="eastAsia"/>
          <w:b/>
          <w:color w:val="000000" w:themeColor="text1"/>
          <w:sz w:val="28"/>
          <w:szCs w:val="28"/>
        </w:rPr>
        <w:t>年度預算書案：</w:t>
      </w:r>
    </w:p>
    <w:p w14:paraId="368485E2"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w:t>
      </w:r>
      <w:proofErr w:type="gramStart"/>
      <w:r w:rsidRPr="001B6E4D">
        <w:rPr>
          <w:rFonts w:ascii="標楷體" w:eastAsia="標楷體" w:hAnsi="標楷體" w:hint="eastAsia"/>
          <w:color w:val="000000" w:themeColor="text1"/>
          <w:sz w:val="28"/>
          <w:szCs w:val="28"/>
        </w:rPr>
        <w:t>一</w:t>
      </w:r>
      <w:proofErr w:type="gramEnd"/>
      <w:r w:rsidRPr="001B6E4D">
        <w:rPr>
          <w:rFonts w:ascii="標楷體" w:eastAsia="標楷體" w:hAnsi="標楷體" w:hint="eastAsia"/>
          <w:color w:val="000000" w:themeColor="text1"/>
          <w:sz w:val="28"/>
          <w:szCs w:val="28"/>
        </w:rPr>
        <w:t>)業務計畫：應依據業務收支、轉投資、固定資產投資及資金運用等項之審查結果，隨同調整。</w:t>
      </w:r>
    </w:p>
    <w:p w14:paraId="1510F204"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(二)業務收支：</w:t>
      </w:r>
    </w:p>
    <w:p w14:paraId="46213ECC" w14:textId="77777777" w:rsidR="00705B3D" w:rsidRPr="001B6E4D" w:rsidRDefault="00705B3D" w:rsidP="003D1018">
      <w:pPr>
        <w:overflowPunct w:val="0"/>
        <w:spacing w:line="380" w:lineRule="exact"/>
        <w:ind w:leftChars="450" w:left="16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1.業務總收入：4億0,277萬2千元，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0472EC8F" w14:textId="77777777" w:rsidR="00705B3D" w:rsidRPr="001B6E4D" w:rsidRDefault="00705B3D" w:rsidP="003D1018">
      <w:pPr>
        <w:overflowPunct w:val="0"/>
        <w:spacing w:line="380" w:lineRule="exact"/>
        <w:ind w:leftChars="449" w:left="1358" w:hangingChars="100" w:hanging="28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2.業務總支出：4億0,277萬2千元，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47E9D243" w14:textId="77777777" w:rsidR="00705B3D" w:rsidRPr="001B6E4D" w:rsidRDefault="00705B3D" w:rsidP="003D1018">
      <w:pPr>
        <w:overflowPunct w:val="0"/>
        <w:spacing w:line="380" w:lineRule="exact"/>
        <w:ind w:leftChars="450" w:left="16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3.本期餘</w:t>
      </w:r>
      <w:proofErr w:type="gramStart"/>
      <w:r w:rsidRPr="001B6E4D">
        <w:rPr>
          <w:rFonts w:ascii="標楷體" w:eastAsia="標楷體" w:hAnsi="標楷體" w:hint="eastAsia"/>
          <w:color w:val="000000" w:themeColor="text1"/>
          <w:sz w:val="28"/>
          <w:szCs w:val="28"/>
        </w:rPr>
        <w:t>絀</w:t>
      </w:r>
      <w:proofErr w:type="gramEnd"/>
      <w:r w:rsidRPr="001B6E4D">
        <w:rPr>
          <w:rFonts w:ascii="標楷體" w:eastAsia="標楷體" w:hAnsi="標楷體" w:hint="eastAsia"/>
          <w:color w:val="000000" w:themeColor="text1"/>
          <w:sz w:val="28"/>
          <w:szCs w:val="28"/>
        </w:rPr>
        <w:t>：0元，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70342389"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(三)</w:t>
      </w:r>
      <w:proofErr w:type="gramStart"/>
      <w:r w:rsidRPr="001B6E4D">
        <w:rPr>
          <w:rFonts w:ascii="標楷體" w:eastAsia="標楷體" w:hAnsi="標楷體" w:hint="eastAsia"/>
          <w:color w:val="000000" w:themeColor="text1"/>
          <w:sz w:val="28"/>
          <w:szCs w:val="28"/>
        </w:rPr>
        <w:t>解繳公庫</w:t>
      </w:r>
      <w:proofErr w:type="gramEnd"/>
      <w:r w:rsidRPr="001B6E4D">
        <w:rPr>
          <w:rFonts w:ascii="標楷體" w:eastAsia="標楷體" w:hAnsi="標楷體" w:hint="eastAsia"/>
          <w:color w:val="000000" w:themeColor="text1"/>
          <w:sz w:val="28"/>
          <w:szCs w:val="28"/>
        </w:rPr>
        <w:t>淨額：</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1B443EC0"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(四)轉投資計畫：</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24280885" w14:textId="77777777" w:rsidR="00705B3D" w:rsidRPr="001B6E4D" w:rsidRDefault="00705B3D" w:rsidP="003D1018">
      <w:pPr>
        <w:overflowPunct w:val="0"/>
        <w:spacing w:line="380" w:lineRule="exact"/>
        <w:ind w:leftChars="200" w:left="1040" w:hangingChars="200" w:hanging="560"/>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(五)固定資產投資：519萬8千元，</w:t>
      </w:r>
      <w:proofErr w:type="gramStart"/>
      <w:r w:rsidRPr="001B6E4D">
        <w:rPr>
          <w:rFonts w:ascii="標楷體" w:eastAsia="標楷體" w:hAnsi="標楷體" w:hint="eastAsia"/>
          <w:color w:val="000000" w:themeColor="text1"/>
          <w:sz w:val="28"/>
          <w:szCs w:val="28"/>
        </w:rPr>
        <w:t>照列</w:t>
      </w:r>
      <w:proofErr w:type="gramEnd"/>
      <w:r w:rsidRPr="001B6E4D">
        <w:rPr>
          <w:rFonts w:ascii="標楷體" w:eastAsia="標楷體" w:hAnsi="標楷體" w:hint="eastAsia"/>
          <w:color w:val="000000" w:themeColor="text1"/>
          <w:sz w:val="28"/>
          <w:szCs w:val="28"/>
        </w:rPr>
        <w:t>。</w:t>
      </w:r>
    </w:p>
    <w:p w14:paraId="2EDB95B5" w14:textId="77777777" w:rsidR="00705B3D" w:rsidRPr="001B6E4D" w:rsidRDefault="00705B3D" w:rsidP="003D1018">
      <w:pPr>
        <w:overflowPunct w:val="0"/>
        <w:spacing w:line="380" w:lineRule="exact"/>
        <w:ind w:leftChars="204" w:left="613" w:hangingChars="44" w:hanging="123"/>
        <w:jc w:val="both"/>
        <w:rPr>
          <w:rFonts w:ascii="標楷體" w:eastAsia="標楷體" w:hAnsi="標楷體"/>
          <w:color w:val="000000" w:themeColor="text1"/>
          <w:sz w:val="28"/>
          <w:szCs w:val="28"/>
        </w:rPr>
      </w:pPr>
      <w:r w:rsidRPr="001B6E4D">
        <w:rPr>
          <w:rFonts w:ascii="標楷體" w:eastAsia="標楷體" w:hAnsi="標楷體" w:hint="eastAsia"/>
          <w:color w:val="000000" w:themeColor="text1"/>
          <w:sz w:val="28"/>
          <w:szCs w:val="28"/>
        </w:rPr>
        <w:t>(六)國庫增撥基金額：</w:t>
      </w:r>
      <w:proofErr w:type="gramStart"/>
      <w:r w:rsidRPr="001B6E4D">
        <w:rPr>
          <w:rFonts w:ascii="標楷體" w:eastAsia="標楷體" w:hAnsi="標楷體" w:hint="eastAsia"/>
          <w:color w:val="000000" w:themeColor="text1"/>
          <w:sz w:val="28"/>
          <w:szCs w:val="28"/>
        </w:rPr>
        <w:t>無列數</w:t>
      </w:r>
      <w:proofErr w:type="gramEnd"/>
      <w:r w:rsidRPr="001B6E4D">
        <w:rPr>
          <w:rFonts w:ascii="標楷體" w:eastAsia="標楷體" w:hAnsi="標楷體" w:hint="eastAsia"/>
          <w:color w:val="000000" w:themeColor="text1"/>
          <w:sz w:val="28"/>
          <w:szCs w:val="28"/>
        </w:rPr>
        <w:t>。</w:t>
      </w:r>
    </w:p>
    <w:p w14:paraId="390B0DDB" w14:textId="77777777" w:rsidR="00705B3D" w:rsidRPr="001B6E4D" w:rsidRDefault="00705B3D" w:rsidP="003D1018">
      <w:pPr>
        <w:overflowPunct w:val="0"/>
        <w:adjustRightInd w:val="0"/>
        <w:snapToGrid w:val="0"/>
        <w:spacing w:line="380" w:lineRule="exact"/>
        <w:ind w:left="476" w:hangingChars="170" w:hanging="476"/>
        <w:jc w:val="both"/>
        <w:rPr>
          <w:rFonts w:ascii="標楷體" w:eastAsia="標楷體" w:hAnsi="標楷體"/>
          <w:b/>
          <w:color w:val="000000" w:themeColor="text1"/>
          <w:sz w:val="28"/>
          <w:szCs w:val="28"/>
          <w:shd w:val="clear" w:color="auto" w:fill="FFFFFF"/>
        </w:rPr>
      </w:pPr>
      <w:r w:rsidRPr="001B6E4D">
        <w:rPr>
          <w:rFonts w:ascii="標楷體" w:eastAsia="標楷體" w:hAnsi="標楷體" w:hint="eastAsia"/>
          <w:b/>
          <w:color w:val="000000" w:themeColor="text1"/>
          <w:sz w:val="28"/>
          <w:szCs w:val="28"/>
          <w:shd w:val="clear" w:color="auto" w:fill="FFFFFF"/>
        </w:rPr>
        <w:t>七、法務部函送</w:t>
      </w:r>
      <w:r w:rsidRPr="001B6E4D">
        <w:rPr>
          <w:rFonts w:ascii="標楷體" w:eastAsia="標楷體" w:hAnsi="標楷體"/>
          <w:b/>
          <w:color w:val="000000" w:themeColor="text1"/>
          <w:sz w:val="28"/>
          <w:szCs w:val="28"/>
          <w:shd w:val="clear" w:color="auto" w:fill="FFFFFF"/>
        </w:rPr>
        <w:t>財團法人臺灣更生保護會</w:t>
      </w:r>
      <w:r w:rsidRPr="001B6E4D">
        <w:rPr>
          <w:rFonts w:ascii="標楷體" w:eastAsia="標楷體" w:hAnsi="標楷體" w:hint="eastAsia"/>
          <w:b/>
          <w:color w:val="000000" w:themeColor="text1"/>
          <w:sz w:val="28"/>
          <w:szCs w:val="28"/>
          <w:shd w:val="clear" w:color="auto" w:fill="FFFFFF"/>
        </w:rPr>
        <w:t>、</w:t>
      </w:r>
      <w:r w:rsidRPr="001B6E4D">
        <w:rPr>
          <w:rFonts w:ascii="標楷體" w:eastAsia="標楷體" w:hAnsi="標楷體"/>
          <w:b/>
          <w:color w:val="000000" w:themeColor="text1"/>
          <w:sz w:val="28"/>
          <w:szCs w:val="28"/>
          <w:shd w:val="clear" w:color="auto" w:fill="FFFFFF"/>
        </w:rPr>
        <w:t>財團法人福建更生保護會</w:t>
      </w:r>
      <w:r w:rsidRPr="001B6E4D">
        <w:rPr>
          <w:rFonts w:ascii="標楷體" w:eastAsia="標楷體" w:hAnsi="標楷體" w:hint="eastAsia"/>
          <w:b/>
          <w:color w:val="000000" w:themeColor="text1"/>
          <w:sz w:val="28"/>
          <w:szCs w:val="28"/>
          <w:shd w:val="clear" w:color="auto" w:fill="FFFFFF"/>
        </w:rPr>
        <w:t>及</w:t>
      </w:r>
      <w:r w:rsidRPr="001B6E4D">
        <w:rPr>
          <w:rFonts w:ascii="標楷體" w:eastAsia="標楷體" w:hAnsi="標楷體"/>
          <w:b/>
          <w:color w:val="000000" w:themeColor="text1"/>
          <w:sz w:val="28"/>
          <w:szCs w:val="28"/>
          <w:shd w:val="clear" w:color="auto" w:fill="FFFFFF"/>
        </w:rPr>
        <w:t>財團法人犯罪被害人保護協會</w:t>
      </w:r>
      <w:proofErr w:type="gramStart"/>
      <w:r w:rsidRPr="001B6E4D">
        <w:rPr>
          <w:rFonts w:ascii="標楷體" w:eastAsia="標楷體" w:hAnsi="標楷體"/>
          <w:b/>
          <w:color w:val="000000" w:themeColor="text1"/>
          <w:sz w:val="28"/>
          <w:szCs w:val="28"/>
          <w:shd w:val="clear" w:color="auto" w:fill="FFFFFF"/>
        </w:rPr>
        <w:t>115</w:t>
      </w:r>
      <w:proofErr w:type="gramEnd"/>
      <w:r w:rsidRPr="001B6E4D">
        <w:rPr>
          <w:rFonts w:ascii="標楷體" w:eastAsia="標楷體" w:hAnsi="標楷體"/>
          <w:b/>
          <w:color w:val="000000" w:themeColor="text1"/>
          <w:sz w:val="28"/>
          <w:szCs w:val="28"/>
          <w:shd w:val="clear" w:color="auto" w:fill="FFFFFF"/>
        </w:rPr>
        <w:t>年度預算書案</w:t>
      </w:r>
      <w:r w:rsidRPr="001B6E4D">
        <w:rPr>
          <w:rFonts w:ascii="標楷體" w:eastAsia="標楷體" w:hAnsi="標楷體" w:hint="eastAsia"/>
          <w:b/>
          <w:color w:val="000000" w:themeColor="text1"/>
          <w:sz w:val="28"/>
          <w:szCs w:val="28"/>
          <w:shd w:val="clear" w:color="auto" w:fill="FFFFFF"/>
        </w:rPr>
        <w:t>，審查完竣，擬具審查報告，提請院會公決，院會討論前，不須交由黨團協商；院會討論時，由翁召集</w:t>
      </w:r>
      <w:r w:rsidRPr="001B6E4D">
        <w:rPr>
          <w:rFonts w:ascii="標楷體" w:eastAsia="標楷體" w:hAnsi="標楷體"/>
          <w:b/>
          <w:color w:val="000000" w:themeColor="text1"/>
          <w:sz w:val="28"/>
          <w:szCs w:val="28"/>
          <w:shd w:val="clear" w:color="auto" w:fill="FFFFFF"/>
        </w:rPr>
        <w:t>委員</w:t>
      </w:r>
      <w:r w:rsidRPr="001B6E4D">
        <w:rPr>
          <w:rFonts w:ascii="標楷體" w:eastAsia="標楷體" w:hAnsi="標楷體" w:hint="eastAsia"/>
          <w:b/>
          <w:color w:val="000000" w:themeColor="text1"/>
          <w:sz w:val="28"/>
          <w:szCs w:val="28"/>
          <w:shd w:val="clear" w:color="auto" w:fill="FFFFFF"/>
        </w:rPr>
        <w:t>曉玲出席說明。</w:t>
      </w:r>
    </w:p>
    <w:p w14:paraId="781F60DF" w14:textId="77777777" w:rsidR="00705B3D" w:rsidRPr="001B6E4D" w:rsidRDefault="00705B3D" w:rsidP="003D1018">
      <w:pPr>
        <w:overflowPunct w:val="0"/>
        <w:adjustRightInd w:val="0"/>
        <w:snapToGrid w:val="0"/>
        <w:spacing w:beforeLines="30" w:before="108" w:line="410" w:lineRule="exact"/>
        <w:ind w:left="561" w:hangingChars="200" w:hanging="561"/>
        <w:jc w:val="both"/>
        <w:rPr>
          <w:rFonts w:ascii="標楷體" w:eastAsia="標楷體" w:hAnsi="標楷體"/>
          <w:b/>
          <w:bCs/>
          <w:sz w:val="28"/>
          <w:szCs w:val="28"/>
        </w:rPr>
      </w:pPr>
      <w:r w:rsidRPr="001B6E4D">
        <w:rPr>
          <w:rFonts w:ascii="標楷體" w:eastAsia="標楷體" w:hAnsi="標楷體" w:hint="eastAsia"/>
          <w:b/>
          <w:bCs/>
          <w:sz w:val="28"/>
          <w:szCs w:val="28"/>
        </w:rPr>
        <w:t>5月28日（星期四）</w:t>
      </w:r>
    </w:p>
    <w:p w14:paraId="66D454CE" w14:textId="77777777" w:rsidR="00705B3D" w:rsidRPr="001B6E4D" w:rsidRDefault="00705B3D" w:rsidP="003D1018">
      <w:pPr>
        <w:overflowPunct w:val="0"/>
        <w:adjustRightInd w:val="0"/>
        <w:snapToGrid w:val="0"/>
        <w:spacing w:beforeLines="30" w:before="108" w:line="410" w:lineRule="exact"/>
        <w:ind w:firstLineChars="398" w:firstLine="1115"/>
        <w:jc w:val="both"/>
        <w:rPr>
          <w:rFonts w:ascii="標楷體" w:eastAsia="標楷體" w:hAnsi="標楷體"/>
          <w:b/>
          <w:kern w:val="0"/>
          <w:sz w:val="28"/>
          <w:szCs w:val="28"/>
          <w:lang w:val="x-none"/>
        </w:rPr>
      </w:pPr>
      <w:r w:rsidRPr="001B6E4D">
        <w:rPr>
          <w:rFonts w:ascii="標楷體" w:eastAsia="標楷體" w:hAnsi="標楷體" w:hint="eastAsia"/>
          <w:b/>
          <w:kern w:val="0"/>
          <w:sz w:val="28"/>
          <w:szCs w:val="28"/>
          <w:lang w:val="x-none"/>
        </w:rPr>
        <w:t>討論事項</w:t>
      </w:r>
    </w:p>
    <w:p w14:paraId="7AC63E2C" w14:textId="77777777" w:rsidR="00705B3D" w:rsidRPr="001B6E4D" w:rsidRDefault="00705B3D" w:rsidP="003D1018">
      <w:pPr>
        <w:kinsoku w:val="0"/>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審查</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年度中央政府總預算案關於立法院主管收支部分。</w:t>
      </w:r>
    </w:p>
    <w:p w14:paraId="224C07EF" w14:textId="77777777" w:rsidR="00705B3D" w:rsidRPr="001B6E4D" w:rsidRDefault="00705B3D" w:rsidP="003D1018">
      <w:pPr>
        <w:overflowPunct w:val="0"/>
        <w:spacing w:beforeLines="10" w:before="36" w:line="360" w:lineRule="exact"/>
        <w:ind w:left="280" w:hangingChars="100" w:hanging="280"/>
        <w:jc w:val="both"/>
        <w:rPr>
          <w:rFonts w:ascii="標楷體" w:eastAsia="標楷體" w:hAnsi="標楷體"/>
          <w:b/>
          <w:color w:val="FF0000"/>
          <w:sz w:val="28"/>
          <w:szCs w:val="28"/>
        </w:rPr>
      </w:pPr>
      <w:proofErr w:type="gramStart"/>
      <w:r w:rsidRPr="001B6E4D">
        <w:rPr>
          <w:rFonts w:ascii="標楷體" w:eastAsia="標楷體" w:hAnsi="標楷體" w:hint="eastAsia"/>
          <w:sz w:val="28"/>
          <w:szCs w:val="28"/>
        </w:rPr>
        <w:t>（</w:t>
      </w:r>
      <w:proofErr w:type="gramEnd"/>
      <w:r w:rsidRPr="001B6E4D">
        <w:rPr>
          <w:rFonts w:ascii="標楷體" w:eastAsia="標楷體" w:hAnsi="標楷體" w:hint="eastAsia"/>
          <w:sz w:val="28"/>
          <w:szCs w:val="28"/>
        </w:rPr>
        <w:t>本日會議有委員陳昭姿、翁曉玲、張雅琳、沈發惠、陳培瑜、</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雲、莊瑞雄提出質詢；委員蔡其昌、傅崐萁提出書面質詢。）</w:t>
      </w:r>
    </w:p>
    <w:p w14:paraId="59D92FAB" w14:textId="77777777" w:rsidR="00705B3D" w:rsidRPr="001B6E4D" w:rsidRDefault="00705B3D" w:rsidP="003D1018">
      <w:pPr>
        <w:pStyle w:val="Default"/>
        <w:overflowPunct w:val="0"/>
        <w:spacing w:line="360" w:lineRule="exact"/>
        <w:ind w:left="846" w:hangingChars="302" w:hanging="846"/>
        <w:rPr>
          <w:rFonts w:ascii="標楷體" w:eastAsia="標楷體" w:hAnsi="標楷體"/>
          <w:color w:val="auto"/>
          <w:sz w:val="28"/>
          <w:szCs w:val="28"/>
        </w:rPr>
      </w:pPr>
      <w:r w:rsidRPr="001B6E4D">
        <w:rPr>
          <w:rFonts w:ascii="標楷體" w:eastAsia="標楷體" w:hAnsi="標楷體" w:hint="eastAsia"/>
          <w:color w:val="auto"/>
          <w:sz w:val="28"/>
          <w:szCs w:val="28"/>
        </w:rPr>
        <w:t>決議：</w:t>
      </w:r>
    </w:p>
    <w:p w14:paraId="7C0696C6" w14:textId="77777777" w:rsidR="00705B3D" w:rsidRPr="001B6E4D" w:rsidRDefault="00705B3D" w:rsidP="003D1018">
      <w:pPr>
        <w:overflowPunct w:val="0"/>
        <w:spacing w:line="360" w:lineRule="exact"/>
        <w:contextualSpacing/>
        <w:jc w:val="both"/>
        <w:rPr>
          <w:rFonts w:ascii="標楷體" w:eastAsia="標楷體" w:hAnsi="標楷體"/>
          <w:sz w:val="28"/>
          <w:szCs w:val="28"/>
        </w:rPr>
      </w:pPr>
      <w:r w:rsidRPr="001B6E4D">
        <w:rPr>
          <w:rFonts w:ascii="標楷體" w:eastAsia="標楷體" w:hAnsi="標楷體" w:hint="eastAsia"/>
          <w:sz w:val="28"/>
          <w:szCs w:val="28"/>
        </w:rPr>
        <w:t>一、報告及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p>
    <w:p w14:paraId="23D31A19" w14:textId="77777777" w:rsidR="00705B3D" w:rsidRPr="001B6E4D" w:rsidRDefault="00705B3D" w:rsidP="003D1018">
      <w:pPr>
        <w:overflowPunct w:val="0"/>
        <w:snapToGrid w:val="0"/>
        <w:rPr>
          <w:rFonts w:ascii="標楷體" w:eastAsia="標楷體" w:hAnsi="標楷體"/>
          <w:b/>
          <w:color w:val="FF0000"/>
          <w:sz w:val="28"/>
          <w:szCs w:val="28"/>
        </w:rPr>
      </w:pPr>
      <w:r w:rsidRPr="001B6E4D">
        <w:rPr>
          <w:rFonts w:ascii="標楷體" w:eastAsia="標楷體" w:hAnsi="標楷體" w:hint="eastAsia"/>
          <w:b/>
          <w:kern w:val="0"/>
          <w:sz w:val="28"/>
          <w:szCs w:val="28"/>
        </w:rPr>
        <w:t>二、</w:t>
      </w:r>
      <w:proofErr w:type="gramStart"/>
      <w:r w:rsidRPr="001B6E4D">
        <w:rPr>
          <w:rFonts w:ascii="標楷體" w:eastAsia="標楷體" w:hAnsi="標楷體" w:hint="eastAsia"/>
          <w:b/>
          <w:sz w:val="28"/>
          <w:szCs w:val="28"/>
        </w:rPr>
        <w:t>115</w:t>
      </w:r>
      <w:proofErr w:type="gramEnd"/>
      <w:r w:rsidRPr="001B6E4D">
        <w:rPr>
          <w:rFonts w:ascii="標楷體" w:eastAsia="標楷體" w:hAnsi="標楷體" w:hint="eastAsia"/>
          <w:b/>
          <w:sz w:val="28"/>
          <w:szCs w:val="28"/>
        </w:rPr>
        <w:t>年度中央政府總預算案關於立法院主管收支部分：</w:t>
      </w:r>
    </w:p>
    <w:p w14:paraId="749D07C5" w14:textId="77777777" w:rsidR="00705B3D" w:rsidRPr="001B6E4D" w:rsidRDefault="00705B3D" w:rsidP="003D1018">
      <w:pPr>
        <w:overflowPunct w:val="0"/>
        <w:snapToGrid w:val="0"/>
        <w:rPr>
          <w:rFonts w:ascii="標楷體" w:eastAsia="標楷體" w:hAnsi="標楷體"/>
          <w:color w:val="000000"/>
          <w:sz w:val="28"/>
          <w:szCs w:val="28"/>
        </w:rPr>
      </w:pPr>
      <w:r w:rsidRPr="001B6E4D">
        <w:rPr>
          <w:rFonts w:ascii="標楷體" w:eastAsia="標楷體" w:hAnsi="標楷體" w:hint="eastAsia"/>
          <w:b/>
          <w:sz w:val="28"/>
          <w:szCs w:val="28"/>
        </w:rPr>
        <w:t>(</w:t>
      </w:r>
      <w:proofErr w:type="gramStart"/>
      <w:r w:rsidRPr="001B6E4D">
        <w:rPr>
          <w:rFonts w:ascii="標楷體" w:eastAsia="標楷體" w:hAnsi="標楷體" w:hint="eastAsia"/>
          <w:b/>
          <w:sz w:val="28"/>
          <w:szCs w:val="28"/>
        </w:rPr>
        <w:t>一</w:t>
      </w:r>
      <w:proofErr w:type="gramEnd"/>
      <w:r w:rsidRPr="001B6E4D">
        <w:rPr>
          <w:rFonts w:ascii="標楷體" w:eastAsia="標楷體" w:hAnsi="標楷體" w:hint="eastAsia"/>
          <w:b/>
          <w:sz w:val="28"/>
          <w:szCs w:val="28"/>
        </w:rPr>
        <w:t>)</w:t>
      </w:r>
      <w:r w:rsidRPr="001B6E4D">
        <w:rPr>
          <w:rFonts w:ascii="標楷體" w:eastAsia="標楷體" w:hAnsi="標楷體"/>
          <w:b/>
          <w:sz w:val="28"/>
          <w:szCs w:val="28"/>
        </w:rPr>
        <w:t>歲入部分</w:t>
      </w:r>
    </w:p>
    <w:p w14:paraId="474016D6" w14:textId="77777777" w:rsidR="00705B3D" w:rsidRPr="001B6E4D" w:rsidRDefault="00705B3D"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第2款 罰款及賠償收入</w:t>
      </w:r>
    </w:p>
    <w:p w14:paraId="00B8FCC4"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第22項 立法院17萬2千元，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53C5A9B1" w14:textId="77777777" w:rsidR="00705B3D" w:rsidRPr="001B6E4D" w:rsidRDefault="00705B3D"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第4款 財產收入</w:t>
      </w:r>
    </w:p>
    <w:p w14:paraId="610BD7DF"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lastRenderedPageBreak/>
        <w:t>第23項 立法院952萬2千元，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1E6572E3" w14:textId="77777777" w:rsidR="00705B3D" w:rsidRPr="001B6E4D" w:rsidRDefault="00705B3D"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第7款 其他收入</w:t>
      </w:r>
    </w:p>
    <w:p w14:paraId="34F51F05" w14:textId="77777777" w:rsidR="00705B3D" w:rsidRPr="001B6E4D" w:rsidRDefault="00705B3D" w:rsidP="003D1018">
      <w:pPr>
        <w:overflowPunct w:val="0"/>
        <w:snapToGrid w:val="0"/>
        <w:ind w:leftChars="150" w:left="360"/>
        <w:rPr>
          <w:rFonts w:ascii="標楷體" w:eastAsia="標楷體" w:hAnsi="標楷體"/>
          <w:color w:val="000000"/>
          <w:sz w:val="28"/>
          <w:szCs w:val="28"/>
        </w:rPr>
      </w:pPr>
      <w:r w:rsidRPr="001B6E4D">
        <w:rPr>
          <w:rFonts w:ascii="標楷體" w:eastAsia="標楷體" w:hAnsi="標楷體"/>
          <w:color w:val="000000"/>
          <w:sz w:val="28"/>
          <w:szCs w:val="28"/>
        </w:rPr>
        <w:t>第23項 立法院152萬元，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3AB3D144" w14:textId="77777777" w:rsidR="00705B3D" w:rsidRPr="001B6E4D" w:rsidRDefault="00705B3D" w:rsidP="003D1018">
      <w:pPr>
        <w:overflowPunct w:val="0"/>
        <w:snapToGrid w:val="0"/>
        <w:rPr>
          <w:rFonts w:ascii="標楷體" w:eastAsia="標楷體" w:hAnsi="標楷體"/>
          <w:b/>
          <w:sz w:val="28"/>
          <w:szCs w:val="28"/>
        </w:rPr>
      </w:pPr>
      <w:r w:rsidRPr="001B6E4D">
        <w:rPr>
          <w:rFonts w:ascii="標楷體" w:eastAsia="標楷體" w:hAnsi="標楷體" w:hint="eastAsia"/>
          <w:b/>
          <w:sz w:val="28"/>
          <w:szCs w:val="28"/>
        </w:rPr>
        <w:t>(二)</w:t>
      </w:r>
      <w:r w:rsidRPr="001B6E4D">
        <w:rPr>
          <w:rFonts w:ascii="標楷體" w:eastAsia="標楷體" w:hAnsi="標楷體"/>
          <w:b/>
          <w:sz w:val="28"/>
          <w:szCs w:val="28"/>
        </w:rPr>
        <w:t>歲出部分</w:t>
      </w:r>
    </w:p>
    <w:p w14:paraId="1F6FFE5D" w14:textId="77777777" w:rsidR="00705B3D" w:rsidRPr="001B6E4D" w:rsidRDefault="00705B3D" w:rsidP="003D1018">
      <w:pPr>
        <w:overflowPunct w:val="0"/>
        <w:snapToGrid w:val="0"/>
        <w:ind w:leftChars="50" w:left="120"/>
        <w:rPr>
          <w:rFonts w:ascii="標楷體" w:eastAsia="標楷體" w:hAnsi="標楷體"/>
          <w:color w:val="000000"/>
          <w:sz w:val="28"/>
          <w:szCs w:val="28"/>
        </w:rPr>
      </w:pPr>
      <w:r w:rsidRPr="001B6E4D">
        <w:rPr>
          <w:rFonts w:ascii="標楷體" w:eastAsia="標楷體" w:hAnsi="標楷體"/>
          <w:b/>
          <w:color w:val="000000"/>
          <w:sz w:val="28"/>
          <w:szCs w:val="28"/>
        </w:rPr>
        <w:t>第3款 立法院主管</w:t>
      </w:r>
    </w:p>
    <w:p w14:paraId="267DF567" w14:textId="77777777" w:rsidR="00705B3D" w:rsidRPr="001B6E4D" w:rsidRDefault="00705B3D" w:rsidP="003D1018">
      <w:pPr>
        <w:overflowPunct w:val="0"/>
        <w:snapToGrid w:val="0"/>
        <w:ind w:leftChars="150" w:left="1200" w:hangingChars="300" w:hanging="840"/>
        <w:jc w:val="both"/>
        <w:rPr>
          <w:rFonts w:ascii="標楷體" w:eastAsia="標楷體" w:hAnsi="標楷體"/>
          <w:color w:val="000000"/>
          <w:sz w:val="28"/>
          <w:szCs w:val="28"/>
        </w:rPr>
      </w:pPr>
      <w:r w:rsidRPr="001B6E4D">
        <w:rPr>
          <w:rFonts w:ascii="標楷體" w:eastAsia="標楷體" w:hAnsi="標楷體"/>
          <w:color w:val="000000"/>
          <w:sz w:val="28"/>
          <w:szCs w:val="28"/>
        </w:rPr>
        <w:t>第1項 立法院38億7,696萬8千元，</w:t>
      </w:r>
      <w:proofErr w:type="gramStart"/>
      <w:r w:rsidRPr="001B6E4D">
        <w:rPr>
          <w:rFonts w:ascii="標楷體" w:eastAsia="標楷體" w:hAnsi="標楷體"/>
          <w:color w:val="000000"/>
          <w:sz w:val="28"/>
          <w:szCs w:val="28"/>
        </w:rPr>
        <w:t>照列</w:t>
      </w:r>
      <w:proofErr w:type="gramEnd"/>
      <w:r w:rsidRPr="001B6E4D">
        <w:rPr>
          <w:rFonts w:ascii="標楷體" w:eastAsia="標楷體" w:hAnsi="標楷體"/>
          <w:color w:val="000000"/>
          <w:sz w:val="28"/>
          <w:szCs w:val="28"/>
        </w:rPr>
        <w:t>。</w:t>
      </w:r>
    </w:p>
    <w:p w14:paraId="493C2C10" w14:textId="77777777" w:rsidR="00705B3D" w:rsidRPr="001B6E4D" w:rsidRDefault="00705B3D"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sz w:val="28"/>
          <w:szCs w:val="28"/>
        </w:rPr>
        <w:t>本項提案</w:t>
      </w:r>
      <w:r w:rsidRPr="001B6E4D">
        <w:rPr>
          <w:rFonts w:ascii="標楷體" w:eastAsia="標楷體" w:hAnsi="標楷體" w:hint="eastAsia"/>
          <w:b/>
          <w:sz w:val="28"/>
          <w:szCs w:val="28"/>
        </w:rPr>
        <w:t>7</w:t>
      </w:r>
      <w:r w:rsidRPr="001B6E4D">
        <w:rPr>
          <w:rFonts w:ascii="標楷體" w:eastAsia="標楷體" w:hAnsi="標楷體"/>
          <w:b/>
          <w:sz w:val="28"/>
          <w:szCs w:val="28"/>
        </w:rPr>
        <w:t>案，保留，送院會處理：</w:t>
      </w:r>
    </w:p>
    <w:p w14:paraId="24732BC5" w14:textId="77777777" w:rsidR="00705B3D" w:rsidRPr="001B6E4D" w:rsidRDefault="00705B3D" w:rsidP="003D1018">
      <w:pPr>
        <w:pStyle w:val="a"/>
        <w:numPr>
          <w:ilvl w:val="0"/>
          <w:numId w:val="75"/>
        </w:numPr>
        <w:overflowPunct w:val="0"/>
        <w:ind w:left="924" w:hanging="567"/>
      </w:pPr>
      <w:proofErr w:type="gramStart"/>
      <w:r w:rsidRPr="001B6E4D">
        <w:t>115</w:t>
      </w:r>
      <w:proofErr w:type="gramEnd"/>
      <w:r w:rsidRPr="001B6E4D">
        <w:t>年度立法院預算案於第1目「一般行政」項下「資訊管理業務」編列預算2億1,360萬5千元，辦理資訊基礎建設、資訊系統維護、資訊設備租賃、雲端服務、資訊安全防護及相關軟硬體設備管理等業務，以支援國會議事運作、委員問政及行政管理需求。顯示立法院近年持續投入資訊基礎建設、數位服務</w:t>
      </w:r>
      <w:proofErr w:type="gramStart"/>
      <w:r w:rsidRPr="001B6E4D">
        <w:t>及資安防護</w:t>
      </w:r>
      <w:proofErr w:type="gramEnd"/>
      <w:r w:rsidRPr="001B6E4D">
        <w:t>等相關資源，以提升國會資訊化及數位治理量能。</w:t>
      </w:r>
    </w:p>
    <w:p w14:paraId="7162E2C1" w14:textId="77777777" w:rsidR="00705B3D" w:rsidRPr="001B6E4D" w:rsidRDefault="00705B3D" w:rsidP="003D1018">
      <w:pPr>
        <w:pStyle w:val="1f7"/>
        <w:overflowPunct w:val="0"/>
      </w:pPr>
      <w:proofErr w:type="gramStart"/>
      <w:r w:rsidRPr="001B6E4D">
        <w:t>惟查</w:t>
      </w:r>
      <w:proofErr w:type="gramEnd"/>
      <w:r w:rsidRPr="001B6E4D">
        <w:t>，立法院每年投入相當規模資訊管理經費，辦理資訊設備維護、軟體授權、雲端服務及資訊安全防護等業務，惟相關資訊投資是否建立具體績效衡量指標，例如系統使用率、使用者滿意度、行政作業效能提升、議事支援成果</w:t>
      </w:r>
      <w:proofErr w:type="gramStart"/>
      <w:r w:rsidRPr="001B6E4D">
        <w:t>及資安風險</w:t>
      </w:r>
      <w:proofErr w:type="gramEnd"/>
      <w:r w:rsidRPr="001B6E4D">
        <w:t>降低效益等，尚難據以評估其整體執行成效，相關資料分散於不同資訊系統及資料庫，如何透過數位化及知識管理機制有效整合、保存及運用，</w:t>
      </w:r>
      <w:proofErr w:type="gramStart"/>
      <w:r w:rsidRPr="001B6E4D">
        <w:t>攸</w:t>
      </w:r>
      <w:proofErr w:type="gramEnd"/>
      <w:r w:rsidRPr="001B6E4D">
        <w:t>關國會研究能量、問政品質及立法效能，相關規劃及推動成果仍有進一步精進空間，且近年</w:t>
      </w:r>
      <w:proofErr w:type="gramStart"/>
      <w:r w:rsidRPr="001B6E4D">
        <w:t>全球資安威脅</w:t>
      </w:r>
      <w:proofErr w:type="gramEnd"/>
      <w:r w:rsidRPr="001B6E4D">
        <w:t>日益嚴峻，政府機關遭受網路攻擊事件頻傳，立法院作為國家最高立法機關，其資訊系統涉及議事運作、法案審查、委員問政及重要資料管理等核心業務，資訊安全至關重要，對於關鍵系統風險分級管理、</w:t>
      </w:r>
      <w:proofErr w:type="gramStart"/>
      <w:r w:rsidRPr="001B6E4D">
        <w:t>資安事件</w:t>
      </w:r>
      <w:proofErr w:type="gramEnd"/>
      <w:r w:rsidRPr="001B6E4D">
        <w:t>應變機制、異地備援能力驗證、系統韌性測試</w:t>
      </w:r>
      <w:proofErr w:type="gramStart"/>
      <w:r w:rsidRPr="001B6E4D">
        <w:t>及資安成熟</w:t>
      </w:r>
      <w:proofErr w:type="gramEnd"/>
      <w:r w:rsidRPr="001B6E4D">
        <w:t>度評估等執行成果，尚缺乏完整說明，應建立更具系統性之績效追蹤及檢核機制，以確保資訊投資效益及數位治理品質。</w:t>
      </w:r>
    </w:p>
    <w:p w14:paraId="79A1FD2C" w14:textId="77777777" w:rsidR="00705B3D" w:rsidRPr="001B6E4D" w:rsidRDefault="00705B3D" w:rsidP="003D1018">
      <w:pPr>
        <w:pStyle w:val="1f7"/>
        <w:overflowPunct w:val="0"/>
      </w:pPr>
      <w:proofErr w:type="gramStart"/>
      <w:r w:rsidRPr="001B6E4D">
        <w:t>爰</w:t>
      </w:r>
      <w:proofErr w:type="gramEnd"/>
      <w:r w:rsidRPr="001B6E4D">
        <w:t>凍結該項預算30%，</w:t>
      </w:r>
      <w:proofErr w:type="gramStart"/>
      <w:r w:rsidRPr="001B6E4D">
        <w:t>俟</w:t>
      </w:r>
      <w:proofErr w:type="gramEnd"/>
      <w:r w:rsidRPr="001B6E4D">
        <w:t>立法院於3個月內向立法院司法及法制委員會提出專案報告並經同意後，始得動支。【1</w:t>
      </w:r>
      <w:r w:rsidRPr="001B6E4D">
        <w:rPr>
          <w:rFonts w:hint="eastAsia"/>
        </w:rPr>
        <w:t>2</w:t>
      </w:r>
      <w:r w:rsidRPr="001B6E4D">
        <w:t>】</w:t>
      </w:r>
    </w:p>
    <w:p w14:paraId="567A72F3" w14:textId="77777777" w:rsidR="00705B3D" w:rsidRPr="001B6E4D" w:rsidRDefault="00705B3D" w:rsidP="003D1018">
      <w:pPr>
        <w:pStyle w:val="2fb"/>
        <w:overflowPunct w:val="0"/>
      </w:pPr>
      <w:r w:rsidRPr="001B6E4D">
        <w:t>提案人：沈發惠</w:t>
      </w:r>
    </w:p>
    <w:p w14:paraId="3298B8C2" w14:textId="77777777" w:rsidR="00705B3D" w:rsidRPr="001B6E4D" w:rsidRDefault="00705B3D" w:rsidP="003D1018">
      <w:pPr>
        <w:pStyle w:val="2fb"/>
        <w:overflowPunct w:val="0"/>
      </w:pPr>
      <w:r w:rsidRPr="001B6E4D">
        <w:t xml:space="preserve">連署人：莊瑞雄　</w:t>
      </w:r>
      <w:proofErr w:type="gramStart"/>
      <w:r w:rsidRPr="001B6E4D">
        <w:t>范</w:t>
      </w:r>
      <w:proofErr w:type="gramEnd"/>
      <w:r w:rsidRPr="001B6E4D">
        <w:t xml:space="preserve">　雲</w:t>
      </w:r>
    </w:p>
    <w:p w14:paraId="27F4B435" w14:textId="77777777" w:rsidR="00705B3D" w:rsidRPr="001B6E4D" w:rsidRDefault="00705B3D" w:rsidP="003D1018">
      <w:pPr>
        <w:pStyle w:val="1f6"/>
        <w:overflowPunct w:val="0"/>
      </w:pPr>
      <w:proofErr w:type="gramStart"/>
      <w:r w:rsidRPr="001B6E4D">
        <w:t>115</w:t>
      </w:r>
      <w:proofErr w:type="gramEnd"/>
      <w:r w:rsidRPr="001B6E4D">
        <w:t>年度立法院預算案於第1目「一般行政」項下「資訊管理業務」編列預算2億1,360萬5千元。</w:t>
      </w:r>
    </w:p>
    <w:p w14:paraId="71B224E6" w14:textId="77777777" w:rsidR="00705B3D" w:rsidRPr="001B6E4D" w:rsidRDefault="00705B3D" w:rsidP="003D1018">
      <w:pPr>
        <w:pStyle w:val="1f7"/>
        <w:overflowPunct w:val="0"/>
      </w:pPr>
      <w:r w:rsidRPr="001B6E4D">
        <w:t>立法院為國家最高立法機關，其資訊系統涉及議事暨公報資訊網、預算提案管理系統、公文暨檔案數位化及檔案管理系統、國會議事轉播、議事直播專線、立法委員服務處數據線路，以及異地備援中心與院區連線等事項。上開系統及</w:t>
      </w:r>
      <w:proofErr w:type="gramStart"/>
      <w:r w:rsidRPr="001B6E4D">
        <w:t>服務均</w:t>
      </w:r>
      <w:r w:rsidRPr="001B6E4D">
        <w:lastRenderedPageBreak/>
        <w:t>與國會</w:t>
      </w:r>
      <w:proofErr w:type="gramEnd"/>
      <w:r w:rsidRPr="001B6E4D">
        <w:t>議事運作、委員問政支援及機關行政作業密切相關，一旦遭受入侵、阻斷服務攻擊、資料竄改或</w:t>
      </w:r>
      <w:proofErr w:type="gramStart"/>
      <w:r w:rsidRPr="001B6E4D">
        <w:t>個</w:t>
      </w:r>
      <w:proofErr w:type="gramEnd"/>
      <w:r w:rsidRPr="001B6E4D">
        <w:t>資外</w:t>
      </w:r>
      <w:proofErr w:type="gramStart"/>
      <w:r w:rsidRPr="001B6E4D">
        <w:t>洩</w:t>
      </w:r>
      <w:proofErr w:type="gramEnd"/>
      <w:r w:rsidRPr="001B6E4D">
        <w:t>，不僅可能影響委員問政與國會正常運作，</w:t>
      </w:r>
      <w:proofErr w:type="gramStart"/>
      <w:r w:rsidRPr="001B6E4D">
        <w:t>亦可能損及</w:t>
      </w:r>
      <w:proofErr w:type="gramEnd"/>
      <w:r w:rsidRPr="001B6E4D">
        <w:t>國家機關資訊安全與民眾信賴。</w:t>
      </w:r>
    </w:p>
    <w:p w14:paraId="5A3E8EFA" w14:textId="77777777" w:rsidR="00705B3D" w:rsidRPr="001B6E4D" w:rsidRDefault="00705B3D" w:rsidP="003D1018">
      <w:pPr>
        <w:pStyle w:val="1f7"/>
        <w:overflowPunct w:val="0"/>
      </w:pPr>
      <w:r w:rsidRPr="001B6E4D">
        <w:t>另國安局《2024年中共網駭手法分析》報告指出，2024年我國政府部門每日平均遭受約240萬次網路攻擊，較前一年增加一倍，攻擊型態包括DDoS、社交工程及試圖竊取公務人員機敏資訊等，顯示政府</w:t>
      </w:r>
      <w:proofErr w:type="gramStart"/>
      <w:r w:rsidRPr="001B6E4D">
        <w:t>機關資安威脅</w:t>
      </w:r>
      <w:proofErr w:type="gramEnd"/>
      <w:r w:rsidRPr="001B6E4D">
        <w:t>日益嚴峻。立法院預算中心於</w:t>
      </w:r>
      <w:proofErr w:type="gramStart"/>
      <w:r w:rsidRPr="001B6E4D">
        <w:t>110</w:t>
      </w:r>
      <w:proofErr w:type="gramEnd"/>
      <w:r w:rsidRPr="001B6E4D">
        <w:t>年度預算評估報告亦曾指出，近年政府機關</w:t>
      </w:r>
      <w:proofErr w:type="gramStart"/>
      <w:r w:rsidRPr="001B6E4D">
        <w:t>遭受資安威脅</w:t>
      </w:r>
      <w:proofErr w:type="gramEnd"/>
      <w:r w:rsidRPr="001B6E4D">
        <w:t>情節日益重大，攻擊手段層出不窮，應</w:t>
      </w:r>
      <w:proofErr w:type="gramStart"/>
      <w:r w:rsidRPr="001B6E4D">
        <w:t>落實資安防護</w:t>
      </w:r>
      <w:proofErr w:type="gramEnd"/>
    </w:p>
    <w:p w14:paraId="2CFFFDBD" w14:textId="77777777" w:rsidR="00705B3D" w:rsidRPr="001B6E4D" w:rsidRDefault="00705B3D" w:rsidP="003D1018">
      <w:pPr>
        <w:pStyle w:val="1f7"/>
        <w:overflowPunct w:val="0"/>
      </w:pPr>
      <w:r w:rsidRPr="001B6E4D">
        <w:t>為確保資訊管理經費確實用於</w:t>
      </w:r>
      <w:proofErr w:type="gramStart"/>
      <w:r w:rsidRPr="001B6E4D">
        <w:t>提升資安韌性</w:t>
      </w:r>
      <w:proofErr w:type="gramEnd"/>
      <w:r w:rsidRPr="001B6E4D">
        <w:t>，並兼顧例行維運</w:t>
      </w:r>
      <w:proofErr w:type="gramStart"/>
      <w:r w:rsidRPr="001B6E4D">
        <w:t>與資安強化</w:t>
      </w:r>
      <w:proofErr w:type="gramEnd"/>
      <w:r w:rsidRPr="001B6E4D">
        <w:t>，建請立法院於3個月內，針對弱點掃描與修補情形、老舊系統</w:t>
      </w:r>
      <w:proofErr w:type="gramStart"/>
      <w:r w:rsidRPr="001B6E4D">
        <w:t>汰換期</w:t>
      </w:r>
      <w:proofErr w:type="gramEnd"/>
      <w:r w:rsidRPr="001B6E4D">
        <w:t>程、委外</w:t>
      </w:r>
      <w:proofErr w:type="gramStart"/>
      <w:r w:rsidRPr="001B6E4D">
        <w:t>廠商資安責任</w:t>
      </w:r>
      <w:proofErr w:type="gramEnd"/>
      <w:r w:rsidRPr="001B6E4D">
        <w:t>與稽核機制、資料備份與異地備援演練、</w:t>
      </w:r>
      <w:proofErr w:type="gramStart"/>
      <w:r w:rsidRPr="001B6E4D">
        <w:t>資安通報</w:t>
      </w:r>
      <w:proofErr w:type="gramEnd"/>
      <w:r w:rsidRPr="001B6E4D">
        <w:t>及緊急應變流程等提出書面報告。</w:t>
      </w:r>
    </w:p>
    <w:p w14:paraId="73B60B3B" w14:textId="77777777" w:rsidR="00705B3D" w:rsidRPr="001B6E4D" w:rsidRDefault="00705B3D" w:rsidP="003D1018">
      <w:pPr>
        <w:pStyle w:val="1f7"/>
        <w:overflowPunct w:val="0"/>
      </w:pPr>
      <w:proofErr w:type="gramStart"/>
      <w:r w:rsidRPr="001B6E4D">
        <w:t>爰</w:t>
      </w:r>
      <w:proofErr w:type="gramEnd"/>
      <w:r w:rsidRPr="001B6E4D">
        <w:t>凍結該項預算1,000萬元，</w:t>
      </w:r>
      <w:proofErr w:type="gramStart"/>
      <w:r w:rsidRPr="001B6E4D">
        <w:t>俟</w:t>
      </w:r>
      <w:proofErr w:type="gramEnd"/>
      <w:r w:rsidRPr="001B6E4D">
        <w:t>立法院於3個月內向立法院司法及法制委員會提出書面報告並經同意後，始得動支。【1</w:t>
      </w:r>
      <w:r w:rsidRPr="001B6E4D">
        <w:rPr>
          <w:rFonts w:hint="eastAsia"/>
        </w:rPr>
        <w:t>3</w:t>
      </w:r>
      <w:r w:rsidRPr="001B6E4D">
        <w:t>】</w:t>
      </w:r>
    </w:p>
    <w:p w14:paraId="29D9D2E4" w14:textId="77777777" w:rsidR="00705B3D" w:rsidRPr="001B6E4D" w:rsidRDefault="00705B3D" w:rsidP="003D1018">
      <w:pPr>
        <w:pStyle w:val="2fb"/>
        <w:overflowPunct w:val="0"/>
      </w:pPr>
      <w:r w:rsidRPr="001B6E4D">
        <w:t>提案人：張雅琳</w:t>
      </w:r>
    </w:p>
    <w:p w14:paraId="247C436E" w14:textId="77777777" w:rsidR="00705B3D" w:rsidRPr="001B6E4D" w:rsidRDefault="00705B3D" w:rsidP="003D1018">
      <w:pPr>
        <w:pStyle w:val="2fb"/>
        <w:overflowPunct w:val="0"/>
      </w:pPr>
      <w:r w:rsidRPr="001B6E4D">
        <w:t>連署人：莊瑞雄　沈發惠</w:t>
      </w:r>
    </w:p>
    <w:p w14:paraId="4E339B31"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年度立法院預算案於第1目「一般行政」(5)資訊管理業務經費213,605千元，較上年度增列電腦軟體授權等經費1,183千元。編列預算2億1,360萬5千元。</w:t>
      </w:r>
    </w:p>
    <w:p w14:paraId="2CD5848A" w14:textId="77777777" w:rsidR="00705B3D" w:rsidRPr="001B6E4D" w:rsidRDefault="00705B3D" w:rsidP="003D1018">
      <w:pPr>
        <w:pStyle w:val="1f7"/>
        <w:overflowPunct w:val="0"/>
      </w:pPr>
      <w:r w:rsidRPr="001B6E4D">
        <w:t>立法院</w:t>
      </w:r>
      <w:proofErr w:type="gramStart"/>
      <w:r w:rsidRPr="001B6E4D">
        <w:t>115</w:t>
      </w:r>
      <w:proofErr w:type="gramEnd"/>
      <w:r w:rsidRPr="001B6E4D">
        <w:t>年度預算案於「資訊管理業務」編列2億1,360萬5千元，較上年度增列電腦軟體授權等經費118萬3千元。</w:t>
      </w:r>
      <w:proofErr w:type="gramStart"/>
      <w:r w:rsidRPr="001B6E4D">
        <w:t>鑑</w:t>
      </w:r>
      <w:proofErr w:type="gramEnd"/>
      <w:r w:rsidRPr="001B6E4D">
        <w:t>於生成式AI、影像繪圖、資料分析及辦公自動化工具已逐漸成為公務機關提升行政效率、政策研究、法案分析、民意整理及視覺溝通之重要工具，立法院作為國家最高民意機關，亦應積極評估導入AI系統及相關軟體授權，並辦理人員教育訓練，使委員問政支援、議事資料整理、預算分析、法案比較、圖像設計及行政作業得以更加有效率。</w:t>
      </w:r>
      <w:proofErr w:type="gramStart"/>
      <w:r w:rsidRPr="001B6E4D">
        <w:t>惟</w:t>
      </w:r>
      <w:proofErr w:type="gramEnd"/>
      <w:r w:rsidRPr="001B6E4D">
        <w:t>相關軟體授權如僅概括編列，難以辨識是否已納入AI軟體、繪圖軟體、資料分析工具及人員訓練規劃。</w:t>
      </w:r>
    </w:p>
    <w:p w14:paraId="164A5E87" w14:textId="77777777" w:rsidR="00705B3D" w:rsidRPr="001B6E4D" w:rsidRDefault="00705B3D" w:rsidP="003D1018">
      <w:pPr>
        <w:pStyle w:val="1f7"/>
        <w:overflowPunct w:val="0"/>
      </w:pPr>
      <w:proofErr w:type="gramStart"/>
      <w:r w:rsidRPr="001B6E4D">
        <w:t>爰</w:t>
      </w:r>
      <w:proofErr w:type="gramEnd"/>
      <w:r w:rsidRPr="001B6E4D">
        <w:t>要求立法院於3個月內，就AI系統導入、AI與繪圖等相關軟體授權需求、使用對象、訓練課程(包含國會助理訓練課程)、資料安全規範、預期效益及後續分年推動期程，向立法院司法及法制委員會提出書面報告。</w:t>
      </w:r>
    </w:p>
    <w:p w14:paraId="3E1923F4" w14:textId="77777777" w:rsidR="00705B3D" w:rsidRPr="001B6E4D" w:rsidRDefault="00705B3D" w:rsidP="003D1018">
      <w:pPr>
        <w:pStyle w:val="1f7"/>
        <w:overflowPunct w:val="0"/>
      </w:pPr>
      <w:proofErr w:type="gramStart"/>
      <w:r w:rsidRPr="001B6E4D">
        <w:t>爰</w:t>
      </w:r>
      <w:proofErr w:type="gramEnd"/>
      <w:r w:rsidRPr="001B6E4D">
        <w:t>凍結該項預算1,000萬元，</w:t>
      </w:r>
      <w:proofErr w:type="gramStart"/>
      <w:r w:rsidRPr="001B6E4D">
        <w:t>俟</w:t>
      </w:r>
      <w:proofErr w:type="gramEnd"/>
      <w:r w:rsidRPr="001B6E4D">
        <w:t>立法院於3個月內向立法</w:t>
      </w:r>
      <w:r w:rsidRPr="001B6E4D">
        <w:lastRenderedPageBreak/>
        <w:t>院司法及法制委員會提出書面報告後，始得動支。【</w:t>
      </w:r>
      <w:r w:rsidRPr="001B6E4D">
        <w:rPr>
          <w:rFonts w:hint="eastAsia"/>
        </w:rPr>
        <w:t>14</w:t>
      </w:r>
      <w:r w:rsidRPr="001B6E4D">
        <w:t>】</w:t>
      </w:r>
    </w:p>
    <w:p w14:paraId="65852958" w14:textId="77777777" w:rsidR="00705B3D" w:rsidRPr="001B6E4D" w:rsidRDefault="00705B3D" w:rsidP="003D1018">
      <w:pPr>
        <w:pStyle w:val="2fb"/>
        <w:overflowPunct w:val="0"/>
      </w:pPr>
      <w:r w:rsidRPr="001B6E4D">
        <w:t>提案人：張雅琳</w:t>
      </w:r>
    </w:p>
    <w:p w14:paraId="40900FC7" w14:textId="77777777" w:rsidR="00705B3D" w:rsidRPr="001B6E4D" w:rsidRDefault="00705B3D" w:rsidP="003D1018">
      <w:pPr>
        <w:pStyle w:val="2fb"/>
        <w:overflowPunct w:val="0"/>
      </w:pPr>
      <w:r w:rsidRPr="001B6E4D">
        <w:t>連署人：</w:t>
      </w:r>
      <w:proofErr w:type="gramStart"/>
      <w:r w:rsidRPr="001B6E4D">
        <w:t>范</w:t>
      </w:r>
      <w:proofErr w:type="gramEnd"/>
      <w:r w:rsidRPr="001B6E4D">
        <w:t xml:space="preserve">　雲　沈發惠</w:t>
      </w:r>
    </w:p>
    <w:p w14:paraId="71BA13F7"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年度立法院預算案於第6目「公報業務」項下「公報行政」編列預算1億1,550萬7千元。</w:t>
      </w:r>
    </w:p>
    <w:p w14:paraId="0A9CE04C" w14:textId="77777777" w:rsidR="00705B3D" w:rsidRPr="001B6E4D" w:rsidRDefault="00705B3D" w:rsidP="003D1018">
      <w:pPr>
        <w:pStyle w:val="1f7"/>
        <w:overflowPunct w:val="0"/>
      </w:pPr>
      <w:r w:rsidRPr="001B6E4D">
        <w:t>《立法院組織法》第5條明定，議事轉播應逐步提供</w:t>
      </w:r>
      <w:proofErr w:type="gramStart"/>
      <w:r w:rsidRPr="001B6E4D">
        <w:t>同步聽打或</w:t>
      </w:r>
      <w:proofErr w:type="gramEnd"/>
      <w:r w:rsidRPr="001B6E4D">
        <w:t>手語翻譯等無障礙資訊服務，以保障身心障礙者平等參與政治與公共生活之權利。然該法條施行數年，目前常態安排手語翻譯及即時字幕之轉播，仍僅限於全院院會之施政報告與總質詢等會議，並未涵</w:t>
      </w:r>
      <w:proofErr w:type="gramStart"/>
      <w:r w:rsidRPr="001B6E4D">
        <w:t>括</w:t>
      </w:r>
      <w:proofErr w:type="gramEnd"/>
      <w:r w:rsidRPr="001B6E4D">
        <w:t>各委員會之質詢及法案與預算審查會議。</w:t>
      </w:r>
    </w:p>
    <w:p w14:paraId="3F5576F0" w14:textId="77777777" w:rsidR="00705B3D" w:rsidRPr="001B6E4D" w:rsidRDefault="00705B3D" w:rsidP="003D1018">
      <w:pPr>
        <w:pStyle w:val="1f7"/>
        <w:overflowPunct w:val="0"/>
      </w:pPr>
      <w:r w:rsidRPr="001B6E4D">
        <w:t>經查，現行各委員會議事進行時，雖可在召集委員同意下，由公報處協助安排手語翻譯與即時</w:t>
      </w:r>
      <w:proofErr w:type="gramStart"/>
      <w:r w:rsidRPr="001B6E4D">
        <w:t>字幕聽打</w:t>
      </w:r>
      <w:proofErr w:type="gramEnd"/>
      <w:r w:rsidRPr="001B6E4D">
        <w:t>；然而，將身心障礙者之平等參與權利，寄託於召委個人之意志，恐使障礙者權益缺乏制度性保障。</w:t>
      </w:r>
    </w:p>
    <w:p w14:paraId="4CC098EC" w14:textId="77777777" w:rsidR="00705B3D" w:rsidRPr="001B6E4D" w:rsidRDefault="00705B3D" w:rsidP="003D1018">
      <w:pPr>
        <w:pStyle w:val="1f7"/>
        <w:overflowPunct w:val="0"/>
      </w:pPr>
      <w:r w:rsidRPr="001B6E4D">
        <w:t>考量立法院會議繁多，現階段欲全面推行各委員會之無障礙轉播確有實務困難。有鑑於此，立法院至少應針對涉及身心障礙者權益之重大法案，</w:t>
      </w:r>
      <w:proofErr w:type="gramStart"/>
      <w:r w:rsidRPr="001B6E4D">
        <w:t>研</w:t>
      </w:r>
      <w:proofErr w:type="gramEnd"/>
      <w:r w:rsidRPr="001B6E4D">
        <w:t>議於委員會審查、質詢、公聽會及議事轉播中，常態性規劃手語翻譯與即時字幕等無障礙資訊服務，以確實保障身心障礙者平等參與公共事務之權利。</w:t>
      </w:r>
    </w:p>
    <w:p w14:paraId="13B7775E" w14:textId="77777777" w:rsidR="00705B3D" w:rsidRPr="001B6E4D" w:rsidRDefault="00705B3D" w:rsidP="003D1018">
      <w:pPr>
        <w:pStyle w:val="1f7"/>
        <w:overflowPunct w:val="0"/>
      </w:pPr>
      <w:proofErr w:type="gramStart"/>
      <w:r w:rsidRPr="001B6E4D">
        <w:t>爰</w:t>
      </w:r>
      <w:proofErr w:type="gramEnd"/>
      <w:r w:rsidRPr="001B6E4D">
        <w:t>凍結該項預算50萬元，</w:t>
      </w:r>
      <w:proofErr w:type="gramStart"/>
      <w:r w:rsidRPr="001B6E4D">
        <w:t>俟</w:t>
      </w:r>
      <w:proofErr w:type="gramEnd"/>
      <w:r w:rsidRPr="001B6E4D">
        <w:t>立法院於3個月內向立法院司法及法制委員會提出書面報告經同意後，始得動支。【18】</w:t>
      </w:r>
    </w:p>
    <w:p w14:paraId="006B1EA1" w14:textId="77777777" w:rsidR="00705B3D" w:rsidRPr="001B6E4D" w:rsidRDefault="00705B3D" w:rsidP="003D1018">
      <w:pPr>
        <w:pStyle w:val="2fb"/>
        <w:overflowPunct w:val="0"/>
      </w:pPr>
      <w:r w:rsidRPr="001B6E4D">
        <w:t>提案人：</w:t>
      </w:r>
      <w:proofErr w:type="gramStart"/>
      <w:r w:rsidRPr="001B6E4D">
        <w:t>范</w:t>
      </w:r>
      <w:proofErr w:type="gramEnd"/>
      <w:r w:rsidRPr="001B6E4D">
        <w:t xml:space="preserve">　雲</w:t>
      </w:r>
    </w:p>
    <w:p w14:paraId="2882B2EC" w14:textId="77777777" w:rsidR="00705B3D" w:rsidRPr="001B6E4D" w:rsidRDefault="00705B3D" w:rsidP="003D1018">
      <w:pPr>
        <w:pStyle w:val="2fb"/>
        <w:overflowPunct w:val="0"/>
      </w:pPr>
      <w:r w:rsidRPr="001B6E4D">
        <w:t>連署人：莊瑞雄　張雅琳</w:t>
      </w:r>
    </w:p>
    <w:p w14:paraId="3916D690" w14:textId="77777777" w:rsidR="00705B3D" w:rsidRPr="001B6E4D" w:rsidRDefault="00705B3D" w:rsidP="003D1018">
      <w:pPr>
        <w:pStyle w:val="1f6"/>
        <w:overflowPunct w:val="0"/>
      </w:pPr>
      <w:proofErr w:type="gramStart"/>
      <w:r w:rsidRPr="001B6E4D">
        <w:t>115</w:t>
      </w:r>
      <w:proofErr w:type="gramEnd"/>
      <w:r w:rsidRPr="001B6E4D">
        <w:t>年度立法院預算案於第8目「一般建築及設備」第1節「營建工程」項下「營建工程」編列預算1億3,306萬6千元。</w:t>
      </w:r>
    </w:p>
    <w:p w14:paraId="3C321496" w14:textId="77777777" w:rsidR="00705B3D" w:rsidRPr="001B6E4D" w:rsidRDefault="00705B3D" w:rsidP="003D1018">
      <w:pPr>
        <w:pStyle w:val="1f7"/>
        <w:overflowPunct w:val="0"/>
      </w:pPr>
      <w:r w:rsidRPr="001B6E4D">
        <w:t>根據立法院預算中心</w:t>
      </w:r>
      <w:proofErr w:type="gramStart"/>
      <w:r w:rsidRPr="001B6E4D">
        <w:t>115</w:t>
      </w:r>
      <w:proofErr w:type="gramEnd"/>
      <w:r w:rsidRPr="001B6E4D">
        <w:t>年度預算評估報告指出，立法院近年「營建工程」計畫可用預算數呈增加趨勢，</w:t>
      </w:r>
      <w:proofErr w:type="gramStart"/>
      <w:r w:rsidRPr="001B6E4D">
        <w:t>108</w:t>
      </w:r>
      <w:proofErr w:type="gramEnd"/>
      <w:r w:rsidRPr="001B6E4D">
        <w:t>年度至</w:t>
      </w:r>
      <w:proofErr w:type="gramStart"/>
      <w:r w:rsidRPr="001B6E4D">
        <w:t>113</w:t>
      </w:r>
      <w:proofErr w:type="gramEnd"/>
      <w:r w:rsidRPr="001B6E4D">
        <w:t>年度由4,433萬4千元增加至2億4,715萬9千元，增加4.57倍；</w:t>
      </w:r>
      <w:proofErr w:type="gramStart"/>
      <w:r w:rsidRPr="001B6E4D">
        <w:t>惟</w:t>
      </w:r>
      <w:proofErr w:type="gramEnd"/>
      <w:r w:rsidRPr="001B6E4D">
        <w:t>各年度執行率僅介於1.80%至51.45%間，均低於六成，執行情況欠佳。另近年「營建工程」計畫決算保留金額及比率亦偏高，除</w:t>
      </w:r>
      <w:proofErr w:type="gramStart"/>
      <w:r w:rsidRPr="001B6E4D">
        <w:t>108</w:t>
      </w:r>
      <w:proofErr w:type="gramEnd"/>
      <w:r w:rsidRPr="001B6E4D">
        <w:t>年度及110年度外，各年度保留</w:t>
      </w:r>
      <w:proofErr w:type="gramStart"/>
      <w:r w:rsidRPr="001B6E4D">
        <w:t>比率均逾六成</w:t>
      </w:r>
      <w:proofErr w:type="gramEnd"/>
      <w:r w:rsidRPr="001B6E4D">
        <w:t>，顯示相關工程計畫執行進度未</w:t>
      </w:r>
      <w:proofErr w:type="gramStart"/>
      <w:r w:rsidRPr="001B6E4D">
        <w:t>臻</w:t>
      </w:r>
      <w:proofErr w:type="gramEnd"/>
      <w:r w:rsidRPr="001B6E4D">
        <w:t>理想，恐影響整體計畫推展及預算執行效能。</w:t>
      </w:r>
    </w:p>
    <w:p w14:paraId="684C9E8C" w14:textId="77777777" w:rsidR="00705B3D" w:rsidRPr="001B6E4D" w:rsidRDefault="00705B3D" w:rsidP="003D1018">
      <w:pPr>
        <w:pStyle w:val="1f7"/>
        <w:overflowPunct w:val="0"/>
      </w:pPr>
      <w:r w:rsidRPr="001B6E4D">
        <w:t>營建工程涉及院區使用安全、住宿品質、古蹟修復再利用、無障礙環境及電梯安全等事項，</w:t>
      </w:r>
      <w:proofErr w:type="gramStart"/>
      <w:r w:rsidRPr="001B6E4D">
        <w:t>均與立法院</w:t>
      </w:r>
      <w:proofErr w:type="gramEnd"/>
      <w:r w:rsidRPr="001B6E4D">
        <w:t>日常運作及民眾參訪服務密切相關。若事前規劃不足、期程控管不佳，或執行過程中反覆發生計畫變更、保留經費偏高及執行率偏低等情</w:t>
      </w:r>
      <w:r w:rsidRPr="001B6E4D">
        <w:lastRenderedPageBreak/>
        <w:t>事，不僅影響工程如期完成，亦不利預算資源妥善運用。</w:t>
      </w:r>
    </w:p>
    <w:p w14:paraId="5E6B5BD1" w14:textId="77777777" w:rsidR="00705B3D" w:rsidRPr="001B6E4D" w:rsidRDefault="00705B3D" w:rsidP="003D1018">
      <w:pPr>
        <w:pStyle w:val="1f7"/>
        <w:overflowPunct w:val="0"/>
      </w:pPr>
      <w:r w:rsidRPr="001B6E4D">
        <w:t>為督促立法院強化營建工程之事前規劃、期程控管及經費執行效能，立法院應就</w:t>
      </w:r>
      <w:proofErr w:type="gramStart"/>
      <w:r w:rsidRPr="001B6E4D">
        <w:t>115</w:t>
      </w:r>
      <w:proofErr w:type="gramEnd"/>
      <w:r w:rsidRPr="001B6E4D">
        <w:t>年度各項營建工程提出改善報告，內容應包括各工程原訂期程、實際進度、預算執行情形、歷年保留原因、工程落後或變更原因、後續改善措施、風險控管機制及預定完成期程等。</w:t>
      </w:r>
    </w:p>
    <w:p w14:paraId="57AE3D89" w14:textId="77777777" w:rsidR="00705B3D" w:rsidRPr="001B6E4D" w:rsidRDefault="00705B3D" w:rsidP="003D1018">
      <w:pPr>
        <w:pStyle w:val="1f7"/>
        <w:overflowPunct w:val="0"/>
      </w:pPr>
      <w:proofErr w:type="gramStart"/>
      <w:r w:rsidRPr="001B6E4D">
        <w:t>爰</w:t>
      </w:r>
      <w:proofErr w:type="gramEnd"/>
      <w:r w:rsidRPr="001B6E4D">
        <w:t>凍結該項預算1,000萬元，</w:t>
      </w:r>
      <w:proofErr w:type="gramStart"/>
      <w:r w:rsidRPr="001B6E4D">
        <w:t>俟</w:t>
      </w:r>
      <w:proofErr w:type="gramEnd"/>
      <w:r w:rsidRPr="001B6E4D">
        <w:t>立法院於3個月內向立法院司法及法制委員會提出書面報告並經同意後，始得動支。【24】</w:t>
      </w:r>
    </w:p>
    <w:p w14:paraId="527B9E17" w14:textId="77777777" w:rsidR="00705B3D" w:rsidRPr="001B6E4D" w:rsidRDefault="00705B3D" w:rsidP="003D1018">
      <w:pPr>
        <w:pStyle w:val="2fb"/>
        <w:overflowPunct w:val="0"/>
      </w:pPr>
      <w:r w:rsidRPr="001B6E4D">
        <w:t>提案人：張雅琳</w:t>
      </w:r>
    </w:p>
    <w:p w14:paraId="6B6CB2B7" w14:textId="77777777" w:rsidR="00705B3D" w:rsidRPr="001B6E4D" w:rsidRDefault="00705B3D" w:rsidP="003D1018">
      <w:pPr>
        <w:pStyle w:val="2fb"/>
        <w:overflowPunct w:val="0"/>
      </w:pPr>
      <w:r w:rsidRPr="001B6E4D">
        <w:t>連署人：莊瑞雄　沈發惠</w:t>
      </w:r>
    </w:p>
    <w:p w14:paraId="441118EE"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立法院預算案於第8目「一般建築及設備」第1節「營建工程」項下「營建工程」(1)立法院委員住宿會館整修工程，所需總經費313,333千元，分6年辦理，110至114年度已編列186,580千元，本年度編列最後1年經費126,753千元。編列預算1億2,675萬3千元。</w:t>
      </w:r>
    </w:p>
    <w:p w14:paraId="5EF64571" w14:textId="77777777" w:rsidR="00705B3D" w:rsidRPr="001B6E4D" w:rsidRDefault="00705B3D" w:rsidP="003D1018">
      <w:pPr>
        <w:pStyle w:val="1f7"/>
        <w:overflowPunct w:val="0"/>
      </w:pPr>
      <w:r w:rsidRPr="001B6E4D">
        <w:t>立法院</w:t>
      </w:r>
      <w:proofErr w:type="gramStart"/>
      <w:r w:rsidRPr="001B6E4D">
        <w:t>115</w:t>
      </w:r>
      <w:proofErr w:type="gramEnd"/>
      <w:r w:rsidRPr="001B6E4D">
        <w:t>年度預算案於「一般建築及設備－營建工程」項下編列「立法院委員住宿會館整修工程」1億2,675萬3千元，惟該工程原規劃總經費1億7,200萬元，後續歷經3次修正中程計畫，總經費調整為3億1,333萬3千元，增加1億4,133萬3千元，增幅達82.17%，且完工期程由原訂</w:t>
      </w:r>
      <w:proofErr w:type="gramStart"/>
      <w:r w:rsidRPr="001B6E4D">
        <w:t>114</w:t>
      </w:r>
      <w:proofErr w:type="gramEnd"/>
      <w:r w:rsidRPr="001B6E4D">
        <w:t>年度展延至</w:t>
      </w:r>
      <w:proofErr w:type="gramStart"/>
      <w:r w:rsidRPr="001B6E4D">
        <w:t>115</w:t>
      </w:r>
      <w:proofErr w:type="gramEnd"/>
      <w:r w:rsidRPr="001B6E4D">
        <w:t>年度；其中追加預算原因包括物價上漲、工程流標、設計圖與標單不符、應設計未設計、現場隱蔽</w:t>
      </w:r>
      <w:proofErr w:type="gramStart"/>
      <w:r w:rsidRPr="001B6E4D">
        <w:t>工程漏估</w:t>
      </w:r>
      <w:proofErr w:type="gramEnd"/>
      <w:r w:rsidRPr="001B6E4D">
        <w:t>、管理單位需求及住宿委員參觀後所提意見等因素，顯示本案事前規劃、設計審查、需求確認及經費控管仍有不足。為避免工程經費持續增加、預算執行與實際進度脫節，</w:t>
      </w:r>
    </w:p>
    <w:p w14:paraId="28D2D7DE" w14:textId="77777777" w:rsidR="00705B3D" w:rsidRPr="001B6E4D" w:rsidRDefault="00705B3D" w:rsidP="003D1018">
      <w:pPr>
        <w:pStyle w:val="1f7"/>
        <w:overflowPunct w:val="0"/>
      </w:pPr>
      <w:r w:rsidRPr="001B6E4D">
        <w:t>針對追加預算原因、設計監造缺失檢討、契約變更內容、各年度執行進度、台北會館後續工程期程及經費控管機制，應提出書面報告。</w:t>
      </w:r>
      <w:proofErr w:type="gramStart"/>
      <w:r w:rsidRPr="001B6E4D">
        <w:t>爰</w:t>
      </w:r>
      <w:proofErr w:type="gramEnd"/>
      <w:r w:rsidRPr="001B6E4D">
        <w:t>凍結該項預算1,000萬元，</w:t>
      </w:r>
      <w:proofErr w:type="gramStart"/>
      <w:r w:rsidRPr="001B6E4D">
        <w:t>俟</w:t>
      </w:r>
      <w:proofErr w:type="gramEnd"/>
      <w:r w:rsidRPr="001B6E4D">
        <w:t>立法院於3個月內向立法院司法及法制委員會提出書面報告後，始得動支。【2</w:t>
      </w:r>
      <w:r w:rsidRPr="001B6E4D">
        <w:rPr>
          <w:rFonts w:hint="eastAsia"/>
        </w:rPr>
        <w:t>5</w:t>
      </w:r>
      <w:r w:rsidRPr="001B6E4D">
        <w:t>】</w:t>
      </w:r>
    </w:p>
    <w:p w14:paraId="3BB034FE" w14:textId="77777777" w:rsidR="00705B3D" w:rsidRPr="001B6E4D" w:rsidRDefault="00705B3D" w:rsidP="003D1018">
      <w:pPr>
        <w:pStyle w:val="2fb"/>
        <w:overflowPunct w:val="0"/>
      </w:pPr>
      <w:r w:rsidRPr="001B6E4D">
        <w:t>提案人：張雅琳</w:t>
      </w:r>
    </w:p>
    <w:p w14:paraId="71EDC9D7" w14:textId="77777777" w:rsidR="00705B3D" w:rsidRPr="001B6E4D" w:rsidRDefault="00705B3D" w:rsidP="003D1018">
      <w:pPr>
        <w:pStyle w:val="2fb"/>
        <w:overflowPunct w:val="0"/>
      </w:pPr>
      <w:r w:rsidRPr="001B6E4D">
        <w:t>連署人：</w:t>
      </w:r>
      <w:proofErr w:type="gramStart"/>
      <w:r w:rsidRPr="001B6E4D">
        <w:t>范</w:t>
      </w:r>
      <w:proofErr w:type="gramEnd"/>
      <w:r w:rsidRPr="001B6E4D">
        <w:t xml:space="preserve">　雲　沈發惠</w:t>
      </w:r>
    </w:p>
    <w:p w14:paraId="4A652794"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立法院預算案於第8目「一般建築及設備」第3節「其他設備」項下「其他設備」編列預算1億2,390萬元。用以辦理各項資訊基礎建設、議事暨公報資訊網功能擴充、預算提案管理系統功能擴充、公文暨檔案管理系統功能擴充、雲端主機設備</w:t>
      </w:r>
      <w:proofErr w:type="gramStart"/>
      <w:r w:rsidRPr="001B6E4D">
        <w:t>汰</w:t>
      </w:r>
      <w:proofErr w:type="gramEnd"/>
      <w:r w:rsidRPr="001B6E4D">
        <w:t>換及相關資訊安全建置等經費，以支援議事運作、立法</w:t>
      </w:r>
      <w:r w:rsidRPr="001B6E4D">
        <w:lastRenderedPageBreak/>
        <w:t>研究及國會行政業務之推動。</w:t>
      </w:r>
      <w:proofErr w:type="gramStart"/>
      <w:r w:rsidRPr="001B6E4D">
        <w:t>惟查</w:t>
      </w:r>
      <w:proofErr w:type="gramEnd"/>
      <w:r w:rsidRPr="001B6E4D">
        <w:t>，近年人工智慧技術快速發展，世界主要民主國家國會已逐步</w:t>
      </w:r>
      <w:proofErr w:type="gramStart"/>
      <w:r w:rsidRPr="001B6E4D">
        <w:t>研</w:t>
      </w:r>
      <w:proofErr w:type="gramEnd"/>
      <w:r w:rsidRPr="001B6E4D">
        <w:t>議或導入人工智慧技術於議事及立法支援工作。例如，英國國會（UK Parliament）已就生成式人工智慧於議事研究、資訊檢索及行政支援之應用建立相關指引；歐洲議會（European Parliament）亦積極</w:t>
      </w:r>
      <w:proofErr w:type="gramStart"/>
      <w:r w:rsidRPr="001B6E4D">
        <w:t>研</w:t>
      </w:r>
      <w:proofErr w:type="gramEnd"/>
      <w:r w:rsidRPr="001B6E4D">
        <w:t>議人工智慧於文件分析、知識管理及立法研究之運用；美國國會所屬機構，包括Congressional Research Service及Government Accountability Office，亦已針對生成式人工智慧應用、治理架構及風險管理提出專案研究與政策建議；南韓國會則持續推動數位國會（Digital Assembly）及智慧議政相關計畫，強化國會數位治理能力。</w:t>
      </w:r>
    </w:p>
    <w:p w14:paraId="25AC36F4" w14:textId="77777777" w:rsidR="00705B3D" w:rsidRPr="001B6E4D" w:rsidRDefault="00705B3D" w:rsidP="003D1018">
      <w:pPr>
        <w:pStyle w:val="1f7"/>
        <w:overflowPunct w:val="0"/>
      </w:pPr>
      <w:r w:rsidRPr="001B6E4D">
        <w:t>反觀我國立法院近年雖持續投入資訊系統建置、設備更新及資訊安全防護等工作，惟就人工智慧導入策略、跨系統資料整合架構、國會知識庫建置、生成式人工智慧應用範圍、資訊治理機制、演算法透明性</w:t>
      </w:r>
      <w:proofErr w:type="gramStart"/>
      <w:r w:rsidRPr="001B6E4D">
        <w:t>及資安風險</w:t>
      </w:r>
      <w:proofErr w:type="gramEnd"/>
      <w:r w:rsidRPr="001B6E4D">
        <w:t>管理等事項，尚未見完整中長程發展規劃。未來若持續投入相關資訊建設經費，而欠缺整體藍圖及階段性目標，恐有系統重複建置、資料孤島、資源配置分散及投資效益難以評估等疑慮。</w:t>
      </w:r>
    </w:p>
    <w:p w14:paraId="5AC4EE7A" w14:textId="77777777" w:rsidR="00705B3D" w:rsidRPr="001B6E4D" w:rsidRDefault="00705B3D" w:rsidP="003D1018">
      <w:pPr>
        <w:pStyle w:val="1f7"/>
        <w:overflowPunct w:val="0"/>
      </w:pPr>
      <w:proofErr w:type="gramStart"/>
      <w:r w:rsidRPr="001B6E4D">
        <w:t>爰</w:t>
      </w:r>
      <w:proofErr w:type="gramEnd"/>
      <w:r w:rsidRPr="001B6E4D">
        <w:t>凍結該項預算30%，</w:t>
      </w:r>
      <w:proofErr w:type="gramStart"/>
      <w:r w:rsidRPr="001B6E4D">
        <w:t>俟</w:t>
      </w:r>
      <w:proofErr w:type="gramEnd"/>
      <w:r w:rsidRPr="001B6E4D">
        <w:t>立法院於3個月內向立法院司法及法制委員會提出專案報告並經同意後，始得動支。【27】</w:t>
      </w:r>
    </w:p>
    <w:p w14:paraId="4FFDB53B" w14:textId="77777777" w:rsidR="00705B3D" w:rsidRPr="001B6E4D" w:rsidRDefault="00705B3D" w:rsidP="003D1018">
      <w:pPr>
        <w:pStyle w:val="2fb"/>
        <w:overflowPunct w:val="0"/>
      </w:pPr>
      <w:r w:rsidRPr="001B6E4D">
        <w:t>提案人：沈發惠</w:t>
      </w:r>
    </w:p>
    <w:p w14:paraId="531E7C63" w14:textId="77777777" w:rsidR="00705B3D" w:rsidRPr="001B6E4D" w:rsidRDefault="00705B3D" w:rsidP="003D1018">
      <w:pPr>
        <w:pStyle w:val="2fb"/>
        <w:overflowPunct w:val="0"/>
      </w:pPr>
      <w:r w:rsidRPr="001B6E4D">
        <w:t xml:space="preserve">連署人：莊瑞雄　</w:t>
      </w:r>
      <w:proofErr w:type="gramStart"/>
      <w:r w:rsidRPr="001B6E4D">
        <w:t>范</w:t>
      </w:r>
      <w:proofErr w:type="gramEnd"/>
      <w:r w:rsidRPr="001B6E4D">
        <w:t xml:space="preserve">　雲</w:t>
      </w:r>
    </w:p>
    <w:p w14:paraId="5396C7A4" w14:textId="77777777" w:rsidR="00705B3D" w:rsidRPr="001B6E4D" w:rsidRDefault="00705B3D" w:rsidP="003D1018">
      <w:pPr>
        <w:overflowPunct w:val="0"/>
        <w:snapToGrid w:val="0"/>
        <w:ind w:leftChars="150" w:left="1201" w:hangingChars="300" w:hanging="841"/>
        <w:jc w:val="both"/>
        <w:rPr>
          <w:rFonts w:ascii="標楷體" w:eastAsia="標楷體" w:hAnsi="標楷體"/>
          <w:b/>
          <w:color w:val="000000"/>
          <w:sz w:val="28"/>
          <w:szCs w:val="28"/>
        </w:rPr>
      </w:pPr>
      <w:r w:rsidRPr="001B6E4D">
        <w:rPr>
          <w:rFonts w:ascii="標楷體" w:eastAsia="標楷體" w:hAnsi="標楷體"/>
          <w:b/>
          <w:sz w:val="28"/>
          <w:szCs w:val="28"/>
        </w:rPr>
        <w:t>本項通過決議</w:t>
      </w:r>
      <w:r w:rsidRPr="001B6E4D">
        <w:rPr>
          <w:rFonts w:ascii="標楷體" w:eastAsia="標楷體" w:hAnsi="標楷體" w:hint="eastAsia"/>
          <w:b/>
          <w:sz w:val="28"/>
          <w:szCs w:val="28"/>
        </w:rPr>
        <w:t>27</w:t>
      </w:r>
      <w:r w:rsidRPr="001B6E4D">
        <w:rPr>
          <w:rFonts w:ascii="標楷體" w:eastAsia="標楷體" w:hAnsi="標楷體"/>
          <w:b/>
          <w:sz w:val="28"/>
          <w:szCs w:val="28"/>
        </w:rPr>
        <w:t>項：</w:t>
      </w:r>
    </w:p>
    <w:p w14:paraId="5A75CB13" w14:textId="77777777" w:rsidR="00705B3D" w:rsidRPr="001B6E4D" w:rsidRDefault="00705B3D" w:rsidP="003D1018">
      <w:pPr>
        <w:pStyle w:val="a"/>
        <w:numPr>
          <w:ilvl w:val="0"/>
          <w:numId w:val="76"/>
        </w:numPr>
        <w:overflowPunct w:val="0"/>
        <w:ind w:left="924" w:hanging="567"/>
      </w:pPr>
      <w:proofErr w:type="gramStart"/>
      <w:r w:rsidRPr="001B6E4D">
        <w:t>115</w:t>
      </w:r>
      <w:proofErr w:type="gramEnd"/>
      <w:r w:rsidRPr="001B6E4D">
        <w:t>年度立法院歲出預算第1目「一般行政」編列18億9,346萬6千</w:t>
      </w:r>
      <w:r w:rsidRPr="001B6E4D">
        <w:rPr>
          <w:rFonts w:hint="eastAsia"/>
        </w:rPr>
        <w:t>元</w:t>
      </w:r>
      <w:r w:rsidRPr="001B6E4D">
        <w:t>，凍結</w:t>
      </w:r>
      <w:r w:rsidRPr="001B6E4D">
        <w:rPr>
          <w:rFonts w:hint="eastAsia"/>
        </w:rPr>
        <w:t>400</w:t>
      </w:r>
      <w:r w:rsidRPr="001B6E4D">
        <w:t>萬元，</w:t>
      </w:r>
      <w:proofErr w:type="gramStart"/>
      <w:r w:rsidRPr="001B6E4D">
        <w:t>俟</w:t>
      </w:r>
      <w:proofErr w:type="gramEnd"/>
      <w:r w:rsidRPr="001B6E4D">
        <w:t>向立法院司法及法制委員會提出書面報告後，始得動支。【2-5</w:t>
      </w:r>
      <w:r w:rsidRPr="001B6E4D">
        <w:rPr>
          <w:rFonts w:hint="eastAsia"/>
        </w:rPr>
        <w:t>、</w:t>
      </w:r>
      <w:r w:rsidRPr="001B6E4D">
        <w:t>7-9</w:t>
      </w:r>
      <w:r w:rsidRPr="001B6E4D">
        <w:rPr>
          <w:rFonts w:hint="eastAsia"/>
        </w:rPr>
        <w:t>、</w:t>
      </w:r>
      <w:r w:rsidRPr="001B6E4D">
        <w:t>11</w:t>
      </w:r>
      <w:r w:rsidRPr="001B6E4D">
        <w:rPr>
          <w:rFonts w:hint="eastAsia"/>
        </w:rPr>
        <w:t>、</w:t>
      </w:r>
      <w:r w:rsidRPr="001B6E4D">
        <w:t>15】</w:t>
      </w:r>
    </w:p>
    <w:p w14:paraId="73FC7257" w14:textId="77777777" w:rsidR="00705B3D" w:rsidRPr="001B6E4D" w:rsidRDefault="00705B3D" w:rsidP="003D1018">
      <w:pPr>
        <w:pStyle w:val="2fb"/>
        <w:overflowPunct w:val="0"/>
      </w:pPr>
      <w:r w:rsidRPr="001B6E4D">
        <w:t>提案人：</w:t>
      </w:r>
      <w:r w:rsidRPr="001B6E4D">
        <w:rPr>
          <w:rFonts w:hint="eastAsia"/>
          <w:spacing w:val="-10"/>
        </w:rPr>
        <w:t xml:space="preserve">張雅琳  莊瑞雄  </w:t>
      </w:r>
      <w:proofErr w:type="gramStart"/>
      <w:r w:rsidRPr="001B6E4D">
        <w:rPr>
          <w:rFonts w:hint="eastAsia"/>
          <w:spacing w:val="-10"/>
        </w:rPr>
        <w:t>范</w:t>
      </w:r>
      <w:proofErr w:type="gramEnd"/>
      <w:r w:rsidRPr="001B6E4D">
        <w:rPr>
          <w:rFonts w:hint="eastAsia"/>
          <w:spacing w:val="-10"/>
        </w:rPr>
        <w:t xml:space="preserve">  雲  林倩綺</w:t>
      </w:r>
    </w:p>
    <w:p w14:paraId="36BB56A9" w14:textId="77777777" w:rsidR="00705B3D" w:rsidRPr="001B6E4D" w:rsidRDefault="00705B3D" w:rsidP="003D1018">
      <w:pPr>
        <w:pStyle w:val="2fb"/>
        <w:overflowPunct w:val="0"/>
      </w:pPr>
      <w:r w:rsidRPr="001B6E4D">
        <w:rPr>
          <w:rFonts w:hint="eastAsia"/>
        </w:rPr>
        <w:t xml:space="preserve">        陳培瑜  </w:t>
      </w:r>
    </w:p>
    <w:p w14:paraId="4BF87054" w14:textId="77777777" w:rsidR="00705B3D" w:rsidRPr="001B6E4D" w:rsidRDefault="00705B3D" w:rsidP="003D1018">
      <w:pPr>
        <w:pStyle w:val="2fb"/>
        <w:overflowPunct w:val="0"/>
      </w:pPr>
      <w:r w:rsidRPr="001B6E4D">
        <w:t>連署人：</w:t>
      </w:r>
      <w:r w:rsidRPr="001B6E4D">
        <w:rPr>
          <w:rFonts w:hint="eastAsia"/>
        </w:rPr>
        <w:t>沈發惠  翁曉玲  陳昭姿</w:t>
      </w:r>
    </w:p>
    <w:p w14:paraId="14FA25AD" w14:textId="77777777" w:rsidR="00705B3D" w:rsidRPr="001B6E4D" w:rsidRDefault="00705B3D" w:rsidP="003D1018">
      <w:pPr>
        <w:pStyle w:val="1f6"/>
        <w:overflowPunct w:val="0"/>
      </w:pPr>
      <w:proofErr w:type="gramStart"/>
      <w:r w:rsidRPr="001B6E4D">
        <w:t>115</w:t>
      </w:r>
      <w:proofErr w:type="gramEnd"/>
      <w:r w:rsidRPr="001B6E4D">
        <w:t>年度立法院歲出預算第3目「議事業務」編列1,158萬6千元，凍結50萬元，</w:t>
      </w:r>
      <w:proofErr w:type="gramStart"/>
      <w:r w:rsidRPr="001B6E4D">
        <w:t>俟</w:t>
      </w:r>
      <w:proofErr w:type="gramEnd"/>
      <w:r w:rsidRPr="001B6E4D">
        <w:t>向立法院司法及法制委員會提出書面報告後，始得動支。【16】</w:t>
      </w:r>
    </w:p>
    <w:p w14:paraId="5B842B8C" w14:textId="77777777" w:rsidR="00705B3D" w:rsidRPr="001B6E4D" w:rsidRDefault="00705B3D" w:rsidP="003D1018">
      <w:pPr>
        <w:pStyle w:val="2fb"/>
        <w:overflowPunct w:val="0"/>
      </w:pPr>
      <w:r w:rsidRPr="001B6E4D">
        <w:t>提案人：莊瑞雄  陳培瑜</w:t>
      </w:r>
    </w:p>
    <w:p w14:paraId="7887818F" w14:textId="77777777" w:rsidR="00705B3D" w:rsidRPr="001B6E4D" w:rsidRDefault="00705B3D" w:rsidP="003D1018">
      <w:pPr>
        <w:pStyle w:val="2fb"/>
        <w:overflowPunct w:val="0"/>
      </w:pPr>
      <w:r w:rsidRPr="001B6E4D">
        <w:t>連署人：</w:t>
      </w:r>
      <w:r w:rsidRPr="001B6E4D">
        <w:rPr>
          <w:rFonts w:hint="eastAsia"/>
        </w:rPr>
        <w:t xml:space="preserve">張雅琳  </w:t>
      </w:r>
      <w:proofErr w:type="gramStart"/>
      <w:r w:rsidRPr="001B6E4D">
        <w:rPr>
          <w:rFonts w:hint="eastAsia"/>
        </w:rPr>
        <w:t>范</w:t>
      </w:r>
      <w:proofErr w:type="gramEnd"/>
      <w:r w:rsidRPr="001B6E4D">
        <w:rPr>
          <w:rFonts w:hint="eastAsia"/>
        </w:rPr>
        <w:t xml:space="preserve">  雲</w:t>
      </w:r>
    </w:p>
    <w:p w14:paraId="018233C7" w14:textId="77777777" w:rsidR="00705B3D" w:rsidRPr="001B6E4D" w:rsidRDefault="00705B3D" w:rsidP="003D1018">
      <w:pPr>
        <w:pStyle w:val="1f6"/>
        <w:overflowPunct w:val="0"/>
      </w:pPr>
      <w:proofErr w:type="gramStart"/>
      <w:r w:rsidRPr="001B6E4D">
        <w:t>115</w:t>
      </w:r>
      <w:proofErr w:type="gramEnd"/>
      <w:r w:rsidRPr="001B6E4D">
        <w:t>年度立法院歲出預算第4目「立法諮詢業務」編列103萬</w:t>
      </w:r>
      <w:r w:rsidRPr="001B6E4D">
        <w:rPr>
          <w:rFonts w:hint="eastAsia"/>
        </w:rPr>
        <w:t>元</w:t>
      </w:r>
      <w:r w:rsidRPr="001B6E4D">
        <w:t>，凍結51萬5千元，</w:t>
      </w:r>
      <w:proofErr w:type="gramStart"/>
      <w:r w:rsidRPr="001B6E4D">
        <w:t>俟</w:t>
      </w:r>
      <w:proofErr w:type="gramEnd"/>
      <w:r w:rsidRPr="001B6E4D">
        <w:t>向立法院司法及法制委員會提出書面報告後，始得動支。【1</w:t>
      </w:r>
      <w:r w:rsidRPr="001B6E4D">
        <w:rPr>
          <w:rFonts w:hint="eastAsia"/>
        </w:rPr>
        <w:t>7、45</w:t>
      </w:r>
      <w:r w:rsidRPr="001B6E4D">
        <w:t>】</w:t>
      </w:r>
    </w:p>
    <w:p w14:paraId="7B091143" w14:textId="77777777" w:rsidR="00705B3D" w:rsidRPr="001B6E4D" w:rsidRDefault="00705B3D" w:rsidP="003D1018">
      <w:pPr>
        <w:pStyle w:val="2fb"/>
        <w:overflowPunct w:val="0"/>
      </w:pPr>
      <w:r w:rsidRPr="001B6E4D">
        <w:t>提案人：沈發惠</w:t>
      </w:r>
    </w:p>
    <w:p w14:paraId="25E82B7B" w14:textId="77777777" w:rsidR="00705B3D" w:rsidRPr="001B6E4D" w:rsidRDefault="00705B3D" w:rsidP="003D1018">
      <w:pPr>
        <w:pStyle w:val="2fb"/>
        <w:overflowPunct w:val="0"/>
      </w:pPr>
      <w:r w:rsidRPr="001B6E4D">
        <w:lastRenderedPageBreak/>
        <w:t xml:space="preserve">連署人：莊瑞雄  </w:t>
      </w:r>
      <w:proofErr w:type="gramStart"/>
      <w:r w:rsidRPr="001B6E4D">
        <w:t>范</w:t>
      </w:r>
      <w:proofErr w:type="gramEnd"/>
      <w:r w:rsidRPr="001B6E4D">
        <w:t xml:space="preserve">  雲</w:t>
      </w:r>
    </w:p>
    <w:p w14:paraId="56D8E187" w14:textId="77777777" w:rsidR="00705B3D" w:rsidRPr="001B6E4D" w:rsidRDefault="00705B3D" w:rsidP="003D1018">
      <w:pPr>
        <w:pStyle w:val="1f6"/>
        <w:overflowPunct w:val="0"/>
      </w:pPr>
      <w:proofErr w:type="gramStart"/>
      <w:r w:rsidRPr="001B6E4D">
        <w:t>115</w:t>
      </w:r>
      <w:proofErr w:type="gramEnd"/>
      <w:r w:rsidRPr="001B6E4D">
        <w:t>年度立法院歲出預算第8目「一般建築及設備」編列2億6,466萬6千</w:t>
      </w:r>
      <w:r w:rsidRPr="001B6E4D">
        <w:rPr>
          <w:rFonts w:hint="eastAsia"/>
        </w:rPr>
        <w:t>元</w:t>
      </w:r>
      <w:r w:rsidRPr="001B6E4D">
        <w:t>，凍結</w:t>
      </w:r>
      <w:r w:rsidRPr="001B6E4D">
        <w:rPr>
          <w:rFonts w:hint="eastAsia"/>
        </w:rPr>
        <w:t>500</w:t>
      </w:r>
      <w:r w:rsidRPr="001B6E4D">
        <w:t>萬元，</w:t>
      </w:r>
      <w:proofErr w:type="gramStart"/>
      <w:r w:rsidRPr="001B6E4D">
        <w:t>俟</w:t>
      </w:r>
      <w:proofErr w:type="gramEnd"/>
      <w:r w:rsidRPr="001B6E4D">
        <w:t>向立法院司法及法制委員會提出書面報告後，始得動支。【19-23</w:t>
      </w:r>
      <w:r w:rsidRPr="001B6E4D">
        <w:rPr>
          <w:rFonts w:hint="eastAsia"/>
        </w:rPr>
        <w:t>、26</w:t>
      </w:r>
      <w:r w:rsidRPr="001B6E4D">
        <w:t>】</w:t>
      </w:r>
    </w:p>
    <w:p w14:paraId="5950DBB2" w14:textId="77777777" w:rsidR="00705B3D" w:rsidRPr="001B6E4D" w:rsidRDefault="00705B3D" w:rsidP="003D1018">
      <w:pPr>
        <w:pStyle w:val="2fb"/>
        <w:overflowPunct w:val="0"/>
      </w:pPr>
      <w:r w:rsidRPr="001B6E4D">
        <w:t>提案人：</w:t>
      </w:r>
      <w:r w:rsidRPr="001B6E4D">
        <w:rPr>
          <w:spacing w:val="-10"/>
        </w:rPr>
        <w:t xml:space="preserve">張雅琳  </w:t>
      </w:r>
      <w:r w:rsidRPr="001B6E4D">
        <w:rPr>
          <w:rFonts w:hint="eastAsia"/>
          <w:spacing w:val="-10"/>
        </w:rPr>
        <w:t>陳昭姿  翁曉玲  吳宗憲</w:t>
      </w:r>
    </w:p>
    <w:p w14:paraId="0E092BD6" w14:textId="77777777" w:rsidR="00705B3D" w:rsidRPr="001B6E4D" w:rsidRDefault="00705B3D" w:rsidP="003D1018">
      <w:pPr>
        <w:pStyle w:val="2fb"/>
        <w:overflowPunct w:val="0"/>
      </w:pPr>
      <w:r w:rsidRPr="001B6E4D">
        <w:t xml:space="preserve">        </w:t>
      </w:r>
      <w:r w:rsidRPr="001B6E4D">
        <w:rPr>
          <w:rFonts w:hint="eastAsia"/>
        </w:rPr>
        <w:t xml:space="preserve">莊瑞雄  </w:t>
      </w:r>
      <w:r w:rsidRPr="001B6E4D">
        <w:t>劉書</w:t>
      </w:r>
      <w:r w:rsidRPr="001B6E4D">
        <w:rPr>
          <w:rFonts w:hint="eastAsia"/>
        </w:rPr>
        <w:t>彬  陳培瑜</w:t>
      </w:r>
    </w:p>
    <w:p w14:paraId="10E36100" w14:textId="77777777" w:rsidR="00705B3D" w:rsidRPr="001B6E4D" w:rsidRDefault="00705B3D" w:rsidP="003D1018">
      <w:pPr>
        <w:pStyle w:val="2fb"/>
        <w:overflowPunct w:val="0"/>
      </w:pPr>
      <w:r w:rsidRPr="001B6E4D">
        <w:t>連署人：</w:t>
      </w:r>
      <w:proofErr w:type="gramStart"/>
      <w:r w:rsidRPr="001B6E4D">
        <w:t>范</w:t>
      </w:r>
      <w:proofErr w:type="gramEnd"/>
      <w:r w:rsidRPr="001B6E4D">
        <w:t xml:space="preserve">  雲</w:t>
      </w:r>
      <w:r w:rsidRPr="001B6E4D">
        <w:rPr>
          <w:rFonts w:hint="eastAsia"/>
        </w:rPr>
        <w:t xml:space="preserve">  </w:t>
      </w:r>
      <w:r w:rsidRPr="001B6E4D">
        <w:t>沈發惠</w:t>
      </w:r>
    </w:p>
    <w:p w14:paraId="7E0CEF93" w14:textId="77777777" w:rsidR="00705B3D" w:rsidRPr="001B6E4D" w:rsidRDefault="00705B3D" w:rsidP="003D1018">
      <w:pPr>
        <w:pStyle w:val="1f6"/>
        <w:overflowPunct w:val="0"/>
      </w:pPr>
      <w:proofErr w:type="gramStart"/>
      <w:r w:rsidRPr="001B6E4D">
        <w:t>115</w:t>
      </w:r>
      <w:proofErr w:type="gramEnd"/>
      <w:r w:rsidRPr="001B6E4D">
        <w:t>年度立法院預算案於</w:t>
      </w:r>
      <w:r w:rsidRPr="001B6E4D">
        <w:rPr>
          <w:rFonts w:hint="eastAsia"/>
        </w:rPr>
        <w:t>「業務費」項下</w:t>
      </w:r>
      <w:r w:rsidRPr="001B6E4D">
        <w:t>「按日按</w:t>
      </w:r>
      <w:proofErr w:type="gramStart"/>
      <w:r w:rsidRPr="001B6E4D">
        <w:t>件計資</w:t>
      </w:r>
      <w:proofErr w:type="gramEnd"/>
      <w:r w:rsidRPr="001B6E4D">
        <w:t>酬金」編列預算2,584萬3千元，用以支付公聽會、研討會專家學者出席費等。有</w:t>
      </w:r>
      <w:proofErr w:type="gramStart"/>
      <w:r w:rsidRPr="001B6E4D">
        <w:t>鑑</w:t>
      </w:r>
      <w:proofErr w:type="gramEnd"/>
      <w:r w:rsidRPr="001B6E4D">
        <w:t>於立法委員代表人民行使立法權，有提出法律案之權利與義務，為提高修法草案品質，容有聽取專家學者、社會人士意見之必要，惟目前立法院相關預算編列未及於此部分，有重新檢討諮詢專家學者制度，提出各委員辦公室辦理專家學者諮商之可行方案，</w:t>
      </w:r>
      <w:r w:rsidRPr="001B6E4D">
        <w:rPr>
          <w:rFonts w:hint="eastAsia"/>
        </w:rPr>
        <w:t>請</w:t>
      </w:r>
      <w:r w:rsidRPr="001B6E4D">
        <w:t>立法院於2個月內向立法院司法及法制委員會提出書面報告。【1】</w:t>
      </w:r>
    </w:p>
    <w:p w14:paraId="514FCB8B" w14:textId="77777777" w:rsidR="00705B3D" w:rsidRPr="001B6E4D" w:rsidRDefault="00705B3D" w:rsidP="003D1018">
      <w:pPr>
        <w:pStyle w:val="2fb"/>
        <w:overflowPunct w:val="0"/>
      </w:pPr>
      <w:r w:rsidRPr="001B6E4D">
        <w:t>提案人：翁曉玲</w:t>
      </w:r>
    </w:p>
    <w:p w14:paraId="7D40781F"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林倩綺</w:t>
      </w:r>
    </w:p>
    <w:p w14:paraId="2D4D3B4B" w14:textId="77777777" w:rsidR="00705B3D" w:rsidRPr="001B6E4D" w:rsidRDefault="00705B3D" w:rsidP="003D1018">
      <w:pPr>
        <w:pStyle w:val="1-1"/>
        <w:numPr>
          <w:ilvl w:val="0"/>
          <w:numId w:val="33"/>
        </w:numPr>
        <w:ind w:left="924" w:hanging="567"/>
      </w:pPr>
      <w:r w:rsidRPr="001B6E4D">
        <w:t>立法院院區每日仰賴清潔人員負責維持各辦公空間、會議室、走廊、廁所及公共區域清潔，係國會日常運作不可或缺之基層工作者。</w:t>
      </w:r>
    </w:p>
    <w:p w14:paraId="06E873CE" w14:textId="77777777" w:rsidR="00705B3D" w:rsidRPr="001B6E4D" w:rsidRDefault="00705B3D" w:rsidP="003D1018">
      <w:pPr>
        <w:pStyle w:val="1f7"/>
        <w:overflowPunct w:val="0"/>
      </w:pPr>
      <w:proofErr w:type="gramStart"/>
      <w:r w:rsidRPr="001B6E4D">
        <w:t>然查</w:t>
      </w:r>
      <w:proofErr w:type="gramEnd"/>
      <w:r w:rsidRPr="001B6E4D">
        <w:t>，實際觀察，部分清潔人員於用餐或休息時，欠缺固定、合宜、可安心使用之休息空間，甚至僅能</w:t>
      </w:r>
      <w:proofErr w:type="gramStart"/>
      <w:r w:rsidRPr="001B6E4D">
        <w:t>於梯間</w:t>
      </w:r>
      <w:proofErr w:type="gramEnd"/>
      <w:r w:rsidRPr="001B6E4D">
        <w:t>、廁所內清潔工具間、或臨時尋找無人使用之會議室短暫休息；若會議室臨時有人使用，仍須立即離開，顯示院區空間管理與基層工作者休息權益尚有改善必要。</w:t>
      </w:r>
    </w:p>
    <w:p w14:paraId="1EAF6B39" w14:textId="77777777" w:rsidR="00705B3D" w:rsidRPr="001B6E4D" w:rsidRDefault="00705B3D" w:rsidP="003D1018">
      <w:pPr>
        <w:pStyle w:val="1f7"/>
        <w:overflowPunct w:val="0"/>
      </w:pPr>
      <w:r w:rsidRPr="001B6E4D">
        <w:t>立法院作為國家最高民意機關，應以身作則，落實友善職場及勞動尊嚴，盤點院區空間，</w:t>
      </w:r>
      <w:proofErr w:type="gramStart"/>
      <w:r w:rsidRPr="001B6E4D">
        <w:t>研</w:t>
      </w:r>
      <w:proofErr w:type="gramEnd"/>
      <w:r w:rsidRPr="001B6E4D">
        <w:t>議於固定樓層、閒置空間或特定會議室時段撥用，設置清潔人員及第一線服務人員可安心使用之休息、用餐及置物空間。</w:t>
      </w:r>
    </w:p>
    <w:p w14:paraId="4AB124D3" w14:textId="77777777" w:rsidR="00705B3D" w:rsidRPr="001B6E4D" w:rsidRDefault="00705B3D" w:rsidP="003D1018">
      <w:pPr>
        <w:pStyle w:val="1f7"/>
        <w:overflowPunct w:val="0"/>
      </w:pPr>
      <w:r w:rsidRPr="001B6E4D">
        <w:rPr>
          <w:rFonts w:hint="eastAsia"/>
        </w:rPr>
        <w:t>請</w:t>
      </w:r>
      <w:r w:rsidRPr="001B6E4D">
        <w:t>立法院於2個月內向立法院司法及法制委員會提出書面報告</w:t>
      </w:r>
      <w:r w:rsidRPr="001B6E4D">
        <w:rPr>
          <w:rFonts w:hint="eastAsia"/>
        </w:rPr>
        <w:t>，</w:t>
      </w:r>
      <w:r w:rsidRPr="001B6E4D">
        <w:t>書面報告應包含下列事項：</w:t>
      </w:r>
    </w:p>
    <w:p w14:paraId="08DE988F"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1.盤點立法院各院區、各棟建物及各樓層清潔、</w:t>
      </w:r>
      <w:r w:rsidRPr="001B6E4D">
        <w:rPr>
          <w:rFonts w:hint="eastAsia"/>
        </w:rPr>
        <w:t>園藝</w:t>
      </w:r>
      <w:r w:rsidRPr="001B6E4D">
        <w:t>等第一線服務人員現有休息、用餐、更衣及置物空間之配置情形。</w:t>
      </w:r>
    </w:p>
    <w:p w14:paraId="5E8F5A9F"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2.說明現行清潔</w:t>
      </w:r>
      <w:r w:rsidRPr="001B6E4D">
        <w:rPr>
          <w:rFonts w:hint="eastAsia"/>
        </w:rPr>
        <w:t>、園藝</w:t>
      </w:r>
      <w:r w:rsidRPr="001B6E4D">
        <w:t>人員午休、輪休、用餐及待命時實際使用空間，包括是否有固定地點、可容納人數及是否與清潔工具、化學用品或廁所空間混用。</w:t>
      </w:r>
    </w:p>
    <w:p w14:paraId="3C947A33"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3.</w:t>
      </w:r>
      <w:proofErr w:type="gramStart"/>
      <w:r w:rsidRPr="001B6E4D">
        <w:t>研</w:t>
      </w:r>
      <w:proofErr w:type="gramEnd"/>
      <w:r w:rsidRPr="001B6E4D">
        <w:t>議於各主要</w:t>
      </w:r>
      <w:proofErr w:type="gramStart"/>
      <w:r w:rsidRPr="001B6E4D">
        <w:t>辦公棟</w:t>
      </w:r>
      <w:proofErr w:type="gramEnd"/>
      <w:r w:rsidRPr="001B6E4D">
        <w:t>、委員研究大樓或固定樓層，擇定適當空間作為清潔人員及第一線服務人員固定休息、用餐空間之</w:t>
      </w:r>
      <w:r w:rsidRPr="001B6E4D">
        <w:lastRenderedPageBreak/>
        <w:t>可行性。</w:t>
      </w:r>
    </w:p>
    <w:p w14:paraId="2720DAB5"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4.提出休息空間基本配置標準，包括桌椅、飲水、置物櫃、通風、照明、清潔用品隔離及性別友善使用安排。</w:t>
      </w:r>
    </w:p>
    <w:p w14:paraId="327325F9" w14:textId="77777777" w:rsidR="00705B3D" w:rsidRPr="001B6E4D" w:rsidRDefault="00705B3D" w:rsidP="003D1018">
      <w:pPr>
        <w:pStyle w:val="afffffffffd"/>
        <w:overflowPunct w:val="0"/>
        <w:ind w:left="1260" w:hangingChars="450" w:hanging="1260"/>
      </w:pPr>
      <w:r w:rsidRPr="001B6E4D">
        <w:rPr>
          <w:rFonts w:hint="eastAsia"/>
        </w:rPr>
        <w:t xml:space="preserve">       5</w:t>
      </w:r>
      <w:r w:rsidRPr="001B6E4D">
        <w:t>.檢討立法院與清潔委外廠商契約中，是否已明定人員休息、用餐、</w:t>
      </w:r>
      <w:proofErr w:type="gramStart"/>
      <w:r w:rsidRPr="001B6E4D">
        <w:t>職安衛生</w:t>
      </w:r>
      <w:proofErr w:type="gramEnd"/>
      <w:r w:rsidRPr="001B6E4D">
        <w:t>、申訴反映及院方督導責任。</w:t>
      </w:r>
    </w:p>
    <w:p w14:paraId="0684A198"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6.提出短期、中期改善期程，短期應優先指定可立即使用之固定空間；中期則應配合院區空間調整或修繕，設置穩定、明確、可長期使用之休息及用餐場所。【6】</w:t>
      </w:r>
    </w:p>
    <w:p w14:paraId="2937F96B" w14:textId="77777777" w:rsidR="00705B3D" w:rsidRPr="001B6E4D" w:rsidRDefault="00705B3D" w:rsidP="003D1018">
      <w:pPr>
        <w:pStyle w:val="2fb"/>
        <w:overflowPunct w:val="0"/>
      </w:pPr>
      <w:r w:rsidRPr="001B6E4D">
        <w:t>提案人：吳宗憲</w:t>
      </w:r>
    </w:p>
    <w:p w14:paraId="6368565C"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林倩綺</w:t>
      </w:r>
    </w:p>
    <w:p w14:paraId="34C5F51E" w14:textId="77777777" w:rsidR="00705B3D" w:rsidRPr="001B6E4D" w:rsidRDefault="00705B3D" w:rsidP="003D1018">
      <w:pPr>
        <w:pStyle w:val="1f6"/>
        <w:overflowPunct w:val="0"/>
      </w:pPr>
      <w:proofErr w:type="gramStart"/>
      <w:r w:rsidRPr="001B6E4D">
        <w:t>115</w:t>
      </w:r>
      <w:proofErr w:type="gramEnd"/>
      <w:r w:rsidRPr="001B6E4D">
        <w:t>年度立法院預算案於第1目「一般行政」項下「基本行政工作維持」中「設備及投資」</w:t>
      </w:r>
      <w:r w:rsidRPr="001B6E4D">
        <w:rPr>
          <w:rFonts w:hint="eastAsia"/>
        </w:rPr>
        <w:t>之</w:t>
      </w:r>
      <w:r w:rsidRPr="001B6E4D">
        <w:t>議場、各會議室屋頂及</w:t>
      </w:r>
      <w:proofErr w:type="gramStart"/>
      <w:r w:rsidRPr="001B6E4D">
        <w:t>外牆防漏</w:t>
      </w:r>
      <w:proofErr w:type="gramEnd"/>
      <w:r w:rsidRPr="001B6E4D">
        <w:t>整修暨相關設施更新</w:t>
      </w:r>
      <w:r w:rsidRPr="001B6E4D">
        <w:rPr>
          <w:rFonts w:hint="eastAsia"/>
        </w:rPr>
        <w:t>等經費</w:t>
      </w:r>
      <w:r w:rsidRPr="001B6E4D">
        <w:t>編列預算250萬元。</w:t>
      </w:r>
    </w:p>
    <w:p w14:paraId="295956BE" w14:textId="77777777" w:rsidR="00705B3D" w:rsidRPr="001B6E4D" w:rsidRDefault="00705B3D" w:rsidP="003D1018">
      <w:pPr>
        <w:pStyle w:val="1f7"/>
        <w:overflowPunct w:val="0"/>
      </w:pPr>
      <w:r w:rsidRPr="001B6E4D">
        <w:t>由於朝野衝突時有議事設備毀損之情事，屢生「全民買單」或「欠款未繳」爭議，立法院基於管理機關立場，針對遭破壞的備</w:t>
      </w:r>
      <w:proofErr w:type="gramStart"/>
      <w:r w:rsidRPr="001B6E4D">
        <w:t>詢</w:t>
      </w:r>
      <w:proofErr w:type="gramEnd"/>
      <w:r w:rsidRPr="001B6E4D">
        <w:t>台螢幕、麥克風、</w:t>
      </w:r>
      <w:proofErr w:type="gramStart"/>
      <w:r w:rsidRPr="001B6E4D">
        <w:t>門鎖或議場</w:t>
      </w:r>
      <w:proofErr w:type="gramEnd"/>
      <w:r w:rsidRPr="001B6E4D">
        <w:t>設施，尚未建立明確損害求償機制，且未提供近年來明確求償情形說明，為端正議事攻防，</w:t>
      </w:r>
      <w:r w:rsidRPr="001B6E4D">
        <w:rPr>
          <w:rFonts w:hint="eastAsia"/>
        </w:rPr>
        <w:t>請</w:t>
      </w:r>
      <w:r w:rsidRPr="001B6E4D">
        <w:t>立法院於2個月內向立法院司法及法制委員會提出書面報告。【1</w:t>
      </w:r>
      <w:r w:rsidRPr="001B6E4D">
        <w:rPr>
          <w:rFonts w:hint="eastAsia"/>
        </w:rPr>
        <w:t>0</w:t>
      </w:r>
      <w:r w:rsidRPr="001B6E4D">
        <w:t>】</w:t>
      </w:r>
    </w:p>
    <w:p w14:paraId="63617E81" w14:textId="77777777" w:rsidR="00705B3D" w:rsidRPr="001B6E4D" w:rsidRDefault="00705B3D" w:rsidP="003D1018">
      <w:pPr>
        <w:pStyle w:val="2fb"/>
        <w:overflowPunct w:val="0"/>
      </w:pPr>
      <w:r w:rsidRPr="001B6E4D">
        <w:t>提案人：翁曉玲</w:t>
      </w:r>
    </w:p>
    <w:p w14:paraId="2E3EFFA5" w14:textId="77777777" w:rsidR="00705B3D" w:rsidRPr="001B6E4D" w:rsidRDefault="00705B3D" w:rsidP="003D1018">
      <w:pPr>
        <w:pStyle w:val="2fb"/>
        <w:overflowPunct w:val="0"/>
      </w:pPr>
      <w:r w:rsidRPr="001B6E4D">
        <w:t>連署人：許宇</w:t>
      </w:r>
      <w:proofErr w:type="gramStart"/>
      <w:r w:rsidRPr="001B6E4D">
        <w:t>甄</w:t>
      </w:r>
      <w:proofErr w:type="gramEnd"/>
      <w:r w:rsidRPr="001B6E4D">
        <w:t xml:space="preserve">　林倩綺</w:t>
      </w:r>
    </w:p>
    <w:p w14:paraId="41E21C2E" w14:textId="77777777" w:rsidR="00705B3D" w:rsidRPr="001B6E4D" w:rsidRDefault="00705B3D" w:rsidP="003D1018">
      <w:pPr>
        <w:pStyle w:val="1f6"/>
        <w:overflowPunct w:val="0"/>
      </w:pPr>
      <w:r w:rsidRPr="001B6E4D">
        <w:t>有</w:t>
      </w:r>
      <w:proofErr w:type="gramStart"/>
      <w:r w:rsidRPr="001B6E4D">
        <w:t>鑑</w:t>
      </w:r>
      <w:proofErr w:type="gramEnd"/>
      <w:r w:rsidRPr="001B6E4D">
        <w:t>於立法院院區及各委員辦公室樓層，現行育兒友善設施配置仍有不足，對攜帶嬰幼兒之家長、洽公民眾、媒體人員及院內同仁使用上造成不便。為營造友善育兒與性別平權之公共環境，並落實親職照顧支持措施，</w:t>
      </w:r>
      <w:proofErr w:type="gramStart"/>
      <w:r w:rsidRPr="001B6E4D">
        <w:t>爰</w:t>
      </w:r>
      <w:proofErr w:type="gramEnd"/>
      <w:r w:rsidRPr="001B6E4D">
        <w:t>建請立法院盤點現有院區及各委員辦公室樓層相關設施配置情形，</w:t>
      </w:r>
      <w:proofErr w:type="gramStart"/>
      <w:r w:rsidRPr="001B6E4D">
        <w:t>研</w:t>
      </w:r>
      <w:proofErr w:type="gramEnd"/>
      <w:r w:rsidRPr="001B6E4D">
        <w:t>議於適當樓層及公共空間設置一定比例之尿布台及相關親子友善設施，並就整體規劃、設置原則及後續推動期程，於3個月內向</w:t>
      </w:r>
      <w:r w:rsidRPr="001B6E4D">
        <w:rPr>
          <w:rFonts w:hint="eastAsia"/>
        </w:rPr>
        <w:t>立法院</w:t>
      </w:r>
      <w:r w:rsidRPr="001B6E4D">
        <w:t>司法及法制委員會提出書面報告。【28】</w:t>
      </w:r>
    </w:p>
    <w:p w14:paraId="1A5FF63E" w14:textId="77777777" w:rsidR="00705B3D" w:rsidRPr="001B6E4D" w:rsidRDefault="00705B3D" w:rsidP="003D1018">
      <w:pPr>
        <w:pStyle w:val="2fb"/>
        <w:overflowPunct w:val="0"/>
      </w:pPr>
      <w:r w:rsidRPr="001B6E4D">
        <w:t>提案人：莊瑞雄</w:t>
      </w:r>
    </w:p>
    <w:p w14:paraId="6E7660B8" w14:textId="77777777" w:rsidR="00705B3D" w:rsidRPr="001B6E4D" w:rsidRDefault="00705B3D" w:rsidP="003D1018">
      <w:pPr>
        <w:pStyle w:val="2fb"/>
        <w:overflowPunct w:val="0"/>
      </w:pPr>
      <w:r w:rsidRPr="001B6E4D">
        <w:t>連署人：</w:t>
      </w:r>
      <w:proofErr w:type="gramStart"/>
      <w:r w:rsidRPr="001B6E4D">
        <w:t>范</w:t>
      </w:r>
      <w:proofErr w:type="gramEnd"/>
      <w:r w:rsidRPr="001B6E4D">
        <w:t xml:space="preserve">　雲　張雅琳</w:t>
      </w:r>
    </w:p>
    <w:p w14:paraId="4E695586" w14:textId="77777777" w:rsidR="00705B3D" w:rsidRPr="001B6E4D" w:rsidRDefault="00705B3D" w:rsidP="003D1018">
      <w:pPr>
        <w:pStyle w:val="1f6"/>
        <w:overflowPunct w:val="0"/>
      </w:pPr>
      <w:r w:rsidRPr="001B6E4D">
        <w:t>有</w:t>
      </w:r>
      <w:proofErr w:type="gramStart"/>
      <w:r w:rsidRPr="001B6E4D">
        <w:t>鑑</w:t>
      </w:r>
      <w:proofErr w:type="gramEnd"/>
      <w:r w:rsidRPr="001B6E4D">
        <w:t>於立法院現有辦公與議事空間長期不足，相關建築及基礎設施亦已老舊，難以因應現代國會於議事運作、委員研究、資訊安全、公共參與及整體國會功能發展之需求。然目前外界對於擴建案後續推動進度、基地評估、跨機關協調及整體期程尚未明確瞭解，為利國會長期發展及整體規劃推動，</w:t>
      </w:r>
      <w:proofErr w:type="gramStart"/>
      <w:r w:rsidRPr="001B6E4D">
        <w:t>爰</w:t>
      </w:r>
      <w:proofErr w:type="gramEnd"/>
      <w:r w:rsidRPr="001B6E4D">
        <w:t>建請立法院提出具體規劃與執行進度，並於3個月內向</w:t>
      </w:r>
      <w:r w:rsidRPr="001B6E4D">
        <w:rPr>
          <w:rFonts w:hint="eastAsia"/>
        </w:rPr>
        <w:t>立法院</w:t>
      </w:r>
      <w:r w:rsidRPr="001B6E4D">
        <w:t>司法及法制委員會提出書面報告。【29】</w:t>
      </w:r>
    </w:p>
    <w:p w14:paraId="3A02D810" w14:textId="77777777" w:rsidR="00705B3D" w:rsidRPr="001B6E4D" w:rsidRDefault="00705B3D" w:rsidP="003D1018">
      <w:pPr>
        <w:pStyle w:val="2fb"/>
        <w:overflowPunct w:val="0"/>
      </w:pPr>
      <w:r w:rsidRPr="001B6E4D">
        <w:lastRenderedPageBreak/>
        <w:t>提案人：莊瑞雄</w:t>
      </w:r>
    </w:p>
    <w:p w14:paraId="1A27A43F" w14:textId="77777777" w:rsidR="00705B3D" w:rsidRPr="001B6E4D" w:rsidRDefault="00705B3D" w:rsidP="003D1018">
      <w:pPr>
        <w:pStyle w:val="2fb"/>
        <w:overflowPunct w:val="0"/>
      </w:pPr>
      <w:r w:rsidRPr="001B6E4D">
        <w:t>連署人：</w:t>
      </w:r>
      <w:proofErr w:type="gramStart"/>
      <w:r w:rsidRPr="001B6E4D">
        <w:t>范</w:t>
      </w:r>
      <w:proofErr w:type="gramEnd"/>
      <w:r w:rsidRPr="001B6E4D">
        <w:t xml:space="preserve">　雲　張雅琳</w:t>
      </w:r>
    </w:p>
    <w:p w14:paraId="7DD4D4D5" w14:textId="77777777" w:rsidR="00705B3D" w:rsidRPr="001B6E4D" w:rsidRDefault="00705B3D" w:rsidP="003D1018">
      <w:pPr>
        <w:pStyle w:val="1f6"/>
        <w:overflowPunct w:val="0"/>
      </w:pPr>
      <w:r w:rsidRPr="001B6E4D">
        <w:t>有</w:t>
      </w:r>
      <w:proofErr w:type="gramStart"/>
      <w:r w:rsidRPr="001B6E4D">
        <w:t>鑑</w:t>
      </w:r>
      <w:proofErr w:type="gramEnd"/>
      <w:r w:rsidRPr="001B6E4D">
        <w:t>於立法院每日出入人員</w:t>
      </w:r>
      <w:proofErr w:type="gramStart"/>
      <w:r w:rsidRPr="001B6E4D">
        <w:t>眾多，</w:t>
      </w:r>
      <w:proofErr w:type="gramEnd"/>
      <w:r w:rsidRPr="001B6E4D">
        <w:t>包含立法委員、助理、職員、媒體、洽公民眾及國內外訪賓。</w:t>
      </w:r>
      <w:proofErr w:type="gramStart"/>
      <w:r w:rsidRPr="001B6E4D">
        <w:t>然院區</w:t>
      </w:r>
      <w:proofErr w:type="gramEnd"/>
      <w:r w:rsidRPr="001B6E4D">
        <w:t>內廁所、更衣室、</w:t>
      </w:r>
      <w:proofErr w:type="gramStart"/>
      <w:r w:rsidRPr="001B6E4D">
        <w:t>哺集乳室</w:t>
      </w:r>
      <w:proofErr w:type="gramEnd"/>
      <w:r w:rsidRPr="001B6E4D">
        <w:t>、休息室等場所，屬高度隱私空間，若未建立定期檢查、通報及改善機制，恐發生偷拍、竊錄或其他侵害隱私之風險，影響院區安全及國會形象。為維護隱私權與人身安全，</w:t>
      </w:r>
      <w:proofErr w:type="gramStart"/>
      <w:r w:rsidRPr="001B6E4D">
        <w:t>爰</w:t>
      </w:r>
      <w:proofErr w:type="gramEnd"/>
      <w:r w:rsidRPr="001B6E4D">
        <w:t>請立法院強化院區隱私場所安全檢查及管理機制，並提出改善報告，並於3個月內向</w:t>
      </w:r>
      <w:r w:rsidRPr="001B6E4D">
        <w:rPr>
          <w:rFonts w:hint="eastAsia"/>
        </w:rPr>
        <w:t>立法院</w:t>
      </w:r>
      <w:r w:rsidRPr="001B6E4D">
        <w:t>司法及法制委員會提出書面報告。【30】</w:t>
      </w:r>
    </w:p>
    <w:p w14:paraId="68F5E850" w14:textId="77777777" w:rsidR="00705B3D" w:rsidRPr="001B6E4D" w:rsidRDefault="00705B3D" w:rsidP="003D1018">
      <w:pPr>
        <w:pStyle w:val="2fb"/>
        <w:overflowPunct w:val="0"/>
      </w:pPr>
      <w:r w:rsidRPr="001B6E4D">
        <w:t>提案人：莊瑞雄</w:t>
      </w:r>
    </w:p>
    <w:p w14:paraId="3CDE257F" w14:textId="77777777" w:rsidR="00705B3D" w:rsidRPr="001B6E4D" w:rsidRDefault="00705B3D" w:rsidP="003D1018">
      <w:pPr>
        <w:pStyle w:val="2fb"/>
        <w:overflowPunct w:val="0"/>
      </w:pPr>
      <w:r w:rsidRPr="001B6E4D">
        <w:t>連署人：沈發惠　張雅琳</w:t>
      </w:r>
    </w:p>
    <w:p w14:paraId="31514A36" w14:textId="77777777" w:rsidR="00705B3D" w:rsidRPr="001B6E4D" w:rsidRDefault="00705B3D" w:rsidP="003D1018">
      <w:pPr>
        <w:pStyle w:val="1f6"/>
        <w:overflowPunct w:val="0"/>
      </w:pPr>
      <w:r w:rsidRPr="001B6E4D">
        <w:rPr>
          <w:rFonts w:hint="eastAsia"/>
        </w:rPr>
        <w:t>行政院</w:t>
      </w:r>
      <w:r w:rsidRPr="001B6E4D">
        <w:t>人事行政總處及勞動部</w:t>
      </w:r>
      <w:proofErr w:type="gramStart"/>
      <w:r w:rsidRPr="001B6E4D">
        <w:t>爰</w:t>
      </w:r>
      <w:proofErr w:type="gramEnd"/>
      <w:r w:rsidRPr="001B6E4D">
        <w:t>引進美國制度，推動員工協助方案（Employee Assistance Programs, EAP），規劃方案及提供資源，以預防及解決可能導致員工工作生產力下降的組織與個人議題，使員工能以健康的身心投入工作，進而穩定組織運作。</w:t>
      </w:r>
    </w:p>
    <w:p w14:paraId="1698C1A0" w14:textId="77777777" w:rsidR="00705B3D" w:rsidRPr="001B6E4D" w:rsidRDefault="00705B3D" w:rsidP="003D1018">
      <w:pPr>
        <w:pStyle w:val="1f7"/>
        <w:overflowPunct w:val="0"/>
      </w:pPr>
      <w:r w:rsidRPr="001B6E4D">
        <w:t>經查，人事行政總處102年4月訂定「行政院所屬及地方機關學校員工協助方案」，實施迄今已逾10年，而立法院亦於</w:t>
      </w:r>
      <w:proofErr w:type="gramStart"/>
      <w:r w:rsidRPr="001B6E4D">
        <w:t>114</w:t>
      </w:r>
      <w:proofErr w:type="gramEnd"/>
      <w:r w:rsidRPr="001B6E4D">
        <w:t>年度重要施政計畫中載明「辦理員工協助方案，以促進同仁身心健康，建構友善職場環境」，並首度編列預算辦理該工作計畫。</w:t>
      </w:r>
    </w:p>
    <w:p w14:paraId="7D48DFF4" w14:textId="77777777" w:rsidR="00705B3D" w:rsidRPr="001B6E4D" w:rsidRDefault="00705B3D" w:rsidP="003D1018">
      <w:pPr>
        <w:pStyle w:val="1f7"/>
        <w:overflowPunct w:val="0"/>
      </w:pPr>
      <w:r w:rsidRPr="001B6E4D">
        <w:t>再查，立法院係以委外顧問公司辦理員工協助方案，提供心理、工作、管理、醫療、法律、理財等專業諮詢，服務形式包含電話/電子關懷、電話諮詢及個別諮詢。顯示立法院對於同仁工作、生活、健康福祉之重視。</w:t>
      </w:r>
    </w:p>
    <w:p w14:paraId="6FC482C2" w14:textId="77777777" w:rsidR="00705B3D" w:rsidRPr="001B6E4D" w:rsidRDefault="00705B3D" w:rsidP="003D1018">
      <w:pPr>
        <w:pStyle w:val="1f7"/>
        <w:overflowPunct w:val="0"/>
      </w:pPr>
      <w:r w:rsidRPr="001B6E4D">
        <w:t>為提高員工使用意願、提供符合需求之服務，以促進資源可近性及使用率，並落實工作與生活平衡之目標，建請立法院：</w:t>
      </w:r>
    </w:p>
    <w:p w14:paraId="60D934B3"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1.加強實體</w:t>
      </w:r>
      <w:proofErr w:type="gramStart"/>
      <w:r w:rsidRPr="001B6E4D">
        <w:t>或線上管道</w:t>
      </w:r>
      <w:proofErr w:type="gramEnd"/>
      <w:r w:rsidRPr="001B6E4D">
        <w:t>之宣傳能見度，例如：寄發推廣電子信件；比照禁止吸菸、禁止性騷擾、性騷擾通報管道、緊急事故專線等標示及海報張貼於公布欄。</w:t>
      </w:r>
    </w:p>
    <w:p w14:paraId="07C7AA59"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2.定期進行員工使用調查，發掘不同單位、職務、性別及身心障礙同仁等需求，並分析回饋結果作為訂定年度EAP計畫內容之參考依據。</w:t>
      </w:r>
    </w:p>
    <w:p w14:paraId="11DEBA5A" w14:textId="77777777" w:rsidR="00705B3D" w:rsidRPr="001B6E4D" w:rsidRDefault="00705B3D" w:rsidP="003D1018">
      <w:pPr>
        <w:pStyle w:val="afffffffffd"/>
        <w:overflowPunct w:val="0"/>
        <w:ind w:left="1260" w:hangingChars="450" w:hanging="1260"/>
      </w:pPr>
      <w:r w:rsidRPr="001B6E4D">
        <w:rPr>
          <w:rFonts w:hint="eastAsia"/>
        </w:rPr>
        <w:t xml:space="preserve">       </w:t>
      </w:r>
      <w:r w:rsidRPr="001B6E4D">
        <w:t>3.針對員工協助方案實施成果進行年度統計，內容應包含但不限於諮商人次及性別、諮商議題、諮商形式，並將資料逐年公開於「立法院院內資源入口網站-人事園地-員工協助方案</w:t>
      </w:r>
      <w:r w:rsidRPr="001B6E4D">
        <w:lastRenderedPageBreak/>
        <w:t>專區」。【31】</w:t>
      </w:r>
    </w:p>
    <w:p w14:paraId="289FD401" w14:textId="77777777" w:rsidR="00705B3D" w:rsidRPr="001B6E4D" w:rsidRDefault="00705B3D" w:rsidP="003D1018">
      <w:pPr>
        <w:pStyle w:val="2fb"/>
        <w:overflowPunct w:val="0"/>
      </w:pPr>
      <w:r w:rsidRPr="001B6E4D">
        <w:t>提案人：莊瑞雄</w:t>
      </w:r>
    </w:p>
    <w:p w14:paraId="169504E1" w14:textId="77777777" w:rsidR="00705B3D" w:rsidRPr="001B6E4D" w:rsidRDefault="00705B3D" w:rsidP="003D1018">
      <w:pPr>
        <w:pStyle w:val="2fb"/>
        <w:overflowPunct w:val="0"/>
      </w:pPr>
      <w:r w:rsidRPr="001B6E4D">
        <w:t>連署人：沈發惠　張雅琳</w:t>
      </w:r>
    </w:p>
    <w:p w14:paraId="6DE8EF65" w14:textId="77777777" w:rsidR="00705B3D" w:rsidRPr="001B6E4D" w:rsidRDefault="00705B3D" w:rsidP="003D1018">
      <w:pPr>
        <w:pStyle w:val="1f6"/>
        <w:overflowPunct w:val="0"/>
      </w:pPr>
      <w:r w:rsidRPr="001B6E4D">
        <w:t>為因應全球生成式AI技術之快速發展與境外網路攻擊威脅，立法院應全面強化</w:t>
      </w:r>
      <w:proofErr w:type="gramStart"/>
      <w:r w:rsidRPr="001B6E4D">
        <w:t>國會資安防禦</w:t>
      </w:r>
      <w:proofErr w:type="gramEnd"/>
      <w:r w:rsidRPr="001B6E4D">
        <w:t>韌性，並</w:t>
      </w:r>
      <w:proofErr w:type="gramStart"/>
      <w:r w:rsidRPr="001B6E4D">
        <w:t>研</w:t>
      </w:r>
      <w:proofErr w:type="gramEnd"/>
      <w:r w:rsidRPr="001B6E4D">
        <w:t>議導入可信賴AI技術以輔助議事與法制預算之研究。</w:t>
      </w:r>
      <w:proofErr w:type="gramStart"/>
      <w:r w:rsidRPr="001B6E4D">
        <w:t>115</w:t>
      </w:r>
      <w:proofErr w:type="gramEnd"/>
      <w:r w:rsidRPr="001B6E4D">
        <w:t>年度資訊管理業務經費較</w:t>
      </w:r>
      <w:proofErr w:type="gramStart"/>
      <w:r w:rsidRPr="001B6E4D">
        <w:t>114</w:t>
      </w:r>
      <w:proofErr w:type="gramEnd"/>
      <w:r w:rsidRPr="001B6E4D">
        <w:t>年度增列，其中涵蓋</w:t>
      </w:r>
      <w:proofErr w:type="gramStart"/>
      <w:r w:rsidRPr="001B6E4D">
        <w:t>多項資通</w:t>
      </w:r>
      <w:proofErr w:type="gramEnd"/>
      <w:r w:rsidRPr="001B6E4D">
        <w:t>安全與軟體授權經費。立法院作為國家最高立法機關，掌握諸多機敏法案與國家預算資訊，</w:t>
      </w:r>
      <w:proofErr w:type="gramStart"/>
      <w:r w:rsidRPr="001B6E4D">
        <w:t>其資安防護</w:t>
      </w:r>
      <w:proofErr w:type="gramEnd"/>
      <w:r w:rsidRPr="001B6E4D">
        <w:t>不容妥協。面對日益嚴峻之進階持續性威脅及駭客攻擊，立法院除硬體設備之</w:t>
      </w:r>
      <w:proofErr w:type="gramStart"/>
      <w:r w:rsidRPr="001B6E4D">
        <w:t>汰換外</w:t>
      </w:r>
      <w:proofErr w:type="gramEnd"/>
      <w:r w:rsidRPr="001B6E4D">
        <w:t>，更應著重於防駭演練與</w:t>
      </w:r>
      <w:proofErr w:type="gramStart"/>
      <w:r w:rsidRPr="001B6E4D">
        <w:t>主動式資安監控</w:t>
      </w:r>
      <w:proofErr w:type="gramEnd"/>
      <w:r w:rsidRPr="001B6E4D">
        <w:t>。</w:t>
      </w:r>
      <w:proofErr w:type="gramStart"/>
      <w:r w:rsidRPr="001B6E4D">
        <w:t>此外，</w:t>
      </w:r>
      <w:proofErr w:type="gramEnd"/>
      <w:r w:rsidRPr="001B6E4D">
        <w:t>為提升議事運作與法案評估之效能，立法院資訊處應會同法制局、預算中心等單位，</w:t>
      </w:r>
      <w:proofErr w:type="gramStart"/>
      <w:r w:rsidRPr="001B6E4D">
        <w:t>研</w:t>
      </w:r>
      <w:proofErr w:type="gramEnd"/>
      <w:r w:rsidRPr="001B6E4D">
        <w:t>議在符合</w:t>
      </w:r>
      <w:proofErr w:type="gramStart"/>
      <w:r w:rsidRPr="001B6E4D">
        <w:t>最高資安規範</w:t>
      </w:r>
      <w:proofErr w:type="gramEnd"/>
      <w:r w:rsidRPr="001B6E4D">
        <w:t>與封閉網路環境下，導入AI輔助系統以協助法案資料梳理與大數據分析，打造現代化之智慧國會。</w:t>
      </w:r>
      <w:proofErr w:type="gramStart"/>
      <w:r w:rsidRPr="001B6E4D">
        <w:t>爰</w:t>
      </w:r>
      <w:proofErr w:type="gramEnd"/>
      <w:r w:rsidRPr="001B6E4D">
        <w:t>建請立法院於3個月內提交書面報告送予立法院司法及法制委員會。【32】</w:t>
      </w:r>
    </w:p>
    <w:p w14:paraId="1C34F6B8" w14:textId="77777777" w:rsidR="00705B3D" w:rsidRPr="001B6E4D" w:rsidRDefault="00705B3D" w:rsidP="003D1018">
      <w:pPr>
        <w:pStyle w:val="2fb"/>
        <w:overflowPunct w:val="0"/>
      </w:pPr>
      <w:r w:rsidRPr="001B6E4D">
        <w:t>提案人：莊瑞雄</w:t>
      </w:r>
    </w:p>
    <w:p w14:paraId="36E9C297" w14:textId="77777777" w:rsidR="00705B3D" w:rsidRPr="001B6E4D" w:rsidRDefault="00705B3D" w:rsidP="003D1018">
      <w:pPr>
        <w:pStyle w:val="2fb"/>
        <w:overflowPunct w:val="0"/>
      </w:pPr>
      <w:r w:rsidRPr="001B6E4D">
        <w:t>連署人：沈發惠　張雅琳</w:t>
      </w:r>
    </w:p>
    <w:p w14:paraId="40DAFB37" w14:textId="77777777" w:rsidR="00705B3D" w:rsidRPr="001B6E4D" w:rsidRDefault="00705B3D" w:rsidP="003D1018">
      <w:pPr>
        <w:pStyle w:val="1f6"/>
        <w:overflowPunct w:val="0"/>
      </w:pPr>
      <w:r w:rsidRPr="001B6E4D">
        <w:t>針對</w:t>
      </w:r>
      <w:proofErr w:type="gramStart"/>
      <w:r w:rsidRPr="001B6E4D">
        <w:t>115</w:t>
      </w:r>
      <w:proofErr w:type="gramEnd"/>
      <w:r w:rsidRPr="001B6E4D">
        <w:t>年度立法院</w:t>
      </w:r>
      <w:r w:rsidRPr="001B6E4D">
        <w:rPr>
          <w:rFonts w:hint="eastAsia"/>
        </w:rPr>
        <w:t>預算案</w:t>
      </w:r>
      <w:r w:rsidRPr="001B6E4D">
        <w:t>於</w:t>
      </w:r>
      <w:r w:rsidRPr="001B6E4D">
        <w:rPr>
          <w:rFonts w:hint="eastAsia"/>
        </w:rPr>
        <w:t>第</w:t>
      </w:r>
      <w:r w:rsidRPr="001B6E4D">
        <w:t>5目「國會圖書業務」項下「議政博物管理」編列592萬餘元，及</w:t>
      </w:r>
      <w:r w:rsidRPr="001B6E4D">
        <w:rPr>
          <w:rFonts w:hint="eastAsia"/>
        </w:rPr>
        <w:t>第2目「委員問政業務」第</w:t>
      </w:r>
      <w:r w:rsidRPr="001B6E4D">
        <w:t>4</w:t>
      </w:r>
      <w:r w:rsidRPr="001B6E4D">
        <w:rPr>
          <w:rFonts w:hint="eastAsia"/>
        </w:rPr>
        <w:t>節</w:t>
      </w:r>
      <w:r w:rsidRPr="001B6E4D">
        <w:t>「委員會館」項下「中南部服務中心」編列2,152萬餘元。為落實區域均衡發展，並活化位於</w:t>
      </w:r>
      <w:proofErr w:type="gramStart"/>
      <w:r w:rsidRPr="001B6E4D">
        <w:t>臺</w:t>
      </w:r>
      <w:proofErr w:type="gramEnd"/>
      <w:r w:rsidRPr="001B6E4D">
        <w:t>中之「</w:t>
      </w:r>
      <w:proofErr w:type="gramStart"/>
      <w:r w:rsidRPr="001B6E4D">
        <w:t>民主議</w:t>
      </w:r>
      <w:proofErr w:type="gramEnd"/>
      <w:r w:rsidRPr="001B6E4D">
        <w:t>政園區」，立法院應強化該園區與中南部各縣市各級學校之連結，擴大辦理深具在地特色之民主法治教育活動。</w:t>
      </w:r>
      <w:proofErr w:type="gramStart"/>
      <w:r w:rsidRPr="001B6E4D">
        <w:t>民主議</w:t>
      </w:r>
      <w:proofErr w:type="gramEnd"/>
      <w:r w:rsidRPr="001B6E4D">
        <w:t>政園區承載臺灣省議會時期之珍貴民主發展歷程，立法院每年亦編列預算進行園區設施維護與古蹟修復。然為充分發揮該園區之公共教育價值，</w:t>
      </w:r>
      <w:r w:rsidRPr="001B6E4D">
        <w:rPr>
          <w:rFonts w:hint="eastAsia"/>
        </w:rPr>
        <w:t>立法院</w:t>
      </w:r>
      <w:r w:rsidRPr="001B6E4D">
        <w:t>中南部服務中心與</w:t>
      </w:r>
      <w:r w:rsidRPr="001B6E4D">
        <w:rPr>
          <w:rFonts w:hint="eastAsia"/>
        </w:rPr>
        <w:t>立法院</w:t>
      </w:r>
      <w:r w:rsidRPr="001B6E4D">
        <w:t>議政博物館不應僅被動接受參訪，而應主動出擊，與中南部各縣市之教育局處建立常態合作機制，將園區之民主史料及「小小議長體驗營」、「大專青年國會民主研習營」等活動，系統性地納入地方公民教育之戶外教學場域。同時，應加速園區各項數位典藏資源</w:t>
      </w:r>
      <w:proofErr w:type="gramStart"/>
      <w:r w:rsidRPr="001B6E4D">
        <w:t>之線上化</w:t>
      </w:r>
      <w:proofErr w:type="gramEnd"/>
      <w:r w:rsidRPr="001B6E4D">
        <w:t>與策展內容更新，讓無法親臨現場之民眾亦能共享國會歷史資源。</w:t>
      </w:r>
      <w:proofErr w:type="gramStart"/>
      <w:r w:rsidRPr="001B6E4D">
        <w:t>爰</w:t>
      </w:r>
      <w:proofErr w:type="gramEnd"/>
      <w:r w:rsidRPr="001B6E4D">
        <w:t>建請立法院於3個月內提交書面報告送予立法院司法及法制委員會。【33】</w:t>
      </w:r>
    </w:p>
    <w:p w14:paraId="2BE43716" w14:textId="77777777" w:rsidR="00705B3D" w:rsidRPr="001B6E4D" w:rsidRDefault="00705B3D" w:rsidP="003D1018">
      <w:pPr>
        <w:pStyle w:val="2fb"/>
        <w:overflowPunct w:val="0"/>
      </w:pPr>
      <w:r w:rsidRPr="001B6E4D">
        <w:t>提案人：莊瑞雄</w:t>
      </w:r>
    </w:p>
    <w:p w14:paraId="6D22131E" w14:textId="77777777" w:rsidR="00705B3D" w:rsidRPr="001B6E4D" w:rsidRDefault="00705B3D" w:rsidP="003D1018">
      <w:pPr>
        <w:pStyle w:val="2fb"/>
        <w:overflowPunct w:val="0"/>
      </w:pPr>
      <w:r w:rsidRPr="001B6E4D">
        <w:t>連署人：沈發惠　張雅琳</w:t>
      </w:r>
    </w:p>
    <w:p w14:paraId="4F4454B7" w14:textId="77777777" w:rsidR="00705B3D" w:rsidRPr="001B6E4D" w:rsidRDefault="00705B3D" w:rsidP="003D1018">
      <w:pPr>
        <w:pStyle w:val="1f6"/>
        <w:overflowPunct w:val="0"/>
      </w:pPr>
      <w:r w:rsidRPr="001B6E4D">
        <w:t>針對立法院</w:t>
      </w:r>
      <w:proofErr w:type="gramStart"/>
      <w:r w:rsidRPr="001B6E4D">
        <w:t>115</w:t>
      </w:r>
      <w:proofErr w:type="gramEnd"/>
      <w:r w:rsidRPr="001B6E4D">
        <w:t>年度於「一般行政」及「一般建築及設備」項下編列相關房舍養護與設備</w:t>
      </w:r>
      <w:proofErr w:type="gramStart"/>
      <w:r w:rsidRPr="001B6E4D">
        <w:t>汰</w:t>
      </w:r>
      <w:proofErr w:type="gramEnd"/>
      <w:r w:rsidRPr="001B6E4D">
        <w:t>換預算。</w:t>
      </w:r>
      <w:proofErr w:type="gramStart"/>
      <w:r w:rsidRPr="001B6E4D">
        <w:t>鑑</w:t>
      </w:r>
      <w:proofErr w:type="gramEnd"/>
      <w:r w:rsidRPr="001B6E4D">
        <w:t>於全球氣候變遷日</w:t>
      </w:r>
      <w:r w:rsidRPr="001B6E4D">
        <w:lastRenderedPageBreak/>
        <w:t>益嚴峻，政府已宣示「2050</w:t>
      </w:r>
      <w:proofErr w:type="gramStart"/>
      <w:r w:rsidRPr="001B6E4D">
        <w:t>淨零排放</w:t>
      </w:r>
      <w:proofErr w:type="gramEnd"/>
      <w:r w:rsidRPr="001B6E4D">
        <w:t>」之國家發展目標，惟立法院委員研究大樓及部分院區建築之空調系統老舊，</w:t>
      </w:r>
      <w:proofErr w:type="gramStart"/>
      <w:r w:rsidRPr="001B6E4D">
        <w:t>不僅冷房效能不</w:t>
      </w:r>
      <w:proofErr w:type="gramEnd"/>
      <w:r w:rsidRPr="001B6E4D">
        <w:t>彰，更耗費電力，與國家</w:t>
      </w:r>
      <w:proofErr w:type="gramStart"/>
      <w:r w:rsidRPr="001B6E4D">
        <w:t>節能減碳政策</w:t>
      </w:r>
      <w:proofErr w:type="gramEnd"/>
      <w:r w:rsidRPr="001B6E4D">
        <w:t>背道而馳。雖立法院已</w:t>
      </w:r>
      <w:proofErr w:type="gramStart"/>
      <w:r w:rsidRPr="001B6E4D">
        <w:t>研</w:t>
      </w:r>
      <w:proofErr w:type="gramEnd"/>
      <w:r w:rsidRPr="001B6E4D">
        <w:t>提「台北院區空調系統(含節能監控)優化工程」之中程計畫，然為加速推進國會建築之綠色轉型，立法院應就該空調系統</w:t>
      </w:r>
      <w:proofErr w:type="gramStart"/>
      <w:r w:rsidRPr="001B6E4D">
        <w:t>汰</w:t>
      </w:r>
      <w:proofErr w:type="gramEnd"/>
      <w:r w:rsidRPr="001B6E4D">
        <w:t>換之分期分區施工規劃、預估節電效益指標（KPI）及智慧化能源管理系統之建置進度，進行通盤檢討與落實，以期成為全國公部門之節能標竿。</w:t>
      </w:r>
      <w:proofErr w:type="gramStart"/>
      <w:r w:rsidRPr="001B6E4D">
        <w:t>爰</w:t>
      </w:r>
      <w:proofErr w:type="gramEnd"/>
      <w:r w:rsidRPr="001B6E4D">
        <w:t>建請立法院於3個月內，向立法院司法及法制委員會提出具體執行進度與預期節能效益之書面報告。【34】</w:t>
      </w:r>
    </w:p>
    <w:p w14:paraId="0B72E333" w14:textId="77777777" w:rsidR="00705B3D" w:rsidRPr="001B6E4D" w:rsidRDefault="00705B3D" w:rsidP="003D1018">
      <w:pPr>
        <w:pStyle w:val="2fb"/>
        <w:overflowPunct w:val="0"/>
      </w:pPr>
      <w:r w:rsidRPr="001B6E4D">
        <w:t>提案人：莊瑞雄</w:t>
      </w:r>
    </w:p>
    <w:p w14:paraId="5182D286" w14:textId="77777777" w:rsidR="00705B3D" w:rsidRPr="001B6E4D" w:rsidRDefault="00705B3D" w:rsidP="003D1018">
      <w:pPr>
        <w:pStyle w:val="2fb"/>
        <w:overflowPunct w:val="0"/>
      </w:pPr>
      <w:r w:rsidRPr="001B6E4D">
        <w:t>連署人：沈發惠　張雅琳</w:t>
      </w:r>
    </w:p>
    <w:p w14:paraId="22D344F5" w14:textId="77777777" w:rsidR="00705B3D" w:rsidRPr="001B6E4D" w:rsidRDefault="00705B3D" w:rsidP="003D1018">
      <w:pPr>
        <w:pStyle w:val="1f6"/>
        <w:overflowPunct w:val="0"/>
      </w:pPr>
      <w:r w:rsidRPr="001B6E4D">
        <w:t>針對</w:t>
      </w:r>
      <w:proofErr w:type="gramStart"/>
      <w:r w:rsidRPr="001B6E4D">
        <w:t>115</w:t>
      </w:r>
      <w:proofErr w:type="gramEnd"/>
      <w:r w:rsidRPr="001B6E4D">
        <w:t>年度立法院</w:t>
      </w:r>
      <w:r w:rsidRPr="001B6E4D">
        <w:rPr>
          <w:rFonts w:hint="eastAsia"/>
        </w:rPr>
        <w:t>預算案</w:t>
      </w:r>
      <w:r w:rsidRPr="001B6E4D">
        <w:t>於</w:t>
      </w:r>
      <w:r w:rsidRPr="001B6E4D">
        <w:rPr>
          <w:rFonts w:hint="eastAsia"/>
        </w:rPr>
        <w:t>第</w:t>
      </w:r>
      <w:r w:rsidRPr="001B6E4D">
        <w:t>6目「公報業務」項下編列委託財團法人公共電視文化事業基金會辦理國會議事轉播</w:t>
      </w:r>
      <w:r w:rsidRPr="001B6E4D">
        <w:rPr>
          <w:rFonts w:hint="eastAsia"/>
        </w:rPr>
        <w:t>經費</w:t>
      </w:r>
      <w:r w:rsidRPr="001B6E4D">
        <w:t>9,184萬餘元。為落實「開放國會」理念，進一步保障全民知的權利，並配合國家語言發展法之推動，營造多元族群友善環境。目前國會頻道雖已於總質詢等重大議程試辦</w:t>
      </w:r>
      <w:proofErr w:type="gramStart"/>
      <w:r w:rsidRPr="001B6E4D">
        <w:t>同步聽打字幕</w:t>
      </w:r>
      <w:proofErr w:type="gramEnd"/>
      <w:r w:rsidRPr="001B6E4D">
        <w:t>，惟面對我國聽障國人及多元母語族群之收視需求，仍有精進空間。隨著生成式AI技術快速發展，語音辨識與即時翻譯之準確率大幅提升，立法院應積極善用科技輔助，</w:t>
      </w:r>
      <w:proofErr w:type="gramStart"/>
      <w:r w:rsidRPr="001B6E4D">
        <w:t>研</w:t>
      </w:r>
      <w:proofErr w:type="gramEnd"/>
      <w:r w:rsidRPr="001B6E4D">
        <w:t>議於各項議事轉播中逐步導入AI即時多語（含台語、客語、原住民族語等）字幕與手語翻譯服務之可行性及技術規格升級計畫。</w:t>
      </w:r>
      <w:proofErr w:type="gramStart"/>
      <w:r w:rsidRPr="001B6E4D">
        <w:t>爰</w:t>
      </w:r>
      <w:proofErr w:type="gramEnd"/>
      <w:r w:rsidRPr="001B6E4D">
        <w:t>建請立法院於3個月內，針對國會頻道無障礙服務升級及導入AI語音轉譯技術之推動規劃，向立法院司法及法制委員會提出書面報告。【35】</w:t>
      </w:r>
    </w:p>
    <w:p w14:paraId="1E094286" w14:textId="77777777" w:rsidR="00705B3D" w:rsidRPr="001B6E4D" w:rsidRDefault="00705B3D" w:rsidP="003D1018">
      <w:pPr>
        <w:pStyle w:val="2fb"/>
        <w:overflowPunct w:val="0"/>
      </w:pPr>
      <w:r w:rsidRPr="001B6E4D">
        <w:t>提案人：莊瑞雄</w:t>
      </w:r>
    </w:p>
    <w:p w14:paraId="6449C826" w14:textId="77777777" w:rsidR="00705B3D" w:rsidRPr="001B6E4D" w:rsidRDefault="00705B3D" w:rsidP="003D1018">
      <w:pPr>
        <w:pStyle w:val="2fb"/>
        <w:overflowPunct w:val="0"/>
      </w:pPr>
      <w:r w:rsidRPr="001B6E4D">
        <w:t>連署人：沈發惠　張雅琳</w:t>
      </w:r>
    </w:p>
    <w:p w14:paraId="7D903FDB" w14:textId="77777777" w:rsidR="00705B3D" w:rsidRPr="001B6E4D" w:rsidRDefault="00705B3D" w:rsidP="003D1018">
      <w:pPr>
        <w:pStyle w:val="1f6"/>
        <w:overflowPunct w:val="0"/>
      </w:pPr>
      <w:r w:rsidRPr="001B6E4D">
        <w:t>立法院經管職務宿舍中，仍有原</w:t>
      </w:r>
      <w:r w:rsidRPr="001B6E4D">
        <w:rPr>
          <w:rFonts w:hint="eastAsia"/>
        </w:rPr>
        <w:t>臺灣</w:t>
      </w:r>
      <w:r w:rsidRPr="001B6E4D">
        <w:t>省議會退休人員或其眷屬無償借住使用情形。截至114年8月底，立法院經管多房間職務宿舍中，原眷屬宿舍36戶仍有22戶由省議會退休人員或其眷屬居住使用，且未收取租金及宿舍管理費，雖部分係依行政院相關函示准予續住至宿舍處理時為止，惟退休人員或眷屬長期無償使用國有宿舍，</w:t>
      </w:r>
      <w:proofErr w:type="gramStart"/>
      <w:r w:rsidRPr="001B6E4D">
        <w:t>仍恐影響</w:t>
      </w:r>
      <w:proofErr w:type="gramEnd"/>
      <w:r w:rsidRPr="001B6E4D">
        <w:t>國有財產使用效能及整體空間規劃。</w:t>
      </w:r>
      <w:proofErr w:type="gramStart"/>
      <w:r w:rsidRPr="001B6E4D">
        <w:t>爰</w:t>
      </w:r>
      <w:proofErr w:type="gramEnd"/>
      <w:r w:rsidRPr="001B6E4D">
        <w:t>要求立法院於3個月內，就現有宿舍使用情形、居住資格查核結果、實際居住事實、無償借住戶數、收回進度、後續處理方式及宿舍活化運用規劃，向立法院司法及法制委員會提出書面報告。【36】</w:t>
      </w:r>
    </w:p>
    <w:p w14:paraId="21EE9D89" w14:textId="77777777" w:rsidR="00705B3D" w:rsidRPr="001B6E4D" w:rsidRDefault="00705B3D" w:rsidP="003D1018">
      <w:pPr>
        <w:pStyle w:val="2fb"/>
        <w:overflowPunct w:val="0"/>
      </w:pPr>
      <w:r w:rsidRPr="001B6E4D">
        <w:t>提案人：張雅琳</w:t>
      </w:r>
    </w:p>
    <w:p w14:paraId="5A1E56AD" w14:textId="77777777" w:rsidR="00705B3D" w:rsidRPr="001B6E4D" w:rsidRDefault="00705B3D" w:rsidP="003D1018">
      <w:pPr>
        <w:pStyle w:val="2fb"/>
        <w:overflowPunct w:val="0"/>
      </w:pPr>
      <w:r w:rsidRPr="001B6E4D">
        <w:lastRenderedPageBreak/>
        <w:t>連署人：</w:t>
      </w:r>
      <w:proofErr w:type="gramStart"/>
      <w:r w:rsidRPr="001B6E4D">
        <w:t>范</w:t>
      </w:r>
      <w:proofErr w:type="gramEnd"/>
      <w:r w:rsidRPr="001B6E4D">
        <w:t xml:space="preserve">　雲　沈發惠</w:t>
      </w:r>
    </w:p>
    <w:p w14:paraId="58F016BE" w14:textId="77777777" w:rsidR="00705B3D" w:rsidRPr="001B6E4D" w:rsidRDefault="00705B3D" w:rsidP="003D1018">
      <w:pPr>
        <w:pStyle w:val="1f6"/>
        <w:overflowPunct w:val="0"/>
      </w:pPr>
      <w:r w:rsidRPr="001B6E4D">
        <w:t>立法院為辦理委員研究大樓電梯更新工程，於</w:t>
      </w:r>
      <w:proofErr w:type="gramStart"/>
      <w:r w:rsidRPr="001B6E4D">
        <w:t>113</w:t>
      </w:r>
      <w:proofErr w:type="gramEnd"/>
      <w:r w:rsidRPr="001B6E4D">
        <w:t>年度動支第二預備金2,350萬元，惟截至113年底實際執行結果，保留數高達2,260萬元，占核定</w:t>
      </w:r>
      <w:proofErr w:type="gramStart"/>
      <w:r w:rsidRPr="001B6E4D">
        <w:t>動支數</w:t>
      </w:r>
      <w:proofErr w:type="gramEnd"/>
      <w:r w:rsidRPr="001B6E4D">
        <w:t>96.17%。第二預備金本應用於年度預算確實無法容納且具急迫性之事項，惟本案於113年11月</w:t>
      </w:r>
      <w:proofErr w:type="gramStart"/>
      <w:r w:rsidRPr="001B6E4D">
        <w:t>甫</w:t>
      </w:r>
      <w:proofErr w:type="gramEnd"/>
      <w:r w:rsidRPr="001B6E4D">
        <w:t>獲核定動支，隨即因工程履約期程跨年度而大額保留，顯示其事前規劃、執行期程、付款節點及動支必要性評估仍有檢討空間。</w:t>
      </w:r>
    </w:p>
    <w:p w14:paraId="0DA56672" w14:textId="77777777" w:rsidR="00705B3D" w:rsidRPr="001B6E4D" w:rsidRDefault="00705B3D" w:rsidP="003D1018">
      <w:pPr>
        <w:pStyle w:val="1f7"/>
        <w:overflowPunct w:val="0"/>
      </w:pPr>
      <w:proofErr w:type="gramStart"/>
      <w:r w:rsidRPr="001B6E4D">
        <w:t>爰</w:t>
      </w:r>
      <w:proofErr w:type="gramEnd"/>
      <w:r w:rsidRPr="001B6E4D">
        <w:t>要求立法院於3個月內，就委員研究大樓電梯更新工程動支第二預備金之急迫性、經費估算依據、工程發包及履約期程、保留原因、付款節點、後續執行進度及未來避免類似大額保留之改善措施，向立法院司法及法制委員會提出書面報告。【37】</w:t>
      </w:r>
    </w:p>
    <w:p w14:paraId="1D57DAB7"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提案人：張雅琳</w:t>
      </w:r>
    </w:p>
    <w:p w14:paraId="4E6E53E7"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　沈發惠</w:t>
      </w:r>
    </w:p>
    <w:p w14:paraId="7995B24F" w14:textId="77777777" w:rsidR="00705B3D" w:rsidRPr="001B6E4D" w:rsidRDefault="00705B3D" w:rsidP="003D1018">
      <w:pPr>
        <w:pStyle w:val="1f6"/>
        <w:overflowPunct w:val="0"/>
      </w:pPr>
      <w:proofErr w:type="gramStart"/>
      <w:r w:rsidRPr="001B6E4D">
        <w:t>115</w:t>
      </w:r>
      <w:proofErr w:type="gramEnd"/>
      <w:r w:rsidRPr="001B6E4D">
        <w:t>年度立法院預算案於</w:t>
      </w:r>
      <w:r w:rsidRPr="001B6E4D">
        <w:rPr>
          <w:rFonts w:hint="eastAsia"/>
        </w:rPr>
        <w:t>第8目</w:t>
      </w:r>
      <w:r w:rsidRPr="001B6E4D">
        <w:t>「一般建築及設備</w:t>
      </w:r>
      <w:r w:rsidRPr="001B6E4D">
        <w:rPr>
          <w:rFonts w:hint="eastAsia"/>
        </w:rPr>
        <w:t>」第3節</w:t>
      </w:r>
      <w:r w:rsidRPr="001B6E4D">
        <w:t>「其他設備</w:t>
      </w:r>
      <w:r w:rsidRPr="001B6E4D">
        <w:rPr>
          <w:rFonts w:hint="eastAsia"/>
        </w:rPr>
        <w:t>」項下「</w:t>
      </w:r>
      <w:r w:rsidRPr="001B6E4D">
        <w:t>資訊軟硬體設備費」編列「立法院</w:t>
      </w:r>
      <w:proofErr w:type="gramStart"/>
      <w:r w:rsidRPr="001B6E4D">
        <w:t>民主議</w:t>
      </w:r>
      <w:proofErr w:type="gramEnd"/>
      <w:r w:rsidRPr="001B6E4D">
        <w:t>政園區監視系統更新及新設計畫案」300萬元，主要係辦理</w:t>
      </w:r>
      <w:proofErr w:type="gramStart"/>
      <w:r w:rsidRPr="001B6E4D">
        <w:t>民主議</w:t>
      </w:r>
      <w:proofErr w:type="gramEnd"/>
      <w:r w:rsidRPr="001B6E4D">
        <w:t>政園區監視系統新增及</w:t>
      </w:r>
      <w:proofErr w:type="gramStart"/>
      <w:r w:rsidRPr="001B6E4D">
        <w:t>汰</w:t>
      </w:r>
      <w:proofErr w:type="gramEnd"/>
      <w:r w:rsidRPr="001B6E4D">
        <w:t>換，並作為</w:t>
      </w:r>
      <w:proofErr w:type="gramStart"/>
      <w:r w:rsidRPr="001B6E4D">
        <w:t>114</w:t>
      </w:r>
      <w:proofErr w:type="gramEnd"/>
      <w:r w:rsidRPr="001B6E4D">
        <w:t>年度已編列296萬9千元之第一期後山區監視器建置案後續經費。</w:t>
      </w:r>
      <w:proofErr w:type="gramStart"/>
      <w:r w:rsidRPr="001B6E4D">
        <w:t>惟</w:t>
      </w:r>
      <w:proofErr w:type="gramEnd"/>
      <w:r w:rsidRPr="001B6E4D">
        <w:t>監視系統涉及園區安全、設備維運、影像資料保存、</w:t>
      </w:r>
      <w:proofErr w:type="gramStart"/>
      <w:r w:rsidRPr="001B6E4D">
        <w:t>資安管理</w:t>
      </w:r>
      <w:proofErr w:type="gramEnd"/>
      <w:r w:rsidRPr="001B6E4D">
        <w:t>及民眾隱私保護等事項，且本案屬延續性建置，應清楚說明第一期執行情形、後續建置範圍、設備</w:t>
      </w:r>
      <w:proofErr w:type="gramStart"/>
      <w:r w:rsidRPr="001B6E4D">
        <w:t>汰</w:t>
      </w:r>
      <w:proofErr w:type="gramEnd"/>
      <w:r w:rsidRPr="001B6E4D">
        <w:t>換必要性、維運費用及影像資料管理機制，避免僅以分年編列方式持續擴充設備，卻未能完整呈現整體建置規劃與管理責任。</w:t>
      </w:r>
    </w:p>
    <w:p w14:paraId="7EE68864" w14:textId="77777777" w:rsidR="00705B3D" w:rsidRPr="001B6E4D" w:rsidRDefault="00705B3D" w:rsidP="003D1018">
      <w:pPr>
        <w:pStyle w:val="1f7"/>
        <w:overflowPunct w:val="0"/>
      </w:pPr>
      <w:r w:rsidRPr="001B6E4D">
        <w:t>綜上，建請立法院於3個月內就第一期後山區監視器建置執行情形、</w:t>
      </w:r>
      <w:proofErr w:type="gramStart"/>
      <w:r w:rsidRPr="001B6E4D">
        <w:t>115</w:t>
      </w:r>
      <w:proofErr w:type="gramEnd"/>
      <w:r w:rsidRPr="001B6E4D">
        <w:t>年度預定新增及</w:t>
      </w:r>
      <w:proofErr w:type="gramStart"/>
      <w:r w:rsidRPr="001B6E4D">
        <w:t>汰</w:t>
      </w:r>
      <w:proofErr w:type="gramEnd"/>
      <w:r w:rsidRPr="001B6E4D">
        <w:t>換範圍、設備規格與設置點位、後續維運費用、影像保存期限、調閱權限、</w:t>
      </w:r>
      <w:proofErr w:type="gramStart"/>
      <w:r w:rsidRPr="001B6E4D">
        <w:t>資安防護</w:t>
      </w:r>
      <w:proofErr w:type="gramEnd"/>
      <w:r w:rsidRPr="001B6E4D">
        <w:t>及隱私保護機制，向立法院司法及法制委員會提出書面報告。【38】</w:t>
      </w:r>
    </w:p>
    <w:p w14:paraId="6D0B62BB" w14:textId="77777777" w:rsidR="00705B3D" w:rsidRPr="001B6E4D" w:rsidRDefault="00705B3D" w:rsidP="003D1018">
      <w:pPr>
        <w:pStyle w:val="2fb"/>
        <w:overflowPunct w:val="0"/>
      </w:pPr>
      <w:r w:rsidRPr="001B6E4D">
        <w:t>提案人：張雅琳</w:t>
      </w:r>
    </w:p>
    <w:p w14:paraId="68D78A41" w14:textId="77777777" w:rsidR="00705B3D" w:rsidRPr="001B6E4D" w:rsidRDefault="00705B3D" w:rsidP="003D1018">
      <w:pPr>
        <w:pStyle w:val="2fb"/>
        <w:overflowPunct w:val="0"/>
      </w:pPr>
      <w:r w:rsidRPr="001B6E4D">
        <w:t>連署人：</w:t>
      </w:r>
      <w:proofErr w:type="gramStart"/>
      <w:r w:rsidRPr="001B6E4D">
        <w:t>范</w:t>
      </w:r>
      <w:proofErr w:type="gramEnd"/>
      <w:r w:rsidRPr="001B6E4D">
        <w:t xml:space="preserve">　雲　沈發惠</w:t>
      </w:r>
    </w:p>
    <w:p w14:paraId="2FDFD63A" w14:textId="77777777" w:rsidR="00705B3D" w:rsidRPr="001B6E4D" w:rsidRDefault="00705B3D" w:rsidP="003D1018">
      <w:pPr>
        <w:pStyle w:val="1f6"/>
        <w:overflowPunct w:val="0"/>
      </w:pPr>
      <w:proofErr w:type="gramStart"/>
      <w:r w:rsidRPr="001B6E4D">
        <w:t>115</w:t>
      </w:r>
      <w:proofErr w:type="gramEnd"/>
      <w:r w:rsidRPr="001B6E4D">
        <w:t>年度立法院預算案於</w:t>
      </w:r>
      <w:r w:rsidRPr="001B6E4D">
        <w:rPr>
          <w:rFonts w:hint="eastAsia"/>
        </w:rPr>
        <w:t>第8目</w:t>
      </w:r>
      <w:r w:rsidRPr="001B6E4D">
        <w:t>「一般建築及設備</w:t>
      </w:r>
      <w:r w:rsidRPr="001B6E4D">
        <w:rPr>
          <w:rFonts w:hint="eastAsia"/>
        </w:rPr>
        <w:t>」第1節「</w:t>
      </w:r>
      <w:r w:rsidRPr="001B6E4D">
        <w:t>營建工程」項下新增「立法院群賢樓電梯更新工程」編列83萬8千元，係辦理規劃設計階段費用；惟本案總經費為1,980萬元，除</w:t>
      </w:r>
      <w:proofErr w:type="gramStart"/>
      <w:r w:rsidRPr="001B6E4D">
        <w:t>115</w:t>
      </w:r>
      <w:proofErr w:type="gramEnd"/>
      <w:r w:rsidRPr="001B6E4D">
        <w:t>年度編列83萬8千元外，</w:t>
      </w:r>
      <w:proofErr w:type="gramStart"/>
      <w:r w:rsidRPr="001B6E4D">
        <w:t>116</w:t>
      </w:r>
      <w:proofErr w:type="gramEnd"/>
      <w:r w:rsidRPr="001B6E4D">
        <w:t>年度以後尚需編列1,896萬2千元，屬跨年度工程支出。</w:t>
      </w:r>
      <w:proofErr w:type="gramStart"/>
      <w:r w:rsidRPr="001B6E4D">
        <w:t>鑑</w:t>
      </w:r>
      <w:proofErr w:type="gramEnd"/>
      <w:r w:rsidRPr="001B6E4D">
        <w:t>於立法院近年營建工程預算執行率偏低、保留數偏高，且電梯更新</w:t>
      </w:r>
      <w:proofErr w:type="gramStart"/>
      <w:r w:rsidRPr="001B6E4D">
        <w:t>攸</w:t>
      </w:r>
      <w:proofErr w:type="gramEnd"/>
      <w:r w:rsidRPr="001B6E4D">
        <w:t>關使用者安全</w:t>
      </w:r>
      <w:r w:rsidRPr="001B6E4D">
        <w:lastRenderedPageBreak/>
        <w:t>及後續維護成本，立法院應於規劃設計階段即完整提出工程範圍、</w:t>
      </w:r>
      <w:proofErr w:type="gramStart"/>
      <w:r w:rsidRPr="001B6E4D">
        <w:t>汰</w:t>
      </w:r>
      <w:proofErr w:type="gramEnd"/>
      <w:r w:rsidRPr="001B6E4D">
        <w:t>換必要性、分年期程、經費估算依據、後續發包及驗收規劃，避免後續追加預算或執行延宕。</w:t>
      </w:r>
    </w:p>
    <w:p w14:paraId="392A3727" w14:textId="77777777" w:rsidR="00705B3D" w:rsidRPr="001B6E4D" w:rsidRDefault="00705B3D" w:rsidP="003D1018">
      <w:pPr>
        <w:pStyle w:val="1f7"/>
        <w:overflowPunct w:val="0"/>
      </w:pPr>
      <w:r w:rsidRPr="001B6E4D">
        <w:t>請立法院於3個月內就群賢樓電梯更新工程之設備現況、</w:t>
      </w:r>
      <w:proofErr w:type="gramStart"/>
      <w:r w:rsidRPr="001B6E4D">
        <w:t>汰</w:t>
      </w:r>
      <w:proofErr w:type="gramEnd"/>
      <w:r w:rsidRPr="001B6E4D">
        <w:t>換原因、總經費估算、分年經費需求、設計及施工期程、後續維運成本及安全管理措施，向立法院司法及法制委員會提出書面報告。【39】</w:t>
      </w:r>
    </w:p>
    <w:p w14:paraId="2392A2F8" w14:textId="77777777" w:rsidR="00705B3D" w:rsidRPr="001B6E4D" w:rsidRDefault="00705B3D" w:rsidP="003D1018">
      <w:pPr>
        <w:pStyle w:val="2fb"/>
        <w:overflowPunct w:val="0"/>
      </w:pPr>
      <w:r w:rsidRPr="001B6E4D">
        <w:t>提案人：張雅琳</w:t>
      </w:r>
    </w:p>
    <w:p w14:paraId="4B82C8BA" w14:textId="77777777" w:rsidR="00705B3D" w:rsidRPr="001B6E4D" w:rsidRDefault="00705B3D" w:rsidP="003D1018">
      <w:pPr>
        <w:pStyle w:val="2fb"/>
        <w:overflowPunct w:val="0"/>
      </w:pPr>
      <w:r w:rsidRPr="001B6E4D">
        <w:t>連署人：</w:t>
      </w:r>
      <w:proofErr w:type="gramStart"/>
      <w:r w:rsidRPr="001B6E4D">
        <w:t>范</w:t>
      </w:r>
      <w:proofErr w:type="gramEnd"/>
      <w:r w:rsidRPr="001B6E4D">
        <w:t xml:space="preserve">　雲　沈發惠</w:t>
      </w:r>
    </w:p>
    <w:p w14:paraId="735B7018" w14:textId="77777777" w:rsidR="00705B3D" w:rsidRPr="001B6E4D" w:rsidRDefault="00705B3D" w:rsidP="003D1018">
      <w:pPr>
        <w:pStyle w:val="1-1"/>
        <w:numPr>
          <w:ilvl w:val="0"/>
          <w:numId w:val="33"/>
        </w:numPr>
        <w:ind w:left="924" w:hanging="567"/>
      </w:pPr>
      <w:proofErr w:type="gramStart"/>
      <w:r w:rsidRPr="001B6E4D">
        <w:t>115</w:t>
      </w:r>
      <w:proofErr w:type="gramEnd"/>
      <w:r w:rsidRPr="001B6E4D">
        <w:t>年度立法院編列資訊系統功能擴充、雲端主機設備</w:t>
      </w:r>
      <w:proofErr w:type="gramStart"/>
      <w:r w:rsidRPr="001B6E4D">
        <w:t>汰</w:t>
      </w:r>
      <w:proofErr w:type="gramEnd"/>
      <w:r w:rsidRPr="001B6E4D">
        <w:t>換、異地備援中心機房設備更新及資訊安全建置等相關經費，辦理議事暨公報資訊網、公文檔案管理系統、雲端主機設備及備援系統等業務。</w:t>
      </w:r>
      <w:proofErr w:type="gramStart"/>
      <w:r w:rsidRPr="001B6E4D">
        <w:t>惟</w:t>
      </w:r>
      <w:proofErr w:type="gramEnd"/>
      <w:r w:rsidRPr="001B6E4D">
        <w:t>近年</w:t>
      </w:r>
      <w:proofErr w:type="gramStart"/>
      <w:r w:rsidRPr="001B6E4D">
        <w:t>全球資安威脅</w:t>
      </w:r>
      <w:proofErr w:type="gramEnd"/>
      <w:r w:rsidRPr="001B6E4D">
        <w:t>持續升高，政府機關遭受駭客攻擊、勒索軟體及資訊竊取事件頻傳，立法院作為國家最高立法機關，掌理法律案、預算案、人事同意權及各項議事資料，其資訊系統涉及國家治理及民主運作核心事項，對於資訊安全及營運持續管理之要求尤為重要。</w:t>
      </w:r>
    </w:p>
    <w:p w14:paraId="15E83179" w14:textId="77777777" w:rsidR="00705B3D" w:rsidRPr="001B6E4D" w:rsidRDefault="00705B3D" w:rsidP="003D1018">
      <w:pPr>
        <w:pStyle w:val="1f7"/>
        <w:overflowPunct w:val="0"/>
      </w:pPr>
      <w:proofErr w:type="gramStart"/>
      <w:r w:rsidRPr="001B6E4D">
        <w:t>爰</w:t>
      </w:r>
      <w:proofErr w:type="gramEnd"/>
      <w:r w:rsidRPr="001B6E4D">
        <w:t>請立法院於2個月內向立法院司法及法制委員會提出</w:t>
      </w:r>
      <w:proofErr w:type="gramStart"/>
      <w:r w:rsidRPr="001B6E4D">
        <w:t>國會資安韌性</w:t>
      </w:r>
      <w:proofErr w:type="gramEnd"/>
      <w:r w:rsidRPr="001B6E4D">
        <w:t>及異地</w:t>
      </w:r>
      <w:proofErr w:type="gramStart"/>
      <w:r w:rsidRPr="001B6E4D">
        <w:t>備援精進</w:t>
      </w:r>
      <w:proofErr w:type="gramEnd"/>
      <w:r w:rsidRPr="001B6E4D">
        <w:t>計畫書面報告，內容應</w:t>
      </w:r>
      <w:proofErr w:type="gramStart"/>
      <w:r w:rsidRPr="001B6E4D">
        <w:t>包括資安風險</w:t>
      </w:r>
      <w:proofErr w:type="gramEnd"/>
      <w:r w:rsidRPr="001B6E4D">
        <w:t>盤點、關鍵系統分級管理、異地備援機制、</w:t>
      </w:r>
      <w:proofErr w:type="gramStart"/>
      <w:r w:rsidRPr="001B6E4D">
        <w:t>重大資安事件</w:t>
      </w:r>
      <w:proofErr w:type="gramEnd"/>
      <w:r w:rsidRPr="001B6E4D">
        <w:t>應變程序、演練成果及未來改善規劃。【40】</w:t>
      </w:r>
    </w:p>
    <w:p w14:paraId="07BEA00A" w14:textId="77777777" w:rsidR="00705B3D" w:rsidRPr="001B6E4D" w:rsidRDefault="00705B3D" w:rsidP="003D1018">
      <w:pPr>
        <w:pStyle w:val="2fb"/>
        <w:overflowPunct w:val="0"/>
      </w:pPr>
      <w:r w:rsidRPr="001B6E4D">
        <w:t>提案人：沈發惠</w:t>
      </w:r>
    </w:p>
    <w:p w14:paraId="370E5223" w14:textId="77777777" w:rsidR="00705B3D" w:rsidRPr="001B6E4D" w:rsidRDefault="00705B3D" w:rsidP="003D1018">
      <w:pPr>
        <w:pStyle w:val="2fb"/>
        <w:overflowPunct w:val="0"/>
      </w:pPr>
      <w:r w:rsidRPr="001B6E4D">
        <w:t xml:space="preserve">連署人：莊瑞雄　</w:t>
      </w:r>
      <w:proofErr w:type="gramStart"/>
      <w:r w:rsidRPr="001B6E4D">
        <w:t>范</w:t>
      </w:r>
      <w:proofErr w:type="gramEnd"/>
      <w:r w:rsidRPr="001B6E4D">
        <w:t xml:space="preserve">　雲</w:t>
      </w:r>
    </w:p>
    <w:p w14:paraId="3B71CC87" w14:textId="77777777" w:rsidR="00705B3D" w:rsidRPr="001B6E4D" w:rsidRDefault="00705B3D" w:rsidP="003D1018">
      <w:pPr>
        <w:pStyle w:val="1f6"/>
        <w:overflowPunct w:val="0"/>
      </w:pPr>
      <w:r w:rsidRPr="001B6E4D">
        <w:t>立法院辦理國會助理培訓，以增進助理對國會運作及議事程序之瞭解，協助委員問政。</w:t>
      </w:r>
      <w:proofErr w:type="gramStart"/>
      <w:r w:rsidRPr="001B6E4D">
        <w:t>惟</w:t>
      </w:r>
      <w:proofErr w:type="gramEnd"/>
      <w:r w:rsidRPr="001B6E4D">
        <w:t>近年公共政策涉及人工智慧、數位治理、資通安全、氣候變遷、國際經貿及高科技產業等新興領域，專業性及複雜程度持續提升，對國會助理政策研究及法案分析能力要求亦日益提高。</w:t>
      </w:r>
    </w:p>
    <w:p w14:paraId="17C01948" w14:textId="77777777" w:rsidR="00705B3D" w:rsidRPr="001B6E4D" w:rsidRDefault="00705B3D" w:rsidP="003D1018">
      <w:pPr>
        <w:pStyle w:val="1f7"/>
        <w:overflowPunct w:val="0"/>
      </w:pPr>
      <w:proofErr w:type="gramStart"/>
      <w:r w:rsidRPr="001B6E4D">
        <w:t>爰</w:t>
      </w:r>
      <w:proofErr w:type="gramEnd"/>
      <w:r w:rsidRPr="001B6E4D">
        <w:t>請立法院於2個月內向立法院司法及法制委員會提出國會助理培訓制度精進方案書面報告，內容包括課程規劃、訓練量能、成效評估機制及新興政策領域專業課程發展方向，以提升國會問政品質。【41】</w:t>
      </w:r>
    </w:p>
    <w:p w14:paraId="3F96A883" w14:textId="77777777" w:rsidR="00705B3D" w:rsidRPr="001B6E4D" w:rsidRDefault="00705B3D" w:rsidP="003D1018">
      <w:pPr>
        <w:pStyle w:val="2fb"/>
        <w:overflowPunct w:val="0"/>
      </w:pPr>
      <w:r w:rsidRPr="001B6E4D">
        <w:t>提案人：沈發惠</w:t>
      </w:r>
    </w:p>
    <w:p w14:paraId="11CB7CC3" w14:textId="77777777" w:rsidR="00705B3D" w:rsidRPr="001B6E4D" w:rsidRDefault="00705B3D" w:rsidP="003D1018">
      <w:pPr>
        <w:pStyle w:val="2fb"/>
        <w:overflowPunct w:val="0"/>
      </w:pPr>
      <w:r w:rsidRPr="001B6E4D">
        <w:t xml:space="preserve">連署人：莊瑞雄　</w:t>
      </w:r>
      <w:proofErr w:type="gramStart"/>
      <w:r w:rsidRPr="001B6E4D">
        <w:t>范</w:t>
      </w:r>
      <w:proofErr w:type="gramEnd"/>
      <w:r w:rsidRPr="001B6E4D">
        <w:t xml:space="preserve">　雲</w:t>
      </w:r>
    </w:p>
    <w:p w14:paraId="467E1025" w14:textId="77777777" w:rsidR="00705B3D" w:rsidRPr="001B6E4D" w:rsidRDefault="00705B3D" w:rsidP="003D1018">
      <w:pPr>
        <w:pStyle w:val="1f6"/>
        <w:overflowPunct w:val="0"/>
      </w:pPr>
      <w:r w:rsidRPr="001B6E4D">
        <w:t>立法院持續辦理立法資料、議事紀錄、公報及議政史料數位典藏作業，並建構相關查詢系統供各界利用。</w:t>
      </w:r>
      <w:proofErr w:type="gramStart"/>
      <w:r w:rsidRPr="001B6E4D">
        <w:t>惟隨數位</w:t>
      </w:r>
      <w:proofErr w:type="gramEnd"/>
      <w:r w:rsidRPr="001B6E4D">
        <w:t>科技發展及資料開放需求提升，如何強化跨系統整合、提升資料檢索便利性及促進資料再利用，仍有精進空間。</w:t>
      </w:r>
    </w:p>
    <w:p w14:paraId="6D3E23F8" w14:textId="77777777" w:rsidR="00705B3D" w:rsidRPr="001B6E4D" w:rsidRDefault="00705B3D" w:rsidP="003D1018">
      <w:pPr>
        <w:pStyle w:val="1f7"/>
        <w:overflowPunct w:val="0"/>
      </w:pPr>
      <w:proofErr w:type="gramStart"/>
      <w:r w:rsidRPr="001B6E4D">
        <w:lastRenderedPageBreak/>
        <w:t>爰</w:t>
      </w:r>
      <w:proofErr w:type="gramEnd"/>
      <w:r w:rsidRPr="001B6E4D">
        <w:t>請立法院於2個月內向立法院司法及法制委員會提出議事資料數位典藏與開放利用精進計畫書面報告，說明數位化進度、資料庫整合情形、使用成效及未來推動方向。【42】</w:t>
      </w:r>
    </w:p>
    <w:p w14:paraId="03F6DAB5"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3030FDBD"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連署人：莊瑞雄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62830709" w14:textId="77777777" w:rsidR="00705B3D" w:rsidRPr="001B6E4D" w:rsidRDefault="00705B3D" w:rsidP="003D1018">
      <w:pPr>
        <w:pStyle w:val="1f6"/>
        <w:overflowPunct w:val="0"/>
      </w:pPr>
      <w:proofErr w:type="gramStart"/>
      <w:r w:rsidRPr="001B6E4D">
        <w:t>115</w:t>
      </w:r>
      <w:proofErr w:type="gramEnd"/>
      <w:r w:rsidRPr="001B6E4D">
        <w:t>年度立法院編列國會交流事務相關經費，持續推動國會外交及國際交流工作，透過參與國際組織、論壇及各國議會互訪等方式，拓展我國國際空間。</w:t>
      </w:r>
      <w:proofErr w:type="gramStart"/>
      <w:r w:rsidRPr="001B6E4D">
        <w:t>惟</w:t>
      </w:r>
      <w:proofErr w:type="gramEnd"/>
      <w:r w:rsidRPr="001B6E4D">
        <w:t>國會外交成果多屬長期累積性質，相關效益不易以量化方式呈現，外界亦難以瞭解交流成果與我國外交、經貿及國際合作之具體連結。</w:t>
      </w:r>
    </w:p>
    <w:p w14:paraId="57B1DA21" w14:textId="77777777" w:rsidR="00705B3D" w:rsidRPr="001B6E4D" w:rsidRDefault="00705B3D" w:rsidP="003D1018">
      <w:pPr>
        <w:pStyle w:val="1f7"/>
        <w:overflowPunct w:val="0"/>
      </w:pPr>
      <w:proofErr w:type="gramStart"/>
      <w:r w:rsidRPr="001B6E4D">
        <w:t>爰</w:t>
      </w:r>
      <w:proofErr w:type="gramEnd"/>
      <w:r w:rsidRPr="001B6E4D">
        <w:t>請立法院於2個月內向立法院司法及法制委員會提出國會外交效益評估及成果追蹤機制書面報告，盤點近年重要交流成果、後續合作事項及國際友台網絡建立情形，並</w:t>
      </w:r>
      <w:proofErr w:type="gramStart"/>
      <w:r w:rsidRPr="001B6E4D">
        <w:t>研</w:t>
      </w:r>
      <w:proofErr w:type="gramEnd"/>
      <w:r w:rsidRPr="001B6E4D">
        <w:t>議建立具體績效評估指標，以提升預算執行效益。【43】</w:t>
      </w:r>
    </w:p>
    <w:p w14:paraId="5D0A1979" w14:textId="77777777" w:rsidR="00705B3D" w:rsidRPr="001B6E4D" w:rsidRDefault="00705B3D" w:rsidP="003D1018">
      <w:pPr>
        <w:pStyle w:val="2fb"/>
        <w:overflowPunct w:val="0"/>
      </w:pPr>
      <w:r w:rsidRPr="001B6E4D">
        <w:t>提案人：沈發惠</w:t>
      </w:r>
    </w:p>
    <w:p w14:paraId="67802FF7" w14:textId="77777777" w:rsidR="00705B3D" w:rsidRPr="001B6E4D" w:rsidRDefault="00705B3D" w:rsidP="003D1018">
      <w:pPr>
        <w:pStyle w:val="2fb"/>
        <w:overflowPunct w:val="0"/>
      </w:pPr>
      <w:r w:rsidRPr="001B6E4D">
        <w:t xml:space="preserve">連署人：莊瑞雄　</w:t>
      </w:r>
      <w:proofErr w:type="gramStart"/>
      <w:r w:rsidRPr="001B6E4D">
        <w:t>范</w:t>
      </w:r>
      <w:proofErr w:type="gramEnd"/>
      <w:r w:rsidRPr="001B6E4D">
        <w:t xml:space="preserve">　雲</w:t>
      </w:r>
    </w:p>
    <w:p w14:paraId="3BBCFDFB" w14:textId="77777777" w:rsidR="00705B3D" w:rsidRPr="001B6E4D" w:rsidRDefault="00705B3D" w:rsidP="003D1018">
      <w:pPr>
        <w:pStyle w:val="1f6"/>
        <w:overflowPunct w:val="0"/>
      </w:pPr>
      <w:r w:rsidRPr="001B6E4D">
        <w:t>立法院持續辦理議政史料蒐集、整理、典藏及展示業務，並投入相關展示設施及公共服務改善經費。</w:t>
      </w:r>
      <w:proofErr w:type="gramStart"/>
      <w:r w:rsidRPr="001B6E4D">
        <w:t>惟議政</w:t>
      </w:r>
      <w:proofErr w:type="gramEnd"/>
      <w:r w:rsidRPr="001B6E4D">
        <w:t>史料具有保存我國民主憲政發展歷程之重要價值，相關典藏管理、數位保存及展示策略均</w:t>
      </w:r>
      <w:proofErr w:type="gramStart"/>
      <w:r w:rsidRPr="001B6E4D">
        <w:t>攸</w:t>
      </w:r>
      <w:proofErr w:type="gramEnd"/>
      <w:r w:rsidRPr="001B6E4D">
        <w:t>關文化資產保存及民主教育推廣成效。</w:t>
      </w:r>
    </w:p>
    <w:p w14:paraId="5C686B8F" w14:textId="77777777" w:rsidR="00705B3D" w:rsidRPr="001B6E4D" w:rsidRDefault="00705B3D" w:rsidP="003D1018">
      <w:pPr>
        <w:pStyle w:val="1f7"/>
        <w:overflowPunct w:val="0"/>
      </w:pPr>
      <w:proofErr w:type="gramStart"/>
      <w:r w:rsidRPr="001B6E4D">
        <w:t>爰</w:t>
      </w:r>
      <w:proofErr w:type="gramEnd"/>
      <w:r w:rsidRPr="001B6E4D">
        <w:t>請立法院於2個月內向立法院司法及法制委員會提出議政史料典藏管理與展示發展計畫書面報告，說明典藏現況、數位保存成果、教育推廣效益及未來發展規劃。【44】</w:t>
      </w:r>
    </w:p>
    <w:p w14:paraId="2CF343F0" w14:textId="77777777" w:rsidR="00705B3D" w:rsidRPr="001B6E4D" w:rsidRDefault="00705B3D" w:rsidP="003D1018">
      <w:pPr>
        <w:pStyle w:val="2fb"/>
        <w:overflowPunct w:val="0"/>
      </w:pPr>
      <w:r w:rsidRPr="001B6E4D">
        <w:t>提案人：沈發惠</w:t>
      </w:r>
    </w:p>
    <w:p w14:paraId="0B8212C0" w14:textId="77777777" w:rsidR="00705B3D" w:rsidRPr="001B6E4D" w:rsidRDefault="00705B3D" w:rsidP="003D1018">
      <w:pPr>
        <w:pStyle w:val="2fb"/>
        <w:overflowPunct w:val="0"/>
      </w:pPr>
      <w:r w:rsidRPr="001B6E4D">
        <w:t xml:space="preserve">連署人：莊瑞雄　</w:t>
      </w:r>
      <w:proofErr w:type="gramStart"/>
      <w:r w:rsidRPr="001B6E4D">
        <w:t>范</w:t>
      </w:r>
      <w:proofErr w:type="gramEnd"/>
      <w:r w:rsidRPr="001B6E4D">
        <w:t xml:space="preserve">　雲</w:t>
      </w:r>
    </w:p>
    <w:p w14:paraId="18160AF2" w14:textId="77777777" w:rsidR="00705B3D" w:rsidRPr="001B6E4D" w:rsidRDefault="00705B3D" w:rsidP="003D1018">
      <w:pPr>
        <w:pStyle w:val="1f6"/>
        <w:overflowPunct w:val="0"/>
      </w:pPr>
      <w:r w:rsidRPr="001B6E4D">
        <w:t>依</w:t>
      </w:r>
      <w:proofErr w:type="gramStart"/>
      <w:r w:rsidRPr="001B6E4D">
        <w:t>115</w:t>
      </w:r>
      <w:proofErr w:type="gramEnd"/>
      <w:r w:rsidRPr="001B6E4D">
        <w:rPr>
          <w:rFonts w:hint="eastAsia"/>
        </w:rPr>
        <w:t>年度立法院單位</w:t>
      </w:r>
      <w:r w:rsidRPr="001B6E4D">
        <w:t>預算書所列，立法院現有職員、聘僱人員及技工工友等人力配置達千人以上，並肩負議事、法制、預算、資訊、國際事務及行政支援等重要工作。</w:t>
      </w:r>
      <w:proofErr w:type="gramStart"/>
      <w:r w:rsidRPr="001B6E4D">
        <w:t>惟隨數位</w:t>
      </w:r>
      <w:proofErr w:type="gramEnd"/>
      <w:r w:rsidRPr="001B6E4D">
        <w:t>轉型及國會功能日趨多元，人力結構與專業職能配置是否符合實際業務需求，值得持續檢討。</w:t>
      </w:r>
    </w:p>
    <w:p w14:paraId="20AEAC6C" w14:textId="77777777" w:rsidR="00705B3D" w:rsidRPr="001B6E4D" w:rsidRDefault="00705B3D" w:rsidP="003D1018">
      <w:pPr>
        <w:pStyle w:val="1f7"/>
        <w:overflowPunct w:val="0"/>
      </w:pPr>
      <w:proofErr w:type="gramStart"/>
      <w:r w:rsidRPr="001B6E4D">
        <w:t>爰</w:t>
      </w:r>
      <w:proofErr w:type="gramEnd"/>
      <w:r w:rsidRPr="001B6E4D">
        <w:t>請立法院提出人力資源發展及組織效能精進報告，就員額配置、專業訓練、人力結構及未來發展方向進行整體評估，於2個月內向立法院司法及法制委員會提出書面報告。【46】</w:t>
      </w:r>
    </w:p>
    <w:p w14:paraId="68198226"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提案人：沈發惠</w:t>
      </w:r>
    </w:p>
    <w:p w14:paraId="35A2E09E"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連署人：莊瑞雄　</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color w:val="000000"/>
          <w:sz w:val="28"/>
          <w:szCs w:val="28"/>
        </w:rPr>
        <w:t xml:space="preserve">　雲</w:t>
      </w:r>
    </w:p>
    <w:p w14:paraId="448FEE0E" w14:textId="77777777" w:rsidR="00705B3D" w:rsidRPr="001B6E4D" w:rsidRDefault="00705B3D" w:rsidP="003D1018">
      <w:pPr>
        <w:pStyle w:val="1f6"/>
        <w:overflowPunct w:val="0"/>
      </w:pPr>
      <w:r w:rsidRPr="001B6E4D">
        <w:t>隨生成式人工智慧技術快速發展，全球各國議會已逐步導入人工智慧工具協助法案檢索、議事資料分析、會議紀錄整理及知識管理等工作。立法院近年亦持續推動資訊系統功能擴充</w:t>
      </w:r>
      <w:r w:rsidRPr="001B6E4D">
        <w:lastRenderedPageBreak/>
        <w:t>及數位轉型相關建設，惟對於人工智慧應用之整體規劃仍有進一步精進空間。</w:t>
      </w:r>
    </w:p>
    <w:p w14:paraId="60AC7510" w14:textId="77777777" w:rsidR="00705B3D" w:rsidRPr="001B6E4D" w:rsidRDefault="00705B3D" w:rsidP="003D1018">
      <w:pPr>
        <w:pStyle w:val="1f7"/>
        <w:overflowPunct w:val="0"/>
      </w:pPr>
      <w:proofErr w:type="gramStart"/>
      <w:r w:rsidRPr="001B6E4D">
        <w:t>爰</w:t>
      </w:r>
      <w:proofErr w:type="gramEnd"/>
      <w:r w:rsidRPr="001B6E4D">
        <w:t>請立法院於2個月內向立法院司法及法制委員會提出國會人工智慧應用發展藍圖書面報告，內容包括國際國會推動現況、我國可行應用場域、</w:t>
      </w:r>
      <w:proofErr w:type="gramStart"/>
      <w:r w:rsidRPr="001B6E4D">
        <w:t>資安及</w:t>
      </w:r>
      <w:proofErr w:type="gramEnd"/>
      <w:r w:rsidRPr="001B6E4D">
        <w:t>個資保護配套措施，以及分階段推動規劃。【47】</w:t>
      </w:r>
    </w:p>
    <w:p w14:paraId="5313C8D1" w14:textId="77777777" w:rsidR="00705B3D" w:rsidRPr="001B6E4D" w:rsidRDefault="00705B3D" w:rsidP="003D1018">
      <w:pPr>
        <w:pStyle w:val="2fb"/>
        <w:overflowPunct w:val="0"/>
      </w:pPr>
      <w:r w:rsidRPr="001B6E4D">
        <w:t>提案人：沈發惠</w:t>
      </w:r>
    </w:p>
    <w:p w14:paraId="390BEA3E" w14:textId="77777777" w:rsidR="00705B3D" w:rsidRPr="001B6E4D" w:rsidRDefault="00705B3D" w:rsidP="003D1018">
      <w:pPr>
        <w:pStyle w:val="2fb"/>
        <w:overflowPunct w:val="0"/>
      </w:pPr>
      <w:r w:rsidRPr="001B6E4D">
        <w:t xml:space="preserve">連署人：莊瑞雄　</w:t>
      </w:r>
      <w:proofErr w:type="gramStart"/>
      <w:r w:rsidRPr="001B6E4D">
        <w:t>范</w:t>
      </w:r>
      <w:proofErr w:type="gramEnd"/>
      <w:r w:rsidRPr="001B6E4D">
        <w:t xml:space="preserve">　雲</w:t>
      </w:r>
    </w:p>
    <w:p w14:paraId="19263114" w14:textId="77777777" w:rsidR="00705B3D" w:rsidRPr="001B6E4D" w:rsidRDefault="00705B3D" w:rsidP="003D1018">
      <w:pPr>
        <w:pStyle w:val="1f6"/>
        <w:overflowPunct w:val="0"/>
      </w:pPr>
      <w:r w:rsidRPr="001B6E4D">
        <w:t>有</w:t>
      </w:r>
      <w:proofErr w:type="gramStart"/>
      <w:r w:rsidRPr="001B6E4D">
        <w:t>鑑</w:t>
      </w:r>
      <w:proofErr w:type="gramEnd"/>
      <w:r w:rsidRPr="001B6E4D">
        <w:t>於立法院建置「預算提案系統」係為便利各委員辦公室助理同仁於預算審查期間之撰擬作業，並透過資訊化工具簡化提案流程。惟經實務操作中發現，該系統目前仍有若干功能未盡完善衍生不便。例如：系統尚無法針對不要之預算提案進行刪除；缺乏編排順序之功能，致面臨提案量較</w:t>
      </w:r>
      <w:proofErr w:type="gramStart"/>
      <w:r w:rsidRPr="001B6E4D">
        <w:t>多時，</w:t>
      </w:r>
      <w:proofErr w:type="gramEnd"/>
      <w:r w:rsidRPr="001B6E4D">
        <w:t>彙整工作繁複；</w:t>
      </w:r>
      <w:proofErr w:type="gramStart"/>
      <w:r w:rsidRPr="001B6E4D">
        <w:t>此外，</w:t>
      </w:r>
      <w:proofErr w:type="gramEnd"/>
      <w:r w:rsidRPr="001B6E4D">
        <w:t>同一份預算提案每次列印時，系統所產生之QR Code 往往會發生變動，亦不便後續議事資料比對、條理化整理與追蹤。</w:t>
      </w:r>
    </w:p>
    <w:p w14:paraId="69359CF6" w14:textId="77777777" w:rsidR="00705B3D" w:rsidRPr="001B6E4D" w:rsidRDefault="00705B3D" w:rsidP="003D1018">
      <w:pPr>
        <w:pStyle w:val="1f7"/>
        <w:overflowPunct w:val="0"/>
      </w:pPr>
      <w:r w:rsidRPr="001B6E4D">
        <w:t>為確實達到協助幕僚同仁減輕工作負擔、提升國會議事行政效能之目的，</w:t>
      </w:r>
      <w:proofErr w:type="gramStart"/>
      <w:r w:rsidRPr="001B6E4D">
        <w:t>爰</w:t>
      </w:r>
      <w:proofErr w:type="gramEnd"/>
      <w:r w:rsidRPr="001B6E4D">
        <w:t>要求立法院應重視使用者反饋，優化預算提案系統功能升級。【48】</w:t>
      </w:r>
    </w:p>
    <w:p w14:paraId="48D37B42"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提案人：許宇</w:t>
      </w:r>
      <w:proofErr w:type="gramStart"/>
      <w:r w:rsidRPr="001B6E4D">
        <w:rPr>
          <w:rFonts w:ascii="標楷體" w:eastAsia="標楷體" w:hAnsi="標楷體"/>
          <w:color w:val="000000"/>
          <w:sz w:val="28"/>
          <w:szCs w:val="28"/>
        </w:rPr>
        <w:t>甄</w:t>
      </w:r>
      <w:proofErr w:type="gramEnd"/>
    </w:p>
    <w:p w14:paraId="742C7069" w14:textId="77777777" w:rsidR="00705B3D" w:rsidRPr="001B6E4D" w:rsidRDefault="00705B3D" w:rsidP="003D1018">
      <w:pPr>
        <w:overflowPunct w:val="0"/>
        <w:snapToGrid w:val="0"/>
        <w:ind w:leftChars="1500" w:left="4776" w:hangingChars="420" w:hanging="1176"/>
        <w:jc w:val="both"/>
        <w:rPr>
          <w:rFonts w:ascii="標楷體" w:eastAsia="標楷體" w:hAnsi="標楷體"/>
          <w:color w:val="000000"/>
          <w:sz w:val="28"/>
          <w:szCs w:val="28"/>
        </w:rPr>
      </w:pPr>
      <w:r w:rsidRPr="001B6E4D">
        <w:rPr>
          <w:rFonts w:ascii="標楷體" w:eastAsia="標楷體" w:hAnsi="標楷體"/>
          <w:color w:val="000000"/>
          <w:sz w:val="28"/>
          <w:szCs w:val="28"/>
        </w:rPr>
        <w:t>連署人：</w:t>
      </w:r>
      <w:r w:rsidRPr="001B6E4D">
        <w:rPr>
          <w:rFonts w:ascii="標楷體" w:eastAsia="標楷體" w:hAnsi="標楷體" w:hint="eastAsia"/>
          <w:color w:val="000000"/>
          <w:sz w:val="28"/>
          <w:szCs w:val="28"/>
        </w:rPr>
        <w:t>林沛祥</w:t>
      </w:r>
      <w:r w:rsidRPr="001B6E4D">
        <w:rPr>
          <w:rFonts w:ascii="標楷體" w:eastAsia="標楷體" w:hAnsi="標楷體"/>
          <w:color w:val="000000"/>
          <w:sz w:val="28"/>
          <w:szCs w:val="28"/>
        </w:rPr>
        <w:t xml:space="preserve">　</w:t>
      </w:r>
      <w:r w:rsidRPr="001B6E4D">
        <w:rPr>
          <w:rFonts w:ascii="標楷體" w:eastAsia="標楷體" w:hAnsi="標楷體" w:hint="eastAsia"/>
          <w:color w:val="000000"/>
          <w:sz w:val="28"/>
          <w:szCs w:val="28"/>
        </w:rPr>
        <w:t>林倩綺</w:t>
      </w:r>
    </w:p>
    <w:p w14:paraId="67E15963" w14:textId="77777777" w:rsidR="00705B3D" w:rsidRPr="001B6E4D" w:rsidRDefault="00705B3D" w:rsidP="003D1018">
      <w:pPr>
        <w:pStyle w:val="0-"/>
        <w:overflowPunct w:val="0"/>
        <w:spacing w:line="380" w:lineRule="exact"/>
        <w:ind w:leftChars="2" w:left="566" w:hanging="561"/>
        <w:rPr>
          <w:b/>
          <w:shd w:val="clear" w:color="auto" w:fill="FFFFFF"/>
        </w:rPr>
      </w:pPr>
      <w:r w:rsidRPr="001B6E4D">
        <w:rPr>
          <w:rFonts w:hint="eastAsia"/>
          <w:b/>
          <w:shd w:val="clear" w:color="auto" w:fill="FFFFFF"/>
        </w:rPr>
        <w:t>(三)中華民國</w:t>
      </w:r>
      <w:proofErr w:type="gramStart"/>
      <w:r w:rsidRPr="001B6E4D">
        <w:rPr>
          <w:b/>
          <w:shd w:val="clear" w:color="auto" w:fill="FFFFFF"/>
        </w:rPr>
        <w:t>11</w:t>
      </w:r>
      <w:r w:rsidRPr="001B6E4D">
        <w:rPr>
          <w:rFonts w:hint="eastAsia"/>
          <w:b/>
          <w:shd w:val="clear" w:color="auto" w:fill="FFFFFF"/>
        </w:rPr>
        <w:t>5</w:t>
      </w:r>
      <w:proofErr w:type="gramEnd"/>
      <w:r w:rsidRPr="001B6E4D">
        <w:rPr>
          <w:rFonts w:hint="eastAsia"/>
          <w:b/>
          <w:shd w:val="clear" w:color="auto" w:fill="FFFFFF"/>
        </w:rPr>
        <w:t>年度中央政府總預算案關於立法院主管收支部分</w:t>
      </w:r>
      <w:r w:rsidRPr="001B6E4D">
        <w:rPr>
          <w:b/>
          <w:shd w:val="clear" w:color="auto" w:fill="FFFFFF"/>
        </w:rPr>
        <w:t>審查完竣，</w:t>
      </w:r>
      <w:r w:rsidRPr="001B6E4D">
        <w:rPr>
          <w:rFonts w:hint="eastAsia"/>
          <w:b/>
          <w:shd w:val="clear" w:color="auto" w:fill="FFFFFF"/>
        </w:rPr>
        <w:t>提報院會，院會討論前，</w:t>
      </w:r>
      <w:r w:rsidRPr="001B6E4D">
        <w:rPr>
          <w:b/>
          <w:shd w:val="clear" w:color="auto" w:fill="FFFFFF"/>
        </w:rPr>
        <w:t>須交由黨團協商</w:t>
      </w:r>
      <w:r w:rsidRPr="001B6E4D">
        <w:rPr>
          <w:rFonts w:hint="eastAsia"/>
          <w:b/>
          <w:shd w:val="clear" w:color="auto" w:fill="FFFFFF"/>
        </w:rPr>
        <w:t>；院會討論時，由翁召集委員曉玲出席說明</w:t>
      </w:r>
      <w:r w:rsidRPr="001B6E4D">
        <w:rPr>
          <w:b/>
          <w:shd w:val="clear" w:color="auto" w:fill="FFFFFF"/>
        </w:rPr>
        <w:t>。</w:t>
      </w:r>
    </w:p>
    <w:p w14:paraId="4B2F24DF" w14:textId="77777777" w:rsidR="00705B3D" w:rsidRPr="001B6E4D" w:rsidRDefault="00705B3D" w:rsidP="003D1018">
      <w:pPr>
        <w:overflowPunct w:val="0"/>
        <w:adjustRightInd w:val="0"/>
        <w:snapToGrid w:val="0"/>
        <w:spacing w:line="380" w:lineRule="exact"/>
        <w:ind w:left="560" w:hangingChars="200" w:hanging="560"/>
        <w:jc w:val="both"/>
        <w:rPr>
          <w:rFonts w:ascii="標楷體" w:eastAsia="標楷體" w:hAnsi="標楷體"/>
          <w:b/>
          <w:color w:val="000000" w:themeColor="text1"/>
          <w:sz w:val="28"/>
          <w:szCs w:val="28"/>
          <w:shd w:val="clear" w:color="auto" w:fill="FFFFFF"/>
        </w:rPr>
      </w:pPr>
      <w:r w:rsidRPr="001B6E4D">
        <w:rPr>
          <w:rFonts w:ascii="標楷體" w:eastAsia="標楷體" w:hAnsi="標楷體" w:hint="eastAsia"/>
          <w:sz w:val="28"/>
          <w:szCs w:val="28"/>
          <w:shd w:val="clear" w:color="auto" w:fill="FFFFFF" w:themeFill="background1"/>
        </w:rPr>
        <w:t>三、本次會議通過之決議，依例文字授權主席及議事人員整理。</w:t>
      </w:r>
    </w:p>
    <w:p w14:paraId="6AA66D27" w14:textId="77777777" w:rsidR="00705B3D" w:rsidRPr="001B6E4D" w:rsidRDefault="00705B3D" w:rsidP="003D1018">
      <w:pPr>
        <w:overflowPunct w:val="0"/>
        <w:spacing w:line="380" w:lineRule="exact"/>
        <w:ind w:left="504" w:hangingChars="180" w:hanging="504"/>
        <w:contextualSpacing/>
        <w:jc w:val="both"/>
        <w:rPr>
          <w:rFonts w:ascii="標楷體" w:eastAsia="標楷體" w:hAnsi="標楷體"/>
          <w:b/>
          <w:color w:val="000000" w:themeColor="text1"/>
          <w:sz w:val="28"/>
          <w:szCs w:val="28"/>
          <w:shd w:val="clear" w:color="auto" w:fill="FFFFFF"/>
        </w:rPr>
      </w:pPr>
      <w:r w:rsidRPr="001B6E4D">
        <w:rPr>
          <w:rFonts w:ascii="標楷體" w:eastAsia="標楷體" w:hAnsi="標楷體" w:hint="eastAsia"/>
          <w:sz w:val="28"/>
          <w:szCs w:val="28"/>
        </w:rPr>
        <w:t>四、委員</w:t>
      </w:r>
      <w:r w:rsidRPr="001B6E4D">
        <w:rPr>
          <w:rFonts w:ascii="標楷體" w:eastAsia="標楷體" w:hAnsi="標楷體" w:hint="eastAsia"/>
          <w:color w:val="000000" w:themeColor="text1"/>
          <w:sz w:val="28"/>
          <w:szCs w:val="28"/>
        </w:rPr>
        <w:t>質詢時，要求提供相關資料或以書面答復者，請相關機關儘速送交個別委員及本會。</w:t>
      </w:r>
    </w:p>
    <w:p w14:paraId="0DB671D3" w14:textId="77777777" w:rsidR="00705B3D" w:rsidRPr="001B6E4D" w:rsidRDefault="00705B3D" w:rsidP="003D1018">
      <w:pPr>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散會</w:t>
      </w:r>
    </w:p>
    <w:p w14:paraId="674073D0"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5F1CE4B2" w14:textId="473F6CDF" w:rsidR="0051111F" w:rsidRPr="001B6E4D" w:rsidRDefault="0051111F"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21" w:name="_Toc240446600"/>
      <w:r w:rsidRPr="001B6E4D">
        <w:rPr>
          <w:rFonts w:ascii="標楷體" w:eastAsia="標楷體" w:hAnsi="標楷體"/>
          <w:b/>
          <w:spacing w:val="-2"/>
          <w:sz w:val="28"/>
          <w:szCs w:val="28"/>
        </w:rPr>
        <w:lastRenderedPageBreak/>
        <w:t>立法院第11屆第5會期司法及法制委員會第1</w:t>
      </w:r>
      <w:r w:rsidRPr="001B6E4D">
        <w:rPr>
          <w:rFonts w:ascii="標楷體" w:eastAsia="標楷體" w:hAnsi="標楷體" w:hint="eastAsia"/>
          <w:b/>
          <w:spacing w:val="-2"/>
          <w:sz w:val="28"/>
          <w:szCs w:val="28"/>
        </w:rPr>
        <w:t>6</w:t>
      </w:r>
      <w:r w:rsidRPr="001B6E4D">
        <w:rPr>
          <w:rFonts w:ascii="標楷體" w:eastAsia="標楷體" w:hAnsi="標楷體"/>
          <w:b/>
          <w:spacing w:val="-2"/>
          <w:sz w:val="28"/>
          <w:szCs w:val="28"/>
        </w:rPr>
        <w:t>次全體委員會議議事錄</w:t>
      </w:r>
      <w:bookmarkEnd w:id="521"/>
    </w:p>
    <w:p w14:paraId="727E600C" w14:textId="77777777" w:rsidR="0051111F" w:rsidRPr="001B6E4D" w:rsidRDefault="0051111F" w:rsidP="003D1018">
      <w:pPr>
        <w:widowControl w:val="0"/>
        <w:overflowPunct w:val="0"/>
        <w:autoSpaceDE w:val="0"/>
        <w:autoSpaceDN w:val="0"/>
        <w:adjustRightInd w:val="0"/>
        <w:spacing w:line="360" w:lineRule="exact"/>
        <w:ind w:left="1400" w:hangingChars="500" w:hanging="1400"/>
        <w:jc w:val="both"/>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時　　間：中華民國</w:t>
      </w:r>
      <w:r w:rsidRPr="001B6E4D">
        <w:rPr>
          <w:rFonts w:ascii="標楷體" w:eastAsia="標楷體" w:hAnsi="標楷體" w:cs="標楷體"/>
          <w:spacing w:val="6"/>
          <w:kern w:val="0"/>
          <w:sz w:val="28"/>
          <w:szCs w:val="28"/>
        </w:rPr>
        <w:t>115年</w:t>
      </w:r>
      <w:r w:rsidRPr="001B6E4D">
        <w:rPr>
          <w:rFonts w:ascii="標楷體" w:eastAsia="標楷體" w:hAnsi="標楷體" w:cs="標楷體" w:hint="eastAsia"/>
          <w:spacing w:val="6"/>
          <w:kern w:val="0"/>
          <w:sz w:val="28"/>
          <w:szCs w:val="28"/>
        </w:rPr>
        <w:t>6</w:t>
      </w:r>
      <w:r w:rsidRPr="001B6E4D">
        <w:rPr>
          <w:rFonts w:ascii="標楷體" w:eastAsia="標楷體" w:hAnsi="標楷體" w:cs="標楷體"/>
          <w:color w:val="000000"/>
          <w:kern w:val="0"/>
          <w:sz w:val="28"/>
          <w:szCs w:val="28"/>
        </w:rPr>
        <w:t>月</w:t>
      </w:r>
      <w:r w:rsidRPr="001B6E4D">
        <w:rPr>
          <w:rFonts w:ascii="標楷體" w:eastAsia="標楷體" w:hAnsi="標楷體" w:cs="標楷體" w:hint="eastAsia"/>
          <w:color w:val="000000"/>
          <w:kern w:val="0"/>
          <w:sz w:val="28"/>
          <w:szCs w:val="28"/>
        </w:rPr>
        <w:t>3</w:t>
      </w:r>
      <w:r w:rsidRPr="001B6E4D">
        <w:rPr>
          <w:rFonts w:ascii="標楷體" w:eastAsia="標楷體" w:hAnsi="標楷體" w:cs="標楷體"/>
          <w:color w:val="000000"/>
          <w:kern w:val="0"/>
          <w:sz w:val="28"/>
          <w:szCs w:val="28"/>
        </w:rPr>
        <w:t>日（星期</w:t>
      </w:r>
      <w:r w:rsidRPr="001B6E4D">
        <w:rPr>
          <w:rFonts w:ascii="標楷體" w:eastAsia="標楷體" w:hAnsi="標楷體" w:cs="標楷體" w:hint="eastAsia"/>
          <w:color w:val="000000"/>
          <w:kern w:val="0"/>
          <w:sz w:val="28"/>
          <w:szCs w:val="28"/>
        </w:rPr>
        <w:t>三</w:t>
      </w:r>
      <w:r w:rsidRPr="001B6E4D">
        <w:rPr>
          <w:rFonts w:ascii="標楷體" w:eastAsia="標楷體" w:hAnsi="標楷體" w:cs="標楷體"/>
          <w:color w:val="000000"/>
          <w:kern w:val="0"/>
          <w:sz w:val="28"/>
          <w:szCs w:val="28"/>
        </w:rPr>
        <w:t>）上午9時至10時39分</w:t>
      </w:r>
    </w:p>
    <w:p w14:paraId="75378EF6" w14:textId="77777777" w:rsidR="0051111F" w:rsidRPr="001B6E4D" w:rsidRDefault="0051111F" w:rsidP="003D1018">
      <w:pPr>
        <w:widowControl w:val="0"/>
        <w:overflowPunct w:val="0"/>
        <w:autoSpaceDE w:val="0"/>
        <w:autoSpaceDN w:val="0"/>
        <w:adjustRightInd w:val="0"/>
        <w:spacing w:line="360" w:lineRule="exact"/>
        <w:ind w:left="848" w:hangingChars="303" w:hanging="848"/>
        <w:jc w:val="both"/>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地　　點：本院紅樓</w:t>
      </w:r>
      <w:r w:rsidRPr="001B6E4D">
        <w:rPr>
          <w:rFonts w:ascii="標楷體" w:eastAsia="標楷體" w:hAnsi="標楷體" w:cs="標楷體"/>
          <w:color w:val="000000"/>
          <w:kern w:val="0"/>
          <w:sz w:val="28"/>
          <w:szCs w:val="28"/>
        </w:rPr>
        <w:t>302會議室</w:t>
      </w:r>
    </w:p>
    <w:p w14:paraId="6F747511" w14:textId="25BA749D" w:rsidR="0051111F" w:rsidRPr="001B6E4D" w:rsidRDefault="0051111F" w:rsidP="003D1018">
      <w:pPr>
        <w:widowControl w:val="0"/>
        <w:overflowPunct w:val="0"/>
        <w:autoSpaceDE w:val="0"/>
        <w:autoSpaceDN w:val="0"/>
        <w:adjustRightInd w:val="0"/>
        <w:spacing w:line="380" w:lineRule="exact"/>
        <w:ind w:left="1400" w:hangingChars="500" w:hanging="1400"/>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出席委員：</w:t>
      </w:r>
      <w:r w:rsidRPr="001B6E4D">
        <w:rPr>
          <w:rFonts w:ascii="標楷體" w:eastAsia="標楷體" w:hAnsi="標楷體" w:cs="Arial" w:hint="eastAsia"/>
          <w:sz w:val="28"/>
          <w:szCs w:val="28"/>
        </w:rPr>
        <w:t>吳宗憲</w:t>
      </w:r>
      <w:r w:rsidR="00444202" w:rsidRPr="001B6E4D">
        <w:rPr>
          <w:rFonts w:ascii="標楷體" w:eastAsia="標楷體" w:hAnsi="標楷體" w:cs="Arial" w:hint="eastAsia"/>
          <w:sz w:val="28"/>
          <w:szCs w:val="28"/>
        </w:rPr>
        <w:t xml:space="preserve"> </w:t>
      </w:r>
      <w:r w:rsidRPr="001B6E4D">
        <w:rPr>
          <w:rFonts w:ascii="標楷體" w:eastAsia="標楷體" w:hAnsi="標楷體" w:cs="Arial" w:hint="eastAsia"/>
          <w:sz w:val="28"/>
          <w:szCs w:val="28"/>
        </w:rPr>
        <w:t>林倩綺</w:t>
      </w:r>
      <w:r w:rsidR="00444202" w:rsidRPr="001B6E4D">
        <w:rPr>
          <w:rFonts w:ascii="標楷體" w:eastAsia="標楷體" w:hAnsi="標楷體" w:cs="Arial" w:hint="eastAsia"/>
          <w:sz w:val="28"/>
          <w:szCs w:val="28"/>
        </w:rPr>
        <w:t xml:space="preserve"> </w:t>
      </w:r>
      <w:r w:rsidRPr="001B6E4D">
        <w:rPr>
          <w:rFonts w:ascii="標楷體" w:eastAsia="標楷體" w:hAnsi="標楷體" w:cs="Arial" w:hint="eastAsia"/>
          <w:sz w:val="28"/>
          <w:szCs w:val="28"/>
        </w:rPr>
        <w:t>陳昭姿</w:t>
      </w:r>
      <w:r w:rsidR="00444202" w:rsidRPr="001B6E4D">
        <w:rPr>
          <w:rFonts w:ascii="標楷體" w:eastAsia="標楷體" w:hAnsi="標楷體" w:cs="Arial" w:hint="eastAsia"/>
          <w:sz w:val="28"/>
          <w:szCs w:val="28"/>
        </w:rPr>
        <w:t xml:space="preserve"> </w:t>
      </w:r>
      <w:r w:rsidRPr="001B6E4D">
        <w:rPr>
          <w:rFonts w:ascii="標楷體" w:eastAsia="標楷體" w:hAnsi="標楷體" w:cs="Arial" w:hint="eastAsia"/>
          <w:sz w:val="28"/>
          <w:szCs w:val="28"/>
        </w:rPr>
        <w:t>許宇</w:t>
      </w:r>
      <w:proofErr w:type="gramStart"/>
      <w:r w:rsidRPr="001B6E4D">
        <w:rPr>
          <w:rFonts w:ascii="標楷體" w:eastAsia="標楷體" w:hAnsi="標楷體" w:cs="Arial" w:hint="eastAsia"/>
          <w:sz w:val="28"/>
          <w:szCs w:val="28"/>
        </w:rPr>
        <w:t>甄</w:t>
      </w:r>
      <w:proofErr w:type="gramEnd"/>
      <w:r w:rsidR="00444202" w:rsidRPr="001B6E4D">
        <w:rPr>
          <w:rFonts w:ascii="標楷體" w:eastAsia="標楷體" w:hAnsi="標楷體" w:cs="Arial" w:hint="eastAsia"/>
          <w:sz w:val="28"/>
          <w:szCs w:val="28"/>
        </w:rPr>
        <w:t xml:space="preserve"> </w:t>
      </w:r>
      <w:r w:rsidRPr="001B6E4D">
        <w:rPr>
          <w:rFonts w:ascii="標楷體" w:eastAsia="標楷體" w:hAnsi="標楷體" w:cs="Arial" w:hint="eastAsia"/>
          <w:sz w:val="28"/>
          <w:szCs w:val="28"/>
        </w:rPr>
        <w:t>莊瑞雄</w:t>
      </w:r>
      <w:r w:rsidR="00444202" w:rsidRPr="001B6E4D">
        <w:rPr>
          <w:rFonts w:ascii="標楷體" w:eastAsia="標楷體" w:hAnsi="標楷體" w:cs="Arial" w:hint="eastAsia"/>
          <w:sz w:val="28"/>
          <w:szCs w:val="28"/>
        </w:rPr>
        <w:t xml:space="preserve"> </w:t>
      </w:r>
      <w:r w:rsidRPr="001B6E4D">
        <w:rPr>
          <w:rFonts w:ascii="標楷體" w:eastAsia="標楷體" w:hAnsi="標楷體" w:cs="Arial" w:hint="eastAsia"/>
          <w:sz w:val="28"/>
          <w:szCs w:val="28"/>
        </w:rPr>
        <w:t>翁曉玲</w:t>
      </w:r>
      <w:r w:rsidR="00444202" w:rsidRPr="001B6E4D">
        <w:rPr>
          <w:rFonts w:ascii="標楷體" w:eastAsia="標楷體" w:hAnsi="標楷體" w:cs="Arial" w:hint="eastAsia"/>
          <w:sz w:val="28"/>
          <w:szCs w:val="28"/>
        </w:rPr>
        <w:t xml:space="preserve"> </w:t>
      </w:r>
      <w:r w:rsidRPr="001B6E4D">
        <w:rPr>
          <w:rFonts w:ascii="標楷體" w:eastAsia="標楷體" w:hAnsi="標楷體" w:cs="Arial" w:hint="eastAsia"/>
          <w:sz w:val="28"/>
          <w:szCs w:val="28"/>
        </w:rPr>
        <w:t>林沛祥</w:t>
      </w:r>
      <w:r w:rsidR="008A7276" w:rsidRPr="001B6E4D">
        <w:rPr>
          <w:rFonts w:ascii="標楷體" w:eastAsia="標楷體" w:hAnsi="標楷體" w:cs="Arial" w:hint="eastAsia"/>
          <w:sz w:val="28"/>
          <w:szCs w:val="28"/>
        </w:rPr>
        <w:t xml:space="preserve">　</w:t>
      </w:r>
      <w:r w:rsidRPr="001B6E4D">
        <w:rPr>
          <w:rFonts w:ascii="標楷體" w:eastAsia="標楷體" w:hAnsi="標楷體" w:cs="Arial" w:hint="eastAsia"/>
          <w:sz w:val="28"/>
          <w:szCs w:val="28"/>
        </w:rPr>
        <w:t>蔡其昌</w:t>
      </w:r>
      <w:r w:rsidR="00444202" w:rsidRPr="001B6E4D">
        <w:rPr>
          <w:rFonts w:ascii="標楷體" w:eastAsia="標楷體" w:hAnsi="標楷體" w:cs="Arial" w:hint="eastAsia"/>
          <w:sz w:val="28"/>
          <w:szCs w:val="28"/>
        </w:rPr>
        <w:t xml:space="preserve"> </w:t>
      </w:r>
      <w:r w:rsidRPr="001B6E4D">
        <w:rPr>
          <w:rFonts w:ascii="標楷體" w:eastAsia="標楷體" w:hAnsi="標楷體" w:cs="Arial" w:hint="eastAsia"/>
          <w:sz w:val="28"/>
          <w:szCs w:val="28"/>
        </w:rPr>
        <w:t>沈發惠</w:t>
      </w:r>
      <w:r w:rsidR="00444202" w:rsidRPr="001B6E4D">
        <w:rPr>
          <w:rFonts w:ascii="標楷體" w:eastAsia="標楷體" w:hAnsi="標楷體" w:cs="Arial" w:hint="eastAsia"/>
          <w:sz w:val="28"/>
          <w:szCs w:val="28"/>
        </w:rPr>
        <w:t xml:space="preserve"> </w:t>
      </w:r>
      <w:r w:rsidRPr="001B6E4D">
        <w:rPr>
          <w:rFonts w:ascii="標楷體" w:eastAsia="標楷體" w:hAnsi="標楷體" w:cs="Arial" w:hint="eastAsia"/>
          <w:sz w:val="28"/>
          <w:szCs w:val="28"/>
        </w:rPr>
        <w:t>張雅琳</w:t>
      </w:r>
      <w:r w:rsidR="00444202" w:rsidRPr="001B6E4D">
        <w:rPr>
          <w:rFonts w:ascii="標楷體" w:eastAsia="標楷體" w:hAnsi="標楷體" w:cs="Arial" w:hint="eastAsia"/>
          <w:sz w:val="28"/>
          <w:szCs w:val="28"/>
        </w:rPr>
        <w:t xml:space="preserve"> </w:t>
      </w:r>
      <w:proofErr w:type="gramStart"/>
      <w:r w:rsidRPr="001B6E4D">
        <w:rPr>
          <w:rFonts w:ascii="標楷體" w:eastAsia="標楷體" w:hAnsi="標楷體" w:cs="Arial" w:hint="eastAsia"/>
          <w:sz w:val="28"/>
          <w:szCs w:val="28"/>
        </w:rPr>
        <w:t>范</w:t>
      </w:r>
      <w:proofErr w:type="gramEnd"/>
      <w:r w:rsidRPr="001B6E4D">
        <w:rPr>
          <w:rFonts w:ascii="標楷體" w:eastAsia="標楷體" w:hAnsi="標楷體" w:cs="Arial" w:hint="eastAsia"/>
          <w:sz w:val="28"/>
          <w:szCs w:val="28"/>
        </w:rPr>
        <w:t xml:space="preserve">　雲</w:t>
      </w:r>
      <w:r w:rsidR="00444202" w:rsidRPr="001B6E4D">
        <w:rPr>
          <w:rFonts w:ascii="標楷體" w:eastAsia="標楷體" w:hAnsi="標楷體" w:cs="Arial" w:hint="eastAsia"/>
          <w:sz w:val="28"/>
          <w:szCs w:val="28"/>
        </w:rPr>
        <w:t xml:space="preserve"> </w:t>
      </w:r>
      <w:r w:rsidRPr="001B6E4D">
        <w:rPr>
          <w:rFonts w:ascii="標楷體" w:eastAsia="標楷體" w:hAnsi="標楷體" w:cs="Arial" w:hint="eastAsia"/>
          <w:sz w:val="28"/>
          <w:szCs w:val="28"/>
        </w:rPr>
        <w:t>傅崐萁</w:t>
      </w:r>
      <w:r w:rsidR="00444202" w:rsidRPr="001B6E4D">
        <w:rPr>
          <w:rFonts w:ascii="標楷體" w:eastAsia="標楷體" w:hAnsi="標楷體" w:cs="Arial" w:hint="eastAsia"/>
          <w:sz w:val="28"/>
          <w:szCs w:val="28"/>
        </w:rPr>
        <w:t xml:space="preserve"> </w:t>
      </w:r>
      <w:r w:rsidRPr="001B6E4D">
        <w:rPr>
          <w:rFonts w:ascii="標楷體" w:eastAsia="標楷體" w:hAnsi="標楷體" w:cs="Arial" w:hint="eastAsia"/>
          <w:sz w:val="28"/>
          <w:szCs w:val="28"/>
        </w:rPr>
        <w:t>柯建銘</w:t>
      </w:r>
    </w:p>
    <w:p w14:paraId="61BBF733" w14:textId="77777777" w:rsidR="0051111F" w:rsidRPr="001B6E4D" w:rsidRDefault="0051111F" w:rsidP="003D1018">
      <w:pPr>
        <w:widowControl w:val="0"/>
        <w:overflowPunct w:val="0"/>
        <w:autoSpaceDE w:val="0"/>
        <w:autoSpaceDN w:val="0"/>
        <w:adjustRightInd w:val="0"/>
        <w:spacing w:line="360" w:lineRule="exact"/>
        <w:ind w:leftChars="350" w:left="840" w:firstLineChars="200" w:firstLine="560"/>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委員出席13人</w:t>
      </w:r>
    </w:p>
    <w:p w14:paraId="03073A45" w14:textId="77777777" w:rsidR="0051111F" w:rsidRPr="001B6E4D" w:rsidRDefault="0051111F" w:rsidP="003D1018">
      <w:pPr>
        <w:widowControl w:val="0"/>
        <w:overflowPunct w:val="0"/>
        <w:autoSpaceDE w:val="0"/>
        <w:autoSpaceDN w:val="0"/>
        <w:adjustRightInd w:val="0"/>
        <w:spacing w:line="360" w:lineRule="exact"/>
        <w:ind w:left="848" w:hangingChars="303" w:hanging="84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列席委員：</w:t>
      </w:r>
      <w:r w:rsidRPr="001B6E4D">
        <w:rPr>
          <w:rFonts w:ascii="標楷體" w:eastAsia="標楷體" w:hAnsi="標楷體" w:hint="eastAsia"/>
          <w:color w:val="000000"/>
          <w:kern w:val="0"/>
          <w:sz w:val="28"/>
          <w:szCs w:val="28"/>
        </w:rPr>
        <w:t>鄭正鈐</w:t>
      </w:r>
    </w:p>
    <w:p w14:paraId="47531B45" w14:textId="77777777" w:rsidR="0051111F" w:rsidRPr="001B6E4D" w:rsidRDefault="0051111F" w:rsidP="003D1018">
      <w:pPr>
        <w:widowControl w:val="0"/>
        <w:overflowPunct w:val="0"/>
        <w:autoSpaceDE w:val="0"/>
        <w:autoSpaceDN w:val="0"/>
        <w:adjustRightInd w:val="0"/>
        <w:spacing w:line="360" w:lineRule="exact"/>
        <w:ind w:leftChars="350" w:left="840" w:firstLineChars="200" w:firstLine="560"/>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委員列席1人</w:t>
      </w:r>
    </w:p>
    <w:p w14:paraId="5A49F45E" w14:textId="77777777" w:rsidR="0051111F" w:rsidRPr="001B6E4D" w:rsidRDefault="0051111F" w:rsidP="003D1018">
      <w:pPr>
        <w:widowControl w:val="0"/>
        <w:overflowPunct w:val="0"/>
        <w:autoSpaceDE w:val="0"/>
        <w:autoSpaceDN w:val="0"/>
        <w:adjustRightInd w:val="0"/>
        <w:spacing w:line="360" w:lineRule="exact"/>
        <w:ind w:left="848" w:hangingChars="303" w:hanging="84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列席官員：考試院秘書長</w:t>
      </w:r>
      <w:r w:rsidRPr="001B6E4D">
        <w:rPr>
          <w:rFonts w:ascii="標楷體" w:eastAsia="標楷體" w:hAnsi="標楷體" w:cs="標楷體" w:hint="eastAsia"/>
          <w:snapToGrid w:val="0"/>
          <w:color w:val="000000"/>
          <w:kern w:val="0"/>
          <w:sz w:val="28"/>
          <w:szCs w:val="28"/>
        </w:rPr>
        <w:t xml:space="preserve">　</w:t>
      </w:r>
      <w:r w:rsidRPr="001B6E4D">
        <w:rPr>
          <w:rFonts w:ascii="標楷體" w:eastAsia="標楷體" w:hAnsi="標楷體" w:cs="標楷體" w:hint="eastAsia"/>
          <w:color w:val="000000"/>
          <w:kern w:val="0"/>
          <w:sz w:val="28"/>
          <w:szCs w:val="28"/>
        </w:rPr>
        <w:t>劉建忻</w:t>
      </w:r>
    </w:p>
    <w:p w14:paraId="6230A3DF" w14:textId="77777777" w:rsidR="0051111F" w:rsidRPr="001B6E4D" w:rsidRDefault="0051111F" w:rsidP="003D1018">
      <w:pPr>
        <w:widowControl w:val="0"/>
        <w:overflowPunct w:val="0"/>
        <w:adjustRightInd w:val="0"/>
        <w:snapToGrid w:val="0"/>
        <w:spacing w:line="360" w:lineRule="exact"/>
        <w:ind w:leftChars="584" w:left="2802" w:hangingChars="500" w:hanging="1400"/>
        <w:jc w:val="both"/>
        <w:rPr>
          <w:rFonts w:ascii="標楷體" w:eastAsia="標楷體" w:hAnsi="標楷體"/>
          <w:snapToGrid w:val="0"/>
          <w:kern w:val="0"/>
          <w:sz w:val="28"/>
          <w:szCs w:val="28"/>
          <w:lang w:val="x-none"/>
        </w:rPr>
      </w:pPr>
      <w:r w:rsidRPr="001B6E4D">
        <w:rPr>
          <w:rFonts w:ascii="標楷體" w:eastAsia="標楷體" w:hAnsi="標楷體" w:hint="eastAsia"/>
          <w:snapToGrid w:val="0"/>
          <w:kern w:val="0"/>
          <w:sz w:val="28"/>
          <w:szCs w:val="28"/>
          <w:lang w:val="x-none"/>
        </w:rPr>
        <w:t>考選部部長　劉孟奇</w:t>
      </w:r>
    </w:p>
    <w:p w14:paraId="7F0B8729" w14:textId="77777777" w:rsidR="0051111F" w:rsidRPr="001B6E4D" w:rsidRDefault="0051111F" w:rsidP="003D1018">
      <w:pPr>
        <w:widowControl w:val="0"/>
        <w:overflowPunct w:val="0"/>
        <w:adjustRightInd w:val="0"/>
        <w:snapToGrid w:val="0"/>
        <w:spacing w:line="360" w:lineRule="exact"/>
        <w:ind w:leftChars="584" w:left="2802" w:hangingChars="500" w:hanging="1400"/>
        <w:jc w:val="both"/>
        <w:rPr>
          <w:rFonts w:ascii="標楷體" w:eastAsia="標楷體" w:hAnsi="標楷體"/>
          <w:snapToGrid w:val="0"/>
          <w:kern w:val="0"/>
          <w:sz w:val="28"/>
          <w:szCs w:val="28"/>
          <w:lang w:val="x-none"/>
        </w:rPr>
      </w:pPr>
      <w:r w:rsidRPr="001B6E4D">
        <w:rPr>
          <w:rFonts w:ascii="標楷體" w:eastAsia="標楷體" w:hAnsi="標楷體" w:hint="eastAsia"/>
          <w:snapToGrid w:val="0"/>
          <w:kern w:val="0"/>
          <w:sz w:val="28"/>
          <w:szCs w:val="28"/>
          <w:lang w:val="x-none"/>
        </w:rPr>
        <w:t>銓敘部部長　施能傑</w:t>
      </w:r>
    </w:p>
    <w:p w14:paraId="784D3856" w14:textId="77777777" w:rsidR="0051111F" w:rsidRPr="001B6E4D" w:rsidRDefault="0051111F" w:rsidP="003D1018">
      <w:pPr>
        <w:widowControl w:val="0"/>
        <w:overflowPunct w:val="0"/>
        <w:adjustRightInd w:val="0"/>
        <w:snapToGrid w:val="0"/>
        <w:spacing w:line="360" w:lineRule="exact"/>
        <w:ind w:leftChars="584" w:left="2642" w:hangingChars="500" w:hanging="1240"/>
        <w:jc w:val="both"/>
        <w:rPr>
          <w:rFonts w:ascii="標楷體" w:eastAsia="標楷體" w:hAnsi="標楷體"/>
          <w:snapToGrid w:val="0"/>
          <w:spacing w:val="-16"/>
          <w:kern w:val="0"/>
          <w:sz w:val="28"/>
          <w:szCs w:val="28"/>
          <w:lang w:val="x-none"/>
        </w:rPr>
      </w:pPr>
      <w:r w:rsidRPr="001B6E4D">
        <w:rPr>
          <w:rFonts w:ascii="標楷體" w:eastAsia="標楷體" w:hAnsi="標楷體" w:hint="eastAsia"/>
          <w:snapToGrid w:val="0"/>
          <w:spacing w:val="-16"/>
          <w:kern w:val="0"/>
          <w:sz w:val="28"/>
          <w:szCs w:val="28"/>
          <w:lang w:val="x-none"/>
        </w:rPr>
        <w:t>公務人員保障暨培訓委員會主任委員兼國家文官學院院長　蔡秀涓</w:t>
      </w:r>
    </w:p>
    <w:p w14:paraId="4577329A" w14:textId="77777777" w:rsidR="0051111F" w:rsidRPr="001B6E4D" w:rsidRDefault="0051111F" w:rsidP="003D1018">
      <w:pPr>
        <w:widowControl w:val="0"/>
        <w:overflowPunct w:val="0"/>
        <w:adjustRightInd w:val="0"/>
        <w:snapToGrid w:val="0"/>
        <w:spacing w:line="360" w:lineRule="exact"/>
        <w:ind w:leftChars="584" w:left="2802" w:hangingChars="500" w:hanging="1400"/>
        <w:jc w:val="both"/>
        <w:rPr>
          <w:rFonts w:ascii="標楷體" w:eastAsia="標楷體" w:hAnsi="標楷體"/>
          <w:snapToGrid w:val="0"/>
          <w:kern w:val="0"/>
          <w:sz w:val="28"/>
          <w:szCs w:val="28"/>
          <w:lang w:val="x-none"/>
        </w:rPr>
      </w:pPr>
      <w:r w:rsidRPr="001B6E4D">
        <w:rPr>
          <w:rFonts w:ascii="標楷體" w:eastAsia="標楷體" w:hAnsi="標楷體" w:hint="eastAsia"/>
          <w:snapToGrid w:val="0"/>
          <w:kern w:val="0"/>
          <w:sz w:val="28"/>
          <w:szCs w:val="28"/>
          <w:lang w:val="x-none"/>
        </w:rPr>
        <w:t>公務人員退休撫</w:t>
      </w:r>
      <w:proofErr w:type="gramStart"/>
      <w:r w:rsidRPr="001B6E4D">
        <w:rPr>
          <w:rFonts w:ascii="標楷體" w:eastAsia="標楷體" w:hAnsi="標楷體" w:hint="eastAsia"/>
          <w:snapToGrid w:val="0"/>
          <w:kern w:val="0"/>
          <w:sz w:val="28"/>
          <w:szCs w:val="28"/>
          <w:lang w:val="x-none"/>
        </w:rPr>
        <w:t>卹</w:t>
      </w:r>
      <w:proofErr w:type="gramEnd"/>
      <w:r w:rsidRPr="001B6E4D">
        <w:rPr>
          <w:rFonts w:ascii="標楷體" w:eastAsia="標楷體" w:hAnsi="標楷體" w:hint="eastAsia"/>
          <w:snapToGrid w:val="0"/>
          <w:kern w:val="0"/>
          <w:sz w:val="28"/>
          <w:szCs w:val="28"/>
          <w:lang w:val="x-none"/>
        </w:rPr>
        <w:t>基金管理局局長　陳銘賢</w:t>
      </w:r>
    </w:p>
    <w:p w14:paraId="08DD256D" w14:textId="77777777" w:rsidR="0051111F" w:rsidRPr="001B6E4D" w:rsidRDefault="0051111F" w:rsidP="003D1018">
      <w:pPr>
        <w:widowControl w:val="0"/>
        <w:overflowPunct w:val="0"/>
        <w:adjustRightInd w:val="0"/>
        <w:snapToGrid w:val="0"/>
        <w:spacing w:line="360" w:lineRule="exact"/>
        <w:ind w:leftChars="584" w:left="2802" w:hangingChars="500" w:hanging="1400"/>
        <w:jc w:val="both"/>
        <w:rPr>
          <w:rFonts w:ascii="標楷體" w:eastAsia="標楷體" w:hAnsi="標楷體" w:cs="Arial"/>
          <w:sz w:val="28"/>
          <w:szCs w:val="28"/>
        </w:rPr>
      </w:pPr>
      <w:r w:rsidRPr="001B6E4D">
        <w:rPr>
          <w:rFonts w:ascii="標楷體" w:eastAsia="標楷體" w:hAnsi="標楷體" w:hint="eastAsia"/>
          <w:snapToGrid w:val="0"/>
          <w:kern w:val="0"/>
          <w:sz w:val="28"/>
          <w:szCs w:val="28"/>
          <w:lang w:val="x-none"/>
        </w:rPr>
        <w:t>行政院主計總處公務預算處專門委員　吳銘修</w:t>
      </w:r>
    </w:p>
    <w:p w14:paraId="26F17428" w14:textId="77777777" w:rsidR="0051111F" w:rsidRPr="001B6E4D" w:rsidRDefault="0051111F" w:rsidP="003D1018">
      <w:pPr>
        <w:widowControl w:val="0"/>
        <w:overflowPunct w:val="0"/>
        <w:autoSpaceDE w:val="0"/>
        <w:autoSpaceDN w:val="0"/>
        <w:adjustRightInd w:val="0"/>
        <w:spacing w:line="360" w:lineRule="exact"/>
        <w:ind w:left="848" w:hangingChars="303" w:hanging="84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主　　席：莊召集委員瑞雄</w:t>
      </w:r>
    </w:p>
    <w:p w14:paraId="1801E6CB" w14:textId="77777777" w:rsidR="0051111F" w:rsidRPr="001B6E4D" w:rsidRDefault="0051111F" w:rsidP="003D1018">
      <w:pPr>
        <w:widowControl w:val="0"/>
        <w:overflowPunct w:val="0"/>
        <w:autoSpaceDE w:val="0"/>
        <w:autoSpaceDN w:val="0"/>
        <w:adjustRightInd w:val="0"/>
        <w:spacing w:line="360" w:lineRule="exact"/>
        <w:ind w:left="848" w:hangingChars="303" w:hanging="84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專門委員：黃良瑩</w:t>
      </w:r>
    </w:p>
    <w:p w14:paraId="1BFFBF6F" w14:textId="77777777" w:rsidR="0051111F" w:rsidRPr="001B6E4D" w:rsidRDefault="0051111F" w:rsidP="003D1018">
      <w:pPr>
        <w:widowControl w:val="0"/>
        <w:overflowPunct w:val="0"/>
        <w:autoSpaceDE w:val="0"/>
        <w:autoSpaceDN w:val="0"/>
        <w:adjustRightInd w:val="0"/>
        <w:spacing w:line="360" w:lineRule="exact"/>
        <w:ind w:left="848" w:hangingChars="303" w:hanging="84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主任秘書：張智為</w:t>
      </w:r>
    </w:p>
    <w:p w14:paraId="3D5FB5F4" w14:textId="77777777" w:rsidR="0051111F" w:rsidRPr="001B6E4D" w:rsidRDefault="0051111F" w:rsidP="003D1018">
      <w:pPr>
        <w:widowControl w:val="0"/>
        <w:tabs>
          <w:tab w:val="left" w:pos="5529"/>
        </w:tabs>
        <w:overflowPunct w:val="0"/>
        <w:autoSpaceDE w:val="0"/>
        <w:autoSpaceDN w:val="0"/>
        <w:adjustRightInd w:val="0"/>
        <w:spacing w:line="360" w:lineRule="exact"/>
        <w:ind w:left="848" w:hangingChars="303" w:hanging="848"/>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紀　　錄：簡任秘書　薛復寧</w:t>
      </w:r>
    </w:p>
    <w:p w14:paraId="1BD42710" w14:textId="77777777" w:rsidR="0051111F" w:rsidRPr="001B6E4D" w:rsidRDefault="0051111F" w:rsidP="003D1018">
      <w:pPr>
        <w:widowControl w:val="0"/>
        <w:tabs>
          <w:tab w:val="left" w:pos="5529"/>
        </w:tabs>
        <w:overflowPunct w:val="0"/>
        <w:autoSpaceDE w:val="0"/>
        <w:autoSpaceDN w:val="0"/>
        <w:adjustRightInd w:val="0"/>
        <w:spacing w:line="360" w:lineRule="exact"/>
        <w:ind w:leftChars="353" w:left="847" w:firstLineChars="197" w:firstLine="552"/>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簡任編審　蔡國治</w:t>
      </w:r>
    </w:p>
    <w:p w14:paraId="34EB46FD" w14:textId="77777777" w:rsidR="0051111F" w:rsidRPr="001B6E4D" w:rsidRDefault="0051111F" w:rsidP="003D1018">
      <w:pPr>
        <w:widowControl w:val="0"/>
        <w:tabs>
          <w:tab w:val="left" w:pos="5529"/>
        </w:tabs>
        <w:overflowPunct w:val="0"/>
        <w:autoSpaceDE w:val="0"/>
        <w:autoSpaceDN w:val="0"/>
        <w:adjustRightInd w:val="0"/>
        <w:spacing w:line="360" w:lineRule="exact"/>
        <w:ind w:leftChars="353" w:left="847" w:firstLineChars="197" w:firstLine="552"/>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科　　長　余俊緯</w:t>
      </w:r>
    </w:p>
    <w:p w14:paraId="410F17E6" w14:textId="77777777" w:rsidR="0051111F" w:rsidRPr="001B6E4D" w:rsidRDefault="0051111F" w:rsidP="003D1018">
      <w:pPr>
        <w:widowControl w:val="0"/>
        <w:tabs>
          <w:tab w:val="left" w:pos="5529"/>
        </w:tabs>
        <w:overflowPunct w:val="0"/>
        <w:autoSpaceDE w:val="0"/>
        <w:autoSpaceDN w:val="0"/>
        <w:adjustRightInd w:val="0"/>
        <w:spacing w:line="360" w:lineRule="exact"/>
        <w:ind w:leftChars="353" w:left="847" w:firstLineChars="197" w:firstLine="552"/>
        <w:rPr>
          <w:rFonts w:ascii="標楷體" w:eastAsia="標楷體" w:hAnsi="標楷體" w:cs="標楷體"/>
          <w:color w:val="000000"/>
          <w:kern w:val="0"/>
          <w:sz w:val="28"/>
          <w:szCs w:val="28"/>
        </w:rPr>
      </w:pPr>
      <w:r w:rsidRPr="001B6E4D">
        <w:rPr>
          <w:rFonts w:ascii="標楷體" w:eastAsia="標楷體" w:hAnsi="標楷體" w:cs="標楷體" w:hint="eastAsia"/>
          <w:color w:val="000000"/>
          <w:kern w:val="0"/>
          <w:sz w:val="28"/>
          <w:szCs w:val="28"/>
        </w:rPr>
        <w:t>專　　員　莊鴻基</w:t>
      </w:r>
    </w:p>
    <w:p w14:paraId="7B14B109" w14:textId="77777777" w:rsidR="0051111F" w:rsidRPr="001B6E4D" w:rsidRDefault="0051111F" w:rsidP="003D1018">
      <w:pPr>
        <w:widowControl w:val="0"/>
        <w:overflowPunct w:val="0"/>
        <w:adjustRightInd w:val="0"/>
        <w:snapToGrid w:val="0"/>
        <w:spacing w:beforeLines="30" w:before="108" w:line="410" w:lineRule="exact"/>
        <w:ind w:firstLineChars="398" w:firstLine="1115"/>
        <w:jc w:val="both"/>
        <w:rPr>
          <w:rFonts w:ascii="標楷體" w:eastAsia="標楷體" w:hAnsi="標楷體"/>
          <w:b/>
          <w:bCs/>
          <w:kern w:val="0"/>
          <w:sz w:val="28"/>
          <w:szCs w:val="28"/>
          <w:lang w:val="x-none" w:eastAsia="x-none"/>
        </w:rPr>
      </w:pPr>
      <w:r w:rsidRPr="001B6E4D">
        <w:rPr>
          <w:rFonts w:ascii="標楷體" w:eastAsia="標楷體" w:hAnsi="標楷體" w:hint="eastAsia"/>
          <w:b/>
          <w:bCs/>
          <w:kern w:val="0"/>
          <w:sz w:val="28"/>
          <w:szCs w:val="28"/>
          <w:lang w:val="x-none"/>
        </w:rPr>
        <w:t>報告事項</w:t>
      </w:r>
    </w:p>
    <w:p w14:paraId="63D8A858" w14:textId="77777777" w:rsidR="0051111F" w:rsidRPr="001B6E4D" w:rsidRDefault="0051111F" w:rsidP="003D1018">
      <w:pPr>
        <w:widowControl w:val="0"/>
        <w:overflowPunct w:val="0"/>
        <w:autoSpaceDE w:val="0"/>
        <w:autoSpaceDN w:val="0"/>
        <w:adjustRightInd w:val="0"/>
        <w:spacing w:line="360" w:lineRule="exact"/>
        <w:rPr>
          <w:rFonts w:ascii="標楷體" w:eastAsia="標楷體" w:hAnsi="標楷體" w:cs="標楷體"/>
          <w:kern w:val="0"/>
          <w:sz w:val="28"/>
          <w:szCs w:val="28"/>
        </w:rPr>
      </w:pPr>
      <w:r w:rsidRPr="001B6E4D">
        <w:rPr>
          <w:rFonts w:ascii="標楷體" w:eastAsia="標楷體" w:hAnsi="標楷體" w:cs="標楷體" w:hint="eastAsia"/>
          <w:kern w:val="0"/>
          <w:sz w:val="28"/>
          <w:szCs w:val="28"/>
        </w:rPr>
        <w:t>宣讀上次會議議事錄。</w:t>
      </w:r>
    </w:p>
    <w:p w14:paraId="09BF1E66" w14:textId="77777777" w:rsidR="0051111F" w:rsidRPr="001B6E4D" w:rsidRDefault="0051111F" w:rsidP="003D1018">
      <w:pPr>
        <w:widowControl w:val="0"/>
        <w:overflowPunct w:val="0"/>
        <w:autoSpaceDE w:val="0"/>
        <w:autoSpaceDN w:val="0"/>
        <w:adjustRightInd w:val="0"/>
        <w:spacing w:line="360" w:lineRule="exact"/>
        <w:rPr>
          <w:rFonts w:ascii="標楷體" w:eastAsia="標楷體" w:hAnsi="標楷體" w:cs="標楷體"/>
          <w:kern w:val="0"/>
          <w:sz w:val="28"/>
          <w:szCs w:val="28"/>
        </w:rPr>
      </w:pPr>
      <w:r w:rsidRPr="001B6E4D">
        <w:rPr>
          <w:rFonts w:ascii="標楷體" w:eastAsia="標楷體" w:hAnsi="標楷體" w:cs="標楷體" w:hint="eastAsia"/>
          <w:kern w:val="0"/>
          <w:sz w:val="28"/>
          <w:szCs w:val="28"/>
        </w:rPr>
        <w:t>決定：確定。</w:t>
      </w:r>
    </w:p>
    <w:p w14:paraId="03FDEE26" w14:textId="77777777" w:rsidR="0051111F" w:rsidRPr="001B6E4D" w:rsidRDefault="0051111F" w:rsidP="003D1018">
      <w:pPr>
        <w:widowControl w:val="0"/>
        <w:overflowPunct w:val="0"/>
        <w:adjustRightInd w:val="0"/>
        <w:snapToGrid w:val="0"/>
        <w:spacing w:beforeLines="30" w:before="108" w:line="410" w:lineRule="exact"/>
        <w:ind w:firstLineChars="398" w:firstLine="1115"/>
        <w:jc w:val="both"/>
        <w:rPr>
          <w:rFonts w:ascii="標楷體" w:eastAsia="標楷體" w:hAnsi="標楷體"/>
          <w:b/>
          <w:bCs/>
          <w:kern w:val="0"/>
          <w:sz w:val="28"/>
          <w:szCs w:val="28"/>
          <w:lang w:val="x-none" w:eastAsia="x-none"/>
        </w:rPr>
      </w:pPr>
      <w:r w:rsidRPr="001B6E4D">
        <w:rPr>
          <w:rFonts w:ascii="標楷體" w:eastAsia="標楷體" w:hAnsi="標楷體" w:hint="eastAsia"/>
          <w:b/>
          <w:bCs/>
          <w:kern w:val="0"/>
          <w:sz w:val="28"/>
          <w:szCs w:val="28"/>
          <w:lang w:val="x-none"/>
        </w:rPr>
        <w:t>討論事項</w:t>
      </w:r>
    </w:p>
    <w:p w14:paraId="3FA5D908" w14:textId="77777777" w:rsidR="0051111F" w:rsidRPr="001B6E4D" w:rsidRDefault="0051111F" w:rsidP="003D1018">
      <w:pPr>
        <w:widowControl w:val="0"/>
        <w:kinsoku w:val="0"/>
        <w:overflowPunct w:val="0"/>
        <w:spacing w:line="360" w:lineRule="exact"/>
        <w:ind w:left="640" w:hangingChars="200" w:hanging="640"/>
        <w:contextualSpacing/>
        <w:jc w:val="both"/>
        <w:rPr>
          <w:rFonts w:ascii="標楷體" w:eastAsia="標楷體" w:hAnsi="標楷體"/>
          <w:sz w:val="28"/>
          <w:szCs w:val="28"/>
        </w:rPr>
      </w:pPr>
      <w:r w:rsidRPr="001B6E4D">
        <w:rPr>
          <w:rFonts w:ascii="標楷體" w:eastAsia="標楷體" w:hAnsi="標楷體" w:hint="eastAsia"/>
          <w:sz w:val="32"/>
          <w:szCs w:val="32"/>
        </w:rPr>
        <w:t>一、</w:t>
      </w:r>
      <w:r w:rsidRPr="001B6E4D">
        <w:rPr>
          <w:rFonts w:ascii="標楷體" w:eastAsia="標楷體" w:hAnsi="標楷體" w:hint="eastAsia"/>
          <w:spacing w:val="-2"/>
          <w:sz w:val="28"/>
          <w:szCs w:val="28"/>
        </w:rPr>
        <w:t>繼續審查</w:t>
      </w:r>
      <w:proofErr w:type="gramStart"/>
      <w:r w:rsidRPr="001B6E4D">
        <w:rPr>
          <w:rFonts w:ascii="標楷體" w:eastAsia="標楷體" w:hAnsi="標楷體"/>
          <w:spacing w:val="-2"/>
          <w:sz w:val="28"/>
          <w:szCs w:val="28"/>
        </w:rPr>
        <w:t>115</w:t>
      </w:r>
      <w:proofErr w:type="gramEnd"/>
      <w:r w:rsidRPr="001B6E4D">
        <w:rPr>
          <w:rFonts w:ascii="標楷體" w:eastAsia="標楷體" w:hAnsi="標楷體"/>
          <w:spacing w:val="-2"/>
          <w:sz w:val="28"/>
          <w:szCs w:val="28"/>
        </w:rPr>
        <w:t>年度中央政府總預算案關於考試院及所屬主管收支部分。</w:t>
      </w:r>
    </w:p>
    <w:p w14:paraId="5883EEB5" w14:textId="77777777" w:rsidR="0051111F" w:rsidRPr="001B6E4D" w:rsidRDefault="0051111F" w:rsidP="003D1018">
      <w:pPr>
        <w:widowControl w:val="0"/>
        <w:kinsoku w:val="0"/>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二、繼續審查</w:t>
      </w:r>
      <w:proofErr w:type="gramStart"/>
      <w:r w:rsidRPr="001B6E4D">
        <w:rPr>
          <w:rFonts w:ascii="標楷體" w:eastAsia="標楷體" w:hAnsi="標楷體"/>
          <w:sz w:val="28"/>
          <w:szCs w:val="28"/>
        </w:rPr>
        <w:t>115</w:t>
      </w:r>
      <w:proofErr w:type="gramEnd"/>
      <w:r w:rsidRPr="001B6E4D">
        <w:rPr>
          <w:rFonts w:ascii="標楷體" w:eastAsia="標楷體" w:hAnsi="標楷體" w:hint="eastAsia"/>
          <w:sz w:val="28"/>
          <w:szCs w:val="28"/>
        </w:rPr>
        <w:t>年度中央政府總預算案附屬單位預算非營業部分關於考試院考選部主管「考選業務基金」收支部分。</w:t>
      </w:r>
    </w:p>
    <w:p w14:paraId="586977AF" w14:textId="77777777" w:rsidR="0051111F" w:rsidRPr="001B6E4D" w:rsidRDefault="0051111F" w:rsidP="003D1018">
      <w:pPr>
        <w:widowControl w:val="0"/>
        <w:kinsoku w:val="0"/>
        <w:overflowPunct w:val="0"/>
        <w:spacing w:line="360" w:lineRule="exact"/>
        <w:ind w:left="560"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三、繼續審查</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年度中央政府總預算案附屬單位預算非營業部分關於考試院銓敘部主管「公務人員退休撫</w:t>
      </w:r>
      <w:proofErr w:type="gramStart"/>
      <w:r w:rsidRPr="001B6E4D">
        <w:rPr>
          <w:rFonts w:ascii="標楷體" w:eastAsia="標楷體" w:hAnsi="標楷體"/>
          <w:sz w:val="28"/>
          <w:szCs w:val="28"/>
        </w:rPr>
        <w:t>卹</w:t>
      </w:r>
      <w:proofErr w:type="gramEnd"/>
      <w:r w:rsidRPr="001B6E4D">
        <w:rPr>
          <w:rFonts w:ascii="標楷體" w:eastAsia="標楷體" w:hAnsi="標楷體"/>
          <w:sz w:val="28"/>
          <w:szCs w:val="28"/>
        </w:rPr>
        <w:t>基金」收支部分。</w:t>
      </w:r>
    </w:p>
    <w:p w14:paraId="61215DEC" w14:textId="77777777" w:rsidR="0051111F" w:rsidRPr="001B6E4D" w:rsidRDefault="0051111F" w:rsidP="003D1018">
      <w:pPr>
        <w:widowControl w:val="0"/>
        <w:kinsoku w:val="0"/>
        <w:overflowPunct w:val="0"/>
        <w:spacing w:line="360" w:lineRule="exact"/>
        <w:ind w:left="560" w:hangingChars="200" w:hanging="560"/>
        <w:contextualSpacing/>
        <w:jc w:val="both"/>
        <w:rPr>
          <w:rFonts w:ascii="標楷體" w:eastAsia="標楷體" w:hAnsi="標楷體" w:cs="Arial"/>
          <w:sz w:val="28"/>
          <w:szCs w:val="28"/>
        </w:rPr>
      </w:pPr>
      <w:r w:rsidRPr="001B6E4D">
        <w:rPr>
          <w:rFonts w:ascii="標楷體" w:eastAsia="標楷體" w:hAnsi="標楷體" w:hint="eastAsia"/>
          <w:color w:val="000000"/>
          <w:kern w:val="0"/>
          <w:sz w:val="28"/>
          <w:szCs w:val="28"/>
        </w:rPr>
        <w:t>四、繼續審查</w:t>
      </w:r>
      <w:proofErr w:type="gramStart"/>
      <w:r w:rsidRPr="001B6E4D">
        <w:rPr>
          <w:rFonts w:ascii="標楷體" w:eastAsia="標楷體" w:hAnsi="標楷體"/>
          <w:color w:val="000000"/>
          <w:kern w:val="0"/>
          <w:sz w:val="28"/>
          <w:szCs w:val="28"/>
        </w:rPr>
        <w:t>115</w:t>
      </w:r>
      <w:proofErr w:type="gramEnd"/>
      <w:r w:rsidRPr="001B6E4D">
        <w:rPr>
          <w:rFonts w:ascii="標楷體" w:eastAsia="標楷體" w:hAnsi="標楷體"/>
          <w:color w:val="000000"/>
          <w:kern w:val="0"/>
          <w:sz w:val="28"/>
          <w:szCs w:val="28"/>
        </w:rPr>
        <w:t>年度中央政府總預算案附屬單位預算非營業部分關於考試院銓敘部主管「公教人員個人</w:t>
      </w:r>
      <w:proofErr w:type="gramStart"/>
      <w:r w:rsidRPr="001B6E4D">
        <w:rPr>
          <w:rFonts w:ascii="標楷體" w:eastAsia="標楷體" w:hAnsi="標楷體"/>
          <w:color w:val="000000"/>
          <w:kern w:val="0"/>
          <w:sz w:val="28"/>
          <w:szCs w:val="28"/>
        </w:rPr>
        <w:t>專戶制退撫</w:t>
      </w:r>
      <w:proofErr w:type="gramEnd"/>
      <w:r w:rsidRPr="001B6E4D">
        <w:rPr>
          <w:rFonts w:ascii="標楷體" w:eastAsia="標楷體" w:hAnsi="標楷體"/>
          <w:color w:val="000000"/>
          <w:kern w:val="0"/>
          <w:sz w:val="28"/>
          <w:szCs w:val="28"/>
        </w:rPr>
        <w:t>儲金基金」收支部分。</w:t>
      </w:r>
    </w:p>
    <w:p w14:paraId="581D0F68" w14:textId="77777777" w:rsidR="0051111F" w:rsidRPr="001B6E4D" w:rsidRDefault="0051111F" w:rsidP="003D1018">
      <w:pPr>
        <w:widowControl w:val="0"/>
        <w:overflowPunct w:val="0"/>
        <w:autoSpaceDE w:val="0"/>
        <w:autoSpaceDN w:val="0"/>
        <w:adjustRightInd w:val="0"/>
        <w:spacing w:line="360" w:lineRule="exact"/>
        <w:ind w:left="846" w:hangingChars="302" w:hanging="846"/>
        <w:rPr>
          <w:rFonts w:ascii="標楷體" w:eastAsia="標楷體" w:hAnsi="標楷體" w:cs="標楷體"/>
          <w:b/>
          <w:bCs/>
          <w:color w:val="000000"/>
          <w:kern w:val="0"/>
          <w:sz w:val="28"/>
          <w:szCs w:val="28"/>
        </w:rPr>
      </w:pPr>
      <w:r w:rsidRPr="001B6E4D">
        <w:rPr>
          <w:rFonts w:ascii="標楷體" w:eastAsia="標楷體" w:hAnsi="標楷體" w:cs="標楷體" w:hint="eastAsia"/>
          <w:color w:val="000000"/>
          <w:kern w:val="0"/>
          <w:sz w:val="28"/>
          <w:szCs w:val="28"/>
        </w:rPr>
        <w:t>決議：</w:t>
      </w:r>
    </w:p>
    <w:p w14:paraId="6DE4FF77" w14:textId="77777777" w:rsidR="0051111F" w:rsidRPr="001B6E4D" w:rsidRDefault="0051111F" w:rsidP="003D1018">
      <w:pPr>
        <w:widowControl w:val="0"/>
        <w:overflowPunct w:val="0"/>
        <w:autoSpaceDE w:val="0"/>
        <w:autoSpaceDN w:val="0"/>
        <w:adjustRightInd w:val="0"/>
        <w:spacing w:line="360" w:lineRule="exact"/>
        <w:ind w:left="846" w:hangingChars="302" w:hanging="846"/>
        <w:rPr>
          <w:rFonts w:ascii="標楷體" w:eastAsia="標楷體" w:hAnsi="標楷體" w:cs="標楷體"/>
          <w:b/>
          <w:color w:val="FF0000"/>
          <w:kern w:val="0"/>
          <w:sz w:val="28"/>
          <w:szCs w:val="28"/>
        </w:rPr>
      </w:pPr>
      <w:r w:rsidRPr="001B6E4D">
        <w:rPr>
          <w:rFonts w:ascii="標楷體" w:eastAsia="標楷體" w:hAnsi="標楷體" w:hint="eastAsia"/>
          <w:b/>
          <w:color w:val="000000"/>
          <w:kern w:val="0"/>
          <w:sz w:val="28"/>
          <w:szCs w:val="28"/>
        </w:rPr>
        <w:t>一、</w:t>
      </w:r>
      <w:proofErr w:type="gramStart"/>
      <w:r w:rsidRPr="001B6E4D">
        <w:rPr>
          <w:rFonts w:ascii="標楷體" w:eastAsia="標楷體" w:hAnsi="標楷體"/>
          <w:b/>
          <w:color w:val="000000"/>
          <w:kern w:val="0"/>
          <w:sz w:val="28"/>
          <w:szCs w:val="28"/>
        </w:rPr>
        <w:t>115</w:t>
      </w:r>
      <w:proofErr w:type="gramEnd"/>
      <w:r w:rsidRPr="001B6E4D">
        <w:rPr>
          <w:rFonts w:ascii="標楷體" w:eastAsia="標楷體" w:hAnsi="標楷體" w:hint="eastAsia"/>
          <w:b/>
          <w:color w:val="000000"/>
          <w:kern w:val="0"/>
          <w:sz w:val="28"/>
          <w:szCs w:val="28"/>
        </w:rPr>
        <w:t>年度中央政府總預算案關於考試院及所屬主管收支部分：</w:t>
      </w:r>
    </w:p>
    <w:p w14:paraId="05296DA6" w14:textId="77777777" w:rsidR="0051111F" w:rsidRPr="001B6E4D" w:rsidRDefault="0051111F" w:rsidP="003D1018">
      <w:pPr>
        <w:widowControl w:val="0"/>
        <w:overflowPunct w:val="0"/>
        <w:snapToGrid w:val="0"/>
        <w:rPr>
          <w:rFonts w:ascii="標楷體" w:eastAsia="標楷體" w:hAnsi="標楷體" w:cs="Arial"/>
          <w:color w:val="000000"/>
          <w:sz w:val="28"/>
          <w:szCs w:val="28"/>
        </w:rPr>
      </w:pPr>
      <w:r w:rsidRPr="001B6E4D">
        <w:rPr>
          <w:rFonts w:ascii="標楷體" w:eastAsia="標楷體" w:hAnsi="標楷體" w:cs="Arial" w:hint="eastAsia"/>
          <w:b/>
          <w:sz w:val="28"/>
          <w:szCs w:val="28"/>
        </w:rPr>
        <w:t>(</w:t>
      </w:r>
      <w:proofErr w:type="gramStart"/>
      <w:r w:rsidRPr="001B6E4D">
        <w:rPr>
          <w:rFonts w:ascii="標楷體" w:eastAsia="標楷體" w:hAnsi="標楷體" w:cs="Arial" w:hint="eastAsia"/>
          <w:b/>
          <w:sz w:val="28"/>
          <w:szCs w:val="28"/>
        </w:rPr>
        <w:t>一</w:t>
      </w:r>
      <w:proofErr w:type="gramEnd"/>
      <w:r w:rsidRPr="001B6E4D">
        <w:rPr>
          <w:rFonts w:ascii="標楷體" w:eastAsia="標楷體" w:hAnsi="標楷體" w:cs="Arial" w:hint="eastAsia"/>
          <w:b/>
          <w:sz w:val="28"/>
          <w:szCs w:val="28"/>
        </w:rPr>
        <w:t>)</w:t>
      </w:r>
      <w:r w:rsidRPr="001B6E4D">
        <w:rPr>
          <w:rFonts w:ascii="標楷體" w:eastAsia="標楷體" w:hAnsi="標楷體" w:cs="Arial"/>
          <w:b/>
          <w:sz w:val="28"/>
          <w:szCs w:val="28"/>
        </w:rPr>
        <w:t>歲入部分</w:t>
      </w:r>
    </w:p>
    <w:p w14:paraId="21601EB2" w14:textId="77777777" w:rsidR="0051111F" w:rsidRPr="001B6E4D" w:rsidRDefault="0051111F" w:rsidP="003D1018">
      <w:pPr>
        <w:widowControl w:val="0"/>
        <w:overflowPunct w:val="0"/>
        <w:snapToGrid w:val="0"/>
        <w:ind w:leftChars="50" w:left="120"/>
        <w:rPr>
          <w:rFonts w:ascii="標楷體" w:eastAsia="標楷體" w:hAnsi="標楷體" w:cs="Arial"/>
          <w:color w:val="000000"/>
          <w:sz w:val="28"/>
          <w:szCs w:val="28"/>
        </w:rPr>
      </w:pPr>
      <w:r w:rsidRPr="001B6E4D">
        <w:rPr>
          <w:rFonts w:ascii="標楷體" w:eastAsia="標楷體" w:hAnsi="標楷體" w:cs="Arial"/>
          <w:b/>
          <w:color w:val="000000"/>
          <w:sz w:val="28"/>
          <w:szCs w:val="28"/>
        </w:rPr>
        <w:t>第2款 罰款及賠償收入</w:t>
      </w:r>
    </w:p>
    <w:p w14:paraId="7F865EA3"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第56項 考試院，</w:t>
      </w:r>
      <w:proofErr w:type="gramStart"/>
      <w:r w:rsidRPr="001B6E4D">
        <w:rPr>
          <w:rFonts w:ascii="標楷體" w:eastAsia="標楷體" w:hAnsi="標楷體" w:cs="Arial"/>
          <w:color w:val="000000"/>
          <w:sz w:val="28"/>
          <w:szCs w:val="28"/>
        </w:rPr>
        <w:t>無列數</w:t>
      </w:r>
      <w:proofErr w:type="gramEnd"/>
      <w:r w:rsidRPr="001B6E4D">
        <w:rPr>
          <w:rFonts w:ascii="標楷體" w:eastAsia="標楷體" w:hAnsi="標楷體" w:cs="Arial"/>
          <w:color w:val="000000"/>
          <w:sz w:val="28"/>
          <w:szCs w:val="28"/>
        </w:rPr>
        <w:t>。</w:t>
      </w:r>
    </w:p>
    <w:p w14:paraId="60E99A75"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lastRenderedPageBreak/>
        <w:t>第57項 考選部，</w:t>
      </w:r>
      <w:proofErr w:type="gramStart"/>
      <w:r w:rsidRPr="001B6E4D">
        <w:rPr>
          <w:rFonts w:ascii="標楷體" w:eastAsia="標楷體" w:hAnsi="標楷體" w:cs="Arial"/>
          <w:color w:val="000000"/>
          <w:sz w:val="28"/>
          <w:szCs w:val="28"/>
        </w:rPr>
        <w:t>無列數</w:t>
      </w:r>
      <w:proofErr w:type="gramEnd"/>
      <w:r w:rsidRPr="001B6E4D">
        <w:rPr>
          <w:rFonts w:ascii="標楷體" w:eastAsia="標楷體" w:hAnsi="標楷體" w:cs="Arial"/>
          <w:color w:val="000000"/>
          <w:sz w:val="28"/>
          <w:szCs w:val="28"/>
        </w:rPr>
        <w:t>。</w:t>
      </w:r>
    </w:p>
    <w:p w14:paraId="7CD77575"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第58項 銓敘部，</w:t>
      </w:r>
      <w:proofErr w:type="gramStart"/>
      <w:r w:rsidRPr="001B6E4D">
        <w:rPr>
          <w:rFonts w:ascii="標楷體" w:eastAsia="標楷體" w:hAnsi="標楷體" w:cs="Arial"/>
          <w:color w:val="000000"/>
          <w:sz w:val="28"/>
          <w:szCs w:val="28"/>
        </w:rPr>
        <w:t>無列數</w:t>
      </w:r>
      <w:proofErr w:type="gramEnd"/>
      <w:r w:rsidRPr="001B6E4D">
        <w:rPr>
          <w:rFonts w:ascii="標楷體" w:eastAsia="標楷體" w:hAnsi="標楷體" w:cs="Arial"/>
          <w:color w:val="000000"/>
          <w:sz w:val="28"/>
          <w:szCs w:val="28"/>
        </w:rPr>
        <w:t>。</w:t>
      </w:r>
    </w:p>
    <w:p w14:paraId="70C20C7A"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第59項 國家文官學院及所屬，</w:t>
      </w:r>
      <w:proofErr w:type="gramStart"/>
      <w:r w:rsidRPr="001B6E4D">
        <w:rPr>
          <w:rFonts w:ascii="標楷體" w:eastAsia="標楷體" w:hAnsi="標楷體" w:cs="Arial"/>
          <w:color w:val="000000"/>
          <w:sz w:val="28"/>
          <w:szCs w:val="28"/>
        </w:rPr>
        <w:t>無列數</w:t>
      </w:r>
      <w:proofErr w:type="gramEnd"/>
      <w:r w:rsidRPr="001B6E4D">
        <w:rPr>
          <w:rFonts w:ascii="標楷體" w:eastAsia="標楷體" w:hAnsi="標楷體" w:cs="Arial"/>
          <w:color w:val="000000"/>
          <w:sz w:val="28"/>
          <w:szCs w:val="28"/>
        </w:rPr>
        <w:t>。</w:t>
      </w:r>
    </w:p>
    <w:p w14:paraId="5F6591A4"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第60項 公務人員退休撫</w:t>
      </w:r>
      <w:proofErr w:type="gramStart"/>
      <w:r w:rsidRPr="001B6E4D">
        <w:rPr>
          <w:rFonts w:ascii="標楷體" w:eastAsia="標楷體" w:hAnsi="標楷體" w:cs="Arial"/>
          <w:color w:val="000000"/>
          <w:sz w:val="28"/>
          <w:szCs w:val="28"/>
        </w:rPr>
        <w:t>卹</w:t>
      </w:r>
      <w:proofErr w:type="gramEnd"/>
      <w:r w:rsidRPr="001B6E4D">
        <w:rPr>
          <w:rFonts w:ascii="標楷體" w:eastAsia="標楷體" w:hAnsi="標楷體" w:cs="Arial"/>
          <w:color w:val="000000"/>
          <w:sz w:val="28"/>
          <w:szCs w:val="28"/>
        </w:rPr>
        <w:t>基金管理局，</w:t>
      </w:r>
      <w:proofErr w:type="gramStart"/>
      <w:r w:rsidRPr="001B6E4D">
        <w:rPr>
          <w:rFonts w:ascii="標楷體" w:eastAsia="標楷體" w:hAnsi="標楷體" w:cs="Arial"/>
          <w:color w:val="000000"/>
          <w:sz w:val="28"/>
          <w:szCs w:val="28"/>
        </w:rPr>
        <w:t>無列數</w:t>
      </w:r>
      <w:proofErr w:type="gramEnd"/>
      <w:r w:rsidRPr="001B6E4D">
        <w:rPr>
          <w:rFonts w:ascii="標楷體" w:eastAsia="標楷體" w:hAnsi="標楷體" w:cs="Arial"/>
          <w:color w:val="000000"/>
          <w:sz w:val="28"/>
          <w:szCs w:val="28"/>
        </w:rPr>
        <w:t>。</w:t>
      </w:r>
    </w:p>
    <w:p w14:paraId="56911B04" w14:textId="77777777" w:rsidR="0051111F" w:rsidRPr="001B6E4D" w:rsidRDefault="0051111F" w:rsidP="003D1018">
      <w:pPr>
        <w:widowControl w:val="0"/>
        <w:overflowPunct w:val="0"/>
        <w:snapToGrid w:val="0"/>
        <w:ind w:leftChars="50" w:left="120"/>
        <w:rPr>
          <w:rFonts w:ascii="標楷體" w:eastAsia="標楷體" w:hAnsi="標楷體" w:cs="Arial"/>
          <w:color w:val="000000"/>
          <w:sz w:val="28"/>
          <w:szCs w:val="28"/>
        </w:rPr>
      </w:pPr>
      <w:r w:rsidRPr="001B6E4D">
        <w:rPr>
          <w:rFonts w:ascii="標楷體" w:eastAsia="標楷體" w:hAnsi="標楷體" w:cs="Arial"/>
          <w:b/>
          <w:color w:val="000000"/>
          <w:sz w:val="28"/>
          <w:szCs w:val="28"/>
        </w:rPr>
        <w:t>第3款 規費收入</w:t>
      </w:r>
    </w:p>
    <w:p w14:paraId="17C64B83"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第51項 考試院885萬1千元，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2D4B9903"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第52項 考選部400萬元，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4839D950"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第53項 公務人員保障暨培訓委員會1萬4千元，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6E52A801" w14:textId="77777777" w:rsidR="0051111F" w:rsidRPr="001B6E4D" w:rsidRDefault="0051111F" w:rsidP="003D1018">
      <w:pPr>
        <w:widowControl w:val="0"/>
        <w:overflowPunct w:val="0"/>
        <w:snapToGrid w:val="0"/>
        <w:ind w:leftChars="50" w:left="120"/>
        <w:rPr>
          <w:rFonts w:ascii="標楷體" w:eastAsia="標楷體" w:hAnsi="標楷體" w:cs="Arial"/>
          <w:color w:val="000000"/>
          <w:sz w:val="28"/>
          <w:szCs w:val="28"/>
        </w:rPr>
      </w:pPr>
      <w:r w:rsidRPr="001B6E4D">
        <w:rPr>
          <w:rFonts w:ascii="標楷體" w:eastAsia="標楷體" w:hAnsi="標楷體" w:cs="Arial"/>
          <w:b/>
          <w:color w:val="000000"/>
          <w:sz w:val="28"/>
          <w:szCs w:val="28"/>
        </w:rPr>
        <w:t>第4款 財產收入</w:t>
      </w:r>
    </w:p>
    <w:p w14:paraId="74041550"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第62項 考試院52萬5千元，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5BB28E14"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第63項 考選部103萬元，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6C018462"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第64項 銓敘部43萬2千元，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11408BC1"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第65項 公務人員保障暨培訓委員會1千元，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743E312B"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第66項 國家文官學院及所屬724萬3千元，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10F13875"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第67項 公務人員退休撫</w:t>
      </w:r>
      <w:proofErr w:type="gramStart"/>
      <w:r w:rsidRPr="001B6E4D">
        <w:rPr>
          <w:rFonts w:ascii="標楷體" w:eastAsia="標楷體" w:hAnsi="標楷體" w:cs="Arial"/>
          <w:color w:val="000000"/>
          <w:sz w:val="28"/>
          <w:szCs w:val="28"/>
        </w:rPr>
        <w:t>卹</w:t>
      </w:r>
      <w:proofErr w:type="gramEnd"/>
      <w:r w:rsidRPr="001B6E4D">
        <w:rPr>
          <w:rFonts w:ascii="標楷體" w:eastAsia="標楷體" w:hAnsi="標楷體" w:cs="Arial"/>
          <w:color w:val="000000"/>
          <w:sz w:val="28"/>
          <w:szCs w:val="28"/>
        </w:rPr>
        <w:t>基金管理局，</w:t>
      </w:r>
      <w:proofErr w:type="gramStart"/>
      <w:r w:rsidRPr="001B6E4D">
        <w:rPr>
          <w:rFonts w:ascii="標楷體" w:eastAsia="標楷體" w:hAnsi="標楷體" w:cs="Arial"/>
          <w:color w:val="000000"/>
          <w:sz w:val="28"/>
          <w:szCs w:val="28"/>
        </w:rPr>
        <w:t>無列數</w:t>
      </w:r>
      <w:proofErr w:type="gramEnd"/>
      <w:r w:rsidRPr="001B6E4D">
        <w:rPr>
          <w:rFonts w:ascii="標楷體" w:eastAsia="標楷體" w:hAnsi="標楷體" w:cs="Arial"/>
          <w:color w:val="000000"/>
          <w:sz w:val="28"/>
          <w:szCs w:val="28"/>
        </w:rPr>
        <w:t>。</w:t>
      </w:r>
    </w:p>
    <w:p w14:paraId="110FA178" w14:textId="77777777" w:rsidR="0051111F" w:rsidRPr="001B6E4D" w:rsidRDefault="0051111F" w:rsidP="003D1018">
      <w:pPr>
        <w:widowControl w:val="0"/>
        <w:overflowPunct w:val="0"/>
        <w:snapToGrid w:val="0"/>
        <w:ind w:leftChars="50" w:left="120"/>
        <w:rPr>
          <w:rFonts w:ascii="標楷體" w:eastAsia="標楷體" w:hAnsi="標楷體" w:cs="Arial"/>
          <w:color w:val="000000"/>
          <w:sz w:val="28"/>
          <w:szCs w:val="28"/>
        </w:rPr>
      </w:pPr>
      <w:r w:rsidRPr="001B6E4D">
        <w:rPr>
          <w:rFonts w:ascii="標楷體" w:eastAsia="標楷體" w:hAnsi="標楷體" w:cs="Arial"/>
          <w:b/>
          <w:color w:val="000000"/>
          <w:sz w:val="28"/>
          <w:szCs w:val="28"/>
        </w:rPr>
        <w:t>第7款 其他收入</w:t>
      </w:r>
    </w:p>
    <w:p w14:paraId="1FB23E94"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第62項 考試院20萬2千元，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14178045"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第63項 考選部，</w:t>
      </w:r>
      <w:proofErr w:type="gramStart"/>
      <w:r w:rsidRPr="001B6E4D">
        <w:rPr>
          <w:rFonts w:ascii="標楷體" w:eastAsia="標楷體" w:hAnsi="標楷體" w:cs="Arial"/>
          <w:color w:val="000000"/>
          <w:sz w:val="28"/>
          <w:szCs w:val="28"/>
        </w:rPr>
        <w:t>無列數</w:t>
      </w:r>
      <w:proofErr w:type="gramEnd"/>
      <w:r w:rsidRPr="001B6E4D">
        <w:rPr>
          <w:rFonts w:ascii="標楷體" w:eastAsia="標楷體" w:hAnsi="標楷體" w:cs="Arial"/>
          <w:color w:val="000000"/>
          <w:sz w:val="28"/>
          <w:szCs w:val="28"/>
        </w:rPr>
        <w:t>。</w:t>
      </w:r>
    </w:p>
    <w:p w14:paraId="64A09C00"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第64項 銓敘部2萬8千元，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008D8A0A"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第65項 公務人員保障暨培訓委員會8千元，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50F55389" w14:textId="77777777" w:rsidR="0051111F" w:rsidRPr="001B6E4D" w:rsidRDefault="0051111F" w:rsidP="003D1018">
      <w:pPr>
        <w:widowControl w:val="0"/>
        <w:overflowPunct w:val="0"/>
        <w:snapToGrid w:val="0"/>
        <w:ind w:leftChars="150" w:left="360"/>
        <w:rPr>
          <w:rFonts w:ascii="標楷體" w:eastAsia="標楷體" w:hAnsi="標楷體" w:cs="Arial"/>
          <w:color w:val="000000"/>
          <w:sz w:val="28"/>
          <w:szCs w:val="28"/>
        </w:rPr>
      </w:pPr>
      <w:r w:rsidRPr="001B6E4D">
        <w:rPr>
          <w:rFonts w:ascii="標楷體" w:eastAsia="標楷體" w:hAnsi="標楷體" w:cs="Arial"/>
          <w:color w:val="000000"/>
          <w:sz w:val="28"/>
          <w:szCs w:val="28"/>
        </w:rPr>
        <w:t>第66項 國家文官學院及所屬9萬1千元，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6E92878F" w14:textId="77777777" w:rsidR="0051111F" w:rsidRPr="001B6E4D" w:rsidRDefault="0051111F" w:rsidP="003D1018">
      <w:pPr>
        <w:widowControl w:val="0"/>
        <w:overflowPunct w:val="0"/>
        <w:snapToGrid w:val="0"/>
        <w:ind w:leftChars="1" w:left="2"/>
        <w:rPr>
          <w:rFonts w:ascii="標楷體" w:eastAsia="標楷體" w:hAnsi="標楷體" w:cs="Arial"/>
          <w:color w:val="000000"/>
          <w:sz w:val="28"/>
          <w:szCs w:val="28"/>
        </w:rPr>
      </w:pPr>
      <w:r w:rsidRPr="001B6E4D">
        <w:rPr>
          <w:rFonts w:ascii="標楷體" w:eastAsia="標楷體" w:hAnsi="標楷體" w:cs="Arial" w:hint="eastAsia"/>
          <w:b/>
          <w:sz w:val="28"/>
          <w:szCs w:val="28"/>
        </w:rPr>
        <w:t>(二)</w:t>
      </w:r>
      <w:r w:rsidRPr="001B6E4D">
        <w:rPr>
          <w:rFonts w:ascii="標楷體" w:eastAsia="標楷體" w:hAnsi="標楷體" w:cs="Arial"/>
          <w:b/>
          <w:sz w:val="28"/>
          <w:szCs w:val="28"/>
        </w:rPr>
        <w:t>歲出部分</w:t>
      </w:r>
    </w:p>
    <w:p w14:paraId="0667679F" w14:textId="77777777" w:rsidR="0051111F" w:rsidRPr="001B6E4D" w:rsidRDefault="0051111F" w:rsidP="003D1018">
      <w:pPr>
        <w:widowControl w:val="0"/>
        <w:overflowPunct w:val="0"/>
        <w:snapToGrid w:val="0"/>
        <w:ind w:leftChars="50" w:left="120"/>
        <w:rPr>
          <w:rFonts w:ascii="標楷體" w:eastAsia="標楷體" w:hAnsi="標楷體" w:cs="Arial"/>
          <w:color w:val="000000"/>
          <w:sz w:val="28"/>
          <w:szCs w:val="28"/>
        </w:rPr>
      </w:pPr>
      <w:r w:rsidRPr="001B6E4D">
        <w:rPr>
          <w:rFonts w:ascii="標楷體" w:eastAsia="標楷體" w:hAnsi="標楷體" w:cs="Arial"/>
          <w:b/>
          <w:color w:val="000000"/>
          <w:sz w:val="28"/>
          <w:szCs w:val="28"/>
        </w:rPr>
        <w:t>第5款 考試院主管</w:t>
      </w:r>
    </w:p>
    <w:p w14:paraId="47FEFD2D" w14:textId="77777777" w:rsidR="0051111F" w:rsidRPr="001B6E4D" w:rsidRDefault="0051111F" w:rsidP="003D1018">
      <w:pPr>
        <w:widowControl w:val="0"/>
        <w:overflowPunct w:val="0"/>
        <w:snapToGrid w:val="0"/>
        <w:ind w:leftChars="150" w:left="1200" w:hangingChars="300" w:hanging="840"/>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第1項 考試院</w:t>
      </w:r>
      <w:r w:rsidRPr="001B6E4D">
        <w:rPr>
          <w:rFonts w:ascii="標楷體" w:eastAsia="標楷體" w:hAnsi="標楷體" w:cs="Arial" w:hint="eastAsia"/>
          <w:color w:val="000000"/>
          <w:sz w:val="28"/>
          <w:szCs w:val="28"/>
        </w:rPr>
        <w:t>原列</w:t>
      </w:r>
      <w:r w:rsidRPr="001B6E4D">
        <w:rPr>
          <w:rFonts w:ascii="標楷體" w:eastAsia="標楷體" w:hAnsi="標楷體" w:cs="Arial"/>
          <w:color w:val="000000"/>
          <w:sz w:val="28"/>
          <w:szCs w:val="28"/>
        </w:rPr>
        <w:t>3億4,610萬9千元，</w:t>
      </w:r>
      <w:r w:rsidRPr="001B6E4D">
        <w:rPr>
          <w:rFonts w:ascii="標楷體" w:eastAsia="標楷體" w:hAnsi="標楷體" w:cs="Arial" w:hint="eastAsia"/>
          <w:color w:val="000000"/>
          <w:sz w:val="28"/>
          <w:szCs w:val="28"/>
        </w:rPr>
        <w:t>減</w:t>
      </w:r>
      <w:r w:rsidRPr="001B6E4D">
        <w:rPr>
          <w:rFonts w:ascii="標楷體" w:eastAsia="標楷體" w:hAnsi="標楷體" w:cs="Arial"/>
          <w:color w:val="000000"/>
          <w:sz w:val="28"/>
          <w:szCs w:val="28"/>
        </w:rPr>
        <w:t>列</w:t>
      </w:r>
      <w:r w:rsidRPr="001B6E4D">
        <w:rPr>
          <w:rFonts w:ascii="標楷體" w:eastAsia="標楷體" w:hAnsi="標楷體" w:cs="Arial" w:hint="eastAsia"/>
          <w:color w:val="000000"/>
          <w:sz w:val="28"/>
          <w:szCs w:val="28"/>
        </w:rPr>
        <w:t>：</w:t>
      </w:r>
    </w:p>
    <w:p w14:paraId="1C438CF4" w14:textId="77777777" w:rsidR="0051111F" w:rsidRPr="001B6E4D" w:rsidRDefault="0051111F" w:rsidP="003D1018">
      <w:pPr>
        <w:widowControl w:val="0"/>
        <w:overflowPunct w:val="0"/>
        <w:snapToGrid w:val="0"/>
        <w:ind w:leftChars="150" w:left="1200" w:hangingChars="300" w:hanging="84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 xml:space="preserve">       (</w:t>
      </w:r>
      <w:proofErr w:type="gramStart"/>
      <w:r w:rsidRPr="001B6E4D">
        <w:rPr>
          <w:rFonts w:ascii="標楷體" w:eastAsia="標楷體" w:hAnsi="標楷體" w:cs="Arial" w:hint="eastAsia"/>
          <w:color w:val="000000"/>
          <w:sz w:val="28"/>
          <w:szCs w:val="28"/>
        </w:rPr>
        <w:t>一</w:t>
      </w:r>
      <w:proofErr w:type="gramEnd"/>
      <w:r w:rsidRPr="001B6E4D">
        <w:rPr>
          <w:rFonts w:ascii="標楷體" w:eastAsia="標楷體" w:hAnsi="標楷體" w:cs="Arial" w:hint="eastAsia"/>
          <w:color w:val="000000"/>
          <w:sz w:val="28"/>
          <w:szCs w:val="28"/>
        </w:rPr>
        <w:t>)「業務費」63萬元(科目自行調整)。【</w:t>
      </w:r>
      <w:r w:rsidRPr="001B6E4D">
        <w:rPr>
          <w:rFonts w:ascii="標楷體" w:eastAsia="標楷體" w:hAnsi="標楷體" w:cs="Arial"/>
          <w:color w:val="000000"/>
          <w:sz w:val="28"/>
          <w:szCs w:val="28"/>
        </w:rPr>
        <w:t>1</w:t>
      </w:r>
      <w:r w:rsidRPr="001B6E4D">
        <w:rPr>
          <w:rFonts w:ascii="標楷體" w:eastAsia="標楷體" w:hAnsi="標楷體" w:cs="Arial" w:hint="eastAsia"/>
          <w:color w:val="000000"/>
          <w:sz w:val="28"/>
          <w:szCs w:val="28"/>
        </w:rPr>
        <w:t>、</w:t>
      </w:r>
      <w:r w:rsidRPr="001B6E4D">
        <w:rPr>
          <w:rFonts w:ascii="標楷體" w:eastAsia="標楷體" w:hAnsi="標楷體" w:cs="Arial"/>
          <w:color w:val="000000"/>
          <w:sz w:val="28"/>
          <w:szCs w:val="28"/>
        </w:rPr>
        <w:t>6</w:t>
      </w:r>
      <w:r w:rsidRPr="001B6E4D">
        <w:rPr>
          <w:rFonts w:ascii="標楷體" w:eastAsia="標楷體" w:hAnsi="標楷體" w:cs="Arial" w:hint="eastAsia"/>
          <w:color w:val="000000"/>
          <w:sz w:val="28"/>
          <w:szCs w:val="28"/>
        </w:rPr>
        <w:t>】</w:t>
      </w:r>
    </w:p>
    <w:p w14:paraId="66832BCE" w14:textId="77777777" w:rsidR="0051111F" w:rsidRPr="001B6E4D" w:rsidRDefault="0051111F" w:rsidP="003D1018">
      <w:pPr>
        <w:widowControl w:val="0"/>
        <w:overflowPunct w:val="0"/>
        <w:snapToGrid w:val="0"/>
        <w:ind w:leftChars="450" w:left="1080" w:firstLineChars="100" w:firstLine="28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(二)「業務費」項下「水電費」10萬元</w:t>
      </w:r>
      <w:r w:rsidRPr="001B6E4D">
        <w:rPr>
          <w:rFonts w:ascii="標楷體" w:eastAsia="標楷體" w:hAnsi="標楷體" w:cs="Arial"/>
          <w:color w:val="000000"/>
          <w:sz w:val="28"/>
          <w:szCs w:val="28"/>
        </w:rPr>
        <w:t>。</w:t>
      </w:r>
      <w:r w:rsidRPr="001B6E4D">
        <w:rPr>
          <w:rFonts w:ascii="標楷體" w:eastAsia="標楷體" w:hAnsi="標楷體" w:cs="Arial" w:hint="eastAsia"/>
          <w:color w:val="000000"/>
          <w:sz w:val="28"/>
          <w:szCs w:val="28"/>
        </w:rPr>
        <w:t>【3】</w:t>
      </w:r>
    </w:p>
    <w:p w14:paraId="51345C65" w14:textId="77777777" w:rsidR="0051111F" w:rsidRPr="001B6E4D" w:rsidRDefault="0051111F" w:rsidP="003D1018">
      <w:pPr>
        <w:widowControl w:val="0"/>
        <w:overflowPunct w:val="0"/>
        <w:snapToGrid w:val="0"/>
        <w:ind w:leftChars="450" w:left="1080" w:firstLineChars="100" w:firstLine="28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(三)「業務費」項下「通訊費」60萬元</w:t>
      </w:r>
      <w:r w:rsidRPr="001B6E4D">
        <w:rPr>
          <w:rFonts w:ascii="標楷體" w:eastAsia="標楷體" w:hAnsi="標楷體" w:cs="Arial"/>
          <w:color w:val="000000"/>
          <w:sz w:val="28"/>
          <w:szCs w:val="28"/>
        </w:rPr>
        <w:t>。</w:t>
      </w:r>
      <w:r w:rsidRPr="001B6E4D">
        <w:rPr>
          <w:rFonts w:ascii="標楷體" w:eastAsia="標楷體" w:hAnsi="標楷體" w:cs="Arial" w:hint="eastAsia"/>
          <w:color w:val="000000"/>
          <w:sz w:val="28"/>
          <w:szCs w:val="28"/>
        </w:rPr>
        <w:t>【4】</w:t>
      </w:r>
    </w:p>
    <w:p w14:paraId="60C9715F" w14:textId="77777777" w:rsidR="0051111F" w:rsidRPr="001B6E4D" w:rsidRDefault="0051111F" w:rsidP="003D1018">
      <w:pPr>
        <w:widowControl w:val="0"/>
        <w:overflowPunct w:val="0"/>
        <w:snapToGrid w:val="0"/>
        <w:ind w:leftChars="450" w:left="1080" w:firstLineChars="100" w:firstLine="28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(四)「業務費」項下「按日按</w:t>
      </w:r>
      <w:proofErr w:type="gramStart"/>
      <w:r w:rsidRPr="001B6E4D">
        <w:rPr>
          <w:rFonts w:ascii="標楷體" w:eastAsia="標楷體" w:hAnsi="標楷體" w:cs="Arial" w:hint="eastAsia"/>
          <w:color w:val="000000"/>
          <w:sz w:val="28"/>
          <w:szCs w:val="28"/>
        </w:rPr>
        <w:t>件計資</w:t>
      </w:r>
      <w:proofErr w:type="gramEnd"/>
      <w:r w:rsidRPr="001B6E4D">
        <w:rPr>
          <w:rFonts w:ascii="標楷體" w:eastAsia="標楷體" w:hAnsi="標楷體" w:cs="Arial" w:hint="eastAsia"/>
          <w:color w:val="000000"/>
          <w:sz w:val="28"/>
          <w:szCs w:val="28"/>
        </w:rPr>
        <w:t>酬金」30萬元</w:t>
      </w:r>
      <w:r w:rsidRPr="001B6E4D">
        <w:rPr>
          <w:rFonts w:ascii="標楷體" w:eastAsia="標楷體" w:hAnsi="標楷體" w:cs="Arial"/>
          <w:color w:val="000000"/>
          <w:sz w:val="28"/>
          <w:szCs w:val="28"/>
        </w:rPr>
        <w:t>。</w:t>
      </w:r>
      <w:r w:rsidRPr="001B6E4D">
        <w:rPr>
          <w:rFonts w:ascii="標楷體" w:eastAsia="標楷體" w:hAnsi="標楷體" w:cs="Arial" w:hint="eastAsia"/>
          <w:color w:val="000000"/>
          <w:sz w:val="28"/>
          <w:szCs w:val="28"/>
        </w:rPr>
        <w:t>【5】</w:t>
      </w:r>
    </w:p>
    <w:p w14:paraId="2B0F2BD2" w14:textId="77777777" w:rsidR="0051111F" w:rsidRPr="001B6E4D" w:rsidRDefault="0051111F" w:rsidP="003D1018">
      <w:pPr>
        <w:widowControl w:val="0"/>
        <w:overflowPunct w:val="0"/>
        <w:snapToGrid w:val="0"/>
        <w:ind w:leftChars="450" w:left="1080" w:firstLineChars="100" w:firstLine="28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(五)「業務費」項下「特別費」197萬元</w:t>
      </w:r>
      <w:r w:rsidRPr="001B6E4D">
        <w:rPr>
          <w:rFonts w:ascii="標楷體" w:eastAsia="標楷體" w:hAnsi="標楷體" w:cs="Arial"/>
          <w:color w:val="000000"/>
          <w:sz w:val="28"/>
          <w:szCs w:val="28"/>
        </w:rPr>
        <w:t>。</w:t>
      </w:r>
      <w:r w:rsidRPr="001B6E4D">
        <w:rPr>
          <w:rFonts w:ascii="標楷體" w:eastAsia="標楷體" w:hAnsi="標楷體" w:cs="Arial" w:hint="eastAsia"/>
          <w:color w:val="000000"/>
          <w:sz w:val="28"/>
          <w:szCs w:val="28"/>
        </w:rPr>
        <w:t>【9】</w:t>
      </w:r>
    </w:p>
    <w:p w14:paraId="0010D6C2" w14:textId="77777777" w:rsidR="0051111F" w:rsidRPr="001B6E4D" w:rsidRDefault="0051111F" w:rsidP="003D1018">
      <w:pPr>
        <w:widowControl w:val="0"/>
        <w:overflowPunct w:val="0"/>
        <w:snapToGrid w:val="0"/>
        <w:ind w:leftChars="150" w:left="1340" w:hangingChars="350" w:hanging="98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 xml:space="preserve">       以上共計減列360萬元，其餘均</w:t>
      </w:r>
      <w:proofErr w:type="gramStart"/>
      <w:r w:rsidRPr="001B6E4D">
        <w:rPr>
          <w:rFonts w:ascii="標楷體" w:eastAsia="標楷體" w:hAnsi="標楷體" w:cs="Arial" w:hint="eastAsia"/>
          <w:color w:val="000000"/>
          <w:sz w:val="28"/>
          <w:szCs w:val="28"/>
        </w:rPr>
        <w:t>照列</w:t>
      </w:r>
      <w:proofErr w:type="gramEnd"/>
      <w:r w:rsidRPr="001B6E4D">
        <w:rPr>
          <w:rFonts w:ascii="標楷體" w:eastAsia="標楷體" w:hAnsi="標楷體" w:cs="Arial" w:hint="eastAsia"/>
          <w:color w:val="000000"/>
          <w:sz w:val="28"/>
          <w:szCs w:val="28"/>
        </w:rPr>
        <w:t>，改列為3</w:t>
      </w:r>
      <w:r w:rsidRPr="001B6E4D">
        <w:rPr>
          <w:rFonts w:ascii="標楷體" w:eastAsia="標楷體" w:hAnsi="標楷體" w:cs="Arial"/>
          <w:color w:val="000000"/>
          <w:sz w:val="28"/>
          <w:szCs w:val="28"/>
        </w:rPr>
        <w:t>億</w:t>
      </w:r>
      <w:r w:rsidRPr="001B6E4D">
        <w:rPr>
          <w:rFonts w:ascii="標楷體" w:eastAsia="標楷體" w:hAnsi="標楷體" w:cs="Arial" w:hint="eastAsia"/>
          <w:color w:val="000000"/>
          <w:sz w:val="28"/>
          <w:szCs w:val="28"/>
        </w:rPr>
        <w:t>4</w:t>
      </w:r>
      <w:r w:rsidRPr="001B6E4D">
        <w:rPr>
          <w:rFonts w:ascii="標楷體" w:eastAsia="標楷體" w:hAnsi="標楷體" w:cs="Arial"/>
          <w:color w:val="000000"/>
          <w:sz w:val="28"/>
          <w:szCs w:val="28"/>
        </w:rPr>
        <w:t>,</w:t>
      </w:r>
      <w:r w:rsidRPr="001B6E4D">
        <w:rPr>
          <w:rFonts w:ascii="標楷體" w:eastAsia="標楷體" w:hAnsi="標楷體" w:cs="Arial" w:hint="eastAsia"/>
          <w:color w:val="000000"/>
          <w:sz w:val="28"/>
          <w:szCs w:val="28"/>
        </w:rPr>
        <w:t>250</w:t>
      </w:r>
      <w:r w:rsidRPr="001B6E4D">
        <w:rPr>
          <w:rFonts w:ascii="標楷體" w:eastAsia="標楷體" w:hAnsi="標楷體" w:cs="Arial"/>
          <w:color w:val="000000"/>
          <w:sz w:val="28"/>
          <w:szCs w:val="28"/>
        </w:rPr>
        <w:t>萬</w:t>
      </w:r>
      <w:r w:rsidRPr="001B6E4D">
        <w:rPr>
          <w:rFonts w:ascii="標楷體" w:eastAsia="標楷體" w:hAnsi="標楷體" w:cs="Arial" w:hint="eastAsia"/>
          <w:color w:val="000000"/>
          <w:sz w:val="28"/>
          <w:szCs w:val="28"/>
        </w:rPr>
        <w:t>9千</w:t>
      </w:r>
      <w:r w:rsidRPr="001B6E4D">
        <w:rPr>
          <w:rFonts w:ascii="標楷體" w:eastAsia="標楷體" w:hAnsi="標楷體" w:cs="Arial"/>
          <w:color w:val="000000"/>
          <w:sz w:val="28"/>
          <w:szCs w:val="28"/>
        </w:rPr>
        <w:t>元</w:t>
      </w:r>
      <w:r w:rsidRPr="001B6E4D">
        <w:rPr>
          <w:rFonts w:ascii="標楷體" w:eastAsia="標楷體" w:hAnsi="標楷體" w:cs="Arial" w:hint="eastAsia"/>
          <w:color w:val="000000"/>
          <w:sz w:val="28"/>
          <w:szCs w:val="28"/>
        </w:rPr>
        <w:t>。</w:t>
      </w:r>
    </w:p>
    <w:p w14:paraId="210B7E2F" w14:textId="77777777" w:rsidR="0051111F" w:rsidRPr="001B6E4D" w:rsidRDefault="0051111F" w:rsidP="003D1018">
      <w:pPr>
        <w:widowControl w:val="0"/>
        <w:overflowPunct w:val="0"/>
        <w:snapToGrid w:val="0"/>
        <w:ind w:leftChars="150" w:left="1201" w:hangingChars="300" w:hanging="841"/>
        <w:jc w:val="both"/>
        <w:rPr>
          <w:rFonts w:ascii="標楷體" w:eastAsia="標楷體" w:hAnsi="標楷體" w:cs="Arial"/>
          <w:color w:val="000000"/>
          <w:sz w:val="28"/>
          <w:szCs w:val="28"/>
        </w:rPr>
      </w:pPr>
      <w:r w:rsidRPr="001B6E4D">
        <w:rPr>
          <w:rFonts w:ascii="標楷體" w:eastAsia="標楷體" w:hAnsi="標楷體" w:cs="Arial"/>
          <w:b/>
          <w:sz w:val="28"/>
          <w:szCs w:val="28"/>
        </w:rPr>
        <w:t>本項通過決議13項：</w:t>
      </w:r>
    </w:p>
    <w:p w14:paraId="50F4A345"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w:t>
      </w:r>
      <w:proofErr w:type="gramStart"/>
      <w:r w:rsidRPr="001B6E4D">
        <w:rPr>
          <w:rFonts w:ascii="標楷體" w:eastAsia="標楷體" w:hAnsi="標楷體"/>
          <w:sz w:val="28"/>
          <w:szCs w:val="28"/>
        </w:rPr>
        <w:t>考試院歲出</w:t>
      </w:r>
      <w:proofErr w:type="gramEnd"/>
      <w:r w:rsidRPr="001B6E4D">
        <w:rPr>
          <w:rFonts w:ascii="標楷體" w:eastAsia="標楷體" w:hAnsi="標楷體"/>
          <w:sz w:val="28"/>
          <w:szCs w:val="28"/>
        </w:rPr>
        <w:t>預算「</w:t>
      </w:r>
      <w:r w:rsidRPr="001B6E4D">
        <w:rPr>
          <w:rFonts w:ascii="標楷體" w:eastAsia="標楷體" w:hAnsi="標楷體" w:hint="eastAsia"/>
          <w:sz w:val="28"/>
          <w:szCs w:val="28"/>
        </w:rPr>
        <w:t>業務費</w:t>
      </w:r>
      <w:r w:rsidRPr="001B6E4D">
        <w:rPr>
          <w:rFonts w:ascii="標楷體" w:eastAsia="標楷體" w:hAnsi="標楷體"/>
          <w:sz w:val="28"/>
          <w:szCs w:val="28"/>
        </w:rPr>
        <w:t>」編列</w:t>
      </w:r>
      <w:r w:rsidRPr="001B6E4D">
        <w:rPr>
          <w:rFonts w:ascii="標楷體" w:eastAsia="標楷體" w:hAnsi="標楷體" w:hint="eastAsia"/>
          <w:sz w:val="28"/>
          <w:szCs w:val="28"/>
        </w:rPr>
        <w:t>6</w:t>
      </w:r>
      <w:r w:rsidRPr="001B6E4D">
        <w:rPr>
          <w:rFonts w:ascii="標楷體" w:eastAsia="標楷體" w:hAnsi="標楷體"/>
          <w:sz w:val="28"/>
          <w:szCs w:val="28"/>
        </w:rPr>
        <w:t>,</w:t>
      </w:r>
      <w:r w:rsidRPr="001B6E4D">
        <w:rPr>
          <w:rFonts w:ascii="標楷體" w:eastAsia="標楷體" w:hAnsi="標楷體" w:hint="eastAsia"/>
          <w:sz w:val="28"/>
          <w:szCs w:val="28"/>
        </w:rPr>
        <w:t>422</w:t>
      </w:r>
      <w:r w:rsidRPr="001B6E4D">
        <w:rPr>
          <w:rFonts w:ascii="標楷體" w:eastAsia="標楷體" w:hAnsi="標楷體"/>
          <w:sz w:val="28"/>
          <w:szCs w:val="28"/>
        </w:rPr>
        <w:t>萬</w:t>
      </w:r>
      <w:r w:rsidRPr="001B6E4D">
        <w:rPr>
          <w:rFonts w:ascii="標楷體" w:eastAsia="標楷體" w:hAnsi="標楷體" w:hint="eastAsia"/>
          <w:sz w:val="28"/>
          <w:szCs w:val="28"/>
        </w:rPr>
        <w:t>7</w:t>
      </w:r>
      <w:r w:rsidRPr="001B6E4D">
        <w:rPr>
          <w:rFonts w:ascii="標楷體" w:eastAsia="標楷體" w:hAnsi="標楷體"/>
          <w:sz w:val="28"/>
          <w:szCs w:val="28"/>
        </w:rPr>
        <w:t>千元，凍結</w:t>
      </w:r>
      <w:r w:rsidRPr="001B6E4D">
        <w:rPr>
          <w:rFonts w:ascii="標楷體" w:eastAsia="標楷體" w:hAnsi="標楷體" w:hint="eastAsia"/>
          <w:sz w:val="28"/>
          <w:szCs w:val="28"/>
        </w:rPr>
        <w:t>673</w:t>
      </w:r>
      <w:r w:rsidRPr="001B6E4D">
        <w:rPr>
          <w:rFonts w:ascii="標楷體" w:eastAsia="標楷體" w:hAnsi="標楷體"/>
          <w:sz w:val="28"/>
          <w:szCs w:val="28"/>
        </w:rPr>
        <w:t>萬</w:t>
      </w:r>
      <w:r w:rsidRPr="001B6E4D">
        <w:rPr>
          <w:rFonts w:ascii="標楷體" w:eastAsia="標楷體" w:hAnsi="標楷體" w:hint="eastAsia"/>
          <w:sz w:val="28"/>
          <w:szCs w:val="28"/>
        </w:rPr>
        <w:t>4千</w:t>
      </w:r>
      <w:r w:rsidRPr="001B6E4D">
        <w:rPr>
          <w:rFonts w:ascii="標楷體" w:eastAsia="標楷體" w:hAnsi="標楷體"/>
          <w:sz w:val="28"/>
          <w:szCs w:val="28"/>
        </w:rPr>
        <w:t>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w:t>
      </w:r>
      <w:r w:rsidRPr="001B6E4D">
        <w:rPr>
          <w:rFonts w:ascii="標楷體" w:eastAsia="標楷體" w:hAnsi="標楷體" w:hint="eastAsia"/>
          <w:sz w:val="28"/>
          <w:szCs w:val="28"/>
        </w:rPr>
        <w:t>，經同意</w:t>
      </w:r>
      <w:r w:rsidRPr="001B6E4D">
        <w:rPr>
          <w:rFonts w:ascii="標楷體" w:eastAsia="標楷體" w:hAnsi="標楷體"/>
          <w:sz w:val="28"/>
          <w:szCs w:val="28"/>
        </w:rPr>
        <w:t>後，始得動支。</w:t>
      </w:r>
      <w:r w:rsidRPr="001B6E4D">
        <w:rPr>
          <w:rFonts w:ascii="標楷體" w:eastAsia="標楷體" w:hAnsi="標楷體" w:hint="eastAsia"/>
          <w:sz w:val="28"/>
          <w:szCs w:val="28"/>
        </w:rPr>
        <w:t>【2、7】</w:t>
      </w:r>
    </w:p>
    <w:p w14:paraId="54287F82"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w:t>
      </w:r>
      <w:r w:rsidRPr="001B6E4D">
        <w:rPr>
          <w:rFonts w:ascii="標楷體" w:eastAsia="標楷體" w:hAnsi="標楷體" w:cs="Arial" w:hint="eastAsia"/>
          <w:color w:val="000000"/>
          <w:sz w:val="28"/>
          <w:szCs w:val="28"/>
        </w:rPr>
        <w:t>翁曉玲</w:t>
      </w:r>
    </w:p>
    <w:p w14:paraId="30B07837"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連署人：許宇</w:t>
      </w:r>
      <w:proofErr w:type="gramStart"/>
      <w:r w:rsidRPr="001B6E4D">
        <w:rPr>
          <w:rFonts w:ascii="標楷體" w:eastAsia="標楷體" w:hAnsi="標楷體" w:cs="Arial"/>
          <w:color w:val="000000"/>
          <w:sz w:val="28"/>
          <w:szCs w:val="28"/>
        </w:rPr>
        <w:t>甄</w:t>
      </w:r>
      <w:proofErr w:type="gramEnd"/>
      <w:r w:rsidRPr="001B6E4D">
        <w:rPr>
          <w:rFonts w:ascii="標楷體" w:eastAsia="標楷體" w:hAnsi="標楷體" w:cs="Arial"/>
          <w:color w:val="000000"/>
          <w:sz w:val="28"/>
          <w:szCs w:val="28"/>
        </w:rPr>
        <w:t xml:space="preserve">　林倩綺</w:t>
      </w:r>
    </w:p>
    <w:p w14:paraId="7D00B596"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(二)</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w:t>
      </w:r>
      <w:proofErr w:type="gramStart"/>
      <w:r w:rsidRPr="001B6E4D">
        <w:rPr>
          <w:rFonts w:ascii="標楷體" w:eastAsia="標楷體" w:hAnsi="標楷體"/>
          <w:sz w:val="28"/>
          <w:szCs w:val="28"/>
        </w:rPr>
        <w:t>考試院歲出</w:t>
      </w:r>
      <w:proofErr w:type="gramEnd"/>
      <w:r w:rsidRPr="001B6E4D">
        <w:rPr>
          <w:rFonts w:ascii="標楷體" w:eastAsia="標楷體" w:hAnsi="標楷體"/>
          <w:sz w:val="28"/>
          <w:szCs w:val="28"/>
        </w:rPr>
        <w:t>預算第1目「一般行政」編列3億3,592萬2千元，凍結</w:t>
      </w:r>
      <w:r w:rsidRPr="001B6E4D">
        <w:rPr>
          <w:rFonts w:ascii="標楷體" w:eastAsia="標楷體" w:hAnsi="標楷體" w:hint="eastAsia"/>
          <w:sz w:val="28"/>
          <w:szCs w:val="28"/>
        </w:rPr>
        <w:t>121</w:t>
      </w:r>
      <w:r w:rsidRPr="001B6E4D">
        <w:rPr>
          <w:rFonts w:ascii="標楷體" w:eastAsia="標楷體" w:hAnsi="標楷體"/>
          <w:sz w:val="28"/>
          <w:szCs w:val="28"/>
        </w:rPr>
        <w:t>萬</w:t>
      </w:r>
      <w:r w:rsidRPr="001B6E4D">
        <w:rPr>
          <w:rFonts w:ascii="標楷體" w:eastAsia="標楷體" w:hAnsi="標楷體" w:hint="eastAsia"/>
          <w:sz w:val="28"/>
          <w:szCs w:val="28"/>
        </w:rPr>
        <w:t>9千</w:t>
      </w:r>
      <w:r w:rsidRPr="001B6E4D">
        <w:rPr>
          <w:rFonts w:ascii="標楷體" w:eastAsia="標楷體" w:hAnsi="標楷體"/>
          <w:sz w:val="28"/>
          <w:szCs w:val="28"/>
        </w:rPr>
        <w:t>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w:t>
      </w:r>
      <w:r w:rsidRPr="001B6E4D">
        <w:rPr>
          <w:rFonts w:ascii="標楷體" w:eastAsia="標楷體" w:hAnsi="標楷體"/>
          <w:sz w:val="28"/>
          <w:szCs w:val="28"/>
        </w:rPr>
        <w:lastRenderedPageBreak/>
        <w:t>書面報告後，始得動支。</w:t>
      </w:r>
      <w:r w:rsidRPr="001B6E4D">
        <w:rPr>
          <w:rFonts w:ascii="標楷體" w:eastAsia="標楷體" w:hAnsi="標楷體" w:hint="eastAsia"/>
          <w:sz w:val="28"/>
          <w:szCs w:val="28"/>
        </w:rPr>
        <w:t>【10、11】</w:t>
      </w:r>
    </w:p>
    <w:p w14:paraId="1F433301"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提案人：許宇</w:t>
      </w:r>
      <w:proofErr w:type="gramStart"/>
      <w:r w:rsidRPr="001B6E4D">
        <w:rPr>
          <w:rFonts w:ascii="標楷體" w:eastAsia="標楷體" w:hAnsi="標楷體" w:cs="Arial"/>
          <w:color w:val="000000"/>
          <w:sz w:val="28"/>
          <w:szCs w:val="28"/>
        </w:rPr>
        <w:t>甄</w:t>
      </w:r>
      <w:proofErr w:type="gramEnd"/>
    </w:p>
    <w:p w14:paraId="70087C69"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r w:rsidRPr="001B6E4D">
        <w:rPr>
          <w:rFonts w:ascii="標楷體" w:eastAsia="標楷體" w:hAnsi="標楷體" w:cs="Arial" w:hint="eastAsia"/>
          <w:color w:val="000000"/>
          <w:sz w:val="28"/>
          <w:szCs w:val="28"/>
        </w:rPr>
        <w:t>林沛祥</w:t>
      </w:r>
      <w:r w:rsidRPr="001B6E4D">
        <w:rPr>
          <w:rFonts w:ascii="標楷體" w:eastAsia="標楷體" w:hAnsi="標楷體" w:cs="Arial"/>
          <w:color w:val="000000"/>
          <w:sz w:val="28"/>
          <w:szCs w:val="28"/>
        </w:rPr>
        <w:t xml:space="preserve">　林倩綺</w:t>
      </w:r>
    </w:p>
    <w:p w14:paraId="1099BA30"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(三)</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w:t>
      </w:r>
      <w:proofErr w:type="gramStart"/>
      <w:r w:rsidRPr="001B6E4D">
        <w:rPr>
          <w:rFonts w:ascii="標楷體" w:eastAsia="標楷體" w:hAnsi="標楷體"/>
          <w:sz w:val="28"/>
          <w:szCs w:val="28"/>
        </w:rPr>
        <w:t>考試院歲出</w:t>
      </w:r>
      <w:proofErr w:type="gramEnd"/>
      <w:r w:rsidRPr="001B6E4D">
        <w:rPr>
          <w:rFonts w:ascii="標楷體" w:eastAsia="標楷體" w:hAnsi="標楷體"/>
          <w:sz w:val="28"/>
          <w:szCs w:val="28"/>
        </w:rPr>
        <w:t>預算第3目「施政業務及督導」編列694萬6千元，凍結</w:t>
      </w:r>
      <w:r w:rsidRPr="001B6E4D">
        <w:rPr>
          <w:rFonts w:ascii="標楷體" w:eastAsia="標楷體" w:hAnsi="標楷體" w:hint="eastAsia"/>
          <w:sz w:val="28"/>
          <w:szCs w:val="28"/>
        </w:rPr>
        <w:t>69</w:t>
      </w:r>
      <w:r w:rsidRPr="001B6E4D">
        <w:rPr>
          <w:rFonts w:ascii="標楷體" w:eastAsia="標楷體" w:hAnsi="標楷體"/>
          <w:sz w:val="28"/>
          <w:szCs w:val="28"/>
        </w:rPr>
        <w:t>萬</w:t>
      </w:r>
      <w:r w:rsidRPr="001B6E4D">
        <w:rPr>
          <w:rFonts w:ascii="標楷體" w:eastAsia="標楷體" w:hAnsi="標楷體" w:hint="eastAsia"/>
          <w:sz w:val="28"/>
          <w:szCs w:val="28"/>
        </w:rPr>
        <w:t>5千</w:t>
      </w:r>
      <w:r w:rsidRPr="001B6E4D">
        <w:rPr>
          <w:rFonts w:ascii="標楷體" w:eastAsia="標楷體" w:hAnsi="標楷體"/>
          <w:sz w:val="28"/>
          <w:szCs w:val="28"/>
        </w:rPr>
        <w:t>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向立法院司法及法制委員會提出書面報告後，始得動支。</w:t>
      </w:r>
      <w:r w:rsidRPr="001B6E4D">
        <w:rPr>
          <w:rFonts w:ascii="標楷體" w:eastAsia="標楷體" w:hAnsi="標楷體" w:hint="eastAsia"/>
          <w:sz w:val="28"/>
          <w:szCs w:val="28"/>
        </w:rPr>
        <w:t>【15】</w:t>
      </w:r>
    </w:p>
    <w:p w14:paraId="74888898"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提案人：許宇</w:t>
      </w:r>
      <w:proofErr w:type="gramStart"/>
      <w:r w:rsidRPr="001B6E4D">
        <w:rPr>
          <w:rFonts w:ascii="標楷體" w:eastAsia="標楷體" w:hAnsi="標楷體" w:cs="Arial"/>
          <w:color w:val="000000"/>
          <w:sz w:val="28"/>
          <w:szCs w:val="28"/>
        </w:rPr>
        <w:t>甄</w:t>
      </w:r>
      <w:proofErr w:type="gramEnd"/>
    </w:p>
    <w:p w14:paraId="34ED2229"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FF0000"/>
          <w:sz w:val="28"/>
          <w:szCs w:val="28"/>
        </w:rPr>
      </w:pPr>
      <w:r w:rsidRPr="001B6E4D">
        <w:rPr>
          <w:rFonts w:ascii="標楷體" w:eastAsia="標楷體" w:hAnsi="標楷體" w:cs="Arial"/>
          <w:color w:val="000000"/>
          <w:sz w:val="28"/>
          <w:szCs w:val="28"/>
        </w:rPr>
        <w:t>連署人：</w:t>
      </w:r>
      <w:r w:rsidRPr="001B6E4D">
        <w:rPr>
          <w:rFonts w:ascii="標楷體" w:eastAsia="標楷體" w:hAnsi="標楷體" w:cs="Arial" w:hint="eastAsia"/>
          <w:color w:val="000000"/>
          <w:sz w:val="28"/>
          <w:szCs w:val="28"/>
        </w:rPr>
        <w:t>林沛祥</w:t>
      </w:r>
      <w:r w:rsidRPr="001B6E4D">
        <w:rPr>
          <w:rFonts w:ascii="標楷體" w:eastAsia="標楷體" w:hAnsi="標楷體" w:cs="Arial"/>
          <w:color w:val="000000"/>
          <w:sz w:val="28"/>
          <w:szCs w:val="28"/>
        </w:rPr>
        <w:t xml:space="preserve">　林倩綺</w:t>
      </w:r>
    </w:p>
    <w:p w14:paraId="08444AF3"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(四)</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年度考試院預算案於第3目「施政業務及督導」編列694萬6千元。</w:t>
      </w:r>
    </w:p>
    <w:p w14:paraId="3EFC0DC4"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為因應當前少子女化及減輕育兒負擔，營造友善職場，114年7月22日立</w:t>
      </w:r>
      <w:r w:rsidRPr="001B6E4D">
        <w:rPr>
          <w:rFonts w:ascii="標楷體" w:eastAsia="標楷體" w:hAnsi="標楷體" w:hint="eastAsia"/>
          <w:color w:val="000000"/>
          <w:sz w:val="28"/>
          <w:szCs w:val="28"/>
        </w:rPr>
        <w:t>法</w:t>
      </w:r>
      <w:r w:rsidRPr="001B6E4D">
        <w:rPr>
          <w:rFonts w:ascii="標楷體" w:eastAsia="標楷體" w:hAnsi="標楷體"/>
          <w:color w:val="000000"/>
          <w:sz w:val="28"/>
          <w:szCs w:val="28"/>
        </w:rPr>
        <w:t>院三讀</w:t>
      </w:r>
      <w:r w:rsidRPr="001B6E4D">
        <w:rPr>
          <w:rFonts w:ascii="標楷體" w:eastAsia="標楷體" w:hAnsi="標楷體" w:hint="eastAsia"/>
          <w:color w:val="000000"/>
          <w:sz w:val="28"/>
          <w:szCs w:val="28"/>
        </w:rPr>
        <w:t>修正</w:t>
      </w:r>
      <w:r w:rsidRPr="001B6E4D">
        <w:rPr>
          <w:rFonts w:ascii="標楷體" w:eastAsia="標楷體" w:hAnsi="標楷體"/>
          <w:color w:val="000000"/>
          <w:sz w:val="28"/>
          <w:szCs w:val="28"/>
        </w:rPr>
        <w:t>通過公務人員任用法第36條之1條文，其中附帶決議請銓敘</w:t>
      </w:r>
      <w:proofErr w:type="gramStart"/>
      <w:r w:rsidRPr="001B6E4D">
        <w:rPr>
          <w:rFonts w:ascii="標楷體" w:eastAsia="標楷體" w:hAnsi="標楷體"/>
          <w:color w:val="000000"/>
          <w:sz w:val="28"/>
          <w:szCs w:val="28"/>
        </w:rPr>
        <w:t>部於3個月內刪</w:t>
      </w:r>
      <w:proofErr w:type="gramEnd"/>
      <w:r w:rsidRPr="001B6E4D">
        <w:rPr>
          <w:rFonts w:ascii="標楷體" w:eastAsia="標楷體" w:hAnsi="標楷體"/>
          <w:color w:val="000000"/>
          <w:sz w:val="28"/>
          <w:szCs w:val="28"/>
        </w:rPr>
        <w:t>修「公務人員留職停薪辦法」，放寬公務人員申請育嬰孫假的留職停薪事由，讓公部門提供更友善的育嬰環境。</w:t>
      </w:r>
    </w:p>
    <w:p w14:paraId="66A8E899"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相關「公務人員留職停薪辦法」業於114年11月12日考試院考</w:t>
      </w:r>
      <w:proofErr w:type="gramStart"/>
      <w:r w:rsidRPr="001B6E4D">
        <w:rPr>
          <w:rFonts w:ascii="標楷體" w:eastAsia="標楷體" w:hAnsi="標楷體"/>
          <w:color w:val="000000"/>
          <w:sz w:val="28"/>
          <w:szCs w:val="28"/>
        </w:rPr>
        <w:t>臺銓</w:t>
      </w:r>
      <w:proofErr w:type="gramEnd"/>
      <w:r w:rsidRPr="001B6E4D">
        <w:rPr>
          <w:rFonts w:ascii="標楷體" w:eastAsia="標楷體" w:hAnsi="標楷體"/>
          <w:color w:val="000000"/>
          <w:sz w:val="28"/>
          <w:szCs w:val="28"/>
        </w:rPr>
        <w:t>一字第11400043161號、行政院院授人培</w:t>
      </w:r>
      <w:proofErr w:type="gramStart"/>
      <w:r w:rsidRPr="001B6E4D">
        <w:rPr>
          <w:rFonts w:ascii="標楷體" w:eastAsia="標楷體" w:hAnsi="標楷體"/>
          <w:color w:val="000000"/>
          <w:sz w:val="28"/>
          <w:szCs w:val="28"/>
        </w:rPr>
        <w:t>揆</w:t>
      </w:r>
      <w:proofErr w:type="gramEnd"/>
      <w:r w:rsidRPr="001B6E4D">
        <w:rPr>
          <w:rFonts w:ascii="標楷體" w:eastAsia="標楷體" w:hAnsi="標楷體"/>
          <w:color w:val="000000"/>
          <w:sz w:val="28"/>
          <w:szCs w:val="28"/>
        </w:rPr>
        <w:t>字第11400028512號令會同修正發布公務人員留職停薪辦法第5條、第6條、第9條條文。具體修正以下規定：</w:t>
      </w:r>
    </w:p>
    <w:p w14:paraId="78F031F6" w14:textId="77777777" w:rsidR="0051111F" w:rsidRPr="001B6E4D" w:rsidRDefault="0051111F" w:rsidP="003D1018">
      <w:pPr>
        <w:widowControl w:val="0"/>
        <w:overflowPunct w:val="0"/>
        <w:snapToGrid w:val="0"/>
        <w:spacing w:line="380" w:lineRule="exact"/>
        <w:ind w:left="1260" w:hangingChars="450" w:hanging="126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1.公務人員申請</w:t>
      </w:r>
      <w:proofErr w:type="gramStart"/>
      <w:r w:rsidRPr="001B6E4D">
        <w:rPr>
          <w:rFonts w:ascii="標楷體" w:eastAsia="標楷體" w:hAnsi="標楷體"/>
          <w:color w:val="000000"/>
          <w:sz w:val="28"/>
          <w:szCs w:val="28"/>
        </w:rPr>
        <w:t>育孫留</w:t>
      </w:r>
      <w:proofErr w:type="gramEnd"/>
      <w:r w:rsidRPr="001B6E4D">
        <w:rPr>
          <w:rFonts w:ascii="標楷體" w:eastAsia="標楷體" w:hAnsi="標楷體"/>
          <w:color w:val="000000"/>
          <w:sz w:val="28"/>
          <w:szCs w:val="28"/>
        </w:rPr>
        <w:t>職停薪，機關不得拒絕</w:t>
      </w:r>
      <w:r w:rsidRPr="001B6E4D">
        <w:rPr>
          <w:rFonts w:ascii="標楷體" w:eastAsia="標楷體" w:hAnsi="標楷體" w:hint="eastAsia"/>
          <w:color w:val="000000"/>
          <w:sz w:val="28"/>
          <w:szCs w:val="28"/>
        </w:rPr>
        <w:t>。</w:t>
      </w:r>
    </w:p>
    <w:p w14:paraId="31B9984A" w14:textId="77777777" w:rsidR="0051111F" w:rsidRPr="001B6E4D" w:rsidRDefault="0051111F" w:rsidP="003D1018">
      <w:pPr>
        <w:widowControl w:val="0"/>
        <w:overflowPunct w:val="0"/>
        <w:snapToGrid w:val="0"/>
        <w:spacing w:line="380" w:lineRule="exact"/>
        <w:ind w:left="1260" w:hangingChars="450" w:hanging="126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2.原條文規定為了照顧3足歲以下孫子女而申請</w:t>
      </w:r>
      <w:proofErr w:type="gramStart"/>
      <w:r w:rsidRPr="001B6E4D">
        <w:rPr>
          <w:rFonts w:ascii="標楷體" w:eastAsia="標楷體" w:hAnsi="標楷體"/>
          <w:color w:val="000000"/>
          <w:sz w:val="28"/>
          <w:szCs w:val="28"/>
        </w:rPr>
        <w:t>育孫留</w:t>
      </w:r>
      <w:proofErr w:type="gramEnd"/>
      <w:r w:rsidRPr="001B6E4D">
        <w:rPr>
          <w:rFonts w:ascii="標楷體" w:eastAsia="標楷體" w:hAnsi="標楷體"/>
          <w:color w:val="000000"/>
          <w:sz w:val="28"/>
          <w:szCs w:val="28"/>
        </w:rPr>
        <w:t>職停薪的公務人員，須以該孫子女無法受雙親適當養育或有特殊事由者為限</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修正後的條文刪除了這樣的條件</w:t>
      </w:r>
      <w:r w:rsidRPr="001B6E4D">
        <w:rPr>
          <w:rFonts w:ascii="標楷體" w:eastAsia="標楷體" w:hAnsi="標楷體" w:hint="eastAsia"/>
          <w:color w:val="000000"/>
          <w:sz w:val="28"/>
          <w:szCs w:val="28"/>
        </w:rPr>
        <w:t>。</w:t>
      </w:r>
    </w:p>
    <w:p w14:paraId="38141458" w14:textId="77777777" w:rsidR="0051111F" w:rsidRPr="001B6E4D" w:rsidRDefault="0051111F" w:rsidP="003D1018">
      <w:pPr>
        <w:widowControl w:val="0"/>
        <w:overflowPunct w:val="0"/>
        <w:snapToGrid w:val="0"/>
        <w:spacing w:line="380" w:lineRule="exact"/>
        <w:ind w:left="1120" w:hangingChars="400" w:hanging="112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3.</w:t>
      </w:r>
      <w:proofErr w:type="gramStart"/>
      <w:r w:rsidRPr="001B6E4D">
        <w:rPr>
          <w:rFonts w:ascii="標楷體" w:eastAsia="標楷體" w:hAnsi="標楷體"/>
          <w:color w:val="000000"/>
          <w:sz w:val="28"/>
          <w:szCs w:val="28"/>
        </w:rPr>
        <w:t>育孫留</w:t>
      </w:r>
      <w:proofErr w:type="gramEnd"/>
      <w:r w:rsidRPr="001B6E4D">
        <w:rPr>
          <w:rFonts w:ascii="標楷體" w:eastAsia="標楷體" w:hAnsi="標楷體"/>
          <w:color w:val="000000"/>
          <w:sz w:val="28"/>
          <w:szCs w:val="28"/>
        </w:rPr>
        <w:t>職停薪也可以一次申請至孫子女滿3足歲止</w:t>
      </w:r>
      <w:r w:rsidRPr="001B6E4D">
        <w:rPr>
          <w:rFonts w:ascii="標楷體" w:eastAsia="標楷體" w:hAnsi="標楷體" w:hint="eastAsia"/>
          <w:color w:val="000000"/>
          <w:sz w:val="28"/>
          <w:szCs w:val="28"/>
        </w:rPr>
        <w:t>。</w:t>
      </w:r>
    </w:p>
    <w:p w14:paraId="755D360D"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關於</w:t>
      </w:r>
      <w:r w:rsidRPr="001B6E4D">
        <w:rPr>
          <w:rFonts w:ascii="標楷體" w:eastAsia="標楷體" w:hAnsi="標楷體" w:hint="eastAsia"/>
          <w:color w:val="000000"/>
          <w:sz w:val="28"/>
          <w:szCs w:val="28"/>
        </w:rPr>
        <w:t>留</w:t>
      </w:r>
      <w:r w:rsidRPr="001B6E4D">
        <w:rPr>
          <w:rFonts w:ascii="標楷體" w:eastAsia="標楷體" w:hAnsi="標楷體"/>
          <w:color w:val="000000"/>
          <w:sz w:val="28"/>
          <w:szCs w:val="28"/>
        </w:rPr>
        <w:t>職停薪期間退撫年資累計，</w:t>
      </w:r>
      <w:proofErr w:type="gramStart"/>
      <w:r w:rsidRPr="001B6E4D">
        <w:rPr>
          <w:rFonts w:ascii="標楷體" w:eastAsia="標楷體" w:hAnsi="標楷體"/>
          <w:color w:val="000000"/>
          <w:sz w:val="28"/>
          <w:szCs w:val="28"/>
        </w:rPr>
        <w:t>育嬰假已可</w:t>
      </w:r>
      <w:proofErr w:type="gramEnd"/>
      <w:r w:rsidRPr="001B6E4D">
        <w:rPr>
          <w:rFonts w:ascii="標楷體" w:eastAsia="標楷體" w:hAnsi="標楷體"/>
          <w:color w:val="000000"/>
          <w:sz w:val="28"/>
          <w:szCs w:val="28"/>
        </w:rPr>
        <w:t>全額自費累計退撫年資，而</w:t>
      </w:r>
      <w:proofErr w:type="gramStart"/>
      <w:r w:rsidRPr="001B6E4D">
        <w:rPr>
          <w:rFonts w:ascii="標楷體" w:eastAsia="標楷體" w:hAnsi="標楷體"/>
          <w:color w:val="000000"/>
          <w:sz w:val="28"/>
          <w:szCs w:val="28"/>
        </w:rPr>
        <w:t>甫</w:t>
      </w:r>
      <w:proofErr w:type="gramEnd"/>
      <w:r w:rsidRPr="001B6E4D">
        <w:rPr>
          <w:rFonts w:ascii="標楷體" w:eastAsia="標楷體" w:hAnsi="標楷體"/>
          <w:color w:val="000000"/>
          <w:sz w:val="28"/>
          <w:szCs w:val="28"/>
        </w:rPr>
        <w:t>上路的</w:t>
      </w:r>
      <w:proofErr w:type="gramStart"/>
      <w:r w:rsidRPr="001B6E4D">
        <w:rPr>
          <w:rFonts w:ascii="標楷體" w:eastAsia="標楷體" w:hAnsi="標楷體"/>
          <w:color w:val="000000"/>
          <w:sz w:val="28"/>
          <w:szCs w:val="28"/>
        </w:rPr>
        <w:t>育孫假</w:t>
      </w:r>
      <w:proofErr w:type="gramEnd"/>
      <w:r w:rsidRPr="001B6E4D">
        <w:rPr>
          <w:rFonts w:ascii="標楷體" w:eastAsia="標楷體" w:hAnsi="標楷體"/>
          <w:color w:val="000000"/>
          <w:sz w:val="28"/>
          <w:szCs w:val="28"/>
        </w:rPr>
        <w:t>則尚未能比照育嬰假，全額自費累計退撫年資。</w:t>
      </w:r>
      <w:proofErr w:type="gramStart"/>
      <w:r w:rsidRPr="001B6E4D">
        <w:rPr>
          <w:rFonts w:ascii="標楷體" w:eastAsia="標楷體" w:hAnsi="標楷體" w:hint="eastAsia"/>
          <w:color w:val="000000"/>
          <w:sz w:val="28"/>
          <w:szCs w:val="28"/>
        </w:rPr>
        <w:t>爰</w:t>
      </w:r>
      <w:proofErr w:type="gramEnd"/>
      <w:r w:rsidRPr="001B6E4D">
        <w:rPr>
          <w:rFonts w:ascii="標楷體" w:eastAsia="標楷體" w:hAnsi="標楷體" w:hint="eastAsia"/>
          <w:color w:val="000000"/>
          <w:sz w:val="28"/>
          <w:szCs w:val="28"/>
        </w:rPr>
        <w:t>請</w:t>
      </w:r>
      <w:r w:rsidRPr="001B6E4D">
        <w:rPr>
          <w:rFonts w:ascii="標楷體" w:eastAsia="標楷體" w:hAnsi="標楷體"/>
          <w:color w:val="000000"/>
          <w:sz w:val="28"/>
          <w:szCs w:val="28"/>
        </w:rPr>
        <w:t>考試院督導銓敘部完成</w:t>
      </w:r>
      <w:proofErr w:type="gramStart"/>
      <w:r w:rsidRPr="001B6E4D">
        <w:rPr>
          <w:rFonts w:ascii="標楷體" w:eastAsia="標楷體" w:hAnsi="標楷體"/>
          <w:color w:val="000000"/>
          <w:sz w:val="28"/>
          <w:szCs w:val="28"/>
        </w:rPr>
        <w:t>育孫假</w:t>
      </w:r>
      <w:proofErr w:type="gramEnd"/>
      <w:r w:rsidRPr="001B6E4D">
        <w:rPr>
          <w:rFonts w:ascii="標楷體" w:eastAsia="標楷體" w:hAnsi="標楷體"/>
          <w:color w:val="000000"/>
          <w:sz w:val="28"/>
          <w:szCs w:val="28"/>
        </w:rPr>
        <w:t>之退撫年資</w:t>
      </w:r>
      <w:proofErr w:type="gramStart"/>
      <w:r w:rsidRPr="001B6E4D">
        <w:rPr>
          <w:rFonts w:ascii="標楷體" w:eastAsia="標楷體" w:hAnsi="標楷體"/>
          <w:color w:val="000000"/>
          <w:sz w:val="28"/>
          <w:szCs w:val="28"/>
        </w:rPr>
        <w:t>併</w:t>
      </w:r>
      <w:proofErr w:type="gramEnd"/>
      <w:r w:rsidRPr="001B6E4D">
        <w:rPr>
          <w:rFonts w:ascii="標楷體" w:eastAsia="標楷體" w:hAnsi="標楷體"/>
          <w:color w:val="000000"/>
          <w:sz w:val="28"/>
          <w:szCs w:val="28"/>
        </w:rPr>
        <w:t>計得以比照育嬰假之相關解釋函令，向立法院司法及法制委員會提出書面報告。【13】</w:t>
      </w:r>
    </w:p>
    <w:p w14:paraId="13EF98DF"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提案人：翁曉玲</w:t>
      </w:r>
    </w:p>
    <w:p w14:paraId="69C85822"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連署人：許宇</w:t>
      </w:r>
      <w:proofErr w:type="gramStart"/>
      <w:r w:rsidRPr="001B6E4D">
        <w:rPr>
          <w:rFonts w:ascii="標楷體" w:eastAsia="標楷體" w:hAnsi="標楷體" w:cs="Arial"/>
          <w:color w:val="000000"/>
          <w:sz w:val="28"/>
          <w:szCs w:val="28"/>
        </w:rPr>
        <w:t>甄</w:t>
      </w:r>
      <w:proofErr w:type="gramEnd"/>
      <w:r w:rsidRPr="001B6E4D">
        <w:rPr>
          <w:rFonts w:ascii="標楷體" w:eastAsia="標楷體" w:hAnsi="標楷體" w:cs="Arial"/>
          <w:color w:val="000000"/>
          <w:sz w:val="28"/>
          <w:szCs w:val="28"/>
        </w:rPr>
        <w:t xml:space="preserve">　林倩綺</w:t>
      </w:r>
    </w:p>
    <w:p w14:paraId="45EA083D"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(五)</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年度考試院預算案於第3目「施政業務及督導」項下「考</w:t>
      </w:r>
      <w:proofErr w:type="gramStart"/>
      <w:r w:rsidRPr="001B6E4D">
        <w:rPr>
          <w:rFonts w:ascii="標楷體" w:eastAsia="標楷體" w:hAnsi="標楷體"/>
          <w:sz w:val="28"/>
          <w:szCs w:val="28"/>
        </w:rPr>
        <w:t>銓</w:t>
      </w:r>
      <w:proofErr w:type="gramEnd"/>
      <w:r w:rsidRPr="001B6E4D">
        <w:rPr>
          <w:rFonts w:ascii="標楷體" w:eastAsia="標楷體" w:hAnsi="標楷體"/>
          <w:sz w:val="28"/>
          <w:szCs w:val="28"/>
        </w:rPr>
        <w:t>施政業務審查及督導」編列預算115萬元。</w:t>
      </w:r>
    </w:p>
    <w:p w14:paraId="3E4AD79D"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綜觀原住民族於公務人力結構之整體概況，目前多集中於基層職務及警察體系，在中高階文官體系之比例仍明顯偏低。據統計，原住民族國民擔任薦任公務員者，僅占全體薦任公務員1.7%；擔任簡任公務員者，更僅占全體簡任公務員0.6%，相較原住民族人口占全體國民約2.7%之比例，顯有明顯落差。此</w:t>
      </w:r>
      <w:r w:rsidRPr="001B6E4D">
        <w:rPr>
          <w:rFonts w:ascii="標楷體" w:eastAsia="標楷體" w:hAnsi="標楷體"/>
          <w:color w:val="000000"/>
          <w:sz w:val="28"/>
          <w:szCs w:val="28"/>
        </w:rPr>
        <w:lastRenderedPageBreak/>
        <w:t>一現象反映現行公務人才培育、考選、</w:t>
      </w:r>
      <w:proofErr w:type="gramStart"/>
      <w:r w:rsidRPr="001B6E4D">
        <w:rPr>
          <w:rFonts w:ascii="標楷體" w:eastAsia="標楷體" w:hAnsi="標楷體"/>
          <w:color w:val="000000"/>
          <w:sz w:val="28"/>
          <w:szCs w:val="28"/>
        </w:rPr>
        <w:t>陞</w:t>
      </w:r>
      <w:proofErr w:type="gramEnd"/>
      <w:r w:rsidRPr="001B6E4D">
        <w:rPr>
          <w:rFonts w:ascii="標楷體" w:eastAsia="標楷體" w:hAnsi="標楷體"/>
          <w:color w:val="000000"/>
          <w:sz w:val="28"/>
          <w:szCs w:val="28"/>
        </w:rPr>
        <w:t>遷及任用制度，對原住民族人才之支持與拔</w:t>
      </w:r>
      <w:proofErr w:type="gramStart"/>
      <w:r w:rsidRPr="001B6E4D">
        <w:rPr>
          <w:rFonts w:ascii="標楷體" w:eastAsia="標楷體" w:hAnsi="標楷體"/>
          <w:color w:val="000000"/>
          <w:sz w:val="28"/>
          <w:szCs w:val="28"/>
        </w:rPr>
        <w:t>擢</w:t>
      </w:r>
      <w:proofErr w:type="gramEnd"/>
      <w:r w:rsidRPr="001B6E4D">
        <w:rPr>
          <w:rFonts w:ascii="標楷體" w:eastAsia="標楷體" w:hAnsi="標楷體"/>
          <w:color w:val="000000"/>
          <w:sz w:val="28"/>
          <w:szCs w:val="28"/>
        </w:rPr>
        <w:t>仍有不足，恐影響政府決策體系之多元代表性及文化敏感度。</w:t>
      </w:r>
    </w:p>
    <w:p w14:paraId="583E7880"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hint="eastAsia"/>
          <w:color w:val="000000"/>
          <w:sz w:val="28"/>
          <w:szCs w:val="28"/>
        </w:rPr>
        <w:t>請</w:t>
      </w:r>
      <w:r w:rsidRPr="001B6E4D">
        <w:rPr>
          <w:rFonts w:ascii="標楷體" w:eastAsia="標楷體" w:hAnsi="標楷體"/>
          <w:color w:val="000000"/>
          <w:sz w:val="28"/>
          <w:szCs w:val="28"/>
        </w:rPr>
        <w:t>考試院於3個月內向立法院司法及法制委員會提出書面報告。【14】</w:t>
      </w:r>
    </w:p>
    <w:p w14:paraId="6FA1B7DD"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提案人：張雅琳　</w:t>
      </w:r>
      <w:r w:rsidRPr="001B6E4D">
        <w:rPr>
          <w:rFonts w:ascii="標楷體" w:eastAsia="標楷體" w:hAnsi="標楷體" w:cstheme="minorBidi"/>
          <w:color w:val="000000"/>
          <w:spacing w:val="-20"/>
          <w:w w:val="88"/>
          <w:sz w:val="28"/>
          <w:szCs w:val="28"/>
        </w:rPr>
        <w:t>伍麗華</w:t>
      </w:r>
      <w:proofErr w:type="spellStart"/>
      <w:r w:rsidRPr="001B6E4D">
        <w:rPr>
          <w:rFonts w:ascii="標楷體" w:eastAsia="標楷體" w:hAnsi="標楷體" w:cstheme="minorBidi"/>
          <w:color w:val="000000"/>
          <w:spacing w:val="-20"/>
          <w:w w:val="88"/>
          <w:sz w:val="28"/>
          <w:szCs w:val="28"/>
        </w:rPr>
        <w:t>Saidhai</w:t>
      </w:r>
      <w:proofErr w:type="spellEnd"/>
      <w:r w:rsidRPr="001B6E4D">
        <w:rPr>
          <w:rFonts w:ascii="標楷體" w:eastAsia="標楷體" w:hAnsi="標楷體" w:cstheme="minorBidi"/>
          <w:color w:val="000000"/>
          <w:spacing w:val="-20"/>
          <w:w w:val="88"/>
          <w:sz w:val="28"/>
          <w:szCs w:val="28"/>
        </w:rPr>
        <w:t>．</w:t>
      </w:r>
      <w:proofErr w:type="spellStart"/>
      <w:r w:rsidRPr="001B6E4D">
        <w:rPr>
          <w:rFonts w:ascii="標楷體" w:eastAsia="標楷體" w:hAnsi="標楷體" w:cstheme="minorBidi"/>
          <w:color w:val="000000"/>
          <w:spacing w:val="-20"/>
          <w:w w:val="88"/>
          <w:sz w:val="28"/>
          <w:szCs w:val="28"/>
        </w:rPr>
        <w:t>Tahovecahe</w:t>
      </w:r>
      <w:proofErr w:type="spellEnd"/>
    </w:p>
    <w:p w14:paraId="2A1792AC"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連署人：沈發惠　</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65628DD9"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(六)</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年度考試院預算案於第3目「施政業務及督導」項下「文官制度研究發展、交流與出版」編列預算375萬4千元。</w:t>
      </w:r>
    </w:p>
    <w:p w14:paraId="10E8B4F9"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綜觀原住民族公務人力現況，專業技術類科人才明顯不足。以114年原住民族特種考試三等考試土木工程類科為例，該類科</w:t>
      </w:r>
      <w:proofErr w:type="gramStart"/>
      <w:r w:rsidRPr="001B6E4D">
        <w:rPr>
          <w:rFonts w:ascii="標楷體" w:eastAsia="標楷體" w:hAnsi="標楷體"/>
          <w:color w:val="000000"/>
          <w:sz w:val="28"/>
          <w:szCs w:val="28"/>
        </w:rPr>
        <w:t>攸關原</w:t>
      </w:r>
      <w:proofErr w:type="gramEnd"/>
      <w:r w:rsidRPr="001B6E4D">
        <w:rPr>
          <w:rFonts w:ascii="標楷體" w:eastAsia="標楷體" w:hAnsi="標楷體"/>
          <w:color w:val="000000"/>
          <w:sz w:val="28"/>
          <w:szCs w:val="28"/>
        </w:rPr>
        <w:t>鄉基礎建設、災後重建及公共工程推動，然開缺35人，報名僅40人，到考16人，最終錄取僅3人，顯示原住民族專業技術公務人才培育與進用機制已出現嚴重斷層。</w:t>
      </w:r>
    </w:p>
    <w:p w14:paraId="4A736097"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許多原住民族地區鄉（鎮、市、區）公所，長期缺乏土木、工程等專業技術人力，甚至連基本技士配置都不足。然每逢重大災害發生後，大量災後重建及公共建設經費</w:t>
      </w:r>
      <w:proofErr w:type="gramStart"/>
      <w:r w:rsidRPr="001B6E4D">
        <w:rPr>
          <w:rFonts w:ascii="標楷體" w:eastAsia="標楷體" w:hAnsi="標楷體"/>
          <w:color w:val="000000"/>
          <w:sz w:val="28"/>
          <w:szCs w:val="28"/>
        </w:rPr>
        <w:t>挹</w:t>
      </w:r>
      <w:proofErr w:type="gramEnd"/>
      <w:r w:rsidRPr="001B6E4D">
        <w:rPr>
          <w:rFonts w:ascii="標楷體" w:eastAsia="標楷體" w:hAnsi="標楷體"/>
          <w:color w:val="000000"/>
          <w:sz w:val="28"/>
          <w:szCs w:val="28"/>
        </w:rPr>
        <w:t>注地方，部分原鄉基層機關卻因專業公務人力不足，難以有效規劃、執行及管理相關工程，影響重建效率及地方治理量能。此一問題已非單純考選制度所能解決，而涉及教育培育、人才養成、考試輔導、任用支持及留任機制等跨部會結構性課題。</w:t>
      </w:r>
    </w:p>
    <w:p w14:paraId="474D5A2B"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hint="eastAsia"/>
          <w:color w:val="000000"/>
          <w:sz w:val="28"/>
          <w:szCs w:val="28"/>
        </w:rPr>
        <w:t>請</w:t>
      </w:r>
      <w:r w:rsidRPr="001B6E4D">
        <w:rPr>
          <w:rFonts w:ascii="標楷體" w:eastAsia="標楷體" w:hAnsi="標楷體"/>
          <w:color w:val="000000"/>
          <w:sz w:val="28"/>
          <w:szCs w:val="28"/>
        </w:rPr>
        <w:t>考試院於3個月內向立法院司法及法制委員會提出書面報告。【16】</w:t>
      </w:r>
    </w:p>
    <w:p w14:paraId="7D89113D"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提案人：張雅琳　</w:t>
      </w:r>
      <w:r w:rsidRPr="001B6E4D">
        <w:rPr>
          <w:rFonts w:ascii="標楷體" w:eastAsia="標楷體" w:hAnsi="標楷體" w:cstheme="minorBidi"/>
          <w:color w:val="000000"/>
          <w:spacing w:val="-20"/>
          <w:w w:val="88"/>
          <w:sz w:val="28"/>
          <w:szCs w:val="28"/>
        </w:rPr>
        <w:t>伍麗華</w:t>
      </w:r>
      <w:proofErr w:type="spellStart"/>
      <w:r w:rsidRPr="001B6E4D">
        <w:rPr>
          <w:rFonts w:ascii="標楷體" w:eastAsia="標楷體" w:hAnsi="標楷體" w:cstheme="minorBidi"/>
          <w:color w:val="000000"/>
          <w:spacing w:val="-20"/>
          <w:w w:val="88"/>
          <w:sz w:val="28"/>
          <w:szCs w:val="28"/>
        </w:rPr>
        <w:t>Saidhai</w:t>
      </w:r>
      <w:proofErr w:type="spellEnd"/>
      <w:r w:rsidRPr="001B6E4D">
        <w:rPr>
          <w:rFonts w:ascii="標楷體" w:eastAsia="標楷體" w:hAnsi="標楷體" w:cstheme="minorBidi"/>
          <w:color w:val="000000"/>
          <w:spacing w:val="-20"/>
          <w:w w:val="88"/>
          <w:sz w:val="28"/>
          <w:szCs w:val="28"/>
        </w:rPr>
        <w:t>．</w:t>
      </w:r>
      <w:proofErr w:type="spellStart"/>
      <w:r w:rsidRPr="001B6E4D">
        <w:rPr>
          <w:rFonts w:ascii="標楷體" w:eastAsia="標楷體" w:hAnsi="標楷體" w:cstheme="minorBidi"/>
          <w:color w:val="000000"/>
          <w:spacing w:val="-20"/>
          <w:w w:val="88"/>
          <w:sz w:val="28"/>
          <w:szCs w:val="28"/>
        </w:rPr>
        <w:t>Tahovecahe</w:t>
      </w:r>
      <w:proofErr w:type="spellEnd"/>
    </w:p>
    <w:p w14:paraId="0E674766"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連署人：沈發惠　</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2B2ADFCF"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(七)</w:t>
      </w:r>
      <w:r w:rsidRPr="001B6E4D">
        <w:rPr>
          <w:rFonts w:ascii="標楷體" w:eastAsia="標楷體" w:hAnsi="標楷體"/>
          <w:sz w:val="28"/>
          <w:szCs w:val="28"/>
        </w:rPr>
        <w:t>有</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於近年境外敵對勢力對我政府機關及關鍵基礎設施之網路</w:t>
      </w:r>
      <w:proofErr w:type="gramStart"/>
      <w:r w:rsidRPr="001B6E4D">
        <w:rPr>
          <w:rFonts w:ascii="標楷體" w:eastAsia="標楷體" w:hAnsi="標楷體"/>
          <w:sz w:val="28"/>
          <w:szCs w:val="28"/>
        </w:rPr>
        <w:t>駭侵與資安</w:t>
      </w:r>
      <w:proofErr w:type="gramEnd"/>
      <w:r w:rsidRPr="001B6E4D">
        <w:rPr>
          <w:rFonts w:ascii="標楷體" w:eastAsia="標楷體" w:hAnsi="標楷體"/>
          <w:sz w:val="28"/>
          <w:szCs w:val="28"/>
        </w:rPr>
        <w:t>侵擾日益頻繁。倘電子證書系統發生個資外</w:t>
      </w:r>
      <w:proofErr w:type="gramStart"/>
      <w:r w:rsidRPr="001B6E4D">
        <w:rPr>
          <w:rFonts w:ascii="標楷體" w:eastAsia="標楷體" w:hAnsi="標楷體"/>
          <w:sz w:val="28"/>
          <w:szCs w:val="28"/>
        </w:rPr>
        <w:t>洩</w:t>
      </w:r>
      <w:proofErr w:type="gramEnd"/>
      <w:r w:rsidRPr="001B6E4D">
        <w:rPr>
          <w:rFonts w:ascii="標楷體" w:eastAsia="標楷體" w:hAnsi="標楷體"/>
          <w:sz w:val="28"/>
          <w:szCs w:val="28"/>
        </w:rPr>
        <w:t>、證書偽造、系統癱瘓或查驗資料遭竄改，將嚴重影響國家考試制度信賴、人民權益及政府資訊安全。</w:t>
      </w:r>
    </w:p>
    <w:p w14:paraId="26D8D42E"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參酌「資通安全責任等級分級辦法」附表</w:t>
      </w:r>
      <w:proofErr w:type="gramStart"/>
      <w:r w:rsidRPr="001B6E4D">
        <w:rPr>
          <w:rFonts w:ascii="標楷體" w:eastAsia="標楷體" w:hAnsi="標楷體"/>
          <w:color w:val="000000"/>
          <w:sz w:val="28"/>
          <w:szCs w:val="28"/>
        </w:rPr>
        <w:t>一</w:t>
      </w:r>
      <w:proofErr w:type="gramEnd"/>
      <w:r w:rsidRPr="001B6E4D">
        <w:rPr>
          <w:rFonts w:ascii="標楷體" w:eastAsia="標楷體" w:hAnsi="標楷體"/>
          <w:color w:val="000000"/>
          <w:sz w:val="28"/>
          <w:szCs w:val="28"/>
        </w:rPr>
        <w:t>規定，資通安全責任等級A級之公務機關，應辦理專責人力配置、導入資訊安全管理系統、定期內部稽核、核心系統演練、</w:t>
      </w:r>
      <w:proofErr w:type="gramStart"/>
      <w:r w:rsidRPr="001B6E4D">
        <w:rPr>
          <w:rFonts w:ascii="標楷體" w:eastAsia="標楷體" w:hAnsi="標楷體"/>
          <w:color w:val="000000"/>
          <w:sz w:val="28"/>
          <w:szCs w:val="28"/>
        </w:rPr>
        <w:t>資安治理</w:t>
      </w:r>
      <w:proofErr w:type="gramEnd"/>
      <w:r w:rsidRPr="001B6E4D">
        <w:rPr>
          <w:rFonts w:ascii="標楷體" w:eastAsia="標楷體" w:hAnsi="標楷體"/>
          <w:color w:val="000000"/>
          <w:sz w:val="28"/>
          <w:szCs w:val="28"/>
        </w:rPr>
        <w:t>成熟度評估、</w:t>
      </w:r>
      <w:proofErr w:type="gramStart"/>
      <w:r w:rsidRPr="001B6E4D">
        <w:rPr>
          <w:rFonts w:ascii="標楷體" w:eastAsia="標楷體" w:hAnsi="標楷體"/>
          <w:color w:val="000000"/>
          <w:sz w:val="28"/>
          <w:szCs w:val="28"/>
        </w:rPr>
        <w:t>資安監控</w:t>
      </w:r>
      <w:proofErr w:type="gramEnd"/>
      <w:r w:rsidRPr="001B6E4D">
        <w:rPr>
          <w:rFonts w:ascii="標楷體" w:eastAsia="標楷體" w:hAnsi="標楷體"/>
          <w:color w:val="000000"/>
          <w:sz w:val="28"/>
          <w:szCs w:val="28"/>
        </w:rPr>
        <w:t>管理、安全性檢測及日誌留存等高</w:t>
      </w:r>
      <w:proofErr w:type="gramStart"/>
      <w:r w:rsidRPr="001B6E4D">
        <w:rPr>
          <w:rFonts w:ascii="標楷體" w:eastAsia="標楷體" w:hAnsi="標楷體"/>
          <w:color w:val="000000"/>
          <w:sz w:val="28"/>
          <w:szCs w:val="28"/>
        </w:rPr>
        <w:t>強度資安管理</w:t>
      </w:r>
      <w:proofErr w:type="gramEnd"/>
      <w:r w:rsidRPr="001B6E4D">
        <w:rPr>
          <w:rFonts w:ascii="標楷體" w:eastAsia="標楷體" w:hAnsi="標楷體"/>
          <w:color w:val="000000"/>
          <w:sz w:val="28"/>
          <w:szCs w:val="28"/>
        </w:rPr>
        <w:t>措施。考試院及所屬機關辦理國家考試、證書核發及相關個人資料管理業務，應以最高標準</w:t>
      </w:r>
      <w:proofErr w:type="gramStart"/>
      <w:r w:rsidRPr="001B6E4D">
        <w:rPr>
          <w:rFonts w:ascii="標楷體" w:eastAsia="標楷體" w:hAnsi="標楷體"/>
          <w:color w:val="000000"/>
          <w:sz w:val="28"/>
          <w:szCs w:val="28"/>
        </w:rPr>
        <w:t>落實資安防護</w:t>
      </w:r>
      <w:proofErr w:type="gramEnd"/>
      <w:r w:rsidRPr="001B6E4D">
        <w:rPr>
          <w:rFonts w:ascii="標楷體" w:eastAsia="標楷體" w:hAnsi="標楷體"/>
          <w:color w:val="000000"/>
          <w:sz w:val="28"/>
          <w:szCs w:val="28"/>
        </w:rPr>
        <w:t>。</w:t>
      </w:r>
    </w:p>
    <w:p w14:paraId="6750A33A"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此，建請考試院督導所屬機關，就相關核心資訊系統之資通安全維護情形，於3個月內向</w:t>
      </w:r>
      <w:r w:rsidRPr="001B6E4D">
        <w:rPr>
          <w:rFonts w:ascii="標楷體" w:eastAsia="標楷體" w:hAnsi="標楷體" w:hint="eastAsia"/>
          <w:color w:val="000000"/>
          <w:sz w:val="28"/>
          <w:szCs w:val="28"/>
        </w:rPr>
        <w:t>立法院</w:t>
      </w:r>
      <w:r w:rsidRPr="001B6E4D">
        <w:rPr>
          <w:rFonts w:ascii="標楷體" w:eastAsia="標楷體" w:hAnsi="標楷體"/>
          <w:color w:val="000000"/>
          <w:sz w:val="28"/>
          <w:szCs w:val="28"/>
        </w:rPr>
        <w:t>司法及法制委員會提出書面報告，具體說明考試院及所屬各公務機關資通安全責任</w:t>
      </w:r>
      <w:r w:rsidRPr="001B6E4D">
        <w:rPr>
          <w:rFonts w:ascii="標楷體" w:eastAsia="標楷體" w:hAnsi="標楷體"/>
          <w:color w:val="000000"/>
          <w:sz w:val="28"/>
          <w:szCs w:val="28"/>
        </w:rPr>
        <w:lastRenderedPageBreak/>
        <w:t>等級分級情形。【17】</w:t>
      </w:r>
    </w:p>
    <w:p w14:paraId="1B92E2F5"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提案人：莊瑞雄</w:t>
      </w:r>
    </w:p>
    <w:p w14:paraId="6D198048"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　沈發惠</w:t>
      </w:r>
    </w:p>
    <w:p w14:paraId="065B3B9A"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(八)</w:t>
      </w:r>
      <w:r w:rsidRPr="001B6E4D">
        <w:rPr>
          <w:rFonts w:ascii="標楷體" w:eastAsia="標楷體" w:hAnsi="標楷體"/>
          <w:sz w:val="28"/>
          <w:szCs w:val="28"/>
        </w:rPr>
        <w:t>有</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於考試院自</w:t>
      </w:r>
      <w:r w:rsidRPr="001B6E4D">
        <w:rPr>
          <w:rFonts w:ascii="標楷體" w:eastAsia="標楷體" w:hAnsi="標楷體"/>
          <w:color w:val="000000"/>
          <w:sz w:val="28"/>
          <w:szCs w:val="28"/>
        </w:rPr>
        <w:t>111</w:t>
      </w:r>
      <w:r w:rsidRPr="001B6E4D">
        <w:rPr>
          <w:rFonts w:ascii="標楷體" w:eastAsia="標楷體" w:hAnsi="標楷體"/>
          <w:sz w:val="28"/>
          <w:szCs w:val="28"/>
        </w:rPr>
        <w:t>年起推動國家考試及格證書數位化，原則上各類國家考試及格證書改以電子證書核發為主，紙本證書則由及格人另行繳費申請；依決算資料說明，電子證書每張收費100元，紙本證書每張收費500元。惟依考試院提供資料，雖核發紙本證書張數整體呈下降趨勢，仍有一定比例及格人同時</w:t>
      </w:r>
      <w:proofErr w:type="gramStart"/>
      <w:r w:rsidRPr="001B6E4D">
        <w:rPr>
          <w:rFonts w:ascii="標楷體" w:eastAsia="標楷體" w:hAnsi="標楷體"/>
          <w:sz w:val="28"/>
          <w:szCs w:val="28"/>
        </w:rPr>
        <w:t>請領紙本</w:t>
      </w:r>
      <w:proofErr w:type="gramEnd"/>
      <w:r w:rsidRPr="001B6E4D">
        <w:rPr>
          <w:rFonts w:ascii="標楷體" w:eastAsia="標楷體" w:hAnsi="標楷體"/>
          <w:sz w:val="28"/>
          <w:szCs w:val="28"/>
        </w:rPr>
        <w:t>證書，其中112年比率高達66%，113至115年亦仍維持約17%至19%，顯示部分及格人對電子證書效力、使用場景及查驗方式仍有疑慮，或部分專技人員因執業展示需求，仍仰賴紙本證書。</w:t>
      </w:r>
    </w:p>
    <w:p w14:paraId="750A36B8"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考試院除應持續強化電子證書法律效力、查驗方式及使用便利性之宣導外，亦應檢討現行電子證書與紙本證書收費標準是否合理，並兼顧數位服務推廣、使用者需求。</w:t>
      </w:r>
    </w:p>
    <w:p w14:paraId="23E21E64"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此，建請考試院就國家考試及格電子證書之宣導成效、紙本證書申請比例變化原因，以及電子證書每張100元、紙本證書每張500元收費標準之合理性與調整可行性，於3個月內提出檢討及書面報告予</w:t>
      </w:r>
      <w:r w:rsidRPr="001B6E4D">
        <w:rPr>
          <w:rFonts w:ascii="標楷體" w:eastAsia="標楷體" w:hAnsi="標楷體" w:hint="eastAsia"/>
          <w:color w:val="000000"/>
          <w:sz w:val="28"/>
          <w:szCs w:val="28"/>
        </w:rPr>
        <w:t>立法院</w:t>
      </w:r>
      <w:r w:rsidRPr="001B6E4D">
        <w:rPr>
          <w:rFonts w:ascii="標楷體" w:eastAsia="標楷體" w:hAnsi="標楷體"/>
          <w:color w:val="000000"/>
          <w:sz w:val="28"/>
          <w:szCs w:val="28"/>
        </w:rPr>
        <w:t>司法及法制委員會。【18】</w:t>
      </w:r>
    </w:p>
    <w:p w14:paraId="34B4AB62"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提案人：莊瑞雄</w:t>
      </w:r>
    </w:p>
    <w:p w14:paraId="121FAC44"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　沈發惠</w:t>
      </w:r>
    </w:p>
    <w:p w14:paraId="64206220"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(九)</w:t>
      </w:r>
      <w:r w:rsidRPr="001B6E4D">
        <w:rPr>
          <w:rFonts w:ascii="標楷體" w:eastAsia="標楷體" w:hAnsi="標楷體"/>
          <w:sz w:val="28"/>
          <w:szCs w:val="28"/>
        </w:rPr>
        <w:t>依據立法院預算中心統計</w:t>
      </w:r>
      <w:r w:rsidRPr="001B6E4D">
        <w:rPr>
          <w:rFonts w:ascii="標楷體" w:eastAsia="標楷體" w:hAnsi="標楷體" w:hint="eastAsia"/>
          <w:sz w:val="28"/>
          <w:szCs w:val="28"/>
        </w:rPr>
        <w:t>，</w:t>
      </w:r>
      <w:r w:rsidRPr="001B6E4D">
        <w:rPr>
          <w:rFonts w:ascii="標楷體" w:eastAsia="標楷體" w:hAnsi="標楷體"/>
          <w:sz w:val="28"/>
          <w:szCs w:val="28"/>
        </w:rPr>
        <w:t>近</w:t>
      </w:r>
      <w:r w:rsidRPr="001B6E4D">
        <w:rPr>
          <w:rFonts w:ascii="標楷體" w:eastAsia="標楷體" w:hAnsi="標楷體" w:hint="eastAsia"/>
          <w:color w:val="000000"/>
          <w:sz w:val="28"/>
          <w:szCs w:val="28"/>
        </w:rPr>
        <w:t>五</w:t>
      </w:r>
      <w:r w:rsidRPr="001B6E4D">
        <w:rPr>
          <w:rFonts w:ascii="標楷體" w:eastAsia="標楷體" w:hAnsi="標楷體"/>
          <w:sz w:val="28"/>
          <w:szCs w:val="28"/>
        </w:rPr>
        <w:t>年度（109至113年</w:t>
      </w:r>
      <w:r w:rsidRPr="001B6E4D">
        <w:rPr>
          <w:rFonts w:ascii="標楷體" w:eastAsia="標楷體" w:hAnsi="標楷體" w:hint="eastAsia"/>
          <w:sz w:val="28"/>
          <w:szCs w:val="28"/>
        </w:rPr>
        <w:t>度</w:t>
      </w:r>
      <w:r w:rsidRPr="001B6E4D">
        <w:rPr>
          <w:rFonts w:ascii="標楷體" w:eastAsia="標楷體" w:hAnsi="標楷體"/>
          <w:sz w:val="28"/>
          <w:szCs w:val="28"/>
        </w:rPr>
        <w:t>）全國公務人員離職情形，中央各機關離職人數由</w:t>
      </w:r>
      <w:proofErr w:type="gramStart"/>
      <w:r w:rsidRPr="001B6E4D">
        <w:rPr>
          <w:rFonts w:ascii="標楷體" w:eastAsia="標楷體" w:hAnsi="標楷體"/>
          <w:sz w:val="28"/>
          <w:szCs w:val="28"/>
        </w:rPr>
        <w:t>109</w:t>
      </w:r>
      <w:proofErr w:type="gramEnd"/>
      <w:r w:rsidRPr="001B6E4D">
        <w:rPr>
          <w:rFonts w:ascii="標楷體" w:eastAsia="標楷體" w:hAnsi="標楷體"/>
          <w:sz w:val="28"/>
          <w:szCs w:val="28"/>
        </w:rPr>
        <w:t>年度6,826人增加至</w:t>
      </w:r>
      <w:proofErr w:type="gramStart"/>
      <w:r w:rsidRPr="001B6E4D">
        <w:rPr>
          <w:rFonts w:ascii="標楷體" w:eastAsia="標楷體" w:hAnsi="標楷體"/>
          <w:sz w:val="28"/>
          <w:szCs w:val="28"/>
        </w:rPr>
        <w:t>113</w:t>
      </w:r>
      <w:proofErr w:type="gramEnd"/>
      <w:r w:rsidRPr="001B6E4D">
        <w:rPr>
          <w:rFonts w:ascii="標楷體" w:eastAsia="標楷體" w:hAnsi="標楷體"/>
          <w:sz w:val="28"/>
          <w:szCs w:val="28"/>
        </w:rPr>
        <w:t>年度9,425人，增幅達38.08%，顯示中央機關人力流失情形有持續觀察及檢討之必要。</w:t>
      </w:r>
    </w:p>
    <w:p w14:paraId="49615305"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另參據銓敘部針對各機關公務人員經銓敘審定者之辭職調查情形，近</w:t>
      </w:r>
      <w:r w:rsidRPr="001B6E4D">
        <w:rPr>
          <w:rFonts w:ascii="標楷體" w:eastAsia="標楷體" w:hAnsi="標楷體" w:hint="eastAsia"/>
          <w:color w:val="000000"/>
          <w:sz w:val="28"/>
          <w:szCs w:val="28"/>
        </w:rPr>
        <w:t>六</w:t>
      </w:r>
      <w:r w:rsidRPr="001B6E4D">
        <w:rPr>
          <w:rFonts w:ascii="標楷體" w:eastAsia="標楷體" w:hAnsi="標楷體"/>
          <w:color w:val="000000"/>
          <w:sz w:val="28"/>
          <w:szCs w:val="28"/>
        </w:rPr>
        <w:t>年度，108至113年度，公務人員辭職總數由</w:t>
      </w:r>
      <w:proofErr w:type="gramStart"/>
      <w:r w:rsidRPr="001B6E4D">
        <w:rPr>
          <w:rFonts w:ascii="標楷體" w:eastAsia="標楷體" w:hAnsi="標楷體"/>
          <w:color w:val="000000"/>
          <w:sz w:val="28"/>
          <w:szCs w:val="28"/>
        </w:rPr>
        <w:t>108</w:t>
      </w:r>
      <w:proofErr w:type="gramEnd"/>
      <w:r w:rsidRPr="001B6E4D">
        <w:rPr>
          <w:rFonts w:ascii="標楷體" w:eastAsia="標楷體" w:hAnsi="標楷體"/>
          <w:color w:val="000000"/>
          <w:sz w:val="28"/>
          <w:szCs w:val="28"/>
        </w:rPr>
        <w:t>年度1,994人增加至</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年度3,094人；其中</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年度辦理辭職人數為3,094人，較</w:t>
      </w:r>
      <w:proofErr w:type="gramStart"/>
      <w:r w:rsidRPr="001B6E4D">
        <w:rPr>
          <w:rFonts w:ascii="標楷體" w:eastAsia="標楷體" w:hAnsi="標楷體"/>
          <w:color w:val="000000"/>
          <w:sz w:val="28"/>
          <w:szCs w:val="28"/>
        </w:rPr>
        <w:t>109</w:t>
      </w:r>
      <w:proofErr w:type="gramEnd"/>
      <w:r w:rsidRPr="001B6E4D">
        <w:rPr>
          <w:rFonts w:ascii="標楷體" w:eastAsia="標楷體" w:hAnsi="標楷體"/>
          <w:color w:val="000000"/>
          <w:sz w:val="28"/>
          <w:szCs w:val="28"/>
        </w:rPr>
        <w:t>年度1,969人增加57.14%，亦為近年新高，且占銓敘審定人數比率攀升至1.1%。</w:t>
      </w:r>
    </w:p>
    <w:p w14:paraId="35BAC826"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進一步觀察辭職原因，因個人因素辭職者由</w:t>
      </w:r>
      <w:proofErr w:type="gramStart"/>
      <w:r w:rsidRPr="001B6E4D">
        <w:rPr>
          <w:rFonts w:ascii="標楷體" w:eastAsia="標楷體" w:hAnsi="標楷體"/>
          <w:color w:val="000000"/>
          <w:sz w:val="28"/>
          <w:szCs w:val="28"/>
        </w:rPr>
        <w:t>109</w:t>
      </w:r>
      <w:proofErr w:type="gramEnd"/>
      <w:r w:rsidRPr="001B6E4D">
        <w:rPr>
          <w:rFonts w:ascii="標楷體" w:eastAsia="標楷體" w:hAnsi="標楷體"/>
          <w:color w:val="000000"/>
          <w:sz w:val="28"/>
          <w:szCs w:val="28"/>
        </w:rPr>
        <w:t>年度1,750人增加至</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年度2,605人，增幅48.86%；工作因素由</w:t>
      </w:r>
      <w:proofErr w:type="gramStart"/>
      <w:r w:rsidRPr="001B6E4D">
        <w:rPr>
          <w:rFonts w:ascii="標楷體" w:eastAsia="標楷體" w:hAnsi="標楷體"/>
          <w:color w:val="000000"/>
          <w:sz w:val="28"/>
          <w:szCs w:val="28"/>
        </w:rPr>
        <w:t>109</w:t>
      </w:r>
      <w:proofErr w:type="gramEnd"/>
      <w:r w:rsidRPr="001B6E4D">
        <w:rPr>
          <w:rFonts w:ascii="標楷體" w:eastAsia="標楷體" w:hAnsi="標楷體"/>
          <w:color w:val="000000"/>
          <w:sz w:val="28"/>
          <w:szCs w:val="28"/>
        </w:rPr>
        <w:t>年度81人增加至</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年度185人，待遇福利因素亦由</w:t>
      </w:r>
      <w:proofErr w:type="gramStart"/>
      <w:r w:rsidRPr="001B6E4D">
        <w:rPr>
          <w:rFonts w:ascii="標楷體" w:eastAsia="標楷體" w:hAnsi="標楷體"/>
          <w:color w:val="000000"/>
          <w:sz w:val="28"/>
          <w:szCs w:val="28"/>
        </w:rPr>
        <w:t>109</w:t>
      </w:r>
      <w:proofErr w:type="gramEnd"/>
      <w:r w:rsidRPr="001B6E4D">
        <w:rPr>
          <w:rFonts w:ascii="標楷體" w:eastAsia="標楷體" w:hAnsi="標楷體"/>
          <w:color w:val="000000"/>
          <w:sz w:val="28"/>
          <w:szCs w:val="28"/>
        </w:rPr>
        <w:t>年度28人增加至</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年度106人，</w:t>
      </w:r>
      <w:proofErr w:type="gramStart"/>
      <w:r w:rsidRPr="001B6E4D">
        <w:rPr>
          <w:rFonts w:ascii="標楷體" w:eastAsia="標楷體" w:hAnsi="標楷體"/>
          <w:color w:val="000000"/>
          <w:sz w:val="28"/>
          <w:szCs w:val="28"/>
        </w:rPr>
        <w:t>均呈明顯</w:t>
      </w:r>
      <w:proofErr w:type="gramEnd"/>
      <w:r w:rsidRPr="001B6E4D">
        <w:rPr>
          <w:rFonts w:ascii="標楷體" w:eastAsia="標楷體" w:hAnsi="標楷體"/>
          <w:color w:val="000000"/>
          <w:sz w:val="28"/>
          <w:szCs w:val="28"/>
        </w:rPr>
        <w:t>增加趨勢。此顯示公務人員辭職原因雖仍以個人因素為主，惟工作條件、待遇福利及組織管理等因素對留任意願之影響，亦有進一步檢討必要。</w:t>
      </w:r>
    </w:p>
    <w:p w14:paraId="599D31C5"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綜上，考試院主掌公務人員銓敘、保障、培訓及文官管理政策之研究發展。近年公務體制歷經退休撫</w:t>
      </w:r>
      <w:proofErr w:type="gramStart"/>
      <w:r w:rsidRPr="001B6E4D">
        <w:rPr>
          <w:rFonts w:ascii="標楷體" w:eastAsia="標楷體" w:hAnsi="標楷體"/>
          <w:color w:val="000000"/>
          <w:sz w:val="28"/>
          <w:szCs w:val="28"/>
        </w:rPr>
        <w:t>卹</w:t>
      </w:r>
      <w:proofErr w:type="gramEnd"/>
      <w:r w:rsidRPr="001B6E4D">
        <w:rPr>
          <w:rFonts w:ascii="標楷體" w:eastAsia="標楷體" w:hAnsi="標楷體"/>
          <w:color w:val="000000"/>
          <w:sz w:val="28"/>
          <w:szCs w:val="28"/>
        </w:rPr>
        <w:t>制度、部分機關</w:t>
      </w:r>
      <w:r w:rsidRPr="001B6E4D">
        <w:rPr>
          <w:rFonts w:ascii="標楷體" w:eastAsia="標楷體" w:hAnsi="標楷體"/>
          <w:color w:val="000000"/>
          <w:sz w:val="28"/>
          <w:szCs w:val="28"/>
        </w:rPr>
        <w:lastRenderedPageBreak/>
        <w:t>組織調整及職場環境變化等多項制度變革，均可能影響公務人員留任意願。面對近年全國公務人員離職及辭職</w:t>
      </w:r>
      <w:proofErr w:type="gramStart"/>
      <w:r w:rsidRPr="001B6E4D">
        <w:rPr>
          <w:rFonts w:ascii="標楷體" w:eastAsia="標楷體" w:hAnsi="標楷體"/>
          <w:color w:val="000000"/>
          <w:sz w:val="28"/>
          <w:szCs w:val="28"/>
        </w:rPr>
        <w:t>人數均達近年</w:t>
      </w:r>
      <w:proofErr w:type="gramEnd"/>
      <w:r w:rsidRPr="001B6E4D">
        <w:rPr>
          <w:rFonts w:ascii="標楷體" w:eastAsia="標楷體" w:hAnsi="標楷體"/>
          <w:color w:val="000000"/>
          <w:sz w:val="28"/>
          <w:szCs w:val="28"/>
        </w:rPr>
        <w:t>新高，實有必要深入探究公務人員離職、辭職及退休原因，並檢討現行文官管理制度與職場支持措施，以確保公務人力穩定及行政效能。</w:t>
      </w:r>
    </w:p>
    <w:p w14:paraId="7E8B35D8"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考試院於3個月內，針對近年公務人員離職及辭職人數增加情形進行檢討，並就中央機關人力流失、辭職原因變化、組織管理及留才制度等面向提出具體改善措施，向立法院司法及法制委員會提出書面報告。【19】</w:t>
      </w:r>
    </w:p>
    <w:p w14:paraId="3D9D9329"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提案人：張雅琳</w:t>
      </w:r>
    </w:p>
    <w:p w14:paraId="612350C0"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　沈發惠</w:t>
      </w:r>
    </w:p>
    <w:p w14:paraId="22DDD32F"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w:t>
      </w:r>
      <w:r w:rsidRPr="001B6E4D">
        <w:rPr>
          <w:rFonts w:ascii="標楷體" w:eastAsia="標楷體" w:hAnsi="標楷體"/>
          <w:sz w:val="28"/>
          <w:szCs w:val="28"/>
        </w:rPr>
        <w:t>依據《身心障礙者權利公約》（CRPD）第2條精神，國家負有落實「合理調整」之義務，應根據個案具體需求，於不造成不成比例或過度負擔之情況下，進行必要且適當之修改與調整，以確保身心障礙者在與其他人平等之基礎上，享有或行使所有人權及基本自由。</w:t>
      </w:r>
    </w:p>
    <w:p w14:paraId="32FB6819"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經查，現行《身心障礙者應國家考試權益維護辦法》針對身心障礙考生之應考機制（如延長考試時間、應試輔具提供及申請審議機制等）仍過於僵化。實務上部分個案雖獲准延長考試時間，卻導致後續節次之休息與體力恢復時間遭壓縮。亦有考生之合理調整需求遭駁回，經其歷時耗神提起行政訴訟後，方獲法院判定行政處分違法。此類不平等困境，顯見現行措施與障礙者生命經驗仍有落差。</w:t>
      </w:r>
    </w:p>
    <w:p w14:paraId="71D55F7F"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依據CRPD公約之核心精神，身心障礙者相關政策應貫徹「沒有我們的參與，不要為我們做決定」（Nothing About Us Without Us）之原則，故身心障礙者代表比例，在相關決議機制中至關重要。</w:t>
      </w:r>
      <w:proofErr w:type="gramStart"/>
      <w:r w:rsidRPr="001B6E4D">
        <w:rPr>
          <w:rFonts w:ascii="標楷體" w:eastAsia="標楷體" w:hAnsi="標楷體"/>
          <w:color w:val="000000"/>
          <w:sz w:val="28"/>
          <w:szCs w:val="28"/>
        </w:rPr>
        <w:t>然</w:t>
      </w:r>
      <w:r w:rsidRPr="001B6E4D">
        <w:rPr>
          <w:rFonts w:ascii="標楷體" w:eastAsia="標楷體" w:hAnsi="標楷體" w:hint="eastAsia"/>
          <w:color w:val="000000"/>
          <w:sz w:val="28"/>
          <w:szCs w:val="28"/>
        </w:rPr>
        <w:t>復</w:t>
      </w:r>
      <w:r w:rsidRPr="001B6E4D">
        <w:rPr>
          <w:rFonts w:ascii="標楷體" w:eastAsia="標楷體" w:hAnsi="標楷體"/>
          <w:color w:val="000000"/>
          <w:sz w:val="28"/>
          <w:szCs w:val="28"/>
        </w:rPr>
        <w:t>查</w:t>
      </w:r>
      <w:proofErr w:type="gramEnd"/>
      <w:r w:rsidRPr="001B6E4D">
        <w:rPr>
          <w:rFonts w:ascii="標楷體" w:eastAsia="標楷體" w:hAnsi="標楷體"/>
          <w:color w:val="000000"/>
          <w:sz w:val="28"/>
          <w:szCs w:val="28"/>
        </w:rPr>
        <w:t>現行「身心障礙者應國家考試權益維護審議委員會」之組成，僅規範「身心障礙團體（機構）代表」人數不得少於三分之一，對於「身心障礙者」之比例與產生機制卻付之闕如，恐難充足納入身心障礙者之主體意見與實質參與。</w:t>
      </w:r>
    </w:p>
    <w:p w14:paraId="21BD71DE"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有鑑於此，為完善我國國家考試之合理調整程度，保障身心障礙者之平等應考權益，</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建請考試院</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議下列事項：</w:t>
      </w:r>
    </w:p>
    <w:p w14:paraId="7BC60652" w14:textId="77777777" w:rsidR="0051111F" w:rsidRPr="001B6E4D" w:rsidRDefault="0051111F" w:rsidP="003D1018">
      <w:pPr>
        <w:widowControl w:val="0"/>
        <w:overflowPunct w:val="0"/>
        <w:snapToGrid w:val="0"/>
        <w:spacing w:line="380" w:lineRule="exact"/>
        <w:ind w:left="1260" w:hangingChars="450" w:hanging="1260"/>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       1.評估明文設置該審議委員會之「身心障礙者」代表比例，非僅由機構代表代為發聲。</w:t>
      </w:r>
    </w:p>
    <w:p w14:paraId="76ED6C3A" w14:textId="77777777" w:rsidR="0051111F" w:rsidRPr="001B6E4D" w:rsidRDefault="0051111F" w:rsidP="003D1018">
      <w:pPr>
        <w:widowControl w:val="0"/>
        <w:overflowPunct w:val="0"/>
        <w:snapToGrid w:val="0"/>
        <w:spacing w:line="380" w:lineRule="exact"/>
        <w:ind w:left="1260" w:hangingChars="450" w:hanging="1260"/>
        <w:jc w:val="both"/>
        <w:rPr>
          <w:rFonts w:ascii="標楷體" w:eastAsia="標楷體" w:hAnsi="標楷體"/>
          <w:color w:val="000000"/>
          <w:sz w:val="28"/>
          <w:szCs w:val="28"/>
        </w:rPr>
      </w:pPr>
      <w:r w:rsidRPr="001B6E4D">
        <w:rPr>
          <w:rFonts w:ascii="標楷體" w:eastAsia="標楷體" w:hAnsi="標楷體"/>
          <w:color w:val="000000"/>
          <w:sz w:val="28"/>
          <w:szCs w:val="28"/>
        </w:rPr>
        <w:t xml:space="preserve">       2.參酌各國相關國家考試之作法，精進國家考試整體合理調整機制。</w:t>
      </w:r>
    </w:p>
    <w:p w14:paraId="0D5DD167"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上述相關規劃與推動期程，請考試院做成書面報告，於2</w:t>
      </w:r>
      <w:r w:rsidRPr="001B6E4D">
        <w:rPr>
          <w:rFonts w:ascii="標楷體" w:eastAsia="標楷體" w:hAnsi="標楷體"/>
          <w:color w:val="000000"/>
          <w:sz w:val="28"/>
          <w:szCs w:val="28"/>
        </w:rPr>
        <w:lastRenderedPageBreak/>
        <w:t>個月內提交予</w:t>
      </w:r>
      <w:r w:rsidRPr="001B6E4D">
        <w:rPr>
          <w:rFonts w:ascii="標楷體" w:eastAsia="標楷體" w:hAnsi="標楷體" w:hint="eastAsia"/>
          <w:color w:val="000000"/>
          <w:sz w:val="28"/>
          <w:szCs w:val="28"/>
        </w:rPr>
        <w:t>立法</w:t>
      </w:r>
      <w:r w:rsidRPr="001B6E4D">
        <w:rPr>
          <w:rFonts w:ascii="標楷體" w:eastAsia="標楷體" w:hAnsi="標楷體"/>
          <w:color w:val="000000"/>
          <w:sz w:val="28"/>
          <w:szCs w:val="28"/>
        </w:rPr>
        <w:t>院司法及法制委員會。【20】</w:t>
      </w:r>
    </w:p>
    <w:p w14:paraId="63371849"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53AB8761"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連署人：張雅琳　沈發惠</w:t>
      </w:r>
    </w:p>
    <w:p w14:paraId="76756C6D"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(十一)</w:t>
      </w:r>
      <w:r w:rsidRPr="001B6E4D">
        <w:rPr>
          <w:rFonts w:ascii="標楷體" w:eastAsia="標楷體" w:hAnsi="標楷體"/>
          <w:sz w:val="28"/>
          <w:szCs w:val="28"/>
        </w:rPr>
        <w:t>近年來公務員職</w:t>
      </w:r>
      <w:proofErr w:type="gramStart"/>
      <w:r w:rsidRPr="001B6E4D">
        <w:rPr>
          <w:rFonts w:ascii="標楷體" w:eastAsia="標楷體" w:hAnsi="標楷體"/>
          <w:sz w:val="28"/>
          <w:szCs w:val="28"/>
        </w:rPr>
        <w:t>場霸凌</w:t>
      </w:r>
      <w:proofErr w:type="gramEnd"/>
      <w:r w:rsidRPr="001B6E4D">
        <w:rPr>
          <w:rFonts w:ascii="標楷體" w:eastAsia="標楷體" w:hAnsi="標楷體"/>
          <w:sz w:val="28"/>
          <w:szCs w:val="28"/>
        </w:rPr>
        <w:t>事件頻傳，根據媒體報導，公務人員保障暨培訓委員會網站公開資料顯示，公務員就機關處理職</w:t>
      </w:r>
      <w:proofErr w:type="gramStart"/>
      <w:r w:rsidRPr="001B6E4D">
        <w:rPr>
          <w:rFonts w:ascii="標楷體" w:eastAsia="標楷體" w:hAnsi="標楷體"/>
          <w:sz w:val="28"/>
          <w:szCs w:val="28"/>
        </w:rPr>
        <w:t>場霸凌案</w:t>
      </w:r>
      <w:proofErr w:type="gramEnd"/>
      <w:r w:rsidRPr="001B6E4D">
        <w:rPr>
          <w:rFonts w:ascii="標楷體" w:eastAsia="標楷體" w:hAnsi="標楷體"/>
          <w:sz w:val="28"/>
          <w:szCs w:val="28"/>
        </w:rPr>
        <w:t>提起後續救濟的案件數，自2020至2025年，從12件大幅增加到132件。此趨勢顯示公務員向原機關申訴</w:t>
      </w:r>
      <w:proofErr w:type="gramStart"/>
      <w:r w:rsidRPr="001B6E4D">
        <w:rPr>
          <w:rFonts w:ascii="標楷體" w:eastAsia="標楷體" w:hAnsi="標楷體"/>
          <w:sz w:val="28"/>
          <w:szCs w:val="28"/>
        </w:rPr>
        <w:t>霸凌後</w:t>
      </w:r>
      <w:proofErr w:type="gramEnd"/>
      <w:r w:rsidRPr="001B6E4D">
        <w:rPr>
          <w:rFonts w:ascii="標楷體" w:eastAsia="標楷體" w:hAnsi="標楷體"/>
          <w:sz w:val="28"/>
          <w:szCs w:val="28"/>
        </w:rPr>
        <w:t>，再向保訓會進一步提起救濟之人數逐年增加，反映各機關處理職</w:t>
      </w:r>
      <w:proofErr w:type="gramStart"/>
      <w:r w:rsidRPr="001B6E4D">
        <w:rPr>
          <w:rFonts w:ascii="標楷體" w:eastAsia="標楷體" w:hAnsi="標楷體"/>
          <w:sz w:val="28"/>
          <w:szCs w:val="28"/>
        </w:rPr>
        <w:t>場霸凌</w:t>
      </w:r>
      <w:proofErr w:type="gramEnd"/>
      <w:r w:rsidRPr="001B6E4D">
        <w:rPr>
          <w:rFonts w:ascii="標楷體" w:eastAsia="標楷體" w:hAnsi="標楷體"/>
          <w:sz w:val="28"/>
          <w:szCs w:val="28"/>
        </w:rPr>
        <w:t>的方式恐有不足。</w:t>
      </w:r>
    </w:p>
    <w:p w14:paraId="11CD89C9"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經查，保訓會所</w:t>
      </w:r>
      <w:r w:rsidRPr="001B6E4D">
        <w:rPr>
          <w:rFonts w:ascii="標楷體" w:eastAsia="標楷體" w:hAnsi="標楷體" w:hint="eastAsia"/>
          <w:color w:val="000000"/>
          <w:sz w:val="28"/>
          <w:szCs w:val="28"/>
        </w:rPr>
        <w:t>訂</w:t>
      </w:r>
      <w:r w:rsidRPr="001B6E4D">
        <w:rPr>
          <w:rFonts w:ascii="標楷體" w:eastAsia="標楷體" w:hAnsi="標楷體"/>
          <w:color w:val="000000"/>
          <w:sz w:val="28"/>
          <w:szCs w:val="28"/>
        </w:rPr>
        <w:t>定之《公務人員執行職務安全及衛生防護辦法》與《各機關公務人員執行職務遭受職場霸凌防治處理原則》皆規範職</w:t>
      </w:r>
      <w:proofErr w:type="gramStart"/>
      <w:r w:rsidRPr="001B6E4D">
        <w:rPr>
          <w:rFonts w:ascii="標楷體" w:eastAsia="標楷體" w:hAnsi="標楷體"/>
          <w:color w:val="000000"/>
          <w:sz w:val="28"/>
          <w:szCs w:val="28"/>
        </w:rPr>
        <w:t>場霸凌</w:t>
      </w:r>
      <w:proofErr w:type="gramEnd"/>
      <w:r w:rsidRPr="001B6E4D">
        <w:rPr>
          <w:rFonts w:ascii="標楷體" w:eastAsia="標楷體" w:hAnsi="標楷體"/>
          <w:color w:val="000000"/>
          <w:sz w:val="28"/>
          <w:szCs w:val="28"/>
        </w:rPr>
        <w:t>事件調查處理程序中，就當事人、受邀協助調查之人之姓名及其他足以辨識身分之資料，應予保密。然</w:t>
      </w:r>
      <w:proofErr w:type="gramStart"/>
      <w:r w:rsidRPr="001B6E4D">
        <w:rPr>
          <w:rFonts w:ascii="標楷體" w:eastAsia="標楷體" w:hAnsi="標楷體"/>
          <w:color w:val="000000"/>
          <w:sz w:val="28"/>
          <w:szCs w:val="28"/>
        </w:rPr>
        <w:t>范</w:t>
      </w:r>
      <w:proofErr w:type="gramEnd"/>
      <w:r w:rsidRPr="001B6E4D">
        <w:rPr>
          <w:rFonts w:ascii="標楷體" w:eastAsia="標楷體" w:hAnsi="標楷體" w:hint="eastAsia"/>
          <w:color w:val="000000"/>
          <w:sz w:val="28"/>
          <w:szCs w:val="28"/>
        </w:rPr>
        <w:t>委員</w:t>
      </w:r>
      <w:r w:rsidRPr="001B6E4D">
        <w:rPr>
          <w:rFonts w:ascii="標楷體" w:eastAsia="標楷體" w:hAnsi="標楷體"/>
          <w:color w:val="000000"/>
          <w:sz w:val="28"/>
          <w:szCs w:val="28"/>
        </w:rPr>
        <w:t>雲辦公室接獲陳情，某機關調查委員進行調查時，機關將當事人身分證字號及電話、地址等個人隱私資訊一併提供，此情事</w:t>
      </w:r>
      <w:proofErr w:type="gramStart"/>
      <w:r w:rsidRPr="001B6E4D">
        <w:rPr>
          <w:rFonts w:ascii="標楷體" w:eastAsia="標楷體" w:hAnsi="標楷體"/>
          <w:color w:val="000000"/>
          <w:sz w:val="28"/>
          <w:szCs w:val="28"/>
        </w:rPr>
        <w:t>之於霸凌案件</w:t>
      </w:r>
      <w:proofErr w:type="gramEnd"/>
      <w:r w:rsidRPr="001B6E4D">
        <w:rPr>
          <w:rFonts w:ascii="標楷體" w:eastAsia="標楷體" w:hAnsi="標楷體"/>
          <w:color w:val="000000"/>
          <w:sz w:val="28"/>
          <w:szCs w:val="28"/>
        </w:rPr>
        <w:t>調查工作實無必要。</w:t>
      </w:r>
    </w:p>
    <w:p w14:paraId="152BA4FC"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建請考試院</w:t>
      </w:r>
      <w:proofErr w:type="gramStart"/>
      <w:r w:rsidRPr="001B6E4D">
        <w:rPr>
          <w:rFonts w:ascii="標楷體" w:eastAsia="標楷體" w:hAnsi="標楷體"/>
          <w:color w:val="000000"/>
          <w:sz w:val="28"/>
          <w:szCs w:val="28"/>
        </w:rPr>
        <w:t>研議職場霸凌</w:t>
      </w:r>
      <w:proofErr w:type="gramEnd"/>
      <w:r w:rsidRPr="001B6E4D">
        <w:rPr>
          <w:rFonts w:ascii="標楷體" w:eastAsia="標楷體" w:hAnsi="標楷體"/>
          <w:color w:val="000000"/>
          <w:sz w:val="28"/>
          <w:szCs w:val="28"/>
        </w:rPr>
        <w:t>事件處理程序中，強化遮蔽當事人及協助調查之人隱私資訊之具體措施，如增訂相關指引等，並加強督導各機關遵照法規辦理調查工作，以保障當事人權益。請於2個月內向立法院司法及法制委員會提出書面報告。【21】</w:t>
      </w:r>
    </w:p>
    <w:p w14:paraId="46651D88"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302AB6E9"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連署人：張雅琳　沈發惠</w:t>
      </w:r>
    </w:p>
    <w:p w14:paraId="71B7CD93"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(十二)</w:t>
      </w:r>
      <w:r w:rsidRPr="001B6E4D">
        <w:rPr>
          <w:rFonts w:ascii="標楷體" w:eastAsia="標楷體" w:hAnsi="標楷體"/>
          <w:sz w:val="28"/>
          <w:szCs w:val="28"/>
        </w:rPr>
        <w:t>近年來公務員職</w:t>
      </w:r>
      <w:proofErr w:type="gramStart"/>
      <w:r w:rsidRPr="001B6E4D">
        <w:rPr>
          <w:rFonts w:ascii="標楷體" w:eastAsia="標楷體" w:hAnsi="標楷體"/>
          <w:sz w:val="28"/>
          <w:szCs w:val="28"/>
        </w:rPr>
        <w:t>場霸凌</w:t>
      </w:r>
      <w:proofErr w:type="gramEnd"/>
      <w:r w:rsidRPr="001B6E4D">
        <w:rPr>
          <w:rFonts w:ascii="標楷體" w:eastAsia="標楷體" w:hAnsi="標楷體"/>
          <w:sz w:val="28"/>
          <w:szCs w:val="28"/>
        </w:rPr>
        <w:t>事件頻傳，根據媒體報導，公務人員保障暨培訓委員會網站公開資料顯示，公務員就機關處理職</w:t>
      </w:r>
      <w:proofErr w:type="gramStart"/>
      <w:r w:rsidRPr="001B6E4D">
        <w:rPr>
          <w:rFonts w:ascii="標楷體" w:eastAsia="標楷體" w:hAnsi="標楷體"/>
          <w:sz w:val="28"/>
          <w:szCs w:val="28"/>
        </w:rPr>
        <w:t>場霸凌案</w:t>
      </w:r>
      <w:proofErr w:type="gramEnd"/>
      <w:r w:rsidRPr="001B6E4D">
        <w:rPr>
          <w:rFonts w:ascii="標楷體" w:eastAsia="標楷體" w:hAnsi="標楷體"/>
          <w:sz w:val="28"/>
          <w:szCs w:val="28"/>
        </w:rPr>
        <w:t>提起後續救濟的案件數，自2020至2025年，從12件大幅增加到132件。此趨勢顯示公務員向原機關申訴</w:t>
      </w:r>
      <w:proofErr w:type="gramStart"/>
      <w:r w:rsidRPr="001B6E4D">
        <w:rPr>
          <w:rFonts w:ascii="標楷體" w:eastAsia="標楷體" w:hAnsi="標楷體"/>
          <w:sz w:val="28"/>
          <w:szCs w:val="28"/>
        </w:rPr>
        <w:t>霸凌後</w:t>
      </w:r>
      <w:proofErr w:type="gramEnd"/>
      <w:r w:rsidRPr="001B6E4D">
        <w:rPr>
          <w:rFonts w:ascii="標楷體" w:eastAsia="標楷體" w:hAnsi="標楷體"/>
          <w:sz w:val="28"/>
          <w:szCs w:val="28"/>
        </w:rPr>
        <w:t>，再向保訓會進一步提起救濟之人數逐年增加，反映各機關處理職</w:t>
      </w:r>
      <w:proofErr w:type="gramStart"/>
      <w:r w:rsidRPr="001B6E4D">
        <w:rPr>
          <w:rFonts w:ascii="標楷體" w:eastAsia="標楷體" w:hAnsi="標楷體"/>
          <w:sz w:val="28"/>
          <w:szCs w:val="28"/>
        </w:rPr>
        <w:t>場霸凌</w:t>
      </w:r>
      <w:proofErr w:type="gramEnd"/>
      <w:r w:rsidRPr="001B6E4D">
        <w:rPr>
          <w:rFonts w:ascii="標楷體" w:eastAsia="標楷體" w:hAnsi="標楷體"/>
          <w:sz w:val="28"/>
          <w:szCs w:val="28"/>
        </w:rPr>
        <w:t>的方式恐有不足。</w:t>
      </w:r>
    </w:p>
    <w:p w14:paraId="335684CD"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經查，保訓會已於2025年7月根據《公務人員執行職務安全及衛生防護辦法》，將職</w:t>
      </w:r>
      <w:proofErr w:type="gramStart"/>
      <w:r w:rsidRPr="001B6E4D">
        <w:rPr>
          <w:rFonts w:ascii="標楷體" w:eastAsia="標楷體" w:hAnsi="標楷體"/>
          <w:color w:val="000000"/>
          <w:sz w:val="28"/>
          <w:szCs w:val="28"/>
        </w:rPr>
        <w:t>場霸凌及</w:t>
      </w:r>
      <w:proofErr w:type="gramEnd"/>
      <w:r w:rsidRPr="001B6E4D">
        <w:rPr>
          <w:rFonts w:ascii="標楷體" w:eastAsia="標楷體" w:hAnsi="標楷體"/>
          <w:color w:val="000000"/>
          <w:sz w:val="28"/>
          <w:szCs w:val="28"/>
        </w:rPr>
        <w:t>身心健康風險納入自我檢核表。然目前職業安全事項與職</w:t>
      </w:r>
      <w:proofErr w:type="gramStart"/>
      <w:r w:rsidRPr="001B6E4D">
        <w:rPr>
          <w:rFonts w:ascii="標楷體" w:eastAsia="標楷體" w:hAnsi="標楷體"/>
          <w:color w:val="000000"/>
          <w:sz w:val="28"/>
          <w:szCs w:val="28"/>
        </w:rPr>
        <w:t>場霸凌</w:t>
      </w:r>
      <w:proofErr w:type="gramEnd"/>
      <w:r w:rsidRPr="001B6E4D">
        <w:rPr>
          <w:rFonts w:ascii="標楷體" w:eastAsia="標楷體" w:hAnsi="標楷體"/>
          <w:color w:val="000000"/>
          <w:sz w:val="28"/>
          <w:szCs w:val="28"/>
        </w:rPr>
        <w:t>檢核事項同列於一張檢核表中，恐有部分職場人員不適用之虞，以致檢核表無法妥善發揮最大效益。</w:t>
      </w:r>
    </w:p>
    <w:p w14:paraId="193184D1"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hint="eastAsia"/>
          <w:color w:val="000000"/>
          <w:sz w:val="28"/>
          <w:szCs w:val="28"/>
        </w:rPr>
        <w:t>復</w:t>
      </w:r>
      <w:r w:rsidRPr="001B6E4D">
        <w:rPr>
          <w:rFonts w:ascii="標楷體" w:eastAsia="標楷體" w:hAnsi="標楷體"/>
          <w:color w:val="000000"/>
          <w:sz w:val="28"/>
          <w:szCs w:val="28"/>
        </w:rPr>
        <w:t>查，</w:t>
      </w:r>
      <w:proofErr w:type="gramStart"/>
      <w:r w:rsidRPr="001B6E4D">
        <w:rPr>
          <w:rFonts w:ascii="標楷體" w:eastAsia="標楷體" w:hAnsi="標楷體"/>
          <w:color w:val="000000"/>
          <w:sz w:val="28"/>
          <w:szCs w:val="28"/>
        </w:rPr>
        <w:t>勞動部所</w:t>
      </w:r>
      <w:r w:rsidRPr="001B6E4D">
        <w:rPr>
          <w:rFonts w:ascii="標楷體" w:eastAsia="標楷體" w:hAnsi="標楷體" w:hint="eastAsia"/>
          <w:color w:val="000000"/>
          <w:sz w:val="28"/>
          <w:szCs w:val="28"/>
        </w:rPr>
        <w:t>訂</w:t>
      </w:r>
      <w:proofErr w:type="gramEnd"/>
      <w:r w:rsidRPr="001B6E4D">
        <w:rPr>
          <w:rFonts w:ascii="標楷體" w:eastAsia="標楷體" w:hAnsi="標楷體"/>
          <w:color w:val="000000"/>
          <w:sz w:val="28"/>
          <w:szCs w:val="28"/>
        </w:rPr>
        <w:t>定《執行職務遭受不法侵害預防指引》即分類不同職場性質，分別訂立所適用的風險評估表，以利各事業單位使用。</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建請考試院參酌勞動部作法，</w:t>
      </w:r>
      <w:proofErr w:type="gramStart"/>
      <w:r w:rsidRPr="001B6E4D">
        <w:rPr>
          <w:rFonts w:ascii="標楷體" w:eastAsia="標楷體" w:hAnsi="標楷體"/>
          <w:color w:val="000000"/>
          <w:sz w:val="28"/>
          <w:szCs w:val="28"/>
        </w:rPr>
        <w:t>按職場</w:t>
      </w:r>
      <w:proofErr w:type="gramEnd"/>
      <w:r w:rsidRPr="001B6E4D">
        <w:rPr>
          <w:rFonts w:ascii="標楷體" w:eastAsia="標楷體" w:hAnsi="標楷體"/>
          <w:color w:val="000000"/>
          <w:sz w:val="28"/>
          <w:szCs w:val="28"/>
        </w:rPr>
        <w:t>性質，</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議調整各機關適用之自我檢核表，以利主管機關更確實掌握</w:t>
      </w:r>
      <w:proofErr w:type="gramStart"/>
      <w:r w:rsidRPr="001B6E4D">
        <w:rPr>
          <w:rFonts w:ascii="標楷體" w:eastAsia="標楷體" w:hAnsi="標楷體"/>
          <w:color w:val="000000"/>
          <w:sz w:val="28"/>
          <w:szCs w:val="28"/>
        </w:rPr>
        <w:lastRenderedPageBreak/>
        <w:t>職場霸凌發生</w:t>
      </w:r>
      <w:proofErr w:type="gramEnd"/>
      <w:r w:rsidRPr="001B6E4D">
        <w:rPr>
          <w:rFonts w:ascii="標楷體" w:eastAsia="標楷體" w:hAnsi="標楷體"/>
          <w:color w:val="000000"/>
          <w:sz w:val="28"/>
          <w:szCs w:val="28"/>
        </w:rPr>
        <w:t>情形。請於3個月內向立法院司法及法制委員會提交書面報告。【22】</w:t>
      </w:r>
    </w:p>
    <w:p w14:paraId="1BC0FF53"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560FCBDF"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連署人：張雅琳　沈發惠</w:t>
      </w:r>
    </w:p>
    <w:p w14:paraId="370D171C"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(十三)</w:t>
      </w:r>
      <w:r w:rsidRPr="001B6E4D">
        <w:rPr>
          <w:rFonts w:ascii="標楷體" w:eastAsia="標楷體" w:hAnsi="標楷體"/>
          <w:sz w:val="28"/>
          <w:szCs w:val="28"/>
        </w:rPr>
        <w:t>針對</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年度考試院及所屬考選部編列「考選業務」與「精進測驗技術發展及題庫建置」等預算，</w:t>
      </w:r>
      <w:proofErr w:type="gramStart"/>
      <w:r w:rsidRPr="001B6E4D">
        <w:rPr>
          <w:rFonts w:ascii="標楷體" w:eastAsia="標楷體" w:hAnsi="標楷體" w:hint="eastAsia"/>
          <w:sz w:val="28"/>
          <w:szCs w:val="28"/>
        </w:rPr>
        <w:t>鑑</w:t>
      </w:r>
      <w:proofErr w:type="gramEnd"/>
      <w:r w:rsidRPr="001B6E4D">
        <w:rPr>
          <w:rFonts w:ascii="標楷體" w:eastAsia="標楷體" w:hAnsi="標楷體"/>
          <w:sz w:val="28"/>
          <w:szCs w:val="28"/>
        </w:rPr>
        <w:t>於衛生福利部石崇良部長近日明確指出，</w:t>
      </w:r>
      <w:proofErr w:type="gramStart"/>
      <w:r w:rsidRPr="001B6E4D">
        <w:rPr>
          <w:rFonts w:ascii="標楷體" w:eastAsia="標楷體" w:hAnsi="標楷體"/>
          <w:sz w:val="28"/>
          <w:szCs w:val="28"/>
        </w:rPr>
        <w:t>醫</w:t>
      </w:r>
      <w:proofErr w:type="gramEnd"/>
      <w:r w:rsidRPr="001B6E4D">
        <w:rPr>
          <w:rFonts w:ascii="標楷體" w:eastAsia="標楷體" w:hAnsi="標楷體"/>
          <w:sz w:val="28"/>
          <w:szCs w:val="28"/>
        </w:rPr>
        <w:t>事人員之選才應秉持「教、考、用」銜接原則，確保國家考試內容能反映臨床實務所需之核心職能。</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於國內目前面臨嚴峻之「護理人力荒」，各界多次反映國</w:t>
      </w:r>
      <w:r w:rsidRPr="001B6E4D">
        <w:rPr>
          <w:rFonts w:ascii="標楷體" w:eastAsia="標楷體" w:hAnsi="標楷體" w:hint="eastAsia"/>
          <w:sz w:val="28"/>
          <w:szCs w:val="28"/>
        </w:rPr>
        <w:t>家</w:t>
      </w:r>
      <w:r w:rsidRPr="001B6E4D">
        <w:rPr>
          <w:rFonts w:ascii="標楷體" w:eastAsia="標楷體" w:hAnsi="標楷體"/>
          <w:sz w:val="28"/>
          <w:szCs w:val="28"/>
        </w:rPr>
        <w:t>考</w:t>
      </w:r>
      <w:r w:rsidRPr="001B6E4D">
        <w:rPr>
          <w:rFonts w:ascii="標楷體" w:eastAsia="標楷體" w:hAnsi="標楷體" w:hint="eastAsia"/>
          <w:sz w:val="28"/>
          <w:szCs w:val="28"/>
        </w:rPr>
        <w:t>試</w:t>
      </w:r>
      <w:r w:rsidRPr="001B6E4D">
        <w:rPr>
          <w:rFonts w:ascii="標楷體" w:eastAsia="標楷體" w:hAnsi="標楷體"/>
          <w:sz w:val="28"/>
          <w:szCs w:val="28"/>
        </w:rPr>
        <w:t>部分試題過於艱澀、冷僻，甚至偏離護理核心職能範圍，實已成為專業人力銜接之門檻，且考試院亦表示「有聽過相關意見」。為落實</w:t>
      </w:r>
      <w:proofErr w:type="gramStart"/>
      <w:r w:rsidRPr="001B6E4D">
        <w:rPr>
          <w:rFonts w:ascii="標楷體" w:eastAsia="標楷體" w:hAnsi="標楷體"/>
          <w:sz w:val="28"/>
          <w:szCs w:val="28"/>
        </w:rPr>
        <w:t>醫</w:t>
      </w:r>
      <w:proofErr w:type="gramEnd"/>
      <w:r w:rsidRPr="001B6E4D">
        <w:rPr>
          <w:rFonts w:ascii="標楷體" w:eastAsia="標楷體" w:hAnsi="標楷體"/>
          <w:sz w:val="28"/>
          <w:szCs w:val="28"/>
        </w:rPr>
        <w:t>事人才「</w:t>
      </w:r>
      <w:proofErr w:type="gramStart"/>
      <w:r w:rsidRPr="001B6E4D">
        <w:rPr>
          <w:rFonts w:ascii="標楷體" w:eastAsia="標楷體" w:hAnsi="標楷體"/>
          <w:sz w:val="28"/>
          <w:szCs w:val="28"/>
        </w:rPr>
        <w:t>考所學</w:t>
      </w:r>
      <w:proofErr w:type="gramEnd"/>
      <w:r w:rsidRPr="001B6E4D">
        <w:rPr>
          <w:rFonts w:ascii="標楷體" w:eastAsia="標楷體" w:hAnsi="標楷體"/>
          <w:sz w:val="28"/>
          <w:szCs w:val="28"/>
        </w:rPr>
        <w:t>、用所考」之精神，並</w:t>
      </w:r>
      <w:proofErr w:type="gramStart"/>
      <w:r w:rsidRPr="001B6E4D">
        <w:rPr>
          <w:rFonts w:ascii="標楷體" w:eastAsia="標楷體" w:hAnsi="標楷體"/>
          <w:sz w:val="28"/>
          <w:szCs w:val="28"/>
        </w:rPr>
        <w:t>有效緩</w:t>
      </w:r>
      <w:proofErr w:type="gramEnd"/>
      <w:r w:rsidRPr="001B6E4D">
        <w:rPr>
          <w:rFonts w:ascii="標楷體" w:eastAsia="標楷體" w:hAnsi="標楷體"/>
          <w:sz w:val="28"/>
          <w:szCs w:val="28"/>
        </w:rPr>
        <w:t>解人力缺口，</w:t>
      </w:r>
      <w:proofErr w:type="gramStart"/>
      <w:r w:rsidRPr="001B6E4D">
        <w:rPr>
          <w:rFonts w:ascii="標楷體" w:eastAsia="標楷體" w:hAnsi="標楷體"/>
          <w:sz w:val="28"/>
          <w:szCs w:val="28"/>
        </w:rPr>
        <w:t>爰</w:t>
      </w:r>
      <w:proofErr w:type="gramEnd"/>
      <w:r w:rsidRPr="001B6E4D">
        <w:rPr>
          <w:rFonts w:ascii="標楷體" w:eastAsia="標楷體" w:hAnsi="標楷體"/>
          <w:sz w:val="28"/>
          <w:szCs w:val="28"/>
        </w:rPr>
        <w:t>要求考試院應就「是否因應上述各界意見調整考選政策、如何精進試題與臨床實務之連結（如解決考題艱澀冷僻問題）及建立跨部會取才平台之具體規劃與時程」，於3個月內向立法院司法及法制委員會提出</w:t>
      </w:r>
      <w:r w:rsidRPr="001B6E4D">
        <w:rPr>
          <w:rFonts w:ascii="標楷體" w:eastAsia="標楷體" w:hAnsi="標楷體" w:hint="eastAsia"/>
          <w:sz w:val="28"/>
          <w:szCs w:val="28"/>
        </w:rPr>
        <w:t>書面</w:t>
      </w:r>
      <w:r w:rsidRPr="001B6E4D">
        <w:rPr>
          <w:rFonts w:ascii="標楷體" w:eastAsia="標楷體" w:hAnsi="標楷體"/>
          <w:sz w:val="28"/>
          <w:szCs w:val="28"/>
        </w:rPr>
        <w:t>報告。同時，基於我國五權分立憲政體制，考試院於推動改革過程中應始終維持憲法賦予之獨立性與專業性，避免行政院指導考選業務之疑慮，以維護憲法權力制衡之精神。【23】</w:t>
      </w:r>
    </w:p>
    <w:p w14:paraId="0C3C52A2"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提案人：陳昭姿　劉書彬</w:t>
      </w:r>
    </w:p>
    <w:p w14:paraId="013AD2F1"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連署人：翁曉玲　吳宗憲</w:t>
      </w:r>
    </w:p>
    <w:p w14:paraId="48BB22F8" w14:textId="77777777" w:rsidR="0051111F" w:rsidRPr="001B6E4D" w:rsidRDefault="0051111F" w:rsidP="003D1018">
      <w:pPr>
        <w:widowControl w:val="0"/>
        <w:overflowPunct w:val="0"/>
        <w:snapToGrid w:val="0"/>
        <w:ind w:leftChars="150" w:left="1200" w:hangingChars="300" w:hanging="840"/>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第2項 考選部10億0,392萬2千元，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4E395F82" w14:textId="77777777" w:rsidR="0051111F" w:rsidRPr="001B6E4D" w:rsidRDefault="0051111F" w:rsidP="003D1018">
      <w:pPr>
        <w:widowControl w:val="0"/>
        <w:overflowPunct w:val="0"/>
        <w:snapToGrid w:val="0"/>
        <w:ind w:leftChars="150" w:left="1201" w:hangingChars="300" w:hanging="841"/>
        <w:jc w:val="both"/>
        <w:rPr>
          <w:rFonts w:ascii="標楷體" w:eastAsia="標楷體" w:hAnsi="標楷體" w:cs="Arial"/>
          <w:b/>
          <w:color w:val="000000"/>
          <w:sz w:val="28"/>
          <w:szCs w:val="28"/>
        </w:rPr>
      </w:pPr>
      <w:r w:rsidRPr="001B6E4D">
        <w:rPr>
          <w:rFonts w:ascii="標楷體" w:eastAsia="標楷體" w:hAnsi="標楷體" w:cs="Arial"/>
          <w:b/>
          <w:sz w:val="28"/>
          <w:szCs w:val="28"/>
        </w:rPr>
        <w:t>本項提案1案，保留，送院會處理：</w:t>
      </w:r>
    </w:p>
    <w:p w14:paraId="0A11D43F"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年度考選部預算案於第1目「一般行政」項下「基本行政工作維持」中「業務費」之「特別費」，係部長、政務次長及常務次長等3人特別費945千元。</w:t>
      </w:r>
    </w:p>
    <w:p w14:paraId="69083C71"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依照行政院95年12月29日</w:t>
      </w:r>
      <w:proofErr w:type="gramStart"/>
      <w:r w:rsidRPr="001B6E4D">
        <w:rPr>
          <w:rFonts w:ascii="標楷體" w:eastAsia="標楷體" w:hAnsi="標楷體"/>
          <w:color w:val="000000"/>
          <w:sz w:val="28"/>
          <w:szCs w:val="28"/>
        </w:rPr>
        <w:t>院授主忠字</w:t>
      </w:r>
      <w:proofErr w:type="gramEnd"/>
      <w:r w:rsidRPr="001B6E4D">
        <w:rPr>
          <w:rFonts w:ascii="標楷體" w:eastAsia="標楷體" w:hAnsi="標楷體"/>
          <w:color w:val="000000"/>
          <w:sz w:val="28"/>
          <w:szCs w:val="28"/>
        </w:rPr>
        <w:t>第0950007913號函，各級政府機關特別費支用規定之特別費使用範圍，係婚喪喜慶之禮金及招待、</w:t>
      </w:r>
      <w:proofErr w:type="gramStart"/>
      <w:r w:rsidRPr="001B6E4D">
        <w:rPr>
          <w:rFonts w:ascii="標楷體" w:eastAsia="標楷體" w:hAnsi="標楷體"/>
          <w:color w:val="000000"/>
          <w:sz w:val="28"/>
          <w:szCs w:val="28"/>
        </w:rPr>
        <w:t>餽</w:t>
      </w:r>
      <w:proofErr w:type="gramEnd"/>
      <w:r w:rsidRPr="001B6E4D">
        <w:rPr>
          <w:rFonts w:ascii="標楷體" w:eastAsia="標楷體" w:hAnsi="標楷體"/>
          <w:color w:val="000000"/>
          <w:sz w:val="28"/>
          <w:szCs w:val="28"/>
        </w:rPr>
        <w:t>（捐）</w:t>
      </w:r>
      <w:proofErr w:type="gramStart"/>
      <w:r w:rsidRPr="001B6E4D">
        <w:rPr>
          <w:rFonts w:ascii="標楷體" w:eastAsia="標楷體" w:hAnsi="標楷體"/>
          <w:color w:val="000000"/>
          <w:sz w:val="28"/>
          <w:szCs w:val="28"/>
        </w:rPr>
        <w:t>贈及慰問</w:t>
      </w:r>
      <w:proofErr w:type="gramEnd"/>
      <w:r w:rsidRPr="001B6E4D">
        <w:rPr>
          <w:rFonts w:ascii="標楷體" w:eastAsia="標楷體" w:hAnsi="標楷體"/>
          <w:color w:val="000000"/>
          <w:sz w:val="28"/>
          <w:szCs w:val="28"/>
        </w:rPr>
        <w:t>等支出。恐非屬各項施政計畫執行之必要項目。</w:t>
      </w:r>
    </w:p>
    <w:p w14:paraId="7C03A6CB"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然，115年中央政府總預算連同特別預算，</w:t>
      </w:r>
      <w:proofErr w:type="gramStart"/>
      <w:r w:rsidRPr="001B6E4D">
        <w:rPr>
          <w:rFonts w:ascii="標楷體" w:eastAsia="標楷體" w:hAnsi="標楷體"/>
          <w:color w:val="000000"/>
          <w:sz w:val="28"/>
          <w:szCs w:val="28"/>
        </w:rPr>
        <w:t>已需舉</w:t>
      </w:r>
      <w:proofErr w:type="gramEnd"/>
      <w:r w:rsidRPr="001B6E4D">
        <w:rPr>
          <w:rFonts w:ascii="標楷體" w:eastAsia="標楷體" w:hAnsi="標楷體"/>
          <w:color w:val="000000"/>
          <w:sz w:val="28"/>
          <w:szCs w:val="28"/>
        </w:rPr>
        <w:t>債高達4千億元。政府各單位更應量入為出、</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節公</w:t>
      </w:r>
      <w:proofErr w:type="gramStart"/>
      <w:r w:rsidRPr="001B6E4D">
        <w:rPr>
          <w:rFonts w:ascii="標楷體" w:eastAsia="標楷體" w:hAnsi="標楷體"/>
          <w:color w:val="000000"/>
          <w:sz w:val="28"/>
          <w:szCs w:val="28"/>
        </w:rPr>
        <w:t>帑</w:t>
      </w:r>
      <w:proofErr w:type="gramEnd"/>
      <w:r w:rsidRPr="001B6E4D">
        <w:rPr>
          <w:rFonts w:ascii="標楷體" w:eastAsia="標楷體" w:hAnsi="標楷體"/>
          <w:color w:val="000000"/>
          <w:sz w:val="28"/>
          <w:szCs w:val="28"/>
        </w:rPr>
        <w:t>，</w:t>
      </w:r>
      <w:proofErr w:type="gramStart"/>
      <w:r w:rsidRPr="001B6E4D">
        <w:rPr>
          <w:rFonts w:ascii="標楷體" w:eastAsia="標楷體" w:hAnsi="標楷體"/>
          <w:color w:val="000000"/>
          <w:sz w:val="28"/>
          <w:szCs w:val="28"/>
        </w:rPr>
        <w:t>減列非必要</w:t>
      </w:r>
      <w:proofErr w:type="gramEnd"/>
      <w:r w:rsidRPr="001B6E4D">
        <w:rPr>
          <w:rFonts w:ascii="標楷體" w:eastAsia="標楷體" w:hAnsi="標楷體"/>
          <w:color w:val="000000"/>
          <w:sz w:val="28"/>
          <w:szCs w:val="28"/>
        </w:rPr>
        <w:t>、非急迫性的支出，以降低國庫舉債、</w:t>
      </w:r>
      <w:proofErr w:type="gramStart"/>
      <w:r w:rsidRPr="001B6E4D">
        <w:rPr>
          <w:rFonts w:ascii="標楷體" w:eastAsia="標楷體" w:hAnsi="標楷體"/>
          <w:color w:val="000000"/>
          <w:sz w:val="28"/>
          <w:szCs w:val="28"/>
        </w:rPr>
        <w:t>債留子孫</w:t>
      </w:r>
      <w:proofErr w:type="gramEnd"/>
      <w:r w:rsidRPr="001B6E4D">
        <w:rPr>
          <w:rFonts w:ascii="標楷體" w:eastAsia="標楷體" w:hAnsi="標楷體"/>
          <w:color w:val="000000"/>
          <w:sz w:val="28"/>
          <w:szCs w:val="28"/>
        </w:rPr>
        <w:t>的壓力。</w:t>
      </w:r>
    </w:p>
    <w:p w14:paraId="3322C198"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且</w:t>
      </w:r>
      <w:proofErr w:type="gramEnd"/>
      <w:r w:rsidRPr="001B6E4D">
        <w:rPr>
          <w:rFonts w:ascii="標楷體" w:eastAsia="標楷體" w:hAnsi="標楷體"/>
          <w:color w:val="000000"/>
          <w:sz w:val="28"/>
          <w:szCs w:val="28"/>
        </w:rPr>
        <w:t>，賴總統為回應美國對台灣應大幅增加國防支出的強硬立場與關切壓力，</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年度國防支出已創下歷史新高</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達9,495億新台幣</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較去年度相比暴增1,768億</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漲幅達16%，負擔不可謂不重；大舉增加國防支出，必定會嚴重排擠年度的教育、文化、經濟發展、社會福利等支出。亦即，各</w:t>
      </w:r>
      <w:proofErr w:type="gramStart"/>
      <w:r w:rsidRPr="001B6E4D">
        <w:rPr>
          <w:rFonts w:ascii="標楷體" w:eastAsia="標楷體" w:hAnsi="標楷體"/>
          <w:color w:val="000000"/>
          <w:sz w:val="28"/>
          <w:szCs w:val="28"/>
        </w:rPr>
        <w:t>部會應勒緊</w:t>
      </w:r>
      <w:proofErr w:type="gramEnd"/>
      <w:r w:rsidRPr="001B6E4D">
        <w:rPr>
          <w:rFonts w:ascii="標楷體" w:eastAsia="標楷體" w:hAnsi="標楷體"/>
          <w:color w:val="000000"/>
          <w:sz w:val="28"/>
          <w:szCs w:val="28"/>
        </w:rPr>
        <w:t>褲</w:t>
      </w:r>
      <w:r w:rsidRPr="001B6E4D">
        <w:rPr>
          <w:rFonts w:ascii="標楷體" w:eastAsia="標楷體" w:hAnsi="標楷體"/>
          <w:color w:val="000000"/>
          <w:sz w:val="28"/>
          <w:szCs w:val="28"/>
        </w:rPr>
        <w:lastRenderedPageBreak/>
        <w:t>帶，共體時</w:t>
      </w:r>
      <w:proofErr w:type="gramStart"/>
      <w:r w:rsidRPr="001B6E4D">
        <w:rPr>
          <w:rFonts w:ascii="標楷體" w:eastAsia="標楷體" w:hAnsi="標楷體"/>
          <w:color w:val="000000"/>
          <w:sz w:val="28"/>
          <w:szCs w:val="28"/>
        </w:rPr>
        <w:t>艱</w:t>
      </w:r>
      <w:proofErr w:type="gramEnd"/>
      <w:r w:rsidRPr="001B6E4D">
        <w:rPr>
          <w:rFonts w:ascii="標楷體" w:eastAsia="標楷體" w:hAnsi="標楷體"/>
          <w:color w:val="000000"/>
          <w:sz w:val="28"/>
          <w:szCs w:val="28"/>
        </w:rPr>
        <w:t>、以</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節非必要支出的具體行動，來呼應賴總統對美方要求大幅增加國防支出的承諾。</w:t>
      </w:r>
    </w:p>
    <w:p w14:paraId="5769A3D5"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有</w:t>
      </w: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於</w:t>
      </w:r>
      <w:proofErr w:type="gramStart"/>
      <w:r w:rsidRPr="001B6E4D">
        <w:rPr>
          <w:rFonts w:ascii="標楷體" w:eastAsia="標楷體" w:hAnsi="標楷體"/>
          <w:color w:val="000000"/>
          <w:sz w:val="28"/>
          <w:szCs w:val="28"/>
        </w:rPr>
        <w:t>考選部所編</w:t>
      </w:r>
      <w:proofErr w:type="gramEnd"/>
      <w:r w:rsidRPr="001B6E4D">
        <w:rPr>
          <w:rFonts w:ascii="標楷體" w:eastAsia="標楷體" w:hAnsi="標楷體"/>
          <w:color w:val="000000"/>
          <w:sz w:val="28"/>
          <w:szCs w:val="28"/>
        </w:rPr>
        <w:t>之「特別費」，係婚喪喜慶之禮金及招待、</w:t>
      </w:r>
      <w:proofErr w:type="gramStart"/>
      <w:r w:rsidRPr="001B6E4D">
        <w:rPr>
          <w:rFonts w:ascii="標楷體" w:eastAsia="標楷體" w:hAnsi="標楷體"/>
          <w:color w:val="000000"/>
          <w:sz w:val="28"/>
          <w:szCs w:val="28"/>
        </w:rPr>
        <w:t>餽</w:t>
      </w:r>
      <w:proofErr w:type="gramEnd"/>
      <w:r w:rsidRPr="001B6E4D">
        <w:rPr>
          <w:rFonts w:ascii="標楷體" w:eastAsia="標楷體" w:hAnsi="標楷體"/>
          <w:color w:val="000000"/>
          <w:sz w:val="28"/>
          <w:szCs w:val="28"/>
        </w:rPr>
        <w:t>（捐）</w:t>
      </w:r>
      <w:proofErr w:type="gramStart"/>
      <w:r w:rsidRPr="001B6E4D">
        <w:rPr>
          <w:rFonts w:ascii="標楷體" w:eastAsia="標楷體" w:hAnsi="標楷體"/>
          <w:color w:val="000000"/>
          <w:sz w:val="28"/>
          <w:szCs w:val="28"/>
        </w:rPr>
        <w:t>贈及慰問</w:t>
      </w:r>
      <w:proofErr w:type="gramEnd"/>
      <w:r w:rsidRPr="001B6E4D">
        <w:rPr>
          <w:rFonts w:ascii="標楷體" w:eastAsia="標楷體" w:hAnsi="標楷體"/>
          <w:color w:val="000000"/>
          <w:sz w:val="28"/>
          <w:szCs w:val="28"/>
        </w:rPr>
        <w:t>等支出，非屬各項施政計畫執行之必要項目。為兌現賴總統對美方的承諾，且配合國防支出大幅增加之影響而必須</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節經費，</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提案減列九成共計85萬元整，且不得</w:t>
      </w:r>
      <w:proofErr w:type="gramStart"/>
      <w:r w:rsidRPr="001B6E4D">
        <w:rPr>
          <w:rFonts w:ascii="標楷體" w:eastAsia="標楷體" w:hAnsi="標楷體"/>
          <w:color w:val="000000"/>
          <w:sz w:val="28"/>
          <w:szCs w:val="28"/>
        </w:rPr>
        <w:t>流用勻支</w:t>
      </w:r>
      <w:proofErr w:type="gramEnd"/>
      <w:r w:rsidRPr="001B6E4D">
        <w:rPr>
          <w:rFonts w:ascii="標楷體" w:eastAsia="標楷體" w:hAnsi="標楷體"/>
          <w:color w:val="000000"/>
          <w:sz w:val="28"/>
          <w:szCs w:val="28"/>
        </w:rPr>
        <w:t>，以將有限之財政資源集中，支援必須擴增的國防經費支出。【25】</w:t>
      </w:r>
    </w:p>
    <w:p w14:paraId="0ABF0464"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提案人：翁曉玲</w:t>
      </w:r>
    </w:p>
    <w:p w14:paraId="5D1813EB"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連署人：許宇</w:t>
      </w:r>
      <w:proofErr w:type="gramStart"/>
      <w:r w:rsidRPr="001B6E4D">
        <w:rPr>
          <w:rFonts w:ascii="標楷體" w:eastAsia="標楷體" w:hAnsi="標楷體" w:cs="Arial"/>
          <w:color w:val="000000"/>
          <w:sz w:val="28"/>
          <w:szCs w:val="28"/>
        </w:rPr>
        <w:t>甄</w:t>
      </w:r>
      <w:proofErr w:type="gramEnd"/>
      <w:r w:rsidRPr="001B6E4D">
        <w:rPr>
          <w:rFonts w:ascii="標楷體" w:eastAsia="標楷體" w:hAnsi="標楷體" w:cs="Arial"/>
          <w:color w:val="000000"/>
          <w:sz w:val="28"/>
          <w:szCs w:val="28"/>
        </w:rPr>
        <w:t xml:space="preserve">　林倩綺</w:t>
      </w:r>
    </w:p>
    <w:p w14:paraId="7FC102EC" w14:textId="77777777" w:rsidR="0051111F" w:rsidRPr="001B6E4D" w:rsidRDefault="0051111F" w:rsidP="003D1018">
      <w:pPr>
        <w:widowControl w:val="0"/>
        <w:overflowPunct w:val="0"/>
        <w:snapToGrid w:val="0"/>
        <w:ind w:leftChars="150" w:left="1201" w:hangingChars="300" w:hanging="841"/>
        <w:jc w:val="both"/>
        <w:rPr>
          <w:rFonts w:ascii="標楷體" w:eastAsia="標楷體" w:hAnsi="標楷體" w:cs="Arial"/>
          <w:b/>
          <w:sz w:val="28"/>
          <w:szCs w:val="28"/>
        </w:rPr>
      </w:pPr>
      <w:r w:rsidRPr="001B6E4D">
        <w:rPr>
          <w:rFonts w:ascii="標楷體" w:eastAsia="標楷體" w:hAnsi="標楷體" w:cs="Arial"/>
          <w:b/>
          <w:sz w:val="28"/>
          <w:szCs w:val="28"/>
        </w:rPr>
        <w:t>本項通過決議13項：</w:t>
      </w:r>
    </w:p>
    <w:p w14:paraId="2A9A0ECC"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w:t>
      </w:r>
      <w:proofErr w:type="gramStart"/>
      <w:r w:rsidRPr="001B6E4D">
        <w:rPr>
          <w:rFonts w:ascii="標楷體" w:eastAsia="標楷體" w:hAnsi="標楷體"/>
          <w:sz w:val="28"/>
          <w:szCs w:val="28"/>
        </w:rPr>
        <w:t>考選部歲出</w:t>
      </w:r>
      <w:proofErr w:type="gramEnd"/>
      <w:r w:rsidRPr="001B6E4D">
        <w:rPr>
          <w:rFonts w:ascii="標楷體" w:eastAsia="標楷體" w:hAnsi="標楷體"/>
          <w:sz w:val="28"/>
          <w:szCs w:val="28"/>
        </w:rPr>
        <w:t>預算第1目「一般行政」編列4億0,783萬1千元，凍結</w:t>
      </w:r>
      <w:r w:rsidRPr="001B6E4D">
        <w:rPr>
          <w:rFonts w:ascii="標楷體" w:eastAsia="標楷體" w:hAnsi="標楷體" w:hint="eastAsia"/>
          <w:sz w:val="28"/>
          <w:szCs w:val="28"/>
        </w:rPr>
        <w:t>94</w:t>
      </w:r>
      <w:r w:rsidRPr="001B6E4D">
        <w:rPr>
          <w:rFonts w:ascii="標楷體" w:eastAsia="標楷體" w:hAnsi="標楷體"/>
          <w:sz w:val="28"/>
          <w:szCs w:val="28"/>
        </w:rPr>
        <w:t>萬</w:t>
      </w:r>
      <w:r w:rsidRPr="001B6E4D">
        <w:rPr>
          <w:rFonts w:ascii="標楷體" w:eastAsia="標楷體" w:hAnsi="標楷體" w:hint="eastAsia"/>
          <w:sz w:val="28"/>
          <w:szCs w:val="28"/>
        </w:rPr>
        <w:t>2千</w:t>
      </w:r>
      <w:r w:rsidRPr="001B6E4D">
        <w:rPr>
          <w:rFonts w:ascii="標楷體" w:eastAsia="標楷體" w:hAnsi="標楷體"/>
          <w:sz w:val="28"/>
          <w:szCs w:val="28"/>
        </w:rPr>
        <w:t>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向立法院司法及法制委員會提出書面報告後，始得動支。</w:t>
      </w:r>
      <w:r w:rsidRPr="001B6E4D">
        <w:rPr>
          <w:rFonts w:ascii="標楷體" w:eastAsia="標楷體" w:hAnsi="標楷體" w:hint="eastAsia"/>
          <w:sz w:val="28"/>
          <w:szCs w:val="28"/>
        </w:rPr>
        <w:t>【</w:t>
      </w:r>
      <w:r w:rsidRPr="001B6E4D">
        <w:rPr>
          <w:rFonts w:ascii="標楷體" w:eastAsia="標楷體" w:hAnsi="標楷體"/>
          <w:sz w:val="28"/>
          <w:szCs w:val="28"/>
        </w:rPr>
        <w:t>2</w:t>
      </w:r>
      <w:r w:rsidRPr="001B6E4D">
        <w:rPr>
          <w:rFonts w:ascii="標楷體" w:eastAsia="標楷體" w:hAnsi="標楷體" w:hint="eastAsia"/>
          <w:sz w:val="28"/>
          <w:szCs w:val="28"/>
        </w:rPr>
        <w:t>4】</w:t>
      </w:r>
    </w:p>
    <w:p w14:paraId="733673B6"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提案人：吳宗憲</w:t>
      </w:r>
    </w:p>
    <w:p w14:paraId="0B01F186"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連署人：翁曉玲　林倩綺　羅智強</w:t>
      </w:r>
    </w:p>
    <w:p w14:paraId="649B6470"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(二)</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w:t>
      </w:r>
      <w:proofErr w:type="gramStart"/>
      <w:r w:rsidRPr="001B6E4D">
        <w:rPr>
          <w:rFonts w:ascii="標楷體" w:eastAsia="標楷體" w:hAnsi="標楷體"/>
          <w:sz w:val="28"/>
          <w:szCs w:val="28"/>
        </w:rPr>
        <w:t>考選部歲出</w:t>
      </w:r>
      <w:proofErr w:type="gramEnd"/>
      <w:r w:rsidRPr="001B6E4D">
        <w:rPr>
          <w:rFonts w:ascii="標楷體" w:eastAsia="標楷體" w:hAnsi="標楷體"/>
          <w:sz w:val="28"/>
          <w:szCs w:val="28"/>
        </w:rPr>
        <w:t>預算第2目「考試業務」編列1億5,106萬5千元，凍結</w:t>
      </w:r>
      <w:r w:rsidRPr="001B6E4D">
        <w:rPr>
          <w:rFonts w:ascii="標楷體" w:eastAsia="標楷體" w:hAnsi="標楷體" w:hint="eastAsia"/>
          <w:sz w:val="28"/>
          <w:szCs w:val="28"/>
        </w:rPr>
        <w:t>141萬1千</w:t>
      </w:r>
      <w:r w:rsidRPr="001B6E4D">
        <w:rPr>
          <w:rFonts w:ascii="標楷體" w:eastAsia="標楷體" w:hAnsi="標楷體"/>
          <w:sz w:val="28"/>
          <w:szCs w:val="28"/>
        </w:rPr>
        <w:t>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向立法院司法及法制委員會提出書面報告後，始得動支。【2</w:t>
      </w:r>
      <w:r w:rsidRPr="001B6E4D">
        <w:rPr>
          <w:rFonts w:ascii="標楷體" w:eastAsia="標楷體" w:hAnsi="標楷體" w:hint="eastAsia"/>
          <w:sz w:val="28"/>
          <w:szCs w:val="28"/>
        </w:rPr>
        <w:t>7</w:t>
      </w:r>
      <w:r w:rsidRPr="001B6E4D">
        <w:rPr>
          <w:rFonts w:ascii="標楷體" w:eastAsia="標楷體" w:hAnsi="標楷體"/>
          <w:sz w:val="28"/>
          <w:szCs w:val="28"/>
        </w:rPr>
        <w:t>】</w:t>
      </w:r>
    </w:p>
    <w:p w14:paraId="386916D2"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w:t>
      </w:r>
      <w:r w:rsidRPr="001B6E4D">
        <w:rPr>
          <w:rFonts w:ascii="標楷體" w:eastAsia="標楷體" w:hAnsi="標楷體" w:cs="Arial" w:hint="eastAsia"/>
          <w:color w:val="000000"/>
          <w:sz w:val="28"/>
          <w:szCs w:val="28"/>
        </w:rPr>
        <w:t>許宇</w:t>
      </w:r>
      <w:proofErr w:type="gramStart"/>
      <w:r w:rsidRPr="001B6E4D">
        <w:rPr>
          <w:rFonts w:ascii="標楷體" w:eastAsia="標楷體" w:hAnsi="標楷體" w:cs="Arial" w:hint="eastAsia"/>
          <w:color w:val="000000"/>
          <w:sz w:val="28"/>
          <w:szCs w:val="28"/>
        </w:rPr>
        <w:t>甄</w:t>
      </w:r>
      <w:proofErr w:type="gramEnd"/>
    </w:p>
    <w:p w14:paraId="329D52FA"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r w:rsidRPr="001B6E4D">
        <w:rPr>
          <w:rFonts w:ascii="標楷體" w:eastAsia="標楷體" w:hAnsi="標楷體" w:cs="Arial" w:hint="eastAsia"/>
          <w:color w:val="000000"/>
          <w:sz w:val="28"/>
          <w:szCs w:val="28"/>
        </w:rPr>
        <w:t>林沛祥　林倩綺</w:t>
      </w:r>
    </w:p>
    <w:p w14:paraId="58850EBF"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(三)</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w:t>
      </w:r>
      <w:proofErr w:type="gramStart"/>
      <w:r w:rsidRPr="001B6E4D">
        <w:rPr>
          <w:rFonts w:ascii="標楷體" w:eastAsia="標楷體" w:hAnsi="標楷體"/>
          <w:sz w:val="28"/>
          <w:szCs w:val="28"/>
        </w:rPr>
        <w:t>考選部歲出</w:t>
      </w:r>
      <w:proofErr w:type="gramEnd"/>
      <w:r w:rsidRPr="001B6E4D">
        <w:rPr>
          <w:rFonts w:ascii="標楷體" w:eastAsia="標楷體" w:hAnsi="標楷體"/>
          <w:sz w:val="28"/>
          <w:szCs w:val="28"/>
        </w:rPr>
        <w:t>預算第3目「考試業務研究改進」編列3,329萬7千元，凍結</w:t>
      </w:r>
      <w:r w:rsidRPr="001B6E4D">
        <w:rPr>
          <w:rFonts w:ascii="標楷體" w:eastAsia="標楷體" w:hAnsi="標楷體" w:hint="eastAsia"/>
          <w:sz w:val="28"/>
          <w:szCs w:val="28"/>
        </w:rPr>
        <w:t>20</w:t>
      </w:r>
      <w:r w:rsidRPr="001B6E4D">
        <w:rPr>
          <w:rFonts w:ascii="標楷體" w:eastAsia="標楷體" w:hAnsi="標楷體"/>
          <w:sz w:val="28"/>
          <w:szCs w:val="28"/>
        </w:rPr>
        <w:t>萬元，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w:t>
      </w:r>
      <w:r w:rsidRPr="001B6E4D">
        <w:rPr>
          <w:rFonts w:ascii="標楷體" w:eastAsia="標楷體" w:hAnsi="標楷體" w:hint="eastAsia"/>
          <w:sz w:val="28"/>
          <w:szCs w:val="28"/>
        </w:rPr>
        <w:t>，經同意後，</w:t>
      </w:r>
      <w:r w:rsidRPr="001B6E4D">
        <w:rPr>
          <w:rFonts w:ascii="標楷體" w:eastAsia="標楷體" w:hAnsi="標楷體"/>
          <w:sz w:val="28"/>
          <w:szCs w:val="28"/>
        </w:rPr>
        <w:t>始得動支。【</w:t>
      </w:r>
      <w:r w:rsidRPr="001B6E4D">
        <w:rPr>
          <w:rFonts w:ascii="標楷體" w:eastAsia="標楷體" w:hAnsi="標楷體" w:hint="eastAsia"/>
          <w:sz w:val="28"/>
          <w:szCs w:val="28"/>
        </w:rPr>
        <w:t>32</w:t>
      </w:r>
      <w:r w:rsidRPr="001B6E4D">
        <w:rPr>
          <w:rFonts w:ascii="標楷體" w:eastAsia="標楷體" w:hAnsi="標楷體"/>
          <w:sz w:val="28"/>
          <w:szCs w:val="28"/>
        </w:rPr>
        <w:t>】</w:t>
      </w:r>
    </w:p>
    <w:p w14:paraId="03938BA2"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提案人：林倩綺</w:t>
      </w:r>
    </w:p>
    <w:p w14:paraId="4E607BF3"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連署人：吳宗憲</w:t>
      </w:r>
      <w:r w:rsidRPr="001B6E4D">
        <w:rPr>
          <w:rFonts w:ascii="標楷體" w:eastAsia="標楷體" w:hAnsi="標楷體" w:cs="Arial"/>
          <w:color w:val="000000"/>
          <w:sz w:val="28"/>
          <w:szCs w:val="28"/>
        </w:rPr>
        <w:t xml:space="preserve">　翁曉玲</w:t>
      </w:r>
    </w:p>
    <w:p w14:paraId="667FF8A9"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(四)</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w:t>
      </w:r>
      <w:proofErr w:type="gramStart"/>
      <w:r w:rsidRPr="001B6E4D">
        <w:rPr>
          <w:rFonts w:ascii="標楷體" w:eastAsia="標楷體" w:hAnsi="標楷體"/>
          <w:sz w:val="28"/>
          <w:szCs w:val="28"/>
        </w:rPr>
        <w:t>考選部歲出</w:t>
      </w:r>
      <w:proofErr w:type="gramEnd"/>
      <w:r w:rsidRPr="001B6E4D">
        <w:rPr>
          <w:rFonts w:ascii="標楷體" w:eastAsia="標楷體" w:hAnsi="標楷體"/>
          <w:sz w:val="28"/>
          <w:szCs w:val="28"/>
        </w:rPr>
        <w:t>預算第4目「一般建築及設備」編列4億1,094萬5千元，凍結</w:t>
      </w:r>
      <w:r w:rsidRPr="001B6E4D">
        <w:rPr>
          <w:rFonts w:ascii="標楷體" w:eastAsia="標楷體" w:hAnsi="標楷體" w:hint="eastAsia"/>
          <w:sz w:val="28"/>
          <w:szCs w:val="28"/>
        </w:rPr>
        <w:t>4</w:t>
      </w:r>
      <w:r w:rsidRPr="001B6E4D">
        <w:rPr>
          <w:rFonts w:ascii="標楷體" w:eastAsia="標楷體" w:hAnsi="標楷體"/>
          <w:sz w:val="28"/>
          <w:szCs w:val="28"/>
        </w:rPr>
        <w:t>,</w:t>
      </w:r>
      <w:r w:rsidRPr="001B6E4D">
        <w:rPr>
          <w:rFonts w:ascii="標楷體" w:eastAsia="標楷體" w:hAnsi="標楷體" w:hint="eastAsia"/>
          <w:sz w:val="28"/>
          <w:szCs w:val="28"/>
        </w:rPr>
        <w:t>109</w:t>
      </w:r>
      <w:r w:rsidRPr="001B6E4D">
        <w:rPr>
          <w:rFonts w:ascii="標楷體" w:eastAsia="標楷體" w:hAnsi="標楷體"/>
          <w:sz w:val="28"/>
          <w:szCs w:val="28"/>
        </w:rPr>
        <w:t>萬</w:t>
      </w:r>
      <w:r w:rsidRPr="001B6E4D">
        <w:rPr>
          <w:rFonts w:ascii="標楷體" w:eastAsia="標楷體" w:hAnsi="標楷體" w:hint="eastAsia"/>
          <w:sz w:val="28"/>
          <w:szCs w:val="28"/>
        </w:rPr>
        <w:t>5千</w:t>
      </w:r>
      <w:r w:rsidRPr="001B6E4D">
        <w:rPr>
          <w:rFonts w:ascii="標楷體" w:eastAsia="標楷體" w:hAnsi="標楷體"/>
          <w:sz w:val="28"/>
          <w:szCs w:val="28"/>
        </w:rPr>
        <w:t>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w:t>
      </w:r>
      <w:r w:rsidRPr="001B6E4D">
        <w:rPr>
          <w:rFonts w:ascii="標楷體" w:eastAsia="標楷體" w:hAnsi="標楷體" w:hint="eastAsia"/>
          <w:sz w:val="28"/>
          <w:szCs w:val="28"/>
        </w:rPr>
        <w:t>，經同意後，</w:t>
      </w:r>
      <w:r w:rsidRPr="001B6E4D">
        <w:rPr>
          <w:rFonts w:ascii="標楷體" w:eastAsia="標楷體" w:hAnsi="標楷體"/>
          <w:sz w:val="28"/>
          <w:szCs w:val="28"/>
        </w:rPr>
        <w:t>始得動支。【</w:t>
      </w:r>
      <w:r w:rsidRPr="001B6E4D">
        <w:rPr>
          <w:rFonts w:ascii="標楷體" w:eastAsia="標楷體" w:hAnsi="標楷體" w:hint="eastAsia"/>
          <w:sz w:val="28"/>
          <w:szCs w:val="28"/>
        </w:rPr>
        <w:t>3</w:t>
      </w:r>
      <w:r w:rsidRPr="001B6E4D">
        <w:rPr>
          <w:rFonts w:ascii="標楷體" w:eastAsia="標楷體" w:hAnsi="標楷體"/>
          <w:sz w:val="28"/>
          <w:szCs w:val="28"/>
        </w:rPr>
        <w:t>3</w:t>
      </w:r>
      <w:r w:rsidRPr="001B6E4D">
        <w:rPr>
          <w:rFonts w:ascii="標楷體" w:eastAsia="標楷體" w:hAnsi="標楷體" w:hint="eastAsia"/>
          <w:sz w:val="28"/>
          <w:szCs w:val="28"/>
        </w:rPr>
        <w:t>、</w:t>
      </w:r>
      <w:r w:rsidRPr="001B6E4D">
        <w:rPr>
          <w:rFonts w:ascii="標楷體" w:eastAsia="標楷體" w:hAnsi="標楷體"/>
          <w:sz w:val="28"/>
          <w:szCs w:val="28"/>
        </w:rPr>
        <w:t>34】</w:t>
      </w:r>
    </w:p>
    <w:p w14:paraId="56734E00" w14:textId="6FBE8DEC"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w:t>
      </w:r>
      <w:r w:rsidRPr="001B6E4D">
        <w:rPr>
          <w:rFonts w:ascii="標楷體" w:eastAsia="標楷體" w:hAnsi="標楷體" w:cs="Arial" w:hint="eastAsia"/>
          <w:color w:val="000000"/>
          <w:sz w:val="28"/>
          <w:szCs w:val="28"/>
        </w:rPr>
        <w:t>許宇</w:t>
      </w:r>
      <w:proofErr w:type="gramStart"/>
      <w:r w:rsidRPr="001B6E4D">
        <w:rPr>
          <w:rFonts w:ascii="標楷體" w:eastAsia="標楷體" w:hAnsi="標楷體" w:cs="Arial" w:hint="eastAsia"/>
          <w:color w:val="000000"/>
          <w:sz w:val="28"/>
          <w:szCs w:val="28"/>
        </w:rPr>
        <w:t>甄</w:t>
      </w:r>
      <w:proofErr w:type="gramEnd"/>
      <w:r w:rsidR="004327FC">
        <w:rPr>
          <w:rFonts w:ascii="標楷體" w:eastAsia="標楷體" w:hAnsi="標楷體" w:cs="Arial" w:hint="eastAsia"/>
          <w:color w:val="000000"/>
          <w:sz w:val="28"/>
          <w:szCs w:val="28"/>
        </w:rPr>
        <w:t xml:space="preserve"> </w:t>
      </w:r>
      <w:r w:rsidRPr="001B6E4D">
        <w:rPr>
          <w:rFonts w:ascii="標楷體" w:eastAsia="標楷體" w:hAnsi="標楷體" w:cs="Arial" w:hint="eastAsia"/>
          <w:color w:val="000000"/>
          <w:sz w:val="28"/>
          <w:szCs w:val="28"/>
        </w:rPr>
        <w:t>張雅琳</w:t>
      </w:r>
    </w:p>
    <w:p w14:paraId="20843157"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FF0000"/>
          <w:sz w:val="28"/>
          <w:szCs w:val="28"/>
        </w:rPr>
      </w:pPr>
      <w:r w:rsidRPr="001B6E4D">
        <w:rPr>
          <w:rFonts w:ascii="標楷體" w:eastAsia="標楷體" w:hAnsi="標楷體" w:cs="Arial"/>
          <w:color w:val="000000"/>
          <w:sz w:val="28"/>
          <w:szCs w:val="28"/>
        </w:rPr>
        <w:t>連署人：</w:t>
      </w:r>
      <w:r w:rsidRPr="001B6E4D">
        <w:rPr>
          <w:rFonts w:ascii="標楷體" w:eastAsia="標楷體" w:hAnsi="標楷體" w:cs="Arial" w:hint="eastAsia"/>
          <w:color w:val="000000"/>
          <w:spacing w:val="-12"/>
          <w:sz w:val="28"/>
          <w:szCs w:val="28"/>
        </w:rPr>
        <w:t xml:space="preserve">林沛祥　林倩綺　</w:t>
      </w:r>
      <w:proofErr w:type="gramStart"/>
      <w:r w:rsidRPr="001B6E4D">
        <w:rPr>
          <w:rFonts w:ascii="標楷體" w:eastAsia="標楷體" w:hAnsi="標楷體" w:cs="Arial" w:hint="eastAsia"/>
          <w:color w:val="000000"/>
          <w:spacing w:val="-12"/>
          <w:sz w:val="28"/>
          <w:szCs w:val="28"/>
        </w:rPr>
        <w:t>范</w:t>
      </w:r>
      <w:proofErr w:type="gramEnd"/>
      <w:r w:rsidRPr="001B6E4D">
        <w:rPr>
          <w:rFonts w:ascii="標楷體" w:eastAsia="標楷體" w:hAnsi="標楷體" w:cs="Arial" w:hint="eastAsia"/>
          <w:color w:val="000000"/>
          <w:spacing w:val="-12"/>
          <w:sz w:val="28"/>
          <w:szCs w:val="28"/>
        </w:rPr>
        <w:t xml:space="preserve">　雲　沈發惠</w:t>
      </w:r>
    </w:p>
    <w:p w14:paraId="0A659A32"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sz w:val="28"/>
          <w:szCs w:val="28"/>
        </w:rPr>
        <w:t>(</w:t>
      </w:r>
      <w:r w:rsidRPr="001B6E4D">
        <w:rPr>
          <w:rFonts w:ascii="標楷體" w:eastAsia="標楷體" w:hAnsi="標楷體" w:hint="eastAsia"/>
          <w:sz w:val="28"/>
          <w:szCs w:val="28"/>
        </w:rPr>
        <w:t>五</w:t>
      </w:r>
      <w:r w:rsidRPr="001B6E4D">
        <w:rPr>
          <w:rFonts w:ascii="標楷體" w:eastAsia="標楷體" w:hAnsi="標楷體"/>
          <w:sz w:val="28"/>
          <w:szCs w:val="28"/>
        </w:rPr>
        <w:t>)</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年度考選部預算案於第2目「考試業務」項下「對考選業務基金國家考試數位轉型發展及推動輔助」編列預算7,285萬5千元。</w:t>
      </w:r>
    </w:p>
    <w:p w14:paraId="76D91D7E"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用以深化國家考試</w:t>
      </w:r>
      <w:proofErr w:type="gramStart"/>
      <w:r w:rsidRPr="001B6E4D">
        <w:rPr>
          <w:rFonts w:ascii="標楷體" w:eastAsia="標楷體" w:hAnsi="標楷體"/>
          <w:color w:val="000000"/>
          <w:sz w:val="28"/>
          <w:szCs w:val="28"/>
        </w:rPr>
        <w:t>試務</w:t>
      </w:r>
      <w:proofErr w:type="gramEnd"/>
      <w:r w:rsidRPr="001B6E4D">
        <w:rPr>
          <w:rFonts w:ascii="標楷體" w:eastAsia="標楷體" w:hAnsi="標楷體"/>
          <w:color w:val="000000"/>
          <w:sz w:val="28"/>
          <w:szCs w:val="28"/>
        </w:rPr>
        <w:t>資訊化、增辦電腦化測驗類科、強化電腦化測驗試場安全防護措施、建立應考數位服務機制、規劃命題數位化管理及精進數位化閱卷系統，惟</w:t>
      </w:r>
      <w:proofErr w:type="gramStart"/>
      <w:r w:rsidRPr="001B6E4D">
        <w:rPr>
          <w:rFonts w:ascii="標楷體" w:eastAsia="標楷體" w:hAnsi="標楷體"/>
          <w:color w:val="000000"/>
          <w:sz w:val="28"/>
          <w:szCs w:val="28"/>
        </w:rPr>
        <w:t>考選部尚</w:t>
      </w:r>
      <w:r w:rsidRPr="001B6E4D">
        <w:rPr>
          <w:rFonts w:ascii="標楷體" w:eastAsia="標楷體" w:hAnsi="標楷體" w:hint="eastAsia"/>
          <w:color w:val="000000"/>
          <w:sz w:val="28"/>
          <w:szCs w:val="28"/>
        </w:rPr>
        <w:t>缺</w:t>
      </w:r>
      <w:r w:rsidRPr="001B6E4D">
        <w:rPr>
          <w:rFonts w:ascii="標楷體" w:eastAsia="標楷體" w:hAnsi="標楷體"/>
          <w:color w:val="000000"/>
          <w:sz w:val="28"/>
          <w:szCs w:val="28"/>
        </w:rPr>
        <w:t>乏</w:t>
      </w:r>
      <w:proofErr w:type="gramEnd"/>
      <w:r w:rsidRPr="001B6E4D">
        <w:rPr>
          <w:rFonts w:ascii="標楷體" w:eastAsia="標楷體" w:hAnsi="標楷體"/>
          <w:color w:val="000000"/>
          <w:sz w:val="28"/>
          <w:szCs w:val="28"/>
        </w:rPr>
        <w:t>充分而明確之說明，致難以據以審認其實際辦理內容、資源配置</w:t>
      </w:r>
      <w:r w:rsidRPr="001B6E4D">
        <w:rPr>
          <w:rFonts w:ascii="標楷體" w:eastAsia="標楷體" w:hAnsi="標楷體"/>
          <w:color w:val="000000"/>
          <w:sz w:val="28"/>
          <w:szCs w:val="28"/>
        </w:rPr>
        <w:lastRenderedPageBreak/>
        <w:t>之妥適性及預算編列之必要性。</w:t>
      </w:r>
    </w:p>
    <w:p w14:paraId="024D66DC"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請</w:t>
      </w:r>
      <w:proofErr w:type="gramStart"/>
      <w:r w:rsidRPr="001B6E4D">
        <w:rPr>
          <w:rFonts w:ascii="標楷體" w:eastAsia="標楷體" w:hAnsi="標楷體"/>
          <w:color w:val="000000"/>
          <w:sz w:val="28"/>
          <w:szCs w:val="28"/>
        </w:rPr>
        <w:t>考選部於3個月</w:t>
      </w:r>
      <w:proofErr w:type="gramEnd"/>
      <w:r w:rsidRPr="001B6E4D">
        <w:rPr>
          <w:rFonts w:ascii="標楷體" w:eastAsia="標楷體" w:hAnsi="標楷體"/>
          <w:color w:val="000000"/>
          <w:sz w:val="28"/>
          <w:szCs w:val="28"/>
        </w:rPr>
        <w:t>內向立法院司法及法制委員會提出書面報告。【26】</w:t>
      </w:r>
    </w:p>
    <w:p w14:paraId="6E6FB19A"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提案人：沈發惠</w:t>
      </w:r>
    </w:p>
    <w:p w14:paraId="4DFD5D2E"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FF0000"/>
          <w:sz w:val="28"/>
          <w:szCs w:val="28"/>
        </w:rPr>
      </w:pPr>
      <w:r w:rsidRPr="001B6E4D">
        <w:rPr>
          <w:rFonts w:ascii="標楷體" w:eastAsia="標楷體" w:hAnsi="標楷體" w:cs="Arial"/>
          <w:color w:val="000000"/>
          <w:sz w:val="28"/>
          <w:szCs w:val="28"/>
        </w:rPr>
        <w:t xml:space="preserve">連署人：張雅琳　</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0BEC7E6A"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(六)</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年度考選部預算案於第3目</w:t>
      </w:r>
      <w:r w:rsidRPr="001B6E4D">
        <w:rPr>
          <w:rFonts w:ascii="標楷體" w:eastAsia="標楷體" w:hAnsi="標楷體" w:hint="eastAsia"/>
          <w:color w:val="000000"/>
          <w:sz w:val="28"/>
          <w:szCs w:val="28"/>
        </w:rPr>
        <w:t>「考試業務研究改進」第</w:t>
      </w:r>
      <w:r w:rsidRPr="001B6E4D">
        <w:rPr>
          <w:rFonts w:ascii="標楷體" w:eastAsia="標楷體" w:hAnsi="標楷體"/>
          <w:color w:val="000000"/>
          <w:sz w:val="28"/>
          <w:szCs w:val="28"/>
        </w:rPr>
        <w:t>1節</w:t>
      </w:r>
      <w:r w:rsidRPr="001B6E4D">
        <w:rPr>
          <w:rFonts w:ascii="標楷體" w:eastAsia="標楷體" w:hAnsi="標楷體"/>
          <w:sz w:val="28"/>
          <w:szCs w:val="28"/>
        </w:rPr>
        <w:t>「試題</w:t>
      </w:r>
      <w:proofErr w:type="gramStart"/>
      <w:r w:rsidRPr="001B6E4D">
        <w:rPr>
          <w:rFonts w:ascii="標楷體" w:eastAsia="標楷體" w:hAnsi="標楷體"/>
          <w:sz w:val="28"/>
          <w:szCs w:val="28"/>
        </w:rPr>
        <w:t>研</w:t>
      </w:r>
      <w:proofErr w:type="gramEnd"/>
      <w:r w:rsidRPr="001B6E4D">
        <w:rPr>
          <w:rFonts w:ascii="標楷體" w:eastAsia="標楷體" w:hAnsi="標楷體"/>
          <w:sz w:val="28"/>
          <w:szCs w:val="28"/>
        </w:rPr>
        <w:t>編及審查」編列預算1,835萬3千元，較</w:t>
      </w:r>
      <w:proofErr w:type="gramStart"/>
      <w:r w:rsidRPr="001B6E4D">
        <w:rPr>
          <w:rFonts w:ascii="標楷體" w:eastAsia="標楷體" w:hAnsi="標楷體"/>
          <w:sz w:val="28"/>
          <w:szCs w:val="28"/>
        </w:rPr>
        <w:t>114</w:t>
      </w:r>
      <w:proofErr w:type="gramEnd"/>
      <w:r w:rsidRPr="001B6E4D">
        <w:rPr>
          <w:rFonts w:ascii="標楷體" w:eastAsia="標楷體" w:hAnsi="標楷體"/>
          <w:sz w:val="28"/>
          <w:szCs w:val="28"/>
        </w:rPr>
        <w:t>年度1,7</w:t>
      </w:r>
      <w:r w:rsidRPr="001B6E4D">
        <w:rPr>
          <w:rFonts w:ascii="標楷體" w:eastAsia="標楷體" w:hAnsi="標楷體"/>
          <w:color w:val="000000"/>
          <w:sz w:val="28"/>
          <w:szCs w:val="28"/>
        </w:rPr>
        <w:t>08</w:t>
      </w:r>
      <w:r w:rsidRPr="001B6E4D">
        <w:rPr>
          <w:rFonts w:ascii="標楷體" w:eastAsia="標楷體" w:hAnsi="標楷體"/>
          <w:sz w:val="28"/>
          <w:szCs w:val="28"/>
        </w:rPr>
        <w:t>萬</w:t>
      </w:r>
      <w:r w:rsidRPr="001B6E4D">
        <w:rPr>
          <w:rFonts w:ascii="標楷體" w:eastAsia="標楷體" w:hAnsi="標楷體"/>
          <w:color w:val="000000"/>
          <w:sz w:val="28"/>
          <w:szCs w:val="28"/>
        </w:rPr>
        <w:t>5</w:t>
      </w:r>
      <w:r w:rsidRPr="001B6E4D">
        <w:rPr>
          <w:rFonts w:ascii="標楷體" w:eastAsia="標楷體" w:hAnsi="標楷體"/>
          <w:sz w:val="28"/>
          <w:szCs w:val="28"/>
        </w:rPr>
        <w:t>千元，增加</w:t>
      </w:r>
      <w:r w:rsidRPr="001B6E4D">
        <w:rPr>
          <w:rFonts w:ascii="標楷體" w:eastAsia="標楷體" w:hAnsi="標楷體"/>
          <w:color w:val="000000"/>
          <w:sz w:val="28"/>
          <w:szCs w:val="28"/>
        </w:rPr>
        <w:t>126</w:t>
      </w:r>
      <w:r w:rsidRPr="001B6E4D">
        <w:rPr>
          <w:rFonts w:ascii="標楷體" w:eastAsia="標楷體" w:hAnsi="標楷體"/>
          <w:sz w:val="28"/>
          <w:szCs w:val="28"/>
        </w:rPr>
        <w:t>萬</w:t>
      </w:r>
      <w:r w:rsidRPr="001B6E4D">
        <w:rPr>
          <w:rFonts w:ascii="標楷體" w:eastAsia="標楷體" w:hAnsi="標楷體"/>
          <w:color w:val="000000"/>
          <w:sz w:val="28"/>
          <w:szCs w:val="28"/>
        </w:rPr>
        <w:t>8</w:t>
      </w:r>
      <w:r w:rsidRPr="001B6E4D">
        <w:rPr>
          <w:rFonts w:ascii="標楷體" w:eastAsia="標楷體" w:hAnsi="標楷體"/>
          <w:sz w:val="28"/>
          <w:szCs w:val="28"/>
        </w:rPr>
        <w:t>千元，增幅約</w:t>
      </w:r>
      <w:r w:rsidRPr="001B6E4D">
        <w:rPr>
          <w:rFonts w:ascii="標楷體" w:eastAsia="標楷體" w:hAnsi="標楷體"/>
          <w:color w:val="000000"/>
          <w:sz w:val="28"/>
          <w:szCs w:val="28"/>
        </w:rPr>
        <w:t>7</w:t>
      </w:r>
      <w:r w:rsidRPr="001B6E4D">
        <w:rPr>
          <w:rFonts w:ascii="標楷體" w:eastAsia="標楷體" w:hAnsi="標楷體"/>
          <w:sz w:val="28"/>
          <w:szCs w:val="28"/>
        </w:rPr>
        <w:t>.4</w:t>
      </w:r>
      <w:r w:rsidRPr="001B6E4D">
        <w:rPr>
          <w:rFonts w:ascii="標楷體" w:eastAsia="標楷體" w:hAnsi="標楷體"/>
          <w:color w:val="000000"/>
          <w:sz w:val="28"/>
          <w:szCs w:val="28"/>
        </w:rPr>
        <w:t>2</w:t>
      </w:r>
      <w:r w:rsidRPr="001B6E4D">
        <w:rPr>
          <w:rFonts w:ascii="標楷體" w:eastAsia="標楷體" w:hAnsi="標楷體"/>
          <w:sz w:val="28"/>
          <w:szCs w:val="28"/>
        </w:rPr>
        <w:t>%，係辦理國家考試題庫建置、試題</w:t>
      </w:r>
      <w:proofErr w:type="gramStart"/>
      <w:r w:rsidRPr="001B6E4D">
        <w:rPr>
          <w:rFonts w:ascii="標楷體" w:eastAsia="標楷體" w:hAnsi="標楷體"/>
          <w:sz w:val="28"/>
          <w:szCs w:val="28"/>
        </w:rPr>
        <w:t>研</w:t>
      </w:r>
      <w:proofErr w:type="gramEnd"/>
      <w:r w:rsidRPr="001B6E4D">
        <w:rPr>
          <w:rFonts w:ascii="標楷體" w:eastAsia="標楷體" w:hAnsi="標楷體"/>
          <w:sz w:val="28"/>
          <w:szCs w:val="28"/>
        </w:rPr>
        <w:t>編及審查等業務。然近年公務人員高普考試錄取</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足額情形持續存在，110至113年度錄取</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足額人數分別為293人、30人</w:t>
      </w:r>
      <w:r w:rsidRPr="001B6E4D">
        <w:rPr>
          <w:rFonts w:ascii="標楷體" w:eastAsia="標楷體" w:hAnsi="標楷體" w:hint="eastAsia"/>
          <w:color w:val="000000"/>
          <w:sz w:val="28"/>
          <w:szCs w:val="28"/>
        </w:rPr>
        <w:t>、</w:t>
      </w:r>
      <w:r w:rsidRPr="001B6E4D">
        <w:rPr>
          <w:rFonts w:ascii="標楷體" w:eastAsia="標楷體" w:hAnsi="標楷體"/>
          <w:sz w:val="28"/>
          <w:szCs w:val="28"/>
        </w:rPr>
        <w:t>268人及361人，</w:t>
      </w:r>
      <w:proofErr w:type="gramStart"/>
      <w:r w:rsidRPr="001B6E4D">
        <w:rPr>
          <w:rFonts w:ascii="標楷體" w:eastAsia="標楷體" w:hAnsi="標楷體"/>
          <w:sz w:val="28"/>
          <w:szCs w:val="28"/>
        </w:rPr>
        <w:t>113</w:t>
      </w:r>
      <w:proofErr w:type="gramEnd"/>
      <w:r w:rsidRPr="001B6E4D">
        <w:rPr>
          <w:rFonts w:ascii="標楷體" w:eastAsia="標楷體" w:hAnsi="標楷體"/>
          <w:sz w:val="28"/>
          <w:szCs w:val="28"/>
        </w:rPr>
        <w:t>年度</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足額率達6.16%，較</w:t>
      </w:r>
      <w:proofErr w:type="gramStart"/>
      <w:r w:rsidRPr="001B6E4D">
        <w:rPr>
          <w:rFonts w:ascii="標楷體" w:eastAsia="標楷體" w:hAnsi="標楷體"/>
          <w:sz w:val="28"/>
          <w:szCs w:val="28"/>
        </w:rPr>
        <w:t>112</w:t>
      </w:r>
      <w:proofErr w:type="gramEnd"/>
      <w:r w:rsidRPr="001B6E4D">
        <w:rPr>
          <w:rFonts w:ascii="標楷體" w:eastAsia="標楷體" w:hAnsi="標楷體"/>
          <w:sz w:val="28"/>
          <w:szCs w:val="28"/>
        </w:rPr>
        <w:t>年度增加0.74個百分點。</w:t>
      </w:r>
      <w:proofErr w:type="gramStart"/>
      <w:r w:rsidRPr="001B6E4D">
        <w:rPr>
          <w:rFonts w:ascii="標楷體" w:eastAsia="標楷體" w:hAnsi="標楷體"/>
          <w:sz w:val="28"/>
          <w:szCs w:val="28"/>
        </w:rPr>
        <w:t>113</w:t>
      </w:r>
      <w:proofErr w:type="gramEnd"/>
      <w:r w:rsidRPr="001B6E4D">
        <w:rPr>
          <w:rFonts w:ascii="標楷體" w:eastAsia="標楷體" w:hAnsi="標楷體"/>
          <w:sz w:val="28"/>
          <w:szCs w:val="28"/>
        </w:rPr>
        <w:t>年度高普考試共設157類科，其中18類科</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足額錄取，占11.46%，且除高考三級僑務行政外，</w:t>
      </w:r>
      <w:proofErr w:type="gramStart"/>
      <w:r w:rsidRPr="001B6E4D">
        <w:rPr>
          <w:rFonts w:ascii="標楷體" w:eastAsia="標楷體" w:hAnsi="標楷體"/>
          <w:sz w:val="28"/>
          <w:szCs w:val="28"/>
        </w:rPr>
        <w:t>其餘均為技術</w:t>
      </w:r>
      <w:proofErr w:type="gramEnd"/>
      <w:r w:rsidRPr="001B6E4D">
        <w:rPr>
          <w:rFonts w:ascii="標楷體" w:eastAsia="標楷體" w:hAnsi="標楷體"/>
          <w:sz w:val="28"/>
          <w:szCs w:val="28"/>
        </w:rPr>
        <w:t>類科，以土木工程類科情形最為嚴重，高考三級連續2年</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足額錄取逾百人，普通考試亦出現</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足額情形；另環境工程、機械工程、電力工程、藥事、公職獸醫師及建築工程等類科，亦連續2年出現</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足額錄取，恐影響機關人力運用及專業人力補實。</w:t>
      </w:r>
    </w:p>
    <w:p w14:paraId="0ABA4DAD"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考選部於</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足額問題尚未有效改善前，仍持續增加試題</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編及審查經費，卻未見針對考試鑑別度、專業職能需求</w:t>
      </w:r>
      <w:proofErr w:type="gramStart"/>
      <w:r w:rsidRPr="001B6E4D">
        <w:rPr>
          <w:rFonts w:ascii="標楷體" w:eastAsia="標楷體" w:hAnsi="標楷體"/>
          <w:color w:val="000000"/>
          <w:sz w:val="28"/>
          <w:szCs w:val="28"/>
        </w:rPr>
        <w:t>及攬才</w:t>
      </w:r>
      <w:proofErr w:type="gramEnd"/>
      <w:r w:rsidRPr="001B6E4D">
        <w:rPr>
          <w:rFonts w:ascii="標楷體" w:eastAsia="標楷體" w:hAnsi="標楷體"/>
          <w:color w:val="000000"/>
          <w:sz w:val="28"/>
          <w:szCs w:val="28"/>
        </w:rPr>
        <w:t>機制提出具體改革成果，預算效益顯有檢討空間。</w:t>
      </w:r>
    </w:p>
    <w:p w14:paraId="28429CEC"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請</w:t>
      </w:r>
      <w:proofErr w:type="gramStart"/>
      <w:r w:rsidRPr="001B6E4D">
        <w:rPr>
          <w:rFonts w:ascii="標楷體" w:eastAsia="標楷體" w:hAnsi="標楷體"/>
          <w:color w:val="000000"/>
          <w:sz w:val="28"/>
          <w:szCs w:val="28"/>
        </w:rPr>
        <w:t>考選部於3個月</w:t>
      </w:r>
      <w:proofErr w:type="gramEnd"/>
      <w:r w:rsidRPr="001B6E4D">
        <w:rPr>
          <w:rFonts w:ascii="標楷體" w:eastAsia="標楷體" w:hAnsi="標楷體"/>
          <w:color w:val="000000"/>
          <w:sz w:val="28"/>
          <w:szCs w:val="28"/>
        </w:rPr>
        <w:t>內向立法院司法及法制委員會提出</w:t>
      </w:r>
      <w:r w:rsidRPr="001B6E4D">
        <w:rPr>
          <w:rFonts w:ascii="標楷體" w:eastAsia="標楷體" w:hAnsi="標楷體" w:hint="eastAsia"/>
          <w:color w:val="000000"/>
          <w:sz w:val="28"/>
          <w:szCs w:val="28"/>
        </w:rPr>
        <w:t>書面</w:t>
      </w:r>
      <w:r w:rsidRPr="001B6E4D">
        <w:rPr>
          <w:rFonts w:ascii="標楷體" w:eastAsia="標楷體" w:hAnsi="標楷體"/>
          <w:color w:val="000000"/>
          <w:sz w:val="28"/>
          <w:szCs w:val="28"/>
        </w:rPr>
        <w:t>報告，說明改善</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足額錄取及強化考試與實務職能接軌之具體作為。【28】</w:t>
      </w:r>
    </w:p>
    <w:p w14:paraId="1E8AD09E"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提案人：許宇</w:t>
      </w:r>
      <w:proofErr w:type="gramStart"/>
      <w:r w:rsidRPr="001B6E4D">
        <w:rPr>
          <w:rFonts w:ascii="標楷體" w:eastAsia="標楷體" w:hAnsi="標楷體" w:cs="Arial"/>
          <w:color w:val="000000"/>
          <w:sz w:val="28"/>
          <w:szCs w:val="28"/>
        </w:rPr>
        <w:t>甄</w:t>
      </w:r>
      <w:proofErr w:type="gramEnd"/>
    </w:p>
    <w:p w14:paraId="4E7210CB"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連署人：林沛祥　林倩綺</w:t>
      </w:r>
    </w:p>
    <w:p w14:paraId="08FB1BF5"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(七)</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年度考選部預算案於第3目「考試業務研究改進」第3節「研究發展及宣導」項下「考試業務之研究改進」編列預算365萬9千元。查</w:t>
      </w:r>
      <w:proofErr w:type="gramStart"/>
      <w:r w:rsidRPr="001B6E4D">
        <w:rPr>
          <w:rFonts w:ascii="標楷體" w:eastAsia="標楷體" w:hAnsi="標楷體" w:hint="eastAsia"/>
          <w:sz w:val="28"/>
          <w:szCs w:val="28"/>
        </w:rPr>
        <w:t>臺</w:t>
      </w:r>
      <w:proofErr w:type="gramEnd"/>
      <w:r w:rsidRPr="001B6E4D">
        <w:rPr>
          <w:rFonts w:ascii="標楷體" w:eastAsia="標楷體" w:hAnsi="標楷體"/>
          <w:sz w:val="28"/>
          <w:szCs w:val="28"/>
        </w:rPr>
        <w:t>中市</w:t>
      </w:r>
      <w:r w:rsidRPr="001B6E4D">
        <w:rPr>
          <w:rFonts w:ascii="標楷體" w:eastAsia="標楷體" w:hAnsi="標楷體" w:hint="eastAsia"/>
          <w:sz w:val="28"/>
          <w:szCs w:val="28"/>
        </w:rPr>
        <w:t>政府</w:t>
      </w:r>
      <w:r w:rsidRPr="001B6E4D">
        <w:rPr>
          <w:rFonts w:ascii="標楷體" w:eastAsia="標楷體" w:hAnsi="標楷體"/>
          <w:sz w:val="28"/>
          <w:szCs w:val="28"/>
        </w:rPr>
        <w:t>交通局前處長性</w:t>
      </w:r>
      <w:proofErr w:type="gramStart"/>
      <w:r w:rsidRPr="001B6E4D">
        <w:rPr>
          <w:rFonts w:ascii="標楷體" w:eastAsia="標楷體" w:hAnsi="標楷體"/>
          <w:sz w:val="28"/>
          <w:szCs w:val="28"/>
        </w:rPr>
        <w:t>騷</w:t>
      </w:r>
      <w:proofErr w:type="gramEnd"/>
      <w:r w:rsidRPr="001B6E4D">
        <w:rPr>
          <w:rFonts w:ascii="標楷體" w:eastAsia="標楷體" w:hAnsi="標楷體"/>
          <w:sz w:val="28"/>
          <w:szCs w:val="28"/>
        </w:rPr>
        <w:t>、</w:t>
      </w:r>
      <w:proofErr w:type="gramStart"/>
      <w:r w:rsidRPr="001B6E4D">
        <w:rPr>
          <w:rFonts w:ascii="標楷體" w:eastAsia="標楷體" w:hAnsi="標楷體"/>
          <w:sz w:val="28"/>
          <w:szCs w:val="28"/>
        </w:rPr>
        <w:t>霸凌同事</w:t>
      </w:r>
      <w:proofErr w:type="gramEnd"/>
      <w:r w:rsidRPr="001B6E4D">
        <w:rPr>
          <w:rFonts w:ascii="標楷體" w:eastAsia="標楷體" w:hAnsi="標楷體"/>
          <w:sz w:val="28"/>
          <w:szCs w:val="28"/>
        </w:rPr>
        <w:t>遭</w:t>
      </w:r>
      <w:r w:rsidRPr="001B6E4D">
        <w:rPr>
          <w:rFonts w:ascii="標楷體" w:eastAsia="標楷體" w:hAnsi="標楷體" w:hint="eastAsia"/>
          <w:sz w:val="28"/>
          <w:szCs w:val="28"/>
        </w:rPr>
        <w:t>記</w:t>
      </w:r>
      <w:r w:rsidRPr="001B6E4D">
        <w:rPr>
          <w:rFonts w:ascii="標楷體" w:eastAsia="標楷體" w:hAnsi="標楷體"/>
          <w:sz w:val="28"/>
          <w:szCs w:val="28"/>
        </w:rPr>
        <w:t>兩大過</w:t>
      </w:r>
      <w:r w:rsidRPr="001B6E4D">
        <w:rPr>
          <w:rFonts w:ascii="標楷體" w:eastAsia="標楷體" w:hAnsi="標楷體" w:hint="eastAsia"/>
          <w:sz w:val="28"/>
          <w:szCs w:val="28"/>
        </w:rPr>
        <w:t>考績</w:t>
      </w:r>
      <w:r w:rsidRPr="001B6E4D">
        <w:rPr>
          <w:rFonts w:ascii="標楷體" w:eastAsia="標楷體" w:hAnsi="標楷體"/>
          <w:sz w:val="28"/>
          <w:szCs w:val="28"/>
        </w:rPr>
        <w:t>免職後，因未送懲戒，使其再度透過國家考試回任公務員，且能銜接年資領取退休金。此情形已違背免職之意義，且危及公務體系職場安全。考選部應</w:t>
      </w:r>
      <w:proofErr w:type="gramStart"/>
      <w:r w:rsidRPr="001B6E4D">
        <w:rPr>
          <w:rFonts w:ascii="標楷體" w:eastAsia="標楷體" w:hAnsi="標楷體"/>
          <w:sz w:val="28"/>
          <w:szCs w:val="28"/>
        </w:rPr>
        <w:t>研</w:t>
      </w:r>
      <w:proofErr w:type="gramEnd"/>
      <w:r w:rsidRPr="001B6E4D">
        <w:rPr>
          <w:rFonts w:ascii="標楷體" w:eastAsia="標楷體" w:hAnsi="標楷體"/>
          <w:sz w:val="28"/>
          <w:szCs w:val="28"/>
        </w:rPr>
        <w:t>擬針對特定樣態（如性</w:t>
      </w:r>
      <w:proofErr w:type="gramStart"/>
      <w:r w:rsidRPr="001B6E4D">
        <w:rPr>
          <w:rFonts w:ascii="標楷體" w:eastAsia="標楷體" w:hAnsi="標楷體"/>
          <w:sz w:val="28"/>
          <w:szCs w:val="28"/>
        </w:rPr>
        <w:t>騷</w:t>
      </w:r>
      <w:proofErr w:type="gramEnd"/>
      <w:r w:rsidRPr="001B6E4D">
        <w:rPr>
          <w:rFonts w:ascii="標楷體" w:eastAsia="標楷體" w:hAnsi="標楷體"/>
          <w:sz w:val="28"/>
          <w:szCs w:val="28"/>
        </w:rPr>
        <w:t>、性侵、霸凌等）被免職之公務員，限制其參與國家考試之權利。</w:t>
      </w:r>
    </w:p>
    <w:p w14:paraId="246C422C"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請</w:t>
      </w:r>
      <w:proofErr w:type="gramStart"/>
      <w:r w:rsidRPr="001B6E4D">
        <w:rPr>
          <w:rFonts w:ascii="標楷體" w:eastAsia="標楷體" w:hAnsi="標楷體"/>
          <w:color w:val="000000"/>
          <w:sz w:val="28"/>
          <w:szCs w:val="28"/>
        </w:rPr>
        <w:t>考選部於3個月</w:t>
      </w:r>
      <w:proofErr w:type="gramEnd"/>
      <w:r w:rsidRPr="001B6E4D">
        <w:rPr>
          <w:rFonts w:ascii="標楷體" w:eastAsia="標楷體" w:hAnsi="標楷體"/>
          <w:color w:val="000000"/>
          <w:sz w:val="28"/>
          <w:szCs w:val="28"/>
        </w:rPr>
        <w:t>內向立法院司法及法制委員會提出</w:t>
      </w:r>
      <w:r w:rsidRPr="001B6E4D">
        <w:rPr>
          <w:rFonts w:ascii="標楷體" w:eastAsia="標楷體" w:hAnsi="標楷體" w:hint="eastAsia"/>
          <w:color w:val="000000"/>
          <w:sz w:val="28"/>
          <w:szCs w:val="28"/>
        </w:rPr>
        <w:t>書面</w:t>
      </w:r>
      <w:r w:rsidRPr="001B6E4D">
        <w:rPr>
          <w:rFonts w:ascii="標楷體" w:eastAsia="標楷體" w:hAnsi="標楷體"/>
          <w:color w:val="000000"/>
          <w:sz w:val="28"/>
          <w:szCs w:val="28"/>
        </w:rPr>
        <w:t>報告。【29】</w:t>
      </w:r>
    </w:p>
    <w:p w14:paraId="6833665A"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提案人：陳昭姿</w:t>
      </w:r>
    </w:p>
    <w:p w14:paraId="16EA78C5"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連署人：翁曉玲　林倩綺</w:t>
      </w:r>
    </w:p>
    <w:p w14:paraId="3C27CA86"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lastRenderedPageBreak/>
        <w:t>(八)</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年度考選部預算案於第3目「考試業務研究改進」第3節「研究發展及宣導」項下「考試業務之研究改進」編列預算365萬9千元。有</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於書記官考試與法官、檢察官、律師考試科目高度重疊，且書記官考試時程早</w:t>
      </w:r>
      <w:proofErr w:type="gramStart"/>
      <w:r w:rsidRPr="001B6E4D">
        <w:rPr>
          <w:rFonts w:ascii="標楷體" w:eastAsia="標楷體" w:hAnsi="標楷體"/>
          <w:sz w:val="28"/>
          <w:szCs w:val="28"/>
        </w:rPr>
        <w:t>於司律</w:t>
      </w:r>
      <w:proofErr w:type="gramEnd"/>
      <w:r w:rsidRPr="001B6E4D">
        <w:rPr>
          <w:rFonts w:ascii="標楷體" w:eastAsia="標楷體" w:hAnsi="標楷體"/>
          <w:sz w:val="28"/>
          <w:szCs w:val="28"/>
        </w:rPr>
        <w:t>考試，讓書記官考試成為</w:t>
      </w:r>
      <w:proofErr w:type="gramStart"/>
      <w:r w:rsidRPr="001B6E4D">
        <w:rPr>
          <w:rFonts w:ascii="標楷體" w:eastAsia="標楷體" w:hAnsi="標楷體"/>
          <w:sz w:val="28"/>
          <w:szCs w:val="28"/>
        </w:rPr>
        <w:t>練筆場</w:t>
      </w:r>
      <w:proofErr w:type="gramEnd"/>
      <w:r w:rsidRPr="001B6E4D">
        <w:rPr>
          <w:rFonts w:ascii="標楷體" w:eastAsia="標楷體" w:hAnsi="標楷體"/>
          <w:sz w:val="28"/>
          <w:szCs w:val="28"/>
        </w:rPr>
        <w:t>，並導致部分考生上榜後不報到，或短期離職。</w:t>
      </w:r>
      <w:proofErr w:type="gramStart"/>
      <w:r w:rsidRPr="001B6E4D">
        <w:rPr>
          <w:rFonts w:ascii="標楷體" w:eastAsia="標楷體" w:hAnsi="標楷體"/>
          <w:sz w:val="28"/>
          <w:szCs w:val="28"/>
        </w:rPr>
        <w:t>考選部應參酌</w:t>
      </w:r>
      <w:proofErr w:type="gramEnd"/>
      <w:r w:rsidRPr="001B6E4D">
        <w:rPr>
          <w:rFonts w:ascii="標楷體" w:eastAsia="標楷體" w:hAnsi="標楷體"/>
          <w:sz w:val="28"/>
          <w:szCs w:val="28"/>
        </w:rPr>
        <w:t>民間團體之建議，</w:t>
      </w:r>
      <w:proofErr w:type="gramStart"/>
      <w:r w:rsidRPr="001B6E4D">
        <w:rPr>
          <w:rFonts w:ascii="標楷體" w:eastAsia="標楷體" w:hAnsi="標楷體"/>
          <w:sz w:val="28"/>
          <w:szCs w:val="28"/>
        </w:rPr>
        <w:t>研</w:t>
      </w:r>
      <w:proofErr w:type="gramEnd"/>
      <w:r w:rsidRPr="001B6E4D">
        <w:rPr>
          <w:rFonts w:ascii="標楷體" w:eastAsia="標楷體" w:hAnsi="標楷體"/>
          <w:sz w:val="28"/>
          <w:szCs w:val="28"/>
        </w:rPr>
        <w:t>議司法官、律師與書記官考試同日舉行，且考試科目須有明顯區隔，避免書記</w:t>
      </w:r>
      <w:r w:rsidRPr="001B6E4D">
        <w:rPr>
          <w:rFonts w:ascii="標楷體" w:eastAsia="標楷體" w:hAnsi="標楷體" w:hint="eastAsia"/>
          <w:sz w:val="28"/>
          <w:szCs w:val="28"/>
        </w:rPr>
        <w:t>官</w:t>
      </w:r>
      <w:r w:rsidRPr="001B6E4D">
        <w:rPr>
          <w:rFonts w:ascii="標楷體" w:eastAsia="標楷體" w:hAnsi="標楷體"/>
          <w:sz w:val="28"/>
          <w:szCs w:val="28"/>
        </w:rPr>
        <w:t>考試</w:t>
      </w:r>
      <w:proofErr w:type="gramStart"/>
      <w:r w:rsidRPr="001B6E4D">
        <w:rPr>
          <w:rFonts w:ascii="標楷體" w:eastAsia="標楷體" w:hAnsi="標楷體"/>
          <w:sz w:val="28"/>
          <w:szCs w:val="28"/>
        </w:rPr>
        <w:t>淪為練筆測驗</w:t>
      </w:r>
      <w:proofErr w:type="gramEnd"/>
      <w:r w:rsidRPr="001B6E4D">
        <w:rPr>
          <w:rFonts w:ascii="標楷體" w:eastAsia="標楷體" w:hAnsi="標楷體"/>
          <w:sz w:val="28"/>
          <w:szCs w:val="28"/>
        </w:rPr>
        <w:t>，不僅浪費資源更無法達成</w:t>
      </w:r>
      <w:proofErr w:type="gramStart"/>
      <w:r w:rsidRPr="001B6E4D">
        <w:rPr>
          <w:rFonts w:ascii="標楷體" w:eastAsia="標楷體" w:hAnsi="標楷體"/>
          <w:sz w:val="28"/>
          <w:szCs w:val="28"/>
        </w:rPr>
        <w:t>甄</w:t>
      </w:r>
      <w:proofErr w:type="gramEnd"/>
      <w:r w:rsidRPr="001B6E4D">
        <w:rPr>
          <w:rFonts w:ascii="標楷體" w:eastAsia="標楷體" w:hAnsi="標楷體"/>
          <w:sz w:val="28"/>
          <w:szCs w:val="28"/>
        </w:rPr>
        <w:t>補人才之目的。</w:t>
      </w:r>
    </w:p>
    <w:p w14:paraId="5D914FEB"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請</w:t>
      </w:r>
      <w:proofErr w:type="gramStart"/>
      <w:r w:rsidRPr="001B6E4D">
        <w:rPr>
          <w:rFonts w:ascii="標楷體" w:eastAsia="標楷體" w:hAnsi="標楷體"/>
          <w:color w:val="000000"/>
          <w:sz w:val="28"/>
          <w:szCs w:val="28"/>
        </w:rPr>
        <w:t>考選部於3個月</w:t>
      </w:r>
      <w:proofErr w:type="gramEnd"/>
      <w:r w:rsidRPr="001B6E4D">
        <w:rPr>
          <w:rFonts w:ascii="標楷體" w:eastAsia="標楷體" w:hAnsi="標楷體"/>
          <w:color w:val="000000"/>
          <w:sz w:val="28"/>
          <w:szCs w:val="28"/>
        </w:rPr>
        <w:t>內向立法院司法及法制委員會提出</w:t>
      </w:r>
      <w:r w:rsidRPr="001B6E4D">
        <w:rPr>
          <w:rFonts w:ascii="標楷體" w:eastAsia="標楷體" w:hAnsi="標楷體" w:hint="eastAsia"/>
          <w:color w:val="000000"/>
          <w:sz w:val="28"/>
          <w:szCs w:val="28"/>
        </w:rPr>
        <w:t>書面</w:t>
      </w:r>
      <w:r w:rsidRPr="001B6E4D">
        <w:rPr>
          <w:rFonts w:ascii="標楷體" w:eastAsia="標楷體" w:hAnsi="標楷體"/>
          <w:color w:val="000000"/>
          <w:sz w:val="28"/>
          <w:szCs w:val="28"/>
        </w:rPr>
        <w:t>報告。【30】</w:t>
      </w:r>
    </w:p>
    <w:p w14:paraId="2AB3D106"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提案人：陳昭姿</w:t>
      </w:r>
    </w:p>
    <w:p w14:paraId="4F66A72C"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連署人：翁曉玲　林倩綺</w:t>
      </w:r>
    </w:p>
    <w:p w14:paraId="30283494"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(九)</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年度考選部預算案於第3目「考試業務研究改進」第3節「研究發展及宣導」項下「考試業務之研究改進」編列預算365萬9千元。</w:t>
      </w:r>
    </w:p>
    <w:p w14:paraId="1175D355"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原住民族因地理區位、教育資源、資訊取得及文化語言差異等因素，長期於國家考試參與、錄取及後續任用上，仍面臨結構性落差。尤其偏遠及原鄉地區考生，常因缺乏考試資訊、應試資源、專業輔導及職</w:t>
      </w:r>
      <w:proofErr w:type="gramStart"/>
      <w:r w:rsidRPr="001B6E4D">
        <w:rPr>
          <w:rFonts w:ascii="標楷體" w:eastAsia="標楷體" w:hAnsi="標楷體"/>
          <w:color w:val="000000"/>
          <w:sz w:val="28"/>
          <w:szCs w:val="28"/>
        </w:rPr>
        <w:t>涯</w:t>
      </w:r>
      <w:proofErr w:type="gramEnd"/>
      <w:r w:rsidRPr="001B6E4D">
        <w:rPr>
          <w:rFonts w:ascii="標楷體" w:eastAsia="標楷體" w:hAnsi="標楷體"/>
          <w:color w:val="000000"/>
          <w:sz w:val="28"/>
          <w:szCs w:val="28"/>
        </w:rPr>
        <w:t>支持，而影響投入公職體系之機會。</w:t>
      </w:r>
    </w:p>
    <w:p w14:paraId="703914E1"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另部分原住民族青年雖有意投入公共服務，然對於考選制度、職系內容及任用管道缺乏充分瞭解，致使人才培育與公共部門原住民族人力進</w:t>
      </w:r>
      <w:proofErr w:type="gramStart"/>
      <w:r w:rsidRPr="001B6E4D">
        <w:rPr>
          <w:rFonts w:ascii="標楷體" w:eastAsia="標楷體" w:hAnsi="標楷體"/>
          <w:color w:val="000000"/>
          <w:sz w:val="28"/>
          <w:szCs w:val="28"/>
        </w:rPr>
        <w:t>用間仍存</w:t>
      </w:r>
      <w:proofErr w:type="gramEnd"/>
      <w:r w:rsidRPr="001B6E4D">
        <w:rPr>
          <w:rFonts w:ascii="標楷體" w:eastAsia="標楷體" w:hAnsi="標楷體"/>
          <w:color w:val="000000"/>
          <w:sz w:val="28"/>
          <w:szCs w:val="28"/>
        </w:rPr>
        <w:t>落差。</w:t>
      </w:r>
    </w:p>
    <w:p w14:paraId="58E2F3FF"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考選制度除追求形式公平外，更應兼顧實質平等與族群差異需求，積極協助原住民族投入公部門服務，以提升政府施政之文化敏感度與多元代表性。</w:t>
      </w:r>
    </w:p>
    <w:p w14:paraId="15B76C02"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請</w:t>
      </w:r>
      <w:proofErr w:type="gramStart"/>
      <w:r w:rsidRPr="001B6E4D">
        <w:rPr>
          <w:rFonts w:ascii="標楷體" w:eastAsia="標楷體" w:hAnsi="標楷體"/>
          <w:color w:val="000000"/>
          <w:sz w:val="28"/>
          <w:szCs w:val="28"/>
        </w:rPr>
        <w:t>考選部於3個月</w:t>
      </w:r>
      <w:proofErr w:type="gramEnd"/>
      <w:r w:rsidRPr="001B6E4D">
        <w:rPr>
          <w:rFonts w:ascii="標楷體" w:eastAsia="標楷體" w:hAnsi="標楷體"/>
          <w:color w:val="000000"/>
          <w:sz w:val="28"/>
          <w:szCs w:val="28"/>
        </w:rPr>
        <w:t>內向立法院司法及法制委員會提出書面報告。【31】</w:t>
      </w:r>
    </w:p>
    <w:p w14:paraId="38B7518F"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提案人：張雅琳　</w:t>
      </w:r>
      <w:r w:rsidRPr="001B6E4D">
        <w:rPr>
          <w:rFonts w:ascii="標楷體" w:eastAsia="標楷體" w:hAnsi="標楷體" w:cstheme="minorBidi"/>
          <w:color w:val="000000"/>
          <w:spacing w:val="-20"/>
          <w:w w:val="88"/>
          <w:sz w:val="28"/>
          <w:szCs w:val="28"/>
        </w:rPr>
        <w:t>伍麗華</w:t>
      </w:r>
      <w:proofErr w:type="spellStart"/>
      <w:r w:rsidRPr="001B6E4D">
        <w:rPr>
          <w:rFonts w:ascii="標楷體" w:eastAsia="標楷體" w:hAnsi="標楷體" w:cstheme="minorBidi"/>
          <w:color w:val="000000"/>
          <w:spacing w:val="-20"/>
          <w:w w:val="88"/>
          <w:sz w:val="28"/>
          <w:szCs w:val="28"/>
        </w:rPr>
        <w:t>Saidhai</w:t>
      </w:r>
      <w:proofErr w:type="spellEnd"/>
      <w:r w:rsidRPr="001B6E4D">
        <w:rPr>
          <w:rFonts w:ascii="標楷體" w:eastAsia="標楷體" w:hAnsi="標楷體" w:cstheme="minorBidi"/>
          <w:color w:val="000000"/>
          <w:spacing w:val="-20"/>
          <w:w w:val="88"/>
          <w:sz w:val="28"/>
          <w:szCs w:val="28"/>
        </w:rPr>
        <w:t>．</w:t>
      </w:r>
      <w:proofErr w:type="spellStart"/>
      <w:r w:rsidRPr="001B6E4D">
        <w:rPr>
          <w:rFonts w:ascii="標楷體" w:eastAsia="標楷體" w:hAnsi="標楷體" w:cstheme="minorBidi"/>
          <w:color w:val="000000"/>
          <w:spacing w:val="-20"/>
          <w:w w:val="88"/>
          <w:sz w:val="28"/>
          <w:szCs w:val="28"/>
        </w:rPr>
        <w:t>Tahovecahe</w:t>
      </w:r>
      <w:proofErr w:type="spellEnd"/>
    </w:p>
    <w:p w14:paraId="6BC0A3B4"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連署人：沈發惠　</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5855188A"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w:t>
      </w:r>
      <w:r w:rsidRPr="001B6E4D">
        <w:rPr>
          <w:rFonts w:ascii="標楷體" w:eastAsia="標楷體" w:hAnsi="標楷體"/>
          <w:sz w:val="28"/>
          <w:szCs w:val="28"/>
        </w:rPr>
        <w:t>有</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於考選部近年編列相關預算</w:t>
      </w:r>
      <w:proofErr w:type="gramStart"/>
      <w:r w:rsidRPr="001B6E4D">
        <w:rPr>
          <w:rFonts w:ascii="標楷體" w:eastAsia="標楷體" w:hAnsi="標楷體"/>
          <w:sz w:val="28"/>
          <w:szCs w:val="28"/>
        </w:rPr>
        <w:t>研</w:t>
      </w:r>
      <w:proofErr w:type="gramEnd"/>
      <w:r w:rsidRPr="001B6E4D">
        <w:rPr>
          <w:rFonts w:ascii="標楷體" w:eastAsia="標楷體" w:hAnsi="標楷體"/>
          <w:sz w:val="28"/>
          <w:szCs w:val="28"/>
        </w:rPr>
        <w:t>議公務人員考試導入性向測驗及多元評量機制，亦參考國外制度（如日本人事院）進行考察，惟相關成果迄今多停留於研究與規劃階段，尚未具體落實於考試制度，影響多元選才政策之推動成效。</w:t>
      </w:r>
    </w:p>
    <w:p w14:paraId="539B528E"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參酌日本透過基礎能力測驗（包含語文理解、數理推理及社會、自然、人文與時事等知識）搭配專業科目，作為篩選應考人之重要機制，以評量其理解問題、判斷情勢及決策能力，補足單一筆試難以全面衡</w:t>
      </w: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人才之不足。</w:t>
      </w:r>
    </w:p>
    <w:p w14:paraId="08BAE50F"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lastRenderedPageBreak/>
        <w:t>爰</w:t>
      </w:r>
      <w:proofErr w:type="gramEnd"/>
      <w:r w:rsidRPr="001B6E4D">
        <w:rPr>
          <w:rFonts w:ascii="標楷體" w:eastAsia="標楷體" w:hAnsi="標楷體"/>
          <w:color w:val="000000"/>
          <w:sz w:val="28"/>
          <w:szCs w:val="28"/>
        </w:rPr>
        <w:t>此，建請考選部</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議試辦導入性向測驗之說明計畫，並於3個月內提送書面報告予</w:t>
      </w:r>
      <w:r w:rsidRPr="001B6E4D">
        <w:rPr>
          <w:rFonts w:ascii="標楷體" w:eastAsia="標楷體" w:hAnsi="標楷體" w:hint="eastAsia"/>
          <w:color w:val="000000"/>
          <w:sz w:val="28"/>
          <w:szCs w:val="28"/>
        </w:rPr>
        <w:t>立法院</w:t>
      </w:r>
      <w:r w:rsidRPr="001B6E4D">
        <w:rPr>
          <w:rFonts w:ascii="標楷體" w:eastAsia="標楷體" w:hAnsi="標楷體"/>
          <w:color w:val="000000"/>
          <w:sz w:val="28"/>
          <w:szCs w:val="28"/>
        </w:rPr>
        <w:t>司法及法制委員會。【35】</w:t>
      </w:r>
    </w:p>
    <w:p w14:paraId="04F23144"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提案人：莊瑞雄</w:t>
      </w:r>
    </w:p>
    <w:p w14:paraId="5A58B5C0"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　沈發惠</w:t>
      </w:r>
    </w:p>
    <w:p w14:paraId="18415B7F"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(十一)</w:t>
      </w:r>
      <w:r w:rsidRPr="001B6E4D">
        <w:rPr>
          <w:rFonts w:ascii="標楷體" w:eastAsia="標楷體" w:hAnsi="標楷體"/>
          <w:sz w:val="28"/>
          <w:szCs w:val="28"/>
        </w:rPr>
        <w:t>有</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於考選部現行公務人員考試制度，法規雖已明定包含筆試、口試、心理測驗、適性測驗及實作測驗等多元評量方式，惟實務運作仍以筆試為主要決定依據。據統計，現行類科中約七成僅</w:t>
      </w:r>
      <w:proofErr w:type="gramStart"/>
      <w:r w:rsidRPr="001B6E4D">
        <w:rPr>
          <w:rFonts w:ascii="標楷體" w:eastAsia="標楷體" w:hAnsi="標楷體"/>
          <w:sz w:val="28"/>
          <w:szCs w:val="28"/>
        </w:rPr>
        <w:t>採</w:t>
      </w:r>
      <w:proofErr w:type="gramEnd"/>
      <w:r w:rsidRPr="001B6E4D">
        <w:rPr>
          <w:rFonts w:ascii="標楷體" w:eastAsia="標楷體" w:hAnsi="標楷體"/>
          <w:sz w:val="28"/>
          <w:szCs w:val="28"/>
        </w:rPr>
        <w:t>筆試，僅約三成</w:t>
      </w:r>
      <w:proofErr w:type="gramStart"/>
      <w:r w:rsidRPr="001B6E4D">
        <w:rPr>
          <w:rFonts w:ascii="標楷體" w:eastAsia="標楷體" w:hAnsi="標楷體"/>
          <w:sz w:val="28"/>
          <w:szCs w:val="28"/>
        </w:rPr>
        <w:t>併採</w:t>
      </w:r>
      <w:proofErr w:type="gramEnd"/>
      <w:r w:rsidRPr="001B6E4D">
        <w:rPr>
          <w:rFonts w:ascii="標楷體" w:eastAsia="標楷體" w:hAnsi="標楷體"/>
          <w:sz w:val="28"/>
          <w:szCs w:val="28"/>
        </w:rPr>
        <w:t>口試，且</w:t>
      </w:r>
      <w:proofErr w:type="gramStart"/>
      <w:r w:rsidRPr="001B6E4D">
        <w:rPr>
          <w:rFonts w:ascii="標楷體" w:eastAsia="標楷體" w:hAnsi="標楷體"/>
          <w:sz w:val="28"/>
          <w:szCs w:val="28"/>
        </w:rPr>
        <w:t>口試占分比例</w:t>
      </w:r>
      <w:proofErr w:type="gramEnd"/>
      <w:r w:rsidRPr="001B6E4D">
        <w:rPr>
          <w:rFonts w:ascii="標楷體" w:eastAsia="標楷體" w:hAnsi="標楷體"/>
          <w:sz w:val="28"/>
          <w:szCs w:val="28"/>
        </w:rPr>
        <w:t>多屬輔助性質，難以實質影響錄取結果，致整體評量方式偏於單一，恐無法全面衡</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應考人之適任性。</w:t>
      </w:r>
    </w:p>
    <w:p w14:paraId="1E5FDB53"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參酌日本、韓國、新加坡、英國及美國等國經驗，普遍採用結構化口試、心理測驗及情境判斷測驗等多元評量工具，並使口試結果對錄取與否具有關鍵影響，以提升選才精</w:t>
      </w:r>
      <w:proofErr w:type="gramStart"/>
      <w:r w:rsidRPr="001B6E4D">
        <w:rPr>
          <w:rFonts w:ascii="標楷體" w:eastAsia="標楷體" w:hAnsi="標楷體"/>
          <w:color w:val="000000"/>
          <w:sz w:val="28"/>
          <w:szCs w:val="28"/>
        </w:rPr>
        <w:t>準</w:t>
      </w:r>
      <w:proofErr w:type="gramEnd"/>
      <w:r w:rsidRPr="001B6E4D">
        <w:rPr>
          <w:rFonts w:ascii="標楷體" w:eastAsia="標楷體" w:hAnsi="標楷體"/>
          <w:color w:val="000000"/>
          <w:sz w:val="28"/>
          <w:szCs w:val="28"/>
        </w:rPr>
        <w:t>度與職務</w:t>
      </w:r>
      <w:proofErr w:type="gramStart"/>
      <w:r w:rsidRPr="001B6E4D">
        <w:rPr>
          <w:rFonts w:ascii="標楷體" w:eastAsia="標楷體" w:hAnsi="標楷體"/>
          <w:color w:val="000000"/>
          <w:sz w:val="28"/>
          <w:szCs w:val="28"/>
        </w:rPr>
        <w:t>適配性</w:t>
      </w:r>
      <w:proofErr w:type="gramEnd"/>
      <w:r w:rsidRPr="001B6E4D">
        <w:rPr>
          <w:rFonts w:ascii="標楷體" w:eastAsia="標楷體" w:hAnsi="標楷體"/>
          <w:color w:val="000000"/>
          <w:sz w:val="28"/>
          <w:szCs w:val="28"/>
        </w:rPr>
        <w:t>。</w:t>
      </w:r>
    </w:p>
    <w:p w14:paraId="5E6DBDDE"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此，建請考選部</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議擴大口試適用範圍之方案與精進措施</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於3個月內提送書面報告予</w:t>
      </w:r>
      <w:r w:rsidRPr="001B6E4D">
        <w:rPr>
          <w:rFonts w:ascii="標楷體" w:eastAsia="標楷體" w:hAnsi="標楷體" w:hint="eastAsia"/>
          <w:color w:val="000000"/>
          <w:sz w:val="28"/>
          <w:szCs w:val="28"/>
        </w:rPr>
        <w:t>立法院</w:t>
      </w:r>
      <w:r w:rsidRPr="001B6E4D">
        <w:rPr>
          <w:rFonts w:ascii="標楷體" w:eastAsia="標楷體" w:hAnsi="標楷體"/>
          <w:color w:val="000000"/>
          <w:sz w:val="28"/>
          <w:szCs w:val="28"/>
        </w:rPr>
        <w:t>司法及法制委員會。【36】</w:t>
      </w:r>
    </w:p>
    <w:p w14:paraId="3319C8C3"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提案人：莊瑞雄</w:t>
      </w:r>
    </w:p>
    <w:p w14:paraId="7F37B5E1"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　沈發惠</w:t>
      </w:r>
    </w:p>
    <w:p w14:paraId="17497F2A"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(十二)</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考選業務基金長期以各類考試報名費收入為主要財源，收入結構相對單一，近年並因報考人數波動及政策調整，影響基金財務穩定性。復以國家考試具高度公共性，其運作經費是否適宜過度仰賴應考人負擔，尚有檢討空間。為兼顧考選制度永續發展與財務結構合理性，</w:t>
      </w:r>
      <w:proofErr w:type="gramStart"/>
      <w:r w:rsidRPr="001B6E4D">
        <w:rPr>
          <w:rFonts w:ascii="標楷體" w:eastAsia="標楷體" w:hAnsi="標楷體"/>
          <w:sz w:val="28"/>
          <w:szCs w:val="28"/>
        </w:rPr>
        <w:t>爰</w:t>
      </w:r>
      <w:proofErr w:type="gramEnd"/>
      <w:r w:rsidRPr="001B6E4D">
        <w:rPr>
          <w:rFonts w:ascii="標楷體" w:eastAsia="標楷體" w:hAnsi="標楷體"/>
          <w:sz w:val="28"/>
          <w:szCs w:val="28"/>
        </w:rPr>
        <w:t>請</w:t>
      </w:r>
      <w:proofErr w:type="gramStart"/>
      <w:r w:rsidRPr="001B6E4D">
        <w:rPr>
          <w:rFonts w:ascii="標楷體" w:eastAsia="標楷體" w:hAnsi="標楷體"/>
          <w:sz w:val="28"/>
          <w:szCs w:val="28"/>
        </w:rPr>
        <w:t>考選部就考選</w:t>
      </w:r>
      <w:proofErr w:type="gramEnd"/>
      <w:r w:rsidRPr="001B6E4D">
        <w:rPr>
          <w:rFonts w:ascii="標楷體" w:eastAsia="標楷體" w:hAnsi="標楷體"/>
          <w:sz w:val="28"/>
          <w:szCs w:val="28"/>
        </w:rPr>
        <w:t>業務基金財源結構進行通盤檢討，評估除報名費收入外，是否有引入多元或替代性財源之可行性，並</w:t>
      </w:r>
      <w:proofErr w:type="gramStart"/>
      <w:r w:rsidRPr="001B6E4D">
        <w:rPr>
          <w:rFonts w:ascii="標楷體" w:eastAsia="標楷體" w:hAnsi="標楷體"/>
          <w:sz w:val="28"/>
          <w:szCs w:val="28"/>
        </w:rPr>
        <w:t>研</w:t>
      </w:r>
      <w:proofErr w:type="gramEnd"/>
      <w:r w:rsidRPr="001B6E4D">
        <w:rPr>
          <w:rFonts w:ascii="標楷體" w:eastAsia="標楷體" w:hAnsi="標楷體"/>
          <w:sz w:val="28"/>
          <w:szCs w:val="28"/>
        </w:rPr>
        <w:t>議調整基金收入結構之可能方案。</w:t>
      </w:r>
    </w:p>
    <w:p w14:paraId="79A01CA3"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w:t>
      </w:r>
      <w:proofErr w:type="gramStart"/>
      <w:r w:rsidRPr="001B6E4D">
        <w:rPr>
          <w:rFonts w:ascii="標楷體" w:eastAsia="標楷體" w:hAnsi="標楷體"/>
          <w:color w:val="000000"/>
          <w:sz w:val="28"/>
          <w:szCs w:val="28"/>
        </w:rPr>
        <w:t>考選部於3個月</w:t>
      </w:r>
      <w:proofErr w:type="gramEnd"/>
      <w:r w:rsidRPr="001B6E4D">
        <w:rPr>
          <w:rFonts w:ascii="標楷體" w:eastAsia="標楷體" w:hAnsi="標楷體"/>
          <w:color w:val="000000"/>
          <w:sz w:val="28"/>
          <w:szCs w:val="28"/>
        </w:rPr>
        <w:t>內向立法院司法及法制委員會提出書面報告。【37】</w:t>
      </w:r>
    </w:p>
    <w:p w14:paraId="0E7783C4"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提案人：沈發惠</w:t>
      </w:r>
    </w:p>
    <w:p w14:paraId="1A06B512"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連署人：張雅琳　</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0E5D363B"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(十三)</w:t>
      </w:r>
      <w:r w:rsidRPr="001B6E4D">
        <w:rPr>
          <w:rFonts w:ascii="標楷體" w:eastAsia="標楷體" w:hAnsi="標楷體"/>
          <w:sz w:val="28"/>
          <w:szCs w:val="28"/>
        </w:rPr>
        <w:t>依據立法院預算中心統計，110至113年度公務人員高普</w:t>
      </w:r>
      <w:proofErr w:type="gramStart"/>
      <w:r w:rsidRPr="001B6E4D">
        <w:rPr>
          <w:rFonts w:ascii="標楷體" w:eastAsia="標楷體" w:hAnsi="標楷體"/>
          <w:sz w:val="28"/>
          <w:szCs w:val="28"/>
        </w:rPr>
        <w:t>考試均有錄取不</w:t>
      </w:r>
      <w:proofErr w:type="gramEnd"/>
      <w:r w:rsidRPr="001B6E4D">
        <w:rPr>
          <w:rFonts w:ascii="標楷體" w:eastAsia="標楷體" w:hAnsi="標楷體"/>
          <w:sz w:val="28"/>
          <w:szCs w:val="28"/>
        </w:rPr>
        <w:t>足額情形，各年度</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足額錄取人數分別為293人、30人、268人及361人；整體</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足額錄取比率分別為7.28%、1.13%、5.42%及6.16%。其中</w:t>
      </w:r>
      <w:proofErr w:type="gramStart"/>
      <w:r w:rsidRPr="001B6E4D">
        <w:rPr>
          <w:rFonts w:ascii="標楷體" w:eastAsia="標楷體" w:hAnsi="標楷體"/>
          <w:sz w:val="28"/>
          <w:szCs w:val="28"/>
        </w:rPr>
        <w:t>113</w:t>
      </w:r>
      <w:proofErr w:type="gramEnd"/>
      <w:r w:rsidRPr="001B6E4D">
        <w:rPr>
          <w:rFonts w:ascii="標楷體" w:eastAsia="標楷體" w:hAnsi="標楷體"/>
          <w:sz w:val="28"/>
          <w:szCs w:val="28"/>
        </w:rPr>
        <w:t>年度高普考試總計157類科，錄取</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足額類科共18類科，占11.46%，</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足額錄取人數達361人。</w:t>
      </w:r>
    </w:p>
    <w:p w14:paraId="28F61BE0"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進一步觀察，除高考三級僑務行政選試</w:t>
      </w:r>
      <w:proofErr w:type="gramStart"/>
      <w:r w:rsidRPr="001B6E4D">
        <w:rPr>
          <w:rFonts w:ascii="標楷體" w:eastAsia="標楷體" w:hAnsi="標楷體"/>
          <w:color w:val="000000"/>
          <w:sz w:val="28"/>
          <w:szCs w:val="28"/>
        </w:rPr>
        <w:t>印尼文外</w:t>
      </w:r>
      <w:proofErr w:type="gramEnd"/>
      <w:r w:rsidRPr="001B6E4D">
        <w:rPr>
          <w:rFonts w:ascii="標楷體" w:eastAsia="標楷體" w:hAnsi="標楷體"/>
          <w:color w:val="000000"/>
          <w:sz w:val="28"/>
          <w:szCs w:val="28"/>
        </w:rPr>
        <w:t>，其餘</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足額錄取</w:t>
      </w:r>
      <w:proofErr w:type="gramStart"/>
      <w:r w:rsidRPr="001B6E4D">
        <w:rPr>
          <w:rFonts w:ascii="標楷體" w:eastAsia="標楷體" w:hAnsi="標楷體"/>
          <w:color w:val="000000"/>
          <w:sz w:val="28"/>
          <w:szCs w:val="28"/>
        </w:rPr>
        <w:t>類科多為</w:t>
      </w:r>
      <w:proofErr w:type="gramEnd"/>
      <w:r w:rsidRPr="001B6E4D">
        <w:rPr>
          <w:rFonts w:ascii="標楷體" w:eastAsia="標楷體" w:hAnsi="標楷體"/>
          <w:color w:val="000000"/>
          <w:sz w:val="28"/>
          <w:szCs w:val="28"/>
        </w:rPr>
        <w:t>技術類科，尤以土木工程類科最為嚴峻，該</w:t>
      </w:r>
      <w:r w:rsidRPr="001B6E4D">
        <w:rPr>
          <w:rFonts w:ascii="標楷體" w:eastAsia="標楷體" w:hAnsi="標楷體"/>
          <w:color w:val="000000"/>
          <w:sz w:val="28"/>
          <w:szCs w:val="28"/>
        </w:rPr>
        <w:lastRenderedPageBreak/>
        <w:t>考試類別已連續2年</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足額錄取人數逾百人，普通考試</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年度亦開始出現</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足額情形。</w:t>
      </w:r>
      <w:proofErr w:type="gramStart"/>
      <w:r w:rsidRPr="001B6E4D">
        <w:rPr>
          <w:rFonts w:ascii="標楷體" w:eastAsia="標楷體" w:hAnsi="標楷體"/>
          <w:color w:val="000000"/>
          <w:sz w:val="28"/>
          <w:szCs w:val="28"/>
        </w:rPr>
        <w:t>此外，</w:t>
      </w:r>
      <w:proofErr w:type="gramEnd"/>
      <w:r w:rsidRPr="001B6E4D">
        <w:rPr>
          <w:rFonts w:ascii="標楷體" w:eastAsia="標楷體" w:hAnsi="標楷體"/>
          <w:color w:val="000000"/>
          <w:sz w:val="28"/>
          <w:szCs w:val="28"/>
        </w:rPr>
        <w:t>環境工程、機械工程、電力工程、藥事、公職獸醫師、建築工程、輪機技術、航空器維修等類科，亦有連續2年</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足額錄取情形，恐影響用人機關人力補充及業務推動</w:t>
      </w:r>
      <w:r w:rsidRPr="001B6E4D">
        <w:rPr>
          <w:rFonts w:ascii="標楷體" w:eastAsia="標楷體" w:hAnsi="標楷體" w:hint="eastAsia"/>
          <w:color w:val="000000"/>
          <w:sz w:val="28"/>
          <w:szCs w:val="28"/>
        </w:rPr>
        <w:t>。</w:t>
      </w:r>
    </w:p>
    <w:p w14:paraId="04981AD3"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考選部雖已</w:t>
      </w:r>
      <w:proofErr w:type="gramEnd"/>
      <w:r w:rsidRPr="001B6E4D">
        <w:rPr>
          <w:rFonts w:ascii="標楷體" w:eastAsia="標楷體" w:hAnsi="標楷體"/>
          <w:color w:val="000000"/>
          <w:sz w:val="28"/>
          <w:szCs w:val="28"/>
        </w:rPr>
        <w:t>於考試命題及閱卷階段針對高風險類科、科目進行提醒，並會同相關權責機關研討人才進用及</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足額錄取問題；</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土木工程等技術類科</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足額錄取情形多年未能有效改善，顯示相關問題已非單純考試命題或評分標準可解決，應從應考資格、考試科目、職務條件、任用制度、待遇誘因及培訓留任等面向進行通盤檢討。</w:t>
      </w:r>
    </w:p>
    <w:p w14:paraId="5A49B7D7"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w:t>
      </w:r>
      <w:proofErr w:type="gramStart"/>
      <w:r w:rsidRPr="001B6E4D">
        <w:rPr>
          <w:rFonts w:ascii="標楷體" w:eastAsia="標楷體" w:hAnsi="標楷體"/>
          <w:color w:val="000000"/>
          <w:sz w:val="28"/>
          <w:szCs w:val="28"/>
        </w:rPr>
        <w:t>考選部於6個月內</w:t>
      </w:r>
      <w:proofErr w:type="gramEnd"/>
      <w:r w:rsidRPr="001B6E4D">
        <w:rPr>
          <w:rFonts w:ascii="標楷體" w:eastAsia="標楷體" w:hAnsi="標楷體"/>
          <w:color w:val="000000"/>
          <w:sz w:val="28"/>
          <w:szCs w:val="28"/>
        </w:rPr>
        <w:t>，會同用人機關、銓敘部、行政院人事行政總處及相關專業團體，針對近年高普考試技術類科錄取</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足額情形進行通盤檢討，並就公職獸醫師、土木工程、環境工程、機械工程、電力工程、建築工程等連續錄取</w:t>
      </w:r>
      <w:proofErr w:type="gramStart"/>
      <w:r w:rsidRPr="001B6E4D">
        <w:rPr>
          <w:rFonts w:ascii="標楷體" w:eastAsia="標楷體" w:hAnsi="標楷體"/>
          <w:color w:val="000000"/>
          <w:sz w:val="28"/>
          <w:szCs w:val="28"/>
        </w:rPr>
        <w:t>不</w:t>
      </w:r>
      <w:proofErr w:type="gramEnd"/>
      <w:r w:rsidRPr="001B6E4D">
        <w:rPr>
          <w:rFonts w:ascii="標楷體" w:eastAsia="標楷體" w:hAnsi="標楷體"/>
          <w:color w:val="000000"/>
          <w:sz w:val="28"/>
          <w:szCs w:val="28"/>
        </w:rPr>
        <w:t>足額類科，</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議應考資格、考試類科、應試科目、命題難易度、錄取門檻、職務條件、報考誘因及留任</w:t>
      </w:r>
      <w:proofErr w:type="gramStart"/>
      <w:r w:rsidRPr="001B6E4D">
        <w:rPr>
          <w:rFonts w:ascii="標楷體" w:eastAsia="標楷體" w:hAnsi="標楷體"/>
          <w:color w:val="000000"/>
          <w:sz w:val="28"/>
          <w:szCs w:val="28"/>
        </w:rPr>
        <w:t>措施等精進</w:t>
      </w:r>
      <w:proofErr w:type="gramEnd"/>
      <w:r w:rsidRPr="001B6E4D">
        <w:rPr>
          <w:rFonts w:ascii="標楷體" w:eastAsia="標楷體" w:hAnsi="標楷體"/>
          <w:color w:val="000000"/>
          <w:sz w:val="28"/>
          <w:szCs w:val="28"/>
        </w:rPr>
        <w:t>方案，向立法院司法及法制委員會提出書面報告。【38】</w:t>
      </w:r>
    </w:p>
    <w:p w14:paraId="591E8CDE"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提案人：張雅琳</w:t>
      </w:r>
    </w:p>
    <w:p w14:paraId="040F11B8"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　沈發惠</w:t>
      </w:r>
    </w:p>
    <w:p w14:paraId="512776FE" w14:textId="77777777" w:rsidR="0051111F" w:rsidRPr="001B6E4D" w:rsidRDefault="0051111F" w:rsidP="003D1018">
      <w:pPr>
        <w:widowControl w:val="0"/>
        <w:overflowPunct w:val="0"/>
        <w:snapToGrid w:val="0"/>
        <w:ind w:leftChars="150" w:left="1200" w:hangingChars="300" w:hanging="840"/>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第3項 </w:t>
      </w:r>
      <w:proofErr w:type="gramStart"/>
      <w:r w:rsidRPr="001B6E4D">
        <w:rPr>
          <w:rFonts w:ascii="標楷體" w:eastAsia="標楷體" w:hAnsi="標楷體" w:cs="Arial"/>
          <w:color w:val="000000"/>
          <w:sz w:val="28"/>
          <w:szCs w:val="28"/>
        </w:rPr>
        <w:t>銓敘部</w:t>
      </w:r>
      <w:r w:rsidRPr="001B6E4D">
        <w:rPr>
          <w:rFonts w:ascii="標楷體" w:eastAsia="標楷體" w:hAnsi="標楷體" w:cs="Arial" w:hint="eastAsia"/>
          <w:color w:val="000000"/>
          <w:sz w:val="28"/>
          <w:szCs w:val="28"/>
        </w:rPr>
        <w:t>原列</w:t>
      </w:r>
      <w:proofErr w:type="gramEnd"/>
      <w:r w:rsidRPr="001B6E4D">
        <w:rPr>
          <w:rFonts w:ascii="標楷體" w:eastAsia="標楷體" w:hAnsi="標楷體" w:cs="Arial"/>
          <w:color w:val="000000"/>
          <w:sz w:val="28"/>
          <w:szCs w:val="28"/>
        </w:rPr>
        <w:t>396億1,765萬8千元，</w:t>
      </w:r>
      <w:r w:rsidRPr="001B6E4D">
        <w:rPr>
          <w:rFonts w:ascii="標楷體" w:eastAsia="標楷體" w:hAnsi="標楷體" w:cs="Arial" w:hint="eastAsia"/>
          <w:color w:val="000000"/>
          <w:sz w:val="28"/>
          <w:szCs w:val="28"/>
        </w:rPr>
        <w:t>減</w:t>
      </w:r>
      <w:r w:rsidRPr="001B6E4D">
        <w:rPr>
          <w:rFonts w:ascii="標楷體" w:eastAsia="標楷體" w:hAnsi="標楷體" w:cs="Arial"/>
          <w:color w:val="000000"/>
          <w:sz w:val="28"/>
          <w:szCs w:val="28"/>
        </w:rPr>
        <w:t>列</w:t>
      </w:r>
      <w:r w:rsidRPr="001B6E4D">
        <w:rPr>
          <w:rFonts w:ascii="標楷體" w:eastAsia="標楷體" w:hAnsi="標楷體" w:cs="Arial" w:hint="eastAsia"/>
          <w:color w:val="000000"/>
          <w:sz w:val="28"/>
          <w:szCs w:val="28"/>
        </w:rPr>
        <w:t>：</w:t>
      </w:r>
    </w:p>
    <w:p w14:paraId="720CBC1F" w14:textId="77777777" w:rsidR="0051111F" w:rsidRPr="001B6E4D" w:rsidRDefault="0051111F" w:rsidP="003D1018">
      <w:pPr>
        <w:widowControl w:val="0"/>
        <w:overflowPunct w:val="0"/>
        <w:snapToGrid w:val="0"/>
        <w:ind w:leftChars="150" w:left="1200" w:hangingChars="300" w:hanging="84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 xml:space="preserve">       (</w:t>
      </w:r>
      <w:proofErr w:type="gramStart"/>
      <w:r w:rsidRPr="001B6E4D">
        <w:rPr>
          <w:rFonts w:ascii="標楷體" w:eastAsia="標楷體" w:hAnsi="標楷體" w:cs="Arial" w:hint="eastAsia"/>
          <w:color w:val="000000"/>
          <w:sz w:val="28"/>
          <w:szCs w:val="28"/>
        </w:rPr>
        <w:t>一</w:t>
      </w:r>
      <w:proofErr w:type="gramEnd"/>
      <w:r w:rsidRPr="001B6E4D">
        <w:rPr>
          <w:rFonts w:ascii="標楷體" w:eastAsia="標楷體" w:hAnsi="標楷體" w:cs="Arial" w:hint="eastAsia"/>
          <w:color w:val="000000"/>
          <w:sz w:val="28"/>
          <w:szCs w:val="28"/>
        </w:rPr>
        <w:t>)「業務費」項下「通訊費」30萬元。【40】</w:t>
      </w:r>
    </w:p>
    <w:p w14:paraId="6D99E6E6" w14:textId="77777777" w:rsidR="0051111F" w:rsidRPr="001B6E4D" w:rsidRDefault="0051111F" w:rsidP="003D1018">
      <w:pPr>
        <w:widowControl w:val="0"/>
        <w:overflowPunct w:val="0"/>
        <w:snapToGrid w:val="0"/>
        <w:ind w:leftChars="150" w:left="1200" w:hangingChars="300" w:hanging="84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 xml:space="preserve">       (二)「業務費」項下「約用人員酬金」30萬元。【41】</w:t>
      </w:r>
    </w:p>
    <w:p w14:paraId="443BE64A" w14:textId="77777777" w:rsidR="0051111F" w:rsidRPr="001B6E4D" w:rsidRDefault="0051111F" w:rsidP="003D1018">
      <w:pPr>
        <w:widowControl w:val="0"/>
        <w:overflowPunct w:val="0"/>
        <w:snapToGrid w:val="0"/>
        <w:ind w:leftChars="150" w:left="1900" w:hangingChars="550" w:hanging="154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 xml:space="preserve">       (三)「業務費」項下「按日按</w:t>
      </w:r>
      <w:proofErr w:type="gramStart"/>
      <w:r w:rsidRPr="001B6E4D">
        <w:rPr>
          <w:rFonts w:ascii="標楷體" w:eastAsia="標楷體" w:hAnsi="標楷體" w:cs="Arial" w:hint="eastAsia"/>
          <w:color w:val="000000"/>
          <w:sz w:val="28"/>
          <w:szCs w:val="28"/>
        </w:rPr>
        <w:t>件計資</w:t>
      </w:r>
      <w:proofErr w:type="gramEnd"/>
      <w:r w:rsidRPr="001B6E4D">
        <w:rPr>
          <w:rFonts w:ascii="標楷體" w:eastAsia="標楷體" w:hAnsi="標楷體" w:cs="Arial" w:hint="eastAsia"/>
          <w:color w:val="000000"/>
          <w:sz w:val="28"/>
          <w:szCs w:val="28"/>
        </w:rPr>
        <w:t>酬金」20萬元。【42】</w:t>
      </w:r>
    </w:p>
    <w:p w14:paraId="48FE6B8A" w14:textId="77777777" w:rsidR="0051111F" w:rsidRPr="001B6E4D" w:rsidRDefault="0051111F" w:rsidP="003D1018">
      <w:pPr>
        <w:widowControl w:val="0"/>
        <w:overflowPunct w:val="0"/>
        <w:snapToGrid w:val="0"/>
        <w:ind w:leftChars="150" w:left="1900" w:hangingChars="550" w:hanging="154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 xml:space="preserve">       (四)第3目</w:t>
      </w:r>
      <w:r w:rsidRPr="001B6E4D">
        <w:rPr>
          <w:rFonts w:ascii="標楷體" w:eastAsia="標楷體" w:hAnsi="標楷體" w:cs="Arial"/>
          <w:color w:val="000000"/>
          <w:sz w:val="28"/>
          <w:szCs w:val="28"/>
        </w:rPr>
        <w:t>「一般建築及設備」</w:t>
      </w:r>
      <w:r w:rsidRPr="001B6E4D">
        <w:rPr>
          <w:rFonts w:ascii="標楷體" w:eastAsia="標楷體" w:hAnsi="標楷體" w:cs="Arial" w:hint="eastAsia"/>
          <w:color w:val="000000"/>
          <w:sz w:val="28"/>
          <w:szCs w:val="28"/>
        </w:rPr>
        <w:t>第</w:t>
      </w:r>
      <w:r w:rsidRPr="001B6E4D">
        <w:rPr>
          <w:rFonts w:ascii="標楷體" w:eastAsia="標楷體" w:hAnsi="標楷體" w:cs="Arial"/>
          <w:color w:val="000000"/>
          <w:sz w:val="28"/>
          <w:szCs w:val="28"/>
        </w:rPr>
        <w:t>1節</w:t>
      </w:r>
      <w:r w:rsidRPr="001B6E4D">
        <w:rPr>
          <w:rFonts w:ascii="標楷體" w:eastAsia="標楷體" w:hAnsi="標楷體" w:cs="Arial" w:hint="eastAsia"/>
          <w:color w:val="000000"/>
          <w:sz w:val="28"/>
          <w:szCs w:val="28"/>
        </w:rPr>
        <w:t>「交通及運輸設備」項下「交通及運輸設備」中「設備及投資」50萬元。【53】</w:t>
      </w:r>
    </w:p>
    <w:p w14:paraId="637071FC" w14:textId="77777777" w:rsidR="0051111F" w:rsidRPr="001B6E4D" w:rsidRDefault="0051111F" w:rsidP="003D1018">
      <w:pPr>
        <w:widowControl w:val="0"/>
        <w:overflowPunct w:val="0"/>
        <w:snapToGrid w:val="0"/>
        <w:ind w:leftChars="150" w:left="1340" w:hangingChars="350" w:hanging="98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 xml:space="preserve">       以上共計減列130萬元，其餘均</w:t>
      </w:r>
      <w:proofErr w:type="gramStart"/>
      <w:r w:rsidRPr="001B6E4D">
        <w:rPr>
          <w:rFonts w:ascii="標楷體" w:eastAsia="標楷體" w:hAnsi="標楷體" w:cs="Arial" w:hint="eastAsia"/>
          <w:color w:val="000000"/>
          <w:sz w:val="28"/>
          <w:szCs w:val="28"/>
        </w:rPr>
        <w:t>照列</w:t>
      </w:r>
      <w:proofErr w:type="gramEnd"/>
      <w:r w:rsidRPr="001B6E4D">
        <w:rPr>
          <w:rFonts w:ascii="標楷體" w:eastAsia="標楷體" w:hAnsi="標楷體" w:cs="Arial" w:hint="eastAsia"/>
          <w:color w:val="000000"/>
          <w:sz w:val="28"/>
          <w:szCs w:val="28"/>
        </w:rPr>
        <w:t>，改列為396</w:t>
      </w:r>
      <w:r w:rsidRPr="001B6E4D">
        <w:rPr>
          <w:rFonts w:ascii="標楷體" w:eastAsia="標楷體" w:hAnsi="標楷體" w:cs="Arial"/>
          <w:color w:val="000000"/>
          <w:sz w:val="28"/>
          <w:szCs w:val="28"/>
        </w:rPr>
        <w:t>億</w:t>
      </w:r>
      <w:r w:rsidRPr="001B6E4D">
        <w:rPr>
          <w:rFonts w:ascii="標楷體" w:eastAsia="標楷體" w:hAnsi="標楷體" w:cs="Arial" w:hint="eastAsia"/>
          <w:color w:val="000000"/>
          <w:sz w:val="28"/>
          <w:szCs w:val="28"/>
        </w:rPr>
        <w:t>1</w:t>
      </w:r>
      <w:r w:rsidRPr="001B6E4D">
        <w:rPr>
          <w:rFonts w:ascii="標楷體" w:eastAsia="標楷體" w:hAnsi="標楷體" w:cs="Arial"/>
          <w:color w:val="000000"/>
          <w:sz w:val="28"/>
          <w:szCs w:val="28"/>
        </w:rPr>
        <w:t>,</w:t>
      </w:r>
      <w:r w:rsidRPr="001B6E4D">
        <w:rPr>
          <w:rFonts w:ascii="標楷體" w:eastAsia="標楷體" w:hAnsi="標楷體" w:cs="Arial" w:hint="eastAsia"/>
          <w:color w:val="000000"/>
          <w:sz w:val="28"/>
          <w:szCs w:val="28"/>
        </w:rPr>
        <w:t>635</w:t>
      </w:r>
      <w:r w:rsidRPr="001B6E4D">
        <w:rPr>
          <w:rFonts w:ascii="標楷體" w:eastAsia="標楷體" w:hAnsi="標楷體" w:cs="Arial"/>
          <w:color w:val="000000"/>
          <w:sz w:val="28"/>
          <w:szCs w:val="28"/>
        </w:rPr>
        <w:t>萬</w:t>
      </w:r>
      <w:r w:rsidRPr="001B6E4D">
        <w:rPr>
          <w:rFonts w:ascii="標楷體" w:eastAsia="標楷體" w:hAnsi="標楷體" w:cs="Arial" w:hint="eastAsia"/>
          <w:color w:val="000000"/>
          <w:sz w:val="28"/>
          <w:szCs w:val="28"/>
        </w:rPr>
        <w:t>8千</w:t>
      </w:r>
      <w:r w:rsidRPr="001B6E4D">
        <w:rPr>
          <w:rFonts w:ascii="標楷體" w:eastAsia="標楷體" w:hAnsi="標楷體" w:cs="Arial"/>
          <w:color w:val="000000"/>
          <w:sz w:val="28"/>
          <w:szCs w:val="28"/>
        </w:rPr>
        <w:t>元</w:t>
      </w:r>
      <w:r w:rsidRPr="001B6E4D">
        <w:rPr>
          <w:rFonts w:ascii="標楷體" w:eastAsia="標楷體" w:hAnsi="標楷體" w:cs="Arial" w:hint="eastAsia"/>
          <w:color w:val="000000"/>
          <w:sz w:val="28"/>
          <w:szCs w:val="28"/>
        </w:rPr>
        <w:t>。</w:t>
      </w:r>
    </w:p>
    <w:p w14:paraId="6BD1BD1E" w14:textId="77777777" w:rsidR="0051111F" w:rsidRPr="001B6E4D" w:rsidRDefault="0051111F" w:rsidP="003D1018">
      <w:pPr>
        <w:widowControl w:val="0"/>
        <w:overflowPunct w:val="0"/>
        <w:snapToGrid w:val="0"/>
        <w:ind w:leftChars="150" w:left="1201" w:hangingChars="300" w:hanging="841"/>
        <w:jc w:val="both"/>
        <w:rPr>
          <w:rFonts w:ascii="標楷體" w:eastAsia="標楷體" w:hAnsi="標楷體" w:cs="Arial"/>
          <w:b/>
          <w:color w:val="000000"/>
          <w:sz w:val="28"/>
          <w:szCs w:val="28"/>
        </w:rPr>
      </w:pPr>
      <w:r w:rsidRPr="001B6E4D">
        <w:rPr>
          <w:rFonts w:ascii="標楷體" w:eastAsia="標楷體" w:hAnsi="標楷體" w:cs="Arial"/>
          <w:b/>
          <w:sz w:val="28"/>
          <w:szCs w:val="28"/>
        </w:rPr>
        <w:t>本項提案1案，保留，送院會處理：</w:t>
      </w:r>
    </w:p>
    <w:p w14:paraId="6851094E"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年度銓敘部預算案於第1目「一般行政」項下「基本行政工作維持」中「業務費」之「特別費」，係部長、政務次長及常務次長等3人特別費945千元。</w:t>
      </w:r>
    </w:p>
    <w:p w14:paraId="07DED446"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依照行政院95年12月29日</w:t>
      </w:r>
      <w:proofErr w:type="gramStart"/>
      <w:r w:rsidRPr="001B6E4D">
        <w:rPr>
          <w:rFonts w:ascii="標楷體" w:eastAsia="標楷體" w:hAnsi="標楷體"/>
          <w:color w:val="000000"/>
          <w:sz w:val="28"/>
          <w:szCs w:val="28"/>
        </w:rPr>
        <w:t>院授主忠字</w:t>
      </w:r>
      <w:proofErr w:type="gramEnd"/>
      <w:r w:rsidRPr="001B6E4D">
        <w:rPr>
          <w:rFonts w:ascii="標楷體" w:eastAsia="標楷體" w:hAnsi="標楷體"/>
          <w:color w:val="000000"/>
          <w:sz w:val="28"/>
          <w:szCs w:val="28"/>
        </w:rPr>
        <w:t>第0950007913號函，各級政府機關特別費支用規定之特別費使用範圍，係婚喪喜慶之禮金及招待、</w:t>
      </w:r>
      <w:proofErr w:type="gramStart"/>
      <w:r w:rsidRPr="001B6E4D">
        <w:rPr>
          <w:rFonts w:ascii="標楷體" w:eastAsia="標楷體" w:hAnsi="標楷體"/>
          <w:color w:val="000000"/>
          <w:sz w:val="28"/>
          <w:szCs w:val="28"/>
        </w:rPr>
        <w:t>餽</w:t>
      </w:r>
      <w:proofErr w:type="gramEnd"/>
      <w:r w:rsidRPr="001B6E4D">
        <w:rPr>
          <w:rFonts w:ascii="標楷體" w:eastAsia="標楷體" w:hAnsi="標楷體"/>
          <w:color w:val="000000"/>
          <w:sz w:val="28"/>
          <w:szCs w:val="28"/>
        </w:rPr>
        <w:t>（捐）</w:t>
      </w:r>
      <w:proofErr w:type="gramStart"/>
      <w:r w:rsidRPr="001B6E4D">
        <w:rPr>
          <w:rFonts w:ascii="標楷體" w:eastAsia="標楷體" w:hAnsi="標楷體"/>
          <w:color w:val="000000"/>
          <w:sz w:val="28"/>
          <w:szCs w:val="28"/>
        </w:rPr>
        <w:t>贈及慰問</w:t>
      </w:r>
      <w:proofErr w:type="gramEnd"/>
      <w:r w:rsidRPr="001B6E4D">
        <w:rPr>
          <w:rFonts w:ascii="標楷體" w:eastAsia="標楷體" w:hAnsi="標楷體"/>
          <w:color w:val="000000"/>
          <w:sz w:val="28"/>
          <w:szCs w:val="28"/>
        </w:rPr>
        <w:t>等支出。恐非屬各項施政計畫執行之必要項目。</w:t>
      </w:r>
    </w:p>
    <w:p w14:paraId="0A823A3B"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然，115年中央政府總預算連同特別預算，</w:t>
      </w:r>
      <w:proofErr w:type="gramStart"/>
      <w:r w:rsidRPr="001B6E4D">
        <w:rPr>
          <w:rFonts w:ascii="標楷體" w:eastAsia="標楷體" w:hAnsi="標楷體"/>
          <w:color w:val="000000"/>
          <w:sz w:val="28"/>
          <w:szCs w:val="28"/>
        </w:rPr>
        <w:t>已需舉</w:t>
      </w:r>
      <w:proofErr w:type="gramEnd"/>
      <w:r w:rsidRPr="001B6E4D">
        <w:rPr>
          <w:rFonts w:ascii="標楷體" w:eastAsia="標楷體" w:hAnsi="標楷體"/>
          <w:color w:val="000000"/>
          <w:sz w:val="28"/>
          <w:szCs w:val="28"/>
        </w:rPr>
        <w:t>債高達4</w:t>
      </w:r>
      <w:r w:rsidRPr="001B6E4D">
        <w:rPr>
          <w:rFonts w:ascii="標楷體" w:eastAsia="標楷體" w:hAnsi="標楷體"/>
          <w:color w:val="000000"/>
          <w:sz w:val="28"/>
          <w:szCs w:val="28"/>
        </w:rPr>
        <w:lastRenderedPageBreak/>
        <w:t>千億元。政府各單位更應量入為出、</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節公</w:t>
      </w:r>
      <w:proofErr w:type="gramStart"/>
      <w:r w:rsidRPr="001B6E4D">
        <w:rPr>
          <w:rFonts w:ascii="標楷體" w:eastAsia="標楷體" w:hAnsi="標楷體"/>
          <w:color w:val="000000"/>
          <w:sz w:val="28"/>
          <w:szCs w:val="28"/>
        </w:rPr>
        <w:t>帑</w:t>
      </w:r>
      <w:proofErr w:type="gramEnd"/>
      <w:r w:rsidRPr="001B6E4D">
        <w:rPr>
          <w:rFonts w:ascii="標楷體" w:eastAsia="標楷體" w:hAnsi="標楷體"/>
          <w:color w:val="000000"/>
          <w:sz w:val="28"/>
          <w:szCs w:val="28"/>
        </w:rPr>
        <w:t>，</w:t>
      </w:r>
      <w:proofErr w:type="gramStart"/>
      <w:r w:rsidRPr="001B6E4D">
        <w:rPr>
          <w:rFonts w:ascii="標楷體" w:eastAsia="標楷體" w:hAnsi="標楷體"/>
          <w:color w:val="000000"/>
          <w:sz w:val="28"/>
          <w:szCs w:val="28"/>
        </w:rPr>
        <w:t>減列非必要</w:t>
      </w:r>
      <w:proofErr w:type="gramEnd"/>
      <w:r w:rsidRPr="001B6E4D">
        <w:rPr>
          <w:rFonts w:ascii="標楷體" w:eastAsia="標楷體" w:hAnsi="標楷體"/>
          <w:color w:val="000000"/>
          <w:sz w:val="28"/>
          <w:szCs w:val="28"/>
        </w:rPr>
        <w:t>、非急迫性的支出，以降低國庫舉債、</w:t>
      </w:r>
      <w:proofErr w:type="gramStart"/>
      <w:r w:rsidRPr="001B6E4D">
        <w:rPr>
          <w:rFonts w:ascii="標楷體" w:eastAsia="標楷體" w:hAnsi="標楷體"/>
          <w:color w:val="000000"/>
          <w:sz w:val="28"/>
          <w:szCs w:val="28"/>
        </w:rPr>
        <w:t>債留子孫</w:t>
      </w:r>
      <w:proofErr w:type="gramEnd"/>
      <w:r w:rsidRPr="001B6E4D">
        <w:rPr>
          <w:rFonts w:ascii="標楷體" w:eastAsia="標楷體" w:hAnsi="標楷體"/>
          <w:color w:val="000000"/>
          <w:sz w:val="28"/>
          <w:szCs w:val="28"/>
        </w:rPr>
        <w:t>的壓力。</w:t>
      </w:r>
    </w:p>
    <w:p w14:paraId="410090C5"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且</w:t>
      </w:r>
      <w:proofErr w:type="gramEnd"/>
      <w:r w:rsidRPr="001B6E4D">
        <w:rPr>
          <w:rFonts w:ascii="標楷體" w:eastAsia="標楷體" w:hAnsi="標楷體"/>
          <w:color w:val="000000"/>
          <w:sz w:val="28"/>
          <w:szCs w:val="28"/>
        </w:rPr>
        <w:t>，賴總統為回應美國對台灣應大幅增加國防支出的強硬立場與關切壓力，</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年度國防支出已創下歷史新高</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達9,495億新台幣</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較去年度相比暴增1,768億</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漲幅達16%，負擔不可謂不重；大舉增加國防支出，必定會嚴重排擠年度的教育、文化、經濟發展、社會福利等支出。亦即，各</w:t>
      </w:r>
      <w:proofErr w:type="gramStart"/>
      <w:r w:rsidRPr="001B6E4D">
        <w:rPr>
          <w:rFonts w:ascii="標楷體" w:eastAsia="標楷體" w:hAnsi="標楷體"/>
          <w:color w:val="000000"/>
          <w:sz w:val="28"/>
          <w:szCs w:val="28"/>
        </w:rPr>
        <w:t>部會應勒緊</w:t>
      </w:r>
      <w:proofErr w:type="gramEnd"/>
      <w:r w:rsidRPr="001B6E4D">
        <w:rPr>
          <w:rFonts w:ascii="標楷體" w:eastAsia="標楷體" w:hAnsi="標楷體"/>
          <w:color w:val="000000"/>
          <w:sz w:val="28"/>
          <w:szCs w:val="28"/>
        </w:rPr>
        <w:t>褲帶，共體時</w:t>
      </w:r>
      <w:proofErr w:type="gramStart"/>
      <w:r w:rsidRPr="001B6E4D">
        <w:rPr>
          <w:rFonts w:ascii="標楷體" w:eastAsia="標楷體" w:hAnsi="標楷體"/>
          <w:color w:val="000000"/>
          <w:sz w:val="28"/>
          <w:szCs w:val="28"/>
        </w:rPr>
        <w:t>艱</w:t>
      </w:r>
      <w:proofErr w:type="gramEnd"/>
      <w:r w:rsidRPr="001B6E4D">
        <w:rPr>
          <w:rFonts w:ascii="標楷體" w:eastAsia="標楷體" w:hAnsi="標楷體"/>
          <w:color w:val="000000"/>
          <w:sz w:val="28"/>
          <w:szCs w:val="28"/>
        </w:rPr>
        <w:t>、以</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節非必要支出的具體行動，來呼應賴總統對美方要求大幅增加國防支出的承諾。</w:t>
      </w:r>
    </w:p>
    <w:p w14:paraId="4DBEBD44"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有</w:t>
      </w: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於</w:t>
      </w:r>
      <w:proofErr w:type="gramStart"/>
      <w:r w:rsidRPr="001B6E4D">
        <w:rPr>
          <w:rFonts w:ascii="標楷體" w:eastAsia="標楷體" w:hAnsi="標楷體"/>
          <w:color w:val="000000"/>
          <w:sz w:val="28"/>
          <w:szCs w:val="28"/>
        </w:rPr>
        <w:t>銓敘部所編</w:t>
      </w:r>
      <w:proofErr w:type="gramEnd"/>
      <w:r w:rsidRPr="001B6E4D">
        <w:rPr>
          <w:rFonts w:ascii="標楷體" w:eastAsia="標楷體" w:hAnsi="標楷體"/>
          <w:color w:val="000000"/>
          <w:sz w:val="28"/>
          <w:szCs w:val="28"/>
        </w:rPr>
        <w:t>之「特別費」，係婚喪喜慶之禮金及招待、</w:t>
      </w:r>
      <w:proofErr w:type="gramStart"/>
      <w:r w:rsidRPr="001B6E4D">
        <w:rPr>
          <w:rFonts w:ascii="標楷體" w:eastAsia="標楷體" w:hAnsi="標楷體"/>
          <w:color w:val="000000"/>
          <w:sz w:val="28"/>
          <w:szCs w:val="28"/>
        </w:rPr>
        <w:t>餽</w:t>
      </w:r>
      <w:proofErr w:type="gramEnd"/>
      <w:r w:rsidRPr="001B6E4D">
        <w:rPr>
          <w:rFonts w:ascii="標楷體" w:eastAsia="標楷體" w:hAnsi="標楷體"/>
          <w:color w:val="000000"/>
          <w:sz w:val="28"/>
          <w:szCs w:val="28"/>
        </w:rPr>
        <w:t>（捐）</w:t>
      </w:r>
      <w:proofErr w:type="gramStart"/>
      <w:r w:rsidRPr="001B6E4D">
        <w:rPr>
          <w:rFonts w:ascii="標楷體" w:eastAsia="標楷體" w:hAnsi="標楷體"/>
          <w:color w:val="000000"/>
          <w:sz w:val="28"/>
          <w:szCs w:val="28"/>
        </w:rPr>
        <w:t>贈及慰問</w:t>
      </w:r>
      <w:proofErr w:type="gramEnd"/>
      <w:r w:rsidRPr="001B6E4D">
        <w:rPr>
          <w:rFonts w:ascii="標楷體" w:eastAsia="標楷體" w:hAnsi="標楷體"/>
          <w:color w:val="000000"/>
          <w:sz w:val="28"/>
          <w:szCs w:val="28"/>
        </w:rPr>
        <w:t>等支出，非屬各項施政計畫執行之必要項目。為兌現賴總統對美方的承諾，且配合國防支出大幅增加之影響而必須</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節經費，</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提案減列九成共計85萬元整，且不得</w:t>
      </w:r>
      <w:proofErr w:type="gramStart"/>
      <w:r w:rsidRPr="001B6E4D">
        <w:rPr>
          <w:rFonts w:ascii="標楷體" w:eastAsia="標楷體" w:hAnsi="標楷體"/>
          <w:color w:val="000000"/>
          <w:sz w:val="28"/>
          <w:szCs w:val="28"/>
        </w:rPr>
        <w:t>流用勻支</w:t>
      </w:r>
      <w:proofErr w:type="gramEnd"/>
      <w:r w:rsidRPr="001B6E4D">
        <w:rPr>
          <w:rFonts w:ascii="標楷體" w:eastAsia="標楷體" w:hAnsi="標楷體"/>
          <w:color w:val="000000"/>
          <w:sz w:val="28"/>
          <w:szCs w:val="28"/>
        </w:rPr>
        <w:t>，以將有限之財政資源集中，支援必須擴增的國防經費支出。【48】</w:t>
      </w:r>
    </w:p>
    <w:p w14:paraId="296FC288"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提案人：翁曉玲</w:t>
      </w:r>
    </w:p>
    <w:p w14:paraId="3F86934E"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連署人：許宇</w:t>
      </w:r>
      <w:proofErr w:type="gramStart"/>
      <w:r w:rsidRPr="001B6E4D">
        <w:rPr>
          <w:rFonts w:ascii="標楷體" w:eastAsia="標楷體" w:hAnsi="標楷體" w:cs="Arial"/>
          <w:color w:val="000000"/>
          <w:sz w:val="28"/>
          <w:szCs w:val="28"/>
        </w:rPr>
        <w:t>甄</w:t>
      </w:r>
      <w:proofErr w:type="gramEnd"/>
      <w:r w:rsidRPr="001B6E4D">
        <w:rPr>
          <w:rFonts w:ascii="標楷體" w:eastAsia="標楷體" w:hAnsi="標楷體" w:cs="Arial"/>
          <w:color w:val="000000"/>
          <w:sz w:val="28"/>
          <w:szCs w:val="28"/>
        </w:rPr>
        <w:t xml:space="preserve">　林倩綺</w:t>
      </w:r>
    </w:p>
    <w:p w14:paraId="28CDDE25" w14:textId="77777777" w:rsidR="0051111F" w:rsidRPr="001B6E4D" w:rsidRDefault="0051111F" w:rsidP="003D1018">
      <w:pPr>
        <w:widowControl w:val="0"/>
        <w:overflowPunct w:val="0"/>
        <w:snapToGrid w:val="0"/>
        <w:ind w:leftChars="150" w:left="1201" w:hangingChars="300" w:hanging="841"/>
        <w:jc w:val="both"/>
        <w:rPr>
          <w:rFonts w:ascii="標楷體" w:eastAsia="標楷體" w:hAnsi="標楷體" w:cs="Arial"/>
          <w:b/>
          <w:color w:val="000000"/>
          <w:sz w:val="28"/>
          <w:szCs w:val="28"/>
        </w:rPr>
      </w:pPr>
      <w:r w:rsidRPr="001B6E4D">
        <w:rPr>
          <w:rFonts w:ascii="標楷體" w:eastAsia="標楷體" w:hAnsi="標楷體" w:cs="Arial"/>
          <w:b/>
          <w:sz w:val="28"/>
          <w:szCs w:val="28"/>
        </w:rPr>
        <w:t>本項通過決議14項：</w:t>
      </w:r>
    </w:p>
    <w:p w14:paraId="7CCFFDDD"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115</w:t>
      </w:r>
      <w:proofErr w:type="gramEnd"/>
      <w:r w:rsidRPr="001B6E4D">
        <w:rPr>
          <w:rFonts w:ascii="標楷體" w:eastAsia="標楷體" w:hAnsi="標楷體" w:hint="eastAsia"/>
          <w:sz w:val="28"/>
          <w:szCs w:val="28"/>
        </w:rPr>
        <w:t>年度</w:t>
      </w:r>
      <w:proofErr w:type="gramStart"/>
      <w:r w:rsidRPr="001B6E4D">
        <w:rPr>
          <w:rFonts w:ascii="標楷體" w:eastAsia="標楷體" w:hAnsi="標楷體" w:hint="eastAsia"/>
          <w:sz w:val="28"/>
          <w:szCs w:val="28"/>
        </w:rPr>
        <w:t>銓敘部歲出</w:t>
      </w:r>
      <w:proofErr w:type="gramEnd"/>
      <w:r w:rsidRPr="001B6E4D">
        <w:rPr>
          <w:rFonts w:ascii="標楷體" w:eastAsia="標楷體" w:hAnsi="標楷體" w:hint="eastAsia"/>
          <w:sz w:val="28"/>
          <w:szCs w:val="28"/>
        </w:rPr>
        <w:t>預算「業務費」編列1億0,698萬7千元，凍結1,215萬5千元，</w:t>
      </w:r>
      <w:proofErr w:type="gramStart"/>
      <w:r w:rsidRPr="001B6E4D">
        <w:rPr>
          <w:rFonts w:ascii="標楷體" w:eastAsia="標楷體" w:hAnsi="標楷體" w:hint="eastAsia"/>
          <w:sz w:val="28"/>
          <w:szCs w:val="28"/>
        </w:rPr>
        <w:t>俟</w:t>
      </w:r>
      <w:proofErr w:type="gramEnd"/>
      <w:r w:rsidRPr="001B6E4D">
        <w:rPr>
          <w:rFonts w:ascii="標楷體" w:eastAsia="標楷體" w:hAnsi="標楷體" w:hint="eastAsia"/>
          <w:sz w:val="28"/>
          <w:szCs w:val="28"/>
        </w:rPr>
        <w:t>向立法院司法及法制委員會提出書面報告，經同意後，始得動支。</w:t>
      </w:r>
      <w:r w:rsidRPr="001B6E4D">
        <w:rPr>
          <w:rFonts w:ascii="標楷體" w:eastAsia="標楷體" w:hAnsi="標楷體"/>
          <w:sz w:val="28"/>
          <w:szCs w:val="28"/>
        </w:rPr>
        <w:t>【</w:t>
      </w:r>
      <w:r w:rsidRPr="001B6E4D">
        <w:rPr>
          <w:rFonts w:ascii="標楷體" w:eastAsia="標楷體" w:hAnsi="標楷體" w:hint="eastAsia"/>
          <w:sz w:val="28"/>
          <w:szCs w:val="28"/>
        </w:rPr>
        <w:t>39、43</w:t>
      </w:r>
      <w:r w:rsidRPr="001B6E4D">
        <w:rPr>
          <w:rFonts w:ascii="標楷體" w:eastAsia="標楷體" w:hAnsi="標楷體"/>
          <w:sz w:val="28"/>
          <w:szCs w:val="28"/>
        </w:rPr>
        <w:t>】</w:t>
      </w:r>
    </w:p>
    <w:p w14:paraId="524B11FA"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提案人：翁曉玲</w:t>
      </w:r>
    </w:p>
    <w:p w14:paraId="24FD860E"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連署人：</w:t>
      </w:r>
      <w:r w:rsidRPr="001B6E4D">
        <w:rPr>
          <w:rFonts w:ascii="標楷體" w:eastAsia="標楷體" w:hAnsi="標楷體" w:cs="Arial"/>
          <w:color w:val="000000"/>
          <w:sz w:val="28"/>
          <w:szCs w:val="28"/>
        </w:rPr>
        <w:t>許宇</w:t>
      </w:r>
      <w:proofErr w:type="gramStart"/>
      <w:r w:rsidRPr="001B6E4D">
        <w:rPr>
          <w:rFonts w:ascii="標楷體" w:eastAsia="標楷體" w:hAnsi="標楷體" w:cs="Arial"/>
          <w:color w:val="000000"/>
          <w:sz w:val="28"/>
          <w:szCs w:val="28"/>
        </w:rPr>
        <w:t>甄</w:t>
      </w:r>
      <w:proofErr w:type="gramEnd"/>
      <w:r w:rsidRPr="001B6E4D">
        <w:rPr>
          <w:rFonts w:ascii="標楷體" w:eastAsia="標楷體" w:hAnsi="標楷體" w:cs="Arial"/>
          <w:color w:val="000000"/>
          <w:sz w:val="28"/>
          <w:szCs w:val="28"/>
        </w:rPr>
        <w:t xml:space="preserve">　林倩綺</w:t>
      </w:r>
    </w:p>
    <w:p w14:paraId="2D0C7F95"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(二)</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w:t>
      </w:r>
      <w:proofErr w:type="gramStart"/>
      <w:r w:rsidRPr="001B6E4D">
        <w:rPr>
          <w:rFonts w:ascii="標楷體" w:eastAsia="標楷體" w:hAnsi="標楷體"/>
          <w:sz w:val="28"/>
          <w:szCs w:val="28"/>
        </w:rPr>
        <w:t>銓敘部歲出</w:t>
      </w:r>
      <w:proofErr w:type="gramEnd"/>
      <w:r w:rsidRPr="001B6E4D">
        <w:rPr>
          <w:rFonts w:ascii="標楷體" w:eastAsia="標楷體" w:hAnsi="標楷體"/>
          <w:sz w:val="28"/>
          <w:szCs w:val="28"/>
        </w:rPr>
        <w:t>預算第1目「一般行政」編列6億1,161萬8千元，凍結</w:t>
      </w:r>
      <w:r w:rsidRPr="001B6E4D">
        <w:rPr>
          <w:rFonts w:ascii="標楷體" w:eastAsia="標楷體" w:hAnsi="標楷體" w:hint="eastAsia"/>
          <w:sz w:val="28"/>
          <w:szCs w:val="28"/>
        </w:rPr>
        <w:t>100</w:t>
      </w:r>
      <w:r w:rsidRPr="001B6E4D">
        <w:rPr>
          <w:rFonts w:ascii="標楷體" w:eastAsia="標楷體" w:hAnsi="標楷體"/>
          <w:sz w:val="28"/>
          <w:szCs w:val="28"/>
        </w:rPr>
        <w:t>萬元，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向立法院司法及法制委員會提出書面報告後，始得動支。【</w:t>
      </w:r>
      <w:r w:rsidRPr="001B6E4D">
        <w:rPr>
          <w:rFonts w:ascii="標楷體" w:eastAsia="標楷體" w:hAnsi="標楷體" w:hint="eastAsia"/>
          <w:sz w:val="28"/>
          <w:szCs w:val="28"/>
        </w:rPr>
        <w:t>49</w:t>
      </w:r>
      <w:r w:rsidRPr="001B6E4D">
        <w:rPr>
          <w:rFonts w:ascii="標楷體" w:eastAsia="標楷體" w:hAnsi="標楷體"/>
          <w:sz w:val="28"/>
          <w:szCs w:val="28"/>
        </w:rPr>
        <w:t>】</w:t>
      </w:r>
    </w:p>
    <w:p w14:paraId="53874F52"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w:t>
      </w:r>
      <w:r w:rsidRPr="001B6E4D">
        <w:rPr>
          <w:rFonts w:ascii="標楷體" w:eastAsia="標楷體" w:hAnsi="標楷體" w:cs="Arial" w:hint="eastAsia"/>
          <w:color w:val="000000"/>
          <w:sz w:val="28"/>
          <w:szCs w:val="28"/>
        </w:rPr>
        <w:t>許宇</w:t>
      </w:r>
      <w:proofErr w:type="gramStart"/>
      <w:r w:rsidRPr="001B6E4D">
        <w:rPr>
          <w:rFonts w:ascii="標楷體" w:eastAsia="標楷體" w:hAnsi="標楷體" w:cs="Arial" w:hint="eastAsia"/>
          <w:color w:val="000000"/>
          <w:sz w:val="28"/>
          <w:szCs w:val="28"/>
        </w:rPr>
        <w:t>甄</w:t>
      </w:r>
      <w:proofErr w:type="gramEnd"/>
    </w:p>
    <w:p w14:paraId="08FACE9D"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r w:rsidRPr="001B6E4D">
        <w:rPr>
          <w:rFonts w:ascii="標楷體" w:eastAsia="標楷體" w:hAnsi="標楷體" w:cs="Arial" w:hint="eastAsia"/>
          <w:color w:val="000000"/>
          <w:sz w:val="28"/>
          <w:szCs w:val="28"/>
        </w:rPr>
        <w:t>林沛祥　林倩綺</w:t>
      </w:r>
    </w:p>
    <w:p w14:paraId="18D51E00"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(三)</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w:t>
      </w:r>
      <w:proofErr w:type="gramStart"/>
      <w:r w:rsidRPr="001B6E4D">
        <w:rPr>
          <w:rFonts w:ascii="標楷體" w:eastAsia="標楷體" w:hAnsi="標楷體"/>
          <w:sz w:val="28"/>
          <w:szCs w:val="28"/>
        </w:rPr>
        <w:t>銓敘部歲出</w:t>
      </w:r>
      <w:proofErr w:type="gramEnd"/>
      <w:r w:rsidRPr="001B6E4D">
        <w:rPr>
          <w:rFonts w:ascii="標楷體" w:eastAsia="標楷體" w:hAnsi="標楷體"/>
          <w:sz w:val="28"/>
          <w:szCs w:val="28"/>
        </w:rPr>
        <w:t>預算第2目「人事法制及銓敘」編列732萬9千元，凍結</w:t>
      </w:r>
      <w:r w:rsidRPr="001B6E4D">
        <w:rPr>
          <w:rFonts w:ascii="標楷體" w:eastAsia="標楷體" w:hAnsi="標楷體" w:hint="eastAsia"/>
          <w:sz w:val="28"/>
          <w:szCs w:val="28"/>
        </w:rPr>
        <w:t>35</w:t>
      </w:r>
      <w:r w:rsidRPr="001B6E4D">
        <w:rPr>
          <w:rFonts w:ascii="標楷體" w:eastAsia="標楷體" w:hAnsi="標楷體"/>
          <w:sz w:val="28"/>
          <w:szCs w:val="28"/>
        </w:rPr>
        <w:t>萬元，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向立法院司法及法制委員會提出書面報告後，始得動支。【</w:t>
      </w:r>
      <w:r w:rsidRPr="001B6E4D">
        <w:rPr>
          <w:rFonts w:ascii="標楷體" w:eastAsia="標楷體" w:hAnsi="標楷體" w:hint="eastAsia"/>
          <w:sz w:val="28"/>
          <w:szCs w:val="28"/>
        </w:rPr>
        <w:t>51</w:t>
      </w:r>
      <w:r w:rsidRPr="001B6E4D">
        <w:rPr>
          <w:rFonts w:ascii="標楷體" w:eastAsia="標楷體" w:hAnsi="標楷體"/>
          <w:sz w:val="28"/>
          <w:szCs w:val="28"/>
        </w:rPr>
        <w:t>】</w:t>
      </w:r>
    </w:p>
    <w:p w14:paraId="42ECABFC"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w:t>
      </w:r>
      <w:r w:rsidRPr="001B6E4D">
        <w:rPr>
          <w:rFonts w:ascii="標楷體" w:eastAsia="標楷體" w:hAnsi="標楷體" w:cs="Arial" w:hint="eastAsia"/>
          <w:color w:val="000000"/>
          <w:sz w:val="28"/>
          <w:szCs w:val="28"/>
        </w:rPr>
        <w:t>許宇</w:t>
      </w:r>
      <w:proofErr w:type="gramStart"/>
      <w:r w:rsidRPr="001B6E4D">
        <w:rPr>
          <w:rFonts w:ascii="標楷體" w:eastAsia="標楷體" w:hAnsi="標楷體" w:cs="Arial" w:hint="eastAsia"/>
          <w:color w:val="000000"/>
          <w:sz w:val="28"/>
          <w:szCs w:val="28"/>
        </w:rPr>
        <w:t>甄</w:t>
      </w:r>
      <w:proofErr w:type="gramEnd"/>
    </w:p>
    <w:p w14:paraId="0C8EAF0D"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連署人：林沛祥　林倩綺</w:t>
      </w:r>
    </w:p>
    <w:p w14:paraId="58DE4AA8"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(四)</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年度銓敘部預算案於第1目「一般行政」項下「基本行政工作維持」中「業務費」之「水電費」編列預算702萬6千元。較</w:t>
      </w:r>
      <w:proofErr w:type="gramStart"/>
      <w:r w:rsidRPr="001B6E4D">
        <w:rPr>
          <w:rFonts w:ascii="標楷體" w:eastAsia="標楷體" w:hAnsi="標楷體"/>
          <w:sz w:val="28"/>
          <w:szCs w:val="28"/>
        </w:rPr>
        <w:t>114</w:t>
      </w:r>
      <w:proofErr w:type="gramEnd"/>
      <w:r w:rsidRPr="001B6E4D">
        <w:rPr>
          <w:rFonts w:ascii="標楷體" w:eastAsia="標楷體" w:hAnsi="標楷體"/>
          <w:sz w:val="28"/>
          <w:szCs w:val="28"/>
        </w:rPr>
        <w:t>年度預算數597</w:t>
      </w:r>
      <w:r w:rsidRPr="001B6E4D">
        <w:rPr>
          <w:rFonts w:ascii="標楷體" w:eastAsia="標楷體" w:hAnsi="標楷體" w:hint="eastAsia"/>
          <w:sz w:val="28"/>
          <w:szCs w:val="28"/>
        </w:rPr>
        <w:t>萬</w:t>
      </w:r>
      <w:r w:rsidRPr="001B6E4D">
        <w:rPr>
          <w:rFonts w:ascii="標楷體" w:eastAsia="標楷體" w:hAnsi="標楷體"/>
          <w:sz w:val="28"/>
          <w:szCs w:val="28"/>
        </w:rPr>
        <w:t>3千元，增加105</w:t>
      </w:r>
      <w:r w:rsidRPr="001B6E4D">
        <w:rPr>
          <w:rFonts w:ascii="標楷體" w:eastAsia="標楷體" w:hAnsi="標楷體" w:hint="eastAsia"/>
          <w:sz w:val="28"/>
          <w:szCs w:val="28"/>
        </w:rPr>
        <w:t>萬</w:t>
      </w:r>
      <w:r w:rsidRPr="001B6E4D">
        <w:rPr>
          <w:rFonts w:ascii="標楷體" w:eastAsia="標楷體" w:hAnsi="標楷體"/>
          <w:sz w:val="28"/>
          <w:szCs w:val="28"/>
        </w:rPr>
        <w:t>3千元，增幅17.63%；較</w:t>
      </w:r>
      <w:proofErr w:type="gramStart"/>
      <w:r w:rsidRPr="001B6E4D">
        <w:rPr>
          <w:rFonts w:ascii="標楷體" w:eastAsia="標楷體" w:hAnsi="標楷體"/>
          <w:sz w:val="28"/>
          <w:szCs w:val="28"/>
        </w:rPr>
        <w:t>112</w:t>
      </w:r>
      <w:proofErr w:type="gramEnd"/>
      <w:r w:rsidRPr="001B6E4D">
        <w:rPr>
          <w:rFonts w:ascii="標楷體" w:eastAsia="標楷體" w:hAnsi="標楷體"/>
          <w:sz w:val="28"/>
          <w:szCs w:val="28"/>
        </w:rPr>
        <w:t>年度決算數461</w:t>
      </w:r>
      <w:r w:rsidRPr="001B6E4D">
        <w:rPr>
          <w:rFonts w:ascii="標楷體" w:eastAsia="標楷體" w:hAnsi="標楷體" w:hint="eastAsia"/>
          <w:sz w:val="28"/>
          <w:szCs w:val="28"/>
        </w:rPr>
        <w:t>萬</w:t>
      </w:r>
      <w:r w:rsidRPr="001B6E4D">
        <w:rPr>
          <w:rFonts w:ascii="標楷體" w:eastAsia="標楷體" w:hAnsi="標楷體"/>
          <w:sz w:val="28"/>
          <w:szCs w:val="28"/>
        </w:rPr>
        <w:t>7千元，增加240</w:t>
      </w:r>
      <w:r w:rsidRPr="001B6E4D">
        <w:rPr>
          <w:rFonts w:ascii="標楷體" w:eastAsia="標楷體" w:hAnsi="標楷體" w:hint="eastAsia"/>
          <w:sz w:val="28"/>
          <w:szCs w:val="28"/>
        </w:rPr>
        <w:t>萬</w:t>
      </w:r>
      <w:r w:rsidRPr="001B6E4D">
        <w:rPr>
          <w:rFonts w:ascii="標楷體" w:eastAsia="標楷體" w:hAnsi="標楷體"/>
          <w:sz w:val="28"/>
          <w:szCs w:val="28"/>
        </w:rPr>
        <w:t>9千元，增幅52.17%。</w:t>
      </w:r>
    </w:p>
    <w:p w14:paraId="62E2ED10"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lastRenderedPageBreak/>
        <w:t>有</w:t>
      </w: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於行政院於113年3月27日核定「政府機關及學校用電效率提升計畫」，以115年整體用電效率較112年提升3%為目標。然而</w:t>
      </w:r>
      <w:proofErr w:type="gramStart"/>
      <w:r w:rsidRPr="001B6E4D">
        <w:rPr>
          <w:rFonts w:ascii="標楷體" w:eastAsia="標楷體" w:hAnsi="標楷體"/>
          <w:color w:val="000000"/>
          <w:sz w:val="28"/>
          <w:szCs w:val="28"/>
        </w:rPr>
        <w:t>銓敘部用電</w:t>
      </w:r>
      <w:proofErr w:type="gramEnd"/>
      <w:r w:rsidRPr="001B6E4D">
        <w:rPr>
          <w:rFonts w:ascii="標楷體" w:eastAsia="標楷體" w:hAnsi="標楷體"/>
          <w:color w:val="000000"/>
          <w:sz w:val="28"/>
          <w:szCs w:val="28"/>
        </w:rPr>
        <w:t>情形不減反增。本</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節原則，以及政府機關應以身作則帶頭示範，優先推動節電相關工作。</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請</w:t>
      </w:r>
      <w:proofErr w:type="gramStart"/>
      <w:r w:rsidRPr="001B6E4D">
        <w:rPr>
          <w:rFonts w:ascii="標楷體" w:eastAsia="標楷體" w:hAnsi="標楷體" w:hint="eastAsia"/>
          <w:color w:val="000000"/>
          <w:sz w:val="28"/>
          <w:szCs w:val="28"/>
        </w:rPr>
        <w:t>銓敘部於</w:t>
      </w:r>
      <w:r w:rsidRPr="001B6E4D">
        <w:rPr>
          <w:rFonts w:ascii="標楷體" w:eastAsia="標楷體" w:hAnsi="標楷體"/>
          <w:color w:val="000000"/>
          <w:sz w:val="28"/>
          <w:szCs w:val="28"/>
        </w:rPr>
        <w:t>2</w:t>
      </w:r>
      <w:r w:rsidRPr="001B6E4D">
        <w:rPr>
          <w:rFonts w:ascii="標楷體" w:eastAsia="標楷體" w:hAnsi="標楷體" w:hint="eastAsia"/>
          <w:color w:val="000000"/>
          <w:sz w:val="28"/>
          <w:szCs w:val="28"/>
        </w:rPr>
        <w:t>個月</w:t>
      </w:r>
      <w:proofErr w:type="gramEnd"/>
      <w:r w:rsidRPr="001B6E4D">
        <w:rPr>
          <w:rFonts w:ascii="標楷體" w:eastAsia="標楷體" w:hAnsi="標楷體" w:hint="eastAsia"/>
          <w:color w:val="000000"/>
          <w:sz w:val="28"/>
          <w:szCs w:val="28"/>
        </w:rPr>
        <w:t>內向立法院司法及法制委員會提出書面報告</w:t>
      </w:r>
      <w:r w:rsidRPr="001B6E4D">
        <w:rPr>
          <w:rFonts w:ascii="標楷體" w:eastAsia="標楷體" w:hAnsi="標楷體"/>
          <w:color w:val="000000"/>
          <w:sz w:val="28"/>
          <w:szCs w:val="28"/>
        </w:rPr>
        <w:t>。【46】</w:t>
      </w:r>
    </w:p>
    <w:p w14:paraId="36AD7D71"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提案人：許宇</w:t>
      </w:r>
      <w:proofErr w:type="gramStart"/>
      <w:r w:rsidRPr="001B6E4D">
        <w:rPr>
          <w:rFonts w:ascii="標楷體" w:eastAsia="標楷體" w:hAnsi="標楷體" w:cs="Arial"/>
          <w:color w:val="000000"/>
          <w:sz w:val="28"/>
          <w:szCs w:val="28"/>
        </w:rPr>
        <w:t>甄</w:t>
      </w:r>
      <w:proofErr w:type="gramEnd"/>
    </w:p>
    <w:p w14:paraId="38B230D7"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連署人：林沛祥　林倩綺</w:t>
      </w:r>
    </w:p>
    <w:p w14:paraId="27088B50"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(五)</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年度銓敘部預算案於第1目「一般行政」項下「基本行政工作維持」中「業務費」之「一般事務費」編列預算1,557萬4千元。其中辦理辦公廳舍室內裝修工程所編規劃設計監造及施工費等476</w:t>
      </w:r>
      <w:r w:rsidRPr="001B6E4D">
        <w:rPr>
          <w:rFonts w:ascii="標楷體" w:eastAsia="標楷體" w:hAnsi="標楷體" w:hint="eastAsia"/>
          <w:color w:val="000000"/>
          <w:sz w:val="28"/>
          <w:szCs w:val="28"/>
        </w:rPr>
        <w:t>萬</w:t>
      </w:r>
      <w:r w:rsidRPr="001B6E4D">
        <w:rPr>
          <w:rFonts w:ascii="標楷體" w:eastAsia="標楷體" w:hAnsi="標楷體"/>
          <w:sz w:val="28"/>
          <w:szCs w:val="28"/>
        </w:rPr>
        <w:t>7千元。</w:t>
      </w:r>
    </w:p>
    <w:p w14:paraId="0DD5426C"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經查，每年已有編列辦公場所修繕所需經費；卻又連年編列高額辦公廳舍室內裝修費用(</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年度編列400</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元、</w:t>
      </w:r>
      <w:proofErr w:type="gramStart"/>
      <w:r w:rsidRPr="001B6E4D">
        <w:rPr>
          <w:rFonts w:ascii="標楷體" w:eastAsia="標楷體" w:hAnsi="標楷體"/>
          <w:color w:val="000000"/>
          <w:sz w:val="28"/>
          <w:szCs w:val="28"/>
        </w:rPr>
        <w:t>114</w:t>
      </w:r>
      <w:proofErr w:type="gramEnd"/>
      <w:r w:rsidRPr="001B6E4D">
        <w:rPr>
          <w:rFonts w:ascii="標楷體" w:eastAsia="標楷體" w:hAnsi="標楷體"/>
          <w:color w:val="000000"/>
          <w:sz w:val="28"/>
          <w:szCs w:val="28"/>
        </w:rPr>
        <w:t>年度編列629</w:t>
      </w:r>
      <w:r w:rsidRPr="001B6E4D">
        <w:rPr>
          <w:rFonts w:ascii="標楷體" w:eastAsia="標楷體" w:hAnsi="標楷體" w:hint="eastAsia"/>
          <w:color w:val="000000"/>
          <w:sz w:val="28"/>
          <w:szCs w:val="28"/>
        </w:rPr>
        <w:t>萬</w:t>
      </w:r>
      <w:r w:rsidRPr="001B6E4D">
        <w:rPr>
          <w:rFonts w:ascii="標楷體" w:eastAsia="標楷體" w:hAnsi="標楷體"/>
          <w:color w:val="000000"/>
          <w:sz w:val="28"/>
          <w:szCs w:val="28"/>
        </w:rPr>
        <w:t>9千元)。</w:t>
      </w:r>
    </w:p>
    <w:p w14:paraId="4961F237"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hint="eastAsia"/>
          <w:color w:val="000000"/>
          <w:sz w:val="28"/>
          <w:szCs w:val="28"/>
        </w:rPr>
        <w:t>鑑</w:t>
      </w:r>
      <w:proofErr w:type="gramEnd"/>
      <w:r w:rsidRPr="001B6E4D">
        <w:rPr>
          <w:rFonts w:ascii="標楷體" w:eastAsia="標楷體" w:hAnsi="標楷體"/>
          <w:color w:val="000000"/>
          <w:sz w:val="28"/>
          <w:szCs w:val="28"/>
        </w:rPr>
        <w:t>於政府資源有限，應</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節開支。連年編列室內裝修預算，顯有鋪張浪費之嫌，</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請</w:t>
      </w:r>
      <w:proofErr w:type="gramStart"/>
      <w:r w:rsidRPr="001B6E4D">
        <w:rPr>
          <w:rFonts w:ascii="標楷體" w:eastAsia="標楷體" w:hAnsi="標楷體" w:hint="eastAsia"/>
          <w:color w:val="000000"/>
          <w:sz w:val="28"/>
          <w:szCs w:val="28"/>
        </w:rPr>
        <w:t>銓敘部於修繕</w:t>
      </w:r>
      <w:proofErr w:type="gramEnd"/>
      <w:r w:rsidRPr="001B6E4D">
        <w:rPr>
          <w:rFonts w:ascii="標楷體" w:eastAsia="標楷體" w:hAnsi="標楷體" w:hint="eastAsia"/>
          <w:color w:val="000000"/>
          <w:sz w:val="28"/>
          <w:szCs w:val="28"/>
        </w:rPr>
        <w:t>完竣後，向</w:t>
      </w:r>
      <w:r w:rsidRPr="001B6E4D">
        <w:rPr>
          <w:rFonts w:ascii="標楷體" w:eastAsia="標楷體" w:hAnsi="標楷體"/>
          <w:color w:val="000000"/>
          <w:sz w:val="28"/>
          <w:szCs w:val="28"/>
        </w:rPr>
        <w:t>立法院司法及法制委員會提出書面報告。【47】</w:t>
      </w:r>
    </w:p>
    <w:p w14:paraId="4D95FEAC"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提案人：許宇</w:t>
      </w:r>
      <w:proofErr w:type="gramStart"/>
      <w:r w:rsidRPr="001B6E4D">
        <w:rPr>
          <w:rFonts w:ascii="標楷體" w:eastAsia="標楷體" w:hAnsi="標楷體" w:cs="Arial"/>
          <w:color w:val="000000"/>
          <w:sz w:val="28"/>
          <w:szCs w:val="28"/>
        </w:rPr>
        <w:t>甄</w:t>
      </w:r>
      <w:proofErr w:type="gramEnd"/>
    </w:p>
    <w:p w14:paraId="0E57EC65"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連署人：林沛祥　林倩綺</w:t>
      </w:r>
    </w:p>
    <w:p w14:paraId="5E14A559"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(六)</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年度銓敘部預算案於第2目「人事法制及銓敘」編列732萬9千元。</w:t>
      </w:r>
    </w:p>
    <w:p w14:paraId="59182C2F"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為因應當前少子女化及減輕育兒負擔，營造友善職場，114年7月22日立</w:t>
      </w:r>
      <w:r w:rsidRPr="001B6E4D">
        <w:rPr>
          <w:rFonts w:ascii="標楷體" w:eastAsia="標楷體" w:hAnsi="標楷體" w:hint="eastAsia"/>
          <w:color w:val="000000"/>
          <w:sz w:val="28"/>
          <w:szCs w:val="28"/>
        </w:rPr>
        <w:t>法</w:t>
      </w:r>
      <w:r w:rsidRPr="001B6E4D">
        <w:rPr>
          <w:rFonts w:ascii="標楷體" w:eastAsia="標楷體" w:hAnsi="標楷體"/>
          <w:color w:val="000000"/>
          <w:sz w:val="28"/>
          <w:szCs w:val="28"/>
        </w:rPr>
        <w:t>院三讀</w:t>
      </w:r>
      <w:r w:rsidRPr="001B6E4D">
        <w:rPr>
          <w:rFonts w:ascii="標楷體" w:eastAsia="標楷體" w:hAnsi="標楷體" w:hint="eastAsia"/>
          <w:color w:val="000000"/>
          <w:sz w:val="28"/>
          <w:szCs w:val="28"/>
        </w:rPr>
        <w:t>修正</w:t>
      </w:r>
      <w:r w:rsidRPr="001B6E4D">
        <w:rPr>
          <w:rFonts w:ascii="標楷體" w:eastAsia="標楷體" w:hAnsi="標楷體"/>
          <w:color w:val="000000"/>
          <w:sz w:val="28"/>
          <w:szCs w:val="28"/>
        </w:rPr>
        <w:t>通過公務人員任用法第36條之1條文，其中附帶決議請銓敘</w:t>
      </w:r>
      <w:proofErr w:type="gramStart"/>
      <w:r w:rsidRPr="001B6E4D">
        <w:rPr>
          <w:rFonts w:ascii="標楷體" w:eastAsia="標楷體" w:hAnsi="標楷體"/>
          <w:color w:val="000000"/>
          <w:sz w:val="28"/>
          <w:szCs w:val="28"/>
        </w:rPr>
        <w:t>部於3個月內刪</w:t>
      </w:r>
      <w:proofErr w:type="gramEnd"/>
      <w:r w:rsidRPr="001B6E4D">
        <w:rPr>
          <w:rFonts w:ascii="標楷體" w:eastAsia="標楷體" w:hAnsi="標楷體"/>
          <w:color w:val="000000"/>
          <w:sz w:val="28"/>
          <w:szCs w:val="28"/>
        </w:rPr>
        <w:t>修「公務人員留職停薪辦法」，放寬公務人員申請育嬰孫假的留職停薪事由，讓公部門提供更友善的育嬰環境。</w:t>
      </w:r>
    </w:p>
    <w:p w14:paraId="0F63F3A6"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相關「公務人員留職停薪辦法」業於114年11月12日考試院考</w:t>
      </w:r>
      <w:proofErr w:type="gramStart"/>
      <w:r w:rsidRPr="001B6E4D">
        <w:rPr>
          <w:rFonts w:ascii="標楷體" w:eastAsia="標楷體" w:hAnsi="標楷體"/>
          <w:color w:val="000000"/>
          <w:sz w:val="28"/>
          <w:szCs w:val="28"/>
        </w:rPr>
        <w:t>臺銓</w:t>
      </w:r>
      <w:proofErr w:type="gramEnd"/>
      <w:r w:rsidRPr="001B6E4D">
        <w:rPr>
          <w:rFonts w:ascii="標楷體" w:eastAsia="標楷體" w:hAnsi="標楷體"/>
          <w:color w:val="000000"/>
          <w:sz w:val="28"/>
          <w:szCs w:val="28"/>
        </w:rPr>
        <w:t>一字第11400043161號、行政院院授人培</w:t>
      </w:r>
      <w:proofErr w:type="gramStart"/>
      <w:r w:rsidRPr="001B6E4D">
        <w:rPr>
          <w:rFonts w:ascii="標楷體" w:eastAsia="標楷體" w:hAnsi="標楷體"/>
          <w:color w:val="000000"/>
          <w:sz w:val="28"/>
          <w:szCs w:val="28"/>
        </w:rPr>
        <w:t>揆</w:t>
      </w:r>
      <w:proofErr w:type="gramEnd"/>
      <w:r w:rsidRPr="001B6E4D">
        <w:rPr>
          <w:rFonts w:ascii="標楷體" w:eastAsia="標楷體" w:hAnsi="標楷體"/>
          <w:color w:val="000000"/>
          <w:sz w:val="28"/>
          <w:szCs w:val="28"/>
        </w:rPr>
        <w:t>字第11400028512號令會同修正發布公務人員留職停薪辦法第5條、第6條、第9條條文。具體修正以下規定：</w:t>
      </w:r>
    </w:p>
    <w:p w14:paraId="0886E25A" w14:textId="77777777" w:rsidR="0051111F" w:rsidRPr="001B6E4D" w:rsidRDefault="0051111F" w:rsidP="003D1018">
      <w:pPr>
        <w:widowControl w:val="0"/>
        <w:overflowPunct w:val="0"/>
        <w:snapToGrid w:val="0"/>
        <w:spacing w:line="380" w:lineRule="exact"/>
        <w:ind w:left="1260" w:hangingChars="450" w:hanging="126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1.公務人員申請</w:t>
      </w:r>
      <w:proofErr w:type="gramStart"/>
      <w:r w:rsidRPr="001B6E4D">
        <w:rPr>
          <w:rFonts w:ascii="標楷體" w:eastAsia="標楷體" w:hAnsi="標楷體"/>
          <w:color w:val="000000"/>
          <w:sz w:val="28"/>
          <w:szCs w:val="28"/>
        </w:rPr>
        <w:t>育孫留</w:t>
      </w:r>
      <w:proofErr w:type="gramEnd"/>
      <w:r w:rsidRPr="001B6E4D">
        <w:rPr>
          <w:rFonts w:ascii="標楷體" w:eastAsia="標楷體" w:hAnsi="標楷體"/>
          <w:color w:val="000000"/>
          <w:sz w:val="28"/>
          <w:szCs w:val="28"/>
        </w:rPr>
        <w:t>職停薪，機關不得拒絕</w:t>
      </w:r>
      <w:r w:rsidRPr="001B6E4D">
        <w:rPr>
          <w:rFonts w:ascii="標楷體" w:eastAsia="標楷體" w:hAnsi="標楷體" w:hint="eastAsia"/>
          <w:color w:val="000000"/>
          <w:sz w:val="28"/>
          <w:szCs w:val="28"/>
        </w:rPr>
        <w:t>。</w:t>
      </w:r>
    </w:p>
    <w:p w14:paraId="39A64F44" w14:textId="77777777" w:rsidR="0051111F" w:rsidRPr="001B6E4D" w:rsidRDefault="0051111F" w:rsidP="003D1018">
      <w:pPr>
        <w:widowControl w:val="0"/>
        <w:overflowPunct w:val="0"/>
        <w:snapToGrid w:val="0"/>
        <w:spacing w:line="380" w:lineRule="exact"/>
        <w:ind w:left="1260" w:hangingChars="450" w:hanging="126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2.原條文規定為了照顧3足歲以下孫子女而申請</w:t>
      </w:r>
      <w:proofErr w:type="gramStart"/>
      <w:r w:rsidRPr="001B6E4D">
        <w:rPr>
          <w:rFonts w:ascii="標楷體" w:eastAsia="標楷體" w:hAnsi="標楷體"/>
          <w:color w:val="000000"/>
          <w:sz w:val="28"/>
          <w:szCs w:val="28"/>
        </w:rPr>
        <w:t>育孫留</w:t>
      </w:r>
      <w:proofErr w:type="gramEnd"/>
      <w:r w:rsidRPr="001B6E4D">
        <w:rPr>
          <w:rFonts w:ascii="標楷體" w:eastAsia="標楷體" w:hAnsi="標楷體"/>
          <w:color w:val="000000"/>
          <w:sz w:val="28"/>
          <w:szCs w:val="28"/>
        </w:rPr>
        <w:t>職停薪的公務人員，須以該孫子女無法受雙親適當養育或有特殊事由者為限</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修正後的條文刪除了這樣的條件</w:t>
      </w:r>
      <w:r w:rsidRPr="001B6E4D">
        <w:rPr>
          <w:rFonts w:ascii="標楷體" w:eastAsia="標楷體" w:hAnsi="標楷體" w:hint="eastAsia"/>
          <w:color w:val="000000"/>
          <w:sz w:val="28"/>
          <w:szCs w:val="28"/>
        </w:rPr>
        <w:t>。</w:t>
      </w:r>
    </w:p>
    <w:p w14:paraId="3C3BC2DD" w14:textId="77777777" w:rsidR="0051111F" w:rsidRPr="001B6E4D" w:rsidRDefault="0051111F" w:rsidP="003D1018">
      <w:pPr>
        <w:widowControl w:val="0"/>
        <w:overflowPunct w:val="0"/>
        <w:snapToGrid w:val="0"/>
        <w:spacing w:line="380" w:lineRule="exact"/>
        <w:ind w:left="1260" w:hangingChars="450" w:hanging="1260"/>
        <w:jc w:val="both"/>
        <w:rPr>
          <w:rFonts w:ascii="標楷體" w:eastAsia="標楷體" w:hAnsi="標楷體"/>
          <w:color w:val="000000"/>
          <w:sz w:val="28"/>
          <w:szCs w:val="28"/>
        </w:rPr>
      </w:pPr>
      <w:r w:rsidRPr="001B6E4D">
        <w:rPr>
          <w:rFonts w:ascii="標楷體" w:eastAsia="標楷體" w:hAnsi="標楷體" w:hint="eastAsia"/>
          <w:color w:val="000000"/>
          <w:sz w:val="28"/>
          <w:szCs w:val="28"/>
        </w:rPr>
        <w:t xml:space="preserve">       </w:t>
      </w:r>
      <w:r w:rsidRPr="001B6E4D">
        <w:rPr>
          <w:rFonts w:ascii="標楷體" w:eastAsia="標楷體" w:hAnsi="標楷體"/>
          <w:color w:val="000000"/>
          <w:sz w:val="28"/>
          <w:szCs w:val="28"/>
        </w:rPr>
        <w:t>3.</w:t>
      </w:r>
      <w:proofErr w:type="gramStart"/>
      <w:r w:rsidRPr="001B6E4D">
        <w:rPr>
          <w:rFonts w:ascii="標楷體" w:eastAsia="標楷體" w:hAnsi="標楷體"/>
          <w:color w:val="000000"/>
          <w:sz w:val="28"/>
          <w:szCs w:val="28"/>
        </w:rPr>
        <w:t>育孫留</w:t>
      </w:r>
      <w:proofErr w:type="gramEnd"/>
      <w:r w:rsidRPr="001B6E4D">
        <w:rPr>
          <w:rFonts w:ascii="標楷體" w:eastAsia="標楷體" w:hAnsi="標楷體"/>
          <w:color w:val="000000"/>
          <w:sz w:val="28"/>
          <w:szCs w:val="28"/>
        </w:rPr>
        <w:t>職停薪也可以一次申請至孫子女滿3足歲止</w:t>
      </w:r>
      <w:r w:rsidRPr="001B6E4D">
        <w:rPr>
          <w:rFonts w:ascii="標楷體" w:eastAsia="標楷體" w:hAnsi="標楷體" w:hint="eastAsia"/>
          <w:color w:val="000000"/>
          <w:sz w:val="28"/>
          <w:szCs w:val="28"/>
        </w:rPr>
        <w:t>。</w:t>
      </w:r>
    </w:p>
    <w:p w14:paraId="5BAF65FC"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關於</w:t>
      </w:r>
      <w:r w:rsidRPr="001B6E4D">
        <w:rPr>
          <w:rFonts w:ascii="標楷體" w:eastAsia="標楷體" w:hAnsi="標楷體" w:hint="eastAsia"/>
          <w:color w:val="000000"/>
          <w:sz w:val="28"/>
          <w:szCs w:val="28"/>
        </w:rPr>
        <w:t>留</w:t>
      </w:r>
      <w:r w:rsidRPr="001B6E4D">
        <w:rPr>
          <w:rFonts w:ascii="標楷體" w:eastAsia="標楷體" w:hAnsi="標楷體"/>
          <w:color w:val="000000"/>
          <w:sz w:val="28"/>
          <w:szCs w:val="28"/>
        </w:rPr>
        <w:t>職停薪期間退撫年資累計，</w:t>
      </w:r>
      <w:proofErr w:type="gramStart"/>
      <w:r w:rsidRPr="001B6E4D">
        <w:rPr>
          <w:rFonts w:ascii="標楷體" w:eastAsia="標楷體" w:hAnsi="標楷體"/>
          <w:color w:val="000000"/>
          <w:sz w:val="28"/>
          <w:szCs w:val="28"/>
        </w:rPr>
        <w:t>育嬰假已可</w:t>
      </w:r>
      <w:proofErr w:type="gramEnd"/>
      <w:r w:rsidRPr="001B6E4D">
        <w:rPr>
          <w:rFonts w:ascii="標楷體" w:eastAsia="標楷體" w:hAnsi="標楷體"/>
          <w:color w:val="000000"/>
          <w:sz w:val="28"/>
          <w:szCs w:val="28"/>
        </w:rPr>
        <w:t>全額自費累計退撫年資，而</w:t>
      </w:r>
      <w:proofErr w:type="gramStart"/>
      <w:r w:rsidRPr="001B6E4D">
        <w:rPr>
          <w:rFonts w:ascii="標楷體" w:eastAsia="標楷體" w:hAnsi="標楷體"/>
          <w:color w:val="000000"/>
          <w:sz w:val="28"/>
          <w:szCs w:val="28"/>
        </w:rPr>
        <w:t>甫</w:t>
      </w:r>
      <w:proofErr w:type="gramEnd"/>
      <w:r w:rsidRPr="001B6E4D">
        <w:rPr>
          <w:rFonts w:ascii="標楷體" w:eastAsia="標楷體" w:hAnsi="標楷體"/>
          <w:color w:val="000000"/>
          <w:sz w:val="28"/>
          <w:szCs w:val="28"/>
        </w:rPr>
        <w:t>上路的</w:t>
      </w:r>
      <w:proofErr w:type="gramStart"/>
      <w:r w:rsidRPr="001B6E4D">
        <w:rPr>
          <w:rFonts w:ascii="標楷體" w:eastAsia="標楷體" w:hAnsi="標楷體"/>
          <w:color w:val="000000"/>
          <w:sz w:val="28"/>
          <w:szCs w:val="28"/>
        </w:rPr>
        <w:t>育孫假</w:t>
      </w:r>
      <w:proofErr w:type="gramEnd"/>
      <w:r w:rsidRPr="001B6E4D">
        <w:rPr>
          <w:rFonts w:ascii="標楷體" w:eastAsia="標楷體" w:hAnsi="標楷體"/>
          <w:color w:val="000000"/>
          <w:sz w:val="28"/>
          <w:szCs w:val="28"/>
        </w:rPr>
        <w:t>則尚未能比照育嬰假，全額自費累計退撫年資。</w:t>
      </w:r>
      <w:r w:rsidRPr="001B6E4D">
        <w:rPr>
          <w:rFonts w:ascii="標楷體" w:eastAsia="標楷體" w:hAnsi="標楷體" w:hint="eastAsia"/>
          <w:color w:val="000000"/>
          <w:sz w:val="28"/>
          <w:szCs w:val="28"/>
        </w:rPr>
        <w:t>請</w:t>
      </w:r>
      <w:r w:rsidRPr="001B6E4D">
        <w:rPr>
          <w:rFonts w:ascii="標楷體" w:eastAsia="標楷體" w:hAnsi="標楷體"/>
          <w:color w:val="000000"/>
          <w:sz w:val="28"/>
          <w:szCs w:val="28"/>
        </w:rPr>
        <w:t>銓敘部完成</w:t>
      </w:r>
      <w:proofErr w:type="gramStart"/>
      <w:r w:rsidRPr="001B6E4D">
        <w:rPr>
          <w:rFonts w:ascii="標楷體" w:eastAsia="標楷體" w:hAnsi="標楷體"/>
          <w:color w:val="000000"/>
          <w:sz w:val="28"/>
          <w:szCs w:val="28"/>
        </w:rPr>
        <w:t>育孫假</w:t>
      </w:r>
      <w:proofErr w:type="gramEnd"/>
      <w:r w:rsidRPr="001B6E4D">
        <w:rPr>
          <w:rFonts w:ascii="標楷體" w:eastAsia="標楷體" w:hAnsi="標楷體"/>
          <w:color w:val="000000"/>
          <w:sz w:val="28"/>
          <w:szCs w:val="28"/>
        </w:rPr>
        <w:t>之退撫年資</w:t>
      </w:r>
      <w:proofErr w:type="gramStart"/>
      <w:r w:rsidRPr="001B6E4D">
        <w:rPr>
          <w:rFonts w:ascii="標楷體" w:eastAsia="標楷體" w:hAnsi="標楷體"/>
          <w:color w:val="000000"/>
          <w:sz w:val="28"/>
          <w:szCs w:val="28"/>
        </w:rPr>
        <w:t>併</w:t>
      </w:r>
      <w:proofErr w:type="gramEnd"/>
      <w:r w:rsidRPr="001B6E4D">
        <w:rPr>
          <w:rFonts w:ascii="標楷體" w:eastAsia="標楷體" w:hAnsi="標楷體"/>
          <w:color w:val="000000"/>
          <w:sz w:val="28"/>
          <w:szCs w:val="28"/>
        </w:rPr>
        <w:t>計得以比</w:t>
      </w:r>
      <w:r w:rsidRPr="001B6E4D">
        <w:rPr>
          <w:rFonts w:ascii="標楷體" w:eastAsia="標楷體" w:hAnsi="標楷體"/>
          <w:color w:val="000000"/>
          <w:sz w:val="28"/>
          <w:szCs w:val="28"/>
        </w:rPr>
        <w:lastRenderedPageBreak/>
        <w:t>照育嬰假之相關解釋函令。【50】</w:t>
      </w:r>
    </w:p>
    <w:p w14:paraId="72E85C3F"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提案人：翁曉玲</w:t>
      </w:r>
    </w:p>
    <w:p w14:paraId="5727C5B6"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連署人：許宇</w:t>
      </w:r>
      <w:proofErr w:type="gramStart"/>
      <w:r w:rsidRPr="001B6E4D">
        <w:rPr>
          <w:rFonts w:ascii="標楷體" w:eastAsia="標楷體" w:hAnsi="標楷體" w:cs="Arial"/>
          <w:color w:val="000000"/>
          <w:sz w:val="28"/>
          <w:szCs w:val="28"/>
        </w:rPr>
        <w:t>甄</w:t>
      </w:r>
      <w:proofErr w:type="gramEnd"/>
      <w:r w:rsidRPr="001B6E4D">
        <w:rPr>
          <w:rFonts w:ascii="標楷體" w:eastAsia="標楷體" w:hAnsi="標楷體" w:cs="Arial"/>
          <w:color w:val="000000"/>
          <w:sz w:val="28"/>
          <w:szCs w:val="28"/>
        </w:rPr>
        <w:t xml:space="preserve">　林倩綺</w:t>
      </w:r>
    </w:p>
    <w:p w14:paraId="2BD8B574"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(七)</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年度銓敘部預算案於第2目「人事法制及銓敘」項下「人事法制、管理及銓敘業務」編列預算644萬1千元。</w:t>
      </w:r>
    </w:p>
    <w:p w14:paraId="33B5F0EB"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查原住民族地區鄉（鎮、市、區）公所之組織編制與職務列等，長期存在與實際治理需求不相符之情形。以公所秘書職務為例，多數原住民族地區鄉（鎮、市、區）公所秘書職務列等最高</w:t>
      </w:r>
      <w:proofErr w:type="gramStart"/>
      <w:r w:rsidRPr="001B6E4D">
        <w:rPr>
          <w:rFonts w:ascii="標楷體" w:eastAsia="標楷體" w:hAnsi="標楷體"/>
          <w:color w:val="000000"/>
          <w:sz w:val="28"/>
          <w:szCs w:val="28"/>
        </w:rPr>
        <w:t>僅列薦任</w:t>
      </w:r>
      <w:proofErr w:type="gramEnd"/>
      <w:r w:rsidRPr="001B6E4D">
        <w:rPr>
          <w:rFonts w:ascii="標楷體" w:eastAsia="標楷體" w:hAnsi="標楷體"/>
          <w:color w:val="000000"/>
          <w:sz w:val="28"/>
          <w:szCs w:val="28"/>
        </w:rPr>
        <w:t>第八職等，</w:t>
      </w:r>
      <w:proofErr w:type="gramStart"/>
      <w:r w:rsidRPr="001B6E4D">
        <w:rPr>
          <w:rFonts w:ascii="標楷體" w:eastAsia="標楷體" w:hAnsi="標楷體"/>
          <w:color w:val="000000"/>
          <w:sz w:val="28"/>
          <w:szCs w:val="28"/>
        </w:rPr>
        <w:t>然原鄉公所</w:t>
      </w:r>
      <w:proofErr w:type="gramEnd"/>
      <w:r w:rsidRPr="001B6E4D">
        <w:rPr>
          <w:rFonts w:ascii="標楷體" w:eastAsia="標楷體" w:hAnsi="標楷體"/>
          <w:color w:val="000000"/>
          <w:sz w:val="28"/>
          <w:szCs w:val="28"/>
        </w:rPr>
        <w:t>除須辦理一般地方行政業務外，尚肩負原住民族政策推動、文化事務、災害防救、觀光發展、部落溝通及中央各項專案計畫執行等複雜工作，實際業務負擔與治理難度並不低於一般地方政府。</w:t>
      </w:r>
    </w:p>
    <w:p w14:paraId="65E82FAD"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近年中央大量</w:t>
      </w:r>
      <w:proofErr w:type="gramStart"/>
      <w:r w:rsidRPr="001B6E4D">
        <w:rPr>
          <w:rFonts w:ascii="標楷體" w:eastAsia="標楷體" w:hAnsi="標楷體"/>
          <w:color w:val="000000"/>
          <w:sz w:val="28"/>
          <w:szCs w:val="28"/>
        </w:rPr>
        <w:t>挹</w:t>
      </w:r>
      <w:proofErr w:type="gramEnd"/>
      <w:r w:rsidRPr="001B6E4D">
        <w:rPr>
          <w:rFonts w:ascii="標楷體" w:eastAsia="標楷體" w:hAnsi="標楷體"/>
          <w:color w:val="000000"/>
          <w:sz w:val="28"/>
          <w:szCs w:val="28"/>
        </w:rPr>
        <w:t>注原鄉基礎建設、災後重建及地方創生等經費，原鄉公所承擔之行政與工程管理責任日益加重，然現行職務列等偏低，不僅影響人才延攬與留任，亦造成原住民族基層公務體系升遷天花板過低，難以吸引具專業能力之人才長期投入原鄉治理。相較之下，部分直轄市轄區公所秘書職務列等</w:t>
      </w:r>
      <w:proofErr w:type="gramStart"/>
      <w:r w:rsidRPr="001B6E4D">
        <w:rPr>
          <w:rFonts w:ascii="標楷體" w:eastAsia="標楷體" w:hAnsi="標楷體"/>
          <w:color w:val="000000"/>
          <w:sz w:val="28"/>
          <w:szCs w:val="28"/>
        </w:rPr>
        <w:t>已達薦任</w:t>
      </w:r>
      <w:proofErr w:type="gramEnd"/>
      <w:r w:rsidRPr="001B6E4D">
        <w:rPr>
          <w:rFonts w:ascii="標楷體" w:eastAsia="標楷體" w:hAnsi="標楷體"/>
          <w:color w:val="000000"/>
          <w:sz w:val="28"/>
          <w:szCs w:val="28"/>
        </w:rPr>
        <w:t>第九職等，顯示現行制度於原鄉治理特殊性及實際業務需求之衡量上，仍有檢討空間。</w:t>
      </w:r>
    </w:p>
    <w:p w14:paraId="1779E48E"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hint="eastAsia"/>
          <w:color w:val="000000"/>
          <w:sz w:val="28"/>
          <w:szCs w:val="28"/>
        </w:rPr>
        <w:t>請</w:t>
      </w:r>
      <w:proofErr w:type="gramStart"/>
      <w:r w:rsidRPr="001B6E4D">
        <w:rPr>
          <w:rFonts w:ascii="標楷體" w:eastAsia="標楷體" w:hAnsi="標楷體"/>
          <w:color w:val="000000"/>
          <w:sz w:val="28"/>
          <w:szCs w:val="28"/>
        </w:rPr>
        <w:t>銓敘部於3個月</w:t>
      </w:r>
      <w:proofErr w:type="gramEnd"/>
      <w:r w:rsidRPr="001B6E4D">
        <w:rPr>
          <w:rFonts w:ascii="標楷體" w:eastAsia="標楷體" w:hAnsi="標楷體"/>
          <w:color w:val="000000"/>
          <w:sz w:val="28"/>
          <w:szCs w:val="28"/>
        </w:rPr>
        <w:t>內向立法院司法及法制委員會提出書面報告。【52】</w:t>
      </w:r>
    </w:p>
    <w:p w14:paraId="3A41D3DC" w14:textId="77777777" w:rsidR="0051111F" w:rsidRPr="001B6E4D" w:rsidRDefault="0051111F" w:rsidP="003D1018">
      <w:pPr>
        <w:widowControl w:val="0"/>
        <w:overflowPunct w:val="0"/>
        <w:snapToGrid w:val="0"/>
        <w:ind w:leftChars="1500" w:left="4776" w:hangingChars="420" w:hanging="1176"/>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提案人：張雅琳　</w:t>
      </w:r>
      <w:r w:rsidRPr="001B6E4D">
        <w:rPr>
          <w:rFonts w:ascii="標楷體" w:eastAsia="標楷體" w:hAnsi="標楷體" w:cstheme="minorBidi"/>
          <w:color w:val="000000"/>
          <w:spacing w:val="-20"/>
          <w:w w:val="88"/>
          <w:sz w:val="28"/>
          <w:szCs w:val="28"/>
        </w:rPr>
        <w:t>伍麗華</w:t>
      </w:r>
      <w:proofErr w:type="spellStart"/>
      <w:r w:rsidRPr="001B6E4D">
        <w:rPr>
          <w:rFonts w:ascii="標楷體" w:eastAsia="標楷體" w:hAnsi="標楷體" w:cstheme="minorBidi"/>
          <w:color w:val="000000"/>
          <w:spacing w:val="-20"/>
          <w:w w:val="88"/>
          <w:sz w:val="28"/>
          <w:szCs w:val="28"/>
        </w:rPr>
        <w:t>Saidhai</w:t>
      </w:r>
      <w:proofErr w:type="spellEnd"/>
      <w:r w:rsidRPr="001B6E4D">
        <w:rPr>
          <w:rFonts w:ascii="標楷體" w:eastAsia="標楷體" w:hAnsi="標楷體" w:cstheme="minorBidi"/>
          <w:color w:val="000000"/>
          <w:spacing w:val="-20"/>
          <w:w w:val="88"/>
          <w:sz w:val="28"/>
          <w:szCs w:val="28"/>
        </w:rPr>
        <w:t>．</w:t>
      </w:r>
      <w:proofErr w:type="spellStart"/>
      <w:r w:rsidRPr="001B6E4D">
        <w:rPr>
          <w:rFonts w:ascii="標楷體" w:eastAsia="標楷體" w:hAnsi="標楷體" w:cstheme="minorBidi"/>
          <w:color w:val="000000"/>
          <w:spacing w:val="-20"/>
          <w:w w:val="88"/>
          <w:sz w:val="28"/>
          <w:szCs w:val="28"/>
        </w:rPr>
        <w:t>Tahovecahe</w:t>
      </w:r>
      <w:proofErr w:type="spellEnd"/>
    </w:p>
    <w:p w14:paraId="0A696236"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連署人：沈發惠　</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07E96971"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(八)</w:t>
      </w:r>
      <w:r w:rsidRPr="001B6E4D">
        <w:rPr>
          <w:rFonts w:ascii="標楷體" w:eastAsia="標楷體" w:hAnsi="標楷體"/>
          <w:sz w:val="28"/>
          <w:szCs w:val="28"/>
        </w:rPr>
        <w:t>有關銓敘部預告</w:t>
      </w:r>
      <w:r w:rsidRPr="001B6E4D">
        <w:rPr>
          <w:rFonts w:ascii="標楷體" w:eastAsia="標楷體" w:hAnsi="標楷體" w:hint="eastAsia"/>
          <w:sz w:val="28"/>
          <w:szCs w:val="28"/>
        </w:rPr>
        <w:t>「</w:t>
      </w:r>
      <w:r w:rsidRPr="001B6E4D">
        <w:rPr>
          <w:rFonts w:ascii="標楷體" w:eastAsia="標楷體" w:hAnsi="標楷體"/>
          <w:sz w:val="28"/>
          <w:szCs w:val="28"/>
        </w:rPr>
        <w:t>公務人員考績法修正草案</w:t>
      </w:r>
      <w:r w:rsidRPr="001B6E4D">
        <w:rPr>
          <w:rFonts w:ascii="標楷體" w:eastAsia="標楷體" w:hAnsi="標楷體" w:hint="eastAsia"/>
          <w:sz w:val="28"/>
          <w:szCs w:val="28"/>
        </w:rPr>
        <w:t>」</w:t>
      </w:r>
      <w:r w:rsidRPr="001B6E4D">
        <w:rPr>
          <w:rFonts w:ascii="標楷體" w:eastAsia="標楷體" w:hAnsi="標楷體"/>
          <w:sz w:val="28"/>
          <w:szCs w:val="28"/>
        </w:rPr>
        <w:t>，旨在建構完善考績制度、落實</w:t>
      </w:r>
      <w:proofErr w:type="gramStart"/>
      <w:r w:rsidRPr="001B6E4D">
        <w:rPr>
          <w:rFonts w:ascii="標楷體" w:eastAsia="標楷體" w:hAnsi="標楷體"/>
          <w:sz w:val="28"/>
          <w:szCs w:val="28"/>
        </w:rPr>
        <w:t>覈</w:t>
      </w:r>
      <w:proofErr w:type="gramEnd"/>
      <w:r w:rsidRPr="001B6E4D">
        <w:rPr>
          <w:rFonts w:ascii="標楷體" w:eastAsia="標楷體" w:hAnsi="標楷體"/>
          <w:sz w:val="28"/>
          <w:szCs w:val="28"/>
        </w:rPr>
        <w:t>實評價並正向激勵卓越人才。</w:t>
      </w:r>
      <w:proofErr w:type="gramStart"/>
      <w:r w:rsidRPr="001B6E4D">
        <w:rPr>
          <w:rFonts w:ascii="標楷體" w:eastAsia="標楷體" w:hAnsi="標楷體"/>
          <w:sz w:val="28"/>
          <w:szCs w:val="28"/>
        </w:rPr>
        <w:t>惟</w:t>
      </w:r>
      <w:proofErr w:type="gramEnd"/>
      <w:r w:rsidRPr="001B6E4D">
        <w:rPr>
          <w:rFonts w:ascii="標楷體" w:eastAsia="標楷體" w:hAnsi="標楷體"/>
          <w:sz w:val="28"/>
          <w:szCs w:val="28"/>
        </w:rPr>
        <w:t>現行制度採取主管單向評定，缺乏「下對上」或「</w:t>
      </w:r>
      <w:proofErr w:type="gramStart"/>
      <w:r w:rsidRPr="001B6E4D">
        <w:rPr>
          <w:rFonts w:ascii="標楷體" w:eastAsia="標楷體" w:hAnsi="標楷體"/>
          <w:sz w:val="28"/>
          <w:szCs w:val="28"/>
        </w:rPr>
        <w:t>同級互評</w:t>
      </w:r>
      <w:proofErr w:type="gramEnd"/>
      <w:r w:rsidRPr="001B6E4D">
        <w:rPr>
          <w:rFonts w:ascii="標楷體" w:eastAsia="標楷體" w:hAnsi="標楷體"/>
          <w:sz w:val="28"/>
          <w:szCs w:val="28"/>
        </w:rPr>
        <w:t>」之配套，導致資訊不對稱、主管主觀偏好導向，以及不適任主管難以</w:t>
      </w:r>
      <w:proofErr w:type="gramStart"/>
      <w:r w:rsidRPr="001B6E4D">
        <w:rPr>
          <w:rFonts w:ascii="標楷體" w:eastAsia="標楷體" w:hAnsi="標楷體"/>
          <w:sz w:val="28"/>
          <w:szCs w:val="28"/>
        </w:rPr>
        <w:t>汰</w:t>
      </w:r>
      <w:proofErr w:type="gramEnd"/>
      <w:r w:rsidRPr="001B6E4D">
        <w:rPr>
          <w:rFonts w:ascii="標楷體" w:eastAsia="標楷體" w:hAnsi="標楷體"/>
          <w:sz w:val="28"/>
          <w:szCs w:val="28"/>
        </w:rPr>
        <w:t>換等管理盲點。</w:t>
      </w:r>
    </w:p>
    <w:p w14:paraId="207ED3E4"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考績制度之核心價值不應僅限於「評價」，更應發揮「回饋」之功能。為建立公平、客觀且具激勵效能之公務體系，</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w:t>
      </w:r>
      <w:proofErr w:type="gramStart"/>
      <w:r w:rsidRPr="001B6E4D">
        <w:rPr>
          <w:rFonts w:ascii="標楷體" w:eastAsia="標楷體" w:hAnsi="標楷體"/>
          <w:color w:val="000000"/>
          <w:sz w:val="28"/>
          <w:szCs w:val="28"/>
        </w:rPr>
        <w:t>銓敘部於推動</w:t>
      </w:r>
      <w:proofErr w:type="gramEnd"/>
      <w:r w:rsidRPr="001B6E4D">
        <w:rPr>
          <w:rFonts w:ascii="標楷體" w:eastAsia="標楷體" w:hAnsi="標楷體"/>
          <w:color w:val="000000"/>
          <w:sz w:val="28"/>
          <w:szCs w:val="28"/>
        </w:rPr>
        <w:t>修法之際，應同步</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議「多元評價」與「雙向回饋」機制之可行性，以化解現行單向考評與名額爭奪之弊端。</w:t>
      </w:r>
    </w:p>
    <w:p w14:paraId="3C93A260"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此外，</w:t>
      </w:r>
      <w:proofErr w:type="gramEnd"/>
      <w:r w:rsidRPr="001B6E4D">
        <w:rPr>
          <w:rFonts w:ascii="標楷體" w:eastAsia="標楷體" w:hAnsi="標楷體"/>
          <w:color w:val="000000"/>
          <w:sz w:val="28"/>
          <w:szCs w:val="28"/>
        </w:rPr>
        <w:t>應建立不具名回饋管道，促使基層同仁針對管理模式、領導統御及工作環境提出改革意見。為確保制度公信力，基層回饋意見應與考績評定功能分離，不得作為不利處分之依據，並應建立處理結果之公開說明機制，確保程序透明。</w:t>
      </w:r>
    </w:p>
    <w:p w14:paraId="06C920D5"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為建立公平、客觀且具激勵效能之公務體系考績制度，真</w:t>
      </w:r>
      <w:r w:rsidRPr="001B6E4D">
        <w:rPr>
          <w:rFonts w:ascii="標楷體" w:eastAsia="標楷體" w:hAnsi="標楷體"/>
          <w:color w:val="000000"/>
          <w:sz w:val="28"/>
          <w:szCs w:val="28"/>
        </w:rPr>
        <w:lastRenderedPageBreak/>
        <w:t>實反映基層勞動成果，</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建請銓敘部針對上述「多元回饋機制」之具體規劃及改善方案，於3個月內向</w:t>
      </w:r>
      <w:r w:rsidRPr="001B6E4D">
        <w:rPr>
          <w:rFonts w:ascii="標楷體" w:eastAsia="標楷體" w:hAnsi="標楷體" w:hint="eastAsia"/>
          <w:color w:val="000000"/>
          <w:sz w:val="28"/>
          <w:szCs w:val="28"/>
        </w:rPr>
        <w:t>立法</w:t>
      </w:r>
      <w:r w:rsidRPr="001B6E4D">
        <w:rPr>
          <w:rFonts w:ascii="標楷體" w:eastAsia="標楷體" w:hAnsi="標楷體"/>
          <w:color w:val="000000"/>
          <w:sz w:val="28"/>
          <w:szCs w:val="28"/>
        </w:rPr>
        <w:t>院司法及法制委員會提出書面報告。【54】</w:t>
      </w:r>
    </w:p>
    <w:p w14:paraId="6CFD4AB1"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提案人：莊瑞雄</w:t>
      </w:r>
    </w:p>
    <w:p w14:paraId="4C2754CC"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　沈發惠</w:t>
      </w:r>
    </w:p>
    <w:p w14:paraId="1BECF08D"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(九)</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於近年公務人員人力流動情形出現變化，依銓敘部統計，近</w:t>
      </w:r>
      <w:r w:rsidRPr="001B6E4D">
        <w:rPr>
          <w:rFonts w:ascii="標楷體" w:eastAsia="標楷體" w:hAnsi="標楷體" w:hint="eastAsia"/>
          <w:sz w:val="28"/>
          <w:szCs w:val="28"/>
        </w:rPr>
        <w:t>六</w:t>
      </w:r>
      <w:r w:rsidRPr="001B6E4D">
        <w:rPr>
          <w:rFonts w:ascii="標楷體" w:eastAsia="標楷體" w:hAnsi="標楷體"/>
          <w:sz w:val="28"/>
          <w:szCs w:val="28"/>
        </w:rPr>
        <w:t>年公務人員辭職人數由1,157人增加至1,959人，成長幅度接近七成，雖辭職率僅由0.8%上升至1.4%，整體比例尚屬低度變動，惟實際離職人數持續攀升，已反映基層人力流失壓力與制度吸引力之潛在變化。現行多以比率觀察整體穩定性，是否足以即時反映人力結構變動趨勢，及其對機關運作、人才補充與留任機制之中長期影響，容有進一步檢討之必要。</w:t>
      </w:r>
      <w:proofErr w:type="gramStart"/>
      <w:r w:rsidRPr="001B6E4D">
        <w:rPr>
          <w:rFonts w:ascii="標楷體" w:eastAsia="標楷體" w:hAnsi="標楷體"/>
          <w:sz w:val="28"/>
          <w:szCs w:val="28"/>
        </w:rPr>
        <w:t>爰</w:t>
      </w:r>
      <w:proofErr w:type="gramEnd"/>
      <w:r w:rsidRPr="001B6E4D">
        <w:rPr>
          <w:rFonts w:ascii="標楷體" w:eastAsia="標楷體" w:hAnsi="標楷體"/>
          <w:sz w:val="28"/>
          <w:szCs w:val="28"/>
        </w:rPr>
        <w:t>請</w:t>
      </w:r>
      <w:proofErr w:type="gramStart"/>
      <w:r w:rsidRPr="001B6E4D">
        <w:rPr>
          <w:rFonts w:ascii="標楷體" w:eastAsia="標楷體" w:hAnsi="標楷體"/>
          <w:sz w:val="28"/>
          <w:szCs w:val="28"/>
        </w:rPr>
        <w:t>銓敘部就公務人員</w:t>
      </w:r>
      <w:proofErr w:type="gramEnd"/>
      <w:r w:rsidRPr="001B6E4D">
        <w:rPr>
          <w:rFonts w:ascii="標楷體" w:eastAsia="標楷體" w:hAnsi="標楷體"/>
          <w:sz w:val="28"/>
          <w:szCs w:val="28"/>
        </w:rPr>
        <w:t>辭職情形之觀察指標與評估方式，通盤檢討「辭職率」與「辭職人數」之政策判讀基準，並就近年辭職人數持續上升之趨勢，評估是否涉及人力結構性流失之風險，</w:t>
      </w:r>
      <w:proofErr w:type="gramStart"/>
      <w:r w:rsidRPr="001B6E4D">
        <w:rPr>
          <w:rFonts w:ascii="標楷體" w:eastAsia="標楷體" w:hAnsi="標楷體"/>
          <w:sz w:val="28"/>
          <w:szCs w:val="28"/>
        </w:rPr>
        <w:t>併</w:t>
      </w:r>
      <w:proofErr w:type="gramEnd"/>
      <w:r w:rsidRPr="001B6E4D">
        <w:rPr>
          <w:rFonts w:ascii="標楷體" w:eastAsia="標楷體" w:hAnsi="標楷體"/>
          <w:sz w:val="28"/>
          <w:szCs w:val="28"/>
        </w:rPr>
        <w:t>同分析不同職系、職等、年資及機關別</w:t>
      </w:r>
      <w:proofErr w:type="gramStart"/>
      <w:r w:rsidRPr="001B6E4D">
        <w:rPr>
          <w:rFonts w:ascii="標楷體" w:eastAsia="標楷體" w:hAnsi="標楷體"/>
          <w:sz w:val="28"/>
          <w:szCs w:val="28"/>
        </w:rPr>
        <w:t>之</w:t>
      </w:r>
      <w:proofErr w:type="gramEnd"/>
      <w:r w:rsidRPr="001B6E4D">
        <w:rPr>
          <w:rFonts w:ascii="標楷體" w:eastAsia="標楷體" w:hAnsi="標楷體"/>
          <w:sz w:val="28"/>
          <w:szCs w:val="28"/>
        </w:rPr>
        <w:t>流動差異，</w:t>
      </w:r>
      <w:proofErr w:type="gramStart"/>
      <w:r w:rsidRPr="001B6E4D">
        <w:rPr>
          <w:rFonts w:ascii="標楷體" w:eastAsia="標楷體" w:hAnsi="標楷體"/>
          <w:sz w:val="28"/>
          <w:szCs w:val="28"/>
        </w:rPr>
        <w:t>研</w:t>
      </w:r>
      <w:proofErr w:type="gramEnd"/>
      <w:r w:rsidRPr="001B6E4D">
        <w:rPr>
          <w:rFonts w:ascii="標楷體" w:eastAsia="標楷體" w:hAnsi="標楷體"/>
          <w:sz w:val="28"/>
          <w:szCs w:val="28"/>
        </w:rPr>
        <w:t>提強化留才與穩定人力之具體策略及中長程規劃。</w:t>
      </w:r>
    </w:p>
    <w:p w14:paraId="6BD50DEA"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w:t>
      </w:r>
      <w:proofErr w:type="gramStart"/>
      <w:r w:rsidRPr="001B6E4D">
        <w:rPr>
          <w:rFonts w:ascii="標楷體" w:eastAsia="標楷體" w:hAnsi="標楷體"/>
          <w:color w:val="000000"/>
          <w:sz w:val="28"/>
          <w:szCs w:val="28"/>
        </w:rPr>
        <w:t>銓敘部於3個月</w:t>
      </w:r>
      <w:proofErr w:type="gramEnd"/>
      <w:r w:rsidRPr="001B6E4D">
        <w:rPr>
          <w:rFonts w:ascii="標楷體" w:eastAsia="標楷體" w:hAnsi="標楷體"/>
          <w:color w:val="000000"/>
          <w:sz w:val="28"/>
          <w:szCs w:val="28"/>
        </w:rPr>
        <w:t>內向立法院司法及法制委員會提出書面報告。【55】</w:t>
      </w:r>
    </w:p>
    <w:p w14:paraId="6783A8CA"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提案人：沈發惠</w:t>
      </w:r>
    </w:p>
    <w:p w14:paraId="40EF450B"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連署人：張雅琳　</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363893E8"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於銓敘部統計顯示，近</w:t>
      </w:r>
      <w:r w:rsidRPr="001B6E4D">
        <w:rPr>
          <w:rFonts w:ascii="標楷體" w:eastAsia="標楷體" w:hAnsi="標楷體" w:hint="eastAsia"/>
          <w:sz w:val="28"/>
          <w:szCs w:val="28"/>
        </w:rPr>
        <w:t>六</w:t>
      </w:r>
      <w:r w:rsidRPr="001B6E4D">
        <w:rPr>
          <w:rFonts w:ascii="標楷體" w:eastAsia="標楷體" w:hAnsi="標楷體"/>
          <w:sz w:val="28"/>
          <w:szCs w:val="28"/>
        </w:rPr>
        <w:t>年辭職公務人員中約有</w:t>
      </w:r>
      <w:r w:rsidRPr="001B6E4D">
        <w:rPr>
          <w:rFonts w:ascii="標楷體" w:eastAsia="標楷體" w:hAnsi="標楷體" w:hint="eastAsia"/>
          <w:sz w:val="28"/>
          <w:szCs w:val="28"/>
        </w:rPr>
        <w:t>二</w:t>
      </w:r>
      <w:r w:rsidRPr="001B6E4D">
        <w:rPr>
          <w:rFonts w:ascii="標楷體" w:eastAsia="標楷體" w:hAnsi="標楷體"/>
          <w:sz w:val="28"/>
          <w:szCs w:val="28"/>
        </w:rPr>
        <w:t>成再任公職，且其中約七成五於2年內回任，顯示相當比例人員並非離開公部門，而係透過再考試方式重新進入體系。此一現象反映現行考試分發、任用及轉調制度，可能存在人力配置與職務媒合不佳之情形，致使部分人員需透過「離職</w:t>
      </w: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重考</w:t>
      </w: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再分發」之迂迴方式調整職</w:t>
      </w:r>
      <w:proofErr w:type="gramStart"/>
      <w:r w:rsidRPr="001B6E4D">
        <w:rPr>
          <w:rFonts w:ascii="標楷體" w:eastAsia="標楷體" w:hAnsi="標楷體"/>
          <w:sz w:val="28"/>
          <w:szCs w:val="28"/>
        </w:rPr>
        <w:t>涯</w:t>
      </w:r>
      <w:proofErr w:type="gramEnd"/>
      <w:r w:rsidRPr="001B6E4D">
        <w:rPr>
          <w:rFonts w:ascii="標楷體" w:eastAsia="標楷體" w:hAnsi="標楷體"/>
          <w:sz w:val="28"/>
          <w:szCs w:val="28"/>
        </w:rPr>
        <w:t>。尤其現行高等考試分發人員原則需服務3年、地方特考人員最長達6年且轉調限制較嚴，相關制度設計是否影響人力合理流動與適才適所，並增加行政成本與人力</w:t>
      </w:r>
      <w:proofErr w:type="gramStart"/>
      <w:r w:rsidRPr="001B6E4D">
        <w:rPr>
          <w:rFonts w:ascii="標楷體" w:eastAsia="標楷體" w:hAnsi="標楷體"/>
          <w:sz w:val="28"/>
          <w:szCs w:val="28"/>
        </w:rPr>
        <w:t>不</w:t>
      </w:r>
      <w:proofErr w:type="gramEnd"/>
      <w:r w:rsidRPr="001B6E4D">
        <w:rPr>
          <w:rFonts w:ascii="標楷體" w:eastAsia="標楷體" w:hAnsi="標楷體"/>
          <w:sz w:val="28"/>
          <w:szCs w:val="28"/>
        </w:rPr>
        <w:t>穩定性，已有檢討之必要。</w:t>
      </w:r>
    </w:p>
    <w:p w14:paraId="338F0E1D"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請銓敘部通盤檢討現行公務人員考試分發、任用及轉調制度，針對高等考試及地方特種考試之服務年限與轉調限制，評估其對人力配置、留任意願及機關運作之影響，並</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適度縮短服務年限或建立彈性轉調機制之可行性；同時就近年「離職後再任」之人力流動樣態，分析其成因及制度性因素，提出優化選才與任用配置之具體方案，以降低人力反覆流動與重複培訓成本，並提升整體公務人力運用效能。</w:t>
      </w:r>
    </w:p>
    <w:p w14:paraId="121D386B"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w:t>
      </w:r>
      <w:proofErr w:type="gramStart"/>
      <w:r w:rsidRPr="001B6E4D">
        <w:rPr>
          <w:rFonts w:ascii="標楷體" w:eastAsia="標楷體" w:hAnsi="標楷體"/>
          <w:color w:val="000000"/>
          <w:sz w:val="28"/>
          <w:szCs w:val="28"/>
        </w:rPr>
        <w:t>銓敘部於3個月</w:t>
      </w:r>
      <w:proofErr w:type="gramEnd"/>
      <w:r w:rsidRPr="001B6E4D">
        <w:rPr>
          <w:rFonts w:ascii="標楷體" w:eastAsia="標楷體" w:hAnsi="標楷體"/>
          <w:color w:val="000000"/>
          <w:sz w:val="28"/>
          <w:szCs w:val="28"/>
        </w:rPr>
        <w:t>內向立法院司法及法制委員會提出</w:t>
      </w:r>
      <w:r w:rsidRPr="001B6E4D">
        <w:rPr>
          <w:rFonts w:ascii="標楷體" w:eastAsia="標楷體" w:hAnsi="標楷體"/>
          <w:color w:val="000000"/>
          <w:sz w:val="28"/>
          <w:szCs w:val="28"/>
        </w:rPr>
        <w:lastRenderedPageBreak/>
        <w:t>書面報告。【56】</w:t>
      </w:r>
    </w:p>
    <w:p w14:paraId="060A1819"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提案人：沈發惠</w:t>
      </w:r>
    </w:p>
    <w:p w14:paraId="4C4B258A"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連署人：張雅琳　</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79EBEA48"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(十一)</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於銓敘部統計顯示，近年辭職公務人員高度集中於基層與中階職等，</w:t>
      </w:r>
      <w:proofErr w:type="gramStart"/>
      <w:r w:rsidRPr="001B6E4D">
        <w:rPr>
          <w:rFonts w:ascii="標楷體" w:eastAsia="標楷體" w:hAnsi="標楷體"/>
          <w:sz w:val="28"/>
          <w:szCs w:val="28"/>
        </w:rPr>
        <w:t>其中薦</w:t>
      </w:r>
      <w:proofErr w:type="gramEnd"/>
      <w:r w:rsidRPr="001B6E4D">
        <w:rPr>
          <w:rFonts w:ascii="標楷體" w:eastAsia="標楷體" w:hAnsi="標楷體"/>
          <w:sz w:val="28"/>
          <w:szCs w:val="28"/>
        </w:rPr>
        <w:t>任第六職等占24.3%、委任第三職等占23.1%、薦任第七職等占20.5%，三者合計高達68%，且第七職等以下人員接近九成。此等職等多屬各機關第一線承辦及基層執行人力，若流失趨勢持續，恐造成基層人力斷層，並影響行政效能與公共服務品質，現行僅以整體辭職人數或辭職率觀察，尚不足以掌握關鍵職等流失成因及制度風險，實有進一步檢討必要。</w:t>
      </w:r>
    </w:p>
    <w:p w14:paraId="6A87D379"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請銓敘部針對近年公務人員辭職情形，進一步完成職等別、職系別、年資別及機關別</w:t>
      </w:r>
      <w:proofErr w:type="gramStart"/>
      <w:r w:rsidRPr="001B6E4D">
        <w:rPr>
          <w:rFonts w:ascii="標楷體" w:eastAsia="標楷體" w:hAnsi="標楷體"/>
          <w:color w:val="000000"/>
          <w:sz w:val="28"/>
          <w:szCs w:val="28"/>
        </w:rPr>
        <w:t>之</w:t>
      </w:r>
      <w:proofErr w:type="gramEnd"/>
      <w:r w:rsidRPr="001B6E4D">
        <w:rPr>
          <w:rFonts w:ascii="標楷體" w:eastAsia="標楷體" w:hAnsi="標楷體"/>
          <w:color w:val="000000"/>
          <w:sz w:val="28"/>
          <w:szCs w:val="28"/>
        </w:rPr>
        <w:t>流失原因分析，</w:t>
      </w:r>
      <w:proofErr w:type="gramStart"/>
      <w:r w:rsidRPr="001B6E4D">
        <w:rPr>
          <w:rFonts w:ascii="標楷體" w:eastAsia="標楷體" w:hAnsi="標楷體"/>
          <w:color w:val="000000"/>
          <w:sz w:val="28"/>
          <w:szCs w:val="28"/>
        </w:rPr>
        <w:t>特別就薦任</w:t>
      </w:r>
      <w:proofErr w:type="gramEnd"/>
      <w:r w:rsidRPr="001B6E4D">
        <w:rPr>
          <w:rFonts w:ascii="標楷體" w:eastAsia="標楷體" w:hAnsi="標楷體"/>
          <w:color w:val="000000"/>
          <w:sz w:val="28"/>
          <w:szCs w:val="28"/>
        </w:rPr>
        <w:t>第六至第七職等及委任職等第一線承辦人力之離職樣態，檢討是否涉及工作負荷、職</w:t>
      </w:r>
      <w:proofErr w:type="gramStart"/>
      <w:r w:rsidRPr="001B6E4D">
        <w:rPr>
          <w:rFonts w:ascii="標楷體" w:eastAsia="標楷體" w:hAnsi="標楷體"/>
          <w:color w:val="000000"/>
          <w:sz w:val="28"/>
          <w:szCs w:val="28"/>
        </w:rPr>
        <w:t>涯</w:t>
      </w:r>
      <w:proofErr w:type="gramEnd"/>
      <w:r w:rsidRPr="001B6E4D">
        <w:rPr>
          <w:rFonts w:ascii="標楷體" w:eastAsia="標楷體" w:hAnsi="標楷體"/>
          <w:color w:val="000000"/>
          <w:sz w:val="28"/>
          <w:szCs w:val="28"/>
        </w:rPr>
        <w:t>發展、考績制度、待遇誘因及人力配置不均等因素，並</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議具體改革方向，包括基層人力配置調整、考績制度與績效連動機制、</w:t>
      </w:r>
      <w:proofErr w:type="gramStart"/>
      <w:r w:rsidRPr="001B6E4D">
        <w:rPr>
          <w:rFonts w:ascii="標楷體" w:eastAsia="標楷體" w:hAnsi="標楷體"/>
          <w:color w:val="000000"/>
          <w:sz w:val="28"/>
          <w:szCs w:val="28"/>
        </w:rPr>
        <w:t>差異化留才</w:t>
      </w:r>
      <w:proofErr w:type="gramEnd"/>
      <w:r w:rsidRPr="001B6E4D">
        <w:rPr>
          <w:rFonts w:ascii="標楷體" w:eastAsia="標楷體" w:hAnsi="標楷體"/>
          <w:color w:val="000000"/>
          <w:sz w:val="28"/>
          <w:szCs w:val="28"/>
        </w:rPr>
        <w:t>誘因設計及關鍵職等留任策略。</w:t>
      </w:r>
    </w:p>
    <w:p w14:paraId="77C8CAF4"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w:t>
      </w:r>
      <w:proofErr w:type="gramStart"/>
      <w:r w:rsidRPr="001B6E4D">
        <w:rPr>
          <w:rFonts w:ascii="標楷體" w:eastAsia="標楷體" w:hAnsi="標楷體"/>
          <w:color w:val="000000"/>
          <w:sz w:val="28"/>
          <w:szCs w:val="28"/>
        </w:rPr>
        <w:t>銓敘部於3個月</w:t>
      </w:r>
      <w:proofErr w:type="gramEnd"/>
      <w:r w:rsidRPr="001B6E4D">
        <w:rPr>
          <w:rFonts w:ascii="標楷體" w:eastAsia="標楷體" w:hAnsi="標楷體"/>
          <w:color w:val="000000"/>
          <w:sz w:val="28"/>
          <w:szCs w:val="28"/>
        </w:rPr>
        <w:t>內向立法院司法及法制委員會提出書面報告。【57】</w:t>
      </w:r>
    </w:p>
    <w:p w14:paraId="6D1EF876"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提案人：沈發惠</w:t>
      </w:r>
    </w:p>
    <w:p w14:paraId="582EB097"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連署人：張雅琳　</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12397616"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(十二)</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年度銓敘部預算案於</w:t>
      </w:r>
      <w:r w:rsidRPr="001B6E4D">
        <w:rPr>
          <w:rFonts w:ascii="標楷體" w:eastAsia="標楷體" w:hAnsi="標楷體" w:hint="eastAsia"/>
          <w:sz w:val="28"/>
          <w:szCs w:val="28"/>
        </w:rPr>
        <w:t>第1目</w:t>
      </w:r>
      <w:r w:rsidRPr="001B6E4D">
        <w:rPr>
          <w:rFonts w:ascii="標楷體" w:eastAsia="標楷體" w:hAnsi="標楷體"/>
          <w:sz w:val="28"/>
          <w:szCs w:val="28"/>
        </w:rPr>
        <w:t>「一般行政」工作計畫編列「打造以人為本的AI智慧銓敘服務計畫」經費4,137萬1千元，辦理應用新興科技輔助銓敘業務審查作業、AI智慧銓敘服務數位基礎機制維運、提升資訊安全防護能力、建構AI智慧銓敘服務及AI智慧銓敘服務數位基礎建置等項目。</w:t>
      </w:r>
    </w:p>
    <w:p w14:paraId="4173ECAE"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該計畫為配合考試院數位轉型政策，期透過AI人工智慧技術，強化「公務人員公務職</w:t>
      </w:r>
      <w:proofErr w:type="gramStart"/>
      <w:r w:rsidRPr="001B6E4D">
        <w:rPr>
          <w:rFonts w:ascii="標楷體" w:eastAsia="標楷體" w:hAnsi="標楷體"/>
          <w:color w:val="000000"/>
          <w:sz w:val="28"/>
          <w:szCs w:val="28"/>
        </w:rPr>
        <w:t>涯</w:t>
      </w:r>
      <w:proofErr w:type="gramEnd"/>
      <w:r w:rsidRPr="001B6E4D">
        <w:rPr>
          <w:rFonts w:ascii="標楷體" w:eastAsia="標楷體" w:hAnsi="標楷體"/>
          <w:color w:val="000000"/>
          <w:sz w:val="28"/>
          <w:szCs w:val="28"/>
        </w:rPr>
        <w:t>」各階段服務效能與品質，並推動銓敘業務流程再造、智慧輔助及資料協作等數位治理措施。惟該計畫涉及公文系統、</w:t>
      </w:r>
      <w:proofErr w:type="gramStart"/>
      <w:r w:rsidRPr="001B6E4D">
        <w:rPr>
          <w:rFonts w:ascii="標楷體" w:eastAsia="標楷體" w:hAnsi="標楷體"/>
          <w:color w:val="000000"/>
          <w:sz w:val="28"/>
          <w:szCs w:val="28"/>
        </w:rPr>
        <w:t>銓</w:t>
      </w:r>
      <w:proofErr w:type="gramEnd"/>
      <w:r w:rsidRPr="001B6E4D">
        <w:rPr>
          <w:rFonts w:ascii="標楷體" w:eastAsia="標楷體" w:hAnsi="標楷體"/>
          <w:color w:val="000000"/>
          <w:sz w:val="28"/>
          <w:szCs w:val="28"/>
        </w:rPr>
        <w:t>審系統及其他核心人事資料系統整合，未來系統</w:t>
      </w:r>
      <w:proofErr w:type="gramStart"/>
      <w:r w:rsidRPr="001B6E4D">
        <w:rPr>
          <w:rFonts w:ascii="標楷體" w:eastAsia="標楷體" w:hAnsi="標楷體"/>
          <w:color w:val="000000"/>
          <w:sz w:val="28"/>
          <w:szCs w:val="28"/>
        </w:rPr>
        <w:t>介</w:t>
      </w:r>
      <w:proofErr w:type="gramEnd"/>
      <w:r w:rsidRPr="001B6E4D">
        <w:rPr>
          <w:rFonts w:ascii="標楷體" w:eastAsia="標楷體" w:hAnsi="標楷體"/>
          <w:color w:val="000000"/>
          <w:sz w:val="28"/>
          <w:szCs w:val="28"/>
        </w:rPr>
        <w:t>接之相容性、穩定性及跨機關資料流通管理，</w:t>
      </w:r>
      <w:proofErr w:type="gramStart"/>
      <w:r w:rsidRPr="001B6E4D">
        <w:rPr>
          <w:rFonts w:ascii="標楷體" w:eastAsia="標楷體" w:hAnsi="標楷體"/>
          <w:color w:val="000000"/>
          <w:sz w:val="28"/>
          <w:szCs w:val="28"/>
        </w:rPr>
        <w:t>均應審慎</w:t>
      </w:r>
      <w:proofErr w:type="gramEnd"/>
      <w:r w:rsidRPr="001B6E4D">
        <w:rPr>
          <w:rFonts w:ascii="標楷體" w:eastAsia="標楷體" w:hAnsi="標楷體"/>
          <w:color w:val="000000"/>
          <w:sz w:val="28"/>
          <w:szCs w:val="28"/>
        </w:rPr>
        <w:t>規劃。</w:t>
      </w:r>
    </w:p>
    <w:p w14:paraId="174B9C04"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銓敘部掌理</w:t>
      </w:r>
      <w:proofErr w:type="gramEnd"/>
      <w:r w:rsidRPr="001B6E4D">
        <w:rPr>
          <w:rFonts w:ascii="標楷體" w:eastAsia="標楷體" w:hAnsi="標楷體"/>
          <w:color w:val="000000"/>
          <w:sz w:val="28"/>
          <w:szCs w:val="28"/>
        </w:rPr>
        <w:t>全國公務人員之銓敘、任免、考績、退撫等相關事項，管理大量全國公教人員</w:t>
      </w:r>
      <w:proofErr w:type="gramStart"/>
      <w:r w:rsidRPr="001B6E4D">
        <w:rPr>
          <w:rFonts w:ascii="標楷體" w:eastAsia="標楷體" w:hAnsi="標楷體"/>
          <w:color w:val="000000"/>
          <w:sz w:val="28"/>
          <w:szCs w:val="28"/>
        </w:rPr>
        <w:t>個</w:t>
      </w:r>
      <w:proofErr w:type="gramEnd"/>
      <w:r w:rsidRPr="001B6E4D">
        <w:rPr>
          <w:rFonts w:ascii="標楷體" w:eastAsia="標楷體" w:hAnsi="標楷體"/>
          <w:color w:val="000000"/>
          <w:sz w:val="28"/>
          <w:szCs w:val="28"/>
        </w:rPr>
        <w:t>資。108年銓敘部曾發生公務人員</w:t>
      </w:r>
      <w:proofErr w:type="gramStart"/>
      <w:r w:rsidRPr="001B6E4D">
        <w:rPr>
          <w:rFonts w:ascii="標楷體" w:eastAsia="標楷體" w:hAnsi="標楷體"/>
          <w:color w:val="000000"/>
          <w:sz w:val="28"/>
          <w:szCs w:val="28"/>
        </w:rPr>
        <w:t>個</w:t>
      </w:r>
      <w:proofErr w:type="gramEnd"/>
      <w:r w:rsidRPr="001B6E4D">
        <w:rPr>
          <w:rFonts w:ascii="標楷體" w:eastAsia="標楷體" w:hAnsi="標楷體"/>
          <w:color w:val="000000"/>
          <w:sz w:val="28"/>
          <w:szCs w:val="28"/>
        </w:rPr>
        <w:t>資外</w:t>
      </w:r>
      <w:proofErr w:type="gramStart"/>
      <w:r w:rsidRPr="001B6E4D">
        <w:rPr>
          <w:rFonts w:ascii="標楷體" w:eastAsia="標楷體" w:hAnsi="標楷體"/>
          <w:color w:val="000000"/>
          <w:sz w:val="28"/>
          <w:szCs w:val="28"/>
        </w:rPr>
        <w:t>洩</w:t>
      </w:r>
      <w:proofErr w:type="gramEnd"/>
      <w:r w:rsidRPr="001B6E4D">
        <w:rPr>
          <w:rFonts w:ascii="標楷體" w:eastAsia="標楷體" w:hAnsi="標楷體"/>
          <w:color w:val="000000"/>
          <w:sz w:val="28"/>
          <w:szCs w:val="28"/>
        </w:rPr>
        <w:t>事件，顯示銓敘相關資訊系統</w:t>
      </w:r>
      <w:proofErr w:type="gramStart"/>
      <w:r w:rsidRPr="001B6E4D">
        <w:rPr>
          <w:rFonts w:ascii="標楷體" w:eastAsia="標楷體" w:hAnsi="標楷體"/>
          <w:color w:val="000000"/>
          <w:sz w:val="28"/>
          <w:szCs w:val="28"/>
        </w:rPr>
        <w:t>之資安防護</w:t>
      </w:r>
      <w:proofErr w:type="gramEnd"/>
      <w:r w:rsidRPr="001B6E4D">
        <w:rPr>
          <w:rFonts w:ascii="標楷體" w:eastAsia="標楷體" w:hAnsi="標楷體"/>
          <w:color w:val="000000"/>
          <w:sz w:val="28"/>
          <w:szCs w:val="28"/>
        </w:rPr>
        <w:t>、權限控管、日誌稽核、事件應變及備援機制均不容輕忽。</w:t>
      </w:r>
    </w:p>
    <w:p w14:paraId="4AACFFE6"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w:t>
      </w:r>
      <w:proofErr w:type="gramStart"/>
      <w:r w:rsidRPr="001B6E4D">
        <w:rPr>
          <w:rFonts w:ascii="標楷體" w:eastAsia="標楷體" w:hAnsi="標楷體"/>
          <w:color w:val="000000"/>
          <w:sz w:val="28"/>
          <w:szCs w:val="28"/>
        </w:rPr>
        <w:t>銓敘部於3個月內</w:t>
      </w:r>
      <w:proofErr w:type="gramEnd"/>
      <w:r w:rsidRPr="001B6E4D">
        <w:rPr>
          <w:rFonts w:ascii="標楷體" w:eastAsia="標楷體" w:hAnsi="標楷體"/>
          <w:color w:val="000000"/>
          <w:sz w:val="28"/>
          <w:szCs w:val="28"/>
        </w:rPr>
        <w:t>，針對「打造以人為本的AI智慧</w:t>
      </w:r>
      <w:r w:rsidRPr="001B6E4D">
        <w:rPr>
          <w:rFonts w:ascii="標楷體" w:eastAsia="標楷體" w:hAnsi="標楷體"/>
          <w:color w:val="000000"/>
          <w:sz w:val="28"/>
          <w:szCs w:val="28"/>
        </w:rPr>
        <w:lastRenderedPageBreak/>
        <w:t>銓敘服務計畫」之推動情形，</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議並</w:t>
      </w:r>
      <w:proofErr w:type="gramStart"/>
      <w:r w:rsidRPr="001B6E4D">
        <w:rPr>
          <w:rFonts w:ascii="標楷體" w:eastAsia="標楷體" w:hAnsi="標楷體"/>
          <w:color w:val="000000"/>
          <w:sz w:val="28"/>
          <w:szCs w:val="28"/>
        </w:rPr>
        <w:t>提出資安防護</w:t>
      </w:r>
      <w:proofErr w:type="gramEnd"/>
      <w:r w:rsidRPr="001B6E4D">
        <w:rPr>
          <w:rFonts w:ascii="標楷體" w:eastAsia="標楷體" w:hAnsi="標楷體"/>
          <w:color w:val="000000"/>
          <w:sz w:val="28"/>
          <w:szCs w:val="28"/>
        </w:rPr>
        <w:t>、權限管理、事件應變及備援機制等具體規劃；並</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擬與公文系統、</w:t>
      </w:r>
      <w:proofErr w:type="gramStart"/>
      <w:r w:rsidRPr="001B6E4D">
        <w:rPr>
          <w:rFonts w:ascii="標楷體" w:eastAsia="標楷體" w:hAnsi="標楷體"/>
          <w:color w:val="000000"/>
          <w:sz w:val="28"/>
          <w:szCs w:val="28"/>
        </w:rPr>
        <w:t>銓</w:t>
      </w:r>
      <w:proofErr w:type="gramEnd"/>
      <w:r w:rsidRPr="001B6E4D">
        <w:rPr>
          <w:rFonts w:ascii="標楷體" w:eastAsia="標楷體" w:hAnsi="標楷體"/>
          <w:color w:val="000000"/>
          <w:sz w:val="28"/>
          <w:szCs w:val="28"/>
        </w:rPr>
        <w:t>審系統及其他核心人事資料系統之</w:t>
      </w:r>
      <w:proofErr w:type="gramStart"/>
      <w:r w:rsidRPr="001B6E4D">
        <w:rPr>
          <w:rFonts w:ascii="標楷體" w:eastAsia="標楷體" w:hAnsi="標楷體"/>
          <w:color w:val="000000"/>
          <w:sz w:val="28"/>
          <w:szCs w:val="28"/>
        </w:rPr>
        <w:t>介</w:t>
      </w:r>
      <w:proofErr w:type="gramEnd"/>
      <w:r w:rsidRPr="001B6E4D">
        <w:rPr>
          <w:rFonts w:ascii="標楷體" w:eastAsia="標楷體" w:hAnsi="標楷體"/>
          <w:color w:val="000000"/>
          <w:sz w:val="28"/>
          <w:szCs w:val="28"/>
        </w:rPr>
        <w:t>接方式</w:t>
      </w:r>
      <w:proofErr w:type="gramStart"/>
      <w:r w:rsidRPr="001B6E4D">
        <w:rPr>
          <w:rFonts w:ascii="標楷體" w:eastAsia="標楷體" w:hAnsi="標楷體"/>
          <w:color w:val="000000"/>
          <w:sz w:val="28"/>
          <w:szCs w:val="28"/>
        </w:rPr>
        <w:t>與資安之</w:t>
      </w:r>
      <w:proofErr w:type="gramEnd"/>
      <w:r w:rsidRPr="001B6E4D">
        <w:rPr>
          <w:rFonts w:ascii="標楷體" w:eastAsia="標楷體" w:hAnsi="標楷體"/>
          <w:color w:val="000000"/>
          <w:sz w:val="28"/>
          <w:szCs w:val="28"/>
        </w:rPr>
        <w:t>配套方案等措施，向立法院司法及法制委員會提出書面報告。【58】</w:t>
      </w:r>
    </w:p>
    <w:p w14:paraId="69E1E81A"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提案人：張雅琳</w:t>
      </w:r>
    </w:p>
    <w:p w14:paraId="1A922D93"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　沈發惠</w:t>
      </w:r>
    </w:p>
    <w:p w14:paraId="74EB2B1A"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(十三)</w:t>
      </w:r>
      <w:r w:rsidRPr="001B6E4D">
        <w:rPr>
          <w:rFonts w:ascii="標楷體" w:eastAsia="標楷體" w:hAnsi="標楷體"/>
          <w:sz w:val="28"/>
          <w:szCs w:val="28"/>
        </w:rPr>
        <w:t>為建構友善</w:t>
      </w:r>
      <w:proofErr w:type="gramStart"/>
      <w:r w:rsidRPr="001B6E4D">
        <w:rPr>
          <w:rFonts w:ascii="標楷體" w:eastAsia="標楷體" w:hAnsi="標楷體"/>
          <w:sz w:val="28"/>
          <w:szCs w:val="28"/>
        </w:rPr>
        <w:t>育兒職場</w:t>
      </w:r>
      <w:proofErr w:type="gramEnd"/>
      <w:r w:rsidRPr="001B6E4D">
        <w:rPr>
          <w:rFonts w:ascii="標楷體" w:eastAsia="標楷體" w:hAnsi="標楷體"/>
          <w:sz w:val="28"/>
          <w:szCs w:val="28"/>
        </w:rPr>
        <w:t>，現行《性別平等工作法》針對育有未滿3歲子女之受</w:t>
      </w:r>
      <w:proofErr w:type="gramStart"/>
      <w:r w:rsidRPr="001B6E4D">
        <w:rPr>
          <w:rFonts w:ascii="標楷體" w:eastAsia="標楷體" w:hAnsi="標楷體"/>
          <w:sz w:val="28"/>
          <w:szCs w:val="28"/>
        </w:rPr>
        <w:t>僱</w:t>
      </w:r>
      <w:proofErr w:type="gramEnd"/>
      <w:r w:rsidRPr="001B6E4D">
        <w:rPr>
          <w:rFonts w:ascii="標楷體" w:eastAsia="標楷體" w:hAnsi="標楷體"/>
          <w:sz w:val="28"/>
          <w:szCs w:val="28"/>
        </w:rPr>
        <w:t>者，設有減少工作時間或調整工作時間等規定，以協助育兒家庭兼顧工作與照顧責任。</w:t>
      </w:r>
    </w:p>
    <w:p w14:paraId="7CE18851"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實務上，幼兒滿3歲至進入國小前，仍有接送、托育銜接、臨時照顧及家庭陪伴等需求。現行以未滿3歲為適用範圍，恐未能完整涵蓋學齡前兒童家庭之育兒照顧壓力。</w:t>
      </w:r>
      <w:proofErr w:type="gramStart"/>
      <w:r w:rsidRPr="001B6E4D">
        <w:rPr>
          <w:rFonts w:ascii="標楷體" w:eastAsia="標楷體" w:hAnsi="標楷體"/>
          <w:color w:val="000000"/>
          <w:sz w:val="28"/>
          <w:szCs w:val="28"/>
        </w:rPr>
        <w:t>面對少子化</w:t>
      </w:r>
      <w:proofErr w:type="gramEnd"/>
      <w:r w:rsidRPr="001B6E4D">
        <w:rPr>
          <w:rFonts w:ascii="標楷體" w:eastAsia="標楷體" w:hAnsi="標楷體"/>
          <w:color w:val="000000"/>
          <w:sz w:val="28"/>
          <w:szCs w:val="28"/>
        </w:rPr>
        <w:t>及公務人員留才需求，公部門亦應率先檢討友善家庭職場措施，強化育兒支持制度。</w:t>
      </w:r>
    </w:p>
    <w:p w14:paraId="73377FA3"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w:t>
      </w:r>
      <w:proofErr w:type="gramStart"/>
      <w:r w:rsidRPr="001B6E4D">
        <w:rPr>
          <w:rFonts w:ascii="標楷體" w:eastAsia="標楷體" w:hAnsi="標楷體"/>
          <w:color w:val="000000"/>
          <w:sz w:val="28"/>
          <w:szCs w:val="28"/>
        </w:rPr>
        <w:t>銓敘部於3個月內</w:t>
      </w:r>
      <w:proofErr w:type="gramEnd"/>
      <w:r w:rsidRPr="001B6E4D">
        <w:rPr>
          <w:rFonts w:ascii="標楷體" w:eastAsia="標楷體" w:hAnsi="標楷體"/>
          <w:color w:val="000000"/>
          <w:sz w:val="28"/>
          <w:szCs w:val="28"/>
        </w:rPr>
        <w:t>，針對公務人員育兒減少工作時間或調整工作時間制度，</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議將適用年齡由未滿3歲延長至未滿12歲之可行性、配套措施及對機關人力調度之影響，向立法院司法及法制委員會提出書面報告。【59】</w:t>
      </w:r>
    </w:p>
    <w:p w14:paraId="332885EE"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提案人：張雅琳</w:t>
      </w:r>
    </w:p>
    <w:p w14:paraId="34A6BCB9"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　沈發惠</w:t>
      </w:r>
    </w:p>
    <w:p w14:paraId="7BA2E70F"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(十四)</w:t>
      </w:r>
      <w:r w:rsidRPr="001B6E4D">
        <w:rPr>
          <w:rFonts w:ascii="標楷體" w:eastAsia="標楷體" w:hAnsi="標楷體"/>
          <w:sz w:val="28"/>
          <w:szCs w:val="28"/>
        </w:rPr>
        <w:t>臺灣社會傳統觀念下，女性於婚後往往承擔較多家庭照顧及育兒責任，更容易因婚姻影響學業或職</w:t>
      </w:r>
      <w:proofErr w:type="gramStart"/>
      <w:r w:rsidRPr="001B6E4D">
        <w:rPr>
          <w:rFonts w:ascii="標楷體" w:eastAsia="標楷體" w:hAnsi="標楷體"/>
          <w:sz w:val="28"/>
          <w:szCs w:val="28"/>
        </w:rPr>
        <w:t>涯</w:t>
      </w:r>
      <w:proofErr w:type="gramEnd"/>
      <w:r w:rsidRPr="001B6E4D">
        <w:rPr>
          <w:rFonts w:ascii="標楷體" w:eastAsia="標楷體" w:hAnsi="標楷體"/>
          <w:sz w:val="28"/>
          <w:szCs w:val="28"/>
        </w:rPr>
        <w:t>發展機會。誠如聯合國《消除對婦女一切形式歧視公約》（CEDAW）第29號一般性建議所指出：「學業和就業生涯的中斷以及育兒責任往往妨礙婦女走上一條足以在婚姻解體後養家</w:t>
      </w:r>
      <w:proofErr w:type="gramStart"/>
      <w:r w:rsidRPr="001B6E4D">
        <w:rPr>
          <w:rFonts w:ascii="標楷體" w:eastAsia="標楷體" w:hAnsi="標楷體"/>
          <w:sz w:val="28"/>
          <w:szCs w:val="28"/>
        </w:rPr>
        <w:t>餬</w:t>
      </w:r>
      <w:proofErr w:type="gramEnd"/>
      <w:r w:rsidRPr="001B6E4D">
        <w:rPr>
          <w:rFonts w:ascii="標楷體" w:eastAsia="標楷體" w:hAnsi="標楷體"/>
          <w:sz w:val="28"/>
          <w:szCs w:val="28"/>
        </w:rPr>
        <w:t>口的有償就業之路」。該建議明確指出，「締約國有義務規定，離婚時雙方平等分割婚姻期間所累積的所有財產。締約國應承認任何一方對婚姻存續期間所取得的財產做出的非直接、包括非金錢貢獻的價值。」並且大力鼓勵「計算延付報酬、養老金或人壽保險單等其他因為婚姻存續期間所做貢獻而在解體後得到的支付的現值，作為可分割的婚姻財產的一部分。」</w:t>
      </w:r>
    </w:p>
    <w:p w14:paraId="33873332"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經查，我國年金體系中之</w:t>
      </w:r>
      <w:proofErr w:type="gramStart"/>
      <w:r w:rsidRPr="001B6E4D">
        <w:rPr>
          <w:rFonts w:ascii="標楷體" w:eastAsia="標楷體" w:hAnsi="標楷體"/>
          <w:color w:val="000000"/>
          <w:sz w:val="28"/>
          <w:szCs w:val="28"/>
        </w:rPr>
        <w:t>第二柱</w:t>
      </w:r>
      <w:proofErr w:type="gramEnd"/>
      <w:r w:rsidRPr="001B6E4D">
        <w:rPr>
          <w:rFonts w:ascii="標楷體" w:eastAsia="標楷體" w:hAnsi="標楷體"/>
          <w:color w:val="000000"/>
          <w:sz w:val="28"/>
          <w:szCs w:val="28"/>
        </w:rPr>
        <w:t>職業年金，其給付水準高度反映個人之勞動成就。為肯定配偶於婚姻存續期間對他方職業成就之非直接貢獻，我國軍公教退撫制度已自2017年起陸續納入離婚財產請求分配範圍。</w:t>
      </w:r>
      <w:proofErr w:type="gramStart"/>
      <w:r w:rsidRPr="001B6E4D">
        <w:rPr>
          <w:rFonts w:ascii="標楷體" w:eastAsia="標楷體" w:hAnsi="標楷體"/>
          <w:color w:val="000000"/>
          <w:sz w:val="28"/>
          <w:szCs w:val="28"/>
        </w:rPr>
        <w:t>然查</w:t>
      </w:r>
      <w:proofErr w:type="gramEnd"/>
      <w:r w:rsidRPr="001B6E4D">
        <w:rPr>
          <w:rFonts w:ascii="標楷體" w:eastAsia="標楷體" w:hAnsi="標楷體"/>
          <w:color w:val="000000"/>
          <w:sz w:val="28"/>
          <w:szCs w:val="28"/>
        </w:rPr>
        <w:t>，目前勞工或</w:t>
      </w:r>
      <w:proofErr w:type="gramStart"/>
      <w:r w:rsidRPr="001B6E4D">
        <w:rPr>
          <w:rFonts w:ascii="標楷體" w:eastAsia="標楷體" w:hAnsi="標楷體"/>
          <w:color w:val="000000"/>
          <w:sz w:val="28"/>
          <w:szCs w:val="28"/>
        </w:rPr>
        <w:t>其他職域之</w:t>
      </w:r>
      <w:proofErr w:type="gramEnd"/>
      <w:r w:rsidRPr="001B6E4D">
        <w:rPr>
          <w:rFonts w:ascii="標楷體" w:eastAsia="標楷體" w:hAnsi="標楷體"/>
          <w:color w:val="000000"/>
          <w:sz w:val="28"/>
          <w:szCs w:val="28"/>
        </w:rPr>
        <w:t>職業年金尚未修正納入離婚分配條文，導致國人離婚後經濟保障因「職業身分」而異，恐產生差別待遇。</w:t>
      </w:r>
    </w:p>
    <w:p w14:paraId="64C3CBAB"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復查，</w:t>
      </w:r>
      <w:proofErr w:type="gramStart"/>
      <w:r w:rsidRPr="001B6E4D">
        <w:rPr>
          <w:rFonts w:ascii="標楷體" w:eastAsia="標楷體" w:hAnsi="標楷體"/>
          <w:color w:val="000000"/>
          <w:sz w:val="28"/>
          <w:szCs w:val="28"/>
        </w:rPr>
        <w:t>銓敘部於</w:t>
      </w:r>
      <w:r w:rsidRPr="001B6E4D">
        <w:rPr>
          <w:rFonts w:ascii="標楷體" w:eastAsia="標楷體" w:hAnsi="標楷體" w:hint="eastAsia"/>
          <w:color w:val="000000"/>
          <w:sz w:val="28"/>
          <w:szCs w:val="28"/>
        </w:rPr>
        <w:t>立法</w:t>
      </w:r>
      <w:r w:rsidRPr="001B6E4D">
        <w:rPr>
          <w:rFonts w:ascii="標楷體" w:eastAsia="標楷體" w:hAnsi="標楷體"/>
          <w:color w:val="000000"/>
          <w:sz w:val="28"/>
          <w:szCs w:val="28"/>
        </w:rPr>
        <w:t>院</w:t>
      </w:r>
      <w:proofErr w:type="gramEnd"/>
      <w:r w:rsidRPr="001B6E4D">
        <w:rPr>
          <w:rFonts w:ascii="標楷體" w:eastAsia="標楷體" w:hAnsi="標楷體"/>
          <w:color w:val="000000"/>
          <w:sz w:val="28"/>
          <w:szCs w:val="28"/>
        </w:rPr>
        <w:t>第11屆第5會期</w:t>
      </w:r>
      <w:r w:rsidRPr="001B6E4D">
        <w:rPr>
          <w:rFonts w:ascii="標楷體" w:eastAsia="標楷體" w:hAnsi="標楷體" w:hint="eastAsia"/>
          <w:color w:val="000000"/>
          <w:sz w:val="28"/>
          <w:szCs w:val="28"/>
        </w:rPr>
        <w:t>司法及法制委員會</w:t>
      </w:r>
      <w:r w:rsidRPr="001B6E4D">
        <w:rPr>
          <w:rFonts w:ascii="標楷體" w:eastAsia="標楷體" w:hAnsi="標楷體"/>
          <w:color w:val="000000"/>
          <w:sz w:val="28"/>
          <w:szCs w:val="28"/>
        </w:rPr>
        <w:lastRenderedPageBreak/>
        <w:t>第8次全體委員會議書面報告稱，本事項本質係離婚配偶間之財產分配，若能於《民法》統一訂定，方可解決各</w:t>
      </w:r>
      <w:proofErr w:type="gramStart"/>
      <w:r w:rsidRPr="001B6E4D">
        <w:rPr>
          <w:rFonts w:ascii="標楷體" w:eastAsia="標楷體" w:hAnsi="標楷體"/>
          <w:color w:val="000000"/>
          <w:sz w:val="28"/>
          <w:szCs w:val="28"/>
        </w:rPr>
        <w:t>職域入</w:t>
      </w:r>
      <w:proofErr w:type="gramEnd"/>
      <w:r w:rsidRPr="001B6E4D">
        <w:rPr>
          <w:rFonts w:ascii="標楷體" w:eastAsia="標楷體" w:hAnsi="標楷體"/>
          <w:color w:val="000000"/>
          <w:sz w:val="28"/>
          <w:szCs w:val="28"/>
        </w:rPr>
        <w:t>法時程不一、規範內容不一的問題。</w:t>
      </w:r>
      <w:proofErr w:type="gramStart"/>
      <w:r w:rsidRPr="001B6E4D">
        <w:rPr>
          <w:rFonts w:ascii="標楷體" w:eastAsia="標楷體" w:hAnsi="標楷體"/>
          <w:color w:val="000000"/>
          <w:sz w:val="28"/>
          <w:szCs w:val="28"/>
        </w:rPr>
        <w:t>惟</w:t>
      </w:r>
      <w:proofErr w:type="gramEnd"/>
      <w:r w:rsidRPr="001B6E4D">
        <w:rPr>
          <w:rFonts w:ascii="標楷體" w:eastAsia="標楷體" w:hAnsi="標楷體"/>
          <w:color w:val="000000"/>
          <w:sz w:val="28"/>
          <w:szCs w:val="28"/>
        </w:rPr>
        <w:t>法務部主張，各職業年金性質不同，難於《民法》統一規定，應由各主管機關</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提。兩部會意見顯有分歧，恐導致軍公教人員與其他</w:t>
      </w:r>
      <w:proofErr w:type="gramStart"/>
      <w:r w:rsidRPr="001B6E4D">
        <w:rPr>
          <w:rFonts w:ascii="標楷體" w:eastAsia="標楷體" w:hAnsi="標楷體"/>
          <w:color w:val="000000"/>
          <w:sz w:val="28"/>
          <w:szCs w:val="28"/>
        </w:rPr>
        <w:t>職域人員間的</w:t>
      </w:r>
      <w:proofErr w:type="gramEnd"/>
      <w:r w:rsidRPr="001B6E4D">
        <w:rPr>
          <w:rFonts w:ascii="標楷體" w:eastAsia="標楷體" w:hAnsi="標楷體"/>
          <w:color w:val="000000"/>
          <w:sz w:val="28"/>
          <w:szCs w:val="28"/>
        </w:rPr>
        <w:t>權益落差。</w:t>
      </w:r>
    </w:p>
    <w:p w14:paraId="46695C67"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為落實CEDAW精神並完善國人離婚後經濟保障，</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建請銓敘部會同法務部及相關部會，針對「職業年金納入離婚財產請求分配範圍」之修法方向（包含於《民法》訂定原則性規範或由各職域法規分別入法）進行</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商，並提出可行方案之書面報告，於2個月內提交予</w:t>
      </w:r>
      <w:r w:rsidRPr="001B6E4D">
        <w:rPr>
          <w:rFonts w:ascii="標楷體" w:eastAsia="標楷體" w:hAnsi="標楷體" w:hint="eastAsia"/>
          <w:color w:val="000000"/>
          <w:sz w:val="28"/>
          <w:szCs w:val="28"/>
        </w:rPr>
        <w:t>立法</w:t>
      </w:r>
      <w:r w:rsidRPr="001B6E4D">
        <w:rPr>
          <w:rFonts w:ascii="標楷體" w:eastAsia="標楷體" w:hAnsi="標楷體"/>
          <w:color w:val="000000"/>
          <w:sz w:val="28"/>
          <w:szCs w:val="28"/>
        </w:rPr>
        <w:t>院司法及法制委員會。【60】</w:t>
      </w:r>
    </w:p>
    <w:p w14:paraId="530AA9DE"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5B238A4E"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連署人：張雅琳　沈發惠</w:t>
      </w:r>
    </w:p>
    <w:p w14:paraId="7D7DB84F" w14:textId="77777777" w:rsidR="0051111F" w:rsidRPr="001B6E4D" w:rsidRDefault="0051111F" w:rsidP="003D1018">
      <w:pPr>
        <w:widowControl w:val="0"/>
        <w:overflowPunct w:val="0"/>
        <w:snapToGrid w:val="0"/>
        <w:ind w:leftChars="150" w:left="1200" w:hangingChars="300" w:hanging="840"/>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第4項 公務人員保障暨培訓委員會</w:t>
      </w:r>
      <w:r w:rsidRPr="001B6E4D">
        <w:rPr>
          <w:rFonts w:ascii="標楷體" w:eastAsia="標楷體" w:hAnsi="標楷體" w:cs="Arial" w:hint="eastAsia"/>
          <w:color w:val="000000"/>
          <w:sz w:val="28"/>
          <w:szCs w:val="28"/>
        </w:rPr>
        <w:t>原列</w:t>
      </w:r>
      <w:r w:rsidRPr="001B6E4D">
        <w:rPr>
          <w:rFonts w:ascii="標楷體" w:eastAsia="標楷體" w:hAnsi="標楷體" w:cs="Arial"/>
          <w:color w:val="000000"/>
          <w:sz w:val="28"/>
          <w:szCs w:val="28"/>
        </w:rPr>
        <w:t>2億5,351萬2千元，</w:t>
      </w:r>
      <w:r w:rsidRPr="001B6E4D">
        <w:rPr>
          <w:rFonts w:ascii="標楷體" w:eastAsia="標楷體" w:hAnsi="標楷體" w:cs="Arial" w:hint="eastAsia"/>
          <w:color w:val="000000"/>
          <w:sz w:val="28"/>
          <w:szCs w:val="28"/>
        </w:rPr>
        <w:t>減列：</w:t>
      </w:r>
    </w:p>
    <w:p w14:paraId="5B14B711" w14:textId="77777777" w:rsidR="0051111F" w:rsidRPr="001B6E4D" w:rsidRDefault="0051111F" w:rsidP="003D1018">
      <w:pPr>
        <w:widowControl w:val="0"/>
        <w:overflowPunct w:val="0"/>
        <w:snapToGrid w:val="0"/>
        <w:ind w:leftChars="150" w:left="1900" w:hangingChars="550" w:hanging="154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 xml:space="preserve">       (</w:t>
      </w:r>
      <w:proofErr w:type="gramStart"/>
      <w:r w:rsidRPr="001B6E4D">
        <w:rPr>
          <w:rFonts w:ascii="標楷體" w:eastAsia="標楷體" w:hAnsi="標楷體" w:cs="Arial" w:hint="eastAsia"/>
          <w:color w:val="000000"/>
          <w:sz w:val="28"/>
          <w:szCs w:val="28"/>
        </w:rPr>
        <w:t>一</w:t>
      </w:r>
      <w:proofErr w:type="gramEnd"/>
      <w:r w:rsidRPr="001B6E4D">
        <w:rPr>
          <w:rFonts w:ascii="標楷體" w:eastAsia="標楷體" w:hAnsi="標楷體" w:cs="Arial" w:hint="eastAsia"/>
          <w:color w:val="000000"/>
          <w:sz w:val="28"/>
          <w:szCs w:val="28"/>
        </w:rPr>
        <w:t>)「業務費」項下「按日按</w:t>
      </w:r>
      <w:proofErr w:type="gramStart"/>
      <w:r w:rsidRPr="001B6E4D">
        <w:rPr>
          <w:rFonts w:ascii="標楷體" w:eastAsia="標楷體" w:hAnsi="標楷體" w:cs="Arial" w:hint="eastAsia"/>
          <w:color w:val="000000"/>
          <w:sz w:val="28"/>
          <w:szCs w:val="28"/>
        </w:rPr>
        <w:t>件計資</w:t>
      </w:r>
      <w:proofErr w:type="gramEnd"/>
      <w:r w:rsidRPr="001B6E4D">
        <w:rPr>
          <w:rFonts w:ascii="標楷體" w:eastAsia="標楷體" w:hAnsi="標楷體" w:cs="Arial" w:hint="eastAsia"/>
          <w:color w:val="000000"/>
          <w:sz w:val="28"/>
          <w:szCs w:val="28"/>
        </w:rPr>
        <w:t>酬金」10萬元。【61】</w:t>
      </w:r>
    </w:p>
    <w:p w14:paraId="44BFF77E" w14:textId="77777777" w:rsidR="0051111F" w:rsidRPr="001B6E4D" w:rsidRDefault="0051111F" w:rsidP="003D1018">
      <w:pPr>
        <w:widowControl w:val="0"/>
        <w:overflowPunct w:val="0"/>
        <w:snapToGrid w:val="0"/>
        <w:ind w:leftChars="150" w:left="1200" w:hangingChars="300" w:hanging="84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 xml:space="preserve">       (二)「業務費」項下「委辦費」20萬元。【62】</w:t>
      </w:r>
    </w:p>
    <w:p w14:paraId="13868155" w14:textId="77777777" w:rsidR="0051111F" w:rsidRPr="001B6E4D" w:rsidRDefault="0051111F" w:rsidP="003D1018">
      <w:pPr>
        <w:widowControl w:val="0"/>
        <w:overflowPunct w:val="0"/>
        <w:snapToGrid w:val="0"/>
        <w:ind w:leftChars="150" w:left="1340" w:hangingChars="350" w:hanging="980"/>
        <w:jc w:val="both"/>
        <w:rPr>
          <w:rFonts w:ascii="標楷體" w:eastAsia="標楷體" w:hAnsi="標楷體" w:cs="Arial"/>
          <w:color w:val="000000"/>
          <w:sz w:val="28"/>
          <w:szCs w:val="28"/>
        </w:rPr>
      </w:pPr>
      <w:r w:rsidRPr="001B6E4D">
        <w:rPr>
          <w:rFonts w:ascii="標楷體" w:eastAsia="標楷體" w:hAnsi="標楷體" w:cs="Arial" w:hint="eastAsia"/>
          <w:color w:val="000000"/>
          <w:sz w:val="28"/>
          <w:szCs w:val="28"/>
        </w:rPr>
        <w:t xml:space="preserve">       以上共計減列30萬元，其餘均</w:t>
      </w:r>
      <w:proofErr w:type="gramStart"/>
      <w:r w:rsidRPr="001B6E4D">
        <w:rPr>
          <w:rFonts w:ascii="標楷體" w:eastAsia="標楷體" w:hAnsi="標楷體" w:cs="Arial" w:hint="eastAsia"/>
          <w:color w:val="000000"/>
          <w:sz w:val="28"/>
          <w:szCs w:val="28"/>
        </w:rPr>
        <w:t>照列</w:t>
      </w:r>
      <w:proofErr w:type="gramEnd"/>
      <w:r w:rsidRPr="001B6E4D">
        <w:rPr>
          <w:rFonts w:ascii="標楷體" w:eastAsia="標楷體" w:hAnsi="標楷體" w:cs="Arial" w:hint="eastAsia"/>
          <w:color w:val="000000"/>
          <w:sz w:val="28"/>
          <w:szCs w:val="28"/>
        </w:rPr>
        <w:t>，改列為2</w:t>
      </w:r>
      <w:r w:rsidRPr="001B6E4D">
        <w:rPr>
          <w:rFonts w:ascii="標楷體" w:eastAsia="標楷體" w:hAnsi="標楷體" w:cs="Arial"/>
          <w:color w:val="000000"/>
          <w:sz w:val="28"/>
          <w:szCs w:val="28"/>
        </w:rPr>
        <w:t>億</w:t>
      </w:r>
      <w:r w:rsidRPr="001B6E4D">
        <w:rPr>
          <w:rFonts w:ascii="標楷體" w:eastAsia="標楷體" w:hAnsi="標楷體" w:cs="Arial" w:hint="eastAsia"/>
          <w:color w:val="000000"/>
          <w:sz w:val="28"/>
          <w:szCs w:val="28"/>
        </w:rPr>
        <w:t>5</w:t>
      </w:r>
      <w:r w:rsidRPr="001B6E4D">
        <w:rPr>
          <w:rFonts w:ascii="標楷體" w:eastAsia="標楷體" w:hAnsi="標楷體" w:cs="Arial"/>
          <w:color w:val="000000"/>
          <w:sz w:val="28"/>
          <w:szCs w:val="28"/>
        </w:rPr>
        <w:t>,</w:t>
      </w:r>
      <w:r w:rsidRPr="001B6E4D">
        <w:rPr>
          <w:rFonts w:ascii="標楷體" w:eastAsia="標楷體" w:hAnsi="標楷體" w:cs="Arial" w:hint="eastAsia"/>
          <w:color w:val="000000"/>
          <w:sz w:val="28"/>
          <w:szCs w:val="28"/>
        </w:rPr>
        <w:t>321</w:t>
      </w:r>
      <w:r w:rsidRPr="001B6E4D">
        <w:rPr>
          <w:rFonts w:ascii="標楷體" w:eastAsia="標楷體" w:hAnsi="標楷體" w:cs="Arial"/>
          <w:color w:val="000000"/>
          <w:sz w:val="28"/>
          <w:szCs w:val="28"/>
        </w:rPr>
        <w:t>萬</w:t>
      </w:r>
      <w:r w:rsidRPr="001B6E4D">
        <w:rPr>
          <w:rFonts w:ascii="標楷體" w:eastAsia="標楷體" w:hAnsi="標楷體" w:cs="Arial" w:hint="eastAsia"/>
          <w:color w:val="000000"/>
          <w:sz w:val="28"/>
          <w:szCs w:val="28"/>
        </w:rPr>
        <w:t>2千</w:t>
      </w:r>
      <w:r w:rsidRPr="001B6E4D">
        <w:rPr>
          <w:rFonts w:ascii="標楷體" w:eastAsia="標楷體" w:hAnsi="標楷體" w:cs="Arial"/>
          <w:color w:val="000000"/>
          <w:sz w:val="28"/>
          <w:szCs w:val="28"/>
        </w:rPr>
        <w:t>元</w:t>
      </w:r>
      <w:r w:rsidRPr="001B6E4D">
        <w:rPr>
          <w:rFonts w:ascii="標楷體" w:eastAsia="標楷體" w:hAnsi="標楷體" w:cs="Arial" w:hint="eastAsia"/>
          <w:color w:val="000000"/>
          <w:sz w:val="28"/>
          <w:szCs w:val="28"/>
        </w:rPr>
        <w:t>。</w:t>
      </w:r>
    </w:p>
    <w:p w14:paraId="2A1C4437" w14:textId="77777777" w:rsidR="0051111F" w:rsidRPr="001B6E4D" w:rsidRDefault="0051111F" w:rsidP="003D1018">
      <w:pPr>
        <w:widowControl w:val="0"/>
        <w:overflowPunct w:val="0"/>
        <w:snapToGrid w:val="0"/>
        <w:ind w:leftChars="150" w:left="1201" w:hangingChars="300" w:hanging="841"/>
        <w:jc w:val="both"/>
        <w:rPr>
          <w:rFonts w:ascii="標楷體" w:eastAsia="標楷體" w:hAnsi="標楷體" w:cs="Arial"/>
          <w:b/>
          <w:color w:val="000000"/>
          <w:sz w:val="28"/>
          <w:szCs w:val="28"/>
        </w:rPr>
      </w:pPr>
      <w:r w:rsidRPr="001B6E4D">
        <w:rPr>
          <w:rFonts w:ascii="標楷體" w:eastAsia="標楷體" w:hAnsi="標楷體" w:cs="Arial"/>
          <w:b/>
          <w:sz w:val="28"/>
          <w:szCs w:val="28"/>
        </w:rPr>
        <w:t>本項提案1案，保留，送院會處理：</w:t>
      </w:r>
    </w:p>
    <w:p w14:paraId="1971BD83"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年度保訓會預算案於第1目「一般行政」項下「基本行政工作維持」中「業務費」之「特別費」，係主委及副主委因公所需特別費945千元。</w:t>
      </w:r>
    </w:p>
    <w:p w14:paraId="3B8001AA"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依照行政院95年12月29日</w:t>
      </w:r>
      <w:proofErr w:type="gramStart"/>
      <w:r w:rsidRPr="001B6E4D">
        <w:rPr>
          <w:rFonts w:ascii="標楷體" w:eastAsia="標楷體" w:hAnsi="標楷體"/>
          <w:color w:val="000000"/>
          <w:sz w:val="28"/>
          <w:szCs w:val="28"/>
        </w:rPr>
        <w:t>院授主忠字</w:t>
      </w:r>
      <w:proofErr w:type="gramEnd"/>
      <w:r w:rsidRPr="001B6E4D">
        <w:rPr>
          <w:rFonts w:ascii="標楷體" w:eastAsia="標楷體" w:hAnsi="標楷體"/>
          <w:color w:val="000000"/>
          <w:sz w:val="28"/>
          <w:szCs w:val="28"/>
        </w:rPr>
        <w:t>第0950007913號函，各級政府機關特別費支用規定之特別費使用範圍，係婚喪喜慶之禮金及招待、</w:t>
      </w:r>
      <w:proofErr w:type="gramStart"/>
      <w:r w:rsidRPr="001B6E4D">
        <w:rPr>
          <w:rFonts w:ascii="標楷體" w:eastAsia="標楷體" w:hAnsi="標楷體"/>
          <w:color w:val="000000"/>
          <w:sz w:val="28"/>
          <w:szCs w:val="28"/>
        </w:rPr>
        <w:t>餽</w:t>
      </w:r>
      <w:proofErr w:type="gramEnd"/>
      <w:r w:rsidRPr="001B6E4D">
        <w:rPr>
          <w:rFonts w:ascii="標楷體" w:eastAsia="標楷體" w:hAnsi="標楷體"/>
          <w:color w:val="000000"/>
          <w:sz w:val="28"/>
          <w:szCs w:val="28"/>
        </w:rPr>
        <w:t>（捐）</w:t>
      </w:r>
      <w:proofErr w:type="gramStart"/>
      <w:r w:rsidRPr="001B6E4D">
        <w:rPr>
          <w:rFonts w:ascii="標楷體" w:eastAsia="標楷體" w:hAnsi="標楷體"/>
          <w:color w:val="000000"/>
          <w:sz w:val="28"/>
          <w:szCs w:val="28"/>
        </w:rPr>
        <w:t>贈及慰問</w:t>
      </w:r>
      <w:proofErr w:type="gramEnd"/>
      <w:r w:rsidRPr="001B6E4D">
        <w:rPr>
          <w:rFonts w:ascii="標楷體" w:eastAsia="標楷體" w:hAnsi="標楷體"/>
          <w:color w:val="000000"/>
          <w:sz w:val="28"/>
          <w:szCs w:val="28"/>
        </w:rPr>
        <w:t>等支出。恐非屬各項施政計畫執行之必要項目。</w:t>
      </w:r>
    </w:p>
    <w:p w14:paraId="38CC9DA4"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然，115年中央政府總預算連同特別預算，</w:t>
      </w:r>
      <w:proofErr w:type="gramStart"/>
      <w:r w:rsidRPr="001B6E4D">
        <w:rPr>
          <w:rFonts w:ascii="標楷體" w:eastAsia="標楷體" w:hAnsi="標楷體"/>
          <w:color w:val="000000"/>
          <w:sz w:val="28"/>
          <w:szCs w:val="28"/>
        </w:rPr>
        <w:t>已需舉</w:t>
      </w:r>
      <w:proofErr w:type="gramEnd"/>
      <w:r w:rsidRPr="001B6E4D">
        <w:rPr>
          <w:rFonts w:ascii="標楷體" w:eastAsia="標楷體" w:hAnsi="標楷體"/>
          <w:color w:val="000000"/>
          <w:sz w:val="28"/>
          <w:szCs w:val="28"/>
        </w:rPr>
        <w:t>債高達4千億元。政府各單位更應量入為出、</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節公</w:t>
      </w:r>
      <w:proofErr w:type="gramStart"/>
      <w:r w:rsidRPr="001B6E4D">
        <w:rPr>
          <w:rFonts w:ascii="標楷體" w:eastAsia="標楷體" w:hAnsi="標楷體"/>
          <w:color w:val="000000"/>
          <w:sz w:val="28"/>
          <w:szCs w:val="28"/>
        </w:rPr>
        <w:t>帑</w:t>
      </w:r>
      <w:proofErr w:type="gramEnd"/>
      <w:r w:rsidRPr="001B6E4D">
        <w:rPr>
          <w:rFonts w:ascii="標楷體" w:eastAsia="標楷體" w:hAnsi="標楷體"/>
          <w:color w:val="000000"/>
          <w:sz w:val="28"/>
          <w:szCs w:val="28"/>
        </w:rPr>
        <w:t>，</w:t>
      </w:r>
      <w:proofErr w:type="gramStart"/>
      <w:r w:rsidRPr="001B6E4D">
        <w:rPr>
          <w:rFonts w:ascii="標楷體" w:eastAsia="標楷體" w:hAnsi="標楷體"/>
          <w:color w:val="000000"/>
          <w:sz w:val="28"/>
          <w:szCs w:val="28"/>
        </w:rPr>
        <w:t>減列非必要</w:t>
      </w:r>
      <w:proofErr w:type="gramEnd"/>
      <w:r w:rsidRPr="001B6E4D">
        <w:rPr>
          <w:rFonts w:ascii="標楷體" w:eastAsia="標楷體" w:hAnsi="標楷體"/>
          <w:color w:val="000000"/>
          <w:sz w:val="28"/>
          <w:szCs w:val="28"/>
        </w:rPr>
        <w:t>、非急迫性的支出，以降低國庫舉債、</w:t>
      </w:r>
      <w:proofErr w:type="gramStart"/>
      <w:r w:rsidRPr="001B6E4D">
        <w:rPr>
          <w:rFonts w:ascii="標楷體" w:eastAsia="標楷體" w:hAnsi="標楷體"/>
          <w:color w:val="000000"/>
          <w:sz w:val="28"/>
          <w:szCs w:val="28"/>
        </w:rPr>
        <w:t>債留子孫</w:t>
      </w:r>
      <w:proofErr w:type="gramEnd"/>
      <w:r w:rsidRPr="001B6E4D">
        <w:rPr>
          <w:rFonts w:ascii="標楷體" w:eastAsia="標楷體" w:hAnsi="標楷體"/>
          <w:color w:val="000000"/>
          <w:sz w:val="28"/>
          <w:szCs w:val="28"/>
        </w:rPr>
        <w:t>的壓力。</w:t>
      </w:r>
    </w:p>
    <w:p w14:paraId="1CC86FFA"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且</w:t>
      </w:r>
      <w:proofErr w:type="gramEnd"/>
      <w:r w:rsidRPr="001B6E4D">
        <w:rPr>
          <w:rFonts w:ascii="標楷體" w:eastAsia="標楷體" w:hAnsi="標楷體"/>
          <w:color w:val="000000"/>
          <w:sz w:val="28"/>
          <w:szCs w:val="28"/>
        </w:rPr>
        <w:t>，賴總統為回應美國對台灣應大幅增加國防支出的強硬立場與關切壓力，</w:t>
      </w:r>
      <w:proofErr w:type="gramStart"/>
      <w:r w:rsidRPr="001B6E4D">
        <w:rPr>
          <w:rFonts w:ascii="標楷體" w:eastAsia="標楷體" w:hAnsi="標楷體"/>
          <w:color w:val="000000"/>
          <w:sz w:val="28"/>
          <w:szCs w:val="28"/>
        </w:rPr>
        <w:t>115</w:t>
      </w:r>
      <w:proofErr w:type="gramEnd"/>
      <w:r w:rsidRPr="001B6E4D">
        <w:rPr>
          <w:rFonts w:ascii="標楷體" w:eastAsia="標楷體" w:hAnsi="標楷體"/>
          <w:color w:val="000000"/>
          <w:sz w:val="28"/>
          <w:szCs w:val="28"/>
        </w:rPr>
        <w:t>年度國防支出已創下歷史新高</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達9,495億新台幣</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較去年度相比暴增1,768億</w:t>
      </w:r>
      <w:r w:rsidRPr="001B6E4D">
        <w:rPr>
          <w:rFonts w:ascii="標楷體" w:eastAsia="標楷體" w:hAnsi="標楷體" w:hint="eastAsia"/>
          <w:color w:val="000000"/>
          <w:sz w:val="28"/>
          <w:szCs w:val="28"/>
        </w:rPr>
        <w:t>，</w:t>
      </w:r>
      <w:r w:rsidRPr="001B6E4D">
        <w:rPr>
          <w:rFonts w:ascii="標楷體" w:eastAsia="標楷體" w:hAnsi="標楷體"/>
          <w:color w:val="000000"/>
          <w:sz w:val="28"/>
          <w:szCs w:val="28"/>
        </w:rPr>
        <w:t>漲幅達16%，負擔不可謂不重；大舉增加國防支出，必定會嚴重排擠年度的教育、文化、經濟發展、社會福利等支出。亦即，各</w:t>
      </w:r>
      <w:proofErr w:type="gramStart"/>
      <w:r w:rsidRPr="001B6E4D">
        <w:rPr>
          <w:rFonts w:ascii="標楷體" w:eastAsia="標楷體" w:hAnsi="標楷體"/>
          <w:color w:val="000000"/>
          <w:sz w:val="28"/>
          <w:szCs w:val="28"/>
        </w:rPr>
        <w:t>部會應勒緊</w:t>
      </w:r>
      <w:proofErr w:type="gramEnd"/>
      <w:r w:rsidRPr="001B6E4D">
        <w:rPr>
          <w:rFonts w:ascii="標楷體" w:eastAsia="標楷體" w:hAnsi="標楷體"/>
          <w:color w:val="000000"/>
          <w:sz w:val="28"/>
          <w:szCs w:val="28"/>
        </w:rPr>
        <w:t>褲帶，共體時</w:t>
      </w:r>
      <w:proofErr w:type="gramStart"/>
      <w:r w:rsidRPr="001B6E4D">
        <w:rPr>
          <w:rFonts w:ascii="標楷體" w:eastAsia="標楷體" w:hAnsi="標楷體"/>
          <w:color w:val="000000"/>
          <w:sz w:val="28"/>
          <w:szCs w:val="28"/>
        </w:rPr>
        <w:t>艱</w:t>
      </w:r>
      <w:proofErr w:type="gramEnd"/>
      <w:r w:rsidRPr="001B6E4D">
        <w:rPr>
          <w:rFonts w:ascii="標楷體" w:eastAsia="標楷體" w:hAnsi="標楷體"/>
          <w:color w:val="000000"/>
          <w:sz w:val="28"/>
          <w:szCs w:val="28"/>
        </w:rPr>
        <w:t>、以</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節非必要支出的具體行動，來呼應賴總統對美方要求大幅增加國防支出的承諾。</w:t>
      </w:r>
    </w:p>
    <w:p w14:paraId="507C83AA"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有</w:t>
      </w:r>
      <w:proofErr w:type="gramStart"/>
      <w:r w:rsidRPr="001B6E4D">
        <w:rPr>
          <w:rFonts w:ascii="標楷體" w:eastAsia="標楷體" w:hAnsi="標楷體"/>
          <w:color w:val="000000"/>
          <w:sz w:val="28"/>
          <w:szCs w:val="28"/>
        </w:rPr>
        <w:t>鑑</w:t>
      </w:r>
      <w:proofErr w:type="gramEnd"/>
      <w:r w:rsidRPr="001B6E4D">
        <w:rPr>
          <w:rFonts w:ascii="標楷體" w:eastAsia="標楷體" w:hAnsi="標楷體"/>
          <w:color w:val="000000"/>
          <w:sz w:val="28"/>
          <w:szCs w:val="28"/>
        </w:rPr>
        <w:t>於保訓會所編之「特別費」，係婚喪喜慶之禮金及招</w:t>
      </w:r>
      <w:r w:rsidRPr="001B6E4D">
        <w:rPr>
          <w:rFonts w:ascii="標楷體" w:eastAsia="標楷體" w:hAnsi="標楷體"/>
          <w:color w:val="000000"/>
          <w:sz w:val="28"/>
          <w:szCs w:val="28"/>
        </w:rPr>
        <w:lastRenderedPageBreak/>
        <w:t>待、</w:t>
      </w:r>
      <w:proofErr w:type="gramStart"/>
      <w:r w:rsidRPr="001B6E4D">
        <w:rPr>
          <w:rFonts w:ascii="標楷體" w:eastAsia="標楷體" w:hAnsi="標楷體"/>
          <w:color w:val="000000"/>
          <w:sz w:val="28"/>
          <w:szCs w:val="28"/>
        </w:rPr>
        <w:t>餽</w:t>
      </w:r>
      <w:proofErr w:type="gramEnd"/>
      <w:r w:rsidRPr="001B6E4D">
        <w:rPr>
          <w:rFonts w:ascii="標楷體" w:eastAsia="標楷體" w:hAnsi="標楷體"/>
          <w:color w:val="000000"/>
          <w:sz w:val="28"/>
          <w:szCs w:val="28"/>
        </w:rPr>
        <w:t>（捐）</w:t>
      </w:r>
      <w:proofErr w:type="gramStart"/>
      <w:r w:rsidRPr="001B6E4D">
        <w:rPr>
          <w:rFonts w:ascii="標楷體" w:eastAsia="標楷體" w:hAnsi="標楷體"/>
          <w:color w:val="000000"/>
          <w:sz w:val="28"/>
          <w:szCs w:val="28"/>
        </w:rPr>
        <w:t>贈及慰問</w:t>
      </w:r>
      <w:proofErr w:type="gramEnd"/>
      <w:r w:rsidRPr="001B6E4D">
        <w:rPr>
          <w:rFonts w:ascii="標楷體" w:eastAsia="標楷體" w:hAnsi="標楷體"/>
          <w:color w:val="000000"/>
          <w:sz w:val="28"/>
          <w:szCs w:val="28"/>
        </w:rPr>
        <w:t>等支出，非屬各項施政計畫執行之必要項目。為兌現賴總統對美方的承諾，且配合國防支出大幅增加之影響而必須</w:t>
      </w:r>
      <w:proofErr w:type="gramStart"/>
      <w:r w:rsidRPr="001B6E4D">
        <w:rPr>
          <w:rFonts w:ascii="標楷體" w:eastAsia="標楷體" w:hAnsi="標楷體"/>
          <w:color w:val="000000"/>
          <w:sz w:val="28"/>
          <w:szCs w:val="28"/>
        </w:rPr>
        <w:t>撙</w:t>
      </w:r>
      <w:proofErr w:type="gramEnd"/>
      <w:r w:rsidRPr="001B6E4D">
        <w:rPr>
          <w:rFonts w:ascii="標楷體" w:eastAsia="標楷體" w:hAnsi="標楷體"/>
          <w:color w:val="000000"/>
          <w:sz w:val="28"/>
          <w:szCs w:val="28"/>
        </w:rPr>
        <w:t>節經費，</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提案減列九成共計85萬元整，且不得</w:t>
      </w:r>
      <w:proofErr w:type="gramStart"/>
      <w:r w:rsidRPr="001B6E4D">
        <w:rPr>
          <w:rFonts w:ascii="標楷體" w:eastAsia="標楷體" w:hAnsi="標楷體"/>
          <w:color w:val="000000"/>
          <w:sz w:val="28"/>
          <w:szCs w:val="28"/>
        </w:rPr>
        <w:t>流用勻支</w:t>
      </w:r>
      <w:proofErr w:type="gramEnd"/>
      <w:r w:rsidRPr="001B6E4D">
        <w:rPr>
          <w:rFonts w:ascii="標楷體" w:eastAsia="標楷體" w:hAnsi="標楷體"/>
          <w:color w:val="000000"/>
          <w:sz w:val="28"/>
          <w:szCs w:val="28"/>
        </w:rPr>
        <w:t>，以將有限之財政資源集中，支援必須擴增的國防經費支出。【64】</w:t>
      </w:r>
    </w:p>
    <w:p w14:paraId="53D3F34A"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提案人：翁曉玲</w:t>
      </w:r>
    </w:p>
    <w:p w14:paraId="05293242"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連署人：許宇</w:t>
      </w:r>
      <w:proofErr w:type="gramStart"/>
      <w:r w:rsidRPr="001B6E4D">
        <w:rPr>
          <w:rFonts w:ascii="標楷體" w:eastAsia="標楷體" w:hAnsi="標楷體" w:cs="Arial"/>
          <w:color w:val="000000"/>
          <w:sz w:val="28"/>
          <w:szCs w:val="28"/>
        </w:rPr>
        <w:t>甄</w:t>
      </w:r>
      <w:proofErr w:type="gramEnd"/>
      <w:r w:rsidRPr="001B6E4D">
        <w:rPr>
          <w:rFonts w:ascii="標楷體" w:eastAsia="標楷體" w:hAnsi="標楷體" w:cs="Arial"/>
          <w:color w:val="000000"/>
          <w:sz w:val="28"/>
          <w:szCs w:val="28"/>
        </w:rPr>
        <w:t xml:space="preserve">　林倩綺</w:t>
      </w:r>
    </w:p>
    <w:p w14:paraId="1879AF53" w14:textId="77777777" w:rsidR="0051111F" w:rsidRPr="001B6E4D" w:rsidRDefault="0051111F" w:rsidP="003D1018">
      <w:pPr>
        <w:widowControl w:val="0"/>
        <w:overflowPunct w:val="0"/>
        <w:snapToGrid w:val="0"/>
        <w:ind w:leftChars="150" w:left="1201" w:hangingChars="300" w:hanging="841"/>
        <w:jc w:val="both"/>
        <w:rPr>
          <w:rFonts w:ascii="標楷體" w:eastAsia="標楷體" w:hAnsi="標楷體" w:cs="Arial"/>
          <w:b/>
          <w:color w:val="000000"/>
          <w:sz w:val="28"/>
          <w:szCs w:val="28"/>
        </w:rPr>
      </w:pPr>
      <w:r w:rsidRPr="001B6E4D">
        <w:rPr>
          <w:rFonts w:ascii="標楷體" w:eastAsia="標楷體" w:hAnsi="標楷體" w:cs="Arial"/>
          <w:b/>
          <w:sz w:val="28"/>
          <w:szCs w:val="28"/>
        </w:rPr>
        <w:t>本項通過決議7項：</w:t>
      </w:r>
    </w:p>
    <w:p w14:paraId="0F47B01D"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年度公務人員保障暨培訓委員會歲出預算第1目「一般行政」編列2億2,076萬4千元，凍結</w:t>
      </w:r>
      <w:r w:rsidRPr="001B6E4D">
        <w:rPr>
          <w:rFonts w:ascii="標楷體" w:eastAsia="標楷體" w:hAnsi="標楷體" w:hint="eastAsia"/>
          <w:sz w:val="28"/>
          <w:szCs w:val="28"/>
        </w:rPr>
        <w:t>100</w:t>
      </w:r>
      <w:r w:rsidRPr="001B6E4D">
        <w:rPr>
          <w:rFonts w:ascii="標楷體" w:eastAsia="標楷體" w:hAnsi="標楷體"/>
          <w:sz w:val="28"/>
          <w:szCs w:val="28"/>
        </w:rPr>
        <w:t>萬元，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向立法院司法及法制委員會提出書面報告後，始得動支。</w:t>
      </w:r>
      <w:r w:rsidRPr="001B6E4D">
        <w:rPr>
          <w:rFonts w:ascii="標楷體" w:eastAsia="標楷體" w:hAnsi="標楷體"/>
          <w:color w:val="000000"/>
          <w:sz w:val="28"/>
          <w:szCs w:val="28"/>
        </w:rPr>
        <w:t>【63】</w:t>
      </w:r>
    </w:p>
    <w:p w14:paraId="4C3BFB69"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提案人：吳宗憲　林倩綺</w:t>
      </w:r>
    </w:p>
    <w:p w14:paraId="3428D1CC"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連署人：翁曉玲　羅智強</w:t>
      </w:r>
    </w:p>
    <w:p w14:paraId="1D05531B"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(二)</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年度公務人員保障暨培訓委員會歲出預算第2目「保障暨培訓」編列3,174萬8千元，凍結</w:t>
      </w:r>
      <w:r w:rsidRPr="001B6E4D">
        <w:rPr>
          <w:rFonts w:ascii="標楷體" w:eastAsia="標楷體" w:hAnsi="標楷體" w:hint="eastAsia"/>
          <w:sz w:val="28"/>
          <w:szCs w:val="28"/>
        </w:rPr>
        <w:t>85</w:t>
      </w:r>
      <w:r w:rsidRPr="001B6E4D">
        <w:rPr>
          <w:rFonts w:ascii="標楷體" w:eastAsia="標楷體" w:hAnsi="標楷體"/>
          <w:sz w:val="28"/>
          <w:szCs w:val="28"/>
        </w:rPr>
        <w:t>萬</w:t>
      </w:r>
      <w:r w:rsidRPr="001B6E4D">
        <w:rPr>
          <w:rFonts w:ascii="標楷體" w:eastAsia="標楷體" w:hAnsi="標楷體" w:hint="eastAsia"/>
          <w:sz w:val="28"/>
          <w:szCs w:val="28"/>
        </w:rPr>
        <w:t>3千</w:t>
      </w:r>
      <w:r w:rsidRPr="001B6E4D">
        <w:rPr>
          <w:rFonts w:ascii="標楷體" w:eastAsia="標楷體" w:hAnsi="標楷體"/>
          <w:sz w:val="28"/>
          <w:szCs w:val="28"/>
        </w:rPr>
        <w:t>元，</w:t>
      </w:r>
      <w:proofErr w:type="gramStart"/>
      <w:r w:rsidRPr="001B6E4D">
        <w:rPr>
          <w:rFonts w:ascii="標楷體" w:eastAsia="標楷體" w:hAnsi="標楷體"/>
          <w:sz w:val="28"/>
          <w:szCs w:val="28"/>
        </w:rPr>
        <w:t>俟</w:t>
      </w:r>
      <w:proofErr w:type="gramEnd"/>
      <w:r w:rsidRPr="001B6E4D">
        <w:rPr>
          <w:rFonts w:ascii="標楷體" w:eastAsia="標楷體" w:hAnsi="標楷體"/>
          <w:sz w:val="28"/>
          <w:szCs w:val="28"/>
        </w:rPr>
        <w:t>向立法院司法及法制委員會提出書面報告後，始得動支。</w:t>
      </w:r>
      <w:r w:rsidRPr="001B6E4D">
        <w:rPr>
          <w:rFonts w:ascii="標楷體" w:eastAsia="標楷體" w:hAnsi="標楷體"/>
          <w:color w:val="000000"/>
          <w:sz w:val="28"/>
          <w:szCs w:val="28"/>
        </w:rPr>
        <w:t>【6</w:t>
      </w:r>
      <w:r w:rsidRPr="001B6E4D">
        <w:rPr>
          <w:rFonts w:ascii="標楷體" w:eastAsia="標楷體" w:hAnsi="標楷體" w:hint="eastAsia"/>
          <w:color w:val="000000"/>
          <w:sz w:val="28"/>
          <w:szCs w:val="28"/>
        </w:rPr>
        <w:t>6</w:t>
      </w:r>
      <w:r w:rsidRPr="001B6E4D">
        <w:rPr>
          <w:rFonts w:ascii="標楷體" w:eastAsia="標楷體" w:hAnsi="標楷體"/>
          <w:color w:val="000000"/>
          <w:sz w:val="28"/>
          <w:szCs w:val="28"/>
        </w:rPr>
        <w:t>】</w:t>
      </w:r>
    </w:p>
    <w:p w14:paraId="7051FE09"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提案人：許宇</w:t>
      </w:r>
      <w:proofErr w:type="gramStart"/>
      <w:r w:rsidRPr="001B6E4D">
        <w:rPr>
          <w:rFonts w:ascii="標楷體" w:eastAsia="標楷體" w:hAnsi="標楷體" w:cs="Arial"/>
          <w:color w:val="000000"/>
          <w:sz w:val="28"/>
          <w:szCs w:val="28"/>
        </w:rPr>
        <w:t>甄</w:t>
      </w:r>
      <w:proofErr w:type="gramEnd"/>
    </w:p>
    <w:p w14:paraId="148B8733"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連署人：林沛祥　林倩綺</w:t>
      </w:r>
    </w:p>
    <w:p w14:paraId="47CE609B"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color w:val="000000"/>
          <w:sz w:val="28"/>
          <w:szCs w:val="28"/>
        </w:rPr>
        <w:t>(三)</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公務人員保障暨培訓委員會預算案於第1目「一般行政」項下「基本行政工作維持」中「設備及投資」之「房屋建築及設備費」編列預算341萬6千元。係地下室消防安全改善及因應辦公室空間調整等整修經費。有</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於預算書內容說明過於簡略，將</w:t>
      </w:r>
      <w:proofErr w:type="gramStart"/>
      <w:r w:rsidRPr="001B6E4D">
        <w:rPr>
          <w:rFonts w:ascii="標楷體" w:eastAsia="標楷體" w:hAnsi="標楷體"/>
          <w:sz w:val="28"/>
          <w:szCs w:val="28"/>
        </w:rPr>
        <w:t>攸</w:t>
      </w:r>
      <w:proofErr w:type="gramEnd"/>
      <w:r w:rsidRPr="001B6E4D">
        <w:rPr>
          <w:rFonts w:ascii="標楷體" w:eastAsia="標楷體" w:hAnsi="標楷體"/>
          <w:sz w:val="28"/>
          <w:szCs w:val="28"/>
        </w:rPr>
        <w:t>關人員生命安全之「消防安全改善」，與屬於行政內部庶務之「辦公空間調整」兩項性質截然不同之工程混為一談，無法</w:t>
      </w:r>
      <w:proofErr w:type="gramStart"/>
      <w:r w:rsidRPr="001B6E4D">
        <w:rPr>
          <w:rFonts w:ascii="標楷體" w:eastAsia="標楷體" w:hAnsi="標楷體"/>
          <w:sz w:val="28"/>
          <w:szCs w:val="28"/>
        </w:rPr>
        <w:t>釐</w:t>
      </w:r>
      <w:proofErr w:type="gramEnd"/>
      <w:r w:rsidRPr="001B6E4D">
        <w:rPr>
          <w:rFonts w:ascii="標楷體" w:eastAsia="標楷體" w:hAnsi="標楷體"/>
          <w:sz w:val="28"/>
          <w:szCs w:val="28"/>
        </w:rPr>
        <w:t>清該預算實質主要用途，不利於</w:t>
      </w:r>
      <w:r w:rsidRPr="001B6E4D">
        <w:rPr>
          <w:rFonts w:ascii="標楷體" w:eastAsia="標楷體" w:hAnsi="標楷體" w:hint="eastAsia"/>
          <w:sz w:val="28"/>
          <w:szCs w:val="28"/>
        </w:rPr>
        <w:t>立法</w:t>
      </w:r>
      <w:r w:rsidRPr="001B6E4D">
        <w:rPr>
          <w:rFonts w:ascii="標楷體" w:eastAsia="標楷體" w:hAnsi="標楷體"/>
          <w:sz w:val="28"/>
          <w:szCs w:val="28"/>
        </w:rPr>
        <w:t>院預算監督審議。</w:t>
      </w:r>
    </w:p>
    <w:p w14:paraId="535CF32C"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請</w:t>
      </w:r>
      <w:r w:rsidRPr="001B6E4D">
        <w:rPr>
          <w:rFonts w:ascii="標楷體" w:eastAsia="標楷體" w:hAnsi="標楷體"/>
          <w:color w:val="000000"/>
          <w:sz w:val="28"/>
          <w:szCs w:val="28"/>
        </w:rPr>
        <w:t>公務人員保障暨培訓委員會於3個月內</w:t>
      </w:r>
      <w:r w:rsidRPr="001B6E4D">
        <w:rPr>
          <w:rFonts w:ascii="標楷體" w:eastAsia="標楷體" w:hAnsi="標楷體" w:hint="eastAsia"/>
          <w:color w:val="000000"/>
          <w:sz w:val="28"/>
          <w:szCs w:val="28"/>
        </w:rPr>
        <w:t>，就該預算實質用途</w:t>
      </w:r>
      <w:r w:rsidRPr="001B6E4D">
        <w:rPr>
          <w:rFonts w:ascii="標楷體" w:eastAsia="標楷體" w:hAnsi="標楷體"/>
          <w:color w:val="000000"/>
          <w:sz w:val="28"/>
          <w:szCs w:val="28"/>
        </w:rPr>
        <w:t>向立法院司法及法制委員會提出書面報告。【65】</w:t>
      </w:r>
    </w:p>
    <w:p w14:paraId="2FE9C929"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提案人：許宇</w:t>
      </w:r>
      <w:proofErr w:type="gramStart"/>
      <w:r w:rsidRPr="001B6E4D">
        <w:rPr>
          <w:rFonts w:ascii="標楷體" w:eastAsia="標楷體" w:hAnsi="標楷體" w:cs="Arial"/>
          <w:color w:val="000000"/>
          <w:sz w:val="28"/>
          <w:szCs w:val="28"/>
        </w:rPr>
        <w:t>甄</w:t>
      </w:r>
      <w:proofErr w:type="gramEnd"/>
    </w:p>
    <w:p w14:paraId="36D6EC22"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連署人：林沛祥　林倩綺</w:t>
      </w:r>
    </w:p>
    <w:p w14:paraId="6E2D9DB4"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(四)</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年度公務人員保障暨培訓委員會預算案於第2目「保障暨培訓」第2節「訓練與進修業務」項下「高階文官訓練進修規劃遴選、成績評量」中「業務費」編列預算1,118萬元。</w:t>
      </w:r>
      <w:proofErr w:type="gramStart"/>
      <w:r w:rsidRPr="001B6E4D">
        <w:rPr>
          <w:rFonts w:ascii="標楷體" w:eastAsia="標楷體" w:hAnsi="標楷體"/>
          <w:sz w:val="28"/>
          <w:szCs w:val="28"/>
        </w:rPr>
        <w:t>惟</w:t>
      </w:r>
      <w:proofErr w:type="gramEnd"/>
      <w:r w:rsidRPr="001B6E4D">
        <w:rPr>
          <w:rFonts w:ascii="標楷體" w:eastAsia="標楷體" w:hAnsi="標楷體"/>
          <w:sz w:val="28"/>
          <w:szCs w:val="28"/>
        </w:rPr>
        <w:t>近期公務職</w:t>
      </w:r>
      <w:proofErr w:type="gramStart"/>
      <w:r w:rsidRPr="001B6E4D">
        <w:rPr>
          <w:rFonts w:ascii="標楷體" w:eastAsia="標楷體" w:hAnsi="標楷體"/>
          <w:sz w:val="28"/>
          <w:szCs w:val="28"/>
        </w:rPr>
        <w:t>場霸凌</w:t>
      </w:r>
      <w:proofErr w:type="gramEnd"/>
      <w:r w:rsidRPr="001B6E4D">
        <w:rPr>
          <w:rFonts w:ascii="標楷體" w:eastAsia="標楷體" w:hAnsi="標楷體"/>
          <w:sz w:val="28"/>
          <w:szCs w:val="28"/>
        </w:rPr>
        <w:t>問題屢受社會關注，高階文官作為機關治理、團隊管理及組織文化形塑之核心，相關訓練不應僅止於一般領導管理課程，允應加強友善職場、職</w:t>
      </w:r>
      <w:proofErr w:type="gramStart"/>
      <w:r w:rsidRPr="001B6E4D">
        <w:rPr>
          <w:rFonts w:ascii="標楷體" w:eastAsia="標楷體" w:hAnsi="標楷體"/>
          <w:sz w:val="28"/>
          <w:szCs w:val="28"/>
        </w:rPr>
        <w:t>場霸凌</w:t>
      </w:r>
      <w:proofErr w:type="gramEnd"/>
      <w:r w:rsidRPr="001B6E4D">
        <w:rPr>
          <w:rFonts w:ascii="標楷體" w:eastAsia="標楷體" w:hAnsi="標楷體"/>
          <w:sz w:val="28"/>
          <w:szCs w:val="28"/>
        </w:rPr>
        <w:t>防治、主管責任、申訴處理、衝突溝通、情緒管理及部屬心理安全等內容納入完整訓練架構。</w:t>
      </w:r>
      <w:proofErr w:type="gramStart"/>
      <w:r w:rsidRPr="001B6E4D">
        <w:rPr>
          <w:rFonts w:ascii="標楷體" w:eastAsia="標楷體" w:hAnsi="標楷體"/>
          <w:sz w:val="28"/>
          <w:szCs w:val="28"/>
        </w:rPr>
        <w:t>惟</w:t>
      </w:r>
      <w:proofErr w:type="gramEnd"/>
      <w:r w:rsidRPr="001B6E4D">
        <w:rPr>
          <w:rFonts w:ascii="標楷體" w:eastAsia="標楷體" w:hAnsi="標楷體"/>
          <w:sz w:val="28"/>
          <w:szCs w:val="28"/>
        </w:rPr>
        <w:t>目前保訓會雖表示將於晉升官等法定訓練及中高</w:t>
      </w:r>
      <w:r w:rsidRPr="001B6E4D">
        <w:rPr>
          <w:rFonts w:ascii="標楷體" w:eastAsia="標楷體" w:hAnsi="標楷體"/>
          <w:sz w:val="28"/>
          <w:szCs w:val="28"/>
        </w:rPr>
        <w:lastRenderedPageBreak/>
        <w:t>階文官發展性訓練中納入</w:t>
      </w:r>
      <w:r w:rsidRPr="001B6E4D">
        <w:rPr>
          <w:rFonts w:ascii="標楷體" w:eastAsia="標楷體" w:hAnsi="標楷體" w:hint="eastAsia"/>
          <w:sz w:val="28"/>
          <w:szCs w:val="28"/>
        </w:rPr>
        <w:t>公務人員</w:t>
      </w:r>
      <w:r w:rsidRPr="001B6E4D">
        <w:rPr>
          <w:rFonts w:ascii="標楷體" w:eastAsia="標楷體" w:hAnsi="標楷體"/>
          <w:sz w:val="28"/>
          <w:szCs w:val="28"/>
        </w:rPr>
        <w:t>保障法及安全衛生相關課程，然其具體課程內容、案例演練方式、課後評量機制及如何轉化為主管實際管理行為，仍待進一步說明。為避免相關訓練流於形式，保</w:t>
      </w:r>
      <w:proofErr w:type="gramStart"/>
      <w:r w:rsidRPr="001B6E4D">
        <w:rPr>
          <w:rFonts w:ascii="標楷體" w:eastAsia="標楷體" w:hAnsi="標楷體"/>
          <w:sz w:val="28"/>
          <w:szCs w:val="28"/>
        </w:rPr>
        <w:t>訓會允應</w:t>
      </w:r>
      <w:proofErr w:type="gramEnd"/>
      <w:r w:rsidRPr="001B6E4D">
        <w:rPr>
          <w:rFonts w:ascii="標楷體" w:eastAsia="標楷體" w:hAnsi="標楷體"/>
          <w:sz w:val="28"/>
          <w:szCs w:val="28"/>
        </w:rPr>
        <w:t>就高階文官訓練中友善職場與職</w:t>
      </w:r>
      <w:proofErr w:type="gramStart"/>
      <w:r w:rsidRPr="001B6E4D">
        <w:rPr>
          <w:rFonts w:ascii="標楷體" w:eastAsia="標楷體" w:hAnsi="標楷體"/>
          <w:sz w:val="28"/>
          <w:szCs w:val="28"/>
        </w:rPr>
        <w:t>場霸凌</w:t>
      </w:r>
      <w:proofErr w:type="gramEnd"/>
      <w:r w:rsidRPr="001B6E4D">
        <w:rPr>
          <w:rFonts w:ascii="標楷體" w:eastAsia="標楷體" w:hAnsi="標楷體"/>
          <w:sz w:val="28"/>
          <w:szCs w:val="28"/>
        </w:rPr>
        <w:t>防治之課程設計、情境演練、成效評估、追蹤回饋及是否納入主管升遷考核參考等事項，提出具體規劃，以強化公務體系預防職</w:t>
      </w:r>
      <w:proofErr w:type="gramStart"/>
      <w:r w:rsidRPr="001B6E4D">
        <w:rPr>
          <w:rFonts w:ascii="標楷體" w:eastAsia="標楷體" w:hAnsi="標楷體"/>
          <w:sz w:val="28"/>
          <w:szCs w:val="28"/>
        </w:rPr>
        <w:t>場霸凌之</w:t>
      </w:r>
      <w:proofErr w:type="gramEnd"/>
      <w:r w:rsidRPr="001B6E4D">
        <w:rPr>
          <w:rFonts w:ascii="標楷體" w:eastAsia="標楷體" w:hAnsi="標楷體"/>
          <w:sz w:val="28"/>
          <w:szCs w:val="28"/>
        </w:rPr>
        <w:t>能力，並健全機關內部管理文化。</w:t>
      </w:r>
    </w:p>
    <w:p w14:paraId="6707FBEC"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請</w:t>
      </w:r>
      <w:r w:rsidRPr="001B6E4D">
        <w:rPr>
          <w:rFonts w:ascii="標楷體" w:eastAsia="標楷體" w:hAnsi="標楷體"/>
          <w:color w:val="000000"/>
          <w:sz w:val="28"/>
          <w:szCs w:val="28"/>
        </w:rPr>
        <w:t>公務人員保障暨培訓委員會於2個月內向立法院司法及法制委員會提出</w:t>
      </w:r>
      <w:r w:rsidRPr="001B6E4D">
        <w:rPr>
          <w:rFonts w:ascii="標楷體" w:eastAsia="標楷體" w:hAnsi="標楷體" w:hint="eastAsia"/>
          <w:color w:val="000000"/>
          <w:sz w:val="28"/>
          <w:szCs w:val="28"/>
        </w:rPr>
        <w:t>書面</w:t>
      </w:r>
      <w:r w:rsidRPr="001B6E4D">
        <w:rPr>
          <w:rFonts w:ascii="標楷體" w:eastAsia="標楷體" w:hAnsi="標楷體"/>
          <w:color w:val="000000"/>
          <w:sz w:val="28"/>
          <w:szCs w:val="28"/>
        </w:rPr>
        <w:t>報告。【67】</w:t>
      </w:r>
    </w:p>
    <w:p w14:paraId="38587E8D"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提案人：林倩綺</w:t>
      </w:r>
    </w:p>
    <w:p w14:paraId="35FBBDB1"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連署人：吳宗憲　翁曉玲</w:t>
      </w:r>
    </w:p>
    <w:p w14:paraId="15A8FA4F"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(五)</w:t>
      </w:r>
      <w:proofErr w:type="gramStart"/>
      <w:r w:rsidRPr="001B6E4D">
        <w:rPr>
          <w:rFonts w:ascii="標楷體" w:eastAsia="標楷體" w:hAnsi="標楷體"/>
          <w:sz w:val="28"/>
          <w:szCs w:val="28"/>
        </w:rPr>
        <w:t>115</w:t>
      </w:r>
      <w:proofErr w:type="gramEnd"/>
      <w:r w:rsidRPr="001B6E4D">
        <w:rPr>
          <w:rFonts w:ascii="標楷體" w:eastAsia="標楷體" w:hAnsi="標楷體"/>
          <w:sz w:val="28"/>
          <w:szCs w:val="28"/>
        </w:rPr>
        <w:t>年度公務人員保障暨培訓委員會預算案於第2目「保障暨培訓」第2節「訓練與進修業務」項下「培訓評鑑技術研發規劃執行」編列預算142萬5千元。係為辦理訓練成績評量與成效追蹤，以評鑑公務人員學習成果，並辦理核心知能需求調查，強化課程與實際需求之連結，達成培訓評鑑目標。</w:t>
      </w:r>
      <w:proofErr w:type="gramStart"/>
      <w:r w:rsidRPr="001B6E4D">
        <w:rPr>
          <w:rFonts w:ascii="標楷體" w:eastAsia="標楷體" w:hAnsi="標楷體"/>
          <w:sz w:val="28"/>
          <w:szCs w:val="28"/>
        </w:rPr>
        <w:t>惟</w:t>
      </w:r>
      <w:proofErr w:type="gramEnd"/>
      <w:r w:rsidRPr="001B6E4D">
        <w:rPr>
          <w:rFonts w:ascii="標楷體" w:eastAsia="標楷體" w:hAnsi="標楷體"/>
          <w:sz w:val="28"/>
          <w:szCs w:val="28"/>
        </w:rPr>
        <w:t>近期公部門</w:t>
      </w:r>
      <w:proofErr w:type="gramStart"/>
      <w:r w:rsidRPr="001B6E4D">
        <w:rPr>
          <w:rFonts w:ascii="標楷體" w:eastAsia="標楷體" w:hAnsi="標楷體"/>
          <w:sz w:val="28"/>
          <w:szCs w:val="28"/>
        </w:rPr>
        <w:t>頻傳職場</w:t>
      </w:r>
      <w:proofErr w:type="gramEnd"/>
      <w:r w:rsidRPr="001B6E4D">
        <w:rPr>
          <w:rFonts w:ascii="標楷體" w:eastAsia="標楷體" w:hAnsi="標楷體"/>
          <w:sz w:val="28"/>
          <w:szCs w:val="28"/>
        </w:rPr>
        <w:t>管理爭議與</w:t>
      </w:r>
      <w:proofErr w:type="gramStart"/>
      <w:r w:rsidRPr="001B6E4D">
        <w:rPr>
          <w:rFonts w:ascii="標楷體" w:eastAsia="標楷體" w:hAnsi="標楷體"/>
          <w:sz w:val="28"/>
          <w:szCs w:val="28"/>
        </w:rPr>
        <w:t>疑似霸凌事件</w:t>
      </w:r>
      <w:proofErr w:type="gramEnd"/>
      <w:r w:rsidRPr="001B6E4D">
        <w:rPr>
          <w:rFonts w:ascii="標楷體" w:eastAsia="標楷體" w:hAnsi="標楷體"/>
          <w:sz w:val="28"/>
          <w:szCs w:val="28"/>
        </w:rPr>
        <w:t>，顯示主管人員於組織治理、衝突處理、申訴應對、職場不法侵害預防及部屬心理支持等面向，仍有強化訓練與檢核之必要。現行評量若僅著重課程出席、紙筆測驗、滿意度調查或一般學習成果，恐難以確認受訓主管是否具備處理實際職場風險與改善管理行為之能力。為使培訓評鑑技術確實回應公務現場需求，保</w:t>
      </w:r>
      <w:proofErr w:type="gramStart"/>
      <w:r w:rsidRPr="001B6E4D">
        <w:rPr>
          <w:rFonts w:ascii="標楷體" w:eastAsia="標楷體" w:hAnsi="標楷體"/>
          <w:sz w:val="28"/>
          <w:szCs w:val="28"/>
        </w:rPr>
        <w:t>訓會允應</w:t>
      </w:r>
      <w:proofErr w:type="gramEnd"/>
      <w:r w:rsidRPr="001B6E4D">
        <w:rPr>
          <w:rFonts w:ascii="標楷體" w:eastAsia="標楷體" w:hAnsi="標楷體"/>
          <w:sz w:val="28"/>
          <w:szCs w:val="28"/>
        </w:rPr>
        <w:t>就核心知能需求調查如何反映職場治理風險、訓練成績評量如何檢核主管實務應對能力、成效追蹤如何觀察受訓後管理行為改變，以及評鑑結果如何回饋課程設計與主管培育制度，提出具體規劃與說明。</w:t>
      </w:r>
    </w:p>
    <w:p w14:paraId="0E97555C"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hint="eastAsia"/>
          <w:color w:val="000000"/>
          <w:sz w:val="28"/>
          <w:szCs w:val="28"/>
        </w:rPr>
        <w:t>請</w:t>
      </w:r>
      <w:r w:rsidRPr="001B6E4D">
        <w:rPr>
          <w:rFonts w:ascii="標楷體" w:eastAsia="標楷體" w:hAnsi="標楷體"/>
          <w:color w:val="000000"/>
          <w:sz w:val="28"/>
          <w:szCs w:val="28"/>
        </w:rPr>
        <w:t>公務人員保障暨培訓委員會於2個月內向立法院司法及法制委員會提出</w:t>
      </w:r>
      <w:r w:rsidRPr="001B6E4D">
        <w:rPr>
          <w:rFonts w:ascii="標楷體" w:eastAsia="標楷體" w:hAnsi="標楷體" w:hint="eastAsia"/>
          <w:color w:val="000000"/>
          <w:sz w:val="28"/>
          <w:szCs w:val="28"/>
        </w:rPr>
        <w:t>書面</w:t>
      </w:r>
      <w:r w:rsidRPr="001B6E4D">
        <w:rPr>
          <w:rFonts w:ascii="標楷體" w:eastAsia="標楷體" w:hAnsi="標楷體"/>
          <w:color w:val="000000"/>
          <w:sz w:val="28"/>
          <w:szCs w:val="28"/>
        </w:rPr>
        <w:t>報告</w:t>
      </w:r>
      <w:r w:rsidRPr="001B6E4D">
        <w:rPr>
          <w:rFonts w:ascii="標楷體" w:eastAsia="標楷體" w:hAnsi="標楷體" w:hint="eastAsia"/>
          <w:color w:val="000000"/>
          <w:sz w:val="28"/>
          <w:szCs w:val="28"/>
        </w:rPr>
        <w:t>並經同意</w:t>
      </w:r>
      <w:r w:rsidRPr="001B6E4D">
        <w:rPr>
          <w:rFonts w:ascii="標楷體" w:eastAsia="標楷體" w:hAnsi="標楷體"/>
          <w:color w:val="000000"/>
          <w:sz w:val="28"/>
          <w:szCs w:val="28"/>
        </w:rPr>
        <w:t>。【68】</w:t>
      </w:r>
    </w:p>
    <w:p w14:paraId="5EB267C9"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提案人：林倩綺</w:t>
      </w:r>
    </w:p>
    <w:p w14:paraId="7D448127"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連署人：吳宗憲　翁曉玲</w:t>
      </w:r>
    </w:p>
    <w:p w14:paraId="481BAE07"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(六)</w:t>
      </w:r>
      <w:proofErr w:type="gramStart"/>
      <w:r w:rsidRPr="001B6E4D">
        <w:rPr>
          <w:rFonts w:ascii="標楷體" w:eastAsia="標楷體" w:hAnsi="標楷體"/>
          <w:sz w:val="28"/>
          <w:szCs w:val="28"/>
        </w:rPr>
        <w:t>鑑</w:t>
      </w:r>
      <w:proofErr w:type="gramEnd"/>
      <w:r w:rsidRPr="001B6E4D">
        <w:rPr>
          <w:rFonts w:ascii="標楷體" w:eastAsia="標楷體" w:hAnsi="標楷體"/>
          <w:sz w:val="28"/>
          <w:szCs w:val="28"/>
        </w:rPr>
        <w:t>於公務人員職業安全與衛生抽查作業，係督促各機關落實職場安全衛生之重要監督機制，惟現行《各機關辦理安全及衛生防護抽查作業實施要點》，抽查</w:t>
      </w:r>
      <w:proofErr w:type="gramStart"/>
      <w:r w:rsidRPr="001B6E4D">
        <w:rPr>
          <w:rFonts w:ascii="標楷體" w:eastAsia="標楷體" w:hAnsi="標楷體"/>
          <w:sz w:val="28"/>
          <w:szCs w:val="28"/>
        </w:rPr>
        <w:t>結果多供機關</w:t>
      </w:r>
      <w:proofErr w:type="gramEnd"/>
      <w:r w:rsidRPr="001B6E4D">
        <w:rPr>
          <w:rFonts w:ascii="標楷體" w:eastAsia="標楷體" w:hAnsi="標楷體"/>
          <w:sz w:val="28"/>
          <w:szCs w:val="28"/>
        </w:rPr>
        <w:t>內部參考，外部監督及資訊透明程度有限，恐影響制度督促改善之實效。又抽查結果與後續改善情形，是否建立持續追蹤機制，及其與機關績效評核之連動性，亦有檢討空間。</w:t>
      </w:r>
    </w:p>
    <w:p w14:paraId="68F01BEE"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為強化制度效能及提升政府施政透明度，</w:t>
      </w: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請公務人員保障暨培訓委員會，會同相關機關，就職場安全衛生抽查作業之</w:t>
      </w:r>
      <w:r w:rsidRPr="001B6E4D">
        <w:rPr>
          <w:rFonts w:ascii="標楷體" w:eastAsia="標楷體" w:hAnsi="標楷體"/>
          <w:color w:val="000000"/>
          <w:sz w:val="28"/>
          <w:szCs w:val="28"/>
        </w:rPr>
        <w:lastRenderedPageBreak/>
        <w:t>資訊公開機制、改善事項之追蹤與回饋機制，以及抽查結果納入評鑑或績效指標之可行性，進行通盤檢討；並</w:t>
      </w:r>
      <w:proofErr w:type="gramStart"/>
      <w:r w:rsidRPr="001B6E4D">
        <w:rPr>
          <w:rFonts w:ascii="標楷體" w:eastAsia="標楷體" w:hAnsi="標楷體"/>
          <w:color w:val="000000"/>
          <w:sz w:val="28"/>
          <w:szCs w:val="28"/>
        </w:rPr>
        <w:t>研</w:t>
      </w:r>
      <w:proofErr w:type="gramEnd"/>
      <w:r w:rsidRPr="001B6E4D">
        <w:rPr>
          <w:rFonts w:ascii="標楷體" w:eastAsia="標楷體" w:hAnsi="標楷體"/>
          <w:color w:val="000000"/>
          <w:sz w:val="28"/>
          <w:szCs w:val="28"/>
        </w:rPr>
        <w:t>議建立定期公告及改善追蹤制度，及包含「改善完成率」、「複查通過率」等具體量化指標，以強化制度之持續精進與實際改善效果。</w:t>
      </w:r>
    </w:p>
    <w:p w14:paraId="5E6C6E0C"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建請公務人員保障暨培訓委員會於3個月內向立法院司法及法制委員會提出書面報告。【69】</w:t>
      </w:r>
    </w:p>
    <w:p w14:paraId="00C6B47B"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提案人：沈發惠</w:t>
      </w:r>
    </w:p>
    <w:p w14:paraId="6206784C"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 xml:space="preserve">連署人：張雅琳　</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w:t>
      </w:r>
    </w:p>
    <w:p w14:paraId="2D41DC7F" w14:textId="77777777" w:rsidR="0051111F" w:rsidRPr="001B6E4D" w:rsidRDefault="0051111F" w:rsidP="003D1018">
      <w:pPr>
        <w:widowControl w:val="0"/>
        <w:overflowPunct w:val="0"/>
        <w:snapToGrid w:val="0"/>
        <w:spacing w:line="380" w:lineRule="exact"/>
        <w:ind w:left="924" w:hanging="567"/>
        <w:jc w:val="both"/>
        <w:rPr>
          <w:rFonts w:ascii="標楷體" w:eastAsia="標楷體" w:hAnsi="標楷體"/>
          <w:sz w:val="28"/>
          <w:szCs w:val="28"/>
        </w:rPr>
      </w:pPr>
      <w:r w:rsidRPr="001B6E4D">
        <w:rPr>
          <w:rFonts w:ascii="標楷體" w:eastAsia="標楷體" w:hAnsi="標楷體" w:hint="eastAsia"/>
          <w:sz w:val="28"/>
          <w:szCs w:val="28"/>
        </w:rPr>
        <w:t>(七)</w:t>
      </w:r>
      <w:r w:rsidRPr="001B6E4D">
        <w:rPr>
          <w:rFonts w:ascii="標楷體" w:eastAsia="標楷體" w:hAnsi="標楷體"/>
          <w:sz w:val="28"/>
          <w:szCs w:val="28"/>
        </w:rPr>
        <w:t>根據公務人員保障暨培訓委員會統計年報統計，保訓會受理各類型保障案件，包括復審、再審議及再申訴案件，介於1,121件至1,768件之間。若再加計上年度未辦結案件，各年度需處理之保障</w:t>
      </w:r>
      <w:proofErr w:type="gramStart"/>
      <w:r w:rsidRPr="001B6E4D">
        <w:rPr>
          <w:rFonts w:ascii="標楷體" w:eastAsia="標楷體" w:hAnsi="標楷體"/>
          <w:sz w:val="28"/>
          <w:szCs w:val="28"/>
        </w:rPr>
        <w:t>案件均逾千件</w:t>
      </w:r>
      <w:proofErr w:type="gramEnd"/>
      <w:r w:rsidRPr="001B6E4D">
        <w:rPr>
          <w:rFonts w:ascii="標楷體" w:eastAsia="標楷體" w:hAnsi="標楷體"/>
          <w:sz w:val="28"/>
          <w:szCs w:val="28"/>
        </w:rPr>
        <w:t>，且整體</w:t>
      </w:r>
      <w:proofErr w:type="gramStart"/>
      <w:r w:rsidRPr="001B6E4D">
        <w:rPr>
          <w:rFonts w:ascii="標楷體" w:eastAsia="標楷體" w:hAnsi="標楷體"/>
          <w:sz w:val="28"/>
          <w:szCs w:val="28"/>
        </w:rPr>
        <w:t>案件量呈上升</w:t>
      </w:r>
      <w:proofErr w:type="gramEnd"/>
      <w:r w:rsidRPr="001B6E4D">
        <w:rPr>
          <w:rFonts w:ascii="標楷體" w:eastAsia="標楷體" w:hAnsi="標楷體"/>
          <w:sz w:val="28"/>
          <w:szCs w:val="28"/>
        </w:rPr>
        <w:t>趨勢。</w:t>
      </w:r>
    </w:p>
    <w:p w14:paraId="52B4ADC1" w14:textId="77777777" w:rsidR="0051111F" w:rsidRPr="001B6E4D" w:rsidRDefault="0051111F" w:rsidP="003D1018">
      <w:pPr>
        <w:widowControl w:val="0"/>
        <w:overflowPunct w:val="0"/>
        <w:snapToGrid w:val="0"/>
        <w:ind w:left="1267"/>
        <w:jc w:val="both"/>
        <w:rPr>
          <w:rFonts w:ascii="標楷體" w:eastAsia="標楷體" w:hAnsi="標楷體"/>
          <w:color w:val="000000"/>
          <w:sz w:val="28"/>
          <w:szCs w:val="28"/>
        </w:rPr>
      </w:pPr>
      <w:r w:rsidRPr="001B6E4D">
        <w:rPr>
          <w:rFonts w:ascii="標楷體" w:eastAsia="標楷體" w:hAnsi="標楷體"/>
          <w:noProof/>
          <w:color w:val="000000"/>
        </w:rPr>
        <w:drawing>
          <wp:inline distT="0" distB="0" distL="0" distR="0" wp14:anchorId="00D81288" wp14:editId="554886D1">
            <wp:extent cx="4610100" cy="1739774"/>
            <wp:effectExtent l="0" t="0" r="0"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63602" cy="1759965"/>
                    </a:xfrm>
                    <a:prstGeom prst="rect">
                      <a:avLst/>
                    </a:prstGeom>
                    <a:noFill/>
                  </pic:spPr>
                </pic:pic>
              </a:graphicData>
            </a:graphic>
          </wp:inline>
        </w:drawing>
      </w:r>
    </w:p>
    <w:p w14:paraId="787AB919"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根據立法院預算中心預算</w:t>
      </w:r>
      <w:r w:rsidRPr="001B6E4D">
        <w:rPr>
          <w:rFonts w:ascii="標楷體" w:eastAsia="標楷體" w:hAnsi="標楷體" w:hint="eastAsia"/>
          <w:color w:val="000000"/>
          <w:sz w:val="28"/>
          <w:szCs w:val="28"/>
        </w:rPr>
        <w:t>評估</w:t>
      </w:r>
      <w:r w:rsidRPr="001B6E4D">
        <w:rPr>
          <w:rFonts w:ascii="標楷體" w:eastAsia="標楷體" w:hAnsi="標楷體"/>
          <w:color w:val="000000"/>
          <w:sz w:val="28"/>
          <w:szCs w:val="28"/>
        </w:rPr>
        <w:t>報告表示，觀察審議情形，109至112年度已辦結案件數介於1,131至1,274件</w:t>
      </w:r>
      <w:proofErr w:type="gramStart"/>
      <w:r w:rsidRPr="001B6E4D">
        <w:rPr>
          <w:rFonts w:ascii="標楷體" w:eastAsia="標楷體" w:hAnsi="標楷體"/>
          <w:color w:val="000000"/>
          <w:sz w:val="28"/>
          <w:szCs w:val="28"/>
        </w:rPr>
        <w:t>之間，</w:t>
      </w:r>
      <w:proofErr w:type="gramEnd"/>
      <w:r w:rsidRPr="001B6E4D">
        <w:rPr>
          <w:rFonts w:ascii="標楷體" w:eastAsia="標楷體" w:hAnsi="標楷體"/>
          <w:color w:val="000000"/>
          <w:sz w:val="28"/>
          <w:szCs w:val="28"/>
        </w:rPr>
        <w:t>結案率介於85.9%至89.9%；惟</w:t>
      </w:r>
      <w:proofErr w:type="gramStart"/>
      <w:r w:rsidRPr="001B6E4D">
        <w:rPr>
          <w:rFonts w:ascii="標楷體" w:eastAsia="標楷體" w:hAnsi="標楷體"/>
          <w:color w:val="000000"/>
          <w:sz w:val="28"/>
          <w:szCs w:val="28"/>
        </w:rPr>
        <w:t>113年度雖辦結</w:t>
      </w:r>
      <w:proofErr w:type="gramEnd"/>
      <w:r w:rsidRPr="001B6E4D">
        <w:rPr>
          <w:rFonts w:ascii="標楷體" w:eastAsia="標楷體" w:hAnsi="標楷體"/>
          <w:color w:val="000000"/>
          <w:sz w:val="28"/>
          <w:szCs w:val="28"/>
        </w:rPr>
        <w:t>1,336件，結案率僅67.6%，較前幾年度明顯偏低，且尚有641件案件未能於</w:t>
      </w:r>
      <w:proofErr w:type="gramStart"/>
      <w:r w:rsidRPr="001B6E4D">
        <w:rPr>
          <w:rFonts w:ascii="標楷體" w:eastAsia="標楷體" w:hAnsi="標楷體" w:hint="eastAsia"/>
          <w:color w:val="000000"/>
          <w:sz w:val="28"/>
          <w:szCs w:val="28"/>
        </w:rPr>
        <w:t>113</w:t>
      </w:r>
      <w:proofErr w:type="gramEnd"/>
      <w:r w:rsidRPr="001B6E4D">
        <w:rPr>
          <w:rFonts w:ascii="標楷體" w:eastAsia="標楷體" w:hAnsi="標楷體"/>
          <w:color w:val="000000"/>
          <w:sz w:val="28"/>
          <w:szCs w:val="28"/>
        </w:rPr>
        <w:t>年度辦結，須留待</w:t>
      </w:r>
      <w:proofErr w:type="gramStart"/>
      <w:r w:rsidRPr="001B6E4D">
        <w:rPr>
          <w:rFonts w:ascii="標楷體" w:eastAsia="標楷體" w:hAnsi="標楷體" w:hint="eastAsia"/>
          <w:color w:val="000000"/>
          <w:sz w:val="28"/>
          <w:szCs w:val="28"/>
        </w:rPr>
        <w:t>114</w:t>
      </w:r>
      <w:proofErr w:type="gramEnd"/>
      <w:r w:rsidRPr="001B6E4D">
        <w:rPr>
          <w:rFonts w:ascii="標楷體" w:eastAsia="標楷體" w:hAnsi="標楷體"/>
          <w:color w:val="000000"/>
          <w:sz w:val="28"/>
          <w:szCs w:val="28"/>
        </w:rPr>
        <w:t>年度繼續審理。</w:t>
      </w:r>
    </w:p>
    <w:p w14:paraId="171BFB2E"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r w:rsidRPr="001B6E4D">
        <w:rPr>
          <w:rFonts w:ascii="標楷體" w:eastAsia="標楷體" w:hAnsi="標楷體"/>
          <w:color w:val="000000"/>
          <w:sz w:val="28"/>
          <w:szCs w:val="28"/>
        </w:rPr>
        <w:t>綜上，近年保訓會保障案件之待審議及未結案件</w:t>
      </w:r>
      <w:proofErr w:type="gramStart"/>
      <w:r w:rsidRPr="001B6E4D">
        <w:rPr>
          <w:rFonts w:ascii="標楷體" w:eastAsia="標楷體" w:hAnsi="標楷體"/>
          <w:color w:val="000000"/>
          <w:sz w:val="28"/>
          <w:szCs w:val="28"/>
        </w:rPr>
        <w:t>數</w:t>
      </w:r>
      <w:r w:rsidRPr="001B6E4D">
        <w:rPr>
          <w:rFonts w:ascii="標楷體" w:eastAsia="標楷體" w:hAnsi="標楷體" w:hint="eastAsia"/>
          <w:color w:val="000000"/>
          <w:sz w:val="28"/>
          <w:szCs w:val="28"/>
        </w:rPr>
        <w:t>概</w:t>
      </w:r>
      <w:r w:rsidRPr="001B6E4D">
        <w:rPr>
          <w:rFonts w:ascii="標楷體" w:eastAsia="標楷體" w:hAnsi="標楷體"/>
          <w:color w:val="000000"/>
          <w:sz w:val="28"/>
          <w:szCs w:val="28"/>
        </w:rPr>
        <w:t>呈攀</w:t>
      </w:r>
      <w:proofErr w:type="gramEnd"/>
      <w:r w:rsidRPr="001B6E4D">
        <w:rPr>
          <w:rFonts w:ascii="標楷體" w:eastAsia="標楷體" w:hAnsi="標楷體"/>
          <w:color w:val="000000"/>
          <w:sz w:val="28"/>
          <w:szCs w:val="28"/>
        </w:rPr>
        <w:t>升趨勢，案件類型亦日趨複雜。為維護公務人員救濟權益，並避免案件延宕影響程序保障，保訓會實有必要檢討現行審理流程、人力配置及案件分流機制。</w:t>
      </w:r>
    </w:p>
    <w:p w14:paraId="277FDA5F" w14:textId="77777777" w:rsidR="0051111F" w:rsidRPr="001B6E4D" w:rsidRDefault="0051111F" w:rsidP="003D1018">
      <w:pPr>
        <w:widowControl w:val="0"/>
        <w:overflowPunct w:val="0"/>
        <w:snapToGrid w:val="0"/>
        <w:spacing w:line="380" w:lineRule="exact"/>
        <w:ind w:left="924" w:firstLineChars="200" w:firstLine="560"/>
        <w:jc w:val="both"/>
        <w:rPr>
          <w:rFonts w:ascii="標楷體" w:eastAsia="標楷體" w:hAnsi="標楷體"/>
          <w:color w:val="000000"/>
          <w:sz w:val="28"/>
          <w:szCs w:val="28"/>
        </w:rPr>
      </w:pPr>
      <w:proofErr w:type="gramStart"/>
      <w:r w:rsidRPr="001B6E4D">
        <w:rPr>
          <w:rFonts w:ascii="標楷體" w:eastAsia="標楷體" w:hAnsi="標楷體"/>
          <w:color w:val="000000"/>
          <w:sz w:val="28"/>
          <w:szCs w:val="28"/>
        </w:rPr>
        <w:t>爰</w:t>
      </w:r>
      <w:proofErr w:type="gramEnd"/>
      <w:r w:rsidRPr="001B6E4D">
        <w:rPr>
          <w:rFonts w:ascii="標楷體" w:eastAsia="標楷體" w:hAnsi="標楷體"/>
          <w:color w:val="000000"/>
          <w:sz w:val="28"/>
          <w:szCs w:val="28"/>
        </w:rPr>
        <w:t>建請公務人員保障暨培訓委員會於3個月內，針對近年保障案件量增加、</w:t>
      </w:r>
      <w:proofErr w:type="gramStart"/>
      <w:r w:rsidRPr="001B6E4D">
        <w:rPr>
          <w:rFonts w:ascii="標楷體" w:eastAsia="標楷體" w:hAnsi="標楷體"/>
          <w:color w:val="000000"/>
          <w:sz w:val="28"/>
          <w:szCs w:val="28"/>
        </w:rPr>
        <w:t>113</w:t>
      </w:r>
      <w:proofErr w:type="gramEnd"/>
      <w:r w:rsidRPr="001B6E4D">
        <w:rPr>
          <w:rFonts w:ascii="標楷體" w:eastAsia="標楷體" w:hAnsi="標楷體"/>
          <w:color w:val="000000"/>
          <w:sz w:val="28"/>
          <w:szCs w:val="28"/>
        </w:rPr>
        <w:t>年度結案率下降及未結案件累積情形，</w:t>
      </w:r>
      <w:proofErr w:type="gramStart"/>
      <w:r w:rsidRPr="001B6E4D">
        <w:rPr>
          <w:rFonts w:ascii="標楷體" w:eastAsia="標楷體" w:hAnsi="標楷體"/>
          <w:color w:val="000000"/>
          <w:sz w:val="28"/>
          <w:szCs w:val="28"/>
        </w:rPr>
        <w:t>研議精</w:t>
      </w:r>
      <w:proofErr w:type="gramEnd"/>
      <w:r w:rsidRPr="001B6E4D">
        <w:rPr>
          <w:rFonts w:ascii="標楷體" w:eastAsia="標楷體" w:hAnsi="標楷體"/>
          <w:color w:val="000000"/>
          <w:sz w:val="28"/>
          <w:szCs w:val="28"/>
        </w:rPr>
        <w:t>進保障事件審理機制，並就案件分流、審理流程簡化、人力調度等事項提出具體改善措施向立法院司法及法制委員會提出書面報告。【70】</w:t>
      </w:r>
    </w:p>
    <w:p w14:paraId="6EE92D00"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提案人：張雅琳</w:t>
      </w:r>
    </w:p>
    <w:p w14:paraId="02704593" w14:textId="77777777" w:rsidR="0051111F" w:rsidRPr="001B6E4D" w:rsidRDefault="0051111F" w:rsidP="003D1018">
      <w:pPr>
        <w:widowControl w:val="0"/>
        <w:overflowPunct w:val="0"/>
        <w:snapToGrid w:val="0"/>
        <w:ind w:leftChars="1500" w:left="477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連署人：</w:t>
      </w:r>
      <w:proofErr w:type="gramStart"/>
      <w:r w:rsidRPr="001B6E4D">
        <w:rPr>
          <w:rFonts w:ascii="標楷體" w:eastAsia="標楷體" w:hAnsi="標楷體" w:cs="Arial"/>
          <w:color w:val="000000"/>
          <w:sz w:val="28"/>
          <w:szCs w:val="28"/>
        </w:rPr>
        <w:t>范</w:t>
      </w:r>
      <w:proofErr w:type="gramEnd"/>
      <w:r w:rsidRPr="001B6E4D">
        <w:rPr>
          <w:rFonts w:ascii="標楷體" w:eastAsia="標楷體" w:hAnsi="標楷體" w:cs="Arial"/>
          <w:color w:val="000000"/>
          <w:sz w:val="28"/>
          <w:szCs w:val="28"/>
        </w:rPr>
        <w:t xml:space="preserve">　雲　沈發惠</w:t>
      </w:r>
    </w:p>
    <w:p w14:paraId="2829D386" w14:textId="77777777" w:rsidR="0051111F" w:rsidRPr="001B6E4D" w:rsidRDefault="0051111F" w:rsidP="003D1018">
      <w:pPr>
        <w:widowControl w:val="0"/>
        <w:overflowPunct w:val="0"/>
        <w:snapToGrid w:val="0"/>
        <w:ind w:leftChars="150" w:left="1536" w:hangingChars="420" w:hanging="1176"/>
        <w:jc w:val="both"/>
        <w:rPr>
          <w:rFonts w:ascii="標楷體" w:eastAsia="標楷體" w:hAnsi="標楷體" w:cs="Arial"/>
          <w:color w:val="000000"/>
          <w:sz w:val="28"/>
          <w:szCs w:val="28"/>
        </w:rPr>
      </w:pPr>
      <w:r w:rsidRPr="001B6E4D">
        <w:rPr>
          <w:rFonts w:ascii="標楷體" w:eastAsia="標楷體" w:hAnsi="標楷體" w:cs="Arial"/>
          <w:color w:val="000000"/>
          <w:sz w:val="28"/>
          <w:szCs w:val="28"/>
        </w:rPr>
        <w:t>第5項 國家文官學院及所屬3億3,695萬3千元，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67A47B38" w14:textId="77777777" w:rsidR="0051111F" w:rsidRPr="001B6E4D" w:rsidRDefault="0051111F" w:rsidP="003D1018">
      <w:pPr>
        <w:widowControl w:val="0"/>
        <w:overflowPunct w:val="0"/>
        <w:snapToGrid w:val="0"/>
        <w:ind w:leftChars="150" w:left="1536" w:hangingChars="420" w:hanging="1176"/>
        <w:jc w:val="both"/>
        <w:rPr>
          <w:rFonts w:ascii="標楷體" w:eastAsia="標楷體" w:hAnsi="標楷體" w:cs="Arial"/>
          <w:sz w:val="28"/>
          <w:szCs w:val="28"/>
        </w:rPr>
      </w:pPr>
      <w:r w:rsidRPr="001B6E4D">
        <w:rPr>
          <w:rFonts w:ascii="標楷體" w:eastAsia="標楷體" w:hAnsi="標楷體" w:cs="Arial"/>
          <w:color w:val="000000"/>
          <w:sz w:val="28"/>
          <w:szCs w:val="28"/>
        </w:rPr>
        <w:t>第6項 公務人員退休撫</w:t>
      </w:r>
      <w:proofErr w:type="gramStart"/>
      <w:r w:rsidRPr="001B6E4D">
        <w:rPr>
          <w:rFonts w:ascii="標楷體" w:eastAsia="標楷體" w:hAnsi="標楷體" w:cs="Arial"/>
          <w:color w:val="000000"/>
          <w:sz w:val="28"/>
          <w:szCs w:val="28"/>
        </w:rPr>
        <w:t>卹</w:t>
      </w:r>
      <w:proofErr w:type="gramEnd"/>
      <w:r w:rsidRPr="001B6E4D">
        <w:rPr>
          <w:rFonts w:ascii="標楷體" w:eastAsia="標楷體" w:hAnsi="標楷體" w:cs="Arial"/>
          <w:color w:val="000000"/>
          <w:sz w:val="28"/>
          <w:szCs w:val="28"/>
        </w:rPr>
        <w:t>基金管理局3億1,658萬2千元，</w:t>
      </w:r>
      <w:proofErr w:type="gramStart"/>
      <w:r w:rsidRPr="001B6E4D">
        <w:rPr>
          <w:rFonts w:ascii="標楷體" w:eastAsia="標楷體" w:hAnsi="標楷體" w:cs="Arial"/>
          <w:color w:val="000000"/>
          <w:sz w:val="28"/>
          <w:szCs w:val="28"/>
        </w:rPr>
        <w:t>照列</w:t>
      </w:r>
      <w:proofErr w:type="gramEnd"/>
      <w:r w:rsidRPr="001B6E4D">
        <w:rPr>
          <w:rFonts w:ascii="標楷體" w:eastAsia="標楷體" w:hAnsi="標楷體" w:cs="Arial"/>
          <w:color w:val="000000"/>
          <w:sz w:val="28"/>
          <w:szCs w:val="28"/>
        </w:rPr>
        <w:t>。</w:t>
      </w:r>
    </w:p>
    <w:p w14:paraId="2C180563" w14:textId="77777777" w:rsidR="0051111F" w:rsidRPr="001B6E4D" w:rsidRDefault="0051111F" w:rsidP="003D1018">
      <w:pPr>
        <w:widowControl w:val="0"/>
        <w:kinsoku w:val="0"/>
        <w:overflowPunct w:val="0"/>
        <w:spacing w:line="380" w:lineRule="exact"/>
        <w:ind w:leftChars="2" w:left="566" w:hangingChars="200" w:hanging="561"/>
        <w:jc w:val="both"/>
        <w:rPr>
          <w:rFonts w:ascii="標楷體" w:eastAsia="標楷體" w:hAnsi="標楷體"/>
          <w:kern w:val="0"/>
          <w:sz w:val="28"/>
          <w:szCs w:val="28"/>
          <w:shd w:val="clear" w:color="auto" w:fill="FFFFFF"/>
        </w:rPr>
      </w:pPr>
      <w:r w:rsidRPr="001B6E4D">
        <w:rPr>
          <w:rFonts w:ascii="標楷體" w:eastAsia="標楷體" w:hAnsi="標楷體"/>
          <w:b/>
          <w:bCs/>
          <w:kern w:val="0"/>
          <w:sz w:val="28"/>
          <w:szCs w:val="28"/>
        </w:rPr>
        <w:t>(</w:t>
      </w:r>
      <w:r w:rsidRPr="001B6E4D">
        <w:rPr>
          <w:rFonts w:ascii="標楷體" w:eastAsia="標楷體" w:hAnsi="標楷體" w:hint="eastAsia"/>
          <w:b/>
          <w:bCs/>
          <w:kern w:val="0"/>
          <w:sz w:val="28"/>
          <w:szCs w:val="28"/>
        </w:rPr>
        <w:t>三</w:t>
      </w:r>
      <w:r w:rsidRPr="001B6E4D">
        <w:rPr>
          <w:rFonts w:ascii="標楷體" w:eastAsia="標楷體" w:hAnsi="標楷體"/>
          <w:b/>
          <w:bCs/>
          <w:kern w:val="0"/>
          <w:sz w:val="28"/>
          <w:szCs w:val="28"/>
        </w:rPr>
        <w:t>)</w:t>
      </w:r>
      <w:r w:rsidRPr="001B6E4D">
        <w:rPr>
          <w:rFonts w:ascii="標楷體" w:eastAsia="標楷體" w:hAnsi="標楷體" w:hint="eastAsia"/>
          <w:b/>
          <w:bCs/>
          <w:kern w:val="0"/>
          <w:sz w:val="28"/>
          <w:szCs w:val="28"/>
        </w:rPr>
        <w:t>中華民國</w:t>
      </w:r>
      <w:proofErr w:type="gramStart"/>
      <w:r w:rsidRPr="001B6E4D">
        <w:rPr>
          <w:rFonts w:ascii="標楷體" w:eastAsia="標楷體" w:hAnsi="標楷體"/>
          <w:b/>
          <w:bCs/>
          <w:kern w:val="0"/>
          <w:sz w:val="28"/>
          <w:szCs w:val="28"/>
        </w:rPr>
        <w:t>115</w:t>
      </w:r>
      <w:proofErr w:type="gramEnd"/>
      <w:r w:rsidRPr="001B6E4D">
        <w:rPr>
          <w:rFonts w:ascii="標楷體" w:eastAsia="標楷體" w:hAnsi="標楷體" w:hint="eastAsia"/>
          <w:b/>
          <w:bCs/>
          <w:kern w:val="0"/>
          <w:sz w:val="28"/>
          <w:szCs w:val="28"/>
        </w:rPr>
        <w:t>年度中央政府總預算案關於考試院及所屬主管收支</w:t>
      </w:r>
      <w:r w:rsidRPr="001B6E4D">
        <w:rPr>
          <w:rFonts w:ascii="標楷體" w:eastAsia="標楷體" w:hAnsi="標楷體" w:hint="eastAsia"/>
          <w:b/>
          <w:bCs/>
          <w:kern w:val="0"/>
          <w:sz w:val="28"/>
          <w:szCs w:val="28"/>
        </w:rPr>
        <w:lastRenderedPageBreak/>
        <w:t>部分審查完竣，提報院會，院會討論前，須交由黨團協商；院會討論時，由莊召集委員瑞雄出席說明。</w:t>
      </w:r>
    </w:p>
    <w:p w14:paraId="30936BFA" w14:textId="77777777" w:rsidR="0051111F" w:rsidRPr="001B6E4D" w:rsidRDefault="0051111F" w:rsidP="003D1018">
      <w:pPr>
        <w:widowControl w:val="0"/>
        <w:overflowPunct w:val="0"/>
        <w:adjustRightInd w:val="0"/>
        <w:snapToGrid w:val="0"/>
        <w:spacing w:beforeLines="30" w:before="108" w:line="380" w:lineRule="exact"/>
        <w:jc w:val="both"/>
        <w:rPr>
          <w:rFonts w:ascii="標楷體" w:eastAsia="標楷體" w:hAnsi="標楷體" w:cs="Arial"/>
          <w:b/>
          <w:sz w:val="28"/>
          <w:szCs w:val="28"/>
          <w:shd w:val="clear" w:color="auto" w:fill="FFFFFF"/>
        </w:rPr>
      </w:pPr>
      <w:r w:rsidRPr="001B6E4D">
        <w:rPr>
          <w:rFonts w:ascii="標楷體" w:eastAsia="標楷體" w:hAnsi="標楷體" w:cs="Arial" w:hint="eastAsia"/>
          <w:b/>
          <w:sz w:val="28"/>
          <w:szCs w:val="28"/>
          <w:shd w:val="clear" w:color="auto" w:fill="FFFFFF"/>
        </w:rPr>
        <w:t>二、「考選業務基金」：</w:t>
      </w:r>
    </w:p>
    <w:p w14:paraId="22A21476" w14:textId="77777777" w:rsidR="0051111F" w:rsidRPr="001B6E4D" w:rsidRDefault="0051111F" w:rsidP="003D1018">
      <w:pPr>
        <w:widowControl w:val="0"/>
        <w:overflowPunct w:val="0"/>
        <w:spacing w:line="380" w:lineRule="exact"/>
        <w:ind w:leftChars="200" w:left="1040" w:hangingChars="200" w:hanging="560"/>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w:t>
      </w:r>
      <w:proofErr w:type="gramStart"/>
      <w:r w:rsidRPr="001B6E4D">
        <w:rPr>
          <w:rFonts w:ascii="標楷體" w:eastAsia="標楷體" w:hAnsi="標楷體" w:cs="Arial" w:hint="eastAsia"/>
          <w:sz w:val="28"/>
          <w:szCs w:val="28"/>
          <w:shd w:val="clear" w:color="auto" w:fill="FFFFFF"/>
        </w:rPr>
        <w:t>一</w:t>
      </w:r>
      <w:proofErr w:type="gramEnd"/>
      <w:r w:rsidRPr="001B6E4D">
        <w:rPr>
          <w:rFonts w:ascii="標楷體" w:eastAsia="標楷體" w:hAnsi="標楷體" w:cs="Arial" w:hint="eastAsia"/>
          <w:sz w:val="28"/>
          <w:szCs w:val="28"/>
          <w:shd w:val="clear" w:color="auto" w:fill="FFFFFF"/>
        </w:rPr>
        <w:t>)業務計畫：應依據業務收支、轉投資、固定資產建設改良擴充</w:t>
      </w:r>
      <w:r w:rsidRPr="001B6E4D">
        <w:rPr>
          <w:rFonts w:ascii="標楷體" w:eastAsia="標楷體" w:hAnsi="標楷體" w:cs="Arial" w:hint="eastAsia"/>
          <w:sz w:val="28"/>
          <w:szCs w:val="28"/>
        </w:rPr>
        <w:t>及資金運用等</w:t>
      </w:r>
      <w:r w:rsidRPr="001B6E4D">
        <w:rPr>
          <w:rFonts w:ascii="標楷體" w:eastAsia="標楷體" w:hAnsi="標楷體" w:cs="Arial" w:hint="eastAsia"/>
          <w:sz w:val="28"/>
          <w:szCs w:val="28"/>
          <w:shd w:val="clear" w:color="auto" w:fill="FFFFFF"/>
        </w:rPr>
        <w:t>項之審查結果，隨同調整。</w:t>
      </w:r>
    </w:p>
    <w:p w14:paraId="3EF7C703" w14:textId="77777777" w:rsidR="0051111F" w:rsidRPr="001B6E4D" w:rsidRDefault="0051111F" w:rsidP="003D1018">
      <w:pPr>
        <w:widowControl w:val="0"/>
        <w:overflowPunct w:val="0"/>
        <w:spacing w:line="380" w:lineRule="exact"/>
        <w:ind w:leftChars="200" w:left="964" w:hangingChars="173" w:hanging="484"/>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(二)</w:t>
      </w:r>
      <w:r w:rsidRPr="001B6E4D">
        <w:rPr>
          <w:rFonts w:ascii="標楷體" w:eastAsia="標楷體" w:hAnsi="標楷體" w:cs="Arial" w:hint="eastAsia"/>
          <w:color w:val="000000"/>
          <w:sz w:val="28"/>
          <w:szCs w:val="28"/>
        </w:rPr>
        <w:t>業務</w:t>
      </w:r>
      <w:r w:rsidRPr="001B6E4D">
        <w:rPr>
          <w:rFonts w:ascii="標楷體" w:eastAsia="標楷體" w:hAnsi="標楷體" w:cs="Arial" w:hint="eastAsia"/>
          <w:sz w:val="28"/>
          <w:szCs w:val="28"/>
          <w:shd w:val="clear" w:color="auto" w:fill="FFFFFF"/>
        </w:rPr>
        <w:t>收支：</w:t>
      </w:r>
    </w:p>
    <w:p w14:paraId="429A9741" w14:textId="77777777" w:rsidR="0051111F" w:rsidRPr="001B6E4D" w:rsidRDefault="0051111F" w:rsidP="003D1018">
      <w:pPr>
        <w:widowControl w:val="0"/>
        <w:overflowPunct w:val="0"/>
        <w:spacing w:line="380" w:lineRule="exact"/>
        <w:ind w:leftChars="450" w:left="1640" w:hangingChars="200" w:hanging="560"/>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1.業務總收入：5</w:t>
      </w:r>
      <w:r w:rsidRPr="001B6E4D">
        <w:rPr>
          <w:rFonts w:ascii="標楷體" w:eastAsia="標楷體" w:hAnsi="標楷體" w:cs="Arial" w:hint="eastAsia"/>
          <w:sz w:val="28"/>
          <w:szCs w:val="28"/>
        </w:rPr>
        <w:t>億8,908萬元</w:t>
      </w:r>
      <w:r w:rsidRPr="001B6E4D">
        <w:rPr>
          <w:rFonts w:ascii="標楷體" w:eastAsia="標楷體" w:hAnsi="標楷體" w:cs="Arial" w:hint="eastAsia"/>
          <w:sz w:val="28"/>
          <w:szCs w:val="28"/>
          <w:shd w:val="clear" w:color="auto" w:fill="FFFFFF"/>
        </w:rPr>
        <w:t>，</w:t>
      </w:r>
      <w:proofErr w:type="gramStart"/>
      <w:r w:rsidRPr="001B6E4D">
        <w:rPr>
          <w:rFonts w:ascii="標楷體" w:eastAsia="標楷體" w:hAnsi="標楷體" w:cs="Arial" w:hint="eastAsia"/>
          <w:sz w:val="28"/>
          <w:szCs w:val="28"/>
          <w:shd w:val="clear" w:color="auto" w:fill="FFFFFF"/>
        </w:rPr>
        <w:t>照列</w:t>
      </w:r>
      <w:proofErr w:type="gramEnd"/>
      <w:r w:rsidRPr="001B6E4D">
        <w:rPr>
          <w:rFonts w:ascii="標楷體" w:eastAsia="標楷體" w:hAnsi="標楷體" w:cs="Arial" w:hint="eastAsia"/>
          <w:sz w:val="28"/>
          <w:szCs w:val="28"/>
          <w:shd w:val="clear" w:color="auto" w:fill="FFFFFF"/>
        </w:rPr>
        <w:t>。</w:t>
      </w:r>
    </w:p>
    <w:p w14:paraId="3FA9784C" w14:textId="77777777" w:rsidR="0051111F" w:rsidRPr="001B6E4D" w:rsidRDefault="0051111F" w:rsidP="003D1018">
      <w:pPr>
        <w:widowControl w:val="0"/>
        <w:overflowPunct w:val="0"/>
        <w:spacing w:line="380" w:lineRule="exact"/>
        <w:ind w:leftChars="450" w:left="1640" w:hangingChars="200" w:hanging="560"/>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2.業務總支出：</w:t>
      </w:r>
      <w:r w:rsidRPr="001B6E4D">
        <w:rPr>
          <w:rFonts w:ascii="標楷體" w:eastAsia="標楷體" w:hAnsi="標楷體"/>
          <w:sz w:val="28"/>
          <w:szCs w:val="28"/>
        </w:rPr>
        <w:t>5</w:t>
      </w:r>
      <w:r w:rsidRPr="001B6E4D">
        <w:rPr>
          <w:rFonts w:ascii="標楷體" w:eastAsia="標楷體" w:hAnsi="標楷體" w:cs="Arial" w:hint="eastAsia"/>
          <w:sz w:val="28"/>
          <w:szCs w:val="28"/>
        </w:rPr>
        <w:t>億8,040萬7千元</w:t>
      </w:r>
      <w:r w:rsidRPr="001B6E4D">
        <w:rPr>
          <w:rFonts w:ascii="標楷體" w:eastAsia="標楷體" w:hAnsi="標楷體" w:cs="Arial" w:hint="eastAsia"/>
          <w:sz w:val="28"/>
          <w:szCs w:val="28"/>
          <w:shd w:val="clear" w:color="auto" w:fill="FFFFFF"/>
        </w:rPr>
        <w:t>，</w:t>
      </w:r>
      <w:proofErr w:type="gramStart"/>
      <w:r w:rsidRPr="001B6E4D">
        <w:rPr>
          <w:rFonts w:ascii="標楷體" w:eastAsia="標楷體" w:hAnsi="標楷體" w:cs="Arial" w:hint="eastAsia"/>
          <w:sz w:val="28"/>
          <w:szCs w:val="28"/>
          <w:shd w:val="clear" w:color="auto" w:fill="FFFFFF"/>
        </w:rPr>
        <w:t>照列</w:t>
      </w:r>
      <w:proofErr w:type="gramEnd"/>
      <w:r w:rsidRPr="001B6E4D">
        <w:rPr>
          <w:rFonts w:ascii="標楷體" w:eastAsia="標楷體" w:hAnsi="標楷體" w:cs="Arial" w:hint="eastAsia"/>
          <w:sz w:val="28"/>
          <w:szCs w:val="28"/>
          <w:shd w:val="clear" w:color="auto" w:fill="FFFFFF"/>
        </w:rPr>
        <w:t>。</w:t>
      </w:r>
    </w:p>
    <w:p w14:paraId="6378D3B9" w14:textId="77777777" w:rsidR="0051111F" w:rsidRPr="001B6E4D" w:rsidRDefault="0051111F" w:rsidP="003D1018">
      <w:pPr>
        <w:widowControl w:val="0"/>
        <w:overflowPunct w:val="0"/>
        <w:spacing w:line="380" w:lineRule="exact"/>
        <w:ind w:leftChars="450" w:left="1640" w:hangingChars="200" w:hanging="560"/>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3.本期賸餘：</w:t>
      </w:r>
      <w:r w:rsidRPr="001B6E4D">
        <w:rPr>
          <w:rFonts w:ascii="標楷體" w:eastAsia="標楷體" w:hAnsi="標楷體" w:cs="Arial" w:hint="eastAsia"/>
          <w:sz w:val="28"/>
          <w:szCs w:val="28"/>
        </w:rPr>
        <w:t>867萬3千元</w:t>
      </w:r>
      <w:r w:rsidRPr="001B6E4D">
        <w:rPr>
          <w:rFonts w:ascii="標楷體" w:eastAsia="標楷體" w:hAnsi="標楷體" w:cs="Arial" w:hint="eastAsia"/>
          <w:sz w:val="28"/>
          <w:szCs w:val="28"/>
          <w:shd w:val="clear" w:color="auto" w:fill="FFFFFF"/>
        </w:rPr>
        <w:t>，</w:t>
      </w:r>
      <w:proofErr w:type="gramStart"/>
      <w:r w:rsidRPr="001B6E4D">
        <w:rPr>
          <w:rFonts w:ascii="標楷體" w:eastAsia="標楷體" w:hAnsi="標楷體" w:cs="Arial" w:hint="eastAsia"/>
          <w:sz w:val="28"/>
          <w:szCs w:val="28"/>
          <w:shd w:val="clear" w:color="auto" w:fill="FFFFFF"/>
        </w:rPr>
        <w:t>照列</w:t>
      </w:r>
      <w:proofErr w:type="gramEnd"/>
      <w:r w:rsidRPr="001B6E4D">
        <w:rPr>
          <w:rFonts w:ascii="標楷體" w:eastAsia="標楷體" w:hAnsi="標楷體" w:cs="Arial" w:hint="eastAsia"/>
          <w:sz w:val="28"/>
          <w:szCs w:val="28"/>
          <w:shd w:val="clear" w:color="auto" w:fill="FFFFFF"/>
        </w:rPr>
        <w:t>。</w:t>
      </w:r>
    </w:p>
    <w:p w14:paraId="2D5F516D" w14:textId="77777777" w:rsidR="0051111F" w:rsidRPr="001B6E4D" w:rsidRDefault="0051111F" w:rsidP="003D1018">
      <w:pPr>
        <w:widowControl w:val="0"/>
        <w:overflowPunct w:val="0"/>
        <w:spacing w:line="380" w:lineRule="exact"/>
        <w:ind w:leftChars="200" w:left="964" w:hangingChars="173" w:hanging="484"/>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(三)</w:t>
      </w:r>
      <w:proofErr w:type="gramStart"/>
      <w:r w:rsidRPr="001B6E4D">
        <w:rPr>
          <w:rFonts w:ascii="標楷體" w:eastAsia="標楷體" w:hAnsi="標楷體" w:cs="Arial" w:hint="eastAsia"/>
          <w:sz w:val="28"/>
          <w:szCs w:val="28"/>
          <w:shd w:val="clear" w:color="auto" w:fill="FFFFFF"/>
        </w:rPr>
        <w:t>解繳公庫</w:t>
      </w:r>
      <w:proofErr w:type="gramEnd"/>
      <w:r w:rsidRPr="001B6E4D">
        <w:rPr>
          <w:rFonts w:ascii="標楷體" w:eastAsia="標楷體" w:hAnsi="標楷體" w:cs="Arial" w:hint="eastAsia"/>
          <w:sz w:val="28"/>
          <w:szCs w:val="28"/>
          <w:shd w:val="clear" w:color="auto" w:fill="FFFFFF"/>
        </w:rPr>
        <w:t>淨額：</w:t>
      </w:r>
      <w:proofErr w:type="gramStart"/>
      <w:r w:rsidRPr="001B6E4D">
        <w:rPr>
          <w:rFonts w:ascii="標楷體" w:eastAsia="標楷體" w:hAnsi="標楷體" w:cs="Arial" w:hint="eastAsia"/>
          <w:sz w:val="28"/>
          <w:szCs w:val="28"/>
          <w:shd w:val="clear" w:color="auto" w:fill="FFFFFF"/>
        </w:rPr>
        <w:t>無列數</w:t>
      </w:r>
      <w:proofErr w:type="gramEnd"/>
      <w:r w:rsidRPr="001B6E4D">
        <w:rPr>
          <w:rFonts w:ascii="標楷體" w:eastAsia="標楷體" w:hAnsi="標楷體" w:cs="Arial" w:hint="eastAsia"/>
          <w:sz w:val="28"/>
          <w:szCs w:val="28"/>
          <w:shd w:val="clear" w:color="auto" w:fill="FFFFFF"/>
        </w:rPr>
        <w:t>。</w:t>
      </w:r>
    </w:p>
    <w:p w14:paraId="3CC387AF" w14:textId="77777777" w:rsidR="0051111F" w:rsidRPr="001B6E4D" w:rsidRDefault="0051111F" w:rsidP="003D1018">
      <w:pPr>
        <w:widowControl w:val="0"/>
        <w:overflowPunct w:val="0"/>
        <w:spacing w:line="380" w:lineRule="exact"/>
        <w:ind w:leftChars="200" w:left="964" w:hangingChars="173" w:hanging="484"/>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(四)轉投資計畫：</w:t>
      </w:r>
      <w:proofErr w:type="gramStart"/>
      <w:r w:rsidRPr="001B6E4D">
        <w:rPr>
          <w:rFonts w:ascii="標楷體" w:eastAsia="標楷體" w:hAnsi="標楷體" w:cs="Arial" w:hint="eastAsia"/>
          <w:sz w:val="28"/>
          <w:szCs w:val="28"/>
          <w:shd w:val="clear" w:color="auto" w:fill="FFFFFF"/>
        </w:rPr>
        <w:t>無列數</w:t>
      </w:r>
      <w:proofErr w:type="gramEnd"/>
      <w:r w:rsidRPr="001B6E4D">
        <w:rPr>
          <w:rFonts w:ascii="標楷體" w:eastAsia="標楷體" w:hAnsi="標楷體" w:cs="Arial" w:hint="eastAsia"/>
          <w:sz w:val="28"/>
          <w:szCs w:val="28"/>
          <w:shd w:val="clear" w:color="auto" w:fill="FFFFFF"/>
        </w:rPr>
        <w:t>。</w:t>
      </w:r>
    </w:p>
    <w:p w14:paraId="34390A2F" w14:textId="77777777" w:rsidR="0051111F" w:rsidRPr="001B6E4D" w:rsidRDefault="0051111F" w:rsidP="003D1018">
      <w:pPr>
        <w:widowControl w:val="0"/>
        <w:overflowPunct w:val="0"/>
        <w:spacing w:line="380" w:lineRule="exact"/>
        <w:ind w:leftChars="200" w:left="964" w:hangingChars="173" w:hanging="484"/>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(五)固定資產建設改良擴充：7</w:t>
      </w:r>
      <w:r w:rsidRPr="001B6E4D">
        <w:rPr>
          <w:rFonts w:ascii="標楷體" w:eastAsia="標楷體" w:hAnsi="標楷體" w:cs="Arial" w:hint="eastAsia"/>
          <w:sz w:val="28"/>
          <w:szCs w:val="28"/>
        </w:rPr>
        <w:t>,493萬4千元</w:t>
      </w:r>
      <w:r w:rsidRPr="001B6E4D">
        <w:rPr>
          <w:rFonts w:ascii="標楷體" w:eastAsia="標楷體" w:hAnsi="標楷體" w:cs="Arial" w:hint="eastAsia"/>
          <w:sz w:val="28"/>
          <w:szCs w:val="28"/>
          <w:shd w:val="clear" w:color="auto" w:fill="FFFFFF"/>
        </w:rPr>
        <w:t>，</w:t>
      </w:r>
      <w:proofErr w:type="gramStart"/>
      <w:r w:rsidRPr="001B6E4D">
        <w:rPr>
          <w:rFonts w:ascii="標楷體" w:eastAsia="標楷體" w:hAnsi="標楷體" w:cs="Arial" w:hint="eastAsia"/>
          <w:sz w:val="28"/>
          <w:szCs w:val="28"/>
          <w:shd w:val="clear" w:color="auto" w:fill="FFFFFF"/>
        </w:rPr>
        <w:t>照列</w:t>
      </w:r>
      <w:proofErr w:type="gramEnd"/>
      <w:r w:rsidRPr="001B6E4D">
        <w:rPr>
          <w:rFonts w:ascii="標楷體" w:eastAsia="標楷體" w:hAnsi="標楷體" w:cs="Arial" w:hint="eastAsia"/>
          <w:sz w:val="28"/>
          <w:szCs w:val="28"/>
          <w:shd w:val="clear" w:color="auto" w:fill="FFFFFF"/>
        </w:rPr>
        <w:t>。</w:t>
      </w:r>
    </w:p>
    <w:p w14:paraId="0B487D1A" w14:textId="77777777" w:rsidR="0051111F" w:rsidRPr="001B6E4D" w:rsidRDefault="0051111F" w:rsidP="003D1018">
      <w:pPr>
        <w:widowControl w:val="0"/>
        <w:overflowPunct w:val="0"/>
        <w:spacing w:line="380" w:lineRule="exact"/>
        <w:ind w:leftChars="200" w:left="964" w:hangingChars="173" w:hanging="484"/>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(六)國庫增撥基金額：1億0</w:t>
      </w:r>
      <w:r w:rsidRPr="001B6E4D">
        <w:rPr>
          <w:rFonts w:ascii="標楷體" w:eastAsia="標楷體" w:hAnsi="標楷體" w:cs="Arial"/>
          <w:sz w:val="28"/>
          <w:szCs w:val="28"/>
          <w:shd w:val="clear" w:color="auto" w:fill="FFFFFF"/>
        </w:rPr>
        <w:t>,</w:t>
      </w:r>
      <w:r w:rsidRPr="001B6E4D">
        <w:rPr>
          <w:rFonts w:ascii="標楷體" w:eastAsia="標楷體" w:hAnsi="標楷體" w:cs="Arial" w:hint="eastAsia"/>
          <w:sz w:val="28"/>
          <w:szCs w:val="28"/>
          <w:shd w:val="clear" w:color="auto" w:fill="FFFFFF"/>
        </w:rPr>
        <w:t>032萬1千元，</w:t>
      </w:r>
      <w:proofErr w:type="gramStart"/>
      <w:r w:rsidRPr="001B6E4D">
        <w:rPr>
          <w:rFonts w:ascii="標楷體" w:eastAsia="標楷體" w:hAnsi="標楷體" w:cs="Arial" w:hint="eastAsia"/>
          <w:sz w:val="28"/>
          <w:szCs w:val="28"/>
          <w:shd w:val="clear" w:color="auto" w:fill="FFFFFF"/>
        </w:rPr>
        <w:t>照列</w:t>
      </w:r>
      <w:proofErr w:type="gramEnd"/>
      <w:r w:rsidRPr="001B6E4D">
        <w:rPr>
          <w:rFonts w:ascii="標楷體" w:eastAsia="標楷體" w:hAnsi="標楷體" w:cs="Arial" w:hint="eastAsia"/>
          <w:sz w:val="28"/>
          <w:szCs w:val="28"/>
          <w:shd w:val="clear" w:color="auto" w:fill="FFFFFF"/>
        </w:rPr>
        <w:t>。</w:t>
      </w:r>
    </w:p>
    <w:p w14:paraId="76F4019E" w14:textId="77777777" w:rsidR="0051111F" w:rsidRPr="001B6E4D" w:rsidRDefault="0051111F" w:rsidP="003D1018">
      <w:pPr>
        <w:widowControl w:val="0"/>
        <w:overflowPunct w:val="0"/>
        <w:spacing w:line="380" w:lineRule="exact"/>
        <w:ind w:leftChars="200" w:left="1040" w:hangingChars="200" w:hanging="560"/>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(七)補辦預算：</w:t>
      </w:r>
      <w:proofErr w:type="gramStart"/>
      <w:r w:rsidRPr="001B6E4D">
        <w:rPr>
          <w:rFonts w:ascii="標楷體" w:eastAsia="標楷體" w:hAnsi="標楷體" w:cs="Arial" w:hint="eastAsia"/>
          <w:sz w:val="28"/>
          <w:szCs w:val="28"/>
          <w:shd w:val="clear" w:color="auto" w:fill="FFFFFF"/>
        </w:rPr>
        <w:t>無列數</w:t>
      </w:r>
      <w:proofErr w:type="gramEnd"/>
      <w:r w:rsidRPr="001B6E4D">
        <w:rPr>
          <w:rFonts w:ascii="標楷體" w:eastAsia="標楷體" w:hAnsi="標楷體" w:cs="Arial" w:hint="eastAsia"/>
          <w:sz w:val="28"/>
          <w:szCs w:val="28"/>
          <w:shd w:val="clear" w:color="auto" w:fill="FFFFFF"/>
        </w:rPr>
        <w:t>。</w:t>
      </w:r>
    </w:p>
    <w:p w14:paraId="09EF0CED" w14:textId="77777777" w:rsidR="0051111F" w:rsidRPr="001B6E4D" w:rsidRDefault="0051111F" w:rsidP="003D1018">
      <w:pPr>
        <w:widowControl w:val="0"/>
        <w:overflowPunct w:val="0"/>
        <w:spacing w:line="380" w:lineRule="exact"/>
        <w:ind w:leftChars="200" w:left="1041" w:hangingChars="200" w:hanging="561"/>
        <w:rPr>
          <w:rFonts w:ascii="標楷體" w:eastAsia="標楷體" w:hAnsi="標楷體" w:cs="Arial"/>
          <w:b/>
          <w:sz w:val="28"/>
          <w:szCs w:val="28"/>
          <w:shd w:val="clear" w:color="auto" w:fill="FFFFFF"/>
        </w:rPr>
      </w:pPr>
      <w:r w:rsidRPr="001B6E4D">
        <w:rPr>
          <w:rFonts w:ascii="標楷體" w:eastAsia="標楷體" w:hAnsi="標楷體" w:cs="Arial"/>
          <w:b/>
          <w:sz w:val="28"/>
          <w:szCs w:val="28"/>
          <w:shd w:val="clear" w:color="auto" w:fill="FFFFFF"/>
        </w:rPr>
        <w:t>(</w:t>
      </w:r>
      <w:r w:rsidRPr="001B6E4D">
        <w:rPr>
          <w:rFonts w:ascii="標楷體" w:eastAsia="標楷體" w:hAnsi="標楷體" w:cs="Arial" w:hint="eastAsia"/>
          <w:b/>
          <w:sz w:val="28"/>
          <w:szCs w:val="28"/>
          <w:shd w:val="clear" w:color="auto" w:fill="FFFFFF"/>
        </w:rPr>
        <w:t>八</w:t>
      </w:r>
      <w:r w:rsidRPr="001B6E4D">
        <w:rPr>
          <w:rFonts w:ascii="標楷體" w:eastAsia="標楷體" w:hAnsi="標楷體" w:cs="Arial"/>
          <w:b/>
          <w:sz w:val="28"/>
          <w:szCs w:val="28"/>
          <w:shd w:val="clear" w:color="auto" w:fill="FFFFFF"/>
        </w:rPr>
        <w:t>)</w:t>
      </w:r>
      <w:r w:rsidRPr="001B6E4D">
        <w:rPr>
          <w:rFonts w:ascii="標楷體" w:eastAsia="標楷體" w:hAnsi="標楷體" w:cs="Arial" w:hint="eastAsia"/>
          <w:b/>
          <w:sz w:val="28"/>
          <w:szCs w:val="28"/>
          <w:shd w:val="clear" w:color="auto" w:fill="FFFFFF"/>
        </w:rPr>
        <w:t>本案審查完竣，提報院會，院會討論前，須交由黨團協商；院會討論時，由莊召集委員瑞雄出席說明。</w:t>
      </w:r>
    </w:p>
    <w:p w14:paraId="32CFA3C2" w14:textId="77777777" w:rsidR="0051111F" w:rsidRPr="001B6E4D" w:rsidRDefault="0051111F" w:rsidP="003D1018">
      <w:pPr>
        <w:widowControl w:val="0"/>
        <w:overflowPunct w:val="0"/>
        <w:adjustRightInd w:val="0"/>
        <w:snapToGrid w:val="0"/>
        <w:spacing w:beforeLines="30" w:before="108" w:line="380" w:lineRule="exact"/>
        <w:jc w:val="both"/>
        <w:rPr>
          <w:rFonts w:ascii="標楷體" w:eastAsia="標楷體" w:hAnsi="標楷體"/>
          <w:b/>
          <w:sz w:val="28"/>
          <w:szCs w:val="28"/>
          <w:shd w:val="clear" w:color="auto" w:fill="FFFFFF"/>
        </w:rPr>
      </w:pPr>
      <w:r w:rsidRPr="001B6E4D">
        <w:rPr>
          <w:rFonts w:ascii="標楷體" w:eastAsia="標楷體" w:hAnsi="標楷體" w:hint="eastAsia"/>
          <w:b/>
          <w:sz w:val="28"/>
          <w:szCs w:val="28"/>
          <w:shd w:val="clear" w:color="auto" w:fill="FFFFFF"/>
        </w:rPr>
        <w:t>三、「公務人員退休撫</w:t>
      </w:r>
      <w:proofErr w:type="gramStart"/>
      <w:r w:rsidRPr="001B6E4D">
        <w:rPr>
          <w:rFonts w:ascii="標楷體" w:eastAsia="標楷體" w:hAnsi="標楷體" w:hint="eastAsia"/>
          <w:b/>
          <w:sz w:val="28"/>
          <w:szCs w:val="28"/>
          <w:shd w:val="clear" w:color="auto" w:fill="FFFFFF"/>
        </w:rPr>
        <w:t>卹</w:t>
      </w:r>
      <w:proofErr w:type="gramEnd"/>
      <w:r w:rsidRPr="001B6E4D">
        <w:rPr>
          <w:rFonts w:ascii="標楷體" w:eastAsia="標楷體" w:hAnsi="標楷體" w:hint="eastAsia"/>
          <w:b/>
          <w:sz w:val="28"/>
          <w:szCs w:val="28"/>
          <w:shd w:val="clear" w:color="auto" w:fill="FFFFFF"/>
        </w:rPr>
        <w:t>基金」：</w:t>
      </w:r>
    </w:p>
    <w:p w14:paraId="62CA2423" w14:textId="77777777" w:rsidR="0051111F" w:rsidRPr="001B6E4D" w:rsidRDefault="0051111F" w:rsidP="003D1018">
      <w:pPr>
        <w:widowControl w:val="0"/>
        <w:overflowPunct w:val="0"/>
        <w:spacing w:line="380" w:lineRule="exact"/>
        <w:ind w:leftChars="200" w:left="1040" w:hangingChars="200" w:hanging="560"/>
        <w:rPr>
          <w:rFonts w:ascii="標楷體" w:eastAsia="標楷體" w:hAnsi="標楷體"/>
          <w:sz w:val="28"/>
          <w:szCs w:val="28"/>
          <w:shd w:val="clear" w:color="auto" w:fill="FFFFFF"/>
        </w:rPr>
      </w:pPr>
      <w:bookmarkStart w:id="522" w:name="_Toc193797135"/>
      <w:bookmarkStart w:id="523" w:name="_Toc193714084"/>
      <w:bookmarkStart w:id="524" w:name="_Toc176841945"/>
      <w:bookmarkStart w:id="525" w:name="_Toc86826066"/>
      <w:bookmarkStart w:id="526" w:name="_Toc86822701"/>
      <w:bookmarkStart w:id="527" w:name="_Toc86822343"/>
      <w:r w:rsidRPr="001B6E4D">
        <w:rPr>
          <w:rFonts w:ascii="標楷體" w:eastAsia="標楷體" w:hAnsi="標楷體" w:hint="eastAsia"/>
          <w:sz w:val="28"/>
          <w:szCs w:val="28"/>
          <w:shd w:val="clear" w:color="auto" w:fill="FFFFFF"/>
        </w:rPr>
        <w:t>(</w:t>
      </w:r>
      <w:proofErr w:type="gramStart"/>
      <w:r w:rsidRPr="001B6E4D">
        <w:rPr>
          <w:rFonts w:ascii="標楷體" w:eastAsia="標楷體" w:hAnsi="標楷體" w:hint="eastAsia"/>
          <w:sz w:val="28"/>
          <w:szCs w:val="28"/>
          <w:shd w:val="clear" w:color="auto" w:fill="FFFFFF"/>
        </w:rPr>
        <w:t>一</w:t>
      </w:r>
      <w:proofErr w:type="gramEnd"/>
      <w:r w:rsidRPr="001B6E4D">
        <w:rPr>
          <w:rFonts w:ascii="標楷體" w:eastAsia="標楷體" w:hAnsi="標楷體"/>
          <w:sz w:val="28"/>
          <w:szCs w:val="28"/>
          <w:shd w:val="clear" w:color="auto" w:fill="FFFFFF"/>
        </w:rPr>
        <w:t>)基金運用計畫：應依據收支、餘</w:t>
      </w:r>
      <w:proofErr w:type="gramStart"/>
      <w:r w:rsidRPr="001B6E4D">
        <w:rPr>
          <w:rFonts w:ascii="標楷體" w:eastAsia="標楷體" w:hAnsi="標楷體"/>
          <w:sz w:val="28"/>
          <w:szCs w:val="28"/>
          <w:shd w:val="clear" w:color="auto" w:fill="FFFFFF"/>
        </w:rPr>
        <w:t>絀</w:t>
      </w:r>
      <w:proofErr w:type="gramEnd"/>
      <w:r w:rsidRPr="001B6E4D">
        <w:rPr>
          <w:rFonts w:ascii="標楷體" w:eastAsia="標楷體" w:hAnsi="標楷體"/>
          <w:sz w:val="28"/>
          <w:szCs w:val="28"/>
          <w:shd w:val="clear" w:color="auto" w:fill="FFFFFF"/>
        </w:rPr>
        <w:t>撥補等項之審查結果，隨同調整。</w:t>
      </w:r>
    </w:p>
    <w:bookmarkEnd w:id="522"/>
    <w:bookmarkEnd w:id="523"/>
    <w:bookmarkEnd w:id="524"/>
    <w:bookmarkEnd w:id="525"/>
    <w:bookmarkEnd w:id="526"/>
    <w:bookmarkEnd w:id="527"/>
    <w:p w14:paraId="7FD94AAC" w14:textId="77777777" w:rsidR="0051111F" w:rsidRPr="001B6E4D" w:rsidRDefault="0051111F" w:rsidP="003D1018">
      <w:pPr>
        <w:widowControl w:val="0"/>
        <w:overflowPunct w:val="0"/>
        <w:spacing w:line="380" w:lineRule="exact"/>
        <w:ind w:leftChars="193" w:left="1006" w:hangingChars="194" w:hanging="543"/>
        <w:jc w:val="both"/>
        <w:rPr>
          <w:rFonts w:ascii="標楷體" w:eastAsia="標楷體" w:hAnsi="標楷體"/>
          <w:sz w:val="28"/>
          <w:szCs w:val="28"/>
          <w:shd w:val="clear" w:color="auto" w:fill="FFFFFF"/>
        </w:rPr>
      </w:pPr>
      <w:r w:rsidRPr="001B6E4D">
        <w:rPr>
          <w:rFonts w:ascii="標楷體" w:eastAsia="標楷體" w:hAnsi="標楷體"/>
          <w:sz w:val="28"/>
          <w:szCs w:val="28"/>
          <w:shd w:val="clear" w:color="auto" w:fill="FFFFFF"/>
        </w:rPr>
        <w:t>(二)</w:t>
      </w:r>
      <w:bookmarkStart w:id="528" w:name="_Toc193797136"/>
      <w:bookmarkStart w:id="529" w:name="_Toc193714085"/>
      <w:bookmarkStart w:id="530" w:name="_Toc176841946"/>
      <w:bookmarkStart w:id="531" w:name="_Toc86826067"/>
      <w:bookmarkStart w:id="532" w:name="_Toc86822702"/>
      <w:r w:rsidRPr="001B6E4D">
        <w:rPr>
          <w:rFonts w:ascii="標楷體" w:eastAsia="標楷體" w:hAnsi="標楷體" w:hint="eastAsia"/>
          <w:sz w:val="28"/>
          <w:szCs w:val="28"/>
          <w:shd w:val="clear" w:color="auto" w:fill="FFFFFF"/>
        </w:rPr>
        <w:t>總收入：442</w:t>
      </w:r>
      <w:r w:rsidRPr="001B6E4D">
        <w:rPr>
          <w:rFonts w:ascii="標楷體" w:eastAsia="標楷體" w:hAnsi="標楷體" w:cs="Arial" w:hint="eastAsia"/>
          <w:sz w:val="28"/>
          <w:szCs w:val="28"/>
        </w:rPr>
        <w:t>億4</w:t>
      </w:r>
      <w:r w:rsidRPr="001B6E4D">
        <w:rPr>
          <w:rFonts w:ascii="標楷體" w:eastAsia="標楷體" w:hAnsi="標楷體" w:cs="Arial"/>
          <w:sz w:val="28"/>
          <w:szCs w:val="28"/>
        </w:rPr>
        <w:t>,</w:t>
      </w:r>
      <w:r w:rsidRPr="001B6E4D">
        <w:rPr>
          <w:rFonts w:ascii="標楷體" w:eastAsia="標楷體" w:hAnsi="標楷體" w:cs="Arial" w:hint="eastAsia"/>
          <w:sz w:val="28"/>
          <w:szCs w:val="28"/>
        </w:rPr>
        <w:t>823萬2千元</w:t>
      </w:r>
      <w:r w:rsidRPr="001B6E4D">
        <w:rPr>
          <w:rFonts w:ascii="標楷體" w:eastAsia="標楷體" w:hAnsi="標楷體" w:hint="eastAsia"/>
          <w:sz w:val="28"/>
          <w:szCs w:val="28"/>
          <w:shd w:val="clear" w:color="auto" w:fill="FFFFFF"/>
        </w:rPr>
        <w:t>，</w:t>
      </w:r>
      <w:proofErr w:type="gramStart"/>
      <w:r w:rsidRPr="001B6E4D">
        <w:rPr>
          <w:rFonts w:ascii="標楷體" w:eastAsia="標楷體" w:hAnsi="標楷體" w:hint="eastAsia"/>
          <w:sz w:val="28"/>
          <w:szCs w:val="28"/>
          <w:shd w:val="clear" w:color="auto" w:fill="FFFFFF"/>
        </w:rPr>
        <w:t>照列</w:t>
      </w:r>
      <w:proofErr w:type="gramEnd"/>
      <w:r w:rsidRPr="001B6E4D">
        <w:rPr>
          <w:rFonts w:ascii="標楷體" w:eastAsia="標楷體" w:hAnsi="標楷體" w:hint="eastAsia"/>
          <w:sz w:val="28"/>
          <w:szCs w:val="28"/>
          <w:shd w:val="clear" w:color="auto" w:fill="FFFFFF"/>
        </w:rPr>
        <w:t>。</w:t>
      </w:r>
    </w:p>
    <w:bookmarkEnd w:id="528"/>
    <w:bookmarkEnd w:id="529"/>
    <w:bookmarkEnd w:id="530"/>
    <w:bookmarkEnd w:id="531"/>
    <w:bookmarkEnd w:id="532"/>
    <w:p w14:paraId="4E12A145" w14:textId="77777777" w:rsidR="0051111F" w:rsidRPr="001B6E4D" w:rsidRDefault="0051111F" w:rsidP="003D1018">
      <w:pPr>
        <w:widowControl w:val="0"/>
        <w:overflowPunct w:val="0"/>
        <w:spacing w:line="380" w:lineRule="exact"/>
        <w:ind w:leftChars="200" w:left="1040" w:hangingChars="200" w:hanging="560"/>
        <w:jc w:val="both"/>
        <w:rPr>
          <w:rFonts w:ascii="標楷體" w:eastAsia="標楷體" w:hAnsi="標楷體"/>
          <w:sz w:val="28"/>
          <w:szCs w:val="28"/>
        </w:rPr>
      </w:pPr>
      <w:r w:rsidRPr="001B6E4D">
        <w:rPr>
          <w:rFonts w:ascii="標楷體" w:eastAsia="標楷體" w:hAnsi="標楷體"/>
          <w:sz w:val="28"/>
          <w:szCs w:val="28"/>
          <w:shd w:val="clear" w:color="auto" w:fill="FFFFFF"/>
        </w:rPr>
        <w:t>(三)總支出：</w:t>
      </w:r>
      <w:r w:rsidRPr="001B6E4D">
        <w:rPr>
          <w:rFonts w:ascii="標楷體" w:eastAsia="標楷體" w:hAnsi="標楷體"/>
          <w:sz w:val="28"/>
          <w:szCs w:val="28"/>
        </w:rPr>
        <w:t>2</w:t>
      </w:r>
      <w:r w:rsidRPr="001B6E4D">
        <w:rPr>
          <w:rFonts w:ascii="標楷體" w:eastAsia="標楷體" w:hAnsi="標楷體" w:hint="eastAsia"/>
          <w:sz w:val="28"/>
          <w:szCs w:val="28"/>
        </w:rPr>
        <w:t>4</w:t>
      </w:r>
      <w:r w:rsidRPr="001B6E4D">
        <w:rPr>
          <w:rFonts w:ascii="標楷體" w:eastAsia="標楷體" w:hAnsi="標楷體" w:cs="Arial" w:hint="eastAsia"/>
          <w:sz w:val="28"/>
          <w:szCs w:val="28"/>
        </w:rPr>
        <w:t>億0</w:t>
      </w:r>
      <w:r w:rsidRPr="001B6E4D">
        <w:rPr>
          <w:rFonts w:ascii="標楷體" w:eastAsia="標楷體" w:hAnsi="標楷體" w:cs="Arial"/>
          <w:sz w:val="28"/>
          <w:szCs w:val="28"/>
        </w:rPr>
        <w:t>,0</w:t>
      </w:r>
      <w:r w:rsidRPr="001B6E4D">
        <w:rPr>
          <w:rFonts w:ascii="標楷體" w:eastAsia="標楷體" w:hAnsi="標楷體" w:cs="Arial" w:hint="eastAsia"/>
          <w:sz w:val="28"/>
          <w:szCs w:val="28"/>
        </w:rPr>
        <w:t>41萬2千元</w:t>
      </w: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照列</w:t>
      </w:r>
      <w:proofErr w:type="gramEnd"/>
      <w:r w:rsidRPr="001B6E4D">
        <w:rPr>
          <w:rFonts w:ascii="標楷體" w:eastAsia="標楷體" w:hAnsi="標楷體" w:hint="eastAsia"/>
          <w:sz w:val="28"/>
          <w:szCs w:val="28"/>
        </w:rPr>
        <w:t>。</w:t>
      </w:r>
    </w:p>
    <w:p w14:paraId="3BC1A66A" w14:textId="77777777" w:rsidR="0051111F" w:rsidRPr="001B6E4D" w:rsidRDefault="0051111F" w:rsidP="003D1018">
      <w:pPr>
        <w:widowControl w:val="0"/>
        <w:overflowPunct w:val="0"/>
        <w:spacing w:line="380" w:lineRule="exact"/>
        <w:ind w:leftChars="200" w:left="1040" w:hangingChars="200" w:hanging="560"/>
        <w:jc w:val="both"/>
        <w:rPr>
          <w:rFonts w:ascii="標楷體" w:eastAsia="標楷體" w:hAnsi="標楷體"/>
          <w:sz w:val="28"/>
          <w:szCs w:val="28"/>
          <w:shd w:val="clear" w:color="auto" w:fill="FFFFFF"/>
        </w:rPr>
      </w:pPr>
      <w:r w:rsidRPr="001B6E4D">
        <w:rPr>
          <w:rFonts w:ascii="標楷體" w:eastAsia="標楷體" w:hAnsi="標楷體"/>
          <w:sz w:val="28"/>
          <w:szCs w:val="28"/>
          <w:shd w:val="clear" w:color="auto" w:fill="FFFFFF"/>
        </w:rPr>
        <w:t>(四)本期賸餘：</w:t>
      </w:r>
      <w:r w:rsidRPr="001B6E4D">
        <w:rPr>
          <w:rFonts w:ascii="標楷體" w:eastAsia="標楷體" w:hAnsi="標楷體" w:cs="Arial" w:hint="eastAsia"/>
          <w:sz w:val="28"/>
          <w:szCs w:val="28"/>
        </w:rPr>
        <w:t>418億4,782萬元</w:t>
      </w: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照列</w:t>
      </w:r>
      <w:proofErr w:type="gramEnd"/>
      <w:r w:rsidRPr="001B6E4D">
        <w:rPr>
          <w:rFonts w:ascii="標楷體" w:eastAsia="標楷體" w:hAnsi="標楷體" w:hint="eastAsia"/>
          <w:sz w:val="28"/>
          <w:szCs w:val="28"/>
          <w:shd w:val="clear" w:color="auto" w:fill="FFFFFF"/>
        </w:rPr>
        <w:t>。</w:t>
      </w:r>
    </w:p>
    <w:p w14:paraId="0F19FBE4" w14:textId="77777777" w:rsidR="0051111F" w:rsidRPr="001B6E4D" w:rsidRDefault="0051111F" w:rsidP="003D1018">
      <w:pPr>
        <w:widowControl w:val="0"/>
        <w:overflowPunct w:val="0"/>
        <w:spacing w:line="380" w:lineRule="exact"/>
        <w:ind w:leftChars="200" w:left="1041" w:hangingChars="200" w:hanging="561"/>
        <w:rPr>
          <w:rFonts w:ascii="標楷體" w:eastAsia="標楷體" w:hAnsi="標楷體" w:cs="Arial"/>
          <w:sz w:val="28"/>
          <w:szCs w:val="28"/>
          <w:shd w:val="clear" w:color="auto" w:fill="FFFFFF"/>
        </w:rPr>
      </w:pPr>
      <w:r w:rsidRPr="001B6E4D">
        <w:rPr>
          <w:rFonts w:ascii="標楷體" w:eastAsia="標楷體" w:hAnsi="標楷體" w:cs="Arial"/>
          <w:b/>
          <w:sz w:val="28"/>
          <w:szCs w:val="28"/>
          <w:shd w:val="clear" w:color="auto" w:fill="FFFFFF"/>
        </w:rPr>
        <w:t>(</w:t>
      </w:r>
      <w:r w:rsidRPr="001B6E4D">
        <w:rPr>
          <w:rFonts w:ascii="標楷體" w:eastAsia="標楷體" w:hAnsi="標楷體" w:cs="Arial" w:hint="eastAsia"/>
          <w:b/>
          <w:sz w:val="28"/>
          <w:szCs w:val="28"/>
          <w:shd w:val="clear" w:color="auto" w:fill="FFFFFF"/>
        </w:rPr>
        <w:t>五</w:t>
      </w:r>
      <w:r w:rsidRPr="001B6E4D">
        <w:rPr>
          <w:rFonts w:ascii="標楷體" w:eastAsia="標楷體" w:hAnsi="標楷體" w:cs="Arial"/>
          <w:b/>
          <w:sz w:val="28"/>
          <w:szCs w:val="28"/>
          <w:shd w:val="clear" w:color="auto" w:fill="FFFFFF"/>
        </w:rPr>
        <w:t>)本案</w:t>
      </w:r>
      <w:r w:rsidRPr="001B6E4D">
        <w:rPr>
          <w:rFonts w:ascii="標楷體" w:eastAsia="標楷體" w:hAnsi="標楷體" w:cs="Arial" w:hint="eastAsia"/>
          <w:b/>
          <w:sz w:val="28"/>
          <w:szCs w:val="28"/>
          <w:shd w:val="clear" w:color="auto" w:fill="FFFFFF"/>
        </w:rPr>
        <w:t>審查完竣，提報院會，院會討論前，須交由黨團協商；院會討論時，由莊召集委員瑞雄出席說明。</w:t>
      </w:r>
    </w:p>
    <w:p w14:paraId="72E102F6" w14:textId="77777777" w:rsidR="0051111F" w:rsidRPr="001B6E4D" w:rsidRDefault="0051111F" w:rsidP="003D1018">
      <w:pPr>
        <w:widowControl w:val="0"/>
        <w:overflowPunct w:val="0"/>
        <w:spacing w:beforeLines="50" w:before="180" w:line="370" w:lineRule="exact"/>
        <w:jc w:val="both"/>
        <w:rPr>
          <w:rFonts w:ascii="標楷體" w:eastAsia="標楷體" w:hAnsi="標楷體" w:cs="Arial"/>
          <w:b/>
          <w:sz w:val="28"/>
          <w:szCs w:val="28"/>
          <w:shd w:val="clear" w:color="auto" w:fill="FFFFFF"/>
        </w:rPr>
      </w:pPr>
      <w:r w:rsidRPr="001B6E4D">
        <w:rPr>
          <w:rFonts w:ascii="標楷體" w:eastAsia="標楷體" w:hAnsi="標楷體" w:cs="Arial" w:hint="eastAsia"/>
          <w:b/>
          <w:sz w:val="28"/>
          <w:szCs w:val="28"/>
          <w:shd w:val="clear" w:color="auto" w:fill="FFFFFF"/>
        </w:rPr>
        <w:t>四、「</w:t>
      </w:r>
      <w:r w:rsidRPr="001B6E4D">
        <w:rPr>
          <w:rFonts w:ascii="標楷體" w:eastAsia="標楷體" w:hAnsi="標楷體" w:cs="Arial" w:hint="eastAsia"/>
          <w:b/>
          <w:sz w:val="28"/>
          <w:szCs w:val="28"/>
        </w:rPr>
        <w:t>公教人員個人</w:t>
      </w:r>
      <w:proofErr w:type="gramStart"/>
      <w:r w:rsidRPr="001B6E4D">
        <w:rPr>
          <w:rFonts w:ascii="標楷體" w:eastAsia="標楷體" w:hAnsi="標楷體" w:cs="Arial" w:hint="eastAsia"/>
          <w:b/>
          <w:sz w:val="28"/>
          <w:szCs w:val="28"/>
        </w:rPr>
        <w:t>專戶制退撫</w:t>
      </w:r>
      <w:proofErr w:type="gramEnd"/>
      <w:r w:rsidRPr="001B6E4D">
        <w:rPr>
          <w:rFonts w:ascii="標楷體" w:eastAsia="標楷體" w:hAnsi="標楷體" w:cs="Arial" w:hint="eastAsia"/>
          <w:b/>
          <w:sz w:val="28"/>
          <w:szCs w:val="28"/>
        </w:rPr>
        <w:t>儲金基金</w:t>
      </w:r>
      <w:r w:rsidRPr="001B6E4D">
        <w:rPr>
          <w:rFonts w:ascii="標楷體" w:eastAsia="標楷體" w:hAnsi="標楷體" w:cs="Arial" w:hint="eastAsia"/>
          <w:b/>
          <w:sz w:val="28"/>
          <w:szCs w:val="28"/>
          <w:shd w:val="clear" w:color="auto" w:fill="FFFFFF"/>
        </w:rPr>
        <w:t>」：</w:t>
      </w:r>
    </w:p>
    <w:p w14:paraId="3D3B8CDB" w14:textId="77777777" w:rsidR="0051111F" w:rsidRPr="001B6E4D" w:rsidRDefault="0051111F" w:rsidP="003D1018">
      <w:pPr>
        <w:widowControl w:val="0"/>
        <w:overflowPunct w:val="0"/>
        <w:spacing w:line="380" w:lineRule="exact"/>
        <w:ind w:leftChars="200" w:left="1040" w:hangingChars="200" w:hanging="560"/>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w:t>
      </w:r>
      <w:proofErr w:type="gramStart"/>
      <w:r w:rsidRPr="001B6E4D">
        <w:rPr>
          <w:rFonts w:ascii="標楷體" w:eastAsia="標楷體" w:hAnsi="標楷體" w:cs="Arial" w:hint="eastAsia"/>
          <w:sz w:val="28"/>
          <w:szCs w:val="28"/>
          <w:shd w:val="clear" w:color="auto" w:fill="FFFFFF"/>
        </w:rPr>
        <w:t>一</w:t>
      </w:r>
      <w:proofErr w:type="gramEnd"/>
      <w:r w:rsidRPr="001B6E4D">
        <w:rPr>
          <w:rFonts w:ascii="標楷體" w:eastAsia="標楷體" w:hAnsi="標楷體" w:cs="Arial" w:hint="eastAsia"/>
          <w:sz w:val="28"/>
          <w:szCs w:val="28"/>
          <w:shd w:val="clear" w:color="auto" w:fill="FFFFFF"/>
        </w:rPr>
        <w:t>)基金運用計畫：應依據收支、餘</w:t>
      </w:r>
      <w:proofErr w:type="gramStart"/>
      <w:r w:rsidRPr="001B6E4D">
        <w:rPr>
          <w:rFonts w:ascii="標楷體" w:eastAsia="標楷體" w:hAnsi="標楷體" w:cs="Arial" w:hint="eastAsia"/>
          <w:sz w:val="28"/>
          <w:szCs w:val="28"/>
          <w:shd w:val="clear" w:color="auto" w:fill="FFFFFF"/>
        </w:rPr>
        <w:t>絀</w:t>
      </w:r>
      <w:proofErr w:type="gramEnd"/>
      <w:r w:rsidRPr="001B6E4D">
        <w:rPr>
          <w:rFonts w:ascii="標楷體" w:eastAsia="標楷體" w:hAnsi="標楷體" w:cs="Arial" w:hint="eastAsia"/>
          <w:sz w:val="28"/>
          <w:szCs w:val="28"/>
          <w:shd w:val="clear" w:color="auto" w:fill="FFFFFF"/>
        </w:rPr>
        <w:t>撥補等項之審查結果，隨同調整。</w:t>
      </w:r>
    </w:p>
    <w:p w14:paraId="30978035" w14:textId="77777777" w:rsidR="0051111F" w:rsidRPr="001B6E4D" w:rsidRDefault="0051111F" w:rsidP="003D1018">
      <w:pPr>
        <w:widowControl w:val="0"/>
        <w:overflowPunct w:val="0"/>
        <w:spacing w:line="380" w:lineRule="exact"/>
        <w:ind w:leftChars="193" w:left="1006" w:hangingChars="194" w:hanging="543"/>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(二)總收入：3</w:t>
      </w:r>
      <w:r w:rsidRPr="001B6E4D">
        <w:rPr>
          <w:rFonts w:ascii="標楷體" w:eastAsia="標楷體" w:hAnsi="標楷體" w:cs="Arial" w:hint="eastAsia"/>
          <w:sz w:val="28"/>
          <w:szCs w:val="28"/>
        </w:rPr>
        <w:t>億2</w:t>
      </w:r>
      <w:r w:rsidRPr="001B6E4D">
        <w:rPr>
          <w:rFonts w:ascii="標楷體" w:eastAsia="標楷體" w:hAnsi="標楷體" w:cs="Arial"/>
          <w:sz w:val="28"/>
          <w:szCs w:val="28"/>
        </w:rPr>
        <w:t>,</w:t>
      </w:r>
      <w:r w:rsidRPr="001B6E4D">
        <w:rPr>
          <w:rFonts w:ascii="標楷體" w:eastAsia="標楷體" w:hAnsi="標楷體" w:cs="Arial" w:hint="eastAsia"/>
          <w:sz w:val="28"/>
          <w:szCs w:val="28"/>
        </w:rPr>
        <w:t>905萬7千元</w:t>
      </w:r>
      <w:r w:rsidRPr="001B6E4D">
        <w:rPr>
          <w:rFonts w:ascii="標楷體" w:eastAsia="標楷體" w:hAnsi="標楷體" w:cs="Arial" w:hint="eastAsia"/>
          <w:sz w:val="28"/>
          <w:szCs w:val="28"/>
          <w:shd w:val="clear" w:color="auto" w:fill="FFFFFF"/>
        </w:rPr>
        <w:t>，</w:t>
      </w:r>
      <w:proofErr w:type="gramStart"/>
      <w:r w:rsidRPr="001B6E4D">
        <w:rPr>
          <w:rFonts w:ascii="標楷體" w:eastAsia="標楷體" w:hAnsi="標楷體" w:cs="Arial" w:hint="eastAsia"/>
          <w:sz w:val="28"/>
          <w:szCs w:val="28"/>
          <w:shd w:val="clear" w:color="auto" w:fill="FFFFFF"/>
        </w:rPr>
        <w:t>照列</w:t>
      </w:r>
      <w:proofErr w:type="gramEnd"/>
      <w:r w:rsidRPr="001B6E4D">
        <w:rPr>
          <w:rFonts w:ascii="標楷體" w:eastAsia="標楷體" w:hAnsi="標楷體" w:cs="Arial" w:hint="eastAsia"/>
          <w:sz w:val="28"/>
          <w:szCs w:val="28"/>
          <w:shd w:val="clear" w:color="auto" w:fill="FFFFFF"/>
        </w:rPr>
        <w:t>。</w:t>
      </w:r>
    </w:p>
    <w:p w14:paraId="3F1E3224" w14:textId="77777777" w:rsidR="0051111F" w:rsidRPr="001B6E4D" w:rsidRDefault="0051111F" w:rsidP="003D1018">
      <w:pPr>
        <w:widowControl w:val="0"/>
        <w:overflowPunct w:val="0"/>
        <w:spacing w:line="380" w:lineRule="exact"/>
        <w:ind w:leftChars="200" w:left="1040" w:hangingChars="200" w:hanging="560"/>
        <w:jc w:val="both"/>
        <w:rPr>
          <w:rFonts w:ascii="標楷體" w:eastAsia="標楷體" w:hAnsi="標楷體" w:cs="Arial"/>
          <w:sz w:val="28"/>
          <w:szCs w:val="28"/>
        </w:rPr>
      </w:pPr>
      <w:r w:rsidRPr="001B6E4D">
        <w:rPr>
          <w:rFonts w:ascii="標楷體" w:eastAsia="標楷體" w:hAnsi="標楷體" w:cs="Arial" w:hint="eastAsia"/>
          <w:sz w:val="28"/>
          <w:szCs w:val="28"/>
          <w:shd w:val="clear" w:color="auto" w:fill="FFFFFF"/>
        </w:rPr>
        <w:t>(三)總支出：</w:t>
      </w:r>
      <w:r w:rsidRPr="001B6E4D">
        <w:rPr>
          <w:rFonts w:ascii="標楷體" w:eastAsia="標楷體" w:hAnsi="標楷體"/>
          <w:sz w:val="28"/>
          <w:szCs w:val="28"/>
        </w:rPr>
        <w:t>1,645</w:t>
      </w:r>
      <w:r w:rsidRPr="001B6E4D">
        <w:rPr>
          <w:rFonts w:ascii="標楷體" w:eastAsia="標楷體" w:hAnsi="標楷體" w:cs="Arial" w:hint="eastAsia"/>
          <w:sz w:val="28"/>
          <w:szCs w:val="28"/>
        </w:rPr>
        <w:t>萬4千元，</w:t>
      </w:r>
      <w:proofErr w:type="gramStart"/>
      <w:r w:rsidRPr="001B6E4D">
        <w:rPr>
          <w:rFonts w:ascii="標楷體" w:eastAsia="標楷體" w:hAnsi="標楷體" w:cs="Arial" w:hint="eastAsia"/>
          <w:sz w:val="28"/>
          <w:szCs w:val="28"/>
        </w:rPr>
        <w:t>照列</w:t>
      </w:r>
      <w:proofErr w:type="gramEnd"/>
      <w:r w:rsidRPr="001B6E4D">
        <w:rPr>
          <w:rFonts w:ascii="標楷體" w:eastAsia="標楷體" w:hAnsi="標楷體" w:cs="Arial" w:hint="eastAsia"/>
          <w:sz w:val="28"/>
          <w:szCs w:val="28"/>
        </w:rPr>
        <w:t>。</w:t>
      </w:r>
    </w:p>
    <w:p w14:paraId="04767476" w14:textId="77777777" w:rsidR="0051111F" w:rsidRPr="001B6E4D" w:rsidRDefault="0051111F" w:rsidP="003D1018">
      <w:pPr>
        <w:widowControl w:val="0"/>
        <w:overflowPunct w:val="0"/>
        <w:spacing w:line="380" w:lineRule="exact"/>
        <w:ind w:leftChars="200" w:left="1040" w:hangingChars="200" w:hanging="560"/>
        <w:jc w:val="both"/>
        <w:rPr>
          <w:rFonts w:ascii="標楷體" w:eastAsia="標楷體" w:hAnsi="標楷體" w:cs="Arial"/>
          <w:sz w:val="28"/>
          <w:szCs w:val="28"/>
          <w:shd w:val="clear" w:color="auto" w:fill="FFFFFF"/>
        </w:rPr>
      </w:pPr>
      <w:r w:rsidRPr="001B6E4D">
        <w:rPr>
          <w:rFonts w:ascii="標楷體" w:eastAsia="標楷體" w:hAnsi="標楷體" w:cs="Arial" w:hint="eastAsia"/>
          <w:sz w:val="28"/>
          <w:szCs w:val="28"/>
          <w:shd w:val="clear" w:color="auto" w:fill="FFFFFF"/>
        </w:rPr>
        <w:t>(四)本期賸餘：</w:t>
      </w:r>
      <w:r w:rsidRPr="001B6E4D">
        <w:rPr>
          <w:rFonts w:ascii="標楷體" w:eastAsia="標楷體" w:hAnsi="標楷體" w:cs="Arial"/>
          <w:sz w:val="28"/>
          <w:szCs w:val="28"/>
        </w:rPr>
        <w:t>3</w:t>
      </w:r>
      <w:r w:rsidRPr="001B6E4D">
        <w:rPr>
          <w:rFonts w:ascii="標楷體" w:eastAsia="標楷體" w:hAnsi="標楷體" w:cs="Arial" w:hint="eastAsia"/>
          <w:sz w:val="28"/>
          <w:szCs w:val="28"/>
        </w:rPr>
        <w:t>億</w:t>
      </w:r>
      <w:r w:rsidRPr="001B6E4D">
        <w:rPr>
          <w:rFonts w:ascii="標楷體" w:eastAsia="標楷體" w:hAnsi="標楷體" w:cs="Arial"/>
          <w:sz w:val="28"/>
          <w:szCs w:val="28"/>
        </w:rPr>
        <w:t>1,260</w:t>
      </w:r>
      <w:r w:rsidRPr="001B6E4D">
        <w:rPr>
          <w:rFonts w:ascii="標楷體" w:eastAsia="標楷體" w:hAnsi="標楷體" w:cs="Arial" w:hint="eastAsia"/>
          <w:sz w:val="28"/>
          <w:szCs w:val="28"/>
        </w:rPr>
        <w:t>萬</w:t>
      </w:r>
      <w:r w:rsidRPr="001B6E4D">
        <w:rPr>
          <w:rFonts w:ascii="標楷體" w:eastAsia="標楷體" w:hAnsi="標楷體" w:cs="Arial"/>
          <w:sz w:val="28"/>
          <w:szCs w:val="28"/>
        </w:rPr>
        <w:t>3</w:t>
      </w:r>
      <w:r w:rsidRPr="001B6E4D">
        <w:rPr>
          <w:rFonts w:ascii="標楷體" w:eastAsia="標楷體" w:hAnsi="標楷體" w:cs="Arial" w:hint="eastAsia"/>
          <w:sz w:val="28"/>
          <w:szCs w:val="28"/>
        </w:rPr>
        <w:t>千元，</w:t>
      </w:r>
      <w:proofErr w:type="gramStart"/>
      <w:r w:rsidRPr="001B6E4D">
        <w:rPr>
          <w:rFonts w:ascii="標楷體" w:eastAsia="標楷體" w:hAnsi="標楷體" w:cs="Arial" w:hint="eastAsia"/>
          <w:sz w:val="28"/>
          <w:szCs w:val="28"/>
        </w:rPr>
        <w:t>照列</w:t>
      </w:r>
      <w:proofErr w:type="gramEnd"/>
      <w:r w:rsidRPr="001B6E4D">
        <w:rPr>
          <w:rFonts w:ascii="標楷體" w:eastAsia="標楷體" w:hAnsi="標楷體" w:cs="Arial" w:hint="eastAsia"/>
          <w:sz w:val="28"/>
          <w:szCs w:val="28"/>
          <w:shd w:val="clear" w:color="auto" w:fill="FFFFFF"/>
        </w:rPr>
        <w:t>。</w:t>
      </w:r>
    </w:p>
    <w:p w14:paraId="4F5E7D20" w14:textId="77777777" w:rsidR="0051111F" w:rsidRPr="001B6E4D" w:rsidRDefault="0051111F" w:rsidP="003D1018">
      <w:pPr>
        <w:widowControl w:val="0"/>
        <w:overflowPunct w:val="0"/>
        <w:spacing w:line="380" w:lineRule="exact"/>
        <w:ind w:leftChars="200" w:left="1041" w:hangingChars="200" w:hanging="561"/>
        <w:rPr>
          <w:rFonts w:ascii="標楷體" w:eastAsia="標楷體" w:hAnsi="標楷體" w:cs="Arial"/>
          <w:sz w:val="28"/>
          <w:szCs w:val="28"/>
          <w:shd w:val="clear" w:color="auto" w:fill="FFFFFF"/>
        </w:rPr>
      </w:pPr>
      <w:r w:rsidRPr="001B6E4D">
        <w:rPr>
          <w:rFonts w:ascii="標楷體" w:eastAsia="標楷體" w:hAnsi="標楷體" w:cs="Arial"/>
          <w:b/>
          <w:sz w:val="28"/>
          <w:szCs w:val="28"/>
          <w:shd w:val="clear" w:color="auto" w:fill="FFFFFF"/>
        </w:rPr>
        <w:t>(五)</w:t>
      </w:r>
      <w:r w:rsidRPr="001B6E4D">
        <w:rPr>
          <w:rFonts w:ascii="標楷體" w:eastAsia="標楷體" w:hAnsi="標楷體" w:cs="Arial" w:hint="eastAsia"/>
          <w:b/>
          <w:sz w:val="28"/>
          <w:szCs w:val="28"/>
          <w:shd w:val="clear" w:color="auto" w:fill="FFFFFF"/>
        </w:rPr>
        <w:t>本案審查完竣，提報院會，院會討論前，須交由黨團協商；院會討論時，由莊召集委員瑞雄出席說明。</w:t>
      </w:r>
    </w:p>
    <w:p w14:paraId="76F31F8B" w14:textId="77777777" w:rsidR="0051111F" w:rsidRPr="001B6E4D" w:rsidRDefault="0051111F" w:rsidP="003D1018">
      <w:pPr>
        <w:widowControl w:val="0"/>
        <w:overflowPunct w:val="0"/>
        <w:spacing w:line="370" w:lineRule="exact"/>
        <w:rPr>
          <w:rFonts w:ascii="標楷體" w:eastAsia="標楷體" w:hAnsi="標楷體"/>
          <w:sz w:val="28"/>
          <w:szCs w:val="28"/>
          <w:shd w:val="clear" w:color="auto" w:fill="FFFFFF"/>
        </w:rPr>
      </w:pPr>
      <w:r w:rsidRPr="001B6E4D">
        <w:rPr>
          <w:rFonts w:ascii="標楷體" w:eastAsia="標楷體" w:hAnsi="標楷體" w:cs="Arial" w:hint="eastAsia"/>
          <w:sz w:val="28"/>
          <w:szCs w:val="28"/>
          <w:shd w:val="clear" w:color="auto" w:fill="FFFFFF"/>
        </w:rPr>
        <w:t>五、本次會議通過之決議，依例文字授權主席及議事人員整理。</w:t>
      </w:r>
    </w:p>
    <w:p w14:paraId="680E1F6A" w14:textId="77777777" w:rsidR="0051111F" w:rsidRPr="001B6E4D" w:rsidRDefault="0051111F" w:rsidP="003D1018">
      <w:pPr>
        <w:widowControl w:val="0"/>
        <w:overflowPunct w:val="0"/>
        <w:autoSpaceDE w:val="0"/>
        <w:autoSpaceDN w:val="0"/>
        <w:adjustRightInd w:val="0"/>
        <w:spacing w:line="360" w:lineRule="exact"/>
        <w:rPr>
          <w:rFonts w:ascii="標楷體" w:eastAsia="標楷體" w:hAnsi="標楷體" w:cs="標楷體"/>
          <w:color w:val="000000"/>
          <w:kern w:val="0"/>
          <w:sz w:val="28"/>
          <w:szCs w:val="28"/>
          <w:shd w:val="clear" w:color="auto" w:fill="FFFFFF"/>
        </w:rPr>
      </w:pPr>
      <w:r w:rsidRPr="001B6E4D">
        <w:rPr>
          <w:rFonts w:ascii="標楷體" w:eastAsia="標楷體" w:hAnsi="標楷體" w:cs="標楷體"/>
          <w:color w:val="000000"/>
          <w:kern w:val="0"/>
          <w:sz w:val="28"/>
          <w:szCs w:val="28"/>
          <w:shd w:val="clear" w:color="auto" w:fill="FFFFFF"/>
        </w:rPr>
        <w:t>散會</w:t>
      </w:r>
    </w:p>
    <w:p w14:paraId="6CE98C93"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426E97CC" w14:textId="7764B10F" w:rsidR="00894241" w:rsidRPr="001B6E4D" w:rsidRDefault="00894241"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33" w:name="_Toc240446601"/>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17</w:t>
      </w:r>
      <w:r w:rsidRPr="001B6E4D">
        <w:rPr>
          <w:rFonts w:ascii="標楷體" w:eastAsia="標楷體" w:hAnsi="標楷體"/>
          <w:b/>
          <w:spacing w:val="-2"/>
          <w:sz w:val="28"/>
          <w:szCs w:val="28"/>
        </w:rPr>
        <w:t>次全體委員會議議事錄</w:t>
      </w:r>
      <w:bookmarkEnd w:id="533"/>
    </w:p>
    <w:p w14:paraId="27C23C76" w14:textId="77777777" w:rsidR="00894241" w:rsidRPr="001B6E4D" w:rsidRDefault="00894241" w:rsidP="003D1018">
      <w:pPr>
        <w:overflowPunct w:val="0"/>
        <w:adjustRightInd w:val="0"/>
        <w:snapToGrid w:val="0"/>
        <w:spacing w:line="360" w:lineRule="exact"/>
        <w:ind w:leftChars="1" w:left="1416" w:hangingChars="505" w:hanging="1414"/>
        <w:rPr>
          <w:rFonts w:ascii="標楷體" w:eastAsia="標楷體" w:hAnsi="標楷體"/>
          <w:kern w:val="0"/>
          <w:sz w:val="28"/>
          <w:szCs w:val="28"/>
        </w:rPr>
      </w:pPr>
      <w:r w:rsidRPr="001B6E4D">
        <w:rPr>
          <w:rFonts w:ascii="標楷體" w:eastAsia="標楷體" w:hAnsi="標楷體"/>
          <w:kern w:val="0"/>
          <w:sz w:val="28"/>
          <w:szCs w:val="28"/>
          <w:fitText w:val="1120" w:id="-384120576"/>
        </w:rPr>
        <w:t>時    間</w:t>
      </w:r>
      <w:r w:rsidRPr="001B6E4D">
        <w:rPr>
          <w:rFonts w:ascii="標楷體" w:eastAsia="標楷體" w:hAnsi="標楷體"/>
          <w:kern w:val="0"/>
          <w:sz w:val="28"/>
          <w:szCs w:val="28"/>
        </w:rPr>
        <w:t>：</w:t>
      </w:r>
      <w:r w:rsidRPr="001B6E4D">
        <w:rPr>
          <w:rFonts w:ascii="標楷體" w:eastAsia="標楷體" w:hAnsi="標楷體"/>
          <w:spacing w:val="-2"/>
          <w:kern w:val="0"/>
          <w:sz w:val="28"/>
          <w:szCs w:val="28"/>
        </w:rPr>
        <w:t>中華民國1</w:t>
      </w:r>
      <w:r w:rsidRPr="001B6E4D">
        <w:rPr>
          <w:rFonts w:ascii="標楷體" w:eastAsia="標楷體" w:hAnsi="標楷體" w:hint="eastAsia"/>
          <w:spacing w:val="-2"/>
          <w:kern w:val="0"/>
          <w:sz w:val="28"/>
          <w:szCs w:val="28"/>
        </w:rPr>
        <w:t>15</w:t>
      </w:r>
      <w:r w:rsidRPr="001B6E4D">
        <w:rPr>
          <w:rFonts w:ascii="標楷體" w:eastAsia="標楷體" w:hAnsi="標楷體"/>
          <w:spacing w:val="-2"/>
          <w:kern w:val="0"/>
          <w:sz w:val="28"/>
          <w:szCs w:val="28"/>
        </w:rPr>
        <w:t>年</w:t>
      </w:r>
      <w:r w:rsidRPr="001B6E4D">
        <w:rPr>
          <w:rFonts w:ascii="標楷體" w:eastAsia="標楷體" w:hAnsi="標楷體" w:hint="eastAsia"/>
          <w:spacing w:val="-2"/>
          <w:kern w:val="0"/>
          <w:sz w:val="28"/>
          <w:szCs w:val="28"/>
        </w:rPr>
        <w:t>6</w:t>
      </w:r>
      <w:r w:rsidRPr="001B6E4D">
        <w:rPr>
          <w:rFonts w:ascii="標楷體" w:eastAsia="標楷體" w:hAnsi="標楷體"/>
          <w:spacing w:val="-2"/>
          <w:kern w:val="0"/>
          <w:sz w:val="28"/>
          <w:szCs w:val="28"/>
        </w:rPr>
        <w:t>月</w:t>
      </w:r>
      <w:r w:rsidRPr="001B6E4D">
        <w:rPr>
          <w:rFonts w:ascii="標楷體" w:eastAsia="標楷體" w:hAnsi="標楷體" w:hint="eastAsia"/>
          <w:spacing w:val="-2"/>
          <w:kern w:val="0"/>
          <w:sz w:val="28"/>
          <w:szCs w:val="28"/>
        </w:rPr>
        <w:t>8</w:t>
      </w:r>
      <w:r w:rsidRPr="001B6E4D">
        <w:rPr>
          <w:rFonts w:ascii="標楷體" w:eastAsia="標楷體" w:hAnsi="標楷體"/>
          <w:spacing w:val="-2"/>
          <w:kern w:val="0"/>
          <w:sz w:val="28"/>
          <w:szCs w:val="28"/>
        </w:rPr>
        <w:t>日（星期</w:t>
      </w:r>
      <w:r w:rsidRPr="001B6E4D">
        <w:rPr>
          <w:rFonts w:ascii="標楷體" w:eastAsia="標楷體" w:hAnsi="標楷體" w:hint="eastAsia"/>
          <w:spacing w:val="-2"/>
          <w:kern w:val="0"/>
          <w:sz w:val="28"/>
          <w:szCs w:val="28"/>
        </w:rPr>
        <w:t>一</w:t>
      </w:r>
      <w:r w:rsidRPr="001B6E4D">
        <w:rPr>
          <w:rFonts w:ascii="標楷體" w:eastAsia="標楷體" w:hAnsi="標楷體"/>
          <w:spacing w:val="-2"/>
          <w:kern w:val="0"/>
          <w:sz w:val="28"/>
          <w:szCs w:val="28"/>
        </w:rPr>
        <w:t>）上午9時至</w:t>
      </w:r>
      <w:r w:rsidRPr="001B6E4D">
        <w:rPr>
          <w:rFonts w:ascii="標楷體" w:eastAsia="標楷體" w:hAnsi="標楷體" w:hint="eastAsia"/>
          <w:spacing w:val="-2"/>
          <w:kern w:val="0"/>
          <w:sz w:val="28"/>
          <w:szCs w:val="28"/>
        </w:rPr>
        <w:t>1</w:t>
      </w:r>
      <w:r w:rsidRPr="001B6E4D">
        <w:rPr>
          <w:rFonts w:ascii="標楷體" w:eastAsia="標楷體" w:hAnsi="標楷體"/>
          <w:spacing w:val="-2"/>
          <w:kern w:val="0"/>
          <w:sz w:val="28"/>
          <w:szCs w:val="28"/>
        </w:rPr>
        <w:t>2時54</w:t>
      </w:r>
      <w:r w:rsidRPr="001B6E4D">
        <w:rPr>
          <w:rFonts w:ascii="標楷體" w:eastAsia="標楷體" w:hAnsi="標楷體" w:hint="eastAsia"/>
          <w:spacing w:val="-2"/>
          <w:kern w:val="0"/>
          <w:sz w:val="28"/>
          <w:szCs w:val="28"/>
        </w:rPr>
        <w:t>分</w:t>
      </w:r>
    </w:p>
    <w:p w14:paraId="61963C0E" w14:textId="77777777" w:rsidR="00894241" w:rsidRPr="001B6E4D" w:rsidRDefault="00894241"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rPr>
      </w:pPr>
      <w:r w:rsidRPr="001B6E4D">
        <w:rPr>
          <w:rFonts w:ascii="標楷體" w:eastAsia="標楷體" w:hAnsi="標楷體"/>
          <w:kern w:val="0"/>
          <w:sz w:val="28"/>
          <w:szCs w:val="28"/>
          <w:fitText w:val="1120" w:id="-384120575"/>
        </w:rPr>
        <w:t>地    點</w:t>
      </w:r>
      <w:r w:rsidRPr="001B6E4D">
        <w:rPr>
          <w:rFonts w:ascii="標楷體" w:eastAsia="標楷體" w:hAnsi="標楷體"/>
          <w:kern w:val="0"/>
          <w:sz w:val="28"/>
          <w:szCs w:val="28"/>
        </w:rPr>
        <w:t>：本院紅樓302會議室</w:t>
      </w:r>
    </w:p>
    <w:p w14:paraId="5B8ABFF9" w14:textId="77777777" w:rsidR="00894241" w:rsidRPr="001B6E4D" w:rsidRDefault="00894241" w:rsidP="003D1018">
      <w:pPr>
        <w:widowControl w:val="0"/>
        <w:tabs>
          <w:tab w:val="left" w:pos="1418"/>
          <w:tab w:val="left" w:pos="1560"/>
        </w:tabs>
        <w:overflowPunct w:val="0"/>
        <w:snapToGrid w:val="0"/>
        <w:ind w:left="574" w:hanging="560"/>
        <w:rPr>
          <w:rFonts w:ascii="標楷體" w:eastAsia="標楷體" w:hAnsi="標楷體"/>
          <w:kern w:val="0"/>
          <w:sz w:val="28"/>
          <w:szCs w:val="28"/>
        </w:rPr>
      </w:pPr>
      <w:r w:rsidRPr="001B6E4D">
        <w:rPr>
          <w:rFonts w:ascii="標楷體" w:eastAsia="標楷體" w:hAnsi="標楷體"/>
          <w:kern w:val="0"/>
          <w:sz w:val="28"/>
          <w:szCs w:val="28"/>
        </w:rPr>
        <w:t>出席委員：</w:t>
      </w:r>
      <w:r w:rsidRPr="001B6E4D">
        <w:rPr>
          <w:rFonts w:ascii="標楷體" w:eastAsia="標楷體" w:hAnsi="標楷體" w:hint="eastAsia"/>
          <w:kern w:val="0"/>
          <w:sz w:val="28"/>
          <w:szCs w:val="28"/>
        </w:rPr>
        <w:t>陳昭姿</w:t>
      </w:r>
      <w:r w:rsidRPr="001B6E4D">
        <w:rPr>
          <w:rFonts w:ascii="標楷體" w:eastAsia="標楷體" w:hAnsi="標楷體" w:hint="eastAsia"/>
          <w:kern w:val="0"/>
          <w:sz w:val="28"/>
          <w:szCs w:val="28"/>
        </w:rPr>
        <w:tab/>
        <w:t>吳宗憲</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林沛祥</w:t>
      </w:r>
      <w:r w:rsidRPr="001B6E4D">
        <w:rPr>
          <w:rFonts w:ascii="標楷體" w:eastAsia="標楷體" w:hAnsi="標楷體" w:hint="eastAsia"/>
          <w:kern w:val="0"/>
          <w:sz w:val="28"/>
          <w:szCs w:val="28"/>
        </w:rPr>
        <w:tab/>
        <w:t>沈發惠</w:t>
      </w:r>
      <w:r w:rsidRPr="001B6E4D">
        <w:rPr>
          <w:rFonts w:ascii="標楷體" w:eastAsia="標楷體" w:hAnsi="標楷體" w:hint="eastAsia"/>
          <w:kern w:val="0"/>
          <w:sz w:val="28"/>
          <w:szCs w:val="28"/>
        </w:rPr>
        <w:tab/>
        <w:t>林倩綺</w:t>
      </w:r>
      <w:r w:rsidRPr="001B6E4D">
        <w:rPr>
          <w:rFonts w:ascii="標楷體" w:eastAsia="標楷體" w:hAnsi="標楷體" w:hint="eastAsia"/>
          <w:kern w:val="0"/>
          <w:sz w:val="28"/>
          <w:szCs w:val="28"/>
        </w:rPr>
        <w:tab/>
        <w:t>張雅琳</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翁曉玲</w:t>
      </w:r>
      <w:r w:rsidRPr="001B6E4D">
        <w:rPr>
          <w:rFonts w:ascii="標楷體" w:eastAsia="標楷體" w:hAnsi="標楷體"/>
          <w:kern w:val="0"/>
          <w:sz w:val="28"/>
          <w:szCs w:val="28"/>
        </w:rPr>
        <w:tab/>
      </w:r>
    </w:p>
    <w:p w14:paraId="74F399F5" w14:textId="77777777" w:rsidR="00894241" w:rsidRPr="001B6E4D" w:rsidRDefault="00894241" w:rsidP="003D1018">
      <w:pPr>
        <w:widowControl w:val="0"/>
        <w:overflowPunct w:val="0"/>
        <w:snapToGrid w:val="0"/>
        <w:ind w:left="206" w:firstLine="1212"/>
        <w:rPr>
          <w:rFonts w:ascii="標楷體" w:eastAsia="標楷體" w:hAnsi="標楷體"/>
          <w:sz w:val="28"/>
          <w:szCs w:val="28"/>
        </w:rPr>
      </w:pP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ab/>
      </w:r>
      <w:r w:rsidRPr="001B6E4D">
        <w:rPr>
          <w:rFonts w:ascii="標楷體" w:eastAsia="標楷體" w:hAnsi="標楷體" w:hint="eastAsia"/>
          <w:sz w:val="28"/>
          <w:szCs w:val="28"/>
        </w:rPr>
        <w:t>莊瑞雄</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蔡其昌</w:t>
      </w:r>
      <w:r w:rsidRPr="001B6E4D">
        <w:rPr>
          <w:rFonts w:ascii="標楷體" w:eastAsia="標楷體" w:hAnsi="標楷體" w:hint="eastAsia"/>
          <w:sz w:val="28"/>
          <w:szCs w:val="28"/>
        </w:rPr>
        <w:tab/>
      </w:r>
    </w:p>
    <w:p w14:paraId="4066386D"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11</w:t>
      </w:r>
      <w:r w:rsidRPr="001B6E4D">
        <w:rPr>
          <w:rFonts w:ascii="標楷體" w:eastAsia="標楷體" w:hAnsi="標楷體"/>
          <w:sz w:val="28"/>
          <w:szCs w:val="28"/>
        </w:rPr>
        <w:t>人</w:t>
      </w:r>
    </w:p>
    <w:p w14:paraId="2C8F8125"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proofErr w:type="gramStart"/>
      <w:r w:rsidRPr="001B6E4D">
        <w:rPr>
          <w:rFonts w:ascii="標楷體" w:eastAsia="標楷體" w:hAnsi="標楷體" w:hint="eastAsia"/>
          <w:sz w:val="28"/>
          <w:szCs w:val="28"/>
        </w:rPr>
        <w:t>洪孟楷</w:t>
      </w:r>
      <w:proofErr w:type="gramEnd"/>
      <w:r w:rsidRPr="001B6E4D">
        <w:rPr>
          <w:rFonts w:ascii="標楷體" w:eastAsia="標楷體" w:hAnsi="標楷體"/>
          <w:sz w:val="28"/>
          <w:szCs w:val="28"/>
        </w:rPr>
        <w:tab/>
      </w:r>
      <w:r w:rsidRPr="001B6E4D">
        <w:rPr>
          <w:rFonts w:ascii="標楷體" w:eastAsia="標楷體" w:hAnsi="標楷體" w:hint="eastAsia"/>
          <w:sz w:val="28"/>
          <w:szCs w:val="28"/>
        </w:rPr>
        <w:t>林月琴</w:t>
      </w:r>
      <w:r w:rsidRPr="001B6E4D">
        <w:rPr>
          <w:rFonts w:ascii="標楷體" w:eastAsia="標楷體" w:hAnsi="標楷體"/>
          <w:sz w:val="28"/>
          <w:szCs w:val="28"/>
        </w:rPr>
        <w:tab/>
      </w:r>
      <w:proofErr w:type="gramStart"/>
      <w:r w:rsidRPr="001B6E4D">
        <w:rPr>
          <w:rFonts w:ascii="標楷體" w:eastAsia="標楷體" w:hAnsi="標楷體" w:hint="eastAsia"/>
          <w:sz w:val="28"/>
          <w:szCs w:val="28"/>
        </w:rPr>
        <w:t>謝衣</w:t>
      </w:r>
      <w:proofErr w:type="gramEnd"/>
      <w:r w:rsidRPr="001B6E4D">
        <w:rPr>
          <w:rFonts w:ascii="標楷體" w:eastAsia="標楷體" w:hAnsi="標楷體" w:hint="eastAsia"/>
          <w:sz w:val="28"/>
          <w:szCs w:val="28"/>
        </w:rPr>
        <w:t>鳯</w:t>
      </w:r>
      <w:r w:rsidRPr="001B6E4D">
        <w:rPr>
          <w:rFonts w:ascii="標楷體" w:eastAsia="標楷體" w:hAnsi="標楷體"/>
          <w:sz w:val="28"/>
          <w:szCs w:val="28"/>
        </w:rPr>
        <w:tab/>
      </w:r>
      <w:r w:rsidRPr="001B6E4D">
        <w:rPr>
          <w:rFonts w:ascii="標楷體" w:eastAsia="標楷體" w:hAnsi="標楷體" w:hint="eastAsia"/>
          <w:sz w:val="28"/>
          <w:szCs w:val="28"/>
        </w:rPr>
        <w:t>李坤城</w:t>
      </w:r>
      <w:r w:rsidRPr="001B6E4D">
        <w:rPr>
          <w:rFonts w:ascii="標楷體" w:eastAsia="標楷體" w:hAnsi="標楷體" w:hint="eastAsia"/>
          <w:sz w:val="28"/>
          <w:szCs w:val="28"/>
        </w:rPr>
        <w:tab/>
        <w:t>王鴻薇</w:t>
      </w:r>
      <w:r w:rsidRPr="001B6E4D">
        <w:rPr>
          <w:rFonts w:ascii="標楷體" w:eastAsia="標楷體" w:hAnsi="標楷體"/>
          <w:sz w:val="28"/>
          <w:szCs w:val="28"/>
        </w:rPr>
        <w:tab/>
      </w:r>
      <w:r w:rsidRPr="001B6E4D">
        <w:rPr>
          <w:rFonts w:ascii="標楷體" w:eastAsia="標楷體" w:hAnsi="標楷體" w:hint="eastAsia"/>
          <w:sz w:val="28"/>
          <w:szCs w:val="28"/>
        </w:rPr>
        <w:t>陳冠廷</w:t>
      </w:r>
      <w:r w:rsidRPr="001B6E4D">
        <w:rPr>
          <w:rFonts w:ascii="標楷體" w:eastAsia="標楷體" w:hAnsi="標楷體" w:hint="eastAsia"/>
          <w:sz w:val="28"/>
          <w:szCs w:val="28"/>
        </w:rPr>
        <w:tab/>
        <w:t>林楚茵</w:t>
      </w:r>
    </w:p>
    <w:p w14:paraId="185A303A" w14:textId="77777777" w:rsidR="00894241" w:rsidRPr="001B6E4D" w:rsidRDefault="00894241" w:rsidP="003D1018">
      <w:pPr>
        <w:widowControl w:val="0"/>
        <w:overflowPunct w:val="0"/>
        <w:snapToGrid w:val="0"/>
        <w:ind w:left="206" w:firstLine="1212"/>
        <w:rPr>
          <w:rFonts w:ascii="標楷體" w:eastAsia="標楷體" w:hAnsi="標楷體"/>
          <w:sz w:val="28"/>
          <w:szCs w:val="28"/>
        </w:rPr>
      </w:pPr>
      <w:r w:rsidRPr="001B6E4D">
        <w:rPr>
          <w:rFonts w:ascii="標楷體" w:eastAsia="標楷體" w:hAnsi="標楷體" w:hint="eastAsia"/>
          <w:sz w:val="28"/>
          <w:szCs w:val="28"/>
        </w:rPr>
        <w:t>葉元之</w:t>
      </w:r>
    </w:p>
    <w:p w14:paraId="56F8D4FF"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席8人</w:t>
      </w:r>
    </w:p>
    <w:p w14:paraId="23100FC2" w14:textId="77777777" w:rsidR="00894241" w:rsidRPr="001B6E4D" w:rsidRDefault="00894241" w:rsidP="003D1018">
      <w:pPr>
        <w:widowControl w:val="0"/>
        <w:overflowPunct w:val="0"/>
        <w:snapToGrid w:val="0"/>
        <w:ind w:left="574" w:hanging="560"/>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法務部部長　鄭銘謙</w:t>
      </w:r>
    </w:p>
    <w:p w14:paraId="3A394624"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內政部警政署副署長　廖訓誠(署長請假)</w:t>
      </w:r>
    </w:p>
    <w:p w14:paraId="4244A38D"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交通部公共運輸及監理司司長</w:t>
      </w:r>
      <w:r w:rsidRPr="001B6E4D">
        <w:rPr>
          <w:rFonts w:ascii="標楷體" w:eastAsia="標楷體" w:hAnsi="標楷體"/>
          <w:sz w:val="28"/>
          <w:szCs w:val="28"/>
        </w:rPr>
        <w:tab/>
      </w:r>
      <w:r w:rsidRPr="001B6E4D">
        <w:rPr>
          <w:rFonts w:ascii="標楷體" w:eastAsia="標楷體" w:hAnsi="標楷體" w:hint="eastAsia"/>
          <w:sz w:val="28"/>
          <w:szCs w:val="28"/>
        </w:rPr>
        <w:t>胡廸琦</w:t>
      </w:r>
    </w:p>
    <w:p w14:paraId="5E433535"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衛生福利部心理</w:t>
      </w:r>
      <w:proofErr w:type="gramStart"/>
      <w:r w:rsidRPr="001B6E4D">
        <w:rPr>
          <w:rFonts w:ascii="標楷體" w:eastAsia="標楷體" w:hAnsi="標楷體" w:hint="eastAsia"/>
          <w:sz w:val="28"/>
          <w:szCs w:val="28"/>
        </w:rPr>
        <w:t>健康司司長</w:t>
      </w:r>
      <w:proofErr w:type="gramEnd"/>
      <w:r w:rsidRPr="001B6E4D">
        <w:rPr>
          <w:rFonts w:ascii="標楷體" w:eastAsia="標楷體" w:hAnsi="標楷體" w:hint="eastAsia"/>
          <w:sz w:val="28"/>
          <w:szCs w:val="28"/>
        </w:rPr>
        <w:t xml:space="preserve">　陳柏熹</w:t>
      </w:r>
    </w:p>
    <w:p w14:paraId="535D1C0D"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海洋委員會海巡署情報組組長　蘇泉諶</w:t>
      </w:r>
    </w:p>
    <w:p w14:paraId="360A0AD8"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財政部關務署關務查緝組組長　郭寬淵</w:t>
      </w:r>
    </w:p>
    <w:p w14:paraId="3A4EDE6E"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教育部學生事務及特殊教育司司長　蔡宜靜</w:t>
      </w:r>
    </w:p>
    <w:p w14:paraId="7EB7F341"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數位發展部資源管理司專門委員　鄭秀綾</w:t>
      </w:r>
    </w:p>
    <w:p w14:paraId="71FC07E3" w14:textId="77777777" w:rsidR="00894241" w:rsidRPr="001B6E4D" w:rsidRDefault="00894241"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6CC7724B"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3A789790"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3F5B53F1" w14:textId="77777777" w:rsidR="00894241" w:rsidRPr="001B6E4D" w:rsidRDefault="00894241"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2DB01C38"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583757C0"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5E2E3E8F" w14:textId="77777777" w:rsidR="00894241" w:rsidRPr="001B6E4D" w:rsidRDefault="00894241"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2F22DDAD"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一、宣讀上次會議議事錄。</w:t>
      </w:r>
    </w:p>
    <w:p w14:paraId="679EF4A3"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sz w:val="28"/>
          <w:szCs w:val="28"/>
        </w:rPr>
        <w:t>決定：確定。</w:t>
      </w:r>
    </w:p>
    <w:p w14:paraId="581BF34B"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二、邀請法務部部長、內政部警政署署長、交通部、衛生福利部、海洋委員會海巡署、財政部關務署、教育部、數位</w:t>
      </w:r>
      <w:proofErr w:type="gramStart"/>
      <w:r w:rsidRPr="001B6E4D">
        <w:rPr>
          <w:rFonts w:ascii="標楷體" w:eastAsia="標楷體" w:hAnsi="標楷體" w:hint="eastAsia"/>
          <w:sz w:val="28"/>
          <w:szCs w:val="28"/>
        </w:rPr>
        <w:t>發展部就</w:t>
      </w:r>
      <w:proofErr w:type="gramEnd"/>
      <w:r w:rsidRPr="001B6E4D">
        <w:rPr>
          <w:rFonts w:ascii="標楷體" w:eastAsia="標楷體" w:hAnsi="標楷體" w:hint="eastAsia"/>
          <w:sz w:val="28"/>
          <w:szCs w:val="28"/>
        </w:rPr>
        <w:t>「從源頭查緝到道路安全：我國毒品犯罪與</w:t>
      </w:r>
      <w:proofErr w:type="gramStart"/>
      <w:r w:rsidRPr="001B6E4D">
        <w:rPr>
          <w:rFonts w:ascii="標楷體" w:eastAsia="標楷體" w:hAnsi="標楷體" w:hint="eastAsia"/>
          <w:sz w:val="28"/>
          <w:szCs w:val="28"/>
        </w:rPr>
        <w:t>毒駕防</w:t>
      </w:r>
      <w:proofErr w:type="gramEnd"/>
      <w:r w:rsidRPr="001B6E4D">
        <w:rPr>
          <w:rFonts w:ascii="標楷體" w:eastAsia="標楷體" w:hAnsi="標楷體" w:hint="eastAsia"/>
          <w:sz w:val="28"/>
          <w:szCs w:val="28"/>
        </w:rPr>
        <w:t>制政策」進行專題報告，並備質詢。</w:t>
      </w:r>
    </w:p>
    <w:p w14:paraId="43517B88"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吳宗憲、陳昭姿、林沛祥、林倩綺、張雅琳、沈發惠、翁曉玲、許宇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、洪孟楷、林月琴、謝衣鳯、李坤城、王鴻薇、陳冠廷、范雲、莊瑞雄</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；委員蔡其昌、林楚茵、傅崐萁、徐欣瑩、陳冠廷提出書面質詢。</w:t>
      </w:r>
      <w:r w:rsidRPr="001B6E4D">
        <w:rPr>
          <w:rFonts w:ascii="標楷體" w:eastAsia="標楷體" w:hAnsi="標楷體"/>
          <w:sz w:val="28"/>
          <w:szCs w:val="28"/>
        </w:rPr>
        <w:t>）</w:t>
      </w:r>
    </w:p>
    <w:p w14:paraId="27FCF0D7" w14:textId="77777777" w:rsidR="00894241" w:rsidRPr="001B6E4D" w:rsidRDefault="00894241" w:rsidP="003D1018">
      <w:pPr>
        <w:overflowPunct w:val="0"/>
        <w:spacing w:line="400" w:lineRule="exact"/>
        <w:ind w:leftChars="6" w:left="14"/>
        <w:jc w:val="both"/>
        <w:rPr>
          <w:rFonts w:ascii="標楷體" w:eastAsia="標楷體" w:hAnsi="標楷體"/>
          <w:bCs/>
          <w:sz w:val="28"/>
          <w:szCs w:val="28"/>
        </w:rPr>
      </w:pPr>
      <w:r w:rsidRPr="001B6E4D">
        <w:rPr>
          <w:rFonts w:ascii="標楷體" w:eastAsia="標楷體" w:hAnsi="標楷體" w:hint="eastAsia"/>
          <w:bCs/>
          <w:sz w:val="28"/>
          <w:szCs w:val="28"/>
        </w:rPr>
        <w:t>決定：</w:t>
      </w:r>
    </w:p>
    <w:p w14:paraId="2DB0392E" w14:textId="77777777" w:rsidR="00894241" w:rsidRPr="001B6E4D" w:rsidRDefault="00894241" w:rsidP="003D1018">
      <w:pPr>
        <w:overflowPunct w:val="0"/>
        <w:spacing w:line="400" w:lineRule="exact"/>
        <w:ind w:leftChars="6" w:left="14"/>
        <w:jc w:val="both"/>
        <w:rPr>
          <w:rFonts w:ascii="標楷體" w:eastAsia="標楷體" w:hAnsi="標楷體"/>
          <w:bCs/>
          <w:sz w:val="28"/>
          <w:szCs w:val="28"/>
        </w:rPr>
      </w:pPr>
      <w:r w:rsidRPr="001B6E4D">
        <w:rPr>
          <w:rFonts w:ascii="標楷體" w:eastAsia="標楷體" w:hAnsi="標楷體" w:hint="eastAsia"/>
          <w:bCs/>
          <w:sz w:val="28"/>
          <w:szCs w:val="28"/>
        </w:rPr>
        <w:t>一、報告及</w:t>
      </w:r>
      <w:proofErr w:type="gramStart"/>
      <w:r w:rsidRPr="001B6E4D">
        <w:rPr>
          <w:rFonts w:ascii="標楷體" w:eastAsia="標楷體" w:hAnsi="標楷體" w:hint="eastAsia"/>
          <w:bCs/>
          <w:sz w:val="28"/>
          <w:szCs w:val="28"/>
        </w:rPr>
        <w:t>詢</w:t>
      </w:r>
      <w:proofErr w:type="gramEnd"/>
      <w:r w:rsidRPr="001B6E4D">
        <w:rPr>
          <w:rFonts w:ascii="標楷體" w:eastAsia="標楷體" w:hAnsi="標楷體" w:hint="eastAsia"/>
          <w:bCs/>
          <w:sz w:val="28"/>
          <w:szCs w:val="28"/>
        </w:rPr>
        <w:t>答完畢。</w:t>
      </w:r>
    </w:p>
    <w:p w14:paraId="5C8E61B7"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二、委員質詢時，要求提供相關資料或以書面答復者，請相關機關儘速送交個別委員及本會。</w:t>
      </w:r>
    </w:p>
    <w:p w14:paraId="5D4798AC"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散會</w:t>
      </w:r>
    </w:p>
    <w:p w14:paraId="5C75F08D" w14:textId="77777777" w:rsidR="00894241" w:rsidRPr="001B6E4D" w:rsidRDefault="00894241"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34" w:name="_Toc240446602"/>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18</w:t>
      </w:r>
      <w:r w:rsidRPr="001B6E4D">
        <w:rPr>
          <w:rFonts w:ascii="標楷體" w:eastAsia="標楷體" w:hAnsi="標楷體"/>
          <w:b/>
          <w:spacing w:val="-2"/>
          <w:sz w:val="28"/>
          <w:szCs w:val="28"/>
        </w:rPr>
        <w:t>次全體委員會議議事錄</w:t>
      </w:r>
      <w:bookmarkEnd w:id="534"/>
    </w:p>
    <w:p w14:paraId="7E9D97E5" w14:textId="77777777" w:rsidR="00F76196" w:rsidRPr="001B6E4D" w:rsidRDefault="00894241" w:rsidP="003D1018">
      <w:pPr>
        <w:overflowPunct w:val="0"/>
        <w:adjustRightInd w:val="0"/>
        <w:snapToGrid w:val="0"/>
        <w:spacing w:line="360" w:lineRule="exact"/>
        <w:ind w:leftChars="1" w:left="1430" w:hangingChars="510" w:hanging="1428"/>
        <w:rPr>
          <w:rFonts w:ascii="標楷體" w:eastAsia="標楷體" w:hAnsi="標楷體"/>
          <w:spacing w:val="-6"/>
          <w:kern w:val="0"/>
          <w:sz w:val="28"/>
          <w:szCs w:val="28"/>
          <w:lang w:val="x-none" w:eastAsia="x-none"/>
        </w:rPr>
      </w:pPr>
      <w:r w:rsidRPr="001B6E4D">
        <w:rPr>
          <w:rFonts w:ascii="標楷體" w:eastAsia="標楷體" w:hAnsi="標楷體"/>
          <w:kern w:val="0"/>
          <w:sz w:val="28"/>
          <w:szCs w:val="28"/>
          <w:fitText w:val="1120" w:id="-384120320"/>
          <w:lang w:val="x-none" w:eastAsia="x-none"/>
        </w:rPr>
        <w:t>時    間</w:t>
      </w:r>
      <w:r w:rsidRPr="001B6E4D">
        <w:rPr>
          <w:rFonts w:ascii="標楷體" w:eastAsia="標楷體" w:hAnsi="標楷體"/>
          <w:spacing w:val="-10"/>
          <w:kern w:val="0"/>
          <w:sz w:val="28"/>
          <w:szCs w:val="28"/>
          <w:lang w:val="x-none" w:eastAsia="x-none"/>
        </w:rPr>
        <w:t>：</w:t>
      </w:r>
      <w:r w:rsidRPr="001B6E4D">
        <w:rPr>
          <w:rFonts w:ascii="標楷體" w:eastAsia="標楷體" w:hAnsi="標楷體"/>
          <w:spacing w:val="-6"/>
          <w:kern w:val="0"/>
          <w:sz w:val="28"/>
          <w:szCs w:val="28"/>
          <w:lang w:val="x-none" w:eastAsia="x-none"/>
        </w:rPr>
        <w:t>中華民國</w:t>
      </w:r>
      <w:r w:rsidRPr="001B6E4D">
        <w:rPr>
          <w:rFonts w:ascii="標楷體" w:eastAsia="標楷體" w:hAnsi="標楷體" w:hint="eastAsia"/>
          <w:spacing w:val="-6"/>
          <w:kern w:val="0"/>
          <w:sz w:val="28"/>
          <w:szCs w:val="28"/>
          <w:lang w:val="x-none"/>
        </w:rPr>
        <w:t>115</w:t>
      </w:r>
      <w:r w:rsidRPr="001B6E4D">
        <w:rPr>
          <w:rFonts w:ascii="標楷體" w:eastAsia="標楷體" w:hAnsi="標楷體"/>
          <w:spacing w:val="-6"/>
          <w:kern w:val="0"/>
          <w:sz w:val="28"/>
          <w:szCs w:val="28"/>
          <w:lang w:val="x-none" w:eastAsia="x-none"/>
        </w:rPr>
        <w:t>年</w:t>
      </w:r>
      <w:r w:rsidRPr="001B6E4D">
        <w:rPr>
          <w:rFonts w:ascii="標楷體" w:eastAsia="標楷體" w:hAnsi="標楷體" w:hint="eastAsia"/>
          <w:spacing w:val="-6"/>
          <w:kern w:val="0"/>
          <w:sz w:val="28"/>
          <w:szCs w:val="28"/>
          <w:lang w:val="x-none"/>
        </w:rPr>
        <w:t>6</w:t>
      </w:r>
      <w:r w:rsidRPr="001B6E4D">
        <w:rPr>
          <w:rFonts w:ascii="標楷體" w:eastAsia="標楷體" w:hAnsi="標楷體"/>
          <w:spacing w:val="-6"/>
          <w:kern w:val="0"/>
          <w:sz w:val="28"/>
          <w:szCs w:val="28"/>
          <w:lang w:val="x-none" w:eastAsia="x-none"/>
        </w:rPr>
        <w:t>月</w:t>
      </w:r>
      <w:r w:rsidRPr="001B6E4D">
        <w:rPr>
          <w:rFonts w:ascii="標楷體" w:eastAsia="標楷體" w:hAnsi="標楷體" w:hint="eastAsia"/>
          <w:spacing w:val="-6"/>
          <w:kern w:val="0"/>
          <w:sz w:val="28"/>
          <w:szCs w:val="28"/>
          <w:lang w:val="x-none"/>
        </w:rPr>
        <w:t>10</w:t>
      </w:r>
      <w:r w:rsidRPr="001B6E4D">
        <w:rPr>
          <w:rFonts w:ascii="標楷體" w:eastAsia="標楷體" w:hAnsi="標楷體"/>
          <w:spacing w:val="-6"/>
          <w:kern w:val="0"/>
          <w:sz w:val="28"/>
          <w:szCs w:val="28"/>
          <w:lang w:val="x-none" w:eastAsia="x-none"/>
        </w:rPr>
        <w:t>日（星期</w:t>
      </w:r>
      <w:r w:rsidRPr="001B6E4D">
        <w:rPr>
          <w:rFonts w:ascii="標楷體" w:eastAsia="標楷體" w:hAnsi="標楷體" w:hint="eastAsia"/>
          <w:spacing w:val="-6"/>
          <w:kern w:val="0"/>
          <w:sz w:val="28"/>
          <w:szCs w:val="28"/>
          <w:lang w:val="x-none"/>
        </w:rPr>
        <w:t>三</w:t>
      </w:r>
      <w:r w:rsidRPr="001B6E4D">
        <w:rPr>
          <w:rFonts w:ascii="標楷體" w:eastAsia="標楷體" w:hAnsi="標楷體"/>
          <w:spacing w:val="-6"/>
          <w:kern w:val="0"/>
          <w:sz w:val="28"/>
          <w:szCs w:val="28"/>
          <w:lang w:val="x-none" w:eastAsia="x-none"/>
        </w:rPr>
        <w:t>）上午</w:t>
      </w:r>
      <w:r w:rsidRPr="001B6E4D">
        <w:rPr>
          <w:rFonts w:ascii="標楷體" w:eastAsia="標楷體" w:hAnsi="標楷體" w:hint="eastAsia"/>
          <w:spacing w:val="-6"/>
          <w:kern w:val="0"/>
          <w:sz w:val="28"/>
          <w:szCs w:val="28"/>
          <w:lang w:val="x-none"/>
        </w:rPr>
        <w:t>9</w:t>
      </w:r>
      <w:r w:rsidRPr="001B6E4D">
        <w:rPr>
          <w:rFonts w:ascii="標楷體" w:eastAsia="標楷體" w:hAnsi="標楷體"/>
          <w:spacing w:val="-6"/>
          <w:kern w:val="0"/>
          <w:sz w:val="28"/>
          <w:szCs w:val="28"/>
          <w:lang w:val="x-none" w:eastAsia="x-none"/>
        </w:rPr>
        <w:t>時至</w:t>
      </w:r>
      <w:r w:rsidRPr="001B6E4D">
        <w:rPr>
          <w:rFonts w:ascii="標楷體" w:eastAsia="標楷體" w:hAnsi="標楷體"/>
          <w:spacing w:val="-6"/>
          <w:kern w:val="0"/>
          <w:sz w:val="28"/>
          <w:szCs w:val="28"/>
          <w:lang w:val="x-none"/>
        </w:rPr>
        <w:t>12</w:t>
      </w:r>
      <w:r w:rsidRPr="001B6E4D">
        <w:rPr>
          <w:rFonts w:ascii="標楷體" w:eastAsia="標楷體" w:hAnsi="標楷體"/>
          <w:spacing w:val="-6"/>
          <w:kern w:val="0"/>
          <w:sz w:val="28"/>
          <w:szCs w:val="28"/>
          <w:lang w:val="x-none" w:eastAsia="x-none"/>
        </w:rPr>
        <w:t>時</w:t>
      </w:r>
      <w:r w:rsidRPr="001B6E4D">
        <w:rPr>
          <w:rFonts w:ascii="標楷體" w:eastAsia="標楷體" w:hAnsi="標楷體"/>
          <w:spacing w:val="-6"/>
          <w:kern w:val="0"/>
          <w:sz w:val="28"/>
          <w:szCs w:val="28"/>
          <w:lang w:val="x-none"/>
        </w:rPr>
        <w:t>7</w:t>
      </w:r>
      <w:r w:rsidRPr="001B6E4D">
        <w:rPr>
          <w:rFonts w:ascii="標楷體" w:eastAsia="標楷體" w:hAnsi="標楷體" w:hint="eastAsia"/>
          <w:spacing w:val="-6"/>
          <w:kern w:val="0"/>
          <w:sz w:val="28"/>
          <w:szCs w:val="28"/>
          <w:lang w:val="x-none" w:eastAsia="x-none"/>
        </w:rPr>
        <w:t>分</w:t>
      </w:r>
    </w:p>
    <w:p w14:paraId="339A2E82" w14:textId="68EF23FF" w:rsidR="00894241" w:rsidRPr="001B6E4D" w:rsidRDefault="00F76196" w:rsidP="003D1018">
      <w:pPr>
        <w:overflowPunct w:val="0"/>
        <w:adjustRightInd w:val="0"/>
        <w:snapToGrid w:val="0"/>
        <w:spacing w:line="360" w:lineRule="exact"/>
        <w:ind w:leftChars="1" w:left="1369" w:hangingChars="510" w:hanging="1367"/>
        <w:rPr>
          <w:rFonts w:ascii="標楷體" w:eastAsia="標楷體" w:hAnsi="標楷體"/>
          <w:spacing w:val="-10"/>
          <w:kern w:val="0"/>
          <w:sz w:val="28"/>
          <w:szCs w:val="28"/>
        </w:rPr>
      </w:pPr>
      <w:r w:rsidRPr="001B6E4D">
        <w:rPr>
          <w:rFonts w:ascii="標楷體" w:eastAsia="標楷體" w:hAnsi="標楷體" w:hint="eastAsia"/>
          <w:spacing w:val="-6"/>
          <w:kern w:val="0"/>
          <w:sz w:val="28"/>
          <w:szCs w:val="28"/>
          <w:lang w:val="x-none"/>
        </w:rPr>
        <w:t xml:space="preserve">           </w:t>
      </w:r>
      <w:r w:rsidR="00894241" w:rsidRPr="001B6E4D">
        <w:rPr>
          <w:rFonts w:ascii="標楷體" w:eastAsia="標楷體" w:hAnsi="標楷體" w:hint="eastAsia"/>
          <w:spacing w:val="-6"/>
          <w:kern w:val="0"/>
          <w:sz w:val="28"/>
          <w:szCs w:val="28"/>
          <w:lang w:val="x-none" w:eastAsia="x-none"/>
        </w:rPr>
        <w:t>；</w:t>
      </w:r>
      <w:r w:rsidR="00894241" w:rsidRPr="001B6E4D">
        <w:rPr>
          <w:rFonts w:ascii="標楷體" w:eastAsia="標楷體" w:hAnsi="標楷體" w:hint="eastAsia"/>
          <w:spacing w:val="-6"/>
          <w:kern w:val="0"/>
          <w:sz w:val="28"/>
          <w:szCs w:val="28"/>
          <w:lang w:val="x-none"/>
        </w:rPr>
        <w:t>6</w:t>
      </w:r>
      <w:r w:rsidR="00894241" w:rsidRPr="001B6E4D">
        <w:rPr>
          <w:rFonts w:ascii="標楷體" w:eastAsia="標楷體" w:hAnsi="標楷體" w:hint="eastAsia"/>
          <w:spacing w:val="-6"/>
          <w:kern w:val="0"/>
          <w:sz w:val="28"/>
          <w:szCs w:val="28"/>
          <w:lang w:val="x-none" w:eastAsia="x-none"/>
        </w:rPr>
        <w:t>月</w:t>
      </w:r>
      <w:r w:rsidR="00894241" w:rsidRPr="001B6E4D">
        <w:rPr>
          <w:rFonts w:ascii="標楷體" w:eastAsia="標楷體" w:hAnsi="標楷體" w:hint="eastAsia"/>
          <w:spacing w:val="-6"/>
          <w:kern w:val="0"/>
          <w:sz w:val="28"/>
          <w:szCs w:val="28"/>
          <w:lang w:val="x-none"/>
        </w:rPr>
        <w:t>11</w:t>
      </w:r>
      <w:r w:rsidR="00894241" w:rsidRPr="001B6E4D">
        <w:rPr>
          <w:rFonts w:ascii="標楷體" w:eastAsia="標楷體" w:hAnsi="標楷體" w:hint="eastAsia"/>
          <w:spacing w:val="-6"/>
          <w:kern w:val="0"/>
          <w:sz w:val="28"/>
          <w:szCs w:val="28"/>
          <w:lang w:val="x-none" w:eastAsia="x-none"/>
        </w:rPr>
        <w:t>日（星期</w:t>
      </w:r>
      <w:r w:rsidR="00894241" w:rsidRPr="001B6E4D">
        <w:rPr>
          <w:rFonts w:ascii="標楷體" w:eastAsia="標楷體" w:hAnsi="標楷體" w:hint="eastAsia"/>
          <w:spacing w:val="-6"/>
          <w:kern w:val="0"/>
          <w:sz w:val="28"/>
          <w:szCs w:val="28"/>
          <w:lang w:val="x-none"/>
        </w:rPr>
        <w:t>四</w:t>
      </w:r>
      <w:r w:rsidR="00894241" w:rsidRPr="001B6E4D">
        <w:rPr>
          <w:rFonts w:ascii="標楷體" w:eastAsia="標楷體" w:hAnsi="標楷體" w:hint="eastAsia"/>
          <w:spacing w:val="-6"/>
          <w:kern w:val="0"/>
          <w:sz w:val="28"/>
          <w:szCs w:val="28"/>
          <w:lang w:val="x-none" w:eastAsia="x-none"/>
        </w:rPr>
        <w:t>）上午9時</w:t>
      </w:r>
      <w:r w:rsidR="00894241" w:rsidRPr="001B6E4D">
        <w:rPr>
          <w:rFonts w:ascii="標楷體" w:eastAsia="標楷體" w:hAnsi="標楷體" w:hint="eastAsia"/>
          <w:spacing w:val="-6"/>
          <w:kern w:val="0"/>
          <w:sz w:val="28"/>
          <w:szCs w:val="28"/>
          <w:lang w:val="x-none"/>
        </w:rPr>
        <w:t>1分</w:t>
      </w:r>
      <w:r w:rsidR="00894241" w:rsidRPr="001B6E4D">
        <w:rPr>
          <w:rFonts w:ascii="標楷體" w:eastAsia="標楷體" w:hAnsi="標楷體" w:hint="eastAsia"/>
          <w:spacing w:val="-6"/>
          <w:kern w:val="0"/>
          <w:sz w:val="28"/>
          <w:szCs w:val="28"/>
          <w:lang w:val="x-none" w:eastAsia="x-none"/>
        </w:rPr>
        <w:t>至</w:t>
      </w:r>
      <w:r w:rsidR="00894241" w:rsidRPr="001B6E4D">
        <w:rPr>
          <w:rFonts w:ascii="標楷體" w:eastAsia="標楷體" w:hAnsi="標楷體" w:hint="eastAsia"/>
          <w:spacing w:val="-6"/>
          <w:kern w:val="0"/>
          <w:sz w:val="28"/>
          <w:szCs w:val="28"/>
          <w:lang w:val="x-none"/>
        </w:rPr>
        <w:t>12時18分</w:t>
      </w:r>
      <w:r w:rsidR="00894241" w:rsidRPr="001B6E4D">
        <w:rPr>
          <w:rFonts w:ascii="標楷體" w:eastAsia="標楷體" w:hAnsi="標楷體" w:hint="eastAsia"/>
          <w:spacing w:val="-6"/>
          <w:kern w:val="0"/>
          <w:sz w:val="28"/>
          <w:szCs w:val="28"/>
          <w:lang w:val="x-none" w:eastAsia="x-none"/>
        </w:rPr>
        <w:t>、下午</w:t>
      </w:r>
      <w:r w:rsidR="00894241" w:rsidRPr="001B6E4D">
        <w:rPr>
          <w:rFonts w:ascii="標楷體" w:eastAsia="標楷體" w:hAnsi="標楷體" w:hint="eastAsia"/>
          <w:spacing w:val="-6"/>
          <w:kern w:val="0"/>
          <w:sz w:val="28"/>
          <w:szCs w:val="28"/>
          <w:lang w:val="x-none"/>
        </w:rPr>
        <w:t>1</w:t>
      </w:r>
      <w:r w:rsidR="00894241" w:rsidRPr="001B6E4D">
        <w:rPr>
          <w:rFonts w:ascii="標楷體" w:eastAsia="標楷體" w:hAnsi="標楷體" w:hint="eastAsia"/>
          <w:spacing w:val="-6"/>
          <w:kern w:val="0"/>
          <w:sz w:val="28"/>
          <w:szCs w:val="28"/>
          <w:lang w:val="x-none" w:eastAsia="x-none"/>
        </w:rPr>
        <w:t>時3</w:t>
      </w:r>
      <w:r w:rsidR="00894241" w:rsidRPr="001B6E4D">
        <w:rPr>
          <w:rFonts w:ascii="標楷體" w:eastAsia="標楷體" w:hAnsi="標楷體" w:hint="eastAsia"/>
          <w:spacing w:val="-6"/>
          <w:kern w:val="0"/>
          <w:sz w:val="28"/>
          <w:szCs w:val="28"/>
          <w:lang w:val="x-none"/>
        </w:rPr>
        <w:t>0</w:t>
      </w:r>
      <w:r w:rsidR="00894241" w:rsidRPr="001B6E4D">
        <w:rPr>
          <w:rFonts w:ascii="標楷體" w:eastAsia="標楷體" w:hAnsi="標楷體" w:hint="eastAsia"/>
          <w:spacing w:val="-6"/>
          <w:kern w:val="0"/>
          <w:sz w:val="28"/>
          <w:szCs w:val="28"/>
          <w:lang w:val="x-none" w:eastAsia="x-none"/>
        </w:rPr>
        <w:t>分至</w:t>
      </w:r>
      <w:r w:rsidR="00894241" w:rsidRPr="001B6E4D">
        <w:rPr>
          <w:rFonts w:ascii="標楷體" w:eastAsia="標楷體" w:hAnsi="標楷體" w:hint="eastAsia"/>
          <w:spacing w:val="-6"/>
          <w:kern w:val="0"/>
          <w:sz w:val="28"/>
          <w:szCs w:val="28"/>
          <w:lang w:val="x-none"/>
        </w:rPr>
        <w:t>1</w:t>
      </w:r>
      <w:r w:rsidR="00894241" w:rsidRPr="001B6E4D">
        <w:rPr>
          <w:rFonts w:ascii="標楷體" w:eastAsia="標楷體" w:hAnsi="標楷體" w:hint="eastAsia"/>
          <w:spacing w:val="-6"/>
          <w:kern w:val="0"/>
          <w:sz w:val="28"/>
          <w:szCs w:val="28"/>
          <w:lang w:val="x-none" w:eastAsia="x-none"/>
        </w:rPr>
        <w:t>時</w:t>
      </w:r>
      <w:r w:rsidR="00894241" w:rsidRPr="001B6E4D">
        <w:rPr>
          <w:rFonts w:ascii="標楷體" w:eastAsia="標楷體" w:hAnsi="標楷體"/>
          <w:spacing w:val="-6"/>
          <w:kern w:val="0"/>
          <w:sz w:val="28"/>
          <w:szCs w:val="28"/>
          <w:lang w:val="x-none"/>
        </w:rPr>
        <w:t>33</w:t>
      </w:r>
      <w:r w:rsidR="00894241" w:rsidRPr="001B6E4D">
        <w:rPr>
          <w:rFonts w:ascii="標楷體" w:eastAsia="標楷體" w:hAnsi="標楷體" w:hint="eastAsia"/>
          <w:spacing w:val="-6"/>
          <w:kern w:val="0"/>
          <w:sz w:val="28"/>
          <w:szCs w:val="28"/>
          <w:lang w:val="x-none" w:eastAsia="x-none"/>
        </w:rPr>
        <w:t>分</w:t>
      </w:r>
    </w:p>
    <w:p w14:paraId="3CF71089" w14:textId="77777777" w:rsidR="00894241" w:rsidRPr="001B6E4D" w:rsidRDefault="00894241"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384120319"/>
          <w:lang w:val="x-none" w:eastAsia="x-none"/>
        </w:rPr>
        <w:t>地    點</w:t>
      </w:r>
      <w:r w:rsidRPr="001B6E4D">
        <w:rPr>
          <w:rFonts w:ascii="標楷體" w:eastAsia="標楷體" w:hAnsi="標楷體"/>
          <w:kern w:val="0"/>
          <w:sz w:val="28"/>
          <w:szCs w:val="28"/>
          <w:lang w:val="x-none" w:eastAsia="x-none"/>
        </w:rPr>
        <w:t>：本院紅樓302會議室</w:t>
      </w:r>
    </w:p>
    <w:p w14:paraId="6D423368"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林倩綺</w:t>
      </w:r>
      <w:r w:rsidRPr="001B6E4D">
        <w:rPr>
          <w:rFonts w:ascii="標楷體" w:eastAsia="標楷體" w:hAnsi="標楷體" w:hint="eastAsia"/>
          <w:sz w:val="28"/>
          <w:szCs w:val="28"/>
        </w:rPr>
        <w:tab/>
        <w:t>翁曉玲</w:t>
      </w:r>
      <w:r w:rsidRPr="001B6E4D">
        <w:rPr>
          <w:rFonts w:ascii="標楷體" w:eastAsia="標楷體" w:hAnsi="標楷體" w:hint="eastAsia"/>
          <w:sz w:val="28"/>
          <w:szCs w:val="28"/>
        </w:rPr>
        <w:tab/>
        <w:t>張雅琳</w:t>
      </w:r>
      <w:r w:rsidRPr="001B6E4D">
        <w:rPr>
          <w:rFonts w:ascii="標楷體" w:eastAsia="標楷體" w:hAnsi="標楷體" w:hint="eastAsia"/>
          <w:sz w:val="28"/>
          <w:szCs w:val="28"/>
        </w:rPr>
        <w:tab/>
        <w:t>莊瑞雄</w:t>
      </w:r>
      <w:r w:rsidRPr="001B6E4D">
        <w:rPr>
          <w:rFonts w:ascii="標楷體" w:eastAsia="標楷體" w:hAnsi="標楷體"/>
          <w:sz w:val="28"/>
          <w:szCs w:val="28"/>
        </w:rPr>
        <w:tab/>
      </w:r>
    </w:p>
    <w:p w14:paraId="1FBAFC3E"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t>蔡其昌</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傅崐萁</w:t>
      </w:r>
      <w:r w:rsidRPr="001B6E4D">
        <w:rPr>
          <w:rFonts w:ascii="標楷體" w:eastAsia="標楷體" w:hAnsi="標楷體"/>
          <w:sz w:val="28"/>
          <w:szCs w:val="28"/>
        </w:rPr>
        <w:tab/>
      </w:r>
      <w:r w:rsidRPr="001B6E4D">
        <w:rPr>
          <w:rFonts w:ascii="標楷體" w:eastAsia="標楷體" w:hAnsi="標楷體" w:hint="eastAsia"/>
          <w:sz w:val="28"/>
          <w:szCs w:val="28"/>
        </w:rPr>
        <w:t>柯建銘</w:t>
      </w:r>
      <w:r w:rsidRPr="001B6E4D">
        <w:rPr>
          <w:rFonts w:ascii="標楷體" w:eastAsia="標楷體" w:hAnsi="標楷體" w:hint="eastAsia"/>
          <w:sz w:val="28"/>
          <w:szCs w:val="28"/>
        </w:rPr>
        <w:tab/>
      </w:r>
    </w:p>
    <w:p w14:paraId="636B99E2"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13</w:t>
      </w:r>
      <w:r w:rsidRPr="001B6E4D">
        <w:rPr>
          <w:rFonts w:ascii="標楷體" w:eastAsia="標楷體" w:hAnsi="標楷體"/>
          <w:sz w:val="28"/>
          <w:szCs w:val="28"/>
        </w:rPr>
        <w:t>人</w:t>
      </w:r>
    </w:p>
    <w:p w14:paraId="31FB5842"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賴士葆</w:t>
      </w:r>
      <w:r w:rsidRPr="001B6E4D">
        <w:rPr>
          <w:rFonts w:ascii="標楷體" w:eastAsia="標楷體" w:hAnsi="標楷體"/>
          <w:sz w:val="28"/>
          <w:szCs w:val="28"/>
        </w:rPr>
        <w:tab/>
      </w:r>
      <w:r w:rsidRPr="001B6E4D">
        <w:rPr>
          <w:rFonts w:ascii="標楷體" w:eastAsia="標楷體" w:hAnsi="標楷體" w:hint="eastAsia"/>
          <w:sz w:val="28"/>
          <w:szCs w:val="28"/>
        </w:rPr>
        <w:t>蘇清泉</w:t>
      </w:r>
      <w:r w:rsidRPr="001B6E4D">
        <w:rPr>
          <w:rFonts w:ascii="標楷體" w:eastAsia="標楷體" w:hAnsi="標楷體"/>
          <w:sz w:val="28"/>
          <w:szCs w:val="28"/>
        </w:rPr>
        <w:tab/>
      </w:r>
      <w:r w:rsidRPr="001B6E4D">
        <w:rPr>
          <w:rFonts w:ascii="標楷體" w:eastAsia="標楷體" w:hAnsi="標楷體" w:hint="eastAsia"/>
          <w:spacing w:val="-26"/>
          <w:sz w:val="28"/>
          <w:szCs w:val="28"/>
        </w:rPr>
        <w:t>鄭天財</w:t>
      </w:r>
      <w:proofErr w:type="spellStart"/>
      <w:r w:rsidRPr="001B6E4D">
        <w:rPr>
          <w:rFonts w:ascii="標楷體" w:eastAsia="標楷體" w:hAnsi="標楷體" w:hint="eastAsia"/>
          <w:spacing w:val="-26"/>
          <w:sz w:val="28"/>
          <w:szCs w:val="28"/>
        </w:rPr>
        <w:t>Sra</w:t>
      </w:r>
      <w:proofErr w:type="spellEnd"/>
      <w:r w:rsidRPr="001B6E4D">
        <w:rPr>
          <w:rFonts w:ascii="標楷體" w:eastAsia="標楷體" w:hAnsi="標楷體" w:hint="eastAsia"/>
          <w:spacing w:val="-26"/>
          <w:sz w:val="28"/>
          <w:szCs w:val="28"/>
        </w:rPr>
        <w:t xml:space="preserve"> </w:t>
      </w:r>
      <w:proofErr w:type="spellStart"/>
      <w:r w:rsidRPr="001B6E4D">
        <w:rPr>
          <w:rFonts w:ascii="標楷體" w:eastAsia="標楷體" w:hAnsi="標楷體" w:hint="eastAsia"/>
          <w:spacing w:val="-26"/>
          <w:sz w:val="28"/>
          <w:szCs w:val="28"/>
        </w:rPr>
        <w:t>Kacaw</w:t>
      </w:r>
      <w:proofErr w:type="spellEnd"/>
      <w:r w:rsidRPr="001B6E4D">
        <w:rPr>
          <w:rFonts w:ascii="標楷體" w:eastAsia="標楷體" w:hAnsi="標楷體" w:hint="eastAsia"/>
          <w:sz w:val="28"/>
          <w:szCs w:val="28"/>
        </w:rPr>
        <w:tab/>
        <w:t>葉元之</w:t>
      </w:r>
      <w:r w:rsidRPr="001B6E4D">
        <w:rPr>
          <w:rFonts w:ascii="標楷體" w:eastAsia="標楷體" w:hAnsi="標楷體" w:hint="eastAsia"/>
          <w:sz w:val="28"/>
          <w:szCs w:val="28"/>
        </w:rPr>
        <w:tab/>
        <w:t>王正旭</w:t>
      </w:r>
      <w:r w:rsidRPr="001B6E4D">
        <w:rPr>
          <w:rFonts w:ascii="標楷體" w:eastAsia="標楷體" w:hAnsi="標楷體"/>
          <w:sz w:val="28"/>
          <w:szCs w:val="28"/>
        </w:rPr>
        <w:tab/>
      </w:r>
      <w:r w:rsidRPr="001B6E4D">
        <w:rPr>
          <w:rFonts w:ascii="標楷體" w:eastAsia="標楷體" w:hAnsi="標楷體" w:hint="eastAsia"/>
          <w:sz w:val="28"/>
          <w:szCs w:val="28"/>
        </w:rPr>
        <w:t>林月琴</w:t>
      </w:r>
      <w:r w:rsidRPr="001B6E4D">
        <w:rPr>
          <w:rFonts w:ascii="標楷體" w:eastAsia="標楷體" w:hAnsi="標楷體"/>
          <w:sz w:val="28"/>
          <w:szCs w:val="28"/>
        </w:rPr>
        <w:tab/>
      </w:r>
    </w:p>
    <w:p w14:paraId="127597B3"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陳清龍</w:t>
      </w:r>
      <w:r w:rsidRPr="001B6E4D">
        <w:rPr>
          <w:rFonts w:ascii="標楷體" w:eastAsia="標楷體" w:hAnsi="標楷體"/>
          <w:sz w:val="28"/>
          <w:szCs w:val="28"/>
        </w:rPr>
        <w:tab/>
      </w:r>
      <w:r w:rsidRPr="001B6E4D">
        <w:rPr>
          <w:rFonts w:ascii="標楷體" w:eastAsia="標楷體" w:hAnsi="標楷體" w:hint="eastAsia"/>
          <w:sz w:val="28"/>
          <w:szCs w:val="28"/>
        </w:rPr>
        <w:t>邱慧</w:t>
      </w:r>
      <w:proofErr w:type="gramStart"/>
      <w:r w:rsidRPr="001B6E4D">
        <w:rPr>
          <w:rFonts w:ascii="標楷體" w:eastAsia="標楷體" w:hAnsi="標楷體" w:hint="eastAsia"/>
          <w:sz w:val="28"/>
          <w:szCs w:val="28"/>
        </w:rPr>
        <w:t>洳</w:t>
      </w:r>
      <w:proofErr w:type="gramEnd"/>
    </w:p>
    <w:p w14:paraId="44495896"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8</w:t>
      </w:r>
      <w:r w:rsidRPr="001B6E4D">
        <w:rPr>
          <w:rFonts w:ascii="標楷體" w:eastAsia="標楷體" w:hAnsi="標楷體"/>
          <w:sz w:val="28"/>
          <w:szCs w:val="28"/>
        </w:rPr>
        <w:t>人</w:t>
      </w:r>
    </w:p>
    <w:p w14:paraId="4CD852ED" w14:textId="77777777" w:rsidR="00894241" w:rsidRPr="001B6E4D" w:rsidRDefault="00894241"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b/>
          <w:kern w:val="0"/>
          <w:sz w:val="28"/>
          <w:szCs w:val="28"/>
        </w:rPr>
        <w:t>6</w:t>
      </w:r>
      <w:r w:rsidRPr="001B6E4D">
        <w:rPr>
          <w:rFonts w:ascii="標楷體" w:eastAsia="標楷體" w:hAnsi="標楷體" w:hint="eastAsia"/>
          <w:b/>
          <w:bCs/>
          <w:kern w:val="0"/>
          <w:sz w:val="28"/>
          <w:szCs w:val="28"/>
        </w:rPr>
        <w:t>月10日（星期三）</w:t>
      </w:r>
    </w:p>
    <w:p w14:paraId="21F21F2C"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行政院人事行政總處政務副人事長　張秋元</w:t>
      </w:r>
    </w:p>
    <w:p w14:paraId="60A2A2FD"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銓敘部</w:t>
      </w:r>
      <w:proofErr w:type="gramStart"/>
      <w:r w:rsidRPr="001B6E4D">
        <w:rPr>
          <w:rFonts w:ascii="標楷體" w:eastAsia="標楷體" w:hAnsi="標楷體" w:hint="eastAsia"/>
          <w:kern w:val="0"/>
          <w:sz w:val="28"/>
          <w:szCs w:val="28"/>
        </w:rPr>
        <w:t>銓</w:t>
      </w:r>
      <w:proofErr w:type="gramEnd"/>
      <w:r w:rsidRPr="001B6E4D">
        <w:rPr>
          <w:rFonts w:ascii="標楷體" w:eastAsia="標楷體" w:hAnsi="標楷體" w:hint="eastAsia"/>
          <w:kern w:val="0"/>
          <w:sz w:val="28"/>
          <w:szCs w:val="28"/>
        </w:rPr>
        <w:t>審司司長　彭國華</w:t>
      </w:r>
    </w:p>
    <w:p w14:paraId="5A53B31A"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國防部資源規劃司人力資源處處長　呂正芳</w:t>
      </w:r>
    </w:p>
    <w:p w14:paraId="580ADB90"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教育部人事處處長　林建璋</w:t>
      </w:r>
    </w:p>
    <w:p w14:paraId="33960B77"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財政部國庫署財務規劃組專門委員　羅瑞宏</w:t>
      </w:r>
    </w:p>
    <w:p w14:paraId="1E429A24"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勞動部勞動條件及就業</w:t>
      </w:r>
      <w:proofErr w:type="gramStart"/>
      <w:r w:rsidRPr="001B6E4D">
        <w:rPr>
          <w:rFonts w:ascii="標楷體" w:eastAsia="標楷體" w:hAnsi="標楷體" w:hint="eastAsia"/>
          <w:kern w:val="0"/>
          <w:sz w:val="28"/>
          <w:szCs w:val="28"/>
        </w:rPr>
        <w:t>平等司</w:t>
      </w:r>
      <w:proofErr w:type="gramEnd"/>
      <w:r w:rsidRPr="001B6E4D">
        <w:rPr>
          <w:rFonts w:ascii="標楷體" w:eastAsia="標楷體" w:hAnsi="標楷體" w:hint="eastAsia"/>
          <w:kern w:val="0"/>
          <w:sz w:val="28"/>
          <w:szCs w:val="28"/>
        </w:rPr>
        <w:t>專門委員　李怡萱</w:t>
      </w:r>
    </w:p>
    <w:p w14:paraId="7C201C9C"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國家發展委員會人力發展處簡任秘書　張雅玲</w:t>
      </w:r>
    </w:p>
    <w:p w14:paraId="76F67C16"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行政院主計總處</w:t>
      </w:r>
      <w:r w:rsidRPr="001B6E4D">
        <w:rPr>
          <w:rFonts w:ascii="標楷體" w:eastAsia="標楷體" w:hAnsi="標楷體" w:hint="eastAsia"/>
          <w:kern w:val="0"/>
          <w:sz w:val="28"/>
          <w:szCs w:val="28"/>
        </w:rPr>
        <w:tab/>
        <w:t>公務預算處簡任視察　嚴</w:t>
      </w:r>
      <w:proofErr w:type="gramStart"/>
      <w:r w:rsidRPr="001B6E4D">
        <w:rPr>
          <w:rFonts w:ascii="標楷體" w:eastAsia="標楷體" w:hAnsi="標楷體" w:hint="eastAsia"/>
          <w:kern w:val="0"/>
          <w:sz w:val="28"/>
          <w:szCs w:val="28"/>
        </w:rPr>
        <w:t>于</w:t>
      </w:r>
      <w:proofErr w:type="gramEnd"/>
      <w:r w:rsidRPr="001B6E4D">
        <w:rPr>
          <w:rFonts w:ascii="標楷體" w:eastAsia="標楷體" w:hAnsi="標楷體" w:hint="eastAsia"/>
          <w:kern w:val="0"/>
          <w:sz w:val="28"/>
          <w:szCs w:val="28"/>
        </w:rPr>
        <w:t>屏</w:t>
      </w:r>
    </w:p>
    <w:p w14:paraId="69035C17" w14:textId="77777777" w:rsidR="00894241" w:rsidRPr="001B6E4D" w:rsidRDefault="00894241" w:rsidP="003D1018">
      <w:pPr>
        <w:widowControl w:val="0"/>
        <w:overflowPunct w:val="0"/>
        <w:adjustRightInd w:val="0"/>
        <w:snapToGrid w:val="0"/>
        <w:spacing w:line="370" w:lineRule="exact"/>
        <w:ind w:leftChars="584" w:left="2803" w:hangingChars="500" w:hanging="1401"/>
        <w:jc w:val="both"/>
        <w:rPr>
          <w:rFonts w:ascii="標楷體" w:eastAsia="標楷體" w:hAnsi="標楷體" w:cs="標楷體"/>
          <w:b/>
          <w:kern w:val="0"/>
          <w:sz w:val="28"/>
          <w:szCs w:val="28"/>
        </w:rPr>
      </w:pPr>
      <w:r w:rsidRPr="001B6E4D">
        <w:rPr>
          <w:rFonts w:ascii="標楷體" w:eastAsia="標楷體" w:hAnsi="標楷體" w:cs="標楷體" w:hint="eastAsia"/>
          <w:b/>
          <w:kern w:val="0"/>
          <w:sz w:val="28"/>
          <w:szCs w:val="28"/>
        </w:rPr>
        <w:t>6月11日（星期四）</w:t>
      </w:r>
    </w:p>
    <w:p w14:paraId="40F0C130"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司法院秘書長　高金枝</w:t>
      </w:r>
    </w:p>
    <w:p w14:paraId="6F301850"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法務部政務次長　黃謀信(部長請假)</w:t>
      </w:r>
    </w:p>
    <w:p w14:paraId="2321B903"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國防部法律事務司軍法事務處副處長　胡耀仁</w:t>
      </w:r>
    </w:p>
    <w:p w14:paraId="5FC37CFB"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衛生福利部保護服務司副司長　張靜倫</w:t>
      </w:r>
    </w:p>
    <w:p w14:paraId="699EA1AB"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內政部警政署防治組警監督察　</w:t>
      </w:r>
      <w:proofErr w:type="gramStart"/>
      <w:r w:rsidRPr="001B6E4D">
        <w:rPr>
          <w:rFonts w:ascii="標楷體" w:eastAsia="標楷體" w:hAnsi="標楷體" w:hint="eastAsia"/>
          <w:kern w:val="0"/>
          <w:sz w:val="28"/>
          <w:szCs w:val="28"/>
        </w:rPr>
        <w:t>朱倉慶</w:t>
      </w:r>
      <w:proofErr w:type="gramEnd"/>
    </w:p>
    <w:p w14:paraId="05ACF9F6"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海洋委員會海巡署情報組參議　黃永璋</w:t>
      </w:r>
    </w:p>
    <w:p w14:paraId="57FE07DD" w14:textId="77777777" w:rsidR="00894241" w:rsidRPr="001B6E4D" w:rsidRDefault="00894241"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47809DA6"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2C2CC684"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4CC88E4B" w14:textId="77777777" w:rsidR="00894241" w:rsidRPr="001B6E4D" w:rsidRDefault="00894241"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4507B301"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536B0C72"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4CC95E82"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643B8D0C" w14:textId="77777777" w:rsidR="00894241" w:rsidRPr="001B6E4D" w:rsidRDefault="00894241" w:rsidP="003D1018">
      <w:pPr>
        <w:widowControl w:val="0"/>
        <w:overflowPunct w:val="0"/>
        <w:adjustRightInd w:val="0"/>
        <w:snapToGrid w:val="0"/>
        <w:spacing w:beforeLines="30" w:before="108" w:line="360" w:lineRule="exact"/>
        <w:ind w:left="959" w:hangingChars="342" w:hanging="959"/>
        <w:jc w:val="both"/>
        <w:rPr>
          <w:rFonts w:ascii="標楷體" w:eastAsia="標楷體" w:hAnsi="標楷體"/>
          <w:b/>
          <w:kern w:val="0"/>
          <w:sz w:val="28"/>
          <w:szCs w:val="28"/>
        </w:rPr>
      </w:pPr>
      <w:r w:rsidRPr="001B6E4D">
        <w:rPr>
          <w:rFonts w:ascii="標楷體" w:eastAsia="標楷體" w:hAnsi="標楷體" w:hint="eastAsia"/>
          <w:b/>
          <w:kern w:val="0"/>
          <w:sz w:val="28"/>
          <w:szCs w:val="28"/>
        </w:rPr>
        <w:t>6月10日（星期三）</w:t>
      </w:r>
    </w:p>
    <w:p w14:paraId="5B9EEDCF" w14:textId="77777777" w:rsidR="00894241" w:rsidRPr="001B6E4D" w:rsidRDefault="00894241" w:rsidP="003D1018">
      <w:pPr>
        <w:widowControl w:val="0"/>
        <w:overflowPunct w:val="0"/>
        <w:adjustRightInd w:val="0"/>
        <w:snapToGrid w:val="0"/>
        <w:spacing w:beforeLines="30" w:before="108"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7B15FFFA"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一、</w:t>
      </w:r>
      <w:r w:rsidRPr="001B6E4D">
        <w:rPr>
          <w:rFonts w:ascii="標楷體" w:eastAsia="標楷體" w:hAnsi="標楷體"/>
          <w:sz w:val="28"/>
          <w:szCs w:val="28"/>
        </w:rPr>
        <w:t>宣讀上次會議議事錄。</w:t>
      </w:r>
    </w:p>
    <w:p w14:paraId="160A1B99" w14:textId="77777777" w:rsidR="00894241" w:rsidRPr="001B6E4D" w:rsidRDefault="00894241" w:rsidP="003D1018">
      <w:pPr>
        <w:widowControl w:val="0"/>
        <w:overflowPunct w:val="0"/>
        <w:adjustRightInd w:val="0"/>
        <w:snapToGrid w:val="0"/>
        <w:spacing w:line="360" w:lineRule="exact"/>
        <w:ind w:left="840" w:hangingChars="300" w:hanging="840"/>
        <w:jc w:val="both"/>
        <w:rPr>
          <w:rFonts w:ascii="標楷體" w:eastAsia="標楷體" w:hAnsi="標楷體"/>
          <w:kern w:val="0"/>
          <w:sz w:val="28"/>
          <w:szCs w:val="28"/>
        </w:rPr>
      </w:pPr>
      <w:r w:rsidRPr="001B6E4D">
        <w:rPr>
          <w:rFonts w:ascii="標楷體" w:eastAsia="標楷體" w:hAnsi="標楷體"/>
          <w:kern w:val="0"/>
          <w:sz w:val="28"/>
          <w:szCs w:val="28"/>
        </w:rPr>
        <w:t>決定：確定。</w:t>
      </w:r>
    </w:p>
    <w:p w14:paraId="1CD18723" w14:textId="77777777" w:rsidR="00894241" w:rsidRPr="001B6E4D" w:rsidRDefault="00894241"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lang w:val="x-none" w:eastAsia="x-none"/>
        </w:rPr>
      </w:pPr>
      <w:r w:rsidRPr="001B6E4D">
        <w:rPr>
          <w:rFonts w:ascii="標楷體" w:eastAsia="標楷體" w:hAnsi="標楷體"/>
          <w:b/>
          <w:kern w:val="0"/>
          <w:sz w:val="28"/>
          <w:szCs w:val="28"/>
          <w:lang w:val="x-none"/>
        </w:rPr>
        <w:lastRenderedPageBreak/>
        <w:t>討論事項</w:t>
      </w:r>
    </w:p>
    <w:p w14:paraId="2D3A194A" w14:textId="77777777" w:rsidR="00894241" w:rsidRPr="001B6E4D" w:rsidRDefault="00894241" w:rsidP="003D1018">
      <w:pPr>
        <w:widowControl w:val="0"/>
        <w:overflowPunct w:val="0"/>
        <w:adjustRightInd w:val="0"/>
        <w:snapToGrid w:val="0"/>
        <w:spacing w:line="400" w:lineRule="exact"/>
        <w:ind w:leftChars="-1" w:left="558" w:hangingChars="200" w:hanging="560"/>
        <w:jc w:val="both"/>
        <w:rPr>
          <w:rFonts w:ascii="標楷體" w:eastAsia="標楷體" w:hAnsi="標楷體"/>
          <w:sz w:val="28"/>
          <w:szCs w:val="28"/>
        </w:rPr>
      </w:pPr>
      <w:proofErr w:type="gramStart"/>
      <w:r w:rsidRPr="001B6E4D">
        <w:rPr>
          <w:rFonts w:ascii="標楷體" w:eastAsia="標楷體" w:hAnsi="標楷體" w:hint="eastAsia"/>
          <w:kern w:val="0"/>
          <w:sz w:val="28"/>
          <w:szCs w:val="28"/>
        </w:rPr>
        <w:t>併</w:t>
      </w:r>
      <w:proofErr w:type="gramEnd"/>
      <w:r w:rsidRPr="001B6E4D">
        <w:rPr>
          <w:rFonts w:ascii="標楷體" w:eastAsia="標楷體" w:hAnsi="標楷體" w:hint="eastAsia"/>
          <w:kern w:val="0"/>
          <w:sz w:val="28"/>
          <w:szCs w:val="28"/>
        </w:rPr>
        <w:t>案</w:t>
      </w:r>
      <w:r w:rsidRPr="001B6E4D">
        <w:rPr>
          <w:rFonts w:ascii="標楷體" w:eastAsia="標楷體" w:hAnsi="標楷體" w:hint="eastAsia"/>
          <w:sz w:val="28"/>
          <w:szCs w:val="28"/>
        </w:rPr>
        <w:t>審查</w:t>
      </w:r>
    </w:p>
    <w:p w14:paraId="28E901F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（一）台灣民眾黨黨團擬具「軍公教人員待遇調整條例草案」案。</w:t>
      </w:r>
    </w:p>
    <w:p w14:paraId="0DFDA25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（二）委員翁曉玲等16人擬具「軍公教人員待遇調整條例草案」案。</w:t>
      </w:r>
    </w:p>
    <w:p w14:paraId="5649F198"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日會議有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陳昭姿、吳宗憲、林沛祥、林倩綺、翁曉玲、張雅琳、莊瑞雄、賴士葆、許宇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雲、葉元之</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；委員蔡其昌、沈發惠、傅崐萁提出書面質詢。</w:t>
      </w:r>
      <w:r w:rsidRPr="001B6E4D">
        <w:rPr>
          <w:rFonts w:ascii="標楷體" w:eastAsia="標楷體" w:hAnsi="標楷體"/>
          <w:sz w:val="28"/>
          <w:szCs w:val="28"/>
        </w:rPr>
        <w:t>）</w:t>
      </w:r>
    </w:p>
    <w:p w14:paraId="6DC63613" w14:textId="77777777" w:rsidR="00894241" w:rsidRPr="001B6E4D" w:rsidRDefault="00894241"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68155948"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w:t>
      </w: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答完畢，另定期繼續審查。</w:t>
      </w:r>
    </w:p>
    <w:p w14:paraId="160F0C08"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5A4D3F75" w14:textId="77777777" w:rsidR="00894241" w:rsidRPr="001B6E4D" w:rsidRDefault="00894241" w:rsidP="003D1018">
      <w:pPr>
        <w:widowControl w:val="0"/>
        <w:overflowPunct w:val="0"/>
        <w:adjustRightInd w:val="0"/>
        <w:snapToGrid w:val="0"/>
        <w:spacing w:beforeLines="30" w:before="108" w:line="360" w:lineRule="exact"/>
        <w:ind w:left="959" w:hangingChars="342" w:hanging="959"/>
        <w:jc w:val="both"/>
        <w:rPr>
          <w:rFonts w:ascii="標楷體" w:eastAsia="標楷體" w:hAnsi="標楷體"/>
          <w:b/>
          <w:kern w:val="0"/>
          <w:sz w:val="28"/>
          <w:szCs w:val="28"/>
        </w:rPr>
      </w:pPr>
      <w:r w:rsidRPr="001B6E4D">
        <w:rPr>
          <w:rFonts w:ascii="標楷體" w:eastAsia="標楷體" w:hAnsi="標楷體" w:hint="eastAsia"/>
          <w:b/>
          <w:kern w:val="0"/>
          <w:sz w:val="28"/>
          <w:szCs w:val="28"/>
        </w:rPr>
        <w:t>6月11日（星期四）</w:t>
      </w:r>
    </w:p>
    <w:p w14:paraId="60886051" w14:textId="77777777" w:rsidR="00894241" w:rsidRPr="001B6E4D" w:rsidRDefault="00894241"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lang w:val="x-none" w:eastAsia="x-none"/>
        </w:rPr>
      </w:pPr>
      <w:r w:rsidRPr="001B6E4D">
        <w:rPr>
          <w:rFonts w:ascii="標楷體" w:eastAsia="標楷體" w:hAnsi="標楷體"/>
          <w:b/>
          <w:kern w:val="0"/>
          <w:sz w:val="28"/>
          <w:szCs w:val="28"/>
          <w:lang w:val="x-none"/>
        </w:rPr>
        <w:t>討論事項</w:t>
      </w:r>
    </w:p>
    <w:p w14:paraId="6AE3E415"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一、繼續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43B1DF9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（一）行政院、司法院函請審議「中華民國刑法第八十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9DC1F64"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（二）委員洪孟楷等21人擬具「中華民國刑法第八十三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CAD104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（三）委員王育敏等21人擬具「中華民國刑法增訂第八十條之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065547B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雲等22人擬具「中華民國刑法第八十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0ABD5A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（五）委員郭昱晴等16人擬具「中華民國刑法第八十三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B30095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（六）委員李昆澤等17人擬具「中華民國刑法第八十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CE20AE4"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（七）台灣民眾黨黨團擬具「中華民國刑法第八十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6C8BBF3"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（八）委員李坤城等21人擬具「中華民國刑法第八十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DDF1B24"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（九）委員張雅琳等18人擬具「中華民國刑法第八十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32100F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（十）委員黃捷等19人擬具「中華民國刑法第八十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42E786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（十一）委員</w:t>
      </w:r>
      <w:proofErr w:type="gramStart"/>
      <w:r w:rsidRPr="001B6E4D">
        <w:rPr>
          <w:rFonts w:ascii="標楷體" w:eastAsia="標楷體" w:hAnsi="標楷體" w:hint="eastAsia"/>
          <w:sz w:val="28"/>
          <w:szCs w:val="28"/>
        </w:rPr>
        <w:t>林楚茵等</w:t>
      </w:r>
      <w:proofErr w:type="gramEnd"/>
      <w:r w:rsidRPr="001B6E4D">
        <w:rPr>
          <w:rFonts w:ascii="標楷體" w:eastAsia="標楷體" w:hAnsi="標楷體" w:hint="eastAsia"/>
          <w:sz w:val="28"/>
          <w:szCs w:val="28"/>
        </w:rPr>
        <w:t>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5CE6A4E"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（十二）委員吳沛憶等17人擬具「中華民國刑法第八十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AD0FD1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（十三）委員林月琴等20人擬具「中華民國刑法第八十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E8B2604"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（十四）委員蔡其昌等17人擬具「中華民國刑法第八十三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B3E314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（十五）委員王美惠等18人擬具「中華民國刑法第八十三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BF4879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（十六）委員陳素月等19人擬具「中華民國刑法第八十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F02AB2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（十七）委員洪孟楷等17人擬具「中華民國刑法第八十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46D0EA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（十八）委員張宏陸等17人擬具「中華民國刑法第八十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6D8C0F7"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（十九）委員林倩綺等21人擬具「中華民國刑法第八十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46F8D8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（二十）委員吳思瑤等18人擬具「中華民國刑法第八十三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6959764"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（二十一）委員翁曉玲等17人擬具「中華民國刑法第八十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3DD89E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（二十二）委員伍麗華</w:t>
      </w:r>
      <w:proofErr w:type="spellStart"/>
      <w:r w:rsidRPr="001B6E4D">
        <w:rPr>
          <w:rFonts w:ascii="標楷體" w:eastAsia="標楷體" w:hAnsi="標楷體" w:hint="eastAsia"/>
          <w:sz w:val="28"/>
          <w:szCs w:val="28"/>
        </w:rPr>
        <w:t>Saidhai</w:t>
      </w:r>
      <w:proofErr w:type="spellEnd"/>
      <w:proofErr w:type="gramStart"/>
      <w:r w:rsidRPr="001B6E4D">
        <w:rPr>
          <w:rFonts w:ascii="標楷體" w:eastAsia="標楷體" w:hAnsi="標楷體" w:hint="eastAsia"/>
          <w:sz w:val="28"/>
          <w:szCs w:val="28"/>
        </w:rPr>
        <w:t>‧</w:t>
      </w:r>
      <w:proofErr w:type="spellStart"/>
      <w:proofErr w:type="gramEnd"/>
      <w:r w:rsidRPr="001B6E4D">
        <w:rPr>
          <w:rFonts w:ascii="標楷體" w:eastAsia="標楷體" w:hAnsi="標楷體" w:hint="eastAsia"/>
          <w:sz w:val="28"/>
          <w:szCs w:val="28"/>
        </w:rPr>
        <w:t>Tahovecahe</w:t>
      </w:r>
      <w:proofErr w:type="spellEnd"/>
      <w:r w:rsidRPr="001B6E4D">
        <w:rPr>
          <w:rFonts w:ascii="標楷體" w:eastAsia="標楷體" w:hAnsi="標楷體" w:hint="eastAsia"/>
          <w:sz w:val="28"/>
          <w:szCs w:val="28"/>
        </w:rPr>
        <w:t>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500540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（二十三）委員羅智強等19人擬具「中華民國刑法第八十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8A5A7ED"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（二十四）委員王鴻薇等18人擬具「中華民國刑法第八十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6281F3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（二十五）委員羅廷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等18人擬具「中華民國刑法第八十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C416A73"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（二十六）委員王正旭等18人擬具「中華民國刑法第八十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49D9AD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（二十七）委員林思銘等20人擬具「中華民國刑法第八十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D49F483"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（二十八）委員林宜瑾等19人擬具「中華民國刑法第八十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936073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（二十九）委員林俊憲等18人擬具「中華民國刑法第八十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8C01A67"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（三十）委員王美惠等17人擬具「中華民國刑法第八十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CC1D58E"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（三十一）委員徐巧芯等22人擬具「中華民國刑法第八十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32A974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（三十二）委員邱議瑩等16人擬具「中華民國刑法第八十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3F97D5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（三十三）委員何欣純等19人擬具「中華民國刑法第八十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5496B0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（三十四）委員張智倫等19人擬具「中華民國刑法第八十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C9D081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（三十五）委員許宇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等16人擬具「中華民國刑法第八十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F4C856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（三十六）委員羅美玲等17人擬具「中華民國刑法第八十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5A727A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（三十七）委員陳培瑜等18人擬具「中華民國刑法第八十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8A8D39C"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二、繼續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3FCAEC6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（一）行政院、司法院函請審議「中華民國刑法施行法第八條之二條文修正草案」案。</w:t>
      </w:r>
    </w:p>
    <w:p w14:paraId="66DAFD8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（二）委員黃捷等19人擬具「中華民國刑法施行法增訂第八條之三條文草案」案。</w:t>
      </w:r>
    </w:p>
    <w:p w14:paraId="7A3C4DD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w:t>
      </w:r>
      <w:proofErr w:type="gramStart"/>
      <w:r w:rsidRPr="001B6E4D">
        <w:rPr>
          <w:rFonts w:ascii="標楷體" w:eastAsia="標楷體" w:hAnsi="標楷體" w:hint="eastAsia"/>
          <w:sz w:val="28"/>
          <w:szCs w:val="28"/>
        </w:rPr>
        <w:t>林楚茵等</w:t>
      </w:r>
      <w:proofErr w:type="gramEnd"/>
      <w:r w:rsidRPr="001B6E4D">
        <w:rPr>
          <w:rFonts w:ascii="標楷體" w:eastAsia="標楷體" w:hAnsi="標楷體" w:hint="eastAsia"/>
          <w:sz w:val="28"/>
          <w:szCs w:val="28"/>
        </w:rPr>
        <w:t>16人擬具「中華民國刑法施行法第八條之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7684688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（四）委員吳沛憶等17人擬具「中華民國刑法施行法第八條之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50AC1C3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（五）委員林月琴等21人擬具「中華民國刑法施行法增訂第八條之三條文草案」案。</w:t>
      </w:r>
    </w:p>
    <w:p w14:paraId="75C3B4A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（六）委員蔡其昌等17人擬具「中華民國刑法施行法增訂第八條之三條文草案」案。</w:t>
      </w:r>
    </w:p>
    <w:p w14:paraId="6FF69E3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（七）委員王美惠等17人擬具「中華民國刑法施行法增訂第八條之三條文草案」案。</w:t>
      </w:r>
    </w:p>
    <w:p w14:paraId="631FC61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（八）委員陳素月等21人擬具「中華民國刑法施行法第八條之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54FF7024"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（九）委員林倩綺等21人擬具「中華民國刑法施行法第八條之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667E04B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（十）委員吳思瑤等18人擬具「中華民國刑法施行法增訂第八條之三條文草案」案。</w:t>
      </w:r>
    </w:p>
    <w:p w14:paraId="0B87F96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（十一）委員羅智強等19人擬具「中華民國刑法施行法增訂第八條之三條文草案」案。</w:t>
      </w:r>
    </w:p>
    <w:p w14:paraId="7A78009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（十二）委員李坤城等20人擬具「中華民國刑法施行法第八條之二條文修正草案」案。</w:t>
      </w:r>
    </w:p>
    <w:p w14:paraId="68BAA93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（十三）委員翁曉玲等27人擬具「中華民國刑法施行法第八條之二條文修正草案」案。</w:t>
      </w:r>
    </w:p>
    <w:p w14:paraId="5BF9BA0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（十四）委員王鴻薇等18人擬具「中華民國刑法施行法第八條之二條文修正草案」案。</w:t>
      </w:r>
    </w:p>
    <w:p w14:paraId="1661A63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（十五）委員王正旭等17人擬具「中華民國刑法施行法第八條之二條文修正草案」案。</w:t>
      </w:r>
    </w:p>
    <w:p w14:paraId="3B32240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（十六）委員林俊憲等18人擬具「中華民國刑法施行法第八條之二條文修正草案」案。</w:t>
      </w:r>
    </w:p>
    <w:p w14:paraId="0D9D2C83"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（十七）委員王美惠等17人擬具「中華民國刑法施行法第八條之二條文修正草案」案。</w:t>
      </w:r>
    </w:p>
    <w:p w14:paraId="61C15CC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（十八）委員何欣純等18人擬具「中華民國刑法施行法第八條之二條文修正草案」案。</w:t>
      </w:r>
    </w:p>
    <w:p w14:paraId="521036A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（十九）委員羅美玲等17人擬具「中華民國刑法施行法第八條之二條文修正草案」案。</w:t>
      </w:r>
    </w:p>
    <w:p w14:paraId="530E472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（二十）委員陳培瑜等20人擬具「中華民國刑法施行法第八條之二條文修正草案」案。</w:t>
      </w:r>
    </w:p>
    <w:p w14:paraId="65CCF890"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三、繼續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0368922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（一）委員翁曉玲等20人擬具「刑事訴訟法第一百零八</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DBB432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（二）委員林倩綺等21人擬具「刑事訴訟法第一百零八</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40BDB00"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四、繼續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05DD72C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（一）台灣民眾黨黨團擬具「刑事訴訟法部分條文修正草案」案。(11-3-8院會付委)。</w:t>
      </w:r>
    </w:p>
    <w:p w14:paraId="1B8A2094"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（二）台灣民眾黨黨團擬具「刑事訴訟法第九十三條及第一百零一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D109C2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（三）委員翁曉玲等25人擬具「刑事訴訟法第四百十三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142EAC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（四）委員翁曉玲等18人擬具「刑事訴訟法第九十三條及第一百零一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F354B4E"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五、繼續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5A96AA9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ㄧ</w:t>
      </w:r>
      <w:proofErr w:type="gramEnd"/>
      <w:r w:rsidRPr="001B6E4D">
        <w:rPr>
          <w:rFonts w:ascii="標楷體" w:eastAsia="標楷體" w:hAnsi="標楷體" w:hint="eastAsia"/>
          <w:sz w:val="28"/>
          <w:szCs w:val="28"/>
        </w:rPr>
        <w:t>）台灣民眾黨黨團擬具「刑事訴訟法部分條文修正草案」案。(11-2-1院會付委)</w:t>
      </w:r>
    </w:p>
    <w:p w14:paraId="611BC9C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（二）委員鍾佳濱等19人擬具「刑事訴訟法第一百五十三條之十條文修正草案」案。</w:t>
      </w:r>
    </w:p>
    <w:p w14:paraId="0218F6D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（三）委員莊瑞雄等16人擬具「刑事訴訟法第一百五十三條之十條文修正草案」案。</w:t>
      </w:r>
    </w:p>
    <w:p w14:paraId="12C17EC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（四）委員吳宗憲等17人擬具「刑事訴訟法第四百零四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42868E4"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（五）委員李柏毅等16人擬具「刑事訴訟法第一百五十三條之十條文修正草案」案。</w:t>
      </w:r>
    </w:p>
    <w:p w14:paraId="3D4CB4D7" w14:textId="77777777" w:rsidR="00894241" w:rsidRPr="001B6E4D" w:rsidRDefault="00894241"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42C276EB" w14:textId="77777777" w:rsidR="00894241" w:rsidRPr="001B6E4D" w:rsidRDefault="00894241" w:rsidP="003D1018">
      <w:pPr>
        <w:widowControl w:val="0"/>
        <w:overflowPunct w:val="0"/>
        <w:adjustRightInd w:val="0"/>
        <w:snapToGrid w:val="0"/>
        <w:spacing w:line="360" w:lineRule="exact"/>
        <w:ind w:left="560" w:hangingChars="200" w:hanging="560"/>
        <w:jc w:val="both"/>
        <w:rPr>
          <w:rFonts w:ascii="標楷體" w:eastAsia="標楷體" w:hAnsi="標楷體"/>
        </w:rPr>
      </w:pPr>
      <w:r w:rsidRPr="001B6E4D">
        <w:rPr>
          <w:rFonts w:ascii="標楷體" w:eastAsia="標楷體" w:hAnsi="標楷體" w:hint="eastAsia"/>
          <w:sz w:val="28"/>
          <w:szCs w:val="28"/>
        </w:rPr>
        <w:t>一、「中華民國刑法第八十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條文修正草案」等37案：</w:t>
      </w:r>
    </w:p>
    <w:p w14:paraId="3958F4E8"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w:t>
      </w:r>
      <w:proofErr w:type="gramStart"/>
      <w:r w:rsidRPr="001B6E4D">
        <w:rPr>
          <w:rFonts w:ascii="標楷體" w:eastAsia="標楷體" w:hAnsi="標楷體" w:hint="eastAsia"/>
          <w:color w:val="000000"/>
          <w:kern w:val="0"/>
          <w:sz w:val="28"/>
          <w:szCs w:val="28"/>
        </w:rPr>
        <w:t>一</w:t>
      </w:r>
      <w:proofErr w:type="gramEnd"/>
      <w:r w:rsidRPr="001B6E4D">
        <w:rPr>
          <w:rFonts w:ascii="標楷體" w:eastAsia="標楷體" w:hAnsi="標楷體" w:hint="eastAsia"/>
          <w:color w:val="000000"/>
          <w:kern w:val="0"/>
          <w:sz w:val="28"/>
          <w:szCs w:val="28"/>
        </w:rPr>
        <w:t>)</w:t>
      </w:r>
      <w:r w:rsidRPr="001B6E4D">
        <w:rPr>
          <w:rFonts w:ascii="標楷體" w:eastAsia="標楷體" w:hAnsi="標楷體" w:hint="eastAsia"/>
          <w:color w:val="000000"/>
          <w:sz w:val="28"/>
          <w:szCs w:val="28"/>
        </w:rPr>
        <w:t>逕行</w:t>
      </w:r>
      <w:r w:rsidRPr="001B6E4D">
        <w:rPr>
          <w:rFonts w:ascii="標楷體" w:eastAsia="標楷體" w:hAnsi="標楷體" w:hint="eastAsia"/>
          <w:color w:val="000000"/>
          <w:kern w:val="0"/>
          <w:sz w:val="28"/>
          <w:szCs w:val="28"/>
        </w:rPr>
        <w:t>逐條審查。</w:t>
      </w:r>
    </w:p>
    <w:p w14:paraId="24B83276"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lastRenderedPageBreak/>
        <w:t>(二)</w:t>
      </w:r>
      <w:r w:rsidRPr="001B6E4D">
        <w:rPr>
          <w:rFonts w:ascii="標楷體" w:eastAsia="標楷體" w:hAnsi="標楷體" w:hint="eastAsia"/>
          <w:color w:val="000000"/>
          <w:sz w:val="28"/>
          <w:szCs w:val="28"/>
        </w:rPr>
        <w:t>第八十</w:t>
      </w:r>
      <w:r w:rsidRPr="001B6E4D">
        <w:rPr>
          <w:rFonts w:ascii="標楷體" w:eastAsia="標楷體" w:hAnsi="標楷體" w:hint="eastAsia"/>
          <w:color w:val="000000"/>
          <w:kern w:val="0"/>
          <w:sz w:val="28"/>
          <w:szCs w:val="28"/>
        </w:rPr>
        <w:t>條，照行政院、司法院提案通過。</w:t>
      </w:r>
    </w:p>
    <w:p w14:paraId="4974ABF6"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(三)增訂第八十條之一，不予增訂。</w:t>
      </w:r>
    </w:p>
    <w:p w14:paraId="1BF5E711"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(四)</w:t>
      </w:r>
      <w:r w:rsidRPr="001B6E4D">
        <w:rPr>
          <w:rFonts w:ascii="標楷體" w:eastAsia="標楷體" w:hAnsi="標楷體" w:hint="eastAsia"/>
          <w:color w:val="000000"/>
          <w:sz w:val="28"/>
          <w:szCs w:val="28"/>
        </w:rPr>
        <w:t>第八十三</w:t>
      </w:r>
      <w:r w:rsidRPr="001B6E4D">
        <w:rPr>
          <w:rFonts w:ascii="標楷體" w:eastAsia="標楷體" w:hAnsi="標楷體" w:hint="eastAsia"/>
          <w:color w:val="000000"/>
          <w:kern w:val="0"/>
          <w:sz w:val="28"/>
          <w:szCs w:val="28"/>
        </w:rPr>
        <w:t>條，不予修正，維持現行條文。</w:t>
      </w:r>
    </w:p>
    <w:p w14:paraId="43AE43D4"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color w:val="000000"/>
          <w:kern w:val="0"/>
          <w:sz w:val="28"/>
          <w:szCs w:val="28"/>
        </w:rPr>
        <w:t>(</w:t>
      </w:r>
      <w:r w:rsidRPr="001B6E4D">
        <w:rPr>
          <w:rFonts w:ascii="標楷體" w:eastAsia="標楷體" w:hAnsi="標楷體" w:hint="eastAsia"/>
          <w:color w:val="000000"/>
          <w:kern w:val="0"/>
          <w:sz w:val="28"/>
          <w:szCs w:val="28"/>
        </w:rPr>
        <w:t>五</w:t>
      </w:r>
      <w:r w:rsidRPr="001B6E4D">
        <w:rPr>
          <w:rFonts w:ascii="標楷體" w:eastAsia="標楷體" w:hAnsi="標楷體"/>
          <w:color w:val="000000"/>
          <w:kern w:val="0"/>
          <w:sz w:val="28"/>
          <w:szCs w:val="28"/>
        </w:rPr>
        <w:t>)</w:t>
      </w:r>
      <w:r w:rsidRPr="001B6E4D">
        <w:rPr>
          <w:rFonts w:ascii="標楷體" w:eastAsia="標楷體" w:hAnsi="標楷體" w:hint="eastAsia"/>
          <w:color w:val="000000"/>
          <w:kern w:val="0"/>
          <w:sz w:val="28"/>
          <w:szCs w:val="28"/>
        </w:rPr>
        <w:t>通過附帶決議</w:t>
      </w:r>
      <w:r w:rsidRPr="001B6E4D">
        <w:rPr>
          <w:rFonts w:ascii="標楷體" w:eastAsia="標楷體" w:hAnsi="標楷體"/>
          <w:color w:val="000000"/>
          <w:kern w:val="0"/>
          <w:sz w:val="28"/>
          <w:szCs w:val="28"/>
        </w:rPr>
        <w:t>2</w:t>
      </w:r>
      <w:r w:rsidRPr="001B6E4D">
        <w:rPr>
          <w:rFonts w:ascii="標楷體" w:eastAsia="標楷體" w:hAnsi="標楷體" w:hint="eastAsia"/>
          <w:color w:val="000000"/>
          <w:kern w:val="0"/>
          <w:sz w:val="28"/>
          <w:szCs w:val="28"/>
        </w:rPr>
        <w:t>項：</w:t>
      </w:r>
    </w:p>
    <w:p w14:paraId="0F6CEEE4" w14:textId="77777777" w:rsidR="00894241" w:rsidRPr="001B6E4D" w:rsidRDefault="00894241" w:rsidP="003D1018">
      <w:pPr>
        <w:overflowPunct w:val="0"/>
        <w:snapToGrid w:val="0"/>
        <w:spacing w:line="360" w:lineRule="exact"/>
        <w:ind w:leftChars="285" w:left="964" w:hangingChars="100" w:hanging="280"/>
        <w:jc w:val="both"/>
        <w:rPr>
          <w:rFonts w:ascii="標楷體" w:eastAsia="標楷體" w:hAnsi="標楷體"/>
          <w:color w:val="000000"/>
          <w:kern w:val="0"/>
          <w:sz w:val="28"/>
          <w:szCs w:val="28"/>
        </w:rPr>
      </w:pPr>
      <w:r w:rsidRPr="001B6E4D">
        <w:rPr>
          <w:rFonts w:ascii="標楷體" w:eastAsia="標楷體" w:hAnsi="標楷體"/>
          <w:color w:val="000000"/>
          <w:kern w:val="0"/>
          <w:sz w:val="28"/>
          <w:szCs w:val="28"/>
        </w:rPr>
        <w:t>1</w:t>
      </w:r>
      <w:r w:rsidRPr="001B6E4D">
        <w:rPr>
          <w:rFonts w:ascii="標楷體" w:eastAsia="標楷體" w:hAnsi="標楷體" w:hint="eastAsia"/>
          <w:color w:val="000000"/>
          <w:kern w:val="0"/>
          <w:sz w:val="28"/>
          <w:szCs w:val="28"/>
        </w:rPr>
        <w:t>.中華民國刑法第80條修正後，性侵害追訴期將由被害人20歲起算，最長可達30年。然有關被害人請求民事賠償、犯罪被害人補償金、國家賠償等相關配套法案，仍有待修正，才能保障性侵害被害人於各法間之關聯時效權益。</w:t>
      </w:r>
      <w:proofErr w:type="gramStart"/>
      <w:r w:rsidRPr="001B6E4D">
        <w:rPr>
          <w:rFonts w:ascii="標楷體" w:eastAsia="標楷體" w:hAnsi="標楷體" w:hint="eastAsia"/>
          <w:color w:val="000000"/>
          <w:kern w:val="0"/>
          <w:sz w:val="28"/>
          <w:szCs w:val="28"/>
        </w:rPr>
        <w:t>爰</w:t>
      </w:r>
      <w:proofErr w:type="gramEnd"/>
      <w:r w:rsidRPr="001B6E4D">
        <w:rPr>
          <w:rFonts w:ascii="標楷體" w:eastAsia="標楷體" w:hAnsi="標楷體" w:hint="eastAsia"/>
          <w:color w:val="000000"/>
          <w:kern w:val="0"/>
          <w:sz w:val="28"/>
          <w:szCs w:val="28"/>
        </w:rPr>
        <w:t>請法務部參照澳洲等國家經驗，啟動《民法》、《犯罪被害人權益保障法》及《國家賠償法》之修法</w:t>
      </w:r>
      <w:proofErr w:type="gramStart"/>
      <w:r w:rsidRPr="001B6E4D">
        <w:rPr>
          <w:rFonts w:ascii="標楷體" w:eastAsia="標楷體" w:hAnsi="標楷體" w:hint="eastAsia"/>
          <w:color w:val="000000"/>
          <w:kern w:val="0"/>
          <w:sz w:val="28"/>
          <w:szCs w:val="28"/>
        </w:rPr>
        <w:t>研</w:t>
      </w:r>
      <w:proofErr w:type="gramEnd"/>
      <w:r w:rsidRPr="001B6E4D">
        <w:rPr>
          <w:rFonts w:ascii="標楷體" w:eastAsia="標楷體" w:hAnsi="標楷體" w:hint="eastAsia"/>
          <w:color w:val="000000"/>
          <w:kern w:val="0"/>
          <w:sz w:val="28"/>
          <w:szCs w:val="28"/>
        </w:rPr>
        <w:t>議，並於6個月內提出修法進度報告。</w:t>
      </w:r>
    </w:p>
    <w:p w14:paraId="61155042" w14:textId="77777777" w:rsidR="00894241" w:rsidRPr="001B6E4D" w:rsidRDefault="00894241" w:rsidP="003D1018">
      <w:pPr>
        <w:widowControl w:val="0"/>
        <w:kinsoku w:val="0"/>
        <w:overflowPunct w:val="0"/>
        <w:spacing w:line="360" w:lineRule="exact"/>
        <w:ind w:leftChars="139" w:left="334" w:firstLineChars="1140" w:firstLine="3192"/>
        <w:contextualSpacing/>
        <w:jc w:val="both"/>
        <w:rPr>
          <w:rFonts w:ascii="標楷體" w:eastAsia="標楷體" w:hAnsi="標楷體"/>
          <w:color w:val="000000"/>
          <w:sz w:val="28"/>
        </w:rPr>
      </w:pPr>
      <w:r w:rsidRPr="001B6E4D">
        <w:rPr>
          <w:rFonts w:ascii="標楷體" w:eastAsia="標楷體" w:hAnsi="標楷體" w:hint="eastAsia"/>
          <w:color w:val="000000"/>
          <w:sz w:val="28"/>
        </w:rPr>
        <w:t>提案人：</w:t>
      </w:r>
      <w:proofErr w:type="gramStart"/>
      <w:r w:rsidRPr="001B6E4D">
        <w:rPr>
          <w:rFonts w:ascii="標楷體" w:eastAsia="標楷體" w:hAnsi="標楷體" w:hint="eastAsia"/>
          <w:color w:val="000000"/>
          <w:sz w:val="28"/>
        </w:rPr>
        <w:t>范</w:t>
      </w:r>
      <w:proofErr w:type="gramEnd"/>
      <w:r w:rsidRPr="001B6E4D">
        <w:rPr>
          <w:rFonts w:ascii="標楷體" w:eastAsia="標楷體" w:hAnsi="標楷體" w:hint="eastAsia"/>
          <w:color w:val="000000"/>
          <w:sz w:val="28"/>
        </w:rPr>
        <w:t xml:space="preserve">  雲 莊瑞雄 張雅琳 林月琴</w:t>
      </w:r>
    </w:p>
    <w:p w14:paraId="09B4CCFF" w14:textId="77777777" w:rsidR="00894241" w:rsidRPr="001B6E4D" w:rsidRDefault="00894241" w:rsidP="003D1018">
      <w:pPr>
        <w:widowControl w:val="0"/>
        <w:kinsoku w:val="0"/>
        <w:overflowPunct w:val="0"/>
        <w:spacing w:line="360" w:lineRule="exact"/>
        <w:ind w:leftChars="139" w:left="334" w:firstLineChars="1140" w:firstLine="3192"/>
        <w:contextualSpacing/>
        <w:jc w:val="both"/>
        <w:rPr>
          <w:rFonts w:ascii="標楷體" w:eastAsia="標楷體" w:hAnsi="標楷體"/>
          <w:color w:val="000000"/>
          <w:sz w:val="28"/>
        </w:rPr>
      </w:pPr>
      <w:r w:rsidRPr="001B6E4D">
        <w:rPr>
          <w:rFonts w:ascii="標楷體" w:eastAsia="標楷體" w:hAnsi="標楷體" w:hint="eastAsia"/>
          <w:color w:val="000000"/>
          <w:sz w:val="28"/>
        </w:rPr>
        <w:t xml:space="preserve">        王正旭</w:t>
      </w:r>
    </w:p>
    <w:p w14:paraId="7828FE04" w14:textId="77777777" w:rsidR="00894241" w:rsidRPr="001B6E4D" w:rsidRDefault="00894241" w:rsidP="003D1018">
      <w:pPr>
        <w:overflowPunct w:val="0"/>
        <w:snapToGrid w:val="0"/>
        <w:spacing w:line="360" w:lineRule="exact"/>
        <w:ind w:leftChars="285" w:left="1384" w:hangingChars="250" w:hanging="700"/>
        <w:jc w:val="both"/>
        <w:rPr>
          <w:rFonts w:ascii="標楷體" w:eastAsia="標楷體" w:hAnsi="標楷體"/>
          <w:color w:val="000000"/>
          <w:kern w:val="0"/>
          <w:sz w:val="28"/>
          <w:szCs w:val="28"/>
        </w:rPr>
      </w:pPr>
      <w:r w:rsidRPr="001B6E4D">
        <w:rPr>
          <w:rFonts w:ascii="標楷體" w:eastAsia="標楷體" w:hAnsi="標楷體"/>
          <w:color w:val="000000"/>
          <w:kern w:val="0"/>
          <w:sz w:val="28"/>
          <w:szCs w:val="28"/>
        </w:rPr>
        <w:t>2</w:t>
      </w:r>
      <w:r w:rsidRPr="001B6E4D">
        <w:rPr>
          <w:rFonts w:ascii="標楷體" w:eastAsia="標楷體" w:hAnsi="標楷體" w:hint="eastAsia"/>
          <w:color w:val="000000"/>
          <w:kern w:val="0"/>
          <w:sz w:val="28"/>
          <w:szCs w:val="28"/>
        </w:rPr>
        <w:t>.(1)</w:t>
      </w:r>
      <w:proofErr w:type="gramStart"/>
      <w:r w:rsidRPr="001B6E4D">
        <w:rPr>
          <w:rFonts w:ascii="標楷體" w:eastAsia="標楷體" w:hAnsi="標楷體" w:hint="eastAsia"/>
          <w:color w:val="000000"/>
          <w:kern w:val="0"/>
          <w:sz w:val="28"/>
          <w:szCs w:val="28"/>
        </w:rPr>
        <w:t>兒少性侵害</w:t>
      </w:r>
      <w:proofErr w:type="gramEnd"/>
      <w:r w:rsidRPr="001B6E4D">
        <w:rPr>
          <w:rFonts w:ascii="標楷體" w:eastAsia="標楷體" w:hAnsi="標楷體" w:hint="eastAsia"/>
          <w:color w:val="000000"/>
          <w:kern w:val="0"/>
          <w:sz w:val="28"/>
          <w:szCs w:val="28"/>
        </w:rPr>
        <w:t>案件具高度隱匿性與延遲揭露特性，依監察院及相關研究資料，未成年</w:t>
      </w:r>
      <w:proofErr w:type="gramStart"/>
      <w:r w:rsidRPr="001B6E4D">
        <w:rPr>
          <w:rFonts w:ascii="標楷體" w:eastAsia="標楷體" w:hAnsi="標楷體" w:hint="eastAsia"/>
          <w:color w:val="000000"/>
          <w:kern w:val="0"/>
          <w:sz w:val="28"/>
          <w:szCs w:val="28"/>
        </w:rPr>
        <w:t>遭性侵被害人</w:t>
      </w:r>
      <w:proofErr w:type="gramEnd"/>
      <w:r w:rsidRPr="001B6E4D">
        <w:rPr>
          <w:rFonts w:ascii="標楷體" w:eastAsia="標楷體" w:hAnsi="標楷體" w:hint="eastAsia"/>
          <w:color w:val="000000"/>
          <w:kern w:val="0"/>
          <w:sz w:val="28"/>
          <w:szCs w:val="28"/>
        </w:rPr>
        <w:t>多於成年多年後始能揭露與提起告訴，現行中華民國刑法第80條以「犯罪成立時」起算追訴權時效，確有壓縮被害人訴訟權之疑慮。行政院本次修正草案，明定未成年性侵害被害人自犯罪成立日至其滿20歲前之期間不計入追訴權時效，對此予以肯認。</w:t>
      </w:r>
    </w:p>
    <w:p w14:paraId="57A5E62C" w14:textId="77777777" w:rsidR="00894241" w:rsidRPr="001B6E4D" w:rsidRDefault="00894241" w:rsidP="003D1018">
      <w:pPr>
        <w:overflowPunct w:val="0"/>
        <w:snapToGrid w:val="0"/>
        <w:spacing w:line="360" w:lineRule="exact"/>
        <w:ind w:leftChars="285" w:left="1384" w:hangingChars="250" w:hanging="70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 xml:space="preserve">         然而，延長追訴期間勢必將增加「事隔多年」始提起告訴之案件數量，如仍完全適用現行對於補強證據、被害人單一陳述及延遲揭露之既有評價標準，恐難有效承接立法目的，並可能導致被害人期待與實際定罪結果間落差擴大。</w:t>
      </w:r>
    </w:p>
    <w:p w14:paraId="127C169B" w14:textId="77777777" w:rsidR="00894241" w:rsidRPr="001B6E4D" w:rsidRDefault="00894241" w:rsidP="003D1018">
      <w:pPr>
        <w:overflowPunct w:val="0"/>
        <w:snapToGrid w:val="0"/>
        <w:spacing w:line="360" w:lineRule="exact"/>
        <w:ind w:leftChars="285" w:left="1384" w:hangingChars="250" w:hanging="70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 xml:space="preserve">  (2)</w:t>
      </w:r>
      <w:proofErr w:type="gramStart"/>
      <w:r w:rsidRPr="001B6E4D">
        <w:rPr>
          <w:rFonts w:ascii="標楷體" w:eastAsia="標楷體" w:hAnsi="標楷體" w:hint="eastAsia"/>
          <w:color w:val="000000"/>
          <w:kern w:val="0"/>
          <w:sz w:val="28"/>
          <w:szCs w:val="28"/>
        </w:rPr>
        <w:t>兒少性侵害</w:t>
      </w:r>
      <w:proofErr w:type="gramEnd"/>
      <w:r w:rsidRPr="001B6E4D">
        <w:rPr>
          <w:rFonts w:ascii="標楷體" w:eastAsia="標楷體" w:hAnsi="標楷體" w:hint="eastAsia"/>
          <w:color w:val="000000"/>
          <w:kern w:val="0"/>
          <w:sz w:val="28"/>
          <w:szCs w:val="28"/>
        </w:rPr>
        <w:t>案件在證據保存、記憶再現及被告防禦權保障等面向，</w:t>
      </w:r>
      <w:proofErr w:type="gramStart"/>
      <w:r w:rsidRPr="001B6E4D">
        <w:rPr>
          <w:rFonts w:ascii="標楷體" w:eastAsia="標楷體" w:hAnsi="標楷體" w:hint="eastAsia"/>
          <w:color w:val="000000"/>
          <w:kern w:val="0"/>
          <w:sz w:val="28"/>
          <w:szCs w:val="28"/>
        </w:rPr>
        <w:t>均有別</w:t>
      </w:r>
      <w:proofErr w:type="gramEnd"/>
      <w:r w:rsidRPr="001B6E4D">
        <w:rPr>
          <w:rFonts w:ascii="標楷體" w:eastAsia="標楷體" w:hAnsi="標楷體" w:hint="eastAsia"/>
          <w:color w:val="000000"/>
          <w:kern w:val="0"/>
          <w:sz w:val="28"/>
          <w:szCs w:val="28"/>
        </w:rPr>
        <w:t>於一般刑事案件。若僅調整追訴時效，而未同步檢討審判階段之證據評價與程序設計，將無法充分落實憲法保障之訴訟權與性別平等原則。</w:t>
      </w:r>
    </w:p>
    <w:p w14:paraId="3D7BEC02" w14:textId="77777777" w:rsidR="00894241" w:rsidRPr="001B6E4D" w:rsidRDefault="00894241" w:rsidP="003D1018">
      <w:pPr>
        <w:overflowPunct w:val="0"/>
        <w:snapToGrid w:val="0"/>
        <w:spacing w:line="360" w:lineRule="exact"/>
        <w:ind w:leftChars="285" w:left="1384" w:hangingChars="250" w:hanging="70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 xml:space="preserve">         </w:t>
      </w:r>
      <w:proofErr w:type="gramStart"/>
      <w:r w:rsidRPr="001B6E4D">
        <w:rPr>
          <w:rFonts w:ascii="標楷體" w:eastAsia="標楷體" w:hAnsi="標楷體" w:hint="eastAsia"/>
          <w:color w:val="000000"/>
          <w:kern w:val="0"/>
          <w:sz w:val="28"/>
          <w:szCs w:val="28"/>
        </w:rPr>
        <w:t>修法幫被害人</w:t>
      </w:r>
      <w:proofErr w:type="gramEnd"/>
      <w:r w:rsidRPr="001B6E4D">
        <w:rPr>
          <w:rFonts w:ascii="標楷體" w:eastAsia="標楷體" w:hAnsi="標楷體" w:hint="eastAsia"/>
          <w:color w:val="000000"/>
          <w:kern w:val="0"/>
          <w:sz w:val="28"/>
          <w:szCs w:val="28"/>
        </w:rPr>
        <w:t>把門打開，</w:t>
      </w:r>
      <w:proofErr w:type="gramStart"/>
      <w:r w:rsidRPr="001B6E4D">
        <w:rPr>
          <w:rFonts w:ascii="標楷體" w:eastAsia="標楷體" w:hAnsi="標楷體" w:hint="eastAsia"/>
          <w:color w:val="000000"/>
          <w:kern w:val="0"/>
          <w:sz w:val="28"/>
          <w:szCs w:val="28"/>
        </w:rPr>
        <w:t>可若審判</w:t>
      </w:r>
      <w:proofErr w:type="gramEnd"/>
      <w:r w:rsidRPr="001B6E4D">
        <w:rPr>
          <w:rFonts w:ascii="標楷體" w:eastAsia="標楷體" w:hAnsi="標楷體" w:hint="eastAsia"/>
          <w:color w:val="000000"/>
          <w:kern w:val="0"/>
          <w:sz w:val="28"/>
          <w:szCs w:val="28"/>
        </w:rPr>
        <w:t>階段的證據標準、配套制度跟不上，恐造成讓被害人走進另一個看得到希望、卻走不出去的司法迷宮。</w:t>
      </w:r>
    </w:p>
    <w:p w14:paraId="5619EF4D" w14:textId="77777777" w:rsidR="00894241" w:rsidRPr="001B6E4D" w:rsidRDefault="00894241" w:rsidP="003D1018">
      <w:pPr>
        <w:overflowPunct w:val="0"/>
        <w:snapToGrid w:val="0"/>
        <w:spacing w:line="360" w:lineRule="exact"/>
        <w:ind w:leftChars="285" w:left="1384" w:hangingChars="250" w:hanging="70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 xml:space="preserve">         </w:t>
      </w:r>
      <w:proofErr w:type="gramStart"/>
      <w:r w:rsidRPr="001B6E4D">
        <w:rPr>
          <w:rFonts w:ascii="標楷體" w:eastAsia="標楷體" w:hAnsi="標楷體" w:hint="eastAsia"/>
          <w:color w:val="000000"/>
          <w:kern w:val="0"/>
          <w:sz w:val="28"/>
          <w:szCs w:val="28"/>
        </w:rPr>
        <w:t>爰</w:t>
      </w:r>
      <w:proofErr w:type="gramEnd"/>
      <w:r w:rsidRPr="001B6E4D">
        <w:rPr>
          <w:rFonts w:ascii="標楷體" w:eastAsia="標楷體" w:hAnsi="標楷體" w:hint="eastAsia"/>
          <w:color w:val="000000"/>
          <w:kern w:val="0"/>
          <w:sz w:val="28"/>
          <w:szCs w:val="28"/>
        </w:rPr>
        <w:t>建請司法院</w:t>
      </w:r>
      <w:proofErr w:type="gramStart"/>
      <w:r w:rsidRPr="001B6E4D">
        <w:rPr>
          <w:rFonts w:ascii="標楷體" w:eastAsia="標楷體" w:hAnsi="標楷體" w:hint="eastAsia"/>
          <w:color w:val="000000"/>
          <w:kern w:val="0"/>
          <w:sz w:val="28"/>
          <w:szCs w:val="28"/>
        </w:rPr>
        <w:t>就兒少性</w:t>
      </w:r>
      <w:proofErr w:type="gramEnd"/>
      <w:r w:rsidRPr="001B6E4D">
        <w:rPr>
          <w:rFonts w:ascii="標楷體" w:eastAsia="標楷體" w:hAnsi="標楷體" w:hint="eastAsia"/>
          <w:color w:val="000000"/>
          <w:kern w:val="0"/>
          <w:sz w:val="28"/>
          <w:szCs w:val="28"/>
        </w:rPr>
        <w:t>侵害案件，依據相關實務見解，</w:t>
      </w:r>
      <w:proofErr w:type="gramStart"/>
      <w:r w:rsidRPr="001B6E4D">
        <w:rPr>
          <w:rFonts w:ascii="標楷體" w:eastAsia="標楷體" w:hAnsi="標楷體" w:hint="eastAsia"/>
          <w:color w:val="000000"/>
          <w:kern w:val="0"/>
          <w:sz w:val="28"/>
          <w:szCs w:val="28"/>
        </w:rPr>
        <w:t>研</w:t>
      </w:r>
      <w:proofErr w:type="gramEnd"/>
      <w:r w:rsidRPr="001B6E4D">
        <w:rPr>
          <w:rFonts w:ascii="標楷體" w:eastAsia="標楷體" w:hAnsi="標楷體" w:hint="eastAsia"/>
          <w:color w:val="000000"/>
          <w:kern w:val="0"/>
          <w:sz w:val="28"/>
          <w:szCs w:val="28"/>
        </w:rPr>
        <w:t>議審理指引，包括：被害人延遲揭露之合理性評價、被害人陳述之證據地位與補強要求、專家證人及心理鑑定之運用、創傷知情詢問及詰問方式，以及如何在保障被害人訴訟權與被告防禦權間取得適當平衡，並於本法修正條文施行後3個月內，向立法院提出專案報告。</w:t>
      </w:r>
    </w:p>
    <w:p w14:paraId="3BFE505D" w14:textId="77777777" w:rsidR="00894241" w:rsidRPr="001B6E4D" w:rsidRDefault="00894241" w:rsidP="003D1018">
      <w:pPr>
        <w:overflowPunct w:val="0"/>
        <w:snapToGrid w:val="0"/>
        <w:spacing w:line="360" w:lineRule="exact"/>
        <w:ind w:leftChars="285" w:left="1384" w:hangingChars="250" w:hanging="70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 xml:space="preserve">  (3)另</w:t>
      </w:r>
      <w:proofErr w:type="gramStart"/>
      <w:r w:rsidRPr="001B6E4D">
        <w:rPr>
          <w:rFonts w:ascii="標楷體" w:eastAsia="標楷體" w:hAnsi="標楷體" w:hint="eastAsia"/>
          <w:color w:val="000000"/>
          <w:kern w:val="0"/>
          <w:sz w:val="28"/>
          <w:szCs w:val="28"/>
        </w:rPr>
        <w:t>鑑於性侵案件</w:t>
      </w:r>
      <w:proofErr w:type="gramEnd"/>
      <w:r w:rsidRPr="001B6E4D">
        <w:rPr>
          <w:rFonts w:ascii="標楷體" w:eastAsia="標楷體" w:hAnsi="標楷體" w:hint="eastAsia"/>
          <w:color w:val="000000"/>
          <w:kern w:val="0"/>
          <w:sz w:val="28"/>
          <w:szCs w:val="28"/>
        </w:rPr>
        <w:t>，實務上通報、起訴與定罪率仍存在明顯落差，</w:t>
      </w:r>
      <w:proofErr w:type="gramStart"/>
      <w:r w:rsidRPr="001B6E4D">
        <w:rPr>
          <w:rFonts w:ascii="標楷體" w:eastAsia="標楷體" w:hAnsi="標楷體" w:hint="eastAsia"/>
          <w:color w:val="000000"/>
          <w:kern w:val="0"/>
          <w:sz w:val="28"/>
          <w:szCs w:val="28"/>
        </w:rPr>
        <w:t>且兒少性侵</w:t>
      </w:r>
      <w:proofErr w:type="gramEnd"/>
      <w:r w:rsidRPr="001B6E4D">
        <w:rPr>
          <w:rFonts w:ascii="標楷體" w:eastAsia="標楷體" w:hAnsi="標楷體" w:hint="eastAsia"/>
          <w:color w:val="000000"/>
          <w:kern w:val="0"/>
          <w:sz w:val="28"/>
          <w:szCs w:val="28"/>
        </w:rPr>
        <w:t>案件有其特殊性，本次就追訴時效部分</w:t>
      </w:r>
      <w:r w:rsidRPr="001B6E4D">
        <w:rPr>
          <w:rFonts w:ascii="標楷體" w:eastAsia="標楷體" w:hAnsi="標楷體" w:hint="eastAsia"/>
          <w:color w:val="000000"/>
          <w:kern w:val="0"/>
          <w:sz w:val="28"/>
          <w:szCs w:val="28"/>
        </w:rPr>
        <w:lastRenderedPageBreak/>
        <w:t>修法，仍屬階段性調整。</w:t>
      </w:r>
      <w:proofErr w:type="gramStart"/>
      <w:r w:rsidRPr="001B6E4D">
        <w:rPr>
          <w:rFonts w:ascii="標楷體" w:eastAsia="標楷體" w:hAnsi="標楷體" w:hint="eastAsia"/>
          <w:color w:val="000000"/>
          <w:kern w:val="0"/>
          <w:sz w:val="28"/>
          <w:szCs w:val="28"/>
        </w:rPr>
        <w:t>爰</w:t>
      </w:r>
      <w:proofErr w:type="gramEnd"/>
      <w:r w:rsidRPr="001B6E4D">
        <w:rPr>
          <w:rFonts w:ascii="標楷體" w:eastAsia="標楷體" w:hAnsi="標楷體" w:hint="eastAsia"/>
          <w:color w:val="000000"/>
          <w:kern w:val="0"/>
          <w:sz w:val="28"/>
          <w:szCs w:val="28"/>
        </w:rPr>
        <w:t>建請司法院會同行政院相關機關，評估是否有</w:t>
      </w:r>
      <w:proofErr w:type="gramStart"/>
      <w:r w:rsidRPr="001B6E4D">
        <w:rPr>
          <w:rFonts w:ascii="標楷體" w:eastAsia="標楷體" w:hAnsi="標楷體" w:hint="eastAsia"/>
          <w:color w:val="000000"/>
          <w:kern w:val="0"/>
          <w:sz w:val="28"/>
          <w:szCs w:val="28"/>
        </w:rPr>
        <w:t>必要就性侵害</w:t>
      </w:r>
      <w:proofErr w:type="gramEnd"/>
      <w:r w:rsidRPr="001B6E4D">
        <w:rPr>
          <w:rFonts w:ascii="標楷體" w:eastAsia="標楷體" w:hAnsi="標楷體" w:hint="eastAsia"/>
          <w:color w:val="000000"/>
          <w:kern w:val="0"/>
          <w:sz w:val="28"/>
          <w:szCs w:val="28"/>
        </w:rPr>
        <w:t>犯罪之證據法則、被害人訴訟權保障機制、專責法庭或專業法官制度等，提出法制影響研究評估及具體修法與實務改革方案，並於本條文施行後1年內，就前述整體檢討進度向立法院提出專案報告。</w:t>
      </w:r>
    </w:p>
    <w:p w14:paraId="265DCF23" w14:textId="77777777" w:rsidR="00894241" w:rsidRPr="001B6E4D" w:rsidRDefault="00894241" w:rsidP="003D1018">
      <w:pPr>
        <w:widowControl w:val="0"/>
        <w:kinsoku w:val="0"/>
        <w:overflowPunct w:val="0"/>
        <w:spacing w:line="360" w:lineRule="exact"/>
        <w:ind w:leftChars="139" w:left="334" w:firstLineChars="1140" w:firstLine="3192"/>
        <w:contextualSpacing/>
        <w:jc w:val="both"/>
        <w:rPr>
          <w:rFonts w:ascii="標楷體" w:eastAsia="標楷體" w:hAnsi="標楷體"/>
          <w:color w:val="000000"/>
          <w:sz w:val="28"/>
        </w:rPr>
      </w:pPr>
      <w:r w:rsidRPr="001B6E4D">
        <w:rPr>
          <w:rFonts w:ascii="標楷體" w:eastAsia="標楷體" w:hAnsi="標楷體" w:hint="eastAsia"/>
          <w:color w:val="000000"/>
          <w:sz w:val="28"/>
        </w:rPr>
        <w:t>提案人：吳宗憲</w:t>
      </w:r>
    </w:p>
    <w:p w14:paraId="77E032E6" w14:textId="77777777" w:rsidR="00894241" w:rsidRPr="001B6E4D" w:rsidRDefault="00894241" w:rsidP="003D1018">
      <w:pPr>
        <w:widowControl w:val="0"/>
        <w:kinsoku w:val="0"/>
        <w:overflowPunct w:val="0"/>
        <w:spacing w:line="360" w:lineRule="exact"/>
        <w:ind w:leftChars="139" w:left="334" w:firstLineChars="1140" w:firstLine="3192"/>
        <w:contextualSpacing/>
        <w:jc w:val="both"/>
        <w:rPr>
          <w:rFonts w:ascii="標楷體" w:eastAsia="標楷體" w:hAnsi="標楷體"/>
          <w:color w:val="000000"/>
          <w:kern w:val="0"/>
          <w:sz w:val="28"/>
          <w:szCs w:val="28"/>
        </w:rPr>
      </w:pPr>
      <w:r w:rsidRPr="001B6E4D">
        <w:rPr>
          <w:rFonts w:ascii="標楷體" w:eastAsia="標楷體" w:hAnsi="標楷體" w:hint="eastAsia"/>
          <w:color w:val="000000"/>
          <w:sz w:val="28"/>
        </w:rPr>
        <w:t>連署人：林倩綺 許宇</w:t>
      </w:r>
      <w:proofErr w:type="gramStart"/>
      <w:r w:rsidRPr="001B6E4D">
        <w:rPr>
          <w:rFonts w:ascii="標楷體" w:eastAsia="標楷體" w:hAnsi="標楷體" w:hint="eastAsia"/>
          <w:color w:val="000000"/>
          <w:sz w:val="28"/>
        </w:rPr>
        <w:t>甄</w:t>
      </w:r>
      <w:proofErr w:type="gramEnd"/>
    </w:p>
    <w:p w14:paraId="6F0DA2CE"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(六)本案審查完竣，擬具審查報告，提請院會公決；不須交由黨團協商；院會討論時，由翁召集委員曉玲出席說明。</w:t>
      </w:r>
    </w:p>
    <w:p w14:paraId="792B9F69"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(七)條次、引述條文部分文字及法制用字用語，授權主席及議事人員整理。</w:t>
      </w:r>
    </w:p>
    <w:p w14:paraId="198F729D" w14:textId="77777777" w:rsidR="00894241" w:rsidRPr="001B6E4D" w:rsidRDefault="00894241" w:rsidP="003D1018">
      <w:pPr>
        <w:widowControl w:val="0"/>
        <w:overflowPunct w:val="0"/>
        <w:adjustRightInd w:val="0"/>
        <w:snapToGrid w:val="0"/>
        <w:spacing w:line="360" w:lineRule="exact"/>
        <w:ind w:left="560" w:hangingChars="200" w:hanging="560"/>
        <w:jc w:val="both"/>
        <w:rPr>
          <w:rFonts w:ascii="標楷體" w:eastAsia="標楷體" w:hAnsi="標楷體"/>
          <w:sz w:val="28"/>
          <w:szCs w:val="28"/>
        </w:rPr>
      </w:pPr>
      <w:r w:rsidRPr="001B6E4D">
        <w:rPr>
          <w:rFonts w:ascii="標楷體" w:eastAsia="標楷體" w:hAnsi="標楷體" w:hint="eastAsia"/>
          <w:sz w:val="28"/>
          <w:szCs w:val="28"/>
        </w:rPr>
        <w:t>二、「中華民國刑法施行法第八條之二條文修正草案」等20案：</w:t>
      </w:r>
    </w:p>
    <w:p w14:paraId="2F2CA111"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w:t>
      </w:r>
      <w:proofErr w:type="gramStart"/>
      <w:r w:rsidRPr="001B6E4D">
        <w:rPr>
          <w:rFonts w:ascii="標楷體" w:eastAsia="標楷體" w:hAnsi="標楷體" w:hint="eastAsia"/>
          <w:color w:val="000000"/>
          <w:kern w:val="0"/>
          <w:sz w:val="28"/>
          <w:szCs w:val="28"/>
        </w:rPr>
        <w:t>一</w:t>
      </w:r>
      <w:proofErr w:type="gramEnd"/>
      <w:r w:rsidRPr="001B6E4D">
        <w:rPr>
          <w:rFonts w:ascii="標楷體" w:eastAsia="標楷體" w:hAnsi="標楷體" w:hint="eastAsia"/>
          <w:color w:val="000000"/>
          <w:kern w:val="0"/>
          <w:sz w:val="28"/>
          <w:szCs w:val="28"/>
        </w:rPr>
        <w:t>)</w:t>
      </w:r>
      <w:r w:rsidRPr="001B6E4D">
        <w:rPr>
          <w:rFonts w:ascii="標楷體" w:eastAsia="標楷體" w:hAnsi="標楷體" w:hint="eastAsia"/>
          <w:color w:val="000000"/>
          <w:sz w:val="28"/>
          <w:szCs w:val="28"/>
        </w:rPr>
        <w:t>逕行</w:t>
      </w:r>
      <w:r w:rsidRPr="001B6E4D">
        <w:rPr>
          <w:rFonts w:ascii="標楷體" w:eastAsia="標楷體" w:hAnsi="標楷體" w:hint="eastAsia"/>
          <w:color w:val="000000"/>
          <w:kern w:val="0"/>
          <w:sz w:val="28"/>
          <w:szCs w:val="28"/>
        </w:rPr>
        <w:t>逐條審查。</w:t>
      </w:r>
    </w:p>
    <w:p w14:paraId="5E2BCD36"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(二)</w:t>
      </w:r>
      <w:r w:rsidRPr="001B6E4D">
        <w:rPr>
          <w:rFonts w:ascii="標楷體" w:eastAsia="標楷體" w:hAnsi="標楷體" w:hint="eastAsia"/>
          <w:color w:val="000000"/>
          <w:sz w:val="28"/>
          <w:szCs w:val="28"/>
        </w:rPr>
        <w:t>第八</w:t>
      </w:r>
      <w:r w:rsidRPr="001B6E4D">
        <w:rPr>
          <w:rFonts w:ascii="標楷體" w:eastAsia="標楷體" w:hAnsi="標楷體" w:hint="eastAsia"/>
          <w:color w:val="000000"/>
          <w:kern w:val="0"/>
          <w:sz w:val="28"/>
          <w:szCs w:val="28"/>
        </w:rPr>
        <w:t>條之一，不予修正，維持現行條文。</w:t>
      </w:r>
    </w:p>
    <w:p w14:paraId="516C67C2"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(三)第八條之二，照行政院、司法院提案通過。</w:t>
      </w:r>
    </w:p>
    <w:p w14:paraId="46D560D5"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u w:val="single"/>
        </w:rPr>
      </w:pPr>
      <w:r w:rsidRPr="001B6E4D">
        <w:rPr>
          <w:rFonts w:ascii="標楷體" w:eastAsia="標楷體" w:hAnsi="標楷體" w:hint="eastAsia"/>
          <w:color w:val="000000"/>
          <w:kern w:val="0"/>
          <w:sz w:val="28"/>
          <w:szCs w:val="28"/>
        </w:rPr>
        <w:t>(四)增訂</w:t>
      </w:r>
      <w:r w:rsidRPr="001B6E4D">
        <w:rPr>
          <w:rFonts w:ascii="標楷體" w:eastAsia="標楷體" w:hAnsi="標楷體" w:hint="eastAsia"/>
          <w:color w:val="000000"/>
          <w:sz w:val="28"/>
          <w:szCs w:val="28"/>
        </w:rPr>
        <w:t>第八</w:t>
      </w:r>
      <w:r w:rsidRPr="001B6E4D">
        <w:rPr>
          <w:rFonts w:ascii="標楷體" w:eastAsia="標楷體" w:hAnsi="標楷體" w:hint="eastAsia"/>
          <w:color w:val="000000"/>
          <w:kern w:val="0"/>
          <w:sz w:val="28"/>
          <w:szCs w:val="28"/>
        </w:rPr>
        <w:t>條之</w:t>
      </w:r>
      <w:proofErr w:type="gramStart"/>
      <w:r w:rsidRPr="001B6E4D">
        <w:rPr>
          <w:rFonts w:ascii="標楷體" w:eastAsia="標楷體" w:hAnsi="標楷體" w:hint="eastAsia"/>
          <w:color w:val="000000"/>
          <w:kern w:val="0"/>
          <w:sz w:val="28"/>
          <w:szCs w:val="28"/>
        </w:rPr>
        <w:t>三</w:t>
      </w:r>
      <w:proofErr w:type="gramEnd"/>
      <w:r w:rsidRPr="001B6E4D">
        <w:rPr>
          <w:rFonts w:ascii="標楷體" w:eastAsia="標楷體" w:hAnsi="標楷體" w:hint="eastAsia"/>
          <w:color w:val="000000"/>
          <w:kern w:val="0"/>
          <w:sz w:val="28"/>
          <w:szCs w:val="28"/>
        </w:rPr>
        <w:t>，不予增訂。</w:t>
      </w:r>
    </w:p>
    <w:p w14:paraId="02F09FAD"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(五)本案審查完竣，擬具審查報告，提請院會公決；不須交由黨團協商；院會討論時，由翁召集委員曉玲出席說明。</w:t>
      </w:r>
    </w:p>
    <w:p w14:paraId="642A7095"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(六)條次、引述條文部分文字及法制用字用語，授權主席及議事人員整理。</w:t>
      </w:r>
    </w:p>
    <w:p w14:paraId="4B2E01EF" w14:textId="77777777" w:rsidR="00894241" w:rsidRPr="001B6E4D" w:rsidRDefault="00894241" w:rsidP="003D1018">
      <w:pPr>
        <w:widowControl w:val="0"/>
        <w:overflowPunct w:val="0"/>
        <w:adjustRightInd w:val="0"/>
        <w:snapToGrid w:val="0"/>
        <w:spacing w:line="360" w:lineRule="exact"/>
        <w:ind w:left="560" w:hangingChars="200" w:hanging="560"/>
        <w:jc w:val="both"/>
        <w:rPr>
          <w:rFonts w:ascii="標楷體" w:eastAsia="標楷體" w:hAnsi="標楷體"/>
          <w:sz w:val="28"/>
          <w:szCs w:val="28"/>
        </w:rPr>
      </w:pPr>
      <w:r w:rsidRPr="001B6E4D">
        <w:rPr>
          <w:rFonts w:ascii="標楷體" w:eastAsia="標楷體" w:hAnsi="標楷體" w:hint="eastAsia"/>
          <w:sz w:val="28"/>
          <w:szCs w:val="28"/>
        </w:rPr>
        <w:t>三、</w:t>
      </w:r>
      <w:r w:rsidRPr="001B6E4D">
        <w:rPr>
          <w:rFonts w:ascii="標楷體" w:eastAsia="標楷體" w:hAnsi="標楷體" w:hint="eastAsia"/>
          <w:color w:val="000000"/>
          <w:kern w:val="0"/>
          <w:sz w:val="28"/>
          <w:szCs w:val="28"/>
        </w:rPr>
        <w:t>第三案至第五案，</w:t>
      </w:r>
      <w:proofErr w:type="gramStart"/>
      <w:r w:rsidRPr="001B6E4D">
        <w:rPr>
          <w:rFonts w:ascii="標楷體" w:eastAsia="標楷體" w:hAnsi="標楷體" w:hint="eastAsia"/>
          <w:color w:val="000000"/>
          <w:kern w:val="0"/>
          <w:sz w:val="28"/>
          <w:szCs w:val="28"/>
        </w:rPr>
        <w:t>均另定期</w:t>
      </w:r>
      <w:proofErr w:type="gramEnd"/>
      <w:r w:rsidRPr="001B6E4D">
        <w:rPr>
          <w:rFonts w:ascii="標楷體" w:eastAsia="標楷體" w:hAnsi="標楷體" w:hint="eastAsia"/>
          <w:color w:val="000000"/>
          <w:kern w:val="0"/>
          <w:sz w:val="28"/>
          <w:szCs w:val="28"/>
        </w:rPr>
        <w:t>繼續審查。（提案條文已宣讀完畢）</w:t>
      </w:r>
    </w:p>
    <w:p w14:paraId="3F0D1DB1" w14:textId="77777777" w:rsidR="00894241" w:rsidRPr="001B6E4D" w:rsidRDefault="00894241" w:rsidP="003D1018">
      <w:pPr>
        <w:widowControl w:val="0"/>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0787D651"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1F94ECF2" w14:textId="0B639CED" w:rsidR="00894241" w:rsidRPr="001B6E4D" w:rsidRDefault="00894241"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35" w:name="_Toc240446603"/>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19</w:t>
      </w:r>
      <w:r w:rsidRPr="001B6E4D">
        <w:rPr>
          <w:rFonts w:ascii="標楷體" w:eastAsia="標楷體" w:hAnsi="標楷體"/>
          <w:b/>
          <w:spacing w:val="-2"/>
          <w:sz w:val="28"/>
          <w:szCs w:val="28"/>
        </w:rPr>
        <w:t>次全體委員會議議事錄</w:t>
      </w:r>
      <w:bookmarkEnd w:id="535"/>
    </w:p>
    <w:p w14:paraId="2F52CCDE" w14:textId="77777777" w:rsidR="00894241" w:rsidRPr="001B6E4D" w:rsidRDefault="00894241" w:rsidP="003D1018">
      <w:pPr>
        <w:overflowPunct w:val="0"/>
        <w:adjustRightInd w:val="0"/>
        <w:snapToGrid w:val="0"/>
        <w:spacing w:line="360" w:lineRule="exact"/>
        <w:ind w:leftChars="1" w:left="1416" w:hangingChars="505" w:hanging="1414"/>
        <w:rPr>
          <w:rFonts w:ascii="標楷體" w:eastAsia="標楷體" w:hAnsi="標楷體"/>
          <w:spacing w:val="-10"/>
          <w:kern w:val="0"/>
          <w:sz w:val="28"/>
          <w:szCs w:val="28"/>
        </w:rPr>
      </w:pPr>
      <w:r w:rsidRPr="001B6E4D">
        <w:rPr>
          <w:rFonts w:ascii="標楷體" w:eastAsia="標楷體" w:hAnsi="標楷體"/>
          <w:kern w:val="0"/>
          <w:sz w:val="28"/>
          <w:szCs w:val="28"/>
          <w:fitText w:val="1120" w:id="-384119808"/>
        </w:rPr>
        <w:t>時    間</w:t>
      </w:r>
      <w:r w:rsidRPr="001B6E4D">
        <w:rPr>
          <w:rFonts w:ascii="標楷體" w:eastAsia="標楷體" w:hAnsi="標楷體"/>
          <w:spacing w:val="-10"/>
          <w:kern w:val="0"/>
          <w:sz w:val="28"/>
          <w:szCs w:val="28"/>
        </w:rPr>
        <w:t>：</w:t>
      </w:r>
      <w:r w:rsidRPr="001B6E4D">
        <w:rPr>
          <w:rFonts w:ascii="標楷體" w:eastAsia="標楷體" w:hAnsi="標楷體"/>
          <w:spacing w:val="-12"/>
          <w:kern w:val="0"/>
          <w:sz w:val="28"/>
          <w:szCs w:val="28"/>
        </w:rPr>
        <w:t>中華民國1</w:t>
      </w:r>
      <w:r w:rsidRPr="001B6E4D">
        <w:rPr>
          <w:rFonts w:ascii="標楷體" w:eastAsia="標楷體" w:hAnsi="標楷體" w:hint="eastAsia"/>
          <w:spacing w:val="-12"/>
          <w:kern w:val="0"/>
          <w:sz w:val="28"/>
          <w:szCs w:val="28"/>
        </w:rPr>
        <w:t>1</w:t>
      </w:r>
      <w:r w:rsidRPr="001B6E4D">
        <w:rPr>
          <w:rFonts w:ascii="標楷體" w:eastAsia="標楷體" w:hAnsi="標楷體"/>
          <w:spacing w:val="-12"/>
          <w:kern w:val="0"/>
          <w:sz w:val="28"/>
          <w:szCs w:val="28"/>
        </w:rPr>
        <w:t>5年</w:t>
      </w:r>
      <w:r w:rsidRPr="001B6E4D">
        <w:rPr>
          <w:rFonts w:ascii="標楷體" w:eastAsia="標楷體" w:hAnsi="標楷體" w:hint="eastAsia"/>
          <w:spacing w:val="-12"/>
          <w:kern w:val="0"/>
          <w:sz w:val="28"/>
          <w:szCs w:val="28"/>
        </w:rPr>
        <w:t>6</w:t>
      </w:r>
      <w:r w:rsidRPr="001B6E4D">
        <w:rPr>
          <w:rFonts w:ascii="標楷體" w:eastAsia="標楷體" w:hAnsi="標楷體"/>
          <w:spacing w:val="-12"/>
          <w:kern w:val="0"/>
          <w:sz w:val="28"/>
          <w:szCs w:val="28"/>
        </w:rPr>
        <w:t>月</w:t>
      </w:r>
      <w:r w:rsidRPr="001B6E4D">
        <w:rPr>
          <w:rFonts w:ascii="標楷體" w:eastAsia="標楷體" w:hAnsi="標楷體" w:hint="eastAsia"/>
          <w:spacing w:val="-12"/>
          <w:kern w:val="0"/>
          <w:sz w:val="28"/>
          <w:szCs w:val="28"/>
        </w:rPr>
        <w:t>17</w:t>
      </w:r>
      <w:r w:rsidRPr="001B6E4D">
        <w:rPr>
          <w:rFonts w:ascii="標楷體" w:eastAsia="標楷體" w:hAnsi="標楷體"/>
          <w:spacing w:val="-12"/>
          <w:kern w:val="0"/>
          <w:sz w:val="28"/>
          <w:szCs w:val="28"/>
        </w:rPr>
        <w:t>日（星期</w:t>
      </w:r>
      <w:r w:rsidRPr="001B6E4D">
        <w:rPr>
          <w:rFonts w:ascii="標楷體" w:eastAsia="標楷體" w:hAnsi="標楷體" w:hint="eastAsia"/>
          <w:spacing w:val="-12"/>
          <w:kern w:val="0"/>
          <w:sz w:val="28"/>
          <w:szCs w:val="28"/>
        </w:rPr>
        <w:t>三</w:t>
      </w:r>
      <w:r w:rsidRPr="001B6E4D">
        <w:rPr>
          <w:rFonts w:ascii="標楷體" w:eastAsia="標楷體" w:hAnsi="標楷體"/>
          <w:spacing w:val="-12"/>
          <w:kern w:val="0"/>
          <w:sz w:val="28"/>
          <w:szCs w:val="28"/>
        </w:rPr>
        <w:t>）上午9時</w:t>
      </w:r>
      <w:r w:rsidRPr="001B6E4D">
        <w:rPr>
          <w:rFonts w:ascii="標楷體" w:eastAsia="標楷體" w:hAnsi="標楷體" w:hint="eastAsia"/>
          <w:spacing w:val="-12"/>
          <w:kern w:val="0"/>
          <w:sz w:val="28"/>
          <w:szCs w:val="28"/>
        </w:rPr>
        <w:t>3分</w:t>
      </w:r>
      <w:r w:rsidRPr="001B6E4D">
        <w:rPr>
          <w:rFonts w:ascii="標楷體" w:eastAsia="標楷體" w:hAnsi="標楷體"/>
          <w:spacing w:val="-12"/>
          <w:kern w:val="0"/>
          <w:sz w:val="28"/>
          <w:szCs w:val="28"/>
        </w:rPr>
        <w:t>至</w:t>
      </w:r>
      <w:r w:rsidRPr="001B6E4D">
        <w:rPr>
          <w:rFonts w:ascii="標楷體" w:eastAsia="標楷體" w:hAnsi="標楷體" w:hint="eastAsia"/>
          <w:spacing w:val="-12"/>
          <w:kern w:val="0"/>
          <w:sz w:val="28"/>
          <w:szCs w:val="28"/>
        </w:rPr>
        <w:t>12</w:t>
      </w:r>
      <w:r w:rsidRPr="001B6E4D">
        <w:rPr>
          <w:rFonts w:ascii="標楷體" w:eastAsia="標楷體" w:hAnsi="標楷體"/>
          <w:spacing w:val="-12"/>
          <w:kern w:val="0"/>
          <w:sz w:val="28"/>
          <w:szCs w:val="28"/>
        </w:rPr>
        <w:t>時3</w:t>
      </w:r>
      <w:r w:rsidRPr="001B6E4D">
        <w:rPr>
          <w:rFonts w:ascii="標楷體" w:eastAsia="標楷體" w:hAnsi="標楷體" w:hint="eastAsia"/>
          <w:spacing w:val="-12"/>
          <w:kern w:val="0"/>
          <w:sz w:val="28"/>
          <w:szCs w:val="28"/>
        </w:rPr>
        <w:t>分</w:t>
      </w:r>
    </w:p>
    <w:p w14:paraId="168A2908" w14:textId="77777777" w:rsidR="00894241" w:rsidRPr="001B6E4D" w:rsidRDefault="00894241"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rPr>
      </w:pPr>
      <w:r w:rsidRPr="001B6E4D">
        <w:rPr>
          <w:rFonts w:ascii="標楷體" w:eastAsia="標楷體" w:hAnsi="標楷體"/>
          <w:kern w:val="0"/>
          <w:sz w:val="28"/>
          <w:szCs w:val="28"/>
          <w:fitText w:val="1120" w:id="-384119807"/>
        </w:rPr>
        <w:t>地    點</w:t>
      </w:r>
      <w:r w:rsidRPr="001B6E4D">
        <w:rPr>
          <w:rFonts w:ascii="標楷體" w:eastAsia="標楷體" w:hAnsi="標楷體"/>
          <w:kern w:val="0"/>
          <w:sz w:val="28"/>
          <w:szCs w:val="28"/>
        </w:rPr>
        <w:t>：本院紅樓302會議室</w:t>
      </w:r>
    </w:p>
    <w:p w14:paraId="4D54DD37" w14:textId="77777777" w:rsidR="00894241" w:rsidRPr="001B6E4D" w:rsidRDefault="00894241" w:rsidP="003D1018">
      <w:pPr>
        <w:widowControl w:val="0"/>
        <w:overflowPunct w:val="0"/>
        <w:snapToGrid w:val="0"/>
        <w:ind w:left="572" w:hanging="561"/>
        <w:rPr>
          <w:rFonts w:ascii="標楷體" w:eastAsia="標楷體" w:hAnsi="標楷體"/>
          <w:kern w:val="0"/>
          <w:sz w:val="28"/>
          <w:szCs w:val="28"/>
        </w:rPr>
      </w:pPr>
      <w:r w:rsidRPr="001B6E4D">
        <w:rPr>
          <w:rFonts w:ascii="標楷體" w:eastAsia="標楷體" w:hAnsi="標楷體"/>
          <w:kern w:val="0"/>
          <w:sz w:val="28"/>
          <w:szCs w:val="28"/>
        </w:rPr>
        <w:t>出席委員：</w:t>
      </w:r>
      <w:r w:rsidRPr="001B6E4D">
        <w:rPr>
          <w:rFonts w:ascii="標楷體" w:eastAsia="標楷體" w:hAnsi="標楷體" w:hint="eastAsia"/>
          <w:kern w:val="0"/>
          <w:sz w:val="28"/>
          <w:szCs w:val="28"/>
        </w:rPr>
        <w:t>陳昭姿</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莊瑞雄</w:t>
      </w:r>
      <w:r w:rsidRPr="001B6E4D">
        <w:rPr>
          <w:rFonts w:ascii="標楷體" w:eastAsia="標楷體" w:hAnsi="標楷體" w:hint="eastAsia"/>
          <w:sz w:val="28"/>
          <w:szCs w:val="28"/>
        </w:rPr>
        <w:tab/>
      </w:r>
      <w:r w:rsidRPr="001B6E4D">
        <w:rPr>
          <w:rFonts w:ascii="標楷體" w:eastAsia="標楷體" w:hAnsi="標楷體" w:hint="eastAsia"/>
          <w:kern w:val="0"/>
          <w:sz w:val="28"/>
          <w:szCs w:val="28"/>
        </w:rPr>
        <w:t>張雅琳</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翁曉玲</w:t>
      </w:r>
      <w:r w:rsidRPr="001B6E4D">
        <w:rPr>
          <w:rFonts w:ascii="標楷體" w:eastAsia="標楷體" w:hAnsi="標楷體" w:hint="eastAsia"/>
          <w:kern w:val="0"/>
          <w:sz w:val="28"/>
          <w:szCs w:val="28"/>
        </w:rPr>
        <w:tab/>
      </w:r>
      <w:r w:rsidRPr="001B6E4D">
        <w:rPr>
          <w:rFonts w:ascii="標楷體" w:eastAsia="標楷體" w:hAnsi="標楷體" w:hint="eastAsia"/>
          <w:sz w:val="28"/>
          <w:szCs w:val="28"/>
        </w:rPr>
        <w:t>林倩綺</w:t>
      </w:r>
      <w:r w:rsidRPr="001B6E4D">
        <w:rPr>
          <w:rFonts w:ascii="標楷體" w:eastAsia="標楷體" w:hAnsi="標楷體" w:hint="eastAsia"/>
          <w:kern w:val="0"/>
          <w:sz w:val="28"/>
          <w:szCs w:val="28"/>
        </w:rPr>
        <w:tab/>
        <w:t>沈發惠</w:t>
      </w:r>
      <w:r w:rsidRPr="001B6E4D">
        <w:rPr>
          <w:rFonts w:ascii="標楷體" w:eastAsia="標楷體" w:hAnsi="標楷體" w:hint="eastAsia"/>
          <w:kern w:val="0"/>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p>
    <w:p w14:paraId="4BB7617E" w14:textId="77777777" w:rsidR="00894241" w:rsidRPr="001B6E4D" w:rsidRDefault="00894241" w:rsidP="003D1018">
      <w:pPr>
        <w:widowControl w:val="0"/>
        <w:overflowPunct w:val="0"/>
        <w:snapToGrid w:val="0"/>
        <w:ind w:left="206" w:firstLine="1212"/>
        <w:rPr>
          <w:rFonts w:ascii="標楷體" w:eastAsia="標楷體" w:hAnsi="標楷體"/>
          <w:sz w:val="28"/>
          <w:szCs w:val="28"/>
        </w:rPr>
      </w:pPr>
      <w:r w:rsidRPr="001B6E4D">
        <w:rPr>
          <w:rFonts w:ascii="標楷體" w:eastAsia="標楷體" w:hAnsi="標楷體" w:hint="eastAsia"/>
          <w:sz w:val="28"/>
          <w:szCs w:val="28"/>
        </w:rPr>
        <w:t>蔡其昌</w:t>
      </w:r>
      <w:r w:rsidRPr="001B6E4D">
        <w:rPr>
          <w:rFonts w:ascii="標楷體" w:eastAsia="標楷體" w:hAnsi="標楷體" w:hint="eastAsia"/>
          <w:sz w:val="28"/>
          <w:szCs w:val="28"/>
        </w:rPr>
        <w:tab/>
        <w:t>吳宗憲</w:t>
      </w:r>
      <w:r w:rsidRPr="001B6E4D">
        <w:rPr>
          <w:rFonts w:ascii="標楷體" w:eastAsia="標楷體" w:hAnsi="標楷體" w:hint="eastAsia"/>
          <w:kern w:val="0"/>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ab/>
      </w:r>
      <w:r w:rsidRPr="001B6E4D">
        <w:rPr>
          <w:rFonts w:ascii="標楷體" w:eastAsia="標楷體" w:hAnsi="標楷體" w:hint="eastAsia"/>
          <w:sz w:val="28"/>
          <w:szCs w:val="28"/>
        </w:rPr>
        <w:t>傅崐萁</w:t>
      </w:r>
      <w:r w:rsidRPr="001B6E4D">
        <w:rPr>
          <w:rFonts w:ascii="標楷體" w:eastAsia="標楷體" w:hAnsi="標楷體" w:hint="eastAsia"/>
          <w:sz w:val="28"/>
          <w:szCs w:val="28"/>
        </w:rPr>
        <w:tab/>
        <w:t>柯建銘</w:t>
      </w:r>
    </w:p>
    <w:p w14:paraId="552408CC"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12</w:t>
      </w:r>
      <w:r w:rsidRPr="001B6E4D">
        <w:rPr>
          <w:rFonts w:ascii="標楷體" w:eastAsia="標楷體" w:hAnsi="標楷體"/>
          <w:sz w:val="28"/>
          <w:szCs w:val="28"/>
        </w:rPr>
        <w:t>人</w:t>
      </w:r>
    </w:p>
    <w:p w14:paraId="627254C5" w14:textId="77777777" w:rsidR="00894241" w:rsidRPr="001B6E4D" w:rsidRDefault="00894241" w:rsidP="003D1018">
      <w:pPr>
        <w:widowControl w:val="0"/>
        <w:overflowPunct w:val="0"/>
        <w:snapToGrid w:val="0"/>
        <w:ind w:left="572" w:hanging="561"/>
        <w:rPr>
          <w:rFonts w:ascii="標楷體" w:eastAsia="標楷體" w:hAnsi="標楷體"/>
          <w:kern w:val="0"/>
          <w:sz w:val="28"/>
          <w:szCs w:val="28"/>
        </w:rPr>
      </w:pPr>
      <w:r w:rsidRPr="001B6E4D">
        <w:rPr>
          <w:rFonts w:ascii="標楷體" w:eastAsia="標楷體" w:hAnsi="標楷體" w:hint="eastAsia"/>
          <w:sz w:val="28"/>
          <w:szCs w:val="28"/>
        </w:rPr>
        <w:t>請假委員</w:t>
      </w:r>
      <w:r w:rsidRPr="001B6E4D">
        <w:rPr>
          <w:rFonts w:ascii="標楷體" w:eastAsia="標楷體" w:hAnsi="標楷體"/>
          <w:kern w:val="0"/>
          <w:sz w:val="28"/>
          <w:szCs w:val="28"/>
        </w:rPr>
        <w:t>：</w:t>
      </w:r>
      <w:r w:rsidRPr="001B6E4D">
        <w:rPr>
          <w:rFonts w:ascii="標楷體" w:eastAsia="標楷體" w:hAnsi="標楷體" w:hint="eastAsia"/>
          <w:kern w:val="0"/>
          <w:sz w:val="28"/>
          <w:szCs w:val="28"/>
        </w:rPr>
        <w:t>林沛祥</w:t>
      </w:r>
    </w:p>
    <w:p w14:paraId="572B0187"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委員請假1人</w:t>
      </w:r>
    </w:p>
    <w:p w14:paraId="27E66A77" w14:textId="77777777" w:rsidR="00894241" w:rsidRPr="001B6E4D" w:rsidRDefault="00894241" w:rsidP="003D1018">
      <w:pPr>
        <w:widowControl w:val="0"/>
        <w:overflowPunct w:val="0"/>
        <w:snapToGrid w:val="0"/>
        <w:ind w:left="572" w:hanging="561"/>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color w:val="000000"/>
          <w:sz w:val="28"/>
          <w:szCs w:val="28"/>
        </w:rPr>
        <w:t>鄭正鈐</w:t>
      </w:r>
      <w:r w:rsidRPr="001B6E4D">
        <w:rPr>
          <w:rFonts w:ascii="標楷體" w:eastAsia="標楷體" w:hAnsi="標楷體" w:hint="eastAsia"/>
          <w:sz w:val="28"/>
          <w:szCs w:val="28"/>
        </w:rPr>
        <w:tab/>
        <w:t>謝龍</w:t>
      </w:r>
      <w:proofErr w:type="gramStart"/>
      <w:r w:rsidRPr="001B6E4D">
        <w:rPr>
          <w:rFonts w:ascii="標楷體" w:eastAsia="標楷體" w:hAnsi="標楷體" w:hint="eastAsia"/>
          <w:sz w:val="28"/>
          <w:szCs w:val="28"/>
        </w:rPr>
        <w:t>介</w:t>
      </w:r>
      <w:proofErr w:type="gramEnd"/>
      <w:r w:rsidRPr="001B6E4D">
        <w:rPr>
          <w:rFonts w:ascii="標楷體" w:eastAsia="標楷體" w:hAnsi="標楷體"/>
          <w:sz w:val="28"/>
          <w:szCs w:val="28"/>
        </w:rPr>
        <w:tab/>
      </w:r>
      <w:r w:rsidRPr="001B6E4D">
        <w:rPr>
          <w:rFonts w:ascii="標楷體" w:eastAsia="標楷體" w:hAnsi="標楷體" w:hint="eastAsia"/>
          <w:sz w:val="28"/>
          <w:szCs w:val="28"/>
        </w:rPr>
        <w:t>楊瓊瓔</w:t>
      </w:r>
      <w:r w:rsidRPr="001B6E4D">
        <w:rPr>
          <w:rFonts w:ascii="標楷體" w:eastAsia="標楷體" w:hAnsi="標楷體" w:hint="eastAsia"/>
          <w:sz w:val="28"/>
          <w:szCs w:val="28"/>
        </w:rPr>
        <w:tab/>
        <w:t>鍾佳濱</w:t>
      </w:r>
      <w:r w:rsidRPr="001B6E4D">
        <w:rPr>
          <w:rFonts w:ascii="標楷體" w:eastAsia="標楷體" w:hAnsi="標楷體" w:hint="eastAsia"/>
          <w:color w:val="000000"/>
          <w:sz w:val="28"/>
          <w:szCs w:val="28"/>
        </w:rPr>
        <w:tab/>
        <w:t>蘇清泉</w:t>
      </w:r>
      <w:r w:rsidRPr="001B6E4D">
        <w:rPr>
          <w:rFonts w:ascii="標楷體" w:eastAsia="標楷體" w:hAnsi="標楷體"/>
          <w:sz w:val="28"/>
          <w:szCs w:val="28"/>
        </w:rPr>
        <w:tab/>
      </w:r>
      <w:r w:rsidRPr="001B6E4D">
        <w:rPr>
          <w:rFonts w:ascii="標楷體" w:eastAsia="標楷體" w:hAnsi="標楷體" w:hint="eastAsia"/>
          <w:sz w:val="28"/>
          <w:szCs w:val="28"/>
        </w:rPr>
        <w:t>王鴻薇</w:t>
      </w:r>
      <w:r w:rsidRPr="001B6E4D">
        <w:rPr>
          <w:rFonts w:ascii="標楷體" w:eastAsia="標楷體" w:hAnsi="標楷體"/>
          <w:sz w:val="28"/>
          <w:szCs w:val="28"/>
        </w:rPr>
        <w:tab/>
      </w:r>
      <w:r w:rsidRPr="001B6E4D">
        <w:rPr>
          <w:rFonts w:ascii="標楷體" w:eastAsia="標楷體" w:hAnsi="標楷體" w:hint="eastAsia"/>
          <w:sz w:val="28"/>
          <w:szCs w:val="28"/>
        </w:rPr>
        <w:t>洪孟楷</w:t>
      </w:r>
      <w:r w:rsidRPr="001B6E4D">
        <w:rPr>
          <w:rFonts w:ascii="標楷體" w:eastAsia="標楷體" w:hAnsi="標楷體"/>
          <w:spacing w:val="-30"/>
          <w:sz w:val="28"/>
          <w:szCs w:val="28"/>
        </w:rPr>
        <w:tab/>
      </w:r>
    </w:p>
    <w:p w14:paraId="4D8F2993"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陳冠廷</w:t>
      </w:r>
      <w:r w:rsidRPr="001B6E4D">
        <w:rPr>
          <w:rFonts w:ascii="標楷體" w:eastAsia="標楷體" w:hAnsi="標楷體"/>
          <w:sz w:val="28"/>
          <w:szCs w:val="28"/>
        </w:rPr>
        <w:tab/>
      </w:r>
      <w:r w:rsidRPr="001B6E4D">
        <w:rPr>
          <w:rFonts w:ascii="標楷體" w:eastAsia="標楷體" w:hAnsi="標楷體" w:hint="eastAsia"/>
          <w:sz w:val="28"/>
          <w:szCs w:val="28"/>
        </w:rPr>
        <w:t>蔡易餘</w:t>
      </w:r>
      <w:r w:rsidRPr="001B6E4D">
        <w:rPr>
          <w:rFonts w:ascii="標楷體" w:eastAsia="標楷體" w:hAnsi="標楷體"/>
          <w:sz w:val="28"/>
          <w:szCs w:val="28"/>
        </w:rPr>
        <w:tab/>
      </w:r>
    </w:p>
    <w:p w14:paraId="083ADE26"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9</w:t>
      </w:r>
      <w:r w:rsidRPr="001B6E4D">
        <w:rPr>
          <w:rFonts w:ascii="標楷體" w:eastAsia="標楷體" w:hAnsi="標楷體"/>
          <w:sz w:val="28"/>
          <w:szCs w:val="28"/>
        </w:rPr>
        <w:t>人</w:t>
      </w:r>
    </w:p>
    <w:p w14:paraId="556900F0" w14:textId="77777777" w:rsidR="00894241" w:rsidRPr="001B6E4D" w:rsidRDefault="00894241"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法務部常務次長　馮成(部長請假)</w:t>
      </w:r>
    </w:p>
    <w:p w14:paraId="3855ECAD" w14:textId="77777777" w:rsidR="00894241" w:rsidRPr="001B6E4D" w:rsidRDefault="00894241"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司法院司法行政廳廳長　吳祚丞</w:t>
      </w:r>
    </w:p>
    <w:p w14:paraId="53657B7E" w14:textId="77777777" w:rsidR="00894241" w:rsidRPr="001B6E4D" w:rsidRDefault="00894241"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內政部警政署行政組副組長　邱顯良</w:t>
      </w:r>
    </w:p>
    <w:p w14:paraId="773F7806" w14:textId="77777777" w:rsidR="00894241" w:rsidRPr="001B6E4D" w:rsidRDefault="00894241"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席：莊召集委員瑞雄</w:t>
      </w:r>
    </w:p>
    <w:p w14:paraId="58EC638E"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7FB435A5"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3F7AECD5" w14:textId="77777777" w:rsidR="00894241" w:rsidRPr="001B6E4D" w:rsidRDefault="00894241"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69DC84D0"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4BE00CCF"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6D583498"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6BE68B6D" w14:textId="77777777" w:rsidR="00894241" w:rsidRPr="001B6E4D" w:rsidRDefault="00894241"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067FB722"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宣讀上次會議議事錄。</w:t>
      </w:r>
    </w:p>
    <w:p w14:paraId="6CA1416E"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sz w:val="28"/>
          <w:szCs w:val="28"/>
        </w:rPr>
        <w:t>決定：確定。</w:t>
      </w:r>
    </w:p>
    <w:p w14:paraId="01580E01" w14:textId="77777777" w:rsidR="00894241" w:rsidRPr="001B6E4D" w:rsidRDefault="00894241"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討論事項</w:t>
      </w:r>
    </w:p>
    <w:p w14:paraId="2A1DE55A"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一、</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57F46EE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（一）委員賴士葆等27人擬具「律師法增訂第三十五條之一、第三十五條之二及第三十五條之三條文草案」案。</w:t>
      </w:r>
    </w:p>
    <w:p w14:paraId="574EBA7D"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（二）委員翁曉玲等16人擬具「律師法增訂第三十五條之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0255429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等21人擬具「律師法增訂第三十五條之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1BE8C4B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（四）委員廖偉翔等18人擬具「律師法增訂第三十五條之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4BCF983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（五）委員王鴻薇等17人擬具「律師法增訂第三十五條之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760F70D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（六）委員李柏毅等19人擬具「律師法增訂第三十五條之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及第三十五條之二條文草案」案。</w:t>
      </w:r>
    </w:p>
    <w:p w14:paraId="4969A3EE"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（七）委員楊瓊瓔等28人擬具「律師法增訂第三十五條之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74C2AC9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（八）委員邱鎮軍等21人擬具「律師法增訂第三十五條之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及第三十五條之二條文草案」案。</w:t>
      </w:r>
    </w:p>
    <w:p w14:paraId="6B64E3FD"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（九）委員林思銘等17人擬具「律師法增訂第三十五條之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188B62E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（十）委員林倩綺等17人擬具「律師法增訂第三十五條之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條文草案」案。</w:t>
      </w:r>
    </w:p>
    <w:p w14:paraId="365E642E"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r w:rsidRPr="001B6E4D">
        <w:rPr>
          <w:rFonts w:ascii="標楷體" w:eastAsia="標楷體" w:hAnsi="標楷體" w:hint="eastAsia"/>
          <w:sz w:val="28"/>
          <w:szCs w:val="28"/>
        </w:rPr>
        <w:t>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5E3602E3"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（一）行政院函請審議「律師法部分條文修正草案」案。</w:t>
      </w:r>
    </w:p>
    <w:p w14:paraId="5919B7E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（二）委員王鴻薇等18人擬具「律師法第七條及第七十四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AB1C36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（三）委員陳素月等18人擬具「律師法部分條文修正草案」案。</w:t>
      </w:r>
    </w:p>
    <w:p w14:paraId="20A345F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（四）委員郭昱晴等17人擬具「律師法部分條文修正草案」案。</w:t>
      </w:r>
    </w:p>
    <w:p w14:paraId="32C05AB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（五）委員吳沛憶等17人擬具「律師法部分條文修正草案」案。</w:t>
      </w:r>
    </w:p>
    <w:p w14:paraId="18640E1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（六）委員沈發惠等17人擬具「律師法部分條文修正草案」案。</w:t>
      </w:r>
    </w:p>
    <w:p w14:paraId="517D87B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（七）委員羅智強等17人擬具「律師法第七條、第七十四條及第七十六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7CD090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（八）委員莊瑞雄等16人擬具「律師法部分條文修正草案」案。</w:t>
      </w:r>
    </w:p>
    <w:p w14:paraId="6FE0CB5A"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陳昭姿、翁曉玲、張雅琳、莊瑞雄、林倩綺、</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、楊瓊瓔、王鴻薇、謝龍介、洪孟楷、陳冠廷</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；委員蔡其昌、沈發惠、吳宗憲、傅崐萁提出書面質詢。</w:t>
      </w:r>
      <w:r w:rsidRPr="001B6E4D">
        <w:rPr>
          <w:rFonts w:ascii="標楷體" w:eastAsia="標楷體" w:hAnsi="標楷體"/>
          <w:sz w:val="28"/>
          <w:szCs w:val="28"/>
        </w:rPr>
        <w:t>）</w:t>
      </w:r>
    </w:p>
    <w:p w14:paraId="1DE62C2A" w14:textId="77777777" w:rsidR="00894241" w:rsidRPr="001B6E4D" w:rsidRDefault="00894241"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22391376" w14:textId="77777777" w:rsidR="00894241" w:rsidRPr="001B6E4D" w:rsidRDefault="00894241" w:rsidP="003D1018">
      <w:pPr>
        <w:numPr>
          <w:ilvl w:val="0"/>
          <w:numId w:val="77"/>
        </w:numPr>
        <w:overflowPunct w:val="0"/>
        <w:spacing w:line="360" w:lineRule="exact"/>
        <w:contextualSpacing/>
        <w:jc w:val="both"/>
        <w:rPr>
          <w:rFonts w:ascii="標楷體" w:eastAsia="標楷體" w:hAnsi="標楷體"/>
          <w:sz w:val="28"/>
          <w:szCs w:val="28"/>
        </w:rPr>
      </w:pP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p>
    <w:p w14:paraId="02AC654C" w14:textId="77777777" w:rsidR="00894241" w:rsidRPr="001B6E4D" w:rsidRDefault="00894241" w:rsidP="003D1018">
      <w:pPr>
        <w:numPr>
          <w:ilvl w:val="0"/>
          <w:numId w:val="77"/>
        </w:num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第一案及第二案，</w:t>
      </w:r>
      <w:proofErr w:type="gramStart"/>
      <w:r w:rsidRPr="001B6E4D">
        <w:rPr>
          <w:rFonts w:ascii="標楷體" w:eastAsia="標楷體" w:hAnsi="標楷體" w:hint="eastAsia"/>
          <w:sz w:val="28"/>
          <w:szCs w:val="28"/>
        </w:rPr>
        <w:t>均另定期</w:t>
      </w:r>
      <w:proofErr w:type="gramEnd"/>
      <w:r w:rsidRPr="001B6E4D">
        <w:rPr>
          <w:rFonts w:ascii="標楷體" w:eastAsia="標楷體" w:hAnsi="標楷體" w:hint="eastAsia"/>
          <w:sz w:val="28"/>
          <w:szCs w:val="28"/>
        </w:rPr>
        <w:t>繼續審查。</w:t>
      </w:r>
    </w:p>
    <w:p w14:paraId="2AB6B667" w14:textId="77777777" w:rsidR="00894241" w:rsidRPr="001B6E4D" w:rsidRDefault="00894241" w:rsidP="003D1018">
      <w:pPr>
        <w:numPr>
          <w:ilvl w:val="0"/>
          <w:numId w:val="77"/>
        </w:numPr>
        <w:kinsoku w:val="0"/>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3E806430" w14:textId="77777777" w:rsidR="00894241" w:rsidRPr="001B6E4D" w:rsidRDefault="00894241" w:rsidP="003D1018">
      <w:pPr>
        <w:overflowPunct w:val="0"/>
        <w:spacing w:line="400" w:lineRule="exact"/>
        <w:ind w:leftChars="6" w:left="14"/>
        <w:jc w:val="both"/>
        <w:rPr>
          <w:rFonts w:ascii="標楷體" w:eastAsia="標楷體" w:hAnsi="標楷體"/>
        </w:rPr>
      </w:pPr>
      <w:r w:rsidRPr="001B6E4D">
        <w:rPr>
          <w:rFonts w:ascii="標楷體" w:eastAsia="標楷體" w:hAnsi="標楷體"/>
          <w:sz w:val="28"/>
          <w:szCs w:val="28"/>
        </w:rPr>
        <w:t>散會</w:t>
      </w:r>
    </w:p>
    <w:p w14:paraId="54051195"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64B32ACF" w14:textId="7D878BA4" w:rsidR="00894241" w:rsidRPr="001B6E4D" w:rsidRDefault="00894241"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36" w:name="_Toc240446604"/>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20</w:t>
      </w:r>
      <w:r w:rsidRPr="001B6E4D">
        <w:rPr>
          <w:rFonts w:ascii="標楷體" w:eastAsia="標楷體" w:hAnsi="標楷體"/>
          <w:b/>
          <w:spacing w:val="-2"/>
          <w:sz w:val="28"/>
          <w:szCs w:val="28"/>
        </w:rPr>
        <w:t>次全體委員會議議事錄</w:t>
      </w:r>
      <w:bookmarkEnd w:id="536"/>
    </w:p>
    <w:p w14:paraId="487E2D07" w14:textId="77777777" w:rsidR="00894241" w:rsidRPr="001B6E4D" w:rsidRDefault="00894241" w:rsidP="003D1018">
      <w:pPr>
        <w:overflowPunct w:val="0"/>
        <w:adjustRightInd w:val="0"/>
        <w:snapToGrid w:val="0"/>
        <w:spacing w:line="360" w:lineRule="exact"/>
        <w:ind w:leftChars="1" w:left="1416" w:hangingChars="505" w:hanging="1414"/>
        <w:rPr>
          <w:rFonts w:ascii="標楷體" w:eastAsia="標楷體" w:hAnsi="標楷體"/>
          <w:spacing w:val="-10"/>
          <w:kern w:val="0"/>
          <w:sz w:val="28"/>
          <w:szCs w:val="28"/>
        </w:rPr>
      </w:pPr>
      <w:r w:rsidRPr="001B6E4D">
        <w:rPr>
          <w:rFonts w:ascii="標楷體" w:eastAsia="標楷體" w:hAnsi="標楷體"/>
          <w:kern w:val="0"/>
          <w:sz w:val="28"/>
          <w:szCs w:val="28"/>
          <w:fitText w:val="1120" w:id="-384119806"/>
        </w:rPr>
        <w:t>時    間</w:t>
      </w:r>
      <w:r w:rsidRPr="001B6E4D">
        <w:rPr>
          <w:rFonts w:ascii="標楷體" w:eastAsia="標楷體" w:hAnsi="標楷體"/>
          <w:spacing w:val="-10"/>
          <w:kern w:val="0"/>
          <w:sz w:val="28"/>
          <w:szCs w:val="28"/>
        </w:rPr>
        <w:t>：</w:t>
      </w:r>
      <w:r w:rsidRPr="001B6E4D">
        <w:rPr>
          <w:rFonts w:ascii="標楷體" w:eastAsia="標楷體" w:hAnsi="標楷體"/>
          <w:spacing w:val="-6"/>
          <w:kern w:val="0"/>
          <w:sz w:val="28"/>
          <w:szCs w:val="28"/>
        </w:rPr>
        <w:t>中華民國1</w:t>
      </w:r>
      <w:r w:rsidRPr="001B6E4D">
        <w:rPr>
          <w:rFonts w:ascii="標楷體" w:eastAsia="標楷體" w:hAnsi="標楷體" w:hint="eastAsia"/>
          <w:spacing w:val="-6"/>
          <w:kern w:val="0"/>
          <w:sz w:val="28"/>
          <w:szCs w:val="28"/>
        </w:rPr>
        <w:t>15</w:t>
      </w:r>
      <w:r w:rsidRPr="001B6E4D">
        <w:rPr>
          <w:rFonts w:ascii="標楷體" w:eastAsia="標楷體" w:hAnsi="標楷體"/>
          <w:spacing w:val="-6"/>
          <w:kern w:val="0"/>
          <w:sz w:val="28"/>
          <w:szCs w:val="28"/>
        </w:rPr>
        <w:t>年</w:t>
      </w:r>
      <w:r w:rsidRPr="001B6E4D">
        <w:rPr>
          <w:rFonts w:ascii="標楷體" w:eastAsia="標楷體" w:hAnsi="標楷體" w:hint="eastAsia"/>
          <w:spacing w:val="-6"/>
          <w:kern w:val="0"/>
          <w:sz w:val="28"/>
          <w:szCs w:val="28"/>
        </w:rPr>
        <w:t>6</w:t>
      </w:r>
      <w:r w:rsidRPr="001B6E4D">
        <w:rPr>
          <w:rFonts w:ascii="標楷體" w:eastAsia="標楷體" w:hAnsi="標楷體"/>
          <w:spacing w:val="-6"/>
          <w:kern w:val="0"/>
          <w:sz w:val="28"/>
          <w:szCs w:val="28"/>
        </w:rPr>
        <w:t>月</w:t>
      </w:r>
      <w:r w:rsidRPr="001B6E4D">
        <w:rPr>
          <w:rFonts w:ascii="標楷體" w:eastAsia="標楷體" w:hAnsi="標楷體" w:hint="eastAsia"/>
          <w:spacing w:val="-6"/>
          <w:kern w:val="0"/>
          <w:sz w:val="28"/>
          <w:szCs w:val="28"/>
        </w:rPr>
        <w:t>24</w:t>
      </w:r>
      <w:r w:rsidRPr="001B6E4D">
        <w:rPr>
          <w:rFonts w:ascii="標楷體" w:eastAsia="標楷體" w:hAnsi="標楷體"/>
          <w:spacing w:val="-6"/>
          <w:kern w:val="0"/>
          <w:sz w:val="28"/>
          <w:szCs w:val="28"/>
        </w:rPr>
        <w:t>日（星期</w:t>
      </w:r>
      <w:r w:rsidRPr="001B6E4D">
        <w:rPr>
          <w:rFonts w:ascii="標楷體" w:eastAsia="標楷體" w:hAnsi="標楷體" w:hint="eastAsia"/>
          <w:spacing w:val="-6"/>
          <w:kern w:val="0"/>
          <w:sz w:val="28"/>
          <w:szCs w:val="28"/>
        </w:rPr>
        <w:t>三</w:t>
      </w:r>
      <w:r w:rsidRPr="001B6E4D">
        <w:rPr>
          <w:rFonts w:ascii="標楷體" w:eastAsia="標楷體" w:hAnsi="標楷體"/>
          <w:spacing w:val="-6"/>
          <w:kern w:val="0"/>
          <w:sz w:val="28"/>
          <w:szCs w:val="28"/>
        </w:rPr>
        <w:t>）上午9時至</w:t>
      </w:r>
      <w:r w:rsidRPr="001B6E4D">
        <w:rPr>
          <w:rFonts w:ascii="標楷體" w:eastAsia="標楷體" w:hAnsi="標楷體" w:hint="eastAsia"/>
          <w:spacing w:val="-6"/>
          <w:kern w:val="0"/>
          <w:sz w:val="28"/>
          <w:szCs w:val="28"/>
        </w:rPr>
        <w:t>1</w:t>
      </w:r>
      <w:r w:rsidRPr="001B6E4D">
        <w:rPr>
          <w:rFonts w:ascii="標楷體" w:eastAsia="標楷體" w:hAnsi="標楷體"/>
          <w:spacing w:val="-6"/>
          <w:kern w:val="0"/>
          <w:sz w:val="28"/>
          <w:szCs w:val="28"/>
        </w:rPr>
        <w:t>1時</w:t>
      </w:r>
      <w:r w:rsidRPr="001B6E4D">
        <w:rPr>
          <w:rFonts w:ascii="標楷體" w:eastAsia="標楷體" w:hAnsi="標楷體" w:hint="eastAsia"/>
          <w:spacing w:val="-6"/>
          <w:kern w:val="0"/>
          <w:sz w:val="28"/>
          <w:szCs w:val="28"/>
        </w:rPr>
        <w:t>2</w:t>
      </w:r>
      <w:r w:rsidRPr="001B6E4D">
        <w:rPr>
          <w:rFonts w:ascii="標楷體" w:eastAsia="標楷體" w:hAnsi="標楷體"/>
          <w:spacing w:val="-6"/>
          <w:kern w:val="0"/>
          <w:sz w:val="28"/>
          <w:szCs w:val="28"/>
        </w:rPr>
        <w:t>9</w:t>
      </w:r>
      <w:r w:rsidRPr="001B6E4D">
        <w:rPr>
          <w:rFonts w:ascii="標楷體" w:eastAsia="標楷體" w:hAnsi="標楷體" w:hint="eastAsia"/>
          <w:spacing w:val="-6"/>
          <w:kern w:val="0"/>
          <w:sz w:val="28"/>
          <w:szCs w:val="28"/>
        </w:rPr>
        <w:t>分</w:t>
      </w:r>
    </w:p>
    <w:p w14:paraId="2B92399D" w14:textId="77777777" w:rsidR="00894241" w:rsidRPr="001B6E4D" w:rsidRDefault="00894241"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rPr>
      </w:pPr>
      <w:r w:rsidRPr="001B6E4D">
        <w:rPr>
          <w:rFonts w:ascii="標楷體" w:eastAsia="標楷體" w:hAnsi="標楷體"/>
          <w:kern w:val="0"/>
          <w:sz w:val="28"/>
          <w:szCs w:val="28"/>
          <w:fitText w:val="1120" w:id="-384119805"/>
        </w:rPr>
        <w:t>地    點</w:t>
      </w:r>
      <w:r w:rsidRPr="001B6E4D">
        <w:rPr>
          <w:rFonts w:ascii="標楷體" w:eastAsia="標楷體" w:hAnsi="標楷體"/>
          <w:kern w:val="0"/>
          <w:sz w:val="28"/>
          <w:szCs w:val="28"/>
        </w:rPr>
        <w:t>：本院紅樓302會議室</w:t>
      </w:r>
    </w:p>
    <w:p w14:paraId="23B90E3C" w14:textId="77777777" w:rsidR="00894241" w:rsidRPr="001B6E4D" w:rsidRDefault="00894241" w:rsidP="003D1018">
      <w:pPr>
        <w:widowControl w:val="0"/>
        <w:overflowPunct w:val="0"/>
        <w:snapToGrid w:val="0"/>
        <w:ind w:left="572" w:hanging="561"/>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kern w:val="0"/>
          <w:sz w:val="28"/>
          <w:szCs w:val="28"/>
        </w:rPr>
        <w:t>陳昭姿</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林沛祥</w:t>
      </w:r>
      <w:r w:rsidRPr="001B6E4D">
        <w:rPr>
          <w:rFonts w:ascii="標楷體" w:eastAsia="標楷體" w:hAnsi="標楷體" w:hint="eastAsia"/>
          <w:kern w:val="0"/>
          <w:sz w:val="28"/>
          <w:szCs w:val="28"/>
        </w:rPr>
        <w:tab/>
      </w:r>
      <w:r w:rsidRPr="001B6E4D">
        <w:rPr>
          <w:rFonts w:ascii="標楷體" w:eastAsia="標楷體" w:hAnsi="標楷體" w:hint="eastAsia"/>
          <w:sz w:val="28"/>
          <w:szCs w:val="28"/>
        </w:rPr>
        <w:t>吳宗憲</w:t>
      </w:r>
      <w:r w:rsidRPr="001B6E4D">
        <w:rPr>
          <w:rFonts w:ascii="標楷體" w:eastAsia="標楷體" w:hAnsi="標楷體" w:hint="eastAsia"/>
          <w:kern w:val="0"/>
          <w:sz w:val="28"/>
          <w:szCs w:val="28"/>
        </w:rPr>
        <w:tab/>
        <w:t>翁曉玲</w:t>
      </w:r>
      <w:r w:rsidRPr="001B6E4D">
        <w:rPr>
          <w:rFonts w:ascii="標楷體" w:eastAsia="標楷體" w:hAnsi="標楷體" w:hint="eastAsia"/>
          <w:kern w:val="0"/>
          <w:sz w:val="28"/>
          <w:szCs w:val="28"/>
        </w:rPr>
        <w:tab/>
        <w:t>莊瑞雄</w:t>
      </w:r>
      <w:r w:rsidRPr="001B6E4D">
        <w:rPr>
          <w:rFonts w:ascii="標楷體" w:eastAsia="標楷體" w:hAnsi="標楷體" w:hint="eastAsia"/>
          <w:sz w:val="28"/>
          <w:szCs w:val="28"/>
        </w:rPr>
        <w:tab/>
      </w:r>
      <w:r w:rsidRPr="001B6E4D">
        <w:rPr>
          <w:rFonts w:ascii="標楷體" w:eastAsia="標楷體" w:hAnsi="標楷體" w:hint="eastAsia"/>
          <w:kern w:val="0"/>
          <w:sz w:val="28"/>
          <w:szCs w:val="28"/>
        </w:rPr>
        <w:t>沈發惠</w:t>
      </w:r>
      <w:r w:rsidRPr="001B6E4D">
        <w:rPr>
          <w:rFonts w:ascii="標楷體" w:eastAsia="標楷體" w:hAnsi="標楷體" w:hint="eastAsia"/>
          <w:kern w:val="0"/>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kern w:val="0"/>
          <w:sz w:val="28"/>
          <w:szCs w:val="28"/>
        </w:rPr>
        <w:tab/>
      </w:r>
    </w:p>
    <w:p w14:paraId="0D63D13E"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highlight w:val="yellow"/>
        </w:rPr>
      </w:pPr>
      <w:r w:rsidRPr="001B6E4D">
        <w:rPr>
          <w:rFonts w:ascii="標楷體" w:eastAsia="標楷體" w:hAnsi="標楷體" w:hint="eastAsia"/>
          <w:kern w:val="0"/>
          <w:sz w:val="28"/>
          <w:szCs w:val="28"/>
        </w:rPr>
        <w:t>張雅琳</w:t>
      </w:r>
      <w:r w:rsidRPr="001B6E4D">
        <w:rPr>
          <w:rFonts w:ascii="標楷體" w:eastAsia="標楷體" w:hAnsi="標楷體" w:hint="eastAsia"/>
          <w:kern w:val="0"/>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ab/>
      </w:r>
      <w:r w:rsidRPr="001B6E4D">
        <w:rPr>
          <w:rFonts w:ascii="標楷體" w:eastAsia="標楷體" w:hAnsi="標楷體" w:hint="eastAsia"/>
          <w:sz w:val="28"/>
          <w:szCs w:val="28"/>
        </w:rPr>
        <w:t>蔡其昌</w:t>
      </w:r>
      <w:r w:rsidRPr="001B6E4D">
        <w:rPr>
          <w:rFonts w:ascii="標楷體" w:eastAsia="標楷體" w:hAnsi="標楷體" w:hint="eastAsia"/>
          <w:sz w:val="28"/>
          <w:szCs w:val="28"/>
        </w:rPr>
        <w:tab/>
        <w:t>柯建銘</w:t>
      </w:r>
      <w:r w:rsidRPr="001B6E4D">
        <w:rPr>
          <w:rFonts w:ascii="標楷體" w:eastAsia="標楷體" w:hAnsi="標楷體" w:hint="eastAsia"/>
          <w:sz w:val="28"/>
          <w:szCs w:val="28"/>
        </w:rPr>
        <w:tab/>
        <w:t>傅崐萁</w:t>
      </w:r>
    </w:p>
    <w:p w14:paraId="495EE8E7"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12</w:t>
      </w:r>
      <w:r w:rsidRPr="001B6E4D">
        <w:rPr>
          <w:rFonts w:ascii="標楷體" w:eastAsia="標楷體" w:hAnsi="標楷體"/>
          <w:sz w:val="28"/>
          <w:szCs w:val="28"/>
        </w:rPr>
        <w:t>人</w:t>
      </w:r>
    </w:p>
    <w:p w14:paraId="5919B44B"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hint="eastAsia"/>
          <w:color w:val="000000"/>
          <w:sz w:val="28"/>
          <w:szCs w:val="28"/>
        </w:rPr>
        <w:tab/>
      </w:r>
      <w:r w:rsidRPr="001B6E4D">
        <w:rPr>
          <w:rFonts w:ascii="標楷體" w:eastAsia="標楷體" w:hAnsi="標楷體" w:hint="eastAsia"/>
          <w:sz w:val="28"/>
          <w:szCs w:val="28"/>
        </w:rPr>
        <w:t>洪孟楷</w:t>
      </w:r>
      <w:r w:rsidRPr="001B6E4D">
        <w:rPr>
          <w:rFonts w:ascii="標楷體" w:eastAsia="標楷體" w:hAnsi="標楷體"/>
          <w:sz w:val="28"/>
          <w:szCs w:val="28"/>
        </w:rPr>
        <w:tab/>
      </w:r>
      <w:r w:rsidRPr="001B6E4D">
        <w:rPr>
          <w:rFonts w:ascii="標楷體" w:eastAsia="標楷體" w:hAnsi="標楷體" w:hint="eastAsia"/>
          <w:color w:val="000000"/>
          <w:sz w:val="28"/>
          <w:szCs w:val="28"/>
        </w:rPr>
        <w:t>蘇清泉</w:t>
      </w:r>
      <w:r w:rsidRPr="001B6E4D">
        <w:rPr>
          <w:rFonts w:ascii="標楷體" w:eastAsia="標楷體" w:hAnsi="標楷體"/>
          <w:sz w:val="28"/>
          <w:szCs w:val="28"/>
        </w:rPr>
        <w:tab/>
      </w:r>
      <w:r w:rsidRPr="001B6E4D">
        <w:rPr>
          <w:rFonts w:ascii="標楷體" w:eastAsia="標楷體" w:hAnsi="標楷體" w:hint="eastAsia"/>
          <w:sz w:val="28"/>
          <w:szCs w:val="28"/>
        </w:rPr>
        <w:t>王安祥</w:t>
      </w:r>
      <w:r w:rsidRPr="001B6E4D">
        <w:rPr>
          <w:rFonts w:ascii="標楷體" w:eastAsia="標楷體" w:hAnsi="標楷體" w:hint="eastAsia"/>
          <w:sz w:val="28"/>
          <w:szCs w:val="28"/>
        </w:rPr>
        <w:tab/>
      </w:r>
    </w:p>
    <w:p w14:paraId="4A267AEF"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4</w:t>
      </w:r>
      <w:r w:rsidRPr="001B6E4D">
        <w:rPr>
          <w:rFonts w:ascii="標楷體" w:eastAsia="標楷體" w:hAnsi="標楷體"/>
          <w:sz w:val="28"/>
          <w:szCs w:val="28"/>
        </w:rPr>
        <w:t>人</w:t>
      </w:r>
    </w:p>
    <w:p w14:paraId="41470CEC" w14:textId="77777777" w:rsidR="00894241" w:rsidRPr="001B6E4D" w:rsidRDefault="00894241"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考試院副秘書長　吳美紅(秘書長請假)</w:t>
      </w:r>
    </w:p>
    <w:p w14:paraId="5DC79B5D" w14:textId="77777777" w:rsidR="00894241" w:rsidRPr="001B6E4D" w:rsidRDefault="00894241"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銓敘部部長　施能傑</w:t>
      </w:r>
    </w:p>
    <w:p w14:paraId="4DA032A0" w14:textId="77777777" w:rsidR="00894241" w:rsidRPr="001B6E4D" w:rsidRDefault="00894241"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勞動部政務次長　李健鴻</w:t>
      </w:r>
    </w:p>
    <w:p w14:paraId="15C2F6EC" w14:textId="77777777" w:rsidR="00894241" w:rsidRPr="001B6E4D" w:rsidRDefault="00894241"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司法院人事處專門委員　楊靜芬</w:t>
      </w:r>
    </w:p>
    <w:p w14:paraId="73878A8E" w14:textId="77777777" w:rsidR="00894241" w:rsidRPr="001B6E4D" w:rsidRDefault="00894241"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教育部人事處副處長　任明坤</w:t>
      </w:r>
    </w:p>
    <w:p w14:paraId="31DB6D16" w14:textId="77777777" w:rsidR="00894241" w:rsidRPr="001B6E4D" w:rsidRDefault="00894241"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法務部參事　謝志明</w:t>
      </w:r>
    </w:p>
    <w:p w14:paraId="49F4B670" w14:textId="77777777" w:rsidR="00894241" w:rsidRPr="001B6E4D" w:rsidRDefault="00894241"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衛生福利部社會及家庭署家庭支持組副組長　陳曉茵</w:t>
      </w:r>
    </w:p>
    <w:p w14:paraId="4C07D189" w14:textId="77777777" w:rsidR="00894241" w:rsidRPr="001B6E4D" w:rsidRDefault="00894241"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行政院主計總處</w:t>
      </w:r>
      <w:r w:rsidRPr="001B6E4D">
        <w:rPr>
          <w:rFonts w:ascii="標楷體" w:eastAsia="標楷體" w:hAnsi="標楷體" w:hint="eastAsia"/>
          <w:kern w:val="0"/>
          <w:sz w:val="28"/>
          <w:szCs w:val="28"/>
        </w:rPr>
        <w:tab/>
        <w:t>公務預算處簡任視察　嚴</w:t>
      </w:r>
      <w:proofErr w:type="gramStart"/>
      <w:r w:rsidRPr="001B6E4D">
        <w:rPr>
          <w:rFonts w:ascii="標楷體" w:eastAsia="標楷體" w:hAnsi="標楷體" w:hint="eastAsia"/>
          <w:kern w:val="0"/>
          <w:sz w:val="28"/>
          <w:szCs w:val="28"/>
        </w:rPr>
        <w:t>于</w:t>
      </w:r>
      <w:proofErr w:type="gramEnd"/>
      <w:r w:rsidRPr="001B6E4D">
        <w:rPr>
          <w:rFonts w:ascii="標楷體" w:eastAsia="標楷體" w:hAnsi="標楷體" w:hint="eastAsia"/>
          <w:kern w:val="0"/>
          <w:sz w:val="28"/>
          <w:szCs w:val="28"/>
        </w:rPr>
        <w:t>屏</w:t>
      </w:r>
    </w:p>
    <w:p w14:paraId="62FE4F5B" w14:textId="77777777" w:rsidR="00894241" w:rsidRPr="001B6E4D" w:rsidRDefault="00894241"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行政院人事行政總處給與福利處處長　陳素枝</w:t>
      </w:r>
    </w:p>
    <w:p w14:paraId="5137470D" w14:textId="77777777" w:rsidR="00894241" w:rsidRPr="001B6E4D" w:rsidRDefault="00894241"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50AD9444"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2E1DC6AD"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475BA9BF" w14:textId="77777777" w:rsidR="00894241" w:rsidRPr="001B6E4D" w:rsidRDefault="00894241"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228BE87E"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6C62F706"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2BAB856F"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6E2ACEA9" w14:textId="77777777" w:rsidR="00894241" w:rsidRPr="001B6E4D" w:rsidRDefault="00894241"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7B471357"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一、宣讀上次會議議事錄。</w:t>
      </w:r>
    </w:p>
    <w:p w14:paraId="70BDEAD0"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sz w:val="28"/>
          <w:szCs w:val="28"/>
        </w:rPr>
        <w:t>決定：確定。</w:t>
      </w:r>
    </w:p>
    <w:p w14:paraId="40E6114B" w14:textId="77777777" w:rsidR="00894241" w:rsidRPr="001B6E4D" w:rsidRDefault="00894241" w:rsidP="003D1018">
      <w:pPr>
        <w:widowControl w:val="0"/>
        <w:overflowPunct w:val="0"/>
        <w:adjustRightInd w:val="0"/>
        <w:snapToGrid w:val="0"/>
        <w:spacing w:line="360" w:lineRule="exact"/>
        <w:ind w:leftChars="-1" w:left="558" w:hangingChars="200" w:hanging="560"/>
        <w:jc w:val="both"/>
        <w:rPr>
          <w:rFonts w:ascii="標楷體" w:eastAsia="標楷體" w:hAnsi="標楷體"/>
          <w:kern w:val="0"/>
          <w:sz w:val="28"/>
          <w:szCs w:val="28"/>
        </w:rPr>
      </w:pPr>
      <w:r w:rsidRPr="001B6E4D">
        <w:rPr>
          <w:rFonts w:ascii="標楷體" w:eastAsia="標楷體" w:hAnsi="標楷體" w:hint="eastAsia"/>
          <w:kern w:val="0"/>
          <w:sz w:val="28"/>
          <w:szCs w:val="28"/>
        </w:rPr>
        <w:t>二、邀請考試院秘書長、銓敘部部長、行政院人事行政總處、教育部、勞動部針對「我國育嬰留職停薪實施成效與擴大育嬰津貼政策」進行專題報告，並備質詢。</w:t>
      </w:r>
    </w:p>
    <w:p w14:paraId="55323B18" w14:textId="77777777" w:rsidR="00894241" w:rsidRPr="001B6E4D" w:rsidRDefault="00894241" w:rsidP="003D1018">
      <w:pPr>
        <w:widowControl w:val="0"/>
        <w:overflowPunct w:val="0"/>
        <w:adjustRightInd w:val="0"/>
        <w:snapToGrid w:val="0"/>
        <w:spacing w:line="360" w:lineRule="exact"/>
        <w:ind w:leftChars="-1" w:left="558" w:hangingChars="200" w:hanging="560"/>
        <w:jc w:val="both"/>
        <w:rPr>
          <w:rFonts w:ascii="標楷體" w:eastAsia="標楷體" w:hAnsi="標楷體"/>
          <w:b/>
          <w:kern w:val="0"/>
          <w:sz w:val="28"/>
          <w:szCs w:val="28"/>
        </w:rPr>
      </w:pPr>
      <w:r w:rsidRPr="001B6E4D">
        <w:rPr>
          <w:rFonts w:ascii="標楷體" w:eastAsia="標楷體" w:hAnsi="標楷體"/>
          <w:kern w:val="0"/>
          <w:sz w:val="28"/>
          <w:szCs w:val="28"/>
        </w:rPr>
        <w:t>決</w:t>
      </w:r>
      <w:r w:rsidRPr="001B6E4D">
        <w:rPr>
          <w:rFonts w:ascii="標楷體" w:eastAsia="標楷體" w:hAnsi="標楷體" w:hint="eastAsia"/>
          <w:kern w:val="0"/>
          <w:sz w:val="28"/>
          <w:szCs w:val="28"/>
        </w:rPr>
        <w:t>定</w:t>
      </w:r>
      <w:r w:rsidRPr="001B6E4D">
        <w:rPr>
          <w:rFonts w:ascii="標楷體" w:eastAsia="標楷體" w:hAnsi="標楷體"/>
          <w:kern w:val="0"/>
          <w:sz w:val="28"/>
          <w:szCs w:val="28"/>
        </w:rPr>
        <w:t>：報告及</w:t>
      </w:r>
      <w:proofErr w:type="gramStart"/>
      <w:r w:rsidRPr="001B6E4D">
        <w:rPr>
          <w:rFonts w:ascii="標楷體" w:eastAsia="標楷體" w:hAnsi="標楷體"/>
          <w:kern w:val="0"/>
          <w:sz w:val="28"/>
          <w:szCs w:val="28"/>
        </w:rPr>
        <w:t>詢</w:t>
      </w:r>
      <w:proofErr w:type="gramEnd"/>
      <w:r w:rsidRPr="001B6E4D">
        <w:rPr>
          <w:rFonts w:ascii="標楷體" w:eastAsia="標楷體" w:hAnsi="標楷體"/>
          <w:kern w:val="0"/>
          <w:sz w:val="28"/>
          <w:szCs w:val="28"/>
        </w:rPr>
        <w:t>答完畢。</w:t>
      </w:r>
    </w:p>
    <w:p w14:paraId="0311E130" w14:textId="77777777" w:rsidR="00894241" w:rsidRPr="001B6E4D" w:rsidRDefault="00894241"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討論事項</w:t>
      </w:r>
    </w:p>
    <w:p w14:paraId="5FF89D44"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sz w:val="28"/>
          <w:szCs w:val="28"/>
        </w:rPr>
      </w:pP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5FB627B3"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（一）委員羅智強等19人擬具「公教人員保險法第三十五</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A1DE16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（二）委員黃健豪等18人擬具「公教人員保險法第三十五</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75C40E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（三）委員翁曉玲等17人擬具「公教人員保險法第十二條及第三十五</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932784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（四）</w:t>
      </w:r>
      <w:r w:rsidRPr="001B6E4D">
        <w:rPr>
          <w:rFonts w:ascii="標楷體" w:eastAsia="標楷體" w:hAnsi="標楷體" w:hint="eastAsia"/>
          <w:spacing w:val="-4"/>
          <w:sz w:val="28"/>
          <w:szCs w:val="28"/>
        </w:rPr>
        <w:t>台灣民眾黨黨團擬具「公教人員保險法部分條文修正草案」案。</w:t>
      </w:r>
    </w:p>
    <w:p w14:paraId="303DACB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（五）委員翁曉玲等18人擬具「公教人員保險法第三十五條及第五十一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916B4CD"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林沛祥、陳昭姿、翁曉玲、沈發惠、</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雲、莊瑞雄、張雅琳、許宇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、洪孟楷</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；委員蔡其昌、吳宗憲、傅崐萁、林倩綺提出書面質詢。</w:t>
      </w:r>
      <w:r w:rsidRPr="001B6E4D">
        <w:rPr>
          <w:rFonts w:ascii="標楷體" w:eastAsia="標楷體" w:hAnsi="標楷體"/>
          <w:sz w:val="28"/>
          <w:szCs w:val="28"/>
        </w:rPr>
        <w:t>）</w:t>
      </w:r>
    </w:p>
    <w:p w14:paraId="072306A6" w14:textId="77777777" w:rsidR="00894241" w:rsidRPr="001B6E4D" w:rsidRDefault="00894241"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65C2D08A"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w:t>
      </w: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答完畢，另定期繼續審查。</w:t>
      </w:r>
    </w:p>
    <w:p w14:paraId="7DC72DD9" w14:textId="77777777" w:rsidR="00894241" w:rsidRPr="001B6E4D" w:rsidRDefault="00894241" w:rsidP="003D1018">
      <w:pPr>
        <w:widowControl w:val="0"/>
        <w:overflowPunct w:val="0"/>
        <w:adjustRightInd w:val="0"/>
        <w:snapToGrid w:val="0"/>
        <w:spacing w:line="400" w:lineRule="exact"/>
        <w:ind w:leftChars="-1" w:left="558" w:hangingChars="200" w:hanging="560"/>
        <w:jc w:val="both"/>
        <w:rPr>
          <w:rFonts w:ascii="標楷體" w:eastAsia="標楷體" w:hAnsi="標楷體"/>
          <w:kern w:val="0"/>
          <w:sz w:val="28"/>
          <w:szCs w:val="28"/>
        </w:rPr>
      </w:pPr>
      <w:r w:rsidRPr="001B6E4D">
        <w:rPr>
          <w:rFonts w:ascii="標楷體" w:eastAsia="標楷體" w:hAnsi="標楷體" w:hint="eastAsia"/>
          <w:sz w:val="28"/>
          <w:szCs w:val="28"/>
        </w:rPr>
        <w:t>二、</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5D36D75D" w14:textId="77777777" w:rsidR="00894241" w:rsidRPr="001B6E4D" w:rsidRDefault="00894241" w:rsidP="003D1018">
      <w:pPr>
        <w:overflowPunct w:val="0"/>
        <w:spacing w:line="400" w:lineRule="exact"/>
        <w:ind w:leftChars="6" w:left="14"/>
        <w:jc w:val="both"/>
        <w:rPr>
          <w:rFonts w:ascii="標楷體" w:eastAsia="標楷體" w:hAnsi="標楷體"/>
        </w:rPr>
      </w:pPr>
      <w:r w:rsidRPr="001B6E4D">
        <w:rPr>
          <w:rFonts w:ascii="標楷體" w:eastAsia="標楷體" w:hAnsi="標楷體"/>
          <w:sz w:val="28"/>
          <w:szCs w:val="28"/>
        </w:rPr>
        <w:t>散會</w:t>
      </w:r>
    </w:p>
    <w:p w14:paraId="5BA7F350"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6FB63066" w14:textId="153CE19D" w:rsidR="00894241" w:rsidRPr="001B6E4D" w:rsidRDefault="00894241"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37" w:name="_Toc240446605"/>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21</w:t>
      </w:r>
      <w:r w:rsidRPr="001B6E4D">
        <w:rPr>
          <w:rFonts w:ascii="標楷體" w:eastAsia="標楷體" w:hAnsi="標楷體"/>
          <w:b/>
          <w:spacing w:val="-2"/>
          <w:sz w:val="28"/>
          <w:szCs w:val="28"/>
        </w:rPr>
        <w:t>次全體委員會議議事錄</w:t>
      </w:r>
      <w:bookmarkEnd w:id="537"/>
    </w:p>
    <w:p w14:paraId="3B6BA241" w14:textId="77777777" w:rsidR="00894241" w:rsidRPr="001B6E4D" w:rsidRDefault="00894241" w:rsidP="003D1018">
      <w:pPr>
        <w:overflowPunct w:val="0"/>
        <w:adjustRightInd w:val="0"/>
        <w:snapToGrid w:val="0"/>
        <w:spacing w:line="360" w:lineRule="exact"/>
        <w:ind w:leftChars="1" w:left="1416" w:hangingChars="505" w:hanging="1414"/>
        <w:rPr>
          <w:rFonts w:ascii="標楷體" w:eastAsia="標楷體" w:hAnsi="標楷體"/>
          <w:kern w:val="0"/>
          <w:sz w:val="28"/>
          <w:szCs w:val="28"/>
        </w:rPr>
      </w:pPr>
      <w:r w:rsidRPr="001B6E4D">
        <w:rPr>
          <w:rFonts w:ascii="標楷體" w:eastAsia="標楷體" w:hAnsi="標楷體"/>
          <w:kern w:val="0"/>
          <w:sz w:val="28"/>
          <w:szCs w:val="28"/>
          <w:fitText w:val="1120" w:id="-384119550"/>
        </w:rPr>
        <w:t>時    間</w:t>
      </w:r>
      <w:r w:rsidRPr="001B6E4D">
        <w:rPr>
          <w:rFonts w:ascii="標楷體" w:eastAsia="標楷體" w:hAnsi="標楷體"/>
          <w:kern w:val="0"/>
          <w:sz w:val="28"/>
          <w:szCs w:val="28"/>
        </w:rPr>
        <w:t>：</w:t>
      </w:r>
      <w:r w:rsidRPr="001B6E4D">
        <w:rPr>
          <w:rFonts w:ascii="標楷體" w:eastAsia="標楷體" w:hAnsi="標楷體"/>
          <w:spacing w:val="-2"/>
          <w:kern w:val="0"/>
          <w:sz w:val="28"/>
          <w:szCs w:val="28"/>
        </w:rPr>
        <w:t>中華民國1</w:t>
      </w:r>
      <w:r w:rsidRPr="001B6E4D">
        <w:rPr>
          <w:rFonts w:ascii="標楷體" w:eastAsia="標楷體" w:hAnsi="標楷體" w:hint="eastAsia"/>
          <w:spacing w:val="-2"/>
          <w:kern w:val="0"/>
          <w:sz w:val="28"/>
          <w:szCs w:val="28"/>
        </w:rPr>
        <w:t>15</w:t>
      </w:r>
      <w:r w:rsidRPr="001B6E4D">
        <w:rPr>
          <w:rFonts w:ascii="標楷體" w:eastAsia="標楷體" w:hAnsi="標楷體"/>
          <w:spacing w:val="-2"/>
          <w:kern w:val="0"/>
          <w:sz w:val="28"/>
          <w:szCs w:val="28"/>
        </w:rPr>
        <w:t>年</w:t>
      </w:r>
      <w:r w:rsidRPr="001B6E4D">
        <w:rPr>
          <w:rFonts w:ascii="標楷體" w:eastAsia="標楷體" w:hAnsi="標楷體" w:hint="eastAsia"/>
          <w:spacing w:val="-2"/>
          <w:kern w:val="0"/>
          <w:sz w:val="28"/>
          <w:szCs w:val="28"/>
        </w:rPr>
        <w:t>6</w:t>
      </w:r>
      <w:r w:rsidRPr="001B6E4D">
        <w:rPr>
          <w:rFonts w:ascii="標楷體" w:eastAsia="標楷體" w:hAnsi="標楷體"/>
          <w:spacing w:val="-2"/>
          <w:kern w:val="0"/>
          <w:sz w:val="28"/>
          <w:szCs w:val="28"/>
        </w:rPr>
        <w:t>月</w:t>
      </w:r>
      <w:r w:rsidRPr="001B6E4D">
        <w:rPr>
          <w:rFonts w:ascii="標楷體" w:eastAsia="標楷體" w:hAnsi="標楷體" w:hint="eastAsia"/>
          <w:spacing w:val="-2"/>
          <w:kern w:val="0"/>
          <w:sz w:val="28"/>
          <w:szCs w:val="28"/>
        </w:rPr>
        <w:t>25</w:t>
      </w:r>
      <w:r w:rsidRPr="001B6E4D">
        <w:rPr>
          <w:rFonts w:ascii="標楷體" w:eastAsia="標楷體" w:hAnsi="標楷體"/>
          <w:spacing w:val="-2"/>
          <w:kern w:val="0"/>
          <w:sz w:val="28"/>
          <w:szCs w:val="28"/>
        </w:rPr>
        <w:t>日（星期</w:t>
      </w:r>
      <w:r w:rsidRPr="001B6E4D">
        <w:rPr>
          <w:rFonts w:ascii="標楷體" w:eastAsia="標楷體" w:hAnsi="標楷體" w:hint="eastAsia"/>
          <w:spacing w:val="-2"/>
          <w:kern w:val="0"/>
          <w:sz w:val="28"/>
          <w:szCs w:val="28"/>
        </w:rPr>
        <w:t>四</w:t>
      </w:r>
      <w:r w:rsidRPr="001B6E4D">
        <w:rPr>
          <w:rFonts w:ascii="標楷體" w:eastAsia="標楷體" w:hAnsi="標楷體"/>
          <w:spacing w:val="-2"/>
          <w:kern w:val="0"/>
          <w:sz w:val="28"/>
          <w:szCs w:val="28"/>
        </w:rPr>
        <w:t>）上午9時至</w:t>
      </w:r>
      <w:r w:rsidRPr="001B6E4D">
        <w:rPr>
          <w:rFonts w:ascii="標楷體" w:eastAsia="標楷體" w:hAnsi="標楷體" w:hint="eastAsia"/>
          <w:spacing w:val="-2"/>
          <w:kern w:val="0"/>
          <w:sz w:val="28"/>
          <w:szCs w:val="28"/>
        </w:rPr>
        <w:t>1</w:t>
      </w:r>
      <w:r w:rsidRPr="001B6E4D">
        <w:rPr>
          <w:rFonts w:ascii="標楷體" w:eastAsia="標楷體" w:hAnsi="標楷體"/>
          <w:spacing w:val="-2"/>
          <w:kern w:val="0"/>
          <w:sz w:val="28"/>
          <w:szCs w:val="28"/>
        </w:rPr>
        <w:t>1時</w:t>
      </w:r>
      <w:r w:rsidRPr="001B6E4D">
        <w:rPr>
          <w:rFonts w:ascii="標楷體" w:eastAsia="標楷體" w:hAnsi="標楷體" w:hint="eastAsia"/>
          <w:spacing w:val="-2"/>
          <w:kern w:val="0"/>
          <w:sz w:val="28"/>
          <w:szCs w:val="28"/>
        </w:rPr>
        <w:t>9分</w:t>
      </w:r>
    </w:p>
    <w:p w14:paraId="2B3C725A" w14:textId="77777777" w:rsidR="00894241" w:rsidRPr="001B6E4D" w:rsidRDefault="00894241"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rPr>
      </w:pPr>
      <w:r w:rsidRPr="001B6E4D">
        <w:rPr>
          <w:rFonts w:ascii="標楷體" w:eastAsia="標楷體" w:hAnsi="標楷體"/>
          <w:kern w:val="0"/>
          <w:sz w:val="28"/>
          <w:szCs w:val="28"/>
          <w:fitText w:val="1120" w:id="-384119549"/>
        </w:rPr>
        <w:t>地    點</w:t>
      </w:r>
      <w:r w:rsidRPr="001B6E4D">
        <w:rPr>
          <w:rFonts w:ascii="標楷體" w:eastAsia="標楷體" w:hAnsi="標楷體"/>
          <w:kern w:val="0"/>
          <w:sz w:val="28"/>
          <w:szCs w:val="28"/>
        </w:rPr>
        <w:t>：本院紅樓302會議室</w:t>
      </w:r>
    </w:p>
    <w:p w14:paraId="48FBBF43" w14:textId="77777777" w:rsidR="00894241" w:rsidRPr="001B6E4D" w:rsidRDefault="00894241" w:rsidP="003D1018">
      <w:pPr>
        <w:widowControl w:val="0"/>
        <w:tabs>
          <w:tab w:val="left" w:pos="1418"/>
          <w:tab w:val="left" w:pos="1560"/>
        </w:tabs>
        <w:overflowPunct w:val="0"/>
        <w:snapToGrid w:val="0"/>
        <w:ind w:left="574" w:hanging="560"/>
        <w:rPr>
          <w:rFonts w:ascii="標楷體" w:eastAsia="標楷體" w:hAnsi="標楷體"/>
          <w:kern w:val="0"/>
          <w:sz w:val="28"/>
          <w:szCs w:val="28"/>
        </w:rPr>
      </w:pPr>
      <w:r w:rsidRPr="001B6E4D">
        <w:rPr>
          <w:rFonts w:ascii="標楷體" w:eastAsia="標楷體" w:hAnsi="標楷體"/>
          <w:kern w:val="0"/>
          <w:sz w:val="28"/>
          <w:szCs w:val="28"/>
        </w:rPr>
        <w:t>出席委員：</w:t>
      </w:r>
      <w:r w:rsidRPr="001B6E4D">
        <w:rPr>
          <w:rFonts w:ascii="標楷體" w:eastAsia="標楷體" w:hAnsi="標楷體" w:hint="eastAsia"/>
          <w:kern w:val="0"/>
          <w:sz w:val="28"/>
          <w:szCs w:val="28"/>
        </w:rPr>
        <w:t>陳昭姿</w:t>
      </w:r>
      <w:r w:rsidRPr="001B6E4D">
        <w:rPr>
          <w:rFonts w:ascii="標楷體" w:eastAsia="標楷體" w:hAnsi="標楷體" w:hint="eastAsia"/>
          <w:kern w:val="0"/>
          <w:sz w:val="28"/>
          <w:szCs w:val="28"/>
        </w:rPr>
        <w:tab/>
        <w:t>林沛祥</w:t>
      </w:r>
      <w:r w:rsidRPr="001B6E4D">
        <w:rPr>
          <w:rFonts w:ascii="標楷體" w:eastAsia="標楷體" w:hAnsi="標楷體" w:hint="eastAsia"/>
          <w:kern w:val="0"/>
          <w:sz w:val="28"/>
          <w:szCs w:val="28"/>
        </w:rPr>
        <w:tab/>
        <w:t>林倩綺</w:t>
      </w:r>
      <w:r w:rsidRPr="001B6E4D">
        <w:rPr>
          <w:rFonts w:ascii="標楷體" w:eastAsia="標楷體" w:hAnsi="標楷體" w:hint="eastAsia"/>
          <w:kern w:val="0"/>
          <w:sz w:val="28"/>
          <w:szCs w:val="28"/>
        </w:rPr>
        <w:tab/>
        <w:t>翁曉玲</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張雅琳</w:t>
      </w:r>
      <w:r w:rsidRPr="001B6E4D">
        <w:rPr>
          <w:rFonts w:ascii="標楷體" w:eastAsia="標楷體" w:hAnsi="標楷體"/>
          <w:kern w:val="0"/>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kern w:val="0"/>
          <w:sz w:val="28"/>
          <w:szCs w:val="28"/>
        </w:rPr>
        <w:t>沈發惠</w:t>
      </w:r>
      <w:r w:rsidRPr="001B6E4D">
        <w:rPr>
          <w:rFonts w:ascii="標楷體" w:eastAsia="標楷體" w:hAnsi="標楷體" w:hint="eastAsia"/>
          <w:kern w:val="0"/>
          <w:sz w:val="28"/>
          <w:szCs w:val="28"/>
        </w:rPr>
        <w:tab/>
      </w:r>
    </w:p>
    <w:p w14:paraId="7CE53BA3" w14:textId="77777777" w:rsidR="00894241" w:rsidRPr="001B6E4D" w:rsidRDefault="00894241" w:rsidP="003D1018">
      <w:pPr>
        <w:widowControl w:val="0"/>
        <w:overflowPunct w:val="0"/>
        <w:snapToGrid w:val="0"/>
        <w:ind w:left="206" w:firstLine="1212"/>
        <w:rPr>
          <w:rFonts w:ascii="標楷體" w:eastAsia="標楷體" w:hAnsi="標楷體"/>
          <w:sz w:val="28"/>
          <w:szCs w:val="28"/>
        </w:rPr>
      </w:pP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ab/>
      </w:r>
      <w:r w:rsidRPr="001B6E4D">
        <w:rPr>
          <w:rFonts w:ascii="標楷體" w:eastAsia="標楷體" w:hAnsi="標楷體" w:hint="eastAsia"/>
          <w:sz w:val="28"/>
          <w:szCs w:val="28"/>
        </w:rPr>
        <w:t>莊瑞雄</w:t>
      </w:r>
      <w:r w:rsidRPr="001B6E4D">
        <w:rPr>
          <w:rFonts w:ascii="標楷體" w:eastAsia="標楷體" w:hAnsi="標楷體" w:hint="eastAsia"/>
          <w:sz w:val="28"/>
          <w:szCs w:val="28"/>
        </w:rPr>
        <w:tab/>
      </w:r>
      <w:r w:rsidRPr="001B6E4D">
        <w:rPr>
          <w:rFonts w:ascii="標楷體" w:eastAsia="標楷體" w:hAnsi="標楷體" w:hint="eastAsia"/>
          <w:kern w:val="0"/>
          <w:sz w:val="28"/>
          <w:szCs w:val="28"/>
        </w:rPr>
        <w:t>吳宗憲</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柯建銘</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傅崐萁</w:t>
      </w:r>
    </w:p>
    <w:p w14:paraId="012DD54E"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12</w:t>
      </w:r>
      <w:r w:rsidRPr="001B6E4D">
        <w:rPr>
          <w:rFonts w:ascii="標楷體" w:eastAsia="標楷體" w:hAnsi="標楷體"/>
          <w:sz w:val="28"/>
          <w:szCs w:val="28"/>
        </w:rPr>
        <w:t>人</w:t>
      </w:r>
    </w:p>
    <w:p w14:paraId="565CB2D4"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洪孟楷</w:t>
      </w:r>
    </w:p>
    <w:p w14:paraId="3D455046"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1</w:t>
      </w:r>
      <w:r w:rsidRPr="001B6E4D">
        <w:rPr>
          <w:rFonts w:ascii="標楷體" w:eastAsia="標楷體" w:hAnsi="標楷體"/>
          <w:sz w:val="28"/>
          <w:szCs w:val="28"/>
        </w:rPr>
        <w:t>人</w:t>
      </w:r>
    </w:p>
    <w:p w14:paraId="272569E5" w14:textId="77777777" w:rsidR="00894241" w:rsidRPr="001B6E4D" w:rsidRDefault="00894241" w:rsidP="003D1018">
      <w:pPr>
        <w:widowControl w:val="0"/>
        <w:overflowPunct w:val="0"/>
        <w:snapToGrid w:val="0"/>
        <w:ind w:left="574" w:hanging="560"/>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司法院秘書長　高金枝</w:t>
      </w:r>
    </w:p>
    <w:p w14:paraId="615C2F36"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考試院秘書長</w:t>
      </w:r>
      <w:r w:rsidRPr="001B6E4D">
        <w:rPr>
          <w:rFonts w:ascii="標楷體" w:eastAsia="標楷體" w:hAnsi="標楷體" w:hint="eastAsia"/>
          <w:kern w:val="0"/>
          <w:sz w:val="28"/>
          <w:szCs w:val="28"/>
        </w:rPr>
        <w:t xml:space="preserve">　</w:t>
      </w:r>
      <w:r w:rsidRPr="001B6E4D">
        <w:rPr>
          <w:rFonts w:ascii="標楷體" w:eastAsia="標楷體" w:hAnsi="標楷體" w:hint="eastAsia"/>
          <w:sz w:val="28"/>
          <w:szCs w:val="28"/>
        </w:rPr>
        <w:t>劉建忻</w:t>
      </w:r>
    </w:p>
    <w:p w14:paraId="288C0D39"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監察院秘書長</w:t>
      </w:r>
      <w:r w:rsidRPr="001B6E4D">
        <w:rPr>
          <w:rFonts w:ascii="標楷體" w:eastAsia="標楷體" w:hAnsi="標楷體" w:hint="eastAsia"/>
          <w:kern w:val="0"/>
          <w:sz w:val="28"/>
          <w:szCs w:val="28"/>
        </w:rPr>
        <w:t xml:space="preserve">　</w:t>
      </w:r>
      <w:r w:rsidRPr="001B6E4D">
        <w:rPr>
          <w:rFonts w:ascii="標楷體" w:eastAsia="標楷體" w:hAnsi="標楷體" w:hint="eastAsia"/>
          <w:sz w:val="28"/>
          <w:szCs w:val="28"/>
        </w:rPr>
        <w:t>黃適卓</w:t>
      </w:r>
    </w:p>
    <w:p w14:paraId="1FE41F0C"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法務部</w:t>
      </w:r>
      <w:r w:rsidRPr="001B6E4D">
        <w:rPr>
          <w:rFonts w:ascii="標楷體" w:eastAsia="標楷體" w:hAnsi="標楷體" w:hint="eastAsia"/>
          <w:kern w:val="0"/>
          <w:sz w:val="28"/>
          <w:szCs w:val="28"/>
        </w:rPr>
        <w:t>部長　鄭銘謙</w:t>
      </w:r>
    </w:p>
    <w:p w14:paraId="0D87D2F3"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公平交易委員會主任秘書　毛浩吉</w:t>
      </w:r>
    </w:p>
    <w:p w14:paraId="2EB4619C"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國家通訊傳播委員會主任秘書　溫俊瑜</w:t>
      </w:r>
    </w:p>
    <w:p w14:paraId="59117363"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中央選舉委員會主任秘書　謝美玲</w:t>
      </w:r>
    </w:p>
    <w:p w14:paraId="0D849561" w14:textId="77777777" w:rsidR="00894241" w:rsidRPr="001B6E4D" w:rsidRDefault="00894241"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326359BE"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2876AE02"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6BFE505A" w14:textId="77777777" w:rsidR="00894241" w:rsidRPr="001B6E4D" w:rsidRDefault="00894241"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165D6D6E"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193BDB9F"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28652141"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4AB980D2" w14:textId="77777777" w:rsidR="00894241" w:rsidRPr="001B6E4D" w:rsidRDefault="00894241"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498FD9B2"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一、宣讀上次會議議事錄。</w:t>
      </w:r>
    </w:p>
    <w:p w14:paraId="2E9F6099"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sz w:val="28"/>
          <w:szCs w:val="28"/>
        </w:rPr>
        <w:t>決定：確定。</w:t>
      </w:r>
    </w:p>
    <w:p w14:paraId="3349ACBE"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二、邀請司法院秘書長、考試院秘書長、監察院秘書長、法務部部長、公平交易委員會、國家通訊傳播委員會、中央選舉委員會針對「我國憲政機關、獨立機關首長代理制度之現況與精進」進行專題報告，並備質詢。</w:t>
      </w:r>
    </w:p>
    <w:p w14:paraId="2C74C2BA"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陳昭姿、林沛祥、翁曉玲、林倩綺、張雅琳、莊瑞雄、</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提出質詢</w:t>
      </w:r>
      <w:r w:rsidRPr="001B6E4D">
        <w:rPr>
          <w:rFonts w:ascii="標楷體" w:eastAsia="標楷體" w:hAnsi="標楷體" w:hint="eastAsia"/>
          <w:sz w:val="28"/>
          <w:szCs w:val="28"/>
        </w:rPr>
        <w:t>；委員蔡其昌、沈發惠、吳宗憲、傅崐萁提出書面質詢。</w:t>
      </w:r>
      <w:r w:rsidRPr="001B6E4D">
        <w:rPr>
          <w:rFonts w:ascii="標楷體" w:eastAsia="標楷體" w:hAnsi="標楷體"/>
          <w:sz w:val="28"/>
          <w:szCs w:val="28"/>
        </w:rPr>
        <w:t>）</w:t>
      </w:r>
    </w:p>
    <w:p w14:paraId="165F1AE9" w14:textId="77777777" w:rsidR="00894241" w:rsidRPr="001B6E4D" w:rsidRDefault="00894241" w:rsidP="003D1018">
      <w:pPr>
        <w:overflowPunct w:val="0"/>
        <w:spacing w:line="400" w:lineRule="exact"/>
        <w:ind w:leftChars="6" w:left="14"/>
        <w:jc w:val="both"/>
        <w:rPr>
          <w:rFonts w:ascii="標楷體" w:eastAsia="標楷體" w:hAnsi="標楷體"/>
          <w:bCs/>
          <w:sz w:val="28"/>
          <w:szCs w:val="28"/>
        </w:rPr>
      </w:pPr>
      <w:r w:rsidRPr="001B6E4D">
        <w:rPr>
          <w:rFonts w:ascii="標楷體" w:eastAsia="標楷體" w:hAnsi="標楷體" w:hint="eastAsia"/>
          <w:bCs/>
          <w:sz w:val="28"/>
          <w:szCs w:val="28"/>
        </w:rPr>
        <w:t>決定：</w:t>
      </w:r>
    </w:p>
    <w:p w14:paraId="59981F1B" w14:textId="77777777" w:rsidR="00894241" w:rsidRPr="001B6E4D" w:rsidRDefault="00894241" w:rsidP="003D1018">
      <w:pPr>
        <w:overflowPunct w:val="0"/>
        <w:spacing w:line="400" w:lineRule="exact"/>
        <w:ind w:leftChars="6" w:left="14"/>
        <w:jc w:val="both"/>
        <w:rPr>
          <w:rFonts w:ascii="標楷體" w:eastAsia="標楷體" w:hAnsi="標楷體"/>
          <w:bCs/>
          <w:sz w:val="28"/>
          <w:szCs w:val="28"/>
        </w:rPr>
      </w:pPr>
      <w:r w:rsidRPr="001B6E4D">
        <w:rPr>
          <w:rFonts w:ascii="標楷體" w:eastAsia="標楷體" w:hAnsi="標楷體" w:hint="eastAsia"/>
          <w:bCs/>
          <w:sz w:val="28"/>
          <w:szCs w:val="28"/>
        </w:rPr>
        <w:t>一、報告及</w:t>
      </w:r>
      <w:proofErr w:type="gramStart"/>
      <w:r w:rsidRPr="001B6E4D">
        <w:rPr>
          <w:rFonts w:ascii="標楷體" w:eastAsia="標楷體" w:hAnsi="標楷體" w:hint="eastAsia"/>
          <w:bCs/>
          <w:sz w:val="28"/>
          <w:szCs w:val="28"/>
        </w:rPr>
        <w:t>詢</w:t>
      </w:r>
      <w:proofErr w:type="gramEnd"/>
      <w:r w:rsidRPr="001B6E4D">
        <w:rPr>
          <w:rFonts w:ascii="標楷體" w:eastAsia="標楷體" w:hAnsi="標楷體" w:hint="eastAsia"/>
          <w:bCs/>
          <w:sz w:val="28"/>
          <w:szCs w:val="28"/>
        </w:rPr>
        <w:t>答完畢。</w:t>
      </w:r>
    </w:p>
    <w:p w14:paraId="3BEE2D12"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二、委員質詢時，要求提供相關資料或以書面答復者，請相關機關儘速送交個別委員及本會。</w:t>
      </w:r>
    </w:p>
    <w:p w14:paraId="3B43D259"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散會</w:t>
      </w:r>
    </w:p>
    <w:p w14:paraId="461ADDCE"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0E393327" w14:textId="68C76FDA" w:rsidR="00894241" w:rsidRPr="001B6E4D" w:rsidRDefault="00894241"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38" w:name="_Toc240446606"/>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22</w:t>
      </w:r>
      <w:r w:rsidRPr="001B6E4D">
        <w:rPr>
          <w:rFonts w:ascii="標楷體" w:eastAsia="標楷體" w:hAnsi="標楷體"/>
          <w:b/>
          <w:spacing w:val="-2"/>
          <w:sz w:val="28"/>
          <w:szCs w:val="28"/>
        </w:rPr>
        <w:t>次全體委員會議議事錄</w:t>
      </w:r>
      <w:bookmarkEnd w:id="538"/>
    </w:p>
    <w:p w14:paraId="35F30F12" w14:textId="77777777" w:rsidR="008A6BF7" w:rsidRPr="001B6E4D" w:rsidRDefault="00894241" w:rsidP="003D1018">
      <w:pPr>
        <w:overflowPunct w:val="0"/>
        <w:adjustRightInd w:val="0"/>
        <w:snapToGrid w:val="0"/>
        <w:spacing w:line="360" w:lineRule="exact"/>
        <w:ind w:leftChars="1" w:left="1430" w:hangingChars="510" w:hanging="1428"/>
        <w:rPr>
          <w:rFonts w:ascii="標楷體" w:eastAsia="標楷體" w:hAnsi="標楷體"/>
          <w:spacing w:val="-12"/>
          <w:kern w:val="0"/>
          <w:sz w:val="28"/>
          <w:szCs w:val="28"/>
          <w:lang w:val="x-none" w:eastAsia="x-none"/>
        </w:rPr>
      </w:pPr>
      <w:r w:rsidRPr="001B6E4D">
        <w:rPr>
          <w:rFonts w:ascii="標楷體" w:eastAsia="標楷體" w:hAnsi="標楷體"/>
          <w:kern w:val="0"/>
          <w:sz w:val="28"/>
          <w:szCs w:val="28"/>
          <w:fitText w:val="1120" w:id="-384119548"/>
          <w:lang w:val="x-none" w:eastAsia="x-none"/>
        </w:rPr>
        <w:t>時    間</w:t>
      </w:r>
      <w:r w:rsidRPr="001B6E4D">
        <w:rPr>
          <w:rFonts w:ascii="標楷體" w:eastAsia="標楷體" w:hAnsi="標楷體"/>
          <w:spacing w:val="-10"/>
          <w:kern w:val="0"/>
          <w:sz w:val="28"/>
          <w:szCs w:val="28"/>
          <w:lang w:val="x-none" w:eastAsia="x-none"/>
        </w:rPr>
        <w:t>：</w:t>
      </w:r>
      <w:r w:rsidRPr="001B6E4D">
        <w:rPr>
          <w:rFonts w:ascii="標楷體" w:eastAsia="標楷體" w:hAnsi="標楷體"/>
          <w:spacing w:val="-12"/>
          <w:kern w:val="0"/>
          <w:sz w:val="28"/>
          <w:szCs w:val="28"/>
          <w:lang w:val="x-none" w:eastAsia="x-none"/>
        </w:rPr>
        <w:t>中華民國</w:t>
      </w:r>
      <w:r w:rsidRPr="001B6E4D">
        <w:rPr>
          <w:rFonts w:ascii="標楷體" w:eastAsia="標楷體" w:hAnsi="標楷體" w:hint="eastAsia"/>
          <w:spacing w:val="-12"/>
          <w:kern w:val="0"/>
          <w:sz w:val="28"/>
          <w:szCs w:val="28"/>
          <w:lang w:val="x-none"/>
        </w:rPr>
        <w:t>115</w:t>
      </w:r>
      <w:r w:rsidRPr="001B6E4D">
        <w:rPr>
          <w:rFonts w:ascii="標楷體" w:eastAsia="標楷體" w:hAnsi="標楷體"/>
          <w:spacing w:val="-12"/>
          <w:kern w:val="0"/>
          <w:sz w:val="28"/>
          <w:szCs w:val="28"/>
          <w:lang w:val="x-none" w:eastAsia="x-none"/>
        </w:rPr>
        <w:t>年</w:t>
      </w:r>
      <w:r w:rsidRPr="001B6E4D">
        <w:rPr>
          <w:rFonts w:ascii="標楷體" w:eastAsia="標楷體" w:hAnsi="標楷體" w:hint="eastAsia"/>
          <w:spacing w:val="-12"/>
          <w:kern w:val="0"/>
          <w:sz w:val="28"/>
          <w:szCs w:val="28"/>
          <w:lang w:val="x-none"/>
        </w:rPr>
        <w:t>7</w:t>
      </w:r>
      <w:r w:rsidRPr="001B6E4D">
        <w:rPr>
          <w:rFonts w:ascii="標楷體" w:eastAsia="標楷體" w:hAnsi="標楷體"/>
          <w:spacing w:val="-12"/>
          <w:kern w:val="0"/>
          <w:sz w:val="28"/>
          <w:szCs w:val="28"/>
          <w:lang w:val="x-none" w:eastAsia="x-none"/>
        </w:rPr>
        <w:t>月</w:t>
      </w:r>
      <w:r w:rsidRPr="001B6E4D">
        <w:rPr>
          <w:rFonts w:ascii="標楷體" w:eastAsia="標楷體" w:hAnsi="標楷體" w:hint="eastAsia"/>
          <w:spacing w:val="-12"/>
          <w:kern w:val="0"/>
          <w:sz w:val="28"/>
          <w:szCs w:val="28"/>
          <w:lang w:val="x-none"/>
        </w:rPr>
        <w:t>1</w:t>
      </w:r>
      <w:r w:rsidRPr="001B6E4D">
        <w:rPr>
          <w:rFonts w:ascii="標楷體" w:eastAsia="標楷體" w:hAnsi="標楷體"/>
          <w:spacing w:val="-12"/>
          <w:kern w:val="0"/>
          <w:sz w:val="28"/>
          <w:szCs w:val="28"/>
          <w:lang w:val="x-none" w:eastAsia="x-none"/>
        </w:rPr>
        <w:t>日（星期</w:t>
      </w:r>
      <w:r w:rsidRPr="001B6E4D">
        <w:rPr>
          <w:rFonts w:ascii="標楷體" w:eastAsia="標楷體" w:hAnsi="標楷體" w:hint="eastAsia"/>
          <w:spacing w:val="-12"/>
          <w:kern w:val="0"/>
          <w:sz w:val="28"/>
          <w:szCs w:val="28"/>
          <w:lang w:val="x-none"/>
        </w:rPr>
        <w:t>三</w:t>
      </w:r>
      <w:r w:rsidRPr="001B6E4D">
        <w:rPr>
          <w:rFonts w:ascii="標楷體" w:eastAsia="標楷體" w:hAnsi="標楷體"/>
          <w:spacing w:val="-12"/>
          <w:kern w:val="0"/>
          <w:sz w:val="28"/>
          <w:szCs w:val="28"/>
          <w:lang w:val="x-none" w:eastAsia="x-none"/>
        </w:rPr>
        <w:t>）上午</w:t>
      </w:r>
      <w:r w:rsidRPr="001B6E4D">
        <w:rPr>
          <w:rFonts w:ascii="標楷體" w:eastAsia="標楷體" w:hAnsi="標楷體" w:hint="eastAsia"/>
          <w:spacing w:val="-12"/>
          <w:kern w:val="0"/>
          <w:sz w:val="28"/>
          <w:szCs w:val="28"/>
          <w:lang w:val="x-none"/>
        </w:rPr>
        <w:t>9</w:t>
      </w:r>
      <w:r w:rsidRPr="001B6E4D">
        <w:rPr>
          <w:rFonts w:ascii="標楷體" w:eastAsia="標楷體" w:hAnsi="標楷體"/>
          <w:spacing w:val="-12"/>
          <w:kern w:val="0"/>
          <w:sz w:val="28"/>
          <w:szCs w:val="28"/>
          <w:lang w:val="x-none" w:eastAsia="x-none"/>
        </w:rPr>
        <w:t>時</w:t>
      </w:r>
      <w:r w:rsidRPr="001B6E4D">
        <w:rPr>
          <w:rFonts w:ascii="標楷體" w:eastAsia="標楷體" w:hAnsi="標楷體" w:hint="eastAsia"/>
          <w:spacing w:val="-12"/>
          <w:kern w:val="0"/>
          <w:sz w:val="28"/>
          <w:szCs w:val="28"/>
          <w:lang w:val="x-none"/>
        </w:rPr>
        <w:t>1分</w:t>
      </w:r>
      <w:r w:rsidRPr="001B6E4D">
        <w:rPr>
          <w:rFonts w:ascii="標楷體" w:eastAsia="標楷體" w:hAnsi="標楷體"/>
          <w:spacing w:val="-12"/>
          <w:kern w:val="0"/>
          <w:sz w:val="28"/>
          <w:szCs w:val="28"/>
          <w:lang w:val="x-none" w:eastAsia="x-none"/>
        </w:rPr>
        <w:t>至</w:t>
      </w:r>
      <w:r w:rsidRPr="001B6E4D">
        <w:rPr>
          <w:rFonts w:ascii="標楷體" w:eastAsia="標楷體" w:hAnsi="標楷體"/>
          <w:spacing w:val="-12"/>
          <w:kern w:val="0"/>
          <w:sz w:val="28"/>
          <w:szCs w:val="28"/>
          <w:lang w:val="x-none"/>
        </w:rPr>
        <w:t>1</w:t>
      </w:r>
      <w:r w:rsidRPr="001B6E4D">
        <w:rPr>
          <w:rFonts w:ascii="標楷體" w:eastAsia="標楷體" w:hAnsi="標楷體" w:hint="eastAsia"/>
          <w:spacing w:val="-12"/>
          <w:kern w:val="0"/>
          <w:sz w:val="28"/>
          <w:szCs w:val="28"/>
          <w:lang w:val="x-none"/>
        </w:rPr>
        <w:t>1</w:t>
      </w:r>
      <w:r w:rsidRPr="001B6E4D">
        <w:rPr>
          <w:rFonts w:ascii="標楷體" w:eastAsia="標楷體" w:hAnsi="標楷體"/>
          <w:spacing w:val="-12"/>
          <w:kern w:val="0"/>
          <w:sz w:val="28"/>
          <w:szCs w:val="28"/>
          <w:lang w:val="x-none" w:eastAsia="x-none"/>
        </w:rPr>
        <w:t>時</w:t>
      </w:r>
      <w:r w:rsidRPr="001B6E4D">
        <w:rPr>
          <w:rFonts w:ascii="標楷體" w:eastAsia="標楷體" w:hAnsi="標楷體" w:hint="eastAsia"/>
          <w:spacing w:val="-12"/>
          <w:kern w:val="0"/>
          <w:sz w:val="28"/>
          <w:szCs w:val="28"/>
          <w:lang w:val="x-none"/>
        </w:rPr>
        <w:t>23</w:t>
      </w:r>
      <w:r w:rsidRPr="001B6E4D">
        <w:rPr>
          <w:rFonts w:ascii="標楷體" w:eastAsia="標楷體" w:hAnsi="標楷體" w:hint="eastAsia"/>
          <w:spacing w:val="-12"/>
          <w:kern w:val="0"/>
          <w:sz w:val="28"/>
          <w:szCs w:val="28"/>
          <w:lang w:val="x-none" w:eastAsia="x-none"/>
        </w:rPr>
        <w:t>分</w:t>
      </w:r>
    </w:p>
    <w:p w14:paraId="436C1770" w14:textId="0AAA44EE" w:rsidR="00894241" w:rsidRPr="001B6E4D" w:rsidRDefault="008A6BF7" w:rsidP="003D1018">
      <w:pPr>
        <w:overflowPunct w:val="0"/>
        <w:adjustRightInd w:val="0"/>
        <w:snapToGrid w:val="0"/>
        <w:spacing w:line="360" w:lineRule="exact"/>
        <w:ind w:leftChars="1" w:left="1308" w:hangingChars="510" w:hanging="1306"/>
        <w:rPr>
          <w:rFonts w:ascii="標楷體" w:eastAsia="標楷體" w:hAnsi="標楷體"/>
          <w:spacing w:val="-10"/>
          <w:kern w:val="0"/>
          <w:sz w:val="28"/>
          <w:szCs w:val="28"/>
        </w:rPr>
      </w:pPr>
      <w:r w:rsidRPr="001B6E4D">
        <w:rPr>
          <w:rFonts w:ascii="標楷體" w:eastAsia="標楷體" w:hAnsi="標楷體" w:hint="eastAsia"/>
          <w:spacing w:val="-12"/>
          <w:kern w:val="0"/>
          <w:sz w:val="28"/>
          <w:szCs w:val="28"/>
          <w:lang w:val="x-none"/>
        </w:rPr>
        <w:t xml:space="preserve">            </w:t>
      </w:r>
      <w:r w:rsidR="00894241" w:rsidRPr="001B6E4D">
        <w:rPr>
          <w:rFonts w:ascii="標楷體" w:eastAsia="標楷體" w:hAnsi="標楷體" w:hint="eastAsia"/>
          <w:spacing w:val="-12"/>
          <w:kern w:val="0"/>
          <w:sz w:val="28"/>
          <w:szCs w:val="28"/>
          <w:lang w:val="x-none" w:eastAsia="x-none"/>
        </w:rPr>
        <w:t>；</w:t>
      </w:r>
      <w:r w:rsidR="00894241" w:rsidRPr="001B6E4D">
        <w:rPr>
          <w:rFonts w:ascii="標楷體" w:eastAsia="標楷體" w:hAnsi="標楷體" w:hint="eastAsia"/>
          <w:spacing w:val="-12"/>
          <w:kern w:val="0"/>
          <w:sz w:val="28"/>
          <w:szCs w:val="28"/>
          <w:lang w:val="x-none"/>
        </w:rPr>
        <w:t>7</w:t>
      </w:r>
      <w:r w:rsidR="00894241" w:rsidRPr="001B6E4D">
        <w:rPr>
          <w:rFonts w:ascii="標楷體" w:eastAsia="標楷體" w:hAnsi="標楷體" w:hint="eastAsia"/>
          <w:spacing w:val="-12"/>
          <w:kern w:val="0"/>
          <w:sz w:val="28"/>
          <w:szCs w:val="28"/>
          <w:lang w:val="x-none" w:eastAsia="x-none"/>
        </w:rPr>
        <w:t>月</w:t>
      </w:r>
      <w:r w:rsidR="00894241" w:rsidRPr="001B6E4D">
        <w:rPr>
          <w:rFonts w:ascii="標楷體" w:eastAsia="標楷體" w:hAnsi="標楷體" w:hint="eastAsia"/>
          <w:spacing w:val="-12"/>
          <w:kern w:val="0"/>
          <w:sz w:val="28"/>
          <w:szCs w:val="28"/>
          <w:lang w:val="x-none"/>
        </w:rPr>
        <w:t>2</w:t>
      </w:r>
      <w:r w:rsidR="00894241" w:rsidRPr="001B6E4D">
        <w:rPr>
          <w:rFonts w:ascii="標楷體" w:eastAsia="標楷體" w:hAnsi="標楷體" w:hint="eastAsia"/>
          <w:spacing w:val="-12"/>
          <w:kern w:val="0"/>
          <w:sz w:val="28"/>
          <w:szCs w:val="28"/>
          <w:lang w:val="x-none" w:eastAsia="x-none"/>
        </w:rPr>
        <w:t>日（星期</w:t>
      </w:r>
      <w:r w:rsidR="00894241" w:rsidRPr="001B6E4D">
        <w:rPr>
          <w:rFonts w:ascii="標楷體" w:eastAsia="標楷體" w:hAnsi="標楷體" w:hint="eastAsia"/>
          <w:spacing w:val="-12"/>
          <w:kern w:val="0"/>
          <w:sz w:val="28"/>
          <w:szCs w:val="28"/>
          <w:lang w:val="x-none"/>
        </w:rPr>
        <w:t>四</w:t>
      </w:r>
      <w:r w:rsidR="00894241" w:rsidRPr="001B6E4D">
        <w:rPr>
          <w:rFonts w:ascii="標楷體" w:eastAsia="標楷體" w:hAnsi="標楷體" w:hint="eastAsia"/>
          <w:spacing w:val="-12"/>
          <w:kern w:val="0"/>
          <w:sz w:val="28"/>
          <w:szCs w:val="28"/>
          <w:lang w:val="x-none" w:eastAsia="x-none"/>
        </w:rPr>
        <w:t>）上午9時</w:t>
      </w:r>
      <w:r w:rsidR="00894241" w:rsidRPr="001B6E4D">
        <w:rPr>
          <w:rFonts w:ascii="標楷體" w:eastAsia="標楷體" w:hAnsi="標楷體" w:hint="eastAsia"/>
          <w:spacing w:val="-12"/>
          <w:kern w:val="0"/>
          <w:sz w:val="28"/>
          <w:szCs w:val="28"/>
          <w:lang w:val="x-none"/>
        </w:rPr>
        <w:t>3分</w:t>
      </w:r>
      <w:r w:rsidR="00894241" w:rsidRPr="001B6E4D">
        <w:rPr>
          <w:rFonts w:ascii="標楷體" w:eastAsia="標楷體" w:hAnsi="標楷體" w:hint="eastAsia"/>
          <w:spacing w:val="-12"/>
          <w:kern w:val="0"/>
          <w:sz w:val="28"/>
          <w:szCs w:val="28"/>
          <w:lang w:val="x-none" w:eastAsia="x-none"/>
        </w:rPr>
        <w:t>至</w:t>
      </w:r>
      <w:r w:rsidR="00894241" w:rsidRPr="001B6E4D">
        <w:rPr>
          <w:rFonts w:ascii="標楷體" w:eastAsia="標楷體" w:hAnsi="標楷體" w:hint="eastAsia"/>
          <w:spacing w:val="-12"/>
          <w:kern w:val="0"/>
          <w:sz w:val="28"/>
          <w:szCs w:val="28"/>
          <w:lang w:val="x-none"/>
        </w:rPr>
        <w:t>1</w:t>
      </w:r>
      <w:r w:rsidR="00894241" w:rsidRPr="001B6E4D">
        <w:rPr>
          <w:rFonts w:ascii="標楷體" w:eastAsia="標楷體" w:hAnsi="標楷體"/>
          <w:spacing w:val="-12"/>
          <w:kern w:val="0"/>
          <w:sz w:val="28"/>
          <w:szCs w:val="28"/>
          <w:lang w:val="x-none"/>
        </w:rPr>
        <w:t>1</w:t>
      </w:r>
      <w:r w:rsidR="00894241" w:rsidRPr="001B6E4D">
        <w:rPr>
          <w:rFonts w:ascii="標楷體" w:eastAsia="標楷體" w:hAnsi="標楷體" w:hint="eastAsia"/>
          <w:spacing w:val="-12"/>
          <w:kern w:val="0"/>
          <w:sz w:val="28"/>
          <w:szCs w:val="28"/>
          <w:lang w:val="x-none"/>
        </w:rPr>
        <w:t>時</w:t>
      </w:r>
      <w:r w:rsidR="00894241" w:rsidRPr="001B6E4D">
        <w:rPr>
          <w:rFonts w:ascii="標楷體" w:eastAsia="標楷體" w:hAnsi="標楷體"/>
          <w:spacing w:val="-12"/>
          <w:kern w:val="0"/>
          <w:sz w:val="28"/>
          <w:szCs w:val="28"/>
          <w:lang w:val="x-none"/>
        </w:rPr>
        <w:t>23</w:t>
      </w:r>
      <w:r w:rsidR="00894241" w:rsidRPr="001B6E4D">
        <w:rPr>
          <w:rFonts w:ascii="標楷體" w:eastAsia="標楷體" w:hAnsi="標楷體" w:hint="eastAsia"/>
          <w:spacing w:val="-12"/>
          <w:kern w:val="0"/>
          <w:sz w:val="28"/>
          <w:szCs w:val="28"/>
          <w:lang w:val="x-none"/>
        </w:rPr>
        <w:t>分</w:t>
      </w:r>
    </w:p>
    <w:p w14:paraId="24CC0D57" w14:textId="77777777" w:rsidR="00894241" w:rsidRPr="001B6E4D" w:rsidRDefault="00894241"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384119547"/>
          <w:lang w:val="x-none" w:eastAsia="x-none"/>
        </w:rPr>
        <w:t>地    點</w:t>
      </w:r>
      <w:r w:rsidRPr="001B6E4D">
        <w:rPr>
          <w:rFonts w:ascii="標楷體" w:eastAsia="標楷體" w:hAnsi="標楷體"/>
          <w:kern w:val="0"/>
          <w:sz w:val="28"/>
          <w:szCs w:val="28"/>
          <w:lang w:val="x-none" w:eastAsia="x-none"/>
        </w:rPr>
        <w:t>：本院紅樓302會議室</w:t>
      </w:r>
    </w:p>
    <w:p w14:paraId="43287A6D"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翁曉玲</w:t>
      </w:r>
      <w:r w:rsidRPr="001B6E4D">
        <w:rPr>
          <w:rFonts w:ascii="標楷體" w:eastAsia="標楷體" w:hAnsi="標楷體" w:hint="eastAsia"/>
          <w:sz w:val="28"/>
          <w:szCs w:val="28"/>
        </w:rPr>
        <w:tab/>
        <w:t>莊瑞雄</w:t>
      </w:r>
      <w:r w:rsidRPr="001B6E4D">
        <w:rPr>
          <w:rFonts w:ascii="標楷體" w:eastAsia="標楷體" w:hAnsi="標楷體"/>
          <w:sz w:val="28"/>
          <w:szCs w:val="28"/>
        </w:rPr>
        <w:tab/>
      </w:r>
      <w:r w:rsidRPr="001B6E4D">
        <w:rPr>
          <w:rFonts w:ascii="標楷體" w:eastAsia="標楷體" w:hAnsi="標楷體" w:hint="eastAsia"/>
          <w:sz w:val="28"/>
          <w:szCs w:val="28"/>
        </w:rPr>
        <w:t>張雅琳</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t>林倩綺</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p>
    <w:p w14:paraId="02ED8DCE"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吳宗憲</w:t>
      </w:r>
      <w:r w:rsidRPr="001B6E4D">
        <w:rPr>
          <w:rFonts w:ascii="標楷體" w:eastAsia="標楷體" w:hAnsi="標楷體" w:hint="eastAsia"/>
          <w:sz w:val="28"/>
          <w:szCs w:val="28"/>
        </w:rPr>
        <w:tab/>
        <w:t>蔡其昌</w:t>
      </w:r>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t>柯建銘</w:t>
      </w:r>
      <w:r w:rsidRPr="001B6E4D">
        <w:rPr>
          <w:rFonts w:ascii="標楷體" w:eastAsia="標楷體" w:hAnsi="標楷體" w:hint="eastAsia"/>
          <w:sz w:val="28"/>
          <w:szCs w:val="28"/>
        </w:rPr>
        <w:tab/>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傅崐萁</w:t>
      </w:r>
    </w:p>
    <w:p w14:paraId="6E65C205"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13</w:t>
      </w:r>
      <w:r w:rsidRPr="001B6E4D">
        <w:rPr>
          <w:rFonts w:ascii="標楷體" w:eastAsia="標楷體" w:hAnsi="標楷體"/>
          <w:sz w:val="28"/>
          <w:szCs w:val="28"/>
        </w:rPr>
        <w:t>人</w:t>
      </w:r>
    </w:p>
    <w:p w14:paraId="50D11DC6"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sz w:val="28"/>
          <w:szCs w:val="28"/>
        </w:rPr>
        <w:tab/>
      </w:r>
      <w:r w:rsidRPr="001B6E4D">
        <w:rPr>
          <w:rFonts w:ascii="標楷體" w:eastAsia="標楷體" w:hAnsi="標楷體" w:hint="eastAsia"/>
          <w:sz w:val="28"/>
          <w:szCs w:val="28"/>
        </w:rPr>
        <w:t>楊瓊瓔</w:t>
      </w:r>
      <w:r w:rsidRPr="001B6E4D">
        <w:rPr>
          <w:rFonts w:ascii="標楷體" w:eastAsia="標楷體" w:hAnsi="標楷體"/>
          <w:sz w:val="28"/>
          <w:szCs w:val="28"/>
        </w:rPr>
        <w:tab/>
      </w:r>
      <w:r w:rsidRPr="001B6E4D">
        <w:rPr>
          <w:rFonts w:ascii="標楷體" w:eastAsia="標楷體" w:hAnsi="標楷體" w:hint="eastAsia"/>
          <w:sz w:val="28"/>
          <w:szCs w:val="28"/>
        </w:rPr>
        <w:t>許忠信</w:t>
      </w:r>
      <w:r w:rsidRPr="001B6E4D">
        <w:rPr>
          <w:rFonts w:ascii="標楷體" w:eastAsia="標楷體" w:hAnsi="標楷體"/>
          <w:sz w:val="28"/>
          <w:szCs w:val="28"/>
        </w:rPr>
        <w:tab/>
      </w:r>
      <w:r w:rsidRPr="001B6E4D">
        <w:rPr>
          <w:rFonts w:ascii="標楷體" w:eastAsia="標楷體" w:hAnsi="標楷體" w:hint="eastAsia"/>
          <w:sz w:val="28"/>
          <w:szCs w:val="28"/>
        </w:rPr>
        <w:t>鄭正鈐</w:t>
      </w:r>
      <w:r w:rsidRPr="001B6E4D">
        <w:rPr>
          <w:rFonts w:ascii="標楷體" w:eastAsia="標楷體" w:hAnsi="標楷體"/>
          <w:sz w:val="28"/>
          <w:szCs w:val="28"/>
        </w:rPr>
        <w:tab/>
      </w:r>
      <w:r w:rsidRPr="001B6E4D">
        <w:rPr>
          <w:rFonts w:ascii="標楷體" w:eastAsia="標楷體" w:hAnsi="標楷體" w:hint="eastAsia"/>
          <w:sz w:val="28"/>
          <w:szCs w:val="28"/>
        </w:rPr>
        <w:t>林德福</w:t>
      </w:r>
      <w:r w:rsidRPr="001B6E4D">
        <w:rPr>
          <w:rFonts w:ascii="標楷體" w:eastAsia="標楷體" w:hAnsi="標楷體"/>
          <w:sz w:val="28"/>
          <w:szCs w:val="28"/>
        </w:rPr>
        <w:tab/>
      </w:r>
      <w:r w:rsidRPr="001B6E4D">
        <w:rPr>
          <w:rFonts w:ascii="標楷體" w:eastAsia="標楷體" w:hAnsi="標楷體" w:hint="eastAsia"/>
          <w:sz w:val="28"/>
          <w:szCs w:val="28"/>
        </w:rPr>
        <w:t>蘇清泉</w:t>
      </w:r>
      <w:r w:rsidRPr="001B6E4D">
        <w:rPr>
          <w:rFonts w:ascii="標楷體" w:eastAsia="標楷體" w:hAnsi="標楷體" w:hint="eastAsia"/>
          <w:sz w:val="28"/>
          <w:szCs w:val="28"/>
        </w:rPr>
        <w:tab/>
      </w:r>
    </w:p>
    <w:p w14:paraId="01700B53"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6</w:t>
      </w:r>
      <w:r w:rsidRPr="001B6E4D">
        <w:rPr>
          <w:rFonts w:ascii="標楷體" w:eastAsia="標楷體" w:hAnsi="標楷體"/>
          <w:sz w:val="28"/>
          <w:szCs w:val="28"/>
        </w:rPr>
        <w:t>人</w:t>
      </w:r>
    </w:p>
    <w:p w14:paraId="426F3330" w14:textId="77777777" w:rsidR="00894241" w:rsidRPr="001B6E4D" w:rsidRDefault="00894241"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b/>
          <w:kern w:val="0"/>
          <w:sz w:val="28"/>
          <w:szCs w:val="28"/>
        </w:rPr>
        <w:t>7</w:t>
      </w:r>
      <w:r w:rsidRPr="001B6E4D">
        <w:rPr>
          <w:rFonts w:ascii="標楷體" w:eastAsia="標楷體" w:hAnsi="標楷體" w:hint="eastAsia"/>
          <w:b/>
          <w:bCs/>
          <w:kern w:val="0"/>
          <w:sz w:val="28"/>
          <w:szCs w:val="28"/>
        </w:rPr>
        <w:t>月1日（星期三）</w:t>
      </w:r>
    </w:p>
    <w:p w14:paraId="3F0B8F95"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考試院秘書長　劉建忻</w:t>
      </w:r>
    </w:p>
    <w:p w14:paraId="39900F96"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銓敘部部長　施能傑</w:t>
      </w:r>
    </w:p>
    <w:p w14:paraId="66B2B9C4"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公務人員保障暨培訓委員會保障法制處副處長　陳志豪</w:t>
      </w:r>
    </w:p>
    <w:p w14:paraId="718D90F5"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行政院人事行政總處培訓考用處處長　陳雅玲</w:t>
      </w:r>
    </w:p>
    <w:p w14:paraId="5EFEF167"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司法院行政訴訟及懲戒廳法官　何効鋼</w:t>
      </w:r>
    </w:p>
    <w:p w14:paraId="757FD38E"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監察院監察業務處處長　黃奕元</w:t>
      </w:r>
    </w:p>
    <w:p w14:paraId="43E3F84E"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財政部人事處副處長　翁慧敏</w:t>
      </w:r>
    </w:p>
    <w:p w14:paraId="1BB99CC8"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教育部人事處處長　林建璋</w:t>
      </w:r>
    </w:p>
    <w:p w14:paraId="3AC07355"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法務部參事　謝志明</w:t>
      </w:r>
    </w:p>
    <w:p w14:paraId="04155315"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經濟部人事處專門委員　吳靜瑜</w:t>
      </w:r>
    </w:p>
    <w:p w14:paraId="4120FFE1"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交通部人事處處長　吳延君</w:t>
      </w:r>
    </w:p>
    <w:p w14:paraId="2A053DDF"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衛生福利部人事處副處長　郭欣怡</w:t>
      </w:r>
    </w:p>
    <w:p w14:paraId="26235367"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內政部警政署人事室副主任　</w:t>
      </w:r>
      <w:proofErr w:type="gramStart"/>
      <w:r w:rsidRPr="001B6E4D">
        <w:rPr>
          <w:rFonts w:ascii="標楷體" w:eastAsia="標楷體" w:hAnsi="標楷體" w:hint="eastAsia"/>
          <w:kern w:val="0"/>
          <w:sz w:val="28"/>
          <w:szCs w:val="28"/>
        </w:rPr>
        <w:t>曾咸超</w:t>
      </w:r>
      <w:proofErr w:type="gramEnd"/>
    </w:p>
    <w:p w14:paraId="34436385" w14:textId="77777777" w:rsidR="00894241" w:rsidRPr="001B6E4D" w:rsidRDefault="00894241" w:rsidP="003D1018">
      <w:pPr>
        <w:widowControl w:val="0"/>
        <w:overflowPunct w:val="0"/>
        <w:adjustRightInd w:val="0"/>
        <w:snapToGrid w:val="0"/>
        <w:spacing w:line="370" w:lineRule="exact"/>
        <w:ind w:leftChars="584" w:left="2803" w:hangingChars="500" w:hanging="1401"/>
        <w:jc w:val="both"/>
        <w:rPr>
          <w:rFonts w:ascii="標楷體" w:eastAsia="標楷體" w:hAnsi="標楷體" w:cs="標楷體"/>
          <w:b/>
          <w:kern w:val="0"/>
          <w:sz w:val="28"/>
          <w:szCs w:val="28"/>
        </w:rPr>
      </w:pPr>
      <w:r w:rsidRPr="001B6E4D">
        <w:rPr>
          <w:rFonts w:ascii="標楷體" w:eastAsia="標楷體" w:hAnsi="標楷體" w:cs="標楷體" w:hint="eastAsia"/>
          <w:b/>
          <w:kern w:val="0"/>
          <w:sz w:val="28"/>
          <w:szCs w:val="28"/>
        </w:rPr>
        <w:t>7月2日（星期四）</w:t>
      </w:r>
    </w:p>
    <w:p w14:paraId="184DBBA3"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司法院秘書長　高金枝</w:t>
      </w:r>
    </w:p>
    <w:p w14:paraId="79241947"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財政部法制處簡任秘書　吳祥豪</w:t>
      </w:r>
    </w:p>
    <w:p w14:paraId="78EABA6A"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 xml:space="preserve">      賦稅署副署長　李志忠</w:t>
      </w:r>
    </w:p>
    <w:p w14:paraId="5FFE7E00"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銓敘部法規司專門委員　蕭麗蓉</w:t>
      </w:r>
    </w:p>
    <w:p w14:paraId="4134ABD4"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教育部高等教育司專門委員　吳志偉</w:t>
      </w:r>
    </w:p>
    <w:p w14:paraId="1CB0B816"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法務部檢察官　楊石宇</w:t>
      </w:r>
    </w:p>
    <w:p w14:paraId="4292F630"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經濟部國際貿易署綜合企劃組組長　邱光勛</w:t>
      </w:r>
    </w:p>
    <w:p w14:paraId="1AFB733F"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行政院人事行政總</w:t>
      </w:r>
      <w:proofErr w:type="gramStart"/>
      <w:r w:rsidRPr="001B6E4D">
        <w:rPr>
          <w:rFonts w:ascii="標楷體" w:eastAsia="標楷體" w:hAnsi="標楷體" w:hint="eastAsia"/>
          <w:kern w:val="0"/>
          <w:sz w:val="28"/>
          <w:szCs w:val="28"/>
        </w:rPr>
        <w:t>處組編人力</w:t>
      </w:r>
      <w:proofErr w:type="gramEnd"/>
      <w:r w:rsidRPr="001B6E4D">
        <w:rPr>
          <w:rFonts w:ascii="標楷體" w:eastAsia="標楷體" w:hAnsi="標楷體" w:hint="eastAsia"/>
          <w:kern w:val="0"/>
          <w:sz w:val="28"/>
          <w:szCs w:val="28"/>
        </w:rPr>
        <w:t>處專門委員　孫珮瑜</w:t>
      </w:r>
    </w:p>
    <w:p w14:paraId="3B80E944"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行政院主計總處公務預算處簡任視察　嚴</w:t>
      </w:r>
      <w:proofErr w:type="gramStart"/>
      <w:r w:rsidRPr="001B6E4D">
        <w:rPr>
          <w:rFonts w:ascii="標楷體" w:eastAsia="標楷體" w:hAnsi="標楷體" w:hint="eastAsia"/>
          <w:kern w:val="0"/>
          <w:sz w:val="28"/>
          <w:szCs w:val="28"/>
        </w:rPr>
        <w:t>于</w:t>
      </w:r>
      <w:proofErr w:type="gramEnd"/>
      <w:r w:rsidRPr="001B6E4D">
        <w:rPr>
          <w:rFonts w:ascii="標楷體" w:eastAsia="標楷體" w:hAnsi="標楷體" w:hint="eastAsia"/>
          <w:kern w:val="0"/>
          <w:sz w:val="28"/>
          <w:szCs w:val="28"/>
        </w:rPr>
        <w:t>屏</w:t>
      </w:r>
    </w:p>
    <w:p w14:paraId="5B81A414" w14:textId="77777777" w:rsidR="00894241" w:rsidRPr="001B6E4D" w:rsidRDefault="00894241" w:rsidP="003D1018">
      <w:pPr>
        <w:widowControl w:val="0"/>
        <w:overflowPunct w:val="0"/>
        <w:snapToGrid w:val="0"/>
        <w:spacing w:line="360" w:lineRule="exact"/>
        <w:ind w:left="574" w:hanging="560"/>
        <w:jc w:val="both"/>
        <w:rPr>
          <w:rFonts w:ascii="標楷體" w:eastAsia="標楷體" w:hAnsi="標楷體"/>
          <w:sz w:val="28"/>
          <w:szCs w:val="28"/>
        </w:rPr>
      </w:pPr>
      <w:r w:rsidRPr="001B6E4D">
        <w:rPr>
          <w:rFonts w:ascii="標楷體" w:eastAsia="標楷體" w:hAnsi="標楷體" w:hint="eastAsia"/>
          <w:sz w:val="28"/>
          <w:szCs w:val="28"/>
        </w:rPr>
        <w:t>主    席：莊召集委員瑞雄</w:t>
      </w:r>
    </w:p>
    <w:p w14:paraId="17806CF5"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34E0B6BD"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2BCF524B" w14:textId="77777777" w:rsidR="00894241" w:rsidRPr="001B6E4D" w:rsidRDefault="00894241"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4B94D4B9"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27B19001"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61EE4530"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0CE11F94" w14:textId="77777777" w:rsidR="00894241" w:rsidRPr="001B6E4D" w:rsidRDefault="00894241" w:rsidP="003D1018">
      <w:pPr>
        <w:widowControl w:val="0"/>
        <w:overflowPunct w:val="0"/>
        <w:adjustRightInd w:val="0"/>
        <w:snapToGrid w:val="0"/>
        <w:spacing w:beforeLines="50" w:before="180" w:line="360" w:lineRule="exact"/>
        <w:ind w:left="959" w:hangingChars="342" w:hanging="959"/>
        <w:jc w:val="both"/>
        <w:rPr>
          <w:rFonts w:ascii="標楷體" w:eastAsia="標楷體" w:hAnsi="標楷體"/>
          <w:b/>
          <w:kern w:val="0"/>
          <w:sz w:val="28"/>
          <w:szCs w:val="28"/>
        </w:rPr>
      </w:pPr>
      <w:r w:rsidRPr="001B6E4D">
        <w:rPr>
          <w:rFonts w:ascii="標楷體" w:eastAsia="標楷體" w:hAnsi="標楷體" w:hint="eastAsia"/>
          <w:b/>
          <w:kern w:val="0"/>
          <w:sz w:val="28"/>
          <w:szCs w:val="28"/>
        </w:rPr>
        <w:lastRenderedPageBreak/>
        <w:t>7月1日（星期三）</w:t>
      </w:r>
    </w:p>
    <w:p w14:paraId="33851BC7" w14:textId="77777777" w:rsidR="00894241" w:rsidRPr="001B6E4D" w:rsidRDefault="00894241" w:rsidP="003D1018">
      <w:pPr>
        <w:widowControl w:val="0"/>
        <w:overflowPunct w:val="0"/>
        <w:adjustRightInd w:val="0"/>
        <w:snapToGrid w:val="0"/>
        <w:spacing w:beforeLines="30" w:before="108"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14875ED0"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宣讀上次會議議事錄。</w:t>
      </w:r>
    </w:p>
    <w:p w14:paraId="284D09E9" w14:textId="77777777" w:rsidR="00894241" w:rsidRPr="001B6E4D" w:rsidRDefault="00894241" w:rsidP="003D1018">
      <w:pPr>
        <w:widowControl w:val="0"/>
        <w:overflowPunct w:val="0"/>
        <w:adjustRightInd w:val="0"/>
        <w:snapToGrid w:val="0"/>
        <w:spacing w:line="360" w:lineRule="exact"/>
        <w:ind w:left="840" w:hangingChars="300" w:hanging="840"/>
        <w:jc w:val="both"/>
        <w:rPr>
          <w:rFonts w:ascii="標楷體" w:eastAsia="標楷體" w:hAnsi="標楷體"/>
          <w:kern w:val="0"/>
          <w:sz w:val="28"/>
          <w:szCs w:val="28"/>
        </w:rPr>
      </w:pPr>
      <w:r w:rsidRPr="001B6E4D">
        <w:rPr>
          <w:rFonts w:ascii="標楷體" w:eastAsia="標楷體" w:hAnsi="標楷體"/>
          <w:kern w:val="0"/>
          <w:sz w:val="28"/>
          <w:szCs w:val="28"/>
        </w:rPr>
        <w:t>決定：確定。</w:t>
      </w:r>
    </w:p>
    <w:p w14:paraId="2E81F9E6" w14:textId="77777777" w:rsidR="00894241" w:rsidRPr="001B6E4D" w:rsidRDefault="00894241" w:rsidP="003D1018">
      <w:pPr>
        <w:overflowPunct w:val="0"/>
        <w:adjustRightInd w:val="0"/>
        <w:snapToGrid w:val="0"/>
        <w:spacing w:beforeLines="30" w:before="108" w:line="360" w:lineRule="exact"/>
        <w:ind w:firstLineChars="398" w:firstLine="1115"/>
        <w:jc w:val="both"/>
        <w:rPr>
          <w:rFonts w:ascii="標楷體" w:eastAsia="標楷體" w:hAnsi="標楷體"/>
          <w:b/>
          <w:kern w:val="0"/>
          <w:sz w:val="28"/>
          <w:szCs w:val="28"/>
          <w:lang w:val="x-none" w:eastAsia="x-none"/>
        </w:rPr>
      </w:pPr>
      <w:r w:rsidRPr="001B6E4D">
        <w:rPr>
          <w:rFonts w:ascii="標楷體" w:eastAsia="標楷體" w:hAnsi="標楷體"/>
          <w:b/>
          <w:kern w:val="0"/>
          <w:sz w:val="28"/>
          <w:szCs w:val="28"/>
          <w:lang w:val="x-none"/>
        </w:rPr>
        <w:t>討論事項</w:t>
      </w:r>
    </w:p>
    <w:p w14:paraId="4B5CC69E" w14:textId="77777777" w:rsidR="00894241" w:rsidRPr="001B6E4D" w:rsidRDefault="00894241" w:rsidP="003D1018">
      <w:pPr>
        <w:widowControl w:val="0"/>
        <w:overflowPunct w:val="0"/>
        <w:adjustRightInd w:val="0"/>
        <w:snapToGrid w:val="0"/>
        <w:spacing w:line="40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kern w:val="0"/>
          <w:sz w:val="28"/>
          <w:szCs w:val="28"/>
        </w:rPr>
        <w:t>審查考試院函請審議「公務人員考績法修正草案」案。</w:t>
      </w:r>
    </w:p>
    <w:p w14:paraId="413C81FA"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日會議有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陳昭姿、翁曉玲、張雅琳、沈發惠、林倩綺、莊瑞雄、</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雲、許忠信、楊瓊瓔</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；委員蔡其昌、吳宗憲、林德福、許宇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、傅崐萁提出書面質詢。</w:t>
      </w:r>
      <w:r w:rsidRPr="001B6E4D">
        <w:rPr>
          <w:rFonts w:ascii="標楷體" w:eastAsia="標楷體" w:hAnsi="標楷體"/>
          <w:sz w:val="28"/>
          <w:szCs w:val="28"/>
        </w:rPr>
        <w:t>）</w:t>
      </w:r>
    </w:p>
    <w:p w14:paraId="495320D9" w14:textId="77777777" w:rsidR="00894241" w:rsidRPr="001B6E4D" w:rsidRDefault="00894241"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151FF42F"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w:t>
      </w: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答完畢，另定期繼續審查。</w:t>
      </w:r>
    </w:p>
    <w:p w14:paraId="05E77044"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1ACA953B" w14:textId="77777777" w:rsidR="00894241" w:rsidRPr="001B6E4D" w:rsidRDefault="00894241" w:rsidP="003D1018">
      <w:pPr>
        <w:widowControl w:val="0"/>
        <w:overflowPunct w:val="0"/>
        <w:adjustRightInd w:val="0"/>
        <w:snapToGrid w:val="0"/>
        <w:spacing w:beforeLines="50" w:before="180" w:line="360" w:lineRule="exact"/>
        <w:ind w:left="959" w:hangingChars="342" w:hanging="959"/>
        <w:jc w:val="both"/>
        <w:rPr>
          <w:rFonts w:ascii="標楷體" w:eastAsia="標楷體" w:hAnsi="標楷體"/>
          <w:b/>
          <w:kern w:val="0"/>
          <w:sz w:val="28"/>
          <w:szCs w:val="28"/>
        </w:rPr>
      </w:pPr>
      <w:r w:rsidRPr="001B6E4D">
        <w:rPr>
          <w:rFonts w:ascii="標楷體" w:eastAsia="標楷體" w:hAnsi="標楷體" w:hint="eastAsia"/>
          <w:b/>
          <w:kern w:val="0"/>
          <w:sz w:val="28"/>
          <w:szCs w:val="28"/>
        </w:rPr>
        <w:t>7月2日（星期四）</w:t>
      </w:r>
    </w:p>
    <w:p w14:paraId="68CBB892" w14:textId="77777777" w:rsidR="00894241" w:rsidRPr="001B6E4D" w:rsidRDefault="00894241" w:rsidP="003D1018">
      <w:pPr>
        <w:overflowPunct w:val="0"/>
        <w:adjustRightInd w:val="0"/>
        <w:snapToGrid w:val="0"/>
        <w:spacing w:beforeLines="30" w:before="108" w:line="360" w:lineRule="exact"/>
        <w:ind w:firstLineChars="398" w:firstLine="1115"/>
        <w:jc w:val="both"/>
        <w:rPr>
          <w:rFonts w:ascii="標楷體" w:eastAsia="標楷體" w:hAnsi="標楷體"/>
          <w:b/>
          <w:kern w:val="0"/>
          <w:sz w:val="28"/>
          <w:szCs w:val="28"/>
          <w:lang w:val="x-none" w:eastAsia="x-none"/>
        </w:rPr>
      </w:pPr>
      <w:r w:rsidRPr="001B6E4D">
        <w:rPr>
          <w:rFonts w:ascii="標楷體" w:eastAsia="標楷體" w:hAnsi="標楷體"/>
          <w:b/>
          <w:kern w:val="0"/>
          <w:sz w:val="28"/>
          <w:szCs w:val="28"/>
          <w:lang w:val="x-none"/>
        </w:rPr>
        <w:t>討論事項</w:t>
      </w:r>
    </w:p>
    <w:p w14:paraId="6A74A575"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一、繼續審查司法院函請審議「稅務行政事件審理法草案」案。</w:t>
      </w:r>
    </w:p>
    <w:p w14:paraId="17FC7357"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二、繼續審查司法院函請審議「行政法院組織法部分條文修正草案」案。</w:t>
      </w:r>
    </w:p>
    <w:p w14:paraId="4AE1916B" w14:textId="77777777" w:rsidR="00894241" w:rsidRPr="001B6E4D" w:rsidRDefault="00894241"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4A949448" w14:textId="77777777" w:rsidR="00894241" w:rsidRPr="001B6E4D" w:rsidRDefault="00894241" w:rsidP="003D1018">
      <w:pPr>
        <w:widowControl w:val="0"/>
        <w:overflowPunct w:val="0"/>
        <w:adjustRightInd w:val="0"/>
        <w:snapToGrid w:val="0"/>
        <w:spacing w:line="360" w:lineRule="exact"/>
        <w:ind w:left="560" w:hangingChars="200" w:hanging="560"/>
        <w:jc w:val="both"/>
        <w:rPr>
          <w:rFonts w:ascii="標楷體" w:eastAsia="標楷體" w:hAnsi="標楷體"/>
        </w:rPr>
      </w:pPr>
      <w:r w:rsidRPr="001B6E4D">
        <w:rPr>
          <w:rFonts w:ascii="標楷體" w:eastAsia="標楷體" w:hAnsi="標楷體" w:hint="eastAsia"/>
          <w:sz w:val="28"/>
          <w:szCs w:val="28"/>
        </w:rPr>
        <w:t>一、「稅務行政事件審理法草案」：</w:t>
      </w:r>
    </w:p>
    <w:p w14:paraId="410962E7"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w:t>
      </w:r>
      <w:proofErr w:type="gramStart"/>
      <w:r w:rsidRPr="001B6E4D">
        <w:rPr>
          <w:rFonts w:ascii="標楷體" w:eastAsia="標楷體" w:hAnsi="標楷體" w:hint="eastAsia"/>
          <w:color w:val="000000"/>
          <w:kern w:val="0"/>
          <w:sz w:val="28"/>
          <w:szCs w:val="28"/>
        </w:rPr>
        <w:t>一</w:t>
      </w:r>
      <w:proofErr w:type="gramEnd"/>
      <w:r w:rsidRPr="001B6E4D">
        <w:rPr>
          <w:rFonts w:ascii="標楷體" w:eastAsia="標楷體" w:hAnsi="標楷體" w:hint="eastAsia"/>
          <w:color w:val="000000"/>
          <w:kern w:val="0"/>
          <w:sz w:val="28"/>
          <w:szCs w:val="28"/>
        </w:rPr>
        <w:t>)</w:t>
      </w:r>
      <w:r w:rsidRPr="001B6E4D">
        <w:rPr>
          <w:rFonts w:ascii="標楷體" w:eastAsia="標楷體" w:hAnsi="標楷體" w:hint="eastAsia"/>
          <w:color w:val="000000"/>
          <w:sz w:val="28"/>
          <w:szCs w:val="28"/>
        </w:rPr>
        <w:t>第四</w:t>
      </w:r>
      <w:r w:rsidRPr="001B6E4D">
        <w:rPr>
          <w:rFonts w:ascii="標楷體" w:eastAsia="標楷體" w:hAnsi="標楷體" w:hint="eastAsia"/>
          <w:color w:val="000000"/>
          <w:kern w:val="0"/>
          <w:sz w:val="28"/>
          <w:szCs w:val="28"/>
        </w:rPr>
        <w:t>條，照司法院提案通過。</w:t>
      </w:r>
    </w:p>
    <w:p w14:paraId="2023FC1B"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(二)</w:t>
      </w:r>
      <w:r w:rsidRPr="001B6E4D">
        <w:rPr>
          <w:rFonts w:ascii="標楷體" w:eastAsia="標楷體" w:hAnsi="標楷體" w:hint="eastAsia"/>
          <w:color w:val="000000"/>
          <w:sz w:val="28"/>
          <w:szCs w:val="28"/>
        </w:rPr>
        <w:t>第五</w:t>
      </w:r>
      <w:r w:rsidRPr="001B6E4D">
        <w:rPr>
          <w:rFonts w:ascii="標楷體" w:eastAsia="標楷體" w:hAnsi="標楷體" w:hint="eastAsia"/>
          <w:color w:val="000000"/>
          <w:kern w:val="0"/>
          <w:sz w:val="28"/>
          <w:szCs w:val="28"/>
        </w:rPr>
        <w:t>條，保留，送院會處理。</w:t>
      </w:r>
    </w:p>
    <w:p w14:paraId="1F8B5687" w14:textId="77777777" w:rsidR="00894241" w:rsidRPr="001B6E4D" w:rsidRDefault="00894241" w:rsidP="003D1018">
      <w:pPr>
        <w:widowControl w:val="0"/>
        <w:kinsoku w:val="0"/>
        <w:overflowPunct w:val="0"/>
        <w:spacing w:before="120" w:after="120" w:line="360" w:lineRule="exact"/>
        <w:ind w:leftChars="118" w:left="843" w:hangingChars="200" w:hanging="560"/>
        <w:contextualSpacing/>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(三)本案另定期繼續審查。</w:t>
      </w:r>
    </w:p>
    <w:p w14:paraId="3F832DCB" w14:textId="77777777" w:rsidR="00894241" w:rsidRPr="001B6E4D" w:rsidRDefault="00894241" w:rsidP="003D1018">
      <w:pPr>
        <w:widowControl w:val="0"/>
        <w:overflowPunct w:val="0"/>
        <w:adjustRightInd w:val="0"/>
        <w:snapToGrid w:val="0"/>
        <w:spacing w:line="360" w:lineRule="exact"/>
        <w:ind w:left="560" w:hangingChars="200" w:hanging="560"/>
        <w:jc w:val="both"/>
        <w:rPr>
          <w:rFonts w:ascii="標楷體" w:eastAsia="標楷體" w:hAnsi="標楷體"/>
          <w:sz w:val="28"/>
          <w:szCs w:val="28"/>
        </w:rPr>
      </w:pPr>
      <w:r w:rsidRPr="001B6E4D">
        <w:rPr>
          <w:rFonts w:ascii="標楷體" w:eastAsia="標楷體" w:hAnsi="標楷體" w:hint="eastAsia"/>
          <w:sz w:val="28"/>
          <w:szCs w:val="28"/>
        </w:rPr>
        <w:t>二、「行政法院組織法部分條文修正草案」：</w:t>
      </w:r>
      <w:r w:rsidRPr="001B6E4D">
        <w:rPr>
          <w:rFonts w:ascii="標楷體" w:eastAsia="標楷體" w:hAnsi="標楷體" w:hint="eastAsia"/>
          <w:color w:val="000000"/>
          <w:kern w:val="0"/>
          <w:sz w:val="28"/>
          <w:szCs w:val="28"/>
        </w:rPr>
        <w:t>另定期繼續審查。</w:t>
      </w:r>
    </w:p>
    <w:p w14:paraId="268099CB" w14:textId="77777777" w:rsidR="00894241" w:rsidRPr="001B6E4D" w:rsidRDefault="00894241" w:rsidP="003D1018">
      <w:pPr>
        <w:widowControl w:val="0"/>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26D99B64"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14C8A563" w14:textId="394BAA86" w:rsidR="00894241" w:rsidRPr="001B6E4D" w:rsidRDefault="00894241"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39" w:name="_Toc240446607"/>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23</w:t>
      </w:r>
      <w:r w:rsidRPr="001B6E4D">
        <w:rPr>
          <w:rFonts w:ascii="標楷體" w:eastAsia="標楷體" w:hAnsi="標楷體"/>
          <w:b/>
          <w:spacing w:val="-2"/>
          <w:sz w:val="28"/>
          <w:szCs w:val="28"/>
        </w:rPr>
        <w:t>次全體委員會議議事錄</w:t>
      </w:r>
      <w:bookmarkEnd w:id="539"/>
    </w:p>
    <w:p w14:paraId="707D93D7" w14:textId="77777777" w:rsidR="00894241" w:rsidRPr="001B6E4D" w:rsidRDefault="00894241" w:rsidP="003D1018">
      <w:pPr>
        <w:overflowPunct w:val="0"/>
        <w:adjustRightInd w:val="0"/>
        <w:snapToGrid w:val="0"/>
        <w:spacing w:line="360" w:lineRule="exact"/>
        <w:ind w:leftChars="1" w:left="1416" w:hangingChars="505" w:hanging="1414"/>
        <w:rPr>
          <w:rFonts w:ascii="標楷體" w:eastAsia="標楷體" w:hAnsi="標楷體"/>
          <w:kern w:val="0"/>
          <w:sz w:val="28"/>
          <w:szCs w:val="28"/>
        </w:rPr>
      </w:pPr>
      <w:r w:rsidRPr="001B6E4D">
        <w:rPr>
          <w:rFonts w:ascii="標楷體" w:eastAsia="標楷體" w:hAnsi="標楷體"/>
          <w:kern w:val="0"/>
          <w:sz w:val="28"/>
          <w:szCs w:val="28"/>
          <w:fitText w:val="1120" w:id="-384119546"/>
        </w:rPr>
        <w:t>時    間</w:t>
      </w:r>
      <w:r w:rsidRPr="001B6E4D">
        <w:rPr>
          <w:rFonts w:ascii="標楷體" w:eastAsia="標楷體" w:hAnsi="標楷體"/>
          <w:kern w:val="0"/>
          <w:sz w:val="28"/>
          <w:szCs w:val="28"/>
        </w:rPr>
        <w:t>：</w:t>
      </w:r>
      <w:r w:rsidRPr="001B6E4D">
        <w:rPr>
          <w:rFonts w:ascii="標楷體" w:eastAsia="標楷體" w:hAnsi="標楷體"/>
          <w:spacing w:val="-12"/>
          <w:kern w:val="0"/>
          <w:sz w:val="28"/>
          <w:szCs w:val="28"/>
        </w:rPr>
        <w:t>中華民國1</w:t>
      </w:r>
      <w:r w:rsidRPr="001B6E4D">
        <w:rPr>
          <w:rFonts w:ascii="標楷體" w:eastAsia="標楷體" w:hAnsi="標楷體" w:hint="eastAsia"/>
          <w:spacing w:val="-12"/>
          <w:kern w:val="0"/>
          <w:sz w:val="28"/>
          <w:szCs w:val="28"/>
        </w:rPr>
        <w:t>15</w:t>
      </w:r>
      <w:r w:rsidRPr="001B6E4D">
        <w:rPr>
          <w:rFonts w:ascii="標楷體" w:eastAsia="標楷體" w:hAnsi="標楷體"/>
          <w:spacing w:val="-12"/>
          <w:kern w:val="0"/>
          <w:sz w:val="28"/>
          <w:szCs w:val="28"/>
        </w:rPr>
        <w:t>年</w:t>
      </w:r>
      <w:r w:rsidRPr="001B6E4D">
        <w:rPr>
          <w:rFonts w:ascii="標楷體" w:eastAsia="標楷體" w:hAnsi="標楷體" w:hint="eastAsia"/>
          <w:spacing w:val="-12"/>
          <w:kern w:val="0"/>
          <w:sz w:val="28"/>
          <w:szCs w:val="28"/>
        </w:rPr>
        <w:t>7</w:t>
      </w:r>
      <w:r w:rsidRPr="001B6E4D">
        <w:rPr>
          <w:rFonts w:ascii="標楷體" w:eastAsia="標楷體" w:hAnsi="標楷體"/>
          <w:spacing w:val="-12"/>
          <w:kern w:val="0"/>
          <w:sz w:val="28"/>
          <w:szCs w:val="28"/>
        </w:rPr>
        <w:t>月</w:t>
      </w:r>
      <w:r w:rsidRPr="001B6E4D">
        <w:rPr>
          <w:rFonts w:ascii="標楷體" w:eastAsia="標楷體" w:hAnsi="標楷體" w:hint="eastAsia"/>
          <w:spacing w:val="-12"/>
          <w:kern w:val="0"/>
          <w:sz w:val="28"/>
          <w:szCs w:val="28"/>
        </w:rPr>
        <w:t>6</w:t>
      </w:r>
      <w:r w:rsidRPr="001B6E4D">
        <w:rPr>
          <w:rFonts w:ascii="標楷體" w:eastAsia="標楷體" w:hAnsi="標楷體"/>
          <w:spacing w:val="-12"/>
          <w:kern w:val="0"/>
          <w:sz w:val="28"/>
          <w:szCs w:val="28"/>
        </w:rPr>
        <w:t>日（星期</w:t>
      </w:r>
      <w:r w:rsidRPr="001B6E4D">
        <w:rPr>
          <w:rFonts w:ascii="標楷體" w:eastAsia="標楷體" w:hAnsi="標楷體" w:hint="eastAsia"/>
          <w:spacing w:val="-12"/>
          <w:kern w:val="0"/>
          <w:sz w:val="28"/>
          <w:szCs w:val="28"/>
        </w:rPr>
        <w:t>一</w:t>
      </w:r>
      <w:r w:rsidRPr="001B6E4D">
        <w:rPr>
          <w:rFonts w:ascii="標楷體" w:eastAsia="標楷體" w:hAnsi="標楷體"/>
          <w:spacing w:val="-12"/>
          <w:kern w:val="0"/>
          <w:sz w:val="28"/>
          <w:szCs w:val="28"/>
        </w:rPr>
        <w:t>）上午9時</w:t>
      </w:r>
      <w:r w:rsidRPr="001B6E4D">
        <w:rPr>
          <w:rFonts w:ascii="標楷體" w:eastAsia="標楷體" w:hAnsi="標楷體" w:hint="eastAsia"/>
          <w:spacing w:val="-12"/>
          <w:kern w:val="0"/>
          <w:sz w:val="28"/>
          <w:szCs w:val="28"/>
        </w:rPr>
        <w:t>2分</w:t>
      </w:r>
      <w:r w:rsidRPr="001B6E4D">
        <w:rPr>
          <w:rFonts w:ascii="標楷體" w:eastAsia="標楷體" w:hAnsi="標楷體"/>
          <w:spacing w:val="-12"/>
          <w:kern w:val="0"/>
          <w:sz w:val="28"/>
          <w:szCs w:val="28"/>
        </w:rPr>
        <w:t>至</w:t>
      </w:r>
      <w:r w:rsidRPr="001B6E4D">
        <w:rPr>
          <w:rFonts w:ascii="標楷體" w:eastAsia="標楷體" w:hAnsi="標楷體" w:hint="eastAsia"/>
          <w:spacing w:val="-12"/>
          <w:kern w:val="0"/>
          <w:sz w:val="28"/>
          <w:szCs w:val="28"/>
        </w:rPr>
        <w:t>1</w:t>
      </w:r>
      <w:r w:rsidRPr="001B6E4D">
        <w:rPr>
          <w:rFonts w:ascii="標楷體" w:eastAsia="標楷體" w:hAnsi="標楷體"/>
          <w:spacing w:val="-12"/>
          <w:kern w:val="0"/>
          <w:sz w:val="28"/>
          <w:szCs w:val="28"/>
        </w:rPr>
        <w:t>2時20</w:t>
      </w:r>
      <w:r w:rsidRPr="001B6E4D">
        <w:rPr>
          <w:rFonts w:ascii="標楷體" w:eastAsia="標楷體" w:hAnsi="標楷體" w:hint="eastAsia"/>
          <w:spacing w:val="-12"/>
          <w:kern w:val="0"/>
          <w:sz w:val="28"/>
          <w:szCs w:val="28"/>
        </w:rPr>
        <w:t>分</w:t>
      </w:r>
    </w:p>
    <w:p w14:paraId="1C9D86E2" w14:textId="77777777" w:rsidR="00894241" w:rsidRPr="001B6E4D" w:rsidRDefault="00894241"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rPr>
      </w:pPr>
      <w:r w:rsidRPr="001B6E4D">
        <w:rPr>
          <w:rFonts w:ascii="標楷體" w:eastAsia="標楷體" w:hAnsi="標楷體"/>
          <w:kern w:val="0"/>
          <w:sz w:val="28"/>
          <w:szCs w:val="28"/>
          <w:fitText w:val="1120" w:id="-384119545"/>
        </w:rPr>
        <w:t>地    點</w:t>
      </w:r>
      <w:r w:rsidRPr="001B6E4D">
        <w:rPr>
          <w:rFonts w:ascii="標楷體" w:eastAsia="標楷體" w:hAnsi="標楷體"/>
          <w:kern w:val="0"/>
          <w:sz w:val="28"/>
          <w:szCs w:val="28"/>
        </w:rPr>
        <w:t>：本院紅樓302會議室</w:t>
      </w:r>
    </w:p>
    <w:p w14:paraId="624C559B" w14:textId="77777777" w:rsidR="00894241" w:rsidRPr="001B6E4D" w:rsidRDefault="00894241" w:rsidP="003D1018">
      <w:pPr>
        <w:widowControl w:val="0"/>
        <w:tabs>
          <w:tab w:val="left" w:pos="1418"/>
          <w:tab w:val="left" w:pos="1560"/>
        </w:tabs>
        <w:overflowPunct w:val="0"/>
        <w:snapToGrid w:val="0"/>
        <w:ind w:left="574" w:hanging="560"/>
        <w:rPr>
          <w:rFonts w:ascii="標楷體" w:eastAsia="標楷體" w:hAnsi="標楷體"/>
          <w:kern w:val="0"/>
          <w:sz w:val="28"/>
          <w:szCs w:val="28"/>
        </w:rPr>
      </w:pPr>
      <w:r w:rsidRPr="001B6E4D">
        <w:rPr>
          <w:rFonts w:ascii="標楷體" w:eastAsia="標楷體" w:hAnsi="標楷體"/>
          <w:kern w:val="0"/>
          <w:sz w:val="28"/>
          <w:szCs w:val="28"/>
        </w:rPr>
        <w:t>出席委員：</w:t>
      </w:r>
      <w:r w:rsidRPr="001B6E4D">
        <w:rPr>
          <w:rFonts w:ascii="標楷體" w:eastAsia="標楷體" w:hAnsi="標楷體" w:hint="eastAsia"/>
          <w:kern w:val="0"/>
          <w:sz w:val="28"/>
          <w:szCs w:val="28"/>
        </w:rPr>
        <w:t>陳昭姿</w:t>
      </w:r>
      <w:r w:rsidRPr="001B6E4D">
        <w:rPr>
          <w:rFonts w:ascii="標楷體" w:eastAsia="標楷體" w:hAnsi="標楷體" w:hint="eastAsia"/>
          <w:kern w:val="0"/>
          <w:sz w:val="28"/>
          <w:szCs w:val="28"/>
        </w:rPr>
        <w:tab/>
        <w:t>吳宗憲</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林沛祥</w:t>
      </w:r>
      <w:r w:rsidRPr="001B6E4D">
        <w:rPr>
          <w:rFonts w:ascii="標楷體" w:eastAsia="標楷體" w:hAnsi="標楷體" w:hint="eastAsia"/>
          <w:kern w:val="0"/>
          <w:sz w:val="28"/>
          <w:szCs w:val="28"/>
        </w:rPr>
        <w:tab/>
        <w:t>林倩綺</w:t>
      </w:r>
      <w:r w:rsidRPr="001B6E4D">
        <w:rPr>
          <w:rFonts w:ascii="標楷體" w:eastAsia="標楷體" w:hAnsi="標楷體" w:hint="eastAsia"/>
          <w:kern w:val="0"/>
          <w:sz w:val="28"/>
          <w:szCs w:val="28"/>
        </w:rPr>
        <w:tab/>
        <w:t>翁曉玲</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張雅琳</w:t>
      </w:r>
      <w:r w:rsidRPr="001B6E4D">
        <w:rPr>
          <w:rFonts w:ascii="標楷體" w:eastAsia="標楷體" w:hAnsi="標楷體"/>
          <w:kern w:val="0"/>
          <w:sz w:val="28"/>
          <w:szCs w:val="28"/>
        </w:rPr>
        <w:tab/>
      </w:r>
      <w:r w:rsidRPr="001B6E4D">
        <w:rPr>
          <w:rFonts w:ascii="標楷體" w:eastAsia="標楷體" w:hAnsi="標楷體" w:hint="eastAsia"/>
          <w:kern w:val="0"/>
          <w:sz w:val="28"/>
          <w:szCs w:val="28"/>
        </w:rPr>
        <w:t>沈發惠</w:t>
      </w:r>
      <w:r w:rsidRPr="001B6E4D">
        <w:rPr>
          <w:rFonts w:ascii="標楷體" w:eastAsia="標楷體" w:hAnsi="標楷體" w:hint="eastAsia"/>
          <w:kern w:val="0"/>
          <w:sz w:val="28"/>
          <w:szCs w:val="28"/>
        </w:rPr>
        <w:tab/>
      </w:r>
    </w:p>
    <w:p w14:paraId="257CFC6B" w14:textId="77777777" w:rsidR="00894241" w:rsidRPr="001B6E4D" w:rsidRDefault="00894241" w:rsidP="003D1018">
      <w:pPr>
        <w:widowControl w:val="0"/>
        <w:overflowPunct w:val="0"/>
        <w:snapToGrid w:val="0"/>
        <w:ind w:left="206" w:firstLine="1212"/>
        <w:rPr>
          <w:rFonts w:ascii="標楷體" w:eastAsia="標楷體" w:hAnsi="標楷體"/>
          <w:sz w:val="28"/>
          <w:szCs w:val="28"/>
        </w:rPr>
      </w:pP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莊瑞雄</w:t>
      </w:r>
      <w:r w:rsidRPr="001B6E4D">
        <w:rPr>
          <w:rFonts w:ascii="標楷體" w:eastAsia="標楷體" w:hAnsi="標楷體" w:hint="eastAsia"/>
          <w:sz w:val="28"/>
          <w:szCs w:val="28"/>
        </w:rPr>
        <w:tab/>
        <w:t>蔡其昌</w:t>
      </w:r>
      <w:r w:rsidRPr="001B6E4D">
        <w:rPr>
          <w:rFonts w:ascii="標楷體" w:eastAsia="標楷體" w:hAnsi="標楷體" w:hint="eastAsia"/>
          <w:color w:val="FF0000"/>
          <w:sz w:val="28"/>
          <w:szCs w:val="28"/>
        </w:rPr>
        <w:tab/>
      </w:r>
    </w:p>
    <w:p w14:paraId="46EC57EF"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11</w:t>
      </w:r>
      <w:r w:rsidRPr="001B6E4D">
        <w:rPr>
          <w:rFonts w:ascii="標楷體" w:eastAsia="標楷體" w:hAnsi="標楷體"/>
          <w:sz w:val="28"/>
          <w:szCs w:val="28"/>
        </w:rPr>
        <w:t>人</w:t>
      </w:r>
    </w:p>
    <w:p w14:paraId="73F6351A"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pacing w:val="-22"/>
          <w:sz w:val="28"/>
          <w:szCs w:val="28"/>
        </w:rPr>
        <w:t>鄭天財</w:t>
      </w:r>
      <w:proofErr w:type="spellStart"/>
      <w:r w:rsidRPr="001B6E4D">
        <w:rPr>
          <w:rFonts w:ascii="標楷體" w:eastAsia="標楷體" w:hAnsi="標楷體" w:hint="eastAsia"/>
          <w:spacing w:val="-22"/>
          <w:sz w:val="28"/>
          <w:szCs w:val="28"/>
        </w:rPr>
        <w:t>Sra</w:t>
      </w:r>
      <w:proofErr w:type="spellEnd"/>
      <w:r w:rsidRPr="001B6E4D">
        <w:rPr>
          <w:rFonts w:ascii="標楷體" w:eastAsia="標楷體" w:hAnsi="標楷體" w:hint="eastAsia"/>
          <w:spacing w:val="-22"/>
          <w:sz w:val="28"/>
          <w:szCs w:val="28"/>
        </w:rPr>
        <w:t xml:space="preserve"> </w:t>
      </w:r>
      <w:proofErr w:type="spellStart"/>
      <w:r w:rsidRPr="001B6E4D">
        <w:rPr>
          <w:rFonts w:ascii="標楷體" w:eastAsia="標楷體" w:hAnsi="標楷體" w:hint="eastAsia"/>
          <w:spacing w:val="-22"/>
          <w:sz w:val="28"/>
          <w:szCs w:val="28"/>
        </w:rPr>
        <w:t>Kacaw</w:t>
      </w:r>
      <w:proofErr w:type="spellEnd"/>
      <w:r w:rsidRPr="001B6E4D">
        <w:rPr>
          <w:rFonts w:ascii="標楷體" w:eastAsia="標楷體" w:hAnsi="標楷體"/>
          <w:sz w:val="28"/>
          <w:szCs w:val="28"/>
        </w:rPr>
        <w:tab/>
      </w:r>
      <w:r w:rsidRPr="001B6E4D">
        <w:rPr>
          <w:rFonts w:ascii="標楷體" w:eastAsia="標楷體" w:hAnsi="標楷體" w:hint="eastAsia"/>
          <w:sz w:val="28"/>
          <w:szCs w:val="28"/>
        </w:rPr>
        <w:t>賴士葆</w:t>
      </w:r>
      <w:r w:rsidRPr="001B6E4D">
        <w:rPr>
          <w:rFonts w:ascii="標楷體" w:eastAsia="標楷體" w:hAnsi="標楷體"/>
          <w:sz w:val="28"/>
          <w:szCs w:val="28"/>
        </w:rPr>
        <w:tab/>
      </w:r>
      <w:r w:rsidRPr="001B6E4D">
        <w:rPr>
          <w:rFonts w:ascii="標楷體" w:eastAsia="標楷體" w:hAnsi="標楷體" w:hint="eastAsia"/>
          <w:sz w:val="28"/>
          <w:szCs w:val="28"/>
        </w:rPr>
        <w:t>陳冠廷</w:t>
      </w:r>
    </w:p>
    <w:p w14:paraId="47601903"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席3人</w:t>
      </w:r>
    </w:p>
    <w:p w14:paraId="4CAC5797" w14:textId="77777777" w:rsidR="00894241" w:rsidRPr="001B6E4D" w:rsidRDefault="00894241" w:rsidP="003D1018">
      <w:pPr>
        <w:widowControl w:val="0"/>
        <w:overflowPunct w:val="0"/>
        <w:snapToGrid w:val="0"/>
        <w:ind w:left="574" w:hanging="560"/>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司法院副秘書長　李</w:t>
      </w:r>
      <w:proofErr w:type="gramStart"/>
      <w:r w:rsidRPr="001B6E4D">
        <w:rPr>
          <w:rFonts w:ascii="標楷體" w:eastAsia="標楷體" w:hAnsi="標楷體" w:hint="eastAsia"/>
          <w:kern w:val="0"/>
          <w:sz w:val="28"/>
          <w:szCs w:val="28"/>
        </w:rPr>
        <w:t>釱</w:t>
      </w:r>
      <w:proofErr w:type="gramEnd"/>
      <w:r w:rsidRPr="001B6E4D">
        <w:rPr>
          <w:rFonts w:ascii="標楷體" w:eastAsia="標楷體" w:hAnsi="標楷體" w:hint="eastAsia"/>
          <w:kern w:val="0"/>
          <w:sz w:val="28"/>
          <w:szCs w:val="28"/>
        </w:rPr>
        <w:t>任(秘書長請假)</w:t>
      </w:r>
    </w:p>
    <w:p w14:paraId="0AA90AFC"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kern w:val="0"/>
          <w:sz w:val="28"/>
          <w:szCs w:val="28"/>
        </w:rPr>
      </w:pPr>
      <w:r w:rsidRPr="001B6E4D">
        <w:rPr>
          <w:rFonts w:ascii="標楷體" w:eastAsia="標楷體" w:hAnsi="標楷體" w:hint="eastAsia"/>
          <w:kern w:val="0"/>
          <w:sz w:val="28"/>
          <w:szCs w:val="28"/>
        </w:rPr>
        <w:t>法務部常務次長　馮成</w:t>
      </w:r>
      <w:bookmarkStart w:id="540" w:name="_Hlk233987535"/>
      <w:r w:rsidRPr="001B6E4D">
        <w:rPr>
          <w:rFonts w:ascii="標楷體" w:eastAsia="標楷體" w:hAnsi="標楷體" w:hint="eastAsia"/>
          <w:kern w:val="0"/>
          <w:sz w:val="28"/>
          <w:szCs w:val="28"/>
        </w:rPr>
        <w:t>(部長請假)</w:t>
      </w:r>
      <w:bookmarkEnd w:id="540"/>
    </w:p>
    <w:p w14:paraId="121711D5"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kern w:val="0"/>
          <w:sz w:val="28"/>
          <w:szCs w:val="28"/>
        </w:rPr>
      </w:pPr>
      <w:r w:rsidRPr="001B6E4D">
        <w:rPr>
          <w:rFonts w:ascii="標楷體" w:eastAsia="標楷體" w:hAnsi="標楷體" w:hint="eastAsia"/>
          <w:kern w:val="0"/>
          <w:sz w:val="28"/>
          <w:szCs w:val="28"/>
        </w:rPr>
        <w:t>財團法人法律扶助基金會董事長　莊秋桃</w:t>
      </w:r>
    </w:p>
    <w:p w14:paraId="1A13D945"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kern w:val="0"/>
          <w:sz w:val="28"/>
          <w:szCs w:val="28"/>
        </w:rPr>
      </w:pPr>
      <w:r w:rsidRPr="001B6E4D">
        <w:rPr>
          <w:rFonts w:ascii="標楷體" w:eastAsia="標楷體" w:hAnsi="標楷體" w:hint="eastAsia"/>
          <w:kern w:val="0"/>
          <w:sz w:val="28"/>
          <w:szCs w:val="28"/>
        </w:rPr>
        <w:t>財團法人犯罪被害人保護協會執行長　陳娟娟</w:t>
      </w:r>
    </w:p>
    <w:p w14:paraId="0682EB16" w14:textId="77777777" w:rsidR="00894241" w:rsidRPr="001B6E4D" w:rsidRDefault="00894241"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67815540"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67B0632C"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74D9708A" w14:textId="77777777" w:rsidR="00894241" w:rsidRPr="001B6E4D" w:rsidRDefault="00894241"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54BF4B01"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49AD3C5B"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15F1447B" w14:textId="77777777" w:rsidR="00894241" w:rsidRPr="001B6E4D" w:rsidRDefault="00894241"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63DCD8DB"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一、宣讀上次會議議事錄。</w:t>
      </w:r>
    </w:p>
    <w:p w14:paraId="2A782FEA"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sz w:val="28"/>
          <w:szCs w:val="28"/>
        </w:rPr>
        <w:t>決定：確定。</w:t>
      </w:r>
    </w:p>
    <w:p w14:paraId="5FD2DC21" w14:textId="77777777" w:rsidR="00894241" w:rsidRPr="001B6E4D" w:rsidRDefault="00894241"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二、邀請司法院秘書長、法務部部長、財團法人法律扶助基金會、財團法人犯罪被害人保護協會針對「犯罪被害人訴訟參與制度之現況、檢討與精進」進行專題報告，並備質詢。</w:t>
      </w:r>
    </w:p>
    <w:p w14:paraId="3753B9B4"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陳昭姿、翁曉玲、吳宗憲、沈發惠、賴士葆、陳冠廷、林倩綺、許宇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、林沛祥、張雅琳、莊瑞雄、</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；委員蔡其昌、傅崐萁提出書面質詢。</w:t>
      </w:r>
      <w:r w:rsidRPr="001B6E4D">
        <w:rPr>
          <w:rFonts w:ascii="標楷體" w:eastAsia="標楷體" w:hAnsi="標楷體"/>
          <w:sz w:val="28"/>
          <w:szCs w:val="28"/>
        </w:rPr>
        <w:t>）</w:t>
      </w:r>
    </w:p>
    <w:p w14:paraId="2207EE75" w14:textId="77777777" w:rsidR="00894241" w:rsidRPr="001B6E4D" w:rsidRDefault="00894241" w:rsidP="003D1018">
      <w:pPr>
        <w:overflowPunct w:val="0"/>
        <w:spacing w:line="400" w:lineRule="exact"/>
        <w:ind w:leftChars="6" w:left="14"/>
        <w:jc w:val="both"/>
        <w:rPr>
          <w:rFonts w:ascii="標楷體" w:eastAsia="標楷體" w:hAnsi="標楷體"/>
          <w:bCs/>
          <w:sz w:val="28"/>
          <w:szCs w:val="28"/>
        </w:rPr>
      </w:pPr>
      <w:r w:rsidRPr="001B6E4D">
        <w:rPr>
          <w:rFonts w:ascii="標楷體" w:eastAsia="標楷體" w:hAnsi="標楷體" w:hint="eastAsia"/>
          <w:bCs/>
          <w:sz w:val="28"/>
          <w:szCs w:val="28"/>
        </w:rPr>
        <w:t>決定：</w:t>
      </w:r>
    </w:p>
    <w:p w14:paraId="2553BD98" w14:textId="77777777" w:rsidR="00894241" w:rsidRPr="001B6E4D" w:rsidRDefault="00894241" w:rsidP="003D1018">
      <w:pPr>
        <w:overflowPunct w:val="0"/>
        <w:spacing w:line="400" w:lineRule="exact"/>
        <w:ind w:leftChars="6" w:left="14"/>
        <w:jc w:val="both"/>
        <w:rPr>
          <w:rFonts w:ascii="標楷體" w:eastAsia="標楷體" w:hAnsi="標楷體"/>
          <w:bCs/>
          <w:sz w:val="28"/>
          <w:szCs w:val="28"/>
        </w:rPr>
      </w:pPr>
      <w:r w:rsidRPr="001B6E4D">
        <w:rPr>
          <w:rFonts w:ascii="標楷體" w:eastAsia="標楷體" w:hAnsi="標楷體" w:hint="eastAsia"/>
          <w:bCs/>
          <w:sz w:val="28"/>
          <w:szCs w:val="28"/>
        </w:rPr>
        <w:t>一、報告及</w:t>
      </w:r>
      <w:proofErr w:type="gramStart"/>
      <w:r w:rsidRPr="001B6E4D">
        <w:rPr>
          <w:rFonts w:ascii="標楷體" w:eastAsia="標楷體" w:hAnsi="標楷體" w:hint="eastAsia"/>
          <w:bCs/>
          <w:sz w:val="28"/>
          <w:szCs w:val="28"/>
        </w:rPr>
        <w:t>詢</w:t>
      </w:r>
      <w:proofErr w:type="gramEnd"/>
      <w:r w:rsidRPr="001B6E4D">
        <w:rPr>
          <w:rFonts w:ascii="標楷體" w:eastAsia="標楷體" w:hAnsi="標楷體" w:hint="eastAsia"/>
          <w:bCs/>
          <w:sz w:val="28"/>
          <w:szCs w:val="28"/>
        </w:rPr>
        <w:t>答完畢。</w:t>
      </w:r>
    </w:p>
    <w:p w14:paraId="189D47D0"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二、委員質詢時，要求提供相關資料或以書面答復者，請相關機關儘速送交個別委員及本會。</w:t>
      </w:r>
    </w:p>
    <w:p w14:paraId="64D8B700"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散會</w:t>
      </w:r>
    </w:p>
    <w:p w14:paraId="41E43D05"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3190A833" w14:textId="60BCB122" w:rsidR="00894241" w:rsidRPr="001B6E4D" w:rsidRDefault="00894241"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41" w:name="_Toc240446608"/>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24</w:t>
      </w:r>
      <w:r w:rsidRPr="001B6E4D">
        <w:rPr>
          <w:rFonts w:ascii="標楷體" w:eastAsia="標楷體" w:hAnsi="標楷體"/>
          <w:b/>
          <w:spacing w:val="-2"/>
          <w:sz w:val="28"/>
          <w:szCs w:val="28"/>
        </w:rPr>
        <w:t>次全體委員會議議事錄</w:t>
      </w:r>
      <w:bookmarkEnd w:id="541"/>
    </w:p>
    <w:p w14:paraId="15916BD8" w14:textId="77777777" w:rsidR="00894241" w:rsidRPr="001B6E4D" w:rsidRDefault="00894241" w:rsidP="003D1018">
      <w:pPr>
        <w:overflowPunct w:val="0"/>
        <w:adjustRightInd w:val="0"/>
        <w:snapToGrid w:val="0"/>
        <w:spacing w:line="360" w:lineRule="exact"/>
        <w:ind w:leftChars="1" w:left="1430" w:hangingChars="510" w:hanging="1428"/>
        <w:rPr>
          <w:rFonts w:ascii="標楷體" w:eastAsia="標楷體" w:hAnsi="標楷體"/>
          <w:spacing w:val="-10"/>
          <w:kern w:val="0"/>
          <w:sz w:val="28"/>
          <w:szCs w:val="28"/>
        </w:rPr>
      </w:pPr>
      <w:r w:rsidRPr="001B6E4D">
        <w:rPr>
          <w:rFonts w:ascii="標楷體" w:eastAsia="標楷體" w:hAnsi="標楷體"/>
          <w:kern w:val="0"/>
          <w:sz w:val="28"/>
          <w:szCs w:val="28"/>
          <w:fitText w:val="1120" w:id="-384119296"/>
          <w:lang w:val="x-none" w:eastAsia="x-none"/>
        </w:rPr>
        <w:t>時    間</w:t>
      </w:r>
      <w:r w:rsidRPr="001B6E4D">
        <w:rPr>
          <w:rFonts w:ascii="標楷體" w:eastAsia="標楷體" w:hAnsi="標楷體"/>
          <w:spacing w:val="-10"/>
          <w:kern w:val="0"/>
          <w:sz w:val="28"/>
          <w:szCs w:val="28"/>
          <w:lang w:val="x-none" w:eastAsia="x-none"/>
        </w:rPr>
        <w:t>：</w:t>
      </w:r>
      <w:r w:rsidRPr="001B6E4D">
        <w:rPr>
          <w:rFonts w:ascii="標楷體" w:eastAsia="標楷體" w:hAnsi="標楷體"/>
          <w:spacing w:val="-2"/>
          <w:kern w:val="0"/>
          <w:sz w:val="28"/>
          <w:szCs w:val="28"/>
          <w:lang w:val="x-none" w:eastAsia="x-none"/>
        </w:rPr>
        <w:t>中華民國</w:t>
      </w:r>
      <w:r w:rsidRPr="001B6E4D">
        <w:rPr>
          <w:rFonts w:ascii="標楷體" w:eastAsia="標楷體" w:hAnsi="標楷體" w:hint="eastAsia"/>
          <w:spacing w:val="-2"/>
          <w:kern w:val="0"/>
          <w:sz w:val="28"/>
          <w:szCs w:val="28"/>
          <w:lang w:val="x-none"/>
        </w:rPr>
        <w:t>115</w:t>
      </w:r>
      <w:r w:rsidRPr="001B6E4D">
        <w:rPr>
          <w:rFonts w:ascii="標楷體" w:eastAsia="標楷體" w:hAnsi="標楷體"/>
          <w:spacing w:val="-2"/>
          <w:kern w:val="0"/>
          <w:sz w:val="28"/>
          <w:szCs w:val="28"/>
          <w:lang w:val="x-none" w:eastAsia="x-none"/>
        </w:rPr>
        <w:t>年</w:t>
      </w:r>
      <w:r w:rsidRPr="001B6E4D">
        <w:rPr>
          <w:rFonts w:ascii="標楷體" w:eastAsia="標楷體" w:hAnsi="標楷體" w:hint="eastAsia"/>
          <w:spacing w:val="-2"/>
          <w:kern w:val="0"/>
          <w:sz w:val="28"/>
          <w:szCs w:val="28"/>
          <w:lang w:val="x-none"/>
        </w:rPr>
        <w:t>7</w:t>
      </w:r>
      <w:r w:rsidRPr="001B6E4D">
        <w:rPr>
          <w:rFonts w:ascii="標楷體" w:eastAsia="標楷體" w:hAnsi="標楷體"/>
          <w:spacing w:val="-2"/>
          <w:kern w:val="0"/>
          <w:sz w:val="28"/>
          <w:szCs w:val="28"/>
          <w:lang w:val="x-none" w:eastAsia="x-none"/>
        </w:rPr>
        <w:t>月</w:t>
      </w:r>
      <w:r w:rsidRPr="001B6E4D">
        <w:rPr>
          <w:rFonts w:ascii="標楷體" w:eastAsia="標楷體" w:hAnsi="標楷體" w:hint="eastAsia"/>
          <w:spacing w:val="-2"/>
          <w:kern w:val="0"/>
          <w:sz w:val="28"/>
          <w:szCs w:val="28"/>
          <w:lang w:val="x-none"/>
        </w:rPr>
        <w:t>8</w:t>
      </w:r>
      <w:r w:rsidRPr="001B6E4D">
        <w:rPr>
          <w:rFonts w:ascii="標楷體" w:eastAsia="標楷體" w:hAnsi="標楷體"/>
          <w:spacing w:val="-2"/>
          <w:kern w:val="0"/>
          <w:sz w:val="28"/>
          <w:szCs w:val="28"/>
          <w:lang w:val="x-none" w:eastAsia="x-none"/>
        </w:rPr>
        <w:t>日（星期</w:t>
      </w:r>
      <w:r w:rsidRPr="001B6E4D">
        <w:rPr>
          <w:rFonts w:ascii="標楷體" w:eastAsia="標楷體" w:hAnsi="標楷體" w:hint="eastAsia"/>
          <w:spacing w:val="-2"/>
          <w:kern w:val="0"/>
          <w:sz w:val="28"/>
          <w:szCs w:val="28"/>
          <w:lang w:val="x-none"/>
        </w:rPr>
        <w:t>三</w:t>
      </w:r>
      <w:r w:rsidRPr="001B6E4D">
        <w:rPr>
          <w:rFonts w:ascii="標楷體" w:eastAsia="標楷體" w:hAnsi="標楷體"/>
          <w:spacing w:val="-2"/>
          <w:kern w:val="0"/>
          <w:sz w:val="28"/>
          <w:szCs w:val="28"/>
          <w:lang w:val="x-none" w:eastAsia="x-none"/>
        </w:rPr>
        <w:t>）上午</w:t>
      </w:r>
      <w:r w:rsidRPr="001B6E4D">
        <w:rPr>
          <w:rFonts w:ascii="標楷體" w:eastAsia="標楷體" w:hAnsi="標楷體" w:hint="eastAsia"/>
          <w:spacing w:val="-2"/>
          <w:kern w:val="0"/>
          <w:sz w:val="28"/>
          <w:szCs w:val="28"/>
          <w:lang w:val="x-none"/>
        </w:rPr>
        <w:t>9</w:t>
      </w:r>
      <w:r w:rsidRPr="001B6E4D">
        <w:rPr>
          <w:rFonts w:ascii="標楷體" w:eastAsia="標楷體" w:hAnsi="標楷體"/>
          <w:spacing w:val="-2"/>
          <w:kern w:val="0"/>
          <w:sz w:val="28"/>
          <w:szCs w:val="28"/>
          <w:lang w:val="x-none" w:eastAsia="x-none"/>
        </w:rPr>
        <w:t>時至</w:t>
      </w:r>
      <w:r w:rsidRPr="001B6E4D">
        <w:rPr>
          <w:rFonts w:ascii="標楷體" w:eastAsia="標楷體" w:hAnsi="標楷體"/>
          <w:spacing w:val="-2"/>
          <w:kern w:val="0"/>
          <w:sz w:val="28"/>
          <w:szCs w:val="28"/>
          <w:lang w:val="x-none"/>
        </w:rPr>
        <w:t>1</w:t>
      </w:r>
      <w:r w:rsidRPr="001B6E4D">
        <w:rPr>
          <w:rFonts w:ascii="標楷體" w:eastAsia="標楷體" w:hAnsi="標楷體" w:hint="eastAsia"/>
          <w:spacing w:val="-2"/>
          <w:kern w:val="0"/>
          <w:sz w:val="28"/>
          <w:szCs w:val="28"/>
          <w:lang w:val="x-none"/>
        </w:rPr>
        <w:t>1</w:t>
      </w:r>
      <w:r w:rsidRPr="001B6E4D">
        <w:rPr>
          <w:rFonts w:ascii="標楷體" w:eastAsia="標楷體" w:hAnsi="標楷體"/>
          <w:spacing w:val="-2"/>
          <w:kern w:val="0"/>
          <w:sz w:val="28"/>
          <w:szCs w:val="28"/>
          <w:lang w:val="x-none" w:eastAsia="x-none"/>
        </w:rPr>
        <w:t>時</w:t>
      </w:r>
      <w:r w:rsidRPr="001B6E4D">
        <w:rPr>
          <w:rFonts w:ascii="標楷體" w:eastAsia="標楷體" w:hAnsi="標楷體"/>
          <w:spacing w:val="-2"/>
          <w:kern w:val="0"/>
          <w:sz w:val="28"/>
          <w:szCs w:val="28"/>
          <w:lang w:val="x-none"/>
        </w:rPr>
        <w:t>5</w:t>
      </w:r>
      <w:r w:rsidRPr="001B6E4D">
        <w:rPr>
          <w:rFonts w:ascii="標楷體" w:eastAsia="標楷體" w:hAnsi="標楷體" w:hint="eastAsia"/>
          <w:spacing w:val="-2"/>
          <w:kern w:val="0"/>
          <w:sz w:val="28"/>
          <w:szCs w:val="28"/>
          <w:lang w:val="x-none"/>
        </w:rPr>
        <w:t>7</w:t>
      </w:r>
      <w:r w:rsidRPr="001B6E4D">
        <w:rPr>
          <w:rFonts w:ascii="標楷體" w:eastAsia="標楷體" w:hAnsi="標楷體" w:hint="eastAsia"/>
          <w:spacing w:val="-2"/>
          <w:kern w:val="0"/>
          <w:sz w:val="28"/>
          <w:szCs w:val="28"/>
          <w:lang w:val="x-none" w:eastAsia="x-none"/>
        </w:rPr>
        <w:t>分</w:t>
      </w:r>
    </w:p>
    <w:p w14:paraId="06E3039B" w14:textId="77777777" w:rsidR="00894241" w:rsidRPr="001B6E4D" w:rsidRDefault="00894241"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384119295"/>
          <w:lang w:val="x-none" w:eastAsia="x-none"/>
        </w:rPr>
        <w:t>地    點</w:t>
      </w:r>
      <w:r w:rsidRPr="001B6E4D">
        <w:rPr>
          <w:rFonts w:ascii="標楷體" w:eastAsia="標楷體" w:hAnsi="標楷體"/>
          <w:kern w:val="0"/>
          <w:sz w:val="28"/>
          <w:szCs w:val="28"/>
          <w:lang w:val="x-none" w:eastAsia="x-none"/>
        </w:rPr>
        <w:t>：本院紅樓302會議室</w:t>
      </w:r>
    </w:p>
    <w:p w14:paraId="4E0E0562"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t>翁曉玲</w:t>
      </w:r>
      <w:r w:rsidRPr="001B6E4D">
        <w:rPr>
          <w:rFonts w:ascii="標楷體" w:eastAsia="標楷體" w:hAnsi="標楷體" w:hint="eastAsia"/>
          <w:sz w:val="28"/>
          <w:szCs w:val="28"/>
        </w:rPr>
        <w:tab/>
        <w:t>張雅琳</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林倩綺</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r>
    </w:p>
    <w:p w14:paraId="0AF163A9"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莊瑞雄</w:t>
      </w:r>
      <w:r w:rsidRPr="001B6E4D">
        <w:rPr>
          <w:rFonts w:ascii="標楷體" w:eastAsia="標楷體" w:hAnsi="標楷體"/>
          <w:sz w:val="28"/>
          <w:szCs w:val="28"/>
        </w:rPr>
        <w:tab/>
      </w:r>
      <w:r w:rsidRPr="001B6E4D">
        <w:rPr>
          <w:rFonts w:ascii="標楷體" w:eastAsia="標楷體" w:hAnsi="標楷體" w:hint="eastAsia"/>
          <w:sz w:val="28"/>
          <w:szCs w:val="28"/>
        </w:rPr>
        <w:t>蔡其昌</w:t>
      </w:r>
      <w:r w:rsidRPr="001B6E4D">
        <w:rPr>
          <w:rFonts w:ascii="標楷體" w:eastAsia="標楷體" w:hAnsi="標楷體" w:hint="eastAsia"/>
          <w:sz w:val="28"/>
          <w:szCs w:val="28"/>
        </w:rPr>
        <w:tab/>
        <w:t>傅崐萁</w:t>
      </w:r>
      <w:r w:rsidRPr="001B6E4D">
        <w:rPr>
          <w:rFonts w:ascii="標楷體" w:eastAsia="標楷體" w:hAnsi="標楷體" w:hint="eastAsia"/>
          <w:sz w:val="28"/>
          <w:szCs w:val="28"/>
        </w:rPr>
        <w:tab/>
        <w:t>柯建銘</w:t>
      </w:r>
      <w:r w:rsidRPr="001B6E4D">
        <w:rPr>
          <w:rFonts w:ascii="標楷體" w:eastAsia="標楷體" w:hAnsi="標楷體" w:hint="eastAsia"/>
          <w:sz w:val="28"/>
          <w:szCs w:val="28"/>
        </w:rPr>
        <w:tab/>
        <w:t>吳宗憲</w:t>
      </w:r>
    </w:p>
    <w:p w14:paraId="698902D0"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13</w:t>
      </w:r>
      <w:r w:rsidRPr="001B6E4D">
        <w:rPr>
          <w:rFonts w:ascii="標楷體" w:eastAsia="標楷體" w:hAnsi="標楷體"/>
          <w:sz w:val="28"/>
          <w:szCs w:val="28"/>
        </w:rPr>
        <w:t>人</w:t>
      </w:r>
    </w:p>
    <w:p w14:paraId="483DDD26"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sz w:val="28"/>
          <w:szCs w:val="28"/>
        </w:rPr>
        <w:tab/>
      </w:r>
      <w:r w:rsidRPr="001B6E4D">
        <w:rPr>
          <w:rFonts w:ascii="標楷體" w:eastAsia="標楷體" w:hAnsi="標楷體" w:hint="eastAsia"/>
          <w:sz w:val="28"/>
          <w:szCs w:val="28"/>
        </w:rPr>
        <w:t>楊瓊瓔</w:t>
      </w:r>
      <w:r w:rsidRPr="001B6E4D">
        <w:rPr>
          <w:rFonts w:ascii="標楷體" w:eastAsia="標楷體" w:hAnsi="標楷體"/>
          <w:sz w:val="28"/>
          <w:szCs w:val="28"/>
        </w:rPr>
        <w:tab/>
      </w:r>
      <w:r w:rsidRPr="001B6E4D">
        <w:rPr>
          <w:rFonts w:ascii="標楷體" w:eastAsia="標楷體" w:hAnsi="標楷體" w:hint="eastAsia"/>
          <w:spacing w:val="-26"/>
          <w:sz w:val="28"/>
          <w:szCs w:val="28"/>
        </w:rPr>
        <w:t>鄭天財</w:t>
      </w:r>
      <w:proofErr w:type="spellStart"/>
      <w:r w:rsidRPr="001B6E4D">
        <w:rPr>
          <w:rFonts w:ascii="標楷體" w:eastAsia="標楷體" w:hAnsi="標楷體" w:hint="eastAsia"/>
          <w:spacing w:val="-26"/>
          <w:sz w:val="28"/>
          <w:szCs w:val="28"/>
        </w:rPr>
        <w:t>Sra</w:t>
      </w:r>
      <w:proofErr w:type="spellEnd"/>
      <w:r w:rsidRPr="001B6E4D">
        <w:rPr>
          <w:rFonts w:ascii="標楷體" w:eastAsia="標楷體" w:hAnsi="標楷體" w:hint="eastAsia"/>
          <w:spacing w:val="-26"/>
          <w:sz w:val="28"/>
          <w:szCs w:val="28"/>
        </w:rPr>
        <w:t xml:space="preserve"> </w:t>
      </w:r>
      <w:proofErr w:type="spellStart"/>
      <w:r w:rsidRPr="001B6E4D">
        <w:rPr>
          <w:rFonts w:ascii="標楷體" w:eastAsia="標楷體" w:hAnsi="標楷體" w:hint="eastAsia"/>
          <w:spacing w:val="-26"/>
          <w:sz w:val="28"/>
          <w:szCs w:val="28"/>
        </w:rPr>
        <w:t>Kacaw</w:t>
      </w:r>
      <w:proofErr w:type="spellEnd"/>
      <w:r w:rsidRPr="001B6E4D">
        <w:rPr>
          <w:rFonts w:ascii="標楷體" w:eastAsia="標楷體" w:hAnsi="標楷體" w:hint="eastAsia"/>
          <w:sz w:val="28"/>
          <w:szCs w:val="28"/>
        </w:rPr>
        <w:tab/>
        <w:t>蘇清泉</w:t>
      </w:r>
      <w:r w:rsidRPr="001B6E4D">
        <w:rPr>
          <w:rFonts w:ascii="標楷體" w:eastAsia="標楷體" w:hAnsi="標楷體" w:hint="eastAsia"/>
          <w:sz w:val="28"/>
          <w:szCs w:val="28"/>
        </w:rPr>
        <w:tab/>
        <w:t>洪孟楷</w:t>
      </w:r>
      <w:r w:rsidRPr="001B6E4D">
        <w:rPr>
          <w:rFonts w:ascii="標楷體" w:eastAsia="標楷體" w:hAnsi="標楷體"/>
          <w:spacing w:val="-30"/>
          <w:sz w:val="28"/>
          <w:szCs w:val="28"/>
        </w:rPr>
        <w:tab/>
      </w:r>
      <w:r w:rsidRPr="001B6E4D">
        <w:rPr>
          <w:rFonts w:ascii="標楷體" w:eastAsia="標楷體" w:hAnsi="標楷體" w:hint="eastAsia"/>
          <w:sz w:val="28"/>
          <w:szCs w:val="28"/>
        </w:rPr>
        <w:t>邱鎮軍</w:t>
      </w:r>
    </w:p>
    <w:p w14:paraId="0859D0C0"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6</w:t>
      </w:r>
      <w:r w:rsidRPr="001B6E4D">
        <w:rPr>
          <w:rFonts w:ascii="標楷體" w:eastAsia="標楷體" w:hAnsi="標楷體"/>
          <w:sz w:val="28"/>
          <w:szCs w:val="28"/>
        </w:rPr>
        <w:t>人</w:t>
      </w:r>
    </w:p>
    <w:p w14:paraId="78AA1656" w14:textId="77777777" w:rsidR="00894241" w:rsidRPr="001B6E4D" w:rsidRDefault="00894241"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法務部部長　鄭銘謙</w:t>
      </w:r>
    </w:p>
    <w:p w14:paraId="3027D11D"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      矯正署署長　林憲銘</w:t>
      </w:r>
    </w:p>
    <w:p w14:paraId="028E005C"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司法院行政訴訟及懲戒廳法官　林敬超</w:t>
      </w:r>
    </w:p>
    <w:p w14:paraId="1CB06D17"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衛生福利部長期照顧司副司長　吳希文</w:t>
      </w:r>
    </w:p>
    <w:p w14:paraId="3755D084" w14:textId="77777777" w:rsidR="00894241" w:rsidRPr="001B6E4D" w:rsidRDefault="00894241" w:rsidP="003D1018">
      <w:pPr>
        <w:widowControl w:val="0"/>
        <w:overflowPunct w:val="0"/>
        <w:snapToGrid w:val="0"/>
        <w:spacing w:line="360" w:lineRule="exact"/>
        <w:ind w:left="574" w:hanging="560"/>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722D3B88"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4C51B99B"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764A4A0B" w14:textId="77777777" w:rsidR="00894241" w:rsidRPr="001B6E4D" w:rsidRDefault="00894241"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1B0786ED"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0AD0008D"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68B1DB84"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0A3F3CEF" w14:textId="77777777" w:rsidR="00894241" w:rsidRPr="001B6E4D" w:rsidRDefault="00894241" w:rsidP="003D1018">
      <w:pPr>
        <w:widowControl w:val="0"/>
        <w:overflowPunct w:val="0"/>
        <w:adjustRightInd w:val="0"/>
        <w:snapToGrid w:val="0"/>
        <w:spacing w:beforeLines="30" w:before="108"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37115878"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宣讀上次會議議事錄。</w:t>
      </w:r>
    </w:p>
    <w:p w14:paraId="2F7BBD8D" w14:textId="77777777" w:rsidR="00894241" w:rsidRPr="001B6E4D" w:rsidRDefault="00894241" w:rsidP="003D1018">
      <w:pPr>
        <w:widowControl w:val="0"/>
        <w:overflowPunct w:val="0"/>
        <w:adjustRightInd w:val="0"/>
        <w:snapToGrid w:val="0"/>
        <w:spacing w:line="360" w:lineRule="exact"/>
        <w:ind w:left="840" w:hangingChars="300" w:hanging="840"/>
        <w:jc w:val="both"/>
        <w:rPr>
          <w:rFonts w:ascii="標楷體" w:eastAsia="標楷體" w:hAnsi="標楷體"/>
          <w:kern w:val="0"/>
          <w:sz w:val="28"/>
          <w:szCs w:val="28"/>
        </w:rPr>
      </w:pPr>
      <w:r w:rsidRPr="001B6E4D">
        <w:rPr>
          <w:rFonts w:ascii="標楷體" w:eastAsia="標楷體" w:hAnsi="標楷體"/>
          <w:kern w:val="0"/>
          <w:sz w:val="28"/>
          <w:szCs w:val="28"/>
        </w:rPr>
        <w:t>決定：確定。</w:t>
      </w:r>
    </w:p>
    <w:p w14:paraId="3923886A" w14:textId="77777777" w:rsidR="00894241" w:rsidRPr="001B6E4D" w:rsidRDefault="00894241" w:rsidP="003D1018">
      <w:pPr>
        <w:overflowPunct w:val="0"/>
        <w:adjustRightInd w:val="0"/>
        <w:snapToGrid w:val="0"/>
        <w:spacing w:beforeLines="30" w:before="108" w:line="360" w:lineRule="exact"/>
        <w:ind w:firstLineChars="398" w:firstLine="1115"/>
        <w:jc w:val="both"/>
        <w:rPr>
          <w:rFonts w:ascii="標楷體" w:eastAsia="標楷體" w:hAnsi="標楷體"/>
          <w:b/>
          <w:kern w:val="0"/>
          <w:sz w:val="28"/>
          <w:szCs w:val="28"/>
          <w:lang w:val="x-none"/>
        </w:rPr>
      </w:pPr>
      <w:r w:rsidRPr="001B6E4D">
        <w:rPr>
          <w:rFonts w:ascii="標楷體" w:eastAsia="標楷體" w:hAnsi="標楷體"/>
          <w:b/>
          <w:kern w:val="0"/>
          <w:sz w:val="28"/>
          <w:szCs w:val="28"/>
          <w:lang w:val="x-none"/>
        </w:rPr>
        <w:t>討論事項</w:t>
      </w:r>
    </w:p>
    <w:p w14:paraId="23351B35"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b/>
          <w:kern w:val="0"/>
          <w:sz w:val="28"/>
          <w:szCs w:val="28"/>
          <w:lang w:val="x-none" w:eastAsia="x-none"/>
        </w:rPr>
      </w:pP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47618BC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bookmarkStart w:id="542" w:name="_Hlk233895205"/>
      <w:r w:rsidRPr="001B6E4D">
        <w:rPr>
          <w:rFonts w:ascii="標楷體" w:eastAsia="標楷體" w:hAnsi="標楷體" w:hint="eastAsia"/>
          <w:sz w:val="28"/>
          <w:szCs w:val="28"/>
        </w:rPr>
        <w:t>（一）行政院函請審議「監獄行刑法第一百四十八條及第一百五十六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43C551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（二）委員李柏毅等16人擬具「監獄行刑法第一百四十八</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999409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（三）委員王義川等17人擬具「監獄行刑法第一百四十八條及第一百五十六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750275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（四）委員吳思瑤等17人擬具「監獄行刑法第一百四十八條及第一百五十六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90214D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（五）委員羅智強等17人擬具「監獄行刑法第六十三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FE55217"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（六）委員徐欣瑩等17人擬具「監獄行刑法第一百四十八條及第一百五十六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B8B371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（七）委員翁曉玲等24人擬具「監獄行刑法部分條文修正草案」案。</w:t>
      </w:r>
    </w:p>
    <w:p w14:paraId="36CD353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（八）委員邱鎮軍等20人擬具「監獄行刑法部分條文修正草案」案。</w:t>
      </w:r>
    </w:p>
    <w:p w14:paraId="797F39D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（九）委員林倩綺等19人擬具「監獄行刑法部分條文修正草案」案。</w:t>
      </w:r>
    </w:p>
    <w:p w14:paraId="20DC176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（十）委員羅智強等17人擬具「監獄行刑法部分條文修正草案」案。</w:t>
      </w:r>
      <w:bookmarkEnd w:id="542"/>
    </w:p>
    <w:p w14:paraId="36797EFD"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陳昭姿、翁曉玲、張雅琳、林倩綺、沈發惠、</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、鍾佳濱、楊瓊瓔、洪孟楷、莊瑞雄</w:t>
      </w:r>
      <w:r w:rsidRPr="001B6E4D">
        <w:rPr>
          <w:rFonts w:ascii="標楷體" w:eastAsia="標楷體" w:hAnsi="標楷體"/>
          <w:sz w:val="28"/>
          <w:szCs w:val="28"/>
        </w:rPr>
        <w:t>提出質詢</w:t>
      </w:r>
      <w:r w:rsidRPr="001B6E4D">
        <w:rPr>
          <w:rFonts w:ascii="標楷體" w:eastAsia="標楷體" w:hAnsi="標楷體" w:hint="eastAsia"/>
          <w:sz w:val="28"/>
          <w:szCs w:val="28"/>
        </w:rPr>
        <w:t>；委員林沛祥、吳宗憲、蔡其昌、邱鎮軍、傅崐萁提出書面質詢。</w:t>
      </w:r>
      <w:r w:rsidRPr="001B6E4D">
        <w:rPr>
          <w:rFonts w:ascii="標楷體" w:eastAsia="標楷體" w:hAnsi="標楷體"/>
          <w:sz w:val="28"/>
          <w:szCs w:val="28"/>
        </w:rPr>
        <w:t>）</w:t>
      </w:r>
    </w:p>
    <w:p w14:paraId="6E0983D4" w14:textId="77777777" w:rsidR="00894241" w:rsidRPr="001B6E4D" w:rsidRDefault="00894241"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7E1346A3"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w:t>
      </w: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答完畢，另定期繼續審查。</w:t>
      </w:r>
    </w:p>
    <w:p w14:paraId="4489C756"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74B10C46" w14:textId="77777777" w:rsidR="00894241" w:rsidRPr="001B6E4D" w:rsidRDefault="00894241" w:rsidP="003D1018">
      <w:pPr>
        <w:widowControl w:val="0"/>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72BEA9AD"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02F6D92D" w14:textId="31465885" w:rsidR="00894241" w:rsidRPr="001B6E4D" w:rsidRDefault="00894241"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43" w:name="_Toc240446609"/>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2</w:t>
      </w:r>
      <w:r w:rsidRPr="001B6E4D">
        <w:rPr>
          <w:rFonts w:ascii="標楷體" w:eastAsia="標楷體" w:hAnsi="標楷體"/>
          <w:b/>
          <w:spacing w:val="-2"/>
          <w:sz w:val="28"/>
          <w:szCs w:val="28"/>
        </w:rPr>
        <w:t>5次全體委員會議議事錄</w:t>
      </w:r>
      <w:bookmarkEnd w:id="543"/>
    </w:p>
    <w:p w14:paraId="52F6465F" w14:textId="77777777" w:rsidR="00894241" w:rsidRPr="001B6E4D" w:rsidRDefault="00894241" w:rsidP="003D1018">
      <w:pPr>
        <w:overflowPunct w:val="0"/>
        <w:adjustRightInd w:val="0"/>
        <w:snapToGrid w:val="0"/>
        <w:spacing w:line="360" w:lineRule="exact"/>
        <w:ind w:leftChars="1" w:left="1430" w:hangingChars="510" w:hanging="1428"/>
        <w:rPr>
          <w:rFonts w:ascii="標楷體" w:eastAsia="標楷體" w:hAnsi="標楷體"/>
          <w:spacing w:val="-10"/>
          <w:kern w:val="0"/>
          <w:sz w:val="28"/>
          <w:szCs w:val="28"/>
        </w:rPr>
      </w:pPr>
      <w:r w:rsidRPr="001B6E4D">
        <w:rPr>
          <w:rFonts w:ascii="標楷體" w:eastAsia="標楷體" w:hAnsi="標楷體"/>
          <w:kern w:val="0"/>
          <w:sz w:val="28"/>
          <w:szCs w:val="28"/>
          <w:fitText w:val="1120" w:id="-384119294"/>
          <w:lang w:val="x-none" w:eastAsia="x-none"/>
        </w:rPr>
        <w:t>時    間</w:t>
      </w:r>
      <w:r w:rsidRPr="001B6E4D">
        <w:rPr>
          <w:rFonts w:ascii="標楷體" w:eastAsia="標楷體" w:hAnsi="標楷體"/>
          <w:spacing w:val="-10"/>
          <w:kern w:val="0"/>
          <w:sz w:val="28"/>
          <w:szCs w:val="28"/>
          <w:lang w:val="x-none" w:eastAsia="x-none"/>
        </w:rPr>
        <w:t>：</w:t>
      </w:r>
      <w:r w:rsidRPr="001B6E4D">
        <w:rPr>
          <w:rFonts w:ascii="標楷體" w:eastAsia="標楷體" w:hAnsi="標楷體"/>
          <w:spacing w:val="-12"/>
          <w:kern w:val="0"/>
          <w:sz w:val="28"/>
          <w:szCs w:val="28"/>
          <w:lang w:val="x-none" w:eastAsia="x-none"/>
        </w:rPr>
        <w:t>中華民國</w:t>
      </w:r>
      <w:r w:rsidRPr="001B6E4D">
        <w:rPr>
          <w:rFonts w:ascii="標楷體" w:eastAsia="標楷體" w:hAnsi="標楷體" w:hint="eastAsia"/>
          <w:spacing w:val="-12"/>
          <w:kern w:val="0"/>
          <w:sz w:val="28"/>
          <w:szCs w:val="28"/>
          <w:lang w:val="x-none"/>
        </w:rPr>
        <w:t>115</w:t>
      </w:r>
      <w:r w:rsidRPr="001B6E4D">
        <w:rPr>
          <w:rFonts w:ascii="標楷體" w:eastAsia="標楷體" w:hAnsi="標楷體"/>
          <w:spacing w:val="-12"/>
          <w:kern w:val="0"/>
          <w:sz w:val="28"/>
          <w:szCs w:val="28"/>
          <w:lang w:val="x-none" w:eastAsia="x-none"/>
        </w:rPr>
        <w:t>年</w:t>
      </w:r>
      <w:r w:rsidRPr="001B6E4D">
        <w:rPr>
          <w:rFonts w:ascii="標楷體" w:eastAsia="標楷體" w:hAnsi="標楷體" w:hint="eastAsia"/>
          <w:spacing w:val="-12"/>
          <w:kern w:val="0"/>
          <w:sz w:val="28"/>
          <w:szCs w:val="28"/>
          <w:lang w:val="x-none"/>
        </w:rPr>
        <w:t>7</w:t>
      </w:r>
      <w:r w:rsidRPr="001B6E4D">
        <w:rPr>
          <w:rFonts w:ascii="標楷體" w:eastAsia="標楷體" w:hAnsi="標楷體"/>
          <w:spacing w:val="-12"/>
          <w:kern w:val="0"/>
          <w:sz w:val="28"/>
          <w:szCs w:val="28"/>
          <w:lang w:val="x-none" w:eastAsia="x-none"/>
        </w:rPr>
        <w:t>月</w:t>
      </w:r>
      <w:r w:rsidRPr="001B6E4D">
        <w:rPr>
          <w:rFonts w:ascii="標楷體" w:eastAsia="標楷體" w:hAnsi="標楷體"/>
          <w:spacing w:val="-12"/>
          <w:kern w:val="0"/>
          <w:sz w:val="28"/>
          <w:szCs w:val="28"/>
          <w:lang w:val="x-none"/>
        </w:rPr>
        <w:t>15</w:t>
      </w:r>
      <w:r w:rsidRPr="001B6E4D">
        <w:rPr>
          <w:rFonts w:ascii="標楷體" w:eastAsia="標楷體" w:hAnsi="標楷體"/>
          <w:spacing w:val="-12"/>
          <w:kern w:val="0"/>
          <w:sz w:val="28"/>
          <w:szCs w:val="28"/>
          <w:lang w:val="x-none" w:eastAsia="x-none"/>
        </w:rPr>
        <w:t>日（星期</w:t>
      </w:r>
      <w:r w:rsidRPr="001B6E4D">
        <w:rPr>
          <w:rFonts w:ascii="標楷體" w:eastAsia="標楷體" w:hAnsi="標楷體" w:hint="eastAsia"/>
          <w:spacing w:val="-12"/>
          <w:kern w:val="0"/>
          <w:sz w:val="28"/>
          <w:szCs w:val="28"/>
          <w:lang w:val="x-none"/>
        </w:rPr>
        <w:t>三</w:t>
      </w:r>
      <w:r w:rsidRPr="001B6E4D">
        <w:rPr>
          <w:rFonts w:ascii="標楷體" w:eastAsia="標楷體" w:hAnsi="標楷體"/>
          <w:spacing w:val="-12"/>
          <w:kern w:val="0"/>
          <w:sz w:val="28"/>
          <w:szCs w:val="28"/>
          <w:lang w:val="x-none" w:eastAsia="x-none"/>
        </w:rPr>
        <w:t>）上午</w:t>
      </w:r>
      <w:r w:rsidRPr="001B6E4D">
        <w:rPr>
          <w:rFonts w:ascii="標楷體" w:eastAsia="標楷體" w:hAnsi="標楷體" w:hint="eastAsia"/>
          <w:spacing w:val="-12"/>
          <w:kern w:val="0"/>
          <w:sz w:val="28"/>
          <w:szCs w:val="28"/>
          <w:lang w:val="x-none"/>
        </w:rPr>
        <w:t>9</w:t>
      </w:r>
      <w:r w:rsidRPr="001B6E4D">
        <w:rPr>
          <w:rFonts w:ascii="標楷體" w:eastAsia="標楷體" w:hAnsi="標楷體"/>
          <w:spacing w:val="-12"/>
          <w:kern w:val="0"/>
          <w:sz w:val="28"/>
          <w:szCs w:val="28"/>
          <w:lang w:val="x-none" w:eastAsia="x-none"/>
        </w:rPr>
        <w:t>時4</w:t>
      </w:r>
      <w:r w:rsidRPr="001B6E4D">
        <w:rPr>
          <w:rFonts w:ascii="標楷體" w:eastAsia="標楷體" w:hAnsi="標楷體" w:hint="eastAsia"/>
          <w:spacing w:val="-12"/>
          <w:kern w:val="0"/>
          <w:sz w:val="28"/>
          <w:szCs w:val="28"/>
          <w:lang w:val="x-none"/>
        </w:rPr>
        <w:t>分</w:t>
      </w:r>
      <w:r w:rsidRPr="001B6E4D">
        <w:rPr>
          <w:rFonts w:ascii="標楷體" w:eastAsia="標楷體" w:hAnsi="標楷體"/>
          <w:spacing w:val="-12"/>
          <w:kern w:val="0"/>
          <w:sz w:val="28"/>
          <w:szCs w:val="28"/>
          <w:lang w:val="x-none" w:eastAsia="x-none"/>
        </w:rPr>
        <w:t>至</w:t>
      </w:r>
      <w:r w:rsidRPr="001B6E4D">
        <w:rPr>
          <w:rFonts w:ascii="標楷體" w:eastAsia="標楷體" w:hAnsi="標楷體"/>
          <w:spacing w:val="-12"/>
          <w:kern w:val="0"/>
          <w:sz w:val="28"/>
          <w:szCs w:val="28"/>
          <w:lang w:val="x-none"/>
        </w:rPr>
        <w:t>12</w:t>
      </w:r>
      <w:r w:rsidRPr="001B6E4D">
        <w:rPr>
          <w:rFonts w:ascii="標楷體" w:eastAsia="標楷體" w:hAnsi="標楷體"/>
          <w:spacing w:val="-12"/>
          <w:kern w:val="0"/>
          <w:sz w:val="28"/>
          <w:szCs w:val="28"/>
          <w:lang w:val="x-none" w:eastAsia="x-none"/>
        </w:rPr>
        <w:t>時</w:t>
      </w:r>
      <w:r w:rsidRPr="001B6E4D">
        <w:rPr>
          <w:rFonts w:ascii="標楷體" w:eastAsia="標楷體" w:hAnsi="標楷體" w:hint="eastAsia"/>
          <w:spacing w:val="-12"/>
          <w:kern w:val="0"/>
          <w:sz w:val="28"/>
          <w:szCs w:val="28"/>
          <w:lang w:val="x-none"/>
        </w:rPr>
        <w:t>7</w:t>
      </w:r>
      <w:r w:rsidRPr="001B6E4D">
        <w:rPr>
          <w:rFonts w:ascii="標楷體" w:eastAsia="標楷體" w:hAnsi="標楷體" w:hint="eastAsia"/>
          <w:spacing w:val="-12"/>
          <w:kern w:val="0"/>
          <w:sz w:val="28"/>
          <w:szCs w:val="28"/>
          <w:lang w:val="x-none" w:eastAsia="x-none"/>
        </w:rPr>
        <w:t>分</w:t>
      </w:r>
    </w:p>
    <w:p w14:paraId="4CF69F1A" w14:textId="77777777" w:rsidR="00894241" w:rsidRPr="001B6E4D" w:rsidRDefault="00894241"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384119293"/>
          <w:lang w:val="x-none" w:eastAsia="x-none"/>
        </w:rPr>
        <w:t>地    點</w:t>
      </w:r>
      <w:r w:rsidRPr="001B6E4D">
        <w:rPr>
          <w:rFonts w:ascii="標楷體" w:eastAsia="標楷體" w:hAnsi="標楷體"/>
          <w:kern w:val="0"/>
          <w:sz w:val="28"/>
          <w:szCs w:val="28"/>
          <w:lang w:val="x-none" w:eastAsia="x-none"/>
        </w:rPr>
        <w:t>：本院紅樓302會議室</w:t>
      </w:r>
    </w:p>
    <w:p w14:paraId="2C428B34"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t>莊瑞雄</w:t>
      </w:r>
      <w:r w:rsidRPr="001B6E4D">
        <w:rPr>
          <w:rFonts w:ascii="標楷體" w:eastAsia="標楷體" w:hAnsi="標楷體"/>
          <w:sz w:val="28"/>
          <w:szCs w:val="28"/>
        </w:rPr>
        <w:tab/>
      </w:r>
      <w:r w:rsidRPr="001B6E4D">
        <w:rPr>
          <w:rFonts w:ascii="標楷體" w:eastAsia="標楷體" w:hAnsi="標楷體" w:hint="eastAsia"/>
          <w:sz w:val="28"/>
          <w:szCs w:val="28"/>
        </w:rPr>
        <w:t>林倩綺</w:t>
      </w:r>
      <w:r w:rsidRPr="001B6E4D">
        <w:rPr>
          <w:rFonts w:ascii="標楷體" w:eastAsia="標楷體" w:hAnsi="標楷體" w:hint="eastAsia"/>
          <w:sz w:val="28"/>
          <w:szCs w:val="28"/>
        </w:rPr>
        <w:tab/>
        <w:t>張雅琳</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r>
    </w:p>
    <w:p w14:paraId="0FE30CCE" w14:textId="5F737D04"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翁曉玲</w:t>
      </w:r>
      <w:r w:rsidRPr="001B6E4D">
        <w:rPr>
          <w:rFonts w:ascii="標楷體" w:eastAsia="標楷體" w:hAnsi="標楷體"/>
          <w:sz w:val="28"/>
          <w:szCs w:val="28"/>
        </w:rPr>
        <w:tab/>
      </w:r>
      <w:r w:rsidRPr="001B6E4D">
        <w:rPr>
          <w:rFonts w:ascii="標楷體" w:eastAsia="標楷體" w:hAnsi="標楷體" w:hint="eastAsia"/>
          <w:sz w:val="28"/>
          <w:szCs w:val="28"/>
        </w:rPr>
        <w:t>蔡其昌</w:t>
      </w:r>
      <w:r w:rsidRPr="001B6E4D">
        <w:rPr>
          <w:rFonts w:ascii="標楷體" w:eastAsia="標楷體" w:hAnsi="標楷體" w:hint="eastAsia"/>
          <w:sz w:val="28"/>
          <w:szCs w:val="28"/>
        </w:rPr>
        <w:tab/>
        <w:t>傅崐萁</w:t>
      </w:r>
      <w:r w:rsidR="00E55BF8" w:rsidRPr="001B6E4D">
        <w:rPr>
          <w:rFonts w:ascii="標楷體" w:eastAsia="標楷體" w:hAnsi="標楷體" w:hint="eastAsia"/>
          <w:sz w:val="28"/>
          <w:szCs w:val="28"/>
        </w:rPr>
        <w:tab/>
        <w:t>柯建銘</w:t>
      </w:r>
    </w:p>
    <w:p w14:paraId="146EF62F" w14:textId="685BBFE3"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w:t>
      </w:r>
      <w:r w:rsidR="00E55BF8" w:rsidRPr="001B6E4D">
        <w:rPr>
          <w:rFonts w:ascii="標楷體" w:eastAsia="標楷體" w:hAnsi="標楷體" w:hint="eastAsia"/>
          <w:sz w:val="28"/>
          <w:szCs w:val="28"/>
        </w:rPr>
        <w:t>3</w:t>
      </w:r>
      <w:r w:rsidRPr="001B6E4D">
        <w:rPr>
          <w:rFonts w:ascii="標楷體" w:eastAsia="標楷體" w:hAnsi="標楷體"/>
          <w:sz w:val="28"/>
          <w:szCs w:val="28"/>
        </w:rPr>
        <w:t>人</w:t>
      </w:r>
    </w:p>
    <w:p w14:paraId="7FE71727" w14:textId="77777777" w:rsidR="00894241" w:rsidRPr="001B6E4D" w:rsidRDefault="00894241" w:rsidP="003D1018">
      <w:pPr>
        <w:widowControl w:val="0"/>
        <w:overflowPunct w:val="0"/>
        <w:snapToGrid w:val="0"/>
        <w:ind w:left="574" w:hanging="560"/>
        <w:rPr>
          <w:rFonts w:ascii="標楷體" w:eastAsia="標楷體" w:hAnsi="標楷體"/>
          <w:sz w:val="28"/>
          <w:szCs w:val="28"/>
          <w:highlight w:val="yellow"/>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許忠信</w:t>
      </w:r>
      <w:r w:rsidRPr="001B6E4D">
        <w:rPr>
          <w:rFonts w:ascii="標楷體" w:eastAsia="標楷體" w:hAnsi="標楷體" w:hint="eastAsia"/>
          <w:sz w:val="28"/>
          <w:szCs w:val="28"/>
        </w:rPr>
        <w:tab/>
        <w:t>洪孟楷</w:t>
      </w:r>
      <w:r w:rsidRPr="001B6E4D">
        <w:rPr>
          <w:rFonts w:ascii="標楷體" w:eastAsia="標楷體" w:hAnsi="標楷體"/>
          <w:sz w:val="28"/>
          <w:szCs w:val="28"/>
        </w:rPr>
        <w:tab/>
      </w:r>
      <w:r w:rsidRPr="001B6E4D">
        <w:rPr>
          <w:rFonts w:ascii="標楷體" w:eastAsia="標楷體" w:hAnsi="標楷體" w:hint="eastAsia"/>
          <w:sz w:val="28"/>
          <w:szCs w:val="28"/>
        </w:rPr>
        <w:t>李坤城</w:t>
      </w:r>
      <w:r w:rsidRPr="001B6E4D">
        <w:rPr>
          <w:rFonts w:ascii="標楷體" w:eastAsia="標楷體" w:hAnsi="標楷體" w:hint="eastAsia"/>
          <w:sz w:val="28"/>
          <w:szCs w:val="28"/>
        </w:rPr>
        <w:tab/>
        <w:t>鄭正鈐</w:t>
      </w:r>
      <w:r w:rsidRPr="001B6E4D">
        <w:rPr>
          <w:rFonts w:ascii="標楷體" w:eastAsia="標楷體" w:hAnsi="標楷體"/>
          <w:sz w:val="28"/>
          <w:szCs w:val="28"/>
        </w:rPr>
        <w:tab/>
      </w:r>
      <w:r w:rsidRPr="001B6E4D">
        <w:rPr>
          <w:rFonts w:ascii="標楷體" w:eastAsia="標楷體" w:hAnsi="標楷體" w:hint="eastAsia"/>
          <w:sz w:val="28"/>
          <w:szCs w:val="28"/>
        </w:rPr>
        <w:t>鍾佳濱</w:t>
      </w:r>
      <w:r w:rsidRPr="001B6E4D">
        <w:rPr>
          <w:rFonts w:ascii="標楷體" w:eastAsia="標楷體" w:hAnsi="標楷體"/>
          <w:sz w:val="28"/>
          <w:szCs w:val="28"/>
        </w:rPr>
        <w:tab/>
      </w:r>
      <w:r w:rsidRPr="001B6E4D">
        <w:rPr>
          <w:rFonts w:ascii="標楷體" w:eastAsia="標楷體" w:hAnsi="標楷體" w:hint="eastAsia"/>
          <w:sz w:val="28"/>
          <w:szCs w:val="28"/>
        </w:rPr>
        <w:t>蘇清泉</w:t>
      </w:r>
      <w:r w:rsidRPr="001B6E4D">
        <w:rPr>
          <w:rFonts w:ascii="標楷體" w:eastAsia="標楷體" w:hAnsi="標楷體" w:hint="eastAsia"/>
          <w:color w:val="000000"/>
          <w:sz w:val="28"/>
          <w:szCs w:val="28"/>
        </w:rPr>
        <w:tab/>
        <w:t>羅明才</w:t>
      </w:r>
    </w:p>
    <w:p w14:paraId="5F702834"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楊瓊瓔</w:t>
      </w:r>
      <w:r w:rsidRPr="001B6E4D">
        <w:rPr>
          <w:rFonts w:ascii="標楷體" w:eastAsia="標楷體" w:hAnsi="標楷體" w:hint="eastAsia"/>
          <w:sz w:val="28"/>
          <w:szCs w:val="28"/>
        </w:rPr>
        <w:tab/>
      </w:r>
      <w:r w:rsidRPr="001B6E4D">
        <w:rPr>
          <w:rFonts w:ascii="標楷體" w:eastAsia="標楷體" w:hAnsi="標楷體" w:hint="eastAsia"/>
          <w:color w:val="000000"/>
          <w:sz w:val="28"/>
          <w:szCs w:val="28"/>
        </w:rPr>
        <w:t>葉元之</w:t>
      </w:r>
    </w:p>
    <w:p w14:paraId="6CC3489A"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9</w:t>
      </w:r>
      <w:r w:rsidRPr="001B6E4D">
        <w:rPr>
          <w:rFonts w:ascii="標楷體" w:eastAsia="標楷體" w:hAnsi="標楷體"/>
          <w:sz w:val="28"/>
          <w:szCs w:val="28"/>
        </w:rPr>
        <w:t>人</w:t>
      </w:r>
    </w:p>
    <w:p w14:paraId="1AC52380" w14:textId="77777777" w:rsidR="00894241" w:rsidRPr="001B6E4D" w:rsidRDefault="00894241"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考選部部長　劉孟奇</w:t>
      </w:r>
    </w:p>
    <w:p w14:paraId="17EF9A2D"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銓敘部部長　施能傑</w:t>
      </w:r>
    </w:p>
    <w:p w14:paraId="5DFA7E6C"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法務部部長　鄭銘謙</w:t>
      </w:r>
    </w:p>
    <w:p w14:paraId="6DD0D969"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內政部政務次長</w:t>
      </w:r>
      <w:r w:rsidRPr="001B6E4D">
        <w:rPr>
          <w:rFonts w:ascii="標楷體" w:eastAsia="標楷體" w:hAnsi="標楷體" w:hint="eastAsia"/>
          <w:kern w:val="0"/>
          <w:sz w:val="28"/>
          <w:szCs w:val="28"/>
        </w:rPr>
        <w:tab/>
        <w:t xml:space="preserve">　馬士元</w:t>
      </w:r>
    </w:p>
    <w:p w14:paraId="00318BBB"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      警政署刑事</w:t>
      </w:r>
      <w:proofErr w:type="gramStart"/>
      <w:r w:rsidRPr="001B6E4D">
        <w:rPr>
          <w:rFonts w:ascii="標楷體" w:eastAsia="標楷體" w:hAnsi="標楷體" w:hint="eastAsia"/>
          <w:kern w:val="0"/>
          <w:sz w:val="28"/>
          <w:szCs w:val="28"/>
        </w:rPr>
        <w:t>警察局毒品查緝中心副大隊長</w:t>
      </w:r>
      <w:proofErr w:type="gramEnd"/>
      <w:r w:rsidRPr="001B6E4D">
        <w:rPr>
          <w:rFonts w:ascii="標楷體" w:eastAsia="標楷體" w:hAnsi="標楷體" w:hint="eastAsia"/>
          <w:kern w:val="0"/>
          <w:sz w:val="28"/>
          <w:szCs w:val="28"/>
        </w:rPr>
        <w:t xml:space="preserve">　鄭偉豪</w:t>
      </w:r>
    </w:p>
    <w:p w14:paraId="07CA3EB5"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司法院刑事廳法官　吳元曜</w:t>
      </w:r>
    </w:p>
    <w:p w14:paraId="74D45AF4"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考試院考選處處長　顏惠玲</w:t>
      </w:r>
    </w:p>
    <w:p w14:paraId="11B22983"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公務人員保障暨培訓委員會培訓發展處處長　宋狄揚</w:t>
      </w:r>
    </w:p>
    <w:p w14:paraId="7AEF39EA"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行政院人事行政總處培訓考用處處長　陳雅玲</w:t>
      </w:r>
    </w:p>
    <w:p w14:paraId="468DB01B"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經濟部產業發展署副署長　鄒宇新</w:t>
      </w:r>
    </w:p>
    <w:p w14:paraId="44A9DD71"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衛生福利部中央健康</w:t>
      </w:r>
      <w:proofErr w:type="gramStart"/>
      <w:r w:rsidRPr="001B6E4D">
        <w:rPr>
          <w:rFonts w:ascii="標楷體" w:eastAsia="標楷體" w:hAnsi="標楷體" w:hint="eastAsia"/>
          <w:kern w:val="0"/>
          <w:sz w:val="28"/>
          <w:szCs w:val="28"/>
        </w:rPr>
        <w:t>保險署</w:t>
      </w:r>
      <w:proofErr w:type="gramEnd"/>
      <w:r w:rsidRPr="001B6E4D">
        <w:rPr>
          <w:rFonts w:ascii="標楷體" w:eastAsia="標楷體" w:hAnsi="標楷體" w:hint="eastAsia"/>
          <w:kern w:val="0"/>
          <w:sz w:val="28"/>
          <w:szCs w:val="28"/>
        </w:rPr>
        <w:t>醫務管理</w:t>
      </w:r>
      <w:proofErr w:type="gramStart"/>
      <w:r w:rsidRPr="001B6E4D">
        <w:rPr>
          <w:rFonts w:ascii="標楷體" w:eastAsia="標楷體" w:hAnsi="標楷體" w:hint="eastAsia"/>
          <w:kern w:val="0"/>
          <w:sz w:val="28"/>
          <w:szCs w:val="28"/>
        </w:rPr>
        <w:t>組</w:t>
      </w:r>
      <w:proofErr w:type="gramEnd"/>
      <w:r w:rsidRPr="001B6E4D">
        <w:rPr>
          <w:rFonts w:ascii="標楷體" w:eastAsia="標楷體" w:hAnsi="標楷體" w:hint="eastAsia"/>
          <w:kern w:val="0"/>
          <w:sz w:val="28"/>
          <w:szCs w:val="28"/>
        </w:rPr>
        <w:t>組長</w:t>
      </w:r>
      <w:r w:rsidRPr="001B6E4D">
        <w:rPr>
          <w:rFonts w:ascii="標楷體" w:eastAsia="標楷體" w:hAnsi="標楷體" w:hint="eastAsia"/>
          <w:kern w:val="0"/>
          <w:sz w:val="28"/>
          <w:szCs w:val="28"/>
        </w:rPr>
        <w:tab/>
        <w:t xml:space="preserve">　黃珮珊</w:t>
      </w:r>
    </w:p>
    <w:p w14:paraId="43A10587" w14:textId="77777777" w:rsidR="00894241" w:rsidRPr="001B6E4D" w:rsidRDefault="00894241"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席：莊召集委員瑞雄</w:t>
      </w:r>
    </w:p>
    <w:p w14:paraId="135DDED7"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133AACEF"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4D090399" w14:textId="77777777" w:rsidR="00894241" w:rsidRPr="001B6E4D" w:rsidRDefault="00894241"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6DDBD5F4"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25ABD586"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4C2B2E1A"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2F946CAB" w14:textId="77777777" w:rsidR="00894241" w:rsidRPr="001B6E4D" w:rsidRDefault="00894241" w:rsidP="003D1018">
      <w:pPr>
        <w:widowControl w:val="0"/>
        <w:overflowPunct w:val="0"/>
        <w:adjustRightInd w:val="0"/>
        <w:snapToGrid w:val="0"/>
        <w:spacing w:beforeLines="30" w:before="108"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6C19B210"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宣讀上次會議議事錄。</w:t>
      </w:r>
    </w:p>
    <w:p w14:paraId="30D0F6C4" w14:textId="77777777" w:rsidR="00894241" w:rsidRPr="001B6E4D" w:rsidRDefault="00894241" w:rsidP="003D1018">
      <w:pPr>
        <w:widowControl w:val="0"/>
        <w:overflowPunct w:val="0"/>
        <w:adjustRightInd w:val="0"/>
        <w:snapToGrid w:val="0"/>
        <w:spacing w:line="360" w:lineRule="exact"/>
        <w:ind w:left="840" w:hangingChars="300" w:hanging="840"/>
        <w:jc w:val="both"/>
        <w:rPr>
          <w:rFonts w:ascii="標楷體" w:eastAsia="標楷體" w:hAnsi="標楷體"/>
          <w:kern w:val="0"/>
          <w:sz w:val="28"/>
          <w:szCs w:val="28"/>
        </w:rPr>
      </w:pPr>
      <w:r w:rsidRPr="001B6E4D">
        <w:rPr>
          <w:rFonts w:ascii="標楷體" w:eastAsia="標楷體" w:hAnsi="標楷體"/>
          <w:kern w:val="0"/>
          <w:sz w:val="28"/>
          <w:szCs w:val="28"/>
        </w:rPr>
        <w:t>決定：確定。</w:t>
      </w:r>
    </w:p>
    <w:p w14:paraId="5B9786DB" w14:textId="77777777" w:rsidR="00894241" w:rsidRPr="001B6E4D" w:rsidRDefault="00894241" w:rsidP="003D1018">
      <w:pPr>
        <w:overflowPunct w:val="0"/>
        <w:adjustRightInd w:val="0"/>
        <w:snapToGrid w:val="0"/>
        <w:spacing w:beforeLines="30" w:before="108" w:line="360" w:lineRule="exact"/>
        <w:ind w:firstLineChars="398" w:firstLine="1115"/>
        <w:jc w:val="both"/>
        <w:rPr>
          <w:rFonts w:ascii="標楷體" w:eastAsia="標楷體" w:hAnsi="標楷體"/>
          <w:b/>
          <w:kern w:val="0"/>
          <w:sz w:val="28"/>
          <w:szCs w:val="28"/>
          <w:lang w:val="x-none"/>
        </w:rPr>
      </w:pPr>
      <w:r w:rsidRPr="001B6E4D">
        <w:rPr>
          <w:rFonts w:ascii="標楷體" w:eastAsia="標楷體" w:hAnsi="標楷體"/>
          <w:b/>
          <w:kern w:val="0"/>
          <w:sz w:val="28"/>
          <w:szCs w:val="28"/>
          <w:lang w:val="x-none"/>
        </w:rPr>
        <w:t>討論事項</w:t>
      </w:r>
    </w:p>
    <w:p w14:paraId="5F1D6E9A"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b/>
          <w:kern w:val="0"/>
          <w:sz w:val="28"/>
          <w:szCs w:val="28"/>
          <w:lang w:val="x-none" w:eastAsia="x-none"/>
        </w:rPr>
      </w:pPr>
      <w:r w:rsidRPr="001B6E4D">
        <w:rPr>
          <w:rFonts w:ascii="標楷體" w:eastAsia="標楷體" w:hAnsi="標楷體" w:hint="eastAsia"/>
          <w:sz w:val="28"/>
          <w:szCs w:val="28"/>
        </w:rPr>
        <w:t>一、</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0728EB2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（一）考試院函請審議「公務人員考試法第四條、第五條及第二十八</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7D11B04"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（二）台灣民眾黨黨團擬具「公務人員考試法第五條、第六條及第二十八</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C0653F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（三）委員張宏陸等19人擬具「公務人員考試法第四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9D06A65"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二、審查考試院函請審議「公務人員任用法部分條文修正草案」案。</w:t>
      </w:r>
    </w:p>
    <w:p w14:paraId="2B8E96F5"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lastRenderedPageBreak/>
        <w:t>三、</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18420EE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（一）行政院函請審議「毒品危害防制條例第三十三條及第三十六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9432603"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（二）委員羅智強等23人擬具「毒品危害防制條例第三十三條及第三十六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016165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等18人擬具「毒品危害防制條例第三十三條及第三十六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A64960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等25人擬具「毒品危害防制條例第三十三條及第三十六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FDC2C6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（五）委員林淑芬等19人擬具「毒品危害防制條例第三十三條及第三十六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CA095E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（六）委員羅美玲等16人擬具「毒品危害防制條例第三十三條及第三十六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7A2BB7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（七）委員張雅琳等16人擬具「毒品危害防制條例第三十三條及第三十六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8FFBA0D"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（八）委員陳培瑜等18人擬具「毒品危害防制條例第三十三條及第三十六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5914011"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四、審查委員賴士葆等23人擬具「毒品危害防制條例第四條及第六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053A09F"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五、審查委員羅廷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等16人擬具「毒品危害防制條例第十一條之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6345C26F"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六、審查委員羅智強等18人擬具「毒品危害防制條例部分條文修正草案」案。</w:t>
      </w:r>
    </w:p>
    <w:p w14:paraId="064111E4"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七、審查委員鍾佳濱等17人擬具「毒品危害防制條例第二</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9580B15"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八、審查委員張宏陸等22人擬具「毒品危害防制條例第三十一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1ADE166"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九、審查委員丁學忠等16人擬具「毒品危害防制條例第三十一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6ACC571"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十、審查委員劉建國等17人擬具「毒品危害防制條例第三十一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D1F7384"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十一、審查委員陳冠廷等16人擬具「毒品危害防制條例部分條文修正草案」案。</w:t>
      </w:r>
    </w:p>
    <w:p w14:paraId="7A9F6544"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十二、審查委員徐欣瑩等25人擬具「毒品危害防制條例部分條文修正草案」案。</w:t>
      </w:r>
    </w:p>
    <w:p w14:paraId="4FFCEB7F"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十三、審查委員邱若華等17人擬具「毒品危害防制條例第三十一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4E3427A"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十四、審查委員林月琴等20人擬具「毒品危害防制條例第十一條之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0D7A05E9"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lastRenderedPageBreak/>
        <w:t>十五、審查委員傅崐萁等</w:t>
      </w:r>
      <w:r w:rsidRPr="001B6E4D">
        <w:rPr>
          <w:rFonts w:ascii="標楷體" w:eastAsia="標楷體" w:hAnsi="標楷體"/>
          <w:sz w:val="28"/>
          <w:szCs w:val="28"/>
        </w:rPr>
        <w:t>18</w:t>
      </w:r>
      <w:r w:rsidRPr="001B6E4D">
        <w:rPr>
          <w:rFonts w:ascii="標楷體" w:eastAsia="標楷體" w:hAnsi="標楷體" w:hint="eastAsia"/>
          <w:sz w:val="28"/>
          <w:szCs w:val="28"/>
        </w:rPr>
        <w:t>人擬具「毒品危害防制條例第四條及第九條之一條文修正草案」案。</w:t>
      </w:r>
    </w:p>
    <w:p w14:paraId="1D4168FB" w14:textId="77777777" w:rsidR="00894241" w:rsidRPr="001B6E4D" w:rsidRDefault="00894241"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十六、審查委員李坤城等19人擬具「毒品危害防制條例部分條文修正草案」案。</w:t>
      </w:r>
    </w:p>
    <w:p w14:paraId="71651489"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陳昭姿、張雅琳、莊瑞雄、沈發惠、</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雲、林倩綺、翁曉玲、許忠信、洪孟楷、林沛祥、許宇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、李坤城</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；委員蔡其昌、吳宗憲、傅崐萁提出書面質詢。</w:t>
      </w:r>
      <w:r w:rsidRPr="001B6E4D">
        <w:rPr>
          <w:rFonts w:ascii="標楷體" w:eastAsia="標楷體" w:hAnsi="標楷體"/>
          <w:sz w:val="28"/>
          <w:szCs w:val="28"/>
        </w:rPr>
        <w:t>）</w:t>
      </w:r>
    </w:p>
    <w:p w14:paraId="4DD1C42E" w14:textId="77777777" w:rsidR="00894241" w:rsidRPr="001B6E4D" w:rsidRDefault="00894241"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035FEEA8"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w:t>
      </w: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r w:rsidRPr="001B6E4D">
        <w:rPr>
          <w:rFonts w:ascii="標楷體" w:eastAsia="標楷體" w:hAnsi="標楷體" w:hint="eastAsia"/>
          <w:color w:val="000000"/>
          <w:sz w:val="28"/>
          <w:szCs w:val="28"/>
          <w:shd w:val="clear" w:color="auto" w:fill="FFFFFF"/>
        </w:rPr>
        <w:t>。</w:t>
      </w:r>
    </w:p>
    <w:p w14:paraId="1253639F"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hint="eastAsia"/>
          <w:color w:val="000000"/>
          <w:sz w:val="28"/>
          <w:szCs w:val="28"/>
          <w:shd w:val="clear" w:color="auto" w:fill="FFFFFF"/>
        </w:rPr>
        <w:t>第一案至第十六案，</w:t>
      </w:r>
      <w:proofErr w:type="gramStart"/>
      <w:r w:rsidRPr="001B6E4D">
        <w:rPr>
          <w:rFonts w:ascii="標楷體" w:eastAsia="標楷體" w:hAnsi="標楷體" w:hint="eastAsia"/>
          <w:color w:val="000000"/>
          <w:sz w:val="28"/>
          <w:szCs w:val="28"/>
          <w:shd w:val="clear" w:color="auto" w:fill="FFFFFF"/>
        </w:rPr>
        <w:t>均另定期</w:t>
      </w:r>
      <w:proofErr w:type="gramEnd"/>
      <w:r w:rsidRPr="001B6E4D">
        <w:rPr>
          <w:rFonts w:ascii="標楷體" w:eastAsia="標楷體" w:hAnsi="標楷體" w:hint="eastAsia"/>
          <w:color w:val="000000"/>
          <w:sz w:val="28"/>
          <w:szCs w:val="28"/>
          <w:shd w:val="clear" w:color="auto" w:fill="FFFFFF"/>
        </w:rPr>
        <w:t>繼續審查。</w:t>
      </w:r>
    </w:p>
    <w:p w14:paraId="24219445"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三、</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3741D5D0" w14:textId="77777777" w:rsidR="00894241" w:rsidRPr="001B6E4D" w:rsidRDefault="00894241" w:rsidP="003D1018">
      <w:pPr>
        <w:widowControl w:val="0"/>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7D95FF4A"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2E3A80F4" w14:textId="2CCADD3C" w:rsidR="00894241" w:rsidRPr="001B6E4D" w:rsidRDefault="00894241"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44" w:name="_Toc240446610"/>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26</w:t>
      </w:r>
      <w:r w:rsidRPr="001B6E4D">
        <w:rPr>
          <w:rFonts w:ascii="標楷體" w:eastAsia="標楷體" w:hAnsi="標楷體"/>
          <w:b/>
          <w:spacing w:val="-2"/>
          <w:sz w:val="28"/>
          <w:szCs w:val="28"/>
        </w:rPr>
        <w:t>次全體委員會議議事錄</w:t>
      </w:r>
      <w:bookmarkEnd w:id="544"/>
    </w:p>
    <w:p w14:paraId="2E169401" w14:textId="77777777" w:rsidR="00A60DB0" w:rsidRPr="001B6E4D" w:rsidRDefault="00894241" w:rsidP="003D1018">
      <w:pPr>
        <w:overflowPunct w:val="0"/>
        <w:adjustRightInd w:val="0"/>
        <w:snapToGrid w:val="0"/>
        <w:spacing w:line="360" w:lineRule="exact"/>
        <w:ind w:leftChars="1" w:left="1430" w:hangingChars="510" w:hanging="1428"/>
        <w:rPr>
          <w:rFonts w:ascii="標楷體" w:eastAsia="標楷體" w:hAnsi="標楷體"/>
          <w:spacing w:val="-14"/>
          <w:kern w:val="0"/>
          <w:sz w:val="28"/>
          <w:szCs w:val="28"/>
          <w:lang w:val="x-none" w:eastAsia="x-none"/>
        </w:rPr>
      </w:pPr>
      <w:r w:rsidRPr="001B6E4D">
        <w:rPr>
          <w:rFonts w:ascii="標楷體" w:eastAsia="標楷體" w:hAnsi="標楷體"/>
          <w:kern w:val="0"/>
          <w:sz w:val="28"/>
          <w:szCs w:val="28"/>
          <w:fitText w:val="1120" w:id="-384119038"/>
          <w:lang w:val="x-none" w:eastAsia="x-none"/>
        </w:rPr>
        <w:t>時    間</w:t>
      </w:r>
      <w:r w:rsidRPr="001B6E4D">
        <w:rPr>
          <w:rFonts w:ascii="標楷體" w:eastAsia="標楷體" w:hAnsi="標楷體"/>
          <w:spacing w:val="-10"/>
          <w:kern w:val="0"/>
          <w:sz w:val="28"/>
          <w:szCs w:val="28"/>
          <w:lang w:val="x-none" w:eastAsia="x-none"/>
        </w:rPr>
        <w:t>：</w:t>
      </w:r>
      <w:r w:rsidRPr="001B6E4D">
        <w:rPr>
          <w:rFonts w:ascii="標楷體" w:eastAsia="標楷體" w:hAnsi="標楷體"/>
          <w:spacing w:val="-14"/>
          <w:kern w:val="0"/>
          <w:sz w:val="28"/>
          <w:szCs w:val="28"/>
          <w:lang w:val="x-none" w:eastAsia="x-none"/>
        </w:rPr>
        <w:t>中華民國</w:t>
      </w:r>
      <w:r w:rsidRPr="001B6E4D">
        <w:rPr>
          <w:rFonts w:ascii="標楷體" w:eastAsia="標楷體" w:hAnsi="標楷體" w:hint="eastAsia"/>
          <w:spacing w:val="-14"/>
          <w:kern w:val="0"/>
          <w:sz w:val="28"/>
          <w:szCs w:val="28"/>
          <w:lang w:val="x-none"/>
        </w:rPr>
        <w:t>115</w:t>
      </w:r>
      <w:r w:rsidRPr="001B6E4D">
        <w:rPr>
          <w:rFonts w:ascii="標楷體" w:eastAsia="標楷體" w:hAnsi="標楷體"/>
          <w:spacing w:val="-14"/>
          <w:kern w:val="0"/>
          <w:sz w:val="28"/>
          <w:szCs w:val="28"/>
          <w:lang w:val="x-none" w:eastAsia="x-none"/>
        </w:rPr>
        <w:t>年</w:t>
      </w:r>
      <w:r w:rsidRPr="001B6E4D">
        <w:rPr>
          <w:rFonts w:ascii="標楷體" w:eastAsia="標楷體" w:hAnsi="標楷體" w:hint="eastAsia"/>
          <w:spacing w:val="-14"/>
          <w:kern w:val="0"/>
          <w:sz w:val="28"/>
          <w:szCs w:val="28"/>
          <w:lang w:val="x-none"/>
        </w:rPr>
        <w:t>7</w:t>
      </w:r>
      <w:r w:rsidRPr="001B6E4D">
        <w:rPr>
          <w:rFonts w:ascii="標楷體" w:eastAsia="標楷體" w:hAnsi="標楷體"/>
          <w:spacing w:val="-14"/>
          <w:kern w:val="0"/>
          <w:sz w:val="28"/>
          <w:szCs w:val="28"/>
          <w:lang w:val="x-none" w:eastAsia="x-none"/>
        </w:rPr>
        <w:t>月</w:t>
      </w:r>
      <w:r w:rsidRPr="001B6E4D">
        <w:rPr>
          <w:rFonts w:ascii="標楷體" w:eastAsia="標楷體" w:hAnsi="標楷體" w:hint="eastAsia"/>
          <w:spacing w:val="-14"/>
          <w:kern w:val="0"/>
          <w:sz w:val="28"/>
          <w:szCs w:val="28"/>
          <w:lang w:val="x-none"/>
        </w:rPr>
        <w:t>22</w:t>
      </w:r>
      <w:r w:rsidRPr="001B6E4D">
        <w:rPr>
          <w:rFonts w:ascii="標楷體" w:eastAsia="標楷體" w:hAnsi="標楷體"/>
          <w:spacing w:val="-14"/>
          <w:kern w:val="0"/>
          <w:sz w:val="28"/>
          <w:szCs w:val="28"/>
          <w:lang w:val="x-none" w:eastAsia="x-none"/>
        </w:rPr>
        <w:t>日（星期</w:t>
      </w:r>
      <w:r w:rsidRPr="001B6E4D">
        <w:rPr>
          <w:rFonts w:ascii="標楷體" w:eastAsia="標楷體" w:hAnsi="標楷體" w:hint="eastAsia"/>
          <w:spacing w:val="-14"/>
          <w:kern w:val="0"/>
          <w:sz w:val="28"/>
          <w:szCs w:val="28"/>
          <w:lang w:val="x-none"/>
        </w:rPr>
        <w:t>三</w:t>
      </w:r>
      <w:r w:rsidRPr="001B6E4D">
        <w:rPr>
          <w:rFonts w:ascii="標楷體" w:eastAsia="標楷體" w:hAnsi="標楷體"/>
          <w:spacing w:val="-14"/>
          <w:kern w:val="0"/>
          <w:sz w:val="28"/>
          <w:szCs w:val="28"/>
          <w:lang w:val="x-none" w:eastAsia="x-none"/>
        </w:rPr>
        <w:t>）上午</w:t>
      </w:r>
      <w:r w:rsidRPr="001B6E4D">
        <w:rPr>
          <w:rFonts w:ascii="標楷體" w:eastAsia="標楷體" w:hAnsi="標楷體" w:hint="eastAsia"/>
          <w:spacing w:val="-14"/>
          <w:kern w:val="0"/>
          <w:sz w:val="28"/>
          <w:szCs w:val="28"/>
          <w:lang w:val="x-none"/>
        </w:rPr>
        <w:t>9</w:t>
      </w:r>
      <w:r w:rsidRPr="001B6E4D">
        <w:rPr>
          <w:rFonts w:ascii="標楷體" w:eastAsia="標楷體" w:hAnsi="標楷體"/>
          <w:spacing w:val="-14"/>
          <w:kern w:val="0"/>
          <w:sz w:val="28"/>
          <w:szCs w:val="28"/>
          <w:lang w:val="x-none" w:eastAsia="x-none"/>
        </w:rPr>
        <w:t>時4</w:t>
      </w:r>
      <w:r w:rsidRPr="001B6E4D">
        <w:rPr>
          <w:rFonts w:ascii="標楷體" w:eastAsia="標楷體" w:hAnsi="標楷體" w:hint="eastAsia"/>
          <w:spacing w:val="-14"/>
          <w:kern w:val="0"/>
          <w:sz w:val="28"/>
          <w:szCs w:val="28"/>
          <w:lang w:val="x-none"/>
        </w:rPr>
        <w:t>分</w:t>
      </w:r>
      <w:r w:rsidRPr="001B6E4D">
        <w:rPr>
          <w:rFonts w:ascii="標楷體" w:eastAsia="標楷體" w:hAnsi="標楷體"/>
          <w:spacing w:val="-14"/>
          <w:kern w:val="0"/>
          <w:sz w:val="28"/>
          <w:szCs w:val="28"/>
          <w:lang w:val="x-none" w:eastAsia="x-none"/>
        </w:rPr>
        <w:t>至</w:t>
      </w:r>
      <w:r w:rsidRPr="001B6E4D">
        <w:rPr>
          <w:rFonts w:ascii="標楷體" w:eastAsia="標楷體" w:hAnsi="標楷體"/>
          <w:spacing w:val="-14"/>
          <w:kern w:val="0"/>
          <w:sz w:val="28"/>
          <w:szCs w:val="28"/>
          <w:lang w:val="x-none"/>
        </w:rPr>
        <w:t>1</w:t>
      </w:r>
      <w:r w:rsidRPr="001B6E4D">
        <w:rPr>
          <w:rFonts w:ascii="標楷體" w:eastAsia="標楷體" w:hAnsi="標楷體" w:hint="eastAsia"/>
          <w:spacing w:val="-14"/>
          <w:kern w:val="0"/>
          <w:sz w:val="28"/>
          <w:szCs w:val="28"/>
          <w:lang w:val="x-none"/>
        </w:rPr>
        <w:t>2</w:t>
      </w:r>
      <w:r w:rsidRPr="001B6E4D">
        <w:rPr>
          <w:rFonts w:ascii="標楷體" w:eastAsia="標楷體" w:hAnsi="標楷體"/>
          <w:spacing w:val="-14"/>
          <w:kern w:val="0"/>
          <w:sz w:val="28"/>
          <w:szCs w:val="28"/>
          <w:lang w:val="x-none" w:eastAsia="x-none"/>
        </w:rPr>
        <w:t>時</w:t>
      </w:r>
      <w:r w:rsidRPr="001B6E4D">
        <w:rPr>
          <w:rFonts w:ascii="標楷體" w:eastAsia="標楷體" w:hAnsi="標楷體" w:hint="eastAsia"/>
          <w:spacing w:val="-14"/>
          <w:kern w:val="0"/>
          <w:sz w:val="28"/>
          <w:szCs w:val="28"/>
          <w:lang w:val="x-none"/>
        </w:rPr>
        <w:t>1</w:t>
      </w:r>
      <w:r w:rsidRPr="001B6E4D">
        <w:rPr>
          <w:rFonts w:ascii="標楷體" w:eastAsia="標楷體" w:hAnsi="標楷體"/>
          <w:spacing w:val="-14"/>
          <w:kern w:val="0"/>
          <w:sz w:val="28"/>
          <w:szCs w:val="28"/>
          <w:lang w:val="x-none"/>
        </w:rPr>
        <w:t>6</w:t>
      </w:r>
      <w:r w:rsidRPr="001B6E4D">
        <w:rPr>
          <w:rFonts w:ascii="標楷體" w:eastAsia="標楷體" w:hAnsi="標楷體" w:hint="eastAsia"/>
          <w:spacing w:val="-14"/>
          <w:kern w:val="0"/>
          <w:sz w:val="28"/>
          <w:szCs w:val="28"/>
          <w:lang w:val="x-none" w:eastAsia="x-none"/>
        </w:rPr>
        <w:t>分</w:t>
      </w:r>
    </w:p>
    <w:p w14:paraId="1571E816" w14:textId="7D3A98D8" w:rsidR="00894241" w:rsidRPr="001B6E4D" w:rsidRDefault="00A60DB0" w:rsidP="003D1018">
      <w:pPr>
        <w:overflowPunct w:val="0"/>
        <w:adjustRightInd w:val="0"/>
        <w:snapToGrid w:val="0"/>
        <w:spacing w:line="360" w:lineRule="exact"/>
        <w:ind w:leftChars="1" w:left="1287" w:hangingChars="510" w:hanging="1285"/>
        <w:rPr>
          <w:rFonts w:ascii="標楷體" w:eastAsia="標楷體" w:hAnsi="標楷體"/>
          <w:spacing w:val="-10"/>
          <w:kern w:val="0"/>
          <w:sz w:val="28"/>
          <w:szCs w:val="28"/>
        </w:rPr>
      </w:pPr>
      <w:r w:rsidRPr="001B6E4D">
        <w:rPr>
          <w:rFonts w:ascii="標楷體" w:eastAsia="標楷體" w:hAnsi="標楷體" w:hint="eastAsia"/>
          <w:spacing w:val="-14"/>
          <w:kern w:val="0"/>
          <w:sz w:val="28"/>
          <w:szCs w:val="28"/>
          <w:lang w:val="x-none"/>
        </w:rPr>
        <w:t xml:space="preserve">            </w:t>
      </w:r>
      <w:r w:rsidR="00894241" w:rsidRPr="001B6E4D">
        <w:rPr>
          <w:rFonts w:ascii="標楷體" w:eastAsia="標楷體" w:hAnsi="標楷體" w:hint="eastAsia"/>
          <w:spacing w:val="-14"/>
          <w:kern w:val="0"/>
          <w:sz w:val="28"/>
          <w:szCs w:val="28"/>
          <w:lang w:val="x-none" w:eastAsia="x-none"/>
        </w:rPr>
        <w:t>；</w:t>
      </w:r>
      <w:r w:rsidR="00894241" w:rsidRPr="001B6E4D">
        <w:rPr>
          <w:rFonts w:ascii="標楷體" w:eastAsia="標楷體" w:hAnsi="標楷體" w:hint="eastAsia"/>
          <w:spacing w:val="-12"/>
          <w:kern w:val="0"/>
          <w:sz w:val="28"/>
          <w:szCs w:val="28"/>
          <w:lang w:val="x-none"/>
        </w:rPr>
        <w:t>7</w:t>
      </w:r>
      <w:r w:rsidR="00894241" w:rsidRPr="001B6E4D">
        <w:rPr>
          <w:rFonts w:ascii="標楷體" w:eastAsia="標楷體" w:hAnsi="標楷體" w:hint="eastAsia"/>
          <w:spacing w:val="-12"/>
          <w:kern w:val="0"/>
          <w:sz w:val="28"/>
          <w:szCs w:val="28"/>
          <w:lang w:val="x-none" w:eastAsia="x-none"/>
        </w:rPr>
        <w:t>月</w:t>
      </w:r>
      <w:r w:rsidR="00894241" w:rsidRPr="001B6E4D">
        <w:rPr>
          <w:rFonts w:ascii="標楷體" w:eastAsia="標楷體" w:hAnsi="標楷體" w:hint="eastAsia"/>
          <w:spacing w:val="-12"/>
          <w:kern w:val="0"/>
          <w:sz w:val="28"/>
          <w:szCs w:val="28"/>
          <w:lang w:val="x-none"/>
        </w:rPr>
        <w:t>23</w:t>
      </w:r>
      <w:r w:rsidR="00894241" w:rsidRPr="001B6E4D">
        <w:rPr>
          <w:rFonts w:ascii="標楷體" w:eastAsia="標楷體" w:hAnsi="標楷體" w:hint="eastAsia"/>
          <w:spacing w:val="-12"/>
          <w:kern w:val="0"/>
          <w:sz w:val="28"/>
          <w:szCs w:val="28"/>
          <w:lang w:val="x-none" w:eastAsia="x-none"/>
        </w:rPr>
        <w:t>日（星期</w:t>
      </w:r>
      <w:r w:rsidR="00894241" w:rsidRPr="001B6E4D">
        <w:rPr>
          <w:rFonts w:ascii="標楷體" w:eastAsia="標楷體" w:hAnsi="標楷體" w:hint="eastAsia"/>
          <w:spacing w:val="-12"/>
          <w:kern w:val="0"/>
          <w:sz w:val="28"/>
          <w:szCs w:val="28"/>
          <w:lang w:val="x-none"/>
        </w:rPr>
        <w:t>四</w:t>
      </w:r>
      <w:r w:rsidR="00894241" w:rsidRPr="001B6E4D">
        <w:rPr>
          <w:rFonts w:ascii="標楷體" w:eastAsia="標楷體" w:hAnsi="標楷體" w:hint="eastAsia"/>
          <w:spacing w:val="-12"/>
          <w:kern w:val="0"/>
          <w:sz w:val="28"/>
          <w:szCs w:val="28"/>
          <w:lang w:val="x-none" w:eastAsia="x-none"/>
        </w:rPr>
        <w:t>）上午9時</w:t>
      </w:r>
      <w:r w:rsidR="00894241" w:rsidRPr="001B6E4D">
        <w:rPr>
          <w:rFonts w:ascii="標楷體" w:eastAsia="標楷體" w:hAnsi="標楷體"/>
          <w:spacing w:val="-12"/>
          <w:kern w:val="0"/>
          <w:sz w:val="28"/>
          <w:szCs w:val="28"/>
          <w:lang w:val="x-none"/>
        </w:rPr>
        <w:t>1</w:t>
      </w:r>
      <w:r w:rsidR="00894241" w:rsidRPr="001B6E4D">
        <w:rPr>
          <w:rFonts w:ascii="標楷體" w:eastAsia="標楷體" w:hAnsi="標楷體" w:hint="eastAsia"/>
          <w:spacing w:val="-12"/>
          <w:kern w:val="0"/>
          <w:sz w:val="28"/>
          <w:szCs w:val="28"/>
          <w:lang w:val="x-none"/>
        </w:rPr>
        <w:t>分</w:t>
      </w:r>
      <w:r w:rsidR="00894241" w:rsidRPr="001B6E4D">
        <w:rPr>
          <w:rFonts w:ascii="標楷體" w:eastAsia="標楷體" w:hAnsi="標楷體" w:hint="eastAsia"/>
          <w:spacing w:val="-12"/>
          <w:kern w:val="0"/>
          <w:sz w:val="28"/>
          <w:szCs w:val="28"/>
          <w:lang w:val="x-none" w:eastAsia="x-none"/>
        </w:rPr>
        <w:t>至</w:t>
      </w:r>
      <w:r w:rsidR="00894241" w:rsidRPr="001B6E4D">
        <w:rPr>
          <w:rFonts w:ascii="標楷體" w:eastAsia="標楷體" w:hAnsi="標楷體" w:hint="eastAsia"/>
          <w:spacing w:val="-12"/>
          <w:kern w:val="0"/>
          <w:sz w:val="28"/>
          <w:szCs w:val="28"/>
          <w:lang w:val="x-none"/>
        </w:rPr>
        <w:t>12時17分</w:t>
      </w:r>
    </w:p>
    <w:p w14:paraId="4DE1467E" w14:textId="77777777" w:rsidR="00894241" w:rsidRPr="001B6E4D" w:rsidRDefault="00894241"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384119037"/>
          <w:lang w:val="x-none" w:eastAsia="x-none"/>
        </w:rPr>
        <w:t>地    點</w:t>
      </w:r>
      <w:r w:rsidRPr="001B6E4D">
        <w:rPr>
          <w:rFonts w:ascii="標楷體" w:eastAsia="標楷體" w:hAnsi="標楷體"/>
          <w:kern w:val="0"/>
          <w:sz w:val="28"/>
          <w:szCs w:val="28"/>
          <w:lang w:val="x-none" w:eastAsia="x-none"/>
        </w:rPr>
        <w:t>：本院紅樓302會議室</w:t>
      </w:r>
    </w:p>
    <w:p w14:paraId="565A39F2"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翁曉玲</w:t>
      </w:r>
      <w:r w:rsidRPr="001B6E4D">
        <w:rPr>
          <w:rFonts w:ascii="標楷體" w:eastAsia="標楷體" w:hAnsi="標楷體" w:hint="eastAsia"/>
          <w:sz w:val="28"/>
          <w:szCs w:val="28"/>
        </w:rPr>
        <w:tab/>
        <w:t>林倩綺</w:t>
      </w:r>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t>張雅琳</w:t>
      </w:r>
      <w:r w:rsidRPr="001B6E4D">
        <w:rPr>
          <w:rFonts w:ascii="標楷體" w:eastAsia="標楷體" w:hAnsi="標楷體" w:hint="eastAsia"/>
          <w:sz w:val="28"/>
          <w:szCs w:val="28"/>
        </w:rPr>
        <w:tab/>
        <w:t>莊瑞雄</w:t>
      </w:r>
      <w:r w:rsidRPr="001B6E4D">
        <w:rPr>
          <w:rFonts w:ascii="標楷體" w:eastAsia="標楷體" w:hAnsi="標楷體"/>
          <w:sz w:val="28"/>
          <w:szCs w:val="28"/>
        </w:rPr>
        <w:tab/>
      </w:r>
      <w:r w:rsidRPr="001B6E4D">
        <w:rPr>
          <w:rFonts w:ascii="標楷體" w:eastAsia="標楷體" w:hAnsi="標楷體" w:hint="eastAsia"/>
          <w:sz w:val="28"/>
          <w:szCs w:val="28"/>
        </w:rPr>
        <w:t>沈發惠</w:t>
      </w:r>
      <w:r w:rsidRPr="001B6E4D">
        <w:rPr>
          <w:rFonts w:ascii="標楷體" w:eastAsia="標楷體" w:hAnsi="標楷體" w:hint="eastAsia"/>
          <w:sz w:val="28"/>
          <w:szCs w:val="28"/>
        </w:rPr>
        <w:tab/>
      </w:r>
    </w:p>
    <w:p w14:paraId="5E6DE183"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柯建銘</w:t>
      </w:r>
      <w:r w:rsidRPr="001B6E4D">
        <w:rPr>
          <w:rFonts w:ascii="標楷體" w:eastAsia="標楷體" w:hAnsi="標楷體" w:hint="eastAsia"/>
          <w:sz w:val="28"/>
          <w:szCs w:val="28"/>
        </w:rPr>
        <w:tab/>
        <w:t>傅崐萁</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r>
    </w:p>
    <w:p w14:paraId="38714E4F"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12</w:t>
      </w:r>
      <w:r w:rsidRPr="001B6E4D">
        <w:rPr>
          <w:rFonts w:ascii="標楷體" w:eastAsia="標楷體" w:hAnsi="標楷體"/>
          <w:sz w:val="28"/>
          <w:szCs w:val="28"/>
        </w:rPr>
        <w:t>人</w:t>
      </w:r>
    </w:p>
    <w:p w14:paraId="6DD5FFDE"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sz w:val="28"/>
          <w:szCs w:val="28"/>
        </w:rPr>
        <w:tab/>
      </w:r>
      <w:r w:rsidRPr="001B6E4D">
        <w:rPr>
          <w:rFonts w:ascii="標楷體" w:eastAsia="標楷體" w:hAnsi="標楷體" w:hint="eastAsia"/>
          <w:sz w:val="28"/>
          <w:szCs w:val="28"/>
        </w:rPr>
        <w:t>鄭正鈐</w:t>
      </w:r>
      <w:r w:rsidRPr="001B6E4D">
        <w:rPr>
          <w:rFonts w:ascii="標楷體" w:eastAsia="標楷體" w:hAnsi="標楷體"/>
          <w:sz w:val="28"/>
          <w:szCs w:val="28"/>
        </w:rPr>
        <w:tab/>
      </w:r>
      <w:r w:rsidRPr="001B6E4D">
        <w:rPr>
          <w:rFonts w:ascii="標楷體" w:eastAsia="標楷體" w:hAnsi="標楷體" w:hint="eastAsia"/>
          <w:sz w:val="28"/>
          <w:szCs w:val="28"/>
        </w:rPr>
        <w:t>李坤城</w:t>
      </w:r>
      <w:r w:rsidRPr="001B6E4D">
        <w:rPr>
          <w:rFonts w:ascii="標楷體" w:eastAsia="標楷體" w:hAnsi="標楷體" w:hint="eastAsia"/>
          <w:sz w:val="28"/>
          <w:szCs w:val="28"/>
        </w:rPr>
        <w:tab/>
        <w:t>洪孟楷</w:t>
      </w:r>
      <w:r w:rsidRPr="001B6E4D">
        <w:rPr>
          <w:rFonts w:ascii="標楷體" w:eastAsia="標楷體" w:hAnsi="標楷體" w:hint="eastAsia"/>
          <w:sz w:val="28"/>
          <w:szCs w:val="28"/>
        </w:rPr>
        <w:tab/>
        <w:t>蘇清泉</w:t>
      </w:r>
      <w:r w:rsidRPr="001B6E4D">
        <w:rPr>
          <w:rFonts w:ascii="標楷體" w:eastAsia="標楷體" w:hAnsi="標楷體" w:hint="eastAsia"/>
          <w:sz w:val="28"/>
          <w:szCs w:val="28"/>
        </w:rPr>
        <w:tab/>
        <w:t>楊瓊瓔</w:t>
      </w:r>
      <w:r w:rsidRPr="001B6E4D">
        <w:rPr>
          <w:rFonts w:ascii="標楷體" w:eastAsia="標楷體" w:hAnsi="標楷體"/>
          <w:sz w:val="28"/>
          <w:szCs w:val="28"/>
        </w:rPr>
        <w:tab/>
      </w:r>
      <w:r w:rsidRPr="001B6E4D">
        <w:rPr>
          <w:rFonts w:ascii="標楷體" w:eastAsia="標楷體" w:hAnsi="標楷體" w:hint="eastAsia"/>
          <w:sz w:val="28"/>
          <w:szCs w:val="28"/>
        </w:rPr>
        <w:t>張智倫</w:t>
      </w:r>
      <w:r w:rsidRPr="001B6E4D">
        <w:rPr>
          <w:rFonts w:ascii="標楷體" w:eastAsia="標楷體" w:hAnsi="標楷體" w:hint="eastAsia"/>
          <w:sz w:val="28"/>
          <w:szCs w:val="28"/>
        </w:rPr>
        <w:tab/>
      </w:r>
    </w:p>
    <w:p w14:paraId="45C5D951"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許忠信</w:t>
      </w:r>
      <w:r w:rsidRPr="001B6E4D">
        <w:rPr>
          <w:rFonts w:ascii="標楷體" w:eastAsia="標楷體" w:hAnsi="標楷體"/>
          <w:sz w:val="28"/>
          <w:szCs w:val="28"/>
        </w:rPr>
        <w:tab/>
      </w:r>
      <w:r w:rsidRPr="001B6E4D">
        <w:rPr>
          <w:rFonts w:ascii="標楷體" w:eastAsia="標楷體" w:hAnsi="標楷體" w:hint="eastAsia"/>
          <w:sz w:val="28"/>
          <w:szCs w:val="28"/>
        </w:rPr>
        <w:t>洪毓祥</w:t>
      </w:r>
      <w:r w:rsidRPr="001B6E4D">
        <w:rPr>
          <w:rFonts w:ascii="標楷體" w:eastAsia="標楷體" w:hAnsi="標楷體"/>
          <w:sz w:val="28"/>
          <w:szCs w:val="28"/>
        </w:rPr>
        <w:tab/>
      </w:r>
      <w:r w:rsidRPr="001B6E4D">
        <w:rPr>
          <w:rFonts w:ascii="標楷體" w:eastAsia="標楷體" w:hAnsi="標楷體" w:hint="eastAsia"/>
          <w:sz w:val="28"/>
          <w:szCs w:val="28"/>
        </w:rPr>
        <w:t>賴士葆</w:t>
      </w:r>
      <w:r w:rsidRPr="001B6E4D">
        <w:rPr>
          <w:rFonts w:ascii="標楷體" w:eastAsia="標楷體" w:hAnsi="標楷體"/>
          <w:sz w:val="28"/>
          <w:szCs w:val="28"/>
        </w:rPr>
        <w:tab/>
      </w:r>
      <w:r w:rsidRPr="001B6E4D">
        <w:rPr>
          <w:rFonts w:ascii="標楷體" w:eastAsia="標楷體" w:hAnsi="標楷體" w:hint="eastAsia"/>
          <w:sz w:val="28"/>
          <w:szCs w:val="28"/>
        </w:rPr>
        <w:t>陳清龍</w:t>
      </w:r>
      <w:r w:rsidRPr="001B6E4D">
        <w:rPr>
          <w:rFonts w:ascii="標楷體" w:eastAsia="標楷體" w:hAnsi="標楷體"/>
          <w:sz w:val="28"/>
          <w:szCs w:val="28"/>
        </w:rPr>
        <w:tab/>
      </w:r>
      <w:r w:rsidRPr="001B6E4D">
        <w:rPr>
          <w:rFonts w:ascii="標楷體" w:eastAsia="標楷體" w:hAnsi="標楷體" w:hint="eastAsia"/>
          <w:sz w:val="28"/>
          <w:szCs w:val="28"/>
        </w:rPr>
        <w:t>邱慧</w:t>
      </w:r>
      <w:proofErr w:type="gramStart"/>
      <w:r w:rsidRPr="001B6E4D">
        <w:rPr>
          <w:rFonts w:ascii="標楷體" w:eastAsia="標楷體" w:hAnsi="標楷體" w:hint="eastAsia"/>
          <w:sz w:val="28"/>
          <w:szCs w:val="28"/>
        </w:rPr>
        <w:t>洳</w:t>
      </w:r>
      <w:proofErr w:type="gramEnd"/>
      <w:r w:rsidRPr="001B6E4D">
        <w:rPr>
          <w:rFonts w:ascii="標楷體" w:eastAsia="標楷體" w:hAnsi="標楷體"/>
          <w:sz w:val="28"/>
          <w:szCs w:val="28"/>
        </w:rPr>
        <w:tab/>
      </w:r>
      <w:r w:rsidRPr="001B6E4D">
        <w:rPr>
          <w:rFonts w:ascii="標楷體" w:eastAsia="標楷體" w:hAnsi="標楷體" w:hint="eastAsia"/>
          <w:sz w:val="28"/>
          <w:szCs w:val="28"/>
        </w:rPr>
        <w:t>蔡春綢</w:t>
      </w:r>
      <w:r w:rsidRPr="001B6E4D">
        <w:rPr>
          <w:rFonts w:ascii="標楷體" w:eastAsia="標楷體" w:hAnsi="標楷體"/>
          <w:sz w:val="28"/>
          <w:szCs w:val="28"/>
        </w:rPr>
        <w:tab/>
      </w:r>
      <w:r w:rsidRPr="001B6E4D">
        <w:rPr>
          <w:rFonts w:ascii="標楷體" w:eastAsia="標楷體" w:hAnsi="標楷體" w:hint="eastAsia"/>
          <w:sz w:val="28"/>
          <w:szCs w:val="28"/>
        </w:rPr>
        <w:t>劉書彬</w:t>
      </w:r>
    </w:p>
    <w:p w14:paraId="522EC108"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列席14</w:t>
      </w:r>
      <w:r w:rsidRPr="001B6E4D">
        <w:rPr>
          <w:rFonts w:ascii="標楷體" w:eastAsia="標楷體" w:hAnsi="標楷體"/>
          <w:sz w:val="28"/>
          <w:szCs w:val="28"/>
        </w:rPr>
        <w:t>人</w:t>
      </w:r>
    </w:p>
    <w:p w14:paraId="66B02A1E" w14:textId="77777777" w:rsidR="00894241" w:rsidRPr="001B6E4D" w:rsidRDefault="00894241"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b/>
          <w:kern w:val="0"/>
          <w:sz w:val="28"/>
          <w:szCs w:val="28"/>
        </w:rPr>
        <w:t>7</w:t>
      </w:r>
      <w:r w:rsidRPr="001B6E4D">
        <w:rPr>
          <w:rFonts w:ascii="標楷體" w:eastAsia="標楷體" w:hAnsi="標楷體" w:hint="eastAsia"/>
          <w:b/>
          <w:bCs/>
          <w:kern w:val="0"/>
          <w:sz w:val="28"/>
          <w:szCs w:val="28"/>
        </w:rPr>
        <w:t>月22日（星期三）</w:t>
      </w:r>
    </w:p>
    <w:p w14:paraId="0F4CB56A"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 xml:space="preserve">法務部政務次長　</w:t>
      </w:r>
      <w:proofErr w:type="gramStart"/>
      <w:r w:rsidRPr="001B6E4D">
        <w:rPr>
          <w:rFonts w:ascii="標楷體" w:eastAsia="標楷體" w:hAnsi="標楷體" w:hint="eastAsia"/>
          <w:kern w:val="0"/>
          <w:sz w:val="28"/>
          <w:szCs w:val="28"/>
        </w:rPr>
        <w:t>黃謀信</w:t>
      </w:r>
      <w:proofErr w:type="gramEnd"/>
      <w:r w:rsidRPr="001B6E4D">
        <w:rPr>
          <w:rFonts w:ascii="標楷體" w:eastAsia="標楷體" w:hAnsi="標楷體" w:hint="eastAsia"/>
          <w:kern w:val="0"/>
          <w:sz w:val="28"/>
          <w:szCs w:val="28"/>
        </w:rPr>
        <w:t>(部長請假)</w:t>
      </w:r>
    </w:p>
    <w:p w14:paraId="0CD8684C"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 xml:space="preserve">司法院刑事廳廳長　</w:t>
      </w:r>
      <w:proofErr w:type="gramStart"/>
      <w:r w:rsidRPr="001B6E4D">
        <w:rPr>
          <w:rFonts w:ascii="標楷體" w:eastAsia="標楷體" w:hAnsi="標楷體" w:hint="eastAsia"/>
          <w:kern w:val="0"/>
          <w:sz w:val="28"/>
          <w:szCs w:val="28"/>
        </w:rPr>
        <w:t>許辰舟</w:t>
      </w:r>
      <w:proofErr w:type="gramEnd"/>
      <w:r w:rsidRPr="001B6E4D">
        <w:rPr>
          <w:rFonts w:ascii="標楷體" w:eastAsia="標楷體" w:hAnsi="標楷體" w:hint="eastAsia"/>
          <w:kern w:val="0"/>
          <w:sz w:val="28"/>
          <w:szCs w:val="28"/>
        </w:rPr>
        <w:t>(副秘書長請假)</w:t>
      </w:r>
    </w:p>
    <w:p w14:paraId="6525D558"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內政部警政署警政委員　李謀旺</w:t>
      </w:r>
    </w:p>
    <w:p w14:paraId="77767179" w14:textId="77777777" w:rsidR="00894241" w:rsidRPr="001B6E4D" w:rsidRDefault="00894241" w:rsidP="003D1018">
      <w:pPr>
        <w:widowControl w:val="0"/>
        <w:overflowPunct w:val="0"/>
        <w:adjustRightInd w:val="0"/>
        <w:snapToGrid w:val="0"/>
        <w:spacing w:line="370" w:lineRule="exact"/>
        <w:ind w:leftChars="584" w:left="2803" w:hangingChars="500" w:hanging="1401"/>
        <w:jc w:val="both"/>
        <w:rPr>
          <w:rFonts w:ascii="標楷體" w:eastAsia="標楷體" w:hAnsi="標楷體" w:cs="標楷體"/>
          <w:b/>
          <w:kern w:val="0"/>
          <w:sz w:val="28"/>
          <w:szCs w:val="28"/>
        </w:rPr>
      </w:pPr>
      <w:r w:rsidRPr="001B6E4D">
        <w:rPr>
          <w:rFonts w:ascii="標楷體" w:eastAsia="標楷體" w:hAnsi="標楷體" w:cs="標楷體" w:hint="eastAsia"/>
          <w:b/>
          <w:kern w:val="0"/>
          <w:sz w:val="28"/>
          <w:szCs w:val="28"/>
        </w:rPr>
        <w:t>7月23日（星期四）</w:t>
      </w:r>
    </w:p>
    <w:p w14:paraId="15EC2D5D"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監察院秘書長　(未到)</w:t>
      </w:r>
    </w:p>
    <w:p w14:paraId="20950CBF"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法務部部長　鄭銘謙</w:t>
      </w:r>
    </w:p>
    <w:p w14:paraId="1116CB90"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衛生福利部部長　石崇良(上午9時30分前)</w:t>
      </w:r>
    </w:p>
    <w:p w14:paraId="328C146D"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          政務次長　林靜儀</w:t>
      </w:r>
    </w:p>
    <w:p w14:paraId="42F86D84"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          食品藥物管理署署長　</w:t>
      </w:r>
      <w:proofErr w:type="gramStart"/>
      <w:r w:rsidRPr="001B6E4D">
        <w:rPr>
          <w:rFonts w:ascii="標楷體" w:eastAsia="標楷體" w:hAnsi="標楷體" w:hint="eastAsia"/>
          <w:kern w:val="0"/>
          <w:sz w:val="28"/>
          <w:szCs w:val="28"/>
        </w:rPr>
        <w:t>姜</w:t>
      </w:r>
      <w:proofErr w:type="gramEnd"/>
      <w:r w:rsidRPr="001B6E4D">
        <w:rPr>
          <w:rFonts w:ascii="標楷體" w:eastAsia="標楷體" w:hAnsi="標楷體" w:hint="eastAsia"/>
          <w:kern w:val="0"/>
          <w:sz w:val="28"/>
          <w:szCs w:val="28"/>
        </w:rPr>
        <w:t>至剛</w:t>
      </w:r>
      <w:r w:rsidRPr="001B6E4D">
        <w:rPr>
          <w:rFonts w:ascii="標楷體" w:eastAsia="標楷體" w:hAnsi="標楷體" w:hint="eastAsia"/>
          <w:spacing w:val="-14"/>
          <w:kern w:val="0"/>
          <w:sz w:val="28"/>
          <w:szCs w:val="28"/>
        </w:rPr>
        <w:t>(上午9時30分前)</w:t>
      </w:r>
    </w:p>
    <w:p w14:paraId="4F8E4B93"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 xml:space="preserve">                        副署長　</w:t>
      </w:r>
      <w:proofErr w:type="gramStart"/>
      <w:r w:rsidRPr="001B6E4D">
        <w:rPr>
          <w:rFonts w:ascii="標楷體" w:eastAsia="標楷體" w:hAnsi="標楷體" w:hint="eastAsia"/>
          <w:kern w:val="0"/>
          <w:sz w:val="28"/>
          <w:szCs w:val="28"/>
        </w:rPr>
        <w:t>遲蘭慧</w:t>
      </w:r>
      <w:proofErr w:type="gramEnd"/>
    </w:p>
    <w:p w14:paraId="20F63273"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經濟部政務次長　江文若(部長請假)</w:t>
      </w:r>
    </w:p>
    <w:p w14:paraId="1FFA3CC5" w14:textId="77777777" w:rsidR="00894241" w:rsidRPr="001B6E4D" w:rsidRDefault="00894241" w:rsidP="003D1018">
      <w:pPr>
        <w:widowControl w:val="0"/>
        <w:overflowPunct w:val="0"/>
        <w:adjustRightInd w:val="0"/>
        <w:snapToGrid w:val="0"/>
        <w:spacing w:line="360" w:lineRule="exact"/>
        <w:ind w:leftChars="584" w:left="2441" w:hangingChars="500" w:hanging="1039"/>
        <w:jc w:val="both"/>
        <w:rPr>
          <w:rFonts w:ascii="標楷體" w:eastAsia="標楷體" w:hAnsi="標楷體"/>
          <w:spacing w:val="-15"/>
          <w:w w:val="85"/>
          <w:kern w:val="0"/>
          <w:sz w:val="28"/>
          <w:szCs w:val="28"/>
        </w:rPr>
      </w:pPr>
      <w:r w:rsidRPr="001B6E4D">
        <w:rPr>
          <w:rFonts w:ascii="標楷體" w:eastAsia="標楷體" w:hAnsi="標楷體" w:hint="eastAsia"/>
          <w:spacing w:val="-15"/>
          <w:w w:val="85"/>
          <w:kern w:val="0"/>
          <w:sz w:val="28"/>
          <w:szCs w:val="28"/>
        </w:rPr>
        <w:t>國家發展委員會行政院國家發展基金管理會執行秘書　汪庭安(主任委員請假)</w:t>
      </w:r>
    </w:p>
    <w:p w14:paraId="5DFA26FC"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銓敘部部長　施能傑</w:t>
      </w:r>
    </w:p>
    <w:p w14:paraId="60B66E15"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司法院民事廳廳長　林俊廷</w:t>
      </w:r>
    </w:p>
    <w:p w14:paraId="51AA01FB" w14:textId="77777777" w:rsidR="00894241" w:rsidRPr="001B6E4D" w:rsidRDefault="00894241" w:rsidP="003D1018">
      <w:pPr>
        <w:widowControl w:val="0"/>
        <w:overflowPunct w:val="0"/>
        <w:adjustRightInd w:val="0"/>
        <w:snapToGrid w:val="0"/>
        <w:spacing w:line="360" w:lineRule="exact"/>
        <w:ind w:leftChars="584" w:left="2802" w:hangingChars="500" w:hanging="1400"/>
        <w:jc w:val="both"/>
        <w:rPr>
          <w:rFonts w:ascii="標楷體" w:eastAsia="標楷體" w:hAnsi="標楷體"/>
          <w:kern w:val="0"/>
          <w:sz w:val="28"/>
          <w:szCs w:val="28"/>
        </w:rPr>
      </w:pPr>
      <w:r w:rsidRPr="001B6E4D">
        <w:rPr>
          <w:rFonts w:ascii="標楷體" w:eastAsia="標楷體" w:hAnsi="標楷體" w:hint="eastAsia"/>
          <w:kern w:val="0"/>
          <w:sz w:val="28"/>
          <w:szCs w:val="28"/>
        </w:rPr>
        <w:t>行政院消費者保護處處長　鍾瑞蘭</w:t>
      </w:r>
    </w:p>
    <w:p w14:paraId="021AD8AC" w14:textId="77777777" w:rsidR="00894241" w:rsidRPr="001B6E4D" w:rsidRDefault="00894241"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5AF6F3D5"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4EF518CF"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2BC5934B" w14:textId="77777777" w:rsidR="00894241" w:rsidRPr="001B6E4D" w:rsidRDefault="00894241"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55B072C5"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6D2FD731"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5F5F54A8"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673F938F" w14:textId="77777777" w:rsidR="00894241" w:rsidRPr="001B6E4D" w:rsidRDefault="00894241" w:rsidP="003D1018">
      <w:pPr>
        <w:widowControl w:val="0"/>
        <w:overflowPunct w:val="0"/>
        <w:adjustRightInd w:val="0"/>
        <w:snapToGrid w:val="0"/>
        <w:spacing w:beforeLines="50" w:before="180" w:line="360" w:lineRule="exact"/>
        <w:ind w:left="959" w:hangingChars="342" w:hanging="959"/>
        <w:jc w:val="both"/>
        <w:rPr>
          <w:rFonts w:ascii="標楷體" w:eastAsia="標楷體" w:hAnsi="標楷體"/>
          <w:b/>
          <w:kern w:val="0"/>
          <w:sz w:val="28"/>
          <w:szCs w:val="28"/>
        </w:rPr>
      </w:pPr>
      <w:r w:rsidRPr="001B6E4D">
        <w:rPr>
          <w:rFonts w:ascii="標楷體" w:eastAsia="標楷體" w:hAnsi="標楷體" w:hint="eastAsia"/>
          <w:b/>
          <w:kern w:val="0"/>
          <w:sz w:val="28"/>
          <w:szCs w:val="28"/>
        </w:rPr>
        <w:t>7月22日（星期三）</w:t>
      </w:r>
    </w:p>
    <w:p w14:paraId="0D0CCFAF" w14:textId="77777777" w:rsidR="00894241" w:rsidRPr="001B6E4D" w:rsidRDefault="00894241" w:rsidP="003D1018">
      <w:pPr>
        <w:widowControl w:val="0"/>
        <w:overflowPunct w:val="0"/>
        <w:adjustRightInd w:val="0"/>
        <w:snapToGrid w:val="0"/>
        <w:spacing w:beforeLines="30" w:before="108"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3F883448"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宣讀上次會議議事錄。</w:t>
      </w:r>
    </w:p>
    <w:p w14:paraId="674A8179" w14:textId="77777777" w:rsidR="00894241" w:rsidRPr="001B6E4D" w:rsidRDefault="00894241" w:rsidP="003D1018">
      <w:pPr>
        <w:widowControl w:val="0"/>
        <w:overflowPunct w:val="0"/>
        <w:adjustRightInd w:val="0"/>
        <w:snapToGrid w:val="0"/>
        <w:spacing w:line="360" w:lineRule="exact"/>
        <w:ind w:left="840" w:hangingChars="300" w:hanging="840"/>
        <w:jc w:val="both"/>
        <w:rPr>
          <w:rFonts w:ascii="標楷體" w:eastAsia="標楷體" w:hAnsi="標楷體"/>
          <w:kern w:val="0"/>
          <w:sz w:val="28"/>
          <w:szCs w:val="28"/>
        </w:rPr>
      </w:pPr>
      <w:r w:rsidRPr="001B6E4D">
        <w:rPr>
          <w:rFonts w:ascii="標楷體" w:eastAsia="標楷體" w:hAnsi="標楷體"/>
          <w:kern w:val="0"/>
          <w:sz w:val="28"/>
          <w:szCs w:val="28"/>
        </w:rPr>
        <w:t>決定：確定。</w:t>
      </w:r>
    </w:p>
    <w:p w14:paraId="3055FE90" w14:textId="77777777" w:rsidR="00894241" w:rsidRPr="001B6E4D" w:rsidRDefault="00894241" w:rsidP="003D1018">
      <w:pPr>
        <w:overflowPunct w:val="0"/>
        <w:adjustRightInd w:val="0"/>
        <w:snapToGrid w:val="0"/>
        <w:spacing w:beforeLines="30" w:before="108" w:line="360" w:lineRule="exact"/>
        <w:ind w:firstLineChars="398" w:firstLine="1115"/>
        <w:jc w:val="both"/>
        <w:rPr>
          <w:rFonts w:ascii="標楷體" w:eastAsia="標楷體" w:hAnsi="標楷體"/>
          <w:b/>
          <w:kern w:val="0"/>
          <w:sz w:val="28"/>
          <w:szCs w:val="28"/>
          <w:lang w:val="x-none" w:eastAsia="x-none"/>
        </w:rPr>
      </w:pPr>
      <w:r w:rsidRPr="001B6E4D">
        <w:rPr>
          <w:rFonts w:ascii="標楷體" w:eastAsia="標楷體" w:hAnsi="標楷體"/>
          <w:b/>
          <w:kern w:val="0"/>
          <w:sz w:val="28"/>
          <w:szCs w:val="28"/>
          <w:lang w:val="x-none"/>
        </w:rPr>
        <w:t>討論事項</w:t>
      </w:r>
    </w:p>
    <w:p w14:paraId="6E139A99" w14:textId="77777777" w:rsidR="00894241" w:rsidRPr="001B6E4D" w:rsidRDefault="00894241" w:rsidP="003D1018">
      <w:pPr>
        <w:overflowPunct w:val="0"/>
        <w:adjustRightInd w:val="0"/>
        <w:snapToGrid w:val="0"/>
        <w:spacing w:line="360" w:lineRule="exact"/>
        <w:ind w:leftChars="-1" w:left="9" w:hangingChars="4" w:hanging="11"/>
        <w:jc w:val="both"/>
        <w:rPr>
          <w:rFonts w:ascii="標楷體" w:eastAsia="標楷體" w:hAnsi="標楷體"/>
          <w:bCs/>
          <w:kern w:val="0"/>
          <w:sz w:val="28"/>
          <w:szCs w:val="28"/>
        </w:rPr>
      </w:pPr>
      <w:proofErr w:type="gramStart"/>
      <w:r w:rsidRPr="001B6E4D">
        <w:rPr>
          <w:rFonts w:ascii="標楷體" w:eastAsia="標楷體" w:hAnsi="標楷體" w:hint="eastAsia"/>
          <w:bCs/>
          <w:kern w:val="0"/>
          <w:sz w:val="28"/>
          <w:szCs w:val="28"/>
        </w:rPr>
        <w:lastRenderedPageBreak/>
        <w:t>併</w:t>
      </w:r>
      <w:proofErr w:type="gramEnd"/>
      <w:r w:rsidRPr="001B6E4D">
        <w:rPr>
          <w:rFonts w:ascii="標楷體" w:eastAsia="標楷體" w:hAnsi="標楷體" w:hint="eastAsia"/>
          <w:bCs/>
          <w:kern w:val="0"/>
          <w:sz w:val="28"/>
          <w:szCs w:val="28"/>
        </w:rPr>
        <w:t>案審查</w:t>
      </w:r>
    </w:p>
    <w:p w14:paraId="011ED9F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kern w:val="0"/>
          <w:sz w:val="28"/>
          <w:szCs w:val="28"/>
        </w:rPr>
      </w:pPr>
      <w:r w:rsidRPr="001B6E4D">
        <w:rPr>
          <w:rFonts w:ascii="標楷體" w:eastAsia="標楷體" w:hAnsi="標楷體" w:hint="eastAsia"/>
          <w:kern w:val="0"/>
          <w:sz w:val="28"/>
          <w:szCs w:val="28"/>
        </w:rPr>
        <w:t>（一）</w:t>
      </w:r>
      <w:r w:rsidRPr="001B6E4D">
        <w:rPr>
          <w:rFonts w:ascii="標楷體" w:eastAsia="標楷體" w:hAnsi="標楷體" w:hint="eastAsia"/>
          <w:sz w:val="28"/>
          <w:szCs w:val="28"/>
        </w:rPr>
        <w:t>行政院</w:t>
      </w:r>
      <w:r w:rsidRPr="001B6E4D">
        <w:rPr>
          <w:rFonts w:ascii="標楷體" w:eastAsia="標楷體" w:hAnsi="標楷體" w:hint="eastAsia"/>
          <w:kern w:val="0"/>
          <w:sz w:val="28"/>
          <w:szCs w:val="28"/>
        </w:rPr>
        <w:t>、司法院函請審議「中華民國刑法第一百八十五條之三條文修正草案」案。</w:t>
      </w:r>
    </w:p>
    <w:p w14:paraId="179BBDD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（二）委員翁曉玲等17人擬具「中華民國刑法第一百八十五條之三條文修正草案」案。</w:t>
      </w:r>
    </w:p>
    <w:p w14:paraId="4CCF4317"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（三）委員廖先翔等17人擬具「中華民國刑法第一百八十五條之三及第一百八十五條之四條文修正草案」案。</w:t>
      </w:r>
    </w:p>
    <w:p w14:paraId="464DA81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（四）委員洪孟楷等18人擬具「中華民國刑法第一百八十五條之三條文修正草案」案。</w:t>
      </w:r>
    </w:p>
    <w:p w14:paraId="2C36CE67"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（五）委員徐欣瑩等18人擬具「中華民國刑法第一百八十五條之三及第一百八十五條之四條文修正草案」案。</w:t>
      </w:r>
    </w:p>
    <w:p w14:paraId="4D9920E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等17人擬具「中華民國刑法第一百八十五條之三及第一百八十五條之四條文修正草案」案。</w:t>
      </w:r>
    </w:p>
    <w:p w14:paraId="069035C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（七）委員柯志恩等16人擬具「中華民國刑法第一百八十五條之三條文修正草案」案。</w:t>
      </w:r>
    </w:p>
    <w:p w14:paraId="656CEB4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（八）委員林倩綺等21人擬具「中華民國刑法第一百八十五條之三條文修正草案」案。</w:t>
      </w:r>
    </w:p>
    <w:p w14:paraId="1E8B4C5A"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（九）委員邱若華等19人擬具「中華民國刑法第一百八十五條之三條文修正草案」案。</w:t>
      </w:r>
    </w:p>
    <w:p w14:paraId="60FCE3B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（十）委員萬美玲等19人擬具「中華民國刑法第一百八十五條之三及第一百八十五條之四條文修正草案」案。</w:t>
      </w:r>
    </w:p>
    <w:p w14:paraId="60B81D0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（十一）委員</w:t>
      </w:r>
      <w:proofErr w:type="gramStart"/>
      <w:r w:rsidRPr="001B6E4D">
        <w:rPr>
          <w:rFonts w:ascii="標楷體" w:eastAsia="標楷體" w:hAnsi="標楷體" w:hint="eastAsia"/>
          <w:sz w:val="28"/>
          <w:szCs w:val="28"/>
        </w:rPr>
        <w:t>陳亭妃等</w:t>
      </w:r>
      <w:proofErr w:type="gramEnd"/>
      <w:r w:rsidRPr="001B6E4D">
        <w:rPr>
          <w:rFonts w:ascii="標楷體" w:eastAsia="標楷體" w:hAnsi="標楷體" w:hint="eastAsia"/>
          <w:sz w:val="28"/>
          <w:szCs w:val="28"/>
        </w:rPr>
        <w:t>16人擬具「中華民國刑法第一百八十五條之三條文修正草案」案。</w:t>
      </w:r>
    </w:p>
    <w:p w14:paraId="123F391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（十二）委員黃秀芳等20人擬具「中華民國刑法第一百八十五條之三條文修正草案」案。</w:t>
      </w:r>
    </w:p>
    <w:p w14:paraId="1E7DF82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（十三）委員賴瑞隆等16人擬具「中華民國刑法第一百八十五條之三條文修正草案」案。</w:t>
      </w:r>
    </w:p>
    <w:p w14:paraId="61A4DC7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（十四）委員林思銘等21人擬具「中華民國刑法第一百八十五條之三條文修正草案」案。</w:t>
      </w:r>
    </w:p>
    <w:p w14:paraId="0CAB5A5D"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（十五）委員傅崐萁等</w:t>
      </w:r>
      <w:r w:rsidRPr="001B6E4D">
        <w:rPr>
          <w:rFonts w:ascii="標楷體" w:eastAsia="標楷體" w:hAnsi="標楷體"/>
          <w:sz w:val="28"/>
          <w:szCs w:val="28"/>
        </w:rPr>
        <w:t>17</w:t>
      </w:r>
      <w:r w:rsidRPr="001B6E4D">
        <w:rPr>
          <w:rFonts w:ascii="標楷體" w:eastAsia="標楷體" w:hAnsi="標楷體" w:hint="eastAsia"/>
          <w:sz w:val="28"/>
          <w:szCs w:val="28"/>
        </w:rPr>
        <w:t>人擬具「中華民國刑法第一百八十五條之三及第一百八十五條之五條文修正草案」案。</w:t>
      </w:r>
    </w:p>
    <w:p w14:paraId="24B6690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（十六）委員陳菁徽等22人擬具「中華民國刑法第一百八十五條之三條文修正草案」案。</w:t>
      </w:r>
    </w:p>
    <w:p w14:paraId="04E89AE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（十七）委員張智倫等16人擬具「中華民國刑法第一百八十五條之三條文修正草案」案。</w:t>
      </w:r>
    </w:p>
    <w:p w14:paraId="6A8A289D"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（十八）委員徐巧芯等17人擬具「中華民國刑法第一百八十五條之三條文修正草案」案。</w:t>
      </w:r>
    </w:p>
    <w:p w14:paraId="5144F37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（十九）委員邱鎮軍等20人擬具「中華民國刑法第一百八十五條之三、第一百八十五條之四及第一百八十五條之五條文修正草案」案。</w:t>
      </w:r>
    </w:p>
    <w:p w14:paraId="5D3BF8C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（二十）台灣民眾黨黨團擬具「中華民國刑法第一百八十五條之三條文修正草案」案。</w:t>
      </w:r>
    </w:p>
    <w:p w14:paraId="60C5175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（二十一）委員洪孟楷等21人擬具「中華民國刑法第一百八十五條之三條文修正草案」案。</w:t>
      </w:r>
    </w:p>
    <w:p w14:paraId="041CF49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（二十二）委員葉元之等18人擬具「中華民國刑法第一百八十五條之三條文修正草案」案。</w:t>
      </w:r>
    </w:p>
    <w:p w14:paraId="65DF2C9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（二十三）委員王義川等17人擬具「中華民國刑法第一百八十五條之三條文修正草案」案。</w:t>
      </w:r>
    </w:p>
    <w:p w14:paraId="3DBEE63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（二十四）委員賴士葆等25人擬具「中華民國刑法第一百八十五條之三條文修正草案」案。</w:t>
      </w:r>
    </w:p>
    <w:p w14:paraId="5F919BE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（二十五）委員</w:t>
      </w:r>
      <w:proofErr w:type="gramStart"/>
      <w:r w:rsidRPr="001B6E4D">
        <w:rPr>
          <w:rFonts w:ascii="標楷體" w:eastAsia="標楷體" w:hAnsi="標楷體" w:hint="eastAsia"/>
          <w:sz w:val="28"/>
          <w:szCs w:val="28"/>
        </w:rPr>
        <w:t>涂權吉</w:t>
      </w:r>
      <w:proofErr w:type="gramEnd"/>
      <w:r w:rsidRPr="001B6E4D">
        <w:rPr>
          <w:rFonts w:ascii="標楷體" w:eastAsia="標楷體" w:hAnsi="標楷體" w:hint="eastAsia"/>
          <w:sz w:val="28"/>
          <w:szCs w:val="28"/>
        </w:rPr>
        <w:t>等19人擬具「中華民國刑法第一百八十五條之三及第一百八十五條之五條文修正草案」案。</w:t>
      </w:r>
    </w:p>
    <w:p w14:paraId="7016A5F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（二十六）委員楊瓊瓔等31人擬具「中華民國刑法第一百八十五條之三條文修正草案」案。</w:t>
      </w:r>
    </w:p>
    <w:p w14:paraId="2FE8CAC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（二十七）委員魯明哲等16人擬具「中華民國刑法第一百八十五條之三條文修正草案」案。</w:t>
      </w:r>
    </w:p>
    <w:p w14:paraId="10B8A91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（二十八）委員張嘉郡等21人擬具「中華民國刑法第一百八十五條之三條文修正草案」案。</w:t>
      </w:r>
    </w:p>
    <w:p w14:paraId="173B749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（二十九）委員王育敏等19人擬具「中華民國刑法第一百八十五條之三條文修正草案」案。</w:t>
      </w:r>
    </w:p>
    <w:p w14:paraId="5EF4257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（三十）委員黃健豪等17人擬具「中華民國刑法第一百八十五條之三條文修正草案」案。</w:t>
      </w:r>
    </w:p>
    <w:p w14:paraId="574DF59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（三十一）委員王美惠等17人擬具「中華民國刑法第一百八十五條之三條文修正草案」案。</w:t>
      </w:r>
    </w:p>
    <w:p w14:paraId="64D34D8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（三十二）委員陳素月等17人擬具「中華民國刑法第一百八十五條之三條文修正草案」案。</w:t>
      </w:r>
    </w:p>
    <w:p w14:paraId="19527D0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（三十三）委員林淑芬等26人擬具「中華民國刑法第一百八十五條之三條文修正草案」案。</w:t>
      </w:r>
    </w:p>
    <w:p w14:paraId="0C9248FD"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（三十四）委員李坤城等19人擬具「中華民國刑法第一百八十五條之三條文修正草案」案。</w:t>
      </w:r>
    </w:p>
    <w:p w14:paraId="6306B92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（三十五）委員</w:t>
      </w:r>
      <w:proofErr w:type="gramStart"/>
      <w:r w:rsidRPr="001B6E4D">
        <w:rPr>
          <w:rFonts w:ascii="標楷體" w:eastAsia="標楷體" w:hAnsi="標楷體" w:hint="eastAsia"/>
          <w:sz w:val="28"/>
          <w:szCs w:val="28"/>
        </w:rPr>
        <w:t>盧</w:t>
      </w:r>
      <w:proofErr w:type="gramEnd"/>
      <w:r w:rsidRPr="001B6E4D">
        <w:rPr>
          <w:rFonts w:ascii="標楷體" w:eastAsia="標楷體" w:hAnsi="標楷體" w:hint="eastAsia"/>
          <w:sz w:val="28"/>
          <w:szCs w:val="28"/>
        </w:rPr>
        <w:t>縣一等16人擬具「中華民國刑法第一百八十五條之三及第一百八十五條之五條文修正草案」案。</w:t>
      </w:r>
    </w:p>
    <w:p w14:paraId="13FAADB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（三十六）委員謝龍介等16人擬具「中華民國刑法第一百八十五條之三條文修正草案」案。</w:t>
      </w:r>
    </w:p>
    <w:p w14:paraId="12E7326E"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（三十七）委員羅智強等18人擬具「中華民國刑法第一百八十五條之三條文修正草案」案。</w:t>
      </w:r>
    </w:p>
    <w:p w14:paraId="4A865D7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（三十八）委員翁曉玲等18人擬具「中華民國刑法第一百八十五條之三條文修正草案」案。</w:t>
      </w:r>
    </w:p>
    <w:p w14:paraId="1FBD286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（三十九）委員李彥秀等18人擬具「中華民國刑法第一百八十五條之三條文修正草案」案。</w:t>
      </w:r>
    </w:p>
    <w:p w14:paraId="36C2CBE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（四十）委員許宇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等23人擬具「中華民國刑法第一百八十五條之三條文修正草案」案。</w:t>
      </w:r>
    </w:p>
    <w:p w14:paraId="6A1565B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（四十一）委員萬美玲等17人擬具「中華民國刑法第一百八十五條之三條文修正草案」案。</w:t>
      </w:r>
    </w:p>
    <w:p w14:paraId="51ECD10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（四十二）委員</w:t>
      </w:r>
      <w:proofErr w:type="gramStart"/>
      <w:r w:rsidRPr="001B6E4D">
        <w:rPr>
          <w:rFonts w:ascii="標楷體" w:eastAsia="標楷體" w:hAnsi="標楷體" w:hint="eastAsia"/>
          <w:sz w:val="28"/>
          <w:szCs w:val="28"/>
        </w:rPr>
        <w:t>林楚茵等</w:t>
      </w:r>
      <w:proofErr w:type="gramEnd"/>
      <w:r w:rsidRPr="001B6E4D">
        <w:rPr>
          <w:rFonts w:ascii="標楷體" w:eastAsia="標楷體" w:hAnsi="標楷體" w:hint="eastAsia"/>
          <w:sz w:val="28"/>
          <w:szCs w:val="28"/>
        </w:rPr>
        <w:t>17人擬具「中華民國刑法第一百八十五條之三條文修正草案」案。</w:t>
      </w:r>
    </w:p>
    <w:p w14:paraId="051D1EA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（四十三）委員羅美玲等16人擬具「中華民國刑法第一百八十五條之三條文修正草案」案。</w:t>
      </w:r>
    </w:p>
    <w:p w14:paraId="492D4C8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（四十四）委員陳培瑜等18人擬具「中華民國刑法第一百八十五條之三條文修正草案」案。</w:t>
      </w:r>
    </w:p>
    <w:p w14:paraId="69DD8D7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（四十五）委員張宏陸等21人擬具「中華民國刑法第一百八十五條之三及第一百八十五條之五條文修正草案」案。</w:t>
      </w:r>
    </w:p>
    <w:p w14:paraId="7387FCF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（四十六）委員李柏毅等16人擬具「中華民國刑法第一百八十五條之三條文修正草案」案。</w:t>
      </w:r>
    </w:p>
    <w:p w14:paraId="42FFA20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（四十七）委員廖偉翔等16人擬具「中華民國刑法第一百八十五條之三條文修正草案」案。</w:t>
      </w:r>
    </w:p>
    <w:p w14:paraId="63F8101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（四十八）委員伍麗華</w:t>
      </w:r>
      <w:proofErr w:type="spellStart"/>
      <w:r w:rsidRPr="001B6E4D">
        <w:rPr>
          <w:rFonts w:ascii="標楷體" w:eastAsia="標楷體" w:hAnsi="標楷體" w:hint="eastAsia"/>
          <w:sz w:val="28"/>
          <w:szCs w:val="28"/>
        </w:rPr>
        <w:t>Saidhai</w:t>
      </w:r>
      <w:proofErr w:type="spellEnd"/>
      <w:proofErr w:type="gramStart"/>
      <w:r w:rsidRPr="001B6E4D">
        <w:rPr>
          <w:rFonts w:ascii="標楷體" w:eastAsia="標楷體" w:hAnsi="標楷體" w:hint="eastAsia"/>
          <w:sz w:val="28"/>
          <w:szCs w:val="28"/>
        </w:rPr>
        <w:t>‧</w:t>
      </w:r>
      <w:proofErr w:type="spellStart"/>
      <w:proofErr w:type="gramEnd"/>
      <w:r w:rsidRPr="001B6E4D">
        <w:rPr>
          <w:rFonts w:ascii="標楷體" w:eastAsia="標楷體" w:hAnsi="標楷體" w:hint="eastAsia"/>
          <w:sz w:val="28"/>
          <w:szCs w:val="28"/>
        </w:rPr>
        <w:t>Tahovecahe</w:t>
      </w:r>
      <w:proofErr w:type="spellEnd"/>
      <w:r w:rsidRPr="001B6E4D">
        <w:rPr>
          <w:rFonts w:ascii="標楷體" w:eastAsia="標楷體" w:hAnsi="標楷體" w:hint="eastAsia"/>
          <w:sz w:val="28"/>
          <w:szCs w:val="28"/>
        </w:rPr>
        <w:t>等18人擬具「中華民國刑法第一百八十五條之三條文修正草案」案。</w:t>
      </w:r>
    </w:p>
    <w:p w14:paraId="3E8EB7A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（四十九）委員蔡易餘等16人擬具「中華民國刑法第一百八十五條之三條文修正草案」案。</w:t>
      </w:r>
    </w:p>
    <w:p w14:paraId="04290F7D"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（五十）委員徐富</w:t>
      </w:r>
      <w:proofErr w:type="gramStart"/>
      <w:r w:rsidRPr="001B6E4D">
        <w:rPr>
          <w:rFonts w:ascii="標楷體" w:eastAsia="標楷體" w:hAnsi="標楷體" w:hint="eastAsia"/>
          <w:sz w:val="28"/>
          <w:szCs w:val="28"/>
        </w:rPr>
        <w:t>癸</w:t>
      </w:r>
      <w:proofErr w:type="gramEnd"/>
      <w:r w:rsidRPr="001B6E4D">
        <w:rPr>
          <w:rFonts w:ascii="標楷體" w:eastAsia="標楷體" w:hAnsi="標楷體" w:hint="eastAsia"/>
          <w:sz w:val="28"/>
          <w:szCs w:val="28"/>
        </w:rPr>
        <w:t>等17人擬具「中華民國刑法第一百八十五條之三條文修正草案」案。</w:t>
      </w:r>
    </w:p>
    <w:p w14:paraId="3643E54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（五十一）委員何欣純等19人擬具「中華民國刑法第一百八十五條之三條文修正草案」案。</w:t>
      </w:r>
    </w:p>
    <w:p w14:paraId="65BEED51"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（五十二）委員林宜瑾等23人擬具「中華民國刑法第一百八十五條之三條文修正草案」案。</w:t>
      </w:r>
    </w:p>
    <w:p w14:paraId="68A31C2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（五十三）委員羅廷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等17人擬具「中華民國刑法第一百八十五條之三條文修正草案」案。</w:t>
      </w:r>
    </w:p>
    <w:p w14:paraId="547D162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（五十四）委員劉建國等19人擬具「中華民國刑法第一百八十五條之三條文修正草案」案。</w:t>
      </w:r>
    </w:p>
    <w:p w14:paraId="5DC7E9A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（五十五）委員賴惠員等17人擬具「中華民國刑法第一百八十五條之三條文修正草案」案。</w:t>
      </w:r>
    </w:p>
    <w:p w14:paraId="595A8AF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kern w:val="0"/>
          <w:sz w:val="28"/>
          <w:szCs w:val="28"/>
        </w:rPr>
      </w:pPr>
      <w:r w:rsidRPr="001B6E4D">
        <w:rPr>
          <w:rFonts w:ascii="標楷體" w:eastAsia="標楷體" w:hAnsi="標楷體" w:hint="eastAsia"/>
          <w:sz w:val="28"/>
          <w:szCs w:val="28"/>
        </w:rPr>
        <w:t>（五十六）委員郭昱晴等16人擬具「中華民國刑法第一百八十五條之三條文修正草案」案。</w:t>
      </w:r>
    </w:p>
    <w:p w14:paraId="01914E5E"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日會議有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陳昭姿、翁曉玲、林沛祥、林倩綺、張雅琳、沈發惠、</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雲、莊瑞雄、許宇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、李坤城、楊瓊瓔</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；委員蔡其昌、吳宗憲、傅崐萁、柯志恩提出書面質詢。</w:t>
      </w:r>
      <w:r w:rsidRPr="001B6E4D">
        <w:rPr>
          <w:rFonts w:ascii="標楷體" w:eastAsia="標楷體" w:hAnsi="標楷體"/>
          <w:sz w:val="28"/>
          <w:szCs w:val="28"/>
        </w:rPr>
        <w:t>）</w:t>
      </w:r>
    </w:p>
    <w:p w14:paraId="3E782791" w14:textId="77777777" w:rsidR="00894241" w:rsidRPr="001B6E4D" w:rsidRDefault="00894241"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2292C117"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w:t>
      </w: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答完畢，逕行逐條審查。</w:t>
      </w:r>
    </w:p>
    <w:p w14:paraId="7306655F"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二、第一百八十五條之</w:t>
      </w:r>
      <w:proofErr w:type="gramStart"/>
      <w:r w:rsidRPr="001B6E4D">
        <w:rPr>
          <w:rFonts w:ascii="標楷體" w:eastAsia="標楷體" w:hAnsi="標楷體" w:hint="eastAsia"/>
          <w:sz w:val="28"/>
          <w:szCs w:val="28"/>
        </w:rPr>
        <w:t>三</w:t>
      </w:r>
      <w:proofErr w:type="gramEnd"/>
      <w:r w:rsidRPr="001B6E4D">
        <w:rPr>
          <w:rFonts w:ascii="標楷體" w:eastAsia="標楷體" w:hAnsi="標楷體" w:hint="eastAsia"/>
          <w:sz w:val="28"/>
          <w:szCs w:val="28"/>
        </w:rPr>
        <w:t>，保留，送院會處理。</w:t>
      </w:r>
    </w:p>
    <w:p w14:paraId="576BDB6E" w14:textId="77777777" w:rsidR="00894241" w:rsidRPr="001B6E4D" w:rsidRDefault="00894241" w:rsidP="003D1018">
      <w:pPr>
        <w:widowControl w:val="0"/>
        <w:overflowPunct w:val="0"/>
        <w:spacing w:line="380" w:lineRule="exact"/>
        <w:ind w:left="572" w:hanging="561"/>
        <w:contextualSpacing/>
        <w:jc w:val="both"/>
        <w:rPr>
          <w:rFonts w:ascii="標楷體" w:eastAsia="標楷體" w:hAnsi="標楷體"/>
          <w:sz w:val="28"/>
          <w:szCs w:val="28"/>
        </w:rPr>
      </w:pPr>
      <w:r w:rsidRPr="001B6E4D">
        <w:rPr>
          <w:rFonts w:ascii="標楷體" w:eastAsia="標楷體" w:hAnsi="標楷體" w:hint="eastAsia"/>
          <w:sz w:val="28"/>
          <w:szCs w:val="28"/>
        </w:rPr>
        <w:lastRenderedPageBreak/>
        <w:t>三、第一百八十五條之四，不予修正</w:t>
      </w:r>
      <w:r w:rsidRPr="001B6E4D">
        <w:rPr>
          <w:rFonts w:ascii="標楷體" w:eastAsia="標楷體" w:hAnsi="標楷體" w:hint="eastAsia"/>
          <w:color w:val="000000"/>
          <w:sz w:val="28"/>
          <w:szCs w:val="28"/>
          <w:shd w:val="clear" w:color="auto" w:fill="FFFFFF"/>
        </w:rPr>
        <w:t>，維持現行條文。</w:t>
      </w:r>
    </w:p>
    <w:p w14:paraId="5FCDF6C8" w14:textId="77777777" w:rsidR="00894241" w:rsidRPr="001B6E4D" w:rsidRDefault="00894241" w:rsidP="003D1018">
      <w:pPr>
        <w:widowControl w:val="0"/>
        <w:overflowPunct w:val="0"/>
        <w:spacing w:line="380" w:lineRule="exact"/>
        <w:ind w:left="572" w:hanging="561"/>
        <w:contextualSpacing/>
        <w:jc w:val="both"/>
        <w:rPr>
          <w:rFonts w:ascii="標楷體" w:eastAsia="標楷體" w:hAnsi="標楷體"/>
          <w:sz w:val="28"/>
          <w:szCs w:val="28"/>
        </w:rPr>
      </w:pPr>
      <w:r w:rsidRPr="001B6E4D">
        <w:rPr>
          <w:rFonts w:ascii="標楷體" w:eastAsia="標楷體" w:hAnsi="標楷體" w:hint="eastAsia"/>
          <w:sz w:val="28"/>
          <w:szCs w:val="28"/>
        </w:rPr>
        <w:t>四、增訂第一百八十五條之五，不予增訂</w:t>
      </w:r>
      <w:r w:rsidRPr="001B6E4D">
        <w:rPr>
          <w:rFonts w:ascii="標楷體" w:eastAsia="標楷體" w:hAnsi="標楷體" w:hint="eastAsia"/>
          <w:color w:val="000000"/>
          <w:sz w:val="28"/>
          <w:szCs w:val="28"/>
          <w:shd w:val="clear" w:color="auto" w:fill="FFFFFF"/>
        </w:rPr>
        <w:t>。</w:t>
      </w:r>
    </w:p>
    <w:p w14:paraId="7B813F1A"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五、本案審查完竣，擬具審查報告，提請院會公決；須交由黨團協商；院會討論時，由翁召集委員曉玲出席說明。</w:t>
      </w:r>
    </w:p>
    <w:p w14:paraId="285ED097"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六、條次、引述條文部分文字及法制用字用語，授權主席及議事人員整理。</w:t>
      </w:r>
    </w:p>
    <w:p w14:paraId="58750C57"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七、</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1D675D7E" w14:textId="77777777" w:rsidR="00894241" w:rsidRPr="001B6E4D" w:rsidRDefault="00894241" w:rsidP="003D1018">
      <w:pPr>
        <w:widowControl w:val="0"/>
        <w:overflowPunct w:val="0"/>
        <w:adjustRightInd w:val="0"/>
        <w:snapToGrid w:val="0"/>
        <w:spacing w:beforeLines="50" w:before="180" w:line="360" w:lineRule="exact"/>
        <w:ind w:left="959" w:hangingChars="342" w:hanging="959"/>
        <w:jc w:val="both"/>
        <w:rPr>
          <w:rFonts w:ascii="標楷體" w:eastAsia="標楷體" w:hAnsi="標楷體"/>
          <w:b/>
          <w:kern w:val="0"/>
          <w:sz w:val="28"/>
          <w:szCs w:val="28"/>
        </w:rPr>
      </w:pPr>
      <w:r w:rsidRPr="001B6E4D">
        <w:rPr>
          <w:rFonts w:ascii="標楷體" w:eastAsia="標楷體" w:hAnsi="標楷體" w:hint="eastAsia"/>
          <w:b/>
          <w:kern w:val="0"/>
          <w:sz w:val="28"/>
          <w:szCs w:val="28"/>
        </w:rPr>
        <w:t>7月23日（星期四）</w:t>
      </w:r>
    </w:p>
    <w:p w14:paraId="217A763A" w14:textId="77777777" w:rsidR="00894241" w:rsidRPr="001B6E4D" w:rsidRDefault="00894241"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lang w:val="x-none" w:eastAsia="x-none"/>
        </w:rPr>
      </w:pPr>
      <w:r w:rsidRPr="001B6E4D">
        <w:rPr>
          <w:rFonts w:ascii="標楷體" w:eastAsia="標楷體" w:hAnsi="標楷體" w:hint="eastAsia"/>
          <w:b/>
          <w:kern w:val="0"/>
          <w:sz w:val="28"/>
          <w:szCs w:val="28"/>
          <w:lang w:val="x-none"/>
        </w:rPr>
        <w:t>報告</w:t>
      </w:r>
      <w:r w:rsidRPr="001B6E4D">
        <w:rPr>
          <w:rFonts w:ascii="標楷體" w:eastAsia="標楷體" w:hAnsi="標楷體"/>
          <w:b/>
          <w:kern w:val="0"/>
          <w:sz w:val="28"/>
          <w:szCs w:val="28"/>
          <w:lang w:val="x-none"/>
        </w:rPr>
        <w:t>事項</w:t>
      </w:r>
    </w:p>
    <w:p w14:paraId="72166589" w14:textId="77777777" w:rsidR="00894241" w:rsidRPr="001B6E4D" w:rsidRDefault="00894241" w:rsidP="003D1018">
      <w:pPr>
        <w:widowControl w:val="0"/>
        <w:overflowPunct w:val="0"/>
        <w:adjustRightInd w:val="0"/>
        <w:snapToGrid w:val="0"/>
        <w:spacing w:line="360" w:lineRule="exact"/>
        <w:ind w:leftChars="-1" w:left="558" w:hangingChars="200" w:hanging="560"/>
        <w:jc w:val="both"/>
        <w:rPr>
          <w:rFonts w:ascii="標楷體" w:eastAsia="標楷體" w:hAnsi="標楷體"/>
          <w:kern w:val="0"/>
          <w:sz w:val="28"/>
          <w:szCs w:val="28"/>
        </w:rPr>
      </w:pPr>
      <w:r w:rsidRPr="001B6E4D">
        <w:rPr>
          <w:rFonts w:ascii="標楷體" w:eastAsia="標楷體" w:hAnsi="標楷體" w:hint="eastAsia"/>
          <w:kern w:val="0"/>
          <w:sz w:val="28"/>
          <w:szCs w:val="28"/>
        </w:rPr>
        <w:t>一、邀請法務部部長、衛生福利部部長、司法院、行政院消費者保護處、衛生福利部食品藥物管理署就「中聯致癌油事件之偵辦調查、消費者權益及食安監管」進行專題報告，並備質詢。</w:t>
      </w:r>
    </w:p>
    <w:p w14:paraId="60422A22" w14:textId="77777777" w:rsidR="00894241" w:rsidRPr="001B6E4D" w:rsidRDefault="00894241" w:rsidP="003D1018">
      <w:pPr>
        <w:widowControl w:val="0"/>
        <w:overflowPunct w:val="0"/>
        <w:adjustRightInd w:val="0"/>
        <w:snapToGrid w:val="0"/>
        <w:spacing w:line="360" w:lineRule="exact"/>
        <w:ind w:leftChars="-1" w:left="558" w:hangingChars="200" w:hanging="560"/>
        <w:jc w:val="both"/>
        <w:rPr>
          <w:rFonts w:ascii="標楷體" w:eastAsia="標楷體" w:hAnsi="標楷體"/>
          <w:kern w:val="0"/>
          <w:sz w:val="28"/>
          <w:szCs w:val="28"/>
        </w:rPr>
      </w:pPr>
      <w:r w:rsidRPr="001B6E4D">
        <w:rPr>
          <w:rFonts w:ascii="標楷體" w:eastAsia="標楷體" w:hAnsi="標楷體" w:hint="eastAsia"/>
          <w:kern w:val="0"/>
          <w:sz w:val="28"/>
          <w:szCs w:val="28"/>
        </w:rPr>
        <w:t>二、邀請監察院秘書長、法務部部長、經濟部部長、國家發展委員會主任委員、銓敘部部長就「現行公職人員利益衝突迴避暨離職公務員旋轉門機制之執行成效與法制缺失」進行專題報告，並備質詢。</w:t>
      </w:r>
    </w:p>
    <w:p w14:paraId="655753CF" w14:textId="77777777" w:rsidR="00894241" w:rsidRPr="001B6E4D" w:rsidRDefault="00894241"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日會議有</w:t>
      </w:r>
      <w:r w:rsidRPr="001B6E4D">
        <w:rPr>
          <w:rFonts w:ascii="標楷體" w:eastAsia="標楷體" w:hAnsi="標楷體"/>
          <w:sz w:val="28"/>
          <w:szCs w:val="28"/>
        </w:rPr>
        <w:t>委員</w:t>
      </w:r>
      <w:r w:rsidRPr="001B6E4D">
        <w:rPr>
          <w:rFonts w:ascii="標楷體" w:eastAsia="標楷體" w:hAnsi="標楷體" w:hint="eastAsia"/>
          <w:sz w:val="28"/>
          <w:szCs w:val="28"/>
        </w:rPr>
        <w:t>吳宗憲、陳昭姿、翁曉玲、張雅琳、林倩綺、莊瑞雄、</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、洪毓祥、賴士葆、洪孟楷、劉書彬</w:t>
      </w:r>
      <w:r w:rsidRPr="001B6E4D">
        <w:rPr>
          <w:rFonts w:ascii="標楷體" w:eastAsia="標楷體" w:hAnsi="標楷體"/>
          <w:sz w:val="28"/>
          <w:szCs w:val="28"/>
        </w:rPr>
        <w:t>提出質詢</w:t>
      </w:r>
      <w:r w:rsidRPr="001B6E4D">
        <w:rPr>
          <w:rFonts w:ascii="標楷體" w:eastAsia="標楷體" w:hAnsi="標楷體" w:hint="eastAsia"/>
          <w:sz w:val="28"/>
          <w:szCs w:val="28"/>
        </w:rPr>
        <w:t>；委員林沛祥、沈發惠、蔡其昌、洪毓祥、蔡春綢、傅崐萁、徐欣瑩提出書面質詢。</w:t>
      </w:r>
      <w:r w:rsidRPr="001B6E4D">
        <w:rPr>
          <w:rFonts w:ascii="標楷體" w:eastAsia="標楷體" w:hAnsi="標楷體"/>
          <w:sz w:val="28"/>
          <w:szCs w:val="28"/>
        </w:rPr>
        <w:t>）</w:t>
      </w:r>
    </w:p>
    <w:p w14:paraId="623716E5" w14:textId="77777777" w:rsidR="00894241" w:rsidRPr="001B6E4D" w:rsidRDefault="00894241" w:rsidP="003D1018">
      <w:pPr>
        <w:widowControl w:val="0"/>
        <w:overflowPunct w:val="0"/>
        <w:spacing w:line="34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定</w:t>
      </w:r>
      <w:r w:rsidRPr="001B6E4D">
        <w:rPr>
          <w:rFonts w:ascii="標楷體" w:eastAsia="標楷體" w:hAnsi="標楷體"/>
          <w:bCs/>
          <w:sz w:val="28"/>
          <w:szCs w:val="28"/>
        </w:rPr>
        <w:t>：</w:t>
      </w:r>
    </w:p>
    <w:p w14:paraId="76764234" w14:textId="77777777" w:rsidR="00894241" w:rsidRPr="001B6E4D" w:rsidRDefault="00894241" w:rsidP="003D1018">
      <w:pPr>
        <w:overflowPunct w:val="0"/>
        <w:spacing w:line="34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一、報告及</w:t>
      </w:r>
      <w:proofErr w:type="gramStart"/>
      <w:r w:rsidRPr="001B6E4D">
        <w:rPr>
          <w:rFonts w:ascii="標楷體" w:eastAsia="標楷體" w:hAnsi="標楷體"/>
          <w:sz w:val="28"/>
          <w:szCs w:val="28"/>
        </w:rPr>
        <w:t>詢</w:t>
      </w:r>
      <w:proofErr w:type="gramEnd"/>
      <w:r w:rsidRPr="001B6E4D">
        <w:rPr>
          <w:rFonts w:ascii="標楷體" w:eastAsia="標楷體" w:hAnsi="標楷體"/>
          <w:sz w:val="28"/>
          <w:szCs w:val="28"/>
        </w:rPr>
        <w:t>答完畢。</w:t>
      </w:r>
    </w:p>
    <w:p w14:paraId="31D6BE20" w14:textId="77777777" w:rsidR="00894241" w:rsidRPr="001B6E4D" w:rsidRDefault="00894241" w:rsidP="003D1018">
      <w:pPr>
        <w:overflowPunct w:val="0"/>
        <w:spacing w:line="34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1648A792" w14:textId="77777777" w:rsidR="00894241" w:rsidRPr="001B6E4D" w:rsidRDefault="00894241" w:rsidP="003D1018">
      <w:pPr>
        <w:widowControl w:val="0"/>
        <w:overflowPunct w:val="0"/>
        <w:adjustRightInd w:val="0"/>
        <w:snapToGrid w:val="0"/>
        <w:spacing w:beforeLines="20" w:before="72" w:line="360" w:lineRule="exact"/>
        <w:ind w:left="959" w:hangingChars="342" w:hanging="959"/>
        <w:jc w:val="both"/>
        <w:rPr>
          <w:rFonts w:ascii="標楷體" w:eastAsia="標楷體" w:hAnsi="標楷體"/>
          <w:b/>
          <w:kern w:val="0"/>
          <w:sz w:val="28"/>
          <w:szCs w:val="28"/>
          <w:lang w:val="x-none" w:eastAsia="x-none"/>
        </w:rPr>
      </w:pPr>
      <w:r w:rsidRPr="001B6E4D">
        <w:rPr>
          <w:rFonts w:ascii="標楷體" w:eastAsia="標楷體" w:hAnsi="標楷體" w:hint="eastAsia"/>
          <w:b/>
          <w:kern w:val="0"/>
          <w:sz w:val="28"/>
          <w:szCs w:val="28"/>
          <w:lang w:val="x-none"/>
        </w:rPr>
        <w:t>通過臨時提案</w:t>
      </w:r>
      <w:r w:rsidRPr="001B6E4D">
        <w:rPr>
          <w:rFonts w:ascii="標楷體" w:eastAsia="標楷體" w:hAnsi="標楷體"/>
          <w:b/>
          <w:kern w:val="0"/>
          <w:sz w:val="28"/>
          <w:szCs w:val="28"/>
          <w:lang w:val="x-none"/>
        </w:rPr>
        <w:t>1</w:t>
      </w:r>
      <w:r w:rsidRPr="001B6E4D">
        <w:rPr>
          <w:rFonts w:ascii="標楷體" w:eastAsia="標楷體" w:hAnsi="標楷體" w:hint="eastAsia"/>
          <w:b/>
          <w:kern w:val="0"/>
          <w:sz w:val="28"/>
          <w:szCs w:val="28"/>
          <w:lang w:val="x-none" w:eastAsia="x-none"/>
        </w:rPr>
        <w:t>項：</w:t>
      </w:r>
    </w:p>
    <w:p w14:paraId="7C514CA0" w14:textId="2B8D4299" w:rsidR="00894241" w:rsidRPr="001B6E4D" w:rsidRDefault="00894241" w:rsidP="003D1018">
      <w:pPr>
        <w:widowControl w:val="0"/>
        <w:kinsoku w:val="0"/>
        <w:overflowPunct w:val="0"/>
        <w:spacing w:line="360" w:lineRule="exact"/>
        <w:ind w:firstLineChars="200" w:firstLine="560"/>
        <w:contextualSpacing/>
        <w:jc w:val="both"/>
        <w:rPr>
          <w:rFonts w:ascii="標楷體" w:eastAsia="標楷體" w:hAnsi="標楷體" w:cs="Cordia New"/>
          <w:sz w:val="28"/>
          <w:szCs w:val="28"/>
          <w:lang w:bidi="th-TH"/>
        </w:rPr>
      </w:pPr>
      <w:r w:rsidRPr="001B6E4D">
        <w:rPr>
          <w:rFonts w:ascii="標楷體" w:eastAsia="標楷體" w:hAnsi="標楷體" w:cs="Cordia New" w:hint="eastAsia"/>
          <w:sz w:val="28"/>
          <w:szCs w:val="28"/>
          <w:lang w:bidi="th-TH"/>
        </w:rPr>
        <w:t>有</w:t>
      </w:r>
      <w:proofErr w:type="gramStart"/>
      <w:r w:rsidRPr="001B6E4D">
        <w:rPr>
          <w:rFonts w:ascii="標楷體" w:eastAsia="標楷體" w:hAnsi="標楷體" w:cs="Cordia New" w:hint="eastAsia"/>
          <w:sz w:val="28"/>
          <w:szCs w:val="28"/>
          <w:lang w:bidi="th-TH"/>
        </w:rPr>
        <w:t>鑑</w:t>
      </w:r>
      <w:proofErr w:type="gramEnd"/>
      <w:r w:rsidRPr="001B6E4D">
        <w:rPr>
          <w:rFonts w:ascii="標楷體" w:eastAsia="標楷體" w:hAnsi="標楷體" w:cs="Cordia New" w:hint="eastAsia"/>
          <w:sz w:val="28"/>
          <w:szCs w:val="28"/>
          <w:lang w:bidi="th-TH"/>
        </w:rPr>
        <w:t>於立法院司法及法制委員會排定專題報告，邀請監察院、國家發展委員會、經濟部等機關，就國發基金及政府補助不當</w:t>
      </w:r>
      <w:proofErr w:type="gramStart"/>
      <w:r w:rsidRPr="001B6E4D">
        <w:rPr>
          <w:rFonts w:ascii="標楷體" w:eastAsia="標楷體" w:hAnsi="標楷體" w:cs="Cordia New" w:hint="eastAsia"/>
          <w:sz w:val="28"/>
          <w:szCs w:val="28"/>
          <w:lang w:bidi="th-TH"/>
        </w:rPr>
        <w:t>挹</w:t>
      </w:r>
      <w:proofErr w:type="gramEnd"/>
      <w:r w:rsidRPr="001B6E4D">
        <w:rPr>
          <w:rFonts w:ascii="標楷體" w:eastAsia="標楷體" w:hAnsi="標楷體" w:cs="Cordia New" w:hint="eastAsia"/>
          <w:sz w:val="28"/>
          <w:szCs w:val="28"/>
          <w:lang w:bidi="th-TH"/>
        </w:rPr>
        <w:t>注蘇巧純相關公司之爭議，提出報告與檢討；</w:t>
      </w:r>
      <w:proofErr w:type="gramStart"/>
      <w:r w:rsidRPr="001B6E4D">
        <w:rPr>
          <w:rFonts w:ascii="標楷體" w:eastAsia="標楷體" w:hAnsi="標楷體" w:cs="Cordia New" w:hint="eastAsia"/>
          <w:sz w:val="28"/>
          <w:szCs w:val="28"/>
          <w:lang w:bidi="th-TH"/>
        </w:rPr>
        <w:t>惟</w:t>
      </w:r>
      <w:proofErr w:type="gramEnd"/>
      <w:r w:rsidRPr="001B6E4D">
        <w:rPr>
          <w:rFonts w:ascii="標楷體" w:eastAsia="標楷體" w:hAnsi="標楷體" w:cs="Cordia New" w:hint="eastAsia"/>
          <w:sz w:val="28"/>
          <w:szCs w:val="28"/>
          <w:lang w:bidi="th-TH"/>
        </w:rPr>
        <w:t>監察院竟未提出書面報告，亦未派員列席說明，公然規避國會監督。</w:t>
      </w:r>
      <w:proofErr w:type="gramStart"/>
      <w:r w:rsidRPr="001B6E4D">
        <w:rPr>
          <w:rFonts w:ascii="標楷體" w:eastAsia="標楷體" w:hAnsi="標楷體" w:cs="Cordia New" w:hint="eastAsia"/>
          <w:sz w:val="28"/>
          <w:szCs w:val="28"/>
          <w:lang w:bidi="th-TH"/>
        </w:rPr>
        <w:t>爰</w:t>
      </w:r>
      <w:proofErr w:type="gramEnd"/>
      <w:r w:rsidRPr="001B6E4D">
        <w:rPr>
          <w:rFonts w:ascii="標楷體" w:eastAsia="標楷體" w:hAnsi="標楷體" w:cs="Cordia New" w:hint="eastAsia"/>
          <w:sz w:val="28"/>
          <w:szCs w:val="28"/>
          <w:lang w:bidi="th-TH"/>
        </w:rPr>
        <w:t>建請本委員會</w:t>
      </w:r>
      <w:r w:rsidR="005F2BF4">
        <w:rPr>
          <w:rFonts w:ascii="標楷體" w:eastAsia="標楷體" w:hAnsi="標楷體" w:cs="Cordia New" w:hint="eastAsia"/>
          <w:sz w:val="28"/>
          <w:szCs w:val="28"/>
          <w:lang w:bidi="th-TH"/>
        </w:rPr>
        <w:t>作</w:t>
      </w:r>
      <w:r w:rsidRPr="001B6E4D">
        <w:rPr>
          <w:rFonts w:ascii="標楷體" w:eastAsia="標楷體" w:hAnsi="標楷體" w:cs="Cordia New" w:hint="eastAsia"/>
          <w:sz w:val="28"/>
          <w:szCs w:val="28"/>
          <w:lang w:bidi="th-TH"/>
        </w:rPr>
        <w:t>成以下決議嚴正譴責監察院藐視國會、怠忽職責之行為，並要求監察院限期提出完整書面報告及派員列席說明：</w:t>
      </w:r>
    </w:p>
    <w:p w14:paraId="55F585FE" w14:textId="77777777" w:rsidR="00894241" w:rsidRPr="001B6E4D" w:rsidRDefault="00894241" w:rsidP="003D1018">
      <w:pPr>
        <w:widowControl w:val="0"/>
        <w:overflowPunct w:val="0"/>
        <w:adjustRightInd w:val="0"/>
        <w:snapToGrid w:val="0"/>
        <w:spacing w:line="360" w:lineRule="exact"/>
        <w:ind w:leftChars="-1" w:left="558" w:hangingChars="200" w:hanging="560"/>
        <w:jc w:val="both"/>
        <w:rPr>
          <w:rFonts w:ascii="標楷體" w:eastAsia="標楷體" w:hAnsi="標楷體" w:cs="Cordia New"/>
          <w:kern w:val="0"/>
          <w:sz w:val="28"/>
          <w:szCs w:val="28"/>
          <w:lang w:bidi="th-TH"/>
        </w:rPr>
      </w:pPr>
      <w:r w:rsidRPr="001B6E4D">
        <w:rPr>
          <w:rFonts w:ascii="標楷體" w:eastAsia="標楷體" w:hAnsi="標楷體" w:cs="Cordia New" w:hint="eastAsia"/>
          <w:kern w:val="0"/>
          <w:sz w:val="28"/>
          <w:szCs w:val="28"/>
          <w:lang w:bidi="th-TH"/>
        </w:rPr>
        <w:t>一、本</w:t>
      </w:r>
      <w:r w:rsidRPr="001B6E4D">
        <w:rPr>
          <w:rFonts w:ascii="標楷體" w:eastAsia="標楷體" w:hAnsi="標楷體" w:hint="eastAsia"/>
          <w:kern w:val="0"/>
          <w:sz w:val="28"/>
          <w:szCs w:val="28"/>
        </w:rPr>
        <w:t>委員會</w:t>
      </w:r>
      <w:r w:rsidRPr="001B6E4D">
        <w:rPr>
          <w:rFonts w:ascii="標楷體" w:eastAsia="標楷體" w:hAnsi="標楷體" w:cs="Cordia New" w:hint="eastAsia"/>
          <w:kern w:val="0"/>
          <w:sz w:val="28"/>
          <w:szCs w:val="28"/>
          <w:lang w:bidi="th-TH"/>
        </w:rPr>
        <w:t>嚴正譴責監察院拒絕提出書面報告、未派員列席，以及規避國會監督之行為，並將本提案決議及監察院缺席情形列入委員會公報。</w:t>
      </w:r>
    </w:p>
    <w:p w14:paraId="47224275" w14:textId="77777777" w:rsidR="00894241" w:rsidRPr="001B6E4D" w:rsidRDefault="00894241" w:rsidP="003D1018">
      <w:pPr>
        <w:widowControl w:val="0"/>
        <w:overflowPunct w:val="0"/>
        <w:adjustRightInd w:val="0"/>
        <w:snapToGrid w:val="0"/>
        <w:spacing w:line="360" w:lineRule="exact"/>
        <w:ind w:leftChars="-1" w:left="558" w:hangingChars="200" w:hanging="560"/>
        <w:jc w:val="both"/>
        <w:rPr>
          <w:rFonts w:ascii="標楷體" w:eastAsia="標楷體" w:hAnsi="標楷體" w:cs="Cordia New"/>
          <w:kern w:val="0"/>
          <w:sz w:val="28"/>
          <w:szCs w:val="28"/>
          <w:lang w:bidi="th-TH"/>
        </w:rPr>
      </w:pPr>
      <w:r w:rsidRPr="001B6E4D">
        <w:rPr>
          <w:rFonts w:ascii="標楷體" w:eastAsia="標楷體" w:hAnsi="標楷體" w:cs="Cordia New" w:hint="eastAsia"/>
          <w:kern w:val="0"/>
          <w:sz w:val="28"/>
          <w:szCs w:val="28"/>
          <w:lang w:bidi="th-TH"/>
        </w:rPr>
        <w:t>二、要求監察院於本提案通過後2</w:t>
      </w:r>
      <w:proofErr w:type="gramStart"/>
      <w:r w:rsidRPr="001B6E4D">
        <w:rPr>
          <w:rFonts w:ascii="標楷體" w:eastAsia="標楷體" w:hAnsi="標楷體" w:cs="Cordia New" w:hint="eastAsia"/>
          <w:kern w:val="0"/>
          <w:sz w:val="28"/>
          <w:szCs w:val="28"/>
          <w:lang w:bidi="th-TH"/>
        </w:rPr>
        <w:t>週</w:t>
      </w:r>
      <w:proofErr w:type="gramEnd"/>
      <w:r w:rsidRPr="001B6E4D">
        <w:rPr>
          <w:rFonts w:ascii="標楷體" w:eastAsia="標楷體" w:hAnsi="標楷體" w:cs="Cordia New" w:hint="eastAsia"/>
          <w:kern w:val="0"/>
          <w:sz w:val="28"/>
          <w:szCs w:val="28"/>
          <w:lang w:bidi="th-TH"/>
        </w:rPr>
        <w:t>內，向立法院司法及法制委員會提出完整書面報告，說明下列事項：</w:t>
      </w:r>
    </w:p>
    <w:p w14:paraId="085C4C8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cs="Cordia New"/>
          <w:sz w:val="28"/>
          <w:szCs w:val="28"/>
          <w:lang w:bidi="th-TH"/>
        </w:rPr>
      </w:pPr>
      <w:r w:rsidRPr="001B6E4D">
        <w:rPr>
          <w:rFonts w:ascii="標楷體" w:eastAsia="標楷體" w:hAnsi="標楷體" w:cs="Cordia New" w:hint="eastAsia"/>
          <w:sz w:val="28"/>
          <w:szCs w:val="28"/>
          <w:lang w:bidi="th-TH"/>
        </w:rPr>
        <w:t>（一）是否受理或立案調查本案；如未立案，應具體說明理由及法律依據。</w:t>
      </w:r>
    </w:p>
    <w:p w14:paraId="57F0E8ED"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cs="Cordia New"/>
          <w:sz w:val="28"/>
          <w:szCs w:val="28"/>
          <w:lang w:bidi="th-TH"/>
        </w:rPr>
      </w:pPr>
      <w:r w:rsidRPr="001B6E4D">
        <w:rPr>
          <w:rFonts w:ascii="標楷體" w:eastAsia="標楷體" w:hAnsi="標楷體" w:cs="Cordia New" w:hint="eastAsia"/>
          <w:sz w:val="28"/>
          <w:szCs w:val="28"/>
          <w:lang w:bidi="th-TH"/>
        </w:rPr>
        <w:lastRenderedPageBreak/>
        <w:t>（二）曠世智能、</w:t>
      </w:r>
      <w:proofErr w:type="gramStart"/>
      <w:r w:rsidRPr="001B6E4D">
        <w:rPr>
          <w:rFonts w:ascii="標楷體" w:eastAsia="標楷體" w:hAnsi="標楷體" w:cs="Cordia New" w:hint="eastAsia"/>
          <w:sz w:val="28"/>
          <w:szCs w:val="28"/>
          <w:lang w:bidi="th-TH"/>
        </w:rPr>
        <w:t>威如科技</w:t>
      </w:r>
      <w:proofErr w:type="gramEnd"/>
      <w:r w:rsidRPr="001B6E4D">
        <w:rPr>
          <w:rFonts w:ascii="標楷體" w:eastAsia="標楷體" w:hAnsi="標楷體" w:cs="Cordia New" w:hint="eastAsia"/>
          <w:sz w:val="28"/>
          <w:szCs w:val="28"/>
          <w:lang w:bidi="th-TH"/>
        </w:rPr>
        <w:t>及相關公司取得國發基金投資與政府補助之調查情形。</w:t>
      </w:r>
    </w:p>
    <w:p w14:paraId="5024BF0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cs="Cordia New"/>
          <w:sz w:val="28"/>
          <w:szCs w:val="28"/>
          <w:lang w:bidi="th-TH"/>
        </w:rPr>
      </w:pPr>
      <w:r w:rsidRPr="001B6E4D">
        <w:rPr>
          <w:rFonts w:ascii="標楷體" w:eastAsia="標楷體" w:hAnsi="標楷體" w:cs="Cordia New" w:hint="eastAsia"/>
          <w:sz w:val="28"/>
          <w:szCs w:val="28"/>
          <w:lang w:bidi="th-TH"/>
        </w:rPr>
        <w:t>（三）相關人員是否涉及違反《公職人員利益衝突迴避法》或其他法令。</w:t>
      </w:r>
    </w:p>
    <w:p w14:paraId="2CC1AE89"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cs="Cordia New"/>
          <w:sz w:val="28"/>
          <w:szCs w:val="28"/>
          <w:lang w:bidi="th-TH"/>
        </w:rPr>
      </w:pPr>
      <w:r w:rsidRPr="001B6E4D">
        <w:rPr>
          <w:rFonts w:ascii="標楷體" w:eastAsia="標楷體" w:hAnsi="標楷體" w:cs="Cordia New" w:hint="eastAsia"/>
          <w:sz w:val="28"/>
          <w:szCs w:val="28"/>
          <w:lang w:bidi="th-TH"/>
        </w:rPr>
        <w:t>（四）案件目前辦理進度、預定完成期限及後續究責措施。</w:t>
      </w:r>
    </w:p>
    <w:p w14:paraId="1D5197B0" w14:textId="77777777" w:rsidR="00894241" w:rsidRPr="001B6E4D" w:rsidRDefault="00894241" w:rsidP="003D1018">
      <w:pPr>
        <w:widowControl w:val="0"/>
        <w:kinsoku w:val="0"/>
        <w:overflowPunct w:val="0"/>
        <w:spacing w:line="360" w:lineRule="exact"/>
        <w:ind w:left="560" w:hangingChars="200" w:hanging="560"/>
        <w:contextualSpacing/>
        <w:jc w:val="both"/>
        <w:rPr>
          <w:rFonts w:ascii="標楷體" w:eastAsia="標楷體" w:hAnsi="標楷體" w:cs="Cordia New"/>
          <w:sz w:val="28"/>
          <w:szCs w:val="28"/>
          <w:lang w:bidi="th-TH"/>
        </w:rPr>
      </w:pPr>
      <w:r w:rsidRPr="001B6E4D">
        <w:rPr>
          <w:rFonts w:ascii="標楷體" w:eastAsia="標楷體" w:hAnsi="標楷體" w:cs="Cordia New" w:hint="eastAsia"/>
          <w:sz w:val="28"/>
          <w:szCs w:val="28"/>
          <w:lang w:bidi="th-TH"/>
        </w:rPr>
        <w:t>三、請本委員會另定期程，再次邀請監察院秘書長以上層級人員列席專案報告並備質詢，不得無故拒絕或規避。</w:t>
      </w:r>
    </w:p>
    <w:p w14:paraId="5E34ED36" w14:textId="77777777" w:rsidR="00894241" w:rsidRPr="001B6E4D" w:rsidRDefault="00894241" w:rsidP="003D1018">
      <w:pPr>
        <w:widowControl w:val="0"/>
        <w:kinsoku w:val="0"/>
        <w:overflowPunct w:val="0"/>
        <w:spacing w:line="360" w:lineRule="exact"/>
        <w:ind w:left="560" w:hangingChars="200" w:hanging="560"/>
        <w:contextualSpacing/>
        <w:jc w:val="both"/>
        <w:rPr>
          <w:rFonts w:ascii="標楷體" w:eastAsia="標楷體" w:hAnsi="標楷體" w:cs="Cordia New"/>
          <w:sz w:val="28"/>
          <w:szCs w:val="28"/>
          <w:lang w:bidi="th-TH"/>
        </w:rPr>
      </w:pPr>
      <w:r w:rsidRPr="001B6E4D">
        <w:rPr>
          <w:rFonts w:ascii="標楷體" w:eastAsia="標楷體" w:hAnsi="標楷體" w:cs="Cordia New" w:hint="eastAsia"/>
          <w:sz w:val="28"/>
          <w:szCs w:val="28"/>
          <w:lang w:bidi="th-TH"/>
        </w:rPr>
        <w:t>四、監察院如仍拒絕提出報告或派員列席，本委員會應於後續預算審查時，將其規避國會監督及怠忽法定職責之情形，列為相關預算凍結或刪減之重要審查依據。</w:t>
      </w:r>
    </w:p>
    <w:p w14:paraId="2F7D2C40" w14:textId="77777777" w:rsidR="00894241" w:rsidRPr="001B6E4D" w:rsidRDefault="00894241" w:rsidP="003D1018">
      <w:pPr>
        <w:overflowPunct w:val="0"/>
        <w:spacing w:line="340" w:lineRule="exact"/>
        <w:ind w:leftChars="257" w:left="617" w:firstLineChars="999" w:firstLine="2797"/>
        <w:contextualSpacing/>
        <w:jc w:val="both"/>
        <w:rPr>
          <w:rFonts w:ascii="標楷體" w:eastAsia="標楷體" w:hAnsi="標楷體"/>
          <w:sz w:val="28"/>
          <w:szCs w:val="28"/>
        </w:rPr>
      </w:pPr>
      <w:r w:rsidRPr="001B6E4D">
        <w:rPr>
          <w:rFonts w:ascii="標楷體" w:eastAsia="標楷體" w:hAnsi="標楷體"/>
          <w:sz w:val="28"/>
        </w:rPr>
        <w:t>提案人</w:t>
      </w:r>
      <w:r w:rsidRPr="001B6E4D">
        <w:rPr>
          <w:rFonts w:ascii="標楷體" w:eastAsia="標楷體" w:hAnsi="標楷體"/>
          <w:sz w:val="28"/>
          <w:szCs w:val="28"/>
        </w:rPr>
        <w:t>：</w:t>
      </w:r>
      <w:r w:rsidRPr="001B6E4D">
        <w:rPr>
          <w:rFonts w:ascii="標楷體" w:eastAsia="標楷體" w:hAnsi="標楷體" w:hint="eastAsia"/>
          <w:sz w:val="28"/>
          <w:szCs w:val="28"/>
        </w:rPr>
        <w:t>陳昭姿 邱慧</w:t>
      </w:r>
      <w:proofErr w:type="gramStart"/>
      <w:r w:rsidRPr="001B6E4D">
        <w:rPr>
          <w:rFonts w:ascii="標楷體" w:eastAsia="標楷體" w:hAnsi="標楷體" w:hint="eastAsia"/>
          <w:sz w:val="28"/>
          <w:szCs w:val="28"/>
        </w:rPr>
        <w:t>洳</w:t>
      </w:r>
      <w:proofErr w:type="gramEnd"/>
    </w:p>
    <w:p w14:paraId="701761D9" w14:textId="77777777" w:rsidR="00894241" w:rsidRPr="001B6E4D" w:rsidRDefault="00894241" w:rsidP="003D1018">
      <w:pPr>
        <w:overflowPunct w:val="0"/>
        <w:spacing w:line="340" w:lineRule="exact"/>
        <w:ind w:leftChars="257" w:left="617" w:firstLineChars="999" w:firstLine="2797"/>
        <w:contextualSpacing/>
        <w:jc w:val="both"/>
        <w:rPr>
          <w:rFonts w:ascii="標楷體" w:eastAsia="標楷體" w:hAnsi="標楷體"/>
          <w:sz w:val="28"/>
          <w:szCs w:val="28"/>
        </w:rPr>
      </w:pPr>
      <w:r w:rsidRPr="001B6E4D">
        <w:rPr>
          <w:rFonts w:ascii="標楷體" w:eastAsia="標楷體" w:hAnsi="標楷體" w:hint="eastAsia"/>
          <w:sz w:val="28"/>
        </w:rPr>
        <w:t>連署</w:t>
      </w:r>
      <w:r w:rsidRPr="001B6E4D">
        <w:rPr>
          <w:rFonts w:ascii="標楷體" w:eastAsia="標楷體" w:hAnsi="標楷體"/>
          <w:sz w:val="28"/>
        </w:rPr>
        <w:t>人</w:t>
      </w:r>
      <w:r w:rsidRPr="001B6E4D">
        <w:rPr>
          <w:rFonts w:ascii="標楷體" w:eastAsia="標楷體" w:hAnsi="標楷體"/>
          <w:sz w:val="28"/>
          <w:szCs w:val="28"/>
        </w:rPr>
        <w:t>：</w:t>
      </w:r>
      <w:r w:rsidRPr="001B6E4D">
        <w:rPr>
          <w:rFonts w:ascii="標楷體" w:eastAsia="標楷體" w:hAnsi="標楷體" w:hint="eastAsia"/>
          <w:sz w:val="28"/>
          <w:szCs w:val="28"/>
        </w:rPr>
        <w:t>林沛祥 翁曉玲 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 xml:space="preserve"> 林倩綺</w:t>
      </w:r>
    </w:p>
    <w:p w14:paraId="4C11B06D" w14:textId="77777777" w:rsidR="00894241" w:rsidRPr="001B6E4D" w:rsidRDefault="00894241" w:rsidP="003D1018">
      <w:pPr>
        <w:overflowPunct w:val="0"/>
        <w:spacing w:line="340" w:lineRule="exact"/>
        <w:ind w:leftChars="250" w:left="600" w:firstLineChars="1400" w:firstLine="3920"/>
        <w:contextualSpacing/>
        <w:jc w:val="both"/>
        <w:rPr>
          <w:rFonts w:ascii="標楷體" w:eastAsia="標楷體" w:hAnsi="標楷體"/>
          <w:sz w:val="28"/>
          <w:szCs w:val="28"/>
        </w:rPr>
      </w:pPr>
      <w:r w:rsidRPr="001B6E4D">
        <w:rPr>
          <w:rFonts w:ascii="標楷體" w:eastAsia="標楷體" w:hAnsi="標楷體" w:hint="eastAsia"/>
          <w:sz w:val="28"/>
          <w:szCs w:val="28"/>
        </w:rPr>
        <w:t>蔡春綢 劉書彬 陳清龍</w:t>
      </w:r>
    </w:p>
    <w:p w14:paraId="5DAA2355" w14:textId="77777777" w:rsidR="00894241" w:rsidRPr="001B6E4D" w:rsidRDefault="00894241" w:rsidP="003D1018">
      <w:pPr>
        <w:widowControl w:val="0"/>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624FAC7F"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41F4E18C" w14:textId="1F037296" w:rsidR="00894241" w:rsidRPr="001B6E4D" w:rsidRDefault="00894241"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45" w:name="_Toc240446611"/>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27</w:t>
      </w:r>
      <w:r w:rsidRPr="001B6E4D">
        <w:rPr>
          <w:rFonts w:ascii="標楷體" w:eastAsia="標楷體" w:hAnsi="標楷體"/>
          <w:b/>
          <w:spacing w:val="-2"/>
          <w:sz w:val="28"/>
          <w:szCs w:val="28"/>
        </w:rPr>
        <w:t>次全體委員會議議事錄</w:t>
      </w:r>
      <w:bookmarkEnd w:id="545"/>
    </w:p>
    <w:p w14:paraId="6A7D8050" w14:textId="77777777" w:rsidR="00894241" w:rsidRPr="001B6E4D" w:rsidRDefault="00894241" w:rsidP="003D1018">
      <w:pPr>
        <w:overflowPunct w:val="0"/>
        <w:adjustRightInd w:val="0"/>
        <w:snapToGrid w:val="0"/>
        <w:spacing w:line="360" w:lineRule="exact"/>
        <w:ind w:leftChars="1" w:left="1430" w:hangingChars="510" w:hanging="1428"/>
        <w:rPr>
          <w:rFonts w:ascii="標楷體" w:eastAsia="標楷體" w:hAnsi="標楷體"/>
          <w:spacing w:val="-10"/>
          <w:kern w:val="0"/>
          <w:sz w:val="28"/>
          <w:szCs w:val="28"/>
        </w:rPr>
      </w:pPr>
      <w:r w:rsidRPr="001B6E4D">
        <w:rPr>
          <w:rFonts w:ascii="標楷體" w:eastAsia="標楷體" w:hAnsi="標楷體"/>
          <w:kern w:val="0"/>
          <w:sz w:val="28"/>
          <w:szCs w:val="28"/>
          <w:fitText w:val="1120" w:id="-384118784"/>
          <w:lang w:val="x-none" w:eastAsia="x-none"/>
        </w:rPr>
        <w:t>時    間</w:t>
      </w:r>
      <w:r w:rsidRPr="001B6E4D">
        <w:rPr>
          <w:rFonts w:ascii="標楷體" w:eastAsia="標楷體" w:hAnsi="標楷體"/>
          <w:spacing w:val="-10"/>
          <w:kern w:val="0"/>
          <w:sz w:val="28"/>
          <w:szCs w:val="28"/>
          <w:lang w:val="x-none" w:eastAsia="x-none"/>
        </w:rPr>
        <w:t>：</w:t>
      </w:r>
      <w:r w:rsidRPr="001B6E4D">
        <w:rPr>
          <w:rFonts w:ascii="標楷體" w:eastAsia="標楷體" w:hAnsi="標楷體"/>
          <w:spacing w:val="-4"/>
          <w:kern w:val="0"/>
          <w:sz w:val="28"/>
          <w:szCs w:val="28"/>
          <w:lang w:val="x-none" w:eastAsia="x-none"/>
        </w:rPr>
        <w:t>中華民國</w:t>
      </w:r>
      <w:r w:rsidRPr="001B6E4D">
        <w:rPr>
          <w:rFonts w:ascii="標楷體" w:eastAsia="標楷體" w:hAnsi="標楷體" w:hint="eastAsia"/>
          <w:spacing w:val="-4"/>
          <w:kern w:val="0"/>
          <w:sz w:val="28"/>
          <w:szCs w:val="28"/>
          <w:lang w:val="x-none"/>
        </w:rPr>
        <w:t>115</w:t>
      </w:r>
      <w:r w:rsidRPr="001B6E4D">
        <w:rPr>
          <w:rFonts w:ascii="標楷體" w:eastAsia="標楷體" w:hAnsi="標楷體"/>
          <w:spacing w:val="-4"/>
          <w:kern w:val="0"/>
          <w:sz w:val="28"/>
          <w:szCs w:val="28"/>
          <w:lang w:val="x-none" w:eastAsia="x-none"/>
        </w:rPr>
        <w:t>年</w:t>
      </w:r>
      <w:r w:rsidRPr="001B6E4D">
        <w:rPr>
          <w:rFonts w:ascii="標楷體" w:eastAsia="標楷體" w:hAnsi="標楷體" w:hint="eastAsia"/>
          <w:spacing w:val="-4"/>
          <w:kern w:val="0"/>
          <w:sz w:val="28"/>
          <w:szCs w:val="28"/>
          <w:lang w:val="x-none"/>
        </w:rPr>
        <w:t>7</w:t>
      </w:r>
      <w:r w:rsidRPr="001B6E4D">
        <w:rPr>
          <w:rFonts w:ascii="標楷體" w:eastAsia="標楷體" w:hAnsi="標楷體"/>
          <w:spacing w:val="-4"/>
          <w:kern w:val="0"/>
          <w:sz w:val="28"/>
          <w:szCs w:val="28"/>
          <w:lang w:val="x-none" w:eastAsia="x-none"/>
        </w:rPr>
        <w:t>月</w:t>
      </w:r>
      <w:r w:rsidRPr="001B6E4D">
        <w:rPr>
          <w:rFonts w:ascii="標楷體" w:eastAsia="標楷體" w:hAnsi="標楷體" w:hint="eastAsia"/>
          <w:spacing w:val="-4"/>
          <w:kern w:val="0"/>
          <w:sz w:val="28"/>
          <w:szCs w:val="28"/>
          <w:lang w:val="x-none"/>
        </w:rPr>
        <w:t>29</w:t>
      </w:r>
      <w:r w:rsidRPr="001B6E4D">
        <w:rPr>
          <w:rFonts w:ascii="標楷體" w:eastAsia="標楷體" w:hAnsi="標楷體"/>
          <w:spacing w:val="-4"/>
          <w:kern w:val="0"/>
          <w:sz w:val="28"/>
          <w:szCs w:val="28"/>
          <w:lang w:val="x-none" w:eastAsia="x-none"/>
        </w:rPr>
        <w:t>日（星期</w:t>
      </w:r>
      <w:r w:rsidRPr="001B6E4D">
        <w:rPr>
          <w:rFonts w:ascii="標楷體" w:eastAsia="標楷體" w:hAnsi="標楷體" w:hint="eastAsia"/>
          <w:spacing w:val="-4"/>
          <w:kern w:val="0"/>
          <w:sz w:val="28"/>
          <w:szCs w:val="28"/>
          <w:lang w:val="x-none"/>
        </w:rPr>
        <w:t>三</w:t>
      </w:r>
      <w:r w:rsidRPr="001B6E4D">
        <w:rPr>
          <w:rFonts w:ascii="標楷體" w:eastAsia="標楷體" w:hAnsi="標楷體"/>
          <w:spacing w:val="-4"/>
          <w:kern w:val="0"/>
          <w:sz w:val="28"/>
          <w:szCs w:val="28"/>
          <w:lang w:val="x-none" w:eastAsia="x-none"/>
        </w:rPr>
        <w:t>）上午</w:t>
      </w:r>
      <w:r w:rsidRPr="001B6E4D">
        <w:rPr>
          <w:rFonts w:ascii="標楷體" w:eastAsia="標楷體" w:hAnsi="標楷體" w:hint="eastAsia"/>
          <w:spacing w:val="-4"/>
          <w:kern w:val="0"/>
          <w:sz w:val="28"/>
          <w:szCs w:val="28"/>
          <w:lang w:val="x-none"/>
        </w:rPr>
        <w:t>9</w:t>
      </w:r>
      <w:r w:rsidRPr="001B6E4D">
        <w:rPr>
          <w:rFonts w:ascii="標楷體" w:eastAsia="標楷體" w:hAnsi="標楷體"/>
          <w:spacing w:val="-4"/>
          <w:kern w:val="0"/>
          <w:sz w:val="28"/>
          <w:szCs w:val="28"/>
          <w:lang w:val="x-none" w:eastAsia="x-none"/>
        </w:rPr>
        <w:t>時至</w:t>
      </w:r>
      <w:r w:rsidRPr="001B6E4D">
        <w:rPr>
          <w:rFonts w:ascii="標楷體" w:eastAsia="標楷體" w:hAnsi="標楷體" w:hint="eastAsia"/>
          <w:spacing w:val="-4"/>
          <w:kern w:val="0"/>
          <w:sz w:val="28"/>
          <w:szCs w:val="28"/>
          <w:lang w:val="x-none"/>
        </w:rPr>
        <w:t>1</w:t>
      </w:r>
      <w:r w:rsidRPr="001B6E4D">
        <w:rPr>
          <w:rFonts w:ascii="標楷體" w:eastAsia="標楷體" w:hAnsi="標楷體"/>
          <w:spacing w:val="-4"/>
          <w:kern w:val="0"/>
          <w:sz w:val="28"/>
          <w:szCs w:val="28"/>
          <w:lang w:val="x-none"/>
        </w:rPr>
        <w:t>0</w:t>
      </w:r>
      <w:r w:rsidRPr="001B6E4D">
        <w:rPr>
          <w:rFonts w:ascii="標楷體" w:eastAsia="標楷體" w:hAnsi="標楷體"/>
          <w:spacing w:val="-4"/>
          <w:kern w:val="0"/>
          <w:sz w:val="28"/>
          <w:szCs w:val="28"/>
          <w:lang w:val="x-none" w:eastAsia="x-none"/>
        </w:rPr>
        <w:t>時</w:t>
      </w:r>
      <w:r w:rsidRPr="001B6E4D">
        <w:rPr>
          <w:rFonts w:ascii="標楷體" w:eastAsia="標楷體" w:hAnsi="標楷體"/>
          <w:spacing w:val="-4"/>
          <w:kern w:val="0"/>
          <w:sz w:val="28"/>
          <w:szCs w:val="28"/>
          <w:lang w:val="x-none"/>
        </w:rPr>
        <w:t>59</w:t>
      </w:r>
      <w:r w:rsidRPr="001B6E4D">
        <w:rPr>
          <w:rFonts w:ascii="標楷體" w:eastAsia="標楷體" w:hAnsi="標楷體" w:hint="eastAsia"/>
          <w:spacing w:val="-4"/>
          <w:kern w:val="0"/>
          <w:sz w:val="28"/>
          <w:szCs w:val="28"/>
          <w:lang w:val="x-none" w:eastAsia="x-none"/>
        </w:rPr>
        <w:t>分</w:t>
      </w:r>
    </w:p>
    <w:p w14:paraId="6BB06FB3" w14:textId="77777777" w:rsidR="00894241" w:rsidRPr="001B6E4D" w:rsidRDefault="00894241"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384118783"/>
          <w:lang w:val="x-none" w:eastAsia="x-none"/>
        </w:rPr>
        <w:t>地    點</w:t>
      </w:r>
      <w:r w:rsidRPr="001B6E4D">
        <w:rPr>
          <w:rFonts w:ascii="標楷體" w:eastAsia="標楷體" w:hAnsi="標楷體"/>
          <w:kern w:val="0"/>
          <w:sz w:val="28"/>
          <w:szCs w:val="28"/>
          <w:lang w:val="x-none" w:eastAsia="x-none"/>
        </w:rPr>
        <w:t>：本院紅樓302會議室</w:t>
      </w:r>
    </w:p>
    <w:p w14:paraId="6ABA22C8"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蔡其昌</w:t>
      </w:r>
      <w:r w:rsidRPr="001B6E4D">
        <w:rPr>
          <w:rFonts w:ascii="標楷體" w:eastAsia="標楷體" w:hAnsi="標楷體" w:hint="eastAsia"/>
          <w:sz w:val="28"/>
          <w:szCs w:val="28"/>
        </w:rPr>
        <w:tab/>
        <w:t>莊瑞雄</w:t>
      </w:r>
      <w:r w:rsidRPr="001B6E4D">
        <w:rPr>
          <w:rFonts w:ascii="標楷體" w:eastAsia="標楷體" w:hAnsi="標楷體"/>
          <w:sz w:val="28"/>
          <w:szCs w:val="28"/>
        </w:rPr>
        <w:tab/>
      </w:r>
      <w:r w:rsidRPr="001B6E4D">
        <w:rPr>
          <w:rFonts w:ascii="標楷體" w:eastAsia="標楷體" w:hAnsi="標楷體" w:hint="eastAsia"/>
          <w:sz w:val="28"/>
          <w:szCs w:val="28"/>
        </w:rPr>
        <w:t>林倩綺</w:t>
      </w:r>
      <w:r w:rsidRPr="001B6E4D">
        <w:rPr>
          <w:rFonts w:ascii="標楷體" w:eastAsia="標楷體" w:hAnsi="標楷體" w:hint="eastAsia"/>
          <w:sz w:val="28"/>
          <w:szCs w:val="28"/>
        </w:rPr>
        <w:tab/>
        <w:t>翁曉玲</w:t>
      </w:r>
      <w:r w:rsidRPr="001B6E4D">
        <w:rPr>
          <w:rFonts w:ascii="標楷體" w:eastAsia="標楷體" w:hAnsi="標楷體" w:hint="eastAsia"/>
          <w:sz w:val="28"/>
          <w:szCs w:val="28"/>
        </w:rPr>
        <w:tab/>
        <w:t>陳昭姿</w:t>
      </w:r>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t>張雅琳</w:t>
      </w:r>
      <w:r w:rsidRPr="001B6E4D">
        <w:rPr>
          <w:rFonts w:ascii="標楷體" w:eastAsia="標楷體" w:hAnsi="標楷體" w:hint="eastAsia"/>
          <w:sz w:val="28"/>
          <w:szCs w:val="28"/>
        </w:rPr>
        <w:tab/>
      </w:r>
    </w:p>
    <w:p w14:paraId="01D53D22" w14:textId="77777777" w:rsidR="00894241" w:rsidRPr="001B6E4D" w:rsidRDefault="00894241" w:rsidP="003D1018">
      <w:pPr>
        <w:widowControl w:val="0"/>
        <w:overflowPunct w:val="0"/>
        <w:snapToGrid w:val="0"/>
        <w:ind w:leftChars="239" w:left="574" w:firstLineChars="300" w:firstLine="840"/>
        <w:rPr>
          <w:rFonts w:ascii="標楷體" w:eastAsia="標楷體" w:hAnsi="標楷體"/>
          <w:sz w:val="28"/>
          <w:szCs w:val="28"/>
        </w:rPr>
      </w:pP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柯建銘</w:t>
      </w:r>
      <w:r w:rsidRPr="001B6E4D">
        <w:rPr>
          <w:rFonts w:ascii="標楷體" w:eastAsia="標楷體" w:hAnsi="標楷體" w:hint="eastAsia"/>
          <w:sz w:val="28"/>
          <w:szCs w:val="28"/>
        </w:rPr>
        <w:tab/>
      </w:r>
    </w:p>
    <w:p w14:paraId="6C96F919"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11</w:t>
      </w:r>
      <w:r w:rsidRPr="001B6E4D">
        <w:rPr>
          <w:rFonts w:ascii="標楷體" w:eastAsia="標楷體" w:hAnsi="標楷體"/>
          <w:sz w:val="28"/>
          <w:szCs w:val="28"/>
        </w:rPr>
        <w:t>人</w:t>
      </w:r>
    </w:p>
    <w:p w14:paraId="76DF1351" w14:textId="77777777" w:rsidR="00894241" w:rsidRPr="001B6E4D" w:rsidRDefault="00894241"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蘇清泉</w:t>
      </w:r>
    </w:p>
    <w:p w14:paraId="66F4F618" w14:textId="77777777" w:rsidR="00894241" w:rsidRPr="001B6E4D" w:rsidRDefault="00894241"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列席1</w:t>
      </w:r>
      <w:r w:rsidRPr="001B6E4D">
        <w:rPr>
          <w:rFonts w:ascii="標楷體" w:eastAsia="標楷體" w:hAnsi="標楷體"/>
          <w:sz w:val="28"/>
          <w:szCs w:val="28"/>
        </w:rPr>
        <w:t>人</w:t>
      </w:r>
    </w:p>
    <w:p w14:paraId="5E91F7AB" w14:textId="77777777" w:rsidR="00894241" w:rsidRPr="001B6E4D" w:rsidRDefault="00894241"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 xml:space="preserve">考試院副秘書長　</w:t>
      </w:r>
      <w:proofErr w:type="gramStart"/>
      <w:r w:rsidRPr="001B6E4D">
        <w:rPr>
          <w:rFonts w:ascii="標楷體" w:eastAsia="標楷體" w:hAnsi="標楷體" w:hint="eastAsia"/>
          <w:kern w:val="0"/>
          <w:sz w:val="28"/>
          <w:szCs w:val="28"/>
        </w:rPr>
        <w:t>龔癸</w:t>
      </w:r>
      <w:proofErr w:type="gramEnd"/>
      <w:r w:rsidRPr="001B6E4D">
        <w:rPr>
          <w:rFonts w:ascii="標楷體" w:eastAsia="標楷體" w:hAnsi="標楷體" w:hint="eastAsia"/>
          <w:kern w:val="0"/>
          <w:sz w:val="28"/>
          <w:szCs w:val="28"/>
        </w:rPr>
        <w:t>藝</w:t>
      </w:r>
    </w:p>
    <w:p w14:paraId="20D74C1D"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銓敘部部長　施能傑</w:t>
      </w:r>
    </w:p>
    <w:p w14:paraId="7E8FCB13"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 xml:space="preserve">法務部政務次長　</w:t>
      </w:r>
      <w:proofErr w:type="gramStart"/>
      <w:r w:rsidRPr="001B6E4D">
        <w:rPr>
          <w:rFonts w:ascii="標楷體" w:eastAsia="標楷體" w:hAnsi="標楷體" w:hint="eastAsia"/>
          <w:kern w:val="0"/>
          <w:sz w:val="28"/>
          <w:szCs w:val="28"/>
        </w:rPr>
        <w:t>黃謀信</w:t>
      </w:r>
      <w:proofErr w:type="gramEnd"/>
    </w:p>
    <w:p w14:paraId="6D6E903C"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內政部政務次長</w:t>
      </w:r>
      <w:r w:rsidRPr="001B6E4D">
        <w:rPr>
          <w:rFonts w:ascii="標楷體" w:eastAsia="標楷體" w:hAnsi="標楷體" w:hint="eastAsia"/>
          <w:kern w:val="0"/>
          <w:sz w:val="28"/>
          <w:szCs w:val="28"/>
        </w:rPr>
        <w:tab/>
        <w:t xml:space="preserve">　馬士元</w:t>
      </w:r>
    </w:p>
    <w:p w14:paraId="45A04336"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公務人員保障暨培訓委員會保障法制處副處長　陳志豪</w:t>
      </w:r>
    </w:p>
    <w:p w14:paraId="303F3A5F"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行政院人事行政總處培訓考用處處長　陳雅玲</w:t>
      </w:r>
    </w:p>
    <w:p w14:paraId="04AF1A7E"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司法院行政訴訟及懲戒廳廳長　程怡怡</w:t>
      </w:r>
    </w:p>
    <w:p w14:paraId="4C980E4B"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監察院人事室主任　劉佳慧</w:t>
      </w:r>
    </w:p>
    <w:p w14:paraId="006927C5"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國防部法律事務司軍法事務處副處長　胡耀仁</w:t>
      </w:r>
    </w:p>
    <w:p w14:paraId="5D275FD8"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財政部人事處副處長　翁慧敏</w:t>
      </w:r>
    </w:p>
    <w:p w14:paraId="4A94D2E9"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教育部人事處專門委員　何淑瑜</w:t>
      </w:r>
    </w:p>
    <w:p w14:paraId="4A6C1D05"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      學生事務及特殊教育司副司長　許嘉倩</w:t>
      </w:r>
    </w:p>
    <w:p w14:paraId="30A223A1"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經濟部人事處處長　李花書</w:t>
      </w:r>
    </w:p>
    <w:p w14:paraId="573DB705"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交通部人事處處長　吳延君</w:t>
      </w:r>
    </w:p>
    <w:p w14:paraId="75A32B5B" w14:textId="77777777" w:rsidR="00894241" w:rsidRPr="001B6E4D" w:rsidRDefault="00894241"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衛生福利部人事處副處長　郭欣怡</w:t>
      </w:r>
    </w:p>
    <w:p w14:paraId="0FC33B85" w14:textId="77777777" w:rsidR="00894241" w:rsidRPr="001B6E4D" w:rsidRDefault="00894241"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席：莊召集委員瑞雄</w:t>
      </w:r>
    </w:p>
    <w:p w14:paraId="4FCF21BA"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584DB030" w14:textId="77777777" w:rsidR="00894241" w:rsidRPr="001B6E4D" w:rsidRDefault="00894241"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376D168D" w14:textId="77777777" w:rsidR="00894241" w:rsidRPr="001B6E4D" w:rsidRDefault="00894241"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6F06F563"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7900D2D1"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2FA4A5DF" w14:textId="77777777" w:rsidR="00894241" w:rsidRPr="001B6E4D" w:rsidRDefault="00894241"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5A7C1EEC" w14:textId="77777777" w:rsidR="00894241" w:rsidRPr="001B6E4D" w:rsidRDefault="00894241" w:rsidP="003D1018">
      <w:pPr>
        <w:widowControl w:val="0"/>
        <w:overflowPunct w:val="0"/>
        <w:adjustRightInd w:val="0"/>
        <w:snapToGrid w:val="0"/>
        <w:spacing w:beforeLines="30" w:before="108"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66BB2570"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宣讀上次會議議事錄。</w:t>
      </w:r>
    </w:p>
    <w:p w14:paraId="3498347F" w14:textId="77777777" w:rsidR="00894241" w:rsidRPr="001B6E4D" w:rsidRDefault="00894241" w:rsidP="003D1018">
      <w:pPr>
        <w:widowControl w:val="0"/>
        <w:overflowPunct w:val="0"/>
        <w:adjustRightInd w:val="0"/>
        <w:snapToGrid w:val="0"/>
        <w:spacing w:line="360" w:lineRule="exact"/>
        <w:ind w:left="840" w:hangingChars="300" w:hanging="840"/>
        <w:jc w:val="both"/>
        <w:rPr>
          <w:rFonts w:ascii="標楷體" w:eastAsia="標楷體" w:hAnsi="標楷體"/>
          <w:kern w:val="0"/>
          <w:sz w:val="28"/>
          <w:szCs w:val="28"/>
        </w:rPr>
      </w:pPr>
      <w:r w:rsidRPr="001B6E4D">
        <w:rPr>
          <w:rFonts w:ascii="標楷體" w:eastAsia="標楷體" w:hAnsi="標楷體"/>
          <w:kern w:val="0"/>
          <w:sz w:val="28"/>
          <w:szCs w:val="28"/>
        </w:rPr>
        <w:t>決定：確定。</w:t>
      </w:r>
    </w:p>
    <w:p w14:paraId="4E22BAD0" w14:textId="77777777" w:rsidR="00894241" w:rsidRPr="001B6E4D" w:rsidRDefault="00894241" w:rsidP="003D1018">
      <w:pPr>
        <w:overflowPunct w:val="0"/>
        <w:adjustRightInd w:val="0"/>
        <w:snapToGrid w:val="0"/>
        <w:spacing w:beforeLines="30" w:before="108" w:line="360" w:lineRule="exact"/>
        <w:ind w:firstLineChars="398" w:firstLine="1115"/>
        <w:jc w:val="both"/>
        <w:rPr>
          <w:rFonts w:ascii="標楷體" w:eastAsia="標楷體" w:hAnsi="標楷體"/>
          <w:b/>
          <w:kern w:val="0"/>
          <w:sz w:val="28"/>
          <w:szCs w:val="28"/>
          <w:lang w:val="x-none" w:eastAsia="x-none"/>
        </w:rPr>
      </w:pPr>
      <w:r w:rsidRPr="001B6E4D">
        <w:rPr>
          <w:rFonts w:ascii="標楷體" w:eastAsia="標楷體" w:hAnsi="標楷體"/>
          <w:b/>
          <w:kern w:val="0"/>
          <w:sz w:val="28"/>
          <w:szCs w:val="28"/>
          <w:lang w:val="x-none"/>
        </w:rPr>
        <w:t>討論事項</w:t>
      </w:r>
    </w:p>
    <w:p w14:paraId="25658CC3" w14:textId="77777777" w:rsidR="00894241" w:rsidRPr="001B6E4D" w:rsidRDefault="00894241" w:rsidP="003D1018">
      <w:pPr>
        <w:widowControl w:val="0"/>
        <w:overflowPunct w:val="0"/>
        <w:adjustRightInd w:val="0"/>
        <w:snapToGrid w:val="0"/>
        <w:spacing w:line="360" w:lineRule="exact"/>
        <w:ind w:left="560" w:hangingChars="200" w:hanging="560"/>
        <w:jc w:val="both"/>
        <w:rPr>
          <w:rFonts w:ascii="標楷體" w:eastAsia="標楷體" w:hAnsi="標楷體"/>
          <w:bCs/>
          <w:kern w:val="0"/>
          <w:sz w:val="28"/>
          <w:szCs w:val="28"/>
        </w:rPr>
      </w:pPr>
      <w:r w:rsidRPr="001B6E4D">
        <w:rPr>
          <w:rFonts w:ascii="標楷體" w:eastAsia="標楷體" w:hAnsi="標楷體" w:hint="eastAsia"/>
          <w:bCs/>
          <w:kern w:val="0"/>
          <w:sz w:val="28"/>
          <w:szCs w:val="28"/>
        </w:rPr>
        <w:t>一、繼續</w:t>
      </w:r>
      <w:proofErr w:type="gramStart"/>
      <w:r w:rsidRPr="001B6E4D">
        <w:rPr>
          <w:rFonts w:ascii="標楷體" w:eastAsia="標楷體" w:hAnsi="標楷體" w:hint="eastAsia"/>
          <w:bCs/>
          <w:kern w:val="0"/>
          <w:sz w:val="28"/>
          <w:szCs w:val="28"/>
        </w:rPr>
        <w:t>併</w:t>
      </w:r>
      <w:proofErr w:type="gramEnd"/>
      <w:r w:rsidRPr="001B6E4D">
        <w:rPr>
          <w:rFonts w:ascii="標楷體" w:eastAsia="標楷體" w:hAnsi="標楷體" w:hint="eastAsia"/>
          <w:bCs/>
          <w:kern w:val="0"/>
          <w:sz w:val="28"/>
          <w:szCs w:val="28"/>
        </w:rPr>
        <w:t>案審查</w:t>
      </w:r>
    </w:p>
    <w:p w14:paraId="43D5EE74"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（一）行政院函請審議「毒品危害防制條例第三十三條及第三十六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129BB4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（二）委員羅智強等23人擬具「毒品危害防制條例第三十三條及第三十六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9022BD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（三）委員羅廷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等18人擬具「毒品危害防制條例第三十三條及第三十六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357E46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等25人擬具「毒品危害防制條例第三十三條及第三十六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DE1B21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（五）委員林淑芬等19人擬具「毒品危害防制條例第三十三條及第三十六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67AB79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（六）委員羅美玲等16人擬具「毒品危害防制條例第三十三條及第三十六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CE1C00C"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（七）委員張雅琳等16人擬具「毒品危害防制條例第三十三條及第三十六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B915BE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（八）委員陳培瑜等18人擬具「毒品危害防制條例第三十三條及第三十六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280B5E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（九）委員鍾佳濱等20人擬具「毒品危害防制條例第三十三條及第三十六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ECFC6E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（十）委員林月琴等19人擬具「毒品危害防制條例第三十三條及第三十六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40E26D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（十一）委員廖偉翔等16人擬具「毒品危害防制條例第三十三條及第三十六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DF401C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（十二）委員伍麗華</w:t>
      </w:r>
      <w:proofErr w:type="spellStart"/>
      <w:r w:rsidRPr="001B6E4D">
        <w:rPr>
          <w:rFonts w:ascii="標楷體" w:eastAsia="標楷體" w:hAnsi="標楷體" w:hint="eastAsia"/>
          <w:sz w:val="28"/>
          <w:szCs w:val="28"/>
        </w:rPr>
        <w:t>Saidhai</w:t>
      </w:r>
      <w:proofErr w:type="spellEnd"/>
      <w:proofErr w:type="gramStart"/>
      <w:r w:rsidRPr="001B6E4D">
        <w:rPr>
          <w:rFonts w:ascii="標楷體" w:eastAsia="標楷體" w:hAnsi="標楷體" w:hint="eastAsia"/>
          <w:sz w:val="28"/>
          <w:szCs w:val="28"/>
        </w:rPr>
        <w:t>‧</w:t>
      </w:r>
      <w:proofErr w:type="spellStart"/>
      <w:proofErr w:type="gramEnd"/>
      <w:r w:rsidRPr="001B6E4D">
        <w:rPr>
          <w:rFonts w:ascii="標楷體" w:eastAsia="標楷體" w:hAnsi="標楷體" w:hint="eastAsia"/>
          <w:sz w:val="28"/>
          <w:szCs w:val="28"/>
        </w:rPr>
        <w:t>Tahovecahe</w:t>
      </w:r>
      <w:proofErr w:type="spellEnd"/>
      <w:r w:rsidRPr="001B6E4D">
        <w:rPr>
          <w:rFonts w:ascii="標楷體" w:eastAsia="標楷體" w:hAnsi="標楷體" w:hint="eastAsia"/>
          <w:sz w:val="28"/>
          <w:szCs w:val="28"/>
        </w:rPr>
        <w:t>等16人擬具「毒品危害防制條例第三十三條及第三十六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4F5382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（十三）委員謝龍介等18人擬具「毒品危害防制條例第三十三條及第三十六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E795DCE"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（十四）委員徐富</w:t>
      </w:r>
      <w:proofErr w:type="gramStart"/>
      <w:r w:rsidRPr="001B6E4D">
        <w:rPr>
          <w:rFonts w:ascii="標楷體" w:eastAsia="標楷體" w:hAnsi="標楷體" w:hint="eastAsia"/>
          <w:sz w:val="28"/>
          <w:szCs w:val="28"/>
        </w:rPr>
        <w:t>癸</w:t>
      </w:r>
      <w:proofErr w:type="gramEnd"/>
      <w:r w:rsidRPr="001B6E4D">
        <w:rPr>
          <w:rFonts w:ascii="標楷體" w:eastAsia="標楷體" w:hAnsi="標楷體" w:hint="eastAsia"/>
          <w:sz w:val="28"/>
          <w:szCs w:val="28"/>
        </w:rPr>
        <w:t>等17人擬具「毒品危害防制條例第三十三條及第三十六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110960F"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（十五）委員林宜瑾等24人擬具「毒品危害防制條例第三十三條及第三十六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459786B"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（十六）委員吳思瑤等16人擬具「毒品危害防制條例第三十三</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76D78D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（十七）委員林倩綺等20人擬具「毒品危害防制條例第三十三條及第三十六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DC18D05"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（十八）委員吳沛憶等20人擬具「毒品危害防制條例第三十三條及第三十六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54BEC82"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（十九）委員賴惠員等17人擬具「毒品危害防制條例第三十三條及第三十六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CBCFC16"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（二十）委員吳琪銘等16人擬具「毒品危害防制條例第三十三條及第三十六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91FAF10"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（二十一）委員郭昱晴等16人擬具「毒品危害防制條例第三十三條及第三十六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F8BAED7"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（二十二）委員許智傑等23人擬具「毒品危害防制條例第三十三條及第三十六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CBF2028" w14:textId="77777777" w:rsidR="00894241" w:rsidRPr="001B6E4D" w:rsidRDefault="00894241"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（二十三）委員翁曉玲等16人擬具「毒品危害防制條例第三十三條、第三十三條之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及第三十六</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B418542" w14:textId="77777777" w:rsidR="00894241" w:rsidRPr="001B6E4D" w:rsidRDefault="00894241" w:rsidP="003D1018">
      <w:pPr>
        <w:widowControl w:val="0"/>
        <w:overflowPunct w:val="0"/>
        <w:adjustRightInd w:val="0"/>
        <w:snapToGrid w:val="0"/>
        <w:spacing w:line="360" w:lineRule="exact"/>
        <w:ind w:left="560" w:hangingChars="200" w:hanging="560"/>
        <w:jc w:val="both"/>
        <w:rPr>
          <w:rFonts w:ascii="標楷體" w:eastAsia="標楷體" w:hAnsi="標楷體"/>
          <w:sz w:val="28"/>
          <w:szCs w:val="28"/>
        </w:rPr>
      </w:pPr>
      <w:r w:rsidRPr="001B6E4D">
        <w:rPr>
          <w:rFonts w:ascii="標楷體" w:eastAsia="標楷體" w:hAnsi="標楷體" w:hint="eastAsia"/>
          <w:sz w:val="28"/>
          <w:szCs w:val="28"/>
        </w:rPr>
        <w:t>二、繼續審查考試院函請審議「公務人員考績法修正草案」案。</w:t>
      </w:r>
    </w:p>
    <w:p w14:paraId="7BA20FF0" w14:textId="77777777" w:rsidR="00894241" w:rsidRPr="001B6E4D" w:rsidRDefault="00894241"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134A57A9" w14:textId="77777777" w:rsidR="00894241" w:rsidRPr="001B6E4D" w:rsidRDefault="00894241" w:rsidP="003D1018">
      <w:pPr>
        <w:widowControl w:val="0"/>
        <w:overflowPunct w:val="0"/>
        <w:adjustRightInd w:val="0"/>
        <w:snapToGrid w:val="0"/>
        <w:spacing w:line="360" w:lineRule="exact"/>
        <w:ind w:left="560" w:hangingChars="200" w:hanging="560"/>
        <w:jc w:val="both"/>
        <w:rPr>
          <w:rFonts w:ascii="標楷體" w:eastAsia="標楷體" w:hAnsi="標楷體"/>
        </w:rPr>
      </w:pPr>
      <w:r w:rsidRPr="001B6E4D">
        <w:rPr>
          <w:rFonts w:ascii="標楷體" w:eastAsia="標楷體" w:hAnsi="標楷體" w:hint="eastAsia"/>
          <w:sz w:val="28"/>
          <w:szCs w:val="28"/>
        </w:rPr>
        <w:t>一、</w:t>
      </w:r>
      <w:r w:rsidRPr="001B6E4D">
        <w:rPr>
          <w:rFonts w:ascii="標楷體" w:eastAsia="標楷體" w:hAnsi="標楷體" w:hint="eastAsia"/>
          <w:spacing w:val="-6"/>
          <w:sz w:val="28"/>
          <w:szCs w:val="28"/>
        </w:rPr>
        <w:t>「毒品危害防制條例第三十三條及第三十六</w:t>
      </w:r>
      <w:proofErr w:type="gramStart"/>
      <w:r w:rsidRPr="001B6E4D">
        <w:rPr>
          <w:rFonts w:ascii="標楷體" w:eastAsia="標楷體" w:hAnsi="標楷體" w:hint="eastAsia"/>
          <w:spacing w:val="-6"/>
          <w:sz w:val="28"/>
          <w:szCs w:val="28"/>
        </w:rPr>
        <w:t>條</w:t>
      </w:r>
      <w:proofErr w:type="gramEnd"/>
      <w:r w:rsidRPr="001B6E4D">
        <w:rPr>
          <w:rFonts w:ascii="標楷體" w:eastAsia="標楷體" w:hAnsi="標楷體" w:hint="eastAsia"/>
          <w:spacing w:val="-6"/>
          <w:sz w:val="28"/>
          <w:szCs w:val="28"/>
        </w:rPr>
        <w:t>條文修正草案」等23案：</w:t>
      </w:r>
    </w:p>
    <w:p w14:paraId="2611B069" w14:textId="77777777" w:rsidR="00894241" w:rsidRPr="001B6E4D" w:rsidRDefault="00894241"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w:t>
      </w:r>
      <w:proofErr w:type="gramStart"/>
      <w:r w:rsidRPr="001B6E4D">
        <w:rPr>
          <w:rFonts w:ascii="標楷體" w:eastAsia="標楷體" w:hAnsi="標楷體" w:hint="eastAsia"/>
          <w:color w:val="000000"/>
          <w:kern w:val="0"/>
          <w:sz w:val="28"/>
          <w:szCs w:val="28"/>
        </w:rPr>
        <w:t>一</w:t>
      </w:r>
      <w:proofErr w:type="gramEnd"/>
      <w:r w:rsidRPr="001B6E4D">
        <w:rPr>
          <w:rFonts w:ascii="標楷體" w:eastAsia="標楷體" w:hAnsi="標楷體" w:hint="eastAsia"/>
          <w:color w:val="000000"/>
          <w:kern w:val="0"/>
          <w:sz w:val="28"/>
          <w:szCs w:val="28"/>
        </w:rPr>
        <w:t>)逕行逐條審查。</w:t>
      </w:r>
    </w:p>
    <w:p w14:paraId="0FA96099" w14:textId="77777777" w:rsidR="00894241" w:rsidRPr="001B6E4D" w:rsidRDefault="00894241"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(二)第三十三條、第三十三條之</w:t>
      </w:r>
      <w:proofErr w:type="gramStart"/>
      <w:r w:rsidRPr="001B6E4D">
        <w:rPr>
          <w:rFonts w:ascii="標楷體" w:eastAsia="標楷體" w:hAnsi="標楷體" w:hint="eastAsia"/>
          <w:color w:val="000000"/>
          <w:kern w:val="0"/>
          <w:sz w:val="28"/>
          <w:szCs w:val="28"/>
        </w:rPr>
        <w:t>一</w:t>
      </w:r>
      <w:proofErr w:type="gramEnd"/>
      <w:r w:rsidRPr="001B6E4D">
        <w:rPr>
          <w:rFonts w:ascii="標楷體" w:eastAsia="標楷體" w:hAnsi="標楷體" w:hint="eastAsia"/>
          <w:color w:val="000000"/>
          <w:kern w:val="0"/>
          <w:sz w:val="28"/>
          <w:szCs w:val="28"/>
        </w:rPr>
        <w:t>及第三十六條，均保留，送院會處理。</w:t>
      </w:r>
    </w:p>
    <w:p w14:paraId="6FEB86C0" w14:textId="77777777" w:rsidR="00894241" w:rsidRPr="001B6E4D" w:rsidRDefault="00894241"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(三)通過附帶決議</w:t>
      </w:r>
      <w:r w:rsidRPr="001B6E4D">
        <w:rPr>
          <w:rFonts w:ascii="標楷體" w:eastAsia="標楷體" w:hAnsi="標楷體"/>
          <w:color w:val="000000"/>
          <w:kern w:val="0"/>
          <w:sz w:val="28"/>
          <w:szCs w:val="28"/>
        </w:rPr>
        <w:t>1</w:t>
      </w:r>
      <w:r w:rsidRPr="001B6E4D">
        <w:rPr>
          <w:rFonts w:ascii="標楷體" w:eastAsia="標楷體" w:hAnsi="標楷體" w:hint="eastAsia"/>
          <w:color w:val="000000"/>
          <w:kern w:val="0"/>
          <w:sz w:val="28"/>
          <w:szCs w:val="28"/>
        </w:rPr>
        <w:t>項：</w:t>
      </w:r>
    </w:p>
    <w:p w14:paraId="399D644B" w14:textId="77777777" w:rsidR="00894241" w:rsidRPr="001B6E4D" w:rsidRDefault="00894241"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 xml:space="preserve">        </w:t>
      </w:r>
      <w:proofErr w:type="gramStart"/>
      <w:r w:rsidRPr="001B6E4D">
        <w:rPr>
          <w:rFonts w:ascii="標楷體" w:eastAsia="標楷體" w:hAnsi="標楷體" w:hint="eastAsia"/>
          <w:color w:val="000000"/>
          <w:kern w:val="0"/>
          <w:sz w:val="28"/>
          <w:szCs w:val="28"/>
        </w:rPr>
        <w:t>鑑</w:t>
      </w:r>
      <w:proofErr w:type="gramEnd"/>
      <w:r w:rsidRPr="001B6E4D">
        <w:rPr>
          <w:rFonts w:ascii="標楷體" w:eastAsia="標楷體" w:hAnsi="標楷體" w:hint="eastAsia"/>
          <w:color w:val="000000"/>
          <w:kern w:val="0"/>
          <w:sz w:val="28"/>
          <w:szCs w:val="28"/>
        </w:rPr>
        <w:t>於新興影響精神物質日新月異，為防止特定物質列為毒品管制前，危害民眾安全及健康，實有建立預警機制之必要，建請主管機關會同相關部會，應建立預警措施，以把握時效在第一時間遏止其擴散及危害。</w:t>
      </w:r>
    </w:p>
    <w:p w14:paraId="661D647D" w14:textId="77777777" w:rsidR="00894241" w:rsidRPr="001B6E4D" w:rsidRDefault="00894241"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 xml:space="preserve">        另為防</w:t>
      </w:r>
      <w:proofErr w:type="gramStart"/>
      <w:r w:rsidRPr="001B6E4D">
        <w:rPr>
          <w:rFonts w:ascii="標楷體" w:eastAsia="標楷體" w:hAnsi="標楷體" w:hint="eastAsia"/>
          <w:color w:val="000000"/>
          <w:kern w:val="0"/>
          <w:sz w:val="28"/>
          <w:szCs w:val="28"/>
        </w:rPr>
        <w:t>制兒少因</w:t>
      </w:r>
      <w:proofErr w:type="gramEnd"/>
      <w:r w:rsidRPr="001B6E4D">
        <w:rPr>
          <w:rFonts w:ascii="標楷體" w:eastAsia="標楷體" w:hAnsi="標楷體" w:hint="eastAsia"/>
          <w:color w:val="000000"/>
          <w:kern w:val="0"/>
          <w:sz w:val="28"/>
          <w:szCs w:val="28"/>
        </w:rPr>
        <w:t>心智未成熟，易受誤導經由網站及行動應用程式接觸毒品，應增訂各目的事業主管機關或司法警察機關得令該網站業者及行動應用業者</w:t>
      </w:r>
      <w:proofErr w:type="gramStart"/>
      <w:r w:rsidRPr="001B6E4D">
        <w:rPr>
          <w:rFonts w:ascii="標楷體" w:eastAsia="標楷體" w:hAnsi="標楷體" w:hint="eastAsia"/>
          <w:color w:val="000000"/>
          <w:kern w:val="0"/>
          <w:sz w:val="28"/>
          <w:szCs w:val="28"/>
        </w:rPr>
        <w:t>移除貼文</w:t>
      </w:r>
      <w:proofErr w:type="gramEnd"/>
      <w:r w:rsidRPr="001B6E4D">
        <w:rPr>
          <w:rFonts w:ascii="標楷體" w:eastAsia="標楷體" w:hAnsi="標楷體" w:hint="eastAsia"/>
          <w:color w:val="000000"/>
          <w:kern w:val="0"/>
          <w:sz w:val="28"/>
          <w:szCs w:val="28"/>
        </w:rPr>
        <w:t>，或令網際網路接取服務提供者為停止解析或限制接取之處置。</w:t>
      </w:r>
    </w:p>
    <w:p w14:paraId="10A5080C" w14:textId="77777777" w:rsidR="00894241" w:rsidRPr="001B6E4D" w:rsidRDefault="00894241" w:rsidP="003D1018">
      <w:pPr>
        <w:widowControl w:val="0"/>
        <w:kinsoku w:val="0"/>
        <w:overflowPunct w:val="0"/>
        <w:spacing w:line="360" w:lineRule="exact"/>
        <w:ind w:leftChars="139" w:left="334" w:firstLineChars="1140" w:firstLine="3192"/>
        <w:contextualSpacing/>
        <w:jc w:val="both"/>
        <w:rPr>
          <w:rFonts w:ascii="標楷體" w:eastAsia="標楷體" w:hAnsi="標楷體"/>
          <w:color w:val="000000"/>
          <w:sz w:val="28"/>
        </w:rPr>
      </w:pPr>
      <w:r w:rsidRPr="001B6E4D">
        <w:rPr>
          <w:rFonts w:ascii="標楷體" w:eastAsia="標楷體" w:hAnsi="標楷體" w:hint="eastAsia"/>
          <w:color w:val="000000"/>
          <w:sz w:val="28"/>
        </w:rPr>
        <w:t xml:space="preserve">提案人：莊瑞雄 張雅琳 </w:t>
      </w:r>
      <w:proofErr w:type="gramStart"/>
      <w:r w:rsidRPr="001B6E4D">
        <w:rPr>
          <w:rFonts w:ascii="標楷體" w:eastAsia="標楷體" w:hAnsi="標楷體" w:hint="eastAsia"/>
          <w:color w:val="000000"/>
          <w:sz w:val="28"/>
        </w:rPr>
        <w:t>范</w:t>
      </w:r>
      <w:proofErr w:type="gramEnd"/>
      <w:r w:rsidRPr="001B6E4D">
        <w:rPr>
          <w:rFonts w:ascii="標楷體" w:eastAsia="標楷體" w:hAnsi="標楷體" w:hint="eastAsia"/>
          <w:color w:val="000000"/>
          <w:sz w:val="28"/>
        </w:rPr>
        <w:t xml:space="preserve">  雲</w:t>
      </w:r>
    </w:p>
    <w:p w14:paraId="263278C5" w14:textId="77777777" w:rsidR="00894241" w:rsidRPr="001B6E4D" w:rsidRDefault="00894241"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(四)本案審查完竣，擬具審查報告，提請院會公決；須交由黨團協商；院會討論時，由莊召集委員瑞雄出席說明。</w:t>
      </w:r>
    </w:p>
    <w:p w14:paraId="794FF12F" w14:textId="77777777" w:rsidR="00894241" w:rsidRPr="001B6E4D" w:rsidRDefault="00894241" w:rsidP="003D1018">
      <w:pPr>
        <w:overflowPunct w:val="0"/>
        <w:snapToGrid w:val="0"/>
        <w:spacing w:line="360" w:lineRule="exact"/>
        <w:ind w:leftChars="100" w:left="800" w:hangingChars="200" w:hanging="560"/>
        <w:jc w:val="both"/>
        <w:rPr>
          <w:rFonts w:ascii="標楷體" w:eastAsia="標楷體" w:hAnsi="標楷體"/>
          <w:sz w:val="28"/>
          <w:szCs w:val="28"/>
        </w:rPr>
      </w:pPr>
      <w:r w:rsidRPr="001B6E4D">
        <w:rPr>
          <w:rFonts w:ascii="標楷體" w:eastAsia="標楷體" w:hAnsi="標楷體" w:hint="eastAsia"/>
          <w:color w:val="000000"/>
          <w:kern w:val="0"/>
          <w:sz w:val="28"/>
          <w:szCs w:val="28"/>
        </w:rPr>
        <w:t>(五)條次、引述條文部分文字及法制用字用語，授權主席及議事人員整理。</w:t>
      </w:r>
    </w:p>
    <w:p w14:paraId="0AE48D31" w14:textId="77777777" w:rsidR="00894241" w:rsidRPr="001B6E4D" w:rsidRDefault="00894241" w:rsidP="003D1018">
      <w:pPr>
        <w:widowControl w:val="0"/>
        <w:overflowPunct w:val="0"/>
        <w:adjustRightInd w:val="0"/>
        <w:snapToGrid w:val="0"/>
        <w:spacing w:line="360" w:lineRule="exact"/>
        <w:ind w:left="560" w:hangingChars="200" w:hanging="560"/>
        <w:jc w:val="both"/>
        <w:rPr>
          <w:rFonts w:ascii="標楷體" w:eastAsia="標楷體" w:hAnsi="標楷體"/>
          <w:sz w:val="28"/>
          <w:szCs w:val="28"/>
        </w:rPr>
      </w:pPr>
      <w:r w:rsidRPr="001B6E4D">
        <w:rPr>
          <w:rFonts w:ascii="標楷體" w:eastAsia="標楷體" w:hAnsi="標楷體" w:hint="eastAsia"/>
          <w:sz w:val="28"/>
          <w:szCs w:val="28"/>
        </w:rPr>
        <w:t>二、「公務人員考績法修正草案」：另定期繼續審查。</w:t>
      </w:r>
    </w:p>
    <w:p w14:paraId="7D0940AD" w14:textId="77777777" w:rsidR="00894241" w:rsidRPr="001B6E4D" w:rsidRDefault="00894241" w:rsidP="003D1018">
      <w:pPr>
        <w:widowControl w:val="0"/>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598ACB00"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34BB0A20" w14:textId="0AEA4CA3" w:rsidR="00AF3BBE" w:rsidRPr="001B6E4D" w:rsidRDefault="00AF3BBE"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46" w:name="_Toc240446612"/>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28</w:t>
      </w:r>
      <w:r w:rsidRPr="001B6E4D">
        <w:rPr>
          <w:rFonts w:ascii="標楷體" w:eastAsia="標楷體" w:hAnsi="標楷體"/>
          <w:b/>
          <w:spacing w:val="-2"/>
          <w:sz w:val="28"/>
          <w:szCs w:val="28"/>
        </w:rPr>
        <w:t>次全體委員會議議事錄</w:t>
      </w:r>
      <w:bookmarkEnd w:id="546"/>
    </w:p>
    <w:p w14:paraId="06803137" w14:textId="77777777" w:rsidR="00AF3BBE" w:rsidRPr="001B6E4D" w:rsidRDefault="00AF3BBE" w:rsidP="003D1018">
      <w:pPr>
        <w:overflowPunct w:val="0"/>
        <w:adjustRightInd w:val="0"/>
        <w:snapToGrid w:val="0"/>
        <w:spacing w:line="360" w:lineRule="exact"/>
        <w:ind w:leftChars="1" w:left="1430" w:hangingChars="510" w:hanging="1428"/>
        <w:rPr>
          <w:rFonts w:ascii="標楷體" w:eastAsia="標楷體" w:hAnsi="標楷體"/>
          <w:spacing w:val="-10"/>
          <w:kern w:val="0"/>
          <w:sz w:val="28"/>
          <w:szCs w:val="28"/>
        </w:rPr>
      </w:pPr>
      <w:r w:rsidRPr="001B6E4D">
        <w:rPr>
          <w:rFonts w:ascii="標楷體" w:eastAsia="標楷體" w:hAnsi="標楷體"/>
          <w:kern w:val="0"/>
          <w:sz w:val="28"/>
          <w:szCs w:val="28"/>
          <w:fitText w:val="1120" w:id="-384118528"/>
          <w:lang w:val="x-none" w:eastAsia="x-none"/>
        </w:rPr>
        <w:t>時    間</w:t>
      </w:r>
      <w:r w:rsidRPr="001B6E4D">
        <w:rPr>
          <w:rFonts w:ascii="標楷體" w:eastAsia="標楷體" w:hAnsi="標楷體"/>
          <w:spacing w:val="-10"/>
          <w:kern w:val="0"/>
          <w:sz w:val="28"/>
          <w:szCs w:val="28"/>
          <w:lang w:val="x-none" w:eastAsia="x-none"/>
        </w:rPr>
        <w:t>：</w:t>
      </w:r>
      <w:r w:rsidRPr="001B6E4D">
        <w:rPr>
          <w:rFonts w:ascii="標楷體" w:eastAsia="標楷體" w:hAnsi="標楷體"/>
          <w:spacing w:val="-12"/>
          <w:kern w:val="0"/>
          <w:sz w:val="28"/>
          <w:szCs w:val="28"/>
          <w:lang w:val="x-none" w:eastAsia="x-none"/>
        </w:rPr>
        <w:t>中華民國</w:t>
      </w:r>
      <w:r w:rsidRPr="001B6E4D">
        <w:rPr>
          <w:rFonts w:ascii="標楷體" w:eastAsia="標楷體" w:hAnsi="標楷體" w:hint="eastAsia"/>
          <w:spacing w:val="-12"/>
          <w:kern w:val="0"/>
          <w:sz w:val="28"/>
          <w:szCs w:val="28"/>
          <w:lang w:val="x-none"/>
        </w:rPr>
        <w:t>115</w:t>
      </w:r>
      <w:r w:rsidRPr="001B6E4D">
        <w:rPr>
          <w:rFonts w:ascii="標楷體" w:eastAsia="標楷體" w:hAnsi="標楷體"/>
          <w:spacing w:val="-12"/>
          <w:kern w:val="0"/>
          <w:sz w:val="28"/>
          <w:szCs w:val="28"/>
          <w:lang w:val="x-none" w:eastAsia="x-none"/>
        </w:rPr>
        <w:t>年</w:t>
      </w:r>
      <w:r w:rsidRPr="001B6E4D">
        <w:rPr>
          <w:rFonts w:ascii="標楷體" w:eastAsia="標楷體" w:hAnsi="標楷體" w:hint="eastAsia"/>
          <w:spacing w:val="-12"/>
          <w:kern w:val="0"/>
          <w:sz w:val="28"/>
          <w:szCs w:val="28"/>
          <w:lang w:val="x-none"/>
        </w:rPr>
        <w:t>8</w:t>
      </w:r>
      <w:r w:rsidRPr="001B6E4D">
        <w:rPr>
          <w:rFonts w:ascii="標楷體" w:eastAsia="標楷體" w:hAnsi="標楷體"/>
          <w:spacing w:val="-12"/>
          <w:kern w:val="0"/>
          <w:sz w:val="28"/>
          <w:szCs w:val="28"/>
          <w:lang w:val="x-none" w:eastAsia="x-none"/>
        </w:rPr>
        <w:t>月</w:t>
      </w:r>
      <w:r w:rsidRPr="001B6E4D">
        <w:rPr>
          <w:rFonts w:ascii="標楷體" w:eastAsia="標楷體" w:hAnsi="標楷體" w:hint="eastAsia"/>
          <w:spacing w:val="-12"/>
          <w:kern w:val="0"/>
          <w:sz w:val="28"/>
          <w:szCs w:val="28"/>
          <w:lang w:val="x-none"/>
        </w:rPr>
        <w:t>5</w:t>
      </w:r>
      <w:r w:rsidRPr="001B6E4D">
        <w:rPr>
          <w:rFonts w:ascii="標楷體" w:eastAsia="標楷體" w:hAnsi="標楷體"/>
          <w:spacing w:val="-12"/>
          <w:kern w:val="0"/>
          <w:sz w:val="28"/>
          <w:szCs w:val="28"/>
          <w:lang w:val="x-none" w:eastAsia="x-none"/>
        </w:rPr>
        <w:t>日（星期</w:t>
      </w:r>
      <w:r w:rsidRPr="001B6E4D">
        <w:rPr>
          <w:rFonts w:ascii="標楷體" w:eastAsia="標楷體" w:hAnsi="標楷體" w:hint="eastAsia"/>
          <w:spacing w:val="-12"/>
          <w:kern w:val="0"/>
          <w:sz w:val="28"/>
          <w:szCs w:val="28"/>
          <w:lang w:val="x-none"/>
        </w:rPr>
        <w:t>三</w:t>
      </w:r>
      <w:r w:rsidRPr="001B6E4D">
        <w:rPr>
          <w:rFonts w:ascii="標楷體" w:eastAsia="標楷體" w:hAnsi="標楷體"/>
          <w:spacing w:val="-12"/>
          <w:kern w:val="0"/>
          <w:sz w:val="28"/>
          <w:szCs w:val="28"/>
          <w:lang w:val="x-none" w:eastAsia="x-none"/>
        </w:rPr>
        <w:t>）上午</w:t>
      </w:r>
      <w:r w:rsidRPr="001B6E4D">
        <w:rPr>
          <w:rFonts w:ascii="標楷體" w:eastAsia="標楷體" w:hAnsi="標楷體" w:hint="eastAsia"/>
          <w:spacing w:val="-12"/>
          <w:kern w:val="0"/>
          <w:sz w:val="28"/>
          <w:szCs w:val="28"/>
          <w:lang w:val="x-none"/>
        </w:rPr>
        <w:t>9</w:t>
      </w:r>
      <w:r w:rsidRPr="001B6E4D">
        <w:rPr>
          <w:rFonts w:ascii="標楷體" w:eastAsia="標楷體" w:hAnsi="標楷體"/>
          <w:spacing w:val="-12"/>
          <w:kern w:val="0"/>
          <w:sz w:val="28"/>
          <w:szCs w:val="28"/>
          <w:lang w:val="x-none" w:eastAsia="x-none"/>
        </w:rPr>
        <w:t>時</w:t>
      </w:r>
      <w:r w:rsidRPr="001B6E4D">
        <w:rPr>
          <w:rFonts w:ascii="標楷體" w:eastAsia="標楷體" w:hAnsi="標楷體" w:hint="eastAsia"/>
          <w:spacing w:val="-12"/>
          <w:kern w:val="0"/>
          <w:sz w:val="28"/>
          <w:szCs w:val="28"/>
          <w:lang w:val="x-none"/>
        </w:rPr>
        <w:t>1分</w:t>
      </w:r>
      <w:r w:rsidRPr="001B6E4D">
        <w:rPr>
          <w:rFonts w:ascii="標楷體" w:eastAsia="標楷體" w:hAnsi="標楷體"/>
          <w:spacing w:val="-12"/>
          <w:kern w:val="0"/>
          <w:sz w:val="28"/>
          <w:szCs w:val="28"/>
          <w:lang w:val="x-none" w:eastAsia="x-none"/>
        </w:rPr>
        <w:t>至</w:t>
      </w:r>
      <w:r w:rsidRPr="001B6E4D">
        <w:rPr>
          <w:rFonts w:ascii="標楷體" w:eastAsia="標楷體" w:hAnsi="標楷體" w:hint="eastAsia"/>
          <w:spacing w:val="-12"/>
          <w:kern w:val="0"/>
          <w:sz w:val="28"/>
          <w:szCs w:val="28"/>
          <w:lang w:val="x-none"/>
        </w:rPr>
        <w:t>1</w:t>
      </w:r>
      <w:r w:rsidRPr="001B6E4D">
        <w:rPr>
          <w:rFonts w:ascii="標楷體" w:eastAsia="標楷體" w:hAnsi="標楷體"/>
          <w:spacing w:val="-12"/>
          <w:kern w:val="0"/>
          <w:sz w:val="28"/>
          <w:szCs w:val="28"/>
          <w:lang w:val="x-none"/>
        </w:rPr>
        <w:t>1</w:t>
      </w:r>
      <w:r w:rsidRPr="001B6E4D">
        <w:rPr>
          <w:rFonts w:ascii="標楷體" w:eastAsia="標楷體" w:hAnsi="標楷體"/>
          <w:spacing w:val="-12"/>
          <w:kern w:val="0"/>
          <w:sz w:val="28"/>
          <w:szCs w:val="28"/>
          <w:lang w:val="x-none" w:eastAsia="x-none"/>
        </w:rPr>
        <w:t>時</w:t>
      </w:r>
      <w:r w:rsidRPr="001B6E4D">
        <w:rPr>
          <w:rFonts w:ascii="標楷體" w:eastAsia="標楷體" w:hAnsi="標楷體"/>
          <w:spacing w:val="-12"/>
          <w:kern w:val="0"/>
          <w:sz w:val="28"/>
          <w:szCs w:val="28"/>
          <w:lang w:val="x-none"/>
        </w:rPr>
        <w:t>28</w:t>
      </w:r>
      <w:r w:rsidRPr="001B6E4D">
        <w:rPr>
          <w:rFonts w:ascii="標楷體" w:eastAsia="標楷體" w:hAnsi="標楷體" w:hint="eastAsia"/>
          <w:spacing w:val="-12"/>
          <w:kern w:val="0"/>
          <w:sz w:val="28"/>
          <w:szCs w:val="28"/>
          <w:lang w:val="x-none" w:eastAsia="x-none"/>
        </w:rPr>
        <w:t>分</w:t>
      </w:r>
    </w:p>
    <w:p w14:paraId="7EECB84F" w14:textId="77777777" w:rsidR="00AF3BBE" w:rsidRPr="001B6E4D" w:rsidRDefault="00AF3BBE"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384118527"/>
          <w:lang w:val="x-none" w:eastAsia="x-none"/>
        </w:rPr>
        <w:t>地    點</w:t>
      </w:r>
      <w:r w:rsidRPr="001B6E4D">
        <w:rPr>
          <w:rFonts w:ascii="標楷體" w:eastAsia="標楷體" w:hAnsi="標楷體"/>
          <w:kern w:val="0"/>
          <w:sz w:val="28"/>
          <w:szCs w:val="28"/>
          <w:lang w:val="x-none" w:eastAsia="x-none"/>
        </w:rPr>
        <w:t>：本院紅樓302會議室</w:t>
      </w:r>
    </w:p>
    <w:p w14:paraId="5A67AAC7" w14:textId="77777777" w:rsidR="00AF3BBE" w:rsidRPr="001B6E4D" w:rsidRDefault="00AF3BBE"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莊瑞雄</w:t>
      </w:r>
      <w:r w:rsidRPr="001B6E4D">
        <w:rPr>
          <w:rFonts w:ascii="標楷體" w:eastAsia="標楷體" w:hAnsi="標楷體"/>
          <w:sz w:val="28"/>
          <w:szCs w:val="28"/>
        </w:rPr>
        <w:tab/>
      </w:r>
      <w:r w:rsidRPr="001B6E4D">
        <w:rPr>
          <w:rFonts w:ascii="標楷體" w:eastAsia="標楷體" w:hAnsi="標楷體" w:hint="eastAsia"/>
          <w:sz w:val="28"/>
          <w:szCs w:val="28"/>
        </w:rPr>
        <w:t>張雅琳</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t>翁曉玲</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p>
    <w:p w14:paraId="560F8CB4" w14:textId="77777777" w:rsidR="00AF3BBE" w:rsidRPr="001B6E4D" w:rsidRDefault="00AF3BBE"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林沛祥</w:t>
      </w:r>
      <w:r w:rsidRPr="001B6E4D">
        <w:rPr>
          <w:rFonts w:ascii="標楷體" w:eastAsia="標楷體" w:hAnsi="標楷體" w:hint="eastAsia"/>
          <w:sz w:val="28"/>
          <w:szCs w:val="28"/>
        </w:rPr>
        <w:tab/>
        <w:t>傅崐萁</w:t>
      </w:r>
      <w:r w:rsidRPr="001B6E4D">
        <w:rPr>
          <w:rFonts w:ascii="標楷體" w:eastAsia="標楷體" w:hAnsi="標楷體" w:hint="eastAsia"/>
          <w:sz w:val="28"/>
          <w:szCs w:val="28"/>
        </w:rPr>
        <w:tab/>
      </w:r>
    </w:p>
    <w:p w14:paraId="2D95AB43" w14:textId="77777777" w:rsidR="00AF3BBE" w:rsidRPr="001B6E4D" w:rsidRDefault="00AF3BBE"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10</w:t>
      </w:r>
      <w:r w:rsidRPr="001B6E4D">
        <w:rPr>
          <w:rFonts w:ascii="標楷體" w:eastAsia="標楷體" w:hAnsi="標楷體"/>
          <w:sz w:val="28"/>
          <w:szCs w:val="28"/>
        </w:rPr>
        <w:t>人</w:t>
      </w:r>
      <w:r w:rsidRPr="001B6E4D">
        <w:rPr>
          <w:rFonts w:ascii="標楷體" w:eastAsia="標楷體" w:hAnsi="標楷體" w:hint="eastAsia"/>
          <w:sz w:val="28"/>
          <w:szCs w:val="28"/>
        </w:rPr>
        <w:tab/>
      </w:r>
    </w:p>
    <w:p w14:paraId="61D7E2F5" w14:textId="77777777" w:rsidR="00AF3BBE" w:rsidRPr="001B6E4D" w:rsidRDefault="00AF3BBE"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hint="eastAsia"/>
          <w:sz w:val="28"/>
          <w:szCs w:val="28"/>
        </w:rPr>
        <w:tab/>
        <w:t>鄭正鈐</w:t>
      </w:r>
      <w:r w:rsidRPr="001B6E4D">
        <w:rPr>
          <w:rFonts w:ascii="標楷體" w:eastAsia="標楷體" w:hAnsi="標楷體" w:hint="eastAsia"/>
          <w:sz w:val="28"/>
          <w:szCs w:val="28"/>
        </w:rPr>
        <w:tab/>
        <w:t>蘇清泉</w:t>
      </w:r>
      <w:r w:rsidRPr="001B6E4D">
        <w:rPr>
          <w:rFonts w:ascii="標楷體" w:eastAsia="標楷體" w:hAnsi="標楷體" w:hint="eastAsia"/>
          <w:sz w:val="28"/>
          <w:szCs w:val="28"/>
        </w:rPr>
        <w:tab/>
        <w:t>陳冠廷</w:t>
      </w:r>
      <w:r w:rsidRPr="001B6E4D">
        <w:rPr>
          <w:rFonts w:ascii="標楷體" w:eastAsia="標楷體" w:hAnsi="標楷體" w:hint="eastAsia"/>
          <w:sz w:val="28"/>
          <w:szCs w:val="28"/>
        </w:rPr>
        <w:tab/>
        <w:t>林淑芬</w:t>
      </w:r>
    </w:p>
    <w:p w14:paraId="322AC4FE" w14:textId="77777777" w:rsidR="00AF3BBE" w:rsidRPr="001B6E4D" w:rsidRDefault="00AF3BBE"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列席5</w:t>
      </w:r>
      <w:r w:rsidRPr="001B6E4D">
        <w:rPr>
          <w:rFonts w:ascii="標楷體" w:eastAsia="標楷體" w:hAnsi="標楷體"/>
          <w:sz w:val="28"/>
          <w:szCs w:val="28"/>
        </w:rPr>
        <w:t>人</w:t>
      </w:r>
    </w:p>
    <w:p w14:paraId="2DD42502" w14:textId="77777777" w:rsidR="00AF3BBE" w:rsidRPr="001B6E4D" w:rsidRDefault="00AF3BBE"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司法院秘書長　高金枝</w:t>
      </w:r>
    </w:p>
    <w:p w14:paraId="3E9C844F" w14:textId="77777777" w:rsidR="00AF3BBE" w:rsidRPr="001B6E4D" w:rsidRDefault="00AF3BBE"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銓敘部政務次長　懷敍</w:t>
      </w:r>
    </w:p>
    <w:p w14:paraId="158CA896" w14:textId="77777777" w:rsidR="00AF3BBE" w:rsidRPr="001B6E4D" w:rsidRDefault="00AF3BBE"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highlight w:val="yellow"/>
        </w:rPr>
      </w:pPr>
      <w:r w:rsidRPr="001B6E4D">
        <w:rPr>
          <w:rFonts w:ascii="標楷體" w:eastAsia="標楷體" w:hAnsi="標楷體" w:hint="eastAsia"/>
          <w:kern w:val="0"/>
          <w:sz w:val="28"/>
          <w:szCs w:val="28"/>
        </w:rPr>
        <w:t>法務部檢察司司長　張曉雯(次長請假)</w:t>
      </w:r>
    </w:p>
    <w:p w14:paraId="502C4CD2" w14:textId="77777777" w:rsidR="00AF3BBE" w:rsidRPr="001B6E4D" w:rsidRDefault="00AF3BBE"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行政院人事行政總處政務副人事長　張秋元</w:t>
      </w:r>
    </w:p>
    <w:p w14:paraId="4E8BF552" w14:textId="77777777" w:rsidR="00AF3BBE" w:rsidRPr="001B6E4D" w:rsidRDefault="00AF3BBE"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行政院主計總處公務預算處專門委員　吳銘修</w:t>
      </w:r>
    </w:p>
    <w:p w14:paraId="6A4F2D3E" w14:textId="77777777" w:rsidR="00AF3BBE" w:rsidRPr="001B6E4D" w:rsidRDefault="00AF3BBE"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7A879749" w14:textId="77777777" w:rsidR="00AF3BBE" w:rsidRPr="001B6E4D" w:rsidRDefault="00AF3BBE"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3EC3BDB6" w14:textId="77777777" w:rsidR="00AF3BBE" w:rsidRPr="001B6E4D" w:rsidRDefault="00AF3BBE"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7651C20F" w14:textId="77777777" w:rsidR="00AF3BBE" w:rsidRPr="001B6E4D" w:rsidRDefault="00AF3BBE"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398EBC93" w14:textId="77777777" w:rsidR="00AF3BBE" w:rsidRPr="001B6E4D" w:rsidRDefault="00AF3BBE"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33E52872" w14:textId="77777777" w:rsidR="00AF3BBE" w:rsidRPr="001B6E4D" w:rsidRDefault="00AF3BBE"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794D7D78" w14:textId="77777777" w:rsidR="00AF3BBE" w:rsidRPr="001B6E4D" w:rsidRDefault="00AF3BBE"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2CD35F8D" w14:textId="77777777" w:rsidR="00AF3BBE" w:rsidRPr="001B6E4D" w:rsidRDefault="00AF3BBE" w:rsidP="003D1018">
      <w:pPr>
        <w:widowControl w:val="0"/>
        <w:overflowPunct w:val="0"/>
        <w:adjustRightInd w:val="0"/>
        <w:snapToGrid w:val="0"/>
        <w:spacing w:beforeLines="30" w:before="108"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440580E9" w14:textId="77777777" w:rsidR="00AF3BBE" w:rsidRPr="001B6E4D" w:rsidRDefault="00AF3BBE"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宣讀上次會議議事錄。</w:t>
      </w:r>
    </w:p>
    <w:p w14:paraId="222F3892" w14:textId="77777777" w:rsidR="00AF3BBE" w:rsidRPr="001B6E4D" w:rsidRDefault="00AF3BBE" w:rsidP="003D1018">
      <w:pPr>
        <w:widowControl w:val="0"/>
        <w:overflowPunct w:val="0"/>
        <w:adjustRightInd w:val="0"/>
        <w:snapToGrid w:val="0"/>
        <w:spacing w:line="360" w:lineRule="exact"/>
        <w:ind w:left="840" w:hangingChars="300" w:hanging="840"/>
        <w:jc w:val="both"/>
        <w:rPr>
          <w:rFonts w:ascii="標楷體" w:eastAsia="標楷體" w:hAnsi="標楷體"/>
          <w:kern w:val="0"/>
          <w:sz w:val="28"/>
          <w:szCs w:val="28"/>
        </w:rPr>
      </w:pPr>
      <w:r w:rsidRPr="001B6E4D">
        <w:rPr>
          <w:rFonts w:ascii="標楷體" w:eastAsia="標楷體" w:hAnsi="標楷體"/>
          <w:kern w:val="0"/>
          <w:sz w:val="28"/>
          <w:szCs w:val="28"/>
        </w:rPr>
        <w:t>決定：確定。</w:t>
      </w:r>
    </w:p>
    <w:p w14:paraId="089A0F49" w14:textId="77777777" w:rsidR="00AF3BBE" w:rsidRPr="001B6E4D" w:rsidRDefault="00AF3BBE" w:rsidP="003D1018">
      <w:pPr>
        <w:overflowPunct w:val="0"/>
        <w:adjustRightInd w:val="0"/>
        <w:snapToGrid w:val="0"/>
        <w:spacing w:beforeLines="30" w:before="108" w:line="360" w:lineRule="exact"/>
        <w:ind w:firstLineChars="398" w:firstLine="1115"/>
        <w:jc w:val="both"/>
        <w:rPr>
          <w:rFonts w:ascii="標楷體" w:eastAsia="標楷體" w:hAnsi="標楷體"/>
          <w:b/>
          <w:kern w:val="0"/>
          <w:sz w:val="28"/>
          <w:szCs w:val="28"/>
          <w:lang w:val="x-none" w:eastAsia="x-none"/>
        </w:rPr>
      </w:pPr>
      <w:r w:rsidRPr="001B6E4D">
        <w:rPr>
          <w:rFonts w:ascii="標楷體" w:eastAsia="標楷體" w:hAnsi="標楷體"/>
          <w:b/>
          <w:kern w:val="0"/>
          <w:sz w:val="28"/>
          <w:szCs w:val="28"/>
          <w:lang w:val="x-none"/>
        </w:rPr>
        <w:t>討論事項</w:t>
      </w:r>
    </w:p>
    <w:p w14:paraId="1949199F" w14:textId="77777777" w:rsidR="00AF3BBE" w:rsidRPr="001B6E4D" w:rsidRDefault="00AF3BBE" w:rsidP="003D1018">
      <w:pPr>
        <w:widowControl w:val="0"/>
        <w:overflowPunct w:val="0"/>
        <w:adjustRightInd w:val="0"/>
        <w:snapToGrid w:val="0"/>
        <w:spacing w:line="360" w:lineRule="exact"/>
        <w:ind w:left="560" w:hangingChars="200" w:hanging="560"/>
        <w:jc w:val="both"/>
        <w:rPr>
          <w:rFonts w:ascii="標楷體" w:eastAsia="標楷體" w:hAnsi="標楷體"/>
          <w:bCs/>
          <w:kern w:val="0"/>
          <w:sz w:val="28"/>
          <w:szCs w:val="28"/>
        </w:rPr>
      </w:pPr>
      <w:r w:rsidRPr="001B6E4D">
        <w:rPr>
          <w:rFonts w:ascii="標楷體" w:eastAsia="標楷體" w:hAnsi="標楷體" w:hint="eastAsia"/>
          <w:bCs/>
          <w:kern w:val="0"/>
          <w:sz w:val="28"/>
          <w:szCs w:val="28"/>
        </w:rPr>
        <w:t>一、</w:t>
      </w:r>
      <w:proofErr w:type="gramStart"/>
      <w:r w:rsidRPr="001B6E4D">
        <w:rPr>
          <w:rFonts w:ascii="標楷體" w:eastAsia="標楷體" w:hAnsi="標楷體" w:hint="eastAsia"/>
          <w:bCs/>
          <w:kern w:val="0"/>
          <w:sz w:val="28"/>
          <w:szCs w:val="28"/>
        </w:rPr>
        <w:t>併</w:t>
      </w:r>
      <w:proofErr w:type="gramEnd"/>
      <w:r w:rsidRPr="001B6E4D">
        <w:rPr>
          <w:rFonts w:ascii="標楷體" w:eastAsia="標楷體" w:hAnsi="標楷體" w:hint="eastAsia"/>
          <w:bCs/>
          <w:kern w:val="0"/>
          <w:sz w:val="28"/>
          <w:szCs w:val="28"/>
        </w:rPr>
        <w:t>案審查</w:t>
      </w:r>
    </w:p>
    <w:p w14:paraId="2468A1C9"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（一）委員翁曉玲等18人擬具「法院組織法部分條文修正草案」案。</w:t>
      </w:r>
    </w:p>
    <w:p w14:paraId="5D135843"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（二）委員王育敏等16人擬具「法院組織法部分條文修正草案」案。</w:t>
      </w:r>
    </w:p>
    <w:p w14:paraId="4A2DDDAD"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（三）委員羅智強等18人擬具「法院組織法部分條文修正草案」案。</w:t>
      </w:r>
    </w:p>
    <w:p w14:paraId="5C9E1FCB"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（四）委員吳宗憲等17人擬具「法院組織法部分條文修正草案」案。</w:t>
      </w:r>
    </w:p>
    <w:p w14:paraId="3936A8CE" w14:textId="77777777" w:rsidR="00AF3BBE" w:rsidRPr="001B6E4D" w:rsidRDefault="00AF3BBE" w:rsidP="003D1018">
      <w:pPr>
        <w:widowControl w:val="0"/>
        <w:overflowPunct w:val="0"/>
        <w:adjustRightInd w:val="0"/>
        <w:snapToGrid w:val="0"/>
        <w:spacing w:line="360" w:lineRule="exact"/>
        <w:ind w:left="560" w:hangingChars="200" w:hanging="560"/>
        <w:jc w:val="both"/>
        <w:rPr>
          <w:rFonts w:ascii="標楷體" w:eastAsia="標楷體" w:hAnsi="標楷體"/>
          <w:sz w:val="28"/>
          <w:szCs w:val="28"/>
        </w:rPr>
      </w:pPr>
      <w:r w:rsidRPr="001B6E4D">
        <w:rPr>
          <w:rFonts w:ascii="標楷體" w:eastAsia="標楷體" w:hAnsi="標楷體" w:hint="eastAsia"/>
          <w:sz w:val="28"/>
          <w:szCs w:val="28"/>
        </w:rPr>
        <w:t>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00F6BC8F"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（一）委員翁曉玲等18人擬具「行政法院組織法第二十一條、第二十二條及第二十四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4AC65A3"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（二）委員王育敏等19人擬具「行政法院組織法部分條文修正草案」案。</w:t>
      </w:r>
    </w:p>
    <w:p w14:paraId="34C3CDB9" w14:textId="77777777" w:rsidR="00AF3BBE" w:rsidRPr="001B6E4D" w:rsidRDefault="00AF3BBE" w:rsidP="003D1018">
      <w:pPr>
        <w:widowControl w:val="0"/>
        <w:overflowPunct w:val="0"/>
        <w:adjustRightInd w:val="0"/>
        <w:snapToGrid w:val="0"/>
        <w:spacing w:line="360" w:lineRule="exact"/>
        <w:ind w:left="560" w:hangingChars="200" w:hanging="560"/>
        <w:jc w:val="both"/>
        <w:rPr>
          <w:rFonts w:ascii="標楷體" w:eastAsia="標楷體" w:hAnsi="標楷體"/>
          <w:sz w:val="28"/>
          <w:szCs w:val="28"/>
        </w:rPr>
      </w:pPr>
      <w:r w:rsidRPr="001B6E4D">
        <w:rPr>
          <w:rFonts w:ascii="標楷體" w:eastAsia="標楷體" w:hAnsi="標楷體" w:hint="eastAsia"/>
          <w:sz w:val="28"/>
          <w:szCs w:val="28"/>
        </w:rPr>
        <w:t>三、</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56B7F754"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（一）委員翁曉玲等18人擬具「智慧財產及商業法院組織法第十八條及第二十一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A982DCA"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（二）委員王育敏等20人擬具「智慧財產及商業法院組織法第十八條、第二十一條及第三十七</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B217F7D"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（三）委員羅智強等18人擬具「智慧財產及商業法院組織法第十八條、第二十一條及第三十七</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F24C7D5" w14:textId="77777777" w:rsidR="00AF3BBE" w:rsidRPr="001B6E4D" w:rsidRDefault="00AF3BBE" w:rsidP="003D1018">
      <w:pPr>
        <w:widowControl w:val="0"/>
        <w:overflowPunct w:val="0"/>
        <w:adjustRightInd w:val="0"/>
        <w:snapToGrid w:val="0"/>
        <w:spacing w:line="360" w:lineRule="exact"/>
        <w:ind w:left="560" w:hangingChars="200" w:hanging="560"/>
        <w:jc w:val="both"/>
        <w:rPr>
          <w:rFonts w:ascii="標楷體" w:eastAsia="標楷體" w:hAnsi="標楷體"/>
          <w:sz w:val="28"/>
          <w:szCs w:val="28"/>
        </w:rPr>
      </w:pPr>
      <w:r w:rsidRPr="001B6E4D">
        <w:rPr>
          <w:rFonts w:ascii="標楷體" w:eastAsia="標楷體" w:hAnsi="標楷體" w:hint="eastAsia"/>
          <w:sz w:val="28"/>
          <w:szCs w:val="28"/>
        </w:rPr>
        <w:t>四、</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41132619"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（一）委員翁曉玲等18人擬具「少年及家事法院組織法第十四條及第十五</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6A96055"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（二）委員王育敏等20人擬具「少年及家事法院組織法部分條文修正草案」案。</w:t>
      </w:r>
    </w:p>
    <w:p w14:paraId="7AE148C9" w14:textId="77777777" w:rsidR="00AF3BBE" w:rsidRPr="001B6E4D" w:rsidRDefault="00AF3BBE" w:rsidP="003D1018">
      <w:pPr>
        <w:widowControl w:val="0"/>
        <w:overflowPunct w:val="0"/>
        <w:adjustRightInd w:val="0"/>
        <w:snapToGrid w:val="0"/>
        <w:spacing w:line="360" w:lineRule="exact"/>
        <w:ind w:left="560" w:hangingChars="200" w:hanging="560"/>
        <w:jc w:val="both"/>
        <w:rPr>
          <w:rFonts w:ascii="標楷體" w:eastAsia="標楷體" w:hAnsi="標楷體"/>
          <w:sz w:val="28"/>
          <w:szCs w:val="28"/>
        </w:rPr>
      </w:pPr>
      <w:r w:rsidRPr="001B6E4D">
        <w:rPr>
          <w:rFonts w:ascii="標楷體" w:eastAsia="標楷體" w:hAnsi="標楷體" w:hint="eastAsia"/>
          <w:sz w:val="28"/>
          <w:szCs w:val="28"/>
        </w:rPr>
        <w:t>五、</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2FB231CB"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（一）委員翁曉玲等18人擬具「懲戒法院組織法第六條及第七</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22D0C70" w14:textId="77777777" w:rsidR="00AF3BBE" w:rsidRPr="001B6E4D" w:rsidRDefault="00AF3BBE"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（二）委員王育敏等20人擬具「懲戒法院組織法部分條文修正草案」案。</w:t>
      </w:r>
    </w:p>
    <w:p w14:paraId="754320C4" w14:textId="77777777" w:rsidR="00AF3BBE" w:rsidRPr="001B6E4D" w:rsidRDefault="00AF3BBE" w:rsidP="003D1018">
      <w:pPr>
        <w:overflowPunct w:val="0"/>
        <w:adjustRightInd w:val="0"/>
        <w:snapToGrid w:val="0"/>
        <w:spacing w:line="360" w:lineRule="exact"/>
        <w:ind w:leftChars="-53" w:left="13" w:hangingChars="50" w:hanging="140"/>
        <w:jc w:val="both"/>
        <w:rPr>
          <w:rFonts w:ascii="標楷體" w:eastAsia="標楷體" w:hAnsi="標楷體"/>
          <w:bCs/>
          <w:sz w:val="28"/>
          <w:szCs w:val="28"/>
        </w:rPr>
      </w:pPr>
      <w:proofErr w:type="gramStart"/>
      <w:r w:rsidRPr="001B6E4D">
        <w:rPr>
          <w:rFonts w:ascii="標楷體" w:eastAsia="標楷體" w:hAnsi="標楷體"/>
          <w:bCs/>
          <w:sz w:val="28"/>
          <w:szCs w:val="28"/>
        </w:rPr>
        <w:t>（</w:t>
      </w:r>
      <w:proofErr w:type="gramEnd"/>
      <w:r w:rsidRPr="001B6E4D">
        <w:rPr>
          <w:rFonts w:ascii="標楷體" w:eastAsia="標楷體" w:hAnsi="標楷體"/>
          <w:bCs/>
          <w:sz w:val="28"/>
          <w:szCs w:val="28"/>
        </w:rPr>
        <w:t>本</w:t>
      </w:r>
      <w:r w:rsidRPr="001B6E4D">
        <w:rPr>
          <w:rFonts w:ascii="標楷體" w:eastAsia="標楷體" w:hAnsi="標楷體" w:hint="eastAsia"/>
          <w:bCs/>
          <w:sz w:val="28"/>
          <w:szCs w:val="28"/>
        </w:rPr>
        <w:t>次</w:t>
      </w:r>
      <w:r w:rsidRPr="001B6E4D">
        <w:rPr>
          <w:rFonts w:ascii="標楷體" w:eastAsia="標楷體" w:hAnsi="標楷體" w:hint="eastAsia"/>
          <w:sz w:val="28"/>
          <w:szCs w:val="28"/>
        </w:rPr>
        <w:t>會議</w:t>
      </w:r>
      <w:r w:rsidRPr="001B6E4D">
        <w:rPr>
          <w:rFonts w:ascii="標楷體" w:eastAsia="標楷體" w:hAnsi="標楷體" w:hint="eastAsia"/>
          <w:bCs/>
          <w:sz w:val="28"/>
          <w:szCs w:val="28"/>
        </w:rPr>
        <w:t>有</w:t>
      </w:r>
      <w:r w:rsidRPr="001B6E4D">
        <w:rPr>
          <w:rFonts w:ascii="標楷體" w:eastAsia="標楷體" w:hAnsi="標楷體"/>
          <w:bCs/>
          <w:sz w:val="28"/>
          <w:szCs w:val="28"/>
        </w:rPr>
        <w:t>委員</w:t>
      </w:r>
      <w:r w:rsidRPr="001B6E4D">
        <w:rPr>
          <w:rFonts w:ascii="標楷體" w:eastAsia="標楷體" w:hAnsi="標楷體" w:hint="eastAsia"/>
          <w:bCs/>
          <w:sz w:val="28"/>
          <w:szCs w:val="28"/>
        </w:rPr>
        <w:t>陳昭姿、吳宗憲、張雅琳、翁曉玲、沈發惠、莊瑞雄、林淑芬、</w:t>
      </w:r>
      <w:proofErr w:type="gramStart"/>
      <w:r w:rsidRPr="001B6E4D">
        <w:rPr>
          <w:rFonts w:ascii="標楷體" w:eastAsia="標楷體" w:hAnsi="標楷體" w:hint="eastAsia"/>
          <w:bCs/>
          <w:sz w:val="28"/>
          <w:szCs w:val="28"/>
        </w:rPr>
        <w:t>范</w:t>
      </w:r>
      <w:proofErr w:type="gramEnd"/>
      <w:r w:rsidRPr="001B6E4D">
        <w:rPr>
          <w:rFonts w:ascii="標楷體" w:eastAsia="標楷體" w:hAnsi="標楷體" w:hint="eastAsia"/>
          <w:bCs/>
          <w:sz w:val="28"/>
          <w:szCs w:val="28"/>
        </w:rPr>
        <w:t>雲</w:t>
      </w:r>
      <w:r w:rsidRPr="001B6E4D">
        <w:rPr>
          <w:rFonts w:ascii="標楷體" w:eastAsia="標楷體" w:hAnsi="標楷體"/>
          <w:bCs/>
          <w:sz w:val="28"/>
          <w:szCs w:val="28"/>
        </w:rPr>
        <w:t>提出質詢</w:t>
      </w:r>
      <w:r w:rsidRPr="001B6E4D">
        <w:rPr>
          <w:rFonts w:ascii="標楷體" w:eastAsia="標楷體" w:hAnsi="標楷體" w:hint="eastAsia"/>
          <w:bCs/>
          <w:sz w:val="28"/>
          <w:szCs w:val="28"/>
        </w:rPr>
        <w:t>；委員蔡其昌、傅崐萁、許宇甄提出書面質詢。</w:t>
      </w:r>
      <w:r w:rsidRPr="001B6E4D">
        <w:rPr>
          <w:rFonts w:ascii="標楷體" w:eastAsia="標楷體" w:hAnsi="標楷體"/>
          <w:bCs/>
          <w:sz w:val="28"/>
          <w:szCs w:val="28"/>
        </w:rPr>
        <w:t>）</w:t>
      </w:r>
    </w:p>
    <w:p w14:paraId="2B4CF79D" w14:textId="77777777" w:rsidR="00AF3BBE" w:rsidRPr="001B6E4D" w:rsidRDefault="00AF3BBE" w:rsidP="003D1018">
      <w:pPr>
        <w:overflowPunct w:val="0"/>
        <w:spacing w:line="360" w:lineRule="exact"/>
        <w:ind w:leftChars="6" w:left="574" w:hangingChars="200" w:hanging="560"/>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42C417FA" w14:textId="77777777" w:rsidR="00AF3BBE" w:rsidRPr="001B6E4D" w:rsidRDefault="00AF3BBE" w:rsidP="003D1018">
      <w:pPr>
        <w:overflowPunct w:val="0"/>
        <w:spacing w:line="360" w:lineRule="exact"/>
        <w:ind w:leftChars="6" w:left="574" w:hangingChars="200" w:hanging="560"/>
        <w:contextualSpacing/>
        <w:jc w:val="both"/>
        <w:rPr>
          <w:rFonts w:ascii="標楷體" w:eastAsia="標楷體" w:hAnsi="標楷體"/>
          <w:bCs/>
          <w:sz w:val="28"/>
          <w:szCs w:val="28"/>
        </w:rPr>
      </w:pPr>
      <w:r w:rsidRPr="001B6E4D">
        <w:rPr>
          <w:rFonts w:ascii="標楷體" w:eastAsia="標楷體" w:hAnsi="標楷體"/>
          <w:bCs/>
          <w:sz w:val="28"/>
          <w:szCs w:val="28"/>
        </w:rPr>
        <w:t>一、</w:t>
      </w:r>
      <w:r w:rsidRPr="001B6E4D">
        <w:rPr>
          <w:rFonts w:ascii="標楷體" w:eastAsia="標楷體" w:hAnsi="標楷體" w:hint="eastAsia"/>
          <w:bCs/>
          <w:sz w:val="28"/>
          <w:szCs w:val="28"/>
        </w:rPr>
        <w:t>報告及</w:t>
      </w:r>
      <w:proofErr w:type="gramStart"/>
      <w:r w:rsidRPr="001B6E4D">
        <w:rPr>
          <w:rFonts w:ascii="標楷體" w:eastAsia="標楷體" w:hAnsi="標楷體" w:hint="eastAsia"/>
          <w:bCs/>
          <w:sz w:val="28"/>
          <w:szCs w:val="28"/>
        </w:rPr>
        <w:t>詢</w:t>
      </w:r>
      <w:proofErr w:type="gramEnd"/>
      <w:r w:rsidRPr="001B6E4D">
        <w:rPr>
          <w:rFonts w:ascii="標楷體" w:eastAsia="標楷體" w:hAnsi="標楷體" w:hint="eastAsia"/>
          <w:bCs/>
          <w:sz w:val="28"/>
          <w:szCs w:val="28"/>
        </w:rPr>
        <w:t>答完畢。</w:t>
      </w:r>
    </w:p>
    <w:p w14:paraId="77D8B8C5" w14:textId="77777777" w:rsidR="00AF3BBE" w:rsidRPr="001B6E4D" w:rsidRDefault="00AF3BBE" w:rsidP="003D1018">
      <w:pPr>
        <w:overflowPunct w:val="0"/>
        <w:spacing w:line="360" w:lineRule="exact"/>
        <w:ind w:leftChars="6" w:left="574" w:hangingChars="200" w:hanging="560"/>
        <w:contextualSpacing/>
        <w:jc w:val="both"/>
        <w:rPr>
          <w:rFonts w:ascii="標楷體" w:eastAsia="標楷體" w:hAnsi="標楷體"/>
          <w:bCs/>
          <w:sz w:val="28"/>
          <w:szCs w:val="28"/>
        </w:rPr>
      </w:pPr>
      <w:r w:rsidRPr="001B6E4D">
        <w:rPr>
          <w:rFonts w:ascii="標楷體" w:eastAsia="標楷體" w:hAnsi="標楷體" w:hint="eastAsia"/>
          <w:bCs/>
          <w:sz w:val="28"/>
          <w:szCs w:val="28"/>
        </w:rPr>
        <w:t>二、第一案至第五案，</w:t>
      </w:r>
      <w:proofErr w:type="gramStart"/>
      <w:r w:rsidRPr="001B6E4D">
        <w:rPr>
          <w:rFonts w:ascii="標楷體" w:eastAsia="標楷體" w:hAnsi="標楷體" w:hint="eastAsia"/>
          <w:bCs/>
          <w:sz w:val="28"/>
          <w:szCs w:val="28"/>
        </w:rPr>
        <w:t>均另定期</w:t>
      </w:r>
      <w:proofErr w:type="gramEnd"/>
      <w:r w:rsidRPr="001B6E4D">
        <w:rPr>
          <w:rFonts w:ascii="標楷體" w:eastAsia="標楷體" w:hAnsi="標楷體" w:hint="eastAsia"/>
          <w:bCs/>
          <w:sz w:val="28"/>
          <w:szCs w:val="28"/>
        </w:rPr>
        <w:t>繼續審查。</w:t>
      </w:r>
    </w:p>
    <w:p w14:paraId="50354D6F" w14:textId="77777777" w:rsidR="00AF3BBE" w:rsidRPr="001B6E4D" w:rsidRDefault="00AF3BBE" w:rsidP="003D1018">
      <w:pPr>
        <w:overflowPunct w:val="0"/>
        <w:spacing w:line="360" w:lineRule="exact"/>
        <w:ind w:leftChars="6" w:left="574" w:hangingChars="200" w:hanging="560"/>
        <w:contextualSpacing/>
        <w:jc w:val="both"/>
        <w:rPr>
          <w:rFonts w:ascii="標楷體" w:eastAsia="標楷體" w:hAnsi="標楷體"/>
          <w:bCs/>
          <w:sz w:val="28"/>
          <w:szCs w:val="28"/>
        </w:rPr>
      </w:pPr>
      <w:r w:rsidRPr="001B6E4D">
        <w:rPr>
          <w:rFonts w:ascii="標楷體" w:eastAsia="標楷體" w:hAnsi="標楷體" w:hint="eastAsia"/>
          <w:bCs/>
          <w:sz w:val="28"/>
          <w:szCs w:val="28"/>
        </w:rPr>
        <w:t>三、</w:t>
      </w:r>
      <w:r w:rsidRPr="001B6E4D">
        <w:rPr>
          <w:rFonts w:ascii="標楷體" w:eastAsia="標楷體" w:hAnsi="標楷體"/>
          <w:bCs/>
          <w:sz w:val="28"/>
          <w:szCs w:val="28"/>
        </w:rPr>
        <w:t>委員質詢時，要求提供相關資料或以書面答復者，請相關機關儘速送交個別委員</w:t>
      </w:r>
      <w:r w:rsidRPr="001B6E4D">
        <w:rPr>
          <w:rFonts w:ascii="標楷體" w:eastAsia="標楷體" w:hAnsi="標楷體" w:hint="eastAsia"/>
          <w:bCs/>
          <w:sz w:val="28"/>
          <w:szCs w:val="28"/>
        </w:rPr>
        <w:t>及</w:t>
      </w:r>
      <w:r w:rsidRPr="001B6E4D">
        <w:rPr>
          <w:rFonts w:ascii="標楷體" w:eastAsia="標楷體" w:hAnsi="標楷體"/>
          <w:bCs/>
          <w:sz w:val="28"/>
          <w:szCs w:val="28"/>
        </w:rPr>
        <w:t>本會。</w:t>
      </w:r>
    </w:p>
    <w:p w14:paraId="27E87C82" w14:textId="77777777" w:rsidR="00AF3BBE" w:rsidRPr="001B6E4D" w:rsidRDefault="00AF3BBE" w:rsidP="003D1018">
      <w:pPr>
        <w:widowControl w:val="0"/>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412009C9" w14:textId="77777777" w:rsidR="00AF7AC9" w:rsidRPr="001B6E4D" w:rsidRDefault="00AF7AC9"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r w:rsidRPr="001B6E4D">
        <w:rPr>
          <w:rFonts w:ascii="標楷體" w:eastAsia="標楷體" w:hAnsi="標楷體"/>
          <w:b/>
          <w:spacing w:val="-2"/>
          <w:sz w:val="28"/>
          <w:szCs w:val="28"/>
        </w:rPr>
        <w:br w:type="page"/>
      </w:r>
    </w:p>
    <w:p w14:paraId="3771A15C" w14:textId="14A961F7" w:rsidR="00AF3BBE" w:rsidRPr="001B6E4D" w:rsidRDefault="00AF3BBE" w:rsidP="003D1018">
      <w:pPr>
        <w:overflowPunct w:val="0"/>
        <w:spacing w:beforeLines="50" w:before="180" w:afterLines="50" w:after="180" w:line="360" w:lineRule="exact"/>
        <w:ind w:leftChars="6" w:left="567" w:hangingChars="200" w:hanging="553"/>
        <w:jc w:val="center"/>
        <w:outlineLvl w:val="2"/>
        <w:rPr>
          <w:rFonts w:ascii="標楷體" w:eastAsia="標楷體" w:hAnsi="標楷體"/>
          <w:b/>
          <w:spacing w:val="-2"/>
          <w:sz w:val="28"/>
          <w:szCs w:val="28"/>
        </w:rPr>
      </w:pPr>
      <w:bookmarkStart w:id="547" w:name="_Toc240446613"/>
      <w:r w:rsidRPr="001B6E4D">
        <w:rPr>
          <w:rFonts w:ascii="標楷體" w:eastAsia="標楷體" w:hAnsi="標楷體"/>
          <w:b/>
          <w:spacing w:val="-2"/>
          <w:sz w:val="28"/>
          <w:szCs w:val="28"/>
        </w:rPr>
        <w:lastRenderedPageBreak/>
        <w:t>立法院第</w:t>
      </w:r>
      <w:r w:rsidRPr="001B6E4D">
        <w:rPr>
          <w:rFonts w:ascii="標楷體" w:eastAsia="標楷體" w:hAnsi="標楷體" w:hint="eastAsia"/>
          <w:b/>
          <w:spacing w:val="-2"/>
          <w:sz w:val="28"/>
          <w:szCs w:val="28"/>
        </w:rPr>
        <w:t>11</w:t>
      </w:r>
      <w:r w:rsidRPr="001B6E4D">
        <w:rPr>
          <w:rFonts w:ascii="標楷體" w:eastAsia="標楷體" w:hAnsi="標楷體"/>
          <w:b/>
          <w:spacing w:val="-2"/>
          <w:sz w:val="28"/>
          <w:szCs w:val="28"/>
        </w:rPr>
        <w:t>屆第</w:t>
      </w:r>
      <w:r w:rsidRPr="001B6E4D">
        <w:rPr>
          <w:rFonts w:ascii="標楷體" w:eastAsia="標楷體" w:hAnsi="標楷體" w:hint="eastAsia"/>
          <w:b/>
          <w:spacing w:val="-2"/>
          <w:sz w:val="28"/>
          <w:szCs w:val="28"/>
        </w:rPr>
        <w:t>5</w:t>
      </w:r>
      <w:r w:rsidRPr="001B6E4D">
        <w:rPr>
          <w:rFonts w:ascii="標楷體" w:eastAsia="標楷體" w:hAnsi="標楷體"/>
          <w:b/>
          <w:spacing w:val="-2"/>
          <w:sz w:val="28"/>
          <w:szCs w:val="28"/>
        </w:rPr>
        <w:t>會期司法及法制委員會第</w:t>
      </w:r>
      <w:r w:rsidRPr="001B6E4D">
        <w:rPr>
          <w:rFonts w:ascii="標楷體" w:eastAsia="標楷體" w:hAnsi="標楷體" w:hint="eastAsia"/>
          <w:b/>
          <w:spacing w:val="-2"/>
          <w:sz w:val="28"/>
          <w:szCs w:val="28"/>
        </w:rPr>
        <w:t>29</w:t>
      </w:r>
      <w:r w:rsidRPr="001B6E4D">
        <w:rPr>
          <w:rFonts w:ascii="標楷體" w:eastAsia="標楷體" w:hAnsi="標楷體"/>
          <w:b/>
          <w:spacing w:val="-2"/>
          <w:sz w:val="28"/>
          <w:szCs w:val="28"/>
        </w:rPr>
        <w:t>次全體委員會議議事錄</w:t>
      </w:r>
      <w:bookmarkEnd w:id="547"/>
    </w:p>
    <w:p w14:paraId="1D482522" w14:textId="77777777" w:rsidR="00AF3BBE" w:rsidRPr="001B6E4D" w:rsidRDefault="00AF3BBE" w:rsidP="003D1018">
      <w:pPr>
        <w:overflowPunct w:val="0"/>
        <w:adjustRightInd w:val="0"/>
        <w:snapToGrid w:val="0"/>
        <w:spacing w:line="360" w:lineRule="exact"/>
        <w:ind w:leftChars="1" w:left="1430" w:hangingChars="510" w:hanging="1428"/>
        <w:rPr>
          <w:rFonts w:ascii="標楷體" w:eastAsia="標楷體" w:hAnsi="標楷體"/>
          <w:spacing w:val="-10"/>
          <w:kern w:val="0"/>
          <w:sz w:val="28"/>
          <w:szCs w:val="28"/>
        </w:rPr>
      </w:pPr>
      <w:r w:rsidRPr="001B6E4D">
        <w:rPr>
          <w:rFonts w:ascii="標楷體" w:eastAsia="標楷體" w:hAnsi="標楷體"/>
          <w:kern w:val="0"/>
          <w:sz w:val="28"/>
          <w:szCs w:val="28"/>
          <w:fitText w:val="1120" w:id="-384118526"/>
          <w:lang w:val="x-none" w:eastAsia="x-none"/>
        </w:rPr>
        <w:t>時    間</w:t>
      </w:r>
      <w:r w:rsidRPr="001B6E4D">
        <w:rPr>
          <w:rFonts w:ascii="標楷體" w:eastAsia="標楷體" w:hAnsi="標楷體"/>
          <w:spacing w:val="-10"/>
          <w:kern w:val="0"/>
          <w:sz w:val="28"/>
          <w:szCs w:val="28"/>
          <w:lang w:val="x-none" w:eastAsia="x-none"/>
        </w:rPr>
        <w:t>：</w:t>
      </w:r>
      <w:r w:rsidRPr="001B6E4D">
        <w:rPr>
          <w:rFonts w:ascii="標楷體" w:eastAsia="標楷體" w:hAnsi="標楷體"/>
          <w:spacing w:val="-18"/>
          <w:kern w:val="0"/>
          <w:sz w:val="28"/>
          <w:szCs w:val="28"/>
          <w:lang w:val="x-none" w:eastAsia="x-none"/>
        </w:rPr>
        <w:t>中華民國</w:t>
      </w:r>
      <w:r w:rsidRPr="001B6E4D">
        <w:rPr>
          <w:rFonts w:ascii="標楷體" w:eastAsia="標楷體" w:hAnsi="標楷體" w:hint="eastAsia"/>
          <w:spacing w:val="-18"/>
          <w:kern w:val="0"/>
          <w:sz w:val="28"/>
          <w:szCs w:val="28"/>
          <w:lang w:val="x-none"/>
        </w:rPr>
        <w:t>115</w:t>
      </w:r>
      <w:r w:rsidRPr="001B6E4D">
        <w:rPr>
          <w:rFonts w:ascii="標楷體" w:eastAsia="標楷體" w:hAnsi="標楷體"/>
          <w:spacing w:val="-18"/>
          <w:kern w:val="0"/>
          <w:sz w:val="28"/>
          <w:szCs w:val="28"/>
          <w:lang w:val="x-none" w:eastAsia="x-none"/>
        </w:rPr>
        <w:t>年</w:t>
      </w:r>
      <w:r w:rsidRPr="001B6E4D">
        <w:rPr>
          <w:rFonts w:ascii="標楷體" w:eastAsia="標楷體" w:hAnsi="標楷體" w:hint="eastAsia"/>
          <w:spacing w:val="-18"/>
          <w:kern w:val="0"/>
          <w:sz w:val="28"/>
          <w:szCs w:val="28"/>
          <w:lang w:val="x-none"/>
        </w:rPr>
        <w:t>8</w:t>
      </w:r>
      <w:r w:rsidRPr="001B6E4D">
        <w:rPr>
          <w:rFonts w:ascii="標楷體" w:eastAsia="標楷體" w:hAnsi="標楷體"/>
          <w:spacing w:val="-18"/>
          <w:kern w:val="0"/>
          <w:sz w:val="28"/>
          <w:szCs w:val="28"/>
          <w:lang w:val="x-none" w:eastAsia="x-none"/>
        </w:rPr>
        <w:t>月</w:t>
      </w:r>
      <w:r w:rsidRPr="001B6E4D">
        <w:rPr>
          <w:rFonts w:ascii="標楷體" w:eastAsia="標楷體" w:hAnsi="標楷體"/>
          <w:spacing w:val="-18"/>
          <w:kern w:val="0"/>
          <w:sz w:val="28"/>
          <w:szCs w:val="28"/>
          <w:lang w:val="x-none"/>
        </w:rPr>
        <w:t>1</w:t>
      </w:r>
      <w:r w:rsidRPr="001B6E4D">
        <w:rPr>
          <w:rFonts w:ascii="標楷體" w:eastAsia="標楷體" w:hAnsi="標楷體" w:hint="eastAsia"/>
          <w:spacing w:val="-18"/>
          <w:kern w:val="0"/>
          <w:sz w:val="28"/>
          <w:szCs w:val="28"/>
          <w:lang w:val="x-none"/>
        </w:rPr>
        <w:t>9</w:t>
      </w:r>
      <w:r w:rsidRPr="001B6E4D">
        <w:rPr>
          <w:rFonts w:ascii="標楷體" w:eastAsia="標楷體" w:hAnsi="標楷體"/>
          <w:spacing w:val="-18"/>
          <w:kern w:val="0"/>
          <w:sz w:val="28"/>
          <w:szCs w:val="28"/>
          <w:lang w:val="x-none" w:eastAsia="x-none"/>
        </w:rPr>
        <w:t>日（星期</w:t>
      </w:r>
      <w:r w:rsidRPr="001B6E4D">
        <w:rPr>
          <w:rFonts w:ascii="標楷體" w:eastAsia="標楷體" w:hAnsi="標楷體" w:hint="eastAsia"/>
          <w:spacing w:val="-18"/>
          <w:kern w:val="0"/>
          <w:sz w:val="28"/>
          <w:szCs w:val="28"/>
          <w:lang w:val="x-none"/>
        </w:rPr>
        <w:t>三</w:t>
      </w:r>
      <w:r w:rsidRPr="001B6E4D">
        <w:rPr>
          <w:rFonts w:ascii="標楷體" w:eastAsia="標楷體" w:hAnsi="標楷體"/>
          <w:spacing w:val="-18"/>
          <w:kern w:val="0"/>
          <w:sz w:val="28"/>
          <w:szCs w:val="28"/>
          <w:lang w:val="x-none" w:eastAsia="x-none"/>
        </w:rPr>
        <w:t>）上午</w:t>
      </w:r>
      <w:r w:rsidRPr="001B6E4D">
        <w:rPr>
          <w:rFonts w:ascii="標楷體" w:eastAsia="標楷體" w:hAnsi="標楷體" w:hint="eastAsia"/>
          <w:spacing w:val="-18"/>
          <w:kern w:val="0"/>
          <w:sz w:val="28"/>
          <w:szCs w:val="28"/>
          <w:lang w:val="x-none"/>
        </w:rPr>
        <w:t>9</w:t>
      </w:r>
      <w:r w:rsidRPr="001B6E4D">
        <w:rPr>
          <w:rFonts w:ascii="標楷體" w:eastAsia="標楷體" w:hAnsi="標楷體"/>
          <w:spacing w:val="-18"/>
          <w:kern w:val="0"/>
          <w:sz w:val="28"/>
          <w:szCs w:val="28"/>
          <w:lang w:val="x-none" w:eastAsia="x-none"/>
        </w:rPr>
        <w:t>時5</w:t>
      </w:r>
      <w:r w:rsidRPr="001B6E4D">
        <w:rPr>
          <w:rFonts w:ascii="標楷體" w:eastAsia="標楷體" w:hAnsi="標楷體" w:hint="eastAsia"/>
          <w:spacing w:val="-18"/>
          <w:kern w:val="0"/>
          <w:sz w:val="28"/>
          <w:szCs w:val="28"/>
          <w:lang w:val="x-none"/>
        </w:rPr>
        <w:t>分</w:t>
      </w:r>
      <w:proofErr w:type="spellStart"/>
      <w:r w:rsidRPr="001B6E4D">
        <w:rPr>
          <w:rFonts w:ascii="標楷體" w:eastAsia="標楷體" w:hAnsi="標楷體"/>
          <w:spacing w:val="-18"/>
          <w:kern w:val="0"/>
          <w:sz w:val="28"/>
          <w:szCs w:val="28"/>
          <w:lang w:val="x-none" w:eastAsia="x-none"/>
        </w:rPr>
        <w:t>至</w:t>
      </w:r>
      <w:r w:rsidRPr="001B6E4D">
        <w:rPr>
          <w:rFonts w:ascii="標楷體" w:eastAsia="標楷體" w:hAnsi="標楷體" w:hint="eastAsia"/>
          <w:spacing w:val="-18"/>
          <w:kern w:val="0"/>
          <w:sz w:val="28"/>
          <w:szCs w:val="28"/>
          <w:lang w:val="x-none"/>
        </w:rPr>
        <w:t>下午</w:t>
      </w:r>
      <w:proofErr w:type="spellEnd"/>
      <w:r w:rsidRPr="001B6E4D">
        <w:rPr>
          <w:rFonts w:ascii="標楷體" w:eastAsia="標楷體" w:hAnsi="標楷體"/>
          <w:spacing w:val="-18"/>
          <w:kern w:val="0"/>
          <w:sz w:val="28"/>
          <w:szCs w:val="28"/>
          <w:lang w:val="x-none"/>
        </w:rPr>
        <w:t>1</w:t>
      </w:r>
      <w:r w:rsidRPr="001B6E4D">
        <w:rPr>
          <w:rFonts w:ascii="標楷體" w:eastAsia="標楷體" w:hAnsi="標楷體"/>
          <w:spacing w:val="-18"/>
          <w:kern w:val="0"/>
          <w:sz w:val="28"/>
          <w:szCs w:val="28"/>
          <w:lang w:val="x-none" w:eastAsia="x-none"/>
        </w:rPr>
        <w:t>時</w:t>
      </w:r>
      <w:r w:rsidRPr="001B6E4D">
        <w:rPr>
          <w:rFonts w:ascii="標楷體" w:eastAsia="標楷體" w:hAnsi="標楷體" w:hint="eastAsia"/>
          <w:spacing w:val="-18"/>
          <w:kern w:val="0"/>
          <w:sz w:val="28"/>
          <w:szCs w:val="28"/>
          <w:lang w:val="x-none"/>
        </w:rPr>
        <w:t>1</w:t>
      </w:r>
      <w:r w:rsidRPr="001B6E4D">
        <w:rPr>
          <w:rFonts w:ascii="標楷體" w:eastAsia="標楷體" w:hAnsi="標楷體" w:hint="eastAsia"/>
          <w:spacing w:val="-18"/>
          <w:kern w:val="0"/>
          <w:sz w:val="28"/>
          <w:szCs w:val="28"/>
          <w:lang w:val="x-none" w:eastAsia="x-none"/>
        </w:rPr>
        <w:t>分</w:t>
      </w:r>
    </w:p>
    <w:p w14:paraId="73C5539A" w14:textId="77777777" w:rsidR="00AF3BBE" w:rsidRPr="001B6E4D" w:rsidRDefault="00AF3BBE"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384118525"/>
          <w:lang w:val="x-none" w:eastAsia="x-none"/>
        </w:rPr>
        <w:t>地    點</w:t>
      </w:r>
      <w:r w:rsidRPr="001B6E4D">
        <w:rPr>
          <w:rFonts w:ascii="標楷體" w:eastAsia="標楷體" w:hAnsi="標楷體"/>
          <w:kern w:val="0"/>
          <w:sz w:val="28"/>
          <w:szCs w:val="28"/>
          <w:lang w:val="x-none" w:eastAsia="x-none"/>
        </w:rPr>
        <w:t>：本院紅樓302會議室</w:t>
      </w:r>
    </w:p>
    <w:p w14:paraId="74253B5F" w14:textId="77777777" w:rsidR="00AF3BBE" w:rsidRPr="001B6E4D" w:rsidRDefault="00AF3BBE"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t>林倩綺</w:t>
      </w:r>
      <w:r w:rsidRPr="001B6E4D">
        <w:rPr>
          <w:rFonts w:ascii="標楷體" w:eastAsia="標楷體" w:hAnsi="標楷體" w:hint="eastAsia"/>
          <w:sz w:val="28"/>
          <w:szCs w:val="28"/>
        </w:rPr>
        <w:tab/>
        <w:t>莊瑞雄</w:t>
      </w:r>
      <w:r w:rsidRPr="001B6E4D">
        <w:rPr>
          <w:rFonts w:ascii="標楷體" w:eastAsia="標楷體" w:hAnsi="標楷體"/>
          <w:sz w:val="28"/>
          <w:szCs w:val="28"/>
        </w:rPr>
        <w:tab/>
      </w:r>
      <w:r w:rsidRPr="001B6E4D">
        <w:rPr>
          <w:rFonts w:ascii="標楷體" w:eastAsia="標楷體" w:hAnsi="標楷體" w:hint="eastAsia"/>
          <w:sz w:val="28"/>
          <w:szCs w:val="28"/>
        </w:rPr>
        <w:t>翁曉玲</w:t>
      </w:r>
      <w:r w:rsidRPr="001B6E4D">
        <w:rPr>
          <w:rFonts w:ascii="標楷體" w:eastAsia="標楷體" w:hAnsi="標楷體"/>
          <w:sz w:val="28"/>
          <w:szCs w:val="28"/>
        </w:rPr>
        <w:tab/>
      </w:r>
      <w:r w:rsidRPr="001B6E4D">
        <w:rPr>
          <w:rFonts w:ascii="標楷體" w:eastAsia="標楷體" w:hAnsi="標楷體" w:hint="eastAsia"/>
          <w:sz w:val="28"/>
          <w:szCs w:val="28"/>
        </w:rPr>
        <w:t>張雅琳</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r>
    </w:p>
    <w:p w14:paraId="5363923D" w14:textId="77777777" w:rsidR="00AF3BBE" w:rsidRPr="001B6E4D" w:rsidRDefault="00AF3BBE" w:rsidP="003D1018">
      <w:pPr>
        <w:widowControl w:val="0"/>
        <w:overflowPunct w:val="0"/>
        <w:snapToGrid w:val="0"/>
        <w:ind w:leftChars="239" w:left="574" w:firstLineChars="300" w:firstLine="840"/>
        <w:rPr>
          <w:rFonts w:ascii="標楷體" w:eastAsia="標楷體" w:hAnsi="標楷體"/>
          <w:sz w:val="28"/>
          <w:szCs w:val="28"/>
        </w:rPr>
      </w:pP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林沛祥</w:t>
      </w:r>
      <w:r w:rsidRPr="001B6E4D">
        <w:rPr>
          <w:rFonts w:ascii="標楷體" w:eastAsia="標楷體" w:hAnsi="標楷體" w:hint="eastAsia"/>
          <w:sz w:val="28"/>
          <w:szCs w:val="28"/>
        </w:rPr>
        <w:tab/>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柯建銘</w:t>
      </w:r>
    </w:p>
    <w:p w14:paraId="2DEE0933" w14:textId="77777777" w:rsidR="00AF3BBE" w:rsidRPr="001B6E4D" w:rsidRDefault="00AF3BBE"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11</w:t>
      </w:r>
      <w:r w:rsidRPr="001B6E4D">
        <w:rPr>
          <w:rFonts w:ascii="標楷體" w:eastAsia="標楷體" w:hAnsi="標楷體"/>
          <w:sz w:val="28"/>
          <w:szCs w:val="28"/>
        </w:rPr>
        <w:t>人</w:t>
      </w:r>
    </w:p>
    <w:p w14:paraId="1FE3B79B" w14:textId="77777777" w:rsidR="00AF3BBE" w:rsidRPr="001B6E4D" w:rsidRDefault="00AF3BBE"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鄭正鈐</w:t>
      </w:r>
      <w:r w:rsidRPr="001B6E4D">
        <w:rPr>
          <w:rFonts w:ascii="標楷體" w:eastAsia="標楷體" w:hAnsi="標楷體"/>
          <w:sz w:val="28"/>
          <w:szCs w:val="28"/>
        </w:rPr>
        <w:tab/>
      </w:r>
      <w:r w:rsidRPr="001B6E4D">
        <w:rPr>
          <w:rFonts w:ascii="標楷體" w:eastAsia="標楷體" w:hAnsi="標楷體" w:hint="eastAsia"/>
          <w:sz w:val="28"/>
          <w:szCs w:val="28"/>
        </w:rPr>
        <w:t>洪孟楷</w:t>
      </w:r>
      <w:r w:rsidRPr="001B6E4D">
        <w:rPr>
          <w:rFonts w:ascii="標楷體" w:eastAsia="標楷體" w:hAnsi="標楷體"/>
          <w:sz w:val="28"/>
          <w:szCs w:val="28"/>
        </w:rPr>
        <w:tab/>
      </w:r>
      <w:r w:rsidRPr="001B6E4D">
        <w:rPr>
          <w:rFonts w:ascii="標楷體" w:eastAsia="標楷體" w:hAnsi="標楷體" w:hint="eastAsia"/>
          <w:sz w:val="28"/>
          <w:szCs w:val="28"/>
        </w:rPr>
        <w:t>楊瓊瓔</w:t>
      </w:r>
      <w:r w:rsidRPr="001B6E4D">
        <w:rPr>
          <w:rFonts w:ascii="標楷體" w:eastAsia="標楷體" w:hAnsi="標楷體" w:hint="eastAsia"/>
          <w:sz w:val="28"/>
          <w:szCs w:val="28"/>
        </w:rPr>
        <w:tab/>
        <w:t>林淑芬</w:t>
      </w:r>
      <w:r w:rsidRPr="001B6E4D">
        <w:rPr>
          <w:rFonts w:ascii="標楷體" w:eastAsia="標楷體" w:hAnsi="標楷體" w:hint="eastAsia"/>
          <w:sz w:val="28"/>
          <w:szCs w:val="28"/>
        </w:rPr>
        <w:tab/>
        <w:t>蘇清泉</w:t>
      </w:r>
      <w:r w:rsidRPr="001B6E4D">
        <w:rPr>
          <w:rFonts w:ascii="標楷體" w:eastAsia="標楷體" w:hAnsi="標楷體" w:hint="eastAsia"/>
          <w:color w:val="000000"/>
          <w:sz w:val="28"/>
          <w:szCs w:val="28"/>
        </w:rPr>
        <w:tab/>
        <w:t>王世堅</w:t>
      </w:r>
    </w:p>
    <w:p w14:paraId="7E07731F" w14:textId="77777777" w:rsidR="00AF3BBE" w:rsidRPr="001B6E4D" w:rsidRDefault="00AF3BBE"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6</w:t>
      </w:r>
      <w:r w:rsidRPr="001B6E4D">
        <w:rPr>
          <w:rFonts w:ascii="標楷體" w:eastAsia="標楷體" w:hAnsi="標楷體"/>
          <w:sz w:val="28"/>
          <w:szCs w:val="28"/>
        </w:rPr>
        <w:t>人</w:t>
      </w:r>
    </w:p>
    <w:p w14:paraId="7ED866D7" w14:textId="77777777" w:rsidR="00AF3BBE" w:rsidRPr="001B6E4D" w:rsidRDefault="00AF3BBE"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司法院秘書長　高金枝</w:t>
      </w:r>
    </w:p>
    <w:p w14:paraId="4EEE4C9A" w14:textId="77777777" w:rsidR="00AF3BBE" w:rsidRPr="001B6E4D" w:rsidRDefault="00AF3BBE"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法務部政務次長</w:t>
      </w:r>
      <w:r w:rsidRPr="001B6E4D">
        <w:rPr>
          <w:rFonts w:ascii="標楷體" w:eastAsia="標楷體" w:hAnsi="標楷體" w:hint="eastAsia"/>
          <w:kern w:val="0"/>
          <w:sz w:val="28"/>
          <w:szCs w:val="28"/>
        </w:rPr>
        <w:tab/>
        <w:t xml:space="preserve">　</w:t>
      </w:r>
      <w:proofErr w:type="gramStart"/>
      <w:r w:rsidRPr="001B6E4D">
        <w:rPr>
          <w:rFonts w:ascii="標楷體" w:eastAsia="標楷體" w:hAnsi="標楷體" w:hint="eastAsia"/>
          <w:kern w:val="0"/>
          <w:sz w:val="28"/>
          <w:szCs w:val="28"/>
        </w:rPr>
        <w:t>黃謀信</w:t>
      </w:r>
      <w:proofErr w:type="gramEnd"/>
    </w:p>
    <w:p w14:paraId="26FD8B96" w14:textId="77777777" w:rsidR="00AF3BBE" w:rsidRPr="001B6E4D" w:rsidRDefault="00AF3BBE"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      矯正署副署長　蘇維闊</w:t>
      </w:r>
    </w:p>
    <w:p w14:paraId="67E0B296" w14:textId="77777777" w:rsidR="00AF3BBE" w:rsidRPr="001B6E4D" w:rsidRDefault="00AF3BBE"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內政部警政署刑事警察局警政監　蔡坤益</w:t>
      </w:r>
    </w:p>
    <w:p w14:paraId="32300E11" w14:textId="77777777" w:rsidR="00AF3BBE" w:rsidRPr="001B6E4D" w:rsidRDefault="00AF3BBE"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國防部法律事務司軍法事務處副處長　胡耀仁</w:t>
      </w:r>
    </w:p>
    <w:p w14:paraId="78987964" w14:textId="77777777" w:rsidR="00AF3BBE" w:rsidRPr="001B6E4D" w:rsidRDefault="00AF3BBE"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衛生福利部保護服務司副司長　張靜倫</w:t>
      </w:r>
    </w:p>
    <w:p w14:paraId="0C75DBA8" w14:textId="77777777" w:rsidR="00AF3BBE" w:rsidRPr="001B6E4D" w:rsidRDefault="00AF3BBE" w:rsidP="003D1018">
      <w:pPr>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海洋委員會海巡署</w:t>
      </w:r>
      <w:proofErr w:type="gramStart"/>
      <w:r w:rsidRPr="001B6E4D">
        <w:rPr>
          <w:rFonts w:ascii="標楷體" w:eastAsia="標楷體" w:hAnsi="標楷體" w:hint="eastAsia"/>
          <w:kern w:val="0"/>
          <w:sz w:val="28"/>
          <w:szCs w:val="28"/>
        </w:rPr>
        <w:t>偵</w:t>
      </w:r>
      <w:proofErr w:type="gramEnd"/>
      <w:r w:rsidRPr="001B6E4D">
        <w:rPr>
          <w:rFonts w:ascii="標楷體" w:eastAsia="標楷體" w:hAnsi="標楷體" w:hint="eastAsia"/>
          <w:kern w:val="0"/>
          <w:sz w:val="28"/>
          <w:szCs w:val="28"/>
        </w:rPr>
        <w:t>防</w:t>
      </w:r>
      <w:proofErr w:type="gramStart"/>
      <w:r w:rsidRPr="001B6E4D">
        <w:rPr>
          <w:rFonts w:ascii="標楷體" w:eastAsia="標楷體" w:hAnsi="標楷體" w:hint="eastAsia"/>
          <w:kern w:val="0"/>
          <w:sz w:val="28"/>
          <w:szCs w:val="28"/>
        </w:rPr>
        <w:t>分署副分署長</w:t>
      </w:r>
      <w:proofErr w:type="gramEnd"/>
      <w:r w:rsidRPr="001B6E4D">
        <w:rPr>
          <w:rFonts w:ascii="標楷體" w:eastAsia="標楷體" w:hAnsi="標楷體" w:hint="eastAsia"/>
          <w:kern w:val="0"/>
          <w:sz w:val="28"/>
          <w:szCs w:val="28"/>
        </w:rPr>
        <w:t xml:space="preserve">　許宏銘</w:t>
      </w:r>
    </w:p>
    <w:p w14:paraId="207865EB" w14:textId="77777777" w:rsidR="00AF3BBE" w:rsidRPr="001B6E4D" w:rsidRDefault="00AF3BBE"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席：翁召集委員曉玲</w:t>
      </w:r>
    </w:p>
    <w:p w14:paraId="45EAB074" w14:textId="77777777" w:rsidR="00AF3BBE" w:rsidRPr="001B6E4D" w:rsidRDefault="00AF3BBE"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578021F0" w14:textId="77777777" w:rsidR="00AF3BBE" w:rsidRPr="001B6E4D" w:rsidRDefault="00AF3BBE"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69A2DF2F" w14:textId="77777777" w:rsidR="00AF3BBE" w:rsidRPr="001B6E4D" w:rsidRDefault="00AF3BBE"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2858F69A" w14:textId="77777777" w:rsidR="00AF3BBE" w:rsidRPr="001B6E4D" w:rsidRDefault="00AF3BBE"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77F93454" w14:textId="77777777" w:rsidR="00AF3BBE" w:rsidRPr="001B6E4D" w:rsidRDefault="00AF3BBE"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2E59782C" w14:textId="77777777" w:rsidR="00AF3BBE" w:rsidRPr="001B6E4D" w:rsidRDefault="00AF3BBE"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3963FAFD" w14:textId="77777777" w:rsidR="00AF3BBE" w:rsidRPr="001B6E4D" w:rsidRDefault="00AF3BBE" w:rsidP="003D1018">
      <w:pPr>
        <w:widowControl w:val="0"/>
        <w:overflowPunct w:val="0"/>
        <w:adjustRightInd w:val="0"/>
        <w:snapToGrid w:val="0"/>
        <w:spacing w:beforeLines="30" w:before="108"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4BA08EEE" w14:textId="77777777" w:rsidR="00AF3BBE" w:rsidRPr="001B6E4D" w:rsidRDefault="00AF3BBE"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宣讀上次會議議事錄。</w:t>
      </w:r>
    </w:p>
    <w:p w14:paraId="69982430" w14:textId="77777777" w:rsidR="00AF3BBE" w:rsidRPr="001B6E4D" w:rsidRDefault="00AF3BBE" w:rsidP="003D1018">
      <w:pPr>
        <w:widowControl w:val="0"/>
        <w:overflowPunct w:val="0"/>
        <w:adjustRightInd w:val="0"/>
        <w:snapToGrid w:val="0"/>
        <w:spacing w:line="360" w:lineRule="exact"/>
        <w:ind w:left="840" w:hangingChars="300" w:hanging="840"/>
        <w:jc w:val="both"/>
        <w:rPr>
          <w:rFonts w:ascii="標楷體" w:eastAsia="標楷體" w:hAnsi="標楷體"/>
          <w:kern w:val="0"/>
          <w:sz w:val="28"/>
          <w:szCs w:val="28"/>
        </w:rPr>
      </w:pPr>
      <w:r w:rsidRPr="001B6E4D">
        <w:rPr>
          <w:rFonts w:ascii="標楷體" w:eastAsia="標楷體" w:hAnsi="標楷體"/>
          <w:kern w:val="0"/>
          <w:sz w:val="28"/>
          <w:szCs w:val="28"/>
        </w:rPr>
        <w:t>決定：確定。</w:t>
      </w:r>
    </w:p>
    <w:p w14:paraId="0CB13C94" w14:textId="77777777" w:rsidR="00AF3BBE" w:rsidRPr="001B6E4D" w:rsidRDefault="00AF3BBE" w:rsidP="003D1018">
      <w:pPr>
        <w:overflowPunct w:val="0"/>
        <w:adjustRightInd w:val="0"/>
        <w:snapToGrid w:val="0"/>
        <w:spacing w:beforeLines="30" w:before="108" w:line="360" w:lineRule="exact"/>
        <w:ind w:firstLineChars="398" w:firstLine="1115"/>
        <w:jc w:val="both"/>
        <w:rPr>
          <w:rFonts w:ascii="標楷體" w:eastAsia="標楷體" w:hAnsi="標楷體"/>
          <w:b/>
          <w:kern w:val="0"/>
          <w:sz w:val="28"/>
          <w:szCs w:val="28"/>
          <w:lang w:val="x-none"/>
        </w:rPr>
      </w:pPr>
      <w:r w:rsidRPr="001B6E4D">
        <w:rPr>
          <w:rFonts w:ascii="標楷體" w:eastAsia="標楷體" w:hAnsi="標楷體"/>
          <w:b/>
          <w:kern w:val="0"/>
          <w:sz w:val="28"/>
          <w:szCs w:val="28"/>
          <w:lang w:val="x-none"/>
        </w:rPr>
        <w:t>討論事項</w:t>
      </w:r>
    </w:p>
    <w:p w14:paraId="066DA5E7" w14:textId="77777777" w:rsidR="00AF3BBE" w:rsidRPr="001B6E4D" w:rsidRDefault="00AF3BBE"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一、審查委員賴惠員等17人擬具「刑事訴訟法部分條文修正草案」案。</w:t>
      </w:r>
    </w:p>
    <w:p w14:paraId="378241DF" w14:textId="77777777" w:rsidR="00AF3BBE" w:rsidRPr="001B6E4D" w:rsidRDefault="00AF3BBE"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二、審查委員洪孟楷等26人擬具「刑事訴訟法部分條文修正草案」案。</w:t>
      </w:r>
    </w:p>
    <w:p w14:paraId="1B25CF45" w14:textId="77777777" w:rsidR="00AF3BBE" w:rsidRPr="001B6E4D" w:rsidRDefault="00AF3BBE"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三、審查委員王世堅等16人擬具「刑事訴訟法增訂部分條文草案」案。</w:t>
      </w:r>
    </w:p>
    <w:p w14:paraId="148D59F1" w14:textId="77777777" w:rsidR="00AF3BBE" w:rsidRPr="001B6E4D" w:rsidRDefault="00AF3BBE"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四、審查委員翁曉玲等21人擬具「刑事訴訟法第四百五十五條之四十六條文修正草案」案。</w:t>
      </w:r>
    </w:p>
    <w:p w14:paraId="0DC03E28" w14:textId="77777777" w:rsidR="00AF3BBE" w:rsidRPr="001B6E4D" w:rsidRDefault="00AF3BBE"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五、審查委員吳宗憲等18人擬具「刑事訴訟法部分條文修正草案」案。</w:t>
      </w:r>
    </w:p>
    <w:p w14:paraId="231D4293" w14:textId="77777777" w:rsidR="00AF3BBE" w:rsidRPr="001B6E4D" w:rsidRDefault="00AF3BBE" w:rsidP="003D1018">
      <w:pPr>
        <w:overflowPunct w:val="0"/>
        <w:adjustRightInd w:val="0"/>
        <w:snapToGrid w:val="0"/>
        <w:spacing w:line="360" w:lineRule="exact"/>
        <w:ind w:leftChars="-1" w:left="558" w:hangingChars="200" w:hanging="560"/>
        <w:jc w:val="both"/>
        <w:rPr>
          <w:rFonts w:ascii="標楷體" w:eastAsia="標楷體" w:hAnsi="標楷體"/>
          <w:sz w:val="28"/>
          <w:szCs w:val="28"/>
        </w:rPr>
      </w:pPr>
      <w:r w:rsidRPr="001B6E4D">
        <w:rPr>
          <w:rFonts w:ascii="標楷體" w:eastAsia="標楷體" w:hAnsi="標楷體" w:hint="eastAsia"/>
          <w:sz w:val="28"/>
          <w:szCs w:val="28"/>
        </w:rPr>
        <w:t>六、審查委員翁曉玲等18人擬具「刑事訴訟法部分條文修正草案」案。</w:t>
      </w:r>
    </w:p>
    <w:p w14:paraId="348FC42A" w14:textId="77777777" w:rsidR="00AF3BBE" w:rsidRPr="001B6E4D" w:rsidRDefault="00AF3BBE" w:rsidP="003D1018">
      <w:pPr>
        <w:overflowPunct w:val="0"/>
        <w:adjustRightInd w:val="0"/>
        <w:snapToGrid w:val="0"/>
        <w:spacing w:line="360" w:lineRule="exact"/>
        <w:ind w:leftChars="-1" w:left="558" w:hangingChars="200" w:hanging="560"/>
        <w:jc w:val="both"/>
        <w:rPr>
          <w:rFonts w:ascii="標楷體" w:eastAsia="標楷體" w:hAnsi="標楷體"/>
          <w:b/>
          <w:kern w:val="0"/>
          <w:sz w:val="28"/>
          <w:szCs w:val="28"/>
          <w:lang w:val="x-none" w:eastAsia="x-none"/>
        </w:rPr>
      </w:pPr>
      <w:r w:rsidRPr="001B6E4D">
        <w:rPr>
          <w:rFonts w:ascii="標楷體" w:eastAsia="標楷體" w:hAnsi="標楷體" w:hint="eastAsia"/>
          <w:sz w:val="28"/>
          <w:szCs w:val="28"/>
        </w:rPr>
        <w:lastRenderedPageBreak/>
        <w:t>七、審查委員翁曉玲等18人擬具「刑事訴訟法第三百十</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A655308" w14:textId="77777777" w:rsidR="00AF3BBE" w:rsidRPr="001B6E4D" w:rsidRDefault="00AF3BBE"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吳宗憲、陳昭姿、林倩綺、翁曉玲、張雅琳、沈發惠、莊瑞雄、王世堅、洪孟楷、楊瓊瓔、</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雲、林淑芬</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、傅崐萁、林淑芬提出書面質詢。</w:t>
      </w:r>
      <w:r w:rsidRPr="001B6E4D">
        <w:rPr>
          <w:rFonts w:ascii="標楷體" w:eastAsia="標楷體" w:hAnsi="標楷體"/>
          <w:sz w:val="28"/>
          <w:szCs w:val="28"/>
        </w:rPr>
        <w:t>）</w:t>
      </w:r>
    </w:p>
    <w:p w14:paraId="6C2F103A" w14:textId="77777777" w:rsidR="00AF3BBE" w:rsidRPr="001B6E4D" w:rsidRDefault="00AF3BBE"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648E755B" w14:textId="77777777" w:rsidR="00AF3BBE" w:rsidRPr="001B6E4D" w:rsidRDefault="00AF3BBE"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w:t>
      </w: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w:t>
      </w:r>
      <w:r w:rsidRPr="001B6E4D">
        <w:rPr>
          <w:rFonts w:ascii="標楷體" w:eastAsia="標楷體" w:hAnsi="標楷體" w:hint="eastAsia"/>
          <w:color w:val="000000"/>
          <w:sz w:val="28"/>
          <w:szCs w:val="28"/>
          <w:shd w:val="clear" w:color="auto" w:fill="FFFFFF"/>
        </w:rPr>
        <w:t>。</w:t>
      </w:r>
    </w:p>
    <w:p w14:paraId="483920AA" w14:textId="77777777" w:rsidR="00AF3BBE" w:rsidRPr="001B6E4D" w:rsidRDefault="00AF3BBE"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w:t>
      </w:r>
      <w:r w:rsidRPr="001B6E4D">
        <w:rPr>
          <w:rFonts w:ascii="標楷體" w:eastAsia="標楷體" w:hAnsi="標楷體" w:hint="eastAsia"/>
          <w:color w:val="000000"/>
          <w:sz w:val="28"/>
          <w:szCs w:val="28"/>
          <w:shd w:val="clear" w:color="auto" w:fill="FFFFFF"/>
        </w:rPr>
        <w:t>第一案至第七案，</w:t>
      </w:r>
      <w:proofErr w:type="gramStart"/>
      <w:r w:rsidRPr="001B6E4D">
        <w:rPr>
          <w:rFonts w:ascii="標楷體" w:eastAsia="標楷體" w:hAnsi="標楷體" w:hint="eastAsia"/>
          <w:color w:val="000000"/>
          <w:sz w:val="28"/>
          <w:szCs w:val="28"/>
          <w:shd w:val="clear" w:color="auto" w:fill="FFFFFF"/>
        </w:rPr>
        <w:t>均另定期</w:t>
      </w:r>
      <w:proofErr w:type="gramEnd"/>
      <w:r w:rsidRPr="001B6E4D">
        <w:rPr>
          <w:rFonts w:ascii="標楷體" w:eastAsia="標楷體" w:hAnsi="標楷體" w:hint="eastAsia"/>
          <w:color w:val="000000"/>
          <w:sz w:val="28"/>
          <w:szCs w:val="28"/>
          <w:shd w:val="clear" w:color="auto" w:fill="FFFFFF"/>
        </w:rPr>
        <w:t>繼續審查。</w:t>
      </w:r>
    </w:p>
    <w:p w14:paraId="52A6F638" w14:textId="77777777" w:rsidR="00AF3BBE" w:rsidRPr="001B6E4D" w:rsidRDefault="00AF3BBE"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三、</w:t>
      </w:r>
      <w:r w:rsidRPr="001B6E4D">
        <w:rPr>
          <w:rFonts w:ascii="標楷體" w:eastAsia="標楷體" w:hAnsi="標楷體"/>
          <w:sz w:val="28"/>
          <w:szCs w:val="28"/>
        </w:rPr>
        <w:t>委員質詢時，要求提供相關資料或以書面答復者，請相關機關儘速送交個別委員</w:t>
      </w:r>
      <w:r w:rsidRPr="001B6E4D">
        <w:rPr>
          <w:rFonts w:ascii="標楷體" w:eastAsia="標楷體" w:hAnsi="標楷體" w:hint="eastAsia"/>
          <w:sz w:val="28"/>
          <w:szCs w:val="28"/>
        </w:rPr>
        <w:t>及</w:t>
      </w:r>
      <w:r w:rsidRPr="001B6E4D">
        <w:rPr>
          <w:rFonts w:ascii="標楷體" w:eastAsia="標楷體" w:hAnsi="標楷體"/>
          <w:sz w:val="28"/>
          <w:szCs w:val="28"/>
        </w:rPr>
        <w:t>本會。</w:t>
      </w:r>
    </w:p>
    <w:p w14:paraId="6A40A1BA" w14:textId="77777777" w:rsidR="00AF3BBE" w:rsidRPr="001B6E4D" w:rsidRDefault="00AF3BBE" w:rsidP="003D1018">
      <w:pPr>
        <w:widowControl w:val="0"/>
        <w:overflowPunct w:val="0"/>
        <w:spacing w:line="40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3E051379" w14:textId="77777777" w:rsidR="001F34BD" w:rsidRPr="001B6E4D" w:rsidRDefault="001F34BD" w:rsidP="003D1018">
      <w:pPr>
        <w:overflowPunct w:val="0"/>
        <w:spacing w:beforeLines="50" w:before="180" w:afterLines="50" w:after="180" w:line="360" w:lineRule="exact"/>
        <w:outlineLvl w:val="1"/>
        <w:rPr>
          <w:rFonts w:ascii="標楷體" w:eastAsia="標楷體" w:hAnsi="標楷體"/>
          <w:b/>
          <w:noProof/>
          <w:color w:val="000000" w:themeColor="text1"/>
          <w:sz w:val="32"/>
          <w:szCs w:val="32"/>
          <w:shd w:val="clear" w:color="auto" w:fill="FFFFFF" w:themeFill="background1"/>
        </w:rPr>
      </w:pPr>
      <w:bookmarkStart w:id="548" w:name="會議名稱"/>
      <w:bookmarkEnd w:id="434"/>
      <w:bookmarkEnd w:id="548"/>
      <w:r w:rsidRPr="001B6E4D">
        <w:rPr>
          <w:rFonts w:ascii="標楷體" w:eastAsia="標楷體" w:hAnsi="標楷體"/>
          <w:b/>
          <w:noProof/>
          <w:color w:val="000000" w:themeColor="text1"/>
          <w:sz w:val="32"/>
          <w:szCs w:val="32"/>
          <w:shd w:val="clear" w:color="auto" w:fill="FFFFFF" w:themeFill="background1"/>
        </w:rPr>
        <w:br w:type="page"/>
      </w:r>
    </w:p>
    <w:p w14:paraId="7B22C94E" w14:textId="298B88E0" w:rsidR="00615C23" w:rsidRPr="001B6E4D" w:rsidRDefault="008C2756" w:rsidP="003D1018">
      <w:pPr>
        <w:overflowPunct w:val="0"/>
        <w:spacing w:beforeLines="50" w:before="180" w:afterLines="50" w:after="180" w:line="360" w:lineRule="exact"/>
        <w:outlineLvl w:val="1"/>
        <w:rPr>
          <w:rFonts w:ascii="標楷體" w:eastAsia="標楷體" w:hAnsi="標楷體"/>
          <w:b/>
          <w:noProof/>
          <w:color w:val="000000" w:themeColor="text1"/>
          <w:sz w:val="32"/>
          <w:szCs w:val="32"/>
          <w:shd w:val="clear" w:color="auto" w:fill="FFFFFF" w:themeFill="background1"/>
        </w:rPr>
      </w:pPr>
      <w:bookmarkStart w:id="549" w:name="_Toc240446614"/>
      <w:r w:rsidRPr="001B6E4D">
        <w:rPr>
          <w:rFonts w:ascii="標楷體" w:eastAsia="標楷體" w:hAnsi="標楷體" w:hint="eastAsia"/>
          <w:b/>
          <w:noProof/>
          <w:color w:val="000000" w:themeColor="text1"/>
          <w:sz w:val="32"/>
          <w:szCs w:val="32"/>
          <w:shd w:val="clear" w:color="auto" w:fill="FFFFFF" w:themeFill="background1"/>
        </w:rPr>
        <w:lastRenderedPageBreak/>
        <w:t>三、本會聯席委員會議議事錄</w:t>
      </w:r>
      <w:bookmarkEnd w:id="549"/>
    </w:p>
    <w:p w14:paraId="61220E2E" w14:textId="34B0FF74" w:rsidR="007A2022" w:rsidRPr="001B6E4D" w:rsidRDefault="007A2022" w:rsidP="003D1018">
      <w:pPr>
        <w:overflowPunct w:val="0"/>
        <w:snapToGrid w:val="0"/>
        <w:spacing w:beforeLines="50" w:before="180" w:line="360" w:lineRule="exact"/>
        <w:ind w:left="1221" w:hangingChars="500" w:hanging="1221"/>
        <w:outlineLvl w:val="2"/>
        <w:rPr>
          <w:rFonts w:ascii="標楷體" w:eastAsia="標楷體" w:hAnsi="標楷體"/>
          <w:b/>
          <w:spacing w:val="-18"/>
          <w:kern w:val="0"/>
          <w:sz w:val="28"/>
          <w:szCs w:val="28"/>
        </w:rPr>
      </w:pPr>
      <w:bookmarkStart w:id="550" w:name="_Toc240446615"/>
      <w:r w:rsidRPr="001B6E4D">
        <w:rPr>
          <w:rFonts w:ascii="標楷體" w:eastAsia="標楷體" w:hAnsi="標楷體" w:hint="eastAsia"/>
          <w:b/>
          <w:spacing w:val="-18"/>
          <w:kern w:val="0"/>
          <w:sz w:val="28"/>
          <w:szCs w:val="28"/>
        </w:rPr>
        <w:t>立法院第11屆</w:t>
      </w:r>
      <w:r w:rsidR="008E1E72" w:rsidRPr="001B6E4D">
        <w:rPr>
          <w:rFonts w:ascii="標楷體" w:eastAsia="標楷體" w:hAnsi="標楷體"/>
          <w:b/>
          <w:spacing w:val="-4"/>
          <w:sz w:val="28"/>
          <w:szCs w:val="28"/>
        </w:rPr>
        <w:t>第</w:t>
      </w:r>
      <w:r w:rsidR="008E1E72" w:rsidRPr="001B6E4D">
        <w:rPr>
          <w:rFonts w:ascii="標楷體" w:eastAsia="標楷體" w:hAnsi="標楷體" w:hint="eastAsia"/>
          <w:b/>
          <w:spacing w:val="-4"/>
          <w:sz w:val="28"/>
          <w:szCs w:val="28"/>
        </w:rPr>
        <w:t>5</w:t>
      </w:r>
      <w:r w:rsidR="008E1E72" w:rsidRPr="001B6E4D">
        <w:rPr>
          <w:rFonts w:ascii="標楷體" w:eastAsia="標楷體" w:hAnsi="標楷體"/>
          <w:b/>
          <w:spacing w:val="-4"/>
          <w:sz w:val="28"/>
          <w:szCs w:val="28"/>
        </w:rPr>
        <w:t>會期司法及法制</w:t>
      </w:r>
      <w:r w:rsidR="008E1E72" w:rsidRPr="001B6E4D">
        <w:rPr>
          <w:rFonts w:ascii="標楷體" w:eastAsia="標楷體" w:hAnsi="標楷體" w:hint="eastAsia"/>
          <w:b/>
          <w:spacing w:val="-4"/>
          <w:sz w:val="28"/>
          <w:szCs w:val="28"/>
        </w:rPr>
        <w:t>、內政</w:t>
      </w:r>
      <w:r w:rsidR="008E1E72" w:rsidRPr="001B6E4D">
        <w:rPr>
          <w:rFonts w:ascii="標楷體" w:eastAsia="標楷體" w:hAnsi="標楷體"/>
          <w:b/>
          <w:spacing w:val="-4"/>
          <w:sz w:val="28"/>
          <w:szCs w:val="28"/>
        </w:rPr>
        <w:t>委員會第</w:t>
      </w:r>
      <w:r w:rsidR="008E1E72" w:rsidRPr="001B6E4D">
        <w:rPr>
          <w:rFonts w:ascii="標楷體" w:eastAsia="標楷體" w:hAnsi="標楷體" w:hint="eastAsia"/>
          <w:b/>
          <w:spacing w:val="-4"/>
          <w:sz w:val="28"/>
          <w:szCs w:val="28"/>
        </w:rPr>
        <w:t>1</w:t>
      </w:r>
      <w:r w:rsidR="008E1E72" w:rsidRPr="001B6E4D">
        <w:rPr>
          <w:rFonts w:ascii="標楷體" w:eastAsia="標楷體" w:hAnsi="標楷體"/>
          <w:b/>
          <w:spacing w:val="-4"/>
          <w:sz w:val="28"/>
          <w:szCs w:val="28"/>
        </w:rPr>
        <w:t>次</w:t>
      </w:r>
      <w:r w:rsidR="008E1E72" w:rsidRPr="001B6E4D">
        <w:rPr>
          <w:rFonts w:ascii="標楷體" w:eastAsia="標楷體" w:hAnsi="標楷體" w:hint="eastAsia"/>
          <w:b/>
          <w:spacing w:val="-4"/>
          <w:sz w:val="28"/>
          <w:szCs w:val="28"/>
        </w:rPr>
        <w:t>聯席</w:t>
      </w:r>
      <w:r w:rsidR="008E1E72" w:rsidRPr="001B6E4D">
        <w:rPr>
          <w:rFonts w:ascii="標楷體" w:eastAsia="標楷體" w:hAnsi="標楷體"/>
          <w:b/>
          <w:spacing w:val="-4"/>
          <w:sz w:val="28"/>
          <w:szCs w:val="28"/>
        </w:rPr>
        <w:t>會議議事錄</w:t>
      </w:r>
      <w:bookmarkEnd w:id="550"/>
    </w:p>
    <w:p w14:paraId="7031D66A" w14:textId="77777777" w:rsidR="008E1E72" w:rsidRPr="001B6E4D" w:rsidRDefault="008E1E72" w:rsidP="003D1018">
      <w:pPr>
        <w:overflowPunct w:val="0"/>
        <w:adjustRightInd w:val="0"/>
        <w:snapToGrid w:val="0"/>
        <w:spacing w:line="360" w:lineRule="exact"/>
        <w:ind w:leftChars="1" w:left="1416" w:hangingChars="505" w:hanging="1414"/>
        <w:rPr>
          <w:rFonts w:ascii="標楷體" w:eastAsia="標楷體" w:hAnsi="標楷體"/>
          <w:spacing w:val="-10"/>
          <w:kern w:val="0"/>
          <w:sz w:val="28"/>
          <w:szCs w:val="28"/>
        </w:rPr>
      </w:pPr>
      <w:r w:rsidRPr="001B6E4D">
        <w:rPr>
          <w:rFonts w:ascii="標楷體" w:eastAsia="標楷體" w:hAnsi="標楷體"/>
          <w:kern w:val="0"/>
          <w:sz w:val="28"/>
          <w:szCs w:val="28"/>
          <w:fitText w:val="1120" w:id="-384115712"/>
          <w:lang w:val="x-none" w:eastAsia="x-none"/>
        </w:rPr>
        <w:t>時    間</w:t>
      </w:r>
      <w:r w:rsidRPr="001B6E4D">
        <w:rPr>
          <w:rFonts w:ascii="標楷體" w:eastAsia="標楷體" w:hAnsi="標楷體"/>
          <w:kern w:val="0"/>
          <w:sz w:val="28"/>
          <w:szCs w:val="28"/>
          <w:lang w:val="x-none" w:eastAsia="x-none"/>
        </w:rPr>
        <w:t>：</w:t>
      </w:r>
      <w:r w:rsidRPr="001B6E4D">
        <w:rPr>
          <w:rFonts w:ascii="標楷體" w:eastAsia="標楷體" w:hAnsi="標楷體"/>
          <w:spacing w:val="-14"/>
          <w:kern w:val="0"/>
          <w:sz w:val="28"/>
          <w:szCs w:val="28"/>
          <w:lang w:val="x-none" w:eastAsia="x-none"/>
        </w:rPr>
        <w:t>中華民國1</w:t>
      </w:r>
      <w:r w:rsidRPr="001B6E4D">
        <w:rPr>
          <w:rFonts w:ascii="標楷體" w:eastAsia="標楷體" w:hAnsi="標楷體" w:hint="eastAsia"/>
          <w:spacing w:val="-14"/>
          <w:kern w:val="0"/>
          <w:sz w:val="28"/>
          <w:szCs w:val="28"/>
          <w:lang w:val="x-none" w:eastAsia="x-none"/>
        </w:rPr>
        <w:t>1</w:t>
      </w:r>
      <w:r w:rsidRPr="001B6E4D">
        <w:rPr>
          <w:rFonts w:ascii="標楷體" w:eastAsia="標楷體" w:hAnsi="標楷體" w:hint="eastAsia"/>
          <w:spacing w:val="-14"/>
          <w:kern w:val="0"/>
          <w:sz w:val="28"/>
          <w:szCs w:val="28"/>
          <w:lang w:val="x-none"/>
        </w:rPr>
        <w:t>5</w:t>
      </w:r>
      <w:r w:rsidRPr="001B6E4D">
        <w:rPr>
          <w:rFonts w:ascii="標楷體" w:eastAsia="標楷體" w:hAnsi="標楷體"/>
          <w:spacing w:val="-14"/>
          <w:kern w:val="0"/>
          <w:sz w:val="28"/>
          <w:szCs w:val="28"/>
          <w:lang w:val="x-none" w:eastAsia="x-none"/>
        </w:rPr>
        <w:t>年</w:t>
      </w:r>
      <w:r w:rsidRPr="001B6E4D">
        <w:rPr>
          <w:rFonts w:ascii="標楷體" w:eastAsia="標楷體" w:hAnsi="標楷體" w:hint="eastAsia"/>
          <w:spacing w:val="-14"/>
          <w:kern w:val="0"/>
          <w:sz w:val="28"/>
          <w:szCs w:val="28"/>
          <w:lang w:val="x-none"/>
        </w:rPr>
        <w:t>4</w:t>
      </w:r>
      <w:r w:rsidRPr="001B6E4D">
        <w:rPr>
          <w:rFonts w:ascii="標楷體" w:eastAsia="標楷體" w:hAnsi="標楷體"/>
          <w:spacing w:val="-14"/>
          <w:kern w:val="0"/>
          <w:sz w:val="28"/>
          <w:szCs w:val="28"/>
          <w:lang w:val="x-none" w:eastAsia="x-none"/>
        </w:rPr>
        <w:t>月</w:t>
      </w:r>
      <w:r w:rsidRPr="001B6E4D">
        <w:rPr>
          <w:rFonts w:ascii="標楷體" w:eastAsia="標楷體" w:hAnsi="標楷體" w:hint="eastAsia"/>
          <w:spacing w:val="-14"/>
          <w:kern w:val="0"/>
          <w:sz w:val="28"/>
          <w:szCs w:val="28"/>
          <w:lang w:val="x-none"/>
        </w:rPr>
        <w:t>9</w:t>
      </w:r>
      <w:r w:rsidRPr="001B6E4D">
        <w:rPr>
          <w:rFonts w:ascii="標楷體" w:eastAsia="標楷體" w:hAnsi="標楷體"/>
          <w:spacing w:val="-14"/>
          <w:kern w:val="0"/>
          <w:sz w:val="28"/>
          <w:szCs w:val="28"/>
          <w:lang w:val="x-none" w:eastAsia="x-none"/>
        </w:rPr>
        <w:t>日（星期</w:t>
      </w:r>
      <w:r w:rsidRPr="001B6E4D">
        <w:rPr>
          <w:rFonts w:ascii="標楷體" w:eastAsia="標楷體" w:hAnsi="標楷體" w:hint="eastAsia"/>
          <w:spacing w:val="-14"/>
          <w:kern w:val="0"/>
          <w:sz w:val="28"/>
          <w:szCs w:val="28"/>
          <w:lang w:val="x-none"/>
        </w:rPr>
        <w:t>四</w:t>
      </w:r>
      <w:r w:rsidRPr="001B6E4D">
        <w:rPr>
          <w:rFonts w:ascii="標楷體" w:eastAsia="標楷體" w:hAnsi="標楷體"/>
          <w:spacing w:val="-14"/>
          <w:kern w:val="0"/>
          <w:sz w:val="28"/>
          <w:szCs w:val="28"/>
          <w:lang w:val="x-none" w:eastAsia="x-none"/>
        </w:rPr>
        <w:t>）上午</w:t>
      </w:r>
      <w:r w:rsidRPr="001B6E4D">
        <w:rPr>
          <w:rFonts w:ascii="標楷體" w:eastAsia="標楷體" w:hAnsi="標楷體" w:hint="eastAsia"/>
          <w:spacing w:val="-14"/>
          <w:kern w:val="0"/>
          <w:sz w:val="28"/>
          <w:szCs w:val="28"/>
          <w:lang w:val="x-none"/>
        </w:rPr>
        <w:t>9</w:t>
      </w:r>
      <w:r w:rsidRPr="001B6E4D">
        <w:rPr>
          <w:rFonts w:ascii="標楷體" w:eastAsia="標楷體" w:hAnsi="標楷體"/>
          <w:spacing w:val="-14"/>
          <w:kern w:val="0"/>
          <w:sz w:val="28"/>
          <w:szCs w:val="28"/>
          <w:lang w:val="x-none" w:eastAsia="x-none"/>
        </w:rPr>
        <w:t>時</w:t>
      </w:r>
      <w:r w:rsidRPr="001B6E4D">
        <w:rPr>
          <w:rFonts w:ascii="標楷體" w:eastAsia="標楷體" w:hAnsi="標楷體" w:hint="eastAsia"/>
          <w:spacing w:val="-14"/>
          <w:kern w:val="0"/>
          <w:sz w:val="28"/>
          <w:szCs w:val="28"/>
          <w:lang w:val="x-none"/>
        </w:rPr>
        <w:t>1分</w:t>
      </w:r>
      <w:r w:rsidRPr="001B6E4D">
        <w:rPr>
          <w:rFonts w:ascii="標楷體" w:eastAsia="標楷體" w:hAnsi="標楷體"/>
          <w:spacing w:val="-14"/>
          <w:kern w:val="0"/>
          <w:sz w:val="28"/>
          <w:szCs w:val="28"/>
          <w:lang w:val="x-none" w:eastAsia="x-none"/>
        </w:rPr>
        <w:t>至</w:t>
      </w:r>
      <w:r w:rsidRPr="001B6E4D">
        <w:rPr>
          <w:rFonts w:ascii="標楷體" w:eastAsia="標楷體" w:hAnsi="標楷體"/>
          <w:spacing w:val="-14"/>
          <w:kern w:val="0"/>
          <w:sz w:val="28"/>
          <w:szCs w:val="28"/>
          <w:lang w:val="x-none"/>
        </w:rPr>
        <w:t>11</w:t>
      </w:r>
      <w:r w:rsidRPr="001B6E4D">
        <w:rPr>
          <w:rFonts w:ascii="標楷體" w:eastAsia="標楷體" w:hAnsi="標楷體"/>
          <w:spacing w:val="-14"/>
          <w:kern w:val="0"/>
          <w:sz w:val="28"/>
          <w:szCs w:val="28"/>
          <w:lang w:val="x-none" w:eastAsia="x-none"/>
        </w:rPr>
        <w:t>時</w:t>
      </w:r>
      <w:r w:rsidRPr="001B6E4D">
        <w:rPr>
          <w:rFonts w:ascii="標楷體" w:eastAsia="標楷體" w:hAnsi="標楷體"/>
          <w:spacing w:val="-14"/>
          <w:kern w:val="0"/>
          <w:sz w:val="28"/>
          <w:szCs w:val="28"/>
          <w:lang w:val="x-none"/>
        </w:rPr>
        <w:t>55</w:t>
      </w:r>
      <w:r w:rsidRPr="001B6E4D">
        <w:rPr>
          <w:rFonts w:ascii="標楷體" w:eastAsia="標楷體" w:hAnsi="標楷體" w:hint="eastAsia"/>
          <w:spacing w:val="-14"/>
          <w:kern w:val="0"/>
          <w:sz w:val="28"/>
          <w:szCs w:val="28"/>
          <w:lang w:val="x-none" w:eastAsia="x-none"/>
        </w:rPr>
        <w:t>分</w:t>
      </w:r>
    </w:p>
    <w:p w14:paraId="42FBA5CE" w14:textId="77777777" w:rsidR="008E1E72" w:rsidRPr="001B6E4D" w:rsidRDefault="008E1E72"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lang w:val="x-none" w:eastAsia="x-none"/>
        </w:rPr>
      </w:pPr>
      <w:r w:rsidRPr="001B6E4D">
        <w:rPr>
          <w:rFonts w:ascii="標楷體" w:eastAsia="標楷體" w:hAnsi="標楷體"/>
          <w:kern w:val="0"/>
          <w:sz w:val="28"/>
          <w:szCs w:val="28"/>
          <w:fitText w:val="1120" w:id="-384115711"/>
          <w:lang w:val="x-none" w:eastAsia="x-none"/>
        </w:rPr>
        <w:t>地    點</w:t>
      </w:r>
      <w:r w:rsidRPr="001B6E4D">
        <w:rPr>
          <w:rFonts w:ascii="標楷體" w:eastAsia="標楷體" w:hAnsi="標楷體"/>
          <w:kern w:val="0"/>
          <w:sz w:val="28"/>
          <w:szCs w:val="28"/>
          <w:lang w:val="x-none" w:eastAsia="x-none"/>
        </w:rPr>
        <w:t>：本院紅樓302會議室</w:t>
      </w:r>
    </w:p>
    <w:p w14:paraId="4B14AF12" w14:textId="77777777" w:rsidR="008E1E72" w:rsidRPr="001B6E4D" w:rsidRDefault="008E1E72"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吳宗憲</w:t>
      </w:r>
      <w:r w:rsidRPr="001B6E4D">
        <w:rPr>
          <w:rFonts w:ascii="標楷體" w:eastAsia="標楷體" w:hAnsi="標楷體" w:hint="eastAsia"/>
          <w:sz w:val="28"/>
          <w:szCs w:val="28"/>
        </w:rPr>
        <w:tab/>
        <w:t>陳昭姿</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t>張宏陸</w:t>
      </w:r>
      <w:r w:rsidRPr="001B6E4D">
        <w:rPr>
          <w:rFonts w:ascii="標楷體" w:eastAsia="標楷體" w:hAnsi="標楷體" w:hint="eastAsia"/>
          <w:sz w:val="28"/>
          <w:szCs w:val="28"/>
        </w:rPr>
        <w:tab/>
        <w:t>翁曉玲</w:t>
      </w:r>
      <w:r w:rsidRPr="001B6E4D">
        <w:rPr>
          <w:rFonts w:ascii="標楷體" w:eastAsia="標楷體" w:hAnsi="標楷體"/>
          <w:sz w:val="28"/>
          <w:szCs w:val="28"/>
        </w:rPr>
        <w:tab/>
      </w:r>
      <w:r w:rsidRPr="001B6E4D">
        <w:rPr>
          <w:rFonts w:ascii="標楷體" w:eastAsia="標楷體" w:hAnsi="標楷體" w:hint="eastAsia"/>
          <w:sz w:val="28"/>
          <w:szCs w:val="28"/>
        </w:rPr>
        <w:t>張智倫</w:t>
      </w:r>
      <w:r w:rsidRPr="001B6E4D">
        <w:rPr>
          <w:rFonts w:ascii="標楷體" w:eastAsia="標楷體" w:hAnsi="標楷體" w:hint="eastAsia"/>
          <w:sz w:val="28"/>
          <w:szCs w:val="28"/>
        </w:rPr>
        <w:tab/>
        <w:t>王鴻薇</w:t>
      </w:r>
      <w:r w:rsidRPr="001B6E4D">
        <w:rPr>
          <w:rFonts w:ascii="標楷體" w:eastAsia="標楷體" w:hAnsi="標楷體" w:hint="eastAsia"/>
          <w:sz w:val="28"/>
          <w:szCs w:val="28"/>
        </w:rPr>
        <w:tab/>
      </w:r>
    </w:p>
    <w:p w14:paraId="738D1A35" w14:textId="77777777" w:rsidR="008E1E72" w:rsidRPr="001B6E4D" w:rsidRDefault="008E1E72"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王美惠</w:t>
      </w:r>
      <w:r w:rsidRPr="001B6E4D">
        <w:rPr>
          <w:rFonts w:ascii="標楷體" w:eastAsia="標楷體" w:hAnsi="標楷體" w:hint="eastAsia"/>
          <w:sz w:val="28"/>
          <w:szCs w:val="28"/>
        </w:rPr>
        <w:tab/>
        <w:t>黃  捷</w:t>
      </w:r>
      <w:r w:rsidRPr="001B6E4D">
        <w:rPr>
          <w:rFonts w:ascii="標楷體" w:eastAsia="標楷體" w:hAnsi="標楷體" w:hint="eastAsia"/>
          <w:sz w:val="28"/>
          <w:szCs w:val="28"/>
        </w:rPr>
        <w:tab/>
        <w:t>張雅琳</w:t>
      </w:r>
      <w:r w:rsidRPr="001B6E4D">
        <w:rPr>
          <w:rFonts w:ascii="標楷體" w:eastAsia="標楷體" w:hAnsi="標楷體" w:hint="eastAsia"/>
          <w:sz w:val="28"/>
          <w:szCs w:val="28"/>
        </w:rPr>
        <w:tab/>
        <w:t>李貞秀</w:t>
      </w:r>
      <w:r w:rsidRPr="001B6E4D">
        <w:rPr>
          <w:rFonts w:ascii="標楷體" w:eastAsia="標楷體" w:hAnsi="標楷體"/>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sz w:val="28"/>
          <w:szCs w:val="28"/>
        </w:rPr>
        <w:tab/>
      </w:r>
      <w:r w:rsidRPr="001B6E4D">
        <w:rPr>
          <w:rFonts w:ascii="標楷體" w:eastAsia="標楷體" w:hAnsi="標楷體" w:hint="eastAsia"/>
          <w:sz w:val="28"/>
          <w:szCs w:val="28"/>
        </w:rPr>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李柏毅</w:t>
      </w:r>
      <w:r w:rsidRPr="001B6E4D">
        <w:rPr>
          <w:rFonts w:ascii="標楷體" w:eastAsia="標楷體" w:hAnsi="標楷體" w:hint="eastAsia"/>
          <w:sz w:val="28"/>
          <w:szCs w:val="28"/>
        </w:rPr>
        <w:tab/>
      </w:r>
    </w:p>
    <w:p w14:paraId="073346D6" w14:textId="77777777" w:rsidR="008E1E72" w:rsidRPr="001B6E4D" w:rsidRDefault="008E1E72"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莊瑞雄</w:t>
      </w:r>
      <w:r w:rsidRPr="001B6E4D">
        <w:rPr>
          <w:rFonts w:ascii="標楷體" w:eastAsia="標楷體" w:hAnsi="標楷體"/>
          <w:sz w:val="28"/>
          <w:szCs w:val="28"/>
        </w:rPr>
        <w:tab/>
      </w:r>
      <w:r w:rsidRPr="001B6E4D">
        <w:rPr>
          <w:rFonts w:ascii="標楷體" w:eastAsia="標楷體" w:hAnsi="標楷體" w:hint="eastAsia"/>
          <w:sz w:val="28"/>
          <w:szCs w:val="28"/>
        </w:rPr>
        <w:t>丁學忠</w:t>
      </w:r>
      <w:r w:rsidRPr="001B6E4D">
        <w:rPr>
          <w:rFonts w:ascii="標楷體" w:eastAsia="標楷體" w:hAnsi="標楷體" w:hint="eastAsia"/>
          <w:sz w:val="28"/>
          <w:szCs w:val="28"/>
        </w:rPr>
        <w:tab/>
        <w:t>廖先翔</w:t>
      </w:r>
      <w:r w:rsidRPr="001B6E4D">
        <w:rPr>
          <w:rFonts w:ascii="標楷體" w:eastAsia="標楷體" w:hAnsi="標楷體" w:hint="eastAsia"/>
          <w:sz w:val="28"/>
          <w:szCs w:val="28"/>
        </w:rPr>
        <w:tab/>
        <w:t>蔡其昌</w:t>
      </w:r>
      <w:r w:rsidRPr="001B6E4D">
        <w:rPr>
          <w:rFonts w:ascii="標楷體" w:eastAsia="標楷體" w:hAnsi="標楷體" w:hint="eastAsia"/>
          <w:sz w:val="28"/>
          <w:szCs w:val="28"/>
        </w:rPr>
        <w:tab/>
        <w:t>徐欣瑩</w:t>
      </w:r>
      <w:r w:rsidRPr="001B6E4D">
        <w:rPr>
          <w:rFonts w:ascii="標楷體" w:eastAsia="標楷體" w:hAnsi="標楷體" w:hint="eastAsia"/>
          <w:sz w:val="28"/>
          <w:szCs w:val="28"/>
        </w:rPr>
        <w:tab/>
        <w:t>蘇巧慧</w:t>
      </w:r>
      <w:r w:rsidRPr="001B6E4D">
        <w:rPr>
          <w:rFonts w:ascii="標楷體" w:eastAsia="標楷體" w:hAnsi="標楷體" w:hint="eastAsia"/>
          <w:sz w:val="28"/>
          <w:szCs w:val="28"/>
        </w:rPr>
        <w:tab/>
        <w:t>林倩綺</w:t>
      </w:r>
      <w:r w:rsidRPr="001B6E4D">
        <w:rPr>
          <w:rFonts w:ascii="標楷體" w:eastAsia="標楷體" w:hAnsi="標楷體" w:hint="eastAsia"/>
          <w:sz w:val="28"/>
          <w:szCs w:val="28"/>
        </w:rPr>
        <w:tab/>
      </w:r>
    </w:p>
    <w:p w14:paraId="553142A7" w14:textId="77777777" w:rsidR="008E1E72" w:rsidRPr="001B6E4D" w:rsidRDefault="008E1E72"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吳琪銘</w:t>
      </w:r>
      <w:r w:rsidRPr="001B6E4D">
        <w:rPr>
          <w:rFonts w:ascii="標楷體" w:eastAsia="標楷體" w:hAnsi="標楷體" w:hint="eastAsia"/>
          <w:sz w:val="28"/>
          <w:szCs w:val="28"/>
        </w:rPr>
        <w:tab/>
      </w:r>
    </w:p>
    <w:p w14:paraId="5DD6E25F" w14:textId="77777777" w:rsidR="008E1E72" w:rsidRPr="001B6E4D" w:rsidRDefault="008E1E72"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22</w:t>
      </w:r>
      <w:r w:rsidRPr="001B6E4D">
        <w:rPr>
          <w:rFonts w:ascii="標楷體" w:eastAsia="標楷體" w:hAnsi="標楷體"/>
          <w:sz w:val="28"/>
          <w:szCs w:val="28"/>
        </w:rPr>
        <w:t>人</w:t>
      </w:r>
    </w:p>
    <w:p w14:paraId="17B75152" w14:textId="77777777" w:rsidR="008E1E72" w:rsidRPr="001B6E4D" w:rsidRDefault="008E1E72"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劉書彬</w:t>
      </w:r>
      <w:r w:rsidRPr="001B6E4D">
        <w:rPr>
          <w:rFonts w:ascii="標楷體" w:eastAsia="標楷體" w:hAnsi="標楷體"/>
          <w:sz w:val="28"/>
          <w:szCs w:val="28"/>
        </w:rPr>
        <w:tab/>
      </w:r>
      <w:r w:rsidRPr="001B6E4D">
        <w:rPr>
          <w:rFonts w:ascii="標楷體" w:eastAsia="標楷體" w:hAnsi="標楷體" w:hint="eastAsia"/>
          <w:sz w:val="28"/>
          <w:szCs w:val="28"/>
        </w:rPr>
        <w:t>鍾佳濱</w:t>
      </w:r>
      <w:r w:rsidRPr="001B6E4D">
        <w:rPr>
          <w:rFonts w:ascii="標楷體" w:eastAsia="標楷體" w:hAnsi="標楷體"/>
          <w:sz w:val="28"/>
          <w:szCs w:val="28"/>
        </w:rPr>
        <w:tab/>
      </w:r>
      <w:r w:rsidRPr="001B6E4D">
        <w:rPr>
          <w:rFonts w:ascii="標楷體" w:eastAsia="標楷體" w:hAnsi="標楷體" w:hint="eastAsia"/>
          <w:sz w:val="28"/>
          <w:szCs w:val="28"/>
        </w:rPr>
        <w:t>邱慧</w:t>
      </w:r>
      <w:proofErr w:type="gramStart"/>
      <w:r w:rsidRPr="001B6E4D">
        <w:rPr>
          <w:rFonts w:ascii="標楷體" w:eastAsia="標楷體" w:hAnsi="標楷體" w:hint="eastAsia"/>
          <w:sz w:val="28"/>
          <w:szCs w:val="28"/>
        </w:rPr>
        <w:t>洳</w:t>
      </w:r>
      <w:proofErr w:type="gramEnd"/>
      <w:r w:rsidRPr="001B6E4D">
        <w:rPr>
          <w:rFonts w:ascii="標楷體" w:eastAsia="標楷體" w:hAnsi="標楷體"/>
          <w:sz w:val="28"/>
          <w:szCs w:val="28"/>
        </w:rPr>
        <w:tab/>
      </w:r>
      <w:r w:rsidRPr="001B6E4D">
        <w:rPr>
          <w:rFonts w:ascii="標楷體" w:eastAsia="標楷體" w:hAnsi="標楷體" w:hint="eastAsia"/>
          <w:sz w:val="28"/>
          <w:szCs w:val="28"/>
        </w:rPr>
        <w:t>楊瓊瓔</w:t>
      </w:r>
      <w:r w:rsidRPr="001B6E4D">
        <w:rPr>
          <w:rFonts w:ascii="標楷體" w:eastAsia="標楷體" w:hAnsi="標楷體"/>
          <w:sz w:val="28"/>
          <w:szCs w:val="28"/>
        </w:rPr>
        <w:tab/>
      </w:r>
      <w:r w:rsidRPr="001B6E4D">
        <w:rPr>
          <w:rFonts w:ascii="標楷體" w:eastAsia="標楷體" w:hAnsi="標楷體" w:hint="eastAsia"/>
          <w:sz w:val="28"/>
          <w:szCs w:val="28"/>
        </w:rPr>
        <w:t>洪毓祥</w:t>
      </w:r>
      <w:r w:rsidRPr="001B6E4D">
        <w:rPr>
          <w:rFonts w:ascii="標楷體" w:eastAsia="標楷體" w:hAnsi="標楷體"/>
          <w:sz w:val="28"/>
          <w:szCs w:val="28"/>
        </w:rPr>
        <w:tab/>
      </w:r>
      <w:r w:rsidRPr="001B6E4D">
        <w:rPr>
          <w:rFonts w:ascii="標楷體" w:eastAsia="標楷體" w:hAnsi="標楷體" w:hint="eastAsia"/>
          <w:sz w:val="28"/>
          <w:szCs w:val="28"/>
        </w:rPr>
        <w:t>蔡春綢</w:t>
      </w:r>
      <w:r w:rsidRPr="001B6E4D">
        <w:rPr>
          <w:rFonts w:ascii="標楷體" w:eastAsia="標楷體" w:hAnsi="標楷體"/>
          <w:sz w:val="28"/>
          <w:szCs w:val="28"/>
        </w:rPr>
        <w:tab/>
      </w:r>
      <w:r w:rsidRPr="001B6E4D">
        <w:rPr>
          <w:rFonts w:ascii="標楷體" w:eastAsia="標楷體" w:hAnsi="標楷體" w:hint="eastAsia"/>
          <w:sz w:val="28"/>
          <w:szCs w:val="28"/>
        </w:rPr>
        <w:t>陳清龍</w:t>
      </w:r>
      <w:r w:rsidRPr="001B6E4D">
        <w:rPr>
          <w:rFonts w:ascii="標楷體" w:eastAsia="標楷體" w:hAnsi="標楷體"/>
          <w:sz w:val="28"/>
          <w:szCs w:val="28"/>
        </w:rPr>
        <w:tab/>
      </w:r>
    </w:p>
    <w:p w14:paraId="6EB78576" w14:textId="77777777" w:rsidR="008E1E72" w:rsidRPr="001B6E4D" w:rsidRDefault="008E1E72" w:rsidP="003D1018">
      <w:pPr>
        <w:widowControl w:val="0"/>
        <w:overflowPunct w:val="0"/>
        <w:snapToGrid w:val="0"/>
        <w:ind w:leftChars="239" w:left="574" w:firstLineChars="300" w:firstLine="840"/>
        <w:rPr>
          <w:rFonts w:ascii="標楷體" w:eastAsia="標楷體" w:hAnsi="標楷體"/>
          <w:spacing w:val="-22"/>
          <w:sz w:val="28"/>
          <w:szCs w:val="28"/>
        </w:rPr>
      </w:pPr>
      <w:r w:rsidRPr="001B6E4D">
        <w:rPr>
          <w:rFonts w:ascii="標楷體" w:eastAsia="標楷體" w:hAnsi="標楷體" w:hint="eastAsia"/>
          <w:sz w:val="28"/>
          <w:szCs w:val="28"/>
        </w:rPr>
        <w:t>鄭正鈐</w:t>
      </w:r>
      <w:r w:rsidRPr="001B6E4D">
        <w:rPr>
          <w:rFonts w:ascii="標楷體" w:eastAsia="標楷體" w:hAnsi="標楷體"/>
          <w:sz w:val="28"/>
          <w:szCs w:val="28"/>
        </w:rPr>
        <w:tab/>
      </w:r>
      <w:r w:rsidRPr="001B6E4D">
        <w:rPr>
          <w:rFonts w:ascii="標楷體" w:eastAsia="標楷體" w:hAnsi="標楷體" w:hint="eastAsia"/>
          <w:sz w:val="28"/>
          <w:szCs w:val="28"/>
        </w:rPr>
        <w:t>王安祥</w:t>
      </w:r>
      <w:r w:rsidRPr="001B6E4D">
        <w:rPr>
          <w:rFonts w:ascii="標楷體" w:eastAsia="標楷體" w:hAnsi="標楷體"/>
          <w:sz w:val="28"/>
          <w:szCs w:val="28"/>
        </w:rPr>
        <w:tab/>
      </w:r>
      <w:r w:rsidRPr="001B6E4D">
        <w:rPr>
          <w:rFonts w:ascii="標楷體" w:eastAsia="標楷體" w:hAnsi="標楷體" w:hint="eastAsia"/>
          <w:sz w:val="28"/>
          <w:szCs w:val="28"/>
        </w:rPr>
        <w:t>洪孟楷</w:t>
      </w:r>
    </w:p>
    <w:p w14:paraId="1187F56F" w14:textId="77777777" w:rsidR="008E1E72" w:rsidRPr="001B6E4D" w:rsidRDefault="008E1E72"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10</w:t>
      </w:r>
      <w:r w:rsidRPr="001B6E4D">
        <w:rPr>
          <w:rFonts w:ascii="標楷體" w:eastAsia="標楷體" w:hAnsi="標楷體"/>
          <w:sz w:val="28"/>
          <w:szCs w:val="28"/>
        </w:rPr>
        <w:t>人</w:t>
      </w:r>
    </w:p>
    <w:p w14:paraId="27DF56A7" w14:textId="77777777" w:rsidR="008E1E72" w:rsidRPr="001B6E4D" w:rsidRDefault="008E1E72" w:rsidP="003D1018">
      <w:pPr>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 xml:space="preserve">法務部政務次長　</w:t>
      </w:r>
      <w:proofErr w:type="gramStart"/>
      <w:r w:rsidRPr="001B6E4D">
        <w:rPr>
          <w:rFonts w:ascii="標楷體" w:eastAsia="標楷體" w:hAnsi="標楷體" w:hint="eastAsia"/>
          <w:kern w:val="0"/>
          <w:sz w:val="28"/>
          <w:szCs w:val="28"/>
        </w:rPr>
        <w:t>黃謀信</w:t>
      </w:r>
      <w:proofErr w:type="gramEnd"/>
    </w:p>
    <w:p w14:paraId="3E0C0867" w14:textId="77777777" w:rsidR="008E1E72" w:rsidRPr="001B6E4D" w:rsidRDefault="008E1E72" w:rsidP="003D1018">
      <w:pPr>
        <w:widowControl w:val="0"/>
        <w:overflowPunct w:val="0"/>
        <w:adjustRightInd w:val="0"/>
        <w:snapToGrid w:val="0"/>
        <w:spacing w:line="360" w:lineRule="exact"/>
        <w:ind w:leftChars="567" w:left="1361" w:firstLineChars="13" w:firstLine="36"/>
        <w:jc w:val="both"/>
        <w:rPr>
          <w:rFonts w:ascii="標楷體" w:eastAsia="標楷體" w:hAnsi="標楷體"/>
          <w:sz w:val="28"/>
          <w:szCs w:val="28"/>
        </w:rPr>
      </w:pPr>
      <w:r w:rsidRPr="001B6E4D">
        <w:rPr>
          <w:rFonts w:ascii="標楷體" w:eastAsia="標楷體" w:hAnsi="標楷體" w:hint="eastAsia"/>
          <w:kern w:val="0"/>
          <w:sz w:val="28"/>
          <w:szCs w:val="28"/>
        </w:rPr>
        <w:t>最高檢察署檢察總長被提名人　徐錫祥</w:t>
      </w:r>
    </w:p>
    <w:p w14:paraId="6EAB390C" w14:textId="77777777" w:rsidR="008E1E72" w:rsidRPr="001B6E4D" w:rsidRDefault="008E1E72"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席：莊召集委員瑞雄</w:t>
      </w:r>
    </w:p>
    <w:p w14:paraId="39B87533" w14:textId="77777777" w:rsidR="008E1E72" w:rsidRPr="001B6E4D" w:rsidRDefault="008E1E72"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7474F878" w14:textId="77777777" w:rsidR="008E1E72" w:rsidRPr="001B6E4D" w:rsidRDefault="008E1E72"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466D16B8" w14:textId="77777777" w:rsidR="008E1E72" w:rsidRPr="001B6E4D" w:rsidRDefault="008E1E72"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620D65E3" w14:textId="77777777" w:rsidR="008E1E72" w:rsidRPr="001B6E4D" w:rsidRDefault="008E1E72"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370A9586" w14:textId="77777777" w:rsidR="008E1E72" w:rsidRPr="001B6E4D" w:rsidRDefault="008E1E72"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2C170A46" w14:textId="77777777" w:rsidR="008E1E72" w:rsidRPr="001B6E4D" w:rsidRDefault="008E1E72"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0AF1FC0B" w14:textId="77777777" w:rsidR="008E1E72" w:rsidRPr="001B6E4D" w:rsidRDefault="008E1E72" w:rsidP="003D1018">
      <w:pPr>
        <w:widowControl w:val="0"/>
        <w:overflowPunct w:val="0"/>
        <w:adjustRightInd w:val="0"/>
        <w:snapToGrid w:val="0"/>
        <w:spacing w:beforeLines="30" w:before="108" w:line="360" w:lineRule="exact"/>
        <w:ind w:firstLineChars="398" w:firstLine="1115"/>
        <w:jc w:val="both"/>
        <w:rPr>
          <w:rFonts w:ascii="標楷體" w:eastAsia="標楷體" w:hAnsi="標楷體"/>
          <w:b/>
          <w:kern w:val="0"/>
          <w:sz w:val="28"/>
          <w:szCs w:val="28"/>
        </w:rPr>
      </w:pPr>
      <w:r w:rsidRPr="001B6E4D">
        <w:rPr>
          <w:rFonts w:ascii="標楷體" w:eastAsia="標楷體" w:hAnsi="標楷體" w:hint="eastAsia"/>
          <w:b/>
          <w:kern w:val="0"/>
          <w:sz w:val="28"/>
          <w:szCs w:val="28"/>
        </w:rPr>
        <w:t>討論</w:t>
      </w:r>
      <w:r w:rsidRPr="001B6E4D">
        <w:rPr>
          <w:rFonts w:ascii="標楷體" w:eastAsia="標楷體" w:hAnsi="標楷體"/>
          <w:b/>
          <w:kern w:val="0"/>
          <w:sz w:val="28"/>
          <w:szCs w:val="28"/>
        </w:rPr>
        <w:t>事項</w:t>
      </w:r>
    </w:p>
    <w:p w14:paraId="005EF8F5" w14:textId="77777777" w:rsidR="008E1E72" w:rsidRPr="001B6E4D" w:rsidRDefault="008E1E72" w:rsidP="003D1018">
      <w:pPr>
        <w:widowControl w:val="0"/>
        <w:overflowPunct w:val="0"/>
        <w:adjustRightInd w:val="0"/>
        <w:snapToGrid w:val="0"/>
        <w:spacing w:line="360" w:lineRule="exact"/>
        <w:ind w:leftChars="-1" w:left="-2"/>
        <w:jc w:val="both"/>
        <w:rPr>
          <w:rFonts w:ascii="標楷體" w:eastAsia="標楷體" w:hAnsi="標楷體"/>
          <w:kern w:val="0"/>
          <w:sz w:val="28"/>
          <w:szCs w:val="28"/>
        </w:rPr>
      </w:pPr>
      <w:r w:rsidRPr="001B6E4D">
        <w:rPr>
          <w:rFonts w:ascii="標楷體" w:eastAsia="標楷體" w:hAnsi="標楷體" w:hint="eastAsia"/>
          <w:kern w:val="0"/>
          <w:sz w:val="28"/>
          <w:szCs w:val="28"/>
        </w:rPr>
        <w:t>審查「總統</w:t>
      </w:r>
      <w:proofErr w:type="gramStart"/>
      <w:r w:rsidRPr="001B6E4D">
        <w:rPr>
          <w:rFonts w:ascii="標楷體" w:eastAsia="標楷體" w:hAnsi="標楷體" w:hint="eastAsia"/>
          <w:kern w:val="0"/>
          <w:sz w:val="28"/>
          <w:szCs w:val="28"/>
        </w:rPr>
        <w:t>咨</w:t>
      </w:r>
      <w:proofErr w:type="gramEnd"/>
      <w:r w:rsidRPr="001B6E4D">
        <w:rPr>
          <w:rFonts w:ascii="標楷體" w:eastAsia="標楷體" w:hAnsi="標楷體" w:hint="eastAsia"/>
          <w:kern w:val="0"/>
          <w:sz w:val="28"/>
          <w:szCs w:val="28"/>
        </w:rPr>
        <w:t>，為最高檢察署檢察總長邢泰釗任期於115年5月7日屆滿，茲依法院組織法第66條第2項規定，提名徐錫祥為最高檢察署檢察總長，</w:t>
      </w:r>
      <w:proofErr w:type="gramStart"/>
      <w:r w:rsidRPr="001B6E4D">
        <w:rPr>
          <w:rFonts w:ascii="標楷體" w:eastAsia="標楷體" w:hAnsi="標楷體" w:hint="eastAsia"/>
          <w:kern w:val="0"/>
          <w:sz w:val="28"/>
          <w:szCs w:val="28"/>
        </w:rPr>
        <w:t>咨</w:t>
      </w:r>
      <w:proofErr w:type="gramEnd"/>
      <w:r w:rsidRPr="001B6E4D">
        <w:rPr>
          <w:rFonts w:ascii="標楷體" w:eastAsia="標楷體" w:hAnsi="標楷體" w:hint="eastAsia"/>
          <w:kern w:val="0"/>
          <w:sz w:val="28"/>
          <w:szCs w:val="28"/>
        </w:rPr>
        <w:t>請同意案」案。</w:t>
      </w:r>
    </w:p>
    <w:p w14:paraId="56818301" w14:textId="77777777" w:rsidR="008E1E72" w:rsidRPr="001B6E4D" w:rsidRDefault="008E1E72"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吳宗憲、陳昭姿、沈發惠、張智倫、翁曉玲、張宏陸、王鴻薇、張雅琳、李貞秀、莊瑞雄、許宇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雲、劉書彬、邱慧</w:t>
      </w:r>
      <w:proofErr w:type="gramStart"/>
      <w:r w:rsidRPr="001B6E4D">
        <w:rPr>
          <w:rFonts w:ascii="標楷體" w:eastAsia="標楷體" w:hAnsi="標楷體" w:hint="eastAsia"/>
          <w:sz w:val="28"/>
          <w:szCs w:val="28"/>
        </w:rPr>
        <w:t>洳</w:t>
      </w:r>
      <w:proofErr w:type="gramEnd"/>
      <w:r w:rsidRPr="001B6E4D">
        <w:rPr>
          <w:rFonts w:ascii="標楷體" w:eastAsia="標楷體" w:hAnsi="標楷體" w:hint="eastAsia"/>
          <w:sz w:val="28"/>
          <w:szCs w:val="28"/>
        </w:rPr>
        <w:t>、林倩綺、洪毓祥、洪孟楷、王安祥</w:t>
      </w:r>
      <w:r w:rsidRPr="001B6E4D">
        <w:rPr>
          <w:rFonts w:ascii="標楷體" w:eastAsia="標楷體" w:hAnsi="標楷體"/>
          <w:sz w:val="28"/>
          <w:szCs w:val="28"/>
        </w:rPr>
        <w:t>提出詢</w:t>
      </w:r>
      <w:r w:rsidRPr="001B6E4D">
        <w:rPr>
          <w:rFonts w:ascii="標楷體" w:eastAsia="標楷體" w:hAnsi="標楷體" w:hint="eastAsia"/>
          <w:sz w:val="28"/>
          <w:szCs w:val="28"/>
        </w:rPr>
        <w:t>問；委員蔡其昌、蘇巧慧、黃捷、李柏毅、王美惠、蔡春綢提出書面詢問。</w:t>
      </w:r>
      <w:r w:rsidRPr="001B6E4D">
        <w:rPr>
          <w:rFonts w:ascii="標楷體" w:eastAsia="標楷體" w:hAnsi="標楷體"/>
          <w:sz w:val="28"/>
          <w:szCs w:val="28"/>
        </w:rPr>
        <w:t>）</w:t>
      </w:r>
    </w:p>
    <w:p w14:paraId="418B9974" w14:textId="77777777" w:rsidR="008E1E72" w:rsidRPr="001B6E4D" w:rsidRDefault="008E1E72"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238AC212" w14:textId="77777777" w:rsidR="008E1E72" w:rsidRPr="001B6E4D" w:rsidRDefault="008E1E72"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sz w:val="28"/>
          <w:szCs w:val="28"/>
        </w:rPr>
        <w:t>一、報告及詢</w:t>
      </w:r>
      <w:r w:rsidRPr="001B6E4D">
        <w:rPr>
          <w:rFonts w:ascii="標楷體" w:eastAsia="標楷體" w:hAnsi="標楷體" w:hint="eastAsia"/>
          <w:sz w:val="28"/>
          <w:szCs w:val="28"/>
        </w:rPr>
        <w:t>問</w:t>
      </w:r>
      <w:r w:rsidRPr="001B6E4D">
        <w:rPr>
          <w:rFonts w:ascii="標楷體" w:eastAsia="標楷體" w:hAnsi="標楷體"/>
          <w:sz w:val="28"/>
          <w:szCs w:val="28"/>
        </w:rPr>
        <w:t>完畢。</w:t>
      </w:r>
    </w:p>
    <w:p w14:paraId="1D43F898" w14:textId="77777777" w:rsidR="008E1E72" w:rsidRPr="001B6E4D" w:rsidRDefault="008E1E72"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二、本案審查完竣，依立法院職權行使法第29條第3項規定，於4月20日擬具審查報告，提請院會公決；院會進行同意權行使時，由莊召集委員瑞雄出席說明。</w:t>
      </w:r>
    </w:p>
    <w:p w14:paraId="53A4A0B5" w14:textId="77777777" w:rsidR="008E1E72" w:rsidRPr="001B6E4D" w:rsidRDefault="008E1E72"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三、本院各黨團對被提名人資格及適任性所提書面問題，以及總統府秘書長函復被提名人所提供相關資料，均列入紀錄，刊登公報。</w:t>
      </w:r>
    </w:p>
    <w:p w14:paraId="6DB61026" w14:textId="77777777" w:rsidR="008E1E72" w:rsidRPr="001B6E4D" w:rsidRDefault="008E1E72"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四、</w:t>
      </w:r>
      <w:r w:rsidRPr="001B6E4D">
        <w:rPr>
          <w:rFonts w:ascii="標楷體" w:eastAsia="標楷體" w:hAnsi="標楷體"/>
          <w:sz w:val="28"/>
          <w:szCs w:val="28"/>
        </w:rPr>
        <w:t>委員</w:t>
      </w:r>
      <w:r w:rsidRPr="001B6E4D">
        <w:rPr>
          <w:rFonts w:ascii="標楷體" w:eastAsia="標楷體" w:hAnsi="標楷體" w:hint="eastAsia"/>
          <w:sz w:val="28"/>
          <w:szCs w:val="28"/>
        </w:rPr>
        <w:t>詢問</w:t>
      </w:r>
      <w:r w:rsidRPr="001B6E4D">
        <w:rPr>
          <w:rFonts w:ascii="標楷體" w:eastAsia="標楷體" w:hAnsi="標楷體"/>
          <w:sz w:val="28"/>
          <w:szCs w:val="28"/>
        </w:rPr>
        <w:t>時，要求提供相關資料或以書面答復者，請相關機關儘速送交個別委員</w:t>
      </w:r>
      <w:proofErr w:type="gramStart"/>
      <w:r w:rsidRPr="001B6E4D">
        <w:rPr>
          <w:rFonts w:ascii="標楷體" w:eastAsia="標楷體" w:hAnsi="標楷體"/>
          <w:sz w:val="28"/>
          <w:szCs w:val="28"/>
        </w:rPr>
        <w:t>及本</w:t>
      </w:r>
      <w:r w:rsidRPr="001B6E4D">
        <w:rPr>
          <w:rFonts w:ascii="標楷體" w:eastAsia="標楷體" w:hAnsi="標楷體" w:hint="eastAsia"/>
          <w:sz w:val="28"/>
          <w:szCs w:val="28"/>
        </w:rPr>
        <w:t>聯席</w:t>
      </w:r>
      <w:proofErr w:type="gramEnd"/>
      <w:r w:rsidRPr="001B6E4D">
        <w:rPr>
          <w:rFonts w:ascii="標楷體" w:eastAsia="標楷體" w:hAnsi="標楷體"/>
          <w:sz w:val="28"/>
          <w:szCs w:val="28"/>
        </w:rPr>
        <w:t>會。</w:t>
      </w:r>
    </w:p>
    <w:p w14:paraId="3473BEFF" w14:textId="77777777" w:rsidR="008E1E72" w:rsidRPr="001B6E4D" w:rsidRDefault="008E1E72" w:rsidP="003D1018">
      <w:pPr>
        <w:widowControl w:val="0"/>
        <w:overflowPunct w:val="0"/>
        <w:spacing w:line="360" w:lineRule="exact"/>
        <w:ind w:left="619" w:hangingChars="221" w:hanging="619"/>
        <w:contextualSpacing/>
        <w:jc w:val="both"/>
        <w:rPr>
          <w:rFonts w:ascii="標楷體" w:eastAsia="標楷體" w:hAnsi="標楷體"/>
          <w:sz w:val="28"/>
          <w:szCs w:val="28"/>
        </w:rPr>
      </w:pPr>
      <w:r w:rsidRPr="001B6E4D">
        <w:rPr>
          <w:rFonts w:ascii="標楷體" w:eastAsia="標楷體" w:hAnsi="標楷體"/>
          <w:sz w:val="28"/>
          <w:szCs w:val="28"/>
        </w:rPr>
        <w:t>散會</w:t>
      </w:r>
    </w:p>
    <w:p w14:paraId="384208EE" w14:textId="77777777" w:rsidR="007A2022" w:rsidRPr="001B6E4D" w:rsidRDefault="007A2022" w:rsidP="003D1018">
      <w:pPr>
        <w:overflowPunct w:val="0"/>
        <w:spacing w:line="400" w:lineRule="exact"/>
        <w:ind w:left="619" w:hangingChars="221" w:hanging="619"/>
        <w:contextualSpacing/>
        <w:jc w:val="both"/>
        <w:rPr>
          <w:rFonts w:ascii="標楷體" w:eastAsia="標楷體" w:hAnsi="標楷體"/>
          <w:sz w:val="28"/>
          <w:szCs w:val="28"/>
        </w:rPr>
        <w:sectPr w:rsidR="007A2022" w:rsidRPr="001B6E4D" w:rsidSect="00E75B89">
          <w:footerReference w:type="default" r:id="rId20"/>
          <w:pgSz w:w="11906" w:h="16838"/>
          <w:pgMar w:top="992" w:right="1588" w:bottom="1134" w:left="1701" w:header="851" w:footer="992" w:gutter="0"/>
          <w:cols w:space="425"/>
          <w:docGrid w:type="lines" w:linePitch="360"/>
        </w:sectPr>
      </w:pPr>
    </w:p>
    <w:p w14:paraId="585D6C99" w14:textId="566EBC43" w:rsidR="007A2022" w:rsidRPr="001B6E4D" w:rsidRDefault="007A2022" w:rsidP="003D1018">
      <w:pPr>
        <w:overflowPunct w:val="0"/>
        <w:snapToGrid w:val="0"/>
        <w:spacing w:beforeLines="50" w:before="180" w:line="360" w:lineRule="exact"/>
        <w:ind w:left="1242" w:hangingChars="500" w:hanging="1242"/>
        <w:jc w:val="distribute"/>
        <w:outlineLvl w:val="2"/>
        <w:rPr>
          <w:rFonts w:ascii="標楷體" w:eastAsia="標楷體" w:hAnsi="標楷體"/>
          <w:b/>
          <w:spacing w:val="-4"/>
          <w:w w:val="98"/>
          <w:sz w:val="28"/>
          <w:szCs w:val="28"/>
        </w:rPr>
      </w:pPr>
      <w:bookmarkStart w:id="551" w:name="_Toc240446616"/>
      <w:r w:rsidRPr="001B6E4D">
        <w:rPr>
          <w:rFonts w:ascii="標楷體" w:eastAsia="標楷體" w:hAnsi="標楷體" w:hint="eastAsia"/>
          <w:b/>
          <w:spacing w:val="-2"/>
          <w:w w:val="90"/>
          <w:sz w:val="28"/>
          <w:szCs w:val="28"/>
        </w:rPr>
        <w:lastRenderedPageBreak/>
        <w:t>立法院第11屆</w:t>
      </w:r>
      <w:r w:rsidR="008E1E72" w:rsidRPr="001B6E4D">
        <w:rPr>
          <w:rFonts w:ascii="標楷體" w:eastAsia="標楷體" w:hAnsi="標楷體"/>
          <w:b/>
          <w:spacing w:val="-4"/>
          <w:kern w:val="0"/>
          <w:sz w:val="28"/>
          <w:szCs w:val="28"/>
        </w:rPr>
        <w:t>第</w:t>
      </w:r>
      <w:r w:rsidR="008E1E72" w:rsidRPr="001B6E4D">
        <w:rPr>
          <w:rFonts w:ascii="標楷體" w:eastAsia="標楷體" w:hAnsi="標楷體" w:hint="eastAsia"/>
          <w:b/>
          <w:spacing w:val="-4"/>
          <w:kern w:val="0"/>
          <w:sz w:val="28"/>
          <w:szCs w:val="28"/>
        </w:rPr>
        <w:t>5</w:t>
      </w:r>
      <w:r w:rsidR="008E1E72" w:rsidRPr="001B6E4D">
        <w:rPr>
          <w:rFonts w:ascii="標楷體" w:eastAsia="標楷體" w:hAnsi="標楷體"/>
          <w:b/>
          <w:spacing w:val="-4"/>
          <w:kern w:val="0"/>
          <w:sz w:val="28"/>
          <w:szCs w:val="28"/>
        </w:rPr>
        <w:t>會期司法及法制</w:t>
      </w:r>
      <w:r w:rsidR="008E1E72" w:rsidRPr="001B6E4D">
        <w:rPr>
          <w:rFonts w:ascii="標楷體" w:eastAsia="標楷體" w:hAnsi="標楷體" w:hint="eastAsia"/>
          <w:b/>
          <w:spacing w:val="-4"/>
          <w:kern w:val="0"/>
          <w:sz w:val="28"/>
          <w:szCs w:val="28"/>
        </w:rPr>
        <w:t>、內政委員會第2次聯席會議</w:t>
      </w:r>
      <w:r w:rsidR="008E1E72" w:rsidRPr="001B6E4D">
        <w:rPr>
          <w:rFonts w:ascii="標楷體" w:eastAsia="標楷體" w:hAnsi="標楷體"/>
          <w:b/>
          <w:spacing w:val="-4"/>
          <w:kern w:val="0"/>
          <w:sz w:val="28"/>
          <w:szCs w:val="28"/>
        </w:rPr>
        <w:t>議事錄</w:t>
      </w:r>
      <w:bookmarkEnd w:id="551"/>
    </w:p>
    <w:p w14:paraId="2596B0B3" w14:textId="77777777" w:rsidR="008E1E72" w:rsidRPr="001B6E4D" w:rsidRDefault="008E1E72" w:rsidP="003D1018">
      <w:pPr>
        <w:overflowPunct w:val="0"/>
        <w:adjustRightInd w:val="0"/>
        <w:snapToGrid w:val="0"/>
        <w:spacing w:line="360" w:lineRule="exact"/>
        <w:ind w:leftChars="1" w:left="1416" w:hangingChars="505" w:hanging="1414"/>
        <w:rPr>
          <w:rFonts w:ascii="標楷體" w:eastAsia="標楷體" w:hAnsi="標楷體"/>
          <w:spacing w:val="-10"/>
          <w:kern w:val="0"/>
          <w:sz w:val="28"/>
          <w:szCs w:val="28"/>
        </w:rPr>
      </w:pPr>
      <w:r w:rsidRPr="001B6E4D">
        <w:rPr>
          <w:rFonts w:ascii="標楷體" w:eastAsia="標楷體" w:hAnsi="標楷體"/>
          <w:kern w:val="0"/>
          <w:sz w:val="28"/>
          <w:szCs w:val="28"/>
          <w:fitText w:val="1120" w:id="-384115200"/>
        </w:rPr>
        <w:t>時    間</w:t>
      </w:r>
      <w:r w:rsidRPr="001B6E4D">
        <w:rPr>
          <w:rFonts w:ascii="標楷體" w:eastAsia="標楷體" w:hAnsi="標楷體"/>
          <w:spacing w:val="-10"/>
          <w:kern w:val="0"/>
          <w:sz w:val="28"/>
          <w:szCs w:val="28"/>
        </w:rPr>
        <w:t>：</w:t>
      </w:r>
      <w:r w:rsidRPr="001B6E4D">
        <w:rPr>
          <w:rFonts w:ascii="標楷體" w:eastAsia="標楷體" w:hAnsi="標楷體"/>
          <w:spacing w:val="-6"/>
          <w:kern w:val="0"/>
          <w:sz w:val="28"/>
          <w:szCs w:val="28"/>
        </w:rPr>
        <w:t>中華民國1</w:t>
      </w:r>
      <w:r w:rsidRPr="001B6E4D">
        <w:rPr>
          <w:rFonts w:ascii="標楷體" w:eastAsia="標楷體" w:hAnsi="標楷體" w:hint="eastAsia"/>
          <w:spacing w:val="-6"/>
          <w:kern w:val="0"/>
          <w:sz w:val="28"/>
          <w:szCs w:val="28"/>
        </w:rPr>
        <w:t>15</w:t>
      </w:r>
      <w:r w:rsidRPr="001B6E4D">
        <w:rPr>
          <w:rFonts w:ascii="標楷體" w:eastAsia="標楷體" w:hAnsi="標楷體"/>
          <w:spacing w:val="-6"/>
          <w:kern w:val="0"/>
          <w:sz w:val="28"/>
          <w:szCs w:val="28"/>
        </w:rPr>
        <w:t>年</w:t>
      </w:r>
      <w:r w:rsidRPr="001B6E4D">
        <w:rPr>
          <w:rFonts w:ascii="標楷體" w:eastAsia="標楷體" w:hAnsi="標楷體" w:hint="eastAsia"/>
          <w:spacing w:val="-6"/>
          <w:kern w:val="0"/>
          <w:sz w:val="28"/>
          <w:szCs w:val="28"/>
        </w:rPr>
        <w:t>4</w:t>
      </w:r>
      <w:r w:rsidRPr="001B6E4D">
        <w:rPr>
          <w:rFonts w:ascii="標楷體" w:eastAsia="標楷體" w:hAnsi="標楷體"/>
          <w:spacing w:val="-6"/>
          <w:kern w:val="0"/>
          <w:sz w:val="28"/>
          <w:szCs w:val="28"/>
        </w:rPr>
        <w:t>月</w:t>
      </w:r>
      <w:r w:rsidRPr="001B6E4D">
        <w:rPr>
          <w:rFonts w:ascii="標楷體" w:eastAsia="標楷體" w:hAnsi="標楷體" w:hint="eastAsia"/>
          <w:spacing w:val="-6"/>
          <w:kern w:val="0"/>
          <w:sz w:val="28"/>
          <w:szCs w:val="28"/>
        </w:rPr>
        <w:t>22</w:t>
      </w:r>
      <w:r w:rsidRPr="001B6E4D">
        <w:rPr>
          <w:rFonts w:ascii="標楷體" w:eastAsia="標楷體" w:hAnsi="標楷體"/>
          <w:spacing w:val="-6"/>
          <w:kern w:val="0"/>
          <w:sz w:val="28"/>
          <w:szCs w:val="28"/>
        </w:rPr>
        <w:t>日（星期</w:t>
      </w:r>
      <w:r w:rsidRPr="001B6E4D">
        <w:rPr>
          <w:rFonts w:ascii="標楷體" w:eastAsia="標楷體" w:hAnsi="標楷體" w:hint="eastAsia"/>
          <w:spacing w:val="-6"/>
          <w:kern w:val="0"/>
          <w:sz w:val="28"/>
          <w:szCs w:val="28"/>
        </w:rPr>
        <w:t>三</w:t>
      </w:r>
      <w:r w:rsidRPr="001B6E4D">
        <w:rPr>
          <w:rFonts w:ascii="標楷體" w:eastAsia="標楷體" w:hAnsi="標楷體"/>
          <w:spacing w:val="-6"/>
          <w:kern w:val="0"/>
          <w:sz w:val="28"/>
          <w:szCs w:val="28"/>
        </w:rPr>
        <w:t>）上午9時至</w:t>
      </w:r>
      <w:r w:rsidRPr="001B6E4D">
        <w:rPr>
          <w:rFonts w:ascii="標楷體" w:eastAsia="標楷體" w:hAnsi="標楷體" w:hint="eastAsia"/>
          <w:spacing w:val="-6"/>
          <w:kern w:val="0"/>
          <w:sz w:val="28"/>
          <w:szCs w:val="28"/>
        </w:rPr>
        <w:t>1</w:t>
      </w:r>
      <w:r w:rsidRPr="001B6E4D">
        <w:rPr>
          <w:rFonts w:ascii="標楷體" w:eastAsia="標楷體" w:hAnsi="標楷體"/>
          <w:spacing w:val="-6"/>
          <w:kern w:val="0"/>
          <w:sz w:val="28"/>
          <w:szCs w:val="28"/>
        </w:rPr>
        <w:t>1時10</w:t>
      </w:r>
      <w:r w:rsidRPr="001B6E4D">
        <w:rPr>
          <w:rFonts w:ascii="標楷體" w:eastAsia="標楷體" w:hAnsi="標楷體" w:hint="eastAsia"/>
          <w:spacing w:val="-6"/>
          <w:kern w:val="0"/>
          <w:sz w:val="28"/>
          <w:szCs w:val="28"/>
        </w:rPr>
        <w:t>分</w:t>
      </w:r>
    </w:p>
    <w:p w14:paraId="21057B13" w14:textId="77777777" w:rsidR="008E1E72" w:rsidRPr="001B6E4D" w:rsidRDefault="008E1E72"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rPr>
      </w:pPr>
      <w:r w:rsidRPr="001B6E4D">
        <w:rPr>
          <w:rFonts w:ascii="標楷體" w:eastAsia="標楷體" w:hAnsi="標楷體"/>
          <w:kern w:val="0"/>
          <w:sz w:val="28"/>
          <w:szCs w:val="28"/>
          <w:fitText w:val="1120" w:id="-384115199"/>
        </w:rPr>
        <w:t>地    點</w:t>
      </w:r>
      <w:r w:rsidRPr="001B6E4D">
        <w:rPr>
          <w:rFonts w:ascii="標楷體" w:eastAsia="標楷體" w:hAnsi="標楷體"/>
          <w:kern w:val="0"/>
          <w:sz w:val="28"/>
          <w:szCs w:val="28"/>
        </w:rPr>
        <w:t>：本院紅樓302會議室</w:t>
      </w:r>
    </w:p>
    <w:p w14:paraId="6A4F5CA5" w14:textId="77777777" w:rsidR="008E1E72" w:rsidRPr="001B6E4D" w:rsidRDefault="008E1E72" w:rsidP="003D1018">
      <w:pPr>
        <w:widowControl w:val="0"/>
        <w:overflowPunct w:val="0"/>
        <w:snapToGrid w:val="0"/>
        <w:ind w:left="206" w:hanging="20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陳昭姿</w:t>
      </w:r>
      <w:r w:rsidRPr="001B6E4D">
        <w:rPr>
          <w:rFonts w:ascii="標楷體" w:eastAsia="標楷體" w:hAnsi="標楷體" w:hint="eastAsia"/>
          <w:sz w:val="28"/>
          <w:szCs w:val="28"/>
        </w:rPr>
        <w:tab/>
        <w:t>張智倫</w:t>
      </w:r>
      <w:r w:rsidRPr="001B6E4D">
        <w:rPr>
          <w:rFonts w:ascii="標楷體" w:eastAsia="標楷體" w:hAnsi="標楷體" w:hint="eastAsia"/>
          <w:sz w:val="28"/>
          <w:szCs w:val="28"/>
        </w:rPr>
        <w:tab/>
        <w:t>蘇巧慧</w:t>
      </w:r>
      <w:r w:rsidRPr="001B6E4D">
        <w:rPr>
          <w:rFonts w:ascii="標楷體" w:eastAsia="標楷體" w:hAnsi="標楷體" w:hint="eastAsia"/>
          <w:sz w:val="28"/>
          <w:szCs w:val="28"/>
        </w:rPr>
        <w:tab/>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t>張宏陸</w:t>
      </w:r>
      <w:r w:rsidRPr="001B6E4D">
        <w:rPr>
          <w:rFonts w:ascii="標楷體" w:eastAsia="標楷體" w:hAnsi="標楷體" w:hint="eastAsia"/>
          <w:sz w:val="28"/>
          <w:szCs w:val="28"/>
        </w:rPr>
        <w:tab/>
        <w:t>翁曉玲</w:t>
      </w:r>
      <w:r w:rsidRPr="001B6E4D">
        <w:rPr>
          <w:rFonts w:ascii="標楷體" w:eastAsia="標楷體" w:hAnsi="標楷體" w:hint="eastAsia"/>
          <w:sz w:val="28"/>
          <w:szCs w:val="28"/>
        </w:rPr>
        <w:tab/>
      </w:r>
    </w:p>
    <w:p w14:paraId="01A2107E" w14:textId="77777777" w:rsidR="008E1E72" w:rsidRPr="001B6E4D" w:rsidRDefault="008E1E72"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王美惠</w:t>
      </w:r>
      <w:r w:rsidRPr="001B6E4D">
        <w:rPr>
          <w:rFonts w:ascii="標楷體" w:eastAsia="標楷體" w:hAnsi="標楷體" w:hint="eastAsia"/>
          <w:sz w:val="28"/>
          <w:szCs w:val="28"/>
        </w:rPr>
        <w:tab/>
        <w:t>黃  捷</w:t>
      </w:r>
      <w:r w:rsidRPr="001B6E4D">
        <w:rPr>
          <w:rFonts w:ascii="標楷體" w:eastAsia="標楷體" w:hAnsi="標楷體" w:hint="eastAsia"/>
          <w:sz w:val="28"/>
          <w:szCs w:val="28"/>
        </w:rPr>
        <w:tab/>
        <w:t>莊瑞雄</w:t>
      </w:r>
      <w:r w:rsidRPr="001B6E4D">
        <w:rPr>
          <w:rFonts w:ascii="標楷體" w:eastAsia="標楷體" w:hAnsi="標楷體" w:hint="eastAsia"/>
          <w:sz w:val="28"/>
          <w:szCs w:val="28"/>
        </w:rPr>
        <w:tab/>
        <w:t>張雅琳</w:t>
      </w:r>
      <w:r w:rsidRPr="001B6E4D">
        <w:rPr>
          <w:rFonts w:ascii="標楷體" w:eastAsia="標楷體" w:hAnsi="標楷體" w:hint="eastAsia"/>
          <w:sz w:val="28"/>
          <w:szCs w:val="28"/>
        </w:rPr>
        <w:tab/>
        <w:t>林倩綺</w:t>
      </w:r>
      <w:r w:rsidRPr="001B6E4D">
        <w:rPr>
          <w:rFonts w:ascii="標楷體" w:eastAsia="標楷體" w:hAnsi="標楷體" w:hint="eastAsia"/>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hint="eastAsia"/>
          <w:sz w:val="28"/>
          <w:szCs w:val="28"/>
        </w:rPr>
        <w:tab/>
        <w:t>李柏毅</w:t>
      </w:r>
      <w:r w:rsidRPr="001B6E4D">
        <w:rPr>
          <w:rFonts w:ascii="標楷體" w:eastAsia="標楷體" w:hAnsi="標楷體" w:hint="eastAsia"/>
          <w:sz w:val="28"/>
          <w:szCs w:val="28"/>
        </w:rPr>
        <w:tab/>
      </w:r>
    </w:p>
    <w:p w14:paraId="415F707D" w14:textId="77777777" w:rsidR="008E1E72" w:rsidRPr="001B6E4D" w:rsidRDefault="008E1E72"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林沛祥</w:t>
      </w:r>
      <w:r w:rsidRPr="001B6E4D">
        <w:rPr>
          <w:rFonts w:ascii="標楷體" w:eastAsia="標楷體" w:hAnsi="標楷體" w:hint="eastAsia"/>
          <w:sz w:val="28"/>
          <w:szCs w:val="28"/>
        </w:rPr>
        <w:tab/>
        <w:t>王鴻薇</w:t>
      </w:r>
      <w:r w:rsidRPr="001B6E4D">
        <w:rPr>
          <w:rFonts w:ascii="標楷體" w:eastAsia="標楷體" w:hAnsi="標楷體" w:hint="eastAsia"/>
          <w:sz w:val="28"/>
          <w:szCs w:val="28"/>
        </w:rPr>
        <w:tab/>
        <w:t>蔡其昌</w:t>
      </w:r>
      <w:r w:rsidRPr="001B6E4D">
        <w:rPr>
          <w:rFonts w:ascii="標楷體" w:eastAsia="標楷體" w:hAnsi="標楷體" w:hint="eastAsia"/>
          <w:sz w:val="28"/>
          <w:szCs w:val="28"/>
        </w:rPr>
        <w:tab/>
        <w:t>吳宗憲</w:t>
      </w:r>
      <w:r w:rsidRPr="001B6E4D">
        <w:rPr>
          <w:rFonts w:ascii="標楷體" w:eastAsia="標楷體" w:hAnsi="標楷體" w:hint="eastAsia"/>
          <w:sz w:val="28"/>
          <w:szCs w:val="28"/>
        </w:rPr>
        <w:tab/>
      </w:r>
      <w:r w:rsidRPr="001B6E4D">
        <w:rPr>
          <w:rFonts w:ascii="標楷體" w:eastAsia="標楷體" w:hAnsi="標楷體" w:hint="eastAsia"/>
          <w:spacing w:val="-20"/>
          <w:w w:val="90"/>
          <w:sz w:val="28"/>
          <w:szCs w:val="28"/>
        </w:rPr>
        <w:t>高金素梅</w:t>
      </w:r>
      <w:r w:rsidRPr="001B6E4D">
        <w:rPr>
          <w:rFonts w:ascii="標楷體" w:eastAsia="標楷體" w:hAnsi="標楷體" w:hint="eastAsia"/>
          <w:sz w:val="28"/>
          <w:szCs w:val="28"/>
        </w:rPr>
        <w:tab/>
        <w:t>徐欣瑩</w:t>
      </w:r>
      <w:r w:rsidRPr="001B6E4D">
        <w:rPr>
          <w:rFonts w:ascii="標楷體" w:eastAsia="標楷體" w:hAnsi="標楷體" w:hint="eastAsia"/>
          <w:sz w:val="28"/>
          <w:szCs w:val="28"/>
        </w:rPr>
        <w:tab/>
        <w:t>吳琪銘</w:t>
      </w:r>
    </w:p>
    <w:p w14:paraId="056B4687" w14:textId="77777777" w:rsidR="008E1E72" w:rsidRPr="001B6E4D" w:rsidRDefault="008E1E72"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許忠信</w:t>
      </w:r>
      <w:r w:rsidRPr="001B6E4D">
        <w:rPr>
          <w:rFonts w:ascii="標楷體" w:eastAsia="標楷體" w:hAnsi="標楷體" w:hint="eastAsia"/>
          <w:sz w:val="28"/>
          <w:szCs w:val="28"/>
        </w:rPr>
        <w:tab/>
        <w:t>柯建銘</w:t>
      </w:r>
    </w:p>
    <w:p w14:paraId="7F7D632F" w14:textId="77777777" w:rsidR="008E1E72" w:rsidRPr="001B6E4D" w:rsidRDefault="008E1E72"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23</w:t>
      </w:r>
      <w:r w:rsidRPr="001B6E4D">
        <w:rPr>
          <w:rFonts w:ascii="標楷體" w:eastAsia="標楷體" w:hAnsi="標楷體"/>
          <w:sz w:val="28"/>
          <w:szCs w:val="28"/>
        </w:rPr>
        <w:t>人</w:t>
      </w:r>
    </w:p>
    <w:p w14:paraId="0853007B" w14:textId="77777777" w:rsidR="008E1E72" w:rsidRPr="001B6E4D" w:rsidRDefault="008E1E72" w:rsidP="003D1018">
      <w:pPr>
        <w:widowControl w:val="0"/>
        <w:overflowPunct w:val="0"/>
        <w:snapToGrid w:val="0"/>
        <w:ind w:left="574" w:hanging="560"/>
        <w:rPr>
          <w:rFonts w:ascii="標楷體" w:eastAsia="標楷體" w:hAnsi="標楷體"/>
          <w:sz w:val="28"/>
          <w:szCs w:val="28"/>
        </w:rPr>
      </w:pPr>
      <w:r w:rsidRPr="001B6E4D">
        <w:rPr>
          <w:rFonts w:ascii="標楷體" w:eastAsia="標楷體" w:hAnsi="標楷體"/>
          <w:kern w:val="0"/>
          <w:sz w:val="28"/>
          <w:szCs w:val="28"/>
        </w:rPr>
        <w:t>列席</w:t>
      </w:r>
      <w:r w:rsidRPr="001B6E4D">
        <w:rPr>
          <w:rFonts w:ascii="標楷體" w:eastAsia="標楷體" w:hAnsi="標楷體"/>
          <w:sz w:val="28"/>
          <w:szCs w:val="28"/>
        </w:rPr>
        <w:t>委員：</w:t>
      </w:r>
      <w:r w:rsidRPr="001B6E4D">
        <w:rPr>
          <w:rFonts w:ascii="標楷體" w:eastAsia="標楷體" w:hAnsi="標楷體" w:hint="eastAsia"/>
          <w:sz w:val="28"/>
          <w:szCs w:val="28"/>
        </w:rPr>
        <w:t>鍾佳濱</w:t>
      </w:r>
      <w:r w:rsidRPr="001B6E4D">
        <w:rPr>
          <w:rFonts w:ascii="標楷體" w:eastAsia="標楷體" w:hAnsi="標楷體" w:hint="eastAsia"/>
          <w:sz w:val="28"/>
          <w:szCs w:val="28"/>
        </w:rPr>
        <w:tab/>
        <w:t>謝龍介</w:t>
      </w:r>
      <w:r w:rsidRPr="001B6E4D">
        <w:rPr>
          <w:rFonts w:ascii="標楷體" w:eastAsia="標楷體" w:hAnsi="標楷體" w:hint="eastAsia"/>
          <w:sz w:val="28"/>
          <w:szCs w:val="28"/>
        </w:rPr>
        <w:tab/>
        <w:t>羅智強</w:t>
      </w:r>
      <w:r w:rsidRPr="001B6E4D">
        <w:rPr>
          <w:rFonts w:ascii="標楷體" w:eastAsia="標楷體" w:hAnsi="標楷體"/>
          <w:sz w:val="28"/>
          <w:szCs w:val="28"/>
        </w:rPr>
        <w:tab/>
      </w:r>
      <w:r w:rsidRPr="001B6E4D">
        <w:rPr>
          <w:rFonts w:ascii="標楷體" w:eastAsia="標楷體" w:hAnsi="標楷體" w:hint="eastAsia"/>
          <w:sz w:val="28"/>
          <w:szCs w:val="28"/>
        </w:rPr>
        <w:t>葉元之</w:t>
      </w:r>
      <w:r w:rsidRPr="001B6E4D">
        <w:rPr>
          <w:rFonts w:ascii="標楷體" w:eastAsia="標楷體" w:hAnsi="標楷體"/>
          <w:sz w:val="28"/>
          <w:szCs w:val="28"/>
        </w:rPr>
        <w:tab/>
      </w:r>
      <w:r w:rsidRPr="001B6E4D">
        <w:rPr>
          <w:rFonts w:ascii="標楷體" w:eastAsia="標楷體" w:hAnsi="標楷體" w:hint="eastAsia"/>
          <w:sz w:val="28"/>
          <w:szCs w:val="28"/>
        </w:rPr>
        <w:t>楊瓊瓔</w:t>
      </w:r>
      <w:r w:rsidRPr="001B6E4D">
        <w:rPr>
          <w:rFonts w:ascii="標楷體" w:eastAsia="標楷體" w:hAnsi="標楷體"/>
          <w:sz w:val="28"/>
          <w:szCs w:val="28"/>
        </w:rPr>
        <w:tab/>
      </w:r>
      <w:r w:rsidRPr="001B6E4D">
        <w:rPr>
          <w:rFonts w:ascii="標楷體" w:eastAsia="標楷體" w:hAnsi="標楷體" w:hint="eastAsia"/>
          <w:sz w:val="28"/>
          <w:szCs w:val="28"/>
        </w:rPr>
        <w:t>蘇清泉</w:t>
      </w:r>
      <w:r w:rsidRPr="001B6E4D">
        <w:rPr>
          <w:rFonts w:ascii="標楷體" w:eastAsia="標楷體" w:hAnsi="標楷體" w:hint="eastAsia"/>
          <w:sz w:val="28"/>
          <w:szCs w:val="28"/>
        </w:rPr>
        <w:tab/>
        <w:t>林楚茵</w:t>
      </w:r>
      <w:r w:rsidRPr="001B6E4D">
        <w:rPr>
          <w:rFonts w:ascii="標楷體" w:eastAsia="標楷體" w:hAnsi="標楷體" w:hint="eastAsia"/>
          <w:sz w:val="28"/>
          <w:szCs w:val="28"/>
        </w:rPr>
        <w:tab/>
      </w:r>
    </w:p>
    <w:p w14:paraId="734632A4" w14:textId="77777777" w:rsidR="008E1E72" w:rsidRPr="001B6E4D" w:rsidRDefault="008E1E72"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賴士葆</w:t>
      </w:r>
    </w:p>
    <w:p w14:paraId="6711B41D" w14:textId="77777777" w:rsidR="008E1E72" w:rsidRPr="001B6E4D" w:rsidRDefault="008E1E72"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列</w:t>
      </w:r>
      <w:r w:rsidRPr="001B6E4D">
        <w:rPr>
          <w:rFonts w:ascii="標楷體" w:eastAsia="標楷體" w:hAnsi="標楷體"/>
          <w:sz w:val="28"/>
          <w:szCs w:val="28"/>
        </w:rPr>
        <w:t>席</w:t>
      </w:r>
      <w:r w:rsidRPr="001B6E4D">
        <w:rPr>
          <w:rFonts w:ascii="標楷體" w:eastAsia="標楷體" w:hAnsi="標楷體" w:hint="eastAsia"/>
          <w:sz w:val="28"/>
          <w:szCs w:val="28"/>
        </w:rPr>
        <w:t>8</w:t>
      </w:r>
      <w:r w:rsidRPr="001B6E4D">
        <w:rPr>
          <w:rFonts w:ascii="標楷體" w:eastAsia="標楷體" w:hAnsi="標楷體"/>
          <w:sz w:val="28"/>
          <w:szCs w:val="28"/>
        </w:rPr>
        <w:t>人</w:t>
      </w:r>
    </w:p>
    <w:p w14:paraId="2D37A42A" w14:textId="77777777" w:rsidR="008E1E72" w:rsidRPr="001B6E4D" w:rsidRDefault="008E1E72" w:rsidP="003D1018">
      <w:pPr>
        <w:widowControl w:val="0"/>
        <w:overflowPunct w:val="0"/>
        <w:adjustRightInd w:val="0"/>
        <w:snapToGrid w:val="0"/>
        <w:spacing w:line="360" w:lineRule="exact"/>
        <w:ind w:left="1361" w:hangingChars="486" w:hanging="1361"/>
        <w:jc w:val="both"/>
        <w:rPr>
          <w:rFonts w:ascii="標楷體" w:eastAsia="標楷體" w:hAnsi="標楷體"/>
          <w:spacing w:val="-16"/>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spacing w:val="-14"/>
          <w:kern w:val="0"/>
          <w:sz w:val="28"/>
          <w:szCs w:val="28"/>
        </w:rPr>
        <w:t>海洋委員會</w:t>
      </w:r>
      <w:r w:rsidRPr="001B6E4D">
        <w:rPr>
          <w:rFonts w:ascii="標楷體" w:eastAsia="標楷體" w:hAnsi="標楷體" w:hint="eastAsia"/>
          <w:spacing w:val="-14"/>
          <w:w w:val="95"/>
          <w:kern w:val="0"/>
          <w:sz w:val="28"/>
          <w:szCs w:val="28"/>
        </w:rPr>
        <w:t>政務副主任委員兼海巡署署長　張忠龍(主任委員請假)</w:t>
      </w:r>
    </w:p>
    <w:p w14:paraId="4AA19AC0" w14:textId="311543E5" w:rsidR="008E1E72" w:rsidRPr="001B6E4D" w:rsidRDefault="008E1E72"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         海洋保育署副署長　</w:t>
      </w:r>
      <w:r w:rsidRPr="001B6E4D">
        <w:rPr>
          <w:rFonts w:ascii="標楷體" w:eastAsia="標楷體" w:hAnsi="標楷體"/>
          <w:kern w:val="0"/>
          <w:sz w:val="28"/>
          <w:szCs w:val="28"/>
        </w:rPr>
        <w:t>施義哲</w:t>
      </w:r>
    </w:p>
    <w:p w14:paraId="34BA9A22" w14:textId="17DA8867" w:rsidR="008E1E72" w:rsidRPr="001B6E4D" w:rsidRDefault="008E1E72"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 xml:space="preserve">         國家海洋研究院副院長　張至維</w:t>
      </w:r>
    </w:p>
    <w:p w14:paraId="75B7D0C8" w14:textId="77777777" w:rsidR="008E1E72" w:rsidRPr="001B6E4D" w:rsidRDefault="008E1E72"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銓敘部法規司專門委員　蕭麗蓉</w:t>
      </w:r>
    </w:p>
    <w:p w14:paraId="27D17EF8" w14:textId="77777777" w:rsidR="008E1E72" w:rsidRPr="001B6E4D" w:rsidRDefault="008E1E72"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行政院主計總處公務預算處專門委員　邱碧珠</w:t>
      </w:r>
    </w:p>
    <w:p w14:paraId="2B00C2BE" w14:textId="77777777" w:rsidR="008E1E72" w:rsidRPr="001B6E4D" w:rsidRDefault="008E1E72"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行政院人事行政總</w:t>
      </w:r>
      <w:proofErr w:type="gramStart"/>
      <w:r w:rsidRPr="001B6E4D">
        <w:rPr>
          <w:rFonts w:ascii="標楷體" w:eastAsia="標楷體" w:hAnsi="標楷體" w:hint="eastAsia"/>
          <w:kern w:val="0"/>
          <w:sz w:val="28"/>
          <w:szCs w:val="28"/>
        </w:rPr>
        <w:t>處組編人力</w:t>
      </w:r>
      <w:proofErr w:type="gramEnd"/>
      <w:r w:rsidRPr="001B6E4D">
        <w:rPr>
          <w:rFonts w:ascii="標楷體" w:eastAsia="標楷體" w:hAnsi="標楷體" w:hint="eastAsia"/>
          <w:kern w:val="0"/>
          <w:sz w:val="28"/>
          <w:szCs w:val="28"/>
        </w:rPr>
        <w:t>處處長　邱怡璋</w:t>
      </w:r>
    </w:p>
    <w:p w14:paraId="573BB3E9" w14:textId="77777777" w:rsidR="008E1E72" w:rsidRPr="001B6E4D" w:rsidRDefault="008E1E72"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席：莊召集委員瑞雄</w:t>
      </w:r>
    </w:p>
    <w:p w14:paraId="2871D706" w14:textId="77777777" w:rsidR="008E1E72" w:rsidRPr="001B6E4D" w:rsidRDefault="008E1E72"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3252D1CE" w14:textId="77777777" w:rsidR="008E1E72" w:rsidRPr="001B6E4D" w:rsidRDefault="008E1E72"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2E479066" w14:textId="77777777" w:rsidR="008E1E72" w:rsidRPr="001B6E4D" w:rsidRDefault="008E1E72"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0A7B5440" w14:textId="77777777" w:rsidR="008E1E72" w:rsidRPr="001B6E4D" w:rsidRDefault="008E1E72"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385BE1C2" w14:textId="77777777" w:rsidR="008E1E72" w:rsidRPr="001B6E4D" w:rsidRDefault="008E1E72"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37F0A665" w14:textId="77777777" w:rsidR="008E1E72" w:rsidRPr="001B6E4D" w:rsidRDefault="008E1E72"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262C3F25" w14:textId="77777777" w:rsidR="008E1E72" w:rsidRPr="001B6E4D" w:rsidRDefault="008E1E72"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報告事項</w:t>
      </w:r>
    </w:p>
    <w:p w14:paraId="0A7F28BD" w14:textId="77777777" w:rsidR="008E1E72" w:rsidRPr="001B6E4D" w:rsidRDefault="008E1E72" w:rsidP="003D1018">
      <w:pPr>
        <w:overflowPunct w:val="0"/>
        <w:adjustRightInd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宣讀上次會議議事錄。</w:t>
      </w:r>
    </w:p>
    <w:p w14:paraId="4B4A9A46" w14:textId="77777777" w:rsidR="008E1E72" w:rsidRPr="001B6E4D" w:rsidRDefault="008E1E72" w:rsidP="003D1018">
      <w:pPr>
        <w:overflowPunct w:val="0"/>
        <w:adjustRightInd w:val="0"/>
        <w:snapToGrid w:val="0"/>
        <w:spacing w:line="360" w:lineRule="exact"/>
        <w:ind w:leftChars="6" w:left="574" w:hangingChars="200" w:hanging="560"/>
        <w:jc w:val="both"/>
        <w:rPr>
          <w:rFonts w:ascii="標楷體" w:eastAsia="標楷體" w:hAnsi="標楷體"/>
          <w:b/>
          <w:sz w:val="28"/>
          <w:szCs w:val="28"/>
        </w:rPr>
      </w:pPr>
      <w:r w:rsidRPr="001B6E4D">
        <w:rPr>
          <w:rFonts w:ascii="標楷體" w:eastAsia="標楷體" w:hAnsi="標楷體"/>
          <w:sz w:val="28"/>
          <w:szCs w:val="28"/>
        </w:rPr>
        <w:t>決定：確定。</w:t>
      </w:r>
    </w:p>
    <w:p w14:paraId="080D5171" w14:textId="77777777" w:rsidR="008E1E72" w:rsidRPr="001B6E4D" w:rsidRDefault="008E1E72"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討論事項</w:t>
      </w:r>
    </w:p>
    <w:p w14:paraId="01F9FFA5" w14:textId="77777777" w:rsidR="008E1E72" w:rsidRPr="001B6E4D" w:rsidRDefault="008E1E72" w:rsidP="003D1018">
      <w:pPr>
        <w:widowControl w:val="0"/>
        <w:overflowPunct w:val="0"/>
        <w:adjustRightInd w:val="0"/>
        <w:snapToGrid w:val="0"/>
        <w:spacing w:line="360" w:lineRule="exact"/>
        <w:ind w:left="560" w:hangingChars="200" w:hanging="560"/>
        <w:jc w:val="both"/>
        <w:rPr>
          <w:rFonts w:ascii="標楷體" w:eastAsia="標楷體" w:hAnsi="標楷體"/>
          <w:sz w:val="28"/>
          <w:szCs w:val="28"/>
        </w:rPr>
      </w:pP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6ED11B21" w14:textId="77777777" w:rsidR="008E1E72" w:rsidRPr="001B6E4D" w:rsidRDefault="008E1E72" w:rsidP="003D1018">
      <w:pPr>
        <w:widowControl w:val="0"/>
        <w:overflowPunct w:val="0"/>
        <w:snapToGrid w:val="0"/>
        <w:spacing w:beforeLines="50" w:before="180" w:line="360" w:lineRule="exact"/>
        <w:ind w:left="854" w:hanging="840"/>
        <w:contextualSpacing/>
        <w:jc w:val="both"/>
        <w:rPr>
          <w:rFonts w:ascii="標楷體" w:eastAsia="標楷體" w:hAnsi="標楷體"/>
          <w:sz w:val="28"/>
          <w:szCs w:val="28"/>
        </w:rPr>
      </w:pPr>
      <w:r w:rsidRPr="001B6E4D">
        <w:rPr>
          <w:rFonts w:ascii="標楷體" w:eastAsia="標楷體" w:hAnsi="標楷體" w:hint="eastAsia"/>
          <w:sz w:val="28"/>
          <w:szCs w:val="28"/>
        </w:rPr>
        <w:t>（一）行政院函請審議「海洋委員會海巡署組織法第三條及第十一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70AB80D" w14:textId="77777777" w:rsidR="008E1E72" w:rsidRPr="001B6E4D" w:rsidRDefault="008E1E72" w:rsidP="003D1018">
      <w:pPr>
        <w:widowControl w:val="0"/>
        <w:overflowPunct w:val="0"/>
        <w:snapToGrid w:val="0"/>
        <w:spacing w:beforeLines="50" w:before="180" w:line="360" w:lineRule="exact"/>
        <w:ind w:left="854" w:hanging="840"/>
        <w:contextualSpacing/>
        <w:jc w:val="both"/>
        <w:rPr>
          <w:rFonts w:ascii="標楷體" w:eastAsia="標楷體" w:hAnsi="標楷體"/>
          <w:sz w:val="28"/>
          <w:szCs w:val="28"/>
        </w:rPr>
      </w:pPr>
      <w:r w:rsidRPr="001B6E4D">
        <w:rPr>
          <w:rFonts w:ascii="標楷體" w:eastAsia="標楷體" w:hAnsi="標楷體" w:hint="eastAsia"/>
          <w:sz w:val="28"/>
          <w:szCs w:val="28"/>
        </w:rPr>
        <w:t>（二）委員張雅琳等20人擬具「海洋委員會海巡署組織法第三條及第十一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143AD41" w14:textId="77777777" w:rsidR="008E1E72" w:rsidRPr="001B6E4D" w:rsidRDefault="008E1E72" w:rsidP="003D1018">
      <w:pPr>
        <w:widowControl w:val="0"/>
        <w:overflowPunct w:val="0"/>
        <w:snapToGrid w:val="0"/>
        <w:spacing w:beforeLines="50" w:before="180" w:line="360" w:lineRule="exact"/>
        <w:ind w:left="854" w:hanging="840"/>
        <w:contextualSpacing/>
        <w:jc w:val="both"/>
        <w:rPr>
          <w:rFonts w:ascii="標楷體" w:eastAsia="標楷體" w:hAnsi="標楷體"/>
          <w:sz w:val="28"/>
          <w:szCs w:val="28"/>
        </w:rPr>
      </w:pPr>
      <w:r w:rsidRPr="001B6E4D">
        <w:rPr>
          <w:rFonts w:ascii="標楷體" w:eastAsia="標楷體" w:hAnsi="標楷體" w:hint="eastAsia"/>
          <w:sz w:val="28"/>
          <w:szCs w:val="28"/>
        </w:rPr>
        <w:t>（三）委員莊瑞雄等16人擬具「海洋委員會海巡署組織法第三條及第十一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C5A6AFC" w14:textId="77777777" w:rsidR="008E1E72" w:rsidRPr="001B6E4D" w:rsidRDefault="008E1E72" w:rsidP="003D1018">
      <w:pPr>
        <w:widowControl w:val="0"/>
        <w:overflowPunct w:val="0"/>
        <w:snapToGrid w:val="0"/>
        <w:spacing w:beforeLines="50" w:before="180" w:line="360" w:lineRule="exact"/>
        <w:ind w:left="854" w:hanging="840"/>
        <w:contextualSpacing/>
        <w:jc w:val="both"/>
        <w:rPr>
          <w:rFonts w:ascii="標楷體" w:eastAsia="標楷體" w:hAnsi="標楷體"/>
          <w:sz w:val="28"/>
          <w:szCs w:val="28"/>
        </w:rPr>
      </w:pPr>
      <w:r w:rsidRPr="001B6E4D">
        <w:rPr>
          <w:rFonts w:ascii="標楷體" w:eastAsia="標楷體" w:hAnsi="標楷體" w:hint="eastAsia"/>
          <w:sz w:val="28"/>
          <w:szCs w:val="28"/>
        </w:rPr>
        <w:t>（四）委員沈發惠等19人擬具「海洋委員會海巡署組織法第三條及第十一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3C70D40" w14:textId="77777777" w:rsidR="008E1E72" w:rsidRPr="001B6E4D" w:rsidRDefault="008E1E72" w:rsidP="003D1018">
      <w:pPr>
        <w:widowControl w:val="0"/>
        <w:overflowPunct w:val="0"/>
        <w:snapToGrid w:val="0"/>
        <w:spacing w:beforeLines="50" w:before="180" w:line="360" w:lineRule="exact"/>
        <w:ind w:left="854" w:hanging="840"/>
        <w:contextualSpacing/>
        <w:jc w:val="both"/>
        <w:rPr>
          <w:rFonts w:ascii="標楷體" w:eastAsia="標楷體" w:hAnsi="標楷體"/>
          <w:sz w:val="28"/>
          <w:szCs w:val="28"/>
        </w:rPr>
      </w:pPr>
      <w:r w:rsidRPr="001B6E4D">
        <w:rPr>
          <w:rFonts w:ascii="標楷體" w:eastAsia="標楷體" w:hAnsi="標楷體" w:hint="eastAsia"/>
          <w:sz w:val="28"/>
          <w:szCs w:val="28"/>
        </w:rPr>
        <w:t>（五）委員羅廷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等19人擬具「海洋委員會海巡署組織法第三條及第十一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65449EF" w14:textId="77777777" w:rsidR="008E1E72" w:rsidRPr="001B6E4D" w:rsidRDefault="008E1E72" w:rsidP="003D1018">
      <w:pPr>
        <w:widowControl w:val="0"/>
        <w:overflowPunct w:val="0"/>
        <w:snapToGrid w:val="0"/>
        <w:spacing w:beforeLines="50" w:before="180" w:line="360" w:lineRule="exact"/>
        <w:ind w:left="854" w:hanging="840"/>
        <w:contextualSpacing/>
        <w:jc w:val="both"/>
        <w:rPr>
          <w:rFonts w:ascii="標楷體" w:eastAsia="標楷體" w:hAnsi="標楷體"/>
          <w:sz w:val="28"/>
          <w:szCs w:val="28"/>
        </w:rPr>
      </w:pPr>
      <w:r w:rsidRPr="001B6E4D">
        <w:rPr>
          <w:rFonts w:ascii="標楷體" w:eastAsia="標楷體" w:hAnsi="標楷體" w:hint="eastAsia"/>
          <w:sz w:val="28"/>
          <w:szCs w:val="28"/>
        </w:rPr>
        <w:lastRenderedPageBreak/>
        <w:t>（六）委員王美惠等17人擬具「海洋委員會海巡署組織法第三條及第十一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AA52F10" w14:textId="77777777" w:rsidR="008E1E72" w:rsidRPr="001B6E4D" w:rsidRDefault="008E1E72" w:rsidP="003D1018">
      <w:pPr>
        <w:widowControl w:val="0"/>
        <w:overflowPunct w:val="0"/>
        <w:snapToGrid w:val="0"/>
        <w:spacing w:line="360" w:lineRule="exact"/>
        <w:ind w:left="854" w:hanging="840"/>
        <w:contextualSpacing/>
        <w:jc w:val="both"/>
        <w:rPr>
          <w:rFonts w:ascii="標楷體" w:eastAsia="標楷體" w:hAnsi="標楷體"/>
          <w:sz w:val="28"/>
          <w:szCs w:val="28"/>
        </w:rPr>
      </w:pPr>
      <w:r w:rsidRPr="001B6E4D">
        <w:rPr>
          <w:rFonts w:ascii="標楷體" w:eastAsia="標楷體" w:hAnsi="標楷體" w:hint="eastAsia"/>
          <w:sz w:val="28"/>
          <w:szCs w:val="28"/>
        </w:rPr>
        <w:t>（七）委員吳沛憶等18人擬具「海洋委員會海巡署組織法第三條及第十一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E0B5F78" w14:textId="77777777" w:rsidR="008E1E72" w:rsidRPr="001B6E4D" w:rsidRDefault="008E1E72" w:rsidP="003D1018">
      <w:pPr>
        <w:widowControl w:val="0"/>
        <w:overflowPunct w:val="0"/>
        <w:snapToGrid w:val="0"/>
        <w:spacing w:line="360" w:lineRule="exact"/>
        <w:ind w:left="854" w:hanging="840"/>
        <w:contextualSpacing/>
        <w:jc w:val="both"/>
        <w:rPr>
          <w:rFonts w:ascii="標楷體" w:eastAsia="標楷體" w:hAnsi="標楷體"/>
          <w:sz w:val="28"/>
          <w:szCs w:val="28"/>
        </w:rPr>
      </w:pPr>
      <w:r w:rsidRPr="001B6E4D">
        <w:rPr>
          <w:rFonts w:ascii="標楷體" w:eastAsia="標楷體" w:hAnsi="標楷體" w:hint="eastAsia"/>
          <w:sz w:val="28"/>
          <w:szCs w:val="28"/>
        </w:rPr>
        <w:t>（八）委員徐富</w:t>
      </w:r>
      <w:proofErr w:type="gramStart"/>
      <w:r w:rsidRPr="001B6E4D">
        <w:rPr>
          <w:rFonts w:ascii="標楷體" w:eastAsia="標楷體" w:hAnsi="標楷體" w:hint="eastAsia"/>
          <w:sz w:val="28"/>
          <w:szCs w:val="28"/>
        </w:rPr>
        <w:t>癸</w:t>
      </w:r>
      <w:proofErr w:type="gramEnd"/>
      <w:r w:rsidRPr="001B6E4D">
        <w:rPr>
          <w:rFonts w:ascii="標楷體" w:eastAsia="標楷體" w:hAnsi="標楷體" w:hint="eastAsia"/>
          <w:sz w:val="28"/>
          <w:szCs w:val="28"/>
        </w:rPr>
        <w:t>等18人擬具「海洋委員會海巡署組織法第三條及第十一</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55A2C39" w14:textId="77777777" w:rsidR="008E1E72" w:rsidRPr="001B6E4D" w:rsidRDefault="008E1E72" w:rsidP="003D1018">
      <w:pPr>
        <w:overflowPunct w:val="0"/>
        <w:adjustRightInd w:val="0"/>
        <w:snapToGrid w:val="0"/>
        <w:spacing w:line="360" w:lineRule="exact"/>
        <w:ind w:leftChars="-53" w:left="13" w:hangingChars="50" w:hanging="140"/>
        <w:jc w:val="both"/>
        <w:rPr>
          <w:rFonts w:ascii="標楷體" w:eastAsia="標楷體" w:hAnsi="標楷體"/>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陳昭姿、張智倫、沈發惠、翁曉玲、許宇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、張宏陸、王美惠、林倩綺、李柏毅、</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雲、黃捷、張雅琳、莊瑞雄、王鴻薇</w:t>
      </w:r>
      <w:r w:rsidRPr="001B6E4D">
        <w:rPr>
          <w:rFonts w:ascii="標楷體" w:eastAsia="標楷體" w:hAnsi="標楷體"/>
          <w:sz w:val="28"/>
          <w:szCs w:val="28"/>
        </w:rPr>
        <w:t>提出質詢</w:t>
      </w:r>
      <w:r w:rsidRPr="001B6E4D">
        <w:rPr>
          <w:rFonts w:ascii="標楷體" w:eastAsia="標楷體" w:hAnsi="標楷體" w:hint="eastAsia"/>
          <w:sz w:val="28"/>
          <w:szCs w:val="28"/>
        </w:rPr>
        <w:t>；委員蘇巧慧、蔡其昌、林沛祥、吳宗憲、徐欣瑩、吳琪銘、高金素梅、許忠信提出書面質詢。</w:t>
      </w:r>
      <w:r w:rsidRPr="001B6E4D">
        <w:rPr>
          <w:rFonts w:ascii="標楷體" w:eastAsia="標楷體" w:hAnsi="標楷體"/>
          <w:sz w:val="28"/>
          <w:szCs w:val="28"/>
        </w:rPr>
        <w:t>）</w:t>
      </w:r>
    </w:p>
    <w:p w14:paraId="4F5F784C" w14:textId="77777777" w:rsidR="008E1E72" w:rsidRPr="001B6E4D" w:rsidRDefault="008E1E72"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1C96E38A" w14:textId="77777777" w:rsidR="008E1E72" w:rsidRPr="001B6E4D" w:rsidRDefault="008E1E72" w:rsidP="003D1018">
      <w:pPr>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sz w:val="28"/>
          <w:szCs w:val="28"/>
        </w:rPr>
        <w:t>一、</w:t>
      </w:r>
      <w:r w:rsidRPr="001B6E4D">
        <w:rPr>
          <w:rFonts w:ascii="標楷體" w:eastAsia="標楷體" w:hAnsi="標楷體" w:hint="eastAsia"/>
          <w:sz w:val="28"/>
          <w:szCs w:val="28"/>
        </w:rPr>
        <w:t>報告及</w:t>
      </w:r>
      <w:proofErr w:type="gramStart"/>
      <w:r w:rsidRPr="001B6E4D">
        <w:rPr>
          <w:rFonts w:ascii="標楷體" w:eastAsia="標楷體" w:hAnsi="標楷體" w:hint="eastAsia"/>
          <w:sz w:val="28"/>
          <w:szCs w:val="28"/>
        </w:rPr>
        <w:t>詢</w:t>
      </w:r>
      <w:proofErr w:type="gramEnd"/>
      <w:r w:rsidRPr="001B6E4D">
        <w:rPr>
          <w:rFonts w:ascii="標楷體" w:eastAsia="標楷體" w:hAnsi="標楷體" w:hint="eastAsia"/>
          <w:sz w:val="28"/>
          <w:szCs w:val="28"/>
        </w:rPr>
        <w:t>答完畢，逕行逐條審查。</w:t>
      </w:r>
    </w:p>
    <w:p w14:paraId="63A3D622" w14:textId="77777777" w:rsidR="008E1E72" w:rsidRPr="001B6E4D" w:rsidRDefault="008E1E72" w:rsidP="003D1018">
      <w:pPr>
        <w:overflowPunct w:val="0"/>
        <w:spacing w:line="360" w:lineRule="exact"/>
        <w:ind w:leftChars="6" w:left="574" w:hangingChars="200" w:hanging="560"/>
        <w:contextualSpacing/>
        <w:jc w:val="both"/>
        <w:rPr>
          <w:rFonts w:ascii="標楷體" w:eastAsia="標楷體" w:hAnsi="標楷體"/>
          <w:color w:val="000000"/>
          <w:sz w:val="28"/>
          <w:szCs w:val="28"/>
        </w:rPr>
      </w:pPr>
      <w:r w:rsidRPr="001B6E4D">
        <w:rPr>
          <w:rFonts w:ascii="標楷體" w:eastAsia="標楷體" w:hAnsi="標楷體" w:hint="eastAsia"/>
          <w:sz w:val="28"/>
          <w:szCs w:val="28"/>
        </w:rPr>
        <w:t>二、第三條及第十一條，</w:t>
      </w:r>
      <w:proofErr w:type="gramStart"/>
      <w:r w:rsidRPr="001B6E4D">
        <w:rPr>
          <w:rFonts w:ascii="標楷體" w:eastAsia="標楷體" w:hAnsi="標楷體" w:hint="eastAsia"/>
          <w:sz w:val="28"/>
          <w:szCs w:val="28"/>
        </w:rPr>
        <w:t>均</w:t>
      </w:r>
      <w:r w:rsidRPr="001B6E4D">
        <w:rPr>
          <w:rFonts w:ascii="標楷體" w:eastAsia="標楷體" w:hAnsi="標楷體" w:hint="eastAsia"/>
          <w:color w:val="000000"/>
          <w:sz w:val="28"/>
          <w:szCs w:val="28"/>
        </w:rPr>
        <w:t>照行政院</w:t>
      </w:r>
      <w:proofErr w:type="gramEnd"/>
      <w:r w:rsidRPr="001B6E4D">
        <w:rPr>
          <w:rFonts w:ascii="標楷體" w:eastAsia="標楷體" w:hAnsi="標楷體" w:hint="eastAsia"/>
          <w:color w:val="000000"/>
          <w:sz w:val="28"/>
          <w:szCs w:val="28"/>
        </w:rPr>
        <w:t>提案通過。</w:t>
      </w:r>
    </w:p>
    <w:p w14:paraId="1F5ACE9D" w14:textId="77777777" w:rsidR="008E1E72" w:rsidRPr="001B6E4D" w:rsidRDefault="008E1E72" w:rsidP="003D1018">
      <w:pPr>
        <w:overflowPunct w:val="0"/>
        <w:spacing w:line="360" w:lineRule="exact"/>
        <w:ind w:leftChars="6" w:left="574" w:hangingChars="200" w:hanging="560"/>
        <w:contextualSpacing/>
        <w:jc w:val="both"/>
        <w:rPr>
          <w:rFonts w:ascii="標楷體" w:eastAsia="標楷體" w:hAnsi="標楷體"/>
          <w:color w:val="000000"/>
          <w:sz w:val="28"/>
          <w:szCs w:val="28"/>
        </w:rPr>
      </w:pPr>
      <w:r w:rsidRPr="001B6E4D">
        <w:rPr>
          <w:rFonts w:ascii="標楷體" w:eastAsia="標楷體" w:hAnsi="標楷體" w:hint="eastAsia"/>
          <w:color w:val="000000"/>
          <w:sz w:val="28"/>
          <w:szCs w:val="28"/>
        </w:rPr>
        <w:t>三、本案審查完竣，擬具審查報告，提請院會公決；不須交由黨團協商；院會討論時，由莊召集委員瑞雄出席說明。</w:t>
      </w:r>
    </w:p>
    <w:p w14:paraId="79B524F7" w14:textId="77777777" w:rsidR="008E1E72" w:rsidRPr="001B6E4D" w:rsidRDefault="008E1E72" w:rsidP="003D1018">
      <w:pPr>
        <w:overflowPunct w:val="0"/>
        <w:spacing w:line="360" w:lineRule="exact"/>
        <w:ind w:leftChars="6" w:left="574" w:hangingChars="200" w:hanging="560"/>
        <w:contextualSpacing/>
        <w:jc w:val="both"/>
        <w:rPr>
          <w:rFonts w:ascii="標楷體" w:eastAsia="標楷體" w:hAnsi="標楷體"/>
          <w:color w:val="000000"/>
          <w:sz w:val="28"/>
          <w:szCs w:val="28"/>
        </w:rPr>
      </w:pPr>
      <w:r w:rsidRPr="001B6E4D">
        <w:rPr>
          <w:rFonts w:ascii="標楷體" w:eastAsia="標楷體" w:hAnsi="標楷體" w:hint="eastAsia"/>
          <w:color w:val="000000"/>
          <w:sz w:val="28"/>
          <w:szCs w:val="28"/>
        </w:rPr>
        <w:t>四、條次、引述條文部分文字及法制用字用語，授權主席及議事人員整理。</w:t>
      </w:r>
    </w:p>
    <w:p w14:paraId="3557FFF5" w14:textId="77777777" w:rsidR="008E1E72" w:rsidRPr="001B6E4D" w:rsidRDefault="008E1E72" w:rsidP="003D1018">
      <w:pPr>
        <w:overflowPunct w:val="0"/>
        <w:spacing w:line="360" w:lineRule="exact"/>
        <w:ind w:leftChars="6" w:left="574" w:hangingChars="200" w:hanging="560"/>
        <w:contextualSpacing/>
        <w:jc w:val="both"/>
        <w:rPr>
          <w:rFonts w:ascii="標楷體" w:eastAsia="標楷體" w:hAnsi="標楷體"/>
        </w:rPr>
      </w:pPr>
      <w:r w:rsidRPr="001B6E4D">
        <w:rPr>
          <w:rFonts w:ascii="標楷體" w:eastAsia="標楷體" w:hAnsi="標楷體" w:hint="eastAsia"/>
          <w:color w:val="000000"/>
          <w:sz w:val="28"/>
          <w:szCs w:val="28"/>
        </w:rPr>
        <w:t>五、</w:t>
      </w:r>
      <w:r w:rsidRPr="001B6E4D">
        <w:rPr>
          <w:rFonts w:ascii="標楷體" w:eastAsia="標楷體" w:hAnsi="標楷體"/>
          <w:sz w:val="28"/>
          <w:szCs w:val="28"/>
        </w:rPr>
        <w:t>委員質詢時，要求提供相關資料或以書面答復者，請相關機關儘速送交個別委員</w:t>
      </w:r>
      <w:proofErr w:type="gramStart"/>
      <w:r w:rsidRPr="001B6E4D">
        <w:rPr>
          <w:rFonts w:ascii="標楷體" w:eastAsia="標楷體" w:hAnsi="標楷體" w:hint="eastAsia"/>
          <w:sz w:val="28"/>
          <w:szCs w:val="28"/>
        </w:rPr>
        <w:t>及本聯席</w:t>
      </w:r>
      <w:proofErr w:type="gramEnd"/>
      <w:r w:rsidRPr="001B6E4D">
        <w:rPr>
          <w:rFonts w:ascii="標楷體" w:eastAsia="標楷體" w:hAnsi="標楷體" w:hint="eastAsia"/>
          <w:sz w:val="28"/>
          <w:szCs w:val="28"/>
        </w:rPr>
        <w:t>會</w:t>
      </w:r>
      <w:r w:rsidRPr="001B6E4D">
        <w:rPr>
          <w:rFonts w:ascii="標楷體" w:eastAsia="標楷體" w:hAnsi="標楷體"/>
          <w:sz w:val="28"/>
          <w:szCs w:val="28"/>
        </w:rPr>
        <w:t>。</w:t>
      </w:r>
    </w:p>
    <w:p w14:paraId="0C0326F5" w14:textId="77777777" w:rsidR="008E1E72" w:rsidRPr="001B6E4D" w:rsidRDefault="008E1E72" w:rsidP="003D1018">
      <w:pPr>
        <w:overflowPunct w:val="0"/>
        <w:spacing w:line="360" w:lineRule="exact"/>
        <w:ind w:leftChars="6" w:left="14"/>
        <w:jc w:val="both"/>
        <w:rPr>
          <w:rFonts w:ascii="標楷體" w:eastAsia="標楷體" w:hAnsi="標楷體"/>
        </w:rPr>
      </w:pPr>
      <w:r w:rsidRPr="001B6E4D">
        <w:rPr>
          <w:rFonts w:ascii="標楷體" w:eastAsia="標楷體" w:hAnsi="標楷體"/>
          <w:sz w:val="28"/>
          <w:szCs w:val="28"/>
        </w:rPr>
        <w:t>散會</w:t>
      </w:r>
    </w:p>
    <w:p w14:paraId="788BE78A" w14:textId="77777777" w:rsidR="007A2022" w:rsidRPr="001B6E4D" w:rsidRDefault="007A2022" w:rsidP="003D1018">
      <w:pPr>
        <w:overflowPunct w:val="0"/>
        <w:spacing w:line="400" w:lineRule="exact"/>
        <w:ind w:left="619" w:hangingChars="221" w:hanging="619"/>
        <w:contextualSpacing/>
        <w:jc w:val="both"/>
        <w:rPr>
          <w:rFonts w:ascii="標楷體" w:eastAsia="標楷體" w:hAnsi="標楷體"/>
          <w:sz w:val="28"/>
          <w:szCs w:val="28"/>
        </w:rPr>
      </w:pPr>
    </w:p>
    <w:p w14:paraId="2A3E7EE3" w14:textId="77777777" w:rsidR="007A2022" w:rsidRPr="001B6E4D" w:rsidRDefault="007A2022" w:rsidP="003D1018">
      <w:pPr>
        <w:overflowPunct w:val="0"/>
        <w:spacing w:beforeLines="50" w:before="180" w:afterLines="50" w:after="180" w:line="360" w:lineRule="exact"/>
        <w:ind w:leftChars="6" w:left="551" w:hangingChars="200" w:hanging="537"/>
        <w:rPr>
          <w:rFonts w:ascii="標楷體" w:eastAsia="標楷體" w:hAnsi="標楷體"/>
          <w:b/>
          <w:spacing w:val="-6"/>
          <w:sz w:val="28"/>
          <w:szCs w:val="28"/>
        </w:rPr>
        <w:sectPr w:rsidR="007A2022" w:rsidRPr="001B6E4D" w:rsidSect="009548F9">
          <w:footerReference w:type="default" r:id="rId21"/>
          <w:pgSz w:w="11906" w:h="16838" w:code="9"/>
          <w:pgMar w:top="993" w:right="1701" w:bottom="1134" w:left="1701" w:header="851" w:footer="992" w:gutter="0"/>
          <w:cols w:space="425"/>
          <w:docGrid w:type="lines" w:linePitch="360"/>
        </w:sectPr>
      </w:pPr>
    </w:p>
    <w:p w14:paraId="3A9697B7" w14:textId="635F64FB" w:rsidR="007A2022" w:rsidRPr="001B6E4D" w:rsidRDefault="007A2022" w:rsidP="003D1018">
      <w:pPr>
        <w:overflowPunct w:val="0"/>
        <w:snapToGrid w:val="0"/>
        <w:spacing w:beforeLines="50" w:before="180" w:line="360" w:lineRule="exact"/>
        <w:ind w:left="1201" w:hangingChars="500" w:hanging="1201"/>
        <w:jc w:val="distribute"/>
        <w:outlineLvl w:val="2"/>
        <w:rPr>
          <w:rFonts w:ascii="標楷體" w:eastAsia="標楷體" w:hAnsi="標楷體"/>
          <w:b/>
          <w:spacing w:val="-20"/>
          <w:sz w:val="28"/>
          <w:szCs w:val="28"/>
        </w:rPr>
      </w:pPr>
      <w:bookmarkStart w:id="552" w:name="_Toc240446617"/>
      <w:r w:rsidRPr="001B6E4D">
        <w:rPr>
          <w:rFonts w:ascii="標楷體" w:eastAsia="標楷體" w:hAnsi="標楷體" w:hint="eastAsia"/>
          <w:b/>
          <w:spacing w:val="-20"/>
          <w:sz w:val="28"/>
          <w:szCs w:val="28"/>
        </w:rPr>
        <w:lastRenderedPageBreak/>
        <w:t>立法院第11屆</w:t>
      </w:r>
      <w:r w:rsidR="00EA5793" w:rsidRPr="001B6E4D">
        <w:rPr>
          <w:rFonts w:ascii="標楷體" w:eastAsia="標楷體" w:hAnsi="標楷體"/>
          <w:b/>
          <w:spacing w:val="-20"/>
          <w:w w:val="90"/>
          <w:sz w:val="28"/>
          <w:szCs w:val="28"/>
        </w:rPr>
        <w:t>第</w:t>
      </w:r>
      <w:r w:rsidR="00EA5793" w:rsidRPr="001B6E4D">
        <w:rPr>
          <w:rFonts w:ascii="標楷體" w:eastAsia="標楷體" w:hAnsi="標楷體" w:hint="eastAsia"/>
          <w:b/>
          <w:spacing w:val="-20"/>
          <w:w w:val="90"/>
          <w:sz w:val="28"/>
          <w:szCs w:val="28"/>
        </w:rPr>
        <w:t>5</w:t>
      </w:r>
      <w:r w:rsidR="00EA5793" w:rsidRPr="001B6E4D">
        <w:rPr>
          <w:rFonts w:ascii="標楷體" w:eastAsia="標楷體" w:hAnsi="標楷體"/>
          <w:b/>
          <w:spacing w:val="-20"/>
          <w:w w:val="90"/>
          <w:sz w:val="28"/>
          <w:szCs w:val="28"/>
        </w:rPr>
        <w:t>會期司法及法制</w:t>
      </w:r>
      <w:r w:rsidR="00EA5793" w:rsidRPr="001B6E4D">
        <w:rPr>
          <w:rFonts w:ascii="標楷體" w:eastAsia="標楷體" w:hAnsi="標楷體" w:hint="eastAsia"/>
          <w:b/>
          <w:spacing w:val="-20"/>
          <w:w w:val="90"/>
          <w:sz w:val="28"/>
          <w:szCs w:val="28"/>
        </w:rPr>
        <w:t>、外交及國防</w:t>
      </w:r>
      <w:r w:rsidR="00EA5793" w:rsidRPr="001B6E4D">
        <w:rPr>
          <w:rFonts w:ascii="標楷體" w:eastAsia="標楷體" w:hAnsi="標楷體"/>
          <w:b/>
          <w:spacing w:val="-20"/>
          <w:w w:val="90"/>
          <w:sz w:val="28"/>
          <w:szCs w:val="28"/>
        </w:rPr>
        <w:t>委員會第</w:t>
      </w:r>
      <w:r w:rsidR="00EA5793" w:rsidRPr="001B6E4D">
        <w:rPr>
          <w:rFonts w:ascii="標楷體" w:eastAsia="標楷體" w:hAnsi="標楷體" w:hint="eastAsia"/>
          <w:b/>
          <w:spacing w:val="-20"/>
          <w:w w:val="90"/>
          <w:sz w:val="28"/>
          <w:szCs w:val="28"/>
        </w:rPr>
        <w:t>1</w:t>
      </w:r>
      <w:r w:rsidR="00EA5793" w:rsidRPr="001B6E4D">
        <w:rPr>
          <w:rFonts w:ascii="標楷體" w:eastAsia="標楷體" w:hAnsi="標楷體"/>
          <w:b/>
          <w:spacing w:val="-20"/>
          <w:w w:val="90"/>
          <w:sz w:val="28"/>
          <w:szCs w:val="28"/>
        </w:rPr>
        <w:t>次</w:t>
      </w:r>
      <w:r w:rsidR="00EA5793" w:rsidRPr="001B6E4D">
        <w:rPr>
          <w:rFonts w:ascii="標楷體" w:eastAsia="標楷體" w:hAnsi="標楷體" w:hint="eastAsia"/>
          <w:b/>
          <w:spacing w:val="-20"/>
          <w:w w:val="90"/>
          <w:sz w:val="28"/>
          <w:szCs w:val="28"/>
        </w:rPr>
        <w:t>聯席</w:t>
      </w:r>
      <w:r w:rsidR="00EA5793" w:rsidRPr="001B6E4D">
        <w:rPr>
          <w:rFonts w:ascii="標楷體" w:eastAsia="標楷體" w:hAnsi="標楷體"/>
          <w:b/>
          <w:spacing w:val="-20"/>
          <w:w w:val="90"/>
          <w:sz w:val="28"/>
          <w:szCs w:val="28"/>
        </w:rPr>
        <w:t>會議議事錄</w:t>
      </w:r>
      <w:bookmarkEnd w:id="552"/>
    </w:p>
    <w:p w14:paraId="010F13A6" w14:textId="77777777" w:rsidR="00EA5793" w:rsidRPr="001B6E4D" w:rsidRDefault="00EA5793" w:rsidP="003D1018">
      <w:pPr>
        <w:overflowPunct w:val="0"/>
        <w:adjustRightInd w:val="0"/>
        <w:snapToGrid w:val="0"/>
        <w:spacing w:line="360" w:lineRule="exact"/>
        <w:ind w:leftChars="1" w:left="1416" w:hangingChars="505" w:hanging="1414"/>
        <w:rPr>
          <w:rFonts w:ascii="標楷體" w:eastAsia="標楷體" w:hAnsi="標楷體"/>
          <w:spacing w:val="-10"/>
          <w:kern w:val="0"/>
          <w:sz w:val="28"/>
          <w:szCs w:val="28"/>
        </w:rPr>
      </w:pPr>
      <w:r w:rsidRPr="001B6E4D">
        <w:rPr>
          <w:rFonts w:ascii="標楷體" w:eastAsia="標楷體" w:hAnsi="標楷體"/>
          <w:kern w:val="0"/>
          <w:sz w:val="28"/>
          <w:szCs w:val="28"/>
          <w:fitText w:val="1120" w:id="-384114944"/>
        </w:rPr>
        <w:t>時    間</w:t>
      </w:r>
      <w:r w:rsidRPr="001B6E4D">
        <w:rPr>
          <w:rFonts w:ascii="標楷體" w:eastAsia="標楷體" w:hAnsi="標楷體"/>
          <w:spacing w:val="-10"/>
          <w:kern w:val="0"/>
          <w:sz w:val="28"/>
          <w:szCs w:val="28"/>
        </w:rPr>
        <w:t>：</w:t>
      </w:r>
      <w:r w:rsidRPr="001B6E4D">
        <w:rPr>
          <w:rFonts w:ascii="標楷體" w:eastAsia="標楷體" w:hAnsi="標楷體"/>
          <w:spacing w:val="-16"/>
          <w:kern w:val="0"/>
          <w:sz w:val="28"/>
          <w:szCs w:val="28"/>
        </w:rPr>
        <w:t>中華民國1</w:t>
      </w:r>
      <w:r w:rsidRPr="001B6E4D">
        <w:rPr>
          <w:rFonts w:ascii="標楷體" w:eastAsia="標楷體" w:hAnsi="標楷體" w:hint="eastAsia"/>
          <w:spacing w:val="-16"/>
          <w:kern w:val="0"/>
          <w:sz w:val="28"/>
          <w:szCs w:val="28"/>
        </w:rPr>
        <w:t>1</w:t>
      </w:r>
      <w:r w:rsidRPr="001B6E4D">
        <w:rPr>
          <w:rFonts w:ascii="標楷體" w:eastAsia="標楷體" w:hAnsi="標楷體"/>
          <w:spacing w:val="-16"/>
          <w:kern w:val="0"/>
          <w:sz w:val="28"/>
          <w:szCs w:val="28"/>
        </w:rPr>
        <w:t>5年</w:t>
      </w:r>
      <w:r w:rsidRPr="001B6E4D">
        <w:rPr>
          <w:rFonts w:ascii="標楷體" w:eastAsia="標楷體" w:hAnsi="標楷體" w:hint="eastAsia"/>
          <w:spacing w:val="-16"/>
          <w:kern w:val="0"/>
          <w:sz w:val="28"/>
          <w:szCs w:val="28"/>
        </w:rPr>
        <w:t>8</w:t>
      </w:r>
      <w:r w:rsidRPr="001B6E4D">
        <w:rPr>
          <w:rFonts w:ascii="標楷體" w:eastAsia="標楷體" w:hAnsi="標楷體"/>
          <w:spacing w:val="-16"/>
          <w:kern w:val="0"/>
          <w:sz w:val="28"/>
          <w:szCs w:val="28"/>
        </w:rPr>
        <w:t>月</w:t>
      </w:r>
      <w:r w:rsidRPr="001B6E4D">
        <w:rPr>
          <w:rFonts w:ascii="標楷體" w:eastAsia="標楷體" w:hAnsi="標楷體" w:hint="eastAsia"/>
          <w:spacing w:val="-16"/>
          <w:kern w:val="0"/>
          <w:sz w:val="28"/>
          <w:szCs w:val="28"/>
        </w:rPr>
        <w:t>12</w:t>
      </w:r>
      <w:r w:rsidRPr="001B6E4D">
        <w:rPr>
          <w:rFonts w:ascii="標楷體" w:eastAsia="標楷體" w:hAnsi="標楷體"/>
          <w:spacing w:val="-16"/>
          <w:kern w:val="0"/>
          <w:sz w:val="28"/>
          <w:szCs w:val="28"/>
        </w:rPr>
        <w:t>日（星期</w:t>
      </w:r>
      <w:r w:rsidRPr="001B6E4D">
        <w:rPr>
          <w:rFonts w:ascii="標楷體" w:eastAsia="標楷體" w:hAnsi="標楷體" w:hint="eastAsia"/>
          <w:spacing w:val="-16"/>
          <w:kern w:val="0"/>
          <w:sz w:val="28"/>
          <w:szCs w:val="28"/>
        </w:rPr>
        <w:t>三</w:t>
      </w:r>
      <w:r w:rsidRPr="001B6E4D">
        <w:rPr>
          <w:rFonts w:ascii="標楷體" w:eastAsia="標楷體" w:hAnsi="標楷體"/>
          <w:spacing w:val="-16"/>
          <w:kern w:val="0"/>
          <w:sz w:val="28"/>
          <w:szCs w:val="28"/>
        </w:rPr>
        <w:t>）上午9時3</w:t>
      </w:r>
      <w:r w:rsidRPr="001B6E4D">
        <w:rPr>
          <w:rFonts w:ascii="標楷體" w:eastAsia="標楷體" w:hAnsi="標楷體" w:hint="eastAsia"/>
          <w:spacing w:val="-16"/>
          <w:kern w:val="0"/>
          <w:sz w:val="28"/>
          <w:szCs w:val="28"/>
        </w:rPr>
        <w:t>分</w:t>
      </w:r>
      <w:r w:rsidRPr="001B6E4D">
        <w:rPr>
          <w:rFonts w:ascii="標楷體" w:eastAsia="標楷體" w:hAnsi="標楷體"/>
          <w:spacing w:val="-16"/>
          <w:kern w:val="0"/>
          <w:sz w:val="28"/>
          <w:szCs w:val="28"/>
        </w:rPr>
        <w:t>至</w:t>
      </w:r>
      <w:r w:rsidRPr="001B6E4D">
        <w:rPr>
          <w:rFonts w:ascii="標楷體" w:eastAsia="標楷體" w:hAnsi="標楷體" w:hint="eastAsia"/>
          <w:spacing w:val="-16"/>
          <w:kern w:val="0"/>
          <w:sz w:val="28"/>
          <w:szCs w:val="28"/>
        </w:rPr>
        <w:t>1</w:t>
      </w:r>
      <w:r w:rsidRPr="001B6E4D">
        <w:rPr>
          <w:rFonts w:ascii="標楷體" w:eastAsia="標楷體" w:hAnsi="標楷體"/>
          <w:spacing w:val="-16"/>
          <w:kern w:val="0"/>
          <w:sz w:val="28"/>
          <w:szCs w:val="28"/>
        </w:rPr>
        <w:t>2時38</w:t>
      </w:r>
      <w:r w:rsidRPr="001B6E4D">
        <w:rPr>
          <w:rFonts w:ascii="標楷體" w:eastAsia="標楷體" w:hAnsi="標楷體" w:hint="eastAsia"/>
          <w:spacing w:val="-16"/>
          <w:kern w:val="0"/>
          <w:sz w:val="28"/>
          <w:szCs w:val="28"/>
        </w:rPr>
        <w:t>分</w:t>
      </w:r>
    </w:p>
    <w:p w14:paraId="3A716D38" w14:textId="77777777" w:rsidR="00EA5793" w:rsidRPr="001B6E4D" w:rsidRDefault="00EA5793" w:rsidP="003D1018">
      <w:pPr>
        <w:overflowPunct w:val="0"/>
        <w:adjustRightInd w:val="0"/>
        <w:snapToGrid w:val="0"/>
        <w:spacing w:line="360" w:lineRule="exact"/>
        <w:ind w:leftChars="6" w:left="1378" w:hangingChars="487" w:hanging="1364"/>
        <w:jc w:val="both"/>
        <w:rPr>
          <w:rFonts w:ascii="標楷體" w:eastAsia="標楷體" w:hAnsi="標楷體"/>
          <w:kern w:val="0"/>
          <w:sz w:val="28"/>
          <w:szCs w:val="28"/>
        </w:rPr>
      </w:pPr>
      <w:r w:rsidRPr="001B6E4D">
        <w:rPr>
          <w:rFonts w:ascii="標楷體" w:eastAsia="標楷體" w:hAnsi="標楷體"/>
          <w:kern w:val="0"/>
          <w:sz w:val="28"/>
          <w:szCs w:val="28"/>
          <w:fitText w:val="1120" w:id="-384114943"/>
        </w:rPr>
        <w:t>地    點</w:t>
      </w:r>
      <w:r w:rsidRPr="001B6E4D">
        <w:rPr>
          <w:rFonts w:ascii="標楷體" w:eastAsia="標楷體" w:hAnsi="標楷體"/>
          <w:kern w:val="0"/>
          <w:sz w:val="28"/>
          <w:szCs w:val="28"/>
        </w:rPr>
        <w:t>：本院紅樓302會議室</w:t>
      </w:r>
    </w:p>
    <w:p w14:paraId="2C77D3BD" w14:textId="77777777" w:rsidR="00EA5793" w:rsidRPr="001B6E4D" w:rsidRDefault="00EA5793" w:rsidP="003D1018">
      <w:pPr>
        <w:overflowPunct w:val="0"/>
        <w:snapToGrid w:val="0"/>
        <w:ind w:leftChars="6" w:left="574" w:hangingChars="200" w:hanging="560"/>
        <w:rPr>
          <w:rFonts w:ascii="標楷體" w:eastAsia="標楷體" w:hAnsi="標楷體"/>
          <w:sz w:val="28"/>
          <w:szCs w:val="28"/>
        </w:rPr>
      </w:pPr>
      <w:r w:rsidRPr="001B6E4D">
        <w:rPr>
          <w:rFonts w:ascii="標楷體" w:eastAsia="標楷體" w:hAnsi="標楷體"/>
          <w:sz w:val="28"/>
          <w:szCs w:val="28"/>
        </w:rPr>
        <w:t>出席委員：</w:t>
      </w:r>
      <w:r w:rsidRPr="001B6E4D">
        <w:rPr>
          <w:rFonts w:ascii="標楷體" w:eastAsia="標楷體" w:hAnsi="標楷體" w:hint="eastAsia"/>
          <w:sz w:val="28"/>
          <w:szCs w:val="28"/>
        </w:rPr>
        <w:t>王義川</w:t>
      </w:r>
      <w:r w:rsidRPr="001B6E4D">
        <w:rPr>
          <w:rFonts w:ascii="標楷體" w:eastAsia="標楷體" w:hAnsi="標楷體" w:hint="eastAsia"/>
          <w:sz w:val="28"/>
          <w:szCs w:val="28"/>
        </w:rPr>
        <w:tab/>
        <w:t>王安祥</w:t>
      </w:r>
      <w:r w:rsidRPr="001B6E4D">
        <w:rPr>
          <w:rFonts w:ascii="標楷體" w:eastAsia="標楷體" w:hAnsi="標楷體" w:hint="eastAsia"/>
          <w:sz w:val="28"/>
          <w:szCs w:val="28"/>
        </w:rPr>
        <w:tab/>
        <w:t>羅美玲</w:t>
      </w:r>
      <w:r w:rsidRPr="001B6E4D">
        <w:rPr>
          <w:rFonts w:ascii="標楷體" w:eastAsia="標楷體" w:hAnsi="標楷體" w:hint="eastAsia"/>
          <w:sz w:val="28"/>
          <w:szCs w:val="28"/>
        </w:rPr>
        <w:tab/>
        <w:t>牛煦庭</w:t>
      </w:r>
      <w:r w:rsidRPr="001B6E4D">
        <w:rPr>
          <w:rFonts w:ascii="標楷體" w:eastAsia="標楷體" w:hAnsi="標楷體" w:hint="eastAsia"/>
          <w:sz w:val="28"/>
          <w:szCs w:val="28"/>
        </w:rPr>
        <w:tab/>
        <w:t>陳昭姿</w:t>
      </w:r>
      <w:r w:rsidRPr="001B6E4D">
        <w:rPr>
          <w:rFonts w:ascii="標楷體" w:eastAsia="標楷體" w:hAnsi="標楷體" w:hint="eastAsia"/>
          <w:sz w:val="28"/>
          <w:szCs w:val="28"/>
        </w:rPr>
        <w:tab/>
        <w:t>莊瑞雄</w:t>
      </w:r>
      <w:r w:rsidRPr="001B6E4D">
        <w:rPr>
          <w:rFonts w:ascii="標楷體" w:eastAsia="標楷體" w:hAnsi="標楷體"/>
          <w:sz w:val="28"/>
          <w:szCs w:val="28"/>
        </w:rPr>
        <w:tab/>
      </w:r>
      <w:r w:rsidRPr="001B6E4D">
        <w:rPr>
          <w:rFonts w:ascii="標楷體" w:eastAsia="標楷體" w:hAnsi="標楷體" w:hint="eastAsia"/>
          <w:sz w:val="28"/>
          <w:szCs w:val="28"/>
        </w:rPr>
        <w:t>張雅琳</w:t>
      </w:r>
      <w:r w:rsidRPr="001B6E4D">
        <w:rPr>
          <w:rFonts w:ascii="標楷體" w:eastAsia="標楷體" w:hAnsi="標楷體" w:hint="eastAsia"/>
          <w:sz w:val="28"/>
          <w:szCs w:val="28"/>
        </w:rPr>
        <w:tab/>
      </w:r>
    </w:p>
    <w:p w14:paraId="0C02C92A" w14:textId="77777777" w:rsidR="00EA5793" w:rsidRPr="001B6E4D" w:rsidRDefault="00EA5793"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吳宗憲</w:t>
      </w:r>
      <w:r w:rsidRPr="001B6E4D">
        <w:rPr>
          <w:rFonts w:ascii="標楷體" w:eastAsia="標楷體" w:hAnsi="標楷體" w:hint="eastAsia"/>
          <w:sz w:val="28"/>
          <w:szCs w:val="28"/>
        </w:rPr>
        <w:tab/>
        <w:t>沈伯洋</w:t>
      </w:r>
      <w:r w:rsidRPr="001B6E4D">
        <w:rPr>
          <w:rFonts w:ascii="標楷體" w:eastAsia="標楷體" w:hAnsi="標楷體" w:hint="eastAsia"/>
          <w:sz w:val="28"/>
          <w:szCs w:val="28"/>
        </w:rPr>
        <w:tab/>
        <w:t>陳俊宇</w:t>
      </w:r>
      <w:r w:rsidRPr="001B6E4D">
        <w:rPr>
          <w:rFonts w:ascii="標楷體" w:eastAsia="標楷體" w:hAnsi="標楷體" w:hint="eastAsia"/>
          <w:sz w:val="28"/>
          <w:szCs w:val="28"/>
        </w:rPr>
        <w:tab/>
        <w:t>沈發惠</w:t>
      </w:r>
      <w:r w:rsidRPr="001B6E4D">
        <w:rPr>
          <w:rFonts w:ascii="標楷體" w:eastAsia="標楷體" w:hAnsi="標楷體" w:hint="eastAsia"/>
          <w:sz w:val="28"/>
          <w:szCs w:val="28"/>
        </w:rPr>
        <w:tab/>
        <w:t>王定宇</w:t>
      </w:r>
      <w:r w:rsidRPr="001B6E4D">
        <w:rPr>
          <w:rFonts w:ascii="標楷體" w:eastAsia="標楷體" w:hAnsi="標楷體" w:hint="eastAsia"/>
          <w:sz w:val="28"/>
          <w:szCs w:val="28"/>
        </w:rPr>
        <w:tab/>
        <w:t>林楚茵</w:t>
      </w:r>
      <w:r w:rsidRPr="001B6E4D">
        <w:rPr>
          <w:rFonts w:ascii="標楷體" w:eastAsia="標楷體" w:hAnsi="標楷體" w:hint="eastAsia"/>
          <w:sz w:val="28"/>
          <w:szCs w:val="28"/>
        </w:rPr>
        <w:tab/>
        <w:t>林倩綺</w:t>
      </w:r>
      <w:r w:rsidRPr="001B6E4D">
        <w:rPr>
          <w:rFonts w:ascii="標楷體" w:eastAsia="標楷體" w:hAnsi="標楷體" w:hint="eastAsia"/>
          <w:sz w:val="28"/>
          <w:szCs w:val="28"/>
        </w:rPr>
        <w:tab/>
      </w:r>
    </w:p>
    <w:p w14:paraId="61EBF904" w14:textId="77777777" w:rsidR="00EA5793" w:rsidRPr="001B6E4D" w:rsidRDefault="00EA5793" w:rsidP="003D1018">
      <w:pPr>
        <w:widowControl w:val="0"/>
        <w:overflowPunct w:val="0"/>
        <w:snapToGrid w:val="0"/>
        <w:ind w:leftChars="239" w:left="574" w:firstLineChars="300" w:firstLine="840"/>
        <w:rPr>
          <w:rFonts w:ascii="標楷體" w:eastAsia="標楷體" w:hAnsi="標楷體"/>
          <w:sz w:val="28"/>
          <w:szCs w:val="28"/>
          <w:highlight w:val="yellow"/>
        </w:rPr>
      </w:pPr>
      <w:r w:rsidRPr="001B6E4D">
        <w:rPr>
          <w:rFonts w:ascii="標楷體" w:eastAsia="標楷體" w:hAnsi="標楷體" w:hint="eastAsia"/>
          <w:sz w:val="28"/>
          <w:szCs w:val="28"/>
        </w:rPr>
        <w:t>陳永康</w:t>
      </w:r>
      <w:r w:rsidRPr="001B6E4D">
        <w:rPr>
          <w:rFonts w:ascii="標楷體" w:eastAsia="標楷體" w:hAnsi="標楷體" w:hint="eastAsia"/>
          <w:sz w:val="28"/>
          <w:szCs w:val="28"/>
        </w:rPr>
        <w:tab/>
        <w:t>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ab/>
        <w:t>翁曉玲</w:t>
      </w:r>
      <w:r w:rsidRPr="001B6E4D">
        <w:rPr>
          <w:rFonts w:ascii="標楷體" w:eastAsia="標楷體" w:hAnsi="標楷體" w:hint="eastAsia"/>
          <w:sz w:val="28"/>
          <w:szCs w:val="28"/>
        </w:rPr>
        <w:tab/>
        <w:t>陳冠廷</w:t>
      </w:r>
      <w:r w:rsidRPr="001B6E4D">
        <w:rPr>
          <w:rFonts w:ascii="標楷體" w:eastAsia="標楷體" w:hAnsi="標楷體" w:hint="eastAsia"/>
          <w:sz w:val="28"/>
          <w:szCs w:val="28"/>
        </w:rPr>
        <w:tab/>
        <w:t>蔡其昌</w:t>
      </w:r>
      <w:r w:rsidRPr="001B6E4D">
        <w:rPr>
          <w:rFonts w:ascii="標楷體" w:eastAsia="標楷體" w:hAnsi="標楷體"/>
          <w:sz w:val="28"/>
          <w:szCs w:val="28"/>
        </w:rPr>
        <w:tab/>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 xml:space="preserve">  雲</w:t>
      </w:r>
      <w:r w:rsidRPr="001B6E4D">
        <w:rPr>
          <w:rFonts w:ascii="標楷體" w:eastAsia="標楷體" w:hAnsi="標楷體" w:hint="eastAsia"/>
          <w:sz w:val="28"/>
          <w:szCs w:val="28"/>
        </w:rPr>
        <w:tab/>
        <w:t>徐巧芯</w:t>
      </w:r>
      <w:r w:rsidRPr="001B6E4D">
        <w:rPr>
          <w:rFonts w:ascii="標楷體" w:eastAsia="標楷體" w:hAnsi="標楷體" w:hint="eastAsia"/>
          <w:sz w:val="28"/>
          <w:szCs w:val="28"/>
        </w:rPr>
        <w:tab/>
      </w:r>
    </w:p>
    <w:p w14:paraId="34BD0777" w14:textId="77777777" w:rsidR="00EA5793" w:rsidRPr="001B6E4D" w:rsidRDefault="00EA5793" w:rsidP="003D1018">
      <w:pPr>
        <w:widowControl w:val="0"/>
        <w:overflowPunct w:val="0"/>
        <w:snapToGrid w:val="0"/>
        <w:ind w:leftChars="239" w:left="574" w:firstLineChars="300" w:firstLine="840"/>
        <w:rPr>
          <w:rFonts w:ascii="標楷體" w:eastAsia="標楷體" w:hAnsi="標楷體"/>
          <w:sz w:val="28"/>
          <w:szCs w:val="28"/>
        </w:rPr>
      </w:pPr>
      <w:r w:rsidRPr="001B6E4D">
        <w:rPr>
          <w:rFonts w:ascii="標楷體" w:eastAsia="標楷體" w:hAnsi="標楷體" w:hint="eastAsia"/>
          <w:sz w:val="28"/>
          <w:szCs w:val="28"/>
        </w:rPr>
        <w:t>林沛祥</w:t>
      </w:r>
      <w:r w:rsidRPr="001B6E4D">
        <w:rPr>
          <w:rFonts w:ascii="標楷體" w:eastAsia="標楷體" w:hAnsi="標楷體" w:hint="eastAsia"/>
          <w:sz w:val="28"/>
          <w:szCs w:val="28"/>
        </w:rPr>
        <w:tab/>
      </w:r>
    </w:p>
    <w:p w14:paraId="52D4211E" w14:textId="77777777" w:rsidR="00EA5793" w:rsidRPr="001B6E4D" w:rsidRDefault="00EA5793" w:rsidP="003D1018">
      <w:pPr>
        <w:widowControl w:val="0"/>
        <w:overflowPunct w:val="0"/>
        <w:adjustRightInd w:val="0"/>
        <w:snapToGrid w:val="0"/>
        <w:ind w:left="14" w:firstLineChars="500" w:firstLine="1400"/>
        <w:jc w:val="both"/>
        <w:rPr>
          <w:rFonts w:ascii="標楷體" w:eastAsia="標楷體" w:hAnsi="標楷體"/>
          <w:sz w:val="28"/>
          <w:szCs w:val="28"/>
        </w:rPr>
      </w:pPr>
      <w:r w:rsidRPr="001B6E4D">
        <w:rPr>
          <w:rFonts w:ascii="標楷體" w:eastAsia="標楷體" w:hAnsi="標楷體"/>
          <w:sz w:val="28"/>
          <w:szCs w:val="28"/>
        </w:rPr>
        <w:t>委員</w:t>
      </w:r>
      <w:r w:rsidRPr="001B6E4D">
        <w:rPr>
          <w:rFonts w:ascii="標楷體" w:eastAsia="標楷體" w:hAnsi="標楷體" w:hint="eastAsia"/>
          <w:sz w:val="28"/>
          <w:szCs w:val="28"/>
        </w:rPr>
        <w:t>出</w:t>
      </w:r>
      <w:r w:rsidRPr="001B6E4D">
        <w:rPr>
          <w:rFonts w:ascii="標楷體" w:eastAsia="標楷體" w:hAnsi="標楷體"/>
          <w:sz w:val="28"/>
          <w:szCs w:val="28"/>
        </w:rPr>
        <w:t>席</w:t>
      </w:r>
      <w:r w:rsidRPr="001B6E4D">
        <w:rPr>
          <w:rFonts w:ascii="標楷體" w:eastAsia="標楷體" w:hAnsi="標楷體" w:hint="eastAsia"/>
          <w:sz w:val="28"/>
          <w:szCs w:val="28"/>
        </w:rPr>
        <w:t>22</w:t>
      </w:r>
      <w:r w:rsidRPr="001B6E4D">
        <w:rPr>
          <w:rFonts w:ascii="標楷體" w:eastAsia="標楷體" w:hAnsi="標楷體"/>
          <w:sz w:val="28"/>
          <w:szCs w:val="28"/>
        </w:rPr>
        <w:t>人</w:t>
      </w:r>
    </w:p>
    <w:p w14:paraId="2F076147" w14:textId="77777777" w:rsidR="00EA5793" w:rsidRPr="001B6E4D" w:rsidRDefault="00EA5793" w:rsidP="003D1018">
      <w:pPr>
        <w:widowControl w:val="0"/>
        <w:overflowPunct w:val="0"/>
        <w:adjustRightInd w:val="0"/>
        <w:snapToGrid w:val="0"/>
        <w:spacing w:line="360" w:lineRule="exact"/>
        <w:ind w:left="1361" w:hangingChars="486" w:hanging="1361"/>
        <w:jc w:val="both"/>
        <w:rPr>
          <w:rFonts w:ascii="標楷體" w:eastAsia="標楷體" w:hAnsi="標楷體"/>
          <w:kern w:val="0"/>
          <w:sz w:val="28"/>
          <w:szCs w:val="28"/>
        </w:rPr>
      </w:pPr>
      <w:r w:rsidRPr="001B6E4D">
        <w:rPr>
          <w:rFonts w:ascii="標楷體" w:eastAsia="標楷體" w:hAnsi="標楷體"/>
          <w:kern w:val="0"/>
          <w:sz w:val="28"/>
          <w:szCs w:val="28"/>
        </w:rPr>
        <w:t>列席官員：</w:t>
      </w:r>
      <w:r w:rsidRPr="001B6E4D">
        <w:rPr>
          <w:rFonts w:ascii="標楷體" w:eastAsia="標楷體" w:hAnsi="標楷體" w:hint="eastAsia"/>
          <w:kern w:val="0"/>
          <w:sz w:val="28"/>
          <w:szCs w:val="28"/>
        </w:rPr>
        <w:t>國防部副部長　鍾樹明(部長請假)</w:t>
      </w:r>
    </w:p>
    <w:p w14:paraId="492BB16A" w14:textId="77777777" w:rsidR="00EA5793" w:rsidRPr="001B6E4D" w:rsidRDefault="00EA5793"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司法院刑事廳廳長　許辰舟</w:t>
      </w:r>
    </w:p>
    <w:p w14:paraId="2C421A6F" w14:textId="77777777" w:rsidR="00EA5793" w:rsidRPr="001B6E4D" w:rsidRDefault="00EA5793"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法務部檢察司司長　張曉雯</w:t>
      </w:r>
    </w:p>
    <w:p w14:paraId="7EFCCF84" w14:textId="77777777" w:rsidR="00EA5793" w:rsidRPr="001B6E4D" w:rsidRDefault="00EA5793" w:rsidP="003D1018">
      <w:pPr>
        <w:widowControl w:val="0"/>
        <w:overflowPunct w:val="0"/>
        <w:adjustRightInd w:val="0"/>
        <w:snapToGrid w:val="0"/>
        <w:spacing w:line="360" w:lineRule="exact"/>
        <w:ind w:leftChars="567" w:left="1361" w:firstLineChars="13" w:firstLine="36"/>
        <w:jc w:val="both"/>
        <w:rPr>
          <w:rFonts w:ascii="標楷體" w:eastAsia="標楷體" w:hAnsi="標楷體"/>
          <w:kern w:val="0"/>
          <w:sz w:val="28"/>
          <w:szCs w:val="28"/>
        </w:rPr>
      </w:pPr>
      <w:r w:rsidRPr="001B6E4D">
        <w:rPr>
          <w:rFonts w:ascii="標楷體" w:eastAsia="標楷體" w:hAnsi="標楷體" w:hint="eastAsia"/>
          <w:kern w:val="0"/>
          <w:sz w:val="28"/>
          <w:szCs w:val="28"/>
        </w:rPr>
        <w:t>內政部警政署交通組副組長　陳朝新</w:t>
      </w:r>
    </w:p>
    <w:p w14:paraId="43B1E7D3" w14:textId="77777777" w:rsidR="00EA5793" w:rsidRPr="001B6E4D" w:rsidRDefault="00EA5793" w:rsidP="003D1018">
      <w:pPr>
        <w:widowControl w:val="0"/>
        <w:overflowPunct w:val="0"/>
        <w:snapToGrid w:val="0"/>
        <w:spacing w:line="360" w:lineRule="exact"/>
        <w:jc w:val="both"/>
        <w:rPr>
          <w:rFonts w:ascii="標楷體" w:eastAsia="標楷體" w:hAnsi="標楷體"/>
          <w:sz w:val="28"/>
          <w:szCs w:val="28"/>
        </w:rPr>
      </w:pPr>
      <w:r w:rsidRPr="001B6E4D">
        <w:rPr>
          <w:rFonts w:ascii="標楷體" w:eastAsia="標楷體" w:hAnsi="標楷體" w:hint="eastAsia"/>
          <w:sz w:val="28"/>
          <w:szCs w:val="28"/>
        </w:rPr>
        <w:t>主    席：</w:t>
      </w:r>
      <w:bookmarkStart w:id="553" w:name="_Hlk219480513"/>
      <w:r w:rsidRPr="001B6E4D">
        <w:rPr>
          <w:rFonts w:ascii="標楷體" w:eastAsia="標楷體" w:hAnsi="標楷體" w:hint="eastAsia"/>
          <w:sz w:val="28"/>
          <w:szCs w:val="28"/>
        </w:rPr>
        <w:t>莊召集委員</w:t>
      </w:r>
      <w:bookmarkEnd w:id="553"/>
      <w:r w:rsidRPr="001B6E4D">
        <w:rPr>
          <w:rFonts w:ascii="標楷體" w:eastAsia="標楷體" w:hAnsi="標楷體" w:hint="eastAsia"/>
          <w:sz w:val="28"/>
          <w:szCs w:val="28"/>
        </w:rPr>
        <w:t>瑞雄</w:t>
      </w:r>
    </w:p>
    <w:p w14:paraId="1B1760A6" w14:textId="77777777" w:rsidR="00EA5793" w:rsidRPr="001B6E4D" w:rsidRDefault="00EA5793"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專門委員：黃良瑩</w:t>
      </w:r>
    </w:p>
    <w:p w14:paraId="6AE36F5B" w14:textId="77777777" w:rsidR="00EA5793" w:rsidRPr="001B6E4D" w:rsidRDefault="00EA5793" w:rsidP="003D1018">
      <w:pPr>
        <w:overflowPunct w:val="0"/>
        <w:snapToGrid w:val="0"/>
        <w:spacing w:line="360" w:lineRule="exact"/>
        <w:ind w:leftChars="6" w:left="574" w:hangingChars="200" w:hanging="560"/>
        <w:jc w:val="both"/>
        <w:rPr>
          <w:rFonts w:ascii="標楷體" w:eastAsia="標楷體" w:hAnsi="標楷體"/>
          <w:sz w:val="28"/>
          <w:szCs w:val="28"/>
        </w:rPr>
      </w:pPr>
      <w:r w:rsidRPr="001B6E4D">
        <w:rPr>
          <w:rFonts w:ascii="標楷體" w:eastAsia="標楷體" w:hAnsi="標楷體" w:hint="eastAsia"/>
          <w:sz w:val="28"/>
          <w:szCs w:val="28"/>
        </w:rPr>
        <w:t>主任秘書：張智為</w:t>
      </w:r>
    </w:p>
    <w:p w14:paraId="3233F8F6" w14:textId="77777777" w:rsidR="00EA5793" w:rsidRPr="001B6E4D" w:rsidRDefault="00EA5793" w:rsidP="003D1018">
      <w:pPr>
        <w:overflowPunct w:val="0"/>
        <w:adjustRightInd w:val="0"/>
        <w:snapToGrid w:val="0"/>
        <w:spacing w:line="360" w:lineRule="exact"/>
        <w:ind w:leftChars="6" w:left="574" w:hangingChars="200" w:hanging="560"/>
        <w:rPr>
          <w:rFonts w:ascii="標楷體" w:eastAsia="標楷體" w:hAnsi="標楷體"/>
          <w:sz w:val="28"/>
          <w:szCs w:val="28"/>
        </w:rPr>
      </w:pPr>
      <w:r w:rsidRPr="001B6E4D">
        <w:rPr>
          <w:rFonts w:ascii="標楷體" w:eastAsia="標楷體" w:hAnsi="標楷體" w:hint="eastAsia"/>
          <w:sz w:val="28"/>
          <w:szCs w:val="28"/>
        </w:rPr>
        <w:t>紀    錄：簡任秘書　薛復寧</w:t>
      </w:r>
    </w:p>
    <w:p w14:paraId="0EE2B56F" w14:textId="77777777" w:rsidR="00EA5793" w:rsidRPr="001B6E4D" w:rsidRDefault="00EA5793"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簡任編審　蔡國治</w:t>
      </w:r>
    </w:p>
    <w:p w14:paraId="2A57226A" w14:textId="77777777" w:rsidR="00EA5793" w:rsidRPr="001B6E4D" w:rsidRDefault="00EA5793"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科　　長　余俊緯</w:t>
      </w:r>
    </w:p>
    <w:p w14:paraId="6BD01419" w14:textId="77777777" w:rsidR="00EA5793" w:rsidRPr="001B6E4D" w:rsidRDefault="00EA5793" w:rsidP="003D1018">
      <w:pPr>
        <w:overflowPunct w:val="0"/>
        <w:adjustRightInd w:val="0"/>
        <w:snapToGrid w:val="0"/>
        <w:spacing w:line="360" w:lineRule="exact"/>
        <w:ind w:leftChars="6" w:left="14" w:firstLineChars="500" w:firstLine="1400"/>
        <w:jc w:val="both"/>
        <w:rPr>
          <w:rFonts w:ascii="標楷體" w:eastAsia="標楷體" w:hAnsi="標楷體"/>
          <w:sz w:val="28"/>
          <w:szCs w:val="28"/>
        </w:rPr>
      </w:pPr>
      <w:r w:rsidRPr="001B6E4D">
        <w:rPr>
          <w:rFonts w:ascii="標楷體" w:eastAsia="標楷體" w:hAnsi="標楷體" w:hint="eastAsia"/>
          <w:sz w:val="28"/>
          <w:szCs w:val="28"/>
        </w:rPr>
        <w:t>專　　員　莊鴻基</w:t>
      </w:r>
    </w:p>
    <w:p w14:paraId="289FE9E3" w14:textId="77777777" w:rsidR="00EA5793" w:rsidRPr="001B6E4D" w:rsidRDefault="00EA5793" w:rsidP="003D1018">
      <w:pPr>
        <w:overflowPunct w:val="0"/>
        <w:adjustRightInd w:val="0"/>
        <w:snapToGrid w:val="0"/>
        <w:spacing w:beforeLines="50" w:before="180" w:line="360" w:lineRule="exact"/>
        <w:ind w:firstLineChars="398" w:firstLine="1115"/>
        <w:jc w:val="both"/>
        <w:rPr>
          <w:rFonts w:ascii="標楷體" w:eastAsia="標楷體" w:hAnsi="標楷體"/>
          <w:b/>
          <w:kern w:val="0"/>
          <w:sz w:val="28"/>
          <w:szCs w:val="28"/>
        </w:rPr>
      </w:pPr>
      <w:r w:rsidRPr="001B6E4D">
        <w:rPr>
          <w:rFonts w:ascii="標楷體" w:eastAsia="標楷體" w:hAnsi="標楷體"/>
          <w:b/>
          <w:kern w:val="0"/>
          <w:sz w:val="28"/>
          <w:szCs w:val="28"/>
        </w:rPr>
        <w:t>討論事項</w:t>
      </w:r>
    </w:p>
    <w:p w14:paraId="19DC6509" w14:textId="77777777" w:rsidR="00EA5793" w:rsidRPr="001B6E4D" w:rsidRDefault="00EA5793"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一、繼續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371CCD42"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（一）行政院函請審議「陸海空軍刑法第二十四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6FB1F49"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（二）委員林宜瑾等18人擬具「陸海空軍刑法第二十四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AEC2A35"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（三）委員王定宇等16人擬具「陸海空軍刑法第二十四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11C024D"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（四）委員張雅琳等18人擬具「陸海空軍刑法第二十四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A913604"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（五）委員李坤城等19人擬具「陸海空軍刑法第二十四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FD1FC75"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（六）委員陳素月等16人擬具「陸海空軍刑法第二十四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5CF1FDF"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（七）委員郭昱晴等16人擬具「陸海空軍刑法第二十四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6068227"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（八）委員沈發惠等19人擬具「陸海空軍刑法第二十四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2BC11B3"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（九）委員何欣純等19人擬具「陸海空軍刑法第二十四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3FFB959"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（十）委員陳冠廷等17人擬具「陸海空軍刑法第二十四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4766373" w14:textId="77777777" w:rsidR="00EA5793" w:rsidRPr="001B6E4D" w:rsidRDefault="00EA5793" w:rsidP="003D1018">
      <w:pPr>
        <w:overflowPunct w:val="0"/>
        <w:adjustRightInd w:val="0"/>
        <w:snapToGrid w:val="0"/>
        <w:spacing w:line="360" w:lineRule="exact"/>
        <w:ind w:leftChars="-1" w:left="9" w:hangingChars="4" w:hanging="11"/>
        <w:jc w:val="both"/>
        <w:rPr>
          <w:rFonts w:ascii="標楷體" w:eastAsia="標楷體" w:hAnsi="標楷體"/>
          <w:sz w:val="28"/>
          <w:szCs w:val="28"/>
        </w:rPr>
      </w:pPr>
      <w:r w:rsidRPr="001B6E4D">
        <w:rPr>
          <w:rFonts w:ascii="標楷體" w:eastAsia="標楷體" w:hAnsi="標楷體" w:hint="eastAsia"/>
          <w:sz w:val="28"/>
          <w:szCs w:val="28"/>
        </w:rPr>
        <w:t>二、</w:t>
      </w:r>
      <w:proofErr w:type="gramStart"/>
      <w:r w:rsidRPr="001B6E4D">
        <w:rPr>
          <w:rFonts w:ascii="標楷體" w:eastAsia="標楷體" w:hAnsi="標楷體" w:hint="eastAsia"/>
          <w:sz w:val="28"/>
          <w:szCs w:val="28"/>
        </w:rPr>
        <w:t>併</w:t>
      </w:r>
      <w:proofErr w:type="gramEnd"/>
      <w:r w:rsidRPr="001B6E4D">
        <w:rPr>
          <w:rFonts w:ascii="標楷體" w:eastAsia="標楷體" w:hAnsi="標楷體" w:hint="eastAsia"/>
          <w:sz w:val="28"/>
          <w:szCs w:val="28"/>
        </w:rPr>
        <w:t>案審查</w:t>
      </w:r>
    </w:p>
    <w:p w14:paraId="6CD1FDA1"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（一）行政院函請審議「陸海空軍刑法第五十四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EFBF4EF"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（二）委員黃秀芳等20人擬具「陸海空軍刑法第五十四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2F060F2"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（三）委員王義川等17人擬具「陸海空軍刑法第五十四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AC401E0"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（四）委員林淑芬等26人擬具「陸海空軍刑法第五十四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C88BFAC"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（五）委員羅智強等20人擬具「陸海空軍刑法第五十四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52E0666"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（六）委員郭昱晴等16人擬具「陸海空軍刑法第五十四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1B83385"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（七）委員林倩綺等17人擬具「陸海空軍刑法第五十四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29D6590"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（八）委員李彥秀等18人擬具「陸海空軍刑法第五十四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B4DFC8A"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（九）委員許宇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等22人擬具「陸海空軍刑法第五十四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9DDE897"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（十）委員萬美玲等17人擬具「陸海空軍刑法第五十四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130B402"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（十一）委員張宏陸等20人擬具「陸海空軍刑法第五十四條及第五十四條之</w:t>
      </w:r>
      <w:proofErr w:type="gramStart"/>
      <w:r w:rsidRPr="001B6E4D">
        <w:rPr>
          <w:rFonts w:ascii="標楷體" w:eastAsia="標楷體" w:hAnsi="標楷體" w:hint="eastAsia"/>
          <w:sz w:val="28"/>
          <w:szCs w:val="28"/>
        </w:rPr>
        <w:t>一</w:t>
      </w:r>
      <w:proofErr w:type="gramEnd"/>
      <w:r w:rsidRPr="001B6E4D">
        <w:rPr>
          <w:rFonts w:ascii="標楷體" w:eastAsia="標楷體" w:hAnsi="標楷體" w:hint="eastAsia"/>
          <w:sz w:val="28"/>
          <w:szCs w:val="28"/>
        </w:rPr>
        <w:t>條文修正草案」案。</w:t>
      </w:r>
    </w:p>
    <w:p w14:paraId="247691B0"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（十二）委員</w:t>
      </w:r>
      <w:proofErr w:type="gramStart"/>
      <w:r w:rsidRPr="001B6E4D">
        <w:rPr>
          <w:rFonts w:ascii="標楷體" w:eastAsia="標楷體" w:hAnsi="標楷體" w:hint="eastAsia"/>
          <w:sz w:val="28"/>
          <w:szCs w:val="28"/>
        </w:rPr>
        <w:t>林楚茵等</w:t>
      </w:r>
      <w:proofErr w:type="gramEnd"/>
      <w:r w:rsidRPr="001B6E4D">
        <w:rPr>
          <w:rFonts w:ascii="標楷體" w:eastAsia="標楷體" w:hAnsi="標楷體" w:hint="eastAsia"/>
          <w:sz w:val="28"/>
          <w:szCs w:val="28"/>
        </w:rPr>
        <w:t>17人擬具「陸海空軍刑法第五十四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3BFC20F"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（十三）委員羅美玲等16人擬具「陸海空軍刑法第五十四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1E84B156"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（十四）委員陳培瑜等18人擬具「陸海空軍刑法第五十四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6393FBB1"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（十五）委員伍麗華</w:t>
      </w:r>
      <w:proofErr w:type="spellStart"/>
      <w:r w:rsidRPr="001B6E4D">
        <w:rPr>
          <w:rFonts w:ascii="標楷體" w:eastAsia="標楷體" w:hAnsi="標楷體" w:hint="eastAsia"/>
          <w:sz w:val="28"/>
          <w:szCs w:val="28"/>
        </w:rPr>
        <w:t>Saidhai</w:t>
      </w:r>
      <w:proofErr w:type="spellEnd"/>
      <w:proofErr w:type="gramStart"/>
      <w:r w:rsidRPr="001B6E4D">
        <w:rPr>
          <w:rFonts w:ascii="標楷體" w:eastAsia="標楷體" w:hAnsi="標楷體" w:hint="eastAsia"/>
          <w:sz w:val="28"/>
          <w:szCs w:val="28"/>
        </w:rPr>
        <w:t>‧</w:t>
      </w:r>
      <w:proofErr w:type="spellStart"/>
      <w:proofErr w:type="gramEnd"/>
      <w:r w:rsidRPr="001B6E4D">
        <w:rPr>
          <w:rFonts w:ascii="標楷體" w:eastAsia="標楷體" w:hAnsi="標楷體" w:hint="eastAsia"/>
          <w:sz w:val="28"/>
          <w:szCs w:val="28"/>
        </w:rPr>
        <w:t>Tahovecahe</w:t>
      </w:r>
      <w:proofErr w:type="spellEnd"/>
      <w:r w:rsidRPr="001B6E4D">
        <w:rPr>
          <w:rFonts w:ascii="標楷體" w:eastAsia="標楷體" w:hAnsi="標楷體" w:hint="eastAsia"/>
          <w:sz w:val="28"/>
          <w:szCs w:val="28"/>
        </w:rPr>
        <w:t>等18人擬具「陸海空軍刑法第五十四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F2BB222"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（十六）委員徐富</w:t>
      </w:r>
      <w:proofErr w:type="gramStart"/>
      <w:r w:rsidRPr="001B6E4D">
        <w:rPr>
          <w:rFonts w:ascii="標楷體" w:eastAsia="標楷體" w:hAnsi="標楷體" w:hint="eastAsia"/>
          <w:sz w:val="28"/>
          <w:szCs w:val="28"/>
        </w:rPr>
        <w:t>癸</w:t>
      </w:r>
      <w:proofErr w:type="gramEnd"/>
      <w:r w:rsidRPr="001B6E4D">
        <w:rPr>
          <w:rFonts w:ascii="標楷體" w:eastAsia="標楷體" w:hAnsi="標楷體" w:hint="eastAsia"/>
          <w:sz w:val="28"/>
          <w:szCs w:val="28"/>
        </w:rPr>
        <w:t>等17人擬具「陸海空軍刑法第五十四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0A5D8D5C"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（十七）委員何欣純等19人擬具「陸海空軍刑法第五十四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204AF14"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（十八）委員林宜瑾等25人擬具「陸海空軍刑法第五十四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8BD75FF"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lastRenderedPageBreak/>
        <w:t>（十九）委員羅廷</w:t>
      </w:r>
      <w:proofErr w:type="gramStart"/>
      <w:r w:rsidRPr="001B6E4D">
        <w:rPr>
          <w:rFonts w:ascii="標楷體" w:eastAsia="標楷體" w:hAnsi="標楷體" w:hint="eastAsia"/>
          <w:sz w:val="28"/>
          <w:szCs w:val="28"/>
        </w:rPr>
        <w:t>瑋</w:t>
      </w:r>
      <w:proofErr w:type="gramEnd"/>
      <w:r w:rsidRPr="001B6E4D">
        <w:rPr>
          <w:rFonts w:ascii="標楷體" w:eastAsia="標楷體" w:hAnsi="標楷體" w:hint="eastAsia"/>
          <w:sz w:val="28"/>
          <w:szCs w:val="28"/>
        </w:rPr>
        <w:t>等17人擬具「陸海空軍刑法第五十四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27648869"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（二十）委員廖偉翔等19人擬具「陸海空軍刑法第五十四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6D1F6A4"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（二十一）委員吳沛憶等19人擬具「陸海空軍刑法第五十四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4FEFCAE4"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（二十二）委員賴惠員等17人擬具「陸海空軍刑法第五十四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3D477A73"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（二十三）委員徐巧芯等17人擬具「陸海空軍刑法第五十四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7A315DA6"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（二十四）委員葉元之等18人擬具「陸海空軍刑法第五十四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2E29B45" w14:textId="77777777" w:rsidR="00EA5793" w:rsidRPr="001B6E4D" w:rsidRDefault="00EA5793" w:rsidP="003D1018">
      <w:pPr>
        <w:overflowPunct w:val="0"/>
        <w:adjustRightInd w:val="0"/>
        <w:snapToGrid w:val="0"/>
        <w:spacing w:line="360" w:lineRule="exact"/>
        <w:ind w:leftChars="59" w:left="982" w:hangingChars="300" w:hanging="840"/>
        <w:jc w:val="both"/>
        <w:rPr>
          <w:rFonts w:ascii="標楷體" w:eastAsia="標楷體" w:hAnsi="標楷體"/>
          <w:sz w:val="28"/>
          <w:szCs w:val="28"/>
        </w:rPr>
      </w:pPr>
      <w:r w:rsidRPr="001B6E4D">
        <w:rPr>
          <w:rFonts w:ascii="標楷體" w:eastAsia="標楷體" w:hAnsi="標楷體" w:hint="eastAsia"/>
          <w:sz w:val="28"/>
          <w:szCs w:val="28"/>
        </w:rPr>
        <w:t>（二十五）委員</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雲等17人擬具「陸海空軍刑法第五十四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條文修正草案」案。</w:t>
      </w:r>
    </w:p>
    <w:p w14:paraId="5A6B8A8B" w14:textId="77777777" w:rsidR="00EA5793" w:rsidRPr="001B6E4D" w:rsidRDefault="00EA5793" w:rsidP="003D1018">
      <w:pPr>
        <w:overflowPunct w:val="0"/>
        <w:adjustRightInd w:val="0"/>
        <w:snapToGrid w:val="0"/>
        <w:spacing w:line="360" w:lineRule="exact"/>
        <w:ind w:leftChars="-53" w:left="13" w:hangingChars="50" w:hanging="140"/>
        <w:jc w:val="both"/>
        <w:rPr>
          <w:rFonts w:ascii="標楷體" w:eastAsia="標楷體" w:hAnsi="標楷體"/>
          <w:bCs/>
          <w:sz w:val="28"/>
          <w:szCs w:val="28"/>
        </w:rPr>
      </w:pPr>
      <w:proofErr w:type="gramStart"/>
      <w:r w:rsidRPr="001B6E4D">
        <w:rPr>
          <w:rFonts w:ascii="標楷體" w:eastAsia="標楷體" w:hAnsi="標楷體"/>
          <w:sz w:val="28"/>
          <w:szCs w:val="28"/>
        </w:rPr>
        <w:t>（</w:t>
      </w:r>
      <w:proofErr w:type="gramEnd"/>
      <w:r w:rsidRPr="001B6E4D">
        <w:rPr>
          <w:rFonts w:ascii="標楷體" w:eastAsia="標楷體" w:hAnsi="標楷體"/>
          <w:sz w:val="28"/>
          <w:szCs w:val="28"/>
        </w:rPr>
        <w:t>本</w:t>
      </w:r>
      <w:r w:rsidRPr="001B6E4D">
        <w:rPr>
          <w:rFonts w:ascii="標楷體" w:eastAsia="標楷體" w:hAnsi="標楷體" w:hint="eastAsia"/>
          <w:sz w:val="28"/>
          <w:szCs w:val="28"/>
        </w:rPr>
        <w:t>次會議有</w:t>
      </w:r>
      <w:r w:rsidRPr="001B6E4D">
        <w:rPr>
          <w:rFonts w:ascii="標楷體" w:eastAsia="標楷體" w:hAnsi="標楷體"/>
          <w:sz w:val="28"/>
          <w:szCs w:val="28"/>
        </w:rPr>
        <w:t>委員</w:t>
      </w:r>
      <w:r w:rsidRPr="001B6E4D">
        <w:rPr>
          <w:rFonts w:ascii="標楷體" w:eastAsia="標楷體" w:hAnsi="標楷體" w:hint="eastAsia"/>
          <w:sz w:val="28"/>
          <w:szCs w:val="28"/>
        </w:rPr>
        <w:t>王義川、林楚茵、羅美玲、牛煦庭、莊瑞雄、吳宗憲、沈伯洋、王定宇、張雅琳、陳永康、陳冠廷</w:t>
      </w:r>
      <w:r w:rsidRPr="001B6E4D">
        <w:rPr>
          <w:rFonts w:ascii="標楷體" w:eastAsia="標楷體" w:hAnsi="標楷體"/>
          <w:sz w:val="28"/>
          <w:szCs w:val="28"/>
        </w:rPr>
        <w:t>提出質詢</w:t>
      </w:r>
      <w:r w:rsidRPr="001B6E4D">
        <w:rPr>
          <w:rFonts w:ascii="標楷體" w:eastAsia="標楷體" w:hAnsi="標楷體" w:hint="eastAsia"/>
          <w:sz w:val="28"/>
          <w:szCs w:val="28"/>
        </w:rPr>
        <w:t>；委員蔡其昌、</w:t>
      </w:r>
      <w:proofErr w:type="gramStart"/>
      <w:r w:rsidRPr="001B6E4D">
        <w:rPr>
          <w:rFonts w:ascii="標楷體" w:eastAsia="標楷體" w:hAnsi="標楷體" w:hint="eastAsia"/>
          <w:sz w:val="28"/>
          <w:szCs w:val="28"/>
        </w:rPr>
        <w:t>范</w:t>
      </w:r>
      <w:proofErr w:type="gramEnd"/>
      <w:r w:rsidRPr="001B6E4D">
        <w:rPr>
          <w:rFonts w:ascii="標楷體" w:eastAsia="標楷體" w:hAnsi="標楷體" w:hint="eastAsia"/>
          <w:sz w:val="28"/>
          <w:szCs w:val="28"/>
        </w:rPr>
        <w:t>雲、陳昭姿、王安祥、沈發惠、許宇</w:t>
      </w:r>
      <w:proofErr w:type="gramStart"/>
      <w:r w:rsidRPr="001B6E4D">
        <w:rPr>
          <w:rFonts w:ascii="標楷體" w:eastAsia="標楷體" w:hAnsi="標楷體" w:hint="eastAsia"/>
          <w:sz w:val="28"/>
          <w:szCs w:val="28"/>
        </w:rPr>
        <w:t>甄</w:t>
      </w:r>
      <w:proofErr w:type="gramEnd"/>
      <w:r w:rsidRPr="001B6E4D">
        <w:rPr>
          <w:rFonts w:ascii="標楷體" w:eastAsia="標楷體" w:hAnsi="標楷體" w:hint="eastAsia"/>
          <w:sz w:val="28"/>
          <w:szCs w:val="28"/>
        </w:rPr>
        <w:t>、陳俊宇、傅崐萁、翁曉玲提出書面質詢。</w:t>
      </w:r>
      <w:r w:rsidRPr="001B6E4D">
        <w:rPr>
          <w:rFonts w:ascii="標楷體" w:eastAsia="標楷體" w:hAnsi="標楷體"/>
          <w:sz w:val="28"/>
          <w:szCs w:val="28"/>
        </w:rPr>
        <w:t>）</w:t>
      </w:r>
    </w:p>
    <w:p w14:paraId="6AAEE696" w14:textId="77777777" w:rsidR="00EA5793" w:rsidRPr="001B6E4D" w:rsidRDefault="00EA5793" w:rsidP="003D1018">
      <w:pPr>
        <w:widowControl w:val="0"/>
        <w:overflowPunct w:val="0"/>
        <w:spacing w:line="360" w:lineRule="exact"/>
        <w:ind w:left="493" w:hangingChars="176" w:hanging="493"/>
        <w:contextualSpacing/>
        <w:jc w:val="both"/>
        <w:rPr>
          <w:rFonts w:ascii="標楷體" w:eastAsia="標楷體" w:hAnsi="標楷體"/>
          <w:bCs/>
          <w:sz w:val="28"/>
          <w:szCs w:val="28"/>
        </w:rPr>
      </w:pPr>
      <w:r w:rsidRPr="001B6E4D">
        <w:rPr>
          <w:rFonts w:ascii="標楷體" w:eastAsia="標楷體" w:hAnsi="標楷體"/>
          <w:bCs/>
          <w:sz w:val="28"/>
          <w:szCs w:val="28"/>
        </w:rPr>
        <w:t>決</w:t>
      </w:r>
      <w:r w:rsidRPr="001B6E4D">
        <w:rPr>
          <w:rFonts w:ascii="標楷體" w:eastAsia="標楷體" w:hAnsi="標楷體" w:hint="eastAsia"/>
          <w:bCs/>
          <w:sz w:val="28"/>
          <w:szCs w:val="28"/>
        </w:rPr>
        <w:t>議</w:t>
      </w:r>
      <w:r w:rsidRPr="001B6E4D">
        <w:rPr>
          <w:rFonts w:ascii="標楷體" w:eastAsia="標楷體" w:hAnsi="標楷體"/>
          <w:bCs/>
          <w:sz w:val="28"/>
          <w:szCs w:val="28"/>
        </w:rPr>
        <w:t>：</w:t>
      </w:r>
    </w:p>
    <w:p w14:paraId="52D0FE81" w14:textId="77777777" w:rsidR="00EA5793" w:rsidRPr="001B6E4D" w:rsidRDefault="00EA5793" w:rsidP="003D1018">
      <w:pPr>
        <w:overflowPunct w:val="0"/>
        <w:spacing w:line="360" w:lineRule="exact"/>
        <w:ind w:leftChars="6" w:left="574" w:hangingChars="200" w:hanging="560"/>
        <w:contextualSpacing/>
        <w:jc w:val="both"/>
        <w:rPr>
          <w:rFonts w:ascii="標楷體" w:eastAsia="標楷體" w:hAnsi="標楷體"/>
        </w:rPr>
      </w:pPr>
      <w:r w:rsidRPr="001B6E4D">
        <w:rPr>
          <w:rFonts w:ascii="標楷體" w:eastAsia="標楷體" w:hAnsi="標楷體" w:hint="eastAsia"/>
          <w:sz w:val="28"/>
          <w:szCs w:val="28"/>
        </w:rPr>
        <w:t>一、「陸海空軍刑法第二十四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條文修正草案」等10案：</w:t>
      </w:r>
    </w:p>
    <w:p w14:paraId="36C077ED"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w:t>
      </w:r>
      <w:proofErr w:type="gramStart"/>
      <w:r w:rsidRPr="001B6E4D">
        <w:rPr>
          <w:rFonts w:ascii="標楷體" w:eastAsia="標楷體" w:hAnsi="標楷體" w:hint="eastAsia"/>
          <w:color w:val="000000"/>
          <w:kern w:val="0"/>
          <w:sz w:val="28"/>
          <w:szCs w:val="28"/>
        </w:rPr>
        <w:t>一</w:t>
      </w:r>
      <w:proofErr w:type="gramEnd"/>
      <w:r w:rsidRPr="001B6E4D">
        <w:rPr>
          <w:rFonts w:ascii="標楷體" w:eastAsia="標楷體" w:hAnsi="標楷體" w:hint="eastAsia"/>
          <w:color w:val="000000"/>
          <w:kern w:val="0"/>
          <w:sz w:val="28"/>
          <w:szCs w:val="28"/>
        </w:rPr>
        <w:t>)逕行逐條審查。</w:t>
      </w:r>
    </w:p>
    <w:p w14:paraId="10C58981"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(二)第二十四條，保留，送院會處理。</w:t>
      </w:r>
    </w:p>
    <w:p w14:paraId="0538DB81"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(三)</w:t>
      </w:r>
      <w:bookmarkStart w:id="554" w:name="_Hlk219740326"/>
      <w:r w:rsidRPr="001B6E4D">
        <w:rPr>
          <w:rFonts w:ascii="標楷體" w:eastAsia="標楷體" w:hAnsi="標楷體" w:hint="eastAsia"/>
          <w:color w:val="000000"/>
          <w:kern w:val="0"/>
          <w:sz w:val="28"/>
          <w:szCs w:val="28"/>
        </w:rPr>
        <w:t>通過附帶決議1項：</w:t>
      </w:r>
    </w:p>
    <w:p w14:paraId="71499BD5"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s="標楷體"/>
          <w:color w:val="000000"/>
          <w:sz w:val="28"/>
          <w:szCs w:val="28"/>
        </w:rPr>
      </w:pPr>
      <w:r w:rsidRPr="001B6E4D">
        <w:rPr>
          <w:rFonts w:ascii="標楷體" w:eastAsia="標楷體" w:hAnsi="標楷體" w:hint="eastAsia"/>
          <w:color w:val="000000"/>
          <w:kern w:val="0"/>
          <w:sz w:val="28"/>
          <w:szCs w:val="28"/>
        </w:rPr>
        <w:t xml:space="preserve">    </w:t>
      </w:r>
      <w:bookmarkStart w:id="555" w:name="_Hlk219736454"/>
      <w:r w:rsidRPr="001B6E4D">
        <w:rPr>
          <w:rFonts w:ascii="標楷體" w:eastAsia="標楷體" w:hAnsi="標楷體" w:hint="eastAsia"/>
          <w:color w:val="000000"/>
          <w:kern w:val="0"/>
          <w:sz w:val="28"/>
          <w:szCs w:val="28"/>
        </w:rPr>
        <w:t xml:space="preserve">    </w:t>
      </w:r>
      <w:r w:rsidRPr="001B6E4D">
        <w:rPr>
          <w:rFonts w:ascii="標楷體" w:eastAsia="標楷體" w:hAnsi="標楷體" w:cs="標楷體"/>
          <w:color w:val="000000"/>
          <w:sz w:val="28"/>
          <w:szCs w:val="28"/>
        </w:rPr>
        <w:t>《陸海空軍刑法》</w:t>
      </w:r>
      <w:r w:rsidRPr="001B6E4D">
        <w:rPr>
          <w:rFonts w:ascii="標楷體" w:eastAsia="標楷體" w:hAnsi="標楷體"/>
          <w:color w:val="000000"/>
          <w:kern w:val="0"/>
          <w:sz w:val="28"/>
          <w:szCs w:val="28"/>
        </w:rPr>
        <w:t>第</w:t>
      </w:r>
      <w:r w:rsidRPr="001B6E4D">
        <w:rPr>
          <w:rFonts w:ascii="標楷體" w:eastAsia="標楷體" w:hAnsi="標楷體" w:hint="eastAsia"/>
          <w:color w:val="000000"/>
          <w:kern w:val="0"/>
          <w:sz w:val="28"/>
          <w:szCs w:val="28"/>
        </w:rPr>
        <w:t>24</w:t>
      </w:r>
      <w:r w:rsidRPr="001B6E4D">
        <w:rPr>
          <w:rFonts w:ascii="標楷體" w:eastAsia="標楷體" w:hAnsi="標楷體" w:cs="標楷體"/>
          <w:color w:val="000000"/>
          <w:sz w:val="28"/>
          <w:szCs w:val="28"/>
        </w:rPr>
        <w:t>條修正涉及現役軍人之忠誠義務、表意行為、預備及陰謀犯與刑事責任界線，法定刑最高達七年。司法院亦建議以「足以生軍事上之</w:t>
      </w:r>
      <w:proofErr w:type="gramStart"/>
      <w:r w:rsidRPr="001B6E4D">
        <w:rPr>
          <w:rFonts w:ascii="標楷體" w:eastAsia="標楷體" w:hAnsi="標楷體" w:cs="標楷體"/>
          <w:color w:val="000000"/>
          <w:sz w:val="28"/>
          <w:szCs w:val="28"/>
        </w:rPr>
        <w:t>不</w:t>
      </w:r>
      <w:proofErr w:type="gramEnd"/>
      <w:r w:rsidRPr="001B6E4D">
        <w:rPr>
          <w:rFonts w:ascii="標楷體" w:eastAsia="標楷體" w:hAnsi="標楷體" w:cs="標楷體"/>
          <w:color w:val="000000"/>
          <w:sz w:val="28"/>
          <w:szCs w:val="28"/>
        </w:rPr>
        <w:t>利益」限縮刑事處罰範圍，並將未達刑事危害程度之行為回歸陸海空軍懲罰法處理。為使官兵事前知悉違法紅線，並落實法律明確性、比例原則及刑罰最後手段性：</w:t>
      </w:r>
    </w:p>
    <w:p w14:paraId="2FEC2E85" w14:textId="77777777" w:rsidR="00EA5793" w:rsidRPr="001B6E4D" w:rsidRDefault="00EA5793" w:rsidP="003D1018">
      <w:pPr>
        <w:overflowPunct w:val="0"/>
        <w:snapToGrid w:val="0"/>
        <w:spacing w:line="360" w:lineRule="exact"/>
        <w:ind w:leftChars="100" w:left="1080" w:hangingChars="300" w:hanging="840"/>
        <w:jc w:val="both"/>
        <w:rPr>
          <w:rFonts w:ascii="標楷體" w:eastAsia="標楷體" w:hAnsi="標楷體" w:cs="標楷體"/>
          <w:color w:val="000000"/>
          <w:sz w:val="28"/>
          <w:szCs w:val="28"/>
        </w:rPr>
      </w:pPr>
      <w:r w:rsidRPr="001B6E4D">
        <w:rPr>
          <w:rFonts w:ascii="標楷體" w:eastAsia="標楷體" w:hAnsi="標楷體" w:cs="標楷體" w:hint="eastAsia"/>
          <w:color w:val="000000"/>
          <w:sz w:val="28"/>
          <w:szCs w:val="28"/>
        </w:rPr>
        <w:t xml:space="preserve">    1.</w:t>
      </w:r>
      <w:r w:rsidRPr="001B6E4D">
        <w:rPr>
          <w:rFonts w:ascii="標楷體" w:eastAsia="標楷體" w:hAnsi="標楷體"/>
          <w:color w:val="000000"/>
          <w:kern w:val="0"/>
          <w:sz w:val="28"/>
          <w:szCs w:val="28"/>
        </w:rPr>
        <w:t>國防部</w:t>
      </w:r>
      <w:r w:rsidRPr="001B6E4D">
        <w:rPr>
          <w:rFonts w:ascii="標楷體" w:eastAsia="標楷體" w:hAnsi="標楷體" w:cs="標楷體"/>
          <w:color w:val="000000"/>
          <w:sz w:val="28"/>
          <w:szCs w:val="28"/>
        </w:rPr>
        <w:t>應</w:t>
      </w:r>
      <w:r w:rsidRPr="001B6E4D">
        <w:rPr>
          <w:rFonts w:ascii="標楷體" w:eastAsia="標楷體" w:hAnsi="標楷體"/>
          <w:color w:val="000000"/>
          <w:kern w:val="0"/>
          <w:sz w:val="28"/>
          <w:szCs w:val="28"/>
        </w:rPr>
        <w:t>建立</w:t>
      </w:r>
      <w:r w:rsidRPr="001B6E4D">
        <w:rPr>
          <w:rFonts w:ascii="標楷體" w:eastAsia="標楷體" w:hAnsi="標楷體" w:cs="標楷體"/>
          <w:color w:val="000000"/>
          <w:sz w:val="28"/>
          <w:szCs w:val="28"/>
        </w:rPr>
        <w:t>完整愛國教育、保防教育、軍紀教育或法治教育等規劃，透過實際發生的司法實務案例以多元宣導方式，使全體官兵能正確區分日常言行、軍紀</w:t>
      </w:r>
      <w:proofErr w:type="gramStart"/>
      <w:r w:rsidRPr="001B6E4D">
        <w:rPr>
          <w:rFonts w:ascii="標楷體" w:eastAsia="標楷體" w:hAnsi="標楷體" w:cs="標楷體"/>
          <w:color w:val="000000"/>
          <w:sz w:val="28"/>
          <w:szCs w:val="28"/>
        </w:rPr>
        <w:t>違失與刑事</w:t>
      </w:r>
      <w:proofErr w:type="gramEnd"/>
      <w:r w:rsidRPr="001B6E4D">
        <w:rPr>
          <w:rFonts w:ascii="標楷體" w:eastAsia="標楷體" w:hAnsi="標楷體" w:cs="標楷體"/>
          <w:color w:val="000000"/>
          <w:sz w:val="28"/>
          <w:szCs w:val="28"/>
        </w:rPr>
        <w:t>犯罪之界線。</w:t>
      </w:r>
    </w:p>
    <w:p w14:paraId="12C16CC6" w14:textId="77777777" w:rsidR="00EA5793" w:rsidRPr="001B6E4D" w:rsidRDefault="00EA5793" w:rsidP="003D1018">
      <w:pPr>
        <w:overflowPunct w:val="0"/>
        <w:snapToGrid w:val="0"/>
        <w:spacing w:line="360" w:lineRule="exact"/>
        <w:ind w:leftChars="100" w:left="1080" w:hangingChars="300" w:hanging="840"/>
        <w:jc w:val="both"/>
        <w:rPr>
          <w:rFonts w:ascii="標楷體" w:eastAsia="標楷體" w:hAnsi="標楷體" w:cs="標楷體"/>
          <w:color w:val="000000"/>
          <w:sz w:val="28"/>
          <w:szCs w:val="28"/>
        </w:rPr>
      </w:pPr>
      <w:r w:rsidRPr="001B6E4D">
        <w:rPr>
          <w:rFonts w:ascii="標楷體" w:eastAsia="標楷體" w:hAnsi="標楷體" w:cs="標楷體" w:hint="eastAsia"/>
          <w:color w:val="000000"/>
          <w:sz w:val="28"/>
          <w:szCs w:val="28"/>
        </w:rPr>
        <w:t xml:space="preserve">    2.</w:t>
      </w:r>
      <w:r w:rsidRPr="001B6E4D">
        <w:rPr>
          <w:rFonts w:ascii="標楷體" w:eastAsia="標楷體" w:hAnsi="標楷體" w:cs="標楷體"/>
          <w:color w:val="000000"/>
          <w:sz w:val="28"/>
          <w:szCs w:val="28"/>
        </w:rPr>
        <w:t>為普及法治宣導效益，除實體課程之外，國防部應</w:t>
      </w:r>
      <w:proofErr w:type="gramStart"/>
      <w:r w:rsidRPr="001B6E4D">
        <w:rPr>
          <w:rFonts w:ascii="標楷體" w:eastAsia="標楷體" w:hAnsi="標楷體" w:cs="標楷體"/>
          <w:color w:val="000000"/>
          <w:sz w:val="28"/>
          <w:szCs w:val="28"/>
        </w:rPr>
        <w:t>研</w:t>
      </w:r>
      <w:proofErr w:type="gramEnd"/>
      <w:r w:rsidRPr="001B6E4D">
        <w:rPr>
          <w:rFonts w:ascii="標楷體" w:eastAsia="標楷體" w:hAnsi="標楷體" w:cs="標楷體"/>
          <w:color w:val="000000"/>
          <w:sz w:val="28"/>
          <w:szCs w:val="28"/>
        </w:rPr>
        <w:t>議透過一般官兵日常生活較常觀看的網路社群媒體(例如：Facebook、Instagram、Threads)，持衡實施宣導法治觀念、官兵較常易犯罪名，使法治宣導落實於官兵生活中，強化官兵愛國意識、守法觀念以及行為界線，避免</w:t>
      </w:r>
      <w:proofErr w:type="gramStart"/>
      <w:r w:rsidRPr="001B6E4D">
        <w:rPr>
          <w:rFonts w:ascii="標楷體" w:eastAsia="標楷體" w:hAnsi="標楷體" w:cs="標楷體"/>
          <w:color w:val="000000"/>
          <w:sz w:val="28"/>
          <w:szCs w:val="28"/>
        </w:rPr>
        <w:t>罹</w:t>
      </w:r>
      <w:proofErr w:type="gramEnd"/>
      <w:r w:rsidRPr="001B6E4D">
        <w:rPr>
          <w:rFonts w:ascii="標楷體" w:eastAsia="標楷體" w:hAnsi="標楷體" w:cs="標楷體"/>
          <w:color w:val="000000"/>
          <w:sz w:val="28"/>
          <w:szCs w:val="28"/>
        </w:rPr>
        <w:t>於刑章。</w:t>
      </w:r>
    </w:p>
    <w:p w14:paraId="2176B435" w14:textId="77777777" w:rsidR="00EA5793" w:rsidRPr="001B6E4D" w:rsidRDefault="00EA5793" w:rsidP="003D1018">
      <w:pPr>
        <w:overflowPunct w:val="0"/>
        <w:snapToGrid w:val="0"/>
        <w:spacing w:line="360" w:lineRule="exact"/>
        <w:ind w:leftChars="100" w:left="1080" w:hangingChars="300" w:hanging="840"/>
        <w:jc w:val="both"/>
        <w:rPr>
          <w:rFonts w:ascii="標楷體" w:eastAsia="標楷體" w:hAnsi="標楷體" w:cs="標楷體"/>
          <w:color w:val="000000"/>
          <w:sz w:val="28"/>
          <w:szCs w:val="28"/>
        </w:rPr>
      </w:pPr>
      <w:r w:rsidRPr="001B6E4D">
        <w:rPr>
          <w:rFonts w:ascii="標楷體" w:eastAsia="標楷體" w:hAnsi="標楷體" w:cs="標楷體" w:hint="eastAsia"/>
          <w:color w:val="000000"/>
          <w:sz w:val="28"/>
          <w:szCs w:val="28"/>
        </w:rPr>
        <w:lastRenderedPageBreak/>
        <w:t xml:space="preserve">    3.</w:t>
      </w:r>
      <w:r w:rsidRPr="001B6E4D">
        <w:rPr>
          <w:rFonts w:ascii="標楷體" w:eastAsia="標楷體" w:hAnsi="標楷體" w:cs="標楷體"/>
          <w:color w:val="000000"/>
          <w:sz w:val="28"/>
          <w:szCs w:val="28"/>
        </w:rPr>
        <w:t>為使官兵得隨時諮詢相關法律適用，國防部應設置官兵於行為前得以保密、免受</w:t>
      </w:r>
      <w:proofErr w:type="gramStart"/>
      <w:r w:rsidRPr="001B6E4D">
        <w:rPr>
          <w:rFonts w:ascii="標楷體" w:eastAsia="標楷體" w:hAnsi="標楷體" w:cs="標楷體"/>
          <w:color w:val="000000"/>
          <w:sz w:val="28"/>
          <w:szCs w:val="28"/>
        </w:rPr>
        <w:t>不</w:t>
      </w:r>
      <w:proofErr w:type="gramEnd"/>
      <w:r w:rsidRPr="001B6E4D">
        <w:rPr>
          <w:rFonts w:ascii="標楷體" w:eastAsia="標楷體" w:hAnsi="標楷體" w:cs="標楷體"/>
          <w:color w:val="000000"/>
          <w:sz w:val="28"/>
          <w:szCs w:val="28"/>
        </w:rPr>
        <w:t>利益的諮詢管道，避免涉案後遭追訴或處罰，而未於事前提供明確告知與必要協助。</w:t>
      </w:r>
    </w:p>
    <w:p w14:paraId="61EC2BA5"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 xml:space="preserve">        </w:t>
      </w:r>
      <w:r w:rsidRPr="001B6E4D">
        <w:rPr>
          <w:rFonts w:ascii="標楷體" w:eastAsia="標楷體" w:hAnsi="標楷體" w:cs="標楷體"/>
          <w:bCs/>
          <w:color w:val="000000"/>
          <w:sz w:val="28"/>
          <w:szCs w:val="28"/>
        </w:rPr>
        <w:t>不教而殺謂之</w:t>
      </w:r>
      <w:proofErr w:type="gramStart"/>
      <w:r w:rsidRPr="001B6E4D">
        <w:rPr>
          <w:rFonts w:ascii="標楷體" w:eastAsia="標楷體" w:hAnsi="標楷體" w:cs="標楷體"/>
          <w:bCs/>
          <w:color w:val="000000"/>
          <w:sz w:val="28"/>
          <w:szCs w:val="28"/>
        </w:rPr>
        <w:t>虐</w:t>
      </w:r>
      <w:proofErr w:type="gramEnd"/>
      <w:r w:rsidRPr="001B6E4D">
        <w:rPr>
          <w:rFonts w:ascii="標楷體" w:eastAsia="標楷體" w:hAnsi="標楷體" w:cs="標楷體"/>
          <w:bCs/>
          <w:color w:val="000000"/>
          <w:sz w:val="28"/>
          <w:szCs w:val="28"/>
        </w:rPr>
        <w:t>。法律既以重刑要求軍人忠誠，國家就有義務先把紅線說</w:t>
      </w:r>
      <w:proofErr w:type="gramStart"/>
      <w:r w:rsidRPr="001B6E4D">
        <w:rPr>
          <w:rFonts w:ascii="標楷體" w:eastAsia="標楷體" w:hAnsi="標楷體" w:cs="標楷體"/>
          <w:bCs/>
          <w:color w:val="000000"/>
          <w:sz w:val="28"/>
          <w:szCs w:val="28"/>
        </w:rPr>
        <w:t>清楚、</w:t>
      </w:r>
      <w:proofErr w:type="gramEnd"/>
      <w:r w:rsidRPr="001B6E4D">
        <w:rPr>
          <w:rFonts w:ascii="標楷體" w:eastAsia="標楷體" w:hAnsi="標楷體" w:cs="標楷體"/>
          <w:bCs/>
          <w:color w:val="000000"/>
          <w:sz w:val="28"/>
          <w:szCs w:val="28"/>
        </w:rPr>
        <w:t>把案例教明白，不能以事後「要看個案」取代事前教育及明確規範。</w:t>
      </w:r>
    </w:p>
    <w:bookmarkEnd w:id="555"/>
    <w:p w14:paraId="3C534357" w14:textId="77777777" w:rsidR="00EA5793" w:rsidRPr="001B6E4D" w:rsidRDefault="00EA5793" w:rsidP="003D1018">
      <w:pPr>
        <w:widowControl w:val="0"/>
        <w:kinsoku w:val="0"/>
        <w:overflowPunct w:val="0"/>
        <w:spacing w:line="360" w:lineRule="exact"/>
        <w:ind w:leftChars="139" w:left="334" w:firstLineChars="1140" w:firstLine="3192"/>
        <w:contextualSpacing/>
        <w:jc w:val="both"/>
        <w:rPr>
          <w:rFonts w:ascii="標楷體" w:eastAsia="標楷體" w:hAnsi="標楷體"/>
          <w:color w:val="000000"/>
          <w:sz w:val="28"/>
        </w:rPr>
      </w:pPr>
      <w:r w:rsidRPr="001B6E4D">
        <w:rPr>
          <w:rFonts w:ascii="標楷體" w:eastAsia="標楷體" w:hAnsi="標楷體" w:hint="eastAsia"/>
          <w:color w:val="000000"/>
          <w:sz w:val="28"/>
        </w:rPr>
        <w:t>提案人：吳宗憲</w:t>
      </w:r>
    </w:p>
    <w:p w14:paraId="614B37BF" w14:textId="77777777" w:rsidR="00EA5793" w:rsidRPr="001B6E4D" w:rsidRDefault="00EA5793" w:rsidP="003D1018">
      <w:pPr>
        <w:widowControl w:val="0"/>
        <w:kinsoku w:val="0"/>
        <w:overflowPunct w:val="0"/>
        <w:spacing w:line="360" w:lineRule="exact"/>
        <w:ind w:leftChars="139" w:left="334" w:firstLineChars="1140" w:firstLine="3192"/>
        <w:contextualSpacing/>
        <w:jc w:val="both"/>
        <w:rPr>
          <w:rFonts w:ascii="標楷體" w:eastAsia="標楷體" w:hAnsi="標楷體"/>
          <w:color w:val="000000"/>
          <w:sz w:val="28"/>
        </w:rPr>
      </w:pPr>
      <w:r w:rsidRPr="001B6E4D">
        <w:rPr>
          <w:rFonts w:ascii="標楷體" w:eastAsia="標楷體" w:hAnsi="標楷體" w:hint="eastAsia"/>
          <w:color w:val="000000"/>
          <w:sz w:val="28"/>
        </w:rPr>
        <w:t xml:space="preserve">連署人：陳永康 </w:t>
      </w:r>
      <w:r w:rsidRPr="001B6E4D">
        <w:rPr>
          <w:rFonts w:ascii="標楷體" w:eastAsia="標楷體" w:hAnsi="標楷體" w:hint="eastAsia"/>
          <w:sz w:val="28"/>
          <w:szCs w:val="28"/>
        </w:rPr>
        <w:t>牛煦庭</w:t>
      </w:r>
    </w:p>
    <w:bookmarkEnd w:id="554"/>
    <w:p w14:paraId="1DA67DBE"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(四)本案審查完竣，擬具審查報告，提請院會公決；須交由黨團協商；院會討論時，由莊召集委員瑞雄出席說明。</w:t>
      </w:r>
    </w:p>
    <w:p w14:paraId="1732B652"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(五)條次、引述條文部分文字及法制用字用語，授權主席及議事人員整理。</w:t>
      </w:r>
    </w:p>
    <w:p w14:paraId="0F892888" w14:textId="77777777" w:rsidR="00EA5793" w:rsidRPr="001B6E4D" w:rsidRDefault="00EA5793"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二、</w:t>
      </w:r>
      <w:bookmarkStart w:id="556" w:name="_Hlk218872014"/>
      <w:r w:rsidRPr="001B6E4D">
        <w:rPr>
          <w:rFonts w:ascii="標楷體" w:eastAsia="標楷體" w:hAnsi="標楷體" w:hint="eastAsia"/>
          <w:sz w:val="28"/>
          <w:szCs w:val="28"/>
        </w:rPr>
        <w:t>「陸海空軍刑法第五十四</w:t>
      </w:r>
      <w:proofErr w:type="gramStart"/>
      <w:r w:rsidRPr="001B6E4D">
        <w:rPr>
          <w:rFonts w:ascii="標楷體" w:eastAsia="標楷體" w:hAnsi="標楷體" w:hint="eastAsia"/>
          <w:sz w:val="28"/>
          <w:szCs w:val="28"/>
        </w:rPr>
        <w:t>條</w:t>
      </w:r>
      <w:proofErr w:type="gramEnd"/>
      <w:r w:rsidRPr="001B6E4D">
        <w:rPr>
          <w:rFonts w:ascii="標楷體" w:eastAsia="標楷體" w:hAnsi="標楷體" w:hint="eastAsia"/>
          <w:sz w:val="28"/>
          <w:szCs w:val="28"/>
        </w:rPr>
        <w:t>條文修正草案」等25案:</w:t>
      </w:r>
      <w:bookmarkStart w:id="557" w:name="_Hlk218872040"/>
      <w:bookmarkEnd w:id="556"/>
    </w:p>
    <w:p w14:paraId="1BE49A7D"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w:t>
      </w:r>
      <w:proofErr w:type="gramStart"/>
      <w:r w:rsidRPr="001B6E4D">
        <w:rPr>
          <w:rFonts w:ascii="標楷體" w:eastAsia="標楷體" w:hAnsi="標楷體" w:hint="eastAsia"/>
          <w:color w:val="000000"/>
          <w:kern w:val="0"/>
          <w:sz w:val="28"/>
          <w:szCs w:val="28"/>
        </w:rPr>
        <w:t>一</w:t>
      </w:r>
      <w:proofErr w:type="gramEnd"/>
      <w:r w:rsidRPr="001B6E4D">
        <w:rPr>
          <w:rFonts w:ascii="標楷體" w:eastAsia="標楷體" w:hAnsi="標楷體" w:hint="eastAsia"/>
          <w:color w:val="000000"/>
          <w:kern w:val="0"/>
          <w:sz w:val="28"/>
          <w:szCs w:val="28"/>
        </w:rPr>
        <w:t>)報告及</w:t>
      </w:r>
      <w:proofErr w:type="gramStart"/>
      <w:r w:rsidRPr="001B6E4D">
        <w:rPr>
          <w:rFonts w:ascii="標楷體" w:eastAsia="標楷體" w:hAnsi="標楷體" w:hint="eastAsia"/>
          <w:color w:val="000000"/>
          <w:kern w:val="0"/>
          <w:sz w:val="28"/>
          <w:szCs w:val="28"/>
        </w:rPr>
        <w:t>詢</w:t>
      </w:r>
      <w:proofErr w:type="gramEnd"/>
      <w:r w:rsidRPr="001B6E4D">
        <w:rPr>
          <w:rFonts w:ascii="標楷體" w:eastAsia="標楷體" w:hAnsi="標楷體" w:hint="eastAsia"/>
          <w:color w:val="000000"/>
          <w:kern w:val="0"/>
          <w:sz w:val="28"/>
          <w:szCs w:val="28"/>
        </w:rPr>
        <w:t>答完畢，逕行逐條審查。</w:t>
      </w:r>
    </w:p>
    <w:p w14:paraId="2C075FEA"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(二)第</w:t>
      </w:r>
      <w:r w:rsidRPr="001B6E4D">
        <w:rPr>
          <w:rFonts w:ascii="標楷體" w:eastAsia="標楷體" w:hAnsi="標楷體" w:hint="eastAsia"/>
          <w:sz w:val="28"/>
          <w:szCs w:val="28"/>
        </w:rPr>
        <w:t>五十四條</w:t>
      </w:r>
      <w:r w:rsidRPr="001B6E4D">
        <w:rPr>
          <w:rFonts w:ascii="標楷體" w:eastAsia="標楷體" w:hAnsi="標楷體" w:hint="eastAsia"/>
          <w:color w:val="000000"/>
          <w:kern w:val="0"/>
          <w:sz w:val="28"/>
          <w:szCs w:val="28"/>
        </w:rPr>
        <w:t>，保留，送院會處理。</w:t>
      </w:r>
    </w:p>
    <w:p w14:paraId="31F757D2"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olor w:val="000000"/>
          <w:sz w:val="28"/>
        </w:rPr>
      </w:pPr>
      <w:r w:rsidRPr="001B6E4D">
        <w:rPr>
          <w:rFonts w:ascii="標楷體" w:eastAsia="標楷體" w:hAnsi="標楷體" w:hint="eastAsia"/>
          <w:color w:val="000000"/>
          <w:kern w:val="0"/>
          <w:sz w:val="28"/>
          <w:szCs w:val="28"/>
        </w:rPr>
        <w:t>(三)增訂第五十四條之一，不予增訂。</w:t>
      </w:r>
    </w:p>
    <w:p w14:paraId="78F0D586"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(四)本案審查完竣，擬具審查報告，提請院會公決；須交由黨團協商；院會討論時，由莊召集委員瑞雄出席說明。</w:t>
      </w:r>
    </w:p>
    <w:p w14:paraId="4A3C6566" w14:textId="77777777" w:rsidR="00EA5793" w:rsidRPr="001B6E4D" w:rsidRDefault="00EA5793" w:rsidP="003D1018">
      <w:pPr>
        <w:overflowPunct w:val="0"/>
        <w:snapToGrid w:val="0"/>
        <w:spacing w:line="360" w:lineRule="exact"/>
        <w:ind w:leftChars="100" w:left="800" w:hangingChars="200" w:hanging="560"/>
        <w:jc w:val="both"/>
        <w:rPr>
          <w:rFonts w:ascii="標楷體" w:eastAsia="標楷體" w:hAnsi="標楷體"/>
          <w:color w:val="000000"/>
          <w:kern w:val="0"/>
          <w:sz w:val="28"/>
          <w:szCs w:val="28"/>
        </w:rPr>
      </w:pPr>
      <w:r w:rsidRPr="001B6E4D">
        <w:rPr>
          <w:rFonts w:ascii="標楷體" w:eastAsia="標楷體" w:hAnsi="標楷體" w:hint="eastAsia"/>
          <w:color w:val="000000"/>
          <w:kern w:val="0"/>
          <w:sz w:val="28"/>
          <w:szCs w:val="28"/>
        </w:rPr>
        <w:t>(五)條次、引述條文部分文字及法制用字用語，授權主席及議事人員整理。</w:t>
      </w:r>
    </w:p>
    <w:bookmarkEnd w:id="557"/>
    <w:p w14:paraId="0A0ACD4E" w14:textId="77777777" w:rsidR="00EA5793" w:rsidRPr="001B6E4D" w:rsidRDefault="00EA5793" w:rsidP="003D1018">
      <w:pPr>
        <w:overflowPunct w:val="0"/>
        <w:spacing w:line="360" w:lineRule="exact"/>
        <w:ind w:leftChars="6" w:left="574" w:hangingChars="200" w:hanging="560"/>
        <w:contextualSpacing/>
        <w:jc w:val="both"/>
        <w:rPr>
          <w:rFonts w:ascii="標楷體" w:eastAsia="標楷體" w:hAnsi="標楷體"/>
          <w:sz w:val="28"/>
          <w:szCs w:val="28"/>
        </w:rPr>
      </w:pPr>
      <w:r w:rsidRPr="001B6E4D">
        <w:rPr>
          <w:rFonts w:ascii="標楷體" w:eastAsia="標楷體" w:hAnsi="標楷體" w:hint="eastAsia"/>
          <w:sz w:val="28"/>
          <w:szCs w:val="28"/>
        </w:rPr>
        <w:t>三、委員質詢時，要求提供相關資料或以書面答復者，請相關機關儘速送交個別委員</w:t>
      </w:r>
      <w:proofErr w:type="gramStart"/>
      <w:r w:rsidRPr="001B6E4D">
        <w:rPr>
          <w:rFonts w:ascii="標楷體" w:eastAsia="標楷體" w:hAnsi="標楷體" w:hint="eastAsia"/>
          <w:sz w:val="28"/>
          <w:szCs w:val="28"/>
        </w:rPr>
        <w:t>及本聯席</w:t>
      </w:r>
      <w:proofErr w:type="gramEnd"/>
      <w:r w:rsidRPr="001B6E4D">
        <w:rPr>
          <w:rFonts w:ascii="標楷體" w:eastAsia="標楷體" w:hAnsi="標楷體" w:hint="eastAsia"/>
          <w:sz w:val="28"/>
          <w:szCs w:val="28"/>
        </w:rPr>
        <w:t>會。</w:t>
      </w:r>
    </w:p>
    <w:p w14:paraId="5B72D53E" w14:textId="77777777" w:rsidR="00EA5793" w:rsidRPr="001B6E4D" w:rsidRDefault="00EA5793" w:rsidP="003D1018">
      <w:pPr>
        <w:overflowPunct w:val="0"/>
        <w:spacing w:line="400" w:lineRule="exact"/>
        <w:ind w:leftChars="6" w:left="14"/>
        <w:jc w:val="both"/>
        <w:rPr>
          <w:rFonts w:ascii="標楷體" w:eastAsia="標楷體" w:hAnsi="標楷體"/>
          <w:sz w:val="28"/>
          <w:szCs w:val="28"/>
        </w:rPr>
      </w:pPr>
      <w:r w:rsidRPr="001B6E4D">
        <w:rPr>
          <w:rFonts w:ascii="標楷體" w:eastAsia="標楷體" w:hAnsi="標楷體"/>
          <w:sz w:val="28"/>
          <w:szCs w:val="28"/>
        </w:rPr>
        <w:t>散會</w:t>
      </w:r>
    </w:p>
    <w:p w14:paraId="7E854F67" w14:textId="77777777" w:rsidR="007A2022" w:rsidRPr="001B6E4D" w:rsidRDefault="007A2022" w:rsidP="003D1018">
      <w:pPr>
        <w:overflowPunct w:val="0"/>
        <w:spacing w:line="400" w:lineRule="exact"/>
        <w:ind w:left="619" w:hangingChars="221" w:hanging="619"/>
        <w:contextualSpacing/>
        <w:jc w:val="both"/>
        <w:rPr>
          <w:rFonts w:ascii="標楷體" w:eastAsia="標楷體" w:hAnsi="標楷體"/>
          <w:sz w:val="28"/>
          <w:szCs w:val="28"/>
        </w:rPr>
      </w:pPr>
    </w:p>
    <w:p w14:paraId="5B4430A1" w14:textId="77777777" w:rsidR="007A2022" w:rsidRPr="001B6E4D" w:rsidRDefault="007A2022" w:rsidP="003D1018">
      <w:pPr>
        <w:overflowPunct w:val="0"/>
        <w:spacing w:beforeLines="50" w:before="180" w:afterLines="50" w:after="180"/>
        <w:ind w:left="551" w:hanging="537"/>
        <w:rPr>
          <w:rFonts w:ascii="標楷體" w:eastAsia="標楷體" w:hAnsi="標楷體"/>
          <w:b/>
          <w:spacing w:val="-6"/>
          <w:sz w:val="28"/>
          <w:szCs w:val="28"/>
        </w:rPr>
        <w:sectPr w:rsidR="007A2022" w:rsidRPr="001B6E4D" w:rsidSect="009548F9">
          <w:pgSz w:w="11906" w:h="16838" w:code="9"/>
          <w:pgMar w:top="993" w:right="1701" w:bottom="1134" w:left="1701" w:header="851" w:footer="992" w:gutter="0"/>
          <w:cols w:space="425"/>
          <w:docGrid w:type="lines" w:linePitch="360"/>
        </w:sectPr>
      </w:pPr>
      <w:bookmarkStart w:id="558" w:name="_Toc311127773"/>
      <w:bookmarkStart w:id="559" w:name="_Toc311127621"/>
    </w:p>
    <w:p w14:paraId="7F13725A" w14:textId="7BC7601B" w:rsidR="00615C23" w:rsidRPr="001B6E4D" w:rsidRDefault="00615C23" w:rsidP="003D1018">
      <w:pPr>
        <w:kinsoku w:val="0"/>
        <w:overflowPunct w:val="0"/>
        <w:autoSpaceDE w:val="0"/>
        <w:autoSpaceDN w:val="0"/>
        <w:spacing w:line="360" w:lineRule="exact"/>
        <w:ind w:leftChars="6" w:left="655" w:hangingChars="200" w:hanging="641"/>
        <w:contextualSpacing/>
        <w:jc w:val="both"/>
        <w:outlineLvl w:val="0"/>
        <w:rPr>
          <w:rFonts w:ascii="標楷體" w:eastAsia="標楷體" w:hAnsi="標楷體"/>
          <w:b/>
          <w:bCs/>
          <w:noProof/>
          <w:color w:val="000000" w:themeColor="text1"/>
          <w:kern w:val="52"/>
          <w:sz w:val="32"/>
          <w:szCs w:val="32"/>
          <w:shd w:val="clear" w:color="auto" w:fill="FFFFFF" w:themeFill="background1"/>
        </w:rPr>
      </w:pPr>
      <w:bookmarkStart w:id="560" w:name="_Toc96350591"/>
      <w:bookmarkStart w:id="561" w:name="_Toc240446618"/>
      <w:bookmarkEnd w:id="558"/>
      <w:bookmarkEnd w:id="559"/>
      <w:r w:rsidRPr="001B6E4D">
        <w:rPr>
          <w:rFonts w:ascii="標楷體" w:eastAsia="標楷體" w:hAnsi="標楷體"/>
          <w:b/>
          <w:bCs/>
          <w:noProof/>
          <w:color w:val="000000" w:themeColor="text1"/>
          <w:kern w:val="52"/>
          <w:sz w:val="32"/>
          <w:szCs w:val="32"/>
          <w:shd w:val="clear" w:color="auto" w:fill="FFFFFF" w:themeFill="background1"/>
        </w:rPr>
        <w:lastRenderedPageBreak/>
        <w:t>附錄</w:t>
      </w:r>
      <w:r w:rsidRPr="001B6E4D">
        <w:rPr>
          <w:rFonts w:ascii="標楷體" w:eastAsia="標楷體" w:hAnsi="標楷體" w:hint="eastAsia"/>
          <w:b/>
          <w:bCs/>
          <w:noProof/>
          <w:color w:val="000000" w:themeColor="text1"/>
          <w:kern w:val="52"/>
          <w:sz w:val="32"/>
          <w:szCs w:val="32"/>
          <w:shd w:val="clear" w:color="auto" w:fill="FFFFFF" w:themeFill="background1"/>
        </w:rPr>
        <w:t>［貳］本會期考察(參訪)活動紀錄</w:t>
      </w:r>
      <w:bookmarkEnd w:id="560"/>
      <w:bookmarkEnd w:id="561"/>
    </w:p>
    <w:p w14:paraId="2816DEBB" w14:textId="5235F549" w:rsidR="00615C23" w:rsidRPr="001B6E4D" w:rsidRDefault="00615C23" w:rsidP="003D1018">
      <w:pPr>
        <w:kinsoku w:val="0"/>
        <w:overflowPunct w:val="0"/>
        <w:autoSpaceDE w:val="0"/>
        <w:autoSpaceDN w:val="0"/>
        <w:spacing w:beforeLines="50" w:before="180"/>
        <w:ind w:leftChars="100" w:left="240"/>
        <w:jc w:val="center"/>
        <w:rPr>
          <w:rFonts w:ascii="標楷體" w:eastAsia="標楷體" w:hAnsi="標楷體"/>
          <w:b/>
          <w:color w:val="000000" w:themeColor="text1"/>
          <w:sz w:val="32"/>
          <w:szCs w:val="32"/>
          <w:shd w:val="clear" w:color="auto" w:fill="FFFFFF" w:themeFill="background1"/>
        </w:rPr>
      </w:pPr>
      <w:r w:rsidRPr="001B6E4D">
        <w:rPr>
          <w:rFonts w:ascii="標楷體" w:eastAsia="標楷體" w:hAnsi="標楷體" w:hint="eastAsia"/>
          <w:b/>
          <w:color w:val="000000" w:themeColor="text1"/>
          <w:sz w:val="32"/>
          <w:szCs w:val="32"/>
          <w:shd w:val="clear" w:color="auto" w:fill="FFFFFF" w:themeFill="background1"/>
        </w:rPr>
        <w:t>第11屆第</w:t>
      </w:r>
      <w:r w:rsidR="00815C4B" w:rsidRPr="001B6E4D">
        <w:rPr>
          <w:rFonts w:ascii="標楷體" w:eastAsia="標楷體" w:hAnsi="標楷體" w:hint="eastAsia"/>
          <w:b/>
          <w:color w:val="000000" w:themeColor="text1"/>
          <w:sz w:val="32"/>
          <w:szCs w:val="32"/>
          <w:shd w:val="clear" w:color="auto" w:fill="FFFFFF" w:themeFill="background1"/>
        </w:rPr>
        <w:t>5</w:t>
      </w:r>
      <w:r w:rsidRPr="001B6E4D">
        <w:rPr>
          <w:rFonts w:ascii="標楷體" w:eastAsia="標楷體" w:hAnsi="標楷體" w:hint="eastAsia"/>
          <w:b/>
          <w:color w:val="000000" w:themeColor="text1"/>
          <w:sz w:val="32"/>
          <w:szCs w:val="32"/>
          <w:shd w:val="clear" w:color="auto" w:fill="FFFFFF" w:themeFill="background1"/>
        </w:rPr>
        <w:t>會期考察</w:t>
      </w:r>
      <w:r w:rsidRPr="001B6E4D">
        <w:rPr>
          <w:rFonts w:ascii="標楷體" w:eastAsia="標楷體" w:hAnsi="標楷體" w:hint="eastAsia"/>
          <w:b/>
          <w:bCs/>
          <w:color w:val="000000" w:themeColor="text1"/>
          <w:sz w:val="32"/>
          <w:szCs w:val="32"/>
          <w:shd w:val="clear" w:color="auto" w:fill="FFFFFF" w:themeFill="background1"/>
        </w:rPr>
        <w:t>(</w:t>
      </w:r>
      <w:r w:rsidRPr="001B6E4D">
        <w:rPr>
          <w:rFonts w:ascii="標楷體" w:eastAsia="標楷體" w:hAnsi="標楷體" w:hint="eastAsia"/>
          <w:b/>
          <w:color w:val="000000" w:themeColor="text1"/>
          <w:sz w:val="32"/>
          <w:szCs w:val="32"/>
          <w:shd w:val="clear" w:color="auto" w:fill="FFFFFF" w:themeFill="background1"/>
        </w:rPr>
        <w:t>參訪</w:t>
      </w:r>
      <w:r w:rsidRPr="001B6E4D">
        <w:rPr>
          <w:rFonts w:ascii="標楷體" w:eastAsia="標楷體" w:hAnsi="標楷體" w:hint="eastAsia"/>
          <w:b/>
          <w:bCs/>
          <w:color w:val="000000" w:themeColor="text1"/>
          <w:sz w:val="32"/>
          <w:szCs w:val="32"/>
          <w:shd w:val="clear" w:color="auto" w:fill="FFFFFF" w:themeFill="background1"/>
        </w:rPr>
        <w:t>)</w:t>
      </w:r>
      <w:hyperlink r:id="rId22" w:history="1">
        <w:r w:rsidRPr="001B6E4D">
          <w:rPr>
            <w:rFonts w:ascii="標楷體" w:eastAsia="標楷體" w:hAnsi="標楷體" w:hint="eastAsia"/>
            <w:b/>
            <w:color w:val="000000" w:themeColor="text1"/>
            <w:sz w:val="32"/>
            <w:szCs w:val="32"/>
            <w:shd w:val="clear" w:color="auto" w:fill="FFFFFF" w:themeFill="background1"/>
          </w:rPr>
          <w:t>活</w:t>
        </w:r>
      </w:hyperlink>
      <w:r w:rsidRPr="001B6E4D">
        <w:rPr>
          <w:rFonts w:ascii="標楷體" w:eastAsia="標楷體" w:hAnsi="標楷體" w:hint="eastAsia"/>
          <w:b/>
          <w:color w:val="000000" w:themeColor="text1"/>
          <w:sz w:val="32"/>
          <w:szCs w:val="32"/>
          <w:shd w:val="clear" w:color="auto" w:fill="FFFFFF" w:themeFill="background1"/>
        </w:rPr>
        <w:t>動紀錄</w:t>
      </w:r>
    </w:p>
    <w:tbl>
      <w:tblPr>
        <w:tblW w:w="9041"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1E0" w:firstRow="1" w:lastRow="1" w:firstColumn="1" w:lastColumn="1" w:noHBand="0" w:noVBand="0"/>
      </w:tblPr>
      <w:tblGrid>
        <w:gridCol w:w="836"/>
        <w:gridCol w:w="1559"/>
        <w:gridCol w:w="1559"/>
        <w:gridCol w:w="3686"/>
        <w:gridCol w:w="1401"/>
      </w:tblGrid>
      <w:tr w:rsidR="00D30212" w:rsidRPr="001B6E4D" w14:paraId="48494FDC" w14:textId="77777777" w:rsidTr="009548F9">
        <w:trPr>
          <w:trHeight w:val="647"/>
          <w:jc w:val="center"/>
        </w:trPr>
        <w:tc>
          <w:tcPr>
            <w:tcW w:w="836" w:type="dxa"/>
            <w:vAlign w:val="center"/>
          </w:tcPr>
          <w:p w14:paraId="434F2001" w14:textId="77777777" w:rsidR="00D30212" w:rsidRPr="001B6E4D" w:rsidRDefault="00D30212" w:rsidP="003D1018">
            <w:pPr>
              <w:widowControl w:val="0"/>
              <w:overflowPunct w:val="0"/>
              <w:spacing w:line="360" w:lineRule="exact"/>
              <w:jc w:val="center"/>
              <w:rPr>
                <w:rFonts w:ascii="標楷體" w:eastAsia="標楷體" w:hAnsi="標楷體"/>
                <w:sz w:val="28"/>
                <w:szCs w:val="22"/>
              </w:rPr>
            </w:pPr>
            <w:r w:rsidRPr="001B6E4D">
              <w:rPr>
                <w:rFonts w:ascii="標楷體" w:eastAsia="標楷體" w:hAnsi="標楷體" w:hint="eastAsia"/>
                <w:sz w:val="28"/>
                <w:szCs w:val="22"/>
              </w:rPr>
              <w:t>序號</w:t>
            </w:r>
          </w:p>
        </w:tc>
        <w:tc>
          <w:tcPr>
            <w:tcW w:w="1559" w:type="dxa"/>
            <w:vAlign w:val="center"/>
          </w:tcPr>
          <w:p w14:paraId="4D8B9CC1" w14:textId="77777777" w:rsidR="00D30212" w:rsidRPr="001B6E4D" w:rsidRDefault="00D30212" w:rsidP="003D1018">
            <w:pPr>
              <w:widowControl w:val="0"/>
              <w:overflowPunct w:val="0"/>
              <w:spacing w:line="360" w:lineRule="exact"/>
              <w:jc w:val="center"/>
              <w:rPr>
                <w:rFonts w:ascii="標楷體" w:eastAsia="標楷體" w:hAnsi="標楷體"/>
                <w:sz w:val="28"/>
                <w:szCs w:val="22"/>
              </w:rPr>
            </w:pPr>
            <w:r w:rsidRPr="001B6E4D">
              <w:rPr>
                <w:rFonts w:ascii="標楷體" w:eastAsia="標楷體" w:hAnsi="標楷體" w:hint="eastAsia"/>
                <w:sz w:val="28"/>
                <w:szCs w:val="22"/>
              </w:rPr>
              <w:t>日   期</w:t>
            </w:r>
          </w:p>
        </w:tc>
        <w:tc>
          <w:tcPr>
            <w:tcW w:w="1559" w:type="dxa"/>
            <w:vAlign w:val="center"/>
          </w:tcPr>
          <w:p w14:paraId="00098284" w14:textId="77777777" w:rsidR="00D30212" w:rsidRPr="001B6E4D" w:rsidRDefault="00D30212" w:rsidP="003D1018">
            <w:pPr>
              <w:widowControl w:val="0"/>
              <w:overflowPunct w:val="0"/>
              <w:spacing w:line="320" w:lineRule="exact"/>
              <w:ind w:left="561" w:hanging="561"/>
              <w:jc w:val="center"/>
              <w:rPr>
                <w:rFonts w:ascii="標楷體" w:eastAsia="標楷體" w:hAnsi="標楷體"/>
                <w:sz w:val="28"/>
                <w:szCs w:val="22"/>
              </w:rPr>
            </w:pPr>
            <w:r w:rsidRPr="001B6E4D">
              <w:rPr>
                <w:rFonts w:ascii="標楷體" w:eastAsia="標楷體" w:hAnsi="標楷體" w:hint="eastAsia"/>
                <w:sz w:val="28"/>
                <w:szCs w:val="22"/>
              </w:rPr>
              <w:t>召集委員</w:t>
            </w:r>
          </w:p>
        </w:tc>
        <w:tc>
          <w:tcPr>
            <w:tcW w:w="3686" w:type="dxa"/>
            <w:vAlign w:val="center"/>
          </w:tcPr>
          <w:p w14:paraId="07E0B2BC" w14:textId="77777777" w:rsidR="00D30212" w:rsidRPr="001B6E4D" w:rsidRDefault="00D30212" w:rsidP="003D1018">
            <w:pPr>
              <w:widowControl w:val="0"/>
              <w:overflowPunct w:val="0"/>
              <w:spacing w:line="360" w:lineRule="exact"/>
              <w:ind w:left="561" w:hanging="561"/>
              <w:jc w:val="center"/>
              <w:rPr>
                <w:rFonts w:ascii="標楷體" w:eastAsia="標楷體" w:hAnsi="標楷體"/>
                <w:sz w:val="28"/>
                <w:szCs w:val="22"/>
              </w:rPr>
            </w:pPr>
            <w:r w:rsidRPr="001B6E4D">
              <w:rPr>
                <w:rFonts w:ascii="標楷體" w:eastAsia="標楷體" w:hAnsi="標楷體" w:hint="eastAsia"/>
                <w:sz w:val="28"/>
                <w:szCs w:val="22"/>
              </w:rPr>
              <w:t>內    容</w:t>
            </w:r>
          </w:p>
        </w:tc>
        <w:tc>
          <w:tcPr>
            <w:tcW w:w="1401" w:type="dxa"/>
            <w:vAlign w:val="center"/>
          </w:tcPr>
          <w:p w14:paraId="5235934A" w14:textId="77777777" w:rsidR="00D30212" w:rsidRPr="001B6E4D" w:rsidRDefault="00D30212" w:rsidP="003D1018">
            <w:pPr>
              <w:widowControl w:val="0"/>
              <w:overflowPunct w:val="0"/>
              <w:spacing w:line="320" w:lineRule="exact"/>
              <w:ind w:left="561" w:rightChars="-48" w:right="-115" w:hanging="561"/>
              <w:rPr>
                <w:rFonts w:ascii="標楷體" w:eastAsia="標楷體" w:hAnsi="標楷體"/>
                <w:sz w:val="28"/>
              </w:rPr>
            </w:pPr>
            <w:r w:rsidRPr="001B6E4D">
              <w:rPr>
                <w:rFonts w:ascii="標楷體" w:eastAsia="標楷體" w:hAnsi="標楷體" w:hint="eastAsia"/>
                <w:sz w:val="28"/>
              </w:rPr>
              <w:t>考察/參訪</w:t>
            </w:r>
          </w:p>
          <w:p w14:paraId="6C605FD5" w14:textId="77777777" w:rsidR="00D30212" w:rsidRPr="001B6E4D" w:rsidRDefault="00D30212" w:rsidP="003D1018">
            <w:pPr>
              <w:widowControl w:val="0"/>
              <w:overflowPunct w:val="0"/>
              <w:spacing w:line="320" w:lineRule="exact"/>
              <w:ind w:left="561" w:rightChars="-48" w:right="-115" w:hanging="561"/>
              <w:jc w:val="center"/>
              <w:rPr>
                <w:rFonts w:ascii="標楷體" w:eastAsia="標楷體" w:hAnsi="標楷體"/>
                <w:sz w:val="28"/>
              </w:rPr>
            </w:pPr>
            <w:r w:rsidRPr="001B6E4D">
              <w:rPr>
                <w:rFonts w:ascii="標楷體" w:eastAsia="標楷體" w:hAnsi="標楷體" w:hint="eastAsia"/>
                <w:sz w:val="28"/>
              </w:rPr>
              <w:t>紀錄</w:t>
            </w:r>
          </w:p>
        </w:tc>
      </w:tr>
      <w:tr w:rsidR="00815C4B" w:rsidRPr="001B6E4D" w14:paraId="0C0BC332" w14:textId="77777777" w:rsidTr="00815C4B">
        <w:trPr>
          <w:trHeight w:val="647"/>
          <w:jc w:val="center"/>
        </w:trPr>
        <w:tc>
          <w:tcPr>
            <w:tcW w:w="836" w:type="dxa"/>
            <w:tcBorders>
              <w:top w:val="single" w:sz="8" w:space="0" w:color="auto"/>
              <w:left w:val="single" w:sz="12" w:space="0" w:color="auto"/>
              <w:bottom w:val="single" w:sz="8" w:space="0" w:color="auto"/>
              <w:right w:val="single" w:sz="8" w:space="0" w:color="auto"/>
            </w:tcBorders>
            <w:vAlign w:val="center"/>
          </w:tcPr>
          <w:p w14:paraId="38379976" w14:textId="77777777" w:rsidR="00815C4B" w:rsidRPr="001B6E4D" w:rsidRDefault="00815C4B" w:rsidP="003D1018">
            <w:pPr>
              <w:widowControl w:val="0"/>
              <w:overflowPunct w:val="0"/>
              <w:spacing w:line="360" w:lineRule="exact"/>
              <w:jc w:val="center"/>
              <w:rPr>
                <w:rFonts w:ascii="標楷體" w:eastAsia="標楷體" w:hAnsi="標楷體"/>
                <w:szCs w:val="22"/>
              </w:rPr>
            </w:pPr>
            <w:r w:rsidRPr="001B6E4D">
              <w:rPr>
                <w:rFonts w:ascii="標楷體" w:eastAsia="標楷體" w:hAnsi="標楷體" w:hint="eastAsia"/>
                <w:szCs w:val="22"/>
              </w:rPr>
              <w:t>1</w:t>
            </w:r>
          </w:p>
        </w:tc>
        <w:tc>
          <w:tcPr>
            <w:tcW w:w="1559" w:type="dxa"/>
            <w:tcBorders>
              <w:top w:val="single" w:sz="8" w:space="0" w:color="auto"/>
              <w:left w:val="single" w:sz="4" w:space="0" w:color="auto"/>
              <w:bottom w:val="single" w:sz="8" w:space="0" w:color="auto"/>
              <w:right w:val="single" w:sz="8" w:space="0" w:color="auto"/>
            </w:tcBorders>
            <w:vAlign w:val="center"/>
          </w:tcPr>
          <w:p w14:paraId="48070E6C" w14:textId="77777777" w:rsidR="00815C4B" w:rsidRPr="001B6E4D" w:rsidRDefault="00815C4B" w:rsidP="003D1018">
            <w:pPr>
              <w:widowControl w:val="0"/>
              <w:overflowPunct w:val="0"/>
              <w:spacing w:line="360" w:lineRule="exact"/>
              <w:ind w:leftChars="-29" w:left="-70" w:rightChars="-36" w:right="-86"/>
              <w:jc w:val="both"/>
              <w:rPr>
                <w:rFonts w:ascii="標楷體" w:eastAsia="標楷體" w:hAnsi="標楷體"/>
                <w:spacing w:val="-20"/>
                <w:szCs w:val="22"/>
              </w:rPr>
            </w:pPr>
            <w:r w:rsidRPr="001B6E4D">
              <w:rPr>
                <w:rFonts w:ascii="標楷體" w:eastAsia="標楷體" w:hAnsi="標楷體" w:hint="eastAsia"/>
                <w:spacing w:val="-20"/>
                <w:szCs w:val="22"/>
              </w:rPr>
              <w:t>115年3月16日（星期一）</w:t>
            </w:r>
          </w:p>
        </w:tc>
        <w:tc>
          <w:tcPr>
            <w:tcW w:w="1559" w:type="dxa"/>
            <w:tcBorders>
              <w:top w:val="single" w:sz="8" w:space="0" w:color="auto"/>
              <w:left w:val="single" w:sz="4" w:space="0" w:color="auto"/>
              <w:bottom w:val="single" w:sz="8" w:space="0" w:color="auto"/>
              <w:right w:val="single" w:sz="8" w:space="0" w:color="auto"/>
            </w:tcBorders>
            <w:vAlign w:val="center"/>
          </w:tcPr>
          <w:p w14:paraId="51C114CF"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翁委員曉玲</w:t>
            </w:r>
          </w:p>
        </w:tc>
        <w:tc>
          <w:tcPr>
            <w:tcW w:w="3686" w:type="dxa"/>
            <w:tcBorders>
              <w:top w:val="single" w:sz="8" w:space="0" w:color="auto"/>
              <w:left w:val="single" w:sz="4" w:space="0" w:color="auto"/>
              <w:bottom w:val="single" w:sz="8" w:space="0" w:color="auto"/>
              <w:right w:val="single" w:sz="8" w:space="0" w:color="auto"/>
            </w:tcBorders>
            <w:vAlign w:val="center"/>
          </w:tcPr>
          <w:p w14:paraId="77481F4A" w14:textId="77777777" w:rsidR="00815C4B" w:rsidRPr="001B6E4D" w:rsidRDefault="00815C4B" w:rsidP="003D1018">
            <w:pPr>
              <w:widowControl w:val="0"/>
              <w:overflowPunct w:val="0"/>
              <w:spacing w:line="360" w:lineRule="exact"/>
              <w:jc w:val="both"/>
              <w:rPr>
                <w:rFonts w:ascii="標楷體" w:eastAsia="標楷體" w:hAnsi="標楷體"/>
                <w:szCs w:val="22"/>
              </w:rPr>
            </w:pPr>
            <w:r w:rsidRPr="001B6E4D">
              <w:rPr>
                <w:rFonts w:ascii="標楷體" w:eastAsia="標楷體" w:hAnsi="標楷體"/>
                <w:szCs w:val="22"/>
              </w:rPr>
              <w:t>參訪司法博物館(原臺灣</w:t>
            </w:r>
            <w:proofErr w:type="gramStart"/>
            <w:r w:rsidRPr="001B6E4D">
              <w:rPr>
                <w:rFonts w:ascii="標楷體" w:eastAsia="標楷體" w:hAnsi="標楷體"/>
                <w:szCs w:val="22"/>
              </w:rPr>
              <w:t>臺</w:t>
            </w:r>
            <w:proofErr w:type="gramEnd"/>
            <w:r w:rsidRPr="001B6E4D">
              <w:rPr>
                <w:rFonts w:ascii="標楷體" w:eastAsia="標楷體" w:hAnsi="標楷體"/>
                <w:szCs w:val="22"/>
              </w:rPr>
              <w:t>南地方法院)</w:t>
            </w:r>
          </w:p>
        </w:tc>
        <w:tc>
          <w:tcPr>
            <w:tcW w:w="1401" w:type="dxa"/>
            <w:tcBorders>
              <w:top w:val="single" w:sz="8" w:space="0" w:color="auto"/>
              <w:left w:val="single" w:sz="4" w:space="0" w:color="auto"/>
              <w:bottom w:val="single" w:sz="8" w:space="0" w:color="auto"/>
              <w:right w:val="single" w:sz="12" w:space="0" w:color="auto"/>
            </w:tcBorders>
            <w:vAlign w:val="center"/>
          </w:tcPr>
          <w:p w14:paraId="24E54EC6" w14:textId="77777777" w:rsidR="00815C4B" w:rsidRPr="001B6E4D" w:rsidRDefault="00C72F63" w:rsidP="003D1018">
            <w:pPr>
              <w:widowControl w:val="0"/>
              <w:overflowPunct w:val="0"/>
              <w:spacing w:line="360" w:lineRule="exact"/>
              <w:jc w:val="both"/>
              <w:rPr>
                <w:rFonts w:ascii="標楷體" w:eastAsia="標楷體" w:hAnsi="標楷體"/>
                <w:szCs w:val="22"/>
              </w:rPr>
            </w:pPr>
            <w:hyperlink w:anchor="司法院司法博物館營運情形" w:history="1">
              <w:r w:rsidR="00815C4B" w:rsidRPr="001B6E4D">
                <w:rPr>
                  <w:rFonts w:ascii="標楷體" w:eastAsia="標楷體" w:hAnsi="標楷體" w:hint="eastAsia"/>
                  <w:szCs w:val="22"/>
                </w:rPr>
                <w:t>司法院</w:t>
              </w:r>
            </w:hyperlink>
          </w:p>
        </w:tc>
      </w:tr>
      <w:tr w:rsidR="00815C4B" w:rsidRPr="001B6E4D" w14:paraId="72513BB1" w14:textId="77777777" w:rsidTr="00815C4B">
        <w:trPr>
          <w:trHeight w:val="647"/>
          <w:jc w:val="center"/>
        </w:trPr>
        <w:tc>
          <w:tcPr>
            <w:tcW w:w="836" w:type="dxa"/>
            <w:tcBorders>
              <w:top w:val="single" w:sz="8" w:space="0" w:color="auto"/>
              <w:left w:val="single" w:sz="12" w:space="0" w:color="auto"/>
              <w:bottom w:val="single" w:sz="8" w:space="0" w:color="auto"/>
              <w:right w:val="single" w:sz="8" w:space="0" w:color="auto"/>
            </w:tcBorders>
            <w:vAlign w:val="center"/>
          </w:tcPr>
          <w:p w14:paraId="3A4C10A8" w14:textId="77777777" w:rsidR="00815C4B" w:rsidRPr="001B6E4D" w:rsidRDefault="00815C4B" w:rsidP="003D1018">
            <w:pPr>
              <w:widowControl w:val="0"/>
              <w:overflowPunct w:val="0"/>
              <w:spacing w:line="360" w:lineRule="exact"/>
              <w:jc w:val="center"/>
              <w:rPr>
                <w:rFonts w:ascii="標楷體" w:eastAsia="標楷體" w:hAnsi="標楷體"/>
                <w:szCs w:val="22"/>
              </w:rPr>
            </w:pPr>
            <w:r w:rsidRPr="001B6E4D">
              <w:rPr>
                <w:rFonts w:ascii="標楷體" w:eastAsia="標楷體" w:hAnsi="標楷體" w:hint="eastAsia"/>
                <w:szCs w:val="22"/>
              </w:rPr>
              <w:t>2</w:t>
            </w:r>
          </w:p>
        </w:tc>
        <w:tc>
          <w:tcPr>
            <w:tcW w:w="1559" w:type="dxa"/>
            <w:tcBorders>
              <w:top w:val="single" w:sz="8" w:space="0" w:color="auto"/>
              <w:left w:val="single" w:sz="4" w:space="0" w:color="auto"/>
              <w:bottom w:val="single" w:sz="8" w:space="0" w:color="auto"/>
              <w:right w:val="single" w:sz="8" w:space="0" w:color="auto"/>
            </w:tcBorders>
            <w:vAlign w:val="center"/>
          </w:tcPr>
          <w:p w14:paraId="1327DF6A" w14:textId="77777777" w:rsidR="00815C4B" w:rsidRPr="001B6E4D" w:rsidRDefault="00815C4B" w:rsidP="003D1018">
            <w:pPr>
              <w:widowControl w:val="0"/>
              <w:overflowPunct w:val="0"/>
              <w:spacing w:line="360" w:lineRule="exact"/>
              <w:ind w:leftChars="-29" w:left="-70" w:rightChars="-36" w:right="-86"/>
              <w:jc w:val="both"/>
              <w:rPr>
                <w:rFonts w:ascii="標楷體" w:eastAsia="標楷體" w:hAnsi="標楷體"/>
                <w:spacing w:val="-20"/>
                <w:szCs w:val="22"/>
              </w:rPr>
            </w:pPr>
            <w:r w:rsidRPr="001B6E4D">
              <w:rPr>
                <w:rFonts w:ascii="標楷體" w:eastAsia="標楷體" w:hAnsi="標楷體" w:hint="eastAsia"/>
                <w:spacing w:val="-20"/>
                <w:szCs w:val="22"/>
              </w:rPr>
              <w:t>115年3月23日（星期一）</w:t>
            </w:r>
          </w:p>
        </w:tc>
        <w:tc>
          <w:tcPr>
            <w:tcW w:w="1559" w:type="dxa"/>
            <w:tcBorders>
              <w:top w:val="single" w:sz="8" w:space="0" w:color="auto"/>
              <w:left w:val="single" w:sz="4" w:space="0" w:color="auto"/>
              <w:bottom w:val="single" w:sz="8" w:space="0" w:color="auto"/>
              <w:right w:val="single" w:sz="8" w:space="0" w:color="auto"/>
            </w:tcBorders>
            <w:vAlign w:val="center"/>
          </w:tcPr>
          <w:p w14:paraId="7BB2ABF0"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莊委員瑞雄（張委員雅琳領隊）</w:t>
            </w:r>
          </w:p>
        </w:tc>
        <w:tc>
          <w:tcPr>
            <w:tcW w:w="3686" w:type="dxa"/>
            <w:tcBorders>
              <w:top w:val="single" w:sz="8" w:space="0" w:color="auto"/>
              <w:left w:val="single" w:sz="4" w:space="0" w:color="auto"/>
              <w:bottom w:val="single" w:sz="8" w:space="0" w:color="auto"/>
              <w:right w:val="single" w:sz="8" w:space="0" w:color="auto"/>
            </w:tcBorders>
            <w:vAlign w:val="center"/>
          </w:tcPr>
          <w:p w14:paraId="107B0C81" w14:textId="77777777" w:rsidR="00815C4B" w:rsidRPr="001B6E4D" w:rsidRDefault="00815C4B" w:rsidP="003D1018">
            <w:pPr>
              <w:widowControl w:val="0"/>
              <w:overflowPunct w:val="0"/>
              <w:spacing w:line="360" w:lineRule="exact"/>
              <w:jc w:val="both"/>
              <w:rPr>
                <w:rFonts w:ascii="標楷體" w:eastAsia="標楷體" w:hAnsi="標楷體"/>
                <w:szCs w:val="22"/>
              </w:rPr>
            </w:pPr>
            <w:r w:rsidRPr="001B6E4D">
              <w:rPr>
                <w:rFonts w:ascii="標楷體" w:eastAsia="標楷體" w:hAnsi="標楷體" w:hint="eastAsia"/>
                <w:szCs w:val="22"/>
              </w:rPr>
              <w:t>考察新北市政府少年輔導委員會「少輔輔導網絡合作模式及現行成少共犯困境」策進概況</w:t>
            </w:r>
          </w:p>
        </w:tc>
        <w:tc>
          <w:tcPr>
            <w:tcW w:w="1401" w:type="dxa"/>
            <w:tcBorders>
              <w:top w:val="single" w:sz="8" w:space="0" w:color="auto"/>
              <w:left w:val="single" w:sz="4" w:space="0" w:color="auto"/>
              <w:bottom w:val="single" w:sz="8" w:space="0" w:color="auto"/>
              <w:right w:val="single" w:sz="12" w:space="0" w:color="auto"/>
            </w:tcBorders>
            <w:vAlign w:val="center"/>
          </w:tcPr>
          <w:p w14:paraId="5B9B5D25" w14:textId="77777777" w:rsidR="00815C4B" w:rsidRPr="001B6E4D" w:rsidRDefault="00C72F63" w:rsidP="003D1018">
            <w:pPr>
              <w:widowControl w:val="0"/>
              <w:overflowPunct w:val="0"/>
              <w:spacing w:line="360" w:lineRule="exact"/>
              <w:jc w:val="both"/>
              <w:rPr>
                <w:rFonts w:ascii="標楷體" w:eastAsia="標楷體" w:hAnsi="標楷體"/>
                <w:szCs w:val="22"/>
              </w:rPr>
            </w:pPr>
            <w:hyperlink w:anchor="少輔會輔導網絡合作模式及現行成少共犯困境紀錄" w:history="1">
              <w:r w:rsidR="00815C4B" w:rsidRPr="001B6E4D">
                <w:rPr>
                  <w:rFonts w:ascii="標楷體" w:eastAsia="標楷體" w:hAnsi="標楷體"/>
                  <w:szCs w:val="22"/>
                </w:rPr>
                <w:t>新北市政府</w:t>
              </w:r>
            </w:hyperlink>
          </w:p>
        </w:tc>
      </w:tr>
      <w:tr w:rsidR="00815C4B" w:rsidRPr="001B6E4D" w14:paraId="383D5D74" w14:textId="77777777" w:rsidTr="00815C4B">
        <w:trPr>
          <w:trHeight w:val="647"/>
          <w:jc w:val="center"/>
        </w:trPr>
        <w:tc>
          <w:tcPr>
            <w:tcW w:w="836" w:type="dxa"/>
            <w:tcBorders>
              <w:top w:val="single" w:sz="8" w:space="0" w:color="auto"/>
              <w:left w:val="single" w:sz="12" w:space="0" w:color="auto"/>
              <w:bottom w:val="single" w:sz="8" w:space="0" w:color="auto"/>
              <w:right w:val="single" w:sz="8" w:space="0" w:color="auto"/>
            </w:tcBorders>
            <w:vAlign w:val="center"/>
          </w:tcPr>
          <w:p w14:paraId="316BDAAE" w14:textId="77777777" w:rsidR="00815C4B" w:rsidRPr="001B6E4D" w:rsidRDefault="00815C4B" w:rsidP="003D1018">
            <w:pPr>
              <w:widowControl w:val="0"/>
              <w:overflowPunct w:val="0"/>
              <w:spacing w:line="360" w:lineRule="exact"/>
              <w:jc w:val="center"/>
              <w:rPr>
                <w:rFonts w:ascii="標楷體" w:eastAsia="標楷體" w:hAnsi="標楷體"/>
                <w:szCs w:val="22"/>
              </w:rPr>
            </w:pPr>
            <w:r w:rsidRPr="001B6E4D">
              <w:rPr>
                <w:rFonts w:ascii="標楷體" w:eastAsia="標楷體" w:hAnsi="標楷體" w:hint="eastAsia"/>
                <w:szCs w:val="22"/>
              </w:rPr>
              <w:t>3</w:t>
            </w:r>
          </w:p>
        </w:tc>
        <w:tc>
          <w:tcPr>
            <w:tcW w:w="1559" w:type="dxa"/>
            <w:tcBorders>
              <w:top w:val="single" w:sz="8" w:space="0" w:color="auto"/>
              <w:left w:val="single" w:sz="4" w:space="0" w:color="auto"/>
              <w:bottom w:val="single" w:sz="8" w:space="0" w:color="auto"/>
              <w:right w:val="single" w:sz="8" w:space="0" w:color="auto"/>
            </w:tcBorders>
            <w:vAlign w:val="center"/>
          </w:tcPr>
          <w:p w14:paraId="11B115E9" w14:textId="77777777" w:rsidR="00815C4B" w:rsidRPr="001B6E4D" w:rsidRDefault="00815C4B" w:rsidP="003D1018">
            <w:pPr>
              <w:widowControl w:val="0"/>
              <w:overflowPunct w:val="0"/>
              <w:spacing w:line="360" w:lineRule="exact"/>
              <w:ind w:leftChars="-29" w:left="-70" w:rightChars="-36" w:right="-86"/>
              <w:jc w:val="both"/>
              <w:rPr>
                <w:rFonts w:ascii="標楷體" w:eastAsia="標楷體" w:hAnsi="標楷體"/>
                <w:spacing w:val="-20"/>
                <w:szCs w:val="22"/>
              </w:rPr>
            </w:pPr>
            <w:r w:rsidRPr="001B6E4D">
              <w:rPr>
                <w:rFonts w:ascii="標楷體" w:eastAsia="標楷體" w:hAnsi="標楷體" w:hint="eastAsia"/>
                <w:spacing w:val="-20"/>
                <w:szCs w:val="22"/>
              </w:rPr>
              <w:t>115年4月20日（星期一）</w:t>
            </w:r>
          </w:p>
        </w:tc>
        <w:tc>
          <w:tcPr>
            <w:tcW w:w="1559" w:type="dxa"/>
            <w:tcBorders>
              <w:top w:val="single" w:sz="8" w:space="0" w:color="auto"/>
              <w:left w:val="single" w:sz="4" w:space="0" w:color="auto"/>
              <w:bottom w:val="single" w:sz="8" w:space="0" w:color="auto"/>
              <w:right w:val="single" w:sz="8" w:space="0" w:color="auto"/>
            </w:tcBorders>
            <w:vAlign w:val="center"/>
          </w:tcPr>
          <w:p w14:paraId="51A2572C"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莊委員瑞雄</w:t>
            </w:r>
          </w:p>
          <w:p w14:paraId="5BF7106B"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(張委員雅琳領隊)</w:t>
            </w:r>
          </w:p>
        </w:tc>
        <w:tc>
          <w:tcPr>
            <w:tcW w:w="3686" w:type="dxa"/>
            <w:tcBorders>
              <w:top w:val="single" w:sz="8" w:space="0" w:color="auto"/>
              <w:left w:val="single" w:sz="4" w:space="0" w:color="auto"/>
              <w:bottom w:val="single" w:sz="8" w:space="0" w:color="auto"/>
              <w:right w:val="single" w:sz="8" w:space="0" w:color="auto"/>
            </w:tcBorders>
            <w:vAlign w:val="center"/>
          </w:tcPr>
          <w:p w14:paraId="303DC61E" w14:textId="77777777" w:rsidR="00815C4B" w:rsidRPr="001B6E4D" w:rsidRDefault="00815C4B" w:rsidP="003D1018">
            <w:pPr>
              <w:widowControl w:val="0"/>
              <w:overflowPunct w:val="0"/>
              <w:spacing w:line="360" w:lineRule="exact"/>
              <w:jc w:val="both"/>
              <w:rPr>
                <w:rFonts w:ascii="標楷體" w:eastAsia="標楷體" w:hAnsi="標楷體"/>
                <w:szCs w:val="22"/>
              </w:rPr>
            </w:pPr>
            <w:r w:rsidRPr="001B6E4D">
              <w:rPr>
                <w:rFonts w:ascii="標楷體" w:eastAsia="標楷體" w:hAnsi="標楷體" w:hint="eastAsia"/>
                <w:szCs w:val="22"/>
              </w:rPr>
              <w:t>考察「法務部矯正署桃園</w:t>
            </w:r>
            <w:proofErr w:type="gramStart"/>
            <w:r w:rsidRPr="001B6E4D">
              <w:rPr>
                <w:rFonts w:ascii="標楷體" w:eastAsia="標楷體" w:hAnsi="標楷體" w:hint="eastAsia"/>
                <w:szCs w:val="22"/>
              </w:rPr>
              <w:t>敦</w:t>
            </w:r>
            <w:proofErr w:type="gramEnd"/>
            <w:r w:rsidRPr="001B6E4D">
              <w:rPr>
                <w:rFonts w:ascii="標楷體" w:eastAsia="標楷體" w:hAnsi="標楷體" w:hint="eastAsia"/>
                <w:szCs w:val="22"/>
              </w:rPr>
              <w:t>品中學」感化教育成效暨社會</w:t>
            </w:r>
            <w:proofErr w:type="gramStart"/>
            <w:r w:rsidRPr="001B6E4D">
              <w:rPr>
                <w:rFonts w:ascii="標楷體" w:eastAsia="標楷體" w:hAnsi="標楷體" w:hint="eastAsia"/>
                <w:szCs w:val="22"/>
              </w:rPr>
              <w:t>復歸轉銜</w:t>
            </w:r>
            <w:proofErr w:type="gramEnd"/>
            <w:r w:rsidRPr="001B6E4D">
              <w:rPr>
                <w:rFonts w:ascii="標楷體" w:eastAsia="標楷體" w:hAnsi="標楷體" w:hint="eastAsia"/>
                <w:szCs w:val="22"/>
              </w:rPr>
              <w:t>機制</w:t>
            </w:r>
          </w:p>
        </w:tc>
        <w:tc>
          <w:tcPr>
            <w:tcW w:w="1401" w:type="dxa"/>
            <w:tcBorders>
              <w:top w:val="single" w:sz="8" w:space="0" w:color="auto"/>
              <w:left w:val="single" w:sz="4" w:space="0" w:color="auto"/>
              <w:bottom w:val="single" w:sz="8" w:space="0" w:color="auto"/>
              <w:right w:val="single" w:sz="12" w:space="0" w:color="auto"/>
            </w:tcBorders>
            <w:vAlign w:val="center"/>
          </w:tcPr>
          <w:p w14:paraId="4CE6404B" w14:textId="77777777" w:rsidR="00815C4B" w:rsidRPr="001B6E4D" w:rsidRDefault="00C72F63" w:rsidP="003D1018">
            <w:pPr>
              <w:widowControl w:val="0"/>
              <w:overflowPunct w:val="0"/>
              <w:spacing w:line="360" w:lineRule="exact"/>
              <w:jc w:val="both"/>
              <w:rPr>
                <w:rFonts w:ascii="標楷體" w:eastAsia="標楷體" w:hAnsi="標楷體"/>
                <w:szCs w:val="22"/>
              </w:rPr>
            </w:pPr>
            <w:hyperlink w:anchor="考察「感化教育成效暨社會復歸轉銜機制」書面紀錄" w:history="1">
              <w:r w:rsidR="00815C4B" w:rsidRPr="001B6E4D">
                <w:rPr>
                  <w:rFonts w:ascii="標楷體" w:eastAsia="標楷體" w:hAnsi="標楷體"/>
                  <w:szCs w:val="22"/>
                </w:rPr>
                <w:t>法務部</w:t>
              </w:r>
            </w:hyperlink>
          </w:p>
        </w:tc>
      </w:tr>
      <w:tr w:rsidR="00815C4B" w:rsidRPr="001B6E4D" w14:paraId="620C86AC" w14:textId="77777777" w:rsidTr="00815C4B">
        <w:trPr>
          <w:trHeight w:val="647"/>
          <w:jc w:val="center"/>
        </w:trPr>
        <w:tc>
          <w:tcPr>
            <w:tcW w:w="836" w:type="dxa"/>
            <w:tcBorders>
              <w:top w:val="single" w:sz="8" w:space="0" w:color="auto"/>
              <w:left w:val="single" w:sz="12" w:space="0" w:color="auto"/>
              <w:bottom w:val="single" w:sz="8" w:space="0" w:color="auto"/>
              <w:right w:val="single" w:sz="8" w:space="0" w:color="auto"/>
            </w:tcBorders>
            <w:vAlign w:val="center"/>
          </w:tcPr>
          <w:p w14:paraId="25370DAC" w14:textId="77777777" w:rsidR="00815C4B" w:rsidRPr="001B6E4D" w:rsidRDefault="00815C4B" w:rsidP="003D1018">
            <w:pPr>
              <w:widowControl w:val="0"/>
              <w:overflowPunct w:val="0"/>
              <w:spacing w:line="360" w:lineRule="exact"/>
              <w:jc w:val="center"/>
              <w:rPr>
                <w:rFonts w:ascii="標楷體" w:eastAsia="標楷體" w:hAnsi="標楷體"/>
                <w:szCs w:val="22"/>
              </w:rPr>
            </w:pPr>
            <w:r w:rsidRPr="001B6E4D">
              <w:rPr>
                <w:rFonts w:ascii="標楷體" w:eastAsia="標楷體" w:hAnsi="標楷體" w:hint="eastAsia"/>
                <w:szCs w:val="22"/>
              </w:rPr>
              <w:t>4</w:t>
            </w:r>
          </w:p>
        </w:tc>
        <w:tc>
          <w:tcPr>
            <w:tcW w:w="1559" w:type="dxa"/>
            <w:tcBorders>
              <w:top w:val="single" w:sz="8" w:space="0" w:color="auto"/>
              <w:left w:val="single" w:sz="4" w:space="0" w:color="auto"/>
              <w:bottom w:val="single" w:sz="8" w:space="0" w:color="auto"/>
              <w:right w:val="single" w:sz="8" w:space="0" w:color="auto"/>
            </w:tcBorders>
            <w:vAlign w:val="center"/>
          </w:tcPr>
          <w:p w14:paraId="4C1453DA" w14:textId="77777777" w:rsidR="00815C4B" w:rsidRPr="001B6E4D" w:rsidRDefault="00815C4B" w:rsidP="003D1018">
            <w:pPr>
              <w:widowControl w:val="0"/>
              <w:overflowPunct w:val="0"/>
              <w:spacing w:line="360" w:lineRule="exact"/>
              <w:ind w:leftChars="-29" w:left="-70" w:rightChars="-36" w:right="-86"/>
              <w:jc w:val="both"/>
              <w:rPr>
                <w:rFonts w:ascii="標楷體" w:eastAsia="標楷體" w:hAnsi="標楷體"/>
                <w:spacing w:val="-20"/>
                <w:szCs w:val="22"/>
              </w:rPr>
            </w:pPr>
            <w:r w:rsidRPr="001B6E4D">
              <w:rPr>
                <w:rFonts w:ascii="標楷體" w:eastAsia="標楷體" w:hAnsi="標楷體" w:hint="eastAsia"/>
                <w:spacing w:val="-20"/>
                <w:szCs w:val="22"/>
              </w:rPr>
              <w:t>115年</w:t>
            </w:r>
            <w:r w:rsidRPr="001B6E4D">
              <w:rPr>
                <w:rFonts w:ascii="標楷體" w:eastAsia="標楷體" w:hAnsi="標楷體"/>
                <w:spacing w:val="-20"/>
                <w:szCs w:val="22"/>
              </w:rPr>
              <w:t>6</w:t>
            </w:r>
            <w:r w:rsidRPr="001B6E4D">
              <w:rPr>
                <w:rFonts w:ascii="標楷體" w:eastAsia="標楷體" w:hAnsi="標楷體" w:hint="eastAsia"/>
                <w:spacing w:val="-20"/>
                <w:szCs w:val="22"/>
              </w:rPr>
              <w:t>月</w:t>
            </w:r>
            <w:r w:rsidRPr="001B6E4D">
              <w:rPr>
                <w:rFonts w:ascii="標楷體" w:eastAsia="標楷體" w:hAnsi="標楷體"/>
                <w:spacing w:val="-20"/>
                <w:szCs w:val="22"/>
              </w:rPr>
              <w:t>1</w:t>
            </w:r>
            <w:r w:rsidRPr="001B6E4D">
              <w:rPr>
                <w:rFonts w:ascii="標楷體" w:eastAsia="標楷體" w:hAnsi="標楷體" w:hint="eastAsia"/>
                <w:spacing w:val="-20"/>
                <w:szCs w:val="22"/>
              </w:rPr>
              <w:t>日（星期一）</w:t>
            </w:r>
          </w:p>
        </w:tc>
        <w:tc>
          <w:tcPr>
            <w:tcW w:w="1559" w:type="dxa"/>
            <w:tcBorders>
              <w:top w:val="single" w:sz="8" w:space="0" w:color="auto"/>
              <w:left w:val="single" w:sz="4" w:space="0" w:color="auto"/>
              <w:bottom w:val="single" w:sz="8" w:space="0" w:color="auto"/>
              <w:right w:val="single" w:sz="8" w:space="0" w:color="auto"/>
            </w:tcBorders>
            <w:vAlign w:val="center"/>
          </w:tcPr>
          <w:p w14:paraId="42E1C044"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莊委員瑞雄</w:t>
            </w:r>
          </w:p>
          <w:p w14:paraId="6999C405"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(張委員雅琳領隊)</w:t>
            </w:r>
          </w:p>
        </w:tc>
        <w:tc>
          <w:tcPr>
            <w:tcW w:w="3686" w:type="dxa"/>
            <w:tcBorders>
              <w:top w:val="single" w:sz="8" w:space="0" w:color="auto"/>
              <w:left w:val="single" w:sz="4" w:space="0" w:color="auto"/>
              <w:bottom w:val="single" w:sz="8" w:space="0" w:color="auto"/>
              <w:right w:val="single" w:sz="8" w:space="0" w:color="auto"/>
            </w:tcBorders>
            <w:vAlign w:val="center"/>
          </w:tcPr>
          <w:p w14:paraId="4B01F36B" w14:textId="77777777" w:rsidR="00815C4B" w:rsidRPr="001B6E4D" w:rsidRDefault="00815C4B" w:rsidP="003D1018">
            <w:pPr>
              <w:widowControl w:val="0"/>
              <w:overflowPunct w:val="0"/>
              <w:spacing w:line="360" w:lineRule="exact"/>
              <w:jc w:val="both"/>
              <w:rPr>
                <w:rFonts w:ascii="標楷體" w:eastAsia="標楷體" w:hAnsi="標楷體"/>
                <w:szCs w:val="22"/>
              </w:rPr>
            </w:pPr>
            <w:r w:rsidRPr="001B6E4D">
              <w:rPr>
                <w:rFonts w:ascii="標楷體" w:eastAsia="標楷體" w:hAnsi="標楷體"/>
                <w:szCs w:val="22"/>
              </w:rPr>
              <w:t>參訪臺灣</w:t>
            </w:r>
            <w:proofErr w:type="gramStart"/>
            <w:r w:rsidRPr="001B6E4D">
              <w:rPr>
                <w:rFonts w:ascii="標楷體" w:eastAsia="標楷體" w:hAnsi="標楷體"/>
                <w:szCs w:val="22"/>
              </w:rPr>
              <w:t>臺</w:t>
            </w:r>
            <w:proofErr w:type="gramEnd"/>
            <w:r w:rsidRPr="001B6E4D">
              <w:rPr>
                <w:rFonts w:ascii="標楷體" w:eastAsia="標楷體" w:hAnsi="標楷體"/>
                <w:szCs w:val="22"/>
              </w:rPr>
              <w:t>北地方法院法庭建置中文語音辨識系統之應用</w:t>
            </w:r>
          </w:p>
        </w:tc>
        <w:tc>
          <w:tcPr>
            <w:tcW w:w="1401" w:type="dxa"/>
            <w:tcBorders>
              <w:top w:val="single" w:sz="8" w:space="0" w:color="auto"/>
              <w:left w:val="single" w:sz="4" w:space="0" w:color="auto"/>
              <w:bottom w:val="single" w:sz="8" w:space="0" w:color="auto"/>
              <w:right w:val="single" w:sz="12" w:space="0" w:color="auto"/>
            </w:tcBorders>
            <w:vAlign w:val="center"/>
          </w:tcPr>
          <w:p w14:paraId="24E43686" w14:textId="77777777" w:rsidR="00815C4B" w:rsidRPr="001B6E4D" w:rsidRDefault="00C72F63" w:rsidP="003D1018">
            <w:pPr>
              <w:widowControl w:val="0"/>
              <w:overflowPunct w:val="0"/>
              <w:spacing w:line="360" w:lineRule="exact"/>
              <w:jc w:val="both"/>
              <w:rPr>
                <w:rFonts w:ascii="標楷體" w:eastAsia="標楷體" w:hAnsi="標楷體"/>
                <w:szCs w:val="22"/>
              </w:rPr>
            </w:pPr>
            <w:hyperlink w:anchor="參訪臺灣臺北地方法院法庭建置中文語音辨識系統應用實況紀錄" w:history="1">
              <w:r w:rsidR="00815C4B" w:rsidRPr="001B6E4D">
                <w:rPr>
                  <w:rFonts w:ascii="標楷體" w:eastAsia="標楷體" w:hAnsi="標楷體"/>
                  <w:szCs w:val="22"/>
                </w:rPr>
                <w:t>臺灣</w:t>
              </w:r>
              <w:proofErr w:type="gramStart"/>
              <w:r w:rsidR="00815C4B" w:rsidRPr="001B6E4D">
                <w:rPr>
                  <w:rFonts w:ascii="標楷體" w:eastAsia="標楷體" w:hAnsi="標楷體"/>
                  <w:szCs w:val="22"/>
                </w:rPr>
                <w:t>臺</w:t>
              </w:r>
              <w:proofErr w:type="gramEnd"/>
              <w:r w:rsidR="00815C4B" w:rsidRPr="001B6E4D">
                <w:rPr>
                  <w:rFonts w:ascii="標楷體" w:eastAsia="標楷體" w:hAnsi="標楷體"/>
                  <w:szCs w:val="22"/>
                </w:rPr>
                <w:t>北地方法院</w:t>
              </w:r>
            </w:hyperlink>
          </w:p>
        </w:tc>
      </w:tr>
      <w:tr w:rsidR="00815C4B" w:rsidRPr="001B6E4D" w14:paraId="7BAC6F75" w14:textId="77777777" w:rsidTr="00815C4B">
        <w:trPr>
          <w:trHeight w:val="647"/>
          <w:jc w:val="center"/>
        </w:trPr>
        <w:tc>
          <w:tcPr>
            <w:tcW w:w="836" w:type="dxa"/>
            <w:tcBorders>
              <w:top w:val="single" w:sz="8" w:space="0" w:color="auto"/>
              <w:left w:val="single" w:sz="12" w:space="0" w:color="auto"/>
              <w:bottom w:val="single" w:sz="8" w:space="0" w:color="auto"/>
              <w:right w:val="single" w:sz="8" w:space="0" w:color="auto"/>
            </w:tcBorders>
            <w:vAlign w:val="center"/>
          </w:tcPr>
          <w:p w14:paraId="15976614" w14:textId="77777777" w:rsidR="00815C4B" w:rsidRPr="001B6E4D" w:rsidRDefault="00815C4B" w:rsidP="003D1018">
            <w:pPr>
              <w:widowControl w:val="0"/>
              <w:overflowPunct w:val="0"/>
              <w:spacing w:line="360" w:lineRule="exact"/>
              <w:jc w:val="center"/>
              <w:rPr>
                <w:rFonts w:ascii="標楷體" w:eastAsia="標楷體" w:hAnsi="標楷體"/>
                <w:szCs w:val="22"/>
              </w:rPr>
            </w:pPr>
            <w:r w:rsidRPr="001B6E4D">
              <w:rPr>
                <w:rFonts w:ascii="標楷體" w:eastAsia="標楷體" w:hAnsi="標楷體" w:hint="eastAsia"/>
                <w:szCs w:val="22"/>
              </w:rPr>
              <w:t>5</w:t>
            </w:r>
          </w:p>
        </w:tc>
        <w:tc>
          <w:tcPr>
            <w:tcW w:w="1559" w:type="dxa"/>
            <w:tcBorders>
              <w:top w:val="single" w:sz="8" w:space="0" w:color="auto"/>
              <w:left w:val="single" w:sz="4" w:space="0" w:color="auto"/>
              <w:bottom w:val="single" w:sz="8" w:space="0" w:color="auto"/>
              <w:right w:val="single" w:sz="8" w:space="0" w:color="auto"/>
            </w:tcBorders>
            <w:vAlign w:val="center"/>
          </w:tcPr>
          <w:p w14:paraId="6C33CED3" w14:textId="77777777" w:rsidR="00815C4B" w:rsidRPr="001B6E4D" w:rsidRDefault="00815C4B" w:rsidP="003D1018">
            <w:pPr>
              <w:widowControl w:val="0"/>
              <w:overflowPunct w:val="0"/>
              <w:spacing w:line="360" w:lineRule="exact"/>
              <w:ind w:leftChars="-29" w:left="-70" w:rightChars="-36" w:right="-86"/>
              <w:jc w:val="both"/>
              <w:rPr>
                <w:rFonts w:ascii="標楷體" w:eastAsia="標楷體" w:hAnsi="標楷體"/>
                <w:spacing w:val="-20"/>
                <w:szCs w:val="22"/>
              </w:rPr>
            </w:pPr>
            <w:r w:rsidRPr="001B6E4D">
              <w:rPr>
                <w:rFonts w:ascii="標楷體" w:eastAsia="標楷體" w:hAnsi="標楷體" w:hint="eastAsia"/>
                <w:spacing w:val="-20"/>
                <w:szCs w:val="22"/>
              </w:rPr>
              <w:t>115年6月1</w:t>
            </w:r>
            <w:r w:rsidRPr="001B6E4D">
              <w:rPr>
                <w:rFonts w:ascii="標楷體" w:eastAsia="標楷體" w:hAnsi="標楷體"/>
                <w:spacing w:val="-20"/>
                <w:szCs w:val="22"/>
              </w:rPr>
              <w:t>5</w:t>
            </w:r>
            <w:r w:rsidRPr="001B6E4D">
              <w:rPr>
                <w:rFonts w:ascii="標楷體" w:eastAsia="標楷體" w:hAnsi="標楷體" w:hint="eastAsia"/>
                <w:spacing w:val="-20"/>
                <w:szCs w:val="22"/>
              </w:rPr>
              <w:t>日（星期一）</w:t>
            </w:r>
          </w:p>
        </w:tc>
        <w:tc>
          <w:tcPr>
            <w:tcW w:w="1559" w:type="dxa"/>
            <w:tcBorders>
              <w:top w:val="single" w:sz="8" w:space="0" w:color="auto"/>
              <w:left w:val="single" w:sz="4" w:space="0" w:color="auto"/>
              <w:bottom w:val="single" w:sz="8" w:space="0" w:color="auto"/>
              <w:right w:val="single" w:sz="8" w:space="0" w:color="auto"/>
            </w:tcBorders>
            <w:vAlign w:val="center"/>
          </w:tcPr>
          <w:p w14:paraId="1A927262"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莊委員瑞雄</w:t>
            </w:r>
          </w:p>
          <w:p w14:paraId="7F3AEBA5"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(張委員雅琳領隊)</w:t>
            </w:r>
          </w:p>
        </w:tc>
        <w:tc>
          <w:tcPr>
            <w:tcW w:w="3686" w:type="dxa"/>
            <w:tcBorders>
              <w:top w:val="single" w:sz="8" w:space="0" w:color="auto"/>
              <w:left w:val="single" w:sz="4" w:space="0" w:color="auto"/>
              <w:bottom w:val="single" w:sz="8" w:space="0" w:color="auto"/>
              <w:right w:val="single" w:sz="8" w:space="0" w:color="auto"/>
            </w:tcBorders>
            <w:vAlign w:val="center"/>
          </w:tcPr>
          <w:p w14:paraId="126F152D" w14:textId="77777777" w:rsidR="00815C4B" w:rsidRPr="001B6E4D" w:rsidRDefault="00815C4B" w:rsidP="003D1018">
            <w:pPr>
              <w:widowControl w:val="0"/>
              <w:overflowPunct w:val="0"/>
              <w:spacing w:line="360" w:lineRule="exact"/>
              <w:jc w:val="both"/>
              <w:rPr>
                <w:rFonts w:ascii="標楷體" w:eastAsia="標楷體" w:hAnsi="標楷體"/>
                <w:szCs w:val="22"/>
              </w:rPr>
            </w:pPr>
            <w:r w:rsidRPr="001B6E4D">
              <w:rPr>
                <w:rFonts w:ascii="標楷體" w:eastAsia="標楷體" w:hAnsi="標楷體" w:hint="eastAsia"/>
                <w:szCs w:val="22"/>
              </w:rPr>
              <w:t>考察法務部矯正署</w:t>
            </w:r>
            <w:proofErr w:type="gramStart"/>
            <w:r w:rsidRPr="001B6E4D">
              <w:rPr>
                <w:rFonts w:ascii="標楷體" w:eastAsia="標楷體" w:hAnsi="標楷體" w:hint="eastAsia"/>
                <w:szCs w:val="22"/>
              </w:rPr>
              <w:t>臺</w:t>
            </w:r>
            <w:proofErr w:type="gramEnd"/>
            <w:r w:rsidRPr="001B6E4D">
              <w:rPr>
                <w:rFonts w:ascii="標楷體" w:eastAsia="標楷體" w:hAnsi="標楷體" w:hint="eastAsia"/>
                <w:szCs w:val="22"/>
              </w:rPr>
              <w:t>北少年觀護所少年出所轉銜機制與毒品防治業務概況</w:t>
            </w:r>
          </w:p>
        </w:tc>
        <w:tc>
          <w:tcPr>
            <w:tcW w:w="1401" w:type="dxa"/>
            <w:tcBorders>
              <w:top w:val="single" w:sz="8" w:space="0" w:color="auto"/>
              <w:left w:val="single" w:sz="4" w:space="0" w:color="auto"/>
              <w:bottom w:val="single" w:sz="8" w:space="0" w:color="auto"/>
              <w:right w:val="single" w:sz="12" w:space="0" w:color="auto"/>
            </w:tcBorders>
            <w:vAlign w:val="center"/>
          </w:tcPr>
          <w:p w14:paraId="4A8C191E" w14:textId="77777777" w:rsidR="00815C4B" w:rsidRPr="001B6E4D" w:rsidRDefault="00C72F63" w:rsidP="003D1018">
            <w:pPr>
              <w:widowControl w:val="0"/>
              <w:overflowPunct w:val="0"/>
              <w:spacing w:line="360" w:lineRule="exact"/>
              <w:jc w:val="both"/>
              <w:rPr>
                <w:rFonts w:ascii="標楷體" w:eastAsia="標楷體" w:hAnsi="標楷體"/>
                <w:szCs w:val="22"/>
              </w:rPr>
            </w:pPr>
            <w:hyperlink w:anchor="法務部矯正署臺北少年觀護所少年出所轉銜機制與毒品防治業務改況書面記錄" w:history="1">
              <w:r w:rsidR="00815C4B" w:rsidRPr="001B6E4D">
                <w:rPr>
                  <w:rFonts w:ascii="標楷體" w:eastAsia="標楷體" w:hAnsi="標楷體" w:hint="eastAsia"/>
                  <w:szCs w:val="22"/>
                </w:rPr>
                <w:t>法務部</w:t>
              </w:r>
            </w:hyperlink>
          </w:p>
        </w:tc>
      </w:tr>
      <w:tr w:rsidR="00815C4B" w:rsidRPr="001B6E4D" w14:paraId="0D826AA1" w14:textId="77777777" w:rsidTr="00815C4B">
        <w:trPr>
          <w:trHeight w:val="647"/>
          <w:jc w:val="center"/>
        </w:trPr>
        <w:tc>
          <w:tcPr>
            <w:tcW w:w="836" w:type="dxa"/>
            <w:tcBorders>
              <w:top w:val="single" w:sz="8" w:space="0" w:color="auto"/>
              <w:left w:val="single" w:sz="12" w:space="0" w:color="auto"/>
              <w:bottom w:val="single" w:sz="8" w:space="0" w:color="auto"/>
              <w:right w:val="single" w:sz="8" w:space="0" w:color="auto"/>
            </w:tcBorders>
            <w:vAlign w:val="center"/>
          </w:tcPr>
          <w:p w14:paraId="213CDA5C" w14:textId="77777777" w:rsidR="00815C4B" w:rsidRPr="001B6E4D" w:rsidRDefault="00815C4B" w:rsidP="003D1018">
            <w:pPr>
              <w:widowControl w:val="0"/>
              <w:overflowPunct w:val="0"/>
              <w:spacing w:line="360" w:lineRule="exact"/>
              <w:jc w:val="center"/>
              <w:rPr>
                <w:rFonts w:ascii="標楷體" w:eastAsia="標楷體" w:hAnsi="標楷體"/>
                <w:szCs w:val="22"/>
              </w:rPr>
            </w:pPr>
            <w:r w:rsidRPr="001B6E4D">
              <w:rPr>
                <w:rFonts w:ascii="標楷體" w:eastAsia="標楷體" w:hAnsi="標楷體" w:hint="eastAsia"/>
                <w:szCs w:val="22"/>
              </w:rPr>
              <w:t>6</w:t>
            </w:r>
          </w:p>
        </w:tc>
        <w:tc>
          <w:tcPr>
            <w:tcW w:w="1559" w:type="dxa"/>
            <w:tcBorders>
              <w:top w:val="single" w:sz="8" w:space="0" w:color="auto"/>
              <w:left w:val="single" w:sz="4" w:space="0" w:color="auto"/>
              <w:bottom w:val="single" w:sz="8" w:space="0" w:color="auto"/>
              <w:right w:val="single" w:sz="8" w:space="0" w:color="auto"/>
            </w:tcBorders>
            <w:vAlign w:val="center"/>
          </w:tcPr>
          <w:p w14:paraId="3691C2D4" w14:textId="77777777" w:rsidR="00815C4B" w:rsidRPr="001B6E4D" w:rsidRDefault="00815C4B" w:rsidP="003D1018">
            <w:pPr>
              <w:widowControl w:val="0"/>
              <w:overflowPunct w:val="0"/>
              <w:spacing w:line="360" w:lineRule="exact"/>
              <w:ind w:leftChars="-29" w:left="-70" w:rightChars="-36" w:right="-86"/>
              <w:jc w:val="both"/>
              <w:rPr>
                <w:rFonts w:ascii="標楷體" w:eastAsia="標楷體" w:hAnsi="標楷體"/>
                <w:szCs w:val="22"/>
              </w:rPr>
            </w:pPr>
            <w:r w:rsidRPr="001B6E4D">
              <w:rPr>
                <w:rFonts w:ascii="標楷體" w:eastAsia="標楷體" w:hAnsi="標楷體" w:hint="eastAsia"/>
                <w:spacing w:val="-20"/>
                <w:szCs w:val="22"/>
              </w:rPr>
              <w:t>115年6月22日(星期一)</w:t>
            </w:r>
          </w:p>
        </w:tc>
        <w:tc>
          <w:tcPr>
            <w:tcW w:w="1559" w:type="dxa"/>
            <w:tcBorders>
              <w:top w:val="single" w:sz="8" w:space="0" w:color="auto"/>
              <w:left w:val="single" w:sz="4" w:space="0" w:color="auto"/>
              <w:bottom w:val="single" w:sz="8" w:space="0" w:color="auto"/>
              <w:right w:val="single" w:sz="8" w:space="0" w:color="auto"/>
            </w:tcBorders>
            <w:vAlign w:val="center"/>
          </w:tcPr>
          <w:p w14:paraId="10EC1CD4"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翁委員曉玲</w:t>
            </w:r>
          </w:p>
        </w:tc>
        <w:tc>
          <w:tcPr>
            <w:tcW w:w="3686" w:type="dxa"/>
            <w:tcBorders>
              <w:top w:val="single" w:sz="8" w:space="0" w:color="auto"/>
              <w:left w:val="single" w:sz="4" w:space="0" w:color="auto"/>
              <w:bottom w:val="single" w:sz="8" w:space="0" w:color="auto"/>
              <w:right w:val="single" w:sz="8" w:space="0" w:color="auto"/>
            </w:tcBorders>
            <w:vAlign w:val="center"/>
          </w:tcPr>
          <w:p w14:paraId="4D1AB460" w14:textId="77777777" w:rsidR="00815C4B" w:rsidRPr="001B6E4D" w:rsidRDefault="00815C4B" w:rsidP="003D1018">
            <w:pPr>
              <w:widowControl w:val="0"/>
              <w:overflowPunct w:val="0"/>
              <w:spacing w:line="360" w:lineRule="exact"/>
              <w:jc w:val="both"/>
              <w:rPr>
                <w:rFonts w:ascii="標楷體" w:eastAsia="標楷體" w:hAnsi="標楷體"/>
                <w:szCs w:val="22"/>
              </w:rPr>
            </w:pPr>
            <w:r w:rsidRPr="001B6E4D">
              <w:rPr>
                <w:rFonts w:ascii="標楷體" w:eastAsia="標楷體" w:hAnsi="標楷體" w:hint="eastAsia"/>
                <w:szCs w:val="22"/>
              </w:rPr>
              <w:t>考察法務部調查局中和調查園區新建</w:t>
            </w:r>
            <w:proofErr w:type="gramStart"/>
            <w:r w:rsidRPr="001B6E4D">
              <w:rPr>
                <w:rFonts w:ascii="標楷體" w:eastAsia="標楷體" w:hAnsi="標楷體" w:hint="eastAsia"/>
                <w:szCs w:val="22"/>
              </w:rPr>
              <w:t>鑑</w:t>
            </w:r>
            <w:proofErr w:type="gramEnd"/>
            <w:r w:rsidRPr="001B6E4D">
              <w:rPr>
                <w:rFonts w:ascii="標楷體" w:eastAsia="標楷體" w:hAnsi="標楷體" w:hint="eastAsia"/>
                <w:szCs w:val="22"/>
              </w:rPr>
              <w:t>識科學大樓成效與展望</w:t>
            </w:r>
          </w:p>
        </w:tc>
        <w:tc>
          <w:tcPr>
            <w:tcW w:w="1401" w:type="dxa"/>
            <w:tcBorders>
              <w:top w:val="single" w:sz="8" w:space="0" w:color="auto"/>
              <w:left w:val="single" w:sz="4" w:space="0" w:color="auto"/>
              <w:bottom w:val="single" w:sz="8" w:space="0" w:color="auto"/>
              <w:right w:val="single" w:sz="12" w:space="0" w:color="auto"/>
            </w:tcBorders>
            <w:vAlign w:val="center"/>
          </w:tcPr>
          <w:p w14:paraId="1486AC08" w14:textId="77777777" w:rsidR="00815C4B" w:rsidRPr="001B6E4D" w:rsidRDefault="00C72F63" w:rsidP="003D1018">
            <w:pPr>
              <w:widowControl w:val="0"/>
              <w:overflowPunct w:val="0"/>
              <w:spacing w:line="360" w:lineRule="exact"/>
              <w:jc w:val="both"/>
              <w:rPr>
                <w:rFonts w:ascii="標楷體" w:eastAsia="標楷體" w:hAnsi="標楷體"/>
                <w:szCs w:val="22"/>
              </w:rPr>
            </w:pPr>
            <w:hyperlink w:anchor="中和調查園區新建鑑識科學大樓成效與展望" w:history="1">
              <w:r w:rsidR="00815C4B" w:rsidRPr="001B6E4D">
                <w:rPr>
                  <w:rFonts w:ascii="標楷體" w:eastAsia="標楷體" w:hAnsi="標楷體"/>
                  <w:szCs w:val="22"/>
                </w:rPr>
                <w:t>法務部</w:t>
              </w:r>
            </w:hyperlink>
          </w:p>
        </w:tc>
      </w:tr>
      <w:tr w:rsidR="00815C4B" w:rsidRPr="001B6E4D" w14:paraId="0552D4CF" w14:textId="77777777" w:rsidTr="00815C4B">
        <w:trPr>
          <w:trHeight w:val="647"/>
          <w:jc w:val="center"/>
        </w:trPr>
        <w:tc>
          <w:tcPr>
            <w:tcW w:w="836" w:type="dxa"/>
            <w:tcBorders>
              <w:top w:val="single" w:sz="8" w:space="0" w:color="auto"/>
              <w:left w:val="single" w:sz="12" w:space="0" w:color="auto"/>
              <w:bottom w:val="single" w:sz="8" w:space="0" w:color="auto"/>
              <w:right w:val="single" w:sz="8" w:space="0" w:color="auto"/>
            </w:tcBorders>
            <w:vAlign w:val="center"/>
          </w:tcPr>
          <w:p w14:paraId="5F414D0C" w14:textId="77777777" w:rsidR="00815C4B" w:rsidRPr="001B6E4D" w:rsidRDefault="00815C4B" w:rsidP="003D1018">
            <w:pPr>
              <w:widowControl w:val="0"/>
              <w:overflowPunct w:val="0"/>
              <w:spacing w:line="360" w:lineRule="exact"/>
              <w:jc w:val="center"/>
              <w:rPr>
                <w:rFonts w:ascii="標楷體" w:eastAsia="標楷體" w:hAnsi="標楷體"/>
                <w:szCs w:val="22"/>
              </w:rPr>
            </w:pPr>
            <w:r w:rsidRPr="001B6E4D">
              <w:rPr>
                <w:rFonts w:ascii="標楷體" w:eastAsia="標楷體" w:hAnsi="標楷體" w:hint="eastAsia"/>
                <w:szCs w:val="22"/>
              </w:rPr>
              <w:t>7</w:t>
            </w:r>
          </w:p>
        </w:tc>
        <w:tc>
          <w:tcPr>
            <w:tcW w:w="1559" w:type="dxa"/>
            <w:tcBorders>
              <w:top w:val="single" w:sz="8" w:space="0" w:color="auto"/>
              <w:left w:val="single" w:sz="4" w:space="0" w:color="auto"/>
              <w:bottom w:val="single" w:sz="8" w:space="0" w:color="auto"/>
              <w:right w:val="single" w:sz="8" w:space="0" w:color="auto"/>
            </w:tcBorders>
            <w:vAlign w:val="center"/>
          </w:tcPr>
          <w:p w14:paraId="6735A5CA" w14:textId="77777777" w:rsidR="00815C4B" w:rsidRPr="001B6E4D" w:rsidRDefault="00815C4B" w:rsidP="003D1018">
            <w:pPr>
              <w:widowControl w:val="0"/>
              <w:overflowPunct w:val="0"/>
              <w:spacing w:line="360" w:lineRule="exact"/>
              <w:ind w:leftChars="-29" w:left="-70" w:rightChars="-36" w:right="-86"/>
              <w:jc w:val="both"/>
              <w:rPr>
                <w:rFonts w:ascii="標楷體" w:eastAsia="標楷體" w:hAnsi="標楷體"/>
                <w:spacing w:val="-20"/>
                <w:szCs w:val="22"/>
              </w:rPr>
            </w:pPr>
            <w:r w:rsidRPr="001B6E4D">
              <w:rPr>
                <w:rFonts w:ascii="標楷體" w:eastAsia="標楷體" w:hAnsi="標楷體" w:hint="eastAsia"/>
                <w:spacing w:val="-20"/>
                <w:szCs w:val="22"/>
              </w:rPr>
              <w:t>115年6月29日（星期一）</w:t>
            </w:r>
          </w:p>
        </w:tc>
        <w:tc>
          <w:tcPr>
            <w:tcW w:w="1559" w:type="dxa"/>
            <w:tcBorders>
              <w:top w:val="single" w:sz="8" w:space="0" w:color="auto"/>
              <w:left w:val="single" w:sz="4" w:space="0" w:color="auto"/>
              <w:bottom w:val="single" w:sz="8" w:space="0" w:color="auto"/>
              <w:right w:val="single" w:sz="8" w:space="0" w:color="auto"/>
            </w:tcBorders>
            <w:vAlign w:val="center"/>
          </w:tcPr>
          <w:p w14:paraId="10262DD2"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莊委員瑞雄(沈委員發惠領隊)</w:t>
            </w:r>
          </w:p>
        </w:tc>
        <w:tc>
          <w:tcPr>
            <w:tcW w:w="3686" w:type="dxa"/>
            <w:tcBorders>
              <w:top w:val="single" w:sz="8" w:space="0" w:color="auto"/>
              <w:left w:val="single" w:sz="4" w:space="0" w:color="auto"/>
              <w:bottom w:val="single" w:sz="8" w:space="0" w:color="auto"/>
              <w:right w:val="single" w:sz="8" w:space="0" w:color="auto"/>
            </w:tcBorders>
            <w:vAlign w:val="center"/>
          </w:tcPr>
          <w:p w14:paraId="23B8994C" w14:textId="77777777" w:rsidR="00815C4B" w:rsidRPr="001B6E4D" w:rsidRDefault="00815C4B" w:rsidP="003D1018">
            <w:pPr>
              <w:widowControl w:val="0"/>
              <w:overflowPunct w:val="0"/>
              <w:spacing w:line="360" w:lineRule="exact"/>
              <w:jc w:val="both"/>
              <w:rPr>
                <w:rFonts w:ascii="標楷體" w:eastAsia="標楷體" w:hAnsi="標楷體"/>
                <w:szCs w:val="22"/>
              </w:rPr>
            </w:pPr>
            <w:r w:rsidRPr="001B6E4D">
              <w:rPr>
                <w:rFonts w:ascii="標楷體" w:eastAsia="標楷體" w:hAnsi="標楷體" w:hint="eastAsia"/>
                <w:szCs w:val="22"/>
              </w:rPr>
              <w:t>考察臺灣</w:t>
            </w:r>
            <w:proofErr w:type="gramStart"/>
            <w:r w:rsidRPr="001B6E4D">
              <w:rPr>
                <w:rFonts w:ascii="標楷體" w:eastAsia="標楷體" w:hAnsi="標楷體" w:hint="eastAsia"/>
                <w:szCs w:val="22"/>
              </w:rPr>
              <w:t>臺</w:t>
            </w:r>
            <w:proofErr w:type="gramEnd"/>
            <w:r w:rsidRPr="001B6E4D">
              <w:rPr>
                <w:rFonts w:ascii="標楷體" w:eastAsia="標楷體" w:hAnsi="標楷體" w:hint="eastAsia"/>
                <w:szCs w:val="22"/>
              </w:rPr>
              <w:t>北地方檢察署贓證物庫管理概況</w:t>
            </w:r>
          </w:p>
        </w:tc>
        <w:tc>
          <w:tcPr>
            <w:tcW w:w="1401" w:type="dxa"/>
            <w:tcBorders>
              <w:top w:val="single" w:sz="8" w:space="0" w:color="auto"/>
              <w:left w:val="single" w:sz="4" w:space="0" w:color="auto"/>
              <w:bottom w:val="single" w:sz="8" w:space="0" w:color="auto"/>
              <w:right w:val="single" w:sz="12" w:space="0" w:color="auto"/>
            </w:tcBorders>
            <w:vAlign w:val="center"/>
          </w:tcPr>
          <w:p w14:paraId="7BDDC170" w14:textId="77777777" w:rsidR="00815C4B" w:rsidRPr="001B6E4D" w:rsidRDefault="00C72F63" w:rsidP="003D1018">
            <w:pPr>
              <w:widowControl w:val="0"/>
              <w:overflowPunct w:val="0"/>
              <w:spacing w:line="360" w:lineRule="exact"/>
              <w:jc w:val="both"/>
              <w:rPr>
                <w:rFonts w:ascii="標楷體" w:eastAsia="標楷體" w:hAnsi="標楷體"/>
                <w:szCs w:val="22"/>
              </w:rPr>
            </w:pPr>
            <w:hyperlink w:anchor="考察臺灣臺北地方檢察署贓物庫" w:history="1">
              <w:r w:rsidR="00815C4B" w:rsidRPr="001B6E4D">
                <w:rPr>
                  <w:rFonts w:ascii="標楷體" w:eastAsia="標楷體" w:hAnsi="標楷體"/>
                  <w:szCs w:val="22"/>
                </w:rPr>
                <w:t>法務部</w:t>
              </w:r>
            </w:hyperlink>
          </w:p>
        </w:tc>
      </w:tr>
      <w:tr w:rsidR="00815C4B" w:rsidRPr="001B6E4D" w14:paraId="791972FF" w14:textId="77777777" w:rsidTr="00815C4B">
        <w:trPr>
          <w:trHeight w:val="647"/>
          <w:jc w:val="center"/>
        </w:trPr>
        <w:tc>
          <w:tcPr>
            <w:tcW w:w="836" w:type="dxa"/>
            <w:tcBorders>
              <w:top w:val="single" w:sz="8" w:space="0" w:color="auto"/>
              <w:left w:val="single" w:sz="12" w:space="0" w:color="auto"/>
              <w:bottom w:val="single" w:sz="8" w:space="0" w:color="auto"/>
              <w:right w:val="single" w:sz="8" w:space="0" w:color="auto"/>
            </w:tcBorders>
            <w:vAlign w:val="center"/>
          </w:tcPr>
          <w:p w14:paraId="55BACB0F" w14:textId="77777777" w:rsidR="00815C4B" w:rsidRPr="001B6E4D" w:rsidRDefault="00815C4B" w:rsidP="003D1018">
            <w:pPr>
              <w:widowControl w:val="0"/>
              <w:overflowPunct w:val="0"/>
              <w:spacing w:line="360" w:lineRule="exact"/>
              <w:jc w:val="center"/>
              <w:rPr>
                <w:rFonts w:ascii="標楷體" w:eastAsia="標楷體" w:hAnsi="標楷體"/>
                <w:szCs w:val="22"/>
              </w:rPr>
            </w:pPr>
            <w:r w:rsidRPr="001B6E4D">
              <w:rPr>
                <w:rFonts w:ascii="標楷體" w:eastAsia="標楷體" w:hAnsi="標楷體" w:hint="eastAsia"/>
                <w:szCs w:val="22"/>
              </w:rPr>
              <w:t>8</w:t>
            </w:r>
          </w:p>
        </w:tc>
        <w:tc>
          <w:tcPr>
            <w:tcW w:w="1559" w:type="dxa"/>
            <w:tcBorders>
              <w:top w:val="single" w:sz="8" w:space="0" w:color="auto"/>
              <w:left w:val="single" w:sz="4" w:space="0" w:color="auto"/>
              <w:bottom w:val="single" w:sz="8" w:space="0" w:color="auto"/>
              <w:right w:val="single" w:sz="8" w:space="0" w:color="auto"/>
            </w:tcBorders>
            <w:vAlign w:val="center"/>
          </w:tcPr>
          <w:p w14:paraId="7A0CF1B0" w14:textId="77777777" w:rsidR="00815C4B" w:rsidRPr="001B6E4D" w:rsidRDefault="00815C4B" w:rsidP="003D1018">
            <w:pPr>
              <w:widowControl w:val="0"/>
              <w:overflowPunct w:val="0"/>
              <w:spacing w:line="360" w:lineRule="exact"/>
              <w:ind w:leftChars="-29" w:left="-70" w:rightChars="-36" w:right="-86"/>
              <w:jc w:val="both"/>
              <w:rPr>
                <w:rFonts w:ascii="標楷體" w:eastAsia="標楷體" w:hAnsi="標楷體"/>
                <w:spacing w:val="-20"/>
                <w:szCs w:val="22"/>
              </w:rPr>
            </w:pPr>
            <w:r w:rsidRPr="001B6E4D">
              <w:rPr>
                <w:rFonts w:ascii="標楷體" w:eastAsia="標楷體" w:hAnsi="標楷體" w:hint="eastAsia"/>
                <w:spacing w:val="-20"/>
                <w:szCs w:val="22"/>
              </w:rPr>
              <w:t>115年7月13日（星期一）</w:t>
            </w:r>
          </w:p>
        </w:tc>
        <w:tc>
          <w:tcPr>
            <w:tcW w:w="1559" w:type="dxa"/>
            <w:tcBorders>
              <w:top w:val="single" w:sz="8" w:space="0" w:color="auto"/>
              <w:left w:val="single" w:sz="4" w:space="0" w:color="auto"/>
              <w:bottom w:val="single" w:sz="8" w:space="0" w:color="auto"/>
              <w:right w:val="single" w:sz="8" w:space="0" w:color="auto"/>
            </w:tcBorders>
            <w:vAlign w:val="center"/>
          </w:tcPr>
          <w:p w14:paraId="5DA0D4B6"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莊委員瑞雄</w:t>
            </w:r>
          </w:p>
          <w:p w14:paraId="7E0D39FB"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(張委員雅琳領隊)</w:t>
            </w:r>
          </w:p>
        </w:tc>
        <w:tc>
          <w:tcPr>
            <w:tcW w:w="3686" w:type="dxa"/>
            <w:tcBorders>
              <w:top w:val="single" w:sz="8" w:space="0" w:color="auto"/>
              <w:left w:val="single" w:sz="4" w:space="0" w:color="auto"/>
              <w:bottom w:val="single" w:sz="8" w:space="0" w:color="auto"/>
              <w:right w:val="single" w:sz="8" w:space="0" w:color="auto"/>
            </w:tcBorders>
            <w:vAlign w:val="center"/>
          </w:tcPr>
          <w:p w14:paraId="5C7659A7" w14:textId="77777777" w:rsidR="00815C4B" w:rsidRPr="001B6E4D" w:rsidRDefault="00815C4B" w:rsidP="003D1018">
            <w:pPr>
              <w:widowControl w:val="0"/>
              <w:overflowPunct w:val="0"/>
              <w:spacing w:line="360" w:lineRule="exact"/>
              <w:jc w:val="both"/>
              <w:rPr>
                <w:rFonts w:ascii="標楷體" w:eastAsia="標楷體" w:hAnsi="標楷體"/>
                <w:szCs w:val="22"/>
              </w:rPr>
            </w:pPr>
            <w:r w:rsidRPr="001B6E4D">
              <w:rPr>
                <w:rFonts w:ascii="標楷體" w:eastAsia="標楷體" w:hAnsi="標楷體" w:hint="eastAsia"/>
                <w:szCs w:val="22"/>
              </w:rPr>
              <w:t>考察法務部司法官學院犯罪防治研究中心AI運用於毒品犯罪研究概況</w:t>
            </w:r>
          </w:p>
        </w:tc>
        <w:tc>
          <w:tcPr>
            <w:tcW w:w="1401" w:type="dxa"/>
            <w:tcBorders>
              <w:top w:val="single" w:sz="8" w:space="0" w:color="auto"/>
              <w:left w:val="single" w:sz="4" w:space="0" w:color="auto"/>
              <w:bottom w:val="single" w:sz="8" w:space="0" w:color="auto"/>
              <w:right w:val="single" w:sz="12" w:space="0" w:color="auto"/>
            </w:tcBorders>
            <w:vAlign w:val="center"/>
          </w:tcPr>
          <w:p w14:paraId="435A4518" w14:textId="77777777" w:rsidR="00815C4B" w:rsidRPr="001B6E4D" w:rsidRDefault="00C72F63" w:rsidP="003D1018">
            <w:pPr>
              <w:widowControl w:val="0"/>
              <w:overflowPunct w:val="0"/>
              <w:spacing w:line="360" w:lineRule="exact"/>
              <w:jc w:val="both"/>
              <w:rPr>
                <w:rFonts w:ascii="標楷體" w:eastAsia="標楷體" w:hAnsi="標楷體"/>
                <w:szCs w:val="22"/>
              </w:rPr>
            </w:pPr>
            <w:hyperlink w:anchor="考察法務部司法官學院犯罪防治研究中心就AI運用於毒品犯罪研究概況" w:history="1">
              <w:r w:rsidR="00815C4B" w:rsidRPr="001B6E4D">
                <w:rPr>
                  <w:rFonts w:ascii="標楷體" w:eastAsia="標楷體" w:hAnsi="標楷體"/>
                  <w:szCs w:val="22"/>
                </w:rPr>
                <w:t>法務部司法官學院</w:t>
              </w:r>
            </w:hyperlink>
          </w:p>
        </w:tc>
      </w:tr>
      <w:tr w:rsidR="00815C4B" w:rsidRPr="001B6E4D" w14:paraId="4EF49266" w14:textId="77777777" w:rsidTr="00815C4B">
        <w:trPr>
          <w:trHeight w:val="647"/>
          <w:jc w:val="center"/>
        </w:trPr>
        <w:tc>
          <w:tcPr>
            <w:tcW w:w="836" w:type="dxa"/>
            <w:tcBorders>
              <w:top w:val="single" w:sz="8" w:space="0" w:color="auto"/>
              <w:left w:val="single" w:sz="12" w:space="0" w:color="auto"/>
              <w:bottom w:val="single" w:sz="8" w:space="0" w:color="auto"/>
              <w:right w:val="single" w:sz="8" w:space="0" w:color="auto"/>
            </w:tcBorders>
            <w:vAlign w:val="center"/>
          </w:tcPr>
          <w:p w14:paraId="605D9333" w14:textId="77777777" w:rsidR="00815C4B" w:rsidRPr="001B6E4D" w:rsidRDefault="00815C4B" w:rsidP="003D1018">
            <w:pPr>
              <w:widowControl w:val="0"/>
              <w:overflowPunct w:val="0"/>
              <w:spacing w:line="360" w:lineRule="exact"/>
              <w:jc w:val="center"/>
              <w:rPr>
                <w:rFonts w:ascii="標楷體" w:eastAsia="標楷體" w:hAnsi="標楷體"/>
                <w:szCs w:val="22"/>
              </w:rPr>
            </w:pPr>
            <w:r w:rsidRPr="001B6E4D">
              <w:rPr>
                <w:rFonts w:ascii="標楷體" w:eastAsia="標楷體" w:hAnsi="標楷體" w:hint="eastAsia"/>
                <w:szCs w:val="22"/>
              </w:rPr>
              <w:t>9</w:t>
            </w:r>
          </w:p>
        </w:tc>
        <w:tc>
          <w:tcPr>
            <w:tcW w:w="1559" w:type="dxa"/>
            <w:tcBorders>
              <w:top w:val="single" w:sz="8" w:space="0" w:color="auto"/>
              <w:left w:val="single" w:sz="4" w:space="0" w:color="auto"/>
              <w:bottom w:val="single" w:sz="8" w:space="0" w:color="auto"/>
              <w:right w:val="single" w:sz="8" w:space="0" w:color="auto"/>
            </w:tcBorders>
            <w:vAlign w:val="center"/>
          </w:tcPr>
          <w:p w14:paraId="00E50165" w14:textId="77777777" w:rsidR="00815C4B" w:rsidRPr="001B6E4D" w:rsidRDefault="00815C4B" w:rsidP="003D1018">
            <w:pPr>
              <w:widowControl w:val="0"/>
              <w:overflowPunct w:val="0"/>
              <w:spacing w:line="360" w:lineRule="exact"/>
              <w:ind w:leftChars="-29" w:left="-70" w:rightChars="-36" w:right="-86"/>
              <w:jc w:val="both"/>
              <w:rPr>
                <w:rFonts w:ascii="標楷體" w:eastAsia="標楷體" w:hAnsi="標楷體"/>
                <w:spacing w:val="-20"/>
                <w:szCs w:val="22"/>
              </w:rPr>
            </w:pPr>
            <w:r w:rsidRPr="001B6E4D">
              <w:rPr>
                <w:rFonts w:ascii="標楷體" w:eastAsia="標楷體" w:hAnsi="標楷體" w:hint="eastAsia"/>
                <w:spacing w:val="-20"/>
                <w:szCs w:val="22"/>
              </w:rPr>
              <w:t>115年7月20日（星期一）</w:t>
            </w:r>
          </w:p>
        </w:tc>
        <w:tc>
          <w:tcPr>
            <w:tcW w:w="1559" w:type="dxa"/>
            <w:tcBorders>
              <w:top w:val="single" w:sz="8" w:space="0" w:color="auto"/>
              <w:left w:val="single" w:sz="4" w:space="0" w:color="auto"/>
              <w:bottom w:val="single" w:sz="8" w:space="0" w:color="auto"/>
              <w:right w:val="single" w:sz="8" w:space="0" w:color="auto"/>
            </w:tcBorders>
            <w:vAlign w:val="center"/>
          </w:tcPr>
          <w:p w14:paraId="6C732873" w14:textId="77777777" w:rsidR="00815C4B" w:rsidRPr="001B6E4D" w:rsidRDefault="00815C4B" w:rsidP="003D1018">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翁委員曉玲</w:t>
            </w:r>
          </w:p>
        </w:tc>
        <w:tc>
          <w:tcPr>
            <w:tcW w:w="3686" w:type="dxa"/>
            <w:tcBorders>
              <w:top w:val="single" w:sz="8" w:space="0" w:color="auto"/>
              <w:left w:val="single" w:sz="4" w:space="0" w:color="auto"/>
              <w:bottom w:val="single" w:sz="8" w:space="0" w:color="auto"/>
              <w:right w:val="single" w:sz="8" w:space="0" w:color="auto"/>
            </w:tcBorders>
            <w:vAlign w:val="center"/>
          </w:tcPr>
          <w:p w14:paraId="18E3BCCA" w14:textId="77777777" w:rsidR="00815C4B" w:rsidRPr="001B6E4D" w:rsidRDefault="00815C4B" w:rsidP="003D1018">
            <w:pPr>
              <w:widowControl w:val="0"/>
              <w:overflowPunct w:val="0"/>
              <w:spacing w:line="360" w:lineRule="exact"/>
              <w:jc w:val="both"/>
              <w:rPr>
                <w:rFonts w:ascii="標楷體" w:eastAsia="標楷體" w:hAnsi="標楷體"/>
                <w:szCs w:val="22"/>
              </w:rPr>
            </w:pPr>
            <w:r w:rsidRPr="001B6E4D">
              <w:rPr>
                <w:rFonts w:ascii="標楷體" w:eastAsia="標楷體" w:hAnsi="標楷體" w:hint="eastAsia"/>
                <w:szCs w:val="22"/>
              </w:rPr>
              <w:t>參訪臺灣桃園地方法院有關精神衛生法專家參審籌備進度及司法人力概況</w:t>
            </w:r>
          </w:p>
        </w:tc>
        <w:tc>
          <w:tcPr>
            <w:tcW w:w="1401" w:type="dxa"/>
            <w:tcBorders>
              <w:top w:val="single" w:sz="8" w:space="0" w:color="auto"/>
              <w:left w:val="single" w:sz="4" w:space="0" w:color="auto"/>
              <w:bottom w:val="single" w:sz="8" w:space="0" w:color="auto"/>
              <w:right w:val="single" w:sz="12" w:space="0" w:color="auto"/>
            </w:tcBorders>
            <w:vAlign w:val="center"/>
          </w:tcPr>
          <w:p w14:paraId="73CE5DE2" w14:textId="77777777" w:rsidR="00815C4B" w:rsidRPr="001B6E4D" w:rsidRDefault="00C72F63" w:rsidP="003D1018">
            <w:pPr>
              <w:widowControl w:val="0"/>
              <w:overflowPunct w:val="0"/>
              <w:spacing w:line="360" w:lineRule="exact"/>
              <w:jc w:val="both"/>
              <w:rPr>
                <w:rFonts w:ascii="標楷體" w:eastAsia="標楷體" w:hAnsi="標楷體"/>
                <w:szCs w:val="22"/>
              </w:rPr>
            </w:pPr>
            <w:hyperlink w:anchor="精神衛生法專家參審籌備進度及司法人力概況" w:history="1">
              <w:r w:rsidR="00815C4B" w:rsidRPr="001B6E4D">
                <w:rPr>
                  <w:rFonts w:ascii="標楷體" w:eastAsia="標楷體" w:hAnsi="標楷體"/>
                  <w:szCs w:val="22"/>
                </w:rPr>
                <w:t>臺灣桃園地方法院</w:t>
              </w:r>
            </w:hyperlink>
          </w:p>
        </w:tc>
      </w:tr>
      <w:tr w:rsidR="00815C4B" w:rsidRPr="001B6E4D" w14:paraId="2A8D8343" w14:textId="77777777" w:rsidTr="00815C4B">
        <w:trPr>
          <w:trHeight w:val="647"/>
          <w:jc w:val="center"/>
        </w:trPr>
        <w:tc>
          <w:tcPr>
            <w:tcW w:w="836" w:type="dxa"/>
            <w:tcBorders>
              <w:top w:val="single" w:sz="8" w:space="0" w:color="auto"/>
              <w:left w:val="single" w:sz="12" w:space="0" w:color="auto"/>
              <w:bottom w:val="single" w:sz="8" w:space="0" w:color="auto"/>
              <w:right w:val="single" w:sz="8" w:space="0" w:color="auto"/>
            </w:tcBorders>
            <w:vAlign w:val="center"/>
          </w:tcPr>
          <w:p w14:paraId="17A13118" w14:textId="77777777" w:rsidR="00815C4B" w:rsidRPr="001B6E4D" w:rsidRDefault="00815C4B" w:rsidP="003D1018">
            <w:pPr>
              <w:widowControl w:val="0"/>
              <w:overflowPunct w:val="0"/>
              <w:spacing w:line="360" w:lineRule="exact"/>
              <w:jc w:val="center"/>
              <w:rPr>
                <w:rFonts w:ascii="標楷體" w:eastAsia="標楷體" w:hAnsi="標楷體"/>
                <w:szCs w:val="22"/>
              </w:rPr>
            </w:pPr>
            <w:r w:rsidRPr="001B6E4D">
              <w:rPr>
                <w:rFonts w:ascii="標楷體" w:eastAsia="標楷體" w:hAnsi="標楷體" w:hint="eastAsia"/>
                <w:szCs w:val="22"/>
              </w:rPr>
              <w:t>10</w:t>
            </w:r>
          </w:p>
        </w:tc>
        <w:tc>
          <w:tcPr>
            <w:tcW w:w="1559" w:type="dxa"/>
            <w:tcBorders>
              <w:top w:val="single" w:sz="8" w:space="0" w:color="auto"/>
              <w:left w:val="single" w:sz="4" w:space="0" w:color="auto"/>
              <w:bottom w:val="single" w:sz="8" w:space="0" w:color="auto"/>
              <w:right w:val="single" w:sz="8" w:space="0" w:color="auto"/>
            </w:tcBorders>
            <w:vAlign w:val="center"/>
          </w:tcPr>
          <w:p w14:paraId="1DE517A0" w14:textId="77777777" w:rsidR="00815C4B" w:rsidRPr="001B6E4D" w:rsidRDefault="00815C4B" w:rsidP="003D1018">
            <w:pPr>
              <w:widowControl w:val="0"/>
              <w:overflowPunct w:val="0"/>
              <w:spacing w:line="360" w:lineRule="exact"/>
              <w:ind w:leftChars="-29" w:left="-70" w:rightChars="-36" w:right="-86"/>
              <w:jc w:val="both"/>
              <w:rPr>
                <w:rFonts w:ascii="標楷體" w:eastAsia="標楷體" w:hAnsi="標楷體"/>
                <w:spacing w:val="-20"/>
                <w:szCs w:val="22"/>
              </w:rPr>
            </w:pPr>
            <w:r w:rsidRPr="001B6E4D">
              <w:rPr>
                <w:rFonts w:ascii="標楷體" w:eastAsia="標楷體" w:hAnsi="標楷體" w:hint="eastAsia"/>
                <w:spacing w:val="-20"/>
                <w:szCs w:val="22"/>
              </w:rPr>
              <w:t>115年7月27日（星期一）</w:t>
            </w:r>
          </w:p>
        </w:tc>
        <w:tc>
          <w:tcPr>
            <w:tcW w:w="1559" w:type="dxa"/>
            <w:tcBorders>
              <w:top w:val="single" w:sz="8" w:space="0" w:color="auto"/>
              <w:left w:val="single" w:sz="4" w:space="0" w:color="auto"/>
              <w:bottom w:val="single" w:sz="8" w:space="0" w:color="auto"/>
              <w:right w:val="single" w:sz="8" w:space="0" w:color="auto"/>
            </w:tcBorders>
            <w:vAlign w:val="center"/>
          </w:tcPr>
          <w:p w14:paraId="78C8078C" w14:textId="77777777" w:rsidR="00815C4B" w:rsidRPr="001B6E4D" w:rsidRDefault="00815C4B" w:rsidP="004327FC">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莊委員瑞雄</w:t>
            </w:r>
          </w:p>
          <w:p w14:paraId="2CD68F6E" w14:textId="77777777" w:rsidR="00815C4B" w:rsidRPr="001B6E4D" w:rsidRDefault="00815C4B" w:rsidP="004327FC">
            <w:pPr>
              <w:widowControl w:val="0"/>
              <w:overflowPunct w:val="0"/>
              <w:spacing w:line="360" w:lineRule="exact"/>
              <w:ind w:leftChars="-45" w:left="-108" w:rightChars="-36" w:right="-86"/>
              <w:jc w:val="center"/>
              <w:rPr>
                <w:rFonts w:ascii="標楷體" w:eastAsia="標楷體" w:hAnsi="標楷體"/>
                <w:szCs w:val="22"/>
              </w:rPr>
            </w:pPr>
            <w:r w:rsidRPr="001B6E4D">
              <w:rPr>
                <w:rFonts w:ascii="標楷體" w:eastAsia="標楷體" w:hAnsi="標楷體" w:hint="eastAsia"/>
                <w:szCs w:val="22"/>
              </w:rPr>
              <w:t>(沈委員發惠領隊)</w:t>
            </w:r>
          </w:p>
        </w:tc>
        <w:tc>
          <w:tcPr>
            <w:tcW w:w="3686" w:type="dxa"/>
            <w:tcBorders>
              <w:top w:val="single" w:sz="8" w:space="0" w:color="auto"/>
              <w:left w:val="single" w:sz="4" w:space="0" w:color="auto"/>
              <w:bottom w:val="single" w:sz="8" w:space="0" w:color="auto"/>
              <w:right w:val="single" w:sz="8" w:space="0" w:color="auto"/>
            </w:tcBorders>
            <w:vAlign w:val="center"/>
          </w:tcPr>
          <w:p w14:paraId="3E493552" w14:textId="77777777" w:rsidR="00815C4B" w:rsidRPr="001B6E4D" w:rsidRDefault="00815C4B" w:rsidP="003D1018">
            <w:pPr>
              <w:widowControl w:val="0"/>
              <w:overflowPunct w:val="0"/>
              <w:spacing w:line="360" w:lineRule="exact"/>
              <w:jc w:val="both"/>
              <w:rPr>
                <w:rFonts w:ascii="標楷體" w:eastAsia="標楷體" w:hAnsi="標楷體"/>
                <w:szCs w:val="22"/>
              </w:rPr>
            </w:pPr>
            <w:r w:rsidRPr="001B6E4D">
              <w:rPr>
                <w:rFonts w:ascii="標楷體" w:eastAsia="標楷體" w:hAnsi="標楷體" w:hint="eastAsia"/>
                <w:szCs w:val="22"/>
              </w:rPr>
              <w:t>考察法務部</w:t>
            </w:r>
            <w:proofErr w:type="gramStart"/>
            <w:r w:rsidRPr="001B6E4D">
              <w:rPr>
                <w:rFonts w:ascii="標楷體" w:eastAsia="標楷體" w:hAnsi="標楷體" w:hint="eastAsia"/>
                <w:szCs w:val="22"/>
              </w:rPr>
              <w:t>調查局資安犯罪</w:t>
            </w:r>
            <w:proofErr w:type="gramEnd"/>
            <w:r w:rsidRPr="001B6E4D">
              <w:rPr>
                <w:rFonts w:ascii="標楷體" w:eastAsia="標楷體" w:hAnsi="標楷體" w:hint="eastAsia"/>
                <w:szCs w:val="22"/>
              </w:rPr>
              <w:t>偵查及司法聯盟鏈運作情形</w:t>
            </w:r>
          </w:p>
        </w:tc>
        <w:tc>
          <w:tcPr>
            <w:tcW w:w="1401" w:type="dxa"/>
            <w:tcBorders>
              <w:top w:val="single" w:sz="8" w:space="0" w:color="auto"/>
              <w:left w:val="single" w:sz="4" w:space="0" w:color="auto"/>
              <w:bottom w:val="single" w:sz="8" w:space="0" w:color="auto"/>
              <w:right w:val="single" w:sz="12" w:space="0" w:color="auto"/>
            </w:tcBorders>
            <w:vAlign w:val="center"/>
          </w:tcPr>
          <w:p w14:paraId="198F53C6" w14:textId="77777777" w:rsidR="00815C4B" w:rsidRPr="001B6E4D" w:rsidRDefault="00C72F63" w:rsidP="003D1018">
            <w:pPr>
              <w:widowControl w:val="0"/>
              <w:overflowPunct w:val="0"/>
              <w:spacing w:line="360" w:lineRule="exact"/>
              <w:jc w:val="both"/>
              <w:rPr>
                <w:rFonts w:ascii="標楷體" w:eastAsia="標楷體" w:hAnsi="標楷體"/>
                <w:szCs w:val="22"/>
              </w:rPr>
            </w:pPr>
            <w:hyperlink w:anchor="考察法務部調查局資安犯罪偵查及司法聯盟鏈運作情形" w:history="1">
              <w:r w:rsidR="00815C4B" w:rsidRPr="001B6E4D">
                <w:rPr>
                  <w:rFonts w:ascii="標楷體" w:eastAsia="標楷體" w:hAnsi="標楷體"/>
                  <w:szCs w:val="22"/>
                </w:rPr>
                <w:t>法務部</w:t>
              </w:r>
            </w:hyperlink>
          </w:p>
        </w:tc>
      </w:tr>
      <w:tr w:rsidR="00815C4B" w:rsidRPr="001B6E4D" w14:paraId="6A02BE14" w14:textId="77777777" w:rsidTr="009548F9">
        <w:trPr>
          <w:trHeight w:val="647"/>
          <w:jc w:val="center"/>
        </w:trPr>
        <w:tc>
          <w:tcPr>
            <w:tcW w:w="836" w:type="dxa"/>
            <w:vAlign w:val="center"/>
          </w:tcPr>
          <w:p w14:paraId="141A9589" w14:textId="5C4BF2C7" w:rsidR="00815C4B" w:rsidRPr="001B6E4D" w:rsidRDefault="00FF708D" w:rsidP="003D1018">
            <w:pPr>
              <w:widowControl w:val="0"/>
              <w:overflowPunct w:val="0"/>
              <w:spacing w:line="360" w:lineRule="exact"/>
              <w:jc w:val="center"/>
              <w:rPr>
                <w:rFonts w:ascii="標楷體" w:eastAsia="標楷體" w:hAnsi="標楷體"/>
                <w:szCs w:val="22"/>
              </w:rPr>
            </w:pPr>
            <w:r w:rsidRPr="001B6E4D">
              <w:rPr>
                <w:rFonts w:ascii="標楷體" w:eastAsia="標楷體" w:hAnsi="標楷體" w:hint="eastAsia"/>
                <w:szCs w:val="22"/>
              </w:rPr>
              <w:t>11</w:t>
            </w:r>
          </w:p>
        </w:tc>
        <w:tc>
          <w:tcPr>
            <w:tcW w:w="1559" w:type="dxa"/>
            <w:vAlign w:val="center"/>
          </w:tcPr>
          <w:p w14:paraId="5AE751E7" w14:textId="5E5DC463" w:rsidR="00815C4B" w:rsidRPr="001B6E4D" w:rsidRDefault="00DA67F4" w:rsidP="003D1018">
            <w:pPr>
              <w:widowControl w:val="0"/>
              <w:overflowPunct w:val="0"/>
              <w:spacing w:line="360" w:lineRule="exact"/>
              <w:ind w:leftChars="-29" w:left="-70" w:rightChars="-36" w:right="-86"/>
              <w:jc w:val="both"/>
              <w:rPr>
                <w:rFonts w:ascii="標楷體" w:eastAsia="標楷體" w:hAnsi="標楷體"/>
                <w:spacing w:val="-20"/>
                <w:szCs w:val="22"/>
              </w:rPr>
            </w:pPr>
            <w:r w:rsidRPr="001B6E4D">
              <w:rPr>
                <w:rFonts w:ascii="標楷體" w:eastAsia="標楷體" w:hAnsi="標楷體" w:hint="eastAsia"/>
                <w:spacing w:val="-20"/>
                <w:szCs w:val="22"/>
              </w:rPr>
              <w:t>115年8月31日(星期一)</w:t>
            </w:r>
            <w:r w:rsidRPr="001B6E4D">
              <w:rPr>
                <w:rFonts w:ascii="標楷體" w:eastAsia="標楷體" w:hAnsi="標楷體"/>
                <w:spacing w:val="-20"/>
                <w:szCs w:val="22"/>
              </w:rPr>
              <w:t xml:space="preserve"> </w:t>
            </w:r>
          </w:p>
        </w:tc>
        <w:tc>
          <w:tcPr>
            <w:tcW w:w="1559" w:type="dxa"/>
            <w:vAlign w:val="center"/>
          </w:tcPr>
          <w:p w14:paraId="773E0067" w14:textId="050E43A6" w:rsidR="00815C4B" w:rsidRPr="001B6E4D" w:rsidRDefault="003048C5" w:rsidP="003D1018">
            <w:pPr>
              <w:widowControl w:val="0"/>
              <w:overflowPunct w:val="0"/>
              <w:spacing w:line="360" w:lineRule="exact"/>
              <w:ind w:leftChars="-45" w:left="-108" w:rightChars="-36" w:right="-86"/>
              <w:jc w:val="center"/>
              <w:rPr>
                <w:rFonts w:ascii="標楷體" w:eastAsia="標楷體" w:hAnsi="標楷體"/>
                <w:sz w:val="28"/>
                <w:szCs w:val="22"/>
              </w:rPr>
            </w:pPr>
            <w:r w:rsidRPr="001B6E4D">
              <w:rPr>
                <w:rFonts w:ascii="標楷體" w:eastAsia="標楷體" w:hAnsi="標楷體" w:hint="eastAsia"/>
                <w:szCs w:val="22"/>
              </w:rPr>
              <w:t>翁委員曉玲</w:t>
            </w:r>
          </w:p>
        </w:tc>
        <w:tc>
          <w:tcPr>
            <w:tcW w:w="3686" w:type="dxa"/>
            <w:vAlign w:val="center"/>
          </w:tcPr>
          <w:p w14:paraId="20A2686E" w14:textId="4E440020" w:rsidR="00815C4B" w:rsidRPr="001B6E4D" w:rsidRDefault="00DA67F4" w:rsidP="003D1018">
            <w:pPr>
              <w:widowControl w:val="0"/>
              <w:overflowPunct w:val="0"/>
              <w:spacing w:line="360" w:lineRule="exact"/>
              <w:jc w:val="both"/>
              <w:rPr>
                <w:rFonts w:ascii="標楷體" w:eastAsia="標楷體" w:hAnsi="標楷體"/>
                <w:sz w:val="28"/>
                <w:szCs w:val="22"/>
              </w:rPr>
            </w:pPr>
            <w:r w:rsidRPr="001B6E4D">
              <w:rPr>
                <w:rFonts w:ascii="標楷體" w:eastAsia="標楷體" w:hAnsi="標楷體" w:hint="eastAsia"/>
                <w:szCs w:val="22"/>
              </w:rPr>
              <w:t>考察行政院人事行政總處公務人力發展學院因應AI時代之公務人員培訓及員額等人力運用。</w:t>
            </w:r>
          </w:p>
        </w:tc>
        <w:tc>
          <w:tcPr>
            <w:tcW w:w="1401" w:type="dxa"/>
            <w:vAlign w:val="center"/>
          </w:tcPr>
          <w:p w14:paraId="118D04ED" w14:textId="0F323E79" w:rsidR="00815C4B" w:rsidRPr="001B6E4D" w:rsidRDefault="003048C5" w:rsidP="003D1018">
            <w:pPr>
              <w:widowControl w:val="0"/>
              <w:overflowPunct w:val="0"/>
              <w:spacing w:line="360" w:lineRule="exact"/>
              <w:jc w:val="both"/>
              <w:rPr>
                <w:rFonts w:ascii="標楷體" w:eastAsia="標楷體" w:hAnsi="標楷體"/>
                <w:szCs w:val="22"/>
              </w:rPr>
            </w:pPr>
            <w:r w:rsidRPr="001B6E4D">
              <w:rPr>
                <w:rFonts w:ascii="標楷體" w:eastAsia="標楷體" w:hAnsi="標楷體" w:hint="eastAsia"/>
                <w:szCs w:val="22"/>
              </w:rPr>
              <w:t>行政院人事行政總處</w:t>
            </w:r>
          </w:p>
        </w:tc>
      </w:tr>
    </w:tbl>
    <w:p w14:paraId="4A4DFC7C" w14:textId="77777777" w:rsidR="000D0A41" w:rsidRPr="001B6E4D" w:rsidRDefault="000D0A41" w:rsidP="003D1018">
      <w:pPr>
        <w:kinsoku w:val="0"/>
        <w:overflowPunct w:val="0"/>
        <w:autoSpaceDE w:val="0"/>
        <w:autoSpaceDN w:val="0"/>
        <w:spacing w:beforeLines="50" w:before="180"/>
        <w:ind w:leftChars="100" w:left="240"/>
        <w:jc w:val="center"/>
        <w:rPr>
          <w:rFonts w:ascii="標楷體" w:eastAsia="標楷體" w:hAnsi="標楷體"/>
          <w:b/>
          <w:color w:val="000000" w:themeColor="text1"/>
          <w:sz w:val="32"/>
          <w:szCs w:val="32"/>
          <w:shd w:val="clear" w:color="auto" w:fill="FFFFFF" w:themeFill="background1"/>
        </w:rPr>
        <w:sectPr w:rsidR="000D0A41" w:rsidRPr="001B6E4D" w:rsidSect="009E1230">
          <w:footerReference w:type="even" r:id="rId23"/>
          <w:footerReference w:type="default" r:id="rId24"/>
          <w:pgSz w:w="11906" w:h="16838"/>
          <w:pgMar w:top="992" w:right="1701" w:bottom="1134" w:left="1701" w:header="851" w:footer="992" w:gutter="0"/>
          <w:cols w:space="425"/>
          <w:docGrid w:type="lines" w:linePitch="360"/>
        </w:sectPr>
      </w:pPr>
    </w:p>
    <w:p w14:paraId="7D415C99" w14:textId="3EEF5048" w:rsidR="00B921E8" w:rsidRPr="001B6E4D" w:rsidRDefault="00B921E8" w:rsidP="003D1018">
      <w:pPr>
        <w:kinsoku w:val="0"/>
        <w:overflowPunct w:val="0"/>
        <w:snapToGrid w:val="0"/>
        <w:spacing w:afterLines="50" w:after="180" w:line="440" w:lineRule="exact"/>
        <w:jc w:val="center"/>
        <w:outlineLvl w:val="4"/>
        <w:rPr>
          <w:rFonts w:ascii="標楷體" w:eastAsia="標楷體" w:hAnsi="標楷體"/>
          <w:b/>
          <w:sz w:val="36"/>
          <w:szCs w:val="20"/>
        </w:rPr>
      </w:pPr>
      <w:bookmarkStart w:id="562" w:name="考察國史館業務概況書面紀錄"/>
      <w:bookmarkStart w:id="563" w:name="參訪司法院司法人力負荷困境策進概況"/>
      <w:bookmarkEnd w:id="562"/>
      <w:bookmarkEnd w:id="563"/>
      <w:r w:rsidRPr="001B6E4D">
        <w:rPr>
          <w:rFonts w:ascii="標楷體" w:eastAsia="標楷體" w:hAnsi="標楷體" w:hint="eastAsia"/>
          <w:b/>
          <w:sz w:val="36"/>
          <w:szCs w:val="20"/>
        </w:rPr>
        <w:lastRenderedPageBreak/>
        <w:t>立法院司法及法制委員會參訪司法院「司法院司法博物館營運情形」策進概況會議紀錄</w:t>
      </w:r>
    </w:p>
    <w:p w14:paraId="4F8A4268" w14:textId="77777777" w:rsidR="00B921E8" w:rsidRPr="001B6E4D" w:rsidRDefault="00B921E8" w:rsidP="003D1018">
      <w:pPr>
        <w:overflowPunct w:val="0"/>
        <w:spacing w:beforeLines="50" w:before="180" w:line="540" w:lineRule="exact"/>
        <w:ind w:left="1624" w:hanging="1624"/>
        <w:jc w:val="both"/>
        <w:rPr>
          <w:rFonts w:ascii="標楷體" w:eastAsia="標楷體" w:hAnsi="標楷體" w:cs="Calibri"/>
          <w:kern w:val="0"/>
          <w:sz w:val="32"/>
          <w:szCs w:val="32"/>
        </w:rPr>
      </w:pPr>
      <w:r w:rsidRPr="001B6E4D">
        <w:rPr>
          <w:rFonts w:ascii="標楷體" w:eastAsia="標楷體" w:hAnsi="標楷體" w:cs="Calibri" w:hint="eastAsia"/>
          <w:b/>
          <w:kern w:val="0"/>
          <w:sz w:val="32"/>
          <w:szCs w:val="32"/>
        </w:rPr>
        <w:t>壹、參訪時間</w:t>
      </w:r>
      <w:r w:rsidRPr="001B6E4D">
        <w:rPr>
          <w:rFonts w:ascii="標楷體" w:eastAsia="標楷體" w:hAnsi="標楷體" w:cs="Calibri"/>
          <w:kern w:val="0"/>
          <w:sz w:val="32"/>
          <w:szCs w:val="32"/>
        </w:rPr>
        <w:t>：</w:t>
      </w:r>
      <w:r w:rsidRPr="001B6E4D">
        <w:rPr>
          <w:rFonts w:ascii="標楷體" w:eastAsia="標楷體" w:hAnsi="標楷體" w:cs="Calibri" w:hint="eastAsia"/>
          <w:kern w:val="0"/>
          <w:sz w:val="32"/>
          <w:szCs w:val="32"/>
        </w:rPr>
        <w:t>1</w:t>
      </w:r>
      <w:r w:rsidRPr="001B6E4D">
        <w:rPr>
          <w:rFonts w:ascii="標楷體" w:eastAsia="標楷體" w:hAnsi="標楷體" w:cs="Calibri"/>
          <w:kern w:val="0"/>
          <w:sz w:val="32"/>
          <w:szCs w:val="32"/>
        </w:rPr>
        <w:t>1</w:t>
      </w:r>
      <w:r w:rsidRPr="001B6E4D">
        <w:rPr>
          <w:rFonts w:ascii="標楷體" w:eastAsia="標楷體" w:hAnsi="標楷體" w:cs="Calibri" w:hint="eastAsia"/>
          <w:kern w:val="0"/>
          <w:sz w:val="32"/>
          <w:szCs w:val="32"/>
        </w:rPr>
        <w:t>5年3月16日</w:t>
      </w:r>
      <w:r w:rsidRPr="001B6E4D">
        <w:rPr>
          <w:rFonts w:ascii="標楷體" w:eastAsia="標楷體" w:hAnsi="標楷體" w:cs="Calibri"/>
          <w:kern w:val="0"/>
          <w:sz w:val="32"/>
          <w:szCs w:val="32"/>
        </w:rPr>
        <w:t>(</w:t>
      </w:r>
      <w:r w:rsidRPr="001B6E4D">
        <w:rPr>
          <w:rFonts w:ascii="標楷體" w:eastAsia="標楷體" w:hAnsi="標楷體" w:cs="Calibri" w:hint="eastAsia"/>
          <w:kern w:val="0"/>
          <w:sz w:val="32"/>
          <w:szCs w:val="32"/>
        </w:rPr>
        <w:t>星期一</w:t>
      </w:r>
      <w:r w:rsidRPr="001B6E4D">
        <w:rPr>
          <w:rFonts w:ascii="標楷體" w:eastAsia="標楷體" w:hAnsi="標楷體" w:cs="Calibri"/>
          <w:kern w:val="0"/>
          <w:sz w:val="32"/>
          <w:szCs w:val="32"/>
        </w:rPr>
        <w:t>)</w:t>
      </w:r>
      <w:r w:rsidRPr="001B6E4D">
        <w:rPr>
          <w:rFonts w:ascii="標楷體" w:eastAsia="標楷體" w:hAnsi="標楷體" w:cs="Calibri" w:hint="eastAsia"/>
          <w:kern w:val="0"/>
          <w:sz w:val="32"/>
          <w:szCs w:val="32"/>
        </w:rPr>
        <w:t>上午10時</w:t>
      </w:r>
      <w:r w:rsidRPr="001B6E4D">
        <w:rPr>
          <w:rFonts w:ascii="標楷體" w:eastAsia="標楷體" w:hAnsi="標楷體" w:cs="Calibri"/>
          <w:kern w:val="0"/>
          <w:sz w:val="32"/>
          <w:szCs w:val="32"/>
        </w:rPr>
        <w:t xml:space="preserve"> </w:t>
      </w:r>
    </w:p>
    <w:p w14:paraId="06226E1F" w14:textId="77777777" w:rsidR="00B921E8" w:rsidRPr="001B6E4D" w:rsidRDefault="00B921E8" w:rsidP="003D1018">
      <w:pPr>
        <w:overflowPunct w:val="0"/>
        <w:spacing w:beforeLines="50" w:before="180" w:line="540" w:lineRule="exact"/>
        <w:ind w:left="2723" w:hangingChars="850" w:hanging="2723"/>
        <w:jc w:val="both"/>
        <w:rPr>
          <w:rFonts w:ascii="標楷體" w:eastAsia="標楷體" w:hAnsi="標楷體" w:cs="Calibri"/>
          <w:kern w:val="0"/>
          <w:sz w:val="32"/>
          <w:szCs w:val="32"/>
        </w:rPr>
      </w:pPr>
      <w:r w:rsidRPr="001B6E4D">
        <w:rPr>
          <w:rFonts w:ascii="標楷體" w:eastAsia="標楷體" w:hAnsi="標楷體" w:cs="Calibri" w:hint="eastAsia"/>
          <w:b/>
          <w:kern w:val="0"/>
          <w:sz w:val="32"/>
          <w:szCs w:val="32"/>
        </w:rPr>
        <w:t>貳、會議地點</w:t>
      </w:r>
      <w:r w:rsidRPr="001B6E4D">
        <w:rPr>
          <w:rFonts w:ascii="標楷體" w:eastAsia="標楷體" w:hAnsi="標楷體" w:cs="Calibri"/>
          <w:kern w:val="0"/>
          <w:sz w:val="32"/>
          <w:szCs w:val="32"/>
        </w:rPr>
        <w:t>：</w:t>
      </w:r>
      <w:r w:rsidRPr="001B6E4D">
        <w:rPr>
          <w:rFonts w:ascii="標楷體" w:eastAsia="標楷體" w:hAnsi="標楷體" w:cs="Calibri" w:hint="eastAsia"/>
          <w:kern w:val="0"/>
          <w:sz w:val="32"/>
          <w:szCs w:val="32"/>
        </w:rPr>
        <w:t>司法博物館2樓會議室</w:t>
      </w:r>
    </w:p>
    <w:p w14:paraId="71E742AC" w14:textId="77777777" w:rsidR="00B921E8" w:rsidRPr="001B6E4D" w:rsidRDefault="00B921E8" w:rsidP="003D1018">
      <w:pPr>
        <w:overflowPunct w:val="0"/>
        <w:spacing w:beforeLines="50" w:before="180" w:line="540" w:lineRule="exact"/>
        <w:ind w:left="1602" w:hangingChars="500" w:hanging="1602"/>
        <w:jc w:val="both"/>
        <w:rPr>
          <w:rFonts w:ascii="標楷體" w:eastAsia="標楷體" w:hAnsi="標楷體" w:cs="Calibri"/>
          <w:kern w:val="0"/>
          <w:sz w:val="32"/>
          <w:szCs w:val="32"/>
        </w:rPr>
      </w:pPr>
      <w:r w:rsidRPr="001B6E4D">
        <w:rPr>
          <w:rFonts w:ascii="標楷體" w:eastAsia="標楷體" w:hAnsi="標楷體" w:cs="Calibri" w:hint="eastAsia"/>
          <w:b/>
          <w:kern w:val="0"/>
          <w:sz w:val="32"/>
          <w:szCs w:val="32"/>
        </w:rPr>
        <w:t>參、召集委員</w:t>
      </w:r>
      <w:r w:rsidRPr="001B6E4D">
        <w:rPr>
          <w:rFonts w:ascii="標楷體" w:eastAsia="標楷體" w:hAnsi="標楷體" w:cs="Calibri" w:hint="eastAsia"/>
          <w:kern w:val="0"/>
          <w:sz w:val="32"/>
          <w:szCs w:val="32"/>
        </w:rPr>
        <w:t>：司法及法制委員會翁召集委員曉玲</w:t>
      </w:r>
    </w:p>
    <w:p w14:paraId="4FF5AF27" w14:textId="7DE7B557" w:rsidR="00B921E8" w:rsidRPr="001B6E4D" w:rsidRDefault="00B921E8" w:rsidP="003D1018">
      <w:pPr>
        <w:overflowPunct w:val="0"/>
        <w:spacing w:beforeLines="50" w:before="180" w:line="540" w:lineRule="exact"/>
        <w:ind w:left="1474" w:hanging="1474"/>
        <w:jc w:val="both"/>
        <w:rPr>
          <w:rFonts w:ascii="標楷體" w:eastAsia="標楷體" w:hAnsi="標楷體" w:cs="Calibri"/>
          <w:kern w:val="0"/>
          <w:sz w:val="32"/>
          <w:szCs w:val="32"/>
        </w:rPr>
      </w:pPr>
      <w:r w:rsidRPr="001B6E4D">
        <w:rPr>
          <w:rFonts w:ascii="標楷體" w:eastAsia="標楷體" w:hAnsi="標楷體" w:cs="Calibri" w:hint="eastAsia"/>
          <w:b/>
          <w:kern w:val="0"/>
          <w:sz w:val="32"/>
          <w:szCs w:val="32"/>
        </w:rPr>
        <w:t>肆、出席人員</w:t>
      </w:r>
      <w:r w:rsidRPr="001B6E4D">
        <w:rPr>
          <w:rFonts w:ascii="標楷體" w:eastAsia="標楷體" w:hAnsi="標楷體" w:cs="Calibri"/>
          <w:kern w:val="0"/>
          <w:sz w:val="32"/>
          <w:szCs w:val="32"/>
        </w:rPr>
        <w:t>：</w:t>
      </w:r>
      <w:r w:rsidRPr="001B6E4D">
        <w:rPr>
          <w:rFonts w:ascii="標楷體" w:eastAsia="標楷體" w:hAnsi="標楷體" w:cs="Calibri" w:hint="eastAsia"/>
          <w:kern w:val="0"/>
          <w:sz w:val="32"/>
          <w:szCs w:val="32"/>
        </w:rPr>
        <w:t xml:space="preserve">詳如後簽到單 </w:t>
      </w:r>
      <w:r w:rsidRPr="001B6E4D">
        <w:rPr>
          <w:rFonts w:ascii="標楷體" w:eastAsia="標楷體" w:hAnsi="標楷體" w:cs="Calibri"/>
          <w:kern w:val="0"/>
          <w:sz w:val="32"/>
          <w:szCs w:val="32"/>
        </w:rPr>
        <w:t xml:space="preserve">              </w:t>
      </w:r>
      <w:r w:rsidRPr="001B6E4D">
        <w:rPr>
          <w:rFonts w:ascii="標楷體" w:eastAsia="標楷體" w:hAnsi="標楷體" w:cs="Calibri" w:hint="eastAsia"/>
          <w:kern w:val="0"/>
          <w:sz w:val="32"/>
          <w:szCs w:val="32"/>
        </w:rPr>
        <w:t>紀錄：楊詔琬</w:t>
      </w:r>
    </w:p>
    <w:p w14:paraId="1F4D4FF3" w14:textId="77777777" w:rsidR="00B921E8" w:rsidRPr="001B6E4D" w:rsidRDefault="00B921E8" w:rsidP="003D1018">
      <w:pPr>
        <w:overflowPunct w:val="0"/>
        <w:spacing w:beforeLines="50" w:before="180" w:line="540" w:lineRule="exact"/>
        <w:ind w:left="1644" w:hanging="1644"/>
        <w:jc w:val="both"/>
        <w:rPr>
          <w:rFonts w:ascii="標楷體" w:eastAsia="標楷體" w:hAnsi="標楷體" w:cs="Calibri"/>
          <w:kern w:val="0"/>
          <w:sz w:val="32"/>
          <w:szCs w:val="32"/>
        </w:rPr>
      </w:pPr>
      <w:r w:rsidRPr="001B6E4D">
        <w:rPr>
          <w:rFonts w:ascii="標楷體" w:eastAsia="標楷體" w:hAnsi="標楷體" w:cs="Calibri" w:hint="eastAsia"/>
          <w:b/>
          <w:kern w:val="0"/>
          <w:sz w:val="32"/>
          <w:szCs w:val="32"/>
        </w:rPr>
        <w:t>伍、</w:t>
      </w:r>
      <w:r w:rsidRPr="001B6E4D">
        <w:rPr>
          <w:rFonts w:ascii="標楷體" w:eastAsia="標楷體" w:hAnsi="標楷體" w:cs="Calibri"/>
          <w:b/>
          <w:kern w:val="0"/>
          <w:sz w:val="32"/>
          <w:szCs w:val="32"/>
        </w:rPr>
        <w:t>會議紀要</w:t>
      </w:r>
      <w:r w:rsidRPr="001B6E4D">
        <w:rPr>
          <w:rFonts w:ascii="標楷體" w:eastAsia="標楷體" w:hAnsi="標楷體" w:cs="Calibri"/>
          <w:kern w:val="0"/>
          <w:sz w:val="32"/>
          <w:szCs w:val="32"/>
        </w:rPr>
        <w:t>：</w:t>
      </w:r>
    </w:p>
    <w:p w14:paraId="7400DC84" w14:textId="77777777" w:rsidR="00B921E8" w:rsidRPr="001B6E4D" w:rsidRDefault="00B921E8" w:rsidP="003D1018">
      <w:pPr>
        <w:widowControl w:val="0"/>
        <w:numPr>
          <w:ilvl w:val="0"/>
          <w:numId w:val="20"/>
        </w:numPr>
        <w:overflowPunct w:val="0"/>
        <w:spacing w:beforeLines="50" w:before="180" w:after="140" w:line="540" w:lineRule="exact"/>
        <w:jc w:val="both"/>
        <w:rPr>
          <w:rFonts w:ascii="標楷體" w:eastAsia="標楷體" w:hAnsi="標楷體" w:cs="Calibri"/>
          <w:b/>
          <w:bCs/>
          <w:kern w:val="0"/>
          <w:sz w:val="32"/>
          <w:szCs w:val="32"/>
        </w:rPr>
      </w:pPr>
      <w:r w:rsidRPr="001B6E4D">
        <w:rPr>
          <w:rFonts w:ascii="標楷體" w:eastAsia="標楷體" w:hAnsi="標楷體" w:cs="Calibri" w:hint="eastAsia"/>
          <w:b/>
          <w:bCs/>
          <w:kern w:val="0"/>
          <w:sz w:val="32"/>
          <w:szCs w:val="32"/>
        </w:rPr>
        <w:t>致詞：</w:t>
      </w:r>
    </w:p>
    <w:p w14:paraId="6018997B" w14:textId="77777777" w:rsidR="00B921E8" w:rsidRPr="001B6E4D" w:rsidRDefault="00B921E8" w:rsidP="003D1018">
      <w:pPr>
        <w:widowControl w:val="0"/>
        <w:numPr>
          <w:ilvl w:val="0"/>
          <w:numId w:val="22"/>
        </w:numPr>
        <w:overflowPunct w:val="0"/>
        <w:spacing w:beforeLines="50" w:before="180" w:after="140" w:line="540" w:lineRule="exact"/>
        <w:ind w:left="964" w:hanging="964"/>
        <w:jc w:val="both"/>
        <w:rPr>
          <w:rFonts w:ascii="標楷體" w:eastAsia="標楷體" w:hAnsi="標楷體" w:cs="Calibri"/>
          <w:b/>
          <w:kern w:val="0"/>
          <w:sz w:val="32"/>
          <w:szCs w:val="32"/>
        </w:rPr>
      </w:pPr>
      <w:r w:rsidRPr="001B6E4D">
        <w:rPr>
          <w:rFonts w:ascii="標楷體" w:eastAsia="標楷體" w:hAnsi="標楷體" w:cs="Calibri" w:hint="eastAsia"/>
          <w:b/>
          <w:kern w:val="0"/>
          <w:sz w:val="32"/>
          <w:szCs w:val="32"/>
        </w:rPr>
        <w:t>司法院高秘書長金枝</w:t>
      </w:r>
      <w:r w:rsidRPr="001B6E4D">
        <w:rPr>
          <w:rFonts w:ascii="標楷體" w:eastAsia="標楷體" w:hAnsi="標楷體" w:cs="Calibri"/>
          <w:b/>
          <w:kern w:val="0"/>
          <w:sz w:val="32"/>
          <w:szCs w:val="32"/>
        </w:rPr>
        <w:t>：</w:t>
      </w:r>
    </w:p>
    <w:p w14:paraId="2AC4E252"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bCs/>
          <w:kern w:val="0"/>
          <w:sz w:val="32"/>
          <w:szCs w:val="32"/>
        </w:rPr>
      </w:pPr>
      <w:r w:rsidRPr="001B6E4D">
        <w:rPr>
          <w:rFonts w:ascii="標楷體" w:eastAsia="標楷體" w:hAnsi="標楷體" w:cs="Calibri" w:hint="eastAsia"/>
          <w:bCs/>
          <w:kern w:val="0"/>
          <w:sz w:val="32"/>
          <w:szCs w:val="32"/>
        </w:rPr>
        <w:t>今天非常高興，司法及法制</w:t>
      </w:r>
      <w:proofErr w:type="gramStart"/>
      <w:r w:rsidRPr="001B6E4D">
        <w:rPr>
          <w:rFonts w:ascii="標楷體" w:eastAsia="標楷體" w:hAnsi="標楷體" w:cs="Calibri" w:hint="eastAsia"/>
          <w:bCs/>
          <w:kern w:val="0"/>
          <w:sz w:val="32"/>
          <w:szCs w:val="32"/>
        </w:rPr>
        <w:t>委員會翁召委</w:t>
      </w:r>
      <w:proofErr w:type="gramEnd"/>
      <w:r w:rsidRPr="001B6E4D">
        <w:rPr>
          <w:rFonts w:ascii="標楷體" w:eastAsia="標楷體" w:hAnsi="標楷體" w:cs="Calibri" w:hint="eastAsia"/>
          <w:bCs/>
          <w:kern w:val="0"/>
          <w:sz w:val="32"/>
          <w:szCs w:val="32"/>
        </w:rPr>
        <w:t>及林倩綺委員撥空至司法博物館參訪，來看這棟美麗的建築，也瞭解司法院同仁是怎麼努力維護建築，使之與民眾生活融合。</w:t>
      </w:r>
    </w:p>
    <w:p w14:paraId="5E2B2713"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bCs/>
          <w:kern w:val="0"/>
          <w:sz w:val="32"/>
          <w:szCs w:val="32"/>
        </w:rPr>
      </w:pPr>
      <w:r w:rsidRPr="001B6E4D">
        <w:rPr>
          <w:rFonts w:ascii="標楷體" w:eastAsia="標楷體" w:hAnsi="標楷體" w:cs="Calibri" w:hint="eastAsia"/>
          <w:bCs/>
          <w:kern w:val="0"/>
          <w:sz w:val="32"/>
          <w:szCs w:val="32"/>
        </w:rPr>
        <w:t>需要報告的是，本院人力與經費有限，</w:t>
      </w:r>
      <w:proofErr w:type="gramStart"/>
      <w:r w:rsidRPr="001B6E4D">
        <w:rPr>
          <w:rFonts w:ascii="標楷體" w:eastAsia="標楷體" w:hAnsi="標楷體" w:cs="Calibri" w:hint="eastAsia"/>
          <w:bCs/>
          <w:kern w:val="0"/>
          <w:sz w:val="32"/>
          <w:szCs w:val="32"/>
        </w:rPr>
        <w:t>司博館</w:t>
      </w:r>
      <w:proofErr w:type="gramEnd"/>
      <w:r w:rsidRPr="001B6E4D">
        <w:rPr>
          <w:rFonts w:ascii="標楷體" w:eastAsia="標楷體" w:hAnsi="標楷體" w:cs="Calibri" w:hint="eastAsia"/>
          <w:bCs/>
          <w:kern w:val="0"/>
          <w:sz w:val="32"/>
          <w:szCs w:val="32"/>
        </w:rPr>
        <w:t>範圍太大又是古蹟，國家資源不可能完全投注於此，</w:t>
      </w:r>
      <w:proofErr w:type="gramStart"/>
      <w:r w:rsidRPr="001B6E4D">
        <w:rPr>
          <w:rFonts w:ascii="標楷體" w:eastAsia="標楷體" w:hAnsi="標楷體" w:cs="Calibri" w:hint="eastAsia"/>
          <w:bCs/>
          <w:kern w:val="0"/>
          <w:sz w:val="32"/>
          <w:szCs w:val="32"/>
        </w:rPr>
        <w:t>本院須將</w:t>
      </w:r>
      <w:proofErr w:type="gramEnd"/>
      <w:r w:rsidRPr="001B6E4D">
        <w:rPr>
          <w:rFonts w:ascii="標楷體" w:eastAsia="標楷體" w:hAnsi="標楷體" w:cs="Calibri" w:hint="eastAsia"/>
          <w:bCs/>
          <w:kern w:val="0"/>
          <w:sz w:val="32"/>
          <w:szCs w:val="32"/>
        </w:rPr>
        <w:t>經費做最極致的運用。其實，維護一個博物館是一條很長的路，我們</w:t>
      </w:r>
      <w:proofErr w:type="gramStart"/>
      <w:r w:rsidRPr="001B6E4D">
        <w:rPr>
          <w:rFonts w:ascii="標楷體" w:eastAsia="標楷體" w:hAnsi="標楷體" w:cs="Calibri" w:hint="eastAsia"/>
          <w:bCs/>
          <w:kern w:val="0"/>
          <w:sz w:val="32"/>
          <w:szCs w:val="32"/>
        </w:rPr>
        <w:t>只是小步地</w:t>
      </w:r>
      <w:proofErr w:type="gramEnd"/>
      <w:r w:rsidRPr="001B6E4D">
        <w:rPr>
          <w:rFonts w:ascii="標楷體" w:eastAsia="標楷體" w:hAnsi="標楷體" w:cs="Calibri" w:hint="eastAsia"/>
          <w:bCs/>
          <w:kern w:val="0"/>
          <w:sz w:val="32"/>
          <w:szCs w:val="32"/>
        </w:rPr>
        <w:t>走，期待經由我們的努力，讓民眾看到過去留下的這麼美的建築物，並讓這個博物館未來更有人氣，這是我們努力的方向，再一次謝謝委員，謝謝。</w:t>
      </w:r>
    </w:p>
    <w:p w14:paraId="3886E217" w14:textId="77777777" w:rsidR="00B921E8" w:rsidRPr="001B6E4D" w:rsidRDefault="00B921E8" w:rsidP="003D1018">
      <w:pPr>
        <w:widowControl w:val="0"/>
        <w:numPr>
          <w:ilvl w:val="0"/>
          <w:numId w:val="22"/>
        </w:numPr>
        <w:overflowPunct w:val="0"/>
        <w:spacing w:beforeLines="50" w:before="180" w:after="140" w:line="540" w:lineRule="exact"/>
        <w:ind w:left="964" w:hanging="964"/>
        <w:jc w:val="both"/>
        <w:rPr>
          <w:rFonts w:ascii="標楷體" w:eastAsia="標楷體" w:hAnsi="標楷體" w:cs="Calibri"/>
          <w:b/>
          <w:bCs/>
          <w:kern w:val="0"/>
          <w:sz w:val="32"/>
          <w:szCs w:val="32"/>
        </w:rPr>
      </w:pPr>
      <w:r w:rsidRPr="001B6E4D">
        <w:rPr>
          <w:rFonts w:ascii="標楷體" w:eastAsia="標楷體" w:hAnsi="標楷體" w:cs="Calibri" w:hint="eastAsia"/>
          <w:b/>
          <w:bCs/>
          <w:kern w:val="0"/>
          <w:sz w:val="32"/>
          <w:szCs w:val="32"/>
        </w:rPr>
        <w:t>司法及法制委員會翁召集委員曉玲：</w:t>
      </w:r>
    </w:p>
    <w:p w14:paraId="299C4C32" w14:textId="77777777" w:rsidR="00B921E8" w:rsidRPr="001B6E4D" w:rsidRDefault="00B921E8" w:rsidP="003D1018">
      <w:pPr>
        <w:overflowPunct w:val="0"/>
        <w:spacing w:line="540" w:lineRule="exact"/>
        <w:ind w:leftChars="177" w:left="425" w:firstLineChars="220" w:firstLine="704"/>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高秘書長、李院長、陳院長、司法院的三位處長，以及其他同仁們，今天很高興由我代表立法院司法與法制委員會，也邀請林倩綺委員、司委會及辦公室同仁們一起參訪，這個有全臺灣最美的法院之稱的舊</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南地方法院，即現在的司法博物館。其實司法博物館，與同為日本殖民時</w:t>
      </w:r>
      <w:r w:rsidRPr="001B6E4D">
        <w:rPr>
          <w:rFonts w:ascii="標楷體" w:eastAsia="標楷體" w:hAnsi="標楷體" w:cs="Calibri" w:hint="eastAsia"/>
          <w:kern w:val="0"/>
          <w:sz w:val="32"/>
          <w:szCs w:val="32"/>
        </w:rPr>
        <w:lastRenderedPageBreak/>
        <w:t>期興建的總統府及臺灣博物館，被列為臺灣最著名、最美、最優雅的三大歷史建築。早在許多年前，因為</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南地方法院人力及案件量的擴張，建築已經不堪負荷，搬遷至新建築，舊建築轉型成為這個司法博物館。</w:t>
      </w:r>
    </w:p>
    <w:p w14:paraId="6C23EAB6" w14:textId="77777777" w:rsidR="00B921E8" w:rsidRPr="001B6E4D" w:rsidRDefault="00B921E8" w:rsidP="003D1018">
      <w:pPr>
        <w:overflowPunct w:val="0"/>
        <w:spacing w:line="540" w:lineRule="exact"/>
        <w:ind w:leftChars="177" w:left="425" w:firstLineChars="220" w:firstLine="704"/>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今天參訪最主要的目的，是想瞭解整個司法博物館未來重新修繕營運可能需要的經費。也看到了司法院這次編列預算大約1</w:t>
      </w:r>
      <w:r w:rsidRPr="001B6E4D">
        <w:rPr>
          <w:rFonts w:ascii="標楷體" w:eastAsia="標楷體" w:hAnsi="標楷體" w:cs="Calibri"/>
          <w:kern w:val="0"/>
          <w:sz w:val="32"/>
          <w:szCs w:val="32"/>
        </w:rPr>
        <w:t>,</w:t>
      </w:r>
      <w:r w:rsidRPr="001B6E4D">
        <w:rPr>
          <w:rFonts w:ascii="標楷體" w:eastAsia="標楷體" w:hAnsi="標楷體" w:cs="Calibri" w:hint="eastAsia"/>
          <w:kern w:val="0"/>
          <w:sz w:val="32"/>
          <w:szCs w:val="32"/>
        </w:rPr>
        <w:t>500多萬元，我必定給予經費協助，但司法博物館修繕應該分階段，及後續有其他工程經費的需求。此次參訪，一方面來瞭解狀況，二方面也希望未來經過良善的修繕，可以成為全臺灣人民心中所仰慕且神聖的司法場所，讓民眾瞭解，司法的莊嚴性與正義，透過法治教育提升民眾法治素養。</w:t>
      </w:r>
    </w:p>
    <w:p w14:paraId="38F02C13" w14:textId="77777777" w:rsidR="00B921E8" w:rsidRPr="001B6E4D" w:rsidRDefault="00B921E8" w:rsidP="003D1018">
      <w:pPr>
        <w:overflowPunct w:val="0"/>
        <w:spacing w:line="540" w:lineRule="exact"/>
        <w:ind w:leftChars="177" w:left="425" w:firstLineChars="220" w:firstLine="704"/>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作為法律人，希望未來司法博物館可以提供更多給法學研究，以及成為司法實務界互相討論開會的場所。有這樣的場域存在，對於提升臺灣司法形象、促進法學研究，會很有助益。</w:t>
      </w:r>
    </w:p>
    <w:p w14:paraId="70D7945D" w14:textId="77777777" w:rsidR="00B921E8" w:rsidRPr="001B6E4D" w:rsidRDefault="00B921E8" w:rsidP="003D1018">
      <w:pPr>
        <w:overflowPunct w:val="0"/>
        <w:spacing w:line="540" w:lineRule="exact"/>
        <w:ind w:leftChars="177" w:left="425" w:firstLineChars="220" w:firstLine="704"/>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今天很謝謝各位，尤其今天司法院本來在宜蘭要召開首長會議，高秘書長還特別陪同進行考察參訪，很感謝也很感動，也希望透過待會的導</w:t>
      </w:r>
      <w:proofErr w:type="gramStart"/>
      <w:r w:rsidRPr="001B6E4D">
        <w:rPr>
          <w:rFonts w:ascii="標楷體" w:eastAsia="標楷體" w:hAnsi="標楷體" w:cs="Calibri" w:hint="eastAsia"/>
          <w:kern w:val="0"/>
          <w:sz w:val="32"/>
          <w:szCs w:val="32"/>
        </w:rPr>
        <w:t>覽</w:t>
      </w:r>
      <w:proofErr w:type="gramEnd"/>
      <w:r w:rsidRPr="001B6E4D">
        <w:rPr>
          <w:rFonts w:ascii="標楷體" w:eastAsia="標楷體" w:hAnsi="標楷體" w:cs="Calibri" w:hint="eastAsia"/>
          <w:kern w:val="0"/>
          <w:sz w:val="32"/>
          <w:szCs w:val="32"/>
        </w:rPr>
        <w:t>能對整個司法博物館有更深入的瞭解。謝謝大家。</w:t>
      </w:r>
    </w:p>
    <w:p w14:paraId="1963AE38" w14:textId="77777777" w:rsidR="00B921E8" w:rsidRPr="001B6E4D" w:rsidRDefault="00B921E8" w:rsidP="003D1018">
      <w:pPr>
        <w:widowControl w:val="0"/>
        <w:numPr>
          <w:ilvl w:val="0"/>
          <w:numId w:val="22"/>
        </w:numPr>
        <w:overflowPunct w:val="0"/>
        <w:spacing w:beforeLines="50" w:before="180" w:after="140" w:line="540" w:lineRule="exact"/>
        <w:ind w:left="964" w:hanging="964"/>
        <w:jc w:val="both"/>
        <w:rPr>
          <w:rFonts w:ascii="標楷體" w:eastAsia="標楷體" w:hAnsi="標楷體" w:cs="Calibri"/>
          <w:b/>
          <w:bCs/>
          <w:kern w:val="0"/>
          <w:sz w:val="32"/>
          <w:szCs w:val="32"/>
        </w:rPr>
      </w:pPr>
      <w:r w:rsidRPr="001B6E4D">
        <w:rPr>
          <w:rFonts w:ascii="標楷體" w:eastAsia="標楷體" w:hAnsi="標楷體" w:cs="Calibri" w:hint="eastAsia"/>
          <w:b/>
          <w:bCs/>
          <w:kern w:val="0"/>
          <w:sz w:val="32"/>
          <w:szCs w:val="32"/>
        </w:rPr>
        <w:t>司法及法制委員會林委員</w:t>
      </w:r>
      <w:proofErr w:type="gramStart"/>
      <w:r w:rsidRPr="001B6E4D">
        <w:rPr>
          <w:rFonts w:ascii="標楷體" w:eastAsia="標楷體" w:hAnsi="標楷體" w:cs="Calibri" w:hint="eastAsia"/>
          <w:b/>
          <w:bCs/>
          <w:kern w:val="0"/>
          <w:sz w:val="32"/>
          <w:szCs w:val="32"/>
        </w:rPr>
        <w:t>倩綺</w:t>
      </w:r>
      <w:proofErr w:type="gramEnd"/>
      <w:r w:rsidRPr="001B6E4D">
        <w:rPr>
          <w:rFonts w:ascii="標楷體" w:eastAsia="標楷體" w:hAnsi="標楷體" w:cs="Calibri" w:hint="eastAsia"/>
          <w:b/>
          <w:bCs/>
          <w:kern w:val="0"/>
          <w:sz w:val="32"/>
          <w:szCs w:val="32"/>
        </w:rPr>
        <w:t>：</w:t>
      </w:r>
    </w:p>
    <w:p w14:paraId="201F6CB1" w14:textId="77777777" w:rsidR="00B921E8" w:rsidRPr="001B6E4D" w:rsidRDefault="00B921E8" w:rsidP="003D1018">
      <w:pPr>
        <w:overflowPunct w:val="0"/>
        <w:spacing w:line="540" w:lineRule="exact"/>
        <w:ind w:leftChars="177" w:left="425" w:firstLineChars="221" w:firstLine="707"/>
        <w:jc w:val="both"/>
        <w:rPr>
          <w:rFonts w:ascii="標楷體" w:eastAsia="標楷體" w:hAnsi="標楷體" w:cs="Calibri"/>
          <w:kern w:val="0"/>
          <w:sz w:val="32"/>
          <w:szCs w:val="32"/>
        </w:rPr>
      </w:pPr>
      <w:proofErr w:type="gramStart"/>
      <w:r w:rsidRPr="001B6E4D">
        <w:rPr>
          <w:rFonts w:ascii="標楷體" w:eastAsia="標楷體" w:hAnsi="標楷體" w:cs="Calibri" w:hint="eastAsia"/>
          <w:kern w:val="0"/>
          <w:sz w:val="32"/>
          <w:szCs w:val="32"/>
        </w:rPr>
        <w:t>翁召委</w:t>
      </w:r>
      <w:proofErr w:type="gramEnd"/>
      <w:r w:rsidRPr="001B6E4D">
        <w:rPr>
          <w:rFonts w:ascii="標楷體" w:eastAsia="標楷體" w:hAnsi="標楷體" w:cs="Calibri" w:hint="eastAsia"/>
          <w:kern w:val="0"/>
          <w:sz w:val="32"/>
          <w:szCs w:val="32"/>
        </w:rPr>
        <w:t>、高秘書長、李院長、陳院長、司法院幾位處長、司法院同仁跟立院夥伴們，大家早安。非常</w:t>
      </w:r>
      <w:proofErr w:type="gramStart"/>
      <w:r w:rsidRPr="001B6E4D">
        <w:rPr>
          <w:rFonts w:ascii="標楷體" w:eastAsia="標楷體" w:hAnsi="標楷體" w:cs="Calibri" w:hint="eastAsia"/>
          <w:kern w:val="0"/>
          <w:sz w:val="32"/>
          <w:szCs w:val="32"/>
        </w:rPr>
        <w:t>感謝翁召委</w:t>
      </w:r>
      <w:proofErr w:type="gramEnd"/>
      <w:r w:rsidRPr="001B6E4D">
        <w:rPr>
          <w:rFonts w:ascii="標楷體" w:eastAsia="標楷體" w:hAnsi="標楷體" w:cs="Calibri" w:hint="eastAsia"/>
          <w:kern w:val="0"/>
          <w:sz w:val="32"/>
          <w:szCs w:val="32"/>
        </w:rPr>
        <w:t>邀約，今天來到司法博物館，也感謝所有司法院相關同仁今天的陪伴。</w:t>
      </w:r>
    </w:p>
    <w:p w14:paraId="70998DAD" w14:textId="77777777" w:rsidR="00B921E8" w:rsidRPr="001B6E4D" w:rsidRDefault="00B921E8" w:rsidP="003D1018">
      <w:pPr>
        <w:overflowPunct w:val="0"/>
        <w:spacing w:line="540" w:lineRule="exact"/>
        <w:ind w:leftChars="177" w:left="425" w:firstLineChars="221" w:firstLine="707"/>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lastRenderedPageBreak/>
        <w:t>我本身專業是文化領域，過去跟</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南在文化資產方面有淵源，熱蘭遮城、普羅民遮城，以及</w:t>
      </w:r>
      <w:proofErr w:type="gramStart"/>
      <w:r w:rsidRPr="001B6E4D">
        <w:rPr>
          <w:rFonts w:ascii="標楷體" w:eastAsia="標楷體" w:hAnsi="標楷體" w:cs="Calibri" w:hint="eastAsia"/>
          <w:kern w:val="0"/>
          <w:sz w:val="32"/>
          <w:szCs w:val="32"/>
        </w:rPr>
        <w:t>整個尼</w:t>
      </w:r>
      <w:proofErr w:type="gramEnd"/>
      <w:r w:rsidRPr="001B6E4D">
        <w:rPr>
          <w:rFonts w:ascii="標楷體" w:eastAsia="標楷體" w:hAnsi="標楷體" w:cs="Calibri" w:hint="eastAsia"/>
          <w:kern w:val="0"/>
          <w:sz w:val="32"/>
          <w:szCs w:val="32"/>
        </w:rPr>
        <w:t>德蘭人在這一區的建築跟文化資產的一個分佈，包括明鄭、清領、日本時期跟國民政府時期，</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南是一個文化資產非常豐富的地方，但是司法博物館成立之後，我還沒有來過，剛才就對整個建築感到非常震撼，感謝今天的第一次接觸。</w:t>
      </w:r>
    </w:p>
    <w:p w14:paraId="4DDD1BB6" w14:textId="77777777" w:rsidR="00B921E8" w:rsidRPr="001B6E4D" w:rsidRDefault="00B921E8" w:rsidP="003D1018">
      <w:pPr>
        <w:overflowPunct w:val="0"/>
        <w:spacing w:line="540" w:lineRule="exact"/>
        <w:ind w:leftChars="177" w:left="425" w:firstLineChars="221" w:firstLine="707"/>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最近這幾天比較有衝擊的議題，就是哪一個殖民政權比較好。今天早上看到原住民前輩終於發聲了，他說他認為殖民政權都不好，沒有哪一個比較好跟比較不好。這個問題對學文化的人而言，就是一個權力的歷史；權力、歷史怎麼分佈，我們現在都在歷史當中。那麼多時期空間在</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南都有呈現，這非常重要。</w:t>
      </w:r>
    </w:p>
    <w:p w14:paraId="367CE451" w14:textId="77777777" w:rsidR="00B921E8" w:rsidRPr="001B6E4D" w:rsidRDefault="00B921E8" w:rsidP="003D1018">
      <w:pPr>
        <w:overflowPunct w:val="0"/>
        <w:spacing w:line="540" w:lineRule="exact"/>
        <w:ind w:leftChars="177" w:left="425" w:firstLineChars="221" w:firstLine="707"/>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進入國家治理，法治是很重要的</w:t>
      </w:r>
      <w:proofErr w:type="gramStart"/>
      <w:r w:rsidRPr="001B6E4D">
        <w:rPr>
          <w:rFonts w:ascii="標楷體" w:eastAsia="標楷體" w:hAnsi="標楷體" w:cs="Calibri" w:hint="eastAsia"/>
          <w:kern w:val="0"/>
          <w:sz w:val="32"/>
          <w:szCs w:val="32"/>
        </w:rPr>
        <w:t>一</w:t>
      </w:r>
      <w:proofErr w:type="gramEnd"/>
      <w:r w:rsidRPr="001B6E4D">
        <w:rPr>
          <w:rFonts w:ascii="標楷體" w:eastAsia="標楷體" w:hAnsi="標楷體" w:cs="Calibri" w:hint="eastAsia"/>
          <w:kern w:val="0"/>
          <w:sz w:val="32"/>
          <w:szCs w:val="32"/>
        </w:rPr>
        <w:t>部份，當談論民主自由，如果沒有法治的標準，會各</w:t>
      </w:r>
      <w:proofErr w:type="gramStart"/>
      <w:r w:rsidRPr="001B6E4D">
        <w:rPr>
          <w:rFonts w:ascii="標楷體" w:eastAsia="標楷體" w:hAnsi="標楷體" w:cs="Calibri" w:hint="eastAsia"/>
          <w:kern w:val="0"/>
          <w:sz w:val="32"/>
          <w:szCs w:val="32"/>
        </w:rPr>
        <w:t>說各話</w:t>
      </w:r>
      <w:proofErr w:type="gramEnd"/>
      <w:r w:rsidRPr="001B6E4D">
        <w:rPr>
          <w:rFonts w:ascii="標楷體" w:eastAsia="標楷體" w:hAnsi="標楷體" w:cs="Calibri" w:hint="eastAsia"/>
          <w:kern w:val="0"/>
          <w:sz w:val="32"/>
          <w:szCs w:val="32"/>
        </w:rPr>
        <w:t>，有法治依循，方能找到對話的公約數；這對法治而言，是對人類社會最好的一個貢獻。自日治時期開始，可以看到傳統日式建築跟當時日本人去歐洲所學習的建築，整個臺灣就是日本治理時代建築的一個實驗場域呈現，應非常珍惜任何時代所留下來的文化資產。</w:t>
      </w:r>
    </w:p>
    <w:p w14:paraId="704FD10A" w14:textId="77777777" w:rsidR="00B921E8" w:rsidRPr="001B6E4D" w:rsidRDefault="00B921E8" w:rsidP="003D1018">
      <w:pPr>
        <w:overflowPunct w:val="0"/>
        <w:spacing w:line="540" w:lineRule="exact"/>
        <w:ind w:leftChars="177" w:left="425" w:firstLineChars="221" w:firstLine="707"/>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今天來到司法博物館，看到日治時期的建築，剛剛也聽李院長曾在這個古蹟裡面工作，當時是在所謂真正古蹟裡面工作的感覺，跟後來它變成古蹟公共化的感覺，我相信是不一樣的。我們碰巧走過這一段歷史，也是很好的一個對照，所以今天在這個古蹟空間是特別的有感。古蹟登錄的空間場域，會跟建築目前的樣態有關連，最後可否提供一個國內古蹟登錄空間的地圖，這樣整體來講就會更有概念。</w:t>
      </w:r>
    </w:p>
    <w:p w14:paraId="41134FC3" w14:textId="77777777" w:rsidR="00B921E8" w:rsidRPr="001B6E4D" w:rsidRDefault="00B921E8" w:rsidP="003D1018">
      <w:pPr>
        <w:overflowPunct w:val="0"/>
        <w:spacing w:line="540" w:lineRule="exact"/>
        <w:ind w:leftChars="177" w:left="425" w:firstLineChars="221" w:firstLine="707"/>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lastRenderedPageBreak/>
        <w:t>非常高興能夠來這邊看到這樣一個實體空間，但還是呼應翁委員講的一段很重要的部分：它是一個司法園區，可能也有一些類似保存案例，在圖書資訊跟未來大家對於文獻的一個搜尋，也應該是司法園區有別與其他博物館跟文化資產最不同、很獨特的一點。</w:t>
      </w:r>
    </w:p>
    <w:p w14:paraId="1CE7D1AB" w14:textId="77777777" w:rsidR="00B921E8" w:rsidRPr="001B6E4D" w:rsidRDefault="00B921E8" w:rsidP="003D1018">
      <w:pPr>
        <w:overflowPunct w:val="0"/>
        <w:spacing w:line="540" w:lineRule="exact"/>
        <w:ind w:leftChars="177" w:left="425" w:firstLineChars="221" w:firstLine="707"/>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感謝今天有這樣的機會，感謝大家的陪伴，希望未來可以透過我們跟學生的教學，多多來司法園區、理解這麼一個珍貴的文化資產，謝謝。</w:t>
      </w:r>
    </w:p>
    <w:p w14:paraId="04636132" w14:textId="77777777" w:rsidR="00B921E8" w:rsidRPr="001B6E4D" w:rsidRDefault="00B921E8" w:rsidP="003D1018">
      <w:pPr>
        <w:widowControl w:val="0"/>
        <w:numPr>
          <w:ilvl w:val="0"/>
          <w:numId w:val="22"/>
        </w:numPr>
        <w:overflowPunct w:val="0"/>
        <w:spacing w:beforeLines="50" w:before="180" w:after="140" w:line="540" w:lineRule="exact"/>
        <w:ind w:left="964" w:hanging="964"/>
        <w:jc w:val="both"/>
        <w:rPr>
          <w:rFonts w:ascii="標楷體" w:eastAsia="標楷體" w:hAnsi="標楷體" w:cs="Calibri"/>
          <w:b/>
          <w:bCs/>
          <w:kern w:val="0"/>
          <w:sz w:val="32"/>
          <w:szCs w:val="32"/>
        </w:rPr>
      </w:pPr>
      <w:r w:rsidRPr="001B6E4D">
        <w:rPr>
          <w:rFonts w:ascii="標楷體" w:eastAsia="標楷體" w:hAnsi="標楷體" w:cs="Calibri" w:hint="eastAsia"/>
          <w:b/>
          <w:bCs/>
          <w:kern w:val="0"/>
          <w:sz w:val="32"/>
          <w:szCs w:val="32"/>
        </w:rPr>
        <w:t>司法及法制委員會翁召集委員曉玲：</w:t>
      </w:r>
    </w:p>
    <w:p w14:paraId="739466FF"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我在這邊要補充說明，</w:t>
      </w:r>
      <w:proofErr w:type="gramStart"/>
      <w:r w:rsidRPr="001B6E4D">
        <w:rPr>
          <w:rFonts w:ascii="標楷體" w:eastAsia="標楷體" w:hAnsi="標楷體" w:cs="Calibri" w:hint="eastAsia"/>
          <w:kern w:val="0"/>
          <w:sz w:val="32"/>
          <w:szCs w:val="32"/>
        </w:rPr>
        <w:t>倩綺</w:t>
      </w:r>
      <w:proofErr w:type="gramEnd"/>
      <w:r w:rsidRPr="001B6E4D">
        <w:rPr>
          <w:rFonts w:ascii="標楷體" w:eastAsia="標楷體" w:hAnsi="標楷體" w:cs="Calibri" w:hint="eastAsia"/>
          <w:kern w:val="0"/>
          <w:sz w:val="32"/>
          <w:szCs w:val="32"/>
        </w:rPr>
        <w:t>委員曾經是新北市文化局的局長，所以，她就很清楚知道，這個文化古蹟的保存各方面要注意的事項。我想，今天</w:t>
      </w:r>
      <w:proofErr w:type="gramStart"/>
      <w:r w:rsidRPr="001B6E4D">
        <w:rPr>
          <w:rFonts w:ascii="標楷體" w:eastAsia="標楷體" w:hAnsi="標楷體" w:cs="Calibri" w:hint="eastAsia"/>
          <w:kern w:val="0"/>
          <w:sz w:val="32"/>
          <w:szCs w:val="32"/>
        </w:rPr>
        <w:t>倩綺</w:t>
      </w:r>
      <w:proofErr w:type="gramEnd"/>
      <w:r w:rsidRPr="001B6E4D">
        <w:rPr>
          <w:rFonts w:ascii="標楷體" w:eastAsia="標楷體" w:hAnsi="標楷體" w:cs="Calibri" w:hint="eastAsia"/>
          <w:kern w:val="0"/>
          <w:sz w:val="32"/>
          <w:szCs w:val="32"/>
        </w:rPr>
        <w:t>委員一定可以給司法博物館很多寶貴建議。除此之外，還要特別感謝今天司法院同仁們，對這次活動給予大力協助，那接下來，如果可以就開始進行專題簡報，謝謝。</w:t>
      </w:r>
    </w:p>
    <w:p w14:paraId="1F402872" w14:textId="77777777" w:rsidR="00B921E8" w:rsidRPr="001B6E4D" w:rsidRDefault="00B921E8" w:rsidP="003D1018">
      <w:pPr>
        <w:widowControl w:val="0"/>
        <w:numPr>
          <w:ilvl w:val="0"/>
          <w:numId w:val="20"/>
        </w:numPr>
        <w:overflowPunct w:val="0"/>
        <w:spacing w:beforeLines="50" w:before="180" w:after="140" w:line="540" w:lineRule="exact"/>
        <w:jc w:val="both"/>
        <w:rPr>
          <w:rFonts w:ascii="標楷體" w:eastAsia="標楷體" w:hAnsi="標楷體" w:cs="Calibri"/>
          <w:b/>
          <w:bCs/>
          <w:kern w:val="0"/>
          <w:sz w:val="32"/>
          <w:szCs w:val="32"/>
        </w:rPr>
      </w:pPr>
      <w:r w:rsidRPr="001B6E4D">
        <w:rPr>
          <w:rFonts w:ascii="標楷體" w:eastAsia="標楷體" w:hAnsi="標楷體" w:cs="Calibri" w:hint="eastAsia"/>
          <w:b/>
          <w:bCs/>
          <w:kern w:val="0"/>
          <w:sz w:val="32"/>
          <w:szCs w:val="32"/>
        </w:rPr>
        <w:t>「司法院司法博物館營運情形」策進概況專題簡報</w:t>
      </w:r>
      <w:r w:rsidRPr="001B6E4D">
        <w:rPr>
          <w:rFonts w:ascii="標楷體" w:eastAsia="標楷體" w:hAnsi="標楷體" w:cs="Calibri"/>
          <w:b/>
          <w:bCs/>
          <w:kern w:val="0"/>
          <w:sz w:val="32"/>
          <w:szCs w:val="32"/>
        </w:rPr>
        <w:t>：</w:t>
      </w:r>
    </w:p>
    <w:p w14:paraId="7B5C4ECA" w14:textId="6088E17E" w:rsidR="00B921E8" w:rsidRPr="001B6E4D" w:rsidRDefault="00B921E8" w:rsidP="003D1018">
      <w:pPr>
        <w:widowControl w:val="0"/>
        <w:numPr>
          <w:ilvl w:val="0"/>
          <w:numId w:val="23"/>
        </w:numPr>
        <w:overflowPunct w:val="0"/>
        <w:spacing w:beforeLines="50" w:before="180" w:after="140" w:line="540" w:lineRule="exact"/>
        <w:ind w:left="1077" w:hanging="1077"/>
        <w:jc w:val="both"/>
        <w:rPr>
          <w:rFonts w:ascii="標楷體" w:eastAsia="標楷體" w:hAnsi="標楷體" w:cs="Calibri"/>
          <w:b/>
          <w:kern w:val="0"/>
          <w:sz w:val="32"/>
          <w:szCs w:val="32"/>
        </w:rPr>
      </w:pPr>
      <w:r w:rsidRPr="001B6E4D">
        <w:rPr>
          <w:rFonts w:ascii="標楷體" w:eastAsia="標楷體" w:hAnsi="標楷體" w:cs="Calibri" w:hint="eastAsia"/>
          <w:b/>
          <w:kern w:val="0"/>
          <w:sz w:val="32"/>
          <w:szCs w:val="32"/>
        </w:rPr>
        <w:t>司法院新聞與法治宣導處吳處長定亞</w:t>
      </w:r>
    </w:p>
    <w:p w14:paraId="1F479020"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兩位委員、秘書長、</w:t>
      </w:r>
      <w:proofErr w:type="gramStart"/>
      <w:r w:rsidRPr="001B6E4D">
        <w:rPr>
          <w:rFonts w:ascii="標楷體" w:eastAsia="標楷體" w:hAnsi="標楷體" w:cs="Calibri" w:hint="eastAsia"/>
          <w:kern w:val="0"/>
          <w:sz w:val="32"/>
          <w:szCs w:val="32"/>
        </w:rPr>
        <w:t>在場的</w:t>
      </w:r>
      <w:proofErr w:type="gramEnd"/>
      <w:r w:rsidRPr="001B6E4D">
        <w:rPr>
          <w:rFonts w:ascii="標楷體" w:eastAsia="標楷體" w:hAnsi="標楷體" w:cs="Calibri" w:hint="eastAsia"/>
          <w:kern w:val="0"/>
          <w:sz w:val="32"/>
          <w:szCs w:val="32"/>
        </w:rPr>
        <w:t>長官、各位嘉賓大家好，我是司法院新聞及法治宣導處處長。先簡單說明，依照司法博物館組織條例，我兼任副館長，副秘書長擔任館長，今天所在的司法博物館，也是日治時代橫跨至國民政府時期的</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南地方法院。</w:t>
      </w:r>
    </w:p>
    <w:p w14:paraId="1770CF1B"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民國86年升格為國定古蹟，105年成立博物館，由</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南地方法院管理。113年7月，司法院</w:t>
      </w:r>
      <w:proofErr w:type="gramStart"/>
      <w:r w:rsidRPr="001B6E4D">
        <w:rPr>
          <w:rFonts w:ascii="標楷體" w:eastAsia="標楷體" w:hAnsi="標楷體" w:cs="Calibri" w:hint="eastAsia"/>
          <w:kern w:val="0"/>
          <w:sz w:val="32"/>
          <w:szCs w:val="32"/>
        </w:rPr>
        <w:t>訂立司博館</w:t>
      </w:r>
      <w:proofErr w:type="gramEnd"/>
      <w:r w:rsidRPr="001B6E4D">
        <w:rPr>
          <w:rFonts w:ascii="標楷體" w:eastAsia="標楷體" w:hAnsi="標楷體" w:cs="Calibri" w:hint="eastAsia"/>
          <w:kern w:val="0"/>
          <w:sz w:val="32"/>
          <w:szCs w:val="32"/>
        </w:rPr>
        <w:t>的組織條例，113年10月正式回歸司法院，</w:t>
      </w:r>
      <w:proofErr w:type="gramStart"/>
      <w:r w:rsidRPr="001B6E4D">
        <w:rPr>
          <w:rFonts w:ascii="標楷體" w:eastAsia="標楷體" w:hAnsi="標楷體" w:cs="Calibri" w:hint="eastAsia"/>
          <w:kern w:val="0"/>
          <w:sz w:val="32"/>
          <w:szCs w:val="32"/>
        </w:rPr>
        <w:t>就是司博館</w:t>
      </w:r>
      <w:proofErr w:type="gramEnd"/>
      <w:r w:rsidRPr="001B6E4D">
        <w:rPr>
          <w:rFonts w:ascii="標楷體" w:eastAsia="標楷體" w:hAnsi="標楷體" w:cs="Calibri" w:hint="eastAsia"/>
          <w:kern w:val="0"/>
          <w:sz w:val="32"/>
          <w:szCs w:val="32"/>
        </w:rPr>
        <w:t>從附屬走</w:t>
      </w:r>
      <w:r w:rsidRPr="001B6E4D">
        <w:rPr>
          <w:rFonts w:ascii="標楷體" w:eastAsia="標楷體" w:hAnsi="標楷體" w:cs="Calibri" w:hint="eastAsia"/>
          <w:kern w:val="0"/>
          <w:sz w:val="32"/>
          <w:szCs w:val="32"/>
        </w:rPr>
        <w:lastRenderedPageBreak/>
        <w:t>向獨立專業經營。</w:t>
      </w:r>
      <w:proofErr w:type="gramStart"/>
      <w:r w:rsidRPr="001B6E4D">
        <w:rPr>
          <w:rFonts w:ascii="標楷體" w:eastAsia="標楷體" w:hAnsi="標楷體" w:cs="Calibri" w:hint="eastAsia"/>
          <w:kern w:val="0"/>
          <w:sz w:val="32"/>
          <w:szCs w:val="32"/>
        </w:rPr>
        <w:t>司博館</w:t>
      </w:r>
      <w:proofErr w:type="gramEnd"/>
      <w:r w:rsidRPr="001B6E4D">
        <w:rPr>
          <w:rFonts w:ascii="標楷體" w:eastAsia="標楷體" w:hAnsi="標楷體" w:cs="Calibri" w:hint="eastAsia"/>
          <w:kern w:val="0"/>
          <w:sz w:val="32"/>
          <w:szCs w:val="32"/>
        </w:rPr>
        <w:t>本身具有文化資產的歷史意義，見證臺灣從殖民統治，邁向中華民國正式實施民主法治的歷程展現，也希望能發揮法治教育的功能，於是現在由司法院新聞及法治宣導處四科管理。</w:t>
      </w:r>
    </w:p>
    <w:p w14:paraId="5DC5EA1E"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自105年開始經營到現在115年，參觀人數平均一年10萬多人，一個月將近9</w:t>
      </w:r>
      <w:r w:rsidRPr="001B6E4D">
        <w:rPr>
          <w:rFonts w:ascii="標楷體" w:eastAsia="標楷體" w:hAnsi="標楷體" w:cs="Calibri"/>
          <w:kern w:val="0"/>
          <w:sz w:val="32"/>
          <w:szCs w:val="32"/>
        </w:rPr>
        <w:t>,</w:t>
      </w:r>
      <w:r w:rsidRPr="001B6E4D">
        <w:rPr>
          <w:rFonts w:ascii="標楷體" w:eastAsia="標楷體" w:hAnsi="標楷體" w:cs="Calibri" w:hint="eastAsia"/>
          <w:kern w:val="0"/>
          <w:sz w:val="32"/>
          <w:szCs w:val="32"/>
        </w:rPr>
        <w:t>000人次，自司法院接管以來，參觀人數也有13萬人次，可見得民眾對於理解司法的渴望，使得博物館有它更特別的價值。</w:t>
      </w:r>
    </w:p>
    <w:p w14:paraId="0CB35A4B"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空間部分，法庭區域包含：1.第一法庭，調解的展覽、2.第二法庭，認識法院跟法庭、3.第三法庭，是日治時期的第一法庭，現保持原本法庭空間，讓民眾去</w:t>
      </w:r>
      <w:proofErr w:type="gramStart"/>
      <w:r w:rsidRPr="001B6E4D">
        <w:rPr>
          <w:rFonts w:ascii="標楷體" w:eastAsia="標楷體" w:hAnsi="標楷體" w:cs="Calibri" w:hint="eastAsia"/>
          <w:kern w:val="0"/>
          <w:sz w:val="32"/>
          <w:szCs w:val="32"/>
        </w:rPr>
        <w:t>沉</w:t>
      </w:r>
      <w:proofErr w:type="gramEnd"/>
      <w:r w:rsidRPr="001B6E4D">
        <w:rPr>
          <w:rFonts w:ascii="標楷體" w:eastAsia="標楷體" w:hAnsi="標楷體" w:cs="Calibri" w:hint="eastAsia"/>
          <w:kern w:val="0"/>
          <w:sz w:val="32"/>
          <w:szCs w:val="32"/>
        </w:rPr>
        <w:t>浸體驗審判的情緒跟肅穆、4.第四法庭，提供法袍試穿，亦提供學校做公民教育的模擬法庭。其餘空間尚有萬壽宮遺址、拘留室、奉安所、</w:t>
      </w:r>
      <w:proofErr w:type="gramStart"/>
      <w:r w:rsidRPr="001B6E4D">
        <w:rPr>
          <w:rFonts w:ascii="標楷體" w:eastAsia="標楷體" w:hAnsi="標楷體" w:cs="Calibri" w:hint="eastAsia"/>
          <w:kern w:val="0"/>
          <w:sz w:val="32"/>
          <w:szCs w:val="32"/>
        </w:rPr>
        <w:t>文創商店</w:t>
      </w:r>
      <w:proofErr w:type="gramEnd"/>
      <w:r w:rsidRPr="001B6E4D">
        <w:rPr>
          <w:rFonts w:ascii="標楷體" w:eastAsia="標楷體" w:hAnsi="標楷體" w:cs="Calibri" w:hint="eastAsia"/>
          <w:kern w:val="0"/>
          <w:sz w:val="32"/>
          <w:szCs w:val="32"/>
        </w:rPr>
        <w:t>等。期望博物館每一個空間能夠都能夠與法治教育、司法歷史跟文化，尤其是中華民國在臺灣結合。</w:t>
      </w:r>
    </w:p>
    <w:p w14:paraId="579B971B"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掌理事項主要有四大任務：1.研究典藏，期望就司法的史料跟文物研究進行保存維護。2.專業的策展，針對司法相關議題或者是司法教育進行策展。3.教育推廣，期望推廣法治教育，甚至是館際、國際的合作。4.設施的維護，古蹟硬體維護是相當重要。</w:t>
      </w:r>
    </w:p>
    <w:p w14:paraId="0700D8EE"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115年預算編列部分，展覽跟教育是1</w:t>
      </w:r>
      <w:r w:rsidRPr="001B6E4D">
        <w:rPr>
          <w:rFonts w:ascii="標楷體" w:eastAsia="標楷體" w:hAnsi="標楷體" w:cs="Calibri"/>
          <w:kern w:val="0"/>
          <w:sz w:val="32"/>
          <w:szCs w:val="32"/>
        </w:rPr>
        <w:t>,</w:t>
      </w:r>
      <w:r w:rsidRPr="001B6E4D">
        <w:rPr>
          <w:rFonts w:ascii="標楷體" w:eastAsia="標楷體" w:hAnsi="標楷體" w:cs="Calibri" w:hint="eastAsia"/>
          <w:kern w:val="0"/>
          <w:sz w:val="32"/>
          <w:szCs w:val="32"/>
        </w:rPr>
        <w:t>531萬元，古蹟營</w:t>
      </w:r>
      <w:proofErr w:type="gramStart"/>
      <w:r w:rsidRPr="001B6E4D">
        <w:rPr>
          <w:rFonts w:ascii="標楷體" w:eastAsia="標楷體" w:hAnsi="標楷體" w:cs="Calibri" w:hint="eastAsia"/>
          <w:kern w:val="0"/>
          <w:sz w:val="32"/>
          <w:szCs w:val="32"/>
        </w:rPr>
        <w:t>繕</w:t>
      </w:r>
      <w:proofErr w:type="gramEnd"/>
      <w:r w:rsidRPr="001B6E4D">
        <w:rPr>
          <w:rFonts w:ascii="標楷體" w:eastAsia="標楷體" w:hAnsi="標楷體" w:cs="Calibri" w:hint="eastAsia"/>
          <w:kern w:val="0"/>
          <w:sz w:val="32"/>
          <w:szCs w:val="32"/>
        </w:rPr>
        <w:t>跟保險費是760萬元。依照現今展覽設計、結合多媒體跟數位體驗，展覽需要相當的費用。今年一檔</w:t>
      </w:r>
      <w:proofErr w:type="gramStart"/>
      <w:r w:rsidRPr="001B6E4D">
        <w:rPr>
          <w:rFonts w:ascii="標楷體" w:eastAsia="標楷體" w:hAnsi="標楷體" w:cs="Calibri" w:hint="eastAsia"/>
          <w:kern w:val="0"/>
          <w:sz w:val="32"/>
          <w:szCs w:val="32"/>
        </w:rPr>
        <w:t>特</w:t>
      </w:r>
      <w:proofErr w:type="gramEnd"/>
      <w:r w:rsidRPr="001B6E4D">
        <w:rPr>
          <w:rFonts w:ascii="標楷體" w:eastAsia="標楷體" w:hAnsi="標楷體" w:cs="Calibri" w:hint="eastAsia"/>
          <w:kern w:val="0"/>
          <w:sz w:val="32"/>
          <w:szCs w:val="32"/>
        </w:rPr>
        <w:t>展將近500萬，但是希望能夠把錢花在刀口上，把展覽做得更好。常設展部分則需要更好的維持性，希望維持五年以</w:t>
      </w:r>
      <w:r w:rsidRPr="001B6E4D">
        <w:rPr>
          <w:rFonts w:ascii="標楷體" w:eastAsia="標楷體" w:hAnsi="標楷體" w:cs="Calibri" w:hint="eastAsia"/>
          <w:kern w:val="0"/>
          <w:sz w:val="32"/>
          <w:szCs w:val="32"/>
        </w:rPr>
        <w:lastRenderedPageBreak/>
        <w:t>上，這方面也希望委員能夠支持費用。另外，關於古蹟修復，</w:t>
      </w:r>
      <w:proofErr w:type="gramStart"/>
      <w:r w:rsidRPr="001B6E4D">
        <w:rPr>
          <w:rFonts w:ascii="標楷體" w:eastAsia="標楷體" w:hAnsi="標楷體" w:cs="Calibri" w:hint="eastAsia"/>
          <w:kern w:val="0"/>
          <w:sz w:val="32"/>
          <w:szCs w:val="32"/>
        </w:rPr>
        <w:t>我們修舊如舊</w:t>
      </w:r>
      <w:proofErr w:type="gramEnd"/>
      <w:r w:rsidRPr="001B6E4D">
        <w:rPr>
          <w:rFonts w:ascii="標楷體" w:eastAsia="標楷體" w:hAnsi="標楷體" w:cs="Calibri" w:hint="eastAsia"/>
          <w:kern w:val="0"/>
          <w:sz w:val="32"/>
          <w:szCs w:val="32"/>
        </w:rPr>
        <w:t>，盡力維護古蹟的安全跟保存。</w:t>
      </w:r>
    </w:p>
    <w:p w14:paraId="468EC813"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依照司法博物館組織條例，應設立一個科長，現在由於人力短缺，由</w:t>
      </w:r>
      <w:proofErr w:type="gramStart"/>
      <w:r w:rsidRPr="001B6E4D">
        <w:rPr>
          <w:rFonts w:ascii="標楷體" w:eastAsia="標楷體" w:hAnsi="標楷體" w:cs="Calibri" w:hint="eastAsia"/>
          <w:kern w:val="0"/>
          <w:sz w:val="32"/>
          <w:szCs w:val="32"/>
        </w:rPr>
        <w:t>新宣處一</w:t>
      </w:r>
      <w:proofErr w:type="gramEnd"/>
      <w:r w:rsidRPr="001B6E4D">
        <w:rPr>
          <w:rFonts w:ascii="標楷體" w:eastAsia="標楷體" w:hAnsi="標楷體" w:cs="Calibri" w:hint="eastAsia"/>
          <w:kern w:val="0"/>
          <w:sz w:val="32"/>
          <w:szCs w:val="32"/>
        </w:rPr>
        <w:t>科科長兼任四科科長，其餘成員包括專員、聘任研究員、科員、委外人力的助理們，在既有架構、有限經費及資源之下，盡力共同協助營運。博物館營運不是單純自己想像，也</w:t>
      </w:r>
      <w:proofErr w:type="gramStart"/>
      <w:r w:rsidRPr="001B6E4D">
        <w:rPr>
          <w:rFonts w:ascii="標楷體" w:eastAsia="標楷體" w:hAnsi="標楷體" w:cs="Calibri" w:hint="eastAsia"/>
          <w:kern w:val="0"/>
          <w:sz w:val="32"/>
          <w:szCs w:val="32"/>
        </w:rPr>
        <w:t>不</w:t>
      </w:r>
      <w:proofErr w:type="gramEnd"/>
      <w:r w:rsidRPr="001B6E4D">
        <w:rPr>
          <w:rFonts w:ascii="標楷體" w:eastAsia="標楷體" w:hAnsi="標楷體" w:cs="Calibri" w:hint="eastAsia"/>
          <w:kern w:val="0"/>
          <w:sz w:val="32"/>
          <w:szCs w:val="32"/>
        </w:rPr>
        <w:t>侷限於連結在地，亦包括規劃出國交流考察國外博物館經營。</w:t>
      </w:r>
    </w:p>
    <w:p w14:paraId="6E9E61C8"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館藏部分，重要的司法文書都已經送到檔案局，</w:t>
      </w:r>
      <w:proofErr w:type="gramStart"/>
      <w:r w:rsidRPr="001B6E4D">
        <w:rPr>
          <w:rFonts w:ascii="標楷體" w:eastAsia="標楷體" w:hAnsi="標楷體" w:cs="Calibri" w:hint="eastAsia"/>
          <w:kern w:val="0"/>
          <w:sz w:val="32"/>
          <w:szCs w:val="32"/>
        </w:rPr>
        <w:t>目前司博</w:t>
      </w:r>
      <w:proofErr w:type="gramEnd"/>
      <w:r w:rsidRPr="001B6E4D">
        <w:rPr>
          <w:rFonts w:ascii="標楷體" w:eastAsia="標楷體" w:hAnsi="標楷體" w:cs="Calibri" w:hint="eastAsia"/>
          <w:kern w:val="0"/>
          <w:sz w:val="32"/>
          <w:szCs w:val="32"/>
        </w:rPr>
        <w:t>館典藏文物，大致分為四大類：1.文書類、2.衣物類、3.器具類、4.其他。文書類，是過去透過司法文物的徵集、法官捐贈的紙質文物，例如判決書、申請傳票、或者是法官職</w:t>
      </w:r>
      <w:proofErr w:type="gramStart"/>
      <w:r w:rsidRPr="001B6E4D">
        <w:rPr>
          <w:rFonts w:ascii="標楷體" w:eastAsia="標楷體" w:hAnsi="標楷體" w:cs="Calibri" w:hint="eastAsia"/>
          <w:kern w:val="0"/>
          <w:sz w:val="32"/>
          <w:szCs w:val="32"/>
        </w:rPr>
        <w:t>涯</w:t>
      </w:r>
      <w:proofErr w:type="gramEnd"/>
      <w:r w:rsidRPr="001B6E4D">
        <w:rPr>
          <w:rFonts w:ascii="標楷體" w:eastAsia="標楷體" w:hAnsi="標楷體" w:cs="Calibri" w:hint="eastAsia"/>
          <w:kern w:val="0"/>
          <w:sz w:val="32"/>
          <w:szCs w:val="32"/>
        </w:rPr>
        <w:t>的派令聘書。衣物類，則有</w:t>
      </w:r>
      <w:proofErr w:type="gramStart"/>
      <w:r w:rsidRPr="001B6E4D">
        <w:rPr>
          <w:rFonts w:ascii="標楷體" w:eastAsia="標楷體" w:hAnsi="標楷體" w:cs="Calibri" w:hint="eastAsia"/>
          <w:kern w:val="0"/>
          <w:sz w:val="32"/>
          <w:szCs w:val="32"/>
        </w:rPr>
        <w:t>復刻日治</w:t>
      </w:r>
      <w:proofErr w:type="gramEnd"/>
      <w:r w:rsidRPr="001B6E4D">
        <w:rPr>
          <w:rFonts w:ascii="標楷體" w:eastAsia="標楷體" w:hAnsi="標楷體" w:cs="Calibri" w:hint="eastAsia"/>
          <w:kern w:val="0"/>
          <w:sz w:val="32"/>
          <w:szCs w:val="32"/>
        </w:rPr>
        <w:t>時期法袍，未來期望蒐集中華民國在臺灣相關法袍。器具類，包含之前舊</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南地方法院留下來</w:t>
      </w:r>
      <w:proofErr w:type="gramStart"/>
      <w:r w:rsidRPr="001B6E4D">
        <w:rPr>
          <w:rFonts w:ascii="標楷體" w:eastAsia="標楷體" w:hAnsi="標楷體" w:cs="Calibri" w:hint="eastAsia"/>
          <w:kern w:val="0"/>
          <w:sz w:val="32"/>
          <w:szCs w:val="32"/>
        </w:rPr>
        <w:t>的法槌</w:t>
      </w:r>
      <w:proofErr w:type="gramEnd"/>
      <w:r w:rsidRPr="001B6E4D">
        <w:rPr>
          <w:rFonts w:ascii="標楷體" w:eastAsia="標楷體" w:hAnsi="標楷體" w:cs="Calibri" w:hint="eastAsia"/>
          <w:kern w:val="0"/>
          <w:sz w:val="32"/>
          <w:szCs w:val="32"/>
        </w:rPr>
        <w:t>、名牌、高腳椅、保險箱等。未來預算有很大的一部分，希望委員</w:t>
      </w:r>
      <w:proofErr w:type="gramStart"/>
      <w:r w:rsidRPr="001B6E4D">
        <w:rPr>
          <w:rFonts w:ascii="標楷體" w:eastAsia="標楷體" w:hAnsi="標楷體" w:cs="Calibri" w:hint="eastAsia"/>
          <w:kern w:val="0"/>
          <w:sz w:val="32"/>
          <w:szCs w:val="32"/>
        </w:rPr>
        <w:t>支持司博館</w:t>
      </w:r>
      <w:proofErr w:type="gramEnd"/>
      <w:r w:rsidRPr="001B6E4D">
        <w:rPr>
          <w:rFonts w:ascii="標楷體" w:eastAsia="標楷體" w:hAnsi="標楷體" w:cs="Calibri" w:hint="eastAsia"/>
          <w:kern w:val="0"/>
          <w:sz w:val="32"/>
          <w:szCs w:val="32"/>
        </w:rPr>
        <w:t>保存設備及典藏研究相關預算。</w:t>
      </w:r>
    </w:p>
    <w:p w14:paraId="4D1A308A"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展覽，分為常設展跟</w:t>
      </w:r>
      <w:proofErr w:type="gramStart"/>
      <w:r w:rsidRPr="001B6E4D">
        <w:rPr>
          <w:rFonts w:ascii="標楷體" w:eastAsia="標楷體" w:hAnsi="標楷體" w:cs="Calibri" w:hint="eastAsia"/>
          <w:kern w:val="0"/>
          <w:sz w:val="32"/>
          <w:szCs w:val="32"/>
        </w:rPr>
        <w:t>特</w:t>
      </w:r>
      <w:proofErr w:type="gramEnd"/>
      <w:r w:rsidRPr="001B6E4D">
        <w:rPr>
          <w:rFonts w:ascii="標楷體" w:eastAsia="標楷體" w:hAnsi="標楷體" w:cs="Calibri" w:hint="eastAsia"/>
          <w:kern w:val="0"/>
          <w:sz w:val="32"/>
          <w:szCs w:val="32"/>
        </w:rPr>
        <w:t>展。後續常設展規劃運用第一、二法庭及拘留室，目前則有3個</w:t>
      </w:r>
      <w:proofErr w:type="gramStart"/>
      <w:r w:rsidRPr="001B6E4D">
        <w:rPr>
          <w:rFonts w:ascii="標楷體" w:eastAsia="標楷體" w:hAnsi="標楷體" w:cs="Calibri" w:hint="eastAsia"/>
          <w:kern w:val="0"/>
          <w:sz w:val="32"/>
          <w:szCs w:val="32"/>
        </w:rPr>
        <w:t>特</w:t>
      </w:r>
      <w:proofErr w:type="gramEnd"/>
      <w:r w:rsidRPr="001B6E4D">
        <w:rPr>
          <w:rFonts w:ascii="標楷體" w:eastAsia="標楷體" w:hAnsi="標楷體" w:cs="Calibri" w:hint="eastAsia"/>
          <w:kern w:val="0"/>
          <w:sz w:val="32"/>
          <w:szCs w:val="32"/>
        </w:rPr>
        <w:t>展：</w:t>
      </w:r>
      <w:proofErr w:type="gramStart"/>
      <w:r w:rsidRPr="001B6E4D">
        <w:rPr>
          <w:rFonts w:ascii="標楷體" w:eastAsia="標楷體" w:hAnsi="標楷體" w:cs="Calibri" w:hint="eastAsia"/>
          <w:kern w:val="0"/>
          <w:sz w:val="32"/>
          <w:szCs w:val="32"/>
        </w:rPr>
        <w:t>《</w:t>
      </w:r>
      <w:proofErr w:type="gramEnd"/>
      <w:r w:rsidRPr="001B6E4D">
        <w:rPr>
          <w:rFonts w:ascii="標楷體" w:eastAsia="標楷體" w:hAnsi="標楷體" w:cs="Calibri" w:hint="eastAsia"/>
          <w:kern w:val="0"/>
          <w:sz w:val="32"/>
          <w:szCs w:val="32"/>
        </w:rPr>
        <w:t>權力，你哪位？》、女法官協會</w:t>
      </w:r>
      <w:proofErr w:type="gramStart"/>
      <w:r w:rsidRPr="001B6E4D">
        <w:rPr>
          <w:rFonts w:ascii="標楷體" w:eastAsia="標楷體" w:hAnsi="標楷體" w:cs="Calibri" w:hint="eastAsia"/>
          <w:kern w:val="0"/>
          <w:sz w:val="32"/>
          <w:szCs w:val="32"/>
        </w:rPr>
        <w:t>特</w:t>
      </w:r>
      <w:proofErr w:type="gramEnd"/>
      <w:r w:rsidRPr="001B6E4D">
        <w:rPr>
          <w:rFonts w:ascii="標楷體" w:eastAsia="標楷體" w:hAnsi="標楷體" w:cs="Calibri" w:hint="eastAsia"/>
          <w:kern w:val="0"/>
          <w:sz w:val="32"/>
          <w:szCs w:val="32"/>
        </w:rPr>
        <w:t>展、法官協會三十週年</w:t>
      </w:r>
      <w:proofErr w:type="gramStart"/>
      <w:r w:rsidRPr="001B6E4D">
        <w:rPr>
          <w:rFonts w:ascii="標楷體" w:eastAsia="標楷體" w:hAnsi="標楷體" w:cs="Calibri" w:hint="eastAsia"/>
          <w:kern w:val="0"/>
          <w:sz w:val="32"/>
          <w:szCs w:val="32"/>
        </w:rPr>
        <w:t>特</w:t>
      </w:r>
      <w:proofErr w:type="gramEnd"/>
      <w:r w:rsidRPr="001B6E4D">
        <w:rPr>
          <w:rFonts w:ascii="標楷體" w:eastAsia="標楷體" w:hAnsi="標楷體" w:cs="Calibri" w:hint="eastAsia"/>
          <w:kern w:val="0"/>
          <w:sz w:val="32"/>
          <w:szCs w:val="32"/>
        </w:rPr>
        <w:t>展。其中</w:t>
      </w:r>
      <w:proofErr w:type="gramStart"/>
      <w:r w:rsidRPr="001B6E4D">
        <w:rPr>
          <w:rFonts w:ascii="標楷體" w:eastAsia="標楷體" w:hAnsi="標楷體" w:cs="Calibri" w:hint="eastAsia"/>
          <w:kern w:val="0"/>
          <w:sz w:val="32"/>
          <w:szCs w:val="32"/>
        </w:rPr>
        <w:t>《</w:t>
      </w:r>
      <w:proofErr w:type="gramEnd"/>
      <w:r w:rsidRPr="001B6E4D">
        <w:rPr>
          <w:rFonts w:ascii="標楷體" w:eastAsia="標楷體" w:hAnsi="標楷體" w:cs="Calibri" w:hint="eastAsia"/>
          <w:kern w:val="0"/>
          <w:sz w:val="32"/>
          <w:szCs w:val="32"/>
        </w:rPr>
        <w:t>權力，你哪位？》介紹許多大法官解釋</w:t>
      </w:r>
      <w:proofErr w:type="gramStart"/>
      <w:r w:rsidRPr="001B6E4D">
        <w:rPr>
          <w:rFonts w:ascii="標楷體" w:eastAsia="標楷體" w:hAnsi="標楷體" w:cs="Calibri" w:hint="eastAsia"/>
          <w:kern w:val="0"/>
          <w:sz w:val="32"/>
          <w:szCs w:val="32"/>
        </w:rPr>
        <w:t>或是憲判</w:t>
      </w:r>
      <w:proofErr w:type="gramEnd"/>
      <w:r w:rsidRPr="001B6E4D">
        <w:rPr>
          <w:rFonts w:ascii="標楷體" w:eastAsia="標楷體" w:hAnsi="標楷體" w:cs="Calibri" w:hint="eastAsia"/>
          <w:kern w:val="0"/>
          <w:sz w:val="32"/>
          <w:szCs w:val="32"/>
        </w:rPr>
        <w:t>制度關於基本權的保護，包含非常多有趣的案例。特</w:t>
      </w:r>
      <w:proofErr w:type="gramStart"/>
      <w:r w:rsidRPr="001B6E4D">
        <w:rPr>
          <w:rFonts w:ascii="標楷體" w:eastAsia="標楷體" w:hAnsi="標楷體" w:cs="Calibri" w:hint="eastAsia"/>
          <w:kern w:val="0"/>
          <w:sz w:val="32"/>
          <w:szCs w:val="32"/>
        </w:rPr>
        <w:t>展撤展</w:t>
      </w:r>
      <w:proofErr w:type="gramEnd"/>
      <w:r w:rsidRPr="001B6E4D">
        <w:rPr>
          <w:rFonts w:ascii="標楷體" w:eastAsia="標楷體" w:hAnsi="標楷體" w:cs="Calibri" w:hint="eastAsia"/>
          <w:kern w:val="0"/>
          <w:sz w:val="32"/>
          <w:szCs w:val="32"/>
        </w:rPr>
        <w:t>後，規劃轉存為數位展覽，供更多民眾體驗。</w:t>
      </w:r>
    </w:p>
    <w:p w14:paraId="00C4F3C8"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志工，在</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南地方法院管理時期，</w:t>
      </w:r>
      <w:proofErr w:type="gramStart"/>
      <w:r w:rsidRPr="001B6E4D">
        <w:rPr>
          <w:rFonts w:ascii="標楷體" w:eastAsia="標楷體" w:hAnsi="標楷體" w:cs="Calibri" w:hint="eastAsia"/>
          <w:kern w:val="0"/>
          <w:sz w:val="32"/>
          <w:szCs w:val="32"/>
        </w:rPr>
        <w:t>囿</w:t>
      </w:r>
      <w:proofErr w:type="gramEnd"/>
      <w:r w:rsidRPr="001B6E4D">
        <w:rPr>
          <w:rFonts w:ascii="標楷體" w:eastAsia="標楷體" w:hAnsi="標楷體" w:cs="Calibri" w:hint="eastAsia"/>
          <w:kern w:val="0"/>
          <w:sz w:val="32"/>
          <w:szCs w:val="32"/>
        </w:rPr>
        <w:t>於人力不足，需要許多志工人力協助營運，又分一般志</w:t>
      </w:r>
      <w:proofErr w:type="gramStart"/>
      <w:r w:rsidRPr="001B6E4D">
        <w:rPr>
          <w:rFonts w:ascii="標楷體" w:eastAsia="標楷體" w:hAnsi="標楷體" w:cs="Calibri" w:hint="eastAsia"/>
          <w:kern w:val="0"/>
          <w:sz w:val="32"/>
          <w:szCs w:val="32"/>
        </w:rPr>
        <w:t>工跟導覽</w:t>
      </w:r>
      <w:proofErr w:type="gramEnd"/>
      <w:r w:rsidRPr="001B6E4D">
        <w:rPr>
          <w:rFonts w:ascii="標楷體" w:eastAsia="標楷體" w:hAnsi="標楷體" w:cs="Calibri" w:hint="eastAsia"/>
          <w:kern w:val="0"/>
          <w:sz w:val="32"/>
          <w:szCs w:val="32"/>
        </w:rPr>
        <w:t>志工。目前志工</w:t>
      </w:r>
      <w:proofErr w:type="gramStart"/>
      <w:r w:rsidRPr="001B6E4D">
        <w:rPr>
          <w:rFonts w:ascii="標楷體" w:eastAsia="標楷體" w:hAnsi="標楷體" w:cs="Calibri" w:hint="eastAsia"/>
          <w:kern w:val="0"/>
          <w:sz w:val="32"/>
          <w:szCs w:val="32"/>
        </w:rPr>
        <w:t>仍是司博館</w:t>
      </w:r>
      <w:proofErr w:type="gramEnd"/>
      <w:r w:rsidRPr="001B6E4D">
        <w:rPr>
          <w:rFonts w:ascii="標楷體" w:eastAsia="標楷體" w:hAnsi="標楷體" w:cs="Calibri" w:hint="eastAsia"/>
          <w:kern w:val="0"/>
          <w:sz w:val="32"/>
          <w:szCs w:val="32"/>
        </w:rPr>
        <w:t>重要的生命力，許多志工係</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南人或高雄人，與在地連結性強，某種程度上亦是發揮長照功能。</w:t>
      </w:r>
    </w:p>
    <w:p w14:paraId="1EC8E460"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lastRenderedPageBreak/>
        <w:t>法治教育推廣部分，先前與</w:t>
      </w:r>
      <w:proofErr w:type="gramStart"/>
      <w:r w:rsidRPr="001B6E4D">
        <w:rPr>
          <w:rFonts w:ascii="標楷體" w:eastAsia="標楷體" w:hAnsi="標楷體" w:cs="Calibri" w:hint="eastAsia"/>
          <w:kern w:val="0"/>
          <w:sz w:val="32"/>
          <w:szCs w:val="32"/>
        </w:rPr>
        <w:t>法扶基金會臺</w:t>
      </w:r>
      <w:proofErr w:type="gramEnd"/>
      <w:r w:rsidRPr="001B6E4D">
        <w:rPr>
          <w:rFonts w:ascii="標楷體" w:eastAsia="標楷體" w:hAnsi="標楷體" w:cs="Calibri" w:hint="eastAsia"/>
          <w:kern w:val="0"/>
          <w:sz w:val="32"/>
          <w:szCs w:val="32"/>
        </w:rPr>
        <w:t>南分會合作法扶講堂，目前編列預算，自行規劃法律專業的講堂、展覽更新策劃、繪本說故事活動等。同時，</w:t>
      </w:r>
      <w:proofErr w:type="gramStart"/>
      <w:r w:rsidRPr="001B6E4D">
        <w:rPr>
          <w:rFonts w:ascii="標楷體" w:eastAsia="標楷體" w:hAnsi="標楷體" w:cs="Calibri" w:hint="eastAsia"/>
          <w:kern w:val="0"/>
          <w:sz w:val="32"/>
          <w:szCs w:val="32"/>
        </w:rPr>
        <w:t>與文創商店</w:t>
      </w:r>
      <w:proofErr w:type="gramEnd"/>
      <w:r w:rsidRPr="001B6E4D">
        <w:rPr>
          <w:rFonts w:ascii="標楷體" w:eastAsia="標楷體" w:hAnsi="標楷體" w:cs="Calibri" w:hint="eastAsia"/>
          <w:kern w:val="0"/>
          <w:sz w:val="32"/>
          <w:szCs w:val="32"/>
        </w:rPr>
        <w:t>合作開發法律</w:t>
      </w:r>
      <w:proofErr w:type="gramStart"/>
      <w:r w:rsidRPr="001B6E4D">
        <w:rPr>
          <w:rFonts w:ascii="標楷體" w:eastAsia="標楷體" w:hAnsi="標楷體" w:cs="Calibri" w:hint="eastAsia"/>
          <w:kern w:val="0"/>
          <w:sz w:val="32"/>
          <w:szCs w:val="32"/>
        </w:rPr>
        <w:t>意象文創商品</w:t>
      </w:r>
      <w:proofErr w:type="gramEnd"/>
      <w:r w:rsidRPr="001B6E4D">
        <w:rPr>
          <w:rFonts w:ascii="標楷體" w:eastAsia="標楷體" w:hAnsi="標楷體" w:cs="Calibri" w:hint="eastAsia"/>
          <w:kern w:val="0"/>
          <w:sz w:val="32"/>
          <w:szCs w:val="32"/>
        </w:rPr>
        <w:t>，例如</w:t>
      </w:r>
      <w:proofErr w:type="gramStart"/>
      <w:r w:rsidRPr="001B6E4D">
        <w:rPr>
          <w:rFonts w:ascii="標楷體" w:eastAsia="標楷體" w:hAnsi="標楷體" w:cs="Calibri" w:hint="eastAsia"/>
          <w:kern w:val="0"/>
          <w:sz w:val="32"/>
          <w:szCs w:val="32"/>
        </w:rPr>
        <w:t>法槌筆、貓擬</w:t>
      </w:r>
      <w:proofErr w:type="gramEnd"/>
      <w:r w:rsidRPr="001B6E4D">
        <w:rPr>
          <w:rFonts w:ascii="標楷體" w:eastAsia="標楷體" w:hAnsi="標楷體" w:cs="Calibri" w:hint="eastAsia"/>
          <w:kern w:val="0"/>
          <w:sz w:val="32"/>
          <w:szCs w:val="32"/>
        </w:rPr>
        <w:t>法庭系列商品等，其中，</w:t>
      </w:r>
      <w:proofErr w:type="gramStart"/>
      <w:r w:rsidRPr="001B6E4D">
        <w:rPr>
          <w:rFonts w:ascii="標楷體" w:eastAsia="標楷體" w:hAnsi="標楷體" w:cs="Calibri" w:hint="eastAsia"/>
          <w:kern w:val="0"/>
          <w:sz w:val="32"/>
          <w:szCs w:val="32"/>
        </w:rPr>
        <w:t>貓擬法庭</w:t>
      </w:r>
      <w:proofErr w:type="gramEnd"/>
      <w:r w:rsidRPr="001B6E4D">
        <w:rPr>
          <w:rFonts w:ascii="標楷體" w:eastAsia="標楷體" w:hAnsi="標楷體" w:cs="Calibri" w:hint="eastAsia"/>
          <w:kern w:val="0"/>
          <w:sz w:val="32"/>
          <w:szCs w:val="32"/>
        </w:rPr>
        <w:t>即是發想</w:t>
      </w:r>
      <w:proofErr w:type="gramStart"/>
      <w:r w:rsidRPr="001B6E4D">
        <w:rPr>
          <w:rFonts w:ascii="標楷體" w:eastAsia="標楷體" w:hAnsi="標楷體" w:cs="Calibri" w:hint="eastAsia"/>
          <w:kern w:val="0"/>
          <w:sz w:val="32"/>
          <w:szCs w:val="32"/>
        </w:rPr>
        <w:t>自司博</w:t>
      </w:r>
      <w:proofErr w:type="gramEnd"/>
      <w:r w:rsidRPr="001B6E4D">
        <w:rPr>
          <w:rFonts w:ascii="標楷體" w:eastAsia="標楷體" w:hAnsi="標楷體" w:cs="Calibri" w:hint="eastAsia"/>
          <w:kern w:val="0"/>
          <w:sz w:val="32"/>
          <w:szCs w:val="32"/>
        </w:rPr>
        <w:t>館特色</w:t>
      </w:r>
      <w:proofErr w:type="gramStart"/>
      <w:r w:rsidRPr="001B6E4D">
        <w:rPr>
          <w:rFonts w:ascii="標楷體" w:eastAsia="標楷體" w:hAnsi="標楷體" w:cs="Calibri" w:hint="eastAsia"/>
          <w:kern w:val="0"/>
          <w:sz w:val="32"/>
          <w:szCs w:val="32"/>
        </w:rPr>
        <w:t>景點貓道</w:t>
      </w:r>
      <w:proofErr w:type="gramEnd"/>
      <w:r w:rsidRPr="001B6E4D">
        <w:rPr>
          <w:rFonts w:ascii="標楷體" w:eastAsia="標楷體" w:hAnsi="標楷體" w:cs="Calibri" w:hint="eastAsia"/>
          <w:kern w:val="0"/>
          <w:sz w:val="32"/>
          <w:szCs w:val="32"/>
        </w:rPr>
        <w:t>。</w:t>
      </w:r>
    </w:p>
    <w:p w14:paraId="1BEDEA81"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115年重要專案部分，有展覽更新規劃、培訓故事人、10周年館慶及雙年展合作。</w:t>
      </w:r>
    </w:p>
    <w:p w14:paraId="114A1B9D"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color w:val="FF0000"/>
          <w:kern w:val="0"/>
          <w:sz w:val="32"/>
          <w:szCs w:val="32"/>
        </w:rPr>
      </w:pPr>
      <w:r w:rsidRPr="001B6E4D">
        <w:rPr>
          <w:rFonts w:ascii="標楷體" w:eastAsia="標楷體" w:hAnsi="標楷體" w:cs="Calibri" w:hint="eastAsia"/>
          <w:kern w:val="0"/>
          <w:sz w:val="32"/>
          <w:szCs w:val="32"/>
        </w:rPr>
        <w:t>1.刻正更新常設展與規劃</w:t>
      </w:r>
      <w:proofErr w:type="gramStart"/>
      <w:r w:rsidRPr="001B6E4D">
        <w:rPr>
          <w:rFonts w:ascii="標楷體" w:eastAsia="標楷體" w:hAnsi="標楷體" w:cs="Calibri" w:hint="eastAsia"/>
          <w:kern w:val="0"/>
          <w:sz w:val="32"/>
          <w:szCs w:val="32"/>
        </w:rPr>
        <w:t>特</w:t>
      </w:r>
      <w:proofErr w:type="gramEnd"/>
      <w:r w:rsidRPr="001B6E4D">
        <w:rPr>
          <w:rFonts w:ascii="標楷體" w:eastAsia="標楷體" w:hAnsi="標楷體" w:cs="Calibri" w:hint="eastAsia"/>
          <w:kern w:val="0"/>
          <w:sz w:val="32"/>
          <w:szCs w:val="32"/>
        </w:rPr>
        <w:t>展未來方向。其中，</w:t>
      </w:r>
      <w:proofErr w:type="gramStart"/>
      <w:r w:rsidRPr="001B6E4D">
        <w:rPr>
          <w:rFonts w:ascii="標楷體" w:eastAsia="標楷體" w:hAnsi="標楷體" w:cs="Calibri" w:hint="eastAsia"/>
          <w:kern w:val="0"/>
          <w:sz w:val="32"/>
          <w:szCs w:val="32"/>
        </w:rPr>
        <w:t>特</w:t>
      </w:r>
      <w:proofErr w:type="gramEnd"/>
      <w:r w:rsidRPr="001B6E4D">
        <w:rPr>
          <w:rFonts w:ascii="標楷體" w:eastAsia="標楷體" w:hAnsi="標楷體" w:cs="Calibri" w:hint="eastAsia"/>
          <w:kern w:val="0"/>
          <w:sz w:val="32"/>
          <w:szCs w:val="32"/>
        </w:rPr>
        <w:t>展接續先前</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南地方法院安排，即司法的中挫與再生。這其實是司法三部曲，中挫與再生是第三部曲，主要</w:t>
      </w:r>
      <w:proofErr w:type="gramStart"/>
      <w:r w:rsidRPr="001B6E4D">
        <w:rPr>
          <w:rFonts w:ascii="標楷體" w:eastAsia="標楷體" w:hAnsi="標楷體" w:cs="Calibri" w:hint="eastAsia"/>
          <w:kern w:val="0"/>
          <w:sz w:val="32"/>
          <w:szCs w:val="32"/>
        </w:rPr>
        <w:t>是講日治</w:t>
      </w:r>
      <w:proofErr w:type="gramEnd"/>
      <w:r w:rsidRPr="001B6E4D">
        <w:rPr>
          <w:rFonts w:ascii="標楷體" w:eastAsia="標楷體" w:hAnsi="標楷體" w:cs="Calibri" w:hint="eastAsia"/>
          <w:kern w:val="0"/>
          <w:sz w:val="32"/>
          <w:szCs w:val="32"/>
        </w:rPr>
        <w:t>時代末期、二戰末期，臺灣</w:t>
      </w:r>
      <w:proofErr w:type="gramStart"/>
      <w:r w:rsidRPr="001B6E4D">
        <w:rPr>
          <w:rFonts w:ascii="標楷體" w:eastAsia="標楷體" w:hAnsi="標楷體" w:cs="Calibri" w:hint="eastAsia"/>
          <w:kern w:val="0"/>
          <w:sz w:val="32"/>
          <w:szCs w:val="32"/>
        </w:rPr>
        <w:t>本島屢遭</w:t>
      </w:r>
      <w:proofErr w:type="gramEnd"/>
      <w:r w:rsidRPr="001B6E4D">
        <w:rPr>
          <w:rFonts w:ascii="標楷體" w:eastAsia="標楷體" w:hAnsi="標楷體" w:cs="Calibri" w:hint="eastAsia"/>
          <w:kern w:val="0"/>
          <w:sz w:val="32"/>
          <w:szCs w:val="32"/>
        </w:rPr>
        <w:t>美軍轟炸，法院怎麼繼續經營；在日本投降之後、國民政府接收的階段，法院又怎麼樣經營，為使展覽富趣味，增加設計數位的展示，期能透過互動了解在不同國族體制下的司法如何順利完成</w:t>
      </w:r>
      <w:proofErr w:type="gramStart"/>
      <w:r w:rsidRPr="001B6E4D">
        <w:rPr>
          <w:rFonts w:ascii="標楷體" w:eastAsia="標楷體" w:hAnsi="標楷體" w:cs="Calibri" w:hint="eastAsia"/>
          <w:kern w:val="0"/>
          <w:sz w:val="32"/>
          <w:szCs w:val="32"/>
        </w:rPr>
        <w:t>無縫接軌</w:t>
      </w:r>
      <w:proofErr w:type="gramEnd"/>
      <w:r w:rsidRPr="001B6E4D">
        <w:rPr>
          <w:rFonts w:ascii="標楷體" w:eastAsia="標楷體" w:hAnsi="標楷體" w:cs="Calibri" w:hint="eastAsia"/>
          <w:kern w:val="0"/>
          <w:sz w:val="32"/>
          <w:szCs w:val="32"/>
        </w:rPr>
        <w:t>。特展部分亦期望增加互動設計，介紹獨任制、合議制，並帶到大法庭法律見解的統一，跟專業法院法庭的運作，這是日後相關的培訓及策展的目標。</w:t>
      </w:r>
    </w:p>
    <w:p w14:paraId="63120F77"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color w:val="FF0000"/>
          <w:kern w:val="0"/>
          <w:sz w:val="32"/>
          <w:szCs w:val="32"/>
        </w:rPr>
      </w:pPr>
      <w:r w:rsidRPr="001B6E4D">
        <w:rPr>
          <w:rFonts w:ascii="標楷體" w:eastAsia="標楷體" w:hAnsi="標楷體" w:cs="Calibri" w:hint="eastAsia"/>
          <w:kern w:val="0"/>
          <w:sz w:val="32"/>
          <w:szCs w:val="32"/>
        </w:rPr>
        <w:t>2.培訓故事人部分，司法院出版</w:t>
      </w:r>
      <w:proofErr w:type="gramStart"/>
      <w:r w:rsidRPr="001B6E4D">
        <w:rPr>
          <w:rFonts w:ascii="標楷體" w:eastAsia="標楷體" w:hAnsi="標楷體" w:cs="Calibri" w:hint="eastAsia"/>
          <w:kern w:val="0"/>
          <w:sz w:val="32"/>
          <w:szCs w:val="32"/>
        </w:rPr>
        <w:t>很多繪</w:t>
      </w:r>
      <w:proofErr w:type="gramEnd"/>
      <w:r w:rsidRPr="001B6E4D">
        <w:rPr>
          <w:rFonts w:ascii="標楷體" w:eastAsia="標楷體" w:hAnsi="標楷體" w:cs="Calibri" w:hint="eastAsia"/>
          <w:kern w:val="0"/>
          <w:sz w:val="32"/>
          <w:szCs w:val="32"/>
        </w:rPr>
        <w:t>本，例如</w:t>
      </w:r>
      <w:proofErr w:type="gramStart"/>
      <w:r w:rsidRPr="001B6E4D">
        <w:rPr>
          <w:rFonts w:ascii="標楷體" w:eastAsia="標楷體" w:hAnsi="標楷體" w:cs="Calibri" w:hint="eastAsia"/>
          <w:kern w:val="0"/>
          <w:sz w:val="32"/>
          <w:szCs w:val="32"/>
        </w:rPr>
        <w:t>新宣處</w:t>
      </w:r>
      <w:proofErr w:type="gramEnd"/>
      <w:r w:rsidRPr="001B6E4D">
        <w:rPr>
          <w:rFonts w:ascii="標楷體" w:eastAsia="標楷體" w:hAnsi="標楷體" w:cs="Calibri" w:hint="eastAsia"/>
          <w:kern w:val="0"/>
          <w:sz w:val="32"/>
          <w:szCs w:val="32"/>
        </w:rPr>
        <w:t>與少家庭偕同天下雜誌合作出版《說出心裡話》，繪本說故事活動即是藉由司法院出版的繪本培訓說故事的義工老師，讓法治教育落實到公民的概念。</w:t>
      </w:r>
    </w:p>
    <w:p w14:paraId="46E83DFB"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color w:val="FF0000"/>
          <w:kern w:val="0"/>
          <w:sz w:val="32"/>
          <w:szCs w:val="32"/>
        </w:rPr>
      </w:pPr>
      <w:proofErr w:type="gramStart"/>
      <w:r w:rsidRPr="001B6E4D">
        <w:rPr>
          <w:rFonts w:ascii="標楷體" w:eastAsia="標楷體" w:hAnsi="標楷體" w:cs="Calibri" w:hint="eastAsia"/>
          <w:kern w:val="0"/>
          <w:sz w:val="32"/>
          <w:szCs w:val="32"/>
        </w:rPr>
        <w:t>3.105年司博館</w:t>
      </w:r>
      <w:proofErr w:type="gramEnd"/>
      <w:r w:rsidRPr="001B6E4D">
        <w:rPr>
          <w:rFonts w:ascii="標楷體" w:eastAsia="標楷體" w:hAnsi="標楷體" w:cs="Calibri" w:hint="eastAsia"/>
          <w:kern w:val="0"/>
          <w:sz w:val="32"/>
          <w:szCs w:val="32"/>
        </w:rPr>
        <w:t>正式開館，今年是十周年，規劃了十周年館慶活動。利用博物館的場地，期將</w:t>
      </w:r>
      <w:proofErr w:type="gramStart"/>
      <w:r w:rsidRPr="001B6E4D">
        <w:rPr>
          <w:rFonts w:ascii="標楷體" w:eastAsia="標楷體" w:hAnsi="標楷體" w:cs="Calibri" w:hint="eastAsia"/>
          <w:kern w:val="0"/>
          <w:sz w:val="32"/>
          <w:szCs w:val="32"/>
        </w:rPr>
        <w:t>新宣處</w:t>
      </w:r>
      <w:proofErr w:type="gramEnd"/>
      <w:r w:rsidRPr="001B6E4D">
        <w:rPr>
          <w:rFonts w:ascii="標楷體" w:eastAsia="標楷體" w:hAnsi="標楷體" w:cs="Calibri" w:hint="eastAsia"/>
          <w:kern w:val="0"/>
          <w:sz w:val="32"/>
          <w:szCs w:val="32"/>
        </w:rPr>
        <w:t>本就進行的podcast或相關電影播映，甚至影展搭配映後座談、引進市集等相關活動來慶祝。</w:t>
      </w:r>
    </w:p>
    <w:p w14:paraId="569E9E00"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color w:val="FF0000"/>
          <w:kern w:val="0"/>
          <w:sz w:val="32"/>
          <w:szCs w:val="32"/>
        </w:rPr>
      </w:pPr>
      <w:proofErr w:type="gramStart"/>
      <w:r w:rsidRPr="001B6E4D">
        <w:rPr>
          <w:rFonts w:ascii="標楷體" w:eastAsia="標楷體" w:hAnsi="標楷體" w:cs="Calibri" w:hint="eastAsia"/>
          <w:kern w:val="0"/>
          <w:sz w:val="32"/>
          <w:szCs w:val="32"/>
        </w:rPr>
        <w:t>4.115年司博館</w:t>
      </w:r>
      <w:proofErr w:type="gramEnd"/>
      <w:r w:rsidRPr="001B6E4D">
        <w:rPr>
          <w:rFonts w:ascii="標楷體" w:eastAsia="標楷體" w:hAnsi="標楷體" w:cs="Calibri" w:hint="eastAsia"/>
          <w:kern w:val="0"/>
          <w:sz w:val="32"/>
          <w:szCs w:val="32"/>
        </w:rPr>
        <w:t>跟</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南市美術館，合辦</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南國際藝術雙年展。雙年展</w:t>
      </w:r>
      <w:proofErr w:type="gramStart"/>
      <w:r w:rsidRPr="001B6E4D">
        <w:rPr>
          <w:rFonts w:ascii="標楷體" w:eastAsia="標楷體" w:hAnsi="標楷體" w:cs="Calibri" w:hint="eastAsia"/>
          <w:kern w:val="0"/>
          <w:sz w:val="32"/>
          <w:szCs w:val="32"/>
        </w:rPr>
        <w:t>關於司博館</w:t>
      </w:r>
      <w:proofErr w:type="gramEnd"/>
      <w:r w:rsidRPr="001B6E4D">
        <w:rPr>
          <w:rFonts w:ascii="標楷體" w:eastAsia="標楷體" w:hAnsi="標楷體" w:cs="Calibri" w:hint="eastAsia"/>
          <w:kern w:val="0"/>
          <w:sz w:val="32"/>
          <w:szCs w:val="32"/>
        </w:rPr>
        <w:t>部分，是重返噍吧哖計畫。噍</w:t>
      </w:r>
      <w:r w:rsidRPr="001B6E4D">
        <w:rPr>
          <w:rFonts w:ascii="標楷體" w:eastAsia="標楷體" w:hAnsi="標楷體" w:cs="Calibri" w:hint="eastAsia"/>
          <w:kern w:val="0"/>
          <w:sz w:val="32"/>
          <w:szCs w:val="32"/>
        </w:rPr>
        <w:lastRenderedPageBreak/>
        <w:t>吧哖事件是</w:t>
      </w:r>
      <w:r w:rsidRPr="001B6E4D">
        <w:rPr>
          <w:rFonts w:ascii="標楷體" w:eastAsia="標楷體" w:hAnsi="標楷體" w:cs="Calibri"/>
          <w:kern w:val="0"/>
          <w:sz w:val="32"/>
          <w:szCs w:val="32"/>
        </w:rPr>
        <w:t>1915</w:t>
      </w:r>
      <w:r w:rsidRPr="001B6E4D">
        <w:rPr>
          <w:rFonts w:ascii="標楷體" w:eastAsia="標楷體" w:hAnsi="標楷體" w:cs="Calibri" w:hint="eastAsia"/>
          <w:kern w:val="0"/>
          <w:sz w:val="32"/>
          <w:szCs w:val="32"/>
        </w:rPr>
        <w:t>年臺南地區的武裝抗日事件，當時的審判是用匪徒刑罰令，而該事件的審判地點即是在司博館的第三法庭，當時是第一法庭。藉</w:t>
      </w:r>
      <w:proofErr w:type="gramStart"/>
      <w:r w:rsidRPr="001B6E4D">
        <w:rPr>
          <w:rFonts w:ascii="標楷體" w:eastAsia="標楷體" w:hAnsi="標楷體" w:cs="Calibri" w:hint="eastAsia"/>
          <w:kern w:val="0"/>
          <w:sz w:val="32"/>
          <w:szCs w:val="32"/>
        </w:rPr>
        <w:t>由跨域合作</w:t>
      </w:r>
      <w:proofErr w:type="gramEnd"/>
      <w:r w:rsidRPr="001B6E4D">
        <w:rPr>
          <w:rFonts w:ascii="標楷體" w:eastAsia="標楷體" w:hAnsi="標楷體" w:cs="Calibri" w:hint="eastAsia"/>
          <w:kern w:val="0"/>
          <w:sz w:val="32"/>
          <w:szCs w:val="32"/>
        </w:rPr>
        <w:t>，呈現日治時期對抗日活動的審判環境過程跟結果，讓大家知道殖民時代特殊程序、特殊法令，對殖民地人民的影響。</w:t>
      </w:r>
    </w:p>
    <w:p w14:paraId="1E203B59"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proofErr w:type="gramStart"/>
      <w:r w:rsidRPr="001B6E4D">
        <w:rPr>
          <w:rFonts w:ascii="標楷體" w:eastAsia="標楷體" w:hAnsi="標楷體" w:cs="Calibri" w:hint="eastAsia"/>
          <w:kern w:val="0"/>
          <w:sz w:val="32"/>
          <w:szCs w:val="32"/>
        </w:rPr>
        <w:t>關於司博館</w:t>
      </w:r>
      <w:proofErr w:type="gramEnd"/>
      <w:r w:rsidRPr="001B6E4D">
        <w:rPr>
          <w:rFonts w:ascii="標楷體" w:eastAsia="標楷體" w:hAnsi="標楷體" w:cs="Calibri" w:hint="eastAsia"/>
          <w:kern w:val="0"/>
          <w:sz w:val="32"/>
          <w:szCs w:val="32"/>
        </w:rPr>
        <w:t>未來展望，總的來說，</w:t>
      </w:r>
      <w:proofErr w:type="gramStart"/>
      <w:r w:rsidRPr="001B6E4D">
        <w:rPr>
          <w:rFonts w:ascii="標楷體" w:eastAsia="標楷體" w:hAnsi="標楷體" w:cs="Calibri" w:hint="eastAsia"/>
          <w:kern w:val="0"/>
          <w:sz w:val="32"/>
          <w:szCs w:val="32"/>
        </w:rPr>
        <w:t>希望司博館</w:t>
      </w:r>
      <w:proofErr w:type="gramEnd"/>
      <w:r w:rsidRPr="001B6E4D">
        <w:rPr>
          <w:rFonts w:ascii="標楷體" w:eastAsia="標楷體" w:hAnsi="標楷體" w:cs="Calibri" w:hint="eastAsia"/>
          <w:kern w:val="0"/>
          <w:sz w:val="32"/>
          <w:szCs w:val="32"/>
        </w:rPr>
        <w:t>是專業化、親民化，並從</w:t>
      </w:r>
      <w:proofErr w:type="gramStart"/>
      <w:r w:rsidRPr="001B6E4D">
        <w:rPr>
          <w:rFonts w:ascii="標楷體" w:eastAsia="標楷體" w:hAnsi="標楷體" w:cs="Calibri" w:hint="eastAsia"/>
          <w:kern w:val="0"/>
          <w:sz w:val="32"/>
          <w:szCs w:val="32"/>
        </w:rPr>
        <w:t>專業化跟親民</w:t>
      </w:r>
      <w:proofErr w:type="gramEnd"/>
      <w:r w:rsidRPr="001B6E4D">
        <w:rPr>
          <w:rFonts w:ascii="標楷體" w:eastAsia="標楷體" w:hAnsi="標楷體" w:cs="Calibri" w:hint="eastAsia"/>
          <w:kern w:val="0"/>
          <w:sz w:val="32"/>
          <w:szCs w:val="32"/>
        </w:rPr>
        <w:t>化出發，繼續深化發展七大支柱。展示跟保存司法文物，建立典藏的管理系統，整理史料，優化常設展內容，策畫司法主題等，期望將來能</w:t>
      </w:r>
      <w:proofErr w:type="gramStart"/>
      <w:r w:rsidRPr="001B6E4D">
        <w:rPr>
          <w:rFonts w:ascii="標楷體" w:eastAsia="標楷體" w:hAnsi="標楷體" w:cs="Calibri" w:hint="eastAsia"/>
          <w:kern w:val="0"/>
          <w:sz w:val="32"/>
          <w:szCs w:val="32"/>
        </w:rPr>
        <w:t>如翁召</w:t>
      </w:r>
      <w:proofErr w:type="gramEnd"/>
      <w:r w:rsidRPr="001B6E4D">
        <w:rPr>
          <w:rFonts w:ascii="標楷體" w:eastAsia="標楷體" w:hAnsi="標楷體" w:cs="Calibri" w:hint="eastAsia"/>
          <w:kern w:val="0"/>
          <w:sz w:val="32"/>
          <w:szCs w:val="32"/>
        </w:rPr>
        <w:t>委建議提供研究，或是論壇、講座的發聲。</w:t>
      </w:r>
      <w:proofErr w:type="gramStart"/>
      <w:r w:rsidRPr="001B6E4D">
        <w:rPr>
          <w:rFonts w:ascii="標楷體" w:eastAsia="標楷體" w:hAnsi="標楷體" w:cs="Calibri" w:hint="eastAsia"/>
          <w:kern w:val="0"/>
          <w:sz w:val="32"/>
          <w:szCs w:val="32"/>
        </w:rPr>
        <w:t>司博館</w:t>
      </w:r>
      <w:proofErr w:type="gramEnd"/>
      <w:r w:rsidRPr="001B6E4D">
        <w:rPr>
          <w:rFonts w:ascii="標楷體" w:eastAsia="標楷體" w:hAnsi="標楷體" w:cs="Calibri" w:hint="eastAsia"/>
          <w:kern w:val="0"/>
          <w:sz w:val="32"/>
          <w:szCs w:val="32"/>
        </w:rPr>
        <w:t>雖然是舊</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南地方法院，期望未來不只限於在地</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南古蹟建築的維護，而是肩負中華民國法治、歷史跟社會對話的空間，成為保護司法歷史，也是未來司法教育的展示中心。</w:t>
      </w:r>
    </w:p>
    <w:p w14:paraId="55917489"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期望未來可以發想策劃更多展覽，例如116年就是最高法院的百年，預計與最高法院合作辦理最高法院百年展，又例如民法跟刑法也要百年，1929年民法百年，1935年刑法百年，</w:t>
      </w:r>
      <w:proofErr w:type="gramStart"/>
      <w:r w:rsidRPr="001B6E4D">
        <w:rPr>
          <w:rFonts w:ascii="標楷體" w:eastAsia="標楷體" w:hAnsi="標楷體" w:cs="Calibri" w:hint="eastAsia"/>
          <w:kern w:val="0"/>
          <w:sz w:val="32"/>
          <w:szCs w:val="32"/>
        </w:rPr>
        <w:t>都可策畫</w:t>
      </w:r>
      <w:proofErr w:type="gramEnd"/>
      <w:r w:rsidRPr="001B6E4D">
        <w:rPr>
          <w:rFonts w:ascii="標楷體" w:eastAsia="標楷體" w:hAnsi="標楷體" w:cs="Calibri" w:hint="eastAsia"/>
          <w:kern w:val="0"/>
          <w:sz w:val="32"/>
          <w:szCs w:val="32"/>
        </w:rPr>
        <w:t>百年展。</w:t>
      </w:r>
      <w:proofErr w:type="gramStart"/>
      <w:r w:rsidRPr="001B6E4D">
        <w:rPr>
          <w:rFonts w:ascii="標楷體" w:eastAsia="標楷體" w:hAnsi="標楷體" w:cs="Calibri" w:hint="eastAsia"/>
          <w:kern w:val="0"/>
          <w:sz w:val="32"/>
          <w:szCs w:val="32"/>
        </w:rPr>
        <w:t>此外，</w:t>
      </w:r>
      <w:proofErr w:type="gramEnd"/>
      <w:r w:rsidRPr="001B6E4D">
        <w:rPr>
          <w:rFonts w:ascii="標楷體" w:eastAsia="標楷體" w:hAnsi="標楷體" w:cs="Calibri" w:hint="eastAsia"/>
          <w:kern w:val="0"/>
          <w:sz w:val="32"/>
          <w:szCs w:val="32"/>
        </w:rPr>
        <w:t>根據歷史研究，在國際聯盟跟聯合國時代，國際聯盟有國際常設法院，聯合國則有國際法院ICJ，分別</w:t>
      </w:r>
      <w:proofErr w:type="gramStart"/>
      <w:r w:rsidRPr="001B6E4D">
        <w:rPr>
          <w:rFonts w:ascii="標楷體" w:eastAsia="標楷體" w:hAnsi="標楷體" w:cs="Calibri" w:hint="eastAsia"/>
          <w:kern w:val="0"/>
          <w:sz w:val="32"/>
          <w:szCs w:val="32"/>
        </w:rPr>
        <w:t>都派過兩位</w:t>
      </w:r>
      <w:proofErr w:type="gramEnd"/>
      <w:r w:rsidRPr="001B6E4D">
        <w:rPr>
          <w:rFonts w:ascii="標楷體" w:eastAsia="標楷體" w:hAnsi="標楷體" w:cs="Calibri" w:hint="eastAsia"/>
          <w:kern w:val="0"/>
          <w:sz w:val="32"/>
          <w:szCs w:val="32"/>
        </w:rPr>
        <w:t>法官，中華民國在國際法院的國際司法訴訟下，有什麼樣的影響？這4位法官有哪些重要判決可以討論發想？如果能夠研究，規劃論壇或座談會，也是一個議題。</w:t>
      </w:r>
      <w:proofErr w:type="gramStart"/>
      <w:r w:rsidRPr="001B6E4D">
        <w:rPr>
          <w:rFonts w:ascii="標楷體" w:eastAsia="標楷體" w:hAnsi="標楷體" w:cs="Calibri" w:hint="eastAsia"/>
          <w:kern w:val="0"/>
          <w:sz w:val="32"/>
          <w:szCs w:val="32"/>
        </w:rPr>
        <w:t>再者，</w:t>
      </w:r>
      <w:proofErr w:type="gramEnd"/>
      <w:r w:rsidRPr="001B6E4D">
        <w:rPr>
          <w:rFonts w:ascii="標楷體" w:eastAsia="標楷體" w:hAnsi="標楷體" w:cs="Calibri" w:hint="eastAsia"/>
          <w:kern w:val="0"/>
          <w:sz w:val="32"/>
          <w:szCs w:val="32"/>
        </w:rPr>
        <w:t>司法院歷任院長很多也很重要，例如王寵惠院長、戴炎輝院長等，以及</w:t>
      </w:r>
      <w:proofErr w:type="gramStart"/>
      <w:r w:rsidRPr="001B6E4D">
        <w:rPr>
          <w:rFonts w:ascii="標楷體" w:eastAsia="標楷體" w:hAnsi="標楷體" w:cs="Calibri" w:hint="eastAsia"/>
          <w:kern w:val="0"/>
          <w:sz w:val="32"/>
          <w:szCs w:val="32"/>
        </w:rPr>
        <w:t>審檢分隸</w:t>
      </w:r>
      <w:proofErr w:type="gramEnd"/>
      <w:r w:rsidRPr="001B6E4D">
        <w:rPr>
          <w:rFonts w:ascii="標楷體" w:eastAsia="標楷體" w:hAnsi="標楷體" w:cs="Calibri" w:hint="eastAsia"/>
          <w:kern w:val="0"/>
          <w:sz w:val="32"/>
          <w:szCs w:val="32"/>
        </w:rPr>
        <w:t>五十年，</w:t>
      </w:r>
      <w:proofErr w:type="gramStart"/>
      <w:r w:rsidRPr="001B6E4D">
        <w:rPr>
          <w:rFonts w:ascii="標楷體" w:eastAsia="標楷體" w:hAnsi="標楷體" w:cs="Calibri" w:hint="eastAsia"/>
          <w:kern w:val="0"/>
          <w:sz w:val="32"/>
          <w:szCs w:val="32"/>
        </w:rPr>
        <w:t>均係策</w:t>
      </w:r>
      <w:proofErr w:type="gramEnd"/>
      <w:r w:rsidRPr="001B6E4D">
        <w:rPr>
          <w:rFonts w:ascii="標楷體" w:eastAsia="標楷體" w:hAnsi="標楷體" w:cs="Calibri" w:hint="eastAsia"/>
          <w:kern w:val="0"/>
          <w:sz w:val="32"/>
          <w:szCs w:val="32"/>
        </w:rPr>
        <w:t>展主題。</w:t>
      </w:r>
    </w:p>
    <w:p w14:paraId="4830963E"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lastRenderedPageBreak/>
        <w:t>未來司法博物館將盡量發揮司法有關議題，同時融合文化、歷史跟教育功能內涵。謝謝兩位委員跟立法院的各位長官蒞臨指教，謝謝。</w:t>
      </w:r>
    </w:p>
    <w:p w14:paraId="0B00A6A3" w14:textId="77777777" w:rsidR="00B921E8" w:rsidRPr="001B6E4D" w:rsidRDefault="00B921E8" w:rsidP="003D1018">
      <w:pPr>
        <w:widowControl w:val="0"/>
        <w:numPr>
          <w:ilvl w:val="0"/>
          <w:numId w:val="20"/>
        </w:numPr>
        <w:overflowPunct w:val="0"/>
        <w:spacing w:beforeLines="50" w:before="180" w:after="140" w:line="540" w:lineRule="exact"/>
        <w:jc w:val="both"/>
        <w:rPr>
          <w:rFonts w:ascii="標楷體" w:eastAsia="標楷體" w:hAnsi="標楷體" w:cs="Calibri"/>
          <w:b/>
          <w:kern w:val="0"/>
          <w:sz w:val="32"/>
          <w:szCs w:val="32"/>
        </w:rPr>
      </w:pPr>
      <w:r w:rsidRPr="001B6E4D">
        <w:rPr>
          <w:rFonts w:ascii="標楷體" w:eastAsia="標楷體" w:hAnsi="標楷體" w:cs="Calibri" w:hint="eastAsia"/>
          <w:b/>
          <w:kern w:val="0"/>
          <w:sz w:val="32"/>
          <w:szCs w:val="32"/>
        </w:rPr>
        <w:t>司法院司法博物館實地參訪。</w:t>
      </w:r>
    </w:p>
    <w:p w14:paraId="33057416" w14:textId="77777777" w:rsidR="00B921E8" w:rsidRPr="001B6E4D" w:rsidRDefault="00B921E8" w:rsidP="003D1018">
      <w:pPr>
        <w:widowControl w:val="0"/>
        <w:numPr>
          <w:ilvl w:val="0"/>
          <w:numId w:val="20"/>
        </w:numPr>
        <w:overflowPunct w:val="0"/>
        <w:spacing w:beforeLines="50" w:before="180" w:after="140" w:line="540" w:lineRule="exact"/>
        <w:jc w:val="both"/>
        <w:rPr>
          <w:rFonts w:ascii="標楷體" w:eastAsia="標楷體" w:hAnsi="標楷體" w:cs="Calibri"/>
          <w:b/>
          <w:kern w:val="0"/>
          <w:sz w:val="32"/>
          <w:szCs w:val="32"/>
        </w:rPr>
      </w:pPr>
      <w:r w:rsidRPr="001B6E4D">
        <w:rPr>
          <w:rFonts w:ascii="標楷體" w:eastAsia="標楷體" w:hAnsi="標楷體" w:cs="Calibri" w:hint="eastAsia"/>
          <w:b/>
          <w:kern w:val="0"/>
          <w:sz w:val="32"/>
          <w:szCs w:val="32"/>
        </w:rPr>
        <w:t>綜合座談及意見交流：</w:t>
      </w:r>
    </w:p>
    <w:p w14:paraId="734344A9" w14:textId="77777777" w:rsidR="00B921E8" w:rsidRPr="001B6E4D" w:rsidRDefault="00B921E8" w:rsidP="003D1018">
      <w:pPr>
        <w:widowControl w:val="0"/>
        <w:numPr>
          <w:ilvl w:val="0"/>
          <w:numId w:val="21"/>
        </w:numPr>
        <w:overflowPunct w:val="0"/>
        <w:spacing w:beforeLines="50" w:before="180" w:after="140" w:line="540" w:lineRule="exact"/>
        <w:ind w:left="1077" w:hanging="1077"/>
        <w:jc w:val="both"/>
        <w:rPr>
          <w:rFonts w:ascii="標楷體" w:eastAsia="標楷體" w:hAnsi="標楷體" w:cs="Calibri"/>
          <w:color w:val="FF0000"/>
          <w:kern w:val="0"/>
          <w:sz w:val="32"/>
          <w:szCs w:val="32"/>
        </w:rPr>
      </w:pPr>
      <w:r w:rsidRPr="001B6E4D">
        <w:rPr>
          <w:rFonts w:ascii="標楷體" w:eastAsia="標楷體" w:hAnsi="標楷體" w:cs="Calibri" w:hint="eastAsia"/>
          <w:b/>
          <w:bCs/>
          <w:kern w:val="0"/>
          <w:sz w:val="32"/>
          <w:szCs w:val="32"/>
        </w:rPr>
        <w:t>司法及法制委員會翁召集委員曉玲：</w:t>
      </w:r>
      <w:r w:rsidRPr="001B6E4D">
        <w:rPr>
          <w:rFonts w:ascii="標楷體" w:eastAsia="標楷體" w:hAnsi="標楷體" w:cs="Calibri"/>
          <w:color w:val="FF0000"/>
          <w:kern w:val="0"/>
          <w:sz w:val="32"/>
          <w:szCs w:val="32"/>
        </w:rPr>
        <w:t xml:space="preserve"> </w:t>
      </w:r>
    </w:p>
    <w:p w14:paraId="76ADEAF9"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吳副館長帶領著司法博物館的同仁，就司法院所提</w:t>
      </w:r>
      <w:proofErr w:type="gramStart"/>
      <w:r w:rsidRPr="001B6E4D">
        <w:rPr>
          <w:rFonts w:ascii="標楷體" w:eastAsia="標楷體" w:hAnsi="標楷體" w:cs="Calibri" w:hint="eastAsia"/>
          <w:kern w:val="0"/>
          <w:sz w:val="32"/>
          <w:szCs w:val="32"/>
        </w:rPr>
        <w:t>修繕及維運</w:t>
      </w:r>
      <w:proofErr w:type="gramEnd"/>
      <w:r w:rsidRPr="001B6E4D">
        <w:rPr>
          <w:rFonts w:ascii="標楷體" w:eastAsia="標楷體" w:hAnsi="標楷體" w:cs="Calibri" w:hint="eastAsia"/>
          <w:kern w:val="0"/>
          <w:sz w:val="32"/>
          <w:szCs w:val="32"/>
        </w:rPr>
        <w:t>經費，對於場館面積蠻大的司博館而言，盡心維護整個場館是很不容易的。所以，之後如果有任何修繕經費編列的需求，我想我會轉達立法院、國民黨、還有民眾黨黨團的同仁、立委同仁們，一定會大力支持。</w:t>
      </w:r>
    </w:p>
    <w:p w14:paraId="091C3BBC"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現在逐一介紹立法院同仁，除了</w:t>
      </w:r>
      <w:proofErr w:type="gramStart"/>
      <w:r w:rsidRPr="001B6E4D">
        <w:rPr>
          <w:rFonts w:ascii="標楷體" w:eastAsia="標楷體" w:hAnsi="標楷體" w:cs="Calibri" w:hint="eastAsia"/>
          <w:kern w:val="0"/>
          <w:sz w:val="32"/>
          <w:szCs w:val="32"/>
        </w:rPr>
        <w:t>倩綺</w:t>
      </w:r>
      <w:proofErr w:type="gramEnd"/>
      <w:r w:rsidRPr="001B6E4D">
        <w:rPr>
          <w:rFonts w:ascii="標楷體" w:eastAsia="標楷體" w:hAnsi="標楷體" w:cs="Calibri" w:hint="eastAsia"/>
          <w:kern w:val="0"/>
          <w:sz w:val="32"/>
          <w:szCs w:val="32"/>
        </w:rPr>
        <w:t>委員之外，還有司法與法制委員會的簡任編審蔡國治、科員詹雅菁、我們辦公室的蔡岡</w:t>
      </w:r>
      <w:proofErr w:type="gramStart"/>
      <w:r w:rsidRPr="001B6E4D">
        <w:rPr>
          <w:rFonts w:ascii="標楷體" w:eastAsia="標楷體" w:hAnsi="標楷體" w:cs="Calibri" w:hint="eastAsia"/>
          <w:kern w:val="0"/>
          <w:sz w:val="32"/>
          <w:szCs w:val="32"/>
        </w:rPr>
        <w:t>霖</w:t>
      </w:r>
      <w:proofErr w:type="gramEnd"/>
      <w:r w:rsidRPr="001B6E4D">
        <w:rPr>
          <w:rFonts w:ascii="標楷體" w:eastAsia="標楷體" w:hAnsi="標楷體" w:cs="Calibri" w:hint="eastAsia"/>
          <w:kern w:val="0"/>
          <w:sz w:val="32"/>
          <w:szCs w:val="32"/>
        </w:rPr>
        <w:t>研究員及黃昱華小編、</w:t>
      </w:r>
      <w:proofErr w:type="gramStart"/>
      <w:r w:rsidRPr="001B6E4D">
        <w:rPr>
          <w:rFonts w:ascii="標楷體" w:eastAsia="標楷體" w:hAnsi="標楷體" w:cs="Calibri" w:hint="eastAsia"/>
          <w:kern w:val="0"/>
          <w:sz w:val="32"/>
          <w:szCs w:val="32"/>
        </w:rPr>
        <w:t>倩綺</w:t>
      </w:r>
      <w:proofErr w:type="gramEnd"/>
      <w:r w:rsidRPr="001B6E4D">
        <w:rPr>
          <w:rFonts w:ascii="標楷體" w:eastAsia="標楷體" w:hAnsi="標楷體" w:cs="Calibri" w:hint="eastAsia"/>
          <w:kern w:val="0"/>
          <w:sz w:val="32"/>
          <w:szCs w:val="32"/>
        </w:rPr>
        <w:t>委員辦公室的洪子奇助理，另外，也很高興王定宇委員服務處的卓佩</w:t>
      </w:r>
      <w:proofErr w:type="gramStart"/>
      <w:r w:rsidRPr="001B6E4D">
        <w:rPr>
          <w:rFonts w:ascii="標楷體" w:eastAsia="標楷體" w:hAnsi="標楷體" w:cs="Calibri" w:hint="eastAsia"/>
          <w:kern w:val="0"/>
          <w:sz w:val="32"/>
          <w:szCs w:val="32"/>
        </w:rPr>
        <w:t>于</w:t>
      </w:r>
      <w:proofErr w:type="gramEnd"/>
      <w:r w:rsidRPr="001B6E4D">
        <w:rPr>
          <w:rFonts w:ascii="標楷體" w:eastAsia="標楷體" w:hAnsi="標楷體" w:cs="Calibri" w:hint="eastAsia"/>
          <w:kern w:val="0"/>
          <w:sz w:val="32"/>
          <w:szCs w:val="32"/>
        </w:rPr>
        <w:t>主任也來到現場，非常感謝今天的安排與招待。</w:t>
      </w:r>
    </w:p>
    <w:p w14:paraId="1B2C56B8"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待會</w:t>
      </w:r>
      <w:proofErr w:type="gramStart"/>
      <w:r w:rsidRPr="001B6E4D">
        <w:rPr>
          <w:rFonts w:ascii="標楷體" w:eastAsia="標楷體" w:hAnsi="標楷體" w:cs="Calibri" w:hint="eastAsia"/>
          <w:kern w:val="0"/>
          <w:sz w:val="32"/>
          <w:szCs w:val="32"/>
        </w:rPr>
        <w:t>倩綺</w:t>
      </w:r>
      <w:proofErr w:type="gramEnd"/>
      <w:r w:rsidRPr="001B6E4D">
        <w:rPr>
          <w:rFonts w:ascii="標楷體" w:eastAsia="標楷體" w:hAnsi="標楷體" w:cs="Calibri" w:hint="eastAsia"/>
          <w:kern w:val="0"/>
          <w:sz w:val="32"/>
          <w:szCs w:val="32"/>
        </w:rPr>
        <w:t>委員有事要先離開，她曾經擔任過文化局局長且長期關心文化、建築、歷史等等議題，對於今天的參訪有很多想法跟建議，那麼是不是就先請</w:t>
      </w:r>
      <w:proofErr w:type="gramStart"/>
      <w:r w:rsidRPr="001B6E4D">
        <w:rPr>
          <w:rFonts w:ascii="標楷體" w:eastAsia="標楷體" w:hAnsi="標楷體" w:cs="Calibri" w:hint="eastAsia"/>
          <w:kern w:val="0"/>
          <w:sz w:val="32"/>
          <w:szCs w:val="32"/>
        </w:rPr>
        <w:t>倩綺</w:t>
      </w:r>
      <w:proofErr w:type="gramEnd"/>
      <w:r w:rsidRPr="001B6E4D">
        <w:rPr>
          <w:rFonts w:ascii="標楷體" w:eastAsia="標楷體" w:hAnsi="標楷體" w:cs="Calibri" w:hint="eastAsia"/>
          <w:kern w:val="0"/>
          <w:sz w:val="32"/>
          <w:szCs w:val="32"/>
        </w:rPr>
        <w:t>委員先發言，謝謝。</w:t>
      </w:r>
    </w:p>
    <w:p w14:paraId="0F0785E5" w14:textId="77777777" w:rsidR="00B921E8" w:rsidRPr="001B6E4D" w:rsidRDefault="00B921E8" w:rsidP="003D1018">
      <w:pPr>
        <w:widowControl w:val="0"/>
        <w:numPr>
          <w:ilvl w:val="0"/>
          <w:numId w:val="21"/>
        </w:numPr>
        <w:overflowPunct w:val="0"/>
        <w:spacing w:beforeLines="50" w:before="180" w:after="140" w:line="540" w:lineRule="exact"/>
        <w:ind w:left="1077" w:hanging="1077"/>
        <w:jc w:val="both"/>
        <w:rPr>
          <w:rFonts w:ascii="標楷體" w:eastAsia="標楷體" w:hAnsi="標楷體" w:cs="Calibri"/>
          <w:kern w:val="0"/>
          <w:sz w:val="32"/>
          <w:szCs w:val="32"/>
        </w:rPr>
      </w:pPr>
      <w:r w:rsidRPr="001B6E4D">
        <w:rPr>
          <w:rFonts w:ascii="標楷體" w:eastAsia="標楷體" w:hAnsi="標楷體" w:cs="Calibri" w:hint="eastAsia"/>
          <w:b/>
          <w:bCs/>
          <w:kern w:val="0"/>
          <w:sz w:val="32"/>
          <w:szCs w:val="32"/>
        </w:rPr>
        <w:t>司法及法制委員會林委員</w:t>
      </w:r>
      <w:proofErr w:type="gramStart"/>
      <w:r w:rsidRPr="001B6E4D">
        <w:rPr>
          <w:rFonts w:ascii="標楷體" w:eastAsia="標楷體" w:hAnsi="標楷體" w:cs="Calibri" w:hint="eastAsia"/>
          <w:b/>
          <w:bCs/>
          <w:kern w:val="0"/>
          <w:sz w:val="32"/>
          <w:szCs w:val="32"/>
        </w:rPr>
        <w:t>倩綺</w:t>
      </w:r>
      <w:proofErr w:type="gramEnd"/>
      <w:r w:rsidRPr="001B6E4D">
        <w:rPr>
          <w:rFonts w:ascii="標楷體" w:eastAsia="標楷體" w:hAnsi="標楷體" w:cs="Calibri" w:hint="eastAsia"/>
          <w:b/>
          <w:bCs/>
          <w:kern w:val="0"/>
          <w:sz w:val="32"/>
          <w:szCs w:val="32"/>
        </w:rPr>
        <w:t>：</w:t>
      </w:r>
    </w:p>
    <w:p w14:paraId="2EA86CBF"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我們的召委、司法院、還有立法院的夥伴同仁，大家好。非常感謝剛才黃教授的導</w:t>
      </w:r>
      <w:proofErr w:type="gramStart"/>
      <w:r w:rsidRPr="001B6E4D">
        <w:rPr>
          <w:rFonts w:ascii="標楷體" w:eastAsia="標楷體" w:hAnsi="標楷體" w:cs="Calibri" w:hint="eastAsia"/>
          <w:kern w:val="0"/>
          <w:sz w:val="32"/>
          <w:szCs w:val="32"/>
        </w:rPr>
        <w:t>覽</w:t>
      </w:r>
      <w:proofErr w:type="gramEnd"/>
      <w:r w:rsidRPr="001B6E4D">
        <w:rPr>
          <w:rFonts w:ascii="標楷體" w:eastAsia="標楷體" w:hAnsi="標楷體" w:cs="Calibri" w:hint="eastAsia"/>
          <w:kern w:val="0"/>
          <w:sz w:val="32"/>
          <w:szCs w:val="32"/>
        </w:rPr>
        <w:t>，非常的精彩。剛才在會前對於整個司法園區有一個大概的瞭解，在實地參訪的時候也很多令人感動之處。</w:t>
      </w:r>
    </w:p>
    <w:p w14:paraId="0E60AAF7"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proofErr w:type="gramStart"/>
      <w:r w:rsidRPr="001B6E4D">
        <w:rPr>
          <w:rFonts w:ascii="標楷體" w:eastAsia="標楷體" w:hAnsi="標楷體" w:cs="Calibri" w:hint="eastAsia"/>
          <w:kern w:val="0"/>
          <w:sz w:val="32"/>
          <w:szCs w:val="32"/>
        </w:rPr>
        <w:lastRenderedPageBreak/>
        <w:t>剛才聽副館長</w:t>
      </w:r>
      <w:proofErr w:type="gramEnd"/>
      <w:r w:rsidRPr="001B6E4D">
        <w:rPr>
          <w:rFonts w:ascii="標楷體" w:eastAsia="標楷體" w:hAnsi="標楷體" w:cs="Calibri" w:hint="eastAsia"/>
          <w:kern w:val="0"/>
          <w:sz w:val="32"/>
          <w:szCs w:val="32"/>
        </w:rPr>
        <w:t>在介紹的時候，我相信非常的有心。文化資產、博物館，是文化領域裡面滿專業的一項，但很重要的是說我們在解疆界化、去中心主義的時候，各領域的交會，是非常重要的。剛才</w:t>
      </w:r>
      <w:proofErr w:type="gramStart"/>
      <w:r w:rsidRPr="001B6E4D">
        <w:rPr>
          <w:rFonts w:ascii="標楷體" w:eastAsia="標楷體" w:hAnsi="標楷體" w:cs="Calibri" w:hint="eastAsia"/>
          <w:kern w:val="0"/>
          <w:sz w:val="32"/>
          <w:szCs w:val="32"/>
        </w:rPr>
        <w:t>其實翁召委</w:t>
      </w:r>
      <w:proofErr w:type="gramEnd"/>
      <w:r w:rsidRPr="001B6E4D">
        <w:rPr>
          <w:rFonts w:ascii="標楷體" w:eastAsia="標楷體" w:hAnsi="標楷體" w:cs="Calibri" w:hint="eastAsia"/>
          <w:kern w:val="0"/>
          <w:sz w:val="32"/>
          <w:szCs w:val="32"/>
        </w:rPr>
        <w:t>在過程中，也有提出一些建議，談到議政博物館。議政博物館跟我</w:t>
      </w:r>
      <w:proofErr w:type="gramStart"/>
      <w:r w:rsidRPr="001B6E4D">
        <w:rPr>
          <w:rFonts w:ascii="標楷體" w:eastAsia="標楷體" w:hAnsi="標楷體" w:cs="Calibri" w:hint="eastAsia"/>
          <w:kern w:val="0"/>
          <w:sz w:val="32"/>
          <w:szCs w:val="32"/>
        </w:rPr>
        <w:t>有滿深的</w:t>
      </w:r>
      <w:proofErr w:type="gramEnd"/>
      <w:r w:rsidRPr="001B6E4D">
        <w:rPr>
          <w:rFonts w:ascii="標楷體" w:eastAsia="標楷體" w:hAnsi="標楷體" w:cs="Calibri" w:hint="eastAsia"/>
          <w:kern w:val="0"/>
          <w:sz w:val="32"/>
          <w:szCs w:val="32"/>
        </w:rPr>
        <w:t>淵源，小時候因為父親工作的關係，對於省議會</w:t>
      </w:r>
      <w:proofErr w:type="gramStart"/>
      <w:r w:rsidRPr="001B6E4D">
        <w:rPr>
          <w:rFonts w:ascii="標楷體" w:eastAsia="標楷體" w:hAnsi="標楷體" w:cs="Calibri" w:hint="eastAsia"/>
          <w:kern w:val="0"/>
          <w:sz w:val="32"/>
          <w:szCs w:val="32"/>
        </w:rPr>
        <w:t>是滿有感情</w:t>
      </w:r>
      <w:proofErr w:type="gramEnd"/>
      <w:r w:rsidRPr="001B6E4D">
        <w:rPr>
          <w:rFonts w:ascii="標楷體" w:eastAsia="標楷體" w:hAnsi="標楷體" w:cs="Calibri" w:hint="eastAsia"/>
          <w:kern w:val="0"/>
          <w:sz w:val="32"/>
          <w:szCs w:val="32"/>
        </w:rPr>
        <w:t>的，所以，我都有關注它的轉型跟發展，也帶過</w:t>
      </w:r>
      <w:proofErr w:type="gramStart"/>
      <w:r w:rsidRPr="001B6E4D">
        <w:rPr>
          <w:rFonts w:ascii="標楷體" w:eastAsia="標楷體" w:hAnsi="標楷體" w:cs="Calibri" w:hint="eastAsia"/>
          <w:kern w:val="0"/>
          <w:sz w:val="32"/>
          <w:szCs w:val="32"/>
        </w:rPr>
        <w:t>學生去議政</w:t>
      </w:r>
      <w:proofErr w:type="gramEnd"/>
      <w:r w:rsidRPr="001B6E4D">
        <w:rPr>
          <w:rFonts w:ascii="標楷體" w:eastAsia="標楷體" w:hAnsi="標楷體" w:cs="Calibri" w:hint="eastAsia"/>
          <w:kern w:val="0"/>
          <w:sz w:val="32"/>
          <w:szCs w:val="32"/>
        </w:rPr>
        <w:t>博物館進行戶外教學。</w:t>
      </w:r>
    </w:p>
    <w:p w14:paraId="2D8B7576"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全世界的博物館，我至少看過數百個，有相當豐富的經驗。因為自己本身做航行，所以關心海事議題。謝謝翁委員幫我們行銷，正好也講一下，這一次戰局裡面有被炸到的幾個中東國家，我正好一月份時候去比賽，所以，我目前常常會聚焦關注的，大概在海事及世界民主政治的發展。我相信民主政治走到現在，大家都有對話，但是我們也有過往歷史的一些脈絡，所以，在新的思維跟舊有所受到的教育，其實會有很多碰撞。當然民主政治也是大家目前在思考跟對話的，它有很多的轉型，我不希望我們的民主不知不覺不覺得陷入獨裁的墮落，所以，我也關注議政、民主政治、還有司法法制。非常高興，我們有這個司法園區可以讓我們有更多瞭解。</w:t>
      </w:r>
    </w:p>
    <w:p w14:paraId="5A25FE64"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今天現地參與，覺得非常感動的一點是，過去曾經在這個空間發生的事情，至少司法博物館都非常有誠意地呈現。就像過去清領時期、日治時期、國民政府時期，甚至連戰、連家。連家其實在台灣歷史的發展上，我們小時候知道連家做過的一些文獻，其實在我自己的教學上的一些文獻，後來發現也是連震東基金會所做的，那些都不是一般從國家主義教導的文獻裡面能找到的。所以，今天能夠</w:t>
      </w:r>
      <w:r w:rsidRPr="001B6E4D">
        <w:rPr>
          <w:rFonts w:ascii="標楷體" w:eastAsia="標楷體" w:hAnsi="標楷體" w:cs="Calibri" w:hint="eastAsia"/>
          <w:kern w:val="0"/>
          <w:sz w:val="32"/>
          <w:szCs w:val="32"/>
        </w:rPr>
        <w:lastRenderedPageBreak/>
        <w:t>看到連家當時的古井，我也覺得非常感動。在</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南司法園區，用各種形式保留各個時期的每一個物件，我想這是臺灣在文化發展上很重要、很珍貴的一環，司法園區都保留下來了，那真的是值得讚許、也不簡單。</w:t>
      </w:r>
    </w:p>
    <w:p w14:paraId="7E9D29F3"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導</w:t>
      </w:r>
      <w:proofErr w:type="gramStart"/>
      <w:r w:rsidRPr="001B6E4D">
        <w:rPr>
          <w:rFonts w:ascii="標楷體" w:eastAsia="標楷體" w:hAnsi="標楷體" w:cs="Calibri" w:hint="eastAsia"/>
          <w:kern w:val="0"/>
          <w:sz w:val="32"/>
          <w:szCs w:val="32"/>
        </w:rPr>
        <w:t>覽</w:t>
      </w:r>
      <w:proofErr w:type="gramEnd"/>
      <w:r w:rsidRPr="001B6E4D">
        <w:rPr>
          <w:rFonts w:ascii="標楷體" w:eastAsia="標楷體" w:hAnsi="標楷體" w:cs="Calibri" w:hint="eastAsia"/>
          <w:kern w:val="0"/>
          <w:sz w:val="32"/>
          <w:szCs w:val="32"/>
        </w:rPr>
        <w:t>老師在各個不同立場的導</w:t>
      </w:r>
      <w:proofErr w:type="gramStart"/>
      <w:r w:rsidRPr="001B6E4D">
        <w:rPr>
          <w:rFonts w:ascii="標楷體" w:eastAsia="標楷體" w:hAnsi="標楷體" w:cs="Calibri" w:hint="eastAsia"/>
          <w:kern w:val="0"/>
          <w:sz w:val="32"/>
          <w:szCs w:val="32"/>
        </w:rPr>
        <w:t>覽</w:t>
      </w:r>
      <w:proofErr w:type="gramEnd"/>
      <w:r w:rsidRPr="001B6E4D">
        <w:rPr>
          <w:rFonts w:ascii="標楷體" w:eastAsia="標楷體" w:hAnsi="標楷體" w:cs="Calibri" w:hint="eastAsia"/>
          <w:kern w:val="0"/>
          <w:sz w:val="32"/>
          <w:szCs w:val="32"/>
        </w:rPr>
        <w:t>，當中大家也許要花很多心神，那我相信在這樣一個堅持，跟非常細緻保留每一個物件，可以看到大家的用心。我們未來的發展，只要存有，就可以去找到過去蹤跡。我想，司法園區是在邁向未來，在現在這個階段，我覺得做的滿令人讚許的，非常感謝今天有這樣的一個機會，未來我相信，我自己應該有機會再來。</w:t>
      </w:r>
    </w:p>
    <w:p w14:paraId="6E5F577F"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所以，在文化資產的發展上、公共藝術的呈現上，大家看到今天司法園區用一個新的想法，又這麼少的錢，能夠有這樣的呈現，就看我們的專業了。有時候展現專業不一定要很多的錢，就可以有無窮的價值，但是如果沒有用心、沒有專業的話，再多的錢也填補不了心靈的漏洞，更遑論實際的空間，所以就是這樣跟大家期許、交流。</w:t>
      </w:r>
    </w:p>
    <w:p w14:paraId="5AAC85AB"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我想我們召委，也是對整個司法園區非常支持，我相信未來在立院，共同努力讓整個司法法制的文化能夠透過不同向度展現，共同維持所謂民主政治的一個真諦。那謝謝大家。</w:t>
      </w:r>
    </w:p>
    <w:p w14:paraId="2790C591" w14:textId="77777777" w:rsidR="00B921E8" w:rsidRPr="001B6E4D" w:rsidRDefault="00B921E8" w:rsidP="003D1018">
      <w:pPr>
        <w:widowControl w:val="0"/>
        <w:numPr>
          <w:ilvl w:val="0"/>
          <w:numId w:val="21"/>
        </w:numPr>
        <w:overflowPunct w:val="0"/>
        <w:spacing w:beforeLines="50" w:before="180" w:after="140" w:line="540" w:lineRule="exact"/>
        <w:ind w:left="0" w:firstLine="0"/>
        <w:jc w:val="both"/>
        <w:rPr>
          <w:rFonts w:ascii="標楷體" w:eastAsia="標楷體" w:hAnsi="標楷體" w:cs="Calibri"/>
          <w:b/>
          <w:bCs/>
          <w:kern w:val="0"/>
          <w:sz w:val="32"/>
          <w:szCs w:val="32"/>
        </w:rPr>
      </w:pPr>
      <w:r w:rsidRPr="001B6E4D">
        <w:rPr>
          <w:rFonts w:ascii="標楷體" w:eastAsia="標楷體" w:hAnsi="標楷體" w:cs="Calibri" w:hint="eastAsia"/>
          <w:b/>
          <w:bCs/>
          <w:kern w:val="0"/>
          <w:sz w:val="32"/>
          <w:szCs w:val="32"/>
        </w:rPr>
        <w:t>司法及法制委員會翁召集委員曉玲：</w:t>
      </w:r>
    </w:p>
    <w:p w14:paraId="77F81A59"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proofErr w:type="gramStart"/>
      <w:r w:rsidRPr="001B6E4D">
        <w:rPr>
          <w:rFonts w:ascii="標楷體" w:eastAsia="標楷體" w:hAnsi="標楷體" w:cs="Calibri" w:hint="eastAsia"/>
          <w:kern w:val="0"/>
          <w:sz w:val="32"/>
          <w:szCs w:val="32"/>
        </w:rPr>
        <w:t>倩綺</w:t>
      </w:r>
      <w:proofErr w:type="gramEnd"/>
      <w:r w:rsidRPr="001B6E4D">
        <w:rPr>
          <w:rFonts w:ascii="標楷體" w:eastAsia="標楷體" w:hAnsi="標楷體" w:cs="Calibri" w:hint="eastAsia"/>
          <w:kern w:val="0"/>
          <w:sz w:val="32"/>
          <w:szCs w:val="32"/>
        </w:rPr>
        <w:t>委員基本上就是專門做文化、藝術方面的事情，很瞭解要經營這樣的司法園區博物館很不容易。尤其是經費有限情況之下，能夠做出像這樣的成果，我覺得很佩服。不過，畢竟這些年因為從事法律教學工作，也常常會</w:t>
      </w:r>
      <w:r w:rsidRPr="001B6E4D">
        <w:rPr>
          <w:rFonts w:ascii="標楷體" w:eastAsia="標楷體" w:hAnsi="標楷體" w:cs="Calibri" w:hint="eastAsia"/>
          <w:kern w:val="0"/>
          <w:sz w:val="32"/>
          <w:szCs w:val="32"/>
        </w:rPr>
        <w:lastRenderedPageBreak/>
        <w:t>去其他國家看法院、相關展覽館等。我的建議是，如果不談其他國家的話，還是可以去看臺灣幾個跟行政機關有關的博物館。</w:t>
      </w:r>
    </w:p>
    <w:p w14:paraId="0417BDE6"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剛剛所</w:t>
      </w:r>
      <w:proofErr w:type="gramStart"/>
      <w:r w:rsidRPr="001B6E4D">
        <w:rPr>
          <w:rFonts w:ascii="標楷體" w:eastAsia="標楷體" w:hAnsi="標楷體" w:cs="Calibri" w:hint="eastAsia"/>
          <w:kern w:val="0"/>
          <w:sz w:val="32"/>
          <w:szCs w:val="32"/>
        </w:rPr>
        <w:t>說的立法院民主議</w:t>
      </w:r>
      <w:proofErr w:type="gramEnd"/>
      <w:r w:rsidRPr="001B6E4D">
        <w:rPr>
          <w:rFonts w:ascii="標楷體" w:eastAsia="標楷體" w:hAnsi="標楷體" w:cs="Calibri" w:hint="eastAsia"/>
          <w:kern w:val="0"/>
          <w:sz w:val="32"/>
          <w:szCs w:val="32"/>
        </w:rPr>
        <w:t>政園區，其實它就是早期省議會。把省議會重新改裝，作為臺灣民主政治教育的示範園區，清楚介紹整個臺灣民主政治發展。也可能因為是立法院自己的，立法委員總是要支持立法院博物館的</w:t>
      </w:r>
      <w:proofErr w:type="gramStart"/>
      <w:r w:rsidRPr="001B6E4D">
        <w:rPr>
          <w:rFonts w:ascii="標楷體" w:eastAsia="標楷體" w:hAnsi="標楷體" w:cs="Calibri" w:hint="eastAsia"/>
          <w:kern w:val="0"/>
          <w:sz w:val="32"/>
          <w:szCs w:val="32"/>
        </w:rPr>
        <w:t>設置及維運</w:t>
      </w:r>
      <w:proofErr w:type="gramEnd"/>
      <w:r w:rsidRPr="001B6E4D">
        <w:rPr>
          <w:rFonts w:ascii="標楷體" w:eastAsia="標楷體" w:hAnsi="標楷體" w:cs="Calibri" w:hint="eastAsia"/>
          <w:kern w:val="0"/>
          <w:sz w:val="32"/>
          <w:szCs w:val="32"/>
        </w:rPr>
        <w:t>，經費編列方面，大概都全部支持，所以我覺得現在那裡做的</w:t>
      </w:r>
      <w:proofErr w:type="gramStart"/>
      <w:r w:rsidRPr="001B6E4D">
        <w:rPr>
          <w:rFonts w:ascii="標楷體" w:eastAsia="標楷體" w:hAnsi="標楷體" w:cs="Calibri" w:hint="eastAsia"/>
          <w:kern w:val="0"/>
          <w:sz w:val="32"/>
          <w:szCs w:val="32"/>
        </w:rPr>
        <w:t>是滿好的</w:t>
      </w:r>
      <w:proofErr w:type="gramEnd"/>
      <w:r w:rsidRPr="001B6E4D">
        <w:rPr>
          <w:rFonts w:ascii="標楷體" w:eastAsia="標楷體" w:hAnsi="標楷體" w:cs="Calibri" w:hint="eastAsia"/>
          <w:kern w:val="0"/>
          <w:sz w:val="32"/>
          <w:szCs w:val="32"/>
        </w:rPr>
        <w:t>，包含整個數位化、內部改裝、還有很多數位影片，滿值得參訪。司法院在秘書長這邊，可以帶員工去一日旅遊，或是我這裡之後也可以來安排。</w:t>
      </w:r>
    </w:p>
    <w:p w14:paraId="1DDCD3E2"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還有，很重要的一個部分，就是民主政治總是脫離不了法治，那裡有非常多重要法律文獻，未來可以跟司法博物館這邊對接，甚至有些重要文書檔案，其實都可以借助。誠如處長剛</w:t>
      </w:r>
      <w:proofErr w:type="gramStart"/>
      <w:r w:rsidRPr="001B6E4D">
        <w:rPr>
          <w:rFonts w:ascii="標楷體" w:eastAsia="標楷體" w:hAnsi="標楷體" w:cs="Calibri" w:hint="eastAsia"/>
          <w:kern w:val="0"/>
          <w:sz w:val="32"/>
          <w:szCs w:val="32"/>
        </w:rPr>
        <w:t>特別說了</w:t>
      </w:r>
      <w:proofErr w:type="gramEnd"/>
      <w:r w:rsidRPr="001B6E4D">
        <w:rPr>
          <w:rFonts w:ascii="標楷體" w:eastAsia="標楷體" w:hAnsi="標楷體" w:cs="Calibri" w:hint="eastAsia"/>
          <w:kern w:val="0"/>
          <w:sz w:val="32"/>
          <w:szCs w:val="32"/>
        </w:rPr>
        <w:t>，明年是民法一百年、還有刑法一百年等等，如果說，在立法院公文書上面有些重要歷史時刻，譬如說某一個制度的轉變等，可以跟立法院調取歷史資料，以更豐富展覽的質量。</w:t>
      </w:r>
    </w:p>
    <w:p w14:paraId="3BB948D6"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另外，臺灣研究法制史的學者</w:t>
      </w:r>
      <w:proofErr w:type="gramStart"/>
      <w:r w:rsidRPr="001B6E4D">
        <w:rPr>
          <w:rFonts w:ascii="標楷體" w:eastAsia="標楷體" w:hAnsi="標楷體" w:cs="Calibri" w:hint="eastAsia"/>
          <w:kern w:val="0"/>
          <w:sz w:val="32"/>
          <w:szCs w:val="32"/>
        </w:rPr>
        <w:t>也滿多的</w:t>
      </w:r>
      <w:proofErr w:type="gramEnd"/>
      <w:r w:rsidRPr="001B6E4D">
        <w:rPr>
          <w:rFonts w:ascii="標楷體" w:eastAsia="標楷體" w:hAnsi="標楷體" w:cs="Calibri" w:hint="eastAsia"/>
          <w:kern w:val="0"/>
          <w:sz w:val="32"/>
          <w:szCs w:val="32"/>
        </w:rPr>
        <w:t>，例如黃源盛老師的中國法制史學會。我建議，未來司法博物館可以跟這些教授們聯絡。接下來，幾個重要的策展，因為處長已經很有想法，我都非常的支持，可以邀請學者們談談，有哪些非常重要的修法必須在展覽裡面呈現。也可以結合歷史學者，現在做公共歷史的學者非常多，如何讓歷史親民化，這樣的人才很多，很期待你們接下來策劃這些展覽，然後做好。</w:t>
      </w:r>
    </w:p>
    <w:p w14:paraId="4E2C1B60"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lastRenderedPageBreak/>
        <w:t>國外部份，我曾經參觀過紐倫堡大審的法院，它重新設置成博物館，裡面不僅有很多文獻、展覽，還包含影片各方面的解說。假設有機會的話，國外重要法庭、開放成為博物館性質的部分園區，也都值得參考。</w:t>
      </w:r>
    </w:p>
    <w:p w14:paraId="0D22FF5B"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現在司法院經費好像都在各個法院的人力、業務費等，開銷比較沒有那麼多，就不知道還有沒有空間再編經費重新整理司法園區。現在都是小部分維修，就像司法院牆壁斑駁，重新粉刷，卻都是一區一區的，而不是一次弄。所以，之後關於這種修繕，可以的話，編個兩三年的計畫、長期計畫，就像行政院，也有很多建築維修，也是編多年計畫。一次性經費的通過，也比較不會擔心今年有、明年沒有、後年又沒有。</w:t>
      </w:r>
    </w:p>
    <w:p w14:paraId="12AAF27F"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以上大概是我的建議。總之是非常的敬佩，司法博物館在人力、物力都有限的情況下，還能有像這樣的成果，我很敬佩各位同仁。希望未來在秘書長的帶領之下，你們繼續努力，做得更好，謝謝。</w:t>
      </w:r>
    </w:p>
    <w:p w14:paraId="43259A99" w14:textId="77777777" w:rsidR="00B921E8" w:rsidRPr="001B6E4D" w:rsidRDefault="00B921E8" w:rsidP="003D1018">
      <w:pPr>
        <w:widowControl w:val="0"/>
        <w:numPr>
          <w:ilvl w:val="0"/>
          <w:numId w:val="21"/>
        </w:numPr>
        <w:overflowPunct w:val="0"/>
        <w:spacing w:beforeLines="50" w:before="180" w:after="140" w:line="540" w:lineRule="exact"/>
        <w:ind w:left="0" w:firstLine="0"/>
        <w:jc w:val="both"/>
        <w:rPr>
          <w:rFonts w:ascii="標楷體" w:eastAsia="標楷體" w:hAnsi="標楷體" w:cs="Calibri"/>
          <w:b/>
          <w:bCs/>
          <w:kern w:val="0"/>
          <w:sz w:val="32"/>
          <w:szCs w:val="32"/>
        </w:rPr>
      </w:pPr>
      <w:r w:rsidRPr="001B6E4D">
        <w:rPr>
          <w:rFonts w:ascii="標楷體" w:eastAsia="標楷體" w:hAnsi="標楷體" w:cs="Calibri" w:hint="eastAsia"/>
          <w:b/>
          <w:bCs/>
          <w:kern w:val="0"/>
          <w:sz w:val="32"/>
          <w:szCs w:val="32"/>
        </w:rPr>
        <w:t>司法院高秘書長金枝：</w:t>
      </w:r>
    </w:p>
    <w:p w14:paraId="14A8BCB9"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那我就簡單兩句話。謝謝委員，今天來你就看到了，我們小小的錢，大大的努力。雖然有一點點的成果，其實我們也覺得自己目前僅是一點點的成果，跟剛剛委員指教的一樣，很多地方都在推廣，很重要。我們就熱烈的掌聲，謝謝委員，也希望委員給我們更大的支持。</w:t>
      </w:r>
    </w:p>
    <w:p w14:paraId="285CB038" w14:textId="77777777" w:rsidR="00B921E8" w:rsidRPr="001B6E4D" w:rsidRDefault="00B921E8" w:rsidP="003D1018">
      <w:pPr>
        <w:widowControl w:val="0"/>
        <w:numPr>
          <w:ilvl w:val="0"/>
          <w:numId w:val="21"/>
        </w:numPr>
        <w:overflowPunct w:val="0"/>
        <w:spacing w:beforeLines="50" w:before="180" w:after="140" w:line="540" w:lineRule="exact"/>
        <w:ind w:left="0" w:firstLine="0"/>
        <w:jc w:val="both"/>
        <w:rPr>
          <w:rFonts w:ascii="標楷體" w:eastAsia="標楷體" w:hAnsi="標楷體" w:cs="Calibri"/>
          <w:b/>
          <w:bCs/>
          <w:kern w:val="0"/>
          <w:sz w:val="32"/>
          <w:szCs w:val="32"/>
        </w:rPr>
      </w:pPr>
      <w:r w:rsidRPr="001B6E4D">
        <w:rPr>
          <w:rFonts w:ascii="標楷體" w:eastAsia="標楷體" w:hAnsi="標楷體" w:cs="Calibri" w:hint="eastAsia"/>
          <w:b/>
          <w:bCs/>
          <w:kern w:val="0"/>
          <w:sz w:val="32"/>
          <w:szCs w:val="32"/>
        </w:rPr>
        <w:t>司法及法制委員會翁召集委員曉玲：</w:t>
      </w:r>
    </w:p>
    <w:p w14:paraId="06E111DD"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這方面的話，我會盡我所能，協助整個司法園區做得更好。之後，不管是誰當市長，都應該要跟</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南市政府多交流合作，畢竟很多方面都需要</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南市政府的協助。還有</w:t>
      </w:r>
      <w:r w:rsidRPr="001B6E4D">
        <w:rPr>
          <w:rFonts w:ascii="標楷體" w:eastAsia="標楷體" w:hAnsi="標楷體" w:cs="Calibri" w:hint="eastAsia"/>
          <w:kern w:val="0"/>
          <w:sz w:val="32"/>
          <w:szCs w:val="32"/>
        </w:rPr>
        <w:lastRenderedPageBreak/>
        <w:t>因為我之前在清大通識中心當了六年的通識中心主任，也承蒙校長器重。我就是把清大通識中心就是做到全國第一名，也跟成功大學的通識學院關係很好。成大通識學院基本上有做很多在地的通識課程，例如旅溯</w:t>
      </w:r>
      <w:proofErr w:type="gramStart"/>
      <w:r w:rsidRPr="001B6E4D">
        <w:rPr>
          <w:rFonts w:ascii="標楷體" w:eastAsia="標楷體" w:hAnsi="標楷體" w:cs="Calibri" w:hint="eastAsia"/>
          <w:kern w:val="0"/>
          <w:sz w:val="32"/>
          <w:szCs w:val="32"/>
        </w:rPr>
        <w:t>臺</w:t>
      </w:r>
      <w:proofErr w:type="gramEnd"/>
      <w:r w:rsidRPr="001B6E4D">
        <w:rPr>
          <w:rFonts w:ascii="標楷體" w:eastAsia="標楷體" w:hAnsi="標楷體" w:cs="Calibri" w:hint="eastAsia"/>
          <w:kern w:val="0"/>
          <w:sz w:val="32"/>
          <w:szCs w:val="32"/>
        </w:rPr>
        <w:t>南、</w:t>
      </w:r>
      <w:proofErr w:type="gramStart"/>
      <w:r w:rsidRPr="001B6E4D">
        <w:rPr>
          <w:rFonts w:ascii="標楷體" w:eastAsia="標楷體" w:hAnsi="標楷體" w:cs="Calibri" w:hint="eastAsia"/>
          <w:kern w:val="0"/>
          <w:sz w:val="32"/>
          <w:szCs w:val="32"/>
        </w:rPr>
        <w:t>旅讀台南</w:t>
      </w:r>
      <w:proofErr w:type="gramEnd"/>
      <w:r w:rsidRPr="001B6E4D">
        <w:rPr>
          <w:rFonts w:ascii="標楷體" w:eastAsia="標楷體" w:hAnsi="標楷體" w:cs="Calibri" w:hint="eastAsia"/>
          <w:kern w:val="0"/>
          <w:sz w:val="32"/>
          <w:szCs w:val="32"/>
        </w:rPr>
        <w:t>。未來如果能夠把司法園區納為成大通識課程踏查的一個景點，其實也很有意思，因為老師們會對包含在歷史建築各方面，做透徹的研究。</w:t>
      </w:r>
    </w:p>
    <w:p w14:paraId="037703A3" w14:textId="77777777" w:rsidR="00B921E8" w:rsidRPr="001B6E4D" w:rsidRDefault="00B921E8" w:rsidP="003D1018">
      <w:pPr>
        <w:overflowPunct w:val="0"/>
        <w:spacing w:line="540" w:lineRule="exact"/>
        <w:ind w:leftChars="200" w:left="480" w:firstLineChars="200" w:firstLine="640"/>
        <w:jc w:val="both"/>
        <w:rPr>
          <w:rFonts w:ascii="標楷體" w:eastAsia="標楷體" w:hAnsi="標楷體" w:cs="Calibri"/>
          <w:kern w:val="0"/>
          <w:sz w:val="32"/>
          <w:szCs w:val="32"/>
        </w:rPr>
      </w:pPr>
      <w:r w:rsidRPr="001B6E4D">
        <w:rPr>
          <w:rFonts w:ascii="標楷體" w:eastAsia="標楷體" w:hAnsi="標楷體" w:cs="Calibri" w:hint="eastAsia"/>
          <w:kern w:val="0"/>
          <w:sz w:val="32"/>
          <w:szCs w:val="32"/>
        </w:rPr>
        <w:t>今天導</w:t>
      </w:r>
      <w:proofErr w:type="gramStart"/>
      <w:r w:rsidRPr="001B6E4D">
        <w:rPr>
          <w:rFonts w:ascii="標楷體" w:eastAsia="標楷體" w:hAnsi="標楷體" w:cs="Calibri" w:hint="eastAsia"/>
          <w:kern w:val="0"/>
          <w:sz w:val="32"/>
          <w:szCs w:val="32"/>
        </w:rPr>
        <w:t>覽</w:t>
      </w:r>
      <w:proofErr w:type="gramEnd"/>
      <w:r w:rsidRPr="001B6E4D">
        <w:rPr>
          <w:rFonts w:ascii="標楷體" w:eastAsia="標楷體" w:hAnsi="標楷體" w:cs="Calibri" w:hint="eastAsia"/>
          <w:kern w:val="0"/>
          <w:sz w:val="32"/>
          <w:szCs w:val="32"/>
        </w:rPr>
        <w:t>部分，關於建築的介紹，每</w:t>
      </w:r>
      <w:proofErr w:type="gramStart"/>
      <w:r w:rsidRPr="001B6E4D">
        <w:rPr>
          <w:rFonts w:ascii="標楷體" w:eastAsia="標楷體" w:hAnsi="標楷體" w:cs="Calibri" w:hint="eastAsia"/>
          <w:kern w:val="0"/>
          <w:sz w:val="32"/>
          <w:szCs w:val="32"/>
        </w:rPr>
        <w:t>個</w:t>
      </w:r>
      <w:proofErr w:type="gramEnd"/>
      <w:r w:rsidRPr="001B6E4D">
        <w:rPr>
          <w:rFonts w:ascii="標楷體" w:eastAsia="標楷體" w:hAnsi="標楷體" w:cs="Calibri" w:hint="eastAsia"/>
          <w:kern w:val="0"/>
          <w:sz w:val="32"/>
          <w:szCs w:val="32"/>
        </w:rPr>
        <w:t>圖案各方面的，還是需要更專業的專家學者研究它的歷史出處、特別的意義。就是假設之後可以委託學者進行研究計畫，我覺得其實也很好，謝謝。</w:t>
      </w:r>
    </w:p>
    <w:p w14:paraId="07D3281C" w14:textId="77777777" w:rsidR="00B921E8" w:rsidRPr="001B6E4D" w:rsidRDefault="00B921E8" w:rsidP="003D1018">
      <w:pPr>
        <w:widowControl w:val="0"/>
        <w:tabs>
          <w:tab w:val="left" w:pos="1902"/>
        </w:tabs>
        <w:overflowPunct w:val="0"/>
        <w:adjustRightInd w:val="0"/>
        <w:spacing w:after="120" w:line="500" w:lineRule="exact"/>
        <w:textAlignment w:val="baseline"/>
        <w:rPr>
          <w:rFonts w:ascii="標楷體" w:eastAsia="標楷體" w:hAnsi="標楷體" w:cs="Calibri"/>
          <w:b/>
          <w:kern w:val="0"/>
          <w:sz w:val="32"/>
          <w:szCs w:val="32"/>
        </w:rPr>
      </w:pPr>
      <w:r w:rsidRPr="001B6E4D">
        <w:rPr>
          <w:rFonts w:ascii="標楷體" w:eastAsia="標楷體" w:hAnsi="標楷體" w:cs="Calibri" w:hint="eastAsia"/>
          <w:b/>
          <w:kern w:val="0"/>
          <w:sz w:val="32"/>
          <w:szCs w:val="32"/>
        </w:rPr>
        <w:t>散會(下午1時20分</w:t>
      </w:r>
      <w:r w:rsidRPr="001B6E4D">
        <w:rPr>
          <w:rFonts w:ascii="標楷體" w:eastAsia="標楷體" w:hAnsi="標楷體" w:cs="Calibri"/>
          <w:b/>
          <w:kern w:val="0"/>
          <w:sz w:val="32"/>
          <w:szCs w:val="32"/>
        </w:rPr>
        <w:t>)</w:t>
      </w:r>
    </w:p>
    <w:p w14:paraId="4AB66DDF" w14:textId="77777777" w:rsidR="00B921E8" w:rsidRPr="001B6E4D" w:rsidRDefault="00B921E8" w:rsidP="003D1018">
      <w:pPr>
        <w:overflowPunct w:val="0"/>
        <w:rPr>
          <w:rFonts w:ascii="標楷體" w:eastAsia="標楷體" w:hAnsi="標楷體" w:cs="Calibri"/>
          <w:b/>
          <w:kern w:val="0"/>
          <w:sz w:val="32"/>
          <w:szCs w:val="32"/>
        </w:rPr>
      </w:pPr>
      <w:r w:rsidRPr="001B6E4D">
        <w:rPr>
          <w:rFonts w:ascii="標楷體" w:eastAsia="標楷體" w:hAnsi="標楷體" w:cs="Calibri"/>
          <w:b/>
          <w:sz w:val="32"/>
          <w:szCs w:val="32"/>
        </w:rPr>
        <w:br w:type="page"/>
      </w:r>
    </w:p>
    <w:p w14:paraId="05B16FE3" w14:textId="0358CCB3" w:rsidR="00B921E8" w:rsidRPr="001B6E4D" w:rsidRDefault="00B921E8" w:rsidP="003D1018">
      <w:pPr>
        <w:kinsoku w:val="0"/>
        <w:overflowPunct w:val="0"/>
        <w:snapToGrid w:val="0"/>
        <w:spacing w:afterLines="50" w:after="180" w:line="440" w:lineRule="exact"/>
        <w:jc w:val="center"/>
        <w:outlineLvl w:val="4"/>
        <w:rPr>
          <w:rFonts w:ascii="標楷體" w:eastAsia="標楷體" w:hAnsi="標楷體"/>
          <w:b/>
          <w:sz w:val="36"/>
          <w:szCs w:val="20"/>
        </w:rPr>
      </w:pPr>
      <w:r w:rsidRPr="001B6E4D">
        <w:rPr>
          <w:rFonts w:ascii="標楷體" w:eastAsia="標楷體" w:hAnsi="標楷體" w:hint="eastAsia"/>
          <w:b/>
          <w:sz w:val="36"/>
          <w:szCs w:val="20"/>
        </w:rPr>
        <w:lastRenderedPageBreak/>
        <w:t>立法院司法及法制委員會考察新北市政府</w:t>
      </w:r>
      <w:bookmarkStart w:id="564" w:name="少輔會輔導網絡合作模式及現行成少共犯困境紀錄"/>
      <w:r w:rsidRPr="001B6E4D">
        <w:rPr>
          <w:rFonts w:ascii="標楷體" w:eastAsia="標楷體" w:hAnsi="標楷體" w:hint="eastAsia"/>
          <w:b/>
          <w:sz w:val="36"/>
          <w:szCs w:val="20"/>
        </w:rPr>
        <w:t>少輔會輔導網絡合作模式及現行成少共犯困境紀錄</w:t>
      </w:r>
      <w:bookmarkEnd w:id="564"/>
    </w:p>
    <w:p w14:paraId="031E0074" w14:textId="77777777" w:rsidR="00B921E8" w:rsidRPr="001B6E4D" w:rsidRDefault="00B921E8" w:rsidP="003D1018">
      <w:pPr>
        <w:widowControl w:val="0"/>
        <w:numPr>
          <w:ilvl w:val="0"/>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sz w:val="32"/>
          <w:szCs w:val="32"/>
          <w14:ligatures w14:val="standardContextual"/>
        </w:rPr>
        <w:t>時間：11</w:t>
      </w:r>
      <w:r w:rsidRPr="001B6E4D">
        <w:rPr>
          <w:rFonts w:ascii="標楷體" w:eastAsia="標楷體" w:hAnsi="標楷體" w:hint="eastAsia"/>
          <w:sz w:val="32"/>
          <w:szCs w:val="32"/>
          <w14:ligatures w14:val="standardContextual"/>
        </w:rPr>
        <w:t>5</w:t>
      </w:r>
      <w:r w:rsidRPr="001B6E4D">
        <w:rPr>
          <w:rFonts w:ascii="標楷體" w:eastAsia="標楷體" w:hAnsi="標楷體"/>
          <w:sz w:val="32"/>
          <w:szCs w:val="32"/>
          <w14:ligatures w14:val="standardContextual"/>
        </w:rPr>
        <w:t>年</w:t>
      </w:r>
      <w:r w:rsidRPr="001B6E4D">
        <w:rPr>
          <w:rFonts w:ascii="標楷體" w:eastAsia="標楷體" w:hAnsi="標楷體" w:hint="eastAsia"/>
          <w:sz w:val="32"/>
          <w:szCs w:val="32"/>
          <w14:ligatures w14:val="standardContextual"/>
        </w:rPr>
        <w:t>3</w:t>
      </w:r>
      <w:r w:rsidRPr="001B6E4D">
        <w:rPr>
          <w:rFonts w:ascii="標楷體" w:eastAsia="標楷體" w:hAnsi="標楷體"/>
          <w:sz w:val="32"/>
          <w:szCs w:val="32"/>
          <w14:ligatures w14:val="standardContextual"/>
        </w:rPr>
        <w:t>月</w:t>
      </w:r>
      <w:r w:rsidRPr="001B6E4D">
        <w:rPr>
          <w:rFonts w:ascii="標楷體" w:eastAsia="標楷體" w:hAnsi="標楷體" w:hint="eastAsia"/>
          <w:sz w:val="32"/>
          <w:szCs w:val="32"/>
          <w14:ligatures w14:val="standardContextual"/>
        </w:rPr>
        <w:t>23</w:t>
      </w:r>
      <w:r w:rsidRPr="001B6E4D">
        <w:rPr>
          <w:rFonts w:ascii="標楷體" w:eastAsia="標楷體" w:hAnsi="標楷體"/>
          <w:sz w:val="32"/>
          <w:szCs w:val="32"/>
          <w14:ligatures w14:val="standardContextual"/>
        </w:rPr>
        <w:t>日（星期</w:t>
      </w:r>
      <w:r w:rsidRPr="001B6E4D">
        <w:rPr>
          <w:rFonts w:ascii="標楷體" w:eastAsia="標楷體" w:hAnsi="標楷體" w:hint="eastAsia"/>
          <w:sz w:val="32"/>
          <w:szCs w:val="32"/>
          <w14:ligatures w14:val="standardContextual"/>
        </w:rPr>
        <w:t>一</w:t>
      </w:r>
      <w:r w:rsidRPr="001B6E4D">
        <w:rPr>
          <w:rFonts w:ascii="標楷體" w:eastAsia="標楷體" w:hAnsi="標楷體"/>
          <w:sz w:val="32"/>
          <w:szCs w:val="32"/>
          <w14:ligatures w14:val="standardContextual"/>
        </w:rPr>
        <w:t>）</w:t>
      </w:r>
      <w:r w:rsidRPr="001B6E4D">
        <w:rPr>
          <w:rFonts w:ascii="標楷體" w:eastAsia="標楷體" w:hAnsi="標楷體" w:hint="eastAsia"/>
          <w:sz w:val="32"/>
          <w:szCs w:val="32"/>
          <w14:ligatures w14:val="standardContextual"/>
        </w:rPr>
        <w:t>上</w:t>
      </w:r>
      <w:r w:rsidRPr="001B6E4D">
        <w:rPr>
          <w:rFonts w:ascii="標楷體" w:eastAsia="標楷體" w:hAnsi="標楷體"/>
          <w:sz w:val="32"/>
          <w:szCs w:val="32"/>
          <w14:ligatures w14:val="standardContextual"/>
        </w:rPr>
        <w:t>午</w:t>
      </w:r>
      <w:r w:rsidRPr="001B6E4D">
        <w:rPr>
          <w:rFonts w:ascii="標楷體" w:eastAsia="標楷體" w:hAnsi="標楷體" w:hint="eastAsia"/>
          <w:sz w:val="32"/>
          <w:szCs w:val="32"/>
          <w14:ligatures w14:val="standardContextual"/>
        </w:rPr>
        <w:t>9</w:t>
      </w:r>
      <w:r w:rsidRPr="001B6E4D">
        <w:rPr>
          <w:rFonts w:ascii="標楷體" w:eastAsia="標楷體" w:hAnsi="標楷體"/>
          <w:sz w:val="32"/>
          <w:szCs w:val="32"/>
          <w14:ligatures w14:val="standardContextual"/>
        </w:rPr>
        <w:t>時</w:t>
      </w:r>
      <w:r w:rsidRPr="001B6E4D">
        <w:rPr>
          <w:rFonts w:ascii="標楷體" w:eastAsia="標楷體" w:hAnsi="標楷體" w:hint="eastAsia"/>
          <w:sz w:val="32"/>
          <w:szCs w:val="32"/>
          <w14:ligatures w14:val="standardContextual"/>
        </w:rPr>
        <w:t>10</w:t>
      </w:r>
      <w:r w:rsidRPr="001B6E4D">
        <w:rPr>
          <w:rFonts w:ascii="標楷體" w:eastAsia="標楷體" w:hAnsi="標楷體"/>
          <w:sz w:val="32"/>
          <w:szCs w:val="32"/>
          <w14:ligatures w14:val="standardContextual"/>
        </w:rPr>
        <w:t>分</w:t>
      </w:r>
    </w:p>
    <w:p w14:paraId="31042354" w14:textId="77777777" w:rsidR="00B921E8" w:rsidRPr="001B6E4D" w:rsidRDefault="00B921E8" w:rsidP="003D1018">
      <w:pPr>
        <w:widowControl w:val="0"/>
        <w:numPr>
          <w:ilvl w:val="0"/>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sz w:val="32"/>
          <w:szCs w:val="32"/>
          <w14:ligatures w14:val="standardContextual"/>
        </w:rPr>
        <w:t>地點：新北市政府4樓40</w:t>
      </w:r>
      <w:r w:rsidRPr="001B6E4D">
        <w:rPr>
          <w:rFonts w:ascii="標楷體" w:eastAsia="標楷體" w:hAnsi="標楷體" w:hint="eastAsia"/>
          <w:sz w:val="32"/>
          <w:szCs w:val="32"/>
          <w14:ligatures w14:val="standardContextual"/>
        </w:rPr>
        <w:t>3</w:t>
      </w:r>
      <w:r w:rsidRPr="001B6E4D">
        <w:rPr>
          <w:rFonts w:ascii="標楷體" w:eastAsia="標楷體" w:hAnsi="標楷體"/>
          <w:sz w:val="32"/>
          <w:szCs w:val="32"/>
          <w14:ligatures w14:val="standardContextual"/>
        </w:rPr>
        <w:t>會議室</w:t>
      </w:r>
    </w:p>
    <w:p w14:paraId="06CC2869" w14:textId="77777777" w:rsidR="00B921E8" w:rsidRPr="001B6E4D" w:rsidRDefault="00B921E8" w:rsidP="003D1018">
      <w:pPr>
        <w:widowControl w:val="0"/>
        <w:numPr>
          <w:ilvl w:val="0"/>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sz w:val="32"/>
          <w:szCs w:val="32"/>
          <w14:ligatures w14:val="standardContextual"/>
        </w:rPr>
        <w:t>主</w:t>
      </w:r>
      <w:r w:rsidRPr="001B6E4D">
        <w:rPr>
          <w:rFonts w:ascii="標楷體" w:eastAsia="標楷體" w:hAnsi="標楷體" w:hint="eastAsia"/>
          <w:sz w:val="32"/>
          <w:szCs w:val="32"/>
          <w14:ligatures w14:val="standardContextual"/>
        </w:rPr>
        <w:t>持人</w:t>
      </w:r>
      <w:r w:rsidRPr="001B6E4D">
        <w:rPr>
          <w:rFonts w:ascii="標楷體" w:eastAsia="標楷體" w:hAnsi="標楷體"/>
          <w:sz w:val="32"/>
          <w:szCs w:val="32"/>
          <w14:ligatures w14:val="standardContextual"/>
        </w:rPr>
        <w:t>：</w:t>
      </w:r>
      <w:r w:rsidRPr="001B6E4D">
        <w:rPr>
          <w:rFonts w:ascii="標楷體" w:eastAsia="標楷體" w:hAnsi="標楷體" w:hint="eastAsia"/>
          <w:sz w:val="32"/>
          <w:szCs w:val="32"/>
          <w14:ligatures w14:val="standardContextual"/>
        </w:rPr>
        <w:t>立法院司法及法制委員會張委員雅琳</w:t>
      </w:r>
    </w:p>
    <w:p w14:paraId="6136F4EC" w14:textId="178661EF" w:rsidR="00B921E8" w:rsidRPr="001B6E4D" w:rsidRDefault="00B921E8" w:rsidP="003D1018">
      <w:pPr>
        <w:widowControl w:val="0"/>
        <w:overflowPunct w:val="0"/>
        <w:spacing w:line="500" w:lineRule="exact"/>
        <w:ind w:firstLineChars="21" w:firstLine="67"/>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新北市政府</w:t>
      </w:r>
      <w:proofErr w:type="gramStart"/>
      <w:r w:rsidRPr="001B6E4D">
        <w:rPr>
          <w:rFonts w:ascii="標楷體" w:eastAsia="標楷體" w:hAnsi="標楷體"/>
          <w:sz w:val="32"/>
          <w:szCs w:val="32"/>
          <w14:ligatures w14:val="standardContextual"/>
        </w:rPr>
        <w:t>朱副市長惕</w:t>
      </w:r>
      <w:proofErr w:type="gramEnd"/>
      <w:r w:rsidRPr="001B6E4D">
        <w:rPr>
          <w:rFonts w:ascii="標楷體" w:eastAsia="標楷體" w:hAnsi="標楷體"/>
          <w:sz w:val="32"/>
          <w:szCs w:val="32"/>
          <w14:ligatures w14:val="standardContextual"/>
        </w:rPr>
        <w:t>之</w:t>
      </w:r>
      <w:r w:rsidRPr="001B6E4D">
        <w:rPr>
          <w:rFonts w:ascii="標楷體" w:eastAsia="標楷體" w:hAnsi="標楷體" w:hint="eastAsia"/>
          <w:sz w:val="32"/>
          <w:szCs w:val="32"/>
          <w14:ligatures w14:val="standardContextual"/>
        </w:rPr>
        <w:t xml:space="preserve">   </w:t>
      </w:r>
      <w:r w:rsidRPr="001B6E4D">
        <w:rPr>
          <w:rFonts w:ascii="標楷體" w:eastAsia="標楷體" w:hAnsi="標楷體"/>
          <w:sz w:val="32"/>
          <w:szCs w:val="32"/>
          <w14:ligatures w14:val="standardContextual"/>
        </w:rPr>
        <w:t>紀錄：少年輔導員謝逸婷</w:t>
      </w:r>
      <w:r w:rsidRPr="001B6E4D">
        <w:rPr>
          <w:rFonts w:ascii="標楷體" w:eastAsia="標楷體" w:hAnsi="標楷體" w:hint="eastAsia"/>
          <w:sz w:val="32"/>
          <w:szCs w:val="32"/>
          <w14:ligatures w14:val="standardContextual"/>
        </w:rPr>
        <w:t xml:space="preserve">        </w:t>
      </w:r>
      <w:r w:rsidRPr="001B6E4D">
        <w:rPr>
          <w:rFonts w:ascii="標楷體" w:eastAsia="標楷體" w:hAnsi="標楷體"/>
          <w:sz w:val="32"/>
          <w:szCs w:val="32"/>
          <w14:ligatures w14:val="standardContextual"/>
        </w:rPr>
        <w:t xml:space="preserve">          </w:t>
      </w:r>
      <w:r w:rsidRPr="001B6E4D">
        <w:rPr>
          <w:rFonts w:ascii="標楷體" w:eastAsia="標楷體" w:hAnsi="標楷體" w:hint="eastAsia"/>
          <w:sz w:val="32"/>
          <w:szCs w:val="32"/>
          <w14:ligatures w14:val="standardContextual"/>
        </w:rPr>
        <w:t xml:space="preserve">                 </w:t>
      </w:r>
      <w:r w:rsidRPr="001B6E4D">
        <w:rPr>
          <w:rFonts w:ascii="標楷體" w:eastAsia="標楷體" w:hAnsi="標楷體"/>
          <w:sz w:val="32"/>
          <w:szCs w:val="32"/>
          <w14:ligatures w14:val="standardContextual"/>
        </w:rPr>
        <w:t xml:space="preserve">   </w:t>
      </w:r>
    </w:p>
    <w:p w14:paraId="145EE518" w14:textId="77777777" w:rsidR="00B921E8" w:rsidRPr="001B6E4D" w:rsidRDefault="00B921E8" w:rsidP="003D1018">
      <w:pPr>
        <w:widowControl w:val="0"/>
        <w:numPr>
          <w:ilvl w:val="0"/>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sz w:val="32"/>
          <w:szCs w:val="32"/>
          <w14:ligatures w14:val="standardContextual"/>
        </w:rPr>
        <w:t>出席人員：詳如簽到表</w:t>
      </w:r>
    </w:p>
    <w:p w14:paraId="178777A7" w14:textId="77777777" w:rsidR="00B921E8" w:rsidRPr="001B6E4D" w:rsidRDefault="00B921E8" w:rsidP="003D1018">
      <w:pPr>
        <w:widowControl w:val="0"/>
        <w:numPr>
          <w:ilvl w:val="0"/>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主持人致詞：</w:t>
      </w:r>
    </w:p>
    <w:p w14:paraId="43060268" w14:textId="77777777" w:rsidR="00B921E8" w:rsidRPr="001B6E4D" w:rsidRDefault="00B921E8" w:rsidP="003D1018">
      <w:pPr>
        <w:widowControl w:val="0"/>
        <w:overflowPunct w:val="0"/>
        <w:spacing w:line="500" w:lineRule="exact"/>
        <w:ind w:left="720"/>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今日</w:t>
      </w:r>
      <w:r w:rsidRPr="001B6E4D">
        <w:rPr>
          <w:rFonts w:ascii="標楷體" w:eastAsia="標楷體" w:hAnsi="標楷體"/>
          <w:sz w:val="32"/>
          <w:szCs w:val="32"/>
          <w14:ligatures w14:val="standardContextual"/>
        </w:rPr>
        <w:t>謝謝立法院司法及法</w:t>
      </w:r>
      <w:r w:rsidRPr="001B6E4D">
        <w:rPr>
          <w:rFonts w:ascii="標楷體" w:eastAsia="標楷體" w:hAnsi="標楷體" w:hint="eastAsia"/>
          <w:sz w:val="32"/>
          <w:szCs w:val="32"/>
          <w14:ligatures w14:val="standardContextual"/>
        </w:rPr>
        <w:t>制</w:t>
      </w:r>
      <w:r w:rsidRPr="001B6E4D">
        <w:rPr>
          <w:rFonts w:ascii="標楷體" w:eastAsia="標楷體" w:hAnsi="標楷體"/>
          <w:sz w:val="32"/>
          <w:szCs w:val="32"/>
          <w14:ligatures w14:val="standardContextual"/>
        </w:rPr>
        <w:t>委員會、張立法委員、林立法委員，以及所有委員會</w:t>
      </w:r>
      <w:r w:rsidRPr="001B6E4D">
        <w:rPr>
          <w:rFonts w:ascii="標楷體" w:eastAsia="標楷體" w:hAnsi="標楷體" w:hint="eastAsia"/>
          <w:sz w:val="32"/>
          <w:szCs w:val="32"/>
          <w14:ligatures w14:val="standardContextual"/>
        </w:rPr>
        <w:t>代表</w:t>
      </w:r>
      <w:r w:rsidRPr="001B6E4D">
        <w:rPr>
          <w:rFonts w:ascii="標楷體" w:eastAsia="標楷體" w:hAnsi="標楷體"/>
          <w:sz w:val="32"/>
          <w:szCs w:val="32"/>
          <w14:ligatures w14:val="standardContextual"/>
        </w:rPr>
        <w:t>，也歡迎司法院少年及</w:t>
      </w:r>
      <w:proofErr w:type="gramStart"/>
      <w:r w:rsidRPr="001B6E4D">
        <w:rPr>
          <w:rFonts w:ascii="標楷體" w:eastAsia="標楷體" w:hAnsi="標楷體"/>
          <w:sz w:val="32"/>
          <w:szCs w:val="32"/>
          <w14:ligatures w14:val="standardContextual"/>
        </w:rPr>
        <w:t>家事廳傅法官</w:t>
      </w:r>
      <w:proofErr w:type="gramEnd"/>
      <w:r w:rsidRPr="001B6E4D">
        <w:rPr>
          <w:rFonts w:ascii="標楷體" w:eastAsia="標楷體" w:hAnsi="標楷體"/>
          <w:sz w:val="32"/>
          <w:szCs w:val="32"/>
          <w14:ligatures w14:val="standardContextual"/>
        </w:rPr>
        <w:t>，還有內政部刑事警察局副局長率領的團隊</w:t>
      </w:r>
      <w:r w:rsidRPr="001B6E4D">
        <w:rPr>
          <w:rFonts w:ascii="標楷體" w:eastAsia="標楷體" w:hAnsi="標楷體" w:hint="eastAsia"/>
          <w:sz w:val="32"/>
          <w:szCs w:val="32"/>
          <w14:ligatures w14:val="standardContextual"/>
        </w:rPr>
        <w:t>前來</w:t>
      </w:r>
      <w:r w:rsidRPr="001B6E4D">
        <w:rPr>
          <w:rFonts w:ascii="標楷體" w:eastAsia="標楷體" w:hAnsi="標楷體"/>
          <w:sz w:val="32"/>
          <w:szCs w:val="32"/>
          <w14:ligatures w14:val="standardContextual"/>
        </w:rPr>
        <w:t>新北市</w:t>
      </w:r>
      <w:r w:rsidRPr="001B6E4D">
        <w:rPr>
          <w:rFonts w:ascii="標楷體" w:eastAsia="標楷體" w:hAnsi="標楷體" w:hint="eastAsia"/>
          <w:sz w:val="32"/>
          <w:szCs w:val="32"/>
          <w14:ligatures w14:val="standardContextual"/>
        </w:rPr>
        <w:t>政府考察</w:t>
      </w:r>
      <w:r w:rsidRPr="001B6E4D">
        <w:rPr>
          <w:rFonts w:ascii="標楷體" w:eastAsia="標楷體" w:hAnsi="標楷體"/>
          <w:sz w:val="32"/>
          <w:szCs w:val="32"/>
          <w14:ligatures w14:val="standardContextual"/>
        </w:rPr>
        <w:t>少年輔導及成少共犯的</w:t>
      </w:r>
      <w:r w:rsidRPr="001B6E4D">
        <w:rPr>
          <w:rFonts w:ascii="標楷體" w:eastAsia="標楷體" w:hAnsi="標楷體" w:hint="eastAsia"/>
          <w:sz w:val="32"/>
          <w:szCs w:val="32"/>
          <w14:ligatures w14:val="standardContextual"/>
        </w:rPr>
        <w:t>議題</w:t>
      </w:r>
      <w:r w:rsidRPr="001B6E4D">
        <w:rPr>
          <w:rFonts w:ascii="標楷體" w:eastAsia="標楷體" w:hAnsi="標楷體"/>
          <w:sz w:val="32"/>
          <w:szCs w:val="32"/>
          <w14:ligatures w14:val="standardContextual"/>
        </w:rPr>
        <w:t>。</w:t>
      </w:r>
    </w:p>
    <w:p w14:paraId="58972739" w14:textId="77777777" w:rsidR="00B921E8" w:rsidRPr="001B6E4D" w:rsidRDefault="00B921E8" w:rsidP="003D1018">
      <w:pPr>
        <w:widowControl w:val="0"/>
        <w:overflowPunct w:val="0"/>
        <w:spacing w:line="500" w:lineRule="exact"/>
        <w:ind w:left="720"/>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w:t>
      </w:r>
      <w:r w:rsidRPr="001B6E4D">
        <w:rPr>
          <w:rFonts w:ascii="標楷體" w:eastAsia="標楷體" w:hAnsi="標楷體"/>
          <w:sz w:val="32"/>
          <w:szCs w:val="32"/>
          <w14:ligatures w14:val="standardContextual"/>
        </w:rPr>
        <w:t>少事法修正後，</w:t>
      </w:r>
      <w:proofErr w:type="gramStart"/>
      <w:r w:rsidRPr="001B6E4D">
        <w:rPr>
          <w:rFonts w:ascii="標楷體" w:eastAsia="標楷體" w:hAnsi="標楷體"/>
          <w:sz w:val="32"/>
          <w:szCs w:val="32"/>
          <w14:ligatures w14:val="standardContextual"/>
        </w:rPr>
        <w:t>曝險及觸</w:t>
      </w:r>
      <w:proofErr w:type="gramEnd"/>
      <w:r w:rsidRPr="001B6E4D">
        <w:rPr>
          <w:rFonts w:ascii="標楷體" w:eastAsia="標楷體" w:hAnsi="標楷體"/>
          <w:sz w:val="32"/>
          <w:szCs w:val="32"/>
          <w14:ligatures w14:val="standardContextual"/>
        </w:rPr>
        <w:t>法少年都是</w:t>
      </w:r>
      <w:r w:rsidRPr="001B6E4D">
        <w:rPr>
          <w:rFonts w:ascii="標楷體" w:eastAsia="標楷體" w:hAnsi="標楷體" w:hint="eastAsia"/>
          <w:sz w:val="32"/>
          <w:szCs w:val="32"/>
          <w14:ligatures w14:val="standardContextual"/>
        </w:rPr>
        <w:t>以</w:t>
      </w:r>
      <w:r w:rsidRPr="001B6E4D">
        <w:rPr>
          <w:rFonts w:ascii="標楷體" w:eastAsia="標楷體" w:hAnsi="標楷體"/>
          <w:sz w:val="32"/>
          <w:szCs w:val="32"/>
          <w14:ligatures w14:val="standardContextual"/>
        </w:rPr>
        <w:t>輔導先行</w:t>
      </w:r>
      <w:r w:rsidRPr="001B6E4D">
        <w:rPr>
          <w:rFonts w:ascii="標楷體" w:eastAsia="標楷體" w:hAnsi="標楷體" w:hint="eastAsia"/>
          <w:sz w:val="32"/>
          <w:szCs w:val="32"/>
          <w14:ligatures w14:val="standardContextual"/>
        </w:rPr>
        <w:t>的</w:t>
      </w:r>
      <w:r w:rsidRPr="001B6E4D">
        <w:rPr>
          <w:rFonts w:ascii="標楷體" w:eastAsia="標楷體" w:hAnsi="標楷體"/>
          <w:sz w:val="32"/>
          <w:szCs w:val="32"/>
          <w14:ligatures w14:val="standardContextual"/>
        </w:rPr>
        <w:t>方式執行相關的輔導業務，隨著社</w:t>
      </w:r>
      <w:r w:rsidRPr="001B6E4D">
        <w:rPr>
          <w:rFonts w:ascii="標楷體" w:eastAsia="標楷體" w:hAnsi="標楷體" w:hint="eastAsia"/>
          <w:sz w:val="32"/>
          <w:szCs w:val="32"/>
          <w14:ligatures w14:val="standardContextual"/>
        </w:rPr>
        <w:t>會</w:t>
      </w:r>
      <w:r w:rsidRPr="001B6E4D">
        <w:rPr>
          <w:rFonts w:ascii="標楷體" w:eastAsia="標楷體" w:hAnsi="標楷體"/>
          <w:sz w:val="32"/>
          <w:szCs w:val="32"/>
          <w14:ligatures w14:val="standardContextual"/>
        </w:rPr>
        <w:t>環境的改變，第一線的</w:t>
      </w:r>
      <w:proofErr w:type="gramStart"/>
      <w:r w:rsidRPr="001B6E4D">
        <w:rPr>
          <w:rFonts w:ascii="標楷體" w:eastAsia="標楷體" w:hAnsi="標楷體"/>
          <w:sz w:val="32"/>
          <w:szCs w:val="32"/>
          <w14:ligatures w14:val="standardContextual"/>
        </w:rPr>
        <w:t>少輔員與</w:t>
      </w:r>
      <w:proofErr w:type="gramEnd"/>
      <w:r w:rsidRPr="001B6E4D">
        <w:rPr>
          <w:rFonts w:ascii="標楷體" w:eastAsia="標楷體" w:hAnsi="標楷體" w:hint="eastAsia"/>
          <w:sz w:val="32"/>
          <w:szCs w:val="32"/>
          <w14:ligatures w14:val="standardContextual"/>
        </w:rPr>
        <w:t>當地</w:t>
      </w:r>
      <w:r w:rsidRPr="001B6E4D">
        <w:rPr>
          <w:rFonts w:ascii="標楷體" w:eastAsia="標楷體" w:hAnsi="標楷體"/>
          <w:sz w:val="32"/>
          <w:szCs w:val="32"/>
          <w14:ligatures w14:val="standardContextual"/>
        </w:rPr>
        <w:t>少年法庭</w:t>
      </w:r>
      <w:r w:rsidRPr="001B6E4D">
        <w:rPr>
          <w:rFonts w:ascii="標楷體" w:eastAsia="標楷體" w:hAnsi="標楷體" w:hint="eastAsia"/>
          <w:sz w:val="32"/>
          <w:szCs w:val="32"/>
          <w14:ligatures w14:val="standardContextual"/>
        </w:rPr>
        <w:t>、</w:t>
      </w:r>
      <w:r w:rsidRPr="001B6E4D">
        <w:rPr>
          <w:rFonts w:ascii="標楷體" w:eastAsia="標楷體" w:hAnsi="標楷體"/>
          <w:sz w:val="32"/>
          <w:szCs w:val="32"/>
          <w14:ligatures w14:val="standardContextual"/>
        </w:rPr>
        <w:t>觀護人</w:t>
      </w:r>
      <w:r w:rsidRPr="001B6E4D">
        <w:rPr>
          <w:rFonts w:ascii="標楷體" w:eastAsia="標楷體" w:hAnsi="標楷體" w:hint="eastAsia"/>
          <w:sz w:val="32"/>
          <w:szCs w:val="32"/>
          <w14:ligatures w14:val="standardContextual"/>
        </w:rPr>
        <w:t>以及相關網絡單位都</w:t>
      </w:r>
      <w:r w:rsidRPr="001B6E4D">
        <w:rPr>
          <w:rFonts w:ascii="標楷體" w:eastAsia="標楷體" w:hAnsi="標楷體"/>
          <w:sz w:val="32"/>
          <w:szCs w:val="32"/>
          <w14:ligatures w14:val="standardContextual"/>
        </w:rPr>
        <w:t>保持</w:t>
      </w:r>
      <w:r w:rsidRPr="001B6E4D">
        <w:rPr>
          <w:rFonts w:ascii="標楷體" w:eastAsia="標楷體" w:hAnsi="標楷體" w:hint="eastAsia"/>
          <w:sz w:val="32"/>
          <w:szCs w:val="32"/>
          <w14:ligatures w14:val="standardContextual"/>
        </w:rPr>
        <w:t>相當</w:t>
      </w:r>
      <w:r w:rsidRPr="001B6E4D">
        <w:rPr>
          <w:rFonts w:ascii="標楷體" w:eastAsia="標楷體" w:hAnsi="標楷體"/>
          <w:sz w:val="32"/>
          <w:szCs w:val="32"/>
          <w14:ligatures w14:val="standardContextual"/>
        </w:rPr>
        <w:t>密切的聯繫。</w:t>
      </w:r>
    </w:p>
    <w:p w14:paraId="39C88E93" w14:textId="77777777" w:rsidR="00B921E8" w:rsidRPr="001B6E4D" w:rsidRDefault="00B921E8" w:rsidP="003D1018">
      <w:pPr>
        <w:widowControl w:val="0"/>
        <w:overflowPunct w:val="0"/>
        <w:spacing w:line="500" w:lineRule="exact"/>
        <w:ind w:left="720"/>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w:t>
      </w:r>
      <w:r w:rsidRPr="001B6E4D">
        <w:rPr>
          <w:rFonts w:ascii="標楷體" w:eastAsia="標楷體" w:hAnsi="標楷體"/>
          <w:sz w:val="32"/>
          <w:szCs w:val="32"/>
          <w14:ligatures w14:val="standardContextual"/>
        </w:rPr>
        <w:t>成少共犯</w:t>
      </w:r>
      <w:r w:rsidRPr="001B6E4D">
        <w:rPr>
          <w:rFonts w:ascii="標楷體" w:eastAsia="標楷體" w:hAnsi="標楷體" w:hint="eastAsia"/>
          <w:sz w:val="32"/>
          <w:szCs w:val="32"/>
          <w14:ligatures w14:val="standardContextual"/>
        </w:rPr>
        <w:t>案件</w:t>
      </w:r>
      <w:r w:rsidRPr="001B6E4D">
        <w:rPr>
          <w:rFonts w:ascii="標楷體" w:eastAsia="標楷體" w:hAnsi="標楷體"/>
          <w:sz w:val="32"/>
          <w:szCs w:val="32"/>
          <w14:ligatures w14:val="standardContextual"/>
        </w:rPr>
        <w:t>裡，</w:t>
      </w:r>
      <w:proofErr w:type="gramStart"/>
      <w:r w:rsidRPr="001B6E4D">
        <w:rPr>
          <w:rFonts w:ascii="標楷體" w:eastAsia="標楷體" w:hAnsi="標楷體"/>
          <w:sz w:val="32"/>
          <w:szCs w:val="32"/>
          <w14:ligatures w14:val="standardContextual"/>
        </w:rPr>
        <w:t>曝險</w:t>
      </w:r>
      <w:r w:rsidRPr="001B6E4D">
        <w:rPr>
          <w:rFonts w:ascii="標楷體" w:eastAsia="標楷體" w:hAnsi="標楷體" w:hint="eastAsia"/>
          <w:sz w:val="32"/>
          <w:szCs w:val="32"/>
          <w14:ligatures w14:val="standardContextual"/>
        </w:rPr>
        <w:t>行為</w:t>
      </w:r>
      <w:proofErr w:type="gramEnd"/>
      <w:r w:rsidRPr="001B6E4D">
        <w:rPr>
          <w:rFonts w:ascii="標楷體" w:eastAsia="標楷體" w:hAnsi="標楷體"/>
          <w:sz w:val="32"/>
          <w:szCs w:val="32"/>
          <w14:ligatures w14:val="standardContextual"/>
        </w:rPr>
        <w:t>與觸法</w:t>
      </w:r>
      <w:r w:rsidRPr="001B6E4D">
        <w:rPr>
          <w:rFonts w:ascii="標楷體" w:eastAsia="標楷體" w:hAnsi="標楷體" w:hint="eastAsia"/>
          <w:sz w:val="32"/>
          <w:szCs w:val="32"/>
          <w14:ligatures w14:val="standardContextual"/>
        </w:rPr>
        <w:t>行為</w:t>
      </w:r>
      <w:r w:rsidRPr="001B6E4D">
        <w:rPr>
          <w:rFonts w:ascii="標楷體" w:eastAsia="標楷體" w:hAnsi="標楷體"/>
          <w:sz w:val="32"/>
          <w:szCs w:val="32"/>
          <w14:ligatures w14:val="standardContextual"/>
        </w:rPr>
        <w:t>就是一線之</w:t>
      </w:r>
      <w:r w:rsidRPr="001B6E4D">
        <w:rPr>
          <w:rFonts w:ascii="標楷體" w:eastAsia="標楷體" w:hAnsi="標楷體" w:hint="eastAsia"/>
          <w:sz w:val="32"/>
          <w:szCs w:val="32"/>
          <w14:ligatures w14:val="standardContextual"/>
        </w:rPr>
        <w:t>隔</w:t>
      </w:r>
      <w:r w:rsidRPr="001B6E4D">
        <w:rPr>
          <w:rFonts w:ascii="標楷體" w:eastAsia="標楷體" w:hAnsi="標楷體"/>
          <w:sz w:val="32"/>
          <w:szCs w:val="32"/>
          <w14:ligatures w14:val="standardContextual"/>
        </w:rPr>
        <w:t>，如何</w:t>
      </w:r>
      <w:r w:rsidRPr="001B6E4D">
        <w:rPr>
          <w:rFonts w:ascii="標楷體" w:eastAsia="標楷體" w:hAnsi="標楷體" w:hint="eastAsia"/>
          <w:sz w:val="32"/>
          <w:szCs w:val="32"/>
          <w14:ligatures w14:val="standardContextual"/>
        </w:rPr>
        <w:t>及時</w:t>
      </w:r>
      <w:proofErr w:type="gramStart"/>
      <w:r w:rsidRPr="001B6E4D">
        <w:rPr>
          <w:rFonts w:ascii="標楷體" w:eastAsia="標楷體" w:hAnsi="標楷體"/>
          <w:sz w:val="32"/>
          <w:szCs w:val="32"/>
          <w14:ligatures w14:val="standardContextual"/>
        </w:rPr>
        <w:t>協助曝險少年</w:t>
      </w:r>
      <w:proofErr w:type="gramEnd"/>
      <w:r w:rsidRPr="001B6E4D">
        <w:rPr>
          <w:rFonts w:ascii="標楷體" w:eastAsia="標楷體" w:hAnsi="標楷體"/>
          <w:sz w:val="32"/>
          <w:szCs w:val="32"/>
          <w14:ligatures w14:val="standardContextual"/>
        </w:rPr>
        <w:t>避免受到成少共犯的影響</w:t>
      </w:r>
      <w:r w:rsidRPr="001B6E4D">
        <w:rPr>
          <w:rFonts w:ascii="標楷體" w:eastAsia="標楷體" w:hAnsi="標楷體" w:hint="eastAsia"/>
          <w:sz w:val="32"/>
          <w:szCs w:val="32"/>
          <w14:ligatures w14:val="standardContextual"/>
        </w:rPr>
        <w:t>而出現</w:t>
      </w:r>
      <w:r w:rsidRPr="001B6E4D">
        <w:rPr>
          <w:rFonts w:ascii="標楷體" w:eastAsia="標楷體" w:hAnsi="標楷體"/>
          <w:sz w:val="32"/>
          <w:szCs w:val="32"/>
          <w14:ligatures w14:val="standardContextual"/>
        </w:rPr>
        <w:t>觸法</w:t>
      </w:r>
      <w:r w:rsidRPr="001B6E4D">
        <w:rPr>
          <w:rFonts w:ascii="標楷體" w:eastAsia="標楷體" w:hAnsi="標楷體" w:hint="eastAsia"/>
          <w:sz w:val="32"/>
          <w:szCs w:val="32"/>
          <w14:ligatures w14:val="standardContextual"/>
        </w:rPr>
        <w:t>行為</w:t>
      </w:r>
      <w:r w:rsidRPr="001B6E4D">
        <w:rPr>
          <w:rFonts w:ascii="標楷體" w:eastAsia="標楷體" w:hAnsi="標楷體"/>
          <w:sz w:val="32"/>
          <w:szCs w:val="32"/>
          <w14:ligatures w14:val="standardContextual"/>
        </w:rPr>
        <w:t>，</w:t>
      </w:r>
      <w:r w:rsidRPr="001B6E4D">
        <w:rPr>
          <w:rFonts w:ascii="標楷體" w:eastAsia="標楷體" w:hAnsi="標楷體" w:hint="eastAsia"/>
          <w:sz w:val="32"/>
          <w:szCs w:val="32"/>
          <w14:ligatures w14:val="standardContextual"/>
        </w:rPr>
        <w:t>新北市</w:t>
      </w:r>
      <w:r w:rsidRPr="001B6E4D">
        <w:rPr>
          <w:rFonts w:ascii="標楷體" w:eastAsia="標楷體" w:hAnsi="標楷體"/>
          <w:sz w:val="32"/>
          <w:szCs w:val="32"/>
          <w14:ligatures w14:val="standardContextual"/>
        </w:rPr>
        <w:t>從法制面、執行面及跨網絡合作面，結合了警政、社政、衛政、勞政、教育單位，以及民政相關單位</w:t>
      </w:r>
      <w:r w:rsidRPr="001B6E4D">
        <w:rPr>
          <w:rFonts w:ascii="標楷體" w:eastAsia="標楷體" w:hAnsi="標楷體" w:hint="eastAsia"/>
          <w:sz w:val="32"/>
          <w:szCs w:val="32"/>
          <w14:ligatures w14:val="standardContextual"/>
        </w:rPr>
        <w:t>提供</w:t>
      </w:r>
      <w:r w:rsidRPr="001B6E4D">
        <w:rPr>
          <w:rFonts w:ascii="標楷體" w:eastAsia="標楷體" w:hAnsi="標楷體"/>
          <w:sz w:val="32"/>
          <w:szCs w:val="32"/>
          <w14:ligatures w14:val="standardContextual"/>
        </w:rPr>
        <w:t>輔導</w:t>
      </w:r>
      <w:r w:rsidRPr="001B6E4D">
        <w:rPr>
          <w:rFonts w:ascii="標楷體" w:eastAsia="標楷體" w:hAnsi="標楷體" w:hint="eastAsia"/>
          <w:sz w:val="32"/>
          <w:szCs w:val="32"/>
          <w14:ligatures w14:val="standardContextual"/>
        </w:rPr>
        <w:t>工作</w:t>
      </w:r>
      <w:r w:rsidRPr="001B6E4D">
        <w:rPr>
          <w:rFonts w:ascii="標楷體" w:eastAsia="標楷體" w:hAnsi="標楷體"/>
          <w:sz w:val="32"/>
          <w:szCs w:val="32"/>
          <w14:ligatures w14:val="standardContextual"/>
        </w:rPr>
        <w:t>，</w:t>
      </w:r>
      <w:r w:rsidRPr="001B6E4D">
        <w:rPr>
          <w:rFonts w:ascii="標楷體" w:eastAsia="標楷體" w:hAnsi="標楷體" w:hint="eastAsia"/>
          <w:sz w:val="32"/>
          <w:szCs w:val="32"/>
          <w14:ligatures w14:val="standardContextual"/>
        </w:rPr>
        <w:t>在實務運作上</w:t>
      </w:r>
      <w:r w:rsidRPr="001B6E4D">
        <w:rPr>
          <w:rFonts w:ascii="標楷體" w:eastAsia="標楷體" w:hAnsi="標楷體"/>
          <w:sz w:val="32"/>
          <w:szCs w:val="32"/>
          <w14:ligatures w14:val="standardContextual"/>
        </w:rPr>
        <w:t>如何及時</w:t>
      </w:r>
      <w:r w:rsidRPr="001B6E4D">
        <w:rPr>
          <w:rFonts w:ascii="標楷體" w:eastAsia="標楷體" w:hAnsi="標楷體" w:hint="eastAsia"/>
          <w:sz w:val="32"/>
          <w:szCs w:val="32"/>
          <w14:ligatures w14:val="standardContextual"/>
        </w:rPr>
        <w:t>提供協助</w:t>
      </w:r>
      <w:r w:rsidRPr="001B6E4D">
        <w:rPr>
          <w:rFonts w:ascii="標楷體" w:eastAsia="標楷體" w:hAnsi="標楷體"/>
          <w:sz w:val="32"/>
          <w:szCs w:val="32"/>
          <w14:ligatures w14:val="standardContextual"/>
        </w:rPr>
        <w:t>少年，</w:t>
      </w:r>
      <w:r w:rsidRPr="001B6E4D">
        <w:rPr>
          <w:rFonts w:ascii="標楷體" w:eastAsia="標楷體" w:hAnsi="標楷體" w:hint="eastAsia"/>
          <w:sz w:val="32"/>
          <w:szCs w:val="32"/>
          <w14:ligatures w14:val="standardContextual"/>
        </w:rPr>
        <w:t>避免</w:t>
      </w:r>
      <w:r w:rsidRPr="001B6E4D">
        <w:rPr>
          <w:rFonts w:ascii="標楷體" w:eastAsia="標楷體" w:hAnsi="標楷體"/>
          <w:sz w:val="32"/>
          <w:szCs w:val="32"/>
          <w14:ligatures w14:val="standardContextual"/>
        </w:rPr>
        <w:t>成年後</w:t>
      </w:r>
      <w:r w:rsidRPr="001B6E4D">
        <w:rPr>
          <w:rFonts w:ascii="標楷體" w:eastAsia="標楷體" w:hAnsi="標楷體" w:hint="eastAsia"/>
          <w:sz w:val="32"/>
          <w:szCs w:val="32"/>
          <w14:ligatures w14:val="standardContextual"/>
        </w:rPr>
        <w:t>衍生社</w:t>
      </w:r>
      <w:r w:rsidRPr="001B6E4D">
        <w:rPr>
          <w:rFonts w:ascii="標楷體" w:eastAsia="標楷體" w:hAnsi="標楷體"/>
          <w:sz w:val="32"/>
          <w:szCs w:val="32"/>
          <w14:ligatures w14:val="standardContextual"/>
        </w:rPr>
        <w:t>會治安的問題，</w:t>
      </w:r>
      <w:r w:rsidRPr="001B6E4D">
        <w:rPr>
          <w:rFonts w:ascii="標楷體" w:eastAsia="標楷體" w:hAnsi="標楷體" w:hint="eastAsia"/>
          <w:sz w:val="32"/>
          <w:szCs w:val="32"/>
          <w14:ligatures w14:val="standardContextual"/>
        </w:rPr>
        <w:t>確實需要嚴肅以待以及深入討論</w:t>
      </w:r>
      <w:r w:rsidRPr="001B6E4D">
        <w:rPr>
          <w:rFonts w:ascii="標楷體" w:eastAsia="標楷體" w:hAnsi="標楷體"/>
          <w:sz w:val="32"/>
          <w:szCs w:val="32"/>
          <w14:ligatures w14:val="standardContextual"/>
        </w:rPr>
        <w:t>，非常歡迎立法院</w:t>
      </w:r>
      <w:r w:rsidRPr="001B6E4D">
        <w:rPr>
          <w:rFonts w:ascii="標楷體" w:eastAsia="標楷體" w:hAnsi="標楷體" w:hint="eastAsia"/>
          <w:sz w:val="32"/>
          <w:szCs w:val="32"/>
          <w14:ligatures w14:val="standardContextual"/>
        </w:rPr>
        <w:t>前來本市進行</w:t>
      </w:r>
      <w:r w:rsidRPr="001B6E4D">
        <w:rPr>
          <w:rFonts w:ascii="標楷體" w:eastAsia="標楷體" w:hAnsi="標楷體"/>
          <w:sz w:val="32"/>
          <w:szCs w:val="32"/>
          <w14:ligatures w14:val="standardContextual"/>
        </w:rPr>
        <w:t>考察，也謝謝兩位立法委員親自前來，希望藉由今</w:t>
      </w:r>
      <w:r w:rsidRPr="001B6E4D">
        <w:rPr>
          <w:rFonts w:ascii="標楷體" w:eastAsia="標楷體" w:hAnsi="標楷體" w:hint="eastAsia"/>
          <w:sz w:val="32"/>
          <w:szCs w:val="32"/>
          <w14:ligatures w14:val="standardContextual"/>
        </w:rPr>
        <w:t>日</w:t>
      </w:r>
      <w:r w:rsidRPr="001B6E4D">
        <w:rPr>
          <w:rFonts w:ascii="標楷體" w:eastAsia="標楷體" w:hAnsi="標楷體"/>
          <w:sz w:val="32"/>
          <w:szCs w:val="32"/>
          <w14:ligatures w14:val="standardContextual"/>
        </w:rPr>
        <w:t>的考察交流，未來在法治</w:t>
      </w:r>
      <w:r w:rsidRPr="001B6E4D">
        <w:rPr>
          <w:rFonts w:ascii="標楷體" w:eastAsia="標楷體" w:hAnsi="標楷體" w:hint="eastAsia"/>
          <w:sz w:val="32"/>
          <w:szCs w:val="32"/>
          <w14:ligatures w14:val="standardContextual"/>
        </w:rPr>
        <w:t>面</w:t>
      </w:r>
      <w:r w:rsidRPr="001B6E4D">
        <w:rPr>
          <w:rFonts w:ascii="標楷體" w:eastAsia="標楷體" w:hAnsi="標楷體"/>
          <w:sz w:val="32"/>
          <w:szCs w:val="32"/>
          <w14:ligatures w14:val="standardContextual"/>
        </w:rPr>
        <w:t>與執行</w:t>
      </w:r>
      <w:r w:rsidRPr="001B6E4D">
        <w:rPr>
          <w:rFonts w:ascii="標楷體" w:eastAsia="標楷體" w:hAnsi="標楷體" w:hint="eastAsia"/>
          <w:sz w:val="32"/>
          <w:szCs w:val="32"/>
          <w14:ligatures w14:val="standardContextual"/>
        </w:rPr>
        <w:t>面</w:t>
      </w:r>
      <w:r w:rsidRPr="001B6E4D">
        <w:rPr>
          <w:rFonts w:ascii="標楷體" w:eastAsia="標楷體" w:hAnsi="標楷體"/>
          <w:sz w:val="32"/>
          <w:szCs w:val="32"/>
          <w14:ligatures w14:val="standardContextual"/>
        </w:rPr>
        <w:t>都能夠有</w:t>
      </w:r>
      <w:r w:rsidRPr="001B6E4D">
        <w:rPr>
          <w:rFonts w:ascii="標楷體" w:eastAsia="標楷體" w:hAnsi="標楷體" w:hint="eastAsia"/>
          <w:sz w:val="32"/>
          <w:szCs w:val="32"/>
          <w14:ligatures w14:val="standardContextual"/>
        </w:rPr>
        <w:t>更</w:t>
      </w:r>
      <w:r w:rsidRPr="001B6E4D">
        <w:rPr>
          <w:rFonts w:ascii="標楷體" w:eastAsia="標楷體" w:hAnsi="標楷體"/>
          <w:sz w:val="32"/>
          <w:szCs w:val="32"/>
          <w14:ligatures w14:val="standardContextual"/>
        </w:rPr>
        <w:t>進一步的討論，代表市長歡迎大家，謝謝各位。</w:t>
      </w:r>
    </w:p>
    <w:p w14:paraId="5E126136" w14:textId="77777777" w:rsidR="00B921E8" w:rsidRPr="001B6E4D" w:rsidRDefault="00B921E8" w:rsidP="003D1018">
      <w:pPr>
        <w:widowControl w:val="0"/>
        <w:numPr>
          <w:ilvl w:val="0"/>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專題報告</w:t>
      </w:r>
    </w:p>
    <w:p w14:paraId="02283D39" w14:textId="77777777" w:rsidR="00B921E8" w:rsidRPr="001B6E4D" w:rsidRDefault="00B921E8" w:rsidP="003D1018">
      <w:pPr>
        <w:widowControl w:val="0"/>
        <w:numPr>
          <w:ilvl w:val="1"/>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內政部警政署刑事警察局報告：</w:t>
      </w:r>
      <w:r w:rsidRPr="001B6E4D">
        <w:rPr>
          <w:rFonts w:ascii="標楷體" w:eastAsia="標楷體" w:hAnsi="標楷體"/>
          <w:sz w:val="32"/>
          <w:szCs w:val="32"/>
          <w14:ligatures w14:val="standardContextual"/>
        </w:rPr>
        <w:t>略。</w:t>
      </w:r>
    </w:p>
    <w:p w14:paraId="5CC156B2" w14:textId="77777777" w:rsidR="00B921E8" w:rsidRPr="001B6E4D" w:rsidRDefault="00B921E8" w:rsidP="003D1018">
      <w:pPr>
        <w:widowControl w:val="0"/>
        <w:numPr>
          <w:ilvl w:val="1"/>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司法院少年及家事廳報告：略。</w:t>
      </w:r>
    </w:p>
    <w:p w14:paraId="0027E434" w14:textId="77777777" w:rsidR="00B921E8" w:rsidRPr="001B6E4D" w:rsidRDefault="00B921E8" w:rsidP="003D1018">
      <w:pPr>
        <w:widowControl w:val="0"/>
        <w:numPr>
          <w:ilvl w:val="1"/>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lastRenderedPageBreak/>
        <w:t>法務部報告：略。</w:t>
      </w:r>
    </w:p>
    <w:p w14:paraId="156A5AD6" w14:textId="77777777" w:rsidR="00B921E8" w:rsidRPr="001B6E4D" w:rsidRDefault="00B921E8" w:rsidP="003D1018">
      <w:pPr>
        <w:widowControl w:val="0"/>
        <w:numPr>
          <w:ilvl w:val="1"/>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少年警察隊及少年輔導委員會報告：略。</w:t>
      </w:r>
    </w:p>
    <w:p w14:paraId="2C2B8336" w14:textId="77777777" w:rsidR="00B921E8" w:rsidRPr="001B6E4D" w:rsidRDefault="00B921E8" w:rsidP="003D1018">
      <w:pPr>
        <w:widowControl w:val="0"/>
        <w:numPr>
          <w:ilvl w:val="0"/>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座談交流</w:t>
      </w:r>
    </w:p>
    <w:p w14:paraId="1C556AB2" w14:textId="77777777" w:rsidR="00B921E8" w:rsidRPr="001B6E4D" w:rsidRDefault="00B921E8" w:rsidP="003D1018">
      <w:pPr>
        <w:widowControl w:val="0"/>
        <w:numPr>
          <w:ilvl w:val="1"/>
          <w:numId w:val="78"/>
        </w:numPr>
        <w:overflowPunct w:val="0"/>
        <w:spacing w:after="160" w:line="500" w:lineRule="exact"/>
        <w:ind w:leftChars="100" w:left="960"/>
        <w:contextualSpacing/>
        <w:jc w:val="both"/>
        <w:rPr>
          <w:rFonts w:ascii="標楷體" w:eastAsia="標楷體" w:hAnsi="標楷體"/>
          <w:sz w:val="32"/>
          <w:szCs w:val="32"/>
          <w14:ligatures w14:val="standardContextual"/>
        </w:rPr>
      </w:pPr>
      <w:r w:rsidRPr="001B6E4D">
        <w:rPr>
          <w:rFonts w:ascii="標楷體" w:eastAsia="標楷體" w:hAnsi="標楷體"/>
          <w:sz w:val="32"/>
          <w:szCs w:val="32"/>
          <w14:ligatures w14:val="standardContextual"/>
        </w:rPr>
        <w:t>張委員</w:t>
      </w:r>
      <w:r w:rsidRPr="001B6E4D">
        <w:rPr>
          <w:rFonts w:ascii="標楷體" w:eastAsia="標楷體" w:hAnsi="標楷體" w:hint="eastAsia"/>
          <w:sz w:val="32"/>
          <w:szCs w:val="32"/>
          <w14:ligatures w14:val="standardContextual"/>
        </w:rPr>
        <w:t>雅琳</w:t>
      </w:r>
      <w:r w:rsidRPr="001B6E4D">
        <w:rPr>
          <w:rFonts w:ascii="標楷體" w:eastAsia="標楷體" w:hAnsi="標楷體"/>
          <w:sz w:val="32"/>
          <w:szCs w:val="32"/>
          <w14:ligatures w14:val="standardContextual"/>
        </w:rPr>
        <w:t>：</w:t>
      </w:r>
    </w:p>
    <w:p w14:paraId="13EADD92"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內政部警政署的報告中108年至113年與成人共同實施犯罪之少年比率趨勢分析圖，112年大幅下降，但在113年又回歸，是否有更進一步的分析，以及改善之處為何？</w:t>
      </w:r>
      <w:bookmarkStart w:id="565" w:name="_Hlk207962681"/>
      <w:r w:rsidRPr="001B6E4D">
        <w:rPr>
          <w:rFonts w:ascii="標楷體" w:eastAsia="標楷體" w:hAnsi="標楷體" w:hint="eastAsia"/>
          <w:sz w:val="32"/>
          <w:szCs w:val="32"/>
          <w14:ligatures w14:val="standardContextual"/>
        </w:rPr>
        <w:t>另成年人是透過何種方式接觸到少年？</w:t>
      </w:r>
    </w:p>
    <w:p w14:paraId="3442F8A4"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少年在偵訊審理的階段是否有保護與陪伴?另少年調查官與保護官，因人力短缺致</w:t>
      </w:r>
      <w:proofErr w:type="gramStart"/>
      <w:r w:rsidRPr="001B6E4D">
        <w:rPr>
          <w:rFonts w:ascii="標楷體" w:eastAsia="標楷體" w:hAnsi="標楷體" w:hint="eastAsia"/>
          <w:sz w:val="32"/>
          <w:szCs w:val="32"/>
          <w14:ligatures w14:val="standardContextual"/>
        </w:rPr>
        <w:t>實務需身兼</w:t>
      </w:r>
      <w:proofErr w:type="gramEnd"/>
      <w:r w:rsidRPr="001B6E4D">
        <w:rPr>
          <w:rFonts w:ascii="標楷體" w:eastAsia="標楷體" w:hAnsi="標楷體" w:hint="eastAsia"/>
          <w:sz w:val="32"/>
          <w:szCs w:val="32"/>
          <w14:ligatures w14:val="standardContextual"/>
        </w:rPr>
        <w:t>兩職，司法院是否如何因應角色衝突與執行困難？</w:t>
      </w:r>
    </w:p>
    <w:p w14:paraId="084973D0"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在成少共犯案件中，少年是被害人同時又屬於加害人，檢察官如何辨識是類案件？</w:t>
      </w:r>
    </w:p>
    <w:p w14:paraId="04ECA9F0"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在新北市少輔會個案工作現況</w:t>
      </w:r>
      <w:proofErr w:type="gramStart"/>
      <w:r w:rsidRPr="001B6E4D">
        <w:rPr>
          <w:rFonts w:ascii="標楷體" w:eastAsia="標楷體" w:hAnsi="標楷體" w:hint="eastAsia"/>
          <w:sz w:val="32"/>
          <w:szCs w:val="32"/>
          <w14:ligatures w14:val="standardContextual"/>
        </w:rPr>
        <w:t>114</w:t>
      </w:r>
      <w:proofErr w:type="gramEnd"/>
      <w:r w:rsidRPr="001B6E4D">
        <w:rPr>
          <w:rFonts w:ascii="標楷體" w:eastAsia="標楷體" w:hAnsi="標楷體" w:hint="eastAsia"/>
          <w:sz w:val="32"/>
          <w:szCs w:val="32"/>
          <w14:ligatures w14:val="standardContextual"/>
        </w:rPr>
        <w:t>年度的進案類型中，觸法行為樣態轉</w:t>
      </w:r>
      <w:proofErr w:type="gramStart"/>
      <w:r w:rsidRPr="001B6E4D">
        <w:rPr>
          <w:rFonts w:ascii="標楷體" w:eastAsia="標楷體" w:hAnsi="標楷體" w:hint="eastAsia"/>
          <w:sz w:val="32"/>
          <w:szCs w:val="32"/>
          <w14:ligatures w14:val="standardContextual"/>
        </w:rPr>
        <w:t>介</w:t>
      </w:r>
      <w:proofErr w:type="gramEnd"/>
      <w:r w:rsidRPr="001B6E4D">
        <w:rPr>
          <w:rFonts w:ascii="標楷體" w:eastAsia="標楷體" w:hAnsi="標楷體" w:hint="eastAsia"/>
          <w:sz w:val="32"/>
          <w:szCs w:val="32"/>
          <w14:ligatures w14:val="standardContextual"/>
        </w:rPr>
        <w:t>來源以</w:t>
      </w:r>
      <w:proofErr w:type="gramStart"/>
      <w:r w:rsidRPr="001B6E4D">
        <w:rPr>
          <w:rFonts w:ascii="標楷體" w:eastAsia="標楷體" w:hAnsi="標楷體" w:hint="eastAsia"/>
          <w:sz w:val="32"/>
          <w:szCs w:val="32"/>
          <w14:ligatures w14:val="standardContextual"/>
        </w:rPr>
        <w:t>教育跟社政</w:t>
      </w:r>
      <w:proofErr w:type="gramEnd"/>
      <w:r w:rsidRPr="001B6E4D">
        <w:rPr>
          <w:rFonts w:ascii="標楷體" w:eastAsia="標楷體" w:hAnsi="標楷體" w:hint="eastAsia"/>
          <w:sz w:val="32"/>
          <w:szCs w:val="32"/>
          <w14:ligatures w14:val="standardContextual"/>
        </w:rPr>
        <w:t>轉</w:t>
      </w:r>
      <w:proofErr w:type="gramStart"/>
      <w:r w:rsidRPr="001B6E4D">
        <w:rPr>
          <w:rFonts w:ascii="標楷體" w:eastAsia="標楷體" w:hAnsi="標楷體" w:hint="eastAsia"/>
          <w:sz w:val="32"/>
          <w:szCs w:val="32"/>
          <w14:ligatures w14:val="standardContextual"/>
        </w:rPr>
        <w:t>介</w:t>
      </w:r>
      <w:proofErr w:type="gramEnd"/>
      <w:r w:rsidRPr="001B6E4D">
        <w:rPr>
          <w:rFonts w:ascii="標楷體" w:eastAsia="標楷體" w:hAnsi="標楷體" w:hint="eastAsia"/>
          <w:sz w:val="32"/>
          <w:szCs w:val="32"/>
          <w14:ligatures w14:val="standardContextual"/>
        </w:rPr>
        <w:t>為多，是否與跨局處的輔導資源整合有相關？對於少年反覆進案的行為樣態以及在跨網絡會議的案例討論類型，可以再行說明。又</w:t>
      </w:r>
      <w:proofErr w:type="gramStart"/>
      <w:r w:rsidRPr="001B6E4D">
        <w:rPr>
          <w:rFonts w:ascii="標楷體" w:eastAsia="標楷體" w:hAnsi="標楷體" w:hint="eastAsia"/>
          <w:sz w:val="32"/>
          <w:szCs w:val="32"/>
          <w14:ligatures w14:val="standardContextual"/>
        </w:rPr>
        <w:t>少輔員的</w:t>
      </w:r>
      <w:proofErr w:type="gramEnd"/>
      <w:r w:rsidRPr="001B6E4D">
        <w:rPr>
          <w:rFonts w:ascii="標楷體" w:eastAsia="標楷體" w:hAnsi="標楷體" w:hint="eastAsia"/>
          <w:sz w:val="32"/>
          <w:szCs w:val="32"/>
          <w14:ligatures w14:val="standardContextual"/>
        </w:rPr>
        <w:t>進用薪資已將中央預算與地方經費來源調整為一致，也為了降低風險與保護人身安全提供了許多設備，新北市少輔會的流動率，相較其他縣市是否相對穩定？最後，因應毒品沒入處理跟刀械保管，少輔會是否在實務上已可克服困境，或是需要中央提供協助？</w:t>
      </w:r>
    </w:p>
    <w:p w14:paraId="06401895"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針對反覆因為偏差、</w:t>
      </w:r>
      <w:proofErr w:type="gramStart"/>
      <w:r w:rsidRPr="001B6E4D">
        <w:rPr>
          <w:rFonts w:ascii="標楷體" w:eastAsia="標楷體" w:hAnsi="標楷體" w:hint="eastAsia"/>
          <w:sz w:val="32"/>
          <w:szCs w:val="32"/>
          <w14:ligatures w14:val="standardContextual"/>
        </w:rPr>
        <w:t>曝險</w:t>
      </w:r>
      <w:proofErr w:type="gramEnd"/>
      <w:r w:rsidRPr="001B6E4D">
        <w:rPr>
          <w:rFonts w:ascii="標楷體" w:eastAsia="標楷體" w:hAnsi="標楷體" w:hint="eastAsia"/>
          <w:sz w:val="32"/>
          <w:szCs w:val="32"/>
          <w14:ligatures w14:val="standardContextual"/>
        </w:rPr>
        <w:t>、觸法行為樣態轉</w:t>
      </w:r>
      <w:proofErr w:type="gramStart"/>
      <w:r w:rsidRPr="001B6E4D">
        <w:rPr>
          <w:rFonts w:ascii="標楷體" w:eastAsia="標楷體" w:hAnsi="標楷體" w:hint="eastAsia"/>
          <w:sz w:val="32"/>
          <w:szCs w:val="32"/>
          <w14:ligatures w14:val="standardContextual"/>
        </w:rPr>
        <w:t>介</w:t>
      </w:r>
      <w:proofErr w:type="gramEnd"/>
      <w:r w:rsidRPr="001B6E4D">
        <w:rPr>
          <w:rFonts w:ascii="標楷體" w:eastAsia="標楷體" w:hAnsi="標楷體" w:hint="eastAsia"/>
          <w:sz w:val="32"/>
          <w:szCs w:val="32"/>
          <w14:ligatures w14:val="standardContextual"/>
        </w:rPr>
        <w:t>進案，衛福部是否有相關家庭支持方案的評估以及系統化數據可以看到介入成效？</w:t>
      </w:r>
    </w:p>
    <w:p w14:paraId="63FBCF0A" w14:textId="77777777" w:rsidR="00B921E8" w:rsidRPr="001B6E4D" w:rsidRDefault="00B921E8" w:rsidP="003D1018">
      <w:pPr>
        <w:widowControl w:val="0"/>
        <w:numPr>
          <w:ilvl w:val="1"/>
          <w:numId w:val="78"/>
        </w:numPr>
        <w:overflowPunct w:val="0"/>
        <w:spacing w:after="160" w:line="500" w:lineRule="exact"/>
        <w:ind w:leftChars="100" w:left="960"/>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林</w:t>
      </w:r>
      <w:r w:rsidRPr="001B6E4D">
        <w:rPr>
          <w:rFonts w:ascii="標楷體" w:eastAsia="標楷體" w:hAnsi="標楷體"/>
          <w:sz w:val="32"/>
          <w:szCs w:val="32"/>
          <w14:ligatures w14:val="standardContextual"/>
        </w:rPr>
        <w:t>委員</w:t>
      </w:r>
      <w:proofErr w:type="gramStart"/>
      <w:r w:rsidRPr="001B6E4D">
        <w:rPr>
          <w:rFonts w:ascii="標楷體" w:eastAsia="標楷體" w:hAnsi="標楷體" w:hint="eastAsia"/>
          <w:sz w:val="32"/>
          <w:szCs w:val="32"/>
          <w14:ligatures w14:val="standardContextual"/>
        </w:rPr>
        <w:t>倩綺</w:t>
      </w:r>
      <w:proofErr w:type="gramEnd"/>
      <w:r w:rsidRPr="001B6E4D">
        <w:rPr>
          <w:rFonts w:ascii="標楷體" w:eastAsia="標楷體" w:hAnsi="標楷體"/>
          <w:sz w:val="32"/>
          <w:szCs w:val="32"/>
          <w14:ligatures w14:val="standardContextual"/>
        </w:rPr>
        <w:t>：</w:t>
      </w:r>
    </w:p>
    <w:bookmarkEnd w:id="565"/>
    <w:p w14:paraId="4E429457"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司法院在針對管轄權認定的改善，執行上是否有</w:t>
      </w:r>
      <w:r w:rsidRPr="001B6E4D">
        <w:rPr>
          <w:rFonts w:ascii="標楷體" w:eastAsia="標楷體" w:hAnsi="標楷體" w:hint="eastAsia"/>
          <w:sz w:val="32"/>
          <w:szCs w:val="32"/>
          <w14:ligatures w14:val="standardContextual"/>
        </w:rPr>
        <w:lastRenderedPageBreak/>
        <w:t>遇到困境，可提出相關意見。</w:t>
      </w:r>
    </w:p>
    <w:p w14:paraId="6B41A20C"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法務部是否會因為無法及時取得少年筆錄，影響筆錄真實性，進而無法真正打擊犯罪、有效預防成少共犯。</w:t>
      </w:r>
    </w:p>
    <w:p w14:paraId="4FF29B66"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新北市少輔會因應行政輔導先行的理念，在警政單位加入社政背景督導的組織架構，相較於其他縣市是否有明顯成效？</w:t>
      </w:r>
    </w:p>
    <w:p w14:paraId="29406768"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衛福部是否有相應的服務或是措施，協助人格發展尚未成熟或是有心理議題的少年，以符合《少年事件處理法》（以下稱少事法）立法初衷？</w:t>
      </w:r>
    </w:p>
    <w:p w14:paraId="26CBC1F9" w14:textId="77777777" w:rsidR="00B921E8" w:rsidRPr="001B6E4D" w:rsidRDefault="00B921E8" w:rsidP="003D1018">
      <w:pPr>
        <w:widowControl w:val="0"/>
        <w:numPr>
          <w:ilvl w:val="1"/>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sz w:val="32"/>
          <w:szCs w:val="32"/>
          <w14:ligatures w14:val="standardContextual"/>
        </w:rPr>
        <w:t>陳</w:t>
      </w:r>
      <w:r w:rsidRPr="001B6E4D">
        <w:rPr>
          <w:rFonts w:ascii="標楷體" w:eastAsia="標楷體" w:hAnsi="標楷體" w:hint="eastAsia"/>
          <w:sz w:val="32"/>
          <w:szCs w:val="32"/>
          <w14:ligatures w14:val="standardContextual"/>
        </w:rPr>
        <w:t>委員助理</w:t>
      </w:r>
      <w:r w:rsidRPr="001B6E4D">
        <w:rPr>
          <w:rFonts w:ascii="標楷體" w:eastAsia="標楷體" w:hAnsi="標楷體"/>
          <w:sz w:val="32"/>
          <w:szCs w:val="32"/>
          <w14:ligatures w14:val="standardContextual"/>
        </w:rPr>
        <w:t>靜蓉</w:t>
      </w:r>
      <w:r w:rsidRPr="001B6E4D">
        <w:rPr>
          <w:rFonts w:ascii="標楷體" w:eastAsia="標楷體" w:hAnsi="標楷體" w:hint="eastAsia"/>
          <w:sz w:val="32"/>
          <w:szCs w:val="32"/>
          <w14:ligatures w14:val="standardContextual"/>
        </w:rPr>
        <w:t>：</w:t>
      </w:r>
    </w:p>
    <w:p w14:paraId="71DD21FB"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在《兒童及少年福利與權益保障法》第112條（以下稱兒少權法），針對成少共犯案件，成年犯可加重刑責至二分之一，當檢察官抓到</w:t>
      </w:r>
      <w:proofErr w:type="gramStart"/>
      <w:r w:rsidRPr="001B6E4D">
        <w:rPr>
          <w:rFonts w:ascii="標楷體" w:eastAsia="標楷體" w:hAnsi="標楷體" w:hint="eastAsia"/>
          <w:sz w:val="32"/>
          <w:szCs w:val="32"/>
          <w14:ligatures w14:val="standardContextual"/>
        </w:rPr>
        <w:t>成年犯時</w:t>
      </w:r>
      <w:proofErr w:type="gramEnd"/>
      <w:r w:rsidRPr="001B6E4D">
        <w:rPr>
          <w:rFonts w:ascii="標楷體" w:eastAsia="標楷體" w:hAnsi="標楷體" w:hint="eastAsia"/>
          <w:sz w:val="32"/>
          <w:szCs w:val="32"/>
          <w14:ligatures w14:val="standardContextual"/>
        </w:rPr>
        <w:t>，是否能即時掌握成年犯是如何利用少年？</w:t>
      </w:r>
    </w:p>
    <w:p w14:paraId="4B6D80AF"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少輔會因屬任務編組，缺乏相關組織法制化保障，恐難以即時</w:t>
      </w:r>
      <w:proofErr w:type="gramStart"/>
      <w:r w:rsidRPr="001B6E4D">
        <w:rPr>
          <w:rFonts w:ascii="標楷體" w:eastAsia="標楷體" w:hAnsi="標楷體" w:hint="eastAsia"/>
          <w:sz w:val="32"/>
          <w:szCs w:val="32"/>
          <w14:ligatures w14:val="standardContextual"/>
        </w:rPr>
        <w:t>獲取曝險行為</w:t>
      </w:r>
      <w:proofErr w:type="gramEnd"/>
      <w:r w:rsidRPr="001B6E4D">
        <w:rPr>
          <w:rFonts w:ascii="標楷體" w:eastAsia="標楷體" w:hAnsi="標楷體" w:hint="eastAsia"/>
          <w:sz w:val="32"/>
          <w:szCs w:val="32"/>
          <w14:ligatures w14:val="standardContextual"/>
        </w:rPr>
        <w:t>樣態少年的相關資訊，新北市已有建立少年輔導相關資源網絡，但若將能夠建立組織法制化，網絡運用應可更為穩定，另《</w:t>
      </w:r>
      <w:r w:rsidRPr="001B6E4D">
        <w:rPr>
          <w:rFonts w:ascii="標楷體" w:eastAsia="標楷體" w:hAnsi="標楷體"/>
          <w:sz w:val="32"/>
          <w:szCs w:val="32"/>
          <w14:ligatures w14:val="standardContextual"/>
        </w:rPr>
        <w:t>衛生福利部兒少及家庭支持署</w:t>
      </w:r>
      <w:r w:rsidRPr="001B6E4D">
        <w:rPr>
          <w:rFonts w:ascii="標楷體" w:eastAsia="標楷體" w:hAnsi="標楷體" w:hint="eastAsia"/>
          <w:sz w:val="32"/>
          <w:szCs w:val="32"/>
          <w14:ligatures w14:val="standardContextual"/>
        </w:rPr>
        <w:t>組織法》第二條明訂該署執掌包括少年保護安置與照顧等相關政策，因應</w:t>
      </w:r>
      <w:proofErr w:type="gramStart"/>
      <w:r w:rsidRPr="001B6E4D">
        <w:rPr>
          <w:rFonts w:ascii="標楷體" w:eastAsia="標楷體" w:hAnsi="標楷體" w:hint="eastAsia"/>
          <w:sz w:val="32"/>
          <w:szCs w:val="32"/>
          <w14:ligatures w14:val="standardContextual"/>
        </w:rPr>
        <w:t>少輔員的</w:t>
      </w:r>
      <w:proofErr w:type="gramEnd"/>
      <w:r w:rsidRPr="001B6E4D">
        <w:rPr>
          <w:rFonts w:ascii="標楷體" w:eastAsia="標楷體" w:hAnsi="標楷體" w:hint="eastAsia"/>
          <w:sz w:val="32"/>
          <w:szCs w:val="32"/>
          <w14:ligatures w14:val="standardContextual"/>
        </w:rPr>
        <w:t>專業背景組成，</w:t>
      </w:r>
      <w:proofErr w:type="gramStart"/>
      <w:r w:rsidRPr="001B6E4D">
        <w:rPr>
          <w:rFonts w:ascii="標楷體" w:eastAsia="標楷體" w:hAnsi="標楷體" w:hint="eastAsia"/>
          <w:sz w:val="32"/>
          <w:szCs w:val="32"/>
          <w14:ligatures w14:val="standardContextual"/>
        </w:rPr>
        <w:t>衛福部可進一步</w:t>
      </w:r>
      <w:proofErr w:type="gramEnd"/>
      <w:r w:rsidRPr="001B6E4D">
        <w:rPr>
          <w:rFonts w:ascii="標楷體" w:eastAsia="標楷體" w:hAnsi="標楷體" w:hint="eastAsia"/>
          <w:sz w:val="32"/>
          <w:szCs w:val="32"/>
          <w14:ligatures w14:val="standardContextual"/>
        </w:rPr>
        <w:t>思考少輔會法制化之議題</w:t>
      </w:r>
      <w:proofErr w:type="gramStart"/>
      <w:r w:rsidRPr="001B6E4D">
        <w:rPr>
          <w:rFonts w:ascii="標楷體" w:eastAsia="標楷體" w:hAnsi="標楷體" w:hint="eastAsia"/>
          <w:sz w:val="32"/>
          <w:szCs w:val="32"/>
          <w14:ligatures w14:val="standardContextual"/>
        </w:rPr>
        <w:t>以及兒家署</w:t>
      </w:r>
      <w:proofErr w:type="gramEnd"/>
      <w:r w:rsidRPr="001B6E4D">
        <w:rPr>
          <w:rFonts w:ascii="標楷體" w:eastAsia="標楷體" w:hAnsi="標楷體" w:hint="eastAsia"/>
          <w:sz w:val="32"/>
          <w:szCs w:val="32"/>
          <w14:ligatures w14:val="standardContextual"/>
        </w:rPr>
        <w:t>與少輔會的權責劃分，賦予少輔會組織的合法性，而非過渡性行政組織。</w:t>
      </w:r>
    </w:p>
    <w:p w14:paraId="42EEA5FF" w14:textId="77777777" w:rsidR="00B921E8" w:rsidRPr="001B6E4D" w:rsidRDefault="00B921E8" w:rsidP="003D1018">
      <w:pPr>
        <w:widowControl w:val="0"/>
        <w:numPr>
          <w:ilvl w:val="1"/>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張委員</w:t>
      </w:r>
      <w:proofErr w:type="gramStart"/>
      <w:r w:rsidRPr="001B6E4D">
        <w:rPr>
          <w:rFonts w:ascii="標楷體" w:eastAsia="標楷體" w:hAnsi="標楷體" w:hint="eastAsia"/>
          <w:sz w:val="32"/>
          <w:szCs w:val="32"/>
          <w14:ligatures w14:val="standardContextual"/>
        </w:rPr>
        <w:t>助理誠軒</w:t>
      </w:r>
      <w:proofErr w:type="gramEnd"/>
      <w:r w:rsidRPr="001B6E4D">
        <w:rPr>
          <w:rFonts w:ascii="標楷體" w:eastAsia="標楷體" w:hAnsi="標楷體" w:hint="eastAsia"/>
          <w:sz w:val="32"/>
          <w:szCs w:val="32"/>
          <w14:ligatures w14:val="standardContextual"/>
        </w:rPr>
        <w:t>：</w:t>
      </w:r>
    </w:p>
    <w:p w14:paraId="5862FB1B"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若遇學生攜帶刀械進入校園，但非經常性攜帶，新北市少輔會、衛生局以及教育局是否有相應的策進作為，另教育局是如何扮演網絡的主責單位？</w:t>
      </w:r>
    </w:p>
    <w:p w14:paraId="684821FC" w14:textId="77777777" w:rsidR="00B921E8" w:rsidRPr="001B6E4D" w:rsidRDefault="00B921E8" w:rsidP="003D1018">
      <w:pPr>
        <w:widowControl w:val="0"/>
        <w:overflowPunct w:val="0"/>
        <w:spacing w:line="500" w:lineRule="exact"/>
        <w:ind w:leftChars="413" w:left="991"/>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針對少輔會的行政輔導性質，衛福部對於賦予輔</w:t>
      </w:r>
      <w:r w:rsidRPr="001B6E4D">
        <w:rPr>
          <w:rFonts w:ascii="標楷體" w:eastAsia="標楷體" w:hAnsi="標楷體" w:hint="eastAsia"/>
          <w:sz w:val="32"/>
          <w:szCs w:val="32"/>
          <w14:ligatures w14:val="standardContextual"/>
        </w:rPr>
        <w:lastRenderedPageBreak/>
        <w:t>導工作介入的法制力，是否已有一定程度之共識？</w:t>
      </w:r>
    </w:p>
    <w:p w14:paraId="324C9EF5" w14:textId="77777777" w:rsidR="00B921E8" w:rsidRPr="001B6E4D" w:rsidRDefault="00B921E8" w:rsidP="003D1018">
      <w:pPr>
        <w:widowControl w:val="0"/>
        <w:numPr>
          <w:ilvl w:val="1"/>
          <w:numId w:val="78"/>
        </w:numPr>
        <w:overflowPunct w:val="0"/>
        <w:spacing w:after="160" w:line="500" w:lineRule="exact"/>
        <w:ind w:leftChars="100" w:left="960"/>
        <w:contextualSpacing/>
        <w:jc w:val="both"/>
        <w:rPr>
          <w:rFonts w:ascii="標楷體" w:eastAsia="標楷體" w:hAnsi="標楷體"/>
          <w:sz w:val="32"/>
          <w:szCs w:val="32"/>
          <w14:ligatures w14:val="standardContextual"/>
        </w:rPr>
      </w:pPr>
      <w:bookmarkStart w:id="566" w:name="_Hlk225261787"/>
      <w:r w:rsidRPr="001B6E4D">
        <w:rPr>
          <w:rFonts w:ascii="標楷體" w:eastAsia="標楷體" w:hAnsi="標楷體" w:hint="eastAsia"/>
          <w:sz w:val="32"/>
          <w:szCs w:val="32"/>
          <w14:ligatures w14:val="standardContextual"/>
        </w:rPr>
        <w:t>衛福部保護服務司</w:t>
      </w:r>
      <w:r w:rsidRPr="001B6E4D">
        <w:rPr>
          <w:rFonts w:ascii="標楷體" w:eastAsia="標楷體" w:hAnsi="標楷體"/>
          <w:sz w:val="32"/>
          <w:szCs w:val="32"/>
          <w14:ligatures w14:val="standardContextual"/>
        </w:rPr>
        <w:t>郭</w:t>
      </w:r>
      <w:r w:rsidRPr="001B6E4D">
        <w:rPr>
          <w:rFonts w:ascii="標楷體" w:eastAsia="標楷體" w:hAnsi="標楷體" w:hint="eastAsia"/>
          <w:sz w:val="32"/>
          <w:szCs w:val="32"/>
          <w14:ligatures w14:val="standardContextual"/>
        </w:rPr>
        <w:t>司長</w:t>
      </w:r>
      <w:r w:rsidRPr="001B6E4D">
        <w:rPr>
          <w:rFonts w:ascii="標楷體" w:eastAsia="標楷體" w:hAnsi="標楷體"/>
          <w:sz w:val="32"/>
          <w:szCs w:val="32"/>
          <w14:ligatures w14:val="standardContextual"/>
        </w:rPr>
        <w:t>彩</w:t>
      </w:r>
      <w:proofErr w:type="gramStart"/>
      <w:r w:rsidRPr="001B6E4D">
        <w:rPr>
          <w:rFonts w:ascii="標楷體" w:eastAsia="標楷體" w:hAnsi="標楷體"/>
          <w:sz w:val="32"/>
          <w:szCs w:val="32"/>
          <w14:ligatures w14:val="standardContextual"/>
        </w:rPr>
        <w:t>榕</w:t>
      </w:r>
      <w:proofErr w:type="gramEnd"/>
      <w:r w:rsidRPr="001B6E4D">
        <w:rPr>
          <w:rFonts w:ascii="標楷體" w:eastAsia="標楷體" w:hAnsi="標楷體" w:hint="eastAsia"/>
          <w:sz w:val="32"/>
          <w:szCs w:val="32"/>
          <w14:ligatures w14:val="standardContextual"/>
        </w:rPr>
        <w:t>：</w:t>
      </w:r>
    </w:p>
    <w:p w14:paraId="407AF1C0"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bookmarkStart w:id="567" w:name="_Hlk225261833"/>
      <w:bookmarkEnd w:id="566"/>
      <w:r w:rsidRPr="001B6E4D">
        <w:rPr>
          <w:rFonts w:ascii="標楷體" w:eastAsia="標楷體" w:hAnsi="標楷體" w:hint="eastAsia"/>
          <w:sz w:val="32"/>
          <w:szCs w:val="32"/>
          <w14:ligatures w14:val="standardContextual"/>
        </w:rPr>
        <w:t xml:space="preserve">    為了讓觸法、</w:t>
      </w:r>
      <w:proofErr w:type="gramStart"/>
      <w:r w:rsidRPr="001B6E4D">
        <w:rPr>
          <w:rFonts w:ascii="標楷體" w:eastAsia="標楷體" w:hAnsi="標楷體" w:hint="eastAsia"/>
          <w:sz w:val="32"/>
          <w:szCs w:val="32"/>
          <w14:ligatures w14:val="standardContextual"/>
        </w:rPr>
        <w:t>曝險及</w:t>
      </w:r>
      <w:proofErr w:type="gramEnd"/>
      <w:r w:rsidRPr="001B6E4D">
        <w:rPr>
          <w:rFonts w:ascii="標楷體" w:eastAsia="標楷體" w:hAnsi="標楷體" w:hint="eastAsia"/>
          <w:sz w:val="32"/>
          <w:szCs w:val="32"/>
          <w14:ligatures w14:val="standardContextual"/>
        </w:rPr>
        <w:t>偏差行為的少年可被</w:t>
      </w:r>
      <w:proofErr w:type="gramStart"/>
      <w:r w:rsidRPr="001B6E4D">
        <w:rPr>
          <w:rFonts w:ascii="標楷體" w:eastAsia="標楷體" w:hAnsi="標楷體" w:hint="eastAsia"/>
          <w:sz w:val="32"/>
          <w:szCs w:val="32"/>
          <w14:ligatures w14:val="standardContextual"/>
        </w:rPr>
        <w:t>網絡接住</w:t>
      </w:r>
      <w:proofErr w:type="gramEnd"/>
      <w:r w:rsidRPr="001B6E4D">
        <w:rPr>
          <w:rFonts w:ascii="標楷體" w:eastAsia="標楷體" w:hAnsi="標楷體" w:hint="eastAsia"/>
          <w:sz w:val="32"/>
          <w:szCs w:val="32"/>
          <w14:ligatures w14:val="standardContextual"/>
        </w:rPr>
        <w:t>，衛福部非常積極參與並建立與行政院、司法院等相關部會聯繫、合作的機制，</w:t>
      </w:r>
      <w:proofErr w:type="gramStart"/>
      <w:r w:rsidRPr="001B6E4D">
        <w:rPr>
          <w:rFonts w:ascii="標楷體" w:eastAsia="標楷體" w:hAnsi="標楷體" w:hint="eastAsia"/>
          <w:sz w:val="32"/>
          <w:szCs w:val="32"/>
          <w14:ligatures w14:val="standardContextual"/>
        </w:rPr>
        <w:t>從新北少輔</w:t>
      </w:r>
      <w:proofErr w:type="gramEnd"/>
      <w:r w:rsidRPr="001B6E4D">
        <w:rPr>
          <w:rFonts w:ascii="標楷體" w:eastAsia="標楷體" w:hAnsi="標楷體" w:hint="eastAsia"/>
          <w:sz w:val="32"/>
          <w:szCs w:val="32"/>
          <w14:ligatures w14:val="standardContextual"/>
        </w:rPr>
        <w:t>會的組織架構看到，即便中央是由</w:t>
      </w:r>
      <w:proofErr w:type="gramStart"/>
      <w:r w:rsidRPr="001B6E4D">
        <w:rPr>
          <w:rFonts w:ascii="標楷體" w:eastAsia="標楷體" w:hAnsi="標楷體" w:hint="eastAsia"/>
          <w:sz w:val="32"/>
          <w:szCs w:val="32"/>
          <w14:ligatures w14:val="standardContextual"/>
        </w:rPr>
        <w:t>警政署做主導</w:t>
      </w:r>
      <w:proofErr w:type="gramEnd"/>
      <w:r w:rsidRPr="001B6E4D">
        <w:rPr>
          <w:rFonts w:ascii="標楷體" w:eastAsia="標楷體" w:hAnsi="標楷體" w:hint="eastAsia"/>
          <w:sz w:val="32"/>
          <w:szCs w:val="32"/>
          <w14:ligatures w14:val="standardContextual"/>
        </w:rPr>
        <w:t>，但地方有警政與社政系統的介入，甚至是合署辦公，因此不論在學校或者社區，教育單位及社政單位都會提供少年相關協助。針對已進入矯正學校的少年，其家庭同樣也需要協助，透過經費補助的方式結合民間團體，協助家長與孩子持續保持聯繫，也是少年將來回到常軌的重要部分。</w:t>
      </w:r>
    </w:p>
    <w:p w14:paraId="479916EF"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參考日本、香港、美國、澳洲等國家所發展以警政為基礎的少年輔導措施，將</w:t>
      </w:r>
      <w:proofErr w:type="gramStart"/>
      <w:r w:rsidRPr="001B6E4D">
        <w:rPr>
          <w:rFonts w:ascii="標楷體" w:eastAsia="標楷體" w:hAnsi="標楷體" w:hint="eastAsia"/>
          <w:sz w:val="32"/>
          <w:szCs w:val="32"/>
          <w14:ligatures w14:val="standardContextual"/>
        </w:rPr>
        <w:t>少輔員規劃</w:t>
      </w:r>
      <w:proofErr w:type="gramEnd"/>
      <w:r w:rsidRPr="001B6E4D">
        <w:rPr>
          <w:rFonts w:ascii="標楷體" w:eastAsia="標楷體" w:hAnsi="標楷體" w:hint="eastAsia"/>
          <w:sz w:val="32"/>
          <w:szCs w:val="32"/>
          <w14:ligatures w14:val="standardContextual"/>
        </w:rPr>
        <w:t>為一種「警政社工」，加上少事法強調犯罪預防</w:t>
      </w:r>
      <w:proofErr w:type="gramStart"/>
      <w:r w:rsidRPr="001B6E4D">
        <w:rPr>
          <w:rFonts w:ascii="標楷體" w:eastAsia="標楷體" w:hAnsi="標楷體" w:hint="eastAsia"/>
          <w:sz w:val="32"/>
          <w:szCs w:val="32"/>
          <w14:ligatures w14:val="standardContextual"/>
        </w:rPr>
        <w:t>與曝險</w:t>
      </w:r>
      <w:proofErr w:type="gramEnd"/>
      <w:r w:rsidRPr="001B6E4D">
        <w:rPr>
          <w:rFonts w:ascii="標楷體" w:eastAsia="標楷體" w:hAnsi="標楷體" w:hint="eastAsia"/>
          <w:sz w:val="32"/>
          <w:szCs w:val="32"/>
          <w14:ligatures w14:val="standardContextual"/>
        </w:rPr>
        <w:t>少年的輔導，其中包含保護處分與感化教育執行等相關議題，少年警察隊負責少年犯罪偵查，若可進一步結合社工輔導一同介入少年所面對的問題，能發揮雙重專業的優勢。少輔會係依法設置，同時兼具司法跟行政的雙重角色位階，若將少輔會的組織法制化轉為</w:t>
      </w:r>
      <w:proofErr w:type="gramStart"/>
      <w:r w:rsidRPr="001B6E4D">
        <w:rPr>
          <w:rFonts w:ascii="標楷體" w:eastAsia="標楷體" w:hAnsi="標楷體" w:hint="eastAsia"/>
          <w:sz w:val="32"/>
          <w:szCs w:val="32"/>
          <w14:ligatures w14:val="standardContextual"/>
        </w:rPr>
        <w:t>兒少權法</w:t>
      </w:r>
      <w:proofErr w:type="gramEnd"/>
      <w:r w:rsidRPr="001B6E4D">
        <w:rPr>
          <w:rFonts w:ascii="標楷體" w:eastAsia="標楷體" w:hAnsi="標楷體" w:hint="eastAsia"/>
          <w:sz w:val="32"/>
          <w:szCs w:val="32"/>
          <w14:ligatures w14:val="standardContextual"/>
        </w:rPr>
        <w:t>，納歸於兒</w:t>
      </w:r>
      <w:proofErr w:type="gramStart"/>
      <w:r w:rsidRPr="001B6E4D">
        <w:rPr>
          <w:rFonts w:ascii="標楷體" w:eastAsia="標楷體" w:hAnsi="標楷體" w:hint="eastAsia"/>
          <w:sz w:val="32"/>
          <w:szCs w:val="32"/>
          <w14:ligatures w14:val="standardContextual"/>
        </w:rPr>
        <w:t>家署下</w:t>
      </w:r>
      <w:proofErr w:type="gramEnd"/>
      <w:r w:rsidRPr="001B6E4D">
        <w:rPr>
          <w:rFonts w:ascii="標楷體" w:eastAsia="標楷體" w:hAnsi="標楷體" w:hint="eastAsia"/>
          <w:sz w:val="32"/>
          <w:szCs w:val="32"/>
          <w14:ligatures w14:val="standardContextual"/>
        </w:rPr>
        <w:t>，恐會模糊掉司法與一般兒少福利的界線。</w:t>
      </w:r>
    </w:p>
    <w:bookmarkEnd w:id="567"/>
    <w:p w14:paraId="5711B3E7" w14:textId="77777777" w:rsidR="00B921E8" w:rsidRPr="001B6E4D" w:rsidRDefault="00B921E8" w:rsidP="003D1018">
      <w:pPr>
        <w:widowControl w:val="0"/>
        <w:numPr>
          <w:ilvl w:val="1"/>
          <w:numId w:val="78"/>
        </w:numPr>
        <w:overflowPunct w:val="0"/>
        <w:spacing w:after="160" w:line="500" w:lineRule="exact"/>
        <w:ind w:leftChars="100" w:left="960"/>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內政部警政署刑事警察局張股長</w:t>
      </w:r>
      <w:proofErr w:type="gramStart"/>
      <w:r w:rsidRPr="001B6E4D">
        <w:rPr>
          <w:rFonts w:ascii="標楷體" w:eastAsia="標楷體" w:hAnsi="標楷體" w:hint="eastAsia"/>
          <w:sz w:val="32"/>
          <w:szCs w:val="32"/>
          <w14:ligatures w14:val="standardContextual"/>
        </w:rPr>
        <w:t>睿</w:t>
      </w:r>
      <w:proofErr w:type="gramEnd"/>
      <w:r w:rsidRPr="001B6E4D">
        <w:rPr>
          <w:rFonts w:ascii="標楷體" w:eastAsia="標楷體" w:hAnsi="標楷體" w:hint="eastAsia"/>
          <w:sz w:val="32"/>
          <w:szCs w:val="32"/>
          <w14:ligatures w14:val="standardContextual"/>
        </w:rPr>
        <w:t>瑜</w:t>
      </w:r>
      <w:r w:rsidRPr="001B6E4D">
        <w:rPr>
          <w:rFonts w:ascii="標楷體" w:eastAsia="標楷體" w:hAnsi="標楷體"/>
          <w:sz w:val="32"/>
          <w:szCs w:val="32"/>
          <w14:ligatures w14:val="standardContextual"/>
        </w:rPr>
        <w:t>：</w:t>
      </w:r>
    </w:p>
    <w:p w14:paraId="5D2F8008"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112年針對妨害秩序、聚眾鬥毆案進行一定程度的壓制，因此成少共犯的變化也隨之下降，然近年來少年詐欺案件的增加，將持續關注成少共犯的比例是否會有變化。</w:t>
      </w:r>
    </w:p>
    <w:p w14:paraId="024F87F4"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從案件分析中發現，幫派或是犯罪組織主要鎖定偏差行為少年或中輟生，再從這些少年的人際網絡逐</w:t>
      </w:r>
      <w:r w:rsidRPr="001B6E4D">
        <w:rPr>
          <w:rFonts w:ascii="標楷體" w:eastAsia="標楷體" w:hAnsi="標楷體" w:hint="eastAsia"/>
          <w:sz w:val="32"/>
          <w:szCs w:val="32"/>
          <w14:ligatures w14:val="standardContextual"/>
        </w:rPr>
        <w:lastRenderedPageBreak/>
        <w:t>漸拉攏，加入犯罪集團，目前各縣市少年警察隊成立掃黑專責小隊以積極收集幫派吸收少年的事證，透過目前定期性檢視績效，期能有效打擊犯罪集團。</w:t>
      </w:r>
    </w:p>
    <w:p w14:paraId="401F5556" w14:textId="77777777" w:rsidR="00B921E8" w:rsidRPr="001B6E4D" w:rsidRDefault="00B921E8" w:rsidP="003D1018">
      <w:pPr>
        <w:widowControl w:val="0"/>
        <w:numPr>
          <w:ilvl w:val="1"/>
          <w:numId w:val="78"/>
        </w:numPr>
        <w:overflowPunct w:val="0"/>
        <w:spacing w:after="160" w:line="500" w:lineRule="exact"/>
        <w:ind w:leftChars="100" w:left="960"/>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司法院少年及</w:t>
      </w:r>
      <w:proofErr w:type="gramStart"/>
      <w:r w:rsidRPr="001B6E4D">
        <w:rPr>
          <w:rFonts w:ascii="標楷體" w:eastAsia="標楷體" w:hAnsi="標楷體" w:hint="eastAsia"/>
          <w:sz w:val="32"/>
          <w:szCs w:val="32"/>
          <w14:ligatures w14:val="standardContextual"/>
        </w:rPr>
        <w:t>家事廳傅法官</w:t>
      </w:r>
      <w:proofErr w:type="gramEnd"/>
      <w:r w:rsidRPr="001B6E4D">
        <w:rPr>
          <w:rFonts w:ascii="標楷體" w:eastAsia="標楷體" w:hAnsi="標楷體" w:hint="eastAsia"/>
          <w:sz w:val="32"/>
          <w:szCs w:val="32"/>
          <w14:ligatures w14:val="standardContextual"/>
        </w:rPr>
        <w:t>曉</w:t>
      </w:r>
      <w:proofErr w:type="gramStart"/>
      <w:r w:rsidRPr="001B6E4D">
        <w:rPr>
          <w:rFonts w:ascii="標楷體" w:eastAsia="標楷體" w:hAnsi="標楷體" w:hint="eastAsia"/>
          <w:sz w:val="32"/>
          <w:szCs w:val="32"/>
          <w14:ligatures w14:val="standardContextual"/>
        </w:rPr>
        <w:t>瑄</w:t>
      </w:r>
      <w:proofErr w:type="gramEnd"/>
      <w:r w:rsidRPr="001B6E4D">
        <w:rPr>
          <w:rFonts w:ascii="標楷體" w:eastAsia="標楷體" w:hAnsi="標楷體"/>
          <w:sz w:val="32"/>
          <w:szCs w:val="32"/>
          <w14:ligatures w14:val="standardContextual"/>
        </w:rPr>
        <w:t>：</w:t>
      </w:r>
    </w:p>
    <w:p w14:paraId="0D1998D8"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bookmarkStart w:id="568" w:name="_Hlk225329730"/>
      <w:r w:rsidRPr="001B6E4D">
        <w:rPr>
          <w:rFonts w:ascii="標楷體" w:eastAsia="標楷體" w:hAnsi="標楷體" w:hint="eastAsia"/>
          <w:sz w:val="32"/>
          <w:szCs w:val="32"/>
          <w14:ligatures w14:val="standardContextual"/>
        </w:rPr>
        <w:t xml:space="preserve">    </w:t>
      </w:r>
      <w:bookmarkEnd w:id="568"/>
      <w:r w:rsidRPr="001B6E4D">
        <w:rPr>
          <w:rFonts w:ascii="標楷體" w:eastAsia="標楷體" w:hAnsi="標楷體"/>
          <w:sz w:val="32"/>
          <w:szCs w:val="32"/>
          <w14:ligatures w14:val="standardContextual"/>
        </w:rPr>
        <w:t>回應張委員雅琳提問內政部警政署，有關詐騙集團成年接觸少年的方式，實務經驗發現當少年缺乏家與照顧的感覺，會因為類似的經驗以及環境，形成同溫層，幫派分子就容易滲入進行吸收，</w:t>
      </w:r>
      <w:proofErr w:type="gramStart"/>
      <w:r w:rsidRPr="001B6E4D">
        <w:rPr>
          <w:rFonts w:ascii="標楷體" w:eastAsia="標楷體" w:hAnsi="標楷體"/>
          <w:sz w:val="32"/>
          <w:szCs w:val="32"/>
          <w14:ligatures w14:val="standardContextual"/>
        </w:rPr>
        <w:t>另社群</w:t>
      </w:r>
      <w:proofErr w:type="gramEnd"/>
      <w:r w:rsidRPr="001B6E4D">
        <w:rPr>
          <w:rFonts w:ascii="標楷體" w:eastAsia="標楷體" w:hAnsi="標楷體"/>
          <w:sz w:val="32"/>
          <w:szCs w:val="32"/>
          <w14:ligatures w14:val="standardContextual"/>
        </w:rPr>
        <w:t>媒體的盛行，透過推銷、傳播與渲染，少年因為難以辨識犯罪行為，且無法認知觸法行為與相對應需付出的代價，故需仰賴相關宣導教育。另依照少事法第3條之1第1項，詢問或訊問少年時，應通知其法定代理人、現在保護少年之人或其他適當之人</w:t>
      </w:r>
      <w:proofErr w:type="gramStart"/>
      <w:r w:rsidRPr="001B6E4D">
        <w:rPr>
          <w:rFonts w:ascii="標楷體" w:eastAsia="標楷體" w:hAnsi="標楷體"/>
          <w:sz w:val="32"/>
          <w:szCs w:val="32"/>
          <w14:ligatures w14:val="standardContextual"/>
        </w:rPr>
        <w:t>陪同在場</w:t>
      </w:r>
      <w:proofErr w:type="gramEnd"/>
      <w:r w:rsidRPr="001B6E4D">
        <w:rPr>
          <w:rFonts w:ascii="標楷體" w:eastAsia="標楷體" w:hAnsi="標楷體"/>
          <w:sz w:val="32"/>
          <w:szCs w:val="32"/>
          <w14:ligatures w14:val="standardContextual"/>
        </w:rPr>
        <w:t>，檢察官行偵查程序部分，本院曾發函促請檢察官</w:t>
      </w:r>
      <w:proofErr w:type="gramStart"/>
      <w:r w:rsidRPr="001B6E4D">
        <w:rPr>
          <w:rFonts w:ascii="標楷體" w:eastAsia="標楷體" w:hAnsi="標楷體"/>
          <w:sz w:val="32"/>
          <w:szCs w:val="32"/>
          <w14:ligatures w14:val="standardContextual"/>
        </w:rPr>
        <w:t>詢</w:t>
      </w:r>
      <w:proofErr w:type="gramEnd"/>
      <w:r w:rsidRPr="001B6E4D">
        <w:rPr>
          <w:rFonts w:ascii="標楷體" w:eastAsia="標楷體" w:hAnsi="標楷體"/>
          <w:sz w:val="32"/>
          <w:szCs w:val="32"/>
          <w14:ligatures w14:val="standardContextual"/>
        </w:rPr>
        <w:t>（訊）問時，應</w:t>
      </w:r>
      <w:proofErr w:type="gramStart"/>
      <w:r w:rsidRPr="001B6E4D">
        <w:rPr>
          <w:rFonts w:ascii="標楷體" w:eastAsia="標楷體" w:hAnsi="標楷體"/>
          <w:sz w:val="32"/>
          <w:szCs w:val="32"/>
          <w14:ligatures w14:val="standardContextual"/>
        </w:rPr>
        <w:t>踐行</w:t>
      </w:r>
      <w:proofErr w:type="gramEnd"/>
      <w:r w:rsidRPr="001B6E4D">
        <w:rPr>
          <w:rFonts w:ascii="標楷體" w:eastAsia="標楷體" w:hAnsi="標楷體"/>
          <w:sz w:val="32"/>
          <w:szCs w:val="32"/>
          <w14:ligatures w14:val="standardContextual"/>
        </w:rPr>
        <w:t>陪同</w:t>
      </w:r>
      <w:proofErr w:type="gramStart"/>
      <w:r w:rsidRPr="001B6E4D">
        <w:rPr>
          <w:rFonts w:ascii="標楷體" w:eastAsia="標楷體" w:hAnsi="標楷體"/>
          <w:sz w:val="32"/>
          <w:szCs w:val="32"/>
          <w14:ligatures w14:val="standardContextual"/>
        </w:rPr>
        <w:t>在場權</w:t>
      </w:r>
      <w:proofErr w:type="gramEnd"/>
      <w:r w:rsidRPr="001B6E4D">
        <w:rPr>
          <w:rFonts w:ascii="標楷體" w:eastAsia="標楷體" w:hAnsi="標楷體"/>
          <w:sz w:val="32"/>
          <w:szCs w:val="32"/>
          <w14:ligatures w14:val="standardContextual"/>
        </w:rPr>
        <w:t>，進入少年法庭則為必要陪同，在實務上若遇家庭功能</w:t>
      </w:r>
      <w:proofErr w:type="gramStart"/>
      <w:r w:rsidRPr="001B6E4D">
        <w:rPr>
          <w:rFonts w:ascii="標楷體" w:eastAsia="標楷體" w:hAnsi="標楷體"/>
          <w:sz w:val="32"/>
          <w:szCs w:val="32"/>
          <w14:ligatures w14:val="standardContextual"/>
        </w:rPr>
        <w:t>不</w:t>
      </w:r>
      <w:proofErr w:type="gramEnd"/>
      <w:r w:rsidRPr="001B6E4D">
        <w:rPr>
          <w:rFonts w:ascii="標楷體" w:eastAsia="標楷體" w:hAnsi="標楷體"/>
          <w:sz w:val="32"/>
          <w:szCs w:val="32"/>
          <w14:ligatures w14:val="standardContextual"/>
        </w:rPr>
        <w:t>彰，也會由當地</w:t>
      </w:r>
      <w:proofErr w:type="gramStart"/>
      <w:r w:rsidRPr="001B6E4D">
        <w:rPr>
          <w:rFonts w:ascii="標楷體" w:eastAsia="標楷體" w:hAnsi="標楷體"/>
          <w:sz w:val="32"/>
          <w:szCs w:val="32"/>
          <w14:ligatures w14:val="standardContextual"/>
        </w:rPr>
        <w:t>少輔員陪同</w:t>
      </w:r>
      <w:proofErr w:type="gramEnd"/>
      <w:r w:rsidRPr="001B6E4D">
        <w:rPr>
          <w:rFonts w:ascii="標楷體" w:eastAsia="標楷體" w:hAnsi="標楷體"/>
          <w:sz w:val="32"/>
          <w:szCs w:val="32"/>
          <w14:ligatures w14:val="standardContextual"/>
        </w:rPr>
        <w:t>開庭。</w:t>
      </w:r>
    </w:p>
    <w:p w14:paraId="2A093D5C"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w:t>
      </w:r>
      <w:r w:rsidRPr="001B6E4D">
        <w:rPr>
          <w:rFonts w:ascii="標楷體" w:eastAsia="標楷體" w:hAnsi="標楷體"/>
          <w:sz w:val="32"/>
          <w:szCs w:val="32"/>
          <w14:ligatures w14:val="standardContextual"/>
        </w:rPr>
        <w:t>針對調查官與保護官角色與分工，目前於臺灣新北地方法院試辦調保分流機制，但因該院案量較大，實務運作較為困難，難以依照少年調查官與少年保護官的人數進行合理配置，後續會持續追蹤試辦成效。</w:t>
      </w:r>
    </w:p>
    <w:p w14:paraId="3F83B050"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w:t>
      </w:r>
      <w:r w:rsidRPr="001B6E4D">
        <w:rPr>
          <w:rFonts w:ascii="標楷體" w:eastAsia="標楷體" w:hAnsi="標楷體"/>
          <w:sz w:val="32"/>
          <w:szCs w:val="32"/>
          <w14:ligatures w14:val="standardContextual"/>
        </w:rPr>
        <w:t>目前似有少數地方法院以戶籍地認定，後續將再確認。依照憲法第80條規定，法官</w:t>
      </w:r>
      <w:proofErr w:type="gramStart"/>
      <w:r w:rsidRPr="001B6E4D">
        <w:rPr>
          <w:rFonts w:ascii="標楷體" w:eastAsia="標楷體" w:hAnsi="標楷體"/>
          <w:sz w:val="32"/>
          <w:szCs w:val="32"/>
          <w14:ligatures w14:val="standardContextual"/>
        </w:rPr>
        <w:t>審理時具憲法</w:t>
      </w:r>
      <w:proofErr w:type="gramEnd"/>
      <w:r w:rsidRPr="001B6E4D">
        <w:rPr>
          <w:rFonts w:ascii="標楷體" w:eastAsia="標楷體" w:hAnsi="標楷體"/>
          <w:sz w:val="32"/>
          <w:szCs w:val="32"/>
          <w14:ligatures w14:val="standardContextual"/>
        </w:rPr>
        <w:t>所賦予之審判獨立之權限，</w:t>
      </w:r>
      <w:proofErr w:type="gramStart"/>
      <w:r w:rsidRPr="001B6E4D">
        <w:rPr>
          <w:rFonts w:ascii="標楷體" w:eastAsia="標楷體" w:hAnsi="標楷體"/>
          <w:sz w:val="32"/>
          <w:szCs w:val="32"/>
          <w14:ligatures w14:val="standardContextual"/>
        </w:rPr>
        <w:t>若依少事</w:t>
      </w:r>
      <w:proofErr w:type="gramEnd"/>
      <w:r w:rsidRPr="001B6E4D">
        <w:rPr>
          <w:rFonts w:ascii="標楷體" w:eastAsia="標楷體" w:hAnsi="標楷體"/>
          <w:sz w:val="32"/>
          <w:szCs w:val="32"/>
          <w14:ligatures w14:val="standardContextual"/>
        </w:rPr>
        <w:t>法第18條第1項規定檢察官執行職務時，發現少年有觸法情事可以移送地方法院少年法庭（含少年及家事法院），又規定移送前程序，係由司法警察提出強制處分之申請，針對此實務執行之爭議，已召集學者專家</w:t>
      </w:r>
      <w:proofErr w:type="gramStart"/>
      <w:r w:rsidRPr="001B6E4D">
        <w:rPr>
          <w:rFonts w:ascii="標楷體" w:eastAsia="標楷體" w:hAnsi="標楷體"/>
          <w:sz w:val="32"/>
          <w:szCs w:val="32"/>
          <w14:ligatures w14:val="standardContextual"/>
        </w:rPr>
        <w:t>研</w:t>
      </w:r>
      <w:proofErr w:type="gramEnd"/>
      <w:r w:rsidRPr="001B6E4D">
        <w:rPr>
          <w:rFonts w:ascii="標楷體" w:eastAsia="標楷體" w:hAnsi="標楷體"/>
          <w:sz w:val="32"/>
          <w:szCs w:val="32"/>
          <w14:ligatures w14:val="standardContextual"/>
        </w:rPr>
        <w:t>擬移送前程序檢察官的角色與定位。</w:t>
      </w:r>
    </w:p>
    <w:p w14:paraId="3A0FC840" w14:textId="77777777" w:rsidR="00B921E8" w:rsidRPr="001B6E4D" w:rsidRDefault="00B921E8" w:rsidP="003D1018">
      <w:pPr>
        <w:widowControl w:val="0"/>
        <w:numPr>
          <w:ilvl w:val="1"/>
          <w:numId w:val="78"/>
        </w:numPr>
        <w:overflowPunct w:val="0"/>
        <w:spacing w:after="160" w:line="500" w:lineRule="exact"/>
        <w:ind w:leftChars="100" w:left="960"/>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lastRenderedPageBreak/>
        <w:t>法務部陳主任檢察官貞</w:t>
      </w:r>
      <w:proofErr w:type="gramStart"/>
      <w:r w:rsidRPr="001B6E4D">
        <w:rPr>
          <w:rFonts w:ascii="標楷體" w:eastAsia="標楷體" w:hAnsi="標楷體" w:hint="eastAsia"/>
          <w:sz w:val="32"/>
          <w:szCs w:val="32"/>
          <w14:ligatures w14:val="standardContextual"/>
        </w:rPr>
        <w:t>卉</w:t>
      </w:r>
      <w:proofErr w:type="gramEnd"/>
      <w:r w:rsidRPr="001B6E4D">
        <w:rPr>
          <w:rFonts w:ascii="標楷體" w:eastAsia="標楷體" w:hAnsi="標楷體" w:hint="eastAsia"/>
          <w:sz w:val="32"/>
          <w:szCs w:val="32"/>
          <w14:ligatures w14:val="standardContextual"/>
        </w:rPr>
        <w:t>：</w:t>
      </w:r>
    </w:p>
    <w:p w14:paraId="0A821B44"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bookmarkStart w:id="569" w:name="_Hlk225331761"/>
      <w:r w:rsidRPr="001B6E4D">
        <w:rPr>
          <w:rFonts w:ascii="標楷體" w:eastAsia="標楷體" w:hAnsi="標楷體" w:hint="eastAsia"/>
          <w:sz w:val="32"/>
          <w:szCs w:val="32"/>
          <w14:ligatures w14:val="standardContextual"/>
        </w:rPr>
        <w:t xml:space="preserve">    檢察官偵辦案件時會先行檢視案件是否有少年涉入，再進一步判斷少年為被害人或加害人，就檢察機關而言，明確能夠知道少年犯罪之權責專屬於少年法庭，故發現少年有觸法行為，依</w:t>
      </w:r>
      <w:proofErr w:type="gramStart"/>
      <w:r w:rsidRPr="001B6E4D">
        <w:rPr>
          <w:rFonts w:ascii="標楷體" w:eastAsia="標楷體" w:hAnsi="標楷體" w:hint="eastAsia"/>
          <w:sz w:val="32"/>
          <w:szCs w:val="32"/>
          <w14:ligatures w14:val="standardContextual"/>
        </w:rPr>
        <w:t>規</w:t>
      </w:r>
      <w:proofErr w:type="gramEnd"/>
      <w:r w:rsidRPr="001B6E4D">
        <w:rPr>
          <w:rFonts w:ascii="標楷體" w:eastAsia="標楷體" w:hAnsi="標楷體" w:hint="eastAsia"/>
          <w:sz w:val="32"/>
          <w:szCs w:val="32"/>
          <w14:ligatures w14:val="standardContextual"/>
        </w:rPr>
        <w:t>移送少年法院，不會把少年當作被告而侵害少年之權利</w:t>
      </w:r>
      <w:bookmarkEnd w:id="569"/>
      <w:r w:rsidRPr="001B6E4D">
        <w:rPr>
          <w:rFonts w:ascii="標楷體" w:eastAsia="標楷體" w:hAnsi="標楷體" w:hint="eastAsia"/>
          <w:sz w:val="32"/>
          <w:szCs w:val="32"/>
          <w14:ligatures w14:val="standardContextual"/>
        </w:rPr>
        <w:t>，另若發現少年</w:t>
      </w:r>
      <w:proofErr w:type="gramStart"/>
      <w:r w:rsidRPr="001B6E4D">
        <w:rPr>
          <w:rFonts w:ascii="標楷體" w:eastAsia="標楷體" w:hAnsi="標楷體" w:hint="eastAsia"/>
          <w:sz w:val="32"/>
          <w:szCs w:val="32"/>
          <w14:ligatures w14:val="standardContextual"/>
        </w:rPr>
        <w:t>符合曝險行為</w:t>
      </w:r>
      <w:proofErr w:type="gramEnd"/>
      <w:r w:rsidRPr="001B6E4D">
        <w:rPr>
          <w:rFonts w:ascii="標楷體" w:eastAsia="標楷體" w:hAnsi="標楷體" w:hint="eastAsia"/>
          <w:sz w:val="32"/>
          <w:szCs w:val="32"/>
          <w14:ligatures w14:val="standardContextual"/>
        </w:rPr>
        <w:t>樣態，也會依法通知當地少輔會。</w:t>
      </w:r>
    </w:p>
    <w:p w14:paraId="3C5CB547" w14:textId="77777777" w:rsidR="00B921E8" w:rsidRPr="001B6E4D" w:rsidRDefault="00B921E8" w:rsidP="003D1018">
      <w:pPr>
        <w:widowControl w:val="0"/>
        <w:overflowPunct w:val="0"/>
        <w:spacing w:line="500" w:lineRule="exact"/>
        <w:ind w:left="992"/>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基於現行法規所進行的協商共識，希望法官能夠代為訊問，或請法官後續提供筆錄做為案件調查之參考，未來期能透過修法明定檢察官在移送前程序能夠訊問少年。</w:t>
      </w:r>
    </w:p>
    <w:p w14:paraId="4BA339C3" w14:textId="77777777" w:rsidR="00B921E8" w:rsidRPr="001B6E4D" w:rsidRDefault="00B921E8" w:rsidP="003D1018">
      <w:pPr>
        <w:widowControl w:val="0"/>
        <w:numPr>
          <w:ilvl w:val="1"/>
          <w:numId w:val="78"/>
        </w:numPr>
        <w:overflowPunct w:val="0"/>
        <w:spacing w:after="160" w:line="500" w:lineRule="exact"/>
        <w:ind w:leftChars="100" w:left="960"/>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少年輔導委員會</w:t>
      </w:r>
      <w:proofErr w:type="gramStart"/>
      <w:r w:rsidRPr="001B6E4D">
        <w:rPr>
          <w:rFonts w:ascii="標楷體" w:eastAsia="標楷體" w:hAnsi="標楷體" w:hint="eastAsia"/>
          <w:sz w:val="32"/>
          <w:szCs w:val="32"/>
          <w14:ligatures w14:val="standardContextual"/>
        </w:rPr>
        <w:t>廖</w:t>
      </w:r>
      <w:proofErr w:type="gramEnd"/>
      <w:r w:rsidRPr="001B6E4D">
        <w:rPr>
          <w:rFonts w:ascii="標楷體" w:eastAsia="標楷體" w:hAnsi="標楷體" w:hint="eastAsia"/>
          <w:sz w:val="32"/>
          <w:szCs w:val="32"/>
          <w14:ligatures w14:val="standardContextual"/>
        </w:rPr>
        <w:t>執行秘書</w:t>
      </w:r>
      <w:proofErr w:type="gramStart"/>
      <w:r w:rsidRPr="001B6E4D">
        <w:rPr>
          <w:rFonts w:ascii="標楷體" w:eastAsia="標楷體" w:hAnsi="標楷體" w:hint="eastAsia"/>
          <w:sz w:val="32"/>
          <w:szCs w:val="32"/>
          <w14:ligatures w14:val="standardContextual"/>
        </w:rPr>
        <w:t>睿</w:t>
      </w:r>
      <w:proofErr w:type="gramEnd"/>
      <w:r w:rsidRPr="001B6E4D">
        <w:rPr>
          <w:rFonts w:ascii="標楷體" w:eastAsia="標楷體" w:hAnsi="標楷體" w:hint="eastAsia"/>
          <w:sz w:val="32"/>
          <w:szCs w:val="32"/>
          <w14:ligatures w14:val="standardContextual"/>
        </w:rPr>
        <w:t>辰：</w:t>
      </w:r>
    </w:p>
    <w:p w14:paraId="4FEBC6EE"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關於114年少輔會進案成效裡的觸法少年，警政、社政相關單位轉</w:t>
      </w:r>
      <w:proofErr w:type="gramStart"/>
      <w:r w:rsidRPr="001B6E4D">
        <w:rPr>
          <w:rFonts w:ascii="標楷體" w:eastAsia="標楷體" w:hAnsi="標楷體" w:hint="eastAsia"/>
          <w:sz w:val="32"/>
          <w:szCs w:val="32"/>
          <w14:ligatures w14:val="standardContextual"/>
        </w:rPr>
        <w:t>介</w:t>
      </w:r>
      <w:proofErr w:type="gramEnd"/>
      <w:r w:rsidRPr="001B6E4D">
        <w:rPr>
          <w:rFonts w:ascii="標楷體" w:eastAsia="標楷體" w:hAnsi="標楷體" w:hint="eastAsia"/>
          <w:sz w:val="32"/>
          <w:szCs w:val="32"/>
          <w14:ligatures w14:val="standardContextual"/>
        </w:rPr>
        <w:t>較多，雖依相關法規，少輔會</w:t>
      </w:r>
      <w:proofErr w:type="gramStart"/>
      <w:r w:rsidRPr="001B6E4D">
        <w:rPr>
          <w:rFonts w:ascii="標楷體" w:eastAsia="標楷體" w:hAnsi="標楷體" w:hint="eastAsia"/>
          <w:sz w:val="32"/>
          <w:szCs w:val="32"/>
          <w14:ligatures w14:val="standardContextual"/>
        </w:rPr>
        <w:t>以曝險</w:t>
      </w:r>
      <w:proofErr w:type="gramEnd"/>
      <w:r w:rsidRPr="001B6E4D">
        <w:rPr>
          <w:rFonts w:ascii="標楷體" w:eastAsia="標楷體" w:hAnsi="標楷體" w:hint="eastAsia"/>
          <w:sz w:val="32"/>
          <w:szCs w:val="32"/>
          <w14:ligatures w14:val="standardContextual"/>
        </w:rPr>
        <w:t>、偏差行為少年為主要輔導對象，然為盡可能接住高風險少年，即使少年有移送少年法庭之案件，相關單位仍會進行通報。</w:t>
      </w:r>
    </w:p>
    <w:p w14:paraId="233B712E"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因應</w:t>
      </w:r>
      <w:proofErr w:type="gramStart"/>
      <w:r w:rsidRPr="001B6E4D">
        <w:rPr>
          <w:rFonts w:ascii="標楷體" w:eastAsia="標楷體" w:hAnsi="標楷體" w:hint="eastAsia"/>
          <w:sz w:val="32"/>
          <w:szCs w:val="32"/>
          <w14:ligatures w14:val="standardContextual"/>
        </w:rPr>
        <w:t>少輔員的</w:t>
      </w:r>
      <w:proofErr w:type="gramEnd"/>
      <w:r w:rsidRPr="001B6E4D">
        <w:rPr>
          <w:rFonts w:ascii="標楷體" w:eastAsia="標楷體" w:hAnsi="標楷體" w:hint="eastAsia"/>
          <w:sz w:val="32"/>
          <w:szCs w:val="32"/>
          <w14:ligatures w14:val="standardContextual"/>
        </w:rPr>
        <w:t>進用與留任，除採取許多相應措施外，在辦理招聘時，會透過訪談，確認投入少年輔導工作之動機與意願，另也會親自了解</w:t>
      </w:r>
      <w:proofErr w:type="gramStart"/>
      <w:r w:rsidRPr="001B6E4D">
        <w:rPr>
          <w:rFonts w:ascii="標楷體" w:eastAsia="標楷體" w:hAnsi="標楷體" w:hint="eastAsia"/>
          <w:sz w:val="32"/>
          <w:szCs w:val="32"/>
          <w14:ligatures w14:val="standardContextual"/>
        </w:rPr>
        <w:t>少輔員離職</w:t>
      </w:r>
      <w:proofErr w:type="gramEnd"/>
      <w:r w:rsidRPr="001B6E4D">
        <w:rPr>
          <w:rFonts w:ascii="標楷體" w:eastAsia="標楷體" w:hAnsi="標楷體" w:hint="eastAsia"/>
          <w:sz w:val="32"/>
          <w:szCs w:val="32"/>
          <w14:ligatures w14:val="standardContextual"/>
        </w:rPr>
        <w:t>原因是否為工作上面對困境或是有更好的職</w:t>
      </w:r>
      <w:proofErr w:type="gramStart"/>
      <w:r w:rsidRPr="001B6E4D">
        <w:rPr>
          <w:rFonts w:ascii="標楷體" w:eastAsia="標楷體" w:hAnsi="標楷體" w:hint="eastAsia"/>
          <w:sz w:val="32"/>
          <w:szCs w:val="32"/>
          <w14:ligatures w14:val="standardContextual"/>
        </w:rPr>
        <w:t>涯</w:t>
      </w:r>
      <w:proofErr w:type="gramEnd"/>
      <w:r w:rsidRPr="001B6E4D">
        <w:rPr>
          <w:rFonts w:ascii="標楷體" w:eastAsia="標楷體" w:hAnsi="標楷體" w:hint="eastAsia"/>
          <w:sz w:val="32"/>
          <w:szCs w:val="32"/>
          <w14:ligatures w14:val="standardContextual"/>
        </w:rPr>
        <w:t>發展，根據去年迄今的離職人數，可見近兩年新北市少年輔導員流動率已相對穩定。</w:t>
      </w:r>
    </w:p>
    <w:p w14:paraId="3A71A796"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在新北市首長支持下，向社會局借調總督導投入少年輔導工作，在過去工作經驗的基礎上，可更為全面地協調相關局處的資源，另在少年輔導處遇工作加入社政視角，增加更多的輔導實務工作介入空間。每</w:t>
      </w:r>
      <w:proofErr w:type="gramStart"/>
      <w:r w:rsidRPr="001B6E4D">
        <w:rPr>
          <w:rFonts w:ascii="標楷體" w:eastAsia="標楷體" w:hAnsi="標楷體" w:hint="eastAsia"/>
          <w:sz w:val="32"/>
          <w:szCs w:val="32"/>
          <w14:ligatures w14:val="standardContextual"/>
        </w:rPr>
        <w:t>個月皆</w:t>
      </w:r>
      <w:proofErr w:type="gramEnd"/>
      <w:r w:rsidRPr="001B6E4D">
        <w:rPr>
          <w:rFonts w:ascii="標楷體" w:eastAsia="標楷體" w:hAnsi="標楷體" w:hint="eastAsia"/>
          <w:sz w:val="32"/>
          <w:szCs w:val="32"/>
          <w14:ligatures w14:val="standardContextual"/>
        </w:rPr>
        <w:t>會召開輔導成效評估會議，邀請專家學者進行輔導工作方向</w:t>
      </w:r>
      <w:proofErr w:type="gramStart"/>
      <w:r w:rsidRPr="001B6E4D">
        <w:rPr>
          <w:rFonts w:ascii="標楷體" w:eastAsia="標楷體" w:hAnsi="標楷體" w:hint="eastAsia"/>
          <w:sz w:val="32"/>
          <w:szCs w:val="32"/>
          <w14:ligatures w14:val="standardContextual"/>
        </w:rPr>
        <w:t>以及捷案的</w:t>
      </w:r>
      <w:proofErr w:type="gramEnd"/>
      <w:r w:rsidRPr="001B6E4D">
        <w:rPr>
          <w:rFonts w:ascii="標楷體" w:eastAsia="標楷體" w:hAnsi="標楷體" w:hint="eastAsia"/>
          <w:sz w:val="32"/>
          <w:szCs w:val="32"/>
          <w14:ligatures w14:val="standardContextual"/>
        </w:rPr>
        <w:t>評估，另也積極參與各局處</w:t>
      </w:r>
      <w:r w:rsidRPr="001B6E4D">
        <w:rPr>
          <w:rFonts w:ascii="標楷體" w:eastAsia="標楷體" w:hAnsi="標楷體" w:hint="eastAsia"/>
          <w:sz w:val="32"/>
          <w:szCs w:val="32"/>
          <w14:ligatures w14:val="standardContextual"/>
        </w:rPr>
        <w:lastRenderedPageBreak/>
        <w:t>相關會議，針對個案輔導情形進行跨網絡的討論。</w:t>
      </w:r>
    </w:p>
    <w:p w14:paraId="3536EFF9"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在《少年輔導委員會處理曝險行為有關物品辦法》公告後，本會積極與相關單位討論或</w:t>
      </w:r>
      <w:proofErr w:type="gramStart"/>
      <w:r w:rsidRPr="001B6E4D">
        <w:rPr>
          <w:rFonts w:ascii="標楷體" w:eastAsia="標楷體" w:hAnsi="標楷體" w:hint="eastAsia"/>
          <w:sz w:val="32"/>
          <w:szCs w:val="32"/>
          <w14:ligatures w14:val="standardContextual"/>
        </w:rPr>
        <w:t>請益少輔</w:t>
      </w:r>
      <w:proofErr w:type="gramEnd"/>
      <w:r w:rsidRPr="001B6E4D">
        <w:rPr>
          <w:rFonts w:ascii="標楷體" w:eastAsia="標楷體" w:hAnsi="標楷體" w:hint="eastAsia"/>
          <w:sz w:val="32"/>
          <w:szCs w:val="32"/>
          <w14:ligatures w14:val="standardContextual"/>
        </w:rPr>
        <w:t>會</w:t>
      </w:r>
      <w:proofErr w:type="gramStart"/>
      <w:r w:rsidRPr="001B6E4D">
        <w:rPr>
          <w:rFonts w:ascii="標楷體" w:eastAsia="標楷體" w:hAnsi="標楷體" w:hint="eastAsia"/>
          <w:sz w:val="32"/>
          <w:szCs w:val="32"/>
          <w14:ligatures w14:val="standardContextual"/>
        </w:rPr>
        <w:t>面對曝險行為</w:t>
      </w:r>
      <w:proofErr w:type="gramEnd"/>
      <w:r w:rsidRPr="001B6E4D">
        <w:rPr>
          <w:rFonts w:ascii="標楷體" w:eastAsia="標楷體" w:hAnsi="標楷體" w:hint="eastAsia"/>
          <w:sz w:val="32"/>
          <w:szCs w:val="32"/>
          <w14:ligatures w14:val="standardContextual"/>
        </w:rPr>
        <w:t>證物如何處理的議題，目前仍需再與鄰近縣市少輔會討論若輔導少年轉</w:t>
      </w:r>
      <w:proofErr w:type="gramStart"/>
      <w:r w:rsidRPr="001B6E4D">
        <w:rPr>
          <w:rFonts w:ascii="標楷體" w:eastAsia="標楷體" w:hAnsi="標楷體" w:hint="eastAsia"/>
          <w:sz w:val="32"/>
          <w:szCs w:val="32"/>
          <w14:ligatures w14:val="standardContextual"/>
        </w:rPr>
        <w:t>介</w:t>
      </w:r>
      <w:proofErr w:type="gramEnd"/>
      <w:r w:rsidRPr="001B6E4D">
        <w:rPr>
          <w:rFonts w:ascii="標楷體" w:eastAsia="標楷體" w:hAnsi="標楷體" w:hint="eastAsia"/>
          <w:sz w:val="32"/>
          <w:szCs w:val="32"/>
          <w14:ligatures w14:val="standardContextual"/>
        </w:rPr>
        <w:t>到該縣市少輔會，如何妥適處理相關物品，未來期待訂定更為明確的作業細則，提供各縣市少輔會參考。</w:t>
      </w:r>
    </w:p>
    <w:p w14:paraId="17A0EC11" w14:textId="77777777" w:rsidR="00B921E8" w:rsidRPr="001B6E4D" w:rsidRDefault="00B921E8" w:rsidP="003D1018">
      <w:pPr>
        <w:widowControl w:val="0"/>
        <w:numPr>
          <w:ilvl w:val="1"/>
          <w:numId w:val="78"/>
        </w:numPr>
        <w:overflowPunct w:val="0"/>
        <w:spacing w:after="160" w:line="500" w:lineRule="exact"/>
        <w:ind w:leftChars="100" w:left="960"/>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衛生局馬</w:t>
      </w:r>
      <w:proofErr w:type="gramStart"/>
      <w:r w:rsidRPr="001B6E4D">
        <w:rPr>
          <w:rFonts w:ascii="標楷體" w:eastAsia="標楷體" w:hAnsi="標楷體" w:hint="eastAsia"/>
          <w:sz w:val="32"/>
          <w:szCs w:val="32"/>
          <w14:ligatures w14:val="standardContextual"/>
        </w:rPr>
        <w:t>副局長景野</w:t>
      </w:r>
      <w:proofErr w:type="gramEnd"/>
      <w:r w:rsidRPr="001B6E4D">
        <w:rPr>
          <w:rFonts w:ascii="標楷體" w:eastAsia="標楷體" w:hAnsi="標楷體" w:hint="eastAsia"/>
          <w:sz w:val="32"/>
          <w:szCs w:val="32"/>
          <w14:ligatures w14:val="standardContextual"/>
        </w:rPr>
        <w:t>：</w:t>
      </w:r>
    </w:p>
    <w:p w14:paraId="138CFC07"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若少年有吸菸或飲酒成癮醫療需求，會轉</w:t>
      </w:r>
      <w:proofErr w:type="gramStart"/>
      <w:r w:rsidRPr="001B6E4D">
        <w:rPr>
          <w:rFonts w:ascii="標楷體" w:eastAsia="標楷體" w:hAnsi="標楷體" w:hint="eastAsia"/>
          <w:sz w:val="32"/>
          <w:szCs w:val="32"/>
          <w14:ligatures w14:val="standardContextual"/>
        </w:rPr>
        <w:t>介</w:t>
      </w:r>
      <w:proofErr w:type="gramEnd"/>
      <w:r w:rsidRPr="001B6E4D">
        <w:rPr>
          <w:rFonts w:ascii="標楷體" w:eastAsia="標楷體" w:hAnsi="標楷體" w:hint="eastAsia"/>
          <w:sz w:val="32"/>
          <w:szCs w:val="32"/>
          <w14:ligatures w14:val="standardContextual"/>
        </w:rPr>
        <w:t>衛生局提供協助，同時也會與教育局合作，進入學校進行校園戒菸與友善戒菸門診等相關宣導，再者與地院及少年服務中心合作，</w:t>
      </w:r>
      <w:proofErr w:type="gramStart"/>
      <w:r w:rsidRPr="001B6E4D">
        <w:rPr>
          <w:rFonts w:ascii="標楷體" w:eastAsia="標楷體" w:hAnsi="標楷體" w:hint="eastAsia"/>
          <w:sz w:val="32"/>
          <w:szCs w:val="32"/>
          <w14:ligatures w14:val="standardContextual"/>
        </w:rPr>
        <w:t>針對曝險少年</w:t>
      </w:r>
      <w:proofErr w:type="gramEnd"/>
      <w:r w:rsidRPr="001B6E4D">
        <w:rPr>
          <w:rFonts w:ascii="標楷體" w:eastAsia="標楷體" w:hAnsi="標楷體" w:hint="eastAsia"/>
          <w:sz w:val="32"/>
          <w:szCs w:val="32"/>
          <w14:ligatures w14:val="standardContextual"/>
        </w:rPr>
        <w:t>在生活以及藥物成癮方面的問題進行討論，另外也會進入少觀所提供輔導服務或與親子教育協會進行合作，最後針對施用毒品之少年，針對使用一、二級毒品成癮之少年會</w:t>
      </w:r>
      <w:proofErr w:type="gramStart"/>
      <w:r w:rsidRPr="001B6E4D">
        <w:rPr>
          <w:rFonts w:ascii="標楷體" w:eastAsia="標楷體" w:hAnsi="標楷體" w:hint="eastAsia"/>
          <w:sz w:val="32"/>
          <w:szCs w:val="32"/>
          <w14:ligatures w14:val="standardContextual"/>
        </w:rPr>
        <w:t>由毒防</w:t>
      </w:r>
      <w:proofErr w:type="gramEnd"/>
      <w:r w:rsidRPr="001B6E4D">
        <w:rPr>
          <w:rFonts w:ascii="標楷體" w:eastAsia="標楷體" w:hAnsi="標楷體" w:hint="eastAsia"/>
          <w:sz w:val="32"/>
          <w:szCs w:val="32"/>
          <w14:ligatures w14:val="standardContextual"/>
        </w:rPr>
        <w:t>中心收案，若少年有醫療的需求，則有愛</w:t>
      </w:r>
      <w:proofErr w:type="gramStart"/>
      <w:r w:rsidRPr="001B6E4D">
        <w:rPr>
          <w:rFonts w:ascii="標楷體" w:eastAsia="標楷體" w:hAnsi="標楷體" w:hint="eastAsia"/>
          <w:sz w:val="32"/>
          <w:szCs w:val="32"/>
          <w14:ligatures w14:val="standardContextual"/>
        </w:rPr>
        <w:t>滌</w:t>
      </w:r>
      <w:proofErr w:type="gramEnd"/>
      <w:r w:rsidRPr="001B6E4D">
        <w:rPr>
          <w:rFonts w:ascii="標楷體" w:eastAsia="標楷體" w:hAnsi="標楷體" w:hint="eastAsia"/>
          <w:sz w:val="32"/>
          <w:szCs w:val="32"/>
          <w14:ligatures w14:val="standardContextual"/>
        </w:rPr>
        <w:t>生多元照護方案，提供戒癮的醫療服務及心理諮詢等服務。</w:t>
      </w:r>
    </w:p>
    <w:p w14:paraId="22AD66B2" w14:textId="77777777" w:rsidR="00B921E8" w:rsidRPr="001B6E4D" w:rsidRDefault="00B921E8" w:rsidP="003D1018">
      <w:pPr>
        <w:widowControl w:val="0"/>
        <w:numPr>
          <w:ilvl w:val="1"/>
          <w:numId w:val="78"/>
        </w:numPr>
        <w:overflowPunct w:val="0"/>
        <w:spacing w:after="160" w:line="500" w:lineRule="exact"/>
        <w:ind w:leftChars="100" w:left="1134" w:hanging="894"/>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教育局歐副局長人豪：</w:t>
      </w:r>
    </w:p>
    <w:p w14:paraId="71497F72"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關於</w:t>
      </w:r>
      <w:proofErr w:type="gramStart"/>
      <w:r w:rsidRPr="001B6E4D">
        <w:rPr>
          <w:rFonts w:ascii="標楷體" w:eastAsia="標楷體" w:hAnsi="標楷體" w:hint="eastAsia"/>
          <w:sz w:val="32"/>
          <w:szCs w:val="32"/>
          <w14:ligatures w14:val="standardContextual"/>
        </w:rPr>
        <w:t>轉銜共分為</w:t>
      </w:r>
      <w:proofErr w:type="gramEnd"/>
      <w:r w:rsidRPr="001B6E4D">
        <w:rPr>
          <w:rFonts w:ascii="標楷體" w:eastAsia="標楷體" w:hAnsi="標楷體" w:hint="eastAsia"/>
          <w:sz w:val="32"/>
          <w:szCs w:val="32"/>
          <w14:ligatures w14:val="standardContextual"/>
        </w:rPr>
        <w:t>兩部分，一部分是視少年的成長需求性，例如：孩子是否中輟或中離，另一部分會視少年在警政端的偏差行為樣態，或是司法端</w:t>
      </w:r>
      <w:proofErr w:type="gramStart"/>
      <w:r w:rsidRPr="001B6E4D">
        <w:rPr>
          <w:rFonts w:ascii="標楷體" w:eastAsia="標楷體" w:hAnsi="標楷體" w:hint="eastAsia"/>
          <w:sz w:val="32"/>
          <w:szCs w:val="32"/>
          <w14:ligatures w14:val="standardContextual"/>
        </w:rPr>
        <w:t>的曝險行為</w:t>
      </w:r>
      <w:proofErr w:type="gramEnd"/>
      <w:r w:rsidRPr="001B6E4D">
        <w:rPr>
          <w:rFonts w:ascii="標楷體" w:eastAsia="標楷體" w:hAnsi="標楷體" w:hint="eastAsia"/>
          <w:sz w:val="32"/>
          <w:szCs w:val="32"/>
          <w14:ligatures w14:val="standardContextual"/>
        </w:rPr>
        <w:t>樣態，若少年固定會至學校，主責由學校擔任較為妥適，但若少年行為樣</w:t>
      </w:r>
      <w:proofErr w:type="gramStart"/>
      <w:r w:rsidRPr="001B6E4D">
        <w:rPr>
          <w:rFonts w:ascii="標楷體" w:eastAsia="標楷體" w:hAnsi="標楷體" w:hint="eastAsia"/>
          <w:sz w:val="32"/>
          <w:szCs w:val="32"/>
          <w14:ligatures w14:val="standardContextual"/>
        </w:rPr>
        <w:t>態屬少</w:t>
      </w:r>
      <w:proofErr w:type="gramEnd"/>
      <w:r w:rsidRPr="001B6E4D">
        <w:rPr>
          <w:rFonts w:ascii="標楷體" w:eastAsia="標楷體" w:hAnsi="標楷體" w:hint="eastAsia"/>
          <w:sz w:val="32"/>
          <w:szCs w:val="32"/>
          <w14:ligatures w14:val="standardContextual"/>
        </w:rPr>
        <w:t>輔會法令規定，會</w:t>
      </w:r>
      <w:proofErr w:type="gramStart"/>
      <w:r w:rsidRPr="001B6E4D">
        <w:rPr>
          <w:rFonts w:ascii="標楷體" w:eastAsia="標楷體" w:hAnsi="標楷體" w:hint="eastAsia"/>
          <w:sz w:val="32"/>
          <w:szCs w:val="32"/>
          <w14:ligatures w14:val="standardContextual"/>
        </w:rPr>
        <w:t>以共案的</w:t>
      </w:r>
      <w:proofErr w:type="gramEnd"/>
      <w:r w:rsidRPr="001B6E4D">
        <w:rPr>
          <w:rFonts w:ascii="標楷體" w:eastAsia="標楷體" w:hAnsi="標楷體" w:hint="eastAsia"/>
          <w:sz w:val="32"/>
          <w:szCs w:val="32"/>
          <w14:ligatures w14:val="standardContextual"/>
        </w:rPr>
        <w:t>方式提供輔導。另本府有成立青少年通報中心，由教育局主責，且本府各局處皆會參與，依個案的需求性來做主</w:t>
      </w:r>
      <w:proofErr w:type="gramStart"/>
      <w:r w:rsidRPr="001B6E4D">
        <w:rPr>
          <w:rFonts w:ascii="標楷體" w:eastAsia="標楷體" w:hAnsi="標楷體" w:hint="eastAsia"/>
          <w:sz w:val="32"/>
          <w:szCs w:val="32"/>
          <w14:ligatures w14:val="standardContextual"/>
        </w:rPr>
        <w:t>責</w:t>
      </w:r>
      <w:proofErr w:type="gramEnd"/>
      <w:r w:rsidRPr="001B6E4D">
        <w:rPr>
          <w:rFonts w:ascii="標楷體" w:eastAsia="標楷體" w:hAnsi="標楷體" w:hint="eastAsia"/>
          <w:sz w:val="32"/>
          <w:szCs w:val="32"/>
          <w14:ligatures w14:val="standardContextual"/>
        </w:rPr>
        <w:t>與共案的決定。</w:t>
      </w:r>
    </w:p>
    <w:p w14:paraId="2BAB2EE1" w14:textId="77777777" w:rsidR="00B921E8" w:rsidRPr="001B6E4D" w:rsidRDefault="00B921E8" w:rsidP="003D1018">
      <w:pPr>
        <w:widowControl w:val="0"/>
        <w:numPr>
          <w:ilvl w:val="1"/>
          <w:numId w:val="78"/>
        </w:numPr>
        <w:overflowPunct w:val="0"/>
        <w:spacing w:after="160" w:line="500" w:lineRule="exact"/>
        <w:ind w:leftChars="100" w:left="1134" w:hanging="894"/>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內政部警政署刑事警察局蕭副局長欽</w:t>
      </w:r>
      <w:proofErr w:type="gramStart"/>
      <w:r w:rsidRPr="001B6E4D">
        <w:rPr>
          <w:rFonts w:ascii="標楷體" w:eastAsia="標楷體" w:hAnsi="標楷體" w:hint="eastAsia"/>
          <w:sz w:val="32"/>
          <w:szCs w:val="32"/>
          <w14:ligatures w14:val="standardContextual"/>
        </w:rPr>
        <w:t>杰</w:t>
      </w:r>
      <w:proofErr w:type="gramEnd"/>
      <w:r w:rsidRPr="001B6E4D">
        <w:rPr>
          <w:rFonts w:ascii="標楷體" w:eastAsia="標楷體" w:hAnsi="標楷體" w:hint="eastAsia"/>
          <w:sz w:val="32"/>
          <w:szCs w:val="32"/>
          <w14:ligatures w14:val="standardContextual"/>
        </w:rPr>
        <w:t>：</w:t>
      </w:r>
    </w:p>
    <w:p w14:paraId="613227F5" w14:textId="77777777" w:rsidR="00B921E8" w:rsidRPr="001B6E4D" w:rsidRDefault="00B921E8" w:rsidP="003D1018">
      <w:pPr>
        <w:widowControl w:val="0"/>
        <w:overflowPunct w:val="0"/>
        <w:spacing w:line="500" w:lineRule="exact"/>
        <w:ind w:left="993"/>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 xml:space="preserve">    在服務工作推動上，首先觸法、</w:t>
      </w:r>
      <w:proofErr w:type="gramStart"/>
      <w:r w:rsidRPr="001B6E4D">
        <w:rPr>
          <w:rFonts w:ascii="標楷體" w:eastAsia="標楷體" w:hAnsi="標楷體" w:hint="eastAsia"/>
          <w:sz w:val="32"/>
          <w:szCs w:val="32"/>
          <w14:ligatures w14:val="standardContextual"/>
        </w:rPr>
        <w:t>曝險</w:t>
      </w:r>
      <w:proofErr w:type="gramEnd"/>
      <w:r w:rsidRPr="001B6E4D">
        <w:rPr>
          <w:rFonts w:ascii="標楷體" w:eastAsia="標楷體" w:hAnsi="標楷體" w:hint="eastAsia"/>
          <w:sz w:val="32"/>
          <w:szCs w:val="32"/>
          <w14:ligatures w14:val="standardContextual"/>
        </w:rPr>
        <w:t>、偏差行為都</w:t>
      </w:r>
      <w:proofErr w:type="gramStart"/>
      <w:r w:rsidRPr="001B6E4D">
        <w:rPr>
          <w:rFonts w:ascii="標楷體" w:eastAsia="標楷體" w:hAnsi="標楷體" w:hint="eastAsia"/>
          <w:sz w:val="32"/>
          <w:szCs w:val="32"/>
          <w14:ligatures w14:val="standardContextual"/>
        </w:rPr>
        <w:t>是疊加</w:t>
      </w:r>
      <w:proofErr w:type="gramEnd"/>
      <w:r w:rsidRPr="001B6E4D">
        <w:rPr>
          <w:rFonts w:ascii="標楷體" w:eastAsia="標楷體" w:hAnsi="標楷體" w:hint="eastAsia"/>
          <w:sz w:val="32"/>
          <w:szCs w:val="32"/>
          <w14:ligatures w14:val="standardContextual"/>
        </w:rPr>
        <w:t>的，難以去做完整區分；又少年隊主要工作</w:t>
      </w:r>
      <w:r w:rsidRPr="001B6E4D">
        <w:rPr>
          <w:rFonts w:ascii="標楷體" w:eastAsia="標楷體" w:hAnsi="標楷體" w:hint="eastAsia"/>
          <w:sz w:val="32"/>
          <w:szCs w:val="32"/>
          <w14:ligatures w14:val="standardContextual"/>
        </w:rPr>
        <w:lastRenderedPageBreak/>
        <w:t>為犯罪預防，輔導工作非警政專業，</w:t>
      </w:r>
      <w:proofErr w:type="gramStart"/>
      <w:r w:rsidRPr="001B6E4D">
        <w:rPr>
          <w:rFonts w:ascii="標楷體" w:eastAsia="標楷體" w:hAnsi="標楷體" w:hint="eastAsia"/>
          <w:sz w:val="32"/>
          <w:szCs w:val="32"/>
          <w14:ligatures w14:val="standardContextual"/>
        </w:rPr>
        <w:t>然少輔</w:t>
      </w:r>
      <w:proofErr w:type="gramEnd"/>
      <w:r w:rsidRPr="001B6E4D">
        <w:rPr>
          <w:rFonts w:ascii="標楷體" w:eastAsia="標楷體" w:hAnsi="標楷體" w:hint="eastAsia"/>
          <w:sz w:val="32"/>
          <w:szCs w:val="32"/>
          <w14:ligatures w14:val="standardContextual"/>
        </w:rPr>
        <w:t>會編制現屬警政體系，加上</w:t>
      </w:r>
      <w:proofErr w:type="gramStart"/>
      <w:r w:rsidRPr="001B6E4D">
        <w:rPr>
          <w:rFonts w:ascii="標楷體" w:eastAsia="標楷體" w:hAnsi="標楷體" w:hint="eastAsia"/>
          <w:sz w:val="32"/>
          <w:szCs w:val="32"/>
          <w14:ligatures w14:val="standardContextual"/>
        </w:rPr>
        <w:t>少輔員的</w:t>
      </w:r>
      <w:proofErr w:type="gramEnd"/>
      <w:r w:rsidRPr="001B6E4D">
        <w:rPr>
          <w:rFonts w:ascii="標楷體" w:eastAsia="標楷體" w:hAnsi="標楷體" w:hint="eastAsia"/>
          <w:sz w:val="32"/>
          <w:szCs w:val="32"/>
          <w14:ligatures w14:val="standardContextual"/>
        </w:rPr>
        <w:t>薪資待遇，可能會選擇至衛政體系擔任社工，影響離職率，最後成少共犯情形日益嚴重，主要為犯罪無需專業技術，且幫派會利用國家政策基於保護少年之方向，誘導少年犯罪。</w:t>
      </w:r>
    </w:p>
    <w:p w14:paraId="5C33C103" w14:textId="77777777" w:rsidR="00B921E8" w:rsidRPr="001B6E4D" w:rsidRDefault="00B921E8" w:rsidP="003D1018">
      <w:pPr>
        <w:widowControl w:val="0"/>
        <w:numPr>
          <w:ilvl w:val="0"/>
          <w:numId w:val="78"/>
        </w:numPr>
        <w:overflowPunct w:val="0"/>
        <w:spacing w:after="160" w:line="500" w:lineRule="exact"/>
        <w:contextualSpacing/>
        <w:jc w:val="both"/>
        <w:rPr>
          <w:rFonts w:ascii="標楷體" w:eastAsia="標楷體" w:hAnsi="標楷體"/>
          <w:sz w:val="32"/>
          <w:szCs w:val="32"/>
          <w14:ligatures w14:val="standardContextual"/>
        </w:rPr>
      </w:pPr>
      <w:r w:rsidRPr="001B6E4D">
        <w:rPr>
          <w:rFonts w:ascii="標楷體" w:eastAsia="標楷體" w:hAnsi="標楷體"/>
          <w:sz w:val="32"/>
          <w:szCs w:val="32"/>
          <w14:ligatures w14:val="standardContextual"/>
        </w:rPr>
        <w:t>主席</w:t>
      </w:r>
      <w:r w:rsidRPr="001B6E4D">
        <w:rPr>
          <w:rFonts w:ascii="標楷體" w:eastAsia="標楷體" w:hAnsi="標楷體" w:hint="eastAsia"/>
          <w:sz w:val="32"/>
          <w:szCs w:val="32"/>
          <w14:ligatures w14:val="standardContextual"/>
        </w:rPr>
        <w:t>結論</w:t>
      </w:r>
      <w:r w:rsidRPr="001B6E4D">
        <w:rPr>
          <w:rFonts w:ascii="標楷體" w:eastAsia="標楷體" w:hAnsi="標楷體"/>
          <w:sz w:val="32"/>
          <w:szCs w:val="32"/>
          <w14:ligatures w14:val="standardContextual"/>
        </w:rPr>
        <w:t>：</w:t>
      </w:r>
    </w:p>
    <w:p w14:paraId="48807638" w14:textId="77777777" w:rsidR="00B921E8" w:rsidRPr="001B6E4D" w:rsidRDefault="00B921E8" w:rsidP="003D1018">
      <w:pPr>
        <w:widowControl w:val="0"/>
        <w:numPr>
          <w:ilvl w:val="1"/>
          <w:numId w:val="78"/>
        </w:numPr>
        <w:overflowPunct w:val="0"/>
        <w:spacing w:after="160" w:line="500" w:lineRule="exact"/>
        <w:ind w:left="993" w:hanging="709"/>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犯罪集團吸收少年且漸進式的誘導他們犯下越加嚴重的罪刑，此值得思考法治教育如何深化，另外也需要讓脆弱家庭得到更多的支持，進而達到預防的功能。</w:t>
      </w:r>
    </w:p>
    <w:p w14:paraId="03440BED" w14:textId="77777777" w:rsidR="00B921E8" w:rsidRPr="001B6E4D" w:rsidRDefault="00B921E8" w:rsidP="003D1018">
      <w:pPr>
        <w:widowControl w:val="0"/>
        <w:numPr>
          <w:ilvl w:val="1"/>
          <w:numId w:val="78"/>
        </w:numPr>
        <w:overflowPunct w:val="0"/>
        <w:spacing w:after="160" w:line="500" w:lineRule="exact"/>
        <w:ind w:left="993" w:hanging="709"/>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當少年已涉及觸法、偏差</w:t>
      </w:r>
      <w:proofErr w:type="gramStart"/>
      <w:r w:rsidRPr="001B6E4D">
        <w:rPr>
          <w:rFonts w:ascii="標楷體" w:eastAsia="標楷體" w:hAnsi="標楷體" w:hint="eastAsia"/>
          <w:sz w:val="32"/>
          <w:szCs w:val="32"/>
          <w14:ligatures w14:val="standardContextual"/>
        </w:rPr>
        <w:t>及曝險</w:t>
      </w:r>
      <w:proofErr w:type="gramEnd"/>
      <w:r w:rsidRPr="001B6E4D">
        <w:rPr>
          <w:rFonts w:ascii="標楷體" w:eastAsia="標楷體" w:hAnsi="標楷體" w:hint="eastAsia"/>
          <w:sz w:val="32"/>
          <w:szCs w:val="32"/>
          <w14:ligatures w14:val="standardContextual"/>
        </w:rPr>
        <w:t>行為時，我們須發揮少輔會的輔導機制，並積極解決人力不足的議題。</w:t>
      </w:r>
      <w:r w:rsidRPr="001B6E4D">
        <w:rPr>
          <w:rFonts w:ascii="標楷體" w:eastAsia="標楷體" w:hAnsi="標楷體"/>
          <w:sz w:val="32"/>
          <w:szCs w:val="32"/>
          <w14:ligatures w14:val="standardContextual"/>
        </w:rPr>
        <w:t xml:space="preserve"> </w:t>
      </w:r>
    </w:p>
    <w:p w14:paraId="648A44CF" w14:textId="77777777" w:rsidR="00B921E8" w:rsidRPr="001B6E4D" w:rsidRDefault="00B921E8" w:rsidP="003D1018">
      <w:pPr>
        <w:widowControl w:val="0"/>
        <w:numPr>
          <w:ilvl w:val="1"/>
          <w:numId w:val="78"/>
        </w:numPr>
        <w:overflowPunct w:val="0"/>
        <w:spacing w:after="160" w:line="500" w:lineRule="exact"/>
        <w:ind w:left="993" w:hanging="709"/>
        <w:contextualSpacing/>
        <w:jc w:val="both"/>
        <w:rPr>
          <w:rFonts w:ascii="標楷體" w:eastAsia="標楷體" w:hAnsi="標楷體"/>
          <w:sz w:val="32"/>
          <w:szCs w:val="32"/>
          <w14:ligatures w14:val="standardContextual"/>
        </w:rPr>
      </w:pPr>
      <w:r w:rsidRPr="001B6E4D">
        <w:rPr>
          <w:rFonts w:ascii="標楷體" w:eastAsia="標楷體" w:hAnsi="標楷體" w:hint="eastAsia"/>
          <w:sz w:val="32"/>
          <w:szCs w:val="32"/>
          <w14:ligatures w14:val="standardContextual"/>
        </w:rPr>
        <w:t>當少年已進入司法檢調系統時，如何讓檢察官可以取得相關訊問筆錄，有待立法院進一步的</w:t>
      </w:r>
      <w:proofErr w:type="gramStart"/>
      <w:r w:rsidRPr="001B6E4D">
        <w:rPr>
          <w:rFonts w:ascii="標楷體" w:eastAsia="標楷體" w:hAnsi="標楷體" w:hint="eastAsia"/>
          <w:sz w:val="32"/>
          <w:szCs w:val="32"/>
          <w14:ligatures w14:val="standardContextual"/>
        </w:rPr>
        <w:t>研</w:t>
      </w:r>
      <w:proofErr w:type="gramEnd"/>
      <w:r w:rsidRPr="001B6E4D">
        <w:rPr>
          <w:rFonts w:ascii="標楷體" w:eastAsia="標楷體" w:hAnsi="標楷體" w:hint="eastAsia"/>
          <w:sz w:val="32"/>
          <w:szCs w:val="32"/>
          <w14:ligatures w14:val="standardContextual"/>
        </w:rPr>
        <w:t>論。</w:t>
      </w:r>
    </w:p>
    <w:p w14:paraId="277E9E82" w14:textId="7FB3A4A1" w:rsidR="00B921E8" w:rsidRPr="001B6E4D" w:rsidRDefault="00B921E8" w:rsidP="003D1018">
      <w:pPr>
        <w:widowControl w:val="0"/>
        <w:tabs>
          <w:tab w:val="left" w:pos="1902"/>
        </w:tabs>
        <w:overflowPunct w:val="0"/>
        <w:adjustRightInd w:val="0"/>
        <w:spacing w:after="120" w:line="500" w:lineRule="exact"/>
        <w:textAlignment w:val="baseline"/>
        <w:rPr>
          <w:rFonts w:ascii="標楷體" w:eastAsia="標楷體" w:hAnsi="標楷體"/>
          <w:sz w:val="32"/>
          <w:szCs w:val="32"/>
          <w14:ligatures w14:val="standardContextual"/>
        </w:rPr>
      </w:pPr>
      <w:r w:rsidRPr="001B6E4D">
        <w:rPr>
          <w:rFonts w:ascii="標楷體" w:eastAsia="標楷體" w:hAnsi="標楷體"/>
          <w:sz w:val="32"/>
          <w:szCs w:val="32"/>
          <w14:ligatures w14:val="standardContextual"/>
        </w:rPr>
        <w:t>散會：</w:t>
      </w:r>
      <w:r w:rsidRPr="001B6E4D">
        <w:rPr>
          <w:rFonts w:ascii="標楷體" w:eastAsia="標楷體" w:hAnsi="標楷體" w:hint="eastAsia"/>
          <w:sz w:val="32"/>
          <w:szCs w:val="32"/>
          <w14:ligatures w14:val="standardContextual"/>
        </w:rPr>
        <w:t>11</w:t>
      </w:r>
      <w:r w:rsidR="005F2BF4">
        <w:rPr>
          <w:rFonts w:ascii="標楷體" w:eastAsia="標楷體" w:hAnsi="標楷體" w:hint="eastAsia"/>
          <w:sz w:val="32"/>
          <w:szCs w:val="32"/>
          <w14:ligatures w14:val="standardContextual"/>
        </w:rPr>
        <w:t>5</w:t>
      </w:r>
      <w:r w:rsidRPr="001B6E4D">
        <w:rPr>
          <w:rFonts w:ascii="標楷體" w:eastAsia="標楷體" w:hAnsi="標楷體" w:hint="eastAsia"/>
          <w:sz w:val="32"/>
          <w:szCs w:val="32"/>
          <w14:ligatures w14:val="standardContextual"/>
        </w:rPr>
        <w:t>年3月23日上午11時40分。</w:t>
      </w:r>
    </w:p>
    <w:p w14:paraId="3F939B85" w14:textId="77777777" w:rsidR="00B921E8" w:rsidRPr="001B6E4D" w:rsidRDefault="00B921E8" w:rsidP="003D1018">
      <w:pPr>
        <w:overflowPunct w:val="0"/>
        <w:rPr>
          <w:rFonts w:ascii="標楷體" w:eastAsia="標楷體" w:hAnsi="標楷體"/>
          <w:sz w:val="28"/>
          <w:szCs w:val="28"/>
          <w14:ligatures w14:val="standardContextual"/>
        </w:rPr>
      </w:pPr>
      <w:r w:rsidRPr="001B6E4D">
        <w:rPr>
          <w:rFonts w:ascii="標楷體" w:eastAsia="標楷體" w:hAnsi="標楷體"/>
          <w:szCs w:val="28"/>
          <w14:ligatures w14:val="standardContextual"/>
        </w:rPr>
        <w:br w:type="page"/>
      </w:r>
    </w:p>
    <w:p w14:paraId="5ED0D640" w14:textId="06E7D4BF" w:rsidR="00B921E8" w:rsidRPr="001B6E4D" w:rsidRDefault="00B921E8" w:rsidP="003D1018">
      <w:pPr>
        <w:kinsoku w:val="0"/>
        <w:overflowPunct w:val="0"/>
        <w:snapToGrid w:val="0"/>
        <w:spacing w:afterLines="50" w:after="180" w:line="440" w:lineRule="exact"/>
        <w:jc w:val="center"/>
        <w:outlineLvl w:val="4"/>
        <w:rPr>
          <w:rFonts w:ascii="標楷體" w:eastAsia="標楷體" w:hAnsi="標楷體"/>
          <w:b/>
          <w:sz w:val="36"/>
          <w:szCs w:val="20"/>
        </w:rPr>
      </w:pPr>
      <w:r w:rsidRPr="001B6E4D">
        <w:rPr>
          <w:rFonts w:ascii="標楷體" w:eastAsia="標楷體" w:hAnsi="標楷體" w:hint="eastAsia"/>
          <w:b/>
          <w:sz w:val="36"/>
          <w:szCs w:val="20"/>
        </w:rPr>
        <w:lastRenderedPageBreak/>
        <w:t>立法院司法及法制委員會</w:t>
      </w:r>
      <w:bookmarkStart w:id="570" w:name="考察「感化教育成效暨社會復歸轉銜機制」書面紀錄"/>
      <w:r w:rsidRPr="001B6E4D">
        <w:rPr>
          <w:rFonts w:ascii="標楷體" w:eastAsia="標楷體" w:hAnsi="標楷體" w:hint="eastAsia"/>
          <w:b/>
          <w:sz w:val="36"/>
          <w:szCs w:val="20"/>
        </w:rPr>
        <w:t>考察「感化教育成效暨社會</w:t>
      </w:r>
      <w:proofErr w:type="gramStart"/>
      <w:r w:rsidRPr="001B6E4D">
        <w:rPr>
          <w:rFonts w:ascii="標楷體" w:eastAsia="標楷體" w:hAnsi="標楷體" w:hint="eastAsia"/>
          <w:b/>
          <w:sz w:val="36"/>
          <w:szCs w:val="20"/>
        </w:rPr>
        <w:t>復歸轉銜</w:t>
      </w:r>
      <w:proofErr w:type="gramEnd"/>
      <w:r w:rsidRPr="001B6E4D">
        <w:rPr>
          <w:rFonts w:ascii="標楷體" w:eastAsia="標楷體" w:hAnsi="標楷體" w:hint="eastAsia"/>
          <w:b/>
          <w:sz w:val="36"/>
          <w:szCs w:val="20"/>
        </w:rPr>
        <w:t>機制」書面紀錄</w:t>
      </w:r>
      <w:bookmarkEnd w:id="570"/>
    </w:p>
    <w:p w14:paraId="0CB84592" w14:textId="3811183E" w:rsidR="00B921E8" w:rsidRPr="001B6E4D" w:rsidRDefault="00B921E8" w:rsidP="003D1018">
      <w:pPr>
        <w:widowControl w:val="0"/>
        <w:overflowPunct w:val="0"/>
        <w:autoSpaceDE w:val="0"/>
        <w:spacing w:line="520" w:lineRule="atLeast"/>
        <w:jc w:val="both"/>
        <w:rPr>
          <w:rFonts w:ascii="標楷體" w:eastAsia="標楷體" w:hAnsi="標楷體" w:cs="標楷體"/>
          <w:color w:val="000000"/>
          <w:sz w:val="32"/>
          <w:szCs w:val="32"/>
          <w:lang w:val="zh-TW"/>
        </w:rPr>
      </w:pPr>
      <w:r w:rsidRPr="001B6E4D">
        <w:rPr>
          <w:rFonts w:ascii="標楷體" w:eastAsia="標楷體" w:hAnsi="標楷體" w:cs="標楷體" w:hint="eastAsia"/>
          <w:color w:val="000000"/>
          <w:sz w:val="32"/>
          <w:szCs w:val="32"/>
          <w:lang w:val="zh-TW"/>
        </w:rPr>
        <w:t>時間：</w:t>
      </w:r>
      <w:r w:rsidRPr="001B6E4D">
        <w:rPr>
          <w:rFonts w:ascii="標楷體" w:eastAsia="標楷體" w:hAnsi="標楷體" w:hint="eastAsia"/>
          <w:iCs/>
          <w:color w:val="000000"/>
          <w:sz w:val="32"/>
          <w:szCs w:val="32"/>
          <w:lang w:val="zh-TW" w:eastAsia="x-none"/>
        </w:rPr>
        <w:t>11</w:t>
      </w:r>
      <w:r w:rsidR="005F2BF4">
        <w:rPr>
          <w:rFonts w:ascii="標楷體" w:eastAsia="標楷體" w:hAnsi="標楷體" w:hint="eastAsia"/>
          <w:iCs/>
          <w:color w:val="000000"/>
          <w:sz w:val="32"/>
          <w:szCs w:val="32"/>
          <w:lang w:val="zh-TW" w:eastAsia="x-none"/>
        </w:rPr>
        <w:t>5</w:t>
      </w:r>
      <w:r w:rsidRPr="001B6E4D">
        <w:rPr>
          <w:rFonts w:ascii="標楷體" w:eastAsia="標楷體" w:hAnsi="標楷體" w:cs="標楷體" w:hint="eastAsia"/>
          <w:color w:val="000000"/>
          <w:sz w:val="32"/>
          <w:szCs w:val="32"/>
          <w:lang w:val="zh-TW"/>
        </w:rPr>
        <w:t>年4月20日（星期一）9時45分</w:t>
      </w:r>
    </w:p>
    <w:p w14:paraId="1451B03C" w14:textId="77777777" w:rsidR="00B921E8" w:rsidRPr="001B6E4D" w:rsidRDefault="00B921E8" w:rsidP="003D1018">
      <w:pPr>
        <w:widowControl w:val="0"/>
        <w:overflowPunct w:val="0"/>
        <w:autoSpaceDE w:val="0"/>
        <w:spacing w:line="520" w:lineRule="atLeast"/>
        <w:jc w:val="both"/>
        <w:rPr>
          <w:rFonts w:ascii="標楷體" w:eastAsia="標楷體" w:hAnsi="標楷體" w:cs="標楷體"/>
          <w:color w:val="000000"/>
          <w:sz w:val="32"/>
          <w:szCs w:val="32"/>
          <w:lang w:val="zh-TW"/>
        </w:rPr>
      </w:pPr>
      <w:r w:rsidRPr="001B6E4D">
        <w:rPr>
          <w:rFonts w:ascii="標楷體" w:eastAsia="標楷體" w:hAnsi="標楷體" w:cs="標楷體" w:hint="eastAsia"/>
          <w:color w:val="000000"/>
          <w:sz w:val="32"/>
          <w:szCs w:val="32"/>
          <w:lang w:val="zh-TW"/>
        </w:rPr>
        <w:t>地點：</w:t>
      </w:r>
      <w:proofErr w:type="gramStart"/>
      <w:r w:rsidRPr="001B6E4D">
        <w:rPr>
          <w:rFonts w:ascii="標楷體" w:eastAsia="標楷體" w:hAnsi="標楷體" w:cs="標楷體" w:hint="eastAsia"/>
          <w:color w:val="000000"/>
          <w:sz w:val="32"/>
          <w:szCs w:val="32"/>
          <w:lang w:val="zh-TW"/>
        </w:rPr>
        <w:t>敦</w:t>
      </w:r>
      <w:proofErr w:type="gramEnd"/>
      <w:r w:rsidRPr="001B6E4D">
        <w:rPr>
          <w:rFonts w:ascii="標楷體" w:eastAsia="標楷體" w:hAnsi="標楷體" w:cs="標楷體" w:hint="eastAsia"/>
          <w:color w:val="000000"/>
          <w:sz w:val="32"/>
          <w:szCs w:val="32"/>
          <w:lang w:val="zh-TW"/>
        </w:rPr>
        <w:t>品中學行政大樓1樓會議室</w:t>
      </w:r>
    </w:p>
    <w:p w14:paraId="1CE29822" w14:textId="4F4C7511" w:rsidR="00B921E8" w:rsidRPr="001B6E4D" w:rsidRDefault="00B921E8" w:rsidP="003D1018">
      <w:pPr>
        <w:widowControl w:val="0"/>
        <w:overflowPunct w:val="0"/>
        <w:autoSpaceDE w:val="0"/>
        <w:spacing w:line="420" w:lineRule="exact"/>
        <w:jc w:val="both"/>
        <w:rPr>
          <w:rFonts w:ascii="標楷體" w:eastAsia="標楷體" w:hAnsi="標楷體" w:cs="標楷體"/>
          <w:color w:val="000000"/>
          <w:sz w:val="32"/>
          <w:szCs w:val="32"/>
          <w:lang w:val="zh-TW"/>
        </w:rPr>
      </w:pPr>
      <w:r w:rsidRPr="001B6E4D">
        <w:rPr>
          <w:rFonts w:ascii="標楷體" w:eastAsia="標楷體" w:hAnsi="標楷體" w:cs="標楷體" w:hint="eastAsia"/>
          <w:color w:val="000000"/>
          <w:sz w:val="32"/>
          <w:szCs w:val="32"/>
          <w:lang w:val="zh-TW"/>
        </w:rPr>
        <w:t>主席：張立法委員雅</w:t>
      </w:r>
      <w:r w:rsidRPr="001B6E4D">
        <w:rPr>
          <w:rFonts w:ascii="標楷體" w:eastAsia="標楷體" w:hAnsi="標楷體" w:cs="標楷體"/>
          <w:color w:val="000000"/>
          <w:sz w:val="32"/>
          <w:szCs w:val="32"/>
          <w:lang w:val="zh-TW"/>
        </w:rPr>
        <w:t>琳</w:t>
      </w:r>
      <w:r w:rsidRPr="001B6E4D">
        <w:rPr>
          <w:rFonts w:ascii="標楷體" w:eastAsia="標楷體" w:hAnsi="標楷體" w:cs="標楷體" w:hint="eastAsia"/>
          <w:color w:val="000000"/>
          <w:sz w:val="32"/>
          <w:szCs w:val="32"/>
          <w:lang w:val="zh-TW"/>
        </w:rPr>
        <w:t xml:space="preserve">                     紀錄：楊</w:t>
      </w:r>
      <w:r w:rsidRPr="001B6E4D">
        <w:rPr>
          <w:rFonts w:ascii="標楷體" w:eastAsia="標楷體" w:hAnsi="標楷體" w:cs="標楷體"/>
          <w:color w:val="000000"/>
          <w:sz w:val="32"/>
          <w:szCs w:val="32"/>
          <w:lang w:val="zh-TW"/>
        </w:rPr>
        <w:t>景翔</w:t>
      </w:r>
    </w:p>
    <w:p w14:paraId="3BF31BE1" w14:textId="20B26E40"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cs="標楷體" w:hint="eastAsia"/>
          <w:color w:val="000000"/>
          <w:sz w:val="32"/>
          <w:szCs w:val="32"/>
          <w:lang w:val="zh-TW"/>
        </w:rPr>
        <w:t>出席人員：</w:t>
      </w:r>
      <w:r w:rsidRPr="001B6E4D">
        <w:rPr>
          <w:rFonts w:ascii="標楷體" w:eastAsia="標楷體" w:hAnsi="標楷體" w:hint="eastAsia"/>
          <w:color w:val="000000"/>
          <w:sz w:val="32"/>
          <w:szCs w:val="32"/>
        </w:rPr>
        <w:t>立法院司法及法制委員會   黃專</w:t>
      </w:r>
      <w:r w:rsidRPr="001B6E4D">
        <w:rPr>
          <w:rFonts w:ascii="標楷體" w:eastAsia="標楷體" w:hAnsi="標楷體"/>
          <w:color w:val="000000"/>
          <w:sz w:val="32"/>
          <w:szCs w:val="32"/>
        </w:rPr>
        <w:t>門委員良瑩</w:t>
      </w:r>
    </w:p>
    <w:p w14:paraId="7881642C" w14:textId="77777777" w:rsidR="00B921E8" w:rsidRPr="001B6E4D" w:rsidRDefault="00B921E8" w:rsidP="003D1018">
      <w:pPr>
        <w:widowControl w:val="0"/>
        <w:overflowPunct w:val="0"/>
        <w:spacing w:line="420" w:lineRule="exact"/>
        <w:ind w:firstLineChars="498" w:firstLine="1594"/>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立法院司法及法制委員會   王</w:t>
      </w:r>
      <w:r w:rsidRPr="001B6E4D">
        <w:rPr>
          <w:rFonts w:ascii="標楷體" w:eastAsia="標楷體" w:hAnsi="標楷體"/>
          <w:color w:val="000000"/>
          <w:sz w:val="32"/>
          <w:szCs w:val="32"/>
        </w:rPr>
        <w:t>科員靖</w:t>
      </w:r>
      <w:proofErr w:type="gramStart"/>
      <w:r w:rsidRPr="001B6E4D">
        <w:rPr>
          <w:rFonts w:ascii="標楷體" w:eastAsia="標楷體" w:hAnsi="標楷體"/>
          <w:color w:val="000000"/>
          <w:sz w:val="32"/>
          <w:szCs w:val="32"/>
        </w:rPr>
        <w:t>淳</w:t>
      </w:r>
      <w:proofErr w:type="gramEnd"/>
    </w:p>
    <w:p w14:paraId="16ECD93C" w14:textId="77777777" w:rsidR="00B921E8" w:rsidRPr="001B6E4D" w:rsidRDefault="00B921E8" w:rsidP="003D1018">
      <w:pPr>
        <w:widowControl w:val="0"/>
        <w:overflowPunct w:val="0"/>
        <w:spacing w:line="420" w:lineRule="exact"/>
        <w:ind w:firstLineChars="498" w:firstLine="1594"/>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立法院張雅</w:t>
      </w:r>
      <w:r w:rsidRPr="001B6E4D">
        <w:rPr>
          <w:rFonts w:ascii="標楷體" w:eastAsia="標楷體" w:hAnsi="標楷體"/>
          <w:color w:val="000000"/>
          <w:sz w:val="32"/>
          <w:szCs w:val="32"/>
        </w:rPr>
        <w:t>琳</w:t>
      </w:r>
      <w:r w:rsidRPr="001B6E4D">
        <w:rPr>
          <w:rFonts w:ascii="標楷體" w:eastAsia="標楷體" w:hAnsi="標楷體" w:hint="eastAsia"/>
          <w:color w:val="000000"/>
          <w:sz w:val="32"/>
          <w:szCs w:val="32"/>
        </w:rPr>
        <w:t>委員         李研究室助理晏</w:t>
      </w:r>
      <w:r w:rsidRPr="001B6E4D">
        <w:rPr>
          <w:rFonts w:ascii="標楷體" w:eastAsia="標楷體" w:hAnsi="標楷體"/>
          <w:color w:val="000000"/>
          <w:sz w:val="32"/>
          <w:szCs w:val="32"/>
        </w:rPr>
        <w:t>蓉</w:t>
      </w:r>
    </w:p>
    <w:p w14:paraId="17567FFB" w14:textId="77777777" w:rsidR="00B921E8" w:rsidRPr="001B6E4D" w:rsidRDefault="00B921E8" w:rsidP="003D1018">
      <w:pPr>
        <w:widowControl w:val="0"/>
        <w:overflowPunct w:val="0"/>
        <w:spacing w:line="420" w:lineRule="exact"/>
        <w:ind w:firstLineChars="498" w:firstLine="1594"/>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立法院莊瑞</w:t>
      </w:r>
      <w:r w:rsidRPr="001B6E4D">
        <w:rPr>
          <w:rFonts w:ascii="標楷體" w:eastAsia="標楷體" w:hAnsi="標楷體"/>
          <w:color w:val="000000"/>
          <w:sz w:val="32"/>
          <w:szCs w:val="32"/>
        </w:rPr>
        <w:t>雄</w:t>
      </w:r>
      <w:r w:rsidRPr="001B6E4D">
        <w:rPr>
          <w:rFonts w:ascii="標楷體" w:eastAsia="標楷體" w:hAnsi="標楷體" w:hint="eastAsia"/>
          <w:color w:val="000000"/>
          <w:sz w:val="32"/>
          <w:szCs w:val="32"/>
        </w:rPr>
        <w:t xml:space="preserve">委員        </w:t>
      </w:r>
      <w:r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王研究室助理柏</w:t>
      </w:r>
      <w:r w:rsidRPr="001B6E4D">
        <w:rPr>
          <w:rFonts w:ascii="標楷體" w:eastAsia="標楷體" w:hAnsi="標楷體"/>
          <w:color w:val="000000"/>
          <w:sz w:val="32"/>
          <w:szCs w:val="32"/>
        </w:rPr>
        <w:t>皓</w:t>
      </w:r>
    </w:p>
    <w:p w14:paraId="6C7887F6" w14:textId="77777777" w:rsidR="00B921E8" w:rsidRPr="001B6E4D" w:rsidRDefault="00B921E8" w:rsidP="003D1018">
      <w:pPr>
        <w:widowControl w:val="0"/>
        <w:overflowPunct w:val="0"/>
        <w:spacing w:line="420" w:lineRule="exact"/>
        <w:ind w:firstLineChars="498" w:firstLine="1594"/>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立法院莊瑞</w:t>
      </w:r>
      <w:r w:rsidRPr="001B6E4D">
        <w:rPr>
          <w:rFonts w:ascii="標楷體" w:eastAsia="標楷體" w:hAnsi="標楷體"/>
          <w:color w:val="000000"/>
          <w:sz w:val="32"/>
          <w:szCs w:val="32"/>
        </w:rPr>
        <w:t>雄</w:t>
      </w:r>
      <w:r w:rsidRPr="001B6E4D">
        <w:rPr>
          <w:rFonts w:ascii="標楷體" w:eastAsia="標楷體" w:hAnsi="標楷體" w:hint="eastAsia"/>
          <w:color w:val="000000"/>
          <w:sz w:val="32"/>
          <w:szCs w:val="32"/>
        </w:rPr>
        <w:t xml:space="preserve">委員        </w:t>
      </w:r>
      <w:r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李研究室助理虹</w:t>
      </w:r>
      <w:proofErr w:type="gramStart"/>
      <w:r w:rsidRPr="001B6E4D">
        <w:rPr>
          <w:rFonts w:ascii="標楷體" w:eastAsia="標楷體" w:hAnsi="標楷體"/>
          <w:color w:val="000000"/>
          <w:sz w:val="32"/>
          <w:szCs w:val="32"/>
        </w:rPr>
        <w:t>妏</w:t>
      </w:r>
      <w:proofErr w:type="gramEnd"/>
    </w:p>
    <w:p w14:paraId="6704E904" w14:textId="77777777" w:rsidR="00B921E8" w:rsidRPr="001B6E4D" w:rsidRDefault="00B921E8" w:rsidP="003D1018">
      <w:pPr>
        <w:widowControl w:val="0"/>
        <w:overflowPunct w:val="0"/>
        <w:spacing w:line="420" w:lineRule="exact"/>
        <w:ind w:firstLineChars="498" w:firstLine="1594"/>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w:t>
      </w:r>
      <w:proofErr w:type="gramStart"/>
      <w:r w:rsidRPr="001B6E4D">
        <w:rPr>
          <w:rFonts w:ascii="標楷體" w:eastAsia="標楷體" w:hAnsi="標楷體" w:hint="eastAsia"/>
          <w:color w:val="000000"/>
          <w:sz w:val="32"/>
          <w:szCs w:val="32"/>
        </w:rPr>
        <w:t>范</w:t>
      </w:r>
      <w:proofErr w:type="gramEnd"/>
      <w:r w:rsidRPr="001B6E4D">
        <w:rPr>
          <w:rFonts w:ascii="標楷體" w:eastAsia="標楷體" w:hAnsi="標楷體"/>
          <w:color w:val="000000"/>
          <w:sz w:val="32"/>
          <w:szCs w:val="32"/>
        </w:rPr>
        <w:t>雲</w:t>
      </w:r>
      <w:r w:rsidRPr="001B6E4D">
        <w:rPr>
          <w:rFonts w:ascii="標楷體" w:eastAsia="標楷體" w:hAnsi="標楷體" w:hint="eastAsia"/>
          <w:color w:val="000000"/>
          <w:sz w:val="32"/>
          <w:szCs w:val="32"/>
        </w:rPr>
        <w:t xml:space="preserve">委員        </w:t>
      </w:r>
      <w:r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陳研究室助理儀</w:t>
      </w:r>
    </w:p>
    <w:p w14:paraId="426C3A03" w14:textId="77777777" w:rsidR="00B921E8" w:rsidRPr="001B6E4D" w:rsidRDefault="00B921E8" w:rsidP="003D1018">
      <w:pPr>
        <w:widowControl w:val="0"/>
        <w:overflowPunct w:val="0"/>
        <w:spacing w:line="420" w:lineRule="exact"/>
        <w:ind w:firstLineChars="498" w:firstLine="1594"/>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立法院陳昭</w:t>
      </w:r>
      <w:r w:rsidRPr="001B6E4D">
        <w:rPr>
          <w:rFonts w:ascii="標楷體" w:eastAsia="標楷體" w:hAnsi="標楷體"/>
          <w:color w:val="000000"/>
          <w:sz w:val="32"/>
          <w:szCs w:val="32"/>
        </w:rPr>
        <w:t>姿</w:t>
      </w:r>
      <w:r w:rsidRPr="001B6E4D">
        <w:rPr>
          <w:rFonts w:ascii="標楷體" w:eastAsia="標楷體" w:hAnsi="標楷體" w:hint="eastAsia"/>
          <w:color w:val="000000"/>
          <w:sz w:val="32"/>
          <w:szCs w:val="32"/>
        </w:rPr>
        <w:t xml:space="preserve">委員       </w:t>
      </w:r>
      <w:r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李研究室助理</w:t>
      </w:r>
      <w:proofErr w:type="gramStart"/>
      <w:r w:rsidRPr="001B6E4D">
        <w:rPr>
          <w:rFonts w:ascii="標楷體" w:eastAsia="標楷體" w:hAnsi="標楷體" w:hint="eastAsia"/>
          <w:color w:val="000000"/>
          <w:sz w:val="32"/>
          <w:szCs w:val="32"/>
        </w:rPr>
        <w:t>昀</w:t>
      </w:r>
      <w:proofErr w:type="gramEnd"/>
      <w:r w:rsidRPr="001B6E4D">
        <w:rPr>
          <w:rFonts w:ascii="標楷體" w:eastAsia="標楷體" w:hAnsi="標楷體"/>
          <w:color w:val="000000"/>
          <w:sz w:val="32"/>
          <w:szCs w:val="32"/>
        </w:rPr>
        <w:t>庭</w:t>
      </w:r>
    </w:p>
    <w:p w14:paraId="4CFA4CB9" w14:textId="77777777" w:rsidR="00B921E8" w:rsidRPr="001B6E4D" w:rsidRDefault="00B921E8" w:rsidP="003D1018">
      <w:pPr>
        <w:widowControl w:val="0"/>
        <w:overflowPunct w:val="0"/>
        <w:spacing w:line="420" w:lineRule="exact"/>
        <w:ind w:firstLineChars="498" w:firstLine="1594"/>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立法院陳昭姿委員       </w:t>
      </w:r>
      <w:r w:rsidRPr="001B6E4D">
        <w:rPr>
          <w:rFonts w:ascii="標楷體" w:eastAsia="標楷體" w:hAnsi="標楷體"/>
          <w:color w:val="000000"/>
          <w:sz w:val="32"/>
          <w:szCs w:val="32"/>
        </w:rPr>
        <w:t xml:space="preserve">  </w:t>
      </w:r>
      <w:proofErr w:type="gramStart"/>
      <w:r w:rsidRPr="001B6E4D">
        <w:rPr>
          <w:rFonts w:ascii="標楷體" w:eastAsia="標楷體" w:hAnsi="標楷體" w:hint="eastAsia"/>
          <w:color w:val="000000"/>
          <w:sz w:val="32"/>
          <w:szCs w:val="32"/>
        </w:rPr>
        <w:t>蔡</w:t>
      </w:r>
      <w:proofErr w:type="gramEnd"/>
      <w:r w:rsidRPr="001B6E4D">
        <w:rPr>
          <w:rFonts w:ascii="標楷體" w:eastAsia="標楷體" w:hAnsi="標楷體" w:hint="eastAsia"/>
          <w:color w:val="000000"/>
          <w:sz w:val="32"/>
          <w:szCs w:val="32"/>
        </w:rPr>
        <w:t>研究室助理</w:t>
      </w:r>
      <w:proofErr w:type="gramStart"/>
      <w:r w:rsidRPr="001B6E4D">
        <w:rPr>
          <w:rFonts w:ascii="標楷體" w:eastAsia="標楷體" w:hAnsi="標楷體" w:hint="eastAsia"/>
          <w:color w:val="000000"/>
          <w:sz w:val="32"/>
          <w:szCs w:val="32"/>
        </w:rPr>
        <w:t>旻</w:t>
      </w:r>
      <w:r w:rsidRPr="001B6E4D">
        <w:rPr>
          <w:rFonts w:ascii="標楷體" w:eastAsia="標楷體" w:hAnsi="標楷體"/>
          <w:color w:val="000000"/>
          <w:sz w:val="32"/>
          <w:szCs w:val="32"/>
        </w:rPr>
        <w:t>諭</w:t>
      </w:r>
      <w:proofErr w:type="gramEnd"/>
    </w:p>
    <w:p w14:paraId="395E218F" w14:textId="77777777" w:rsidR="00B921E8" w:rsidRPr="001B6E4D" w:rsidRDefault="00B921E8" w:rsidP="003D1018">
      <w:pPr>
        <w:widowControl w:val="0"/>
        <w:overflowPunct w:val="0"/>
        <w:spacing w:line="420" w:lineRule="exact"/>
        <w:ind w:firstLineChars="498" w:firstLine="1594"/>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立法院陳昭</w:t>
      </w:r>
      <w:r w:rsidRPr="001B6E4D">
        <w:rPr>
          <w:rFonts w:ascii="標楷體" w:eastAsia="標楷體" w:hAnsi="標楷體"/>
          <w:color w:val="000000"/>
          <w:sz w:val="32"/>
          <w:szCs w:val="32"/>
        </w:rPr>
        <w:t>姿</w:t>
      </w:r>
      <w:r w:rsidRPr="001B6E4D">
        <w:rPr>
          <w:rFonts w:ascii="標楷體" w:eastAsia="標楷體" w:hAnsi="標楷體" w:hint="eastAsia"/>
          <w:color w:val="000000"/>
          <w:sz w:val="32"/>
          <w:szCs w:val="32"/>
        </w:rPr>
        <w:t>委員         洪研究室助理可</w:t>
      </w:r>
      <w:r w:rsidRPr="001B6E4D">
        <w:rPr>
          <w:rFonts w:ascii="標楷體" w:eastAsia="標楷體" w:hAnsi="標楷體"/>
          <w:color w:val="000000"/>
          <w:sz w:val="32"/>
          <w:szCs w:val="32"/>
        </w:rPr>
        <w:t>恩</w:t>
      </w:r>
    </w:p>
    <w:p w14:paraId="6B3A484F" w14:textId="77777777" w:rsidR="00B921E8" w:rsidRPr="001B6E4D" w:rsidRDefault="00B921E8" w:rsidP="003D1018">
      <w:pPr>
        <w:widowControl w:val="0"/>
        <w:overflowPunct w:val="0"/>
        <w:spacing w:line="420" w:lineRule="exact"/>
        <w:ind w:firstLineChars="498" w:firstLine="1594"/>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立法院林倩</w:t>
      </w:r>
      <w:r w:rsidRPr="001B6E4D">
        <w:rPr>
          <w:rFonts w:ascii="標楷體" w:eastAsia="標楷體" w:hAnsi="標楷體"/>
          <w:color w:val="000000"/>
          <w:sz w:val="32"/>
          <w:szCs w:val="32"/>
        </w:rPr>
        <w:t>綺</w:t>
      </w:r>
      <w:r w:rsidRPr="001B6E4D">
        <w:rPr>
          <w:rFonts w:ascii="標楷體" w:eastAsia="標楷體" w:hAnsi="標楷體" w:hint="eastAsia"/>
          <w:color w:val="000000"/>
          <w:sz w:val="32"/>
          <w:szCs w:val="32"/>
        </w:rPr>
        <w:t>委員         楊研究室助理智</w:t>
      </w:r>
      <w:r w:rsidRPr="001B6E4D">
        <w:rPr>
          <w:rFonts w:ascii="標楷體" w:eastAsia="標楷體" w:hAnsi="標楷體"/>
          <w:color w:val="000000"/>
          <w:sz w:val="32"/>
          <w:szCs w:val="32"/>
        </w:rPr>
        <w:t>鈞</w:t>
      </w:r>
    </w:p>
    <w:p w14:paraId="35F4E4FA" w14:textId="77777777" w:rsidR="00B921E8" w:rsidRPr="001B6E4D" w:rsidRDefault="00B921E8" w:rsidP="003D1018">
      <w:pPr>
        <w:widowControl w:val="0"/>
        <w:overflowPunct w:val="0"/>
        <w:spacing w:line="420" w:lineRule="exact"/>
        <w:ind w:firstLineChars="498" w:firstLine="1594"/>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立法院林</w:t>
      </w:r>
      <w:r w:rsidRPr="001B6E4D">
        <w:rPr>
          <w:rFonts w:ascii="標楷體" w:eastAsia="標楷體" w:hAnsi="標楷體"/>
          <w:color w:val="000000"/>
          <w:sz w:val="32"/>
          <w:szCs w:val="32"/>
        </w:rPr>
        <w:t>月琴</w:t>
      </w:r>
      <w:r w:rsidRPr="001B6E4D">
        <w:rPr>
          <w:rFonts w:ascii="標楷體" w:eastAsia="標楷體" w:hAnsi="標楷體" w:hint="eastAsia"/>
          <w:color w:val="000000"/>
          <w:sz w:val="32"/>
          <w:szCs w:val="32"/>
        </w:rPr>
        <w:t>委員         王研究室助理卓</w:t>
      </w:r>
      <w:r w:rsidRPr="001B6E4D">
        <w:rPr>
          <w:rFonts w:ascii="標楷體" w:eastAsia="標楷體" w:hAnsi="標楷體"/>
          <w:color w:val="000000"/>
          <w:sz w:val="32"/>
          <w:szCs w:val="32"/>
        </w:rPr>
        <w:t>鵬</w:t>
      </w:r>
    </w:p>
    <w:p w14:paraId="0F01226A" w14:textId="5CD35965"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法務部                   鄭</w:t>
      </w:r>
      <w:r w:rsidRPr="001B6E4D">
        <w:rPr>
          <w:rFonts w:ascii="標楷體" w:eastAsia="標楷體" w:hAnsi="標楷體"/>
          <w:color w:val="000000"/>
          <w:sz w:val="32"/>
          <w:szCs w:val="32"/>
        </w:rPr>
        <w:t>專門委員偉利</w:t>
      </w:r>
    </w:p>
    <w:p w14:paraId="3991FCF2" w14:textId="56BD47D8"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法務部                   張</w:t>
      </w:r>
      <w:r w:rsidRPr="001B6E4D">
        <w:rPr>
          <w:rFonts w:ascii="標楷體" w:eastAsia="標楷體" w:hAnsi="標楷體"/>
          <w:color w:val="000000"/>
          <w:sz w:val="32"/>
          <w:szCs w:val="32"/>
        </w:rPr>
        <w:t>科員宜</w:t>
      </w:r>
      <w:proofErr w:type="gramStart"/>
      <w:r w:rsidRPr="001B6E4D">
        <w:rPr>
          <w:rFonts w:ascii="標楷體" w:eastAsia="標楷體" w:hAnsi="標楷體"/>
          <w:color w:val="000000"/>
          <w:sz w:val="32"/>
          <w:szCs w:val="32"/>
        </w:rPr>
        <w:t>瑄</w:t>
      </w:r>
      <w:proofErr w:type="gramEnd"/>
    </w:p>
    <w:p w14:paraId="30A1B1D9" w14:textId="69D8801B"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法務部矯正署             劉</w:t>
      </w:r>
      <w:r w:rsidRPr="001B6E4D">
        <w:rPr>
          <w:rFonts w:ascii="標楷體" w:eastAsia="標楷體" w:hAnsi="標楷體"/>
          <w:color w:val="000000"/>
          <w:sz w:val="32"/>
          <w:szCs w:val="32"/>
        </w:rPr>
        <w:t>副</w:t>
      </w:r>
      <w:r w:rsidRPr="001B6E4D">
        <w:rPr>
          <w:rFonts w:ascii="標楷體" w:eastAsia="標楷體" w:hAnsi="標楷體" w:hint="eastAsia"/>
          <w:color w:val="000000"/>
          <w:sz w:val="32"/>
          <w:szCs w:val="32"/>
        </w:rPr>
        <w:t>署長玲</w:t>
      </w:r>
      <w:r w:rsidRPr="001B6E4D">
        <w:rPr>
          <w:rFonts w:ascii="標楷體" w:eastAsia="標楷體" w:hAnsi="標楷體"/>
          <w:color w:val="000000"/>
          <w:sz w:val="32"/>
          <w:szCs w:val="32"/>
        </w:rPr>
        <w:t>玲</w:t>
      </w:r>
    </w:p>
    <w:p w14:paraId="463094D1" w14:textId="0898DC9A"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法務部矯正署             李副組長明謹</w:t>
      </w:r>
    </w:p>
    <w:p w14:paraId="50C9FE9A" w14:textId="40DF8315"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法務部矯正署</w:t>
      </w:r>
      <w:r w:rsidR="00766732"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王科長志明</w:t>
      </w:r>
    </w:p>
    <w:p w14:paraId="70392A44" w14:textId="5C2AA048" w:rsidR="00B921E8" w:rsidRPr="001B6E4D" w:rsidRDefault="00B921E8" w:rsidP="003D1018">
      <w:pPr>
        <w:widowControl w:val="0"/>
        <w:overflowPunct w:val="0"/>
        <w:spacing w:line="420" w:lineRule="exact"/>
        <w:ind w:firstLineChars="500" w:firstLine="16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法務部矯正署</w:t>
      </w:r>
      <w:r w:rsidR="00766732"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吳科長紹興</w:t>
      </w:r>
    </w:p>
    <w:p w14:paraId="5C17681D" w14:textId="77777777" w:rsidR="00B921E8" w:rsidRPr="001B6E4D" w:rsidRDefault="00B921E8" w:rsidP="003D1018">
      <w:pPr>
        <w:widowControl w:val="0"/>
        <w:overflowPunct w:val="0"/>
        <w:spacing w:line="420" w:lineRule="exact"/>
        <w:ind w:firstLineChars="500" w:firstLine="16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法務部矯正署             林專員淑</w:t>
      </w:r>
      <w:proofErr w:type="gramStart"/>
      <w:r w:rsidRPr="001B6E4D">
        <w:rPr>
          <w:rFonts w:ascii="標楷體" w:eastAsia="標楷體" w:hAnsi="標楷體" w:hint="eastAsia"/>
          <w:color w:val="000000"/>
          <w:sz w:val="32"/>
          <w:szCs w:val="32"/>
        </w:rPr>
        <w:t>嫻</w:t>
      </w:r>
      <w:proofErr w:type="gramEnd"/>
    </w:p>
    <w:p w14:paraId="090212A8" w14:textId="12634293"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hint="eastAsia"/>
          <w:color w:val="000000"/>
          <w:sz w:val="32"/>
          <w:szCs w:val="32"/>
        </w:rPr>
        <w:t xml:space="preserve">品中學     </w:t>
      </w:r>
      <w:r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郭校長宗裕</w:t>
      </w:r>
    </w:p>
    <w:p w14:paraId="2F925CA6" w14:textId="048E7FDA"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color w:val="000000"/>
          <w:sz w:val="32"/>
          <w:szCs w:val="32"/>
        </w:rPr>
        <w:t>品中學</w:t>
      </w:r>
      <w:r w:rsidRPr="001B6E4D">
        <w:rPr>
          <w:rFonts w:ascii="標楷體" w:eastAsia="標楷體" w:hAnsi="標楷體" w:hint="eastAsia"/>
          <w:color w:val="000000"/>
          <w:sz w:val="32"/>
          <w:szCs w:val="32"/>
        </w:rPr>
        <w:t xml:space="preserve">                 張</w:t>
      </w:r>
      <w:r w:rsidRPr="001B6E4D">
        <w:rPr>
          <w:rFonts w:ascii="標楷體" w:eastAsia="標楷體" w:hAnsi="標楷體"/>
          <w:color w:val="000000"/>
          <w:sz w:val="32"/>
          <w:szCs w:val="32"/>
        </w:rPr>
        <w:t>副校長正憲</w:t>
      </w:r>
    </w:p>
    <w:p w14:paraId="1CF906D3" w14:textId="193B4868"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color w:val="000000"/>
          <w:sz w:val="32"/>
          <w:szCs w:val="32"/>
        </w:rPr>
        <w:t>品中學</w:t>
      </w:r>
      <w:r w:rsidRPr="001B6E4D">
        <w:rPr>
          <w:rFonts w:ascii="標楷體" w:eastAsia="標楷體" w:hAnsi="標楷體" w:hint="eastAsia"/>
          <w:color w:val="000000"/>
          <w:sz w:val="32"/>
          <w:szCs w:val="32"/>
        </w:rPr>
        <w:t xml:space="preserve">                 李</w:t>
      </w:r>
      <w:r w:rsidRPr="001B6E4D">
        <w:rPr>
          <w:rFonts w:ascii="標楷體" w:eastAsia="標楷體" w:hAnsi="標楷體"/>
          <w:color w:val="000000"/>
          <w:sz w:val="32"/>
          <w:szCs w:val="32"/>
        </w:rPr>
        <w:t>秘書宜昌</w:t>
      </w:r>
    </w:p>
    <w:p w14:paraId="1887A12D" w14:textId="002863E7"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color w:val="000000"/>
          <w:sz w:val="32"/>
          <w:szCs w:val="32"/>
        </w:rPr>
        <w:t>品中學</w:t>
      </w:r>
      <w:r w:rsidRPr="001B6E4D">
        <w:rPr>
          <w:rFonts w:ascii="標楷體" w:eastAsia="標楷體" w:hAnsi="標楷體" w:hint="eastAsia"/>
          <w:color w:val="000000"/>
          <w:sz w:val="32"/>
          <w:szCs w:val="32"/>
        </w:rPr>
        <w:t xml:space="preserve">                 簡</w:t>
      </w:r>
      <w:r w:rsidRPr="001B6E4D">
        <w:rPr>
          <w:rFonts w:ascii="標楷體" w:eastAsia="標楷體" w:hAnsi="標楷體"/>
          <w:color w:val="000000"/>
          <w:sz w:val="32"/>
          <w:szCs w:val="32"/>
        </w:rPr>
        <w:t>警衛隊長大強</w:t>
      </w:r>
    </w:p>
    <w:p w14:paraId="263EEAA1" w14:textId="32D4214C"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color w:val="000000"/>
          <w:sz w:val="32"/>
          <w:szCs w:val="32"/>
        </w:rPr>
        <w:t xml:space="preserve">          </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color w:val="000000"/>
          <w:sz w:val="32"/>
          <w:szCs w:val="32"/>
        </w:rPr>
        <w:t>品中學</w:t>
      </w:r>
      <w:r w:rsidRPr="001B6E4D">
        <w:rPr>
          <w:rFonts w:ascii="標楷體" w:eastAsia="標楷體" w:hAnsi="標楷體" w:hint="eastAsia"/>
          <w:color w:val="000000"/>
          <w:sz w:val="32"/>
          <w:szCs w:val="32"/>
        </w:rPr>
        <w:t xml:space="preserve">                 吳學</w:t>
      </w:r>
      <w:r w:rsidRPr="001B6E4D">
        <w:rPr>
          <w:rFonts w:ascii="標楷體" w:eastAsia="標楷體" w:hAnsi="標楷體"/>
          <w:color w:val="000000"/>
          <w:sz w:val="32"/>
          <w:szCs w:val="32"/>
        </w:rPr>
        <w:t>務主任藝宣</w:t>
      </w:r>
    </w:p>
    <w:p w14:paraId="56BBED91" w14:textId="7705FB08"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color w:val="000000"/>
          <w:sz w:val="32"/>
          <w:szCs w:val="32"/>
        </w:rPr>
        <w:t xml:space="preserve">          </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color w:val="000000"/>
          <w:sz w:val="32"/>
          <w:szCs w:val="32"/>
        </w:rPr>
        <w:t>品中學</w:t>
      </w:r>
      <w:r w:rsidRPr="001B6E4D">
        <w:rPr>
          <w:rFonts w:ascii="標楷體" w:eastAsia="標楷體" w:hAnsi="標楷體" w:hint="eastAsia"/>
          <w:color w:val="000000"/>
          <w:sz w:val="32"/>
          <w:szCs w:val="32"/>
        </w:rPr>
        <w:t xml:space="preserve">                 陳</w:t>
      </w:r>
      <w:r w:rsidRPr="001B6E4D">
        <w:rPr>
          <w:rFonts w:ascii="標楷體" w:eastAsia="標楷體" w:hAnsi="標楷體"/>
          <w:color w:val="000000"/>
          <w:sz w:val="32"/>
          <w:szCs w:val="32"/>
        </w:rPr>
        <w:t>輔導主任亮穎</w:t>
      </w:r>
    </w:p>
    <w:p w14:paraId="0295ADAB" w14:textId="2EA9019E"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color w:val="000000"/>
          <w:sz w:val="32"/>
          <w:szCs w:val="32"/>
        </w:rPr>
        <w:t xml:space="preserve">          </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color w:val="000000"/>
          <w:sz w:val="32"/>
          <w:szCs w:val="32"/>
        </w:rPr>
        <w:t>品中學</w:t>
      </w:r>
      <w:r w:rsidRPr="001B6E4D">
        <w:rPr>
          <w:rFonts w:ascii="標楷體" w:eastAsia="標楷體" w:hAnsi="標楷體" w:hint="eastAsia"/>
          <w:color w:val="000000"/>
          <w:sz w:val="32"/>
          <w:szCs w:val="32"/>
        </w:rPr>
        <w:t xml:space="preserve">                 楊</w:t>
      </w:r>
      <w:r w:rsidRPr="001B6E4D">
        <w:rPr>
          <w:rFonts w:ascii="標楷體" w:eastAsia="標楷體" w:hAnsi="標楷體"/>
          <w:color w:val="000000"/>
          <w:sz w:val="32"/>
          <w:szCs w:val="32"/>
        </w:rPr>
        <w:t>行政組長</w:t>
      </w:r>
      <w:r w:rsidRPr="001B6E4D">
        <w:rPr>
          <w:rFonts w:ascii="標楷體" w:eastAsia="標楷體" w:hAnsi="標楷體" w:hint="eastAsia"/>
          <w:color w:val="000000"/>
          <w:sz w:val="32"/>
          <w:szCs w:val="32"/>
        </w:rPr>
        <w:t>景</w:t>
      </w:r>
      <w:r w:rsidRPr="001B6E4D">
        <w:rPr>
          <w:rFonts w:ascii="標楷體" w:eastAsia="標楷體" w:hAnsi="標楷體"/>
          <w:color w:val="000000"/>
          <w:sz w:val="32"/>
          <w:szCs w:val="32"/>
        </w:rPr>
        <w:t>翔</w:t>
      </w:r>
    </w:p>
    <w:p w14:paraId="4334325E" w14:textId="1B5DFC5F"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color w:val="000000"/>
          <w:sz w:val="32"/>
          <w:szCs w:val="32"/>
        </w:rPr>
        <w:t>品中學</w:t>
      </w:r>
      <w:r w:rsidRPr="001B6E4D">
        <w:rPr>
          <w:rFonts w:ascii="標楷體" w:eastAsia="標楷體" w:hAnsi="標楷體" w:hint="eastAsia"/>
          <w:color w:val="000000"/>
          <w:sz w:val="32"/>
          <w:szCs w:val="32"/>
        </w:rPr>
        <w:t xml:space="preserve">                 游</w:t>
      </w:r>
      <w:r w:rsidRPr="001B6E4D">
        <w:rPr>
          <w:rFonts w:ascii="標楷體" w:eastAsia="標楷體" w:hAnsi="標楷體"/>
          <w:color w:val="000000"/>
          <w:sz w:val="32"/>
          <w:szCs w:val="32"/>
        </w:rPr>
        <w:t>公民教</w:t>
      </w:r>
      <w:r w:rsidRPr="001B6E4D">
        <w:rPr>
          <w:rFonts w:ascii="標楷體" w:eastAsia="標楷體" w:hAnsi="標楷體" w:hint="eastAsia"/>
          <w:color w:val="000000"/>
          <w:sz w:val="32"/>
          <w:szCs w:val="32"/>
        </w:rPr>
        <w:t>師逸</w:t>
      </w:r>
      <w:r w:rsidRPr="001B6E4D">
        <w:rPr>
          <w:rFonts w:ascii="標楷體" w:eastAsia="標楷體" w:hAnsi="標楷體"/>
          <w:color w:val="000000"/>
          <w:sz w:val="32"/>
          <w:szCs w:val="32"/>
        </w:rPr>
        <w:t>均</w:t>
      </w:r>
    </w:p>
    <w:p w14:paraId="447D114C" w14:textId="246AF71B" w:rsidR="00B921E8" w:rsidRPr="001B6E4D" w:rsidRDefault="00B921E8" w:rsidP="003D1018">
      <w:pPr>
        <w:widowControl w:val="0"/>
        <w:numPr>
          <w:ilvl w:val="0"/>
          <w:numId w:val="14"/>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22"/>
        </w:rPr>
        <w:t>業務簡報：由</w:t>
      </w:r>
      <w:proofErr w:type="gramStart"/>
      <w:r w:rsidRPr="001B6E4D">
        <w:rPr>
          <w:rFonts w:ascii="標楷體" w:eastAsia="標楷體" w:hAnsi="標楷體" w:hint="eastAsia"/>
          <w:b/>
          <w:color w:val="000000"/>
          <w:sz w:val="32"/>
          <w:szCs w:val="22"/>
        </w:rPr>
        <w:t>郭校長宗裕</w:t>
      </w:r>
      <w:r w:rsidRPr="001B6E4D">
        <w:rPr>
          <w:rFonts w:ascii="標楷體" w:eastAsia="標楷體" w:hAnsi="標楷體" w:hint="eastAsia"/>
          <w:b/>
          <w:color w:val="000000"/>
          <w:sz w:val="32"/>
          <w:szCs w:val="32"/>
        </w:rPr>
        <w:t>報告</w:t>
      </w:r>
      <w:proofErr w:type="gramEnd"/>
      <w:r w:rsidRPr="001B6E4D">
        <w:rPr>
          <w:rFonts w:ascii="標楷體" w:eastAsia="標楷體" w:hAnsi="標楷體" w:hint="eastAsia"/>
          <w:b/>
          <w:color w:val="000000"/>
          <w:sz w:val="32"/>
          <w:szCs w:val="32"/>
        </w:rPr>
        <w:t>。</w:t>
      </w:r>
    </w:p>
    <w:p w14:paraId="0D0D7697" w14:textId="77777777" w:rsidR="00B921E8" w:rsidRPr="001B6E4D" w:rsidRDefault="00B921E8" w:rsidP="003D1018">
      <w:pPr>
        <w:widowControl w:val="0"/>
        <w:numPr>
          <w:ilvl w:val="0"/>
          <w:numId w:val="14"/>
        </w:numPr>
        <w:overflowPunct w:val="0"/>
        <w:spacing w:line="520" w:lineRule="exact"/>
        <w:jc w:val="both"/>
        <w:rPr>
          <w:rFonts w:ascii="標楷體" w:eastAsia="標楷體" w:hAnsi="標楷體" w:cs="標楷體"/>
          <w:b/>
          <w:color w:val="000000"/>
          <w:sz w:val="32"/>
          <w:szCs w:val="32"/>
          <w:lang w:val="zh-TW"/>
        </w:rPr>
      </w:pPr>
      <w:r w:rsidRPr="001B6E4D">
        <w:rPr>
          <w:rFonts w:ascii="標楷體" w:eastAsia="標楷體" w:hAnsi="標楷體" w:hint="eastAsia"/>
          <w:b/>
          <w:color w:val="000000"/>
          <w:sz w:val="32"/>
          <w:szCs w:val="22"/>
        </w:rPr>
        <w:lastRenderedPageBreak/>
        <w:t>實地參訪</w:t>
      </w:r>
      <w:proofErr w:type="gramStart"/>
      <w:r w:rsidRPr="001B6E4D">
        <w:rPr>
          <w:rFonts w:ascii="標楷體" w:eastAsia="標楷體" w:hAnsi="標楷體" w:hint="eastAsia"/>
          <w:b/>
          <w:color w:val="000000"/>
          <w:sz w:val="32"/>
          <w:szCs w:val="22"/>
        </w:rPr>
        <w:t>（</w:t>
      </w:r>
      <w:proofErr w:type="gramEnd"/>
      <w:r w:rsidRPr="001B6E4D">
        <w:rPr>
          <w:rFonts w:ascii="標楷體" w:eastAsia="標楷體" w:hAnsi="標楷體" w:hint="eastAsia"/>
          <w:b/>
          <w:color w:val="000000"/>
          <w:sz w:val="32"/>
          <w:szCs w:val="22"/>
        </w:rPr>
        <w:t>10：15-</w:t>
      </w:r>
      <w:r w:rsidRPr="001B6E4D">
        <w:rPr>
          <w:rFonts w:ascii="標楷體" w:eastAsia="標楷體" w:hAnsi="標楷體"/>
          <w:b/>
          <w:color w:val="000000"/>
          <w:sz w:val="32"/>
          <w:szCs w:val="22"/>
        </w:rPr>
        <w:t>1</w:t>
      </w:r>
      <w:r w:rsidRPr="001B6E4D">
        <w:rPr>
          <w:rFonts w:ascii="標楷體" w:eastAsia="標楷體" w:hAnsi="標楷體" w:hint="eastAsia"/>
          <w:b/>
          <w:color w:val="000000"/>
          <w:sz w:val="32"/>
          <w:szCs w:val="22"/>
        </w:rPr>
        <w:t>1：00</w:t>
      </w:r>
      <w:proofErr w:type="gramStart"/>
      <w:r w:rsidRPr="001B6E4D">
        <w:rPr>
          <w:rFonts w:ascii="標楷體" w:eastAsia="標楷體" w:hAnsi="標楷體" w:hint="eastAsia"/>
          <w:b/>
          <w:color w:val="000000"/>
          <w:sz w:val="32"/>
          <w:szCs w:val="22"/>
        </w:rPr>
        <w:t>）</w:t>
      </w:r>
      <w:proofErr w:type="gramEnd"/>
    </w:p>
    <w:p w14:paraId="588B3A7F" w14:textId="77777777" w:rsidR="00B921E8" w:rsidRPr="001B6E4D" w:rsidRDefault="00B921E8" w:rsidP="003D1018">
      <w:pPr>
        <w:widowControl w:val="0"/>
        <w:numPr>
          <w:ilvl w:val="0"/>
          <w:numId w:val="14"/>
        </w:numPr>
        <w:overflowPunct w:val="0"/>
        <w:spacing w:line="520" w:lineRule="exact"/>
        <w:jc w:val="both"/>
        <w:rPr>
          <w:rFonts w:ascii="標楷體" w:eastAsia="標楷體" w:hAnsi="標楷體" w:cs="標楷體"/>
          <w:b/>
          <w:color w:val="000000"/>
          <w:sz w:val="32"/>
          <w:szCs w:val="32"/>
          <w:lang w:val="zh-TW"/>
        </w:rPr>
      </w:pPr>
      <w:r w:rsidRPr="001B6E4D">
        <w:rPr>
          <w:rFonts w:ascii="標楷體" w:eastAsia="標楷體" w:hAnsi="標楷體" w:hint="eastAsia"/>
          <w:b/>
          <w:color w:val="000000"/>
          <w:sz w:val="32"/>
          <w:szCs w:val="22"/>
        </w:rPr>
        <w:t>意見交流與座談</w:t>
      </w:r>
    </w:p>
    <w:p w14:paraId="70500A74"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color w:val="000000"/>
          <w:sz w:val="32"/>
          <w:szCs w:val="32"/>
        </w:rPr>
      </w:pPr>
      <w:r w:rsidRPr="001B6E4D">
        <w:rPr>
          <w:rFonts w:ascii="標楷體" w:eastAsia="標楷體" w:hAnsi="標楷體" w:hint="eastAsia"/>
          <w:b/>
          <w:color w:val="000000"/>
          <w:sz w:val="32"/>
          <w:szCs w:val="32"/>
        </w:rPr>
        <w:t>立法院張委員雅</w:t>
      </w:r>
      <w:r w:rsidRPr="001B6E4D">
        <w:rPr>
          <w:rFonts w:ascii="標楷體" w:eastAsia="標楷體" w:hAnsi="標楷體"/>
          <w:b/>
          <w:color w:val="000000"/>
          <w:sz w:val="32"/>
          <w:szCs w:val="32"/>
        </w:rPr>
        <w:t>琳</w:t>
      </w:r>
      <w:r w:rsidRPr="001B6E4D">
        <w:rPr>
          <w:rFonts w:ascii="標楷體" w:eastAsia="標楷體" w:hAnsi="標楷體" w:hint="eastAsia"/>
          <w:b/>
          <w:color w:val="000000"/>
          <w:sz w:val="32"/>
          <w:szCs w:val="32"/>
        </w:rPr>
        <w:t>：</w:t>
      </w:r>
    </w:p>
    <w:p w14:paraId="49ADE8B2"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剛剛大家看了簡報，也看了學生在這個空間的一個環境及課程，大家都會有一些問題，我先問幾個問題。</w:t>
      </w:r>
    </w:p>
    <w:p w14:paraId="2FC4C583"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剛剛校長有講，我們的收容壓力其實在增加，那我們的老師的資源有沒有來增加？再來就</w:t>
      </w:r>
      <w:r w:rsidRPr="001B6E4D">
        <w:rPr>
          <w:rFonts w:ascii="標楷體" w:eastAsia="標楷體" w:hAnsi="標楷體"/>
          <w:color w:val="000000"/>
          <w:sz w:val="32"/>
          <w:szCs w:val="32"/>
        </w:rPr>
        <w:t>是</w:t>
      </w:r>
      <w:r w:rsidRPr="001B6E4D">
        <w:rPr>
          <w:rFonts w:ascii="標楷體" w:eastAsia="標楷體" w:hAnsi="標楷體" w:hint="eastAsia"/>
          <w:color w:val="000000"/>
          <w:sz w:val="32"/>
          <w:szCs w:val="32"/>
        </w:rPr>
        <w:t>現在社工師、心理師，到底能不能支撐我們現在學生的量？因為看起來我們學生的犯罪型態上，傷害罪跟詐欺罪這兩</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是比例比較高的，這部分在輔導機制上面，是提供給他們不同的輔導的流程嗎？因為剛剛看了一下輔導空間，真的是非常的多元，所以想要了解說通常孩子</w:t>
      </w:r>
      <w:proofErr w:type="gramStart"/>
      <w:r w:rsidRPr="001B6E4D">
        <w:rPr>
          <w:rFonts w:ascii="標楷體" w:eastAsia="標楷體" w:hAnsi="標楷體" w:hint="eastAsia"/>
          <w:color w:val="000000"/>
          <w:sz w:val="32"/>
          <w:szCs w:val="32"/>
        </w:rPr>
        <w:t>有情障</w:t>
      </w:r>
      <w:proofErr w:type="gramEnd"/>
      <w:r w:rsidRPr="001B6E4D">
        <w:rPr>
          <w:rFonts w:ascii="標楷體" w:eastAsia="標楷體" w:hAnsi="標楷體" w:hint="eastAsia"/>
          <w:color w:val="000000"/>
          <w:sz w:val="32"/>
          <w:szCs w:val="32"/>
        </w:rPr>
        <w:t>或不同障礙的時候，或者是犯罪型態不同的時候，我們是怎麼去設計這個不同的輔導或諮商的流程？</w:t>
      </w:r>
    </w:p>
    <w:p w14:paraId="2ADA0C0E"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再來就是剛剛去看宿舍，會發現其實裡面只有電風扇沒有冷氣，夏天時</w:t>
      </w:r>
      <w:r w:rsidRPr="001B6E4D">
        <w:rPr>
          <w:rFonts w:ascii="標楷體" w:eastAsia="標楷體" w:hAnsi="標楷體"/>
          <w:color w:val="000000"/>
          <w:sz w:val="32"/>
          <w:szCs w:val="32"/>
        </w:rPr>
        <w:t>因為</w:t>
      </w:r>
      <w:r w:rsidRPr="001B6E4D">
        <w:rPr>
          <w:rFonts w:ascii="標楷體" w:eastAsia="標楷體" w:hAnsi="標楷體" w:hint="eastAsia"/>
          <w:color w:val="000000"/>
          <w:sz w:val="32"/>
          <w:szCs w:val="32"/>
        </w:rPr>
        <w:t>氣候變遷的因素，造成夏天高溫的時間越來越長的，老師們都是陪伴學生在這個空間裡面，是不是也會造成生活空間沒有那麼舒適？也造成一些老師因此而離開？流動率這</w:t>
      </w:r>
      <w:r w:rsidRPr="001B6E4D">
        <w:rPr>
          <w:rFonts w:ascii="標楷體" w:eastAsia="標楷體" w:hAnsi="標楷體"/>
          <w:color w:val="000000"/>
          <w:sz w:val="32"/>
          <w:szCs w:val="32"/>
        </w:rPr>
        <w:t>是否</w:t>
      </w:r>
      <w:r w:rsidRPr="001B6E4D">
        <w:rPr>
          <w:rFonts w:ascii="標楷體" w:eastAsia="標楷體" w:hAnsi="標楷體" w:hint="eastAsia"/>
          <w:color w:val="000000"/>
          <w:sz w:val="32"/>
          <w:szCs w:val="32"/>
        </w:rPr>
        <w:t>其中一個原因？所以也想要了解一下。</w:t>
      </w:r>
    </w:p>
    <w:p w14:paraId="0A0D4A48"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另</w:t>
      </w:r>
      <w:r w:rsidRPr="001B6E4D">
        <w:rPr>
          <w:rFonts w:ascii="標楷體" w:eastAsia="標楷體" w:hAnsi="標楷體"/>
          <w:color w:val="000000"/>
          <w:sz w:val="32"/>
          <w:szCs w:val="32"/>
        </w:rPr>
        <w:t>外</w:t>
      </w:r>
      <w:r w:rsidRPr="001B6E4D">
        <w:rPr>
          <w:rFonts w:ascii="標楷體" w:eastAsia="標楷體" w:hAnsi="標楷體" w:hint="eastAsia"/>
          <w:color w:val="000000"/>
          <w:sz w:val="32"/>
          <w:szCs w:val="32"/>
        </w:rPr>
        <w:t>因為全部都是男生的環境，</w:t>
      </w:r>
      <w:r w:rsidRPr="001B6E4D">
        <w:rPr>
          <w:rFonts w:ascii="標楷體" w:eastAsia="標楷體" w:hAnsi="標楷體"/>
          <w:color w:val="000000"/>
          <w:sz w:val="32"/>
          <w:szCs w:val="32"/>
        </w:rPr>
        <w:t>是否</w:t>
      </w:r>
      <w:r w:rsidRPr="001B6E4D">
        <w:rPr>
          <w:rFonts w:ascii="標楷體" w:eastAsia="標楷體" w:hAnsi="標楷體" w:hint="eastAsia"/>
          <w:color w:val="000000"/>
          <w:sz w:val="32"/>
          <w:szCs w:val="32"/>
        </w:rPr>
        <w:t>有性平教育？今天好像比較沒有看到，所以想要請校長也簡單說明一下有關於性平教育，特別是針對涉及性別暴力的學生有沒有更具體的一些設計。</w:t>
      </w:r>
    </w:p>
    <w:p w14:paraId="3AE773CA"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還有就是在預算的刪減上面，剛才可以看到路其實有很多隆起、非常的不平整，然後教學環境裡面有些地方都沒有無障礙，不曉得因</w:t>
      </w:r>
      <w:r w:rsidRPr="001B6E4D">
        <w:rPr>
          <w:rFonts w:ascii="標楷體" w:eastAsia="標楷體" w:hAnsi="標楷體"/>
          <w:color w:val="000000"/>
          <w:sz w:val="32"/>
          <w:szCs w:val="32"/>
        </w:rPr>
        <w:t>為</w:t>
      </w:r>
      <w:r w:rsidRPr="001B6E4D">
        <w:rPr>
          <w:rFonts w:ascii="標楷體" w:eastAsia="標楷體" w:hAnsi="標楷體" w:hint="eastAsia"/>
          <w:color w:val="000000"/>
          <w:sz w:val="32"/>
          <w:szCs w:val="32"/>
        </w:rPr>
        <w:t>經費的刪減有影響到這些部分，也請校長說明一下。</w:t>
      </w:r>
    </w:p>
    <w:p w14:paraId="5C51D8BC"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lastRenderedPageBreak/>
        <w:t>最後一個問題也是回到性平，因為一般學校會有性平會去調查內部發生的狀態，現在校內的性平通報流程是如</w:t>
      </w:r>
      <w:r w:rsidRPr="001B6E4D">
        <w:rPr>
          <w:rFonts w:ascii="標楷體" w:eastAsia="標楷體" w:hAnsi="標楷體"/>
          <w:color w:val="000000"/>
          <w:sz w:val="32"/>
          <w:szCs w:val="32"/>
        </w:rPr>
        <w:t>何</w:t>
      </w:r>
      <w:r w:rsidRPr="001B6E4D">
        <w:rPr>
          <w:rFonts w:ascii="標楷體" w:eastAsia="標楷體" w:hAnsi="標楷體" w:hint="eastAsia"/>
          <w:color w:val="000000"/>
          <w:sz w:val="32"/>
          <w:szCs w:val="32"/>
        </w:rPr>
        <w:t>？待會也簡單說明。其他委員辦公室助理們有沒有問題想要請教？</w:t>
      </w:r>
    </w:p>
    <w:p w14:paraId="4AF481A8"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立法院莊瑞雄委員王研究室助理柏皓：</w:t>
      </w:r>
    </w:p>
    <w:p w14:paraId="211EF050"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你好，看</w:t>
      </w:r>
      <w:r w:rsidRPr="001B6E4D">
        <w:rPr>
          <w:rFonts w:ascii="標楷體" w:eastAsia="標楷體" w:hAnsi="標楷體"/>
          <w:color w:val="000000"/>
          <w:sz w:val="32"/>
          <w:szCs w:val="32"/>
        </w:rPr>
        <w:t>到</w:t>
      </w:r>
      <w:r w:rsidRPr="001B6E4D">
        <w:rPr>
          <w:rFonts w:ascii="標楷體" w:eastAsia="標楷體" w:hAnsi="標楷體" w:hint="eastAsia"/>
          <w:color w:val="000000"/>
          <w:sz w:val="32"/>
          <w:szCs w:val="32"/>
        </w:rPr>
        <w:t>簡報第32頁有毒品施</w:t>
      </w:r>
      <w:r w:rsidRPr="001B6E4D">
        <w:rPr>
          <w:rFonts w:ascii="標楷體" w:eastAsia="標楷體" w:hAnsi="標楷體"/>
          <w:color w:val="000000"/>
          <w:sz w:val="32"/>
          <w:szCs w:val="32"/>
        </w:rPr>
        <w:t>用經驗</w:t>
      </w:r>
      <w:r w:rsidRPr="001B6E4D">
        <w:rPr>
          <w:rFonts w:ascii="標楷體" w:eastAsia="標楷體" w:hAnsi="標楷體" w:hint="eastAsia"/>
          <w:color w:val="000000"/>
          <w:sz w:val="32"/>
          <w:szCs w:val="32"/>
        </w:rPr>
        <w:t>比</w:t>
      </w:r>
      <w:r w:rsidRPr="001B6E4D">
        <w:rPr>
          <w:rFonts w:ascii="標楷體" w:eastAsia="標楷體" w:hAnsi="標楷體"/>
          <w:color w:val="000000"/>
          <w:sz w:val="32"/>
          <w:szCs w:val="32"/>
        </w:rPr>
        <w:t>率</w:t>
      </w:r>
      <w:r w:rsidRPr="001B6E4D">
        <w:rPr>
          <w:rFonts w:ascii="標楷體" w:eastAsia="標楷體" w:hAnsi="標楷體" w:hint="eastAsia"/>
          <w:color w:val="000000"/>
          <w:sz w:val="32"/>
          <w:szCs w:val="32"/>
        </w:rPr>
        <w:t>非常高，達</w:t>
      </w:r>
      <w:r w:rsidRPr="001B6E4D">
        <w:rPr>
          <w:rFonts w:ascii="標楷體" w:eastAsia="標楷體" w:hAnsi="標楷體"/>
          <w:color w:val="000000"/>
          <w:sz w:val="32"/>
          <w:szCs w:val="32"/>
        </w:rPr>
        <w:t>到</w:t>
      </w:r>
      <w:r w:rsidRPr="001B6E4D">
        <w:rPr>
          <w:rFonts w:ascii="標楷體" w:eastAsia="標楷體" w:hAnsi="標楷體" w:hint="eastAsia"/>
          <w:color w:val="000000"/>
          <w:sz w:val="32"/>
          <w:szCs w:val="32"/>
        </w:rPr>
        <w:t>175個曾使用，一般成年犯的戒癮治療有很明確的規範，而簡報第33頁到34頁的第八的部分有</w:t>
      </w:r>
      <w:r w:rsidRPr="001B6E4D">
        <w:rPr>
          <w:rFonts w:ascii="標楷體" w:eastAsia="標楷體" w:hAnsi="標楷體"/>
          <w:color w:val="000000"/>
          <w:sz w:val="32"/>
          <w:szCs w:val="32"/>
        </w:rPr>
        <w:t>提及</w:t>
      </w:r>
      <w:r w:rsidRPr="001B6E4D">
        <w:rPr>
          <w:rFonts w:ascii="標楷體" w:eastAsia="標楷體" w:hAnsi="標楷體" w:hint="eastAsia"/>
          <w:color w:val="000000"/>
          <w:sz w:val="32"/>
          <w:szCs w:val="32"/>
        </w:rPr>
        <w:t>出校連結，我想要詳細知道說他們的戒癮治療是怎麼做？然後這些人在感化教育後具體改善情況、或者是人數有沒有減少等等數據？可否提供一個更詳細的說明，謝謝！</w:t>
      </w:r>
    </w:p>
    <w:p w14:paraId="3AF5DE37"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w:t>
      </w:r>
      <w:r w:rsidRPr="001B6E4D">
        <w:rPr>
          <w:rFonts w:ascii="標楷體" w:eastAsia="標楷體" w:hAnsi="標楷體"/>
          <w:b/>
          <w:color w:val="000000"/>
          <w:sz w:val="32"/>
          <w:szCs w:val="32"/>
        </w:rPr>
        <w:t>法院</w:t>
      </w:r>
      <w:r w:rsidRPr="001B6E4D">
        <w:rPr>
          <w:rFonts w:ascii="標楷體" w:eastAsia="標楷體" w:hAnsi="標楷體" w:hint="eastAsia"/>
          <w:b/>
          <w:color w:val="000000"/>
          <w:sz w:val="32"/>
          <w:szCs w:val="32"/>
        </w:rPr>
        <w:t>張</w:t>
      </w:r>
      <w:r w:rsidRPr="001B6E4D">
        <w:rPr>
          <w:rFonts w:ascii="標楷體" w:eastAsia="標楷體" w:hAnsi="標楷體"/>
          <w:b/>
          <w:color w:val="000000"/>
          <w:sz w:val="32"/>
          <w:szCs w:val="32"/>
        </w:rPr>
        <w:t>委員</w:t>
      </w:r>
      <w:r w:rsidRPr="001B6E4D">
        <w:rPr>
          <w:rFonts w:ascii="標楷體" w:eastAsia="標楷體" w:hAnsi="標楷體" w:hint="eastAsia"/>
          <w:b/>
          <w:color w:val="000000"/>
          <w:sz w:val="32"/>
          <w:szCs w:val="32"/>
        </w:rPr>
        <w:t>雅</w:t>
      </w:r>
      <w:r w:rsidRPr="001B6E4D">
        <w:rPr>
          <w:rFonts w:ascii="標楷體" w:eastAsia="標楷體" w:hAnsi="標楷體"/>
          <w:b/>
          <w:color w:val="000000"/>
          <w:sz w:val="32"/>
          <w:szCs w:val="32"/>
        </w:rPr>
        <w:t>琳：</w:t>
      </w:r>
    </w:p>
    <w:p w14:paraId="055AC3D1"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還有其他委員辦公室要提問嗎？都沒有我再補充一個問題，因為現在有四個科，哪一個科出去後的就業率是比較高的？因為之前也關注一個問題，就是可能離開之後還是再犯，那有沒有哪一個科，有沒有類似的統計或追蹤，知道離開之後哪一種類科的學生比較不容易再犯，真的在社會上面穩定就業的？</w:t>
      </w:r>
    </w:p>
    <w:p w14:paraId="0616E89E"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品中學郭校長宗</w:t>
      </w:r>
      <w:proofErr w:type="gramStart"/>
      <w:r w:rsidRPr="001B6E4D">
        <w:rPr>
          <w:rFonts w:ascii="標楷體" w:eastAsia="標楷體" w:hAnsi="標楷體" w:hint="eastAsia"/>
          <w:b/>
          <w:color w:val="000000"/>
          <w:sz w:val="32"/>
          <w:szCs w:val="32"/>
        </w:rPr>
        <w:t>裕</w:t>
      </w:r>
      <w:proofErr w:type="gramEnd"/>
      <w:r w:rsidRPr="001B6E4D">
        <w:rPr>
          <w:rFonts w:ascii="標楷體" w:eastAsia="標楷體" w:hAnsi="標楷體" w:hint="eastAsia"/>
          <w:b/>
          <w:color w:val="000000"/>
          <w:sz w:val="32"/>
          <w:szCs w:val="32"/>
        </w:rPr>
        <w:t>：</w:t>
      </w:r>
    </w:p>
    <w:p w14:paraId="37E6B803"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我想先謝謝委員的關心，剛才提到幾個問</w:t>
      </w:r>
      <w:r w:rsidRPr="001B6E4D">
        <w:rPr>
          <w:rFonts w:ascii="標楷體" w:eastAsia="標楷體" w:hAnsi="標楷體"/>
          <w:color w:val="000000"/>
          <w:sz w:val="32"/>
          <w:szCs w:val="32"/>
        </w:rPr>
        <w:t>題</w:t>
      </w:r>
      <w:r w:rsidRPr="001B6E4D">
        <w:rPr>
          <w:rFonts w:ascii="標楷體" w:eastAsia="標楷體" w:hAnsi="標楷體" w:hint="eastAsia"/>
          <w:color w:val="000000"/>
          <w:sz w:val="32"/>
          <w:szCs w:val="32"/>
        </w:rPr>
        <w:t>我來回應，如果漏掉再幫我補充。第一個關於人力資源的部分，因為學校的人力基本上就是有一定的額度，老師多少是</w:t>
      </w:r>
      <w:r w:rsidRPr="001B6E4D">
        <w:rPr>
          <w:rFonts w:ascii="標楷體" w:eastAsia="標楷體" w:hAnsi="標楷體"/>
          <w:color w:val="000000"/>
          <w:sz w:val="32"/>
          <w:szCs w:val="32"/>
        </w:rPr>
        <w:t>固定的</w:t>
      </w:r>
      <w:r w:rsidRPr="001B6E4D">
        <w:rPr>
          <w:rFonts w:ascii="標楷體" w:eastAsia="標楷體" w:hAnsi="標楷體" w:hint="eastAsia"/>
          <w:color w:val="000000"/>
          <w:sz w:val="32"/>
          <w:szCs w:val="32"/>
        </w:rPr>
        <w:t>，</w:t>
      </w:r>
      <w:r w:rsidRPr="001B6E4D">
        <w:rPr>
          <w:rFonts w:ascii="標楷體" w:eastAsia="標楷體" w:hAnsi="標楷體"/>
          <w:color w:val="000000"/>
          <w:sz w:val="32"/>
          <w:szCs w:val="32"/>
        </w:rPr>
        <w:t>但</w:t>
      </w:r>
      <w:r w:rsidRPr="001B6E4D">
        <w:rPr>
          <w:rFonts w:ascii="標楷體" w:eastAsia="標楷體" w:hAnsi="標楷體" w:hint="eastAsia"/>
          <w:color w:val="000000"/>
          <w:sz w:val="32"/>
          <w:szCs w:val="32"/>
        </w:rPr>
        <w:t>學校這邊最擔心的就是學</w:t>
      </w:r>
      <w:r w:rsidRPr="001B6E4D">
        <w:rPr>
          <w:rFonts w:ascii="標楷體" w:eastAsia="標楷體" w:hAnsi="標楷體"/>
          <w:color w:val="000000"/>
          <w:sz w:val="32"/>
          <w:szCs w:val="32"/>
        </w:rPr>
        <w:t>生</w:t>
      </w:r>
      <w:r w:rsidRPr="001B6E4D">
        <w:rPr>
          <w:rFonts w:ascii="標楷體" w:eastAsia="標楷體" w:hAnsi="標楷體" w:hint="eastAsia"/>
          <w:color w:val="000000"/>
          <w:sz w:val="32"/>
          <w:szCs w:val="32"/>
        </w:rPr>
        <w:t>突然間增加，包括一般教師、心理師、社工師或特教老師，以目前的現況是還可以支撐，但就怕今天來了一個特殊的孩子，造</w:t>
      </w:r>
      <w:r w:rsidRPr="001B6E4D">
        <w:rPr>
          <w:rFonts w:ascii="標楷體" w:eastAsia="標楷體" w:hAnsi="標楷體"/>
          <w:color w:val="000000"/>
          <w:sz w:val="32"/>
          <w:szCs w:val="32"/>
        </w:rPr>
        <w:t>成</w:t>
      </w:r>
      <w:r w:rsidRPr="001B6E4D">
        <w:rPr>
          <w:rFonts w:ascii="標楷體" w:eastAsia="標楷體" w:hAnsi="標楷體" w:hint="eastAsia"/>
          <w:color w:val="000000"/>
          <w:sz w:val="32"/>
          <w:szCs w:val="32"/>
        </w:rPr>
        <w:t>我們要聚集教訓輔各方面的人力一起進來，對原本大家就滿載負擔的時候問題會比較大，但是我們又</w:t>
      </w:r>
      <w:r w:rsidRPr="001B6E4D">
        <w:rPr>
          <w:rFonts w:ascii="標楷體" w:eastAsia="標楷體" w:hAnsi="標楷體" w:hint="eastAsia"/>
          <w:color w:val="000000"/>
          <w:sz w:val="32"/>
          <w:szCs w:val="32"/>
        </w:rPr>
        <w:lastRenderedPageBreak/>
        <w:t>沒辦法突然增加人力，所以學校遭遇人力資源最大的問題就突然來特殊的孩</w:t>
      </w:r>
      <w:r w:rsidRPr="001B6E4D">
        <w:rPr>
          <w:rFonts w:ascii="標楷體" w:eastAsia="標楷體" w:hAnsi="標楷體"/>
          <w:color w:val="000000"/>
          <w:sz w:val="32"/>
          <w:szCs w:val="32"/>
        </w:rPr>
        <w:t>子，</w:t>
      </w:r>
      <w:r w:rsidRPr="001B6E4D">
        <w:rPr>
          <w:rFonts w:ascii="標楷體" w:eastAsia="標楷體" w:hAnsi="標楷體" w:hint="eastAsia"/>
          <w:color w:val="000000"/>
          <w:sz w:val="32"/>
          <w:szCs w:val="32"/>
        </w:rPr>
        <w:t>例</w:t>
      </w:r>
      <w:r w:rsidRPr="001B6E4D">
        <w:rPr>
          <w:rFonts w:ascii="標楷體" w:eastAsia="標楷體" w:hAnsi="標楷體"/>
          <w:color w:val="000000"/>
          <w:sz w:val="32"/>
          <w:szCs w:val="32"/>
        </w:rPr>
        <w:t>如</w:t>
      </w:r>
      <w:proofErr w:type="gramStart"/>
      <w:r w:rsidRPr="001B6E4D">
        <w:rPr>
          <w:rFonts w:ascii="標楷體" w:eastAsia="標楷體" w:hAnsi="標楷體" w:hint="eastAsia"/>
          <w:color w:val="000000"/>
          <w:sz w:val="32"/>
          <w:szCs w:val="32"/>
        </w:rPr>
        <w:t>特教生或者</w:t>
      </w:r>
      <w:proofErr w:type="gramEnd"/>
      <w:r w:rsidRPr="001B6E4D">
        <w:rPr>
          <w:rFonts w:ascii="標楷體" w:eastAsia="標楷體" w:hAnsi="標楷體" w:hint="eastAsia"/>
          <w:color w:val="000000"/>
          <w:sz w:val="32"/>
          <w:szCs w:val="32"/>
        </w:rPr>
        <w:t>是情緒障礙等</w:t>
      </w:r>
      <w:r w:rsidRPr="001B6E4D">
        <w:rPr>
          <w:rFonts w:ascii="標楷體" w:eastAsia="標楷體" w:hAnsi="標楷體"/>
          <w:color w:val="000000"/>
          <w:sz w:val="32"/>
          <w:szCs w:val="32"/>
        </w:rPr>
        <w:t>，</w:t>
      </w:r>
      <w:r w:rsidRPr="001B6E4D">
        <w:rPr>
          <w:rFonts w:ascii="標楷體" w:eastAsia="標楷體" w:hAnsi="標楷體" w:hint="eastAsia"/>
          <w:color w:val="000000"/>
          <w:sz w:val="32"/>
          <w:szCs w:val="32"/>
        </w:rPr>
        <w:t>而</w:t>
      </w:r>
      <w:r w:rsidRPr="001B6E4D">
        <w:rPr>
          <w:rFonts w:ascii="標楷體" w:eastAsia="標楷體" w:hAnsi="標楷體"/>
          <w:color w:val="000000"/>
          <w:sz w:val="32"/>
          <w:szCs w:val="32"/>
        </w:rPr>
        <w:t>有些</w:t>
      </w:r>
      <w:r w:rsidRPr="001B6E4D">
        <w:rPr>
          <w:rFonts w:ascii="標楷體" w:eastAsia="標楷體" w:hAnsi="標楷體" w:hint="eastAsia"/>
          <w:color w:val="000000"/>
          <w:sz w:val="32"/>
          <w:szCs w:val="32"/>
        </w:rPr>
        <w:t>孩</w:t>
      </w:r>
      <w:r w:rsidRPr="001B6E4D">
        <w:rPr>
          <w:rFonts w:ascii="標楷體" w:eastAsia="標楷體" w:hAnsi="標楷體"/>
          <w:color w:val="000000"/>
          <w:sz w:val="32"/>
          <w:szCs w:val="32"/>
        </w:rPr>
        <w:t>子</w:t>
      </w:r>
      <w:r w:rsidRPr="001B6E4D">
        <w:rPr>
          <w:rFonts w:ascii="標楷體" w:eastAsia="標楷體" w:hAnsi="標楷體" w:hint="eastAsia"/>
          <w:color w:val="000000"/>
          <w:sz w:val="32"/>
          <w:szCs w:val="32"/>
        </w:rPr>
        <w:t>不見得有特教身分，但他也有</w:t>
      </w:r>
      <w:r w:rsidRPr="001B6E4D">
        <w:rPr>
          <w:rFonts w:ascii="標楷體" w:eastAsia="標楷體" w:hAnsi="標楷體"/>
          <w:color w:val="000000"/>
          <w:sz w:val="32"/>
          <w:szCs w:val="32"/>
        </w:rPr>
        <w:t>情緒障礙</w:t>
      </w:r>
      <w:r w:rsidRPr="001B6E4D">
        <w:rPr>
          <w:rFonts w:ascii="標楷體" w:eastAsia="標楷體" w:hAnsi="標楷體" w:hint="eastAsia"/>
          <w:color w:val="000000"/>
          <w:sz w:val="32"/>
          <w:szCs w:val="32"/>
        </w:rPr>
        <w:t>等情形。</w:t>
      </w:r>
    </w:p>
    <w:p w14:paraId="292E10ED"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立法院張委員雅琳：</w:t>
      </w:r>
    </w:p>
    <w:p w14:paraId="674C12A9"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我知道孩</w:t>
      </w:r>
      <w:r w:rsidRPr="001B6E4D">
        <w:rPr>
          <w:rFonts w:ascii="標楷體" w:eastAsia="標楷體" w:hAnsi="標楷體"/>
          <w:color w:val="000000"/>
          <w:sz w:val="32"/>
          <w:szCs w:val="32"/>
        </w:rPr>
        <w:t>子</w:t>
      </w:r>
      <w:r w:rsidRPr="001B6E4D">
        <w:rPr>
          <w:rFonts w:ascii="標楷體" w:eastAsia="標楷體" w:hAnsi="標楷體" w:hint="eastAsia"/>
          <w:color w:val="000000"/>
          <w:sz w:val="32"/>
          <w:szCs w:val="32"/>
        </w:rPr>
        <w:t>進來的時候會再做一次評估，因為我們很清楚一般進來這裡的孩子通常是比較偏向弱勢，所以可能並沒有意識到有特教的需求，所以並沒有去做特教的評估，所以進來之後學校應該會幫他們做一次這個特教的評估，看看是否需要特教的資源？流程上面是這樣嗎？</w:t>
      </w:r>
    </w:p>
    <w:p w14:paraId="6C74D0EE"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品中學郭校長宗</w:t>
      </w:r>
      <w:proofErr w:type="gramStart"/>
      <w:r w:rsidRPr="001B6E4D">
        <w:rPr>
          <w:rFonts w:ascii="標楷體" w:eastAsia="標楷體" w:hAnsi="標楷體" w:hint="eastAsia"/>
          <w:b/>
          <w:color w:val="000000"/>
          <w:sz w:val="32"/>
          <w:szCs w:val="32"/>
        </w:rPr>
        <w:t>裕</w:t>
      </w:r>
      <w:proofErr w:type="gramEnd"/>
      <w:r w:rsidRPr="001B6E4D">
        <w:rPr>
          <w:rFonts w:ascii="標楷體" w:eastAsia="標楷體" w:hAnsi="標楷體" w:hint="eastAsia"/>
          <w:b/>
          <w:color w:val="000000"/>
          <w:sz w:val="32"/>
          <w:szCs w:val="32"/>
        </w:rPr>
        <w:t>：</w:t>
      </w:r>
    </w:p>
    <w:p w14:paraId="58803E1C"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流程上我補充一下，應該說進來後老師們會持續去觀察孩子有沒有這樣子的過去，大部分孩子就算過去有，他因為離</w:t>
      </w:r>
      <w:r w:rsidRPr="001B6E4D">
        <w:rPr>
          <w:rFonts w:ascii="標楷體" w:eastAsia="標楷體" w:hAnsi="標楷體"/>
          <w:color w:val="000000"/>
          <w:sz w:val="32"/>
          <w:szCs w:val="32"/>
        </w:rPr>
        <w:t>開</w:t>
      </w:r>
      <w:r w:rsidRPr="001B6E4D">
        <w:rPr>
          <w:rFonts w:ascii="標楷體" w:eastAsia="標楷體" w:hAnsi="標楷體" w:hint="eastAsia"/>
          <w:color w:val="000000"/>
          <w:sz w:val="32"/>
          <w:szCs w:val="32"/>
        </w:rPr>
        <w:t>學校很</w:t>
      </w:r>
      <w:r w:rsidRPr="001B6E4D">
        <w:rPr>
          <w:rFonts w:ascii="標楷體" w:eastAsia="標楷體" w:hAnsi="標楷體"/>
          <w:color w:val="000000"/>
          <w:sz w:val="32"/>
          <w:szCs w:val="32"/>
        </w:rPr>
        <w:t>多年</w:t>
      </w:r>
      <w:r w:rsidRPr="001B6E4D">
        <w:rPr>
          <w:rFonts w:ascii="標楷體" w:eastAsia="標楷體" w:hAnsi="標楷體" w:hint="eastAsia"/>
          <w:color w:val="000000"/>
          <w:sz w:val="32"/>
          <w:szCs w:val="32"/>
        </w:rPr>
        <w:t>了，所以鑑定的效力就會消失，當我們老師發現有這樣的情形就會去詢問學生，因為送鑑定必須要學生同意、家長同意，但是部分的孩子滿18歲後不見得願意接受鑑定，所以他雖然</w:t>
      </w:r>
      <w:proofErr w:type="gramStart"/>
      <w:r w:rsidRPr="001B6E4D">
        <w:rPr>
          <w:rFonts w:ascii="標楷體" w:eastAsia="標楷體" w:hAnsi="標楷體" w:hint="eastAsia"/>
          <w:color w:val="000000"/>
          <w:sz w:val="32"/>
          <w:szCs w:val="32"/>
        </w:rPr>
        <w:t>有</w:t>
      </w:r>
      <w:r w:rsidRPr="001B6E4D">
        <w:rPr>
          <w:rFonts w:ascii="標楷體" w:eastAsia="標楷體" w:hAnsi="標楷體"/>
          <w:color w:val="000000"/>
          <w:sz w:val="32"/>
          <w:szCs w:val="32"/>
        </w:rPr>
        <w:t>這</w:t>
      </w:r>
      <w:r w:rsidRPr="001B6E4D">
        <w:rPr>
          <w:rFonts w:ascii="標楷體" w:eastAsia="標楷體" w:hAnsi="標楷體" w:hint="eastAsia"/>
          <w:color w:val="000000"/>
          <w:sz w:val="32"/>
          <w:szCs w:val="32"/>
        </w:rPr>
        <w:t>態樣</w:t>
      </w:r>
      <w:proofErr w:type="gramEnd"/>
      <w:r w:rsidRPr="001B6E4D">
        <w:rPr>
          <w:rFonts w:ascii="標楷體" w:eastAsia="標楷體" w:hAnsi="標楷體" w:hint="eastAsia"/>
          <w:color w:val="000000"/>
          <w:sz w:val="32"/>
          <w:szCs w:val="32"/>
        </w:rPr>
        <w:t>，但是沒辦法取得鑑定的結果，因為這牽涉到他必須願意主動接受才行。</w:t>
      </w:r>
    </w:p>
    <w:p w14:paraId="4ADB978E"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以學校來講當然在編制上的心理師、社工師、特教老師，可能在北部所以都能夠在員額</w:t>
      </w:r>
      <w:proofErr w:type="gramStart"/>
      <w:r w:rsidRPr="001B6E4D">
        <w:rPr>
          <w:rFonts w:ascii="標楷體" w:eastAsia="標楷體" w:hAnsi="標楷體" w:hint="eastAsia"/>
          <w:color w:val="000000"/>
          <w:sz w:val="32"/>
          <w:szCs w:val="32"/>
        </w:rPr>
        <w:t>之內聘足</w:t>
      </w:r>
      <w:proofErr w:type="gramEnd"/>
      <w:r w:rsidRPr="001B6E4D">
        <w:rPr>
          <w:rFonts w:ascii="標楷體" w:eastAsia="標楷體" w:hAnsi="標楷體" w:hint="eastAsia"/>
          <w:color w:val="000000"/>
          <w:sz w:val="32"/>
          <w:szCs w:val="32"/>
        </w:rPr>
        <w:t>，但是員額的</w:t>
      </w:r>
      <w:proofErr w:type="gramStart"/>
      <w:r w:rsidRPr="001B6E4D">
        <w:rPr>
          <w:rFonts w:ascii="標楷體" w:eastAsia="標楷體" w:hAnsi="標楷體" w:hint="eastAsia"/>
          <w:color w:val="000000"/>
          <w:sz w:val="32"/>
          <w:szCs w:val="32"/>
        </w:rPr>
        <w:t>聘足跟</w:t>
      </w:r>
      <w:proofErr w:type="gramEnd"/>
      <w:r w:rsidRPr="001B6E4D">
        <w:rPr>
          <w:rFonts w:ascii="標楷體" w:eastAsia="標楷體" w:hAnsi="標楷體" w:hint="eastAsia"/>
          <w:color w:val="000000"/>
          <w:sz w:val="32"/>
          <w:szCs w:val="32"/>
        </w:rPr>
        <w:t>學校整個體制的運作基本上都是在臨界的狀態，所以如果有特殊的孩子進來，那大家必須要聚集能量時，對已在臨界的狀況就會受到很大的影響。因為這邊的孩子都是共同生活，所以當一個地方有騷動時，很容易引起其他同學的一些關心，這都是同仁的一個壓力。</w:t>
      </w:r>
    </w:p>
    <w:p w14:paraId="65520531"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lastRenderedPageBreak/>
        <w:t>剛才提到學生的案由有很多種，基本上學校有四大處遇隨時都在做，包括毒品、</w:t>
      </w:r>
      <w:proofErr w:type="gramStart"/>
      <w:r w:rsidRPr="001B6E4D">
        <w:rPr>
          <w:rFonts w:ascii="標楷體" w:eastAsia="標楷體" w:hAnsi="標楷體" w:hint="eastAsia"/>
          <w:color w:val="000000"/>
          <w:sz w:val="32"/>
          <w:szCs w:val="32"/>
        </w:rPr>
        <w:t>酒駕、妨</w:t>
      </w:r>
      <w:proofErr w:type="gramEnd"/>
      <w:r w:rsidRPr="001B6E4D">
        <w:rPr>
          <w:rFonts w:ascii="標楷體" w:eastAsia="標楷體" w:hAnsi="標楷體" w:hint="eastAsia"/>
          <w:color w:val="000000"/>
          <w:sz w:val="32"/>
          <w:szCs w:val="32"/>
        </w:rPr>
        <w:t>性及自</w:t>
      </w:r>
      <w:r w:rsidRPr="001B6E4D">
        <w:rPr>
          <w:rFonts w:ascii="標楷體" w:eastAsia="標楷體" w:hAnsi="標楷體"/>
          <w:color w:val="000000"/>
          <w:sz w:val="32"/>
          <w:szCs w:val="32"/>
        </w:rPr>
        <w:t>殺</w:t>
      </w:r>
      <w:r w:rsidRPr="001B6E4D">
        <w:rPr>
          <w:rFonts w:ascii="標楷體" w:eastAsia="標楷體" w:hAnsi="標楷體" w:hint="eastAsia"/>
          <w:color w:val="000000"/>
          <w:sz w:val="32"/>
          <w:szCs w:val="32"/>
        </w:rPr>
        <w:t>，這四</w:t>
      </w:r>
      <w:proofErr w:type="gramStart"/>
      <w:r w:rsidRPr="001B6E4D">
        <w:rPr>
          <w:rFonts w:ascii="標楷體" w:eastAsia="標楷體" w:hAnsi="標楷體" w:hint="eastAsia"/>
          <w:color w:val="000000"/>
          <w:sz w:val="32"/>
          <w:szCs w:val="32"/>
        </w:rPr>
        <w:t>個處遇都有</w:t>
      </w:r>
      <w:proofErr w:type="gramEnd"/>
      <w:r w:rsidRPr="001B6E4D">
        <w:rPr>
          <w:rFonts w:ascii="標楷體" w:eastAsia="標楷體" w:hAnsi="標楷體" w:hint="eastAsia"/>
          <w:color w:val="000000"/>
          <w:sz w:val="32"/>
          <w:szCs w:val="32"/>
        </w:rPr>
        <w:t>固定的委員會在進行，也有外部的心理師等</w:t>
      </w:r>
      <w:r w:rsidRPr="001B6E4D">
        <w:rPr>
          <w:rFonts w:ascii="標楷體" w:eastAsia="標楷體" w:hAnsi="標楷體"/>
          <w:color w:val="000000"/>
          <w:sz w:val="32"/>
          <w:szCs w:val="32"/>
        </w:rPr>
        <w:t>等</w:t>
      </w:r>
      <w:r w:rsidRPr="001B6E4D">
        <w:rPr>
          <w:rFonts w:ascii="標楷體" w:eastAsia="標楷體" w:hAnsi="標楷體" w:hint="eastAsia"/>
          <w:color w:val="000000"/>
          <w:sz w:val="32"/>
          <w:szCs w:val="32"/>
        </w:rPr>
        <w:t>，這四</w:t>
      </w:r>
      <w:proofErr w:type="gramStart"/>
      <w:r w:rsidRPr="001B6E4D">
        <w:rPr>
          <w:rFonts w:ascii="標楷體" w:eastAsia="標楷體" w:hAnsi="標楷體" w:hint="eastAsia"/>
          <w:color w:val="000000"/>
          <w:sz w:val="32"/>
          <w:szCs w:val="32"/>
        </w:rPr>
        <w:t>個處遇都固定</w:t>
      </w:r>
      <w:proofErr w:type="gramEnd"/>
      <w:r w:rsidRPr="001B6E4D">
        <w:rPr>
          <w:rFonts w:ascii="標楷體" w:eastAsia="標楷體" w:hAnsi="標楷體" w:hint="eastAsia"/>
          <w:color w:val="000000"/>
          <w:sz w:val="32"/>
          <w:szCs w:val="32"/>
        </w:rPr>
        <w:t>在做，如果遇到比較特殊的個案會</w:t>
      </w:r>
      <w:r w:rsidRPr="001B6E4D">
        <w:rPr>
          <w:rFonts w:ascii="標楷體" w:eastAsia="標楷體" w:hAnsi="標楷體"/>
          <w:color w:val="000000"/>
          <w:sz w:val="32"/>
          <w:szCs w:val="32"/>
        </w:rPr>
        <w:t>另外</w:t>
      </w:r>
      <w:r w:rsidRPr="001B6E4D">
        <w:rPr>
          <w:rFonts w:ascii="標楷體" w:eastAsia="標楷體" w:hAnsi="標楷體" w:hint="eastAsia"/>
          <w:color w:val="000000"/>
          <w:sz w:val="32"/>
          <w:szCs w:val="32"/>
        </w:rPr>
        <w:t>開設，所以我也提到孩子的來源有這麼多樣性，我們如何去應對，基本上是</w:t>
      </w:r>
      <w:r w:rsidRPr="001B6E4D">
        <w:rPr>
          <w:rFonts w:ascii="標楷體" w:eastAsia="標楷體" w:hAnsi="標楷體"/>
          <w:color w:val="000000"/>
          <w:sz w:val="32"/>
          <w:szCs w:val="32"/>
        </w:rPr>
        <w:t>這</w:t>
      </w:r>
      <w:r w:rsidRPr="001B6E4D">
        <w:rPr>
          <w:rFonts w:ascii="標楷體" w:eastAsia="標楷體" w:hAnsi="標楷體" w:hint="eastAsia"/>
          <w:color w:val="000000"/>
          <w:sz w:val="32"/>
          <w:szCs w:val="32"/>
        </w:rPr>
        <w:t>四</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處</w:t>
      </w:r>
      <w:r w:rsidRPr="001B6E4D">
        <w:rPr>
          <w:rFonts w:ascii="標楷體" w:eastAsia="標楷體" w:hAnsi="標楷體"/>
          <w:color w:val="000000"/>
          <w:sz w:val="32"/>
          <w:szCs w:val="32"/>
        </w:rPr>
        <w:t>遇</w:t>
      </w:r>
      <w:r w:rsidRPr="001B6E4D">
        <w:rPr>
          <w:rFonts w:ascii="標楷體" w:eastAsia="標楷體" w:hAnsi="標楷體" w:hint="eastAsia"/>
          <w:color w:val="000000"/>
          <w:sz w:val="32"/>
          <w:szCs w:val="32"/>
        </w:rPr>
        <w:t>常態的運作，透過外部的資源甚至外部的專家會一直持續進行，因為這四</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發生的機率很多，</w:t>
      </w:r>
      <w:r w:rsidRPr="001B6E4D">
        <w:rPr>
          <w:rFonts w:ascii="標楷體" w:eastAsia="標楷體" w:hAnsi="標楷體"/>
          <w:color w:val="000000"/>
          <w:sz w:val="32"/>
          <w:szCs w:val="32"/>
        </w:rPr>
        <w:t>在</w:t>
      </w:r>
      <w:r w:rsidRPr="001B6E4D">
        <w:rPr>
          <w:rFonts w:ascii="標楷體" w:eastAsia="標楷體" w:hAnsi="標楷體" w:hint="eastAsia"/>
          <w:color w:val="000000"/>
          <w:sz w:val="32"/>
          <w:szCs w:val="32"/>
        </w:rPr>
        <w:t>這四</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處遇之外的我們就會專案來進行交由輔導老師，我們學校大概每</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學生都是二級開設，再由輔導老師評估，提升到三級就會有心理師，包</w:t>
      </w:r>
      <w:r w:rsidRPr="001B6E4D">
        <w:rPr>
          <w:rFonts w:ascii="標楷體" w:eastAsia="標楷體" w:hAnsi="標楷體"/>
          <w:color w:val="000000"/>
          <w:sz w:val="32"/>
          <w:szCs w:val="32"/>
        </w:rPr>
        <w:t>含</w:t>
      </w:r>
      <w:r w:rsidRPr="001B6E4D">
        <w:rPr>
          <w:rFonts w:ascii="標楷體" w:eastAsia="標楷體" w:hAnsi="標楷體" w:hint="eastAsia"/>
          <w:color w:val="000000"/>
          <w:sz w:val="32"/>
          <w:szCs w:val="32"/>
        </w:rPr>
        <w:t>專職外部及</w:t>
      </w:r>
      <w:r w:rsidRPr="001B6E4D">
        <w:rPr>
          <w:rFonts w:ascii="標楷體" w:eastAsia="標楷體" w:hAnsi="標楷體"/>
          <w:color w:val="000000"/>
          <w:sz w:val="32"/>
          <w:szCs w:val="32"/>
        </w:rPr>
        <w:t>內部</w:t>
      </w:r>
      <w:r w:rsidRPr="001B6E4D">
        <w:rPr>
          <w:rFonts w:ascii="標楷體" w:eastAsia="標楷體" w:hAnsi="標楷體" w:hint="eastAsia"/>
          <w:color w:val="000000"/>
          <w:sz w:val="32"/>
          <w:szCs w:val="32"/>
        </w:rPr>
        <w:t>的心理師來介入，目前大概30幾個開案，差不多10餘％左右。</w:t>
      </w:r>
    </w:p>
    <w:p w14:paraId="169E0424"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關於學校老師的流動率，平心而論我們老師的流動率算來相對穩定，</w:t>
      </w:r>
      <w:r w:rsidRPr="001B6E4D">
        <w:rPr>
          <w:rFonts w:ascii="標楷體" w:eastAsia="標楷體" w:hAnsi="標楷體"/>
          <w:color w:val="000000"/>
          <w:sz w:val="32"/>
          <w:szCs w:val="32"/>
        </w:rPr>
        <w:t>雖然</w:t>
      </w:r>
      <w:r w:rsidRPr="001B6E4D">
        <w:rPr>
          <w:rFonts w:ascii="標楷體" w:eastAsia="標楷體" w:hAnsi="標楷體" w:hint="eastAsia"/>
          <w:color w:val="000000"/>
          <w:sz w:val="32"/>
          <w:szCs w:val="32"/>
        </w:rPr>
        <w:t>一定會有老師離開，但是以我們</w:t>
      </w:r>
      <w:proofErr w:type="gramStart"/>
      <w:r w:rsidRPr="001B6E4D">
        <w:rPr>
          <w:rFonts w:ascii="標楷體" w:eastAsia="標楷體" w:hAnsi="標楷體" w:hint="eastAsia"/>
          <w:color w:val="000000"/>
          <w:sz w:val="32"/>
          <w:szCs w:val="32"/>
        </w:rPr>
        <w:t>來講算相對</w:t>
      </w:r>
      <w:proofErr w:type="gramEnd"/>
      <w:r w:rsidRPr="001B6E4D">
        <w:rPr>
          <w:rFonts w:ascii="標楷體" w:eastAsia="標楷體" w:hAnsi="標楷體" w:hint="eastAsia"/>
          <w:color w:val="000000"/>
          <w:sz w:val="32"/>
          <w:szCs w:val="32"/>
        </w:rPr>
        <w:t>穩定。</w:t>
      </w:r>
    </w:p>
    <w:p w14:paraId="47119CAA"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關於性別平等委員會的部分？我先初步說</w:t>
      </w:r>
      <w:r w:rsidRPr="001B6E4D">
        <w:rPr>
          <w:rFonts w:ascii="標楷體" w:eastAsia="標楷體" w:hAnsi="標楷體"/>
          <w:color w:val="000000"/>
          <w:sz w:val="32"/>
          <w:szCs w:val="32"/>
        </w:rPr>
        <w:t>明</w:t>
      </w:r>
      <w:r w:rsidRPr="001B6E4D">
        <w:rPr>
          <w:rFonts w:ascii="標楷體" w:eastAsia="標楷體" w:hAnsi="標楷體" w:hint="eastAsia"/>
          <w:color w:val="000000"/>
          <w:sz w:val="32"/>
          <w:szCs w:val="32"/>
        </w:rPr>
        <w:t>，因為我是性平委員會的召集人，基本上學校的窗口是設在學</w:t>
      </w:r>
      <w:proofErr w:type="gramStart"/>
      <w:r w:rsidRPr="001B6E4D">
        <w:rPr>
          <w:rFonts w:ascii="標楷體" w:eastAsia="標楷體" w:hAnsi="標楷體" w:hint="eastAsia"/>
          <w:color w:val="000000"/>
          <w:sz w:val="32"/>
          <w:szCs w:val="32"/>
        </w:rPr>
        <w:t>務</w:t>
      </w:r>
      <w:proofErr w:type="gramEnd"/>
      <w:r w:rsidRPr="001B6E4D">
        <w:rPr>
          <w:rFonts w:ascii="標楷體" w:eastAsia="標楷體" w:hAnsi="標楷體" w:hint="eastAsia"/>
          <w:color w:val="000000"/>
          <w:sz w:val="32"/>
          <w:szCs w:val="32"/>
        </w:rPr>
        <w:t>處，學</w:t>
      </w:r>
      <w:proofErr w:type="gramStart"/>
      <w:r w:rsidRPr="001B6E4D">
        <w:rPr>
          <w:rFonts w:ascii="標楷體" w:eastAsia="標楷體" w:hAnsi="標楷體" w:hint="eastAsia"/>
          <w:color w:val="000000"/>
          <w:sz w:val="32"/>
          <w:szCs w:val="32"/>
        </w:rPr>
        <w:t>務</w:t>
      </w:r>
      <w:proofErr w:type="gramEnd"/>
      <w:r w:rsidRPr="001B6E4D">
        <w:rPr>
          <w:rFonts w:ascii="標楷體" w:eastAsia="標楷體" w:hAnsi="標楷體" w:hint="eastAsia"/>
          <w:color w:val="000000"/>
          <w:sz w:val="32"/>
          <w:szCs w:val="32"/>
        </w:rPr>
        <w:t>處有專責的人員來負責所有的訊息收集，其實每一位老師我們都是訊息收集的對象，只要有性</w:t>
      </w:r>
      <w:r w:rsidRPr="001B6E4D">
        <w:rPr>
          <w:rFonts w:ascii="標楷體" w:eastAsia="標楷體" w:hAnsi="標楷體"/>
          <w:color w:val="000000"/>
          <w:sz w:val="32"/>
          <w:szCs w:val="32"/>
        </w:rPr>
        <w:t>平案件</w:t>
      </w:r>
      <w:r w:rsidRPr="001B6E4D">
        <w:rPr>
          <w:rFonts w:ascii="標楷體" w:eastAsia="標楷體" w:hAnsi="標楷體" w:hint="eastAsia"/>
          <w:color w:val="000000"/>
          <w:sz w:val="32"/>
          <w:szCs w:val="32"/>
        </w:rPr>
        <w:t>我們一定是按照教育部規範的一個時間點來通報，這跟教育部的規範的性平是一樣的，所以程序上面我們就會去召開性</w:t>
      </w:r>
      <w:r w:rsidRPr="001B6E4D">
        <w:rPr>
          <w:rFonts w:ascii="標楷體" w:eastAsia="標楷體" w:hAnsi="標楷體"/>
          <w:color w:val="000000"/>
          <w:sz w:val="32"/>
          <w:szCs w:val="32"/>
        </w:rPr>
        <w:t>平</w:t>
      </w:r>
      <w:r w:rsidRPr="001B6E4D">
        <w:rPr>
          <w:rFonts w:ascii="標楷體" w:eastAsia="標楷體" w:hAnsi="標楷體" w:hint="eastAsia"/>
          <w:color w:val="000000"/>
          <w:sz w:val="32"/>
          <w:szCs w:val="32"/>
        </w:rPr>
        <w:t>委員會，委員會討</w:t>
      </w:r>
      <w:r w:rsidRPr="001B6E4D">
        <w:rPr>
          <w:rFonts w:ascii="標楷體" w:eastAsia="標楷體" w:hAnsi="標楷體"/>
          <w:color w:val="000000"/>
          <w:sz w:val="32"/>
          <w:szCs w:val="32"/>
        </w:rPr>
        <w:t>論</w:t>
      </w:r>
      <w:r w:rsidRPr="001B6E4D">
        <w:rPr>
          <w:rFonts w:ascii="標楷體" w:eastAsia="標楷體" w:hAnsi="標楷體" w:hint="eastAsia"/>
          <w:color w:val="000000"/>
          <w:sz w:val="32"/>
          <w:szCs w:val="32"/>
        </w:rPr>
        <w:t>到底成不成案？成案的話就必須要組織調查小組，調查小組有需要的時候，就會有外聘的委員進來，所以我們的委員裡面基本上是沒有外聘，這是跟一般學校不一樣的地方，這是從整個立法的精神在考量的。第二</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就是說學校裡面因為監視器很多，基本上在學校裡面監視系統</w:t>
      </w:r>
      <w:proofErr w:type="gramStart"/>
      <w:r w:rsidRPr="001B6E4D">
        <w:rPr>
          <w:rFonts w:ascii="標楷體" w:eastAsia="標楷體" w:hAnsi="標楷體" w:hint="eastAsia"/>
          <w:color w:val="000000"/>
          <w:sz w:val="32"/>
          <w:szCs w:val="32"/>
        </w:rPr>
        <w:t>一</w:t>
      </w:r>
      <w:proofErr w:type="gramEnd"/>
      <w:r w:rsidRPr="001B6E4D">
        <w:rPr>
          <w:rFonts w:ascii="標楷體" w:eastAsia="標楷體" w:hAnsi="標楷體" w:hint="eastAsia"/>
          <w:color w:val="000000"/>
          <w:sz w:val="32"/>
          <w:szCs w:val="32"/>
        </w:rPr>
        <w:t>調出來，大概行</w:t>
      </w:r>
      <w:r w:rsidRPr="001B6E4D">
        <w:rPr>
          <w:rFonts w:ascii="標楷體" w:eastAsia="標楷體" w:hAnsi="標楷體"/>
          <w:color w:val="000000"/>
          <w:sz w:val="32"/>
          <w:szCs w:val="32"/>
        </w:rPr>
        <w:t>為</w:t>
      </w:r>
      <w:r w:rsidRPr="001B6E4D">
        <w:rPr>
          <w:rFonts w:ascii="標楷體" w:eastAsia="標楷體" w:hAnsi="標楷體" w:hint="eastAsia"/>
          <w:color w:val="000000"/>
          <w:sz w:val="32"/>
          <w:szCs w:val="32"/>
        </w:rPr>
        <w:t>樣態都會非常的</w:t>
      </w:r>
      <w:proofErr w:type="gramStart"/>
      <w:r w:rsidRPr="001B6E4D">
        <w:rPr>
          <w:rFonts w:ascii="標楷體" w:eastAsia="標楷體" w:hAnsi="標楷體" w:hint="eastAsia"/>
          <w:color w:val="000000"/>
          <w:sz w:val="32"/>
          <w:szCs w:val="32"/>
        </w:rPr>
        <w:t>清楚，</w:t>
      </w:r>
      <w:proofErr w:type="gramEnd"/>
      <w:r w:rsidRPr="001B6E4D">
        <w:rPr>
          <w:rFonts w:ascii="標楷體" w:eastAsia="標楷體" w:hAnsi="標楷體" w:hint="eastAsia"/>
          <w:color w:val="000000"/>
          <w:sz w:val="32"/>
          <w:szCs w:val="32"/>
        </w:rPr>
        <w:t>所以少了一般學校要外部</w:t>
      </w:r>
      <w:r w:rsidRPr="001B6E4D">
        <w:rPr>
          <w:rFonts w:ascii="標楷體" w:eastAsia="標楷體" w:hAnsi="標楷體" w:hint="eastAsia"/>
          <w:color w:val="000000"/>
          <w:sz w:val="32"/>
          <w:szCs w:val="32"/>
        </w:rPr>
        <w:lastRenderedPageBreak/>
        <w:t>委員調</w:t>
      </w:r>
      <w:r w:rsidRPr="001B6E4D">
        <w:rPr>
          <w:rFonts w:ascii="標楷體" w:eastAsia="標楷體" w:hAnsi="標楷體"/>
          <w:color w:val="000000"/>
          <w:sz w:val="32"/>
          <w:szCs w:val="32"/>
        </w:rPr>
        <w:t>查</w:t>
      </w:r>
      <w:r w:rsidRPr="001B6E4D">
        <w:rPr>
          <w:rFonts w:ascii="標楷體" w:eastAsia="標楷體" w:hAnsi="標楷體" w:hint="eastAsia"/>
          <w:color w:val="000000"/>
          <w:sz w:val="32"/>
          <w:szCs w:val="32"/>
        </w:rPr>
        <w:t>被遮掩的問題，有需要時監視系統</w:t>
      </w:r>
      <w:proofErr w:type="gramStart"/>
      <w:r w:rsidRPr="001B6E4D">
        <w:rPr>
          <w:rFonts w:ascii="標楷體" w:eastAsia="標楷體" w:hAnsi="標楷體" w:hint="eastAsia"/>
          <w:color w:val="000000"/>
          <w:sz w:val="32"/>
          <w:szCs w:val="32"/>
        </w:rPr>
        <w:t>一</w:t>
      </w:r>
      <w:proofErr w:type="gramEnd"/>
      <w:r w:rsidRPr="001B6E4D">
        <w:rPr>
          <w:rFonts w:ascii="標楷體" w:eastAsia="標楷體" w:hAnsi="標楷體" w:hint="eastAsia"/>
          <w:color w:val="000000"/>
          <w:sz w:val="32"/>
          <w:szCs w:val="32"/>
        </w:rPr>
        <w:t>調出來，不管是校內或是保護官一看就</w:t>
      </w:r>
      <w:r w:rsidRPr="001B6E4D">
        <w:rPr>
          <w:rFonts w:ascii="標楷體" w:eastAsia="標楷體" w:hAnsi="標楷體"/>
          <w:color w:val="000000"/>
          <w:sz w:val="32"/>
          <w:szCs w:val="32"/>
        </w:rPr>
        <w:t>很清楚</w:t>
      </w:r>
      <w:r w:rsidRPr="001B6E4D">
        <w:rPr>
          <w:rFonts w:ascii="標楷體" w:eastAsia="標楷體" w:hAnsi="標楷體" w:hint="eastAsia"/>
          <w:color w:val="000000"/>
          <w:sz w:val="32"/>
          <w:szCs w:val="32"/>
        </w:rPr>
        <w:t>了，</w:t>
      </w:r>
      <w:r w:rsidRPr="001B6E4D">
        <w:rPr>
          <w:rFonts w:ascii="標楷體" w:eastAsia="標楷體" w:hAnsi="標楷體"/>
          <w:color w:val="000000"/>
          <w:sz w:val="32"/>
          <w:szCs w:val="32"/>
        </w:rPr>
        <w:t>另外</w:t>
      </w:r>
      <w:r w:rsidRPr="001B6E4D">
        <w:rPr>
          <w:rFonts w:ascii="標楷體" w:eastAsia="標楷體" w:hAnsi="標楷體" w:hint="eastAsia"/>
          <w:color w:val="000000"/>
          <w:sz w:val="32"/>
          <w:szCs w:val="32"/>
        </w:rPr>
        <w:t>保護官經常會到學校跟孩子們做接觸，也是我們孩子如果有任何狀況最佳的申訴點，所以在整個法規面的規範，學校在執行上是絕對支持的，那關於性平教育的部分，我們現在對於一般學生在上的課程裡有沒有相關的課程規劃或平常教育，我們請公民老師補</w:t>
      </w:r>
      <w:r w:rsidRPr="001B6E4D">
        <w:rPr>
          <w:rFonts w:ascii="標楷體" w:eastAsia="標楷體" w:hAnsi="標楷體"/>
          <w:color w:val="000000"/>
          <w:sz w:val="32"/>
          <w:szCs w:val="32"/>
        </w:rPr>
        <w:t>充說明。</w:t>
      </w:r>
    </w:p>
    <w:p w14:paraId="09B3F975"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品中學游公民教師逸均：</w:t>
      </w:r>
    </w:p>
    <w:p w14:paraId="5875ACDC"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我是學校的公民老師，就我所知性平教育的規劃基本上我們分兩大塊，一塊是教育，就是一般老師上課的課</w:t>
      </w:r>
      <w:r w:rsidRPr="001B6E4D">
        <w:rPr>
          <w:rFonts w:ascii="標楷體" w:eastAsia="標楷體" w:hAnsi="標楷體"/>
          <w:color w:val="000000"/>
          <w:sz w:val="32"/>
          <w:szCs w:val="32"/>
        </w:rPr>
        <w:t>程</w:t>
      </w:r>
      <w:r w:rsidRPr="001B6E4D">
        <w:rPr>
          <w:rFonts w:ascii="標楷體" w:eastAsia="標楷體" w:hAnsi="標楷體" w:hint="eastAsia"/>
          <w:color w:val="000000"/>
          <w:sz w:val="32"/>
          <w:szCs w:val="32"/>
        </w:rPr>
        <w:t>，另一塊是輔導，就留給輔導室說</w:t>
      </w:r>
      <w:r w:rsidRPr="001B6E4D">
        <w:rPr>
          <w:rFonts w:ascii="標楷體" w:eastAsia="標楷體" w:hAnsi="標楷體"/>
          <w:color w:val="000000"/>
          <w:sz w:val="32"/>
          <w:szCs w:val="32"/>
        </w:rPr>
        <w:t>明</w:t>
      </w:r>
      <w:r w:rsidRPr="001B6E4D">
        <w:rPr>
          <w:rFonts w:ascii="標楷體" w:eastAsia="標楷體" w:hAnsi="標楷體" w:hint="eastAsia"/>
          <w:color w:val="000000"/>
          <w:sz w:val="32"/>
          <w:szCs w:val="32"/>
        </w:rPr>
        <w:t>。教育這一塊也分成普通的</w:t>
      </w:r>
      <w:proofErr w:type="gramStart"/>
      <w:r w:rsidRPr="001B6E4D">
        <w:rPr>
          <w:rFonts w:ascii="標楷體" w:eastAsia="標楷體" w:hAnsi="標楷體" w:hint="eastAsia"/>
          <w:color w:val="000000"/>
          <w:sz w:val="32"/>
          <w:szCs w:val="32"/>
        </w:rPr>
        <w:t>班會式的宣導</w:t>
      </w:r>
      <w:proofErr w:type="gramEnd"/>
      <w:r w:rsidRPr="001B6E4D">
        <w:rPr>
          <w:rFonts w:ascii="標楷體" w:eastAsia="標楷體" w:hAnsi="標楷體" w:hint="eastAsia"/>
          <w:color w:val="000000"/>
          <w:sz w:val="32"/>
          <w:szCs w:val="32"/>
        </w:rPr>
        <w:t>，就是針對法</w:t>
      </w:r>
      <w:r w:rsidRPr="001B6E4D">
        <w:rPr>
          <w:rFonts w:ascii="標楷體" w:eastAsia="標楷體" w:hAnsi="標楷體"/>
          <w:color w:val="000000"/>
          <w:sz w:val="32"/>
          <w:szCs w:val="32"/>
        </w:rPr>
        <w:t>令</w:t>
      </w:r>
      <w:r w:rsidRPr="001B6E4D">
        <w:rPr>
          <w:rFonts w:ascii="標楷體" w:eastAsia="標楷體" w:hAnsi="標楷體" w:hint="eastAsia"/>
          <w:color w:val="000000"/>
          <w:sz w:val="32"/>
          <w:szCs w:val="32"/>
        </w:rPr>
        <w:t>，各科老師其實在各種時刻都可以不斷的融入相關的討論，我專責的是公民課，所以性平教育確實會成為我課程上的主軸，甚</w:t>
      </w:r>
      <w:r w:rsidRPr="001B6E4D">
        <w:rPr>
          <w:rFonts w:ascii="標楷體" w:eastAsia="標楷體" w:hAnsi="標楷體"/>
          <w:color w:val="000000"/>
          <w:sz w:val="32"/>
          <w:szCs w:val="32"/>
        </w:rPr>
        <w:t>至</w:t>
      </w:r>
      <w:r w:rsidRPr="001B6E4D">
        <w:rPr>
          <w:rFonts w:ascii="標楷體" w:eastAsia="標楷體" w:hAnsi="標楷體" w:hint="eastAsia"/>
          <w:color w:val="000000"/>
          <w:sz w:val="32"/>
          <w:szCs w:val="32"/>
        </w:rPr>
        <w:t>做得比外面的學校更細緻</w:t>
      </w:r>
      <w:proofErr w:type="gramStart"/>
      <w:r w:rsidRPr="001B6E4D">
        <w:rPr>
          <w:rFonts w:ascii="標楷體" w:eastAsia="標楷體" w:hAnsi="標楷體" w:hint="eastAsia"/>
          <w:color w:val="000000"/>
          <w:sz w:val="32"/>
          <w:szCs w:val="32"/>
        </w:rPr>
        <w:t>或更客製</w:t>
      </w:r>
      <w:proofErr w:type="gramEnd"/>
      <w:r w:rsidRPr="001B6E4D">
        <w:rPr>
          <w:rFonts w:ascii="標楷體" w:eastAsia="標楷體" w:hAnsi="標楷體" w:hint="eastAsia"/>
          <w:color w:val="000000"/>
          <w:sz w:val="32"/>
          <w:szCs w:val="32"/>
        </w:rPr>
        <w:t>，比如以刑法來說，一般學校</w:t>
      </w:r>
      <w:proofErr w:type="gramStart"/>
      <w:r w:rsidRPr="001B6E4D">
        <w:rPr>
          <w:rFonts w:ascii="標楷體" w:eastAsia="標楷體" w:hAnsi="標楷體" w:hint="eastAsia"/>
          <w:color w:val="000000"/>
          <w:sz w:val="32"/>
          <w:szCs w:val="32"/>
        </w:rPr>
        <w:t>公民課談的</w:t>
      </w:r>
      <w:proofErr w:type="gramEnd"/>
      <w:r w:rsidRPr="001B6E4D">
        <w:rPr>
          <w:rFonts w:ascii="標楷體" w:eastAsia="標楷體" w:hAnsi="標楷體" w:hint="eastAsia"/>
          <w:color w:val="000000"/>
          <w:sz w:val="32"/>
          <w:szCs w:val="32"/>
        </w:rPr>
        <w:t>是刑法的一些原理原則或者是程序，但是我最近就花2堂課去談妨害性自主章節的法條，根據構成要件或者是法院案例去做分享，所以勢必是更細緻的，因為我們學校的學生確實性別議題非常多元交織各種狀況，所以從他們附屬的原生家庭可能會延伸到長大之後親密關係或性別關係的問題，公民課也會設計相關的議</w:t>
      </w:r>
      <w:r w:rsidRPr="001B6E4D">
        <w:rPr>
          <w:rFonts w:ascii="標楷體" w:eastAsia="標楷體" w:hAnsi="標楷體"/>
          <w:color w:val="000000"/>
          <w:sz w:val="32"/>
          <w:szCs w:val="32"/>
        </w:rPr>
        <w:t>題</w:t>
      </w:r>
      <w:r w:rsidRPr="001B6E4D">
        <w:rPr>
          <w:rFonts w:ascii="標楷體" w:eastAsia="標楷體" w:hAnsi="標楷體" w:hint="eastAsia"/>
          <w:color w:val="000000"/>
          <w:sz w:val="32"/>
          <w:szCs w:val="32"/>
        </w:rPr>
        <w:t>，另</w:t>
      </w:r>
      <w:r w:rsidRPr="001B6E4D">
        <w:rPr>
          <w:rFonts w:ascii="標楷體" w:eastAsia="標楷體" w:hAnsi="標楷體"/>
          <w:color w:val="000000"/>
          <w:sz w:val="32"/>
          <w:szCs w:val="32"/>
        </w:rPr>
        <w:t>外</w:t>
      </w:r>
      <w:r w:rsidRPr="001B6E4D">
        <w:rPr>
          <w:rFonts w:ascii="標楷體" w:eastAsia="標楷體" w:hAnsi="標楷體" w:hint="eastAsia"/>
          <w:color w:val="000000"/>
          <w:sz w:val="32"/>
          <w:szCs w:val="32"/>
        </w:rPr>
        <w:t>是法律相關的，那當然校園性平事件及</w:t>
      </w:r>
      <w:proofErr w:type="gramStart"/>
      <w:r w:rsidRPr="001B6E4D">
        <w:rPr>
          <w:rFonts w:ascii="標楷體" w:eastAsia="標楷體" w:hAnsi="標楷體" w:hint="eastAsia"/>
          <w:color w:val="000000"/>
          <w:sz w:val="32"/>
          <w:szCs w:val="32"/>
        </w:rPr>
        <w:t>兒少性剝削</w:t>
      </w:r>
      <w:proofErr w:type="gramEnd"/>
      <w:r w:rsidRPr="001B6E4D">
        <w:rPr>
          <w:rFonts w:ascii="標楷體" w:eastAsia="標楷體" w:hAnsi="標楷體" w:hint="eastAsia"/>
          <w:color w:val="000000"/>
          <w:sz w:val="32"/>
          <w:szCs w:val="32"/>
        </w:rPr>
        <w:t>也都會談</w:t>
      </w:r>
      <w:r w:rsidRPr="001B6E4D">
        <w:rPr>
          <w:rFonts w:ascii="標楷體" w:eastAsia="標楷體" w:hAnsi="標楷體"/>
          <w:color w:val="000000"/>
          <w:sz w:val="32"/>
          <w:szCs w:val="32"/>
        </w:rPr>
        <w:t>到，</w:t>
      </w:r>
      <w:r w:rsidRPr="001B6E4D">
        <w:rPr>
          <w:rFonts w:ascii="標楷體" w:eastAsia="標楷體" w:hAnsi="標楷體" w:hint="eastAsia"/>
          <w:color w:val="000000"/>
          <w:sz w:val="32"/>
          <w:szCs w:val="32"/>
        </w:rPr>
        <w:t>所以它就是穿插在我們的公民課中。</w:t>
      </w:r>
    </w:p>
    <w:p w14:paraId="357545F8"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b/>
          <w:color w:val="000000"/>
          <w:sz w:val="32"/>
          <w:szCs w:val="32"/>
        </w:rPr>
        <w:t>品中</w:t>
      </w:r>
      <w:r w:rsidRPr="001B6E4D">
        <w:rPr>
          <w:rFonts w:ascii="標楷體" w:eastAsia="標楷體" w:hAnsi="標楷體" w:hint="eastAsia"/>
          <w:b/>
          <w:color w:val="000000"/>
          <w:sz w:val="32"/>
          <w:szCs w:val="32"/>
        </w:rPr>
        <w:t>學吳</w:t>
      </w:r>
      <w:r w:rsidRPr="001B6E4D">
        <w:rPr>
          <w:rFonts w:ascii="標楷體" w:eastAsia="標楷體" w:hAnsi="標楷體"/>
          <w:b/>
          <w:color w:val="000000"/>
          <w:sz w:val="32"/>
          <w:szCs w:val="32"/>
        </w:rPr>
        <w:t>學務</w:t>
      </w:r>
      <w:proofErr w:type="gramStart"/>
      <w:r w:rsidRPr="001B6E4D">
        <w:rPr>
          <w:rFonts w:ascii="標楷體" w:eastAsia="標楷體" w:hAnsi="標楷體"/>
          <w:b/>
          <w:color w:val="000000"/>
          <w:sz w:val="32"/>
          <w:szCs w:val="32"/>
        </w:rPr>
        <w:t>主任藝宣</w:t>
      </w:r>
      <w:proofErr w:type="gramEnd"/>
      <w:r w:rsidRPr="001B6E4D">
        <w:rPr>
          <w:rFonts w:ascii="標楷體" w:eastAsia="標楷體" w:hAnsi="標楷體"/>
          <w:b/>
          <w:color w:val="000000"/>
          <w:sz w:val="32"/>
          <w:szCs w:val="32"/>
        </w:rPr>
        <w:t>：</w:t>
      </w:r>
    </w:p>
    <w:p w14:paraId="6F0A10F6"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我這邊補充剛才校長的問題和公民老師沒有補充到的地方：第一是我們性平會是按照教育部的</w:t>
      </w:r>
      <w:r w:rsidRPr="001B6E4D">
        <w:rPr>
          <w:rFonts w:ascii="標楷體" w:eastAsia="標楷體" w:hAnsi="標楷體"/>
          <w:color w:val="000000"/>
          <w:sz w:val="32"/>
          <w:szCs w:val="32"/>
        </w:rPr>
        <w:t>規範，</w:t>
      </w:r>
      <w:r w:rsidRPr="001B6E4D">
        <w:rPr>
          <w:rFonts w:ascii="標楷體" w:eastAsia="標楷體" w:hAnsi="標楷體" w:hint="eastAsia"/>
          <w:color w:val="000000"/>
          <w:sz w:val="32"/>
          <w:szCs w:val="32"/>
        </w:rPr>
        <w:t>跟外面學校是一樣的，知悉案件起24小時內一定要</w:t>
      </w:r>
      <w:proofErr w:type="gramStart"/>
      <w:r w:rsidRPr="001B6E4D">
        <w:rPr>
          <w:rFonts w:ascii="標楷體" w:eastAsia="標楷體" w:hAnsi="標楷體" w:hint="eastAsia"/>
          <w:color w:val="000000"/>
          <w:sz w:val="32"/>
          <w:szCs w:val="32"/>
        </w:rPr>
        <w:t>做校安</w:t>
      </w:r>
      <w:proofErr w:type="gramEnd"/>
      <w:r w:rsidRPr="001B6E4D">
        <w:rPr>
          <w:rFonts w:ascii="標楷體" w:eastAsia="標楷體" w:hAnsi="標楷體" w:hint="eastAsia"/>
          <w:color w:val="000000"/>
          <w:sz w:val="32"/>
          <w:szCs w:val="32"/>
        </w:rPr>
        <w:lastRenderedPageBreak/>
        <w:t>通報，通報完了以後，3日內會移送到我們的性平會，如</w:t>
      </w:r>
      <w:r w:rsidRPr="001B6E4D">
        <w:rPr>
          <w:rFonts w:ascii="標楷體" w:eastAsia="標楷體" w:hAnsi="標楷體"/>
          <w:color w:val="000000"/>
          <w:sz w:val="32"/>
          <w:szCs w:val="32"/>
        </w:rPr>
        <w:t>果立案會</w:t>
      </w:r>
      <w:r w:rsidRPr="001B6E4D">
        <w:rPr>
          <w:rFonts w:ascii="標楷體" w:eastAsia="標楷體" w:hAnsi="標楷體" w:hint="eastAsia"/>
          <w:color w:val="000000"/>
          <w:sz w:val="32"/>
          <w:szCs w:val="32"/>
        </w:rPr>
        <w:t>成立調查小組，</w:t>
      </w:r>
      <w:r w:rsidRPr="001B6E4D">
        <w:rPr>
          <w:rFonts w:ascii="標楷體" w:eastAsia="標楷體" w:hAnsi="標楷體"/>
          <w:color w:val="000000"/>
          <w:sz w:val="32"/>
          <w:szCs w:val="32"/>
        </w:rPr>
        <w:t>並於</w:t>
      </w:r>
      <w:r w:rsidRPr="001B6E4D">
        <w:rPr>
          <w:rFonts w:ascii="標楷體" w:eastAsia="標楷體" w:hAnsi="標楷體" w:hint="eastAsia"/>
          <w:color w:val="000000"/>
          <w:sz w:val="32"/>
          <w:szCs w:val="32"/>
        </w:rPr>
        <w:t>兩個月內</w:t>
      </w:r>
      <w:r w:rsidRPr="001B6E4D">
        <w:rPr>
          <w:rFonts w:ascii="標楷體" w:eastAsia="標楷體" w:hAnsi="標楷體"/>
          <w:color w:val="000000"/>
          <w:sz w:val="32"/>
          <w:szCs w:val="32"/>
        </w:rPr>
        <w:t>完成調查</w:t>
      </w:r>
      <w:r w:rsidRPr="001B6E4D">
        <w:rPr>
          <w:rFonts w:ascii="標楷體" w:eastAsia="標楷體" w:hAnsi="標楷體" w:hint="eastAsia"/>
          <w:color w:val="000000"/>
          <w:sz w:val="32"/>
          <w:szCs w:val="32"/>
        </w:rPr>
        <w:t>；</w:t>
      </w:r>
      <w:r w:rsidRPr="001B6E4D">
        <w:rPr>
          <w:rFonts w:ascii="標楷體" w:eastAsia="標楷體" w:hAnsi="標楷體"/>
          <w:color w:val="000000"/>
          <w:sz w:val="32"/>
          <w:szCs w:val="32"/>
        </w:rPr>
        <w:t>另外</w:t>
      </w:r>
      <w:r w:rsidRPr="001B6E4D">
        <w:rPr>
          <w:rFonts w:ascii="標楷體" w:eastAsia="標楷體" w:hAnsi="標楷體" w:hint="eastAsia"/>
          <w:color w:val="000000"/>
          <w:sz w:val="32"/>
          <w:szCs w:val="32"/>
        </w:rPr>
        <w:t>依照</w:t>
      </w:r>
      <w:proofErr w:type="gramStart"/>
      <w:r w:rsidRPr="001B6E4D">
        <w:rPr>
          <w:rFonts w:ascii="標楷體" w:eastAsia="標楷體" w:hAnsi="標楷體" w:hint="eastAsia"/>
          <w:color w:val="000000"/>
          <w:sz w:val="32"/>
          <w:szCs w:val="32"/>
        </w:rPr>
        <w:t>性平法第33條</w:t>
      </w:r>
      <w:proofErr w:type="gramEnd"/>
      <w:r w:rsidRPr="001B6E4D">
        <w:rPr>
          <w:rFonts w:ascii="標楷體" w:eastAsia="標楷體" w:hAnsi="標楷體" w:hint="eastAsia"/>
          <w:color w:val="000000"/>
          <w:sz w:val="32"/>
          <w:szCs w:val="32"/>
        </w:rPr>
        <w:t>規定，目前學校是沒有外聘委員的，但是培養了許多校園性侵害性騷擾或</w:t>
      </w:r>
      <w:proofErr w:type="gramStart"/>
      <w:r w:rsidRPr="001B6E4D">
        <w:rPr>
          <w:rFonts w:ascii="標楷體" w:eastAsia="標楷體" w:hAnsi="標楷體" w:hint="eastAsia"/>
          <w:color w:val="000000"/>
          <w:sz w:val="32"/>
          <w:szCs w:val="32"/>
        </w:rPr>
        <w:t>性霸凌</w:t>
      </w:r>
      <w:proofErr w:type="gramEnd"/>
      <w:r w:rsidRPr="001B6E4D">
        <w:rPr>
          <w:rFonts w:ascii="標楷體" w:eastAsia="標楷體" w:hAnsi="標楷體" w:hint="eastAsia"/>
          <w:color w:val="000000"/>
          <w:sz w:val="32"/>
          <w:szCs w:val="32"/>
        </w:rPr>
        <w:t>調查專業人員，包含了有3位已經受完高階的教育訓練、1位受完初階訓練，這個月還有</w:t>
      </w:r>
      <w:proofErr w:type="gramStart"/>
      <w:r w:rsidRPr="001B6E4D">
        <w:rPr>
          <w:rFonts w:ascii="標楷體" w:eastAsia="標楷體" w:hAnsi="標楷體" w:hint="eastAsia"/>
          <w:color w:val="000000"/>
          <w:sz w:val="32"/>
          <w:szCs w:val="32"/>
        </w:rPr>
        <w:t>1名去受初階</w:t>
      </w:r>
      <w:proofErr w:type="gramEnd"/>
      <w:r w:rsidRPr="001B6E4D">
        <w:rPr>
          <w:rFonts w:ascii="標楷體" w:eastAsia="標楷體" w:hAnsi="標楷體" w:hint="eastAsia"/>
          <w:color w:val="000000"/>
          <w:sz w:val="32"/>
          <w:szCs w:val="32"/>
        </w:rPr>
        <w:t>訓練。我們學校的性平委員會的設置14人，女性有8人，也超過了2分</w:t>
      </w:r>
      <w:r w:rsidRPr="001B6E4D">
        <w:rPr>
          <w:rFonts w:ascii="標楷體" w:eastAsia="標楷體" w:hAnsi="標楷體"/>
          <w:color w:val="000000"/>
          <w:sz w:val="32"/>
          <w:szCs w:val="32"/>
        </w:rPr>
        <w:t>之</w:t>
      </w:r>
      <w:r w:rsidRPr="001B6E4D">
        <w:rPr>
          <w:rFonts w:ascii="標楷體" w:eastAsia="標楷體" w:hAnsi="標楷體" w:hint="eastAsia"/>
          <w:color w:val="000000"/>
          <w:sz w:val="32"/>
          <w:szCs w:val="32"/>
        </w:rPr>
        <w:t>1比例；</w:t>
      </w:r>
      <w:r w:rsidRPr="001B6E4D">
        <w:rPr>
          <w:rFonts w:ascii="標楷體" w:eastAsia="標楷體" w:hAnsi="標楷體"/>
          <w:color w:val="000000"/>
          <w:sz w:val="32"/>
          <w:szCs w:val="32"/>
        </w:rPr>
        <w:t>另外</w:t>
      </w:r>
      <w:r w:rsidRPr="001B6E4D">
        <w:rPr>
          <w:rFonts w:ascii="標楷體" w:eastAsia="標楷體" w:hAnsi="標楷體" w:hint="eastAsia"/>
          <w:color w:val="000000"/>
          <w:sz w:val="32"/>
          <w:szCs w:val="32"/>
        </w:rPr>
        <w:t>在</w:t>
      </w:r>
      <w:proofErr w:type="gramStart"/>
      <w:r w:rsidRPr="001B6E4D">
        <w:rPr>
          <w:rFonts w:ascii="標楷體" w:eastAsia="標楷體" w:hAnsi="標楷體" w:hint="eastAsia"/>
          <w:color w:val="000000"/>
          <w:sz w:val="32"/>
          <w:szCs w:val="32"/>
        </w:rPr>
        <w:t>做校安</w:t>
      </w:r>
      <w:proofErr w:type="gramEnd"/>
      <w:r w:rsidRPr="001B6E4D">
        <w:rPr>
          <w:rFonts w:ascii="標楷體" w:eastAsia="標楷體" w:hAnsi="標楷體" w:hint="eastAsia"/>
          <w:color w:val="000000"/>
          <w:sz w:val="32"/>
          <w:szCs w:val="32"/>
        </w:rPr>
        <w:t>通報的時均保護當事人，在還沒有移送性平會、還沒有成案以前，是完全</w:t>
      </w:r>
      <w:proofErr w:type="gramStart"/>
      <w:r w:rsidRPr="001B6E4D">
        <w:rPr>
          <w:rFonts w:ascii="標楷體" w:eastAsia="標楷體" w:hAnsi="標楷體" w:hint="eastAsia"/>
          <w:color w:val="000000"/>
          <w:sz w:val="32"/>
          <w:szCs w:val="32"/>
        </w:rPr>
        <w:t>採</w:t>
      </w:r>
      <w:proofErr w:type="gramEnd"/>
      <w:r w:rsidRPr="001B6E4D">
        <w:rPr>
          <w:rFonts w:ascii="標楷體" w:eastAsia="標楷體" w:hAnsi="標楷體" w:hint="eastAsia"/>
          <w:color w:val="000000"/>
          <w:sz w:val="32"/>
          <w:szCs w:val="32"/>
        </w:rPr>
        <w:t>保密措施原</w:t>
      </w:r>
      <w:r w:rsidRPr="001B6E4D">
        <w:rPr>
          <w:rFonts w:ascii="標楷體" w:eastAsia="標楷體" w:hAnsi="標楷體"/>
          <w:color w:val="000000"/>
          <w:sz w:val="32"/>
          <w:szCs w:val="32"/>
        </w:rPr>
        <w:t>則來辦</w:t>
      </w:r>
      <w:r w:rsidRPr="001B6E4D">
        <w:rPr>
          <w:rFonts w:ascii="標楷體" w:eastAsia="標楷體" w:hAnsi="標楷體" w:hint="eastAsia"/>
          <w:color w:val="000000"/>
          <w:sz w:val="32"/>
          <w:szCs w:val="32"/>
        </w:rPr>
        <w:t>理</w:t>
      </w:r>
      <w:r w:rsidRPr="001B6E4D">
        <w:rPr>
          <w:rFonts w:ascii="標楷體" w:eastAsia="標楷體" w:hAnsi="標楷體"/>
          <w:color w:val="000000"/>
          <w:sz w:val="32"/>
          <w:szCs w:val="32"/>
        </w:rPr>
        <w:t>的</w:t>
      </w:r>
      <w:r w:rsidRPr="001B6E4D">
        <w:rPr>
          <w:rFonts w:ascii="標楷體" w:eastAsia="標楷體" w:hAnsi="標楷體" w:hint="eastAsia"/>
          <w:color w:val="000000"/>
          <w:sz w:val="32"/>
          <w:szCs w:val="32"/>
        </w:rPr>
        <w:t>。</w:t>
      </w:r>
    </w:p>
    <w:p w14:paraId="70398D59"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另外補充剛剛公民老師講的，我</w:t>
      </w:r>
      <w:r w:rsidRPr="001B6E4D">
        <w:rPr>
          <w:rFonts w:ascii="標楷體" w:eastAsia="標楷體" w:hAnsi="標楷體"/>
          <w:color w:val="000000"/>
          <w:sz w:val="32"/>
          <w:szCs w:val="32"/>
        </w:rPr>
        <w:t>們</w:t>
      </w:r>
      <w:r w:rsidRPr="001B6E4D">
        <w:rPr>
          <w:rFonts w:ascii="標楷體" w:eastAsia="標楷體" w:hAnsi="標楷體" w:hint="eastAsia"/>
          <w:color w:val="000000"/>
          <w:sz w:val="32"/>
          <w:szCs w:val="32"/>
        </w:rPr>
        <w:t>不只是在班會，人事室辦理一些兩性的議題，包含了兩性界線的分離，或者人權的部分包含了CRC（兒童權利公約）禁止不當對待，或是</w:t>
      </w:r>
      <w:proofErr w:type="gramStart"/>
      <w:r w:rsidRPr="001B6E4D">
        <w:rPr>
          <w:rFonts w:ascii="標楷體" w:eastAsia="標楷體" w:hAnsi="標楷體" w:hint="eastAsia"/>
          <w:color w:val="000000"/>
          <w:sz w:val="32"/>
          <w:szCs w:val="32"/>
        </w:rPr>
        <w:t>曼</w:t>
      </w:r>
      <w:proofErr w:type="gramEnd"/>
      <w:r w:rsidRPr="001B6E4D">
        <w:rPr>
          <w:rFonts w:ascii="標楷體" w:eastAsia="標楷體" w:hAnsi="標楷體" w:hint="eastAsia"/>
          <w:color w:val="000000"/>
          <w:sz w:val="32"/>
          <w:szCs w:val="32"/>
        </w:rPr>
        <w:t>德拉規則，都會把它加入職員的教育訓練裡。學生部分我們每</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月都有集體教誨和個別教誨，由教導員做教育訓練，宣導性騷擾、妨害性自主、CRC或禁止不當對待等</w:t>
      </w:r>
      <w:r w:rsidRPr="001B6E4D">
        <w:rPr>
          <w:rFonts w:ascii="標楷體" w:eastAsia="標楷體" w:hAnsi="標楷體"/>
          <w:color w:val="000000"/>
          <w:sz w:val="32"/>
          <w:szCs w:val="32"/>
        </w:rPr>
        <w:t>觀念</w:t>
      </w:r>
      <w:r w:rsidRPr="001B6E4D">
        <w:rPr>
          <w:rFonts w:ascii="標楷體" w:eastAsia="標楷體" w:hAnsi="標楷體" w:hint="eastAsia"/>
          <w:color w:val="000000"/>
          <w:sz w:val="32"/>
          <w:szCs w:val="32"/>
        </w:rPr>
        <w:t>，我們也廣設意見箱，讓學生能夠透過不具名的方式自由表達他的意見，注重學生的表意權。</w:t>
      </w:r>
    </w:p>
    <w:p w14:paraId="6AF08365"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品中學陳輔導主任亮</w:t>
      </w:r>
      <w:proofErr w:type="gramStart"/>
      <w:r w:rsidRPr="001B6E4D">
        <w:rPr>
          <w:rFonts w:ascii="標楷體" w:eastAsia="標楷體" w:hAnsi="標楷體" w:hint="eastAsia"/>
          <w:b/>
          <w:color w:val="000000"/>
          <w:sz w:val="32"/>
          <w:szCs w:val="32"/>
        </w:rPr>
        <w:t>穎</w:t>
      </w:r>
      <w:proofErr w:type="gramEnd"/>
      <w:r w:rsidRPr="001B6E4D">
        <w:rPr>
          <w:rFonts w:ascii="標楷體" w:eastAsia="標楷體" w:hAnsi="標楷體" w:hint="eastAsia"/>
          <w:b/>
          <w:color w:val="000000"/>
          <w:sz w:val="32"/>
          <w:szCs w:val="32"/>
        </w:rPr>
        <w:t>：</w:t>
      </w:r>
    </w:p>
    <w:p w14:paraId="27EDA178"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我這邊補充，除了課程之外，在輔導處如有</w:t>
      </w:r>
      <w:proofErr w:type="gramStart"/>
      <w:r w:rsidRPr="001B6E4D">
        <w:rPr>
          <w:rFonts w:ascii="標楷體" w:eastAsia="標楷體" w:hAnsi="標楷體" w:hint="eastAsia"/>
          <w:color w:val="000000"/>
          <w:sz w:val="32"/>
          <w:szCs w:val="32"/>
        </w:rPr>
        <w:t>妨性案</w:t>
      </w:r>
      <w:proofErr w:type="gramEnd"/>
      <w:r w:rsidRPr="001B6E4D">
        <w:rPr>
          <w:rFonts w:ascii="標楷體" w:eastAsia="標楷體" w:hAnsi="標楷體" w:hint="eastAsia"/>
          <w:color w:val="000000"/>
          <w:sz w:val="32"/>
          <w:szCs w:val="32"/>
        </w:rPr>
        <w:t>的學生，都會有個別跟團體的處遇，個別就是1對1針對他的</w:t>
      </w:r>
      <w:proofErr w:type="gramStart"/>
      <w:r w:rsidRPr="001B6E4D">
        <w:rPr>
          <w:rFonts w:ascii="標楷體" w:eastAsia="標楷體" w:hAnsi="標楷體" w:hint="eastAsia"/>
          <w:color w:val="000000"/>
          <w:sz w:val="32"/>
          <w:szCs w:val="32"/>
        </w:rPr>
        <w:t>妨</w:t>
      </w:r>
      <w:proofErr w:type="gramEnd"/>
      <w:r w:rsidRPr="001B6E4D">
        <w:rPr>
          <w:rFonts w:ascii="標楷體" w:eastAsia="標楷體" w:hAnsi="標楷體" w:hint="eastAsia"/>
          <w:color w:val="000000"/>
          <w:sz w:val="32"/>
          <w:szCs w:val="32"/>
        </w:rPr>
        <w:t>性案件去做輔導，了解為什麼有這樣的行為，可能原生家庭對他的一些影響，個別的部分甚至會學生治療1年至少要召</w:t>
      </w:r>
      <w:r w:rsidRPr="001B6E4D">
        <w:rPr>
          <w:rFonts w:ascii="標楷體" w:eastAsia="標楷體" w:hAnsi="標楷體"/>
          <w:color w:val="000000"/>
          <w:sz w:val="32"/>
          <w:szCs w:val="32"/>
        </w:rPr>
        <w:t>開</w:t>
      </w:r>
      <w:r w:rsidRPr="001B6E4D">
        <w:rPr>
          <w:rFonts w:ascii="標楷體" w:eastAsia="標楷體" w:hAnsi="標楷體" w:hint="eastAsia"/>
          <w:color w:val="000000"/>
          <w:sz w:val="32"/>
          <w:szCs w:val="32"/>
        </w:rPr>
        <w:t>1次</w:t>
      </w:r>
      <w:proofErr w:type="gramStart"/>
      <w:r w:rsidRPr="001B6E4D">
        <w:rPr>
          <w:rFonts w:ascii="標楷體" w:eastAsia="標楷體" w:hAnsi="標楷體" w:hint="eastAsia"/>
          <w:color w:val="000000"/>
          <w:sz w:val="32"/>
          <w:szCs w:val="32"/>
        </w:rPr>
        <w:t>妨</w:t>
      </w:r>
      <w:proofErr w:type="gramEnd"/>
      <w:r w:rsidRPr="001B6E4D">
        <w:rPr>
          <w:rFonts w:ascii="標楷體" w:eastAsia="標楷體" w:hAnsi="標楷體" w:hint="eastAsia"/>
          <w:color w:val="000000"/>
          <w:sz w:val="32"/>
          <w:szCs w:val="32"/>
        </w:rPr>
        <w:t>性評估會議，會議是請外部專</w:t>
      </w:r>
      <w:r w:rsidRPr="001B6E4D">
        <w:rPr>
          <w:rFonts w:ascii="標楷體" w:eastAsia="標楷體" w:hAnsi="標楷體"/>
          <w:color w:val="000000"/>
          <w:sz w:val="32"/>
          <w:szCs w:val="32"/>
        </w:rPr>
        <w:t>業</w:t>
      </w:r>
      <w:r w:rsidRPr="001B6E4D">
        <w:rPr>
          <w:rFonts w:ascii="標楷體" w:eastAsia="標楷體" w:hAnsi="標楷體" w:hint="eastAsia"/>
          <w:color w:val="000000"/>
          <w:sz w:val="32"/>
          <w:szCs w:val="32"/>
        </w:rPr>
        <w:t>委員評估治療師治療的成效，再給後續建議如持續輔導或治療，目前</w:t>
      </w:r>
      <w:proofErr w:type="gramStart"/>
      <w:r w:rsidRPr="001B6E4D">
        <w:rPr>
          <w:rFonts w:ascii="標楷體" w:eastAsia="標楷體" w:hAnsi="標楷體" w:hint="eastAsia"/>
          <w:color w:val="000000"/>
          <w:sz w:val="32"/>
          <w:szCs w:val="32"/>
        </w:rPr>
        <w:t>妨性處遇都</w:t>
      </w:r>
      <w:proofErr w:type="gramEnd"/>
      <w:r w:rsidRPr="001B6E4D">
        <w:rPr>
          <w:rFonts w:ascii="標楷體" w:eastAsia="標楷體" w:hAnsi="標楷體" w:hint="eastAsia"/>
          <w:color w:val="000000"/>
          <w:sz w:val="32"/>
          <w:szCs w:val="32"/>
        </w:rPr>
        <w:t>是外聘治療師，他們都是受過</w:t>
      </w:r>
      <w:proofErr w:type="gramStart"/>
      <w:r w:rsidRPr="001B6E4D">
        <w:rPr>
          <w:rFonts w:ascii="標楷體" w:eastAsia="標楷體" w:hAnsi="標楷體" w:hint="eastAsia"/>
          <w:color w:val="000000"/>
          <w:sz w:val="32"/>
          <w:szCs w:val="32"/>
        </w:rPr>
        <w:t>妨</w:t>
      </w:r>
      <w:proofErr w:type="gramEnd"/>
      <w:r w:rsidRPr="001B6E4D">
        <w:rPr>
          <w:rFonts w:ascii="標楷體" w:eastAsia="標楷體" w:hAnsi="標楷體" w:hint="eastAsia"/>
          <w:color w:val="000000"/>
          <w:sz w:val="32"/>
          <w:szCs w:val="32"/>
        </w:rPr>
        <w:t>性相關的訓練。我</w:t>
      </w:r>
      <w:r w:rsidRPr="001B6E4D">
        <w:rPr>
          <w:rFonts w:ascii="標楷體" w:eastAsia="標楷體" w:hAnsi="標楷體"/>
          <w:color w:val="000000"/>
          <w:sz w:val="32"/>
          <w:szCs w:val="32"/>
        </w:rPr>
        <w:t>們</w:t>
      </w:r>
      <w:r w:rsidRPr="001B6E4D">
        <w:rPr>
          <w:rFonts w:ascii="標楷體" w:eastAsia="標楷體" w:hAnsi="標楷體" w:hint="eastAsia"/>
          <w:color w:val="000000"/>
          <w:sz w:val="32"/>
          <w:szCs w:val="32"/>
        </w:rPr>
        <w:t>也有團體處</w:t>
      </w:r>
      <w:r w:rsidRPr="001B6E4D">
        <w:rPr>
          <w:rFonts w:ascii="標楷體" w:eastAsia="標楷體" w:hAnsi="標楷體"/>
          <w:color w:val="000000"/>
          <w:sz w:val="32"/>
          <w:szCs w:val="32"/>
        </w:rPr>
        <w:t>遇</w:t>
      </w:r>
      <w:r w:rsidRPr="001B6E4D">
        <w:rPr>
          <w:rFonts w:ascii="標楷體" w:eastAsia="標楷體" w:hAnsi="標楷體" w:hint="eastAsia"/>
          <w:color w:val="000000"/>
          <w:sz w:val="32"/>
          <w:szCs w:val="32"/>
        </w:rPr>
        <w:t>，除了</w:t>
      </w:r>
      <w:proofErr w:type="gramStart"/>
      <w:r w:rsidRPr="001B6E4D">
        <w:rPr>
          <w:rFonts w:ascii="標楷體" w:eastAsia="標楷體" w:hAnsi="標楷體" w:hint="eastAsia"/>
          <w:color w:val="000000"/>
          <w:sz w:val="32"/>
          <w:szCs w:val="32"/>
        </w:rPr>
        <w:t>妨</w:t>
      </w:r>
      <w:r w:rsidRPr="001B6E4D">
        <w:rPr>
          <w:rFonts w:ascii="標楷體" w:eastAsia="標楷體" w:hAnsi="標楷體" w:hint="eastAsia"/>
          <w:color w:val="000000"/>
          <w:sz w:val="32"/>
          <w:szCs w:val="32"/>
        </w:rPr>
        <w:lastRenderedPageBreak/>
        <w:t>性案</w:t>
      </w:r>
      <w:proofErr w:type="gramEnd"/>
      <w:r w:rsidRPr="001B6E4D">
        <w:rPr>
          <w:rFonts w:ascii="標楷體" w:eastAsia="標楷體" w:hAnsi="標楷體" w:hint="eastAsia"/>
          <w:color w:val="000000"/>
          <w:sz w:val="32"/>
          <w:szCs w:val="32"/>
        </w:rPr>
        <w:t>的學生參加外，也會請輔導老師推薦雖</w:t>
      </w:r>
      <w:r w:rsidRPr="001B6E4D">
        <w:rPr>
          <w:rFonts w:ascii="標楷體" w:eastAsia="標楷體" w:hAnsi="標楷體"/>
          <w:color w:val="000000"/>
          <w:sz w:val="32"/>
          <w:szCs w:val="32"/>
        </w:rPr>
        <w:t>然</w:t>
      </w:r>
      <w:r w:rsidRPr="001B6E4D">
        <w:rPr>
          <w:rFonts w:ascii="標楷體" w:eastAsia="標楷體" w:hAnsi="標楷體" w:hint="eastAsia"/>
          <w:color w:val="000000"/>
          <w:sz w:val="32"/>
          <w:szCs w:val="32"/>
        </w:rPr>
        <w:t>沒有</w:t>
      </w:r>
      <w:proofErr w:type="gramStart"/>
      <w:r w:rsidRPr="001B6E4D">
        <w:rPr>
          <w:rFonts w:ascii="標楷體" w:eastAsia="標楷體" w:hAnsi="標楷體" w:hint="eastAsia"/>
          <w:color w:val="000000"/>
          <w:sz w:val="32"/>
          <w:szCs w:val="32"/>
        </w:rPr>
        <w:t>妨性案</w:t>
      </w:r>
      <w:proofErr w:type="gramEnd"/>
      <w:r w:rsidRPr="001B6E4D">
        <w:rPr>
          <w:rFonts w:ascii="標楷體" w:eastAsia="標楷體" w:hAnsi="標楷體" w:hint="eastAsia"/>
          <w:color w:val="000000"/>
          <w:sz w:val="32"/>
          <w:szCs w:val="32"/>
        </w:rPr>
        <w:t>，可是人際界線或是性方面的觀念可以再加強的學</w:t>
      </w:r>
      <w:r w:rsidRPr="001B6E4D">
        <w:rPr>
          <w:rFonts w:ascii="標楷體" w:eastAsia="標楷體" w:hAnsi="標楷體"/>
          <w:color w:val="000000"/>
          <w:sz w:val="32"/>
          <w:szCs w:val="32"/>
        </w:rPr>
        <w:t>生</w:t>
      </w:r>
      <w:r w:rsidRPr="001B6E4D">
        <w:rPr>
          <w:rFonts w:ascii="標楷體" w:eastAsia="標楷體" w:hAnsi="標楷體" w:hint="eastAsia"/>
          <w:color w:val="000000"/>
          <w:sz w:val="32"/>
          <w:szCs w:val="32"/>
        </w:rPr>
        <w:t>進到這個小團體做輔導。我們也有購買一些性平相關書籍，供輔導老師自行篩選後放在教室給學生閱讀，另外學生如果想要性</w:t>
      </w:r>
      <w:r w:rsidRPr="001B6E4D">
        <w:rPr>
          <w:rFonts w:ascii="標楷體" w:eastAsia="標楷體" w:hAnsi="標楷體"/>
          <w:color w:val="000000"/>
          <w:sz w:val="32"/>
          <w:szCs w:val="32"/>
        </w:rPr>
        <w:t>別方面的</w:t>
      </w:r>
      <w:r w:rsidRPr="001B6E4D">
        <w:rPr>
          <w:rFonts w:ascii="標楷體" w:eastAsia="標楷體" w:hAnsi="標楷體" w:hint="eastAsia"/>
          <w:color w:val="000000"/>
          <w:sz w:val="32"/>
          <w:szCs w:val="32"/>
        </w:rPr>
        <w:t>課程或宣導，我</w:t>
      </w:r>
      <w:r w:rsidRPr="001B6E4D">
        <w:rPr>
          <w:rFonts w:ascii="標楷體" w:eastAsia="標楷體" w:hAnsi="標楷體"/>
          <w:color w:val="000000"/>
          <w:sz w:val="32"/>
          <w:szCs w:val="32"/>
        </w:rPr>
        <w:t>們</w:t>
      </w:r>
      <w:r w:rsidRPr="001B6E4D">
        <w:rPr>
          <w:rFonts w:ascii="標楷體" w:eastAsia="標楷體" w:hAnsi="標楷體" w:hint="eastAsia"/>
          <w:color w:val="000000"/>
          <w:sz w:val="32"/>
          <w:szCs w:val="32"/>
        </w:rPr>
        <w:t>都會根</w:t>
      </w:r>
      <w:r w:rsidRPr="001B6E4D">
        <w:rPr>
          <w:rFonts w:ascii="標楷體" w:eastAsia="標楷體" w:hAnsi="標楷體"/>
          <w:color w:val="000000"/>
          <w:sz w:val="32"/>
          <w:szCs w:val="32"/>
        </w:rPr>
        <w:t>據</w:t>
      </w:r>
      <w:r w:rsidRPr="001B6E4D">
        <w:rPr>
          <w:rFonts w:ascii="標楷體" w:eastAsia="標楷體" w:hAnsi="標楷體" w:hint="eastAsia"/>
          <w:color w:val="000000"/>
          <w:sz w:val="32"/>
          <w:szCs w:val="32"/>
        </w:rPr>
        <w:t>質性跟量化的回饋，去設計更適合他們的課程或宣導。</w:t>
      </w:r>
    </w:p>
    <w:p w14:paraId="62584219"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品中學郭校長宗</w:t>
      </w:r>
      <w:proofErr w:type="gramStart"/>
      <w:r w:rsidRPr="001B6E4D">
        <w:rPr>
          <w:rFonts w:ascii="標楷體" w:eastAsia="標楷體" w:hAnsi="標楷體" w:hint="eastAsia"/>
          <w:b/>
          <w:color w:val="000000"/>
          <w:sz w:val="32"/>
          <w:szCs w:val="32"/>
        </w:rPr>
        <w:t>裕</w:t>
      </w:r>
      <w:proofErr w:type="gramEnd"/>
      <w:r w:rsidRPr="001B6E4D">
        <w:rPr>
          <w:rFonts w:ascii="標楷體" w:eastAsia="標楷體" w:hAnsi="標楷體" w:hint="eastAsia"/>
          <w:b/>
          <w:color w:val="000000"/>
          <w:sz w:val="32"/>
          <w:szCs w:val="32"/>
        </w:rPr>
        <w:t>：</w:t>
      </w:r>
    </w:p>
    <w:p w14:paraId="6EEC9A30"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關於毒品案有175個學生，</w:t>
      </w:r>
      <w:r w:rsidRPr="001B6E4D">
        <w:rPr>
          <w:rFonts w:ascii="標楷體" w:eastAsia="標楷體" w:hAnsi="標楷體"/>
          <w:color w:val="000000"/>
          <w:sz w:val="32"/>
          <w:szCs w:val="32"/>
        </w:rPr>
        <w:t>這是</w:t>
      </w:r>
      <w:r w:rsidRPr="001B6E4D">
        <w:rPr>
          <w:rFonts w:ascii="標楷體" w:eastAsia="標楷體" w:hAnsi="標楷體" w:hint="eastAsia"/>
          <w:color w:val="000000"/>
          <w:sz w:val="32"/>
          <w:szCs w:val="32"/>
        </w:rPr>
        <w:t>經</w:t>
      </w:r>
      <w:r w:rsidRPr="001B6E4D">
        <w:rPr>
          <w:rFonts w:ascii="標楷體" w:eastAsia="標楷體" w:hAnsi="標楷體"/>
          <w:color w:val="000000"/>
          <w:sz w:val="32"/>
          <w:szCs w:val="32"/>
        </w:rPr>
        <w:t>過</w:t>
      </w:r>
      <w:r w:rsidRPr="001B6E4D">
        <w:rPr>
          <w:rFonts w:ascii="標楷體" w:eastAsia="標楷體" w:hAnsi="標楷體" w:hint="eastAsia"/>
          <w:color w:val="000000"/>
          <w:sz w:val="32"/>
          <w:szCs w:val="32"/>
        </w:rPr>
        <w:t>了解調查出來的，基本上學校的孩子都還未到毒品成癮的狀況，所以學校來還沒有發生過有戒斷的症狀。但是我們在處遇的部分會有毒品的處遇，不管是個別或是團體都持續在進行，針對因毒品案進來的孩子就會有處遇活動，裡面針對他的需要去進行課程，不管是團體還是個別都會有，現況我們的孩子都還沒有戒斷的情形產生，但是每</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孩子其實都常對外講說我有接觸過毒品，我看學生基本資料也常會講有用過，如果看他們個別的介紹來算可能200多個都有，實際上他們有時候去講說我有，表示好像比較高階一點，孩子有時候會有這個現象，但是目前都還沒有戒</w:t>
      </w:r>
      <w:r w:rsidRPr="001B6E4D">
        <w:rPr>
          <w:rFonts w:ascii="標楷體" w:eastAsia="標楷體" w:hAnsi="標楷體"/>
          <w:color w:val="000000"/>
          <w:sz w:val="32"/>
          <w:szCs w:val="32"/>
        </w:rPr>
        <w:t>斷</w:t>
      </w:r>
      <w:r w:rsidRPr="001B6E4D">
        <w:rPr>
          <w:rFonts w:ascii="標楷體" w:eastAsia="標楷體" w:hAnsi="標楷體" w:hint="eastAsia"/>
          <w:color w:val="000000"/>
          <w:sz w:val="32"/>
          <w:szCs w:val="32"/>
        </w:rPr>
        <w:t>的情形產生，所以我們就透過處遇的治療方式針對175個學生來進行。</w:t>
      </w:r>
    </w:p>
    <w:p w14:paraId="05E40CDE"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關於追蹤的部分，基本上學生離開學校之後我們的輔導室都會追蹤一年，但這個追蹤一年主要就是保持關係跟聯絡，所以我們應該沒有去特別針對就業率，反而比</w:t>
      </w:r>
      <w:r w:rsidRPr="001B6E4D">
        <w:rPr>
          <w:rFonts w:ascii="標楷體" w:eastAsia="標楷體" w:hAnsi="標楷體"/>
          <w:color w:val="000000"/>
          <w:sz w:val="32"/>
          <w:szCs w:val="32"/>
        </w:rPr>
        <w:t>較針對</w:t>
      </w:r>
      <w:r w:rsidRPr="001B6E4D">
        <w:rPr>
          <w:rFonts w:ascii="標楷體" w:eastAsia="標楷體" w:hAnsi="標楷體" w:hint="eastAsia"/>
          <w:color w:val="000000"/>
          <w:sz w:val="32"/>
          <w:szCs w:val="32"/>
        </w:rPr>
        <w:t>就學，就業有時候是哪一個產業也不容易掌握。</w:t>
      </w:r>
    </w:p>
    <w:p w14:paraId="18CE43A5"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另外委員提到再犯率，其實這也是我到學校來之後一直很</w:t>
      </w:r>
      <w:r w:rsidRPr="001B6E4D">
        <w:rPr>
          <w:rFonts w:ascii="標楷體" w:eastAsia="標楷體" w:hAnsi="標楷體"/>
          <w:color w:val="000000"/>
          <w:sz w:val="32"/>
          <w:szCs w:val="32"/>
        </w:rPr>
        <w:t>難</w:t>
      </w:r>
      <w:r w:rsidRPr="001B6E4D">
        <w:rPr>
          <w:rFonts w:ascii="標楷體" w:eastAsia="標楷體" w:hAnsi="標楷體" w:hint="eastAsia"/>
          <w:color w:val="000000"/>
          <w:sz w:val="32"/>
          <w:szCs w:val="32"/>
        </w:rPr>
        <w:t>回答之</w:t>
      </w:r>
      <w:r w:rsidRPr="001B6E4D">
        <w:rPr>
          <w:rFonts w:ascii="標楷體" w:eastAsia="標楷體" w:hAnsi="標楷體"/>
          <w:color w:val="000000"/>
          <w:sz w:val="32"/>
          <w:szCs w:val="32"/>
        </w:rPr>
        <w:t>處</w:t>
      </w:r>
      <w:r w:rsidRPr="001B6E4D">
        <w:rPr>
          <w:rFonts w:ascii="標楷體" w:eastAsia="標楷體" w:hAnsi="標楷體" w:hint="eastAsia"/>
          <w:color w:val="000000"/>
          <w:sz w:val="32"/>
          <w:szCs w:val="32"/>
        </w:rPr>
        <w:t>，大家都以再犯率來說矯正教育是不是成功，我常常覺得用再犯率來確定矯正教育成效是</w:t>
      </w:r>
      <w:r w:rsidRPr="001B6E4D">
        <w:rPr>
          <w:rFonts w:ascii="標楷體" w:eastAsia="標楷體" w:hAnsi="標楷體" w:hint="eastAsia"/>
          <w:color w:val="000000"/>
          <w:sz w:val="32"/>
          <w:szCs w:val="32"/>
        </w:rPr>
        <w:lastRenderedPageBreak/>
        <w:t>對學校的老師不公平的，因為他會不會再犯其實有很多是社會因</w:t>
      </w:r>
      <w:r w:rsidRPr="001B6E4D">
        <w:rPr>
          <w:rFonts w:ascii="標楷體" w:eastAsia="標楷體" w:hAnsi="標楷體"/>
          <w:color w:val="000000"/>
          <w:sz w:val="32"/>
          <w:szCs w:val="32"/>
        </w:rPr>
        <w:t>素，</w:t>
      </w:r>
      <w:r w:rsidRPr="001B6E4D">
        <w:rPr>
          <w:rFonts w:ascii="標楷體" w:eastAsia="標楷體" w:hAnsi="標楷體" w:hint="eastAsia"/>
          <w:color w:val="000000"/>
          <w:sz w:val="32"/>
          <w:szCs w:val="32"/>
        </w:rPr>
        <w:t>其實孩子進到學校來後你會發現到他因為這個情境的關係是相對的，所以在學校裡他改變的樣態是非常明顯，但是當他離開學校的時候誰接住他就是另一個問題，有些孩子是為了生活下去必須要回去，所以這些算不算再犯，或者是一定要犯了刑法</w:t>
      </w:r>
      <w:proofErr w:type="gramStart"/>
      <w:r w:rsidRPr="001B6E4D">
        <w:rPr>
          <w:rFonts w:ascii="標楷體" w:eastAsia="標楷體" w:hAnsi="標楷體" w:hint="eastAsia"/>
          <w:color w:val="000000"/>
          <w:sz w:val="32"/>
          <w:szCs w:val="32"/>
        </w:rPr>
        <w:t>才算再犯</w:t>
      </w:r>
      <w:proofErr w:type="gramEnd"/>
      <w:r w:rsidRPr="001B6E4D">
        <w:rPr>
          <w:rFonts w:ascii="標楷體" w:eastAsia="標楷體" w:hAnsi="標楷體" w:hint="eastAsia"/>
          <w:color w:val="000000"/>
          <w:sz w:val="32"/>
          <w:szCs w:val="32"/>
        </w:rPr>
        <w:t>，而且一般犯了刑法後很可能到</w:t>
      </w:r>
      <w:proofErr w:type="gramStart"/>
      <w:r w:rsidRPr="001B6E4D">
        <w:rPr>
          <w:rFonts w:ascii="標楷體" w:eastAsia="標楷體" w:hAnsi="標楷體" w:hint="eastAsia"/>
          <w:color w:val="000000"/>
          <w:sz w:val="32"/>
          <w:szCs w:val="32"/>
        </w:rPr>
        <w:t>成監去</w:t>
      </w:r>
      <w:proofErr w:type="gramEnd"/>
      <w:r w:rsidRPr="001B6E4D">
        <w:rPr>
          <w:rFonts w:ascii="標楷體" w:eastAsia="標楷體" w:hAnsi="標楷體" w:hint="eastAsia"/>
          <w:color w:val="000000"/>
          <w:sz w:val="32"/>
          <w:szCs w:val="32"/>
        </w:rPr>
        <w:t>了，我們也很難再去追蹤這個孩子他是不是有再犯，所以以再犯率對於學校同仁的努力付出來講，我覺得不應該是一個斷定的標準。第二</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就是是否再犯，我們在調查上面很困難的一個部分，</w:t>
      </w:r>
      <w:r w:rsidRPr="001B6E4D">
        <w:rPr>
          <w:rFonts w:ascii="標楷體" w:eastAsia="標楷體" w:hAnsi="標楷體"/>
          <w:color w:val="000000"/>
          <w:sz w:val="32"/>
          <w:szCs w:val="32"/>
        </w:rPr>
        <w:t>就</w:t>
      </w:r>
      <w:r w:rsidRPr="001B6E4D">
        <w:rPr>
          <w:rFonts w:ascii="標楷體" w:eastAsia="標楷體" w:hAnsi="標楷體" w:hint="eastAsia"/>
          <w:color w:val="000000"/>
          <w:sz w:val="32"/>
          <w:szCs w:val="32"/>
        </w:rPr>
        <w:t>是對孩子的狀況不好掌握。</w:t>
      </w:r>
    </w:p>
    <w:p w14:paraId="3C05BDC0"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立法院張委員雅琳：</w:t>
      </w:r>
    </w:p>
    <w:p w14:paraId="434D3A0E"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我為什麼問這個問題，就是剛才校長在一開始的簡報就有提到，其實孩子在離開這時最大的一個挑戰就是經濟問題，所以到底哪一個科別社</w:t>
      </w:r>
      <w:r w:rsidRPr="001B6E4D">
        <w:rPr>
          <w:rFonts w:ascii="標楷體" w:eastAsia="標楷體" w:hAnsi="標楷體"/>
          <w:color w:val="000000"/>
          <w:sz w:val="32"/>
          <w:szCs w:val="32"/>
        </w:rPr>
        <w:t>會</w:t>
      </w:r>
      <w:r w:rsidRPr="001B6E4D">
        <w:rPr>
          <w:rFonts w:ascii="標楷體" w:eastAsia="標楷體" w:hAnsi="標楷體" w:hint="eastAsia"/>
          <w:color w:val="000000"/>
          <w:sz w:val="32"/>
          <w:szCs w:val="32"/>
        </w:rPr>
        <w:t>比較能夠接納，讓他可以取得經濟基礎，這是我這個問題的原因，就會更了解到哪一種科</w:t>
      </w:r>
      <w:r w:rsidRPr="001B6E4D">
        <w:rPr>
          <w:rFonts w:ascii="標楷體" w:eastAsia="標楷體" w:hAnsi="標楷體"/>
          <w:color w:val="000000"/>
          <w:sz w:val="32"/>
          <w:szCs w:val="32"/>
        </w:rPr>
        <w:t>別</w:t>
      </w:r>
      <w:r w:rsidRPr="001B6E4D">
        <w:rPr>
          <w:rFonts w:ascii="標楷體" w:eastAsia="標楷體" w:hAnsi="標楷體" w:hint="eastAsia"/>
          <w:color w:val="000000"/>
          <w:sz w:val="32"/>
          <w:szCs w:val="32"/>
        </w:rPr>
        <w:t>有</w:t>
      </w:r>
      <w:r w:rsidRPr="001B6E4D">
        <w:rPr>
          <w:rFonts w:ascii="標楷體" w:eastAsia="標楷體" w:hAnsi="標楷體"/>
          <w:color w:val="000000"/>
          <w:sz w:val="32"/>
          <w:szCs w:val="32"/>
        </w:rPr>
        <w:t>助於</w:t>
      </w:r>
      <w:r w:rsidRPr="001B6E4D">
        <w:rPr>
          <w:rFonts w:ascii="標楷體" w:eastAsia="標楷體" w:hAnsi="標楷體" w:hint="eastAsia"/>
          <w:color w:val="000000"/>
          <w:sz w:val="32"/>
          <w:szCs w:val="32"/>
        </w:rPr>
        <w:t>他們回歸社會，因為你剛才有講到大概只有10-12%的小孩會持續就業，那剩下來這些孩子去哪裡？到底哪一個科別</w:t>
      </w:r>
      <w:r w:rsidRPr="001B6E4D">
        <w:rPr>
          <w:rFonts w:ascii="標楷體" w:eastAsia="標楷體" w:hAnsi="標楷體"/>
          <w:color w:val="000000"/>
          <w:sz w:val="32"/>
          <w:szCs w:val="32"/>
        </w:rPr>
        <w:t>、</w:t>
      </w:r>
      <w:r w:rsidRPr="001B6E4D">
        <w:rPr>
          <w:rFonts w:ascii="標楷體" w:eastAsia="標楷體" w:hAnsi="標楷體" w:hint="eastAsia"/>
          <w:color w:val="000000"/>
          <w:sz w:val="32"/>
          <w:szCs w:val="32"/>
        </w:rPr>
        <w:t>哪一種職業是比較能夠接納他們的，就像我們今天有這個門市服</w:t>
      </w:r>
      <w:r w:rsidRPr="001B6E4D">
        <w:rPr>
          <w:rFonts w:ascii="標楷體" w:eastAsia="標楷體" w:hAnsi="標楷體"/>
          <w:color w:val="000000"/>
          <w:sz w:val="32"/>
          <w:szCs w:val="32"/>
        </w:rPr>
        <w:t>務、</w:t>
      </w:r>
      <w:r w:rsidRPr="001B6E4D">
        <w:rPr>
          <w:rFonts w:ascii="標楷體" w:eastAsia="標楷體" w:hAnsi="標楷體" w:hint="eastAsia"/>
          <w:color w:val="000000"/>
          <w:sz w:val="32"/>
          <w:szCs w:val="32"/>
        </w:rPr>
        <w:t>烘焙還有汽修</w:t>
      </w:r>
      <w:r w:rsidRPr="001B6E4D">
        <w:rPr>
          <w:rFonts w:ascii="標楷體" w:eastAsia="標楷體" w:hAnsi="標楷體"/>
          <w:color w:val="000000"/>
          <w:sz w:val="32"/>
          <w:szCs w:val="32"/>
        </w:rPr>
        <w:t>，</w:t>
      </w:r>
      <w:r w:rsidRPr="001B6E4D">
        <w:rPr>
          <w:rFonts w:ascii="標楷體" w:eastAsia="標楷體" w:hAnsi="標楷體" w:hint="eastAsia"/>
          <w:color w:val="000000"/>
          <w:sz w:val="32"/>
          <w:szCs w:val="32"/>
        </w:rPr>
        <w:t>如果可以清楚知道哪一種科別</w:t>
      </w:r>
      <w:r w:rsidRPr="001B6E4D">
        <w:rPr>
          <w:rFonts w:ascii="標楷體" w:eastAsia="標楷體" w:hAnsi="標楷體"/>
          <w:color w:val="000000"/>
          <w:sz w:val="32"/>
          <w:szCs w:val="32"/>
        </w:rPr>
        <w:t>、</w:t>
      </w:r>
      <w:r w:rsidRPr="001B6E4D">
        <w:rPr>
          <w:rFonts w:ascii="標楷體" w:eastAsia="標楷體" w:hAnsi="標楷體" w:hint="eastAsia"/>
          <w:color w:val="000000"/>
          <w:sz w:val="32"/>
          <w:szCs w:val="32"/>
        </w:rPr>
        <w:t>哪一種產業更容易接受他們的話，也許他們就更容易取得經濟基礎，就不容易再回到他過去的</w:t>
      </w:r>
      <w:proofErr w:type="gramStart"/>
      <w:r w:rsidRPr="001B6E4D">
        <w:rPr>
          <w:rFonts w:ascii="標楷體" w:eastAsia="標楷體" w:hAnsi="標楷體" w:hint="eastAsia"/>
          <w:color w:val="000000"/>
          <w:sz w:val="32"/>
          <w:szCs w:val="32"/>
        </w:rPr>
        <w:t>迴</w:t>
      </w:r>
      <w:proofErr w:type="gramEnd"/>
      <w:r w:rsidRPr="001B6E4D">
        <w:rPr>
          <w:rFonts w:ascii="標楷體" w:eastAsia="標楷體" w:hAnsi="標楷體" w:hint="eastAsia"/>
          <w:color w:val="000000"/>
          <w:sz w:val="32"/>
          <w:szCs w:val="32"/>
        </w:rPr>
        <w:t>圈。</w:t>
      </w:r>
    </w:p>
    <w:p w14:paraId="04B8F39F"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品中學郭校長宗</w:t>
      </w:r>
      <w:proofErr w:type="gramStart"/>
      <w:r w:rsidRPr="001B6E4D">
        <w:rPr>
          <w:rFonts w:ascii="標楷體" w:eastAsia="標楷體" w:hAnsi="標楷體" w:hint="eastAsia"/>
          <w:b/>
          <w:color w:val="000000"/>
          <w:sz w:val="32"/>
          <w:szCs w:val="32"/>
        </w:rPr>
        <w:t>裕</w:t>
      </w:r>
      <w:proofErr w:type="gramEnd"/>
      <w:r w:rsidRPr="001B6E4D">
        <w:rPr>
          <w:rFonts w:ascii="標楷體" w:eastAsia="標楷體" w:hAnsi="標楷體" w:hint="eastAsia"/>
          <w:b/>
          <w:color w:val="000000"/>
          <w:sz w:val="32"/>
          <w:szCs w:val="32"/>
        </w:rPr>
        <w:t>：</w:t>
      </w:r>
    </w:p>
    <w:p w14:paraId="4666C7A5"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我用一個角度來回應委員，基本上我們剛才提到為什麼會去爭取冷凍空調、還有原來的門市服務，這幾個職類基本上市場需求最多，甚至有很多外部的夥伴跟我們說，這個學生一旦離開之後你就來通知我，我們願</w:t>
      </w:r>
      <w:r w:rsidRPr="001B6E4D">
        <w:rPr>
          <w:rFonts w:ascii="標楷體" w:eastAsia="標楷體" w:hAnsi="標楷體" w:hint="eastAsia"/>
          <w:color w:val="000000"/>
          <w:sz w:val="32"/>
          <w:szCs w:val="32"/>
        </w:rPr>
        <w:lastRenderedPageBreak/>
        <w:t>意提供工</w:t>
      </w:r>
      <w:r w:rsidRPr="001B6E4D">
        <w:rPr>
          <w:rFonts w:ascii="標楷體" w:eastAsia="標楷體" w:hAnsi="標楷體"/>
          <w:color w:val="000000"/>
          <w:sz w:val="32"/>
          <w:szCs w:val="32"/>
        </w:rPr>
        <w:t>作</w:t>
      </w:r>
      <w:r w:rsidRPr="001B6E4D">
        <w:rPr>
          <w:rFonts w:ascii="標楷體" w:eastAsia="標楷體" w:hAnsi="標楷體" w:hint="eastAsia"/>
          <w:color w:val="000000"/>
          <w:sz w:val="32"/>
          <w:szCs w:val="32"/>
        </w:rPr>
        <w:t>給他，所以這三</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職類包括烘焙大部分都教孩子自主性，一般的老闆不見得會去用到這樣特長的孩子，但這個專長的孩子反而是他離開學校後能夠去自主、自己當老闆，那提到這三</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科</w:t>
      </w:r>
      <w:r w:rsidRPr="001B6E4D">
        <w:rPr>
          <w:rFonts w:ascii="標楷體" w:eastAsia="標楷體" w:hAnsi="標楷體"/>
          <w:color w:val="000000"/>
          <w:sz w:val="32"/>
          <w:szCs w:val="32"/>
        </w:rPr>
        <w:t>別</w:t>
      </w:r>
      <w:r w:rsidRPr="001B6E4D">
        <w:rPr>
          <w:rFonts w:ascii="標楷體" w:eastAsia="標楷體" w:hAnsi="標楷體" w:hint="eastAsia"/>
          <w:color w:val="000000"/>
          <w:sz w:val="32"/>
          <w:szCs w:val="32"/>
        </w:rPr>
        <w:t>是產業</w:t>
      </w:r>
      <w:proofErr w:type="gramStart"/>
      <w:r w:rsidRPr="001B6E4D">
        <w:rPr>
          <w:rFonts w:ascii="標楷體" w:eastAsia="標楷體" w:hAnsi="標楷體" w:hint="eastAsia"/>
          <w:color w:val="000000"/>
          <w:sz w:val="32"/>
          <w:szCs w:val="32"/>
        </w:rPr>
        <w:t>最</w:t>
      </w:r>
      <w:proofErr w:type="gramEnd"/>
      <w:r w:rsidRPr="001B6E4D">
        <w:rPr>
          <w:rFonts w:ascii="標楷體" w:eastAsia="標楷體" w:hAnsi="標楷體" w:hint="eastAsia"/>
          <w:color w:val="000000"/>
          <w:sz w:val="32"/>
          <w:szCs w:val="32"/>
        </w:rPr>
        <w:t>需求的，那我們看到一個問題就是這除了門市服務之外，這三</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產業不管是冷凍空調或者是汽車修護，相對是比較耗體力的辛苦產業，有時候孩子有了這方面的專長也不見得去往那個職場走，現在遇到的問題是這樣，當然也有成功的案例，像我們2月離開的一個孩子，他就跟著他爸爸公司做水電，剛好在台積電有工程他就跟著進去了，如果有承接的管教，孩子去那裡最好，</w:t>
      </w:r>
      <w:proofErr w:type="gramStart"/>
      <w:r w:rsidRPr="001B6E4D">
        <w:rPr>
          <w:rFonts w:ascii="標楷體" w:eastAsia="標楷體" w:hAnsi="標楷體" w:hint="eastAsia"/>
          <w:color w:val="000000"/>
          <w:sz w:val="32"/>
          <w:szCs w:val="32"/>
        </w:rPr>
        <w:t>去服志願</w:t>
      </w:r>
      <w:proofErr w:type="gramEnd"/>
      <w:r w:rsidRPr="001B6E4D">
        <w:rPr>
          <w:rFonts w:ascii="標楷體" w:eastAsia="標楷體" w:hAnsi="標楷體" w:hint="eastAsia"/>
          <w:color w:val="000000"/>
          <w:sz w:val="32"/>
          <w:szCs w:val="32"/>
        </w:rPr>
        <w:t>役也是最好，</w:t>
      </w:r>
      <w:proofErr w:type="gramStart"/>
      <w:r w:rsidRPr="001B6E4D">
        <w:rPr>
          <w:rFonts w:ascii="標楷體" w:eastAsia="標楷體" w:hAnsi="標楷體" w:hint="eastAsia"/>
          <w:color w:val="000000"/>
          <w:sz w:val="32"/>
          <w:szCs w:val="32"/>
        </w:rPr>
        <w:t>但去服志願</w:t>
      </w:r>
      <w:proofErr w:type="gramEnd"/>
      <w:r w:rsidRPr="001B6E4D">
        <w:rPr>
          <w:rFonts w:ascii="標楷體" w:eastAsia="標楷體" w:hAnsi="標楷體" w:hint="eastAsia"/>
          <w:color w:val="000000"/>
          <w:sz w:val="32"/>
          <w:szCs w:val="32"/>
        </w:rPr>
        <w:t>役的孩子不多，所以這邊就出現孩子想要的跟大家覺得最好的落差。</w:t>
      </w:r>
    </w:p>
    <w:p w14:paraId="7005D736"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立法院張委員雅琳：</w:t>
      </w:r>
    </w:p>
    <w:p w14:paraId="2B1E1D64"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所以就會有孩子想要的、跟大家覺得最好的出現一個落差，那最重要應該還是回到說孩子的期待跟現實，可能會跟成人的期待可能呈現一個落差，那如何幫助孩子在他的期待上面找到一條銜接的路？可能最能夠幫助孩子復歸社會。</w:t>
      </w:r>
    </w:p>
    <w:p w14:paraId="3D5A5906"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品中學郭校長宗</w:t>
      </w:r>
      <w:proofErr w:type="gramStart"/>
      <w:r w:rsidRPr="001B6E4D">
        <w:rPr>
          <w:rFonts w:ascii="標楷體" w:eastAsia="標楷體" w:hAnsi="標楷體" w:hint="eastAsia"/>
          <w:b/>
          <w:color w:val="000000"/>
          <w:sz w:val="32"/>
          <w:szCs w:val="32"/>
        </w:rPr>
        <w:t>裕</w:t>
      </w:r>
      <w:proofErr w:type="gramEnd"/>
      <w:r w:rsidRPr="001B6E4D">
        <w:rPr>
          <w:rFonts w:ascii="標楷體" w:eastAsia="標楷體" w:hAnsi="標楷體" w:hint="eastAsia"/>
          <w:b/>
          <w:color w:val="000000"/>
          <w:sz w:val="32"/>
          <w:szCs w:val="32"/>
        </w:rPr>
        <w:t>：</w:t>
      </w:r>
    </w:p>
    <w:p w14:paraId="4E1610E6"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所以也跟委員分享，其實整個學校的經營我比較傾向讓孩子們把他們心理的準備做好，就像大家都很期待我們的孩子離開學校之後繼續升學，但其實以我來講我覺得去升學要經濟條件，我從來不期待他一定要去繼續升學，除非他有很好的家庭支持，不然他其實先把自己安頓好再去想升學，絕對比我們學校直接去轉銜來得更務實，我們給他的是一個種子的概念，他出去要能夠先把自己穩定下來，至於經濟問題真的很弱勢的則</w:t>
      </w:r>
      <w:r w:rsidRPr="001B6E4D">
        <w:rPr>
          <w:rFonts w:ascii="標楷體" w:eastAsia="標楷體" w:hAnsi="標楷體"/>
          <w:color w:val="000000"/>
          <w:sz w:val="32"/>
          <w:szCs w:val="32"/>
        </w:rPr>
        <w:t>需要</w:t>
      </w:r>
      <w:r w:rsidRPr="001B6E4D">
        <w:rPr>
          <w:rFonts w:ascii="標楷體" w:eastAsia="標楷體" w:hAnsi="標楷體" w:hint="eastAsia"/>
          <w:color w:val="000000"/>
          <w:sz w:val="32"/>
          <w:szCs w:val="32"/>
        </w:rPr>
        <w:lastRenderedPageBreak/>
        <w:t>社會機制會協</w:t>
      </w:r>
      <w:r w:rsidRPr="001B6E4D">
        <w:rPr>
          <w:rFonts w:ascii="標楷體" w:eastAsia="標楷體" w:hAnsi="標楷體"/>
          <w:color w:val="000000"/>
          <w:sz w:val="32"/>
          <w:szCs w:val="32"/>
        </w:rPr>
        <w:t>助</w:t>
      </w:r>
      <w:r w:rsidRPr="001B6E4D">
        <w:rPr>
          <w:rFonts w:ascii="標楷體" w:eastAsia="標楷體" w:hAnsi="標楷體" w:hint="eastAsia"/>
          <w:color w:val="000000"/>
          <w:sz w:val="32"/>
          <w:szCs w:val="32"/>
        </w:rPr>
        <w:t>。我們希望說他在</w:t>
      </w:r>
      <w:proofErr w:type="gramStart"/>
      <w:r w:rsidRPr="001B6E4D">
        <w:rPr>
          <w:rFonts w:ascii="標楷體" w:eastAsia="標楷體" w:hAnsi="標楷體" w:hint="eastAsia"/>
          <w:color w:val="000000"/>
          <w:sz w:val="32"/>
          <w:szCs w:val="32"/>
        </w:rPr>
        <w:t>敦品待</w:t>
      </w:r>
      <w:proofErr w:type="gramEnd"/>
      <w:r w:rsidRPr="001B6E4D">
        <w:rPr>
          <w:rFonts w:ascii="標楷體" w:eastAsia="標楷體" w:hAnsi="標楷體" w:hint="eastAsia"/>
          <w:color w:val="000000"/>
          <w:sz w:val="32"/>
          <w:szCs w:val="32"/>
        </w:rPr>
        <w:t>過這一年、一年半的時間，他自己的判斷能夠比他進來前有所增長，很多東西他必須要靠自己去面對，面對到事情時是不是可以不要像以前那樣衝動？是不是願意去找資源協助？我想這個就是學校的重點。</w:t>
      </w:r>
    </w:p>
    <w:p w14:paraId="3F93199A"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立法院張委員雅琳：</w:t>
      </w:r>
    </w:p>
    <w:p w14:paraId="0949FED1"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我想要請教就是剛才也有提到在冷凍空調的那個部分，那我們接下來可否做一個相關的統計？我看學生的考照合格率都非常高，幾乎都97%以上，所以像以冷凍空調來說，學生的部分已經明確有老闆願意收，那有多少學生真的去了？讓我們更知道是否真的可以幫助孩子？那其他科別不是還會追蹤一年？有追蹤到的是否也可以了解孩子到底去了哪？有沒有維持他自己在這邊所取得的證照持續去就業？其他委員辦公室還有要補充問題嗎？</w:t>
      </w:r>
    </w:p>
    <w:p w14:paraId="76C1518B"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立法院張委員雅琳：</w:t>
      </w:r>
    </w:p>
    <w:p w14:paraId="7162357B"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因為我們預算在之前有一些刪減，我剛才覺得這個路面大家應該可以感受路面非常的不平整、有隆起的問題，另</w:t>
      </w:r>
      <w:r w:rsidRPr="001B6E4D">
        <w:rPr>
          <w:rFonts w:ascii="標楷體" w:eastAsia="標楷體" w:hAnsi="標楷體"/>
          <w:color w:val="000000"/>
          <w:sz w:val="32"/>
          <w:szCs w:val="32"/>
        </w:rPr>
        <w:t>外</w:t>
      </w:r>
      <w:r w:rsidRPr="001B6E4D">
        <w:rPr>
          <w:rFonts w:ascii="標楷體" w:eastAsia="標楷體" w:hAnsi="標楷體" w:hint="eastAsia"/>
          <w:color w:val="000000"/>
          <w:sz w:val="32"/>
          <w:szCs w:val="32"/>
        </w:rPr>
        <w:t>在睡覺的環境上面，我比較強調的是</w:t>
      </w:r>
      <w:r w:rsidRPr="001B6E4D">
        <w:rPr>
          <w:rFonts w:ascii="標楷體" w:eastAsia="標楷體" w:hAnsi="標楷體"/>
          <w:color w:val="000000"/>
          <w:sz w:val="32"/>
          <w:szCs w:val="32"/>
        </w:rPr>
        <w:t>對</w:t>
      </w:r>
      <w:r w:rsidRPr="001B6E4D">
        <w:rPr>
          <w:rFonts w:ascii="標楷體" w:eastAsia="標楷體" w:hAnsi="標楷體" w:hint="eastAsia"/>
          <w:color w:val="000000"/>
          <w:sz w:val="32"/>
          <w:szCs w:val="32"/>
        </w:rPr>
        <w:t>老師們的照顧啦，畢竟老師都要跟學生在一個空間裡面，那面對非常高壓的教學環境，那在生活上面怎麼樣提供一個更舒適的空間，所以預算刪減有沒有造</w:t>
      </w:r>
      <w:r w:rsidRPr="001B6E4D">
        <w:rPr>
          <w:rFonts w:ascii="標楷體" w:eastAsia="標楷體" w:hAnsi="標楷體"/>
          <w:color w:val="000000"/>
          <w:sz w:val="32"/>
          <w:szCs w:val="32"/>
        </w:rPr>
        <w:t>成</w:t>
      </w:r>
      <w:r w:rsidRPr="001B6E4D">
        <w:rPr>
          <w:rFonts w:ascii="標楷體" w:eastAsia="標楷體" w:hAnsi="標楷體" w:hint="eastAsia"/>
          <w:color w:val="000000"/>
          <w:sz w:val="32"/>
          <w:szCs w:val="32"/>
        </w:rPr>
        <w:t>維護困</w:t>
      </w:r>
      <w:r w:rsidRPr="001B6E4D">
        <w:rPr>
          <w:rFonts w:ascii="標楷體" w:eastAsia="標楷體" w:hAnsi="標楷體"/>
          <w:color w:val="000000"/>
          <w:sz w:val="32"/>
          <w:szCs w:val="32"/>
        </w:rPr>
        <w:t>難？</w:t>
      </w:r>
      <w:r w:rsidRPr="001B6E4D">
        <w:rPr>
          <w:rFonts w:ascii="標楷體" w:eastAsia="標楷體" w:hAnsi="標楷體" w:hint="eastAsia"/>
          <w:color w:val="000000"/>
          <w:sz w:val="32"/>
          <w:szCs w:val="32"/>
        </w:rPr>
        <w:t>另</w:t>
      </w:r>
      <w:r w:rsidRPr="001B6E4D">
        <w:rPr>
          <w:rFonts w:ascii="標楷體" w:eastAsia="標楷體" w:hAnsi="標楷體"/>
          <w:color w:val="000000"/>
          <w:sz w:val="32"/>
          <w:szCs w:val="32"/>
        </w:rPr>
        <w:t>外</w:t>
      </w:r>
      <w:r w:rsidRPr="001B6E4D">
        <w:rPr>
          <w:rFonts w:ascii="標楷體" w:eastAsia="標楷體" w:hAnsi="標楷體" w:hint="eastAsia"/>
          <w:color w:val="000000"/>
          <w:sz w:val="32"/>
          <w:szCs w:val="32"/>
        </w:rPr>
        <w:t>冷氣的部分可以提供嗎？大家在這個這麼熱的天氣，吹電風扇就可以嗎？接下來還沒有到</w:t>
      </w:r>
      <w:proofErr w:type="gramStart"/>
      <w:r w:rsidRPr="001B6E4D">
        <w:rPr>
          <w:rFonts w:ascii="標楷體" w:eastAsia="標楷體" w:hAnsi="標楷體" w:hint="eastAsia"/>
          <w:color w:val="000000"/>
          <w:sz w:val="32"/>
          <w:szCs w:val="32"/>
        </w:rPr>
        <w:t>最</w:t>
      </w:r>
      <w:proofErr w:type="gramEnd"/>
      <w:r w:rsidRPr="001B6E4D">
        <w:rPr>
          <w:rFonts w:ascii="標楷體" w:eastAsia="標楷體" w:hAnsi="標楷體" w:hint="eastAsia"/>
          <w:color w:val="000000"/>
          <w:sz w:val="32"/>
          <w:szCs w:val="32"/>
        </w:rPr>
        <w:t>高溫。</w:t>
      </w:r>
    </w:p>
    <w:p w14:paraId="5FAAB6C7"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品中學郭校長宗</w:t>
      </w:r>
      <w:proofErr w:type="gramStart"/>
      <w:r w:rsidRPr="001B6E4D">
        <w:rPr>
          <w:rFonts w:ascii="標楷體" w:eastAsia="標楷體" w:hAnsi="標楷體" w:hint="eastAsia"/>
          <w:b/>
          <w:color w:val="000000"/>
          <w:sz w:val="32"/>
          <w:szCs w:val="32"/>
        </w:rPr>
        <w:t>裕</w:t>
      </w:r>
      <w:proofErr w:type="gramEnd"/>
      <w:r w:rsidRPr="001B6E4D">
        <w:rPr>
          <w:rFonts w:ascii="標楷體" w:eastAsia="標楷體" w:hAnsi="標楷體" w:hint="eastAsia"/>
          <w:b/>
          <w:color w:val="000000"/>
          <w:sz w:val="32"/>
          <w:szCs w:val="32"/>
        </w:rPr>
        <w:t>：</w:t>
      </w:r>
    </w:p>
    <w:p w14:paraId="3332DD51"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以校長的立場當</w:t>
      </w:r>
      <w:r w:rsidRPr="001B6E4D">
        <w:rPr>
          <w:rFonts w:ascii="標楷體" w:eastAsia="標楷體" w:hAnsi="標楷體"/>
          <w:color w:val="000000"/>
          <w:sz w:val="32"/>
          <w:szCs w:val="32"/>
        </w:rPr>
        <w:t>然</w:t>
      </w:r>
      <w:r w:rsidRPr="001B6E4D">
        <w:rPr>
          <w:rFonts w:ascii="標楷體" w:eastAsia="標楷體" w:hAnsi="標楷體" w:hint="eastAsia"/>
          <w:color w:val="000000"/>
          <w:sz w:val="32"/>
          <w:szCs w:val="32"/>
        </w:rPr>
        <w:t>希望這些都能夠設置起來，因為我也是老師，只是現在當校長，這些需要我們都持續在努力，</w:t>
      </w:r>
      <w:proofErr w:type="gramStart"/>
      <w:r w:rsidRPr="001B6E4D">
        <w:rPr>
          <w:rFonts w:ascii="標楷體" w:eastAsia="標楷體" w:hAnsi="標楷體" w:hint="eastAsia"/>
          <w:color w:val="000000"/>
          <w:sz w:val="32"/>
          <w:szCs w:val="32"/>
        </w:rPr>
        <w:t>包括路平的</w:t>
      </w:r>
      <w:proofErr w:type="gramEnd"/>
      <w:r w:rsidRPr="001B6E4D">
        <w:rPr>
          <w:rFonts w:ascii="標楷體" w:eastAsia="標楷體" w:hAnsi="標楷體" w:hint="eastAsia"/>
          <w:color w:val="000000"/>
          <w:sz w:val="32"/>
          <w:szCs w:val="32"/>
        </w:rPr>
        <w:t>部分也有提</w:t>
      </w:r>
      <w:r w:rsidRPr="001B6E4D">
        <w:rPr>
          <w:rFonts w:ascii="標楷體" w:eastAsia="標楷體" w:hAnsi="標楷體"/>
          <w:color w:val="000000"/>
          <w:sz w:val="32"/>
          <w:szCs w:val="32"/>
        </w:rPr>
        <w:t>出</w:t>
      </w:r>
      <w:r w:rsidRPr="001B6E4D">
        <w:rPr>
          <w:rFonts w:ascii="標楷體" w:eastAsia="標楷體" w:hAnsi="標楷體" w:hint="eastAsia"/>
          <w:color w:val="000000"/>
          <w:sz w:val="32"/>
          <w:szCs w:val="32"/>
        </w:rPr>
        <w:t>預算，</w:t>
      </w:r>
      <w:r w:rsidRPr="001B6E4D">
        <w:rPr>
          <w:rFonts w:ascii="標楷體" w:eastAsia="標楷體" w:hAnsi="標楷體"/>
          <w:color w:val="000000"/>
          <w:sz w:val="32"/>
          <w:szCs w:val="32"/>
        </w:rPr>
        <w:t>另外</w:t>
      </w:r>
      <w:r w:rsidRPr="001B6E4D">
        <w:rPr>
          <w:rFonts w:ascii="標楷體" w:eastAsia="標楷體" w:hAnsi="標楷體" w:hint="eastAsia"/>
          <w:color w:val="000000"/>
          <w:sz w:val="32"/>
          <w:szCs w:val="32"/>
        </w:rPr>
        <w:t>冷氣的</w:t>
      </w:r>
      <w:r w:rsidRPr="001B6E4D">
        <w:rPr>
          <w:rFonts w:ascii="標楷體" w:eastAsia="標楷體" w:hAnsi="標楷體"/>
          <w:color w:val="000000"/>
          <w:sz w:val="32"/>
          <w:szCs w:val="32"/>
        </w:rPr>
        <w:t>部</w:t>
      </w:r>
      <w:r w:rsidRPr="001B6E4D">
        <w:rPr>
          <w:rFonts w:ascii="標楷體" w:eastAsia="標楷體" w:hAnsi="標楷體" w:hint="eastAsia"/>
          <w:color w:val="000000"/>
          <w:sz w:val="32"/>
          <w:szCs w:val="32"/>
        </w:rPr>
        <w:lastRenderedPageBreak/>
        <w:t>分</w:t>
      </w:r>
      <w:r w:rsidRPr="001B6E4D">
        <w:rPr>
          <w:rFonts w:ascii="標楷體" w:eastAsia="標楷體" w:hAnsi="標楷體"/>
          <w:color w:val="000000"/>
          <w:sz w:val="32"/>
          <w:szCs w:val="32"/>
        </w:rPr>
        <w:t>，</w:t>
      </w:r>
      <w:r w:rsidRPr="001B6E4D">
        <w:rPr>
          <w:rFonts w:ascii="標楷體" w:eastAsia="標楷體" w:hAnsi="標楷體" w:hint="eastAsia"/>
          <w:color w:val="000000"/>
          <w:sz w:val="32"/>
          <w:szCs w:val="32"/>
        </w:rPr>
        <w:t>我們的學</w:t>
      </w:r>
      <w:proofErr w:type="gramStart"/>
      <w:r w:rsidRPr="001B6E4D">
        <w:rPr>
          <w:rFonts w:ascii="標楷體" w:eastAsia="標楷體" w:hAnsi="標楷體" w:hint="eastAsia"/>
          <w:color w:val="000000"/>
          <w:sz w:val="32"/>
          <w:szCs w:val="32"/>
        </w:rPr>
        <w:t>務</w:t>
      </w:r>
      <w:proofErr w:type="gramEnd"/>
      <w:r w:rsidRPr="001B6E4D">
        <w:rPr>
          <w:rFonts w:ascii="標楷體" w:eastAsia="標楷體" w:hAnsi="標楷體" w:hint="eastAsia"/>
          <w:color w:val="000000"/>
          <w:sz w:val="32"/>
          <w:szCs w:val="32"/>
        </w:rPr>
        <w:t>主任是電機背景，所以我們甚至還去發展怎麼樣讓在沒有冷氣的狀況之下，透過設備讓空氣能夠更涼快一點，這是我們自己土法煉鋼的做，當然署裡</w:t>
      </w:r>
      <w:proofErr w:type="gramStart"/>
      <w:r w:rsidRPr="001B6E4D">
        <w:rPr>
          <w:rFonts w:ascii="標楷體" w:eastAsia="標楷體" w:hAnsi="標楷體" w:hint="eastAsia"/>
          <w:color w:val="000000"/>
          <w:sz w:val="32"/>
          <w:szCs w:val="32"/>
        </w:rPr>
        <w:t>或部裡能夠</w:t>
      </w:r>
      <w:proofErr w:type="gramEnd"/>
      <w:r w:rsidRPr="001B6E4D">
        <w:rPr>
          <w:rFonts w:ascii="標楷體" w:eastAsia="標楷體" w:hAnsi="標楷體" w:hint="eastAsia"/>
          <w:color w:val="000000"/>
          <w:sz w:val="32"/>
          <w:szCs w:val="32"/>
        </w:rPr>
        <w:t>給我們這樣的環境建置，那真的對學校整個管理跟輔導上會有很大的幫助。</w:t>
      </w:r>
    </w:p>
    <w:p w14:paraId="41612AEB"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w:t>
      </w:r>
      <w:r w:rsidRPr="001B6E4D">
        <w:rPr>
          <w:rFonts w:ascii="標楷體" w:eastAsia="標楷體" w:hAnsi="標楷體"/>
          <w:b/>
          <w:color w:val="000000"/>
          <w:sz w:val="32"/>
          <w:szCs w:val="32"/>
        </w:rPr>
        <w:t>法院</w:t>
      </w:r>
      <w:r w:rsidRPr="001B6E4D">
        <w:rPr>
          <w:rFonts w:ascii="標楷體" w:eastAsia="標楷體" w:hAnsi="標楷體" w:hint="eastAsia"/>
          <w:b/>
          <w:color w:val="000000"/>
          <w:sz w:val="32"/>
          <w:szCs w:val="32"/>
        </w:rPr>
        <w:t>張</w:t>
      </w:r>
      <w:r w:rsidRPr="001B6E4D">
        <w:rPr>
          <w:rFonts w:ascii="標楷體" w:eastAsia="標楷體" w:hAnsi="標楷體"/>
          <w:b/>
          <w:color w:val="000000"/>
          <w:sz w:val="32"/>
          <w:szCs w:val="32"/>
        </w:rPr>
        <w:t>委員雅琳</w:t>
      </w:r>
      <w:r w:rsidRPr="001B6E4D">
        <w:rPr>
          <w:rFonts w:ascii="標楷體" w:eastAsia="標楷體" w:hAnsi="標楷體" w:hint="eastAsia"/>
          <w:b/>
          <w:color w:val="000000"/>
          <w:sz w:val="32"/>
          <w:szCs w:val="32"/>
        </w:rPr>
        <w:t>：</w:t>
      </w:r>
    </w:p>
    <w:p w14:paraId="47B83F94"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因為現在學校裡都已經班班有冷氣，如</w:t>
      </w:r>
      <w:r w:rsidRPr="001B6E4D">
        <w:rPr>
          <w:rFonts w:ascii="標楷體" w:eastAsia="標楷體" w:hAnsi="標楷體"/>
          <w:color w:val="000000"/>
          <w:sz w:val="32"/>
          <w:szCs w:val="32"/>
        </w:rPr>
        <w:t>果</w:t>
      </w:r>
      <w:r w:rsidRPr="001B6E4D">
        <w:rPr>
          <w:rFonts w:ascii="標楷體" w:eastAsia="標楷體" w:hAnsi="標楷體" w:hint="eastAsia"/>
          <w:color w:val="000000"/>
          <w:sz w:val="32"/>
          <w:szCs w:val="32"/>
        </w:rPr>
        <w:t>晚上大家睡不好，情緒上比較容易躁動，對白天的管理上也會再增加難度，這是從人體的一個基本的運作，可否請矯正署或是法務部來回覆？</w:t>
      </w:r>
    </w:p>
    <w:p w14:paraId="026BF22D"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矯</w:t>
      </w:r>
      <w:r w:rsidRPr="001B6E4D">
        <w:rPr>
          <w:rFonts w:ascii="標楷體" w:eastAsia="標楷體" w:hAnsi="標楷體"/>
          <w:b/>
          <w:color w:val="000000"/>
          <w:sz w:val="32"/>
          <w:szCs w:val="32"/>
        </w:rPr>
        <w:t>正署</w:t>
      </w:r>
      <w:r w:rsidRPr="001B6E4D">
        <w:rPr>
          <w:rFonts w:ascii="標楷體" w:eastAsia="標楷體" w:hAnsi="標楷體" w:hint="eastAsia"/>
          <w:b/>
          <w:color w:val="000000"/>
          <w:sz w:val="32"/>
          <w:szCs w:val="32"/>
        </w:rPr>
        <w:t>王</w:t>
      </w:r>
      <w:r w:rsidRPr="001B6E4D">
        <w:rPr>
          <w:rFonts w:ascii="標楷體" w:eastAsia="標楷體" w:hAnsi="標楷體"/>
          <w:b/>
          <w:color w:val="000000"/>
          <w:sz w:val="32"/>
          <w:szCs w:val="32"/>
        </w:rPr>
        <w:t>志明科長：</w:t>
      </w:r>
    </w:p>
    <w:p w14:paraId="023660EC"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委員、各位長官各位先進大家好，我是矯正署的科長王志明，目前以四所矯</w:t>
      </w:r>
      <w:r w:rsidRPr="001B6E4D">
        <w:rPr>
          <w:rFonts w:ascii="標楷體" w:eastAsia="標楷體" w:hAnsi="標楷體"/>
          <w:color w:val="000000"/>
          <w:sz w:val="32"/>
          <w:szCs w:val="32"/>
        </w:rPr>
        <w:t>正</w:t>
      </w:r>
      <w:r w:rsidRPr="001B6E4D">
        <w:rPr>
          <w:rFonts w:ascii="標楷體" w:eastAsia="標楷體" w:hAnsi="標楷體" w:hint="eastAsia"/>
          <w:color w:val="000000"/>
          <w:sz w:val="32"/>
          <w:szCs w:val="32"/>
        </w:rPr>
        <w:t>學校來講，在教室裡面除了電腦教室、輔導的特教教室、還有門</w:t>
      </w:r>
      <w:r w:rsidRPr="001B6E4D">
        <w:rPr>
          <w:rFonts w:ascii="標楷體" w:eastAsia="標楷體" w:hAnsi="標楷體"/>
          <w:color w:val="000000"/>
          <w:sz w:val="32"/>
          <w:szCs w:val="32"/>
        </w:rPr>
        <w:t>市</w:t>
      </w:r>
      <w:r w:rsidRPr="001B6E4D">
        <w:rPr>
          <w:rFonts w:ascii="標楷體" w:eastAsia="標楷體" w:hAnsi="標楷體" w:hint="eastAsia"/>
          <w:color w:val="000000"/>
          <w:sz w:val="32"/>
          <w:szCs w:val="32"/>
        </w:rPr>
        <w:t>服務的教室有冷氣之外，教學大樓及生活區裡面一樓的兩間教室目前都沒有冷氣，以教學環境當然有冷氣是最好的，可是這會牽涉到一些政策面的部分，</w:t>
      </w:r>
      <w:r w:rsidRPr="001B6E4D">
        <w:rPr>
          <w:rFonts w:ascii="標楷體" w:eastAsia="標楷體" w:hAnsi="標楷體"/>
          <w:color w:val="000000"/>
          <w:sz w:val="32"/>
          <w:szCs w:val="32"/>
        </w:rPr>
        <w:t>也</w:t>
      </w:r>
      <w:r w:rsidRPr="001B6E4D">
        <w:rPr>
          <w:rFonts w:ascii="標楷體" w:eastAsia="標楷體" w:hAnsi="標楷體" w:hint="eastAsia"/>
          <w:color w:val="000000"/>
          <w:sz w:val="32"/>
          <w:szCs w:val="32"/>
        </w:rPr>
        <w:t>已經討論了很久，班班有冷氣在去年前年也有人提，但是目前我們把這個意見</w:t>
      </w:r>
      <w:proofErr w:type="gramStart"/>
      <w:r w:rsidRPr="001B6E4D">
        <w:rPr>
          <w:rFonts w:ascii="標楷體" w:eastAsia="標楷體" w:hAnsi="標楷體" w:hint="eastAsia"/>
          <w:color w:val="000000"/>
          <w:sz w:val="32"/>
          <w:szCs w:val="32"/>
        </w:rPr>
        <w:t>帶回去署裡</w:t>
      </w:r>
      <w:proofErr w:type="gramEnd"/>
      <w:r w:rsidRPr="001B6E4D">
        <w:rPr>
          <w:rFonts w:ascii="標楷體" w:eastAsia="標楷體" w:hAnsi="標楷體" w:hint="eastAsia"/>
          <w:color w:val="000000"/>
          <w:sz w:val="32"/>
          <w:szCs w:val="32"/>
        </w:rPr>
        <w:t>再做斟酌，因為目前各矯正機關包含矯正學校，除了一些特殊教室外，一般學科的教室是沒有冷氣的，至於老師休</w:t>
      </w:r>
      <w:r w:rsidRPr="001B6E4D">
        <w:rPr>
          <w:rFonts w:ascii="標楷體" w:eastAsia="標楷體" w:hAnsi="標楷體"/>
          <w:color w:val="000000"/>
          <w:sz w:val="32"/>
          <w:szCs w:val="32"/>
        </w:rPr>
        <w:t>息</w:t>
      </w:r>
      <w:r w:rsidRPr="001B6E4D">
        <w:rPr>
          <w:rFonts w:ascii="標楷體" w:eastAsia="標楷體" w:hAnsi="標楷體" w:hint="eastAsia"/>
          <w:color w:val="000000"/>
          <w:sz w:val="32"/>
          <w:szCs w:val="32"/>
        </w:rPr>
        <w:t>、生活空間或辦公室都有冷氣，教導員休</w:t>
      </w:r>
      <w:r w:rsidRPr="001B6E4D">
        <w:rPr>
          <w:rFonts w:ascii="標楷體" w:eastAsia="標楷體" w:hAnsi="標楷體"/>
          <w:color w:val="000000"/>
          <w:sz w:val="32"/>
          <w:szCs w:val="32"/>
        </w:rPr>
        <w:t>息</w:t>
      </w:r>
      <w:r w:rsidRPr="001B6E4D">
        <w:rPr>
          <w:rFonts w:ascii="標楷體" w:eastAsia="標楷體" w:hAnsi="標楷體" w:hint="eastAsia"/>
          <w:color w:val="000000"/>
          <w:sz w:val="32"/>
          <w:szCs w:val="32"/>
        </w:rPr>
        <w:t>的空間也有冷氣。</w:t>
      </w:r>
    </w:p>
    <w:p w14:paraId="7B30F687"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至於提到預算刪減的部分，在114年預算刪減它是一整個部</w:t>
      </w:r>
      <w:r w:rsidRPr="001B6E4D">
        <w:rPr>
          <w:rFonts w:ascii="標楷體" w:eastAsia="標楷體" w:hAnsi="標楷體"/>
          <w:color w:val="000000"/>
          <w:sz w:val="32"/>
          <w:szCs w:val="32"/>
        </w:rPr>
        <w:t>分</w:t>
      </w:r>
      <w:r w:rsidRPr="001B6E4D">
        <w:rPr>
          <w:rFonts w:ascii="標楷體" w:eastAsia="標楷體" w:hAnsi="標楷體" w:hint="eastAsia"/>
          <w:color w:val="000000"/>
          <w:sz w:val="32"/>
          <w:szCs w:val="32"/>
        </w:rPr>
        <w:t>去做刪減，所以量當然沒有大到整個業務都沒有辦法去執行，但就會在非核心的部分去做減量，比如剛才看到的路平、</w:t>
      </w:r>
      <w:r w:rsidRPr="001B6E4D">
        <w:rPr>
          <w:rFonts w:ascii="標楷體" w:eastAsia="標楷體" w:hAnsi="標楷體"/>
          <w:color w:val="000000"/>
          <w:sz w:val="32"/>
          <w:szCs w:val="32"/>
        </w:rPr>
        <w:t>還有</w:t>
      </w:r>
      <w:r w:rsidRPr="001B6E4D">
        <w:rPr>
          <w:rFonts w:ascii="標楷體" w:eastAsia="標楷體" w:hAnsi="標楷體" w:hint="eastAsia"/>
          <w:color w:val="000000"/>
          <w:sz w:val="32"/>
          <w:szCs w:val="32"/>
        </w:rPr>
        <w:t>維護部分就沒辦法做得這麼精緻，至於在處遇部分，</w:t>
      </w:r>
      <w:proofErr w:type="gramStart"/>
      <w:r w:rsidRPr="001B6E4D">
        <w:rPr>
          <w:rFonts w:ascii="標楷體" w:eastAsia="標楷體" w:hAnsi="標楷體" w:hint="eastAsia"/>
          <w:color w:val="000000"/>
          <w:sz w:val="32"/>
          <w:szCs w:val="32"/>
        </w:rPr>
        <w:t>比如說技訓</w:t>
      </w:r>
      <w:proofErr w:type="gramEnd"/>
      <w:r w:rsidRPr="001B6E4D">
        <w:rPr>
          <w:rFonts w:ascii="標楷體" w:eastAsia="標楷體" w:hAnsi="標楷體"/>
          <w:color w:val="000000"/>
          <w:sz w:val="32"/>
          <w:szCs w:val="32"/>
        </w:rPr>
        <w:t>、</w:t>
      </w:r>
      <w:r w:rsidRPr="001B6E4D">
        <w:rPr>
          <w:rFonts w:ascii="標楷體" w:eastAsia="標楷體" w:hAnsi="標楷體" w:hint="eastAsia"/>
          <w:color w:val="000000"/>
          <w:sz w:val="32"/>
          <w:szCs w:val="32"/>
        </w:rPr>
        <w:t>處遇的部分，可能預算刪減就沒有辦法這麼全</w:t>
      </w:r>
      <w:r w:rsidRPr="001B6E4D">
        <w:rPr>
          <w:rFonts w:ascii="標楷體" w:eastAsia="標楷體" w:hAnsi="標楷體"/>
          <w:color w:val="000000"/>
          <w:sz w:val="32"/>
          <w:szCs w:val="32"/>
        </w:rPr>
        <w:t>面</w:t>
      </w:r>
      <w:r w:rsidRPr="001B6E4D">
        <w:rPr>
          <w:rFonts w:ascii="標楷體" w:eastAsia="標楷體" w:hAnsi="標楷體" w:hint="eastAsia"/>
          <w:color w:val="000000"/>
          <w:sz w:val="32"/>
          <w:szCs w:val="32"/>
        </w:rPr>
        <w:t>，但</w:t>
      </w:r>
      <w:proofErr w:type="gramStart"/>
      <w:r w:rsidRPr="001B6E4D">
        <w:rPr>
          <w:rFonts w:ascii="標楷體" w:eastAsia="標楷體" w:hAnsi="標楷體" w:hint="eastAsia"/>
          <w:color w:val="000000"/>
          <w:sz w:val="32"/>
          <w:szCs w:val="32"/>
        </w:rPr>
        <w:t>最</w:t>
      </w:r>
      <w:proofErr w:type="gramEnd"/>
      <w:r w:rsidRPr="001B6E4D">
        <w:rPr>
          <w:rFonts w:ascii="標楷體" w:eastAsia="標楷體" w:hAnsi="標楷體" w:hint="eastAsia"/>
          <w:color w:val="000000"/>
          <w:sz w:val="32"/>
          <w:szCs w:val="32"/>
        </w:rPr>
        <w:t>核心部</w:t>
      </w:r>
      <w:r w:rsidRPr="001B6E4D">
        <w:rPr>
          <w:rFonts w:ascii="標楷體" w:eastAsia="標楷體" w:hAnsi="標楷體"/>
          <w:color w:val="000000"/>
          <w:sz w:val="32"/>
          <w:szCs w:val="32"/>
        </w:rPr>
        <w:t>分，像</w:t>
      </w:r>
      <w:r w:rsidRPr="001B6E4D">
        <w:rPr>
          <w:rFonts w:ascii="標楷體" w:eastAsia="標楷體" w:hAnsi="標楷體" w:hint="eastAsia"/>
          <w:color w:val="000000"/>
          <w:sz w:val="32"/>
          <w:szCs w:val="32"/>
        </w:rPr>
        <w:t>心理</w:t>
      </w:r>
      <w:r w:rsidRPr="001B6E4D">
        <w:rPr>
          <w:rFonts w:ascii="標楷體" w:eastAsia="標楷體" w:hAnsi="標楷體" w:hint="eastAsia"/>
          <w:color w:val="000000"/>
          <w:sz w:val="32"/>
          <w:szCs w:val="32"/>
        </w:rPr>
        <w:lastRenderedPageBreak/>
        <w:t>師諮</w:t>
      </w:r>
      <w:r w:rsidRPr="001B6E4D">
        <w:rPr>
          <w:rFonts w:ascii="標楷體" w:eastAsia="標楷體" w:hAnsi="標楷體"/>
          <w:color w:val="000000"/>
          <w:sz w:val="32"/>
          <w:szCs w:val="32"/>
        </w:rPr>
        <w:t>商</w:t>
      </w:r>
      <w:r w:rsidRPr="001B6E4D">
        <w:rPr>
          <w:rFonts w:ascii="標楷體" w:eastAsia="標楷體" w:hAnsi="標楷體" w:hint="eastAsia"/>
          <w:color w:val="000000"/>
          <w:sz w:val="32"/>
          <w:szCs w:val="32"/>
        </w:rPr>
        <w:t>一定還是</w:t>
      </w:r>
      <w:r w:rsidRPr="001B6E4D">
        <w:rPr>
          <w:rFonts w:ascii="標楷體" w:eastAsia="標楷體" w:hAnsi="標楷體"/>
          <w:color w:val="000000"/>
          <w:sz w:val="32"/>
          <w:szCs w:val="32"/>
        </w:rPr>
        <w:t>會對個別</w:t>
      </w:r>
      <w:r w:rsidRPr="001B6E4D">
        <w:rPr>
          <w:rFonts w:ascii="標楷體" w:eastAsia="標楷體" w:hAnsi="標楷體" w:hint="eastAsia"/>
          <w:color w:val="000000"/>
          <w:sz w:val="32"/>
          <w:szCs w:val="32"/>
        </w:rPr>
        <w:t>學生去妥善處理，但可能次數上，或經</w:t>
      </w:r>
      <w:r w:rsidRPr="001B6E4D">
        <w:rPr>
          <w:rFonts w:ascii="標楷體" w:eastAsia="標楷體" w:hAnsi="標楷體"/>
          <w:color w:val="000000"/>
          <w:sz w:val="32"/>
          <w:szCs w:val="32"/>
        </w:rPr>
        <w:t>費</w:t>
      </w:r>
      <w:r w:rsidRPr="001B6E4D">
        <w:rPr>
          <w:rFonts w:ascii="標楷體" w:eastAsia="標楷體" w:hAnsi="標楷體" w:hint="eastAsia"/>
          <w:color w:val="000000"/>
          <w:sz w:val="32"/>
          <w:szCs w:val="32"/>
        </w:rPr>
        <w:t>可能會運用其他經費去支應，各學校會去做</w:t>
      </w:r>
      <w:proofErr w:type="gramStart"/>
      <w:r w:rsidRPr="001B6E4D">
        <w:rPr>
          <w:rFonts w:ascii="標楷體" w:eastAsia="標楷體" w:hAnsi="標楷體" w:hint="eastAsia"/>
          <w:color w:val="000000"/>
          <w:sz w:val="32"/>
          <w:szCs w:val="32"/>
        </w:rPr>
        <w:t>一些衡</w:t>
      </w:r>
      <w:proofErr w:type="gramEnd"/>
      <w:r w:rsidRPr="001B6E4D">
        <w:rPr>
          <w:rFonts w:ascii="標楷體" w:eastAsia="標楷體" w:hAnsi="標楷體" w:hint="eastAsia"/>
          <w:color w:val="000000"/>
          <w:sz w:val="32"/>
          <w:szCs w:val="32"/>
        </w:rPr>
        <w:t>平，不是說整</w:t>
      </w:r>
      <w:r w:rsidRPr="001B6E4D">
        <w:rPr>
          <w:rFonts w:ascii="標楷體" w:eastAsia="標楷體" w:hAnsi="標楷體"/>
          <w:color w:val="000000"/>
          <w:sz w:val="32"/>
          <w:szCs w:val="32"/>
        </w:rPr>
        <w:t>體</w:t>
      </w:r>
      <w:r w:rsidRPr="001B6E4D">
        <w:rPr>
          <w:rFonts w:ascii="標楷體" w:eastAsia="標楷體" w:hAnsi="標楷體" w:hint="eastAsia"/>
          <w:color w:val="000000"/>
          <w:sz w:val="32"/>
          <w:szCs w:val="32"/>
        </w:rPr>
        <w:t>的影響，但是頻率及品質的部分一定會受些影響，但若</w:t>
      </w:r>
      <w:r w:rsidRPr="001B6E4D">
        <w:rPr>
          <w:rFonts w:ascii="標楷體" w:eastAsia="標楷體" w:hAnsi="標楷體"/>
          <w:color w:val="000000"/>
          <w:sz w:val="32"/>
          <w:szCs w:val="32"/>
        </w:rPr>
        <w:t>預算</w:t>
      </w:r>
      <w:r w:rsidRPr="001B6E4D">
        <w:rPr>
          <w:rFonts w:ascii="標楷體" w:eastAsia="標楷體" w:hAnsi="標楷體" w:hint="eastAsia"/>
          <w:color w:val="000000"/>
          <w:sz w:val="32"/>
          <w:szCs w:val="32"/>
        </w:rPr>
        <w:t>能</w:t>
      </w:r>
      <w:proofErr w:type="gramStart"/>
      <w:r w:rsidRPr="001B6E4D">
        <w:rPr>
          <w:rFonts w:ascii="標楷體" w:eastAsia="標楷體" w:hAnsi="標楷體" w:hint="eastAsia"/>
          <w:color w:val="000000"/>
          <w:sz w:val="32"/>
          <w:szCs w:val="32"/>
        </w:rPr>
        <w:t>不</w:t>
      </w:r>
      <w:proofErr w:type="gramEnd"/>
      <w:r w:rsidRPr="001B6E4D">
        <w:rPr>
          <w:rFonts w:ascii="標楷體" w:eastAsia="標楷體" w:hAnsi="標楷體" w:hint="eastAsia"/>
          <w:color w:val="000000"/>
          <w:sz w:val="32"/>
          <w:szCs w:val="32"/>
        </w:rPr>
        <w:t>刪減，對我們而</w:t>
      </w:r>
      <w:r w:rsidRPr="001B6E4D">
        <w:rPr>
          <w:rFonts w:ascii="標楷體" w:eastAsia="標楷體" w:hAnsi="標楷體"/>
          <w:color w:val="000000"/>
          <w:sz w:val="32"/>
          <w:szCs w:val="32"/>
        </w:rPr>
        <w:t>言可以</w:t>
      </w:r>
      <w:r w:rsidRPr="001B6E4D">
        <w:rPr>
          <w:rFonts w:ascii="標楷體" w:eastAsia="標楷體" w:hAnsi="標楷體" w:hint="eastAsia"/>
          <w:color w:val="000000"/>
          <w:sz w:val="32"/>
          <w:szCs w:val="32"/>
        </w:rPr>
        <w:t>作</w:t>
      </w:r>
      <w:r w:rsidRPr="001B6E4D">
        <w:rPr>
          <w:rFonts w:ascii="標楷體" w:eastAsia="標楷體" w:hAnsi="標楷體"/>
          <w:color w:val="000000"/>
          <w:sz w:val="32"/>
          <w:szCs w:val="32"/>
        </w:rPr>
        <w:t>的</w:t>
      </w:r>
      <w:r w:rsidRPr="001B6E4D">
        <w:rPr>
          <w:rFonts w:ascii="標楷體" w:eastAsia="標楷體" w:hAnsi="標楷體" w:hint="eastAsia"/>
          <w:color w:val="000000"/>
          <w:sz w:val="32"/>
          <w:szCs w:val="32"/>
        </w:rPr>
        <w:t>更加的全面。</w:t>
      </w:r>
    </w:p>
    <w:p w14:paraId="206EA41C"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立法院張委員雅琳：</w:t>
      </w:r>
    </w:p>
    <w:p w14:paraId="4F9A76F3"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是不是可以更具體的說</w:t>
      </w:r>
      <w:r w:rsidRPr="001B6E4D">
        <w:rPr>
          <w:rFonts w:ascii="標楷體" w:eastAsia="標楷體" w:hAnsi="標楷體"/>
          <w:color w:val="000000"/>
          <w:sz w:val="32"/>
          <w:szCs w:val="32"/>
        </w:rPr>
        <w:t>明</w:t>
      </w:r>
      <w:r w:rsidRPr="001B6E4D">
        <w:rPr>
          <w:rFonts w:ascii="標楷體" w:eastAsia="標楷體" w:hAnsi="標楷體" w:hint="eastAsia"/>
          <w:color w:val="000000"/>
          <w:sz w:val="32"/>
          <w:szCs w:val="32"/>
        </w:rPr>
        <w:t>，到底實際上面的影響是什麼？因為聽起來好像又可以？因為剛才有講到對於處遇資源、心理輔導次數會下降，那實際的影響到底是什麼？這可能要更明確的說</w:t>
      </w:r>
      <w:proofErr w:type="gramStart"/>
      <w:r w:rsidRPr="001B6E4D">
        <w:rPr>
          <w:rFonts w:ascii="標楷體" w:eastAsia="標楷體" w:hAnsi="標楷體" w:hint="eastAsia"/>
          <w:color w:val="000000"/>
          <w:sz w:val="32"/>
          <w:szCs w:val="32"/>
        </w:rPr>
        <w:t>清楚，</w:t>
      </w:r>
      <w:proofErr w:type="gramEnd"/>
      <w:r w:rsidRPr="001B6E4D">
        <w:rPr>
          <w:rFonts w:ascii="標楷體" w:eastAsia="標楷體" w:hAnsi="標楷體" w:hint="eastAsia"/>
          <w:color w:val="000000"/>
          <w:sz w:val="32"/>
          <w:szCs w:val="32"/>
        </w:rPr>
        <w:t>因為今天很多委</w:t>
      </w:r>
      <w:r w:rsidRPr="001B6E4D">
        <w:rPr>
          <w:rFonts w:ascii="標楷體" w:eastAsia="標楷體" w:hAnsi="標楷體"/>
          <w:color w:val="000000"/>
          <w:sz w:val="32"/>
          <w:szCs w:val="32"/>
        </w:rPr>
        <w:t>員</w:t>
      </w:r>
      <w:r w:rsidRPr="001B6E4D">
        <w:rPr>
          <w:rFonts w:ascii="標楷體" w:eastAsia="標楷體" w:hAnsi="標楷體" w:hint="eastAsia"/>
          <w:color w:val="000000"/>
          <w:sz w:val="32"/>
          <w:szCs w:val="32"/>
        </w:rPr>
        <w:t>辦公室都有來，大家會更了解。</w:t>
      </w:r>
    </w:p>
    <w:p w14:paraId="73D22BA1"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矯正署王志明科長：</w:t>
      </w:r>
    </w:p>
    <w:p w14:paraId="60E0BA25"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這部分我會帶回署</w:t>
      </w:r>
      <w:r w:rsidRPr="001B6E4D">
        <w:rPr>
          <w:rFonts w:ascii="標楷體" w:eastAsia="標楷體" w:hAnsi="標楷體"/>
          <w:color w:val="000000"/>
          <w:sz w:val="32"/>
          <w:szCs w:val="32"/>
        </w:rPr>
        <w:t>裡</w:t>
      </w:r>
      <w:r w:rsidRPr="001B6E4D">
        <w:rPr>
          <w:rFonts w:ascii="標楷體" w:eastAsia="標楷體" w:hAnsi="標楷體" w:hint="eastAsia"/>
          <w:color w:val="000000"/>
          <w:sz w:val="32"/>
          <w:szCs w:val="32"/>
        </w:rPr>
        <w:t>，</w:t>
      </w:r>
      <w:r w:rsidRPr="001B6E4D">
        <w:rPr>
          <w:rFonts w:ascii="標楷體" w:eastAsia="標楷體" w:hAnsi="標楷體"/>
          <w:color w:val="000000"/>
          <w:sz w:val="32"/>
          <w:szCs w:val="32"/>
        </w:rPr>
        <w:t>看</w:t>
      </w:r>
      <w:r w:rsidRPr="001B6E4D">
        <w:rPr>
          <w:rFonts w:ascii="標楷體" w:eastAsia="標楷體" w:hAnsi="標楷體" w:hint="eastAsia"/>
          <w:color w:val="000000"/>
          <w:sz w:val="32"/>
          <w:szCs w:val="32"/>
        </w:rPr>
        <w:t>有沒有做過這樣的一個統計，但是整個預算刪減，</w:t>
      </w:r>
      <w:r w:rsidRPr="001B6E4D">
        <w:rPr>
          <w:rFonts w:ascii="標楷體" w:eastAsia="標楷體" w:hAnsi="標楷體"/>
          <w:color w:val="000000"/>
          <w:sz w:val="32"/>
          <w:szCs w:val="32"/>
        </w:rPr>
        <w:t>以</w:t>
      </w:r>
      <w:proofErr w:type="gramStart"/>
      <w:r w:rsidRPr="001B6E4D">
        <w:rPr>
          <w:rFonts w:ascii="標楷體" w:eastAsia="標楷體" w:hAnsi="標楷體" w:hint="eastAsia"/>
          <w:color w:val="000000"/>
          <w:sz w:val="32"/>
          <w:szCs w:val="32"/>
        </w:rPr>
        <w:t>114</w:t>
      </w:r>
      <w:proofErr w:type="gramEnd"/>
      <w:r w:rsidRPr="001B6E4D">
        <w:rPr>
          <w:rFonts w:ascii="標楷體" w:eastAsia="標楷體" w:hAnsi="標楷體" w:hint="eastAsia"/>
          <w:color w:val="000000"/>
          <w:sz w:val="32"/>
          <w:szCs w:val="32"/>
        </w:rPr>
        <w:t>年度來講，整個四所矯正學校包含國內的旅費、水電費、設施及機械的</w:t>
      </w:r>
      <w:proofErr w:type="gramStart"/>
      <w:r w:rsidRPr="001B6E4D">
        <w:rPr>
          <w:rFonts w:ascii="標楷體" w:eastAsia="標楷體" w:hAnsi="標楷體" w:hint="eastAsia"/>
          <w:color w:val="000000"/>
          <w:sz w:val="32"/>
          <w:szCs w:val="32"/>
        </w:rPr>
        <w:t>養護費跟一般</w:t>
      </w:r>
      <w:proofErr w:type="gramEnd"/>
      <w:r w:rsidRPr="001B6E4D">
        <w:rPr>
          <w:rFonts w:ascii="標楷體" w:eastAsia="標楷體" w:hAnsi="標楷體" w:hint="eastAsia"/>
          <w:color w:val="000000"/>
          <w:sz w:val="32"/>
          <w:szCs w:val="32"/>
        </w:rPr>
        <w:t>的事務費用來講一共是刪減1,600多萬，那分散到四個學校，內容包含有國內旅費、水電費、設施費部分，各機關的可用的經費就變少了，就必須由各學校負責</w:t>
      </w:r>
      <w:proofErr w:type="gramStart"/>
      <w:r w:rsidRPr="001B6E4D">
        <w:rPr>
          <w:rFonts w:ascii="標楷體" w:eastAsia="標楷體" w:hAnsi="標楷體" w:hint="eastAsia"/>
          <w:color w:val="000000"/>
          <w:sz w:val="32"/>
          <w:szCs w:val="32"/>
        </w:rPr>
        <w:t>去做調控</w:t>
      </w:r>
      <w:proofErr w:type="gramEnd"/>
      <w:r w:rsidRPr="001B6E4D">
        <w:rPr>
          <w:rFonts w:ascii="標楷體" w:eastAsia="標楷體" w:hAnsi="標楷體" w:hint="eastAsia"/>
          <w:color w:val="000000"/>
          <w:sz w:val="32"/>
          <w:szCs w:val="32"/>
        </w:rPr>
        <w:t>，把我們的錢用在</w:t>
      </w:r>
      <w:proofErr w:type="gramStart"/>
      <w:r w:rsidRPr="001B6E4D">
        <w:rPr>
          <w:rFonts w:ascii="標楷體" w:eastAsia="標楷體" w:hAnsi="標楷體" w:hint="eastAsia"/>
          <w:color w:val="000000"/>
          <w:sz w:val="32"/>
          <w:szCs w:val="32"/>
        </w:rPr>
        <w:t>最</w:t>
      </w:r>
      <w:proofErr w:type="gramEnd"/>
      <w:r w:rsidRPr="001B6E4D">
        <w:rPr>
          <w:rFonts w:ascii="標楷體" w:eastAsia="標楷體" w:hAnsi="標楷體" w:hint="eastAsia"/>
          <w:color w:val="000000"/>
          <w:sz w:val="32"/>
          <w:szCs w:val="32"/>
        </w:rPr>
        <w:t>核心的業務部分。</w:t>
      </w:r>
    </w:p>
    <w:p w14:paraId="2852049F"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立法院張委員雅琳：</w:t>
      </w:r>
    </w:p>
    <w:p w14:paraId="6D87FFCE"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因為大家接下來要審查預算，我覺得可以再更具體，大家也不是不願意支持矯正署及學校，但要讓大家更清楚知道哪些預算對學校而</w:t>
      </w:r>
      <w:r w:rsidRPr="001B6E4D">
        <w:rPr>
          <w:rFonts w:ascii="標楷體" w:eastAsia="標楷體" w:hAnsi="標楷體"/>
          <w:color w:val="000000"/>
          <w:sz w:val="32"/>
          <w:szCs w:val="32"/>
        </w:rPr>
        <w:t>言，</w:t>
      </w:r>
      <w:r w:rsidRPr="001B6E4D">
        <w:rPr>
          <w:rFonts w:ascii="標楷體" w:eastAsia="標楷體" w:hAnsi="標楷體" w:hint="eastAsia"/>
          <w:color w:val="000000"/>
          <w:sz w:val="32"/>
          <w:szCs w:val="32"/>
        </w:rPr>
        <w:t>不管是建築的維護，會影響到的是老師的教學的環境跟空間的安全，還有哪些老舊器材無法更新，也會影響到大家的安全或教學品質等等，可能要更具體的，那這樣子大家在刪減預算或是審查預算時才會更小心！我剛才去</w:t>
      </w:r>
      <w:r w:rsidRPr="001B6E4D">
        <w:rPr>
          <w:rFonts w:ascii="標楷體" w:eastAsia="標楷體" w:hAnsi="標楷體"/>
          <w:color w:val="000000"/>
          <w:sz w:val="32"/>
          <w:szCs w:val="32"/>
        </w:rPr>
        <w:t>看</w:t>
      </w:r>
      <w:r w:rsidRPr="001B6E4D">
        <w:rPr>
          <w:rFonts w:ascii="標楷體" w:eastAsia="標楷體" w:hAnsi="標楷體" w:hint="eastAsia"/>
          <w:color w:val="000000"/>
          <w:sz w:val="32"/>
          <w:szCs w:val="32"/>
        </w:rPr>
        <w:t>路面及無障礙設備，這些都是需要去考量的部分，今天如果沒有辦法</w:t>
      </w:r>
      <w:proofErr w:type="gramStart"/>
      <w:r w:rsidRPr="001B6E4D">
        <w:rPr>
          <w:rFonts w:ascii="標楷體" w:eastAsia="標楷體" w:hAnsi="標楷體" w:hint="eastAsia"/>
          <w:color w:val="000000"/>
          <w:sz w:val="32"/>
          <w:szCs w:val="32"/>
        </w:rPr>
        <w:t>清</w:t>
      </w:r>
      <w:r w:rsidRPr="001B6E4D">
        <w:rPr>
          <w:rFonts w:ascii="標楷體" w:eastAsia="標楷體" w:hAnsi="標楷體" w:hint="eastAsia"/>
          <w:color w:val="000000"/>
          <w:sz w:val="32"/>
          <w:szCs w:val="32"/>
        </w:rPr>
        <w:lastRenderedPageBreak/>
        <w:t>楚的</w:t>
      </w:r>
      <w:proofErr w:type="gramEnd"/>
      <w:r w:rsidRPr="001B6E4D">
        <w:rPr>
          <w:rFonts w:ascii="標楷體" w:eastAsia="標楷體" w:hAnsi="標楷體" w:hint="eastAsia"/>
          <w:color w:val="000000"/>
          <w:sz w:val="32"/>
          <w:szCs w:val="32"/>
        </w:rPr>
        <w:t>說明，那回去更明確提供114年刪減預算造成的影響，我希望可以更明確的提供一個報告到各委員辦公室，讓我們各委員辦公室了解可能影響是什麼？這樣才能夠去爭取、不要刪減，這部分再麻煩矯正署，請問多久可以提供呢？</w:t>
      </w:r>
    </w:p>
    <w:p w14:paraId="156D7CF2"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矯正署王志明科長</w:t>
      </w:r>
    </w:p>
    <w:p w14:paraId="245F142D" w14:textId="77777777" w:rsidR="00B921E8" w:rsidRPr="001B6E4D" w:rsidRDefault="00B921E8" w:rsidP="003D1018">
      <w:pPr>
        <w:widowControl w:val="0"/>
        <w:overflowPunct w:val="0"/>
        <w:spacing w:line="520" w:lineRule="exact"/>
        <w:ind w:firstLineChars="450" w:firstLine="1440"/>
        <w:jc w:val="both"/>
        <w:rPr>
          <w:rFonts w:ascii="標楷體" w:eastAsia="標楷體" w:hAnsi="標楷體"/>
          <w:color w:val="000000"/>
          <w:sz w:val="32"/>
          <w:szCs w:val="32"/>
        </w:rPr>
      </w:pPr>
      <w:r w:rsidRPr="001B6E4D">
        <w:rPr>
          <w:rFonts w:ascii="標楷體" w:eastAsia="標楷體" w:hAnsi="標楷體" w:hint="eastAsia"/>
          <w:color w:val="000000"/>
          <w:sz w:val="32"/>
          <w:szCs w:val="32"/>
        </w:rPr>
        <w:t>可以給我們一個月的時間嗎？</w:t>
      </w:r>
    </w:p>
    <w:p w14:paraId="6E95C807"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立法院張委員雅琳：</w:t>
      </w:r>
    </w:p>
    <w:p w14:paraId="0327B1E7" w14:textId="77777777" w:rsidR="00B921E8" w:rsidRPr="001B6E4D" w:rsidRDefault="00B921E8" w:rsidP="003D1018">
      <w:pPr>
        <w:widowControl w:val="0"/>
        <w:overflowPunct w:val="0"/>
        <w:spacing w:line="520" w:lineRule="exact"/>
        <w:ind w:leftChars="300" w:left="720" w:firstLineChars="250" w:firstLine="800"/>
        <w:jc w:val="both"/>
        <w:rPr>
          <w:rFonts w:ascii="標楷體" w:eastAsia="標楷體" w:hAnsi="標楷體"/>
          <w:color w:val="000000"/>
          <w:sz w:val="32"/>
          <w:szCs w:val="32"/>
        </w:rPr>
      </w:pPr>
      <w:r w:rsidRPr="001B6E4D">
        <w:rPr>
          <w:rFonts w:ascii="標楷體" w:eastAsia="標楷體" w:hAnsi="標楷體" w:hint="eastAsia"/>
          <w:color w:val="000000"/>
          <w:sz w:val="32"/>
          <w:szCs w:val="32"/>
        </w:rPr>
        <w:t>接下來快就要進入審查預算了，一個月我怕會來不及，兩個禮拜可</w:t>
      </w:r>
      <w:r w:rsidRPr="001B6E4D">
        <w:rPr>
          <w:rFonts w:ascii="標楷體" w:eastAsia="標楷體" w:hAnsi="標楷體"/>
          <w:color w:val="000000"/>
          <w:sz w:val="32"/>
          <w:szCs w:val="32"/>
        </w:rPr>
        <w:t>以嗎</w:t>
      </w:r>
      <w:r w:rsidRPr="001B6E4D">
        <w:rPr>
          <w:rFonts w:ascii="標楷體" w:eastAsia="標楷體" w:hAnsi="標楷體" w:hint="eastAsia"/>
          <w:color w:val="000000"/>
          <w:sz w:val="32"/>
          <w:szCs w:val="32"/>
        </w:rPr>
        <w:t>？</w:t>
      </w:r>
    </w:p>
    <w:p w14:paraId="24E09A0D"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矯正署王志明科長</w:t>
      </w:r>
    </w:p>
    <w:p w14:paraId="5782A1DE" w14:textId="77777777" w:rsidR="00B921E8" w:rsidRPr="001B6E4D" w:rsidRDefault="00B921E8" w:rsidP="003D1018">
      <w:pPr>
        <w:widowControl w:val="0"/>
        <w:overflowPunct w:val="0"/>
        <w:spacing w:line="520" w:lineRule="exact"/>
        <w:ind w:left="1200" w:firstLineChars="100" w:firstLine="320"/>
        <w:jc w:val="both"/>
        <w:rPr>
          <w:rFonts w:ascii="標楷體" w:eastAsia="標楷體" w:hAnsi="標楷體"/>
          <w:color w:val="000000"/>
          <w:sz w:val="32"/>
          <w:szCs w:val="32"/>
        </w:rPr>
      </w:pPr>
      <w:r w:rsidRPr="001B6E4D">
        <w:rPr>
          <w:rFonts w:ascii="標楷體" w:eastAsia="標楷體" w:hAnsi="標楷體" w:hint="eastAsia"/>
          <w:color w:val="000000"/>
          <w:sz w:val="32"/>
          <w:szCs w:val="32"/>
        </w:rPr>
        <w:t>好</w:t>
      </w:r>
      <w:r w:rsidRPr="001B6E4D">
        <w:rPr>
          <w:rFonts w:ascii="標楷體" w:eastAsia="標楷體" w:hAnsi="標楷體"/>
          <w:color w:val="000000"/>
          <w:sz w:val="32"/>
          <w:szCs w:val="32"/>
        </w:rPr>
        <w:t>的，兩</w:t>
      </w:r>
      <w:r w:rsidRPr="001B6E4D">
        <w:rPr>
          <w:rFonts w:ascii="標楷體" w:eastAsia="標楷體" w:hAnsi="標楷體" w:hint="eastAsia"/>
          <w:color w:val="000000"/>
          <w:sz w:val="32"/>
          <w:szCs w:val="32"/>
        </w:rPr>
        <w:t>個</w:t>
      </w:r>
      <w:r w:rsidRPr="001B6E4D">
        <w:rPr>
          <w:rFonts w:ascii="標楷體" w:eastAsia="標楷體" w:hAnsi="標楷體"/>
          <w:color w:val="000000"/>
          <w:sz w:val="32"/>
          <w:szCs w:val="32"/>
        </w:rPr>
        <w:t>禮拜。</w:t>
      </w:r>
    </w:p>
    <w:p w14:paraId="49889485"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立法院張委員雅琳：</w:t>
      </w:r>
    </w:p>
    <w:p w14:paraId="17B6881D" w14:textId="77777777" w:rsidR="00B921E8" w:rsidRPr="001B6E4D" w:rsidRDefault="00B921E8" w:rsidP="003D1018">
      <w:pPr>
        <w:widowControl w:val="0"/>
        <w:overflowPunct w:val="0"/>
        <w:spacing w:line="520" w:lineRule="exact"/>
        <w:ind w:left="1200" w:firstLineChars="100" w:firstLine="320"/>
        <w:jc w:val="both"/>
        <w:rPr>
          <w:rFonts w:ascii="標楷體" w:eastAsia="標楷體" w:hAnsi="標楷體"/>
          <w:color w:val="000000"/>
          <w:sz w:val="32"/>
          <w:szCs w:val="32"/>
        </w:rPr>
      </w:pPr>
      <w:r w:rsidRPr="001B6E4D">
        <w:rPr>
          <w:rFonts w:ascii="標楷體" w:eastAsia="標楷體" w:hAnsi="標楷體" w:hint="eastAsia"/>
          <w:color w:val="000000"/>
          <w:sz w:val="32"/>
          <w:szCs w:val="32"/>
        </w:rPr>
        <w:t>我們也在幫你</w:t>
      </w:r>
      <w:r w:rsidRPr="001B6E4D">
        <w:rPr>
          <w:rFonts w:ascii="標楷體" w:eastAsia="標楷體" w:hAnsi="標楷體"/>
          <w:color w:val="000000"/>
          <w:sz w:val="32"/>
          <w:szCs w:val="32"/>
        </w:rPr>
        <w:t>們</w:t>
      </w:r>
      <w:r w:rsidRPr="001B6E4D">
        <w:rPr>
          <w:rFonts w:ascii="標楷體" w:eastAsia="標楷體" w:hAnsi="標楷體" w:hint="eastAsia"/>
          <w:color w:val="000000"/>
          <w:sz w:val="32"/>
          <w:szCs w:val="32"/>
        </w:rPr>
        <w:t>爭取預算，那還有委員辦公室要提問嗎？</w:t>
      </w:r>
    </w:p>
    <w:p w14:paraId="50907330"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立法院范雲委員研究室助理陳儀：</w:t>
      </w:r>
    </w:p>
    <w:p w14:paraId="509FCA2F"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我有兩個問題：一個因為今天都沒有看到學生的作息大概是怎麼樣？就是學校的活動非常多元，可是大概什麼時候作息結束？晚上的時候是怎麼樣安排？另一個是剛才雅琳委員關心科別的未來出路？因為</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hint="eastAsia"/>
          <w:color w:val="000000"/>
          <w:sz w:val="32"/>
          <w:szCs w:val="32"/>
        </w:rPr>
        <w:t>品中學的特殊性，他可能是被裁定感化教育之後就進來，那選擇是在學生身上，還是哪一個區域、哪一個科別有空位就安排進去？有自己選擇的方式跟空間嗎？謝謝。</w:t>
      </w:r>
    </w:p>
    <w:p w14:paraId="1D1C4D6F"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品中學郭校長宗</w:t>
      </w:r>
      <w:proofErr w:type="gramStart"/>
      <w:r w:rsidRPr="001B6E4D">
        <w:rPr>
          <w:rFonts w:ascii="標楷體" w:eastAsia="標楷體" w:hAnsi="標楷體" w:hint="eastAsia"/>
          <w:b/>
          <w:color w:val="000000"/>
          <w:sz w:val="32"/>
          <w:szCs w:val="32"/>
        </w:rPr>
        <w:t>裕</w:t>
      </w:r>
      <w:proofErr w:type="gramEnd"/>
      <w:r w:rsidRPr="001B6E4D">
        <w:rPr>
          <w:rFonts w:ascii="標楷體" w:eastAsia="標楷體" w:hAnsi="標楷體" w:hint="eastAsia"/>
          <w:b/>
          <w:color w:val="000000"/>
          <w:sz w:val="32"/>
          <w:szCs w:val="32"/>
        </w:rPr>
        <w:t>：</w:t>
      </w:r>
    </w:p>
    <w:p w14:paraId="61D3656D"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關於作息的部分，孩</w:t>
      </w:r>
      <w:r w:rsidRPr="001B6E4D">
        <w:rPr>
          <w:rFonts w:ascii="標楷體" w:eastAsia="標楷體" w:hAnsi="標楷體"/>
          <w:color w:val="000000"/>
          <w:sz w:val="32"/>
          <w:szCs w:val="32"/>
        </w:rPr>
        <w:t>子們</w:t>
      </w:r>
      <w:r w:rsidRPr="001B6E4D">
        <w:rPr>
          <w:rFonts w:ascii="標楷體" w:eastAsia="標楷體" w:hAnsi="標楷體" w:hint="eastAsia"/>
          <w:color w:val="000000"/>
          <w:sz w:val="32"/>
          <w:szCs w:val="32"/>
        </w:rPr>
        <w:t>6點半起床盥洗、整理打掃等用餐，第一節課8點10分開始上課，每一節課40分鐘，課間休息10分鐘，到了11點10分第四節課下課然後用餐，12點半午休</w:t>
      </w:r>
      <w:proofErr w:type="gramStart"/>
      <w:r w:rsidRPr="001B6E4D">
        <w:rPr>
          <w:rFonts w:ascii="標楷體" w:eastAsia="標楷體" w:hAnsi="標楷體" w:hint="eastAsia"/>
          <w:color w:val="000000"/>
          <w:sz w:val="32"/>
          <w:szCs w:val="32"/>
        </w:rPr>
        <w:t>一</w:t>
      </w:r>
      <w:proofErr w:type="gramEnd"/>
      <w:r w:rsidRPr="001B6E4D">
        <w:rPr>
          <w:rFonts w:ascii="標楷體" w:eastAsia="標楷體" w:hAnsi="標楷體" w:hint="eastAsia"/>
          <w:color w:val="000000"/>
          <w:sz w:val="32"/>
          <w:szCs w:val="32"/>
        </w:rPr>
        <w:t>直到1點半起床，1點50分開</w:t>
      </w:r>
      <w:r w:rsidRPr="001B6E4D">
        <w:rPr>
          <w:rFonts w:ascii="標楷體" w:eastAsia="標楷體" w:hAnsi="標楷體" w:hint="eastAsia"/>
          <w:color w:val="000000"/>
          <w:sz w:val="32"/>
          <w:szCs w:val="32"/>
        </w:rPr>
        <w:lastRenderedPageBreak/>
        <w:t>始下午的第一節課，</w:t>
      </w:r>
      <w:proofErr w:type="gramStart"/>
      <w:r w:rsidRPr="001B6E4D">
        <w:rPr>
          <w:rFonts w:ascii="標楷體" w:eastAsia="標楷體" w:hAnsi="標楷體" w:hint="eastAsia"/>
          <w:color w:val="000000"/>
          <w:sz w:val="32"/>
          <w:szCs w:val="32"/>
        </w:rPr>
        <w:t>一</w:t>
      </w:r>
      <w:proofErr w:type="gramEnd"/>
      <w:r w:rsidRPr="001B6E4D">
        <w:rPr>
          <w:rFonts w:ascii="標楷體" w:eastAsia="標楷體" w:hAnsi="標楷體" w:hint="eastAsia"/>
          <w:color w:val="000000"/>
          <w:sz w:val="32"/>
          <w:szCs w:val="32"/>
        </w:rPr>
        <w:t>直到下午4點10分的第七節課結束。</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hint="eastAsia"/>
          <w:color w:val="000000"/>
          <w:sz w:val="32"/>
          <w:szCs w:val="32"/>
        </w:rPr>
        <w:t>品比較特別的地方就是一般其他的矯正學校在第七節下課後就回到寢室了，但是</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hint="eastAsia"/>
          <w:color w:val="000000"/>
          <w:sz w:val="32"/>
          <w:szCs w:val="32"/>
        </w:rPr>
        <w:t>品這邊因為人員跟硬體建置的問題，我們的孩子是第七節下課之後會在一樓的教室生活，包括用餐、晚自習、看電視或寫書信，都會在教室做，</w:t>
      </w:r>
      <w:proofErr w:type="gramStart"/>
      <w:r w:rsidRPr="001B6E4D">
        <w:rPr>
          <w:rFonts w:ascii="標楷體" w:eastAsia="標楷體" w:hAnsi="標楷體" w:hint="eastAsia"/>
          <w:color w:val="000000"/>
          <w:sz w:val="32"/>
          <w:szCs w:val="32"/>
        </w:rPr>
        <w:t>一</w:t>
      </w:r>
      <w:proofErr w:type="gramEnd"/>
      <w:r w:rsidRPr="001B6E4D">
        <w:rPr>
          <w:rFonts w:ascii="標楷體" w:eastAsia="標楷體" w:hAnsi="標楷體" w:hint="eastAsia"/>
          <w:color w:val="000000"/>
          <w:sz w:val="32"/>
          <w:szCs w:val="32"/>
        </w:rPr>
        <w:t>直到晚上9點的時候才會到二樓的寢室，所以二樓的寢</w:t>
      </w:r>
      <w:r w:rsidRPr="001B6E4D">
        <w:rPr>
          <w:rFonts w:ascii="標楷體" w:eastAsia="標楷體" w:hAnsi="標楷體"/>
          <w:color w:val="000000"/>
          <w:sz w:val="32"/>
          <w:szCs w:val="32"/>
        </w:rPr>
        <w:t>室</w:t>
      </w:r>
      <w:r w:rsidRPr="001B6E4D">
        <w:rPr>
          <w:rFonts w:ascii="標楷體" w:eastAsia="標楷體" w:hAnsi="標楷體" w:hint="eastAsia"/>
          <w:color w:val="000000"/>
          <w:sz w:val="32"/>
          <w:szCs w:val="32"/>
        </w:rPr>
        <w:t>單純只有睡覺，這對孩子們生活學習相對比較自由一點，但是對同仁們的負擔就會增加。</w:t>
      </w:r>
    </w:p>
    <w:p w14:paraId="05E6F918"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那另外一個問題是選擇科系，孩子們到學校之後第一個月會在新生班，這一個月的時間，老師、輔導老師、心理</w:t>
      </w:r>
      <w:proofErr w:type="gramStart"/>
      <w:r w:rsidRPr="001B6E4D">
        <w:rPr>
          <w:rFonts w:ascii="標楷體" w:eastAsia="標楷體" w:hAnsi="標楷體" w:hint="eastAsia"/>
          <w:color w:val="000000"/>
          <w:sz w:val="32"/>
          <w:szCs w:val="32"/>
        </w:rPr>
        <w:t>師及教輔小組</w:t>
      </w:r>
      <w:proofErr w:type="gramEnd"/>
      <w:r w:rsidRPr="001B6E4D">
        <w:rPr>
          <w:rFonts w:ascii="標楷體" w:eastAsia="標楷體" w:hAnsi="標楷體" w:hint="eastAsia"/>
          <w:color w:val="000000"/>
          <w:sz w:val="32"/>
          <w:szCs w:val="32"/>
        </w:rPr>
        <w:t>整個就會介入，充分的去了解每</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孩子，最後會有一份資料出來，包括法官的處遇建議，學生的興趣志向，還有</w:t>
      </w:r>
      <w:proofErr w:type="gramStart"/>
      <w:r w:rsidRPr="001B6E4D">
        <w:rPr>
          <w:rFonts w:ascii="標楷體" w:eastAsia="標楷體" w:hAnsi="標楷體" w:hint="eastAsia"/>
          <w:color w:val="000000"/>
          <w:sz w:val="32"/>
          <w:szCs w:val="32"/>
        </w:rPr>
        <w:t>學校教輔小組</w:t>
      </w:r>
      <w:proofErr w:type="gramEnd"/>
      <w:r w:rsidRPr="001B6E4D">
        <w:rPr>
          <w:rFonts w:ascii="標楷體" w:eastAsia="標楷體" w:hAnsi="標楷體" w:hint="eastAsia"/>
          <w:color w:val="000000"/>
          <w:sz w:val="32"/>
          <w:szCs w:val="32"/>
        </w:rPr>
        <w:t>對他的評估，然後送到我們處遇委員會裡進行編班。學校只有四個科，他的第一志願原則上會參照他的志願來編班，但是在志願的前提之下還有法官的處遇建議，舉個例子，如果跟某某同學之間在外面有過節，處遇建議書上面就會說某某學生不適合在那一個科，有時候孩子選那一個科是因為有朋友在那，那這個朋友到底是益友或者是損友？我們可能就要透過同仁來判斷，如果是益友那當然OK，如果是損友很可能就會編</w:t>
      </w:r>
      <w:r w:rsidRPr="001B6E4D">
        <w:rPr>
          <w:rFonts w:ascii="標楷體" w:eastAsia="標楷體" w:hAnsi="標楷體"/>
          <w:color w:val="000000"/>
          <w:sz w:val="32"/>
          <w:szCs w:val="32"/>
        </w:rPr>
        <w:t>入</w:t>
      </w:r>
      <w:r w:rsidRPr="001B6E4D">
        <w:rPr>
          <w:rFonts w:ascii="標楷體" w:eastAsia="標楷體" w:hAnsi="標楷體" w:hint="eastAsia"/>
          <w:color w:val="000000"/>
          <w:sz w:val="32"/>
          <w:szCs w:val="32"/>
        </w:rPr>
        <w:t>他第二</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志願的班。</w:t>
      </w:r>
    </w:p>
    <w:p w14:paraId="08EEAFD1"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立法院范雲委員研究室助理陳儀：</w:t>
      </w:r>
    </w:p>
    <w:p w14:paraId="47DB8AD7"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所以孩子還是</w:t>
      </w:r>
      <w:proofErr w:type="gramStart"/>
      <w:r w:rsidRPr="001B6E4D">
        <w:rPr>
          <w:rFonts w:ascii="標楷體" w:eastAsia="標楷體" w:hAnsi="標楷體" w:hint="eastAsia"/>
          <w:color w:val="000000"/>
          <w:sz w:val="32"/>
          <w:szCs w:val="32"/>
        </w:rPr>
        <w:t>會填類似</w:t>
      </w:r>
      <w:proofErr w:type="gramEnd"/>
      <w:r w:rsidRPr="001B6E4D">
        <w:rPr>
          <w:rFonts w:ascii="標楷體" w:eastAsia="標楷體" w:hAnsi="標楷體" w:hint="eastAsia"/>
          <w:color w:val="000000"/>
          <w:sz w:val="32"/>
          <w:szCs w:val="32"/>
        </w:rPr>
        <w:t>像志願，然後再由處遇委員會跟法官的建議來去做一個調整對不對？</w:t>
      </w:r>
    </w:p>
    <w:p w14:paraId="4C6A307F"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品中學郭校長宗</w:t>
      </w:r>
      <w:proofErr w:type="gramStart"/>
      <w:r w:rsidRPr="001B6E4D">
        <w:rPr>
          <w:rFonts w:ascii="標楷體" w:eastAsia="標楷體" w:hAnsi="標楷體" w:hint="eastAsia"/>
          <w:b/>
          <w:color w:val="000000"/>
          <w:sz w:val="32"/>
          <w:szCs w:val="32"/>
        </w:rPr>
        <w:t>裕</w:t>
      </w:r>
      <w:proofErr w:type="gramEnd"/>
      <w:r w:rsidRPr="001B6E4D">
        <w:rPr>
          <w:rFonts w:ascii="標楷體" w:eastAsia="標楷體" w:hAnsi="標楷體" w:hint="eastAsia"/>
          <w:b/>
          <w:color w:val="000000"/>
          <w:sz w:val="32"/>
          <w:szCs w:val="32"/>
        </w:rPr>
        <w:t>：</w:t>
      </w:r>
    </w:p>
    <w:p w14:paraId="20D3628A"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對。</w:t>
      </w:r>
    </w:p>
    <w:p w14:paraId="6877F8E9"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立法院張雅琳委員：</w:t>
      </w:r>
    </w:p>
    <w:p w14:paraId="5D94E5FF"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那我好奇學生最喜歡的課是什麼？</w:t>
      </w:r>
    </w:p>
    <w:p w14:paraId="3448624C"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lastRenderedPageBreak/>
        <w:t>敦</w:t>
      </w:r>
      <w:proofErr w:type="gramEnd"/>
      <w:r w:rsidRPr="001B6E4D">
        <w:rPr>
          <w:rFonts w:ascii="標楷體" w:eastAsia="標楷體" w:hAnsi="標楷體" w:hint="eastAsia"/>
          <w:b/>
          <w:color w:val="000000"/>
          <w:sz w:val="32"/>
          <w:szCs w:val="32"/>
        </w:rPr>
        <w:t>品中學郭校長宗</w:t>
      </w:r>
      <w:proofErr w:type="gramStart"/>
      <w:r w:rsidRPr="001B6E4D">
        <w:rPr>
          <w:rFonts w:ascii="標楷體" w:eastAsia="標楷體" w:hAnsi="標楷體" w:hint="eastAsia"/>
          <w:b/>
          <w:color w:val="000000"/>
          <w:sz w:val="32"/>
          <w:szCs w:val="32"/>
        </w:rPr>
        <w:t>裕</w:t>
      </w:r>
      <w:proofErr w:type="gramEnd"/>
      <w:r w:rsidRPr="001B6E4D">
        <w:rPr>
          <w:rFonts w:ascii="標楷體" w:eastAsia="標楷體" w:hAnsi="標楷體" w:hint="eastAsia"/>
          <w:b/>
          <w:color w:val="000000"/>
          <w:sz w:val="32"/>
          <w:szCs w:val="32"/>
        </w:rPr>
        <w:t>：</w:t>
      </w:r>
    </w:p>
    <w:p w14:paraId="57EFBE59"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國文課。</w:t>
      </w:r>
    </w:p>
    <w:p w14:paraId="236633C7"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立法院張雅琳委員：</w:t>
      </w:r>
    </w:p>
    <w:p w14:paraId="22DD0BCC"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最喜歡國文課？有</w:t>
      </w:r>
      <w:r w:rsidRPr="001B6E4D">
        <w:rPr>
          <w:rFonts w:ascii="標楷體" w:eastAsia="標楷體" w:hAnsi="標楷體"/>
          <w:color w:val="000000"/>
          <w:sz w:val="32"/>
          <w:szCs w:val="32"/>
        </w:rPr>
        <w:t>聽過</w:t>
      </w:r>
      <w:r w:rsidRPr="001B6E4D">
        <w:rPr>
          <w:rFonts w:ascii="標楷體" w:eastAsia="標楷體" w:hAnsi="標楷體" w:hint="eastAsia"/>
          <w:color w:val="000000"/>
          <w:sz w:val="32"/>
          <w:szCs w:val="32"/>
        </w:rPr>
        <w:t>英文課很討厭，但是這個英文老師上起課來是不一樣的，有類似學生最喜歡的課程是什麼的調查嗎</w:t>
      </w:r>
      <w:r w:rsidRPr="001B6E4D">
        <w:rPr>
          <w:rFonts w:ascii="標楷體" w:eastAsia="標楷體" w:hAnsi="標楷體"/>
          <w:color w:val="000000"/>
          <w:sz w:val="32"/>
          <w:szCs w:val="32"/>
        </w:rPr>
        <w:t>？</w:t>
      </w:r>
    </w:p>
    <w:p w14:paraId="151A54EC"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品中學郭校長宗</w:t>
      </w:r>
      <w:proofErr w:type="gramStart"/>
      <w:r w:rsidRPr="001B6E4D">
        <w:rPr>
          <w:rFonts w:ascii="標楷體" w:eastAsia="標楷體" w:hAnsi="標楷體" w:hint="eastAsia"/>
          <w:b/>
          <w:color w:val="000000"/>
          <w:sz w:val="32"/>
          <w:szCs w:val="32"/>
        </w:rPr>
        <w:t>裕</w:t>
      </w:r>
      <w:proofErr w:type="gramEnd"/>
      <w:r w:rsidRPr="001B6E4D">
        <w:rPr>
          <w:rFonts w:ascii="標楷體" w:eastAsia="標楷體" w:hAnsi="標楷體" w:hint="eastAsia"/>
          <w:b/>
          <w:color w:val="000000"/>
          <w:sz w:val="32"/>
          <w:szCs w:val="32"/>
        </w:rPr>
        <w:t>：</w:t>
      </w:r>
    </w:p>
    <w:p w14:paraId="2E38A3F9"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沒有，不好意思特別做這樣的調查，我跟委員說實話就是這樣，但基本上在我們來看，跟我服務過32年不管公私立學校的學校，我們學校老師真的是沒</w:t>
      </w:r>
      <w:r w:rsidRPr="001B6E4D">
        <w:rPr>
          <w:rFonts w:ascii="標楷體" w:eastAsia="標楷體" w:hAnsi="標楷體"/>
          <w:color w:val="000000"/>
          <w:sz w:val="32"/>
          <w:szCs w:val="32"/>
        </w:rPr>
        <w:t>話講</w:t>
      </w:r>
      <w:r w:rsidRPr="001B6E4D">
        <w:rPr>
          <w:rFonts w:ascii="標楷體" w:eastAsia="標楷體" w:hAnsi="標楷體" w:hint="eastAsia"/>
          <w:color w:val="000000"/>
          <w:sz w:val="32"/>
          <w:szCs w:val="32"/>
        </w:rPr>
        <w:t>。</w:t>
      </w:r>
    </w:p>
    <w:p w14:paraId="4DF750D0"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立法院張雅琳委員：</w:t>
      </w:r>
    </w:p>
    <w:p w14:paraId="23E40EBC"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之所以問這個問題，最主要就是一般學校裡面有統計小朋友最喜歡是體育課，所以學生就期待體育課的時數可不可以增加，所以我們是</w:t>
      </w:r>
      <w:r w:rsidRPr="001B6E4D">
        <w:rPr>
          <w:rFonts w:ascii="標楷體" w:eastAsia="標楷體" w:hAnsi="標楷體"/>
          <w:color w:val="000000"/>
          <w:sz w:val="32"/>
          <w:szCs w:val="32"/>
        </w:rPr>
        <w:t>否</w:t>
      </w:r>
      <w:r w:rsidRPr="001B6E4D">
        <w:rPr>
          <w:rFonts w:ascii="標楷體" w:eastAsia="標楷體" w:hAnsi="標楷體" w:hint="eastAsia"/>
          <w:color w:val="000000"/>
          <w:sz w:val="32"/>
          <w:szCs w:val="32"/>
        </w:rPr>
        <w:t>也有類似的調查，了解我們的學生喜歡什麼樣的課，在這個課程上面是不是也有調整的機會。例如假設學生最喜歡體育課，那是不是體育課的節數可以增加，因為有一些國外的研究是讓感化教育的少年在一些運動科別的時數有所提升，讓學生動得更多，也許是幫助他們解決一些注意力缺失或者是衝動性衝突的問題，我拋出這個想法。</w:t>
      </w:r>
    </w:p>
    <w:p w14:paraId="7F160D99"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proofErr w:type="gramStart"/>
      <w:r w:rsidRPr="001B6E4D">
        <w:rPr>
          <w:rFonts w:ascii="標楷體" w:eastAsia="標楷體" w:hAnsi="標楷體" w:hint="eastAsia"/>
          <w:b/>
          <w:color w:val="000000"/>
          <w:sz w:val="32"/>
          <w:szCs w:val="32"/>
        </w:rPr>
        <w:t>敦</w:t>
      </w:r>
      <w:proofErr w:type="gramEnd"/>
      <w:r w:rsidRPr="001B6E4D">
        <w:rPr>
          <w:rFonts w:ascii="標楷體" w:eastAsia="標楷體" w:hAnsi="標楷體" w:hint="eastAsia"/>
          <w:b/>
          <w:color w:val="000000"/>
          <w:sz w:val="32"/>
          <w:szCs w:val="32"/>
        </w:rPr>
        <w:t>品中學郭校長宗</w:t>
      </w:r>
      <w:proofErr w:type="gramStart"/>
      <w:r w:rsidRPr="001B6E4D">
        <w:rPr>
          <w:rFonts w:ascii="標楷體" w:eastAsia="標楷體" w:hAnsi="標楷體" w:hint="eastAsia"/>
          <w:b/>
          <w:color w:val="000000"/>
          <w:sz w:val="32"/>
          <w:szCs w:val="32"/>
        </w:rPr>
        <w:t>裕</w:t>
      </w:r>
      <w:proofErr w:type="gramEnd"/>
      <w:r w:rsidRPr="001B6E4D">
        <w:rPr>
          <w:rFonts w:ascii="標楷體" w:eastAsia="標楷體" w:hAnsi="標楷體" w:hint="eastAsia"/>
          <w:b/>
          <w:color w:val="000000"/>
          <w:sz w:val="32"/>
          <w:szCs w:val="32"/>
        </w:rPr>
        <w:t>：</w:t>
      </w:r>
    </w:p>
    <w:p w14:paraId="0C14957B"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因為108</w:t>
      </w:r>
      <w:proofErr w:type="gramStart"/>
      <w:r w:rsidRPr="001B6E4D">
        <w:rPr>
          <w:rFonts w:ascii="標楷體" w:eastAsia="標楷體" w:hAnsi="標楷體" w:hint="eastAsia"/>
          <w:color w:val="000000"/>
          <w:sz w:val="32"/>
          <w:szCs w:val="32"/>
        </w:rPr>
        <w:t>課綱最大</w:t>
      </w:r>
      <w:proofErr w:type="gramEnd"/>
      <w:r w:rsidRPr="001B6E4D">
        <w:rPr>
          <w:rFonts w:ascii="標楷體" w:eastAsia="標楷體" w:hAnsi="標楷體" w:hint="eastAsia"/>
          <w:color w:val="000000"/>
          <w:sz w:val="32"/>
          <w:szCs w:val="32"/>
        </w:rPr>
        <w:t>的彈性就是這樣子，所以有的學校會從特色課程或者是校訂課程來發展增加節數，以我們學校來講我們是透過社團，像體育性的社團籃球等等，學校除了體育課之外還有矯正運動推展計畫，每一個科都有籃球隊，那每一個科的籃球隊的訓練時間都是抽出來的，很可能他當</w:t>
      </w:r>
      <w:r w:rsidRPr="001B6E4D">
        <w:rPr>
          <w:rFonts w:ascii="標楷體" w:eastAsia="標楷體" w:hAnsi="標楷體"/>
          <w:color w:val="000000"/>
          <w:sz w:val="32"/>
          <w:szCs w:val="32"/>
        </w:rPr>
        <w:t>時上</w:t>
      </w:r>
      <w:r w:rsidRPr="001B6E4D">
        <w:rPr>
          <w:rFonts w:ascii="標楷體" w:eastAsia="標楷體" w:hAnsi="標楷體" w:hint="eastAsia"/>
          <w:color w:val="000000"/>
          <w:sz w:val="32"/>
          <w:szCs w:val="32"/>
        </w:rPr>
        <w:t>國文課，因為這個時段是做籃球訓練，這個學生就會出來，他就可以不用上國文課</w:t>
      </w:r>
      <w:r w:rsidRPr="001B6E4D">
        <w:rPr>
          <w:rFonts w:ascii="標楷體" w:eastAsia="標楷體" w:hAnsi="標楷體" w:hint="eastAsia"/>
          <w:color w:val="000000"/>
          <w:sz w:val="32"/>
          <w:szCs w:val="32"/>
        </w:rPr>
        <w:lastRenderedPageBreak/>
        <w:t>來做集訓，但是在那個時數大</w:t>
      </w:r>
      <w:r w:rsidRPr="001B6E4D">
        <w:rPr>
          <w:rFonts w:ascii="標楷體" w:eastAsia="標楷體" w:hAnsi="標楷體"/>
          <w:color w:val="000000"/>
          <w:sz w:val="32"/>
          <w:szCs w:val="32"/>
        </w:rPr>
        <w:t>約</w:t>
      </w:r>
      <w:r w:rsidRPr="001B6E4D">
        <w:rPr>
          <w:rFonts w:ascii="標楷體" w:eastAsia="標楷體" w:hAnsi="標楷體" w:hint="eastAsia"/>
          <w:color w:val="000000"/>
          <w:sz w:val="32"/>
          <w:szCs w:val="32"/>
        </w:rPr>
        <w:t>2個小時，就是利用很多元的設計滿足孩子們的需求。</w:t>
      </w:r>
    </w:p>
    <w:p w14:paraId="0CB73C92" w14:textId="77777777" w:rsidR="00B921E8" w:rsidRPr="001B6E4D" w:rsidRDefault="00B921E8" w:rsidP="003D1018">
      <w:pPr>
        <w:widowControl w:val="0"/>
        <w:numPr>
          <w:ilvl w:val="0"/>
          <w:numId w:val="79"/>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 xml:space="preserve">立法院張雅琳委員： </w:t>
      </w:r>
    </w:p>
    <w:p w14:paraId="6C9B58F2"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其他委員辦公室還有什麼問題嗎？我想今天在看覺得課程真的是蠻豐富的，學生的畫作我覺得他們真的非常有</w:t>
      </w:r>
      <w:proofErr w:type="gramStart"/>
      <w:r w:rsidRPr="001B6E4D">
        <w:rPr>
          <w:rFonts w:ascii="標楷體" w:eastAsia="標楷體" w:hAnsi="標楷體" w:hint="eastAsia"/>
          <w:color w:val="000000"/>
          <w:sz w:val="32"/>
          <w:szCs w:val="32"/>
        </w:rPr>
        <w:t>天份</w:t>
      </w:r>
      <w:proofErr w:type="gramEnd"/>
      <w:r w:rsidRPr="001B6E4D">
        <w:rPr>
          <w:rFonts w:ascii="標楷體" w:eastAsia="標楷體" w:hAnsi="標楷體" w:hint="eastAsia"/>
          <w:color w:val="000000"/>
          <w:sz w:val="32"/>
          <w:szCs w:val="32"/>
        </w:rPr>
        <w:t>，畫作到時候照片寄給我，我也想看看有沒有</w:t>
      </w:r>
      <w:proofErr w:type="gramStart"/>
      <w:r w:rsidRPr="001B6E4D">
        <w:rPr>
          <w:rFonts w:ascii="標楷體" w:eastAsia="標楷體" w:hAnsi="標楷體" w:hint="eastAsia"/>
          <w:color w:val="000000"/>
          <w:sz w:val="32"/>
          <w:szCs w:val="32"/>
        </w:rPr>
        <w:t>一些文創的</w:t>
      </w:r>
      <w:proofErr w:type="gramEnd"/>
      <w:r w:rsidRPr="001B6E4D">
        <w:rPr>
          <w:rFonts w:ascii="標楷體" w:eastAsia="標楷體" w:hAnsi="標楷體" w:hint="eastAsia"/>
          <w:color w:val="000000"/>
          <w:sz w:val="32"/>
          <w:szCs w:val="32"/>
        </w:rPr>
        <w:t>產業可以協助</w:t>
      </w:r>
      <w:proofErr w:type="gramStart"/>
      <w:r w:rsidRPr="001B6E4D">
        <w:rPr>
          <w:rFonts w:ascii="標楷體" w:eastAsia="標楷體" w:hAnsi="標楷體" w:hint="eastAsia"/>
          <w:color w:val="000000"/>
          <w:sz w:val="32"/>
          <w:szCs w:val="32"/>
        </w:rPr>
        <w:t>做對</w:t>
      </w:r>
      <w:proofErr w:type="gramEnd"/>
      <w:r w:rsidRPr="001B6E4D">
        <w:rPr>
          <w:rFonts w:ascii="標楷體" w:eastAsia="標楷體" w:hAnsi="標楷體" w:hint="eastAsia"/>
          <w:color w:val="000000"/>
          <w:sz w:val="32"/>
          <w:szCs w:val="32"/>
        </w:rPr>
        <w:t>接，如果有一個機會，也許他可以自己當老闆，發展自己的事業，今天也非常感謝所有</w:t>
      </w:r>
      <w:proofErr w:type="gramStart"/>
      <w:r w:rsidRPr="001B6E4D">
        <w:rPr>
          <w:rFonts w:ascii="標楷體" w:eastAsia="標楷體" w:hAnsi="標楷體" w:hint="eastAsia"/>
          <w:color w:val="000000"/>
          <w:sz w:val="32"/>
          <w:szCs w:val="32"/>
        </w:rPr>
        <w:t>敦</w:t>
      </w:r>
      <w:proofErr w:type="gramEnd"/>
      <w:r w:rsidRPr="001B6E4D">
        <w:rPr>
          <w:rFonts w:ascii="標楷體" w:eastAsia="標楷體" w:hAnsi="標楷體" w:hint="eastAsia"/>
          <w:color w:val="000000"/>
          <w:sz w:val="32"/>
          <w:szCs w:val="32"/>
        </w:rPr>
        <w:t>品中學的老師，大家都可以看到老師真的是非常辛苦，也非常有挑戰，在這樣子的環境裡面及硬體設備的限制下，還要去承接這麼多的孩子，也是衷心的表達感謝，那我們今天的考察就到這邊結束，謝謝！</w:t>
      </w:r>
    </w:p>
    <w:p w14:paraId="1EB026B0" w14:textId="77777777" w:rsidR="00B921E8" w:rsidRPr="001B6E4D" w:rsidRDefault="00B921E8" w:rsidP="003D1018">
      <w:pPr>
        <w:widowControl w:val="0"/>
        <w:numPr>
          <w:ilvl w:val="0"/>
          <w:numId w:val="14"/>
        </w:numPr>
        <w:overflowPunct w:val="0"/>
        <w:spacing w:line="520" w:lineRule="exact"/>
        <w:jc w:val="both"/>
        <w:rPr>
          <w:rFonts w:ascii="標楷體" w:eastAsia="標楷體" w:hAnsi="標楷體" w:cs="標楷體"/>
          <w:b/>
          <w:color w:val="000000"/>
          <w:sz w:val="32"/>
          <w:szCs w:val="32"/>
          <w:lang w:val="zh-TW"/>
        </w:rPr>
      </w:pPr>
      <w:r w:rsidRPr="001B6E4D">
        <w:rPr>
          <w:rFonts w:ascii="標楷體" w:eastAsia="標楷體" w:hAnsi="標楷體" w:hint="eastAsia"/>
          <w:b/>
          <w:color w:val="000000"/>
          <w:sz w:val="32"/>
          <w:szCs w:val="22"/>
        </w:rPr>
        <w:t>散會</w:t>
      </w:r>
      <w:r w:rsidRPr="001B6E4D">
        <w:rPr>
          <w:rFonts w:ascii="標楷體" w:eastAsia="標楷體" w:hAnsi="標楷體" w:cs="標楷體" w:hint="eastAsia"/>
          <w:b/>
          <w:color w:val="000000"/>
          <w:sz w:val="32"/>
          <w:szCs w:val="32"/>
          <w:lang w:val="zh-TW"/>
        </w:rPr>
        <w:t>（</w:t>
      </w:r>
      <w:r w:rsidRPr="001B6E4D">
        <w:rPr>
          <w:rFonts w:ascii="標楷體" w:eastAsia="標楷體" w:hAnsi="標楷體" w:hint="eastAsia"/>
          <w:b/>
          <w:iCs/>
          <w:color w:val="000000"/>
          <w:sz w:val="32"/>
          <w:szCs w:val="32"/>
          <w:lang w:val="zh-TW" w:eastAsia="x-none"/>
        </w:rPr>
        <w:t>12</w:t>
      </w:r>
      <w:r w:rsidRPr="001B6E4D">
        <w:rPr>
          <w:rFonts w:ascii="標楷體" w:eastAsia="標楷體" w:hAnsi="標楷體" w:cs="標楷體" w:hint="eastAsia"/>
          <w:b/>
          <w:color w:val="000000"/>
          <w:sz w:val="32"/>
          <w:szCs w:val="32"/>
          <w:lang w:val="zh-TW"/>
        </w:rPr>
        <w:t>時5分）。</w:t>
      </w:r>
    </w:p>
    <w:p w14:paraId="66C901A1" w14:textId="77777777" w:rsidR="00B921E8" w:rsidRPr="001B6E4D" w:rsidRDefault="00B921E8" w:rsidP="003D1018">
      <w:pPr>
        <w:overflowPunct w:val="0"/>
        <w:rPr>
          <w:rFonts w:ascii="標楷體" w:eastAsia="標楷體" w:hAnsi="標楷體" w:cs="標楷體"/>
          <w:b/>
          <w:color w:val="000000"/>
          <w:sz w:val="32"/>
          <w:szCs w:val="32"/>
          <w:lang w:val="zh-TW"/>
        </w:rPr>
      </w:pPr>
      <w:r w:rsidRPr="001B6E4D">
        <w:rPr>
          <w:rFonts w:ascii="標楷體" w:eastAsia="標楷體" w:hAnsi="標楷體" w:cs="標楷體"/>
          <w:b/>
          <w:color w:val="000000"/>
          <w:sz w:val="32"/>
          <w:szCs w:val="32"/>
          <w:lang w:val="zh-TW"/>
        </w:rPr>
        <w:br w:type="page"/>
      </w:r>
    </w:p>
    <w:p w14:paraId="5254A816" w14:textId="7A150D8F" w:rsidR="00B921E8" w:rsidRPr="001B6E4D" w:rsidRDefault="00B921E8" w:rsidP="003D1018">
      <w:pPr>
        <w:kinsoku w:val="0"/>
        <w:overflowPunct w:val="0"/>
        <w:snapToGrid w:val="0"/>
        <w:spacing w:afterLines="50" w:after="180" w:line="440" w:lineRule="exact"/>
        <w:jc w:val="center"/>
        <w:outlineLvl w:val="4"/>
        <w:rPr>
          <w:rFonts w:ascii="標楷體" w:eastAsia="標楷體" w:hAnsi="標楷體"/>
          <w:b/>
          <w:sz w:val="36"/>
          <w:szCs w:val="20"/>
        </w:rPr>
      </w:pPr>
      <w:r w:rsidRPr="001B6E4D">
        <w:rPr>
          <w:rFonts w:ascii="標楷體" w:eastAsia="標楷體" w:hAnsi="標楷體" w:hint="eastAsia"/>
          <w:b/>
          <w:sz w:val="36"/>
          <w:szCs w:val="20"/>
        </w:rPr>
        <w:lastRenderedPageBreak/>
        <w:t>立法院司法及法制委員會參訪臺灣</w:t>
      </w:r>
      <w:proofErr w:type="gramStart"/>
      <w:r w:rsidRPr="001B6E4D">
        <w:rPr>
          <w:rFonts w:ascii="標楷體" w:eastAsia="標楷體" w:hAnsi="標楷體" w:hint="eastAsia"/>
          <w:b/>
          <w:sz w:val="36"/>
          <w:szCs w:val="20"/>
        </w:rPr>
        <w:t>臺</w:t>
      </w:r>
      <w:proofErr w:type="gramEnd"/>
      <w:r w:rsidRPr="001B6E4D">
        <w:rPr>
          <w:rFonts w:ascii="標楷體" w:eastAsia="標楷體" w:hAnsi="標楷體" w:hint="eastAsia"/>
          <w:b/>
          <w:sz w:val="36"/>
          <w:szCs w:val="20"/>
        </w:rPr>
        <w:t>北地方法院</w:t>
      </w:r>
      <w:bookmarkStart w:id="571" w:name="參訪臺灣臺北地方法院法庭建置中文語音辨識系統應用實況紀錄"/>
      <w:bookmarkEnd w:id="571"/>
      <w:r w:rsidRPr="001B6E4D">
        <w:rPr>
          <w:rFonts w:ascii="標楷體" w:eastAsia="標楷體" w:hAnsi="標楷體" w:hint="eastAsia"/>
          <w:b/>
          <w:sz w:val="36"/>
          <w:szCs w:val="20"/>
        </w:rPr>
        <w:t>法庭建置中文語音辨識系統應用實況紀錄</w:t>
      </w:r>
    </w:p>
    <w:p w14:paraId="14C129DD" w14:textId="77777777" w:rsidR="00B921E8" w:rsidRPr="001B6E4D" w:rsidRDefault="00B921E8" w:rsidP="003D1018">
      <w:pPr>
        <w:widowControl w:val="0"/>
        <w:overflowPunct w:val="0"/>
        <w:spacing w:line="560" w:lineRule="exact"/>
        <w:jc w:val="both"/>
        <w:rPr>
          <w:rFonts w:ascii="標楷體" w:eastAsia="標楷體" w:hAnsi="標楷體"/>
          <w:kern w:val="0"/>
          <w:sz w:val="32"/>
          <w:szCs w:val="32"/>
        </w:rPr>
      </w:pPr>
      <w:r w:rsidRPr="001B6E4D">
        <w:rPr>
          <w:rFonts w:ascii="標楷體" w:eastAsia="標楷體" w:hAnsi="標楷體" w:hint="eastAsia"/>
          <w:kern w:val="0"/>
          <w:sz w:val="32"/>
          <w:szCs w:val="32"/>
        </w:rPr>
        <w:t>時　　間：</w:t>
      </w:r>
      <w:r w:rsidRPr="001B6E4D">
        <w:rPr>
          <w:rFonts w:ascii="標楷體" w:eastAsia="標楷體" w:hAnsi="標楷體" w:hint="eastAsia"/>
          <w:spacing w:val="-4"/>
          <w:kern w:val="0"/>
          <w:sz w:val="32"/>
          <w:szCs w:val="32"/>
        </w:rPr>
        <w:t>中華民國11</w:t>
      </w:r>
      <w:r w:rsidRPr="001B6E4D">
        <w:rPr>
          <w:rFonts w:ascii="標楷體" w:eastAsia="標楷體" w:hAnsi="標楷體"/>
          <w:spacing w:val="-4"/>
          <w:kern w:val="0"/>
          <w:sz w:val="32"/>
          <w:szCs w:val="32"/>
        </w:rPr>
        <w:t>5</w:t>
      </w:r>
      <w:r w:rsidRPr="001B6E4D">
        <w:rPr>
          <w:rFonts w:ascii="標楷體" w:eastAsia="標楷體" w:hAnsi="標楷體" w:hint="eastAsia"/>
          <w:spacing w:val="-4"/>
          <w:kern w:val="0"/>
          <w:sz w:val="32"/>
          <w:szCs w:val="32"/>
        </w:rPr>
        <w:t>年6月1日（星期一）上午9時30分</w:t>
      </w:r>
    </w:p>
    <w:p w14:paraId="516FBCE7" w14:textId="77777777" w:rsidR="00B921E8" w:rsidRPr="001B6E4D" w:rsidRDefault="00B921E8" w:rsidP="003D1018">
      <w:pPr>
        <w:widowControl w:val="0"/>
        <w:overflowPunct w:val="0"/>
        <w:spacing w:line="560" w:lineRule="exact"/>
        <w:ind w:left="1600" w:hangingChars="500" w:hanging="1600"/>
        <w:rPr>
          <w:rFonts w:ascii="標楷體" w:eastAsia="標楷體" w:hAnsi="標楷體"/>
          <w:kern w:val="0"/>
          <w:sz w:val="32"/>
          <w:szCs w:val="32"/>
        </w:rPr>
      </w:pPr>
      <w:r w:rsidRPr="001B6E4D">
        <w:rPr>
          <w:rFonts w:ascii="標楷體" w:eastAsia="標楷體" w:hAnsi="標楷體" w:hint="eastAsia"/>
          <w:kern w:val="0"/>
          <w:sz w:val="32"/>
          <w:szCs w:val="32"/>
        </w:rPr>
        <w:t>地　　點：臺灣</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北地方法院國民法官庭第一法庭、一般刑事庭第二法庭、四樓多媒體簡報室</w:t>
      </w:r>
    </w:p>
    <w:p w14:paraId="46AEDDE8" w14:textId="1BC73EFD" w:rsidR="00B921E8" w:rsidRPr="001B6E4D" w:rsidRDefault="00B921E8" w:rsidP="003D1018">
      <w:pPr>
        <w:widowControl w:val="0"/>
        <w:overflowPunct w:val="0"/>
        <w:spacing w:afterLines="50" w:after="180" w:line="560" w:lineRule="exact"/>
        <w:rPr>
          <w:rFonts w:ascii="標楷體" w:eastAsia="標楷體" w:hAnsi="標楷體"/>
          <w:kern w:val="0"/>
          <w:sz w:val="32"/>
          <w:szCs w:val="32"/>
        </w:rPr>
      </w:pPr>
      <w:r w:rsidRPr="001B6E4D">
        <w:rPr>
          <w:rFonts w:ascii="標楷體" w:eastAsia="標楷體" w:hAnsi="標楷體" w:hint="eastAsia"/>
          <w:kern w:val="0"/>
          <w:sz w:val="32"/>
          <w:szCs w:val="32"/>
        </w:rPr>
        <w:t>出席人員：如出席名單。</w:t>
      </w:r>
    </w:p>
    <w:p w14:paraId="3D83EE04" w14:textId="77777777" w:rsidR="00B921E8" w:rsidRPr="001B6E4D" w:rsidRDefault="00B921E8" w:rsidP="003D1018">
      <w:pPr>
        <w:widowControl w:val="0"/>
        <w:overflowPunct w:val="0"/>
        <w:spacing w:afterLines="50" w:after="180" w:line="560" w:lineRule="exact"/>
        <w:rPr>
          <w:rFonts w:ascii="標楷體" w:eastAsia="標楷體" w:hAnsi="標楷體"/>
          <w:b/>
          <w:bCs/>
          <w:kern w:val="0"/>
          <w:sz w:val="32"/>
          <w:szCs w:val="32"/>
        </w:rPr>
      </w:pPr>
      <w:r w:rsidRPr="001B6E4D">
        <w:rPr>
          <w:rFonts w:ascii="標楷體" w:eastAsia="標楷體" w:hAnsi="標楷體" w:hint="eastAsia"/>
          <w:b/>
          <w:bCs/>
          <w:kern w:val="0"/>
          <w:sz w:val="32"/>
          <w:szCs w:val="32"/>
        </w:rPr>
        <w:t>壹、參訪流程</w:t>
      </w:r>
    </w:p>
    <w:p w14:paraId="094ED60A" w14:textId="77777777" w:rsidR="00B921E8" w:rsidRPr="001B6E4D" w:rsidRDefault="00B921E8" w:rsidP="003D1018">
      <w:pPr>
        <w:widowControl w:val="0"/>
        <w:overflowPunct w:val="0"/>
        <w:spacing w:afterLines="50" w:after="180" w:line="560" w:lineRule="exact"/>
        <w:rPr>
          <w:rFonts w:ascii="標楷體" w:eastAsia="標楷體" w:hAnsi="標楷體"/>
          <w:kern w:val="0"/>
          <w:sz w:val="32"/>
          <w:szCs w:val="32"/>
        </w:rPr>
      </w:pPr>
      <w:r w:rsidRPr="001B6E4D">
        <w:rPr>
          <w:rFonts w:ascii="標楷體" w:eastAsia="標楷體" w:hAnsi="標楷體" w:hint="eastAsia"/>
          <w:kern w:val="0"/>
          <w:sz w:val="32"/>
          <w:szCs w:val="32"/>
        </w:rPr>
        <w:t>（一）國民法官庭第一法庭</w:t>
      </w:r>
    </w:p>
    <w:p w14:paraId="3075F528" w14:textId="77777777" w:rsidR="00B921E8" w:rsidRPr="001B6E4D" w:rsidRDefault="00B921E8" w:rsidP="003D1018">
      <w:pPr>
        <w:widowControl w:val="0"/>
        <w:overflowPunct w:val="0"/>
        <w:spacing w:afterLines="50" w:after="180" w:line="560" w:lineRule="exact"/>
        <w:ind w:firstLineChars="300" w:firstLine="960"/>
        <w:rPr>
          <w:rFonts w:ascii="標楷體" w:eastAsia="標楷體" w:hAnsi="標楷體"/>
          <w:kern w:val="0"/>
          <w:sz w:val="32"/>
          <w:szCs w:val="32"/>
        </w:rPr>
      </w:pPr>
      <w:r w:rsidRPr="001B6E4D">
        <w:rPr>
          <w:rFonts w:ascii="標楷體" w:eastAsia="標楷體" w:hAnsi="標楷體" w:hint="eastAsia"/>
          <w:kern w:val="0"/>
          <w:sz w:val="32"/>
          <w:szCs w:val="32"/>
        </w:rPr>
        <w:t>1</w:t>
      </w:r>
      <w:r w:rsidRPr="001B6E4D">
        <w:rPr>
          <w:rFonts w:ascii="標楷體" w:eastAsia="標楷體" w:hAnsi="標楷體"/>
          <w:kern w:val="0"/>
          <w:sz w:val="32"/>
          <w:szCs w:val="32"/>
        </w:rPr>
        <w:t>.</w:t>
      </w:r>
      <w:r w:rsidRPr="001B6E4D">
        <w:rPr>
          <w:rFonts w:ascii="標楷體" w:eastAsia="標楷體" w:hAnsi="標楷體" w:hint="eastAsia"/>
          <w:kern w:val="0"/>
          <w:sz w:val="32"/>
          <w:szCs w:val="32"/>
        </w:rPr>
        <w:t>司法院高金枝秘書長致詞。</w:t>
      </w:r>
    </w:p>
    <w:p w14:paraId="384AC9DC" w14:textId="77777777" w:rsidR="00B921E8" w:rsidRPr="001B6E4D" w:rsidRDefault="00B921E8" w:rsidP="003D1018">
      <w:pPr>
        <w:widowControl w:val="0"/>
        <w:overflowPunct w:val="0"/>
        <w:spacing w:afterLines="50" w:after="180" w:line="560" w:lineRule="exact"/>
        <w:ind w:firstLineChars="300" w:firstLine="960"/>
        <w:rPr>
          <w:rFonts w:ascii="標楷體" w:eastAsia="標楷體" w:hAnsi="標楷體"/>
          <w:kern w:val="0"/>
          <w:sz w:val="32"/>
          <w:szCs w:val="32"/>
        </w:rPr>
      </w:pPr>
      <w:r w:rsidRPr="001B6E4D">
        <w:rPr>
          <w:rFonts w:ascii="標楷體" w:eastAsia="標楷體" w:hAnsi="標楷體" w:hint="eastAsia"/>
          <w:kern w:val="0"/>
          <w:sz w:val="32"/>
          <w:szCs w:val="32"/>
        </w:rPr>
        <w:t>2</w:t>
      </w:r>
      <w:r w:rsidRPr="001B6E4D">
        <w:rPr>
          <w:rFonts w:ascii="標楷體" w:eastAsia="標楷體" w:hAnsi="標楷體"/>
          <w:kern w:val="0"/>
          <w:sz w:val="32"/>
          <w:szCs w:val="32"/>
        </w:rPr>
        <w:t>.</w:t>
      </w:r>
      <w:r w:rsidRPr="001B6E4D">
        <w:rPr>
          <w:rFonts w:ascii="標楷體" w:eastAsia="標楷體" w:hAnsi="標楷體" w:hint="eastAsia"/>
          <w:kern w:val="0"/>
          <w:sz w:val="32"/>
          <w:szCs w:val="32"/>
        </w:rPr>
        <w:t>立法院張雅琳委員致詞。</w:t>
      </w:r>
    </w:p>
    <w:p w14:paraId="282EDDF5" w14:textId="77777777" w:rsidR="00B921E8" w:rsidRPr="001B6E4D" w:rsidRDefault="00B921E8" w:rsidP="003D1018">
      <w:pPr>
        <w:widowControl w:val="0"/>
        <w:overflowPunct w:val="0"/>
        <w:spacing w:afterLines="50" w:after="180" w:line="560" w:lineRule="exact"/>
        <w:ind w:firstLineChars="300" w:firstLine="960"/>
        <w:rPr>
          <w:rFonts w:ascii="標楷體" w:eastAsia="標楷體" w:hAnsi="標楷體"/>
          <w:kern w:val="0"/>
          <w:sz w:val="32"/>
          <w:szCs w:val="32"/>
        </w:rPr>
      </w:pPr>
      <w:r w:rsidRPr="001B6E4D">
        <w:rPr>
          <w:rFonts w:ascii="標楷體" w:eastAsia="標楷體" w:hAnsi="標楷體" w:hint="eastAsia"/>
          <w:kern w:val="0"/>
          <w:sz w:val="32"/>
          <w:szCs w:val="32"/>
        </w:rPr>
        <w:t>3</w:t>
      </w:r>
      <w:r w:rsidRPr="001B6E4D">
        <w:rPr>
          <w:rFonts w:ascii="標楷體" w:eastAsia="標楷體" w:hAnsi="標楷體"/>
          <w:kern w:val="0"/>
          <w:sz w:val="32"/>
          <w:szCs w:val="32"/>
        </w:rPr>
        <w:t>.</w:t>
      </w:r>
      <w:r w:rsidRPr="001B6E4D">
        <w:rPr>
          <w:rFonts w:ascii="標楷體" w:eastAsia="標楷體" w:hAnsi="標楷體" w:hint="eastAsia"/>
          <w:kern w:val="0"/>
          <w:sz w:val="32"/>
          <w:szCs w:val="32"/>
        </w:rPr>
        <w:t>中文語音辨識系統應用情形簡報。</w:t>
      </w:r>
    </w:p>
    <w:p w14:paraId="2905BC19" w14:textId="77777777" w:rsidR="00B921E8" w:rsidRPr="001B6E4D" w:rsidRDefault="00B921E8" w:rsidP="003D1018">
      <w:pPr>
        <w:widowControl w:val="0"/>
        <w:overflowPunct w:val="0"/>
        <w:spacing w:afterLines="50" w:after="180" w:line="560" w:lineRule="exact"/>
        <w:ind w:firstLineChars="400" w:firstLine="1280"/>
        <w:rPr>
          <w:rFonts w:ascii="標楷體" w:eastAsia="標楷體" w:hAnsi="標楷體"/>
          <w:kern w:val="0"/>
          <w:sz w:val="32"/>
          <w:szCs w:val="32"/>
        </w:rPr>
      </w:pPr>
      <w:proofErr w:type="gramStart"/>
      <w:r w:rsidRPr="001B6E4D">
        <w:rPr>
          <w:rFonts w:ascii="標楷體" w:eastAsia="標楷體" w:hAnsi="標楷體" w:hint="eastAsia"/>
          <w:kern w:val="0"/>
          <w:sz w:val="32"/>
          <w:szCs w:val="32"/>
        </w:rPr>
        <w:t>（</w:t>
      </w:r>
      <w:proofErr w:type="gramEnd"/>
      <w:r w:rsidRPr="001B6E4D">
        <w:rPr>
          <w:rFonts w:ascii="標楷體" w:eastAsia="標楷體" w:hAnsi="標楷體" w:hint="eastAsia"/>
          <w:kern w:val="0"/>
          <w:sz w:val="32"/>
          <w:szCs w:val="32"/>
        </w:rPr>
        <w:t>報告人：臺灣</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北地方法院</w:t>
      </w:r>
      <w:proofErr w:type="gramStart"/>
      <w:r w:rsidRPr="001B6E4D">
        <w:rPr>
          <w:rFonts w:ascii="標楷體" w:eastAsia="標楷體" w:hAnsi="標楷體" w:hint="eastAsia"/>
          <w:kern w:val="0"/>
          <w:sz w:val="32"/>
          <w:szCs w:val="32"/>
        </w:rPr>
        <w:t>吳承學庭長）</w:t>
      </w:r>
      <w:proofErr w:type="gramEnd"/>
    </w:p>
    <w:p w14:paraId="5C0DD87B" w14:textId="77777777" w:rsidR="00B921E8" w:rsidRPr="001B6E4D" w:rsidRDefault="00B921E8" w:rsidP="003D1018">
      <w:pPr>
        <w:widowControl w:val="0"/>
        <w:overflowPunct w:val="0"/>
        <w:spacing w:afterLines="50" w:after="180" w:line="560" w:lineRule="exact"/>
        <w:ind w:firstLineChars="300" w:firstLine="960"/>
        <w:rPr>
          <w:rFonts w:ascii="標楷體" w:eastAsia="標楷體" w:hAnsi="標楷體"/>
          <w:kern w:val="0"/>
          <w:sz w:val="32"/>
          <w:szCs w:val="32"/>
        </w:rPr>
      </w:pPr>
      <w:r w:rsidRPr="001B6E4D">
        <w:rPr>
          <w:rFonts w:ascii="標楷體" w:eastAsia="標楷體" w:hAnsi="標楷體" w:hint="eastAsia"/>
          <w:kern w:val="0"/>
          <w:sz w:val="32"/>
          <w:szCs w:val="32"/>
        </w:rPr>
        <w:t>4</w:t>
      </w:r>
      <w:r w:rsidRPr="001B6E4D">
        <w:rPr>
          <w:rFonts w:ascii="標楷體" w:eastAsia="標楷體" w:hAnsi="標楷體"/>
          <w:kern w:val="0"/>
          <w:sz w:val="32"/>
          <w:szCs w:val="32"/>
        </w:rPr>
        <w:t>.</w:t>
      </w:r>
      <w:r w:rsidRPr="001B6E4D">
        <w:rPr>
          <w:rFonts w:ascii="標楷體" w:eastAsia="標楷體" w:hAnsi="標楷體" w:hint="eastAsia"/>
          <w:kern w:val="0"/>
          <w:sz w:val="32"/>
          <w:szCs w:val="32"/>
        </w:rPr>
        <w:t>國民法官法庭語音辨識系統導</w:t>
      </w:r>
      <w:proofErr w:type="gramStart"/>
      <w:r w:rsidRPr="001B6E4D">
        <w:rPr>
          <w:rFonts w:ascii="標楷體" w:eastAsia="標楷體" w:hAnsi="標楷體" w:hint="eastAsia"/>
          <w:kern w:val="0"/>
          <w:sz w:val="32"/>
          <w:szCs w:val="32"/>
        </w:rPr>
        <w:t>覽</w:t>
      </w:r>
      <w:proofErr w:type="gramEnd"/>
      <w:r w:rsidRPr="001B6E4D">
        <w:rPr>
          <w:rFonts w:ascii="標楷體" w:eastAsia="標楷體" w:hAnsi="標楷體" w:hint="eastAsia"/>
          <w:kern w:val="0"/>
          <w:sz w:val="32"/>
          <w:szCs w:val="32"/>
        </w:rPr>
        <w:t>。</w:t>
      </w:r>
    </w:p>
    <w:p w14:paraId="1A36D8E0" w14:textId="77777777" w:rsidR="00B921E8" w:rsidRPr="001B6E4D" w:rsidRDefault="00B921E8" w:rsidP="003D1018">
      <w:pPr>
        <w:widowControl w:val="0"/>
        <w:overflowPunct w:val="0"/>
        <w:spacing w:afterLines="50" w:after="180" w:line="560" w:lineRule="exact"/>
        <w:rPr>
          <w:rFonts w:ascii="標楷體" w:eastAsia="標楷體" w:hAnsi="標楷體"/>
          <w:kern w:val="0"/>
          <w:sz w:val="32"/>
          <w:szCs w:val="32"/>
        </w:rPr>
      </w:pPr>
      <w:r w:rsidRPr="001B6E4D">
        <w:rPr>
          <w:rFonts w:ascii="標楷體" w:eastAsia="標楷體" w:hAnsi="標楷體" w:hint="eastAsia"/>
          <w:kern w:val="0"/>
          <w:sz w:val="32"/>
          <w:szCs w:val="32"/>
        </w:rPr>
        <w:t>（二）一般刑事庭第二法庭</w:t>
      </w:r>
    </w:p>
    <w:p w14:paraId="452ADC52" w14:textId="77777777" w:rsidR="00B921E8" w:rsidRPr="001B6E4D" w:rsidRDefault="00B921E8" w:rsidP="003D1018">
      <w:pPr>
        <w:widowControl w:val="0"/>
        <w:overflowPunct w:val="0"/>
        <w:spacing w:afterLines="50" w:after="180" w:line="560" w:lineRule="exact"/>
        <w:rPr>
          <w:rFonts w:ascii="標楷體" w:eastAsia="標楷體" w:hAnsi="標楷體"/>
          <w:kern w:val="0"/>
          <w:sz w:val="32"/>
          <w:szCs w:val="32"/>
        </w:rPr>
      </w:pPr>
      <w:r w:rsidRPr="001B6E4D">
        <w:rPr>
          <w:rFonts w:ascii="標楷體" w:eastAsia="標楷體" w:hAnsi="標楷體" w:hint="eastAsia"/>
          <w:kern w:val="0"/>
          <w:sz w:val="32"/>
          <w:szCs w:val="32"/>
        </w:rPr>
        <w:t xml:space="preserve"> </w:t>
      </w:r>
      <w:r w:rsidRPr="001B6E4D">
        <w:rPr>
          <w:rFonts w:ascii="標楷體" w:eastAsia="標楷體" w:hAnsi="標楷體"/>
          <w:kern w:val="0"/>
          <w:sz w:val="32"/>
          <w:szCs w:val="32"/>
        </w:rPr>
        <w:t xml:space="preserve">     </w:t>
      </w:r>
      <w:r w:rsidRPr="001B6E4D">
        <w:rPr>
          <w:rFonts w:ascii="標楷體" w:eastAsia="標楷體" w:hAnsi="標楷體" w:hint="eastAsia"/>
          <w:kern w:val="0"/>
          <w:sz w:val="32"/>
          <w:szCs w:val="32"/>
        </w:rPr>
        <w:t>一般刑事法庭語音辨識系統導</w:t>
      </w:r>
      <w:proofErr w:type="gramStart"/>
      <w:r w:rsidRPr="001B6E4D">
        <w:rPr>
          <w:rFonts w:ascii="標楷體" w:eastAsia="標楷體" w:hAnsi="標楷體" w:hint="eastAsia"/>
          <w:kern w:val="0"/>
          <w:sz w:val="32"/>
          <w:szCs w:val="32"/>
        </w:rPr>
        <w:t>覽</w:t>
      </w:r>
      <w:proofErr w:type="gramEnd"/>
      <w:r w:rsidRPr="001B6E4D">
        <w:rPr>
          <w:rFonts w:ascii="標楷體" w:eastAsia="標楷體" w:hAnsi="標楷體" w:hint="eastAsia"/>
          <w:kern w:val="0"/>
          <w:sz w:val="32"/>
          <w:szCs w:val="32"/>
        </w:rPr>
        <w:t>。</w:t>
      </w:r>
    </w:p>
    <w:p w14:paraId="1853128E" w14:textId="77777777" w:rsidR="00B921E8" w:rsidRPr="001B6E4D" w:rsidRDefault="00B921E8" w:rsidP="003D1018">
      <w:pPr>
        <w:widowControl w:val="0"/>
        <w:overflowPunct w:val="0"/>
        <w:spacing w:afterLines="50" w:after="180" w:line="560" w:lineRule="exact"/>
        <w:rPr>
          <w:rFonts w:ascii="標楷體" w:eastAsia="標楷體" w:hAnsi="標楷體"/>
          <w:kern w:val="0"/>
          <w:sz w:val="32"/>
          <w:szCs w:val="32"/>
        </w:rPr>
      </w:pPr>
      <w:r w:rsidRPr="001B6E4D">
        <w:rPr>
          <w:rFonts w:ascii="標楷體" w:eastAsia="標楷體" w:hAnsi="標楷體" w:hint="eastAsia"/>
          <w:kern w:val="0"/>
          <w:sz w:val="32"/>
          <w:szCs w:val="32"/>
        </w:rPr>
        <w:t>（三）四樓多媒體簡報室座談會</w:t>
      </w:r>
    </w:p>
    <w:p w14:paraId="45FB801E" w14:textId="77777777" w:rsidR="00B921E8" w:rsidRPr="001B6E4D" w:rsidRDefault="00B921E8" w:rsidP="003D1018">
      <w:pPr>
        <w:widowControl w:val="0"/>
        <w:overflowPunct w:val="0"/>
        <w:spacing w:afterLines="50" w:after="180" w:line="560" w:lineRule="exact"/>
        <w:rPr>
          <w:rFonts w:ascii="標楷體" w:eastAsia="標楷體" w:hAnsi="標楷體"/>
          <w:kern w:val="0"/>
          <w:sz w:val="32"/>
          <w:szCs w:val="32"/>
        </w:rPr>
      </w:pPr>
      <w:r w:rsidRPr="001B6E4D">
        <w:rPr>
          <w:rFonts w:ascii="標楷體" w:eastAsia="標楷體" w:hAnsi="標楷體" w:hint="eastAsia"/>
          <w:kern w:val="0"/>
          <w:sz w:val="32"/>
          <w:szCs w:val="32"/>
        </w:rPr>
        <w:t xml:space="preserve"> </w:t>
      </w:r>
      <w:r w:rsidRPr="001B6E4D">
        <w:rPr>
          <w:rFonts w:ascii="標楷體" w:eastAsia="標楷體" w:hAnsi="標楷體"/>
          <w:kern w:val="0"/>
          <w:sz w:val="32"/>
          <w:szCs w:val="32"/>
        </w:rPr>
        <w:t xml:space="preserve">     1.</w:t>
      </w:r>
      <w:r w:rsidRPr="001B6E4D">
        <w:rPr>
          <w:rFonts w:ascii="標楷體" w:eastAsia="標楷體" w:hAnsi="標楷體" w:hint="eastAsia"/>
          <w:kern w:val="0"/>
          <w:sz w:val="32"/>
          <w:szCs w:val="32"/>
        </w:rPr>
        <w:t xml:space="preserve">座談及意見交流。 </w:t>
      </w:r>
      <w:r w:rsidRPr="001B6E4D">
        <w:rPr>
          <w:rFonts w:ascii="標楷體" w:eastAsia="標楷體" w:hAnsi="標楷體"/>
          <w:kern w:val="0"/>
          <w:sz w:val="32"/>
          <w:szCs w:val="32"/>
        </w:rPr>
        <w:t xml:space="preserve">    </w:t>
      </w:r>
    </w:p>
    <w:p w14:paraId="5C6ED105" w14:textId="77777777" w:rsidR="00B921E8" w:rsidRPr="001B6E4D" w:rsidRDefault="00B921E8" w:rsidP="003D1018">
      <w:pPr>
        <w:widowControl w:val="0"/>
        <w:overflowPunct w:val="0"/>
        <w:spacing w:afterLines="50" w:after="180" w:line="560" w:lineRule="exact"/>
        <w:rPr>
          <w:rFonts w:ascii="標楷體" w:eastAsia="標楷體" w:hAnsi="標楷體"/>
          <w:kern w:val="0"/>
          <w:sz w:val="32"/>
          <w:szCs w:val="32"/>
        </w:rPr>
      </w:pPr>
      <w:r w:rsidRPr="001B6E4D">
        <w:rPr>
          <w:rFonts w:ascii="標楷體" w:eastAsia="標楷體" w:hAnsi="標楷體" w:hint="eastAsia"/>
          <w:kern w:val="0"/>
          <w:sz w:val="32"/>
          <w:szCs w:val="32"/>
        </w:rPr>
        <w:t xml:space="preserve"> </w:t>
      </w:r>
      <w:r w:rsidRPr="001B6E4D">
        <w:rPr>
          <w:rFonts w:ascii="標楷體" w:eastAsia="標楷體" w:hAnsi="標楷體"/>
          <w:kern w:val="0"/>
          <w:sz w:val="32"/>
          <w:szCs w:val="32"/>
        </w:rPr>
        <w:t xml:space="preserve">     2.</w:t>
      </w:r>
      <w:r w:rsidRPr="001B6E4D">
        <w:rPr>
          <w:rFonts w:ascii="標楷體" w:eastAsia="標楷體" w:hAnsi="標楷體" w:hint="eastAsia"/>
          <w:kern w:val="0"/>
          <w:sz w:val="32"/>
          <w:szCs w:val="32"/>
        </w:rPr>
        <w:t>綜合結論。</w:t>
      </w:r>
    </w:p>
    <w:p w14:paraId="225589A8" w14:textId="77777777" w:rsidR="00B921E8" w:rsidRPr="001B6E4D" w:rsidRDefault="00B921E8" w:rsidP="003D1018">
      <w:pPr>
        <w:widowControl w:val="0"/>
        <w:tabs>
          <w:tab w:val="left" w:pos="426"/>
          <w:tab w:val="left" w:pos="709"/>
        </w:tabs>
        <w:overflowPunct w:val="0"/>
        <w:spacing w:afterLines="50" w:after="180" w:line="560" w:lineRule="exact"/>
        <w:rPr>
          <w:rFonts w:ascii="標楷體" w:eastAsia="標楷體" w:hAnsi="標楷體"/>
          <w:b/>
          <w:bCs/>
          <w:kern w:val="0"/>
          <w:sz w:val="32"/>
          <w:szCs w:val="32"/>
        </w:rPr>
      </w:pPr>
      <w:r w:rsidRPr="001B6E4D">
        <w:rPr>
          <w:rFonts w:ascii="標楷體" w:eastAsia="標楷體" w:hAnsi="標楷體" w:hint="eastAsia"/>
          <w:b/>
          <w:bCs/>
          <w:kern w:val="0"/>
          <w:sz w:val="32"/>
          <w:szCs w:val="32"/>
        </w:rPr>
        <w:t>貳、國民法官庭第一法庭參訪情形</w:t>
      </w:r>
    </w:p>
    <w:p w14:paraId="468EA788" w14:textId="77777777" w:rsidR="00B921E8" w:rsidRPr="001B6E4D" w:rsidRDefault="00B921E8" w:rsidP="003D1018">
      <w:pPr>
        <w:overflowPunct w:val="0"/>
        <w:spacing w:line="500" w:lineRule="exact"/>
        <w:ind w:firstLineChars="200" w:firstLine="641"/>
        <w:jc w:val="both"/>
        <w:rPr>
          <w:rFonts w:ascii="標楷體" w:eastAsia="標楷體" w:hAnsi="標楷體"/>
          <w:b/>
          <w:kern w:val="0"/>
          <w:sz w:val="32"/>
          <w:szCs w:val="32"/>
        </w:rPr>
      </w:pPr>
      <w:r w:rsidRPr="001B6E4D">
        <w:rPr>
          <w:rFonts w:ascii="標楷體" w:eastAsia="標楷體" w:hAnsi="標楷體" w:hint="eastAsia"/>
          <w:b/>
          <w:kern w:val="0"/>
          <w:sz w:val="32"/>
          <w:szCs w:val="32"/>
        </w:rPr>
        <w:t>一、司法院高金枝秘書長致詞：</w:t>
      </w:r>
    </w:p>
    <w:p w14:paraId="740A07A5" w14:textId="77777777" w:rsidR="002E645F" w:rsidRPr="001B6E4D" w:rsidRDefault="002E645F" w:rsidP="003D1018">
      <w:pPr>
        <w:overflowPunct w:val="0"/>
        <w:spacing w:line="460" w:lineRule="exact"/>
        <w:ind w:leftChars="531" w:left="1274"/>
        <w:jc w:val="both"/>
        <w:rPr>
          <w:rFonts w:ascii="標楷體" w:eastAsia="標楷體" w:hAnsi="標楷體"/>
          <w:kern w:val="0"/>
          <w:sz w:val="32"/>
          <w:szCs w:val="32"/>
        </w:rPr>
      </w:pPr>
      <w:r w:rsidRPr="001B6E4D">
        <w:rPr>
          <w:rFonts w:ascii="標楷體" w:eastAsia="標楷體" w:hAnsi="標楷體"/>
          <w:kern w:val="0"/>
          <w:sz w:val="32"/>
          <w:szCs w:val="32"/>
        </w:rPr>
        <w:t>委員</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各位立法院的先進</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司法院的同仁，</w:t>
      </w:r>
      <w:r w:rsidRPr="001B6E4D">
        <w:rPr>
          <w:rFonts w:ascii="標楷體" w:eastAsia="標楷體" w:hAnsi="標楷體" w:hint="eastAsia"/>
          <w:kern w:val="0"/>
          <w:sz w:val="32"/>
          <w:szCs w:val="32"/>
        </w:rPr>
        <w:t>今天</w:t>
      </w:r>
      <w:r w:rsidRPr="001B6E4D">
        <w:rPr>
          <w:rFonts w:ascii="標楷體" w:eastAsia="標楷體" w:hAnsi="標楷體"/>
          <w:kern w:val="0"/>
          <w:sz w:val="32"/>
          <w:szCs w:val="32"/>
        </w:rPr>
        <w:t>非常高興委員</w:t>
      </w:r>
      <w:r w:rsidRPr="001B6E4D">
        <w:rPr>
          <w:rFonts w:ascii="標楷體" w:eastAsia="標楷體" w:hAnsi="標楷體" w:hint="eastAsia"/>
          <w:kern w:val="0"/>
          <w:sz w:val="32"/>
          <w:szCs w:val="32"/>
        </w:rPr>
        <w:t>前來考察</w:t>
      </w:r>
      <w:r w:rsidRPr="001B6E4D">
        <w:rPr>
          <w:rFonts w:ascii="標楷體" w:eastAsia="標楷體" w:hAnsi="標楷體"/>
          <w:kern w:val="0"/>
          <w:sz w:val="32"/>
          <w:szCs w:val="32"/>
        </w:rPr>
        <w:t>語音辨識</w:t>
      </w:r>
      <w:r w:rsidRPr="001B6E4D">
        <w:rPr>
          <w:rFonts w:ascii="標楷體" w:eastAsia="標楷體" w:hAnsi="標楷體" w:hint="eastAsia"/>
          <w:kern w:val="0"/>
          <w:sz w:val="32"/>
          <w:szCs w:val="32"/>
        </w:rPr>
        <w:t>系統</w:t>
      </w:r>
      <w:r w:rsidRPr="001B6E4D">
        <w:rPr>
          <w:rFonts w:ascii="標楷體" w:eastAsia="標楷體" w:hAnsi="標楷體"/>
          <w:kern w:val="0"/>
          <w:sz w:val="32"/>
          <w:szCs w:val="32"/>
        </w:rPr>
        <w:t>，</w:t>
      </w:r>
      <w:r w:rsidRPr="001B6E4D">
        <w:rPr>
          <w:rFonts w:ascii="標楷體" w:eastAsia="標楷體" w:hAnsi="標楷體" w:hint="eastAsia"/>
          <w:kern w:val="0"/>
          <w:sz w:val="32"/>
          <w:szCs w:val="32"/>
        </w:rPr>
        <w:t>先前曾向</w:t>
      </w:r>
      <w:r w:rsidRPr="001B6E4D">
        <w:rPr>
          <w:rFonts w:ascii="標楷體" w:eastAsia="標楷體" w:hAnsi="標楷體"/>
          <w:kern w:val="0"/>
          <w:sz w:val="32"/>
          <w:szCs w:val="32"/>
        </w:rPr>
        <w:t>委員</w:t>
      </w:r>
      <w:r w:rsidRPr="001B6E4D">
        <w:rPr>
          <w:rFonts w:ascii="標楷體" w:eastAsia="標楷體" w:hAnsi="標楷體"/>
          <w:kern w:val="0"/>
          <w:sz w:val="32"/>
          <w:szCs w:val="32"/>
        </w:rPr>
        <w:lastRenderedPageBreak/>
        <w:t>報告</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語音辨識</w:t>
      </w:r>
      <w:r w:rsidRPr="001B6E4D">
        <w:rPr>
          <w:rFonts w:ascii="標楷體" w:eastAsia="標楷體" w:hAnsi="標楷體" w:hint="eastAsia"/>
          <w:kern w:val="0"/>
          <w:sz w:val="32"/>
          <w:szCs w:val="32"/>
        </w:rPr>
        <w:t>系統</w:t>
      </w:r>
      <w:r w:rsidRPr="001B6E4D">
        <w:rPr>
          <w:rFonts w:ascii="標楷體" w:eastAsia="標楷體" w:hAnsi="標楷體"/>
          <w:kern w:val="0"/>
          <w:sz w:val="32"/>
          <w:szCs w:val="32"/>
        </w:rPr>
        <w:t>對於</w:t>
      </w:r>
      <w:r w:rsidRPr="001B6E4D">
        <w:rPr>
          <w:rFonts w:ascii="標楷體" w:eastAsia="標楷體" w:hAnsi="標楷體" w:hint="eastAsia"/>
          <w:kern w:val="0"/>
          <w:sz w:val="32"/>
          <w:szCs w:val="32"/>
        </w:rPr>
        <w:t>書記官</w:t>
      </w:r>
      <w:r w:rsidRPr="001B6E4D">
        <w:rPr>
          <w:rFonts w:ascii="標楷體" w:eastAsia="標楷體" w:hAnsi="標楷體"/>
          <w:kern w:val="0"/>
          <w:sz w:val="32"/>
          <w:szCs w:val="32"/>
        </w:rPr>
        <w:t>在</w:t>
      </w:r>
      <w:r w:rsidRPr="001B6E4D">
        <w:rPr>
          <w:rFonts w:ascii="標楷體" w:eastAsia="標楷體" w:hAnsi="標楷體" w:hint="eastAsia"/>
          <w:kern w:val="0"/>
          <w:sz w:val="32"/>
          <w:szCs w:val="32"/>
        </w:rPr>
        <w:t>法院</w:t>
      </w:r>
      <w:r w:rsidRPr="001B6E4D">
        <w:rPr>
          <w:rFonts w:ascii="標楷體" w:eastAsia="標楷體" w:hAnsi="標楷體"/>
          <w:kern w:val="0"/>
          <w:sz w:val="32"/>
          <w:szCs w:val="32"/>
        </w:rPr>
        <w:t>的工作</w:t>
      </w:r>
      <w:r w:rsidRPr="001B6E4D">
        <w:rPr>
          <w:rFonts w:ascii="標楷體" w:eastAsia="標楷體" w:hAnsi="標楷體" w:hint="eastAsia"/>
          <w:kern w:val="0"/>
          <w:sz w:val="32"/>
          <w:szCs w:val="32"/>
        </w:rPr>
        <w:t>有</w:t>
      </w:r>
      <w:r w:rsidRPr="001B6E4D">
        <w:rPr>
          <w:rFonts w:ascii="標楷體" w:eastAsia="標楷體" w:hAnsi="標楷體"/>
          <w:kern w:val="0"/>
          <w:sz w:val="32"/>
          <w:szCs w:val="32"/>
        </w:rPr>
        <w:t>很大的</w:t>
      </w:r>
      <w:r w:rsidRPr="001B6E4D">
        <w:rPr>
          <w:rFonts w:ascii="標楷體" w:eastAsia="標楷體" w:hAnsi="標楷體" w:hint="eastAsia"/>
          <w:kern w:val="0"/>
          <w:sz w:val="32"/>
          <w:szCs w:val="32"/>
        </w:rPr>
        <w:t>助益</w:t>
      </w:r>
      <w:r w:rsidRPr="001B6E4D">
        <w:rPr>
          <w:rFonts w:ascii="標楷體" w:eastAsia="標楷體" w:hAnsi="標楷體"/>
          <w:kern w:val="0"/>
          <w:sz w:val="32"/>
          <w:szCs w:val="32"/>
        </w:rPr>
        <w:t>，</w:t>
      </w:r>
      <w:r w:rsidRPr="001B6E4D">
        <w:rPr>
          <w:rFonts w:ascii="標楷體" w:eastAsia="標楷體" w:hAnsi="標楷體" w:hint="eastAsia"/>
          <w:kern w:val="0"/>
          <w:sz w:val="32"/>
          <w:szCs w:val="32"/>
        </w:rPr>
        <w:t>當然這需要改變許多既有的工作習慣</w:t>
      </w:r>
      <w:r w:rsidRPr="001B6E4D">
        <w:rPr>
          <w:rFonts w:ascii="標楷體" w:eastAsia="標楷體" w:hAnsi="標楷體"/>
          <w:kern w:val="0"/>
          <w:sz w:val="32"/>
          <w:szCs w:val="32"/>
        </w:rPr>
        <w:t>，從國民法官</w:t>
      </w:r>
      <w:r w:rsidRPr="001B6E4D">
        <w:rPr>
          <w:rFonts w:ascii="標楷體" w:eastAsia="標楷體" w:hAnsi="標楷體" w:hint="eastAsia"/>
          <w:kern w:val="0"/>
          <w:sz w:val="32"/>
          <w:szCs w:val="32"/>
        </w:rPr>
        <w:t>庭法庭推行</w:t>
      </w:r>
      <w:r w:rsidRPr="001B6E4D">
        <w:rPr>
          <w:rFonts w:ascii="標楷體" w:eastAsia="標楷體" w:hAnsi="標楷體"/>
          <w:kern w:val="0"/>
          <w:sz w:val="32"/>
          <w:szCs w:val="32"/>
        </w:rPr>
        <w:t>語音辨識</w:t>
      </w:r>
      <w:r w:rsidRPr="001B6E4D">
        <w:rPr>
          <w:rFonts w:ascii="標楷體" w:eastAsia="標楷體" w:hAnsi="標楷體" w:hint="eastAsia"/>
          <w:kern w:val="0"/>
          <w:sz w:val="32"/>
          <w:szCs w:val="32"/>
        </w:rPr>
        <w:t>系統至今</w:t>
      </w:r>
      <w:r w:rsidRPr="001B6E4D">
        <w:rPr>
          <w:rFonts w:ascii="標楷體" w:eastAsia="標楷體" w:hAnsi="標楷體"/>
          <w:kern w:val="0"/>
          <w:sz w:val="32"/>
          <w:szCs w:val="32"/>
        </w:rPr>
        <w:t>將近</w:t>
      </w:r>
      <w:r w:rsidRPr="001B6E4D">
        <w:rPr>
          <w:rFonts w:ascii="標楷體" w:eastAsia="標楷體" w:hAnsi="標楷體" w:hint="eastAsia"/>
          <w:kern w:val="0"/>
          <w:sz w:val="32"/>
          <w:szCs w:val="32"/>
        </w:rPr>
        <w:t>3</w:t>
      </w:r>
      <w:r w:rsidRPr="001B6E4D">
        <w:rPr>
          <w:rFonts w:ascii="標楷體" w:eastAsia="標楷體" w:hAnsi="標楷體"/>
          <w:kern w:val="0"/>
          <w:sz w:val="32"/>
          <w:szCs w:val="32"/>
        </w:rPr>
        <w:t>年，</w:t>
      </w:r>
      <w:r w:rsidRPr="001B6E4D">
        <w:rPr>
          <w:rFonts w:ascii="標楷體" w:eastAsia="標楷體" w:hAnsi="標楷體" w:hint="eastAsia"/>
          <w:kern w:val="0"/>
          <w:sz w:val="32"/>
          <w:szCs w:val="32"/>
        </w:rPr>
        <w:t>書記官對此系統已具備相當的熟悉度，法官對筆錄的使用方式也十分瞭解。</w:t>
      </w:r>
    </w:p>
    <w:p w14:paraId="3370A4FE" w14:textId="77777777" w:rsidR="00B921E8" w:rsidRPr="001B6E4D" w:rsidRDefault="00B921E8" w:rsidP="003D1018">
      <w:pPr>
        <w:overflowPunct w:val="0"/>
        <w:spacing w:line="460" w:lineRule="exact"/>
        <w:ind w:leftChars="531" w:left="1274"/>
        <w:jc w:val="both"/>
        <w:rPr>
          <w:rFonts w:ascii="標楷體" w:eastAsia="標楷體" w:hAnsi="標楷體"/>
          <w:kern w:val="0"/>
          <w:sz w:val="32"/>
          <w:szCs w:val="32"/>
        </w:rPr>
      </w:pPr>
      <w:r w:rsidRPr="001B6E4D">
        <w:rPr>
          <w:rFonts w:ascii="標楷體" w:eastAsia="標楷體" w:hAnsi="標楷體" w:hint="eastAsia"/>
          <w:kern w:val="0"/>
          <w:sz w:val="32"/>
          <w:szCs w:val="32"/>
        </w:rPr>
        <w:t>外界常提及「血汗司法」，其中</w:t>
      </w:r>
      <w:proofErr w:type="gramStart"/>
      <w:r w:rsidRPr="001B6E4D">
        <w:rPr>
          <w:rFonts w:ascii="標楷體" w:eastAsia="標楷體" w:hAnsi="標楷體" w:hint="eastAsia"/>
          <w:kern w:val="0"/>
          <w:sz w:val="32"/>
          <w:szCs w:val="32"/>
        </w:rPr>
        <w:t>最</w:t>
      </w:r>
      <w:proofErr w:type="gramEnd"/>
      <w:r w:rsidRPr="001B6E4D">
        <w:rPr>
          <w:rFonts w:ascii="標楷體" w:eastAsia="標楷體" w:hAnsi="標楷體" w:hint="eastAsia"/>
          <w:kern w:val="0"/>
          <w:sz w:val="32"/>
          <w:szCs w:val="32"/>
        </w:rPr>
        <w:t>核心的負擔便在於書記官的法庭工作。</w:t>
      </w:r>
      <w:r w:rsidRPr="001B6E4D">
        <w:rPr>
          <w:rFonts w:ascii="標楷體" w:eastAsia="標楷體" w:hAnsi="標楷體"/>
          <w:kern w:val="0"/>
          <w:sz w:val="32"/>
          <w:szCs w:val="32"/>
        </w:rPr>
        <w:t>我們很期待能夠經由語音辨識系統</w:t>
      </w:r>
      <w:r w:rsidRPr="001B6E4D">
        <w:rPr>
          <w:rFonts w:ascii="標楷體" w:eastAsia="標楷體" w:hAnsi="標楷體" w:hint="eastAsia"/>
          <w:kern w:val="0"/>
          <w:sz w:val="32"/>
          <w:szCs w:val="32"/>
        </w:rPr>
        <w:t>減輕其負擔</w:t>
      </w:r>
      <w:r w:rsidRPr="001B6E4D">
        <w:rPr>
          <w:rFonts w:ascii="標楷體" w:eastAsia="標楷體" w:hAnsi="標楷體"/>
          <w:kern w:val="0"/>
          <w:sz w:val="32"/>
          <w:szCs w:val="32"/>
        </w:rPr>
        <w:t>，</w:t>
      </w:r>
      <w:r w:rsidRPr="001B6E4D">
        <w:rPr>
          <w:rFonts w:ascii="標楷體" w:eastAsia="標楷體" w:hAnsi="標楷體" w:hint="eastAsia"/>
          <w:kern w:val="0"/>
          <w:sz w:val="32"/>
          <w:szCs w:val="32"/>
        </w:rPr>
        <w:t>然而，此系統的經費相當高昂，與傳統錄音系統截然不同。因為建置費用龐大，後續預算編列仍需懇請委員全力協助。待會各位前往普通法庭，該處亦建置了語音辨識系統，兩者效果差別不大。但這牽涉到使用者的習慣，例如是否配備麥克風、開庭民眾是否對準麥克風發言等，這是將來需要讓民眾適應的地方。</w:t>
      </w:r>
    </w:p>
    <w:p w14:paraId="03767C9E" w14:textId="77777777" w:rsidR="00B921E8" w:rsidRPr="001B6E4D" w:rsidRDefault="00B921E8" w:rsidP="003D1018">
      <w:pPr>
        <w:overflowPunct w:val="0"/>
        <w:spacing w:line="460" w:lineRule="exact"/>
        <w:ind w:leftChars="531" w:left="1274"/>
        <w:jc w:val="both"/>
        <w:rPr>
          <w:rFonts w:ascii="標楷體" w:eastAsia="標楷體" w:hAnsi="標楷體"/>
          <w:kern w:val="0"/>
          <w:sz w:val="32"/>
          <w:szCs w:val="32"/>
        </w:rPr>
      </w:pPr>
      <w:r w:rsidRPr="001B6E4D">
        <w:rPr>
          <w:rFonts w:ascii="標楷體" w:eastAsia="標楷體" w:hAnsi="標楷體"/>
          <w:kern w:val="0"/>
          <w:sz w:val="32"/>
          <w:szCs w:val="32"/>
        </w:rPr>
        <w:t>跟委員</w:t>
      </w:r>
      <w:r w:rsidRPr="001B6E4D">
        <w:rPr>
          <w:rFonts w:ascii="標楷體" w:eastAsia="標楷體" w:hAnsi="標楷體" w:hint="eastAsia"/>
          <w:kern w:val="0"/>
          <w:sz w:val="32"/>
          <w:szCs w:val="32"/>
        </w:rPr>
        <w:t>報告，目前一個普通法庭建置費用約需60萬元，若推廣至全國法庭，將是一筆龐大的預算。</w:t>
      </w:r>
      <w:r w:rsidRPr="001B6E4D">
        <w:rPr>
          <w:rFonts w:ascii="標楷體" w:eastAsia="標楷體" w:hAnsi="標楷體"/>
          <w:kern w:val="0"/>
          <w:sz w:val="32"/>
          <w:szCs w:val="32"/>
        </w:rPr>
        <w:t>非常感謝委員跟各位先進能夠</w:t>
      </w:r>
      <w:r w:rsidRPr="001B6E4D">
        <w:rPr>
          <w:rFonts w:ascii="標楷體" w:eastAsia="標楷體" w:hAnsi="標楷體" w:hint="eastAsia"/>
          <w:kern w:val="0"/>
          <w:sz w:val="32"/>
          <w:szCs w:val="32"/>
        </w:rPr>
        <w:t>來</w:t>
      </w:r>
      <w:r w:rsidRPr="001B6E4D">
        <w:rPr>
          <w:rFonts w:ascii="標楷體" w:eastAsia="標楷體" w:hAnsi="標楷體"/>
          <w:kern w:val="0"/>
          <w:sz w:val="32"/>
          <w:szCs w:val="32"/>
        </w:rPr>
        <w:t>瞭解，這</w:t>
      </w:r>
      <w:r w:rsidRPr="001B6E4D">
        <w:rPr>
          <w:rFonts w:ascii="標楷體" w:eastAsia="標楷體" w:hAnsi="標楷體" w:hint="eastAsia"/>
          <w:kern w:val="0"/>
          <w:sz w:val="32"/>
          <w:szCs w:val="32"/>
        </w:rPr>
        <w:t>套</w:t>
      </w:r>
      <w:r w:rsidRPr="001B6E4D">
        <w:rPr>
          <w:rFonts w:ascii="標楷體" w:eastAsia="標楷體" w:hAnsi="標楷體"/>
          <w:kern w:val="0"/>
          <w:sz w:val="32"/>
          <w:szCs w:val="32"/>
        </w:rPr>
        <w:t>工</w:t>
      </w:r>
      <w:r w:rsidRPr="001B6E4D">
        <w:rPr>
          <w:rFonts w:ascii="標楷體" w:eastAsia="標楷體" w:hAnsi="標楷體" w:hint="eastAsia"/>
          <w:kern w:val="0"/>
          <w:sz w:val="32"/>
          <w:szCs w:val="32"/>
        </w:rPr>
        <w:t>具</w:t>
      </w:r>
      <w:r w:rsidRPr="001B6E4D">
        <w:rPr>
          <w:rFonts w:ascii="標楷體" w:eastAsia="標楷體" w:hAnsi="標楷體"/>
          <w:kern w:val="0"/>
          <w:sz w:val="32"/>
          <w:szCs w:val="32"/>
        </w:rPr>
        <w:t>對於書記官的協助</w:t>
      </w:r>
      <w:r w:rsidRPr="001B6E4D">
        <w:rPr>
          <w:rFonts w:ascii="標楷體" w:eastAsia="標楷體" w:hAnsi="標楷體" w:hint="eastAsia"/>
          <w:kern w:val="0"/>
          <w:sz w:val="32"/>
          <w:szCs w:val="32"/>
        </w:rPr>
        <w:t>極大，因為語音上的辨識，尤其</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語又有很多種腔調，語音辨識率雖不敢保證100%，但依實驗結果已可達95%。剩餘5%仍需由書記官修正錯字。目前國民法官法庭推行語音辨識系統至今已3年，運作十分流暢；一般法庭的測試狀況也相當良好。</w:t>
      </w:r>
    </w:p>
    <w:p w14:paraId="739772CA" w14:textId="77777777" w:rsidR="00B921E8" w:rsidRPr="001B6E4D" w:rsidRDefault="00B921E8" w:rsidP="003D1018">
      <w:pPr>
        <w:overflowPunct w:val="0"/>
        <w:spacing w:line="460" w:lineRule="exact"/>
        <w:ind w:leftChars="531" w:left="1274"/>
        <w:jc w:val="both"/>
        <w:rPr>
          <w:rFonts w:ascii="標楷體" w:eastAsia="標楷體" w:hAnsi="標楷體"/>
          <w:bCs/>
          <w:kern w:val="0"/>
          <w:sz w:val="32"/>
          <w:szCs w:val="32"/>
        </w:rPr>
      </w:pPr>
      <w:r w:rsidRPr="001B6E4D">
        <w:rPr>
          <w:rFonts w:ascii="標楷體" w:eastAsia="標楷體" w:hAnsi="標楷體"/>
          <w:kern w:val="0"/>
          <w:sz w:val="32"/>
          <w:szCs w:val="32"/>
        </w:rPr>
        <w:t>非常感謝委員跟各位先進</w:t>
      </w:r>
      <w:r w:rsidRPr="001B6E4D">
        <w:rPr>
          <w:rFonts w:ascii="標楷體" w:eastAsia="標楷體" w:hAnsi="標楷體" w:hint="eastAsia"/>
          <w:kern w:val="0"/>
          <w:sz w:val="32"/>
          <w:szCs w:val="32"/>
        </w:rPr>
        <w:t>親臨視察，這套語音辨識系統對書記官的法庭工作有極大協助。各位應能瞭解，法庭常是書記官壓力最沉重的職場環境，因開庭時各方節奏緊湊、且高度關注即時筆錄，使書記官承受巨大心理負擔。</w:t>
      </w:r>
      <w:r w:rsidRPr="001B6E4D">
        <w:rPr>
          <w:rFonts w:ascii="標楷體" w:eastAsia="標楷體" w:hAnsi="標楷體"/>
          <w:kern w:val="0"/>
          <w:sz w:val="32"/>
          <w:szCs w:val="32"/>
        </w:rPr>
        <w:t>今天感謝各位</w:t>
      </w:r>
      <w:r w:rsidRPr="001B6E4D">
        <w:rPr>
          <w:rFonts w:ascii="標楷體" w:eastAsia="標楷體" w:hAnsi="標楷體" w:hint="eastAsia"/>
          <w:kern w:val="0"/>
          <w:sz w:val="32"/>
          <w:szCs w:val="32"/>
        </w:rPr>
        <w:t>觀</w:t>
      </w:r>
      <w:r w:rsidRPr="001B6E4D">
        <w:rPr>
          <w:rFonts w:ascii="標楷體" w:eastAsia="標楷體" w:hAnsi="標楷體"/>
          <w:kern w:val="0"/>
          <w:sz w:val="32"/>
          <w:szCs w:val="32"/>
        </w:rPr>
        <w:t>看我們</w:t>
      </w:r>
      <w:r w:rsidRPr="001B6E4D">
        <w:rPr>
          <w:rFonts w:ascii="標楷體" w:eastAsia="標楷體" w:hAnsi="標楷體" w:hint="eastAsia"/>
          <w:kern w:val="0"/>
          <w:sz w:val="32"/>
          <w:szCs w:val="32"/>
        </w:rPr>
        <w:t>的</w:t>
      </w:r>
      <w:r w:rsidRPr="001B6E4D">
        <w:rPr>
          <w:rFonts w:ascii="標楷體" w:eastAsia="標楷體" w:hAnsi="標楷體"/>
          <w:kern w:val="0"/>
          <w:sz w:val="32"/>
          <w:szCs w:val="32"/>
        </w:rPr>
        <w:t>實務演練，也期待委員還有各位先進</w:t>
      </w:r>
      <w:r w:rsidRPr="001B6E4D">
        <w:rPr>
          <w:rFonts w:ascii="標楷體" w:eastAsia="標楷體" w:hAnsi="標楷體" w:hint="eastAsia"/>
          <w:kern w:val="0"/>
          <w:sz w:val="32"/>
          <w:szCs w:val="32"/>
        </w:rPr>
        <w:t>支持</w:t>
      </w:r>
      <w:r w:rsidRPr="001B6E4D">
        <w:rPr>
          <w:rFonts w:ascii="標楷體" w:eastAsia="標楷體" w:hAnsi="標楷體"/>
          <w:kern w:val="0"/>
          <w:sz w:val="32"/>
          <w:szCs w:val="32"/>
        </w:rPr>
        <w:t>，</w:t>
      </w:r>
      <w:r w:rsidRPr="001B6E4D">
        <w:rPr>
          <w:rFonts w:ascii="標楷體" w:eastAsia="標楷體" w:hAnsi="標楷體" w:hint="eastAsia"/>
          <w:kern w:val="0"/>
          <w:sz w:val="32"/>
          <w:szCs w:val="32"/>
        </w:rPr>
        <w:t>司法院預計於明年將此系統全面列入預算案以推廣至更多法</w:t>
      </w:r>
      <w:r w:rsidRPr="001B6E4D">
        <w:rPr>
          <w:rFonts w:ascii="標楷體" w:eastAsia="標楷體" w:hAnsi="標楷體" w:hint="eastAsia"/>
          <w:kern w:val="0"/>
          <w:sz w:val="32"/>
          <w:szCs w:val="32"/>
        </w:rPr>
        <w:lastRenderedPageBreak/>
        <w:t>庭，屆時懇請委員及各位先進給予預算上的支持。謝謝。</w:t>
      </w:r>
    </w:p>
    <w:p w14:paraId="141BB4D5" w14:textId="2720298C" w:rsidR="00B921E8" w:rsidRPr="001B6E4D" w:rsidRDefault="006C63A8" w:rsidP="003D1018">
      <w:pPr>
        <w:overflowPunct w:val="0"/>
        <w:spacing w:line="460" w:lineRule="exact"/>
        <w:jc w:val="both"/>
        <w:rPr>
          <w:rFonts w:ascii="標楷體" w:eastAsia="標楷體" w:hAnsi="標楷體"/>
          <w:b/>
          <w:kern w:val="0"/>
          <w:sz w:val="32"/>
          <w:szCs w:val="32"/>
        </w:rPr>
      </w:pPr>
      <w:r w:rsidRPr="001B6E4D">
        <w:rPr>
          <w:rFonts w:ascii="標楷體" w:eastAsia="標楷體" w:hAnsi="標楷體" w:hint="eastAsia"/>
          <w:b/>
          <w:kern w:val="0"/>
          <w:sz w:val="32"/>
          <w:szCs w:val="32"/>
        </w:rPr>
        <w:t xml:space="preserve">    </w:t>
      </w:r>
      <w:r w:rsidR="00B921E8" w:rsidRPr="001B6E4D">
        <w:rPr>
          <w:rFonts w:ascii="標楷體" w:eastAsia="標楷體" w:hAnsi="標楷體" w:hint="eastAsia"/>
          <w:b/>
          <w:kern w:val="0"/>
          <w:sz w:val="32"/>
          <w:szCs w:val="32"/>
        </w:rPr>
        <w:t>二、立法院張雅琳委員致詞：</w:t>
      </w:r>
    </w:p>
    <w:p w14:paraId="05F51631" w14:textId="77777777" w:rsidR="00B921E8" w:rsidRPr="001B6E4D" w:rsidRDefault="00B921E8" w:rsidP="003D1018">
      <w:pPr>
        <w:overflowPunct w:val="0"/>
        <w:spacing w:line="460" w:lineRule="exact"/>
        <w:ind w:leftChars="531" w:left="1274"/>
        <w:jc w:val="both"/>
        <w:rPr>
          <w:rFonts w:ascii="標楷體" w:eastAsia="標楷體" w:hAnsi="標楷體"/>
          <w:kern w:val="0"/>
          <w:sz w:val="32"/>
          <w:szCs w:val="32"/>
        </w:rPr>
      </w:pPr>
      <w:r w:rsidRPr="001B6E4D">
        <w:rPr>
          <w:rFonts w:ascii="標楷體" w:eastAsia="標楷體" w:hAnsi="標楷體" w:hint="eastAsia"/>
          <w:kern w:val="0"/>
          <w:sz w:val="32"/>
          <w:szCs w:val="32"/>
        </w:rPr>
        <w:t>謝謝秘書長、立法院的同仁與助理，今天很高興前來國民法官庭第一法庭考察。誠如秘書長所言，降低書記官的工作壓力是我們今天的考察目的。大家都</w:t>
      </w:r>
      <w:proofErr w:type="gramStart"/>
      <w:r w:rsidRPr="001B6E4D">
        <w:rPr>
          <w:rFonts w:ascii="標楷體" w:eastAsia="標楷體" w:hAnsi="標楷體" w:hint="eastAsia"/>
          <w:kern w:val="0"/>
          <w:sz w:val="32"/>
          <w:szCs w:val="32"/>
        </w:rPr>
        <w:t>清楚書記官</w:t>
      </w:r>
      <w:proofErr w:type="gramEnd"/>
      <w:r w:rsidRPr="001B6E4D">
        <w:rPr>
          <w:rFonts w:ascii="標楷體" w:eastAsia="標楷體" w:hAnsi="標楷體" w:hint="eastAsia"/>
          <w:kern w:val="0"/>
          <w:sz w:val="32"/>
          <w:szCs w:val="32"/>
        </w:rPr>
        <w:t>目前因員額有限，工作壓力非常大。建置這套系統若確實符合期待、辨識度優良且能有效減輕基層壓力，立法院各委員一定會全力支持</w:t>
      </w:r>
      <w:r w:rsidRPr="001B6E4D">
        <w:rPr>
          <w:rFonts w:ascii="標楷體" w:eastAsia="標楷體" w:hAnsi="標楷體"/>
          <w:kern w:val="0"/>
          <w:sz w:val="32"/>
          <w:szCs w:val="32"/>
        </w:rPr>
        <w:t>。</w:t>
      </w:r>
    </w:p>
    <w:p w14:paraId="2660FBDE" w14:textId="77777777" w:rsidR="00B921E8" w:rsidRPr="001B6E4D" w:rsidRDefault="00B921E8" w:rsidP="003D1018">
      <w:pPr>
        <w:overflowPunct w:val="0"/>
        <w:spacing w:line="460" w:lineRule="exact"/>
        <w:ind w:leftChars="531" w:left="1274"/>
        <w:jc w:val="both"/>
        <w:rPr>
          <w:rFonts w:ascii="標楷體" w:eastAsia="標楷體" w:hAnsi="標楷體"/>
          <w:kern w:val="0"/>
          <w:sz w:val="32"/>
          <w:szCs w:val="32"/>
        </w:rPr>
      </w:pPr>
      <w:r w:rsidRPr="001B6E4D">
        <w:rPr>
          <w:rFonts w:ascii="標楷體" w:eastAsia="標楷體" w:hAnsi="標楷體" w:hint="eastAsia"/>
          <w:kern w:val="0"/>
          <w:sz w:val="32"/>
          <w:szCs w:val="32"/>
        </w:rPr>
        <w:t>在此提出兩個重點提醒，待會可進一步</w:t>
      </w:r>
      <w:proofErr w:type="gramStart"/>
      <w:r w:rsidRPr="001B6E4D">
        <w:rPr>
          <w:rFonts w:ascii="標楷體" w:eastAsia="標楷體" w:hAnsi="標楷體" w:hint="eastAsia"/>
          <w:kern w:val="0"/>
          <w:sz w:val="32"/>
          <w:szCs w:val="32"/>
        </w:rPr>
        <w:t>釐</w:t>
      </w:r>
      <w:proofErr w:type="gramEnd"/>
      <w:r w:rsidRPr="001B6E4D">
        <w:rPr>
          <w:rFonts w:ascii="標楷體" w:eastAsia="標楷體" w:hAnsi="標楷體" w:hint="eastAsia"/>
          <w:kern w:val="0"/>
          <w:sz w:val="32"/>
          <w:szCs w:val="32"/>
        </w:rPr>
        <w:t>清：第一，在多語言環境下（如原住民語或不同方言腔調），系統的辨識狀況與準確度為何？ 第二，在很多的記錄裡面，涉及資訊安全與</w:t>
      </w:r>
      <w:proofErr w:type="gramStart"/>
      <w:r w:rsidRPr="001B6E4D">
        <w:rPr>
          <w:rFonts w:ascii="標楷體" w:eastAsia="標楷體" w:hAnsi="標楷體" w:hint="eastAsia"/>
          <w:kern w:val="0"/>
          <w:sz w:val="32"/>
          <w:szCs w:val="32"/>
        </w:rPr>
        <w:t>個</w:t>
      </w:r>
      <w:proofErr w:type="gramEnd"/>
      <w:r w:rsidRPr="001B6E4D">
        <w:rPr>
          <w:rFonts w:ascii="標楷體" w:eastAsia="標楷體" w:hAnsi="標楷體" w:hint="eastAsia"/>
          <w:kern w:val="0"/>
          <w:sz w:val="32"/>
          <w:szCs w:val="32"/>
        </w:rPr>
        <w:t>資保護部分，特別是</w:t>
      </w:r>
      <w:proofErr w:type="gramStart"/>
      <w:r w:rsidRPr="001B6E4D">
        <w:rPr>
          <w:rFonts w:ascii="標楷體" w:eastAsia="標楷體" w:hAnsi="標楷體" w:hint="eastAsia"/>
          <w:kern w:val="0"/>
          <w:sz w:val="32"/>
          <w:szCs w:val="32"/>
        </w:rPr>
        <w:t>兒少性侵害</w:t>
      </w:r>
      <w:proofErr w:type="gramEnd"/>
      <w:r w:rsidRPr="001B6E4D">
        <w:rPr>
          <w:rFonts w:ascii="標楷體" w:eastAsia="標楷體" w:hAnsi="標楷體" w:hint="eastAsia"/>
          <w:kern w:val="0"/>
          <w:sz w:val="32"/>
          <w:szCs w:val="32"/>
        </w:rPr>
        <w:t>、家事秘密等隱私案件的紀錄，相關防護機制為何？若上述問題獲得</w:t>
      </w:r>
      <w:proofErr w:type="gramStart"/>
      <w:r w:rsidRPr="001B6E4D">
        <w:rPr>
          <w:rFonts w:ascii="標楷體" w:eastAsia="標楷體" w:hAnsi="標楷體" w:hint="eastAsia"/>
          <w:kern w:val="0"/>
          <w:sz w:val="32"/>
          <w:szCs w:val="32"/>
        </w:rPr>
        <w:t>釐</w:t>
      </w:r>
      <w:proofErr w:type="gramEnd"/>
      <w:r w:rsidRPr="001B6E4D">
        <w:rPr>
          <w:rFonts w:ascii="標楷體" w:eastAsia="標楷體" w:hAnsi="標楷體" w:hint="eastAsia"/>
          <w:kern w:val="0"/>
          <w:sz w:val="32"/>
          <w:szCs w:val="32"/>
        </w:rPr>
        <w:t>清，大量建置應無太大問題。不過後續建置時，還需考量配套的教育訓練。希望今年能順利審查相關預算，讓系統在明年如期上線。接下來</w:t>
      </w:r>
      <w:r w:rsidRPr="001B6E4D">
        <w:rPr>
          <w:rFonts w:ascii="標楷體" w:eastAsia="標楷體" w:hAnsi="標楷體"/>
          <w:kern w:val="0"/>
          <w:sz w:val="32"/>
          <w:szCs w:val="32"/>
        </w:rPr>
        <w:t>我們就把時間放在待會的介紹，謝謝。</w:t>
      </w:r>
    </w:p>
    <w:p w14:paraId="71AB319D" w14:textId="1C3E9F56" w:rsidR="00B921E8" w:rsidRPr="001B6E4D" w:rsidRDefault="00B921E8" w:rsidP="003D1018">
      <w:pPr>
        <w:overflowPunct w:val="0"/>
        <w:spacing w:line="460" w:lineRule="exact"/>
        <w:ind w:leftChars="236" w:left="640" w:hangingChars="23" w:hanging="74"/>
        <w:jc w:val="both"/>
        <w:rPr>
          <w:rFonts w:ascii="標楷體" w:eastAsia="標楷體" w:hAnsi="標楷體"/>
          <w:b/>
          <w:bCs/>
          <w:kern w:val="0"/>
          <w:sz w:val="32"/>
          <w:szCs w:val="32"/>
        </w:rPr>
      </w:pPr>
      <w:r w:rsidRPr="001B6E4D">
        <w:rPr>
          <w:rFonts w:ascii="標楷體" w:eastAsia="標楷體" w:hAnsi="標楷體" w:hint="eastAsia"/>
          <w:b/>
          <w:bCs/>
          <w:kern w:val="0"/>
          <w:sz w:val="32"/>
          <w:szCs w:val="32"/>
        </w:rPr>
        <w:t>三、中文語音辨識系統之應用簡報</w:t>
      </w:r>
    </w:p>
    <w:p w14:paraId="4F9B3631" w14:textId="77777777" w:rsidR="00B921E8" w:rsidRPr="001B6E4D" w:rsidRDefault="00B921E8" w:rsidP="003D1018">
      <w:pPr>
        <w:overflowPunct w:val="0"/>
        <w:spacing w:line="460" w:lineRule="exact"/>
        <w:ind w:leftChars="531" w:left="1274"/>
        <w:jc w:val="both"/>
        <w:rPr>
          <w:rFonts w:ascii="標楷體" w:eastAsia="標楷體" w:hAnsi="標楷體"/>
          <w:kern w:val="0"/>
          <w:sz w:val="32"/>
          <w:szCs w:val="32"/>
        </w:rPr>
      </w:pPr>
      <w:r w:rsidRPr="001B6E4D">
        <w:rPr>
          <w:rFonts w:ascii="標楷體" w:eastAsia="標楷體" w:hAnsi="標楷體" w:hint="eastAsia"/>
          <w:kern w:val="0"/>
          <w:sz w:val="32"/>
          <w:szCs w:val="32"/>
        </w:rPr>
        <w:t>報告人：臺灣</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北地方法院</w:t>
      </w:r>
      <w:proofErr w:type="gramStart"/>
      <w:r w:rsidRPr="001B6E4D">
        <w:rPr>
          <w:rFonts w:ascii="標楷體" w:eastAsia="標楷體" w:hAnsi="標楷體" w:hint="eastAsia"/>
          <w:kern w:val="0"/>
          <w:sz w:val="32"/>
          <w:szCs w:val="32"/>
        </w:rPr>
        <w:t>吳承學庭長</w:t>
      </w:r>
      <w:proofErr w:type="gramEnd"/>
    </w:p>
    <w:p w14:paraId="107ACDD8" w14:textId="579BA6BD" w:rsidR="00B921E8" w:rsidRPr="001B6E4D" w:rsidRDefault="00FF4B0E" w:rsidP="003D1018">
      <w:pPr>
        <w:overflowPunct w:val="0"/>
        <w:spacing w:line="460" w:lineRule="exact"/>
        <w:jc w:val="both"/>
        <w:rPr>
          <w:rFonts w:ascii="標楷體" w:eastAsia="標楷體" w:hAnsi="標楷體"/>
          <w:b/>
          <w:bCs/>
          <w:kern w:val="0"/>
          <w:sz w:val="32"/>
          <w:szCs w:val="32"/>
        </w:rPr>
      </w:pPr>
      <w:r w:rsidRPr="001B6E4D">
        <w:rPr>
          <w:rFonts w:ascii="標楷體" w:eastAsia="標楷體" w:hAnsi="標楷體" w:hint="eastAsia"/>
          <w:b/>
          <w:bCs/>
          <w:kern w:val="0"/>
          <w:sz w:val="32"/>
          <w:szCs w:val="32"/>
        </w:rPr>
        <w:t xml:space="preserve">    </w:t>
      </w:r>
      <w:r w:rsidR="00B921E8" w:rsidRPr="001B6E4D">
        <w:rPr>
          <w:rFonts w:ascii="標楷體" w:eastAsia="標楷體" w:hAnsi="標楷體" w:hint="eastAsia"/>
          <w:b/>
          <w:bCs/>
          <w:kern w:val="0"/>
          <w:sz w:val="32"/>
          <w:szCs w:val="32"/>
        </w:rPr>
        <w:t>四、法庭語音辨識系統導</w:t>
      </w:r>
      <w:proofErr w:type="gramStart"/>
      <w:r w:rsidR="00B921E8" w:rsidRPr="001B6E4D">
        <w:rPr>
          <w:rFonts w:ascii="標楷體" w:eastAsia="標楷體" w:hAnsi="標楷體" w:hint="eastAsia"/>
          <w:b/>
          <w:bCs/>
          <w:kern w:val="0"/>
          <w:sz w:val="32"/>
          <w:szCs w:val="32"/>
        </w:rPr>
        <w:t>覽</w:t>
      </w:r>
      <w:proofErr w:type="gramEnd"/>
    </w:p>
    <w:p w14:paraId="52379B5A" w14:textId="77777777" w:rsidR="00B921E8" w:rsidRPr="001B6E4D" w:rsidRDefault="00B921E8" w:rsidP="003D1018">
      <w:pPr>
        <w:overflowPunct w:val="0"/>
        <w:spacing w:line="460" w:lineRule="exact"/>
        <w:ind w:leftChars="531" w:left="1274"/>
        <w:jc w:val="both"/>
        <w:rPr>
          <w:rFonts w:ascii="標楷體" w:eastAsia="標楷體" w:hAnsi="標楷體"/>
          <w:b/>
          <w:bCs/>
          <w:kern w:val="0"/>
          <w:sz w:val="32"/>
          <w:szCs w:val="32"/>
        </w:rPr>
      </w:pPr>
      <w:r w:rsidRPr="001B6E4D">
        <w:rPr>
          <w:rFonts w:ascii="標楷體" w:eastAsia="標楷體" w:hAnsi="標楷體" w:hint="eastAsia"/>
          <w:b/>
          <w:bCs/>
          <w:kern w:val="0"/>
          <w:sz w:val="32"/>
          <w:szCs w:val="32"/>
        </w:rPr>
        <w:t>國民法官法庭語音辨識系統導</w:t>
      </w:r>
      <w:proofErr w:type="gramStart"/>
      <w:r w:rsidRPr="001B6E4D">
        <w:rPr>
          <w:rFonts w:ascii="標楷體" w:eastAsia="標楷體" w:hAnsi="標楷體" w:hint="eastAsia"/>
          <w:b/>
          <w:bCs/>
          <w:kern w:val="0"/>
          <w:sz w:val="32"/>
          <w:szCs w:val="32"/>
        </w:rPr>
        <w:t>覽</w:t>
      </w:r>
      <w:proofErr w:type="gramEnd"/>
      <w:r w:rsidRPr="001B6E4D">
        <w:rPr>
          <w:rFonts w:ascii="標楷體" w:eastAsia="標楷體" w:hAnsi="標楷體" w:hint="eastAsia"/>
          <w:b/>
          <w:bCs/>
          <w:kern w:val="0"/>
          <w:sz w:val="32"/>
          <w:szCs w:val="32"/>
        </w:rPr>
        <w:t>（略）。</w:t>
      </w:r>
    </w:p>
    <w:p w14:paraId="3A4FBB44" w14:textId="77777777" w:rsidR="00B921E8" w:rsidRPr="001B6E4D" w:rsidRDefault="00B921E8" w:rsidP="003D1018">
      <w:pPr>
        <w:widowControl w:val="0"/>
        <w:tabs>
          <w:tab w:val="left" w:pos="426"/>
          <w:tab w:val="left" w:pos="709"/>
        </w:tabs>
        <w:overflowPunct w:val="0"/>
        <w:spacing w:afterLines="50" w:after="180" w:line="560" w:lineRule="exact"/>
        <w:rPr>
          <w:rFonts w:ascii="標楷體" w:eastAsia="標楷體" w:hAnsi="標楷體"/>
          <w:b/>
          <w:bCs/>
          <w:kern w:val="0"/>
          <w:sz w:val="32"/>
          <w:szCs w:val="32"/>
        </w:rPr>
      </w:pPr>
      <w:r w:rsidRPr="001B6E4D">
        <w:rPr>
          <w:rFonts w:ascii="標楷體" w:eastAsia="標楷體" w:hAnsi="標楷體" w:hint="eastAsia"/>
          <w:b/>
          <w:bCs/>
          <w:kern w:val="0"/>
          <w:sz w:val="32"/>
          <w:szCs w:val="32"/>
        </w:rPr>
        <w:t>參、一般刑事庭第二法庭參訪情形</w:t>
      </w:r>
    </w:p>
    <w:p w14:paraId="1FCFE4F0" w14:textId="77777777" w:rsidR="00B921E8" w:rsidRPr="001B6E4D" w:rsidRDefault="00B921E8" w:rsidP="003D1018">
      <w:pPr>
        <w:overflowPunct w:val="0"/>
        <w:spacing w:line="460" w:lineRule="exact"/>
        <w:ind w:leftChars="531" w:left="1274"/>
        <w:jc w:val="both"/>
        <w:rPr>
          <w:rFonts w:ascii="標楷體" w:eastAsia="標楷體" w:hAnsi="標楷體"/>
          <w:b/>
          <w:bCs/>
          <w:kern w:val="0"/>
          <w:sz w:val="32"/>
          <w:szCs w:val="32"/>
        </w:rPr>
      </w:pPr>
      <w:r w:rsidRPr="001B6E4D">
        <w:rPr>
          <w:rFonts w:ascii="標楷體" w:eastAsia="標楷體" w:hAnsi="標楷體" w:hint="eastAsia"/>
          <w:b/>
          <w:bCs/>
          <w:kern w:val="0"/>
          <w:sz w:val="32"/>
          <w:szCs w:val="32"/>
        </w:rPr>
        <w:t>一般刑事法庭語音辨識系統導</w:t>
      </w:r>
      <w:proofErr w:type="gramStart"/>
      <w:r w:rsidRPr="001B6E4D">
        <w:rPr>
          <w:rFonts w:ascii="標楷體" w:eastAsia="標楷體" w:hAnsi="標楷體" w:hint="eastAsia"/>
          <w:b/>
          <w:bCs/>
          <w:kern w:val="0"/>
          <w:sz w:val="32"/>
          <w:szCs w:val="32"/>
        </w:rPr>
        <w:t>覽</w:t>
      </w:r>
      <w:proofErr w:type="gramEnd"/>
      <w:r w:rsidRPr="001B6E4D">
        <w:rPr>
          <w:rFonts w:ascii="標楷體" w:eastAsia="標楷體" w:hAnsi="標楷體" w:hint="eastAsia"/>
          <w:b/>
          <w:bCs/>
          <w:kern w:val="0"/>
          <w:sz w:val="32"/>
          <w:szCs w:val="32"/>
        </w:rPr>
        <w:t>（略）。</w:t>
      </w:r>
    </w:p>
    <w:p w14:paraId="058E9EBD" w14:textId="77777777" w:rsidR="00B921E8" w:rsidRPr="001B6E4D" w:rsidRDefault="00B921E8" w:rsidP="003D1018">
      <w:pPr>
        <w:widowControl w:val="0"/>
        <w:tabs>
          <w:tab w:val="left" w:pos="426"/>
          <w:tab w:val="left" w:pos="709"/>
        </w:tabs>
        <w:overflowPunct w:val="0"/>
        <w:spacing w:afterLines="50" w:after="180" w:line="560" w:lineRule="exact"/>
        <w:rPr>
          <w:rFonts w:ascii="標楷體" w:eastAsia="標楷體" w:hAnsi="標楷體"/>
          <w:b/>
          <w:kern w:val="0"/>
          <w:sz w:val="32"/>
          <w:szCs w:val="32"/>
        </w:rPr>
      </w:pPr>
      <w:r w:rsidRPr="001B6E4D">
        <w:rPr>
          <w:rFonts w:ascii="標楷體" w:eastAsia="標楷體" w:hAnsi="標楷體" w:hint="eastAsia"/>
          <w:b/>
          <w:kern w:val="0"/>
          <w:sz w:val="32"/>
          <w:szCs w:val="32"/>
        </w:rPr>
        <w:t>肆、多媒體簡報室座談紀錄</w:t>
      </w:r>
    </w:p>
    <w:p w14:paraId="4B6C5A14" w14:textId="152C8E5F" w:rsidR="00B921E8" w:rsidRPr="001B6E4D" w:rsidRDefault="00FF4B0E" w:rsidP="003D1018">
      <w:pPr>
        <w:overflowPunct w:val="0"/>
        <w:spacing w:line="460" w:lineRule="exact"/>
        <w:jc w:val="both"/>
        <w:rPr>
          <w:rFonts w:ascii="標楷體" w:eastAsia="標楷體" w:hAnsi="標楷體"/>
          <w:b/>
          <w:kern w:val="0"/>
          <w:sz w:val="32"/>
          <w:szCs w:val="32"/>
        </w:rPr>
      </w:pPr>
      <w:r w:rsidRPr="001B6E4D">
        <w:rPr>
          <w:rFonts w:ascii="標楷體" w:eastAsia="標楷體" w:hAnsi="標楷體" w:hint="eastAsia"/>
          <w:b/>
          <w:kern w:val="0"/>
          <w:sz w:val="32"/>
          <w:szCs w:val="32"/>
        </w:rPr>
        <w:t xml:space="preserve">    </w:t>
      </w:r>
      <w:r w:rsidR="00B921E8" w:rsidRPr="001B6E4D">
        <w:rPr>
          <w:rFonts w:ascii="標楷體" w:eastAsia="標楷體" w:hAnsi="標楷體" w:hint="eastAsia"/>
          <w:b/>
          <w:kern w:val="0"/>
          <w:sz w:val="32"/>
          <w:szCs w:val="32"/>
        </w:rPr>
        <w:t>司法院高金枝秘書長：</w:t>
      </w:r>
    </w:p>
    <w:p w14:paraId="16C88B8F" w14:textId="77777777" w:rsidR="00B921E8" w:rsidRPr="001B6E4D" w:rsidRDefault="00B921E8" w:rsidP="003D1018">
      <w:pPr>
        <w:overflowPunct w:val="0"/>
        <w:spacing w:line="460" w:lineRule="exact"/>
        <w:ind w:leftChars="296" w:left="710"/>
        <w:jc w:val="both"/>
        <w:rPr>
          <w:rFonts w:ascii="標楷體" w:eastAsia="標楷體" w:hAnsi="標楷體"/>
          <w:strike/>
          <w:kern w:val="0"/>
          <w:sz w:val="32"/>
          <w:szCs w:val="32"/>
        </w:rPr>
      </w:pPr>
      <w:r w:rsidRPr="001B6E4D">
        <w:rPr>
          <w:rFonts w:ascii="標楷體" w:eastAsia="標楷體" w:hAnsi="標楷體" w:hint="eastAsia"/>
          <w:kern w:val="0"/>
          <w:sz w:val="32"/>
          <w:szCs w:val="32"/>
        </w:rPr>
        <w:t>首先向委員更正說明，原住民語及外國語言（如日文、英文等）目前無法直接由系統辨識並呈現對應文字，仍須透過特約通譯進行法庭翻譯。通譯所翻譯之國語發言</w:t>
      </w:r>
      <w:r w:rsidRPr="001B6E4D">
        <w:rPr>
          <w:rFonts w:ascii="標楷體" w:eastAsia="標楷體" w:hAnsi="標楷體" w:hint="eastAsia"/>
          <w:kern w:val="0"/>
          <w:sz w:val="32"/>
          <w:szCs w:val="32"/>
        </w:rPr>
        <w:lastRenderedPageBreak/>
        <w:t xml:space="preserve">會即時呈現在語音辨識系統上，以符合法庭筆錄原則上以中文記載之規範。剛才的說明若有不夠精確之處，在此先予以更正。 </w:t>
      </w:r>
    </w:p>
    <w:p w14:paraId="269E9BB5"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proofErr w:type="gramStart"/>
      <w:r w:rsidRPr="001B6E4D">
        <w:rPr>
          <w:rFonts w:ascii="標楷體" w:eastAsia="標楷體" w:hAnsi="標楷體" w:hint="eastAsia"/>
          <w:kern w:val="0"/>
          <w:sz w:val="32"/>
          <w:szCs w:val="32"/>
        </w:rPr>
        <w:t>此外，</w:t>
      </w:r>
      <w:proofErr w:type="gramEnd"/>
      <w:r w:rsidRPr="001B6E4D">
        <w:rPr>
          <w:rFonts w:ascii="標楷體" w:eastAsia="標楷體" w:hAnsi="標楷體" w:hint="eastAsia"/>
          <w:kern w:val="0"/>
          <w:sz w:val="32"/>
          <w:szCs w:val="32"/>
        </w:rPr>
        <w:t>委員剛剛也看到了法院擁擠的實務工作環境。今日參訪的法庭在臺灣</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北地方法院已屬大法庭，但人員進駐演練時空間依舊顯得狹小。臺灣</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北地方法院自民國75年建置至今，同仁雖努力維護，但空間飽和是不爭的事實。因此，也懇請委員未來對華山園區的興建預算多多給予支持，何院長今年已努力推進至發包階段。</w:t>
      </w:r>
    </w:p>
    <w:p w14:paraId="2DC82F6B"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今天座談最重要的目的，是聽取委員及各位先進的意見，後續可由何院長或司法院同仁進行回應。</w:t>
      </w:r>
    </w:p>
    <w:p w14:paraId="73CFEC57"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最後介紹正在負責語音辨識系統開發與</w:t>
      </w:r>
      <w:proofErr w:type="gramStart"/>
      <w:r w:rsidRPr="001B6E4D">
        <w:rPr>
          <w:rFonts w:ascii="標楷體" w:eastAsia="標楷體" w:hAnsi="標楷體" w:hint="eastAsia"/>
          <w:kern w:val="0"/>
          <w:sz w:val="32"/>
          <w:szCs w:val="32"/>
        </w:rPr>
        <w:t>佈</w:t>
      </w:r>
      <w:proofErr w:type="gramEnd"/>
      <w:r w:rsidRPr="001B6E4D">
        <w:rPr>
          <w:rFonts w:ascii="標楷體" w:eastAsia="標楷體" w:hAnsi="標楷體" w:hint="eastAsia"/>
          <w:kern w:val="0"/>
          <w:sz w:val="32"/>
          <w:szCs w:val="32"/>
        </w:rPr>
        <w:t>建的兩個關鍵單位：司法行政廳吳祚丞廳長、資訊處何君豪處長。而臺灣</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北地方法院何信慶院長身為主要使用者，也將持續提供實際操作之優化經驗。接下來的時間交給委員及各位先進，謝謝。</w:t>
      </w:r>
    </w:p>
    <w:p w14:paraId="0AAAC8F5" w14:textId="38B3327B" w:rsidR="00B921E8" w:rsidRPr="001B6E4D" w:rsidRDefault="00FF4B0E" w:rsidP="003D1018">
      <w:pPr>
        <w:overflowPunct w:val="0"/>
        <w:spacing w:line="460" w:lineRule="exact"/>
        <w:ind w:leftChars="-52" w:left="-125"/>
        <w:jc w:val="both"/>
        <w:rPr>
          <w:rFonts w:ascii="標楷體" w:eastAsia="標楷體" w:hAnsi="標楷體"/>
          <w:b/>
          <w:kern w:val="0"/>
          <w:sz w:val="32"/>
          <w:szCs w:val="32"/>
        </w:rPr>
      </w:pPr>
      <w:r w:rsidRPr="001B6E4D">
        <w:rPr>
          <w:rFonts w:ascii="標楷體" w:eastAsia="標楷體" w:hAnsi="標楷體" w:hint="eastAsia"/>
          <w:b/>
          <w:kern w:val="0"/>
          <w:sz w:val="32"/>
          <w:szCs w:val="32"/>
        </w:rPr>
        <w:t xml:space="preserve">    </w:t>
      </w:r>
      <w:r w:rsidR="00EC0196" w:rsidRPr="001B6E4D">
        <w:rPr>
          <w:rFonts w:ascii="標楷體" w:eastAsia="標楷體" w:hAnsi="標楷體" w:hint="eastAsia"/>
          <w:b/>
          <w:kern w:val="0"/>
          <w:sz w:val="32"/>
          <w:szCs w:val="32"/>
        </w:rPr>
        <w:t xml:space="preserve"> </w:t>
      </w:r>
      <w:r w:rsidR="00B921E8" w:rsidRPr="001B6E4D">
        <w:rPr>
          <w:rFonts w:ascii="標楷體" w:eastAsia="標楷體" w:hAnsi="標楷體" w:hint="eastAsia"/>
          <w:b/>
          <w:kern w:val="0"/>
          <w:sz w:val="32"/>
          <w:szCs w:val="32"/>
        </w:rPr>
        <w:t>立法院張雅琳委員：</w:t>
      </w:r>
    </w:p>
    <w:p w14:paraId="54EC2283"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謝謝秘書長。我有幾個問題想請教：</w:t>
      </w:r>
    </w:p>
    <w:p w14:paraId="01F4EEAF"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第一，關於多語言環境，實務上常有長輩習慣以母語發言，或呈現國</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語、</w:t>
      </w:r>
      <w:proofErr w:type="gramStart"/>
      <w:r w:rsidRPr="001B6E4D">
        <w:rPr>
          <w:rFonts w:ascii="標楷體" w:eastAsia="標楷體" w:hAnsi="標楷體" w:hint="eastAsia"/>
          <w:kern w:val="0"/>
          <w:sz w:val="32"/>
          <w:szCs w:val="32"/>
        </w:rPr>
        <w:t>國客語交</w:t>
      </w:r>
      <w:proofErr w:type="gramEnd"/>
      <w:r w:rsidRPr="001B6E4D">
        <w:rPr>
          <w:rFonts w:ascii="標楷體" w:eastAsia="標楷體" w:hAnsi="標楷體" w:hint="eastAsia"/>
          <w:kern w:val="0"/>
          <w:sz w:val="32"/>
          <w:szCs w:val="32"/>
        </w:rPr>
        <w:t>雜的狀況。由於剛才演示較少看到此類場景，想瞭解系統在雙</w:t>
      </w:r>
      <w:proofErr w:type="gramStart"/>
      <w:r w:rsidRPr="001B6E4D">
        <w:rPr>
          <w:rFonts w:ascii="標楷體" w:eastAsia="標楷體" w:hAnsi="標楷體" w:hint="eastAsia"/>
          <w:kern w:val="0"/>
          <w:sz w:val="32"/>
          <w:szCs w:val="32"/>
        </w:rPr>
        <w:t>語交雜時</w:t>
      </w:r>
      <w:proofErr w:type="gramEnd"/>
      <w:r w:rsidRPr="001B6E4D">
        <w:rPr>
          <w:rFonts w:ascii="標楷體" w:eastAsia="標楷體" w:hAnsi="標楷體" w:hint="eastAsia"/>
          <w:kern w:val="0"/>
          <w:sz w:val="32"/>
          <w:szCs w:val="32"/>
        </w:rPr>
        <w:t>的實際辨識成效為何？</w:t>
      </w:r>
    </w:p>
    <w:p w14:paraId="2C75630D"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第二，關於減輕工作量，簡報提及語音辨識系統對書記官確實有效。但建議司法院應持續針對現已試用該工具的書記官進行正式的「滿意度調查」。大規模推行前，必須掌握書記官的真實回饋，避免政策推廣時產生反彈。</w:t>
      </w:r>
      <w:proofErr w:type="gramStart"/>
      <w:r w:rsidRPr="001B6E4D">
        <w:rPr>
          <w:rFonts w:ascii="標楷體" w:eastAsia="標楷體" w:hAnsi="標楷體" w:hint="eastAsia"/>
          <w:kern w:val="0"/>
          <w:sz w:val="32"/>
          <w:szCs w:val="32"/>
        </w:rPr>
        <w:t>此外，</w:t>
      </w:r>
      <w:proofErr w:type="gramEnd"/>
      <w:r w:rsidRPr="001B6E4D">
        <w:rPr>
          <w:rFonts w:ascii="標楷體" w:eastAsia="標楷體" w:hAnsi="標楷體" w:hint="eastAsia"/>
          <w:kern w:val="0"/>
          <w:sz w:val="32"/>
          <w:szCs w:val="32"/>
        </w:rPr>
        <w:t>語音辨識系統導入後究竟能實質降低多少比例的工作量？司法院下一步的改善目標為何？</w:t>
      </w:r>
    </w:p>
    <w:p w14:paraId="2E65BB66"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第三，書記官同仁反映其庶務工作量亦相當繁重，書記官工會有提出應優先強化總機語音客服系統，這好像是</w:t>
      </w:r>
      <w:r w:rsidRPr="001B6E4D">
        <w:rPr>
          <w:rFonts w:ascii="標楷體" w:eastAsia="標楷體" w:hAnsi="標楷體" w:hint="eastAsia"/>
          <w:kern w:val="0"/>
          <w:sz w:val="32"/>
          <w:szCs w:val="32"/>
        </w:rPr>
        <w:lastRenderedPageBreak/>
        <w:t>他們蠻在乎的事情。當法庭語音辨識建置告一段落後，司法院是否已有回應這項訴求的具體改善方向？</w:t>
      </w:r>
    </w:p>
    <w:p w14:paraId="0FD30216"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第四，剛才演示過程大家的發言節奏較為平和。但在訴訟實務上，常有言語激烈、多人同時插話的衝突情境，想瞭解系統在激烈的交互詰問或插話狀態下，整體的辨識度表現如何？</w:t>
      </w:r>
    </w:p>
    <w:p w14:paraId="2D03CB27" w14:textId="77777777" w:rsidR="00B921E8" w:rsidRPr="001B6E4D" w:rsidRDefault="00B921E8" w:rsidP="003D1018">
      <w:pPr>
        <w:overflowPunct w:val="0"/>
        <w:spacing w:line="460" w:lineRule="exact"/>
        <w:ind w:leftChars="296" w:left="710"/>
        <w:jc w:val="both"/>
        <w:rPr>
          <w:rFonts w:ascii="標楷體" w:eastAsia="標楷體" w:hAnsi="標楷體"/>
          <w:bCs/>
          <w:kern w:val="0"/>
          <w:sz w:val="32"/>
          <w:szCs w:val="32"/>
        </w:rPr>
      </w:pPr>
      <w:r w:rsidRPr="001B6E4D">
        <w:rPr>
          <w:rFonts w:ascii="標楷體" w:eastAsia="標楷體" w:hAnsi="標楷體" w:hint="eastAsia"/>
          <w:kern w:val="0"/>
          <w:sz w:val="32"/>
          <w:szCs w:val="32"/>
        </w:rPr>
        <w:t>今天出席的還有其他關心此議題的委員辦公室代表。在此介紹今日與會的同仁：我辦公室李晏榕助理、張庭</w:t>
      </w:r>
      <w:proofErr w:type="gramStart"/>
      <w:r w:rsidRPr="001B6E4D">
        <w:rPr>
          <w:rFonts w:ascii="標楷體" w:eastAsia="標楷體" w:hAnsi="標楷體" w:hint="eastAsia"/>
          <w:kern w:val="0"/>
          <w:sz w:val="32"/>
          <w:szCs w:val="32"/>
        </w:rPr>
        <w:t>逌</w:t>
      </w:r>
      <w:proofErr w:type="gramEnd"/>
      <w:r w:rsidRPr="001B6E4D">
        <w:rPr>
          <w:rFonts w:ascii="標楷體" w:eastAsia="標楷體" w:hAnsi="標楷體" w:hint="eastAsia"/>
          <w:kern w:val="0"/>
          <w:sz w:val="32"/>
          <w:szCs w:val="32"/>
        </w:rPr>
        <w:t>助理；莊瑞雄委員辦公室王柏皓助理、李虹</w:t>
      </w:r>
      <w:proofErr w:type="gramStart"/>
      <w:r w:rsidRPr="001B6E4D">
        <w:rPr>
          <w:rFonts w:ascii="標楷體" w:eastAsia="標楷體" w:hAnsi="標楷體" w:hint="eastAsia"/>
          <w:kern w:val="0"/>
          <w:sz w:val="32"/>
          <w:szCs w:val="32"/>
        </w:rPr>
        <w:t>妏</w:t>
      </w:r>
      <w:proofErr w:type="gramEnd"/>
      <w:r w:rsidRPr="001B6E4D">
        <w:rPr>
          <w:rFonts w:ascii="標楷體" w:eastAsia="標楷體" w:hAnsi="標楷體" w:hint="eastAsia"/>
          <w:kern w:val="0"/>
          <w:sz w:val="32"/>
          <w:szCs w:val="32"/>
        </w:rPr>
        <w:t>助理；林倩綺委員辦公室楊智鈞助理；以及沈發惠委員辦公室張誠軒助理。接下來請其他委員辦公室代表針對今天上午的演示跟簡報一併提出關切問題，謝謝</w:t>
      </w:r>
      <w:r w:rsidRPr="001B6E4D">
        <w:rPr>
          <w:rFonts w:ascii="標楷體" w:eastAsia="標楷體" w:hAnsi="標楷體"/>
          <w:kern w:val="0"/>
          <w:sz w:val="32"/>
          <w:szCs w:val="32"/>
        </w:rPr>
        <w:t>。</w:t>
      </w:r>
    </w:p>
    <w:p w14:paraId="059563C0" w14:textId="0E6817BC" w:rsidR="00B921E8" w:rsidRPr="001B6E4D" w:rsidRDefault="00B921E8" w:rsidP="003D1018">
      <w:pPr>
        <w:overflowPunct w:val="0"/>
        <w:spacing w:line="460" w:lineRule="exact"/>
        <w:ind w:leftChars="296" w:left="710"/>
        <w:jc w:val="both"/>
        <w:rPr>
          <w:rFonts w:ascii="標楷體" w:eastAsia="標楷體" w:hAnsi="標楷體"/>
          <w:b/>
          <w:kern w:val="0"/>
          <w:sz w:val="32"/>
          <w:szCs w:val="32"/>
        </w:rPr>
      </w:pPr>
      <w:r w:rsidRPr="001B6E4D">
        <w:rPr>
          <w:rFonts w:ascii="標楷體" w:eastAsia="標楷體" w:hAnsi="標楷體" w:hint="eastAsia"/>
          <w:b/>
          <w:kern w:val="0"/>
          <w:sz w:val="32"/>
          <w:szCs w:val="32"/>
        </w:rPr>
        <w:t>立法院沈發惠委員辦公室張誠軒助理：</w:t>
      </w:r>
    </w:p>
    <w:p w14:paraId="4F20624A" w14:textId="77777777" w:rsidR="00B921E8" w:rsidRPr="001B6E4D" w:rsidRDefault="00B921E8" w:rsidP="003D1018">
      <w:pPr>
        <w:overflowPunct w:val="0"/>
        <w:spacing w:line="460" w:lineRule="exact"/>
        <w:ind w:leftChars="296" w:left="710"/>
        <w:jc w:val="both"/>
        <w:rPr>
          <w:rFonts w:ascii="標楷體" w:eastAsia="標楷體" w:hAnsi="標楷體"/>
          <w:bCs/>
          <w:kern w:val="0"/>
          <w:sz w:val="32"/>
          <w:szCs w:val="32"/>
        </w:rPr>
      </w:pPr>
      <w:r w:rsidRPr="001B6E4D">
        <w:rPr>
          <w:rFonts w:ascii="標楷體" w:eastAsia="標楷體" w:hAnsi="標楷體" w:hint="eastAsia"/>
          <w:bCs/>
          <w:kern w:val="0"/>
          <w:sz w:val="32"/>
          <w:szCs w:val="32"/>
        </w:rPr>
        <w:t>主席、秘書長及各位長官好。有三個簡單問題請教：</w:t>
      </w:r>
    </w:p>
    <w:p w14:paraId="28678ACC" w14:textId="77777777" w:rsidR="00B921E8" w:rsidRPr="001B6E4D" w:rsidRDefault="00B921E8" w:rsidP="003D1018">
      <w:pPr>
        <w:overflowPunct w:val="0"/>
        <w:spacing w:line="460" w:lineRule="exact"/>
        <w:ind w:leftChars="296" w:left="710"/>
        <w:jc w:val="both"/>
        <w:rPr>
          <w:rFonts w:ascii="標楷體" w:eastAsia="標楷體" w:hAnsi="標楷體"/>
          <w:bCs/>
          <w:kern w:val="0"/>
          <w:sz w:val="32"/>
          <w:szCs w:val="32"/>
        </w:rPr>
      </w:pPr>
      <w:r w:rsidRPr="001B6E4D">
        <w:rPr>
          <w:rFonts w:ascii="標楷體" w:eastAsia="標楷體" w:hAnsi="標楷體" w:hint="eastAsia"/>
          <w:bCs/>
          <w:kern w:val="0"/>
          <w:sz w:val="32"/>
          <w:szCs w:val="32"/>
        </w:rPr>
        <w:t>第一，未來這套系統的預算編列，是屬於一次性買斷授權，還是每年需定期支付軟體授權費？</w:t>
      </w:r>
    </w:p>
    <w:p w14:paraId="27448CC0" w14:textId="77777777" w:rsidR="00B921E8" w:rsidRPr="001B6E4D" w:rsidRDefault="00B921E8" w:rsidP="003D1018">
      <w:pPr>
        <w:overflowPunct w:val="0"/>
        <w:spacing w:line="460" w:lineRule="exact"/>
        <w:ind w:leftChars="296" w:left="710"/>
        <w:jc w:val="both"/>
        <w:rPr>
          <w:rFonts w:ascii="標楷體" w:eastAsia="標楷體" w:hAnsi="標楷體"/>
          <w:bCs/>
          <w:kern w:val="0"/>
          <w:sz w:val="32"/>
          <w:szCs w:val="32"/>
        </w:rPr>
      </w:pPr>
      <w:r w:rsidRPr="001B6E4D">
        <w:rPr>
          <w:rFonts w:ascii="標楷體" w:eastAsia="標楷體" w:hAnsi="標楷體" w:hint="eastAsia"/>
          <w:bCs/>
          <w:kern w:val="0"/>
          <w:sz w:val="32"/>
          <w:szCs w:val="32"/>
        </w:rPr>
        <w:t>第二，後續推廣時，經費來源是由各地方法院自行編列，還是由司法院</w:t>
      </w:r>
      <w:proofErr w:type="gramStart"/>
      <w:r w:rsidRPr="001B6E4D">
        <w:rPr>
          <w:rFonts w:ascii="標楷體" w:eastAsia="標楷體" w:hAnsi="標楷體" w:hint="eastAsia"/>
          <w:bCs/>
          <w:kern w:val="0"/>
          <w:sz w:val="32"/>
          <w:szCs w:val="32"/>
        </w:rPr>
        <w:t>採</w:t>
      </w:r>
      <w:proofErr w:type="gramEnd"/>
      <w:r w:rsidRPr="001B6E4D">
        <w:rPr>
          <w:rFonts w:ascii="標楷體" w:eastAsia="標楷體" w:hAnsi="標楷體" w:hint="eastAsia"/>
          <w:bCs/>
          <w:kern w:val="0"/>
          <w:sz w:val="32"/>
          <w:szCs w:val="32"/>
        </w:rPr>
        <w:t>統籌編列方式辦理？</w:t>
      </w:r>
    </w:p>
    <w:p w14:paraId="5FE19811" w14:textId="77777777" w:rsidR="00C77DA6" w:rsidRPr="001B6E4D" w:rsidRDefault="00B921E8" w:rsidP="003D1018">
      <w:pPr>
        <w:overflowPunct w:val="0"/>
        <w:spacing w:line="460" w:lineRule="exact"/>
        <w:ind w:leftChars="296" w:left="710"/>
        <w:jc w:val="both"/>
        <w:rPr>
          <w:rFonts w:ascii="標楷體" w:eastAsia="標楷體" w:hAnsi="標楷體"/>
          <w:bCs/>
          <w:kern w:val="0"/>
          <w:sz w:val="32"/>
          <w:szCs w:val="32"/>
        </w:rPr>
      </w:pPr>
      <w:r w:rsidRPr="001B6E4D">
        <w:rPr>
          <w:rFonts w:ascii="標楷體" w:eastAsia="標楷體" w:hAnsi="標楷體" w:hint="eastAsia"/>
          <w:bCs/>
          <w:kern w:val="0"/>
          <w:sz w:val="32"/>
          <w:szCs w:val="32"/>
        </w:rPr>
        <w:t>第三，目前看來系統</w:t>
      </w:r>
      <w:proofErr w:type="gramStart"/>
      <w:r w:rsidRPr="001B6E4D">
        <w:rPr>
          <w:rFonts w:ascii="標楷體" w:eastAsia="標楷體" w:hAnsi="標楷體" w:hint="eastAsia"/>
          <w:bCs/>
          <w:kern w:val="0"/>
          <w:sz w:val="32"/>
          <w:szCs w:val="32"/>
        </w:rPr>
        <w:t>採</w:t>
      </w:r>
      <w:proofErr w:type="gramEnd"/>
      <w:r w:rsidRPr="001B6E4D">
        <w:rPr>
          <w:rFonts w:ascii="標楷體" w:eastAsia="標楷體" w:hAnsi="標楷體" w:hint="eastAsia"/>
          <w:bCs/>
          <w:kern w:val="0"/>
          <w:sz w:val="32"/>
          <w:szCs w:val="32"/>
        </w:rPr>
        <w:t>逐步推廣模式，未來的推動期程與規劃方向為何？是否有特定案件類型或示範法院優先實施（例如民事庭或刑事庭優先辦理，甚至行政法院擴行等規劃）？以上請教，謝謝。</w:t>
      </w:r>
    </w:p>
    <w:p w14:paraId="0A5AC96B" w14:textId="7B50A547" w:rsidR="00B921E8" w:rsidRPr="001B6E4D" w:rsidRDefault="00B921E8" w:rsidP="003D1018">
      <w:pPr>
        <w:overflowPunct w:val="0"/>
        <w:spacing w:line="460" w:lineRule="exact"/>
        <w:ind w:leftChars="296" w:left="710"/>
        <w:jc w:val="both"/>
        <w:rPr>
          <w:rFonts w:ascii="標楷體" w:eastAsia="標楷體" w:hAnsi="標楷體"/>
          <w:bCs/>
          <w:kern w:val="0"/>
          <w:sz w:val="32"/>
          <w:szCs w:val="32"/>
        </w:rPr>
      </w:pPr>
      <w:r w:rsidRPr="001B6E4D">
        <w:rPr>
          <w:rFonts w:ascii="標楷體" w:eastAsia="標楷體" w:hAnsi="標楷體" w:hint="eastAsia"/>
          <w:b/>
          <w:kern w:val="0"/>
          <w:sz w:val="32"/>
          <w:szCs w:val="32"/>
        </w:rPr>
        <w:t>立法院張雅琳委員：</w:t>
      </w:r>
    </w:p>
    <w:p w14:paraId="3B62350B" w14:textId="77777777" w:rsidR="00C77DA6" w:rsidRPr="001B6E4D" w:rsidRDefault="00B921E8" w:rsidP="003D1018">
      <w:pPr>
        <w:overflowPunct w:val="0"/>
        <w:spacing w:line="460" w:lineRule="exact"/>
        <w:ind w:leftChars="296" w:left="710"/>
        <w:jc w:val="both"/>
        <w:rPr>
          <w:rFonts w:ascii="標楷體" w:eastAsia="標楷體" w:hAnsi="標楷體"/>
          <w:b/>
          <w:kern w:val="0"/>
          <w:sz w:val="32"/>
          <w:szCs w:val="32"/>
        </w:rPr>
      </w:pPr>
      <w:r w:rsidRPr="001B6E4D">
        <w:rPr>
          <w:rFonts w:ascii="標楷體" w:eastAsia="標楷體" w:hAnsi="標楷體" w:hint="eastAsia"/>
          <w:bCs/>
          <w:kern w:val="0"/>
          <w:sz w:val="32"/>
          <w:szCs w:val="32"/>
        </w:rPr>
        <w:t>謝謝。還有無委員辦公室要提問？若其他辦公室暫無提問，我們先請司法院進行第一輪回應。</w:t>
      </w:r>
    </w:p>
    <w:p w14:paraId="5A3B812E" w14:textId="777AC19A" w:rsidR="00B921E8" w:rsidRPr="001B6E4D" w:rsidRDefault="00B921E8" w:rsidP="003D1018">
      <w:pPr>
        <w:overflowPunct w:val="0"/>
        <w:spacing w:line="460" w:lineRule="exact"/>
        <w:ind w:leftChars="296" w:left="710"/>
        <w:jc w:val="both"/>
        <w:rPr>
          <w:rFonts w:ascii="標楷體" w:eastAsia="標楷體" w:hAnsi="標楷體"/>
          <w:b/>
          <w:kern w:val="0"/>
          <w:sz w:val="32"/>
          <w:szCs w:val="32"/>
        </w:rPr>
      </w:pPr>
      <w:r w:rsidRPr="001B6E4D">
        <w:rPr>
          <w:rFonts w:ascii="標楷體" w:eastAsia="標楷體" w:hAnsi="標楷體" w:hint="eastAsia"/>
          <w:b/>
          <w:kern w:val="0"/>
          <w:sz w:val="32"/>
          <w:szCs w:val="32"/>
        </w:rPr>
        <w:t>司法院司法行政廳吳祚丞廳長：</w:t>
      </w:r>
    </w:p>
    <w:p w14:paraId="37D7A478"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謝謝委員及各位長官的提問，謹就業務職掌進行說明：</w:t>
      </w:r>
    </w:p>
    <w:p w14:paraId="66CD5281"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關於</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語辨識，系統於113年建置時已併入</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語辨識引擎。操作上可預先切換至「</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語模式」以提升精</w:t>
      </w:r>
      <w:proofErr w:type="gramStart"/>
      <w:r w:rsidRPr="001B6E4D">
        <w:rPr>
          <w:rFonts w:ascii="標楷體" w:eastAsia="標楷體" w:hAnsi="標楷體" w:hint="eastAsia"/>
          <w:kern w:val="0"/>
          <w:sz w:val="32"/>
          <w:szCs w:val="32"/>
        </w:rPr>
        <w:t>準</w:t>
      </w:r>
      <w:proofErr w:type="gramEnd"/>
      <w:r w:rsidRPr="001B6E4D">
        <w:rPr>
          <w:rFonts w:ascii="標楷體" w:eastAsia="標楷體" w:hAnsi="標楷體" w:hint="eastAsia"/>
          <w:kern w:val="0"/>
          <w:sz w:val="32"/>
          <w:szCs w:val="32"/>
        </w:rPr>
        <w:t>度，即便在一般模式下，亦可辨識基礎</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語。</w:t>
      </w:r>
    </w:p>
    <w:p w14:paraId="6DE30091"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lastRenderedPageBreak/>
        <w:t>關於委員提到開庭情緒激烈與多人插話，司法院先前已進行過兩場實況測試（包含吵架、勞工案件中長達一分鐘用英文解釋何謂職場霸凌陳述等演練劇本），測試滿意</w:t>
      </w:r>
      <w:proofErr w:type="gramStart"/>
      <w:r w:rsidRPr="001B6E4D">
        <w:rPr>
          <w:rFonts w:ascii="標楷體" w:eastAsia="標楷體" w:hAnsi="標楷體" w:hint="eastAsia"/>
          <w:kern w:val="0"/>
          <w:sz w:val="32"/>
          <w:szCs w:val="32"/>
        </w:rPr>
        <w:t>度均在八成</w:t>
      </w:r>
      <w:proofErr w:type="gramEnd"/>
      <w:r w:rsidRPr="001B6E4D">
        <w:rPr>
          <w:rFonts w:ascii="標楷體" w:eastAsia="標楷體" w:hAnsi="標楷體" w:hint="eastAsia"/>
          <w:kern w:val="0"/>
          <w:sz w:val="32"/>
          <w:szCs w:val="32"/>
        </w:rPr>
        <w:t>以上。當然不可諱言，有一些</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語的俗語、諺語，譬如「</w:t>
      </w:r>
      <w:proofErr w:type="gramStart"/>
      <w:r w:rsidRPr="001B6E4D">
        <w:rPr>
          <w:rFonts w:ascii="標楷體" w:eastAsia="標楷體" w:hAnsi="標楷體" w:hint="eastAsia"/>
          <w:kern w:val="0"/>
          <w:sz w:val="32"/>
          <w:szCs w:val="32"/>
        </w:rPr>
        <w:t>ㄎㄧㄚˊ</w:t>
      </w:r>
      <w:proofErr w:type="gramEnd"/>
      <w:r w:rsidRPr="001B6E4D">
        <w:rPr>
          <w:rFonts w:ascii="標楷體" w:eastAsia="標楷體" w:hAnsi="標楷體" w:hint="eastAsia"/>
          <w:kern w:val="0"/>
          <w:sz w:val="32"/>
          <w:szCs w:val="32"/>
        </w:rPr>
        <w:t>康」就比較困難一點，但基本上，一般</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語都被辨識出來。實務上若遇到多人同時插話，書記官會</w:t>
      </w:r>
      <w:r w:rsidRPr="001B6E4D">
        <w:rPr>
          <w:rFonts w:ascii="標楷體" w:eastAsia="標楷體" w:hAnsi="標楷體"/>
          <w:kern w:val="0"/>
          <w:sz w:val="32"/>
          <w:szCs w:val="32"/>
        </w:rPr>
        <w:t>待在</w:t>
      </w:r>
      <w:r w:rsidRPr="001B6E4D">
        <w:rPr>
          <w:rFonts w:ascii="標楷體" w:eastAsia="標楷體" w:hAnsi="標楷體" w:hint="eastAsia"/>
          <w:kern w:val="0"/>
          <w:sz w:val="32"/>
          <w:szCs w:val="32"/>
        </w:rPr>
        <w:t>那</w:t>
      </w:r>
      <w:r w:rsidRPr="001B6E4D">
        <w:rPr>
          <w:rFonts w:ascii="標楷體" w:eastAsia="標楷體" w:hAnsi="標楷體"/>
          <w:kern w:val="0"/>
          <w:sz w:val="32"/>
          <w:szCs w:val="32"/>
        </w:rPr>
        <w:t>裡不知道要怎麼</w:t>
      </w:r>
      <w:r w:rsidRPr="001B6E4D">
        <w:rPr>
          <w:rFonts w:ascii="標楷體" w:eastAsia="標楷體" w:hAnsi="標楷體" w:hint="eastAsia"/>
          <w:kern w:val="0"/>
          <w:sz w:val="32"/>
          <w:szCs w:val="32"/>
        </w:rPr>
        <w:t>紀錄，</w:t>
      </w:r>
      <w:r w:rsidRPr="001B6E4D">
        <w:rPr>
          <w:rFonts w:ascii="標楷體" w:eastAsia="標楷體" w:hAnsi="標楷體"/>
          <w:kern w:val="0"/>
          <w:sz w:val="32"/>
          <w:szCs w:val="32"/>
        </w:rPr>
        <w:t>最後結果就是一句都沒有記到，</w:t>
      </w:r>
      <w:r w:rsidRPr="001B6E4D">
        <w:rPr>
          <w:rFonts w:ascii="標楷體" w:eastAsia="標楷體" w:hAnsi="標楷體" w:hint="eastAsia"/>
          <w:kern w:val="0"/>
          <w:sz w:val="32"/>
          <w:szCs w:val="32"/>
        </w:rPr>
        <w:t>然後審判長</w:t>
      </w:r>
      <w:r w:rsidRPr="001B6E4D">
        <w:rPr>
          <w:rFonts w:ascii="標楷體" w:eastAsia="標楷體" w:hAnsi="標楷體"/>
          <w:kern w:val="0"/>
          <w:sz w:val="32"/>
          <w:szCs w:val="32"/>
        </w:rPr>
        <w:t>就會說</w:t>
      </w:r>
      <w:r w:rsidRPr="001B6E4D">
        <w:rPr>
          <w:rFonts w:ascii="標楷體" w:eastAsia="標楷體" w:hAnsi="標楷體" w:hint="eastAsia"/>
          <w:kern w:val="0"/>
          <w:sz w:val="32"/>
          <w:szCs w:val="32"/>
        </w:rPr>
        <w:t>你們</w:t>
      </w:r>
      <w:r w:rsidRPr="001B6E4D">
        <w:rPr>
          <w:rFonts w:ascii="標楷體" w:eastAsia="標楷體" w:hAnsi="標楷體"/>
          <w:kern w:val="0"/>
          <w:sz w:val="32"/>
          <w:szCs w:val="32"/>
        </w:rPr>
        <w:t>都不要</w:t>
      </w:r>
      <w:r w:rsidRPr="001B6E4D">
        <w:rPr>
          <w:rFonts w:ascii="標楷體" w:eastAsia="標楷體" w:hAnsi="標楷體" w:hint="eastAsia"/>
          <w:kern w:val="0"/>
          <w:sz w:val="32"/>
          <w:szCs w:val="32"/>
        </w:rPr>
        <w:t>吵</w:t>
      </w:r>
      <w:r w:rsidRPr="001B6E4D">
        <w:rPr>
          <w:rFonts w:ascii="標楷體" w:eastAsia="標楷體" w:hAnsi="標楷體"/>
          <w:kern w:val="0"/>
          <w:sz w:val="32"/>
          <w:szCs w:val="32"/>
        </w:rPr>
        <w:t>，現在重新開始講。有時候在吵架的過程，</w:t>
      </w:r>
      <w:r w:rsidRPr="001B6E4D">
        <w:rPr>
          <w:rFonts w:ascii="標楷體" w:eastAsia="標楷體" w:hAnsi="標楷體" w:hint="eastAsia"/>
          <w:kern w:val="0"/>
          <w:sz w:val="32"/>
          <w:szCs w:val="32"/>
        </w:rPr>
        <w:t>他們</w:t>
      </w:r>
      <w:r w:rsidRPr="001B6E4D">
        <w:rPr>
          <w:rFonts w:ascii="標楷體" w:eastAsia="標楷體" w:hAnsi="標楷體"/>
          <w:kern w:val="0"/>
          <w:sz w:val="32"/>
          <w:szCs w:val="32"/>
        </w:rPr>
        <w:t>講出來的</w:t>
      </w:r>
      <w:r w:rsidRPr="001B6E4D">
        <w:rPr>
          <w:rFonts w:ascii="標楷體" w:eastAsia="標楷體" w:hAnsi="標楷體" w:hint="eastAsia"/>
          <w:kern w:val="0"/>
          <w:sz w:val="32"/>
          <w:szCs w:val="32"/>
        </w:rPr>
        <w:t>話</w:t>
      </w:r>
      <w:r w:rsidRPr="001B6E4D">
        <w:rPr>
          <w:rFonts w:ascii="標楷體" w:eastAsia="標楷體" w:hAnsi="標楷體"/>
          <w:kern w:val="0"/>
          <w:sz w:val="32"/>
          <w:szCs w:val="32"/>
        </w:rPr>
        <w:t>才是最有價值的內容。但因為</w:t>
      </w:r>
      <w:r w:rsidRPr="001B6E4D">
        <w:rPr>
          <w:rFonts w:ascii="標楷體" w:eastAsia="標楷體" w:hAnsi="標楷體" w:hint="eastAsia"/>
          <w:kern w:val="0"/>
          <w:sz w:val="32"/>
          <w:szCs w:val="32"/>
        </w:rPr>
        <w:t>吵架</w:t>
      </w:r>
      <w:r w:rsidRPr="001B6E4D">
        <w:rPr>
          <w:rFonts w:ascii="標楷體" w:eastAsia="標楷體" w:hAnsi="標楷體"/>
          <w:kern w:val="0"/>
          <w:sz w:val="32"/>
          <w:szCs w:val="32"/>
        </w:rPr>
        <w:t>部分都沒</w:t>
      </w:r>
      <w:r w:rsidRPr="001B6E4D">
        <w:rPr>
          <w:rFonts w:ascii="標楷體" w:eastAsia="標楷體" w:hAnsi="標楷體" w:hint="eastAsia"/>
          <w:kern w:val="0"/>
          <w:sz w:val="32"/>
          <w:szCs w:val="32"/>
        </w:rPr>
        <w:t>紀錄。語音辨識</w:t>
      </w:r>
      <w:r w:rsidRPr="001B6E4D">
        <w:rPr>
          <w:rFonts w:ascii="標楷體" w:eastAsia="標楷體" w:hAnsi="標楷體"/>
          <w:kern w:val="0"/>
          <w:sz w:val="32"/>
          <w:szCs w:val="32"/>
        </w:rPr>
        <w:t>系統，就可以在很多人講話時</w:t>
      </w:r>
      <w:r w:rsidRPr="001B6E4D">
        <w:rPr>
          <w:rFonts w:ascii="標楷體" w:eastAsia="標楷體" w:hAnsi="標楷體" w:hint="eastAsia"/>
          <w:kern w:val="0"/>
          <w:sz w:val="32"/>
          <w:szCs w:val="32"/>
        </w:rPr>
        <w:t>同時</w:t>
      </w:r>
      <w:r w:rsidRPr="001B6E4D">
        <w:rPr>
          <w:rFonts w:ascii="標楷體" w:eastAsia="標楷體" w:hAnsi="標楷體"/>
          <w:kern w:val="0"/>
          <w:sz w:val="32"/>
          <w:szCs w:val="32"/>
        </w:rPr>
        <w:t>去</w:t>
      </w:r>
      <w:r w:rsidRPr="001B6E4D">
        <w:rPr>
          <w:rFonts w:ascii="標楷體" w:eastAsia="標楷體" w:hAnsi="標楷體" w:hint="eastAsia"/>
          <w:kern w:val="0"/>
          <w:sz w:val="32"/>
          <w:szCs w:val="32"/>
        </w:rPr>
        <w:t>辨識</w:t>
      </w:r>
      <w:r w:rsidRPr="001B6E4D">
        <w:rPr>
          <w:rFonts w:ascii="標楷體" w:eastAsia="標楷體" w:hAnsi="標楷體"/>
          <w:kern w:val="0"/>
          <w:sz w:val="32"/>
          <w:szCs w:val="32"/>
        </w:rPr>
        <w:t>，</w:t>
      </w:r>
      <w:r w:rsidRPr="001B6E4D">
        <w:rPr>
          <w:rFonts w:ascii="標楷體" w:eastAsia="標楷體" w:hAnsi="標楷體" w:hint="eastAsia"/>
          <w:kern w:val="0"/>
          <w:sz w:val="32"/>
          <w:szCs w:val="32"/>
        </w:rPr>
        <w:t>並且</w:t>
      </w:r>
      <w:r w:rsidRPr="001B6E4D">
        <w:rPr>
          <w:rFonts w:ascii="標楷體" w:eastAsia="標楷體" w:hAnsi="標楷體"/>
          <w:kern w:val="0"/>
          <w:sz w:val="32"/>
          <w:szCs w:val="32"/>
        </w:rPr>
        <w:t>大部分的內容</w:t>
      </w:r>
      <w:r w:rsidRPr="001B6E4D">
        <w:rPr>
          <w:rFonts w:ascii="標楷體" w:eastAsia="標楷體" w:hAnsi="標楷體" w:hint="eastAsia"/>
          <w:kern w:val="0"/>
          <w:sz w:val="32"/>
          <w:szCs w:val="32"/>
        </w:rPr>
        <w:t>會</w:t>
      </w:r>
      <w:r w:rsidRPr="001B6E4D">
        <w:rPr>
          <w:rFonts w:ascii="標楷體" w:eastAsia="標楷體" w:hAnsi="標楷體"/>
          <w:kern w:val="0"/>
          <w:sz w:val="32"/>
          <w:szCs w:val="32"/>
        </w:rPr>
        <w:t>顯示出來，</w:t>
      </w:r>
      <w:r w:rsidRPr="001B6E4D">
        <w:rPr>
          <w:rFonts w:ascii="標楷體" w:eastAsia="標楷體" w:hAnsi="標楷體" w:hint="eastAsia"/>
          <w:kern w:val="0"/>
          <w:sz w:val="32"/>
          <w:szCs w:val="32"/>
        </w:rPr>
        <w:t>會</w:t>
      </w:r>
      <w:r w:rsidRPr="001B6E4D">
        <w:rPr>
          <w:rFonts w:ascii="標楷體" w:eastAsia="標楷體" w:hAnsi="標楷體"/>
          <w:kern w:val="0"/>
          <w:sz w:val="32"/>
          <w:szCs w:val="32"/>
        </w:rPr>
        <w:t>記錄到一些</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也許不是100%，但是至少記錄到80%吵架過程</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這是</w:t>
      </w:r>
      <w:r w:rsidRPr="001B6E4D">
        <w:rPr>
          <w:rFonts w:ascii="標楷體" w:eastAsia="標楷體" w:hAnsi="標楷體" w:hint="eastAsia"/>
          <w:kern w:val="0"/>
          <w:sz w:val="32"/>
          <w:szCs w:val="32"/>
        </w:rPr>
        <w:t>系統</w:t>
      </w:r>
      <w:r w:rsidRPr="001B6E4D">
        <w:rPr>
          <w:rFonts w:ascii="標楷體" w:eastAsia="標楷體" w:hAnsi="標楷體"/>
          <w:kern w:val="0"/>
          <w:sz w:val="32"/>
          <w:szCs w:val="32"/>
        </w:rPr>
        <w:t>的特色。</w:t>
      </w:r>
    </w:p>
    <w:p w14:paraId="3899B57C"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關於書記官使用習慣與筆錄格式，</w:t>
      </w:r>
      <w:r w:rsidRPr="001B6E4D">
        <w:rPr>
          <w:rFonts w:ascii="標楷體" w:eastAsia="標楷體" w:hAnsi="標楷體"/>
          <w:kern w:val="0"/>
          <w:sz w:val="32"/>
          <w:szCs w:val="32"/>
        </w:rPr>
        <w:t>這部分</w:t>
      </w:r>
      <w:r w:rsidRPr="001B6E4D">
        <w:rPr>
          <w:rFonts w:ascii="標楷體" w:eastAsia="標楷體" w:hAnsi="標楷體" w:hint="eastAsia"/>
          <w:kern w:val="0"/>
          <w:sz w:val="32"/>
          <w:szCs w:val="32"/>
        </w:rPr>
        <w:t>我們</w:t>
      </w:r>
      <w:r w:rsidRPr="001B6E4D">
        <w:rPr>
          <w:rFonts w:ascii="標楷體" w:eastAsia="標楷體" w:hAnsi="標楷體"/>
          <w:kern w:val="0"/>
          <w:sz w:val="32"/>
          <w:szCs w:val="32"/>
        </w:rPr>
        <w:t>之前在</w:t>
      </w:r>
      <w:r w:rsidRPr="001B6E4D">
        <w:rPr>
          <w:rFonts w:ascii="標楷體" w:eastAsia="標楷體" w:hAnsi="標楷體" w:hint="eastAsia"/>
          <w:kern w:val="0"/>
          <w:sz w:val="32"/>
          <w:szCs w:val="32"/>
        </w:rPr>
        <w:t>演示</w:t>
      </w:r>
      <w:r w:rsidRPr="001B6E4D">
        <w:rPr>
          <w:rFonts w:ascii="標楷體" w:eastAsia="標楷體" w:hAnsi="標楷體"/>
          <w:kern w:val="0"/>
          <w:sz w:val="32"/>
          <w:szCs w:val="32"/>
        </w:rPr>
        <w:t>時，有做過兩個版本，一種就是書記官都不要動作，就坐在這邊像看戲一樣</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跟大家一起看戲，讓</w:t>
      </w:r>
      <w:r w:rsidRPr="001B6E4D">
        <w:rPr>
          <w:rFonts w:ascii="標楷體" w:eastAsia="標楷體" w:hAnsi="標楷體" w:hint="eastAsia"/>
          <w:kern w:val="0"/>
          <w:sz w:val="32"/>
          <w:szCs w:val="32"/>
        </w:rPr>
        <w:t>系統</w:t>
      </w:r>
      <w:r w:rsidRPr="001B6E4D">
        <w:rPr>
          <w:rFonts w:ascii="標楷體" w:eastAsia="標楷體" w:hAnsi="標楷體"/>
          <w:kern w:val="0"/>
          <w:sz w:val="32"/>
          <w:szCs w:val="32"/>
        </w:rPr>
        <w:t>一直</w:t>
      </w:r>
      <w:r w:rsidRPr="001B6E4D">
        <w:rPr>
          <w:rFonts w:ascii="標楷體" w:eastAsia="標楷體" w:hAnsi="標楷體" w:hint="eastAsia"/>
          <w:kern w:val="0"/>
          <w:sz w:val="32"/>
          <w:szCs w:val="32"/>
        </w:rPr>
        <w:t>生成，</w:t>
      </w:r>
      <w:r w:rsidRPr="001B6E4D">
        <w:rPr>
          <w:rFonts w:ascii="標楷體" w:eastAsia="標楷體" w:hAnsi="標楷體"/>
          <w:kern w:val="0"/>
          <w:sz w:val="32"/>
          <w:szCs w:val="32"/>
        </w:rPr>
        <w:t>這是一種做法。大家可以看到剛剛書記官在</w:t>
      </w:r>
      <w:r w:rsidRPr="001B6E4D">
        <w:rPr>
          <w:rFonts w:ascii="標楷體" w:eastAsia="標楷體" w:hAnsi="標楷體" w:hint="eastAsia"/>
          <w:kern w:val="0"/>
          <w:sz w:val="32"/>
          <w:szCs w:val="32"/>
        </w:rPr>
        <w:t>修</w:t>
      </w:r>
      <w:r w:rsidRPr="001B6E4D">
        <w:rPr>
          <w:rFonts w:ascii="標楷體" w:eastAsia="標楷體" w:hAnsi="標楷體"/>
          <w:kern w:val="0"/>
          <w:sz w:val="32"/>
          <w:szCs w:val="32"/>
        </w:rPr>
        <w:t>改的內容，譬如說</w:t>
      </w:r>
      <w:r w:rsidRPr="001B6E4D">
        <w:rPr>
          <w:rFonts w:ascii="標楷體" w:eastAsia="標楷體" w:hAnsi="標楷體" w:hint="eastAsia"/>
          <w:kern w:val="0"/>
          <w:sz w:val="32"/>
          <w:szCs w:val="32"/>
        </w:rPr>
        <w:t>句子</w:t>
      </w:r>
      <w:r w:rsidRPr="001B6E4D">
        <w:rPr>
          <w:rFonts w:ascii="標楷體" w:eastAsia="標楷體" w:hAnsi="標楷體"/>
          <w:kern w:val="0"/>
          <w:sz w:val="32"/>
          <w:szCs w:val="32"/>
        </w:rPr>
        <w:t>中間要加個逗點符號，或是同</w:t>
      </w:r>
      <w:r w:rsidRPr="001B6E4D">
        <w:rPr>
          <w:rFonts w:ascii="標楷體" w:eastAsia="標楷體" w:hAnsi="標楷體" w:hint="eastAsia"/>
          <w:kern w:val="0"/>
          <w:sz w:val="32"/>
          <w:szCs w:val="32"/>
        </w:rPr>
        <w:t>音</w:t>
      </w:r>
      <w:r w:rsidRPr="001B6E4D">
        <w:rPr>
          <w:rFonts w:ascii="標楷體" w:eastAsia="標楷體" w:hAnsi="標楷體"/>
          <w:kern w:val="0"/>
          <w:sz w:val="32"/>
          <w:szCs w:val="32"/>
        </w:rPr>
        <w:t>不同</w:t>
      </w:r>
      <w:r w:rsidRPr="001B6E4D">
        <w:rPr>
          <w:rFonts w:ascii="標楷體" w:eastAsia="標楷體" w:hAnsi="標楷體" w:hint="eastAsia"/>
          <w:kern w:val="0"/>
          <w:sz w:val="32"/>
          <w:szCs w:val="32"/>
        </w:rPr>
        <w:t>字，</w:t>
      </w:r>
      <w:r w:rsidRPr="001B6E4D">
        <w:rPr>
          <w:rFonts w:ascii="標楷體" w:eastAsia="標楷體" w:hAnsi="標楷體"/>
          <w:kern w:val="0"/>
          <w:sz w:val="32"/>
          <w:szCs w:val="32"/>
        </w:rPr>
        <w:t>就算</w:t>
      </w:r>
      <w:proofErr w:type="gramStart"/>
      <w:r w:rsidRPr="001B6E4D">
        <w:rPr>
          <w:rFonts w:ascii="標楷體" w:eastAsia="標楷體" w:hAnsi="標楷體"/>
          <w:kern w:val="0"/>
          <w:sz w:val="32"/>
          <w:szCs w:val="32"/>
        </w:rPr>
        <w:t>不當</w:t>
      </w:r>
      <w:r w:rsidRPr="001B6E4D">
        <w:rPr>
          <w:rFonts w:ascii="標楷體" w:eastAsia="標楷體" w:hAnsi="標楷體" w:hint="eastAsia"/>
          <w:kern w:val="0"/>
          <w:sz w:val="32"/>
          <w:szCs w:val="32"/>
        </w:rPr>
        <w:t>庭</w:t>
      </w:r>
      <w:r w:rsidRPr="001B6E4D">
        <w:rPr>
          <w:rFonts w:ascii="標楷體" w:eastAsia="標楷體" w:hAnsi="標楷體"/>
          <w:kern w:val="0"/>
          <w:sz w:val="32"/>
          <w:szCs w:val="32"/>
        </w:rPr>
        <w:t>改</w:t>
      </w:r>
      <w:proofErr w:type="gramEnd"/>
      <w:r w:rsidRPr="001B6E4D">
        <w:rPr>
          <w:rFonts w:ascii="標楷體" w:eastAsia="標楷體" w:hAnsi="標楷體"/>
          <w:kern w:val="0"/>
          <w:sz w:val="32"/>
          <w:szCs w:val="32"/>
        </w:rPr>
        <w:t>，事後再去修也都可以改的，只有少部分</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極少部分是內容沒有很</w:t>
      </w:r>
      <w:proofErr w:type="gramStart"/>
      <w:r w:rsidRPr="001B6E4D">
        <w:rPr>
          <w:rFonts w:ascii="標楷體" w:eastAsia="標楷體" w:hAnsi="標楷體"/>
          <w:kern w:val="0"/>
          <w:sz w:val="32"/>
          <w:szCs w:val="32"/>
        </w:rPr>
        <w:t>清楚的</w:t>
      </w:r>
      <w:proofErr w:type="gramEnd"/>
      <w:r w:rsidRPr="001B6E4D">
        <w:rPr>
          <w:rFonts w:ascii="標楷體" w:eastAsia="標楷體" w:hAnsi="標楷體"/>
          <w:kern w:val="0"/>
          <w:sz w:val="32"/>
          <w:szCs w:val="32"/>
        </w:rPr>
        <w:t>生成，如果今天書記官在實際法庭的操作上採取這樣的標準，他要動手的機會就不是那麼大了。我們剛剛</w:t>
      </w:r>
      <w:r w:rsidRPr="001B6E4D">
        <w:rPr>
          <w:rFonts w:ascii="標楷體" w:eastAsia="標楷體" w:hAnsi="標楷體" w:hint="eastAsia"/>
          <w:kern w:val="0"/>
          <w:sz w:val="32"/>
          <w:szCs w:val="32"/>
        </w:rPr>
        <w:t>是</w:t>
      </w:r>
      <w:r w:rsidRPr="001B6E4D">
        <w:rPr>
          <w:rFonts w:ascii="標楷體" w:eastAsia="標楷體" w:hAnsi="標楷體"/>
          <w:kern w:val="0"/>
          <w:sz w:val="32"/>
          <w:szCs w:val="32"/>
        </w:rPr>
        <w:t>因為</w:t>
      </w:r>
      <w:r w:rsidRPr="001B6E4D">
        <w:rPr>
          <w:rFonts w:ascii="標楷體" w:eastAsia="標楷體" w:hAnsi="標楷體" w:hint="eastAsia"/>
          <w:kern w:val="0"/>
          <w:sz w:val="32"/>
          <w:szCs w:val="32"/>
        </w:rPr>
        <w:t>書記官</w:t>
      </w:r>
      <w:r w:rsidRPr="001B6E4D">
        <w:rPr>
          <w:rFonts w:ascii="標楷體" w:eastAsia="標楷體" w:hAnsi="標楷體"/>
          <w:kern w:val="0"/>
          <w:sz w:val="32"/>
          <w:szCs w:val="32"/>
        </w:rPr>
        <w:t>真的很</w:t>
      </w:r>
      <w:r w:rsidRPr="001B6E4D">
        <w:rPr>
          <w:rFonts w:ascii="標楷體" w:eastAsia="標楷體" w:hAnsi="標楷體" w:hint="eastAsia"/>
          <w:kern w:val="0"/>
          <w:sz w:val="32"/>
          <w:szCs w:val="32"/>
        </w:rPr>
        <w:t>謹慎</w:t>
      </w:r>
      <w:r w:rsidRPr="001B6E4D">
        <w:rPr>
          <w:rFonts w:ascii="標楷體" w:eastAsia="標楷體" w:hAnsi="標楷體"/>
          <w:kern w:val="0"/>
          <w:sz w:val="32"/>
          <w:szCs w:val="32"/>
        </w:rPr>
        <w:t>，她連一句話中間少了</w:t>
      </w:r>
      <w:r w:rsidRPr="001B6E4D">
        <w:rPr>
          <w:rFonts w:ascii="標楷體" w:eastAsia="標楷體" w:hAnsi="標楷體" w:hint="eastAsia"/>
          <w:kern w:val="0"/>
          <w:sz w:val="32"/>
          <w:szCs w:val="32"/>
        </w:rPr>
        <w:t>逗</w:t>
      </w:r>
      <w:r w:rsidRPr="001B6E4D">
        <w:rPr>
          <w:rFonts w:ascii="標楷體" w:eastAsia="標楷體" w:hAnsi="標楷體"/>
          <w:kern w:val="0"/>
          <w:sz w:val="32"/>
          <w:szCs w:val="32"/>
        </w:rPr>
        <w:t>點，</w:t>
      </w:r>
      <w:r w:rsidRPr="001B6E4D">
        <w:rPr>
          <w:rFonts w:ascii="標楷體" w:eastAsia="標楷體" w:hAnsi="標楷體" w:hint="eastAsia"/>
          <w:kern w:val="0"/>
          <w:sz w:val="32"/>
          <w:szCs w:val="32"/>
        </w:rPr>
        <w:t>書記官</w:t>
      </w:r>
      <w:r w:rsidRPr="001B6E4D">
        <w:rPr>
          <w:rFonts w:ascii="標楷體" w:eastAsia="標楷體" w:hAnsi="標楷體"/>
          <w:kern w:val="0"/>
          <w:sz w:val="32"/>
          <w:szCs w:val="32"/>
        </w:rPr>
        <w:t>都要把它改掉</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當然感覺會花比較多人力去</w:t>
      </w:r>
      <w:r w:rsidRPr="001B6E4D">
        <w:rPr>
          <w:rFonts w:ascii="標楷體" w:eastAsia="標楷體" w:hAnsi="標楷體" w:hint="eastAsia"/>
          <w:kern w:val="0"/>
          <w:sz w:val="32"/>
          <w:szCs w:val="32"/>
        </w:rPr>
        <w:t>處理</w:t>
      </w:r>
      <w:r w:rsidRPr="001B6E4D">
        <w:rPr>
          <w:rFonts w:ascii="標楷體" w:eastAsia="標楷體" w:hAnsi="標楷體"/>
          <w:kern w:val="0"/>
          <w:sz w:val="32"/>
          <w:szCs w:val="32"/>
        </w:rPr>
        <w:t>。法庭筆錄本來就沒有要求</w:t>
      </w:r>
      <w:proofErr w:type="gramStart"/>
      <w:r w:rsidRPr="001B6E4D">
        <w:rPr>
          <w:rFonts w:ascii="標楷體" w:eastAsia="標楷體" w:hAnsi="標楷體"/>
          <w:kern w:val="0"/>
          <w:sz w:val="32"/>
          <w:szCs w:val="32"/>
        </w:rPr>
        <w:t>要像提</w:t>
      </w:r>
      <w:r w:rsidRPr="001B6E4D">
        <w:rPr>
          <w:rFonts w:ascii="標楷體" w:eastAsia="標楷體" w:hAnsi="標楷體" w:hint="eastAsia"/>
          <w:kern w:val="0"/>
          <w:sz w:val="32"/>
          <w:szCs w:val="32"/>
        </w:rPr>
        <w:t>送</w:t>
      </w:r>
      <w:r w:rsidRPr="001B6E4D">
        <w:rPr>
          <w:rFonts w:ascii="標楷體" w:eastAsia="標楷體" w:hAnsi="標楷體"/>
          <w:kern w:val="0"/>
          <w:sz w:val="32"/>
          <w:szCs w:val="32"/>
        </w:rPr>
        <w:t>給</w:t>
      </w:r>
      <w:proofErr w:type="gramEnd"/>
      <w:r w:rsidRPr="001B6E4D">
        <w:rPr>
          <w:rFonts w:ascii="標楷體" w:eastAsia="標楷體" w:hAnsi="標楷體"/>
          <w:kern w:val="0"/>
          <w:sz w:val="32"/>
          <w:szCs w:val="32"/>
        </w:rPr>
        <w:t>貴院</w:t>
      </w:r>
      <w:r w:rsidRPr="001B6E4D">
        <w:rPr>
          <w:rFonts w:ascii="標楷體" w:eastAsia="標楷體" w:hAnsi="標楷體" w:hint="eastAsia"/>
          <w:kern w:val="0"/>
          <w:sz w:val="32"/>
          <w:szCs w:val="32"/>
        </w:rPr>
        <w:t>委員</w:t>
      </w:r>
      <w:r w:rsidRPr="001B6E4D">
        <w:rPr>
          <w:rFonts w:ascii="標楷體" w:eastAsia="標楷體" w:hAnsi="標楷體"/>
          <w:kern w:val="0"/>
          <w:sz w:val="32"/>
          <w:szCs w:val="32"/>
        </w:rPr>
        <w:t>的報告</w:t>
      </w:r>
      <w:r w:rsidRPr="001B6E4D">
        <w:rPr>
          <w:rFonts w:ascii="標楷體" w:eastAsia="標楷體" w:hAnsi="標楷體" w:hint="eastAsia"/>
          <w:kern w:val="0"/>
          <w:sz w:val="32"/>
          <w:szCs w:val="32"/>
        </w:rPr>
        <w:t>一樣</w:t>
      </w:r>
      <w:r w:rsidRPr="001B6E4D">
        <w:rPr>
          <w:rFonts w:ascii="標楷體" w:eastAsia="標楷體" w:hAnsi="標楷體"/>
          <w:kern w:val="0"/>
          <w:sz w:val="32"/>
          <w:szCs w:val="32"/>
        </w:rPr>
        <w:t>精確，筆錄是沒有這麼強</w:t>
      </w:r>
      <w:r w:rsidRPr="001B6E4D">
        <w:rPr>
          <w:rFonts w:ascii="標楷體" w:eastAsia="標楷體" w:hAnsi="標楷體" w:hint="eastAsia"/>
          <w:kern w:val="0"/>
          <w:sz w:val="32"/>
          <w:szCs w:val="32"/>
        </w:rPr>
        <w:t>調</w:t>
      </w:r>
      <w:r w:rsidRPr="001B6E4D">
        <w:rPr>
          <w:rFonts w:ascii="標楷體" w:eastAsia="標楷體" w:hAnsi="標楷體"/>
          <w:kern w:val="0"/>
          <w:sz w:val="32"/>
          <w:szCs w:val="32"/>
        </w:rPr>
        <w:t>的格式，偶爾有些錯字是可以被容許</w:t>
      </w:r>
      <w:r w:rsidRPr="001B6E4D">
        <w:rPr>
          <w:rFonts w:ascii="標楷體" w:eastAsia="標楷體" w:hAnsi="標楷體" w:hint="eastAsia"/>
          <w:kern w:val="0"/>
          <w:sz w:val="32"/>
          <w:szCs w:val="32"/>
        </w:rPr>
        <w:t>的。</w:t>
      </w:r>
    </w:p>
    <w:p w14:paraId="7BD424CB"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接下來談到書記官的適應問題，如果書記官大部分時間在法庭上，只要不用</w:t>
      </w:r>
      <w:r w:rsidRPr="001B6E4D">
        <w:rPr>
          <w:rFonts w:ascii="標楷體" w:eastAsia="標楷體" w:hAnsi="標楷體" w:hint="eastAsia"/>
          <w:kern w:val="0"/>
          <w:sz w:val="32"/>
          <w:szCs w:val="32"/>
        </w:rPr>
        <w:t>動手記錄</w:t>
      </w:r>
      <w:r w:rsidRPr="001B6E4D">
        <w:rPr>
          <w:rFonts w:ascii="標楷體" w:eastAsia="標楷體" w:hAnsi="標楷體"/>
          <w:kern w:val="0"/>
          <w:sz w:val="32"/>
          <w:szCs w:val="32"/>
        </w:rPr>
        <w:t>，他就是耳</w:t>
      </w:r>
      <w:r w:rsidRPr="001B6E4D">
        <w:rPr>
          <w:rFonts w:ascii="標楷體" w:eastAsia="標楷體" w:hAnsi="標楷體" w:hint="eastAsia"/>
          <w:kern w:val="0"/>
          <w:sz w:val="32"/>
          <w:szCs w:val="32"/>
        </w:rPr>
        <w:t>朵</w:t>
      </w:r>
      <w:r w:rsidRPr="001B6E4D">
        <w:rPr>
          <w:rFonts w:ascii="標楷體" w:eastAsia="標楷體" w:hAnsi="標楷體"/>
          <w:kern w:val="0"/>
          <w:sz w:val="32"/>
          <w:szCs w:val="32"/>
        </w:rPr>
        <w:t>聽，做些微的修改，</w:t>
      </w:r>
      <w:r w:rsidRPr="001B6E4D">
        <w:rPr>
          <w:rFonts w:ascii="標楷體" w:eastAsia="標楷體" w:hAnsi="標楷體" w:hint="eastAsia"/>
          <w:kern w:val="0"/>
          <w:sz w:val="32"/>
          <w:szCs w:val="32"/>
        </w:rPr>
        <w:t>書記官</w:t>
      </w:r>
      <w:r w:rsidRPr="001B6E4D">
        <w:rPr>
          <w:rFonts w:ascii="標楷體" w:eastAsia="標楷體" w:hAnsi="標楷體"/>
          <w:kern w:val="0"/>
          <w:sz w:val="32"/>
          <w:szCs w:val="32"/>
        </w:rPr>
        <w:t>的壓力是少很多</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而且壓力最大的是什麼？就是當</w:t>
      </w:r>
      <w:r w:rsidRPr="001B6E4D">
        <w:rPr>
          <w:rFonts w:ascii="標楷體" w:eastAsia="標楷體" w:hAnsi="標楷體" w:hint="eastAsia"/>
          <w:kern w:val="0"/>
          <w:sz w:val="32"/>
          <w:szCs w:val="32"/>
        </w:rPr>
        <w:t>書記官</w:t>
      </w:r>
      <w:r w:rsidRPr="001B6E4D">
        <w:rPr>
          <w:rFonts w:ascii="標楷體" w:eastAsia="標楷體" w:hAnsi="標楷體"/>
          <w:kern w:val="0"/>
          <w:sz w:val="32"/>
          <w:szCs w:val="32"/>
        </w:rPr>
        <w:t>在</w:t>
      </w:r>
      <w:r w:rsidRPr="001B6E4D">
        <w:rPr>
          <w:rFonts w:ascii="標楷體" w:eastAsia="標楷體" w:hAnsi="標楷體" w:hint="eastAsia"/>
          <w:kern w:val="0"/>
          <w:sz w:val="32"/>
          <w:szCs w:val="32"/>
        </w:rPr>
        <w:t>做記錄時</w:t>
      </w:r>
      <w:r w:rsidRPr="001B6E4D">
        <w:rPr>
          <w:rFonts w:ascii="標楷體" w:eastAsia="標楷體" w:hAnsi="標楷體"/>
          <w:kern w:val="0"/>
          <w:sz w:val="32"/>
          <w:szCs w:val="32"/>
        </w:rPr>
        <w:t>，人家還繼續在講，等於</w:t>
      </w:r>
      <w:r w:rsidRPr="001B6E4D">
        <w:rPr>
          <w:rFonts w:ascii="標楷體" w:eastAsia="標楷體" w:hAnsi="標楷體"/>
          <w:kern w:val="0"/>
          <w:sz w:val="32"/>
          <w:szCs w:val="32"/>
        </w:rPr>
        <w:lastRenderedPageBreak/>
        <w:t>他</w:t>
      </w:r>
      <w:r w:rsidRPr="001B6E4D">
        <w:rPr>
          <w:rFonts w:ascii="標楷體" w:eastAsia="標楷體" w:hAnsi="標楷體" w:hint="eastAsia"/>
          <w:kern w:val="0"/>
          <w:sz w:val="32"/>
          <w:szCs w:val="32"/>
        </w:rPr>
        <w:t>還要分心</w:t>
      </w:r>
      <w:r w:rsidRPr="001B6E4D">
        <w:rPr>
          <w:rFonts w:ascii="標楷體" w:eastAsia="標楷體" w:hAnsi="標楷體"/>
          <w:kern w:val="0"/>
          <w:sz w:val="32"/>
          <w:szCs w:val="32"/>
        </w:rPr>
        <w:t>去聽那個人還在講什麼</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另外</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我們剛剛看到</w:t>
      </w:r>
      <w:r w:rsidRPr="001B6E4D">
        <w:rPr>
          <w:rFonts w:ascii="標楷體" w:eastAsia="標楷體" w:hAnsi="標楷體" w:hint="eastAsia"/>
          <w:kern w:val="0"/>
          <w:sz w:val="32"/>
          <w:szCs w:val="32"/>
        </w:rPr>
        <w:t>語音辨識</w:t>
      </w:r>
      <w:r w:rsidRPr="001B6E4D">
        <w:rPr>
          <w:rFonts w:ascii="標楷體" w:eastAsia="標楷體" w:hAnsi="標楷體"/>
          <w:kern w:val="0"/>
          <w:sz w:val="32"/>
          <w:szCs w:val="32"/>
        </w:rPr>
        <w:t>系統</w:t>
      </w:r>
      <w:r w:rsidRPr="001B6E4D">
        <w:rPr>
          <w:rFonts w:ascii="標楷體" w:eastAsia="標楷體" w:hAnsi="標楷體" w:hint="eastAsia"/>
          <w:kern w:val="0"/>
          <w:sz w:val="32"/>
          <w:szCs w:val="32"/>
        </w:rPr>
        <w:t>演示時</w:t>
      </w:r>
      <w:r w:rsidRPr="001B6E4D">
        <w:rPr>
          <w:rFonts w:ascii="標楷體" w:eastAsia="標楷體" w:hAnsi="標楷體"/>
          <w:kern w:val="0"/>
          <w:sz w:val="32"/>
          <w:szCs w:val="32"/>
        </w:rPr>
        <w:t>，書記官即使在</w:t>
      </w:r>
      <w:r w:rsidRPr="001B6E4D">
        <w:rPr>
          <w:rFonts w:ascii="標楷體" w:eastAsia="標楷體" w:hAnsi="標楷體" w:hint="eastAsia"/>
          <w:kern w:val="0"/>
          <w:sz w:val="32"/>
          <w:szCs w:val="32"/>
        </w:rPr>
        <w:t>修</w:t>
      </w:r>
      <w:r w:rsidRPr="001B6E4D">
        <w:rPr>
          <w:rFonts w:ascii="標楷體" w:eastAsia="標楷體" w:hAnsi="標楷體"/>
          <w:kern w:val="0"/>
          <w:sz w:val="32"/>
          <w:szCs w:val="32"/>
        </w:rPr>
        <w:t>改前面講的內容，後面</w:t>
      </w:r>
      <w:r w:rsidRPr="001B6E4D">
        <w:rPr>
          <w:rFonts w:ascii="標楷體" w:eastAsia="標楷體" w:hAnsi="標楷體" w:hint="eastAsia"/>
          <w:kern w:val="0"/>
          <w:sz w:val="32"/>
          <w:szCs w:val="32"/>
        </w:rPr>
        <w:t>講的內容</w:t>
      </w:r>
      <w:r w:rsidRPr="001B6E4D">
        <w:rPr>
          <w:rFonts w:ascii="標楷體" w:eastAsia="標楷體" w:hAnsi="標楷體"/>
          <w:kern w:val="0"/>
          <w:sz w:val="32"/>
          <w:szCs w:val="32"/>
        </w:rPr>
        <w:t>都會生成出來，完全</w:t>
      </w:r>
      <w:r w:rsidRPr="001B6E4D">
        <w:rPr>
          <w:rFonts w:ascii="標楷體" w:eastAsia="標楷體" w:hAnsi="標楷體" w:hint="eastAsia"/>
          <w:kern w:val="0"/>
          <w:sz w:val="32"/>
          <w:szCs w:val="32"/>
        </w:rPr>
        <w:t>減少</w:t>
      </w:r>
      <w:r w:rsidRPr="001B6E4D">
        <w:rPr>
          <w:rFonts w:ascii="標楷體" w:eastAsia="標楷體" w:hAnsi="標楷體"/>
          <w:kern w:val="0"/>
          <w:sz w:val="32"/>
          <w:szCs w:val="32"/>
        </w:rPr>
        <w:t>心理負擔。大家不要小看那個是很大的壓力，就是同時改同時</w:t>
      </w:r>
      <w:r w:rsidRPr="001B6E4D">
        <w:rPr>
          <w:rFonts w:ascii="標楷體" w:eastAsia="標楷體" w:hAnsi="標楷體" w:hint="eastAsia"/>
          <w:kern w:val="0"/>
          <w:sz w:val="32"/>
          <w:szCs w:val="32"/>
        </w:rPr>
        <w:t>記錄</w:t>
      </w:r>
      <w:r w:rsidRPr="001B6E4D">
        <w:rPr>
          <w:rFonts w:ascii="標楷體" w:eastAsia="標楷體" w:hAnsi="標楷體"/>
          <w:kern w:val="0"/>
          <w:sz w:val="32"/>
          <w:szCs w:val="32"/>
        </w:rPr>
        <w:t>、同時聽後面正在發生的內容，不是每</w:t>
      </w:r>
      <w:proofErr w:type="gramStart"/>
      <w:r w:rsidRPr="001B6E4D">
        <w:rPr>
          <w:rFonts w:ascii="標楷體" w:eastAsia="標楷體" w:hAnsi="標楷體"/>
          <w:kern w:val="0"/>
          <w:sz w:val="32"/>
          <w:szCs w:val="32"/>
        </w:rPr>
        <w:t>個</w:t>
      </w:r>
      <w:proofErr w:type="gramEnd"/>
      <w:r w:rsidRPr="001B6E4D">
        <w:rPr>
          <w:rFonts w:ascii="標楷體" w:eastAsia="標楷體" w:hAnsi="標楷體"/>
          <w:kern w:val="0"/>
          <w:sz w:val="32"/>
          <w:szCs w:val="32"/>
        </w:rPr>
        <w:t>書記官都有這樣的能力，這部分未來推展之後，如果書記官可以理解到這樣的優點時候</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初期預估接受度是高的</w:t>
      </w:r>
      <w:r w:rsidRPr="001B6E4D">
        <w:rPr>
          <w:rFonts w:ascii="標楷體" w:eastAsia="標楷體" w:hAnsi="標楷體" w:hint="eastAsia"/>
          <w:kern w:val="0"/>
          <w:sz w:val="32"/>
          <w:szCs w:val="32"/>
        </w:rPr>
        <w:t>。</w:t>
      </w:r>
    </w:p>
    <w:p w14:paraId="14947C48"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有一些部分</w:t>
      </w:r>
      <w:r w:rsidRPr="001B6E4D">
        <w:rPr>
          <w:rFonts w:ascii="標楷體" w:eastAsia="標楷體" w:hAnsi="標楷體" w:hint="eastAsia"/>
          <w:kern w:val="0"/>
          <w:sz w:val="32"/>
          <w:szCs w:val="32"/>
        </w:rPr>
        <w:t>法院，例如</w:t>
      </w:r>
      <w:r w:rsidRPr="001B6E4D">
        <w:rPr>
          <w:rFonts w:ascii="標楷體" w:eastAsia="標楷體" w:hAnsi="標楷體"/>
          <w:kern w:val="0"/>
          <w:sz w:val="32"/>
          <w:szCs w:val="32"/>
        </w:rPr>
        <w:t>離島的法院，案件量沒有那麼高</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也許就沒有採取</w:t>
      </w:r>
      <w:r w:rsidRPr="001B6E4D">
        <w:rPr>
          <w:rFonts w:ascii="標楷體" w:eastAsia="標楷體" w:hAnsi="標楷體" w:hint="eastAsia"/>
          <w:kern w:val="0"/>
          <w:sz w:val="32"/>
          <w:szCs w:val="32"/>
        </w:rPr>
        <w:t>語音辨識</w:t>
      </w:r>
      <w:r w:rsidRPr="001B6E4D">
        <w:rPr>
          <w:rFonts w:ascii="標楷體" w:eastAsia="標楷體" w:hAnsi="標楷體"/>
          <w:kern w:val="0"/>
          <w:sz w:val="32"/>
          <w:szCs w:val="32"/>
        </w:rPr>
        <w:t>系統的急迫性</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或許他們認為傳統</w:t>
      </w:r>
      <w:r w:rsidRPr="001B6E4D">
        <w:rPr>
          <w:rFonts w:ascii="標楷體" w:eastAsia="標楷體" w:hAnsi="標楷體" w:hint="eastAsia"/>
          <w:kern w:val="0"/>
          <w:sz w:val="32"/>
          <w:szCs w:val="32"/>
        </w:rPr>
        <w:t>筆錄記載</w:t>
      </w:r>
      <w:r w:rsidRPr="001B6E4D">
        <w:rPr>
          <w:rFonts w:ascii="標楷體" w:eastAsia="標楷體" w:hAnsi="標楷體"/>
          <w:kern w:val="0"/>
          <w:sz w:val="32"/>
          <w:szCs w:val="32"/>
        </w:rPr>
        <w:t>的方式也可以應付來，</w:t>
      </w:r>
      <w:r w:rsidRPr="001B6E4D">
        <w:rPr>
          <w:rFonts w:ascii="標楷體" w:eastAsia="標楷體" w:hAnsi="標楷體" w:hint="eastAsia"/>
          <w:kern w:val="0"/>
          <w:sz w:val="32"/>
          <w:szCs w:val="32"/>
        </w:rPr>
        <w:t>傳統的筆錄記載方式</w:t>
      </w:r>
      <w:r w:rsidRPr="001B6E4D">
        <w:rPr>
          <w:rFonts w:ascii="標楷體" w:eastAsia="標楷體" w:hAnsi="標楷體"/>
          <w:kern w:val="0"/>
          <w:sz w:val="32"/>
          <w:szCs w:val="32"/>
        </w:rPr>
        <w:t>對法官</w:t>
      </w:r>
      <w:r w:rsidRPr="001B6E4D">
        <w:rPr>
          <w:rFonts w:ascii="標楷體" w:eastAsia="標楷體" w:hAnsi="標楷體" w:hint="eastAsia"/>
          <w:kern w:val="0"/>
          <w:sz w:val="32"/>
          <w:szCs w:val="32"/>
        </w:rPr>
        <w:t>而言，</w:t>
      </w:r>
      <w:r w:rsidRPr="001B6E4D">
        <w:rPr>
          <w:rFonts w:ascii="標楷體" w:eastAsia="標楷體" w:hAnsi="標楷體"/>
          <w:kern w:val="0"/>
          <w:sz w:val="32"/>
          <w:szCs w:val="32"/>
        </w:rPr>
        <w:t>我必須要講一個好處，因為</w:t>
      </w:r>
      <w:r w:rsidRPr="001B6E4D">
        <w:rPr>
          <w:rFonts w:ascii="標楷體" w:eastAsia="標楷體" w:hAnsi="標楷體" w:hint="eastAsia"/>
          <w:kern w:val="0"/>
          <w:sz w:val="32"/>
          <w:szCs w:val="32"/>
        </w:rPr>
        <w:t>它</w:t>
      </w:r>
      <w:r w:rsidRPr="001B6E4D">
        <w:rPr>
          <w:rFonts w:ascii="標楷體" w:eastAsia="標楷體" w:hAnsi="標楷體"/>
          <w:kern w:val="0"/>
          <w:sz w:val="32"/>
          <w:szCs w:val="32"/>
        </w:rPr>
        <w:t>不是逐字，筆錄內容就變少了，</w:t>
      </w:r>
      <w:r w:rsidRPr="001B6E4D">
        <w:rPr>
          <w:rFonts w:ascii="標楷體" w:eastAsia="標楷體" w:hAnsi="標楷體" w:hint="eastAsia"/>
          <w:kern w:val="0"/>
          <w:sz w:val="32"/>
          <w:szCs w:val="32"/>
        </w:rPr>
        <w:t>且</w:t>
      </w:r>
      <w:r w:rsidRPr="001B6E4D">
        <w:rPr>
          <w:rFonts w:ascii="標楷體" w:eastAsia="標楷體" w:hAnsi="標楷體"/>
          <w:kern w:val="0"/>
          <w:sz w:val="32"/>
          <w:szCs w:val="32"/>
        </w:rPr>
        <w:t>案件量沒有那麼多，法官</w:t>
      </w:r>
      <w:r w:rsidRPr="001B6E4D">
        <w:rPr>
          <w:rFonts w:ascii="標楷體" w:eastAsia="標楷體" w:hAnsi="標楷體" w:hint="eastAsia"/>
          <w:kern w:val="0"/>
          <w:sz w:val="32"/>
          <w:szCs w:val="32"/>
        </w:rPr>
        <w:t>當庭</w:t>
      </w:r>
      <w:r w:rsidRPr="001B6E4D">
        <w:rPr>
          <w:rFonts w:ascii="標楷體" w:eastAsia="標楷體" w:hAnsi="標楷體"/>
          <w:kern w:val="0"/>
          <w:sz w:val="32"/>
          <w:szCs w:val="32"/>
        </w:rPr>
        <w:t>也比較有時間</w:t>
      </w:r>
      <w:r w:rsidRPr="001B6E4D">
        <w:rPr>
          <w:rFonts w:ascii="標楷體" w:eastAsia="標楷體" w:hAnsi="標楷體" w:hint="eastAsia"/>
          <w:kern w:val="0"/>
          <w:sz w:val="32"/>
          <w:szCs w:val="32"/>
        </w:rPr>
        <w:t>去</w:t>
      </w:r>
      <w:r w:rsidRPr="001B6E4D">
        <w:rPr>
          <w:rFonts w:ascii="標楷體" w:eastAsia="標楷體" w:hAnsi="標楷體"/>
          <w:kern w:val="0"/>
          <w:sz w:val="32"/>
          <w:szCs w:val="32"/>
        </w:rPr>
        <w:t>確認書記官要</w:t>
      </w:r>
      <w:r w:rsidRPr="001B6E4D">
        <w:rPr>
          <w:rFonts w:ascii="標楷體" w:eastAsia="標楷體" w:hAnsi="標楷體" w:hint="eastAsia"/>
          <w:kern w:val="0"/>
          <w:sz w:val="32"/>
          <w:szCs w:val="32"/>
        </w:rPr>
        <w:t>旨</w:t>
      </w:r>
      <w:r w:rsidRPr="001B6E4D">
        <w:rPr>
          <w:rFonts w:ascii="標楷體" w:eastAsia="標楷體" w:hAnsi="標楷體"/>
          <w:kern w:val="0"/>
          <w:sz w:val="32"/>
          <w:szCs w:val="32"/>
        </w:rPr>
        <w:t>型的筆錄，有沒有符合陳述</w:t>
      </w:r>
      <w:r w:rsidRPr="001B6E4D">
        <w:rPr>
          <w:rFonts w:ascii="標楷體" w:eastAsia="標楷體" w:hAnsi="標楷體" w:hint="eastAsia"/>
          <w:kern w:val="0"/>
          <w:sz w:val="32"/>
          <w:szCs w:val="32"/>
        </w:rPr>
        <w:t>者</w:t>
      </w:r>
      <w:r w:rsidRPr="001B6E4D">
        <w:rPr>
          <w:rFonts w:ascii="標楷體" w:eastAsia="標楷體" w:hAnsi="標楷體"/>
          <w:kern w:val="0"/>
          <w:sz w:val="32"/>
          <w:szCs w:val="32"/>
        </w:rPr>
        <w:t>的真正的意思，比較能夠從容的處理，這種情形產出的筆錄比較精簡，對於法官之後再使用，是</w:t>
      </w:r>
      <w:proofErr w:type="gramStart"/>
      <w:r w:rsidRPr="001B6E4D">
        <w:rPr>
          <w:rFonts w:ascii="標楷體" w:eastAsia="標楷體" w:hAnsi="標楷體"/>
          <w:kern w:val="0"/>
          <w:sz w:val="32"/>
          <w:szCs w:val="32"/>
        </w:rPr>
        <w:t>會花少一點</w:t>
      </w:r>
      <w:proofErr w:type="gramEnd"/>
      <w:r w:rsidRPr="001B6E4D">
        <w:rPr>
          <w:rFonts w:ascii="標楷體" w:eastAsia="標楷體" w:hAnsi="標楷體"/>
          <w:kern w:val="0"/>
          <w:sz w:val="32"/>
          <w:szCs w:val="32"/>
        </w:rPr>
        <w:t>的時間，所以類似像這樣的法院，也許書記官或法官使用的意願就比較沒有那麼高，這部分我們未必一定要強推這樣的辨識系統，除非他們也覺得</w:t>
      </w:r>
      <w:r w:rsidRPr="001B6E4D">
        <w:rPr>
          <w:rFonts w:ascii="標楷體" w:eastAsia="標楷體" w:hAnsi="標楷體" w:hint="eastAsia"/>
          <w:kern w:val="0"/>
          <w:sz w:val="32"/>
          <w:szCs w:val="32"/>
        </w:rPr>
        <w:t>有必要</w:t>
      </w:r>
      <w:r w:rsidRPr="001B6E4D">
        <w:rPr>
          <w:rFonts w:ascii="標楷體" w:eastAsia="標楷體" w:hAnsi="標楷體"/>
          <w:kern w:val="0"/>
          <w:sz w:val="32"/>
          <w:szCs w:val="32"/>
        </w:rPr>
        <w:t>，但是</w:t>
      </w:r>
      <w:r w:rsidRPr="001B6E4D">
        <w:rPr>
          <w:rFonts w:ascii="標楷體" w:eastAsia="標楷體" w:hAnsi="標楷體" w:hint="eastAsia"/>
          <w:kern w:val="0"/>
          <w:sz w:val="32"/>
          <w:szCs w:val="32"/>
        </w:rPr>
        <w:t>像</w:t>
      </w:r>
      <w:proofErr w:type="gramStart"/>
      <w:r w:rsidRPr="001B6E4D">
        <w:rPr>
          <w:rFonts w:ascii="標楷體" w:eastAsia="標楷體" w:hAnsi="標楷體"/>
          <w:kern w:val="0"/>
          <w:sz w:val="32"/>
          <w:szCs w:val="32"/>
        </w:rPr>
        <w:t>臺</w:t>
      </w:r>
      <w:proofErr w:type="gramEnd"/>
      <w:r w:rsidRPr="001B6E4D">
        <w:rPr>
          <w:rFonts w:ascii="標楷體" w:eastAsia="標楷體" w:hAnsi="標楷體"/>
          <w:kern w:val="0"/>
          <w:sz w:val="32"/>
          <w:szCs w:val="32"/>
        </w:rPr>
        <w:t>北地院、新北地院或是</w:t>
      </w:r>
      <w:proofErr w:type="gramStart"/>
      <w:r w:rsidRPr="001B6E4D">
        <w:rPr>
          <w:rFonts w:ascii="標楷體" w:eastAsia="標楷體" w:hAnsi="標楷體"/>
          <w:kern w:val="0"/>
          <w:sz w:val="32"/>
          <w:szCs w:val="32"/>
        </w:rPr>
        <w:t>臺</w:t>
      </w:r>
      <w:proofErr w:type="gramEnd"/>
      <w:r w:rsidRPr="001B6E4D">
        <w:rPr>
          <w:rFonts w:ascii="標楷體" w:eastAsia="標楷體" w:hAnsi="標楷體"/>
          <w:kern w:val="0"/>
          <w:sz w:val="32"/>
          <w:szCs w:val="32"/>
        </w:rPr>
        <w:t>中地院</w:t>
      </w:r>
      <w:r w:rsidRPr="001B6E4D">
        <w:rPr>
          <w:rFonts w:ascii="標楷體" w:eastAsia="標楷體" w:hAnsi="標楷體" w:hint="eastAsia"/>
          <w:kern w:val="0"/>
          <w:sz w:val="32"/>
          <w:szCs w:val="32"/>
        </w:rPr>
        <w:t>案件量龐大的法院</w:t>
      </w:r>
      <w:r w:rsidRPr="001B6E4D">
        <w:rPr>
          <w:rFonts w:ascii="標楷體" w:eastAsia="標楷體" w:hAnsi="標楷體"/>
          <w:kern w:val="0"/>
          <w:sz w:val="32"/>
          <w:szCs w:val="32"/>
        </w:rPr>
        <w:t>，</w:t>
      </w:r>
      <w:r w:rsidRPr="001B6E4D">
        <w:rPr>
          <w:rFonts w:ascii="標楷體" w:eastAsia="標楷體" w:hAnsi="標楷體" w:hint="eastAsia"/>
          <w:kern w:val="0"/>
          <w:sz w:val="32"/>
          <w:szCs w:val="32"/>
        </w:rPr>
        <w:t>其實</w:t>
      </w:r>
      <w:r w:rsidRPr="001B6E4D">
        <w:rPr>
          <w:rFonts w:ascii="標楷體" w:eastAsia="標楷體" w:hAnsi="標楷體"/>
          <w:kern w:val="0"/>
          <w:sz w:val="32"/>
          <w:szCs w:val="32"/>
        </w:rPr>
        <w:t>書記官筆錄</w:t>
      </w:r>
      <w:r w:rsidRPr="001B6E4D">
        <w:rPr>
          <w:rFonts w:ascii="標楷體" w:eastAsia="標楷體" w:hAnsi="標楷體" w:hint="eastAsia"/>
          <w:kern w:val="0"/>
          <w:sz w:val="32"/>
          <w:szCs w:val="32"/>
        </w:rPr>
        <w:t>打</w:t>
      </w:r>
      <w:r w:rsidRPr="001B6E4D">
        <w:rPr>
          <w:rFonts w:ascii="標楷體" w:eastAsia="標楷體" w:hAnsi="標楷體"/>
          <w:kern w:val="0"/>
          <w:sz w:val="32"/>
          <w:szCs w:val="32"/>
        </w:rPr>
        <w:t>下來壓力是非常大</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這時，就不再是法官想看</w:t>
      </w:r>
      <w:r w:rsidRPr="001B6E4D">
        <w:rPr>
          <w:rFonts w:ascii="標楷體" w:eastAsia="標楷體" w:hAnsi="標楷體" w:hint="eastAsia"/>
          <w:kern w:val="0"/>
          <w:sz w:val="32"/>
          <w:szCs w:val="32"/>
        </w:rPr>
        <w:t>精簡</w:t>
      </w:r>
      <w:r w:rsidRPr="001B6E4D">
        <w:rPr>
          <w:rFonts w:ascii="標楷體" w:eastAsia="標楷體" w:hAnsi="標楷體"/>
          <w:kern w:val="0"/>
          <w:sz w:val="32"/>
          <w:szCs w:val="32"/>
        </w:rPr>
        <w:t>的筆錄了</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而是</w:t>
      </w:r>
      <w:r w:rsidRPr="001B6E4D">
        <w:rPr>
          <w:rFonts w:ascii="標楷體" w:eastAsia="標楷體" w:hAnsi="標楷體" w:hint="eastAsia"/>
          <w:kern w:val="0"/>
          <w:sz w:val="32"/>
          <w:szCs w:val="32"/>
        </w:rPr>
        <w:t>法官</w:t>
      </w:r>
      <w:r w:rsidRPr="001B6E4D">
        <w:rPr>
          <w:rFonts w:ascii="標楷體" w:eastAsia="標楷體" w:hAnsi="標楷體"/>
          <w:kern w:val="0"/>
          <w:sz w:val="32"/>
          <w:szCs w:val="32"/>
        </w:rPr>
        <w:t>為了要精簡的筆錄付出的代價</w:t>
      </w:r>
      <w:r w:rsidRPr="001B6E4D">
        <w:rPr>
          <w:rFonts w:ascii="標楷體" w:eastAsia="標楷體" w:hAnsi="標楷體" w:hint="eastAsia"/>
          <w:kern w:val="0"/>
          <w:sz w:val="32"/>
          <w:szCs w:val="32"/>
        </w:rPr>
        <w:t>，是</w:t>
      </w:r>
      <w:r w:rsidRPr="001B6E4D">
        <w:rPr>
          <w:rFonts w:ascii="標楷體" w:eastAsia="標楷體" w:hAnsi="標楷體"/>
          <w:kern w:val="0"/>
          <w:sz w:val="32"/>
          <w:szCs w:val="32"/>
        </w:rPr>
        <w:t>書記官的工作壓力跟負擔，這時就是必須要在取捨上，我們寧可他的筆錄是完整的</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逐字的，也許法官事後再使用時要花比較長的時間看筆錄，但至少</w:t>
      </w:r>
      <w:r w:rsidRPr="001B6E4D">
        <w:rPr>
          <w:rFonts w:ascii="標楷體" w:eastAsia="標楷體" w:hAnsi="標楷體" w:hint="eastAsia"/>
          <w:kern w:val="0"/>
          <w:sz w:val="32"/>
          <w:szCs w:val="32"/>
        </w:rPr>
        <w:t>筆錄</w:t>
      </w:r>
      <w:r w:rsidRPr="001B6E4D">
        <w:rPr>
          <w:rFonts w:ascii="標楷體" w:eastAsia="標楷體" w:hAnsi="標楷體"/>
          <w:kern w:val="0"/>
          <w:sz w:val="32"/>
          <w:szCs w:val="32"/>
        </w:rPr>
        <w:t>是精確</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是正確的，委外</w:t>
      </w:r>
      <w:r w:rsidRPr="001B6E4D">
        <w:rPr>
          <w:rFonts w:ascii="標楷體" w:eastAsia="標楷體" w:hAnsi="標楷體" w:hint="eastAsia"/>
          <w:kern w:val="0"/>
          <w:sz w:val="32"/>
          <w:szCs w:val="32"/>
        </w:rPr>
        <w:t>轉譯</w:t>
      </w:r>
      <w:r w:rsidRPr="001B6E4D">
        <w:rPr>
          <w:rFonts w:ascii="標楷體" w:eastAsia="標楷體" w:hAnsi="標楷體"/>
          <w:kern w:val="0"/>
          <w:sz w:val="32"/>
          <w:szCs w:val="32"/>
        </w:rPr>
        <w:t>目前也是完整的</w:t>
      </w:r>
      <w:r w:rsidRPr="001B6E4D">
        <w:rPr>
          <w:rFonts w:ascii="標楷體" w:eastAsia="標楷體" w:hAnsi="標楷體" w:hint="eastAsia"/>
          <w:kern w:val="0"/>
          <w:sz w:val="32"/>
          <w:szCs w:val="32"/>
        </w:rPr>
        <w:t>逐字筆錄</w:t>
      </w:r>
      <w:r w:rsidRPr="001B6E4D">
        <w:rPr>
          <w:rFonts w:ascii="標楷體" w:eastAsia="標楷體" w:hAnsi="標楷體"/>
          <w:kern w:val="0"/>
          <w:sz w:val="32"/>
          <w:szCs w:val="32"/>
        </w:rPr>
        <w:t>。</w:t>
      </w:r>
    </w:p>
    <w:p w14:paraId="1F708570"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未來的發展，除了我剛剛講到要看法院實際的需要外，畢竟這是一筆相當大的預算，我們也不敢在第一年就貿然</w:t>
      </w:r>
      <w:proofErr w:type="gramStart"/>
      <w:r w:rsidRPr="001B6E4D">
        <w:rPr>
          <w:rFonts w:ascii="標楷體" w:eastAsia="標楷體" w:hAnsi="標楷體"/>
          <w:kern w:val="0"/>
          <w:sz w:val="32"/>
          <w:szCs w:val="32"/>
        </w:rPr>
        <w:t>的說</w:t>
      </w:r>
      <w:r w:rsidRPr="001B6E4D">
        <w:rPr>
          <w:rFonts w:ascii="標楷體" w:eastAsia="標楷體" w:hAnsi="標楷體" w:hint="eastAsia"/>
          <w:kern w:val="0"/>
          <w:sz w:val="32"/>
          <w:szCs w:val="32"/>
        </w:rPr>
        <w:t>把所有</w:t>
      </w:r>
      <w:proofErr w:type="gramEnd"/>
      <w:r w:rsidRPr="001B6E4D">
        <w:rPr>
          <w:rFonts w:ascii="標楷體" w:eastAsia="標楷體" w:hAnsi="標楷體"/>
          <w:kern w:val="0"/>
          <w:sz w:val="32"/>
          <w:szCs w:val="32"/>
        </w:rPr>
        <w:t>法院全部都安裝。如果到時</w:t>
      </w:r>
      <w:r w:rsidRPr="001B6E4D">
        <w:rPr>
          <w:rFonts w:ascii="標楷體" w:eastAsia="標楷體" w:hAnsi="標楷體" w:hint="eastAsia"/>
          <w:kern w:val="0"/>
          <w:sz w:val="32"/>
          <w:szCs w:val="32"/>
        </w:rPr>
        <w:t>適用</w:t>
      </w:r>
      <w:r w:rsidRPr="001B6E4D">
        <w:rPr>
          <w:rFonts w:ascii="標楷體" w:eastAsia="標楷體" w:hAnsi="標楷體"/>
          <w:kern w:val="0"/>
          <w:sz w:val="32"/>
          <w:szCs w:val="32"/>
        </w:rPr>
        <w:t>上還是有一些</w:t>
      </w:r>
      <w:r w:rsidRPr="001B6E4D">
        <w:rPr>
          <w:rFonts w:ascii="標楷體" w:eastAsia="標楷體" w:hAnsi="標楷體" w:hint="eastAsia"/>
          <w:kern w:val="0"/>
          <w:sz w:val="32"/>
          <w:szCs w:val="32"/>
        </w:rPr>
        <w:t>法院</w:t>
      </w:r>
      <w:r w:rsidRPr="001B6E4D">
        <w:rPr>
          <w:rFonts w:ascii="標楷體" w:eastAsia="標楷體" w:hAnsi="標楷體"/>
          <w:kern w:val="0"/>
          <w:sz w:val="32"/>
          <w:szCs w:val="32"/>
        </w:rPr>
        <w:t>不</w:t>
      </w:r>
      <w:r w:rsidRPr="001B6E4D">
        <w:rPr>
          <w:rFonts w:ascii="標楷體" w:eastAsia="標楷體" w:hAnsi="標楷體" w:hint="eastAsia"/>
          <w:kern w:val="0"/>
          <w:sz w:val="32"/>
          <w:szCs w:val="32"/>
        </w:rPr>
        <w:t>適合的話，</w:t>
      </w:r>
      <w:r w:rsidRPr="001B6E4D">
        <w:rPr>
          <w:rFonts w:ascii="標楷體" w:eastAsia="標楷體" w:hAnsi="標楷體"/>
          <w:kern w:val="0"/>
          <w:sz w:val="32"/>
          <w:szCs w:val="32"/>
        </w:rPr>
        <w:t>可能會造成預算的浪費。所以我們初步估計的評估是</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現在已經完成調查，由各法院自</w:t>
      </w:r>
      <w:r w:rsidRPr="001B6E4D">
        <w:rPr>
          <w:rFonts w:ascii="標楷體" w:eastAsia="標楷體" w:hAnsi="標楷體"/>
          <w:kern w:val="0"/>
          <w:sz w:val="32"/>
          <w:szCs w:val="32"/>
        </w:rPr>
        <w:lastRenderedPageBreak/>
        <w:t>行評估使用</w:t>
      </w:r>
      <w:r w:rsidRPr="001B6E4D">
        <w:rPr>
          <w:rFonts w:ascii="標楷體" w:eastAsia="標楷體" w:hAnsi="標楷體" w:hint="eastAsia"/>
          <w:kern w:val="0"/>
          <w:sz w:val="32"/>
          <w:szCs w:val="32"/>
        </w:rPr>
        <w:t>語音辨識</w:t>
      </w:r>
      <w:r w:rsidRPr="001B6E4D">
        <w:rPr>
          <w:rFonts w:ascii="標楷體" w:eastAsia="標楷體" w:hAnsi="標楷體"/>
          <w:kern w:val="0"/>
          <w:sz w:val="32"/>
          <w:szCs w:val="32"/>
        </w:rPr>
        <w:t>的法庭有大概幾間</w:t>
      </w:r>
      <w:r w:rsidRPr="001B6E4D">
        <w:rPr>
          <w:rFonts w:ascii="標楷體" w:eastAsia="標楷體" w:hAnsi="標楷體" w:hint="eastAsia"/>
          <w:kern w:val="0"/>
          <w:sz w:val="32"/>
          <w:szCs w:val="32"/>
        </w:rPr>
        <w:t>？視</w:t>
      </w:r>
      <w:r w:rsidRPr="001B6E4D">
        <w:rPr>
          <w:rFonts w:ascii="標楷體" w:eastAsia="標楷體" w:hAnsi="標楷體"/>
          <w:kern w:val="0"/>
          <w:sz w:val="32"/>
          <w:szCs w:val="32"/>
        </w:rPr>
        <w:t>預算調整。如果在預算不夠的情況下，目前是比較傾向於</w:t>
      </w:r>
      <w:r w:rsidRPr="001B6E4D">
        <w:rPr>
          <w:rFonts w:ascii="標楷體" w:eastAsia="標楷體" w:hAnsi="標楷體" w:hint="eastAsia"/>
          <w:kern w:val="0"/>
          <w:sz w:val="32"/>
          <w:szCs w:val="32"/>
        </w:rPr>
        <w:t>刑庭</w:t>
      </w:r>
      <w:r w:rsidRPr="001B6E4D">
        <w:rPr>
          <w:rFonts w:ascii="標楷體" w:eastAsia="標楷體" w:hAnsi="標楷體"/>
          <w:kern w:val="0"/>
          <w:sz w:val="32"/>
          <w:szCs w:val="32"/>
        </w:rPr>
        <w:t>優先</w:t>
      </w:r>
      <w:r w:rsidRPr="001B6E4D">
        <w:rPr>
          <w:rFonts w:ascii="標楷體" w:eastAsia="標楷體" w:hAnsi="標楷體" w:hint="eastAsia"/>
          <w:kern w:val="0"/>
          <w:sz w:val="32"/>
          <w:szCs w:val="32"/>
        </w:rPr>
        <w:t>，</w:t>
      </w:r>
      <w:proofErr w:type="gramStart"/>
      <w:r w:rsidRPr="001B6E4D">
        <w:rPr>
          <w:rFonts w:ascii="標楷體" w:eastAsia="標楷體" w:hAnsi="標楷體"/>
          <w:kern w:val="0"/>
          <w:sz w:val="32"/>
          <w:szCs w:val="32"/>
        </w:rPr>
        <w:t>盡量讓</w:t>
      </w:r>
      <w:r w:rsidRPr="001B6E4D">
        <w:rPr>
          <w:rFonts w:ascii="標楷體" w:eastAsia="標楷體" w:hAnsi="標楷體" w:hint="eastAsia"/>
          <w:kern w:val="0"/>
          <w:sz w:val="32"/>
          <w:szCs w:val="32"/>
        </w:rPr>
        <w:t>刑庭</w:t>
      </w:r>
      <w:proofErr w:type="gramEnd"/>
      <w:r w:rsidRPr="001B6E4D">
        <w:rPr>
          <w:rFonts w:ascii="標楷體" w:eastAsia="標楷體" w:hAnsi="標楷體"/>
          <w:kern w:val="0"/>
          <w:sz w:val="32"/>
          <w:szCs w:val="32"/>
        </w:rPr>
        <w:t>能夠滿足法官的需求，至於民庭的部分，譬如設兩間左右，當民</w:t>
      </w:r>
      <w:r w:rsidRPr="001B6E4D">
        <w:rPr>
          <w:rFonts w:ascii="標楷體" w:eastAsia="標楷體" w:hAnsi="標楷體" w:hint="eastAsia"/>
          <w:kern w:val="0"/>
          <w:sz w:val="32"/>
          <w:szCs w:val="32"/>
        </w:rPr>
        <w:t>事</w:t>
      </w:r>
      <w:r w:rsidRPr="001B6E4D">
        <w:rPr>
          <w:rFonts w:ascii="標楷體" w:eastAsia="標楷體" w:hAnsi="標楷體"/>
          <w:kern w:val="0"/>
          <w:sz w:val="32"/>
          <w:szCs w:val="32"/>
        </w:rPr>
        <w:t>要做交互詰問，民</w:t>
      </w:r>
      <w:r w:rsidRPr="001B6E4D">
        <w:rPr>
          <w:rFonts w:ascii="標楷體" w:eastAsia="標楷體" w:hAnsi="標楷體" w:hint="eastAsia"/>
          <w:kern w:val="0"/>
          <w:sz w:val="32"/>
          <w:szCs w:val="32"/>
        </w:rPr>
        <w:t>事</w:t>
      </w:r>
      <w:r w:rsidRPr="001B6E4D">
        <w:rPr>
          <w:rFonts w:ascii="標楷體" w:eastAsia="標楷體" w:hAnsi="標楷體"/>
          <w:kern w:val="0"/>
          <w:sz w:val="32"/>
          <w:szCs w:val="32"/>
        </w:rPr>
        <w:t>也會遇到交互詰問的情形時再使用</w:t>
      </w:r>
      <w:r w:rsidRPr="001B6E4D">
        <w:rPr>
          <w:rFonts w:ascii="標楷體" w:eastAsia="標楷體" w:hAnsi="標楷體" w:hint="eastAsia"/>
          <w:kern w:val="0"/>
          <w:sz w:val="32"/>
          <w:szCs w:val="32"/>
        </w:rPr>
        <w:t>語音辨識</w:t>
      </w:r>
      <w:r w:rsidRPr="001B6E4D">
        <w:rPr>
          <w:rFonts w:ascii="標楷體" w:eastAsia="標楷體" w:hAnsi="標楷體"/>
          <w:kern w:val="0"/>
          <w:sz w:val="32"/>
          <w:szCs w:val="32"/>
        </w:rPr>
        <w:t>法庭，一般的民事案件，</w:t>
      </w:r>
      <w:r w:rsidRPr="001B6E4D">
        <w:rPr>
          <w:rFonts w:ascii="標楷體" w:eastAsia="標楷體" w:hAnsi="標楷體" w:hint="eastAsia"/>
          <w:kern w:val="0"/>
          <w:sz w:val="32"/>
          <w:szCs w:val="32"/>
        </w:rPr>
        <w:t>因</w:t>
      </w:r>
      <w:r w:rsidRPr="001B6E4D">
        <w:rPr>
          <w:rFonts w:ascii="標楷體" w:eastAsia="標楷體" w:hAnsi="標楷體"/>
          <w:kern w:val="0"/>
          <w:sz w:val="32"/>
          <w:szCs w:val="32"/>
        </w:rPr>
        <w:t>目前預算有限的情況下，先暫時</w:t>
      </w:r>
      <w:r w:rsidRPr="001B6E4D">
        <w:rPr>
          <w:rFonts w:ascii="標楷體" w:eastAsia="標楷體" w:hAnsi="標楷體" w:hint="eastAsia"/>
          <w:kern w:val="0"/>
          <w:sz w:val="32"/>
          <w:szCs w:val="32"/>
        </w:rPr>
        <w:t>以</w:t>
      </w:r>
      <w:r w:rsidRPr="001B6E4D">
        <w:rPr>
          <w:rFonts w:ascii="標楷體" w:eastAsia="標楷體" w:hAnsi="標楷體"/>
          <w:kern w:val="0"/>
          <w:sz w:val="32"/>
          <w:szCs w:val="32"/>
        </w:rPr>
        <w:t>傳統</w:t>
      </w:r>
      <w:r w:rsidRPr="001B6E4D">
        <w:rPr>
          <w:rFonts w:ascii="標楷體" w:eastAsia="標楷體" w:hAnsi="標楷體" w:hint="eastAsia"/>
          <w:kern w:val="0"/>
          <w:sz w:val="32"/>
          <w:szCs w:val="32"/>
        </w:rPr>
        <w:t>筆錄</w:t>
      </w:r>
      <w:r w:rsidRPr="001B6E4D">
        <w:rPr>
          <w:rFonts w:ascii="標楷體" w:eastAsia="標楷體" w:hAnsi="標楷體"/>
          <w:kern w:val="0"/>
          <w:sz w:val="32"/>
          <w:szCs w:val="32"/>
        </w:rPr>
        <w:t>的方式，這是我們目前關於</w:t>
      </w:r>
      <w:r w:rsidRPr="001B6E4D">
        <w:rPr>
          <w:rFonts w:ascii="標楷體" w:eastAsia="標楷體" w:hAnsi="標楷體" w:hint="eastAsia"/>
          <w:kern w:val="0"/>
          <w:sz w:val="32"/>
          <w:szCs w:val="32"/>
        </w:rPr>
        <w:t>語音辨識系統</w:t>
      </w:r>
      <w:r w:rsidRPr="001B6E4D">
        <w:rPr>
          <w:rFonts w:ascii="標楷體" w:eastAsia="標楷體" w:hAnsi="標楷體"/>
          <w:kern w:val="0"/>
          <w:sz w:val="32"/>
          <w:szCs w:val="32"/>
        </w:rPr>
        <w:t>是不是要全面開放的規劃。</w:t>
      </w:r>
    </w:p>
    <w:p w14:paraId="79C5C6BE" w14:textId="77777777" w:rsidR="00C77DA6"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最後關於反映的語音客服總機問題，</w:t>
      </w:r>
      <w:r w:rsidRPr="001B6E4D">
        <w:rPr>
          <w:rFonts w:ascii="標楷體" w:eastAsia="標楷體" w:hAnsi="標楷體"/>
          <w:kern w:val="0"/>
          <w:sz w:val="32"/>
          <w:szCs w:val="32"/>
        </w:rPr>
        <w:t>我先說明一下</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應該不是</w:t>
      </w:r>
      <w:r w:rsidRPr="001B6E4D">
        <w:rPr>
          <w:rFonts w:ascii="標楷體" w:eastAsia="標楷體" w:hAnsi="標楷體" w:hint="eastAsia"/>
          <w:kern w:val="0"/>
          <w:sz w:val="32"/>
          <w:szCs w:val="32"/>
        </w:rPr>
        <w:t>工</w:t>
      </w:r>
      <w:r w:rsidRPr="001B6E4D">
        <w:rPr>
          <w:rFonts w:ascii="標楷體" w:eastAsia="標楷體" w:hAnsi="標楷體"/>
          <w:kern w:val="0"/>
          <w:sz w:val="32"/>
          <w:szCs w:val="32"/>
        </w:rPr>
        <w:t>會</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因為</w:t>
      </w:r>
      <w:r w:rsidRPr="001B6E4D">
        <w:rPr>
          <w:rFonts w:ascii="標楷體" w:eastAsia="標楷體" w:hAnsi="標楷體" w:hint="eastAsia"/>
          <w:kern w:val="0"/>
          <w:sz w:val="32"/>
          <w:szCs w:val="32"/>
        </w:rPr>
        <w:t>該組織</w:t>
      </w:r>
      <w:r w:rsidRPr="001B6E4D">
        <w:rPr>
          <w:rFonts w:ascii="標楷體" w:eastAsia="標楷體" w:hAnsi="標楷體"/>
          <w:kern w:val="0"/>
          <w:sz w:val="32"/>
          <w:szCs w:val="32"/>
        </w:rPr>
        <w:t>並</w:t>
      </w:r>
      <w:r w:rsidRPr="001B6E4D">
        <w:rPr>
          <w:rFonts w:ascii="標楷體" w:eastAsia="標楷體" w:hAnsi="標楷體" w:hint="eastAsia"/>
          <w:kern w:val="0"/>
          <w:sz w:val="32"/>
          <w:szCs w:val="32"/>
        </w:rPr>
        <w:t>非</w:t>
      </w:r>
      <w:r w:rsidRPr="001B6E4D">
        <w:rPr>
          <w:rFonts w:ascii="標楷體" w:eastAsia="標楷體" w:hAnsi="標楷體"/>
          <w:kern w:val="0"/>
          <w:sz w:val="32"/>
          <w:szCs w:val="32"/>
        </w:rPr>
        <w:t>實際登記的工會，不過</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確實反映了一些基層書記官的意見，語音客服的部分</w:t>
      </w:r>
      <w:r w:rsidRPr="001B6E4D">
        <w:rPr>
          <w:rFonts w:ascii="標楷體" w:eastAsia="標楷體" w:hAnsi="標楷體" w:hint="eastAsia"/>
          <w:kern w:val="0"/>
          <w:sz w:val="32"/>
          <w:szCs w:val="32"/>
        </w:rPr>
        <w:t>，大院長先前召開司法科技推動小組會議時已進行過</w:t>
      </w:r>
      <w:proofErr w:type="gramStart"/>
      <w:r w:rsidRPr="001B6E4D">
        <w:rPr>
          <w:rFonts w:ascii="標楷體" w:eastAsia="標楷體" w:hAnsi="標楷體" w:hint="eastAsia"/>
          <w:kern w:val="0"/>
          <w:sz w:val="32"/>
          <w:szCs w:val="32"/>
        </w:rPr>
        <w:t>研</w:t>
      </w:r>
      <w:proofErr w:type="gramEnd"/>
      <w:r w:rsidRPr="001B6E4D">
        <w:rPr>
          <w:rFonts w:ascii="標楷體" w:eastAsia="標楷體" w:hAnsi="標楷體" w:hint="eastAsia"/>
          <w:kern w:val="0"/>
          <w:sz w:val="32"/>
          <w:szCs w:val="32"/>
        </w:rPr>
        <w:t>議。司法機關的對外回答</w:t>
      </w:r>
      <w:proofErr w:type="gramStart"/>
      <w:r w:rsidRPr="001B6E4D">
        <w:rPr>
          <w:rFonts w:ascii="標楷體" w:eastAsia="標楷體" w:hAnsi="標楷體" w:hint="eastAsia"/>
          <w:kern w:val="0"/>
          <w:sz w:val="32"/>
          <w:szCs w:val="32"/>
        </w:rPr>
        <w:t>攸</w:t>
      </w:r>
      <w:proofErr w:type="gramEnd"/>
      <w:r w:rsidRPr="001B6E4D">
        <w:rPr>
          <w:rFonts w:ascii="標楷體" w:eastAsia="標楷體" w:hAnsi="標楷體" w:hint="eastAsia"/>
          <w:kern w:val="0"/>
          <w:sz w:val="32"/>
          <w:szCs w:val="32"/>
        </w:rPr>
        <w:t>關民眾權益（例如上訴期限等），與一般語音回答不同，內容不能有誤，必須具備完整、嚴謹的資料庫，無法單純仰賴AI語音生成。目前已蒐集了各法院訴訟輔導科、志工及書記官常被民眾詢問的1,000多則問題，比對篩選出400多則核心問答。</w:t>
      </w:r>
      <w:r w:rsidRPr="001B6E4D">
        <w:rPr>
          <w:rFonts w:ascii="標楷體" w:eastAsia="標楷體" w:hAnsi="標楷體"/>
          <w:kern w:val="0"/>
          <w:sz w:val="32"/>
          <w:szCs w:val="32"/>
        </w:rPr>
        <w:t>我們準備將這400多則</w:t>
      </w:r>
      <w:r w:rsidRPr="001B6E4D">
        <w:rPr>
          <w:rFonts w:ascii="標楷體" w:eastAsia="標楷體" w:hAnsi="標楷體" w:hint="eastAsia"/>
          <w:kern w:val="0"/>
          <w:sz w:val="32"/>
          <w:szCs w:val="32"/>
        </w:rPr>
        <w:t>問題</w:t>
      </w:r>
      <w:r w:rsidRPr="001B6E4D">
        <w:rPr>
          <w:rFonts w:ascii="標楷體" w:eastAsia="標楷體" w:hAnsi="標楷體"/>
          <w:kern w:val="0"/>
          <w:sz w:val="32"/>
          <w:szCs w:val="32"/>
        </w:rPr>
        <w:t>建立資料庫，</w:t>
      </w:r>
      <w:r w:rsidRPr="001B6E4D">
        <w:rPr>
          <w:rFonts w:ascii="標楷體" w:eastAsia="標楷體" w:hAnsi="標楷體" w:hint="eastAsia"/>
          <w:kern w:val="0"/>
          <w:sz w:val="32"/>
          <w:szCs w:val="32"/>
        </w:rPr>
        <w:t>下一步將試著逐步發展AI運作機制，</w:t>
      </w:r>
      <w:r w:rsidRPr="001B6E4D">
        <w:rPr>
          <w:rFonts w:ascii="標楷體" w:eastAsia="標楷體" w:hAnsi="標楷體"/>
          <w:kern w:val="0"/>
          <w:sz w:val="32"/>
          <w:szCs w:val="32"/>
        </w:rPr>
        <w:t>讓</w:t>
      </w:r>
      <w:r w:rsidRPr="001B6E4D">
        <w:rPr>
          <w:rFonts w:ascii="標楷體" w:eastAsia="標楷體" w:hAnsi="標楷體" w:hint="eastAsia"/>
          <w:kern w:val="0"/>
          <w:sz w:val="32"/>
          <w:szCs w:val="32"/>
        </w:rPr>
        <w:t>A</w:t>
      </w:r>
      <w:r w:rsidRPr="001B6E4D">
        <w:rPr>
          <w:rFonts w:ascii="標楷體" w:eastAsia="標楷體" w:hAnsi="標楷體"/>
          <w:kern w:val="0"/>
          <w:sz w:val="32"/>
          <w:szCs w:val="32"/>
        </w:rPr>
        <w:t>I系統透過</w:t>
      </w:r>
      <w:r w:rsidRPr="001B6E4D">
        <w:rPr>
          <w:rFonts w:ascii="標楷體" w:eastAsia="標楷體" w:hAnsi="標楷體" w:hint="eastAsia"/>
          <w:kern w:val="0"/>
          <w:sz w:val="32"/>
          <w:szCs w:val="32"/>
        </w:rPr>
        <w:t>A</w:t>
      </w:r>
      <w:r w:rsidRPr="001B6E4D">
        <w:rPr>
          <w:rFonts w:ascii="標楷體" w:eastAsia="標楷體" w:hAnsi="標楷體"/>
          <w:kern w:val="0"/>
          <w:sz w:val="32"/>
          <w:szCs w:val="32"/>
        </w:rPr>
        <w:t>I的運作，從這些資料庫找答案，</w:t>
      </w:r>
      <w:r w:rsidRPr="001B6E4D">
        <w:rPr>
          <w:rFonts w:ascii="標楷體" w:eastAsia="標楷體" w:hAnsi="標楷體" w:hint="eastAsia"/>
          <w:kern w:val="0"/>
          <w:sz w:val="32"/>
          <w:szCs w:val="32"/>
        </w:rPr>
        <w:t>規劃先由文字客服上路，再逐步發展至語音客服，相關系統研發成本未來</w:t>
      </w:r>
      <w:proofErr w:type="gramStart"/>
      <w:r w:rsidRPr="001B6E4D">
        <w:rPr>
          <w:rFonts w:ascii="標楷體" w:eastAsia="標楷體" w:hAnsi="標楷體" w:hint="eastAsia"/>
          <w:kern w:val="0"/>
          <w:sz w:val="32"/>
          <w:szCs w:val="32"/>
        </w:rPr>
        <w:t>亦需貴院</w:t>
      </w:r>
      <w:proofErr w:type="gramEnd"/>
      <w:r w:rsidRPr="001B6E4D">
        <w:rPr>
          <w:rFonts w:ascii="標楷體" w:eastAsia="標楷體" w:hAnsi="標楷體" w:hint="eastAsia"/>
          <w:kern w:val="0"/>
          <w:sz w:val="32"/>
          <w:szCs w:val="32"/>
        </w:rPr>
        <w:t>與委員的預算支持，謝謝</w:t>
      </w:r>
    </w:p>
    <w:p w14:paraId="55440D31" w14:textId="4512B565"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proofErr w:type="gramStart"/>
      <w:r w:rsidRPr="001B6E4D">
        <w:rPr>
          <w:rFonts w:ascii="標楷體" w:eastAsia="標楷體" w:hAnsi="標楷體" w:hint="eastAsia"/>
          <w:b/>
          <w:kern w:val="0"/>
          <w:sz w:val="32"/>
          <w:szCs w:val="32"/>
        </w:rPr>
        <w:t>臺</w:t>
      </w:r>
      <w:proofErr w:type="gramEnd"/>
      <w:r w:rsidRPr="001B6E4D">
        <w:rPr>
          <w:rFonts w:ascii="標楷體" w:eastAsia="標楷體" w:hAnsi="標楷體" w:hint="eastAsia"/>
          <w:b/>
          <w:kern w:val="0"/>
          <w:sz w:val="32"/>
          <w:szCs w:val="32"/>
        </w:rPr>
        <w:t>北地院何信慶院長：</w:t>
      </w:r>
    </w:p>
    <w:p w14:paraId="2EBAF069" w14:textId="77777777" w:rsidR="00B921E8" w:rsidRPr="001B6E4D" w:rsidRDefault="00B921E8" w:rsidP="003D1018">
      <w:pPr>
        <w:overflowPunct w:val="0"/>
        <w:spacing w:line="460" w:lineRule="exact"/>
        <w:ind w:leftChars="296" w:left="710"/>
        <w:jc w:val="both"/>
        <w:rPr>
          <w:rFonts w:ascii="標楷體" w:eastAsia="標楷體" w:hAnsi="標楷體"/>
          <w:color w:val="000000"/>
          <w:kern w:val="0"/>
          <w:sz w:val="32"/>
          <w:szCs w:val="32"/>
        </w:rPr>
      </w:pPr>
      <w:r w:rsidRPr="001B6E4D">
        <w:rPr>
          <w:rFonts w:ascii="標楷體" w:eastAsia="標楷體" w:hAnsi="標楷體" w:hint="eastAsia"/>
          <w:color w:val="000000"/>
          <w:kern w:val="0"/>
          <w:sz w:val="32"/>
          <w:szCs w:val="32"/>
        </w:rPr>
        <w:t>委員及各位貴賓剛才看了語音辨識系統的模擬，委員瞭解並垂詢到幾個實務上的問題，</w:t>
      </w:r>
      <w:proofErr w:type="gramStart"/>
      <w:r w:rsidRPr="001B6E4D">
        <w:rPr>
          <w:rFonts w:ascii="標楷體" w:eastAsia="標楷體" w:hAnsi="標楷體" w:hint="eastAsia"/>
          <w:color w:val="000000"/>
          <w:kern w:val="0"/>
          <w:sz w:val="32"/>
          <w:szCs w:val="32"/>
        </w:rPr>
        <w:t>臺</w:t>
      </w:r>
      <w:proofErr w:type="gramEnd"/>
      <w:r w:rsidRPr="001B6E4D">
        <w:rPr>
          <w:rFonts w:ascii="標楷體" w:eastAsia="標楷體" w:hAnsi="標楷體" w:hint="eastAsia"/>
          <w:color w:val="000000"/>
          <w:kern w:val="0"/>
          <w:sz w:val="32"/>
          <w:szCs w:val="32"/>
        </w:rPr>
        <w:t>北地院受理案件的質和量都是全國最重和最多的，像這個會議室對面是刑事庭法官辦公室，在門口就可看到的法官座位，以她正在辦理的吸金案為例，被告多達165位、被害人逾2,900位，檢察官移送的卷宗高達621宗，質和量都非常龐大。</w:t>
      </w:r>
    </w:p>
    <w:p w14:paraId="5E596142" w14:textId="77777777" w:rsidR="00C77DA6"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color w:val="000000"/>
          <w:kern w:val="0"/>
          <w:sz w:val="32"/>
          <w:szCs w:val="32"/>
        </w:rPr>
        <w:lastRenderedPageBreak/>
        <w:t>語音辨識系統能減輕書記官開庭的負擔，剛才吳庭長也跟大家報告分析確實是有助益，針對委員垂詢的國台語夾雜及法庭多人插話等操作實務，我們特別邀請剛才負責演示、且先前在國民法官法庭具備</w:t>
      </w:r>
      <w:proofErr w:type="gramStart"/>
      <w:r w:rsidRPr="001B6E4D">
        <w:rPr>
          <w:rFonts w:ascii="標楷體" w:eastAsia="標楷體" w:hAnsi="標楷體" w:hint="eastAsia"/>
          <w:color w:val="000000"/>
          <w:kern w:val="0"/>
          <w:sz w:val="32"/>
          <w:szCs w:val="32"/>
        </w:rPr>
        <w:t>豐富語辨操作</w:t>
      </w:r>
      <w:proofErr w:type="gramEnd"/>
      <w:r w:rsidRPr="001B6E4D">
        <w:rPr>
          <w:rFonts w:ascii="標楷體" w:eastAsia="標楷體" w:hAnsi="標楷體" w:hint="eastAsia"/>
          <w:color w:val="000000"/>
          <w:kern w:val="0"/>
          <w:sz w:val="32"/>
          <w:szCs w:val="32"/>
        </w:rPr>
        <w:t>經驗的李玟</w:t>
      </w:r>
      <w:proofErr w:type="gramStart"/>
      <w:r w:rsidRPr="001B6E4D">
        <w:rPr>
          <w:rFonts w:ascii="標楷體" w:eastAsia="標楷體" w:hAnsi="標楷體" w:hint="eastAsia"/>
          <w:color w:val="000000"/>
          <w:kern w:val="0"/>
          <w:sz w:val="32"/>
          <w:szCs w:val="32"/>
        </w:rPr>
        <w:t>郁</w:t>
      </w:r>
      <w:proofErr w:type="gramEnd"/>
      <w:r w:rsidRPr="001B6E4D">
        <w:rPr>
          <w:rFonts w:ascii="標楷體" w:eastAsia="標楷體" w:hAnsi="標楷體" w:hint="eastAsia"/>
          <w:color w:val="000000"/>
          <w:kern w:val="0"/>
          <w:sz w:val="32"/>
          <w:szCs w:val="32"/>
        </w:rPr>
        <w:t>股長來為委員進行實務心得分享。</w:t>
      </w:r>
    </w:p>
    <w:p w14:paraId="755BB538" w14:textId="5BD6E699"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proofErr w:type="gramStart"/>
      <w:r w:rsidRPr="001B6E4D">
        <w:rPr>
          <w:rFonts w:ascii="標楷體" w:eastAsia="標楷體" w:hAnsi="標楷體" w:hint="eastAsia"/>
          <w:b/>
          <w:kern w:val="0"/>
          <w:sz w:val="32"/>
          <w:szCs w:val="32"/>
        </w:rPr>
        <w:t>臺</w:t>
      </w:r>
      <w:proofErr w:type="gramEnd"/>
      <w:r w:rsidRPr="001B6E4D">
        <w:rPr>
          <w:rFonts w:ascii="標楷體" w:eastAsia="標楷體" w:hAnsi="標楷體" w:hint="eastAsia"/>
          <w:b/>
          <w:kern w:val="0"/>
          <w:sz w:val="32"/>
          <w:szCs w:val="32"/>
        </w:rPr>
        <w:t>北地院李玟</w:t>
      </w:r>
      <w:proofErr w:type="gramStart"/>
      <w:r w:rsidRPr="001B6E4D">
        <w:rPr>
          <w:rFonts w:ascii="標楷體" w:eastAsia="標楷體" w:hAnsi="標楷體" w:hint="eastAsia"/>
          <w:b/>
          <w:kern w:val="0"/>
          <w:sz w:val="32"/>
          <w:szCs w:val="32"/>
        </w:rPr>
        <w:t>郁</w:t>
      </w:r>
      <w:proofErr w:type="gramEnd"/>
      <w:r w:rsidRPr="001B6E4D">
        <w:rPr>
          <w:rFonts w:ascii="標楷體" w:eastAsia="標楷體" w:hAnsi="標楷體" w:hint="eastAsia"/>
          <w:b/>
          <w:kern w:val="0"/>
          <w:sz w:val="32"/>
          <w:szCs w:val="32"/>
        </w:rPr>
        <w:t>股長：</w:t>
      </w:r>
    </w:p>
    <w:p w14:paraId="5A44106A" w14:textId="77777777" w:rsidR="00B921E8" w:rsidRPr="001B6E4D" w:rsidRDefault="00B921E8" w:rsidP="003D1018">
      <w:pPr>
        <w:overflowPunct w:val="0"/>
        <w:spacing w:line="460" w:lineRule="exact"/>
        <w:ind w:leftChars="296" w:left="710"/>
        <w:jc w:val="both"/>
        <w:rPr>
          <w:rFonts w:ascii="標楷體" w:eastAsia="標楷體" w:hAnsi="標楷體"/>
          <w:strike/>
          <w:kern w:val="0"/>
          <w:sz w:val="32"/>
          <w:szCs w:val="32"/>
        </w:rPr>
      </w:pPr>
      <w:r w:rsidRPr="001B6E4D">
        <w:rPr>
          <w:rFonts w:ascii="標楷體" w:eastAsia="標楷體" w:hAnsi="標楷體" w:hint="eastAsia"/>
          <w:kern w:val="0"/>
          <w:sz w:val="32"/>
          <w:szCs w:val="32"/>
        </w:rPr>
        <w:t>委員及各位長官好。很高興有此機會分享，這幾次的模擬</w:t>
      </w:r>
      <w:proofErr w:type="gramStart"/>
      <w:r w:rsidRPr="001B6E4D">
        <w:rPr>
          <w:rFonts w:ascii="標楷體" w:eastAsia="標楷體" w:hAnsi="標楷體" w:hint="eastAsia"/>
          <w:kern w:val="0"/>
          <w:sz w:val="32"/>
          <w:szCs w:val="32"/>
        </w:rPr>
        <w:t>演練均由我</w:t>
      </w:r>
      <w:proofErr w:type="gramEnd"/>
      <w:r w:rsidRPr="001B6E4D">
        <w:rPr>
          <w:rFonts w:ascii="標楷體" w:eastAsia="標楷體" w:hAnsi="標楷體" w:hint="eastAsia"/>
          <w:kern w:val="0"/>
          <w:sz w:val="32"/>
          <w:szCs w:val="32"/>
        </w:rPr>
        <w:t>負責操作。推行這套系統的必要性在於，臺灣</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北地方法院多為矚目案件，且頻繁處理送審案件；在送審當天，因有眾多被告在押，筆錄必須即時完成。若語音辨識系統能成功推行，當天即可迅速完成筆錄，避免法官、檢察官及書記官因紀錄問題而於開庭時留守至凌晨，對於人力節省及減輕三方</w:t>
      </w:r>
      <w:proofErr w:type="gramStart"/>
      <w:r w:rsidRPr="001B6E4D">
        <w:rPr>
          <w:rFonts w:ascii="標楷體" w:eastAsia="標楷體" w:hAnsi="標楷體" w:hint="eastAsia"/>
          <w:kern w:val="0"/>
          <w:sz w:val="32"/>
          <w:szCs w:val="32"/>
        </w:rPr>
        <w:t>工作量均有實質</w:t>
      </w:r>
      <w:proofErr w:type="gramEnd"/>
      <w:r w:rsidRPr="001B6E4D">
        <w:rPr>
          <w:rFonts w:ascii="標楷體" w:eastAsia="標楷體" w:hAnsi="標楷體" w:hint="eastAsia"/>
          <w:kern w:val="0"/>
          <w:sz w:val="32"/>
          <w:szCs w:val="32"/>
        </w:rPr>
        <w:t>幫助。</w:t>
      </w:r>
    </w:p>
    <w:p w14:paraId="4AF49E80" w14:textId="3F54EA01"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我個人的打字</w:t>
      </w:r>
      <w:proofErr w:type="gramStart"/>
      <w:r w:rsidRPr="001B6E4D">
        <w:rPr>
          <w:rFonts w:ascii="標楷體" w:eastAsia="標楷體" w:hAnsi="標楷體" w:hint="eastAsia"/>
          <w:kern w:val="0"/>
          <w:sz w:val="32"/>
          <w:szCs w:val="32"/>
        </w:rPr>
        <w:t>速度不慢</w:t>
      </w:r>
      <w:proofErr w:type="gramEnd"/>
      <w:r w:rsidRPr="001B6E4D">
        <w:rPr>
          <w:rFonts w:ascii="標楷體" w:eastAsia="標楷體" w:hAnsi="標楷體" w:hint="eastAsia"/>
          <w:kern w:val="0"/>
          <w:sz w:val="32"/>
          <w:szCs w:val="32"/>
        </w:rPr>
        <w:t>，每分鐘約可輸入 130 至 160 字，但在長達 3 至 4 小時的開庭過程中，體力與精神狀況難以始終維持高峰，遇到艱澀字</w:t>
      </w:r>
      <w:proofErr w:type="gramStart"/>
      <w:r w:rsidRPr="001B6E4D">
        <w:rPr>
          <w:rFonts w:ascii="標楷體" w:eastAsia="標楷體" w:hAnsi="標楷體" w:hint="eastAsia"/>
          <w:kern w:val="0"/>
          <w:sz w:val="32"/>
          <w:szCs w:val="32"/>
        </w:rPr>
        <w:t>詞仍會卡關</w:t>
      </w:r>
      <w:proofErr w:type="gramEnd"/>
      <w:r w:rsidRPr="001B6E4D">
        <w:rPr>
          <w:rFonts w:ascii="標楷體" w:eastAsia="標楷體" w:hAnsi="標楷體" w:hint="eastAsia"/>
          <w:kern w:val="0"/>
          <w:sz w:val="32"/>
          <w:szCs w:val="32"/>
        </w:rPr>
        <w:t>，進而讓審判長或檢察官停頓等候。</w:t>
      </w:r>
      <w:proofErr w:type="gramStart"/>
      <w:r w:rsidRPr="001B6E4D">
        <w:rPr>
          <w:rFonts w:ascii="標楷體" w:eastAsia="標楷體" w:hAnsi="標楷體" w:hint="eastAsia"/>
          <w:kern w:val="0"/>
          <w:sz w:val="32"/>
          <w:szCs w:val="32"/>
        </w:rPr>
        <w:t>此外，</w:t>
      </w:r>
      <w:proofErr w:type="gramEnd"/>
      <w:r w:rsidRPr="001B6E4D">
        <w:rPr>
          <w:rFonts w:ascii="標楷體" w:eastAsia="標楷體" w:hAnsi="標楷體" w:hint="eastAsia"/>
          <w:kern w:val="0"/>
          <w:sz w:val="32"/>
          <w:szCs w:val="32"/>
        </w:rPr>
        <w:t>民眾常反映其陳述內容豐富，卻因人工記錄受限，導致書記官僅能摘錄要旨，未能完整呈現其認為重要的內容。若能透過語音辨識系統順暢完成逐字紀錄，相信民眾對於司法的滿意度與筆錄完成度都會更高。以上是我的心得，謝謝大家。</w:t>
      </w:r>
      <w:r w:rsidRPr="001B6E4D">
        <w:rPr>
          <w:rFonts w:ascii="標楷體" w:eastAsia="標楷體" w:hAnsi="標楷體" w:hint="eastAsia"/>
          <w:b/>
          <w:kern w:val="0"/>
          <w:sz w:val="32"/>
          <w:szCs w:val="32"/>
        </w:rPr>
        <w:t>司法院高金枝秘書長：</w:t>
      </w:r>
    </w:p>
    <w:p w14:paraId="2571680C"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我針對預算部分進行補充說明。目前每間法庭的建置成本約在60萬至70萬元之間，考量到各法院的案件質量與法官適應度，未來</w:t>
      </w:r>
      <w:proofErr w:type="gramStart"/>
      <w:r w:rsidRPr="001B6E4D">
        <w:rPr>
          <w:rFonts w:ascii="標楷體" w:eastAsia="標楷體" w:hAnsi="標楷體" w:hint="eastAsia"/>
          <w:kern w:val="0"/>
          <w:sz w:val="32"/>
          <w:szCs w:val="32"/>
        </w:rPr>
        <w:t>佈</w:t>
      </w:r>
      <w:proofErr w:type="gramEnd"/>
      <w:r w:rsidRPr="001B6E4D">
        <w:rPr>
          <w:rFonts w:ascii="標楷體" w:eastAsia="標楷體" w:hAnsi="標楷體" w:hint="eastAsia"/>
          <w:kern w:val="0"/>
          <w:sz w:val="32"/>
          <w:szCs w:val="32"/>
        </w:rPr>
        <w:t>建會集中於北三院、桃園、</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中等五大法院，台東、花蓮等案件較為單純的小型法院則暫不列入優先設置範圍。</w:t>
      </w:r>
    </w:p>
    <w:p w14:paraId="0AB16A88"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至於經費應由各法院自行編列或由司法院統籌編列，會計處目前正在評估兩者的執行利弊。原則上會先盤點出各院之必要需求法庭數量。由於五大法院在週一至週五</w:t>
      </w:r>
      <w:r w:rsidRPr="001B6E4D">
        <w:rPr>
          <w:rFonts w:ascii="標楷體" w:eastAsia="標楷體" w:hAnsi="標楷體" w:hint="eastAsia"/>
          <w:kern w:val="0"/>
          <w:sz w:val="32"/>
          <w:szCs w:val="32"/>
        </w:rPr>
        <w:lastRenderedPageBreak/>
        <w:t>的開庭率幾乎均</w:t>
      </w:r>
      <w:proofErr w:type="gramStart"/>
      <w:r w:rsidRPr="001B6E4D">
        <w:rPr>
          <w:rFonts w:ascii="標楷體" w:eastAsia="標楷體" w:hAnsi="標楷體" w:hint="eastAsia"/>
          <w:kern w:val="0"/>
          <w:sz w:val="32"/>
          <w:szCs w:val="32"/>
        </w:rPr>
        <w:t>處於滿庭狀態</w:t>
      </w:r>
      <w:proofErr w:type="gramEnd"/>
      <w:r w:rsidRPr="001B6E4D">
        <w:rPr>
          <w:rFonts w:ascii="標楷體" w:eastAsia="標楷體" w:hAnsi="標楷體" w:hint="eastAsia"/>
          <w:kern w:val="0"/>
          <w:sz w:val="32"/>
          <w:szCs w:val="32"/>
        </w:rPr>
        <w:t>，為利法官實務排程，未來目標希望能編列達各該大法院法庭總數的三分之二。</w:t>
      </w:r>
    </w:p>
    <w:p w14:paraId="53509289"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相較於每年預算遞增達4億元的法律扶助經費，建置語音辨識系統的費用實屬相對低廉。經保守估計，全國若建置達200間語音辨識法庭，整體預算約需1億多元。面對1億多元的經費編列，我們的財政壓力確實沉重，也正如委員所關切，必須務實考量法官與書記官的適應程度，確保公</w:t>
      </w:r>
      <w:proofErr w:type="gramStart"/>
      <w:r w:rsidRPr="001B6E4D">
        <w:rPr>
          <w:rFonts w:ascii="標楷體" w:eastAsia="標楷體" w:hAnsi="標楷體" w:hint="eastAsia"/>
          <w:kern w:val="0"/>
          <w:sz w:val="32"/>
          <w:szCs w:val="32"/>
        </w:rPr>
        <w:t>帑</w:t>
      </w:r>
      <w:proofErr w:type="gramEnd"/>
      <w:r w:rsidRPr="001B6E4D">
        <w:rPr>
          <w:rFonts w:ascii="標楷體" w:eastAsia="標楷體" w:hAnsi="標楷體" w:hint="eastAsia"/>
          <w:kern w:val="0"/>
          <w:sz w:val="32"/>
          <w:szCs w:val="32"/>
        </w:rPr>
        <w:t>花在刀口上。</w:t>
      </w:r>
    </w:p>
    <w:p w14:paraId="32609C32" w14:textId="77777777" w:rsidR="00C77DA6"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依據目前實務成效，尤其是國民法官法庭使用3年以來，法官與書記官對語音辨識系統皆已非常適應。</w:t>
      </w:r>
      <w:proofErr w:type="gramStart"/>
      <w:r w:rsidRPr="001B6E4D">
        <w:rPr>
          <w:rFonts w:ascii="標楷體" w:eastAsia="標楷體" w:hAnsi="標楷體" w:hint="eastAsia"/>
          <w:kern w:val="0"/>
          <w:sz w:val="32"/>
          <w:szCs w:val="32"/>
        </w:rPr>
        <w:t>同仁間常具備</w:t>
      </w:r>
      <w:proofErr w:type="gramEnd"/>
      <w:r w:rsidRPr="001B6E4D">
        <w:rPr>
          <w:rFonts w:ascii="標楷體" w:eastAsia="標楷體" w:hAnsi="標楷體" w:hint="eastAsia"/>
          <w:kern w:val="0"/>
          <w:sz w:val="32"/>
          <w:szCs w:val="32"/>
        </w:rPr>
        <w:t>正面擴散效應，當看到他人使用成效良好，便會提升跟進意願，我們也期盼能將此效應進一步放大。未來大型法院的書記官將能快速適應，主因在於其案件量繁重、開庭排</w:t>
      </w:r>
      <w:proofErr w:type="gramStart"/>
      <w:r w:rsidRPr="001B6E4D">
        <w:rPr>
          <w:rFonts w:ascii="標楷體" w:eastAsia="標楷體" w:hAnsi="標楷體" w:hint="eastAsia"/>
          <w:kern w:val="0"/>
          <w:sz w:val="32"/>
          <w:szCs w:val="32"/>
        </w:rPr>
        <w:t>程極滿</w:t>
      </w:r>
      <w:proofErr w:type="gramEnd"/>
      <w:r w:rsidRPr="001B6E4D">
        <w:rPr>
          <w:rFonts w:ascii="標楷體" w:eastAsia="標楷體" w:hAnsi="標楷體" w:hint="eastAsia"/>
          <w:kern w:val="0"/>
          <w:sz w:val="32"/>
          <w:szCs w:val="32"/>
        </w:rPr>
        <w:t>；相對而言，小型法院因案件量較少、開庭時間較短且案件的質也沒有那麼重，現階段可能還會使用傳統的方式記錄，因此暫不規劃</w:t>
      </w:r>
      <w:proofErr w:type="gramStart"/>
      <w:r w:rsidRPr="001B6E4D">
        <w:rPr>
          <w:rFonts w:ascii="標楷體" w:eastAsia="標楷體" w:hAnsi="標楷體" w:hint="eastAsia"/>
          <w:kern w:val="0"/>
          <w:sz w:val="32"/>
          <w:szCs w:val="32"/>
        </w:rPr>
        <w:t>佈</w:t>
      </w:r>
      <w:proofErr w:type="gramEnd"/>
      <w:r w:rsidRPr="001B6E4D">
        <w:rPr>
          <w:rFonts w:ascii="標楷體" w:eastAsia="標楷體" w:hAnsi="標楷體" w:hint="eastAsia"/>
          <w:kern w:val="0"/>
          <w:sz w:val="32"/>
          <w:szCs w:val="32"/>
        </w:rPr>
        <w:t>建，以優化預算配置。以上先向各位回應。</w:t>
      </w:r>
    </w:p>
    <w:p w14:paraId="4029E0A9" w14:textId="43EE91EA"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b/>
          <w:kern w:val="0"/>
          <w:sz w:val="32"/>
          <w:szCs w:val="32"/>
        </w:rPr>
        <w:t>司法院司法行政廳吳祚丞廳長：</w:t>
      </w:r>
    </w:p>
    <w:p w14:paraId="219C9242"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另補充說明授權金的問題：目前評估每間法庭建置時的軟體授權金約為25萬元，此費用為一次性買斷經費，不含硬體設備。廠商先前曾表示，未來若建置量大，授權金可望有進一步調降的空間（約至每間20萬元）。</w:t>
      </w:r>
    </w:p>
    <w:p w14:paraId="1ACA4D1B" w14:textId="77777777" w:rsidR="00C77DA6" w:rsidRPr="001B6E4D" w:rsidRDefault="00B921E8" w:rsidP="003D1018">
      <w:pPr>
        <w:overflowPunct w:val="0"/>
        <w:spacing w:line="460" w:lineRule="exact"/>
        <w:ind w:leftChars="296" w:left="710"/>
        <w:jc w:val="both"/>
        <w:rPr>
          <w:rFonts w:ascii="標楷體" w:eastAsia="標楷體" w:hAnsi="標楷體"/>
          <w:kern w:val="0"/>
          <w:sz w:val="32"/>
          <w:szCs w:val="32"/>
        </w:rPr>
      </w:pPr>
      <w:proofErr w:type="gramStart"/>
      <w:r w:rsidRPr="001B6E4D">
        <w:rPr>
          <w:rFonts w:ascii="標楷體" w:eastAsia="標楷體" w:hAnsi="標楷體" w:hint="eastAsia"/>
          <w:kern w:val="0"/>
          <w:sz w:val="32"/>
          <w:szCs w:val="32"/>
        </w:rPr>
        <w:t>此外，</w:t>
      </w:r>
      <w:proofErr w:type="gramEnd"/>
      <w:r w:rsidRPr="001B6E4D">
        <w:rPr>
          <w:rFonts w:ascii="標楷體" w:eastAsia="標楷體" w:hAnsi="標楷體" w:hint="eastAsia"/>
          <w:kern w:val="0"/>
          <w:sz w:val="32"/>
          <w:szCs w:val="32"/>
        </w:rPr>
        <w:t>系統建置完成後的年度維護與升級費用，若以目前既有66間法庭的規模核算，每間法庭每年約需接近10萬元。未來若</w:t>
      </w:r>
      <w:proofErr w:type="gramStart"/>
      <w:r w:rsidRPr="001B6E4D">
        <w:rPr>
          <w:rFonts w:ascii="標楷體" w:eastAsia="標楷體" w:hAnsi="標楷體" w:hint="eastAsia"/>
          <w:kern w:val="0"/>
          <w:sz w:val="32"/>
          <w:szCs w:val="32"/>
        </w:rPr>
        <w:t>採</w:t>
      </w:r>
      <w:proofErr w:type="gramEnd"/>
      <w:r w:rsidRPr="001B6E4D">
        <w:rPr>
          <w:rFonts w:ascii="標楷體" w:eastAsia="標楷體" w:hAnsi="標楷體" w:hint="eastAsia"/>
          <w:kern w:val="0"/>
          <w:sz w:val="32"/>
          <w:szCs w:val="32"/>
        </w:rPr>
        <w:t>行大規模鋪設，我們將擁有更大的議價籌碼，得以與投標廠商爭取更具效益的優惠價格。謝謝。</w:t>
      </w:r>
    </w:p>
    <w:p w14:paraId="363673A9" w14:textId="170AF79F"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b/>
          <w:kern w:val="0"/>
          <w:sz w:val="32"/>
          <w:szCs w:val="32"/>
        </w:rPr>
        <w:t>立法院張雅琳委員：</w:t>
      </w:r>
    </w:p>
    <w:p w14:paraId="61FFDB5B"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proofErr w:type="gramStart"/>
      <w:r w:rsidRPr="001B6E4D">
        <w:rPr>
          <w:rFonts w:ascii="標楷體" w:eastAsia="標楷體" w:hAnsi="標楷體" w:hint="eastAsia"/>
          <w:kern w:val="0"/>
          <w:sz w:val="32"/>
          <w:szCs w:val="32"/>
        </w:rPr>
        <w:t>在場的</w:t>
      </w:r>
      <w:proofErr w:type="gramEnd"/>
      <w:r w:rsidRPr="001B6E4D">
        <w:rPr>
          <w:rFonts w:ascii="標楷體" w:eastAsia="標楷體" w:hAnsi="標楷體" w:hint="eastAsia"/>
          <w:kern w:val="0"/>
          <w:sz w:val="32"/>
          <w:szCs w:val="32"/>
        </w:rPr>
        <w:t>各委員辦公室基本上均高度支持建置語音辨識系統，我們提出問題的核心目的，是希望預算</w:t>
      </w:r>
      <w:proofErr w:type="gramStart"/>
      <w:r w:rsidRPr="001B6E4D">
        <w:rPr>
          <w:rFonts w:ascii="標楷體" w:eastAsia="標楷體" w:hAnsi="標楷體" w:hint="eastAsia"/>
          <w:kern w:val="0"/>
          <w:sz w:val="32"/>
          <w:szCs w:val="32"/>
        </w:rPr>
        <w:t>佈</w:t>
      </w:r>
      <w:proofErr w:type="gramEnd"/>
      <w:r w:rsidRPr="001B6E4D">
        <w:rPr>
          <w:rFonts w:ascii="標楷體" w:eastAsia="標楷體" w:hAnsi="標楷體" w:hint="eastAsia"/>
          <w:kern w:val="0"/>
          <w:sz w:val="32"/>
          <w:szCs w:val="32"/>
        </w:rPr>
        <w:t>建下去後能精</w:t>
      </w:r>
      <w:proofErr w:type="gramStart"/>
      <w:r w:rsidRPr="001B6E4D">
        <w:rPr>
          <w:rFonts w:ascii="標楷體" w:eastAsia="標楷體" w:hAnsi="標楷體" w:hint="eastAsia"/>
          <w:kern w:val="0"/>
          <w:sz w:val="32"/>
          <w:szCs w:val="32"/>
        </w:rPr>
        <w:t>準</w:t>
      </w:r>
      <w:proofErr w:type="gramEnd"/>
      <w:r w:rsidRPr="001B6E4D">
        <w:rPr>
          <w:rFonts w:ascii="標楷體" w:eastAsia="標楷體" w:hAnsi="標楷體" w:hint="eastAsia"/>
          <w:kern w:val="0"/>
          <w:sz w:val="32"/>
          <w:szCs w:val="32"/>
        </w:rPr>
        <w:t>協助到基層書記官。</w:t>
      </w:r>
      <w:r w:rsidRPr="001B6E4D">
        <w:rPr>
          <w:rFonts w:ascii="標楷體" w:eastAsia="標楷體" w:hAnsi="標楷體"/>
          <w:kern w:val="0"/>
          <w:sz w:val="32"/>
          <w:szCs w:val="32"/>
        </w:rPr>
        <w:t>剛剛我聽起來還不</w:t>
      </w:r>
      <w:r w:rsidRPr="001B6E4D">
        <w:rPr>
          <w:rFonts w:ascii="標楷體" w:eastAsia="標楷體" w:hAnsi="標楷體" w:hint="eastAsia"/>
          <w:kern w:val="0"/>
          <w:sz w:val="32"/>
          <w:szCs w:val="32"/>
        </w:rPr>
        <w:t>是</w:t>
      </w:r>
      <w:r w:rsidRPr="001B6E4D">
        <w:rPr>
          <w:rFonts w:ascii="標楷體" w:eastAsia="標楷體" w:hAnsi="標楷體"/>
          <w:kern w:val="0"/>
          <w:sz w:val="32"/>
          <w:szCs w:val="32"/>
        </w:rPr>
        <w:t>那麼確</w:t>
      </w:r>
      <w:r w:rsidRPr="001B6E4D">
        <w:rPr>
          <w:rFonts w:ascii="標楷體" w:eastAsia="標楷體" w:hAnsi="標楷體"/>
          <w:kern w:val="0"/>
          <w:sz w:val="32"/>
          <w:szCs w:val="32"/>
        </w:rPr>
        <w:lastRenderedPageBreak/>
        <w:t>定有沒有針對</w:t>
      </w:r>
      <w:r w:rsidRPr="001B6E4D">
        <w:rPr>
          <w:rFonts w:ascii="標楷體" w:eastAsia="標楷體" w:hAnsi="標楷體" w:hint="eastAsia"/>
          <w:kern w:val="0"/>
          <w:sz w:val="32"/>
          <w:szCs w:val="32"/>
        </w:rPr>
        <w:t>試用</w:t>
      </w:r>
      <w:r w:rsidRPr="001B6E4D">
        <w:rPr>
          <w:rFonts w:ascii="標楷體" w:eastAsia="標楷體" w:hAnsi="標楷體"/>
          <w:kern w:val="0"/>
          <w:sz w:val="32"/>
          <w:szCs w:val="32"/>
        </w:rPr>
        <w:t>66間</w:t>
      </w:r>
      <w:r w:rsidRPr="001B6E4D">
        <w:rPr>
          <w:rFonts w:ascii="標楷體" w:eastAsia="標楷體" w:hAnsi="標楷體" w:hint="eastAsia"/>
          <w:kern w:val="0"/>
          <w:sz w:val="32"/>
          <w:szCs w:val="32"/>
        </w:rPr>
        <w:t>法庭</w:t>
      </w:r>
      <w:r w:rsidRPr="001B6E4D">
        <w:rPr>
          <w:rFonts w:ascii="標楷體" w:eastAsia="標楷體" w:hAnsi="標楷體"/>
          <w:kern w:val="0"/>
          <w:sz w:val="32"/>
          <w:szCs w:val="32"/>
        </w:rPr>
        <w:t>的書記官</w:t>
      </w:r>
      <w:r w:rsidRPr="001B6E4D">
        <w:rPr>
          <w:rFonts w:ascii="標楷體" w:eastAsia="標楷體" w:hAnsi="標楷體" w:hint="eastAsia"/>
          <w:kern w:val="0"/>
          <w:sz w:val="32"/>
          <w:szCs w:val="32"/>
        </w:rPr>
        <w:t>來瞭</w:t>
      </w:r>
      <w:r w:rsidRPr="001B6E4D">
        <w:rPr>
          <w:rFonts w:ascii="標楷體" w:eastAsia="標楷體" w:hAnsi="標楷體"/>
          <w:kern w:val="0"/>
          <w:sz w:val="32"/>
          <w:szCs w:val="32"/>
        </w:rPr>
        <w:t>解</w:t>
      </w:r>
      <w:r w:rsidRPr="001B6E4D">
        <w:rPr>
          <w:rFonts w:ascii="標楷體" w:eastAsia="標楷體" w:hAnsi="標楷體" w:hint="eastAsia"/>
          <w:kern w:val="0"/>
          <w:sz w:val="32"/>
          <w:szCs w:val="32"/>
        </w:rPr>
        <w:t>他</w:t>
      </w:r>
      <w:r w:rsidRPr="001B6E4D">
        <w:rPr>
          <w:rFonts w:ascii="標楷體" w:eastAsia="標楷體" w:hAnsi="標楷體"/>
          <w:kern w:val="0"/>
          <w:sz w:val="32"/>
          <w:szCs w:val="32"/>
        </w:rPr>
        <w:t>們滿意</w:t>
      </w:r>
      <w:r w:rsidRPr="001B6E4D">
        <w:rPr>
          <w:rFonts w:ascii="標楷體" w:eastAsia="標楷體" w:hAnsi="標楷體" w:hint="eastAsia"/>
          <w:kern w:val="0"/>
          <w:sz w:val="32"/>
          <w:szCs w:val="32"/>
        </w:rPr>
        <w:t>度，</w:t>
      </w:r>
      <w:r w:rsidRPr="001B6E4D">
        <w:rPr>
          <w:rFonts w:ascii="標楷體" w:eastAsia="標楷體" w:hAnsi="標楷體"/>
          <w:kern w:val="0"/>
          <w:sz w:val="32"/>
          <w:szCs w:val="32"/>
        </w:rPr>
        <w:t>現在顯然有一個落差，就是我們覺得很好</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但是書記官工會的這群人有疑慮</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這個</w:t>
      </w:r>
      <w:r w:rsidRPr="001B6E4D">
        <w:rPr>
          <w:rFonts w:ascii="標楷體" w:eastAsia="標楷體" w:hAnsi="標楷體" w:hint="eastAsia"/>
          <w:kern w:val="0"/>
          <w:sz w:val="32"/>
          <w:szCs w:val="32"/>
        </w:rPr>
        <w:t>落差</w:t>
      </w:r>
      <w:r w:rsidRPr="001B6E4D">
        <w:rPr>
          <w:rFonts w:ascii="標楷體" w:eastAsia="標楷體" w:hAnsi="標楷體"/>
          <w:kern w:val="0"/>
          <w:sz w:val="32"/>
          <w:szCs w:val="32"/>
        </w:rPr>
        <w:t>到底在哪裡？顯然如果我們今天要</w:t>
      </w:r>
      <w:proofErr w:type="gramStart"/>
      <w:r w:rsidRPr="001B6E4D">
        <w:rPr>
          <w:rFonts w:ascii="標楷體" w:eastAsia="標楷體" w:hAnsi="標楷體" w:hint="eastAsia"/>
          <w:kern w:val="0"/>
          <w:sz w:val="32"/>
          <w:szCs w:val="32"/>
        </w:rPr>
        <w:t>佈</w:t>
      </w:r>
      <w:proofErr w:type="gramEnd"/>
      <w:r w:rsidRPr="001B6E4D">
        <w:rPr>
          <w:rFonts w:ascii="標楷體" w:eastAsia="標楷體" w:hAnsi="標楷體" w:hint="eastAsia"/>
          <w:kern w:val="0"/>
          <w:sz w:val="32"/>
          <w:szCs w:val="32"/>
        </w:rPr>
        <w:t>建下去</w:t>
      </w:r>
      <w:r w:rsidRPr="001B6E4D">
        <w:rPr>
          <w:rFonts w:ascii="標楷體" w:eastAsia="標楷體" w:hAnsi="標楷體"/>
          <w:kern w:val="0"/>
          <w:sz w:val="32"/>
          <w:szCs w:val="32"/>
        </w:rPr>
        <w:t>就應該要告訴大家</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很多</w:t>
      </w:r>
      <w:r w:rsidRPr="001B6E4D">
        <w:rPr>
          <w:rFonts w:ascii="標楷體" w:eastAsia="標楷體" w:hAnsi="標楷體" w:hint="eastAsia"/>
          <w:kern w:val="0"/>
          <w:sz w:val="32"/>
          <w:szCs w:val="32"/>
        </w:rPr>
        <w:t>試用者</w:t>
      </w:r>
      <w:r w:rsidRPr="001B6E4D">
        <w:rPr>
          <w:rFonts w:ascii="標楷體" w:eastAsia="標楷體" w:hAnsi="標楷體"/>
          <w:kern w:val="0"/>
          <w:sz w:val="32"/>
          <w:szCs w:val="32"/>
        </w:rPr>
        <w:t>滿意度很好，透過這些已經在使用的書記官</w:t>
      </w:r>
      <w:r w:rsidRPr="001B6E4D">
        <w:rPr>
          <w:rFonts w:ascii="標楷體" w:eastAsia="標楷體" w:hAnsi="標楷體" w:hint="eastAsia"/>
          <w:kern w:val="0"/>
          <w:sz w:val="32"/>
          <w:szCs w:val="32"/>
        </w:rPr>
        <w:t>來</w:t>
      </w:r>
      <w:r w:rsidRPr="001B6E4D">
        <w:rPr>
          <w:rFonts w:ascii="標楷體" w:eastAsia="標楷體" w:hAnsi="標楷體"/>
          <w:kern w:val="0"/>
          <w:sz w:val="32"/>
          <w:szCs w:val="32"/>
        </w:rPr>
        <w:t>幫助</w:t>
      </w:r>
      <w:r w:rsidRPr="001B6E4D">
        <w:rPr>
          <w:rFonts w:ascii="標楷體" w:eastAsia="標楷體" w:hAnsi="標楷體" w:hint="eastAsia"/>
          <w:kern w:val="0"/>
          <w:sz w:val="32"/>
          <w:szCs w:val="32"/>
        </w:rPr>
        <w:t>作</w:t>
      </w:r>
      <w:r w:rsidRPr="001B6E4D">
        <w:rPr>
          <w:rFonts w:ascii="標楷體" w:eastAsia="標楷體" w:hAnsi="標楷體"/>
          <w:kern w:val="0"/>
          <w:sz w:val="32"/>
          <w:szCs w:val="32"/>
        </w:rPr>
        <w:t>政策的宣傳，這才有可能讓</w:t>
      </w:r>
      <w:r w:rsidRPr="001B6E4D">
        <w:rPr>
          <w:rFonts w:ascii="標楷體" w:eastAsia="標楷體" w:hAnsi="標楷體" w:hint="eastAsia"/>
          <w:kern w:val="0"/>
          <w:sz w:val="32"/>
          <w:szCs w:val="32"/>
        </w:rPr>
        <w:t>政策</w:t>
      </w:r>
      <w:r w:rsidRPr="001B6E4D">
        <w:rPr>
          <w:rFonts w:ascii="標楷體" w:eastAsia="標楷體" w:hAnsi="標楷體"/>
          <w:kern w:val="0"/>
          <w:sz w:val="32"/>
          <w:szCs w:val="32"/>
        </w:rPr>
        <w:t>在推廣時減輕一點疑慮</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如果透過司法院上對下的溝通，大家會覺得</w:t>
      </w:r>
      <w:r w:rsidRPr="001B6E4D">
        <w:rPr>
          <w:rFonts w:ascii="標楷體" w:eastAsia="標楷體" w:hAnsi="標楷體" w:hint="eastAsia"/>
          <w:kern w:val="0"/>
          <w:sz w:val="32"/>
          <w:szCs w:val="32"/>
        </w:rPr>
        <w:t>是行政</w:t>
      </w:r>
      <w:r w:rsidRPr="001B6E4D">
        <w:rPr>
          <w:rFonts w:ascii="標楷體" w:eastAsia="標楷體" w:hAnsi="標楷體"/>
          <w:kern w:val="0"/>
          <w:sz w:val="32"/>
          <w:szCs w:val="32"/>
        </w:rPr>
        <w:t>指令下來</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必須配合，但如果</w:t>
      </w:r>
      <w:r w:rsidRPr="001B6E4D">
        <w:rPr>
          <w:rFonts w:ascii="標楷體" w:eastAsia="標楷體" w:hAnsi="標楷體" w:hint="eastAsia"/>
          <w:kern w:val="0"/>
          <w:sz w:val="32"/>
          <w:szCs w:val="32"/>
        </w:rPr>
        <w:t>同儕</w:t>
      </w:r>
      <w:r w:rsidRPr="001B6E4D">
        <w:rPr>
          <w:rFonts w:ascii="標楷體" w:eastAsia="標楷體" w:hAnsi="標楷體"/>
          <w:kern w:val="0"/>
          <w:sz w:val="32"/>
          <w:szCs w:val="32"/>
        </w:rPr>
        <w:t>都覺得很</w:t>
      </w:r>
      <w:proofErr w:type="gramStart"/>
      <w:r w:rsidRPr="001B6E4D">
        <w:rPr>
          <w:rFonts w:ascii="標楷體" w:eastAsia="標楷體" w:hAnsi="標楷體"/>
          <w:kern w:val="0"/>
          <w:sz w:val="32"/>
          <w:szCs w:val="32"/>
        </w:rPr>
        <w:t>讚</w:t>
      </w:r>
      <w:proofErr w:type="gramEnd"/>
      <w:r w:rsidRPr="001B6E4D">
        <w:rPr>
          <w:rFonts w:ascii="標楷體" w:eastAsia="標楷體" w:hAnsi="標楷體"/>
          <w:kern w:val="0"/>
          <w:sz w:val="32"/>
          <w:szCs w:val="32"/>
        </w:rPr>
        <w:t>、</w:t>
      </w:r>
      <w:proofErr w:type="gramStart"/>
      <w:r w:rsidRPr="001B6E4D">
        <w:rPr>
          <w:rFonts w:ascii="標楷體" w:eastAsia="標楷體" w:hAnsi="標楷體"/>
          <w:kern w:val="0"/>
          <w:sz w:val="32"/>
          <w:szCs w:val="32"/>
        </w:rPr>
        <w:t>很</w:t>
      </w:r>
      <w:proofErr w:type="gramEnd"/>
      <w:r w:rsidRPr="001B6E4D">
        <w:rPr>
          <w:rFonts w:ascii="標楷體" w:eastAsia="標楷體" w:hAnsi="標楷體"/>
          <w:kern w:val="0"/>
          <w:sz w:val="32"/>
          <w:szCs w:val="32"/>
        </w:rPr>
        <w:t>棒，</w:t>
      </w:r>
      <w:r w:rsidRPr="001B6E4D">
        <w:rPr>
          <w:rFonts w:ascii="標楷體" w:eastAsia="標楷體" w:hAnsi="標楷體" w:hint="eastAsia"/>
          <w:kern w:val="0"/>
          <w:sz w:val="32"/>
          <w:szCs w:val="32"/>
        </w:rPr>
        <w:t>就會成為政策的支持者。所以</w:t>
      </w:r>
      <w:r w:rsidRPr="001B6E4D">
        <w:rPr>
          <w:rFonts w:ascii="標楷體" w:eastAsia="標楷體" w:hAnsi="標楷體"/>
          <w:kern w:val="0"/>
          <w:sz w:val="32"/>
          <w:szCs w:val="32"/>
        </w:rPr>
        <w:t>我才會一直想瞭解我們已經使用</w:t>
      </w:r>
      <w:r w:rsidRPr="001B6E4D">
        <w:rPr>
          <w:rFonts w:ascii="標楷體" w:eastAsia="標楷體" w:hAnsi="標楷體" w:hint="eastAsia"/>
          <w:kern w:val="0"/>
          <w:sz w:val="32"/>
          <w:szCs w:val="32"/>
        </w:rPr>
        <w:t>6</w:t>
      </w:r>
      <w:r w:rsidRPr="001B6E4D">
        <w:rPr>
          <w:rFonts w:ascii="標楷體" w:eastAsia="標楷體" w:hAnsi="標楷體"/>
          <w:kern w:val="0"/>
          <w:sz w:val="32"/>
          <w:szCs w:val="32"/>
        </w:rPr>
        <w:t>6間</w:t>
      </w:r>
      <w:r w:rsidRPr="001B6E4D">
        <w:rPr>
          <w:rFonts w:ascii="標楷體" w:eastAsia="標楷體" w:hAnsi="標楷體" w:hint="eastAsia"/>
          <w:kern w:val="0"/>
          <w:sz w:val="32"/>
          <w:szCs w:val="32"/>
        </w:rPr>
        <w:t>法庭</w:t>
      </w:r>
      <w:r w:rsidRPr="001B6E4D">
        <w:rPr>
          <w:rFonts w:ascii="標楷體" w:eastAsia="標楷體" w:hAnsi="標楷體"/>
          <w:kern w:val="0"/>
          <w:sz w:val="32"/>
          <w:szCs w:val="32"/>
        </w:rPr>
        <w:t>的書記官到底滿意度是什麼？他們覺得還有哪些</w:t>
      </w:r>
      <w:r w:rsidRPr="001B6E4D">
        <w:rPr>
          <w:rFonts w:ascii="標楷體" w:eastAsia="標楷體" w:hAnsi="標楷體" w:hint="eastAsia"/>
          <w:kern w:val="0"/>
          <w:sz w:val="32"/>
          <w:szCs w:val="32"/>
        </w:rPr>
        <w:t>部分</w:t>
      </w:r>
      <w:r w:rsidRPr="001B6E4D">
        <w:rPr>
          <w:rFonts w:ascii="標楷體" w:eastAsia="標楷體" w:hAnsi="標楷體"/>
          <w:kern w:val="0"/>
          <w:sz w:val="32"/>
          <w:szCs w:val="32"/>
        </w:rPr>
        <w:t>要做調整？這會牽扯到接下來的預算編列，你們剛剛有提到會做一些調查，調查大概</w:t>
      </w:r>
      <w:proofErr w:type="gramStart"/>
      <w:r w:rsidRPr="001B6E4D">
        <w:rPr>
          <w:rFonts w:ascii="標楷體" w:eastAsia="標楷體" w:hAnsi="標楷體"/>
          <w:kern w:val="0"/>
          <w:sz w:val="32"/>
          <w:szCs w:val="32"/>
        </w:rPr>
        <w:t>多少的</w:t>
      </w:r>
      <w:proofErr w:type="gramEnd"/>
      <w:r w:rsidRPr="001B6E4D">
        <w:rPr>
          <w:rFonts w:ascii="標楷體" w:eastAsia="標楷體" w:hAnsi="標楷體"/>
          <w:kern w:val="0"/>
          <w:sz w:val="32"/>
          <w:szCs w:val="32"/>
        </w:rPr>
        <w:t>法</w:t>
      </w:r>
      <w:r w:rsidRPr="001B6E4D">
        <w:rPr>
          <w:rFonts w:ascii="標楷體" w:eastAsia="標楷體" w:hAnsi="標楷體" w:hint="eastAsia"/>
          <w:kern w:val="0"/>
          <w:sz w:val="32"/>
          <w:szCs w:val="32"/>
        </w:rPr>
        <w:t>庭</w:t>
      </w:r>
      <w:r w:rsidRPr="001B6E4D">
        <w:rPr>
          <w:rFonts w:ascii="標楷體" w:eastAsia="標楷體" w:hAnsi="標楷體"/>
          <w:kern w:val="0"/>
          <w:sz w:val="32"/>
          <w:szCs w:val="32"/>
        </w:rPr>
        <w:t>會需要</w:t>
      </w:r>
      <w:r w:rsidRPr="001B6E4D">
        <w:rPr>
          <w:rFonts w:ascii="標楷體" w:eastAsia="標楷體" w:hAnsi="標楷體" w:hint="eastAsia"/>
          <w:kern w:val="0"/>
          <w:sz w:val="32"/>
          <w:szCs w:val="32"/>
        </w:rPr>
        <w:t>這套系統，</w:t>
      </w:r>
      <w:r w:rsidRPr="001B6E4D">
        <w:rPr>
          <w:rFonts w:ascii="標楷體" w:eastAsia="標楷體" w:hAnsi="標楷體"/>
          <w:kern w:val="0"/>
          <w:sz w:val="32"/>
          <w:szCs w:val="32"/>
        </w:rPr>
        <w:t>接下來就會連結到</w:t>
      </w:r>
      <w:r w:rsidRPr="001B6E4D">
        <w:rPr>
          <w:rFonts w:ascii="標楷體" w:eastAsia="標楷體" w:hAnsi="標楷體" w:hint="eastAsia"/>
          <w:kern w:val="0"/>
          <w:sz w:val="32"/>
          <w:szCs w:val="32"/>
        </w:rPr>
        <w:t>我們</w:t>
      </w:r>
      <w:r w:rsidRPr="001B6E4D">
        <w:rPr>
          <w:rFonts w:ascii="標楷體" w:eastAsia="標楷體" w:hAnsi="標楷體"/>
          <w:kern w:val="0"/>
          <w:sz w:val="32"/>
          <w:szCs w:val="32"/>
        </w:rPr>
        <w:t>在審預算時要如何審理</w:t>
      </w:r>
      <w:r w:rsidRPr="001B6E4D">
        <w:rPr>
          <w:rFonts w:ascii="標楷體" w:eastAsia="標楷體" w:hAnsi="標楷體" w:hint="eastAsia"/>
          <w:kern w:val="0"/>
          <w:sz w:val="32"/>
          <w:szCs w:val="32"/>
        </w:rPr>
        <w:t>，既然你們已經在編預算、也有做一些調查和規劃，大概是什麼時候會有相關的規劃內容？是不是也能提供到司法及法制委員會，讓大家更瞭解，之後在審理預算時也更</w:t>
      </w:r>
      <w:proofErr w:type="gramStart"/>
      <w:r w:rsidRPr="001B6E4D">
        <w:rPr>
          <w:rFonts w:ascii="標楷體" w:eastAsia="標楷體" w:hAnsi="標楷體" w:hint="eastAsia"/>
          <w:kern w:val="0"/>
          <w:sz w:val="32"/>
          <w:szCs w:val="32"/>
        </w:rPr>
        <w:t>清楚，</w:t>
      </w:r>
      <w:proofErr w:type="gramEnd"/>
      <w:r w:rsidRPr="001B6E4D">
        <w:rPr>
          <w:rFonts w:ascii="標楷體" w:eastAsia="標楷體" w:hAnsi="標楷體" w:hint="eastAsia"/>
          <w:kern w:val="0"/>
          <w:sz w:val="32"/>
          <w:szCs w:val="32"/>
        </w:rPr>
        <w:t>有一個依據可以相信。</w:t>
      </w:r>
    </w:p>
    <w:p w14:paraId="2F8F1E68"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proofErr w:type="gramStart"/>
      <w:r w:rsidRPr="001B6E4D">
        <w:rPr>
          <w:rFonts w:ascii="標楷體" w:eastAsia="標楷體" w:hAnsi="標楷體" w:hint="eastAsia"/>
          <w:kern w:val="0"/>
          <w:sz w:val="32"/>
          <w:szCs w:val="32"/>
        </w:rPr>
        <w:t>再者，</w:t>
      </w:r>
      <w:proofErr w:type="gramEnd"/>
      <w:r w:rsidRPr="001B6E4D">
        <w:rPr>
          <w:rFonts w:ascii="標楷體" w:eastAsia="標楷體" w:hAnsi="標楷體" w:hint="eastAsia"/>
          <w:kern w:val="0"/>
          <w:sz w:val="32"/>
          <w:szCs w:val="32"/>
        </w:rPr>
        <w:t>我認為目前還有一個落差需要</w:t>
      </w:r>
      <w:proofErr w:type="gramStart"/>
      <w:r w:rsidRPr="001B6E4D">
        <w:rPr>
          <w:rFonts w:ascii="標楷體" w:eastAsia="標楷體" w:hAnsi="標楷體" w:hint="eastAsia"/>
          <w:kern w:val="0"/>
          <w:sz w:val="32"/>
          <w:szCs w:val="32"/>
        </w:rPr>
        <w:t>釐</w:t>
      </w:r>
      <w:proofErr w:type="gramEnd"/>
      <w:r w:rsidRPr="001B6E4D">
        <w:rPr>
          <w:rFonts w:ascii="標楷體" w:eastAsia="標楷體" w:hAnsi="標楷體" w:hint="eastAsia"/>
          <w:kern w:val="0"/>
          <w:sz w:val="32"/>
          <w:szCs w:val="32"/>
        </w:rPr>
        <w:t>清：雖然現在已經試用的書記官普遍覺得</w:t>
      </w:r>
      <w:proofErr w:type="gramStart"/>
      <w:r w:rsidRPr="001B6E4D">
        <w:rPr>
          <w:rFonts w:ascii="標楷體" w:eastAsia="標楷體" w:hAnsi="標楷體" w:hint="eastAsia"/>
          <w:kern w:val="0"/>
          <w:sz w:val="32"/>
          <w:szCs w:val="32"/>
        </w:rPr>
        <w:t>滿意，</w:t>
      </w:r>
      <w:proofErr w:type="gramEnd"/>
      <w:r w:rsidRPr="001B6E4D">
        <w:rPr>
          <w:rFonts w:ascii="標楷體" w:eastAsia="標楷體" w:hAnsi="標楷體" w:hint="eastAsia"/>
          <w:kern w:val="0"/>
          <w:sz w:val="32"/>
          <w:szCs w:val="32"/>
        </w:rPr>
        <w:t>但在語音辨識系統導入的過程中，書記官們究竟感受到了哪些陣痛？聽起來部分書記官喜歡，但也有部分表示不喜歡，那麼這段陣痛期的具體核心問題是什麼？</w:t>
      </w:r>
    </w:p>
    <w:p w14:paraId="208E4849"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唯有把陣痛期分析</w:t>
      </w:r>
      <w:proofErr w:type="gramStart"/>
      <w:r w:rsidRPr="001B6E4D">
        <w:rPr>
          <w:rFonts w:ascii="標楷體" w:eastAsia="標楷體" w:hAnsi="標楷體" w:hint="eastAsia"/>
          <w:kern w:val="0"/>
          <w:sz w:val="32"/>
          <w:szCs w:val="32"/>
        </w:rPr>
        <w:t>清楚，</w:t>
      </w:r>
      <w:proofErr w:type="gramEnd"/>
      <w:r w:rsidRPr="001B6E4D">
        <w:rPr>
          <w:rFonts w:ascii="標楷體" w:eastAsia="標楷體" w:hAnsi="標楷體" w:hint="eastAsia"/>
          <w:kern w:val="0"/>
          <w:sz w:val="32"/>
          <w:szCs w:val="32"/>
        </w:rPr>
        <w:t>我們才能明確知道接下來要進行大規模導入時，該如何做好相對應的教育訓練與支持陪伴機制。這樣</w:t>
      </w:r>
      <w:proofErr w:type="gramStart"/>
      <w:r w:rsidRPr="001B6E4D">
        <w:rPr>
          <w:rFonts w:ascii="標楷體" w:eastAsia="標楷體" w:hAnsi="標楷體" w:hint="eastAsia"/>
          <w:kern w:val="0"/>
          <w:sz w:val="32"/>
          <w:szCs w:val="32"/>
        </w:rPr>
        <w:t>一來，</w:t>
      </w:r>
      <w:proofErr w:type="gramEnd"/>
      <w:r w:rsidRPr="001B6E4D">
        <w:rPr>
          <w:rFonts w:ascii="標楷體" w:eastAsia="標楷體" w:hAnsi="標楷體" w:hint="eastAsia"/>
          <w:kern w:val="0"/>
          <w:sz w:val="32"/>
          <w:szCs w:val="32"/>
        </w:rPr>
        <w:t>整個新政策在全面上路時更明瞭。</w:t>
      </w:r>
    </w:p>
    <w:p w14:paraId="77EB716D" w14:textId="77777777" w:rsidR="00C77DA6"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最後，還是要回應基層關切的總機語音客服系統。從資料來看，這類庶務工作確實造成書記官極大的工作負擔。剛才聽到司法院已有規劃朝此方向</w:t>
      </w:r>
      <w:proofErr w:type="gramStart"/>
      <w:r w:rsidRPr="001B6E4D">
        <w:rPr>
          <w:rFonts w:ascii="標楷體" w:eastAsia="標楷體" w:hAnsi="標楷體" w:hint="eastAsia"/>
          <w:kern w:val="0"/>
          <w:sz w:val="32"/>
          <w:szCs w:val="32"/>
        </w:rPr>
        <w:t>研</w:t>
      </w:r>
      <w:proofErr w:type="gramEnd"/>
      <w:r w:rsidRPr="001B6E4D">
        <w:rPr>
          <w:rFonts w:ascii="標楷體" w:eastAsia="標楷體" w:hAnsi="標楷體" w:hint="eastAsia"/>
          <w:kern w:val="0"/>
          <w:sz w:val="32"/>
          <w:szCs w:val="32"/>
        </w:rPr>
        <w:t>議，我不太確定期程大概是什麼時候？如果有期程也可以簡單說明一下。謝謝</w:t>
      </w:r>
    </w:p>
    <w:p w14:paraId="4A77892D" w14:textId="18E3D83E"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b/>
          <w:kern w:val="0"/>
          <w:sz w:val="32"/>
          <w:szCs w:val="32"/>
        </w:rPr>
        <w:lastRenderedPageBreak/>
        <w:t>司法院高金枝秘書長：</w:t>
      </w:r>
    </w:p>
    <w:p w14:paraId="66D65B9C"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剛剛</w:t>
      </w:r>
      <w:r w:rsidRPr="001B6E4D">
        <w:rPr>
          <w:rFonts w:ascii="標楷體" w:eastAsia="標楷體" w:hAnsi="標楷體" w:hint="eastAsia"/>
          <w:kern w:val="0"/>
          <w:sz w:val="32"/>
          <w:szCs w:val="32"/>
        </w:rPr>
        <w:t>工會</w:t>
      </w:r>
      <w:r w:rsidRPr="001B6E4D">
        <w:rPr>
          <w:rFonts w:ascii="標楷體" w:eastAsia="標楷體" w:hAnsi="標楷體"/>
          <w:kern w:val="0"/>
          <w:sz w:val="32"/>
          <w:szCs w:val="32"/>
        </w:rPr>
        <w:t>所提到的問題</w:t>
      </w:r>
      <w:r w:rsidRPr="001B6E4D">
        <w:rPr>
          <w:rFonts w:ascii="標楷體" w:eastAsia="標楷體" w:hAnsi="標楷體" w:hint="eastAsia"/>
          <w:kern w:val="0"/>
          <w:sz w:val="32"/>
          <w:szCs w:val="32"/>
        </w:rPr>
        <w:t>，第一，我必須說明，從工會使用的文字可以看出，他們對於語音辨識系統的實際操作並不瞭解。工會成員如果真正進來現場看過，就會明白系統的運作方式；正因為不夠瞭解，才會產生許多疑慮。我不知道該文的發言者是誰，否則我一定會邀請他親自來看。</w:t>
      </w:r>
    </w:p>
    <w:p w14:paraId="48856ED3"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第二，關於書記官最頭痛、最不喜歡的工作：第一是開庭，第二是接電話。我相信各位都知道，現在接電話這個工作，語音</w:t>
      </w:r>
      <w:proofErr w:type="gramStart"/>
      <w:r w:rsidRPr="001B6E4D">
        <w:rPr>
          <w:rFonts w:ascii="標楷體" w:eastAsia="標楷體" w:hAnsi="標楷體" w:hint="eastAsia"/>
          <w:kern w:val="0"/>
          <w:sz w:val="32"/>
          <w:szCs w:val="32"/>
        </w:rPr>
        <w:t>客服能做到</w:t>
      </w:r>
      <w:proofErr w:type="gramEnd"/>
      <w:r w:rsidRPr="001B6E4D">
        <w:rPr>
          <w:rFonts w:ascii="標楷體" w:eastAsia="標楷體" w:hAnsi="標楷體" w:hint="eastAsia"/>
          <w:kern w:val="0"/>
          <w:sz w:val="32"/>
          <w:szCs w:val="32"/>
        </w:rPr>
        <w:t>的，一定是系統性且原則性的回答。書記官最害怕的是當事人頻繁打來詢問：我的案件進行到哪裡？為什麼都不進行？不然就是投訴，書記官最怕的是這種狀況。然而，這種電話要不要接？因為對於當事人，最急的就是想知道案件進度，這電話確實要接；但這種電話是不是非得讓書記官親自接聽？這也是高本院與我正在推行的改革方向，希望研究如何將這些工作內容移轉出去。</w:t>
      </w:r>
    </w:p>
    <w:p w14:paraId="41F977DC"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我一直希望各法院能夠成立一個Call Center（客服中心），這在國外是有的，只是我們尚不適應。至於接聽電話的庶務工作要如何移轉至</w:t>
      </w:r>
      <w:r w:rsidRPr="001B6E4D">
        <w:rPr>
          <w:rFonts w:ascii="標楷體" w:eastAsia="標楷體" w:hAnsi="標楷體"/>
          <w:kern w:val="0"/>
          <w:sz w:val="32"/>
          <w:szCs w:val="32"/>
        </w:rPr>
        <w:t>Call Center</w:t>
      </w:r>
      <w:r w:rsidRPr="001B6E4D">
        <w:rPr>
          <w:rFonts w:ascii="標楷體" w:eastAsia="標楷體" w:hAnsi="標楷體" w:hint="eastAsia"/>
          <w:kern w:val="0"/>
          <w:sz w:val="32"/>
          <w:szCs w:val="32"/>
        </w:rPr>
        <w:t>？關鍵就在於內部的書記官審判系統是否能開放檢索，讓客服人員查詢並回答一般程序性問題，畢竟這項工作本身並不一定要由書記官親自做。</w:t>
      </w:r>
    </w:p>
    <w:p w14:paraId="1A77F948"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所以我們要跟委員們報告，減輕書記官工作，一定要把部分庶務型的工作切割出來；而這類庶務型工作很多，包括Call Center的成立、要訓練一批人來回答這些問題，這也是吳廳長在努力的一個方向。我們期待書記官不要接電話，因為大家很瞭解，只要打個電話進來，大家的專注力都會被影響。</w:t>
      </w:r>
    </w:p>
    <w:p w14:paraId="07A30824"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我們一直以為書記官接聽了極大量的電話。以高本院為例，經與高本院書記官會談瞭解後，得知他們平均一天</w:t>
      </w:r>
      <w:r w:rsidRPr="001B6E4D">
        <w:rPr>
          <w:rFonts w:ascii="標楷體" w:eastAsia="標楷體" w:hAnsi="標楷體" w:hint="eastAsia"/>
          <w:kern w:val="0"/>
          <w:sz w:val="32"/>
          <w:szCs w:val="32"/>
        </w:rPr>
        <w:lastRenderedPageBreak/>
        <w:t>大概接聽 4 通電話。4 通電話雖然數量聽起來沒有想像中可怕，但不要小看這 4 通電話，在工作中途切進來，對工作節奏的干擾極大，且通話對方的態度往往不佳。我們目前正在深入瞭解這些通話內容，評估 Call Center 是否能全面接替。</w:t>
      </w:r>
    </w:p>
    <w:p w14:paraId="147BFD69"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另外，書記官目前的另一大痛點是「協調庭期」。一件案件如果有一名被告與三位律師，就會有三種不同的時間需求，光是庭期排定就非常困難，這是何處長目前必須努力克服的重點。我們希望能建立類似「庭期預約平台（Booking Center）」，但這涉及到平台是否對外開放，以及律師同時往返於檢方與法院的銜接問題。Booking Center 若無法順利成立，書記官就必須永遠辛苦地去協調庭期。法官因為案量繁忙，往往會催促書記官排定庭期，這造成書記官極大的心理壓力，客觀而言這並不容易解決，因為涉及個資保護，又要與檢察機關合併考量。工具開發出來後大家是否願意使用、要如何設立，何處長目前正全力努力中，但確實存在幾個瓶頸。</w:t>
      </w:r>
    </w:p>
    <w:p w14:paraId="73B55EB0"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最後，目前同仁滿意度最高，就是各法院正在推行的「</w:t>
      </w:r>
      <w:proofErr w:type="gramStart"/>
      <w:r w:rsidRPr="001B6E4D">
        <w:rPr>
          <w:rFonts w:ascii="標楷體" w:eastAsia="標楷體" w:hAnsi="標楷體" w:hint="eastAsia"/>
          <w:kern w:val="0"/>
          <w:sz w:val="32"/>
          <w:szCs w:val="32"/>
        </w:rPr>
        <w:t>走卷</w:t>
      </w:r>
      <w:proofErr w:type="gramEnd"/>
      <w:r w:rsidRPr="001B6E4D">
        <w:rPr>
          <w:rFonts w:ascii="標楷體" w:eastAsia="標楷體" w:hAnsi="標楷體" w:hint="eastAsia"/>
          <w:kern w:val="0"/>
          <w:sz w:val="32"/>
          <w:szCs w:val="32"/>
        </w:rPr>
        <w:t>」庶務減輕措施。目前尤其是高等法院、新北地院、士林地院都已經具體落實，而</w:t>
      </w:r>
      <w:proofErr w:type="gramStart"/>
      <w:r w:rsidRPr="001B6E4D">
        <w:rPr>
          <w:rFonts w:ascii="標楷體" w:eastAsia="標楷體" w:hAnsi="標楷體" w:hint="eastAsia"/>
          <w:kern w:val="0"/>
          <w:sz w:val="32"/>
          <w:szCs w:val="32"/>
        </w:rPr>
        <w:t>臺</w:t>
      </w:r>
      <w:proofErr w:type="gramEnd"/>
      <w:r w:rsidRPr="001B6E4D">
        <w:rPr>
          <w:rFonts w:ascii="標楷體" w:eastAsia="標楷體" w:hAnsi="標楷體" w:hint="eastAsia"/>
          <w:kern w:val="0"/>
          <w:sz w:val="32"/>
          <w:szCs w:val="32"/>
        </w:rPr>
        <w:t>北地院也預計在下</w:t>
      </w:r>
      <w:proofErr w:type="gramStart"/>
      <w:r w:rsidRPr="001B6E4D">
        <w:rPr>
          <w:rFonts w:ascii="標楷體" w:eastAsia="標楷體" w:hAnsi="標楷體" w:hint="eastAsia"/>
          <w:kern w:val="0"/>
          <w:sz w:val="32"/>
          <w:szCs w:val="32"/>
        </w:rPr>
        <w:t>個</w:t>
      </w:r>
      <w:proofErr w:type="gramEnd"/>
      <w:r w:rsidRPr="001B6E4D">
        <w:rPr>
          <w:rFonts w:ascii="標楷體" w:eastAsia="標楷體" w:hAnsi="標楷體" w:hint="eastAsia"/>
          <w:kern w:val="0"/>
          <w:sz w:val="32"/>
          <w:szCs w:val="32"/>
        </w:rPr>
        <w:t>禮拜進行成效報告。</w:t>
      </w:r>
    </w:p>
    <w:p w14:paraId="0FFE72F6"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我們的書記官還有一個非常辛苦的工作叫做「</w:t>
      </w:r>
      <w:proofErr w:type="gramStart"/>
      <w:r w:rsidRPr="001B6E4D">
        <w:rPr>
          <w:rFonts w:ascii="標楷體" w:eastAsia="標楷體" w:hAnsi="標楷體" w:hint="eastAsia"/>
          <w:kern w:val="0"/>
          <w:sz w:val="32"/>
          <w:szCs w:val="32"/>
        </w:rPr>
        <w:t>走卷</w:t>
      </w:r>
      <w:proofErr w:type="gramEnd"/>
      <w:r w:rsidRPr="001B6E4D">
        <w:rPr>
          <w:rFonts w:ascii="標楷體" w:eastAsia="標楷體" w:hAnsi="標楷體" w:hint="eastAsia"/>
          <w:kern w:val="0"/>
          <w:sz w:val="32"/>
          <w:szCs w:val="32"/>
        </w:rPr>
        <w:t>」，各位應該很熟悉這個詞。「</w:t>
      </w:r>
      <w:proofErr w:type="gramStart"/>
      <w:r w:rsidRPr="001B6E4D">
        <w:rPr>
          <w:rFonts w:ascii="標楷體" w:eastAsia="標楷體" w:hAnsi="標楷體" w:hint="eastAsia"/>
          <w:kern w:val="0"/>
          <w:sz w:val="32"/>
          <w:szCs w:val="32"/>
        </w:rPr>
        <w:t>走卷</w:t>
      </w:r>
      <w:proofErr w:type="gramEnd"/>
      <w:r w:rsidRPr="001B6E4D">
        <w:rPr>
          <w:rFonts w:ascii="標楷體" w:eastAsia="標楷體" w:hAnsi="標楷體" w:hint="eastAsia"/>
          <w:kern w:val="0"/>
          <w:sz w:val="32"/>
          <w:szCs w:val="32"/>
        </w:rPr>
        <w:t>」是什麼意思呢？當案件辯論終結、裁判出來之後，究竟是要辦理上訴，還是案件已經確定？這中間卷宗該往哪裡分流、怎麼跑？聽起來只是簡單兩個字，但正如剛才的報告所言，那往往是幾百宗龐大的卷宗。</w:t>
      </w:r>
    </w:p>
    <w:p w14:paraId="32B44C5F" w14:textId="77777777" w:rsidR="00C77DA6"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這種繁重的卷宗整理工作，根據目前的實驗成果與極高的滿意度數據證實，是最容易從書記官核心業務中切割</w:t>
      </w:r>
      <w:r w:rsidRPr="001B6E4D">
        <w:rPr>
          <w:rFonts w:ascii="標楷體" w:eastAsia="標楷體" w:hAnsi="標楷體" w:hint="eastAsia"/>
          <w:kern w:val="0"/>
          <w:sz w:val="32"/>
          <w:szCs w:val="32"/>
        </w:rPr>
        <w:lastRenderedPageBreak/>
        <w:t>出來的庶務，同時也是我們現階段最需要導入委外人力來協助的部分。</w:t>
      </w:r>
    </w:p>
    <w:p w14:paraId="50296F00" w14:textId="0EAD8AD8"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b/>
          <w:kern w:val="0"/>
          <w:sz w:val="32"/>
          <w:szCs w:val="32"/>
        </w:rPr>
        <w:t>立法院張雅琳委員：</w:t>
      </w:r>
    </w:p>
    <w:p w14:paraId="60943049"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因會議時間已近尾聲，我在此進行總結。</w:t>
      </w:r>
    </w:p>
    <w:p w14:paraId="300D3FD4"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剛才答</w:t>
      </w:r>
      <w:proofErr w:type="gramStart"/>
      <w:r w:rsidRPr="001B6E4D">
        <w:rPr>
          <w:rFonts w:ascii="標楷體" w:eastAsia="標楷體" w:hAnsi="標楷體" w:hint="eastAsia"/>
          <w:kern w:val="0"/>
          <w:sz w:val="32"/>
          <w:szCs w:val="32"/>
        </w:rPr>
        <w:t>詢</w:t>
      </w:r>
      <w:proofErr w:type="gramEnd"/>
      <w:r w:rsidRPr="001B6E4D">
        <w:rPr>
          <w:rFonts w:ascii="標楷體" w:eastAsia="標楷體" w:hAnsi="標楷體" w:hint="eastAsia"/>
          <w:kern w:val="0"/>
          <w:sz w:val="32"/>
          <w:szCs w:val="32"/>
        </w:rPr>
        <w:t>聽起來，各級地方法院目前皆已進行相關的滿意度調查。因此，請</w:t>
      </w:r>
      <w:proofErr w:type="gramStart"/>
      <w:r w:rsidRPr="001B6E4D">
        <w:rPr>
          <w:rFonts w:ascii="標楷體" w:eastAsia="標楷體" w:hAnsi="標楷體" w:hint="eastAsia"/>
          <w:kern w:val="0"/>
          <w:sz w:val="32"/>
          <w:szCs w:val="32"/>
        </w:rPr>
        <w:t>司法院彙整</w:t>
      </w:r>
      <w:proofErr w:type="gramEnd"/>
      <w:r w:rsidRPr="001B6E4D">
        <w:rPr>
          <w:rFonts w:ascii="標楷體" w:eastAsia="標楷體" w:hAnsi="標楷體" w:hint="eastAsia"/>
          <w:kern w:val="0"/>
          <w:sz w:val="32"/>
          <w:szCs w:val="32"/>
        </w:rPr>
        <w:t>並提供以下三項報告至司法及法制委員會：</w:t>
      </w:r>
    </w:p>
    <w:p w14:paraId="075683A8" w14:textId="35DE8AC3"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第一個報告，</w:t>
      </w:r>
      <w:proofErr w:type="gramStart"/>
      <w:r w:rsidRPr="001B6E4D">
        <w:rPr>
          <w:rFonts w:ascii="標楷體" w:eastAsia="標楷體" w:hAnsi="標楷體" w:hint="eastAsia"/>
          <w:kern w:val="0"/>
          <w:sz w:val="32"/>
          <w:szCs w:val="32"/>
        </w:rPr>
        <w:t>請</w:t>
      </w:r>
      <w:r w:rsidRPr="001B6E4D">
        <w:rPr>
          <w:rFonts w:ascii="標楷體" w:eastAsia="標楷體" w:hAnsi="標楷體"/>
          <w:kern w:val="0"/>
          <w:sz w:val="32"/>
          <w:szCs w:val="32"/>
        </w:rPr>
        <w:t>彙整</w:t>
      </w:r>
      <w:proofErr w:type="gramEnd"/>
      <w:r w:rsidRPr="001B6E4D">
        <w:rPr>
          <w:rFonts w:ascii="標楷體" w:eastAsia="標楷體" w:hAnsi="標楷體" w:hint="eastAsia"/>
          <w:kern w:val="0"/>
          <w:sz w:val="32"/>
          <w:szCs w:val="32"/>
        </w:rPr>
        <w:t>書記官使用語音辨識</w:t>
      </w:r>
      <w:r w:rsidRPr="001B6E4D">
        <w:rPr>
          <w:rFonts w:ascii="標楷體" w:eastAsia="標楷體" w:hAnsi="標楷體"/>
          <w:kern w:val="0"/>
          <w:sz w:val="32"/>
          <w:szCs w:val="32"/>
        </w:rPr>
        <w:t>滿意度報告，提供到司法</w:t>
      </w:r>
      <w:r w:rsidRPr="001B6E4D">
        <w:rPr>
          <w:rFonts w:ascii="標楷體" w:eastAsia="標楷體" w:hAnsi="標楷體" w:hint="eastAsia"/>
          <w:kern w:val="0"/>
          <w:sz w:val="32"/>
          <w:szCs w:val="32"/>
        </w:rPr>
        <w:t>及法制委員會，</w:t>
      </w:r>
      <w:r w:rsidRPr="001B6E4D">
        <w:rPr>
          <w:rFonts w:ascii="標楷體" w:eastAsia="標楷體" w:hAnsi="標楷體"/>
          <w:kern w:val="0"/>
          <w:sz w:val="32"/>
          <w:szCs w:val="32"/>
        </w:rPr>
        <w:t>讓大家瞭解書記官的滿意度到底</w:t>
      </w:r>
      <w:r w:rsidRPr="001B6E4D">
        <w:rPr>
          <w:rFonts w:ascii="標楷體" w:eastAsia="標楷體" w:hAnsi="標楷體" w:hint="eastAsia"/>
          <w:kern w:val="0"/>
          <w:sz w:val="32"/>
          <w:szCs w:val="32"/>
        </w:rPr>
        <w:t>如何</w:t>
      </w:r>
      <w:r w:rsidRPr="001B6E4D">
        <w:rPr>
          <w:rFonts w:ascii="標楷體" w:eastAsia="標楷體" w:hAnsi="標楷體"/>
          <w:kern w:val="0"/>
          <w:sz w:val="32"/>
          <w:szCs w:val="32"/>
        </w:rPr>
        <w:t>，</w:t>
      </w:r>
      <w:r w:rsidRPr="001B6E4D">
        <w:rPr>
          <w:rFonts w:ascii="標楷體" w:eastAsia="標楷體" w:hAnsi="標楷體" w:hint="eastAsia"/>
          <w:kern w:val="0"/>
          <w:sz w:val="32"/>
          <w:szCs w:val="32"/>
        </w:rPr>
        <w:t>並請說明大概什麼時候可以提供？</w:t>
      </w:r>
    </w:p>
    <w:p w14:paraId="1D057D21"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第二</w:t>
      </w:r>
      <w:proofErr w:type="gramStart"/>
      <w:r w:rsidRPr="001B6E4D">
        <w:rPr>
          <w:rFonts w:ascii="標楷體" w:eastAsia="標楷體" w:hAnsi="標楷體"/>
          <w:kern w:val="0"/>
          <w:sz w:val="32"/>
          <w:szCs w:val="32"/>
        </w:rPr>
        <w:t>個</w:t>
      </w:r>
      <w:proofErr w:type="gramEnd"/>
      <w:r w:rsidRPr="001B6E4D">
        <w:rPr>
          <w:rFonts w:ascii="標楷體" w:eastAsia="標楷體" w:hAnsi="標楷體" w:hint="eastAsia"/>
          <w:kern w:val="0"/>
          <w:sz w:val="32"/>
          <w:szCs w:val="32"/>
        </w:rPr>
        <w:t>報告，</w:t>
      </w:r>
      <w:r w:rsidRPr="001B6E4D">
        <w:rPr>
          <w:rFonts w:ascii="標楷體" w:eastAsia="標楷體" w:hAnsi="標楷體"/>
          <w:kern w:val="0"/>
          <w:sz w:val="32"/>
          <w:szCs w:val="32"/>
        </w:rPr>
        <w:t>針對</w:t>
      </w:r>
      <w:r w:rsidRPr="001B6E4D">
        <w:rPr>
          <w:rFonts w:ascii="標楷體" w:eastAsia="標楷體" w:hAnsi="標楷體" w:hint="eastAsia"/>
          <w:kern w:val="0"/>
          <w:sz w:val="32"/>
          <w:szCs w:val="32"/>
        </w:rPr>
        <w:t>書記官</w:t>
      </w:r>
      <w:r w:rsidRPr="001B6E4D">
        <w:rPr>
          <w:rFonts w:ascii="標楷體" w:eastAsia="標楷體" w:hAnsi="標楷體"/>
          <w:kern w:val="0"/>
          <w:sz w:val="32"/>
          <w:szCs w:val="32"/>
        </w:rPr>
        <w:t>的滿意度，這過程中導入的痛點分析是什麼？痛點分析</w:t>
      </w:r>
      <w:r w:rsidRPr="001B6E4D">
        <w:rPr>
          <w:rFonts w:ascii="標楷體" w:eastAsia="標楷體" w:hAnsi="標楷體" w:hint="eastAsia"/>
          <w:kern w:val="0"/>
          <w:sz w:val="32"/>
          <w:szCs w:val="32"/>
        </w:rPr>
        <w:t>提出來之後</w:t>
      </w:r>
      <w:proofErr w:type="gramStart"/>
      <w:r w:rsidRPr="001B6E4D">
        <w:rPr>
          <w:rFonts w:ascii="標楷體" w:eastAsia="標楷體" w:hAnsi="標楷體"/>
          <w:kern w:val="0"/>
          <w:sz w:val="32"/>
          <w:szCs w:val="32"/>
        </w:rPr>
        <w:t>後</w:t>
      </w:r>
      <w:proofErr w:type="gramEnd"/>
      <w:r w:rsidRPr="001B6E4D">
        <w:rPr>
          <w:rFonts w:ascii="標楷體" w:eastAsia="標楷體" w:hAnsi="標楷體"/>
          <w:kern w:val="0"/>
          <w:sz w:val="32"/>
          <w:szCs w:val="32"/>
        </w:rPr>
        <w:t>，導入計畫又是什麼？會不會做哪些相對應的訓練課程？這個導入計畫也請司法院提供給我們。</w:t>
      </w:r>
    </w:p>
    <w:p w14:paraId="769E1E32"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第三</w:t>
      </w:r>
      <w:proofErr w:type="gramStart"/>
      <w:r w:rsidRPr="001B6E4D">
        <w:rPr>
          <w:rFonts w:ascii="標楷體" w:eastAsia="標楷體" w:hAnsi="標楷體"/>
          <w:kern w:val="0"/>
          <w:sz w:val="32"/>
          <w:szCs w:val="32"/>
        </w:rPr>
        <w:t>個</w:t>
      </w:r>
      <w:proofErr w:type="gramEnd"/>
      <w:r w:rsidRPr="001B6E4D">
        <w:rPr>
          <w:rFonts w:ascii="標楷體" w:eastAsia="標楷體" w:hAnsi="標楷體" w:hint="eastAsia"/>
          <w:kern w:val="0"/>
          <w:sz w:val="32"/>
          <w:szCs w:val="32"/>
        </w:rPr>
        <w:t>報告</w:t>
      </w:r>
      <w:r w:rsidRPr="001B6E4D">
        <w:rPr>
          <w:rFonts w:ascii="標楷體" w:eastAsia="標楷體" w:hAnsi="標楷體"/>
          <w:kern w:val="0"/>
          <w:sz w:val="32"/>
          <w:szCs w:val="32"/>
        </w:rPr>
        <w:t>，到底有</w:t>
      </w:r>
      <w:proofErr w:type="gramStart"/>
      <w:r w:rsidRPr="001B6E4D">
        <w:rPr>
          <w:rFonts w:ascii="標楷體" w:eastAsia="標楷體" w:hAnsi="標楷體"/>
          <w:kern w:val="0"/>
          <w:sz w:val="32"/>
          <w:szCs w:val="32"/>
        </w:rPr>
        <w:t>多少的</w:t>
      </w:r>
      <w:proofErr w:type="gramEnd"/>
      <w:r w:rsidRPr="001B6E4D">
        <w:rPr>
          <w:rFonts w:ascii="標楷體" w:eastAsia="標楷體" w:hAnsi="標楷體"/>
          <w:kern w:val="0"/>
          <w:sz w:val="32"/>
          <w:szCs w:val="32"/>
        </w:rPr>
        <w:t>法院要</w:t>
      </w:r>
      <w:proofErr w:type="gramStart"/>
      <w:r w:rsidRPr="001B6E4D">
        <w:rPr>
          <w:rFonts w:ascii="標楷體" w:eastAsia="標楷體" w:hAnsi="標楷體" w:hint="eastAsia"/>
          <w:kern w:val="0"/>
          <w:sz w:val="32"/>
          <w:szCs w:val="32"/>
        </w:rPr>
        <w:t>佈</w:t>
      </w:r>
      <w:proofErr w:type="gramEnd"/>
      <w:r w:rsidRPr="001B6E4D">
        <w:rPr>
          <w:rFonts w:ascii="標楷體" w:eastAsia="標楷體" w:hAnsi="標楷體" w:hint="eastAsia"/>
          <w:kern w:val="0"/>
          <w:sz w:val="32"/>
          <w:szCs w:val="32"/>
        </w:rPr>
        <w:t>建？司法院</w:t>
      </w:r>
      <w:r w:rsidRPr="001B6E4D">
        <w:rPr>
          <w:rFonts w:ascii="標楷體" w:eastAsia="標楷體" w:hAnsi="標楷體"/>
          <w:kern w:val="0"/>
          <w:sz w:val="32"/>
          <w:szCs w:val="32"/>
        </w:rPr>
        <w:t>的計畫又是什麼？</w:t>
      </w:r>
    </w:p>
    <w:p w14:paraId="2AF961BF"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hint="eastAsia"/>
          <w:kern w:val="0"/>
          <w:sz w:val="32"/>
          <w:szCs w:val="32"/>
        </w:rPr>
        <w:t>你們</w:t>
      </w:r>
      <w:r w:rsidRPr="001B6E4D">
        <w:rPr>
          <w:rFonts w:ascii="標楷體" w:eastAsia="標楷體" w:hAnsi="標楷體"/>
          <w:kern w:val="0"/>
          <w:sz w:val="32"/>
          <w:szCs w:val="32"/>
        </w:rPr>
        <w:t>就提供這三</w:t>
      </w:r>
      <w:proofErr w:type="gramStart"/>
      <w:r w:rsidRPr="001B6E4D">
        <w:rPr>
          <w:rFonts w:ascii="標楷體" w:eastAsia="標楷體" w:hAnsi="標楷體"/>
          <w:kern w:val="0"/>
          <w:sz w:val="32"/>
          <w:szCs w:val="32"/>
        </w:rPr>
        <w:t>個</w:t>
      </w:r>
      <w:proofErr w:type="gramEnd"/>
      <w:r w:rsidRPr="001B6E4D">
        <w:rPr>
          <w:rFonts w:ascii="標楷體" w:eastAsia="標楷體" w:hAnsi="標楷體" w:hint="eastAsia"/>
          <w:kern w:val="0"/>
          <w:sz w:val="32"/>
          <w:szCs w:val="32"/>
        </w:rPr>
        <w:t>報告至</w:t>
      </w:r>
      <w:r w:rsidRPr="001B6E4D">
        <w:rPr>
          <w:rFonts w:ascii="標楷體" w:eastAsia="標楷體" w:hAnsi="標楷體"/>
          <w:kern w:val="0"/>
          <w:sz w:val="32"/>
          <w:szCs w:val="32"/>
        </w:rPr>
        <w:t>司法</w:t>
      </w:r>
      <w:r w:rsidRPr="001B6E4D">
        <w:rPr>
          <w:rFonts w:ascii="標楷體" w:eastAsia="標楷體" w:hAnsi="標楷體" w:hint="eastAsia"/>
          <w:kern w:val="0"/>
          <w:sz w:val="32"/>
          <w:szCs w:val="32"/>
        </w:rPr>
        <w:t>及</w:t>
      </w:r>
      <w:r w:rsidRPr="001B6E4D">
        <w:rPr>
          <w:rFonts w:ascii="標楷體" w:eastAsia="標楷體" w:hAnsi="標楷體"/>
          <w:kern w:val="0"/>
          <w:sz w:val="32"/>
          <w:szCs w:val="32"/>
        </w:rPr>
        <w:t>法制委員會。接下來在審查預算時，才能夠</w:t>
      </w:r>
      <w:r w:rsidRPr="001B6E4D">
        <w:rPr>
          <w:rFonts w:ascii="標楷體" w:eastAsia="標楷體" w:hAnsi="標楷體" w:hint="eastAsia"/>
          <w:kern w:val="0"/>
          <w:sz w:val="32"/>
          <w:szCs w:val="32"/>
        </w:rPr>
        <w:t>讓</w:t>
      </w:r>
      <w:r w:rsidRPr="001B6E4D">
        <w:rPr>
          <w:rFonts w:ascii="標楷體" w:eastAsia="標楷體" w:hAnsi="標楷體"/>
          <w:kern w:val="0"/>
          <w:sz w:val="32"/>
          <w:szCs w:val="32"/>
        </w:rPr>
        <w:t>大家</w:t>
      </w:r>
      <w:r w:rsidRPr="001B6E4D">
        <w:rPr>
          <w:rFonts w:ascii="標楷體" w:eastAsia="標楷體" w:hAnsi="標楷體" w:hint="eastAsia"/>
          <w:kern w:val="0"/>
          <w:sz w:val="32"/>
          <w:szCs w:val="32"/>
        </w:rPr>
        <w:t>瞭解，</w:t>
      </w:r>
      <w:r w:rsidRPr="001B6E4D">
        <w:rPr>
          <w:rFonts w:ascii="標楷體" w:eastAsia="標楷體" w:hAnsi="標楷體"/>
          <w:kern w:val="0"/>
          <w:sz w:val="32"/>
          <w:szCs w:val="32"/>
        </w:rPr>
        <w:t>越瞭解就越能夠支持。不然如果我們委員</w:t>
      </w:r>
      <w:r w:rsidRPr="001B6E4D">
        <w:rPr>
          <w:rFonts w:ascii="標楷體" w:eastAsia="標楷體" w:hAnsi="標楷體" w:hint="eastAsia"/>
          <w:kern w:val="0"/>
          <w:sz w:val="32"/>
          <w:szCs w:val="32"/>
        </w:rPr>
        <w:t>又</w:t>
      </w:r>
      <w:r w:rsidRPr="001B6E4D">
        <w:rPr>
          <w:rFonts w:ascii="標楷體" w:eastAsia="標楷體" w:hAnsi="標楷體"/>
          <w:kern w:val="0"/>
          <w:sz w:val="32"/>
          <w:szCs w:val="32"/>
        </w:rPr>
        <w:t>收到一些各自書記官</w:t>
      </w:r>
      <w:r w:rsidRPr="001B6E4D">
        <w:rPr>
          <w:rFonts w:ascii="標楷體" w:eastAsia="標楷體" w:hAnsi="標楷體" w:hint="eastAsia"/>
          <w:kern w:val="0"/>
          <w:sz w:val="32"/>
          <w:szCs w:val="32"/>
        </w:rPr>
        <w:t>陳情的</w:t>
      </w:r>
      <w:r w:rsidRPr="001B6E4D">
        <w:rPr>
          <w:rFonts w:ascii="標楷體" w:eastAsia="標楷體" w:hAnsi="標楷體"/>
          <w:kern w:val="0"/>
          <w:sz w:val="32"/>
          <w:szCs w:val="32"/>
        </w:rPr>
        <w:t>時候</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又會覺得根本沒有全貌。可是我們</w:t>
      </w:r>
      <w:r w:rsidRPr="001B6E4D">
        <w:rPr>
          <w:rFonts w:ascii="標楷體" w:eastAsia="標楷體" w:hAnsi="標楷體" w:hint="eastAsia"/>
          <w:kern w:val="0"/>
          <w:sz w:val="32"/>
          <w:szCs w:val="32"/>
        </w:rPr>
        <w:t>又</w:t>
      </w:r>
      <w:r w:rsidRPr="001B6E4D">
        <w:rPr>
          <w:rFonts w:ascii="標楷體" w:eastAsia="標楷體" w:hAnsi="標楷體"/>
          <w:kern w:val="0"/>
          <w:sz w:val="32"/>
          <w:szCs w:val="32"/>
        </w:rPr>
        <w:t>不應該以個案來看，如果</w:t>
      </w:r>
      <w:r w:rsidRPr="001B6E4D">
        <w:rPr>
          <w:rFonts w:ascii="標楷體" w:eastAsia="標楷體" w:hAnsi="標楷體" w:hint="eastAsia"/>
          <w:kern w:val="0"/>
          <w:sz w:val="32"/>
          <w:szCs w:val="32"/>
        </w:rPr>
        <w:t>司法院</w:t>
      </w:r>
      <w:r w:rsidRPr="001B6E4D">
        <w:rPr>
          <w:rFonts w:ascii="標楷體" w:eastAsia="標楷體" w:hAnsi="標楷體"/>
          <w:kern w:val="0"/>
          <w:sz w:val="32"/>
          <w:szCs w:val="32"/>
        </w:rPr>
        <w:t>先提供給我們全貌，我們就會更瞭解</w:t>
      </w:r>
      <w:r w:rsidRPr="001B6E4D">
        <w:rPr>
          <w:rFonts w:ascii="標楷體" w:eastAsia="標楷體" w:hAnsi="標楷體" w:hint="eastAsia"/>
          <w:kern w:val="0"/>
          <w:sz w:val="32"/>
          <w:szCs w:val="32"/>
        </w:rPr>
        <w:t>原來</w:t>
      </w:r>
      <w:r w:rsidRPr="001B6E4D">
        <w:rPr>
          <w:rFonts w:ascii="標楷體" w:eastAsia="標楷體" w:hAnsi="標楷體"/>
          <w:kern w:val="0"/>
          <w:sz w:val="32"/>
          <w:szCs w:val="32"/>
        </w:rPr>
        <w:t>書記官</w:t>
      </w:r>
      <w:r w:rsidRPr="001B6E4D">
        <w:rPr>
          <w:rFonts w:ascii="標楷體" w:eastAsia="標楷體" w:hAnsi="標楷體" w:hint="eastAsia"/>
          <w:kern w:val="0"/>
          <w:sz w:val="32"/>
          <w:szCs w:val="32"/>
        </w:rPr>
        <w:t>是</w:t>
      </w:r>
      <w:r w:rsidRPr="001B6E4D">
        <w:rPr>
          <w:rFonts w:ascii="標楷體" w:eastAsia="標楷體" w:hAnsi="標楷體"/>
          <w:kern w:val="0"/>
          <w:sz w:val="32"/>
          <w:szCs w:val="32"/>
        </w:rPr>
        <w:t>喜歡的。</w:t>
      </w:r>
    </w:p>
    <w:p w14:paraId="3C27A059"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剛剛我講的書記官工會，我希望不要獵</w:t>
      </w:r>
      <w:proofErr w:type="gramStart"/>
      <w:r w:rsidRPr="001B6E4D">
        <w:rPr>
          <w:rFonts w:ascii="標楷體" w:eastAsia="標楷體" w:hAnsi="標楷體"/>
          <w:kern w:val="0"/>
          <w:sz w:val="32"/>
          <w:szCs w:val="32"/>
        </w:rPr>
        <w:t>巫</w:t>
      </w:r>
      <w:proofErr w:type="gramEnd"/>
      <w:r w:rsidRPr="001B6E4D">
        <w:rPr>
          <w:rFonts w:ascii="標楷體" w:eastAsia="標楷體" w:hAnsi="標楷體" w:hint="eastAsia"/>
          <w:kern w:val="0"/>
          <w:sz w:val="32"/>
          <w:szCs w:val="32"/>
        </w:rPr>
        <w:t>，</w:t>
      </w:r>
      <w:r w:rsidRPr="001B6E4D">
        <w:rPr>
          <w:rFonts w:ascii="標楷體" w:eastAsia="標楷體" w:hAnsi="標楷體"/>
          <w:kern w:val="0"/>
          <w:sz w:val="32"/>
          <w:szCs w:val="32"/>
        </w:rPr>
        <w:t>畢竟大家還是要有正常</w:t>
      </w:r>
      <w:r w:rsidRPr="001B6E4D">
        <w:rPr>
          <w:rFonts w:ascii="標楷體" w:eastAsia="標楷體" w:hAnsi="標楷體" w:hint="eastAsia"/>
          <w:kern w:val="0"/>
          <w:sz w:val="32"/>
          <w:szCs w:val="32"/>
        </w:rPr>
        <w:t>抒發</w:t>
      </w:r>
      <w:r w:rsidRPr="001B6E4D">
        <w:rPr>
          <w:rFonts w:ascii="標楷體" w:eastAsia="標楷體" w:hAnsi="標楷體"/>
          <w:kern w:val="0"/>
          <w:sz w:val="32"/>
          <w:szCs w:val="32"/>
        </w:rPr>
        <w:t>的管道，這部分從這三</w:t>
      </w:r>
      <w:proofErr w:type="gramStart"/>
      <w:r w:rsidRPr="001B6E4D">
        <w:rPr>
          <w:rFonts w:ascii="標楷體" w:eastAsia="標楷體" w:hAnsi="標楷體"/>
          <w:kern w:val="0"/>
          <w:sz w:val="32"/>
          <w:szCs w:val="32"/>
        </w:rPr>
        <w:t>個</w:t>
      </w:r>
      <w:proofErr w:type="gramEnd"/>
      <w:r w:rsidRPr="001B6E4D">
        <w:rPr>
          <w:rFonts w:ascii="標楷體" w:eastAsia="標楷體" w:hAnsi="標楷體"/>
          <w:kern w:val="0"/>
          <w:sz w:val="32"/>
          <w:szCs w:val="32"/>
        </w:rPr>
        <w:t>報告就更能夠</w:t>
      </w:r>
      <w:proofErr w:type="gramStart"/>
      <w:r w:rsidRPr="001B6E4D">
        <w:rPr>
          <w:rFonts w:ascii="標楷體" w:eastAsia="標楷體" w:hAnsi="標楷體"/>
          <w:kern w:val="0"/>
          <w:sz w:val="32"/>
          <w:szCs w:val="32"/>
        </w:rPr>
        <w:t>清楚</w:t>
      </w:r>
      <w:r w:rsidRPr="001B6E4D">
        <w:rPr>
          <w:rFonts w:ascii="標楷體" w:eastAsia="標楷體" w:hAnsi="標楷體" w:hint="eastAsia"/>
          <w:kern w:val="0"/>
          <w:sz w:val="32"/>
          <w:szCs w:val="32"/>
        </w:rPr>
        <w:t>，</w:t>
      </w:r>
      <w:proofErr w:type="gramEnd"/>
      <w:r w:rsidRPr="001B6E4D">
        <w:rPr>
          <w:rFonts w:ascii="標楷體" w:eastAsia="標楷體" w:hAnsi="標楷體"/>
          <w:kern w:val="0"/>
          <w:sz w:val="32"/>
          <w:szCs w:val="32"/>
        </w:rPr>
        <w:t>剛剛秘書長也有講到一些痛點，</w:t>
      </w:r>
      <w:r w:rsidRPr="001B6E4D">
        <w:rPr>
          <w:rFonts w:ascii="標楷體" w:eastAsia="標楷體" w:hAnsi="標楷體" w:hint="eastAsia"/>
          <w:kern w:val="0"/>
          <w:sz w:val="32"/>
          <w:szCs w:val="32"/>
        </w:rPr>
        <w:t>像是</w:t>
      </w:r>
      <w:r w:rsidRPr="001B6E4D">
        <w:rPr>
          <w:rFonts w:ascii="標楷體" w:eastAsia="標楷體" w:hAnsi="標楷體"/>
          <w:kern w:val="0"/>
          <w:sz w:val="32"/>
          <w:szCs w:val="32"/>
        </w:rPr>
        <w:t>接電話講很久，</w:t>
      </w:r>
      <w:r w:rsidRPr="001B6E4D">
        <w:rPr>
          <w:rFonts w:ascii="標楷體" w:eastAsia="標楷體" w:hAnsi="標楷體" w:hint="eastAsia"/>
          <w:kern w:val="0"/>
          <w:sz w:val="32"/>
          <w:szCs w:val="32"/>
        </w:rPr>
        <w:t>我想</w:t>
      </w:r>
      <w:r w:rsidRPr="001B6E4D">
        <w:rPr>
          <w:rFonts w:ascii="標楷體" w:eastAsia="標楷體" w:hAnsi="標楷體"/>
          <w:kern w:val="0"/>
          <w:sz w:val="32"/>
          <w:szCs w:val="32"/>
        </w:rPr>
        <w:t>立</w:t>
      </w:r>
      <w:r w:rsidRPr="001B6E4D">
        <w:rPr>
          <w:rFonts w:ascii="標楷體" w:eastAsia="標楷體" w:hAnsi="標楷體" w:hint="eastAsia"/>
          <w:kern w:val="0"/>
          <w:sz w:val="32"/>
          <w:szCs w:val="32"/>
        </w:rPr>
        <w:t>法</w:t>
      </w:r>
      <w:r w:rsidRPr="001B6E4D">
        <w:rPr>
          <w:rFonts w:ascii="標楷體" w:eastAsia="標楷體" w:hAnsi="標楷體"/>
          <w:kern w:val="0"/>
          <w:sz w:val="32"/>
          <w:szCs w:val="32"/>
        </w:rPr>
        <w:t>院的助理們應該也</w:t>
      </w:r>
      <w:r w:rsidRPr="001B6E4D">
        <w:rPr>
          <w:rFonts w:ascii="標楷體" w:eastAsia="標楷體" w:hAnsi="標楷體" w:hint="eastAsia"/>
          <w:kern w:val="0"/>
          <w:sz w:val="32"/>
          <w:szCs w:val="32"/>
        </w:rPr>
        <w:t>有</w:t>
      </w:r>
      <w:r w:rsidRPr="001B6E4D">
        <w:rPr>
          <w:rFonts w:ascii="標楷體" w:eastAsia="標楷體" w:hAnsi="標楷體"/>
          <w:kern w:val="0"/>
          <w:sz w:val="32"/>
          <w:szCs w:val="32"/>
        </w:rPr>
        <w:t>同感</w:t>
      </w:r>
      <w:r w:rsidRPr="001B6E4D">
        <w:rPr>
          <w:rFonts w:ascii="標楷體" w:eastAsia="標楷體" w:hAnsi="標楷體" w:hint="eastAsia"/>
          <w:kern w:val="0"/>
          <w:sz w:val="32"/>
          <w:szCs w:val="32"/>
        </w:rPr>
        <w:t>，</w:t>
      </w:r>
      <w:r w:rsidRPr="001B6E4D">
        <w:rPr>
          <w:rFonts w:ascii="標楷體" w:eastAsia="標楷體" w:hAnsi="標楷體"/>
          <w:kern w:val="0"/>
          <w:sz w:val="32"/>
          <w:szCs w:val="32"/>
        </w:rPr>
        <w:t>如果到時有一個不錯的解決方案，也可以提供給立法院</w:t>
      </w:r>
      <w:r w:rsidRPr="001B6E4D">
        <w:rPr>
          <w:rFonts w:ascii="標楷體" w:eastAsia="標楷體" w:hAnsi="標楷體" w:hint="eastAsia"/>
          <w:kern w:val="0"/>
          <w:sz w:val="32"/>
          <w:szCs w:val="32"/>
        </w:rPr>
        <w:t>參考。</w:t>
      </w:r>
      <w:r w:rsidRPr="001B6E4D">
        <w:rPr>
          <w:rFonts w:ascii="標楷體" w:eastAsia="標楷體" w:hAnsi="標楷體"/>
          <w:kern w:val="0"/>
          <w:sz w:val="32"/>
          <w:szCs w:val="32"/>
        </w:rPr>
        <w:t>是不是讓我知道</w:t>
      </w:r>
      <w:r w:rsidRPr="001B6E4D">
        <w:rPr>
          <w:rFonts w:ascii="標楷體" w:eastAsia="標楷體" w:hAnsi="標楷體" w:hint="eastAsia"/>
          <w:kern w:val="0"/>
          <w:sz w:val="32"/>
          <w:szCs w:val="32"/>
        </w:rPr>
        <w:t>何時</w:t>
      </w:r>
      <w:r w:rsidRPr="001B6E4D">
        <w:rPr>
          <w:rFonts w:ascii="標楷體" w:eastAsia="標楷體" w:hAnsi="標楷體"/>
          <w:kern w:val="0"/>
          <w:sz w:val="32"/>
          <w:szCs w:val="32"/>
        </w:rPr>
        <w:t>可以提供這三</w:t>
      </w:r>
      <w:proofErr w:type="gramStart"/>
      <w:r w:rsidRPr="001B6E4D">
        <w:rPr>
          <w:rFonts w:ascii="標楷體" w:eastAsia="標楷體" w:hAnsi="標楷體"/>
          <w:kern w:val="0"/>
          <w:sz w:val="32"/>
          <w:szCs w:val="32"/>
        </w:rPr>
        <w:t>個</w:t>
      </w:r>
      <w:proofErr w:type="gramEnd"/>
      <w:r w:rsidRPr="001B6E4D">
        <w:rPr>
          <w:rFonts w:ascii="標楷體" w:eastAsia="標楷體" w:hAnsi="標楷體"/>
          <w:kern w:val="0"/>
          <w:sz w:val="32"/>
          <w:szCs w:val="32"/>
        </w:rPr>
        <w:t>報告？謝謝。</w:t>
      </w:r>
    </w:p>
    <w:p w14:paraId="573F4681" w14:textId="06FF0108" w:rsidR="00B921E8" w:rsidRPr="001B6E4D" w:rsidRDefault="00C77DA6" w:rsidP="003D1018">
      <w:pPr>
        <w:overflowPunct w:val="0"/>
        <w:spacing w:line="460" w:lineRule="exact"/>
        <w:jc w:val="both"/>
        <w:rPr>
          <w:rFonts w:ascii="標楷體" w:eastAsia="標楷體" w:hAnsi="標楷體"/>
          <w:b/>
          <w:kern w:val="0"/>
          <w:sz w:val="32"/>
          <w:szCs w:val="32"/>
        </w:rPr>
      </w:pPr>
      <w:r w:rsidRPr="001B6E4D">
        <w:rPr>
          <w:rFonts w:ascii="標楷體" w:eastAsia="標楷體" w:hAnsi="標楷體" w:hint="eastAsia"/>
          <w:b/>
          <w:kern w:val="0"/>
          <w:sz w:val="32"/>
          <w:szCs w:val="32"/>
        </w:rPr>
        <w:t xml:space="preserve">    </w:t>
      </w:r>
      <w:r w:rsidR="00B921E8" w:rsidRPr="001B6E4D">
        <w:rPr>
          <w:rFonts w:ascii="標楷體" w:eastAsia="標楷體" w:hAnsi="標楷體" w:hint="eastAsia"/>
          <w:b/>
          <w:kern w:val="0"/>
          <w:sz w:val="32"/>
          <w:szCs w:val="32"/>
        </w:rPr>
        <w:t>司法院高金枝秘書長：</w:t>
      </w:r>
    </w:p>
    <w:p w14:paraId="0D973D6B" w14:textId="77777777" w:rsidR="00C77DA6" w:rsidRPr="001B6E4D" w:rsidRDefault="00B921E8" w:rsidP="003D1018">
      <w:pPr>
        <w:overflowPunct w:val="0"/>
        <w:spacing w:line="460" w:lineRule="exact"/>
        <w:ind w:leftChars="296" w:left="710"/>
        <w:jc w:val="both"/>
        <w:rPr>
          <w:rFonts w:ascii="標楷體" w:eastAsia="標楷體" w:hAnsi="標楷體"/>
          <w:bCs/>
          <w:kern w:val="0"/>
          <w:sz w:val="32"/>
          <w:szCs w:val="32"/>
        </w:rPr>
      </w:pPr>
      <w:r w:rsidRPr="001B6E4D">
        <w:rPr>
          <w:rFonts w:ascii="標楷體" w:eastAsia="標楷體" w:hAnsi="標楷體" w:hint="eastAsia"/>
          <w:bCs/>
          <w:kern w:val="0"/>
          <w:sz w:val="32"/>
          <w:szCs w:val="32"/>
        </w:rPr>
        <w:t>八月底與預算案一起送。</w:t>
      </w:r>
    </w:p>
    <w:p w14:paraId="30139F87" w14:textId="016EAAB3" w:rsidR="00B921E8" w:rsidRPr="001B6E4D" w:rsidRDefault="00B921E8" w:rsidP="003D1018">
      <w:pPr>
        <w:overflowPunct w:val="0"/>
        <w:spacing w:line="460" w:lineRule="exact"/>
        <w:ind w:leftChars="296" w:left="710"/>
        <w:jc w:val="both"/>
        <w:rPr>
          <w:rFonts w:ascii="標楷體" w:eastAsia="標楷體" w:hAnsi="標楷體"/>
          <w:bCs/>
          <w:kern w:val="0"/>
          <w:sz w:val="32"/>
          <w:szCs w:val="32"/>
        </w:rPr>
      </w:pPr>
      <w:r w:rsidRPr="001B6E4D">
        <w:rPr>
          <w:rFonts w:ascii="標楷體" w:eastAsia="標楷體" w:hAnsi="標楷體" w:hint="eastAsia"/>
          <w:b/>
          <w:kern w:val="0"/>
          <w:sz w:val="32"/>
          <w:szCs w:val="32"/>
        </w:rPr>
        <w:t>立法院張雅琳委員：</w:t>
      </w:r>
    </w:p>
    <w:p w14:paraId="7BDBC24D"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lastRenderedPageBreak/>
        <w:t>大家如果都沒有問題，今天的考察就到這邊。謝謝。</w:t>
      </w:r>
    </w:p>
    <w:p w14:paraId="38B9F005" w14:textId="77777777" w:rsidR="00B921E8" w:rsidRPr="001B6E4D" w:rsidRDefault="00B921E8" w:rsidP="003D1018">
      <w:pPr>
        <w:overflowPunct w:val="0"/>
        <w:spacing w:line="460" w:lineRule="exact"/>
        <w:jc w:val="both"/>
        <w:rPr>
          <w:rFonts w:ascii="標楷體" w:eastAsia="標楷體" w:hAnsi="標楷體" w:cs="新細明體"/>
          <w:b/>
          <w:bCs/>
          <w:kern w:val="0"/>
          <w:sz w:val="32"/>
          <w:szCs w:val="32"/>
        </w:rPr>
      </w:pPr>
      <w:r w:rsidRPr="001B6E4D">
        <w:rPr>
          <w:rFonts w:ascii="標楷體" w:eastAsia="標楷體" w:hAnsi="標楷體" w:cs="新細明體" w:hint="eastAsia"/>
          <w:b/>
          <w:bCs/>
          <w:kern w:val="0"/>
          <w:sz w:val="32"/>
          <w:szCs w:val="32"/>
        </w:rPr>
        <w:t>伍</w:t>
      </w:r>
      <w:r w:rsidRPr="001B6E4D">
        <w:rPr>
          <w:rFonts w:ascii="標楷體" w:eastAsia="標楷體" w:hAnsi="標楷體" w:cs="新細明體"/>
          <w:b/>
          <w:bCs/>
          <w:kern w:val="0"/>
          <w:sz w:val="32"/>
          <w:szCs w:val="32"/>
        </w:rPr>
        <w:t>、結論</w:t>
      </w:r>
    </w:p>
    <w:p w14:paraId="5039C6F5" w14:textId="77777777" w:rsidR="00B921E8" w:rsidRPr="001B6E4D" w:rsidRDefault="00B921E8" w:rsidP="003D1018">
      <w:pPr>
        <w:overflowPunct w:val="0"/>
        <w:spacing w:line="460" w:lineRule="exact"/>
        <w:ind w:leftChars="296" w:left="710"/>
        <w:jc w:val="both"/>
        <w:rPr>
          <w:rFonts w:ascii="標楷體" w:eastAsia="標楷體" w:hAnsi="標楷體" w:cs="新細明體"/>
          <w:kern w:val="0"/>
          <w:sz w:val="32"/>
          <w:szCs w:val="32"/>
        </w:rPr>
      </w:pPr>
      <w:r w:rsidRPr="001B6E4D">
        <w:rPr>
          <w:rFonts w:ascii="標楷體" w:eastAsia="標楷體" w:hAnsi="標楷體" w:cs="新細明體"/>
          <w:kern w:val="0"/>
          <w:sz w:val="32"/>
          <w:szCs w:val="32"/>
        </w:rPr>
        <w:t>一、立法院</w:t>
      </w:r>
      <w:r w:rsidRPr="001B6E4D">
        <w:rPr>
          <w:rFonts w:ascii="標楷體" w:eastAsia="標楷體" w:hAnsi="標楷體" w:cs="新細明體" w:hint="eastAsia"/>
          <w:kern w:val="0"/>
          <w:sz w:val="32"/>
          <w:szCs w:val="32"/>
        </w:rPr>
        <w:t>張雅琳</w:t>
      </w:r>
      <w:r w:rsidRPr="001B6E4D">
        <w:rPr>
          <w:rFonts w:ascii="標楷體" w:eastAsia="標楷體" w:hAnsi="標楷體" w:cs="新細明體"/>
          <w:kern w:val="0"/>
          <w:sz w:val="32"/>
          <w:szCs w:val="32"/>
        </w:rPr>
        <w:t>委員</w:t>
      </w:r>
      <w:r w:rsidRPr="001B6E4D">
        <w:rPr>
          <w:rFonts w:ascii="標楷體" w:eastAsia="標楷體" w:hAnsi="標楷體" w:cs="新細明體" w:hint="eastAsia"/>
          <w:kern w:val="0"/>
          <w:sz w:val="32"/>
          <w:szCs w:val="32"/>
        </w:rPr>
        <w:t>請</w:t>
      </w:r>
      <w:r w:rsidRPr="001B6E4D">
        <w:rPr>
          <w:rFonts w:ascii="標楷體" w:eastAsia="標楷體" w:hAnsi="標楷體" w:cs="新細明體"/>
          <w:kern w:val="0"/>
          <w:sz w:val="32"/>
          <w:szCs w:val="32"/>
        </w:rPr>
        <w:t>司法院提供下列資料供司法及法制委員會參考：</w:t>
      </w:r>
    </w:p>
    <w:p w14:paraId="5392885C"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（一）語音辨識系統</w:t>
      </w:r>
      <w:r w:rsidRPr="001B6E4D">
        <w:rPr>
          <w:rFonts w:ascii="標楷體" w:eastAsia="標楷體" w:hAnsi="標楷體" w:hint="eastAsia"/>
          <w:kern w:val="0"/>
          <w:sz w:val="32"/>
          <w:szCs w:val="32"/>
        </w:rPr>
        <w:t>試用法院書記官</w:t>
      </w:r>
      <w:r w:rsidRPr="001B6E4D">
        <w:rPr>
          <w:rFonts w:ascii="標楷體" w:eastAsia="標楷體" w:hAnsi="標楷體"/>
          <w:kern w:val="0"/>
          <w:sz w:val="32"/>
          <w:szCs w:val="32"/>
        </w:rPr>
        <w:t>滿意度調查結果。</w:t>
      </w:r>
    </w:p>
    <w:p w14:paraId="378605B8"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（二）</w:t>
      </w:r>
      <w:r w:rsidRPr="001B6E4D">
        <w:rPr>
          <w:rFonts w:ascii="標楷體" w:eastAsia="標楷體" w:hAnsi="標楷體" w:hint="eastAsia"/>
          <w:kern w:val="0"/>
          <w:sz w:val="32"/>
          <w:szCs w:val="32"/>
        </w:rPr>
        <w:t>語音辨識</w:t>
      </w:r>
      <w:r w:rsidRPr="001B6E4D">
        <w:rPr>
          <w:rFonts w:ascii="標楷體" w:eastAsia="標楷體" w:hAnsi="標楷體"/>
          <w:kern w:val="0"/>
          <w:sz w:val="32"/>
          <w:szCs w:val="32"/>
        </w:rPr>
        <w:t>系統痛點分析及</w:t>
      </w:r>
      <w:r w:rsidRPr="001B6E4D">
        <w:rPr>
          <w:rFonts w:ascii="標楷體" w:eastAsia="標楷體" w:hAnsi="標楷體" w:hint="eastAsia"/>
          <w:kern w:val="0"/>
          <w:sz w:val="32"/>
          <w:szCs w:val="32"/>
        </w:rPr>
        <w:t>導入、培訓計畫</w:t>
      </w:r>
      <w:r w:rsidRPr="001B6E4D">
        <w:rPr>
          <w:rFonts w:ascii="標楷體" w:eastAsia="標楷體" w:hAnsi="標楷體"/>
          <w:kern w:val="0"/>
          <w:sz w:val="32"/>
          <w:szCs w:val="32"/>
        </w:rPr>
        <w:t>。</w:t>
      </w:r>
    </w:p>
    <w:p w14:paraId="2B962495"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（三）各法院建置需求及整體推動規劃。</w:t>
      </w:r>
    </w:p>
    <w:p w14:paraId="3A063F92" w14:textId="77777777" w:rsidR="00B921E8" w:rsidRPr="001B6E4D" w:rsidRDefault="00B921E8" w:rsidP="003D1018">
      <w:pPr>
        <w:overflowPunct w:val="0"/>
        <w:spacing w:line="460" w:lineRule="exact"/>
        <w:ind w:leftChars="296" w:left="710"/>
        <w:jc w:val="both"/>
        <w:rPr>
          <w:rFonts w:ascii="標楷體" w:eastAsia="標楷體" w:hAnsi="標楷體"/>
          <w:kern w:val="0"/>
          <w:sz w:val="32"/>
          <w:szCs w:val="32"/>
        </w:rPr>
      </w:pPr>
      <w:r w:rsidRPr="001B6E4D">
        <w:rPr>
          <w:rFonts w:ascii="標楷體" w:eastAsia="標楷體" w:hAnsi="標楷體"/>
          <w:kern w:val="0"/>
          <w:sz w:val="32"/>
          <w:szCs w:val="32"/>
        </w:rPr>
        <w:t>二、司法院</w:t>
      </w:r>
      <w:r w:rsidRPr="001B6E4D">
        <w:rPr>
          <w:rFonts w:ascii="標楷體" w:eastAsia="標楷體" w:hAnsi="標楷體" w:hint="eastAsia"/>
          <w:kern w:val="0"/>
          <w:sz w:val="32"/>
          <w:szCs w:val="32"/>
        </w:rPr>
        <w:t>高</w:t>
      </w:r>
      <w:r w:rsidRPr="001B6E4D">
        <w:rPr>
          <w:rFonts w:ascii="標楷體" w:eastAsia="標楷體" w:hAnsi="標楷體"/>
          <w:kern w:val="0"/>
          <w:sz w:val="32"/>
          <w:szCs w:val="32"/>
        </w:rPr>
        <w:t>金枝</w:t>
      </w:r>
      <w:r w:rsidRPr="001B6E4D">
        <w:rPr>
          <w:rFonts w:ascii="標楷體" w:eastAsia="標楷體" w:hAnsi="標楷體" w:hint="eastAsia"/>
          <w:kern w:val="0"/>
          <w:sz w:val="32"/>
          <w:szCs w:val="32"/>
        </w:rPr>
        <w:t>秘書長</w:t>
      </w:r>
      <w:r w:rsidRPr="001B6E4D">
        <w:rPr>
          <w:rFonts w:ascii="標楷體" w:eastAsia="標楷體" w:hAnsi="標楷體"/>
          <w:kern w:val="0"/>
          <w:sz w:val="32"/>
          <w:szCs w:val="32"/>
        </w:rPr>
        <w:t>表示，上開資料預定於115年8月底</w:t>
      </w:r>
      <w:proofErr w:type="gramStart"/>
      <w:r w:rsidRPr="001B6E4D">
        <w:rPr>
          <w:rFonts w:ascii="標楷體" w:eastAsia="標楷體" w:hAnsi="標楷體"/>
          <w:kern w:val="0"/>
          <w:sz w:val="32"/>
          <w:szCs w:val="32"/>
        </w:rPr>
        <w:t>併</w:t>
      </w:r>
      <w:proofErr w:type="gramEnd"/>
      <w:r w:rsidRPr="001B6E4D">
        <w:rPr>
          <w:rFonts w:ascii="標楷體" w:eastAsia="標楷體" w:hAnsi="標楷體"/>
          <w:kern w:val="0"/>
          <w:sz w:val="32"/>
          <w:szCs w:val="32"/>
        </w:rPr>
        <w:t>同預算案送交立法院參考。</w:t>
      </w:r>
    </w:p>
    <w:p w14:paraId="1CC19CE8" w14:textId="77777777" w:rsidR="00B921E8" w:rsidRPr="001B6E4D" w:rsidRDefault="00B921E8" w:rsidP="003D1018">
      <w:pPr>
        <w:overflowPunct w:val="0"/>
        <w:rPr>
          <w:rFonts w:ascii="標楷體" w:eastAsia="標楷體" w:hAnsi="標楷體" w:cs="新細明體"/>
          <w:kern w:val="0"/>
          <w:sz w:val="28"/>
          <w:szCs w:val="28"/>
        </w:rPr>
      </w:pPr>
      <w:r w:rsidRPr="001B6E4D">
        <w:rPr>
          <w:rFonts w:ascii="標楷體" w:eastAsia="標楷體" w:hAnsi="標楷體" w:cs="新細明體"/>
          <w:kern w:val="0"/>
          <w:sz w:val="28"/>
          <w:szCs w:val="28"/>
        </w:rPr>
        <w:br w:type="page"/>
      </w:r>
    </w:p>
    <w:p w14:paraId="2AE0065C" w14:textId="3F88EFAF" w:rsidR="00B921E8" w:rsidRPr="001B6E4D" w:rsidRDefault="00B921E8" w:rsidP="003D1018">
      <w:pPr>
        <w:kinsoku w:val="0"/>
        <w:overflowPunct w:val="0"/>
        <w:snapToGrid w:val="0"/>
        <w:spacing w:afterLines="50" w:after="180" w:line="440" w:lineRule="exact"/>
        <w:jc w:val="center"/>
        <w:outlineLvl w:val="4"/>
        <w:rPr>
          <w:rFonts w:ascii="標楷體" w:eastAsia="標楷體" w:hAnsi="標楷體"/>
          <w:b/>
          <w:sz w:val="36"/>
          <w:szCs w:val="20"/>
        </w:rPr>
      </w:pPr>
      <w:r w:rsidRPr="001B6E4D">
        <w:rPr>
          <w:rFonts w:ascii="標楷體" w:eastAsia="標楷體" w:hAnsi="標楷體" w:hint="eastAsia"/>
          <w:b/>
          <w:sz w:val="36"/>
          <w:szCs w:val="20"/>
        </w:rPr>
        <w:lastRenderedPageBreak/>
        <w:t>立法院司法及法制委員會</w:t>
      </w:r>
      <w:bookmarkStart w:id="572" w:name="法務部矯正署臺北少年觀護所少年出所轉銜機制與毒品防治業務改況書面記錄"/>
      <w:r w:rsidRPr="001B6E4D">
        <w:rPr>
          <w:rFonts w:ascii="標楷體" w:eastAsia="標楷體" w:hAnsi="標楷體" w:hint="eastAsia"/>
          <w:b/>
          <w:sz w:val="36"/>
          <w:szCs w:val="20"/>
        </w:rPr>
        <w:t>考察「法務部矯正署</w:t>
      </w:r>
      <w:proofErr w:type="gramStart"/>
      <w:r w:rsidRPr="001B6E4D">
        <w:rPr>
          <w:rFonts w:ascii="標楷體" w:eastAsia="標楷體" w:hAnsi="標楷體" w:hint="eastAsia"/>
          <w:b/>
          <w:sz w:val="36"/>
          <w:szCs w:val="20"/>
        </w:rPr>
        <w:t>臺</w:t>
      </w:r>
      <w:proofErr w:type="gramEnd"/>
      <w:r w:rsidRPr="001B6E4D">
        <w:rPr>
          <w:rFonts w:ascii="標楷體" w:eastAsia="標楷體" w:hAnsi="標楷體" w:hint="eastAsia"/>
          <w:b/>
          <w:sz w:val="36"/>
          <w:szCs w:val="20"/>
        </w:rPr>
        <w:t>北少年觀護所少年出所轉銜機制與毒品防治業務概況」書面紀錄</w:t>
      </w:r>
      <w:bookmarkEnd w:id="572"/>
    </w:p>
    <w:p w14:paraId="6F60CAAA" w14:textId="77777777" w:rsidR="00B921E8" w:rsidRPr="001B6E4D" w:rsidRDefault="00B921E8" w:rsidP="003D1018">
      <w:pPr>
        <w:widowControl w:val="0"/>
        <w:overflowPunct w:val="0"/>
        <w:autoSpaceDE w:val="0"/>
        <w:spacing w:line="520" w:lineRule="atLeast"/>
        <w:jc w:val="both"/>
        <w:rPr>
          <w:rFonts w:ascii="標楷體" w:eastAsia="標楷體" w:hAnsi="標楷體" w:cs="標楷體"/>
          <w:color w:val="000000"/>
          <w:sz w:val="32"/>
          <w:szCs w:val="32"/>
          <w:lang w:val="zh-TW"/>
        </w:rPr>
      </w:pPr>
      <w:r w:rsidRPr="001B6E4D">
        <w:rPr>
          <w:rFonts w:ascii="標楷體" w:eastAsia="標楷體" w:hAnsi="標楷體" w:cs="標楷體" w:hint="eastAsia"/>
          <w:color w:val="000000"/>
          <w:sz w:val="32"/>
          <w:szCs w:val="32"/>
          <w:lang w:val="zh-TW"/>
        </w:rPr>
        <w:t>時間：</w:t>
      </w:r>
      <w:r w:rsidRPr="001B6E4D">
        <w:rPr>
          <w:rFonts w:ascii="標楷體" w:eastAsia="標楷體" w:hAnsi="標楷體" w:hint="eastAsia"/>
          <w:iCs/>
          <w:color w:val="000000"/>
          <w:sz w:val="32"/>
          <w:szCs w:val="32"/>
          <w:lang w:val="zh-TW" w:eastAsia="x-none"/>
        </w:rPr>
        <w:t>115</w:t>
      </w:r>
      <w:r w:rsidRPr="001B6E4D">
        <w:rPr>
          <w:rFonts w:ascii="標楷體" w:eastAsia="標楷體" w:hAnsi="標楷體" w:cs="標楷體" w:hint="eastAsia"/>
          <w:color w:val="000000"/>
          <w:sz w:val="32"/>
          <w:szCs w:val="32"/>
          <w:lang w:val="zh-TW"/>
        </w:rPr>
        <w:t>年6月15日（星期一）10時20分</w:t>
      </w:r>
    </w:p>
    <w:p w14:paraId="6F4BD464" w14:textId="77777777" w:rsidR="00B921E8" w:rsidRPr="001B6E4D" w:rsidRDefault="00B921E8" w:rsidP="003D1018">
      <w:pPr>
        <w:widowControl w:val="0"/>
        <w:overflowPunct w:val="0"/>
        <w:autoSpaceDE w:val="0"/>
        <w:spacing w:line="520" w:lineRule="atLeast"/>
        <w:jc w:val="both"/>
        <w:rPr>
          <w:rFonts w:ascii="標楷體" w:eastAsia="標楷體" w:hAnsi="標楷體" w:cs="標楷體"/>
          <w:color w:val="000000"/>
          <w:sz w:val="32"/>
          <w:szCs w:val="32"/>
          <w:lang w:val="zh-TW"/>
        </w:rPr>
      </w:pPr>
      <w:r w:rsidRPr="001B6E4D">
        <w:rPr>
          <w:rFonts w:ascii="標楷體" w:eastAsia="標楷體" w:hAnsi="標楷體" w:cs="標楷體" w:hint="eastAsia"/>
          <w:color w:val="000000"/>
          <w:sz w:val="32"/>
          <w:szCs w:val="32"/>
          <w:lang w:val="zh-TW"/>
        </w:rPr>
        <w:t>地點：</w:t>
      </w:r>
      <w:proofErr w:type="gramStart"/>
      <w:r w:rsidRPr="001B6E4D">
        <w:rPr>
          <w:rFonts w:ascii="標楷體" w:eastAsia="標楷體" w:hAnsi="標楷體" w:cs="標楷體" w:hint="eastAsia"/>
          <w:color w:val="000000"/>
          <w:sz w:val="32"/>
          <w:szCs w:val="32"/>
          <w:lang w:val="zh-TW"/>
        </w:rPr>
        <w:t>臺</w:t>
      </w:r>
      <w:proofErr w:type="gramEnd"/>
      <w:r w:rsidRPr="001B6E4D">
        <w:rPr>
          <w:rFonts w:ascii="標楷體" w:eastAsia="標楷體" w:hAnsi="標楷體" w:cs="標楷體" w:hint="eastAsia"/>
          <w:color w:val="000000"/>
          <w:sz w:val="32"/>
          <w:szCs w:val="32"/>
          <w:lang w:val="zh-TW"/>
        </w:rPr>
        <w:t>北少年觀護所2樓會議室</w:t>
      </w:r>
    </w:p>
    <w:p w14:paraId="4B1FEB40" w14:textId="295BAB8A" w:rsidR="00B921E8" w:rsidRPr="001B6E4D" w:rsidRDefault="00B921E8" w:rsidP="003D1018">
      <w:pPr>
        <w:widowControl w:val="0"/>
        <w:overflowPunct w:val="0"/>
        <w:autoSpaceDE w:val="0"/>
        <w:spacing w:line="420" w:lineRule="exact"/>
        <w:jc w:val="both"/>
        <w:rPr>
          <w:rFonts w:ascii="標楷體" w:eastAsia="標楷體" w:hAnsi="標楷體" w:cs="標楷體"/>
          <w:color w:val="000000"/>
          <w:sz w:val="32"/>
          <w:szCs w:val="32"/>
          <w:lang w:val="zh-TW"/>
        </w:rPr>
      </w:pPr>
      <w:r w:rsidRPr="001B6E4D">
        <w:rPr>
          <w:rFonts w:ascii="標楷體" w:eastAsia="標楷體" w:hAnsi="標楷體" w:cs="標楷體" w:hint="eastAsia"/>
          <w:color w:val="000000"/>
          <w:sz w:val="32"/>
          <w:szCs w:val="32"/>
          <w:lang w:val="zh-TW"/>
        </w:rPr>
        <w:t>主席：張立法委員雅琳                     紀錄：楊育淵</w:t>
      </w:r>
    </w:p>
    <w:p w14:paraId="2290D7E2" w14:textId="3CD088DA" w:rsidR="00B921E8" w:rsidRPr="001B6E4D" w:rsidRDefault="00B921E8" w:rsidP="003D1018">
      <w:pPr>
        <w:widowControl w:val="0"/>
        <w:overflowPunct w:val="0"/>
        <w:spacing w:line="420" w:lineRule="exact"/>
        <w:jc w:val="both"/>
        <w:rPr>
          <w:rFonts w:ascii="標楷體" w:eastAsia="標楷體" w:hAnsi="標楷體" w:cs="標楷體"/>
          <w:color w:val="000000"/>
          <w:sz w:val="32"/>
          <w:szCs w:val="32"/>
          <w:lang w:val="zh-TW"/>
        </w:rPr>
      </w:pPr>
      <w:r w:rsidRPr="001B6E4D">
        <w:rPr>
          <w:rFonts w:ascii="標楷體" w:eastAsia="標楷體" w:hAnsi="標楷體" w:cs="標楷體" w:hint="eastAsia"/>
          <w:color w:val="000000"/>
          <w:sz w:val="32"/>
          <w:szCs w:val="32"/>
          <w:lang w:val="zh-TW"/>
        </w:rPr>
        <w:t>出席人員：陳立法委員昭姿</w:t>
      </w:r>
    </w:p>
    <w:p w14:paraId="29B6C694" w14:textId="271EE41F" w:rsidR="00B921E8" w:rsidRPr="001B6E4D" w:rsidRDefault="00B921E8" w:rsidP="003D1018">
      <w:pPr>
        <w:widowControl w:val="0"/>
        <w:overflowPunct w:val="0"/>
        <w:spacing w:line="420" w:lineRule="exact"/>
        <w:jc w:val="both"/>
        <w:rPr>
          <w:rFonts w:ascii="標楷體" w:eastAsia="標楷體" w:hAnsi="標楷體"/>
          <w:color w:val="000000"/>
          <w:sz w:val="32"/>
          <w:szCs w:val="32"/>
        </w:rPr>
      </w:pPr>
      <w:r w:rsidRPr="001B6E4D">
        <w:rPr>
          <w:rFonts w:ascii="標楷體" w:eastAsia="標楷體" w:hAnsi="標楷體" w:cs="標楷體" w:hint="eastAsia"/>
          <w:color w:val="000000"/>
          <w:sz w:val="32"/>
          <w:szCs w:val="32"/>
          <w:lang w:val="zh-TW"/>
        </w:rPr>
        <w:t xml:space="preserve">          </w:t>
      </w:r>
      <w:r w:rsidRPr="001B6E4D">
        <w:rPr>
          <w:rFonts w:ascii="標楷體" w:eastAsia="標楷體" w:hAnsi="標楷體" w:hint="eastAsia"/>
          <w:color w:val="000000"/>
          <w:sz w:val="32"/>
          <w:szCs w:val="32"/>
        </w:rPr>
        <w:t>立法院司法及法制委員會   蔡簡任編審國治</w:t>
      </w:r>
    </w:p>
    <w:p w14:paraId="63ECEE8F" w14:textId="77777777" w:rsidR="00B921E8" w:rsidRPr="001B6E4D" w:rsidRDefault="00B921E8" w:rsidP="003D1018">
      <w:pPr>
        <w:widowControl w:val="0"/>
        <w:overflowPunct w:val="0"/>
        <w:spacing w:line="420" w:lineRule="exact"/>
        <w:ind w:firstLineChars="494" w:firstLine="1581"/>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立法院司法及法制委員會   莊專員鴻基</w:t>
      </w:r>
    </w:p>
    <w:p w14:paraId="1388D924" w14:textId="77777777" w:rsidR="00B921E8" w:rsidRPr="001B6E4D" w:rsidRDefault="00B921E8" w:rsidP="003D1018">
      <w:pPr>
        <w:widowControl w:val="0"/>
        <w:overflowPunct w:val="0"/>
        <w:spacing w:line="420" w:lineRule="exact"/>
        <w:ind w:firstLineChars="494" w:firstLine="1581"/>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立法院張雅琳委員         張研究室助理庭</w:t>
      </w:r>
      <w:proofErr w:type="gramStart"/>
      <w:r w:rsidRPr="001B6E4D">
        <w:rPr>
          <w:rFonts w:ascii="標楷體" w:eastAsia="標楷體" w:hAnsi="標楷體" w:hint="eastAsia"/>
          <w:color w:val="000000"/>
          <w:sz w:val="32"/>
          <w:szCs w:val="32"/>
        </w:rPr>
        <w:t>逌</w:t>
      </w:r>
      <w:proofErr w:type="gramEnd"/>
    </w:p>
    <w:p w14:paraId="03FEF0DB" w14:textId="77777777" w:rsidR="00B921E8" w:rsidRPr="001B6E4D" w:rsidRDefault="00B921E8" w:rsidP="003D1018">
      <w:pPr>
        <w:widowControl w:val="0"/>
        <w:overflowPunct w:val="0"/>
        <w:spacing w:line="420" w:lineRule="exact"/>
        <w:ind w:firstLineChars="494" w:firstLine="1581"/>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立法院張雅琳委員        </w:t>
      </w:r>
      <w:r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李研究室助理晏蓉</w:t>
      </w:r>
    </w:p>
    <w:p w14:paraId="666AAC91" w14:textId="77777777" w:rsidR="00B921E8" w:rsidRPr="001B6E4D" w:rsidRDefault="00B921E8" w:rsidP="003D1018">
      <w:pPr>
        <w:widowControl w:val="0"/>
        <w:overflowPunct w:val="0"/>
        <w:spacing w:line="420" w:lineRule="exact"/>
        <w:ind w:firstLineChars="494" w:firstLine="1581"/>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立法院陳昭姿委員       </w:t>
      </w:r>
      <w:r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洪研究室助理可恩</w:t>
      </w:r>
    </w:p>
    <w:p w14:paraId="256B1A8F" w14:textId="77777777" w:rsidR="00B921E8" w:rsidRPr="001B6E4D" w:rsidRDefault="00B921E8" w:rsidP="003D1018">
      <w:pPr>
        <w:widowControl w:val="0"/>
        <w:overflowPunct w:val="0"/>
        <w:spacing w:line="420" w:lineRule="exact"/>
        <w:ind w:firstLineChars="494" w:firstLine="1581"/>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立法院莊瑞雄委員       </w:t>
      </w:r>
      <w:r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李研究室助理虹</w:t>
      </w:r>
      <w:proofErr w:type="gramStart"/>
      <w:r w:rsidRPr="001B6E4D">
        <w:rPr>
          <w:rFonts w:ascii="標楷體" w:eastAsia="標楷體" w:hAnsi="標楷體" w:hint="eastAsia"/>
          <w:color w:val="000000"/>
          <w:sz w:val="32"/>
          <w:szCs w:val="32"/>
        </w:rPr>
        <w:t>妏</w:t>
      </w:r>
      <w:proofErr w:type="gramEnd"/>
    </w:p>
    <w:p w14:paraId="18E6984C" w14:textId="77777777" w:rsidR="00B921E8" w:rsidRPr="001B6E4D" w:rsidRDefault="00B921E8" w:rsidP="003D1018">
      <w:pPr>
        <w:widowControl w:val="0"/>
        <w:overflowPunct w:val="0"/>
        <w:spacing w:line="420" w:lineRule="exact"/>
        <w:ind w:firstLineChars="494" w:firstLine="1581"/>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立法院莊瑞雄委員         王研究室助理柏皓</w:t>
      </w:r>
    </w:p>
    <w:p w14:paraId="616D65DD" w14:textId="77777777" w:rsidR="00B921E8" w:rsidRPr="001B6E4D" w:rsidRDefault="00B921E8" w:rsidP="003D1018">
      <w:pPr>
        <w:widowControl w:val="0"/>
        <w:overflowPunct w:val="0"/>
        <w:spacing w:line="420" w:lineRule="exact"/>
        <w:ind w:firstLineChars="494" w:firstLine="1581"/>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立法院羅美玲委員         任研究室助理</w:t>
      </w:r>
      <w:proofErr w:type="gramStart"/>
      <w:r w:rsidRPr="001B6E4D">
        <w:rPr>
          <w:rFonts w:ascii="標楷體" w:eastAsia="標楷體" w:hAnsi="標楷體" w:hint="eastAsia"/>
          <w:color w:val="000000"/>
          <w:sz w:val="32"/>
          <w:szCs w:val="32"/>
        </w:rPr>
        <w:t>妤妍</w:t>
      </w:r>
      <w:proofErr w:type="gramEnd"/>
    </w:p>
    <w:p w14:paraId="3CE9A959" w14:textId="77777777" w:rsidR="00B921E8" w:rsidRPr="001B6E4D" w:rsidRDefault="00B921E8" w:rsidP="003D1018">
      <w:pPr>
        <w:widowControl w:val="0"/>
        <w:overflowPunct w:val="0"/>
        <w:spacing w:line="420" w:lineRule="exact"/>
        <w:ind w:firstLineChars="494" w:firstLine="1581"/>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立法院羅美玲委員         鄭研究室助理立</w:t>
      </w:r>
      <w:proofErr w:type="gramStart"/>
      <w:r w:rsidRPr="001B6E4D">
        <w:rPr>
          <w:rFonts w:ascii="標楷體" w:eastAsia="標楷體" w:hAnsi="標楷體" w:hint="eastAsia"/>
          <w:color w:val="000000"/>
          <w:sz w:val="32"/>
          <w:szCs w:val="32"/>
        </w:rPr>
        <w:t>恒</w:t>
      </w:r>
      <w:proofErr w:type="gramEnd"/>
    </w:p>
    <w:p w14:paraId="6B12A1E8" w14:textId="77777777" w:rsidR="00B921E8" w:rsidRPr="001B6E4D" w:rsidRDefault="00B921E8" w:rsidP="003D1018">
      <w:pPr>
        <w:widowControl w:val="0"/>
        <w:overflowPunct w:val="0"/>
        <w:spacing w:line="420" w:lineRule="exact"/>
        <w:ind w:firstLineChars="494" w:firstLine="1581"/>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立法院翁曉玲委員         黃研究室助理</w:t>
      </w:r>
      <w:proofErr w:type="gramStart"/>
      <w:r w:rsidRPr="001B6E4D">
        <w:rPr>
          <w:rFonts w:ascii="標楷體" w:eastAsia="標楷體" w:hAnsi="標楷體" w:hint="eastAsia"/>
          <w:color w:val="000000"/>
          <w:sz w:val="32"/>
          <w:szCs w:val="32"/>
        </w:rPr>
        <w:t>昱</w:t>
      </w:r>
      <w:proofErr w:type="gramEnd"/>
      <w:r w:rsidRPr="001B6E4D">
        <w:rPr>
          <w:rFonts w:ascii="標楷體" w:eastAsia="標楷體" w:hAnsi="標楷體" w:hint="eastAsia"/>
          <w:color w:val="000000"/>
          <w:sz w:val="32"/>
          <w:szCs w:val="32"/>
        </w:rPr>
        <w:t>華</w:t>
      </w:r>
    </w:p>
    <w:p w14:paraId="44DA34AC" w14:textId="77777777" w:rsidR="00B921E8" w:rsidRPr="001B6E4D" w:rsidRDefault="00B921E8" w:rsidP="003D1018">
      <w:pPr>
        <w:widowControl w:val="0"/>
        <w:overflowPunct w:val="0"/>
        <w:spacing w:line="420" w:lineRule="exact"/>
        <w:ind w:firstLineChars="494" w:firstLine="1581"/>
        <w:jc w:val="both"/>
        <w:rPr>
          <w:rFonts w:ascii="標楷體" w:eastAsia="標楷體" w:hAnsi="標楷體"/>
          <w:color w:val="000000"/>
          <w:sz w:val="32"/>
          <w:szCs w:val="32"/>
        </w:rPr>
      </w:pPr>
      <w:r w:rsidRPr="001B6E4D">
        <w:rPr>
          <w:rFonts w:ascii="標楷體" w:eastAsia="標楷體" w:hAnsi="標楷體" w:hint="eastAsia"/>
          <w:color w:val="000000"/>
          <w:sz w:val="32"/>
          <w:szCs w:val="32"/>
        </w:rPr>
        <w:t>立法院林月琴委員         王研究室助理卓鵬</w:t>
      </w:r>
    </w:p>
    <w:p w14:paraId="022379D6" w14:textId="77777777" w:rsidR="00B921E8" w:rsidRPr="001B6E4D" w:rsidRDefault="00B921E8" w:rsidP="003D1018">
      <w:pPr>
        <w:widowControl w:val="0"/>
        <w:overflowPunct w:val="0"/>
        <w:spacing w:line="420" w:lineRule="exact"/>
        <w:ind w:leftChars="-285" w:left="1" w:hangingChars="214" w:hanging="685"/>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司法院                   傅法官曉</w:t>
      </w:r>
      <w:proofErr w:type="gramStart"/>
      <w:r w:rsidRPr="001B6E4D">
        <w:rPr>
          <w:rFonts w:ascii="標楷體" w:eastAsia="標楷體" w:hAnsi="標楷體" w:hint="eastAsia"/>
          <w:color w:val="000000"/>
          <w:sz w:val="32"/>
          <w:szCs w:val="32"/>
        </w:rPr>
        <w:t>瑄</w:t>
      </w:r>
      <w:proofErr w:type="gramEnd"/>
    </w:p>
    <w:p w14:paraId="2605C7EF" w14:textId="77777777" w:rsidR="00B921E8" w:rsidRPr="001B6E4D" w:rsidRDefault="00B921E8" w:rsidP="003D1018">
      <w:pPr>
        <w:widowControl w:val="0"/>
        <w:overflowPunct w:val="0"/>
        <w:spacing w:line="420" w:lineRule="exact"/>
        <w:ind w:leftChars="-285" w:left="1" w:hangingChars="214" w:hanging="685"/>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司法院                   楊科長博維 </w:t>
      </w:r>
    </w:p>
    <w:p w14:paraId="46D3D05A" w14:textId="77777777" w:rsidR="00B921E8" w:rsidRPr="001B6E4D" w:rsidRDefault="00B921E8" w:rsidP="003D1018">
      <w:pPr>
        <w:widowControl w:val="0"/>
        <w:overflowPunct w:val="0"/>
        <w:spacing w:line="420" w:lineRule="exact"/>
        <w:ind w:leftChars="-285" w:left="1" w:hangingChars="214" w:hanging="685"/>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司法院                   李科員名翔</w:t>
      </w:r>
    </w:p>
    <w:p w14:paraId="46ECE3D6" w14:textId="77777777" w:rsidR="00B921E8" w:rsidRPr="001B6E4D" w:rsidRDefault="00B921E8" w:rsidP="003D1018">
      <w:pPr>
        <w:widowControl w:val="0"/>
        <w:overflowPunct w:val="0"/>
        <w:spacing w:line="420" w:lineRule="exact"/>
        <w:ind w:leftChars="-285" w:left="1" w:hangingChars="214" w:hanging="685"/>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司法院                   陳科員冠宇</w:t>
      </w:r>
    </w:p>
    <w:p w14:paraId="08ED6C1A" w14:textId="77777777" w:rsidR="00B921E8" w:rsidRPr="001B6E4D" w:rsidRDefault="00B921E8" w:rsidP="003D1018">
      <w:pPr>
        <w:widowControl w:val="0"/>
        <w:overflowPunct w:val="0"/>
        <w:spacing w:line="420" w:lineRule="exact"/>
        <w:ind w:leftChars="-285" w:left="1" w:hangingChars="214" w:hanging="685"/>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法務部                   鄭專門委員偉利</w:t>
      </w:r>
    </w:p>
    <w:p w14:paraId="1758CF61" w14:textId="77777777" w:rsidR="00B921E8" w:rsidRPr="001B6E4D" w:rsidRDefault="00B921E8" w:rsidP="003D1018">
      <w:pPr>
        <w:widowControl w:val="0"/>
        <w:overflowPunct w:val="0"/>
        <w:spacing w:line="420" w:lineRule="exact"/>
        <w:ind w:leftChars="-285" w:left="1" w:hangingChars="214" w:hanging="685"/>
        <w:jc w:val="both"/>
        <w:rPr>
          <w:rFonts w:ascii="標楷體" w:eastAsia="標楷體" w:hAnsi="標楷體" w:cs="新細明體"/>
          <w:color w:val="000000"/>
          <w:sz w:val="32"/>
          <w:szCs w:val="32"/>
        </w:rPr>
      </w:pPr>
      <w:r w:rsidRPr="001B6E4D">
        <w:rPr>
          <w:rFonts w:ascii="標楷體" w:eastAsia="標楷體" w:hAnsi="標楷體" w:hint="eastAsia"/>
          <w:color w:val="000000"/>
          <w:sz w:val="32"/>
          <w:szCs w:val="32"/>
        </w:rPr>
        <w:t xml:space="preserve">              法務部                   王科長</w:t>
      </w:r>
      <w:r w:rsidRPr="001B6E4D">
        <w:rPr>
          <w:rFonts w:ascii="標楷體" w:eastAsia="標楷體" w:hAnsi="標楷體" w:cs="新細明體" w:hint="eastAsia"/>
          <w:color w:val="000000"/>
          <w:sz w:val="32"/>
          <w:szCs w:val="32"/>
        </w:rPr>
        <w:t>孟涵</w:t>
      </w:r>
    </w:p>
    <w:p w14:paraId="45187CFA" w14:textId="77777777" w:rsidR="00B921E8" w:rsidRPr="001B6E4D" w:rsidRDefault="00B921E8" w:rsidP="003D1018">
      <w:pPr>
        <w:widowControl w:val="0"/>
        <w:overflowPunct w:val="0"/>
        <w:spacing w:line="420" w:lineRule="exact"/>
        <w:ind w:leftChars="-285" w:left="1" w:hangingChars="214" w:hanging="685"/>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法務部</w:t>
      </w:r>
      <w:r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張科員宜</w:t>
      </w:r>
      <w:proofErr w:type="gramStart"/>
      <w:r w:rsidRPr="001B6E4D">
        <w:rPr>
          <w:rFonts w:ascii="標楷體" w:eastAsia="標楷體" w:hAnsi="標楷體" w:hint="eastAsia"/>
          <w:color w:val="000000"/>
          <w:sz w:val="32"/>
          <w:szCs w:val="32"/>
        </w:rPr>
        <w:t>瑄</w:t>
      </w:r>
      <w:proofErr w:type="gramEnd"/>
    </w:p>
    <w:p w14:paraId="577F5A43" w14:textId="77777777" w:rsidR="00B921E8" w:rsidRPr="001B6E4D" w:rsidRDefault="00B921E8" w:rsidP="003D1018">
      <w:pPr>
        <w:widowControl w:val="0"/>
        <w:overflowPunct w:val="0"/>
        <w:spacing w:line="420" w:lineRule="exact"/>
        <w:ind w:leftChars="-285" w:left="1" w:hangingChars="214" w:hanging="685"/>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法務部矯正署             蘇主任秘書維闊</w:t>
      </w:r>
    </w:p>
    <w:p w14:paraId="4BB69534" w14:textId="77777777" w:rsidR="00B921E8" w:rsidRPr="001B6E4D" w:rsidRDefault="00B921E8" w:rsidP="003D1018">
      <w:pPr>
        <w:widowControl w:val="0"/>
        <w:overflowPunct w:val="0"/>
        <w:spacing w:line="420" w:lineRule="exact"/>
        <w:ind w:leftChars="-285" w:left="1" w:hangingChars="214" w:hanging="685"/>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法務部矯正署             李副組長明謹 </w:t>
      </w:r>
    </w:p>
    <w:p w14:paraId="3686D611" w14:textId="77777777" w:rsidR="00B921E8" w:rsidRPr="001B6E4D" w:rsidRDefault="00B921E8" w:rsidP="003D1018">
      <w:pPr>
        <w:widowControl w:val="0"/>
        <w:overflowPunct w:val="0"/>
        <w:spacing w:line="420" w:lineRule="exact"/>
        <w:ind w:leftChars="-285" w:left="1" w:hangingChars="214" w:hanging="685"/>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法務部矯正署             王科長志明</w:t>
      </w:r>
    </w:p>
    <w:p w14:paraId="6DCF0C69" w14:textId="35DA7765" w:rsidR="00B921E8" w:rsidRPr="001B6E4D" w:rsidRDefault="00B921E8" w:rsidP="003D1018">
      <w:pPr>
        <w:widowControl w:val="0"/>
        <w:overflowPunct w:val="0"/>
        <w:spacing w:line="420" w:lineRule="exact"/>
        <w:ind w:left="1" w:firstLineChars="485" w:firstLine="1552"/>
        <w:jc w:val="both"/>
        <w:rPr>
          <w:rFonts w:ascii="標楷體" w:eastAsia="標楷體" w:hAnsi="標楷體"/>
          <w:color w:val="000000"/>
          <w:sz w:val="32"/>
          <w:szCs w:val="32"/>
        </w:rPr>
      </w:pPr>
      <w:r w:rsidRPr="001B6E4D">
        <w:rPr>
          <w:rFonts w:ascii="標楷體" w:eastAsia="標楷體" w:hAnsi="標楷體" w:hint="eastAsia"/>
          <w:color w:val="000000"/>
          <w:sz w:val="32"/>
          <w:szCs w:val="32"/>
        </w:rPr>
        <w:t>法務部矯正署</w:t>
      </w:r>
      <w:r w:rsidR="005D4B51" w:rsidRPr="001B6E4D">
        <w:rPr>
          <w:rFonts w:ascii="標楷體" w:eastAsia="標楷體" w:hAnsi="標楷體" w:hint="eastAsia"/>
          <w:color w:val="000000"/>
          <w:sz w:val="32"/>
          <w:szCs w:val="32"/>
        </w:rPr>
        <w:t xml:space="preserve">             </w:t>
      </w:r>
      <w:r w:rsidRPr="001B6E4D">
        <w:rPr>
          <w:rFonts w:ascii="標楷體" w:eastAsia="標楷體" w:hAnsi="標楷體" w:hint="eastAsia"/>
          <w:color w:val="000000"/>
          <w:sz w:val="32"/>
          <w:szCs w:val="32"/>
        </w:rPr>
        <w:t>羅科長茂榮</w:t>
      </w:r>
    </w:p>
    <w:p w14:paraId="3B1C07DD" w14:textId="77777777" w:rsidR="00B921E8" w:rsidRPr="001B6E4D" w:rsidRDefault="00B921E8" w:rsidP="003D1018">
      <w:pPr>
        <w:widowControl w:val="0"/>
        <w:overflowPunct w:val="0"/>
        <w:spacing w:line="420" w:lineRule="exact"/>
        <w:ind w:leftChars="-279" w:left="-1" w:hangingChars="209" w:hanging="669"/>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w:t>
      </w:r>
      <w:proofErr w:type="gramStart"/>
      <w:r w:rsidRPr="001B6E4D">
        <w:rPr>
          <w:rFonts w:ascii="標楷體" w:eastAsia="標楷體" w:hAnsi="標楷體" w:hint="eastAsia"/>
          <w:color w:val="000000"/>
          <w:sz w:val="32"/>
          <w:szCs w:val="32"/>
        </w:rPr>
        <w:t>臺</w:t>
      </w:r>
      <w:proofErr w:type="gramEnd"/>
      <w:r w:rsidRPr="001B6E4D">
        <w:rPr>
          <w:rFonts w:ascii="標楷體" w:eastAsia="標楷體" w:hAnsi="標楷體" w:hint="eastAsia"/>
          <w:color w:val="000000"/>
          <w:sz w:val="32"/>
          <w:szCs w:val="32"/>
        </w:rPr>
        <w:t xml:space="preserve">北少年觀護所     </w:t>
      </w:r>
      <w:r w:rsidRPr="001B6E4D">
        <w:rPr>
          <w:rFonts w:ascii="標楷體" w:eastAsia="標楷體" w:hAnsi="標楷體"/>
          <w:color w:val="000000"/>
          <w:sz w:val="32"/>
          <w:szCs w:val="32"/>
        </w:rPr>
        <w:t xml:space="preserve">      </w:t>
      </w:r>
      <w:r w:rsidRPr="001B6E4D">
        <w:rPr>
          <w:rFonts w:ascii="標楷體" w:eastAsia="標楷體" w:hAnsi="標楷體" w:hint="eastAsia"/>
          <w:color w:val="000000"/>
          <w:sz w:val="32"/>
          <w:szCs w:val="32"/>
        </w:rPr>
        <w:t>簡所長永池</w:t>
      </w:r>
    </w:p>
    <w:p w14:paraId="3D667C88" w14:textId="77777777" w:rsidR="00B921E8" w:rsidRPr="001B6E4D" w:rsidRDefault="00B921E8" w:rsidP="003D1018">
      <w:pPr>
        <w:widowControl w:val="0"/>
        <w:overflowPunct w:val="0"/>
        <w:spacing w:line="420" w:lineRule="exact"/>
        <w:ind w:leftChars="-280" w:hangingChars="210" w:hanging="672"/>
        <w:jc w:val="both"/>
        <w:rPr>
          <w:rFonts w:ascii="標楷體" w:eastAsia="標楷體" w:hAnsi="標楷體"/>
          <w:color w:val="000000"/>
          <w:sz w:val="32"/>
          <w:szCs w:val="32"/>
        </w:rPr>
      </w:pPr>
      <w:r w:rsidRPr="001B6E4D">
        <w:rPr>
          <w:rFonts w:ascii="標楷體" w:eastAsia="標楷體" w:hAnsi="標楷體" w:hint="eastAsia"/>
          <w:color w:val="000000"/>
          <w:sz w:val="32"/>
          <w:szCs w:val="32"/>
        </w:rPr>
        <w:t xml:space="preserve">              </w:t>
      </w:r>
      <w:proofErr w:type="gramStart"/>
      <w:r w:rsidRPr="001B6E4D">
        <w:rPr>
          <w:rFonts w:ascii="標楷體" w:eastAsia="標楷體" w:hAnsi="標楷體" w:hint="eastAsia"/>
          <w:color w:val="000000"/>
          <w:sz w:val="32"/>
          <w:szCs w:val="32"/>
        </w:rPr>
        <w:t>臺</w:t>
      </w:r>
      <w:proofErr w:type="gramEnd"/>
      <w:r w:rsidRPr="001B6E4D">
        <w:rPr>
          <w:rFonts w:ascii="標楷體" w:eastAsia="標楷體" w:hAnsi="標楷體" w:hint="eastAsia"/>
          <w:color w:val="000000"/>
          <w:sz w:val="32"/>
          <w:szCs w:val="32"/>
        </w:rPr>
        <w:t xml:space="preserve">北少年觀護所           </w:t>
      </w:r>
      <w:proofErr w:type="gramStart"/>
      <w:r w:rsidRPr="001B6E4D">
        <w:rPr>
          <w:rFonts w:ascii="標楷體" w:eastAsia="標楷體" w:hAnsi="標楷體" w:hint="eastAsia"/>
          <w:color w:val="000000"/>
          <w:sz w:val="32"/>
          <w:szCs w:val="32"/>
        </w:rPr>
        <w:t>江副所長</w:t>
      </w:r>
      <w:proofErr w:type="gramEnd"/>
      <w:r w:rsidRPr="001B6E4D">
        <w:rPr>
          <w:rFonts w:ascii="標楷體" w:eastAsia="標楷體" w:hAnsi="標楷體" w:hint="eastAsia"/>
          <w:color w:val="000000"/>
          <w:sz w:val="32"/>
          <w:szCs w:val="32"/>
        </w:rPr>
        <w:t>旭麗</w:t>
      </w:r>
    </w:p>
    <w:p w14:paraId="1FC43FAE" w14:textId="1AC36BF6" w:rsidR="00B921E8" w:rsidRPr="001B6E4D" w:rsidRDefault="00B921E8" w:rsidP="003D1018">
      <w:pPr>
        <w:widowControl w:val="0"/>
        <w:numPr>
          <w:ilvl w:val="0"/>
          <w:numId w:val="14"/>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22"/>
        </w:rPr>
        <w:t>業務簡報：</w:t>
      </w:r>
      <w:proofErr w:type="gramStart"/>
      <w:r w:rsidRPr="001B6E4D">
        <w:rPr>
          <w:rFonts w:ascii="標楷體" w:eastAsia="標楷體" w:hAnsi="標楷體" w:hint="eastAsia"/>
          <w:b/>
          <w:color w:val="000000"/>
          <w:sz w:val="32"/>
          <w:szCs w:val="22"/>
        </w:rPr>
        <w:t>由江副所長</w:t>
      </w:r>
      <w:proofErr w:type="gramEnd"/>
      <w:r w:rsidRPr="001B6E4D">
        <w:rPr>
          <w:rFonts w:ascii="標楷體" w:eastAsia="標楷體" w:hAnsi="標楷體" w:hint="eastAsia"/>
          <w:b/>
          <w:color w:val="000000"/>
          <w:sz w:val="32"/>
          <w:szCs w:val="22"/>
        </w:rPr>
        <w:t>旭麗</w:t>
      </w:r>
      <w:r w:rsidRPr="001B6E4D">
        <w:rPr>
          <w:rFonts w:ascii="標楷體" w:eastAsia="標楷體" w:hAnsi="標楷體" w:hint="eastAsia"/>
          <w:b/>
          <w:color w:val="000000"/>
          <w:sz w:val="32"/>
          <w:szCs w:val="32"/>
        </w:rPr>
        <w:t>報告。</w:t>
      </w:r>
    </w:p>
    <w:p w14:paraId="46CBBA9F" w14:textId="77777777" w:rsidR="00B921E8" w:rsidRPr="001B6E4D" w:rsidRDefault="00B921E8" w:rsidP="003D1018">
      <w:pPr>
        <w:widowControl w:val="0"/>
        <w:numPr>
          <w:ilvl w:val="0"/>
          <w:numId w:val="14"/>
        </w:numPr>
        <w:overflowPunct w:val="0"/>
        <w:spacing w:line="520" w:lineRule="exact"/>
        <w:jc w:val="both"/>
        <w:rPr>
          <w:rFonts w:ascii="標楷體" w:eastAsia="標楷體" w:hAnsi="標楷體" w:cs="標楷體"/>
          <w:b/>
          <w:color w:val="000000"/>
          <w:sz w:val="32"/>
          <w:szCs w:val="32"/>
          <w:lang w:val="zh-TW"/>
        </w:rPr>
      </w:pPr>
      <w:r w:rsidRPr="001B6E4D">
        <w:rPr>
          <w:rFonts w:ascii="標楷體" w:eastAsia="標楷體" w:hAnsi="標楷體" w:hint="eastAsia"/>
          <w:b/>
          <w:color w:val="000000"/>
          <w:sz w:val="32"/>
          <w:szCs w:val="22"/>
        </w:rPr>
        <w:lastRenderedPageBreak/>
        <w:t>實地參訪</w:t>
      </w:r>
      <w:proofErr w:type="gramStart"/>
      <w:r w:rsidRPr="001B6E4D">
        <w:rPr>
          <w:rFonts w:ascii="標楷體" w:eastAsia="標楷體" w:hAnsi="標楷體" w:hint="eastAsia"/>
          <w:b/>
          <w:sz w:val="32"/>
          <w:szCs w:val="22"/>
        </w:rPr>
        <w:t>（</w:t>
      </w:r>
      <w:proofErr w:type="gramEnd"/>
      <w:r w:rsidRPr="001B6E4D">
        <w:rPr>
          <w:rFonts w:ascii="標楷體" w:eastAsia="標楷體" w:hAnsi="標楷體" w:hint="eastAsia"/>
          <w:b/>
          <w:sz w:val="32"/>
          <w:szCs w:val="22"/>
        </w:rPr>
        <w:t>10：</w:t>
      </w:r>
      <w:r w:rsidRPr="001B6E4D">
        <w:rPr>
          <w:rFonts w:ascii="標楷體" w:eastAsia="標楷體" w:hAnsi="標楷體"/>
          <w:b/>
          <w:sz w:val="32"/>
          <w:szCs w:val="22"/>
        </w:rPr>
        <w:t>45</w:t>
      </w:r>
      <w:r w:rsidRPr="001B6E4D">
        <w:rPr>
          <w:rFonts w:ascii="標楷體" w:eastAsia="標楷體" w:hAnsi="標楷體" w:hint="eastAsia"/>
          <w:b/>
          <w:sz w:val="32"/>
          <w:szCs w:val="22"/>
        </w:rPr>
        <w:t>-1</w:t>
      </w:r>
      <w:r w:rsidRPr="001B6E4D">
        <w:rPr>
          <w:rFonts w:ascii="標楷體" w:eastAsia="標楷體" w:hAnsi="標楷體"/>
          <w:b/>
          <w:sz w:val="32"/>
          <w:szCs w:val="22"/>
        </w:rPr>
        <w:t>1</w:t>
      </w:r>
      <w:r w:rsidRPr="001B6E4D">
        <w:rPr>
          <w:rFonts w:ascii="標楷體" w:eastAsia="標楷體" w:hAnsi="標楷體" w:hint="eastAsia"/>
          <w:b/>
          <w:sz w:val="32"/>
          <w:szCs w:val="22"/>
        </w:rPr>
        <w:t>：</w:t>
      </w:r>
      <w:r w:rsidRPr="001B6E4D">
        <w:rPr>
          <w:rFonts w:ascii="標楷體" w:eastAsia="標楷體" w:hAnsi="標楷體"/>
          <w:b/>
          <w:sz w:val="32"/>
          <w:szCs w:val="22"/>
        </w:rPr>
        <w:t>15</w:t>
      </w:r>
      <w:proofErr w:type="gramStart"/>
      <w:r w:rsidRPr="001B6E4D">
        <w:rPr>
          <w:rFonts w:ascii="標楷體" w:eastAsia="標楷體" w:hAnsi="標楷體" w:hint="eastAsia"/>
          <w:b/>
          <w:sz w:val="32"/>
          <w:szCs w:val="22"/>
        </w:rPr>
        <w:t>）</w:t>
      </w:r>
      <w:proofErr w:type="gramEnd"/>
    </w:p>
    <w:p w14:paraId="10C33963" w14:textId="77777777" w:rsidR="00B921E8" w:rsidRPr="001B6E4D" w:rsidRDefault="00B921E8" w:rsidP="003D1018">
      <w:pPr>
        <w:widowControl w:val="0"/>
        <w:numPr>
          <w:ilvl w:val="0"/>
          <w:numId w:val="14"/>
        </w:numPr>
        <w:overflowPunct w:val="0"/>
        <w:spacing w:line="520" w:lineRule="exact"/>
        <w:jc w:val="both"/>
        <w:rPr>
          <w:rFonts w:ascii="標楷體" w:eastAsia="標楷體" w:hAnsi="標楷體" w:cs="標楷體"/>
          <w:b/>
          <w:color w:val="000000"/>
          <w:sz w:val="32"/>
          <w:szCs w:val="32"/>
          <w:lang w:val="zh-TW"/>
        </w:rPr>
      </w:pPr>
      <w:r w:rsidRPr="001B6E4D">
        <w:rPr>
          <w:rFonts w:ascii="標楷體" w:eastAsia="標楷體" w:hAnsi="標楷體" w:hint="eastAsia"/>
          <w:b/>
          <w:color w:val="000000"/>
          <w:sz w:val="32"/>
          <w:szCs w:val="22"/>
        </w:rPr>
        <w:t>意見交流與座談</w:t>
      </w:r>
    </w:p>
    <w:p w14:paraId="2C7D335A"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color w:val="000000"/>
          <w:sz w:val="32"/>
          <w:szCs w:val="32"/>
        </w:rPr>
      </w:pPr>
      <w:r w:rsidRPr="001B6E4D">
        <w:rPr>
          <w:rFonts w:ascii="標楷體" w:eastAsia="標楷體" w:hAnsi="標楷體" w:hint="eastAsia"/>
          <w:b/>
          <w:color w:val="000000"/>
          <w:sz w:val="32"/>
          <w:szCs w:val="32"/>
        </w:rPr>
        <w:t>立法院張</w:t>
      </w:r>
      <w:r w:rsidRPr="001B6E4D">
        <w:rPr>
          <w:rFonts w:ascii="標楷體" w:eastAsia="標楷體" w:hAnsi="標楷體" w:hint="eastAsia"/>
          <w:b/>
          <w:sz w:val="32"/>
          <w:szCs w:val="32"/>
        </w:rPr>
        <w:t>委員雅琳：</w:t>
      </w:r>
    </w:p>
    <w:p w14:paraId="5A27D9DD"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本人及各辦公室代表與第一線同仁針對實務困難進行交流，並感謝第一線同仁對少年司法與矯正工作的付出。目前少年在觀護所內皆受到妥善的管理與輔導，但真正的挑戰在於離開觀護所後，若少年身處高風險環境極易重返不良循環，如相關議題的電影《失樂園》，因此必須檢視出所後的轉銜機制是否夠細緻，透過持續的陪伴與追蹤來阻斷其與不良環境的關聯。</w:t>
      </w:r>
      <w:proofErr w:type="gramStart"/>
      <w:r w:rsidRPr="001B6E4D">
        <w:rPr>
          <w:rFonts w:ascii="標楷體" w:eastAsia="標楷體" w:hAnsi="標楷體" w:hint="eastAsia"/>
          <w:color w:val="000000"/>
          <w:sz w:val="32"/>
          <w:szCs w:val="32"/>
        </w:rPr>
        <w:t>此外，</w:t>
      </w:r>
      <w:proofErr w:type="gramEnd"/>
      <w:r w:rsidRPr="001B6E4D">
        <w:rPr>
          <w:rFonts w:ascii="標楷體" w:eastAsia="標楷體" w:hAnsi="標楷體" w:hint="eastAsia"/>
          <w:color w:val="000000"/>
          <w:sz w:val="32"/>
          <w:szCs w:val="32"/>
        </w:rPr>
        <w:t>針對近年政府積極打擊的新興毒品，如隱蔽性極高的公仔造型含毒電子煙，觀護所的毒品防治措施，除了讓少年遠離毒品外，更關鍵的是要</w:t>
      </w:r>
      <w:proofErr w:type="gramStart"/>
      <w:r w:rsidRPr="001B6E4D">
        <w:rPr>
          <w:rFonts w:ascii="標楷體" w:eastAsia="標楷體" w:hAnsi="標楷體" w:hint="eastAsia"/>
          <w:color w:val="000000"/>
          <w:sz w:val="32"/>
          <w:szCs w:val="32"/>
        </w:rPr>
        <w:t>釐</w:t>
      </w:r>
      <w:proofErr w:type="gramEnd"/>
      <w:r w:rsidRPr="001B6E4D">
        <w:rPr>
          <w:rFonts w:ascii="標楷體" w:eastAsia="標楷體" w:hAnsi="標楷體" w:hint="eastAsia"/>
          <w:color w:val="000000"/>
          <w:sz w:val="32"/>
          <w:szCs w:val="32"/>
        </w:rPr>
        <w:t>清他們當初接觸毒品的原因，並協助建構出所後能有效拒絕毒品的防護機制。少年司法的核心應著重於教育、保護與復歸，而非僅有管理與懲罰，期盼透過今日討論集思廣益，共同協助將第一線實務工作做得更好。</w:t>
      </w:r>
    </w:p>
    <w:p w14:paraId="45DDC8C7"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立法院</w:t>
      </w:r>
      <w:proofErr w:type="gramStart"/>
      <w:r w:rsidRPr="001B6E4D">
        <w:rPr>
          <w:rFonts w:ascii="標楷體" w:eastAsia="標楷體" w:hAnsi="標楷體" w:hint="eastAsia"/>
          <w:b/>
          <w:sz w:val="32"/>
          <w:szCs w:val="32"/>
        </w:rPr>
        <w:t>陳委員昭姿</w:t>
      </w:r>
      <w:proofErr w:type="gramEnd"/>
      <w:r w:rsidRPr="001B6E4D">
        <w:rPr>
          <w:rFonts w:ascii="標楷體" w:eastAsia="標楷體" w:hAnsi="標楷體" w:hint="eastAsia"/>
          <w:b/>
          <w:sz w:val="32"/>
          <w:szCs w:val="32"/>
        </w:rPr>
        <w:t>：</w:t>
      </w:r>
    </w:p>
    <w:p w14:paraId="686C5DCC"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首先感謝各位在這樣有限制的空間與環境下，所方做為中繼站提供少年服務。少年犯罪的原因有許多，至少要有6個跨部會的單位共同合作完成，針對目前實務狀況，我有幾點希望能進一步了解：第一，關於少年犯罪年齡部分，就今年資料所示，目前17至18歲及16至17歲為最</w:t>
      </w:r>
      <w:proofErr w:type="gramStart"/>
      <w:r w:rsidRPr="001B6E4D">
        <w:rPr>
          <w:rFonts w:ascii="標楷體" w:eastAsia="標楷體" w:hAnsi="標楷體" w:hint="eastAsia"/>
          <w:color w:val="000000"/>
          <w:sz w:val="32"/>
          <w:szCs w:val="32"/>
        </w:rPr>
        <w:t>大宗，</w:t>
      </w:r>
      <w:proofErr w:type="gramEnd"/>
      <w:r w:rsidRPr="001B6E4D">
        <w:rPr>
          <w:rFonts w:ascii="標楷體" w:eastAsia="標楷體" w:hAnsi="標楷體" w:hint="eastAsia"/>
          <w:color w:val="000000"/>
          <w:sz w:val="32"/>
          <w:szCs w:val="32"/>
        </w:rPr>
        <w:t>是否也有過去五年的數據，藉以瞭解少年犯罪年齡的變化。第二，少年收容案由以詐欺與毒品為主，是否有法律的漏洞導致詐騙集團刻意吸收未成年人加入？以及現行政策的應對情形為何？這將是國會未來推動修法的重要參考。第三，有關再犯部分，是否有</w:t>
      </w:r>
      <w:r w:rsidRPr="001B6E4D">
        <w:rPr>
          <w:rFonts w:ascii="標楷體" w:eastAsia="標楷體" w:hAnsi="標楷體" w:hint="eastAsia"/>
          <w:color w:val="000000"/>
          <w:sz w:val="32"/>
          <w:szCs w:val="32"/>
        </w:rPr>
        <w:lastRenderedPageBreak/>
        <w:t>收集到少年出所後一年(或至三年)的再犯率，與主要再犯原因為何？以及</w:t>
      </w:r>
      <w:proofErr w:type="gramStart"/>
      <w:r w:rsidRPr="001B6E4D">
        <w:rPr>
          <w:rFonts w:ascii="標楷體" w:eastAsia="標楷體" w:hAnsi="標楷體" w:hint="eastAsia"/>
          <w:color w:val="000000"/>
          <w:sz w:val="32"/>
          <w:szCs w:val="32"/>
        </w:rPr>
        <w:t>哪類處遇</w:t>
      </w:r>
      <w:proofErr w:type="gramEnd"/>
      <w:r w:rsidRPr="001B6E4D">
        <w:rPr>
          <w:rFonts w:ascii="標楷體" w:eastAsia="標楷體" w:hAnsi="標楷體" w:hint="eastAsia"/>
          <w:color w:val="000000"/>
          <w:sz w:val="32"/>
          <w:szCs w:val="32"/>
        </w:rPr>
        <w:t>措施對降低再犯率最有效果？第四，剛剛有看到輔導室及醫務室，想瞭解所方是否有人力及資源不足之處（例如假日人力等）？如有人力不足的問題也能讓我們瞭解。第五，推動少年復歸社會工作是需要法務部、教育部、衛福部、</w:t>
      </w:r>
      <w:proofErr w:type="gramStart"/>
      <w:r w:rsidRPr="001B6E4D">
        <w:rPr>
          <w:rFonts w:ascii="標楷體" w:eastAsia="標楷體" w:hAnsi="標楷體" w:hint="eastAsia"/>
          <w:color w:val="000000"/>
          <w:sz w:val="32"/>
          <w:szCs w:val="32"/>
        </w:rPr>
        <w:t>勞動部等跨</w:t>
      </w:r>
      <w:proofErr w:type="gramEnd"/>
      <w:r w:rsidRPr="001B6E4D">
        <w:rPr>
          <w:rFonts w:ascii="標楷體" w:eastAsia="標楷體" w:hAnsi="標楷體" w:hint="eastAsia"/>
          <w:color w:val="000000"/>
          <w:sz w:val="32"/>
          <w:szCs w:val="32"/>
        </w:rPr>
        <w:t>部門的共同投入，想瞭解您們目前最需要哪</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部會的協助，以及在協調上最大的困難點為何？除了關心詐欺集團吸收偏差少年犯罪從事車手的問題外，期待少年的犯罪率是可以下降的，各單位如有需要相關資源也可提出，我們在國會上盡量給予支持。</w:t>
      </w:r>
    </w:p>
    <w:p w14:paraId="20573D58"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b/>
          <w:color w:val="000000"/>
          <w:sz w:val="32"/>
          <w:szCs w:val="32"/>
        </w:rPr>
      </w:pPr>
      <w:r w:rsidRPr="001B6E4D">
        <w:rPr>
          <w:rFonts w:ascii="標楷體" w:eastAsia="標楷體" w:hAnsi="標楷體" w:hint="eastAsia"/>
          <w:b/>
          <w:color w:val="000000"/>
          <w:sz w:val="32"/>
          <w:szCs w:val="32"/>
        </w:rPr>
        <w:t xml:space="preserve"> 法務部矯正署</w:t>
      </w:r>
      <w:r w:rsidRPr="001B6E4D">
        <w:rPr>
          <w:rFonts w:ascii="標楷體" w:eastAsia="標楷體" w:hAnsi="標楷體" w:hint="eastAsia"/>
          <w:b/>
          <w:sz w:val="32"/>
          <w:szCs w:val="32"/>
        </w:rPr>
        <w:t>王科長</w:t>
      </w:r>
      <w:r w:rsidRPr="001B6E4D">
        <w:rPr>
          <w:rFonts w:ascii="標楷體" w:eastAsia="標楷體" w:hAnsi="標楷體" w:hint="eastAsia"/>
          <w:b/>
          <w:color w:val="000000"/>
          <w:sz w:val="32"/>
          <w:szCs w:val="32"/>
        </w:rPr>
        <w:t>志明：</w:t>
      </w:r>
    </w:p>
    <w:p w14:paraId="4DD91177"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針對少年再犯率的追蹤，因矯正機關僅能掌握進入機構後的對象，</w:t>
      </w:r>
      <w:proofErr w:type="gramStart"/>
      <w:r w:rsidRPr="001B6E4D">
        <w:rPr>
          <w:rFonts w:ascii="標楷體" w:eastAsia="標楷體" w:hAnsi="標楷體" w:hint="eastAsia"/>
          <w:color w:val="000000"/>
          <w:sz w:val="32"/>
          <w:szCs w:val="32"/>
        </w:rPr>
        <w:t>前端未進入</w:t>
      </w:r>
      <w:proofErr w:type="gramEnd"/>
      <w:r w:rsidRPr="001B6E4D">
        <w:rPr>
          <w:rFonts w:ascii="標楷體" w:eastAsia="標楷體" w:hAnsi="標楷體" w:hint="eastAsia"/>
          <w:color w:val="000000"/>
          <w:sz w:val="32"/>
          <w:szCs w:val="32"/>
        </w:rPr>
        <w:t>機關的數據需仰賴跨機關整合，目前正與司法</w:t>
      </w:r>
      <w:proofErr w:type="gramStart"/>
      <w:r w:rsidRPr="001B6E4D">
        <w:rPr>
          <w:rFonts w:ascii="標楷體" w:eastAsia="標楷體" w:hAnsi="標楷體" w:hint="eastAsia"/>
          <w:color w:val="000000"/>
          <w:sz w:val="32"/>
          <w:szCs w:val="32"/>
        </w:rPr>
        <w:t>院少家廳</w:t>
      </w:r>
      <w:proofErr w:type="gramEnd"/>
      <w:r w:rsidRPr="001B6E4D">
        <w:rPr>
          <w:rFonts w:ascii="標楷體" w:eastAsia="標楷體" w:hAnsi="標楷體" w:hint="eastAsia"/>
          <w:color w:val="000000"/>
          <w:sz w:val="32"/>
          <w:szCs w:val="32"/>
        </w:rPr>
        <w:t>及司法官學院合作</w:t>
      </w:r>
      <w:proofErr w:type="gramStart"/>
      <w:r w:rsidRPr="001B6E4D">
        <w:rPr>
          <w:rFonts w:ascii="標楷體" w:eastAsia="標楷體" w:hAnsi="標楷體" w:hint="eastAsia"/>
          <w:color w:val="000000"/>
          <w:sz w:val="32"/>
          <w:szCs w:val="32"/>
        </w:rPr>
        <w:t>研</w:t>
      </w:r>
      <w:proofErr w:type="gramEnd"/>
      <w:r w:rsidRPr="001B6E4D">
        <w:rPr>
          <w:rFonts w:ascii="標楷體" w:eastAsia="標楷體" w:hAnsi="標楷體" w:hint="eastAsia"/>
          <w:color w:val="000000"/>
          <w:sz w:val="32"/>
          <w:szCs w:val="32"/>
        </w:rPr>
        <w:t>議相關統計。在硬體與資源需求方面，以</w:t>
      </w:r>
      <w:proofErr w:type="gramStart"/>
      <w:r w:rsidRPr="001B6E4D">
        <w:rPr>
          <w:rFonts w:ascii="標楷體" w:eastAsia="標楷體" w:hAnsi="標楷體" w:hint="eastAsia"/>
          <w:color w:val="000000"/>
          <w:sz w:val="32"/>
          <w:szCs w:val="32"/>
        </w:rPr>
        <w:t>臺</w:t>
      </w:r>
      <w:proofErr w:type="gramEnd"/>
      <w:r w:rsidRPr="001B6E4D">
        <w:rPr>
          <w:rFonts w:ascii="標楷體" w:eastAsia="標楷體" w:hAnsi="標楷體" w:hint="eastAsia"/>
          <w:color w:val="000000"/>
          <w:sz w:val="32"/>
          <w:szCs w:val="32"/>
        </w:rPr>
        <w:t>北少年觀護所為例，目前正持續針對諮商室空間、操場老舊及化糞池等設施進行盤點與修繕，矯正署亦會將地方需求向上呈報並全力給予協助。針對跨部會協調與社會復歸，目前實務上面臨的最大困境在於</w:t>
      </w:r>
      <w:proofErr w:type="gramStart"/>
      <w:r w:rsidRPr="001B6E4D">
        <w:rPr>
          <w:rFonts w:ascii="標楷體" w:eastAsia="標楷體" w:hAnsi="標楷體" w:hint="eastAsia"/>
          <w:color w:val="000000"/>
          <w:sz w:val="32"/>
          <w:szCs w:val="32"/>
        </w:rPr>
        <w:t>衛福部與教育部</w:t>
      </w:r>
      <w:proofErr w:type="gramEnd"/>
      <w:r w:rsidRPr="001B6E4D">
        <w:rPr>
          <w:rFonts w:ascii="標楷體" w:eastAsia="標楷體" w:hAnsi="標楷體" w:hint="eastAsia"/>
          <w:color w:val="000000"/>
          <w:sz w:val="32"/>
          <w:szCs w:val="32"/>
        </w:rPr>
        <w:t>轄下的安置機構資源嚴重不足，導致許多少年在《少年事件處理法》的</w:t>
      </w:r>
      <w:proofErr w:type="gramStart"/>
      <w:r w:rsidRPr="001B6E4D">
        <w:rPr>
          <w:rFonts w:ascii="標楷體" w:eastAsia="標楷體" w:hAnsi="標楷體" w:hint="eastAsia"/>
          <w:color w:val="000000"/>
          <w:sz w:val="32"/>
          <w:szCs w:val="32"/>
        </w:rPr>
        <w:t>處遇中無法</w:t>
      </w:r>
      <w:proofErr w:type="gramEnd"/>
      <w:r w:rsidRPr="001B6E4D">
        <w:rPr>
          <w:rFonts w:ascii="標楷體" w:eastAsia="標楷體" w:hAnsi="標楷體" w:hint="eastAsia"/>
          <w:color w:val="000000"/>
          <w:sz w:val="32"/>
          <w:szCs w:val="32"/>
        </w:rPr>
        <w:t>先進行安置輔導，便直接跳到最後一道防線的「感化教育」而進入少年矯正學校；期盼相關部會能盡快擴充安置機構量能，讓少年依法獲得適當安置，避免末端收容機制被迫承接前端缺口。至於詐騙集團利用未成年人之問題，因涉及前端犯罪偵查以及家庭、社會與教育層面，矯正機關作為末端接收單位，主要能提供的是法治教育與處遇輔導，較難從源頭阻斷。最後，</w:t>
      </w:r>
      <w:r w:rsidRPr="001B6E4D">
        <w:rPr>
          <w:rFonts w:ascii="標楷體" w:eastAsia="標楷體" w:hAnsi="標楷體" w:hint="eastAsia"/>
          <w:color w:val="000000"/>
          <w:sz w:val="32"/>
          <w:szCs w:val="32"/>
        </w:rPr>
        <w:lastRenderedPageBreak/>
        <w:t>關於少年犯罪年齡是否下降的疑慮，因近年推動「行政輔導先行」制度，少年</w:t>
      </w:r>
      <w:proofErr w:type="gramStart"/>
      <w:r w:rsidRPr="001B6E4D">
        <w:rPr>
          <w:rFonts w:ascii="標楷體" w:eastAsia="標楷體" w:hAnsi="標楷體" w:hint="eastAsia"/>
          <w:color w:val="000000"/>
          <w:sz w:val="32"/>
          <w:szCs w:val="32"/>
        </w:rPr>
        <w:t>在非觸法</w:t>
      </w:r>
      <w:proofErr w:type="gramEnd"/>
      <w:r w:rsidRPr="001B6E4D">
        <w:rPr>
          <w:rFonts w:ascii="標楷體" w:eastAsia="標楷體" w:hAnsi="標楷體" w:hint="eastAsia"/>
          <w:color w:val="000000"/>
          <w:sz w:val="32"/>
          <w:szCs w:val="32"/>
        </w:rPr>
        <w:t>（曝險）階段的輔導時間拉長，導致實際進入少觀所或矯正學校的年齡並未顯著降低，反而呈現微幅上升趨勢，目前收容對象仍以16至18歲為</w:t>
      </w:r>
      <w:proofErr w:type="gramStart"/>
      <w:r w:rsidRPr="001B6E4D">
        <w:rPr>
          <w:rFonts w:ascii="標楷體" w:eastAsia="標楷體" w:hAnsi="標楷體" w:hint="eastAsia"/>
          <w:color w:val="000000"/>
          <w:sz w:val="32"/>
          <w:szCs w:val="32"/>
        </w:rPr>
        <w:t>大宗，</w:t>
      </w:r>
      <w:proofErr w:type="gramEnd"/>
      <w:r w:rsidRPr="001B6E4D">
        <w:rPr>
          <w:rFonts w:ascii="標楷體" w:eastAsia="標楷體" w:hAnsi="標楷體" w:hint="eastAsia"/>
          <w:color w:val="000000"/>
          <w:sz w:val="32"/>
          <w:szCs w:val="32"/>
        </w:rPr>
        <w:t>12至14歲比例並無明顯變化，以上為矯正署針對委員提問之綜合回應。</w:t>
      </w:r>
    </w:p>
    <w:p w14:paraId="1B7FDA6C"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color w:val="000000"/>
          <w:sz w:val="32"/>
          <w:szCs w:val="32"/>
        </w:rPr>
      </w:pPr>
      <w:bookmarkStart w:id="573" w:name="_Hlk233031770"/>
      <w:r w:rsidRPr="001B6E4D">
        <w:rPr>
          <w:rFonts w:ascii="標楷體" w:eastAsia="標楷體" w:hAnsi="標楷體" w:hint="eastAsia"/>
          <w:b/>
          <w:color w:val="000000"/>
          <w:sz w:val="32"/>
          <w:szCs w:val="32"/>
        </w:rPr>
        <w:t>立法院</w:t>
      </w:r>
      <w:r w:rsidRPr="001B6E4D">
        <w:rPr>
          <w:rFonts w:ascii="標楷體" w:eastAsia="標楷體" w:hAnsi="標楷體" w:hint="eastAsia"/>
          <w:b/>
          <w:sz w:val="32"/>
          <w:szCs w:val="32"/>
        </w:rPr>
        <w:t>張委員</w:t>
      </w:r>
      <w:r w:rsidRPr="001B6E4D">
        <w:rPr>
          <w:rFonts w:ascii="標楷體" w:eastAsia="標楷體" w:hAnsi="標楷體" w:hint="eastAsia"/>
          <w:b/>
          <w:color w:val="000000"/>
          <w:sz w:val="32"/>
          <w:szCs w:val="32"/>
        </w:rPr>
        <w:t>雅琳：</w:t>
      </w:r>
    </w:p>
    <w:bookmarkEnd w:id="573"/>
    <w:p w14:paraId="12EB330F"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針對</w:t>
      </w:r>
      <w:r w:rsidRPr="001B6E4D">
        <w:rPr>
          <w:rFonts w:ascii="標楷體" w:eastAsia="標楷體" w:hAnsi="標楷體" w:hint="eastAsia"/>
          <w:sz w:val="32"/>
          <w:szCs w:val="32"/>
        </w:rPr>
        <w:t>硬體</w:t>
      </w:r>
      <w:r w:rsidRPr="001B6E4D">
        <w:rPr>
          <w:rFonts w:ascii="標楷體" w:eastAsia="標楷體" w:hAnsi="標楷體" w:hint="eastAsia"/>
          <w:color w:val="000000"/>
          <w:sz w:val="32"/>
          <w:szCs w:val="32"/>
        </w:rPr>
        <w:t>設備部分我再做個補充，剛剛實地視察建築物本身，發現部分設施已經相對老舊，例如操場邊緣已有破損情形。如果這部分的整建經費並未編列在矯正署</w:t>
      </w:r>
      <w:proofErr w:type="gramStart"/>
      <w:r w:rsidRPr="001B6E4D">
        <w:rPr>
          <w:rFonts w:ascii="標楷體" w:eastAsia="標楷體" w:hAnsi="標楷體" w:hint="eastAsia"/>
          <w:color w:val="000000"/>
          <w:sz w:val="32"/>
          <w:szCs w:val="32"/>
        </w:rPr>
        <w:t>115</w:t>
      </w:r>
      <w:proofErr w:type="gramEnd"/>
      <w:r w:rsidRPr="001B6E4D">
        <w:rPr>
          <w:rFonts w:ascii="標楷體" w:eastAsia="標楷體" w:hAnsi="標楷體" w:hint="eastAsia"/>
          <w:color w:val="000000"/>
          <w:sz w:val="32"/>
          <w:szCs w:val="32"/>
        </w:rPr>
        <w:t>年度的預算中，針對少年觀護所建築物補強與修繕的需求，建議能評估納入</w:t>
      </w:r>
      <w:proofErr w:type="gramStart"/>
      <w:r w:rsidRPr="001B6E4D">
        <w:rPr>
          <w:rFonts w:ascii="標楷體" w:eastAsia="標楷體" w:hAnsi="標楷體" w:hint="eastAsia"/>
          <w:color w:val="000000"/>
          <w:sz w:val="32"/>
          <w:szCs w:val="32"/>
        </w:rPr>
        <w:t>116</w:t>
      </w:r>
      <w:proofErr w:type="gramEnd"/>
      <w:r w:rsidRPr="001B6E4D">
        <w:rPr>
          <w:rFonts w:ascii="標楷體" w:eastAsia="標楷體" w:hAnsi="標楷體" w:hint="eastAsia"/>
          <w:color w:val="000000"/>
          <w:sz w:val="32"/>
          <w:szCs w:val="32"/>
        </w:rPr>
        <w:t xml:space="preserve">年度的預算來編列，請相關單位於三個月內（大約9月份），將少觀所預算規劃與編列使用方式送交至各委員辦公室，讓委員們在後續審查預算時能有更清晰的輪廓與評估依據，進而實質協助少觀所改善整體的環境設施。 </w:t>
      </w:r>
    </w:p>
    <w:p w14:paraId="64128769"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color w:val="000000"/>
          <w:sz w:val="32"/>
          <w:szCs w:val="32"/>
        </w:rPr>
      </w:pPr>
      <w:r w:rsidRPr="001B6E4D">
        <w:rPr>
          <w:rFonts w:ascii="標楷體" w:eastAsia="標楷體" w:hAnsi="標楷體" w:hint="eastAsia"/>
          <w:b/>
          <w:color w:val="000000"/>
          <w:sz w:val="32"/>
          <w:szCs w:val="32"/>
        </w:rPr>
        <w:t>立法院</w:t>
      </w:r>
      <w:proofErr w:type="gramStart"/>
      <w:r w:rsidRPr="001B6E4D">
        <w:rPr>
          <w:rFonts w:ascii="標楷體" w:eastAsia="標楷體" w:hAnsi="標楷體" w:hint="eastAsia"/>
          <w:b/>
          <w:color w:val="000000"/>
          <w:sz w:val="32"/>
          <w:szCs w:val="32"/>
        </w:rPr>
        <w:t>陳委員昭姿</w:t>
      </w:r>
      <w:proofErr w:type="gramEnd"/>
      <w:r w:rsidRPr="001B6E4D">
        <w:rPr>
          <w:rFonts w:ascii="標楷體" w:eastAsia="標楷體" w:hAnsi="標楷體" w:hint="eastAsia"/>
          <w:b/>
          <w:color w:val="000000"/>
          <w:sz w:val="32"/>
          <w:szCs w:val="32"/>
        </w:rPr>
        <w:t>：</w:t>
      </w:r>
    </w:p>
    <w:p w14:paraId="35E1B37E"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剛剛有瞭解到大約有10%的少年是沒有人來探望的，請各位多加費心，不要讓這些孩子覺得自己是被放棄的，無論這些少年背後的真正原因為何，也不確定是否會因沒有被探視過，對其未來造成影響，還請多注意。</w:t>
      </w:r>
    </w:p>
    <w:p w14:paraId="2EAFB547"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color w:val="000000"/>
          <w:sz w:val="32"/>
          <w:szCs w:val="32"/>
        </w:rPr>
      </w:pPr>
      <w:r w:rsidRPr="001B6E4D">
        <w:rPr>
          <w:rFonts w:ascii="標楷體" w:eastAsia="標楷體" w:hAnsi="標楷體" w:hint="eastAsia"/>
          <w:b/>
          <w:bCs/>
          <w:color w:val="000000"/>
          <w:sz w:val="32"/>
          <w:szCs w:val="32"/>
        </w:rPr>
        <w:t>立法院張委員雅琳</w:t>
      </w:r>
      <w:r w:rsidRPr="001B6E4D">
        <w:rPr>
          <w:rFonts w:ascii="標楷體" w:eastAsia="標楷體" w:hAnsi="標楷體" w:hint="eastAsia"/>
          <w:color w:val="000000"/>
          <w:sz w:val="32"/>
          <w:szCs w:val="32"/>
        </w:rPr>
        <w:t>：</w:t>
      </w:r>
    </w:p>
    <w:p w14:paraId="25CA29BB"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FF0000"/>
          <w:sz w:val="32"/>
          <w:szCs w:val="32"/>
        </w:rPr>
      </w:pPr>
      <w:r w:rsidRPr="001B6E4D">
        <w:rPr>
          <w:rFonts w:ascii="標楷體" w:eastAsia="標楷體" w:hAnsi="標楷體" w:hint="eastAsia"/>
          <w:sz w:val="32"/>
          <w:szCs w:val="32"/>
        </w:rPr>
        <w:t>如果</w:t>
      </w:r>
      <w:r w:rsidRPr="001B6E4D">
        <w:rPr>
          <w:rFonts w:ascii="標楷體" w:eastAsia="標楷體" w:hAnsi="標楷體" w:hint="eastAsia"/>
          <w:color w:val="000000"/>
          <w:sz w:val="32"/>
          <w:szCs w:val="32"/>
        </w:rPr>
        <w:t>各委員辦公室也要提問的話，可以在這個階段來提問</w:t>
      </w:r>
      <w:r w:rsidRPr="001B6E4D">
        <w:rPr>
          <w:rFonts w:ascii="標楷體" w:eastAsia="標楷體" w:hAnsi="標楷體" w:hint="eastAsia"/>
          <w:sz w:val="32"/>
          <w:szCs w:val="32"/>
        </w:rPr>
        <w:t>。</w:t>
      </w:r>
      <w:r w:rsidRPr="001B6E4D">
        <w:rPr>
          <w:rFonts w:ascii="標楷體" w:eastAsia="標楷體" w:hAnsi="標楷體" w:hint="eastAsia"/>
          <w:color w:val="000000"/>
          <w:sz w:val="32"/>
          <w:szCs w:val="32"/>
        </w:rPr>
        <w:t>那本人首先有幾個問題，109年桃園少觀所曾發生初次觸法少年與年滿19歲借</w:t>
      </w:r>
      <w:proofErr w:type="gramStart"/>
      <w:r w:rsidRPr="001B6E4D">
        <w:rPr>
          <w:rFonts w:ascii="標楷體" w:eastAsia="標楷體" w:hAnsi="標楷體" w:hint="eastAsia"/>
          <w:color w:val="000000"/>
          <w:sz w:val="32"/>
          <w:szCs w:val="32"/>
        </w:rPr>
        <w:t>提寄押</w:t>
      </w:r>
      <w:proofErr w:type="gramEnd"/>
      <w:r w:rsidRPr="001B6E4D">
        <w:rPr>
          <w:rFonts w:ascii="標楷體" w:eastAsia="標楷體" w:hAnsi="標楷體" w:hint="eastAsia"/>
          <w:color w:val="000000"/>
          <w:sz w:val="32"/>
          <w:szCs w:val="32"/>
        </w:rPr>
        <w:t>的矯正學校學生同房而遭</w:t>
      </w:r>
      <w:proofErr w:type="gramStart"/>
      <w:r w:rsidRPr="001B6E4D">
        <w:rPr>
          <w:rFonts w:ascii="標楷體" w:eastAsia="標楷體" w:hAnsi="標楷體" w:hint="eastAsia"/>
          <w:color w:val="000000"/>
          <w:sz w:val="32"/>
          <w:szCs w:val="32"/>
        </w:rPr>
        <w:t>性霸凌</w:t>
      </w:r>
      <w:proofErr w:type="gramEnd"/>
      <w:r w:rsidRPr="001B6E4D">
        <w:rPr>
          <w:rFonts w:ascii="標楷體" w:eastAsia="標楷體" w:hAnsi="標楷體" w:hint="eastAsia"/>
          <w:color w:val="000000"/>
          <w:sz w:val="32"/>
          <w:szCs w:val="32"/>
        </w:rPr>
        <w:t>的案件，違反收容區隔原則；因此想確認</w:t>
      </w:r>
      <w:proofErr w:type="gramStart"/>
      <w:r w:rsidRPr="001B6E4D">
        <w:rPr>
          <w:rFonts w:ascii="標楷體" w:eastAsia="標楷體" w:hAnsi="標楷體" w:hint="eastAsia"/>
          <w:color w:val="000000"/>
          <w:sz w:val="32"/>
          <w:szCs w:val="32"/>
        </w:rPr>
        <w:t>臺北少</w:t>
      </w:r>
      <w:proofErr w:type="gramEnd"/>
      <w:r w:rsidRPr="001B6E4D">
        <w:rPr>
          <w:rFonts w:ascii="標楷體" w:eastAsia="標楷體" w:hAnsi="標楷體" w:hint="eastAsia"/>
          <w:color w:val="000000"/>
          <w:sz w:val="32"/>
          <w:szCs w:val="32"/>
        </w:rPr>
        <w:t>觀所針對年滿18歲借</w:t>
      </w:r>
      <w:proofErr w:type="gramStart"/>
      <w:r w:rsidRPr="001B6E4D">
        <w:rPr>
          <w:rFonts w:ascii="標楷體" w:eastAsia="標楷體" w:hAnsi="標楷體" w:hint="eastAsia"/>
          <w:color w:val="000000"/>
          <w:sz w:val="32"/>
          <w:szCs w:val="32"/>
        </w:rPr>
        <w:t>提寄押</w:t>
      </w:r>
      <w:proofErr w:type="gramEnd"/>
      <w:r w:rsidRPr="001B6E4D">
        <w:rPr>
          <w:rFonts w:ascii="標楷體" w:eastAsia="標楷體" w:hAnsi="標楷體" w:hint="eastAsia"/>
          <w:color w:val="000000"/>
          <w:sz w:val="32"/>
          <w:szCs w:val="32"/>
        </w:rPr>
        <w:t>學生與未滿18歲</w:t>
      </w:r>
      <w:r w:rsidRPr="001B6E4D">
        <w:rPr>
          <w:rFonts w:ascii="標楷體" w:eastAsia="標楷體" w:hAnsi="標楷體" w:hint="eastAsia"/>
          <w:color w:val="000000"/>
          <w:sz w:val="32"/>
          <w:szCs w:val="32"/>
        </w:rPr>
        <w:lastRenderedPageBreak/>
        <w:t>少年，是否有明確的分界與分開收容規範？且少年出庭、外</w:t>
      </w:r>
      <w:proofErr w:type="gramStart"/>
      <w:r w:rsidRPr="001B6E4D">
        <w:rPr>
          <w:rFonts w:ascii="標楷體" w:eastAsia="標楷體" w:hAnsi="標楷體" w:hint="eastAsia"/>
          <w:color w:val="000000"/>
          <w:sz w:val="32"/>
          <w:szCs w:val="32"/>
        </w:rPr>
        <w:t>醫</w:t>
      </w:r>
      <w:proofErr w:type="gramEnd"/>
      <w:r w:rsidRPr="001B6E4D">
        <w:rPr>
          <w:rFonts w:ascii="標楷體" w:eastAsia="標楷體" w:hAnsi="標楷體" w:hint="eastAsia"/>
          <w:color w:val="000000"/>
          <w:sz w:val="32"/>
          <w:szCs w:val="32"/>
        </w:rPr>
        <w:t>或移送時，是否有制度確保不與成年收容人同車或共同候訊？若受限於人力或硬體，我們應如何協助？第二，針對監察院過去調查在押</w:t>
      </w:r>
      <w:proofErr w:type="gramStart"/>
      <w:r w:rsidRPr="001B6E4D">
        <w:rPr>
          <w:rFonts w:ascii="標楷體" w:eastAsia="標楷體" w:hAnsi="標楷體" w:hint="eastAsia"/>
          <w:color w:val="000000"/>
          <w:sz w:val="32"/>
          <w:szCs w:val="32"/>
        </w:rPr>
        <w:t>少年候送矯正</w:t>
      </w:r>
      <w:proofErr w:type="gramEnd"/>
      <w:r w:rsidRPr="001B6E4D">
        <w:rPr>
          <w:rFonts w:ascii="標楷體" w:eastAsia="標楷體" w:hAnsi="標楷體" w:hint="eastAsia"/>
          <w:color w:val="000000"/>
          <w:sz w:val="32"/>
          <w:szCs w:val="32"/>
        </w:rPr>
        <w:t>學校等候時間過長的疑慮，目前司法院與法務部在</w:t>
      </w:r>
      <w:proofErr w:type="gramStart"/>
      <w:r w:rsidRPr="001B6E4D">
        <w:rPr>
          <w:rFonts w:ascii="標楷體" w:eastAsia="標楷體" w:hAnsi="標楷體" w:hint="eastAsia"/>
          <w:color w:val="000000"/>
          <w:sz w:val="32"/>
          <w:szCs w:val="32"/>
        </w:rPr>
        <w:t>計算候送期間</w:t>
      </w:r>
      <w:proofErr w:type="gramEnd"/>
      <w:r w:rsidRPr="001B6E4D">
        <w:rPr>
          <w:rFonts w:ascii="標楷體" w:eastAsia="標楷體" w:hAnsi="標楷體" w:hint="eastAsia"/>
          <w:color w:val="000000"/>
          <w:sz w:val="32"/>
          <w:szCs w:val="32"/>
        </w:rPr>
        <w:t>時，是以「法院開立指揮執行書之日起算」還是「實際在所等待總天數」為</w:t>
      </w:r>
      <w:proofErr w:type="gramStart"/>
      <w:r w:rsidRPr="001B6E4D">
        <w:rPr>
          <w:rFonts w:ascii="標楷體" w:eastAsia="標楷體" w:hAnsi="標楷體" w:hint="eastAsia"/>
          <w:color w:val="000000"/>
          <w:sz w:val="32"/>
          <w:szCs w:val="32"/>
        </w:rPr>
        <w:t>準</w:t>
      </w:r>
      <w:proofErr w:type="gramEnd"/>
      <w:r w:rsidRPr="001B6E4D">
        <w:rPr>
          <w:rFonts w:ascii="標楷體" w:eastAsia="標楷體" w:hAnsi="標楷體" w:hint="eastAsia"/>
          <w:color w:val="000000"/>
          <w:sz w:val="32"/>
          <w:szCs w:val="32"/>
        </w:rPr>
        <w:t>？若</w:t>
      </w:r>
      <w:proofErr w:type="gramStart"/>
      <w:r w:rsidRPr="001B6E4D">
        <w:rPr>
          <w:rFonts w:ascii="標楷體" w:eastAsia="標楷體" w:hAnsi="標楷體" w:hint="eastAsia"/>
          <w:color w:val="000000"/>
          <w:sz w:val="32"/>
          <w:szCs w:val="32"/>
        </w:rPr>
        <w:t>採</w:t>
      </w:r>
      <w:proofErr w:type="gramEnd"/>
      <w:r w:rsidRPr="001B6E4D">
        <w:rPr>
          <w:rFonts w:ascii="標楷體" w:eastAsia="標楷體" w:hAnsi="標楷體" w:hint="eastAsia"/>
          <w:color w:val="000000"/>
          <w:sz w:val="32"/>
          <w:szCs w:val="32"/>
        </w:rPr>
        <w:t>前者，是否有同步管考實際總天數的機制？當等候時間過長時，由哪</w:t>
      </w:r>
      <w:proofErr w:type="gramStart"/>
      <w:r w:rsidRPr="001B6E4D">
        <w:rPr>
          <w:rFonts w:ascii="標楷體" w:eastAsia="標楷體" w:hAnsi="標楷體" w:hint="eastAsia"/>
          <w:color w:val="000000"/>
          <w:sz w:val="32"/>
          <w:szCs w:val="32"/>
        </w:rPr>
        <w:t>個</w:t>
      </w:r>
      <w:proofErr w:type="gramEnd"/>
      <w:r w:rsidRPr="001B6E4D">
        <w:rPr>
          <w:rFonts w:ascii="標楷體" w:eastAsia="標楷體" w:hAnsi="標楷體" w:hint="eastAsia"/>
          <w:color w:val="000000"/>
          <w:sz w:val="32"/>
          <w:szCs w:val="32"/>
        </w:rPr>
        <w:t>單位負責管考與發出預警？第三，簡報提及許多少年有衝動與情緒控制問題，但目前所內似乎以心理師為主而</w:t>
      </w:r>
      <w:proofErr w:type="gramStart"/>
      <w:r w:rsidRPr="001B6E4D">
        <w:rPr>
          <w:rFonts w:ascii="標楷體" w:eastAsia="標楷體" w:hAnsi="標楷體" w:hint="eastAsia"/>
          <w:color w:val="000000"/>
          <w:sz w:val="32"/>
          <w:szCs w:val="32"/>
        </w:rPr>
        <w:t>缺乏具特教</w:t>
      </w:r>
      <w:proofErr w:type="gramEnd"/>
      <w:r w:rsidRPr="001B6E4D">
        <w:rPr>
          <w:rFonts w:ascii="標楷體" w:eastAsia="標楷體" w:hAnsi="標楷體" w:hint="eastAsia"/>
          <w:color w:val="000000"/>
          <w:sz w:val="32"/>
          <w:szCs w:val="32"/>
        </w:rPr>
        <w:t>背景的師資，針對此類少年的處遇與協助機制為何？第四，所內收容的第二大宗案由為詐欺，但目前觀察輔導內容似較偏重戒毒，想了解針對防詐與法治教育的具體輔導方式為何？第五，稍早在走廊間看見大麻防制宣導海報，但當前實務上面臨最嚴峻的新興毒品應為「依托</w:t>
      </w:r>
      <w:proofErr w:type="gramStart"/>
      <w:r w:rsidRPr="001B6E4D">
        <w:rPr>
          <w:rFonts w:ascii="標楷體" w:eastAsia="標楷體" w:hAnsi="標楷體" w:hint="eastAsia"/>
          <w:color w:val="000000"/>
          <w:sz w:val="32"/>
          <w:szCs w:val="32"/>
        </w:rPr>
        <w:t>咪</w:t>
      </w:r>
      <w:proofErr w:type="gramEnd"/>
      <w:r w:rsidRPr="001B6E4D">
        <w:rPr>
          <w:rFonts w:ascii="標楷體" w:eastAsia="標楷體" w:hAnsi="標楷體" w:hint="eastAsia"/>
          <w:color w:val="000000"/>
          <w:sz w:val="32"/>
          <w:szCs w:val="32"/>
        </w:rPr>
        <w:t>酯」，建議宣導素材應與時俱進，針對目前最常遇到的問題進行更新。</w:t>
      </w:r>
    </w:p>
    <w:p w14:paraId="57AFA29B"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color w:val="000000"/>
          <w:sz w:val="32"/>
          <w:szCs w:val="32"/>
        </w:rPr>
      </w:pPr>
      <w:proofErr w:type="gramStart"/>
      <w:r w:rsidRPr="001B6E4D">
        <w:rPr>
          <w:rFonts w:ascii="標楷體" w:eastAsia="標楷體" w:hAnsi="標楷體" w:hint="eastAsia"/>
          <w:b/>
          <w:color w:val="000000"/>
          <w:sz w:val="32"/>
          <w:szCs w:val="32"/>
        </w:rPr>
        <w:t>臺</w:t>
      </w:r>
      <w:proofErr w:type="gramEnd"/>
      <w:r w:rsidRPr="001B6E4D">
        <w:rPr>
          <w:rFonts w:ascii="標楷體" w:eastAsia="標楷體" w:hAnsi="標楷體" w:hint="eastAsia"/>
          <w:b/>
          <w:color w:val="000000"/>
          <w:sz w:val="32"/>
          <w:szCs w:val="32"/>
        </w:rPr>
        <w:t>北少年觀護所訓導科</w:t>
      </w:r>
      <w:r w:rsidRPr="001B6E4D">
        <w:rPr>
          <w:rFonts w:ascii="標楷體" w:eastAsia="標楷體" w:hAnsi="標楷體" w:hint="eastAsia"/>
          <w:b/>
          <w:sz w:val="32"/>
          <w:szCs w:val="32"/>
        </w:rPr>
        <w:t>吳科長政</w:t>
      </w:r>
      <w:proofErr w:type="gramStart"/>
      <w:r w:rsidRPr="001B6E4D">
        <w:rPr>
          <w:rFonts w:ascii="標楷體" w:eastAsia="標楷體" w:hAnsi="標楷體" w:hint="eastAsia"/>
          <w:b/>
          <w:color w:val="000000"/>
          <w:sz w:val="32"/>
          <w:szCs w:val="32"/>
        </w:rPr>
        <w:t>虔</w:t>
      </w:r>
      <w:proofErr w:type="gramEnd"/>
      <w:r w:rsidRPr="001B6E4D">
        <w:rPr>
          <w:rFonts w:ascii="標楷體" w:eastAsia="標楷體" w:hAnsi="標楷體" w:hint="eastAsia"/>
          <w:b/>
          <w:color w:val="000000"/>
          <w:sz w:val="32"/>
          <w:szCs w:val="32"/>
        </w:rPr>
        <w:t>：</w:t>
      </w:r>
    </w:p>
    <w:p w14:paraId="07FDEC94"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sz w:val="32"/>
          <w:szCs w:val="32"/>
        </w:rPr>
      </w:pPr>
      <w:r w:rsidRPr="001B6E4D">
        <w:rPr>
          <w:rFonts w:ascii="標楷體" w:eastAsia="標楷體" w:hAnsi="標楷體" w:hint="eastAsia"/>
          <w:sz w:val="32"/>
          <w:szCs w:val="32"/>
        </w:rPr>
        <w:t>關於</w:t>
      </w:r>
      <w:r w:rsidRPr="001B6E4D">
        <w:rPr>
          <w:rFonts w:ascii="標楷體" w:eastAsia="標楷體" w:hAnsi="標楷體" w:hint="eastAsia"/>
          <w:color w:val="000000"/>
          <w:sz w:val="32"/>
          <w:szCs w:val="32"/>
        </w:rPr>
        <w:t>借提少年的部分，剛才導</w:t>
      </w:r>
      <w:proofErr w:type="gramStart"/>
      <w:r w:rsidRPr="001B6E4D">
        <w:rPr>
          <w:rFonts w:ascii="標楷體" w:eastAsia="標楷體" w:hAnsi="標楷體" w:hint="eastAsia"/>
          <w:color w:val="000000"/>
          <w:sz w:val="32"/>
          <w:szCs w:val="32"/>
        </w:rPr>
        <w:t>覽</w:t>
      </w:r>
      <w:proofErr w:type="gramEnd"/>
      <w:r w:rsidRPr="001B6E4D">
        <w:rPr>
          <w:rFonts w:ascii="標楷體" w:eastAsia="標楷體" w:hAnsi="標楷體" w:hint="eastAsia"/>
          <w:color w:val="000000"/>
          <w:sz w:val="32"/>
          <w:szCs w:val="32"/>
        </w:rPr>
        <w:t>時有介紹</w:t>
      </w:r>
      <w:proofErr w:type="gramStart"/>
      <w:r w:rsidRPr="001B6E4D">
        <w:rPr>
          <w:rFonts w:ascii="標楷體" w:eastAsia="標楷體" w:hAnsi="標楷體" w:hint="eastAsia"/>
          <w:color w:val="000000"/>
          <w:sz w:val="32"/>
          <w:szCs w:val="32"/>
        </w:rPr>
        <w:t>新收舍的</w:t>
      </w:r>
      <w:proofErr w:type="gramEnd"/>
      <w:r w:rsidRPr="001B6E4D">
        <w:rPr>
          <w:rFonts w:ascii="標楷體" w:eastAsia="標楷體" w:hAnsi="標楷體" w:hint="eastAsia"/>
          <w:color w:val="000000"/>
          <w:sz w:val="32"/>
          <w:szCs w:val="32"/>
        </w:rPr>
        <w:t>舍房區域，其中設有兩人一間的專屬舍房，專門用來收容借提少年。借提少年的生活處遇基本上皆為獨立安排，包含洗澡與運動時間，均不會與一般收容少年接觸，因此目前並</w:t>
      </w:r>
      <w:proofErr w:type="gramStart"/>
      <w:r w:rsidRPr="001B6E4D">
        <w:rPr>
          <w:rFonts w:ascii="標楷體" w:eastAsia="標楷體" w:hAnsi="標楷體" w:hint="eastAsia"/>
          <w:color w:val="000000"/>
          <w:sz w:val="32"/>
          <w:szCs w:val="32"/>
        </w:rPr>
        <w:t>無混居或</w:t>
      </w:r>
      <w:proofErr w:type="gramEnd"/>
      <w:r w:rsidRPr="001B6E4D">
        <w:rPr>
          <w:rFonts w:ascii="標楷體" w:eastAsia="標楷體" w:hAnsi="標楷體" w:hint="eastAsia"/>
          <w:color w:val="000000"/>
          <w:sz w:val="32"/>
          <w:szCs w:val="32"/>
        </w:rPr>
        <w:t>相互影響的疑慮。</w:t>
      </w:r>
      <w:proofErr w:type="gramStart"/>
      <w:r w:rsidRPr="001B6E4D">
        <w:rPr>
          <w:rFonts w:ascii="標楷體" w:eastAsia="標楷體" w:hAnsi="標楷體" w:hint="eastAsia"/>
          <w:color w:val="000000"/>
          <w:sz w:val="32"/>
          <w:szCs w:val="32"/>
        </w:rPr>
        <w:t>此外，</w:t>
      </w:r>
      <w:proofErr w:type="gramEnd"/>
      <w:r w:rsidRPr="001B6E4D">
        <w:rPr>
          <w:rFonts w:ascii="標楷體" w:eastAsia="標楷體" w:hAnsi="標楷體" w:hint="eastAsia"/>
          <w:color w:val="000000"/>
          <w:sz w:val="32"/>
          <w:szCs w:val="32"/>
        </w:rPr>
        <w:t>在囚車接送方面，借提作業</w:t>
      </w:r>
      <w:proofErr w:type="gramStart"/>
      <w:r w:rsidRPr="001B6E4D">
        <w:rPr>
          <w:rFonts w:ascii="標楷體" w:eastAsia="標楷體" w:hAnsi="標楷體" w:hint="eastAsia"/>
          <w:color w:val="000000"/>
          <w:sz w:val="32"/>
          <w:szCs w:val="32"/>
        </w:rPr>
        <w:t>均由少家</w:t>
      </w:r>
      <w:r w:rsidRPr="001B6E4D">
        <w:rPr>
          <w:rFonts w:ascii="標楷體" w:eastAsia="標楷體" w:hAnsi="標楷體" w:hint="eastAsia"/>
          <w:sz w:val="32"/>
          <w:szCs w:val="32"/>
        </w:rPr>
        <w:t>廳</w:t>
      </w:r>
      <w:proofErr w:type="gramEnd"/>
      <w:r w:rsidRPr="001B6E4D">
        <w:rPr>
          <w:rFonts w:ascii="標楷體" w:eastAsia="標楷體" w:hAnsi="標楷體" w:hint="eastAsia"/>
          <w:sz w:val="32"/>
          <w:szCs w:val="32"/>
        </w:rPr>
        <w:t xml:space="preserve">的警備車專門負責載送，原則上不會與成年受刑人同車。 </w:t>
      </w:r>
    </w:p>
    <w:p w14:paraId="33699C32"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sz w:val="32"/>
          <w:szCs w:val="32"/>
        </w:rPr>
      </w:pPr>
      <w:bookmarkStart w:id="574" w:name="_Hlk232586278"/>
      <w:r w:rsidRPr="001B6E4D">
        <w:rPr>
          <w:rFonts w:ascii="標楷體" w:eastAsia="標楷體" w:hAnsi="標楷體" w:hint="eastAsia"/>
          <w:b/>
          <w:sz w:val="32"/>
          <w:szCs w:val="32"/>
        </w:rPr>
        <w:t>立法院</w:t>
      </w:r>
      <w:bookmarkEnd w:id="574"/>
      <w:r w:rsidRPr="001B6E4D">
        <w:rPr>
          <w:rFonts w:ascii="標楷體" w:eastAsia="標楷體" w:hAnsi="標楷體" w:hint="eastAsia"/>
          <w:b/>
          <w:sz w:val="32"/>
          <w:szCs w:val="32"/>
        </w:rPr>
        <w:t>張委員雅琳:</w:t>
      </w:r>
    </w:p>
    <w:p w14:paraId="7599E701"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sz w:val="32"/>
          <w:szCs w:val="32"/>
        </w:rPr>
        <w:t>延續</w:t>
      </w:r>
      <w:r w:rsidRPr="001B6E4D">
        <w:rPr>
          <w:rFonts w:ascii="標楷體" w:eastAsia="標楷體" w:hAnsi="標楷體" w:hint="eastAsia"/>
          <w:color w:val="000000"/>
          <w:sz w:val="32"/>
          <w:szCs w:val="32"/>
        </w:rPr>
        <w:t>剛剛提到的</w:t>
      </w:r>
      <w:proofErr w:type="gramStart"/>
      <w:r w:rsidRPr="001B6E4D">
        <w:rPr>
          <w:rFonts w:ascii="標楷體" w:eastAsia="標楷體" w:hAnsi="標楷體" w:hint="eastAsia"/>
          <w:color w:val="000000"/>
          <w:sz w:val="32"/>
          <w:szCs w:val="32"/>
        </w:rPr>
        <w:t>新收舍與</w:t>
      </w:r>
      <w:proofErr w:type="gramEnd"/>
      <w:r w:rsidRPr="001B6E4D">
        <w:rPr>
          <w:rFonts w:ascii="標楷體" w:eastAsia="標楷體" w:hAnsi="標楷體" w:hint="eastAsia"/>
          <w:color w:val="000000"/>
          <w:sz w:val="32"/>
          <w:szCs w:val="32"/>
        </w:rPr>
        <w:t>隔離處遇安排，我想進一步確認，這項作法是否已經明確訂定於機關的明文規範</w:t>
      </w:r>
      <w:r w:rsidRPr="001B6E4D">
        <w:rPr>
          <w:rFonts w:ascii="標楷體" w:eastAsia="標楷體" w:hAnsi="標楷體" w:hint="eastAsia"/>
          <w:color w:val="000000"/>
          <w:sz w:val="32"/>
          <w:szCs w:val="32"/>
        </w:rPr>
        <w:lastRenderedPageBreak/>
        <w:t>之中？我期盼這項制度的運作是建立在制度化的規範上，而非僅仰賴現職人員的經驗與慣例。若僅因人而異，未來可能會隨著人員的異動而發生變化，因此有必要確認相關機制是否已落實於正式規範中，以確保這項妥善的制度能長久留存。</w:t>
      </w:r>
    </w:p>
    <w:p w14:paraId="2C3FFE16"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sz w:val="32"/>
          <w:szCs w:val="32"/>
        </w:rPr>
      </w:pPr>
      <w:r w:rsidRPr="001B6E4D">
        <w:rPr>
          <w:rFonts w:ascii="標楷體" w:eastAsia="標楷體" w:hAnsi="標楷體" w:hint="eastAsia"/>
          <w:b/>
          <w:color w:val="000000"/>
          <w:sz w:val="32"/>
          <w:szCs w:val="32"/>
        </w:rPr>
        <w:t>法務部</w:t>
      </w:r>
      <w:proofErr w:type="gramStart"/>
      <w:r w:rsidRPr="001B6E4D">
        <w:rPr>
          <w:rFonts w:ascii="標楷體" w:eastAsia="標楷體" w:hAnsi="標楷體" w:hint="eastAsia"/>
          <w:b/>
          <w:color w:val="000000"/>
          <w:sz w:val="32"/>
          <w:szCs w:val="32"/>
        </w:rPr>
        <w:t>矯正署</w:t>
      </w:r>
      <w:r w:rsidRPr="001B6E4D">
        <w:rPr>
          <w:rFonts w:ascii="標楷體" w:eastAsia="標楷體" w:hAnsi="標楷體" w:hint="eastAsia"/>
          <w:b/>
          <w:sz w:val="32"/>
          <w:szCs w:val="32"/>
        </w:rPr>
        <w:t>李副</w:t>
      </w:r>
      <w:proofErr w:type="gramEnd"/>
      <w:r w:rsidRPr="001B6E4D">
        <w:rPr>
          <w:rFonts w:ascii="標楷體" w:eastAsia="標楷體" w:hAnsi="標楷體" w:hint="eastAsia"/>
          <w:b/>
          <w:sz w:val="32"/>
          <w:szCs w:val="32"/>
        </w:rPr>
        <w:t>組長</w:t>
      </w:r>
      <w:proofErr w:type="gramStart"/>
      <w:r w:rsidRPr="001B6E4D">
        <w:rPr>
          <w:rFonts w:ascii="標楷體" w:eastAsia="標楷體" w:hAnsi="標楷體" w:hint="eastAsia"/>
          <w:b/>
          <w:sz w:val="32"/>
          <w:szCs w:val="32"/>
        </w:rPr>
        <w:t>明謹：</w:t>
      </w:r>
      <w:proofErr w:type="gramEnd"/>
    </w:p>
    <w:p w14:paraId="2E035B0C"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sz w:val="32"/>
          <w:szCs w:val="32"/>
        </w:rPr>
      </w:pPr>
      <w:r w:rsidRPr="001B6E4D">
        <w:rPr>
          <w:rFonts w:ascii="標楷體" w:eastAsia="標楷體" w:hAnsi="標楷體" w:hint="eastAsia"/>
          <w:sz w:val="32"/>
          <w:szCs w:val="32"/>
        </w:rPr>
        <w:t>針對收容對象的身分區隔，矯正署已有明確的</w:t>
      </w:r>
      <w:proofErr w:type="gramStart"/>
      <w:r w:rsidRPr="001B6E4D">
        <w:rPr>
          <w:rFonts w:ascii="標楷體" w:eastAsia="標楷體" w:hAnsi="標楷體" w:hint="eastAsia"/>
          <w:sz w:val="32"/>
          <w:szCs w:val="32"/>
        </w:rPr>
        <w:t>規範與函示</w:t>
      </w:r>
      <w:proofErr w:type="gramEnd"/>
      <w:r w:rsidRPr="001B6E4D">
        <w:rPr>
          <w:rFonts w:ascii="標楷體" w:eastAsia="標楷體" w:hAnsi="標楷體" w:hint="eastAsia"/>
          <w:sz w:val="32"/>
          <w:szCs w:val="32"/>
        </w:rPr>
        <w:t>。少年觀護所必須依據少年的不同身分</w:t>
      </w:r>
      <w:proofErr w:type="gramStart"/>
      <w:r w:rsidRPr="001B6E4D">
        <w:rPr>
          <w:rFonts w:ascii="標楷體" w:eastAsia="標楷體" w:hAnsi="標楷體" w:hint="eastAsia"/>
          <w:sz w:val="32"/>
          <w:szCs w:val="32"/>
        </w:rPr>
        <w:t>（</w:t>
      </w:r>
      <w:proofErr w:type="gramEnd"/>
      <w:r w:rsidRPr="001B6E4D">
        <w:rPr>
          <w:rFonts w:ascii="標楷體" w:eastAsia="標楷體" w:hAnsi="標楷體" w:hint="eastAsia"/>
          <w:sz w:val="32"/>
          <w:szCs w:val="32"/>
        </w:rPr>
        <w:t>如：刑事少年、保護處分少年，或由其他機關借提之少年</w:t>
      </w:r>
      <w:proofErr w:type="gramStart"/>
      <w:r w:rsidRPr="001B6E4D">
        <w:rPr>
          <w:rFonts w:ascii="標楷體" w:eastAsia="標楷體" w:hAnsi="標楷體" w:hint="eastAsia"/>
          <w:sz w:val="32"/>
          <w:szCs w:val="32"/>
        </w:rPr>
        <w:t>）</w:t>
      </w:r>
      <w:proofErr w:type="gramEnd"/>
      <w:r w:rsidRPr="001B6E4D">
        <w:rPr>
          <w:rFonts w:ascii="標楷體" w:eastAsia="標楷體" w:hAnsi="標楷體" w:hint="eastAsia"/>
          <w:sz w:val="32"/>
          <w:szCs w:val="32"/>
        </w:rPr>
        <w:t xml:space="preserve">進行分類與區隔收容。 </w:t>
      </w:r>
    </w:p>
    <w:p w14:paraId="51C8B905"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color w:val="000000"/>
          <w:sz w:val="32"/>
          <w:szCs w:val="32"/>
        </w:rPr>
      </w:pPr>
      <w:proofErr w:type="gramStart"/>
      <w:r w:rsidRPr="001B6E4D">
        <w:rPr>
          <w:rFonts w:ascii="標楷體" w:eastAsia="標楷體" w:hAnsi="標楷體" w:hint="eastAsia"/>
          <w:b/>
          <w:sz w:val="32"/>
          <w:szCs w:val="32"/>
        </w:rPr>
        <w:t>司法院傅法官</w:t>
      </w:r>
      <w:proofErr w:type="gramEnd"/>
      <w:r w:rsidRPr="001B6E4D">
        <w:rPr>
          <w:rFonts w:ascii="標楷體" w:eastAsia="標楷體" w:hAnsi="標楷體" w:hint="eastAsia"/>
          <w:b/>
          <w:sz w:val="32"/>
          <w:szCs w:val="32"/>
        </w:rPr>
        <w:t>曉</w:t>
      </w:r>
      <w:proofErr w:type="gramStart"/>
      <w:r w:rsidRPr="001B6E4D">
        <w:rPr>
          <w:rFonts w:ascii="標楷體" w:eastAsia="標楷體" w:hAnsi="標楷體" w:hint="eastAsia"/>
          <w:b/>
          <w:sz w:val="32"/>
          <w:szCs w:val="32"/>
        </w:rPr>
        <w:t>瑄</w:t>
      </w:r>
      <w:proofErr w:type="gramEnd"/>
      <w:r w:rsidRPr="001B6E4D">
        <w:rPr>
          <w:rFonts w:ascii="標楷體" w:eastAsia="標楷體" w:hAnsi="標楷體" w:hint="eastAsia"/>
          <w:b/>
          <w:color w:val="000000"/>
          <w:sz w:val="32"/>
          <w:szCs w:val="32"/>
        </w:rPr>
        <w:t>：</w:t>
      </w:r>
    </w:p>
    <w:p w14:paraId="1C6ED09B"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FF0000"/>
          <w:sz w:val="32"/>
          <w:szCs w:val="32"/>
        </w:rPr>
      </w:pPr>
      <w:r w:rsidRPr="001B6E4D">
        <w:rPr>
          <w:rFonts w:ascii="標楷體" w:eastAsia="標楷體" w:hAnsi="標楷體" w:hint="eastAsia"/>
          <w:color w:val="000000"/>
          <w:sz w:val="32"/>
          <w:szCs w:val="32"/>
        </w:rPr>
        <w:t>關於解送少年犯部分，解送過程皆依《臺灣高等法院及所屬各級法院法警執行職務應行注意事項》規範，嚴格執行成少、男女分流以避免不當交流</w:t>
      </w:r>
      <w:bookmarkStart w:id="575" w:name="_Hlk233100040"/>
      <w:r w:rsidRPr="001B6E4D">
        <w:rPr>
          <w:rFonts w:ascii="標楷體" w:eastAsia="標楷體" w:hAnsi="標楷體" w:hint="eastAsia"/>
          <w:color w:val="000000"/>
          <w:sz w:val="32"/>
          <w:szCs w:val="32"/>
        </w:rPr>
        <w:t>。</w:t>
      </w:r>
      <w:bookmarkEnd w:id="575"/>
      <w:proofErr w:type="gramStart"/>
      <w:r w:rsidRPr="001B6E4D">
        <w:rPr>
          <w:rFonts w:ascii="標楷體" w:eastAsia="標楷體" w:hAnsi="標楷體" w:hint="eastAsia"/>
          <w:color w:val="000000"/>
          <w:sz w:val="32"/>
          <w:szCs w:val="32"/>
        </w:rPr>
        <w:t>在候送</w:t>
      </w:r>
      <w:proofErr w:type="gramEnd"/>
      <w:r w:rsidRPr="001B6E4D">
        <w:rPr>
          <w:rFonts w:ascii="標楷體" w:eastAsia="標楷體" w:hAnsi="標楷體" w:hint="eastAsia"/>
          <w:color w:val="000000"/>
          <w:sz w:val="32"/>
          <w:szCs w:val="32"/>
        </w:rPr>
        <w:t>執行感化教育時限方面，依《少年法院與相關機關處理少年事件聯繫辦法》第57條第6項規定，裁定感化教育並完成執行書後，需於兩周（14天）內送往矯正學校執行</w:t>
      </w:r>
      <w:r w:rsidRPr="001B6E4D">
        <w:rPr>
          <w:rFonts w:ascii="標楷體" w:eastAsia="標楷體" w:hAnsi="標楷體" w:hint="eastAsia"/>
          <w:sz w:val="32"/>
          <w:szCs w:val="32"/>
        </w:rPr>
        <w:t>。在管考部分，本院目前已要求各地方法院（少年法庭）定期陳報少年移送感化教育</w:t>
      </w:r>
      <w:proofErr w:type="gramStart"/>
      <w:r w:rsidRPr="001B6E4D">
        <w:rPr>
          <w:rFonts w:ascii="標楷體" w:eastAsia="標楷體" w:hAnsi="標楷體" w:hint="eastAsia"/>
          <w:sz w:val="32"/>
          <w:szCs w:val="32"/>
        </w:rPr>
        <w:t>的候送天數</w:t>
      </w:r>
      <w:proofErr w:type="gramEnd"/>
      <w:r w:rsidRPr="001B6E4D">
        <w:rPr>
          <w:rFonts w:ascii="標楷體" w:eastAsia="標楷體" w:hAnsi="標楷體" w:hint="eastAsia"/>
          <w:sz w:val="32"/>
          <w:szCs w:val="32"/>
        </w:rPr>
        <w:t>，另也列入少年法庭法官</w:t>
      </w:r>
      <w:proofErr w:type="gramStart"/>
      <w:r w:rsidRPr="001B6E4D">
        <w:rPr>
          <w:rFonts w:ascii="標楷體" w:eastAsia="標楷體" w:hAnsi="標楷體" w:hint="eastAsia"/>
          <w:sz w:val="32"/>
          <w:szCs w:val="32"/>
        </w:rPr>
        <w:t>視導少觀</w:t>
      </w:r>
      <w:proofErr w:type="gramEnd"/>
      <w:r w:rsidRPr="001B6E4D">
        <w:rPr>
          <w:rFonts w:ascii="標楷體" w:eastAsia="標楷體" w:hAnsi="標楷體" w:hint="eastAsia"/>
          <w:sz w:val="32"/>
          <w:szCs w:val="32"/>
        </w:rPr>
        <w:t>所時的視導項目，</w:t>
      </w:r>
      <w:proofErr w:type="gramStart"/>
      <w:r w:rsidRPr="001B6E4D">
        <w:rPr>
          <w:rFonts w:ascii="標楷體" w:eastAsia="標楷體" w:hAnsi="標楷體" w:hint="eastAsia"/>
          <w:sz w:val="32"/>
          <w:szCs w:val="32"/>
        </w:rPr>
        <w:t>此外，</w:t>
      </w:r>
      <w:proofErr w:type="gramEnd"/>
      <w:r w:rsidRPr="001B6E4D">
        <w:rPr>
          <w:rFonts w:ascii="標楷體" w:eastAsia="標楷體" w:hAnsi="標楷體" w:hint="eastAsia"/>
          <w:sz w:val="32"/>
          <w:szCs w:val="32"/>
        </w:rPr>
        <w:t>還有教育部會同法務部成立的「少年矯正教育指導委員會」，透過定期召開會議，由各少年矯正學校與少年觀護所報告相關業務來進行業務監督。</w:t>
      </w:r>
      <w:proofErr w:type="gramStart"/>
      <w:r w:rsidRPr="001B6E4D">
        <w:rPr>
          <w:rFonts w:ascii="標楷體" w:eastAsia="標楷體" w:hAnsi="標楷體" w:hint="eastAsia"/>
          <w:color w:val="000000"/>
          <w:sz w:val="32"/>
          <w:szCs w:val="32"/>
        </w:rPr>
        <w:t>此外，</w:t>
      </w:r>
      <w:proofErr w:type="gramEnd"/>
      <w:r w:rsidRPr="001B6E4D">
        <w:rPr>
          <w:rFonts w:ascii="標楷體" w:eastAsia="標楷體" w:hAnsi="標楷體" w:hint="eastAsia"/>
          <w:color w:val="000000"/>
          <w:sz w:val="32"/>
          <w:szCs w:val="32"/>
        </w:rPr>
        <w:t>針對借提及</w:t>
      </w:r>
      <w:proofErr w:type="gramStart"/>
      <w:r w:rsidRPr="001B6E4D">
        <w:rPr>
          <w:rFonts w:ascii="標楷體" w:eastAsia="標楷體" w:hAnsi="標楷體" w:hint="eastAsia"/>
          <w:color w:val="000000"/>
          <w:sz w:val="32"/>
          <w:szCs w:val="32"/>
        </w:rPr>
        <w:t>寄押過</w:t>
      </w:r>
      <w:proofErr w:type="gramEnd"/>
      <w:r w:rsidRPr="001B6E4D">
        <w:rPr>
          <w:rFonts w:ascii="標楷體" w:eastAsia="標楷體" w:hAnsi="標楷體" w:hint="eastAsia"/>
          <w:color w:val="000000"/>
          <w:sz w:val="32"/>
          <w:szCs w:val="32"/>
        </w:rPr>
        <w:t>久之情形，因少年涉及案件身分可能是被告、證人，也可</w:t>
      </w:r>
      <w:r w:rsidRPr="001B6E4D">
        <w:rPr>
          <w:rFonts w:ascii="標楷體" w:eastAsia="標楷體" w:hAnsi="標楷體" w:hint="eastAsia"/>
          <w:sz w:val="32"/>
          <w:szCs w:val="32"/>
        </w:rPr>
        <w:t>能</w:t>
      </w:r>
      <w:proofErr w:type="gramStart"/>
      <w:r w:rsidRPr="001B6E4D">
        <w:rPr>
          <w:rFonts w:ascii="標楷體" w:eastAsia="標楷體" w:hAnsi="標楷體" w:hint="eastAsia"/>
          <w:sz w:val="32"/>
          <w:szCs w:val="32"/>
        </w:rPr>
        <w:t>繫</w:t>
      </w:r>
      <w:proofErr w:type="gramEnd"/>
      <w:r w:rsidRPr="001B6E4D">
        <w:rPr>
          <w:rFonts w:ascii="標楷體" w:eastAsia="標楷體" w:hAnsi="標楷體" w:hint="eastAsia"/>
          <w:sz w:val="32"/>
          <w:szCs w:val="32"/>
        </w:rPr>
        <w:t>屬地檢署或者刑事法庭案件，而非少年法庭管轄，就此司法院曾於111年及112年兩度發函，若借提超過一個月，請矯正機關儘速通知指揮執行的少年法院或檢察官，由他們進行了解，而在管考方式，少年法官於少觀</w:t>
      </w:r>
      <w:r w:rsidRPr="001B6E4D">
        <w:rPr>
          <w:rFonts w:ascii="標楷體" w:eastAsia="標楷體" w:hAnsi="標楷體" w:hint="eastAsia"/>
          <w:sz w:val="32"/>
          <w:szCs w:val="32"/>
        </w:rPr>
        <w:lastRenderedPageBreak/>
        <w:t>所</w:t>
      </w:r>
      <w:proofErr w:type="gramStart"/>
      <w:r w:rsidRPr="001B6E4D">
        <w:rPr>
          <w:rFonts w:ascii="標楷體" w:eastAsia="標楷體" w:hAnsi="標楷體" w:hint="eastAsia"/>
          <w:sz w:val="32"/>
          <w:szCs w:val="32"/>
        </w:rPr>
        <w:t>視導時發現</w:t>
      </w:r>
      <w:proofErr w:type="gramEnd"/>
      <w:r w:rsidRPr="001B6E4D">
        <w:rPr>
          <w:rFonts w:ascii="標楷體" w:eastAsia="標楷體" w:hAnsi="標楷體" w:hint="eastAsia"/>
          <w:sz w:val="32"/>
          <w:szCs w:val="32"/>
        </w:rPr>
        <w:t>借提時間過長，事後也會發函請其借提單位儘速處理。</w:t>
      </w:r>
      <w:r w:rsidRPr="001B6E4D">
        <w:rPr>
          <w:rFonts w:ascii="標楷體" w:eastAsia="標楷體" w:hAnsi="標楷體" w:hint="eastAsia"/>
          <w:color w:val="000000"/>
          <w:sz w:val="32"/>
          <w:szCs w:val="32"/>
        </w:rPr>
        <w:t>根據114年報表顯示，借提人數已呈現逐季下降趨勢（第一季9人、第</w:t>
      </w:r>
      <w:r w:rsidRPr="001B6E4D">
        <w:rPr>
          <w:rFonts w:ascii="標楷體" w:eastAsia="標楷體" w:hAnsi="標楷體" w:hint="eastAsia"/>
          <w:sz w:val="32"/>
          <w:szCs w:val="32"/>
        </w:rPr>
        <w:t>二季5人、第三季4人、第四季4人），其中最長為97天。就借提時間過長，實務上經驗以詐騙案為例，因少年涉及多起案件分散在不同刑庭法官，A法官審理完後換B法官審理，</w:t>
      </w:r>
      <w:proofErr w:type="gramStart"/>
      <w:r w:rsidRPr="001B6E4D">
        <w:rPr>
          <w:rFonts w:ascii="標楷體" w:eastAsia="標楷體" w:hAnsi="標楷體" w:hint="eastAsia"/>
          <w:sz w:val="32"/>
          <w:szCs w:val="32"/>
        </w:rPr>
        <w:t>導致寄押耽擱</w:t>
      </w:r>
      <w:proofErr w:type="gramEnd"/>
      <w:r w:rsidRPr="001B6E4D">
        <w:rPr>
          <w:rFonts w:ascii="標楷體" w:eastAsia="標楷體" w:hAnsi="標楷體" w:hint="eastAsia"/>
          <w:sz w:val="32"/>
          <w:szCs w:val="32"/>
        </w:rPr>
        <w:t>許久，影響少年權益。因目前刑訴規定直接審理原則，被告必須直接到現場，對此，刑事廳目前正積極</w:t>
      </w:r>
      <w:proofErr w:type="gramStart"/>
      <w:r w:rsidRPr="001B6E4D">
        <w:rPr>
          <w:rFonts w:ascii="標楷體" w:eastAsia="標楷體" w:hAnsi="標楷體" w:hint="eastAsia"/>
          <w:sz w:val="32"/>
          <w:szCs w:val="32"/>
        </w:rPr>
        <w:t>研</w:t>
      </w:r>
      <w:proofErr w:type="gramEnd"/>
      <w:r w:rsidRPr="001B6E4D">
        <w:rPr>
          <w:rFonts w:ascii="標楷體" w:eastAsia="標楷體" w:hAnsi="標楷體" w:hint="eastAsia"/>
          <w:sz w:val="32"/>
          <w:szCs w:val="32"/>
        </w:rPr>
        <w:t>議相關草案推動開庭視訊化，未來若能順利推行視訊開庭，即可省去繁瑣的借提流程，進一步保障少年的受教權。</w:t>
      </w:r>
    </w:p>
    <w:p w14:paraId="62459157" w14:textId="77777777" w:rsidR="00B921E8" w:rsidRPr="001B6E4D" w:rsidRDefault="00B921E8" w:rsidP="003D1018">
      <w:pPr>
        <w:widowControl w:val="0"/>
        <w:numPr>
          <w:ilvl w:val="0"/>
          <w:numId w:val="80"/>
        </w:numPr>
        <w:overflowPunct w:val="0"/>
        <w:spacing w:line="520" w:lineRule="exact"/>
        <w:ind w:left="1174"/>
        <w:jc w:val="both"/>
        <w:rPr>
          <w:rFonts w:ascii="標楷體" w:eastAsia="標楷體" w:hAnsi="標楷體"/>
          <w:sz w:val="32"/>
          <w:szCs w:val="32"/>
        </w:rPr>
      </w:pPr>
      <w:bookmarkStart w:id="576" w:name="_Hlk232498016"/>
      <w:proofErr w:type="gramStart"/>
      <w:r w:rsidRPr="001B6E4D">
        <w:rPr>
          <w:rFonts w:ascii="標楷體" w:eastAsia="標楷體" w:hAnsi="標楷體" w:hint="eastAsia"/>
          <w:b/>
          <w:color w:val="000000"/>
          <w:sz w:val="32"/>
          <w:szCs w:val="32"/>
        </w:rPr>
        <w:t>臺</w:t>
      </w:r>
      <w:proofErr w:type="gramEnd"/>
      <w:r w:rsidRPr="001B6E4D">
        <w:rPr>
          <w:rFonts w:ascii="標楷體" w:eastAsia="標楷體" w:hAnsi="標楷體" w:hint="eastAsia"/>
          <w:b/>
          <w:color w:val="000000"/>
          <w:sz w:val="32"/>
          <w:szCs w:val="32"/>
        </w:rPr>
        <w:t>北少年觀護所輔導科賴</w:t>
      </w:r>
      <w:r w:rsidRPr="001B6E4D">
        <w:rPr>
          <w:rFonts w:ascii="標楷體" w:eastAsia="標楷體" w:hAnsi="標楷體" w:hint="eastAsia"/>
          <w:b/>
          <w:sz w:val="32"/>
          <w:szCs w:val="32"/>
        </w:rPr>
        <w:t>科長文玲：</w:t>
      </w:r>
    </w:p>
    <w:p w14:paraId="21E597F1"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sz w:val="32"/>
          <w:szCs w:val="32"/>
        </w:rPr>
      </w:pPr>
      <w:r w:rsidRPr="001B6E4D">
        <w:rPr>
          <w:rFonts w:ascii="標楷體" w:eastAsia="標楷體" w:hAnsi="標楷體" w:hint="eastAsia"/>
          <w:sz w:val="32"/>
          <w:szCs w:val="32"/>
        </w:rPr>
        <w:t>針對</w:t>
      </w:r>
      <w:bookmarkStart w:id="577" w:name="_Hlk232600594"/>
      <w:r w:rsidRPr="001B6E4D">
        <w:rPr>
          <w:rFonts w:ascii="標楷體" w:eastAsia="標楷體" w:hAnsi="標楷體" w:hint="eastAsia"/>
          <w:sz w:val="32"/>
          <w:szCs w:val="32"/>
        </w:rPr>
        <w:t>防詐</w:t>
      </w:r>
      <w:bookmarkEnd w:id="577"/>
      <w:r w:rsidRPr="001B6E4D">
        <w:rPr>
          <w:rFonts w:ascii="標楷體" w:eastAsia="標楷體" w:hAnsi="標楷體" w:hint="eastAsia"/>
          <w:sz w:val="32"/>
          <w:szCs w:val="32"/>
        </w:rPr>
        <w:t>法治教育、新興毒品防制及特教資源運用，本所目前採取多管齊下的處遇機制。首先在防詐法治教育，於少年入所調查階段即由班級主管、輔導員、心理師、教區科員及社工師初步施予個別輔導。後續由輔導員利用集體教誨及班會時段播放防詐影片，並</w:t>
      </w:r>
      <w:proofErr w:type="gramStart"/>
      <w:r w:rsidRPr="001B6E4D">
        <w:rPr>
          <w:rFonts w:ascii="標楷體" w:eastAsia="標楷體" w:hAnsi="標楷體" w:hint="eastAsia"/>
          <w:sz w:val="32"/>
          <w:szCs w:val="32"/>
        </w:rPr>
        <w:t>結合雙北法律</w:t>
      </w:r>
      <w:proofErr w:type="gramEnd"/>
      <w:r w:rsidRPr="001B6E4D">
        <w:rPr>
          <w:rFonts w:ascii="標楷體" w:eastAsia="標楷體" w:hAnsi="標楷體" w:hint="eastAsia"/>
          <w:sz w:val="32"/>
          <w:szCs w:val="32"/>
        </w:rPr>
        <w:t>扶助基金會律師每月入所於班級講授實務案例（含刑事罪責、民事賠償與再犯預防），每季合辦法律常識會考。</w:t>
      </w:r>
      <w:proofErr w:type="gramStart"/>
      <w:r w:rsidRPr="001B6E4D">
        <w:rPr>
          <w:rFonts w:ascii="標楷體" w:eastAsia="標楷體" w:hAnsi="標楷體" w:hint="eastAsia"/>
          <w:sz w:val="32"/>
          <w:szCs w:val="32"/>
        </w:rPr>
        <w:t>此外，</w:t>
      </w:r>
      <w:proofErr w:type="gramEnd"/>
      <w:r w:rsidRPr="001B6E4D">
        <w:rPr>
          <w:rFonts w:ascii="標楷體" w:eastAsia="標楷體" w:hAnsi="標楷體" w:hint="eastAsia"/>
          <w:sz w:val="32"/>
          <w:szCs w:val="32"/>
        </w:rPr>
        <w:t>由社工師不定期偕同更生保護會新北分會於班級進行求職防詐宣導，另由輔導員於三節面對面</w:t>
      </w:r>
      <w:proofErr w:type="gramStart"/>
      <w:r w:rsidRPr="001B6E4D">
        <w:rPr>
          <w:rFonts w:ascii="標楷體" w:eastAsia="標楷體" w:hAnsi="標楷體" w:hint="eastAsia"/>
          <w:sz w:val="32"/>
          <w:szCs w:val="32"/>
        </w:rPr>
        <w:t>懇</w:t>
      </w:r>
      <w:proofErr w:type="gramEnd"/>
      <w:r w:rsidRPr="001B6E4D">
        <w:rPr>
          <w:rFonts w:ascii="標楷體" w:eastAsia="標楷體" w:hAnsi="標楷體" w:hint="eastAsia"/>
          <w:sz w:val="32"/>
          <w:szCs w:val="32"/>
        </w:rPr>
        <w:t>親活動向少年及家屬實施防詐法治宣導。其次針對「依托</w:t>
      </w:r>
      <w:proofErr w:type="gramStart"/>
      <w:r w:rsidRPr="001B6E4D">
        <w:rPr>
          <w:rFonts w:ascii="標楷體" w:eastAsia="標楷體" w:hAnsi="標楷體" w:hint="eastAsia"/>
          <w:color w:val="000000"/>
          <w:sz w:val="32"/>
          <w:szCs w:val="32"/>
        </w:rPr>
        <w:t>咪</w:t>
      </w:r>
      <w:proofErr w:type="gramEnd"/>
      <w:r w:rsidRPr="001B6E4D">
        <w:rPr>
          <w:rFonts w:ascii="標楷體" w:eastAsia="標楷體" w:hAnsi="標楷體" w:hint="eastAsia"/>
          <w:color w:val="000000"/>
          <w:sz w:val="32"/>
          <w:szCs w:val="32"/>
        </w:rPr>
        <w:t>酯」等新</w:t>
      </w:r>
      <w:r w:rsidRPr="001B6E4D">
        <w:rPr>
          <w:rFonts w:ascii="標楷體" w:eastAsia="標楷體" w:hAnsi="標楷體" w:hint="eastAsia"/>
          <w:sz w:val="32"/>
          <w:szCs w:val="32"/>
        </w:rPr>
        <w:t>興毒品，</w:t>
      </w:r>
      <w:proofErr w:type="gramStart"/>
      <w:r w:rsidRPr="001B6E4D">
        <w:rPr>
          <w:rFonts w:ascii="標楷體" w:eastAsia="標楷體" w:hAnsi="標楷體" w:hint="eastAsia"/>
          <w:sz w:val="32"/>
          <w:szCs w:val="32"/>
        </w:rPr>
        <w:t>個管師於</w:t>
      </w:r>
      <w:proofErr w:type="gramEnd"/>
      <w:r w:rsidRPr="001B6E4D">
        <w:rPr>
          <w:rFonts w:ascii="標楷體" w:eastAsia="標楷體" w:hAnsi="標楷體" w:hint="eastAsia"/>
          <w:sz w:val="32"/>
          <w:szCs w:val="32"/>
        </w:rPr>
        <w:t>少年一入所即啟動個案管理和實施個別會談，連結新北市政府衛生局毒防中心與臺北市立聯合醫院松德院區，除在班級進行「青少年物質濫用及性病防治」課程外，並依據少年風險層級進行初階介入輔導，針對</w:t>
      </w:r>
      <w:bookmarkStart w:id="578" w:name="_Hlk232601660"/>
      <w:r w:rsidRPr="001B6E4D">
        <w:rPr>
          <w:rFonts w:ascii="標楷體" w:eastAsia="標楷體" w:hAnsi="標楷體" w:hint="eastAsia"/>
          <w:sz w:val="32"/>
          <w:szCs w:val="32"/>
        </w:rPr>
        <w:t>「藥、酒癮高風險者」</w:t>
      </w:r>
      <w:bookmarkEnd w:id="578"/>
      <w:r w:rsidRPr="001B6E4D">
        <w:rPr>
          <w:rFonts w:ascii="標楷體" w:eastAsia="標楷體" w:hAnsi="標楷體" w:hint="eastAsia"/>
          <w:sz w:val="32"/>
          <w:szCs w:val="32"/>
        </w:rPr>
        <w:t>安排進階處遇，再由心理師及</w:t>
      </w:r>
      <w:proofErr w:type="gramStart"/>
      <w:r w:rsidRPr="001B6E4D">
        <w:rPr>
          <w:rFonts w:ascii="標楷體" w:eastAsia="標楷體" w:hAnsi="標楷體" w:hint="eastAsia"/>
          <w:sz w:val="32"/>
          <w:szCs w:val="32"/>
        </w:rPr>
        <w:t>個管師</w:t>
      </w:r>
      <w:proofErr w:type="gramEnd"/>
      <w:r w:rsidRPr="001B6E4D">
        <w:rPr>
          <w:rFonts w:ascii="標楷體" w:eastAsia="標楷體" w:hAnsi="標楷體" w:hint="eastAsia"/>
          <w:sz w:val="32"/>
          <w:szCs w:val="32"/>
        </w:rPr>
        <w:t>評估分發</w:t>
      </w:r>
      <w:proofErr w:type="gramStart"/>
      <w:r w:rsidRPr="001B6E4D">
        <w:rPr>
          <w:rFonts w:ascii="標楷體" w:eastAsia="標楷體" w:hAnsi="標楷體" w:hint="eastAsia"/>
          <w:sz w:val="32"/>
          <w:szCs w:val="32"/>
        </w:rPr>
        <w:t>至戒癮班</w:t>
      </w:r>
      <w:proofErr w:type="gramEnd"/>
      <w:r w:rsidRPr="001B6E4D">
        <w:rPr>
          <w:rFonts w:ascii="標楷體" w:eastAsia="標楷體" w:hAnsi="標楷體" w:hint="eastAsia"/>
          <w:sz w:val="32"/>
          <w:szCs w:val="32"/>
        </w:rPr>
        <w:t>或戒</w:t>
      </w:r>
      <w:r w:rsidRPr="001B6E4D">
        <w:rPr>
          <w:rFonts w:ascii="標楷體" w:eastAsia="標楷體" w:hAnsi="標楷體" w:hint="eastAsia"/>
          <w:sz w:val="32"/>
          <w:szCs w:val="32"/>
        </w:rPr>
        <w:lastRenderedPageBreak/>
        <w:t>毒教育班之小團體輔導。後續結合更生保護會新北分會於班級進行「毒品處遇七大面向」課程，並由本所合作</w:t>
      </w:r>
      <w:proofErr w:type="gramStart"/>
      <w:r w:rsidRPr="001B6E4D">
        <w:rPr>
          <w:rFonts w:ascii="標楷體" w:eastAsia="標楷體" w:hAnsi="標楷體" w:hint="eastAsia"/>
          <w:sz w:val="32"/>
          <w:szCs w:val="32"/>
        </w:rPr>
        <w:t>之後追社政</w:t>
      </w:r>
      <w:proofErr w:type="gramEnd"/>
      <w:r w:rsidRPr="001B6E4D">
        <w:rPr>
          <w:rFonts w:ascii="標楷體" w:eastAsia="標楷體" w:hAnsi="標楷體" w:hint="eastAsia"/>
          <w:sz w:val="32"/>
          <w:szCs w:val="32"/>
        </w:rPr>
        <w:t>團體（淨化文教、利伯他茲）於班級進行毒品</w:t>
      </w:r>
      <w:proofErr w:type="gramStart"/>
      <w:r w:rsidRPr="001B6E4D">
        <w:rPr>
          <w:rFonts w:ascii="標楷體" w:eastAsia="標楷體" w:hAnsi="標楷體" w:hint="eastAsia"/>
          <w:sz w:val="32"/>
          <w:szCs w:val="32"/>
        </w:rPr>
        <w:t>減害等</w:t>
      </w:r>
      <w:proofErr w:type="gramEnd"/>
      <w:r w:rsidRPr="001B6E4D">
        <w:rPr>
          <w:rFonts w:ascii="標楷體" w:eastAsia="標楷體" w:hAnsi="標楷體" w:hint="eastAsia"/>
          <w:sz w:val="32"/>
          <w:szCs w:val="32"/>
        </w:rPr>
        <w:t>課程。</w:t>
      </w:r>
      <w:proofErr w:type="gramStart"/>
      <w:r w:rsidRPr="001B6E4D">
        <w:rPr>
          <w:rFonts w:ascii="標楷體" w:eastAsia="標楷體" w:hAnsi="標楷體" w:hint="eastAsia"/>
          <w:sz w:val="32"/>
          <w:szCs w:val="32"/>
        </w:rPr>
        <w:t>此外，</w:t>
      </w:r>
      <w:proofErr w:type="gramEnd"/>
      <w:r w:rsidRPr="001B6E4D">
        <w:rPr>
          <w:rFonts w:ascii="標楷體" w:eastAsia="標楷體" w:hAnsi="標楷體" w:hint="eastAsia"/>
          <w:sz w:val="32"/>
          <w:szCs w:val="32"/>
        </w:rPr>
        <w:t>醫務室護理師亦不定期於班級衛教宣導，另</w:t>
      </w:r>
      <w:proofErr w:type="gramStart"/>
      <w:r w:rsidRPr="001B6E4D">
        <w:rPr>
          <w:rFonts w:ascii="標楷體" w:eastAsia="標楷體" w:hAnsi="標楷體" w:hint="eastAsia"/>
          <w:sz w:val="32"/>
          <w:szCs w:val="32"/>
        </w:rPr>
        <w:t>由毒防</w:t>
      </w:r>
      <w:proofErr w:type="gramEnd"/>
      <w:r w:rsidRPr="001B6E4D">
        <w:rPr>
          <w:rFonts w:ascii="標楷體" w:eastAsia="標楷體" w:hAnsi="標楷體" w:hint="eastAsia"/>
          <w:sz w:val="32"/>
          <w:szCs w:val="32"/>
        </w:rPr>
        <w:t>中心於三節面對面</w:t>
      </w:r>
      <w:proofErr w:type="gramStart"/>
      <w:r w:rsidRPr="001B6E4D">
        <w:rPr>
          <w:rFonts w:ascii="標楷體" w:eastAsia="標楷體" w:hAnsi="標楷體" w:hint="eastAsia"/>
          <w:sz w:val="32"/>
          <w:szCs w:val="32"/>
        </w:rPr>
        <w:t>懇</w:t>
      </w:r>
      <w:proofErr w:type="gramEnd"/>
      <w:r w:rsidRPr="001B6E4D">
        <w:rPr>
          <w:rFonts w:ascii="標楷體" w:eastAsia="標楷體" w:hAnsi="標楷體" w:hint="eastAsia"/>
          <w:sz w:val="32"/>
          <w:szCs w:val="32"/>
        </w:rPr>
        <w:t>親活動設攤，提供個別諮詢、衛教宣導及文宣品發放，</w:t>
      </w:r>
      <w:proofErr w:type="gramStart"/>
      <w:r w:rsidRPr="001B6E4D">
        <w:rPr>
          <w:rFonts w:ascii="標楷體" w:eastAsia="標楷體" w:hAnsi="標楷體" w:hint="eastAsia"/>
          <w:sz w:val="32"/>
          <w:szCs w:val="32"/>
        </w:rPr>
        <w:t>以上均有針對</w:t>
      </w:r>
      <w:proofErr w:type="gramEnd"/>
      <w:r w:rsidRPr="001B6E4D">
        <w:rPr>
          <w:rFonts w:ascii="標楷體" w:eastAsia="標楷體" w:hAnsi="標楷體" w:hint="eastAsia"/>
          <w:sz w:val="32"/>
          <w:szCs w:val="32"/>
        </w:rPr>
        <w:t>新興毒品進行防制教育。最後有關特教資源，若經輔導員、心理師輔導發現</w:t>
      </w:r>
      <w:proofErr w:type="gramStart"/>
      <w:r w:rsidRPr="001B6E4D">
        <w:rPr>
          <w:rFonts w:ascii="標楷體" w:eastAsia="標楷體" w:hAnsi="標楷體" w:hint="eastAsia"/>
          <w:sz w:val="32"/>
          <w:szCs w:val="32"/>
        </w:rPr>
        <w:t>少年具特教</w:t>
      </w:r>
      <w:proofErr w:type="gramEnd"/>
      <w:r w:rsidRPr="001B6E4D">
        <w:rPr>
          <w:rFonts w:ascii="標楷體" w:eastAsia="標楷體" w:hAnsi="標楷體" w:hint="eastAsia"/>
          <w:sz w:val="32"/>
          <w:szCs w:val="32"/>
        </w:rPr>
        <w:t>需求，將轉</w:t>
      </w:r>
      <w:proofErr w:type="gramStart"/>
      <w:r w:rsidRPr="001B6E4D">
        <w:rPr>
          <w:rFonts w:ascii="標楷體" w:eastAsia="標楷體" w:hAnsi="標楷體" w:hint="eastAsia"/>
          <w:sz w:val="32"/>
          <w:szCs w:val="32"/>
        </w:rPr>
        <w:t>介具特</w:t>
      </w:r>
      <w:proofErr w:type="gramEnd"/>
      <w:r w:rsidRPr="001B6E4D">
        <w:rPr>
          <w:rFonts w:ascii="標楷體" w:eastAsia="標楷體" w:hAnsi="標楷體" w:hint="eastAsia"/>
          <w:sz w:val="32"/>
          <w:szCs w:val="32"/>
        </w:rPr>
        <w:t>教資格之外聘心理師或聯繫原學校特教老師入所個別輔導，必要時轉</w:t>
      </w:r>
      <w:proofErr w:type="gramStart"/>
      <w:r w:rsidRPr="001B6E4D">
        <w:rPr>
          <w:rFonts w:ascii="標楷體" w:eastAsia="標楷體" w:hAnsi="標楷體" w:hint="eastAsia"/>
          <w:sz w:val="32"/>
          <w:szCs w:val="32"/>
        </w:rPr>
        <w:t>介</w:t>
      </w:r>
      <w:proofErr w:type="gramEnd"/>
      <w:r w:rsidRPr="001B6E4D">
        <w:rPr>
          <w:rFonts w:ascii="標楷體" w:eastAsia="標楷體" w:hAnsi="標楷體" w:hint="eastAsia"/>
          <w:sz w:val="32"/>
          <w:szCs w:val="32"/>
        </w:rPr>
        <w:t>醫務室看診。並由社工</w:t>
      </w:r>
      <w:proofErr w:type="gramStart"/>
      <w:r w:rsidRPr="001B6E4D">
        <w:rPr>
          <w:rFonts w:ascii="標楷體" w:eastAsia="標楷體" w:hAnsi="標楷體" w:hint="eastAsia"/>
          <w:sz w:val="32"/>
          <w:szCs w:val="32"/>
        </w:rPr>
        <w:t>師及教輔小組</w:t>
      </w:r>
      <w:proofErr w:type="gramEnd"/>
      <w:r w:rsidRPr="001B6E4D">
        <w:rPr>
          <w:rFonts w:ascii="標楷體" w:eastAsia="標楷體" w:hAnsi="標楷體" w:hint="eastAsia"/>
          <w:sz w:val="32"/>
          <w:szCs w:val="32"/>
        </w:rPr>
        <w:t>協助生活適應，視其需求安排參與「融合教育與社會情緒學習」、「融合教育與自我成長」等小團體輔導，另針對身心障礙少年提供動態的「適性教育鼓動青春-大鼓班」小團體輔導。</w:t>
      </w:r>
    </w:p>
    <w:p w14:paraId="0002AA28"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sz w:val="32"/>
          <w:szCs w:val="32"/>
        </w:rPr>
      </w:pPr>
      <w:bookmarkStart w:id="579" w:name="_Hlk232519134"/>
      <w:bookmarkEnd w:id="576"/>
      <w:r w:rsidRPr="001B6E4D">
        <w:rPr>
          <w:rFonts w:ascii="標楷體" w:eastAsia="標楷體" w:hAnsi="標楷體" w:hint="eastAsia"/>
          <w:b/>
          <w:sz w:val="32"/>
          <w:szCs w:val="32"/>
        </w:rPr>
        <w:t>立法院莊瑞雄委員李研究室助理虹</w:t>
      </w:r>
      <w:proofErr w:type="gramStart"/>
      <w:r w:rsidRPr="001B6E4D">
        <w:rPr>
          <w:rFonts w:ascii="標楷體" w:eastAsia="標楷體" w:hAnsi="標楷體" w:hint="eastAsia"/>
          <w:b/>
          <w:sz w:val="32"/>
          <w:szCs w:val="32"/>
        </w:rPr>
        <w:t>妏</w:t>
      </w:r>
      <w:proofErr w:type="gramEnd"/>
      <w:r w:rsidRPr="001B6E4D">
        <w:rPr>
          <w:rFonts w:ascii="標楷體" w:eastAsia="標楷體" w:hAnsi="標楷體" w:hint="eastAsia"/>
          <w:b/>
          <w:sz w:val="32"/>
          <w:szCs w:val="32"/>
        </w:rPr>
        <w:t>：</w:t>
      </w:r>
      <w:bookmarkEnd w:id="579"/>
    </w:p>
    <w:p w14:paraId="01467D74"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針對簡報數據，提出以下幾點問題請進一步說明。首先，關於專業輔導人員（包含心理師、社工師及個管師），目前各自的實際配置人數為何？流動率狀況如何？整體人力是否達到穩定運作的標準？其次，簡報中關於個別輔導的投入人力與服務人次標示較不</w:t>
      </w:r>
      <w:proofErr w:type="gramStart"/>
      <w:r w:rsidRPr="001B6E4D">
        <w:rPr>
          <w:rFonts w:ascii="標楷體" w:eastAsia="標楷體" w:hAnsi="標楷體" w:hint="eastAsia"/>
          <w:color w:val="000000"/>
          <w:sz w:val="32"/>
          <w:szCs w:val="32"/>
        </w:rPr>
        <w:t>清晰，</w:t>
      </w:r>
      <w:proofErr w:type="gramEnd"/>
      <w:r w:rsidRPr="001B6E4D">
        <w:rPr>
          <w:rFonts w:ascii="標楷體" w:eastAsia="標楷體" w:hAnsi="標楷體" w:hint="eastAsia"/>
          <w:color w:val="000000"/>
          <w:sz w:val="32"/>
          <w:szCs w:val="32"/>
        </w:rPr>
        <w:t>希望能補充具體數據以利了解實際處遇量能。</w:t>
      </w:r>
      <w:proofErr w:type="gramStart"/>
      <w:r w:rsidRPr="001B6E4D">
        <w:rPr>
          <w:rFonts w:ascii="標楷體" w:eastAsia="標楷體" w:hAnsi="標楷體" w:hint="eastAsia"/>
          <w:color w:val="000000"/>
          <w:sz w:val="32"/>
          <w:szCs w:val="32"/>
        </w:rPr>
        <w:t>此外，</w:t>
      </w:r>
      <w:proofErr w:type="gramEnd"/>
      <w:r w:rsidRPr="001B6E4D">
        <w:rPr>
          <w:rFonts w:ascii="標楷體" w:eastAsia="標楷體" w:hAnsi="標楷體" w:hint="eastAsia"/>
          <w:color w:val="000000"/>
          <w:sz w:val="32"/>
          <w:szCs w:val="32"/>
        </w:rPr>
        <w:t>數據統計前後頁似乎存在落差，前頁顯示毒品案收容少年為76人，</w:t>
      </w:r>
      <w:proofErr w:type="gramStart"/>
      <w:r w:rsidRPr="001B6E4D">
        <w:rPr>
          <w:rFonts w:ascii="標楷體" w:eastAsia="標楷體" w:hAnsi="標楷體" w:hint="eastAsia"/>
          <w:color w:val="000000"/>
          <w:sz w:val="32"/>
          <w:szCs w:val="32"/>
        </w:rPr>
        <w:t>次頁卻記載</w:t>
      </w:r>
      <w:proofErr w:type="gramEnd"/>
      <w:r w:rsidRPr="001B6E4D">
        <w:rPr>
          <w:rFonts w:ascii="標楷體" w:eastAsia="標楷體" w:hAnsi="標楷體" w:hint="eastAsia"/>
          <w:color w:val="000000"/>
          <w:sz w:val="32"/>
          <w:szCs w:val="32"/>
        </w:rPr>
        <w:t>為78人，請</w:t>
      </w:r>
      <w:proofErr w:type="gramStart"/>
      <w:r w:rsidRPr="001B6E4D">
        <w:rPr>
          <w:rFonts w:ascii="標楷體" w:eastAsia="標楷體" w:hAnsi="標楷體" w:hint="eastAsia"/>
          <w:color w:val="000000"/>
          <w:sz w:val="32"/>
          <w:szCs w:val="32"/>
        </w:rPr>
        <w:t>釐</w:t>
      </w:r>
      <w:proofErr w:type="gramEnd"/>
      <w:r w:rsidRPr="001B6E4D">
        <w:rPr>
          <w:rFonts w:ascii="標楷體" w:eastAsia="標楷體" w:hAnsi="標楷體" w:hint="eastAsia"/>
          <w:color w:val="000000"/>
          <w:sz w:val="32"/>
          <w:szCs w:val="32"/>
        </w:rPr>
        <w:t>清其統計基準與計算方式。最後，有關毒品案收容的女性少年比例，數據顯示由113年的20位攀升至114年的69位，請協助說明導致此比例明顯上升的潛在原因為何？</w:t>
      </w:r>
      <w:r w:rsidRPr="001B6E4D">
        <w:rPr>
          <w:rFonts w:ascii="標楷體" w:eastAsia="標楷體" w:hAnsi="標楷體"/>
          <w:color w:val="000000"/>
          <w:sz w:val="32"/>
          <w:szCs w:val="32"/>
        </w:rPr>
        <w:t xml:space="preserve"> </w:t>
      </w:r>
    </w:p>
    <w:p w14:paraId="0847721C" w14:textId="77777777" w:rsidR="00B921E8" w:rsidRPr="001B6E4D" w:rsidRDefault="00B921E8" w:rsidP="003D1018">
      <w:pPr>
        <w:widowControl w:val="0"/>
        <w:numPr>
          <w:ilvl w:val="0"/>
          <w:numId w:val="80"/>
        </w:numPr>
        <w:overflowPunct w:val="0"/>
        <w:ind w:left="1174"/>
        <w:rPr>
          <w:rFonts w:ascii="標楷體" w:eastAsia="標楷體" w:hAnsi="標楷體"/>
          <w:b/>
          <w:sz w:val="32"/>
          <w:szCs w:val="32"/>
        </w:rPr>
      </w:pPr>
      <w:proofErr w:type="gramStart"/>
      <w:r w:rsidRPr="001B6E4D">
        <w:rPr>
          <w:rFonts w:ascii="標楷體" w:eastAsia="標楷體" w:hAnsi="標楷體" w:hint="eastAsia"/>
          <w:b/>
          <w:color w:val="000000"/>
          <w:sz w:val="32"/>
          <w:szCs w:val="32"/>
        </w:rPr>
        <w:t>臺</w:t>
      </w:r>
      <w:proofErr w:type="gramEnd"/>
      <w:r w:rsidRPr="001B6E4D">
        <w:rPr>
          <w:rFonts w:ascii="標楷體" w:eastAsia="標楷體" w:hAnsi="標楷體" w:hint="eastAsia"/>
          <w:b/>
          <w:color w:val="000000"/>
          <w:sz w:val="32"/>
          <w:szCs w:val="32"/>
        </w:rPr>
        <w:t>北少年觀護所輔導科賴</w:t>
      </w:r>
      <w:r w:rsidRPr="001B6E4D">
        <w:rPr>
          <w:rFonts w:ascii="標楷體" w:eastAsia="標楷體" w:hAnsi="標楷體" w:hint="eastAsia"/>
          <w:b/>
          <w:sz w:val="32"/>
          <w:szCs w:val="32"/>
        </w:rPr>
        <w:t>科長文玲:</w:t>
      </w:r>
    </w:p>
    <w:p w14:paraId="37F14881"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FF0000"/>
          <w:sz w:val="32"/>
          <w:szCs w:val="32"/>
        </w:rPr>
      </w:pPr>
      <w:r w:rsidRPr="001B6E4D">
        <w:rPr>
          <w:rFonts w:ascii="標楷體" w:eastAsia="標楷體" w:hAnsi="標楷體" w:hint="eastAsia"/>
          <w:sz w:val="32"/>
          <w:szCs w:val="32"/>
        </w:rPr>
        <w:lastRenderedPageBreak/>
        <w:t>本所目前專業輔導人力編制包含科長1名、輔導員3名、心理師與社工師各2名、及</w:t>
      </w:r>
      <w:proofErr w:type="gramStart"/>
      <w:r w:rsidRPr="001B6E4D">
        <w:rPr>
          <w:rFonts w:ascii="標楷體" w:eastAsia="標楷體" w:hAnsi="標楷體" w:hint="eastAsia"/>
          <w:sz w:val="32"/>
          <w:szCs w:val="32"/>
        </w:rPr>
        <w:t>個管師1名</w:t>
      </w:r>
      <w:proofErr w:type="gramEnd"/>
      <w:r w:rsidRPr="001B6E4D">
        <w:rPr>
          <w:rFonts w:ascii="標楷體" w:eastAsia="標楷體" w:hAnsi="標楷體" w:hint="eastAsia"/>
          <w:sz w:val="32"/>
          <w:szCs w:val="32"/>
        </w:rPr>
        <w:t>，共同負責收容少年的輔導工作。以現階段實務運作而言，輔導資源若有不足，如針對具特殊教育需求之個案處遇，目前是運用機關業務費和外界捐款，</w:t>
      </w:r>
      <w:proofErr w:type="gramStart"/>
      <w:r w:rsidRPr="001B6E4D">
        <w:rPr>
          <w:rFonts w:ascii="標楷體" w:eastAsia="標楷體" w:hAnsi="標楷體" w:hint="eastAsia"/>
          <w:sz w:val="32"/>
          <w:szCs w:val="32"/>
        </w:rPr>
        <w:t>聘請具特教</w:t>
      </w:r>
      <w:proofErr w:type="gramEnd"/>
      <w:r w:rsidRPr="001B6E4D">
        <w:rPr>
          <w:rFonts w:ascii="標楷體" w:eastAsia="標楷體" w:hAnsi="標楷體" w:hint="eastAsia"/>
          <w:sz w:val="32"/>
          <w:szCs w:val="32"/>
        </w:rPr>
        <w:t>背景之心理師入所協助輔導。</w:t>
      </w:r>
      <w:proofErr w:type="gramStart"/>
      <w:r w:rsidRPr="001B6E4D">
        <w:rPr>
          <w:rFonts w:ascii="標楷體" w:eastAsia="標楷體" w:hAnsi="標楷體" w:hint="eastAsia"/>
          <w:sz w:val="32"/>
          <w:szCs w:val="32"/>
        </w:rPr>
        <w:t>此外，</w:t>
      </w:r>
      <w:proofErr w:type="gramEnd"/>
      <w:r w:rsidRPr="001B6E4D">
        <w:rPr>
          <w:rFonts w:ascii="標楷體" w:eastAsia="標楷體" w:hAnsi="標楷體" w:hint="eastAsia"/>
          <w:sz w:val="32"/>
          <w:szCs w:val="32"/>
        </w:rPr>
        <w:t>關於簡報第26頁之數據，原標題「本所輔導人力」實為「本所</w:t>
      </w:r>
      <w:proofErr w:type="gramStart"/>
      <w:r w:rsidRPr="001B6E4D">
        <w:rPr>
          <w:rFonts w:ascii="標楷體" w:eastAsia="標楷體" w:hAnsi="標楷體" w:hint="eastAsia"/>
          <w:sz w:val="32"/>
          <w:szCs w:val="32"/>
        </w:rPr>
        <w:t>編制專輔人力</w:t>
      </w:r>
      <w:proofErr w:type="gramEnd"/>
      <w:r w:rsidRPr="001B6E4D">
        <w:rPr>
          <w:rFonts w:ascii="標楷體" w:eastAsia="標楷體" w:hAnsi="標楷體" w:hint="eastAsia"/>
          <w:sz w:val="32"/>
          <w:szCs w:val="32"/>
        </w:rPr>
        <w:t>之輔導個案</w:t>
      </w:r>
      <w:proofErr w:type="gramStart"/>
      <w:r w:rsidRPr="001B6E4D">
        <w:rPr>
          <w:rFonts w:ascii="標楷體" w:eastAsia="標楷體" w:hAnsi="標楷體" w:hint="eastAsia"/>
          <w:sz w:val="32"/>
          <w:szCs w:val="32"/>
        </w:rPr>
        <w:t>人次」</w:t>
      </w:r>
      <w:proofErr w:type="gramEnd"/>
      <w:r w:rsidRPr="001B6E4D">
        <w:rPr>
          <w:rFonts w:ascii="標楷體" w:eastAsia="標楷體" w:hAnsi="標楷體" w:hint="eastAsia"/>
          <w:sz w:val="32"/>
          <w:szCs w:val="32"/>
        </w:rPr>
        <w:t>，此部分定義不清造成誤解，會後將立即進行修正。另簡報上本所毒品收容人統計，目前主要依據收容書進行罪名分類，因法院裁定書案由多泛稱為「毒品危害防制條例」或「少年法權犯」，未具體標示是否為「依托</w:t>
      </w:r>
      <w:proofErr w:type="gramStart"/>
      <w:r w:rsidRPr="001B6E4D">
        <w:rPr>
          <w:rFonts w:ascii="標楷體" w:eastAsia="標楷體" w:hAnsi="標楷體" w:hint="eastAsia"/>
          <w:sz w:val="32"/>
          <w:szCs w:val="32"/>
        </w:rPr>
        <w:t>咪</w:t>
      </w:r>
      <w:proofErr w:type="gramEnd"/>
      <w:r w:rsidRPr="001B6E4D">
        <w:rPr>
          <w:rFonts w:ascii="標楷體" w:eastAsia="標楷體" w:hAnsi="標楷體" w:hint="eastAsia"/>
          <w:sz w:val="32"/>
          <w:szCs w:val="32"/>
        </w:rPr>
        <w:t>酯」或其他新興毒品，故較難說明收容少女人數由113年</w:t>
      </w:r>
      <w:proofErr w:type="gramStart"/>
      <w:r w:rsidRPr="001B6E4D">
        <w:rPr>
          <w:rFonts w:ascii="標楷體" w:eastAsia="標楷體" w:hAnsi="標楷體" w:hint="eastAsia"/>
          <w:sz w:val="32"/>
          <w:szCs w:val="32"/>
        </w:rPr>
        <w:t>20位驟</w:t>
      </w:r>
      <w:proofErr w:type="gramEnd"/>
      <w:r w:rsidRPr="001B6E4D">
        <w:rPr>
          <w:rFonts w:ascii="標楷體" w:eastAsia="標楷體" w:hAnsi="標楷體" w:hint="eastAsia"/>
          <w:sz w:val="32"/>
          <w:szCs w:val="32"/>
        </w:rPr>
        <w:t>增至114年69位之原因。</w:t>
      </w:r>
    </w:p>
    <w:p w14:paraId="3E7748D0" w14:textId="77777777" w:rsidR="00B921E8" w:rsidRPr="001B6E4D" w:rsidRDefault="00B921E8" w:rsidP="003D1018">
      <w:pPr>
        <w:widowControl w:val="0"/>
        <w:numPr>
          <w:ilvl w:val="0"/>
          <w:numId w:val="80"/>
        </w:numPr>
        <w:overflowPunct w:val="0"/>
        <w:spacing w:line="520" w:lineRule="exact"/>
        <w:ind w:left="1174"/>
        <w:jc w:val="both"/>
        <w:rPr>
          <w:rFonts w:ascii="標楷體" w:eastAsia="標楷體" w:hAnsi="標楷體"/>
          <w:color w:val="000000"/>
          <w:sz w:val="32"/>
          <w:szCs w:val="32"/>
        </w:rPr>
      </w:pPr>
      <w:r w:rsidRPr="001B6E4D">
        <w:rPr>
          <w:rFonts w:ascii="標楷體" w:eastAsia="標楷體" w:hAnsi="標楷體" w:hint="eastAsia"/>
          <w:b/>
          <w:color w:val="000000"/>
          <w:sz w:val="32"/>
          <w:szCs w:val="32"/>
        </w:rPr>
        <w:t>法務部矯正</w:t>
      </w:r>
      <w:r w:rsidRPr="001B6E4D">
        <w:rPr>
          <w:rFonts w:ascii="標楷體" w:eastAsia="標楷體" w:hAnsi="標楷體" w:hint="eastAsia"/>
          <w:b/>
          <w:sz w:val="32"/>
          <w:szCs w:val="32"/>
        </w:rPr>
        <w:t>署蘇主任秘書</w:t>
      </w:r>
      <w:proofErr w:type="gramStart"/>
      <w:r w:rsidRPr="001B6E4D">
        <w:rPr>
          <w:rFonts w:ascii="標楷體" w:eastAsia="標楷體" w:hAnsi="標楷體" w:hint="eastAsia"/>
          <w:b/>
          <w:sz w:val="32"/>
          <w:szCs w:val="32"/>
        </w:rPr>
        <w:t>維闊</w:t>
      </w:r>
      <w:r w:rsidRPr="001B6E4D">
        <w:rPr>
          <w:rFonts w:ascii="標楷體" w:eastAsia="標楷體" w:hAnsi="標楷體" w:hint="eastAsia"/>
          <w:b/>
          <w:color w:val="000000"/>
          <w:sz w:val="32"/>
          <w:szCs w:val="32"/>
        </w:rPr>
        <w:t>：</w:t>
      </w:r>
      <w:proofErr w:type="gramEnd"/>
    </w:p>
    <w:p w14:paraId="01312D08"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sz w:val="32"/>
          <w:szCs w:val="32"/>
        </w:rPr>
      </w:pPr>
      <w:r w:rsidRPr="001B6E4D">
        <w:rPr>
          <w:rFonts w:ascii="標楷體" w:eastAsia="標楷體" w:hAnsi="標楷體" w:hint="eastAsia"/>
          <w:sz w:val="32"/>
          <w:szCs w:val="32"/>
        </w:rPr>
        <w:t>有關委員提到走廊反毒宣導海報需與時俱進一事，針對當前實務上危害甚</w:t>
      </w:r>
      <w:proofErr w:type="gramStart"/>
      <w:r w:rsidRPr="001B6E4D">
        <w:rPr>
          <w:rFonts w:ascii="標楷體" w:eastAsia="標楷體" w:hAnsi="標楷體" w:hint="eastAsia"/>
          <w:sz w:val="32"/>
          <w:szCs w:val="32"/>
        </w:rPr>
        <w:t>鉅</w:t>
      </w:r>
      <w:proofErr w:type="gramEnd"/>
      <w:r w:rsidRPr="001B6E4D">
        <w:rPr>
          <w:rFonts w:ascii="標楷體" w:eastAsia="標楷體" w:hAnsi="標楷體" w:hint="eastAsia"/>
          <w:sz w:val="32"/>
          <w:szCs w:val="32"/>
        </w:rPr>
        <w:t>的新興毒品（如依托</w:t>
      </w:r>
      <w:proofErr w:type="gramStart"/>
      <w:r w:rsidRPr="001B6E4D">
        <w:rPr>
          <w:rFonts w:ascii="標楷體" w:eastAsia="標楷體" w:hAnsi="標楷體" w:hint="eastAsia"/>
          <w:sz w:val="32"/>
          <w:szCs w:val="32"/>
        </w:rPr>
        <w:t>咪酯等</w:t>
      </w:r>
      <w:proofErr w:type="gramEnd"/>
      <w:r w:rsidRPr="001B6E4D">
        <w:rPr>
          <w:rFonts w:ascii="標楷體" w:eastAsia="標楷體" w:hAnsi="標楷體" w:hint="eastAsia"/>
          <w:sz w:val="32"/>
          <w:szCs w:val="32"/>
        </w:rPr>
        <w:t>），</w:t>
      </w:r>
      <w:proofErr w:type="gramStart"/>
      <w:r w:rsidRPr="001B6E4D">
        <w:rPr>
          <w:rFonts w:ascii="標楷體" w:eastAsia="標楷體" w:hAnsi="標楷體" w:hint="eastAsia"/>
          <w:sz w:val="32"/>
          <w:szCs w:val="32"/>
        </w:rPr>
        <w:t>將請少觀</w:t>
      </w:r>
      <w:proofErr w:type="gramEnd"/>
      <w:r w:rsidRPr="001B6E4D">
        <w:rPr>
          <w:rFonts w:ascii="標楷體" w:eastAsia="標楷體" w:hAnsi="標楷體" w:hint="eastAsia"/>
          <w:sz w:val="32"/>
          <w:szCs w:val="32"/>
        </w:rPr>
        <w:t>所更新新興毒品防制資訊與文宣，使收容少年能清楚辨識並深刻理解最新型態的毒品危害。</w:t>
      </w:r>
    </w:p>
    <w:p w14:paraId="56993ABC" w14:textId="77777777" w:rsidR="00B921E8" w:rsidRPr="001B6E4D" w:rsidRDefault="00B921E8" w:rsidP="003D1018">
      <w:pPr>
        <w:widowControl w:val="0"/>
        <w:numPr>
          <w:ilvl w:val="0"/>
          <w:numId w:val="80"/>
        </w:numPr>
        <w:overflowPunct w:val="0"/>
        <w:spacing w:line="520" w:lineRule="exact"/>
        <w:jc w:val="both"/>
        <w:rPr>
          <w:rFonts w:ascii="標楷體" w:eastAsia="標楷體" w:hAnsi="標楷體"/>
          <w:sz w:val="32"/>
          <w:szCs w:val="32"/>
        </w:rPr>
      </w:pPr>
      <w:r w:rsidRPr="001B6E4D">
        <w:rPr>
          <w:rFonts w:ascii="標楷體" w:eastAsia="標楷體" w:hAnsi="標楷體" w:hint="eastAsia"/>
          <w:b/>
          <w:sz w:val="32"/>
          <w:szCs w:val="32"/>
        </w:rPr>
        <w:t>立法院張委員雅琳:</w:t>
      </w:r>
    </w:p>
    <w:p w14:paraId="4F6F2C4B" w14:textId="77777777" w:rsidR="00B921E8" w:rsidRPr="001B6E4D" w:rsidRDefault="00B921E8" w:rsidP="003D1018">
      <w:pPr>
        <w:widowControl w:val="0"/>
        <w:overflowPunct w:val="0"/>
        <w:spacing w:line="520" w:lineRule="exact"/>
        <w:ind w:leftChars="300" w:left="720" w:firstLineChars="200" w:firstLine="640"/>
        <w:jc w:val="both"/>
        <w:rPr>
          <w:rFonts w:ascii="標楷體" w:eastAsia="標楷體" w:hAnsi="標楷體"/>
          <w:color w:val="000000"/>
          <w:sz w:val="32"/>
          <w:szCs w:val="32"/>
        </w:rPr>
      </w:pPr>
      <w:r w:rsidRPr="001B6E4D">
        <w:rPr>
          <w:rFonts w:ascii="標楷體" w:eastAsia="標楷體" w:hAnsi="標楷體" w:hint="eastAsia"/>
          <w:color w:val="000000"/>
          <w:sz w:val="32"/>
          <w:szCs w:val="32"/>
        </w:rPr>
        <w:t>請</w:t>
      </w:r>
      <w:r w:rsidRPr="001B6E4D">
        <w:rPr>
          <w:rFonts w:ascii="標楷體" w:eastAsia="標楷體" w:hAnsi="標楷體" w:hint="eastAsia"/>
          <w:sz w:val="32"/>
          <w:szCs w:val="32"/>
        </w:rPr>
        <w:t>相關單位</w:t>
      </w:r>
      <w:r w:rsidRPr="001B6E4D">
        <w:rPr>
          <w:rFonts w:ascii="標楷體" w:eastAsia="標楷體" w:hAnsi="標楷體" w:hint="eastAsia"/>
          <w:color w:val="000000"/>
          <w:sz w:val="32"/>
          <w:szCs w:val="32"/>
        </w:rPr>
        <w:t>會後提供書面報告，首先是特教部分，特教需求（如ADHD造成的衝動控制）與一般心理輔導不同，不能僅靠諮商協助，希望能</w:t>
      </w:r>
      <w:proofErr w:type="gramStart"/>
      <w:r w:rsidRPr="001B6E4D">
        <w:rPr>
          <w:rFonts w:ascii="標楷體" w:eastAsia="標楷體" w:hAnsi="標楷體" w:hint="eastAsia"/>
          <w:color w:val="000000"/>
          <w:sz w:val="32"/>
          <w:szCs w:val="32"/>
        </w:rPr>
        <w:t>釐</w:t>
      </w:r>
      <w:proofErr w:type="gramEnd"/>
      <w:r w:rsidRPr="001B6E4D">
        <w:rPr>
          <w:rFonts w:ascii="標楷體" w:eastAsia="標楷體" w:hAnsi="標楷體" w:hint="eastAsia"/>
          <w:color w:val="000000"/>
          <w:sz w:val="32"/>
          <w:szCs w:val="32"/>
        </w:rPr>
        <w:t>清少年入所時，機關是否有明確程序去勾</w:t>
      </w:r>
      <w:proofErr w:type="gramStart"/>
      <w:r w:rsidRPr="001B6E4D">
        <w:rPr>
          <w:rFonts w:ascii="標楷體" w:eastAsia="標楷體" w:hAnsi="標楷體" w:hint="eastAsia"/>
          <w:color w:val="000000"/>
          <w:sz w:val="32"/>
          <w:szCs w:val="32"/>
        </w:rPr>
        <w:t>稽確認其特教</w:t>
      </w:r>
      <w:proofErr w:type="gramEnd"/>
      <w:r w:rsidRPr="001B6E4D">
        <w:rPr>
          <w:rFonts w:ascii="標楷體" w:eastAsia="標楷體" w:hAnsi="標楷體" w:hint="eastAsia"/>
          <w:color w:val="000000"/>
          <w:sz w:val="32"/>
          <w:szCs w:val="32"/>
        </w:rPr>
        <w:t>身分？由於目前所內無配置特教老師，針對機關如何掌握特教身分、具體處置流程及後續資源支持，請詳細說明。其次，針對莊委員辦公室提出毒品案收容人數與</w:t>
      </w:r>
      <w:proofErr w:type="gramStart"/>
      <w:r w:rsidRPr="001B6E4D">
        <w:rPr>
          <w:rFonts w:ascii="標楷體" w:eastAsia="標楷體" w:hAnsi="標楷體" w:hint="eastAsia"/>
          <w:color w:val="000000"/>
          <w:sz w:val="32"/>
          <w:szCs w:val="32"/>
        </w:rPr>
        <w:t>實際列</w:t>
      </w:r>
      <w:proofErr w:type="gramEnd"/>
      <w:r w:rsidRPr="001B6E4D">
        <w:rPr>
          <w:rFonts w:ascii="標楷體" w:eastAsia="標楷體" w:hAnsi="標楷體" w:hint="eastAsia"/>
          <w:color w:val="000000"/>
          <w:sz w:val="32"/>
          <w:szCs w:val="32"/>
        </w:rPr>
        <w:t>管</w:t>
      </w:r>
      <w:proofErr w:type="gramStart"/>
      <w:r w:rsidRPr="001B6E4D">
        <w:rPr>
          <w:rFonts w:ascii="標楷體" w:eastAsia="標楷體" w:hAnsi="標楷體" w:hint="eastAsia"/>
          <w:color w:val="000000"/>
          <w:sz w:val="32"/>
          <w:szCs w:val="32"/>
        </w:rPr>
        <w:t>人數兜不起來</w:t>
      </w:r>
      <w:proofErr w:type="gramEnd"/>
      <w:r w:rsidRPr="001B6E4D">
        <w:rPr>
          <w:rFonts w:ascii="標楷體" w:eastAsia="標楷體" w:hAnsi="標楷體" w:hint="eastAsia"/>
          <w:color w:val="000000"/>
          <w:sz w:val="32"/>
          <w:szCs w:val="32"/>
        </w:rPr>
        <w:t>的問題，因現場未完全對焦，請以書面</w:t>
      </w:r>
      <w:proofErr w:type="gramStart"/>
      <w:r w:rsidRPr="001B6E4D">
        <w:rPr>
          <w:rFonts w:ascii="標楷體" w:eastAsia="標楷體" w:hAnsi="標楷體" w:hint="eastAsia"/>
          <w:color w:val="000000"/>
          <w:sz w:val="32"/>
          <w:szCs w:val="32"/>
        </w:rPr>
        <w:t>釐</w:t>
      </w:r>
      <w:proofErr w:type="gramEnd"/>
      <w:r w:rsidRPr="001B6E4D">
        <w:rPr>
          <w:rFonts w:ascii="標楷體" w:eastAsia="標楷體" w:hAnsi="標楷體" w:hint="eastAsia"/>
          <w:color w:val="000000"/>
          <w:sz w:val="32"/>
          <w:szCs w:val="32"/>
        </w:rPr>
        <w:t>清兩者的計算基準。最後，關於司法</w:t>
      </w:r>
      <w:proofErr w:type="gramStart"/>
      <w:r w:rsidRPr="001B6E4D">
        <w:rPr>
          <w:rFonts w:ascii="標楷體" w:eastAsia="標楷體" w:hAnsi="標楷體" w:hint="eastAsia"/>
          <w:color w:val="000000"/>
          <w:sz w:val="32"/>
          <w:szCs w:val="32"/>
        </w:rPr>
        <w:t>院候送</w:t>
      </w:r>
      <w:proofErr w:type="gramEnd"/>
      <w:r w:rsidRPr="001B6E4D">
        <w:rPr>
          <w:rFonts w:ascii="標楷體" w:eastAsia="標楷體" w:hAnsi="標楷體" w:hint="eastAsia"/>
          <w:color w:val="000000"/>
          <w:sz w:val="32"/>
          <w:szCs w:val="32"/>
        </w:rPr>
        <w:t>與借</w:t>
      </w:r>
      <w:proofErr w:type="gramStart"/>
      <w:r w:rsidRPr="001B6E4D">
        <w:rPr>
          <w:rFonts w:ascii="標楷體" w:eastAsia="標楷體" w:hAnsi="標楷體" w:hint="eastAsia"/>
          <w:color w:val="000000"/>
          <w:sz w:val="32"/>
          <w:szCs w:val="32"/>
        </w:rPr>
        <w:t>提寄押期間</w:t>
      </w:r>
      <w:proofErr w:type="gramEnd"/>
      <w:r w:rsidRPr="001B6E4D">
        <w:rPr>
          <w:rFonts w:ascii="標楷體" w:eastAsia="標楷體" w:hAnsi="標楷體" w:hint="eastAsia"/>
          <w:color w:val="000000"/>
          <w:sz w:val="32"/>
          <w:szCs w:val="32"/>
        </w:rPr>
        <w:t>過長的問</w:t>
      </w:r>
      <w:r w:rsidRPr="001B6E4D">
        <w:rPr>
          <w:rFonts w:ascii="標楷體" w:eastAsia="標楷體" w:hAnsi="標楷體" w:hint="eastAsia"/>
          <w:color w:val="000000"/>
          <w:sz w:val="32"/>
          <w:szCs w:val="32"/>
        </w:rPr>
        <w:lastRenderedPageBreak/>
        <w:t>題，請提供111年至114年間超過時間人數的具體統計數字；</w:t>
      </w:r>
      <w:proofErr w:type="gramStart"/>
      <w:r w:rsidRPr="001B6E4D">
        <w:rPr>
          <w:rFonts w:ascii="標楷體" w:eastAsia="標楷體" w:hAnsi="標楷體" w:hint="eastAsia"/>
          <w:color w:val="000000"/>
          <w:sz w:val="32"/>
          <w:szCs w:val="32"/>
        </w:rPr>
        <w:t>除跨轄</w:t>
      </w:r>
      <w:proofErr w:type="gramEnd"/>
      <w:r w:rsidRPr="001B6E4D">
        <w:rPr>
          <w:rFonts w:ascii="標楷體" w:eastAsia="標楷體" w:hAnsi="標楷體" w:hint="eastAsia"/>
          <w:color w:val="000000"/>
          <w:sz w:val="32"/>
          <w:szCs w:val="32"/>
        </w:rPr>
        <w:t>詐欺案導致頻繁</w:t>
      </w:r>
      <w:proofErr w:type="gramStart"/>
      <w:r w:rsidRPr="001B6E4D">
        <w:rPr>
          <w:rFonts w:ascii="標楷體" w:eastAsia="標楷體" w:hAnsi="標楷體" w:hint="eastAsia"/>
          <w:color w:val="000000"/>
          <w:sz w:val="32"/>
          <w:szCs w:val="32"/>
        </w:rPr>
        <w:t>借提外</w:t>
      </w:r>
      <w:proofErr w:type="gramEnd"/>
      <w:r w:rsidRPr="001B6E4D">
        <w:rPr>
          <w:rFonts w:ascii="標楷體" w:eastAsia="標楷體" w:hAnsi="標楷體" w:hint="eastAsia"/>
          <w:color w:val="000000"/>
          <w:sz w:val="32"/>
          <w:szCs w:val="32"/>
        </w:rPr>
        <w:t>，是否還有其他導致延宕的案件類型？請司法院與相關單位於一個月內，將統計數字及相關因應作法的書面報告送交至司法及法制委員會及今日與會的各委員辦公室</w:t>
      </w:r>
      <w:r w:rsidRPr="001B6E4D">
        <w:rPr>
          <w:rFonts w:ascii="標楷體" w:eastAsia="標楷體" w:hAnsi="標楷體" w:hint="eastAsia"/>
          <w:sz w:val="32"/>
          <w:szCs w:val="32"/>
        </w:rPr>
        <w:t>。</w:t>
      </w:r>
      <w:r w:rsidRPr="001B6E4D">
        <w:rPr>
          <w:rFonts w:ascii="標楷體" w:eastAsia="標楷體" w:hAnsi="標楷體" w:hint="eastAsia"/>
          <w:color w:val="000000"/>
          <w:sz w:val="32"/>
          <w:szCs w:val="32"/>
        </w:rPr>
        <w:t>最後再次強調，今天所有的提問，出發點都是為了協助第一線人員，實地觀察到第一線人力確實相當吃緊、工作壓力極大，因此若實務上有任何困難與資源需求，請務必如實呈現在接下來的</w:t>
      </w:r>
      <w:proofErr w:type="gramStart"/>
      <w:r w:rsidRPr="001B6E4D">
        <w:rPr>
          <w:rFonts w:ascii="標楷體" w:eastAsia="標楷體" w:hAnsi="標楷體" w:hint="eastAsia"/>
          <w:color w:val="000000"/>
          <w:sz w:val="32"/>
          <w:szCs w:val="32"/>
        </w:rPr>
        <w:t>116</w:t>
      </w:r>
      <w:proofErr w:type="gramEnd"/>
      <w:r w:rsidRPr="001B6E4D">
        <w:rPr>
          <w:rFonts w:ascii="標楷體" w:eastAsia="標楷體" w:hAnsi="標楷體" w:hint="eastAsia"/>
          <w:color w:val="000000"/>
          <w:sz w:val="32"/>
          <w:szCs w:val="32"/>
        </w:rPr>
        <w:t>年度預算書中</w:t>
      </w:r>
      <w:r w:rsidRPr="001B6E4D">
        <w:rPr>
          <w:rFonts w:ascii="標楷體" w:eastAsia="標楷體" w:hAnsi="標楷體" w:hint="eastAsia"/>
          <w:sz w:val="32"/>
          <w:szCs w:val="32"/>
        </w:rPr>
        <w:t>。</w:t>
      </w:r>
      <w:r w:rsidRPr="001B6E4D">
        <w:rPr>
          <w:rFonts w:ascii="標楷體" w:eastAsia="標楷體" w:hAnsi="標楷體" w:hint="eastAsia"/>
          <w:color w:val="000000"/>
          <w:sz w:val="32"/>
          <w:szCs w:val="32"/>
        </w:rPr>
        <w:t>我們最重要的使命，是協助這些少年未來無論前往安置機構、矯正學校，最終都能順利復歸社會。這次視察的初衷就是為了給予實質幫助，期盼能看見大家的真實需求，我們在審查預算時也才能更精</w:t>
      </w:r>
      <w:proofErr w:type="gramStart"/>
      <w:r w:rsidRPr="001B6E4D">
        <w:rPr>
          <w:rFonts w:ascii="標楷體" w:eastAsia="標楷體" w:hAnsi="標楷體" w:hint="eastAsia"/>
          <w:color w:val="000000"/>
          <w:sz w:val="32"/>
          <w:szCs w:val="32"/>
        </w:rPr>
        <w:t>準</w:t>
      </w:r>
      <w:proofErr w:type="gramEnd"/>
      <w:r w:rsidRPr="001B6E4D">
        <w:rPr>
          <w:rFonts w:ascii="標楷體" w:eastAsia="標楷體" w:hAnsi="標楷體" w:hint="eastAsia"/>
          <w:color w:val="000000"/>
          <w:sz w:val="32"/>
          <w:szCs w:val="32"/>
        </w:rPr>
        <w:t>地給予最大的支持，謝謝大家。</w:t>
      </w:r>
    </w:p>
    <w:p w14:paraId="7703110F" w14:textId="77777777" w:rsidR="00B921E8" w:rsidRPr="001B6E4D" w:rsidRDefault="00B921E8" w:rsidP="003D1018">
      <w:pPr>
        <w:widowControl w:val="0"/>
        <w:overflowPunct w:val="0"/>
        <w:spacing w:line="520" w:lineRule="exact"/>
        <w:jc w:val="both"/>
        <w:rPr>
          <w:rFonts w:ascii="標楷體" w:eastAsia="標楷體" w:hAnsi="標楷體" w:cs="標楷體"/>
          <w:b/>
          <w:color w:val="000000"/>
          <w:sz w:val="32"/>
          <w:szCs w:val="32"/>
          <w:lang w:val="zh-TW"/>
        </w:rPr>
      </w:pPr>
      <w:r w:rsidRPr="001B6E4D">
        <w:rPr>
          <w:rFonts w:ascii="標楷體" w:eastAsia="標楷體" w:hAnsi="標楷體" w:cs="標楷體" w:hint="eastAsia"/>
          <w:b/>
          <w:color w:val="000000"/>
          <w:sz w:val="32"/>
          <w:szCs w:val="32"/>
          <w:lang w:val="zh-TW"/>
        </w:rPr>
        <w:t>散會（</w:t>
      </w:r>
      <w:r w:rsidRPr="001B6E4D">
        <w:rPr>
          <w:rFonts w:ascii="標楷體" w:eastAsia="標楷體" w:hAnsi="標楷體" w:hint="eastAsia"/>
          <w:b/>
          <w:iCs/>
          <w:color w:val="000000"/>
          <w:sz w:val="32"/>
          <w:szCs w:val="32"/>
        </w:rPr>
        <w:t>12</w:t>
      </w:r>
      <w:r w:rsidRPr="001B6E4D">
        <w:rPr>
          <w:rFonts w:ascii="標楷體" w:eastAsia="標楷體" w:hAnsi="標楷體" w:cs="標楷體" w:hint="eastAsia"/>
          <w:b/>
          <w:color w:val="000000"/>
          <w:sz w:val="32"/>
          <w:szCs w:val="32"/>
          <w:lang w:val="zh-TW"/>
        </w:rPr>
        <w:t>時00分）。</w:t>
      </w:r>
    </w:p>
    <w:p w14:paraId="4BB26828" w14:textId="77777777" w:rsidR="00B921E8" w:rsidRPr="001B6E4D" w:rsidRDefault="00B921E8" w:rsidP="003D1018">
      <w:pPr>
        <w:overflowPunct w:val="0"/>
        <w:rPr>
          <w:rFonts w:ascii="標楷體" w:eastAsia="標楷體" w:hAnsi="標楷體" w:cs="標楷體"/>
          <w:b/>
          <w:color w:val="000000"/>
          <w:sz w:val="32"/>
          <w:szCs w:val="32"/>
          <w:lang w:val="zh-TW"/>
        </w:rPr>
      </w:pPr>
      <w:r w:rsidRPr="001B6E4D">
        <w:rPr>
          <w:rFonts w:ascii="標楷體" w:eastAsia="標楷體" w:hAnsi="標楷體" w:cs="標楷體"/>
          <w:b/>
          <w:color w:val="000000"/>
          <w:sz w:val="32"/>
          <w:szCs w:val="32"/>
          <w:lang w:val="zh-TW"/>
        </w:rPr>
        <w:br w:type="page"/>
      </w:r>
    </w:p>
    <w:p w14:paraId="3F947096" w14:textId="33142B8F" w:rsidR="00B921E8" w:rsidRPr="001B6E4D" w:rsidRDefault="00B921E8" w:rsidP="003D1018">
      <w:pPr>
        <w:kinsoku w:val="0"/>
        <w:overflowPunct w:val="0"/>
        <w:snapToGrid w:val="0"/>
        <w:spacing w:afterLines="50" w:after="180" w:line="440" w:lineRule="exact"/>
        <w:jc w:val="center"/>
        <w:outlineLvl w:val="4"/>
        <w:rPr>
          <w:rFonts w:ascii="標楷體" w:eastAsia="標楷體" w:hAnsi="標楷體"/>
          <w:b/>
          <w:sz w:val="36"/>
          <w:szCs w:val="20"/>
        </w:rPr>
      </w:pPr>
      <w:r w:rsidRPr="001B6E4D">
        <w:rPr>
          <w:rFonts w:ascii="標楷體" w:eastAsia="標楷體" w:hAnsi="標楷體"/>
          <w:b/>
          <w:sz w:val="36"/>
          <w:szCs w:val="20"/>
        </w:rPr>
        <w:lastRenderedPageBreak/>
        <w:t>立法院司法及法制委員會考察法務部調查局</w:t>
      </w:r>
      <w:bookmarkStart w:id="580" w:name="中和調查園區新建鑑識科學大樓成效與展望"/>
      <w:r w:rsidRPr="001B6E4D">
        <w:rPr>
          <w:rFonts w:ascii="標楷體" w:eastAsia="標楷體" w:hAnsi="標楷體"/>
          <w:b/>
          <w:sz w:val="36"/>
          <w:szCs w:val="20"/>
        </w:rPr>
        <w:t>中和調查園區新建</w:t>
      </w:r>
      <w:proofErr w:type="gramStart"/>
      <w:r w:rsidRPr="001B6E4D">
        <w:rPr>
          <w:rFonts w:ascii="標楷體" w:eastAsia="標楷體" w:hAnsi="標楷體"/>
          <w:b/>
          <w:sz w:val="36"/>
          <w:szCs w:val="20"/>
        </w:rPr>
        <w:t>鑑</w:t>
      </w:r>
      <w:proofErr w:type="gramEnd"/>
      <w:r w:rsidRPr="001B6E4D">
        <w:rPr>
          <w:rFonts w:ascii="標楷體" w:eastAsia="標楷體" w:hAnsi="標楷體"/>
          <w:b/>
          <w:sz w:val="36"/>
          <w:szCs w:val="20"/>
        </w:rPr>
        <w:t>識科學大樓成效與展望</w:t>
      </w:r>
      <w:bookmarkEnd w:id="580"/>
      <w:r w:rsidRPr="001B6E4D">
        <w:rPr>
          <w:rFonts w:ascii="標楷體" w:eastAsia="標楷體" w:hAnsi="標楷體"/>
          <w:b/>
          <w:sz w:val="36"/>
          <w:szCs w:val="20"/>
        </w:rPr>
        <w:t>會議紀錄</w:t>
      </w:r>
    </w:p>
    <w:p w14:paraId="3CB00A2D" w14:textId="77777777" w:rsidR="00B921E8" w:rsidRPr="001B6E4D" w:rsidRDefault="00B921E8" w:rsidP="003D1018">
      <w:pPr>
        <w:widowControl w:val="0"/>
        <w:suppressAutoHyphens/>
        <w:overflowPunct w:val="0"/>
        <w:autoSpaceDE w:val="0"/>
        <w:autoSpaceDN w:val="0"/>
        <w:spacing w:line="520" w:lineRule="exact"/>
        <w:jc w:val="both"/>
        <w:textAlignment w:val="baseline"/>
        <w:rPr>
          <w:rFonts w:ascii="標楷體" w:eastAsia="標楷體" w:hAnsi="標楷體"/>
          <w:kern w:val="3"/>
        </w:rPr>
      </w:pPr>
      <w:r w:rsidRPr="001B6E4D">
        <w:rPr>
          <w:rFonts w:ascii="標楷體" w:eastAsia="標楷體" w:hAnsi="標楷體"/>
          <w:b/>
          <w:color w:val="000000"/>
          <w:kern w:val="3"/>
          <w:sz w:val="32"/>
          <w:szCs w:val="32"/>
        </w:rPr>
        <w:t>開會時間：</w:t>
      </w:r>
      <w:r w:rsidRPr="001B6E4D">
        <w:rPr>
          <w:rFonts w:ascii="標楷體" w:eastAsia="標楷體" w:hAnsi="標楷體"/>
          <w:color w:val="000000"/>
          <w:kern w:val="3"/>
          <w:sz w:val="32"/>
          <w:szCs w:val="32"/>
        </w:rPr>
        <w:t>115年6月22日(星期一)上午9時30分</w:t>
      </w:r>
    </w:p>
    <w:p w14:paraId="48833877" w14:textId="77777777" w:rsidR="00B921E8" w:rsidRPr="001B6E4D" w:rsidRDefault="00B921E8" w:rsidP="003D1018">
      <w:pPr>
        <w:widowControl w:val="0"/>
        <w:suppressAutoHyphens/>
        <w:overflowPunct w:val="0"/>
        <w:autoSpaceDE w:val="0"/>
        <w:autoSpaceDN w:val="0"/>
        <w:spacing w:line="520" w:lineRule="exact"/>
        <w:jc w:val="both"/>
        <w:textAlignment w:val="baseline"/>
        <w:rPr>
          <w:rFonts w:ascii="標楷體" w:eastAsia="標楷體" w:hAnsi="標楷體"/>
          <w:kern w:val="3"/>
        </w:rPr>
      </w:pPr>
      <w:r w:rsidRPr="001B6E4D">
        <w:rPr>
          <w:rFonts w:ascii="標楷體" w:eastAsia="標楷體" w:hAnsi="標楷體"/>
          <w:b/>
          <w:color w:val="000000"/>
          <w:kern w:val="3"/>
          <w:sz w:val="32"/>
          <w:szCs w:val="32"/>
        </w:rPr>
        <w:t>開會地點：</w:t>
      </w:r>
      <w:r w:rsidRPr="001B6E4D">
        <w:rPr>
          <w:rFonts w:ascii="標楷體" w:eastAsia="標楷體" w:hAnsi="標楷體"/>
          <w:color w:val="000000"/>
          <w:kern w:val="3"/>
          <w:sz w:val="32"/>
          <w:szCs w:val="32"/>
        </w:rPr>
        <w:t>法務部調查局中和調查園區B棟1樓會議室</w:t>
      </w:r>
    </w:p>
    <w:p w14:paraId="6D19F815" w14:textId="77777777" w:rsidR="00B921E8" w:rsidRPr="001B6E4D" w:rsidRDefault="00B921E8" w:rsidP="003D1018">
      <w:pPr>
        <w:widowControl w:val="0"/>
        <w:suppressAutoHyphens/>
        <w:overflowPunct w:val="0"/>
        <w:autoSpaceDE w:val="0"/>
        <w:autoSpaceDN w:val="0"/>
        <w:spacing w:line="520" w:lineRule="exact"/>
        <w:jc w:val="both"/>
        <w:textAlignment w:val="baseline"/>
        <w:rPr>
          <w:rFonts w:ascii="標楷體" w:eastAsia="標楷體" w:hAnsi="標楷體"/>
          <w:kern w:val="3"/>
        </w:rPr>
      </w:pPr>
      <w:r w:rsidRPr="001B6E4D">
        <w:rPr>
          <w:rFonts w:ascii="標楷體" w:eastAsia="標楷體" w:hAnsi="標楷體"/>
          <w:b/>
          <w:color w:val="000000"/>
          <w:kern w:val="3"/>
          <w:sz w:val="32"/>
          <w:szCs w:val="32"/>
        </w:rPr>
        <w:t>主    席：</w:t>
      </w:r>
      <w:r w:rsidRPr="001B6E4D">
        <w:rPr>
          <w:rFonts w:ascii="標楷體" w:eastAsia="標楷體" w:hAnsi="標楷體"/>
          <w:color w:val="000000"/>
          <w:kern w:val="3"/>
          <w:sz w:val="32"/>
          <w:szCs w:val="32"/>
        </w:rPr>
        <w:t>立法院司法及法制委員會翁召集委員曉玲</w:t>
      </w:r>
    </w:p>
    <w:p w14:paraId="184F2914" w14:textId="77777777" w:rsidR="00B921E8" w:rsidRPr="001B6E4D" w:rsidRDefault="00B921E8" w:rsidP="003D1018">
      <w:pPr>
        <w:widowControl w:val="0"/>
        <w:suppressAutoHyphens/>
        <w:overflowPunct w:val="0"/>
        <w:autoSpaceDE w:val="0"/>
        <w:autoSpaceDN w:val="0"/>
        <w:spacing w:line="520" w:lineRule="exact"/>
        <w:jc w:val="both"/>
        <w:textAlignment w:val="baseline"/>
        <w:rPr>
          <w:rFonts w:ascii="標楷體" w:eastAsia="標楷體" w:hAnsi="標楷體"/>
          <w:kern w:val="3"/>
        </w:rPr>
      </w:pPr>
      <w:r w:rsidRPr="001B6E4D">
        <w:rPr>
          <w:rFonts w:ascii="標楷體" w:eastAsia="標楷體" w:hAnsi="標楷體"/>
          <w:b/>
          <w:color w:val="000000"/>
          <w:kern w:val="3"/>
          <w:sz w:val="32"/>
          <w:szCs w:val="32"/>
        </w:rPr>
        <w:t>出席人員：</w:t>
      </w:r>
      <w:r w:rsidRPr="001B6E4D">
        <w:rPr>
          <w:rFonts w:ascii="標楷體" w:eastAsia="標楷體" w:hAnsi="標楷體"/>
          <w:color w:val="000000"/>
          <w:kern w:val="3"/>
          <w:sz w:val="32"/>
          <w:szCs w:val="32"/>
        </w:rPr>
        <w:t>詳如會議簽到表</w:t>
      </w:r>
    </w:p>
    <w:p w14:paraId="2FE7AA06" w14:textId="77777777" w:rsidR="00B921E8" w:rsidRPr="001B6E4D" w:rsidRDefault="00B921E8" w:rsidP="003D1018">
      <w:pPr>
        <w:widowControl w:val="0"/>
        <w:suppressAutoHyphens/>
        <w:overflowPunct w:val="0"/>
        <w:autoSpaceDN w:val="0"/>
        <w:snapToGrid w:val="0"/>
        <w:spacing w:after="180" w:line="480" w:lineRule="exact"/>
        <w:ind w:firstLine="320"/>
        <w:jc w:val="right"/>
        <w:textAlignment w:val="baseline"/>
        <w:rPr>
          <w:rFonts w:ascii="標楷體" w:eastAsia="標楷體" w:hAnsi="標楷體"/>
          <w:kern w:val="3"/>
          <w:sz w:val="32"/>
          <w:szCs w:val="32"/>
        </w:rPr>
      </w:pPr>
      <w:r w:rsidRPr="001B6E4D">
        <w:rPr>
          <w:rFonts w:ascii="標楷體" w:eastAsia="標楷體" w:hAnsi="標楷體"/>
          <w:kern w:val="3"/>
          <w:sz w:val="32"/>
          <w:szCs w:val="32"/>
        </w:rPr>
        <w:t>紀錄：江珮琪</w:t>
      </w:r>
    </w:p>
    <w:p w14:paraId="65728623" w14:textId="77777777" w:rsidR="00B921E8" w:rsidRPr="001B6E4D" w:rsidRDefault="00B921E8" w:rsidP="003D1018">
      <w:pPr>
        <w:widowControl w:val="0"/>
        <w:numPr>
          <w:ilvl w:val="0"/>
          <w:numId w:val="81"/>
        </w:numPr>
        <w:tabs>
          <w:tab w:val="left" w:pos="4680"/>
        </w:tabs>
        <w:suppressAutoHyphens/>
        <w:overflowPunct w:val="0"/>
        <w:autoSpaceDN w:val="0"/>
        <w:snapToGrid w:val="0"/>
        <w:spacing w:before="180" w:after="180" w:line="480" w:lineRule="exact"/>
        <w:jc w:val="both"/>
        <w:textAlignment w:val="baseline"/>
        <w:rPr>
          <w:rFonts w:ascii="標楷體" w:eastAsia="標楷體" w:hAnsi="標楷體"/>
          <w:kern w:val="3"/>
          <w:szCs w:val="22"/>
        </w:rPr>
      </w:pPr>
      <w:r w:rsidRPr="001B6E4D">
        <w:rPr>
          <w:rFonts w:ascii="標楷體" w:eastAsia="標楷體" w:hAnsi="標楷體"/>
          <w:b/>
          <w:bCs/>
          <w:kern w:val="3"/>
          <w:sz w:val="32"/>
          <w:szCs w:val="32"/>
        </w:rPr>
        <w:t>法務部</w:t>
      </w:r>
      <w:proofErr w:type="gramStart"/>
      <w:r w:rsidRPr="001B6E4D">
        <w:rPr>
          <w:rFonts w:ascii="標楷體" w:eastAsia="標楷體" w:hAnsi="標楷體"/>
          <w:b/>
          <w:bCs/>
          <w:kern w:val="3"/>
          <w:sz w:val="32"/>
          <w:szCs w:val="32"/>
        </w:rPr>
        <w:t>余</w:t>
      </w:r>
      <w:proofErr w:type="gramEnd"/>
      <w:r w:rsidRPr="001B6E4D">
        <w:rPr>
          <w:rFonts w:ascii="標楷體" w:eastAsia="標楷體" w:hAnsi="標楷體"/>
          <w:b/>
          <w:bCs/>
          <w:kern w:val="3"/>
          <w:sz w:val="32"/>
          <w:szCs w:val="32"/>
        </w:rPr>
        <w:t>主任秘書</w:t>
      </w:r>
      <w:proofErr w:type="gramStart"/>
      <w:r w:rsidRPr="001B6E4D">
        <w:rPr>
          <w:rFonts w:ascii="標楷體" w:eastAsia="標楷體" w:hAnsi="標楷體"/>
          <w:b/>
          <w:bCs/>
          <w:kern w:val="3"/>
          <w:sz w:val="32"/>
          <w:szCs w:val="32"/>
        </w:rPr>
        <w:t>麗貞致歡迎詞</w:t>
      </w:r>
      <w:proofErr w:type="gramEnd"/>
      <w:r w:rsidRPr="001B6E4D">
        <w:rPr>
          <w:rFonts w:ascii="標楷體" w:eastAsia="標楷體" w:hAnsi="標楷體" w:cs="標楷體"/>
          <w:b/>
          <w:bCs/>
          <w:kern w:val="3"/>
          <w:sz w:val="32"/>
          <w:szCs w:val="32"/>
          <w:lang w:val="zh-TW"/>
        </w:rPr>
        <w:t>：</w:t>
      </w:r>
    </w:p>
    <w:p w14:paraId="7590E45F" w14:textId="77777777" w:rsidR="00B921E8" w:rsidRPr="001B6E4D" w:rsidRDefault="00B921E8" w:rsidP="003D1018">
      <w:pPr>
        <w:widowControl w:val="0"/>
        <w:suppressAutoHyphens/>
        <w:overflowPunct w:val="0"/>
        <w:autoSpaceDE w:val="0"/>
        <w:autoSpaceDN w:val="0"/>
        <w:snapToGrid w:val="0"/>
        <w:spacing w:line="480" w:lineRule="exact"/>
        <w:ind w:left="708"/>
        <w:jc w:val="both"/>
        <w:textAlignment w:val="baseline"/>
        <w:rPr>
          <w:rFonts w:ascii="標楷體" w:eastAsia="標楷體" w:hAnsi="標楷體"/>
          <w:kern w:val="3"/>
          <w:szCs w:val="22"/>
        </w:rPr>
      </w:pPr>
      <w:r w:rsidRPr="001B6E4D">
        <w:rPr>
          <w:rFonts w:ascii="標楷體" w:eastAsia="標楷體" w:hAnsi="標楷體" w:cs="標楷體"/>
          <w:bCs/>
          <w:kern w:val="3"/>
          <w:sz w:val="32"/>
          <w:szCs w:val="32"/>
        </w:rPr>
        <w:t xml:space="preserve">   </w:t>
      </w:r>
      <w:r w:rsidRPr="001B6E4D">
        <w:rPr>
          <w:rFonts w:ascii="標楷體" w:eastAsia="標楷體" w:hAnsi="標楷體" w:cs="標楷體" w:hint="eastAsia"/>
          <w:bCs/>
          <w:kern w:val="3"/>
          <w:sz w:val="32"/>
          <w:szCs w:val="32"/>
        </w:rPr>
        <w:t xml:space="preserve"> </w:t>
      </w:r>
      <w:r w:rsidRPr="001B6E4D">
        <w:rPr>
          <w:rFonts w:ascii="標楷體" w:eastAsia="標楷體" w:hAnsi="標楷體" w:cs="標楷體"/>
          <w:bCs/>
          <w:kern w:val="3"/>
          <w:sz w:val="32"/>
          <w:szCs w:val="32"/>
        </w:rPr>
        <w:t>中和調查</w:t>
      </w:r>
      <w:r w:rsidRPr="001B6E4D">
        <w:rPr>
          <w:rFonts w:ascii="標楷體" w:eastAsia="標楷體" w:hAnsi="標楷體" w:cs="標楷體"/>
          <w:bCs/>
          <w:kern w:val="3"/>
          <w:sz w:val="32"/>
          <w:szCs w:val="32"/>
          <w:lang w:val="zh-TW"/>
        </w:rPr>
        <w:t>園區新建工程歷經11年規劃與興建，總預算達新臺幣14億餘元。施工期間歷經全球</w:t>
      </w:r>
      <w:proofErr w:type="gramStart"/>
      <w:r w:rsidRPr="001B6E4D">
        <w:rPr>
          <w:rFonts w:ascii="標楷體" w:eastAsia="標楷體" w:hAnsi="標楷體" w:cs="標楷體"/>
          <w:bCs/>
          <w:kern w:val="3"/>
          <w:sz w:val="32"/>
          <w:szCs w:val="32"/>
          <w:lang w:val="zh-TW"/>
        </w:rPr>
        <w:t>疫</w:t>
      </w:r>
      <w:proofErr w:type="gramEnd"/>
      <w:r w:rsidRPr="001B6E4D">
        <w:rPr>
          <w:rFonts w:ascii="標楷體" w:eastAsia="標楷體" w:hAnsi="標楷體" w:cs="標楷體"/>
          <w:bCs/>
          <w:kern w:val="3"/>
          <w:sz w:val="32"/>
          <w:szCs w:val="32"/>
          <w:lang w:val="zh-TW"/>
        </w:rPr>
        <w:t>情、國內缺工及國際物料價格波動等大環境考驗，最終得以提早一年完工，實屬不易。由衷感謝調查局歷任局長持續推動，並感謝立法院司法及法制委員會各位委員長期以來對調查局預算與建設的支持。</w:t>
      </w:r>
    </w:p>
    <w:p w14:paraId="529613C9" w14:textId="77777777" w:rsidR="00B921E8" w:rsidRPr="001B6E4D" w:rsidRDefault="00B921E8" w:rsidP="003D1018">
      <w:pPr>
        <w:widowControl w:val="0"/>
        <w:suppressAutoHyphens/>
        <w:overflowPunct w:val="0"/>
        <w:autoSpaceDE w:val="0"/>
        <w:autoSpaceDN w:val="0"/>
        <w:snapToGrid w:val="0"/>
        <w:spacing w:line="480" w:lineRule="exact"/>
        <w:ind w:left="708"/>
        <w:jc w:val="both"/>
        <w:textAlignment w:val="baseline"/>
        <w:rPr>
          <w:rFonts w:ascii="標楷體" w:eastAsia="標楷體" w:hAnsi="標楷體"/>
          <w:kern w:val="3"/>
          <w:szCs w:val="22"/>
        </w:rPr>
      </w:pPr>
      <w:r w:rsidRPr="001B6E4D">
        <w:rPr>
          <w:rFonts w:ascii="標楷體" w:eastAsia="標楷體" w:hAnsi="標楷體" w:cs="標楷體"/>
          <w:bCs/>
          <w:kern w:val="3"/>
          <w:sz w:val="32"/>
          <w:szCs w:val="32"/>
          <w:lang w:val="zh-TW"/>
        </w:rPr>
        <w:t xml:space="preserve">    </w:t>
      </w:r>
      <w:r w:rsidRPr="001B6E4D">
        <w:rPr>
          <w:rFonts w:ascii="標楷體" w:eastAsia="標楷體" w:hAnsi="標楷體" w:cs="標楷體"/>
          <w:bCs/>
          <w:kern w:val="3"/>
          <w:sz w:val="32"/>
          <w:szCs w:val="32"/>
        </w:rPr>
        <w:t>中和調查</w:t>
      </w:r>
      <w:r w:rsidRPr="001B6E4D">
        <w:rPr>
          <w:rFonts w:ascii="標楷體" w:eastAsia="標楷體" w:hAnsi="標楷體" w:cs="標楷體"/>
          <w:bCs/>
          <w:kern w:val="3"/>
          <w:sz w:val="32"/>
          <w:szCs w:val="32"/>
          <w:lang w:val="zh-TW"/>
        </w:rPr>
        <w:t>園區進駐單位包括調查局</w:t>
      </w:r>
      <w:proofErr w:type="gramStart"/>
      <w:r w:rsidRPr="001B6E4D">
        <w:rPr>
          <w:rFonts w:ascii="標楷體" w:eastAsia="標楷體" w:hAnsi="標楷體" w:cs="標楷體"/>
          <w:bCs/>
          <w:kern w:val="3"/>
          <w:sz w:val="32"/>
          <w:szCs w:val="32"/>
          <w:lang w:val="zh-TW"/>
        </w:rPr>
        <w:t>鑑</w:t>
      </w:r>
      <w:proofErr w:type="gramEnd"/>
      <w:r w:rsidRPr="001B6E4D">
        <w:rPr>
          <w:rFonts w:ascii="標楷體" w:eastAsia="標楷體" w:hAnsi="標楷體" w:cs="標楷體"/>
          <w:bCs/>
          <w:kern w:val="3"/>
          <w:sz w:val="32"/>
          <w:szCs w:val="32"/>
          <w:lang w:val="zh-TW"/>
        </w:rPr>
        <w:t>識科學處、新北市調查處、北部地區機動工作站及國家安全維護工作站。其中，</w:t>
      </w:r>
      <w:proofErr w:type="gramStart"/>
      <w:r w:rsidRPr="001B6E4D">
        <w:rPr>
          <w:rFonts w:ascii="標楷體" w:eastAsia="標楷體" w:hAnsi="標楷體" w:cs="標楷體"/>
          <w:bCs/>
          <w:kern w:val="3"/>
          <w:sz w:val="32"/>
          <w:szCs w:val="32"/>
          <w:lang w:val="zh-TW"/>
        </w:rPr>
        <w:t>鑑</w:t>
      </w:r>
      <w:proofErr w:type="gramEnd"/>
      <w:r w:rsidRPr="001B6E4D">
        <w:rPr>
          <w:rFonts w:ascii="標楷體" w:eastAsia="標楷體" w:hAnsi="標楷體" w:cs="標楷體"/>
          <w:bCs/>
          <w:kern w:val="3"/>
          <w:sz w:val="32"/>
          <w:szCs w:val="32"/>
          <w:lang w:val="zh-TW"/>
        </w:rPr>
        <w:t>識科學處實驗室於本（115）年3月起，已於新園區啟動相關認證工作，未來將在嶄新且現代化科技基礎上，持續深化「維護國家安全」與「打擊重大犯罪」的核心任務。現階段工作重點為「選舉查察」與「打擊詐欺」，相信調查局全體同仁將全力以赴，亦懇請召委及委員未來繼續給予支持與鼓勵。</w:t>
      </w:r>
    </w:p>
    <w:p w14:paraId="6281E8D9" w14:textId="77777777" w:rsidR="00B921E8" w:rsidRPr="001B6E4D" w:rsidRDefault="00B921E8" w:rsidP="003D1018">
      <w:pPr>
        <w:widowControl w:val="0"/>
        <w:numPr>
          <w:ilvl w:val="0"/>
          <w:numId w:val="81"/>
        </w:numPr>
        <w:tabs>
          <w:tab w:val="left" w:pos="4680"/>
        </w:tabs>
        <w:suppressAutoHyphens/>
        <w:overflowPunct w:val="0"/>
        <w:autoSpaceDN w:val="0"/>
        <w:snapToGrid w:val="0"/>
        <w:spacing w:before="180" w:after="180" w:line="480" w:lineRule="exact"/>
        <w:jc w:val="both"/>
        <w:textAlignment w:val="baseline"/>
        <w:rPr>
          <w:rFonts w:ascii="標楷體" w:eastAsia="標楷體" w:hAnsi="標楷體"/>
          <w:kern w:val="3"/>
          <w:szCs w:val="22"/>
        </w:rPr>
      </w:pPr>
      <w:r w:rsidRPr="001B6E4D">
        <w:rPr>
          <w:rFonts w:ascii="標楷體" w:eastAsia="標楷體" w:hAnsi="標楷體" w:cs="標楷體"/>
          <w:b/>
          <w:bCs/>
          <w:kern w:val="3"/>
          <w:sz w:val="32"/>
          <w:szCs w:val="32"/>
          <w:lang w:val="zh-TW"/>
        </w:rPr>
        <w:t>立法院翁召集委員曉玲致詞：</w:t>
      </w:r>
    </w:p>
    <w:p w14:paraId="2CCEBD13" w14:textId="77777777" w:rsidR="00B921E8" w:rsidRPr="001B6E4D" w:rsidRDefault="00B921E8" w:rsidP="003D1018">
      <w:pPr>
        <w:widowControl w:val="0"/>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bCs/>
          <w:kern w:val="3"/>
          <w:sz w:val="32"/>
          <w:szCs w:val="32"/>
          <w:lang w:val="zh-TW"/>
        </w:rPr>
        <w:t xml:space="preserve">    </w:t>
      </w:r>
      <w:proofErr w:type="gramStart"/>
      <w:r w:rsidRPr="001B6E4D">
        <w:rPr>
          <w:rFonts w:ascii="標楷體" w:eastAsia="標楷體" w:hAnsi="標楷體" w:cs="標楷體"/>
          <w:bCs/>
          <w:kern w:val="3"/>
          <w:sz w:val="32"/>
          <w:szCs w:val="32"/>
          <w:lang w:val="zh-TW"/>
        </w:rPr>
        <w:t>鑑</w:t>
      </w:r>
      <w:proofErr w:type="gramEnd"/>
      <w:r w:rsidRPr="001B6E4D">
        <w:rPr>
          <w:rFonts w:ascii="標楷體" w:eastAsia="標楷體" w:hAnsi="標楷體" w:cs="標楷體"/>
          <w:bCs/>
          <w:kern w:val="3"/>
          <w:sz w:val="32"/>
          <w:szCs w:val="32"/>
          <w:lang w:val="zh-TW"/>
        </w:rPr>
        <w:t>識科學為刑事訴訟與國家司法正義之基石，面對新興科技犯罪、重大訊息偽冒、毒品氾濫及洗錢犯罪等嚴峻挑戰，所謂「證據會說話」，更應落實嚴謹之科學論證程序，因此本次考察將瞭解調查局新建</w:t>
      </w:r>
      <w:proofErr w:type="gramStart"/>
      <w:r w:rsidRPr="001B6E4D">
        <w:rPr>
          <w:rFonts w:ascii="標楷體" w:eastAsia="標楷體" w:hAnsi="標楷體" w:cs="標楷體"/>
          <w:bCs/>
          <w:kern w:val="3"/>
          <w:sz w:val="32"/>
          <w:szCs w:val="32"/>
          <w:lang w:val="zh-TW"/>
        </w:rPr>
        <w:t>鑑</w:t>
      </w:r>
      <w:proofErr w:type="gramEnd"/>
      <w:r w:rsidRPr="001B6E4D">
        <w:rPr>
          <w:rFonts w:ascii="標楷體" w:eastAsia="標楷體" w:hAnsi="標楷體" w:cs="標楷體"/>
          <w:bCs/>
          <w:kern w:val="3"/>
          <w:sz w:val="32"/>
          <w:szCs w:val="32"/>
          <w:lang w:val="zh-TW"/>
        </w:rPr>
        <w:t>識科學大樓之先進設備及未來發展規劃。</w:t>
      </w:r>
    </w:p>
    <w:p w14:paraId="12385F7E" w14:textId="77777777" w:rsidR="00B921E8" w:rsidRPr="001B6E4D" w:rsidRDefault="00B921E8" w:rsidP="003D1018">
      <w:pPr>
        <w:widowControl w:val="0"/>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bCs/>
          <w:kern w:val="3"/>
          <w:sz w:val="32"/>
          <w:szCs w:val="32"/>
          <w:lang w:val="zh-TW"/>
        </w:rPr>
        <w:lastRenderedPageBreak/>
        <w:t xml:space="preserve">    調查局於108年研發「奈米毒品</w:t>
      </w:r>
      <w:proofErr w:type="gramStart"/>
      <w:r w:rsidRPr="001B6E4D">
        <w:rPr>
          <w:rFonts w:ascii="標楷體" w:eastAsia="標楷體" w:hAnsi="標楷體" w:cs="標楷體"/>
          <w:bCs/>
          <w:kern w:val="3"/>
          <w:sz w:val="32"/>
          <w:szCs w:val="32"/>
          <w:lang w:val="zh-TW"/>
        </w:rPr>
        <w:t>快篩試劑</w:t>
      </w:r>
      <w:proofErr w:type="gramEnd"/>
      <w:r w:rsidRPr="001B6E4D">
        <w:rPr>
          <w:rFonts w:ascii="標楷體" w:eastAsia="標楷體" w:hAnsi="標楷體" w:cs="標楷體"/>
          <w:bCs/>
          <w:kern w:val="3"/>
          <w:sz w:val="32"/>
          <w:szCs w:val="32"/>
          <w:lang w:val="zh-TW"/>
        </w:rPr>
        <w:t>」，將篩檢流程由數小時大幅縮短至數分鐘，實為我國</w:t>
      </w:r>
      <w:proofErr w:type="gramStart"/>
      <w:r w:rsidRPr="001B6E4D">
        <w:rPr>
          <w:rFonts w:ascii="標楷體" w:eastAsia="標楷體" w:hAnsi="標楷體" w:cs="標楷體"/>
          <w:bCs/>
          <w:kern w:val="3"/>
          <w:sz w:val="32"/>
          <w:szCs w:val="32"/>
          <w:lang w:val="zh-TW"/>
        </w:rPr>
        <w:t>鑑</w:t>
      </w:r>
      <w:proofErr w:type="gramEnd"/>
      <w:r w:rsidRPr="001B6E4D">
        <w:rPr>
          <w:rFonts w:ascii="標楷體" w:eastAsia="標楷體" w:hAnsi="標楷體" w:cs="標楷體"/>
          <w:bCs/>
          <w:kern w:val="3"/>
          <w:sz w:val="32"/>
          <w:szCs w:val="32"/>
          <w:lang w:val="zh-TW"/>
        </w:rPr>
        <w:t>識科技發展亮點。現行司法案件常受限於等待鑑定報告，而耗費過多時間，有影響司法公信力及人權保障之虞。期望調查局</w:t>
      </w:r>
      <w:proofErr w:type="gramStart"/>
      <w:r w:rsidRPr="001B6E4D">
        <w:rPr>
          <w:rFonts w:ascii="標楷體" w:eastAsia="標楷體" w:hAnsi="標楷體" w:cs="標楷體"/>
          <w:bCs/>
          <w:kern w:val="3"/>
          <w:sz w:val="32"/>
          <w:szCs w:val="32"/>
          <w:lang w:val="zh-TW"/>
        </w:rPr>
        <w:t>透過高端設備</w:t>
      </w:r>
      <w:proofErr w:type="gramEnd"/>
      <w:r w:rsidRPr="001B6E4D">
        <w:rPr>
          <w:rFonts w:ascii="標楷體" w:eastAsia="標楷體" w:hAnsi="標楷體" w:cs="標楷體"/>
          <w:bCs/>
          <w:kern w:val="3"/>
          <w:sz w:val="32"/>
          <w:szCs w:val="32"/>
          <w:lang w:val="zh-TW"/>
        </w:rPr>
        <w:t>投入與流程優化，加速鑑定案件辦理速度。若研發產製有相關預算或法制審查需求，本委員會將全力予以協助。</w:t>
      </w:r>
    </w:p>
    <w:p w14:paraId="17B4133B" w14:textId="77777777" w:rsidR="00B921E8" w:rsidRPr="001B6E4D" w:rsidRDefault="00B921E8" w:rsidP="003D1018">
      <w:pPr>
        <w:widowControl w:val="0"/>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bCs/>
          <w:kern w:val="3"/>
          <w:sz w:val="32"/>
          <w:szCs w:val="32"/>
          <w:lang w:val="zh-TW"/>
        </w:rPr>
        <w:t xml:space="preserve">    另外</w:t>
      </w:r>
      <w:proofErr w:type="gramStart"/>
      <w:r w:rsidRPr="001B6E4D">
        <w:rPr>
          <w:rFonts w:ascii="標楷體" w:eastAsia="標楷體" w:hAnsi="標楷體" w:cs="標楷體"/>
          <w:bCs/>
          <w:kern w:val="3"/>
          <w:sz w:val="32"/>
          <w:szCs w:val="32"/>
          <w:lang w:val="zh-TW"/>
        </w:rPr>
        <w:t>鑑</w:t>
      </w:r>
      <w:proofErr w:type="gramEnd"/>
      <w:r w:rsidRPr="001B6E4D">
        <w:rPr>
          <w:rFonts w:ascii="標楷體" w:eastAsia="標楷體" w:hAnsi="標楷體" w:cs="標楷體"/>
          <w:bCs/>
          <w:kern w:val="3"/>
          <w:sz w:val="32"/>
          <w:szCs w:val="32"/>
          <w:lang w:val="zh-TW"/>
        </w:rPr>
        <w:t>於</w:t>
      </w:r>
      <w:proofErr w:type="gramStart"/>
      <w:r w:rsidRPr="001B6E4D">
        <w:rPr>
          <w:rFonts w:ascii="標楷體" w:eastAsia="標楷體" w:hAnsi="標楷體" w:cs="標楷體"/>
          <w:bCs/>
          <w:kern w:val="3"/>
          <w:sz w:val="32"/>
          <w:szCs w:val="32"/>
          <w:lang w:val="zh-TW"/>
        </w:rPr>
        <w:t>我國高端科學</w:t>
      </w:r>
      <w:proofErr w:type="gramEnd"/>
      <w:r w:rsidRPr="001B6E4D">
        <w:rPr>
          <w:rFonts w:ascii="標楷體" w:eastAsia="標楷體" w:hAnsi="標楷體" w:cs="標楷體"/>
          <w:bCs/>
          <w:kern w:val="3"/>
          <w:sz w:val="32"/>
          <w:szCs w:val="32"/>
          <w:lang w:val="zh-TW"/>
        </w:rPr>
        <w:t>人才有流入科技產業趨勢，政府機關實有吸納優秀科</w:t>
      </w:r>
      <w:proofErr w:type="gramStart"/>
      <w:r w:rsidRPr="001B6E4D">
        <w:rPr>
          <w:rFonts w:ascii="標楷體" w:eastAsia="標楷體" w:hAnsi="標楷體" w:cs="標楷體"/>
          <w:bCs/>
          <w:kern w:val="3"/>
          <w:sz w:val="32"/>
          <w:szCs w:val="32"/>
          <w:lang w:val="zh-TW"/>
        </w:rPr>
        <w:t>研</w:t>
      </w:r>
      <w:proofErr w:type="gramEnd"/>
      <w:r w:rsidRPr="001B6E4D">
        <w:rPr>
          <w:rFonts w:ascii="標楷體" w:eastAsia="標楷體" w:hAnsi="標楷體" w:cs="標楷體"/>
          <w:bCs/>
          <w:kern w:val="3"/>
          <w:sz w:val="32"/>
          <w:szCs w:val="32"/>
          <w:lang w:val="zh-TW"/>
        </w:rPr>
        <w:t>人才之迫切需求。建議調查局未來可規劃</w:t>
      </w:r>
      <w:proofErr w:type="gramStart"/>
      <w:r w:rsidRPr="001B6E4D">
        <w:rPr>
          <w:rFonts w:ascii="標楷體" w:eastAsia="標楷體" w:hAnsi="標楷體" w:cs="標楷體"/>
          <w:bCs/>
          <w:kern w:val="3"/>
          <w:sz w:val="32"/>
          <w:szCs w:val="32"/>
          <w:lang w:val="zh-TW"/>
        </w:rPr>
        <w:t>鑑</w:t>
      </w:r>
      <w:proofErr w:type="gramEnd"/>
      <w:r w:rsidRPr="001B6E4D">
        <w:rPr>
          <w:rFonts w:ascii="標楷體" w:eastAsia="標楷體" w:hAnsi="標楷體" w:cs="標楷體"/>
          <w:bCs/>
          <w:kern w:val="3"/>
          <w:sz w:val="32"/>
          <w:szCs w:val="32"/>
          <w:lang w:val="zh-TW"/>
        </w:rPr>
        <w:t>識科學推廣與普及計畫，適度開放大專院校參訪交流，期許頂尖科技或跨領域人才投入國家司法</w:t>
      </w:r>
      <w:proofErr w:type="gramStart"/>
      <w:r w:rsidRPr="001B6E4D">
        <w:rPr>
          <w:rFonts w:ascii="標楷體" w:eastAsia="標楷體" w:hAnsi="標楷體" w:cs="標楷體"/>
          <w:bCs/>
          <w:kern w:val="3"/>
          <w:sz w:val="32"/>
          <w:szCs w:val="32"/>
          <w:lang w:val="zh-TW"/>
        </w:rPr>
        <w:t>鑑</w:t>
      </w:r>
      <w:proofErr w:type="gramEnd"/>
      <w:r w:rsidRPr="001B6E4D">
        <w:rPr>
          <w:rFonts w:ascii="標楷體" w:eastAsia="標楷體" w:hAnsi="標楷體" w:cs="標楷體"/>
          <w:bCs/>
          <w:kern w:val="3"/>
          <w:sz w:val="32"/>
          <w:szCs w:val="32"/>
          <w:lang w:val="zh-TW"/>
        </w:rPr>
        <w:t>識行列。</w:t>
      </w:r>
    </w:p>
    <w:p w14:paraId="72528995" w14:textId="77777777" w:rsidR="00B921E8" w:rsidRPr="001B6E4D" w:rsidRDefault="00B921E8" w:rsidP="003D1018">
      <w:pPr>
        <w:widowControl w:val="0"/>
        <w:numPr>
          <w:ilvl w:val="0"/>
          <w:numId w:val="81"/>
        </w:numPr>
        <w:tabs>
          <w:tab w:val="left" w:pos="4680"/>
        </w:tabs>
        <w:suppressAutoHyphens/>
        <w:overflowPunct w:val="0"/>
        <w:autoSpaceDN w:val="0"/>
        <w:snapToGrid w:val="0"/>
        <w:spacing w:before="180" w:after="180" w:line="480" w:lineRule="exact"/>
        <w:jc w:val="both"/>
        <w:textAlignment w:val="baseline"/>
        <w:rPr>
          <w:rFonts w:ascii="標楷體" w:eastAsia="標楷體" w:hAnsi="標楷體"/>
          <w:kern w:val="3"/>
          <w:szCs w:val="22"/>
        </w:rPr>
      </w:pPr>
      <w:r w:rsidRPr="001B6E4D">
        <w:rPr>
          <w:rFonts w:ascii="標楷體" w:eastAsia="標楷體" w:hAnsi="標楷體" w:cs="標楷體"/>
          <w:b/>
          <w:bCs/>
          <w:kern w:val="3"/>
          <w:sz w:val="32"/>
          <w:szCs w:val="32"/>
          <w:lang w:val="zh-TW"/>
        </w:rPr>
        <w:t>張立法委員智倫致詞：</w:t>
      </w:r>
    </w:p>
    <w:p w14:paraId="63752073" w14:textId="77777777" w:rsidR="00B921E8" w:rsidRPr="001B6E4D" w:rsidRDefault="00B921E8" w:rsidP="003D1018">
      <w:pPr>
        <w:widowControl w:val="0"/>
        <w:suppressAutoHyphens/>
        <w:overflowPunct w:val="0"/>
        <w:autoSpaceDE w:val="0"/>
        <w:autoSpaceDN w:val="0"/>
        <w:snapToGrid w:val="0"/>
        <w:spacing w:line="480" w:lineRule="exact"/>
        <w:ind w:left="708" w:firstLine="1"/>
        <w:jc w:val="both"/>
        <w:textAlignment w:val="baseline"/>
        <w:rPr>
          <w:rFonts w:ascii="標楷體" w:eastAsia="標楷體" w:hAnsi="標楷體"/>
          <w:kern w:val="3"/>
          <w:szCs w:val="22"/>
        </w:rPr>
      </w:pPr>
      <w:r w:rsidRPr="001B6E4D">
        <w:rPr>
          <w:rFonts w:ascii="標楷體" w:eastAsia="標楷體" w:hAnsi="標楷體" w:cs="標楷體"/>
          <w:bCs/>
          <w:kern w:val="3"/>
          <w:sz w:val="32"/>
          <w:szCs w:val="32"/>
          <w:lang w:val="zh-TW"/>
        </w:rPr>
        <w:t xml:space="preserve">    本人為新北市中和區區域立委，過去曾協調</w:t>
      </w:r>
      <w:r w:rsidRPr="001B6E4D">
        <w:rPr>
          <w:rFonts w:ascii="標楷體" w:eastAsia="標楷體" w:hAnsi="標楷體" w:cs="標楷體"/>
          <w:bCs/>
          <w:kern w:val="3"/>
          <w:sz w:val="32"/>
          <w:szCs w:val="32"/>
        </w:rPr>
        <w:t>中和調查</w:t>
      </w:r>
      <w:r w:rsidRPr="001B6E4D">
        <w:rPr>
          <w:rFonts w:ascii="標楷體" w:eastAsia="標楷體" w:hAnsi="標楷體" w:cs="標楷體"/>
          <w:bCs/>
          <w:kern w:val="3"/>
          <w:sz w:val="32"/>
          <w:szCs w:val="32"/>
          <w:lang w:val="zh-TW"/>
        </w:rPr>
        <w:t>園區用地與警衛等相關事務，未來園區若有其他需求，將持續提供協助。</w:t>
      </w:r>
    </w:p>
    <w:p w14:paraId="1F6AB76B" w14:textId="77777777" w:rsidR="00B921E8" w:rsidRPr="001B6E4D" w:rsidRDefault="00B921E8" w:rsidP="003D1018">
      <w:pPr>
        <w:widowControl w:val="0"/>
        <w:tabs>
          <w:tab w:val="left" w:pos="4680"/>
        </w:tabs>
        <w:suppressAutoHyphens/>
        <w:overflowPunct w:val="0"/>
        <w:autoSpaceDN w:val="0"/>
        <w:snapToGrid w:val="0"/>
        <w:spacing w:line="480" w:lineRule="exact"/>
        <w:ind w:left="720"/>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bCs/>
          <w:kern w:val="3"/>
          <w:sz w:val="32"/>
          <w:szCs w:val="32"/>
          <w:lang w:val="zh-TW"/>
        </w:rPr>
        <w:t xml:space="preserve">    建議調查局未來</w:t>
      </w:r>
      <w:r w:rsidRPr="001B6E4D">
        <w:rPr>
          <w:rFonts w:ascii="標楷體" w:eastAsia="標楷體" w:hAnsi="標楷體" w:cs="標楷體" w:hint="eastAsia"/>
          <w:bCs/>
          <w:kern w:val="3"/>
          <w:sz w:val="32"/>
          <w:szCs w:val="32"/>
          <w:lang w:val="zh-TW"/>
        </w:rPr>
        <w:t>在</w:t>
      </w:r>
      <w:r w:rsidRPr="001B6E4D">
        <w:rPr>
          <w:rFonts w:ascii="標楷體" w:eastAsia="標楷體" w:hAnsi="標楷體" w:cs="標楷體"/>
          <w:bCs/>
          <w:kern w:val="3"/>
          <w:sz w:val="32"/>
          <w:szCs w:val="32"/>
          <w:lang w:val="zh-TW"/>
        </w:rPr>
        <w:t>維持</w:t>
      </w:r>
      <w:proofErr w:type="gramStart"/>
      <w:r w:rsidRPr="001B6E4D">
        <w:rPr>
          <w:rFonts w:ascii="標楷體" w:eastAsia="標楷體" w:hAnsi="標楷體" w:cs="標楷體"/>
          <w:bCs/>
          <w:kern w:val="3"/>
          <w:sz w:val="32"/>
          <w:szCs w:val="32"/>
          <w:lang w:val="zh-TW"/>
        </w:rPr>
        <w:t>鑑</w:t>
      </w:r>
      <w:proofErr w:type="gramEnd"/>
      <w:r w:rsidRPr="001B6E4D">
        <w:rPr>
          <w:rFonts w:ascii="標楷體" w:eastAsia="標楷體" w:hAnsi="標楷體" w:cs="標楷體"/>
          <w:bCs/>
          <w:kern w:val="3"/>
          <w:sz w:val="32"/>
          <w:szCs w:val="32"/>
          <w:lang w:val="zh-TW"/>
        </w:rPr>
        <w:t>識專業度的前提下，園區可適度</w:t>
      </w:r>
      <w:proofErr w:type="gramStart"/>
      <w:r w:rsidRPr="001B6E4D">
        <w:rPr>
          <w:rFonts w:ascii="標楷體" w:eastAsia="標楷體" w:hAnsi="標楷體" w:cs="標楷體"/>
          <w:bCs/>
          <w:kern w:val="3"/>
          <w:sz w:val="32"/>
          <w:szCs w:val="32"/>
          <w:lang w:val="zh-TW"/>
        </w:rPr>
        <w:t>挹</w:t>
      </w:r>
      <w:proofErr w:type="gramEnd"/>
      <w:r w:rsidRPr="001B6E4D">
        <w:rPr>
          <w:rFonts w:ascii="標楷體" w:eastAsia="標楷體" w:hAnsi="標楷體" w:cs="標楷體"/>
          <w:bCs/>
          <w:kern w:val="3"/>
          <w:sz w:val="32"/>
          <w:szCs w:val="32"/>
          <w:lang w:val="zh-TW"/>
        </w:rPr>
        <w:t>注教育與社會公益功能。例如：參考地方政府舉辦兒童夏令營的經驗，規劃適合學童的指紋採取及認識毒品特徵等體驗活動，落實</w:t>
      </w:r>
      <w:proofErr w:type="gramStart"/>
      <w:r w:rsidRPr="001B6E4D">
        <w:rPr>
          <w:rFonts w:ascii="標楷體" w:eastAsia="標楷體" w:hAnsi="標楷體" w:cs="標楷體"/>
          <w:bCs/>
          <w:kern w:val="3"/>
          <w:sz w:val="32"/>
          <w:szCs w:val="32"/>
          <w:lang w:val="zh-TW"/>
        </w:rPr>
        <w:t>鑑</w:t>
      </w:r>
      <w:proofErr w:type="gramEnd"/>
      <w:r w:rsidRPr="001B6E4D">
        <w:rPr>
          <w:rFonts w:ascii="標楷體" w:eastAsia="標楷體" w:hAnsi="標楷體" w:cs="標楷體"/>
          <w:bCs/>
          <w:kern w:val="3"/>
          <w:sz w:val="32"/>
          <w:szCs w:val="32"/>
          <w:lang w:val="zh-TW"/>
        </w:rPr>
        <w:t>識科學教育向下紮根，培養青年學子對</w:t>
      </w:r>
      <w:proofErr w:type="gramStart"/>
      <w:r w:rsidRPr="001B6E4D">
        <w:rPr>
          <w:rFonts w:ascii="標楷體" w:eastAsia="標楷體" w:hAnsi="標楷體" w:cs="標楷體"/>
          <w:bCs/>
          <w:kern w:val="3"/>
          <w:sz w:val="32"/>
          <w:szCs w:val="32"/>
          <w:lang w:val="zh-TW"/>
        </w:rPr>
        <w:t>鑑</w:t>
      </w:r>
      <w:proofErr w:type="gramEnd"/>
      <w:r w:rsidRPr="001B6E4D">
        <w:rPr>
          <w:rFonts w:ascii="標楷體" w:eastAsia="標楷體" w:hAnsi="標楷體" w:cs="標楷體"/>
          <w:bCs/>
          <w:kern w:val="3"/>
          <w:sz w:val="32"/>
          <w:szCs w:val="32"/>
          <w:lang w:val="zh-TW"/>
        </w:rPr>
        <w:t>識科學的興趣。</w:t>
      </w:r>
    </w:p>
    <w:p w14:paraId="5C0B3CF7" w14:textId="77777777" w:rsidR="00B921E8" w:rsidRPr="001B6E4D" w:rsidRDefault="00B921E8" w:rsidP="003D1018">
      <w:pPr>
        <w:widowControl w:val="0"/>
        <w:numPr>
          <w:ilvl w:val="0"/>
          <w:numId w:val="81"/>
        </w:numPr>
        <w:tabs>
          <w:tab w:val="left" w:pos="4680"/>
        </w:tabs>
        <w:suppressAutoHyphens/>
        <w:overflowPunct w:val="0"/>
        <w:autoSpaceDN w:val="0"/>
        <w:snapToGrid w:val="0"/>
        <w:spacing w:before="180" w:after="180" w:line="480" w:lineRule="exact"/>
        <w:jc w:val="both"/>
        <w:textAlignment w:val="baseline"/>
        <w:rPr>
          <w:rFonts w:ascii="標楷體" w:eastAsia="標楷體" w:hAnsi="標楷體"/>
          <w:kern w:val="3"/>
          <w:szCs w:val="22"/>
        </w:rPr>
      </w:pPr>
      <w:r w:rsidRPr="001B6E4D">
        <w:rPr>
          <w:rFonts w:ascii="標楷體" w:eastAsia="標楷體" w:hAnsi="標楷體" w:cs="標楷體"/>
          <w:b/>
          <w:bCs/>
          <w:kern w:val="3"/>
          <w:sz w:val="32"/>
          <w:szCs w:val="32"/>
          <w:lang w:val="zh-TW"/>
        </w:rPr>
        <w:t>法務部調查局</w:t>
      </w:r>
      <w:proofErr w:type="gramStart"/>
      <w:r w:rsidRPr="001B6E4D">
        <w:rPr>
          <w:rFonts w:ascii="標楷體" w:eastAsia="標楷體" w:hAnsi="標楷體" w:cs="標楷體"/>
          <w:b/>
          <w:bCs/>
          <w:kern w:val="3"/>
          <w:sz w:val="32"/>
          <w:szCs w:val="32"/>
          <w:lang w:val="zh-TW"/>
        </w:rPr>
        <w:t>鑑</w:t>
      </w:r>
      <w:proofErr w:type="gramEnd"/>
      <w:r w:rsidRPr="001B6E4D">
        <w:rPr>
          <w:rFonts w:ascii="標楷體" w:eastAsia="標楷體" w:hAnsi="標楷體" w:cs="標楷體"/>
          <w:b/>
          <w:bCs/>
          <w:kern w:val="3"/>
          <w:sz w:val="32"/>
          <w:szCs w:val="32"/>
          <w:lang w:val="zh-TW"/>
        </w:rPr>
        <w:t>識科學處顏處長成安簡報：</w:t>
      </w:r>
      <w:r w:rsidRPr="001B6E4D">
        <w:rPr>
          <w:rFonts w:ascii="標楷體" w:eastAsia="標楷體" w:hAnsi="標楷體" w:cs="標楷體"/>
          <w:bCs/>
          <w:kern w:val="3"/>
          <w:sz w:val="32"/>
          <w:szCs w:val="32"/>
          <w:lang w:val="zh-TW"/>
        </w:rPr>
        <w:t>（略）</w:t>
      </w:r>
    </w:p>
    <w:p w14:paraId="362EB94E" w14:textId="77777777" w:rsidR="00B921E8" w:rsidRPr="001B6E4D" w:rsidRDefault="00B921E8" w:rsidP="003D1018">
      <w:pPr>
        <w:widowControl w:val="0"/>
        <w:numPr>
          <w:ilvl w:val="0"/>
          <w:numId w:val="81"/>
        </w:numPr>
        <w:tabs>
          <w:tab w:val="left" w:pos="4680"/>
        </w:tabs>
        <w:suppressAutoHyphens/>
        <w:overflowPunct w:val="0"/>
        <w:autoSpaceDN w:val="0"/>
        <w:snapToGrid w:val="0"/>
        <w:spacing w:before="180" w:after="180" w:line="480" w:lineRule="exact"/>
        <w:jc w:val="both"/>
        <w:textAlignment w:val="baseline"/>
        <w:rPr>
          <w:rFonts w:ascii="標楷體" w:eastAsia="標楷體" w:hAnsi="標楷體"/>
          <w:kern w:val="3"/>
          <w:szCs w:val="22"/>
        </w:rPr>
      </w:pPr>
      <w:r w:rsidRPr="001B6E4D">
        <w:rPr>
          <w:rFonts w:ascii="標楷體" w:eastAsia="標楷體" w:hAnsi="標楷體"/>
          <w:b/>
          <w:color w:val="000000"/>
          <w:kern w:val="3"/>
          <w:sz w:val="32"/>
          <w:szCs w:val="32"/>
        </w:rPr>
        <w:t>中和調查園區</w:t>
      </w:r>
      <w:proofErr w:type="gramStart"/>
      <w:r w:rsidRPr="001B6E4D">
        <w:rPr>
          <w:rFonts w:ascii="標楷體" w:eastAsia="標楷體" w:hAnsi="標楷體"/>
          <w:b/>
          <w:color w:val="000000"/>
          <w:kern w:val="3"/>
          <w:sz w:val="32"/>
          <w:szCs w:val="32"/>
        </w:rPr>
        <w:t>鑑</w:t>
      </w:r>
      <w:proofErr w:type="gramEnd"/>
      <w:r w:rsidRPr="001B6E4D">
        <w:rPr>
          <w:rFonts w:ascii="標楷體" w:eastAsia="標楷體" w:hAnsi="標楷體"/>
          <w:b/>
          <w:color w:val="000000"/>
          <w:kern w:val="3"/>
          <w:sz w:val="32"/>
          <w:szCs w:val="32"/>
        </w:rPr>
        <w:t>識</w:t>
      </w:r>
      <w:r w:rsidRPr="001B6E4D">
        <w:rPr>
          <w:rFonts w:ascii="標楷體" w:eastAsia="標楷體" w:hAnsi="標楷體" w:cs="標楷體"/>
          <w:b/>
          <w:bCs/>
          <w:kern w:val="3"/>
          <w:sz w:val="32"/>
          <w:szCs w:val="32"/>
          <w:lang w:val="zh-TW"/>
        </w:rPr>
        <w:t>科學</w:t>
      </w:r>
      <w:r w:rsidRPr="001B6E4D">
        <w:rPr>
          <w:rFonts w:ascii="標楷體" w:eastAsia="標楷體" w:hAnsi="標楷體"/>
          <w:b/>
          <w:color w:val="000000"/>
          <w:kern w:val="3"/>
          <w:sz w:val="32"/>
          <w:szCs w:val="32"/>
        </w:rPr>
        <w:t>大樓實驗室導</w:t>
      </w:r>
      <w:proofErr w:type="gramStart"/>
      <w:r w:rsidRPr="001B6E4D">
        <w:rPr>
          <w:rFonts w:ascii="標楷體" w:eastAsia="標楷體" w:hAnsi="標楷體"/>
          <w:b/>
          <w:color w:val="000000"/>
          <w:kern w:val="3"/>
          <w:sz w:val="32"/>
          <w:szCs w:val="32"/>
        </w:rPr>
        <w:t>覽</w:t>
      </w:r>
      <w:proofErr w:type="gramEnd"/>
      <w:r w:rsidRPr="001B6E4D">
        <w:rPr>
          <w:rFonts w:ascii="標楷體" w:eastAsia="標楷體" w:hAnsi="標楷體" w:cs="標楷體"/>
          <w:b/>
          <w:bCs/>
          <w:kern w:val="3"/>
          <w:sz w:val="32"/>
          <w:szCs w:val="32"/>
          <w:lang w:val="zh-TW"/>
        </w:rPr>
        <w:t>：</w:t>
      </w:r>
      <w:r w:rsidRPr="001B6E4D">
        <w:rPr>
          <w:rFonts w:ascii="標楷體" w:eastAsia="標楷體" w:hAnsi="標楷體" w:cs="標楷體"/>
          <w:bCs/>
          <w:kern w:val="3"/>
          <w:sz w:val="32"/>
          <w:szCs w:val="32"/>
          <w:lang w:val="zh-TW"/>
        </w:rPr>
        <w:t>（略）</w:t>
      </w:r>
    </w:p>
    <w:p w14:paraId="3987BC8E" w14:textId="77777777" w:rsidR="00B921E8" w:rsidRPr="001B6E4D" w:rsidRDefault="00B921E8" w:rsidP="003D1018">
      <w:pPr>
        <w:widowControl w:val="0"/>
        <w:numPr>
          <w:ilvl w:val="0"/>
          <w:numId w:val="81"/>
        </w:numPr>
        <w:tabs>
          <w:tab w:val="left" w:pos="4680"/>
        </w:tabs>
        <w:suppressAutoHyphens/>
        <w:overflowPunct w:val="0"/>
        <w:autoSpaceDN w:val="0"/>
        <w:snapToGrid w:val="0"/>
        <w:spacing w:before="180" w:after="180" w:line="480" w:lineRule="exact"/>
        <w:jc w:val="both"/>
        <w:textAlignment w:val="baseline"/>
        <w:rPr>
          <w:rFonts w:ascii="標楷體" w:eastAsia="標楷體" w:hAnsi="標楷體" w:cs="標楷體"/>
          <w:b/>
          <w:bCs/>
          <w:kern w:val="3"/>
          <w:sz w:val="32"/>
          <w:szCs w:val="32"/>
          <w:lang w:val="zh-TW"/>
        </w:rPr>
      </w:pPr>
      <w:r w:rsidRPr="001B6E4D">
        <w:rPr>
          <w:rFonts w:ascii="標楷體" w:eastAsia="標楷體" w:hAnsi="標楷體" w:cs="標楷體"/>
          <w:b/>
          <w:bCs/>
          <w:kern w:val="3"/>
          <w:sz w:val="32"/>
          <w:szCs w:val="32"/>
          <w:lang w:val="zh-TW"/>
        </w:rPr>
        <w:t>綜合座談及意見交流</w:t>
      </w:r>
    </w:p>
    <w:p w14:paraId="2759578C" w14:textId="77777777" w:rsidR="00B921E8" w:rsidRPr="001B6E4D" w:rsidRDefault="00B921E8" w:rsidP="003D1018">
      <w:pPr>
        <w:widowControl w:val="0"/>
        <w:numPr>
          <w:ilvl w:val="0"/>
          <w:numId w:val="82"/>
        </w:numPr>
        <w:suppressAutoHyphens/>
        <w:overflowPunct w:val="0"/>
        <w:autoSpaceDE w:val="0"/>
        <w:autoSpaceDN w:val="0"/>
        <w:spacing w:before="180" w:line="520" w:lineRule="exact"/>
        <w:ind w:left="1004"/>
        <w:jc w:val="both"/>
        <w:textAlignment w:val="baseline"/>
        <w:rPr>
          <w:rFonts w:ascii="標楷體" w:eastAsia="標楷體" w:hAnsi="標楷體"/>
          <w:b/>
          <w:color w:val="000000"/>
          <w:kern w:val="3"/>
          <w:sz w:val="32"/>
          <w:szCs w:val="32"/>
        </w:rPr>
      </w:pPr>
      <w:r w:rsidRPr="001B6E4D">
        <w:rPr>
          <w:rFonts w:ascii="標楷體" w:eastAsia="標楷體" w:hAnsi="標楷體"/>
          <w:b/>
          <w:color w:val="000000"/>
          <w:kern w:val="3"/>
          <w:sz w:val="32"/>
          <w:szCs w:val="32"/>
        </w:rPr>
        <w:t>翁召集委員曉玲引言：</w:t>
      </w:r>
    </w:p>
    <w:p w14:paraId="29806609" w14:textId="77777777" w:rsidR="00B921E8" w:rsidRPr="001B6E4D" w:rsidRDefault="00B921E8" w:rsidP="003D1018">
      <w:pPr>
        <w:widowControl w:val="0"/>
        <w:tabs>
          <w:tab w:val="left" w:pos="4680"/>
        </w:tabs>
        <w:suppressAutoHyphens/>
        <w:overflowPunct w:val="0"/>
        <w:autoSpaceDN w:val="0"/>
        <w:snapToGrid w:val="0"/>
        <w:spacing w:line="480" w:lineRule="exact"/>
        <w:ind w:left="991"/>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 xml:space="preserve">    今日考察調查局最新</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識科技、設備研發及提升鑑定效率等諸多努力，給予高度肯定。考量近期社會輿論有關刑事訴訟法羈押程序等議題，從人權保障角</w:t>
      </w:r>
      <w:r w:rsidRPr="001B6E4D">
        <w:rPr>
          <w:rFonts w:ascii="標楷體" w:eastAsia="標楷體" w:hAnsi="標楷體"/>
          <w:color w:val="000000"/>
          <w:kern w:val="3"/>
          <w:sz w:val="32"/>
          <w:szCs w:val="32"/>
        </w:rPr>
        <w:lastRenderedPageBreak/>
        <w:t>度出發，</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識程序若能加速並及時比對結果，對於檢察官偵查、律師辯護及法官</w:t>
      </w:r>
      <w:proofErr w:type="gramStart"/>
      <w:r w:rsidRPr="001B6E4D">
        <w:rPr>
          <w:rFonts w:ascii="標楷體" w:eastAsia="標楷體" w:hAnsi="標楷體"/>
          <w:color w:val="000000"/>
          <w:kern w:val="3"/>
          <w:sz w:val="32"/>
          <w:szCs w:val="32"/>
        </w:rPr>
        <w:t>裁判均有實質</w:t>
      </w:r>
      <w:proofErr w:type="gramEnd"/>
      <w:r w:rsidRPr="001B6E4D">
        <w:rPr>
          <w:rFonts w:ascii="標楷體" w:eastAsia="標楷體" w:hAnsi="標楷體"/>
          <w:color w:val="000000"/>
          <w:kern w:val="3"/>
          <w:sz w:val="32"/>
          <w:szCs w:val="32"/>
        </w:rPr>
        <w:t>助益，避免鑑定耗時過長，引發司法延宕之負面觀感。期許</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識科學處業務更上層樓，持續優化鑑定流程，並加速案件辦理，本委員會亦將於未來考察及預算審查中，持續予以重視。</w:t>
      </w:r>
    </w:p>
    <w:p w14:paraId="3DD72862" w14:textId="77777777" w:rsidR="00B921E8" w:rsidRPr="001B6E4D" w:rsidRDefault="00B921E8" w:rsidP="003D1018">
      <w:pPr>
        <w:widowControl w:val="0"/>
        <w:numPr>
          <w:ilvl w:val="0"/>
          <w:numId w:val="82"/>
        </w:numPr>
        <w:suppressAutoHyphens/>
        <w:overflowPunct w:val="0"/>
        <w:autoSpaceDE w:val="0"/>
        <w:autoSpaceDN w:val="0"/>
        <w:spacing w:before="180" w:line="520" w:lineRule="exact"/>
        <w:ind w:left="1004"/>
        <w:jc w:val="both"/>
        <w:textAlignment w:val="baseline"/>
        <w:rPr>
          <w:rFonts w:ascii="標楷體" w:eastAsia="標楷體" w:hAnsi="標楷體"/>
          <w:b/>
          <w:color w:val="000000"/>
          <w:kern w:val="3"/>
          <w:sz w:val="32"/>
          <w:szCs w:val="32"/>
        </w:rPr>
      </w:pPr>
      <w:r w:rsidRPr="001B6E4D">
        <w:rPr>
          <w:rFonts w:ascii="標楷體" w:eastAsia="標楷體" w:hAnsi="標楷體"/>
          <w:b/>
          <w:color w:val="000000"/>
          <w:kern w:val="3"/>
          <w:sz w:val="32"/>
          <w:szCs w:val="32"/>
        </w:rPr>
        <w:t>沈發惠委員研究室</w:t>
      </w:r>
      <w:proofErr w:type="gramStart"/>
      <w:r w:rsidRPr="001B6E4D">
        <w:rPr>
          <w:rFonts w:ascii="標楷體" w:eastAsia="標楷體" w:hAnsi="標楷體"/>
          <w:b/>
          <w:color w:val="000000"/>
          <w:kern w:val="3"/>
          <w:sz w:val="32"/>
          <w:szCs w:val="32"/>
        </w:rPr>
        <w:t>張</w:t>
      </w:r>
      <w:r w:rsidRPr="001B6E4D">
        <w:rPr>
          <w:rFonts w:ascii="標楷體" w:eastAsia="標楷體" w:hAnsi="標楷體" w:hint="eastAsia"/>
          <w:b/>
          <w:color w:val="000000"/>
          <w:kern w:val="3"/>
          <w:sz w:val="32"/>
          <w:szCs w:val="32"/>
        </w:rPr>
        <w:t>主任</w:t>
      </w:r>
      <w:r w:rsidRPr="001B6E4D">
        <w:rPr>
          <w:rFonts w:ascii="標楷體" w:eastAsia="標楷體" w:hAnsi="標楷體"/>
          <w:b/>
          <w:color w:val="000000"/>
          <w:kern w:val="3"/>
          <w:sz w:val="32"/>
          <w:szCs w:val="32"/>
        </w:rPr>
        <w:t>誠軒提問</w:t>
      </w:r>
      <w:proofErr w:type="gramEnd"/>
      <w:r w:rsidRPr="001B6E4D">
        <w:rPr>
          <w:rFonts w:ascii="標楷體" w:eastAsia="標楷體" w:hAnsi="標楷體"/>
          <w:b/>
          <w:color w:val="000000"/>
          <w:kern w:val="3"/>
          <w:sz w:val="32"/>
          <w:szCs w:val="32"/>
        </w:rPr>
        <w:t>：</w:t>
      </w:r>
    </w:p>
    <w:p w14:paraId="02350B86" w14:textId="77777777" w:rsidR="00B921E8" w:rsidRPr="001B6E4D" w:rsidRDefault="00B921E8" w:rsidP="003D1018">
      <w:pPr>
        <w:widowControl w:val="0"/>
        <w:tabs>
          <w:tab w:val="left" w:pos="4680"/>
        </w:tabs>
        <w:suppressAutoHyphens/>
        <w:overflowPunct w:val="0"/>
        <w:autoSpaceDN w:val="0"/>
        <w:snapToGrid w:val="0"/>
        <w:spacing w:line="480" w:lineRule="exact"/>
        <w:ind w:left="991"/>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 xml:space="preserve">    「司法聯盟鏈」可針對數位證據進行驗證，目前</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識科學處有無納入考量？鑑定的送驗來源，係以檢方還是院方居多？司法實務上，是否經常發生檢方已完成鑑定證據，移送至院方後，仍被要求重新鑑定，造成資源重複投入情形？</w:t>
      </w:r>
    </w:p>
    <w:p w14:paraId="4807D7F0" w14:textId="77777777" w:rsidR="00B921E8" w:rsidRPr="001B6E4D" w:rsidRDefault="00B921E8" w:rsidP="003D1018">
      <w:pPr>
        <w:widowControl w:val="0"/>
        <w:numPr>
          <w:ilvl w:val="0"/>
          <w:numId w:val="82"/>
        </w:numPr>
        <w:suppressAutoHyphens/>
        <w:overflowPunct w:val="0"/>
        <w:autoSpaceDE w:val="0"/>
        <w:autoSpaceDN w:val="0"/>
        <w:spacing w:before="180" w:line="520" w:lineRule="exact"/>
        <w:ind w:left="1004"/>
        <w:jc w:val="both"/>
        <w:textAlignment w:val="baseline"/>
        <w:rPr>
          <w:rFonts w:ascii="標楷體" w:eastAsia="標楷體" w:hAnsi="標楷體"/>
          <w:b/>
          <w:color w:val="000000"/>
          <w:kern w:val="3"/>
          <w:sz w:val="32"/>
          <w:szCs w:val="32"/>
        </w:rPr>
      </w:pPr>
      <w:r w:rsidRPr="001B6E4D">
        <w:rPr>
          <w:rFonts w:ascii="標楷體" w:eastAsia="標楷體" w:hAnsi="標楷體"/>
          <w:b/>
          <w:color w:val="000000"/>
          <w:kern w:val="3"/>
          <w:sz w:val="32"/>
          <w:szCs w:val="32"/>
        </w:rPr>
        <w:t>翁曉玲委員研究室</w:t>
      </w:r>
      <w:proofErr w:type="gramStart"/>
      <w:r w:rsidRPr="001B6E4D">
        <w:rPr>
          <w:rFonts w:ascii="標楷體" w:eastAsia="標楷體" w:hAnsi="標楷體"/>
          <w:b/>
          <w:color w:val="000000"/>
          <w:kern w:val="3"/>
          <w:sz w:val="32"/>
          <w:szCs w:val="32"/>
        </w:rPr>
        <w:t>何助理展旭提問</w:t>
      </w:r>
      <w:proofErr w:type="gramEnd"/>
      <w:r w:rsidRPr="001B6E4D">
        <w:rPr>
          <w:rFonts w:ascii="標楷體" w:eastAsia="標楷體" w:hAnsi="標楷體"/>
          <w:b/>
          <w:color w:val="000000"/>
          <w:kern w:val="3"/>
          <w:sz w:val="32"/>
          <w:szCs w:val="32"/>
        </w:rPr>
        <w:t>：</w:t>
      </w:r>
    </w:p>
    <w:p w14:paraId="6FF3FE3C" w14:textId="77777777" w:rsidR="00B921E8" w:rsidRPr="001B6E4D" w:rsidRDefault="00B921E8" w:rsidP="003D1018">
      <w:pPr>
        <w:widowControl w:val="0"/>
        <w:numPr>
          <w:ilvl w:val="0"/>
          <w:numId w:val="83"/>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olor w:val="000000"/>
          <w:kern w:val="3"/>
          <w:sz w:val="32"/>
          <w:szCs w:val="32"/>
        </w:rPr>
      </w:pP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識科學極具跨領域特性，除儀器技術外，更仰賴專業人員詮釋。我國於</w:t>
      </w:r>
      <w:r w:rsidRPr="001B6E4D">
        <w:rPr>
          <w:rFonts w:ascii="標楷體" w:eastAsia="標楷體" w:hAnsi="標楷體" w:hint="eastAsia"/>
          <w:color w:val="000000"/>
          <w:kern w:val="3"/>
          <w:sz w:val="32"/>
          <w:szCs w:val="32"/>
        </w:rPr>
        <w:t>8</w:t>
      </w:r>
      <w:r w:rsidRPr="001B6E4D">
        <w:rPr>
          <w:rFonts w:ascii="標楷體" w:eastAsia="標楷體" w:hAnsi="標楷體"/>
          <w:color w:val="000000"/>
          <w:kern w:val="3"/>
          <w:sz w:val="32"/>
          <w:szCs w:val="32"/>
        </w:rPr>
        <w:t>9年曾發生「呂介</w:t>
      </w:r>
      <w:proofErr w:type="gramStart"/>
      <w:r w:rsidRPr="001B6E4D">
        <w:rPr>
          <w:rFonts w:ascii="標楷體" w:eastAsia="標楷體" w:hAnsi="標楷體"/>
          <w:color w:val="000000"/>
          <w:kern w:val="3"/>
          <w:sz w:val="32"/>
          <w:szCs w:val="32"/>
        </w:rPr>
        <w:t>閔</w:t>
      </w:r>
      <w:proofErr w:type="gramEnd"/>
      <w:r w:rsidRPr="001B6E4D">
        <w:rPr>
          <w:rFonts w:ascii="標楷體" w:eastAsia="標楷體" w:hAnsi="標楷體"/>
          <w:color w:val="000000"/>
          <w:kern w:val="3"/>
          <w:sz w:val="32"/>
          <w:szCs w:val="32"/>
        </w:rPr>
        <w:t>案」，因DNA、</w:t>
      </w:r>
      <w:proofErr w:type="gramStart"/>
      <w:r w:rsidRPr="001B6E4D">
        <w:rPr>
          <w:rFonts w:ascii="標楷體" w:eastAsia="標楷體" w:hAnsi="標楷體"/>
          <w:color w:val="000000"/>
          <w:kern w:val="3"/>
          <w:sz w:val="32"/>
          <w:szCs w:val="32"/>
        </w:rPr>
        <w:t>齒痕與測</w:t>
      </w:r>
      <w:proofErr w:type="gramEnd"/>
      <w:r w:rsidRPr="001B6E4D">
        <w:rPr>
          <w:rFonts w:ascii="標楷體" w:eastAsia="標楷體" w:hAnsi="標楷體"/>
          <w:color w:val="000000"/>
          <w:kern w:val="3"/>
          <w:sz w:val="32"/>
          <w:szCs w:val="32"/>
        </w:rPr>
        <w:t>謊鑑定產生爭議，導致判決反覆且案件纏</w:t>
      </w:r>
      <w:proofErr w:type="gramStart"/>
      <w:r w:rsidRPr="001B6E4D">
        <w:rPr>
          <w:rFonts w:ascii="標楷體" w:eastAsia="標楷體" w:hAnsi="標楷體"/>
          <w:color w:val="000000"/>
          <w:kern w:val="3"/>
          <w:sz w:val="32"/>
          <w:szCs w:val="32"/>
        </w:rPr>
        <w:t>訟</w:t>
      </w:r>
      <w:proofErr w:type="gramEnd"/>
      <w:r w:rsidRPr="001B6E4D">
        <w:rPr>
          <w:rFonts w:ascii="標楷體" w:eastAsia="標楷體" w:hAnsi="標楷體"/>
          <w:color w:val="000000"/>
          <w:kern w:val="3"/>
          <w:sz w:val="32"/>
          <w:szCs w:val="32"/>
        </w:rPr>
        <w:t>達14年，被告服刑期間因原</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識結果被推翻，經依法停止執行並聲請再審，最終始獲判無罪確定。為防範冤案發生，調查局</w:t>
      </w:r>
      <w:proofErr w:type="gramStart"/>
      <w:r w:rsidRPr="001B6E4D">
        <w:rPr>
          <w:rFonts w:ascii="標楷體" w:eastAsia="標楷體" w:hAnsi="標楷體"/>
          <w:color w:val="000000"/>
          <w:kern w:val="3"/>
          <w:sz w:val="32"/>
          <w:szCs w:val="32"/>
        </w:rPr>
        <w:t>內部控</w:t>
      </w:r>
      <w:proofErr w:type="gramEnd"/>
      <w:r w:rsidRPr="001B6E4D">
        <w:rPr>
          <w:rFonts w:ascii="標楷體" w:eastAsia="標楷體" w:hAnsi="標楷體"/>
          <w:color w:val="000000"/>
          <w:kern w:val="3"/>
          <w:sz w:val="32"/>
          <w:szCs w:val="32"/>
        </w:rPr>
        <w:t>管機制為何？如何將</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識錯誤機率降至最低？</w:t>
      </w:r>
    </w:p>
    <w:p w14:paraId="7E6D31CA" w14:textId="77777777" w:rsidR="00B921E8" w:rsidRPr="001B6E4D" w:rsidRDefault="00B921E8" w:rsidP="003D1018">
      <w:pPr>
        <w:widowControl w:val="0"/>
        <w:numPr>
          <w:ilvl w:val="0"/>
          <w:numId w:val="83"/>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國際實務原則上排除測謊之證據能力，如：美國。而我國最高法院雖容許其具備科學證據能力，但設有嚴格要件，學界亦有諸多意見。立法院過去曾提案修法禁止其作為證據，倘若</w:t>
      </w:r>
      <w:proofErr w:type="gramStart"/>
      <w:r w:rsidRPr="001B6E4D">
        <w:rPr>
          <w:rFonts w:ascii="標楷體" w:eastAsia="標楷體" w:hAnsi="標楷體"/>
          <w:color w:val="000000"/>
          <w:kern w:val="3"/>
          <w:sz w:val="32"/>
          <w:szCs w:val="32"/>
        </w:rPr>
        <w:t>測謊於未來</w:t>
      </w:r>
      <w:proofErr w:type="gramEnd"/>
      <w:r w:rsidRPr="001B6E4D">
        <w:rPr>
          <w:rFonts w:ascii="標楷體" w:eastAsia="標楷體" w:hAnsi="標楷體"/>
          <w:color w:val="000000"/>
          <w:kern w:val="3"/>
          <w:sz w:val="32"/>
          <w:szCs w:val="32"/>
        </w:rPr>
        <w:t>依法不得具備證據能力，投入測謊資源是否有效益過低疑慮？法務部立場為何？</w:t>
      </w:r>
    </w:p>
    <w:p w14:paraId="3E1C0519" w14:textId="77777777" w:rsidR="00B921E8" w:rsidRPr="001B6E4D" w:rsidRDefault="00B921E8" w:rsidP="003D1018">
      <w:pPr>
        <w:widowControl w:val="0"/>
        <w:numPr>
          <w:ilvl w:val="0"/>
          <w:numId w:val="83"/>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優秀</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識人員除仰賴精密儀器</w:t>
      </w:r>
      <w:r w:rsidRPr="001B6E4D">
        <w:rPr>
          <w:rFonts w:ascii="標楷體" w:eastAsia="標楷體" w:hAnsi="標楷體" w:hint="eastAsia"/>
          <w:color w:val="000000"/>
          <w:kern w:val="3"/>
          <w:sz w:val="32"/>
          <w:szCs w:val="32"/>
        </w:rPr>
        <w:t>外</w:t>
      </w:r>
      <w:r w:rsidRPr="001B6E4D">
        <w:rPr>
          <w:rFonts w:ascii="標楷體" w:eastAsia="標楷體" w:hAnsi="標楷體"/>
          <w:color w:val="000000"/>
          <w:kern w:val="3"/>
          <w:sz w:val="32"/>
          <w:szCs w:val="32"/>
        </w:rPr>
        <w:t>，更需具備敏銳之洞察力與豐富實務歷練。調查局於</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識人員養成教育中，如何加強專業技術以外之生活與實務經驗？</w:t>
      </w:r>
    </w:p>
    <w:p w14:paraId="53FC6D84" w14:textId="77777777" w:rsidR="00B921E8" w:rsidRPr="001B6E4D" w:rsidRDefault="00B921E8" w:rsidP="003D1018">
      <w:pPr>
        <w:widowControl w:val="0"/>
        <w:numPr>
          <w:ilvl w:val="0"/>
          <w:numId w:val="83"/>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lastRenderedPageBreak/>
        <w:t>部分國家設有單一專業鑑定機構，如：日本警察廳科學警察研究所。而我國現行體制則由調查局、刑事警察局二者並存，此體制是否會造成分工歧異或多頭馬車？未來是否應朝向國家級</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識單位之單一體制進行整合？</w:t>
      </w:r>
    </w:p>
    <w:p w14:paraId="16024E34" w14:textId="77777777" w:rsidR="00B921E8" w:rsidRPr="001B6E4D" w:rsidRDefault="00B921E8" w:rsidP="003D1018">
      <w:pPr>
        <w:widowControl w:val="0"/>
        <w:numPr>
          <w:ilvl w:val="0"/>
          <w:numId w:val="82"/>
        </w:numPr>
        <w:suppressAutoHyphens/>
        <w:overflowPunct w:val="0"/>
        <w:autoSpaceDE w:val="0"/>
        <w:autoSpaceDN w:val="0"/>
        <w:spacing w:before="180" w:line="520" w:lineRule="exact"/>
        <w:ind w:left="1004"/>
        <w:jc w:val="both"/>
        <w:textAlignment w:val="baseline"/>
        <w:rPr>
          <w:rFonts w:ascii="標楷體" w:eastAsia="標楷體" w:hAnsi="標楷體"/>
          <w:b/>
          <w:color w:val="000000"/>
          <w:kern w:val="3"/>
          <w:sz w:val="32"/>
          <w:szCs w:val="32"/>
        </w:rPr>
      </w:pPr>
      <w:r w:rsidRPr="001B6E4D">
        <w:rPr>
          <w:rFonts w:ascii="標楷體" w:eastAsia="標楷體" w:hAnsi="標楷體"/>
          <w:b/>
          <w:color w:val="000000"/>
          <w:kern w:val="3"/>
          <w:sz w:val="32"/>
          <w:szCs w:val="32"/>
        </w:rPr>
        <w:t>翁曉玲委員研究室蔡助理岡</w:t>
      </w:r>
      <w:proofErr w:type="gramStart"/>
      <w:r w:rsidRPr="001B6E4D">
        <w:rPr>
          <w:rFonts w:ascii="標楷體" w:eastAsia="標楷體" w:hAnsi="標楷體"/>
          <w:b/>
          <w:color w:val="000000"/>
          <w:kern w:val="3"/>
          <w:sz w:val="32"/>
          <w:szCs w:val="32"/>
        </w:rPr>
        <w:t>霖</w:t>
      </w:r>
      <w:proofErr w:type="gramEnd"/>
      <w:r w:rsidRPr="001B6E4D">
        <w:rPr>
          <w:rFonts w:ascii="標楷體" w:eastAsia="標楷體" w:hAnsi="標楷體"/>
          <w:b/>
          <w:color w:val="000000"/>
          <w:kern w:val="3"/>
          <w:sz w:val="32"/>
          <w:szCs w:val="32"/>
        </w:rPr>
        <w:t>提問：</w:t>
      </w:r>
    </w:p>
    <w:p w14:paraId="717ECDEB" w14:textId="77777777" w:rsidR="00B921E8" w:rsidRPr="001B6E4D" w:rsidRDefault="00B921E8" w:rsidP="003D1018">
      <w:pPr>
        <w:widowControl w:val="0"/>
        <w:numPr>
          <w:ilvl w:val="0"/>
          <w:numId w:val="84"/>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過去司法改革會議曾</w:t>
      </w:r>
      <w:proofErr w:type="gramStart"/>
      <w:r w:rsidRPr="001B6E4D">
        <w:rPr>
          <w:rFonts w:ascii="標楷體" w:eastAsia="標楷體" w:hAnsi="標楷體"/>
          <w:color w:val="000000"/>
          <w:kern w:val="3"/>
          <w:sz w:val="32"/>
          <w:szCs w:val="32"/>
        </w:rPr>
        <w:t>研</w:t>
      </w:r>
      <w:proofErr w:type="gramEnd"/>
      <w:r w:rsidRPr="001B6E4D">
        <w:rPr>
          <w:rFonts w:ascii="標楷體" w:eastAsia="標楷體" w:hAnsi="標楷體"/>
          <w:color w:val="000000"/>
          <w:kern w:val="3"/>
          <w:sz w:val="32"/>
          <w:szCs w:val="32"/>
        </w:rPr>
        <w:t>議建立</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識之「</w:t>
      </w:r>
      <w:proofErr w:type="gramStart"/>
      <w:r w:rsidRPr="001B6E4D">
        <w:rPr>
          <w:rFonts w:ascii="標楷體" w:eastAsia="標楷體" w:hAnsi="標楷體"/>
          <w:color w:val="000000"/>
          <w:kern w:val="3"/>
          <w:sz w:val="32"/>
          <w:szCs w:val="32"/>
        </w:rPr>
        <w:t>複</w:t>
      </w:r>
      <w:proofErr w:type="gramEnd"/>
      <w:r w:rsidRPr="001B6E4D">
        <w:rPr>
          <w:rFonts w:ascii="標楷體" w:eastAsia="標楷體" w:hAnsi="標楷體"/>
          <w:color w:val="000000"/>
          <w:kern w:val="3"/>
          <w:sz w:val="32"/>
          <w:szCs w:val="32"/>
        </w:rPr>
        <w:t>審制度」，目前體制內外是否存在此類機制？</w:t>
      </w:r>
    </w:p>
    <w:p w14:paraId="28AEB6F2" w14:textId="77777777" w:rsidR="00B921E8" w:rsidRPr="001B6E4D" w:rsidRDefault="00B921E8" w:rsidP="003D1018">
      <w:pPr>
        <w:widowControl w:val="0"/>
        <w:numPr>
          <w:ilvl w:val="0"/>
          <w:numId w:val="84"/>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中和調查園區落成後，未來在人力與設備上，尚有何處需立法院協助爭取或擴充？</w:t>
      </w:r>
    </w:p>
    <w:p w14:paraId="51AD1E15" w14:textId="77777777" w:rsidR="00B921E8" w:rsidRPr="001B6E4D" w:rsidRDefault="00B921E8" w:rsidP="003D1018">
      <w:pPr>
        <w:widowControl w:val="0"/>
        <w:numPr>
          <w:ilvl w:val="0"/>
          <w:numId w:val="82"/>
        </w:numPr>
        <w:suppressAutoHyphens/>
        <w:overflowPunct w:val="0"/>
        <w:autoSpaceDE w:val="0"/>
        <w:autoSpaceDN w:val="0"/>
        <w:spacing w:before="180" w:line="520" w:lineRule="exact"/>
        <w:ind w:left="1004"/>
        <w:jc w:val="both"/>
        <w:textAlignment w:val="baseline"/>
        <w:rPr>
          <w:rFonts w:ascii="標楷體" w:eastAsia="標楷體" w:hAnsi="標楷體"/>
          <w:b/>
          <w:color w:val="000000"/>
          <w:kern w:val="3"/>
          <w:sz w:val="32"/>
          <w:szCs w:val="32"/>
        </w:rPr>
      </w:pPr>
      <w:r w:rsidRPr="001B6E4D">
        <w:rPr>
          <w:rFonts w:ascii="標楷體" w:eastAsia="標楷體" w:hAnsi="標楷體"/>
          <w:b/>
          <w:color w:val="000000"/>
          <w:kern w:val="3"/>
          <w:sz w:val="32"/>
          <w:szCs w:val="32"/>
        </w:rPr>
        <w:t>法務部調查局</w:t>
      </w:r>
      <w:proofErr w:type="gramStart"/>
      <w:r w:rsidRPr="001B6E4D">
        <w:rPr>
          <w:rFonts w:ascii="標楷體" w:eastAsia="標楷體" w:hAnsi="標楷體"/>
          <w:b/>
          <w:color w:val="000000"/>
          <w:kern w:val="3"/>
          <w:sz w:val="32"/>
          <w:szCs w:val="32"/>
        </w:rPr>
        <w:t>鑑</w:t>
      </w:r>
      <w:proofErr w:type="gramEnd"/>
      <w:r w:rsidRPr="001B6E4D">
        <w:rPr>
          <w:rFonts w:ascii="標楷體" w:eastAsia="標楷體" w:hAnsi="標楷體"/>
          <w:b/>
          <w:color w:val="000000"/>
          <w:kern w:val="3"/>
          <w:sz w:val="32"/>
          <w:szCs w:val="32"/>
        </w:rPr>
        <w:t>識科學處顏處長成安綜合回復：</w:t>
      </w:r>
    </w:p>
    <w:p w14:paraId="7967DFFF" w14:textId="77777777" w:rsidR="00B921E8" w:rsidRPr="001B6E4D" w:rsidRDefault="00B921E8" w:rsidP="003D1018">
      <w:pPr>
        <w:widowControl w:val="0"/>
        <w:numPr>
          <w:ilvl w:val="0"/>
          <w:numId w:val="85"/>
        </w:numPr>
        <w:tabs>
          <w:tab w:val="left" w:pos="4680"/>
        </w:tabs>
        <w:suppressAutoHyphens/>
        <w:overflowPunct w:val="0"/>
        <w:autoSpaceDN w:val="0"/>
        <w:snapToGrid w:val="0"/>
        <w:spacing w:line="480" w:lineRule="exact"/>
        <w:ind w:left="1418" w:hanging="992"/>
        <w:jc w:val="both"/>
        <w:textAlignment w:val="baseline"/>
        <w:rPr>
          <w:rFonts w:ascii="標楷體" w:eastAsia="標楷體" w:hAnsi="標楷體"/>
          <w:color w:val="000000"/>
          <w:kern w:val="3"/>
          <w:sz w:val="32"/>
          <w:szCs w:val="32"/>
        </w:rPr>
      </w:pPr>
      <w:proofErr w:type="gramStart"/>
      <w:r w:rsidRPr="001B6E4D">
        <w:rPr>
          <w:rFonts w:ascii="標楷體" w:eastAsia="標楷體" w:hAnsi="標楷體"/>
          <w:color w:val="000000"/>
          <w:kern w:val="3"/>
          <w:sz w:val="32"/>
          <w:szCs w:val="32"/>
        </w:rPr>
        <w:t>採</w:t>
      </w:r>
      <w:proofErr w:type="gramEnd"/>
      <w:r w:rsidRPr="001B6E4D">
        <w:rPr>
          <w:rFonts w:ascii="標楷體" w:eastAsia="標楷體" w:hAnsi="標楷體"/>
          <w:color w:val="000000"/>
          <w:kern w:val="3"/>
          <w:sz w:val="32"/>
          <w:szCs w:val="32"/>
        </w:rPr>
        <w:t>證規範與源頭控管：本局實驗室標準作業程序（SOP），已將現場</w:t>
      </w:r>
      <w:proofErr w:type="gramStart"/>
      <w:r w:rsidRPr="001B6E4D">
        <w:rPr>
          <w:rFonts w:ascii="標楷體" w:eastAsia="標楷體" w:hAnsi="標楷體"/>
          <w:color w:val="000000"/>
          <w:kern w:val="3"/>
          <w:sz w:val="32"/>
          <w:szCs w:val="32"/>
        </w:rPr>
        <w:t>採</w:t>
      </w:r>
      <w:proofErr w:type="gramEnd"/>
      <w:r w:rsidRPr="001B6E4D">
        <w:rPr>
          <w:rFonts w:ascii="標楷體" w:eastAsia="標楷體" w:hAnsi="標楷體"/>
          <w:color w:val="000000"/>
          <w:kern w:val="3"/>
          <w:sz w:val="32"/>
          <w:szCs w:val="32"/>
        </w:rPr>
        <w:t>證納入核心準則。第一線</w:t>
      </w:r>
      <w:proofErr w:type="gramStart"/>
      <w:r w:rsidRPr="001B6E4D">
        <w:rPr>
          <w:rFonts w:ascii="標楷體" w:eastAsia="標楷體" w:hAnsi="標楷體"/>
          <w:color w:val="000000"/>
          <w:kern w:val="3"/>
          <w:sz w:val="32"/>
          <w:szCs w:val="32"/>
        </w:rPr>
        <w:t>採</w:t>
      </w:r>
      <w:proofErr w:type="gramEnd"/>
      <w:r w:rsidRPr="001B6E4D">
        <w:rPr>
          <w:rFonts w:ascii="標楷體" w:eastAsia="標楷體" w:hAnsi="標楷體"/>
          <w:color w:val="000000"/>
          <w:kern w:val="3"/>
          <w:sz w:val="32"/>
          <w:szCs w:val="32"/>
        </w:rPr>
        <w:t>證完整性，直接決定後續鑑定之精</w:t>
      </w:r>
      <w:proofErr w:type="gramStart"/>
      <w:r w:rsidRPr="001B6E4D">
        <w:rPr>
          <w:rFonts w:ascii="標楷體" w:eastAsia="標楷體" w:hAnsi="標楷體"/>
          <w:color w:val="000000"/>
          <w:kern w:val="3"/>
          <w:sz w:val="32"/>
          <w:szCs w:val="32"/>
        </w:rPr>
        <w:t>準</w:t>
      </w:r>
      <w:proofErr w:type="gramEnd"/>
      <w:r w:rsidRPr="001B6E4D">
        <w:rPr>
          <w:rFonts w:ascii="標楷體" w:eastAsia="標楷體" w:hAnsi="標楷體"/>
          <w:color w:val="000000"/>
          <w:kern w:val="3"/>
          <w:sz w:val="32"/>
          <w:szCs w:val="32"/>
        </w:rPr>
        <w:t>度，因此本局嚴格要求辦案同仁必須澈底維持現場完整，避免檢體遭受污染，從源頭杜絕鑑定發生錯誤情事。</w:t>
      </w:r>
    </w:p>
    <w:p w14:paraId="210927B5" w14:textId="77777777" w:rsidR="00B921E8" w:rsidRPr="001B6E4D" w:rsidRDefault="00B921E8" w:rsidP="003D1018">
      <w:pPr>
        <w:widowControl w:val="0"/>
        <w:numPr>
          <w:ilvl w:val="0"/>
          <w:numId w:val="85"/>
        </w:numPr>
        <w:tabs>
          <w:tab w:val="left" w:pos="4680"/>
        </w:tabs>
        <w:suppressAutoHyphens/>
        <w:overflowPunct w:val="0"/>
        <w:autoSpaceDN w:val="0"/>
        <w:snapToGrid w:val="0"/>
        <w:spacing w:line="480" w:lineRule="exact"/>
        <w:ind w:left="1418" w:hanging="992"/>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測謊定位：本局向來尊重學界見解、司法實務及立法院修法方向。對於本局測謊同仁專業能力，係</w:t>
      </w:r>
      <w:proofErr w:type="gramStart"/>
      <w:r w:rsidRPr="001B6E4D">
        <w:rPr>
          <w:rFonts w:ascii="標楷體" w:eastAsia="標楷體" w:hAnsi="標楷體"/>
          <w:color w:val="000000"/>
          <w:kern w:val="3"/>
          <w:sz w:val="32"/>
          <w:szCs w:val="32"/>
        </w:rPr>
        <w:t>採</w:t>
      </w:r>
      <w:proofErr w:type="gramEnd"/>
      <w:r w:rsidRPr="001B6E4D">
        <w:rPr>
          <w:rFonts w:ascii="標楷體" w:eastAsia="標楷體" w:hAnsi="標楷體"/>
          <w:color w:val="000000"/>
          <w:kern w:val="3"/>
          <w:sz w:val="32"/>
          <w:szCs w:val="32"/>
        </w:rPr>
        <w:t>高標準要求，同仁須通過專業證照與能力測試，始能進行測謊工作。至於測謊報告提交後，充分尊重院檢對其心證形成之裁量。</w:t>
      </w:r>
    </w:p>
    <w:p w14:paraId="77451E25" w14:textId="77777777" w:rsidR="00B921E8" w:rsidRPr="001B6E4D" w:rsidRDefault="00B921E8" w:rsidP="003D1018">
      <w:pPr>
        <w:widowControl w:val="0"/>
        <w:numPr>
          <w:ilvl w:val="0"/>
          <w:numId w:val="85"/>
        </w:numPr>
        <w:tabs>
          <w:tab w:val="left" w:pos="4680"/>
        </w:tabs>
        <w:suppressAutoHyphens/>
        <w:overflowPunct w:val="0"/>
        <w:autoSpaceDN w:val="0"/>
        <w:snapToGrid w:val="0"/>
        <w:spacing w:line="480" w:lineRule="exact"/>
        <w:ind w:left="1418" w:hanging="992"/>
        <w:jc w:val="both"/>
        <w:textAlignment w:val="baseline"/>
        <w:rPr>
          <w:rFonts w:ascii="標楷體" w:eastAsia="標楷體" w:hAnsi="標楷體"/>
          <w:color w:val="000000"/>
          <w:kern w:val="3"/>
          <w:sz w:val="32"/>
          <w:szCs w:val="32"/>
        </w:rPr>
      </w:pP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識人員素養：本局招考人員雖有區分一般與專業類組，惟學員錄取後，</w:t>
      </w:r>
      <w:proofErr w:type="gramStart"/>
      <w:r w:rsidRPr="001B6E4D">
        <w:rPr>
          <w:rFonts w:ascii="標楷體" w:eastAsia="標楷體" w:hAnsi="標楷體"/>
          <w:color w:val="000000"/>
          <w:kern w:val="3"/>
          <w:sz w:val="32"/>
          <w:szCs w:val="32"/>
        </w:rPr>
        <w:t>均須接受</w:t>
      </w:r>
      <w:proofErr w:type="gramEnd"/>
      <w:r w:rsidRPr="001B6E4D">
        <w:rPr>
          <w:rFonts w:ascii="標楷體" w:eastAsia="標楷體" w:hAnsi="標楷體"/>
          <w:color w:val="000000"/>
          <w:kern w:val="3"/>
          <w:sz w:val="32"/>
          <w:szCs w:val="32"/>
        </w:rPr>
        <w:t>為期一年之調查班通才養成教育，包含法律及實務訓練，以確保同仁具備全面執行工作能力及辦案思維。</w:t>
      </w:r>
    </w:p>
    <w:p w14:paraId="31A27804" w14:textId="77777777" w:rsidR="00B921E8" w:rsidRPr="001B6E4D" w:rsidRDefault="00B921E8" w:rsidP="003D1018">
      <w:pPr>
        <w:widowControl w:val="0"/>
        <w:numPr>
          <w:ilvl w:val="0"/>
          <w:numId w:val="85"/>
        </w:numPr>
        <w:tabs>
          <w:tab w:val="left" w:pos="4680"/>
        </w:tabs>
        <w:suppressAutoHyphens/>
        <w:overflowPunct w:val="0"/>
        <w:autoSpaceDN w:val="0"/>
        <w:snapToGrid w:val="0"/>
        <w:spacing w:line="480" w:lineRule="exact"/>
        <w:ind w:left="1418" w:hanging="992"/>
        <w:jc w:val="both"/>
        <w:textAlignment w:val="baseline"/>
        <w:rPr>
          <w:rFonts w:ascii="標楷體" w:eastAsia="標楷體" w:hAnsi="標楷體"/>
          <w:color w:val="000000"/>
          <w:kern w:val="3"/>
          <w:sz w:val="32"/>
          <w:szCs w:val="32"/>
        </w:rPr>
      </w:pP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識體制多元化：現行我國三大國家級</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識實驗室並存，如：調查局、刑事</w:t>
      </w:r>
      <w:r w:rsidRPr="001B6E4D">
        <w:rPr>
          <w:rFonts w:ascii="標楷體" w:eastAsia="標楷體" w:hAnsi="標楷體" w:hint="eastAsia"/>
          <w:color w:val="000000"/>
          <w:kern w:val="3"/>
          <w:sz w:val="32"/>
          <w:szCs w:val="32"/>
        </w:rPr>
        <w:t>警察</w:t>
      </w:r>
      <w:r w:rsidRPr="001B6E4D">
        <w:rPr>
          <w:rFonts w:ascii="標楷體" w:eastAsia="標楷體" w:hAnsi="標楷體"/>
          <w:color w:val="000000"/>
          <w:kern w:val="3"/>
          <w:sz w:val="32"/>
          <w:szCs w:val="32"/>
        </w:rPr>
        <w:t>局及法醫</w:t>
      </w:r>
      <w:r w:rsidRPr="001B6E4D">
        <w:rPr>
          <w:rFonts w:ascii="標楷體" w:eastAsia="標楷體" w:hAnsi="標楷體" w:hint="eastAsia"/>
          <w:color w:val="000000"/>
          <w:kern w:val="3"/>
          <w:sz w:val="32"/>
          <w:szCs w:val="32"/>
        </w:rPr>
        <w:t>研究</w:t>
      </w:r>
      <w:r w:rsidRPr="001B6E4D">
        <w:rPr>
          <w:rFonts w:ascii="標楷體" w:eastAsia="標楷體" w:hAnsi="標楷體"/>
          <w:color w:val="000000"/>
          <w:kern w:val="3"/>
          <w:sz w:val="32"/>
          <w:szCs w:val="32"/>
        </w:rPr>
        <w:t>所，具有實質正面效益。依據TAF（財團法人全國認證基金會）國際認證規範，實驗室必須定期進行「同儕</w:t>
      </w:r>
      <w:r w:rsidRPr="001B6E4D">
        <w:rPr>
          <w:rFonts w:ascii="標楷體" w:eastAsia="標楷體" w:hAnsi="標楷體"/>
          <w:color w:val="000000"/>
          <w:kern w:val="3"/>
          <w:sz w:val="32"/>
          <w:szCs w:val="32"/>
        </w:rPr>
        <w:lastRenderedPageBreak/>
        <w:t>比對」（盲測機制）。倘若我國改為單一</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識機構，將失去此項確保公信力</w:t>
      </w:r>
      <w:proofErr w:type="gramStart"/>
      <w:r w:rsidRPr="001B6E4D">
        <w:rPr>
          <w:rFonts w:ascii="標楷體" w:eastAsia="標楷體" w:hAnsi="標楷體"/>
          <w:color w:val="000000"/>
          <w:kern w:val="3"/>
          <w:sz w:val="32"/>
          <w:szCs w:val="32"/>
        </w:rPr>
        <w:t>之互檢機制</w:t>
      </w:r>
      <w:proofErr w:type="gramEnd"/>
      <w:r w:rsidRPr="001B6E4D">
        <w:rPr>
          <w:rFonts w:ascii="標楷體" w:eastAsia="標楷體" w:hAnsi="標楷體"/>
          <w:color w:val="000000"/>
          <w:kern w:val="3"/>
          <w:sz w:val="32"/>
          <w:szCs w:val="32"/>
        </w:rPr>
        <w:t>。另於司法實務上，當院檢對某機關鑑定報告有疑義時，可函請其他</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識機關進行</w:t>
      </w:r>
      <w:proofErr w:type="gramStart"/>
      <w:r w:rsidRPr="001B6E4D">
        <w:rPr>
          <w:rFonts w:ascii="標楷體" w:eastAsia="標楷體" w:hAnsi="標楷體"/>
          <w:color w:val="000000"/>
          <w:kern w:val="3"/>
          <w:sz w:val="32"/>
          <w:szCs w:val="32"/>
        </w:rPr>
        <w:t>複</w:t>
      </w:r>
      <w:proofErr w:type="gramEnd"/>
      <w:r w:rsidRPr="001B6E4D">
        <w:rPr>
          <w:rFonts w:ascii="標楷體" w:eastAsia="標楷體" w:hAnsi="標楷體"/>
          <w:color w:val="000000"/>
          <w:kern w:val="3"/>
          <w:sz w:val="32"/>
          <w:szCs w:val="32"/>
        </w:rPr>
        <w:t>驗，</w:t>
      </w:r>
      <w:r w:rsidRPr="001B6E4D">
        <w:rPr>
          <w:rFonts w:ascii="標楷體" w:eastAsia="標楷體" w:hAnsi="標楷體" w:hint="eastAsia"/>
          <w:color w:val="000000"/>
          <w:kern w:val="3"/>
          <w:sz w:val="32"/>
          <w:szCs w:val="32"/>
        </w:rPr>
        <w:t>藉由</w:t>
      </w:r>
      <w:r w:rsidRPr="001B6E4D">
        <w:rPr>
          <w:rFonts w:ascii="標楷體" w:eastAsia="標楷體" w:hAnsi="標楷體"/>
          <w:color w:val="000000"/>
          <w:kern w:val="3"/>
          <w:sz w:val="32"/>
          <w:szCs w:val="32"/>
        </w:rPr>
        <w:t>雙重確認，</w:t>
      </w:r>
      <w:r w:rsidRPr="001B6E4D">
        <w:rPr>
          <w:rFonts w:ascii="標楷體" w:eastAsia="標楷體" w:hAnsi="標楷體" w:hint="eastAsia"/>
          <w:color w:val="000000"/>
          <w:kern w:val="3"/>
          <w:sz w:val="32"/>
          <w:szCs w:val="32"/>
        </w:rPr>
        <w:t>以確保鑑定結果之正確性</w:t>
      </w:r>
      <w:r w:rsidRPr="001B6E4D">
        <w:rPr>
          <w:rFonts w:ascii="標楷體" w:eastAsia="標楷體" w:hAnsi="標楷體"/>
          <w:color w:val="000000"/>
          <w:kern w:val="3"/>
          <w:sz w:val="32"/>
          <w:szCs w:val="32"/>
        </w:rPr>
        <w:t>。</w:t>
      </w:r>
    </w:p>
    <w:p w14:paraId="40E2ED9F" w14:textId="77777777" w:rsidR="00B921E8" w:rsidRPr="001B6E4D" w:rsidRDefault="00B921E8" w:rsidP="003D1018">
      <w:pPr>
        <w:widowControl w:val="0"/>
        <w:numPr>
          <w:ilvl w:val="0"/>
          <w:numId w:val="85"/>
        </w:numPr>
        <w:tabs>
          <w:tab w:val="left" w:pos="4680"/>
        </w:tabs>
        <w:suppressAutoHyphens/>
        <w:overflowPunct w:val="0"/>
        <w:autoSpaceDN w:val="0"/>
        <w:snapToGrid w:val="0"/>
        <w:spacing w:line="480" w:lineRule="exact"/>
        <w:ind w:left="1418" w:hanging="992"/>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「司法聯盟鏈」應用：本處核心業務為出具專業實驗室鑑定報告，並交付委託單位應用。至於數位證據上鏈相關程序，則由本局偵辦單位第一線同仁依刑事訴訟法相關規定辦理。</w:t>
      </w:r>
    </w:p>
    <w:p w14:paraId="5CC2C121" w14:textId="77777777" w:rsidR="00B921E8" w:rsidRPr="001B6E4D" w:rsidRDefault="00B921E8" w:rsidP="003D1018">
      <w:pPr>
        <w:widowControl w:val="0"/>
        <w:numPr>
          <w:ilvl w:val="0"/>
          <w:numId w:val="85"/>
        </w:numPr>
        <w:tabs>
          <w:tab w:val="left" w:pos="4680"/>
        </w:tabs>
        <w:suppressAutoHyphens/>
        <w:overflowPunct w:val="0"/>
        <w:autoSpaceDN w:val="0"/>
        <w:snapToGrid w:val="0"/>
        <w:spacing w:line="480" w:lineRule="exact"/>
        <w:ind w:left="1417" w:hanging="992"/>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量能提升、人力及預算短缺困境：</w:t>
      </w:r>
    </w:p>
    <w:p w14:paraId="3677FD0F" w14:textId="77777777" w:rsidR="00B921E8" w:rsidRPr="001B6E4D" w:rsidRDefault="00B921E8" w:rsidP="003D1018">
      <w:pPr>
        <w:widowControl w:val="0"/>
        <w:tabs>
          <w:tab w:val="left" w:pos="4680"/>
        </w:tabs>
        <w:suppressAutoHyphens/>
        <w:overflowPunct w:val="0"/>
        <w:autoSpaceDN w:val="0"/>
        <w:snapToGrid w:val="0"/>
        <w:spacing w:line="480" w:lineRule="exact"/>
        <w:ind w:left="1840" w:hanging="422"/>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1、近期新興毒品「依托</w:t>
      </w:r>
      <w:proofErr w:type="gramStart"/>
      <w:r w:rsidRPr="001B6E4D">
        <w:rPr>
          <w:rFonts w:ascii="標楷體" w:eastAsia="標楷體" w:hAnsi="標楷體"/>
          <w:color w:val="000000"/>
          <w:kern w:val="3"/>
          <w:sz w:val="32"/>
          <w:szCs w:val="32"/>
        </w:rPr>
        <w:t>咪</w:t>
      </w:r>
      <w:proofErr w:type="gramEnd"/>
      <w:r w:rsidRPr="001B6E4D">
        <w:rPr>
          <w:rFonts w:ascii="標楷體" w:eastAsia="標楷體" w:hAnsi="標楷體"/>
          <w:color w:val="000000"/>
          <w:kern w:val="3"/>
          <w:sz w:val="32"/>
          <w:szCs w:val="32"/>
        </w:rPr>
        <w:t>酯（Etomidate）」升</w:t>
      </w:r>
      <w:r w:rsidRPr="001B6E4D">
        <w:rPr>
          <w:rFonts w:ascii="標楷體" w:eastAsia="標楷體" w:hAnsi="標楷體" w:hint="eastAsia"/>
          <w:color w:val="000000"/>
          <w:kern w:val="3"/>
          <w:sz w:val="32"/>
          <w:szCs w:val="32"/>
        </w:rPr>
        <w:t>列</w:t>
      </w:r>
      <w:r w:rsidRPr="001B6E4D">
        <w:rPr>
          <w:rFonts w:ascii="標楷體" w:eastAsia="標楷體" w:hAnsi="標楷體"/>
          <w:color w:val="000000"/>
          <w:kern w:val="3"/>
          <w:sz w:val="32"/>
          <w:szCs w:val="32"/>
        </w:rPr>
        <w:t>為一級毒品，臺灣高等檢察署要求三大國家實驗室必須建立「24小時內產出初步檢驗報告」之即時機制，</w:t>
      </w:r>
      <w:r w:rsidRPr="001B6E4D">
        <w:rPr>
          <w:rFonts w:ascii="標楷體" w:eastAsia="標楷體" w:hAnsi="標楷體" w:hint="eastAsia"/>
          <w:color w:val="000000"/>
          <w:kern w:val="3"/>
          <w:sz w:val="32"/>
          <w:szCs w:val="32"/>
        </w:rPr>
        <w:t>以作</w:t>
      </w:r>
      <w:r w:rsidRPr="001B6E4D">
        <w:rPr>
          <w:rFonts w:ascii="標楷體" w:eastAsia="標楷體" w:hAnsi="標楷體"/>
          <w:color w:val="000000"/>
          <w:kern w:val="3"/>
          <w:sz w:val="32"/>
          <w:szCs w:val="32"/>
        </w:rPr>
        <w:t>為檢察官採取強制處分</w:t>
      </w:r>
      <w:r w:rsidRPr="001B6E4D">
        <w:rPr>
          <w:rFonts w:ascii="標楷體" w:eastAsia="標楷體" w:hAnsi="標楷體" w:hint="eastAsia"/>
          <w:color w:val="000000"/>
          <w:kern w:val="3"/>
          <w:sz w:val="32"/>
          <w:szCs w:val="32"/>
        </w:rPr>
        <w:t>之</w:t>
      </w:r>
      <w:r w:rsidRPr="001B6E4D">
        <w:rPr>
          <w:rFonts w:ascii="標楷體" w:eastAsia="標楷體" w:hAnsi="標楷體"/>
          <w:color w:val="000000"/>
          <w:kern w:val="3"/>
          <w:sz w:val="32"/>
          <w:szCs w:val="32"/>
        </w:rPr>
        <w:t>依據，</w:t>
      </w:r>
      <w:r w:rsidRPr="001B6E4D">
        <w:rPr>
          <w:rFonts w:ascii="標楷體" w:eastAsia="標楷體" w:hAnsi="標楷體" w:hint="eastAsia"/>
          <w:color w:val="000000"/>
          <w:kern w:val="3"/>
          <w:sz w:val="32"/>
          <w:szCs w:val="32"/>
        </w:rPr>
        <w:t>惟</w:t>
      </w:r>
      <w:r w:rsidRPr="001B6E4D">
        <w:rPr>
          <w:rFonts w:ascii="標楷體" w:eastAsia="標楷體" w:hAnsi="標楷體"/>
          <w:color w:val="000000"/>
          <w:kern w:val="3"/>
          <w:sz w:val="32"/>
          <w:szCs w:val="32"/>
        </w:rPr>
        <w:t>本處目前</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識專業人力嚴重不足</w:t>
      </w:r>
      <w:r w:rsidRPr="001B6E4D">
        <w:rPr>
          <w:rFonts w:ascii="標楷體" w:eastAsia="標楷體" w:hAnsi="標楷體" w:hint="eastAsia"/>
          <w:color w:val="000000"/>
          <w:kern w:val="3"/>
          <w:sz w:val="32"/>
          <w:szCs w:val="32"/>
        </w:rPr>
        <w:t>，</w:t>
      </w:r>
      <w:r w:rsidRPr="001B6E4D">
        <w:rPr>
          <w:rFonts w:ascii="標楷體" w:eastAsia="標楷體" w:hAnsi="標楷體"/>
          <w:color w:val="000000"/>
          <w:kern w:val="3"/>
          <w:sz w:val="32"/>
          <w:szCs w:val="32"/>
        </w:rPr>
        <w:t>本局除將持續向行政院爭取擴編9名建制員額</w:t>
      </w:r>
      <w:r w:rsidRPr="001B6E4D">
        <w:rPr>
          <w:rFonts w:ascii="標楷體" w:eastAsia="標楷體" w:hAnsi="標楷體" w:hint="eastAsia"/>
          <w:color w:val="000000"/>
          <w:kern w:val="3"/>
          <w:sz w:val="32"/>
          <w:szCs w:val="32"/>
        </w:rPr>
        <w:t>外</w:t>
      </w:r>
      <w:r w:rsidRPr="001B6E4D">
        <w:rPr>
          <w:rFonts w:ascii="標楷體" w:eastAsia="標楷體" w:hAnsi="標楷體"/>
          <w:color w:val="000000"/>
          <w:kern w:val="3"/>
          <w:sz w:val="32"/>
          <w:szCs w:val="32"/>
        </w:rPr>
        <w:t>，同時透過反毒2.0計畫，</w:t>
      </w:r>
      <w:r w:rsidRPr="001B6E4D">
        <w:rPr>
          <w:rFonts w:ascii="標楷體" w:eastAsia="標楷體" w:hAnsi="標楷體" w:hint="eastAsia"/>
          <w:color w:val="000000"/>
          <w:kern w:val="3"/>
          <w:sz w:val="32"/>
          <w:szCs w:val="32"/>
        </w:rPr>
        <w:t>委外</w:t>
      </w:r>
      <w:r w:rsidRPr="001B6E4D">
        <w:rPr>
          <w:rFonts w:ascii="標楷體" w:eastAsia="標楷體" w:hAnsi="標楷體"/>
          <w:color w:val="000000"/>
          <w:kern w:val="3"/>
          <w:sz w:val="32"/>
          <w:szCs w:val="32"/>
        </w:rPr>
        <w:t>部分約聘人</w:t>
      </w:r>
      <w:r w:rsidRPr="001B6E4D">
        <w:rPr>
          <w:rFonts w:ascii="標楷體" w:eastAsia="標楷體" w:hAnsi="標楷體" w:hint="eastAsia"/>
          <w:color w:val="000000"/>
          <w:kern w:val="3"/>
          <w:sz w:val="32"/>
          <w:szCs w:val="32"/>
        </w:rPr>
        <w:t>員</w:t>
      </w:r>
      <w:r w:rsidRPr="001B6E4D">
        <w:rPr>
          <w:rFonts w:ascii="標楷體" w:eastAsia="標楷體" w:hAnsi="標楷體"/>
          <w:color w:val="000000"/>
          <w:kern w:val="3"/>
          <w:sz w:val="32"/>
          <w:szCs w:val="32"/>
        </w:rPr>
        <w:t>協助尿液檢驗，暫時緩解正職人力嚴重短缺困境。</w:t>
      </w:r>
    </w:p>
    <w:p w14:paraId="3433FBC5" w14:textId="77777777" w:rsidR="00B921E8" w:rsidRPr="001B6E4D" w:rsidRDefault="00B921E8" w:rsidP="003D1018">
      <w:pPr>
        <w:widowControl w:val="0"/>
        <w:tabs>
          <w:tab w:val="left" w:pos="4680"/>
        </w:tabs>
        <w:suppressAutoHyphens/>
        <w:overflowPunct w:val="0"/>
        <w:autoSpaceDN w:val="0"/>
        <w:snapToGrid w:val="0"/>
        <w:spacing w:line="480" w:lineRule="exact"/>
        <w:ind w:left="1840" w:hanging="422"/>
        <w:jc w:val="both"/>
        <w:textAlignment w:val="baseline"/>
        <w:rPr>
          <w:rFonts w:ascii="標楷體" w:eastAsia="標楷體" w:hAnsi="標楷體"/>
          <w:kern w:val="3"/>
          <w:szCs w:val="22"/>
        </w:rPr>
      </w:pPr>
      <w:r w:rsidRPr="001B6E4D">
        <w:rPr>
          <w:rFonts w:ascii="標楷體" w:eastAsia="標楷體" w:hAnsi="標楷體"/>
          <w:color w:val="000000"/>
          <w:kern w:val="3"/>
          <w:sz w:val="32"/>
          <w:szCs w:val="32"/>
        </w:rPr>
        <w:t>2、目前執行112至115年的四年中程計畫即將結束，</w:t>
      </w:r>
      <w:r w:rsidRPr="001B6E4D">
        <w:rPr>
          <w:rFonts w:ascii="標楷體" w:eastAsia="標楷體" w:hAnsi="標楷體" w:hint="eastAsia"/>
          <w:color w:val="000000"/>
          <w:kern w:val="3"/>
          <w:sz w:val="32"/>
          <w:szCs w:val="32"/>
        </w:rPr>
        <w:t>未來持續配合政策需求，提出相關計畫及預算，積極</w:t>
      </w:r>
      <w:r w:rsidRPr="001B6E4D">
        <w:rPr>
          <w:rFonts w:ascii="標楷體" w:eastAsia="標楷體" w:hAnsi="標楷體"/>
          <w:color w:val="000000"/>
          <w:kern w:val="3"/>
          <w:sz w:val="32"/>
          <w:szCs w:val="32"/>
        </w:rPr>
        <w:t>向國家科學技術委員會申請116至117年的二年期科技型研究計畫預算，將持續進行科技研發工作，例如：本局於本年4月成功開發第四級毒品「</w:t>
      </w:r>
      <w:proofErr w:type="gramStart"/>
      <w:r w:rsidRPr="001B6E4D">
        <w:rPr>
          <w:rFonts w:ascii="標楷體" w:eastAsia="標楷體" w:hAnsi="標楷體"/>
          <w:color w:val="000000"/>
          <w:kern w:val="3"/>
          <w:sz w:val="32"/>
          <w:szCs w:val="32"/>
        </w:rPr>
        <w:t>西布曲明」快篩試劑</w:t>
      </w:r>
      <w:proofErr w:type="gramEnd"/>
      <w:r w:rsidRPr="001B6E4D">
        <w:rPr>
          <w:rFonts w:ascii="標楷體" w:eastAsia="標楷體" w:hAnsi="標楷體"/>
          <w:color w:val="000000"/>
          <w:kern w:val="3"/>
          <w:sz w:val="32"/>
          <w:szCs w:val="32"/>
        </w:rPr>
        <w:t>，未來若能配發</w:t>
      </w:r>
      <w:r w:rsidRPr="001B6E4D">
        <w:rPr>
          <w:rFonts w:ascii="標楷體" w:eastAsia="標楷體" w:hAnsi="標楷體" w:hint="eastAsia"/>
          <w:color w:val="000000"/>
          <w:kern w:val="3"/>
          <w:sz w:val="32"/>
          <w:szCs w:val="32"/>
        </w:rPr>
        <w:t>予</w:t>
      </w:r>
      <w:r w:rsidRPr="001B6E4D">
        <w:rPr>
          <w:rFonts w:ascii="標楷體" w:eastAsia="標楷體" w:hAnsi="標楷體"/>
          <w:color w:val="000000"/>
          <w:kern w:val="3"/>
          <w:sz w:val="32"/>
          <w:szCs w:val="32"/>
        </w:rPr>
        <w:t>海關等第一線執法人員</w:t>
      </w:r>
      <w:r w:rsidRPr="001B6E4D">
        <w:rPr>
          <w:rFonts w:ascii="標楷體" w:eastAsia="標楷體" w:hAnsi="標楷體" w:hint="eastAsia"/>
          <w:color w:val="000000"/>
          <w:kern w:val="3"/>
          <w:sz w:val="32"/>
          <w:szCs w:val="32"/>
        </w:rPr>
        <w:t>運用</w:t>
      </w:r>
      <w:r w:rsidRPr="001B6E4D">
        <w:rPr>
          <w:rFonts w:ascii="標楷體" w:eastAsia="標楷體" w:hAnsi="標楷體"/>
          <w:color w:val="000000"/>
          <w:kern w:val="3"/>
          <w:sz w:val="32"/>
          <w:szCs w:val="32"/>
        </w:rPr>
        <w:t>，應可達成即時檢驗及攔截毒品於關外之目標。以上本局預算，</w:t>
      </w:r>
      <w:proofErr w:type="gramStart"/>
      <w:r w:rsidRPr="001B6E4D">
        <w:rPr>
          <w:rFonts w:ascii="標楷體" w:eastAsia="標楷體" w:hAnsi="標楷體"/>
          <w:color w:val="000000"/>
          <w:kern w:val="3"/>
          <w:sz w:val="32"/>
          <w:szCs w:val="32"/>
        </w:rPr>
        <w:t>均建請</w:t>
      </w:r>
      <w:proofErr w:type="gramEnd"/>
      <w:r w:rsidRPr="001B6E4D">
        <w:rPr>
          <w:rFonts w:ascii="標楷體" w:eastAsia="標楷體" w:hAnsi="標楷體"/>
          <w:color w:val="000000"/>
          <w:kern w:val="3"/>
          <w:sz w:val="32"/>
          <w:szCs w:val="32"/>
        </w:rPr>
        <w:t>各位委員未來審查時，給予大力支持。</w:t>
      </w:r>
    </w:p>
    <w:p w14:paraId="494E8DCE" w14:textId="77777777" w:rsidR="00B921E8" w:rsidRPr="001B6E4D" w:rsidRDefault="00B921E8" w:rsidP="003D1018">
      <w:pPr>
        <w:widowControl w:val="0"/>
        <w:numPr>
          <w:ilvl w:val="0"/>
          <w:numId w:val="82"/>
        </w:numPr>
        <w:suppressAutoHyphens/>
        <w:overflowPunct w:val="0"/>
        <w:autoSpaceDE w:val="0"/>
        <w:autoSpaceDN w:val="0"/>
        <w:spacing w:before="180" w:line="520" w:lineRule="exact"/>
        <w:ind w:left="1004"/>
        <w:jc w:val="both"/>
        <w:textAlignment w:val="baseline"/>
        <w:rPr>
          <w:rFonts w:ascii="標楷體" w:eastAsia="標楷體" w:hAnsi="標楷體"/>
          <w:kern w:val="3"/>
          <w:szCs w:val="22"/>
        </w:rPr>
      </w:pPr>
      <w:r w:rsidRPr="001B6E4D">
        <w:rPr>
          <w:rFonts w:ascii="標楷體" w:eastAsia="標楷體" w:hAnsi="標楷體"/>
          <w:b/>
          <w:color w:val="000000"/>
          <w:kern w:val="3"/>
          <w:sz w:val="32"/>
          <w:szCs w:val="32"/>
        </w:rPr>
        <w:t>法務部</w:t>
      </w:r>
      <w:proofErr w:type="gramStart"/>
      <w:r w:rsidRPr="001B6E4D">
        <w:rPr>
          <w:rFonts w:ascii="標楷體" w:eastAsia="標楷體" w:hAnsi="標楷體"/>
          <w:b/>
          <w:color w:val="000000"/>
          <w:kern w:val="3"/>
          <w:sz w:val="32"/>
          <w:szCs w:val="32"/>
        </w:rPr>
        <w:t>余</w:t>
      </w:r>
      <w:proofErr w:type="gramEnd"/>
      <w:r w:rsidRPr="001B6E4D">
        <w:rPr>
          <w:rFonts w:ascii="標楷體" w:eastAsia="標楷體" w:hAnsi="標楷體"/>
          <w:b/>
          <w:color w:val="000000"/>
          <w:kern w:val="3"/>
          <w:sz w:val="32"/>
          <w:szCs w:val="32"/>
        </w:rPr>
        <w:t>主任秘書麗貞補充說明：</w:t>
      </w:r>
    </w:p>
    <w:p w14:paraId="65A2FE7C" w14:textId="77777777" w:rsidR="00B921E8" w:rsidRPr="001B6E4D" w:rsidRDefault="00B921E8" w:rsidP="003D1018">
      <w:pPr>
        <w:widowControl w:val="0"/>
        <w:tabs>
          <w:tab w:val="left" w:pos="4680"/>
        </w:tabs>
        <w:suppressAutoHyphens/>
        <w:overflowPunct w:val="0"/>
        <w:autoSpaceDN w:val="0"/>
        <w:snapToGrid w:val="0"/>
        <w:spacing w:line="480" w:lineRule="exact"/>
        <w:ind w:left="991"/>
        <w:jc w:val="both"/>
        <w:textAlignment w:val="baseline"/>
        <w:rPr>
          <w:rFonts w:ascii="標楷體" w:eastAsia="標楷體" w:hAnsi="標楷體"/>
          <w:kern w:val="3"/>
          <w:szCs w:val="22"/>
        </w:rPr>
      </w:pPr>
      <w:r w:rsidRPr="001B6E4D">
        <w:rPr>
          <w:rFonts w:ascii="標楷體" w:eastAsia="標楷體" w:hAnsi="標楷體"/>
          <w:color w:val="000000"/>
          <w:kern w:val="3"/>
          <w:sz w:val="32"/>
          <w:szCs w:val="32"/>
        </w:rPr>
        <w:t xml:space="preserve">    國家級</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識機構與單一體制討論已久，</w:t>
      </w:r>
      <w:r w:rsidRPr="001B6E4D">
        <w:rPr>
          <w:rFonts w:ascii="標楷體" w:eastAsia="標楷體" w:hAnsi="標楷體"/>
          <w:kern w:val="3"/>
          <w:sz w:val="32"/>
          <w:szCs w:val="32"/>
        </w:rPr>
        <w:t>但</w:t>
      </w:r>
      <w:r w:rsidRPr="001B6E4D">
        <w:rPr>
          <w:rFonts w:ascii="標楷體" w:eastAsia="標楷體" w:hAnsi="標楷體"/>
          <w:color w:val="000000"/>
          <w:kern w:val="3"/>
          <w:sz w:val="32"/>
          <w:szCs w:val="32"/>
        </w:rPr>
        <w:t>國內三</w:t>
      </w:r>
      <w:r w:rsidRPr="001B6E4D">
        <w:rPr>
          <w:rFonts w:ascii="標楷體" w:eastAsia="標楷體" w:hAnsi="標楷體"/>
          <w:color w:val="000000"/>
          <w:kern w:val="3"/>
          <w:sz w:val="32"/>
          <w:szCs w:val="32"/>
        </w:rPr>
        <w:lastRenderedPageBreak/>
        <w:t>大國家級實驗室並存現狀，得以維持彼此合作又競爭關係，對於促進司法</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識技術精進實有助益，亦不致於僅有單一機構而影響鑑定公信力情形。</w:t>
      </w:r>
    </w:p>
    <w:p w14:paraId="3909D568" w14:textId="77777777" w:rsidR="00B921E8" w:rsidRPr="001B6E4D" w:rsidRDefault="00B921E8" w:rsidP="003D1018">
      <w:pPr>
        <w:widowControl w:val="0"/>
        <w:numPr>
          <w:ilvl w:val="0"/>
          <w:numId w:val="82"/>
        </w:numPr>
        <w:suppressAutoHyphens/>
        <w:overflowPunct w:val="0"/>
        <w:autoSpaceDE w:val="0"/>
        <w:autoSpaceDN w:val="0"/>
        <w:spacing w:before="180" w:line="520" w:lineRule="exact"/>
        <w:ind w:left="1004"/>
        <w:jc w:val="both"/>
        <w:textAlignment w:val="baseline"/>
        <w:rPr>
          <w:rFonts w:ascii="標楷體" w:eastAsia="標楷體" w:hAnsi="標楷體"/>
          <w:kern w:val="3"/>
          <w:szCs w:val="22"/>
        </w:rPr>
      </w:pPr>
      <w:r w:rsidRPr="001B6E4D">
        <w:rPr>
          <w:rFonts w:ascii="標楷體" w:eastAsia="標楷體" w:hAnsi="標楷體"/>
          <w:b/>
          <w:color w:val="000000"/>
          <w:kern w:val="3"/>
          <w:sz w:val="32"/>
          <w:szCs w:val="32"/>
        </w:rPr>
        <w:t>翁召集委員</w:t>
      </w:r>
      <w:r w:rsidRPr="001B6E4D">
        <w:rPr>
          <w:rFonts w:ascii="標楷體" w:eastAsia="標楷體" w:hAnsi="標楷體" w:cs="標楷體"/>
          <w:b/>
          <w:bCs/>
          <w:kern w:val="3"/>
          <w:sz w:val="32"/>
          <w:szCs w:val="32"/>
          <w:lang w:val="zh-TW"/>
        </w:rPr>
        <w:t>曉玲</w:t>
      </w:r>
      <w:r w:rsidRPr="001B6E4D">
        <w:rPr>
          <w:rFonts w:ascii="標楷體" w:eastAsia="標楷體" w:hAnsi="標楷體"/>
          <w:b/>
          <w:color w:val="000000"/>
          <w:kern w:val="3"/>
          <w:sz w:val="32"/>
          <w:szCs w:val="32"/>
        </w:rPr>
        <w:t>結語：</w:t>
      </w:r>
    </w:p>
    <w:p w14:paraId="494CC202" w14:textId="77777777" w:rsidR="00B921E8" w:rsidRPr="001B6E4D" w:rsidRDefault="00B921E8" w:rsidP="003D1018">
      <w:pPr>
        <w:widowControl w:val="0"/>
        <w:tabs>
          <w:tab w:val="left" w:pos="4680"/>
        </w:tabs>
        <w:suppressAutoHyphens/>
        <w:overflowPunct w:val="0"/>
        <w:autoSpaceDN w:val="0"/>
        <w:snapToGrid w:val="0"/>
        <w:spacing w:line="480" w:lineRule="exact"/>
        <w:ind w:left="991"/>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 xml:space="preserve">    本次考察與座談，針對調查局</w:t>
      </w:r>
      <w:proofErr w:type="gramStart"/>
      <w:r w:rsidRPr="001B6E4D">
        <w:rPr>
          <w:rFonts w:ascii="標楷體" w:eastAsia="標楷體" w:hAnsi="標楷體"/>
          <w:color w:val="000000"/>
          <w:kern w:val="3"/>
          <w:sz w:val="32"/>
          <w:szCs w:val="32"/>
        </w:rPr>
        <w:t>鑑</w:t>
      </w:r>
      <w:proofErr w:type="gramEnd"/>
      <w:r w:rsidRPr="001B6E4D">
        <w:rPr>
          <w:rFonts w:ascii="標楷體" w:eastAsia="標楷體" w:hAnsi="標楷體"/>
          <w:color w:val="000000"/>
          <w:kern w:val="3"/>
          <w:sz w:val="32"/>
          <w:szCs w:val="32"/>
        </w:rPr>
        <w:t>識科學發展方向等核心議題進行深度交流，使與會人員收穫豐碩，再次感謝全體與會委員及同仁之參與。</w:t>
      </w:r>
    </w:p>
    <w:p w14:paraId="20BBAEA8" w14:textId="77777777" w:rsidR="00B921E8" w:rsidRPr="001B6E4D" w:rsidRDefault="00B921E8" w:rsidP="003D1018">
      <w:pPr>
        <w:widowControl w:val="0"/>
        <w:overflowPunct w:val="0"/>
        <w:spacing w:line="520" w:lineRule="exact"/>
        <w:jc w:val="both"/>
        <w:rPr>
          <w:rFonts w:ascii="標楷體" w:eastAsia="標楷體" w:hAnsi="標楷體"/>
          <w:b/>
          <w:color w:val="000000"/>
          <w:kern w:val="3"/>
          <w:sz w:val="32"/>
          <w:szCs w:val="32"/>
        </w:rPr>
      </w:pPr>
      <w:r w:rsidRPr="001B6E4D">
        <w:rPr>
          <w:rFonts w:ascii="標楷體" w:eastAsia="標楷體" w:hAnsi="標楷體"/>
          <w:b/>
          <w:color w:val="000000"/>
          <w:kern w:val="3"/>
          <w:sz w:val="32"/>
          <w:szCs w:val="32"/>
        </w:rPr>
        <w:t>散會（上午11時20分）</w:t>
      </w:r>
    </w:p>
    <w:p w14:paraId="5B281408" w14:textId="77777777" w:rsidR="00B921E8" w:rsidRPr="001B6E4D" w:rsidRDefault="00B921E8" w:rsidP="003D1018">
      <w:pPr>
        <w:overflowPunct w:val="0"/>
        <w:rPr>
          <w:rFonts w:ascii="標楷體" w:eastAsia="標楷體" w:hAnsi="標楷體"/>
          <w:b/>
          <w:color w:val="000000"/>
          <w:kern w:val="3"/>
          <w:sz w:val="32"/>
          <w:szCs w:val="32"/>
        </w:rPr>
      </w:pPr>
      <w:r w:rsidRPr="001B6E4D">
        <w:rPr>
          <w:rFonts w:ascii="標楷體" w:eastAsia="標楷體" w:hAnsi="標楷體"/>
          <w:b/>
          <w:color w:val="000000"/>
          <w:kern w:val="3"/>
          <w:sz w:val="32"/>
          <w:szCs w:val="32"/>
        </w:rPr>
        <w:br w:type="page"/>
      </w:r>
    </w:p>
    <w:p w14:paraId="1ED68C8E" w14:textId="27D7CB84" w:rsidR="00B921E8" w:rsidRPr="001B6E4D" w:rsidRDefault="00B921E8" w:rsidP="003D1018">
      <w:pPr>
        <w:kinsoku w:val="0"/>
        <w:overflowPunct w:val="0"/>
        <w:snapToGrid w:val="0"/>
        <w:spacing w:afterLines="50" w:after="180" w:line="440" w:lineRule="exact"/>
        <w:jc w:val="center"/>
        <w:outlineLvl w:val="4"/>
        <w:rPr>
          <w:rFonts w:ascii="標楷體" w:eastAsia="標楷體" w:hAnsi="標楷體"/>
          <w:b/>
          <w:sz w:val="36"/>
          <w:szCs w:val="20"/>
        </w:rPr>
      </w:pPr>
      <w:r w:rsidRPr="001B6E4D">
        <w:rPr>
          <w:rFonts w:ascii="標楷體" w:eastAsia="標楷體" w:hAnsi="標楷體"/>
          <w:b/>
          <w:sz w:val="36"/>
          <w:szCs w:val="20"/>
        </w:rPr>
        <w:lastRenderedPageBreak/>
        <w:t>立法院司法及法制委員會</w:t>
      </w:r>
      <w:bookmarkStart w:id="581" w:name="考察臺灣臺北地方檢察署贓物庫"/>
      <w:r w:rsidRPr="001B6E4D">
        <w:rPr>
          <w:rFonts w:ascii="標楷體" w:eastAsia="標楷體" w:hAnsi="標楷體"/>
          <w:b/>
          <w:sz w:val="36"/>
          <w:szCs w:val="20"/>
        </w:rPr>
        <w:t>考察</w:t>
      </w:r>
      <w:r w:rsidRPr="001B6E4D">
        <w:rPr>
          <w:rFonts w:ascii="標楷體" w:eastAsia="標楷體" w:hAnsi="標楷體" w:hint="eastAsia"/>
          <w:b/>
          <w:sz w:val="36"/>
          <w:szCs w:val="20"/>
        </w:rPr>
        <w:t>臺灣</w:t>
      </w:r>
      <w:proofErr w:type="gramStart"/>
      <w:r w:rsidRPr="001B6E4D">
        <w:rPr>
          <w:rFonts w:ascii="標楷體" w:eastAsia="標楷體" w:hAnsi="標楷體" w:hint="eastAsia"/>
          <w:b/>
          <w:sz w:val="36"/>
          <w:szCs w:val="20"/>
        </w:rPr>
        <w:t>臺</w:t>
      </w:r>
      <w:proofErr w:type="gramEnd"/>
      <w:r w:rsidRPr="001B6E4D">
        <w:rPr>
          <w:rFonts w:ascii="標楷體" w:eastAsia="標楷體" w:hAnsi="標楷體" w:hint="eastAsia"/>
          <w:b/>
          <w:sz w:val="36"/>
          <w:szCs w:val="20"/>
        </w:rPr>
        <w:t>北地方檢察署贓物庫</w:t>
      </w:r>
      <w:bookmarkEnd w:id="581"/>
      <w:r w:rsidRPr="001B6E4D">
        <w:rPr>
          <w:rFonts w:ascii="標楷體" w:eastAsia="標楷體" w:hAnsi="標楷體"/>
          <w:b/>
          <w:sz w:val="36"/>
          <w:szCs w:val="20"/>
        </w:rPr>
        <w:t>會議紀錄</w:t>
      </w:r>
    </w:p>
    <w:p w14:paraId="27DAE573" w14:textId="77777777" w:rsidR="00B921E8" w:rsidRPr="001B6E4D" w:rsidRDefault="00B921E8" w:rsidP="003D1018">
      <w:pPr>
        <w:widowControl w:val="0"/>
        <w:suppressAutoHyphens/>
        <w:overflowPunct w:val="0"/>
        <w:autoSpaceDE w:val="0"/>
        <w:autoSpaceDN w:val="0"/>
        <w:spacing w:line="520" w:lineRule="exact"/>
        <w:jc w:val="both"/>
        <w:textAlignment w:val="baseline"/>
        <w:rPr>
          <w:rFonts w:ascii="標楷體" w:eastAsia="標楷體" w:hAnsi="標楷體"/>
          <w:kern w:val="3"/>
        </w:rPr>
      </w:pPr>
      <w:r w:rsidRPr="001B6E4D">
        <w:rPr>
          <w:rFonts w:ascii="標楷體" w:eastAsia="標楷體" w:hAnsi="標楷體"/>
          <w:b/>
          <w:color w:val="000000"/>
          <w:kern w:val="3"/>
          <w:sz w:val="32"/>
          <w:szCs w:val="32"/>
        </w:rPr>
        <w:t>開會時間：</w:t>
      </w:r>
      <w:r w:rsidRPr="001B6E4D">
        <w:rPr>
          <w:rFonts w:ascii="標楷體" w:eastAsia="標楷體" w:hAnsi="標楷體"/>
          <w:color w:val="000000"/>
          <w:kern w:val="3"/>
          <w:sz w:val="32"/>
          <w:szCs w:val="32"/>
        </w:rPr>
        <w:t>115年6月29日(星期一)上午9時</w:t>
      </w:r>
      <w:r w:rsidRPr="001B6E4D">
        <w:rPr>
          <w:rFonts w:ascii="標楷體" w:eastAsia="標楷體" w:hAnsi="標楷體" w:hint="eastAsia"/>
          <w:color w:val="000000"/>
          <w:kern w:val="3"/>
          <w:sz w:val="32"/>
          <w:szCs w:val="32"/>
        </w:rPr>
        <w:t>4</w:t>
      </w:r>
      <w:r w:rsidRPr="001B6E4D">
        <w:rPr>
          <w:rFonts w:ascii="標楷體" w:eastAsia="標楷體" w:hAnsi="標楷體"/>
          <w:color w:val="000000"/>
          <w:kern w:val="3"/>
          <w:sz w:val="32"/>
          <w:szCs w:val="32"/>
        </w:rPr>
        <w:t>0分</w:t>
      </w:r>
    </w:p>
    <w:p w14:paraId="13A139A8" w14:textId="77777777" w:rsidR="00B921E8" w:rsidRPr="001B6E4D" w:rsidRDefault="00B921E8" w:rsidP="003D1018">
      <w:pPr>
        <w:widowControl w:val="0"/>
        <w:suppressAutoHyphens/>
        <w:overflowPunct w:val="0"/>
        <w:autoSpaceDE w:val="0"/>
        <w:autoSpaceDN w:val="0"/>
        <w:spacing w:line="520" w:lineRule="exact"/>
        <w:jc w:val="both"/>
        <w:textAlignment w:val="baseline"/>
        <w:rPr>
          <w:rFonts w:ascii="標楷體" w:eastAsia="標楷體" w:hAnsi="標楷體"/>
          <w:kern w:val="3"/>
        </w:rPr>
      </w:pPr>
      <w:r w:rsidRPr="001B6E4D">
        <w:rPr>
          <w:rFonts w:ascii="標楷體" w:eastAsia="標楷體" w:hAnsi="標楷體"/>
          <w:b/>
          <w:color w:val="000000"/>
          <w:kern w:val="3"/>
          <w:sz w:val="32"/>
          <w:szCs w:val="32"/>
        </w:rPr>
        <w:t>開會地點：</w:t>
      </w:r>
      <w:r w:rsidRPr="001B6E4D">
        <w:rPr>
          <w:rFonts w:ascii="標楷體" w:eastAsia="標楷體" w:hAnsi="標楷體" w:hint="eastAsia"/>
          <w:color w:val="000000"/>
          <w:kern w:val="3"/>
          <w:sz w:val="32"/>
          <w:szCs w:val="32"/>
        </w:rPr>
        <w:t>臺灣</w:t>
      </w:r>
      <w:proofErr w:type="gramStart"/>
      <w:r w:rsidRPr="001B6E4D">
        <w:rPr>
          <w:rFonts w:ascii="標楷體" w:eastAsia="標楷體" w:hAnsi="標楷體" w:hint="eastAsia"/>
          <w:color w:val="000000"/>
          <w:kern w:val="3"/>
          <w:sz w:val="32"/>
          <w:szCs w:val="32"/>
        </w:rPr>
        <w:t>臺</w:t>
      </w:r>
      <w:proofErr w:type="gramEnd"/>
      <w:r w:rsidRPr="001B6E4D">
        <w:rPr>
          <w:rFonts w:ascii="標楷體" w:eastAsia="標楷體" w:hAnsi="標楷體" w:hint="eastAsia"/>
          <w:color w:val="000000"/>
          <w:kern w:val="3"/>
          <w:sz w:val="32"/>
          <w:szCs w:val="32"/>
        </w:rPr>
        <w:t>北地方檢察署(下稱北檢)贓物庫大樓</w:t>
      </w:r>
      <w:r w:rsidRPr="001B6E4D">
        <w:rPr>
          <w:rFonts w:ascii="標楷體" w:eastAsia="標楷體" w:hAnsi="標楷體"/>
          <w:color w:val="000000"/>
          <w:kern w:val="3"/>
          <w:sz w:val="32"/>
          <w:szCs w:val="32"/>
        </w:rPr>
        <w:t>1樓</w:t>
      </w:r>
    </w:p>
    <w:p w14:paraId="2B2DA372" w14:textId="77777777" w:rsidR="00B921E8" w:rsidRPr="001B6E4D" w:rsidRDefault="00B921E8" w:rsidP="003D1018">
      <w:pPr>
        <w:widowControl w:val="0"/>
        <w:suppressAutoHyphens/>
        <w:overflowPunct w:val="0"/>
        <w:autoSpaceDE w:val="0"/>
        <w:autoSpaceDN w:val="0"/>
        <w:spacing w:line="520" w:lineRule="exact"/>
        <w:jc w:val="both"/>
        <w:textAlignment w:val="baseline"/>
        <w:rPr>
          <w:rFonts w:ascii="標楷體" w:eastAsia="標楷體" w:hAnsi="標楷體"/>
          <w:kern w:val="3"/>
        </w:rPr>
      </w:pPr>
      <w:r w:rsidRPr="001B6E4D">
        <w:rPr>
          <w:rFonts w:ascii="標楷體" w:eastAsia="標楷體" w:hAnsi="標楷體"/>
          <w:b/>
          <w:color w:val="000000"/>
          <w:kern w:val="3"/>
          <w:sz w:val="32"/>
          <w:szCs w:val="32"/>
        </w:rPr>
        <w:t>主    席：</w:t>
      </w:r>
      <w:r w:rsidRPr="001B6E4D">
        <w:rPr>
          <w:rFonts w:ascii="標楷體" w:eastAsia="標楷體" w:hAnsi="標楷體"/>
          <w:color w:val="000000"/>
          <w:kern w:val="3"/>
          <w:sz w:val="32"/>
          <w:szCs w:val="32"/>
        </w:rPr>
        <w:t>立法院司法及法制委員會</w:t>
      </w:r>
      <w:r w:rsidRPr="001B6E4D">
        <w:rPr>
          <w:rFonts w:ascii="標楷體" w:eastAsia="標楷體" w:hAnsi="標楷體" w:hint="eastAsia"/>
          <w:color w:val="000000"/>
          <w:kern w:val="3"/>
          <w:sz w:val="32"/>
          <w:szCs w:val="32"/>
        </w:rPr>
        <w:t>沈立法</w:t>
      </w:r>
      <w:r w:rsidRPr="001B6E4D">
        <w:rPr>
          <w:rFonts w:ascii="標楷體" w:eastAsia="標楷體" w:hAnsi="標楷體"/>
          <w:color w:val="000000"/>
          <w:kern w:val="3"/>
          <w:sz w:val="32"/>
          <w:szCs w:val="32"/>
        </w:rPr>
        <w:t>委員</w:t>
      </w:r>
      <w:r w:rsidRPr="001B6E4D">
        <w:rPr>
          <w:rFonts w:ascii="標楷體" w:eastAsia="標楷體" w:hAnsi="標楷體" w:hint="eastAsia"/>
          <w:color w:val="000000"/>
          <w:kern w:val="3"/>
          <w:sz w:val="32"/>
          <w:szCs w:val="32"/>
        </w:rPr>
        <w:t>發惠</w:t>
      </w:r>
    </w:p>
    <w:p w14:paraId="10E415D9" w14:textId="77777777" w:rsidR="00B921E8" w:rsidRPr="001B6E4D" w:rsidRDefault="00B921E8" w:rsidP="003D1018">
      <w:pPr>
        <w:widowControl w:val="0"/>
        <w:suppressAutoHyphens/>
        <w:overflowPunct w:val="0"/>
        <w:autoSpaceDE w:val="0"/>
        <w:autoSpaceDN w:val="0"/>
        <w:spacing w:line="520" w:lineRule="exact"/>
        <w:jc w:val="both"/>
        <w:textAlignment w:val="baseline"/>
        <w:rPr>
          <w:rFonts w:ascii="標楷體" w:eastAsia="標楷體" w:hAnsi="標楷體"/>
          <w:kern w:val="3"/>
        </w:rPr>
      </w:pPr>
      <w:r w:rsidRPr="001B6E4D">
        <w:rPr>
          <w:rFonts w:ascii="標楷體" w:eastAsia="標楷體" w:hAnsi="標楷體"/>
          <w:b/>
          <w:color w:val="000000"/>
          <w:kern w:val="3"/>
          <w:sz w:val="32"/>
          <w:szCs w:val="32"/>
        </w:rPr>
        <w:t>出席人員：</w:t>
      </w:r>
      <w:r w:rsidRPr="001B6E4D">
        <w:rPr>
          <w:rFonts w:ascii="標楷體" w:eastAsia="標楷體" w:hAnsi="標楷體"/>
          <w:color w:val="000000"/>
          <w:kern w:val="3"/>
          <w:sz w:val="32"/>
          <w:szCs w:val="32"/>
        </w:rPr>
        <w:t>詳如會議簽到表</w:t>
      </w:r>
    </w:p>
    <w:p w14:paraId="1926D99C" w14:textId="77777777" w:rsidR="00B921E8" w:rsidRPr="001B6E4D" w:rsidRDefault="00B921E8" w:rsidP="003D1018">
      <w:pPr>
        <w:widowControl w:val="0"/>
        <w:suppressAutoHyphens/>
        <w:overflowPunct w:val="0"/>
        <w:autoSpaceDN w:val="0"/>
        <w:snapToGrid w:val="0"/>
        <w:spacing w:after="180" w:line="480" w:lineRule="exact"/>
        <w:ind w:firstLine="320"/>
        <w:jc w:val="right"/>
        <w:textAlignment w:val="baseline"/>
        <w:rPr>
          <w:rFonts w:ascii="標楷體" w:eastAsia="標楷體" w:hAnsi="標楷體"/>
          <w:kern w:val="3"/>
          <w:sz w:val="32"/>
          <w:szCs w:val="32"/>
        </w:rPr>
      </w:pPr>
      <w:r w:rsidRPr="001B6E4D">
        <w:rPr>
          <w:rFonts w:ascii="標楷體" w:eastAsia="標楷體" w:hAnsi="標楷體"/>
          <w:kern w:val="3"/>
          <w:sz w:val="32"/>
          <w:szCs w:val="32"/>
        </w:rPr>
        <w:t>紀錄：</w:t>
      </w:r>
      <w:r w:rsidRPr="001B6E4D">
        <w:rPr>
          <w:rFonts w:ascii="標楷體" w:eastAsia="標楷體" w:hAnsi="標楷體" w:hint="eastAsia"/>
          <w:kern w:val="3"/>
          <w:sz w:val="32"/>
          <w:szCs w:val="32"/>
        </w:rPr>
        <w:t>蔡宜哲</w:t>
      </w:r>
    </w:p>
    <w:p w14:paraId="0276FCDC" w14:textId="77777777" w:rsidR="00B921E8" w:rsidRPr="001B6E4D" w:rsidRDefault="00B921E8" w:rsidP="003D1018">
      <w:pPr>
        <w:widowControl w:val="0"/>
        <w:numPr>
          <w:ilvl w:val="0"/>
          <w:numId w:val="86"/>
        </w:numPr>
        <w:tabs>
          <w:tab w:val="left" w:pos="4680"/>
        </w:tabs>
        <w:suppressAutoHyphens/>
        <w:overflowPunct w:val="0"/>
        <w:autoSpaceDN w:val="0"/>
        <w:snapToGrid w:val="0"/>
        <w:spacing w:before="180" w:after="180" w:line="480" w:lineRule="exact"/>
        <w:jc w:val="both"/>
        <w:textAlignment w:val="baseline"/>
        <w:rPr>
          <w:rFonts w:ascii="標楷體" w:eastAsia="標楷體" w:hAnsi="標楷體"/>
          <w:kern w:val="3"/>
          <w:szCs w:val="22"/>
        </w:rPr>
      </w:pPr>
      <w:r w:rsidRPr="001B6E4D">
        <w:rPr>
          <w:rFonts w:ascii="標楷體" w:eastAsia="標楷體" w:hAnsi="標楷體"/>
          <w:b/>
          <w:bCs/>
          <w:kern w:val="3"/>
          <w:sz w:val="32"/>
          <w:szCs w:val="32"/>
        </w:rPr>
        <w:t>法務部</w:t>
      </w:r>
      <w:r w:rsidRPr="001B6E4D">
        <w:rPr>
          <w:rFonts w:ascii="標楷體" w:eastAsia="標楷體" w:hAnsi="標楷體" w:hint="eastAsia"/>
          <w:b/>
          <w:bCs/>
          <w:kern w:val="3"/>
          <w:sz w:val="32"/>
          <w:szCs w:val="32"/>
        </w:rPr>
        <w:t>黃政務</w:t>
      </w:r>
      <w:proofErr w:type="gramStart"/>
      <w:r w:rsidRPr="001B6E4D">
        <w:rPr>
          <w:rFonts w:ascii="標楷體" w:eastAsia="標楷體" w:hAnsi="標楷體" w:hint="eastAsia"/>
          <w:b/>
          <w:bCs/>
          <w:kern w:val="3"/>
          <w:sz w:val="32"/>
          <w:szCs w:val="32"/>
        </w:rPr>
        <w:t>次長謀信</w:t>
      </w:r>
      <w:r w:rsidRPr="001B6E4D">
        <w:rPr>
          <w:rFonts w:ascii="標楷體" w:eastAsia="標楷體" w:hAnsi="標楷體"/>
          <w:b/>
          <w:bCs/>
          <w:kern w:val="3"/>
          <w:sz w:val="32"/>
          <w:szCs w:val="32"/>
        </w:rPr>
        <w:t>致</w:t>
      </w:r>
      <w:proofErr w:type="gramEnd"/>
      <w:r w:rsidRPr="001B6E4D">
        <w:rPr>
          <w:rFonts w:ascii="標楷體" w:eastAsia="標楷體" w:hAnsi="標楷體"/>
          <w:b/>
          <w:bCs/>
          <w:kern w:val="3"/>
          <w:sz w:val="32"/>
          <w:szCs w:val="32"/>
        </w:rPr>
        <w:t>歡迎詞</w:t>
      </w:r>
      <w:r w:rsidRPr="001B6E4D">
        <w:rPr>
          <w:rFonts w:ascii="標楷體" w:eastAsia="標楷體" w:hAnsi="標楷體" w:cs="標楷體"/>
          <w:b/>
          <w:bCs/>
          <w:kern w:val="3"/>
          <w:sz w:val="32"/>
          <w:szCs w:val="32"/>
          <w:lang w:val="zh-TW"/>
        </w:rPr>
        <w:t>：</w:t>
      </w:r>
    </w:p>
    <w:p w14:paraId="29CF2677" w14:textId="77777777" w:rsidR="00B921E8" w:rsidRPr="001B6E4D" w:rsidRDefault="00B921E8" w:rsidP="003D1018">
      <w:pPr>
        <w:widowControl w:val="0"/>
        <w:suppressAutoHyphens/>
        <w:overflowPunct w:val="0"/>
        <w:autoSpaceDE w:val="0"/>
        <w:autoSpaceDN w:val="0"/>
        <w:snapToGrid w:val="0"/>
        <w:spacing w:line="480" w:lineRule="exact"/>
        <w:ind w:left="708"/>
        <w:jc w:val="both"/>
        <w:textAlignment w:val="baseline"/>
        <w:rPr>
          <w:rFonts w:ascii="標楷體" w:eastAsia="標楷體" w:hAnsi="標楷體"/>
          <w:kern w:val="3"/>
          <w:szCs w:val="22"/>
        </w:rPr>
      </w:pPr>
      <w:r w:rsidRPr="001B6E4D">
        <w:rPr>
          <w:rFonts w:ascii="標楷體" w:eastAsia="標楷體" w:hAnsi="標楷體" w:cs="標楷體"/>
          <w:bCs/>
          <w:kern w:val="3"/>
          <w:sz w:val="32"/>
          <w:szCs w:val="32"/>
        </w:rPr>
        <w:t xml:space="preserve">   </w:t>
      </w:r>
      <w:proofErr w:type="gramStart"/>
      <w:r w:rsidRPr="001B6E4D">
        <w:rPr>
          <w:rFonts w:ascii="標楷體" w:eastAsia="標楷體" w:hAnsi="標楷體" w:cs="標楷體" w:hint="eastAsia"/>
          <w:bCs/>
          <w:kern w:val="3"/>
          <w:sz w:val="32"/>
          <w:szCs w:val="32"/>
        </w:rPr>
        <w:t>贓物庫對檢察官來說是最</w:t>
      </w:r>
      <w:proofErr w:type="gramEnd"/>
      <w:r w:rsidRPr="001B6E4D">
        <w:rPr>
          <w:rFonts w:ascii="標楷體" w:eastAsia="標楷體" w:hAnsi="標楷體" w:cs="標楷體" w:hint="eastAsia"/>
          <w:bCs/>
          <w:kern w:val="3"/>
          <w:sz w:val="32"/>
          <w:szCs w:val="32"/>
        </w:rPr>
        <w:t>重要也最陌生的地方，最重要是因為偵辦案件的證據都是在贓物庫中，最陌生是因為</w:t>
      </w:r>
      <w:proofErr w:type="gramStart"/>
      <w:r w:rsidRPr="001B6E4D">
        <w:rPr>
          <w:rFonts w:ascii="標楷體" w:eastAsia="標楷體" w:hAnsi="標楷體" w:cs="標楷體" w:hint="eastAsia"/>
          <w:bCs/>
          <w:kern w:val="3"/>
          <w:sz w:val="32"/>
          <w:szCs w:val="32"/>
        </w:rPr>
        <w:t>贓物庫由專人</w:t>
      </w:r>
      <w:proofErr w:type="gramEnd"/>
      <w:r w:rsidRPr="001B6E4D">
        <w:rPr>
          <w:rFonts w:ascii="標楷體" w:eastAsia="標楷體" w:hAnsi="標楷體" w:cs="標楷體" w:hint="eastAsia"/>
          <w:bCs/>
          <w:kern w:val="3"/>
          <w:sz w:val="32"/>
          <w:szCs w:val="32"/>
        </w:rPr>
        <w:t>管理，檢察官透過專人調取證物，檢察官不需要親自到</w:t>
      </w:r>
      <w:proofErr w:type="gramStart"/>
      <w:r w:rsidRPr="001B6E4D">
        <w:rPr>
          <w:rFonts w:ascii="標楷體" w:eastAsia="標楷體" w:hAnsi="標楷體" w:cs="標楷體" w:hint="eastAsia"/>
          <w:bCs/>
          <w:kern w:val="3"/>
          <w:sz w:val="32"/>
          <w:szCs w:val="32"/>
        </w:rPr>
        <w:t>贓物庫看贓證</w:t>
      </w:r>
      <w:proofErr w:type="gramEnd"/>
      <w:r w:rsidRPr="001B6E4D">
        <w:rPr>
          <w:rFonts w:ascii="標楷體" w:eastAsia="標楷體" w:hAnsi="標楷體" w:cs="標楷體" w:hint="eastAsia"/>
          <w:bCs/>
          <w:kern w:val="3"/>
          <w:sz w:val="32"/>
          <w:szCs w:val="32"/>
        </w:rPr>
        <w:t>物，也不需要知道贓證物如何保管。</w:t>
      </w:r>
      <w:proofErr w:type="gramStart"/>
      <w:r w:rsidRPr="001B6E4D">
        <w:rPr>
          <w:rFonts w:ascii="標楷體" w:eastAsia="標楷體" w:hAnsi="標楷體" w:cs="標楷體" w:hint="eastAsia"/>
          <w:bCs/>
          <w:kern w:val="3"/>
          <w:sz w:val="32"/>
          <w:szCs w:val="32"/>
        </w:rPr>
        <w:t>北檢又更</w:t>
      </w:r>
      <w:proofErr w:type="gramEnd"/>
      <w:r w:rsidRPr="001B6E4D">
        <w:rPr>
          <w:rFonts w:ascii="標楷體" w:eastAsia="標楷體" w:hAnsi="標楷體" w:cs="標楷體" w:hint="eastAsia"/>
          <w:bCs/>
          <w:kern w:val="3"/>
          <w:sz w:val="32"/>
          <w:szCs w:val="32"/>
        </w:rPr>
        <w:t>特殊，贓物庫與檢察官辦公室不是設置在同一</w:t>
      </w:r>
      <w:proofErr w:type="gramStart"/>
      <w:r w:rsidRPr="001B6E4D">
        <w:rPr>
          <w:rFonts w:ascii="標楷體" w:eastAsia="標楷體" w:hAnsi="標楷體" w:cs="標楷體" w:hint="eastAsia"/>
          <w:bCs/>
          <w:kern w:val="3"/>
          <w:sz w:val="32"/>
          <w:szCs w:val="32"/>
        </w:rPr>
        <w:t>個</w:t>
      </w:r>
      <w:proofErr w:type="gramEnd"/>
      <w:r w:rsidRPr="001B6E4D">
        <w:rPr>
          <w:rFonts w:ascii="標楷體" w:eastAsia="標楷體" w:hAnsi="標楷體" w:cs="標楷體" w:hint="eastAsia"/>
          <w:bCs/>
          <w:kern w:val="3"/>
          <w:sz w:val="32"/>
          <w:szCs w:val="32"/>
        </w:rPr>
        <w:t>地點，因為無法想像將贓物庫設在總統府旁邊，所以一般檢察官多數沒有進過贓物庫，尤其是北檢的檢察官，像我個人在北檢任職的</w:t>
      </w:r>
      <w:proofErr w:type="gramStart"/>
      <w:r w:rsidRPr="001B6E4D">
        <w:rPr>
          <w:rFonts w:ascii="標楷體" w:eastAsia="標楷體" w:hAnsi="標楷體" w:cs="標楷體" w:hint="eastAsia"/>
          <w:bCs/>
          <w:kern w:val="3"/>
          <w:sz w:val="32"/>
          <w:szCs w:val="32"/>
        </w:rPr>
        <w:t>期間，</w:t>
      </w:r>
      <w:proofErr w:type="gramEnd"/>
      <w:r w:rsidRPr="001B6E4D">
        <w:rPr>
          <w:rFonts w:ascii="標楷體" w:eastAsia="標楷體" w:hAnsi="標楷體" w:cs="標楷體" w:hint="eastAsia"/>
          <w:bCs/>
          <w:kern w:val="3"/>
          <w:sz w:val="32"/>
          <w:szCs w:val="32"/>
        </w:rPr>
        <w:t>到贓物庫不到3次，更何況有些檢察官可能從來沒有進過贓物庫。</w:t>
      </w:r>
    </w:p>
    <w:p w14:paraId="0B0372F6" w14:textId="77777777" w:rsidR="00B921E8" w:rsidRPr="001B6E4D" w:rsidRDefault="00B921E8" w:rsidP="003D1018">
      <w:pPr>
        <w:widowControl w:val="0"/>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bCs/>
          <w:kern w:val="3"/>
          <w:sz w:val="32"/>
          <w:szCs w:val="32"/>
          <w:lang w:val="zh-TW"/>
        </w:rPr>
        <w:t xml:space="preserve">    </w:t>
      </w:r>
      <w:r w:rsidRPr="001B6E4D">
        <w:rPr>
          <w:rFonts w:ascii="標楷體" w:eastAsia="標楷體" w:hAnsi="標楷體" w:cs="標楷體" w:hint="eastAsia"/>
          <w:bCs/>
          <w:kern w:val="3"/>
          <w:sz w:val="32"/>
          <w:szCs w:val="32"/>
          <w:lang w:val="zh-TW"/>
        </w:rPr>
        <w:t>北檢贓物庫，除了地點特殊</w:t>
      </w:r>
      <w:proofErr w:type="gramStart"/>
      <w:r w:rsidRPr="001B6E4D">
        <w:rPr>
          <w:rFonts w:ascii="標楷體" w:eastAsia="標楷體" w:hAnsi="標楷體" w:cs="標楷體" w:hint="eastAsia"/>
          <w:bCs/>
          <w:kern w:val="3"/>
          <w:sz w:val="32"/>
          <w:szCs w:val="32"/>
          <w:lang w:val="zh-TW"/>
        </w:rPr>
        <w:t>以外，</w:t>
      </w:r>
      <w:proofErr w:type="gramEnd"/>
      <w:r w:rsidRPr="001B6E4D">
        <w:rPr>
          <w:rFonts w:ascii="標楷體" w:eastAsia="標楷體" w:hAnsi="標楷體" w:cs="標楷體" w:hint="eastAsia"/>
          <w:bCs/>
          <w:kern w:val="3"/>
          <w:sz w:val="32"/>
          <w:szCs w:val="32"/>
          <w:lang w:val="zh-TW"/>
        </w:rPr>
        <w:t>其實軟硬體也是非常艱困的，今天開會的場地是硬擠出來的，這個場地是平常收受司法警察移送</w:t>
      </w:r>
      <w:proofErr w:type="gramStart"/>
      <w:r w:rsidRPr="001B6E4D">
        <w:rPr>
          <w:rFonts w:ascii="標楷體" w:eastAsia="標楷體" w:hAnsi="標楷體" w:cs="標楷體" w:hint="eastAsia"/>
          <w:bCs/>
          <w:kern w:val="3"/>
          <w:sz w:val="32"/>
          <w:szCs w:val="32"/>
          <w:lang w:val="zh-TW"/>
        </w:rPr>
        <w:t>贓證物時使用</w:t>
      </w:r>
      <w:proofErr w:type="gramEnd"/>
      <w:r w:rsidRPr="001B6E4D">
        <w:rPr>
          <w:rFonts w:ascii="標楷體" w:eastAsia="標楷體" w:hAnsi="標楷體" w:cs="標楷體" w:hint="eastAsia"/>
          <w:bCs/>
          <w:kern w:val="3"/>
          <w:sz w:val="32"/>
          <w:szCs w:val="32"/>
          <w:lang w:val="zh-TW"/>
        </w:rPr>
        <w:t>的空間，是贓物庫最體面的地方了，待會參觀庫房，沒有冷氣，可能不會很舒適，也請委員見諒。</w:t>
      </w:r>
    </w:p>
    <w:p w14:paraId="1E5DF5AD" w14:textId="77777777" w:rsidR="00B921E8" w:rsidRPr="001B6E4D" w:rsidRDefault="00B921E8" w:rsidP="003D1018">
      <w:pPr>
        <w:widowControl w:val="0"/>
        <w:suppressAutoHyphens/>
        <w:overflowPunct w:val="0"/>
        <w:autoSpaceDE w:val="0"/>
        <w:autoSpaceDN w:val="0"/>
        <w:snapToGrid w:val="0"/>
        <w:spacing w:line="480" w:lineRule="exact"/>
        <w:ind w:left="708"/>
        <w:jc w:val="both"/>
        <w:textAlignment w:val="baseline"/>
        <w:rPr>
          <w:rFonts w:ascii="標楷體" w:eastAsia="標楷體" w:hAnsi="標楷體"/>
          <w:kern w:val="3"/>
          <w:szCs w:val="22"/>
        </w:rPr>
      </w:pPr>
      <w:r w:rsidRPr="001B6E4D">
        <w:rPr>
          <w:rFonts w:ascii="標楷體" w:eastAsia="標楷體" w:hAnsi="標楷體" w:cs="標楷體" w:hint="eastAsia"/>
          <w:bCs/>
          <w:kern w:val="3"/>
          <w:sz w:val="32"/>
          <w:szCs w:val="32"/>
          <w:lang w:val="zh-TW"/>
        </w:rPr>
        <w:t xml:space="preserve">    最後我也代表北檢歡迎</w:t>
      </w:r>
      <w:r w:rsidRPr="001B6E4D">
        <w:rPr>
          <w:rFonts w:ascii="標楷體" w:eastAsia="標楷體" w:hAnsi="標楷體" w:cs="標楷體"/>
          <w:bCs/>
          <w:kern w:val="3"/>
          <w:sz w:val="32"/>
          <w:szCs w:val="32"/>
          <w:lang w:val="zh-TW"/>
        </w:rPr>
        <w:t>立法院司法及法制委員會</w:t>
      </w:r>
      <w:r w:rsidRPr="001B6E4D">
        <w:rPr>
          <w:rFonts w:ascii="標楷體" w:eastAsia="標楷體" w:hAnsi="標楷體" w:cs="標楷體" w:hint="eastAsia"/>
          <w:bCs/>
          <w:kern w:val="3"/>
          <w:sz w:val="32"/>
          <w:szCs w:val="32"/>
          <w:lang w:val="zh-TW"/>
        </w:rPr>
        <w:t xml:space="preserve">的2位委員及辦公室助理來北檢贓物庫考察。    </w:t>
      </w:r>
    </w:p>
    <w:p w14:paraId="15A6AB11" w14:textId="77777777" w:rsidR="00B921E8" w:rsidRPr="001B6E4D" w:rsidRDefault="00B921E8" w:rsidP="003D1018">
      <w:pPr>
        <w:widowControl w:val="0"/>
        <w:numPr>
          <w:ilvl w:val="0"/>
          <w:numId w:val="86"/>
        </w:numPr>
        <w:tabs>
          <w:tab w:val="left" w:pos="4680"/>
        </w:tabs>
        <w:suppressAutoHyphens/>
        <w:overflowPunct w:val="0"/>
        <w:autoSpaceDN w:val="0"/>
        <w:snapToGrid w:val="0"/>
        <w:spacing w:before="180" w:after="180" w:line="480" w:lineRule="exact"/>
        <w:jc w:val="both"/>
        <w:textAlignment w:val="baseline"/>
        <w:rPr>
          <w:rFonts w:ascii="標楷體" w:eastAsia="標楷體" w:hAnsi="標楷體"/>
          <w:kern w:val="3"/>
          <w:szCs w:val="22"/>
        </w:rPr>
      </w:pPr>
      <w:r w:rsidRPr="001B6E4D">
        <w:rPr>
          <w:rFonts w:ascii="標楷體" w:eastAsia="標楷體" w:hAnsi="標楷體" w:cs="標楷體"/>
          <w:b/>
          <w:bCs/>
          <w:kern w:val="3"/>
          <w:sz w:val="32"/>
          <w:szCs w:val="32"/>
          <w:lang w:val="zh-TW"/>
        </w:rPr>
        <w:t>立法院</w:t>
      </w:r>
      <w:r w:rsidRPr="001B6E4D">
        <w:rPr>
          <w:rFonts w:ascii="標楷體" w:eastAsia="標楷體" w:hAnsi="標楷體" w:cs="標楷體" w:hint="eastAsia"/>
          <w:b/>
          <w:bCs/>
          <w:kern w:val="3"/>
          <w:sz w:val="32"/>
          <w:szCs w:val="32"/>
          <w:lang w:val="zh-TW"/>
        </w:rPr>
        <w:t>沈立法</w:t>
      </w:r>
      <w:r w:rsidRPr="001B6E4D">
        <w:rPr>
          <w:rFonts w:ascii="標楷體" w:eastAsia="標楷體" w:hAnsi="標楷體" w:cs="標楷體"/>
          <w:b/>
          <w:bCs/>
          <w:kern w:val="3"/>
          <w:sz w:val="32"/>
          <w:szCs w:val="32"/>
          <w:lang w:val="zh-TW"/>
        </w:rPr>
        <w:t>委員</w:t>
      </w:r>
      <w:r w:rsidRPr="001B6E4D">
        <w:rPr>
          <w:rFonts w:ascii="標楷體" w:eastAsia="標楷體" w:hAnsi="標楷體" w:cs="標楷體" w:hint="eastAsia"/>
          <w:b/>
          <w:bCs/>
          <w:kern w:val="3"/>
          <w:sz w:val="32"/>
          <w:szCs w:val="32"/>
          <w:lang w:val="zh-TW"/>
        </w:rPr>
        <w:t>發惠</w:t>
      </w:r>
      <w:r w:rsidRPr="001B6E4D">
        <w:rPr>
          <w:rFonts w:ascii="標楷體" w:eastAsia="標楷體" w:hAnsi="標楷體" w:cs="標楷體"/>
          <w:b/>
          <w:bCs/>
          <w:kern w:val="3"/>
          <w:sz w:val="32"/>
          <w:szCs w:val="32"/>
          <w:lang w:val="zh-TW"/>
        </w:rPr>
        <w:t>致詞：</w:t>
      </w:r>
    </w:p>
    <w:p w14:paraId="35FD6E03" w14:textId="77777777" w:rsidR="00B921E8" w:rsidRPr="001B6E4D" w:rsidRDefault="00B921E8" w:rsidP="003D1018">
      <w:pPr>
        <w:widowControl w:val="0"/>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bCs/>
          <w:kern w:val="3"/>
          <w:sz w:val="32"/>
          <w:szCs w:val="32"/>
          <w:lang w:val="zh-TW"/>
        </w:rPr>
        <w:t xml:space="preserve">    立法院司法及法制委員會</w:t>
      </w:r>
      <w:r w:rsidRPr="001B6E4D">
        <w:rPr>
          <w:rFonts w:ascii="標楷體" w:eastAsia="標楷體" w:hAnsi="標楷體" w:cs="標楷體" w:hint="eastAsia"/>
          <w:bCs/>
          <w:kern w:val="3"/>
          <w:sz w:val="32"/>
          <w:szCs w:val="32"/>
          <w:lang w:val="zh-TW"/>
        </w:rPr>
        <w:t>從過去到現在，一直對檢察機關如何保管贓證物非常關心，從預算審查中也發現</w:t>
      </w:r>
      <w:r w:rsidRPr="001B6E4D">
        <w:rPr>
          <w:rFonts w:ascii="標楷體" w:eastAsia="標楷體" w:hAnsi="標楷體" w:cs="標楷體" w:hint="eastAsia"/>
          <w:bCs/>
          <w:kern w:val="3"/>
          <w:sz w:val="32"/>
          <w:szCs w:val="32"/>
          <w:lang w:val="zh-TW"/>
        </w:rPr>
        <w:lastRenderedPageBreak/>
        <w:t>了1</w:t>
      </w:r>
      <w:r w:rsidRPr="001B6E4D">
        <w:rPr>
          <w:rFonts w:ascii="標楷體" w:eastAsia="標楷體" w:hAnsi="標楷體" w:cs="標楷體"/>
          <w:bCs/>
          <w:kern w:val="3"/>
          <w:sz w:val="32"/>
          <w:szCs w:val="32"/>
          <w:lang w:val="zh-TW"/>
        </w:rPr>
        <w:t>13</w:t>
      </w:r>
      <w:r w:rsidRPr="001B6E4D">
        <w:rPr>
          <w:rFonts w:ascii="標楷體" w:eastAsia="標楷體" w:hAnsi="標楷體" w:cs="標楷體" w:hint="eastAsia"/>
          <w:bCs/>
          <w:kern w:val="3"/>
          <w:sz w:val="32"/>
          <w:szCs w:val="32"/>
          <w:lang w:val="zh-TW"/>
        </w:rPr>
        <w:t>年有編列智能庫房預算，所以想要來了解智能庫房的運作。另外對於贓證物從查扣、點交、入庫、送驗、發還、沒收、拍賣、銷</w:t>
      </w:r>
      <w:proofErr w:type="gramStart"/>
      <w:r w:rsidRPr="001B6E4D">
        <w:rPr>
          <w:rFonts w:ascii="標楷體" w:eastAsia="標楷體" w:hAnsi="標楷體" w:cs="標楷體" w:hint="eastAsia"/>
          <w:bCs/>
          <w:kern w:val="3"/>
          <w:sz w:val="32"/>
          <w:szCs w:val="32"/>
          <w:lang w:val="zh-TW"/>
        </w:rPr>
        <w:t>燬</w:t>
      </w:r>
      <w:proofErr w:type="gramEnd"/>
      <w:r w:rsidRPr="001B6E4D">
        <w:rPr>
          <w:rFonts w:ascii="標楷體" w:eastAsia="標楷體" w:hAnsi="標楷體" w:cs="標楷體" w:hint="eastAsia"/>
          <w:bCs/>
          <w:kern w:val="3"/>
          <w:sz w:val="32"/>
          <w:szCs w:val="32"/>
          <w:lang w:val="zh-TW"/>
        </w:rPr>
        <w:t>的流程做進一步的了解，因為贓證物的保管及</w:t>
      </w:r>
      <w:proofErr w:type="gramStart"/>
      <w:r w:rsidRPr="001B6E4D">
        <w:rPr>
          <w:rFonts w:ascii="標楷體" w:eastAsia="標楷體" w:hAnsi="標楷體" w:cs="標楷體" w:hint="eastAsia"/>
          <w:bCs/>
          <w:kern w:val="3"/>
          <w:sz w:val="32"/>
          <w:szCs w:val="32"/>
          <w:lang w:val="zh-TW"/>
        </w:rPr>
        <w:t>一</w:t>
      </w:r>
      <w:proofErr w:type="gramEnd"/>
      <w:r w:rsidRPr="001B6E4D">
        <w:rPr>
          <w:rFonts w:ascii="標楷體" w:eastAsia="標楷體" w:hAnsi="標楷體" w:cs="標楷體" w:hint="eastAsia"/>
          <w:bCs/>
          <w:kern w:val="3"/>
          <w:sz w:val="32"/>
          <w:szCs w:val="32"/>
          <w:lang w:val="zh-TW"/>
        </w:rPr>
        <w:t>整個流程，牽涉</w:t>
      </w:r>
      <w:r w:rsidRPr="001B6E4D">
        <w:rPr>
          <w:rFonts w:ascii="標楷體" w:eastAsia="標楷體" w:hAnsi="標楷體" w:cs="標楷體" w:hint="eastAsia"/>
          <w:bCs/>
          <w:kern w:val="3"/>
          <w:sz w:val="32"/>
          <w:szCs w:val="32"/>
          <w:lang w:val="zh-TW" w:eastAsia="zh-HK"/>
        </w:rPr>
        <w:t>到</w:t>
      </w:r>
      <w:r w:rsidRPr="001B6E4D">
        <w:rPr>
          <w:rFonts w:ascii="標楷體" w:eastAsia="標楷體" w:hAnsi="標楷體" w:cs="標楷體" w:hint="eastAsia"/>
          <w:bCs/>
          <w:kern w:val="3"/>
          <w:sz w:val="32"/>
          <w:szCs w:val="32"/>
          <w:lang w:val="zh-TW"/>
        </w:rPr>
        <w:t>贓證物的證據能力或關係到人民的財產權，影響到偵查及審判的結果，若任何一個環結出差錯，恐怕司法的公信力會受到影響。</w:t>
      </w:r>
    </w:p>
    <w:p w14:paraId="567243D4" w14:textId="77777777" w:rsidR="00B921E8" w:rsidRPr="001B6E4D" w:rsidRDefault="00B921E8" w:rsidP="003D1018">
      <w:pPr>
        <w:widowControl w:val="0"/>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hint="eastAsia"/>
          <w:bCs/>
          <w:kern w:val="3"/>
          <w:sz w:val="32"/>
          <w:szCs w:val="32"/>
          <w:lang w:val="zh-TW"/>
        </w:rPr>
        <w:t xml:space="preserve">    贓證物品各式各樣，從毒品、槍械、彈藥、易燃物品、化學品、大型機具等，保管方式是否安全、是否有消防設備，空間是否足夠，也是我們今天想了解的。</w:t>
      </w:r>
    </w:p>
    <w:p w14:paraId="78A0F494" w14:textId="77777777" w:rsidR="00B921E8" w:rsidRPr="001B6E4D" w:rsidRDefault="00B921E8" w:rsidP="003D1018">
      <w:pPr>
        <w:widowControl w:val="0"/>
        <w:suppressAutoHyphens/>
        <w:overflowPunct w:val="0"/>
        <w:autoSpaceDE w:val="0"/>
        <w:autoSpaceDN w:val="0"/>
        <w:snapToGrid w:val="0"/>
        <w:spacing w:line="480" w:lineRule="exact"/>
        <w:ind w:left="708"/>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hint="eastAsia"/>
          <w:bCs/>
          <w:kern w:val="3"/>
          <w:sz w:val="32"/>
          <w:szCs w:val="32"/>
          <w:lang w:val="zh-TW"/>
        </w:rPr>
        <w:t xml:space="preserve">    另外久懸案件、權利人不明或無人領取的贓證物，是否會佔用贓物庫的空間，此類案件的後續處理程序也是我們想了解的。考察之後希望對於今後的預算審查有所幫助。</w:t>
      </w:r>
    </w:p>
    <w:p w14:paraId="51D3C66E" w14:textId="77777777" w:rsidR="00B921E8" w:rsidRPr="001B6E4D" w:rsidRDefault="00B921E8" w:rsidP="003D1018">
      <w:pPr>
        <w:widowControl w:val="0"/>
        <w:numPr>
          <w:ilvl w:val="0"/>
          <w:numId w:val="86"/>
        </w:numPr>
        <w:tabs>
          <w:tab w:val="left" w:pos="4680"/>
        </w:tabs>
        <w:suppressAutoHyphens/>
        <w:overflowPunct w:val="0"/>
        <w:autoSpaceDN w:val="0"/>
        <w:snapToGrid w:val="0"/>
        <w:spacing w:before="180" w:after="180" w:line="480" w:lineRule="exact"/>
        <w:jc w:val="both"/>
        <w:textAlignment w:val="baseline"/>
        <w:rPr>
          <w:rFonts w:ascii="標楷體" w:eastAsia="標楷體" w:hAnsi="標楷體"/>
          <w:kern w:val="3"/>
          <w:szCs w:val="22"/>
        </w:rPr>
      </w:pPr>
      <w:r w:rsidRPr="001B6E4D">
        <w:rPr>
          <w:rFonts w:ascii="標楷體" w:eastAsia="標楷體" w:hAnsi="標楷體" w:cs="標楷體" w:hint="eastAsia"/>
          <w:b/>
          <w:bCs/>
          <w:kern w:val="3"/>
          <w:sz w:val="32"/>
          <w:szCs w:val="32"/>
          <w:lang w:val="zh-TW"/>
        </w:rPr>
        <w:t>立法院陳</w:t>
      </w:r>
      <w:r w:rsidRPr="001B6E4D">
        <w:rPr>
          <w:rFonts w:ascii="標楷體" w:eastAsia="標楷體" w:hAnsi="標楷體" w:cs="標楷體"/>
          <w:b/>
          <w:bCs/>
          <w:kern w:val="3"/>
          <w:sz w:val="32"/>
          <w:szCs w:val="32"/>
          <w:lang w:val="zh-TW"/>
        </w:rPr>
        <w:t>立法</w:t>
      </w:r>
      <w:proofErr w:type="gramStart"/>
      <w:r w:rsidRPr="001B6E4D">
        <w:rPr>
          <w:rFonts w:ascii="標楷體" w:eastAsia="標楷體" w:hAnsi="標楷體" w:cs="標楷體"/>
          <w:b/>
          <w:bCs/>
          <w:kern w:val="3"/>
          <w:sz w:val="32"/>
          <w:szCs w:val="32"/>
          <w:lang w:val="zh-TW"/>
        </w:rPr>
        <w:t>委員</w:t>
      </w:r>
      <w:r w:rsidRPr="001B6E4D">
        <w:rPr>
          <w:rFonts w:ascii="標楷體" w:eastAsia="標楷體" w:hAnsi="標楷體" w:cs="標楷體" w:hint="eastAsia"/>
          <w:b/>
          <w:bCs/>
          <w:kern w:val="3"/>
          <w:sz w:val="32"/>
          <w:szCs w:val="32"/>
          <w:lang w:val="zh-TW"/>
        </w:rPr>
        <w:t>昭姿</w:t>
      </w:r>
      <w:r w:rsidRPr="001B6E4D">
        <w:rPr>
          <w:rFonts w:ascii="標楷體" w:eastAsia="標楷體" w:hAnsi="標楷體" w:cs="標楷體"/>
          <w:b/>
          <w:bCs/>
          <w:kern w:val="3"/>
          <w:sz w:val="32"/>
          <w:szCs w:val="32"/>
          <w:lang w:val="zh-TW"/>
        </w:rPr>
        <w:t>致詞</w:t>
      </w:r>
      <w:proofErr w:type="gramEnd"/>
      <w:r w:rsidRPr="001B6E4D">
        <w:rPr>
          <w:rFonts w:ascii="標楷體" w:eastAsia="標楷體" w:hAnsi="標楷體" w:cs="標楷體"/>
          <w:b/>
          <w:bCs/>
          <w:kern w:val="3"/>
          <w:sz w:val="32"/>
          <w:szCs w:val="32"/>
          <w:lang w:val="zh-TW"/>
        </w:rPr>
        <w:t>：</w:t>
      </w:r>
    </w:p>
    <w:p w14:paraId="44703CC2" w14:textId="77777777" w:rsidR="00B921E8" w:rsidRPr="001B6E4D" w:rsidRDefault="00B921E8" w:rsidP="003D1018">
      <w:pPr>
        <w:widowControl w:val="0"/>
        <w:suppressAutoHyphens/>
        <w:overflowPunct w:val="0"/>
        <w:autoSpaceDE w:val="0"/>
        <w:autoSpaceDN w:val="0"/>
        <w:snapToGrid w:val="0"/>
        <w:spacing w:line="480" w:lineRule="exact"/>
        <w:ind w:left="708" w:firstLine="1"/>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bCs/>
          <w:kern w:val="3"/>
          <w:sz w:val="32"/>
          <w:szCs w:val="32"/>
          <w:lang w:val="zh-TW"/>
        </w:rPr>
        <w:t xml:space="preserve">    </w:t>
      </w:r>
      <w:r w:rsidRPr="001B6E4D">
        <w:rPr>
          <w:rFonts w:ascii="標楷體" w:eastAsia="標楷體" w:hAnsi="標楷體" w:cs="標楷體" w:hint="eastAsia"/>
          <w:bCs/>
          <w:kern w:val="3"/>
          <w:sz w:val="32"/>
          <w:szCs w:val="32"/>
          <w:lang w:val="zh-TW"/>
        </w:rPr>
        <w:t>今天想要了解關於智能庫房預算執行有沒有成效，是否能真正減少基層人員的負擔</w:t>
      </w:r>
      <w:r w:rsidRPr="001B6E4D">
        <w:rPr>
          <w:rFonts w:ascii="標楷體" w:eastAsia="標楷體" w:hAnsi="標楷體" w:cs="標楷體"/>
          <w:bCs/>
          <w:kern w:val="3"/>
          <w:sz w:val="32"/>
          <w:szCs w:val="32"/>
          <w:lang w:val="zh-TW"/>
        </w:rPr>
        <w:t>。</w:t>
      </w:r>
    </w:p>
    <w:p w14:paraId="20D7AD4E" w14:textId="77777777" w:rsidR="00B921E8" w:rsidRPr="001B6E4D" w:rsidRDefault="00B921E8" w:rsidP="003D1018">
      <w:pPr>
        <w:widowControl w:val="0"/>
        <w:suppressAutoHyphens/>
        <w:overflowPunct w:val="0"/>
        <w:autoSpaceDE w:val="0"/>
        <w:autoSpaceDN w:val="0"/>
        <w:snapToGrid w:val="0"/>
        <w:spacing w:line="480" w:lineRule="exact"/>
        <w:ind w:left="708" w:firstLineChars="200" w:firstLine="640"/>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hint="eastAsia"/>
          <w:bCs/>
          <w:kern w:val="3"/>
          <w:sz w:val="32"/>
          <w:szCs w:val="32"/>
          <w:lang w:val="zh-TW"/>
        </w:rPr>
        <w:t>關於大型贓證物、貴重物品的變價、拍賣的法律程序，是否會因為程序造成價值減損而對於當事人或是國家造成影響，如果是法規造成的，我們也很願意提供協助。</w:t>
      </w:r>
    </w:p>
    <w:p w14:paraId="0D20401D" w14:textId="77777777" w:rsidR="00B921E8" w:rsidRPr="001B6E4D" w:rsidRDefault="00B921E8" w:rsidP="003D1018">
      <w:pPr>
        <w:widowControl w:val="0"/>
        <w:suppressAutoHyphens/>
        <w:overflowPunct w:val="0"/>
        <w:autoSpaceDE w:val="0"/>
        <w:autoSpaceDN w:val="0"/>
        <w:snapToGrid w:val="0"/>
        <w:spacing w:line="480" w:lineRule="exact"/>
        <w:ind w:left="708" w:firstLineChars="200" w:firstLine="640"/>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hint="eastAsia"/>
          <w:bCs/>
          <w:kern w:val="3"/>
          <w:sz w:val="32"/>
          <w:szCs w:val="32"/>
          <w:lang w:val="zh-TW"/>
        </w:rPr>
        <w:t>另外北檢的轄區大，案件量及贓證物數量龐大，如果有人員不足或空間不夠問題，我們如何能提供協助，所以想了解庫房保管的飽和度百分比。</w:t>
      </w:r>
    </w:p>
    <w:p w14:paraId="2948438C" w14:textId="77777777" w:rsidR="00B921E8" w:rsidRPr="001B6E4D" w:rsidRDefault="00B921E8" w:rsidP="003D1018">
      <w:pPr>
        <w:widowControl w:val="0"/>
        <w:suppressAutoHyphens/>
        <w:overflowPunct w:val="0"/>
        <w:autoSpaceDE w:val="0"/>
        <w:autoSpaceDN w:val="0"/>
        <w:snapToGrid w:val="0"/>
        <w:spacing w:line="480" w:lineRule="exact"/>
        <w:ind w:left="708" w:firstLineChars="200" w:firstLine="640"/>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hint="eastAsia"/>
          <w:bCs/>
          <w:kern w:val="3"/>
          <w:sz w:val="32"/>
          <w:szCs w:val="32"/>
          <w:lang w:val="zh-TW"/>
        </w:rPr>
        <w:t>臺灣是世界第一個將醫療用途的藥品列為毒品的國家，我在醫院有看過第一級管制藥品如何管理，所以我也想了解贓物庫是如何管理毒品，如何確保毒品不會被調包。</w:t>
      </w:r>
    </w:p>
    <w:p w14:paraId="54540F60" w14:textId="77777777" w:rsidR="00B921E8" w:rsidRPr="001B6E4D" w:rsidRDefault="00B921E8" w:rsidP="003D1018">
      <w:pPr>
        <w:widowControl w:val="0"/>
        <w:suppressAutoHyphens/>
        <w:overflowPunct w:val="0"/>
        <w:autoSpaceDE w:val="0"/>
        <w:autoSpaceDN w:val="0"/>
        <w:snapToGrid w:val="0"/>
        <w:spacing w:line="480" w:lineRule="exact"/>
        <w:ind w:left="708" w:firstLineChars="200" w:firstLine="640"/>
        <w:jc w:val="both"/>
        <w:textAlignment w:val="baseline"/>
        <w:rPr>
          <w:rFonts w:ascii="標楷體" w:eastAsia="標楷體" w:hAnsi="標楷體" w:cs="標楷體"/>
          <w:bCs/>
          <w:kern w:val="3"/>
          <w:sz w:val="32"/>
          <w:szCs w:val="32"/>
          <w:lang w:val="zh-TW"/>
        </w:rPr>
      </w:pPr>
      <w:r w:rsidRPr="001B6E4D">
        <w:rPr>
          <w:rFonts w:ascii="標楷體" w:eastAsia="標楷體" w:hAnsi="標楷體" w:cs="標楷體" w:hint="eastAsia"/>
          <w:bCs/>
          <w:kern w:val="3"/>
          <w:sz w:val="32"/>
          <w:szCs w:val="32"/>
          <w:lang w:val="zh-TW"/>
        </w:rPr>
        <w:t>最後，剛沈委員有提到久懸案件的贓證物，是否會</w:t>
      </w:r>
      <w:r w:rsidRPr="001B6E4D">
        <w:rPr>
          <w:rFonts w:ascii="標楷體" w:eastAsia="標楷體" w:hAnsi="標楷體" w:cs="標楷體" w:hint="eastAsia"/>
          <w:bCs/>
          <w:kern w:val="3"/>
          <w:sz w:val="32"/>
          <w:szCs w:val="32"/>
          <w:lang w:val="zh-TW"/>
        </w:rPr>
        <w:lastRenderedPageBreak/>
        <w:t>影響贓物庫的空間使用，也是我想了解的。贓證物的保管不論在法規的修改或設備上的預算，只要提出說明，我們認為合理的，都會支持。</w:t>
      </w:r>
    </w:p>
    <w:p w14:paraId="37DEB496" w14:textId="77777777" w:rsidR="00B921E8" w:rsidRPr="001B6E4D" w:rsidRDefault="00B921E8" w:rsidP="003D1018">
      <w:pPr>
        <w:widowControl w:val="0"/>
        <w:numPr>
          <w:ilvl w:val="0"/>
          <w:numId w:val="86"/>
        </w:numPr>
        <w:tabs>
          <w:tab w:val="left" w:pos="4680"/>
        </w:tabs>
        <w:suppressAutoHyphens/>
        <w:overflowPunct w:val="0"/>
        <w:autoSpaceDN w:val="0"/>
        <w:snapToGrid w:val="0"/>
        <w:spacing w:before="180" w:after="180" w:line="480" w:lineRule="exact"/>
        <w:textAlignment w:val="baseline"/>
        <w:rPr>
          <w:rFonts w:ascii="標楷體" w:eastAsia="標楷體" w:hAnsi="標楷體"/>
          <w:kern w:val="3"/>
          <w:szCs w:val="22"/>
        </w:rPr>
      </w:pPr>
      <w:r w:rsidRPr="001B6E4D">
        <w:rPr>
          <w:rFonts w:ascii="標楷體" w:eastAsia="標楷體" w:hAnsi="標楷體" w:cs="標楷體" w:hint="eastAsia"/>
          <w:b/>
          <w:bCs/>
          <w:kern w:val="3"/>
          <w:sz w:val="32"/>
          <w:szCs w:val="32"/>
          <w:lang w:val="zh-TW"/>
        </w:rPr>
        <w:t>臺灣</w:t>
      </w:r>
      <w:proofErr w:type="gramStart"/>
      <w:r w:rsidRPr="001B6E4D">
        <w:rPr>
          <w:rFonts w:ascii="標楷體" w:eastAsia="標楷體" w:hAnsi="標楷體" w:cs="標楷體" w:hint="eastAsia"/>
          <w:b/>
          <w:bCs/>
          <w:kern w:val="3"/>
          <w:sz w:val="32"/>
          <w:szCs w:val="32"/>
          <w:lang w:val="zh-TW"/>
        </w:rPr>
        <w:t>臺</w:t>
      </w:r>
      <w:proofErr w:type="gramEnd"/>
      <w:r w:rsidRPr="001B6E4D">
        <w:rPr>
          <w:rFonts w:ascii="標楷體" w:eastAsia="標楷體" w:hAnsi="標楷體" w:cs="標楷體" w:hint="eastAsia"/>
          <w:b/>
          <w:bCs/>
          <w:kern w:val="3"/>
          <w:sz w:val="32"/>
          <w:szCs w:val="32"/>
          <w:lang w:val="zh-TW"/>
        </w:rPr>
        <w:t>北地方檢察署贓物庫</w:t>
      </w:r>
      <w:proofErr w:type="gramStart"/>
      <w:r w:rsidRPr="001B6E4D">
        <w:rPr>
          <w:rFonts w:ascii="標楷體" w:eastAsia="標楷體" w:hAnsi="標楷體" w:cs="標楷體" w:hint="eastAsia"/>
          <w:b/>
          <w:bCs/>
          <w:kern w:val="3"/>
          <w:sz w:val="32"/>
          <w:szCs w:val="32"/>
          <w:lang w:val="zh-TW"/>
        </w:rPr>
        <w:t>蔡股長宜哲</w:t>
      </w:r>
      <w:r w:rsidRPr="001B6E4D">
        <w:rPr>
          <w:rFonts w:ascii="標楷體" w:eastAsia="標楷體" w:hAnsi="標楷體" w:cs="標楷體"/>
          <w:b/>
          <w:bCs/>
          <w:kern w:val="3"/>
          <w:sz w:val="32"/>
          <w:szCs w:val="32"/>
          <w:lang w:val="zh-TW"/>
        </w:rPr>
        <w:t>簡報</w:t>
      </w:r>
      <w:proofErr w:type="gramEnd"/>
      <w:r w:rsidRPr="001B6E4D">
        <w:rPr>
          <w:rFonts w:ascii="標楷體" w:eastAsia="標楷體" w:hAnsi="標楷體" w:cs="標楷體"/>
          <w:b/>
          <w:bCs/>
          <w:kern w:val="3"/>
          <w:sz w:val="32"/>
          <w:szCs w:val="32"/>
          <w:lang w:val="zh-TW"/>
        </w:rPr>
        <w:t>：</w:t>
      </w:r>
      <w:r w:rsidRPr="001B6E4D">
        <w:rPr>
          <w:rFonts w:ascii="標楷體" w:eastAsia="標楷體" w:hAnsi="標楷體" w:cs="標楷體"/>
          <w:bCs/>
          <w:kern w:val="3"/>
          <w:sz w:val="32"/>
          <w:szCs w:val="32"/>
          <w:lang w:val="zh-TW"/>
        </w:rPr>
        <w:t>（略）</w:t>
      </w:r>
    </w:p>
    <w:p w14:paraId="75C2A8BE" w14:textId="77777777" w:rsidR="00B921E8" w:rsidRPr="001B6E4D" w:rsidRDefault="00B921E8" w:rsidP="003D1018">
      <w:pPr>
        <w:widowControl w:val="0"/>
        <w:numPr>
          <w:ilvl w:val="0"/>
          <w:numId w:val="86"/>
        </w:numPr>
        <w:tabs>
          <w:tab w:val="left" w:pos="4680"/>
        </w:tabs>
        <w:suppressAutoHyphens/>
        <w:overflowPunct w:val="0"/>
        <w:autoSpaceDN w:val="0"/>
        <w:snapToGrid w:val="0"/>
        <w:spacing w:before="180" w:after="180" w:line="480" w:lineRule="exact"/>
        <w:textAlignment w:val="baseline"/>
        <w:rPr>
          <w:rFonts w:ascii="標楷體" w:eastAsia="標楷體" w:hAnsi="標楷體"/>
          <w:kern w:val="3"/>
          <w:szCs w:val="22"/>
        </w:rPr>
      </w:pPr>
      <w:r w:rsidRPr="001B6E4D">
        <w:rPr>
          <w:rFonts w:ascii="標楷體" w:eastAsia="標楷體" w:hAnsi="標楷體" w:cs="標楷體" w:hint="eastAsia"/>
          <w:b/>
          <w:bCs/>
          <w:kern w:val="3"/>
          <w:sz w:val="32"/>
          <w:szCs w:val="32"/>
          <w:lang w:val="zh-TW"/>
        </w:rPr>
        <w:t>臺灣</w:t>
      </w:r>
      <w:proofErr w:type="gramStart"/>
      <w:r w:rsidRPr="001B6E4D">
        <w:rPr>
          <w:rFonts w:ascii="標楷體" w:eastAsia="標楷體" w:hAnsi="標楷體" w:cs="標楷體" w:hint="eastAsia"/>
          <w:b/>
          <w:bCs/>
          <w:kern w:val="3"/>
          <w:sz w:val="32"/>
          <w:szCs w:val="32"/>
          <w:lang w:val="zh-TW"/>
        </w:rPr>
        <w:t>臺</w:t>
      </w:r>
      <w:proofErr w:type="gramEnd"/>
      <w:r w:rsidRPr="001B6E4D">
        <w:rPr>
          <w:rFonts w:ascii="標楷體" w:eastAsia="標楷體" w:hAnsi="標楷體" w:cs="標楷體" w:hint="eastAsia"/>
          <w:b/>
          <w:bCs/>
          <w:kern w:val="3"/>
          <w:sz w:val="32"/>
          <w:szCs w:val="32"/>
          <w:lang w:val="zh-TW"/>
        </w:rPr>
        <w:t>北地方檢察署贓物庫</w:t>
      </w:r>
      <w:r w:rsidRPr="001B6E4D">
        <w:rPr>
          <w:rFonts w:ascii="標楷體" w:eastAsia="標楷體" w:hAnsi="標楷體" w:hint="eastAsia"/>
          <w:b/>
          <w:color w:val="000000"/>
          <w:kern w:val="3"/>
          <w:sz w:val="32"/>
          <w:szCs w:val="32"/>
        </w:rPr>
        <w:t>庫房</w:t>
      </w:r>
      <w:r w:rsidRPr="001B6E4D">
        <w:rPr>
          <w:rFonts w:ascii="標楷體" w:eastAsia="標楷體" w:hAnsi="標楷體"/>
          <w:b/>
          <w:color w:val="000000"/>
          <w:kern w:val="3"/>
          <w:sz w:val="32"/>
          <w:szCs w:val="32"/>
        </w:rPr>
        <w:t>導</w:t>
      </w:r>
      <w:proofErr w:type="gramStart"/>
      <w:r w:rsidRPr="001B6E4D">
        <w:rPr>
          <w:rFonts w:ascii="標楷體" w:eastAsia="標楷體" w:hAnsi="標楷體"/>
          <w:b/>
          <w:color w:val="000000"/>
          <w:kern w:val="3"/>
          <w:sz w:val="32"/>
          <w:szCs w:val="32"/>
        </w:rPr>
        <w:t>覽</w:t>
      </w:r>
      <w:proofErr w:type="gramEnd"/>
      <w:r w:rsidRPr="001B6E4D">
        <w:rPr>
          <w:rFonts w:ascii="標楷體" w:eastAsia="標楷體" w:hAnsi="標楷體" w:cs="標楷體"/>
          <w:b/>
          <w:bCs/>
          <w:kern w:val="3"/>
          <w:sz w:val="32"/>
          <w:szCs w:val="32"/>
          <w:lang w:val="zh-TW"/>
        </w:rPr>
        <w:t>：</w:t>
      </w:r>
      <w:r w:rsidRPr="001B6E4D">
        <w:rPr>
          <w:rFonts w:ascii="標楷體" w:eastAsia="標楷體" w:hAnsi="標楷體" w:cs="標楷體"/>
          <w:bCs/>
          <w:kern w:val="3"/>
          <w:sz w:val="32"/>
          <w:szCs w:val="32"/>
          <w:lang w:val="zh-TW"/>
        </w:rPr>
        <w:t>（略）</w:t>
      </w:r>
    </w:p>
    <w:p w14:paraId="47D08173" w14:textId="77777777" w:rsidR="00B921E8" w:rsidRPr="001B6E4D" w:rsidRDefault="00B921E8" w:rsidP="003D1018">
      <w:pPr>
        <w:widowControl w:val="0"/>
        <w:numPr>
          <w:ilvl w:val="0"/>
          <w:numId w:val="86"/>
        </w:numPr>
        <w:tabs>
          <w:tab w:val="left" w:pos="4680"/>
        </w:tabs>
        <w:suppressAutoHyphens/>
        <w:overflowPunct w:val="0"/>
        <w:autoSpaceDN w:val="0"/>
        <w:snapToGrid w:val="0"/>
        <w:spacing w:before="180" w:after="60" w:line="480" w:lineRule="exact"/>
        <w:jc w:val="both"/>
        <w:textAlignment w:val="baseline"/>
        <w:rPr>
          <w:rFonts w:ascii="標楷體" w:eastAsia="標楷體" w:hAnsi="標楷體" w:cs="標楷體"/>
          <w:b/>
          <w:bCs/>
          <w:kern w:val="3"/>
          <w:sz w:val="32"/>
          <w:szCs w:val="32"/>
          <w:lang w:val="zh-TW"/>
        </w:rPr>
      </w:pPr>
      <w:r w:rsidRPr="001B6E4D">
        <w:rPr>
          <w:rFonts w:ascii="標楷體" w:eastAsia="標楷體" w:hAnsi="標楷體" w:cs="標楷體"/>
          <w:b/>
          <w:bCs/>
          <w:kern w:val="3"/>
          <w:sz w:val="32"/>
          <w:szCs w:val="32"/>
          <w:lang w:val="zh-TW"/>
        </w:rPr>
        <w:t>綜合座談及意見交流</w:t>
      </w:r>
    </w:p>
    <w:p w14:paraId="2502FF82" w14:textId="77777777" w:rsidR="00B921E8" w:rsidRPr="001B6E4D" w:rsidRDefault="00B921E8" w:rsidP="003D1018">
      <w:pPr>
        <w:widowControl w:val="0"/>
        <w:numPr>
          <w:ilvl w:val="0"/>
          <w:numId w:val="87"/>
        </w:numPr>
        <w:suppressAutoHyphens/>
        <w:overflowPunct w:val="0"/>
        <w:autoSpaceDE w:val="0"/>
        <w:autoSpaceDN w:val="0"/>
        <w:spacing w:before="60" w:line="520" w:lineRule="exact"/>
        <w:ind w:left="1004"/>
        <w:jc w:val="both"/>
        <w:textAlignment w:val="baseline"/>
        <w:rPr>
          <w:rFonts w:ascii="標楷體" w:eastAsia="標楷體" w:hAnsi="標楷體"/>
          <w:b/>
          <w:color w:val="000000"/>
          <w:kern w:val="3"/>
          <w:sz w:val="32"/>
          <w:szCs w:val="32"/>
        </w:rPr>
      </w:pPr>
      <w:r w:rsidRPr="001B6E4D">
        <w:rPr>
          <w:rFonts w:ascii="標楷體" w:eastAsia="標楷體" w:hAnsi="標楷體"/>
          <w:b/>
          <w:color w:val="000000"/>
          <w:kern w:val="3"/>
          <w:sz w:val="32"/>
          <w:szCs w:val="32"/>
        </w:rPr>
        <w:t>沈發惠委員研究室</w:t>
      </w:r>
      <w:proofErr w:type="gramStart"/>
      <w:r w:rsidRPr="001B6E4D">
        <w:rPr>
          <w:rFonts w:ascii="標楷體" w:eastAsia="標楷體" w:hAnsi="標楷體"/>
          <w:b/>
          <w:color w:val="000000"/>
          <w:kern w:val="3"/>
          <w:sz w:val="32"/>
          <w:szCs w:val="32"/>
        </w:rPr>
        <w:t>張</w:t>
      </w:r>
      <w:r w:rsidRPr="001B6E4D">
        <w:rPr>
          <w:rFonts w:ascii="標楷體" w:eastAsia="標楷體" w:hAnsi="標楷體" w:hint="eastAsia"/>
          <w:b/>
          <w:color w:val="000000"/>
          <w:kern w:val="3"/>
          <w:sz w:val="32"/>
          <w:szCs w:val="32"/>
        </w:rPr>
        <w:t>主任</w:t>
      </w:r>
      <w:r w:rsidRPr="001B6E4D">
        <w:rPr>
          <w:rFonts w:ascii="標楷體" w:eastAsia="標楷體" w:hAnsi="標楷體"/>
          <w:b/>
          <w:color w:val="000000"/>
          <w:kern w:val="3"/>
          <w:sz w:val="32"/>
          <w:szCs w:val="32"/>
        </w:rPr>
        <w:t>誠軒提問</w:t>
      </w:r>
      <w:proofErr w:type="gramEnd"/>
      <w:r w:rsidRPr="001B6E4D">
        <w:rPr>
          <w:rFonts w:ascii="標楷體" w:eastAsia="標楷體" w:hAnsi="標楷體"/>
          <w:b/>
          <w:color w:val="000000"/>
          <w:kern w:val="3"/>
          <w:sz w:val="32"/>
          <w:szCs w:val="32"/>
        </w:rPr>
        <w:t>：</w:t>
      </w:r>
    </w:p>
    <w:p w14:paraId="7F10D2D3" w14:textId="77777777" w:rsidR="00B921E8" w:rsidRPr="001B6E4D" w:rsidRDefault="00B921E8" w:rsidP="003D1018">
      <w:pPr>
        <w:widowControl w:val="0"/>
        <w:tabs>
          <w:tab w:val="left" w:pos="4680"/>
        </w:tabs>
        <w:suppressAutoHyphens/>
        <w:overflowPunct w:val="0"/>
        <w:autoSpaceDN w:val="0"/>
        <w:snapToGrid w:val="0"/>
        <w:spacing w:line="480" w:lineRule="exact"/>
        <w:ind w:left="991"/>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 xml:space="preserve">    </w:t>
      </w:r>
      <w:r w:rsidRPr="001B6E4D">
        <w:rPr>
          <w:rFonts w:ascii="標楷體" w:eastAsia="標楷體" w:hAnsi="標楷體" w:hint="eastAsia"/>
          <w:color w:val="000000"/>
          <w:kern w:val="3"/>
          <w:sz w:val="32"/>
          <w:szCs w:val="32"/>
        </w:rPr>
        <w:t>我國刑事訴訟法對於證據移交，相較於其他國家是比較沒有被討論的，主要條文依據是刑事訴訟法第2</w:t>
      </w:r>
      <w:r w:rsidRPr="001B6E4D">
        <w:rPr>
          <w:rFonts w:ascii="標楷體" w:eastAsia="標楷體" w:hAnsi="標楷體"/>
          <w:color w:val="000000"/>
          <w:kern w:val="3"/>
          <w:sz w:val="32"/>
          <w:szCs w:val="32"/>
        </w:rPr>
        <w:t>64</w:t>
      </w:r>
      <w:r w:rsidRPr="001B6E4D">
        <w:rPr>
          <w:rFonts w:ascii="標楷體" w:eastAsia="標楷體" w:hAnsi="標楷體" w:hint="eastAsia"/>
          <w:color w:val="000000"/>
          <w:kern w:val="3"/>
          <w:sz w:val="32"/>
          <w:szCs w:val="32"/>
        </w:rPr>
        <w:t>條提到起訴</w:t>
      </w:r>
      <w:proofErr w:type="gramStart"/>
      <w:r w:rsidRPr="001B6E4D">
        <w:rPr>
          <w:rFonts w:ascii="標楷體" w:eastAsia="標楷體" w:hAnsi="標楷體" w:hint="eastAsia"/>
          <w:color w:val="000000"/>
          <w:kern w:val="3"/>
          <w:sz w:val="32"/>
          <w:szCs w:val="32"/>
        </w:rPr>
        <w:t>後卷證併</w:t>
      </w:r>
      <w:proofErr w:type="gramEnd"/>
      <w:r w:rsidRPr="001B6E4D">
        <w:rPr>
          <w:rFonts w:ascii="標楷體" w:eastAsia="標楷體" w:hAnsi="標楷體" w:hint="eastAsia"/>
          <w:color w:val="000000"/>
          <w:kern w:val="3"/>
          <w:sz w:val="32"/>
          <w:szCs w:val="32"/>
        </w:rPr>
        <w:t>送。想要請教目前有多少案件的贓證物起訴後是沒有提交到法院。另外國民法官法</w:t>
      </w:r>
      <w:proofErr w:type="gramStart"/>
      <w:r w:rsidRPr="001B6E4D">
        <w:rPr>
          <w:rFonts w:ascii="標楷體" w:eastAsia="標楷體" w:hAnsi="標楷體" w:hint="eastAsia"/>
          <w:color w:val="000000"/>
          <w:kern w:val="3"/>
          <w:sz w:val="32"/>
          <w:szCs w:val="32"/>
        </w:rPr>
        <w:t>採的是卷證</w:t>
      </w:r>
      <w:proofErr w:type="gramEnd"/>
      <w:r w:rsidRPr="001B6E4D">
        <w:rPr>
          <w:rFonts w:ascii="標楷體" w:eastAsia="標楷體" w:hAnsi="標楷體" w:hint="eastAsia"/>
          <w:color w:val="000000"/>
          <w:kern w:val="3"/>
          <w:sz w:val="32"/>
          <w:szCs w:val="32"/>
        </w:rPr>
        <w:t>不</w:t>
      </w:r>
      <w:proofErr w:type="gramStart"/>
      <w:r w:rsidRPr="001B6E4D">
        <w:rPr>
          <w:rFonts w:ascii="標楷體" w:eastAsia="標楷體" w:hAnsi="標楷體" w:hint="eastAsia"/>
          <w:color w:val="000000"/>
          <w:kern w:val="3"/>
          <w:sz w:val="32"/>
          <w:szCs w:val="32"/>
        </w:rPr>
        <w:t>併</w:t>
      </w:r>
      <w:proofErr w:type="gramEnd"/>
      <w:r w:rsidRPr="001B6E4D">
        <w:rPr>
          <w:rFonts w:ascii="標楷體" w:eastAsia="標楷體" w:hAnsi="標楷體" w:hint="eastAsia"/>
          <w:color w:val="000000"/>
          <w:kern w:val="3"/>
          <w:sz w:val="32"/>
          <w:szCs w:val="32"/>
        </w:rPr>
        <w:t>送，想請問此類贓證物是否沒有送到法院？</w:t>
      </w:r>
    </w:p>
    <w:p w14:paraId="4374D61F" w14:textId="77777777" w:rsidR="00B921E8" w:rsidRPr="001B6E4D" w:rsidRDefault="00B921E8" w:rsidP="003D1018">
      <w:pPr>
        <w:widowControl w:val="0"/>
        <w:numPr>
          <w:ilvl w:val="0"/>
          <w:numId w:val="87"/>
        </w:numPr>
        <w:suppressAutoHyphens/>
        <w:overflowPunct w:val="0"/>
        <w:autoSpaceDE w:val="0"/>
        <w:autoSpaceDN w:val="0"/>
        <w:spacing w:before="60" w:line="520" w:lineRule="exact"/>
        <w:ind w:left="1004"/>
        <w:jc w:val="both"/>
        <w:textAlignment w:val="baseline"/>
        <w:rPr>
          <w:rFonts w:ascii="標楷體" w:eastAsia="標楷體" w:hAnsi="標楷體"/>
          <w:color w:val="000000"/>
          <w:kern w:val="3"/>
          <w:sz w:val="32"/>
          <w:szCs w:val="32"/>
        </w:rPr>
      </w:pPr>
      <w:r w:rsidRPr="001B6E4D">
        <w:rPr>
          <w:rFonts w:ascii="標楷體" w:eastAsia="標楷體" w:hAnsi="標楷體" w:hint="eastAsia"/>
          <w:b/>
          <w:color w:val="000000"/>
          <w:kern w:val="3"/>
          <w:sz w:val="32"/>
          <w:szCs w:val="32"/>
        </w:rPr>
        <w:t>臺灣</w:t>
      </w:r>
      <w:proofErr w:type="gramStart"/>
      <w:r w:rsidRPr="001B6E4D">
        <w:rPr>
          <w:rFonts w:ascii="標楷體" w:eastAsia="標楷體" w:hAnsi="標楷體" w:cs="標楷體" w:hint="eastAsia"/>
          <w:b/>
          <w:bCs/>
          <w:kern w:val="3"/>
          <w:sz w:val="32"/>
          <w:szCs w:val="32"/>
          <w:lang w:val="zh-TW"/>
        </w:rPr>
        <w:t>臺</w:t>
      </w:r>
      <w:proofErr w:type="gramEnd"/>
      <w:r w:rsidRPr="001B6E4D">
        <w:rPr>
          <w:rFonts w:ascii="標楷體" w:eastAsia="標楷體" w:hAnsi="標楷體" w:cs="標楷體" w:hint="eastAsia"/>
          <w:b/>
          <w:bCs/>
          <w:kern w:val="3"/>
          <w:sz w:val="32"/>
          <w:szCs w:val="32"/>
          <w:lang w:val="zh-TW"/>
        </w:rPr>
        <w:t>北地方檢察署贓物庫</w:t>
      </w:r>
      <w:proofErr w:type="gramStart"/>
      <w:r w:rsidRPr="001B6E4D">
        <w:rPr>
          <w:rFonts w:ascii="標楷體" w:eastAsia="標楷體" w:hAnsi="標楷體" w:cs="標楷體" w:hint="eastAsia"/>
          <w:b/>
          <w:bCs/>
          <w:kern w:val="3"/>
          <w:sz w:val="32"/>
          <w:szCs w:val="32"/>
          <w:lang w:val="zh-TW"/>
        </w:rPr>
        <w:t>蔡股長宜哲</w:t>
      </w:r>
      <w:r w:rsidRPr="001B6E4D">
        <w:rPr>
          <w:rFonts w:ascii="標楷體" w:eastAsia="標楷體" w:hAnsi="標楷體"/>
          <w:b/>
          <w:color w:val="000000"/>
          <w:kern w:val="3"/>
          <w:sz w:val="32"/>
          <w:szCs w:val="32"/>
        </w:rPr>
        <w:t>回復</w:t>
      </w:r>
      <w:proofErr w:type="gramEnd"/>
      <w:r w:rsidRPr="001B6E4D">
        <w:rPr>
          <w:rFonts w:ascii="標楷體" w:eastAsia="標楷體" w:hAnsi="標楷體"/>
          <w:b/>
          <w:color w:val="000000"/>
          <w:kern w:val="3"/>
          <w:sz w:val="32"/>
          <w:szCs w:val="32"/>
        </w:rPr>
        <w:t>：</w:t>
      </w:r>
    </w:p>
    <w:p w14:paraId="74474BA2" w14:textId="77777777" w:rsidR="00B921E8" w:rsidRPr="001B6E4D" w:rsidRDefault="00B921E8" w:rsidP="003D1018">
      <w:pPr>
        <w:widowControl w:val="0"/>
        <w:tabs>
          <w:tab w:val="left" w:pos="4680"/>
        </w:tabs>
        <w:suppressAutoHyphens/>
        <w:overflowPunct w:val="0"/>
        <w:autoSpaceDN w:val="0"/>
        <w:snapToGrid w:val="0"/>
        <w:spacing w:line="480" w:lineRule="exact"/>
        <w:ind w:left="991"/>
        <w:jc w:val="both"/>
        <w:textAlignment w:val="baseline"/>
        <w:rPr>
          <w:rFonts w:ascii="標楷體" w:eastAsia="標楷體" w:hAnsi="標楷體"/>
          <w:color w:val="000000"/>
          <w:kern w:val="3"/>
          <w:sz w:val="32"/>
          <w:szCs w:val="32"/>
        </w:rPr>
      </w:pPr>
      <w:r w:rsidRPr="001B6E4D">
        <w:rPr>
          <w:rFonts w:ascii="標楷體" w:eastAsia="標楷體" w:hAnsi="標楷體" w:cs="標楷體"/>
          <w:b/>
          <w:bCs/>
          <w:kern w:val="3"/>
          <w:sz w:val="32"/>
          <w:szCs w:val="32"/>
          <w:lang w:val="zh-TW"/>
        </w:rPr>
        <w:t xml:space="preserve">  </w:t>
      </w:r>
      <w:r w:rsidRPr="001B6E4D">
        <w:rPr>
          <w:rFonts w:ascii="標楷體" w:eastAsia="標楷體" w:hAnsi="標楷體" w:cs="標楷體" w:hint="eastAsia"/>
          <w:b/>
          <w:bCs/>
          <w:kern w:val="3"/>
          <w:sz w:val="32"/>
          <w:szCs w:val="32"/>
          <w:lang w:val="zh-TW"/>
        </w:rPr>
        <w:t xml:space="preserve">  </w:t>
      </w:r>
      <w:r w:rsidRPr="001B6E4D">
        <w:rPr>
          <w:rFonts w:ascii="標楷體" w:eastAsia="標楷體" w:hAnsi="標楷體" w:hint="eastAsia"/>
          <w:color w:val="000000"/>
          <w:kern w:val="3"/>
          <w:sz w:val="32"/>
          <w:szCs w:val="32"/>
        </w:rPr>
        <w:t>依刑事訴訟法第264條規定，經北檢檢察官起訴的案件，會將贓證物連同卷宗移送臺灣</w:t>
      </w:r>
      <w:proofErr w:type="gramStart"/>
      <w:r w:rsidRPr="001B6E4D">
        <w:rPr>
          <w:rFonts w:ascii="標楷體" w:eastAsia="標楷體" w:hAnsi="標楷體" w:hint="eastAsia"/>
          <w:color w:val="000000"/>
          <w:kern w:val="3"/>
          <w:sz w:val="32"/>
          <w:szCs w:val="32"/>
        </w:rPr>
        <w:t>臺</w:t>
      </w:r>
      <w:proofErr w:type="gramEnd"/>
      <w:r w:rsidRPr="001B6E4D">
        <w:rPr>
          <w:rFonts w:ascii="標楷體" w:eastAsia="標楷體" w:hAnsi="標楷體" w:hint="eastAsia"/>
          <w:color w:val="000000"/>
          <w:kern w:val="3"/>
          <w:sz w:val="32"/>
          <w:szCs w:val="32"/>
        </w:rPr>
        <w:t>北地方法院(下</w:t>
      </w:r>
      <w:proofErr w:type="gramStart"/>
      <w:r w:rsidRPr="001B6E4D">
        <w:rPr>
          <w:rFonts w:ascii="標楷體" w:eastAsia="標楷體" w:hAnsi="標楷體" w:hint="eastAsia"/>
          <w:color w:val="000000"/>
          <w:kern w:val="3"/>
          <w:sz w:val="32"/>
          <w:szCs w:val="32"/>
        </w:rPr>
        <w:t>稱北院</w:t>
      </w:r>
      <w:proofErr w:type="gramEnd"/>
      <w:r w:rsidRPr="001B6E4D">
        <w:rPr>
          <w:rFonts w:ascii="標楷體" w:eastAsia="標楷體" w:hAnsi="標楷體" w:hint="eastAsia"/>
          <w:color w:val="000000"/>
          <w:kern w:val="3"/>
          <w:sz w:val="32"/>
          <w:szCs w:val="32"/>
        </w:rPr>
        <w:t>)，但</w:t>
      </w:r>
      <w:proofErr w:type="gramStart"/>
      <w:r w:rsidRPr="001B6E4D">
        <w:rPr>
          <w:rFonts w:ascii="標楷體" w:eastAsia="標楷體" w:hAnsi="標楷體" w:hint="eastAsia"/>
          <w:color w:val="000000"/>
          <w:kern w:val="3"/>
          <w:sz w:val="32"/>
          <w:szCs w:val="32"/>
        </w:rPr>
        <w:t>由於北院贓物</w:t>
      </w:r>
      <w:proofErr w:type="gramEnd"/>
      <w:r w:rsidRPr="001B6E4D">
        <w:rPr>
          <w:rFonts w:ascii="標楷體" w:eastAsia="標楷體" w:hAnsi="標楷體" w:hint="eastAsia"/>
          <w:color w:val="000000"/>
          <w:kern w:val="3"/>
          <w:sz w:val="32"/>
          <w:szCs w:val="32"/>
        </w:rPr>
        <w:t>庫的保管空間</w:t>
      </w:r>
      <w:proofErr w:type="gramStart"/>
      <w:r w:rsidRPr="001B6E4D">
        <w:rPr>
          <w:rFonts w:ascii="標楷體" w:eastAsia="標楷體" w:hAnsi="標楷體" w:hint="eastAsia"/>
          <w:color w:val="000000"/>
          <w:kern w:val="3"/>
          <w:sz w:val="32"/>
          <w:szCs w:val="32"/>
        </w:rPr>
        <w:t>不如本署</w:t>
      </w:r>
      <w:proofErr w:type="gramEnd"/>
      <w:r w:rsidRPr="001B6E4D">
        <w:rPr>
          <w:rFonts w:ascii="標楷體" w:eastAsia="標楷體" w:hAnsi="標楷體" w:hint="eastAsia"/>
          <w:color w:val="000000"/>
          <w:kern w:val="3"/>
          <w:sz w:val="32"/>
          <w:szCs w:val="32"/>
        </w:rPr>
        <w:t>，有些比較大量的贓證物，</w:t>
      </w:r>
      <w:proofErr w:type="gramStart"/>
      <w:r w:rsidRPr="001B6E4D">
        <w:rPr>
          <w:rFonts w:ascii="標楷體" w:eastAsia="標楷體" w:hAnsi="標楷體" w:hint="eastAsia"/>
          <w:color w:val="000000"/>
          <w:kern w:val="3"/>
          <w:sz w:val="32"/>
          <w:szCs w:val="32"/>
        </w:rPr>
        <w:t>北院實在</w:t>
      </w:r>
      <w:proofErr w:type="gramEnd"/>
      <w:r w:rsidRPr="001B6E4D">
        <w:rPr>
          <w:rFonts w:ascii="標楷體" w:eastAsia="標楷體" w:hAnsi="標楷體" w:hint="eastAsia"/>
          <w:color w:val="000000"/>
          <w:kern w:val="3"/>
          <w:sz w:val="32"/>
          <w:szCs w:val="32"/>
        </w:rPr>
        <w:t>無法收受，所以是會暫</w:t>
      </w:r>
      <w:proofErr w:type="gramStart"/>
      <w:r w:rsidRPr="001B6E4D">
        <w:rPr>
          <w:rFonts w:ascii="標楷體" w:eastAsia="標楷體" w:hAnsi="標楷體" w:hint="eastAsia"/>
          <w:color w:val="000000"/>
          <w:kern w:val="3"/>
          <w:sz w:val="32"/>
          <w:szCs w:val="32"/>
        </w:rPr>
        <w:t>放在本署贓物</w:t>
      </w:r>
      <w:proofErr w:type="gramEnd"/>
      <w:r w:rsidRPr="001B6E4D">
        <w:rPr>
          <w:rFonts w:ascii="標楷體" w:eastAsia="標楷體" w:hAnsi="標楷體" w:hint="eastAsia"/>
          <w:color w:val="000000"/>
          <w:kern w:val="3"/>
          <w:sz w:val="32"/>
          <w:szCs w:val="32"/>
        </w:rPr>
        <w:t>庫。另外依國民法官法起訴之案件，依法贓證物品是不會</w:t>
      </w:r>
      <w:proofErr w:type="gramStart"/>
      <w:r w:rsidRPr="001B6E4D">
        <w:rPr>
          <w:rFonts w:ascii="標楷體" w:eastAsia="標楷體" w:hAnsi="標楷體" w:hint="eastAsia"/>
          <w:color w:val="000000"/>
          <w:kern w:val="3"/>
          <w:sz w:val="32"/>
          <w:szCs w:val="32"/>
        </w:rPr>
        <w:t>併送北院</w:t>
      </w:r>
      <w:proofErr w:type="gramEnd"/>
      <w:r w:rsidRPr="001B6E4D">
        <w:rPr>
          <w:rFonts w:ascii="標楷體" w:eastAsia="標楷體" w:hAnsi="標楷體" w:hint="eastAsia"/>
          <w:color w:val="000000"/>
          <w:kern w:val="3"/>
          <w:sz w:val="32"/>
          <w:szCs w:val="32"/>
        </w:rPr>
        <w:t>。</w:t>
      </w:r>
    </w:p>
    <w:p w14:paraId="6E2D8707" w14:textId="77777777" w:rsidR="00B921E8" w:rsidRPr="001B6E4D" w:rsidRDefault="00B921E8" w:rsidP="003D1018">
      <w:pPr>
        <w:widowControl w:val="0"/>
        <w:numPr>
          <w:ilvl w:val="0"/>
          <w:numId w:val="87"/>
        </w:numPr>
        <w:suppressAutoHyphens/>
        <w:overflowPunct w:val="0"/>
        <w:autoSpaceDE w:val="0"/>
        <w:autoSpaceDN w:val="0"/>
        <w:spacing w:before="60" w:line="520" w:lineRule="exact"/>
        <w:ind w:left="1004"/>
        <w:jc w:val="both"/>
        <w:textAlignment w:val="baseline"/>
        <w:rPr>
          <w:rFonts w:ascii="標楷體" w:eastAsia="標楷體" w:hAnsi="標楷體"/>
          <w:b/>
          <w:bCs/>
          <w:kern w:val="3"/>
          <w:sz w:val="32"/>
          <w:szCs w:val="32"/>
        </w:rPr>
      </w:pPr>
      <w:r w:rsidRPr="001B6E4D">
        <w:rPr>
          <w:rFonts w:ascii="標楷體" w:eastAsia="標楷體" w:hAnsi="標楷體"/>
          <w:b/>
          <w:color w:val="000000"/>
          <w:kern w:val="3"/>
          <w:sz w:val="32"/>
          <w:szCs w:val="32"/>
        </w:rPr>
        <w:t>法務部</w:t>
      </w:r>
      <w:r w:rsidRPr="001B6E4D">
        <w:rPr>
          <w:rFonts w:ascii="標楷體" w:eastAsia="標楷體" w:hAnsi="標楷體" w:hint="eastAsia"/>
          <w:b/>
          <w:bCs/>
          <w:kern w:val="3"/>
          <w:sz w:val="32"/>
          <w:szCs w:val="32"/>
        </w:rPr>
        <w:t>黃政務</w:t>
      </w:r>
      <w:proofErr w:type="gramStart"/>
      <w:r w:rsidRPr="001B6E4D">
        <w:rPr>
          <w:rFonts w:ascii="標楷體" w:eastAsia="標楷體" w:hAnsi="標楷體" w:hint="eastAsia"/>
          <w:b/>
          <w:bCs/>
          <w:kern w:val="3"/>
          <w:sz w:val="32"/>
          <w:szCs w:val="32"/>
        </w:rPr>
        <w:t>次長謀信補充</w:t>
      </w:r>
      <w:proofErr w:type="gramEnd"/>
      <w:r w:rsidRPr="001B6E4D">
        <w:rPr>
          <w:rFonts w:ascii="標楷體" w:eastAsia="標楷體" w:hAnsi="標楷體" w:hint="eastAsia"/>
          <w:b/>
          <w:bCs/>
          <w:kern w:val="3"/>
          <w:sz w:val="32"/>
          <w:szCs w:val="32"/>
        </w:rPr>
        <w:t>回復：</w:t>
      </w:r>
    </w:p>
    <w:p w14:paraId="63A1F713" w14:textId="77777777" w:rsidR="00B921E8" w:rsidRPr="001B6E4D" w:rsidRDefault="00B921E8" w:rsidP="003D1018">
      <w:pPr>
        <w:widowControl w:val="0"/>
        <w:tabs>
          <w:tab w:val="left" w:pos="4680"/>
        </w:tabs>
        <w:suppressAutoHyphens/>
        <w:overflowPunct w:val="0"/>
        <w:autoSpaceDN w:val="0"/>
        <w:snapToGrid w:val="0"/>
        <w:spacing w:line="480" w:lineRule="exact"/>
        <w:ind w:left="991"/>
        <w:jc w:val="both"/>
        <w:textAlignment w:val="baseline"/>
        <w:rPr>
          <w:rFonts w:ascii="標楷體" w:eastAsia="標楷體" w:hAnsi="標楷體"/>
          <w:color w:val="000000"/>
          <w:kern w:val="3"/>
          <w:sz w:val="32"/>
          <w:szCs w:val="32"/>
        </w:rPr>
      </w:pPr>
      <w:r w:rsidRPr="001B6E4D">
        <w:rPr>
          <w:rFonts w:ascii="標楷體" w:eastAsia="標楷體" w:hAnsi="標楷體"/>
          <w:b/>
          <w:color w:val="000000"/>
          <w:kern w:val="3"/>
          <w:sz w:val="32"/>
          <w:szCs w:val="32"/>
        </w:rPr>
        <w:t xml:space="preserve">    </w:t>
      </w:r>
      <w:r w:rsidRPr="001B6E4D">
        <w:rPr>
          <w:rFonts w:ascii="標楷體" w:eastAsia="標楷體" w:hAnsi="標楷體" w:hint="eastAsia"/>
          <w:color w:val="000000"/>
          <w:kern w:val="3"/>
          <w:sz w:val="32"/>
          <w:szCs w:val="32"/>
        </w:rPr>
        <w:t>每</w:t>
      </w:r>
      <w:proofErr w:type="gramStart"/>
      <w:r w:rsidRPr="001B6E4D">
        <w:rPr>
          <w:rFonts w:ascii="標楷體" w:eastAsia="標楷體" w:hAnsi="標楷體" w:hint="eastAsia"/>
          <w:color w:val="000000"/>
          <w:kern w:val="3"/>
          <w:sz w:val="32"/>
          <w:szCs w:val="32"/>
        </w:rPr>
        <w:t>個</w:t>
      </w:r>
      <w:proofErr w:type="gramEnd"/>
      <w:r w:rsidRPr="001B6E4D">
        <w:rPr>
          <w:rFonts w:ascii="標楷體" w:eastAsia="標楷體" w:hAnsi="標楷體" w:hint="eastAsia"/>
          <w:color w:val="000000"/>
          <w:kern w:val="3"/>
          <w:sz w:val="32"/>
          <w:szCs w:val="32"/>
        </w:rPr>
        <w:t>贓證物品都有保管字號，案件起訴後，贓證物品移送到法院，法院也會編列新的保管字號，所以有些大型物品，移動困難，也沒有那麼多的保管場地保管，所以大型機具等是透過換保管字號，名義上已移送到法院，保管責任就移轉到法院，如此解決實務上的困境。</w:t>
      </w:r>
    </w:p>
    <w:p w14:paraId="57908485" w14:textId="77777777" w:rsidR="00B921E8" w:rsidRPr="001B6E4D" w:rsidRDefault="00B921E8" w:rsidP="003D1018">
      <w:pPr>
        <w:widowControl w:val="0"/>
        <w:numPr>
          <w:ilvl w:val="0"/>
          <w:numId w:val="87"/>
        </w:numPr>
        <w:suppressAutoHyphens/>
        <w:overflowPunct w:val="0"/>
        <w:autoSpaceDE w:val="0"/>
        <w:autoSpaceDN w:val="0"/>
        <w:spacing w:before="60" w:line="520" w:lineRule="exact"/>
        <w:ind w:left="1004"/>
        <w:jc w:val="both"/>
        <w:textAlignment w:val="baseline"/>
        <w:rPr>
          <w:rFonts w:ascii="標楷體" w:eastAsia="標楷體" w:hAnsi="標楷體"/>
          <w:color w:val="000000"/>
          <w:kern w:val="3"/>
          <w:sz w:val="32"/>
          <w:szCs w:val="32"/>
        </w:rPr>
      </w:pPr>
      <w:r w:rsidRPr="001B6E4D">
        <w:rPr>
          <w:rFonts w:ascii="標楷體" w:eastAsia="標楷體" w:hAnsi="標楷體" w:hint="eastAsia"/>
          <w:b/>
          <w:color w:val="000000"/>
          <w:kern w:val="3"/>
          <w:sz w:val="32"/>
          <w:szCs w:val="32"/>
        </w:rPr>
        <w:t>臺灣</w:t>
      </w:r>
      <w:proofErr w:type="gramStart"/>
      <w:r w:rsidRPr="001B6E4D">
        <w:rPr>
          <w:rFonts w:ascii="標楷體" w:eastAsia="標楷體" w:hAnsi="標楷體" w:hint="eastAsia"/>
          <w:b/>
          <w:bCs/>
          <w:kern w:val="3"/>
          <w:sz w:val="32"/>
          <w:szCs w:val="32"/>
        </w:rPr>
        <w:t>臺</w:t>
      </w:r>
      <w:proofErr w:type="gramEnd"/>
      <w:r w:rsidRPr="001B6E4D">
        <w:rPr>
          <w:rFonts w:ascii="標楷體" w:eastAsia="標楷體" w:hAnsi="標楷體" w:hint="eastAsia"/>
          <w:b/>
          <w:bCs/>
          <w:kern w:val="3"/>
          <w:sz w:val="32"/>
          <w:szCs w:val="32"/>
        </w:rPr>
        <w:t>北地方檢察署王</w:t>
      </w:r>
      <w:proofErr w:type="gramStart"/>
      <w:r w:rsidRPr="001B6E4D">
        <w:rPr>
          <w:rFonts w:ascii="標楷體" w:eastAsia="標楷體" w:hAnsi="標楷體" w:hint="eastAsia"/>
          <w:b/>
          <w:bCs/>
          <w:kern w:val="3"/>
          <w:sz w:val="32"/>
          <w:szCs w:val="32"/>
        </w:rPr>
        <w:t>檢察長俊力補充</w:t>
      </w:r>
      <w:proofErr w:type="gramEnd"/>
      <w:r w:rsidRPr="001B6E4D">
        <w:rPr>
          <w:rFonts w:ascii="標楷體" w:eastAsia="標楷體" w:hAnsi="標楷體" w:hint="eastAsia"/>
          <w:b/>
          <w:bCs/>
          <w:kern w:val="3"/>
          <w:sz w:val="32"/>
          <w:szCs w:val="32"/>
        </w:rPr>
        <w:t>回復：</w:t>
      </w:r>
    </w:p>
    <w:p w14:paraId="5E38BC61" w14:textId="77777777" w:rsidR="00B921E8" w:rsidRPr="001B6E4D" w:rsidRDefault="00B921E8" w:rsidP="003D1018">
      <w:pPr>
        <w:widowControl w:val="0"/>
        <w:tabs>
          <w:tab w:val="left" w:pos="4680"/>
        </w:tabs>
        <w:suppressAutoHyphens/>
        <w:overflowPunct w:val="0"/>
        <w:autoSpaceDN w:val="0"/>
        <w:snapToGrid w:val="0"/>
        <w:spacing w:line="480" w:lineRule="exact"/>
        <w:ind w:left="991"/>
        <w:jc w:val="both"/>
        <w:textAlignment w:val="baseline"/>
        <w:rPr>
          <w:rFonts w:ascii="標楷體" w:eastAsia="標楷體" w:hAnsi="標楷體"/>
          <w:color w:val="000000"/>
          <w:kern w:val="3"/>
          <w:sz w:val="32"/>
          <w:szCs w:val="32"/>
        </w:rPr>
      </w:pPr>
      <w:r w:rsidRPr="001B6E4D">
        <w:rPr>
          <w:rFonts w:ascii="標楷體" w:eastAsia="標楷體" w:hAnsi="標楷體"/>
          <w:b/>
          <w:color w:val="000000"/>
          <w:kern w:val="3"/>
          <w:sz w:val="32"/>
          <w:szCs w:val="32"/>
        </w:rPr>
        <w:lastRenderedPageBreak/>
        <w:t xml:space="preserve">    </w:t>
      </w:r>
      <w:r w:rsidRPr="001B6E4D">
        <w:rPr>
          <w:rFonts w:ascii="標楷體" w:eastAsia="標楷體" w:hAnsi="標楷體" w:hint="eastAsia"/>
          <w:color w:val="000000"/>
          <w:kern w:val="3"/>
          <w:sz w:val="32"/>
          <w:szCs w:val="32"/>
        </w:rPr>
        <w:t>大型贓證物品移轉法院時，</w:t>
      </w:r>
      <w:proofErr w:type="gramStart"/>
      <w:r w:rsidRPr="001B6E4D">
        <w:rPr>
          <w:rFonts w:ascii="標楷體" w:eastAsia="標楷體" w:hAnsi="標楷體" w:hint="eastAsia"/>
          <w:color w:val="000000"/>
          <w:kern w:val="3"/>
          <w:sz w:val="32"/>
          <w:szCs w:val="32"/>
        </w:rPr>
        <w:t>本署會</w:t>
      </w:r>
      <w:proofErr w:type="gramEnd"/>
      <w:r w:rsidRPr="001B6E4D">
        <w:rPr>
          <w:rFonts w:ascii="標楷體" w:eastAsia="標楷體" w:hAnsi="標楷體" w:hint="eastAsia"/>
          <w:color w:val="000000"/>
          <w:kern w:val="3"/>
          <w:sz w:val="32"/>
          <w:szCs w:val="32"/>
        </w:rPr>
        <w:t>通知法院、移送機關同時到場，由三方人員清點，確認沒有問題後，保管責任就移轉給法院。</w:t>
      </w:r>
    </w:p>
    <w:p w14:paraId="419FBBD1" w14:textId="77777777" w:rsidR="00B921E8" w:rsidRPr="001B6E4D" w:rsidRDefault="00B921E8" w:rsidP="003D1018">
      <w:pPr>
        <w:widowControl w:val="0"/>
        <w:numPr>
          <w:ilvl w:val="0"/>
          <w:numId w:val="87"/>
        </w:numPr>
        <w:suppressAutoHyphens/>
        <w:overflowPunct w:val="0"/>
        <w:autoSpaceDE w:val="0"/>
        <w:autoSpaceDN w:val="0"/>
        <w:spacing w:before="60" w:line="520" w:lineRule="exact"/>
        <w:ind w:left="1004"/>
        <w:jc w:val="both"/>
        <w:textAlignment w:val="baseline"/>
        <w:rPr>
          <w:rFonts w:ascii="標楷體" w:eastAsia="標楷體" w:hAnsi="標楷體"/>
          <w:kern w:val="3"/>
        </w:rPr>
      </w:pPr>
      <w:r w:rsidRPr="001B6E4D">
        <w:rPr>
          <w:rFonts w:ascii="標楷體" w:eastAsia="標楷體" w:hAnsi="標楷體" w:hint="eastAsia"/>
          <w:b/>
          <w:color w:val="000000"/>
          <w:kern w:val="3"/>
          <w:sz w:val="32"/>
          <w:szCs w:val="32"/>
        </w:rPr>
        <w:t>沈</w:t>
      </w:r>
      <w:r w:rsidRPr="001B6E4D">
        <w:rPr>
          <w:rFonts w:ascii="標楷體" w:eastAsia="標楷體" w:hAnsi="標楷體"/>
          <w:b/>
          <w:color w:val="000000"/>
          <w:kern w:val="3"/>
          <w:sz w:val="32"/>
          <w:szCs w:val="32"/>
        </w:rPr>
        <w:t>召集委員</w:t>
      </w:r>
      <w:r w:rsidRPr="001B6E4D">
        <w:rPr>
          <w:rFonts w:ascii="標楷體" w:eastAsia="標楷體" w:hAnsi="標楷體" w:hint="eastAsia"/>
          <w:b/>
          <w:color w:val="000000"/>
          <w:kern w:val="3"/>
          <w:sz w:val="32"/>
          <w:szCs w:val="32"/>
        </w:rPr>
        <w:t>發惠</w:t>
      </w:r>
      <w:r w:rsidRPr="001B6E4D">
        <w:rPr>
          <w:rFonts w:ascii="標楷體" w:eastAsia="標楷體" w:hAnsi="標楷體"/>
          <w:b/>
          <w:color w:val="000000"/>
          <w:kern w:val="3"/>
          <w:sz w:val="32"/>
          <w:szCs w:val="32"/>
        </w:rPr>
        <w:t>結語：</w:t>
      </w:r>
    </w:p>
    <w:p w14:paraId="27F50DF4" w14:textId="77777777" w:rsidR="00B921E8" w:rsidRPr="001B6E4D" w:rsidRDefault="00B921E8" w:rsidP="003D1018">
      <w:pPr>
        <w:widowControl w:val="0"/>
        <w:tabs>
          <w:tab w:val="left" w:pos="4680"/>
        </w:tabs>
        <w:suppressAutoHyphens/>
        <w:overflowPunct w:val="0"/>
        <w:autoSpaceDN w:val="0"/>
        <w:snapToGrid w:val="0"/>
        <w:spacing w:line="480" w:lineRule="exact"/>
        <w:ind w:left="991"/>
        <w:jc w:val="both"/>
        <w:textAlignment w:val="baseline"/>
        <w:rPr>
          <w:rFonts w:ascii="標楷體" w:eastAsia="標楷體" w:hAnsi="標楷體"/>
          <w:color w:val="000000"/>
          <w:kern w:val="3"/>
          <w:sz w:val="32"/>
          <w:szCs w:val="32"/>
        </w:rPr>
      </w:pPr>
      <w:r w:rsidRPr="001B6E4D">
        <w:rPr>
          <w:rFonts w:ascii="標楷體" w:eastAsia="標楷體" w:hAnsi="標楷體"/>
          <w:color w:val="000000"/>
          <w:kern w:val="3"/>
          <w:sz w:val="32"/>
          <w:szCs w:val="32"/>
        </w:rPr>
        <w:t xml:space="preserve">    本次考察與座談，針對</w:t>
      </w:r>
      <w:r w:rsidRPr="001B6E4D">
        <w:rPr>
          <w:rFonts w:ascii="標楷體" w:eastAsia="標楷體" w:hAnsi="標楷體" w:hint="eastAsia"/>
          <w:color w:val="000000"/>
          <w:kern w:val="3"/>
          <w:sz w:val="32"/>
          <w:szCs w:val="32"/>
        </w:rPr>
        <w:t>贓證物品的保管及後續的處分流程，有實際的了解，對於智能庫房計劃也有更進一步的了解，關於預算的編列，了解到實際狀況後，未來只要關於贓證物的保存，也會全力的支持。</w:t>
      </w:r>
    </w:p>
    <w:p w14:paraId="7F2518FC" w14:textId="77777777" w:rsidR="00B921E8" w:rsidRPr="001B6E4D" w:rsidRDefault="00B921E8" w:rsidP="003D1018">
      <w:pPr>
        <w:widowControl w:val="0"/>
        <w:overflowPunct w:val="0"/>
        <w:spacing w:line="520" w:lineRule="exact"/>
        <w:jc w:val="both"/>
        <w:rPr>
          <w:rFonts w:ascii="標楷體" w:eastAsia="標楷體" w:hAnsi="標楷體"/>
          <w:b/>
          <w:color w:val="000000"/>
          <w:kern w:val="3"/>
          <w:sz w:val="32"/>
          <w:szCs w:val="32"/>
        </w:rPr>
      </w:pPr>
      <w:r w:rsidRPr="001B6E4D">
        <w:rPr>
          <w:rFonts w:ascii="標楷體" w:eastAsia="標楷體" w:hAnsi="標楷體"/>
          <w:b/>
          <w:color w:val="000000"/>
          <w:kern w:val="3"/>
          <w:sz w:val="32"/>
          <w:szCs w:val="32"/>
        </w:rPr>
        <w:t>散會（上午10時</w:t>
      </w:r>
      <w:r w:rsidRPr="001B6E4D">
        <w:rPr>
          <w:rFonts w:ascii="標楷體" w:eastAsia="標楷體" w:hAnsi="標楷體" w:hint="eastAsia"/>
          <w:b/>
          <w:color w:val="000000"/>
          <w:kern w:val="3"/>
          <w:sz w:val="32"/>
          <w:szCs w:val="32"/>
        </w:rPr>
        <w:t>5</w:t>
      </w:r>
      <w:r w:rsidRPr="001B6E4D">
        <w:rPr>
          <w:rFonts w:ascii="標楷體" w:eastAsia="標楷體" w:hAnsi="標楷體"/>
          <w:b/>
          <w:color w:val="000000"/>
          <w:kern w:val="3"/>
          <w:sz w:val="32"/>
          <w:szCs w:val="32"/>
        </w:rPr>
        <w:t>0分）</w:t>
      </w:r>
    </w:p>
    <w:p w14:paraId="35B09B0E" w14:textId="77777777" w:rsidR="00E6392A" w:rsidRPr="001B6E4D" w:rsidRDefault="00E6392A" w:rsidP="003D1018">
      <w:pPr>
        <w:widowControl w:val="0"/>
        <w:suppressAutoHyphens/>
        <w:overflowPunct w:val="0"/>
        <w:autoSpaceDE w:val="0"/>
        <w:autoSpaceDN w:val="0"/>
        <w:spacing w:after="180" w:line="480" w:lineRule="exact"/>
        <w:jc w:val="center"/>
        <w:textAlignment w:val="baseline"/>
        <w:outlineLvl w:val="2"/>
        <w:rPr>
          <w:rFonts w:ascii="標楷體" w:eastAsia="標楷體" w:hAnsi="標楷體"/>
          <w:b/>
          <w:color w:val="000000"/>
          <w:kern w:val="3"/>
          <w:sz w:val="34"/>
          <w:szCs w:val="34"/>
        </w:rPr>
      </w:pPr>
      <w:r w:rsidRPr="001B6E4D">
        <w:rPr>
          <w:rFonts w:ascii="標楷體" w:eastAsia="標楷體" w:hAnsi="標楷體"/>
          <w:b/>
          <w:color w:val="000000"/>
          <w:kern w:val="3"/>
          <w:sz w:val="34"/>
          <w:szCs w:val="34"/>
        </w:rPr>
        <w:br w:type="page"/>
      </w:r>
    </w:p>
    <w:p w14:paraId="26724EE8" w14:textId="439491F7" w:rsidR="00B921E8" w:rsidRPr="001B6E4D" w:rsidRDefault="00B921E8" w:rsidP="003D1018">
      <w:pPr>
        <w:kinsoku w:val="0"/>
        <w:overflowPunct w:val="0"/>
        <w:snapToGrid w:val="0"/>
        <w:spacing w:afterLines="50" w:after="180" w:line="440" w:lineRule="exact"/>
        <w:jc w:val="center"/>
        <w:outlineLvl w:val="4"/>
        <w:rPr>
          <w:rFonts w:ascii="標楷體" w:eastAsia="標楷體" w:hAnsi="標楷體"/>
          <w:b/>
          <w:spacing w:val="-8"/>
          <w:sz w:val="36"/>
          <w:szCs w:val="20"/>
        </w:rPr>
      </w:pPr>
      <w:r w:rsidRPr="001B6E4D">
        <w:rPr>
          <w:rFonts w:ascii="標楷體" w:eastAsia="標楷體" w:hAnsi="標楷體"/>
          <w:b/>
          <w:spacing w:val="-8"/>
          <w:sz w:val="36"/>
          <w:szCs w:val="20"/>
        </w:rPr>
        <w:lastRenderedPageBreak/>
        <w:t>立法院司法及法制委員會考察「法務部司</w:t>
      </w:r>
      <w:bookmarkStart w:id="582" w:name="考察法務部司法官學院犯罪防治研究中心就AI運用於毒品犯罪研究概況"/>
      <w:bookmarkEnd w:id="582"/>
      <w:r w:rsidRPr="001B6E4D">
        <w:rPr>
          <w:rFonts w:ascii="標楷體" w:eastAsia="標楷體" w:hAnsi="標楷體"/>
          <w:b/>
          <w:spacing w:val="-8"/>
          <w:sz w:val="36"/>
          <w:szCs w:val="20"/>
        </w:rPr>
        <w:t>法官學院</w:t>
      </w:r>
      <w:r w:rsidRPr="001B6E4D">
        <w:rPr>
          <w:rFonts w:ascii="標楷體" w:eastAsia="標楷體" w:hAnsi="標楷體" w:hint="eastAsia"/>
          <w:b/>
          <w:spacing w:val="-8"/>
          <w:sz w:val="36"/>
          <w:szCs w:val="20"/>
        </w:rPr>
        <w:t>犯罪防治研究中心就AI運用於毒品犯罪研究概況</w:t>
      </w:r>
      <w:r w:rsidRPr="001B6E4D">
        <w:rPr>
          <w:rFonts w:ascii="標楷體" w:eastAsia="標楷體" w:hAnsi="標楷體"/>
          <w:b/>
          <w:spacing w:val="-8"/>
          <w:sz w:val="36"/>
          <w:szCs w:val="20"/>
        </w:rPr>
        <w:t>」書面紀錄</w:t>
      </w:r>
    </w:p>
    <w:p w14:paraId="0A49E85C" w14:textId="77777777" w:rsidR="00B921E8" w:rsidRPr="001B6E4D" w:rsidRDefault="00B921E8" w:rsidP="003D1018">
      <w:pPr>
        <w:widowControl w:val="0"/>
        <w:overflowPunct w:val="0"/>
        <w:snapToGrid w:val="0"/>
        <w:spacing w:line="480" w:lineRule="exact"/>
        <w:jc w:val="both"/>
        <w:rPr>
          <w:rFonts w:ascii="標楷體" w:eastAsia="標楷體" w:hAnsi="標楷體"/>
          <w:color w:val="000000"/>
          <w:sz w:val="32"/>
          <w:szCs w:val="32"/>
        </w:rPr>
      </w:pPr>
      <w:r w:rsidRPr="001B6E4D">
        <w:rPr>
          <w:rFonts w:ascii="標楷體" w:eastAsia="標楷體" w:hAnsi="標楷體"/>
          <w:color w:val="000000"/>
          <w:sz w:val="32"/>
          <w:szCs w:val="32"/>
        </w:rPr>
        <w:t>時間：115年7月13日（星期一）下午3時30分</w:t>
      </w:r>
    </w:p>
    <w:p w14:paraId="5063CF3D" w14:textId="77777777" w:rsidR="00B921E8" w:rsidRPr="001B6E4D" w:rsidRDefault="00B921E8" w:rsidP="003D1018">
      <w:pPr>
        <w:widowControl w:val="0"/>
        <w:overflowPunct w:val="0"/>
        <w:snapToGrid w:val="0"/>
        <w:spacing w:line="480" w:lineRule="exact"/>
        <w:jc w:val="both"/>
        <w:rPr>
          <w:rFonts w:ascii="標楷體" w:eastAsia="標楷體" w:hAnsi="標楷體"/>
          <w:color w:val="000000"/>
          <w:sz w:val="32"/>
          <w:szCs w:val="32"/>
        </w:rPr>
      </w:pPr>
      <w:r w:rsidRPr="001B6E4D">
        <w:rPr>
          <w:rFonts w:ascii="標楷體" w:eastAsia="標楷體" w:hAnsi="標楷體"/>
          <w:color w:val="000000"/>
          <w:sz w:val="32"/>
          <w:szCs w:val="32"/>
        </w:rPr>
        <w:t>地點：法務部司法官學院</w:t>
      </w:r>
      <w:r w:rsidRPr="001B6E4D">
        <w:rPr>
          <w:rFonts w:ascii="標楷體" w:eastAsia="標楷體" w:hAnsi="標楷體"/>
          <w:bCs/>
          <w:color w:val="000000"/>
          <w:sz w:val="32"/>
          <w:szCs w:val="32"/>
        </w:rPr>
        <w:t>2樓電腦教室</w:t>
      </w:r>
    </w:p>
    <w:p w14:paraId="20122B62" w14:textId="77777777" w:rsidR="00B921E8" w:rsidRPr="001B6E4D" w:rsidRDefault="00B921E8" w:rsidP="003D1018">
      <w:pPr>
        <w:widowControl w:val="0"/>
        <w:overflowPunct w:val="0"/>
        <w:snapToGrid w:val="0"/>
        <w:spacing w:line="480" w:lineRule="exact"/>
        <w:ind w:left="1699" w:hangingChars="531" w:hanging="1699"/>
        <w:jc w:val="both"/>
        <w:rPr>
          <w:rFonts w:ascii="標楷體" w:eastAsia="標楷體" w:hAnsi="標楷體"/>
          <w:color w:val="000000"/>
          <w:sz w:val="32"/>
          <w:szCs w:val="32"/>
        </w:rPr>
      </w:pPr>
      <w:r w:rsidRPr="001B6E4D">
        <w:rPr>
          <w:rFonts w:ascii="標楷體" w:eastAsia="標楷體" w:hAnsi="標楷體"/>
          <w:color w:val="000000"/>
          <w:sz w:val="32"/>
          <w:szCs w:val="32"/>
        </w:rPr>
        <w:t xml:space="preserve">主席：張立法委員雅琳              </w:t>
      </w:r>
      <w:r w:rsidRPr="001B6E4D">
        <w:rPr>
          <w:rFonts w:ascii="標楷體" w:eastAsia="標楷體" w:hAnsi="標楷體" w:hint="eastAsia"/>
          <w:color w:val="000000"/>
          <w:sz w:val="32"/>
          <w:szCs w:val="32"/>
        </w:rPr>
        <w:t xml:space="preserve"> </w:t>
      </w:r>
      <w:r w:rsidRPr="001B6E4D">
        <w:rPr>
          <w:rFonts w:ascii="標楷體" w:eastAsia="標楷體" w:hAnsi="標楷體"/>
          <w:color w:val="000000"/>
          <w:sz w:val="32"/>
          <w:szCs w:val="32"/>
        </w:rPr>
        <w:t>紀錄：白鎮福、吳瑜</w:t>
      </w:r>
    </w:p>
    <w:p w14:paraId="7417085E" w14:textId="77777777" w:rsidR="00B921E8" w:rsidRPr="001B6E4D" w:rsidRDefault="00B921E8" w:rsidP="003D1018">
      <w:pPr>
        <w:widowControl w:val="0"/>
        <w:tabs>
          <w:tab w:val="left" w:pos="1701"/>
        </w:tabs>
        <w:overflowPunct w:val="0"/>
        <w:snapToGrid w:val="0"/>
        <w:spacing w:line="500" w:lineRule="exact"/>
        <w:ind w:leftChars="1" w:left="2549" w:hangingChars="796" w:hanging="2547"/>
        <w:jc w:val="both"/>
        <w:rPr>
          <w:rFonts w:ascii="標楷體" w:eastAsia="標楷體" w:hAnsi="標楷體"/>
          <w:color w:val="000000"/>
          <w:sz w:val="32"/>
          <w:szCs w:val="32"/>
        </w:rPr>
      </w:pPr>
      <w:r w:rsidRPr="001B6E4D">
        <w:rPr>
          <w:rFonts w:ascii="標楷體" w:eastAsia="標楷體" w:hAnsi="標楷體"/>
          <w:color w:val="000000"/>
          <w:sz w:val="32"/>
          <w:szCs w:val="32"/>
        </w:rPr>
        <w:t>出席人員：</w:t>
      </w:r>
      <w:r w:rsidRPr="001B6E4D">
        <w:rPr>
          <w:rFonts w:ascii="標楷體" w:eastAsia="標楷體" w:hAnsi="標楷體"/>
          <w:color w:val="000000"/>
          <w:sz w:val="32"/>
          <w:szCs w:val="32"/>
        </w:rPr>
        <w:tab/>
        <w:t>立法院司法及法制委員會  薛簡任秘書復寧</w:t>
      </w:r>
    </w:p>
    <w:p w14:paraId="32A90013" w14:textId="77777777" w:rsidR="00B921E8" w:rsidRPr="001B6E4D" w:rsidRDefault="00B921E8" w:rsidP="003D1018">
      <w:pPr>
        <w:widowControl w:val="0"/>
        <w:tabs>
          <w:tab w:val="left" w:pos="1701"/>
        </w:tabs>
        <w:overflowPunct w:val="0"/>
        <w:snapToGrid w:val="0"/>
        <w:spacing w:line="500" w:lineRule="exact"/>
        <w:jc w:val="both"/>
        <w:rPr>
          <w:rFonts w:ascii="標楷體" w:eastAsia="標楷體" w:hAnsi="標楷體"/>
          <w:sz w:val="32"/>
        </w:rPr>
      </w:pPr>
      <w:r w:rsidRPr="001B6E4D">
        <w:rPr>
          <w:rFonts w:ascii="標楷體" w:eastAsia="標楷體" w:hAnsi="標楷體"/>
          <w:sz w:val="32"/>
        </w:rPr>
        <w:t xml:space="preserve">         </w:t>
      </w:r>
      <w:r w:rsidRPr="001B6E4D">
        <w:rPr>
          <w:rFonts w:ascii="標楷體" w:eastAsia="標楷體" w:hAnsi="標楷體"/>
          <w:sz w:val="32"/>
        </w:rPr>
        <w:tab/>
        <w:t xml:space="preserve">立法院司法及法制委員會  </w:t>
      </w:r>
      <w:proofErr w:type="gramStart"/>
      <w:r w:rsidRPr="001B6E4D">
        <w:rPr>
          <w:rFonts w:ascii="標楷體" w:eastAsia="標楷體" w:hAnsi="標楷體"/>
          <w:color w:val="000000"/>
          <w:sz w:val="32"/>
          <w:szCs w:val="32"/>
        </w:rPr>
        <w:t>尤薦任</w:t>
      </w:r>
      <w:proofErr w:type="gramEnd"/>
      <w:r w:rsidRPr="001B6E4D">
        <w:rPr>
          <w:rFonts w:ascii="標楷體" w:eastAsia="標楷體" w:hAnsi="標楷體"/>
          <w:color w:val="000000"/>
          <w:sz w:val="32"/>
          <w:szCs w:val="32"/>
        </w:rPr>
        <w:t>科員</w:t>
      </w:r>
      <w:proofErr w:type="gramStart"/>
      <w:r w:rsidRPr="001B6E4D">
        <w:rPr>
          <w:rFonts w:ascii="標楷體" w:eastAsia="標楷體" w:hAnsi="標楷體"/>
          <w:color w:val="000000"/>
          <w:sz w:val="32"/>
          <w:szCs w:val="32"/>
        </w:rPr>
        <w:t>翊珊</w:t>
      </w:r>
      <w:proofErr w:type="gramEnd"/>
    </w:p>
    <w:p w14:paraId="1874B18C"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立法院</w:t>
      </w:r>
      <w:r w:rsidRPr="001B6E4D">
        <w:rPr>
          <w:rFonts w:ascii="標楷體" w:eastAsia="標楷體" w:hAnsi="標楷體"/>
          <w:sz w:val="32"/>
          <w:szCs w:val="32"/>
        </w:rPr>
        <w:t>張雅琳</w:t>
      </w:r>
      <w:r w:rsidRPr="001B6E4D">
        <w:rPr>
          <w:rFonts w:ascii="標楷體" w:eastAsia="標楷體" w:hAnsi="標楷體"/>
          <w:color w:val="000000"/>
          <w:sz w:val="32"/>
          <w:szCs w:val="32"/>
        </w:rPr>
        <w:t>委員        李研究室助理宴蓉</w:t>
      </w:r>
    </w:p>
    <w:p w14:paraId="4FCBF6C4"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立法院</w:t>
      </w:r>
      <w:r w:rsidRPr="001B6E4D">
        <w:rPr>
          <w:rFonts w:ascii="標楷體" w:eastAsia="標楷體" w:hAnsi="標楷體"/>
          <w:sz w:val="32"/>
          <w:szCs w:val="32"/>
        </w:rPr>
        <w:t>張雅琳</w:t>
      </w:r>
      <w:r w:rsidRPr="001B6E4D">
        <w:rPr>
          <w:rFonts w:ascii="標楷體" w:eastAsia="標楷體" w:hAnsi="標楷體"/>
          <w:color w:val="000000"/>
          <w:sz w:val="32"/>
          <w:szCs w:val="32"/>
        </w:rPr>
        <w:t>委員        張研究室助理庭</w:t>
      </w:r>
      <w:proofErr w:type="gramStart"/>
      <w:r w:rsidRPr="001B6E4D">
        <w:rPr>
          <w:rFonts w:ascii="標楷體" w:eastAsia="標楷體" w:hAnsi="標楷體"/>
          <w:color w:val="000000"/>
          <w:sz w:val="32"/>
          <w:szCs w:val="32"/>
        </w:rPr>
        <w:t>逌</w:t>
      </w:r>
      <w:proofErr w:type="gramEnd"/>
    </w:p>
    <w:p w14:paraId="5EC68BCD"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立法院莊瑞雄委員        鄭研究室助理鈞文</w:t>
      </w:r>
    </w:p>
    <w:p w14:paraId="01EE2612"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立法院</w:t>
      </w:r>
      <w:r w:rsidRPr="001B6E4D">
        <w:rPr>
          <w:rFonts w:ascii="標楷體" w:eastAsia="標楷體" w:hAnsi="標楷體"/>
          <w:sz w:val="32"/>
          <w:szCs w:val="32"/>
        </w:rPr>
        <w:t>陳昭姿</w:t>
      </w:r>
      <w:r w:rsidRPr="001B6E4D">
        <w:rPr>
          <w:rFonts w:ascii="標楷體" w:eastAsia="標楷體" w:hAnsi="標楷體"/>
          <w:color w:val="000000"/>
          <w:sz w:val="32"/>
          <w:szCs w:val="32"/>
        </w:rPr>
        <w:t>委員        洪研究室助理可恩</w:t>
      </w:r>
    </w:p>
    <w:p w14:paraId="283737EA"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rPr>
      </w:pPr>
      <w:r w:rsidRPr="001B6E4D">
        <w:rPr>
          <w:rFonts w:ascii="標楷體" w:eastAsia="標楷體" w:hAnsi="標楷體"/>
          <w:color w:val="000000"/>
          <w:sz w:val="32"/>
          <w:szCs w:val="32"/>
        </w:rPr>
        <w:t xml:space="preserve">法務部                  </w:t>
      </w:r>
      <w:proofErr w:type="gramStart"/>
      <w:r w:rsidRPr="001B6E4D">
        <w:rPr>
          <w:rFonts w:ascii="標楷體" w:eastAsia="標楷體" w:hAnsi="標楷體"/>
          <w:color w:val="000000"/>
          <w:sz w:val="32"/>
        </w:rPr>
        <w:t>余</w:t>
      </w:r>
      <w:proofErr w:type="gramEnd"/>
      <w:r w:rsidRPr="001B6E4D">
        <w:rPr>
          <w:rFonts w:ascii="標楷體" w:eastAsia="標楷體" w:hAnsi="標楷體"/>
          <w:color w:val="000000"/>
          <w:sz w:val="32"/>
        </w:rPr>
        <w:t>主任秘書麗貞</w:t>
      </w:r>
    </w:p>
    <w:p w14:paraId="6968C866"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 xml:space="preserve">法務部                  </w:t>
      </w:r>
      <w:r w:rsidRPr="001B6E4D">
        <w:rPr>
          <w:rFonts w:ascii="標楷體" w:eastAsia="標楷體" w:hAnsi="標楷體"/>
          <w:sz w:val="32"/>
        </w:rPr>
        <w:t>鄭專門委員偉利</w:t>
      </w:r>
    </w:p>
    <w:p w14:paraId="73DCF154"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                  張科員宜</w:t>
      </w:r>
      <w:proofErr w:type="gramStart"/>
      <w:r w:rsidRPr="001B6E4D">
        <w:rPr>
          <w:rFonts w:ascii="標楷體" w:eastAsia="標楷體" w:hAnsi="標楷體"/>
          <w:color w:val="000000"/>
          <w:sz w:val="32"/>
          <w:szCs w:val="32"/>
        </w:rPr>
        <w:t>瑄</w:t>
      </w:r>
      <w:proofErr w:type="gramEnd"/>
    </w:p>
    <w:p w14:paraId="7E232284"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吳院長巡龍</w:t>
      </w:r>
    </w:p>
    <w:p w14:paraId="24F01DA9"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蔡主任秘書名堯</w:t>
      </w:r>
    </w:p>
    <w:p w14:paraId="2AAEB20A"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張組長惠菁</w:t>
      </w:r>
    </w:p>
    <w:p w14:paraId="0AF0F4B7"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 xml:space="preserve">法務部司法官學院        </w:t>
      </w:r>
      <w:proofErr w:type="gramStart"/>
      <w:r w:rsidRPr="001B6E4D">
        <w:rPr>
          <w:rFonts w:ascii="標楷體" w:eastAsia="標楷體" w:hAnsi="標楷體"/>
          <w:color w:val="000000"/>
          <w:sz w:val="32"/>
          <w:szCs w:val="32"/>
        </w:rPr>
        <w:t>蔡</w:t>
      </w:r>
      <w:proofErr w:type="gramEnd"/>
      <w:r w:rsidRPr="001B6E4D">
        <w:rPr>
          <w:rFonts w:ascii="標楷體" w:eastAsia="標楷體" w:hAnsi="標楷體"/>
          <w:color w:val="000000"/>
          <w:sz w:val="32"/>
          <w:szCs w:val="32"/>
        </w:rPr>
        <w:t>組長元</w:t>
      </w:r>
      <w:proofErr w:type="gramStart"/>
      <w:r w:rsidRPr="001B6E4D">
        <w:rPr>
          <w:rFonts w:ascii="標楷體" w:eastAsia="標楷體" w:hAnsi="標楷體"/>
          <w:color w:val="000000"/>
          <w:sz w:val="32"/>
          <w:szCs w:val="32"/>
        </w:rPr>
        <w:t>仕</w:t>
      </w:r>
      <w:proofErr w:type="gramEnd"/>
    </w:p>
    <w:p w14:paraId="58E8C41B"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鄭中心主任添成</w:t>
      </w:r>
    </w:p>
    <w:p w14:paraId="74B81F6A"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劉導師庭維</w:t>
      </w:r>
    </w:p>
    <w:p w14:paraId="569A1D04"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薄人事管理員榮彥</w:t>
      </w:r>
    </w:p>
    <w:p w14:paraId="715817DD"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陳</w:t>
      </w:r>
      <w:proofErr w:type="gramStart"/>
      <w:r w:rsidRPr="001B6E4D">
        <w:rPr>
          <w:rFonts w:ascii="標楷體" w:eastAsia="標楷體" w:hAnsi="標楷體"/>
          <w:color w:val="000000"/>
          <w:sz w:val="32"/>
          <w:szCs w:val="32"/>
        </w:rPr>
        <w:t>主計員曉玲</w:t>
      </w:r>
      <w:proofErr w:type="gramEnd"/>
    </w:p>
    <w:p w14:paraId="5B986B53"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吳專員雨潔</w:t>
      </w:r>
    </w:p>
    <w:p w14:paraId="015A3AAE"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顧研究員以謙</w:t>
      </w:r>
    </w:p>
    <w:p w14:paraId="7D89CB6C"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 xml:space="preserve">法務部司法官學院        </w:t>
      </w:r>
      <w:proofErr w:type="gramStart"/>
      <w:r w:rsidRPr="001B6E4D">
        <w:rPr>
          <w:rFonts w:ascii="標楷體" w:eastAsia="標楷體" w:hAnsi="標楷體"/>
          <w:color w:val="000000"/>
          <w:sz w:val="32"/>
          <w:szCs w:val="32"/>
        </w:rPr>
        <w:t>蔡</w:t>
      </w:r>
      <w:proofErr w:type="gramEnd"/>
      <w:r w:rsidRPr="001B6E4D">
        <w:rPr>
          <w:rFonts w:ascii="標楷體" w:eastAsia="標楷體" w:hAnsi="標楷體"/>
          <w:color w:val="000000"/>
          <w:sz w:val="32"/>
          <w:szCs w:val="32"/>
        </w:rPr>
        <w:t>副研究員宜家</w:t>
      </w:r>
    </w:p>
    <w:p w14:paraId="2A4DE081"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白助理研究員鎮福</w:t>
      </w:r>
    </w:p>
    <w:p w14:paraId="08AA7408" w14:textId="77777777" w:rsidR="00B921E8" w:rsidRPr="001B6E4D" w:rsidRDefault="00B921E8" w:rsidP="003D1018">
      <w:pPr>
        <w:widowControl w:val="0"/>
        <w:tabs>
          <w:tab w:val="left" w:pos="5670"/>
        </w:tabs>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吳助理研究員</w:t>
      </w:r>
      <w:proofErr w:type="gramStart"/>
      <w:r w:rsidRPr="001B6E4D">
        <w:rPr>
          <w:rFonts w:ascii="標楷體" w:eastAsia="標楷體" w:hAnsi="標楷體"/>
          <w:color w:val="000000"/>
          <w:sz w:val="32"/>
          <w:szCs w:val="32"/>
        </w:rPr>
        <w:t>瑜</w:t>
      </w:r>
      <w:proofErr w:type="gramEnd"/>
    </w:p>
    <w:p w14:paraId="0E320F1B"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何專員協隆</w:t>
      </w:r>
    </w:p>
    <w:p w14:paraId="317A3B21"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簡專員</w:t>
      </w:r>
      <w:proofErr w:type="gramStart"/>
      <w:r w:rsidRPr="001B6E4D">
        <w:rPr>
          <w:rFonts w:ascii="標楷體" w:eastAsia="標楷體" w:hAnsi="標楷體"/>
          <w:color w:val="000000"/>
          <w:sz w:val="32"/>
          <w:szCs w:val="32"/>
        </w:rPr>
        <w:t>珮</w:t>
      </w:r>
      <w:proofErr w:type="gramEnd"/>
      <w:r w:rsidRPr="001B6E4D">
        <w:rPr>
          <w:rFonts w:ascii="標楷體" w:eastAsia="標楷體" w:hAnsi="標楷體"/>
          <w:color w:val="000000"/>
          <w:sz w:val="32"/>
          <w:szCs w:val="32"/>
        </w:rPr>
        <w:t>清</w:t>
      </w:r>
    </w:p>
    <w:p w14:paraId="393B1CEF"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lastRenderedPageBreak/>
        <w:t>法務部司法官學院        王專員</w:t>
      </w:r>
      <w:proofErr w:type="gramStart"/>
      <w:r w:rsidRPr="001B6E4D">
        <w:rPr>
          <w:rFonts w:ascii="標楷體" w:eastAsia="標楷體" w:hAnsi="標楷體"/>
          <w:color w:val="000000"/>
          <w:sz w:val="32"/>
          <w:szCs w:val="32"/>
        </w:rPr>
        <w:t>炳</w:t>
      </w:r>
      <w:proofErr w:type="gramEnd"/>
      <w:r w:rsidRPr="001B6E4D">
        <w:rPr>
          <w:rFonts w:ascii="標楷體" w:eastAsia="標楷體" w:hAnsi="標楷體"/>
          <w:color w:val="000000"/>
          <w:sz w:val="32"/>
          <w:szCs w:val="32"/>
        </w:rPr>
        <w:t>棟</w:t>
      </w:r>
    </w:p>
    <w:p w14:paraId="2BD1BC4A"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劉專員建志</w:t>
      </w:r>
    </w:p>
    <w:p w14:paraId="283136F4" w14:textId="77777777" w:rsidR="00B921E8" w:rsidRPr="001B6E4D" w:rsidRDefault="00B921E8" w:rsidP="003D1018">
      <w:pPr>
        <w:widowControl w:val="0"/>
        <w:overflowPunct w:val="0"/>
        <w:snapToGrid w:val="0"/>
        <w:spacing w:line="500" w:lineRule="exact"/>
        <w:ind w:leftChars="708" w:left="1865" w:hangingChars="52" w:hanging="166"/>
        <w:jc w:val="both"/>
        <w:rPr>
          <w:rFonts w:ascii="標楷體" w:eastAsia="標楷體" w:hAnsi="標楷體"/>
          <w:color w:val="000000"/>
          <w:sz w:val="32"/>
          <w:szCs w:val="32"/>
        </w:rPr>
      </w:pPr>
      <w:r w:rsidRPr="001B6E4D">
        <w:rPr>
          <w:rFonts w:ascii="標楷體" w:eastAsia="標楷體" w:hAnsi="標楷體"/>
          <w:color w:val="000000"/>
          <w:sz w:val="32"/>
          <w:szCs w:val="32"/>
        </w:rPr>
        <w:t>法務部司法官學院        黃專員博加</w:t>
      </w:r>
    </w:p>
    <w:p w14:paraId="031600D7" w14:textId="77777777" w:rsidR="00B921E8" w:rsidRPr="001B6E4D" w:rsidRDefault="00B921E8" w:rsidP="003D1018">
      <w:pPr>
        <w:widowControl w:val="0"/>
        <w:overflowPunct w:val="0"/>
        <w:snapToGrid w:val="0"/>
        <w:spacing w:line="480" w:lineRule="exact"/>
        <w:jc w:val="both"/>
        <w:rPr>
          <w:rFonts w:ascii="標楷體" w:eastAsia="標楷體" w:hAnsi="標楷體"/>
          <w:b/>
          <w:kern w:val="0"/>
          <w:sz w:val="32"/>
        </w:rPr>
      </w:pPr>
      <w:r w:rsidRPr="001B6E4D">
        <w:rPr>
          <w:rFonts w:ascii="標楷體" w:eastAsia="標楷體" w:hAnsi="標楷體"/>
          <w:b/>
          <w:color w:val="000000"/>
          <w:kern w:val="0"/>
          <w:sz w:val="32"/>
          <w:szCs w:val="32"/>
        </w:rPr>
        <w:t>壹、主持人</w:t>
      </w:r>
      <w:r w:rsidRPr="001B6E4D">
        <w:rPr>
          <w:rFonts w:ascii="標楷體" w:eastAsia="標楷體" w:hAnsi="標楷體"/>
          <w:b/>
          <w:kern w:val="0"/>
          <w:sz w:val="32"/>
        </w:rPr>
        <w:t>致詞</w:t>
      </w:r>
    </w:p>
    <w:p w14:paraId="7E2AF58B" w14:textId="77777777" w:rsidR="00B921E8" w:rsidRPr="001B6E4D" w:rsidRDefault="00B921E8" w:rsidP="003D1018">
      <w:pPr>
        <w:widowControl w:val="0"/>
        <w:overflowPunct w:val="0"/>
        <w:jc w:val="both"/>
        <w:rPr>
          <w:rFonts w:ascii="標楷體" w:eastAsia="標楷體" w:hAnsi="標楷體"/>
          <w:sz w:val="32"/>
        </w:rPr>
      </w:pPr>
      <w:r w:rsidRPr="001B6E4D">
        <w:rPr>
          <w:rFonts w:ascii="標楷體" w:eastAsia="標楷體" w:hAnsi="標楷體"/>
          <w:b/>
          <w:bCs/>
          <w:sz w:val="32"/>
          <w:szCs w:val="32"/>
        </w:rPr>
        <w:t>一、吳巡龍院長：</w:t>
      </w:r>
    </w:p>
    <w:p w14:paraId="511AD39A" w14:textId="77777777" w:rsidR="00B921E8" w:rsidRPr="001B6E4D" w:rsidRDefault="00B921E8" w:rsidP="003D1018">
      <w:pPr>
        <w:widowControl w:val="0"/>
        <w:overflowPunct w:val="0"/>
        <w:spacing w:line="480" w:lineRule="exact"/>
        <w:ind w:firstLineChars="200" w:firstLine="640"/>
        <w:jc w:val="both"/>
        <w:rPr>
          <w:rFonts w:ascii="標楷體" w:eastAsia="標楷體" w:hAnsi="標楷體"/>
          <w:sz w:val="32"/>
        </w:rPr>
      </w:pPr>
      <w:r w:rsidRPr="001B6E4D">
        <w:rPr>
          <w:rFonts w:ascii="標楷體" w:eastAsia="標楷體" w:hAnsi="標楷體"/>
          <w:sz w:val="32"/>
        </w:rPr>
        <w:t>立法院張委員、立法院的各位來賓、法務部</w:t>
      </w:r>
      <w:proofErr w:type="gramStart"/>
      <w:r w:rsidRPr="001B6E4D">
        <w:rPr>
          <w:rFonts w:ascii="標楷體" w:eastAsia="標楷體" w:hAnsi="標楷體"/>
          <w:sz w:val="32"/>
        </w:rPr>
        <w:t>余</w:t>
      </w:r>
      <w:proofErr w:type="gramEnd"/>
      <w:r w:rsidRPr="001B6E4D">
        <w:rPr>
          <w:rFonts w:ascii="標楷體" w:eastAsia="標楷體" w:hAnsi="標楷體"/>
          <w:sz w:val="32"/>
        </w:rPr>
        <w:t>主任秘書，以及學院的各位同仁，大家好。</w:t>
      </w:r>
    </w:p>
    <w:p w14:paraId="0D34A054" w14:textId="77777777" w:rsidR="00B921E8" w:rsidRPr="001B6E4D" w:rsidRDefault="00B921E8" w:rsidP="003D1018">
      <w:pPr>
        <w:widowControl w:val="0"/>
        <w:overflowPunct w:val="0"/>
        <w:spacing w:line="480" w:lineRule="exact"/>
        <w:ind w:firstLineChars="200" w:firstLine="640"/>
        <w:jc w:val="both"/>
        <w:rPr>
          <w:rFonts w:ascii="標楷體" w:eastAsia="標楷體" w:hAnsi="標楷體"/>
          <w:sz w:val="32"/>
        </w:rPr>
      </w:pPr>
      <w:r w:rsidRPr="001B6E4D">
        <w:rPr>
          <w:rFonts w:ascii="標楷體" w:eastAsia="標楷體" w:hAnsi="標楷體"/>
          <w:sz w:val="32"/>
        </w:rPr>
        <w:t>今天非常感謝張委員及各位來賓蒞臨本學院，實地了解犯罪防治研究中心就AI運用於毒品犯罪研究的概況，本學院深感榮幸，本人代表全體的同仁表達誠摯的歡迎之意。</w:t>
      </w:r>
    </w:p>
    <w:p w14:paraId="36F760C7" w14:textId="77777777" w:rsidR="00B921E8" w:rsidRPr="001B6E4D" w:rsidRDefault="00B921E8" w:rsidP="003D1018">
      <w:pPr>
        <w:widowControl w:val="0"/>
        <w:overflowPunct w:val="0"/>
        <w:spacing w:line="480" w:lineRule="exact"/>
        <w:ind w:firstLineChars="200" w:firstLine="640"/>
        <w:jc w:val="both"/>
        <w:rPr>
          <w:rFonts w:ascii="標楷體" w:eastAsia="標楷體" w:hAnsi="標楷體"/>
          <w:sz w:val="32"/>
        </w:rPr>
      </w:pPr>
      <w:r w:rsidRPr="001B6E4D">
        <w:rPr>
          <w:rFonts w:ascii="標楷體" w:eastAsia="標楷體" w:hAnsi="標楷體"/>
          <w:sz w:val="32"/>
        </w:rPr>
        <w:t>我認為每一次視察對學院</w:t>
      </w:r>
      <w:proofErr w:type="gramStart"/>
      <w:r w:rsidRPr="001B6E4D">
        <w:rPr>
          <w:rFonts w:ascii="標楷體" w:eastAsia="標楷體" w:hAnsi="標楷體"/>
          <w:sz w:val="32"/>
        </w:rPr>
        <w:t>來說都是</w:t>
      </w:r>
      <w:proofErr w:type="gramEnd"/>
      <w:r w:rsidRPr="001B6E4D">
        <w:rPr>
          <w:rFonts w:ascii="標楷體" w:eastAsia="標楷體" w:hAnsi="標楷體"/>
          <w:sz w:val="32"/>
        </w:rPr>
        <w:t>寶貴的提醒與策進契機，希望藉由委員及各位立法院先進對學院的指教，讓我們各項業務持續精進完善。</w:t>
      </w:r>
    </w:p>
    <w:p w14:paraId="4B4876DA" w14:textId="77777777" w:rsidR="00B921E8" w:rsidRPr="001B6E4D" w:rsidRDefault="00B921E8" w:rsidP="003D1018">
      <w:pPr>
        <w:widowControl w:val="0"/>
        <w:overflowPunct w:val="0"/>
        <w:spacing w:line="480" w:lineRule="exact"/>
        <w:ind w:firstLineChars="200" w:firstLine="640"/>
        <w:jc w:val="both"/>
        <w:rPr>
          <w:rFonts w:ascii="標楷體" w:eastAsia="標楷體" w:hAnsi="標楷體"/>
          <w:sz w:val="32"/>
        </w:rPr>
      </w:pPr>
      <w:r w:rsidRPr="001B6E4D">
        <w:rPr>
          <w:rFonts w:ascii="標楷體" w:eastAsia="標楷體" w:hAnsi="標楷體"/>
          <w:sz w:val="32"/>
        </w:rPr>
        <w:t>接下來介紹學院與會的同仁：主任秘書蔡名堯、教務組張惠菁組長、學</w:t>
      </w:r>
      <w:proofErr w:type="gramStart"/>
      <w:r w:rsidRPr="001B6E4D">
        <w:rPr>
          <w:rFonts w:ascii="標楷體" w:eastAsia="標楷體" w:hAnsi="標楷體"/>
          <w:sz w:val="32"/>
        </w:rPr>
        <w:t>務</w:t>
      </w:r>
      <w:proofErr w:type="gramEnd"/>
      <w:r w:rsidRPr="001B6E4D">
        <w:rPr>
          <w:rFonts w:ascii="標楷體" w:eastAsia="標楷體" w:hAnsi="標楷體"/>
          <w:sz w:val="32"/>
        </w:rPr>
        <w:t>組蔡元仕組長、犯罪防治研究中心鄭添成中心主任、導師</w:t>
      </w:r>
      <w:proofErr w:type="gramStart"/>
      <w:r w:rsidRPr="001B6E4D">
        <w:rPr>
          <w:rFonts w:ascii="標楷體" w:eastAsia="標楷體" w:hAnsi="標楷體"/>
          <w:sz w:val="32"/>
        </w:rPr>
        <w:t>室劉庭維</w:t>
      </w:r>
      <w:proofErr w:type="gramEnd"/>
      <w:r w:rsidRPr="001B6E4D">
        <w:rPr>
          <w:rFonts w:ascii="標楷體" w:eastAsia="標楷體" w:hAnsi="標楷體"/>
          <w:sz w:val="32"/>
        </w:rPr>
        <w:t>法官、人事機構薄榮彥主任、主計機構陳曉玲主任。介紹完畢，再次感謝各位委員，請大家多多指教。</w:t>
      </w:r>
    </w:p>
    <w:p w14:paraId="36046AC1" w14:textId="77777777" w:rsidR="00B921E8" w:rsidRPr="001B6E4D" w:rsidRDefault="00B921E8" w:rsidP="003D1018">
      <w:pPr>
        <w:widowControl w:val="0"/>
        <w:overflowPunct w:val="0"/>
        <w:jc w:val="both"/>
        <w:rPr>
          <w:rFonts w:ascii="標楷體" w:eastAsia="標楷體" w:hAnsi="標楷體"/>
          <w:sz w:val="32"/>
        </w:rPr>
      </w:pPr>
      <w:r w:rsidRPr="001B6E4D">
        <w:rPr>
          <w:rFonts w:ascii="標楷體" w:eastAsia="標楷體" w:hAnsi="標楷體"/>
          <w:b/>
          <w:bCs/>
          <w:sz w:val="32"/>
          <w:szCs w:val="32"/>
        </w:rPr>
        <w:t>二、張立法委員雅琳：</w:t>
      </w:r>
    </w:p>
    <w:p w14:paraId="6280349E" w14:textId="77777777" w:rsidR="00B921E8" w:rsidRPr="001B6E4D" w:rsidRDefault="00B921E8" w:rsidP="003D1018">
      <w:pPr>
        <w:widowControl w:val="0"/>
        <w:overflowPunct w:val="0"/>
        <w:spacing w:line="480" w:lineRule="exact"/>
        <w:ind w:firstLineChars="200" w:firstLine="640"/>
        <w:jc w:val="both"/>
        <w:rPr>
          <w:rFonts w:ascii="標楷體" w:eastAsia="標楷體" w:hAnsi="標楷體"/>
          <w:sz w:val="32"/>
        </w:rPr>
      </w:pPr>
      <w:r w:rsidRPr="001B6E4D">
        <w:rPr>
          <w:rFonts w:ascii="標楷體" w:eastAsia="標楷體" w:hAnsi="標楷體"/>
          <w:sz w:val="32"/>
        </w:rPr>
        <w:t>司法官學院院長、法務部主秘、各位同仁，以及立法院各委員辦公室的助理夥伴、立法院</w:t>
      </w:r>
      <w:proofErr w:type="gramStart"/>
      <w:r w:rsidRPr="001B6E4D">
        <w:rPr>
          <w:rFonts w:ascii="標楷體" w:eastAsia="標楷體" w:hAnsi="標楷體"/>
          <w:sz w:val="32"/>
        </w:rPr>
        <w:t>簡秘，</w:t>
      </w:r>
      <w:proofErr w:type="gramEnd"/>
      <w:r w:rsidRPr="001B6E4D">
        <w:rPr>
          <w:rFonts w:ascii="標楷體" w:eastAsia="標楷體" w:hAnsi="標楷體"/>
          <w:sz w:val="32"/>
        </w:rPr>
        <w:t>大家好。</w:t>
      </w:r>
    </w:p>
    <w:p w14:paraId="6B6F8EAD" w14:textId="77777777" w:rsidR="00B921E8" w:rsidRPr="001B6E4D" w:rsidRDefault="00B921E8" w:rsidP="003D1018">
      <w:pPr>
        <w:widowControl w:val="0"/>
        <w:overflowPunct w:val="0"/>
        <w:spacing w:line="480" w:lineRule="exact"/>
        <w:ind w:firstLineChars="200" w:firstLine="640"/>
        <w:jc w:val="both"/>
        <w:rPr>
          <w:rFonts w:ascii="標楷體" w:eastAsia="標楷體" w:hAnsi="標楷體"/>
          <w:sz w:val="32"/>
        </w:rPr>
      </w:pPr>
      <w:r w:rsidRPr="001B6E4D">
        <w:rPr>
          <w:rFonts w:ascii="標楷體" w:eastAsia="標楷體" w:hAnsi="標楷體"/>
          <w:sz w:val="32"/>
        </w:rPr>
        <w:t>今天非常榮幸能來到司法官學院，擔任本次考察座談會的主持人。我們特別安排這次的行程，主要是為了深入了解與交流幾個我們持續高度關注的重大社會議題。</w:t>
      </w:r>
    </w:p>
    <w:p w14:paraId="31C177A9" w14:textId="77777777" w:rsidR="00B921E8" w:rsidRPr="001B6E4D" w:rsidRDefault="00B921E8" w:rsidP="003D1018">
      <w:pPr>
        <w:widowControl w:val="0"/>
        <w:overflowPunct w:val="0"/>
        <w:spacing w:line="480" w:lineRule="exact"/>
        <w:ind w:firstLineChars="200" w:firstLine="640"/>
        <w:jc w:val="both"/>
        <w:rPr>
          <w:rFonts w:ascii="標楷體" w:eastAsia="標楷體" w:hAnsi="標楷體"/>
          <w:sz w:val="32"/>
        </w:rPr>
      </w:pPr>
      <w:r w:rsidRPr="001B6E4D">
        <w:rPr>
          <w:rFonts w:ascii="標楷體" w:eastAsia="標楷體" w:hAnsi="標楷體"/>
          <w:sz w:val="32"/>
        </w:rPr>
        <w:t>相信各位最近在新聞上，都頻繁看到關於「依托</w:t>
      </w:r>
      <w:proofErr w:type="gramStart"/>
      <w:r w:rsidRPr="001B6E4D">
        <w:rPr>
          <w:rFonts w:ascii="標楷體" w:eastAsia="標楷體" w:hAnsi="標楷體"/>
          <w:sz w:val="32"/>
        </w:rPr>
        <w:t>咪</w:t>
      </w:r>
      <w:proofErr w:type="gramEnd"/>
      <w:r w:rsidRPr="001B6E4D">
        <w:rPr>
          <w:rFonts w:ascii="標楷體" w:eastAsia="標楷體" w:hAnsi="標楷體"/>
          <w:sz w:val="32"/>
        </w:rPr>
        <w:t>酯」濫用</w:t>
      </w:r>
      <w:proofErr w:type="gramStart"/>
      <w:r w:rsidRPr="001B6E4D">
        <w:rPr>
          <w:rFonts w:ascii="標楷體" w:eastAsia="標楷體" w:hAnsi="標楷體"/>
          <w:sz w:val="32"/>
        </w:rPr>
        <w:t>以及毒駕</w:t>
      </w:r>
      <w:proofErr w:type="gramEnd"/>
      <w:r w:rsidRPr="001B6E4D">
        <w:rPr>
          <w:rFonts w:ascii="標楷體" w:eastAsia="標楷體" w:hAnsi="標楷體"/>
          <w:sz w:val="32"/>
        </w:rPr>
        <w:t>的事件。這些現象在社會上已經屢見不鮮，也是我個人長期深切關心的焦點。回顧 2024 年，我也曾針對《刑法》第 185 條之 3 向法務部提出質詢。目前社會相關關注究竟該如何確實將依托</w:t>
      </w:r>
      <w:proofErr w:type="gramStart"/>
      <w:r w:rsidRPr="001B6E4D">
        <w:rPr>
          <w:rFonts w:ascii="標楷體" w:eastAsia="標楷體" w:hAnsi="標楷體"/>
          <w:sz w:val="32"/>
        </w:rPr>
        <w:t>咪酯等</w:t>
      </w:r>
      <w:proofErr w:type="gramEnd"/>
      <w:r w:rsidRPr="001B6E4D">
        <w:rPr>
          <w:rFonts w:ascii="標楷體" w:eastAsia="標楷體" w:hAnsi="標楷體"/>
          <w:sz w:val="32"/>
        </w:rPr>
        <w:t>新興毒品趕出校園？以及</w:t>
      </w:r>
      <w:r w:rsidRPr="001B6E4D">
        <w:rPr>
          <w:rFonts w:ascii="標楷體" w:eastAsia="標楷體" w:hAnsi="標楷體"/>
          <w:sz w:val="32"/>
        </w:rPr>
        <w:lastRenderedPageBreak/>
        <w:t>在確認施用後，如何確保有效定罪？更重要的是，針對少年施用者的後續社會復歸，我們體系能提供什麼樣的實質協助？</w:t>
      </w:r>
    </w:p>
    <w:p w14:paraId="66186F20" w14:textId="77777777" w:rsidR="00B921E8" w:rsidRPr="001B6E4D" w:rsidRDefault="00B921E8" w:rsidP="003D1018">
      <w:pPr>
        <w:widowControl w:val="0"/>
        <w:overflowPunct w:val="0"/>
        <w:spacing w:line="480" w:lineRule="exact"/>
        <w:ind w:firstLineChars="200" w:firstLine="640"/>
        <w:jc w:val="both"/>
        <w:rPr>
          <w:rFonts w:ascii="標楷體" w:eastAsia="標楷體" w:hAnsi="標楷體"/>
          <w:sz w:val="32"/>
        </w:rPr>
      </w:pPr>
      <w:r w:rsidRPr="001B6E4D">
        <w:rPr>
          <w:rFonts w:ascii="標楷體" w:eastAsia="標楷體" w:hAnsi="標楷體"/>
          <w:sz w:val="32"/>
        </w:rPr>
        <w:t>為此，我們想要深度了解犯罪防治研究中心今年持續推動的「以再犯預防為導向之AI人工智慧毒品施用犯罪大數據應用分析」計畫，這項計畫透過自然語言處理與機器學習技術，深入分析了檢察書類中，不同處遇措施的執行情形與再犯風險。這項研究的目的是希望能為毒品施用者的分流、處遇及再犯預防政策，提供更具客觀實證基礎的參考。該研究之研究結果指出高達53%至65%的毒品施用者，大多數仍是持續施用毒品。研究建議提出未來的毒品政策，應該更聚焦於成癮治療、社會復歸以及再犯預防，而非僅僅著重於後端的刑事處罰。</w:t>
      </w:r>
    </w:p>
    <w:p w14:paraId="526C0B92" w14:textId="77777777" w:rsidR="00B921E8" w:rsidRPr="001B6E4D" w:rsidRDefault="00B921E8" w:rsidP="003D1018">
      <w:pPr>
        <w:widowControl w:val="0"/>
        <w:overflowPunct w:val="0"/>
        <w:spacing w:line="480" w:lineRule="exact"/>
        <w:ind w:firstLineChars="200" w:firstLine="640"/>
        <w:jc w:val="both"/>
        <w:rPr>
          <w:rFonts w:ascii="標楷體" w:eastAsia="標楷體" w:hAnsi="標楷體"/>
          <w:sz w:val="32"/>
        </w:rPr>
      </w:pPr>
      <w:r w:rsidRPr="001B6E4D">
        <w:rPr>
          <w:rFonts w:ascii="標楷體" w:eastAsia="標楷體" w:hAnsi="標楷體"/>
          <w:sz w:val="32"/>
        </w:rPr>
        <w:t>當然，我們也非常</w:t>
      </w:r>
      <w:proofErr w:type="gramStart"/>
      <w:r w:rsidRPr="001B6E4D">
        <w:rPr>
          <w:rFonts w:ascii="標楷體" w:eastAsia="標楷體" w:hAnsi="標楷體"/>
          <w:sz w:val="32"/>
        </w:rPr>
        <w:t>清楚，</w:t>
      </w:r>
      <w:proofErr w:type="gramEnd"/>
      <w:r w:rsidRPr="001B6E4D">
        <w:rPr>
          <w:rFonts w:ascii="標楷體" w:eastAsia="標楷體" w:hAnsi="標楷體"/>
          <w:sz w:val="32"/>
        </w:rPr>
        <w:t>AI終究只是一項輔助的工具。它是沒有辦法取代第一線檢察官、醫療人員、心理師與社工等的專業工作，特別是當AI的分析結果可能進一步涉及個人權益與處遇時。因此，今天安排這場考察，目的在於了解相關研究的成果，以及未來我們如何協助地方的社政、醫療進行合作，真正落實並改善毒品施用者的社會復歸之路。</w:t>
      </w:r>
    </w:p>
    <w:p w14:paraId="1604BDED" w14:textId="77777777" w:rsidR="00B921E8" w:rsidRPr="001B6E4D" w:rsidRDefault="00B921E8" w:rsidP="003D1018">
      <w:pPr>
        <w:widowControl w:val="0"/>
        <w:overflowPunct w:val="0"/>
        <w:spacing w:line="480" w:lineRule="exact"/>
        <w:ind w:firstLineChars="200" w:firstLine="640"/>
        <w:jc w:val="both"/>
        <w:rPr>
          <w:rFonts w:ascii="標楷體" w:eastAsia="標楷體" w:hAnsi="標楷體"/>
          <w:sz w:val="32"/>
        </w:rPr>
      </w:pPr>
      <w:r w:rsidRPr="001B6E4D">
        <w:rPr>
          <w:rFonts w:ascii="標楷體" w:eastAsia="標楷體" w:hAnsi="標楷體"/>
          <w:sz w:val="32"/>
        </w:rPr>
        <w:t>接下來，我們就將時間交給學院團隊，非常期待聽到大家的精彩分享。謝謝大家！</w:t>
      </w:r>
    </w:p>
    <w:p w14:paraId="4EF6F76D" w14:textId="77777777" w:rsidR="00B921E8" w:rsidRPr="001B6E4D" w:rsidRDefault="00B921E8" w:rsidP="003D1018">
      <w:pPr>
        <w:widowControl w:val="0"/>
        <w:overflowPunct w:val="0"/>
        <w:snapToGrid w:val="0"/>
        <w:spacing w:line="480" w:lineRule="exact"/>
        <w:jc w:val="both"/>
        <w:rPr>
          <w:rFonts w:ascii="標楷體" w:eastAsia="標楷體" w:hAnsi="標楷體"/>
          <w:b/>
          <w:kern w:val="0"/>
          <w:sz w:val="32"/>
        </w:rPr>
      </w:pPr>
      <w:r w:rsidRPr="001B6E4D">
        <w:rPr>
          <w:rFonts w:ascii="標楷體" w:eastAsia="標楷體" w:hAnsi="標楷體"/>
          <w:b/>
          <w:kern w:val="0"/>
          <w:sz w:val="32"/>
        </w:rPr>
        <w:t>貳、業務</w:t>
      </w:r>
      <w:r w:rsidRPr="001B6E4D">
        <w:rPr>
          <w:rFonts w:ascii="標楷體" w:eastAsia="標楷體" w:hAnsi="標楷體" w:hint="eastAsia"/>
          <w:b/>
          <w:kern w:val="0"/>
          <w:sz w:val="32"/>
        </w:rPr>
        <w:t>簡報</w:t>
      </w:r>
      <w:r w:rsidRPr="001B6E4D">
        <w:rPr>
          <w:rFonts w:ascii="標楷體" w:eastAsia="標楷體" w:hAnsi="標楷體"/>
          <w:b/>
          <w:kern w:val="0"/>
          <w:sz w:val="32"/>
        </w:rPr>
        <w:t>：</w:t>
      </w:r>
    </w:p>
    <w:p w14:paraId="737EF1A1" w14:textId="77777777" w:rsidR="00B921E8" w:rsidRPr="001B6E4D" w:rsidRDefault="00B921E8" w:rsidP="003D1018">
      <w:pPr>
        <w:widowControl w:val="0"/>
        <w:overflowPunct w:val="0"/>
        <w:snapToGrid w:val="0"/>
        <w:spacing w:line="480" w:lineRule="exact"/>
        <w:ind w:firstLineChars="100" w:firstLine="320"/>
        <w:jc w:val="both"/>
        <w:rPr>
          <w:rFonts w:ascii="標楷體" w:eastAsia="標楷體" w:hAnsi="標楷體"/>
          <w:b/>
          <w:kern w:val="0"/>
          <w:sz w:val="32"/>
          <w:szCs w:val="32"/>
        </w:rPr>
      </w:pPr>
      <w:r w:rsidRPr="001B6E4D">
        <w:rPr>
          <w:rFonts w:ascii="標楷體" w:eastAsia="標楷體" w:hAnsi="標楷體"/>
          <w:b/>
          <w:bCs/>
          <w:color w:val="000000"/>
          <w:sz w:val="32"/>
          <w:szCs w:val="32"/>
        </w:rPr>
        <w:t>一、吳院長巡龍</w:t>
      </w:r>
      <w:r w:rsidRPr="001B6E4D">
        <w:rPr>
          <w:rFonts w:ascii="標楷體" w:eastAsia="標楷體" w:hAnsi="標楷體"/>
          <w:b/>
          <w:kern w:val="0"/>
          <w:sz w:val="32"/>
          <w:szCs w:val="32"/>
        </w:rPr>
        <w:t>：</w:t>
      </w:r>
    </w:p>
    <w:p w14:paraId="68088FF1" w14:textId="065100D8" w:rsidR="00B921E8" w:rsidRPr="001B6E4D" w:rsidRDefault="00B921E8" w:rsidP="003D1018">
      <w:pPr>
        <w:widowControl w:val="0"/>
        <w:overflowPunct w:val="0"/>
        <w:snapToGrid w:val="0"/>
        <w:spacing w:line="480" w:lineRule="exact"/>
        <w:ind w:left="480" w:firstLine="480"/>
        <w:jc w:val="both"/>
        <w:rPr>
          <w:rFonts w:ascii="標楷體" w:eastAsia="標楷體" w:hAnsi="標楷體"/>
          <w:kern w:val="0"/>
          <w:sz w:val="32"/>
          <w:szCs w:val="32"/>
        </w:rPr>
      </w:pPr>
      <w:r w:rsidRPr="001B6E4D">
        <w:rPr>
          <w:rFonts w:ascii="標楷體" w:eastAsia="標楷體" w:hAnsi="標楷體"/>
          <w:bCs/>
          <w:sz w:val="32"/>
          <w:szCs w:val="32"/>
        </w:rPr>
        <w:t>如書面簡報資料</w:t>
      </w:r>
      <w:r w:rsidRPr="001B6E4D">
        <w:rPr>
          <w:rFonts w:ascii="標楷體" w:eastAsia="標楷體" w:hAnsi="標楷體" w:hint="eastAsia"/>
          <w:bCs/>
          <w:sz w:val="32"/>
          <w:szCs w:val="32"/>
        </w:rPr>
        <w:t>。</w:t>
      </w:r>
    </w:p>
    <w:p w14:paraId="2B870477" w14:textId="77777777" w:rsidR="00B921E8" w:rsidRPr="001B6E4D" w:rsidRDefault="00B921E8" w:rsidP="003D1018">
      <w:pPr>
        <w:widowControl w:val="0"/>
        <w:overflowPunct w:val="0"/>
        <w:snapToGrid w:val="0"/>
        <w:spacing w:line="480" w:lineRule="exact"/>
        <w:ind w:firstLineChars="100" w:firstLine="320"/>
        <w:jc w:val="both"/>
        <w:rPr>
          <w:rFonts w:ascii="標楷體" w:eastAsia="標楷體" w:hAnsi="標楷體"/>
          <w:b/>
          <w:bCs/>
          <w:sz w:val="32"/>
          <w:szCs w:val="32"/>
        </w:rPr>
      </w:pPr>
      <w:r w:rsidRPr="001B6E4D">
        <w:rPr>
          <w:rFonts w:ascii="標楷體" w:eastAsia="標楷體" w:hAnsi="標楷體"/>
          <w:b/>
          <w:bCs/>
          <w:sz w:val="32"/>
          <w:szCs w:val="32"/>
        </w:rPr>
        <w:t>二、鄭中心主任添成:</w:t>
      </w:r>
    </w:p>
    <w:p w14:paraId="75C322FE" w14:textId="2F215450" w:rsidR="00B921E8" w:rsidRPr="001B6E4D" w:rsidRDefault="00B921E8" w:rsidP="003D1018">
      <w:pPr>
        <w:widowControl w:val="0"/>
        <w:overflowPunct w:val="0"/>
        <w:snapToGrid w:val="0"/>
        <w:spacing w:line="480" w:lineRule="exact"/>
        <w:ind w:left="480" w:firstLine="480"/>
        <w:jc w:val="both"/>
        <w:rPr>
          <w:rFonts w:ascii="標楷體" w:eastAsia="標楷體" w:hAnsi="標楷體"/>
          <w:kern w:val="0"/>
          <w:sz w:val="32"/>
          <w:szCs w:val="32"/>
        </w:rPr>
      </w:pPr>
      <w:r w:rsidRPr="001B6E4D">
        <w:rPr>
          <w:rFonts w:ascii="標楷體" w:eastAsia="標楷體" w:hAnsi="標楷體"/>
          <w:bCs/>
          <w:sz w:val="32"/>
          <w:szCs w:val="32"/>
        </w:rPr>
        <w:t>如書面簡報資料</w:t>
      </w:r>
      <w:r w:rsidRPr="001B6E4D">
        <w:rPr>
          <w:rFonts w:ascii="標楷體" w:eastAsia="標楷體" w:hAnsi="標楷體" w:hint="eastAsia"/>
          <w:bCs/>
          <w:sz w:val="32"/>
          <w:szCs w:val="32"/>
        </w:rPr>
        <w:t>。</w:t>
      </w:r>
    </w:p>
    <w:p w14:paraId="5A225B57" w14:textId="77777777" w:rsidR="00B921E8" w:rsidRPr="001B6E4D" w:rsidRDefault="00B921E8" w:rsidP="003D1018">
      <w:pPr>
        <w:widowControl w:val="0"/>
        <w:overflowPunct w:val="0"/>
        <w:snapToGrid w:val="0"/>
        <w:spacing w:line="480" w:lineRule="exact"/>
        <w:ind w:firstLineChars="100" w:firstLine="320"/>
        <w:jc w:val="both"/>
        <w:rPr>
          <w:rFonts w:ascii="標楷體" w:eastAsia="標楷體" w:hAnsi="標楷體"/>
          <w:b/>
          <w:bCs/>
          <w:sz w:val="32"/>
          <w:szCs w:val="32"/>
        </w:rPr>
      </w:pPr>
      <w:r w:rsidRPr="001B6E4D">
        <w:rPr>
          <w:rFonts w:ascii="標楷體" w:eastAsia="標楷體" w:hAnsi="標楷體"/>
          <w:b/>
          <w:bCs/>
          <w:sz w:val="32"/>
          <w:szCs w:val="32"/>
        </w:rPr>
        <w:t>三、</w:t>
      </w:r>
      <w:proofErr w:type="gramStart"/>
      <w:r w:rsidRPr="001B6E4D">
        <w:rPr>
          <w:rFonts w:ascii="標楷體" w:eastAsia="標楷體" w:hAnsi="標楷體"/>
          <w:b/>
          <w:bCs/>
          <w:sz w:val="32"/>
          <w:szCs w:val="32"/>
        </w:rPr>
        <w:t>蔡</w:t>
      </w:r>
      <w:proofErr w:type="gramEnd"/>
      <w:r w:rsidRPr="001B6E4D">
        <w:rPr>
          <w:rFonts w:ascii="標楷體" w:eastAsia="標楷體" w:hAnsi="標楷體"/>
          <w:b/>
          <w:bCs/>
          <w:sz w:val="32"/>
          <w:szCs w:val="32"/>
        </w:rPr>
        <w:t>副研究員宜家：</w:t>
      </w:r>
    </w:p>
    <w:p w14:paraId="7316F630" w14:textId="427985A7" w:rsidR="00B921E8" w:rsidRPr="001B6E4D" w:rsidRDefault="00B921E8" w:rsidP="003D1018">
      <w:pPr>
        <w:widowControl w:val="0"/>
        <w:overflowPunct w:val="0"/>
        <w:snapToGrid w:val="0"/>
        <w:spacing w:line="480" w:lineRule="exact"/>
        <w:ind w:left="480" w:firstLine="480"/>
        <w:jc w:val="both"/>
        <w:rPr>
          <w:rFonts w:ascii="標楷體" w:eastAsia="標楷體" w:hAnsi="標楷體"/>
          <w:bCs/>
          <w:sz w:val="32"/>
          <w:szCs w:val="32"/>
        </w:rPr>
      </w:pPr>
      <w:r w:rsidRPr="001B6E4D">
        <w:rPr>
          <w:rFonts w:ascii="標楷體" w:eastAsia="標楷體" w:hAnsi="標楷體"/>
          <w:bCs/>
          <w:sz w:val="32"/>
          <w:szCs w:val="32"/>
        </w:rPr>
        <w:t>如書面簡報資料</w:t>
      </w:r>
      <w:r w:rsidRPr="001B6E4D">
        <w:rPr>
          <w:rFonts w:ascii="標楷體" w:eastAsia="標楷體" w:hAnsi="標楷體" w:hint="eastAsia"/>
          <w:bCs/>
          <w:sz w:val="32"/>
          <w:szCs w:val="32"/>
        </w:rPr>
        <w:t>。</w:t>
      </w:r>
    </w:p>
    <w:p w14:paraId="52EF8A9E" w14:textId="77777777" w:rsidR="00B921E8" w:rsidRPr="001B6E4D" w:rsidRDefault="00B921E8" w:rsidP="003D1018">
      <w:pPr>
        <w:widowControl w:val="0"/>
        <w:overflowPunct w:val="0"/>
        <w:snapToGrid w:val="0"/>
        <w:spacing w:line="480" w:lineRule="exact"/>
        <w:ind w:firstLineChars="100" w:firstLine="320"/>
        <w:jc w:val="both"/>
        <w:rPr>
          <w:rFonts w:ascii="標楷體" w:eastAsia="標楷體" w:hAnsi="標楷體"/>
          <w:b/>
          <w:bCs/>
          <w:sz w:val="32"/>
          <w:szCs w:val="32"/>
        </w:rPr>
      </w:pPr>
      <w:r w:rsidRPr="001B6E4D">
        <w:rPr>
          <w:rFonts w:ascii="標楷體" w:eastAsia="標楷體" w:hAnsi="標楷體"/>
          <w:b/>
          <w:bCs/>
          <w:sz w:val="32"/>
          <w:szCs w:val="32"/>
        </w:rPr>
        <w:t>四、顧研究員以謙：</w:t>
      </w:r>
    </w:p>
    <w:p w14:paraId="4AA5C0EA" w14:textId="6C709611" w:rsidR="00B921E8" w:rsidRPr="001B6E4D" w:rsidRDefault="00B921E8" w:rsidP="003D1018">
      <w:pPr>
        <w:widowControl w:val="0"/>
        <w:overflowPunct w:val="0"/>
        <w:snapToGrid w:val="0"/>
        <w:spacing w:line="480" w:lineRule="exact"/>
        <w:ind w:left="480" w:firstLine="480"/>
        <w:jc w:val="both"/>
        <w:rPr>
          <w:rFonts w:ascii="標楷體" w:eastAsia="標楷體" w:hAnsi="標楷體"/>
          <w:bCs/>
          <w:sz w:val="32"/>
          <w:szCs w:val="32"/>
        </w:rPr>
      </w:pPr>
      <w:r w:rsidRPr="001B6E4D">
        <w:rPr>
          <w:rFonts w:ascii="標楷體" w:eastAsia="標楷體" w:hAnsi="標楷體"/>
          <w:bCs/>
          <w:sz w:val="32"/>
          <w:szCs w:val="32"/>
        </w:rPr>
        <w:t>如書面簡報資料</w:t>
      </w:r>
      <w:r w:rsidRPr="001B6E4D">
        <w:rPr>
          <w:rFonts w:ascii="標楷體" w:eastAsia="標楷體" w:hAnsi="標楷體" w:hint="eastAsia"/>
          <w:bCs/>
          <w:sz w:val="32"/>
          <w:szCs w:val="32"/>
        </w:rPr>
        <w:t>。</w:t>
      </w:r>
    </w:p>
    <w:p w14:paraId="53E6B1F7" w14:textId="77777777" w:rsidR="00B921E8" w:rsidRPr="001B6E4D" w:rsidRDefault="00B921E8" w:rsidP="003D1018">
      <w:pPr>
        <w:widowControl w:val="0"/>
        <w:overflowPunct w:val="0"/>
        <w:spacing w:line="480" w:lineRule="exact"/>
        <w:jc w:val="both"/>
        <w:rPr>
          <w:rFonts w:ascii="標楷體" w:eastAsia="標楷體" w:hAnsi="標楷體"/>
          <w:b/>
          <w:sz w:val="32"/>
        </w:rPr>
      </w:pPr>
      <w:r w:rsidRPr="001B6E4D">
        <w:rPr>
          <w:rFonts w:ascii="標楷體" w:eastAsia="標楷體" w:hAnsi="標楷體"/>
          <w:b/>
          <w:sz w:val="32"/>
        </w:rPr>
        <w:lastRenderedPageBreak/>
        <w:t>參、實地</w:t>
      </w:r>
      <w:r w:rsidRPr="001B6E4D">
        <w:rPr>
          <w:rFonts w:ascii="標楷體" w:eastAsia="標楷體" w:hAnsi="標楷體" w:hint="eastAsia"/>
          <w:b/>
          <w:sz w:val="32"/>
        </w:rPr>
        <w:t>考察環境與設施</w:t>
      </w:r>
      <w:proofErr w:type="gramStart"/>
      <w:r w:rsidRPr="001B6E4D">
        <w:rPr>
          <w:rFonts w:ascii="標楷體" w:eastAsia="標楷體" w:hAnsi="標楷體"/>
          <w:b/>
          <w:sz w:val="32"/>
        </w:rPr>
        <w:t>（</w:t>
      </w:r>
      <w:proofErr w:type="gramEnd"/>
      <w:r w:rsidRPr="001B6E4D">
        <w:rPr>
          <w:rFonts w:ascii="標楷體" w:eastAsia="標楷體" w:hAnsi="標楷體"/>
          <w:b/>
          <w:sz w:val="32"/>
        </w:rPr>
        <w:t>16：20-16：50</w:t>
      </w:r>
      <w:proofErr w:type="gramStart"/>
      <w:r w:rsidRPr="001B6E4D">
        <w:rPr>
          <w:rFonts w:ascii="標楷體" w:eastAsia="標楷體" w:hAnsi="標楷體"/>
          <w:b/>
          <w:sz w:val="32"/>
        </w:rPr>
        <w:t>）</w:t>
      </w:r>
      <w:proofErr w:type="gramEnd"/>
    </w:p>
    <w:p w14:paraId="54462C38" w14:textId="77777777" w:rsidR="00B921E8" w:rsidRPr="001B6E4D" w:rsidRDefault="00B921E8" w:rsidP="003D1018">
      <w:pPr>
        <w:widowControl w:val="0"/>
        <w:overflowPunct w:val="0"/>
        <w:snapToGrid w:val="0"/>
        <w:spacing w:line="480" w:lineRule="exact"/>
        <w:jc w:val="both"/>
        <w:rPr>
          <w:rFonts w:ascii="標楷體" w:eastAsia="標楷體" w:hAnsi="標楷體"/>
          <w:b/>
          <w:color w:val="000000"/>
          <w:kern w:val="0"/>
          <w:sz w:val="32"/>
          <w:szCs w:val="32"/>
        </w:rPr>
      </w:pPr>
      <w:r w:rsidRPr="001B6E4D">
        <w:rPr>
          <w:rFonts w:ascii="標楷體" w:eastAsia="標楷體" w:hAnsi="標楷體" w:hint="eastAsia"/>
          <w:b/>
          <w:color w:val="000000"/>
          <w:kern w:val="0"/>
          <w:sz w:val="32"/>
          <w:szCs w:val="32"/>
        </w:rPr>
        <w:t>肆</w:t>
      </w:r>
      <w:r w:rsidRPr="001B6E4D">
        <w:rPr>
          <w:rFonts w:ascii="標楷體" w:eastAsia="標楷體" w:hAnsi="標楷體"/>
          <w:b/>
          <w:color w:val="000000"/>
          <w:kern w:val="0"/>
          <w:sz w:val="32"/>
          <w:szCs w:val="32"/>
        </w:rPr>
        <w:t>、</w:t>
      </w:r>
      <w:r w:rsidRPr="001B6E4D">
        <w:rPr>
          <w:rFonts w:ascii="標楷體" w:eastAsia="標楷體" w:hAnsi="標楷體" w:hint="eastAsia"/>
          <w:b/>
          <w:color w:val="000000"/>
          <w:kern w:val="0"/>
          <w:sz w:val="32"/>
          <w:szCs w:val="32"/>
        </w:rPr>
        <w:t>綜合座談及意見交流：</w:t>
      </w:r>
    </w:p>
    <w:p w14:paraId="231B31DE" w14:textId="77777777" w:rsidR="00B921E8" w:rsidRPr="001B6E4D" w:rsidRDefault="00B921E8" w:rsidP="003D1018">
      <w:pPr>
        <w:widowControl w:val="0"/>
        <w:overflowPunct w:val="0"/>
        <w:ind w:firstLineChars="88" w:firstLine="282"/>
        <w:jc w:val="both"/>
        <w:rPr>
          <w:rFonts w:ascii="標楷體" w:eastAsia="標楷體" w:hAnsi="標楷體"/>
          <w:b/>
          <w:bCs/>
          <w:sz w:val="32"/>
          <w:szCs w:val="32"/>
        </w:rPr>
      </w:pPr>
      <w:r w:rsidRPr="001B6E4D">
        <w:rPr>
          <w:rFonts w:ascii="標楷體" w:eastAsia="標楷體" w:hAnsi="標楷體"/>
          <w:b/>
          <w:bCs/>
          <w:sz w:val="32"/>
          <w:szCs w:val="32"/>
        </w:rPr>
        <w:t>一、張立法委員雅琳：</w:t>
      </w:r>
    </w:p>
    <w:p w14:paraId="6554DD19" w14:textId="77777777" w:rsidR="00B921E8" w:rsidRPr="001B6E4D" w:rsidRDefault="00B921E8" w:rsidP="003D1018">
      <w:pPr>
        <w:widowControl w:val="0"/>
        <w:numPr>
          <w:ilvl w:val="0"/>
          <w:numId w:val="89"/>
        </w:numPr>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針對司法官培訓與國際交流：</w:t>
      </w:r>
    </w:p>
    <w:p w14:paraId="03B304EB" w14:textId="77777777" w:rsidR="00B921E8" w:rsidRPr="001B6E4D" w:rsidRDefault="00B921E8" w:rsidP="003D1018">
      <w:pPr>
        <w:widowControl w:val="0"/>
        <w:overflowPunct w:val="0"/>
        <w:spacing w:line="480" w:lineRule="exact"/>
        <w:ind w:left="1560" w:hanging="2"/>
        <w:contextualSpacing/>
        <w:jc w:val="both"/>
        <w:rPr>
          <w:rFonts w:ascii="標楷體" w:eastAsia="標楷體" w:hAnsi="標楷體"/>
          <w:sz w:val="32"/>
        </w:rPr>
      </w:pPr>
      <w:r w:rsidRPr="001B6E4D">
        <w:rPr>
          <w:rFonts w:ascii="標楷體" w:eastAsia="標楷體" w:hAnsi="標楷體"/>
          <w:sz w:val="32"/>
        </w:rPr>
        <w:t>社會變遷快速，司法官培訓課程與實地參訪之內容，平均滾動式更新之頻率為何？</w:t>
      </w:r>
      <w:proofErr w:type="gramStart"/>
      <w:r w:rsidRPr="001B6E4D">
        <w:rPr>
          <w:rFonts w:ascii="標楷體" w:eastAsia="標楷體" w:hAnsi="標楷體"/>
          <w:sz w:val="32"/>
        </w:rPr>
        <w:t>此外，</w:t>
      </w:r>
      <w:proofErr w:type="gramEnd"/>
      <w:r w:rsidRPr="001B6E4D">
        <w:rPr>
          <w:rFonts w:ascii="標楷體" w:eastAsia="標楷體" w:hAnsi="標楷體"/>
          <w:sz w:val="32"/>
        </w:rPr>
        <w:t>學院與國際進行交流時，</w:t>
      </w:r>
      <w:proofErr w:type="gramStart"/>
      <w:r w:rsidRPr="001B6E4D">
        <w:rPr>
          <w:rFonts w:ascii="標楷體" w:eastAsia="標楷體" w:hAnsi="標楷體"/>
          <w:sz w:val="32"/>
        </w:rPr>
        <w:t>國際間對我國</w:t>
      </w:r>
      <w:proofErr w:type="gramEnd"/>
      <w:r w:rsidRPr="001B6E4D">
        <w:rPr>
          <w:rFonts w:ascii="標楷體" w:eastAsia="標楷體" w:hAnsi="標楷體"/>
          <w:sz w:val="32"/>
        </w:rPr>
        <w:t>司法官培訓之評價為何？</w:t>
      </w:r>
    </w:p>
    <w:p w14:paraId="05D05004" w14:textId="77777777" w:rsidR="00B921E8" w:rsidRPr="001B6E4D" w:rsidRDefault="00B921E8" w:rsidP="003D1018">
      <w:pPr>
        <w:widowControl w:val="0"/>
        <w:numPr>
          <w:ilvl w:val="0"/>
          <w:numId w:val="89"/>
        </w:numPr>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針對毒品犯罪統計圖表之呈現與解讀：</w:t>
      </w:r>
    </w:p>
    <w:p w14:paraId="239A561D" w14:textId="77777777" w:rsidR="00B921E8" w:rsidRPr="001B6E4D" w:rsidRDefault="00B921E8" w:rsidP="003D1018">
      <w:pPr>
        <w:widowControl w:val="0"/>
        <w:numPr>
          <w:ilvl w:val="1"/>
          <w:numId w:val="88"/>
        </w:numPr>
        <w:overflowPunct w:val="0"/>
        <w:spacing w:line="480" w:lineRule="exact"/>
        <w:ind w:left="1843" w:hanging="283"/>
        <w:contextualSpacing/>
        <w:jc w:val="both"/>
        <w:rPr>
          <w:rFonts w:ascii="標楷體" w:eastAsia="標楷體" w:hAnsi="標楷體"/>
          <w:sz w:val="32"/>
        </w:rPr>
      </w:pPr>
      <w:r w:rsidRPr="001B6E4D">
        <w:rPr>
          <w:rFonts w:ascii="標楷體" w:eastAsia="標楷體" w:hAnsi="標楷體"/>
          <w:sz w:val="32"/>
        </w:rPr>
        <w:t>在「近10年毒品犯罪嫌疑人數與毒品級別分布」中，第二級毒品持有人數近期大幅增加。</w:t>
      </w:r>
      <w:proofErr w:type="gramStart"/>
      <w:r w:rsidRPr="001B6E4D">
        <w:rPr>
          <w:rFonts w:ascii="標楷體" w:eastAsia="標楷體" w:hAnsi="標楷體"/>
          <w:sz w:val="32"/>
        </w:rPr>
        <w:t>若肇因</w:t>
      </w:r>
      <w:proofErr w:type="gramEnd"/>
      <w:r w:rsidRPr="001B6E4D">
        <w:rPr>
          <w:rFonts w:ascii="標楷體" w:eastAsia="標楷體" w:hAnsi="標楷體"/>
          <w:sz w:val="32"/>
        </w:rPr>
        <w:t>於特定毒品（如依托</w:t>
      </w:r>
      <w:proofErr w:type="gramStart"/>
      <w:r w:rsidRPr="001B6E4D">
        <w:rPr>
          <w:rFonts w:ascii="標楷體" w:eastAsia="標楷體" w:hAnsi="標楷體"/>
          <w:sz w:val="32"/>
        </w:rPr>
        <w:t>咪</w:t>
      </w:r>
      <w:proofErr w:type="gramEnd"/>
      <w:r w:rsidRPr="001B6E4D">
        <w:rPr>
          <w:rFonts w:ascii="標楷體" w:eastAsia="標楷體" w:hAnsi="標楷體"/>
          <w:sz w:val="32"/>
        </w:rPr>
        <w:t>酯）之級別變更，未來在圖表上應如何呈現以保持一致性？</w:t>
      </w:r>
      <w:proofErr w:type="gramStart"/>
      <w:r w:rsidRPr="001B6E4D">
        <w:rPr>
          <w:rFonts w:ascii="標楷體" w:eastAsia="標楷體" w:hAnsi="標楷體"/>
          <w:sz w:val="32"/>
        </w:rPr>
        <w:t>此外，</w:t>
      </w:r>
      <w:proofErr w:type="gramEnd"/>
      <w:r w:rsidRPr="001B6E4D">
        <w:rPr>
          <w:rFonts w:ascii="標楷體" w:eastAsia="標楷體" w:hAnsi="標楷體"/>
          <w:sz w:val="32"/>
        </w:rPr>
        <w:t>將「總嫌疑人數」與各級別人數</w:t>
      </w:r>
      <w:proofErr w:type="gramStart"/>
      <w:r w:rsidRPr="001B6E4D">
        <w:rPr>
          <w:rFonts w:ascii="標楷體" w:eastAsia="標楷體" w:hAnsi="標楷體"/>
          <w:sz w:val="32"/>
        </w:rPr>
        <w:t>併</w:t>
      </w:r>
      <w:proofErr w:type="gramEnd"/>
      <w:r w:rsidRPr="001B6E4D">
        <w:rPr>
          <w:rFonts w:ascii="標楷體" w:eastAsia="標楷體" w:hAnsi="標楷體"/>
          <w:sz w:val="32"/>
        </w:rPr>
        <w:t>列於同一圖表之目的為何？</w:t>
      </w:r>
    </w:p>
    <w:p w14:paraId="72E653E6" w14:textId="77777777" w:rsidR="00B921E8" w:rsidRPr="001B6E4D" w:rsidRDefault="00B921E8" w:rsidP="003D1018">
      <w:pPr>
        <w:widowControl w:val="0"/>
        <w:numPr>
          <w:ilvl w:val="1"/>
          <w:numId w:val="88"/>
        </w:numPr>
        <w:overflowPunct w:val="0"/>
        <w:spacing w:line="480" w:lineRule="exact"/>
        <w:ind w:left="1843" w:hanging="283"/>
        <w:contextualSpacing/>
        <w:jc w:val="both"/>
        <w:rPr>
          <w:rFonts w:ascii="標楷體" w:eastAsia="標楷體" w:hAnsi="標楷體"/>
          <w:sz w:val="32"/>
        </w:rPr>
      </w:pPr>
      <w:r w:rsidRPr="001B6E4D">
        <w:rPr>
          <w:rFonts w:ascii="標楷體" w:eastAsia="標楷體" w:hAnsi="標楷體"/>
          <w:sz w:val="32"/>
        </w:rPr>
        <w:t>關於「近10年施用毒品犯罪人數及處遇分布」，新入監人數及施用一、二級毒品</w:t>
      </w:r>
      <w:proofErr w:type="gramStart"/>
      <w:r w:rsidRPr="001B6E4D">
        <w:rPr>
          <w:rFonts w:ascii="標楷體" w:eastAsia="標楷體" w:hAnsi="標楷體"/>
          <w:sz w:val="32"/>
        </w:rPr>
        <w:t>人數均呈下降</w:t>
      </w:r>
      <w:proofErr w:type="gramEnd"/>
      <w:r w:rsidRPr="001B6E4D">
        <w:rPr>
          <w:rFonts w:ascii="標楷體" w:eastAsia="標楷體" w:hAnsi="標楷體"/>
          <w:sz w:val="32"/>
        </w:rPr>
        <w:t>趨勢。此數據是否可解讀為反覆施用毒品之再犯人數確實減少？</w:t>
      </w:r>
    </w:p>
    <w:p w14:paraId="092D95B2" w14:textId="77777777" w:rsidR="00B921E8" w:rsidRPr="001B6E4D" w:rsidRDefault="00B921E8" w:rsidP="003D1018">
      <w:pPr>
        <w:widowControl w:val="0"/>
        <w:numPr>
          <w:ilvl w:val="0"/>
          <w:numId w:val="89"/>
        </w:numPr>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針對犯罪防治研究計畫：</w:t>
      </w:r>
    </w:p>
    <w:p w14:paraId="34D479F3" w14:textId="77777777" w:rsidR="00B921E8" w:rsidRPr="001B6E4D" w:rsidRDefault="00B921E8" w:rsidP="003D1018">
      <w:pPr>
        <w:widowControl w:val="0"/>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中心研究計畫之產生機制為何？本次簡報呈現之10年期趨勢評估，是否為常態性之研究模式？</w:t>
      </w:r>
    </w:p>
    <w:p w14:paraId="5657202A" w14:textId="77777777" w:rsidR="00B921E8" w:rsidRPr="001B6E4D" w:rsidRDefault="00B921E8" w:rsidP="003D1018">
      <w:pPr>
        <w:widowControl w:val="0"/>
        <w:numPr>
          <w:ilvl w:val="0"/>
          <w:numId w:val="89"/>
        </w:numPr>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針對研究成果之社會溝通與政策影響：</w:t>
      </w:r>
    </w:p>
    <w:p w14:paraId="6779D0A2" w14:textId="77777777" w:rsidR="00B921E8" w:rsidRPr="001B6E4D" w:rsidRDefault="00B921E8" w:rsidP="003D1018">
      <w:pPr>
        <w:widowControl w:val="0"/>
        <w:numPr>
          <w:ilvl w:val="0"/>
          <w:numId w:val="90"/>
        </w:numPr>
        <w:overflowPunct w:val="0"/>
        <w:spacing w:line="480" w:lineRule="exact"/>
        <w:ind w:left="1843" w:hanging="283"/>
        <w:contextualSpacing/>
        <w:jc w:val="both"/>
        <w:rPr>
          <w:rFonts w:ascii="標楷體" w:eastAsia="標楷體" w:hAnsi="標楷體"/>
          <w:sz w:val="32"/>
        </w:rPr>
      </w:pPr>
      <w:r w:rsidRPr="001B6E4D">
        <w:rPr>
          <w:rFonts w:ascii="標楷體" w:eastAsia="標楷體" w:hAnsi="標楷體"/>
          <w:sz w:val="32"/>
        </w:rPr>
        <w:t>數據顯示提高生活滿意度與社區連結能有效降低再犯風險，此與國際研究一致；然而當前社會與立法趨勢卻偏向「重刑化」，兩者背道而馳。學院的研究應加強媒體宣傳與公眾曝光，主動讓立法委員及民眾理解研究成果，以獲得正確之立法方向與資源支持。</w:t>
      </w:r>
    </w:p>
    <w:p w14:paraId="4745CDD6" w14:textId="77777777" w:rsidR="00B921E8" w:rsidRPr="001B6E4D" w:rsidRDefault="00B921E8" w:rsidP="003D1018">
      <w:pPr>
        <w:widowControl w:val="0"/>
        <w:numPr>
          <w:ilvl w:val="0"/>
          <w:numId w:val="90"/>
        </w:numPr>
        <w:overflowPunct w:val="0"/>
        <w:spacing w:line="480" w:lineRule="exact"/>
        <w:ind w:left="1843" w:hanging="283"/>
        <w:contextualSpacing/>
        <w:jc w:val="both"/>
        <w:rPr>
          <w:rFonts w:ascii="標楷體" w:eastAsia="標楷體" w:hAnsi="標楷體"/>
          <w:sz w:val="32"/>
        </w:rPr>
      </w:pPr>
      <w:r w:rsidRPr="001B6E4D">
        <w:rPr>
          <w:rFonts w:ascii="標楷體" w:eastAsia="標楷體" w:hAnsi="標楷體"/>
          <w:sz w:val="32"/>
        </w:rPr>
        <w:t>關於ROI分析指引處遇資源</w:t>
      </w:r>
      <w:proofErr w:type="gramStart"/>
      <w:r w:rsidRPr="001B6E4D">
        <w:rPr>
          <w:rFonts w:ascii="標楷體" w:eastAsia="標楷體" w:hAnsi="標楷體"/>
          <w:sz w:val="32"/>
        </w:rPr>
        <w:t>最</w:t>
      </w:r>
      <w:proofErr w:type="gramEnd"/>
      <w:r w:rsidRPr="001B6E4D">
        <w:rPr>
          <w:rFonts w:ascii="標楷體" w:eastAsia="標楷體" w:hAnsi="標楷體"/>
          <w:sz w:val="32"/>
        </w:rPr>
        <w:t>適配置（如同諾</w:t>
      </w:r>
      <w:r w:rsidRPr="001B6E4D">
        <w:rPr>
          <w:rFonts w:ascii="標楷體" w:eastAsia="標楷體" w:hAnsi="標楷體"/>
          <w:sz w:val="32"/>
        </w:rPr>
        <w:lastRenderedPageBreak/>
        <w:t>貝爾經濟學獎得主Heckman提出之早期投資報酬率概念），此類AI數據模型如何實際落實於第一線，並與社政、衛政及矯正機關建立合作？</w:t>
      </w:r>
    </w:p>
    <w:p w14:paraId="5BF675AA" w14:textId="77777777" w:rsidR="00B921E8" w:rsidRPr="001B6E4D" w:rsidRDefault="00B921E8" w:rsidP="003D1018">
      <w:pPr>
        <w:widowControl w:val="0"/>
        <w:numPr>
          <w:ilvl w:val="0"/>
          <w:numId w:val="89"/>
        </w:numPr>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針對AI</w:t>
      </w:r>
      <w:proofErr w:type="gramStart"/>
      <w:r w:rsidRPr="001B6E4D">
        <w:rPr>
          <w:rFonts w:ascii="標楷體" w:eastAsia="標楷體" w:hAnsi="標楷體"/>
          <w:sz w:val="32"/>
        </w:rPr>
        <w:t>研發算力與</w:t>
      </w:r>
      <w:proofErr w:type="gramEnd"/>
      <w:r w:rsidRPr="001B6E4D">
        <w:rPr>
          <w:rFonts w:ascii="標楷體" w:eastAsia="標楷體" w:hAnsi="標楷體"/>
          <w:sz w:val="32"/>
        </w:rPr>
        <w:t>經費：</w:t>
      </w:r>
    </w:p>
    <w:p w14:paraId="190CDC51" w14:textId="77777777" w:rsidR="00B921E8" w:rsidRPr="001B6E4D" w:rsidRDefault="00B921E8" w:rsidP="003D1018">
      <w:pPr>
        <w:widowControl w:val="0"/>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為發展AI模型及大型語言模型（LLM），學院目前</w:t>
      </w:r>
      <w:proofErr w:type="gramStart"/>
      <w:r w:rsidRPr="001B6E4D">
        <w:rPr>
          <w:rFonts w:ascii="標楷體" w:eastAsia="標楷體" w:hAnsi="標楷體"/>
          <w:sz w:val="32"/>
        </w:rPr>
        <w:t>之算力資源</w:t>
      </w:r>
      <w:proofErr w:type="gramEnd"/>
      <w:r w:rsidRPr="001B6E4D">
        <w:rPr>
          <w:rFonts w:ascii="標楷體" w:eastAsia="標楷體" w:hAnsi="標楷體"/>
          <w:sz w:val="32"/>
        </w:rPr>
        <w:t>與預算編列是否充足？是否需要立法院提供進一步之支持？</w:t>
      </w:r>
    </w:p>
    <w:p w14:paraId="1D6CD5F0" w14:textId="77777777" w:rsidR="00B921E8" w:rsidRPr="001B6E4D" w:rsidRDefault="00B921E8" w:rsidP="003D1018">
      <w:pPr>
        <w:widowControl w:val="0"/>
        <w:overflowPunct w:val="0"/>
        <w:spacing w:line="480" w:lineRule="exact"/>
        <w:ind w:firstLineChars="88" w:firstLine="282"/>
        <w:jc w:val="both"/>
        <w:rPr>
          <w:rFonts w:ascii="標楷體" w:eastAsia="標楷體" w:hAnsi="標楷體"/>
          <w:sz w:val="32"/>
        </w:rPr>
      </w:pPr>
      <w:r w:rsidRPr="001B6E4D">
        <w:rPr>
          <w:rFonts w:ascii="標楷體" w:eastAsia="標楷體" w:hAnsi="標楷體"/>
          <w:b/>
          <w:bCs/>
          <w:sz w:val="32"/>
        </w:rPr>
        <w:t>二、吳院長巡龍：</w:t>
      </w:r>
      <w:r w:rsidRPr="001B6E4D">
        <w:rPr>
          <w:rFonts w:ascii="標楷體" w:eastAsia="標楷體" w:hAnsi="標楷體"/>
          <w:sz w:val="32"/>
        </w:rPr>
        <w:t xml:space="preserve"> </w:t>
      </w:r>
    </w:p>
    <w:p w14:paraId="735808BD" w14:textId="77777777" w:rsidR="00B921E8" w:rsidRPr="001B6E4D" w:rsidRDefault="00B921E8" w:rsidP="003D1018">
      <w:pPr>
        <w:widowControl w:val="0"/>
        <w:numPr>
          <w:ilvl w:val="0"/>
          <w:numId w:val="91"/>
        </w:numPr>
        <w:overflowPunct w:val="0"/>
        <w:spacing w:line="480" w:lineRule="exact"/>
        <w:ind w:left="1560" w:hanging="1080"/>
        <w:contextualSpacing/>
        <w:jc w:val="both"/>
        <w:rPr>
          <w:rFonts w:ascii="標楷體" w:eastAsia="標楷體" w:hAnsi="標楷體"/>
          <w:sz w:val="32"/>
        </w:rPr>
      </w:pPr>
      <w:r w:rsidRPr="001B6E4D">
        <w:rPr>
          <w:rFonts w:ascii="標楷體" w:eastAsia="標楷體" w:hAnsi="標楷體"/>
          <w:sz w:val="32"/>
        </w:rPr>
        <w:t>關於培訓課程之滾動更新：</w:t>
      </w:r>
    </w:p>
    <w:p w14:paraId="13542F7A" w14:textId="77777777" w:rsidR="00B921E8" w:rsidRPr="001B6E4D" w:rsidRDefault="00B921E8" w:rsidP="003D1018">
      <w:pPr>
        <w:widowControl w:val="0"/>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 xml:space="preserve">司法官學院最高決策機構為「司法官訓練委員會」，由最高法院院長擔任召集人，檢察總長擔任副召集人，成員包含司法院、行政院、考試院代表、社會賢達及律師代表共15人。該委員會每年定期召開，針對次一期之培訓課程及講座名單進行滾動式檢討與更新。 </w:t>
      </w:r>
    </w:p>
    <w:p w14:paraId="1FAE15B1" w14:textId="77777777" w:rsidR="00B921E8" w:rsidRPr="001B6E4D" w:rsidRDefault="00B921E8" w:rsidP="003D1018">
      <w:pPr>
        <w:widowControl w:val="0"/>
        <w:numPr>
          <w:ilvl w:val="0"/>
          <w:numId w:val="91"/>
        </w:numPr>
        <w:overflowPunct w:val="0"/>
        <w:spacing w:line="480" w:lineRule="exact"/>
        <w:ind w:left="1560" w:hanging="1080"/>
        <w:contextualSpacing/>
        <w:jc w:val="both"/>
        <w:rPr>
          <w:rFonts w:ascii="標楷體" w:eastAsia="標楷體" w:hAnsi="標楷體"/>
          <w:sz w:val="32"/>
        </w:rPr>
      </w:pPr>
      <w:r w:rsidRPr="001B6E4D">
        <w:rPr>
          <w:rFonts w:ascii="標楷體" w:eastAsia="標楷體" w:hAnsi="標楷體"/>
          <w:sz w:val="32"/>
        </w:rPr>
        <w:t>關於國際交流情形：</w:t>
      </w:r>
    </w:p>
    <w:p w14:paraId="7482EDE1" w14:textId="77777777" w:rsidR="00B921E8" w:rsidRPr="001B6E4D" w:rsidRDefault="00B921E8" w:rsidP="003D1018">
      <w:pPr>
        <w:widowControl w:val="0"/>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交流分為定期與不定期兩種。定期方面，本學院每年10月固定舉辦國際研討會，邀請國內外專家學者共同研討重要議題；</w:t>
      </w:r>
      <w:proofErr w:type="gramStart"/>
      <w:r w:rsidRPr="001B6E4D">
        <w:rPr>
          <w:rFonts w:ascii="標楷體" w:eastAsia="標楷體" w:hAnsi="標楷體"/>
          <w:sz w:val="32"/>
        </w:rPr>
        <w:t>此外，</w:t>
      </w:r>
      <w:proofErr w:type="gramEnd"/>
      <w:r w:rsidRPr="001B6E4D">
        <w:rPr>
          <w:rFonts w:ascii="標楷體" w:eastAsia="標楷體" w:hAnsi="標楷體"/>
          <w:sz w:val="32"/>
        </w:rPr>
        <w:t>每年亦由本人率隊赴國外司法官訓練機構或協會進行交流。不定期方面，亦會接待外國官員，如邦交國聖克里斯多福及尼維斯聯邦青年賦權、高齡及身障福利、社會發展暨兩性事務部部長與衛生、兩性事務及社會賦權部部長等代表團來</w:t>
      </w:r>
      <w:proofErr w:type="gramStart"/>
      <w:r w:rsidRPr="001B6E4D">
        <w:rPr>
          <w:rFonts w:ascii="標楷體" w:eastAsia="標楷體" w:hAnsi="標楷體"/>
          <w:sz w:val="32"/>
        </w:rPr>
        <w:t>臺參訪本學院</w:t>
      </w:r>
      <w:proofErr w:type="gramEnd"/>
      <w:r w:rsidRPr="001B6E4D">
        <w:rPr>
          <w:rFonts w:ascii="標楷體" w:eastAsia="標楷體" w:hAnsi="標楷體"/>
          <w:sz w:val="32"/>
        </w:rPr>
        <w:t>及犯罪防治研究中心。</w:t>
      </w:r>
    </w:p>
    <w:p w14:paraId="5DECD4FC" w14:textId="77777777" w:rsidR="00B921E8" w:rsidRPr="001B6E4D" w:rsidRDefault="00B921E8" w:rsidP="003D1018">
      <w:pPr>
        <w:widowControl w:val="0"/>
        <w:overflowPunct w:val="0"/>
        <w:spacing w:line="480" w:lineRule="exact"/>
        <w:ind w:firstLineChars="88" w:firstLine="282"/>
        <w:jc w:val="both"/>
        <w:rPr>
          <w:rFonts w:ascii="標楷體" w:eastAsia="標楷體" w:hAnsi="標楷體"/>
          <w:sz w:val="32"/>
        </w:rPr>
      </w:pPr>
      <w:r w:rsidRPr="001B6E4D">
        <w:rPr>
          <w:rFonts w:ascii="標楷體" w:eastAsia="標楷體" w:hAnsi="標楷體"/>
          <w:b/>
          <w:bCs/>
          <w:sz w:val="32"/>
        </w:rPr>
        <w:t>三、鄭中心主任添成：</w:t>
      </w:r>
      <w:r w:rsidRPr="001B6E4D">
        <w:rPr>
          <w:rFonts w:ascii="標楷體" w:eastAsia="標楷體" w:hAnsi="標楷體"/>
          <w:sz w:val="32"/>
        </w:rPr>
        <w:t xml:space="preserve"> </w:t>
      </w:r>
    </w:p>
    <w:p w14:paraId="61B3B850" w14:textId="77777777" w:rsidR="00B921E8" w:rsidRPr="001B6E4D" w:rsidRDefault="00B921E8" w:rsidP="003D1018">
      <w:pPr>
        <w:widowControl w:val="0"/>
        <w:numPr>
          <w:ilvl w:val="0"/>
          <w:numId w:val="92"/>
        </w:numPr>
        <w:overflowPunct w:val="0"/>
        <w:spacing w:line="480" w:lineRule="exact"/>
        <w:ind w:left="1560" w:hanging="1080"/>
        <w:contextualSpacing/>
        <w:jc w:val="both"/>
        <w:rPr>
          <w:rFonts w:ascii="標楷體" w:eastAsia="標楷體" w:hAnsi="標楷體"/>
          <w:sz w:val="32"/>
        </w:rPr>
      </w:pPr>
      <w:r w:rsidRPr="001B6E4D">
        <w:rPr>
          <w:rFonts w:ascii="標楷體" w:eastAsia="標楷體" w:hAnsi="標楷體"/>
          <w:sz w:val="32"/>
        </w:rPr>
        <w:t>本中心研究計畫大致上可區為委託研究及自體研究兩類；關於研究計畫之產生機制：</w:t>
      </w:r>
    </w:p>
    <w:p w14:paraId="46B2BD10" w14:textId="77777777" w:rsidR="00B921E8" w:rsidRPr="001B6E4D" w:rsidRDefault="00B921E8" w:rsidP="003D1018">
      <w:pPr>
        <w:widowControl w:val="0"/>
        <w:numPr>
          <w:ilvl w:val="2"/>
          <w:numId w:val="88"/>
        </w:numPr>
        <w:overflowPunct w:val="0"/>
        <w:spacing w:line="480" w:lineRule="exact"/>
        <w:ind w:left="1985" w:hanging="425"/>
        <w:contextualSpacing/>
        <w:jc w:val="both"/>
        <w:rPr>
          <w:rFonts w:ascii="標楷體" w:eastAsia="標楷體" w:hAnsi="標楷體"/>
          <w:sz w:val="32"/>
        </w:rPr>
      </w:pPr>
      <w:r w:rsidRPr="001B6E4D">
        <w:rPr>
          <w:rFonts w:ascii="標楷體" w:eastAsia="標楷體" w:hAnsi="標楷體"/>
          <w:sz w:val="32"/>
        </w:rPr>
        <w:t>委託研究：本學院每年定期會向法務部各單位（如檢察司、保護司等）及所屬機關（如矯正</w:t>
      </w:r>
      <w:r w:rsidRPr="001B6E4D">
        <w:rPr>
          <w:rFonts w:ascii="標楷體" w:eastAsia="標楷體" w:hAnsi="標楷體"/>
          <w:sz w:val="32"/>
        </w:rPr>
        <w:lastRenderedPageBreak/>
        <w:t>署等）調查研究需求。例如因應</w:t>
      </w:r>
      <w:proofErr w:type="gramStart"/>
      <w:r w:rsidRPr="001B6E4D">
        <w:rPr>
          <w:rFonts w:ascii="標楷體" w:eastAsia="標楷體" w:hAnsi="標楷體"/>
          <w:sz w:val="32"/>
        </w:rPr>
        <w:t>近期毒駕</w:t>
      </w:r>
      <w:proofErr w:type="gramEnd"/>
      <w:r w:rsidRPr="001B6E4D">
        <w:rPr>
          <w:rFonts w:ascii="標楷體" w:eastAsia="標楷體" w:hAnsi="標楷體"/>
          <w:sz w:val="32"/>
        </w:rPr>
        <w:t xml:space="preserve">、詐欺車手重刑化政策導致監所收容人數攀升（現約65,000人，年底恐破70,000人），衍生後端矯正及處遇資源分配問題，相關機關即提出研究需求。各單位（機關）之提案將進行彙整並召開犯罪防治研究發展諮詢會議，由諮詢委員（含官方代表及外部學者專家）評選及提供建議後產生。 </w:t>
      </w:r>
    </w:p>
    <w:p w14:paraId="520BED25" w14:textId="77777777" w:rsidR="00B921E8" w:rsidRPr="001B6E4D" w:rsidRDefault="00B921E8" w:rsidP="003D1018">
      <w:pPr>
        <w:widowControl w:val="0"/>
        <w:numPr>
          <w:ilvl w:val="2"/>
          <w:numId w:val="88"/>
        </w:numPr>
        <w:overflowPunct w:val="0"/>
        <w:spacing w:line="480" w:lineRule="exact"/>
        <w:ind w:left="1985" w:hanging="425"/>
        <w:contextualSpacing/>
        <w:jc w:val="both"/>
        <w:rPr>
          <w:rFonts w:ascii="標楷體" w:eastAsia="標楷體" w:hAnsi="標楷體"/>
          <w:sz w:val="32"/>
        </w:rPr>
      </w:pPr>
      <w:r w:rsidRPr="001B6E4D">
        <w:rPr>
          <w:rFonts w:ascii="標楷體" w:eastAsia="標楷體" w:hAnsi="標楷體"/>
          <w:sz w:val="32"/>
        </w:rPr>
        <w:t xml:space="preserve">自體研究：由中心觀察社會重大犯罪問題及當前政府政策重點，結合各研究員專長（如AI、數據分析、法律、犯罪理論或傳播等）後提出，並經院長及院內討論後擇定。 </w:t>
      </w:r>
    </w:p>
    <w:p w14:paraId="2E959895" w14:textId="77777777" w:rsidR="00B921E8" w:rsidRPr="001B6E4D" w:rsidRDefault="00B921E8" w:rsidP="003D1018">
      <w:pPr>
        <w:widowControl w:val="0"/>
        <w:numPr>
          <w:ilvl w:val="0"/>
          <w:numId w:val="92"/>
        </w:numPr>
        <w:overflowPunct w:val="0"/>
        <w:spacing w:line="480" w:lineRule="exact"/>
        <w:ind w:left="1560" w:hanging="1080"/>
        <w:contextualSpacing/>
        <w:jc w:val="both"/>
        <w:rPr>
          <w:rFonts w:ascii="標楷體" w:eastAsia="標楷體" w:hAnsi="標楷體"/>
          <w:sz w:val="32"/>
        </w:rPr>
      </w:pPr>
      <w:r w:rsidRPr="001B6E4D">
        <w:rPr>
          <w:rFonts w:ascii="標楷體" w:eastAsia="標楷體" w:hAnsi="標楷體"/>
          <w:sz w:val="32"/>
        </w:rPr>
        <w:t>關於長期趨勢研究：</w:t>
      </w:r>
    </w:p>
    <w:p w14:paraId="3C0B546F" w14:textId="77777777" w:rsidR="00B921E8" w:rsidRPr="001B6E4D" w:rsidRDefault="00B921E8" w:rsidP="003D1018">
      <w:pPr>
        <w:widowControl w:val="0"/>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犯罪狀況及趨勢分析為本學院每年持續進行之常態性研究，涵蓋暴力犯罪、財產犯罪、毒品犯罪、兒少犯罪等多種犯罪類型，研究數據資料由各相關部會提供。本次簡報因聚焦特定主題，故特別擷取近10年之毒品犯罪數據進行資料分析呈現。感謝委員建議就特定犯罪類型建立固定之10年期專案評估，本中心將納入未來重點觀察項目設計考量。</w:t>
      </w:r>
    </w:p>
    <w:p w14:paraId="19B30B08" w14:textId="77777777" w:rsidR="00B921E8" w:rsidRPr="001B6E4D" w:rsidRDefault="00B921E8" w:rsidP="003D1018">
      <w:pPr>
        <w:widowControl w:val="0"/>
        <w:overflowPunct w:val="0"/>
        <w:spacing w:line="480" w:lineRule="exact"/>
        <w:ind w:firstLineChars="88" w:firstLine="282"/>
        <w:jc w:val="both"/>
        <w:rPr>
          <w:rFonts w:ascii="標楷體" w:eastAsia="標楷體" w:hAnsi="標楷體"/>
          <w:sz w:val="32"/>
        </w:rPr>
      </w:pPr>
      <w:r w:rsidRPr="001B6E4D">
        <w:rPr>
          <w:rFonts w:ascii="標楷體" w:eastAsia="標楷體" w:hAnsi="標楷體"/>
          <w:b/>
          <w:bCs/>
          <w:sz w:val="32"/>
        </w:rPr>
        <w:t>四、</w:t>
      </w:r>
      <w:proofErr w:type="gramStart"/>
      <w:r w:rsidRPr="001B6E4D">
        <w:rPr>
          <w:rFonts w:ascii="標楷體" w:eastAsia="標楷體" w:hAnsi="標楷體"/>
          <w:b/>
          <w:bCs/>
          <w:sz w:val="32"/>
        </w:rPr>
        <w:t>蔡</w:t>
      </w:r>
      <w:proofErr w:type="gramEnd"/>
      <w:r w:rsidRPr="001B6E4D">
        <w:rPr>
          <w:rFonts w:ascii="標楷體" w:eastAsia="標楷體" w:hAnsi="標楷體"/>
          <w:b/>
          <w:bCs/>
          <w:sz w:val="32"/>
        </w:rPr>
        <w:t>副研究員宜家：</w:t>
      </w:r>
      <w:r w:rsidRPr="001B6E4D">
        <w:rPr>
          <w:rFonts w:ascii="標楷體" w:eastAsia="標楷體" w:hAnsi="標楷體"/>
          <w:sz w:val="32"/>
        </w:rPr>
        <w:t xml:space="preserve"> </w:t>
      </w:r>
    </w:p>
    <w:p w14:paraId="04BAEA2E" w14:textId="77777777" w:rsidR="00B921E8" w:rsidRPr="001B6E4D" w:rsidRDefault="00B921E8" w:rsidP="003D1018">
      <w:pPr>
        <w:widowControl w:val="0"/>
        <w:numPr>
          <w:ilvl w:val="0"/>
          <w:numId w:val="93"/>
        </w:numPr>
        <w:overflowPunct w:val="0"/>
        <w:spacing w:line="480" w:lineRule="exact"/>
        <w:ind w:left="1560" w:hanging="1080"/>
        <w:contextualSpacing/>
        <w:jc w:val="both"/>
        <w:rPr>
          <w:rFonts w:ascii="標楷體" w:eastAsia="標楷體" w:hAnsi="標楷體"/>
          <w:sz w:val="32"/>
        </w:rPr>
      </w:pPr>
      <w:r w:rsidRPr="001B6E4D">
        <w:rPr>
          <w:rFonts w:ascii="標楷體" w:eastAsia="標楷體" w:hAnsi="標楷體"/>
          <w:sz w:val="32"/>
        </w:rPr>
        <w:t>關於嫌疑人數與級別分布圖之解讀：</w:t>
      </w:r>
    </w:p>
    <w:p w14:paraId="11B6AA00" w14:textId="77777777" w:rsidR="00B921E8" w:rsidRPr="001B6E4D" w:rsidRDefault="00B921E8" w:rsidP="003D1018">
      <w:pPr>
        <w:widowControl w:val="0"/>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簡報圖表之折線代表當年度「總嫌疑人數」，長條圖則為各毒品級別之具體人數，可供比對整體趨勢與各級別之</w:t>
      </w:r>
      <w:proofErr w:type="gramStart"/>
      <w:r w:rsidRPr="001B6E4D">
        <w:rPr>
          <w:rFonts w:ascii="標楷體" w:eastAsia="標楷體" w:hAnsi="標楷體"/>
          <w:sz w:val="32"/>
        </w:rPr>
        <w:t>佔</w:t>
      </w:r>
      <w:proofErr w:type="gramEnd"/>
      <w:r w:rsidRPr="001B6E4D">
        <w:rPr>
          <w:rFonts w:ascii="標楷體" w:eastAsia="標楷體" w:hAnsi="標楷體"/>
          <w:sz w:val="32"/>
        </w:rPr>
        <w:t>比。近期第二級毒品持有人數顯著增加，推測可能與「依托</w:t>
      </w:r>
      <w:proofErr w:type="gramStart"/>
      <w:r w:rsidRPr="001B6E4D">
        <w:rPr>
          <w:rFonts w:ascii="標楷體" w:eastAsia="標楷體" w:hAnsi="標楷體"/>
          <w:sz w:val="32"/>
        </w:rPr>
        <w:t>咪</w:t>
      </w:r>
      <w:proofErr w:type="gramEnd"/>
      <w:r w:rsidRPr="001B6E4D">
        <w:rPr>
          <w:rFonts w:ascii="標楷體" w:eastAsia="標楷體" w:hAnsi="標楷體"/>
          <w:sz w:val="32"/>
        </w:rPr>
        <w:t>酯」於113年至114年間改列第二級毒品有關，惟確切因果關係</w:t>
      </w:r>
      <w:proofErr w:type="gramStart"/>
      <w:r w:rsidRPr="001B6E4D">
        <w:rPr>
          <w:rFonts w:ascii="標楷體" w:eastAsia="標楷體" w:hAnsi="標楷體"/>
          <w:sz w:val="32"/>
        </w:rPr>
        <w:t>仍需會後</w:t>
      </w:r>
      <w:proofErr w:type="gramEnd"/>
      <w:r w:rsidRPr="001B6E4D">
        <w:rPr>
          <w:rFonts w:ascii="標楷體" w:eastAsia="標楷體" w:hAnsi="標楷體"/>
          <w:sz w:val="32"/>
        </w:rPr>
        <w:t xml:space="preserve">與警政署進一步查證討論。 </w:t>
      </w:r>
    </w:p>
    <w:p w14:paraId="27A479D3" w14:textId="77777777" w:rsidR="00B921E8" w:rsidRPr="001B6E4D" w:rsidRDefault="00B921E8" w:rsidP="003D1018">
      <w:pPr>
        <w:widowControl w:val="0"/>
        <w:numPr>
          <w:ilvl w:val="0"/>
          <w:numId w:val="93"/>
        </w:numPr>
        <w:overflowPunct w:val="0"/>
        <w:spacing w:line="480" w:lineRule="exact"/>
        <w:ind w:left="1560" w:hanging="1080"/>
        <w:contextualSpacing/>
        <w:jc w:val="both"/>
        <w:rPr>
          <w:rFonts w:ascii="標楷體" w:eastAsia="標楷體" w:hAnsi="標楷體"/>
          <w:sz w:val="32"/>
        </w:rPr>
      </w:pPr>
      <w:r w:rsidRPr="001B6E4D">
        <w:rPr>
          <w:rFonts w:ascii="標楷體" w:eastAsia="標楷體" w:hAnsi="標楷體"/>
          <w:sz w:val="32"/>
        </w:rPr>
        <w:t>關於新入監人數下降之政策脈絡：</w:t>
      </w:r>
    </w:p>
    <w:p w14:paraId="6BE2537D" w14:textId="77777777" w:rsidR="00B921E8" w:rsidRPr="001B6E4D" w:rsidRDefault="00B921E8" w:rsidP="003D1018">
      <w:pPr>
        <w:widowControl w:val="0"/>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lastRenderedPageBreak/>
        <w:t>入監人數減少與行政院106年推行之「新世代反毒策略行動綱領」密切相關。該綱領將施用毒品者定位</w:t>
      </w:r>
      <w:proofErr w:type="gramStart"/>
      <w:r w:rsidRPr="001B6E4D">
        <w:rPr>
          <w:rFonts w:ascii="標楷體" w:eastAsia="標楷體" w:hAnsi="標楷體"/>
          <w:sz w:val="32"/>
        </w:rPr>
        <w:t>為病犯</w:t>
      </w:r>
      <w:proofErr w:type="gramEnd"/>
      <w:r w:rsidRPr="001B6E4D">
        <w:rPr>
          <w:rFonts w:ascii="標楷體" w:eastAsia="標楷體" w:hAnsi="標楷體"/>
          <w:sz w:val="32"/>
        </w:rPr>
        <w:t>，處遇重點由監禁轉向社區（如觀察勒戒、強制戒治、緩起訴附命戒癮治療）。因此，入監人數減少反映了刑事政策轉向社區處遇之趨勢。</w:t>
      </w:r>
    </w:p>
    <w:p w14:paraId="64A9D952" w14:textId="77777777" w:rsidR="00B921E8" w:rsidRPr="001B6E4D" w:rsidRDefault="00B921E8" w:rsidP="003D1018">
      <w:pPr>
        <w:widowControl w:val="0"/>
        <w:overflowPunct w:val="0"/>
        <w:spacing w:line="480" w:lineRule="exact"/>
        <w:ind w:firstLineChars="88" w:firstLine="282"/>
        <w:jc w:val="both"/>
        <w:rPr>
          <w:rFonts w:ascii="標楷體" w:eastAsia="標楷體" w:hAnsi="標楷體"/>
          <w:sz w:val="32"/>
        </w:rPr>
      </w:pPr>
      <w:r w:rsidRPr="001B6E4D">
        <w:rPr>
          <w:rFonts w:ascii="標楷體" w:eastAsia="標楷體" w:hAnsi="標楷體"/>
          <w:b/>
          <w:bCs/>
          <w:sz w:val="32"/>
        </w:rPr>
        <w:t>五、張立法委員雅琳：</w:t>
      </w:r>
      <w:r w:rsidRPr="001B6E4D">
        <w:rPr>
          <w:rFonts w:ascii="標楷體" w:eastAsia="標楷體" w:hAnsi="標楷體"/>
          <w:sz w:val="32"/>
        </w:rPr>
        <w:t xml:space="preserve"> </w:t>
      </w:r>
    </w:p>
    <w:p w14:paraId="630302D1" w14:textId="77777777" w:rsidR="00B921E8" w:rsidRPr="001B6E4D" w:rsidRDefault="00B921E8" w:rsidP="003D1018">
      <w:pPr>
        <w:widowControl w:val="0"/>
        <w:overflowPunct w:val="0"/>
        <w:spacing w:line="480" w:lineRule="exact"/>
        <w:ind w:leftChars="379" w:left="910" w:firstLine="1"/>
        <w:jc w:val="both"/>
        <w:rPr>
          <w:rFonts w:ascii="標楷體" w:eastAsia="標楷體" w:hAnsi="標楷體"/>
          <w:sz w:val="32"/>
        </w:rPr>
      </w:pPr>
      <w:r w:rsidRPr="001B6E4D">
        <w:rPr>
          <w:rFonts w:ascii="標楷體" w:eastAsia="標楷體" w:hAnsi="標楷體"/>
          <w:sz w:val="32"/>
        </w:rPr>
        <w:t>建議未來若欲呈現政策轉向之趨勢，可將「新入監人數」與「緩起訴</w:t>
      </w:r>
      <w:proofErr w:type="gramStart"/>
      <w:r w:rsidRPr="001B6E4D">
        <w:rPr>
          <w:rFonts w:ascii="標楷體" w:eastAsia="標楷體" w:hAnsi="標楷體"/>
          <w:sz w:val="32"/>
        </w:rPr>
        <w:t>附命戒</w:t>
      </w:r>
      <w:proofErr w:type="gramEnd"/>
      <w:r w:rsidRPr="001B6E4D">
        <w:rPr>
          <w:rFonts w:ascii="標楷體" w:eastAsia="標楷體" w:hAnsi="標楷體"/>
          <w:sz w:val="32"/>
        </w:rPr>
        <w:t>癮治療人數」合併於同一圖表進行對比，將能更</w:t>
      </w:r>
      <w:proofErr w:type="gramStart"/>
      <w:r w:rsidRPr="001B6E4D">
        <w:rPr>
          <w:rFonts w:ascii="標楷體" w:eastAsia="標楷體" w:hAnsi="標楷體"/>
          <w:sz w:val="32"/>
        </w:rPr>
        <w:t>清晰、</w:t>
      </w:r>
      <w:proofErr w:type="gramEnd"/>
      <w:r w:rsidRPr="001B6E4D">
        <w:rPr>
          <w:rFonts w:ascii="標楷體" w:eastAsia="標楷體" w:hAnsi="標楷體"/>
          <w:sz w:val="32"/>
        </w:rPr>
        <w:t>直觀地呈現兩者間之關聯。</w:t>
      </w:r>
    </w:p>
    <w:p w14:paraId="058FF893" w14:textId="77777777" w:rsidR="00B921E8" w:rsidRPr="001B6E4D" w:rsidRDefault="00B921E8" w:rsidP="003D1018">
      <w:pPr>
        <w:widowControl w:val="0"/>
        <w:overflowPunct w:val="0"/>
        <w:spacing w:line="480" w:lineRule="exact"/>
        <w:ind w:firstLineChars="88" w:firstLine="282"/>
        <w:jc w:val="both"/>
        <w:rPr>
          <w:rFonts w:ascii="標楷體" w:eastAsia="標楷體" w:hAnsi="標楷體"/>
          <w:sz w:val="32"/>
        </w:rPr>
      </w:pPr>
      <w:r w:rsidRPr="001B6E4D">
        <w:rPr>
          <w:rFonts w:ascii="標楷體" w:eastAsia="標楷體" w:hAnsi="標楷體"/>
          <w:b/>
          <w:bCs/>
          <w:sz w:val="32"/>
        </w:rPr>
        <w:t>六、顧研究員以謙：</w:t>
      </w:r>
      <w:r w:rsidRPr="001B6E4D">
        <w:rPr>
          <w:rFonts w:ascii="標楷體" w:eastAsia="標楷體" w:hAnsi="標楷體"/>
          <w:sz w:val="32"/>
        </w:rPr>
        <w:t xml:space="preserve"> </w:t>
      </w:r>
    </w:p>
    <w:p w14:paraId="7F3FE169" w14:textId="77777777" w:rsidR="00B921E8" w:rsidRPr="001B6E4D" w:rsidRDefault="00B921E8" w:rsidP="003D1018">
      <w:pPr>
        <w:widowControl w:val="0"/>
        <w:numPr>
          <w:ilvl w:val="0"/>
          <w:numId w:val="94"/>
        </w:numPr>
        <w:overflowPunct w:val="0"/>
        <w:spacing w:line="480" w:lineRule="exact"/>
        <w:ind w:hanging="993"/>
        <w:contextualSpacing/>
        <w:jc w:val="both"/>
        <w:rPr>
          <w:rFonts w:ascii="標楷體" w:eastAsia="標楷體" w:hAnsi="標楷體"/>
          <w:sz w:val="32"/>
        </w:rPr>
      </w:pPr>
      <w:r w:rsidRPr="001B6E4D">
        <w:rPr>
          <w:rFonts w:ascii="標楷體" w:eastAsia="標楷體" w:hAnsi="標楷體"/>
          <w:sz w:val="32"/>
        </w:rPr>
        <w:t>關於研究成果之政策溝通與媒體宣傳：</w:t>
      </w:r>
    </w:p>
    <w:p w14:paraId="50B77A52" w14:textId="77777777" w:rsidR="00B921E8" w:rsidRPr="001B6E4D" w:rsidRDefault="00B921E8" w:rsidP="003D1018">
      <w:pPr>
        <w:widowControl w:val="0"/>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本中心持續透過媒體專訪及自媒體，如教育廣播電台、YouTuber志</w:t>
      </w:r>
      <w:proofErr w:type="gramStart"/>
      <w:r w:rsidRPr="001B6E4D">
        <w:rPr>
          <w:rFonts w:ascii="標楷體" w:eastAsia="標楷體" w:hAnsi="標楷體"/>
          <w:sz w:val="32"/>
        </w:rPr>
        <w:t>祺</w:t>
      </w:r>
      <w:proofErr w:type="gramEnd"/>
      <w:r w:rsidRPr="001B6E4D">
        <w:rPr>
          <w:rFonts w:ascii="標楷體" w:eastAsia="標楷體" w:hAnsi="標楷體"/>
          <w:sz w:val="32"/>
        </w:rPr>
        <w:t>七七頻道等推廣研究成果。</w:t>
      </w:r>
      <w:proofErr w:type="gramStart"/>
      <w:r w:rsidRPr="001B6E4D">
        <w:rPr>
          <w:rFonts w:ascii="標楷體" w:eastAsia="標楷體" w:hAnsi="標楷體"/>
          <w:sz w:val="32"/>
        </w:rPr>
        <w:t>此外，</w:t>
      </w:r>
      <w:proofErr w:type="gramEnd"/>
      <w:r w:rsidRPr="001B6E4D">
        <w:rPr>
          <w:rFonts w:ascii="標楷體" w:eastAsia="標楷體" w:hAnsi="標楷體"/>
          <w:sz w:val="32"/>
        </w:rPr>
        <w:t>研究發表後，也會寄送行政院、相關部會，如毒品防制會報等跨部會會議作為參考（如先前羅秉成前政委指示衛福部</w:t>
      </w:r>
      <w:proofErr w:type="gramStart"/>
      <w:r w:rsidRPr="001B6E4D">
        <w:rPr>
          <w:rFonts w:ascii="標楷體" w:eastAsia="標楷體" w:hAnsi="標楷體"/>
          <w:sz w:val="32"/>
        </w:rPr>
        <w:t>研</w:t>
      </w:r>
      <w:proofErr w:type="gramEnd"/>
      <w:r w:rsidRPr="001B6E4D">
        <w:rPr>
          <w:rFonts w:ascii="標楷體" w:eastAsia="標楷體" w:hAnsi="標楷體"/>
          <w:sz w:val="32"/>
        </w:rPr>
        <w:t xml:space="preserve">議《物質濫用防制專法》之討論），相關報告最終亦有參考引用本中心研究成果，後續也會將會議結論提供予立法院參考。 </w:t>
      </w:r>
    </w:p>
    <w:p w14:paraId="29DC7B53" w14:textId="77777777" w:rsidR="00B921E8" w:rsidRPr="001B6E4D" w:rsidRDefault="00B921E8" w:rsidP="003D1018">
      <w:pPr>
        <w:widowControl w:val="0"/>
        <w:numPr>
          <w:ilvl w:val="0"/>
          <w:numId w:val="94"/>
        </w:numPr>
        <w:overflowPunct w:val="0"/>
        <w:spacing w:line="480" w:lineRule="exact"/>
        <w:contextualSpacing/>
        <w:jc w:val="both"/>
        <w:rPr>
          <w:rFonts w:ascii="標楷體" w:eastAsia="標楷體" w:hAnsi="標楷體"/>
          <w:sz w:val="32"/>
        </w:rPr>
      </w:pPr>
      <w:r w:rsidRPr="001B6E4D">
        <w:rPr>
          <w:rFonts w:ascii="標楷體" w:eastAsia="標楷體" w:hAnsi="標楷體"/>
          <w:sz w:val="32"/>
        </w:rPr>
        <w:t>關於AI模型於第一線之應用落實：</w:t>
      </w:r>
    </w:p>
    <w:p w14:paraId="0A73E956" w14:textId="77777777" w:rsidR="00B921E8" w:rsidRPr="001B6E4D" w:rsidRDefault="00B921E8" w:rsidP="003D1018">
      <w:pPr>
        <w:widowControl w:val="0"/>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本學院與臺灣高等檢察署合作多元處遇分析計畫，研究結果將提供予</w:t>
      </w:r>
      <w:proofErr w:type="gramStart"/>
      <w:r w:rsidRPr="001B6E4D">
        <w:rPr>
          <w:rFonts w:ascii="標楷體" w:eastAsia="標楷體" w:hAnsi="標楷體"/>
          <w:sz w:val="32"/>
        </w:rPr>
        <w:t>臺</w:t>
      </w:r>
      <w:proofErr w:type="gramEnd"/>
      <w:r w:rsidRPr="001B6E4D">
        <w:rPr>
          <w:rFonts w:ascii="標楷體" w:eastAsia="標楷體" w:hAnsi="標楷體"/>
          <w:sz w:val="32"/>
        </w:rPr>
        <w:t xml:space="preserve">高檢，作為其後續審查各地檢署年度處遇計畫與編列預算之重要參考依據，藉此將研究成果落實於第一線之資源配置。 </w:t>
      </w:r>
    </w:p>
    <w:p w14:paraId="1BCB34FA" w14:textId="77777777" w:rsidR="00B921E8" w:rsidRPr="001B6E4D" w:rsidRDefault="00B921E8" w:rsidP="003D1018">
      <w:pPr>
        <w:widowControl w:val="0"/>
        <w:numPr>
          <w:ilvl w:val="0"/>
          <w:numId w:val="94"/>
        </w:numPr>
        <w:overflowPunct w:val="0"/>
        <w:spacing w:line="480" w:lineRule="exact"/>
        <w:contextualSpacing/>
        <w:jc w:val="both"/>
        <w:rPr>
          <w:rFonts w:ascii="標楷體" w:eastAsia="標楷體" w:hAnsi="標楷體"/>
          <w:sz w:val="32"/>
        </w:rPr>
      </w:pPr>
      <w:r w:rsidRPr="001B6E4D">
        <w:rPr>
          <w:rFonts w:ascii="標楷體" w:eastAsia="標楷體" w:hAnsi="標楷體"/>
          <w:sz w:val="32"/>
        </w:rPr>
        <w:t>關於AI</w:t>
      </w:r>
      <w:proofErr w:type="gramStart"/>
      <w:r w:rsidRPr="001B6E4D">
        <w:rPr>
          <w:rFonts w:ascii="標楷體" w:eastAsia="標楷體" w:hAnsi="標楷體"/>
          <w:sz w:val="32"/>
        </w:rPr>
        <w:t>算力資源</w:t>
      </w:r>
      <w:proofErr w:type="gramEnd"/>
      <w:r w:rsidRPr="001B6E4D">
        <w:rPr>
          <w:rFonts w:ascii="標楷體" w:eastAsia="標楷體" w:hAnsi="標楷體"/>
          <w:sz w:val="32"/>
        </w:rPr>
        <w:t>需求與經費現況：</w:t>
      </w:r>
    </w:p>
    <w:p w14:paraId="5DBC1F27" w14:textId="77777777" w:rsidR="00B921E8" w:rsidRPr="001B6E4D" w:rsidRDefault="00B921E8" w:rsidP="003D1018">
      <w:pPr>
        <w:widowControl w:val="0"/>
        <w:overflowPunct w:val="0"/>
        <w:spacing w:line="480" w:lineRule="exact"/>
        <w:ind w:left="1560"/>
        <w:contextualSpacing/>
        <w:jc w:val="both"/>
        <w:rPr>
          <w:rFonts w:ascii="標楷體" w:eastAsia="標楷體" w:hAnsi="標楷體"/>
          <w:sz w:val="32"/>
        </w:rPr>
      </w:pPr>
      <w:r w:rsidRPr="001B6E4D">
        <w:rPr>
          <w:rFonts w:ascii="標楷體" w:eastAsia="標楷體" w:hAnsi="標楷體"/>
          <w:sz w:val="32"/>
        </w:rPr>
        <w:t>感謝法務部及學院之長期支持，本學院亦積極</w:t>
      </w:r>
      <w:proofErr w:type="gramStart"/>
      <w:r w:rsidRPr="001B6E4D">
        <w:rPr>
          <w:rFonts w:ascii="標楷體" w:eastAsia="標楷體" w:hAnsi="標楷體"/>
          <w:sz w:val="32"/>
        </w:rPr>
        <w:t>向毒防</w:t>
      </w:r>
      <w:proofErr w:type="gramEnd"/>
      <w:r w:rsidRPr="001B6E4D">
        <w:rPr>
          <w:rFonts w:ascii="標楷體" w:eastAsia="標楷體" w:hAnsi="標楷體"/>
          <w:sz w:val="32"/>
        </w:rPr>
        <w:t>基金申請計畫經費。目前</w:t>
      </w:r>
      <w:proofErr w:type="gramStart"/>
      <w:r w:rsidRPr="001B6E4D">
        <w:rPr>
          <w:rFonts w:ascii="標楷體" w:eastAsia="標楷體" w:hAnsi="標楷體"/>
          <w:sz w:val="32"/>
        </w:rPr>
        <w:t>算力尚足</w:t>
      </w:r>
      <w:proofErr w:type="gramEnd"/>
      <w:r w:rsidRPr="001B6E4D">
        <w:rPr>
          <w:rFonts w:ascii="標楷體" w:eastAsia="標楷體" w:hAnsi="標楷體"/>
          <w:sz w:val="32"/>
        </w:rPr>
        <w:t>供研究端使用，惟硬體設備相較現今世代約有5年之落差，未來將持續在資通訊設備經費管制之框架</w:t>
      </w:r>
      <w:r w:rsidRPr="001B6E4D">
        <w:rPr>
          <w:rFonts w:ascii="標楷體" w:eastAsia="標楷體" w:hAnsi="標楷體"/>
          <w:sz w:val="32"/>
        </w:rPr>
        <w:lastRenderedPageBreak/>
        <w:t>下，努力爭取設備升級及擴充經費預算。</w:t>
      </w:r>
    </w:p>
    <w:p w14:paraId="15040E30" w14:textId="77777777" w:rsidR="00B921E8" w:rsidRPr="001B6E4D" w:rsidRDefault="00B921E8" w:rsidP="003D1018">
      <w:pPr>
        <w:widowControl w:val="0"/>
        <w:overflowPunct w:val="0"/>
        <w:spacing w:line="480" w:lineRule="exact"/>
        <w:ind w:firstLineChars="88" w:firstLine="282"/>
        <w:jc w:val="both"/>
        <w:rPr>
          <w:rFonts w:ascii="標楷體" w:eastAsia="標楷體" w:hAnsi="標楷體"/>
          <w:sz w:val="32"/>
        </w:rPr>
      </w:pPr>
      <w:r w:rsidRPr="001B6E4D">
        <w:rPr>
          <w:rFonts w:ascii="標楷體" w:eastAsia="標楷體" w:hAnsi="標楷體"/>
          <w:b/>
          <w:bCs/>
          <w:sz w:val="32"/>
        </w:rPr>
        <w:t>七、張立法委員雅琳：</w:t>
      </w:r>
    </w:p>
    <w:p w14:paraId="57A0F3F2" w14:textId="77777777" w:rsidR="00B921E8" w:rsidRPr="001B6E4D" w:rsidRDefault="00B921E8" w:rsidP="003D1018">
      <w:pPr>
        <w:widowControl w:val="0"/>
        <w:overflowPunct w:val="0"/>
        <w:spacing w:line="480" w:lineRule="exact"/>
        <w:ind w:leftChars="379" w:left="910" w:firstLine="1"/>
        <w:jc w:val="both"/>
        <w:rPr>
          <w:rFonts w:ascii="標楷體" w:eastAsia="標楷體" w:hAnsi="標楷體"/>
          <w:sz w:val="32"/>
        </w:rPr>
      </w:pPr>
      <w:r w:rsidRPr="001B6E4D">
        <w:rPr>
          <w:rFonts w:ascii="標楷體" w:eastAsia="標楷體" w:hAnsi="標楷體"/>
          <w:sz w:val="32"/>
        </w:rPr>
        <w:t>現行透過行政會議層層上報之機制固然存在，但若欲從根本上避免立法院偏向無效之「重刑化」修法，學院必須採取更積極之社會溝通策略，讓民眾與立法委員對數據有感。建請學院就「如何精進並提升研究成果之媒體曝光與社會影響力」提出具體之書面報告。</w:t>
      </w:r>
    </w:p>
    <w:p w14:paraId="54BB60B5" w14:textId="77777777" w:rsidR="00B921E8" w:rsidRPr="001B6E4D" w:rsidRDefault="00B921E8" w:rsidP="003D1018">
      <w:pPr>
        <w:widowControl w:val="0"/>
        <w:overflowPunct w:val="0"/>
        <w:spacing w:line="480" w:lineRule="exact"/>
        <w:ind w:firstLineChars="88" w:firstLine="282"/>
        <w:jc w:val="both"/>
        <w:rPr>
          <w:rFonts w:ascii="標楷體" w:eastAsia="標楷體" w:hAnsi="標楷體"/>
          <w:sz w:val="32"/>
        </w:rPr>
      </w:pPr>
      <w:r w:rsidRPr="001B6E4D">
        <w:rPr>
          <w:rFonts w:ascii="標楷體" w:eastAsia="標楷體" w:hAnsi="標楷體"/>
          <w:b/>
          <w:bCs/>
          <w:sz w:val="32"/>
        </w:rPr>
        <w:t>八、</w:t>
      </w:r>
      <w:proofErr w:type="gramStart"/>
      <w:r w:rsidRPr="001B6E4D">
        <w:rPr>
          <w:rFonts w:ascii="標楷體" w:eastAsia="標楷體" w:hAnsi="標楷體"/>
          <w:b/>
          <w:bCs/>
          <w:sz w:val="32"/>
        </w:rPr>
        <w:t>鄭主任添成</w:t>
      </w:r>
      <w:proofErr w:type="gramEnd"/>
      <w:r w:rsidRPr="001B6E4D">
        <w:rPr>
          <w:rFonts w:ascii="標楷體" w:eastAsia="標楷體" w:hAnsi="標楷體"/>
          <w:b/>
          <w:bCs/>
          <w:sz w:val="32"/>
        </w:rPr>
        <w:t>：</w:t>
      </w:r>
      <w:r w:rsidRPr="001B6E4D">
        <w:rPr>
          <w:rFonts w:ascii="標楷體" w:eastAsia="標楷體" w:hAnsi="標楷體"/>
          <w:sz w:val="32"/>
        </w:rPr>
        <w:t xml:space="preserve"> </w:t>
      </w:r>
    </w:p>
    <w:p w14:paraId="3379D8C5" w14:textId="77777777" w:rsidR="00B921E8" w:rsidRPr="001B6E4D" w:rsidRDefault="00B921E8" w:rsidP="003D1018">
      <w:pPr>
        <w:widowControl w:val="0"/>
        <w:overflowPunct w:val="0"/>
        <w:spacing w:line="480" w:lineRule="exact"/>
        <w:ind w:leftChars="379" w:left="910" w:firstLine="1"/>
        <w:jc w:val="both"/>
        <w:rPr>
          <w:rFonts w:ascii="標楷體" w:eastAsia="標楷體" w:hAnsi="標楷體"/>
          <w:sz w:val="32"/>
        </w:rPr>
      </w:pPr>
      <w:r w:rsidRPr="001B6E4D">
        <w:rPr>
          <w:rFonts w:ascii="標楷體" w:eastAsia="標楷體" w:hAnsi="標楷體"/>
          <w:sz w:val="32"/>
        </w:rPr>
        <w:t>本中心於兩</w:t>
      </w:r>
      <w:proofErr w:type="gramStart"/>
      <w:r w:rsidRPr="001B6E4D">
        <w:rPr>
          <w:rFonts w:ascii="標楷體" w:eastAsia="標楷體" w:hAnsi="標楷體"/>
          <w:sz w:val="32"/>
        </w:rPr>
        <w:t>週</w:t>
      </w:r>
      <w:proofErr w:type="gramEnd"/>
      <w:r w:rsidRPr="001B6E4D">
        <w:rPr>
          <w:rFonts w:ascii="標楷體" w:eastAsia="標楷體" w:hAnsi="標楷體"/>
          <w:sz w:val="32"/>
        </w:rPr>
        <w:t>內彙整相關資料並提供予委員參考。</w:t>
      </w:r>
    </w:p>
    <w:p w14:paraId="647DCF50" w14:textId="77777777" w:rsidR="00B921E8" w:rsidRPr="001B6E4D" w:rsidRDefault="00B921E8" w:rsidP="003D1018">
      <w:pPr>
        <w:widowControl w:val="0"/>
        <w:overflowPunct w:val="0"/>
        <w:spacing w:line="480" w:lineRule="exact"/>
        <w:ind w:firstLineChars="88" w:firstLine="282"/>
        <w:jc w:val="both"/>
        <w:rPr>
          <w:rFonts w:ascii="標楷體" w:eastAsia="標楷體" w:hAnsi="標楷體"/>
          <w:sz w:val="32"/>
        </w:rPr>
      </w:pPr>
      <w:r w:rsidRPr="001B6E4D">
        <w:rPr>
          <w:rFonts w:ascii="標楷體" w:eastAsia="標楷體" w:hAnsi="標楷體"/>
          <w:b/>
          <w:bCs/>
          <w:sz w:val="32"/>
        </w:rPr>
        <w:t>九、吳院長巡龍：</w:t>
      </w:r>
    </w:p>
    <w:p w14:paraId="4987106C" w14:textId="77777777" w:rsidR="00B921E8" w:rsidRPr="001B6E4D" w:rsidRDefault="00B921E8" w:rsidP="003D1018">
      <w:pPr>
        <w:widowControl w:val="0"/>
        <w:overflowPunct w:val="0"/>
        <w:spacing w:line="480" w:lineRule="exact"/>
        <w:ind w:leftChars="379" w:left="910" w:firstLine="1"/>
        <w:jc w:val="both"/>
        <w:rPr>
          <w:rFonts w:ascii="標楷體" w:eastAsia="標楷體" w:hAnsi="標楷體"/>
          <w:sz w:val="32"/>
        </w:rPr>
      </w:pPr>
      <w:r w:rsidRPr="001B6E4D">
        <w:rPr>
          <w:rFonts w:ascii="標楷體" w:eastAsia="標楷體" w:hAnsi="標楷體"/>
          <w:sz w:val="32"/>
        </w:rPr>
        <w:t>感謝委員之指教。關於如何更廣泛地增加研究成果之社會影響力與媒體曝光度，本學院將進行內部討論，針對委員要求之書面報告，將比照一般會</w:t>
      </w:r>
      <w:proofErr w:type="gramStart"/>
      <w:r w:rsidRPr="001B6E4D">
        <w:rPr>
          <w:rFonts w:ascii="標楷體" w:eastAsia="標楷體" w:hAnsi="標楷體"/>
          <w:sz w:val="32"/>
        </w:rPr>
        <w:t>勘</w:t>
      </w:r>
      <w:proofErr w:type="gramEnd"/>
      <w:r w:rsidRPr="001B6E4D">
        <w:rPr>
          <w:rFonts w:ascii="標楷體" w:eastAsia="標楷體" w:hAnsi="標楷體"/>
          <w:sz w:val="32"/>
        </w:rPr>
        <w:t>作業期程，於兩</w:t>
      </w:r>
      <w:proofErr w:type="gramStart"/>
      <w:r w:rsidRPr="001B6E4D">
        <w:rPr>
          <w:rFonts w:ascii="標楷體" w:eastAsia="標楷體" w:hAnsi="標楷體"/>
          <w:sz w:val="32"/>
        </w:rPr>
        <w:t>週</w:t>
      </w:r>
      <w:proofErr w:type="gramEnd"/>
      <w:r w:rsidRPr="001B6E4D">
        <w:rPr>
          <w:rFonts w:ascii="標楷體" w:eastAsia="標楷體" w:hAnsi="標楷體"/>
          <w:sz w:val="32"/>
        </w:rPr>
        <w:t>內彙整完畢並提供予委員參考。無其他提問，今日考察座談到此結束，謝謝大家。</w:t>
      </w:r>
    </w:p>
    <w:p w14:paraId="5D8DC956" w14:textId="77777777" w:rsidR="00B921E8" w:rsidRPr="001B6E4D" w:rsidRDefault="00B921E8" w:rsidP="003D1018">
      <w:pPr>
        <w:widowControl w:val="0"/>
        <w:overflowPunct w:val="0"/>
        <w:spacing w:line="520" w:lineRule="exact"/>
        <w:jc w:val="both"/>
        <w:rPr>
          <w:rFonts w:ascii="標楷體" w:eastAsia="標楷體" w:hAnsi="標楷體"/>
          <w:b/>
          <w:bCs/>
          <w:sz w:val="32"/>
        </w:rPr>
      </w:pPr>
      <w:r w:rsidRPr="001B6E4D">
        <w:rPr>
          <w:rFonts w:ascii="標楷體" w:eastAsia="標楷體" w:hAnsi="標楷體" w:hint="eastAsia"/>
          <w:b/>
          <w:bCs/>
          <w:sz w:val="32"/>
        </w:rPr>
        <w:t>伍</w:t>
      </w:r>
      <w:r w:rsidRPr="001B6E4D">
        <w:rPr>
          <w:rFonts w:ascii="標楷體" w:eastAsia="標楷體" w:hAnsi="標楷體"/>
          <w:b/>
          <w:bCs/>
          <w:sz w:val="32"/>
        </w:rPr>
        <w:t>、散會</w:t>
      </w:r>
      <w:proofErr w:type="gramStart"/>
      <w:r w:rsidRPr="001B6E4D">
        <w:rPr>
          <w:rFonts w:ascii="標楷體" w:eastAsia="標楷體" w:hAnsi="標楷體"/>
          <w:b/>
          <w:bCs/>
          <w:sz w:val="32"/>
        </w:rPr>
        <w:t>（</w:t>
      </w:r>
      <w:proofErr w:type="gramEnd"/>
      <w:r w:rsidRPr="001B6E4D">
        <w:rPr>
          <w:rFonts w:ascii="標楷體" w:eastAsia="標楷體" w:hAnsi="標楷體"/>
          <w:b/>
          <w:bCs/>
          <w:sz w:val="32"/>
        </w:rPr>
        <w:t>17：40</w:t>
      </w:r>
      <w:proofErr w:type="gramStart"/>
      <w:r w:rsidRPr="001B6E4D">
        <w:rPr>
          <w:rFonts w:ascii="標楷體" w:eastAsia="標楷體" w:hAnsi="標楷體"/>
          <w:b/>
          <w:bCs/>
          <w:sz w:val="32"/>
        </w:rPr>
        <w:t>）</w:t>
      </w:r>
      <w:proofErr w:type="gramEnd"/>
    </w:p>
    <w:p w14:paraId="54033925" w14:textId="77777777" w:rsidR="00A80551" w:rsidRPr="001B6E4D" w:rsidRDefault="00A80551" w:rsidP="003D1018">
      <w:pPr>
        <w:widowControl w:val="0"/>
        <w:suppressAutoHyphens/>
        <w:overflowPunct w:val="0"/>
        <w:autoSpaceDE w:val="0"/>
        <w:autoSpaceDN w:val="0"/>
        <w:spacing w:after="180" w:line="480" w:lineRule="exact"/>
        <w:jc w:val="center"/>
        <w:textAlignment w:val="baseline"/>
        <w:outlineLvl w:val="2"/>
        <w:rPr>
          <w:rFonts w:ascii="標楷體" w:eastAsia="標楷體" w:hAnsi="標楷體"/>
          <w:b/>
          <w:color w:val="000000"/>
          <w:kern w:val="3"/>
          <w:sz w:val="34"/>
          <w:szCs w:val="34"/>
        </w:rPr>
      </w:pPr>
      <w:r w:rsidRPr="001B6E4D">
        <w:rPr>
          <w:rFonts w:ascii="標楷體" w:eastAsia="標楷體" w:hAnsi="標楷體"/>
          <w:b/>
          <w:color w:val="000000"/>
          <w:kern w:val="3"/>
          <w:sz w:val="34"/>
          <w:szCs w:val="34"/>
        </w:rPr>
        <w:br w:type="page"/>
      </w:r>
    </w:p>
    <w:p w14:paraId="15988665" w14:textId="79A59A46" w:rsidR="00B921E8" w:rsidRPr="001B6E4D" w:rsidRDefault="00B921E8" w:rsidP="003D1018">
      <w:pPr>
        <w:kinsoku w:val="0"/>
        <w:overflowPunct w:val="0"/>
        <w:snapToGrid w:val="0"/>
        <w:spacing w:afterLines="50" w:after="180" w:line="440" w:lineRule="exact"/>
        <w:jc w:val="center"/>
        <w:outlineLvl w:val="4"/>
        <w:rPr>
          <w:rFonts w:ascii="標楷體" w:eastAsia="標楷體" w:hAnsi="標楷體"/>
          <w:b/>
          <w:spacing w:val="-8"/>
          <w:sz w:val="36"/>
          <w:szCs w:val="20"/>
        </w:rPr>
      </w:pPr>
      <w:r w:rsidRPr="001B6E4D">
        <w:rPr>
          <w:rFonts w:ascii="標楷體" w:eastAsia="標楷體" w:hAnsi="標楷體"/>
          <w:b/>
          <w:spacing w:val="-8"/>
          <w:sz w:val="36"/>
          <w:szCs w:val="20"/>
        </w:rPr>
        <w:lastRenderedPageBreak/>
        <w:t>立法院司法及法制委員會參訪臺灣桃園地方法院「</w:t>
      </w:r>
      <w:bookmarkStart w:id="583" w:name="精神衛生法專家參審籌備進度及司法人力概況"/>
      <w:r w:rsidRPr="001B6E4D">
        <w:rPr>
          <w:rFonts w:ascii="標楷體" w:eastAsia="標楷體" w:hAnsi="標楷體"/>
          <w:b/>
          <w:spacing w:val="-8"/>
          <w:sz w:val="36"/>
          <w:szCs w:val="20"/>
        </w:rPr>
        <w:t>精神衛生法專家參審籌備進度及司法人力概況</w:t>
      </w:r>
      <w:bookmarkEnd w:id="583"/>
      <w:r w:rsidRPr="001B6E4D">
        <w:rPr>
          <w:rFonts w:ascii="標楷體" w:eastAsia="標楷體" w:hAnsi="標楷體"/>
          <w:b/>
          <w:spacing w:val="-8"/>
          <w:sz w:val="36"/>
          <w:szCs w:val="20"/>
        </w:rPr>
        <w:t>」會議紀錄</w:t>
      </w:r>
    </w:p>
    <w:p w14:paraId="176880B9" w14:textId="77777777" w:rsidR="00B921E8" w:rsidRPr="001B6E4D" w:rsidRDefault="00B921E8" w:rsidP="003D1018">
      <w:pPr>
        <w:overflowPunct w:val="0"/>
        <w:rPr>
          <w:rFonts w:ascii="標楷體" w:eastAsia="標楷體" w:hAnsi="標楷體" w:cs="標楷體"/>
          <w:kern w:val="0"/>
          <w:sz w:val="32"/>
          <w:szCs w:val="32"/>
          <w:lang w:val="en"/>
        </w:rPr>
      </w:pPr>
      <w:r w:rsidRPr="001B6E4D">
        <w:rPr>
          <w:rFonts w:ascii="標楷體" w:eastAsia="標楷體" w:hAnsi="標楷體" w:cs="標楷體"/>
          <w:b/>
          <w:bCs/>
          <w:kern w:val="0"/>
          <w:sz w:val="32"/>
          <w:szCs w:val="32"/>
          <w:lang w:val="en"/>
        </w:rPr>
        <w:t>壹、參訪時間：</w:t>
      </w:r>
      <w:r w:rsidRPr="001B6E4D">
        <w:rPr>
          <w:rFonts w:ascii="標楷體" w:eastAsia="標楷體" w:hAnsi="標楷體" w:cs="標楷體"/>
          <w:kern w:val="0"/>
          <w:sz w:val="32"/>
          <w:szCs w:val="32"/>
          <w:lang w:val="en"/>
        </w:rPr>
        <w:t>115年7月20日（星期一）上午10時</w:t>
      </w:r>
    </w:p>
    <w:p w14:paraId="1F1EFD3F"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貳、會議地點：</w:t>
      </w:r>
      <w:r w:rsidRPr="001B6E4D">
        <w:rPr>
          <w:rFonts w:ascii="標楷體" w:eastAsia="標楷體" w:hAnsi="標楷體" w:cs="標楷體"/>
          <w:kern w:val="0"/>
          <w:sz w:val="32"/>
          <w:szCs w:val="32"/>
          <w:lang w:val="en"/>
        </w:rPr>
        <w:t>臺灣桃園地方法院8樓會議室</w:t>
      </w:r>
    </w:p>
    <w:p w14:paraId="02E60AAB" w14:textId="77777777" w:rsidR="00B921E8" w:rsidRPr="001B6E4D" w:rsidRDefault="00B921E8" w:rsidP="003D1018">
      <w:pPr>
        <w:overflowPunct w:val="0"/>
        <w:rPr>
          <w:rFonts w:ascii="標楷體" w:eastAsia="標楷體" w:hAnsi="標楷體" w:cs="標楷體"/>
          <w:kern w:val="0"/>
          <w:sz w:val="32"/>
          <w:szCs w:val="32"/>
          <w:lang w:val="en"/>
        </w:rPr>
      </w:pPr>
      <w:r w:rsidRPr="001B6E4D">
        <w:rPr>
          <w:rFonts w:ascii="標楷體" w:eastAsia="標楷體" w:hAnsi="標楷體" w:cs="標楷體"/>
          <w:b/>
          <w:bCs/>
          <w:kern w:val="0"/>
          <w:sz w:val="32"/>
          <w:szCs w:val="32"/>
          <w:lang w:val="en"/>
        </w:rPr>
        <w:t>參、召集委員：</w:t>
      </w:r>
      <w:r w:rsidRPr="001B6E4D">
        <w:rPr>
          <w:rFonts w:ascii="標楷體" w:eastAsia="標楷體" w:hAnsi="標楷體" w:cs="標楷體"/>
          <w:kern w:val="0"/>
          <w:sz w:val="32"/>
          <w:szCs w:val="32"/>
          <w:lang w:val="en"/>
        </w:rPr>
        <w:t>司法及法制委員會翁召集委員曉玲</w:t>
      </w:r>
    </w:p>
    <w:p w14:paraId="4E33FF1D" w14:textId="77777777" w:rsidR="00B921E8" w:rsidRPr="001B6E4D" w:rsidRDefault="00B921E8" w:rsidP="003D1018">
      <w:pPr>
        <w:overflowPunct w:val="0"/>
        <w:rPr>
          <w:rFonts w:ascii="標楷體" w:eastAsia="標楷體" w:hAnsi="標楷體" w:cs="標楷體"/>
          <w:kern w:val="0"/>
          <w:sz w:val="32"/>
          <w:szCs w:val="32"/>
          <w:lang w:val="en"/>
        </w:rPr>
      </w:pPr>
      <w:r w:rsidRPr="001B6E4D">
        <w:rPr>
          <w:rFonts w:ascii="標楷體" w:eastAsia="標楷體" w:hAnsi="標楷體" w:cs="標楷體"/>
          <w:b/>
          <w:bCs/>
          <w:kern w:val="0"/>
          <w:sz w:val="32"/>
          <w:szCs w:val="32"/>
          <w:lang w:val="en"/>
        </w:rPr>
        <w:t>肆、出席人員：</w:t>
      </w:r>
      <w:r w:rsidRPr="001B6E4D">
        <w:rPr>
          <w:rFonts w:ascii="標楷體" w:eastAsia="標楷體" w:hAnsi="標楷體" w:cs="標楷體"/>
          <w:kern w:val="0"/>
          <w:sz w:val="32"/>
          <w:szCs w:val="32"/>
          <w:lang w:val="en"/>
        </w:rPr>
        <w:t>詳如後簽到單             紀錄：陳鳳怡</w:t>
      </w:r>
    </w:p>
    <w:p w14:paraId="3BCECFD5"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伍、會議紀要：</w:t>
      </w:r>
    </w:p>
    <w:p w14:paraId="0807F620"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一、致詞：</w:t>
      </w:r>
    </w:p>
    <w:p w14:paraId="3479D1A3"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（一）司法院高秘書長金枝</w:t>
      </w:r>
    </w:p>
    <w:p w14:paraId="406C33E8" w14:textId="77777777" w:rsidR="00B921E8" w:rsidRPr="001B6E4D" w:rsidRDefault="00B921E8" w:rsidP="003D1018">
      <w:pPr>
        <w:shd w:val="clear" w:color="auto" w:fill="FFFFFF"/>
        <w:overflowPunct w:val="0"/>
        <w:ind w:firstLine="709"/>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今天非常高興翁委員到桃園地院參訪，桃園地院應該是目前辦公廳舍最新的法院，因為有完善的建築空間，所以桃園地院在人力方面相較安定。法院更新建築，是留住人力重要的因素，目前</w:t>
      </w:r>
      <w:proofErr w:type="gramStart"/>
      <w:r w:rsidRPr="001B6E4D">
        <w:rPr>
          <w:rFonts w:ascii="標楷體" w:eastAsia="標楷體" w:hAnsi="標楷體" w:cs="標楷體"/>
          <w:color w:val="000000"/>
          <w:kern w:val="0"/>
          <w:sz w:val="32"/>
          <w:szCs w:val="32"/>
          <w:lang w:val="en"/>
        </w:rPr>
        <w:t>臺</w:t>
      </w:r>
      <w:proofErr w:type="gramEnd"/>
      <w:r w:rsidRPr="001B6E4D">
        <w:rPr>
          <w:rFonts w:ascii="標楷體" w:eastAsia="標楷體" w:hAnsi="標楷體" w:cs="標楷體"/>
          <w:color w:val="000000"/>
          <w:kern w:val="0"/>
          <w:sz w:val="32"/>
          <w:szCs w:val="32"/>
          <w:lang w:val="en"/>
        </w:rPr>
        <w:t>中地院、新北地院辦公空間狹小，如法院興建辦公廳舍，預算經費部分希獲得委員支持。</w:t>
      </w:r>
    </w:p>
    <w:p w14:paraId="12100F05"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即將於8月1日啟航的精神衛生法，有三個特性，一是專家參審，二是遠距審理，三是數位聲請。其中遠距審理及數位化，是國家必須要進行的方向，精神衛生法是第一個實施，之後會大量運用。桃園地院是7間指定法院之一，委員可以藉此參訪瞭解審理程序的特殊性，及所需設備。因為是涉及拘束人身自由，更需提供完整的程序保障，感謝委員今日參訪瞭解相關司法程序。</w:t>
      </w:r>
    </w:p>
    <w:p w14:paraId="0D1CEE17" w14:textId="77777777" w:rsidR="00B921E8" w:rsidRPr="001B6E4D" w:rsidRDefault="00B921E8" w:rsidP="003D1018">
      <w:pPr>
        <w:widowControl w:val="0"/>
        <w:overflowPunct w:val="0"/>
        <w:jc w:val="center"/>
        <w:rPr>
          <w:rFonts w:ascii="標楷體" w:eastAsia="標楷體" w:hAnsi="標楷體" w:cs="標楷體"/>
          <w:sz w:val="32"/>
          <w:szCs w:val="32"/>
          <w:lang w:val="en"/>
        </w:rPr>
      </w:pPr>
    </w:p>
    <w:p w14:paraId="29E68F78" w14:textId="77777777" w:rsidR="00B921E8" w:rsidRPr="001B6E4D" w:rsidRDefault="00B921E8" w:rsidP="003D1018">
      <w:pPr>
        <w:shd w:val="clear" w:color="auto" w:fill="FFFFFF"/>
        <w:overflowPunct w:val="0"/>
        <w:ind w:firstLine="707"/>
        <w:jc w:val="both"/>
        <w:rPr>
          <w:rFonts w:ascii="標楷體" w:eastAsia="標楷體" w:hAnsi="標楷體" w:cs="Noto Sans TC"/>
          <w:strike/>
          <w:color w:val="000000"/>
          <w:kern w:val="0"/>
          <w:sz w:val="26"/>
          <w:szCs w:val="26"/>
          <w:lang w:val="en"/>
        </w:rPr>
      </w:pPr>
      <w:r w:rsidRPr="001B6E4D">
        <w:rPr>
          <w:rFonts w:ascii="標楷體" w:eastAsia="標楷體" w:hAnsi="標楷體" w:cs="標楷體"/>
          <w:color w:val="000000"/>
          <w:kern w:val="0"/>
          <w:sz w:val="32"/>
          <w:szCs w:val="32"/>
          <w:lang w:val="en"/>
        </w:rPr>
        <w:t>就司法人力的窘況，目前支撐司法實務運作不止是法官、書記官，還有法警。司法院致力從現有法規制度讓法官、書記官、法警工作稍微平衡，也重視效率，但仍需</w:t>
      </w:r>
      <w:r w:rsidRPr="001B6E4D">
        <w:rPr>
          <w:rFonts w:ascii="標楷體" w:eastAsia="標楷體" w:hAnsi="標楷體" w:cs="標楷體"/>
          <w:strike/>
          <w:color w:val="000000"/>
          <w:kern w:val="0"/>
          <w:sz w:val="32"/>
          <w:szCs w:val="32"/>
          <w:lang w:val="en"/>
        </w:rPr>
        <w:t>要</w:t>
      </w:r>
      <w:r w:rsidRPr="001B6E4D">
        <w:rPr>
          <w:rFonts w:ascii="標楷體" w:eastAsia="標楷體" w:hAnsi="標楷體" w:cs="標楷體"/>
          <w:color w:val="000000"/>
          <w:kern w:val="0"/>
          <w:sz w:val="32"/>
          <w:szCs w:val="32"/>
          <w:lang w:val="en"/>
        </w:rPr>
        <w:t>經費及人員</w:t>
      </w:r>
      <w:proofErr w:type="gramStart"/>
      <w:r w:rsidRPr="001B6E4D">
        <w:rPr>
          <w:rFonts w:ascii="標楷體" w:eastAsia="標楷體" w:hAnsi="標楷體" w:cs="標楷體"/>
          <w:color w:val="000000"/>
          <w:kern w:val="0"/>
          <w:sz w:val="32"/>
          <w:szCs w:val="32"/>
          <w:lang w:val="en"/>
        </w:rPr>
        <w:t>挹</w:t>
      </w:r>
      <w:proofErr w:type="gramEnd"/>
      <w:r w:rsidRPr="001B6E4D">
        <w:rPr>
          <w:rFonts w:ascii="標楷體" w:eastAsia="標楷體" w:hAnsi="標楷體" w:cs="標楷體"/>
          <w:color w:val="000000"/>
          <w:kern w:val="0"/>
          <w:sz w:val="32"/>
          <w:szCs w:val="32"/>
          <w:lang w:val="en"/>
        </w:rPr>
        <w:t>注。也向委員說明目前法院絕無使用</w:t>
      </w:r>
      <w:proofErr w:type="gramStart"/>
      <w:r w:rsidRPr="001B6E4D">
        <w:rPr>
          <w:rFonts w:ascii="標楷體" w:eastAsia="標楷體" w:hAnsi="標楷體" w:cs="標楷體"/>
          <w:color w:val="000000"/>
          <w:kern w:val="0"/>
          <w:sz w:val="32"/>
          <w:szCs w:val="32"/>
          <w:lang w:val="en"/>
        </w:rPr>
        <w:t>ＡＩ</w:t>
      </w:r>
      <w:proofErr w:type="gramEnd"/>
      <w:r w:rsidRPr="001B6E4D">
        <w:rPr>
          <w:rFonts w:ascii="標楷體" w:eastAsia="標楷體" w:hAnsi="標楷體" w:cs="標楷體"/>
          <w:color w:val="000000"/>
          <w:kern w:val="0"/>
          <w:sz w:val="32"/>
          <w:szCs w:val="32"/>
          <w:lang w:val="en"/>
        </w:rPr>
        <w:t>草擬裁判書，但運用</w:t>
      </w:r>
      <w:proofErr w:type="gramStart"/>
      <w:r w:rsidRPr="001B6E4D">
        <w:rPr>
          <w:rFonts w:ascii="標楷體" w:eastAsia="標楷體" w:hAnsi="標楷體" w:cs="標楷體"/>
          <w:color w:val="000000"/>
          <w:kern w:val="0"/>
          <w:sz w:val="32"/>
          <w:szCs w:val="32"/>
          <w:lang w:val="en"/>
        </w:rPr>
        <w:t>ＡＩ</w:t>
      </w:r>
      <w:proofErr w:type="gramEnd"/>
      <w:r w:rsidRPr="001B6E4D">
        <w:rPr>
          <w:rFonts w:ascii="標楷體" w:eastAsia="標楷體" w:hAnsi="標楷體" w:cs="標楷體"/>
          <w:color w:val="000000"/>
          <w:kern w:val="0"/>
          <w:sz w:val="32"/>
          <w:szCs w:val="32"/>
          <w:lang w:val="en"/>
        </w:rPr>
        <w:t>輔助工具於審理程序中，稍後由司法行政廳吳廳長簡報詳細說明。再次謝謝委員願意瞭解司法人員困境，也希望委員能協助司法解決困難。</w:t>
      </w:r>
    </w:p>
    <w:p w14:paraId="0D1AC165"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（二）司法及法制委員會翁召集委員曉玲</w:t>
      </w:r>
    </w:p>
    <w:p w14:paraId="5679E827"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高秘書長、黃院長、</w:t>
      </w:r>
      <w:proofErr w:type="gramStart"/>
      <w:r w:rsidRPr="001B6E4D">
        <w:rPr>
          <w:rFonts w:ascii="標楷體" w:eastAsia="標楷體" w:hAnsi="標楷體" w:cs="標楷體"/>
          <w:color w:val="000000"/>
          <w:kern w:val="0"/>
          <w:sz w:val="32"/>
          <w:szCs w:val="32"/>
          <w:lang w:val="en"/>
        </w:rPr>
        <w:t>鍾</w:t>
      </w:r>
      <w:proofErr w:type="gramEnd"/>
      <w:r w:rsidRPr="001B6E4D">
        <w:rPr>
          <w:rFonts w:ascii="標楷體" w:eastAsia="標楷體" w:hAnsi="標楷體" w:cs="標楷體"/>
          <w:color w:val="000000"/>
          <w:kern w:val="0"/>
          <w:sz w:val="32"/>
          <w:szCs w:val="32"/>
          <w:lang w:val="en"/>
        </w:rPr>
        <w:t>廳長、吳廳長、劉處長及在座的司法同仁、立法院同仁好，今天很高興參訪桃園地院，主要有兩個目的，一個是瞭解8月1日實施的精神衛生法專家參審新制籌備狀況，第二是瞭解整個司法人力的運用狀況。兩個議題都涉及到法治的落實，彼此息息相關。</w:t>
      </w:r>
    </w:p>
    <w:p w14:paraId="1DCBFD4E"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首先高度的肯定，司法院在推動精神衛生法專家參審新制上，將強制住院的決定回歸到法院，未來會有法官、精神科醫師及病人權益代表共同組成專家參審法庭，在我國是新的制度，在司法人權上新邁進，新的里程碑，以及與國際公約、身心障礙者權利公約相接軌。希望8月1日實施後，一</w:t>
      </w:r>
      <w:r w:rsidRPr="001B6E4D">
        <w:rPr>
          <w:rFonts w:ascii="標楷體" w:eastAsia="標楷體" w:hAnsi="標楷體" w:cs="標楷體"/>
          <w:color w:val="000000"/>
          <w:kern w:val="0"/>
          <w:sz w:val="32"/>
          <w:szCs w:val="32"/>
          <w:lang w:val="en"/>
        </w:rPr>
        <w:lastRenderedPageBreak/>
        <w:t>切能夠運作的很順暢、順利。我想瞭解未來在專家參審法庭上，有沒有什麼需要立法院可以再給予更多支持的地方。</w:t>
      </w:r>
    </w:p>
    <w:p w14:paraId="35C16AB6" w14:textId="77777777" w:rsidR="00B921E8" w:rsidRPr="001B6E4D" w:rsidRDefault="00B921E8" w:rsidP="003D1018">
      <w:pPr>
        <w:shd w:val="clear" w:color="auto" w:fill="FFFFFF"/>
        <w:overflowPunct w:val="0"/>
        <w:ind w:firstLine="709"/>
        <w:jc w:val="both"/>
        <w:rPr>
          <w:rFonts w:ascii="標楷體" w:eastAsia="標楷體" w:hAnsi="標楷體" w:cs="新細明體"/>
          <w:kern w:val="0"/>
          <w:lang w:val="en"/>
        </w:rPr>
      </w:pPr>
      <w:r w:rsidRPr="001B6E4D">
        <w:rPr>
          <w:rFonts w:ascii="標楷體" w:eastAsia="標楷體" w:hAnsi="標楷體" w:cs="標楷體"/>
          <w:color w:val="000000"/>
          <w:kern w:val="0"/>
          <w:sz w:val="32"/>
          <w:szCs w:val="32"/>
          <w:lang w:val="en"/>
        </w:rPr>
        <w:t>另外司法人力部分，我擔任召委</w:t>
      </w:r>
      <w:proofErr w:type="gramStart"/>
      <w:r w:rsidRPr="001B6E4D">
        <w:rPr>
          <w:rFonts w:ascii="標楷體" w:eastAsia="標楷體" w:hAnsi="標楷體" w:cs="標楷體"/>
          <w:color w:val="000000"/>
          <w:kern w:val="0"/>
          <w:sz w:val="32"/>
          <w:szCs w:val="32"/>
          <w:lang w:val="en"/>
        </w:rPr>
        <w:t>期間，</w:t>
      </w:r>
      <w:proofErr w:type="gramEnd"/>
      <w:r w:rsidRPr="001B6E4D">
        <w:rPr>
          <w:rFonts w:ascii="標楷體" w:eastAsia="標楷體" w:hAnsi="標楷體" w:cs="標楷體"/>
          <w:color w:val="000000"/>
          <w:kern w:val="0"/>
          <w:sz w:val="32"/>
          <w:szCs w:val="32"/>
          <w:lang w:val="en"/>
        </w:rPr>
        <w:t>很重視司法人力的問題，現在司法人力缺額的狀況非常嚴重。我認為軍公教同仁的權益、福利提升，才會有優秀的人力進入到司法體系，為廣大民眾服務。針對司法院所提出減輕法官的壓力，或簡化訴訟程序，以及如何改善司法人力在福利、待遇、職等等等，這些法案我都很願意積極的</w:t>
      </w:r>
      <w:proofErr w:type="gramStart"/>
      <w:r w:rsidRPr="001B6E4D">
        <w:rPr>
          <w:rFonts w:ascii="標楷體" w:eastAsia="標楷體" w:hAnsi="標楷體" w:cs="標楷體"/>
          <w:color w:val="000000"/>
          <w:kern w:val="0"/>
          <w:sz w:val="32"/>
          <w:szCs w:val="32"/>
          <w:lang w:val="en"/>
        </w:rPr>
        <w:t>推動排案</w:t>
      </w:r>
      <w:proofErr w:type="gramEnd"/>
      <w:r w:rsidRPr="001B6E4D">
        <w:rPr>
          <w:rFonts w:ascii="標楷體" w:eastAsia="標楷體" w:hAnsi="標楷體" w:cs="標楷體"/>
          <w:color w:val="000000"/>
          <w:kern w:val="0"/>
          <w:sz w:val="32"/>
          <w:szCs w:val="32"/>
          <w:lang w:val="en"/>
        </w:rPr>
        <w:t>。今天希望能夠集思廣益，看看如何改善以提升司法的效率。</w:t>
      </w:r>
    </w:p>
    <w:p w14:paraId="582785A2"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二、專題簡報：</w:t>
      </w:r>
    </w:p>
    <w:p w14:paraId="7F3E768F" w14:textId="19EA9B10" w:rsidR="00B921E8" w:rsidRPr="001B6E4D" w:rsidRDefault="00B921E8" w:rsidP="003D1018">
      <w:pPr>
        <w:overflowPunct w:val="0"/>
        <w:ind w:left="848" w:hanging="848"/>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（一）「精神衛生法專家參審新制籌備進度」由司法院少年及家事廳</w:t>
      </w:r>
      <w:proofErr w:type="gramStart"/>
      <w:r w:rsidRPr="001B6E4D">
        <w:rPr>
          <w:rFonts w:ascii="標楷體" w:eastAsia="標楷體" w:hAnsi="標楷體" w:cs="標楷體"/>
          <w:color w:val="000000"/>
          <w:kern w:val="0"/>
          <w:sz w:val="32"/>
          <w:szCs w:val="32"/>
          <w:lang w:val="en"/>
        </w:rPr>
        <w:t>鍾</w:t>
      </w:r>
      <w:proofErr w:type="gramEnd"/>
      <w:r w:rsidRPr="001B6E4D">
        <w:rPr>
          <w:rFonts w:ascii="標楷體" w:eastAsia="標楷體" w:hAnsi="標楷體" w:cs="標楷體"/>
          <w:color w:val="000000"/>
          <w:kern w:val="0"/>
          <w:sz w:val="32"/>
          <w:szCs w:val="32"/>
          <w:lang w:val="en"/>
        </w:rPr>
        <w:t>廳長宗霖、</w:t>
      </w:r>
      <w:proofErr w:type="gramStart"/>
      <w:r w:rsidRPr="001B6E4D">
        <w:rPr>
          <w:rFonts w:ascii="標楷體" w:eastAsia="標楷體" w:hAnsi="標楷體" w:cs="標楷體"/>
          <w:color w:val="000000"/>
          <w:kern w:val="0"/>
          <w:sz w:val="32"/>
          <w:szCs w:val="32"/>
          <w:lang w:val="en"/>
        </w:rPr>
        <w:t>郭法官躍民進行</w:t>
      </w:r>
      <w:proofErr w:type="gramEnd"/>
      <w:r w:rsidRPr="001B6E4D">
        <w:rPr>
          <w:rFonts w:ascii="標楷體" w:eastAsia="標楷體" w:hAnsi="標楷體" w:cs="標楷體"/>
          <w:color w:val="000000"/>
          <w:kern w:val="0"/>
          <w:sz w:val="32"/>
          <w:szCs w:val="32"/>
          <w:lang w:val="en"/>
        </w:rPr>
        <w:t>簡報。</w:t>
      </w:r>
    </w:p>
    <w:p w14:paraId="1A573C92" w14:textId="52FE27BA" w:rsidR="00B921E8" w:rsidRPr="001B6E4D" w:rsidRDefault="00B921E8" w:rsidP="003D1018">
      <w:pPr>
        <w:overflowPunct w:val="0"/>
        <w:ind w:left="992" w:hanging="992"/>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（二）「桃園地方法院精神衛生專家參審法庭籌備進度」由桃園地院少年及</w:t>
      </w:r>
      <w:proofErr w:type="gramStart"/>
      <w:r w:rsidRPr="001B6E4D">
        <w:rPr>
          <w:rFonts w:ascii="標楷體" w:eastAsia="標楷體" w:hAnsi="標楷體" w:cs="標楷體"/>
          <w:color w:val="000000"/>
          <w:kern w:val="0"/>
          <w:sz w:val="32"/>
          <w:szCs w:val="32"/>
          <w:lang w:val="en"/>
        </w:rPr>
        <w:t>家事庭黃庭長</w:t>
      </w:r>
      <w:proofErr w:type="gramEnd"/>
      <w:r w:rsidRPr="001B6E4D">
        <w:rPr>
          <w:rFonts w:ascii="標楷體" w:eastAsia="標楷體" w:hAnsi="標楷體" w:cs="標楷體"/>
          <w:color w:val="000000"/>
          <w:kern w:val="0"/>
          <w:sz w:val="32"/>
          <w:szCs w:val="32"/>
          <w:lang w:val="en"/>
        </w:rPr>
        <w:t>裕民進行簡報。</w:t>
      </w:r>
    </w:p>
    <w:p w14:paraId="1FBB60D1" w14:textId="18D98910" w:rsidR="00B921E8" w:rsidRPr="001B6E4D" w:rsidRDefault="00B921E8" w:rsidP="003D1018">
      <w:pPr>
        <w:overflowPunct w:val="0"/>
        <w:ind w:left="992" w:hanging="992"/>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（三）「司法人力概況」由司法院司法行政廳吳廳長</w:t>
      </w:r>
      <w:proofErr w:type="gramStart"/>
      <w:r w:rsidRPr="001B6E4D">
        <w:rPr>
          <w:rFonts w:ascii="標楷體" w:eastAsia="標楷體" w:hAnsi="標楷體" w:cs="標楷體"/>
          <w:color w:val="000000"/>
          <w:kern w:val="0"/>
          <w:sz w:val="32"/>
          <w:szCs w:val="32"/>
          <w:lang w:val="en"/>
        </w:rPr>
        <w:t>祚丞</w:t>
      </w:r>
      <w:proofErr w:type="gramEnd"/>
      <w:r w:rsidRPr="001B6E4D">
        <w:rPr>
          <w:rFonts w:ascii="標楷體" w:eastAsia="標楷體" w:hAnsi="標楷體" w:cs="標楷體"/>
          <w:color w:val="000000"/>
          <w:kern w:val="0"/>
          <w:sz w:val="32"/>
          <w:szCs w:val="32"/>
          <w:lang w:val="en"/>
        </w:rPr>
        <w:t>進行簡報。</w:t>
      </w:r>
    </w:p>
    <w:p w14:paraId="727DF91B" w14:textId="77777777" w:rsidR="00B921E8" w:rsidRPr="001B6E4D" w:rsidRDefault="00B921E8" w:rsidP="003D1018">
      <w:pPr>
        <w:overflowPunct w:val="0"/>
        <w:ind w:left="708" w:hanging="708"/>
        <w:rPr>
          <w:rFonts w:ascii="標楷體" w:eastAsia="標楷體" w:hAnsi="標楷體" w:cs="標楷體"/>
          <w:kern w:val="0"/>
          <w:sz w:val="32"/>
          <w:szCs w:val="32"/>
          <w:lang w:val="en"/>
        </w:rPr>
      </w:pPr>
      <w:r w:rsidRPr="001B6E4D">
        <w:rPr>
          <w:rFonts w:ascii="標楷體" w:eastAsia="標楷體" w:hAnsi="標楷體" w:cs="標楷體"/>
          <w:b/>
          <w:bCs/>
          <w:kern w:val="0"/>
          <w:sz w:val="32"/>
          <w:szCs w:val="32"/>
          <w:lang w:val="en"/>
        </w:rPr>
        <w:t>陸、臺灣桃園地方法院精神衛生法專家參審法庭、少年保護法庭等參訪：</w:t>
      </w:r>
      <w:r w:rsidRPr="001B6E4D">
        <w:rPr>
          <w:rFonts w:ascii="標楷體" w:eastAsia="標楷體" w:hAnsi="標楷體" w:cs="標楷體"/>
          <w:kern w:val="0"/>
          <w:sz w:val="32"/>
          <w:szCs w:val="32"/>
          <w:lang w:val="en"/>
        </w:rPr>
        <w:t>略。</w:t>
      </w:r>
    </w:p>
    <w:p w14:paraId="65CA7013" w14:textId="77777777" w:rsidR="00B921E8" w:rsidRPr="001B6E4D" w:rsidRDefault="00B921E8" w:rsidP="003D1018">
      <w:pPr>
        <w:overflowPunct w:val="0"/>
        <w:rPr>
          <w:rFonts w:ascii="標楷體" w:eastAsia="標楷體" w:hAnsi="標楷體" w:cs="標楷體"/>
          <w:b/>
          <w:bCs/>
          <w:kern w:val="0"/>
          <w:sz w:val="32"/>
          <w:szCs w:val="32"/>
          <w:lang w:val="en"/>
        </w:rPr>
      </w:pPr>
      <w:proofErr w:type="gramStart"/>
      <w:r w:rsidRPr="001B6E4D">
        <w:rPr>
          <w:rFonts w:ascii="標楷體" w:eastAsia="標楷體" w:hAnsi="標楷體" w:cs="標楷體"/>
          <w:b/>
          <w:bCs/>
          <w:kern w:val="0"/>
          <w:sz w:val="32"/>
          <w:szCs w:val="32"/>
          <w:lang w:val="en"/>
        </w:rPr>
        <w:t>柒</w:t>
      </w:r>
      <w:proofErr w:type="gramEnd"/>
      <w:r w:rsidRPr="001B6E4D">
        <w:rPr>
          <w:rFonts w:ascii="標楷體" w:eastAsia="標楷體" w:hAnsi="標楷體" w:cs="標楷體"/>
          <w:b/>
          <w:bCs/>
          <w:kern w:val="0"/>
          <w:sz w:val="32"/>
          <w:szCs w:val="32"/>
          <w:lang w:val="en"/>
        </w:rPr>
        <w:t>、座談交流</w:t>
      </w:r>
    </w:p>
    <w:p w14:paraId="223A7F11"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司法及法制委員會翁召集委員曉玲</w:t>
      </w:r>
    </w:p>
    <w:p w14:paraId="392973D0" w14:textId="77777777" w:rsidR="00B921E8" w:rsidRPr="001B6E4D" w:rsidRDefault="00B921E8" w:rsidP="003D1018">
      <w:pPr>
        <w:shd w:val="clear" w:color="auto" w:fill="FFFFFF"/>
        <w:overflowPunct w:val="0"/>
        <w:ind w:firstLine="709"/>
        <w:jc w:val="both"/>
        <w:rPr>
          <w:rFonts w:ascii="標楷體" w:eastAsia="標楷體" w:hAnsi="標楷體" w:cs="新細明體"/>
          <w:kern w:val="0"/>
          <w:lang w:val="en"/>
        </w:rPr>
      </w:pPr>
      <w:r w:rsidRPr="001B6E4D">
        <w:rPr>
          <w:rFonts w:ascii="標楷體" w:eastAsia="標楷體" w:hAnsi="標楷體" w:cs="標楷體"/>
          <w:color w:val="000000"/>
          <w:kern w:val="0"/>
          <w:sz w:val="32"/>
          <w:szCs w:val="32"/>
          <w:lang w:val="en"/>
        </w:rPr>
        <w:lastRenderedPageBreak/>
        <w:t>謝謝高秘書長、</w:t>
      </w:r>
      <w:proofErr w:type="gramStart"/>
      <w:r w:rsidRPr="001B6E4D">
        <w:rPr>
          <w:rFonts w:ascii="標楷體" w:eastAsia="標楷體" w:hAnsi="標楷體" w:cs="標楷體"/>
          <w:color w:val="000000"/>
          <w:kern w:val="0"/>
          <w:sz w:val="32"/>
          <w:szCs w:val="32"/>
          <w:lang w:val="en"/>
        </w:rPr>
        <w:t>鍾</w:t>
      </w:r>
      <w:proofErr w:type="gramEnd"/>
      <w:r w:rsidRPr="001B6E4D">
        <w:rPr>
          <w:rFonts w:ascii="標楷體" w:eastAsia="標楷體" w:hAnsi="標楷體" w:cs="標楷體"/>
          <w:color w:val="000000"/>
          <w:kern w:val="0"/>
          <w:sz w:val="32"/>
          <w:szCs w:val="32"/>
          <w:lang w:val="en"/>
        </w:rPr>
        <w:t>廳長、吳廳長還有桃園地院黃院長、黃庭長的說明。我感受很深的是桃園地院在精神衛生法專家參審新制，很用心從空間設備到整個程序的進行設想規劃。這是臺灣有史以來第一次要面對精神衛生法的病人，由法官等決定是否要強制住院，或停止強制住院等等，當然在實際上運作後，會發現更多問題</w:t>
      </w:r>
      <w:proofErr w:type="gramStart"/>
      <w:r w:rsidRPr="001B6E4D">
        <w:rPr>
          <w:rFonts w:ascii="標楷體" w:eastAsia="標楷體" w:hAnsi="標楷體" w:cs="標楷體"/>
          <w:color w:val="000000"/>
          <w:kern w:val="0"/>
          <w:sz w:val="32"/>
          <w:szCs w:val="32"/>
          <w:lang w:val="en"/>
        </w:rPr>
        <w:t>來作</w:t>
      </w:r>
      <w:proofErr w:type="gramEnd"/>
      <w:r w:rsidRPr="001B6E4D">
        <w:rPr>
          <w:rFonts w:ascii="標楷體" w:eastAsia="標楷體" w:hAnsi="標楷體" w:cs="標楷體"/>
          <w:color w:val="000000"/>
          <w:kern w:val="0"/>
          <w:sz w:val="32"/>
          <w:szCs w:val="32"/>
          <w:lang w:val="en"/>
        </w:rPr>
        <w:t>調整。另外法官、參審人員人身的安全也是很重要，如需增加人力或經費，我一定會支持，希望精神衛生法專家參審新制實施後，可以運作得很順利。</w:t>
      </w:r>
    </w:p>
    <w:p w14:paraId="064CB4BA"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今天吳廳長簡報說明關於司法人力不足的問題，案件量不斷</w:t>
      </w:r>
      <w:proofErr w:type="gramStart"/>
      <w:r w:rsidRPr="001B6E4D">
        <w:rPr>
          <w:rFonts w:ascii="標楷體" w:eastAsia="標楷體" w:hAnsi="標楷體" w:cs="標楷體"/>
          <w:color w:val="000000"/>
          <w:kern w:val="0"/>
          <w:sz w:val="32"/>
          <w:szCs w:val="32"/>
          <w:lang w:val="en"/>
        </w:rPr>
        <w:t>攀升暴增</w:t>
      </w:r>
      <w:proofErr w:type="gramEnd"/>
      <w:r w:rsidRPr="001B6E4D">
        <w:rPr>
          <w:rFonts w:ascii="標楷體" w:eastAsia="標楷體" w:hAnsi="標楷體" w:cs="標楷體"/>
          <w:color w:val="000000"/>
          <w:kern w:val="0"/>
          <w:sz w:val="32"/>
          <w:szCs w:val="32"/>
          <w:lang w:val="en"/>
        </w:rPr>
        <w:t>，人力整體缺額比例非常高，這是長期存在的議題，我也與人事行政總處溝通過，是不是重新檢討總員額法，還有財政資源方面也需要多</w:t>
      </w:r>
      <w:proofErr w:type="gramStart"/>
      <w:r w:rsidRPr="001B6E4D">
        <w:rPr>
          <w:rFonts w:ascii="標楷體" w:eastAsia="標楷體" w:hAnsi="標楷體" w:cs="標楷體"/>
          <w:color w:val="000000"/>
          <w:kern w:val="0"/>
          <w:sz w:val="32"/>
          <w:szCs w:val="32"/>
          <w:lang w:val="en"/>
        </w:rPr>
        <w:t>挹</w:t>
      </w:r>
      <w:proofErr w:type="gramEnd"/>
      <w:r w:rsidRPr="001B6E4D">
        <w:rPr>
          <w:rFonts w:ascii="標楷體" w:eastAsia="標楷體" w:hAnsi="標楷體" w:cs="標楷體"/>
          <w:color w:val="000000"/>
          <w:kern w:val="0"/>
          <w:sz w:val="32"/>
          <w:szCs w:val="32"/>
          <w:lang w:val="en"/>
        </w:rPr>
        <w:t>注在司法院。我也建議司法院有需求，只要合理就請編列預算，只要是能夠改善司法人員福利，提升行政效率、強化訴訟當事人的權益的這些法案，都不要拖延，不要耽擱制度化的進度。</w:t>
      </w:r>
    </w:p>
    <w:p w14:paraId="47BE05F5"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我有一個疑問，法官這次配合精神衛生法，法官的專業訓練有什麼規劃？</w:t>
      </w:r>
    </w:p>
    <w:p w14:paraId="5FF75F4B" w14:textId="77777777" w:rsidR="00B921E8" w:rsidRPr="001B6E4D" w:rsidRDefault="00B921E8" w:rsidP="003D1018">
      <w:pPr>
        <w:shd w:val="clear" w:color="auto" w:fill="FFFFFF"/>
        <w:overflowPunct w:val="0"/>
        <w:rPr>
          <w:rFonts w:ascii="標楷體" w:eastAsia="標楷體" w:hAnsi="標楷體" w:cs="標楷體"/>
          <w:b/>
          <w:bCs/>
          <w:color w:val="453D34"/>
          <w:kern w:val="0"/>
          <w:sz w:val="32"/>
          <w:szCs w:val="32"/>
          <w:lang w:val="en"/>
        </w:rPr>
      </w:pPr>
      <w:r w:rsidRPr="001B6E4D">
        <w:rPr>
          <w:rFonts w:ascii="標楷體" w:eastAsia="標楷體" w:hAnsi="標楷體" w:cs="標楷體"/>
          <w:b/>
          <w:bCs/>
          <w:color w:val="453D34"/>
          <w:kern w:val="0"/>
          <w:sz w:val="32"/>
          <w:szCs w:val="32"/>
          <w:lang w:val="en"/>
        </w:rPr>
        <w:t>司法院少年及家事廳</w:t>
      </w:r>
      <w:proofErr w:type="gramStart"/>
      <w:r w:rsidRPr="001B6E4D">
        <w:rPr>
          <w:rFonts w:ascii="標楷體" w:eastAsia="標楷體" w:hAnsi="標楷體" w:cs="標楷體"/>
          <w:b/>
          <w:bCs/>
          <w:color w:val="453D34"/>
          <w:kern w:val="0"/>
          <w:sz w:val="32"/>
          <w:szCs w:val="32"/>
          <w:lang w:val="en"/>
        </w:rPr>
        <w:t>鍾</w:t>
      </w:r>
      <w:proofErr w:type="gramEnd"/>
      <w:r w:rsidRPr="001B6E4D">
        <w:rPr>
          <w:rFonts w:ascii="標楷體" w:eastAsia="標楷體" w:hAnsi="標楷體" w:cs="標楷體"/>
          <w:b/>
          <w:bCs/>
          <w:color w:val="453D34"/>
          <w:kern w:val="0"/>
          <w:sz w:val="32"/>
          <w:szCs w:val="32"/>
          <w:lang w:val="en"/>
        </w:rPr>
        <w:t>廳長宗霖</w:t>
      </w:r>
    </w:p>
    <w:p w14:paraId="300FB18A" w14:textId="77777777" w:rsidR="00B921E8" w:rsidRPr="001B6E4D" w:rsidRDefault="00B921E8" w:rsidP="003D1018">
      <w:pPr>
        <w:shd w:val="clear" w:color="auto" w:fill="FFFFFF"/>
        <w:overflowPunct w:val="0"/>
        <w:ind w:firstLine="707"/>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規劃五個階段進行。</w:t>
      </w:r>
    </w:p>
    <w:p w14:paraId="651AC72F"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lastRenderedPageBreak/>
        <w:t>首先，在法官學院開設基本課程，課程內容為CRPD跟精神衛生法第五章專家參審相關的基本法律跟立法理由。</w:t>
      </w:r>
    </w:p>
    <w:p w14:paraId="4F583DED" w14:textId="77777777" w:rsidR="00B921E8" w:rsidRPr="001B6E4D" w:rsidRDefault="00B921E8" w:rsidP="003D1018">
      <w:pPr>
        <w:shd w:val="clear" w:color="auto" w:fill="FFFFFF"/>
        <w:overflowPunct w:val="0"/>
        <w:ind w:firstLine="709"/>
        <w:jc w:val="both"/>
        <w:rPr>
          <w:rFonts w:ascii="標楷體" w:eastAsia="標楷體" w:hAnsi="標楷體" w:cs="新細明體"/>
          <w:kern w:val="0"/>
          <w:lang w:val="en"/>
        </w:rPr>
      </w:pPr>
      <w:r w:rsidRPr="001B6E4D">
        <w:rPr>
          <w:rFonts w:ascii="標楷體" w:eastAsia="標楷體" w:hAnsi="標楷體" w:cs="標楷體"/>
          <w:color w:val="000000"/>
          <w:kern w:val="0"/>
          <w:sz w:val="32"/>
          <w:szCs w:val="32"/>
          <w:lang w:val="en"/>
        </w:rPr>
        <w:t>第二階段，舉辦模擬法庭，由指定7間法院輪流舉辦，讓法官做籌備練習，對評議及進行程序能深入瞭解。</w:t>
      </w:r>
    </w:p>
    <w:p w14:paraId="074C7D80" w14:textId="77777777" w:rsidR="00B921E8" w:rsidRPr="001B6E4D" w:rsidRDefault="00B921E8" w:rsidP="003D1018">
      <w:pPr>
        <w:shd w:val="clear" w:color="auto" w:fill="FFFFFF"/>
        <w:overflowPunct w:val="0"/>
        <w:ind w:firstLine="709"/>
        <w:jc w:val="both"/>
        <w:rPr>
          <w:rFonts w:ascii="標楷體" w:eastAsia="標楷體" w:hAnsi="標楷體" w:cs="新細明體"/>
          <w:kern w:val="0"/>
          <w:lang w:val="en"/>
        </w:rPr>
      </w:pPr>
      <w:r w:rsidRPr="001B6E4D">
        <w:rPr>
          <w:rFonts w:ascii="標楷體" w:eastAsia="標楷體" w:hAnsi="標楷體" w:cs="標楷體"/>
          <w:color w:val="000000"/>
          <w:kern w:val="0"/>
          <w:sz w:val="32"/>
          <w:szCs w:val="32"/>
          <w:lang w:val="en"/>
        </w:rPr>
        <w:t>第三階段，請法官分區參加精神科醫師、病權代表、法官代表、程序監理人代表、律師代表實體的共識</w:t>
      </w:r>
      <w:proofErr w:type="gramStart"/>
      <w:r w:rsidRPr="001B6E4D">
        <w:rPr>
          <w:rFonts w:ascii="標楷體" w:eastAsia="標楷體" w:hAnsi="標楷體" w:cs="標楷體"/>
          <w:color w:val="000000"/>
          <w:kern w:val="0"/>
          <w:sz w:val="32"/>
          <w:szCs w:val="32"/>
          <w:lang w:val="en"/>
        </w:rPr>
        <w:t>課程即培力</w:t>
      </w:r>
      <w:proofErr w:type="gramEnd"/>
      <w:r w:rsidRPr="001B6E4D">
        <w:rPr>
          <w:rFonts w:ascii="標楷體" w:eastAsia="標楷體" w:hAnsi="標楷體" w:cs="標楷體"/>
          <w:color w:val="000000"/>
          <w:kern w:val="0"/>
          <w:sz w:val="32"/>
          <w:szCs w:val="32"/>
          <w:lang w:val="en"/>
        </w:rPr>
        <w:t>課程。</w:t>
      </w:r>
    </w:p>
    <w:p w14:paraId="1C774728" w14:textId="77777777" w:rsidR="00B921E8" w:rsidRPr="001B6E4D" w:rsidRDefault="00B921E8" w:rsidP="003D1018">
      <w:pPr>
        <w:shd w:val="clear" w:color="auto" w:fill="FFFFFF"/>
        <w:overflowPunct w:val="0"/>
        <w:ind w:firstLine="707"/>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第四階段，設計搭配精神衛生法的子法規，建立一套標準流程，讓法官、書記官、家事調查</w:t>
      </w:r>
      <w:proofErr w:type="gramStart"/>
      <w:r w:rsidRPr="001B6E4D">
        <w:rPr>
          <w:rFonts w:ascii="標楷體" w:eastAsia="標楷體" w:hAnsi="標楷體" w:cs="標楷體"/>
          <w:color w:val="000000"/>
          <w:kern w:val="0"/>
          <w:sz w:val="32"/>
          <w:szCs w:val="32"/>
          <w:lang w:val="en"/>
        </w:rPr>
        <w:t>官孰悉</w:t>
      </w:r>
      <w:proofErr w:type="gramEnd"/>
      <w:r w:rsidRPr="001B6E4D">
        <w:rPr>
          <w:rFonts w:ascii="標楷體" w:eastAsia="標楷體" w:hAnsi="標楷體" w:cs="標楷體"/>
          <w:color w:val="000000"/>
          <w:kern w:val="0"/>
          <w:sz w:val="32"/>
          <w:szCs w:val="32"/>
          <w:lang w:val="en"/>
        </w:rPr>
        <w:t>程序。</w:t>
      </w:r>
    </w:p>
    <w:p w14:paraId="26F19117" w14:textId="77777777" w:rsidR="00B921E8" w:rsidRPr="001B6E4D" w:rsidRDefault="00B921E8" w:rsidP="003D1018">
      <w:pPr>
        <w:shd w:val="clear" w:color="auto" w:fill="FFFFFF"/>
        <w:overflowPunct w:val="0"/>
        <w:ind w:firstLine="707"/>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第五階段，分區進行教育訓練，</w:t>
      </w:r>
      <w:proofErr w:type="gramStart"/>
      <w:r w:rsidRPr="001B6E4D">
        <w:rPr>
          <w:rFonts w:ascii="標楷體" w:eastAsia="標楷體" w:hAnsi="標楷體" w:cs="標楷體"/>
          <w:color w:val="000000"/>
          <w:kern w:val="0"/>
          <w:sz w:val="32"/>
          <w:szCs w:val="32"/>
          <w:lang w:val="en"/>
        </w:rPr>
        <w:t>比如，</w:t>
      </w:r>
      <w:proofErr w:type="gramEnd"/>
      <w:r w:rsidRPr="001B6E4D">
        <w:rPr>
          <w:rFonts w:ascii="標楷體" w:eastAsia="標楷體" w:hAnsi="標楷體" w:cs="標楷體"/>
          <w:color w:val="000000"/>
          <w:kern w:val="0"/>
          <w:sz w:val="32"/>
          <w:szCs w:val="32"/>
          <w:lang w:val="en"/>
        </w:rPr>
        <w:t>法官在進行協商時，如何利用雲端與參審員溝通意見。本</w:t>
      </w:r>
      <w:proofErr w:type="gramStart"/>
      <w:r w:rsidRPr="001B6E4D">
        <w:rPr>
          <w:rFonts w:ascii="標楷體" w:eastAsia="標楷體" w:hAnsi="標楷體" w:cs="標楷體"/>
          <w:color w:val="000000"/>
          <w:kern w:val="0"/>
          <w:sz w:val="32"/>
          <w:szCs w:val="32"/>
          <w:lang w:val="en"/>
        </w:rPr>
        <w:t>週</w:t>
      </w:r>
      <w:proofErr w:type="gramEnd"/>
      <w:r w:rsidRPr="001B6E4D">
        <w:rPr>
          <w:rFonts w:ascii="標楷體" w:eastAsia="標楷體" w:hAnsi="標楷體" w:cs="標楷體"/>
          <w:color w:val="000000"/>
          <w:kern w:val="0"/>
          <w:sz w:val="32"/>
          <w:szCs w:val="32"/>
          <w:lang w:val="en"/>
        </w:rPr>
        <w:t>與下</w:t>
      </w:r>
      <w:proofErr w:type="gramStart"/>
      <w:r w:rsidRPr="001B6E4D">
        <w:rPr>
          <w:rFonts w:ascii="標楷體" w:eastAsia="標楷體" w:hAnsi="標楷體" w:cs="標楷體"/>
          <w:color w:val="000000"/>
          <w:kern w:val="0"/>
          <w:sz w:val="32"/>
          <w:szCs w:val="32"/>
          <w:lang w:val="en"/>
        </w:rPr>
        <w:t>週</w:t>
      </w:r>
      <w:proofErr w:type="gramEnd"/>
      <w:r w:rsidRPr="001B6E4D">
        <w:rPr>
          <w:rFonts w:ascii="標楷體" w:eastAsia="標楷體" w:hAnsi="標楷體" w:cs="標楷體"/>
          <w:color w:val="000000"/>
          <w:kern w:val="0"/>
          <w:sz w:val="32"/>
          <w:szCs w:val="32"/>
          <w:lang w:val="en"/>
        </w:rPr>
        <w:t>將進行由庭長代表、分案代表、家事紀錄科代表等與醫院端做雲端的測試，</w:t>
      </w:r>
      <w:r w:rsidRPr="001B6E4D">
        <w:rPr>
          <w:rFonts w:ascii="標楷體" w:eastAsia="標楷體" w:hAnsi="標楷體" w:cs="標楷體"/>
          <w:strike/>
          <w:color w:val="000000"/>
          <w:kern w:val="0"/>
          <w:sz w:val="32"/>
          <w:szCs w:val="32"/>
          <w:lang w:val="en"/>
        </w:rPr>
        <w:t>除</w:t>
      </w:r>
      <w:r w:rsidRPr="001B6E4D">
        <w:rPr>
          <w:rFonts w:ascii="標楷體" w:eastAsia="標楷體" w:hAnsi="標楷體" w:cs="標楷體"/>
          <w:color w:val="000000"/>
          <w:kern w:val="0"/>
          <w:sz w:val="32"/>
          <w:szCs w:val="32"/>
          <w:lang w:val="en"/>
        </w:rPr>
        <w:t>發現並解決問題，亦藉此精進法官操作程序。</w:t>
      </w:r>
    </w:p>
    <w:p w14:paraId="1C57E4BE"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司法及法制委員會翁召集委員曉玲</w:t>
      </w:r>
    </w:p>
    <w:p w14:paraId="72EF0824" w14:textId="77777777" w:rsidR="00B921E8" w:rsidRPr="001B6E4D" w:rsidRDefault="00B921E8" w:rsidP="003D1018">
      <w:pPr>
        <w:shd w:val="clear" w:color="auto" w:fill="FFFFFF"/>
        <w:overflowPunct w:val="0"/>
        <w:ind w:firstLine="707"/>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今天立法院人員，及我、沈委員發惠、莊委員瑞雄、張委員雅琳、林委員月琴的研究室助理與會，有什麼問題請提出討論。</w:t>
      </w:r>
    </w:p>
    <w:p w14:paraId="571832FB" w14:textId="77777777" w:rsidR="00B921E8" w:rsidRPr="001B6E4D" w:rsidRDefault="00B921E8" w:rsidP="003D1018">
      <w:pPr>
        <w:overflowPunct w:val="0"/>
        <w:rPr>
          <w:rFonts w:ascii="標楷體" w:eastAsia="標楷體" w:hAnsi="標楷體" w:cs="新細明體"/>
          <w:kern w:val="0"/>
          <w:lang w:val="en"/>
        </w:rPr>
      </w:pPr>
      <w:r w:rsidRPr="001B6E4D">
        <w:rPr>
          <w:rFonts w:ascii="標楷體" w:eastAsia="標楷體" w:hAnsi="標楷體" w:cs="標楷體"/>
          <w:b/>
          <w:bCs/>
          <w:kern w:val="0"/>
          <w:sz w:val="32"/>
          <w:szCs w:val="32"/>
          <w:lang w:val="en"/>
        </w:rPr>
        <w:t>沈委員發惠研究室張助理誠軒</w:t>
      </w:r>
    </w:p>
    <w:p w14:paraId="5668A238" w14:textId="77777777" w:rsidR="00B921E8" w:rsidRPr="001B6E4D" w:rsidRDefault="00B921E8" w:rsidP="003D1018">
      <w:pPr>
        <w:shd w:val="clear" w:color="auto" w:fill="FFFFFF"/>
        <w:overflowPunct w:val="0"/>
        <w:ind w:firstLine="709"/>
        <w:jc w:val="both"/>
        <w:rPr>
          <w:rFonts w:ascii="標楷體" w:eastAsia="標楷體" w:hAnsi="標楷體" w:cs="新細明體"/>
          <w:kern w:val="0"/>
          <w:lang w:val="en"/>
        </w:rPr>
      </w:pPr>
      <w:r w:rsidRPr="001B6E4D">
        <w:rPr>
          <w:rFonts w:ascii="標楷體" w:eastAsia="標楷體" w:hAnsi="標楷體" w:cs="標楷體"/>
          <w:color w:val="000000"/>
          <w:kern w:val="0"/>
          <w:sz w:val="32"/>
          <w:szCs w:val="32"/>
          <w:lang w:val="en"/>
        </w:rPr>
        <w:t>主席及秘書長大家好。有三個問題向各位長官們請教。</w:t>
      </w:r>
    </w:p>
    <w:p w14:paraId="072432C9"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lastRenderedPageBreak/>
        <w:t>第一個問題是，精神衛生法專家參審制中，參審員有沒有如同法官的迴避制度？</w:t>
      </w:r>
    </w:p>
    <w:p w14:paraId="12BD06D7"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第二</w:t>
      </w:r>
      <w:proofErr w:type="gramStart"/>
      <w:r w:rsidRPr="001B6E4D">
        <w:rPr>
          <w:rFonts w:ascii="標楷體" w:eastAsia="標楷體" w:hAnsi="標楷體" w:cs="標楷體"/>
          <w:color w:val="000000"/>
          <w:kern w:val="0"/>
          <w:sz w:val="32"/>
          <w:szCs w:val="32"/>
          <w:lang w:val="en"/>
        </w:rPr>
        <w:t>個</w:t>
      </w:r>
      <w:proofErr w:type="gramEnd"/>
      <w:r w:rsidRPr="001B6E4D">
        <w:rPr>
          <w:rFonts w:ascii="標楷體" w:eastAsia="標楷體" w:hAnsi="標楷體" w:cs="標楷體"/>
          <w:color w:val="000000"/>
          <w:kern w:val="0"/>
          <w:sz w:val="32"/>
          <w:szCs w:val="32"/>
          <w:lang w:val="en"/>
        </w:rPr>
        <w:t>問題，在今日參訪精神衛生法法庭的休息室內看到監視器及監視錄影設備，設置的考量是什麼？錄影影片在實務運作上作用是什麼？</w:t>
      </w:r>
    </w:p>
    <w:p w14:paraId="78BC13F5"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最後一個問題，就目前司法人力困境採取精進行政措施，有無短中期的計畫？能夠提供作為立法院下個會期做優先做審議的判斷的方向，或向行政院爭取法案快速通過的機會。</w:t>
      </w:r>
    </w:p>
    <w:p w14:paraId="6256A480"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翁召集委員曉玲研究室蔡助理岡</w:t>
      </w:r>
      <w:proofErr w:type="gramStart"/>
      <w:r w:rsidRPr="001B6E4D">
        <w:rPr>
          <w:rFonts w:ascii="標楷體" w:eastAsia="標楷體" w:hAnsi="標楷體" w:cs="標楷體"/>
          <w:b/>
          <w:bCs/>
          <w:kern w:val="0"/>
          <w:sz w:val="32"/>
          <w:szCs w:val="32"/>
          <w:lang w:val="en"/>
        </w:rPr>
        <w:t>霖</w:t>
      </w:r>
      <w:proofErr w:type="gramEnd"/>
    </w:p>
    <w:p w14:paraId="30F19E23"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當決定病人停止強制治療、強制社區治療後，社區社會安全網如何銜接。</w:t>
      </w:r>
    </w:p>
    <w:p w14:paraId="404C842C"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在模擬法庭中，由律師代理醫院出席，所謂的代理出席，是代理醫院還是代理精神科指定專科醫師。</w:t>
      </w:r>
    </w:p>
    <w:p w14:paraId="5277758F"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另外協助病人的程序監理人部分，是個案對個案進行長期追蹤，還是臨時協助個案處理。</w:t>
      </w:r>
    </w:p>
    <w:p w14:paraId="4BE5C62A"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少年及家事廳</w:t>
      </w:r>
      <w:proofErr w:type="gramStart"/>
      <w:r w:rsidRPr="001B6E4D">
        <w:rPr>
          <w:rFonts w:ascii="標楷體" w:eastAsia="標楷體" w:hAnsi="標楷體" w:cs="標楷體"/>
          <w:b/>
          <w:bCs/>
          <w:kern w:val="0"/>
          <w:sz w:val="32"/>
          <w:szCs w:val="32"/>
          <w:lang w:val="en"/>
        </w:rPr>
        <w:t>郭</w:t>
      </w:r>
      <w:proofErr w:type="gramEnd"/>
      <w:r w:rsidRPr="001B6E4D">
        <w:rPr>
          <w:rFonts w:ascii="標楷體" w:eastAsia="標楷體" w:hAnsi="標楷體" w:cs="標楷體"/>
          <w:b/>
          <w:bCs/>
          <w:kern w:val="0"/>
          <w:sz w:val="32"/>
          <w:szCs w:val="32"/>
          <w:lang w:val="en"/>
        </w:rPr>
        <w:t>法官躍民</w:t>
      </w:r>
    </w:p>
    <w:p w14:paraId="48F02395"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參審員是參與司法判斷，精神衛生法規定參審員就其執行職務之事件，其地位與職權是與法官完全相同，所以是法官的角色，不是鑑定人的角色。因為在聲請許可強制住院</w:t>
      </w:r>
      <w:r w:rsidRPr="001B6E4D">
        <w:rPr>
          <w:rFonts w:ascii="標楷體" w:eastAsia="標楷體" w:hAnsi="標楷體" w:cs="標楷體"/>
          <w:color w:val="000000"/>
          <w:kern w:val="0"/>
          <w:sz w:val="32"/>
          <w:szCs w:val="32"/>
          <w:lang w:val="en"/>
        </w:rPr>
        <w:lastRenderedPageBreak/>
        <w:t>前，指定專科醫師就必須先送鑑定，鑑定認有強制住院之必要才可以向法院提出聲請。參審員既然是法官的身分，就要適用法官迴避的規定。司法院發布的嚴重病人保護安置事件參審員倫理規範準則裡，有明定參審員的迴避事由。另外在審判系統有參審員迴避重行分案的設計。</w:t>
      </w:r>
    </w:p>
    <w:p w14:paraId="3F91DB4D" w14:textId="77777777" w:rsidR="00B921E8" w:rsidRPr="001B6E4D" w:rsidRDefault="00B921E8" w:rsidP="003D1018">
      <w:pPr>
        <w:shd w:val="clear" w:color="auto" w:fill="FFFFFF"/>
        <w:overflowPunct w:val="0"/>
        <w:ind w:firstLine="709"/>
        <w:jc w:val="both"/>
        <w:rPr>
          <w:rFonts w:ascii="標楷體" w:eastAsia="標楷體" w:hAnsi="標楷體" w:cs="新細明體"/>
          <w:kern w:val="0"/>
          <w:lang w:val="en"/>
        </w:rPr>
      </w:pPr>
      <w:r w:rsidRPr="001B6E4D">
        <w:rPr>
          <w:rFonts w:ascii="標楷體" w:eastAsia="標楷體" w:hAnsi="標楷體" w:cs="標楷體"/>
          <w:color w:val="000000"/>
          <w:kern w:val="0"/>
          <w:sz w:val="32"/>
          <w:szCs w:val="32"/>
          <w:lang w:val="en"/>
        </w:rPr>
        <w:t>律師代理是作為指定精神醫療機構在程序中的非</w:t>
      </w:r>
      <w:proofErr w:type="gramStart"/>
      <w:r w:rsidRPr="001B6E4D">
        <w:rPr>
          <w:rFonts w:ascii="標楷體" w:eastAsia="標楷體" w:hAnsi="標楷體" w:cs="標楷體"/>
          <w:color w:val="000000"/>
          <w:kern w:val="0"/>
          <w:sz w:val="32"/>
          <w:szCs w:val="32"/>
          <w:lang w:val="en"/>
        </w:rPr>
        <w:t>訟</w:t>
      </w:r>
      <w:proofErr w:type="gramEnd"/>
      <w:r w:rsidRPr="001B6E4D">
        <w:rPr>
          <w:rFonts w:ascii="標楷體" w:eastAsia="標楷體" w:hAnsi="標楷體" w:cs="標楷體"/>
          <w:color w:val="000000"/>
          <w:kern w:val="0"/>
          <w:sz w:val="32"/>
          <w:szCs w:val="32"/>
          <w:lang w:val="en"/>
        </w:rPr>
        <w:t>代理人，因為前13場模擬法庭都是由醫師代理醫院出席。審理後醫師反應與自己的病人在法庭上面對面針鋒相對，裁判之後，醫生還要面對病人繼續治療，但醫生與病人間已經沒有信任關係。且模擬法庭中很多都是法律要件的爭執，既然是法律問題，所以試著由律師擔任醫院的非</w:t>
      </w:r>
      <w:proofErr w:type="gramStart"/>
      <w:r w:rsidRPr="001B6E4D">
        <w:rPr>
          <w:rFonts w:ascii="標楷體" w:eastAsia="標楷體" w:hAnsi="標楷體" w:cs="標楷體"/>
          <w:color w:val="000000"/>
          <w:kern w:val="0"/>
          <w:sz w:val="32"/>
          <w:szCs w:val="32"/>
          <w:lang w:val="en"/>
        </w:rPr>
        <w:t>訟</w:t>
      </w:r>
      <w:proofErr w:type="gramEnd"/>
      <w:r w:rsidRPr="001B6E4D">
        <w:rPr>
          <w:rFonts w:ascii="標楷體" w:eastAsia="標楷體" w:hAnsi="標楷體" w:cs="標楷體"/>
          <w:color w:val="000000"/>
          <w:kern w:val="0"/>
          <w:sz w:val="32"/>
          <w:szCs w:val="32"/>
          <w:lang w:val="en"/>
        </w:rPr>
        <w:t>代理人，在士林地院試辦的兩場，律師對法庭活動較瞭解也能針對問題回答，在此背景下，</w:t>
      </w:r>
      <w:proofErr w:type="gramStart"/>
      <w:r w:rsidRPr="001B6E4D">
        <w:rPr>
          <w:rFonts w:ascii="標楷體" w:eastAsia="標楷體" w:hAnsi="標楷體" w:cs="標楷體"/>
          <w:color w:val="000000"/>
          <w:kern w:val="0"/>
          <w:sz w:val="32"/>
          <w:szCs w:val="32"/>
          <w:lang w:val="en"/>
        </w:rPr>
        <w:t>衛福部</w:t>
      </w:r>
      <w:proofErr w:type="gramEnd"/>
      <w:r w:rsidRPr="001B6E4D">
        <w:rPr>
          <w:rFonts w:ascii="標楷體" w:eastAsia="標楷體" w:hAnsi="標楷體" w:cs="標楷體"/>
          <w:color w:val="000000"/>
          <w:kern w:val="0"/>
          <w:sz w:val="32"/>
          <w:szCs w:val="32"/>
          <w:lang w:val="en"/>
        </w:rPr>
        <w:t>接受建議，同意編列預算，如果指定精神醫療機構認為爭執很大，需要請律師出庭或維護</w:t>
      </w:r>
      <w:proofErr w:type="gramStart"/>
      <w:r w:rsidRPr="001B6E4D">
        <w:rPr>
          <w:rFonts w:ascii="標楷體" w:eastAsia="標楷體" w:hAnsi="標楷體" w:cs="標楷體"/>
          <w:color w:val="000000"/>
          <w:kern w:val="0"/>
          <w:sz w:val="32"/>
          <w:szCs w:val="32"/>
          <w:lang w:val="en"/>
        </w:rPr>
        <w:t>醫</w:t>
      </w:r>
      <w:proofErr w:type="gramEnd"/>
      <w:r w:rsidRPr="001B6E4D">
        <w:rPr>
          <w:rFonts w:ascii="標楷體" w:eastAsia="標楷體" w:hAnsi="標楷體" w:cs="標楷體"/>
          <w:color w:val="000000"/>
          <w:kern w:val="0"/>
          <w:sz w:val="32"/>
          <w:szCs w:val="32"/>
          <w:lang w:val="en"/>
        </w:rPr>
        <w:t>病關係，這部分會由公務預算支應，當然我們也有再進一步考慮到如果被問到醫學專業的問題怎麼辦？我們現在有跟指定精神醫療機構溝通，第一個就是醫師可能以證人的身分出席，但要注意分別開庭</w:t>
      </w:r>
      <w:proofErr w:type="gramStart"/>
      <w:r w:rsidRPr="001B6E4D">
        <w:rPr>
          <w:rFonts w:ascii="標楷體" w:eastAsia="標楷體" w:hAnsi="標楷體" w:cs="標楷體"/>
          <w:color w:val="000000"/>
          <w:kern w:val="0"/>
          <w:sz w:val="32"/>
          <w:szCs w:val="32"/>
          <w:lang w:val="en"/>
        </w:rPr>
        <w:t>與隔別詢問</w:t>
      </w:r>
      <w:proofErr w:type="gramEnd"/>
      <w:r w:rsidRPr="001B6E4D">
        <w:rPr>
          <w:rFonts w:ascii="標楷體" w:eastAsia="標楷體" w:hAnsi="標楷體" w:cs="標楷體"/>
          <w:color w:val="000000"/>
          <w:kern w:val="0"/>
          <w:sz w:val="32"/>
          <w:szCs w:val="32"/>
          <w:lang w:val="en"/>
        </w:rPr>
        <w:t>，第二</w:t>
      </w:r>
      <w:proofErr w:type="gramStart"/>
      <w:r w:rsidRPr="001B6E4D">
        <w:rPr>
          <w:rFonts w:ascii="標楷體" w:eastAsia="標楷體" w:hAnsi="標楷體" w:cs="標楷體"/>
          <w:color w:val="000000"/>
          <w:kern w:val="0"/>
          <w:sz w:val="32"/>
          <w:szCs w:val="32"/>
          <w:lang w:val="en"/>
        </w:rPr>
        <w:t>個</w:t>
      </w:r>
      <w:proofErr w:type="gramEnd"/>
      <w:r w:rsidRPr="001B6E4D">
        <w:rPr>
          <w:rFonts w:ascii="標楷體" w:eastAsia="標楷體" w:hAnsi="標楷體" w:cs="標楷體"/>
          <w:color w:val="000000"/>
          <w:kern w:val="0"/>
          <w:sz w:val="32"/>
          <w:szCs w:val="32"/>
          <w:lang w:val="en"/>
        </w:rPr>
        <w:t>方式就是醫院可以指定雙代理，一個是律師做非</w:t>
      </w:r>
      <w:proofErr w:type="gramStart"/>
      <w:r w:rsidRPr="001B6E4D">
        <w:rPr>
          <w:rFonts w:ascii="標楷體" w:eastAsia="標楷體" w:hAnsi="標楷體" w:cs="標楷體"/>
          <w:color w:val="000000"/>
          <w:kern w:val="0"/>
          <w:sz w:val="32"/>
          <w:szCs w:val="32"/>
          <w:lang w:val="en"/>
        </w:rPr>
        <w:t>訟</w:t>
      </w:r>
      <w:proofErr w:type="gramEnd"/>
      <w:r w:rsidRPr="001B6E4D">
        <w:rPr>
          <w:rFonts w:ascii="標楷體" w:eastAsia="標楷體" w:hAnsi="標楷體" w:cs="標楷體"/>
          <w:color w:val="000000"/>
          <w:kern w:val="0"/>
          <w:sz w:val="32"/>
          <w:szCs w:val="32"/>
          <w:lang w:val="en"/>
        </w:rPr>
        <w:t>代理人，醫師也作為另外</w:t>
      </w:r>
      <w:r w:rsidRPr="001B6E4D">
        <w:rPr>
          <w:rFonts w:ascii="標楷體" w:eastAsia="標楷體" w:hAnsi="標楷體" w:cs="標楷體"/>
          <w:color w:val="000000"/>
          <w:kern w:val="0"/>
          <w:sz w:val="32"/>
          <w:szCs w:val="32"/>
          <w:lang w:val="en"/>
        </w:rPr>
        <w:lastRenderedPageBreak/>
        <w:t>一個代理人，兩個一起出庭，問到非常專業的醫學問題時，由醫師回答，但是還是要注意維護</w:t>
      </w:r>
      <w:proofErr w:type="gramStart"/>
      <w:r w:rsidRPr="001B6E4D">
        <w:rPr>
          <w:rFonts w:ascii="標楷體" w:eastAsia="標楷體" w:hAnsi="標楷體" w:cs="標楷體"/>
          <w:color w:val="000000"/>
          <w:kern w:val="0"/>
          <w:sz w:val="32"/>
          <w:szCs w:val="32"/>
          <w:lang w:val="en"/>
        </w:rPr>
        <w:t>醫</w:t>
      </w:r>
      <w:proofErr w:type="gramEnd"/>
      <w:r w:rsidRPr="001B6E4D">
        <w:rPr>
          <w:rFonts w:ascii="標楷體" w:eastAsia="標楷體" w:hAnsi="標楷體" w:cs="標楷體"/>
          <w:color w:val="000000"/>
          <w:kern w:val="0"/>
          <w:sz w:val="32"/>
          <w:szCs w:val="32"/>
          <w:lang w:val="en"/>
        </w:rPr>
        <w:t>病關係的持續。</w:t>
      </w:r>
    </w:p>
    <w:p w14:paraId="59970073"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司法院少年及家事廳</w:t>
      </w:r>
      <w:proofErr w:type="gramStart"/>
      <w:r w:rsidRPr="001B6E4D">
        <w:rPr>
          <w:rFonts w:ascii="標楷體" w:eastAsia="標楷體" w:hAnsi="標楷體" w:cs="標楷體"/>
          <w:b/>
          <w:bCs/>
          <w:kern w:val="0"/>
          <w:sz w:val="32"/>
          <w:szCs w:val="32"/>
          <w:lang w:val="en"/>
        </w:rPr>
        <w:t>鍾</w:t>
      </w:r>
      <w:proofErr w:type="gramEnd"/>
      <w:r w:rsidRPr="001B6E4D">
        <w:rPr>
          <w:rFonts w:ascii="標楷體" w:eastAsia="標楷體" w:hAnsi="標楷體" w:cs="標楷體"/>
          <w:b/>
          <w:bCs/>
          <w:kern w:val="0"/>
          <w:sz w:val="32"/>
          <w:szCs w:val="32"/>
          <w:lang w:val="en"/>
        </w:rPr>
        <w:t>廳長宗霖</w:t>
      </w:r>
    </w:p>
    <w:p w14:paraId="10F90FB3"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如果合議庭認為不需要強制治療，在無紙化科技電腦系統裡會立刻將資料傳送到</w:t>
      </w:r>
      <w:proofErr w:type="gramStart"/>
      <w:r w:rsidRPr="001B6E4D">
        <w:rPr>
          <w:rFonts w:ascii="標楷體" w:eastAsia="標楷體" w:hAnsi="標楷體" w:cs="標楷體"/>
          <w:color w:val="000000"/>
          <w:kern w:val="0"/>
          <w:sz w:val="32"/>
          <w:szCs w:val="32"/>
          <w:lang w:val="en"/>
        </w:rPr>
        <w:t>衛福部的精照</w:t>
      </w:r>
      <w:proofErr w:type="gramEnd"/>
      <w:r w:rsidRPr="001B6E4D">
        <w:rPr>
          <w:rFonts w:ascii="標楷體" w:eastAsia="標楷體" w:hAnsi="標楷體" w:cs="標楷體"/>
          <w:color w:val="000000"/>
          <w:kern w:val="0"/>
          <w:sz w:val="32"/>
          <w:szCs w:val="32"/>
          <w:lang w:val="en"/>
        </w:rPr>
        <w:t>系統，通知病人戶籍地衛生主管機關(即衛生局)，衛生局做出院計畫，從如何協助將病人帶回家，到社區如何安排社區心衛中心照顧，心衛中心係</w:t>
      </w:r>
      <w:proofErr w:type="gramStart"/>
      <w:r w:rsidRPr="001B6E4D">
        <w:rPr>
          <w:rFonts w:ascii="標楷體" w:eastAsia="標楷體" w:hAnsi="標楷體" w:cs="標楷體"/>
          <w:color w:val="000000"/>
          <w:kern w:val="0"/>
          <w:sz w:val="32"/>
          <w:szCs w:val="32"/>
          <w:lang w:val="en"/>
        </w:rPr>
        <w:t>由關訪員</w:t>
      </w:r>
      <w:proofErr w:type="gramEnd"/>
      <w:r w:rsidRPr="001B6E4D">
        <w:rPr>
          <w:rFonts w:ascii="標楷體" w:eastAsia="標楷體" w:hAnsi="標楷體" w:cs="標楷體"/>
          <w:color w:val="000000"/>
          <w:kern w:val="0"/>
          <w:sz w:val="32"/>
          <w:szCs w:val="32"/>
          <w:lang w:val="en"/>
        </w:rPr>
        <w:t>、心衛社工、精神護理師組織而成。</w:t>
      </w:r>
    </w:p>
    <w:p w14:paraId="3DDC0A4A" w14:textId="77777777" w:rsidR="00B921E8" w:rsidRPr="001B6E4D" w:rsidRDefault="00B921E8" w:rsidP="003D1018">
      <w:pPr>
        <w:shd w:val="clear" w:color="auto" w:fill="FFFFFF"/>
        <w:overflowPunct w:val="0"/>
        <w:ind w:firstLine="709"/>
        <w:jc w:val="both"/>
        <w:rPr>
          <w:rFonts w:ascii="標楷體" w:eastAsia="標楷體" w:hAnsi="標楷體" w:cs="新細明體"/>
          <w:kern w:val="0"/>
          <w:lang w:val="en"/>
        </w:rPr>
      </w:pPr>
      <w:proofErr w:type="gramStart"/>
      <w:r w:rsidRPr="001B6E4D">
        <w:rPr>
          <w:rFonts w:ascii="標楷體" w:eastAsia="標楷體" w:hAnsi="標楷體" w:cs="標楷體"/>
          <w:color w:val="000000"/>
          <w:kern w:val="0"/>
          <w:sz w:val="32"/>
          <w:szCs w:val="32"/>
          <w:lang w:val="en"/>
        </w:rPr>
        <w:t>如果改裁強制</w:t>
      </w:r>
      <w:proofErr w:type="gramEnd"/>
      <w:r w:rsidRPr="001B6E4D">
        <w:rPr>
          <w:rFonts w:ascii="標楷體" w:eastAsia="標楷體" w:hAnsi="標楷體" w:cs="標楷體"/>
          <w:color w:val="000000"/>
          <w:kern w:val="0"/>
          <w:sz w:val="32"/>
          <w:szCs w:val="32"/>
          <w:lang w:val="en"/>
        </w:rPr>
        <w:t>社區治療，無紙化科技系統將資料傳送</w:t>
      </w:r>
      <w:proofErr w:type="gramStart"/>
      <w:r w:rsidRPr="001B6E4D">
        <w:rPr>
          <w:rFonts w:ascii="標楷體" w:eastAsia="標楷體" w:hAnsi="標楷體" w:cs="標楷體"/>
          <w:color w:val="000000"/>
          <w:kern w:val="0"/>
          <w:sz w:val="32"/>
          <w:szCs w:val="32"/>
          <w:lang w:val="en"/>
        </w:rPr>
        <w:t>衛福部的精照</w:t>
      </w:r>
      <w:proofErr w:type="gramEnd"/>
      <w:r w:rsidRPr="001B6E4D">
        <w:rPr>
          <w:rFonts w:ascii="標楷體" w:eastAsia="標楷體" w:hAnsi="標楷體" w:cs="標楷體"/>
          <w:color w:val="000000"/>
          <w:kern w:val="0"/>
          <w:sz w:val="32"/>
          <w:szCs w:val="32"/>
          <w:lang w:val="en"/>
        </w:rPr>
        <w:t>系統後，再轉病人戶籍地衛生局，衛生局馬上啟動通知社區強制治療的契約醫院，由醫院做治療計畫，馬上接手病人</w:t>
      </w:r>
      <w:proofErr w:type="gramStart"/>
      <w:r w:rsidRPr="001B6E4D">
        <w:rPr>
          <w:rFonts w:ascii="標楷體" w:eastAsia="標楷體" w:hAnsi="標楷體" w:cs="標楷體"/>
          <w:color w:val="000000"/>
          <w:kern w:val="0"/>
          <w:sz w:val="32"/>
          <w:szCs w:val="32"/>
          <w:lang w:val="en"/>
        </w:rPr>
        <w:t>來作</w:t>
      </w:r>
      <w:proofErr w:type="gramEnd"/>
      <w:r w:rsidRPr="001B6E4D">
        <w:rPr>
          <w:rFonts w:ascii="標楷體" w:eastAsia="標楷體" w:hAnsi="標楷體" w:cs="標楷體"/>
          <w:color w:val="000000"/>
          <w:kern w:val="0"/>
          <w:sz w:val="32"/>
          <w:szCs w:val="32"/>
          <w:lang w:val="en"/>
        </w:rPr>
        <w:t>處理。不論是駁回聲請</w:t>
      </w:r>
      <w:proofErr w:type="gramStart"/>
      <w:r w:rsidRPr="001B6E4D">
        <w:rPr>
          <w:rFonts w:ascii="標楷體" w:eastAsia="標楷體" w:hAnsi="標楷體" w:cs="標楷體"/>
          <w:color w:val="000000"/>
          <w:kern w:val="0"/>
          <w:sz w:val="32"/>
          <w:szCs w:val="32"/>
          <w:lang w:val="en"/>
        </w:rPr>
        <w:t>或是改裁強制</w:t>
      </w:r>
      <w:proofErr w:type="gramEnd"/>
      <w:r w:rsidRPr="001B6E4D">
        <w:rPr>
          <w:rFonts w:ascii="標楷體" w:eastAsia="標楷體" w:hAnsi="標楷體" w:cs="標楷體"/>
          <w:color w:val="000000"/>
          <w:kern w:val="0"/>
          <w:sz w:val="32"/>
          <w:szCs w:val="32"/>
          <w:lang w:val="en"/>
        </w:rPr>
        <w:t>社區治療，都不是直接讓病人離開，而是由衛生主管機關立即派員跟計畫安排。</w:t>
      </w:r>
    </w:p>
    <w:p w14:paraId="3D837E91" w14:textId="77777777" w:rsidR="00B921E8" w:rsidRPr="001B6E4D" w:rsidRDefault="00B921E8" w:rsidP="003D1018">
      <w:pPr>
        <w:shd w:val="clear" w:color="auto" w:fill="FFFFFF"/>
        <w:overflowPunct w:val="0"/>
        <w:ind w:firstLine="709"/>
        <w:jc w:val="both"/>
        <w:rPr>
          <w:rFonts w:ascii="標楷體" w:eastAsia="標楷體" w:hAnsi="標楷體" w:cs="新細明體"/>
          <w:kern w:val="0"/>
          <w:lang w:val="en"/>
        </w:rPr>
      </w:pPr>
      <w:r w:rsidRPr="001B6E4D">
        <w:rPr>
          <w:rFonts w:ascii="標楷體" w:eastAsia="標楷體" w:hAnsi="標楷體" w:cs="標楷體"/>
          <w:color w:val="000000"/>
          <w:kern w:val="0"/>
          <w:sz w:val="32"/>
          <w:szCs w:val="32"/>
          <w:lang w:val="en"/>
        </w:rPr>
        <w:t>程序監理人部分是程序中選任，程序終結職務即結束。</w:t>
      </w:r>
    </w:p>
    <w:p w14:paraId="789B57AA"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桃園地方法院少年及</w:t>
      </w:r>
      <w:proofErr w:type="gramStart"/>
      <w:r w:rsidRPr="001B6E4D">
        <w:rPr>
          <w:rFonts w:ascii="標楷體" w:eastAsia="標楷體" w:hAnsi="標楷體" w:cs="標楷體"/>
          <w:b/>
          <w:bCs/>
          <w:kern w:val="0"/>
          <w:sz w:val="32"/>
          <w:szCs w:val="32"/>
          <w:lang w:val="en"/>
        </w:rPr>
        <w:t>家事庭黃庭長</w:t>
      </w:r>
      <w:proofErr w:type="gramEnd"/>
      <w:r w:rsidRPr="001B6E4D">
        <w:rPr>
          <w:rFonts w:ascii="標楷體" w:eastAsia="標楷體" w:hAnsi="標楷體" w:cs="標楷體"/>
          <w:b/>
          <w:bCs/>
          <w:kern w:val="0"/>
          <w:sz w:val="32"/>
          <w:szCs w:val="32"/>
          <w:lang w:val="en"/>
        </w:rPr>
        <w:t>裕民</w:t>
      </w:r>
    </w:p>
    <w:p w14:paraId="7A7F1089" w14:textId="77777777" w:rsidR="00B921E8" w:rsidRPr="001B6E4D" w:rsidRDefault="00B921E8" w:rsidP="003D1018">
      <w:pPr>
        <w:overflowPunct w:val="0"/>
        <w:ind w:firstLine="707"/>
        <w:jc w:val="both"/>
        <w:rPr>
          <w:rFonts w:ascii="標楷體" w:eastAsia="標楷體" w:hAnsi="標楷體" w:cs="標楷體"/>
          <w:b/>
          <w:bCs/>
          <w:color w:val="000000"/>
          <w:kern w:val="0"/>
          <w:sz w:val="40"/>
          <w:szCs w:val="40"/>
          <w:lang w:val="en"/>
        </w:rPr>
      </w:pPr>
      <w:r w:rsidRPr="001B6E4D">
        <w:rPr>
          <w:rFonts w:ascii="標楷體" w:eastAsia="標楷體" w:hAnsi="標楷體" w:cs="標楷體"/>
          <w:color w:val="000000"/>
          <w:kern w:val="0"/>
          <w:sz w:val="32"/>
          <w:szCs w:val="32"/>
          <w:lang w:val="en"/>
        </w:rPr>
        <w:t>關於休息室安全問題，門上有設置觀察窗，但觀察窗察看時會有死角，所以設置監看系統，監看系統是採取只監看不錄影，不存檔方式，法官、參審員可以從法庭的圓桌電腦螢幕上即時看到嚴重病人的狀況。</w:t>
      </w:r>
    </w:p>
    <w:p w14:paraId="77AA5AAB"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lastRenderedPageBreak/>
        <w:t>莊召集委員瑞雄研究室王助理柏皓</w:t>
      </w:r>
    </w:p>
    <w:p w14:paraId="5D65388C" w14:textId="77777777" w:rsidR="00B921E8" w:rsidRPr="001B6E4D" w:rsidRDefault="00B921E8" w:rsidP="003D1018">
      <w:pPr>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關於程序監理人的問題，去年9月有預告修正程序監理人選任及酬金支給辦法，目前進度如何。</w:t>
      </w:r>
    </w:p>
    <w:p w14:paraId="0F373864"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司法院少年及家事廳</w:t>
      </w:r>
      <w:proofErr w:type="gramStart"/>
      <w:r w:rsidRPr="001B6E4D">
        <w:rPr>
          <w:rFonts w:ascii="標楷體" w:eastAsia="標楷體" w:hAnsi="標楷體" w:cs="標楷體"/>
          <w:b/>
          <w:bCs/>
          <w:kern w:val="0"/>
          <w:sz w:val="32"/>
          <w:szCs w:val="32"/>
          <w:lang w:val="en"/>
        </w:rPr>
        <w:t>鍾</w:t>
      </w:r>
      <w:proofErr w:type="gramEnd"/>
      <w:r w:rsidRPr="001B6E4D">
        <w:rPr>
          <w:rFonts w:ascii="標楷體" w:eastAsia="標楷體" w:hAnsi="標楷體" w:cs="標楷體"/>
          <w:b/>
          <w:bCs/>
          <w:kern w:val="0"/>
          <w:sz w:val="32"/>
          <w:szCs w:val="32"/>
          <w:lang w:val="en"/>
        </w:rPr>
        <w:t>廳長宗霖</w:t>
      </w:r>
    </w:p>
    <w:p w14:paraId="547B0C86" w14:textId="77777777" w:rsidR="00B921E8" w:rsidRPr="001B6E4D" w:rsidRDefault="00B921E8" w:rsidP="003D1018">
      <w:pPr>
        <w:overflowPunct w:val="0"/>
        <w:ind w:firstLine="709"/>
        <w:jc w:val="both"/>
        <w:rPr>
          <w:rFonts w:ascii="標楷體" w:eastAsia="標楷體" w:hAnsi="標楷體" w:cs="新細明體"/>
          <w:kern w:val="0"/>
          <w:lang w:val="en"/>
        </w:rPr>
      </w:pPr>
      <w:r w:rsidRPr="001B6E4D">
        <w:rPr>
          <w:rFonts w:ascii="標楷體" w:eastAsia="標楷體" w:hAnsi="標楷體" w:cs="標楷體"/>
          <w:color w:val="000000"/>
          <w:kern w:val="0"/>
          <w:sz w:val="32"/>
          <w:szCs w:val="32"/>
          <w:lang w:val="en"/>
        </w:rPr>
        <w:t>本院收集各公會、學界等各界意見後，進行專家諮詢、整理，並完成制度設計，目前已於115年6月23日修正發布，並將副本送到立法院備查。</w:t>
      </w:r>
    </w:p>
    <w:p w14:paraId="0F9C535D"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司法院司法行政廳吳廳長</w:t>
      </w:r>
      <w:proofErr w:type="gramStart"/>
      <w:r w:rsidRPr="001B6E4D">
        <w:rPr>
          <w:rFonts w:ascii="標楷體" w:eastAsia="標楷體" w:hAnsi="標楷體" w:cs="標楷體"/>
          <w:b/>
          <w:bCs/>
          <w:kern w:val="0"/>
          <w:sz w:val="32"/>
          <w:szCs w:val="32"/>
          <w:lang w:val="en"/>
        </w:rPr>
        <w:t>祚丞</w:t>
      </w:r>
      <w:proofErr w:type="gramEnd"/>
    </w:p>
    <w:p w14:paraId="7B36D2B9" w14:textId="77777777" w:rsidR="00B921E8" w:rsidRPr="001B6E4D" w:rsidRDefault="00B921E8" w:rsidP="003D1018">
      <w:pPr>
        <w:overflowPunct w:val="0"/>
        <w:ind w:firstLine="709"/>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司法的負擔過重，是所有法治國家共同面臨的問題。司法講究人權，法治越先進，對人權保障越高，更在乎程序正義，難免需要犧牲效率，產生較高的人力需求。但在這前提之下，司法院還是要</w:t>
      </w:r>
      <w:proofErr w:type="gramStart"/>
      <w:r w:rsidRPr="001B6E4D">
        <w:rPr>
          <w:rFonts w:ascii="標楷體" w:eastAsia="標楷體" w:hAnsi="標楷體" w:cs="標楷體"/>
          <w:color w:val="000000"/>
          <w:kern w:val="0"/>
          <w:sz w:val="32"/>
          <w:szCs w:val="32"/>
          <w:lang w:val="en"/>
        </w:rPr>
        <w:t>儘</w:t>
      </w:r>
      <w:proofErr w:type="gramEnd"/>
      <w:r w:rsidRPr="001B6E4D">
        <w:rPr>
          <w:rFonts w:ascii="標楷體" w:eastAsia="標楷體" w:hAnsi="標楷體" w:cs="標楷體"/>
          <w:color w:val="000000"/>
          <w:kern w:val="0"/>
          <w:sz w:val="32"/>
          <w:szCs w:val="32"/>
          <w:lang w:val="en"/>
        </w:rPr>
        <w:t>可能的優化流程，使人力發揮最大效益。</w:t>
      </w:r>
    </w:p>
    <w:p w14:paraId="013F0F67" w14:textId="77777777" w:rsidR="00B921E8" w:rsidRPr="001B6E4D" w:rsidRDefault="00B921E8" w:rsidP="003D1018">
      <w:pPr>
        <w:shd w:val="clear" w:color="auto" w:fill="FFFFFF"/>
        <w:overflowPunct w:val="0"/>
        <w:ind w:firstLine="709"/>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過去一年來，短期政策：減少案件進入訴訟以紓解</w:t>
      </w:r>
      <w:proofErr w:type="gramStart"/>
      <w:r w:rsidRPr="001B6E4D">
        <w:rPr>
          <w:rFonts w:ascii="標楷體" w:eastAsia="標楷體" w:hAnsi="標楷體" w:cs="標楷體"/>
          <w:color w:val="000000"/>
          <w:kern w:val="0"/>
          <w:sz w:val="32"/>
          <w:szCs w:val="32"/>
          <w:lang w:val="en"/>
        </w:rPr>
        <w:t>訟</w:t>
      </w:r>
      <w:proofErr w:type="gramEnd"/>
      <w:r w:rsidRPr="001B6E4D">
        <w:rPr>
          <w:rFonts w:ascii="標楷體" w:eastAsia="標楷體" w:hAnsi="標楷體" w:cs="標楷體"/>
          <w:color w:val="000000"/>
          <w:kern w:val="0"/>
          <w:sz w:val="32"/>
          <w:szCs w:val="32"/>
          <w:lang w:val="en"/>
        </w:rPr>
        <w:t>源，推行案件的流程管理，將進入法院的案件，先進行調解程序；修改民事訴訟規則，</w:t>
      </w:r>
      <w:proofErr w:type="gramStart"/>
      <w:r w:rsidRPr="001B6E4D">
        <w:rPr>
          <w:rFonts w:ascii="標楷體" w:eastAsia="標楷體" w:hAnsi="標楷體" w:cs="標楷體"/>
          <w:color w:val="000000"/>
          <w:kern w:val="0"/>
          <w:sz w:val="32"/>
          <w:szCs w:val="32"/>
          <w:lang w:val="en"/>
        </w:rPr>
        <w:t>過濾濫訴案件</w:t>
      </w:r>
      <w:proofErr w:type="gramEnd"/>
      <w:r w:rsidRPr="001B6E4D">
        <w:rPr>
          <w:rFonts w:ascii="標楷體" w:eastAsia="標楷體" w:hAnsi="標楷體" w:cs="標楷體"/>
          <w:color w:val="000000"/>
          <w:kern w:val="0"/>
          <w:sz w:val="32"/>
          <w:szCs w:val="32"/>
          <w:lang w:val="en"/>
        </w:rPr>
        <w:t>；接著調整審判流程，提出相關訴訟法修正草案，包括簡化二審的證據調查程序；裁判書的簡化，減少法官寫裁判的時間，將時間利用在思考困難的案子及法庭上的審理。從司法行政方面，提出修改法院組織法草案，調整相關職稱員額、法警長及書記官職</w:t>
      </w:r>
      <w:r w:rsidRPr="001B6E4D">
        <w:rPr>
          <w:rFonts w:ascii="標楷體" w:eastAsia="標楷體" w:hAnsi="標楷體" w:cs="標楷體"/>
          <w:color w:val="000000"/>
          <w:kern w:val="0"/>
          <w:sz w:val="32"/>
          <w:szCs w:val="32"/>
          <w:lang w:val="en"/>
        </w:rPr>
        <w:lastRenderedPageBreak/>
        <w:t>等提升、基層法警設小隊長，並將法警的職責依據明文化等。</w:t>
      </w:r>
    </w:p>
    <w:p w14:paraId="6B3E9032" w14:textId="77777777" w:rsidR="00B921E8" w:rsidRPr="001B6E4D" w:rsidRDefault="00B921E8" w:rsidP="003D1018">
      <w:pPr>
        <w:shd w:val="clear" w:color="auto" w:fill="FFFFFF"/>
        <w:overflowPunct w:val="0"/>
        <w:ind w:firstLine="707"/>
        <w:jc w:val="both"/>
        <w:rPr>
          <w:rFonts w:ascii="標楷體" w:eastAsia="標楷體" w:hAnsi="標楷體" w:cs="標楷體"/>
          <w:color w:val="453D34"/>
          <w:kern w:val="0"/>
          <w:sz w:val="32"/>
          <w:szCs w:val="32"/>
          <w:lang w:val="en"/>
        </w:rPr>
      </w:pPr>
      <w:r w:rsidRPr="001B6E4D">
        <w:rPr>
          <w:rFonts w:ascii="標楷體" w:eastAsia="標楷體" w:hAnsi="標楷體" w:cs="標楷體"/>
          <w:color w:val="000000"/>
          <w:kern w:val="0"/>
          <w:sz w:val="32"/>
          <w:szCs w:val="32"/>
          <w:lang w:val="en"/>
        </w:rPr>
        <w:t>遠期的部分，是</w:t>
      </w:r>
      <w:proofErr w:type="gramStart"/>
      <w:r w:rsidRPr="001B6E4D">
        <w:rPr>
          <w:rFonts w:ascii="標楷體" w:eastAsia="標楷體" w:hAnsi="標楷體" w:cs="標楷體"/>
          <w:color w:val="000000"/>
          <w:kern w:val="0"/>
          <w:sz w:val="32"/>
          <w:szCs w:val="32"/>
          <w:lang w:val="en"/>
        </w:rPr>
        <w:t>ＡＩ</w:t>
      </w:r>
      <w:proofErr w:type="gramEnd"/>
      <w:r w:rsidRPr="001B6E4D">
        <w:rPr>
          <w:rFonts w:ascii="標楷體" w:eastAsia="標楷體" w:hAnsi="標楷體" w:cs="標楷體"/>
          <w:color w:val="000000"/>
          <w:kern w:val="0"/>
          <w:sz w:val="32"/>
          <w:szCs w:val="32"/>
          <w:lang w:val="en"/>
        </w:rPr>
        <w:t>的發展，司法院會堅守AI不能取代法官的判斷，但可以是輔助審判的工具。發展AI需要經費</w:t>
      </w:r>
      <w:r w:rsidRPr="001B6E4D">
        <w:rPr>
          <w:rFonts w:ascii="標楷體" w:eastAsia="標楷體" w:hAnsi="標楷體" w:cs="標楷體"/>
          <w:color w:val="453D34"/>
          <w:kern w:val="0"/>
          <w:sz w:val="32"/>
          <w:szCs w:val="32"/>
          <w:lang w:val="en"/>
        </w:rPr>
        <w:t>，關於此部分的預算，需要國會支持。</w:t>
      </w:r>
    </w:p>
    <w:p w14:paraId="5A2ECDB1"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司法及法制委員會翁召集委員曉玲</w:t>
      </w:r>
    </w:p>
    <w:p w14:paraId="5095EA86"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我提出幾項建議：</w:t>
      </w:r>
    </w:p>
    <w:p w14:paraId="2252EDC0"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第一個，在提出法案或涉及到修法的報告，建議同時將人力需求評估、經費評估、設備的評估一併提出，作為立法委員審查相關法案綜合考量。</w:t>
      </w:r>
    </w:p>
    <w:p w14:paraId="627794C6"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第二</w:t>
      </w:r>
      <w:proofErr w:type="gramStart"/>
      <w:r w:rsidRPr="001B6E4D">
        <w:rPr>
          <w:rFonts w:ascii="標楷體" w:eastAsia="標楷體" w:hAnsi="標楷體" w:cs="標楷體"/>
          <w:color w:val="000000"/>
          <w:kern w:val="0"/>
          <w:sz w:val="32"/>
          <w:szCs w:val="32"/>
          <w:lang w:val="en"/>
        </w:rPr>
        <w:t>個</w:t>
      </w:r>
      <w:proofErr w:type="gramEnd"/>
      <w:r w:rsidRPr="001B6E4D">
        <w:rPr>
          <w:rFonts w:ascii="標楷體" w:eastAsia="標楷體" w:hAnsi="標楷體" w:cs="標楷體"/>
          <w:color w:val="000000"/>
          <w:kern w:val="0"/>
          <w:sz w:val="32"/>
          <w:szCs w:val="32"/>
          <w:lang w:val="en"/>
        </w:rPr>
        <w:t>，關於朝向</w:t>
      </w:r>
      <w:proofErr w:type="gramStart"/>
      <w:r w:rsidRPr="001B6E4D">
        <w:rPr>
          <w:rFonts w:ascii="標楷體" w:eastAsia="標楷體" w:hAnsi="標楷體" w:cs="標楷體"/>
          <w:color w:val="000000"/>
          <w:kern w:val="0"/>
          <w:sz w:val="32"/>
          <w:szCs w:val="32"/>
          <w:lang w:val="en"/>
        </w:rPr>
        <w:t>ＡＩ</w:t>
      </w:r>
      <w:proofErr w:type="gramEnd"/>
      <w:r w:rsidRPr="001B6E4D">
        <w:rPr>
          <w:rFonts w:ascii="標楷體" w:eastAsia="標楷體" w:hAnsi="標楷體" w:cs="標楷體"/>
          <w:color w:val="000000"/>
          <w:kern w:val="0"/>
          <w:sz w:val="32"/>
          <w:szCs w:val="32"/>
          <w:lang w:val="en"/>
        </w:rPr>
        <w:t>發展，我認為很有必要，可以節省很多的人力，以我在立法院的觀察，</w:t>
      </w:r>
      <w:proofErr w:type="gramStart"/>
      <w:r w:rsidRPr="001B6E4D">
        <w:rPr>
          <w:rFonts w:ascii="標楷體" w:eastAsia="標楷體" w:hAnsi="標楷體" w:cs="標楷體"/>
          <w:color w:val="000000"/>
          <w:kern w:val="0"/>
          <w:sz w:val="32"/>
          <w:szCs w:val="32"/>
          <w:lang w:val="en"/>
        </w:rPr>
        <w:t>審計部做得</w:t>
      </w:r>
      <w:proofErr w:type="gramEnd"/>
      <w:r w:rsidRPr="001B6E4D">
        <w:rPr>
          <w:rFonts w:ascii="標楷體" w:eastAsia="標楷體" w:hAnsi="標楷體" w:cs="標楷體"/>
          <w:color w:val="000000"/>
          <w:kern w:val="0"/>
          <w:sz w:val="32"/>
          <w:szCs w:val="32"/>
          <w:lang w:val="en"/>
        </w:rPr>
        <w:t>不錯，可以與</w:t>
      </w:r>
      <w:proofErr w:type="gramStart"/>
      <w:r w:rsidRPr="001B6E4D">
        <w:rPr>
          <w:rFonts w:ascii="標楷體" w:eastAsia="標楷體" w:hAnsi="標楷體" w:cs="標楷體"/>
          <w:color w:val="000000"/>
          <w:kern w:val="0"/>
          <w:sz w:val="32"/>
          <w:szCs w:val="32"/>
          <w:lang w:val="en"/>
        </w:rPr>
        <w:t>審計部請益</w:t>
      </w:r>
      <w:proofErr w:type="gramEnd"/>
      <w:r w:rsidRPr="001B6E4D">
        <w:rPr>
          <w:rFonts w:ascii="標楷體" w:eastAsia="標楷體" w:hAnsi="標楷體" w:cs="標楷體"/>
          <w:color w:val="000000"/>
          <w:kern w:val="0"/>
          <w:sz w:val="32"/>
          <w:szCs w:val="32"/>
          <w:lang w:val="en"/>
        </w:rPr>
        <w:t>、討論。</w:t>
      </w:r>
    </w:p>
    <w:p w14:paraId="20934859"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第三</w:t>
      </w:r>
      <w:proofErr w:type="gramStart"/>
      <w:r w:rsidRPr="001B6E4D">
        <w:rPr>
          <w:rFonts w:ascii="標楷體" w:eastAsia="標楷體" w:hAnsi="標楷體" w:cs="標楷體"/>
          <w:color w:val="000000"/>
          <w:kern w:val="0"/>
          <w:sz w:val="32"/>
          <w:szCs w:val="32"/>
          <w:lang w:val="en"/>
        </w:rPr>
        <w:t>個</w:t>
      </w:r>
      <w:proofErr w:type="gramEnd"/>
      <w:r w:rsidRPr="001B6E4D">
        <w:rPr>
          <w:rFonts w:ascii="標楷體" w:eastAsia="標楷體" w:hAnsi="標楷體" w:cs="標楷體"/>
          <w:color w:val="000000"/>
          <w:kern w:val="0"/>
          <w:sz w:val="32"/>
          <w:szCs w:val="32"/>
          <w:lang w:val="en"/>
        </w:rPr>
        <w:t>，</w:t>
      </w:r>
      <w:proofErr w:type="gramStart"/>
      <w:r w:rsidRPr="001B6E4D">
        <w:rPr>
          <w:rFonts w:ascii="標楷體" w:eastAsia="標楷體" w:hAnsi="標楷體" w:cs="標楷體"/>
          <w:color w:val="000000"/>
          <w:kern w:val="0"/>
          <w:sz w:val="32"/>
          <w:szCs w:val="32"/>
          <w:lang w:val="en"/>
        </w:rPr>
        <w:t>防止濫訴</w:t>
      </w:r>
      <w:proofErr w:type="gramEnd"/>
      <w:r w:rsidRPr="001B6E4D">
        <w:rPr>
          <w:rFonts w:ascii="標楷體" w:eastAsia="標楷體" w:hAnsi="標楷體" w:cs="標楷體"/>
          <w:color w:val="000000"/>
          <w:kern w:val="0"/>
          <w:sz w:val="32"/>
          <w:szCs w:val="32"/>
          <w:lang w:val="en"/>
        </w:rPr>
        <w:t>，可參考其他國家如德國、韓國、日本、新加坡等，比較訴訟裁判費，是否可以透過調整訴訟裁判費的方式，</w:t>
      </w:r>
      <w:proofErr w:type="gramStart"/>
      <w:r w:rsidRPr="001B6E4D">
        <w:rPr>
          <w:rFonts w:ascii="標楷體" w:eastAsia="標楷體" w:hAnsi="標楷體" w:cs="標楷體"/>
          <w:color w:val="000000"/>
          <w:kern w:val="0"/>
          <w:sz w:val="32"/>
          <w:szCs w:val="32"/>
          <w:lang w:val="en"/>
        </w:rPr>
        <w:t>減少濫訴</w:t>
      </w:r>
      <w:proofErr w:type="gramEnd"/>
      <w:r w:rsidRPr="001B6E4D">
        <w:rPr>
          <w:rFonts w:ascii="標楷體" w:eastAsia="標楷體" w:hAnsi="標楷體" w:cs="標楷體"/>
          <w:color w:val="000000"/>
          <w:kern w:val="0"/>
          <w:sz w:val="32"/>
          <w:szCs w:val="32"/>
          <w:lang w:val="en"/>
        </w:rPr>
        <w:t>。</w:t>
      </w:r>
    </w:p>
    <w:p w14:paraId="4D4B3EB2"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再來是思考</w:t>
      </w:r>
      <w:proofErr w:type="gramStart"/>
      <w:r w:rsidRPr="001B6E4D">
        <w:rPr>
          <w:rFonts w:ascii="標楷體" w:eastAsia="標楷體" w:hAnsi="標楷體" w:cs="標楷體"/>
          <w:color w:val="000000"/>
          <w:kern w:val="0"/>
          <w:sz w:val="32"/>
          <w:szCs w:val="32"/>
          <w:lang w:val="en"/>
        </w:rPr>
        <w:t>刑事打詐追回</w:t>
      </w:r>
      <w:proofErr w:type="gramEnd"/>
      <w:r w:rsidRPr="001B6E4D">
        <w:rPr>
          <w:rFonts w:ascii="標楷體" w:eastAsia="標楷體" w:hAnsi="標楷體" w:cs="標楷體"/>
          <w:color w:val="000000"/>
          <w:kern w:val="0"/>
          <w:sz w:val="32"/>
          <w:szCs w:val="32"/>
          <w:lang w:val="en"/>
        </w:rPr>
        <w:t>款項的部分經費、罰金，在薪水無法調整情形下，只要有合理的項目，回饋給基層承辦相關業務的同仁，我個人支持這樣的作法。</w:t>
      </w:r>
    </w:p>
    <w:p w14:paraId="5AB10DA0"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bookmarkStart w:id="584" w:name="_30ck16sw8a5l" w:colFirst="0" w:colLast="0"/>
      <w:bookmarkEnd w:id="584"/>
      <w:r w:rsidRPr="001B6E4D">
        <w:rPr>
          <w:rFonts w:ascii="標楷體" w:eastAsia="標楷體" w:hAnsi="標楷體" w:cs="標楷體"/>
          <w:color w:val="000000"/>
          <w:kern w:val="0"/>
          <w:sz w:val="32"/>
          <w:szCs w:val="32"/>
          <w:lang w:val="en"/>
        </w:rPr>
        <w:lastRenderedPageBreak/>
        <w:t>今天來桃園地院參訪，秘書長、廳長們都做了非常精闢的報告，讓我們瞭解桃園地院對於精神衛生法上路後所做的努力，也更瞭解整個司法人力情形，我作為立法院司法及法制委員會召委會努力改善司法的環境，從法案、從預算上給各位更多的支持。</w:t>
      </w:r>
    </w:p>
    <w:p w14:paraId="5564A098" w14:textId="77777777" w:rsidR="00B921E8" w:rsidRPr="001B6E4D" w:rsidRDefault="00B921E8" w:rsidP="003D1018">
      <w:pPr>
        <w:shd w:val="clear" w:color="auto" w:fill="FFFFFF"/>
        <w:overflowPunct w:val="0"/>
        <w:ind w:firstLine="707"/>
        <w:jc w:val="both"/>
        <w:rPr>
          <w:rFonts w:ascii="標楷體" w:eastAsia="標楷體" w:hAnsi="標楷體" w:cs="標楷體"/>
          <w:color w:val="000000"/>
          <w:kern w:val="0"/>
          <w:sz w:val="32"/>
          <w:szCs w:val="32"/>
          <w:lang w:val="en"/>
        </w:rPr>
      </w:pPr>
      <w:r w:rsidRPr="001B6E4D">
        <w:rPr>
          <w:rFonts w:ascii="標楷體" w:eastAsia="標楷體" w:hAnsi="標楷體" w:cs="標楷體"/>
          <w:color w:val="000000"/>
          <w:kern w:val="0"/>
          <w:sz w:val="32"/>
          <w:szCs w:val="32"/>
          <w:lang w:val="en"/>
        </w:rPr>
        <w:t>今天非常感謝秘書長，感謝黃院長的招待安排。謝謝大家。</w:t>
      </w:r>
    </w:p>
    <w:p w14:paraId="1071CF86" w14:textId="77777777" w:rsidR="00B921E8" w:rsidRPr="001B6E4D" w:rsidRDefault="00B921E8" w:rsidP="003D1018">
      <w:pPr>
        <w:widowControl w:val="0"/>
        <w:overflowPunct w:val="0"/>
        <w:spacing w:line="520" w:lineRule="exact"/>
        <w:jc w:val="both"/>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t>捌、散會（12時20分）</w:t>
      </w:r>
    </w:p>
    <w:p w14:paraId="7932F528" w14:textId="77777777" w:rsidR="00B921E8" w:rsidRPr="001B6E4D" w:rsidRDefault="00B921E8" w:rsidP="003D1018">
      <w:pPr>
        <w:overflowPunct w:val="0"/>
        <w:rPr>
          <w:rFonts w:ascii="標楷體" w:eastAsia="標楷體" w:hAnsi="標楷體" w:cs="標楷體"/>
          <w:b/>
          <w:bCs/>
          <w:kern w:val="0"/>
          <w:sz w:val="32"/>
          <w:szCs w:val="32"/>
          <w:lang w:val="en"/>
        </w:rPr>
      </w:pPr>
      <w:r w:rsidRPr="001B6E4D">
        <w:rPr>
          <w:rFonts w:ascii="標楷體" w:eastAsia="標楷體" w:hAnsi="標楷體" w:cs="標楷體"/>
          <w:b/>
          <w:bCs/>
          <w:kern w:val="0"/>
          <w:sz w:val="32"/>
          <w:szCs w:val="32"/>
          <w:lang w:val="en"/>
        </w:rPr>
        <w:br w:type="page"/>
      </w:r>
    </w:p>
    <w:p w14:paraId="571F302D" w14:textId="7BB98E45" w:rsidR="00B921E8" w:rsidRPr="001B6E4D" w:rsidRDefault="00B921E8" w:rsidP="003D1018">
      <w:pPr>
        <w:kinsoku w:val="0"/>
        <w:overflowPunct w:val="0"/>
        <w:snapToGrid w:val="0"/>
        <w:spacing w:afterLines="50" w:after="180" w:line="440" w:lineRule="exact"/>
        <w:jc w:val="center"/>
        <w:outlineLvl w:val="4"/>
        <w:rPr>
          <w:rFonts w:ascii="標楷體" w:eastAsia="標楷體" w:hAnsi="標楷體"/>
          <w:b/>
          <w:sz w:val="36"/>
          <w:szCs w:val="20"/>
        </w:rPr>
      </w:pPr>
      <w:bookmarkStart w:id="585" w:name="立法院司法及法制委員會考察法務部行政執行署"/>
      <w:r w:rsidRPr="001B6E4D">
        <w:rPr>
          <w:rFonts w:ascii="標楷體" w:eastAsia="標楷體" w:hAnsi="標楷體" w:hint="eastAsia"/>
          <w:b/>
          <w:sz w:val="36"/>
          <w:szCs w:val="20"/>
        </w:rPr>
        <w:lastRenderedPageBreak/>
        <w:t>立法院司法及法制委員會</w:t>
      </w:r>
      <w:bookmarkStart w:id="586" w:name="考察法務部調查局資安犯罪偵查及司法聯盟鏈運作情形"/>
      <w:r w:rsidRPr="001B6E4D">
        <w:rPr>
          <w:rFonts w:ascii="標楷體" w:eastAsia="標楷體" w:hAnsi="標楷體" w:hint="eastAsia"/>
          <w:b/>
          <w:sz w:val="36"/>
          <w:szCs w:val="20"/>
        </w:rPr>
        <w:t>考察法務部</w:t>
      </w:r>
      <w:bookmarkEnd w:id="585"/>
      <w:proofErr w:type="gramStart"/>
      <w:r w:rsidRPr="001B6E4D">
        <w:rPr>
          <w:rFonts w:ascii="標楷體" w:eastAsia="標楷體" w:hAnsi="標楷體" w:hint="eastAsia"/>
          <w:b/>
          <w:sz w:val="36"/>
          <w:szCs w:val="20"/>
        </w:rPr>
        <w:t>調查局資安犯罪</w:t>
      </w:r>
      <w:proofErr w:type="gramEnd"/>
      <w:r w:rsidRPr="001B6E4D">
        <w:rPr>
          <w:rFonts w:ascii="標楷體" w:eastAsia="標楷體" w:hAnsi="標楷體" w:hint="eastAsia"/>
          <w:b/>
          <w:sz w:val="36"/>
          <w:szCs w:val="20"/>
        </w:rPr>
        <w:t>偵查及司法聯盟鏈運作情形</w:t>
      </w:r>
      <w:bookmarkEnd w:id="586"/>
      <w:r w:rsidRPr="001B6E4D">
        <w:rPr>
          <w:rFonts w:ascii="標楷體" w:eastAsia="標楷體" w:hAnsi="標楷體" w:hint="eastAsia"/>
          <w:b/>
          <w:sz w:val="36"/>
          <w:szCs w:val="20"/>
        </w:rPr>
        <w:t>會議紀錄</w:t>
      </w:r>
    </w:p>
    <w:p w14:paraId="628812E6" w14:textId="77777777" w:rsidR="00B921E8" w:rsidRPr="001B6E4D" w:rsidRDefault="00B921E8" w:rsidP="003D1018">
      <w:pPr>
        <w:widowControl w:val="0"/>
        <w:overflowPunct w:val="0"/>
        <w:snapToGrid w:val="0"/>
        <w:spacing w:beforeLines="100" w:before="360" w:line="480" w:lineRule="exact"/>
        <w:rPr>
          <w:rFonts w:ascii="標楷體" w:eastAsia="標楷體" w:hAnsi="標楷體"/>
          <w:sz w:val="32"/>
          <w:szCs w:val="20"/>
        </w:rPr>
      </w:pPr>
      <w:r w:rsidRPr="001B6E4D">
        <w:rPr>
          <w:rFonts w:ascii="標楷體" w:eastAsia="標楷體" w:hAnsi="標楷體" w:hint="eastAsia"/>
          <w:b/>
          <w:sz w:val="32"/>
          <w:szCs w:val="20"/>
        </w:rPr>
        <w:t>開會時間：</w:t>
      </w:r>
      <w:r w:rsidRPr="001B6E4D">
        <w:rPr>
          <w:rFonts w:ascii="標楷體" w:eastAsia="標楷體" w:hAnsi="標楷體" w:hint="eastAsia"/>
          <w:spacing w:val="-20"/>
          <w:sz w:val="32"/>
          <w:szCs w:val="20"/>
        </w:rPr>
        <w:t>中華民國115年7月27日（星期一）上午9時40分</w:t>
      </w:r>
    </w:p>
    <w:p w14:paraId="1949F89E" w14:textId="77777777" w:rsidR="00B921E8" w:rsidRPr="001B6E4D" w:rsidRDefault="00B921E8" w:rsidP="003D1018">
      <w:pPr>
        <w:widowControl w:val="0"/>
        <w:overflowPunct w:val="0"/>
        <w:snapToGrid w:val="0"/>
        <w:spacing w:line="480" w:lineRule="exact"/>
        <w:rPr>
          <w:rFonts w:ascii="標楷體" w:eastAsia="標楷體" w:hAnsi="標楷體"/>
          <w:sz w:val="32"/>
          <w:szCs w:val="20"/>
        </w:rPr>
      </w:pPr>
      <w:r w:rsidRPr="001B6E4D">
        <w:rPr>
          <w:rFonts w:ascii="標楷體" w:eastAsia="標楷體" w:hAnsi="標楷體" w:hint="eastAsia"/>
          <w:b/>
          <w:sz w:val="32"/>
          <w:szCs w:val="20"/>
        </w:rPr>
        <w:t>開會地點：</w:t>
      </w:r>
      <w:r w:rsidRPr="001B6E4D">
        <w:rPr>
          <w:rFonts w:ascii="標楷體" w:eastAsia="標楷體" w:hAnsi="標楷體" w:hint="eastAsia"/>
          <w:sz w:val="32"/>
          <w:szCs w:val="20"/>
        </w:rPr>
        <w:t>法務部調查局中華大樓1樓簡報室</w:t>
      </w:r>
    </w:p>
    <w:p w14:paraId="45D390ED" w14:textId="77777777" w:rsidR="00B921E8" w:rsidRPr="001B6E4D" w:rsidRDefault="00B921E8" w:rsidP="003D1018">
      <w:pPr>
        <w:widowControl w:val="0"/>
        <w:overflowPunct w:val="0"/>
        <w:snapToGrid w:val="0"/>
        <w:spacing w:line="480" w:lineRule="exact"/>
        <w:rPr>
          <w:rFonts w:ascii="標楷體" w:eastAsia="標楷體" w:hAnsi="標楷體"/>
          <w:sz w:val="32"/>
          <w:szCs w:val="20"/>
        </w:rPr>
      </w:pPr>
      <w:r w:rsidRPr="001B6E4D">
        <w:rPr>
          <w:rFonts w:ascii="標楷體" w:eastAsia="標楷體" w:hAnsi="標楷體" w:hint="eastAsia"/>
          <w:b/>
          <w:sz w:val="32"/>
          <w:szCs w:val="20"/>
        </w:rPr>
        <w:t>主    席：</w:t>
      </w:r>
      <w:r w:rsidRPr="001B6E4D">
        <w:rPr>
          <w:rFonts w:ascii="標楷體" w:eastAsia="標楷體" w:hAnsi="標楷體" w:hint="eastAsia"/>
          <w:sz w:val="32"/>
          <w:szCs w:val="20"/>
        </w:rPr>
        <w:t>沈立法委員發惠</w:t>
      </w:r>
    </w:p>
    <w:p w14:paraId="606BB188" w14:textId="77777777" w:rsidR="00B921E8" w:rsidRPr="001B6E4D" w:rsidRDefault="00B921E8" w:rsidP="003D1018">
      <w:pPr>
        <w:widowControl w:val="0"/>
        <w:tabs>
          <w:tab w:val="left" w:pos="4680"/>
        </w:tabs>
        <w:overflowPunct w:val="0"/>
        <w:snapToGrid w:val="0"/>
        <w:spacing w:line="480" w:lineRule="exact"/>
        <w:ind w:leftChars="-1" w:left="2240" w:hangingChars="700" w:hanging="2242"/>
        <w:jc w:val="both"/>
        <w:rPr>
          <w:rFonts w:ascii="標楷體" w:eastAsia="標楷體" w:hAnsi="標楷體"/>
          <w:sz w:val="32"/>
        </w:rPr>
      </w:pPr>
      <w:r w:rsidRPr="001B6E4D">
        <w:rPr>
          <w:rFonts w:ascii="標楷體" w:eastAsia="標楷體" w:hAnsi="標楷體" w:hint="eastAsia"/>
          <w:b/>
          <w:sz w:val="32"/>
        </w:rPr>
        <w:t>出席人員：</w:t>
      </w:r>
    </w:p>
    <w:p w14:paraId="1E869BA7" w14:textId="77777777" w:rsidR="00B921E8" w:rsidRPr="001B6E4D" w:rsidRDefault="00B921E8" w:rsidP="003D1018">
      <w:pPr>
        <w:widowControl w:val="0"/>
        <w:numPr>
          <w:ilvl w:val="0"/>
          <w:numId w:val="16"/>
        </w:numPr>
        <w:tabs>
          <w:tab w:val="left" w:pos="4680"/>
        </w:tabs>
        <w:overflowPunct w:val="0"/>
        <w:snapToGrid w:val="0"/>
        <w:spacing w:line="480" w:lineRule="exact"/>
        <w:rPr>
          <w:rFonts w:ascii="標楷體" w:eastAsia="標楷體" w:hAnsi="標楷體"/>
          <w:sz w:val="32"/>
          <w:szCs w:val="32"/>
        </w:rPr>
      </w:pPr>
      <w:bookmarkStart w:id="587" w:name="_Hlk193727485"/>
      <w:r w:rsidRPr="001B6E4D">
        <w:rPr>
          <w:rFonts w:ascii="標楷體" w:eastAsia="標楷體" w:hAnsi="標楷體" w:hint="eastAsia"/>
          <w:sz w:val="32"/>
          <w:szCs w:val="32"/>
        </w:rPr>
        <w:t>立法院：</w:t>
      </w:r>
    </w:p>
    <w:p w14:paraId="2D0E2911" w14:textId="77777777" w:rsidR="00B921E8" w:rsidRPr="001B6E4D" w:rsidRDefault="00B921E8" w:rsidP="003D1018">
      <w:pPr>
        <w:widowControl w:val="0"/>
        <w:numPr>
          <w:ilvl w:val="0"/>
          <w:numId w:val="15"/>
        </w:numPr>
        <w:tabs>
          <w:tab w:val="left" w:pos="993"/>
        </w:tabs>
        <w:overflowPunct w:val="0"/>
        <w:snapToGrid w:val="0"/>
        <w:spacing w:line="480" w:lineRule="exact"/>
        <w:ind w:left="709" w:rightChars="590" w:right="1416" w:hanging="709"/>
        <w:jc w:val="both"/>
        <w:rPr>
          <w:rFonts w:ascii="標楷體" w:eastAsia="標楷體" w:hAnsi="標楷體"/>
          <w:sz w:val="32"/>
          <w:szCs w:val="32"/>
        </w:rPr>
      </w:pPr>
      <w:r w:rsidRPr="001B6E4D">
        <w:rPr>
          <w:rFonts w:ascii="標楷體" w:eastAsia="標楷體" w:hAnsi="標楷體" w:hint="eastAsia"/>
          <w:sz w:val="32"/>
          <w:szCs w:val="32"/>
        </w:rPr>
        <w:t>張主任秘書智為、</w:t>
      </w:r>
      <w:proofErr w:type="gramStart"/>
      <w:r w:rsidRPr="001B6E4D">
        <w:rPr>
          <w:rFonts w:ascii="標楷體" w:eastAsia="標楷體" w:hAnsi="標楷體" w:hint="eastAsia"/>
          <w:sz w:val="32"/>
          <w:szCs w:val="32"/>
        </w:rPr>
        <w:t>余</w:t>
      </w:r>
      <w:proofErr w:type="gramEnd"/>
      <w:r w:rsidRPr="001B6E4D">
        <w:rPr>
          <w:rFonts w:ascii="標楷體" w:eastAsia="標楷體" w:hAnsi="標楷體" w:hint="eastAsia"/>
          <w:sz w:val="32"/>
          <w:szCs w:val="32"/>
        </w:rPr>
        <w:t>科長俊緯。</w:t>
      </w:r>
    </w:p>
    <w:p w14:paraId="134A2B06" w14:textId="77777777" w:rsidR="00B921E8" w:rsidRPr="001B6E4D" w:rsidRDefault="00B921E8" w:rsidP="003D1018">
      <w:pPr>
        <w:widowControl w:val="0"/>
        <w:numPr>
          <w:ilvl w:val="0"/>
          <w:numId w:val="15"/>
        </w:numPr>
        <w:tabs>
          <w:tab w:val="left" w:pos="993"/>
        </w:tabs>
        <w:overflowPunct w:val="0"/>
        <w:snapToGrid w:val="0"/>
        <w:spacing w:line="480" w:lineRule="exact"/>
        <w:ind w:left="964" w:hanging="964"/>
        <w:jc w:val="both"/>
        <w:rPr>
          <w:rFonts w:ascii="標楷體" w:eastAsia="標楷體" w:hAnsi="標楷體"/>
          <w:sz w:val="32"/>
          <w:szCs w:val="32"/>
        </w:rPr>
      </w:pPr>
      <w:r w:rsidRPr="001B6E4D">
        <w:rPr>
          <w:rFonts w:ascii="標楷體" w:eastAsia="標楷體" w:hAnsi="標楷體" w:hint="eastAsia"/>
          <w:sz w:val="32"/>
          <w:szCs w:val="32"/>
        </w:rPr>
        <w:t>沈發惠委員研究室</w:t>
      </w:r>
      <w:proofErr w:type="gramStart"/>
      <w:r w:rsidRPr="001B6E4D">
        <w:rPr>
          <w:rFonts w:ascii="標楷體" w:eastAsia="標楷體" w:hAnsi="標楷體" w:hint="eastAsia"/>
          <w:sz w:val="32"/>
          <w:szCs w:val="32"/>
        </w:rPr>
        <w:t>張主任誠軒</w:t>
      </w:r>
      <w:proofErr w:type="gramEnd"/>
      <w:r w:rsidRPr="001B6E4D">
        <w:rPr>
          <w:rFonts w:ascii="標楷體" w:eastAsia="標楷體" w:hAnsi="標楷體" w:hint="eastAsia"/>
          <w:sz w:val="32"/>
          <w:szCs w:val="32"/>
        </w:rPr>
        <w:t>、陳助理惠民、張助理</w:t>
      </w:r>
      <w:proofErr w:type="gramStart"/>
      <w:r w:rsidRPr="001B6E4D">
        <w:rPr>
          <w:rFonts w:ascii="標楷體" w:eastAsia="標楷體" w:hAnsi="標楷體" w:hint="eastAsia"/>
          <w:sz w:val="32"/>
          <w:szCs w:val="32"/>
        </w:rPr>
        <w:t>家菱、傅助理煜</w:t>
      </w:r>
      <w:proofErr w:type="gramEnd"/>
      <w:r w:rsidRPr="001B6E4D">
        <w:rPr>
          <w:rFonts w:ascii="標楷體" w:eastAsia="標楷體" w:hAnsi="標楷體" w:hint="eastAsia"/>
          <w:sz w:val="32"/>
          <w:szCs w:val="32"/>
        </w:rPr>
        <w:t>鈴。</w:t>
      </w:r>
    </w:p>
    <w:p w14:paraId="1F614159" w14:textId="77777777" w:rsidR="00B921E8" w:rsidRPr="001B6E4D" w:rsidRDefault="00B921E8" w:rsidP="003D1018">
      <w:pPr>
        <w:widowControl w:val="0"/>
        <w:numPr>
          <w:ilvl w:val="0"/>
          <w:numId w:val="15"/>
        </w:numPr>
        <w:tabs>
          <w:tab w:val="left" w:pos="993"/>
        </w:tabs>
        <w:overflowPunct w:val="0"/>
        <w:snapToGrid w:val="0"/>
        <w:spacing w:line="480" w:lineRule="exact"/>
        <w:ind w:left="709" w:right="-1" w:hanging="709"/>
        <w:jc w:val="both"/>
        <w:rPr>
          <w:rFonts w:ascii="標楷體" w:eastAsia="標楷體" w:hAnsi="標楷體"/>
          <w:sz w:val="32"/>
          <w:szCs w:val="32"/>
        </w:rPr>
      </w:pPr>
      <w:r w:rsidRPr="001B6E4D">
        <w:rPr>
          <w:rFonts w:ascii="標楷體" w:eastAsia="標楷體" w:hAnsi="標楷體" w:hint="eastAsia"/>
          <w:sz w:val="32"/>
          <w:szCs w:val="32"/>
        </w:rPr>
        <w:t>翁曉玲委員研究室蔡助理岡</w:t>
      </w:r>
      <w:proofErr w:type="gramStart"/>
      <w:r w:rsidRPr="001B6E4D">
        <w:rPr>
          <w:rFonts w:ascii="標楷體" w:eastAsia="標楷體" w:hAnsi="標楷體" w:hint="eastAsia"/>
          <w:sz w:val="32"/>
          <w:szCs w:val="32"/>
        </w:rPr>
        <w:t>霖</w:t>
      </w:r>
      <w:proofErr w:type="gramEnd"/>
      <w:r w:rsidRPr="001B6E4D">
        <w:rPr>
          <w:rFonts w:ascii="標楷體" w:eastAsia="標楷體" w:hAnsi="標楷體" w:hint="eastAsia"/>
          <w:sz w:val="32"/>
          <w:szCs w:val="32"/>
        </w:rPr>
        <w:t>。</w:t>
      </w:r>
    </w:p>
    <w:p w14:paraId="7114C7B3" w14:textId="77777777" w:rsidR="00B921E8" w:rsidRPr="001B6E4D" w:rsidRDefault="00B921E8" w:rsidP="003D1018">
      <w:pPr>
        <w:widowControl w:val="0"/>
        <w:numPr>
          <w:ilvl w:val="0"/>
          <w:numId w:val="15"/>
        </w:numPr>
        <w:tabs>
          <w:tab w:val="left" w:pos="993"/>
        </w:tabs>
        <w:overflowPunct w:val="0"/>
        <w:snapToGrid w:val="0"/>
        <w:spacing w:line="480" w:lineRule="exact"/>
        <w:ind w:left="709" w:right="-1" w:hanging="709"/>
        <w:jc w:val="both"/>
        <w:rPr>
          <w:rFonts w:ascii="標楷體" w:eastAsia="標楷體" w:hAnsi="標楷體"/>
          <w:sz w:val="32"/>
          <w:szCs w:val="32"/>
        </w:rPr>
      </w:pPr>
      <w:r w:rsidRPr="001B6E4D">
        <w:rPr>
          <w:rFonts w:ascii="標楷體" w:eastAsia="標楷體" w:hAnsi="標楷體" w:hint="eastAsia"/>
          <w:sz w:val="32"/>
          <w:szCs w:val="32"/>
        </w:rPr>
        <w:t>莊瑞雄委員研究室王助理柏皓、李助理虹</w:t>
      </w:r>
      <w:proofErr w:type="gramStart"/>
      <w:r w:rsidRPr="001B6E4D">
        <w:rPr>
          <w:rFonts w:ascii="標楷體" w:eastAsia="標楷體" w:hAnsi="標楷體" w:hint="eastAsia"/>
          <w:sz w:val="32"/>
          <w:szCs w:val="32"/>
        </w:rPr>
        <w:t>妏</w:t>
      </w:r>
      <w:proofErr w:type="gramEnd"/>
      <w:r w:rsidRPr="001B6E4D">
        <w:rPr>
          <w:rFonts w:ascii="標楷體" w:eastAsia="標楷體" w:hAnsi="標楷體" w:hint="eastAsia"/>
          <w:sz w:val="32"/>
          <w:szCs w:val="32"/>
        </w:rPr>
        <w:t>。</w:t>
      </w:r>
    </w:p>
    <w:p w14:paraId="453E0C19" w14:textId="77777777" w:rsidR="00B921E8" w:rsidRPr="001B6E4D" w:rsidRDefault="00B921E8" w:rsidP="003D1018">
      <w:pPr>
        <w:widowControl w:val="0"/>
        <w:numPr>
          <w:ilvl w:val="0"/>
          <w:numId w:val="15"/>
        </w:numPr>
        <w:tabs>
          <w:tab w:val="left" w:pos="993"/>
        </w:tabs>
        <w:overflowPunct w:val="0"/>
        <w:snapToGrid w:val="0"/>
        <w:spacing w:line="480" w:lineRule="exact"/>
        <w:ind w:left="709" w:right="-1" w:hanging="709"/>
        <w:jc w:val="both"/>
        <w:rPr>
          <w:rFonts w:ascii="標楷體" w:eastAsia="標楷體" w:hAnsi="標楷體"/>
          <w:sz w:val="32"/>
          <w:szCs w:val="32"/>
        </w:rPr>
      </w:pPr>
      <w:r w:rsidRPr="001B6E4D">
        <w:rPr>
          <w:rFonts w:ascii="標楷體" w:eastAsia="標楷體" w:hAnsi="標楷體" w:hint="eastAsia"/>
          <w:sz w:val="32"/>
          <w:szCs w:val="32"/>
        </w:rPr>
        <w:t>吳宗憲委員研究室陳主任靜蓉。</w:t>
      </w:r>
    </w:p>
    <w:p w14:paraId="7862EE79" w14:textId="77777777" w:rsidR="00B921E8" w:rsidRPr="001B6E4D" w:rsidRDefault="00B921E8" w:rsidP="003D1018">
      <w:pPr>
        <w:widowControl w:val="0"/>
        <w:numPr>
          <w:ilvl w:val="0"/>
          <w:numId w:val="16"/>
        </w:numPr>
        <w:tabs>
          <w:tab w:val="left" w:pos="4680"/>
        </w:tabs>
        <w:overflowPunct w:val="0"/>
        <w:snapToGrid w:val="0"/>
        <w:spacing w:line="480" w:lineRule="exact"/>
        <w:rPr>
          <w:rFonts w:ascii="標楷體" w:eastAsia="標楷體" w:hAnsi="標楷體"/>
          <w:sz w:val="32"/>
          <w:szCs w:val="32"/>
        </w:rPr>
      </w:pPr>
      <w:r w:rsidRPr="001B6E4D">
        <w:rPr>
          <w:rFonts w:ascii="標楷體" w:eastAsia="標楷體" w:hAnsi="標楷體" w:hint="eastAsia"/>
          <w:sz w:val="32"/>
          <w:szCs w:val="32"/>
        </w:rPr>
        <w:t>法務部：</w:t>
      </w:r>
    </w:p>
    <w:p w14:paraId="06639E88" w14:textId="77777777" w:rsidR="00B921E8" w:rsidRPr="001B6E4D" w:rsidRDefault="00B921E8" w:rsidP="003D1018">
      <w:pPr>
        <w:widowControl w:val="0"/>
        <w:tabs>
          <w:tab w:val="left" w:pos="4680"/>
        </w:tabs>
        <w:overflowPunct w:val="0"/>
        <w:snapToGrid w:val="0"/>
        <w:spacing w:line="480" w:lineRule="exact"/>
        <w:ind w:leftChars="300" w:left="720"/>
        <w:jc w:val="both"/>
        <w:rPr>
          <w:rFonts w:ascii="標楷體" w:eastAsia="標楷體" w:hAnsi="標楷體"/>
          <w:sz w:val="32"/>
          <w:szCs w:val="32"/>
        </w:rPr>
      </w:pPr>
      <w:proofErr w:type="gramStart"/>
      <w:r w:rsidRPr="001B6E4D">
        <w:rPr>
          <w:rFonts w:ascii="標楷體" w:eastAsia="標楷體" w:hAnsi="標楷體" w:hint="eastAsia"/>
          <w:bCs/>
          <w:sz w:val="32"/>
          <w:szCs w:val="32"/>
        </w:rPr>
        <w:t>余</w:t>
      </w:r>
      <w:proofErr w:type="gramEnd"/>
      <w:r w:rsidRPr="001B6E4D">
        <w:rPr>
          <w:rFonts w:ascii="標楷體" w:eastAsia="標楷體" w:hAnsi="標楷體" w:hint="eastAsia"/>
          <w:bCs/>
          <w:sz w:val="32"/>
          <w:szCs w:val="32"/>
        </w:rPr>
        <w:t>主任秘書麗貞</w:t>
      </w:r>
      <w:r w:rsidRPr="001B6E4D">
        <w:rPr>
          <w:rFonts w:ascii="標楷體" w:eastAsia="標楷體" w:hAnsi="標楷體" w:hint="eastAsia"/>
          <w:sz w:val="32"/>
          <w:szCs w:val="32"/>
        </w:rPr>
        <w:t>、鄭</w:t>
      </w:r>
      <w:r w:rsidRPr="001B6E4D">
        <w:rPr>
          <w:rFonts w:ascii="標楷體" w:eastAsia="標楷體" w:hAnsi="標楷體" w:hint="eastAsia"/>
          <w:bCs/>
          <w:sz w:val="32"/>
          <w:szCs w:val="32"/>
        </w:rPr>
        <w:t>專門委員</w:t>
      </w:r>
      <w:r w:rsidRPr="001B6E4D">
        <w:rPr>
          <w:rFonts w:ascii="標楷體" w:eastAsia="標楷體" w:hAnsi="標楷體" w:hint="eastAsia"/>
          <w:sz w:val="32"/>
          <w:szCs w:val="32"/>
        </w:rPr>
        <w:t>偉利、</w:t>
      </w:r>
      <w:r w:rsidRPr="001B6E4D">
        <w:rPr>
          <w:rFonts w:ascii="標楷體" w:eastAsia="標楷體" w:hAnsi="標楷體" w:hint="eastAsia"/>
          <w:bCs/>
          <w:sz w:val="32"/>
          <w:szCs w:val="32"/>
        </w:rPr>
        <w:t>楊科長芳</w:t>
      </w:r>
      <w:proofErr w:type="gramStart"/>
      <w:r w:rsidRPr="001B6E4D">
        <w:rPr>
          <w:rFonts w:ascii="標楷體" w:eastAsia="標楷體" w:hAnsi="標楷體" w:hint="eastAsia"/>
          <w:bCs/>
          <w:sz w:val="32"/>
          <w:szCs w:val="32"/>
        </w:rPr>
        <w:t>雯</w:t>
      </w:r>
      <w:proofErr w:type="gramEnd"/>
      <w:r w:rsidRPr="001B6E4D">
        <w:rPr>
          <w:rFonts w:ascii="標楷體" w:eastAsia="標楷體" w:hAnsi="標楷體" w:hint="eastAsia"/>
          <w:sz w:val="32"/>
          <w:szCs w:val="32"/>
        </w:rPr>
        <w:t>、調部辦事吳調查</w:t>
      </w:r>
      <w:proofErr w:type="gramStart"/>
      <w:r w:rsidRPr="001B6E4D">
        <w:rPr>
          <w:rFonts w:ascii="標楷體" w:eastAsia="標楷體" w:hAnsi="標楷體" w:hint="eastAsia"/>
          <w:sz w:val="32"/>
          <w:szCs w:val="32"/>
        </w:rPr>
        <w:t>專員承錦</w:t>
      </w:r>
      <w:proofErr w:type="gramEnd"/>
      <w:r w:rsidRPr="001B6E4D">
        <w:rPr>
          <w:rFonts w:ascii="標楷體" w:eastAsia="標楷體" w:hAnsi="標楷體" w:hint="eastAsia"/>
          <w:sz w:val="32"/>
          <w:szCs w:val="32"/>
        </w:rPr>
        <w:t>、張科員宜</w:t>
      </w:r>
      <w:proofErr w:type="gramStart"/>
      <w:r w:rsidRPr="001B6E4D">
        <w:rPr>
          <w:rFonts w:ascii="標楷體" w:eastAsia="標楷體" w:hAnsi="標楷體" w:hint="eastAsia"/>
          <w:sz w:val="32"/>
          <w:szCs w:val="32"/>
        </w:rPr>
        <w:t>瑄</w:t>
      </w:r>
      <w:proofErr w:type="gramEnd"/>
      <w:r w:rsidRPr="001B6E4D">
        <w:rPr>
          <w:rFonts w:ascii="標楷體" w:eastAsia="標楷體" w:hAnsi="標楷體" w:hint="eastAsia"/>
          <w:sz w:val="32"/>
          <w:szCs w:val="32"/>
        </w:rPr>
        <w:t>。</w:t>
      </w:r>
    </w:p>
    <w:p w14:paraId="36C58393" w14:textId="77777777" w:rsidR="00B921E8" w:rsidRPr="001B6E4D" w:rsidRDefault="00B921E8" w:rsidP="003D1018">
      <w:pPr>
        <w:widowControl w:val="0"/>
        <w:numPr>
          <w:ilvl w:val="0"/>
          <w:numId w:val="16"/>
        </w:numPr>
        <w:tabs>
          <w:tab w:val="left" w:pos="4680"/>
        </w:tabs>
        <w:overflowPunct w:val="0"/>
        <w:snapToGrid w:val="0"/>
        <w:spacing w:line="480" w:lineRule="exact"/>
        <w:rPr>
          <w:rFonts w:ascii="標楷體" w:eastAsia="標楷體" w:hAnsi="標楷體"/>
          <w:sz w:val="32"/>
          <w:szCs w:val="32"/>
        </w:rPr>
      </w:pPr>
      <w:r w:rsidRPr="001B6E4D">
        <w:rPr>
          <w:rFonts w:ascii="標楷體" w:eastAsia="標楷體" w:hAnsi="標楷體" w:hint="eastAsia"/>
          <w:sz w:val="32"/>
          <w:szCs w:val="32"/>
        </w:rPr>
        <w:t>法務部調查局：</w:t>
      </w:r>
    </w:p>
    <w:p w14:paraId="525572C5" w14:textId="77777777" w:rsidR="00B921E8" w:rsidRPr="001B6E4D" w:rsidRDefault="00B921E8" w:rsidP="003D1018">
      <w:pPr>
        <w:widowControl w:val="0"/>
        <w:tabs>
          <w:tab w:val="left" w:pos="4680"/>
        </w:tabs>
        <w:overflowPunct w:val="0"/>
        <w:snapToGrid w:val="0"/>
        <w:spacing w:line="480" w:lineRule="exact"/>
        <w:ind w:leftChars="300" w:left="720"/>
        <w:jc w:val="both"/>
        <w:rPr>
          <w:rFonts w:ascii="標楷體" w:eastAsia="標楷體" w:hAnsi="標楷體"/>
          <w:sz w:val="32"/>
          <w:szCs w:val="32"/>
        </w:rPr>
      </w:pPr>
      <w:proofErr w:type="gramStart"/>
      <w:r w:rsidRPr="001B6E4D">
        <w:rPr>
          <w:rFonts w:ascii="標楷體" w:eastAsia="標楷體" w:hAnsi="標楷體" w:hint="eastAsia"/>
          <w:sz w:val="32"/>
          <w:szCs w:val="32"/>
        </w:rPr>
        <w:t>陳局長白立</w:t>
      </w:r>
      <w:proofErr w:type="gramEnd"/>
      <w:r w:rsidRPr="001B6E4D">
        <w:rPr>
          <w:rFonts w:ascii="標楷體" w:eastAsia="標楷體" w:hAnsi="標楷體" w:hint="eastAsia"/>
          <w:sz w:val="32"/>
          <w:szCs w:val="32"/>
        </w:rPr>
        <w:t>、</w:t>
      </w:r>
      <w:r w:rsidRPr="001B6E4D">
        <w:rPr>
          <w:rFonts w:ascii="標楷體" w:eastAsia="標楷體" w:hAnsi="標楷體" w:hint="eastAsia"/>
          <w:bCs/>
          <w:sz w:val="32"/>
          <w:szCs w:val="32"/>
        </w:rPr>
        <w:t>顏</w:t>
      </w:r>
      <w:r w:rsidRPr="001B6E4D">
        <w:rPr>
          <w:rFonts w:ascii="標楷體" w:eastAsia="標楷體" w:hAnsi="標楷體" w:hint="eastAsia"/>
          <w:sz w:val="32"/>
          <w:szCs w:val="32"/>
        </w:rPr>
        <w:t>副局長</w:t>
      </w:r>
      <w:r w:rsidRPr="001B6E4D">
        <w:rPr>
          <w:rFonts w:ascii="標楷體" w:eastAsia="標楷體" w:hAnsi="標楷體" w:hint="eastAsia"/>
          <w:bCs/>
          <w:sz w:val="32"/>
          <w:szCs w:val="32"/>
        </w:rPr>
        <w:t>成安</w:t>
      </w:r>
      <w:r w:rsidRPr="001B6E4D">
        <w:rPr>
          <w:rFonts w:ascii="標楷體" w:eastAsia="標楷體" w:hAnsi="標楷體" w:hint="eastAsia"/>
          <w:sz w:val="32"/>
          <w:szCs w:val="32"/>
        </w:rPr>
        <w:t>、</w:t>
      </w:r>
      <w:r w:rsidRPr="001B6E4D">
        <w:rPr>
          <w:rFonts w:ascii="標楷體" w:eastAsia="標楷體" w:hAnsi="標楷體" w:hint="eastAsia"/>
          <w:bCs/>
          <w:sz w:val="32"/>
          <w:szCs w:val="32"/>
        </w:rPr>
        <w:t>張</w:t>
      </w:r>
      <w:r w:rsidRPr="001B6E4D">
        <w:rPr>
          <w:rFonts w:ascii="標楷體" w:eastAsia="標楷體" w:hAnsi="標楷體" w:hint="eastAsia"/>
          <w:sz w:val="32"/>
          <w:szCs w:val="32"/>
        </w:rPr>
        <w:t>主任秘書</w:t>
      </w:r>
      <w:r w:rsidRPr="001B6E4D">
        <w:rPr>
          <w:rFonts w:ascii="標楷體" w:eastAsia="標楷體" w:hAnsi="標楷體" w:hint="eastAsia"/>
          <w:bCs/>
          <w:sz w:val="32"/>
          <w:szCs w:val="32"/>
        </w:rPr>
        <w:t>尤仁</w:t>
      </w:r>
      <w:r w:rsidRPr="001B6E4D">
        <w:rPr>
          <w:rFonts w:ascii="標楷體" w:eastAsia="標楷體" w:hAnsi="標楷體" w:hint="eastAsia"/>
          <w:sz w:val="32"/>
          <w:szCs w:val="32"/>
        </w:rPr>
        <w:t>、通訊監察處</w:t>
      </w:r>
      <w:proofErr w:type="gramStart"/>
      <w:r w:rsidRPr="001B6E4D">
        <w:rPr>
          <w:rFonts w:ascii="標楷體" w:eastAsia="標楷體" w:hAnsi="標楷體" w:hint="eastAsia"/>
          <w:sz w:val="32"/>
          <w:szCs w:val="32"/>
        </w:rPr>
        <w:t>廖處長崇賢</w:t>
      </w:r>
      <w:proofErr w:type="gramEnd"/>
      <w:r w:rsidRPr="001B6E4D">
        <w:rPr>
          <w:rFonts w:ascii="標楷體" w:eastAsia="標楷體" w:hAnsi="標楷體" w:hint="eastAsia"/>
          <w:sz w:val="32"/>
          <w:szCs w:val="32"/>
        </w:rPr>
        <w:t>、</w:t>
      </w:r>
      <w:r w:rsidRPr="001B6E4D">
        <w:rPr>
          <w:rFonts w:ascii="標楷體" w:eastAsia="標楷體" w:hAnsi="標楷體" w:hint="eastAsia"/>
          <w:bCs/>
          <w:sz w:val="32"/>
          <w:szCs w:val="32"/>
        </w:rPr>
        <w:t>資通安全處鄭處長健行、</w:t>
      </w:r>
      <w:proofErr w:type="gramStart"/>
      <w:r w:rsidRPr="001B6E4D">
        <w:rPr>
          <w:rFonts w:ascii="標楷體" w:eastAsia="標楷體" w:hAnsi="標楷體" w:hint="eastAsia"/>
          <w:sz w:val="32"/>
          <w:szCs w:val="32"/>
        </w:rPr>
        <w:t>鑑</w:t>
      </w:r>
      <w:proofErr w:type="gramEnd"/>
      <w:r w:rsidRPr="001B6E4D">
        <w:rPr>
          <w:rFonts w:ascii="標楷體" w:eastAsia="標楷體" w:hAnsi="標楷體" w:hint="eastAsia"/>
          <w:sz w:val="32"/>
          <w:szCs w:val="32"/>
        </w:rPr>
        <w:t>識科學處</w:t>
      </w:r>
      <w:proofErr w:type="gramStart"/>
      <w:r w:rsidRPr="001B6E4D">
        <w:rPr>
          <w:rFonts w:ascii="標楷體" w:eastAsia="標楷體" w:hAnsi="標楷體" w:hint="eastAsia"/>
          <w:bCs/>
          <w:sz w:val="32"/>
          <w:szCs w:val="32"/>
        </w:rPr>
        <w:t>張</w:t>
      </w:r>
      <w:r w:rsidRPr="001B6E4D">
        <w:rPr>
          <w:rFonts w:ascii="標楷體" w:eastAsia="標楷體" w:hAnsi="標楷體" w:hint="eastAsia"/>
          <w:sz w:val="32"/>
          <w:szCs w:val="32"/>
        </w:rPr>
        <w:t>處長</w:t>
      </w:r>
      <w:r w:rsidRPr="001B6E4D">
        <w:rPr>
          <w:rFonts w:ascii="標楷體" w:eastAsia="標楷體" w:hAnsi="標楷體" w:hint="eastAsia"/>
          <w:bCs/>
          <w:sz w:val="32"/>
          <w:szCs w:val="32"/>
        </w:rPr>
        <w:t>絹慧</w:t>
      </w:r>
      <w:proofErr w:type="gramEnd"/>
      <w:r w:rsidRPr="001B6E4D">
        <w:rPr>
          <w:rFonts w:ascii="標楷體" w:eastAsia="標楷體" w:hAnsi="標楷體" w:hint="eastAsia"/>
          <w:sz w:val="32"/>
          <w:szCs w:val="32"/>
        </w:rPr>
        <w:t>、秘書室</w:t>
      </w:r>
      <w:proofErr w:type="gramStart"/>
      <w:r w:rsidRPr="001B6E4D">
        <w:rPr>
          <w:rFonts w:ascii="標楷體" w:eastAsia="標楷體" w:hAnsi="標楷體" w:hint="eastAsia"/>
          <w:sz w:val="32"/>
          <w:szCs w:val="32"/>
        </w:rPr>
        <w:t>邱</w:t>
      </w:r>
      <w:proofErr w:type="gramEnd"/>
      <w:r w:rsidRPr="001B6E4D">
        <w:rPr>
          <w:rFonts w:ascii="標楷體" w:eastAsia="標楷體" w:hAnsi="標楷體" w:hint="eastAsia"/>
          <w:sz w:val="32"/>
          <w:szCs w:val="32"/>
        </w:rPr>
        <w:t>主任政達、</w:t>
      </w:r>
      <w:proofErr w:type="gramStart"/>
      <w:r w:rsidRPr="001B6E4D">
        <w:rPr>
          <w:rFonts w:ascii="標楷體" w:eastAsia="標楷體" w:hAnsi="標楷體" w:hint="eastAsia"/>
          <w:sz w:val="32"/>
          <w:szCs w:val="32"/>
        </w:rPr>
        <w:t>主計室謝主任幸宜</w:t>
      </w:r>
      <w:proofErr w:type="gramEnd"/>
      <w:r w:rsidRPr="001B6E4D">
        <w:rPr>
          <w:rFonts w:ascii="標楷體" w:eastAsia="標楷體" w:hAnsi="標楷體" w:hint="eastAsia"/>
          <w:sz w:val="32"/>
          <w:szCs w:val="32"/>
        </w:rPr>
        <w:t>、</w:t>
      </w:r>
      <w:r w:rsidRPr="001B6E4D">
        <w:rPr>
          <w:rFonts w:ascii="標楷體" w:eastAsia="標楷體" w:hAnsi="標楷體" w:hint="eastAsia"/>
          <w:bCs/>
          <w:sz w:val="32"/>
          <w:szCs w:val="32"/>
        </w:rPr>
        <w:t>資通安全處李副處長青峯、</w:t>
      </w:r>
      <w:r w:rsidRPr="001B6E4D">
        <w:rPr>
          <w:rFonts w:ascii="標楷體" w:eastAsia="標楷體" w:hAnsi="標楷體" w:hint="eastAsia"/>
          <w:sz w:val="32"/>
          <w:szCs w:val="32"/>
        </w:rPr>
        <w:t>國會聯絡組何主任義興、</w:t>
      </w:r>
      <w:r w:rsidRPr="001B6E4D">
        <w:rPr>
          <w:rFonts w:ascii="標楷體" w:eastAsia="標楷體" w:hAnsi="標楷體" w:hint="eastAsia"/>
          <w:bCs/>
          <w:sz w:val="32"/>
          <w:szCs w:val="32"/>
        </w:rPr>
        <w:t>資通安全處顏專門委員志娟、資通安全處鄧科長思源、資通安全處張科長家銘、資通安全處陳科長德鴻、資通安全處蔡科長詩彥、資通安全處魯科長志遠、</w:t>
      </w:r>
      <w:r w:rsidRPr="001B6E4D">
        <w:rPr>
          <w:rFonts w:ascii="標楷體" w:eastAsia="標楷體" w:hAnsi="標楷體" w:hint="eastAsia"/>
          <w:sz w:val="32"/>
          <w:szCs w:val="32"/>
        </w:rPr>
        <w:t>國會聯絡組</w:t>
      </w:r>
      <w:r w:rsidRPr="001B6E4D">
        <w:rPr>
          <w:rFonts w:ascii="標楷體" w:eastAsia="標楷體" w:hAnsi="標楷體" w:hint="eastAsia"/>
          <w:bCs/>
          <w:sz w:val="32"/>
          <w:szCs w:val="32"/>
        </w:rPr>
        <w:t>曾</w:t>
      </w:r>
      <w:r w:rsidRPr="001B6E4D">
        <w:rPr>
          <w:rFonts w:ascii="標楷體" w:eastAsia="標楷體" w:hAnsi="標楷體" w:hint="eastAsia"/>
          <w:sz w:val="32"/>
          <w:szCs w:val="32"/>
        </w:rPr>
        <w:t>組長</w:t>
      </w:r>
      <w:r w:rsidRPr="001B6E4D">
        <w:rPr>
          <w:rFonts w:ascii="標楷體" w:eastAsia="標楷體" w:hAnsi="標楷體" w:hint="eastAsia"/>
          <w:bCs/>
          <w:sz w:val="32"/>
          <w:szCs w:val="32"/>
        </w:rPr>
        <w:t>彥超</w:t>
      </w:r>
      <w:r w:rsidRPr="001B6E4D">
        <w:rPr>
          <w:rFonts w:ascii="標楷體" w:eastAsia="標楷體" w:hAnsi="標楷體" w:hint="eastAsia"/>
          <w:sz w:val="32"/>
          <w:szCs w:val="32"/>
        </w:rPr>
        <w:t>、鄭調查官仰、</w:t>
      </w:r>
      <w:r w:rsidRPr="001B6E4D">
        <w:rPr>
          <w:rFonts w:ascii="標楷體" w:eastAsia="標楷體" w:hAnsi="標楷體" w:hint="eastAsia"/>
          <w:bCs/>
          <w:sz w:val="32"/>
          <w:szCs w:val="32"/>
        </w:rPr>
        <w:t>陳</w:t>
      </w:r>
      <w:r w:rsidRPr="001B6E4D">
        <w:rPr>
          <w:rFonts w:ascii="標楷體" w:eastAsia="標楷體" w:hAnsi="標楷體" w:hint="eastAsia"/>
          <w:sz w:val="32"/>
          <w:szCs w:val="32"/>
        </w:rPr>
        <w:t>調查官</w:t>
      </w:r>
      <w:r w:rsidRPr="001B6E4D">
        <w:rPr>
          <w:rFonts w:ascii="標楷體" w:eastAsia="標楷體" w:hAnsi="標楷體" w:hint="eastAsia"/>
          <w:bCs/>
          <w:sz w:val="32"/>
          <w:szCs w:val="32"/>
        </w:rPr>
        <w:t>孟馨。</w:t>
      </w:r>
    </w:p>
    <w:bookmarkEnd w:id="587"/>
    <w:p w14:paraId="3320DDA3" w14:textId="77777777" w:rsidR="00B921E8" w:rsidRPr="001B6E4D" w:rsidRDefault="00B921E8" w:rsidP="003D1018">
      <w:pPr>
        <w:widowControl w:val="0"/>
        <w:overflowPunct w:val="0"/>
        <w:snapToGrid w:val="0"/>
        <w:spacing w:afterLines="50" w:after="180" w:line="480" w:lineRule="exact"/>
        <w:ind w:firstLineChars="100" w:firstLine="320"/>
        <w:jc w:val="right"/>
        <w:rPr>
          <w:rFonts w:ascii="標楷體" w:eastAsia="標楷體" w:hAnsi="標楷體"/>
          <w:sz w:val="32"/>
          <w:szCs w:val="32"/>
        </w:rPr>
      </w:pPr>
      <w:r w:rsidRPr="001B6E4D">
        <w:rPr>
          <w:rFonts w:ascii="標楷體" w:eastAsia="標楷體" w:hAnsi="標楷體" w:hint="eastAsia"/>
          <w:sz w:val="32"/>
          <w:szCs w:val="32"/>
        </w:rPr>
        <w:t xml:space="preserve">                                      </w:t>
      </w:r>
    </w:p>
    <w:p w14:paraId="0EE3898A" w14:textId="77777777" w:rsidR="00B921E8" w:rsidRPr="001B6E4D" w:rsidRDefault="00B921E8" w:rsidP="003D1018">
      <w:pPr>
        <w:widowControl w:val="0"/>
        <w:overflowPunct w:val="0"/>
        <w:snapToGrid w:val="0"/>
        <w:spacing w:afterLines="50" w:after="180" w:line="480" w:lineRule="exact"/>
        <w:ind w:firstLineChars="100" w:firstLine="320"/>
        <w:jc w:val="right"/>
        <w:rPr>
          <w:rFonts w:ascii="標楷體" w:eastAsia="標楷體" w:hAnsi="標楷體"/>
          <w:sz w:val="32"/>
          <w:szCs w:val="32"/>
        </w:rPr>
      </w:pPr>
      <w:r w:rsidRPr="001B6E4D">
        <w:rPr>
          <w:rFonts w:ascii="標楷體" w:eastAsia="標楷體" w:hAnsi="標楷體" w:hint="eastAsia"/>
          <w:sz w:val="32"/>
          <w:szCs w:val="32"/>
        </w:rPr>
        <w:t xml:space="preserve"> 紀錄：駱慧敏</w:t>
      </w:r>
    </w:p>
    <w:p w14:paraId="4A202602" w14:textId="77777777" w:rsidR="00B921E8" w:rsidRPr="001B6E4D" w:rsidRDefault="00B921E8" w:rsidP="003D1018">
      <w:pPr>
        <w:widowControl w:val="0"/>
        <w:overflowPunct w:val="0"/>
        <w:snapToGrid w:val="0"/>
        <w:spacing w:afterLines="50" w:after="180" w:line="480" w:lineRule="exact"/>
        <w:ind w:firstLineChars="100" w:firstLine="320"/>
        <w:jc w:val="right"/>
        <w:rPr>
          <w:rFonts w:ascii="標楷體" w:eastAsia="標楷體" w:hAnsi="標楷體"/>
          <w:bCs/>
          <w:sz w:val="32"/>
          <w:szCs w:val="32"/>
        </w:rPr>
      </w:pPr>
    </w:p>
    <w:p w14:paraId="4E5F0161" w14:textId="77777777" w:rsidR="00B921E8" w:rsidRPr="001B6E4D" w:rsidRDefault="00B921E8" w:rsidP="003D1018">
      <w:pPr>
        <w:widowControl w:val="0"/>
        <w:numPr>
          <w:ilvl w:val="0"/>
          <w:numId w:val="95"/>
        </w:numPr>
        <w:tabs>
          <w:tab w:val="left" w:pos="4680"/>
        </w:tabs>
        <w:overflowPunct w:val="0"/>
        <w:snapToGrid w:val="0"/>
        <w:spacing w:afterLines="50" w:after="180" w:line="480" w:lineRule="exact"/>
        <w:jc w:val="both"/>
        <w:rPr>
          <w:rFonts w:ascii="標楷體" w:eastAsia="標楷體" w:hAnsi="標楷體"/>
          <w:b/>
          <w:bCs/>
          <w:sz w:val="32"/>
          <w:szCs w:val="32"/>
        </w:rPr>
      </w:pPr>
      <w:r w:rsidRPr="001B6E4D">
        <w:rPr>
          <w:rFonts w:ascii="標楷體" w:eastAsia="標楷體" w:hAnsi="標楷體" w:hint="eastAsia"/>
          <w:b/>
          <w:bCs/>
          <w:sz w:val="32"/>
          <w:szCs w:val="32"/>
        </w:rPr>
        <w:lastRenderedPageBreak/>
        <w:t>法務部</w:t>
      </w:r>
      <w:proofErr w:type="gramStart"/>
      <w:r w:rsidRPr="001B6E4D">
        <w:rPr>
          <w:rFonts w:ascii="標楷體" w:eastAsia="標楷體" w:hAnsi="標楷體" w:hint="eastAsia"/>
          <w:b/>
          <w:bCs/>
          <w:sz w:val="32"/>
          <w:szCs w:val="32"/>
        </w:rPr>
        <w:t>余</w:t>
      </w:r>
      <w:proofErr w:type="gramEnd"/>
      <w:r w:rsidRPr="001B6E4D">
        <w:rPr>
          <w:rFonts w:ascii="標楷體" w:eastAsia="標楷體" w:hAnsi="標楷體" w:hint="eastAsia"/>
          <w:b/>
          <w:bCs/>
          <w:sz w:val="32"/>
          <w:szCs w:val="32"/>
        </w:rPr>
        <w:t>主任秘書</w:t>
      </w:r>
      <w:proofErr w:type="gramStart"/>
      <w:r w:rsidRPr="001B6E4D">
        <w:rPr>
          <w:rFonts w:ascii="標楷體" w:eastAsia="標楷體" w:hAnsi="標楷體" w:hint="eastAsia"/>
          <w:b/>
          <w:bCs/>
          <w:sz w:val="32"/>
          <w:szCs w:val="32"/>
        </w:rPr>
        <w:t>麗貞致歡迎詞</w:t>
      </w:r>
      <w:proofErr w:type="gramEnd"/>
      <w:r w:rsidRPr="001B6E4D">
        <w:rPr>
          <w:rFonts w:ascii="標楷體" w:eastAsia="標楷體" w:hAnsi="標楷體" w:hint="eastAsia"/>
          <w:b/>
          <w:bCs/>
          <w:sz w:val="32"/>
          <w:szCs w:val="32"/>
        </w:rPr>
        <w:t>：</w:t>
      </w:r>
    </w:p>
    <w:p w14:paraId="2DC4BA3C"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bookmarkStart w:id="588" w:name="_Hlk236061027"/>
      <w:r w:rsidRPr="001B6E4D">
        <w:rPr>
          <w:rFonts w:ascii="標楷體" w:eastAsia="標楷體" w:hAnsi="標楷體" w:hint="eastAsia"/>
          <w:bCs/>
          <w:sz w:val="32"/>
          <w:szCs w:val="32"/>
        </w:rPr>
        <w:t>沈委員、立法院司法及法制委員會張主任秘書、</w:t>
      </w:r>
      <w:proofErr w:type="gramStart"/>
      <w:r w:rsidRPr="001B6E4D">
        <w:rPr>
          <w:rFonts w:ascii="標楷體" w:eastAsia="標楷體" w:hAnsi="標楷體" w:hint="eastAsia"/>
          <w:bCs/>
          <w:sz w:val="32"/>
          <w:szCs w:val="32"/>
        </w:rPr>
        <w:t>余</w:t>
      </w:r>
      <w:proofErr w:type="gramEnd"/>
      <w:r w:rsidRPr="001B6E4D">
        <w:rPr>
          <w:rFonts w:ascii="標楷體" w:eastAsia="標楷體" w:hAnsi="標楷體" w:hint="eastAsia"/>
          <w:bCs/>
          <w:sz w:val="32"/>
          <w:szCs w:val="32"/>
        </w:rPr>
        <w:t>科長、各位立委辦公室代表，以及本部調查局（下稱調查局）陳局長、顏副局長與各位同仁，大家早安，大家好。</w:t>
      </w:r>
    </w:p>
    <w:p w14:paraId="6F295B06"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今天非常榮幸能有這個機會與各位交流。調查局的業務極為關鍵，不僅涵蓋犯罪偵查與國家安全，更是國家整體建設的重要基石，無論是在毒品防制或科技</w:t>
      </w:r>
      <w:proofErr w:type="gramStart"/>
      <w:r w:rsidRPr="001B6E4D">
        <w:rPr>
          <w:rFonts w:ascii="標楷體" w:eastAsia="標楷體" w:hAnsi="標楷體" w:hint="eastAsia"/>
          <w:bCs/>
          <w:sz w:val="32"/>
          <w:szCs w:val="32"/>
        </w:rPr>
        <w:t>鑑識等</w:t>
      </w:r>
      <w:proofErr w:type="gramEnd"/>
      <w:r w:rsidRPr="001B6E4D">
        <w:rPr>
          <w:rFonts w:ascii="標楷體" w:eastAsia="標楷體" w:hAnsi="標楷體" w:hint="eastAsia"/>
          <w:bCs/>
          <w:sz w:val="32"/>
          <w:szCs w:val="32"/>
        </w:rPr>
        <w:t>領域，調查局都肩負重任。</w:t>
      </w:r>
    </w:p>
    <w:p w14:paraId="2095DD1C"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今日核心主題為「</w:t>
      </w:r>
      <w:proofErr w:type="gramStart"/>
      <w:r w:rsidRPr="001B6E4D">
        <w:rPr>
          <w:rFonts w:ascii="標楷體" w:eastAsia="標楷體" w:hAnsi="標楷體" w:hint="eastAsia"/>
          <w:bCs/>
          <w:sz w:val="32"/>
          <w:szCs w:val="32"/>
        </w:rPr>
        <w:t>資安犯罪</w:t>
      </w:r>
      <w:proofErr w:type="gramEnd"/>
      <w:r w:rsidRPr="001B6E4D">
        <w:rPr>
          <w:rFonts w:ascii="標楷體" w:eastAsia="標楷體" w:hAnsi="標楷體" w:hint="eastAsia"/>
          <w:bCs/>
          <w:sz w:val="32"/>
          <w:szCs w:val="32"/>
        </w:rPr>
        <w:t>偵查及司法聯盟鏈運作情形」。在科技快速演進的浪潮下，數位證據的保全與程序正當性，已成為法庭上辯護雙方攻防的關鍵。所幸在司法院、臺灣高等檢察署（下稱</w:t>
      </w:r>
      <w:proofErr w:type="gramStart"/>
      <w:r w:rsidRPr="001B6E4D">
        <w:rPr>
          <w:rFonts w:ascii="標楷體" w:eastAsia="標楷體" w:hAnsi="標楷體" w:hint="eastAsia"/>
          <w:bCs/>
          <w:sz w:val="32"/>
          <w:szCs w:val="32"/>
        </w:rPr>
        <w:t>臺</w:t>
      </w:r>
      <w:proofErr w:type="gramEnd"/>
      <w:r w:rsidRPr="001B6E4D">
        <w:rPr>
          <w:rFonts w:ascii="標楷體" w:eastAsia="標楷體" w:hAnsi="標楷體" w:hint="eastAsia"/>
          <w:bCs/>
          <w:sz w:val="32"/>
          <w:szCs w:val="32"/>
        </w:rPr>
        <w:t>高檢署）、內政部警政署與調查局的共同努力下，目前已為數位證據的推廣、保全及驗證機制奠定了堅實基礎，並展現卓著效益。</w:t>
      </w:r>
    </w:p>
    <w:p w14:paraId="30502C40"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本次考察特別安排資通安全處進行業務簡報，並帶領各位實地導</w:t>
      </w:r>
      <w:proofErr w:type="gramStart"/>
      <w:r w:rsidRPr="001B6E4D">
        <w:rPr>
          <w:rFonts w:ascii="標楷體" w:eastAsia="標楷體" w:hAnsi="標楷體" w:hint="eastAsia"/>
          <w:bCs/>
          <w:sz w:val="32"/>
          <w:szCs w:val="32"/>
        </w:rPr>
        <w:t>覽</w:t>
      </w:r>
      <w:proofErr w:type="gramEnd"/>
      <w:r w:rsidRPr="001B6E4D">
        <w:rPr>
          <w:rFonts w:ascii="標楷體" w:eastAsia="標楷體" w:hAnsi="標楷體" w:hint="eastAsia"/>
          <w:bCs/>
          <w:sz w:val="32"/>
          <w:szCs w:val="32"/>
        </w:rPr>
        <w:t>資安</w:t>
      </w:r>
      <w:proofErr w:type="gramStart"/>
      <w:r w:rsidRPr="001B6E4D">
        <w:rPr>
          <w:rFonts w:ascii="標楷體" w:eastAsia="標楷體" w:hAnsi="標楷體" w:hint="eastAsia"/>
          <w:bCs/>
          <w:sz w:val="32"/>
          <w:szCs w:val="32"/>
        </w:rPr>
        <w:t>鑑</w:t>
      </w:r>
      <w:proofErr w:type="gramEnd"/>
      <w:r w:rsidRPr="001B6E4D">
        <w:rPr>
          <w:rFonts w:ascii="標楷體" w:eastAsia="標楷體" w:hAnsi="標楷體" w:hint="eastAsia"/>
          <w:bCs/>
          <w:sz w:val="32"/>
          <w:szCs w:val="32"/>
        </w:rPr>
        <w:t>識實驗室，最後進行座談交流。誠摯期盼各位委員與先進不吝賜教，並持續給予調查局各項工作與預算最大的支持，謝謝大家。</w:t>
      </w:r>
      <w:bookmarkEnd w:id="588"/>
    </w:p>
    <w:p w14:paraId="0EBE6C1E" w14:textId="77777777" w:rsidR="00B921E8" w:rsidRPr="001B6E4D" w:rsidRDefault="00B921E8" w:rsidP="003D1018">
      <w:pPr>
        <w:widowControl w:val="0"/>
        <w:numPr>
          <w:ilvl w:val="0"/>
          <w:numId w:val="95"/>
        </w:numPr>
        <w:tabs>
          <w:tab w:val="left" w:pos="4680"/>
        </w:tabs>
        <w:overflowPunct w:val="0"/>
        <w:snapToGrid w:val="0"/>
        <w:spacing w:afterLines="50" w:after="180" w:line="480" w:lineRule="exact"/>
        <w:jc w:val="both"/>
        <w:rPr>
          <w:rFonts w:ascii="標楷體" w:eastAsia="標楷體" w:hAnsi="標楷體"/>
          <w:b/>
          <w:bCs/>
          <w:sz w:val="32"/>
          <w:szCs w:val="32"/>
        </w:rPr>
      </w:pPr>
      <w:r w:rsidRPr="001B6E4D">
        <w:rPr>
          <w:rFonts w:ascii="標楷體" w:eastAsia="標楷體" w:hAnsi="標楷體" w:hint="eastAsia"/>
          <w:b/>
          <w:bCs/>
          <w:sz w:val="32"/>
        </w:rPr>
        <w:t>沈立法委員發惠致詞：</w:t>
      </w:r>
    </w:p>
    <w:p w14:paraId="3A467EB6"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proofErr w:type="gramStart"/>
      <w:r w:rsidRPr="001B6E4D">
        <w:rPr>
          <w:rFonts w:ascii="標楷體" w:eastAsia="標楷體" w:hAnsi="標楷體" w:hint="eastAsia"/>
          <w:bCs/>
          <w:sz w:val="32"/>
          <w:szCs w:val="32"/>
        </w:rPr>
        <w:t>余</w:t>
      </w:r>
      <w:proofErr w:type="gramEnd"/>
      <w:r w:rsidRPr="001B6E4D">
        <w:rPr>
          <w:rFonts w:ascii="標楷體" w:eastAsia="標楷體" w:hAnsi="標楷體" w:hint="eastAsia"/>
          <w:bCs/>
          <w:sz w:val="32"/>
          <w:szCs w:val="32"/>
        </w:rPr>
        <w:t>主秘、陳局長，以及調查局的各位同仁、司法及法制委員會的工作夥伴，大家早安。</w:t>
      </w:r>
    </w:p>
    <w:p w14:paraId="3D77CE5B"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首先，特別感謝法務部與調查局的細心安排。我們本次安排考察行程，主要是想感謝大家長期以來在打擊各類新型犯罪與調查工作上的辛勞與貢獻。當前各種重大案件，包括詐欺、洗錢等，</w:t>
      </w:r>
      <w:proofErr w:type="gramStart"/>
      <w:r w:rsidRPr="001B6E4D">
        <w:rPr>
          <w:rFonts w:ascii="標楷體" w:eastAsia="標楷體" w:hAnsi="標楷體" w:hint="eastAsia"/>
          <w:bCs/>
          <w:sz w:val="32"/>
          <w:szCs w:val="32"/>
        </w:rPr>
        <w:t>最</w:t>
      </w:r>
      <w:proofErr w:type="gramEnd"/>
      <w:r w:rsidRPr="001B6E4D">
        <w:rPr>
          <w:rFonts w:ascii="標楷體" w:eastAsia="標楷體" w:hAnsi="標楷體" w:hint="eastAsia"/>
          <w:bCs/>
          <w:sz w:val="32"/>
          <w:szCs w:val="32"/>
        </w:rPr>
        <w:t>核心的攻防關鍵往往已非傳統的實體或紙本證據，而是眾多的「數位證據」。</w:t>
      </w:r>
    </w:p>
    <w:p w14:paraId="3834426A"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數位證據取得固然重要，但更關鍵是「取得之後」，</w:t>
      </w:r>
      <w:r w:rsidRPr="001B6E4D">
        <w:rPr>
          <w:rFonts w:ascii="標楷體" w:eastAsia="標楷體" w:hAnsi="標楷體" w:hint="eastAsia"/>
          <w:bCs/>
          <w:sz w:val="32"/>
          <w:szCs w:val="32"/>
        </w:rPr>
        <w:lastRenderedPageBreak/>
        <w:t>從蒐集、儲存、移轉到法庭的整個「數位證據保管鏈」。我們該如何確保證據在過程不被污染？一旦遭受污染，其「證據能力」與「證明力」將對人民權益及司法偵查產生巨大的影響。因此，如何確保整個流程不遭變造、不遭污染，正是</w:t>
      </w:r>
      <w:proofErr w:type="gramStart"/>
      <w:r w:rsidRPr="001B6E4D">
        <w:rPr>
          <w:rFonts w:ascii="標楷體" w:eastAsia="標楷體" w:hAnsi="標楷體" w:hint="eastAsia"/>
          <w:bCs/>
          <w:sz w:val="32"/>
          <w:szCs w:val="32"/>
        </w:rPr>
        <w:t>最</w:t>
      </w:r>
      <w:proofErr w:type="gramEnd"/>
      <w:r w:rsidRPr="001B6E4D">
        <w:rPr>
          <w:rFonts w:ascii="標楷體" w:eastAsia="標楷體" w:hAnsi="標楷體" w:hint="eastAsia"/>
          <w:bCs/>
          <w:sz w:val="32"/>
          <w:szCs w:val="32"/>
        </w:rPr>
        <w:t>核心的課題。</w:t>
      </w:r>
    </w:p>
    <w:p w14:paraId="47E4AFAE"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從搜索、扣押、封存、複製，到後續的</w:t>
      </w:r>
      <w:proofErr w:type="gramStart"/>
      <w:r w:rsidRPr="001B6E4D">
        <w:rPr>
          <w:rFonts w:ascii="標楷體" w:eastAsia="標楷體" w:hAnsi="標楷體" w:hint="eastAsia"/>
          <w:bCs/>
          <w:sz w:val="32"/>
          <w:szCs w:val="32"/>
        </w:rPr>
        <w:t>鑑</w:t>
      </w:r>
      <w:proofErr w:type="gramEnd"/>
      <w:r w:rsidRPr="001B6E4D">
        <w:rPr>
          <w:rFonts w:ascii="標楷體" w:eastAsia="標楷體" w:hAnsi="標楷體" w:hint="eastAsia"/>
          <w:bCs/>
          <w:sz w:val="32"/>
          <w:szCs w:val="32"/>
        </w:rPr>
        <w:t>識與分析，每一個步驟與環節都必須建立清晰可追溯的軌跡，這涵蓋操作人員、設備及軟體的可信度與可靠性。這些要素將直接決定司法審判結果，並影響人民權益，這也是我們安排本次考察的核心目的。</w:t>
      </w:r>
    </w:p>
    <w:p w14:paraId="2B347184"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根據相關資料，截至上個月（1</w:t>
      </w:r>
      <w:r w:rsidRPr="001B6E4D">
        <w:rPr>
          <w:rFonts w:ascii="標楷體" w:eastAsia="標楷體" w:hAnsi="標楷體"/>
          <w:bCs/>
          <w:sz w:val="32"/>
          <w:szCs w:val="32"/>
        </w:rPr>
        <w:t>15</w:t>
      </w:r>
      <w:r w:rsidRPr="001B6E4D">
        <w:rPr>
          <w:rFonts w:ascii="標楷體" w:eastAsia="標楷體" w:hAnsi="標楷體" w:hint="eastAsia"/>
          <w:bCs/>
          <w:sz w:val="32"/>
          <w:szCs w:val="32"/>
        </w:rPr>
        <w:t>年6月20日）為止，全國司法機關採用司法聯盟鏈的</w:t>
      </w:r>
      <w:proofErr w:type="gramStart"/>
      <w:r w:rsidRPr="001B6E4D">
        <w:rPr>
          <w:rFonts w:ascii="標楷體" w:eastAsia="標楷體" w:hAnsi="標楷體" w:hint="eastAsia"/>
          <w:bCs/>
          <w:sz w:val="32"/>
          <w:szCs w:val="32"/>
        </w:rPr>
        <w:t>上鏈筆數</w:t>
      </w:r>
      <w:proofErr w:type="gramEnd"/>
      <w:r w:rsidRPr="001B6E4D">
        <w:rPr>
          <w:rFonts w:ascii="標楷體" w:eastAsia="標楷體" w:hAnsi="標楷體" w:hint="eastAsia"/>
          <w:bCs/>
          <w:sz w:val="32"/>
          <w:szCs w:val="32"/>
        </w:rPr>
        <w:t>已達157萬9,600多筆，並已有6,357人取得相關操作證書。這充分顯示，該制度已成為我國數位證據存證不可或缺的重要基礎。</w:t>
      </w:r>
    </w:p>
    <w:p w14:paraId="15F39D7D"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我們今天前來考察，主要聚焦三大重點：</w:t>
      </w:r>
    </w:p>
    <w:p w14:paraId="3DED714B"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第一點，</w:t>
      </w:r>
      <w:proofErr w:type="gramStart"/>
      <w:r w:rsidRPr="001B6E4D">
        <w:rPr>
          <w:rFonts w:ascii="標楷體" w:eastAsia="標楷體" w:hAnsi="標楷體" w:hint="eastAsia"/>
          <w:bCs/>
          <w:sz w:val="32"/>
          <w:szCs w:val="32"/>
        </w:rPr>
        <w:t>在資安建設</w:t>
      </w:r>
      <w:proofErr w:type="gramEnd"/>
      <w:r w:rsidRPr="001B6E4D">
        <w:rPr>
          <w:rFonts w:ascii="標楷體" w:eastAsia="標楷體" w:hAnsi="標楷體" w:hint="eastAsia"/>
          <w:bCs/>
          <w:sz w:val="32"/>
          <w:szCs w:val="32"/>
        </w:rPr>
        <w:t>與實驗室層面，人力、設備、案件處理能力及</w:t>
      </w:r>
      <w:proofErr w:type="gramStart"/>
      <w:r w:rsidRPr="001B6E4D">
        <w:rPr>
          <w:rFonts w:ascii="標楷體" w:eastAsia="標楷體" w:hAnsi="標楷體" w:hint="eastAsia"/>
          <w:bCs/>
          <w:sz w:val="32"/>
          <w:szCs w:val="32"/>
        </w:rPr>
        <w:t>鑑</w:t>
      </w:r>
      <w:proofErr w:type="gramEnd"/>
      <w:r w:rsidRPr="001B6E4D">
        <w:rPr>
          <w:rFonts w:ascii="標楷體" w:eastAsia="標楷體" w:hAnsi="標楷體" w:hint="eastAsia"/>
          <w:bCs/>
          <w:sz w:val="32"/>
          <w:szCs w:val="32"/>
        </w:rPr>
        <w:t>識技術的升級，是否足以應對個人設備普及與雲端平</w:t>
      </w:r>
      <w:proofErr w:type="gramStart"/>
      <w:r w:rsidRPr="001B6E4D">
        <w:rPr>
          <w:rFonts w:ascii="標楷體" w:eastAsia="標楷體" w:hAnsi="標楷體" w:hint="eastAsia"/>
          <w:bCs/>
          <w:sz w:val="32"/>
          <w:szCs w:val="32"/>
        </w:rPr>
        <w:t>臺</w:t>
      </w:r>
      <w:proofErr w:type="gramEnd"/>
      <w:r w:rsidRPr="001B6E4D">
        <w:rPr>
          <w:rFonts w:ascii="標楷體" w:eastAsia="標楷體" w:hAnsi="標楷體" w:hint="eastAsia"/>
          <w:bCs/>
          <w:sz w:val="32"/>
          <w:szCs w:val="32"/>
        </w:rPr>
        <w:t>的挑戰？專業人才及國際合作資源是否充裕？</w:t>
      </w:r>
    </w:p>
    <w:p w14:paraId="59201C84"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第二點，數位證據從現場採集到完成</w:t>
      </w:r>
      <w:proofErr w:type="gramStart"/>
      <w:r w:rsidRPr="001B6E4D">
        <w:rPr>
          <w:rFonts w:ascii="標楷體" w:eastAsia="標楷體" w:hAnsi="標楷體" w:hint="eastAsia"/>
          <w:bCs/>
          <w:sz w:val="32"/>
          <w:szCs w:val="32"/>
        </w:rPr>
        <w:t>鑑</w:t>
      </w:r>
      <w:proofErr w:type="gramEnd"/>
      <w:r w:rsidRPr="001B6E4D">
        <w:rPr>
          <w:rFonts w:ascii="標楷體" w:eastAsia="標楷體" w:hAnsi="標楷體" w:hint="eastAsia"/>
          <w:bCs/>
          <w:sz w:val="32"/>
          <w:szCs w:val="32"/>
        </w:rPr>
        <w:t>識，是否有明確的標準作業程序，以確保每一個步驟與接觸紀錄皆可追溯，落實證據保管鏈的完整性？</w:t>
      </w:r>
    </w:p>
    <w:p w14:paraId="3FF2DEBA"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第三點，第一線</w:t>
      </w:r>
      <w:proofErr w:type="gramStart"/>
      <w:r w:rsidRPr="001B6E4D">
        <w:rPr>
          <w:rFonts w:ascii="標楷體" w:eastAsia="標楷體" w:hAnsi="標楷體" w:hint="eastAsia"/>
          <w:bCs/>
          <w:sz w:val="32"/>
          <w:szCs w:val="32"/>
        </w:rPr>
        <w:t>採</w:t>
      </w:r>
      <w:proofErr w:type="gramEnd"/>
      <w:r w:rsidRPr="001B6E4D">
        <w:rPr>
          <w:rFonts w:ascii="標楷體" w:eastAsia="標楷體" w:hAnsi="標楷體" w:hint="eastAsia"/>
          <w:bCs/>
          <w:sz w:val="32"/>
          <w:szCs w:val="32"/>
        </w:rPr>
        <w:t>證上鏈是否確實執行？權限控管機制是否完善？實際驗證平</w:t>
      </w:r>
      <w:proofErr w:type="gramStart"/>
      <w:r w:rsidRPr="001B6E4D">
        <w:rPr>
          <w:rFonts w:ascii="標楷體" w:eastAsia="標楷體" w:hAnsi="標楷體" w:hint="eastAsia"/>
          <w:bCs/>
          <w:sz w:val="32"/>
          <w:szCs w:val="32"/>
        </w:rPr>
        <w:t>臺</w:t>
      </w:r>
      <w:proofErr w:type="gramEnd"/>
      <w:r w:rsidRPr="001B6E4D">
        <w:rPr>
          <w:rFonts w:ascii="標楷體" w:eastAsia="標楷體" w:hAnsi="標楷體" w:hint="eastAsia"/>
          <w:bCs/>
          <w:sz w:val="32"/>
          <w:szCs w:val="32"/>
        </w:rPr>
        <w:t>的運作狀況為何？</w:t>
      </w:r>
      <w:proofErr w:type="gramStart"/>
      <w:r w:rsidRPr="001B6E4D">
        <w:rPr>
          <w:rFonts w:ascii="標楷體" w:eastAsia="標楷體" w:hAnsi="標楷體" w:hint="eastAsia"/>
          <w:bCs/>
          <w:sz w:val="32"/>
          <w:szCs w:val="32"/>
        </w:rPr>
        <w:t>此外，</w:t>
      </w:r>
      <w:proofErr w:type="gramEnd"/>
      <w:r w:rsidRPr="001B6E4D">
        <w:rPr>
          <w:rFonts w:ascii="標楷體" w:eastAsia="標楷體" w:hAnsi="標楷體" w:hint="eastAsia"/>
          <w:bCs/>
          <w:sz w:val="32"/>
          <w:szCs w:val="32"/>
        </w:rPr>
        <w:t>現行相關法規是否存在缺口，需要我們進一步完善相關法制，以符合正當法律程序並提升公信力？</w:t>
      </w:r>
    </w:p>
    <w:p w14:paraId="63575930"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再次感謝法務部與調查局的周全安排。日後若有預算</w:t>
      </w:r>
      <w:r w:rsidRPr="001B6E4D">
        <w:rPr>
          <w:rFonts w:ascii="標楷體" w:eastAsia="標楷體" w:hAnsi="標楷體" w:hint="eastAsia"/>
          <w:bCs/>
          <w:sz w:val="32"/>
          <w:szCs w:val="32"/>
        </w:rPr>
        <w:lastRenderedPageBreak/>
        <w:t>推動或政策支持的需求，我們立法院絕對責無旁貸，謝謝大家。</w:t>
      </w:r>
    </w:p>
    <w:p w14:paraId="29057B8D" w14:textId="77777777" w:rsidR="00B921E8" w:rsidRPr="001B6E4D" w:rsidRDefault="00B921E8" w:rsidP="003D1018">
      <w:pPr>
        <w:widowControl w:val="0"/>
        <w:numPr>
          <w:ilvl w:val="0"/>
          <w:numId w:val="95"/>
        </w:numPr>
        <w:tabs>
          <w:tab w:val="left" w:pos="4680"/>
        </w:tabs>
        <w:overflowPunct w:val="0"/>
        <w:snapToGrid w:val="0"/>
        <w:spacing w:afterLines="50" w:after="180" w:line="480" w:lineRule="exact"/>
        <w:jc w:val="both"/>
        <w:rPr>
          <w:rFonts w:ascii="標楷體" w:eastAsia="標楷體" w:hAnsi="標楷體"/>
          <w:b/>
          <w:bCs/>
          <w:sz w:val="32"/>
          <w:szCs w:val="32"/>
        </w:rPr>
      </w:pPr>
      <w:r w:rsidRPr="001B6E4D">
        <w:rPr>
          <w:rFonts w:ascii="標楷體" w:eastAsia="標楷體" w:hAnsi="標楷體" w:hint="eastAsia"/>
          <w:b/>
          <w:bCs/>
          <w:sz w:val="32"/>
        </w:rPr>
        <w:t>資通安全處簡報：(略)</w:t>
      </w:r>
    </w:p>
    <w:p w14:paraId="5261A664" w14:textId="77777777" w:rsidR="00B921E8" w:rsidRPr="001B6E4D" w:rsidRDefault="00B921E8" w:rsidP="003D1018">
      <w:pPr>
        <w:widowControl w:val="0"/>
        <w:numPr>
          <w:ilvl w:val="0"/>
          <w:numId w:val="95"/>
        </w:numPr>
        <w:tabs>
          <w:tab w:val="left" w:pos="4680"/>
        </w:tabs>
        <w:overflowPunct w:val="0"/>
        <w:snapToGrid w:val="0"/>
        <w:spacing w:afterLines="50" w:after="180" w:line="480" w:lineRule="exact"/>
        <w:jc w:val="both"/>
        <w:rPr>
          <w:rFonts w:ascii="標楷體" w:eastAsia="標楷體" w:hAnsi="標楷體"/>
          <w:b/>
          <w:bCs/>
          <w:sz w:val="32"/>
          <w:szCs w:val="32"/>
        </w:rPr>
      </w:pPr>
      <w:r w:rsidRPr="001B6E4D">
        <w:rPr>
          <w:rFonts w:ascii="標楷體" w:eastAsia="標楷體" w:hAnsi="標楷體" w:hint="eastAsia"/>
          <w:b/>
          <w:bCs/>
          <w:sz w:val="32"/>
        </w:rPr>
        <w:t>資通安全</w:t>
      </w:r>
      <w:proofErr w:type="gramStart"/>
      <w:r w:rsidRPr="001B6E4D">
        <w:rPr>
          <w:rFonts w:ascii="標楷體" w:eastAsia="標楷體" w:hAnsi="標楷體" w:hint="eastAsia"/>
          <w:b/>
          <w:bCs/>
          <w:sz w:val="32"/>
        </w:rPr>
        <w:t>處資安鑑</w:t>
      </w:r>
      <w:proofErr w:type="gramEnd"/>
      <w:r w:rsidRPr="001B6E4D">
        <w:rPr>
          <w:rFonts w:ascii="標楷體" w:eastAsia="標楷體" w:hAnsi="標楷體" w:hint="eastAsia"/>
          <w:b/>
          <w:bCs/>
          <w:sz w:val="32"/>
        </w:rPr>
        <w:t>識實驗室導</w:t>
      </w:r>
      <w:proofErr w:type="gramStart"/>
      <w:r w:rsidRPr="001B6E4D">
        <w:rPr>
          <w:rFonts w:ascii="標楷體" w:eastAsia="標楷體" w:hAnsi="標楷體" w:hint="eastAsia"/>
          <w:b/>
          <w:bCs/>
          <w:sz w:val="32"/>
        </w:rPr>
        <w:t>覽</w:t>
      </w:r>
      <w:proofErr w:type="gramEnd"/>
      <w:r w:rsidRPr="001B6E4D">
        <w:rPr>
          <w:rFonts w:ascii="標楷體" w:eastAsia="標楷體" w:hAnsi="標楷體" w:hint="eastAsia"/>
          <w:b/>
          <w:bCs/>
          <w:sz w:val="32"/>
        </w:rPr>
        <w:t>：（略）</w:t>
      </w:r>
    </w:p>
    <w:p w14:paraId="07391FD3" w14:textId="77777777" w:rsidR="00B921E8" w:rsidRPr="001B6E4D" w:rsidRDefault="00B921E8" w:rsidP="003D1018">
      <w:pPr>
        <w:widowControl w:val="0"/>
        <w:numPr>
          <w:ilvl w:val="0"/>
          <w:numId w:val="95"/>
        </w:numPr>
        <w:tabs>
          <w:tab w:val="left" w:pos="4680"/>
        </w:tabs>
        <w:overflowPunct w:val="0"/>
        <w:snapToGrid w:val="0"/>
        <w:spacing w:afterLines="50" w:after="180" w:line="480" w:lineRule="exact"/>
        <w:jc w:val="both"/>
        <w:rPr>
          <w:rFonts w:ascii="標楷體" w:eastAsia="標楷體" w:hAnsi="標楷體"/>
          <w:b/>
          <w:bCs/>
          <w:sz w:val="32"/>
          <w:szCs w:val="32"/>
        </w:rPr>
      </w:pPr>
      <w:r w:rsidRPr="001B6E4D">
        <w:rPr>
          <w:rFonts w:ascii="標楷體" w:eastAsia="標楷體" w:hAnsi="標楷體" w:hint="eastAsia"/>
          <w:b/>
          <w:bCs/>
          <w:sz w:val="32"/>
        </w:rPr>
        <w:t>綜合座談及意見交流：</w:t>
      </w:r>
    </w:p>
    <w:p w14:paraId="35869ECB" w14:textId="77777777" w:rsidR="00B921E8" w:rsidRPr="001B6E4D" w:rsidRDefault="00B921E8" w:rsidP="003D1018">
      <w:pPr>
        <w:widowControl w:val="0"/>
        <w:tabs>
          <w:tab w:val="left" w:pos="4680"/>
        </w:tabs>
        <w:overflowPunct w:val="0"/>
        <w:snapToGrid w:val="0"/>
        <w:spacing w:line="480" w:lineRule="exact"/>
        <w:rPr>
          <w:rFonts w:ascii="標楷體" w:eastAsia="標楷體" w:hAnsi="標楷體"/>
          <w:b/>
          <w:sz w:val="32"/>
          <w:szCs w:val="32"/>
        </w:rPr>
      </w:pPr>
      <w:r w:rsidRPr="001B6E4D">
        <w:rPr>
          <w:rFonts w:ascii="標楷體" w:eastAsia="標楷體" w:hAnsi="標楷體" w:hint="eastAsia"/>
          <w:b/>
          <w:sz w:val="32"/>
          <w:szCs w:val="32"/>
        </w:rPr>
        <w:t>一、沈發惠委員研究室</w:t>
      </w:r>
      <w:proofErr w:type="gramStart"/>
      <w:r w:rsidRPr="001B6E4D">
        <w:rPr>
          <w:rFonts w:ascii="標楷體" w:eastAsia="標楷體" w:hAnsi="標楷體" w:hint="eastAsia"/>
          <w:b/>
          <w:sz w:val="32"/>
          <w:szCs w:val="32"/>
        </w:rPr>
        <w:t>張主任誠軒</w:t>
      </w:r>
      <w:proofErr w:type="gramEnd"/>
      <w:r w:rsidRPr="001B6E4D">
        <w:rPr>
          <w:rFonts w:ascii="標楷體" w:eastAsia="標楷體" w:hAnsi="標楷體" w:hint="eastAsia"/>
          <w:b/>
          <w:sz w:val="32"/>
          <w:szCs w:val="32"/>
        </w:rPr>
        <w:t>：</w:t>
      </w:r>
    </w:p>
    <w:p w14:paraId="0886B3FB"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主要有兩個問題想請教：</w:t>
      </w:r>
    </w:p>
    <w:p w14:paraId="32B35CAE"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第一，現行刑事訴訟法對傳統證據規範較多，但對數位證據的取得，實務與學界多認為屬於「科技偵查」範疇</w:t>
      </w:r>
      <w:r w:rsidRPr="001B6E4D">
        <w:rPr>
          <w:rFonts w:ascii="標楷體" w:eastAsia="標楷體" w:hAnsi="標楷體" w:hint="eastAsia"/>
          <w:bCs/>
          <w:sz w:val="32"/>
          <w:szCs w:val="32"/>
        </w:rPr>
        <w:t>，</w:t>
      </w:r>
      <w:r w:rsidRPr="001B6E4D">
        <w:rPr>
          <w:rFonts w:ascii="標楷體" w:eastAsia="標楷體" w:hAnsi="標楷體"/>
          <w:bCs/>
          <w:sz w:val="32"/>
          <w:szCs w:val="32"/>
        </w:rPr>
        <w:t>以日本為例，即設有專門的科技偵查相關法制。</w:t>
      </w:r>
      <w:r w:rsidRPr="001B6E4D">
        <w:rPr>
          <w:rFonts w:ascii="標楷體" w:eastAsia="標楷體" w:hAnsi="標楷體" w:hint="eastAsia"/>
          <w:bCs/>
          <w:sz w:val="32"/>
          <w:szCs w:val="32"/>
        </w:rPr>
        <w:t>未來若</w:t>
      </w:r>
      <w:r w:rsidRPr="001B6E4D">
        <w:rPr>
          <w:rFonts w:ascii="標楷體" w:eastAsia="標楷體" w:hAnsi="標楷體"/>
          <w:bCs/>
          <w:sz w:val="32"/>
          <w:szCs w:val="32"/>
        </w:rPr>
        <w:t>將科技偵查規定在刑事訴訟法中，主管機關是司法院；若要走向科技偵查法的法制方向，則會由執法機關來處理。想請教在法制層面上，目前針對</w:t>
      </w:r>
      <w:r w:rsidRPr="001B6E4D">
        <w:rPr>
          <w:rFonts w:ascii="標楷體" w:eastAsia="標楷體" w:hAnsi="標楷體" w:hint="eastAsia"/>
          <w:bCs/>
          <w:sz w:val="32"/>
          <w:szCs w:val="32"/>
        </w:rPr>
        <w:t>「</w:t>
      </w:r>
      <w:r w:rsidRPr="001B6E4D">
        <w:rPr>
          <w:rFonts w:ascii="標楷體" w:eastAsia="標楷體" w:hAnsi="標楷體"/>
          <w:bCs/>
          <w:sz w:val="32"/>
          <w:szCs w:val="32"/>
        </w:rPr>
        <w:t>取得</w:t>
      </w:r>
      <w:r w:rsidRPr="001B6E4D">
        <w:rPr>
          <w:rFonts w:ascii="標楷體" w:eastAsia="標楷體" w:hAnsi="標楷體" w:hint="eastAsia"/>
          <w:bCs/>
          <w:sz w:val="32"/>
          <w:szCs w:val="32"/>
        </w:rPr>
        <w:t>」數位證據</w:t>
      </w:r>
      <w:r w:rsidRPr="001B6E4D">
        <w:rPr>
          <w:rFonts w:ascii="標楷體" w:eastAsia="標楷體" w:hAnsi="標楷體"/>
          <w:bCs/>
          <w:sz w:val="32"/>
          <w:szCs w:val="32"/>
        </w:rPr>
        <w:t>內容規範的討論較少，法務部未來是否有相關的立法規劃或考量？</w:t>
      </w:r>
    </w:p>
    <w:p w14:paraId="25F75767"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第二，想</w:t>
      </w:r>
      <w:proofErr w:type="gramStart"/>
      <w:r w:rsidRPr="001B6E4D">
        <w:rPr>
          <w:rFonts w:ascii="標楷體" w:eastAsia="標楷體" w:hAnsi="標楷體"/>
          <w:bCs/>
          <w:sz w:val="32"/>
          <w:szCs w:val="32"/>
        </w:rPr>
        <w:t>請教資安處</w:t>
      </w:r>
      <w:proofErr w:type="gramEnd"/>
      <w:r w:rsidRPr="001B6E4D">
        <w:rPr>
          <w:rFonts w:ascii="標楷體" w:eastAsia="標楷體" w:hAnsi="標楷體"/>
          <w:bCs/>
          <w:sz w:val="32"/>
          <w:szCs w:val="32"/>
        </w:rPr>
        <w:t>的同仁</w:t>
      </w:r>
      <w:r w:rsidRPr="001B6E4D">
        <w:rPr>
          <w:rFonts w:ascii="標楷體" w:eastAsia="標楷體" w:hAnsi="標楷體" w:hint="eastAsia"/>
          <w:bCs/>
          <w:sz w:val="32"/>
          <w:szCs w:val="32"/>
        </w:rPr>
        <w:t>，</w:t>
      </w:r>
      <w:r w:rsidRPr="001B6E4D">
        <w:rPr>
          <w:rFonts w:ascii="標楷體" w:eastAsia="標楷體" w:hAnsi="標楷體"/>
          <w:bCs/>
          <w:sz w:val="32"/>
          <w:szCs w:val="32"/>
        </w:rPr>
        <w:t>關於實務上的「證據能力」問題。由於我國在此領域的專業人員較少，過去曾發生警察局與調查局因</w:t>
      </w:r>
      <w:proofErr w:type="gramStart"/>
      <w:r w:rsidRPr="001B6E4D">
        <w:rPr>
          <w:rFonts w:ascii="標楷體" w:eastAsia="標楷體" w:hAnsi="標楷體"/>
          <w:bCs/>
          <w:sz w:val="32"/>
          <w:szCs w:val="32"/>
        </w:rPr>
        <w:t>採</w:t>
      </w:r>
      <w:proofErr w:type="gramEnd"/>
      <w:r w:rsidRPr="001B6E4D">
        <w:rPr>
          <w:rFonts w:ascii="標楷體" w:eastAsia="標楷體" w:hAnsi="標楷體"/>
          <w:bCs/>
          <w:sz w:val="32"/>
          <w:szCs w:val="32"/>
        </w:rPr>
        <w:t>證SOP不同，而在二審法院產生證據能力爭執的情況。換句話說，針對數位證據取得後的「驗證」沒有疑問，但在「原始證據取得」階段，是否有可能因為各機關</w:t>
      </w:r>
      <w:proofErr w:type="gramStart"/>
      <w:r w:rsidRPr="001B6E4D">
        <w:rPr>
          <w:rFonts w:ascii="標楷體" w:eastAsia="標楷體" w:hAnsi="標楷體"/>
          <w:bCs/>
          <w:sz w:val="32"/>
          <w:szCs w:val="32"/>
        </w:rPr>
        <w:t>採</w:t>
      </w:r>
      <w:proofErr w:type="gramEnd"/>
      <w:r w:rsidRPr="001B6E4D">
        <w:rPr>
          <w:rFonts w:ascii="標楷體" w:eastAsia="標楷體" w:hAnsi="標楷體"/>
          <w:bCs/>
          <w:sz w:val="32"/>
          <w:szCs w:val="32"/>
        </w:rPr>
        <w:t>證過程的不同，而在法庭上遭到質疑？</w:t>
      </w:r>
    </w:p>
    <w:p w14:paraId="1CE0DC3E" w14:textId="77777777" w:rsidR="00B921E8" w:rsidRPr="001B6E4D" w:rsidRDefault="00B921E8" w:rsidP="003D1018">
      <w:pPr>
        <w:widowControl w:val="0"/>
        <w:tabs>
          <w:tab w:val="left" w:pos="4680"/>
        </w:tabs>
        <w:overflowPunct w:val="0"/>
        <w:snapToGrid w:val="0"/>
        <w:spacing w:afterLines="50" w:after="180" w:line="480" w:lineRule="exact"/>
        <w:jc w:val="both"/>
        <w:rPr>
          <w:rFonts w:ascii="標楷體" w:eastAsia="標楷體" w:hAnsi="標楷體"/>
          <w:bCs/>
          <w:sz w:val="32"/>
          <w:szCs w:val="32"/>
        </w:rPr>
      </w:pPr>
      <w:r w:rsidRPr="001B6E4D">
        <w:rPr>
          <w:rFonts w:ascii="標楷體" w:eastAsia="標楷體" w:hAnsi="標楷體" w:hint="eastAsia"/>
          <w:b/>
          <w:sz w:val="32"/>
          <w:szCs w:val="32"/>
        </w:rPr>
        <w:t>二、</w:t>
      </w:r>
      <w:r w:rsidRPr="001B6E4D">
        <w:rPr>
          <w:rFonts w:ascii="標楷體" w:eastAsia="標楷體" w:hAnsi="標楷體" w:hint="eastAsia"/>
          <w:b/>
          <w:bCs/>
          <w:sz w:val="32"/>
          <w:szCs w:val="32"/>
        </w:rPr>
        <w:t>法務部</w:t>
      </w:r>
      <w:proofErr w:type="gramStart"/>
      <w:r w:rsidRPr="001B6E4D">
        <w:rPr>
          <w:rFonts w:ascii="標楷體" w:eastAsia="標楷體" w:hAnsi="標楷體" w:hint="eastAsia"/>
          <w:b/>
          <w:bCs/>
          <w:sz w:val="32"/>
          <w:szCs w:val="32"/>
        </w:rPr>
        <w:t>余</w:t>
      </w:r>
      <w:proofErr w:type="gramEnd"/>
      <w:r w:rsidRPr="001B6E4D">
        <w:rPr>
          <w:rFonts w:ascii="標楷體" w:eastAsia="標楷體" w:hAnsi="標楷體" w:hint="eastAsia"/>
          <w:b/>
          <w:bCs/>
          <w:sz w:val="32"/>
          <w:szCs w:val="32"/>
        </w:rPr>
        <w:t>主任秘書麗貞</w:t>
      </w:r>
      <w:r w:rsidRPr="001B6E4D">
        <w:rPr>
          <w:rFonts w:ascii="標楷體" w:eastAsia="標楷體" w:hAnsi="標楷體" w:hint="eastAsia"/>
          <w:b/>
          <w:sz w:val="32"/>
          <w:szCs w:val="32"/>
        </w:rPr>
        <w:t>：</w:t>
      </w:r>
    </w:p>
    <w:p w14:paraId="796DF77C"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過去在</w:t>
      </w:r>
      <w:r w:rsidRPr="001B6E4D">
        <w:rPr>
          <w:rFonts w:ascii="標楷體" w:eastAsia="標楷體" w:hAnsi="標楷體" w:hint="eastAsia"/>
          <w:bCs/>
          <w:sz w:val="32"/>
          <w:szCs w:val="32"/>
        </w:rPr>
        <w:t>修訂</w:t>
      </w:r>
      <w:r w:rsidRPr="001B6E4D">
        <w:rPr>
          <w:rFonts w:ascii="標楷體" w:eastAsia="標楷體" w:hAnsi="標楷體"/>
          <w:bCs/>
          <w:sz w:val="32"/>
          <w:szCs w:val="32"/>
        </w:rPr>
        <w:t>通</w:t>
      </w:r>
      <w:r w:rsidRPr="001B6E4D">
        <w:rPr>
          <w:rFonts w:ascii="標楷體" w:eastAsia="標楷體" w:hAnsi="標楷體" w:hint="eastAsia"/>
          <w:bCs/>
          <w:sz w:val="32"/>
          <w:szCs w:val="32"/>
        </w:rPr>
        <w:t>訊保障及監察</w:t>
      </w:r>
      <w:r w:rsidRPr="001B6E4D">
        <w:rPr>
          <w:rFonts w:ascii="標楷體" w:eastAsia="標楷體" w:hAnsi="標楷體"/>
          <w:bCs/>
          <w:sz w:val="32"/>
          <w:szCs w:val="32"/>
        </w:rPr>
        <w:t>法時，對數位取證並無</w:t>
      </w:r>
      <w:proofErr w:type="gramStart"/>
      <w:r w:rsidRPr="001B6E4D">
        <w:rPr>
          <w:rFonts w:ascii="標楷體" w:eastAsia="標楷體" w:hAnsi="標楷體"/>
          <w:bCs/>
          <w:sz w:val="32"/>
          <w:szCs w:val="32"/>
        </w:rPr>
        <w:t>過多著</w:t>
      </w:r>
      <w:proofErr w:type="gramEnd"/>
      <w:r w:rsidRPr="001B6E4D">
        <w:rPr>
          <w:rFonts w:ascii="標楷體" w:eastAsia="標楷體" w:hAnsi="標楷體"/>
          <w:bCs/>
          <w:sz w:val="32"/>
          <w:szCs w:val="32"/>
        </w:rPr>
        <w:t>墨；直到110年推動科技偵查法草案時，科技偵查才受到重視，但當時關注的</w:t>
      </w:r>
      <w:r w:rsidRPr="001B6E4D">
        <w:rPr>
          <w:rFonts w:ascii="標楷體" w:eastAsia="標楷體" w:hAnsi="標楷體" w:hint="eastAsia"/>
          <w:bCs/>
          <w:sz w:val="32"/>
          <w:szCs w:val="32"/>
        </w:rPr>
        <w:t>是</w:t>
      </w:r>
      <w:r w:rsidRPr="001B6E4D">
        <w:rPr>
          <w:rFonts w:ascii="標楷體" w:eastAsia="標楷體" w:hAnsi="標楷體"/>
          <w:bCs/>
          <w:sz w:val="32"/>
          <w:szCs w:val="32"/>
        </w:rPr>
        <w:t>技術，與剛剛張主任所提及利用</w:t>
      </w:r>
      <w:proofErr w:type="gramStart"/>
      <w:r w:rsidRPr="001B6E4D">
        <w:rPr>
          <w:rFonts w:ascii="標楷體" w:eastAsia="標楷體" w:hAnsi="標楷體"/>
          <w:bCs/>
          <w:sz w:val="32"/>
          <w:szCs w:val="32"/>
        </w:rPr>
        <w:t>區塊鏈進行</w:t>
      </w:r>
      <w:proofErr w:type="gramEnd"/>
      <w:r w:rsidRPr="001B6E4D">
        <w:rPr>
          <w:rFonts w:ascii="標楷體" w:eastAsia="標楷體" w:hAnsi="標楷體"/>
          <w:bCs/>
          <w:sz w:val="32"/>
          <w:szCs w:val="32"/>
        </w:rPr>
        <w:t>數位證據保全的方式有所不同。</w:t>
      </w:r>
    </w:p>
    <w:p w14:paraId="0ABC3C66"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我們近期與基層實務單位</w:t>
      </w:r>
      <w:proofErr w:type="gramStart"/>
      <w:r w:rsidRPr="001B6E4D">
        <w:rPr>
          <w:rFonts w:ascii="標楷體" w:eastAsia="標楷體" w:hAnsi="標楷體"/>
          <w:bCs/>
          <w:sz w:val="32"/>
          <w:szCs w:val="32"/>
        </w:rPr>
        <w:t>研</w:t>
      </w:r>
      <w:proofErr w:type="gramEnd"/>
      <w:r w:rsidRPr="001B6E4D">
        <w:rPr>
          <w:rFonts w:ascii="標楷體" w:eastAsia="標楷體" w:hAnsi="標楷體"/>
          <w:bCs/>
          <w:sz w:val="32"/>
          <w:szCs w:val="32"/>
        </w:rPr>
        <w:t>商時，大家一致認同科技</w:t>
      </w:r>
      <w:r w:rsidRPr="001B6E4D">
        <w:rPr>
          <w:rFonts w:ascii="標楷體" w:eastAsia="標楷體" w:hAnsi="標楷體"/>
          <w:bCs/>
          <w:sz w:val="32"/>
          <w:szCs w:val="32"/>
        </w:rPr>
        <w:lastRenderedPageBreak/>
        <w:t>偵查法制對於未來在法庭上確保並證明「證據能力」極為關鍵。關於司法聯盟鏈的法制化，若後續由法務部</w:t>
      </w:r>
      <w:proofErr w:type="gramStart"/>
      <w:r w:rsidRPr="001B6E4D">
        <w:rPr>
          <w:rFonts w:ascii="標楷體" w:eastAsia="標楷體" w:hAnsi="標楷體"/>
          <w:bCs/>
          <w:sz w:val="32"/>
          <w:szCs w:val="32"/>
        </w:rPr>
        <w:t>研</w:t>
      </w:r>
      <w:proofErr w:type="gramEnd"/>
      <w:r w:rsidRPr="001B6E4D">
        <w:rPr>
          <w:rFonts w:ascii="標楷體" w:eastAsia="標楷體" w:hAnsi="標楷體"/>
          <w:bCs/>
          <w:sz w:val="32"/>
          <w:szCs w:val="32"/>
        </w:rPr>
        <w:t>提，我們將從執法機關的實務需求出發，確實保障採集數位證據的完整性與程序正當性。這部分我會攜回法務部，進行更完備的法制規劃。</w:t>
      </w:r>
    </w:p>
    <w:p w14:paraId="7265BB57" w14:textId="77777777" w:rsidR="00B921E8" w:rsidRPr="001B6E4D" w:rsidRDefault="00B921E8" w:rsidP="003D1018">
      <w:pPr>
        <w:widowControl w:val="0"/>
        <w:tabs>
          <w:tab w:val="left" w:pos="4680"/>
        </w:tabs>
        <w:overflowPunct w:val="0"/>
        <w:snapToGrid w:val="0"/>
        <w:spacing w:afterLines="50" w:after="180" w:line="480" w:lineRule="exact"/>
        <w:jc w:val="both"/>
        <w:rPr>
          <w:rFonts w:ascii="標楷體" w:eastAsia="標楷體" w:hAnsi="標楷體"/>
          <w:b/>
          <w:sz w:val="32"/>
          <w:szCs w:val="32"/>
        </w:rPr>
      </w:pPr>
      <w:r w:rsidRPr="001B6E4D">
        <w:rPr>
          <w:rFonts w:ascii="標楷體" w:eastAsia="標楷體" w:hAnsi="標楷體" w:hint="eastAsia"/>
          <w:b/>
          <w:sz w:val="32"/>
          <w:szCs w:val="32"/>
        </w:rPr>
        <w:t>三、調查局資通安全處鄭處長健行：</w:t>
      </w:r>
    </w:p>
    <w:p w14:paraId="43D0F1D7"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針對現場數位</w:t>
      </w:r>
      <w:proofErr w:type="gramStart"/>
      <w:r w:rsidRPr="001B6E4D">
        <w:rPr>
          <w:rFonts w:ascii="標楷體" w:eastAsia="標楷體" w:hAnsi="標楷體"/>
          <w:bCs/>
          <w:sz w:val="32"/>
          <w:szCs w:val="32"/>
        </w:rPr>
        <w:t>採</w:t>
      </w:r>
      <w:proofErr w:type="gramEnd"/>
      <w:r w:rsidRPr="001B6E4D">
        <w:rPr>
          <w:rFonts w:ascii="標楷體" w:eastAsia="標楷體" w:hAnsi="標楷體"/>
          <w:bCs/>
          <w:sz w:val="32"/>
          <w:szCs w:val="32"/>
        </w:rPr>
        <w:t>證標準化的議題，我們目前在現場執行雲端取證時，設有標準化</w:t>
      </w:r>
      <w:proofErr w:type="gramStart"/>
      <w:r w:rsidRPr="001B6E4D">
        <w:rPr>
          <w:rFonts w:ascii="標楷體" w:eastAsia="標楷體" w:hAnsi="標楷體"/>
          <w:bCs/>
          <w:sz w:val="32"/>
          <w:szCs w:val="32"/>
        </w:rPr>
        <w:t>採</w:t>
      </w:r>
      <w:proofErr w:type="gramEnd"/>
      <w:r w:rsidRPr="001B6E4D">
        <w:rPr>
          <w:rFonts w:ascii="標楷體" w:eastAsia="標楷體" w:hAnsi="標楷體"/>
          <w:bCs/>
          <w:sz w:val="32"/>
          <w:szCs w:val="32"/>
        </w:rPr>
        <w:t>證工具。</w:t>
      </w:r>
      <w:r w:rsidRPr="001B6E4D">
        <w:rPr>
          <w:rFonts w:ascii="標楷體" w:eastAsia="標楷體" w:hAnsi="標楷體" w:hint="eastAsia"/>
          <w:bCs/>
          <w:sz w:val="32"/>
          <w:szCs w:val="32"/>
        </w:rPr>
        <w:t>例如</w:t>
      </w:r>
      <w:r w:rsidRPr="001B6E4D">
        <w:rPr>
          <w:rFonts w:ascii="標楷體" w:eastAsia="標楷體" w:hAnsi="標楷體"/>
          <w:bCs/>
          <w:sz w:val="32"/>
          <w:szCs w:val="32"/>
        </w:rPr>
        <w:t>從E</w:t>
      </w:r>
      <w:r w:rsidRPr="001B6E4D">
        <w:rPr>
          <w:rFonts w:ascii="標楷體" w:eastAsia="標楷體" w:hAnsi="標楷體" w:hint="eastAsia"/>
          <w:bCs/>
          <w:sz w:val="32"/>
          <w:szCs w:val="32"/>
        </w:rPr>
        <w:t>-</w:t>
      </w:r>
      <w:r w:rsidRPr="001B6E4D">
        <w:rPr>
          <w:rFonts w:ascii="標楷體" w:eastAsia="標楷體" w:hAnsi="標楷體"/>
          <w:bCs/>
          <w:sz w:val="32"/>
          <w:szCs w:val="32"/>
        </w:rPr>
        <w:t>mail或雲端空間下載資料時，系統會即時產生雜湊值（Hash 值）</w:t>
      </w:r>
      <w:r w:rsidRPr="001B6E4D">
        <w:rPr>
          <w:rFonts w:ascii="標楷體" w:eastAsia="標楷體" w:hAnsi="標楷體" w:hint="eastAsia"/>
          <w:bCs/>
          <w:sz w:val="32"/>
          <w:szCs w:val="32"/>
        </w:rPr>
        <w:t>，</w:t>
      </w:r>
      <w:r w:rsidRPr="001B6E4D">
        <w:rPr>
          <w:rFonts w:ascii="標楷體" w:eastAsia="標楷體" w:hAnsi="標楷體"/>
          <w:bCs/>
          <w:sz w:val="32"/>
          <w:szCs w:val="32"/>
        </w:rPr>
        <w:t>資料經計算雜湊值並寫入司法</w:t>
      </w:r>
      <w:proofErr w:type="gramStart"/>
      <w:r w:rsidRPr="001B6E4D">
        <w:rPr>
          <w:rFonts w:ascii="標楷體" w:eastAsia="標楷體" w:hAnsi="標楷體"/>
          <w:bCs/>
          <w:sz w:val="32"/>
          <w:szCs w:val="32"/>
        </w:rPr>
        <w:t>聯盟鏈後</w:t>
      </w:r>
      <w:proofErr w:type="gramEnd"/>
      <w:r w:rsidRPr="001B6E4D">
        <w:rPr>
          <w:rFonts w:ascii="標楷體" w:eastAsia="標楷體" w:hAnsi="標楷體"/>
          <w:bCs/>
          <w:sz w:val="32"/>
          <w:szCs w:val="32"/>
        </w:rPr>
        <w:t>，未來在法庭上即可隨時進行真實性比對</w:t>
      </w:r>
      <w:r w:rsidRPr="001B6E4D">
        <w:rPr>
          <w:rFonts w:ascii="標楷體" w:eastAsia="標楷體" w:hAnsi="標楷體" w:hint="eastAsia"/>
          <w:bCs/>
          <w:sz w:val="32"/>
          <w:szCs w:val="32"/>
        </w:rPr>
        <w:t>，</w:t>
      </w:r>
      <w:proofErr w:type="gramStart"/>
      <w:r w:rsidRPr="001B6E4D">
        <w:rPr>
          <w:rFonts w:ascii="標楷體" w:eastAsia="標楷體" w:hAnsi="標楷體"/>
          <w:bCs/>
          <w:sz w:val="32"/>
          <w:szCs w:val="32"/>
        </w:rPr>
        <w:t>藉區塊鏈</w:t>
      </w:r>
      <w:proofErr w:type="gramEnd"/>
      <w:r w:rsidRPr="001B6E4D">
        <w:rPr>
          <w:rFonts w:ascii="標楷體" w:eastAsia="標楷體" w:hAnsi="標楷體"/>
          <w:bCs/>
          <w:sz w:val="32"/>
          <w:szCs w:val="32"/>
        </w:rPr>
        <w:t>不可篡改的特性，確保證據</w:t>
      </w:r>
      <w:r w:rsidRPr="001B6E4D">
        <w:rPr>
          <w:rFonts w:ascii="標楷體" w:eastAsia="標楷體" w:hAnsi="標楷體" w:hint="eastAsia"/>
          <w:bCs/>
          <w:sz w:val="32"/>
          <w:szCs w:val="32"/>
        </w:rPr>
        <w:t>真實性的</w:t>
      </w:r>
      <w:r w:rsidRPr="001B6E4D">
        <w:rPr>
          <w:rFonts w:ascii="標楷體" w:eastAsia="標楷體" w:hAnsi="標楷體"/>
          <w:bCs/>
          <w:sz w:val="32"/>
          <w:szCs w:val="32"/>
        </w:rPr>
        <w:t xml:space="preserve">驗證。 </w:t>
      </w:r>
    </w:p>
    <w:p w14:paraId="41DA9B0C"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另外，</w:t>
      </w:r>
      <w:r w:rsidRPr="001B6E4D">
        <w:rPr>
          <w:rFonts w:ascii="標楷體" w:eastAsia="標楷體" w:hAnsi="標楷體"/>
          <w:bCs/>
          <w:sz w:val="32"/>
          <w:szCs w:val="32"/>
        </w:rPr>
        <w:t>選擇在現場即時</w:t>
      </w:r>
      <w:proofErr w:type="gramStart"/>
      <w:r w:rsidRPr="001B6E4D">
        <w:rPr>
          <w:rFonts w:ascii="標楷體" w:eastAsia="標楷體" w:hAnsi="標楷體"/>
          <w:bCs/>
          <w:sz w:val="32"/>
          <w:szCs w:val="32"/>
        </w:rPr>
        <w:t>採</w:t>
      </w:r>
      <w:proofErr w:type="gramEnd"/>
      <w:r w:rsidRPr="001B6E4D">
        <w:rPr>
          <w:rFonts w:ascii="標楷體" w:eastAsia="標楷體" w:hAnsi="標楷體"/>
          <w:bCs/>
          <w:sz w:val="32"/>
          <w:szCs w:val="32"/>
        </w:rPr>
        <w:t>證的原因，在於雲端資料具備動態特性，重新下載可能導致資料結構或時間戳記改變。因此第一線</w:t>
      </w:r>
      <w:r w:rsidRPr="001B6E4D">
        <w:rPr>
          <w:rFonts w:ascii="標楷體" w:eastAsia="標楷體" w:hAnsi="標楷體" w:hint="eastAsia"/>
          <w:bCs/>
          <w:sz w:val="32"/>
          <w:szCs w:val="32"/>
        </w:rPr>
        <w:t>人員</w:t>
      </w:r>
      <w:r w:rsidRPr="001B6E4D">
        <w:rPr>
          <w:rFonts w:ascii="標楷體" w:eastAsia="標楷體" w:hAnsi="標楷體"/>
          <w:bCs/>
          <w:sz w:val="32"/>
          <w:szCs w:val="32"/>
        </w:rPr>
        <w:t>在首次</w:t>
      </w:r>
      <w:r w:rsidRPr="001B6E4D">
        <w:rPr>
          <w:rFonts w:ascii="標楷體" w:eastAsia="標楷體" w:hAnsi="標楷體" w:hint="eastAsia"/>
          <w:bCs/>
          <w:sz w:val="32"/>
          <w:szCs w:val="32"/>
        </w:rPr>
        <w:t>取證</w:t>
      </w:r>
      <w:r w:rsidRPr="001B6E4D">
        <w:rPr>
          <w:rFonts w:ascii="標楷體" w:eastAsia="標楷體" w:hAnsi="標楷體"/>
          <w:bCs/>
          <w:sz w:val="32"/>
          <w:szCs w:val="32"/>
        </w:rPr>
        <w:t>時，即會自動將檔案屬性與雜湊值標準化並傳送上鏈。至於非雲端的實體數位設備</w:t>
      </w:r>
      <w:r w:rsidRPr="001B6E4D">
        <w:rPr>
          <w:rFonts w:ascii="標楷體" w:eastAsia="標楷體" w:hAnsi="標楷體" w:hint="eastAsia"/>
          <w:bCs/>
          <w:sz w:val="32"/>
          <w:szCs w:val="32"/>
        </w:rPr>
        <w:t>，</w:t>
      </w:r>
      <w:r w:rsidRPr="001B6E4D">
        <w:rPr>
          <w:rFonts w:ascii="標楷體" w:eastAsia="標楷體" w:hAnsi="標楷體"/>
          <w:bCs/>
          <w:sz w:val="32"/>
          <w:szCs w:val="32"/>
        </w:rPr>
        <w:t>如隨身碟、電腦主機，因現場變數較多，為維護搜索扣押流程順暢，實務上會先</w:t>
      </w:r>
      <w:proofErr w:type="gramStart"/>
      <w:r w:rsidRPr="001B6E4D">
        <w:rPr>
          <w:rFonts w:ascii="標楷體" w:eastAsia="標楷體" w:hAnsi="標楷體"/>
          <w:bCs/>
          <w:sz w:val="32"/>
          <w:szCs w:val="32"/>
        </w:rPr>
        <w:t>採</w:t>
      </w:r>
      <w:proofErr w:type="gramEnd"/>
      <w:r w:rsidRPr="001B6E4D">
        <w:rPr>
          <w:rFonts w:ascii="標楷體" w:eastAsia="標楷體" w:hAnsi="標楷體"/>
          <w:bCs/>
          <w:sz w:val="32"/>
          <w:szCs w:val="32"/>
        </w:rPr>
        <w:t>封條密封以維持完整性，帶回</w:t>
      </w:r>
      <w:proofErr w:type="gramStart"/>
      <w:r w:rsidRPr="001B6E4D">
        <w:rPr>
          <w:rFonts w:ascii="標楷體" w:eastAsia="標楷體" w:hAnsi="標楷體"/>
          <w:bCs/>
          <w:sz w:val="32"/>
          <w:szCs w:val="32"/>
        </w:rPr>
        <w:t>鑑</w:t>
      </w:r>
      <w:proofErr w:type="gramEnd"/>
      <w:r w:rsidRPr="001B6E4D">
        <w:rPr>
          <w:rFonts w:ascii="標楷體" w:eastAsia="標楷體" w:hAnsi="標楷體"/>
          <w:bCs/>
          <w:sz w:val="32"/>
          <w:szCs w:val="32"/>
        </w:rPr>
        <w:t>識實驗室後再進行鏡像複製、</w:t>
      </w:r>
      <w:proofErr w:type="gramStart"/>
      <w:r w:rsidRPr="001B6E4D">
        <w:rPr>
          <w:rFonts w:ascii="標楷體" w:eastAsia="標楷體" w:hAnsi="標楷體"/>
          <w:bCs/>
          <w:sz w:val="32"/>
          <w:szCs w:val="32"/>
        </w:rPr>
        <w:t>鑑</w:t>
      </w:r>
      <w:proofErr w:type="gramEnd"/>
      <w:r w:rsidRPr="001B6E4D">
        <w:rPr>
          <w:rFonts w:ascii="標楷體" w:eastAsia="標楷體" w:hAnsi="標楷體"/>
          <w:bCs/>
          <w:sz w:val="32"/>
          <w:szCs w:val="32"/>
        </w:rPr>
        <w:t xml:space="preserve">識分析與雜湊值上鏈。 </w:t>
      </w:r>
    </w:p>
    <w:p w14:paraId="7A7B024F"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補充說明，目前跨機關的上鏈程序與資料格式皆已建立統一規範，並透過智</w:t>
      </w:r>
      <w:r w:rsidRPr="001B6E4D">
        <w:rPr>
          <w:rFonts w:ascii="標楷體" w:eastAsia="標楷體" w:hAnsi="標楷體" w:hint="eastAsia"/>
          <w:bCs/>
          <w:sz w:val="32"/>
          <w:szCs w:val="32"/>
        </w:rPr>
        <w:t>能</w:t>
      </w:r>
      <w:r w:rsidRPr="001B6E4D">
        <w:rPr>
          <w:rFonts w:ascii="標楷體" w:eastAsia="標楷體" w:hAnsi="標楷體"/>
          <w:bCs/>
          <w:sz w:val="32"/>
          <w:szCs w:val="32"/>
        </w:rPr>
        <w:t>合約（Smart Contract）供各司法警察機關調用對接，確保採集標準一致。同時，各執法機關亦須高度重視原始數位證據的妥善保存；若原始檔案遭受微小篡改，後續驗證的雜湊值</w:t>
      </w:r>
      <w:proofErr w:type="gramStart"/>
      <w:r w:rsidRPr="001B6E4D">
        <w:rPr>
          <w:rFonts w:ascii="標楷體" w:eastAsia="標楷體" w:hAnsi="標楷體"/>
          <w:bCs/>
          <w:sz w:val="32"/>
          <w:szCs w:val="32"/>
        </w:rPr>
        <w:t>將與鏈上</w:t>
      </w:r>
      <w:proofErr w:type="gramEnd"/>
      <w:r w:rsidRPr="001B6E4D">
        <w:rPr>
          <w:rFonts w:ascii="標楷體" w:eastAsia="標楷體" w:hAnsi="標楷體"/>
          <w:bCs/>
          <w:sz w:val="32"/>
          <w:szCs w:val="32"/>
        </w:rPr>
        <w:t>紀錄不符，</w:t>
      </w:r>
      <w:r w:rsidRPr="001B6E4D">
        <w:rPr>
          <w:rFonts w:ascii="標楷體" w:eastAsia="標楷體" w:hAnsi="標楷體" w:hint="eastAsia"/>
          <w:bCs/>
          <w:sz w:val="32"/>
          <w:szCs w:val="32"/>
        </w:rPr>
        <w:t>這點各機關需要特別注意。</w:t>
      </w:r>
    </w:p>
    <w:p w14:paraId="5C148091" w14:textId="77777777" w:rsidR="00B921E8" w:rsidRPr="001B6E4D" w:rsidRDefault="00B921E8" w:rsidP="003D1018">
      <w:pPr>
        <w:widowControl w:val="0"/>
        <w:numPr>
          <w:ilvl w:val="0"/>
          <w:numId w:val="16"/>
        </w:numPr>
        <w:tabs>
          <w:tab w:val="left" w:pos="4680"/>
        </w:tabs>
        <w:overflowPunct w:val="0"/>
        <w:snapToGrid w:val="0"/>
        <w:spacing w:afterLines="50" w:after="180" w:line="480" w:lineRule="exact"/>
        <w:jc w:val="both"/>
        <w:rPr>
          <w:rFonts w:ascii="標楷體" w:eastAsia="標楷體" w:hAnsi="標楷體"/>
          <w:b/>
          <w:sz w:val="32"/>
          <w:szCs w:val="32"/>
        </w:rPr>
      </w:pPr>
      <w:r w:rsidRPr="001B6E4D">
        <w:rPr>
          <w:rFonts w:ascii="標楷體" w:eastAsia="標楷體" w:hAnsi="標楷體" w:hint="eastAsia"/>
          <w:b/>
          <w:sz w:val="32"/>
          <w:szCs w:val="32"/>
        </w:rPr>
        <w:t>吳宗憲委員研究室陳主任靜蓉：</w:t>
      </w:r>
    </w:p>
    <w:p w14:paraId="19951BDC"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我想請教兩個問題：</w:t>
      </w:r>
    </w:p>
    <w:p w14:paraId="085A90F4"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lastRenderedPageBreak/>
        <w:t>第一個問題，剛才展示中有看到手機解密儀器（iOS 與 Android 各</w:t>
      </w:r>
      <w:proofErr w:type="gramStart"/>
      <w:r w:rsidRPr="001B6E4D">
        <w:rPr>
          <w:rFonts w:ascii="標楷體" w:eastAsia="標楷體" w:hAnsi="標楷體"/>
          <w:bCs/>
          <w:sz w:val="32"/>
          <w:szCs w:val="32"/>
        </w:rPr>
        <w:t>一臺</w:t>
      </w:r>
      <w:proofErr w:type="gramEnd"/>
      <w:r w:rsidRPr="001B6E4D">
        <w:rPr>
          <w:rFonts w:ascii="標楷體" w:eastAsia="標楷體" w:hAnsi="標楷體"/>
          <w:bCs/>
          <w:sz w:val="32"/>
          <w:szCs w:val="32"/>
        </w:rPr>
        <w:t>）。想請問以目前的案件需求來看，這樣的</w:t>
      </w:r>
      <w:proofErr w:type="gramStart"/>
      <w:r w:rsidRPr="001B6E4D">
        <w:rPr>
          <w:rFonts w:ascii="標楷體" w:eastAsia="標楷體" w:hAnsi="標楷體"/>
          <w:bCs/>
          <w:sz w:val="32"/>
          <w:szCs w:val="32"/>
        </w:rPr>
        <w:t>採</w:t>
      </w:r>
      <w:proofErr w:type="gramEnd"/>
      <w:r w:rsidRPr="001B6E4D">
        <w:rPr>
          <w:rFonts w:ascii="標楷體" w:eastAsia="標楷體" w:hAnsi="標楷體"/>
          <w:bCs/>
          <w:sz w:val="32"/>
          <w:szCs w:val="32"/>
        </w:rPr>
        <w:t>證量能是否足夠？另外，由於手機作業系統不斷升級，若要持續維持在「各型號</w:t>
      </w:r>
      <w:r w:rsidRPr="001B6E4D">
        <w:rPr>
          <w:rFonts w:ascii="標楷體" w:eastAsia="標楷體" w:hAnsi="標楷體" w:hint="eastAsia"/>
          <w:bCs/>
          <w:sz w:val="32"/>
          <w:szCs w:val="32"/>
        </w:rPr>
        <w:t>及版本</w:t>
      </w:r>
      <w:r w:rsidRPr="001B6E4D">
        <w:rPr>
          <w:rFonts w:ascii="標楷體" w:eastAsia="標楷體" w:hAnsi="標楷體"/>
          <w:bCs/>
          <w:sz w:val="32"/>
          <w:szCs w:val="32"/>
        </w:rPr>
        <w:t>皆能順利解密」的狀態，應需投入相當龐大的軟硬體更新與授權經費，這部分能否請</w:t>
      </w:r>
      <w:r w:rsidRPr="001B6E4D">
        <w:rPr>
          <w:rFonts w:ascii="標楷體" w:eastAsia="標楷體" w:hAnsi="標楷體" w:hint="eastAsia"/>
          <w:bCs/>
          <w:sz w:val="32"/>
          <w:szCs w:val="32"/>
        </w:rPr>
        <w:t>相關</w:t>
      </w:r>
      <w:r w:rsidRPr="001B6E4D">
        <w:rPr>
          <w:rFonts w:ascii="標楷體" w:eastAsia="標楷體" w:hAnsi="標楷體"/>
          <w:bCs/>
          <w:sz w:val="32"/>
          <w:szCs w:val="32"/>
        </w:rPr>
        <w:t>單位說明？</w:t>
      </w:r>
    </w:p>
    <w:p w14:paraId="1577A5CD"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第二</w:t>
      </w:r>
      <w:proofErr w:type="gramStart"/>
      <w:r w:rsidRPr="001B6E4D">
        <w:rPr>
          <w:rFonts w:ascii="標楷體" w:eastAsia="標楷體" w:hAnsi="標楷體"/>
          <w:bCs/>
          <w:sz w:val="32"/>
          <w:szCs w:val="32"/>
        </w:rPr>
        <w:t>個</w:t>
      </w:r>
      <w:proofErr w:type="gramEnd"/>
      <w:r w:rsidRPr="001B6E4D">
        <w:rPr>
          <w:rFonts w:ascii="標楷體" w:eastAsia="標楷體" w:hAnsi="標楷體"/>
          <w:bCs/>
          <w:sz w:val="32"/>
          <w:szCs w:val="32"/>
        </w:rPr>
        <w:t>問題，張主任提到「一級現場</w:t>
      </w:r>
      <w:proofErr w:type="gramStart"/>
      <w:r w:rsidRPr="001B6E4D">
        <w:rPr>
          <w:rFonts w:ascii="標楷體" w:eastAsia="標楷體" w:hAnsi="標楷體"/>
          <w:bCs/>
          <w:sz w:val="32"/>
          <w:szCs w:val="32"/>
        </w:rPr>
        <w:t>採</w:t>
      </w:r>
      <w:proofErr w:type="gramEnd"/>
      <w:r w:rsidRPr="001B6E4D">
        <w:rPr>
          <w:rFonts w:ascii="標楷體" w:eastAsia="標楷體" w:hAnsi="標楷體"/>
          <w:bCs/>
          <w:sz w:val="32"/>
          <w:szCs w:val="32"/>
        </w:rPr>
        <w:t>證」是</w:t>
      </w:r>
      <w:proofErr w:type="gramStart"/>
      <w:r w:rsidRPr="001B6E4D">
        <w:rPr>
          <w:rFonts w:ascii="標楷體" w:eastAsia="標楷體" w:hAnsi="標楷體"/>
          <w:bCs/>
          <w:sz w:val="32"/>
          <w:szCs w:val="32"/>
        </w:rPr>
        <w:t>最</w:t>
      </w:r>
      <w:proofErr w:type="gramEnd"/>
      <w:r w:rsidRPr="001B6E4D">
        <w:rPr>
          <w:rFonts w:ascii="標楷體" w:eastAsia="標楷體" w:hAnsi="標楷體"/>
          <w:bCs/>
          <w:sz w:val="32"/>
          <w:szCs w:val="32"/>
        </w:rPr>
        <w:t>關鍵的，但目前實務運作似乎多偏向在「刑事偵查」階段。以最近的中聯油脂案為例，許多關鍵證據其實早在行政監管階段就已產生。</w:t>
      </w:r>
    </w:p>
    <w:p w14:paraId="2A20760D"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從這個案件出發，當初在推動</w:t>
      </w:r>
      <w:r w:rsidRPr="001B6E4D">
        <w:rPr>
          <w:rFonts w:ascii="標楷體" w:eastAsia="標楷體" w:hAnsi="標楷體" w:hint="eastAsia"/>
          <w:bCs/>
          <w:sz w:val="32"/>
          <w:szCs w:val="32"/>
        </w:rPr>
        <w:t>司法</w:t>
      </w:r>
      <w:proofErr w:type="gramStart"/>
      <w:r w:rsidRPr="001B6E4D">
        <w:rPr>
          <w:rFonts w:ascii="標楷體" w:eastAsia="標楷體" w:hAnsi="標楷體" w:hint="eastAsia"/>
          <w:bCs/>
          <w:sz w:val="32"/>
          <w:szCs w:val="32"/>
        </w:rPr>
        <w:t>聯盟鏈</w:t>
      </w:r>
      <w:r w:rsidRPr="001B6E4D">
        <w:rPr>
          <w:rFonts w:ascii="標楷體" w:eastAsia="標楷體" w:hAnsi="標楷體"/>
          <w:bCs/>
          <w:sz w:val="32"/>
          <w:szCs w:val="32"/>
        </w:rPr>
        <w:t>時</w:t>
      </w:r>
      <w:proofErr w:type="gramEnd"/>
      <w:r w:rsidRPr="001B6E4D">
        <w:rPr>
          <w:rFonts w:ascii="標楷體" w:eastAsia="標楷體" w:hAnsi="標楷體"/>
          <w:bCs/>
          <w:sz w:val="32"/>
          <w:szCs w:val="32"/>
        </w:rPr>
        <w:t>，就有提到「營業秘密」是非常重要的案件型態。當</w:t>
      </w:r>
      <w:proofErr w:type="gramStart"/>
      <w:r w:rsidRPr="001B6E4D">
        <w:rPr>
          <w:rFonts w:ascii="標楷體" w:eastAsia="標楷體" w:hAnsi="標楷體"/>
          <w:bCs/>
          <w:sz w:val="32"/>
          <w:szCs w:val="32"/>
        </w:rPr>
        <w:t>鑑</w:t>
      </w:r>
      <w:proofErr w:type="gramEnd"/>
      <w:r w:rsidRPr="001B6E4D">
        <w:rPr>
          <w:rFonts w:ascii="標楷體" w:eastAsia="標楷體" w:hAnsi="標楷體"/>
          <w:bCs/>
          <w:sz w:val="32"/>
          <w:szCs w:val="32"/>
        </w:rPr>
        <w:t>識團隊前往公司現場</w:t>
      </w:r>
      <w:proofErr w:type="gramStart"/>
      <w:r w:rsidRPr="001B6E4D">
        <w:rPr>
          <w:rFonts w:ascii="標楷體" w:eastAsia="標楷體" w:hAnsi="標楷體"/>
          <w:bCs/>
          <w:sz w:val="32"/>
          <w:szCs w:val="32"/>
        </w:rPr>
        <w:t>採</w:t>
      </w:r>
      <w:proofErr w:type="gramEnd"/>
      <w:r w:rsidRPr="001B6E4D">
        <w:rPr>
          <w:rFonts w:ascii="標楷體" w:eastAsia="標楷體" w:hAnsi="標楷體"/>
          <w:bCs/>
          <w:sz w:val="32"/>
          <w:szCs w:val="32"/>
        </w:rPr>
        <w:t>證時，除了調取</w:t>
      </w:r>
      <w:proofErr w:type="gramStart"/>
      <w:r w:rsidRPr="001B6E4D">
        <w:rPr>
          <w:rFonts w:ascii="標楷體" w:eastAsia="標楷體" w:hAnsi="標楷體"/>
          <w:bCs/>
          <w:sz w:val="32"/>
          <w:szCs w:val="32"/>
        </w:rPr>
        <w:t>公司留底的</w:t>
      </w:r>
      <w:proofErr w:type="gramEnd"/>
      <w:r w:rsidRPr="001B6E4D">
        <w:rPr>
          <w:rFonts w:ascii="標楷體" w:eastAsia="標楷體" w:hAnsi="標楷體"/>
          <w:bCs/>
          <w:sz w:val="32"/>
          <w:szCs w:val="32"/>
        </w:rPr>
        <w:t>程式與系統紀錄外，</w:t>
      </w:r>
      <w:r w:rsidRPr="001B6E4D">
        <w:rPr>
          <w:rFonts w:ascii="標楷體" w:eastAsia="標楷體" w:hAnsi="標楷體" w:hint="eastAsia"/>
          <w:bCs/>
          <w:sz w:val="32"/>
          <w:szCs w:val="32"/>
        </w:rPr>
        <w:t>也須</w:t>
      </w:r>
      <w:r w:rsidRPr="001B6E4D">
        <w:rPr>
          <w:rFonts w:ascii="標楷體" w:eastAsia="標楷體" w:hAnsi="標楷體"/>
          <w:bCs/>
          <w:sz w:val="32"/>
          <w:szCs w:val="32"/>
        </w:rPr>
        <w:t>同步</w:t>
      </w:r>
      <w:proofErr w:type="gramStart"/>
      <w:r w:rsidRPr="001B6E4D">
        <w:rPr>
          <w:rFonts w:ascii="標楷體" w:eastAsia="標楷體" w:hAnsi="標楷體"/>
          <w:bCs/>
          <w:sz w:val="32"/>
          <w:szCs w:val="32"/>
        </w:rPr>
        <w:t>採</w:t>
      </w:r>
      <w:proofErr w:type="gramEnd"/>
      <w:r w:rsidRPr="001B6E4D">
        <w:rPr>
          <w:rFonts w:ascii="標楷體" w:eastAsia="標楷體" w:hAnsi="標楷體"/>
          <w:bCs/>
          <w:sz w:val="32"/>
          <w:szCs w:val="32"/>
        </w:rPr>
        <w:t>樣企業內部的</w:t>
      </w:r>
      <w:r w:rsidRPr="001B6E4D">
        <w:rPr>
          <w:rFonts w:ascii="標楷體" w:eastAsia="標楷體" w:hAnsi="標楷體" w:hint="eastAsia"/>
          <w:bCs/>
          <w:sz w:val="32"/>
          <w:szCs w:val="32"/>
        </w:rPr>
        <w:t>即時</w:t>
      </w:r>
      <w:r w:rsidRPr="001B6E4D">
        <w:rPr>
          <w:rFonts w:ascii="標楷體" w:eastAsia="標楷體" w:hAnsi="標楷體"/>
          <w:bCs/>
          <w:sz w:val="32"/>
          <w:szCs w:val="32"/>
        </w:rPr>
        <w:t>數據</w:t>
      </w:r>
      <w:r w:rsidRPr="001B6E4D">
        <w:rPr>
          <w:rFonts w:ascii="標楷體" w:eastAsia="標楷體" w:hAnsi="標楷體" w:hint="eastAsia"/>
          <w:bCs/>
          <w:sz w:val="32"/>
          <w:szCs w:val="32"/>
        </w:rPr>
        <w:t>。也就是說</w:t>
      </w:r>
      <w:r w:rsidRPr="001B6E4D">
        <w:rPr>
          <w:rFonts w:ascii="標楷體" w:eastAsia="標楷體" w:hAnsi="標楷體"/>
          <w:bCs/>
          <w:sz w:val="32"/>
          <w:szCs w:val="32"/>
        </w:rPr>
        <w:t>司法機關是否有機會進一步結合行政機關？例如該如何與「食品雲」這類系統互相搭配？當行政機關在第一時間進行流量</w:t>
      </w:r>
      <w:proofErr w:type="gramStart"/>
      <w:r w:rsidRPr="001B6E4D">
        <w:rPr>
          <w:rFonts w:ascii="標楷體" w:eastAsia="標楷體" w:hAnsi="標楷體"/>
          <w:bCs/>
          <w:sz w:val="32"/>
          <w:szCs w:val="32"/>
        </w:rPr>
        <w:t>採</w:t>
      </w:r>
      <w:proofErr w:type="gramEnd"/>
      <w:r w:rsidRPr="001B6E4D">
        <w:rPr>
          <w:rFonts w:ascii="標楷體" w:eastAsia="標楷體" w:hAnsi="標楷體"/>
          <w:bCs/>
          <w:sz w:val="32"/>
          <w:szCs w:val="32"/>
        </w:rPr>
        <w:t>樣或監測時，司法</w:t>
      </w:r>
      <w:proofErr w:type="gramStart"/>
      <w:r w:rsidRPr="001B6E4D">
        <w:rPr>
          <w:rFonts w:ascii="標楷體" w:eastAsia="標楷體" w:hAnsi="標楷體"/>
          <w:bCs/>
          <w:sz w:val="32"/>
          <w:szCs w:val="32"/>
        </w:rPr>
        <w:t>鑑識端</w:t>
      </w:r>
      <w:proofErr w:type="gramEnd"/>
      <w:r w:rsidRPr="001B6E4D">
        <w:rPr>
          <w:rFonts w:ascii="標楷體" w:eastAsia="標楷體" w:hAnsi="標楷體"/>
          <w:bCs/>
          <w:sz w:val="32"/>
          <w:szCs w:val="32"/>
        </w:rPr>
        <w:t>就能同步對接，以避免業者事後篡改</w:t>
      </w:r>
      <w:proofErr w:type="gramStart"/>
      <w:r w:rsidRPr="001B6E4D">
        <w:rPr>
          <w:rFonts w:ascii="標楷體" w:eastAsia="標楷體" w:hAnsi="標楷體"/>
          <w:bCs/>
          <w:sz w:val="32"/>
          <w:szCs w:val="32"/>
        </w:rPr>
        <w:t>資料或造假</w:t>
      </w:r>
      <w:proofErr w:type="gramEnd"/>
      <w:r w:rsidRPr="001B6E4D">
        <w:rPr>
          <w:rFonts w:ascii="標楷體" w:eastAsia="標楷體" w:hAnsi="標楷體"/>
          <w:bCs/>
          <w:sz w:val="32"/>
          <w:szCs w:val="32"/>
        </w:rPr>
        <w:t>。</w:t>
      </w:r>
    </w:p>
    <w:p w14:paraId="3A5D9CA0" w14:textId="77777777" w:rsidR="00B921E8" w:rsidRPr="001B6E4D" w:rsidRDefault="00B921E8" w:rsidP="003D1018">
      <w:pPr>
        <w:widowControl w:val="0"/>
        <w:numPr>
          <w:ilvl w:val="0"/>
          <w:numId w:val="16"/>
        </w:numPr>
        <w:tabs>
          <w:tab w:val="left" w:pos="4680"/>
        </w:tabs>
        <w:overflowPunct w:val="0"/>
        <w:snapToGrid w:val="0"/>
        <w:spacing w:afterLines="50" w:after="180" w:line="480" w:lineRule="exact"/>
        <w:jc w:val="both"/>
        <w:rPr>
          <w:rFonts w:ascii="標楷體" w:eastAsia="標楷體" w:hAnsi="標楷體"/>
          <w:b/>
          <w:sz w:val="32"/>
          <w:szCs w:val="32"/>
        </w:rPr>
      </w:pPr>
      <w:r w:rsidRPr="001B6E4D">
        <w:rPr>
          <w:rFonts w:ascii="標楷體" w:eastAsia="標楷體" w:hAnsi="標楷體" w:hint="eastAsia"/>
          <w:b/>
          <w:sz w:val="32"/>
          <w:szCs w:val="32"/>
        </w:rPr>
        <w:t>調查局資通安全處鄭處長健行：</w:t>
      </w:r>
    </w:p>
    <w:p w14:paraId="344E800A"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我先做一個初步的回答，在</w:t>
      </w:r>
      <w:proofErr w:type="gramStart"/>
      <w:r w:rsidRPr="001B6E4D">
        <w:rPr>
          <w:rFonts w:ascii="標楷體" w:eastAsia="標楷體" w:hAnsi="標楷體"/>
          <w:bCs/>
          <w:sz w:val="32"/>
          <w:szCs w:val="32"/>
        </w:rPr>
        <w:t>手機破譯方面</w:t>
      </w:r>
      <w:proofErr w:type="gramEnd"/>
      <w:r w:rsidRPr="001B6E4D">
        <w:rPr>
          <w:rFonts w:ascii="標楷體" w:eastAsia="標楷體" w:hAnsi="標楷體"/>
          <w:bCs/>
          <w:sz w:val="32"/>
          <w:szCs w:val="32"/>
        </w:rPr>
        <w:t>，我們目前主要</w:t>
      </w:r>
      <w:r w:rsidRPr="001B6E4D">
        <w:rPr>
          <w:rFonts w:ascii="標楷體" w:eastAsia="標楷體" w:hAnsi="標楷體" w:hint="eastAsia"/>
          <w:bCs/>
          <w:sz w:val="32"/>
          <w:szCs w:val="32"/>
        </w:rPr>
        <w:t>針對</w:t>
      </w:r>
      <w:r w:rsidRPr="001B6E4D">
        <w:rPr>
          <w:rFonts w:ascii="標楷體" w:eastAsia="標楷體" w:hAnsi="標楷體"/>
          <w:bCs/>
          <w:sz w:val="32"/>
          <w:szCs w:val="32"/>
        </w:rPr>
        <w:t>Android</w:t>
      </w:r>
      <w:r w:rsidRPr="001B6E4D">
        <w:rPr>
          <w:rFonts w:ascii="標楷體" w:eastAsia="標楷體" w:hAnsi="標楷體" w:hint="eastAsia"/>
          <w:bCs/>
          <w:sz w:val="32"/>
          <w:szCs w:val="32"/>
        </w:rPr>
        <w:t>與</w:t>
      </w:r>
      <w:r w:rsidRPr="001B6E4D">
        <w:rPr>
          <w:rFonts w:ascii="標楷體" w:eastAsia="標楷體" w:hAnsi="標楷體"/>
          <w:bCs/>
          <w:sz w:val="32"/>
          <w:szCs w:val="32"/>
        </w:rPr>
        <w:t>iOS 系統</w:t>
      </w:r>
      <w:r w:rsidRPr="001B6E4D">
        <w:rPr>
          <w:rFonts w:ascii="標楷體" w:eastAsia="標楷體" w:hAnsi="標楷體" w:hint="eastAsia"/>
          <w:bCs/>
          <w:sz w:val="32"/>
          <w:szCs w:val="32"/>
        </w:rPr>
        <w:t>各引進一套系統，目前</w:t>
      </w:r>
      <w:r w:rsidRPr="001B6E4D">
        <w:rPr>
          <w:rFonts w:ascii="標楷體" w:eastAsia="標楷體" w:hAnsi="標楷體"/>
          <w:bCs/>
          <w:sz w:val="32"/>
          <w:szCs w:val="32"/>
        </w:rPr>
        <w:t>除了局</w:t>
      </w:r>
      <w:r w:rsidRPr="001B6E4D">
        <w:rPr>
          <w:rFonts w:ascii="標楷體" w:eastAsia="標楷體" w:hAnsi="標楷體" w:hint="eastAsia"/>
          <w:bCs/>
          <w:sz w:val="32"/>
          <w:szCs w:val="32"/>
        </w:rPr>
        <w:t>本部</w:t>
      </w:r>
      <w:r w:rsidRPr="001B6E4D">
        <w:rPr>
          <w:rFonts w:ascii="標楷體" w:eastAsia="標楷體" w:hAnsi="標楷體"/>
          <w:bCs/>
          <w:sz w:val="32"/>
          <w:szCs w:val="32"/>
        </w:rPr>
        <w:t>實驗室</w:t>
      </w:r>
      <w:r w:rsidRPr="001B6E4D">
        <w:rPr>
          <w:rFonts w:ascii="標楷體" w:eastAsia="標楷體" w:hAnsi="標楷體" w:hint="eastAsia"/>
          <w:bCs/>
          <w:sz w:val="32"/>
          <w:szCs w:val="32"/>
        </w:rPr>
        <w:t>有</w:t>
      </w:r>
      <w:r w:rsidRPr="001B6E4D">
        <w:rPr>
          <w:rFonts w:ascii="標楷體" w:eastAsia="標楷體" w:hAnsi="標楷體"/>
          <w:bCs/>
          <w:sz w:val="32"/>
          <w:szCs w:val="32"/>
        </w:rPr>
        <w:t>配備，也</w:t>
      </w:r>
      <w:r w:rsidRPr="001B6E4D">
        <w:rPr>
          <w:rFonts w:ascii="標楷體" w:eastAsia="標楷體" w:hAnsi="標楷體" w:hint="eastAsia"/>
          <w:bCs/>
          <w:sz w:val="32"/>
          <w:szCs w:val="32"/>
        </w:rPr>
        <w:t>已</w:t>
      </w:r>
      <w:r w:rsidRPr="001B6E4D">
        <w:rPr>
          <w:rFonts w:ascii="標楷體" w:eastAsia="標楷體" w:hAnsi="標楷體"/>
          <w:bCs/>
          <w:sz w:val="32"/>
          <w:szCs w:val="32"/>
        </w:rPr>
        <w:t>部署至六都的</w:t>
      </w:r>
      <w:proofErr w:type="gramStart"/>
      <w:r w:rsidRPr="001B6E4D">
        <w:rPr>
          <w:rFonts w:ascii="標楷體" w:eastAsia="標楷體" w:hAnsi="標楷體"/>
          <w:bCs/>
          <w:sz w:val="32"/>
          <w:szCs w:val="32"/>
        </w:rPr>
        <w:t>資安科</w:t>
      </w:r>
      <w:proofErr w:type="gramEnd"/>
      <w:r w:rsidRPr="001B6E4D">
        <w:rPr>
          <w:rFonts w:ascii="標楷體" w:eastAsia="標楷體" w:hAnsi="標楷體"/>
          <w:bCs/>
          <w:sz w:val="32"/>
          <w:szCs w:val="32"/>
        </w:rPr>
        <w:t>室，因此第一線單位在初步進行證據</w:t>
      </w:r>
      <w:proofErr w:type="gramStart"/>
      <w:r w:rsidRPr="001B6E4D">
        <w:rPr>
          <w:rFonts w:ascii="標楷體" w:eastAsia="標楷體" w:hAnsi="標楷體"/>
          <w:bCs/>
          <w:sz w:val="32"/>
          <w:szCs w:val="32"/>
        </w:rPr>
        <w:t>初篩與破譯</w:t>
      </w:r>
      <w:proofErr w:type="gramEnd"/>
      <w:r w:rsidRPr="001B6E4D">
        <w:rPr>
          <w:rFonts w:ascii="標楷體" w:eastAsia="標楷體" w:hAnsi="標楷體"/>
          <w:bCs/>
          <w:sz w:val="32"/>
          <w:szCs w:val="32"/>
        </w:rPr>
        <w:t>時，均具備相應的處理能力。</w:t>
      </w:r>
    </w:p>
    <w:p w14:paraId="4292D846"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然而，這類設備與軟體的費用非常昂貴，</w:t>
      </w:r>
      <w:r w:rsidRPr="001B6E4D">
        <w:rPr>
          <w:rFonts w:ascii="標楷體" w:eastAsia="標楷體" w:hAnsi="標楷體" w:hint="eastAsia"/>
          <w:bCs/>
          <w:sz w:val="32"/>
          <w:szCs w:val="32"/>
        </w:rPr>
        <w:t>且</w:t>
      </w:r>
      <w:r w:rsidRPr="001B6E4D">
        <w:rPr>
          <w:rFonts w:ascii="標楷體" w:eastAsia="標楷體" w:hAnsi="標楷體"/>
          <w:bCs/>
          <w:sz w:val="32"/>
          <w:szCs w:val="32"/>
        </w:rPr>
        <w:t>這類軟體並非「一次性買斷」，而是採用訂閱或定期授權模式。正如剛才委</w:t>
      </w:r>
      <w:r w:rsidRPr="001B6E4D">
        <w:rPr>
          <w:rFonts w:ascii="標楷體" w:eastAsia="標楷體" w:hAnsi="標楷體" w:hint="eastAsia"/>
          <w:bCs/>
          <w:sz w:val="32"/>
          <w:szCs w:val="32"/>
        </w:rPr>
        <w:t>員</w:t>
      </w:r>
      <w:r w:rsidRPr="001B6E4D">
        <w:rPr>
          <w:rFonts w:ascii="標楷體" w:eastAsia="標楷體" w:hAnsi="標楷體"/>
          <w:bCs/>
          <w:sz w:val="32"/>
          <w:szCs w:val="32"/>
        </w:rPr>
        <w:t>辦公室提到的狀況，隨著智慧型手機與作業系統不斷更新，軟體開發商也必須持續針對新機型進行技術</w:t>
      </w:r>
      <w:r w:rsidRPr="001B6E4D">
        <w:rPr>
          <w:rFonts w:ascii="標楷體" w:eastAsia="標楷體" w:hAnsi="標楷體"/>
          <w:bCs/>
          <w:sz w:val="32"/>
          <w:szCs w:val="32"/>
        </w:rPr>
        <w:lastRenderedPageBreak/>
        <w:t>破解</w:t>
      </w:r>
      <w:r w:rsidRPr="001B6E4D">
        <w:rPr>
          <w:rFonts w:ascii="標楷體" w:eastAsia="標楷體" w:hAnsi="標楷體" w:hint="eastAsia"/>
          <w:bCs/>
          <w:sz w:val="32"/>
          <w:szCs w:val="32"/>
        </w:rPr>
        <w:t>，因此實際應用上需</w:t>
      </w:r>
      <w:r w:rsidRPr="001B6E4D">
        <w:rPr>
          <w:rFonts w:ascii="標楷體" w:eastAsia="標楷體" w:hAnsi="標楷體"/>
          <w:bCs/>
          <w:sz w:val="32"/>
          <w:szCs w:val="32"/>
        </w:rPr>
        <w:t>等待原廠發布最新</w:t>
      </w:r>
      <w:proofErr w:type="gramStart"/>
      <w:r w:rsidRPr="001B6E4D">
        <w:rPr>
          <w:rFonts w:ascii="標楷體" w:eastAsia="標楷體" w:hAnsi="標楷體"/>
          <w:bCs/>
          <w:sz w:val="32"/>
          <w:szCs w:val="32"/>
        </w:rPr>
        <w:t>的破譯軟體</w:t>
      </w:r>
      <w:proofErr w:type="gramEnd"/>
      <w:r w:rsidRPr="001B6E4D">
        <w:rPr>
          <w:rFonts w:ascii="標楷體" w:eastAsia="標楷體" w:hAnsi="標楷體"/>
          <w:bCs/>
          <w:sz w:val="32"/>
          <w:szCs w:val="32"/>
        </w:rPr>
        <w:t>更新</w:t>
      </w:r>
      <w:r w:rsidRPr="001B6E4D">
        <w:rPr>
          <w:rFonts w:ascii="標楷體" w:eastAsia="標楷體" w:hAnsi="標楷體" w:hint="eastAsia"/>
          <w:bCs/>
          <w:sz w:val="32"/>
          <w:szCs w:val="32"/>
        </w:rPr>
        <w:t>，</w:t>
      </w:r>
      <w:r w:rsidRPr="001B6E4D">
        <w:rPr>
          <w:rFonts w:ascii="標楷體" w:eastAsia="標楷體" w:hAnsi="標楷體"/>
          <w:bCs/>
          <w:sz w:val="32"/>
          <w:szCs w:val="32"/>
        </w:rPr>
        <w:t>這是目前在技術實務應用上，較難避免的客觀限制。</w:t>
      </w:r>
    </w:p>
    <w:p w14:paraId="167FCAB3"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關於驗證機制與行政機關對接的部分</w:t>
      </w:r>
      <w:r w:rsidRPr="001B6E4D">
        <w:rPr>
          <w:rFonts w:ascii="標楷體" w:eastAsia="標楷體" w:hAnsi="標楷體" w:hint="eastAsia"/>
          <w:bCs/>
          <w:sz w:val="32"/>
          <w:szCs w:val="32"/>
        </w:rPr>
        <w:t>，</w:t>
      </w:r>
      <w:r w:rsidRPr="001B6E4D">
        <w:rPr>
          <w:rFonts w:ascii="標楷體" w:eastAsia="標楷體" w:hAnsi="標楷體"/>
          <w:bCs/>
          <w:sz w:val="32"/>
          <w:szCs w:val="32"/>
        </w:rPr>
        <w:t>我們早期推動資料</w:t>
      </w:r>
      <w:proofErr w:type="gramStart"/>
      <w:r w:rsidRPr="001B6E4D">
        <w:rPr>
          <w:rFonts w:ascii="標楷體" w:eastAsia="標楷體" w:hAnsi="標楷體"/>
          <w:bCs/>
          <w:sz w:val="32"/>
          <w:szCs w:val="32"/>
        </w:rPr>
        <w:t>上鏈時</w:t>
      </w:r>
      <w:proofErr w:type="gramEnd"/>
      <w:r w:rsidRPr="001B6E4D">
        <w:rPr>
          <w:rFonts w:ascii="標楷體" w:eastAsia="標楷體" w:hAnsi="標楷體"/>
          <w:bCs/>
          <w:sz w:val="32"/>
          <w:szCs w:val="32"/>
        </w:rPr>
        <w:t>，最初並非使用「聯盟鏈」，而是直接上傳至「以太坊（Ethereum）」這類公有鏈。</w:t>
      </w:r>
      <w:proofErr w:type="gramStart"/>
      <w:r w:rsidRPr="001B6E4D">
        <w:rPr>
          <w:rFonts w:ascii="標楷體" w:eastAsia="標楷體" w:hAnsi="標楷體"/>
          <w:bCs/>
          <w:sz w:val="32"/>
          <w:szCs w:val="32"/>
        </w:rPr>
        <w:t>但公鏈存在</w:t>
      </w:r>
      <w:proofErr w:type="gramEnd"/>
      <w:r w:rsidRPr="001B6E4D">
        <w:rPr>
          <w:rFonts w:ascii="標楷體" w:eastAsia="標楷體" w:hAnsi="標楷體"/>
          <w:bCs/>
          <w:sz w:val="32"/>
          <w:szCs w:val="32"/>
        </w:rPr>
        <w:t>成本不穩定</w:t>
      </w:r>
      <w:r w:rsidRPr="001B6E4D">
        <w:rPr>
          <w:rFonts w:ascii="標楷體" w:eastAsia="標楷體" w:hAnsi="標楷體" w:hint="eastAsia"/>
          <w:bCs/>
          <w:sz w:val="32"/>
          <w:szCs w:val="32"/>
        </w:rPr>
        <w:t>且有</w:t>
      </w:r>
      <w:r w:rsidRPr="001B6E4D">
        <w:rPr>
          <w:rFonts w:ascii="標楷體" w:eastAsia="標楷體" w:hAnsi="標楷體"/>
          <w:bCs/>
          <w:sz w:val="32"/>
          <w:szCs w:val="32"/>
        </w:rPr>
        <w:t>營運風險</w:t>
      </w:r>
      <w:r w:rsidRPr="001B6E4D">
        <w:rPr>
          <w:rFonts w:ascii="標楷體" w:eastAsia="標楷體" w:hAnsi="標楷體" w:hint="eastAsia"/>
          <w:bCs/>
          <w:sz w:val="32"/>
          <w:szCs w:val="32"/>
        </w:rPr>
        <w:t>，</w:t>
      </w:r>
      <w:r w:rsidRPr="001B6E4D">
        <w:rPr>
          <w:rFonts w:ascii="標楷體" w:eastAsia="標楷體" w:hAnsi="標楷體"/>
          <w:bCs/>
          <w:sz w:val="32"/>
          <w:szCs w:val="32"/>
        </w:rPr>
        <w:t>為確保資料安全性與營運穩定度，資通安全處隨後推動成立「司法聯盟鏈」。</w:t>
      </w:r>
    </w:p>
    <w:p w14:paraId="3F9003A1"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在節點設計上，</w:t>
      </w:r>
      <w:proofErr w:type="gramStart"/>
      <w:r w:rsidRPr="001B6E4D">
        <w:rPr>
          <w:rFonts w:ascii="標楷體" w:eastAsia="標楷體" w:hAnsi="標楷體"/>
          <w:bCs/>
          <w:sz w:val="32"/>
          <w:szCs w:val="32"/>
        </w:rPr>
        <w:t>公鏈是</w:t>
      </w:r>
      <w:proofErr w:type="gramEnd"/>
      <w:r w:rsidRPr="001B6E4D">
        <w:rPr>
          <w:rFonts w:ascii="標楷體" w:eastAsia="標楷體" w:hAnsi="標楷體"/>
          <w:bCs/>
          <w:sz w:val="32"/>
          <w:szCs w:val="32"/>
        </w:rPr>
        <w:t>由數百個礦工節點組成，但聯盟鏈無法設定過多節點，因此我們選擇由具備公信力的機關（如本局、</w:t>
      </w:r>
      <w:proofErr w:type="gramStart"/>
      <w:r w:rsidRPr="001B6E4D">
        <w:rPr>
          <w:rFonts w:ascii="標楷體" w:eastAsia="標楷體" w:hAnsi="標楷體" w:hint="eastAsia"/>
          <w:bCs/>
          <w:sz w:val="32"/>
          <w:szCs w:val="32"/>
        </w:rPr>
        <w:t>臺</w:t>
      </w:r>
      <w:proofErr w:type="gramEnd"/>
      <w:r w:rsidRPr="001B6E4D">
        <w:rPr>
          <w:rFonts w:ascii="標楷體" w:eastAsia="標楷體" w:hAnsi="標楷體"/>
          <w:bCs/>
          <w:sz w:val="32"/>
          <w:szCs w:val="32"/>
        </w:rPr>
        <w:t>高檢署、法務部等）共同組成5個核心節點，確保資料具備不可篡改性。</w:t>
      </w:r>
    </w:p>
    <w:p w14:paraId="12E7FFB9"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針對「行政機關是否需要加入節點」</w:t>
      </w:r>
      <w:r w:rsidRPr="001B6E4D">
        <w:rPr>
          <w:rFonts w:ascii="標楷體" w:eastAsia="標楷體" w:hAnsi="標楷體" w:hint="eastAsia"/>
          <w:bCs/>
          <w:sz w:val="32"/>
          <w:szCs w:val="32"/>
        </w:rPr>
        <w:t>，</w:t>
      </w:r>
      <w:r w:rsidRPr="001B6E4D">
        <w:rPr>
          <w:rFonts w:ascii="標楷體" w:eastAsia="標楷體" w:hAnsi="標楷體"/>
          <w:bCs/>
          <w:sz w:val="32"/>
          <w:szCs w:val="32"/>
        </w:rPr>
        <w:t>只要各界信任目前既有的聯盟鏈節點，未來行政機關推動相關案件資料</w:t>
      </w:r>
      <w:proofErr w:type="gramStart"/>
      <w:r w:rsidRPr="001B6E4D">
        <w:rPr>
          <w:rFonts w:ascii="標楷體" w:eastAsia="標楷體" w:hAnsi="標楷體"/>
          <w:bCs/>
          <w:sz w:val="32"/>
          <w:szCs w:val="32"/>
        </w:rPr>
        <w:t>上鏈時</w:t>
      </w:r>
      <w:proofErr w:type="gramEnd"/>
      <w:r w:rsidRPr="001B6E4D">
        <w:rPr>
          <w:rFonts w:ascii="標楷體" w:eastAsia="標楷體" w:hAnsi="標楷體"/>
          <w:bCs/>
          <w:sz w:val="32"/>
          <w:szCs w:val="32"/>
        </w:rPr>
        <w:t>，並不一定需要親自擔任鏈上的節點機關。行政機關只需作為「使用者」對接該套系統進行資料上鏈與應用即可。</w:t>
      </w:r>
    </w:p>
    <w:p w14:paraId="694A1394" w14:textId="77777777" w:rsidR="00B921E8" w:rsidRPr="001B6E4D" w:rsidRDefault="00B921E8" w:rsidP="003D1018">
      <w:pPr>
        <w:widowControl w:val="0"/>
        <w:tabs>
          <w:tab w:val="left" w:pos="4680"/>
        </w:tabs>
        <w:overflowPunct w:val="0"/>
        <w:snapToGrid w:val="0"/>
        <w:spacing w:afterLines="50" w:after="180" w:line="480" w:lineRule="exact"/>
        <w:jc w:val="both"/>
        <w:rPr>
          <w:rFonts w:ascii="標楷體" w:eastAsia="標楷體" w:hAnsi="標楷體"/>
          <w:b/>
          <w:sz w:val="32"/>
          <w:szCs w:val="32"/>
        </w:rPr>
      </w:pPr>
      <w:r w:rsidRPr="001B6E4D">
        <w:rPr>
          <w:rFonts w:ascii="標楷體" w:eastAsia="標楷體" w:hAnsi="標楷體" w:hint="eastAsia"/>
          <w:b/>
          <w:sz w:val="32"/>
          <w:szCs w:val="32"/>
        </w:rPr>
        <w:t>六、調查局資通安全處魯科長志遠：</w:t>
      </w:r>
    </w:p>
    <w:p w14:paraId="59DDF785"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我這邊再補充一些資訊，資安</w:t>
      </w:r>
      <w:proofErr w:type="gramStart"/>
      <w:r w:rsidRPr="001B6E4D">
        <w:rPr>
          <w:rFonts w:ascii="標楷體" w:eastAsia="標楷體" w:hAnsi="標楷體" w:hint="eastAsia"/>
          <w:bCs/>
          <w:sz w:val="32"/>
          <w:szCs w:val="32"/>
        </w:rPr>
        <w:t>鑑</w:t>
      </w:r>
      <w:proofErr w:type="gramEnd"/>
      <w:r w:rsidRPr="001B6E4D">
        <w:rPr>
          <w:rFonts w:ascii="標楷體" w:eastAsia="標楷體" w:hAnsi="標楷體" w:hint="eastAsia"/>
          <w:bCs/>
          <w:sz w:val="32"/>
          <w:szCs w:val="32"/>
        </w:rPr>
        <w:t>識與手機製造商</w:t>
      </w:r>
      <w:proofErr w:type="gramStart"/>
      <w:r w:rsidRPr="001B6E4D">
        <w:rPr>
          <w:rFonts w:ascii="標楷體" w:eastAsia="標楷體" w:hAnsi="標楷體" w:hint="eastAsia"/>
          <w:bCs/>
          <w:sz w:val="32"/>
          <w:szCs w:val="32"/>
        </w:rPr>
        <w:t>的資安防禦</w:t>
      </w:r>
      <w:proofErr w:type="gramEnd"/>
      <w:r w:rsidRPr="001B6E4D">
        <w:rPr>
          <w:rFonts w:ascii="標楷體" w:eastAsia="標楷體" w:hAnsi="標楷體" w:hint="eastAsia"/>
          <w:bCs/>
          <w:sz w:val="32"/>
          <w:szCs w:val="32"/>
        </w:rPr>
        <w:t>技術本質上是一場「技術對抗」。隨著大眾與智慧型手機大廠</w:t>
      </w:r>
      <w:proofErr w:type="gramStart"/>
      <w:r w:rsidRPr="001B6E4D">
        <w:rPr>
          <w:rFonts w:ascii="標楷體" w:eastAsia="標楷體" w:hAnsi="標楷體" w:hint="eastAsia"/>
          <w:bCs/>
          <w:sz w:val="32"/>
          <w:szCs w:val="32"/>
        </w:rPr>
        <w:t>的資安防護</w:t>
      </w:r>
      <w:proofErr w:type="gramEnd"/>
      <w:r w:rsidRPr="001B6E4D">
        <w:rPr>
          <w:rFonts w:ascii="標楷體" w:eastAsia="標楷體" w:hAnsi="標楷體" w:hint="eastAsia"/>
          <w:bCs/>
          <w:sz w:val="32"/>
          <w:szCs w:val="32"/>
        </w:rPr>
        <w:t>意識大幅提升，</w:t>
      </w:r>
      <w:proofErr w:type="gramStart"/>
      <w:r w:rsidRPr="001B6E4D">
        <w:rPr>
          <w:rFonts w:ascii="標楷體" w:eastAsia="標楷體" w:hAnsi="標楷體" w:hint="eastAsia"/>
          <w:bCs/>
          <w:sz w:val="32"/>
          <w:szCs w:val="32"/>
        </w:rPr>
        <w:t>鑑</w:t>
      </w:r>
      <w:proofErr w:type="gramEnd"/>
      <w:r w:rsidRPr="001B6E4D">
        <w:rPr>
          <w:rFonts w:ascii="標楷體" w:eastAsia="標楷體" w:hAnsi="標楷體" w:hint="eastAsia"/>
          <w:bCs/>
          <w:sz w:val="32"/>
          <w:szCs w:val="32"/>
        </w:rPr>
        <w:t>識工作面臨的技術挑戰也日益嚴峻。我們第一線同仁是在與全球頂尖的科技大廠進行技術競爭，亟需</w:t>
      </w:r>
      <w:proofErr w:type="gramStart"/>
      <w:r w:rsidRPr="001B6E4D">
        <w:rPr>
          <w:rFonts w:ascii="標楷體" w:eastAsia="標楷體" w:hAnsi="標楷體" w:hint="eastAsia"/>
          <w:bCs/>
          <w:sz w:val="32"/>
          <w:szCs w:val="32"/>
        </w:rPr>
        <w:t>挹</w:t>
      </w:r>
      <w:proofErr w:type="gramEnd"/>
      <w:r w:rsidRPr="001B6E4D">
        <w:rPr>
          <w:rFonts w:ascii="標楷體" w:eastAsia="標楷體" w:hAnsi="標楷體" w:hint="eastAsia"/>
          <w:bCs/>
          <w:sz w:val="32"/>
          <w:szCs w:val="32"/>
        </w:rPr>
        <w:t>注充足的資源與經費，以維持相應的</w:t>
      </w:r>
      <w:proofErr w:type="gramStart"/>
      <w:r w:rsidRPr="001B6E4D">
        <w:rPr>
          <w:rFonts w:ascii="標楷體" w:eastAsia="標楷體" w:hAnsi="標楷體" w:hint="eastAsia"/>
          <w:bCs/>
          <w:sz w:val="32"/>
          <w:szCs w:val="32"/>
        </w:rPr>
        <w:t>鑑</w:t>
      </w:r>
      <w:proofErr w:type="gramEnd"/>
      <w:r w:rsidRPr="001B6E4D">
        <w:rPr>
          <w:rFonts w:ascii="標楷體" w:eastAsia="標楷體" w:hAnsi="標楷體" w:hint="eastAsia"/>
          <w:bCs/>
          <w:sz w:val="32"/>
          <w:szCs w:val="32"/>
        </w:rPr>
        <w:t>識能量。</w:t>
      </w:r>
    </w:p>
    <w:p w14:paraId="336D9297"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t>另外110年司法聯盟鏈的相關會議決議，不僅限於司法相關機關或團體，更明確指出司法聯盟鏈的應用範圍可涵蓋刑事、民事與行政等領域。在過往許多社會關注的重大案件中，爭議常源於錄音錄影資料是否遭篡改，這些問題若未妥善解決，極易引發公眾疑慮與信任危機。</w:t>
      </w:r>
    </w:p>
    <w:p w14:paraId="0D9D8C91"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hint="eastAsia"/>
          <w:bCs/>
          <w:sz w:val="32"/>
          <w:szCs w:val="32"/>
        </w:rPr>
        <w:lastRenderedPageBreak/>
        <w:t>換言之，只要是數位時代下產生的數位資料，且未來可能對應至法庭作為證據者，都是極具潛力的應用情境。因此，司法</w:t>
      </w:r>
      <w:proofErr w:type="gramStart"/>
      <w:r w:rsidRPr="001B6E4D">
        <w:rPr>
          <w:rFonts w:ascii="標楷體" w:eastAsia="標楷體" w:hAnsi="標楷體" w:hint="eastAsia"/>
          <w:bCs/>
          <w:sz w:val="32"/>
          <w:szCs w:val="32"/>
        </w:rPr>
        <w:t>聯盟鏈不應</w:t>
      </w:r>
      <w:proofErr w:type="gramEnd"/>
      <w:r w:rsidRPr="001B6E4D">
        <w:rPr>
          <w:rFonts w:ascii="標楷體" w:eastAsia="標楷體" w:hAnsi="標楷體" w:hint="eastAsia"/>
          <w:bCs/>
          <w:sz w:val="32"/>
          <w:szCs w:val="32"/>
        </w:rPr>
        <w:t>僅侷限於現有的數位證據，這只是一個起點。依據當時的決議精神，它具備擴展至民事與行政案件的潛力，後續仍需相應的制度配套與各界更廣泛的需求推動，這部分也期盼能獲得委員與長官們持續的支持。</w:t>
      </w:r>
    </w:p>
    <w:p w14:paraId="702644C1" w14:textId="77777777" w:rsidR="00B921E8" w:rsidRPr="001B6E4D" w:rsidRDefault="00B921E8" w:rsidP="003D1018">
      <w:pPr>
        <w:widowControl w:val="0"/>
        <w:tabs>
          <w:tab w:val="left" w:pos="4680"/>
        </w:tabs>
        <w:overflowPunct w:val="0"/>
        <w:snapToGrid w:val="0"/>
        <w:spacing w:afterLines="50" w:after="180" w:line="480" w:lineRule="exact"/>
        <w:jc w:val="both"/>
        <w:rPr>
          <w:rFonts w:ascii="標楷體" w:eastAsia="標楷體" w:hAnsi="標楷體"/>
          <w:b/>
          <w:sz w:val="32"/>
          <w:szCs w:val="32"/>
        </w:rPr>
      </w:pPr>
      <w:r w:rsidRPr="001B6E4D">
        <w:rPr>
          <w:rFonts w:ascii="標楷體" w:eastAsia="標楷體" w:hAnsi="標楷體" w:hint="eastAsia"/>
          <w:b/>
          <w:sz w:val="32"/>
          <w:szCs w:val="32"/>
        </w:rPr>
        <w:t>七、</w:t>
      </w:r>
      <w:r w:rsidRPr="001B6E4D">
        <w:rPr>
          <w:rFonts w:ascii="標楷體" w:eastAsia="標楷體" w:hAnsi="標楷體" w:hint="eastAsia"/>
          <w:b/>
          <w:bCs/>
          <w:sz w:val="32"/>
        </w:rPr>
        <w:t>沈立法委員發惠</w:t>
      </w:r>
      <w:r w:rsidRPr="001B6E4D">
        <w:rPr>
          <w:rFonts w:ascii="標楷體" w:eastAsia="標楷體" w:hAnsi="標楷體" w:hint="eastAsia"/>
          <w:b/>
          <w:sz w:val="32"/>
          <w:szCs w:val="32"/>
        </w:rPr>
        <w:t>：</w:t>
      </w:r>
    </w:p>
    <w:p w14:paraId="07289528"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非常感謝大家辛苦安排本次的考察行程</w:t>
      </w:r>
      <w:r w:rsidRPr="001B6E4D">
        <w:rPr>
          <w:rFonts w:ascii="標楷體" w:eastAsia="標楷體" w:hAnsi="標楷體" w:hint="eastAsia"/>
          <w:bCs/>
          <w:sz w:val="32"/>
          <w:szCs w:val="32"/>
        </w:rPr>
        <w:t>，</w:t>
      </w:r>
      <w:r w:rsidRPr="001B6E4D">
        <w:rPr>
          <w:rFonts w:ascii="標楷體" w:eastAsia="標楷體" w:hAnsi="標楷體"/>
          <w:bCs/>
          <w:sz w:val="32"/>
          <w:szCs w:val="32"/>
        </w:rPr>
        <w:t>今天考察最主要的目的是希望能深入了解貴單位在資源、預算以及相關政策法制上，有哪些需要我們司法及法制委員會全力支持與協助的地方。</w:t>
      </w:r>
    </w:p>
    <w:p w14:paraId="3AEEC885"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剛才陳主任特別關切預算與設備議題，我們也深刻了解到，</w:t>
      </w:r>
      <w:proofErr w:type="gramStart"/>
      <w:r w:rsidRPr="001B6E4D">
        <w:rPr>
          <w:rFonts w:ascii="標楷體" w:eastAsia="標楷體" w:hAnsi="標楷體"/>
          <w:bCs/>
          <w:sz w:val="32"/>
          <w:szCs w:val="32"/>
        </w:rPr>
        <w:t>資安與</w:t>
      </w:r>
      <w:proofErr w:type="gramEnd"/>
      <w:r w:rsidRPr="001B6E4D">
        <w:rPr>
          <w:rFonts w:ascii="標楷體" w:eastAsia="標楷體" w:hAnsi="標楷體"/>
          <w:bCs/>
          <w:sz w:val="32"/>
          <w:szCs w:val="32"/>
        </w:rPr>
        <w:t>數位</w:t>
      </w:r>
      <w:proofErr w:type="gramStart"/>
      <w:r w:rsidRPr="001B6E4D">
        <w:rPr>
          <w:rFonts w:ascii="標楷體" w:eastAsia="標楷體" w:hAnsi="標楷體"/>
          <w:bCs/>
          <w:sz w:val="32"/>
          <w:szCs w:val="32"/>
        </w:rPr>
        <w:t>鑑</w:t>
      </w:r>
      <w:proofErr w:type="gramEnd"/>
      <w:r w:rsidRPr="001B6E4D">
        <w:rPr>
          <w:rFonts w:ascii="標楷體" w:eastAsia="標楷體" w:hAnsi="標楷體"/>
          <w:bCs/>
          <w:sz w:val="32"/>
          <w:szCs w:val="32"/>
        </w:rPr>
        <w:t>識工作確實極具專業性且非常消耗資源。因此，我們十分希望能為法務部及調查局爭取並提供充分的預算支持，以做為第一線執法同仁的堅實後盾。</w:t>
      </w:r>
    </w:p>
    <w:p w14:paraId="758F5780"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至於法制層面，剛才大家有深入討論到如何在法制面上進一步落實，使「數位證據保全」與「科技偵查」的相關修法更加完備。後續我們各委員辦公室也會持續與各相關單位保持緊密溝通與</w:t>
      </w:r>
      <w:proofErr w:type="gramStart"/>
      <w:r w:rsidRPr="001B6E4D">
        <w:rPr>
          <w:rFonts w:ascii="標楷體" w:eastAsia="標楷體" w:hAnsi="標楷體"/>
          <w:bCs/>
          <w:sz w:val="32"/>
          <w:szCs w:val="32"/>
        </w:rPr>
        <w:t>研</w:t>
      </w:r>
      <w:proofErr w:type="gramEnd"/>
      <w:r w:rsidRPr="001B6E4D">
        <w:rPr>
          <w:rFonts w:ascii="標楷體" w:eastAsia="標楷體" w:hAnsi="標楷體"/>
          <w:bCs/>
          <w:sz w:val="32"/>
          <w:szCs w:val="32"/>
        </w:rPr>
        <w:t>議。</w:t>
      </w:r>
    </w:p>
    <w:p w14:paraId="171CCAC1" w14:textId="77777777" w:rsidR="00B921E8" w:rsidRPr="001B6E4D" w:rsidRDefault="00B921E8" w:rsidP="003D1018">
      <w:pPr>
        <w:widowControl w:val="0"/>
        <w:tabs>
          <w:tab w:val="left" w:pos="4680"/>
        </w:tabs>
        <w:overflowPunct w:val="0"/>
        <w:snapToGrid w:val="0"/>
        <w:spacing w:afterLines="50" w:after="180" w:line="480" w:lineRule="exact"/>
        <w:ind w:leftChars="200" w:left="480" w:firstLineChars="200" w:firstLine="640"/>
        <w:jc w:val="both"/>
        <w:rPr>
          <w:rFonts w:ascii="標楷體" w:eastAsia="標楷體" w:hAnsi="標楷體"/>
          <w:bCs/>
          <w:sz w:val="32"/>
          <w:szCs w:val="32"/>
        </w:rPr>
      </w:pPr>
      <w:r w:rsidRPr="001B6E4D">
        <w:rPr>
          <w:rFonts w:ascii="標楷體" w:eastAsia="標楷體" w:hAnsi="標楷體"/>
          <w:bCs/>
          <w:sz w:val="32"/>
          <w:szCs w:val="32"/>
        </w:rPr>
        <w:t>再次感謝法務部與調查局今日周全的安排與簡報，今天的考察行程就到此圓滿結束，謝謝大家</w:t>
      </w:r>
      <w:r w:rsidRPr="001B6E4D">
        <w:rPr>
          <w:rFonts w:ascii="標楷體" w:eastAsia="標楷體" w:hAnsi="標楷體" w:hint="eastAsia"/>
          <w:bCs/>
          <w:sz w:val="32"/>
          <w:szCs w:val="32"/>
        </w:rPr>
        <w:t>。</w:t>
      </w:r>
    </w:p>
    <w:p w14:paraId="469B0E54" w14:textId="77777777" w:rsidR="00B921E8" w:rsidRPr="001B6E4D" w:rsidRDefault="00B921E8" w:rsidP="003D1018">
      <w:pPr>
        <w:widowControl w:val="0"/>
        <w:numPr>
          <w:ilvl w:val="0"/>
          <w:numId w:val="95"/>
        </w:numPr>
        <w:tabs>
          <w:tab w:val="left" w:pos="4680"/>
        </w:tabs>
        <w:overflowPunct w:val="0"/>
        <w:snapToGrid w:val="0"/>
        <w:spacing w:afterLines="50" w:after="180" w:line="480" w:lineRule="exact"/>
        <w:jc w:val="both"/>
        <w:rPr>
          <w:rFonts w:ascii="標楷體" w:eastAsia="標楷體" w:hAnsi="標楷體" w:cs="BiauKai"/>
          <w:b/>
          <w:sz w:val="32"/>
          <w:szCs w:val="40"/>
        </w:rPr>
      </w:pPr>
      <w:r w:rsidRPr="001B6E4D">
        <w:rPr>
          <w:rFonts w:ascii="標楷體" w:eastAsia="標楷體" w:hAnsi="標楷體" w:hint="eastAsia"/>
          <w:b/>
          <w:bCs/>
          <w:sz w:val="32"/>
        </w:rPr>
        <w:t>散會（上午10時50分）</w:t>
      </w:r>
    </w:p>
    <w:p w14:paraId="74E4F711" w14:textId="77957915" w:rsidR="004B2FC2" w:rsidRDefault="004B2FC2" w:rsidP="003D1018">
      <w:pPr>
        <w:widowControl w:val="0"/>
        <w:tabs>
          <w:tab w:val="left" w:pos="720"/>
          <w:tab w:val="left" w:pos="1985"/>
        </w:tabs>
        <w:overflowPunct w:val="0"/>
        <w:spacing w:line="276" w:lineRule="auto"/>
        <w:jc w:val="both"/>
        <w:rPr>
          <w:rFonts w:ascii="標楷體" w:eastAsia="標楷體" w:hAnsi="標楷體"/>
          <w:color w:val="000000"/>
          <w:kern w:val="0"/>
          <w:sz w:val="32"/>
          <w:szCs w:val="32"/>
        </w:rPr>
      </w:pPr>
      <w:r>
        <w:rPr>
          <w:rFonts w:ascii="標楷體" w:eastAsia="標楷體" w:hAnsi="標楷體"/>
          <w:color w:val="000000"/>
          <w:kern w:val="0"/>
          <w:sz w:val="32"/>
          <w:szCs w:val="32"/>
        </w:rPr>
        <w:br w:type="page"/>
      </w:r>
    </w:p>
    <w:p w14:paraId="497F944D" w14:textId="77777777" w:rsidR="00905479" w:rsidRPr="00905479" w:rsidRDefault="00905479" w:rsidP="003D1018">
      <w:pPr>
        <w:kinsoku w:val="0"/>
        <w:overflowPunct w:val="0"/>
        <w:snapToGrid w:val="0"/>
        <w:spacing w:afterLines="50" w:after="180" w:line="440" w:lineRule="exact"/>
        <w:jc w:val="center"/>
        <w:outlineLvl w:val="4"/>
        <w:rPr>
          <w:rFonts w:ascii="標楷體" w:eastAsia="標楷體" w:hAnsi="標楷體"/>
          <w:b/>
          <w:sz w:val="36"/>
          <w:szCs w:val="20"/>
        </w:rPr>
      </w:pPr>
      <w:r w:rsidRPr="00905479">
        <w:rPr>
          <w:rFonts w:ascii="標楷體" w:eastAsia="標楷體" w:hAnsi="標楷體"/>
          <w:b/>
          <w:sz w:val="36"/>
          <w:szCs w:val="20"/>
        </w:rPr>
        <w:lastRenderedPageBreak/>
        <w:t>立法院司法及法制委員會</w:t>
      </w:r>
      <w:bookmarkStart w:id="589" w:name="考察人事行政總處公務人力發展學院因應AI時代之公務人員培訓及員額等人力運用"/>
      <w:r w:rsidRPr="00905479">
        <w:rPr>
          <w:rFonts w:ascii="標楷體" w:eastAsia="標楷體" w:hAnsi="標楷體"/>
          <w:b/>
          <w:sz w:val="36"/>
          <w:szCs w:val="20"/>
        </w:rPr>
        <w:t>考察行政院人事行政總處公務人力發展學院「因應AI時代之公務人員培訓及員額等人力運用」</w:t>
      </w:r>
      <w:bookmarkEnd w:id="589"/>
      <w:r w:rsidRPr="00905479">
        <w:rPr>
          <w:rFonts w:ascii="標楷體" w:eastAsia="標楷體" w:hAnsi="標楷體" w:hint="eastAsia"/>
          <w:b/>
          <w:sz w:val="36"/>
          <w:szCs w:val="20"/>
        </w:rPr>
        <w:t>書面</w:t>
      </w:r>
      <w:r w:rsidRPr="00905479">
        <w:rPr>
          <w:rFonts w:ascii="標楷體" w:eastAsia="標楷體" w:hAnsi="標楷體"/>
          <w:b/>
          <w:sz w:val="36"/>
          <w:szCs w:val="20"/>
        </w:rPr>
        <w:t>紀錄</w:t>
      </w:r>
    </w:p>
    <w:p w14:paraId="3E6934ED" w14:textId="77777777" w:rsidR="00905479" w:rsidRPr="00905479" w:rsidRDefault="00905479" w:rsidP="003D1018">
      <w:pPr>
        <w:widowControl w:val="0"/>
        <w:suppressAutoHyphens/>
        <w:overflowPunct w:val="0"/>
        <w:autoSpaceDE w:val="0"/>
        <w:autoSpaceDN w:val="0"/>
        <w:spacing w:line="640" w:lineRule="exact"/>
        <w:jc w:val="both"/>
        <w:textAlignment w:val="baseline"/>
        <w:rPr>
          <w:kern w:val="3"/>
          <w:sz w:val="32"/>
          <w:szCs w:val="32"/>
        </w:rPr>
      </w:pPr>
      <w:r w:rsidRPr="00905479">
        <w:rPr>
          <w:rFonts w:ascii="標楷體" w:eastAsia="標楷體" w:hAnsi="標楷體" w:hint="eastAsia"/>
          <w:b/>
          <w:color w:val="000000"/>
          <w:kern w:val="3"/>
          <w:sz w:val="32"/>
          <w:szCs w:val="32"/>
        </w:rPr>
        <w:t>考察</w:t>
      </w:r>
      <w:r w:rsidRPr="00905479">
        <w:rPr>
          <w:rFonts w:ascii="標楷體" w:eastAsia="標楷體" w:hAnsi="標楷體"/>
          <w:b/>
          <w:color w:val="000000"/>
          <w:kern w:val="3"/>
          <w:sz w:val="32"/>
          <w:szCs w:val="32"/>
        </w:rPr>
        <w:t>時間：</w:t>
      </w:r>
      <w:r w:rsidRPr="00905479">
        <w:rPr>
          <w:rFonts w:ascii="標楷體" w:eastAsia="標楷體" w:hAnsi="標楷體"/>
          <w:color w:val="000000"/>
          <w:kern w:val="3"/>
          <w:sz w:val="32"/>
          <w:szCs w:val="32"/>
        </w:rPr>
        <w:t>115年</w:t>
      </w:r>
      <w:r w:rsidRPr="00905479">
        <w:rPr>
          <w:rFonts w:ascii="標楷體" w:eastAsia="標楷體" w:hAnsi="標楷體" w:hint="eastAsia"/>
          <w:color w:val="000000"/>
          <w:kern w:val="3"/>
          <w:sz w:val="32"/>
          <w:szCs w:val="32"/>
        </w:rPr>
        <w:t>8</w:t>
      </w:r>
      <w:r w:rsidRPr="00905479">
        <w:rPr>
          <w:rFonts w:ascii="標楷體" w:eastAsia="標楷體" w:hAnsi="標楷體"/>
          <w:color w:val="000000"/>
          <w:kern w:val="3"/>
          <w:sz w:val="32"/>
          <w:szCs w:val="32"/>
        </w:rPr>
        <w:t>月</w:t>
      </w:r>
      <w:r w:rsidRPr="00905479">
        <w:rPr>
          <w:rFonts w:ascii="標楷體" w:eastAsia="標楷體" w:hAnsi="標楷體" w:hint="eastAsia"/>
          <w:color w:val="000000"/>
          <w:kern w:val="3"/>
          <w:sz w:val="32"/>
          <w:szCs w:val="32"/>
        </w:rPr>
        <w:t>31</w:t>
      </w:r>
      <w:r w:rsidRPr="00905479">
        <w:rPr>
          <w:rFonts w:ascii="標楷體" w:eastAsia="標楷體" w:hAnsi="標楷體"/>
          <w:color w:val="000000"/>
          <w:kern w:val="3"/>
          <w:sz w:val="32"/>
          <w:szCs w:val="32"/>
        </w:rPr>
        <w:t>日</w:t>
      </w:r>
      <w:r w:rsidRPr="00905479">
        <w:rPr>
          <w:rFonts w:ascii="標楷體" w:eastAsia="標楷體" w:hAnsi="標楷體" w:hint="eastAsia"/>
          <w:color w:val="000000"/>
          <w:kern w:val="3"/>
          <w:sz w:val="32"/>
          <w:szCs w:val="32"/>
        </w:rPr>
        <w:t>（</w:t>
      </w:r>
      <w:r w:rsidRPr="00905479">
        <w:rPr>
          <w:rFonts w:ascii="標楷體" w:eastAsia="標楷體" w:hAnsi="標楷體"/>
          <w:color w:val="000000"/>
          <w:kern w:val="3"/>
          <w:sz w:val="32"/>
          <w:szCs w:val="32"/>
        </w:rPr>
        <w:t>星期一</w:t>
      </w:r>
      <w:r w:rsidRPr="00905479">
        <w:rPr>
          <w:rFonts w:ascii="標楷體" w:eastAsia="標楷體" w:hAnsi="標楷體" w:hint="eastAsia"/>
          <w:color w:val="000000"/>
          <w:kern w:val="3"/>
          <w:sz w:val="32"/>
          <w:szCs w:val="32"/>
        </w:rPr>
        <w:t>）</w:t>
      </w:r>
      <w:r w:rsidRPr="00905479">
        <w:rPr>
          <w:rFonts w:ascii="標楷體" w:eastAsia="標楷體" w:hAnsi="標楷體"/>
          <w:color w:val="000000"/>
          <w:kern w:val="3"/>
          <w:sz w:val="32"/>
          <w:szCs w:val="32"/>
        </w:rPr>
        <w:t>上午9時30分</w:t>
      </w:r>
    </w:p>
    <w:p w14:paraId="6520319A" w14:textId="77777777" w:rsidR="00905479" w:rsidRPr="00905479" w:rsidRDefault="00905479" w:rsidP="003D1018">
      <w:pPr>
        <w:widowControl w:val="0"/>
        <w:suppressAutoHyphens/>
        <w:overflowPunct w:val="0"/>
        <w:autoSpaceDE w:val="0"/>
        <w:autoSpaceDN w:val="0"/>
        <w:spacing w:line="640" w:lineRule="exact"/>
        <w:ind w:left="1541" w:hangingChars="481" w:hanging="1541"/>
        <w:jc w:val="both"/>
        <w:textAlignment w:val="baseline"/>
        <w:rPr>
          <w:kern w:val="3"/>
          <w:sz w:val="32"/>
          <w:szCs w:val="32"/>
        </w:rPr>
      </w:pPr>
      <w:r w:rsidRPr="00905479">
        <w:rPr>
          <w:rFonts w:ascii="標楷體" w:eastAsia="標楷體" w:hAnsi="標楷體" w:hint="eastAsia"/>
          <w:b/>
          <w:color w:val="000000"/>
          <w:kern w:val="3"/>
          <w:sz w:val="32"/>
          <w:szCs w:val="32"/>
        </w:rPr>
        <w:t>考察</w:t>
      </w:r>
      <w:r w:rsidRPr="00905479">
        <w:rPr>
          <w:rFonts w:ascii="標楷體" w:eastAsia="標楷體" w:hAnsi="標楷體"/>
          <w:b/>
          <w:color w:val="000000"/>
          <w:kern w:val="3"/>
          <w:sz w:val="32"/>
          <w:szCs w:val="32"/>
        </w:rPr>
        <w:t>地點：</w:t>
      </w:r>
      <w:r w:rsidRPr="00905479">
        <w:rPr>
          <w:rFonts w:ascii="標楷體" w:eastAsia="標楷體" w:hAnsi="標楷體" w:hint="eastAsia"/>
          <w:color w:val="000000"/>
          <w:kern w:val="3"/>
          <w:sz w:val="32"/>
          <w:szCs w:val="32"/>
        </w:rPr>
        <w:t>行政院人事行政總處（以下簡稱人事總處）公務人力發展學院（以下簡稱人力學院）</w:t>
      </w:r>
      <w:proofErr w:type="gramStart"/>
      <w:r w:rsidRPr="00905479">
        <w:rPr>
          <w:rFonts w:ascii="標楷體" w:eastAsia="標楷體" w:hAnsi="標楷體" w:hint="eastAsia"/>
          <w:color w:val="000000"/>
          <w:kern w:val="3"/>
          <w:sz w:val="32"/>
          <w:szCs w:val="32"/>
        </w:rPr>
        <w:t>臺北院區教學棟</w:t>
      </w:r>
      <w:proofErr w:type="gramEnd"/>
      <w:r w:rsidRPr="00905479">
        <w:rPr>
          <w:rFonts w:ascii="標楷體" w:eastAsia="標楷體" w:hAnsi="標楷體" w:hint="eastAsia"/>
          <w:color w:val="000000"/>
          <w:kern w:val="3"/>
          <w:sz w:val="32"/>
          <w:szCs w:val="32"/>
        </w:rPr>
        <w:t>404教室</w:t>
      </w:r>
      <w:r w:rsidRPr="00905479">
        <w:rPr>
          <w:kern w:val="3"/>
          <w:sz w:val="32"/>
          <w:szCs w:val="32"/>
        </w:rPr>
        <w:t xml:space="preserve"> </w:t>
      </w:r>
    </w:p>
    <w:p w14:paraId="1F1BC20E" w14:textId="77777777" w:rsidR="00905479" w:rsidRPr="00905479" w:rsidRDefault="00905479" w:rsidP="003D1018">
      <w:pPr>
        <w:widowControl w:val="0"/>
        <w:suppressAutoHyphens/>
        <w:overflowPunct w:val="0"/>
        <w:autoSpaceDE w:val="0"/>
        <w:autoSpaceDN w:val="0"/>
        <w:spacing w:line="640" w:lineRule="exact"/>
        <w:jc w:val="both"/>
        <w:textAlignment w:val="baseline"/>
        <w:rPr>
          <w:kern w:val="3"/>
          <w:sz w:val="32"/>
          <w:szCs w:val="32"/>
        </w:rPr>
      </w:pPr>
      <w:r w:rsidRPr="00905479">
        <w:rPr>
          <w:rFonts w:ascii="標楷體" w:eastAsia="標楷體" w:hAnsi="標楷體"/>
          <w:b/>
          <w:color w:val="000000"/>
          <w:kern w:val="3"/>
          <w:sz w:val="32"/>
          <w:szCs w:val="32"/>
        </w:rPr>
        <w:t>主    席：</w:t>
      </w:r>
      <w:r w:rsidRPr="00905479">
        <w:rPr>
          <w:rFonts w:ascii="標楷體" w:eastAsia="標楷體" w:hAnsi="標楷體"/>
          <w:color w:val="000000"/>
          <w:kern w:val="3"/>
          <w:sz w:val="32"/>
          <w:szCs w:val="32"/>
        </w:rPr>
        <w:t>立法院司法及法制委員會翁召集委員曉玲</w:t>
      </w:r>
    </w:p>
    <w:p w14:paraId="06F05627" w14:textId="368B8026" w:rsidR="00905479" w:rsidRPr="00905479" w:rsidRDefault="00905479" w:rsidP="003D1018">
      <w:pPr>
        <w:widowControl w:val="0"/>
        <w:suppressAutoHyphens/>
        <w:overflowPunct w:val="0"/>
        <w:autoSpaceDE w:val="0"/>
        <w:autoSpaceDN w:val="0"/>
        <w:spacing w:line="640" w:lineRule="exact"/>
        <w:jc w:val="both"/>
        <w:textAlignment w:val="baseline"/>
        <w:rPr>
          <w:rFonts w:ascii="標楷體" w:eastAsia="標楷體" w:hAnsi="標楷體"/>
          <w:kern w:val="3"/>
          <w:sz w:val="32"/>
          <w:szCs w:val="32"/>
        </w:rPr>
      </w:pPr>
      <w:r w:rsidRPr="00905479">
        <w:rPr>
          <w:rFonts w:ascii="標楷體" w:eastAsia="標楷體" w:hAnsi="標楷體"/>
          <w:b/>
          <w:color w:val="000000"/>
          <w:kern w:val="3"/>
          <w:sz w:val="32"/>
          <w:szCs w:val="32"/>
        </w:rPr>
        <w:t>出席人員：</w:t>
      </w:r>
      <w:r w:rsidRPr="00905479">
        <w:rPr>
          <w:rFonts w:ascii="標楷體" w:eastAsia="標楷體" w:hAnsi="標楷體"/>
          <w:color w:val="000000"/>
          <w:kern w:val="3"/>
          <w:sz w:val="32"/>
          <w:szCs w:val="32"/>
        </w:rPr>
        <w:t>詳如會議簽到</w:t>
      </w:r>
      <w:r w:rsidRPr="00905479">
        <w:rPr>
          <w:rFonts w:ascii="標楷體" w:eastAsia="標楷體" w:hAnsi="標楷體" w:hint="eastAsia"/>
          <w:color w:val="000000"/>
          <w:kern w:val="3"/>
          <w:sz w:val="32"/>
          <w:szCs w:val="32"/>
        </w:rPr>
        <w:t xml:space="preserve">單                 </w:t>
      </w:r>
      <w:r w:rsidRPr="00905479">
        <w:rPr>
          <w:rFonts w:ascii="標楷體" w:eastAsia="標楷體" w:hAnsi="標楷體"/>
          <w:kern w:val="3"/>
          <w:sz w:val="32"/>
          <w:szCs w:val="32"/>
        </w:rPr>
        <w:t>紀錄：</w:t>
      </w:r>
      <w:r w:rsidRPr="00905479">
        <w:rPr>
          <w:rFonts w:ascii="標楷體" w:eastAsia="標楷體" w:hAnsi="標楷體" w:hint="eastAsia"/>
          <w:kern w:val="3"/>
          <w:sz w:val="32"/>
          <w:szCs w:val="32"/>
        </w:rPr>
        <w:t>蘇家寬</w:t>
      </w:r>
    </w:p>
    <w:p w14:paraId="4D25B916" w14:textId="77777777" w:rsidR="00905479" w:rsidRPr="00905479" w:rsidRDefault="00905479" w:rsidP="003D1018">
      <w:pPr>
        <w:widowControl w:val="0"/>
        <w:suppressAutoHyphens/>
        <w:overflowPunct w:val="0"/>
        <w:autoSpaceDE w:val="0"/>
        <w:autoSpaceDN w:val="0"/>
        <w:spacing w:line="640" w:lineRule="exact"/>
        <w:jc w:val="both"/>
        <w:textAlignment w:val="baseline"/>
        <w:rPr>
          <w:rFonts w:ascii="標楷體" w:eastAsia="標楷體" w:hAnsi="標楷體"/>
          <w:b/>
          <w:color w:val="000000"/>
          <w:kern w:val="3"/>
          <w:sz w:val="32"/>
          <w:szCs w:val="32"/>
        </w:rPr>
      </w:pPr>
      <w:r w:rsidRPr="00905479">
        <w:rPr>
          <w:rFonts w:ascii="標楷體" w:eastAsia="標楷體" w:hAnsi="標楷體" w:hint="eastAsia"/>
          <w:b/>
          <w:color w:val="000000"/>
          <w:kern w:val="3"/>
          <w:sz w:val="32"/>
          <w:szCs w:val="32"/>
        </w:rPr>
        <w:t>考察紀要</w:t>
      </w:r>
    </w:p>
    <w:p w14:paraId="3B3A4D32" w14:textId="77777777" w:rsidR="00905479" w:rsidRPr="00905479" w:rsidRDefault="00905479" w:rsidP="003D1018">
      <w:pPr>
        <w:widowControl w:val="0"/>
        <w:numPr>
          <w:ilvl w:val="0"/>
          <w:numId w:val="105"/>
        </w:numPr>
        <w:tabs>
          <w:tab w:val="left" w:pos="4680"/>
        </w:tabs>
        <w:suppressAutoHyphens/>
        <w:overflowPunct w:val="0"/>
        <w:autoSpaceDN w:val="0"/>
        <w:snapToGrid w:val="0"/>
        <w:spacing w:before="180" w:after="180" w:line="520" w:lineRule="exact"/>
        <w:jc w:val="both"/>
        <w:textAlignment w:val="baseline"/>
        <w:rPr>
          <w:rFonts w:ascii="Calibri" w:hAnsi="Calibri"/>
          <w:kern w:val="3"/>
          <w:sz w:val="32"/>
          <w:szCs w:val="32"/>
        </w:rPr>
      </w:pPr>
      <w:r w:rsidRPr="00905479">
        <w:rPr>
          <w:rFonts w:ascii="標楷體" w:eastAsia="標楷體" w:hAnsi="標楷體" w:cs="標楷體" w:hint="eastAsia"/>
          <w:b/>
          <w:bCs/>
          <w:kern w:val="3"/>
          <w:sz w:val="32"/>
          <w:szCs w:val="32"/>
          <w:lang w:val="zh-TW"/>
        </w:rPr>
        <w:t>長官致詞</w:t>
      </w:r>
    </w:p>
    <w:p w14:paraId="46B04697" w14:textId="77777777" w:rsidR="00905479" w:rsidRPr="00905479" w:rsidRDefault="00905479" w:rsidP="003D1018">
      <w:pPr>
        <w:widowControl w:val="0"/>
        <w:numPr>
          <w:ilvl w:val="0"/>
          <w:numId w:val="96"/>
        </w:numPr>
        <w:tabs>
          <w:tab w:val="left" w:pos="4680"/>
        </w:tabs>
        <w:suppressAutoHyphens/>
        <w:overflowPunct w:val="0"/>
        <w:autoSpaceDN w:val="0"/>
        <w:snapToGrid w:val="0"/>
        <w:spacing w:before="180" w:after="180" w:line="520" w:lineRule="exact"/>
        <w:jc w:val="both"/>
        <w:textAlignment w:val="baseline"/>
        <w:rPr>
          <w:rFonts w:ascii="Calibri" w:hAnsi="Calibri"/>
          <w:kern w:val="3"/>
          <w:sz w:val="32"/>
          <w:szCs w:val="32"/>
        </w:rPr>
      </w:pPr>
      <w:r w:rsidRPr="00905479">
        <w:rPr>
          <w:rFonts w:ascii="標楷體" w:eastAsia="標楷體" w:hAnsi="標楷體" w:cs="標楷體" w:hint="eastAsia"/>
          <w:b/>
          <w:bCs/>
          <w:kern w:val="3"/>
          <w:sz w:val="32"/>
          <w:szCs w:val="32"/>
          <w:lang w:val="zh-TW"/>
        </w:rPr>
        <w:t>人事總處張副</w:t>
      </w:r>
      <w:proofErr w:type="gramStart"/>
      <w:r w:rsidRPr="00905479">
        <w:rPr>
          <w:rFonts w:ascii="標楷體" w:eastAsia="標楷體" w:hAnsi="標楷體" w:cs="標楷體" w:hint="eastAsia"/>
          <w:b/>
          <w:bCs/>
          <w:kern w:val="3"/>
          <w:sz w:val="32"/>
          <w:szCs w:val="32"/>
          <w:lang w:val="zh-TW"/>
        </w:rPr>
        <w:t>人事長秋元</w:t>
      </w:r>
      <w:proofErr w:type="gramEnd"/>
      <w:r w:rsidRPr="00905479">
        <w:rPr>
          <w:rFonts w:ascii="標楷體" w:eastAsia="標楷體" w:hAnsi="標楷體"/>
          <w:b/>
          <w:bCs/>
          <w:kern w:val="3"/>
          <w:sz w:val="32"/>
          <w:szCs w:val="32"/>
        </w:rPr>
        <w:t>致歡迎詞</w:t>
      </w:r>
      <w:r w:rsidRPr="00905479">
        <w:rPr>
          <w:rFonts w:ascii="標楷體" w:eastAsia="標楷體" w:hAnsi="標楷體" w:cs="標楷體"/>
          <w:b/>
          <w:bCs/>
          <w:kern w:val="3"/>
          <w:sz w:val="32"/>
          <w:szCs w:val="32"/>
          <w:lang w:val="zh-TW"/>
        </w:rPr>
        <w:t>：</w:t>
      </w:r>
    </w:p>
    <w:p w14:paraId="7390D702" w14:textId="77777777" w:rsidR="00905479" w:rsidRPr="00905479" w:rsidRDefault="00905479" w:rsidP="003D1018">
      <w:pPr>
        <w:widowControl w:val="0"/>
        <w:tabs>
          <w:tab w:val="left" w:pos="4680"/>
        </w:tabs>
        <w:suppressAutoHyphens/>
        <w:overflowPunct w:val="0"/>
        <w:autoSpaceDN w:val="0"/>
        <w:snapToGrid w:val="0"/>
        <w:spacing w:before="180" w:after="180" w:line="520" w:lineRule="exact"/>
        <w:ind w:left="998" w:firstLineChars="200" w:firstLine="640"/>
        <w:jc w:val="both"/>
        <w:textAlignment w:val="baseline"/>
        <w:rPr>
          <w:rFonts w:ascii="標楷體" w:eastAsia="標楷體" w:hAnsi="標楷體" w:cs="標楷體"/>
          <w:bCs/>
          <w:kern w:val="3"/>
          <w:sz w:val="32"/>
          <w:szCs w:val="32"/>
        </w:rPr>
      </w:pPr>
      <w:r w:rsidRPr="00905479">
        <w:rPr>
          <w:rFonts w:ascii="標楷體" w:eastAsia="標楷體" w:hAnsi="標楷體" w:cs="標楷體"/>
          <w:bCs/>
          <w:kern w:val="3"/>
          <w:sz w:val="32"/>
          <w:szCs w:val="32"/>
        </w:rPr>
        <w:t>首先誠摯歡迎</w:t>
      </w:r>
      <w:proofErr w:type="gramStart"/>
      <w:r w:rsidRPr="00905479">
        <w:rPr>
          <w:rFonts w:ascii="標楷體" w:eastAsia="標楷體" w:hAnsi="標楷體" w:cs="標楷體"/>
          <w:bCs/>
          <w:kern w:val="3"/>
          <w:sz w:val="32"/>
          <w:szCs w:val="32"/>
        </w:rPr>
        <w:t>立法院司法及法制委員會翁召委</w:t>
      </w:r>
      <w:proofErr w:type="gramEnd"/>
      <w:r w:rsidRPr="00905479">
        <w:rPr>
          <w:rFonts w:ascii="標楷體" w:eastAsia="標楷體" w:hAnsi="標楷體" w:cs="標楷體"/>
          <w:bCs/>
          <w:kern w:val="3"/>
          <w:sz w:val="32"/>
          <w:szCs w:val="32"/>
        </w:rPr>
        <w:t>及各位長官、各委員辦公室代表蒞臨人</w:t>
      </w:r>
      <w:r w:rsidRPr="00905479">
        <w:rPr>
          <w:rFonts w:ascii="標楷體" w:eastAsia="標楷體" w:hAnsi="標楷體" w:cs="標楷體" w:hint="eastAsia"/>
          <w:bCs/>
          <w:kern w:val="3"/>
          <w:sz w:val="32"/>
          <w:szCs w:val="32"/>
        </w:rPr>
        <w:t>力</w:t>
      </w:r>
      <w:r w:rsidRPr="00905479">
        <w:rPr>
          <w:rFonts w:ascii="標楷體" w:eastAsia="標楷體" w:hAnsi="標楷體" w:cs="標楷體"/>
          <w:bCs/>
          <w:kern w:val="3"/>
          <w:sz w:val="32"/>
          <w:szCs w:val="32"/>
        </w:rPr>
        <w:t>學院。人力學院</w:t>
      </w:r>
      <w:r w:rsidRPr="00905479">
        <w:rPr>
          <w:rFonts w:ascii="標楷體" w:eastAsia="標楷體" w:hAnsi="標楷體" w:cs="標楷體" w:hint="eastAsia"/>
          <w:bCs/>
          <w:kern w:val="3"/>
          <w:sz w:val="32"/>
          <w:szCs w:val="32"/>
        </w:rPr>
        <w:t>對我而言</w:t>
      </w:r>
      <w:r w:rsidRPr="00905479">
        <w:rPr>
          <w:rFonts w:ascii="標楷體" w:eastAsia="標楷體" w:hAnsi="標楷體" w:cs="標楷體"/>
          <w:bCs/>
          <w:kern w:val="3"/>
          <w:sz w:val="32"/>
          <w:szCs w:val="32"/>
        </w:rPr>
        <w:t>是極具特殊情感與意義的園區。在</w:t>
      </w:r>
      <w:r w:rsidRPr="00905479">
        <w:rPr>
          <w:rFonts w:ascii="標楷體" w:eastAsia="標楷體" w:hAnsi="標楷體" w:cs="標楷體" w:hint="eastAsia"/>
          <w:bCs/>
          <w:kern w:val="3"/>
          <w:sz w:val="32"/>
          <w:szCs w:val="32"/>
        </w:rPr>
        <w:t>30</w:t>
      </w:r>
      <w:r w:rsidRPr="00905479">
        <w:rPr>
          <w:rFonts w:ascii="標楷體" w:eastAsia="標楷體" w:hAnsi="標楷體" w:cs="標楷體"/>
          <w:bCs/>
          <w:kern w:val="3"/>
          <w:sz w:val="32"/>
          <w:szCs w:val="32"/>
        </w:rPr>
        <w:t>年前，本人首次擔任基層主管時，</w:t>
      </w:r>
      <w:r w:rsidRPr="00905479">
        <w:rPr>
          <w:rFonts w:ascii="標楷體" w:eastAsia="標楷體" w:hAnsi="標楷體" w:cs="標楷體" w:hint="eastAsia"/>
          <w:bCs/>
          <w:kern w:val="3"/>
          <w:sz w:val="32"/>
          <w:szCs w:val="32"/>
        </w:rPr>
        <w:t>參與這個</w:t>
      </w:r>
      <w:r w:rsidRPr="00905479">
        <w:rPr>
          <w:rFonts w:ascii="標楷體" w:eastAsia="標楷體" w:hAnsi="標楷體" w:cs="標楷體"/>
          <w:bCs/>
          <w:kern w:val="3"/>
          <w:sz w:val="32"/>
          <w:szCs w:val="32"/>
        </w:rPr>
        <w:t>改建專案，這座園區</w:t>
      </w:r>
      <w:r w:rsidRPr="00905479">
        <w:rPr>
          <w:rFonts w:ascii="標楷體" w:eastAsia="標楷體" w:hAnsi="標楷體" w:cs="標楷體" w:hint="eastAsia"/>
          <w:bCs/>
          <w:kern w:val="3"/>
          <w:sz w:val="32"/>
          <w:szCs w:val="32"/>
        </w:rPr>
        <w:t>是我跟著同仁</w:t>
      </w:r>
      <w:proofErr w:type="gramStart"/>
      <w:r w:rsidRPr="00905479">
        <w:rPr>
          <w:rFonts w:ascii="標楷體" w:eastAsia="標楷體" w:hAnsi="標楷體" w:cs="標楷體"/>
          <w:bCs/>
          <w:kern w:val="3"/>
          <w:sz w:val="32"/>
          <w:szCs w:val="32"/>
        </w:rPr>
        <w:t>一</w:t>
      </w:r>
      <w:proofErr w:type="gramEnd"/>
      <w:r w:rsidRPr="00905479">
        <w:rPr>
          <w:rFonts w:ascii="標楷體" w:eastAsia="標楷體" w:hAnsi="標楷體" w:cs="標楷體"/>
          <w:bCs/>
          <w:kern w:val="3"/>
          <w:sz w:val="32"/>
          <w:szCs w:val="32"/>
        </w:rPr>
        <w:t>磚一瓦建設</w:t>
      </w:r>
      <w:r w:rsidRPr="00905479">
        <w:rPr>
          <w:rFonts w:ascii="標楷體" w:eastAsia="標楷體" w:hAnsi="標楷體" w:cs="標楷體" w:hint="eastAsia"/>
          <w:bCs/>
          <w:kern w:val="3"/>
          <w:sz w:val="32"/>
          <w:szCs w:val="32"/>
        </w:rPr>
        <w:t>起來的</w:t>
      </w:r>
      <w:r w:rsidRPr="00905479">
        <w:rPr>
          <w:rFonts w:ascii="標楷體" w:eastAsia="標楷體" w:hAnsi="標楷體" w:cs="標楷體"/>
          <w:bCs/>
          <w:kern w:val="3"/>
          <w:sz w:val="32"/>
          <w:szCs w:val="32"/>
        </w:rPr>
        <w:t>。本園區原為軍營，改建時，我們特別導入前瞻性的「公共財」設計理念，秉持開放、穿透之核心思維，採取無大門、無水泥圍牆與鐵柵欄設計，將園區邊界內縮以空出寬敞的人行步道，提供周邊社區學童及民眾一處安全的步行</w:t>
      </w:r>
      <w:r w:rsidRPr="00905479">
        <w:rPr>
          <w:rFonts w:ascii="標楷體" w:eastAsia="標楷體" w:hAnsi="標楷體" w:cs="標楷體" w:hint="eastAsia"/>
          <w:bCs/>
          <w:kern w:val="3"/>
          <w:sz w:val="32"/>
          <w:szCs w:val="32"/>
        </w:rPr>
        <w:t>空間</w:t>
      </w:r>
      <w:r w:rsidRPr="00905479">
        <w:rPr>
          <w:rFonts w:ascii="標楷體" w:eastAsia="標楷體" w:hAnsi="標楷體" w:cs="標楷體"/>
          <w:bCs/>
          <w:kern w:val="3"/>
          <w:sz w:val="32"/>
          <w:szCs w:val="32"/>
        </w:rPr>
        <w:t>與</w:t>
      </w:r>
      <w:r w:rsidRPr="00905479">
        <w:rPr>
          <w:rFonts w:ascii="標楷體" w:eastAsia="標楷體" w:hAnsi="標楷體" w:cs="標楷體" w:hint="eastAsia"/>
          <w:bCs/>
          <w:kern w:val="3"/>
          <w:sz w:val="32"/>
          <w:szCs w:val="32"/>
        </w:rPr>
        <w:t>舒適的</w:t>
      </w:r>
      <w:r w:rsidRPr="00905479">
        <w:rPr>
          <w:rFonts w:ascii="標楷體" w:eastAsia="標楷體" w:hAnsi="標楷體" w:cs="標楷體"/>
          <w:bCs/>
          <w:kern w:val="3"/>
          <w:sz w:val="32"/>
          <w:szCs w:val="32"/>
        </w:rPr>
        <w:t>視覺體驗。</w:t>
      </w:r>
      <w:proofErr w:type="gramStart"/>
      <w:r w:rsidRPr="00905479">
        <w:rPr>
          <w:rFonts w:ascii="標楷體" w:eastAsia="標楷體" w:hAnsi="標楷體" w:cs="標楷體"/>
          <w:bCs/>
          <w:kern w:val="3"/>
          <w:sz w:val="32"/>
          <w:szCs w:val="32"/>
        </w:rPr>
        <w:t>此外，</w:t>
      </w:r>
      <w:proofErr w:type="gramEnd"/>
      <w:r w:rsidRPr="00905479">
        <w:rPr>
          <w:rFonts w:ascii="標楷體" w:eastAsia="標楷體" w:hAnsi="標楷體" w:cs="標楷體"/>
          <w:bCs/>
          <w:kern w:val="3"/>
          <w:sz w:val="32"/>
          <w:szCs w:val="32"/>
        </w:rPr>
        <w:t>園區亦高比例進行綠美化，</w:t>
      </w:r>
      <w:proofErr w:type="gramStart"/>
      <w:r w:rsidRPr="00905479">
        <w:rPr>
          <w:rFonts w:ascii="標楷體" w:eastAsia="標楷體" w:hAnsi="標楷體" w:cs="標楷體"/>
          <w:bCs/>
          <w:kern w:val="3"/>
          <w:sz w:val="32"/>
          <w:szCs w:val="32"/>
        </w:rPr>
        <w:t>並於側邊</w:t>
      </w:r>
      <w:proofErr w:type="gramEnd"/>
      <w:r w:rsidRPr="00905479">
        <w:rPr>
          <w:rFonts w:ascii="標楷體" w:eastAsia="標楷體" w:hAnsi="標楷體" w:cs="標楷體"/>
          <w:bCs/>
          <w:kern w:val="3"/>
          <w:sz w:val="32"/>
          <w:szCs w:val="32"/>
        </w:rPr>
        <w:t>設有大型綠地作為都市防災公園，與社區共享共榮，極具社會價值。此一理念</w:t>
      </w:r>
      <w:r w:rsidRPr="00905479">
        <w:rPr>
          <w:rFonts w:ascii="標楷體" w:eastAsia="標楷體" w:hAnsi="標楷體" w:cs="標楷體" w:hint="eastAsia"/>
          <w:bCs/>
          <w:kern w:val="3"/>
          <w:sz w:val="32"/>
          <w:szCs w:val="32"/>
        </w:rPr>
        <w:t>一直被</w:t>
      </w:r>
      <w:r w:rsidRPr="00905479">
        <w:rPr>
          <w:rFonts w:ascii="標楷體" w:eastAsia="標楷體" w:hAnsi="標楷體" w:cs="標楷體"/>
          <w:bCs/>
          <w:kern w:val="3"/>
          <w:sz w:val="32"/>
          <w:szCs w:val="32"/>
        </w:rPr>
        <w:t>保留</w:t>
      </w:r>
      <w:r w:rsidRPr="00905479">
        <w:rPr>
          <w:rFonts w:ascii="標楷體" w:eastAsia="標楷體" w:hAnsi="標楷體" w:cs="標楷體" w:hint="eastAsia"/>
          <w:bCs/>
          <w:kern w:val="3"/>
          <w:sz w:val="32"/>
          <w:szCs w:val="32"/>
        </w:rPr>
        <w:t>下來</w:t>
      </w:r>
      <w:r w:rsidRPr="00905479">
        <w:rPr>
          <w:rFonts w:ascii="標楷體" w:eastAsia="標楷體" w:hAnsi="標楷體" w:cs="標楷體"/>
          <w:bCs/>
          <w:kern w:val="3"/>
          <w:sz w:val="32"/>
          <w:szCs w:val="32"/>
        </w:rPr>
        <w:t>並執行至今。</w:t>
      </w:r>
    </w:p>
    <w:p w14:paraId="169564DC" w14:textId="77777777" w:rsidR="00905479" w:rsidRPr="00905479" w:rsidRDefault="00905479" w:rsidP="003D1018">
      <w:pPr>
        <w:widowControl w:val="0"/>
        <w:tabs>
          <w:tab w:val="left" w:pos="4680"/>
        </w:tabs>
        <w:suppressAutoHyphens/>
        <w:overflowPunct w:val="0"/>
        <w:autoSpaceDN w:val="0"/>
        <w:snapToGrid w:val="0"/>
        <w:spacing w:before="180" w:after="180" w:line="520" w:lineRule="exact"/>
        <w:ind w:left="998" w:firstLineChars="200" w:firstLine="640"/>
        <w:jc w:val="both"/>
        <w:textAlignment w:val="baseline"/>
        <w:rPr>
          <w:rFonts w:ascii="標楷體" w:eastAsia="標楷體" w:hAnsi="標楷體" w:cs="標楷體"/>
          <w:bCs/>
          <w:kern w:val="3"/>
          <w:sz w:val="32"/>
          <w:szCs w:val="32"/>
        </w:rPr>
      </w:pPr>
      <w:r w:rsidRPr="00905479">
        <w:rPr>
          <w:rFonts w:ascii="標楷體" w:eastAsia="標楷體" w:hAnsi="標楷體" w:cs="標楷體"/>
          <w:bCs/>
          <w:kern w:val="3"/>
          <w:sz w:val="32"/>
          <w:szCs w:val="32"/>
        </w:rPr>
        <w:lastRenderedPageBreak/>
        <w:t>在公務本業方面，人力學院於10</w:t>
      </w:r>
      <w:r w:rsidRPr="00905479">
        <w:rPr>
          <w:rFonts w:ascii="標楷體" w:eastAsia="標楷體" w:hAnsi="標楷體" w:cs="標楷體" w:hint="eastAsia"/>
          <w:bCs/>
          <w:kern w:val="3"/>
          <w:sz w:val="32"/>
          <w:szCs w:val="32"/>
        </w:rPr>
        <w:t>6</w:t>
      </w:r>
      <w:r w:rsidRPr="00905479">
        <w:rPr>
          <w:rFonts w:ascii="標楷體" w:eastAsia="標楷體" w:hAnsi="標楷體" w:cs="標楷體"/>
          <w:bCs/>
          <w:kern w:val="3"/>
          <w:sz w:val="32"/>
          <w:szCs w:val="32"/>
        </w:rPr>
        <w:t>年配合行政院組織改造，整</w:t>
      </w:r>
      <w:proofErr w:type="gramStart"/>
      <w:r w:rsidRPr="00905479">
        <w:rPr>
          <w:rFonts w:ascii="標楷體" w:eastAsia="標楷體" w:hAnsi="標楷體" w:cs="標楷體"/>
          <w:bCs/>
          <w:kern w:val="3"/>
          <w:sz w:val="32"/>
          <w:szCs w:val="32"/>
        </w:rPr>
        <w:t>併</w:t>
      </w:r>
      <w:proofErr w:type="gramEnd"/>
      <w:r w:rsidRPr="00905479">
        <w:rPr>
          <w:rFonts w:ascii="標楷體" w:eastAsia="標楷體" w:hAnsi="標楷體" w:cs="標楷體"/>
          <w:bCs/>
          <w:kern w:val="3"/>
          <w:sz w:val="32"/>
          <w:szCs w:val="32"/>
        </w:rPr>
        <w:t>了原</w:t>
      </w:r>
      <w:proofErr w:type="gramStart"/>
      <w:r w:rsidRPr="00905479">
        <w:rPr>
          <w:rFonts w:ascii="標楷體" w:eastAsia="標楷體" w:hAnsi="標楷體" w:cs="標楷體"/>
          <w:bCs/>
          <w:kern w:val="3"/>
          <w:sz w:val="32"/>
          <w:szCs w:val="32"/>
        </w:rPr>
        <w:t>臺</w:t>
      </w:r>
      <w:proofErr w:type="gramEnd"/>
      <w:r w:rsidRPr="00905479">
        <w:rPr>
          <w:rFonts w:ascii="標楷體" w:eastAsia="標楷體" w:hAnsi="標楷體" w:cs="標楷體"/>
          <w:bCs/>
          <w:kern w:val="3"/>
          <w:sz w:val="32"/>
          <w:szCs w:val="32"/>
        </w:rPr>
        <w:t>北公務人力發展中心與南投地方行政研習中心，成為現今行政院所屬最為關鍵之高階公務同仁在職培訓基地。我們不僅在硬體設備上與時俱進，更在教學內容與技法上精益求精。面對大AI時代，公務機關不能落後，如何有效運用新興AI工具優化公共服務，並透過系統化</w:t>
      </w:r>
      <w:proofErr w:type="gramStart"/>
      <w:r w:rsidRPr="00905479">
        <w:rPr>
          <w:rFonts w:ascii="標楷體" w:eastAsia="標楷體" w:hAnsi="標楷體" w:cs="標楷體"/>
          <w:bCs/>
          <w:kern w:val="3"/>
          <w:sz w:val="32"/>
          <w:szCs w:val="32"/>
        </w:rPr>
        <w:t>培訓賦能全體</w:t>
      </w:r>
      <w:proofErr w:type="gramEnd"/>
      <w:r w:rsidRPr="00905479">
        <w:rPr>
          <w:rFonts w:ascii="標楷體" w:eastAsia="標楷體" w:hAnsi="標楷體" w:cs="標楷體"/>
          <w:bCs/>
          <w:kern w:val="3"/>
          <w:sz w:val="32"/>
          <w:szCs w:val="32"/>
        </w:rPr>
        <w:t>公務人員，是</w:t>
      </w:r>
      <w:r w:rsidRPr="00905479">
        <w:rPr>
          <w:rFonts w:ascii="標楷體" w:eastAsia="標楷體" w:hAnsi="標楷體" w:cs="標楷體" w:hint="eastAsia"/>
          <w:bCs/>
          <w:kern w:val="3"/>
          <w:sz w:val="32"/>
          <w:szCs w:val="32"/>
        </w:rPr>
        <w:t>人力</w:t>
      </w:r>
      <w:r w:rsidRPr="00905479">
        <w:rPr>
          <w:rFonts w:ascii="標楷體" w:eastAsia="標楷體" w:hAnsi="標楷體" w:cs="標楷體"/>
          <w:bCs/>
          <w:kern w:val="3"/>
          <w:sz w:val="32"/>
          <w:szCs w:val="32"/>
        </w:rPr>
        <w:t>學院現階段重中之重的使命。期待今天的考察交流能讓各位委員瞭解</w:t>
      </w:r>
      <w:r w:rsidRPr="00905479">
        <w:rPr>
          <w:rFonts w:ascii="標楷體" w:eastAsia="標楷體" w:hAnsi="標楷體" w:cs="標楷體" w:hint="eastAsia"/>
          <w:bCs/>
          <w:kern w:val="3"/>
          <w:sz w:val="32"/>
          <w:szCs w:val="32"/>
        </w:rPr>
        <w:t>我們</w:t>
      </w:r>
      <w:r w:rsidRPr="00905479">
        <w:rPr>
          <w:rFonts w:ascii="標楷體" w:eastAsia="標楷體" w:hAnsi="標楷體" w:cs="標楷體"/>
          <w:bCs/>
          <w:kern w:val="3"/>
          <w:sz w:val="32"/>
          <w:szCs w:val="32"/>
        </w:rPr>
        <w:t>的努力，並在預算及法制面上給予</w:t>
      </w:r>
      <w:r w:rsidRPr="00905479">
        <w:rPr>
          <w:rFonts w:ascii="標楷體" w:eastAsia="標楷體" w:hAnsi="標楷體" w:cs="標楷體" w:hint="eastAsia"/>
          <w:bCs/>
          <w:kern w:val="3"/>
          <w:sz w:val="32"/>
          <w:szCs w:val="32"/>
        </w:rPr>
        <w:t>人事</w:t>
      </w:r>
      <w:r w:rsidRPr="00905479">
        <w:rPr>
          <w:rFonts w:ascii="標楷體" w:eastAsia="標楷體" w:hAnsi="標楷體" w:cs="標楷體"/>
          <w:bCs/>
          <w:kern w:val="3"/>
          <w:sz w:val="32"/>
          <w:szCs w:val="32"/>
        </w:rPr>
        <w:t>總處與</w:t>
      </w:r>
      <w:r w:rsidRPr="00905479">
        <w:rPr>
          <w:rFonts w:ascii="標楷體" w:eastAsia="標楷體" w:hAnsi="標楷體" w:cs="標楷體" w:hint="eastAsia"/>
          <w:bCs/>
          <w:kern w:val="3"/>
          <w:sz w:val="32"/>
          <w:szCs w:val="32"/>
        </w:rPr>
        <w:t>人力</w:t>
      </w:r>
      <w:r w:rsidRPr="00905479">
        <w:rPr>
          <w:rFonts w:ascii="標楷體" w:eastAsia="標楷體" w:hAnsi="標楷體" w:cs="標楷體"/>
          <w:bCs/>
          <w:kern w:val="3"/>
          <w:sz w:val="32"/>
          <w:szCs w:val="32"/>
        </w:rPr>
        <w:t>學院最大的支持。</w:t>
      </w:r>
    </w:p>
    <w:p w14:paraId="7C4B0C95" w14:textId="77777777" w:rsidR="00905479" w:rsidRPr="00905479" w:rsidRDefault="00905479" w:rsidP="003D1018">
      <w:pPr>
        <w:widowControl w:val="0"/>
        <w:numPr>
          <w:ilvl w:val="0"/>
          <w:numId w:val="96"/>
        </w:numPr>
        <w:tabs>
          <w:tab w:val="left" w:pos="4680"/>
        </w:tabs>
        <w:suppressAutoHyphens/>
        <w:overflowPunct w:val="0"/>
        <w:autoSpaceDN w:val="0"/>
        <w:snapToGrid w:val="0"/>
        <w:spacing w:before="180" w:after="180" w:line="520" w:lineRule="exact"/>
        <w:jc w:val="both"/>
        <w:textAlignment w:val="baseline"/>
        <w:rPr>
          <w:rFonts w:ascii="Calibri" w:hAnsi="Calibri"/>
          <w:kern w:val="3"/>
          <w:sz w:val="32"/>
          <w:szCs w:val="32"/>
        </w:rPr>
      </w:pPr>
      <w:r w:rsidRPr="00905479">
        <w:rPr>
          <w:rFonts w:ascii="標楷體" w:eastAsia="標楷體" w:hAnsi="標楷體" w:cs="標楷體"/>
          <w:b/>
          <w:bCs/>
          <w:kern w:val="3"/>
          <w:sz w:val="32"/>
          <w:szCs w:val="32"/>
          <w:lang w:val="zh-TW"/>
        </w:rPr>
        <w:t>立法院翁召集委員曉玲致詞：</w:t>
      </w:r>
    </w:p>
    <w:p w14:paraId="662EA6F7" w14:textId="77777777" w:rsidR="00905479" w:rsidRPr="00905479" w:rsidRDefault="00905479" w:rsidP="003D1018">
      <w:pPr>
        <w:widowControl w:val="0"/>
        <w:tabs>
          <w:tab w:val="left" w:pos="4680"/>
        </w:tabs>
        <w:suppressAutoHyphens/>
        <w:overflowPunct w:val="0"/>
        <w:autoSpaceDN w:val="0"/>
        <w:snapToGrid w:val="0"/>
        <w:spacing w:before="180" w:after="180" w:line="520" w:lineRule="exact"/>
        <w:ind w:left="998" w:firstLineChars="200" w:firstLine="640"/>
        <w:jc w:val="both"/>
        <w:textAlignment w:val="baseline"/>
        <w:rPr>
          <w:rFonts w:ascii="標楷體" w:eastAsia="標楷體" w:hAnsi="標楷體" w:cs="標楷體"/>
          <w:bCs/>
          <w:kern w:val="3"/>
          <w:sz w:val="32"/>
          <w:szCs w:val="32"/>
        </w:rPr>
      </w:pPr>
      <w:r w:rsidRPr="00905479">
        <w:rPr>
          <w:rFonts w:ascii="標楷體" w:eastAsia="標楷體" w:hAnsi="標楷體" w:cs="標楷體"/>
          <w:bCs/>
          <w:kern w:val="3"/>
          <w:sz w:val="32"/>
          <w:szCs w:val="32"/>
        </w:rPr>
        <w:t>張副人事長、陳院長、以及人事總處與</w:t>
      </w:r>
      <w:r w:rsidRPr="00905479">
        <w:rPr>
          <w:rFonts w:ascii="標楷體" w:eastAsia="標楷體" w:hAnsi="標楷體" w:cs="標楷體" w:hint="eastAsia"/>
          <w:bCs/>
          <w:kern w:val="3"/>
          <w:sz w:val="32"/>
          <w:szCs w:val="32"/>
        </w:rPr>
        <w:t>人力</w:t>
      </w:r>
      <w:r w:rsidRPr="00905479">
        <w:rPr>
          <w:rFonts w:ascii="標楷體" w:eastAsia="標楷體" w:hAnsi="標楷體" w:cs="標楷體"/>
          <w:bCs/>
          <w:kern w:val="3"/>
          <w:sz w:val="32"/>
          <w:szCs w:val="32"/>
        </w:rPr>
        <w:t>學院的全體工作夥伴，大家早上好。</w:t>
      </w:r>
      <w:proofErr w:type="gramStart"/>
      <w:r w:rsidRPr="00905479">
        <w:rPr>
          <w:rFonts w:ascii="標楷體" w:eastAsia="標楷體" w:hAnsi="標楷體" w:cs="標楷體"/>
          <w:bCs/>
          <w:kern w:val="3"/>
          <w:sz w:val="32"/>
          <w:szCs w:val="32"/>
        </w:rPr>
        <w:t>聽完副人事</w:t>
      </w:r>
      <w:proofErr w:type="gramEnd"/>
      <w:r w:rsidRPr="00905479">
        <w:rPr>
          <w:rFonts w:ascii="標楷體" w:eastAsia="標楷體" w:hAnsi="標楷體" w:cs="標楷體"/>
          <w:bCs/>
          <w:kern w:val="3"/>
          <w:sz w:val="32"/>
          <w:szCs w:val="32"/>
        </w:rPr>
        <w:t>長分享</w:t>
      </w:r>
      <w:r w:rsidRPr="00905479">
        <w:rPr>
          <w:rFonts w:ascii="標楷體" w:eastAsia="標楷體" w:hAnsi="標楷體" w:cs="標楷體" w:hint="eastAsia"/>
          <w:bCs/>
          <w:kern w:val="3"/>
          <w:sz w:val="32"/>
          <w:szCs w:val="32"/>
        </w:rPr>
        <w:t>過去</w:t>
      </w:r>
      <w:r w:rsidRPr="00905479">
        <w:rPr>
          <w:rFonts w:ascii="標楷體" w:eastAsia="標楷體" w:hAnsi="標楷體" w:cs="標楷體"/>
          <w:bCs/>
          <w:kern w:val="3"/>
          <w:sz w:val="32"/>
          <w:szCs w:val="32"/>
        </w:rPr>
        <w:t>籌建這個美麗園區的歷史，令人非常感動，這充分展現了遠見與公務創新的精神。其實我本人與</w:t>
      </w:r>
      <w:r w:rsidRPr="00905479">
        <w:rPr>
          <w:rFonts w:ascii="標楷體" w:eastAsia="標楷體" w:hAnsi="標楷體" w:cs="標楷體" w:hint="eastAsia"/>
          <w:bCs/>
          <w:kern w:val="3"/>
          <w:sz w:val="32"/>
          <w:szCs w:val="32"/>
        </w:rPr>
        <w:t>人力</w:t>
      </w:r>
      <w:r w:rsidRPr="00905479">
        <w:rPr>
          <w:rFonts w:ascii="標楷體" w:eastAsia="標楷體" w:hAnsi="標楷體" w:cs="標楷體"/>
          <w:bCs/>
          <w:kern w:val="3"/>
          <w:sz w:val="32"/>
          <w:szCs w:val="32"/>
        </w:rPr>
        <w:t>學院（前身</w:t>
      </w:r>
      <w:r w:rsidRPr="00905479">
        <w:rPr>
          <w:rFonts w:ascii="標楷體" w:eastAsia="標楷體" w:hAnsi="標楷體" w:cs="標楷體" w:hint="eastAsia"/>
          <w:bCs/>
          <w:kern w:val="3"/>
          <w:sz w:val="32"/>
          <w:szCs w:val="32"/>
        </w:rPr>
        <w:t>為</w:t>
      </w:r>
      <w:r w:rsidRPr="00905479">
        <w:rPr>
          <w:rFonts w:ascii="標楷體" w:eastAsia="標楷體" w:hAnsi="標楷體" w:cs="標楷體"/>
          <w:bCs/>
          <w:kern w:val="3"/>
          <w:sz w:val="32"/>
          <w:szCs w:val="32"/>
        </w:rPr>
        <w:t>公務人力發展中心）極有淵源，前</w:t>
      </w:r>
      <w:r w:rsidRPr="00905479">
        <w:rPr>
          <w:rFonts w:ascii="標楷體" w:eastAsia="標楷體" w:hAnsi="標楷體" w:cs="標楷體" w:hint="eastAsia"/>
          <w:bCs/>
          <w:kern w:val="3"/>
          <w:sz w:val="32"/>
          <w:szCs w:val="32"/>
        </w:rPr>
        <w:t>於</w:t>
      </w:r>
      <w:r w:rsidRPr="00905479">
        <w:rPr>
          <w:rFonts w:ascii="標楷體" w:eastAsia="標楷體" w:hAnsi="標楷體" w:cs="標楷體"/>
          <w:bCs/>
          <w:kern w:val="3"/>
          <w:sz w:val="32"/>
          <w:szCs w:val="32"/>
        </w:rPr>
        <w:t>任教期間經常受邀至此擔任講座，講授法律等課程。我一向認為這裡環境清幽舒適、物美價廉，不僅提供公務同仁優質的學習場所，也為學術界提供絕佳的研討空間。</w:t>
      </w:r>
    </w:p>
    <w:p w14:paraId="26C82EDE" w14:textId="77777777" w:rsidR="00905479" w:rsidRPr="00905479" w:rsidRDefault="00905479" w:rsidP="003D1018">
      <w:pPr>
        <w:widowControl w:val="0"/>
        <w:tabs>
          <w:tab w:val="left" w:pos="4680"/>
        </w:tabs>
        <w:suppressAutoHyphens/>
        <w:overflowPunct w:val="0"/>
        <w:autoSpaceDN w:val="0"/>
        <w:snapToGrid w:val="0"/>
        <w:spacing w:before="180" w:after="180" w:line="520" w:lineRule="exact"/>
        <w:ind w:left="998" w:firstLineChars="200" w:firstLine="640"/>
        <w:jc w:val="both"/>
        <w:textAlignment w:val="baseline"/>
        <w:rPr>
          <w:rFonts w:ascii="標楷體" w:eastAsia="標楷體" w:hAnsi="標楷體" w:cs="標楷體"/>
          <w:bCs/>
          <w:kern w:val="3"/>
          <w:sz w:val="32"/>
          <w:szCs w:val="32"/>
        </w:rPr>
      </w:pPr>
      <w:r w:rsidRPr="00905479">
        <w:rPr>
          <w:rFonts w:ascii="標楷體" w:eastAsia="標楷體" w:hAnsi="標楷體" w:cs="標楷體"/>
          <w:bCs/>
          <w:kern w:val="3"/>
          <w:sz w:val="32"/>
          <w:szCs w:val="32"/>
        </w:rPr>
        <w:t>今天8月31日是立法院本會期的最後一天，雖然多數委員會已放假，但司法及法制委員會同仁仍堅持工作到最後一刻，特地安排此次考察。進入AI時代，AI</w:t>
      </w:r>
      <w:r w:rsidRPr="00905479">
        <w:rPr>
          <w:rFonts w:ascii="標楷體" w:eastAsia="標楷體" w:hAnsi="標楷體" w:cs="標楷體" w:hint="eastAsia"/>
          <w:bCs/>
          <w:kern w:val="3"/>
          <w:sz w:val="32"/>
          <w:szCs w:val="32"/>
        </w:rPr>
        <w:t>已</w:t>
      </w:r>
      <w:r w:rsidRPr="00905479">
        <w:rPr>
          <w:rFonts w:ascii="標楷體" w:eastAsia="標楷體" w:hAnsi="標楷體" w:cs="標楷體"/>
          <w:bCs/>
          <w:kern w:val="3"/>
          <w:sz w:val="32"/>
          <w:szCs w:val="32"/>
        </w:rPr>
        <w:t>不是未來式，而是進行式。以我</w:t>
      </w:r>
      <w:proofErr w:type="gramStart"/>
      <w:r w:rsidRPr="00905479">
        <w:rPr>
          <w:rFonts w:ascii="標楷體" w:eastAsia="標楷體" w:hAnsi="標楷體" w:cs="標楷體"/>
          <w:bCs/>
          <w:kern w:val="3"/>
          <w:sz w:val="32"/>
          <w:szCs w:val="32"/>
        </w:rPr>
        <w:t>個</w:t>
      </w:r>
      <w:proofErr w:type="gramEnd"/>
      <w:r w:rsidRPr="00905479">
        <w:rPr>
          <w:rFonts w:ascii="標楷體" w:eastAsia="標楷體" w:hAnsi="標楷體" w:cs="標楷體"/>
          <w:bCs/>
          <w:kern w:val="3"/>
          <w:sz w:val="32"/>
          <w:szCs w:val="32"/>
        </w:rPr>
        <w:t>人為例，我平日非常注重同仁的勞動權益，假日通常不打擾同仁，週末的社</w:t>
      </w:r>
      <w:proofErr w:type="gramStart"/>
      <w:r w:rsidRPr="00905479">
        <w:rPr>
          <w:rFonts w:ascii="標楷體" w:eastAsia="標楷體" w:hAnsi="標楷體" w:cs="標楷體"/>
          <w:bCs/>
          <w:kern w:val="3"/>
          <w:sz w:val="32"/>
          <w:szCs w:val="32"/>
        </w:rPr>
        <w:t>群貼文</w:t>
      </w:r>
      <w:proofErr w:type="gramEnd"/>
      <w:r w:rsidRPr="00905479">
        <w:rPr>
          <w:rFonts w:ascii="標楷體" w:eastAsia="標楷體" w:hAnsi="標楷體" w:cs="標楷體"/>
          <w:bCs/>
          <w:kern w:val="3"/>
          <w:sz w:val="32"/>
          <w:szCs w:val="32"/>
        </w:rPr>
        <w:t>皆由我親自撰寫，其中許多精美的圖卡文宣，我已學會利用</w:t>
      </w:r>
      <w:proofErr w:type="spellStart"/>
      <w:r w:rsidRPr="00905479">
        <w:rPr>
          <w:rFonts w:ascii="標楷體" w:eastAsia="標楷體" w:hAnsi="標楷體" w:cs="標楷體"/>
          <w:bCs/>
          <w:kern w:val="3"/>
          <w:sz w:val="32"/>
          <w:szCs w:val="32"/>
        </w:rPr>
        <w:t>ChatGPT</w:t>
      </w:r>
      <w:proofErr w:type="spellEnd"/>
      <w:r w:rsidRPr="00905479">
        <w:rPr>
          <w:rFonts w:ascii="標楷體" w:eastAsia="標楷體" w:hAnsi="標楷體" w:cs="標楷體"/>
          <w:bCs/>
          <w:kern w:val="3"/>
          <w:sz w:val="32"/>
          <w:szCs w:val="32"/>
        </w:rPr>
        <w:t>或Gemini等AI工具</w:t>
      </w:r>
      <w:r w:rsidRPr="00905479">
        <w:rPr>
          <w:rFonts w:ascii="標楷體" w:eastAsia="標楷體" w:hAnsi="標楷體" w:cs="標楷體"/>
          <w:bCs/>
          <w:kern w:val="3"/>
          <w:sz w:val="32"/>
          <w:szCs w:val="32"/>
        </w:rPr>
        <w:lastRenderedPageBreak/>
        <w:t>協助產出。這讓我深刻體會到，善用AI工具能極大程度地提升</w:t>
      </w:r>
      <w:r w:rsidRPr="00905479">
        <w:rPr>
          <w:rFonts w:ascii="標楷體" w:eastAsia="標楷體" w:hAnsi="標楷體" w:cs="標楷體" w:hint="eastAsia"/>
          <w:bCs/>
          <w:kern w:val="3"/>
          <w:sz w:val="32"/>
          <w:szCs w:val="32"/>
        </w:rPr>
        <w:t>工作</w:t>
      </w:r>
      <w:r w:rsidRPr="00905479">
        <w:rPr>
          <w:rFonts w:ascii="標楷體" w:eastAsia="標楷體" w:hAnsi="標楷體" w:cs="標楷體"/>
          <w:bCs/>
          <w:kern w:val="3"/>
          <w:sz w:val="32"/>
          <w:szCs w:val="32"/>
        </w:rPr>
        <w:t>效率與減壓。</w:t>
      </w:r>
    </w:p>
    <w:p w14:paraId="68BACC05" w14:textId="77777777" w:rsidR="00905479" w:rsidRPr="00905479" w:rsidRDefault="00905479" w:rsidP="003D1018">
      <w:pPr>
        <w:widowControl w:val="0"/>
        <w:tabs>
          <w:tab w:val="left" w:pos="4680"/>
        </w:tabs>
        <w:suppressAutoHyphens/>
        <w:overflowPunct w:val="0"/>
        <w:autoSpaceDN w:val="0"/>
        <w:snapToGrid w:val="0"/>
        <w:spacing w:before="180" w:after="180" w:line="520" w:lineRule="exact"/>
        <w:ind w:left="998" w:firstLineChars="200" w:firstLine="640"/>
        <w:jc w:val="both"/>
        <w:textAlignment w:val="baseline"/>
        <w:rPr>
          <w:rFonts w:ascii="標楷體" w:eastAsia="標楷體" w:hAnsi="標楷體" w:cs="標楷體"/>
          <w:bCs/>
          <w:kern w:val="3"/>
          <w:sz w:val="32"/>
          <w:szCs w:val="32"/>
        </w:rPr>
      </w:pPr>
      <w:r w:rsidRPr="00905479">
        <w:rPr>
          <w:rFonts w:ascii="標楷體" w:eastAsia="標楷體" w:hAnsi="標楷體" w:cs="標楷體"/>
          <w:bCs/>
          <w:kern w:val="3"/>
          <w:sz w:val="32"/>
          <w:szCs w:val="32"/>
        </w:rPr>
        <w:t>因此，我們特別關心公務體系在AI時代的人力培訓策略。</w:t>
      </w:r>
      <w:proofErr w:type="gramStart"/>
      <w:r w:rsidRPr="00905479">
        <w:rPr>
          <w:rFonts w:ascii="標楷體" w:eastAsia="標楷體" w:hAnsi="標楷體" w:cs="標楷體"/>
          <w:bCs/>
          <w:kern w:val="3"/>
          <w:sz w:val="32"/>
          <w:szCs w:val="32"/>
        </w:rPr>
        <w:t>此外，</w:t>
      </w:r>
      <w:proofErr w:type="gramEnd"/>
      <w:r w:rsidRPr="00905479">
        <w:rPr>
          <w:rFonts w:ascii="標楷體" w:eastAsia="標楷體" w:hAnsi="標楷體" w:cs="標楷體"/>
          <w:bCs/>
          <w:kern w:val="3"/>
          <w:sz w:val="32"/>
          <w:szCs w:val="32"/>
        </w:rPr>
        <w:t>我們也非常關切中央政府機關的「員額管理」問題。中央機關總員額法推行近20年，總數上限多年未變，然而隨著社會快速變遷，公務</w:t>
      </w:r>
      <w:proofErr w:type="gramStart"/>
      <w:r w:rsidRPr="00905479">
        <w:rPr>
          <w:rFonts w:ascii="標楷體" w:eastAsia="標楷體" w:hAnsi="標楷體" w:cs="標楷體"/>
          <w:bCs/>
          <w:kern w:val="3"/>
          <w:sz w:val="32"/>
          <w:szCs w:val="32"/>
        </w:rPr>
        <w:t>業務量呈爆發</w:t>
      </w:r>
      <w:proofErr w:type="gramEnd"/>
      <w:r w:rsidRPr="00905479">
        <w:rPr>
          <w:rFonts w:ascii="標楷體" w:eastAsia="標楷體" w:hAnsi="標楷體" w:cs="標楷體"/>
          <w:bCs/>
          <w:kern w:val="3"/>
          <w:sz w:val="32"/>
          <w:szCs w:val="32"/>
        </w:rPr>
        <w:t>性成長，導致基層同仁極度血汗、人力荒嚴重，甚至產生約聘僱編制外人力膨脹、</w:t>
      </w:r>
      <w:r w:rsidRPr="00905479">
        <w:rPr>
          <w:rFonts w:ascii="標楷體" w:eastAsia="標楷體" w:hAnsi="標楷體" w:cs="標楷體" w:hint="eastAsia"/>
          <w:bCs/>
          <w:kern w:val="3"/>
          <w:sz w:val="32"/>
          <w:szCs w:val="32"/>
        </w:rPr>
        <w:t>整體</w:t>
      </w:r>
      <w:r w:rsidRPr="00905479">
        <w:rPr>
          <w:rFonts w:ascii="標楷體" w:eastAsia="標楷體" w:hAnsi="標楷體" w:cs="標楷體"/>
          <w:bCs/>
          <w:kern w:val="3"/>
          <w:sz w:val="32"/>
          <w:szCs w:val="32"/>
        </w:rPr>
        <w:t>人事經費不減反增的</w:t>
      </w:r>
      <w:r w:rsidRPr="00905479">
        <w:rPr>
          <w:rFonts w:ascii="標楷體" w:eastAsia="標楷體" w:hAnsi="標楷體" w:cs="標楷體" w:hint="eastAsia"/>
          <w:bCs/>
          <w:kern w:val="3"/>
          <w:sz w:val="32"/>
          <w:szCs w:val="32"/>
        </w:rPr>
        <w:t>現</w:t>
      </w:r>
      <w:r w:rsidRPr="00905479">
        <w:rPr>
          <w:rFonts w:ascii="標楷體" w:eastAsia="標楷體" w:hAnsi="標楷體" w:cs="標楷體"/>
          <w:bCs/>
          <w:kern w:val="3"/>
          <w:sz w:val="32"/>
          <w:szCs w:val="32"/>
        </w:rPr>
        <w:t>象。未來</w:t>
      </w:r>
      <w:proofErr w:type="gramStart"/>
      <w:r w:rsidRPr="00905479">
        <w:rPr>
          <w:rFonts w:ascii="標楷體" w:eastAsia="標楷體" w:hAnsi="標楷體" w:cs="標楷體"/>
          <w:bCs/>
          <w:kern w:val="3"/>
          <w:sz w:val="32"/>
          <w:szCs w:val="32"/>
        </w:rPr>
        <w:t>面對少子化</w:t>
      </w:r>
      <w:proofErr w:type="gramEnd"/>
      <w:r w:rsidRPr="00905479">
        <w:rPr>
          <w:rFonts w:ascii="標楷體" w:eastAsia="標楷體" w:hAnsi="標楷體" w:cs="標楷體"/>
          <w:bCs/>
          <w:kern w:val="3"/>
          <w:sz w:val="32"/>
          <w:szCs w:val="32"/>
        </w:rPr>
        <w:t>與產業高薪競爭，政府</w:t>
      </w:r>
      <w:proofErr w:type="gramStart"/>
      <w:r w:rsidRPr="00905479">
        <w:rPr>
          <w:rFonts w:ascii="標楷體" w:eastAsia="標楷體" w:hAnsi="標楷體" w:cs="標楷體"/>
          <w:bCs/>
          <w:kern w:val="3"/>
          <w:sz w:val="32"/>
          <w:szCs w:val="32"/>
        </w:rPr>
        <w:t>恐</w:t>
      </w:r>
      <w:proofErr w:type="gramEnd"/>
      <w:r w:rsidRPr="00905479">
        <w:rPr>
          <w:rFonts w:ascii="標楷體" w:eastAsia="標楷體" w:hAnsi="標楷體" w:cs="標楷體"/>
          <w:bCs/>
          <w:kern w:val="3"/>
          <w:sz w:val="32"/>
          <w:szCs w:val="32"/>
        </w:rPr>
        <w:t>面臨招不進、留不住人才的嚴重考驗。今天希望透過考察，聽取</w:t>
      </w:r>
      <w:r w:rsidRPr="00905479">
        <w:rPr>
          <w:rFonts w:ascii="標楷體" w:eastAsia="標楷體" w:hAnsi="標楷體" w:cs="標楷體" w:hint="eastAsia"/>
          <w:bCs/>
          <w:kern w:val="3"/>
          <w:sz w:val="32"/>
          <w:szCs w:val="32"/>
        </w:rPr>
        <w:t>人事</w:t>
      </w:r>
      <w:r w:rsidRPr="00905479">
        <w:rPr>
          <w:rFonts w:ascii="標楷體" w:eastAsia="標楷體" w:hAnsi="標楷體" w:cs="標楷體"/>
          <w:bCs/>
          <w:kern w:val="3"/>
          <w:sz w:val="32"/>
          <w:szCs w:val="32"/>
        </w:rPr>
        <w:t>總處與</w:t>
      </w:r>
      <w:r w:rsidRPr="00905479">
        <w:rPr>
          <w:rFonts w:ascii="標楷體" w:eastAsia="標楷體" w:hAnsi="標楷體" w:cs="標楷體" w:hint="eastAsia"/>
          <w:bCs/>
          <w:kern w:val="3"/>
          <w:sz w:val="32"/>
          <w:szCs w:val="32"/>
        </w:rPr>
        <w:t>人力</w:t>
      </w:r>
      <w:r w:rsidRPr="00905479">
        <w:rPr>
          <w:rFonts w:ascii="標楷體" w:eastAsia="標楷體" w:hAnsi="標楷體" w:cs="標楷體"/>
          <w:bCs/>
          <w:kern w:val="3"/>
          <w:sz w:val="32"/>
          <w:szCs w:val="32"/>
        </w:rPr>
        <w:t>學院針對AI培訓及員額合理彈性調配的報告，並探討如何改善公務環境以留住優秀人才，期望能有深入的交流，謝謝大家。</w:t>
      </w:r>
    </w:p>
    <w:p w14:paraId="6131BFB2" w14:textId="77777777" w:rsidR="00905479" w:rsidRPr="00905479" w:rsidRDefault="00905479" w:rsidP="003D1018">
      <w:pPr>
        <w:widowControl w:val="0"/>
        <w:numPr>
          <w:ilvl w:val="0"/>
          <w:numId w:val="105"/>
        </w:numPr>
        <w:tabs>
          <w:tab w:val="left" w:pos="4680"/>
        </w:tabs>
        <w:suppressAutoHyphens/>
        <w:overflowPunct w:val="0"/>
        <w:autoSpaceDN w:val="0"/>
        <w:snapToGrid w:val="0"/>
        <w:spacing w:before="180" w:after="180" w:line="520" w:lineRule="exact"/>
        <w:jc w:val="both"/>
        <w:textAlignment w:val="baseline"/>
        <w:rPr>
          <w:rFonts w:ascii="Calibri" w:hAnsi="Calibri"/>
          <w:kern w:val="3"/>
          <w:sz w:val="32"/>
          <w:szCs w:val="32"/>
        </w:rPr>
      </w:pPr>
      <w:r w:rsidRPr="00905479">
        <w:rPr>
          <w:rFonts w:ascii="標楷體" w:eastAsia="標楷體" w:hAnsi="標楷體" w:cs="標楷體" w:hint="eastAsia"/>
          <w:b/>
          <w:bCs/>
          <w:kern w:val="3"/>
          <w:sz w:val="32"/>
          <w:szCs w:val="32"/>
          <w:lang w:val="zh-TW"/>
        </w:rPr>
        <w:t>專題</w:t>
      </w:r>
      <w:r w:rsidRPr="00905479">
        <w:rPr>
          <w:rFonts w:ascii="標楷體" w:eastAsia="標楷體" w:hAnsi="標楷體" w:cs="標楷體"/>
          <w:b/>
          <w:bCs/>
          <w:kern w:val="3"/>
          <w:sz w:val="32"/>
          <w:szCs w:val="32"/>
          <w:lang w:val="zh-TW"/>
        </w:rPr>
        <w:t>簡報：</w:t>
      </w:r>
      <w:r w:rsidRPr="00905479">
        <w:rPr>
          <w:rFonts w:ascii="標楷體" w:eastAsia="標楷體" w:hAnsi="標楷體" w:cs="標楷體"/>
          <w:bCs/>
          <w:kern w:val="3"/>
          <w:sz w:val="32"/>
          <w:szCs w:val="32"/>
          <w:lang w:val="zh-TW"/>
        </w:rPr>
        <w:t>（略）</w:t>
      </w:r>
    </w:p>
    <w:p w14:paraId="4C93EE5F" w14:textId="77777777" w:rsidR="00905479" w:rsidRPr="00905479" w:rsidRDefault="00905479" w:rsidP="003D1018">
      <w:pPr>
        <w:widowControl w:val="0"/>
        <w:numPr>
          <w:ilvl w:val="0"/>
          <w:numId w:val="105"/>
        </w:numPr>
        <w:tabs>
          <w:tab w:val="left" w:pos="4680"/>
        </w:tabs>
        <w:suppressAutoHyphens/>
        <w:overflowPunct w:val="0"/>
        <w:autoSpaceDN w:val="0"/>
        <w:snapToGrid w:val="0"/>
        <w:spacing w:before="180" w:after="180" w:line="520" w:lineRule="exact"/>
        <w:jc w:val="both"/>
        <w:textAlignment w:val="baseline"/>
        <w:rPr>
          <w:rFonts w:ascii="Calibri" w:hAnsi="Calibri"/>
          <w:kern w:val="3"/>
          <w:sz w:val="32"/>
          <w:szCs w:val="32"/>
        </w:rPr>
      </w:pPr>
      <w:r w:rsidRPr="00905479">
        <w:rPr>
          <w:rFonts w:ascii="標楷體" w:eastAsia="標楷體" w:hAnsi="標楷體"/>
          <w:b/>
          <w:color w:val="000000"/>
          <w:kern w:val="3"/>
          <w:sz w:val="32"/>
          <w:szCs w:val="32"/>
        </w:rPr>
        <w:t>數位互動教室功能介紹與體驗</w:t>
      </w:r>
      <w:r w:rsidRPr="00905479">
        <w:rPr>
          <w:rFonts w:ascii="標楷體" w:eastAsia="標楷體" w:hAnsi="標楷體" w:cs="標楷體"/>
          <w:b/>
          <w:bCs/>
          <w:kern w:val="3"/>
          <w:sz w:val="32"/>
          <w:szCs w:val="32"/>
          <w:lang w:val="zh-TW"/>
        </w:rPr>
        <w:t>：</w:t>
      </w:r>
      <w:r w:rsidRPr="00905479">
        <w:rPr>
          <w:rFonts w:ascii="標楷體" w:eastAsia="標楷體" w:hAnsi="標楷體" w:cs="標楷體"/>
          <w:bCs/>
          <w:kern w:val="3"/>
          <w:sz w:val="32"/>
          <w:szCs w:val="32"/>
          <w:lang w:val="zh-TW"/>
        </w:rPr>
        <w:t>（略）</w:t>
      </w:r>
    </w:p>
    <w:p w14:paraId="622CA321" w14:textId="77777777" w:rsidR="00905479" w:rsidRPr="00905479" w:rsidRDefault="00905479" w:rsidP="003D1018">
      <w:pPr>
        <w:widowControl w:val="0"/>
        <w:numPr>
          <w:ilvl w:val="0"/>
          <w:numId w:val="105"/>
        </w:numPr>
        <w:tabs>
          <w:tab w:val="left" w:pos="4680"/>
        </w:tabs>
        <w:suppressAutoHyphens/>
        <w:overflowPunct w:val="0"/>
        <w:autoSpaceDN w:val="0"/>
        <w:snapToGrid w:val="0"/>
        <w:spacing w:before="180" w:after="180" w:line="520" w:lineRule="exact"/>
        <w:jc w:val="both"/>
        <w:textAlignment w:val="baseline"/>
        <w:rPr>
          <w:rFonts w:ascii="標楷體" w:eastAsia="標楷體" w:hAnsi="標楷體" w:cs="標楷體"/>
          <w:b/>
          <w:bCs/>
          <w:kern w:val="3"/>
          <w:sz w:val="32"/>
          <w:szCs w:val="32"/>
          <w:lang w:val="zh-TW"/>
        </w:rPr>
      </w:pPr>
      <w:r w:rsidRPr="00905479">
        <w:rPr>
          <w:rFonts w:ascii="標楷體" w:eastAsia="標楷體" w:hAnsi="標楷體" w:cs="標楷體"/>
          <w:b/>
          <w:bCs/>
          <w:kern w:val="3"/>
          <w:sz w:val="32"/>
          <w:szCs w:val="32"/>
          <w:lang w:val="zh-TW"/>
        </w:rPr>
        <w:t>綜合座談及意見交流</w:t>
      </w:r>
    </w:p>
    <w:p w14:paraId="657B030D" w14:textId="77777777" w:rsidR="00905479" w:rsidRPr="00905479" w:rsidRDefault="00905479" w:rsidP="003D1018">
      <w:pPr>
        <w:widowControl w:val="0"/>
        <w:numPr>
          <w:ilvl w:val="0"/>
          <w:numId w:val="97"/>
        </w:numPr>
        <w:tabs>
          <w:tab w:val="left" w:pos="4680"/>
        </w:tabs>
        <w:suppressAutoHyphens/>
        <w:overflowPunct w:val="0"/>
        <w:autoSpaceDN w:val="0"/>
        <w:snapToGrid w:val="0"/>
        <w:spacing w:before="180" w:after="180" w:line="520" w:lineRule="exact"/>
        <w:jc w:val="both"/>
        <w:textAlignment w:val="baseline"/>
        <w:rPr>
          <w:rFonts w:ascii="標楷體" w:eastAsia="標楷體" w:hAnsi="標楷體"/>
          <w:b/>
          <w:color w:val="000000"/>
          <w:kern w:val="3"/>
          <w:sz w:val="32"/>
          <w:szCs w:val="32"/>
        </w:rPr>
      </w:pPr>
      <w:r w:rsidRPr="00905479">
        <w:rPr>
          <w:rFonts w:ascii="標楷體" w:eastAsia="標楷體" w:hAnsi="標楷體"/>
          <w:b/>
          <w:color w:val="000000"/>
          <w:kern w:val="3"/>
          <w:sz w:val="32"/>
          <w:szCs w:val="32"/>
        </w:rPr>
        <w:t>陳</w:t>
      </w:r>
      <w:r w:rsidRPr="00905479">
        <w:rPr>
          <w:rFonts w:ascii="標楷體" w:eastAsia="標楷體" w:hAnsi="標楷體" w:hint="eastAsia"/>
          <w:b/>
          <w:color w:val="000000"/>
          <w:kern w:val="3"/>
          <w:sz w:val="32"/>
          <w:szCs w:val="32"/>
        </w:rPr>
        <w:t>主任</w:t>
      </w:r>
      <w:r w:rsidRPr="00905479">
        <w:rPr>
          <w:rFonts w:ascii="標楷體" w:eastAsia="標楷體" w:hAnsi="標楷體"/>
          <w:b/>
          <w:color w:val="000000"/>
          <w:kern w:val="3"/>
          <w:sz w:val="32"/>
          <w:szCs w:val="32"/>
        </w:rPr>
        <w:t>靜</w:t>
      </w:r>
      <w:r w:rsidRPr="00905479">
        <w:rPr>
          <w:rFonts w:ascii="標楷體" w:eastAsia="標楷體" w:hAnsi="標楷體" w:hint="eastAsia"/>
          <w:b/>
          <w:color w:val="000000"/>
          <w:kern w:val="3"/>
          <w:sz w:val="32"/>
          <w:szCs w:val="32"/>
        </w:rPr>
        <w:t>蓉</w:t>
      </w:r>
      <w:r w:rsidRPr="00905479">
        <w:rPr>
          <w:rFonts w:ascii="標楷體" w:eastAsia="標楷體" w:hAnsi="標楷體"/>
          <w:b/>
          <w:color w:val="000000"/>
          <w:kern w:val="3"/>
          <w:sz w:val="32"/>
          <w:szCs w:val="32"/>
        </w:rPr>
        <w:t>提問與建議：</w:t>
      </w:r>
    </w:p>
    <w:p w14:paraId="3B30F04D" w14:textId="77777777" w:rsidR="00905479" w:rsidRPr="00905479" w:rsidRDefault="00905479" w:rsidP="003D1018">
      <w:pPr>
        <w:widowControl w:val="0"/>
        <w:numPr>
          <w:ilvl w:val="3"/>
          <w:numId w:val="105"/>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color w:val="000000"/>
          <w:kern w:val="3"/>
          <w:sz w:val="32"/>
          <w:szCs w:val="32"/>
        </w:rPr>
      </w:pPr>
      <w:r w:rsidRPr="00905479">
        <w:rPr>
          <w:rFonts w:ascii="標楷體" w:eastAsia="標楷體" w:hAnsi="標楷體" w:hint="eastAsia"/>
          <w:color w:val="000000"/>
          <w:kern w:val="3"/>
          <w:sz w:val="32"/>
          <w:szCs w:val="32"/>
        </w:rPr>
        <w:t>培訓模式建議：未來</w:t>
      </w:r>
      <w:r w:rsidRPr="00905479">
        <w:rPr>
          <w:rFonts w:ascii="標楷體" w:eastAsia="標楷體" w:hAnsi="標楷體" w:cs="標楷體" w:hint="eastAsia"/>
          <w:bCs/>
          <w:kern w:val="3"/>
          <w:sz w:val="32"/>
          <w:szCs w:val="32"/>
        </w:rPr>
        <w:t>人力</w:t>
      </w:r>
      <w:r w:rsidRPr="00905479">
        <w:rPr>
          <w:rFonts w:ascii="標楷體" w:eastAsia="標楷體" w:hAnsi="標楷體" w:hint="eastAsia"/>
          <w:color w:val="000000"/>
          <w:kern w:val="3"/>
          <w:sz w:val="32"/>
          <w:szCs w:val="32"/>
        </w:rPr>
        <w:t>學院的在職培訓建議增加「團體合作」與「報告產出」的時數與比重。透過小組協作與成果報告分享，不同機關的同仁才能建立深刻的「革命情感」帶走實用的人脈與知識。授課宜避免單向輸入導致的疲憊與形式化。</w:t>
      </w:r>
    </w:p>
    <w:p w14:paraId="5F7F86FF" w14:textId="77777777" w:rsidR="00905479" w:rsidRPr="00905479" w:rsidRDefault="00905479" w:rsidP="003D1018">
      <w:pPr>
        <w:widowControl w:val="0"/>
        <w:numPr>
          <w:ilvl w:val="3"/>
          <w:numId w:val="105"/>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color w:val="000000"/>
          <w:kern w:val="3"/>
          <w:sz w:val="32"/>
          <w:szCs w:val="32"/>
        </w:rPr>
      </w:pPr>
      <w:r w:rsidRPr="00905479">
        <w:rPr>
          <w:rFonts w:ascii="標楷體" w:eastAsia="標楷體" w:hAnsi="標楷體" w:hint="eastAsia"/>
          <w:color w:val="000000"/>
          <w:kern w:val="3"/>
          <w:sz w:val="32"/>
          <w:szCs w:val="32"/>
        </w:rPr>
        <w:t>AI種子落地應用：能否更具體地說明AI種子學員回到各自機關後，如何具體推動AI應用落地？有無具體的標竿案例可供分享？</w:t>
      </w:r>
    </w:p>
    <w:p w14:paraId="3A6ADA5A" w14:textId="77777777" w:rsidR="00905479" w:rsidRPr="00905479" w:rsidRDefault="00905479" w:rsidP="003D1018">
      <w:pPr>
        <w:widowControl w:val="0"/>
        <w:numPr>
          <w:ilvl w:val="3"/>
          <w:numId w:val="105"/>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color w:val="000000"/>
          <w:kern w:val="3"/>
          <w:sz w:val="32"/>
          <w:szCs w:val="32"/>
        </w:rPr>
      </w:pPr>
      <w:r w:rsidRPr="00905479">
        <w:rPr>
          <w:rFonts w:ascii="標楷體" w:eastAsia="標楷體" w:hAnsi="標楷體" w:hint="eastAsia"/>
          <w:color w:val="000000"/>
          <w:kern w:val="3"/>
          <w:sz w:val="32"/>
          <w:szCs w:val="32"/>
        </w:rPr>
        <w:lastRenderedPageBreak/>
        <w:t>員額調配與AI效益：針對目前如社福、司法、工程等最為缺工、基層最辛苦的領域，人事總處有無具體的人力調配與員額調整規劃？AI的導入如何具體反映在這些缺工機關的員額管理上？</w:t>
      </w:r>
    </w:p>
    <w:p w14:paraId="30476FE2" w14:textId="77777777" w:rsidR="00905479" w:rsidRPr="00905479" w:rsidRDefault="00905479" w:rsidP="003D1018">
      <w:pPr>
        <w:widowControl w:val="0"/>
        <w:numPr>
          <w:ilvl w:val="0"/>
          <w:numId w:val="97"/>
        </w:numPr>
        <w:tabs>
          <w:tab w:val="left" w:pos="4680"/>
        </w:tabs>
        <w:suppressAutoHyphens/>
        <w:overflowPunct w:val="0"/>
        <w:autoSpaceDN w:val="0"/>
        <w:snapToGrid w:val="0"/>
        <w:spacing w:before="180" w:after="180" w:line="520" w:lineRule="exact"/>
        <w:jc w:val="both"/>
        <w:textAlignment w:val="baseline"/>
        <w:rPr>
          <w:rFonts w:ascii="標楷體" w:eastAsia="標楷體" w:hAnsi="標楷體"/>
          <w:color w:val="000000"/>
          <w:kern w:val="3"/>
          <w:sz w:val="32"/>
          <w:szCs w:val="32"/>
        </w:rPr>
      </w:pPr>
      <w:r w:rsidRPr="00905479">
        <w:rPr>
          <w:rFonts w:ascii="標楷體" w:eastAsia="標楷體" w:hAnsi="標楷體"/>
          <w:b/>
          <w:color w:val="000000"/>
          <w:kern w:val="3"/>
          <w:sz w:val="32"/>
          <w:szCs w:val="32"/>
        </w:rPr>
        <w:t>王</w:t>
      </w:r>
      <w:r w:rsidRPr="00905479">
        <w:rPr>
          <w:rFonts w:ascii="標楷體" w:eastAsia="標楷體" w:hAnsi="標楷體" w:hint="eastAsia"/>
          <w:b/>
          <w:color w:val="000000"/>
          <w:kern w:val="3"/>
          <w:sz w:val="32"/>
          <w:szCs w:val="32"/>
        </w:rPr>
        <w:t>主任</w:t>
      </w:r>
      <w:proofErr w:type="gramStart"/>
      <w:r w:rsidRPr="00905479">
        <w:rPr>
          <w:rFonts w:ascii="標楷體" w:eastAsia="標楷體" w:hAnsi="標楷體"/>
          <w:b/>
          <w:color w:val="000000"/>
          <w:kern w:val="3"/>
          <w:sz w:val="32"/>
          <w:szCs w:val="32"/>
        </w:rPr>
        <w:t>珊珊</w:t>
      </w:r>
      <w:proofErr w:type="gramEnd"/>
      <w:r w:rsidRPr="00905479">
        <w:rPr>
          <w:rFonts w:ascii="標楷體" w:eastAsia="標楷體" w:hAnsi="標楷體"/>
          <w:b/>
          <w:color w:val="000000"/>
          <w:kern w:val="3"/>
          <w:sz w:val="32"/>
          <w:szCs w:val="32"/>
        </w:rPr>
        <w:t>提問與建議：</w:t>
      </w:r>
    </w:p>
    <w:p w14:paraId="3F9C0BFD" w14:textId="77777777" w:rsidR="00905479" w:rsidRPr="00905479" w:rsidRDefault="00905479" w:rsidP="003D1018">
      <w:pPr>
        <w:widowControl w:val="0"/>
        <w:numPr>
          <w:ilvl w:val="3"/>
          <w:numId w:val="98"/>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color w:val="000000"/>
          <w:kern w:val="3"/>
          <w:sz w:val="32"/>
          <w:szCs w:val="32"/>
        </w:rPr>
      </w:pPr>
      <w:r w:rsidRPr="00905479">
        <w:rPr>
          <w:rFonts w:ascii="標楷體" w:eastAsia="標楷體" w:hAnsi="標楷體"/>
          <w:color w:val="000000"/>
          <w:kern w:val="3"/>
          <w:sz w:val="32"/>
          <w:szCs w:val="32"/>
        </w:rPr>
        <w:t>智慧教室推廣計畫：數位互動教室的建置非常成功，學員滿意度極高</w:t>
      </w:r>
      <w:r w:rsidRPr="00905479">
        <w:rPr>
          <w:rFonts w:ascii="標楷體" w:eastAsia="標楷體" w:hAnsi="標楷體" w:hint="eastAsia"/>
          <w:color w:val="000000"/>
          <w:kern w:val="3"/>
          <w:sz w:val="32"/>
          <w:szCs w:val="32"/>
        </w:rPr>
        <w:t>，</w:t>
      </w:r>
      <w:r w:rsidRPr="00905479">
        <w:rPr>
          <w:rFonts w:ascii="標楷體" w:eastAsia="標楷體" w:hAnsi="標楷體"/>
          <w:color w:val="000000"/>
          <w:kern w:val="3"/>
          <w:sz w:val="32"/>
          <w:szCs w:val="32"/>
        </w:rPr>
        <w:t>想請問</w:t>
      </w:r>
      <w:r w:rsidRPr="00905479">
        <w:rPr>
          <w:rFonts w:ascii="標楷體" w:eastAsia="標楷體" w:hAnsi="標楷體" w:hint="eastAsia"/>
          <w:color w:val="000000"/>
          <w:kern w:val="3"/>
          <w:sz w:val="32"/>
          <w:szCs w:val="32"/>
        </w:rPr>
        <w:t>人事</w:t>
      </w:r>
      <w:r w:rsidRPr="00905479">
        <w:rPr>
          <w:rFonts w:ascii="標楷體" w:eastAsia="標楷體" w:hAnsi="標楷體"/>
          <w:color w:val="000000"/>
          <w:kern w:val="3"/>
          <w:sz w:val="32"/>
          <w:szCs w:val="32"/>
        </w:rPr>
        <w:t>總處與</w:t>
      </w:r>
      <w:r w:rsidRPr="00905479">
        <w:rPr>
          <w:rFonts w:ascii="標楷體" w:eastAsia="標楷體" w:hAnsi="標楷體" w:hint="eastAsia"/>
          <w:color w:val="000000"/>
          <w:kern w:val="3"/>
          <w:sz w:val="32"/>
          <w:szCs w:val="32"/>
        </w:rPr>
        <w:t>人力</w:t>
      </w:r>
      <w:r w:rsidRPr="00905479">
        <w:rPr>
          <w:rFonts w:ascii="標楷體" w:eastAsia="標楷體" w:hAnsi="標楷體"/>
          <w:color w:val="000000"/>
          <w:kern w:val="3"/>
          <w:sz w:val="32"/>
          <w:szCs w:val="32"/>
        </w:rPr>
        <w:t>學院是否有下一階段的推廣計畫？是否打算將這套先進設備與數位教學模</w:t>
      </w:r>
      <w:r w:rsidRPr="00905479">
        <w:rPr>
          <w:rFonts w:ascii="標楷體" w:eastAsia="標楷體" w:hAnsi="標楷體" w:hint="eastAsia"/>
          <w:color w:val="000000"/>
          <w:kern w:val="3"/>
          <w:sz w:val="32"/>
          <w:szCs w:val="32"/>
        </w:rPr>
        <w:t>式</w:t>
      </w:r>
      <w:r w:rsidRPr="00905479">
        <w:rPr>
          <w:rFonts w:ascii="標楷體" w:eastAsia="標楷體" w:hAnsi="標楷體"/>
          <w:color w:val="000000"/>
          <w:kern w:val="3"/>
          <w:sz w:val="32"/>
          <w:szCs w:val="32"/>
        </w:rPr>
        <w:t>推廣、輔導至各地方縣市政府，讓地方公務員也能享有同等的科技教學資源？</w:t>
      </w:r>
    </w:p>
    <w:p w14:paraId="6084CF69" w14:textId="77777777" w:rsidR="00905479" w:rsidRPr="00905479" w:rsidRDefault="00905479" w:rsidP="003D1018">
      <w:pPr>
        <w:widowControl w:val="0"/>
        <w:numPr>
          <w:ilvl w:val="3"/>
          <w:numId w:val="98"/>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color w:val="000000"/>
          <w:kern w:val="3"/>
          <w:sz w:val="32"/>
          <w:szCs w:val="32"/>
        </w:rPr>
      </w:pPr>
      <w:r w:rsidRPr="00905479">
        <w:rPr>
          <w:rFonts w:ascii="標楷體" w:eastAsia="標楷體" w:hAnsi="標楷體" w:hint="eastAsia"/>
          <w:color w:val="000000"/>
          <w:kern w:val="3"/>
          <w:sz w:val="32"/>
          <w:szCs w:val="32"/>
        </w:rPr>
        <w:t>人力學院</w:t>
      </w:r>
      <w:r w:rsidRPr="00905479">
        <w:rPr>
          <w:rFonts w:ascii="標楷體" w:eastAsia="標楷體" w:hAnsi="標楷體"/>
          <w:color w:val="000000"/>
          <w:kern w:val="3"/>
          <w:sz w:val="32"/>
          <w:szCs w:val="32"/>
        </w:rPr>
        <w:t>南投院區</w:t>
      </w:r>
      <w:r w:rsidRPr="00905479">
        <w:rPr>
          <w:rFonts w:ascii="標楷體" w:eastAsia="標楷體" w:hAnsi="標楷體" w:hint="eastAsia"/>
          <w:color w:val="000000"/>
          <w:kern w:val="3"/>
          <w:sz w:val="32"/>
          <w:szCs w:val="32"/>
        </w:rPr>
        <w:t>營運管理</w:t>
      </w:r>
      <w:r w:rsidRPr="00905479">
        <w:rPr>
          <w:rFonts w:ascii="標楷體" w:eastAsia="標楷體" w:hAnsi="標楷體"/>
          <w:color w:val="000000"/>
          <w:kern w:val="3"/>
          <w:sz w:val="32"/>
          <w:szCs w:val="32"/>
        </w:rPr>
        <w:t>：想瞭解</w:t>
      </w:r>
      <w:r w:rsidRPr="00905479">
        <w:rPr>
          <w:rFonts w:ascii="標楷體" w:eastAsia="標楷體" w:hAnsi="標楷體" w:hint="eastAsia"/>
          <w:color w:val="000000"/>
          <w:kern w:val="3"/>
          <w:sz w:val="32"/>
          <w:szCs w:val="32"/>
        </w:rPr>
        <w:t>南投院區智慧教室</w:t>
      </w:r>
      <w:r w:rsidRPr="00905479">
        <w:rPr>
          <w:rFonts w:ascii="標楷體" w:eastAsia="標楷體" w:hAnsi="標楷體"/>
          <w:color w:val="000000"/>
          <w:kern w:val="3"/>
          <w:sz w:val="32"/>
          <w:szCs w:val="32"/>
        </w:rPr>
        <w:t>目前的使用頻率、成效以及南投院區整體的環境與住宿管理狀況。</w:t>
      </w:r>
    </w:p>
    <w:p w14:paraId="6215DB90" w14:textId="77777777" w:rsidR="00905479" w:rsidRPr="00905479" w:rsidRDefault="00905479" w:rsidP="003D1018">
      <w:pPr>
        <w:widowControl w:val="0"/>
        <w:numPr>
          <w:ilvl w:val="0"/>
          <w:numId w:val="97"/>
        </w:numPr>
        <w:tabs>
          <w:tab w:val="left" w:pos="4680"/>
        </w:tabs>
        <w:suppressAutoHyphens/>
        <w:overflowPunct w:val="0"/>
        <w:autoSpaceDN w:val="0"/>
        <w:snapToGrid w:val="0"/>
        <w:spacing w:before="180" w:after="180" w:line="520" w:lineRule="exact"/>
        <w:jc w:val="both"/>
        <w:textAlignment w:val="baseline"/>
        <w:rPr>
          <w:rFonts w:ascii="標楷體" w:eastAsia="標楷體" w:hAnsi="標楷體"/>
          <w:b/>
          <w:color w:val="000000"/>
          <w:kern w:val="3"/>
          <w:sz w:val="32"/>
          <w:szCs w:val="32"/>
        </w:rPr>
      </w:pPr>
      <w:proofErr w:type="gramStart"/>
      <w:r w:rsidRPr="00905479">
        <w:rPr>
          <w:rFonts w:ascii="標楷體" w:eastAsia="標楷體" w:hAnsi="標楷體"/>
          <w:b/>
          <w:color w:val="000000"/>
          <w:kern w:val="3"/>
          <w:sz w:val="32"/>
          <w:szCs w:val="32"/>
        </w:rPr>
        <w:t>何助理展旭提問</w:t>
      </w:r>
      <w:proofErr w:type="gramEnd"/>
      <w:r w:rsidRPr="00905479">
        <w:rPr>
          <w:rFonts w:ascii="標楷體" w:eastAsia="標楷體" w:hAnsi="標楷體"/>
          <w:b/>
          <w:color w:val="000000"/>
          <w:kern w:val="3"/>
          <w:sz w:val="32"/>
          <w:szCs w:val="32"/>
        </w:rPr>
        <w:t>：</w:t>
      </w:r>
    </w:p>
    <w:p w14:paraId="7B951D25" w14:textId="77777777" w:rsidR="00905479" w:rsidRPr="00905479" w:rsidRDefault="00905479" w:rsidP="003D1018">
      <w:pPr>
        <w:widowControl w:val="0"/>
        <w:numPr>
          <w:ilvl w:val="3"/>
          <w:numId w:val="99"/>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color w:val="000000"/>
          <w:kern w:val="3"/>
          <w:sz w:val="32"/>
          <w:szCs w:val="32"/>
        </w:rPr>
      </w:pPr>
      <w:r w:rsidRPr="00905479">
        <w:rPr>
          <w:rFonts w:ascii="標楷體" w:eastAsia="標楷體" w:hAnsi="標楷體"/>
          <w:color w:val="000000"/>
          <w:kern w:val="3"/>
          <w:sz w:val="32"/>
          <w:szCs w:val="32"/>
        </w:rPr>
        <w:t>訓練權歸屬與整合：憲法規範</w:t>
      </w:r>
      <w:proofErr w:type="gramStart"/>
      <w:r w:rsidRPr="00905479">
        <w:rPr>
          <w:rFonts w:ascii="標楷體" w:eastAsia="標楷體" w:hAnsi="標楷體"/>
          <w:color w:val="000000"/>
          <w:kern w:val="3"/>
          <w:sz w:val="32"/>
          <w:szCs w:val="32"/>
        </w:rPr>
        <w:t>考試院掌理</w:t>
      </w:r>
      <w:proofErr w:type="gramEnd"/>
      <w:r w:rsidRPr="00905479">
        <w:rPr>
          <w:rFonts w:ascii="標楷體" w:eastAsia="標楷體" w:hAnsi="標楷體"/>
          <w:color w:val="000000"/>
          <w:kern w:val="3"/>
          <w:sz w:val="32"/>
          <w:szCs w:val="32"/>
        </w:rPr>
        <w:t>考</w:t>
      </w:r>
      <w:r w:rsidRPr="00905479">
        <w:rPr>
          <w:rFonts w:ascii="標楷體" w:eastAsia="標楷體" w:hAnsi="標楷體" w:hint="eastAsia"/>
          <w:color w:val="000000"/>
          <w:kern w:val="3"/>
          <w:sz w:val="32"/>
          <w:szCs w:val="32"/>
        </w:rPr>
        <w:t>試</w:t>
      </w:r>
      <w:r w:rsidRPr="00905479">
        <w:rPr>
          <w:rFonts w:ascii="標楷體" w:eastAsia="標楷體" w:hAnsi="標楷體"/>
          <w:color w:val="000000"/>
          <w:kern w:val="3"/>
          <w:sz w:val="32"/>
          <w:szCs w:val="32"/>
        </w:rPr>
        <w:t>、銓敘、保障、撫</w:t>
      </w:r>
      <w:proofErr w:type="gramStart"/>
      <w:r w:rsidRPr="00905479">
        <w:rPr>
          <w:rFonts w:ascii="標楷體" w:eastAsia="標楷體" w:hAnsi="標楷體"/>
          <w:color w:val="000000"/>
          <w:kern w:val="3"/>
          <w:sz w:val="32"/>
          <w:szCs w:val="32"/>
        </w:rPr>
        <w:t>卹</w:t>
      </w:r>
      <w:proofErr w:type="gramEnd"/>
      <w:r w:rsidRPr="00905479">
        <w:rPr>
          <w:rFonts w:ascii="標楷體" w:eastAsia="標楷體" w:hAnsi="標楷體"/>
          <w:color w:val="000000"/>
          <w:kern w:val="3"/>
          <w:sz w:val="32"/>
          <w:szCs w:val="32"/>
        </w:rPr>
        <w:t>、退休事項，並無明文「訓練權」。而國家文官學院與人力學院在組織法上的職掌文字高度重疊。</w:t>
      </w:r>
      <w:r w:rsidRPr="00905479">
        <w:rPr>
          <w:rFonts w:ascii="標楷體" w:eastAsia="標楷體" w:hAnsi="標楷體" w:hint="eastAsia"/>
          <w:color w:val="000000"/>
          <w:kern w:val="3"/>
          <w:sz w:val="32"/>
          <w:szCs w:val="32"/>
        </w:rPr>
        <w:t>又</w:t>
      </w:r>
      <w:r w:rsidRPr="00905479">
        <w:rPr>
          <w:rFonts w:ascii="標楷體" w:eastAsia="標楷體" w:hAnsi="標楷體"/>
          <w:color w:val="000000"/>
          <w:kern w:val="3"/>
          <w:sz w:val="32"/>
          <w:szCs w:val="32"/>
        </w:rPr>
        <w:t>立法院法制局</w:t>
      </w:r>
      <w:r w:rsidRPr="00905479">
        <w:rPr>
          <w:rFonts w:ascii="標楷體" w:eastAsia="標楷體" w:hAnsi="標楷體" w:hint="eastAsia"/>
          <w:color w:val="000000"/>
          <w:kern w:val="3"/>
          <w:sz w:val="32"/>
          <w:szCs w:val="32"/>
        </w:rPr>
        <w:t>曾</w:t>
      </w:r>
      <w:r w:rsidRPr="00905479">
        <w:rPr>
          <w:rFonts w:ascii="標楷體" w:eastAsia="標楷體" w:hAnsi="標楷體"/>
          <w:color w:val="000000"/>
          <w:kern w:val="3"/>
          <w:sz w:val="32"/>
          <w:szCs w:val="32"/>
        </w:rPr>
        <w:t>建議</w:t>
      </w:r>
      <w:r w:rsidRPr="00905479">
        <w:rPr>
          <w:rFonts w:ascii="標楷體" w:eastAsia="標楷體" w:hAnsi="標楷體" w:hint="eastAsia"/>
          <w:color w:val="000000"/>
          <w:kern w:val="3"/>
          <w:sz w:val="32"/>
          <w:szCs w:val="32"/>
        </w:rPr>
        <w:t>將公務人員訓練機構</w:t>
      </w:r>
      <w:r w:rsidRPr="00905479">
        <w:rPr>
          <w:rFonts w:ascii="標楷體" w:eastAsia="標楷體" w:hAnsi="標楷體"/>
          <w:color w:val="000000"/>
          <w:kern w:val="3"/>
          <w:sz w:val="32"/>
          <w:szCs w:val="32"/>
        </w:rPr>
        <w:t>整</w:t>
      </w:r>
      <w:proofErr w:type="gramStart"/>
      <w:r w:rsidRPr="00905479">
        <w:rPr>
          <w:rFonts w:ascii="標楷體" w:eastAsia="標楷體" w:hAnsi="標楷體"/>
          <w:color w:val="000000"/>
          <w:kern w:val="3"/>
          <w:sz w:val="32"/>
          <w:szCs w:val="32"/>
        </w:rPr>
        <w:t>併</w:t>
      </w:r>
      <w:proofErr w:type="gramEnd"/>
      <w:r w:rsidRPr="00905479">
        <w:rPr>
          <w:rFonts w:ascii="標楷體" w:eastAsia="標楷體" w:hAnsi="標楷體"/>
          <w:color w:val="000000"/>
          <w:kern w:val="3"/>
          <w:sz w:val="32"/>
          <w:szCs w:val="32"/>
        </w:rPr>
        <w:t>為「單一國家級文官培訓機構」</w:t>
      </w:r>
      <w:r w:rsidRPr="00905479">
        <w:rPr>
          <w:rFonts w:ascii="標楷體" w:eastAsia="標楷體" w:hAnsi="標楷體" w:hint="eastAsia"/>
          <w:color w:val="000000"/>
          <w:kern w:val="3"/>
          <w:sz w:val="32"/>
          <w:szCs w:val="32"/>
        </w:rPr>
        <w:t>，</w:t>
      </w:r>
      <w:r w:rsidRPr="00905479">
        <w:rPr>
          <w:rFonts w:ascii="標楷體" w:eastAsia="標楷體" w:hAnsi="標楷體"/>
          <w:color w:val="000000"/>
          <w:kern w:val="3"/>
          <w:sz w:val="32"/>
          <w:szCs w:val="32"/>
        </w:rPr>
        <w:t>請問這</w:t>
      </w:r>
      <w:r w:rsidRPr="00905479">
        <w:rPr>
          <w:rFonts w:ascii="標楷體" w:eastAsia="標楷體" w:hAnsi="標楷體" w:hint="eastAsia"/>
          <w:color w:val="000000"/>
          <w:kern w:val="3"/>
          <w:sz w:val="32"/>
          <w:szCs w:val="32"/>
        </w:rPr>
        <w:t>幾</w:t>
      </w:r>
      <w:r w:rsidRPr="00905479">
        <w:rPr>
          <w:rFonts w:ascii="標楷體" w:eastAsia="標楷體" w:hAnsi="標楷體"/>
          <w:color w:val="000000"/>
          <w:kern w:val="3"/>
          <w:sz w:val="32"/>
          <w:szCs w:val="32"/>
        </w:rPr>
        <w:t>年來</w:t>
      </w:r>
      <w:r w:rsidRPr="00905479">
        <w:rPr>
          <w:rFonts w:ascii="標楷體" w:eastAsia="標楷體" w:hAnsi="標楷體" w:hint="eastAsia"/>
          <w:color w:val="000000"/>
          <w:kern w:val="3"/>
          <w:sz w:val="32"/>
          <w:szCs w:val="32"/>
        </w:rPr>
        <w:t>整合</w:t>
      </w:r>
      <w:r w:rsidRPr="00905479">
        <w:rPr>
          <w:rFonts w:ascii="標楷體" w:eastAsia="標楷體" w:hAnsi="標楷體"/>
          <w:color w:val="000000"/>
          <w:kern w:val="3"/>
          <w:sz w:val="32"/>
          <w:szCs w:val="32"/>
        </w:rPr>
        <w:t>進程如何？</w:t>
      </w:r>
      <w:r w:rsidRPr="00905479">
        <w:rPr>
          <w:rFonts w:ascii="標楷體" w:eastAsia="標楷體" w:hAnsi="標楷體" w:hint="eastAsia"/>
          <w:color w:val="000000"/>
          <w:kern w:val="3"/>
          <w:sz w:val="32"/>
          <w:szCs w:val="32"/>
        </w:rPr>
        <w:t>或是繼續分工而治？</w:t>
      </w:r>
      <w:r w:rsidRPr="00905479">
        <w:rPr>
          <w:rFonts w:ascii="標楷體" w:eastAsia="標楷體" w:hAnsi="標楷體"/>
          <w:color w:val="000000"/>
          <w:kern w:val="3"/>
          <w:sz w:val="32"/>
          <w:szCs w:val="32"/>
        </w:rPr>
        <w:t>兩院間目前具體的職責劃分標準為何？</w:t>
      </w:r>
    </w:p>
    <w:p w14:paraId="228BFB9F" w14:textId="77777777" w:rsidR="00905479" w:rsidRPr="00905479" w:rsidRDefault="00905479" w:rsidP="003D1018">
      <w:pPr>
        <w:widowControl w:val="0"/>
        <w:numPr>
          <w:ilvl w:val="3"/>
          <w:numId w:val="99"/>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color w:val="000000"/>
          <w:kern w:val="3"/>
          <w:sz w:val="32"/>
          <w:szCs w:val="32"/>
        </w:rPr>
      </w:pPr>
      <w:r w:rsidRPr="00905479">
        <w:rPr>
          <w:rFonts w:ascii="標楷體" w:eastAsia="標楷體" w:hAnsi="標楷體"/>
          <w:color w:val="000000"/>
          <w:kern w:val="3"/>
          <w:sz w:val="32"/>
          <w:szCs w:val="32"/>
        </w:rPr>
        <w:t>AI</w:t>
      </w:r>
      <w:proofErr w:type="gramStart"/>
      <w:r w:rsidRPr="00905479">
        <w:rPr>
          <w:rFonts w:ascii="標楷體" w:eastAsia="標楷體" w:hAnsi="標楷體"/>
          <w:color w:val="000000"/>
          <w:kern w:val="3"/>
          <w:sz w:val="32"/>
          <w:szCs w:val="32"/>
        </w:rPr>
        <w:t>資安與個</w:t>
      </w:r>
      <w:proofErr w:type="gramEnd"/>
      <w:r w:rsidRPr="00905479">
        <w:rPr>
          <w:rFonts w:ascii="標楷體" w:eastAsia="標楷體" w:hAnsi="標楷體"/>
          <w:color w:val="000000"/>
          <w:kern w:val="3"/>
          <w:sz w:val="32"/>
          <w:szCs w:val="32"/>
        </w:rPr>
        <w:t>資界限：公務體系導入AI</w:t>
      </w:r>
      <w:r w:rsidRPr="00905479">
        <w:rPr>
          <w:rFonts w:ascii="標楷體" w:eastAsia="標楷體" w:hAnsi="標楷體" w:hint="eastAsia"/>
          <w:color w:val="000000"/>
          <w:kern w:val="3"/>
          <w:sz w:val="32"/>
          <w:szCs w:val="32"/>
        </w:rPr>
        <w:t>，</w:t>
      </w:r>
      <w:r w:rsidRPr="00905479">
        <w:rPr>
          <w:rFonts w:ascii="標楷體" w:eastAsia="標楷體" w:hAnsi="標楷體"/>
          <w:color w:val="000000"/>
          <w:kern w:val="3"/>
          <w:sz w:val="32"/>
          <w:szCs w:val="32"/>
        </w:rPr>
        <w:t>最令人擔憂的是「公務機密洩露」與「</w:t>
      </w:r>
      <w:proofErr w:type="gramStart"/>
      <w:r w:rsidRPr="00905479">
        <w:rPr>
          <w:rFonts w:ascii="標楷體" w:eastAsia="標楷體" w:hAnsi="標楷體"/>
          <w:color w:val="000000"/>
          <w:kern w:val="3"/>
          <w:sz w:val="32"/>
          <w:szCs w:val="32"/>
        </w:rPr>
        <w:t>個</w:t>
      </w:r>
      <w:proofErr w:type="gramEnd"/>
      <w:r w:rsidRPr="00905479">
        <w:rPr>
          <w:rFonts w:ascii="標楷體" w:eastAsia="標楷體" w:hAnsi="標楷體"/>
          <w:color w:val="000000"/>
          <w:kern w:val="3"/>
          <w:sz w:val="32"/>
          <w:szCs w:val="32"/>
        </w:rPr>
        <w:t>資保護」。想請問</w:t>
      </w:r>
      <w:r w:rsidRPr="00905479">
        <w:rPr>
          <w:rFonts w:ascii="標楷體" w:eastAsia="標楷體" w:hAnsi="標楷體" w:cs="標楷體" w:hint="eastAsia"/>
          <w:bCs/>
          <w:kern w:val="3"/>
          <w:sz w:val="32"/>
          <w:szCs w:val="32"/>
        </w:rPr>
        <w:t>人力</w:t>
      </w:r>
      <w:r w:rsidRPr="00905479">
        <w:rPr>
          <w:rFonts w:ascii="標楷體" w:eastAsia="標楷體" w:hAnsi="標楷體"/>
          <w:color w:val="000000"/>
          <w:kern w:val="3"/>
          <w:sz w:val="32"/>
          <w:szCs w:val="32"/>
        </w:rPr>
        <w:t>學院在訓練課程中，是否有針對AI使用的法律邊界、規範</w:t>
      </w:r>
      <w:proofErr w:type="gramStart"/>
      <w:r w:rsidRPr="00905479">
        <w:rPr>
          <w:rFonts w:ascii="標楷體" w:eastAsia="標楷體" w:hAnsi="標楷體"/>
          <w:color w:val="000000"/>
          <w:kern w:val="3"/>
          <w:sz w:val="32"/>
          <w:szCs w:val="32"/>
        </w:rPr>
        <w:t>與資安防護</w:t>
      </w:r>
      <w:proofErr w:type="gramEnd"/>
      <w:r w:rsidRPr="00905479">
        <w:rPr>
          <w:rFonts w:ascii="標楷體" w:eastAsia="標楷體" w:hAnsi="標楷體"/>
          <w:color w:val="000000"/>
          <w:kern w:val="3"/>
          <w:sz w:val="32"/>
          <w:szCs w:val="32"/>
        </w:rPr>
        <w:t>進行系統性地探討與教學？</w:t>
      </w:r>
    </w:p>
    <w:p w14:paraId="6F40BAE1" w14:textId="77777777" w:rsidR="00905479" w:rsidRPr="00905479" w:rsidRDefault="00905479" w:rsidP="003D1018">
      <w:pPr>
        <w:widowControl w:val="0"/>
        <w:numPr>
          <w:ilvl w:val="0"/>
          <w:numId w:val="97"/>
        </w:numPr>
        <w:tabs>
          <w:tab w:val="left" w:pos="4680"/>
        </w:tabs>
        <w:suppressAutoHyphens/>
        <w:overflowPunct w:val="0"/>
        <w:autoSpaceDN w:val="0"/>
        <w:snapToGrid w:val="0"/>
        <w:spacing w:before="180" w:after="180" w:line="520" w:lineRule="exact"/>
        <w:jc w:val="both"/>
        <w:textAlignment w:val="baseline"/>
        <w:rPr>
          <w:rFonts w:ascii="標楷體" w:eastAsia="標楷體" w:hAnsi="標楷體"/>
          <w:color w:val="000000"/>
          <w:kern w:val="3"/>
          <w:sz w:val="32"/>
          <w:szCs w:val="32"/>
        </w:rPr>
      </w:pPr>
      <w:r w:rsidRPr="00905479">
        <w:rPr>
          <w:rFonts w:ascii="標楷體" w:eastAsia="標楷體" w:hAnsi="標楷體"/>
          <w:b/>
          <w:color w:val="000000"/>
          <w:kern w:val="3"/>
          <w:sz w:val="32"/>
          <w:szCs w:val="32"/>
        </w:rPr>
        <w:t>蔡助理岡</w:t>
      </w:r>
      <w:proofErr w:type="gramStart"/>
      <w:r w:rsidRPr="00905479">
        <w:rPr>
          <w:rFonts w:ascii="標楷體" w:eastAsia="標楷體" w:hAnsi="標楷體"/>
          <w:b/>
          <w:color w:val="000000"/>
          <w:kern w:val="3"/>
          <w:sz w:val="32"/>
          <w:szCs w:val="32"/>
        </w:rPr>
        <w:t>霖</w:t>
      </w:r>
      <w:proofErr w:type="gramEnd"/>
      <w:r w:rsidRPr="00905479">
        <w:rPr>
          <w:rFonts w:ascii="標楷體" w:eastAsia="標楷體" w:hAnsi="標楷體"/>
          <w:b/>
          <w:color w:val="000000"/>
          <w:kern w:val="3"/>
          <w:sz w:val="32"/>
          <w:szCs w:val="32"/>
        </w:rPr>
        <w:t>提問與建議：</w:t>
      </w:r>
    </w:p>
    <w:p w14:paraId="214E4BD1" w14:textId="77777777" w:rsidR="00905479" w:rsidRPr="00905479" w:rsidRDefault="00905479" w:rsidP="003D1018">
      <w:pPr>
        <w:widowControl w:val="0"/>
        <w:numPr>
          <w:ilvl w:val="3"/>
          <w:numId w:val="101"/>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color w:val="000000"/>
          <w:kern w:val="3"/>
          <w:sz w:val="32"/>
          <w:szCs w:val="32"/>
        </w:rPr>
      </w:pPr>
      <w:r w:rsidRPr="00905479">
        <w:rPr>
          <w:rFonts w:ascii="標楷體" w:eastAsia="標楷體" w:hAnsi="標楷體"/>
          <w:color w:val="000000"/>
          <w:kern w:val="3"/>
          <w:sz w:val="32"/>
          <w:szCs w:val="32"/>
        </w:rPr>
        <w:lastRenderedPageBreak/>
        <w:t>建構員額調整</w:t>
      </w:r>
      <w:r w:rsidRPr="00905479">
        <w:rPr>
          <w:rFonts w:ascii="標楷體" w:eastAsia="標楷體" w:hAnsi="標楷體" w:hint="eastAsia"/>
          <w:color w:val="000000"/>
          <w:kern w:val="3"/>
          <w:sz w:val="32"/>
          <w:szCs w:val="32"/>
        </w:rPr>
        <w:t>及技術性人力分配</w:t>
      </w:r>
      <w:r w:rsidRPr="00905479">
        <w:rPr>
          <w:rFonts w:ascii="標楷體" w:eastAsia="標楷體" w:hAnsi="標楷體"/>
          <w:color w:val="000000"/>
          <w:kern w:val="3"/>
          <w:sz w:val="32"/>
          <w:szCs w:val="32"/>
        </w:rPr>
        <w:t>之長期藍圖：</w:t>
      </w:r>
      <w:r w:rsidRPr="00905479">
        <w:rPr>
          <w:rFonts w:ascii="標楷體" w:eastAsia="標楷體" w:hAnsi="標楷體" w:hint="eastAsia"/>
          <w:color w:val="000000"/>
          <w:kern w:val="3"/>
          <w:sz w:val="32"/>
          <w:szCs w:val="32"/>
        </w:rPr>
        <w:t>人事</w:t>
      </w:r>
      <w:r w:rsidRPr="00905479">
        <w:rPr>
          <w:rFonts w:ascii="標楷體" w:eastAsia="標楷體" w:hAnsi="標楷體"/>
          <w:color w:val="000000"/>
          <w:kern w:val="3"/>
          <w:sz w:val="32"/>
          <w:szCs w:val="32"/>
        </w:rPr>
        <w:t>總處不應僅是被動等待與審查各機關提報的增員需求，而應主動與各部會展開5至10年的長期溝通</w:t>
      </w:r>
      <w:r w:rsidRPr="00905479">
        <w:rPr>
          <w:rFonts w:ascii="標楷體" w:eastAsia="標楷體" w:hAnsi="標楷體" w:hint="eastAsia"/>
          <w:color w:val="000000"/>
          <w:kern w:val="3"/>
          <w:sz w:val="32"/>
          <w:szCs w:val="32"/>
        </w:rPr>
        <w:t>，</w:t>
      </w:r>
      <w:r w:rsidRPr="00905479">
        <w:rPr>
          <w:rFonts w:ascii="標楷體" w:eastAsia="標楷體" w:hAnsi="標楷體"/>
          <w:color w:val="000000"/>
          <w:kern w:val="3"/>
          <w:sz w:val="32"/>
          <w:szCs w:val="32"/>
        </w:rPr>
        <w:t>明確</w:t>
      </w:r>
      <w:proofErr w:type="gramStart"/>
      <w:r w:rsidRPr="00905479">
        <w:rPr>
          <w:rFonts w:ascii="標楷體" w:eastAsia="標楷體" w:hAnsi="標楷體"/>
          <w:color w:val="000000"/>
          <w:kern w:val="3"/>
          <w:sz w:val="32"/>
          <w:szCs w:val="32"/>
        </w:rPr>
        <w:t>研商哪</w:t>
      </w:r>
      <w:proofErr w:type="gramEnd"/>
      <w:r w:rsidRPr="00905479">
        <w:rPr>
          <w:rFonts w:ascii="標楷體" w:eastAsia="標楷體" w:hAnsi="標楷體"/>
          <w:color w:val="000000"/>
          <w:kern w:val="3"/>
          <w:sz w:val="32"/>
          <w:szCs w:val="32"/>
        </w:rPr>
        <w:t>些業務在導入AI科技後，其人力配置應予以合理精簡或重新調整，制定一套合理員額分配之評估基礎</w:t>
      </w:r>
      <w:r w:rsidRPr="00905479">
        <w:rPr>
          <w:rFonts w:ascii="標楷體" w:eastAsia="標楷體" w:hAnsi="標楷體" w:hint="eastAsia"/>
          <w:color w:val="000000"/>
          <w:kern w:val="3"/>
          <w:sz w:val="32"/>
          <w:szCs w:val="32"/>
        </w:rPr>
        <w:t>，</w:t>
      </w:r>
      <w:r w:rsidRPr="00905479">
        <w:rPr>
          <w:rFonts w:ascii="標楷體" w:eastAsia="標楷體" w:hAnsi="標楷體"/>
          <w:color w:val="000000"/>
          <w:kern w:val="3"/>
          <w:sz w:val="32"/>
          <w:szCs w:val="32"/>
        </w:rPr>
        <w:t>以落實主動、科學化的員額管理。</w:t>
      </w:r>
    </w:p>
    <w:p w14:paraId="53BF50FD" w14:textId="77777777" w:rsidR="00905479" w:rsidRPr="00905479" w:rsidRDefault="00905479" w:rsidP="003D1018">
      <w:pPr>
        <w:widowControl w:val="0"/>
        <w:numPr>
          <w:ilvl w:val="3"/>
          <w:numId w:val="101"/>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kern w:val="3"/>
          <w:sz w:val="32"/>
          <w:szCs w:val="32"/>
        </w:rPr>
      </w:pPr>
      <w:r w:rsidRPr="00905479">
        <w:rPr>
          <w:rFonts w:ascii="標楷體" w:eastAsia="標楷體" w:hAnsi="標楷體"/>
          <w:color w:val="000000"/>
          <w:kern w:val="3"/>
          <w:sz w:val="32"/>
          <w:szCs w:val="32"/>
        </w:rPr>
        <w:t>優化跨機關前端流程，降低後端人力依賴：以各界關切的司法人力不足為例，若能在業務源頭利用AI進行「前端流程優化」（例如其他機關或法院在遞送意見、資料、或收發文時，直接</w:t>
      </w:r>
      <w:r w:rsidRPr="00905479">
        <w:rPr>
          <w:rFonts w:ascii="標楷體" w:eastAsia="標楷體" w:hAnsi="標楷體"/>
          <w:kern w:val="3"/>
          <w:sz w:val="32"/>
          <w:szCs w:val="32"/>
        </w:rPr>
        <w:t>利用AI技術將外部資料自動解析並無縫匯入司法管理系統），將能大幅減輕後端人工登錄與文書整理的負擔。</w:t>
      </w:r>
    </w:p>
    <w:p w14:paraId="6D92DF5C" w14:textId="77777777" w:rsidR="00905479" w:rsidRPr="00905479" w:rsidRDefault="00905479" w:rsidP="003D1018">
      <w:pPr>
        <w:widowControl w:val="0"/>
        <w:numPr>
          <w:ilvl w:val="0"/>
          <w:numId w:val="97"/>
        </w:numPr>
        <w:tabs>
          <w:tab w:val="left" w:pos="4680"/>
        </w:tabs>
        <w:suppressAutoHyphens/>
        <w:overflowPunct w:val="0"/>
        <w:autoSpaceDN w:val="0"/>
        <w:snapToGrid w:val="0"/>
        <w:spacing w:before="180" w:after="180" w:line="520" w:lineRule="exact"/>
        <w:jc w:val="both"/>
        <w:textAlignment w:val="baseline"/>
        <w:rPr>
          <w:rFonts w:ascii="標楷體" w:eastAsia="標楷體" w:hAnsi="標楷體"/>
          <w:b/>
          <w:kern w:val="3"/>
          <w:sz w:val="32"/>
          <w:szCs w:val="32"/>
        </w:rPr>
      </w:pPr>
      <w:r w:rsidRPr="00905479">
        <w:rPr>
          <w:rFonts w:ascii="標楷體" w:eastAsia="標楷體" w:hAnsi="標楷體"/>
          <w:b/>
          <w:kern w:val="3"/>
          <w:sz w:val="32"/>
          <w:szCs w:val="32"/>
        </w:rPr>
        <w:t>翁召集委員曉玲提問與建議：</w:t>
      </w:r>
    </w:p>
    <w:p w14:paraId="368FCA61" w14:textId="77777777" w:rsidR="00905479" w:rsidRPr="00905479" w:rsidRDefault="00905479" w:rsidP="003D1018">
      <w:pPr>
        <w:widowControl w:val="0"/>
        <w:numPr>
          <w:ilvl w:val="3"/>
          <w:numId w:val="102"/>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kern w:val="3"/>
          <w:sz w:val="32"/>
          <w:szCs w:val="32"/>
        </w:rPr>
      </w:pPr>
      <w:r w:rsidRPr="00905479">
        <w:rPr>
          <w:rFonts w:ascii="標楷體" w:eastAsia="標楷體" w:hAnsi="標楷體"/>
          <w:kern w:val="3"/>
          <w:sz w:val="32"/>
          <w:szCs w:val="32"/>
        </w:rPr>
        <w:t>檢討總員額法推行之實質成效與人力膨脹問題：中央政府機關總員額法</w:t>
      </w:r>
      <w:r w:rsidRPr="00905479">
        <w:rPr>
          <w:rFonts w:ascii="標楷體" w:eastAsia="標楷體" w:hAnsi="標楷體" w:hint="eastAsia"/>
          <w:kern w:val="3"/>
          <w:sz w:val="32"/>
          <w:szCs w:val="32"/>
        </w:rPr>
        <w:t>(以下簡稱總員額法)</w:t>
      </w:r>
      <w:r w:rsidRPr="00905479">
        <w:rPr>
          <w:rFonts w:ascii="標楷體" w:eastAsia="標楷體" w:hAnsi="標楷體"/>
          <w:kern w:val="3"/>
          <w:sz w:val="32"/>
          <w:szCs w:val="32"/>
        </w:rPr>
        <w:t>制定至今已將近</w:t>
      </w:r>
      <w:r w:rsidRPr="00905479">
        <w:rPr>
          <w:rFonts w:ascii="標楷體" w:eastAsia="標楷體" w:hAnsi="標楷體" w:hint="eastAsia"/>
          <w:kern w:val="3"/>
          <w:sz w:val="32"/>
          <w:szCs w:val="32"/>
        </w:rPr>
        <w:t>20</w:t>
      </w:r>
      <w:r w:rsidRPr="00905479">
        <w:rPr>
          <w:rFonts w:ascii="標楷體" w:eastAsia="標楷體" w:hAnsi="標楷體"/>
          <w:kern w:val="3"/>
          <w:sz w:val="32"/>
          <w:szCs w:val="32"/>
        </w:rPr>
        <w:t>年，機關總員額上限始終維持不變，然而政府整體人事經費卻不減反增。究其原因，許多機關在編制員額受限的情況下，改進用大量約聘僱等編制外人力來填補業務空缺</w:t>
      </w:r>
      <w:r w:rsidRPr="00905479">
        <w:rPr>
          <w:rFonts w:ascii="標楷體" w:eastAsia="標楷體" w:hAnsi="標楷體" w:hint="eastAsia"/>
          <w:kern w:val="3"/>
          <w:sz w:val="32"/>
          <w:szCs w:val="32"/>
        </w:rPr>
        <w:t>，</w:t>
      </w:r>
      <w:r w:rsidRPr="00905479">
        <w:rPr>
          <w:rFonts w:ascii="標楷體" w:eastAsia="標楷體" w:hAnsi="標楷體"/>
          <w:kern w:val="3"/>
          <w:sz w:val="32"/>
          <w:szCs w:val="32"/>
        </w:rPr>
        <w:t>顯示政府實質上並未達到精簡目標，反而讓整體人事費用與人力負擔不斷提高，人事總處應對此一結構性問題進行檢討。</w:t>
      </w:r>
    </w:p>
    <w:p w14:paraId="4553ABC0" w14:textId="77777777" w:rsidR="00905479" w:rsidRPr="00905479" w:rsidRDefault="00905479" w:rsidP="003D1018">
      <w:pPr>
        <w:widowControl w:val="0"/>
        <w:numPr>
          <w:ilvl w:val="3"/>
          <w:numId w:val="102"/>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kern w:val="3"/>
          <w:sz w:val="32"/>
          <w:szCs w:val="32"/>
        </w:rPr>
      </w:pPr>
      <w:r w:rsidRPr="00905479">
        <w:rPr>
          <w:rFonts w:ascii="標楷體" w:eastAsia="標楷體" w:hAnsi="標楷體"/>
          <w:kern w:val="3"/>
          <w:sz w:val="32"/>
          <w:szCs w:val="32"/>
        </w:rPr>
        <w:t>推動員額合理之彈性調配：以司法院、法務部等司法體系為例，隨著民眾爭議意識高漲，</w:t>
      </w:r>
      <w:r w:rsidRPr="00905479">
        <w:rPr>
          <w:rFonts w:ascii="標楷體" w:eastAsia="標楷體" w:hAnsi="標楷體" w:hint="eastAsia"/>
          <w:kern w:val="3"/>
          <w:sz w:val="32"/>
          <w:szCs w:val="32"/>
        </w:rPr>
        <w:t>導致司法</w:t>
      </w:r>
      <w:r w:rsidRPr="00905479">
        <w:rPr>
          <w:rFonts w:ascii="標楷體" w:eastAsia="標楷體" w:hAnsi="標楷體"/>
          <w:kern w:val="3"/>
          <w:sz w:val="32"/>
          <w:szCs w:val="32"/>
        </w:rPr>
        <w:t>案件爆增，基層同仁面臨極度繁重的業務負荷。人事總處應積極評估，在維持國家總員額上限不變的前提下，針對業務過於繁重之機關進行小幅度的員額結構性調配與調整，以實質舒緩基層人力荒。</w:t>
      </w:r>
    </w:p>
    <w:p w14:paraId="35F0CDA7" w14:textId="77777777" w:rsidR="00905479" w:rsidRPr="00905479" w:rsidRDefault="00905479" w:rsidP="003D1018">
      <w:pPr>
        <w:widowControl w:val="0"/>
        <w:numPr>
          <w:ilvl w:val="3"/>
          <w:numId w:val="102"/>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kern w:val="3"/>
          <w:sz w:val="32"/>
          <w:szCs w:val="32"/>
        </w:rPr>
      </w:pPr>
      <w:proofErr w:type="gramStart"/>
      <w:r w:rsidRPr="00905479">
        <w:rPr>
          <w:rFonts w:ascii="標楷體" w:eastAsia="標楷體" w:hAnsi="標楷體"/>
          <w:kern w:val="3"/>
          <w:sz w:val="32"/>
          <w:szCs w:val="32"/>
        </w:rPr>
        <w:lastRenderedPageBreak/>
        <w:t>因應少子化</w:t>
      </w:r>
      <w:proofErr w:type="gramEnd"/>
      <w:r w:rsidRPr="00905479">
        <w:rPr>
          <w:rFonts w:ascii="標楷體" w:eastAsia="標楷體" w:hAnsi="標楷體"/>
          <w:kern w:val="3"/>
          <w:sz w:val="32"/>
          <w:szCs w:val="32"/>
        </w:rPr>
        <w:t>與產業薪資競爭，</w:t>
      </w:r>
      <w:proofErr w:type="gramStart"/>
      <w:r w:rsidRPr="00905479">
        <w:rPr>
          <w:rFonts w:ascii="標楷體" w:eastAsia="標楷體" w:hAnsi="標楷體"/>
          <w:kern w:val="3"/>
          <w:sz w:val="32"/>
          <w:szCs w:val="32"/>
        </w:rPr>
        <w:t>研擬留才</w:t>
      </w:r>
      <w:r w:rsidRPr="00905479">
        <w:rPr>
          <w:rFonts w:ascii="標楷體" w:eastAsia="標楷體" w:hAnsi="標楷體" w:hint="eastAsia"/>
          <w:kern w:val="3"/>
          <w:sz w:val="32"/>
          <w:szCs w:val="32"/>
        </w:rPr>
        <w:t>及攬才</w:t>
      </w:r>
      <w:proofErr w:type="gramEnd"/>
      <w:r w:rsidRPr="00905479">
        <w:rPr>
          <w:rFonts w:ascii="標楷體" w:eastAsia="標楷體" w:hAnsi="標楷體"/>
          <w:kern w:val="3"/>
          <w:sz w:val="32"/>
          <w:szCs w:val="32"/>
        </w:rPr>
        <w:t>對策：從我國長期人口結構趨勢來看，未來</w:t>
      </w:r>
      <w:r w:rsidRPr="00905479">
        <w:rPr>
          <w:rFonts w:ascii="標楷體" w:eastAsia="標楷體" w:hAnsi="標楷體" w:hint="eastAsia"/>
          <w:kern w:val="3"/>
          <w:sz w:val="32"/>
          <w:szCs w:val="32"/>
        </w:rPr>
        <w:t>50</w:t>
      </w:r>
      <w:r w:rsidRPr="00905479">
        <w:rPr>
          <w:rFonts w:ascii="標楷體" w:eastAsia="標楷體" w:hAnsi="標楷體"/>
          <w:kern w:val="3"/>
          <w:sz w:val="32"/>
          <w:szCs w:val="32"/>
        </w:rPr>
        <w:t>年人口將面臨大幅銳減，這將直接衝擊文官</w:t>
      </w:r>
      <w:r w:rsidRPr="00905479">
        <w:rPr>
          <w:rFonts w:ascii="標楷體" w:eastAsia="標楷體" w:hAnsi="標楷體" w:hint="eastAsia"/>
          <w:kern w:val="3"/>
          <w:sz w:val="32"/>
          <w:szCs w:val="32"/>
        </w:rPr>
        <w:t>人力</w:t>
      </w:r>
      <w:r w:rsidRPr="00905479">
        <w:rPr>
          <w:rFonts w:ascii="標楷體" w:eastAsia="標楷體" w:hAnsi="標楷體"/>
          <w:kern w:val="3"/>
          <w:sz w:val="32"/>
          <w:szCs w:val="32"/>
        </w:rPr>
        <w:t>的供給。更嚴峻的是，目前政府機關的薪資待遇已落後於民</w:t>
      </w:r>
      <w:r w:rsidRPr="00905479">
        <w:rPr>
          <w:rFonts w:ascii="標楷體" w:eastAsia="標楷體" w:hAnsi="標楷體" w:hint="eastAsia"/>
          <w:kern w:val="3"/>
          <w:sz w:val="32"/>
          <w:szCs w:val="32"/>
        </w:rPr>
        <w:t>間</w:t>
      </w:r>
      <w:r w:rsidRPr="00905479">
        <w:rPr>
          <w:rFonts w:ascii="標楷體" w:eastAsia="標楷體" w:hAnsi="標楷體"/>
          <w:kern w:val="3"/>
          <w:sz w:val="32"/>
          <w:szCs w:val="32"/>
        </w:rPr>
        <w:t>，導致政府面臨「優秀人才招不進來，好不容易招進來也留不住」的雙重困境。人事總處應具體規劃</w:t>
      </w:r>
      <w:r w:rsidRPr="00905479">
        <w:rPr>
          <w:rFonts w:ascii="標楷體" w:eastAsia="標楷體" w:hAnsi="標楷體" w:hint="eastAsia"/>
          <w:kern w:val="3"/>
          <w:sz w:val="32"/>
          <w:szCs w:val="32"/>
        </w:rPr>
        <w:t>因應</w:t>
      </w:r>
      <w:r w:rsidRPr="00905479">
        <w:rPr>
          <w:rFonts w:ascii="標楷體" w:eastAsia="標楷體" w:hAnsi="標楷體"/>
          <w:kern w:val="3"/>
          <w:sz w:val="32"/>
          <w:szCs w:val="32"/>
        </w:rPr>
        <w:t>方案，改善基層工作環境，避免公務體系面臨嚴重人才斷層。</w:t>
      </w:r>
    </w:p>
    <w:p w14:paraId="720E3E88" w14:textId="77777777" w:rsidR="00905479" w:rsidRPr="00905479" w:rsidRDefault="00905479" w:rsidP="003D1018">
      <w:pPr>
        <w:widowControl w:val="0"/>
        <w:numPr>
          <w:ilvl w:val="0"/>
          <w:numId w:val="97"/>
        </w:numPr>
        <w:tabs>
          <w:tab w:val="left" w:pos="4680"/>
        </w:tabs>
        <w:suppressAutoHyphens/>
        <w:overflowPunct w:val="0"/>
        <w:autoSpaceDN w:val="0"/>
        <w:snapToGrid w:val="0"/>
        <w:spacing w:before="180" w:after="180" w:line="520" w:lineRule="exact"/>
        <w:jc w:val="both"/>
        <w:textAlignment w:val="baseline"/>
        <w:rPr>
          <w:rFonts w:ascii="標楷體" w:eastAsia="標楷體" w:hAnsi="標楷體"/>
          <w:b/>
          <w:kern w:val="3"/>
          <w:sz w:val="32"/>
          <w:szCs w:val="32"/>
        </w:rPr>
      </w:pPr>
      <w:r w:rsidRPr="00905479">
        <w:rPr>
          <w:rFonts w:ascii="標楷體" w:eastAsia="標楷體" w:hAnsi="標楷體"/>
          <w:b/>
          <w:kern w:val="3"/>
          <w:sz w:val="32"/>
          <w:szCs w:val="32"/>
        </w:rPr>
        <w:t>人事總處及人力學院代表回應：</w:t>
      </w:r>
    </w:p>
    <w:p w14:paraId="2781D075" w14:textId="77777777" w:rsidR="00905479" w:rsidRPr="00905479" w:rsidRDefault="00905479" w:rsidP="003D1018">
      <w:pPr>
        <w:widowControl w:val="0"/>
        <w:numPr>
          <w:ilvl w:val="3"/>
          <w:numId w:val="103"/>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kern w:val="3"/>
          <w:sz w:val="32"/>
          <w:szCs w:val="32"/>
        </w:rPr>
      </w:pPr>
      <w:r w:rsidRPr="00905479">
        <w:rPr>
          <w:rFonts w:ascii="標楷體" w:eastAsia="標楷體" w:hAnsi="標楷體" w:hint="eastAsia"/>
          <w:kern w:val="3"/>
          <w:sz w:val="32"/>
          <w:szCs w:val="32"/>
        </w:rPr>
        <w:t>張副</w:t>
      </w:r>
      <w:proofErr w:type="gramStart"/>
      <w:r w:rsidRPr="00905479">
        <w:rPr>
          <w:rFonts w:ascii="標楷體" w:eastAsia="標楷體" w:hAnsi="標楷體" w:hint="eastAsia"/>
          <w:kern w:val="3"/>
          <w:sz w:val="32"/>
          <w:szCs w:val="32"/>
        </w:rPr>
        <w:t>人事長秋元</w:t>
      </w:r>
      <w:proofErr w:type="gramEnd"/>
      <w:r w:rsidRPr="00905479">
        <w:rPr>
          <w:rFonts w:ascii="標楷體" w:eastAsia="標楷體" w:hAnsi="標楷體" w:hint="eastAsia"/>
          <w:kern w:val="3"/>
          <w:sz w:val="32"/>
          <w:szCs w:val="32"/>
        </w:rPr>
        <w:t>綜合回應：</w:t>
      </w:r>
    </w:p>
    <w:p w14:paraId="3A26E575" w14:textId="77777777" w:rsidR="00905479" w:rsidRPr="00905479" w:rsidRDefault="00905479" w:rsidP="003D1018">
      <w:pPr>
        <w:widowControl w:val="0"/>
        <w:numPr>
          <w:ilvl w:val="6"/>
          <w:numId w:val="103"/>
        </w:numPr>
        <w:tabs>
          <w:tab w:val="left" w:pos="4680"/>
        </w:tabs>
        <w:suppressAutoHyphens/>
        <w:overflowPunct w:val="0"/>
        <w:autoSpaceDN w:val="0"/>
        <w:snapToGrid w:val="0"/>
        <w:spacing w:before="120" w:after="120" w:line="520" w:lineRule="exact"/>
        <w:ind w:left="1587" w:hanging="340"/>
        <w:jc w:val="both"/>
        <w:textAlignment w:val="baseline"/>
        <w:rPr>
          <w:rFonts w:ascii="標楷體" w:eastAsia="標楷體" w:hAnsi="標楷體"/>
          <w:kern w:val="3"/>
          <w:sz w:val="32"/>
          <w:szCs w:val="32"/>
        </w:rPr>
      </w:pPr>
      <w:r w:rsidRPr="00905479">
        <w:rPr>
          <w:rFonts w:ascii="標楷體" w:eastAsia="標楷體" w:hAnsi="標楷體" w:hint="eastAsia"/>
          <w:kern w:val="3"/>
          <w:sz w:val="32"/>
          <w:szCs w:val="32"/>
        </w:rPr>
        <w:t>導入AI進行</w:t>
      </w:r>
      <w:proofErr w:type="gramStart"/>
      <w:r w:rsidRPr="00905479">
        <w:rPr>
          <w:rFonts w:ascii="標楷體" w:eastAsia="標楷體" w:hAnsi="標楷體" w:hint="eastAsia"/>
          <w:kern w:val="3"/>
          <w:sz w:val="32"/>
          <w:szCs w:val="32"/>
        </w:rPr>
        <w:t>工作降載</w:t>
      </w:r>
      <w:proofErr w:type="gramEnd"/>
      <w:r w:rsidRPr="00905479">
        <w:rPr>
          <w:rFonts w:ascii="標楷體" w:eastAsia="標楷體" w:hAnsi="標楷體" w:hint="eastAsia"/>
          <w:kern w:val="3"/>
          <w:sz w:val="32"/>
          <w:szCs w:val="32"/>
        </w:rPr>
        <w:t>，視業務需要適時調整總員額法之各類人力：引進AI的核心目標是「行政減壓與</w:t>
      </w:r>
      <w:proofErr w:type="gramStart"/>
      <w:r w:rsidRPr="00905479">
        <w:rPr>
          <w:rFonts w:ascii="標楷體" w:eastAsia="標楷體" w:hAnsi="標楷體" w:hint="eastAsia"/>
          <w:kern w:val="3"/>
          <w:sz w:val="32"/>
          <w:szCs w:val="32"/>
        </w:rPr>
        <w:t>工作降載</w:t>
      </w:r>
      <w:proofErr w:type="gramEnd"/>
      <w:r w:rsidRPr="00905479">
        <w:rPr>
          <w:rFonts w:ascii="標楷體" w:eastAsia="標楷體" w:hAnsi="標楷體" w:hint="eastAsia"/>
          <w:kern w:val="3"/>
          <w:sz w:val="32"/>
          <w:szCs w:val="32"/>
        </w:rPr>
        <w:t>」，而非縮減員額。</w:t>
      </w:r>
      <w:proofErr w:type="gramStart"/>
      <w:r w:rsidRPr="00905479">
        <w:rPr>
          <w:rFonts w:ascii="標楷體" w:eastAsia="標楷體" w:hAnsi="標楷體" w:hint="eastAsia"/>
          <w:kern w:val="3"/>
          <w:sz w:val="32"/>
          <w:szCs w:val="32"/>
        </w:rPr>
        <w:t>面對少子化</w:t>
      </w:r>
      <w:proofErr w:type="gramEnd"/>
      <w:r w:rsidRPr="00905479">
        <w:rPr>
          <w:rFonts w:ascii="標楷體" w:eastAsia="標楷體" w:hAnsi="標楷體" w:hint="eastAsia"/>
          <w:kern w:val="3"/>
          <w:sz w:val="32"/>
          <w:szCs w:val="32"/>
        </w:rPr>
        <w:t>及民間產業高薪競爭，公務人力供給面臨嚴峻挑戰，透過導入AI輔助工具改善工作環境、實行工作減壓，才能在產業競爭中有效留住優秀人才並提高行政效能。另外</w:t>
      </w:r>
      <w:proofErr w:type="gramStart"/>
      <w:r w:rsidRPr="00905479">
        <w:rPr>
          <w:rFonts w:ascii="標楷體" w:eastAsia="標楷體" w:hAnsi="標楷體" w:hint="eastAsia"/>
          <w:kern w:val="3"/>
          <w:sz w:val="32"/>
          <w:szCs w:val="32"/>
        </w:rPr>
        <w:t>鑑</w:t>
      </w:r>
      <w:proofErr w:type="gramEnd"/>
      <w:r w:rsidRPr="00905479">
        <w:rPr>
          <w:rFonts w:ascii="標楷體" w:eastAsia="標楷體" w:hAnsi="標楷體" w:hint="eastAsia"/>
          <w:kern w:val="3"/>
          <w:sz w:val="32"/>
          <w:szCs w:val="32"/>
        </w:rPr>
        <w:t>於現行中央政府機關預算員額距總員額法</w:t>
      </w:r>
      <w:proofErr w:type="gramStart"/>
      <w:r w:rsidRPr="00905479">
        <w:rPr>
          <w:rFonts w:ascii="標楷體" w:eastAsia="標楷體" w:hAnsi="標楷體" w:hint="eastAsia"/>
          <w:kern w:val="3"/>
          <w:sz w:val="32"/>
          <w:szCs w:val="32"/>
        </w:rPr>
        <w:t>高限尚</w:t>
      </w:r>
      <w:proofErr w:type="gramEnd"/>
      <w:r w:rsidRPr="00905479">
        <w:rPr>
          <w:rFonts w:ascii="標楷體" w:eastAsia="標楷體" w:hAnsi="標楷體" w:hint="eastAsia"/>
          <w:kern w:val="3"/>
          <w:sz w:val="32"/>
          <w:szCs w:val="32"/>
        </w:rPr>
        <w:t>有2萬餘人之空間，</w:t>
      </w:r>
      <w:proofErr w:type="gramStart"/>
      <w:r w:rsidRPr="00905479">
        <w:rPr>
          <w:rFonts w:ascii="標楷體" w:eastAsia="標楷體" w:hAnsi="標楷體" w:hint="eastAsia"/>
          <w:kern w:val="3"/>
          <w:sz w:val="32"/>
          <w:szCs w:val="32"/>
        </w:rPr>
        <w:t>本總處</w:t>
      </w:r>
      <w:proofErr w:type="gramEnd"/>
      <w:r w:rsidRPr="00905479">
        <w:rPr>
          <w:rFonts w:ascii="標楷體" w:eastAsia="標楷體" w:hAnsi="標楷體" w:hint="eastAsia"/>
          <w:kern w:val="3"/>
          <w:sz w:val="32"/>
          <w:szCs w:val="32"/>
        </w:rPr>
        <w:t>將會視機關推動業務需要，適時依總員額法規定，彈性調整各類人員</w:t>
      </w:r>
      <w:proofErr w:type="gramStart"/>
      <w:r w:rsidRPr="00905479">
        <w:rPr>
          <w:rFonts w:ascii="標楷體" w:eastAsia="標楷體" w:hAnsi="標楷體" w:hint="eastAsia"/>
          <w:kern w:val="3"/>
          <w:sz w:val="32"/>
          <w:szCs w:val="32"/>
        </w:rPr>
        <w:t>員額高限</w:t>
      </w:r>
      <w:proofErr w:type="gramEnd"/>
      <w:r w:rsidRPr="00905479">
        <w:rPr>
          <w:rFonts w:ascii="標楷體" w:eastAsia="標楷體" w:hAnsi="標楷體" w:hint="eastAsia"/>
          <w:kern w:val="3"/>
          <w:sz w:val="32"/>
          <w:szCs w:val="32"/>
        </w:rPr>
        <w:t>。</w:t>
      </w:r>
    </w:p>
    <w:p w14:paraId="013D81E4" w14:textId="77777777" w:rsidR="00905479" w:rsidRPr="00905479" w:rsidRDefault="00905479" w:rsidP="003D1018">
      <w:pPr>
        <w:widowControl w:val="0"/>
        <w:numPr>
          <w:ilvl w:val="6"/>
          <w:numId w:val="103"/>
        </w:numPr>
        <w:tabs>
          <w:tab w:val="left" w:pos="4680"/>
        </w:tabs>
        <w:suppressAutoHyphens/>
        <w:overflowPunct w:val="0"/>
        <w:autoSpaceDN w:val="0"/>
        <w:snapToGrid w:val="0"/>
        <w:spacing w:before="120" w:after="120" w:line="520" w:lineRule="exact"/>
        <w:ind w:left="1587" w:hanging="340"/>
        <w:jc w:val="both"/>
        <w:textAlignment w:val="baseline"/>
        <w:rPr>
          <w:rFonts w:ascii="標楷體" w:eastAsia="標楷體" w:hAnsi="標楷體"/>
          <w:kern w:val="3"/>
          <w:sz w:val="32"/>
          <w:szCs w:val="32"/>
        </w:rPr>
      </w:pPr>
      <w:r w:rsidRPr="00905479">
        <w:rPr>
          <w:rFonts w:ascii="標楷體" w:eastAsia="標楷體" w:hAnsi="標楷體" w:hint="eastAsia"/>
          <w:kern w:val="3"/>
          <w:sz w:val="32"/>
          <w:szCs w:val="32"/>
        </w:rPr>
        <w:t>訓練權責劃分：公務人員訓練權歸屬爭議，現已明確區分「入職前與考試錄取後取得資格之法定訓練」專屬於考試院（國家文官學院），而「入職後之在職訓練與終身學習」則專屬於行政院（人事總處與人力學院），兩院分工明確、合作密切，並設有定期聯繫會報機制。另簡任訓部分，兩院已有高度共識將其回歸於行政院在職訓練，由各</w:t>
      </w:r>
      <w:r w:rsidRPr="00905479">
        <w:rPr>
          <w:rFonts w:ascii="標楷體" w:eastAsia="標楷體" w:hAnsi="標楷體" w:hint="eastAsia"/>
          <w:kern w:val="3"/>
          <w:sz w:val="32"/>
          <w:szCs w:val="32"/>
        </w:rPr>
        <w:lastRenderedPageBreak/>
        <w:t>機關結合實務工作推動，使訓練更接地氣（如同道路駕駛考照更能瞭解實際駕駛情形），這也是兩院法制與實務運作的最新重要進展。</w:t>
      </w:r>
    </w:p>
    <w:p w14:paraId="2FACA6C6" w14:textId="77777777" w:rsidR="00905479" w:rsidRPr="00905479" w:rsidRDefault="00905479" w:rsidP="003D1018">
      <w:pPr>
        <w:widowControl w:val="0"/>
        <w:numPr>
          <w:ilvl w:val="6"/>
          <w:numId w:val="103"/>
        </w:numPr>
        <w:tabs>
          <w:tab w:val="left" w:pos="4680"/>
        </w:tabs>
        <w:suppressAutoHyphens/>
        <w:overflowPunct w:val="0"/>
        <w:autoSpaceDN w:val="0"/>
        <w:snapToGrid w:val="0"/>
        <w:spacing w:before="120" w:after="120" w:line="520" w:lineRule="exact"/>
        <w:ind w:left="1587" w:hanging="340"/>
        <w:jc w:val="both"/>
        <w:textAlignment w:val="baseline"/>
        <w:rPr>
          <w:rFonts w:ascii="標楷體" w:eastAsia="標楷體" w:hAnsi="標楷體"/>
          <w:kern w:val="3"/>
          <w:sz w:val="32"/>
          <w:szCs w:val="32"/>
        </w:rPr>
      </w:pPr>
      <w:r w:rsidRPr="00905479">
        <w:rPr>
          <w:rFonts w:ascii="標楷體" w:eastAsia="標楷體" w:hAnsi="標楷體" w:hint="eastAsia"/>
          <w:kern w:val="3"/>
          <w:sz w:val="32"/>
          <w:szCs w:val="32"/>
        </w:rPr>
        <w:t>AI</w:t>
      </w:r>
      <w:proofErr w:type="gramStart"/>
      <w:r w:rsidRPr="00905479">
        <w:rPr>
          <w:rFonts w:ascii="標楷體" w:eastAsia="標楷體" w:hAnsi="標楷體" w:hint="eastAsia"/>
          <w:kern w:val="3"/>
          <w:sz w:val="32"/>
          <w:szCs w:val="32"/>
        </w:rPr>
        <w:t>資安界限</w:t>
      </w:r>
      <w:proofErr w:type="gramEnd"/>
      <w:r w:rsidRPr="00905479">
        <w:rPr>
          <w:rFonts w:ascii="標楷體" w:eastAsia="標楷體" w:hAnsi="標楷體" w:hint="eastAsia"/>
          <w:kern w:val="3"/>
          <w:sz w:val="32"/>
          <w:szCs w:val="32"/>
        </w:rPr>
        <w:t>：公務體系運用AI必須「安全先行」，國家科學及技術委員會已依「人工智慧基本法」，要求各部會應建立嚴格的AI安全</w:t>
      </w:r>
      <w:proofErr w:type="gramStart"/>
      <w:r w:rsidRPr="00905479">
        <w:rPr>
          <w:rFonts w:ascii="標楷體" w:eastAsia="標楷體" w:hAnsi="標楷體" w:hint="eastAsia"/>
          <w:kern w:val="3"/>
          <w:sz w:val="32"/>
          <w:szCs w:val="32"/>
        </w:rPr>
        <w:t>與資安檢測</w:t>
      </w:r>
      <w:proofErr w:type="gramEnd"/>
      <w:r w:rsidRPr="00905479">
        <w:rPr>
          <w:rFonts w:ascii="標楷體" w:eastAsia="標楷體" w:hAnsi="標楷體" w:hint="eastAsia"/>
          <w:kern w:val="3"/>
          <w:sz w:val="32"/>
          <w:szCs w:val="32"/>
        </w:rPr>
        <w:t>機制，使公務同仁在安全框架下運用AI。</w:t>
      </w:r>
    </w:p>
    <w:p w14:paraId="0D86D473" w14:textId="77777777" w:rsidR="00905479" w:rsidRPr="00905479" w:rsidRDefault="00905479" w:rsidP="003D1018">
      <w:pPr>
        <w:widowControl w:val="0"/>
        <w:numPr>
          <w:ilvl w:val="6"/>
          <w:numId w:val="103"/>
        </w:numPr>
        <w:tabs>
          <w:tab w:val="left" w:pos="4680"/>
        </w:tabs>
        <w:suppressAutoHyphens/>
        <w:overflowPunct w:val="0"/>
        <w:autoSpaceDN w:val="0"/>
        <w:snapToGrid w:val="0"/>
        <w:spacing w:before="120" w:after="120" w:line="520" w:lineRule="exact"/>
        <w:ind w:left="1587" w:hanging="340"/>
        <w:jc w:val="both"/>
        <w:textAlignment w:val="baseline"/>
        <w:rPr>
          <w:rFonts w:ascii="標楷體" w:eastAsia="標楷體" w:hAnsi="標楷體"/>
          <w:kern w:val="3"/>
          <w:sz w:val="32"/>
          <w:szCs w:val="32"/>
        </w:rPr>
      </w:pPr>
      <w:r w:rsidRPr="00905479">
        <w:rPr>
          <w:rFonts w:ascii="標楷體" w:eastAsia="標楷體" w:hAnsi="標楷體" w:hint="eastAsia"/>
          <w:kern w:val="3"/>
          <w:sz w:val="32"/>
          <w:szCs w:val="32"/>
        </w:rPr>
        <w:t>跨機關流程串接與溝通網絡建立：為突破司法、警察、檢察、調查等機關間資訊與本位主義壁壘，人力學院預計9月份於南投院區開辦專班。這項規劃將邀集院方、檢方、警方及調查機關等各類人員</w:t>
      </w:r>
      <w:proofErr w:type="gramStart"/>
      <w:r w:rsidRPr="00905479">
        <w:rPr>
          <w:rFonts w:ascii="標楷體" w:eastAsia="標楷體" w:hAnsi="標楷體" w:hint="eastAsia"/>
          <w:kern w:val="3"/>
          <w:sz w:val="32"/>
          <w:szCs w:val="32"/>
        </w:rPr>
        <w:t>共同參訓</w:t>
      </w:r>
      <w:proofErr w:type="gramEnd"/>
      <w:r w:rsidRPr="00905479">
        <w:rPr>
          <w:rFonts w:ascii="標楷體" w:eastAsia="標楷體" w:hAnsi="標楷體" w:hint="eastAsia"/>
          <w:kern w:val="3"/>
          <w:sz w:val="32"/>
          <w:szCs w:val="32"/>
        </w:rPr>
        <w:t>，藉由朝夕相處的革命情感打破機關隔閡，建立非正式的橫向溝通機制，協力開發AI工具，串接前端</w:t>
      </w:r>
      <w:proofErr w:type="gramStart"/>
      <w:r w:rsidRPr="00905479">
        <w:rPr>
          <w:rFonts w:ascii="標楷體" w:eastAsia="標楷體" w:hAnsi="標楷體" w:hint="eastAsia"/>
          <w:kern w:val="3"/>
          <w:sz w:val="32"/>
          <w:szCs w:val="32"/>
        </w:rPr>
        <w:t>採</w:t>
      </w:r>
      <w:proofErr w:type="gramEnd"/>
      <w:r w:rsidRPr="00905479">
        <w:rPr>
          <w:rFonts w:ascii="標楷體" w:eastAsia="標楷體" w:hAnsi="標楷體" w:hint="eastAsia"/>
          <w:kern w:val="3"/>
          <w:sz w:val="32"/>
          <w:szCs w:val="32"/>
        </w:rPr>
        <w:t>證、中端審判至後端執行的整體行政產線，並達成「帶著問題來、帶著解決方案走」的實質工作助益。</w:t>
      </w:r>
    </w:p>
    <w:p w14:paraId="0890E894" w14:textId="77777777" w:rsidR="00905479" w:rsidRPr="00905479" w:rsidRDefault="00905479" w:rsidP="003D1018">
      <w:pPr>
        <w:widowControl w:val="0"/>
        <w:numPr>
          <w:ilvl w:val="3"/>
          <w:numId w:val="103"/>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kern w:val="3"/>
          <w:sz w:val="32"/>
          <w:szCs w:val="32"/>
        </w:rPr>
      </w:pPr>
      <w:r w:rsidRPr="00905479">
        <w:rPr>
          <w:rFonts w:ascii="標楷體" w:eastAsia="標楷體" w:hAnsi="標楷體"/>
          <w:kern w:val="3"/>
          <w:sz w:val="32"/>
          <w:szCs w:val="32"/>
        </w:rPr>
        <w:t>人力學院陳院長明忠回應：</w:t>
      </w:r>
    </w:p>
    <w:p w14:paraId="3A3738B7" w14:textId="77777777" w:rsidR="00905479" w:rsidRPr="00905479" w:rsidRDefault="00905479" w:rsidP="003D1018">
      <w:pPr>
        <w:widowControl w:val="0"/>
        <w:numPr>
          <w:ilvl w:val="6"/>
          <w:numId w:val="103"/>
        </w:numPr>
        <w:tabs>
          <w:tab w:val="left" w:pos="4680"/>
        </w:tabs>
        <w:suppressAutoHyphens/>
        <w:overflowPunct w:val="0"/>
        <w:autoSpaceDN w:val="0"/>
        <w:snapToGrid w:val="0"/>
        <w:spacing w:before="120" w:after="120" w:line="520" w:lineRule="exact"/>
        <w:ind w:left="1587" w:hanging="340"/>
        <w:jc w:val="both"/>
        <w:textAlignment w:val="baseline"/>
        <w:rPr>
          <w:rFonts w:ascii="標楷體" w:eastAsia="標楷體" w:hAnsi="標楷體"/>
          <w:kern w:val="3"/>
          <w:sz w:val="32"/>
          <w:szCs w:val="32"/>
        </w:rPr>
      </w:pPr>
      <w:r w:rsidRPr="00905479">
        <w:rPr>
          <w:rFonts w:ascii="標楷體" w:eastAsia="標楷體" w:hAnsi="標楷體"/>
          <w:kern w:val="3"/>
          <w:sz w:val="32"/>
          <w:szCs w:val="32"/>
        </w:rPr>
        <w:t>贊同陳靜</w:t>
      </w:r>
      <w:r w:rsidRPr="00905479">
        <w:rPr>
          <w:rFonts w:ascii="標楷體" w:eastAsia="標楷體" w:hAnsi="標楷體" w:hint="eastAsia"/>
          <w:kern w:val="3"/>
          <w:sz w:val="32"/>
          <w:szCs w:val="32"/>
        </w:rPr>
        <w:t>蓉</w:t>
      </w:r>
      <w:r w:rsidRPr="00905479">
        <w:rPr>
          <w:rFonts w:ascii="標楷體" w:eastAsia="標楷體" w:hAnsi="標楷體"/>
          <w:kern w:val="3"/>
          <w:sz w:val="32"/>
          <w:szCs w:val="32"/>
        </w:rPr>
        <w:t>主任</w:t>
      </w:r>
      <w:r w:rsidRPr="00905479">
        <w:rPr>
          <w:rFonts w:ascii="標楷體" w:eastAsia="標楷體" w:hAnsi="標楷體" w:hint="eastAsia"/>
          <w:kern w:val="3"/>
          <w:sz w:val="32"/>
          <w:szCs w:val="32"/>
        </w:rPr>
        <w:t>所提</w:t>
      </w:r>
      <w:r w:rsidRPr="00905479">
        <w:rPr>
          <w:rFonts w:ascii="標楷體" w:eastAsia="標楷體" w:hAnsi="標楷體"/>
          <w:kern w:val="3"/>
          <w:sz w:val="32"/>
          <w:szCs w:val="32"/>
        </w:rPr>
        <w:t>關於「培訓應提高團體合作與報告產出比重」的建議。</w:t>
      </w:r>
      <w:r w:rsidRPr="00905479">
        <w:rPr>
          <w:rFonts w:ascii="標楷體" w:eastAsia="標楷體" w:hAnsi="標楷體" w:cs="標楷體" w:hint="eastAsia"/>
          <w:bCs/>
          <w:kern w:val="3"/>
          <w:sz w:val="32"/>
          <w:szCs w:val="32"/>
        </w:rPr>
        <w:t>人力</w:t>
      </w:r>
      <w:r w:rsidRPr="00905479">
        <w:rPr>
          <w:rFonts w:ascii="標楷體" w:eastAsia="標楷體" w:hAnsi="標楷體"/>
          <w:kern w:val="3"/>
          <w:sz w:val="32"/>
          <w:szCs w:val="32"/>
        </w:rPr>
        <w:t>學院未來將優先調整培訓課程設計，增強跨機關</w:t>
      </w:r>
      <w:proofErr w:type="gramStart"/>
      <w:r w:rsidRPr="00905479">
        <w:rPr>
          <w:rFonts w:ascii="標楷體" w:eastAsia="標楷體" w:hAnsi="標楷體"/>
          <w:kern w:val="3"/>
          <w:sz w:val="32"/>
          <w:szCs w:val="32"/>
        </w:rPr>
        <w:t>學員間的團隊</w:t>
      </w:r>
      <w:proofErr w:type="gramEnd"/>
      <w:r w:rsidRPr="00905479">
        <w:rPr>
          <w:rFonts w:ascii="標楷體" w:eastAsia="標楷體" w:hAnsi="標楷體" w:hint="eastAsia"/>
          <w:kern w:val="3"/>
          <w:sz w:val="32"/>
          <w:szCs w:val="32"/>
        </w:rPr>
        <w:t>合</w:t>
      </w:r>
      <w:r w:rsidRPr="00905479">
        <w:rPr>
          <w:rFonts w:ascii="標楷體" w:eastAsia="標楷體" w:hAnsi="標楷體"/>
          <w:kern w:val="3"/>
          <w:sz w:val="32"/>
          <w:szCs w:val="32"/>
        </w:rPr>
        <w:t>作，協助同仁在受訓中建立人脈</w:t>
      </w:r>
      <w:r w:rsidRPr="00905479">
        <w:rPr>
          <w:rFonts w:ascii="標楷體" w:eastAsia="標楷體" w:hAnsi="標楷體" w:hint="eastAsia"/>
          <w:kern w:val="3"/>
          <w:sz w:val="32"/>
          <w:szCs w:val="32"/>
        </w:rPr>
        <w:t>並</w:t>
      </w:r>
      <w:r w:rsidRPr="00905479">
        <w:rPr>
          <w:rFonts w:ascii="標楷體" w:eastAsia="標楷體" w:hAnsi="標楷體"/>
          <w:kern w:val="3"/>
          <w:sz w:val="32"/>
          <w:szCs w:val="32"/>
        </w:rPr>
        <w:t>帶走實用知識。</w:t>
      </w:r>
    </w:p>
    <w:p w14:paraId="7387967D" w14:textId="77777777" w:rsidR="00905479" w:rsidRPr="00905479" w:rsidRDefault="00905479" w:rsidP="003D1018">
      <w:pPr>
        <w:widowControl w:val="0"/>
        <w:numPr>
          <w:ilvl w:val="6"/>
          <w:numId w:val="103"/>
        </w:numPr>
        <w:tabs>
          <w:tab w:val="left" w:pos="4680"/>
        </w:tabs>
        <w:suppressAutoHyphens/>
        <w:overflowPunct w:val="0"/>
        <w:autoSpaceDN w:val="0"/>
        <w:snapToGrid w:val="0"/>
        <w:spacing w:before="120" w:after="120" w:line="520" w:lineRule="exact"/>
        <w:ind w:left="1587" w:hanging="340"/>
        <w:jc w:val="both"/>
        <w:textAlignment w:val="baseline"/>
        <w:rPr>
          <w:rFonts w:ascii="標楷體" w:eastAsia="標楷體" w:hAnsi="標楷體"/>
          <w:kern w:val="3"/>
          <w:sz w:val="32"/>
          <w:szCs w:val="32"/>
        </w:rPr>
      </w:pPr>
      <w:r w:rsidRPr="00905479">
        <w:rPr>
          <w:rFonts w:ascii="標楷體" w:eastAsia="標楷體" w:hAnsi="標楷體"/>
          <w:kern w:val="3"/>
          <w:sz w:val="32"/>
          <w:szCs w:val="32"/>
        </w:rPr>
        <w:t>數位互動教室經費與推廣：數位互動教室在</w:t>
      </w:r>
      <w:proofErr w:type="gramStart"/>
      <w:r w:rsidRPr="00905479">
        <w:rPr>
          <w:rFonts w:ascii="標楷體" w:eastAsia="標楷體" w:hAnsi="標楷體"/>
          <w:kern w:val="3"/>
          <w:sz w:val="32"/>
          <w:szCs w:val="32"/>
        </w:rPr>
        <w:t>臺北院</w:t>
      </w:r>
      <w:proofErr w:type="gramEnd"/>
      <w:r w:rsidRPr="00905479">
        <w:rPr>
          <w:rFonts w:ascii="標楷體" w:eastAsia="標楷體" w:hAnsi="標楷體"/>
          <w:kern w:val="3"/>
          <w:sz w:val="32"/>
          <w:szCs w:val="32"/>
        </w:rPr>
        <w:t>區（含裝修）花費約525萬元，南投院</w:t>
      </w:r>
      <w:proofErr w:type="gramStart"/>
      <w:r w:rsidRPr="00905479">
        <w:rPr>
          <w:rFonts w:ascii="標楷體" w:eastAsia="標楷體" w:hAnsi="標楷體"/>
          <w:kern w:val="3"/>
          <w:sz w:val="32"/>
          <w:szCs w:val="32"/>
        </w:rPr>
        <w:t>區因免裝修</w:t>
      </w:r>
      <w:proofErr w:type="gramEnd"/>
      <w:r w:rsidRPr="00905479">
        <w:rPr>
          <w:rFonts w:ascii="標楷體" w:eastAsia="標楷體" w:hAnsi="標楷體"/>
          <w:kern w:val="3"/>
          <w:sz w:val="32"/>
          <w:szCs w:val="32"/>
        </w:rPr>
        <w:t>且螢幕改為6面電</w:t>
      </w:r>
      <w:r w:rsidRPr="00905479">
        <w:rPr>
          <w:rFonts w:ascii="標楷體" w:eastAsia="標楷體" w:hAnsi="標楷體" w:hint="eastAsia"/>
          <w:kern w:val="3"/>
          <w:sz w:val="32"/>
          <w:szCs w:val="32"/>
        </w:rPr>
        <w:t>子白板</w:t>
      </w:r>
      <w:r w:rsidRPr="00905479">
        <w:rPr>
          <w:rFonts w:ascii="標楷體" w:eastAsia="標楷體" w:hAnsi="標楷體"/>
          <w:kern w:val="3"/>
          <w:sz w:val="32"/>
          <w:szCs w:val="32"/>
        </w:rPr>
        <w:t>，花費約350萬元。未來將持續優化教室設備，</w:t>
      </w:r>
      <w:r w:rsidRPr="00905479">
        <w:rPr>
          <w:rFonts w:ascii="標楷體" w:eastAsia="標楷體" w:hAnsi="標楷體" w:hint="eastAsia"/>
          <w:kern w:val="3"/>
          <w:sz w:val="32"/>
          <w:szCs w:val="32"/>
        </w:rPr>
        <w:t>另補充說明，人力學院與國家文官學院合作密切，如已將</w:t>
      </w:r>
      <w:r w:rsidRPr="00905479">
        <w:rPr>
          <w:rFonts w:ascii="標楷體" w:eastAsia="標楷體" w:hAnsi="標楷體"/>
          <w:kern w:val="3"/>
          <w:sz w:val="32"/>
          <w:szCs w:val="32"/>
        </w:rPr>
        <w:t>國家文官學院</w:t>
      </w:r>
      <w:r w:rsidRPr="00905479">
        <w:rPr>
          <w:rFonts w:ascii="標楷體" w:eastAsia="標楷體" w:hAnsi="標楷體" w:hint="eastAsia"/>
          <w:kern w:val="3"/>
          <w:sz w:val="32"/>
          <w:szCs w:val="32"/>
        </w:rPr>
        <w:lastRenderedPageBreak/>
        <w:t>之</w:t>
      </w:r>
      <w:r w:rsidRPr="00905479">
        <w:rPr>
          <w:rFonts w:ascii="標楷體" w:eastAsia="標楷體" w:hAnsi="標楷體"/>
          <w:kern w:val="3"/>
          <w:sz w:val="32"/>
          <w:szCs w:val="32"/>
        </w:rPr>
        <w:t>數位學習</w:t>
      </w:r>
      <w:r w:rsidRPr="00905479">
        <w:rPr>
          <w:rFonts w:ascii="標楷體" w:eastAsia="標楷體" w:hAnsi="標楷體" w:hint="eastAsia"/>
          <w:kern w:val="3"/>
          <w:sz w:val="32"/>
          <w:szCs w:val="32"/>
        </w:rPr>
        <w:t>課程整合進人力學院「</w:t>
      </w:r>
      <w:r w:rsidRPr="00905479">
        <w:rPr>
          <w:rFonts w:ascii="標楷體" w:eastAsia="標楷體" w:hAnsi="標楷體"/>
          <w:kern w:val="3"/>
          <w:sz w:val="32"/>
          <w:szCs w:val="32"/>
        </w:rPr>
        <w:t>e等公務園</w:t>
      </w:r>
      <w:r w:rsidRPr="00905479">
        <w:rPr>
          <w:rFonts w:ascii="標楷體" w:eastAsia="標楷體" w:hAnsi="標楷體"/>
          <w:kern w:val="3"/>
          <w:sz w:val="32"/>
          <w:szCs w:val="32"/>
          <w:vertAlign w:val="superscript"/>
        </w:rPr>
        <w:t>+</w:t>
      </w:r>
      <w:r w:rsidRPr="00905479">
        <w:rPr>
          <w:rFonts w:ascii="標楷體" w:eastAsia="標楷體" w:hAnsi="標楷體" w:hint="eastAsia"/>
          <w:kern w:val="3"/>
          <w:sz w:val="32"/>
          <w:szCs w:val="32"/>
        </w:rPr>
        <w:t>」平</w:t>
      </w:r>
      <w:proofErr w:type="gramStart"/>
      <w:r w:rsidRPr="00905479">
        <w:rPr>
          <w:rFonts w:ascii="標楷體" w:eastAsia="標楷體" w:hAnsi="標楷體" w:hint="eastAsia"/>
          <w:kern w:val="3"/>
          <w:sz w:val="32"/>
          <w:szCs w:val="32"/>
        </w:rPr>
        <w:t>臺</w:t>
      </w:r>
      <w:proofErr w:type="gramEnd"/>
      <w:r w:rsidRPr="00905479">
        <w:rPr>
          <w:rFonts w:ascii="標楷體" w:eastAsia="標楷體" w:hAnsi="標楷體" w:hint="eastAsia"/>
          <w:kern w:val="3"/>
          <w:sz w:val="32"/>
          <w:szCs w:val="32"/>
        </w:rPr>
        <w:t>作為單一入口</w:t>
      </w:r>
      <w:r w:rsidRPr="00905479">
        <w:rPr>
          <w:rFonts w:ascii="標楷體" w:eastAsia="標楷體" w:hAnsi="標楷體"/>
          <w:kern w:val="3"/>
          <w:sz w:val="32"/>
          <w:szCs w:val="32"/>
        </w:rPr>
        <w:t>，提供更充沛的數位培訓資源。</w:t>
      </w:r>
    </w:p>
    <w:p w14:paraId="33A51F04" w14:textId="77777777" w:rsidR="00905479" w:rsidRPr="00905479" w:rsidRDefault="00905479" w:rsidP="003D1018">
      <w:pPr>
        <w:widowControl w:val="0"/>
        <w:numPr>
          <w:ilvl w:val="6"/>
          <w:numId w:val="103"/>
        </w:numPr>
        <w:tabs>
          <w:tab w:val="left" w:pos="4680"/>
        </w:tabs>
        <w:suppressAutoHyphens/>
        <w:overflowPunct w:val="0"/>
        <w:autoSpaceDN w:val="0"/>
        <w:snapToGrid w:val="0"/>
        <w:spacing w:before="120" w:after="120" w:line="520" w:lineRule="exact"/>
        <w:ind w:left="1587" w:hanging="340"/>
        <w:jc w:val="both"/>
        <w:textAlignment w:val="baseline"/>
        <w:rPr>
          <w:rFonts w:ascii="標楷體" w:eastAsia="標楷體" w:hAnsi="標楷體"/>
          <w:kern w:val="3"/>
          <w:sz w:val="32"/>
          <w:szCs w:val="32"/>
        </w:rPr>
      </w:pPr>
      <w:r w:rsidRPr="00905479">
        <w:rPr>
          <w:rFonts w:ascii="標楷體" w:eastAsia="標楷體" w:hAnsi="標楷體"/>
          <w:kern w:val="3"/>
          <w:sz w:val="32"/>
          <w:szCs w:val="32"/>
        </w:rPr>
        <w:t>南投院區環境與住宿改善：南投院區佔地達9公頃，環境優美，</w:t>
      </w:r>
      <w:r w:rsidRPr="00905479">
        <w:rPr>
          <w:rFonts w:ascii="標楷體" w:eastAsia="標楷體" w:hAnsi="標楷體" w:hint="eastAsia"/>
          <w:kern w:val="3"/>
          <w:sz w:val="32"/>
          <w:szCs w:val="32"/>
        </w:rPr>
        <w:t>雖</w:t>
      </w:r>
      <w:r w:rsidRPr="00905479">
        <w:rPr>
          <w:rFonts w:ascii="標楷體" w:eastAsia="標楷體" w:hAnsi="標楷體"/>
          <w:kern w:val="3"/>
          <w:sz w:val="32"/>
          <w:szCs w:val="32"/>
        </w:rPr>
        <w:t>宿舍硬體設施歷史悠久，</w:t>
      </w:r>
      <w:r w:rsidRPr="00905479">
        <w:rPr>
          <w:rFonts w:ascii="標楷體" w:eastAsia="標楷體" w:hAnsi="標楷體" w:hint="eastAsia"/>
          <w:kern w:val="3"/>
          <w:sz w:val="32"/>
          <w:szCs w:val="32"/>
        </w:rPr>
        <w:t>且非飯店式委外管理，但環境十分乾淨整潔</w:t>
      </w:r>
      <w:r w:rsidRPr="00905479">
        <w:rPr>
          <w:rFonts w:ascii="標楷體" w:eastAsia="標楷體" w:hAnsi="標楷體"/>
          <w:kern w:val="3"/>
          <w:sz w:val="32"/>
          <w:szCs w:val="32"/>
        </w:rPr>
        <w:t>。</w:t>
      </w:r>
      <w:proofErr w:type="gramStart"/>
      <w:r w:rsidRPr="00905479">
        <w:rPr>
          <w:rFonts w:ascii="標楷體" w:eastAsia="標楷體" w:hAnsi="標楷體"/>
          <w:kern w:val="3"/>
          <w:sz w:val="32"/>
          <w:szCs w:val="32"/>
        </w:rPr>
        <w:t>感謝翁召委</w:t>
      </w:r>
      <w:proofErr w:type="gramEnd"/>
      <w:r w:rsidRPr="00905479">
        <w:rPr>
          <w:rFonts w:ascii="標楷體" w:eastAsia="標楷體" w:hAnsi="標楷體"/>
          <w:kern w:val="3"/>
          <w:sz w:val="32"/>
          <w:szCs w:val="32"/>
        </w:rPr>
        <w:t>支持改善南投院區住宿環境，</w:t>
      </w:r>
      <w:r w:rsidRPr="00905479">
        <w:rPr>
          <w:rFonts w:ascii="標楷體" w:eastAsia="標楷體" w:hAnsi="標楷體" w:hint="eastAsia"/>
          <w:kern w:val="3"/>
          <w:sz w:val="32"/>
          <w:szCs w:val="32"/>
        </w:rPr>
        <w:t>這將有助於</w:t>
      </w:r>
      <w:r w:rsidRPr="00905479">
        <w:rPr>
          <w:rFonts w:ascii="標楷體" w:eastAsia="標楷體" w:hAnsi="標楷體"/>
          <w:kern w:val="3"/>
          <w:sz w:val="32"/>
          <w:szCs w:val="32"/>
        </w:rPr>
        <w:t>提升同仁的受訓與學習品質。</w:t>
      </w:r>
    </w:p>
    <w:p w14:paraId="60A39B9E" w14:textId="77777777" w:rsidR="00905479" w:rsidRPr="00905479" w:rsidRDefault="00905479" w:rsidP="003D1018">
      <w:pPr>
        <w:widowControl w:val="0"/>
        <w:numPr>
          <w:ilvl w:val="3"/>
          <w:numId w:val="103"/>
        </w:numPr>
        <w:tabs>
          <w:tab w:val="left" w:pos="4680"/>
        </w:tabs>
        <w:suppressAutoHyphens/>
        <w:overflowPunct w:val="0"/>
        <w:autoSpaceDN w:val="0"/>
        <w:snapToGrid w:val="0"/>
        <w:spacing w:before="120" w:after="120" w:line="520" w:lineRule="exact"/>
        <w:ind w:left="1304" w:hanging="737"/>
        <w:jc w:val="both"/>
        <w:textAlignment w:val="baseline"/>
        <w:rPr>
          <w:rFonts w:ascii="標楷體" w:eastAsia="標楷體" w:hAnsi="標楷體"/>
          <w:kern w:val="3"/>
          <w:sz w:val="32"/>
          <w:szCs w:val="32"/>
        </w:rPr>
      </w:pPr>
      <w:r w:rsidRPr="00905479">
        <w:rPr>
          <w:rFonts w:ascii="標楷體" w:eastAsia="標楷體" w:hAnsi="標楷體"/>
          <w:kern w:val="3"/>
          <w:sz w:val="32"/>
          <w:szCs w:val="32"/>
        </w:rPr>
        <w:t>人事總</w:t>
      </w:r>
      <w:proofErr w:type="gramStart"/>
      <w:r w:rsidRPr="00905479">
        <w:rPr>
          <w:rFonts w:ascii="標楷體" w:eastAsia="標楷體" w:hAnsi="標楷體"/>
          <w:kern w:val="3"/>
          <w:sz w:val="32"/>
          <w:szCs w:val="32"/>
        </w:rPr>
        <w:t>處組編人力</w:t>
      </w:r>
      <w:proofErr w:type="gramEnd"/>
      <w:r w:rsidRPr="00905479">
        <w:rPr>
          <w:rFonts w:ascii="標楷體" w:eastAsia="標楷體" w:hAnsi="標楷體"/>
          <w:kern w:val="3"/>
          <w:sz w:val="32"/>
          <w:szCs w:val="32"/>
        </w:rPr>
        <w:t>處邱處長</w:t>
      </w:r>
      <w:proofErr w:type="gramStart"/>
      <w:r w:rsidRPr="00905479">
        <w:rPr>
          <w:rFonts w:ascii="標楷體" w:eastAsia="標楷體" w:hAnsi="標楷體"/>
          <w:kern w:val="3"/>
          <w:sz w:val="32"/>
          <w:szCs w:val="32"/>
        </w:rPr>
        <w:t>怡璋</w:t>
      </w:r>
      <w:proofErr w:type="gramEnd"/>
      <w:r w:rsidRPr="00905479">
        <w:rPr>
          <w:rFonts w:ascii="標楷體" w:eastAsia="標楷體" w:hAnsi="標楷體"/>
          <w:kern w:val="3"/>
          <w:sz w:val="32"/>
          <w:szCs w:val="32"/>
        </w:rPr>
        <w:t>回應：</w:t>
      </w:r>
    </w:p>
    <w:p w14:paraId="7F95DAF4" w14:textId="77777777" w:rsidR="00905479" w:rsidRPr="00905479" w:rsidRDefault="00905479" w:rsidP="003D1018">
      <w:pPr>
        <w:widowControl w:val="0"/>
        <w:numPr>
          <w:ilvl w:val="6"/>
          <w:numId w:val="103"/>
        </w:numPr>
        <w:tabs>
          <w:tab w:val="left" w:pos="4680"/>
        </w:tabs>
        <w:suppressAutoHyphens/>
        <w:overflowPunct w:val="0"/>
        <w:autoSpaceDN w:val="0"/>
        <w:snapToGrid w:val="0"/>
        <w:spacing w:before="120" w:after="120" w:line="520" w:lineRule="exact"/>
        <w:ind w:left="1587" w:hanging="340"/>
        <w:jc w:val="both"/>
        <w:textAlignment w:val="baseline"/>
        <w:rPr>
          <w:rFonts w:ascii="標楷體" w:eastAsia="標楷體" w:hAnsi="標楷體"/>
          <w:kern w:val="3"/>
          <w:sz w:val="32"/>
          <w:szCs w:val="32"/>
        </w:rPr>
      </w:pPr>
      <w:r w:rsidRPr="00905479">
        <w:rPr>
          <w:rFonts w:ascii="標楷體" w:eastAsia="標楷體" w:hAnsi="標楷體"/>
          <w:kern w:val="3"/>
          <w:sz w:val="32"/>
          <w:szCs w:val="32"/>
        </w:rPr>
        <w:t>員額合理彈性調配與實務案例：</w:t>
      </w:r>
    </w:p>
    <w:p w14:paraId="32FDCBB0" w14:textId="77777777" w:rsidR="00905479" w:rsidRPr="00905479" w:rsidRDefault="00905479" w:rsidP="003D1018">
      <w:pPr>
        <w:widowControl w:val="0"/>
        <w:numPr>
          <w:ilvl w:val="0"/>
          <w:numId w:val="100"/>
        </w:numPr>
        <w:tabs>
          <w:tab w:val="left" w:pos="4680"/>
        </w:tabs>
        <w:suppressAutoHyphens/>
        <w:overflowPunct w:val="0"/>
        <w:autoSpaceDN w:val="0"/>
        <w:snapToGrid w:val="0"/>
        <w:spacing w:before="120" w:after="120" w:line="520" w:lineRule="exact"/>
        <w:ind w:left="1900" w:hanging="482"/>
        <w:jc w:val="both"/>
        <w:textAlignment w:val="baseline"/>
        <w:rPr>
          <w:rFonts w:ascii="標楷體" w:eastAsia="標楷體" w:hAnsi="標楷體"/>
          <w:kern w:val="3"/>
          <w:sz w:val="32"/>
          <w:szCs w:val="32"/>
        </w:rPr>
      </w:pPr>
      <w:r w:rsidRPr="00905479">
        <w:rPr>
          <w:rFonts w:ascii="標楷體" w:eastAsia="標楷體" w:hAnsi="標楷體"/>
          <w:kern w:val="3"/>
          <w:sz w:val="32"/>
          <w:szCs w:val="32"/>
        </w:rPr>
        <w:t>司法院</w:t>
      </w:r>
      <w:r w:rsidRPr="00905479">
        <w:rPr>
          <w:rFonts w:ascii="標楷體" w:eastAsia="標楷體" w:hAnsi="標楷體" w:hint="eastAsia"/>
          <w:kern w:val="3"/>
          <w:sz w:val="32"/>
          <w:szCs w:val="32"/>
        </w:rPr>
        <w:t>配合</w:t>
      </w:r>
      <w:r w:rsidRPr="00905479">
        <w:rPr>
          <w:rFonts w:ascii="標楷體" w:eastAsia="標楷體" w:hAnsi="標楷體"/>
          <w:kern w:val="3"/>
          <w:sz w:val="32"/>
          <w:szCs w:val="32"/>
        </w:rPr>
        <w:t>導入「數位開庭排程」與「數位設備輔助」</w:t>
      </w:r>
      <w:r w:rsidRPr="00905479">
        <w:rPr>
          <w:rFonts w:ascii="標楷體" w:eastAsia="標楷體" w:hAnsi="標楷體" w:hint="eastAsia"/>
          <w:kern w:val="3"/>
          <w:sz w:val="32"/>
          <w:szCs w:val="32"/>
        </w:rPr>
        <w:t>等資訊化、AI工具後</w:t>
      </w:r>
      <w:r w:rsidRPr="00905479">
        <w:rPr>
          <w:rFonts w:ascii="標楷體" w:eastAsia="標楷體" w:hAnsi="標楷體"/>
          <w:kern w:val="3"/>
          <w:sz w:val="32"/>
          <w:szCs w:val="32"/>
        </w:rPr>
        <w:t>，</w:t>
      </w:r>
      <w:r w:rsidRPr="00905479">
        <w:rPr>
          <w:rFonts w:ascii="標楷體" w:eastAsia="標楷體" w:hAnsi="標楷體" w:hint="eastAsia"/>
          <w:kern w:val="3"/>
          <w:sz w:val="32"/>
          <w:szCs w:val="32"/>
        </w:rPr>
        <w:t>減少許多文書作業，因此</w:t>
      </w:r>
      <w:r w:rsidRPr="00905479">
        <w:rPr>
          <w:rFonts w:ascii="標楷體" w:eastAsia="標楷體" w:hAnsi="標楷體"/>
          <w:kern w:val="3"/>
          <w:sz w:val="32"/>
          <w:szCs w:val="32"/>
        </w:rPr>
        <w:t>將「錄事」與「庭</w:t>
      </w:r>
      <w:proofErr w:type="gramStart"/>
      <w:r w:rsidRPr="00905479">
        <w:rPr>
          <w:rFonts w:ascii="標楷體" w:eastAsia="標楷體" w:hAnsi="標楷體"/>
          <w:kern w:val="3"/>
          <w:sz w:val="32"/>
          <w:szCs w:val="32"/>
        </w:rPr>
        <w:t>務</w:t>
      </w:r>
      <w:proofErr w:type="gramEnd"/>
      <w:r w:rsidRPr="00905479">
        <w:rPr>
          <w:rFonts w:ascii="標楷體" w:eastAsia="標楷體" w:hAnsi="標楷體"/>
          <w:kern w:val="3"/>
          <w:sz w:val="32"/>
          <w:szCs w:val="32"/>
        </w:rPr>
        <w:t>員」</w:t>
      </w:r>
      <w:r w:rsidRPr="00905479">
        <w:rPr>
          <w:rFonts w:ascii="標楷體" w:eastAsia="標楷體" w:hAnsi="標楷體" w:hint="eastAsia"/>
          <w:kern w:val="3"/>
          <w:sz w:val="32"/>
          <w:szCs w:val="32"/>
        </w:rPr>
        <w:t>法定員額合併編列減少約</w:t>
      </w:r>
      <w:r w:rsidRPr="00905479">
        <w:rPr>
          <w:rFonts w:ascii="標楷體" w:eastAsia="標楷體" w:hAnsi="標楷體"/>
          <w:bCs/>
          <w:kern w:val="3"/>
          <w:sz w:val="32"/>
          <w:szCs w:val="32"/>
        </w:rPr>
        <w:t>50</w:t>
      </w:r>
      <w:r w:rsidRPr="00905479">
        <w:rPr>
          <w:rFonts w:ascii="標楷體" w:eastAsia="標楷體" w:hAnsi="標楷體" w:hint="eastAsia"/>
          <w:bCs/>
          <w:kern w:val="3"/>
          <w:sz w:val="32"/>
          <w:szCs w:val="32"/>
        </w:rPr>
        <w:t>0人</w:t>
      </w:r>
      <w:r w:rsidRPr="00905479">
        <w:rPr>
          <w:rFonts w:ascii="標楷體" w:eastAsia="標楷體" w:hAnsi="標楷體"/>
          <w:kern w:val="3"/>
          <w:sz w:val="32"/>
          <w:szCs w:val="32"/>
        </w:rPr>
        <w:t>，</w:t>
      </w:r>
      <w:r w:rsidRPr="00905479">
        <w:rPr>
          <w:rFonts w:ascii="標楷體" w:eastAsia="標楷體" w:hAnsi="標楷體" w:hint="eastAsia"/>
          <w:kern w:val="3"/>
          <w:sz w:val="32"/>
          <w:szCs w:val="32"/>
        </w:rPr>
        <w:t>並因應核心業務需要，相對</w:t>
      </w:r>
      <w:r w:rsidRPr="00905479">
        <w:rPr>
          <w:rFonts w:ascii="標楷體" w:eastAsia="標楷體" w:hAnsi="標楷體"/>
          <w:kern w:val="3"/>
          <w:sz w:val="32"/>
          <w:szCs w:val="32"/>
        </w:rPr>
        <w:t>調</w:t>
      </w:r>
      <w:r w:rsidRPr="00905479">
        <w:rPr>
          <w:rFonts w:ascii="標楷體" w:eastAsia="標楷體" w:hAnsi="標楷體" w:hint="eastAsia"/>
          <w:kern w:val="3"/>
          <w:sz w:val="32"/>
          <w:szCs w:val="32"/>
        </w:rPr>
        <w:t>增</w:t>
      </w:r>
      <w:r w:rsidRPr="00905479">
        <w:rPr>
          <w:rFonts w:ascii="標楷體" w:eastAsia="標楷體" w:hAnsi="標楷體"/>
          <w:kern w:val="3"/>
          <w:sz w:val="32"/>
          <w:szCs w:val="32"/>
        </w:rPr>
        <w:t>法官與法官助理</w:t>
      </w:r>
      <w:r w:rsidRPr="00905479">
        <w:rPr>
          <w:rFonts w:ascii="標楷體" w:eastAsia="標楷體" w:hAnsi="標楷體" w:hint="eastAsia"/>
          <w:kern w:val="3"/>
          <w:sz w:val="32"/>
          <w:szCs w:val="32"/>
        </w:rPr>
        <w:t>等職務之法定員額</w:t>
      </w:r>
      <w:r w:rsidRPr="00905479">
        <w:rPr>
          <w:rFonts w:ascii="標楷體" w:eastAsia="標楷體" w:hAnsi="標楷體"/>
          <w:kern w:val="3"/>
          <w:sz w:val="32"/>
          <w:szCs w:val="32"/>
        </w:rPr>
        <w:t>，為</w:t>
      </w:r>
      <w:r w:rsidRPr="00905479">
        <w:rPr>
          <w:rFonts w:ascii="標楷體" w:eastAsia="標楷體" w:hAnsi="標楷體" w:hint="eastAsia"/>
          <w:kern w:val="3"/>
          <w:sz w:val="32"/>
          <w:szCs w:val="32"/>
        </w:rPr>
        <w:t>導入AI後調整人力配置</w:t>
      </w:r>
      <w:r w:rsidRPr="00905479">
        <w:rPr>
          <w:rFonts w:ascii="標楷體" w:eastAsia="標楷體" w:hAnsi="標楷體"/>
          <w:kern w:val="3"/>
          <w:sz w:val="32"/>
          <w:szCs w:val="32"/>
        </w:rPr>
        <w:t>的</w:t>
      </w:r>
      <w:r w:rsidRPr="00905479">
        <w:rPr>
          <w:rFonts w:ascii="標楷體" w:eastAsia="標楷體" w:hAnsi="標楷體" w:hint="eastAsia"/>
          <w:kern w:val="3"/>
          <w:sz w:val="32"/>
          <w:szCs w:val="32"/>
        </w:rPr>
        <w:t>實際範例</w:t>
      </w:r>
      <w:r w:rsidRPr="00905479">
        <w:rPr>
          <w:rFonts w:ascii="標楷體" w:eastAsia="標楷體" w:hAnsi="標楷體"/>
          <w:kern w:val="3"/>
          <w:sz w:val="32"/>
          <w:szCs w:val="32"/>
        </w:rPr>
        <w:t>。</w:t>
      </w:r>
    </w:p>
    <w:p w14:paraId="4D7BDAF4" w14:textId="77777777" w:rsidR="00905479" w:rsidRPr="00905479" w:rsidRDefault="00905479" w:rsidP="003D1018">
      <w:pPr>
        <w:widowControl w:val="0"/>
        <w:numPr>
          <w:ilvl w:val="0"/>
          <w:numId w:val="100"/>
        </w:numPr>
        <w:tabs>
          <w:tab w:val="left" w:pos="4680"/>
        </w:tabs>
        <w:suppressAutoHyphens/>
        <w:overflowPunct w:val="0"/>
        <w:autoSpaceDN w:val="0"/>
        <w:snapToGrid w:val="0"/>
        <w:spacing w:before="120" w:after="120" w:line="520" w:lineRule="exact"/>
        <w:ind w:left="1900" w:hanging="482"/>
        <w:jc w:val="both"/>
        <w:textAlignment w:val="baseline"/>
        <w:rPr>
          <w:rFonts w:ascii="標楷體" w:eastAsia="標楷體" w:hAnsi="標楷體"/>
          <w:kern w:val="3"/>
          <w:sz w:val="32"/>
          <w:szCs w:val="32"/>
        </w:rPr>
      </w:pPr>
      <w:r w:rsidRPr="00905479">
        <w:rPr>
          <w:rFonts w:ascii="標楷體" w:eastAsia="標楷體" w:hAnsi="標楷體"/>
          <w:kern w:val="3"/>
          <w:sz w:val="32"/>
          <w:szCs w:val="32"/>
        </w:rPr>
        <w:t>監察院將原本耗費極大人工的</w:t>
      </w:r>
      <w:r w:rsidRPr="00905479">
        <w:rPr>
          <w:rFonts w:ascii="標楷體" w:eastAsia="標楷體" w:hAnsi="標楷體" w:hint="eastAsia"/>
          <w:kern w:val="3"/>
          <w:sz w:val="32"/>
          <w:szCs w:val="32"/>
        </w:rPr>
        <w:t>「</w:t>
      </w:r>
      <w:r w:rsidRPr="00905479">
        <w:rPr>
          <w:rFonts w:ascii="標楷體" w:eastAsia="標楷體" w:hAnsi="標楷體"/>
          <w:kern w:val="3"/>
          <w:sz w:val="32"/>
          <w:szCs w:val="32"/>
        </w:rPr>
        <w:t>財產申報系統</w:t>
      </w:r>
      <w:r w:rsidRPr="00905479">
        <w:rPr>
          <w:rFonts w:ascii="標楷體" w:eastAsia="標楷體" w:hAnsi="標楷體" w:hint="eastAsia"/>
          <w:kern w:val="3"/>
          <w:sz w:val="32"/>
          <w:szCs w:val="32"/>
        </w:rPr>
        <w:t>」</w:t>
      </w:r>
      <w:r w:rsidRPr="00905479">
        <w:rPr>
          <w:rFonts w:ascii="標楷體" w:eastAsia="標楷體" w:hAnsi="標楷體"/>
          <w:kern w:val="3"/>
          <w:sz w:val="32"/>
          <w:szCs w:val="32"/>
        </w:rPr>
        <w:t>數位化</w:t>
      </w:r>
      <w:r w:rsidRPr="00905479">
        <w:rPr>
          <w:rFonts w:ascii="標楷體" w:eastAsia="標楷體" w:hAnsi="標楷體" w:hint="eastAsia"/>
          <w:kern w:val="3"/>
          <w:sz w:val="32"/>
          <w:szCs w:val="32"/>
        </w:rPr>
        <w:t>並擴大授權</w:t>
      </w:r>
      <w:r w:rsidRPr="00905479">
        <w:rPr>
          <w:rFonts w:ascii="標楷體" w:eastAsia="標楷體" w:hAnsi="標楷體"/>
          <w:kern w:val="3"/>
          <w:sz w:val="32"/>
          <w:szCs w:val="32"/>
        </w:rPr>
        <w:t>，</w:t>
      </w:r>
      <w:r w:rsidRPr="00905479">
        <w:rPr>
          <w:rFonts w:ascii="標楷體" w:eastAsia="標楷體" w:hAnsi="標楷體" w:hint="eastAsia"/>
          <w:kern w:val="3"/>
          <w:sz w:val="32"/>
          <w:szCs w:val="32"/>
        </w:rPr>
        <w:t>由每年僅授權1次再增加授權次數，使各項財產資料可以透過</w:t>
      </w:r>
      <w:proofErr w:type="gramStart"/>
      <w:r w:rsidRPr="00905479">
        <w:rPr>
          <w:rFonts w:ascii="標楷體" w:eastAsia="標楷體" w:hAnsi="標楷體" w:hint="eastAsia"/>
          <w:kern w:val="3"/>
          <w:sz w:val="32"/>
          <w:szCs w:val="32"/>
        </w:rPr>
        <w:t>介</w:t>
      </w:r>
      <w:proofErr w:type="gramEnd"/>
      <w:r w:rsidRPr="00905479">
        <w:rPr>
          <w:rFonts w:ascii="標楷體" w:eastAsia="標楷體" w:hAnsi="標楷體" w:hint="eastAsia"/>
          <w:kern w:val="3"/>
          <w:sz w:val="32"/>
          <w:szCs w:val="32"/>
        </w:rPr>
        <w:t>接方式取得，</w:t>
      </w:r>
      <w:r w:rsidRPr="00905479">
        <w:rPr>
          <w:rFonts w:ascii="標楷體" w:eastAsia="標楷體" w:hAnsi="標楷體"/>
          <w:kern w:val="3"/>
          <w:sz w:val="32"/>
          <w:szCs w:val="32"/>
        </w:rPr>
        <w:t>大幅</w:t>
      </w:r>
      <w:r w:rsidRPr="00905479">
        <w:rPr>
          <w:rFonts w:ascii="標楷體" w:eastAsia="標楷體" w:hAnsi="標楷體" w:hint="eastAsia"/>
          <w:kern w:val="3"/>
          <w:sz w:val="32"/>
          <w:szCs w:val="32"/>
        </w:rPr>
        <w:t>提升工作效能</w:t>
      </w:r>
      <w:r w:rsidRPr="00905479">
        <w:rPr>
          <w:rFonts w:ascii="標楷體" w:eastAsia="標楷體" w:hAnsi="標楷體"/>
          <w:kern w:val="3"/>
          <w:sz w:val="32"/>
          <w:szCs w:val="32"/>
        </w:rPr>
        <w:t>，</w:t>
      </w:r>
      <w:r w:rsidRPr="00905479">
        <w:rPr>
          <w:rFonts w:ascii="標楷體" w:eastAsia="標楷體" w:hAnsi="標楷體" w:hint="eastAsia"/>
          <w:kern w:val="3"/>
          <w:sz w:val="32"/>
          <w:szCs w:val="32"/>
        </w:rPr>
        <w:t>減少人工作業之需求，</w:t>
      </w:r>
      <w:r w:rsidRPr="00905479">
        <w:rPr>
          <w:rFonts w:ascii="標楷體" w:eastAsia="標楷體" w:hAnsi="標楷體"/>
          <w:kern w:val="3"/>
          <w:sz w:val="32"/>
          <w:szCs w:val="32"/>
        </w:rPr>
        <w:t>並將</w:t>
      </w:r>
      <w:r w:rsidRPr="00905479">
        <w:rPr>
          <w:rFonts w:ascii="標楷體" w:eastAsia="標楷體" w:hAnsi="標楷體" w:hint="eastAsia"/>
          <w:kern w:val="3"/>
          <w:sz w:val="32"/>
          <w:szCs w:val="32"/>
        </w:rPr>
        <w:t>相關</w:t>
      </w:r>
      <w:r w:rsidRPr="00905479">
        <w:rPr>
          <w:rFonts w:ascii="標楷體" w:eastAsia="標楷體" w:hAnsi="標楷體"/>
          <w:kern w:val="3"/>
          <w:sz w:val="32"/>
          <w:szCs w:val="32"/>
        </w:rPr>
        <w:t>人力調整至</w:t>
      </w:r>
      <w:r w:rsidRPr="00905479">
        <w:rPr>
          <w:rFonts w:ascii="標楷體" w:eastAsia="標楷體" w:hAnsi="標楷體" w:hint="eastAsia"/>
          <w:kern w:val="3"/>
          <w:sz w:val="32"/>
          <w:szCs w:val="32"/>
        </w:rPr>
        <w:t>新興之「</w:t>
      </w:r>
      <w:r w:rsidRPr="00905479">
        <w:rPr>
          <w:rFonts w:ascii="標楷體" w:eastAsia="標楷體" w:hAnsi="標楷體"/>
          <w:kern w:val="3"/>
          <w:sz w:val="32"/>
          <w:szCs w:val="32"/>
        </w:rPr>
        <w:t>政治獻金查核</w:t>
      </w:r>
      <w:r w:rsidRPr="00905479">
        <w:rPr>
          <w:rFonts w:ascii="標楷體" w:eastAsia="標楷體" w:hAnsi="標楷體" w:hint="eastAsia"/>
          <w:kern w:val="3"/>
          <w:sz w:val="32"/>
          <w:szCs w:val="32"/>
        </w:rPr>
        <w:t>」</w:t>
      </w:r>
      <w:r w:rsidRPr="00905479">
        <w:rPr>
          <w:rFonts w:ascii="標楷體" w:eastAsia="標楷體" w:hAnsi="標楷體"/>
          <w:kern w:val="3"/>
          <w:sz w:val="32"/>
          <w:szCs w:val="32"/>
        </w:rPr>
        <w:t>業務，</w:t>
      </w:r>
      <w:r w:rsidRPr="00905479">
        <w:rPr>
          <w:rFonts w:ascii="標楷體" w:eastAsia="標楷體" w:hAnsi="標楷體" w:hint="eastAsia"/>
          <w:kern w:val="3"/>
          <w:sz w:val="32"/>
          <w:szCs w:val="32"/>
        </w:rPr>
        <w:t>以有效運用</w:t>
      </w:r>
      <w:r w:rsidRPr="00905479">
        <w:rPr>
          <w:rFonts w:ascii="標楷體" w:eastAsia="標楷體" w:hAnsi="標楷體"/>
          <w:kern w:val="3"/>
          <w:sz w:val="32"/>
          <w:szCs w:val="32"/>
        </w:rPr>
        <w:t>人力資源。</w:t>
      </w:r>
    </w:p>
    <w:p w14:paraId="238BAF70" w14:textId="77777777" w:rsidR="00905479" w:rsidRPr="00905479" w:rsidRDefault="00905479" w:rsidP="003D1018">
      <w:pPr>
        <w:widowControl w:val="0"/>
        <w:numPr>
          <w:ilvl w:val="6"/>
          <w:numId w:val="103"/>
        </w:numPr>
        <w:tabs>
          <w:tab w:val="left" w:pos="4680"/>
        </w:tabs>
        <w:suppressAutoHyphens/>
        <w:overflowPunct w:val="0"/>
        <w:autoSpaceDN w:val="0"/>
        <w:snapToGrid w:val="0"/>
        <w:spacing w:before="120" w:after="120" w:line="520" w:lineRule="exact"/>
        <w:ind w:left="1587" w:hanging="340"/>
        <w:jc w:val="both"/>
        <w:textAlignment w:val="baseline"/>
        <w:rPr>
          <w:rFonts w:ascii="標楷體" w:eastAsia="標楷體" w:hAnsi="標楷體"/>
          <w:kern w:val="3"/>
          <w:sz w:val="32"/>
          <w:szCs w:val="32"/>
        </w:rPr>
      </w:pPr>
      <w:r w:rsidRPr="00905479">
        <w:rPr>
          <w:rFonts w:ascii="標楷體" w:eastAsia="標楷體" w:hAnsi="標楷體" w:hint="eastAsia"/>
          <w:kern w:val="3"/>
          <w:sz w:val="32"/>
          <w:szCs w:val="32"/>
        </w:rPr>
        <w:t>大量</w:t>
      </w:r>
      <w:proofErr w:type="gramStart"/>
      <w:r w:rsidRPr="00905479">
        <w:rPr>
          <w:rFonts w:ascii="標楷體" w:eastAsia="標楷體" w:hAnsi="標楷體" w:hint="eastAsia"/>
          <w:kern w:val="3"/>
          <w:sz w:val="32"/>
          <w:szCs w:val="32"/>
        </w:rPr>
        <w:t>挹</w:t>
      </w:r>
      <w:proofErr w:type="gramEnd"/>
      <w:r w:rsidRPr="00905479">
        <w:rPr>
          <w:rFonts w:ascii="標楷體" w:eastAsia="標楷體" w:hAnsi="標楷體" w:hint="eastAsia"/>
          <w:kern w:val="3"/>
          <w:sz w:val="32"/>
          <w:szCs w:val="32"/>
        </w:rPr>
        <w:t>注司法體系人力，協助優化業務辦理方式：</w:t>
      </w:r>
    </w:p>
    <w:p w14:paraId="40D62BA3" w14:textId="77777777" w:rsidR="00905479" w:rsidRPr="00905479" w:rsidRDefault="00905479" w:rsidP="003D1018">
      <w:pPr>
        <w:widowControl w:val="0"/>
        <w:numPr>
          <w:ilvl w:val="0"/>
          <w:numId w:val="104"/>
        </w:numPr>
        <w:tabs>
          <w:tab w:val="left" w:pos="4680"/>
        </w:tabs>
        <w:suppressAutoHyphens/>
        <w:overflowPunct w:val="0"/>
        <w:autoSpaceDN w:val="0"/>
        <w:snapToGrid w:val="0"/>
        <w:spacing w:before="120" w:after="120" w:line="520" w:lineRule="exact"/>
        <w:ind w:left="1900" w:hanging="482"/>
        <w:jc w:val="both"/>
        <w:textAlignment w:val="baseline"/>
        <w:rPr>
          <w:rFonts w:ascii="標楷體" w:eastAsia="標楷體" w:hAnsi="標楷體"/>
          <w:kern w:val="3"/>
          <w:sz w:val="32"/>
          <w:szCs w:val="32"/>
        </w:rPr>
      </w:pPr>
      <w:r w:rsidRPr="00905479">
        <w:rPr>
          <w:rFonts w:ascii="標楷體" w:eastAsia="標楷體" w:hAnsi="標楷體" w:hint="eastAsia"/>
          <w:kern w:val="3"/>
          <w:sz w:val="32"/>
          <w:szCs w:val="32"/>
        </w:rPr>
        <w:t>過去10年來政府</w:t>
      </w:r>
      <w:proofErr w:type="gramStart"/>
      <w:r w:rsidRPr="00905479">
        <w:rPr>
          <w:rFonts w:ascii="標楷體" w:eastAsia="標楷體" w:hAnsi="標楷體" w:hint="eastAsia"/>
          <w:kern w:val="3"/>
          <w:sz w:val="32"/>
          <w:szCs w:val="32"/>
        </w:rPr>
        <w:t>已核增司法</w:t>
      </w:r>
      <w:proofErr w:type="gramEnd"/>
      <w:r w:rsidRPr="00905479">
        <w:rPr>
          <w:rFonts w:ascii="標楷體" w:eastAsia="標楷體" w:hAnsi="標楷體" w:hint="eastAsia"/>
          <w:kern w:val="3"/>
          <w:sz w:val="32"/>
          <w:szCs w:val="32"/>
        </w:rPr>
        <w:t>院預算員額近3,000人，占政府過去10年所有增員總數約二成，再</w:t>
      </w:r>
      <w:r w:rsidRPr="00905479">
        <w:rPr>
          <w:rFonts w:ascii="標楷體" w:eastAsia="標楷體" w:hAnsi="標楷體" w:hint="eastAsia"/>
          <w:kern w:val="3"/>
          <w:sz w:val="32"/>
          <w:szCs w:val="32"/>
        </w:rPr>
        <w:lastRenderedPageBreak/>
        <w:t>加計矯正機關（監所）約1,000人，整體投入司法與矯正體系的人力已占中央政府增員總數將近三分之一。</w:t>
      </w:r>
    </w:p>
    <w:p w14:paraId="7354DEC8" w14:textId="77777777" w:rsidR="00905479" w:rsidRPr="00905479" w:rsidRDefault="00905479" w:rsidP="003D1018">
      <w:pPr>
        <w:widowControl w:val="0"/>
        <w:numPr>
          <w:ilvl w:val="0"/>
          <w:numId w:val="104"/>
        </w:numPr>
        <w:tabs>
          <w:tab w:val="left" w:pos="4680"/>
        </w:tabs>
        <w:suppressAutoHyphens/>
        <w:overflowPunct w:val="0"/>
        <w:autoSpaceDN w:val="0"/>
        <w:snapToGrid w:val="0"/>
        <w:spacing w:before="120" w:after="120" w:line="520" w:lineRule="exact"/>
        <w:ind w:left="1900" w:hanging="482"/>
        <w:jc w:val="both"/>
        <w:textAlignment w:val="baseline"/>
        <w:rPr>
          <w:rFonts w:ascii="標楷體" w:eastAsia="標楷體" w:hAnsi="標楷體"/>
          <w:kern w:val="3"/>
          <w:sz w:val="32"/>
          <w:szCs w:val="32"/>
        </w:rPr>
      </w:pPr>
      <w:r w:rsidRPr="00905479">
        <w:rPr>
          <w:rFonts w:ascii="標楷體" w:eastAsia="標楷體" w:hAnsi="標楷體"/>
          <w:kern w:val="3"/>
          <w:sz w:val="32"/>
          <w:szCs w:val="32"/>
        </w:rPr>
        <w:t>以</w:t>
      </w:r>
      <w:r w:rsidRPr="00905479">
        <w:rPr>
          <w:rFonts w:ascii="標楷體" w:eastAsia="標楷體" w:hAnsi="標楷體" w:hint="eastAsia"/>
          <w:kern w:val="3"/>
          <w:sz w:val="32"/>
          <w:szCs w:val="32"/>
        </w:rPr>
        <w:t>人事</w:t>
      </w:r>
      <w:r w:rsidRPr="00905479">
        <w:rPr>
          <w:rFonts w:ascii="標楷體" w:eastAsia="標楷體" w:hAnsi="標楷體"/>
          <w:kern w:val="3"/>
          <w:sz w:val="32"/>
          <w:szCs w:val="32"/>
        </w:rPr>
        <w:t>總處兩</w:t>
      </w:r>
      <w:proofErr w:type="gramStart"/>
      <w:r w:rsidRPr="00905479">
        <w:rPr>
          <w:rFonts w:ascii="標楷體" w:eastAsia="標楷體" w:hAnsi="標楷體"/>
          <w:kern w:val="3"/>
          <w:sz w:val="32"/>
          <w:szCs w:val="32"/>
        </w:rPr>
        <w:t>週</w:t>
      </w:r>
      <w:proofErr w:type="gramEnd"/>
      <w:r w:rsidRPr="00905479">
        <w:rPr>
          <w:rFonts w:ascii="標楷體" w:eastAsia="標楷體" w:hAnsi="標楷體"/>
          <w:kern w:val="3"/>
          <w:sz w:val="32"/>
          <w:szCs w:val="32"/>
        </w:rPr>
        <w:t>前至新竹監獄實地考察為例</w:t>
      </w:r>
      <w:r w:rsidRPr="00905479">
        <w:rPr>
          <w:rFonts w:ascii="標楷體" w:eastAsia="標楷體" w:hAnsi="標楷體" w:hint="eastAsia"/>
          <w:kern w:val="3"/>
          <w:sz w:val="32"/>
          <w:szCs w:val="32"/>
        </w:rPr>
        <w:t>，</w:t>
      </w:r>
      <w:r w:rsidRPr="00905479">
        <w:rPr>
          <w:rFonts w:ascii="標楷體" w:eastAsia="標楷體" w:hAnsi="標楷體"/>
          <w:kern w:val="3"/>
          <w:sz w:val="32"/>
          <w:szCs w:val="32"/>
        </w:rPr>
        <w:t>基層被海量文書作業淹沒</w:t>
      </w:r>
      <w:r w:rsidRPr="00905479">
        <w:rPr>
          <w:rFonts w:ascii="標楷體" w:eastAsia="標楷體" w:hAnsi="標楷體" w:hint="eastAsia"/>
          <w:kern w:val="3"/>
          <w:sz w:val="32"/>
          <w:szCs w:val="32"/>
        </w:rPr>
        <w:t>，</w:t>
      </w:r>
      <w:r w:rsidRPr="00905479">
        <w:rPr>
          <w:rFonts w:ascii="標楷體" w:eastAsia="標楷體" w:hAnsi="標楷體"/>
          <w:kern w:val="3"/>
          <w:sz w:val="32"/>
          <w:szCs w:val="32"/>
        </w:rPr>
        <w:t>跨機關系統未</w:t>
      </w:r>
      <w:r w:rsidRPr="00905479">
        <w:rPr>
          <w:rFonts w:ascii="標楷體" w:eastAsia="標楷體" w:hAnsi="標楷體" w:hint="eastAsia"/>
          <w:kern w:val="3"/>
          <w:sz w:val="32"/>
          <w:szCs w:val="32"/>
        </w:rPr>
        <w:t>能</w:t>
      </w:r>
      <w:r w:rsidRPr="00905479">
        <w:rPr>
          <w:rFonts w:ascii="標楷體" w:eastAsia="標楷體" w:hAnsi="標楷體"/>
          <w:kern w:val="3"/>
          <w:sz w:val="32"/>
          <w:szCs w:val="32"/>
        </w:rPr>
        <w:t>有效串接</w:t>
      </w:r>
      <w:r w:rsidRPr="00905479">
        <w:rPr>
          <w:rFonts w:ascii="標楷體" w:eastAsia="標楷體" w:hAnsi="標楷體" w:hint="eastAsia"/>
          <w:kern w:val="3"/>
          <w:sz w:val="32"/>
          <w:szCs w:val="32"/>
        </w:rPr>
        <w:t>（</w:t>
      </w:r>
      <w:r w:rsidRPr="00905479">
        <w:rPr>
          <w:rFonts w:ascii="標楷體" w:eastAsia="標楷體" w:hAnsi="標楷體"/>
          <w:kern w:val="3"/>
          <w:sz w:val="32"/>
          <w:szCs w:val="32"/>
        </w:rPr>
        <w:t>院方判</w:t>
      </w:r>
      <w:r w:rsidRPr="00905479">
        <w:rPr>
          <w:rFonts w:ascii="標楷體" w:eastAsia="標楷體" w:hAnsi="標楷體" w:hint="eastAsia"/>
          <w:kern w:val="3"/>
          <w:sz w:val="32"/>
          <w:szCs w:val="32"/>
        </w:rPr>
        <w:t>決</w:t>
      </w:r>
      <w:r w:rsidRPr="00905479">
        <w:rPr>
          <w:rFonts w:ascii="標楷體" w:eastAsia="標楷體" w:hAnsi="標楷體"/>
          <w:kern w:val="3"/>
          <w:sz w:val="32"/>
          <w:szCs w:val="32"/>
        </w:rPr>
        <w:t>資料無法自動傳接，導致監所同仁仍必須手動重複鍵入系統</w:t>
      </w:r>
      <w:r w:rsidRPr="00905479">
        <w:rPr>
          <w:rFonts w:ascii="標楷體" w:eastAsia="標楷體" w:hAnsi="標楷體" w:hint="eastAsia"/>
          <w:kern w:val="3"/>
          <w:sz w:val="32"/>
          <w:szCs w:val="32"/>
        </w:rPr>
        <w:t>），如能提升資料資訊化程度，將能有效減緩機關業務負擔</w:t>
      </w:r>
      <w:r w:rsidRPr="00905479">
        <w:rPr>
          <w:rFonts w:ascii="標楷體" w:eastAsia="標楷體" w:hAnsi="標楷體"/>
          <w:kern w:val="3"/>
          <w:sz w:val="32"/>
          <w:szCs w:val="32"/>
        </w:rPr>
        <w:t>。</w:t>
      </w:r>
    </w:p>
    <w:p w14:paraId="19F3A54E" w14:textId="77777777" w:rsidR="00905479" w:rsidRPr="00905479" w:rsidRDefault="00905479" w:rsidP="003D1018">
      <w:pPr>
        <w:widowControl w:val="0"/>
        <w:numPr>
          <w:ilvl w:val="0"/>
          <w:numId w:val="97"/>
        </w:numPr>
        <w:tabs>
          <w:tab w:val="left" w:pos="4680"/>
        </w:tabs>
        <w:suppressAutoHyphens/>
        <w:overflowPunct w:val="0"/>
        <w:autoSpaceDN w:val="0"/>
        <w:snapToGrid w:val="0"/>
        <w:spacing w:before="180" w:after="180" w:line="520" w:lineRule="exact"/>
        <w:jc w:val="both"/>
        <w:textAlignment w:val="baseline"/>
        <w:rPr>
          <w:rFonts w:ascii="標楷體" w:eastAsia="標楷體" w:hAnsi="標楷體"/>
          <w:b/>
          <w:color w:val="000000"/>
          <w:kern w:val="3"/>
          <w:sz w:val="32"/>
          <w:szCs w:val="32"/>
        </w:rPr>
      </w:pPr>
      <w:r w:rsidRPr="00905479">
        <w:rPr>
          <w:rFonts w:ascii="標楷體" w:eastAsia="標楷體" w:hAnsi="標楷體" w:hint="eastAsia"/>
          <w:b/>
          <w:color w:val="000000"/>
          <w:kern w:val="3"/>
          <w:sz w:val="32"/>
          <w:szCs w:val="32"/>
        </w:rPr>
        <w:t>翁召集委員曉玲結語</w:t>
      </w:r>
    </w:p>
    <w:p w14:paraId="3319648C" w14:textId="77777777" w:rsidR="00905479" w:rsidRPr="00905479" w:rsidRDefault="00905479" w:rsidP="003D1018">
      <w:pPr>
        <w:widowControl w:val="0"/>
        <w:tabs>
          <w:tab w:val="left" w:pos="4680"/>
        </w:tabs>
        <w:suppressAutoHyphens/>
        <w:overflowPunct w:val="0"/>
        <w:autoSpaceDN w:val="0"/>
        <w:snapToGrid w:val="0"/>
        <w:spacing w:before="180" w:after="180" w:line="520" w:lineRule="exact"/>
        <w:ind w:left="998" w:firstLineChars="200" w:firstLine="640"/>
        <w:jc w:val="both"/>
        <w:textAlignment w:val="baseline"/>
        <w:rPr>
          <w:rFonts w:ascii="標楷體" w:eastAsia="標楷體" w:hAnsi="標楷體"/>
          <w:color w:val="000000"/>
          <w:kern w:val="3"/>
          <w:sz w:val="32"/>
          <w:szCs w:val="32"/>
        </w:rPr>
      </w:pPr>
      <w:r w:rsidRPr="00905479">
        <w:rPr>
          <w:rFonts w:ascii="標楷體" w:eastAsia="標楷體" w:hAnsi="標楷體"/>
          <w:color w:val="000000"/>
          <w:kern w:val="3"/>
          <w:sz w:val="32"/>
          <w:szCs w:val="32"/>
        </w:rPr>
        <w:t>非常感謝張副人事長以及</w:t>
      </w:r>
      <w:r w:rsidRPr="00905479">
        <w:rPr>
          <w:rFonts w:ascii="標楷體" w:eastAsia="標楷體" w:hAnsi="標楷體" w:hint="eastAsia"/>
          <w:color w:val="000000"/>
          <w:kern w:val="3"/>
          <w:sz w:val="32"/>
          <w:szCs w:val="32"/>
        </w:rPr>
        <w:t>全體</w:t>
      </w:r>
      <w:r w:rsidRPr="00905479">
        <w:rPr>
          <w:rFonts w:ascii="標楷體" w:eastAsia="標楷體" w:hAnsi="標楷體"/>
          <w:color w:val="000000"/>
          <w:kern w:val="3"/>
          <w:sz w:val="32"/>
          <w:szCs w:val="32"/>
        </w:rPr>
        <w:t>同仁今日對司法及法制委員會考察團的熱誠接待。在今天實地考察、聽取簡報以及與各位代表進行深度的綜合意見交流後，讓我們獲益良多，也對AI時代的公務人力在職培訓與員額調配策略有了</w:t>
      </w:r>
      <w:proofErr w:type="gramStart"/>
      <w:r w:rsidRPr="00905479">
        <w:rPr>
          <w:rFonts w:ascii="標楷體" w:eastAsia="標楷體" w:hAnsi="標楷體"/>
          <w:color w:val="000000"/>
          <w:kern w:val="3"/>
          <w:sz w:val="32"/>
          <w:szCs w:val="32"/>
        </w:rPr>
        <w:t>更深刻且實質</w:t>
      </w:r>
      <w:proofErr w:type="gramEnd"/>
      <w:r w:rsidRPr="00905479">
        <w:rPr>
          <w:rFonts w:ascii="標楷體" w:eastAsia="標楷體" w:hAnsi="標楷體"/>
          <w:color w:val="000000"/>
          <w:kern w:val="3"/>
          <w:sz w:val="32"/>
          <w:szCs w:val="32"/>
        </w:rPr>
        <w:t>的理解。再次謝謝大家今天的辛勞</w:t>
      </w:r>
      <w:r w:rsidRPr="00905479">
        <w:rPr>
          <w:rFonts w:ascii="標楷體" w:eastAsia="標楷體" w:hAnsi="標楷體" w:hint="eastAsia"/>
          <w:color w:val="000000"/>
          <w:kern w:val="3"/>
          <w:sz w:val="32"/>
          <w:szCs w:val="32"/>
        </w:rPr>
        <w:t>。</w:t>
      </w:r>
    </w:p>
    <w:p w14:paraId="70332613" w14:textId="77777777" w:rsidR="00905479" w:rsidRPr="00905479" w:rsidRDefault="00905479" w:rsidP="003D1018">
      <w:pPr>
        <w:widowControl w:val="0"/>
        <w:tabs>
          <w:tab w:val="left" w:pos="4680"/>
        </w:tabs>
        <w:overflowPunct w:val="0"/>
        <w:snapToGrid w:val="0"/>
        <w:spacing w:afterLines="50" w:after="180" w:line="480" w:lineRule="exact"/>
        <w:ind w:left="672"/>
        <w:jc w:val="both"/>
        <w:rPr>
          <w:rFonts w:ascii="標楷體" w:eastAsia="標楷體" w:hAnsi="標楷體" w:cs="BiauKai"/>
          <w:b/>
          <w:sz w:val="32"/>
          <w:szCs w:val="32"/>
        </w:rPr>
      </w:pPr>
      <w:r w:rsidRPr="00905479">
        <w:rPr>
          <w:rFonts w:ascii="標楷體" w:eastAsia="標楷體" w:hAnsi="標楷體"/>
          <w:b/>
          <w:color w:val="000000"/>
          <w:kern w:val="3"/>
          <w:sz w:val="32"/>
          <w:szCs w:val="32"/>
        </w:rPr>
        <w:t>散會（上午11時</w:t>
      </w:r>
      <w:r w:rsidRPr="00905479">
        <w:rPr>
          <w:rFonts w:ascii="標楷體" w:eastAsia="標楷體" w:hAnsi="標楷體" w:hint="eastAsia"/>
          <w:b/>
          <w:color w:val="000000"/>
          <w:kern w:val="3"/>
          <w:sz w:val="32"/>
          <w:szCs w:val="32"/>
        </w:rPr>
        <w:t>45</w:t>
      </w:r>
      <w:r w:rsidRPr="00905479">
        <w:rPr>
          <w:rFonts w:ascii="標楷體" w:eastAsia="標楷體" w:hAnsi="標楷體"/>
          <w:b/>
          <w:color w:val="000000"/>
          <w:kern w:val="3"/>
          <w:sz w:val="32"/>
          <w:szCs w:val="32"/>
        </w:rPr>
        <w:t>分）</w:t>
      </w:r>
    </w:p>
    <w:p w14:paraId="3C531BBC" w14:textId="77777777" w:rsidR="000D0A41" w:rsidRPr="002F3A24" w:rsidRDefault="000D0A41" w:rsidP="003D1018">
      <w:pPr>
        <w:widowControl w:val="0"/>
        <w:tabs>
          <w:tab w:val="left" w:pos="720"/>
          <w:tab w:val="left" w:pos="1985"/>
        </w:tabs>
        <w:overflowPunct w:val="0"/>
        <w:spacing w:line="276" w:lineRule="auto"/>
        <w:jc w:val="both"/>
        <w:rPr>
          <w:rFonts w:ascii="標楷體" w:eastAsia="標楷體" w:hAnsi="標楷體"/>
          <w:color w:val="000000"/>
          <w:kern w:val="0"/>
          <w:sz w:val="32"/>
          <w:szCs w:val="32"/>
        </w:rPr>
      </w:pPr>
    </w:p>
    <w:sectPr w:rsidR="000D0A41" w:rsidRPr="002F3A24" w:rsidSect="003259E8">
      <w:footerReference w:type="default" r:id="rId25"/>
      <w:pgSz w:w="11906" w:h="16838"/>
      <w:pgMar w:top="992" w:right="1701" w:bottom="1134" w:left="1701" w:header="851" w:footer="85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E11E5" w14:textId="77777777" w:rsidR="00C72F63" w:rsidRDefault="00C72F63" w:rsidP="000D37B1">
      <w:r>
        <w:separator/>
      </w:r>
    </w:p>
  </w:endnote>
  <w:endnote w:type="continuationSeparator" w:id="0">
    <w:p w14:paraId="70EFDE84" w14:textId="77777777" w:rsidR="00C72F63" w:rsidRDefault="00C72F63" w:rsidP="000D3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1">
    <w:altName w:val="Times New Roman"/>
    <w:panose1 w:val="00000000000000000000"/>
    <w:charset w:val="00"/>
    <w:family w:val="roman"/>
    <w:notTrueType/>
    <w:pitch w:val="default"/>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華康楷書體W5">
    <w:panose1 w:val="03000509000000000000"/>
    <w:charset w:val="88"/>
    <w:family w:val="script"/>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仿宋體W2">
    <w:panose1 w:val="02020209000000000000"/>
    <w:charset w:val="88"/>
    <w:family w:val="modern"/>
    <w:pitch w:val="fixed"/>
    <w:sig w:usb0="80000001" w:usb1="28091800" w:usb2="00000016" w:usb3="00000000" w:csb0="00100000" w:csb1="00000000"/>
  </w:font>
  <w:font w:name="華康楷書體W5外字集">
    <w:panose1 w:val="02010609010101010101"/>
    <w:charset w:val="88"/>
    <w:family w:val="modern"/>
    <w:pitch w:val="fixed"/>
    <w:sig w:usb0="80000001" w:usb1="28091800" w:usb2="00000016" w:usb3="00000000" w:csb0="00100000" w:csb1="00000000"/>
  </w:font>
  <w:font w:name="華康細明體">
    <w:panose1 w:val="02020309000000000000"/>
    <w:charset w:val="88"/>
    <w:family w:val="modern"/>
    <w:pitch w:val="fixed"/>
    <w:sig w:usb0="80000001" w:usb1="28091800" w:usb2="00000016" w:usb3="00000000" w:csb0="00100000" w:csb1="00000000"/>
  </w:font>
  <w:font w:name="Verdana">
    <w:panose1 w:val="020B0604030504040204"/>
    <w:charset w:val="00"/>
    <w:family w:val="swiss"/>
    <w:pitch w:val="variable"/>
    <w:sig w:usb0="A00006FF" w:usb1="4000205B" w:usb2="00000010" w:usb3="00000000" w:csb0="0000019F" w:csb1="00000000"/>
  </w:font>
  <w:font w:name="華康中黑體">
    <w:panose1 w:val="020B0509000000000000"/>
    <w:charset w:val="88"/>
    <w:family w:val="modern"/>
    <w:pitch w:val="fixed"/>
    <w:sig w:usb0="80000001" w:usb1="28091800" w:usb2="00000016" w:usb3="00000000" w:csb0="0010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apyrus">
    <w:panose1 w:val="03070502060502030205"/>
    <w:charset w:val="00"/>
    <w:family w:val="script"/>
    <w:pitch w:val="variable"/>
    <w:sig w:usb0="00000003" w:usb1="00000000" w:usb2="00000000" w:usb3="00000000" w:csb0="00000001" w:csb1="00000000"/>
  </w:font>
  <w:font w:name="華康POP1體W5(P)">
    <w:panose1 w:val="040B0500000000000000"/>
    <w:charset w:val="88"/>
    <w:family w:val="decorative"/>
    <w:pitch w:val="variable"/>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新細明體, PMingLiU">
    <w:altName w:val="Times New Roman"/>
    <w:charset w:val="00"/>
    <w:family w:val="roman"/>
    <w:pitch w:val="variable"/>
  </w:font>
  <w:font w:name="sөũ">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Noto Sans TC">
    <w:panose1 w:val="020B0200000000000000"/>
    <w:charset w:val="88"/>
    <w:family w:val="swiss"/>
    <w:pitch w:val="variable"/>
    <w:sig w:usb0="20000287" w:usb1="2ADF3C10" w:usb2="00000016" w:usb3="00000000" w:csb0="00120107" w:csb1="00000000"/>
  </w:font>
  <w:font w:name="BiauKa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51032" w14:textId="7A0E710A" w:rsidR="00787DE8" w:rsidRDefault="00787DE8" w:rsidP="003F3571">
    <w:pPr>
      <w:pStyle w:val="aa"/>
      <w:jc w:val="center"/>
    </w:pPr>
    <w:r>
      <w:fldChar w:fldCharType="begin"/>
    </w:r>
    <w:r>
      <w:instrText>PAGE   \* MERGEFORMAT</w:instrText>
    </w:r>
    <w:r>
      <w:fldChar w:fldCharType="separate"/>
    </w:r>
    <w:r w:rsidR="009225EB" w:rsidRPr="009225EB">
      <w:rPr>
        <w:noProof/>
        <w:lang w:val="zh-TW"/>
      </w:rPr>
      <w:t>VI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D0A50" w14:textId="77777777" w:rsidR="00787DE8" w:rsidRDefault="00787DE8" w:rsidP="00B8553E">
    <w:pPr>
      <w:pStyle w:val="aa"/>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14:paraId="26914B59" w14:textId="77777777" w:rsidR="00787DE8" w:rsidRDefault="00787DE8">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2026801"/>
      <w:docPartObj>
        <w:docPartGallery w:val="Page Numbers (Bottom of Page)"/>
        <w:docPartUnique/>
      </w:docPartObj>
    </w:sdtPr>
    <w:sdtEndPr/>
    <w:sdtContent>
      <w:p w14:paraId="672F1D45" w14:textId="12CF6B81" w:rsidR="00787DE8" w:rsidRDefault="00787DE8">
        <w:pPr>
          <w:pStyle w:val="aa"/>
          <w:jc w:val="center"/>
        </w:pPr>
        <w:r>
          <w:fldChar w:fldCharType="begin"/>
        </w:r>
        <w:r>
          <w:instrText>PAGE   \* MERGEFORMAT</w:instrText>
        </w:r>
        <w:r>
          <w:fldChar w:fldCharType="separate"/>
        </w:r>
        <w:r w:rsidR="009225EB" w:rsidRPr="009225EB">
          <w:rPr>
            <w:noProof/>
            <w:lang w:val="zh-TW"/>
          </w:rPr>
          <w:t>12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8FC3A" w14:textId="7964F5A4" w:rsidR="00787DE8" w:rsidRDefault="00787DE8" w:rsidP="00B8553E">
    <w:pPr>
      <w:pStyle w:val="aa"/>
      <w:ind w:left="480"/>
      <w:jc w:val="center"/>
    </w:pPr>
    <w:r>
      <w:fldChar w:fldCharType="begin"/>
    </w:r>
    <w:r>
      <w:instrText>PAGE   \* MERGEFORMAT</w:instrText>
    </w:r>
    <w:r>
      <w:fldChar w:fldCharType="separate"/>
    </w:r>
    <w:r w:rsidR="009225EB" w:rsidRPr="009225EB">
      <w:rPr>
        <w:noProof/>
        <w:lang w:val="zh-TW"/>
      </w:rPr>
      <w:t>103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904654"/>
      <w:docPartObj>
        <w:docPartGallery w:val="Page Numbers (Bottom of Page)"/>
        <w:docPartUnique/>
      </w:docPartObj>
    </w:sdtPr>
    <w:sdtEndPr/>
    <w:sdtContent>
      <w:p w14:paraId="20475B01" w14:textId="590A9D93" w:rsidR="00787DE8" w:rsidRDefault="00787DE8">
        <w:pPr>
          <w:pStyle w:val="aa"/>
          <w:jc w:val="center"/>
        </w:pPr>
        <w:r>
          <w:fldChar w:fldCharType="begin"/>
        </w:r>
        <w:r>
          <w:instrText>PAGE   \* MERGEFORMAT</w:instrText>
        </w:r>
        <w:r>
          <w:fldChar w:fldCharType="separate"/>
        </w:r>
        <w:r w:rsidR="009225EB" w:rsidRPr="009225EB">
          <w:rPr>
            <w:noProof/>
            <w:lang w:val="zh-TW"/>
          </w:rPr>
          <w:t>309</w:t>
        </w:r>
        <w:r>
          <w:fldChar w:fldCharType="end"/>
        </w:r>
      </w:p>
    </w:sdtContent>
  </w:sdt>
  <w:p w14:paraId="75C947C0" w14:textId="77777777" w:rsidR="00787DE8" w:rsidRDefault="00787DE8">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04522"/>
      <w:docPartObj>
        <w:docPartGallery w:val="Page Numbers (Bottom of Page)"/>
        <w:docPartUnique/>
      </w:docPartObj>
    </w:sdtPr>
    <w:sdtEndPr/>
    <w:sdtContent>
      <w:p w14:paraId="6CED5C4D" w14:textId="7DA37B06" w:rsidR="008E4999" w:rsidRDefault="008E4999">
        <w:pPr>
          <w:pStyle w:val="aa"/>
          <w:jc w:val="center"/>
        </w:pPr>
        <w:r>
          <w:fldChar w:fldCharType="begin"/>
        </w:r>
        <w:r>
          <w:instrText>PAGE   \* MERGEFORMAT</w:instrText>
        </w:r>
        <w:r>
          <w:fldChar w:fldCharType="separate"/>
        </w:r>
        <w:r>
          <w:rPr>
            <w:lang w:val="zh-TW"/>
          </w:rP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502738"/>
      <w:docPartObj>
        <w:docPartGallery w:val="Page Numbers (Bottom of Page)"/>
        <w:docPartUnique/>
      </w:docPartObj>
    </w:sdtPr>
    <w:sdtEndPr/>
    <w:sdtContent>
      <w:p w14:paraId="22F90FB7" w14:textId="7942B605" w:rsidR="008E4999" w:rsidRDefault="008E4999">
        <w:pPr>
          <w:pStyle w:val="aa"/>
          <w:jc w:val="center"/>
        </w:pPr>
        <w:r>
          <w:fldChar w:fldCharType="begin"/>
        </w:r>
        <w:r>
          <w:instrText>PAGE   \* MERGEFORMAT</w:instrText>
        </w:r>
        <w:r>
          <w:fldChar w:fldCharType="separate"/>
        </w:r>
        <w:r>
          <w:rPr>
            <w:lang w:val="zh-TW"/>
          </w:rPr>
          <w:t>2</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66662" w14:textId="77777777" w:rsidR="00787DE8" w:rsidRDefault="00787DE8">
    <w:pPr>
      <w:pStyle w:val="aa"/>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14:paraId="40028DC6" w14:textId="77777777" w:rsidR="00787DE8" w:rsidRDefault="00787DE8">
    <w:pPr>
      <w:pStyle w:val="a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F85B4" w14:textId="5267F9A1" w:rsidR="00787DE8" w:rsidRDefault="00787DE8">
    <w:pPr>
      <w:pStyle w:val="aa"/>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separate"/>
    </w:r>
    <w:r w:rsidR="009225EB">
      <w:rPr>
        <w:rStyle w:val="af8"/>
        <w:noProof/>
      </w:rPr>
      <w:t>322</w:t>
    </w:r>
    <w:r>
      <w:rPr>
        <w:rStyle w:val="af8"/>
      </w:rPr>
      <w:fldChar w:fldCharType="end"/>
    </w:r>
  </w:p>
  <w:p w14:paraId="11390EA7" w14:textId="77777777" w:rsidR="00787DE8" w:rsidRDefault="00787DE8">
    <w:pPr>
      <w:pStyle w:val="a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0548330"/>
      <w:docPartObj>
        <w:docPartGallery w:val="Page Numbers (Bottom of Page)"/>
        <w:docPartUnique/>
      </w:docPartObj>
    </w:sdtPr>
    <w:sdtEndPr/>
    <w:sdtContent>
      <w:p w14:paraId="7F842624" w14:textId="5A6CDB41" w:rsidR="00787DE8" w:rsidRDefault="00787DE8">
        <w:pPr>
          <w:pStyle w:val="aa"/>
          <w:jc w:val="center"/>
        </w:pPr>
        <w:r>
          <w:fldChar w:fldCharType="begin"/>
        </w:r>
        <w:r>
          <w:instrText>PAGE   \* MERGEFORMAT</w:instrText>
        </w:r>
        <w:r>
          <w:fldChar w:fldCharType="separate"/>
        </w:r>
        <w:r w:rsidR="009225EB" w:rsidRPr="009225EB">
          <w:rPr>
            <w:noProof/>
            <w:lang w:val="zh-TW"/>
          </w:rPr>
          <w:t>501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D4888" w14:textId="77777777" w:rsidR="00C72F63" w:rsidRDefault="00C72F63" w:rsidP="000D37B1">
      <w:r>
        <w:separator/>
      </w:r>
    </w:p>
  </w:footnote>
  <w:footnote w:type="continuationSeparator" w:id="0">
    <w:p w14:paraId="2DB3D806" w14:textId="77777777" w:rsidR="00C72F63" w:rsidRDefault="00C72F63" w:rsidP="000D37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6533"/>
    <w:multiLevelType w:val="multilevel"/>
    <w:tmpl w:val="0409001F"/>
    <w:styleLink w:val="1111118"/>
    <w:lvl w:ilvl="0">
      <w:start w:val="1"/>
      <w:numFmt w:val="decimal"/>
      <w:lvlText w:val="%1."/>
      <w:lvlJc w:val="left"/>
      <w:pPr>
        <w:tabs>
          <w:tab w:val="num" w:pos="8464"/>
        </w:tabs>
        <w:ind w:left="8464" w:hanging="425"/>
      </w:pPr>
    </w:lvl>
    <w:lvl w:ilvl="1">
      <w:start w:val="1"/>
      <w:numFmt w:val="decimal"/>
      <w:lvlText w:val="%1.%2."/>
      <w:lvlJc w:val="left"/>
      <w:pPr>
        <w:tabs>
          <w:tab w:val="num" w:pos="8606"/>
        </w:tabs>
        <w:ind w:left="8606" w:hanging="567"/>
      </w:pPr>
    </w:lvl>
    <w:lvl w:ilvl="2">
      <w:start w:val="1"/>
      <w:numFmt w:val="decimal"/>
      <w:lvlText w:val="%1.%2.%3."/>
      <w:lvlJc w:val="left"/>
      <w:pPr>
        <w:tabs>
          <w:tab w:val="num" w:pos="8748"/>
        </w:tabs>
        <w:ind w:left="8748" w:hanging="709"/>
      </w:pPr>
    </w:lvl>
    <w:lvl w:ilvl="3">
      <w:start w:val="1"/>
      <w:numFmt w:val="decimal"/>
      <w:lvlText w:val="%1.%2.%3.%4."/>
      <w:lvlJc w:val="left"/>
      <w:pPr>
        <w:tabs>
          <w:tab w:val="num" w:pos="8890"/>
        </w:tabs>
        <w:ind w:left="8890" w:hanging="851"/>
      </w:pPr>
    </w:lvl>
    <w:lvl w:ilvl="4">
      <w:start w:val="1"/>
      <w:numFmt w:val="decimal"/>
      <w:lvlText w:val="%1.%2.%3.%4.%5."/>
      <w:lvlJc w:val="left"/>
      <w:pPr>
        <w:tabs>
          <w:tab w:val="num" w:pos="9031"/>
        </w:tabs>
        <w:ind w:left="9031" w:hanging="992"/>
      </w:pPr>
    </w:lvl>
    <w:lvl w:ilvl="5">
      <w:start w:val="1"/>
      <w:numFmt w:val="decimal"/>
      <w:lvlText w:val="%1.%2.%3.%4.%5.%6."/>
      <w:lvlJc w:val="left"/>
      <w:pPr>
        <w:tabs>
          <w:tab w:val="num" w:pos="9173"/>
        </w:tabs>
        <w:ind w:left="9173" w:hanging="1134"/>
      </w:pPr>
    </w:lvl>
    <w:lvl w:ilvl="6">
      <w:start w:val="1"/>
      <w:numFmt w:val="decimal"/>
      <w:lvlText w:val="%1.%2.%3.%4.%5.%6.%7."/>
      <w:lvlJc w:val="left"/>
      <w:pPr>
        <w:tabs>
          <w:tab w:val="num" w:pos="9315"/>
        </w:tabs>
        <w:ind w:left="9315" w:hanging="1276"/>
      </w:pPr>
    </w:lvl>
    <w:lvl w:ilvl="7">
      <w:start w:val="1"/>
      <w:numFmt w:val="decimal"/>
      <w:lvlText w:val="%1.%2.%3.%4.%5.%6.%7.%8."/>
      <w:lvlJc w:val="left"/>
      <w:pPr>
        <w:tabs>
          <w:tab w:val="num" w:pos="9457"/>
        </w:tabs>
        <w:ind w:left="9457" w:hanging="1418"/>
      </w:pPr>
    </w:lvl>
    <w:lvl w:ilvl="8">
      <w:start w:val="1"/>
      <w:numFmt w:val="decimal"/>
      <w:lvlText w:val="%1.%2.%3.%4.%5.%6.%7.%8.%9."/>
      <w:lvlJc w:val="left"/>
      <w:pPr>
        <w:tabs>
          <w:tab w:val="num" w:pos="9598"/>
        </w:tabs>
        <w:ind w:left="9598" w:hanging="1559"/>
      </w:pPr>
    </w:lvl>
  </w:abstractNum>
  <w:abstractNum w:abstractNumId="1" w15:restartNumberingAfterBreak="0">
    <w:nsid w:val="00E62D11"/>
    <w:multiLevelType w:val="hybridMultilevel"/>
    <w:tmpl w:val="4C6C3B28"/>
    <w:lvl w:ilvl="0" w:tplc="1CEE287C">
      <w:start w:val="1"/>
      <w:numFmt w:val="taiwaneseCountingThousand"/>
      <w:lvlText w:val="（%1）"/>
      <w:lvlJc w:val="left"/>
      <w:pPr>
        <w:ind w:left="1275" w:hanging="795"/>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1664D03"/>
    <w:multiLevelType w:val="multilevel"/>
    <w:tmpl w:val="D09C8A96"/>
    <w:styleLink w:val="18"/>
    <w:lvl w:ilvl="0">
      <w:start w:val="1"/>
      <w:numFmt w:val="decimal"/>
      <w:lvlText w:val="%1."/>
      <w:lvlJc w:val="left"/>
      <w:pPr>
        <w:tabs>
          <w:tab w:val="num" w:pos="480"/>
        </w:tabs>
        <w:ind w:left="480" w:hanging="480"/>
      </w:pPr>
      <w:rPr>
        <w:rFonts w:eastAsia="1"/>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 w15:restartNumberingAfterBreak="0">
    <w:nsid w:val="02215FBD"/>
    <w:multiLevelType w:val="hybridMultilevel"/>
    <w:tmpl w:val="788AA4A2"/>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07B60080"/>
    <w:multiLevelType w:val="hybridMultilevel"/>
    <w:tmpl w:val="A3209590"/>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08A95A55"/>
    <w:multiLevelType w:val="hybridMultilevel"/>
    <w:tmpl w:val="0764C0B8"/>
    <w:lvl w:ilvl="0" w:tplc="E9FE4E00">
      <w:start w:val="1"/>
      <w:numFmt w:val="ideographLegalTraditional"/>
      <w:lvlText w:val="%1、"/>
      <w:lvlJc w:val="left"/>
      <w:pPr>
        <w:ind w:left="672" w:hanging="672"/>
      </w:pPr>
      <w:rPr>
        <w:rFonts w:hint="default"/>
        <w:color w:val="000000" w:themeColor="text1"/>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9641FA"/>
    <w:multiLevelType w:val="hybridMultilevel"/>
    <w:tmpl w:val="788AA4A2"/>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0BCE07DE"/>
    <w:multiLevelType w:val="multilevel"/>
    <w:tmpl w:val="C0586CC0"/>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default"/>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0F8934B0"/>
    <w:multiLevelType w:val="hybridMultilevel"/>
    <w:tmpl w:val="7E62DEF0"/>
    <w:lvl w:ilvl="0" w:tplc="C7A20F3A">
      <w:start w:val="1"/>
      <w:numFmt w:val="taiwaneseCountingThousand"/>
      <w:suff w:val="nothing"/>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F8F0FDF"/>
    <w:multiLevelType w:val="hybridMultilevel"/>
    <w:tmpl w:val="54384E5E"/>
    <w:lvl w:ilvl="0" w:tplc="28524D5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F950AC9"/>
    <w:multiLevelType w:val="hybridMultilevel"/>
    <w:tmpl w:val="5FB893E8"/>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15:restartNumberingAfterBreak="0">
    <w:nsid w:val="10925F69"/>
    <w:multiLevelType w:val="hybridMultilevel"/>
    <w:tmpl w:val="05168886"/>
    <w:lvl w:ilvl="0" w:tplc="08785190">
      <w:start w:val="1"/>
      <w:numFmt w:val="taiwaneseCountingThousand"/>
      <w:lvlRestart w:val="0"/>
      <w:pStyle w:val="a"/>
      <w:suff w:val="nothing"/>
      <w:lvlText w:val="(%1)"/>
      <w:lvlJc w:val="left"/>
      <w:pPr>
        <w:ind w:left="842" w:hanging="482"/>
      </w:pPr>
      <w:rPr>
        <w:rFonts w:hint="eastAsia"/>
        <w:b w:val="0"/>
        <w:bCs/>
        <w:color w:val="auto"/>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15:restartNumberingAfterBreak="0">
    <w:nsid w:val="11AA67F7"/>
    <w:multiLevelType w:val="hybridMultilevel"/>
    <w:tmpl w:val="EDFA2BFE"/>
    <w:lvl w:ilvl="0" w:tplc="96549DF2">
      <w:start w:val="1"/>
      <w:numFmt w:val="taiwaneseCountingThousand"/>
      <w:lvlText w:val="%1、"/>
      <w:lvlJc w:val="left"/>
      <w:pPr>
        <w:ind w:left="996" w:hanging="660"/>
      </w:pPr>
      <w:rPr>
        <w:rFonts w:ascii="標楷體" w:eastAsia="標楷體" w:hAnsi="標楷體" w:cs="標楷體" w:hint="default"/>
        <w:b/>
        <w:sz w:val="32"/>
      </w:r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tentative="1">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13" w15:restartNumberingAfterBreak="0">
    <w:nsid w:val="124509A2"/>
    <w:multiLevelType w:val="hybridMultilevel"/>
    <w:tmpl w:val="F656D2F0"/>
    <w:lvl w:ilvl="0" w:tplc="D03AE8C8">
      <w:start w:val="1"/>
      <w:numFmt w:val="taiwaneseCountingThousand"/>
      <w:suff w:val="nothing"/>
      <w:lvlText w:val="(%1)"/>
      <w:lvlJc w:val="left"/>
      <w:pPr>
        <w:ind w:left="734" w:hanging="720"/>
      </w:pPr>
      <w:rPr>
        <w:rFonts w:hint="default"/>
      </w:rPr>
    </w:lvl>
    <w:lvl w:ilvl="1" w:tplc="04090019" w:tentative="1">
      <w:start w:val="1"/>
      <w:numFmt w:val="ideographTraditional"/>
      <w:lvlText w:val="%2、"/>
      <w:lvlJc w:val="left"/>
      <w:pPr>
        <w:ind w:left="1254" w:hanging="480"/>
      </w:pPr>
    </w:lvl>
    <w:lvl w:ilvl="2" w:tplc="0409001B" w:tentative="1">
      <w:start w:val="1"/>
      <w:numFmt w:val="lowerRoman"/>
      <w:lvlText w:val="%3."/>
      <w:lvlJc w:val="right"/>
      <w:pPr>
        <w:ind w:left="1734" w:hanging="480"/>
      </w:pPr>
    </w:lvl>
    <w:lvl w:ilvl="3" w:tplc="0409000F" w:tentative="1">
      <w:start w:val="1"/>
      <w:numFmt w:val="decimal"/>
      <w:lvlText w:val="%4."/>
      <w:lvlJc w:val="left"/>
      <w:pPr>
        <w:ind w:left="2214" w:hanging="480"/>
      </w:pPr>
    </w:lvl>
    <w:lvl w:ilvl="4" w:tplc="04090019" w:tentative="1">
      <w:start w:val="1"/>
      <w:numFmt w:val="ideographTraditional"/>
      <w:lvlText w:val="%5、"/>
      <w:lvlJc w:val="left"/>
      <w:pPr>
        <w:ind w:left="2694" w:hanging="480"/>
      </w:pPr>
    </w:lvl>
    <w:lvl w:ilvl="5" w:tplc="0409001B" w:tentative="1">
      <w:start w:val="1"/>
      <w:numFmt w:val="lowerRoman"/>
      <w:lvlText w:val="%6."/>
      <w:lvlJc w:val="right"/>
      <w:pPr>
        <w:ind w:left="3174" w:hanging="480"/>
      </w:pPr>
    </w:lvl>
    <w:lvl w:ilvl="6" w:tplc="0409000F" w:tentative="1">
      <w:start w:val="1"/>
      <w:numFmt w:val="decimal"/>
      <w:lvlText w:val="%7."/>
      <w:lvlJc w:val="left"/>
      <w:pPr>
        <w:ind w:left="3654" w:hanging="480"/>
      </w:pPr>
    </w:lvl>
    <w:lvl w:ilvl="7" w:tplc="04090019" w:tentative="1">
      <w:start w:val="1"/>
      <w:numFmt w:val="ideographTraditional"/>
      <w:lvlText w:val="%8、"/>
      <w:lvlJc w:val="left"/>
      <w:pPr>
        <w:ind w:left="4134" w:hanging="480"/>
      </w:pPr>
    </w:lvl>
    <w:lvl w:ilvl="8" w:tplc="0409001B" w:tentative="1">
      <w:start w:val="1"/>
      <w:numFmt w:val="lowerRoman"/>
      <w:lvlText w:val="%9."/>
      <w:lvlJc w:val="right"/>
      <w:pPr>
        <w:ind w:left="4614" w:hanging="480"/>
      </w:pPr>
    </w:lvl>
  </w:abstractNum>
  <w:abstractNum w:abstractNumId="14" w15:restartNumberingAfterBreak="0">
    <w:nsid w:val="13B06982"/>
    <w:multiLevelType w:val="hybridMultilevel"/>
    <w:tmpl w:val="5F1E6A44"/>
    <w:lvl w:ilvl="0" w:tplc="812C1308">
      <w:start w:val="1"/>
      <w:numFmt w:val="taiwaneseCountingThousand"/>
      <w:lvlText w:val="%1、"/>
      <w:lvlJc w:val="left"/>
      <w:pPr>
        <w:ind w:left="660" w:hanging="6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4D67C7B"/>
    <w:multiLevelType w:val="hybridMultilevel"/>
    <w:tmpl w:val="63064C38"/>
    <w:lvl w:ilvl="0" w:tplc="6DEEB2FE">
      <w:start w:val="1"/>
      <w:numFmt w:val="taiwaneseCountingThousand"/>
      <w:suff w:val="nothing"/>
      <w:lvlText w:val="%1、"/>
      <w:lvlJc w:val="left"/>
      <w:pPr>
        <w:ind w:left="734" w:hanging="720"/>
      </w:pPr>
      <w:rPr>
        <w:rFonts w:hint="default"/>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16" w15:restartNumberingAfterBreak="0">
    <w:nsid w:val="15686CC9"/>
    <w:multiLevelType w:val="multilevel"/>
    <w:tmpl w:val="FC4474C2"/>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16853377"/>
    <w:multiLevelType w:val="hybridMultilevel"/>
    <w:tmpl w:val="63064C38"/>
    <w:lvl w:ilvl="0" w:tplc="6DEEB2FE">
      <w:start w:val="1"/>
      <w:numFmt w:val="taiwaneseCountingThousand"/>
      <w:suff w:val="nothing"/>
      <w:lvlText w:val="%1、"/>
      <w:lvlJc w:val="left"/>
      <w:pPr>
        <w:ind w:left="734" w:hanging="720"/>
      </w:pPr>
      <w:rPr>
        <w:rFonts w:hint="default"/>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18" w15:restartNumberingAfterBreak="0">
    <w:nsid w:val="16B43A8D"/>
    <w:multiLevelType w:val="hybridMultilevel"/>
    <w:tmpl w:val="25DE2B00"/>
    <w:lvl w:ilvl="0" w:tplc="EE9C5EFA">
      <w:start w:val="1"/>
      <w:numFmt w:val="taiwaneseCountingThousand"/>
      <w:suff w:val="nothing"/>
      <w:lvlText w:val="（%1）"/>
      <w:lvlJc w:val="left"/>
      <w:pPr>
        <w:ind w:left="1080" w:hanging="108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9" w15:restartNumberingAfterBreak="0">
    <w:nsid w:val="182907C8"/>
    <w:multiLevelType w:val="hybridMultilevel"/>
    <w:tmpl w:val="A51CCB44"/>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0" w15:restartNumberingAfterBreak="0">
    <w:nsid w:val="18A65A7A"/>
    <w:multiLevelType w:val="hybridMultilevel"/>
    <w:tmpl w:val="76727AE6"/>
    <w:lvl w:ilvl="0" w:tplc="CCF8EA1A">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1612" w:hanging="480"/>
      </w:pPr>
    </w:lvl>
    <w:lvl w:ilvl="2" w:tplc="0409001B" w:tentative="1">
      <w:start w:val="1"/>
      <w:numFmt w:val="lowerRoman"/>
      <w:lvlText w:val="%3."/>
      <w:lvlJc w:val="right"/>
      <w:pPr>
        <w:ind w:left="2092" w:hanging="480"/>
      </w:pPr>
    </w:lvl>
    <w:lvl w:ilvl="3" w:tplc="0409000F" w:tentative="1">
      <w:start w:val="1"/>
      <w:numFmt w:val="decimal"/>
      <w:lvlText w:val="%4."/>
      <w:lvlJc w:val="left"/>
      <w:pPr>
        <w:ind w:left="2572" w:hanging="480"/>
      </w:pPr>
    </w:lvl>
    <w:lvl w:ilvl="4" w:tplc="04090019" w:tentative="1">
      <w:start w:val="1"/>
      <w:numFmt w:val="ideographTraditional"/>
      <w:lvlText w:val="%5、"/>
      <w:lvlJc w:val="left"/>
      <w:pPr>
        <w:ind w:left="3052" w:hanging="480"/>
      </w:pPr>
    </w:lvl>
    <w:lvl w:ilvl="5" w:tplc="0409001B" w:tentative="1">
      <w:start w:val="1"/>
      <w:numFmt w:val="lowerRoman"/>
      <w:lvlText w:val="%6."/>
      <w:lvlJc w:val="right"/>
      <w:pPr>
        <w:ind w:left="3532" w:hanging="480"/>
      </w:pPr>
    </w:lvl>
    <w:lvl w:ilvl="6" w:tplc="0409000F" w:tentative="1">
      <w:start w:val="1"/>
      <w:numFmt w:val="decimal"/>
      <w:lvlText w:val="%7."/>
      <w:lvlJc w:val="left"/>
      <w:pPr>
        <w:ind w:left="4012" w:hanging="480"/>
      </w:pPr>
    </w:lvl>
    <w:lvl w:ilvl="7" w:tplc="04090019" w:tentative="1">
      <w:start w:val="1"/>
      <w:numFmt w:val="ideographTraditional"/>
      <w:lvlText w:val="%8、"/>
      <w:lvlJc w:val="left"/>
      <w:pPr>
        <w:ind w:left="4492" w:hanging="480"/>
      </w:pPr>
    </w:lvl>
    <w:lvl w:ilvl="8" w:tplc="0409001B" w:tentative="1">
      <w:start w:val="1"/>
      <w:numFmt w:val="lowerRoman"/>
      <w:lvlText w:val="%9."/>
      <w:lvlJc w:val="right"/>
      <w:pPr>
        <w:ind w:left="4972" w:hanging="480"/>
      </w:pPr>
    </w:lvl>
  </w:abstractNum>
  <w:abstractNum w:abstractNumId="21" w15:restartNumberingAfterBreak="0">
    <w:nsid w:val="1B84404B"/>
    <w:multiLevelType w:val="hybridMultilevel"/>
    <w:tmpl w:val="86ECA030"/>
    <w:lvl w:ilvl="0" w:tplc="BC64CFD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2" w15:restartNumberingAfterBreak="0">
    <w:nsid w:val="1BEC68CB"/>
    <w:multiLevelType w:val="hybridMultilevel"/>
    <w:tmpl w:val="4C6C3B28"/>
    <w:lvl w:ilvl="0" w:tplc="1CEE287C">
      <w:start w:val="1"/>
      <w:numFmt w:val="taiwaneseCountingThousand"/>
      <w:lvlText w:val="（%1）"/>
      <w:lvlJc w:val="left"/>
      <w:pPr>
        <w:ind w:left="1275" w:hanging="795"/>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1CAB0AB5"/>
    <w:multiLevelType w:val="multilevel"/>
    <w:tmpl w:val="D56E7B34"/>
    <w:lvl w:ilvl="0">
      <w:start w:val="1"/>
      <w:numFmt w:val="taiwaneseCountingThousand"/>
      <w:lvlText w:val="（%1）"/>
      <w:lvlJc w:val="left"/>
      <w:pPr>
        <w:ind w:left="1560" w:hanging="10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4" w15:restartNumberingAfterBreak="0">
    <w:nsid w:val="1DAD1AAA"/>
    <w:multiLevelType w:val="multilevel"/>
    <w:tmpl w:val="FC4474C2"/>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1E305A64"/>
    <w:multiLevelType w:val="hybridMultilevel"/>
    <w:tmpl w:val="F8EE5A2A"/>
    <w:lvl w:ilvl="0" w:tplc="276007FE">
      <w:start w:val="1"/>
      <w:numFmt w:val="decimal"/>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26" w15:restartNumberingAfterBreak="0">
    <w:nsid w:val="210E506A"/>
    <w:multiLevelType w:val="hybridMultilevel"/>
    <w:tmpl w:val="AFF040DC"/>
    <w:lvl w:ilvl="0" w:tplc="9B3A91D8">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21D0521A"/>
    <w:multiLevelType w:val="hybridMultilevel"/>
    <w:tmpl w:val="4630FA10"/>
    <w:lvl w:ilvl="0" w:tplc="BEB6046E">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24BC6F3B"/>
    <w:multiLevelType w:val="hybridMultilevel"/>
    <w:tmpl w:val="6A8860D0"/>
    <w:lvl w:ilvl="0" w:tplc="BFE2EF3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24F450C9"/>
    <w:multiLevelType w:val="hybridMultilevel"/>
    <w:tmpl w:val="4C6C3B28"/>
    <w:lvl w:ilvl="0" w:tplc="1CEE287C">
      <w:start w:val="1"/>
      <w:numFmt w:val="taiwaneseCountingThousand"/>
      <w:lvlText w:val="（%1）"/>
      <w:lvlJc w:val="left"/>
      <w:pPr>
        <w:ind w:left="1275" w:hanging="795"/>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26861779"/>
    <w:multiLevelType w:val="singleLevel"/>
    <w:tmpl w:val="4D4489AA"/>
    <w:lvl w:ilvl="0">
      <w:start w:val="1"/>
      <w:numFmt w:val="taiwaneseCountingThousand"/>
      <w:pStyle w:val="a0"/>
      <w:lvlText w:val="%1、"/>
      <w:lvlJc w:val="left"/>
      <w:pPr>
        <w:tabs>
          <w:tab w:val="num" w:pos="720"/>
        </w:tabs>
        <w:ind w:left="284" w:hanging="284"/>
      </w:pPr>
      <w:rPr>
        <w:rFonts w:hint="eastAsia"/>
      </w:rPr>
    </w:lvl>
  </w:abstractNum>
  <w:abstractNum w:abstractNumId="31" w15:restartNumberingAfterBreak="0">
    <w:nsid w:val="28DB18F7"/>
    <w:multiLevelType w:val="multilevel"/>
    <w:tmpl w:val="CD2A6D82"/>
    <w:lvl w:ilvl="0">
      <w:start w:val="1"/>
      <w:numFmt w:val="taiwaneseCountingThousand"/>
      <w:lvlText w:val="（%1）"/>
      <w:lvlJc w:val="left"/>
      <w:pPr>
        <w:ind w:left="1560" w:hanging="10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2" w15:restartNumberingAfterBreak="0">
    <w:nsid w:val="297F31E9"/>
    <w:multiLevelType w:val="hybridMultilevel"/>
    <w:tmpl w:val="18C47C2C"/>
    <w:lvl w:ilvl="0" w:tplc="0C044CCE">
      <w:start w:val="1"/>
      <w:numFmt w:val="taiwaneseCountingThousand"/>
      <w:suff w:val="nothing"/>
      <w:lvlText w:val="%1、"/>
      <w:lvlJc w:val="left"/>
      <w:pPr>
        <w:ind w:left="1200" w:hanging="720"/>
      </w:pPr>
      <w:rPr>
        <w:rFonts w:hint="default"/>
        <w:b/>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2A460343"/>
    <w:multiLevelType w:val="hybridMultilevel"/>
    <w:tmpl w:val="8F20588A"/>
    <w:lvl w:ilvl="0" w:tplc="9692CB22">
      <w:start w:val="1"/>
      <w:numFmt w:val="ideographLegalTraditional"/>
      <w:pStyle w:val="--"/>
      <w:lvlText w:val="%1、"/>
      <w:lvlJc w:val="left"/>
      <w:pPr>
        <w:ind w:left="750" w:hanging="750"/>
      </w:pPr>
      <w:rPr>
        <w:rFonts w:ascii="標楷體" w:eastAsia="標楷體" w:hAnsi="標楷體" w:hint="default"/>
      </w:rPr>
    </w:lvl>
    <w:lvl w:ilvl="1" w:tplc="175A5576">
      <w:start w:val="1"/>
      <w:numFmt w:val="taiwaneseCountingThousand"/>
      <w:lvlText w:val="%2、"/>
      <w:lvlJc w:val="left"/>
      <w:pPr>
        <w:ind w:left="1200" w:hanging="720"/>
      </w:pPr>
      <w:rPr>
        <w:rFonts w:hint="default"/>
      </w:rPr>
    </w:lvl>
    <w:lvl w:ilvl="2" w:tplc="1E726F70">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2CA72DA3"/>
    <w:multiLevelType w:val="multilevel"/>
    <w:tmpl w:val="26166870"/>
    <w:lvl w:ilvl="0">
      <w:start w:val="1"/>
      <w:numFmt w:val="taiwaneseCountingThousand"/>
      <w:lvlText w:val="（%1）"/>
      <w:lvlJc w:val="left"/>
      <w:pPr>
        <w:ind w:left="1560" w:hanging="10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35" w15:restartNumberingAfterBreak="0">
    <w:nsid w:val="2E1D4888"/>
    <w:multiLevelType w:val="hybridMultilevel"/>
    <w:tmpl w:val="EC3446CE"/>
    <w:lvl w:ilvl="0" w:tplc="472E06F8">
      <w:start w:val="1"/>
      <w:numFmt w:val="decimal"/>
      <w:pStyle w:val="a1"/>
      <w:lvlText w:val="%1、"/>
      <w:lvlJc w:val="left"/>
      <w:pPr>
        <w:ind w:left="967" w:hanging="480"/>
      </w:pPr>
      <w:rPr>
        <w:rFonts w:hint="eastAsia"/>
      </w:rPr>
    </w:lvl>
    <w:lvl w:ilvl="1" w:tplc="04090019" w:tentative="1">
      <w:start w:val="1"/>
      <w:numFmt w:val="ideographTraditional"/>
      <w:lvlText w:val="%2、"/>
      <w:lvlJc w:val="left"/>
      <w:pPr>
        <w:ind w:left="1447" w:hanging="480"/>
      </w:pPr>
    </w:lvl>
    <w:lvl w:ilvl="2" w:tplc="0409001B" w:tentative="1">
      <w:start w:val="1"/>
      <w:numFmt w:val="lowerRoman"/>
      <w:lvlText w:val="%3."/>
      <w:lvlJc w:val="right"/>
      <w:pPr>
        <w:ind w:left="1927" w:hanging="480"/>
      </w:pPr>
    </w:lvl>
    <w:lvl w:ilvl="3" w:tplc="0409000F" w:tentative="1">
      <w:start w:val="1"/>
      <w:numFmt w:val="decimal"/>
      <w:lvlText w:val="%4."/>
      <w:lvlJc w:val="left"/>
      <w:pPr>
        <w:ind w:left="2407" w:hanging="480"/>
      </w:pPr>
    </w:lvl>
    <w:lvl w:ilvl="4" w:tplc="04090019" w:tentative="1">
      <w:start w:val="1"/>
      <w:numFmt w:val="ideographTraditional"/>
      <w:lvlText w:val="%5、"/>
      <w:lvlJc w:val="left"/>
      <w:pPr>
        <w:ind w:left="2887" w:hanging="480"/>
      </w:pPr>
    </w:lvl>
    <w:lvl w:ilvl="5" w:tplc="0409001B" w:tentative="1">
      <w:start w:val="1"/>
      <w:numFmt w:val="lowerRoman"/>
      <w:lvlText w:val="%6."/>
      <w:lvlJc w:val="right"/>
      <w:pPr>
        <w:ind w:left="3367" w:hanging="480"/>
      </w:pPr>
    </w:lvl>
    <w:lvl w:ilvl="6" w:tplc="0409000F" w:tentative="1">
      <w:start w:val="1"/>
      <w:numFmt w:val="decimal"/>
      <w:lvlText w:val="%7."/>
      <w:lvlJc w:val="left"/>
      <w:pPr>
        <w:ind w:left="3847" w:hanging="480"/>
      </w:pPr>
    </w:lvl>
    <w:lvl w:ilvl="7" w:tplc="04090019" w:tentative="1">
      <w:start w:val="1"/>
      <w:numFmt w:val="ideographTraditional"/>
      <w:lvlText w:val="%8、"/>
      <w:lvlJc w:val="left"/>
      <w:pPr>
        <w:ind w:left="4327" w:hanging="480"/>
      </w:pPr>
    </w:lvl>
    <w:lvl w:ilvl="8" w:tplc="0409001B" w:tentative="1">
      <w:start w:val="1"/>
      <w:numFmt w:val="lowerRoman"/>
      <w:lvlText w:val="%9."/>
      <w:lvlJc w:val="right"/>
      <w:pPr>
        <w:ind w:left="4807" w:hanging="480"/>
      </w:pPr>
    </w:lvl>
  </w:abstractNum>
  <w:abstractNum w:abstractNumId="36" w15:restartNumberingAfterBreak="0">
    <w:nsid w:val="2EB21274"/>
    <w:multiLevelType w:val="hybridMultilevel"/>
    <w:tmpl w:val="788AA4A2"/>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7" w15:restartNumberingAfterBreak="0">
    <w:nsid w:val="30876F99"/>
    <w:multiLevelType w:val="hybridMultilevel"/>
    <w:tmpl w:val="847E452E"/>
    <w:lvl w:ilvl="0" w:tplc="62F012B2">
      <w:start w:val="1"/>
      <w:numFmt w:val="ideographLegalTraditional"/>
      <w:lvlText w:val="%1、"/>
      <w:lvlJc w:val="left"/>
      <w:pPr>
        <w:ind w:left="720" w:hanging="720"/>
      </w:pPr>
      <w:rPr>
        <w:rFonts w:hint="default"/>
      </w:rPr>
    </w:lvl>
    <w:lvl w:ilvl="1" w:tplc="40627F6A">
      <w:start w:val="1"/>
      <w:numFmt w:val="taiwaneseCountingThousand"/>
      <w:lvlText w:val="%2、"/>
      <w:lvlJc w:val="left"/>
      <w:pPr>
        <w:ind w:left="1004" w:hanging="720"/>
      </w:pPr>
      <w:rPr>
        <w:rFonts w:hint="default"/>
      </w:rPr>
    </w:lvl>
    <w:lvl w:ilvl="2" w:tplc="DFC2C344">
      <w:start w:val="1"/>
      <w:numFmt w:val="decimal"/>
      <w:lvlText w:val="%3."/>
      <w:lvlJc w:val="left"/>
      <w:pPr>
        <w:ind w:left="1320" w:hanging="360"/>
      </w:pPr>
      <w:rPr>
        <w:rFonts w:hint="default"/>
      </w:rPr>
    </w:lvl>
    <w:lvl w:ilvl="3" w:tplc="13286988">
      <w:start w:val="1"/>
      <w:numFmt w:val="taiwaneseCountingThousand"/>
      <w:lvlText w:val="(%4)"/>
      <w:lvlJc w:val="left"/>
      <w:pPr>
        <w:ind w:left="1288" w:hanging="720"/>
      </w:pPr>
      <w:rPr>
        <w:rFonts w:hint="default"/>
      </w:rPr>
    </w:lvl>
    <w:lvl w:ilvl="4" w:tplc="52FA97FE">
      <w:start w:val="1"/>
      <w:numFmt w:val="decimal"/>
      <w:lvlText w:val="%5、"/>
      <w:lvlJc w:val="left"/>
      <w:pPr>
        <w:ind w:left="2705" w:hanging="72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31DF67DF"/>
    <w:multiLevelType w:val="hybridMultilevel"/>
    <w:tmpl w:val="4C6C3B28"/>
    <w:lvl w:ilvl="0" w:tplc="1CEE287C">
      <w:start w:val="1"/>
      <w:numFmt w:val="taiwaneseCountingThousand"/>
      <w:lvlText w:val="（%1）"/>
      <w:lvlJc w:val="left"/>
      <w:pPr>
        <w:ind w:left="1275" w:hanging="795"/>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33667EA3"/>
    <w:multiLevelType w:val="hybridMultilevel"/>
    <w:tmpl w:val="63064C38"/>
    <w:lvl w:ilvl="0" w:tplc="6DEEB2FE">
      <w:start w:val="1"/>
      <w:numFmt w:val="taiwaneseCountingThousand"/>
      <w:suff w:val="nothing"/>
      <w:lvlText w:val="%1、"/>
      <w:lvlJc w:val="left"/>
      <w:pPr>
        <w:ind w:left="734" w:hanging="720"/>
      </w:pPr>
      <w:rPr>
        <w:rFonts w:hint="default"/>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40" w15:restartNumberingAfterBreak="0">
    <w:nsid w:val="33C72539"/>
    <w:multiLevelType w:val="hybridMultilevel"/>
    <w:tmpl w:val="F3D4D440"/>
    <w:lvl w:ilvl="0" w:tplc="D50EF45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35B10616"/>
    <w:multiLevelType w:val="hybridMultilevel"/>
    <w:tmpl w:val="E5323D7E"/>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2" w15:restartNumberingAfterBreak="0">
    <w:nsid w:val="35F65AEF"/>
    <w:multiLevelType w:val="hybridMultilevel"/>
    <w:tmpl w:val="7F58B808"/>
    <w:lvl w:ilvl="0" w:tplc="45C03C88">
      <w:start w:val="1"/>
      <w:numFmt w:val="decimal"/>
      <w:suff w:val="nothing"/>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379F0182"/>
    <w:multiLevelType w:val="hybridMultilevel"/>
    <w:tmpl w:val="5A282872"/>
    <w:lvl w:ilvl="0" w:tplc="1E723EEC">
      <w:start w:val="1"/>
      <w:numFmt w:val="ideographLegalTraditional"/>
      <w:suff w:val="nothing"/>
      <w:lvlText w:val="%1、"/>
      <w:lvlJc w:val="left"/>
      <w:pPr>
        <w:ind w:left="720" w:hanging="720"/>
      </w:pPr>
      <w:rPr>
        <w:rFonts w:cstheme="minorBidi"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38D203BD"/>
    <w:multiLevelType w:val="hybridMultilevel"/>
    <w:tmpl w:val="06765CC6"/>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5" w15:restartNumberingAfterBreak="0">
    <w:nsid w:val="3BDF0DA8"/>
    <w:multiLevelType w:val="multilevel"/>
    <w:tmpl w:val="F920D8BC"/>
    <w:lvl w:ilvl="0">
      <w:start w:val="1"/>
      <w:numFmt w:val="taiwaneseCountingThousand"/>
      <w:pStyle w:val="a2"/>
      <w:suff w:val="nothing"/>
      <w:lvlText w:val="(%1)"/>
      <w:lvlJc w:val="left"/>
      <w:pPr>
        <w:ind w:left="1038" w:hanging="539"/>
      </w:pPr>
      <w:rPr>
        <w:rFonts w:hint="eastAsia"/>
        <w:color w:val="auto"/>
      </w:rPr>
    </w:lvl>
    <w:lvl w:ilvl="1">
      <w:start w:val="1"/>
      <w:numFmt w:val="decimal"/>
      <w:suff w:val="nothing"/>
      <w:lvlText w:val="%2."/>
      <w:lvlJc w:val="left"/>
      <w:pPr>
        <w:ind w:left="1304" w:hanging="255"/>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15:restartNumberingAfterBreak="0">
    <w:nsid w:val="3DCE4B0C"/>
    <w:multiLevelType w:val="hybridMultilevel"/>
    <w:tmpl w:val="880A8CCC"/>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7" w15:restartNumberingAfterBreak="0">
    <w:nsid w:val="3E934315"/>
    <w:multiLevelType w:val="multilevel"/>
    <w:tmpl w:val="17A468F2"/>
    <w:lvl w:ilvl="0">
      <w:start w:val="1"/>
      <w:numFmt w:val="taiwaneseCountingThousand"/>
      <w:suff w:val="nothing"/>
      <w:lvlText w:val="（%1）"/>
      <w:lvlJc w:val="left"/>
      <w:pPr>
        <w:ind w:left="1080" w:hanging="1080"/>
      </w:pPr>
      <w:rPr>
        <w:rFonts w:ascii="Calibri" w:hAnsi="Calibri" w:hint="eastAsia"/>
        <w:b/>
        <w:color w:val="auto"/>
        <w:sz w:val="32"/>
        <w:lang w:val="en-US"/>
      </w:rPr>
    </w:lvl>
    <w:lvl w:ilvl="1">
      <w:start w:val="1"/>
      <w:numFmt w:val="ideographTraditional"/>
      <w:lvlText w:val="%2、"/>
      <w:lvlJc w:val="left"/>
      <w:pPr>
        <w:ind w:left="479" w:hanging="480"/>
      </w:pPr>
      <w:rPr>
        <w:rFonts w:hint="eastAsia"/>
      </w:rPr>
    </w:lvl>
    <w:lvl w:ilvl="2">
      <w:start w:val="1"/>
      <w:numFmt w:val="lowerRoman"/>
      <w:lvlText w:val="%3."/>
      <w:lvlJc w:val="right"/>
      <w:pPr>
        <w:ind w:left="959" w:hanging="480"/>
      </w:pPr>
      <w:rPr>
        <w:rFonts w:hint="eastAsia"/>
      </w:rPr>
    </w:lvl>
    <w:lvl w:ilvl="3">
      <w:start w:val="1"/>
      <w:numFmt w:val="decimal"/>
      <w:suff w:val="nothing"/>
      <w:lvlText w:val="%4."/>
      <w:lvlJc w:val="left"/>
      <w:pPr>
        <w:ind w:left="1439" w:hanging="480"/>
      </w:pPr>
      <w:rPr>
        <w:rFonts w:hint="eastAsia"/>
      </w:rPr>
    </w:lvl>
    <w:lvl w:ilvl="4">
      <w:start w:val="1"/>
      <w:numFmt w:val="ideographTraditional"/>
      <w:lvlText w:val="%5、"/>
      <w:lvlJc w:val="left"/>
      <w:pPr>
        <w:ind w:left="1919" w:hanging="480"/>
      </w:pPr>
      <w:rPr>
        <w:rFonts w:hint="eastAsia"/>
      </w:rPr>
    </w:lvl>
    <w:lvl w:ilvl="5">
      <w:start w:val="1"/>
      <w:numFmt w:val="lowerRoman"/>
      <w:lvlText w:val="%6."/>
      <w:lvlJc w:val="right"/>
      <w:pPr>
        <w:ind w:left="2399" w:hanging="480"/>
      </w:pPr>
      <w:rPr>
        <w:rFonts w:hint="eastAsia"/>
      </w:rPr>
    </w:lvl>
    <w:lvl w:ilvl="6">
      <w:start w:val="1"/>
      <w:numFmt w:val="decimal"/>
      <w:lvlText w:val="%7."/>
      <w:lvlJc w:val="left"/>
      <w:pPr>
        <w:ind w:left="2879" w:hanging="480"/>
      </w:pPr>
      <w:rPr>
        <w:rFonts w:hint="eastAsia"/>
      </w:rPr>
    </w:lvl>
    <w:lvl w:ilvl="7">
      <w:start w:val="1"/>
      <w:numFmt w:val="ideographTraditional"/>
      <w:lvlText w:val="%8、"/>
      <w:lvlJc w:val="left"/>
      <w:pPr>
        <w:ind w:left="3359" w:hanging="480"/>
      </w:pPr>
      <w:rPr>
        <w:rFonts w:hint="eastAsia"/>
      </w:rPr>
    </w:lvl>
    <w:lvl w:ilvl="8">
      <w:start w:val="1"/>
      <w:numFmt w:val="lowerRoman"/>
      <w:lvlText w:val="%9."/>
      <w:lvlJc w:val="right"/>
      <w:pPr>
        <w:ind w:left="3839" w:hanging="480"/>
      </w:pPr>
      <w:rPr>
        <w:rFonts w:hint="eastAsia"/>
      </w:rPr>
    </w:lvl>
  </w:abstractNum>
  <w:abstractNum w:abstractNumId="48" w15:restartNumberingAfterBreak="0">
    <w:nsid w:val="44BF2464"/>
    <w:multiLevelType w:val="hybridMultilevel"/>
    <w:tmpl w:val="18C47C2C"/>
    <w:lvl w:ilvl="0" w:tplc="0C044CCE">
      <w:start w:val="1"/>
      <w:numFmt w:val="taiwaneseCountingThousand"/>
      <w:suff w:val="nothing"/>
      <w:lvlText w:val="%1、"/>
      <w:lvlJc w:val="left"/>
      <w:pPr>
        <w:ind w:left="1200" w:hanging="720"/>
      </w:pPr>
      <w:rPr>
        <w:rFonts w:hint="default"/>
        <w:b/>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9" w15:restartNumberingAfterBreak="0">
    <w:nsid w:val="4756656B"/>
    <w:multiLevelType w:val="hybridMultilevel"/>
    <w:tmpl w:val="788AA4A2"/>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0" w15:restartNumberingAfterBreak="0">
    <w:nsid w:val="48E70103"/>
    <w:multiLevelType w:val="multilevel"/>
    <w:tmpl w:val="28D83CBE"/>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1" w15:restartNumberingAfterBreak="0">
    <w:nsid w:val="491F7985"/>
    <w:multiLevelType w:val="hybridMultilevel"/>
    <w:tmpl w:val="0430EE34"/>
    <w:lvl w:ilvl="0" w:tplc="D7846CF6">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49F86EB4"/>
    <w:multiLevelType w:val="hybridMultilevel"/>
    <w:tmpl w:val="63064C38"/>
    <w:lvl w:ilvl="0" w:tplc="6DEEB2FE">
      <w:start w:val="1"/>
      <w:numFmt w:val="taiwaneseCountingThousand"/>
      <w:suff w:val="nothing"/>
      <w:lvlText w:val="%1、"/>
      <w:lvlJc w:val="left"/>
      <w:pPr>
        <w:ind w:left="734" w:hanging="720"/>
      </w:pPr>
      <w:rPr>
        <w:rFonts w:hint="default"/>
      </w:rPr>
    </w:lvl>
    <w:lvl w:ilvl="1" w:tplc="04090019" w:tentative="1">
      <w:start w:val="1"/>
      <w:numFmt w:val="ideographTraditional"/>
      <w:lvlText w:val="%2、"/>
      <w:lvlJc w:val="left"/>
      <w:pPr>
        <w:ind w:left="974" w:hanging="480"/>
      </w:pPr>
    </w:lvl>
    <w:lvl w:ilvl="2" w:tplc="0409001B" w:tentative="1">
      <w:start w:val="1"/>
      <w:numFmt w:val="lowerRoman"/>
      <w:lvlText w:val="%3."/>
      <w:lvlJc w:val="right"/>
      <w:pPr>
        <w:ind w:left="1454" w:hanging="480"/>
      </w:pPr>
    </w:lvl>
    <w:lvl w:ilvl="3" w:tplc="0409000F" w:tentative="1">
      <w:start w:val="1"/>
      <w:numFmt w:val="decimal"/>
      <w:lvlText w:val="%4."/>
      <w:lvlJc w:val="left"/>
      <w:pPr>
        <w:ind w:left="1934" w:hanging="480"/>
      </w:pPr>
    </w:lvl>
    <w:lvl w:ilvl="4" w:tplc="04090019" w:tentative="1">
      <w:start w:val="1"/>
      <w:numFmt w:val="ideographTraditional"/>
      <w:lvlText w:val="%5、"/>
      <w:lvlJc w:val="left"/>
      <w:pPr>
        <w:ind w:left="2414" w:hanging="480"/>
      </w:pPr>
    </w:lvl>
    <w:lvl w:ilvl="5" w:tplc="0409001B" w:tentative="1">
      <w:start w:val="1"/>
      <w:numFmt w:val="lowerRoman"/>
      <w:lvlText w:val="%6."/>
      <w:lvlJc w:val="right"/>
      <w:pPr>
        <w:ind w:left="2894" w:hanging="480"/>
      </w:pPr>
    </w:lvl>
    <w:lvl w:ilvl="6" w:tplc="0409000F" w:tentative="1">
      <w:start w:val="1"/>
      <w:numFmt w:val="decimal"/>
      <w:lvlText w:val="%7."/>
      <w:lvlJc w:val="left"/>
      <w:pPr>
        <w:ind w:left="3374" w:hanging="480"/>
      </w:pPr>
    </w:lvl>
    <w:lvl w:ilvl="7" w:tplc="04090019" w:tentative="1">
      <w:start w:val="1"/>
      <w:numFmt w:val="ideographTraditional"/>
      <w:lvlText w:val="%8、"/>
      <w:lvlJc w:val="left"/>
      <w:pPr>
        <w:ind w:left="3854" w:hanging="480"/>
      </w:pPr>
    </w:lvl>
    <w:lvl w:ilvl="8" w:tplc="0409001B" w:tentative="1">
      <w:start w:val="1"/>
      <w:numFmt w:val="lowerRoman"/>
      <w:lvlText w:val="%9."/>
      <w:lvlJc w:val="right"/>
      <w:pPr>
        <w:ind w:left="4334" w:hanging="480"/>
      </w:pPr>
    </w:lvl>
  </w:abstractNum>
  <w:abstractNum w:abstractNumId="53" w15:restartNumberingAfterBreak="0">
    <w:nsid w:val="4A567DA2"/>
    <w:multiLevelType w:val="hybridMultilevel"/>
    <w:tmpl w:val="EFA2B116"/>
    <w:styleLink w:val="217"/>
    <w:lvl w:ilvl="0" w:tplc="4A5C1BCE">
      <w:start w:val="33"/>
      <w:numFmt w:val="decimal"/>
      <w:lvlText w:val="第%1項"/>
      <w:lvlJc w:val="left"/>
      <w:pPr>
        <w:tabs>
          <w:tab w:val="num" w:pos="1425"/>
        </w:tabs>
        <w:ind w:left="1425" w:hanging="142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4" w15:restartNumberingAfterBreak="0">
    <w:nsid w:val="4AB11EE7"/>
    <w:multiLevelType w:val="multilevel"/>
    <w:tmpl w:val="FC4474C2"/>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5" w15:restartNumberingAfterBreak="0">
    <w:nsid w:val="4D6979BB"/>
    <w:multiLevelType w:val="hybridMultilevel"/>
    <w:tmpl w:val="1F0A11BC"/>
    <w:lvl w:ilvl="0" w:tplc="95A66A34">
      <w:start w:val="1"/>
      <w:numFmt w:val="taiwaneseCountingThousand"/>
      <w:lvlRestart w:val="0"/>
      <w:pStyle w:val="4"/>
      <w:suff w:val="nothing"/>
      <w:lvlText w:val="(%1)"/>
      <w:lvlJc w:val="left"/>
      <w:pPr>
        <w:ind w:left="1759" w:hanging="482"/>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6" w15:restartNumberingAfterBreak="0">
    <w:nsid w:val="4F1947F7"/>
    <w:multiLevelType w:val="hybridMultilevel"/>
    <w:tmpl w:val="F8EE5A2A"/>
    <w:lvl w:ilvl="0" w:tplc="276007FE">
      <w:start w:val="1"/>
      <w:numFmt w:val="decimal"/>
      <w:lvlText w:val="(%1)"/>
      <w:lvlJc w:val="left"/>
      <w:pPr>
        <w:ind w:left="1727" w:hanging="480"/>
      </w:pPr>
      <w:rPr>
        <w:rFonts w:hint="eastAsia"/>
      </w:rPr>
    </w:lvl>
    <w:lvl w:ilvl="1" w:tplc="04090019" w:tentative="1">
      <w:start w:val="1"/>
      <w:numFmt w:val="ideographTraditional"/>
      <w:lvlText w:val="%2、"/>
      <w:lvlJc w:val="left"/>
      <w:pPr>
        <w:ind w:left="2207" w:hanging="480"/>
      </w:pPr>
    </w:lvl>
    <w:lvl w:ilvl="2" w:tplc="0409001B" w:tentative="1">
      <w:start w:val="1"/>
      <w:numFmt w:val="lowerRoman"/>
      <w:lvlText w:val="%3."/>
      <w:lvlJc w:val="right"/>
      <w:pPr>
        <w:ind w:left="2687" w:hanging="480"/>
      </w:pPr>
    </w:lvl>
    <w:lvl w:ilvl="3" w:tplc="0409000F" w:tentative="1">
      <w:start w:val="1"/>
      <w:numFmt w:val="decimal"/>
      <w:lvlText w:val="%4."/>
      <w:lvlJc w:val="left"/>
      <w:pPr>
        <w:ind w:left="3167" w:hanging="480"/>
      </w:pPr>
    </w:lvl>
    <w:lvl w:ilvl="4" w:tplc="04090019" w:tentative="1">
      <w:start w:val="1"/>
      <w:numFmt w:val="ideographTraditional"/>
      <w:lvlText w:val="%5、"/>
      <w:lvlJc w:val="left"/>
      <w:pPr>
        <w:ind w:left="3647" w:hanging="480"/>
      </w:pPr>
    </w:lvl>
    <w:lvl w:ilvl="5" w:tplc="0409001B" w:tentative="1">
      <w:start w:val="1"/>
      <w:numFmt w:val="lowerRoman"/>
      <w:lvlText w:val="%6."/>
      <w:lvlJc w:val="right"/>
      <w:pPr>
        <w:ind w:left="4127" w:hanging="480"/>
      </w:pPr>
    </w:lvl>
    <w:lvl w:ilvl="6" w:tplc="0409000F" w:tentative="1">
      <w:start w:val="1"/>
      <w:numFmt w:val="decimal"/>
      <w:lvlText w:val="%7."/>
      <w:lvlJc w:val="left"/>
      <w:pPr>
        <w:ind w:left="4607" w:hanging="480"/>
      </w:pPr>
    </w:lvl>
    <w:lvl w:ilvl="7" w:tplc="04090019" w:tentative="1">
      <w:start w:val="1"/>
      <w:numFmt w:val="ideographTraditional"/>
      <w:lvlText w:val="%8、"/>
      <w:lvlJc w:val="left"/>
      <w:pPr>
        <w:ind w:left="5087" w:hanging="480"/>
      </w:pPr>
    </w:lvl>
    <w:lvl w:ilvl="8" w:tplc="0409001B" w:tentative="1">
      <w:start w:val="1"/>
      <w:numFmt w:val="lowerRoman"/>
      <w:lvlText w:val="%9."/>
      <w:lvlJc w:val="right"/>
      <w:pPr>
        <w:ind w:left="5567" w:hanging="480"/>
      </w:pPr>
    </w:lvl>
  </w:abstractNum>
  <w:abstractNum w:abstractNumId="57" w15:restartNumberingAfterBreak="0">
    <w:nsid w:val="4F2915F2"/>
    <w:multiLevelType w:val="multilevel"/>
    <w:tmpl w:val="5F408034"/>
    <w:lvl w:ilvl="0">
      <w:start w:val="1"/>
      <w:numFmt w:val="taiwaneseCountingThousand"/>
      <w:lvlText w:val="%1、"/>
      <w:lvlJc w:val="left"/>
      <w:pPr>
        <w:tabs>
          <w:tab w:val="num" w:pos="641"/>
        </w:tabs>
        <w:ind w:left="652" w:hanging="652"/>
      </w:pPr>
      <w:rPr>
        <w:rFonts w:ascii="Calibri" w:eastAsia="標楷體" w:hAnsi="Calibri" w:cs="Times New Roman"/>
        <w:b/>
        <w:bCs w:val="0"/>
        <w:sz w:val="32"/>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suff w:val="nothing"/>
      <w:lvlText w:val="%4."/>
      <w:lvlJc w:val="left"/>
      <w:pPr>
        <w:ind w:left="2270" w:hanging="426"/>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58" w15:restartNumberingAfterBreak="0">
    <w:nsid w:val="510D250B"/>
    <w:multiLevelType w:val="hybridMultilevel"/>
    <w:tmpl w:val="3E48CF06"/>
    <w:lvl w:ilvl="0" w:tplc="D8A4A96E">
      <w:start w:val="1"/>
      <w:numFmt w:val="taiwaneseCountingThousand"/>
      <w:pStyle w:val="a3"/>
      <w:suff w:val="nothing"/>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510E54EF"/>
    <w:multiLevelType w:val="multilevel"/>
    <w:tmpl w:val="FC4474C2"/>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0" w15:restartNumberingAfterBreak="0">
    <w:nsid w:val="527A6C51"/>
    <w:multiLevelType w:val="hybridMultilevel"/>
    <w:tmpl w:val="CA689066"/>
    <w:lvl w:ilvl="0" w:tplc="60CCD3D2">
      <w:start w:val="1"/>
      <w:numFmt w:val="taiwaneseCountingThousand"/>
      <w:lvlText w:val="%1、"/>
      <w:lvlJc w:val="left"/>
      <w:pPr>
        <w:ind w:left="720" w:hanging="720"/>
      </w:pPr>
      <w:rPr>
        <w:rFonts w:hint="default"/>
      </w:rPr>
    </w:lvl>
    <w:lvl w:ilvl="1" w:tplc="0409000F">
      <w:start w:val="1"/>
      <w:numFmt w:val="decimal"/>
      <w:lvlText w:val="%2."/>
      <w:lvlJc w:val="left"/>
      <w:pPr>
        <w:ind w:left="960" w:hanging="480"/>
      </w:pPr>
      <w:rPr>
        <w:rFonts w:hint="default"/>
        <w:lang w:val="en-US"/>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52E13649"/>
    <w:multiLevelType w:val="hybridMultilevel"/>
    <w:tmpl w:val="C4F20432"/>
    <w:lvl w:ilvl="0" w:tplc="442A685A">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584473CE"/>
    <w:multiLevelType w:val="hybridMultilevel"/>
    <w:tmpl w:val="12A6AF90"/>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3" w15:restartNumberingAfterBreak="0">
    <w:nsid w:val="58EB6D14"/>
    <w:multiLevelType w:val="hybridMultilevel"/>
    <w:tmpl w:val="F3D4D440"/>
    <w:lvl w:ilvl="0" w:tplc="D50EF45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A8D24A8"/>
    <w:multiLevelType w:val="hybridMultilevel"/>
    <w:tmpl w:val="89C4A5D2"/>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5" w15:restartNumberingAfterBreak="0">
    <w:nsid w:val="5B2D28CB"/>
    <w:multiLevelType w:val="hybridMultilevel"/>
    <w:tmpl w:val="EDFA2BFE"/>
    <w:lvl w:ilvl="0" w:tplc="96549DF2">
      <w:start w:val="1"/>
      <w:numFmt w:val="taiwaneseCountingThousand"/>
      <w:lvlText w:val="%1、"/>
      <w:lvlJc w:val="left"/>
      <w:pPr>
        <w:ind w:left="996" w:hanging="660"/>
      </w:pPr>
      <w:rPr>
        <w:rFonts w:ascii="標楷體" w:eastAsia="標楷體" w:hAnsi="標楷體" w:cs="標楷體" w:hint="default"/>
        <w:b/>
        <w:sz w:val="32"/>
      </w:r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tentative="1">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66" w15:restartNumberingAfterBreak="0">
    <w:nsid w:val="60DF1040"/>
    <w:multiLevelType w:val="hybridMultilevel"/>
    <w:tmpl w:val="4C6C3B28"/>
    <w:lvl w:ilvl="0" w:tplc="1CEE287C">
      <w:start w:val="1"/>
      <w:numFmt w:val="taiwaneseCountingThousand"/>
      <w:lvlText w:val="（%1）"/>
      <w:lvlJc w:val="left"/>
      <w:pPr>
        <w:ind w:left="1275" w:hanging="795"/>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7" w15:restartNumberingAfterBreak="0">
    <w:nsid w:val="653E546F"/>
    <w:multiLevelType w:val="multilevel"/>
    <w:tmpl w:val="0AEC4514"/>
    <w:lvl w:ilvl="0">
      <w:start w:val="1"/>
      <w:numFmt w:val="taiwaneseCountingThousand"/>
      <w:lvlText w:val="%1、"/>
      <w:lvlJc w:val="left"/>
      <w:pPr>
        <w:ind w:left="1003" w:hanging="720"/>
      </w:pPr>
      <w:rPr>
        <w:rFonts w:ascii="標楷體" w:eastAsia="標楷體" w:hAnsi="標楷體"/>
        <w:b/>
        <w:sz w:val="32"/>
        <w:szCs w:val="32"/>
      </w:rPr>
    </w:lvl>
    <w:lvl w:ilvl="1">
      <w:start w:val="1"/>
      <w:numFmt w:val="ideographTraditional"/>
      <w:lvlText w:val="%2、"/>
      <w:lvlJc w:val="left"/>
      <w:pPr>
        <w:ind w:left="1243" w:hanging="480"/>
      </w:p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68" w15:restartNumberingAfterBreak="0">
    <w:nsid w:val="6826370C"/>
    <w:multiLevelType w:val="multilevel"/>
    <w:tmpl w:val="0AEC4514"/>
    <w:lvl w:ilvl="0">
      <w:start w:val="1"/>
      <w:numFmt w:val="taiwaneseCountingThousand"/>
      <w:lvlText w:val="%1、"/>
      <w:lvlJc w:val="left"/>
      <w:pPr>
        <w:ind w:left="1003" w:hanging="720"/>
      </w:pPr>
      <w:rPr>
        <w:rFonts w:ascii="標楷體" w:eastAsia="標楷體" w:hAnsi="標楷體"/>
        <w:b/>
        <w:sz w:val="32"/>
        <w:szCs w:val="32"/>
      </w:rPr>
    </w:lvl>
    <w:lvl w:ilvl="1">
      <w:start w:val="1"/>
      <w:numFmt w:val="ideographTraditional"/>
      <w:lvlText w:val="%2、"/>
      <w:lvlJc w:val="left"/>
      <w:pPr>
        <w:ind w:left="1243" w:hanging="480"/>
      </w:p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69" w15:restartNumberingAfterBreak="0">
    <w:nsid w:val="6BCE1B78"/>
    <w:multiLevelType w:val="hybridMultilevel"/>
    <w:tmpl w:val="0430EE34"/>
    <w:lvl w:ilvl="0" w:tplc="D7846CF6">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71215C0C"/>
    <w:multiLevelType w:val="multilevel"/>
    <w:tmpl w:val="0409001D"/>
    <w:styleLink w:val="28"/>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71" w15:restartNumberingAfterBreak="0">
    <w:nsid w:val="73CA69DE"/>
    <w:multiLevelType w:val="multilevel"/>
    <w:tmpl w:val="0409001F"/>
    <w:styleLink w:val="38"/>
    <w:lvl w:ilvl="0">
      <w:start w:val="1"/>
      <w:numFmt w:val="decimal"/>
      <w:pStyle w:val="1-1"/>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72" w15:restartNumberingAfterBreak="0">
    <w:nsid w:val="749B3CE1"/>
    <w:multiLevelType w:val="hybridMultilevel"/>
    <w:tmpl w:val="24B6DBD0"/>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3" w15:restartNumberingAfterBreak="0">
    <w:nsid w:val="753A72AC"/>
    <w:multiLevelType w:val="hybridMultilevel"/>
    <w:tmpl w:val="541E534A"/>
    <w:styleLink w:val="117"/>
    <w:lvl w:ilvl="0" w:tplc="3D2A064C">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74" w15:restartNumberingAfterBreak="0">
    <w:nsid w:val="756908A1"/>
    <w:multiLevelType w:val="hybridMultilevel"/>
    <w:tmpl w:val="7748A7A4"/>
    <w:styleLink w:val="317"/>
    <w:lvl w:ilvl="0" w:tplc="05B0A114">
      <w:start w:val="16"/>
      <w:numFmt w:val="decimal"/>
      <w:lvlText w:val="第%1項"/>
      <w:lvlJc w:val="left"/>
      <w:pPr>
        <w:tabs>
          <w:tab w:val="num" w:pos="1425"/>
        </w:tabs>
        <w:ind w:left="1425" w:hanging="142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5" w15:restartNumberingAfterBreak="0">
    <w:nsid w:val="75D003AE"/>
    <w:multiLevelType w:val="multilevel"/>
    <w:tmpl w:val="FC4474C2"/>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taiwaneseCountingThousand"/>
      <w:lvlText w:val="(%4)"/>
      <w:lvlJc w:val="lef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6" w15:restartNumberingAfterBreak="0">
    <w:nsid w:val="77AF4E47"/>
    <w:multiLevelType w:val="multilevel"/>
    <w:tmpl w:val="28D83CBE"/>
    <w:lvl w:ilvl="0">
      <w:start w:val="1"/>
      <w:numFmt w:val="ideographLegalTraditional"/>
      <w:lvlText w:val="%1、"/>
      <w:lvlJc w:val="left"/>
      <w:pPr>
        <w:ind w:left="720" w:hanging="720"/>
      </w:pPr>
      <w:rPr>
        <w:rFonts w:ascii="標楷體" w:eastAsia="標楷體" w:hAnsi="標楷體"/>
        <w:b/>
        <w:sz w:val="32"/>
        <w:szCs w:val="3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7" w15:restartNumberingAfterBreak="0">
    <w:nsid w:val="7CF8056F"/>
    <w:multiLevelType w:val="hybridMultilevel"/>
    <w:tmpl w:val="1E2A74A2"/>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8" w15:restartNumberingAfterBreak="0">
    <w:nsid w:val="7DA03388"/>
    <w:multiLevelType w:val="hybridMultilevel"/>
    <w:tmpl w:val="7F58B808"/>
    <w:lvl w:ilvl="0" w:tplc="45C03C88">
      <w:start w:val="1"/>
      <w:numFmt w:val="decimal"/>
      <w:suff w:val="nothing"/>
      <w:lvlText w:val="%1"/>
      <w:lvlJc w:val="left"/>
      <w:pPr>
        <w:ind w:left="0" w:firstLine="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7DD92EDF"/>
    <w:multiLevelType w:val="hybridMultilevel"/>
    <w:tmpl w:val="A5183DAA"/>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80" w15:restartNumberingAfterBreak="0">
    <w:nsid w:val="7E34743B"/>
    <w:multiLevelType w:val="hybridMultilevel"/>
    <w:tmpl w:val="E11EEC36"/>
    <w:lvl w:ilvl="0" w:tplc="0696060E">
      <w:start w:val="1"/>
      <w:numFmt w:val="taiwaneseCountingThousand"/>
      <w:lvlRestart w:val="0"/>
      <w:lvlText w:val="(%1)"/>
      <w:lvlJc w:val="left"/>
      <w:pPr>
        <w:ind w:left="842" w:hanging="482"/>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30"/>
  </w:num>
  <w:num w:numId="2">
    <w:abstractNumId w:val="70"/>
  </w:num>
  <w:num w:numId="3">
    <w:abstractNumId w:val="2"/>
  </w:num>
  <w:num w:numId="4">
    <w:abstractNumId w:val="71"/>
  </w:num>
  <w:num w:numId="5">
    <w:abstractNumId w:val="53"/>
  </w:num>
  <w:num w:numId="6">
    <w:abstractNumId w:val="74"/>
  </w:num>
  <w:num w:numId="7">
    <w:abstractNumId w:val="73"/>
  </w:num>
  <w:num w:numId="8">
    <w:abstractNumId w:val="35"/>
  </w:num>
  <w:num w:numId="9">
    <w:abstractNumId w:val="0"/>
  </w:num>
  <w:num w:numId="10">
    <w:abstractNumId w:val="45"/>
  </w:num>
  <w:num w:numId="11">
    <w:abstractNumId w:val="33"/>
  </w:num>
  <w:num w:numId="12">
    <w:abstractNumId w:val="58"/>
  </w:num>
  <w:num w:numId="13">
    <w:abstractNumId w:val="14"/>
  </w:num>
  <w:num w:numId="14">
    <w:abstractNumId w:val="43"/>
  </w:num>
  <w:num w:numId="15">
    <w:abstractNumId w:val="18"/>
  </w:num>
  <w:num w:numId="16">
    <w:abstractNumId w:val="8"/>
  </w:num>
  <w:num w:numId="17">
    <w:abstractNumId w:val="40"/>
  </w:num>
  <w:num w:numId="18">
    <w:abstractNumId w:val="42"/>
  </w:num>
  <w:num w:numId="19">
    <w:abstractNumId w:val="61"/>
  </w:num>
  <w:num w:numId="20">
    <w:abstractNumId w:val="57"/>
  </w:num>
  <w:num w:numId="21">
    <w:abstractNumId w:val="47"/>
  </w:num>
  <w:num w:numId="22">
    <w:abstractNumId w:val="20"/>
  </w:num>
  <w:num w:numId="23">
    <w:abstractNumId w:val="27"/>
  </w:num>
  <w:num w:numId="24">
    <w:abstractNumId w:val="51"/>
  </w:num>
  <w:num w:numId="25">
    <w:abstractNumId w:val="69"/>
  </w:num>
  <w:num w:numId="26">
    <w:abstractNumId w:val="63"/>
  </w:num>
  <w:num w:numId="27">
    <w:abstractNumId w:val="9"/>
  </w:num>
  <w:num w:numId="28">
    <w:abstractNumId w:val="78"/>
  </w:num>
  <w:num w:numId="29">
    <w:abstractNumId w:val="28"/>
  </w:num>
  <w:num w:numId="30">
    <w:abstractNumId w:val="26"/>
  </w:num>
  <w:num w:numId="31">
    <w:abstractNumId w:val="15"/>
  </w:num>
  <w:num w:numId="32">
    <w:abstractNumId w:val="13"/>
  </w:num>
  <w:num w:numId="33">
    <w:abstractNumId w:val="11"/>
  </w:num>
  <w:num w:numId="34">
    <w:abstractNumId w:val="3"/>
  </w:num>
  <w:num w:numId="35">
    <w:abstractNumId w:val="19"/>
  </w:num>
  <w:num w:numId="36">
    <w:abstractNumId w:val="4"/>
  </w:num>
  <w:num w:numId="37">
    <w:abstractNumId w:val="80"/>
  </w:num>
  <w:num w:numId="38">
    <w:abstractNumId w:val="77"/>
  </w:num>
  <w:num w:numId="39">
    <w:abstractNumId w:val="64"/>
  </w:num>
  <w:num w:numId="40">
    <w:abstractNumId w:val="72"/>
  </w:num>
  <w:num w:numId="41">
    <w:abstractNumId w:val="79"/>
  </w:num>
  <w:num w:numId="42">
    <w:abstractNumId w:val="44"/>
  </w:num>
  <w:num w:numId="43">
    <w:abstractNumId w:val="41"/>
  </w:num>
  <w:num w:numId="44">
    <w:abstractNumId w:val="10"/>
  </w:num>
  <w:num w:numId="45">
    <w:abstractNumId w:val="62"/>
  </w:num>
  <w:num w:numId="46">
    <w:abstractNumId w:val="11"/>
    <w:lvlOverride w:ilvl="0">
      <w:startOverride w:val="1"/>
    </w:lvlOverride>
  </w:num>
  <w:num w:numId="47">
    <w:abstractNumId w:val="49"/>
  </w:num>
  <w:num w:numId="48">
    <w:abstractNumId w:val="36"/>
  </w:num>
  <w:num w:numId="49">
    <w:abstractNumId w:val="6"/>
  </w:num>
  <w:num w:numId="50">
    <w:abstractNumId w:val="21"/>
  </w:num>
  <w:num w:numId="51">
    <w:abstractNumId w:val="55"/>
  </w:num>
  <w:num w:numId="52">
    <w:abstractNumId w:val="55"/>
    <w:lvlOverride w:ilvl="0">
      <w:startOverride w:val="1"/>
    </w:lvlOverride>
  </w:num>
  <w:num w:numId="53">
    <w:abstractNumId w:val="39"/>
  </w:num>
  <w:num w:numId="54">
    <w:abstractNumId w:val="17"/>
  </w:num>
  <w:num w:numId="55">
    <w:abstractNumId w:val="11"/>
    <w:lvlOverride w:ilvl="0">
      <w:startOverride w:val="1"/>
    </w:lvlOverride>
  </w:num>
  <w:num w:numId="56">
    <w:abstractNumId w:val="11"/>
    <w:lvlOverride w:ilvl="0">
      <w:startOverride w:val="1"/>
    </w:lvlOverride>
  </w:num>
  <w:num w:numId="57">
    <w:abstractNumId w:val="11"/>
    <w:lvlOverride w:ilvl="0">
      <w:startOverride w:val="1"/>
    </w:lvlOverride>
  </w:num>
  <w:num w:numId="58">
    <w:abstractNumId w:val="11"/>
    <w:lvlOverride w:ilvl="0">
      <w:startOverride w:val="1"/>
    </w:lvlOverride>
  </w:num>
  <w:num w:numId="59">
    <w:abstractNumId w:val="11"/>
    <w:lvlOverride w:ilvl="0">
      <w:startOverride w:val="1"/>
    </w:lvlOverride>
  </w:num>
  <w:num w:numId="60">
    <w:abstractNumId w:val="11"/>
    <w:lvlOverride w:ilvl="0">
      <w:startOverride w:val="1"/>
    </w:lvlOverride>
  </w:num>
  <w:num w:numId="61">
    <w:abstractNumId w:val="11"/>
    <w:lvlOverride w:ilvl="0">
      <w:startOverride w:val="1"/>
    </w:lvlOverride>
  </w:num>
  <w:num w:numId="62">
    <w:abstractNumId w:val="11"/>
    <w:lvlOverride w:ilvl="0">
      <w:startOverride w:val="1"/>
    </w:lvlOverride>
  </w:num>
  <w:num w:numId="63">
    <w:abstractNumId w:val="11"/>
    <w:lvlOverride w:ilvl="0">
      <w:startOverride w:val="1"/>
    </w:lvlOverride>
  </w:num>
  <w:num w:numId="64">
    <w:abstractNumId w:val="11"/>
    <w:lvlOverride w:ilvl="0">
      <w:startOverride w:val="1"/>
    </w:lvlOverride>
  </w:num>
  <w:num w:numId="65">
    <w:abstractNumId w:val="11"/>
    <w:lvlOverride w:ilvl="0">
      <w:startOverride w:val="1"/>
    </w:lvlOverride>
  </w:num>
  <w:num w:numId="66">
    <w:abstractNumId w:val="11"/>
    <w:lvlOverride w:ilvl="0">
      <w:startOverride w:val="1"/>
    </w:lvlOverride>
  </w:num>
  <w:num w:numId="67">
    <w:abstractNumId w:val="11"/>
    <w:lvlOverride w:ilvl="0">
      <w:startOverride w:val="1"/>
    </w:lvlOverride>
  </w:num>
  <w:num w:numId="68">
    <w:abstractNumId w:val="11"/>
    <w:lvlOverride w:ilvl="0">
      <w:startOverride w:val="1"/>
    </w:lvlOverride>
  </w:num>
  <w:num w:numId="69">
    <w:abstractNumId w:val="11"/>
    <w:lvlOverride w:ilvl="0">
      <w:startOverride w:val="1"/>
    </w:lvlOverride>
  </w:num>
  <w:num w:numId="70">
    <w:abstractNumId w:val="11"/>
    <w:lvlOverride w:ilvl="0">
      <w:startOverride w:val="1"/>
    </w:lvlOverride>
  </w:num>
  <w:num w:numId="71">
    <w:abstractNumId w:val="11"/>
    <w:lvlOverride w:ilvl="0">
      <w:startOverride w:val="1"/>
    </w:lvlOverride>
  </w:num>
  <w:num w:numId="72">
    <w:abstractNumId w:val="11"/>
    <w:lvlOverride w:ilvl="0">
      <w:startOverride w:val="1"/>
    </w:lvlOverride>
  </w:num>
  <w:num w:numId="73">
    <w:abstractNumId w:val="11"/>
    <w:lvlOverride w:ilvl="0">
      <w:startOverride w:val="1"/>
    </w:lvlOverride>
  </w:num>
  <w:num w:numId="74">
    <w:abstractNumId w:val="11"/>
    <w:lvlOverride w:ilvl="0">
      <w:startOverride w:val="1"/>
    </w:lvlOverride>
  </w:num>
  <w:num w:numId="75">
    <w:abstractNumId w:val="11"/>
    <w:lvlOverride w:ilvl="0">
      <w:startOverride w:val="1"/>
    </w:lvlOverride>
  </w:num>
  <w:num w:numId="76">
    <w:abstractNumId w:val="11"/>
    <w:lvlOverride w:ilvl="0">
      <w:startOverride w:val="1"/>
    </w:lvlOverride>
  </w:num>
  <w:num w:numId="77">
    <w:abstractNumId w:val="52"/>
  </w:num>
  <w:num w:numId="78">
    <w:abstractNumId w:val="37"/>
  </w:num>
  <w:num w:numId="79">
    <w:abstractNumId w:val="32"/>
  </w:num>
  <w:num w:numId="80">
    <w:abstractNumId w:val="48"/>
  </w:num>
  <w:num w:numId="81">
    <w:abstractNumId w:val="76"/>
  </w:num>
  <w:num w:numId="82">
    <w:abstractNumId w:val="67"/>
  </w:num>
  <w:num w:numId="83">
    <w:abstractNumId w:val="31"/>
  </w:num>
  <w:num w:numId="84">
    <w:abstractNumId w:val="34"/>
  </w:num>
  <w:num w:numId="85">
    <w:abstractNumId w:val="23"/>
  </w:num>
  <w:num w:numId="86">
    <w:abstractNumId w:val="50"/>
  </w:num>
  <w:num w:numId="87">
    <w:abstractNumId w:val="68"/>
  </w:num>
  <w:num w:numId="88">
    <w:abstractNumId w:val="60"/>
  </w:num>
  <w:num w:numId="89">
    <w:abstractNumId w:val="29"/>
  </w:num>
  <w:num w:numId="90">
    <w:abstractNumId w:val="46"/>
  </w:num>
  <w:num w:numId="91">
    <w:abstractNumId w:val="38"/>
  </w:num>
  <w:num w:numId="92">
    <w:abstractNumId w:val="1"/>
  </w:num>
  <w:num w:numId="93">
    <w:abstractNumId w:val="22"/>
  </w:num>
  <w:num w:numId="94">
    <w:abstractNumId w:val="66"/>
  </w:num>
  <w:num w:numId="95">
    <w:abstractNumId w:val="5"/>
  </w:num>
  <w:num w:numId="96">
    <w:abstractNumId w:val="65"/>
  </w:num>
  <w:num w:numId="97">
    <w:abstractNumId w:val="12"/>
  </w:num>
  <w:num w:numId="98">
    <w:abstractNumId w:val="24"/>
  </w:num>
  <w:num w:numId="99">
    <w:abstractNumId w:val="16"/>
  </w:num>
  <w:num w:numId="100">
    <w:abstractNumId w:val="25"/>
  </w:num>
  <w:num w:numId="101">
    <w:abstractNumId w:val="59"/>
  </w:num>
  <w:num w:numId="102">
    <w:abstractNumId w:val="54"/>
  </w:num>
  <w:num w:numId="103">
    <w:abstractNumId w:val="75"/>
  </w:num>
  <w:num w:numId="104">
    <w:abstractNumId w:val="56"/>
  </w:num>
  <w:num w:numId="105">
    <w:abstractNumId w:val="7"/>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grammar="clean"/>
  <w:defaultTabStop w:val="240"/>
  <w:drawingGridHorizontalSpacing w:val="1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71A"/>
    <w:rsid w:val="00001399"/>
    <w:rsid w:val="000015F7"/>
    <w:rsid w:val="00001A61"/>
    <w:rsid w:val="00001D88"/>
    <w:rsid w:val="000023CB"/>
    <w:rsid w:val="000026B7"/>
    <w:rsid w:val="00003D5B"/>
    <w:rsid w:val="0000419D"/>
    <w:rsid w:val="00004333"/>
    <w:rsid w:val="00004FA9"/>
    <w:rsid w:val="0000509A"/>
    <w:rsid w:val="00006EDE"/>
    <w:rsid w:val="000076FF"/>
    <w:rsid w:val="00007731"/>
    <w:rsid w:val="00010440"/>
    <w:rsid w:val="00010526"/>
    <w:rsid w:val="00011876"/>
    <w:rsid w:val="00012065"/>
    <w:rsid w:val="00012AF8"/>
    <w:rsid w:val="000132C2"/>
    <w:rsid w:val="00013D20"/>
    <w:rsid w:val="000152B9"/>
    <w:rsid w:val="0001561B"/>
    <w:rsid w:val="00015E6A"/>
    <w:rsid w:val="000165DC"/>
    <w:rsid w:val="00017B1A"/>
    <w:rsid w:val="00017DE6"/>
    <w:rsid w:val="00020072"/>
    <w:rsid w:val="00020114"/>
    <w:rsid w:val="00020834"/>
    <w:rsid w:val="00020C2B"/>
    <w:rsid w:val="00021CD5"/>
    <w:rsid w:val="0002220C"/>
    <w:rsid w:val="0002364D"/>
    <w:rsid w:val="00031243"/>
    <w:rsid w:val="000316CB"/>
    <w:rsid w:val="00032D83"/>
    <w:rsid w:val="0003304A"/>
    <w:rsid w:val="0003354A"/>
    <w:rsid w:val="00033674"/>
    <w:rsid w:val="00033CB3"/>
    <w:rsid w:val="00033DE8"/>
    <w:rsid w:val="000341B3"/>
    <w:rsid w:val="00034B0E"/>
    <w:rsid w:val="000363F9"/>
    <w:rsid w:val="0003657D"/>
    <w:rsid w:val="00037690"/>
    <w:rsid w:val="0003773D"/>
    <w:rsid w:val="000400B5"/>
    <w:rsid w:val="00040617"/>
    <w:rsid w:val="00040B56"/>
    <w:rsid w:val="000411F4"/>
    <w:rsid w:val="000419DD"/>
    <w:rsid w:val="000426AF"/>
    <w:rsid w:val="00043689"/>
    <w:rsid w:val="000447DB"/>
    <w:rsid w:val="000452C0"/>
    <w:rsid w:val="00046690"/>
    <w:rsid w:val="0004721E"/>
    <w:rsid w:val="00047DBA"/>
    <w:rsid w:val="00050C88"/>
    <w:rsid w:val="00050D20"/>
    <w:rsid w:val="00051146"/>
    <w:rsid w:val="000514D5"/>
    <w:rsid w:val="000519D5"/>
    <w:rsid w:val="00052561"/>
    <w:rsid w:val="00052C1F"/>
    <w:rsid w:val="00052ECF"/>
    <w:rsid w:val="0005514D"/>
    <w:rsid w:val="000551F8"/>
    <w:rsid w:val="00055FC4"/>
    <w:rsid w:val="00056ADA"/>
    <w:rsid w:val="00060C80"/>
    <w:rsid w:val="00061831"/>
    <w:rsid w:val="00061D77"/>
    <w:rsid w:val="0006318E"/>
    <w:rsid w:val="0006344B"/>
    <w:rsid w:val="00063788"/>
    <w:rsid w:val="000647AB"/>
    <w:rsid w:val="00064EB6"/>
    <w:rsid w:val="00065093"/>
    <w:rsid w:val="00065C19"/>
    <w:rsid w:val="00065F67"/>
    <w:rsid w:val="00071654"/>
    <w:rsid w:val="00071C6C"/>
    <w:rsid w:val="00072431"/>
    <w:rsid w:val="00072AD7"/>
    <w:rsid w:val="00072FE3"/>
    <w:rsid w:val="00074853"/>
    <w:rsid w:val="0007539B"/>
    <w:rsid w:val="00076123"/>
    <w:rsid w:val="00077EF9"/>
    <w:rsid w:val="000809D5"/>
    <w:rsid w:val="00081D3B"/>
    <w:rsid w:val="00082123"/>
    <w:rsid w:val="0008481A"/>
    <w:rsid w:val="00086643"/>
    <w:rsid w:val="00086E6A"/>
    <w:rsid w:val="00086F26"/>
    <w:rsid w:val="000909F8"/>
    <w:rsid w:val="00091747"/>
    <w:rsid w:val="000919DB"/>
    <w:rsid w:val="00092EAD"/>
    <w:rsid w:val="0009364B"/>
    <w:rsid w:val="00093E88"/>
    <w:rsid w:val="0009517B"/>
    <w:rsid w:val="00095FF0"/>
    <w:rsid w:val="000963B2"/>
    <w:rsid w:val="00097828"/>
    <w:rsid w:val="000A17A7"/>
    <w:rsid w:val="000A366F"/>
    <w:rsid w:val="000A6781"/>
    <w:rsid w:val="000A7DA0"/>
    <w:rsid w:val="000A7EE9"/>
    <w:rsid w:val="000B0505"/>
    <w:rsid w:val="000B09E2"/>
    <w:rsid w:val="000B28F6"/>
    <w:rsid w:val="000B290D"/>
    <w:rsid w:val="000B291D"/>
    <w:rsid w:val="000B2A53"/>
    <w:rsid w:val="000B2E8E"/>
    <w:rsid w:val="000B3C25"/>
    <w:rsid w:val="000B6191"/>
    <w:rsid w:val="000B6378"/>
    <w:rsid w:val="000B741E"/>
    <w:rsid w:val="000B79BD"/>
    <w:rsid w:val="000B7DA2"/>
    <w:rsid w:val="000C024C"/>
    <w:rsid w:val="000C0557"/>
    <w:rsid w:val="000C14EB"/>
    <w:rsid w:val="000C4E7A"/>
    <w:rsid w:val="000C53B5"/>
    <w:rsid w:val="000C644F"/>
    <w:rsid w:val="000C67E6"/>
    <w:rsid w:val="000C7E62"/>
    <w:rsid w:val="000D0017"/>
    <w:rsid w:val="000D0709"/>
    <w:rsid w:val="000D0A41"/>
    <w:rsid w:val="000D173E"/>
    <w:rsid w:val="000D37B1"/>
    <w:rsid w:val="000D3E79"/>
    <w:rsid w:val="000D461A"/>
    <w:rsid w:val="000D4FDD"/>
    <w:rsid w:val="000D5F2A"/>
    <w:rsid w:val="000D7D3F"/>
    <w:rsid w:val="000D7D7B"/>
    <w:rsid w:val="000E19DD"/>
    <w:rsid w:val="000E229D"/>
    <w:rsid w:val="000E2B7F"/>
    <w:rsid w:val="000E31F5"/>
    <w:rsid w:val="000E5195"/>
    <w:rsid w:val="000E7798"/>
    <w:rsid w:val="000E7FF8"/>
    <w:rsid w:val="000F0257"/>
    <w:rsid w:val="000F057C"/>
    <w:rsid w:val="000F1AF1"/>
    <w:rsid w:val="000F20A3"/>
    <w:rsid w:val="000F3458"/>
    <w:rsid w:val="000F67CB"/>
    <w:rsid w:val="000F785B"/>
    <w:rsid w:val="00101EF8"/>
    <w:rsid w:val="00102698"/>
    <w:rsid w:val="001029F2"/>
    <w:rsid w:val="00102C16"/>
    <w:rsid w:val="001054F8"/>
    <w:rsid w:val="001078CF"/>
    <w:rsid w:val="001115A5"/>
    <w:rsid w:val="00112575"/>
    <w:rsid w:val="001128E1"/>
    <w:rsid w:val="00113869"/>
    <w:rsid w:val="0011428D"/>
    <w:rsid w:val="0011434A"/>
    <w:rsid w:val="00114A3E"/>
    <w:rsid w:val="00114C52"/>
    <w:rsid w:val="00114D45"/>
    <w:rsid w:val="00115C55"/>
    <w:rsid w:val="0011722D"/>
    <w:rsid w:val="001177D4"/>
    <w:rsid w:val="00117815"/>
    <w:rsid w:val="00117BC2"/>
    <w:rsid w:val="00120286"/>
    <w:rsid w:val="00120E3D"/>
    <w:rsid w:val="00122DB1"/>
    <w:rsid w:val="00123778"/>
    <w:rsid w:val="00123A16"/>
    <w:rsid w:val="00125F50"/>
    <w:rsid w:val="00130120"/>
    <w:rsid w:val="00130225"/>
    <w:rsid w:val="00130B74"/>
    <w:rsid w:val="00131430"/>
    <w:rsid w:val="00131748"/>
    <w:rsid w:val="0013257E"/>
    <w:rsid w:val="00132F8E"/>
    <w:rsid w:val="00133BED"/>
    <w:rsid w:val="00134D8E"/>
    <w:rsid w:val="00134F3F"/>
    <w:rsid w:val="00135D53"/>
    <w:rsid w:val="00136B6D"/>
    <w:rsid w:val="00141F4F"/>
    <w:rsid w:val="00142A94"/>
    <w:rsid w:val="0014405B"/>
    <w:rsid w:val="001454CA"/>
    <w:rsid w:val="001468CA"/>
    <w:rsid w:val="00146BBC"/>
    <w:rsid w:val="00147B85"/>
    <w:rsid w:val="001528C1"/>
    <w:rsid w:val="00152B37"/>
    <w:rsid w:val="0015386D"/>
    <w:rsid w:val="00154295"/>
    <w:rsid w:val="00154F3B"/>
    <w:rsid w:val="00155035"/>
    <w:rsid w:val="0015559C"/>
    <w:rsid w:val="0015665F"/>
    <w:rsid w:val="001567AB"/>
    <w:rsid w:val="001574C9"/>
    <w:rsid w:val="00157953"/>
    <w:rsid w:val="001608C4"/>
    <w:rsid w:val="00161B13"/>
    <w:rsid w:val="001622E8"/>
    <w:rsid w:val="00162576"/>
    <w:rsid w:val="001625F1"/>
    <w:rsid w:val="00162BAC"/>
    <w:rsid w:val="00162F81"/>
    <w:rsid w:val="001633BA"/>
    <w:rsid w:val="00163570"/>
    <w:rsid w:val="001660D6"/>
    <w:rsid w:val="0016696C"/>
    <w:rsid w:val="00166BAF"/>
    <w:rsid w:val="001670FD"/>
    <w:rsid w:val="00167CB4"/>
    <w:rsid w:val="00170DE8"/>
    <w:rsid w:val="001732BA"/>
    <w:rsid w:val="00173EF3"/>
    <w:rsid w:val="00174B57"/>
    <w:rsid w:val="00175159"/>
    <w:rsid w:val="00176AEF"/>
    <w:rsid w:val="00177A78"/>
    <w:rsid w:val="001800C7"/>
    <w:rsid w:val="001807AF"/>
    <w:rsid w:val="001828E7"/>
    <w:rsid w:val="00182954"/>
    <w:rsid w:val="00183ADF"/>
    <w:rsid w:val="00184689"/>
    <w:rsid w:val="00184D30"/>
    <w:rsid w:val="001859A1"/>
    <w:rsid w:val="00185D71"/>
    <w:rsid w:val="00187EA1"/>
    <w:rsid w:val="00191010"/>
    <w:rsid w:val="0019155A"/>
    <w:rsid w:val="00191FB6"/>
    <w:rsid w:val="001921F8"/>
    <w:rsid w:val="00192A4C"/>
    <w:rsid w:val="0019333D"/>
    <w:rsid w:val="001949A3"/>
    <w:rsid w:val="00194CE9"/>
    <w:rsid w:val="00195595"/>
    <w:rsid w:val="0019664A"/>
    <w:rsid w:val="0019696D"/>
    <w:rsid w:val="00196AA4"/>
    <w:rsid w:val="00196F03"/>
    <w:rsid w:val="00197EEE"/>
    <w:rsid w:val="001A0066"/>
    <w:rsid w:val="001A1570"/>
    <w:rsid w:val="001A305B"/>
    <w:rsid w:val="001A5C5B"/>
    <w:rsid w:val="001A5DCB"/>
    <w:rsid w:val="001B073E"/>
    <w:rsid w:val="001B28C3"/>
    <w:rsid w:val="001B28CA"/>
    <w:rsid w:val="001B418F"/>
    <w:rsid w:val="001B562D"/>
    <w:rsid w:val="001B5814"/>
    <w:rsid w:val="001B6E4D"/>
    <w:rsid w:val="001B7CE5"/>
    <w:rsid w:val="001C0D31"/>
    <w:rsid w:val="001C0D82"/>
    <w:rsid w:val="001C2CBE"/>
    <w:rsid w:val="001C6266"/>
    <w:rsid w:val="001C630F"/>
    <w:rsid w:val="001C659A"/>
    <w:rsid w:val="001D1F61"/>
    <w:rsid w:val="001D283B"/>
    <w:rsid w:val="001D2B75"/>
    <w:rsid w:val="001D353D"/>
    <w:rsid w:val="001D396C"/>
    <w:rsid w:val="001D438E"/>
    <w:rsid w:val="001D446A"/>
    <w:rsid w:val="001E1000"/>
    <w:rsid w:val="001E3194"/>
    <w:rsid w:val="001E322E"/>
    <w:rsid w:val="001E35C1"/>
    <w:rsid w:val="001E37F5"/>
    <w:rsid w:val="001E4344"/>
    <w:rsid w:val="001E4B39"/>
    <w:rsid w:val="001E630E"/>
    <w:rsid w:val="001E6842"/>
    <w:rsid w:val="001E73B7"/>
    <w:rsid w:val="001E7551"/>
    <w:rsid w:val="001E7AD9"/>
    <w:rsid w:val="001E7ECA"/>
    <w:rsid w:val="001F1C85"/>
    <w:rsid w:val="001F1FB2"/>
    <w:rsid w:val="001F2914"/>
    <w:rsid w:val="001F34BD"/>
    <w:rsid w:val="001F4459"/>
    <w:rsid w:val="001F4606"/>
    <w:rsid w:val="001F5CB2"/>
    <w:rsid w:val="001F6040"/>
    <w:rsid w:val="001F61F7"/>
    <w:rsid w:val="0020119F"/>
    <w:rsid w:val="00201B77"/>
    <w:rsid w:val="00202E3F"/>
    <w:rsid w:val="00203DF0"/>
    <w:rsid w:val="00204F2C"/>
    <w:rsid w:val="00207B74"/>
    <w:rsid w:val="00207E5F"/>
    <w:rsid w:val="002115E7"/>
    <w:rsid w:val="002117DC"/>
    <w:rsid w:val="00211D5A"/>
    <w:rsid w:val="00211FF2"/>
    <w:rsid w:val="0021209F"/>
    <w:rsid w:val="00212235"/>
    <w:rsid w:val="00212F04"/>
    <w:rsid w:val="00213A47"/>
    <w:rsid w:val="002144E8"/>
    <w:rsid w:val="002146CB"/>
    <w:rsid w:val="00214F82"/>
    <w:rsid w:val="00214FA7"/>
    <w:rsid w:val="00216958"/>
    <w:rsid w:val="002239DB"/>
    <w:rsid w:val="002271C5"/>
    <w:rsid w:val="00231239"/>
    <w:rsid w:val="002331EF"/>
    <w:rsid w:val="00233D93"/>
    <w:rsid w:val="00234539"/>
    <w:rsid w:val="00234E80"/>
    <w:rsid w:val="002363B0"/>
    <w:rsid w:val="00241136"/>
    <w:rsid w:val="00244DF0"/>
    <w:rsid w:val="00245590"/>
    <w:rsid w:val="00245D18"/>
    <w:rsid w:val="00245FDE"/>
    <w:rsid w:val="00245FE9"/>
    <w:rsid w:val="00246296"/>
    <w:rsid w:val="002506C2"/>
    <w:rsid w:val="00253A7C"/>
    <w:rsid w:val="0025405F"/>
    <w:rsid w:val="00254294"/>
    <w:rsid w:val="00256221"/>
    <w:rsid w:val="0025624B"/>
    <w:rsid w:val="002575F7"/>
    <w:rsid w:val="00257A1D"/>
    <w:rsid w:val="00257DF8"/>
    <w:rsid w:val="00260F72"/>
    <w:rsid w:val="00262043"/>
    <w:rsid w:val="00263589"/>
    <w:rsid w:val="002664B9"/>
    <w:rsid w:val="00266AEB"/>
    <w:rsid w:val="00267C1A"/>
    <w:rsid w:val="00271E5D"/>
    <w:rsid w:val="00273A6F"/>
    <w:rsid w:val="0027411A"/>
    <w:rsid w:val="002749CE"/>
    <w:rsid w:val="00275DF1"/>
    <w:rsid w:val="00275FDE"/>
    <w:rsid w:val="00276B9B"/>
    <w:rsid w:val="0027747C"/>
    <w:rsid w:val="00277544"/>
    <w:rsid w:val="002776F5"/>
    <w:rsid w:val="0028050C"/>
    <w:rsid w:val="00281AB9"/>
    <w:rsid w:val="00281ABB"/>
    <w:rsid w:val="002826CA"/>
    <w:rsid w:val="00282928"/>
    <w:rsid w:val="00282E6D"/>
    <w:rsid w:val="0028309A"/>
    <w:rsid w:val="00283908"/>
    <w:rsid w:val="00284A4A"/>
    <w:rsid w:val="0028561D"/>
    <w:rsid w:val="00285887"/>
    <w:rsid w:val="00290042"/>
    <w:rsid w:val="002924C9"/>
    <w:rsid w:val="002941C7"/>
    <w:rsid w:val="00295356"/>
    <w:rsid w:val="00295654"/>
    <w:rsid w:val="00296A5A"/>
    <w:rsid w:val="00296B27"/>
    <w:rsid w:val="00297901"/>
    <w:rsid w:val="00297EF0"/>
    <w:rsid w:val="002A09AF"/>
    <w:rsid w:val="002A0C67"/>
    <w:rsid w:val="002A1C5B"/>
    <w:rsid w:val="002A32BC"/>
    <w:rsid w:val="002A46FB"/>
    <w:rsid w:val="002A5A4D"/>
    <w:rsid w:val="002A7119"/>
    <w:rsid w:val="002A7C0F"/>
    <w:rsid w:val="002B04D1"/>
    <w:rsid w:val="002B13E7"/>
    <w:rsid w:val="002B1A27"/>
    <w:rsid w:val="002B2277"/>
    <w:rsid w:val="002B27FC"/>
    <w:rsid w:val="002B2AAC"/>
    <w:rsid w:val="002B2DF6"/>
    <w:rsid w:val="002B444B"/>
    <w:rsid w:val="002B4A05"/>
    <w:rsid w:val="002B4BB1"/>
    <w:rsid w:val="002B6E92"/>
    <w:rsid w:val="002C00E4"/>
    <w:rsid w:val="002C0606"/>
    <w:rsid w:val="002C0A56"/>
    <w:rsid w:val="002C1494"/>
    <w:rsid w:val="002C4E6D"/>
    <w:rsid w:val="002C55DC"/>
    <w:rsid w:val="002C7DDF"/>
    <w:rsid w:val="002D0EA7"/>
    <w:rsid w:val="002D0ED5"/>
    <w:rsid w:val="002D1988"/>
    <w:rsid w:val="002D2162"/>
    <w:rsid w:val="002D4488"/>
    <w:rsid w:val="002D6E90"/>
    <w:rsid w:val="002E099C"/>
    <w:rsid w:val="002E15AC"/>
    <w:rsid w:val="002E1E8D"/>
    <w:rsid w:val="002E22F6"/>
    <w:rsid w:val="002E29CB"/>
    <w:rsid w:val="002E2B89"/>
    <w:rsid w:val="002E3628"/>
    <w:rsid w:val="002E4F43"/>
    <w:rsid w:val="002E54CE"/>
    <w:rsid w:val="002E57D8"/>
    <w:rsid w:val="002E5BEC"/>
    <w:rsid w:val="002E645F"/>
    <w:rsid w:val="002E7635"/>
    <w:rsid w:val="002E7CA6"/>
    <w:rsid w:val="002F016E"/>
    <w:rsid w:val="002F0956"/>
    <w:rsid w:val="002F2070"/>
    <w:rsid w:val="002F29B7"/>
    <w:rsid w:val="002F3A24"/>
    <w:rsid w:val="002F3F90"/>
    <w:rsid w:val="002F457F"/>
    <w:rsid w:val="002F59DF"/>
    <w:rsid w:val="00300080"/>
    <w:rsid w:val="00300B99"/>
    <w:rsid w:val="00301D2B"/>
    <w:rsid w:val="00302EB6"/>
    <w:rsid w:val="003036CF"/>
    <w:rsid w:val="003048C5"/>
    <w:rsid w:val="0030534B"/>
    <w:rsid w:val="00310132"/>
    <w:rsid w:val="003108FA"/>
    <w:rsid w:val="0031229C"/>
    <w:rsid w:val="00313BBB"/>
    <w:rsid w:val="00316C65"/>
    <w:rsid w:val="00317C2B"/>
    <w:rsid w:val="00320390"/>
    <w:rsid w:val="00320BDC"/>
    <w:rsid w:val="00321040"/>
    <w:rsid w:val="0032184F"/>
    <w:rsid w:val="0032474A"/>
    <w:rsid w:val="0032518E"/>
    <w:rsid w:val="003252EB"/>
    <w:rsid w:val="003257A5"/>
    <w:rsid w:val="003258E0"/>
    <w:rsid w:val="003259E8"/>
    <w:rsid w:val="00326CC0"/>
    <w:rsid w:val="00327C01"/>
    <w:rsid w:val="00331BFC"/>
    <w:rsid w:val="00331E47"/>
    <w:rsid w:val="003325F8"/>
    <w:rsid w:val="003327DF"/>
    <w:rsid w:val="0033393D"/>
    <w:rsid w:val="003365BB"/>
    <w:rsid w:val="0033798E"/>
    <w:rsid w:val="0034074B"/>
    <w:rsid w:val="00340F19"/>
    <w:rsid w:val="00342EA5"/>
    <w:rsid w:val="00342ED4"/>
    <w:rsid w:val="00343F24"/>
    <w:rsid w:val="0034443C"/>
    <w:rsid w:val="003455F2"/>
    <w:rsid w:val="0034584E"/>
    <w:rsid w:val="00346DCE"/>
    <w:rsid w:val="0034712F"/>
    <w:rsid w:val="00352968"/>
    <w:rsid w:val="0035302B"/>
    <w:rsid w:val="003531DE"/>
    <w:rsid w:val="00353645"/>
    <w:rsid w:val="0035510E"/>
    <w:rsid w:val="0035602D"/>
    <w:rsid w:val="00356BCC"/>
    <w:rsid w:val="0035795C"/>
    <w:rsid w:val="00357E10"/>
    <w:rsid w:val="00360A6F"/>
    <w:rsid w:val="00360AFE"/>
    <w:rsid w:val="0036181E"/>
    <w:rsid w:val="003636FA"/>
    <w:rsid w:val="00364646"/>
    <w:rsid w:val="003646C8"/>
    <w:rsid w:val="00366FCA"/>
    <w:rsid w:val="0036760F"/>
    <w:rsid w:val="003700A9"/>
    <w:rsid w:val="00370287"/>
    <w:rsid w:val="00370E57"/>
    <w:rsid w:val="003715CF"/>
    <w:rsid w:val="00372E4D"/>
    <w:rsid w:val="00373FFA"/>
    <w:rsid w:val="0037408A"/>
    <w:rsid w:val="00375A39"/>
    <w:rsid w:val="00375AD7"/>
    <w:rsid w:val="00376703"/>
    <w:rsid w:val="00377A8E"/>
    <w:rsid w:val="00377B8D"/>
    <w:rsid w:val="00380C02"/>
    <w:rsid w:val="0038112E"/>
    <w:rsid w:val="00381D49"/>
    <w:rsid w:val="00381E1A"/>
    <w:rsid w:val="00382093"/>
    <w:rsid w:val="00383AD3"/>
    <w:rsid w:val="003843D6"/>
    <w:rsid w:val="003844EC"/>
    <w:rsid w:val="00384856"/>
    <w:rsid w:val="00384C2A"/>
    <w:rsid w:val="00385A1F"/>
    <w:rsid w:val="00386195"/>
    <w:rsid w:val="003871E4"/>
    <w:rsid w:val="00387B77"/>
    <w:rsid w:val="00391278"/>
    <w:rsid w:val="00391319"/>
    <w:rsid w:val="003917EE"/>
    <w:rsid w:val="003929E7"/>
    <w:rsid w:val="003939F8"/>
    <w:rsid w:val="00393C35"/>
    <w:rsid w:val="00394330"/>
    <w:rsid w:val="00395290"/>
    <w:rsid w:val="00395525"/>
    <w:rsid w:val="003A05D7"/>
    <w:rsid w:val="003A1E13"/>
    <w:rsid w:val="003A2A7F"/>
    <w:rsid w:val="003A49B4"/>
    <w:rsid w:val="003A5EE8"/>
    <w:rsid w:val="003A6FC7"/>
    <w:rsid w:val="003A7DBB"/>
    <w:rsid w:val="003B155C"/>
    <w:rsid w:val="003B17AD"/>
    <w:rsid w:val="003B4AC8"/>
    <w:rsid w:val="003B51CC"/>
    <w:rsid w:val="003B5F38"/>
    <w:rsid w:val="003B6F26"/>
    <w:rsid w:val="003B7A79"/>
    <w:rsid w:val="003C0D65"/>
    <w:rsid w:val="003C1816"/>
    <w:rsid w:val="003C263E"/>
    <w:rsid w:val="003C4019"/>
    <w:rsid w:val="003C4200"/>
    <w:rsid w:val="003C6988"/>
    <w:rsid w:val="003C6BF1"/>
    <w:rsid w:val="003C720E"/>
    <w:rsid w:val="003C7BE9"/>
    <w:rsid w:val="003D018A"/>
    <w:rsid w:val="003D0E34"/>
    <w:rsid w:val="003D1018"/>
    <w:rsid w:val="003D3680"/>
    <w:rsid w:val="003D51F4"/>
    <w:rsid w:val="003D63A0"/>
    <w:rsid w:val="003D7D95"/>
    <w:rsid w:val="003E04C4"/>
    <w:rsid w:val="003E1C9F"/>
    <w:rsid w:val="003E323D"/>
    <w:rsid w:val="003E3372"/>
    <w:rsid w:val="003E35EC"/>
    <w:rsid w:val="003E36F4"/>
    <w:rsid w:val="003E3C25"/>
    <w:rsid w:val="003E3D84"/>
    <w:rsid w:val="003E5052"/>
    <w:rsid w:val="003E5E33"/>
    <w:rsid w:val="003E6C49"/>
    <w:rsid w:val="003E7061"/>
    <w:rsid w:val="003E7133"/>
    <w:rsid w:val="003F014B"/>
    <w:rsid w:val="003F0A93"/>
    <w:rsid w:val="003F10E9"/>
    <w:rsid w:val="003F19A9"/>
    <w:rsid w:val="003F23FA"/>
    <w:rsid w:val="003F3476"/>
    <w:rsid w:val="003F3571"/>
    <w:rsid w:val="003F4791"/>
    <w:rsid w:val="003F579A"/>
    <w:rsid w:val="003F580C"/>
    <w:rsid w:val="003F583D"/>
    <w:rsid w:val="003F6AED"/>
    <w:rsid w:val="00400B22"/>
    <w:rsid w:val="00401C0F"/>
    <w:rsid w:val="00401D0C"/>
    <w:rsid w:val="004022E4"/>
    <w:rsid w:val="00402A66"/>
    <w:rsid w:val="00405034"/>
    <w:rsid w:val="00405595"/>
    <w:rsid w:val="0040579A"/>
    <w:rsid w:val="00406411"/>
    <w:rsid w:val="00406F58"/>
    <w:rsid w:val="004100C4"/>
    <w:rsid w:val="004105B1"/>
    <w:rsid w:val="00410785"/>
    <w:rsid w:val="00411121"/>
    <w:rsid w:val="00411CB4"/>
    <w:rsid w:val="00412413"/>
    <w:rsid w:val="00412706"/>
    <w:rsid w:val="004129AE"/>
    <w:rsid w:val="00413230"/>
    <w:rsid w:val="0041344C"/>
    <w:rsid w:val="00413819"/>
    <w:rsid w:val="00413FC0"/>
    <w:rsid w:val="0041545A"/>
    <w:rsid w:val="0041550E"/>
    <w:rsid w:val="00417676"/>
    <w:rsid w:val="00417B68"/>
    <w:rsid w:val="004201A0"/>
    <w:rsid w:val="00420A9F"/>
    <w:rsid w:val="004214D6"/>
    <w:rsid w:val="00422723"/>
    <w:rsid w:val="004230C4"/>
    <w:rsid w:val="00425C37"/>
    <w:rsid w:val="00426558"/>
    <w:rsid w:val="00426883"/>
    <w:rsid w:val="004272ED"/>
    <w:rsid w:val="00427633"/>
    <w:rsid w:val="0042779C"/>
    <w:rsid w:val="0043098F"/>
    <w:rsid w:val="00432232"/>
    <w:rsid w:val="004327FC"/>
    <w:rsid w:val="00433146"/>
    <w:rsid w:val="00434902"/>
    <w:rsid w:val="00435CF5"/>
    <w:rsid w:val="00437294"/>
    <w:rsid w:val="00437B8D"/>
    <w:rsid w:val="00440629"/>
    <w:rsid w:val="0044170C"/>
    <w:rsid w:val="004428DA"/>
    <w:rsid w:val="00442A35"/>
    <w:rsid w:val="00443265"/>
    <w:rsid w:val="00443BCD"/>
    <w:rsid w:val="00444202"/>
    <w:rsid w:val="00444487"/>
    <w:rsid w:val="00444AF2"/>
    <w:rsid w:val="00444ED5"/>
    <w:rsid w:val="00445D5F"/>
    <w:rsid w:val="0044788D"/>
    <w:rsid w:val="00447BCA"/>
    <w:rsid w:val="00450DA9"/>
    <w:rsid w:val="00450E2A"/>
    <w:rsid w:val="00450EB8"/>
    <w:rsid w:val="004510F8"/>
    <w:rsid w:val="0045110B"/>
    <w:rsid w:val="0045170D"/>
    <w:rsid w:val="00457262"/>
    <w:rsid w:val="00460418"/>
    <w:rsid w:val="00460977"/>
    <w:rsid w:val="00460DF0"/>
    <w:rsid w:val="004615EB"/>
    <w:rsid w:val="00461609"/>
    <w:rsid w:val="00462E2E"/>
    <w:rsid w:val="00463949"/>
    <w:rsid w:val="00464693"/>
    <w:rsid w:val="00465370"/>
    <w:rsid w:val="00466956"/>
    <w:rsid w:val="00467F2A"/>
    <w:rsid w:val="00470E11"/>
    <w:rsid w:val="00472731"/>
    <w:rsid w:val="00473EB2"/>
    <w:rsid w:val="00473F8D"/>
    <w:rsid w:val="004745DB"/>
    <w:rsid w:val="0047492C"/>
    <w:rsid w:val="00477ACB"/>
    <w:rsid w:val="0048041A"/>
    <w:rsid w:val="00481B97"/>
    <w:rsid w:val="004822FF"/>
    <w:rsid w:val="004830F7"/>
    <w:rsid w:val="004833EB"/>
    <w:rsid w:val="0048352E"/>
    <w:rsid w:val="00483A85"/>
    <w:rsid w:val="00484797"/>
    <w:rsid w:val="00484BA7"/>
    <w:rsid w:val="00485EDC"/>
    <w:rsid w:val="004871F1"/>
    <w:rsid w:val="00487BFE"/>
    <w:rsid w:val="00490F26"/>
    <w:rsid w:val="00490F5F"/>
    <w:rsid w:val="004915B3"/>
    <w:rsid w:val="00491815"/>
    <w:rsid w:val="00491EBC"/>
    <w:rsid w:val="00493352"/>
    <w:rsid w:val="0049399F"/>
    <w:rsid w:val="004950D3"/>
    <w:rsid w:val="004951D6"/>
    <w:rsid w:val="00496D40"/>
    <w:rsid w:val="00497558"/>
    <w:rsid w:val="00497776"/>
    <w:rsid w:val="00497F42"/>
    <w:rsid w:val="004A0D86"/>
    <w:rsid w:val="004A40B2"/>
    <w:rsid w:val="004A5E75"/>
    <w:rsid w:val="004A64BA"/>
    <w:rsid w:val="004B2BB4"/>
    <w:rsid w:val="004B2FC2"/>
    <w:rsid w:val="004B390E"/>
    <w:rsid w:val="004B3EBE"/>
    <w:rsid w:val="004B4254"/>
    <w:rsid w:val="004B448A"/>
    <w:rsid w:val="004B4764"/>
    <w:rsid w:val="004B493F"/>
    <w:rsid w:val="004B5284"/>
    <w:rsid w:val="004B5ED4"/>
    <w:rsid w:val="004B7AF0"/>
    <w:rsid w:val="004B7C36"/>
    <w:rsid w:val="004C127F"/>
    <w:rsid w:val="004C172B"/>
    <w:rsid w:val="004C1921"/>
    <w:rsid w:val="004C1E62"/>
    <w:rsid w:val="004C328D"/>
    <w:rsid w:val="004C3400"/>
    <w:rsid w:val="004C4569"/>
    <w:rsid w:val="004C4771"/>
    <w:rsid w:val="004C6853"/>
    <w:rsid w:val="004C72B7"/>
    <w:rsid w:val="004C7B93"/>
    <w:rsid w:val="004C7BB4"/>
    <w:rsid w:val="004D08C7"/>
    <w:rsid w:val="004D2671"/>
    <w:rsid w:val="004D271A"/>
    <w:rsid w:val="004D2982"/>
    <w:rsid w:val="004D299D"/>
    <w:rsid w:val="004D3432"/>
    <w:rsid w:val="004D3CBC"/>
    <w:rsid w:val="004D750B"/>
    <w:rsid w:val="004E0658"/>
    <w:rsid w:val="004E1BB3"/>
    <w:rsid w:val="004E1C1C"/>
    <w:rsid w:val="004E27DC"/>
    <w:rsid w:val="004E2EB5"/>
    <w:rsid w:val="004E31FE"/>
    <w:rsid w:val="004E3B55"/>
    <w:rsid w:val="004E3EDD"/>
    <w:rsid w:val="004E44CD"/>
    <w:rsid w:val="004E4A1A"/>
    <w:rsid w:val="004E56DC"/>
    <w:rsid w:val="004E5D87"/>
    <w:rsid w:val="004E685C"/>
    <w:rsid w:val="004E6EEA"/>
    <w:rsid w:val="004E73AC"/>
    <w:rsid w:val="004F164D"/>
    <w:rsid w:val="004F18FB"/>
    <w:rsid w:val="004F2B70"/>
    <w:rsid w:val="004F330E"/>
    <w:rsid w:val="004F3487"/>
    <w:rsid w:val="004F3528"/>
    <w:rsid w:val="004F3A7F"/>
    <w:rsid w:val="004F5E36"/>
    <w:rsid w:val="0050007A"/>
    <w:rsid w:val="00502107"/>
    <w:rsid w:val="00502A4E"/>
    <w:rsid w:val="00502FCA"/>
    <w:rsid w:val="00503EDA"/>
    <w:rsid w:val="00504404"/>
    <w:rsid w:val="00504728"/>
    <w:rsid w:val="0050678B"/>
    <w:rsid w:val="005074C5"/>
    <w:rsid w:val="00510653"/>
    <w:rsid w:val="00510CFE"/>
    <w:rsid w:val="0051111F"/>
    <w:rsid w:val="005111FC"/>
    <w:rsid w:val="005113E3"/>
    <w:rsid w:val="00511574"/>
    <w:rsid w:val="00513027"/>
    <w:rsid w:val="0052068B"/>
    <w:rsid w:val="00521290"/>
    <w:rsid w:val="00521311"/>
    <w:rsid w:val="005214A8"/>
    <w:rsid w:val="00523B45"/>
    <w:rsid w:val="005252D6"/>
    <w:rsid w:val="005278B3"/>
    <w:rsid w:val="005304C6"/>
    <w:rsid w:val="00530F33"/>
    <w:rsid w:val="00531FEA"/>
    <w:rsid w:val="005334D9"/>
    <w:rsid w:val="005362F6"/>
    <w:rsid w:val="0053661B"/>
    <w:rsid w:val="005367EB"/>
    <w:rsid w:val="00536A86"/>
    <w:rsid w:val="00536F7F"/>
    <w:rsid w:val="00537A50"/>
    <w:rsid w:val="00540A45"/>
    <w:rsid w:val="00541A5C"/>
    <w:rsid w:val="00541E0D"/>
    <w:rsid w:val="00542C4B"/>
    <w:rsid w:val="005455EF"/>
    <w:rsid w:val="0054622B"/>
    <w:rsid w:val="0054747F"/>
    <w:rsid w:val="005507A6"/>
    <w:rsid w:val="005518C4"/>
    <w:rsid w:val="00552C0D"/>
    <w:rsid w:val="00553631"/>
    <w:rsid w:val="00553963"/>
    <w:rsid w:val="00553B2C"/>
    <w:rsid w:val="005541F7"/>
    <w:rsid w:val="00555605"/>
    <w:rsid w:val="00557E8F"/>
    <w:rsid w:val="005609E5"/>
    <w:rsid w:val="00560A10"/>
    <w:rsid w:val="00560D3E"/>
    <w:rsid w:val="00563002"/>
    <w:rsid w:val="005632E1"/>
    <w:rsid w:val="00563647"/>
    <w:rsid w:val="005643EA"/>
    <w:rsid w:val="0056498D"/>
    <w:rsid w:val="00564D7A"/>
    <w:rsid w:val="00565724"/>
    <w:rsid w:val="00565AF5"/>
    <w:rsid w:val="00565F76"/>
    <w:rsid w:val="005666DC"/>
    <w:rsid w:val="0056699D"/>
    <w:rsid w:val="005701DF"/>
    <w:rsid w:val="00570E7B"/>
    <w:rsid w:val="00571767"/>
    <w:rsid w:val="005718F6"/>
    <w:rsid w:val="00571E18"/>
    <w:rsid w:val="00572374"/>
    <w:rsid w:val="005730AF"/>
    <w:rsid w:val="005735D6"/>
    <w:rsid w:val="00573C99"/>
    <w:rsid w:val="005753FE"/>
    <w:rsid w:val="0057611E"/>
    <w:rsid w:val="00577EBF"/>
    <w:rsid w:val="00580FD8"/>
    <w:rsid w:val="00581A01"/>
    <w:rsid w:val="00581AC7"/>
    <w:rsid w:val="00583468"/>
    <w:rsid w:val="005838C4"/>
    <w:rsid w:val="00583C38"/>
    <w:rsid w:val="00584080"/>
    <w:rsid w:val="00584BB2"/>
    <w:rsid w:val="0058542F"/>
    <w:rsid w:val="00585CCA"/>
    <w:rsid w:val="00590008"/>
    <w:rsid w:val="0059174C"/>
    <w:rsid w:val="00593D2D"/>
    <w:rsid w:val="00595F1B"/>
    <w:rsid w:val="00596477"/>
    <w:rsid w:val="00596C63"/>
    <w:rsid w:val="005A08F9"/>
    <w:rsid w:val="005A2946"/>
    <w:rsid w:val="005A55F2"/>
    <w:rsid w:val="005A6427"/>
    <w:rsid w:val="005A6F9E"/>
    <w:rsid w:val="005A76C8"/>
    <w:rsid w:val="005B3B69"/>
    <w:rsid w:val="005B3FFF"/>
    <w:rsid w:val="005B4CCE"/>
    <w:rsid w:val="005B7951"/>
    <w:rsid w:val="005C0A38"/>
    <w:rsid w:val="005C11BF"/>
    <w:rsid w:val="005C3C70"/>
    <w:rsid w:val="005C4151"/>
    <w:rsid w:val="005C4A71"/>
    <w:rsid w:val="005C560E"/>
    <w:rsid w:val="005C5BB1"/>
    <w:rsid w:val="005C5C59"/>
    <w:rsid w:val="005C6B6B"/>
    <w:rsid w:val="005C6E99"/>
    <w:rsid w:val="005D00F0"/>
    <w:rsid w:val="005D1786"/>
    <w:rsid w:val="005D217B"/>
    <w:rsid w:val="005D4B51"/>
    <w:rsid w:val="005D5266"/>
    <w:rsid w:val="005D57D5"/>
    <w:rsid w:val="005D5EED"/>
    <w:rsid w:val="005D614B"/>
    <w:rsid w:val="005D705C"/>
    <w:rsid w:val="005E1D0F"/>
    <w:rsid w:val="005E28D5"/>
    <w:rsid w:val="005E2DE2"/>
    <w:rsid w:val="005E3579"/>
    <w:rsid w:val="005E5E78"/>
    <w:rsid w:val="005E6876"/>
    <w:rsid w:val="005E6A51"/>
    <w:rsid w:val="005E7780"/>
    <w:rsid w:val="005E7A54"/>
    <w:rsid w:val="005F0C16"/>
    <w:rsid w:val="005F2BF4"/>
    <w:rsid w:val="005F392B"/>
    <w:rsid w:val="005F3AA5"/>
    <w:rsid w:val="005F3DE9"/>
    <w:rsid w:val="005F5E6C"/>
    <w:rsid w:val="005F5F6F"/>
    <w:rsid w:val="006004BA"/>
    <w:rsid w:val="00600EAE"/>
    <w:rsid w:val="00601D22"/>
    <w:rsid w:val="0060221D"/>
    <w:rsid w:val="006033A3"/>
    <w:rsid w:val="006059D3"/>
    <w:rsid w:val="00606DBC"/>
    <w:rsid w:val="006117C4"/>
    <w:rsid w:val="00611CCD"/>
    <w:rsid w:val="00612AD2"/>
    <w:rsid w:val="00613AFE"/>
    <w:rsid w:val="00615C23"/>
    <w:rsid w:val="006201F1"/>
    <w:rsid w:val="00620F7A"/>
    <w:rsid w:val="00621634"/>
    <w:rsid w:val="0062272E"/>
    <w:rsid w:val="00623261"/>
    <w:rsid w:val="006243B9"/>
    <w:rsid w:val="00624EC2"/>
    <w:rsid w:val="0062608B"/>
    <w:rsid w:val="006268B5"/>
    <w:rsid w:val="00627682"/>
    <w:rsid w:val="00627A62"/>
    <w:rsid w:val="00627B73"/>
    <w:rsid w:val="00631411"/>
    <w:rsid w:val="00631D9A"/>
    <w:rsid w:val="006339FB"/>
    <w:rsid w:val="006345F2"/>
    <w:rsid w:val="006350EF"/>
    <w:rsid w:val="00635F2A"/>
    <w:rsid w:val="00636273"/>
    <w:rsid w:val="00637260"/>
    <w:rsid w:val="006402C2"/>
    <w:rsid w:val="00640ABE"/>
    <w:rsid w:val="00641948"/>
    <w:rsid w:val="00642D09"/>
    <w:rsid w:val="00644E5B"/>
    <w:rsid w:val="0064577B"/>
    <w:rsid w:val="00645CB3"/>
    <w:rsid w:val="0064600A"/>
    <w:rsid w:val="00646828"/>
    <w:rsid w:val="00650DDE"/>
    <w:rsid w:val="006521A4"/>
    <w:rsid w:val="00652901"/>
    <w:rsid w:val="00652A33"/>
    <w:rsid w:val="00655013"/>
    <w:rsid w:val="00656766"/>
    <w:rsid w:val="0065737A"/>
    <w:rsid w:val="00657522"/>
    <w:rsid w:val="00661656"/>
    <w:rsid w:val="00662C81"/>
    <w:rsid w:val="00663681"/>
    <w:rsid w:val="00665647"/>
    <w:rsid w:val="00665D69"/>
    <w:rsid w:val="00666C88"/>
    <w:rsid w:val="00671A22"/>
    <w:rsid w:val="0067368F"/>
    <w:rsid w:val="00673E89"/>
    <w:rsid w:val="006758DE"/>
    <w:rsid w:val="00677035"/>
    <w:rsid w:val="0067752C"/>
    <w:rsid w:val="00677B0F"/>
    <w:rsid w:val="00680444"/>
    <w:rsid w:val="00680658"/>
    <w:rsid w:val="006843E4"/>
    <w:rsid w:val="0068508C"/>
    <w:rsid w:val="00685625"/>
    <w:rsid w:val="006868A8"/>
    <w:rsid w:val="00691F0F"/>
    <w:rsid w:val="00692E7A"/>
    <w:rsid w:val="006955E4"/>
    <w:rsid w:val="00695D6F"/>
    <w:rsid w:val="00696622"/>
    <w:rsid w:val="006970D8"/>
    <w:rsid w:val="006A0570"/>
    <w:rsid w:val="006A4300"/>
    <w:rsid w:val="006A4760"/>
    <w:rsid w:val="006A47B9"/>
    <w:rsid w:val="006A5535"/>
    <w:rsid w:val="006A63B5"/>
    <w:rsid w:val="006A6836"/>
    <w:rsid w:val="006B141D"/>
    <w:rsid w:val="006B393C"/>
    <w:rsid w:val="006B3BE7"/>
    <w:rsid w:val="006B4638"/>
    <w:rsid w:val="006B5ED6"/>
    <w:rsid w:val="006B6846"/>
    <w:rsid w:val="006B78C2"/>
    <w:rsid w:val="006B7FBB"/>
    <w:rsid w:val="006C07A4"/>
    <w:rsid w:val="006C1321"/>
    <w:rsid w:val="006C26BB"/>
    <w:rsid w:val="006C38FE"/>
    <w:rsid w:val="006C45FA"/>
    <w:rsid w:val="006C47CF"/>
    <w:rsid w:val="006C5524"/>
    <w:rsid w:val="006C5744"/>
    <w:rsid w:val="006C5863"/>
    <w:rsid w:val="006C5F75"/>
    <w:rsid w:val="006C63A8"/>
    <w:rsid w:val="006C670C"/>
    <w:rsid w:val="006C6755"/>
    <w:rsid w:val="006D0863"/>
    <w:rsid w:val="006D09DB"/>
    <w:rsid w:val="006D0B3D"/>
    <w:rsid w:val="006D11E8"/>
    <w:rsid w:val="006D28B8"/>
    <w:rsid w:val="006D3EA5"/>
    <w:rsid w:val="006D4334"/>
    <w:rsid w:val="006D5E6C"/>
    <w:rsid w:val="006D6915"/>
    <w:rsid w:val="006D6966"/>
    <w:rsid w:val="006D745D"/>
    <w:rsid w:val="006E0A92"/>
    <w:rsid w:val="006E0EAE"/>
    <w:rsid w:val="006E25C2"/>
    <w:rsid w:val="006E2622"/>
    <w:rsid w:val="006E35B7"/>
    <w:rsid w:val="006E68D3"/>
    <w:rsid w:val="006F0D10"/>
    <w:rsid w:val="006F1CA0"/>
    <w:rsid w:val="006F2884"/>
    <w:rsid w:val="006F29B8"/>
    <w:rsid w:val="006F3D4D"/>
    <w:rsid w:val="00700C4D"/>
    <w:rsid w:val="007027C4"/>
    <w:rsid w:val="00702B80"/>
    <w:rsid w:val="00703723"/>
    <w:rsid w:val="00703C0F"/>
    <w:rsid w:val="00704011"/>
    <w:rsid w:val="00705ABE"/>
    <w:rsid w:val="00705B3D"/>
    <w:rsid w:val="00706208"/>
    <w:rsid w:val="00710A90"/>
    <w:rsid w:val="00710F16"/>
    <w:rsid w:val="007116A7"/>
    <w:rsid w:val="00711D2D"/>
    <w:rsid w:val="007123A8"/>
    <w:rsid w:val="00712CEB"/>
    <w:rsid w:val="00713894"/>
    <w:rsid w:val="00714677"/>
    <w:rsid w:val="00714F96"/>
    <w:rsid w:val="00715947"/>
    <w:rsid w:val="00716387"/>
    <w:rsid w:val="00716399"/>
    <w:rsid w:val="00716556"/>
    <w:rsid w:val="00716E7E"/>
    <w:rsid w:val="00721E6A"/>
    <w:rsid w:val="007230FC"/>
    <w:rsid w:val="007248CC"/>
    <w:rsid w:val="007253C7"/>
    <w:rsid w:val="00725B39"/>
    <w:rsid w:val="00726B0D"/>
    <w:rsid w:val="00730DA8"/>
    <w:rsid w:val="0073197D"/>
    <w:rsid w:val="00731D35"/>
    <w:rsid w:val="00733F26"/>
    <w:rsid w:val="00734507"/>
    <w:rsid w:val="0073768A"/>
    <w:rsid w:val="00740BBE"/>
    <w:rsid w:val="00741ABD"/>
    <w:rsid w:val="00741D07"/>
    <w:rsid w:val="007444B6"/>
    <w:rsid w:val="00746AC5"/>
    <w:rsid w:val="007500E9"/>
    <w:rsid w:val="0075034C"/>
    <w:rsid w:val="00750608"/>
    <w:rsid w:val="00751773"/>
    <w:rsid w:val="00751E66"/>
    <w:rsid w:val="007528E3"/>
    <w:rsid w:val="0075450E"/>
    <w:rsid w:val="00755AE4"/>
    <w:rsid w:val="0075791A"/>
    <w:rsid w:val="007608A3"/>
    <w:rsid w:val="007620C9"/>
    <w:rsid w:val="00762FD2"/>
    <w:rsid w:val="007637A0"/>
    <w:rsid w:val="007638C7"/>
    <w:rsid w:val="007644D7"/>
    <w:rsid w:val="0076478F"/>
    <w:rsid w:val="00766732"/>
    <w:rsid w:val="00767D16"/>
    <w:rsid w:val="0077163C"/>
    <w:rsid w:val="00772EE4"/>
    <w:rsid w:val="00777924"/>
    <w:rsid w:val="00780697"/>
    <w:rsid w:val="007806E8"/>
    <w:rsid w:val="007807F4"/>
    <w:rsid w:val="00780CE6"/>
    <w:rsid w:val="0078100D"/>
    <w:rsid w:val="007826DC"/>
    <w:rsid w:val="00784B44"/>
    <w:rsid w:val="00786220"/>
    <w:rsid w:val="007878C7"/>
    <w:rsid w:val="00787DE8"/>
    <w:rsid w:val="007928F9"/>
    <w:rsid w:val="007950AC"/>
    <w:rsid w:val="00795DEE"/>
    <w:rsid w:val="007978B5"/>
    <w:rsid w:val="007979F9"/>
    <w:rsid w:val="007A10A3"/>
    <w:rsid w:val="007A2022"/>
    <w:rsid w:val="007A4820"/>
    <w:rsid w:val="007A5E69"/>
    <w:rsid w:val="007A600E"/>
    <w:rsid w:val="007A7D9F"/>
    <w:rsid w:val="007B0101"/>
    <w:rsid w:val="007B22C6"/>
    <w:rsid w:val="007B79DB"/>
    <w:rsid w:val="007C162A"/>
    <w:rsid w:val="007C4FF0"/>
    <w:rsid w:val="007C6796"/>
    <w:rsid w:val="007C76FC"/>
    <w:rsid w:val="007D0EC3"/>
    <w:rsid w:val="007D1EC3"/>
    <w:rsid w:val="007D3CA2"/>
    <w:rsid w:val="007D53BF"/>
    <w:rsid w:val="007D5D49"/>
    <w:rsid w:val="007D7BAA"/>
    <w:rsid w:val="007D7F45"/>
    <w:rsid w:val="007E0706"/>
    <w:rsid w:val="007E0B96"/>
    <w:rsid w:val="007E1E53"/>
    <w:rsid w:val="007E265C"/>
    <w:rsid w:val="007E5384"/>
    <w:rsid w:val="007E6929"/>
    <w:rsid w:val="007E6AED"/>
    <w:rsid w:val="007E6FC9"/>
    <w:rsid w:val="007F01C1"/>
    <w:rsid w:val="007F0D7A"/>
    <w:rsid w:val="007F12E6"/>
    <w:rsid w:val="007F131D"/>
    <w:rsid w:val="007F1642"/>
    <w:rsid w:val="007F2769"/>
    <w:rsid w:val="007F406F"/>
    <w:rsid w:val="007F4348"/>
    <w:rsid w:val="007F62A4"/>
    <w:rsid w:val="007F6EA9"/>
    <w:rsid w:val="007F7506"/>
    <w:rsid w:val="007F7C11"/>
    <w:rsid w:val="00800490"/>
    <w:rsid w:val="00800E03"/>
    <w:rsid w:val="00801155"/>
    <w:rsid w:val="00801FD8"/>
    <w:rsid w:val="0080332A"/>
    <w:rsid w:val="00803438"/>
    <w:rsid w:val="00806EB8"/>
    <w:rsid w:val="0080754D"/>
    <w:rsid w:val="0081047B"/>
    <w:rsid w:val="0081085C"/>
    <w:rsid w:val="008125C8"/>
    <w:rsid w:val="008126E8"/>
    <w:rsid w:val="008132F8"/>
    <w:rsid w:val="00814696"/>
    <w:rsid w:val="00814CC6"/>
    <w:rsid w:val="00815C4B"/>
    <w:rsid w:val="008226B4"/>
    <w:rsid w:val="008244DC"/>
    <w:rsid w:val="008248AF"/>
    <w:rsid w:val="0082550C"/>
    <w:rsid w:val="00825A2E"/>
    <w:rsid w:val="008307A8"/>
    <w:rsid w:val="00831ECD"/>
    <w:rsid w:val="00832F6C"/>
    <w:rsid w:val="00834AAB"/>
    <w:rsid w:val="00834F6A"/>
    <w:rsid w:val="008356B1"/>
    <w:rsid w:val="00835C08"/>
    <w:rsid w:val="00835E9A"/>
    <w:rsid w:val="00835F82"/>
    <w:rsid w:val="00836CA6"/>
    <w:rsid w:val="008377C0"/>
    <w:rsid w:val="008429F2"/>
    <w:rsid w:val="00843220"/>
    <w:rsid w:val="00843D65"/>
    <w:rsid w:val="0084446F"/>
    <w:rsid w:val="008447D0"/>
    <w:rsid w:val="00846F79"/>
    <w:rsid w:val="00850383"/>
    <w:rsid w:val="008506D9"/>
    <w:rsid w:val="00851532"/>
    <w:rsid w:val="0085240C"/>
    <w:rsid w:val="00853490"/>
    <w:rsid w:val="008547AE"/>
    <w:rsid w:val="0085616F"/>
    <w:rsid w:val="0085665D"/>
    <w:rsid w:val="008566B0"/>
    <w:rsid w:val="008569C6"/>
    <w:rsid w:val="008606BF"/>
    <w:rsid w:val="0086071E"/>
    <w:rsid w:val="008607C4"/>
    <w:rsid w:val="00860A2B"/>
    <w:rsid w:val="00860DB7"/>
    <w:rsid w:val="00861068"/>
    <w:rsid w:val="0086120E"/>
    <w:rsid w:val="008613C3"/>
    <w:rsid w:val="00862879"/>
    <w:rsid w:val="00862EE2"/>
    <w:rsid w:val="00863003"/>
    <w:rsid w:val="008638EC"/>
    <w:rsid w:val="00865611"/>
    <w:rsid w:val="00866112"/>
    <w:rsid w:val="008665C9"/>
    <w:rsid w:val="00866ABA"/>
    <w:rsid w:val="00866E69"/>
    <w:rsid w:val="00866E74"/>
    <w:rsid w:val="008724AD"/>
    <w:rsid w:val="00872B7A"/>
    <w:rsid w:val="00872BE3"/>
    <w:rsid w:val="008731A5"/>
    <w:rsid w:val="008742FB"/>
    <w:rsid w:val="008745DF"/>
    <w:rsid w:val="00874BAD"/>
    <w:rsid w:val="0087666E"/>
    <w:rsid w:val="00876A8F"/>
    <w:rsid w:val="00877091"/>
    <w:rsid w:val="008774DE"/>
    <w:rsid w:val="008804E9"/>
    <w:rsid w:val="008804F7"/>
    <w:rsid w:val="00882158"/>
    <w:rsid w:val="008825FA"/>
    <w:rsid w:val="0088274C"/>
    <w:rsid w:val="00882A20"/>
    <w:rsid w:val="00882D1E"/>
    <w:rsid w:val="008837A6"/>
    <w:rsid w:val="00885917"/>
    <w:rsid w:val="008863A9"/>
    <w:rsid w:val="008876AA"/>
    <w:rsid w:val="00887E51"/>
    <w:rsid w:val="00891AFE"/>
    <w:rsid w:val="008923D2"/>
    <w:rsid w:val="00892408"/>
    <w:rsid w:val="0089248E"/>
    <w:rsid w:val="00893B6C"/>
    <w:rsid w:val="00894241"/>
    <w:rsid w:val="0089453C"/>
    <w:rsid w:val="008952A4"/>
    <w:rsid w:val="008970D0"/>
    <w:rsid w:val="00897363"/>
    <w:rsid w:val="008A003F"/>
    <w:rsid w:val="008A1BCE"/>
    <w:rsid w:val="008A207E"/>
    <w:rsid w:val="008A23C3"/>
    <w:rsid w:val="008A2894"/>
    <w:rsid w:val="008A299C"/>
    <w:rsid w:val="008A3313"/>
    <w:rsid w:val="008A345E"/>
    <w:rsid w:val="008A5286"/>
    <w:rsid w:val="008A6394"/>
    <w:rsid w:val="008A6BF7"/>
    <w:rsid w:val="008A7276"/>
    <w:rsid w:val="008B0388"/>
    <w:rsid w:val="008B0C57"/>
    <w:rsid w:val="008B17AB"/>
    <w:rsid w:val="008B18B2"/>
    <w:rsid w:val="008B1D73"/>
    <w:rsid w:val="008B3EDD"/>
    <w:rsid w:val="008B4305"/>
    <w:rsid w:val="008B6DE6"/>
    <w:rsid w:val="008B6F1C"/>
    <w:rsid w:val="008B77FF"/>
    <w:rsid w:val="008C089F"/>
    <w:rsid w:val="008C11C7"/>
    <w:rsid w:val="008C2756"/>
    <w:rsid w:val="008C4C7F"/>
    <w:rsid w:val="008C5A1F"/>
    <w:rsid w:val="008C61A2"/>
    <w:rsid w:val="008C6ABA"/>
    <w:rsid w:val="008C6AC5"/>
    <w:rsid w:val="008C70F4"/>
    <w:rsid w:val="008D102F"/>
    <w:rsid w:val="008D2B73"/>
    <w:rsid w:val="008D48FF"/>
    <w:rsid w:val="008D5B20"/>
    <w:rsid w:val="008D606C"/>
    <w:rsid w:val="008D659D"/>
    <w:rsid w:val="008E0821"/>
    <w:rsid w:val="008E0DFA"/>
    <w:rsid w:val="008E126C"/>
    <w:rsid w:val="008E134D"/>
    <w:rsid w:val="008E1E72"/>
    <w:rsid w:val="008E22F9"/>
    <w:rsid w:val="008E2AE8"/>
    <w:rsid w:val="008E3F26"/>
    <w:rsid w:val="008E4008"/>
    <w:rsid w:val="008E4894"/>
    <w:rsid w:val="008E4986"/>
    <w:rsid w:val="008E4999"/>
    <w:rsid w:val="008E5156"/>
    <w:rsid w:val="008E57F3"/>
    <w:rsid w:val="008E58C6"/>
    <w:rsid w:val="008E5D00"/>
    <w:rsid w:val="008E602E"/>
    <w:rsid w:val="008E6770"/>
    <w:rsid w:val="008E6991"/>
    <w:rsid w:val="008E6B5E"/>
    <w:rsid w:val="008E6E2F"/>
    <w:rsid w:val="008E74A8"/>
    <w:rsid w:val="008F0E7B"/>
    <w:rsid w:val="008F217A"/>
    <w:rsid w:val="008F3631"/>
    <w:rsid w:val="008F48D9"/>
    <w:rsid w:val="008F4A28"/>
    <w:rsid w:val="008F6151"/>
    <w:rsid w:val="008F6818"/>
    <w:rsid w:val="008F6E1D"/>
    <w:rsid w:val="00900167"/>
    <w:rsid w:val="009002D8"/>
    <w:rsid w:val="00901B12"/>
    <w:rsid w:val="009031BC"/>
    <w:rsid w:val="00903B81"/>
    <w:rsid w:val="009040B6"/>
    <w:rsid w:val="009045E4"/>
    <w:rsid w:val="00905479"/>
    <w:rsid w:val="00905A55"/>
    <w:rsid w:val="009062F0"/>
    <w:rsid w:val="00907A21"/>
    <w:rsid w:val="00910153"/>
    <w:rsid w:val="00910A58"/>
    <w:rsid w:val="009121B2"/>
    <w:rsid w:val="009124A1"/>
    <w:rsid w:val="0091317F"/>
    <w:rsid w:val="00913234"/>
    <w:rsid w:val="009135C7"/>
    <w:rsid w:val="0091364A"/>
    <w:rsid w:val="009136AD"/>
    <w:rsid w:val="00914567"/>
    <w:rsid w:val="009151EB"/>
    <w:rsid w:val="00916B4B"/>
    <w:rsid w:val="00917779"/>
    <w:rsid w:val="009225EB"/>
    <w:rsid w:val="00922CC8"/>
    <w:rsid w:val="009236AE"/>
    <w:rsid w:val="0092387E"/>
    <w:rsid w:val="00923DDC"/>
    <w:rsid w:val="00925936"/>
    <w:rsid w:val="00925CC4"/>
    <w:rsid w:val="009263F0"/>
    <w:rsid w:val="00926D9E"/>
    <w:rsid w:val="00927CA4"/>
    <w:rsid w:val="00931039"/>
    <w:rsid w:val="00931C54"/>
    <w:rsid w:val="00932864"/>
    <w:rsid w:val="009334DE"/>
    <w:rsid w:val="0093370A"/>
    <w:rsid w:val="00934163"/>
    <w:rsid w:val="00934F1B"/>
    <w:rsid w:val="00934F45"/>
    <w:rsid w:val="00935422"/>
    <w:rsid w:val="0093702A"/>
    <w:rsid w:val="00941117"/>
    <w:rsid w:val="009414CA"/>
    <w:rsid w:val="009416B7"/>
    <w:rsid w:val="00941B78"/>
    <w:rsid w:val="00943383"/>
    <w:rsid w:val="009451A7"/>
    <w:rsid w:val="009457B3"/>
    <w:rsid w:val="009474E8"/>
    <w:rsid w:val="00950151"/>
    <w:rsid w:val="0095097A"/>
    <w:rsid w:val="00950B8B"/>
    <w:rsid w:val="00950D8C"/>
    <w:rsid w:val="00951071"/>
    <w:rsid w:val="00951B6E"/>
    <w:rsid w:val="00952A20"/>
    <w:rsid w:val="00953A00"/>
    <w:rsid w:val="00953B2B"/>
    <w:rsid w:val="009548F9"/>
    <w:rsid w:val="00956BC9"/>
    <w:rsid w:val="009603EF"/>
    <w:rsid w:val="00960B45"/>
    <w:rsid w:val="00961046"/>
    <w:rsid w:val="00961614"/>
    <w:rsid w:val="00962884"/>
    <w:rsid w:val="00963B1A"/>
    <w:rsid w:val="00963F36"/>
    <w:rsid w:val="00964333"/>
    <w:rsid w:val="00964C2A"/>
    <w:rsid w:val="00966B60"/>
    <w:rsid w:val="00966BF9"/>
    <w:rsid w:val="00970F56"/>
    <w:rsid w:val="009725DB"/>
    <w:rsid w:val="00974DDD"/>
    <w:rsid w:val="00975D6A"/>
    <w:rsid w:val="009766A6"/>
    <w:rsid w:val="0097692E"/>
    <w:rsid w:val="0098026A"/>
    <w:rsid w:val="00982E7F"/>
    <w:rsid w:val="00983603"/>
    <w:rsid w:val="0098411A"/>
    <w:rsid w:val="009843D2"/>
    <w:rsid w:val="009847B5"/>
    <w:rsid w:val="009857B0"/>
    <w:rsid w:val="00986515"/>
    <w:rsid w:val="00987F50"/>
    <w:rsid w:val="0099076B"/>
    <w:rsid w:val="009908BB"/>
    <w:rsid w:val="00991BDA"/>
    <w:rsid w:val="00993057"/>
    <w:rsid w:val="00993EB8"/>
    <w:rsid w:val="00993EC9"/>
    <w:rsid w:val="0099410B"/>
    <w:rsid w:val="0099569B"/>
    <w:rsid w:val="00995E73"/>
    <w:rsid w:val="0099641A"/>
    <w:rsid w:val="0099730F"/>
    <w:rsid w:val="009A14A5"/>
    <w:rsid w:val="009A28FB"/>
    <w:rsid w:val="009A3A64"/>
    <w:rsid w:val="009A5862"/>
    <w:rsid w:val="009A5C0A"/>
    <w:rsid w:val="009A5CA8"/>
    <w:rsid w:val="009A6604"/>
    <w:rsid w:val="009A6796"/>
    <w:rsid w:val="009A6C15"/>
    <w:rsid w:val="009B0253"/>
    <w:rsid w:val="009B09ED"/>
    <w:rsid w:val="009B131F"/>
    <w:rsid w:val="009B28A5"/>
    <w:rsid w:val="009B3ACE"/>
    <w:rsid w:val="009B4609"/>
    <w:rsid w:val="009B4B7D"/>
    <w:rsid w:val="009B56C4"/>
    <w:rsid w:val="009B5907"/>
    <w:rsid w:val="009B6FD5"/>
    <w:rsid w:val="009C0E29"/>
    <w:rsid w:val="009C1448"/>
    <w:rsid w:val="009C174B"/>
    <w:rsid w:val="009C1B43"/>
    <w:rsid w:val="009C20E6"/>
    <w:rsid w:val="009C2AE2"/>
    <w:rsid w:val="009C3194"/>
    <w:rsid w:val="009C3EBF"/>
    <w:rsid w:val="009C4425"/>
    <w:rsid w:val="009C5542"/>
    <w:rsid w:val="009D231E"/>
    <w:rsid w:val="009D35BC"/>
    <w:rsid w:val="009D4221"/>
    <w:rsid w:val="009D464A"/>
    <w:rsid w:val="009D4703"/>
    <w:rsid w:val="009D5473"/>
    <w:rsid w:val="009D5A94"/>
    <w:rsid w:val="009D6127"/>
    <w:rsid w:val="009E0D44"/>
    <w:rsid w:val="009E1230"/>
    <w:rsid w:val="009E3528"/>
    <w:rsid w:val="009E498B"/>
    <w:rsid w:val="009E52DF"/>
    <w:rsid w:val="009E63A5"/>
    <w:rsid w:val="009E666A"/>
    <w:rsid w:val="009F10F5"/>
    <w:rsid w:val="009F175E"/>
    <w:rsid w:val="009F1901"/>
    <w:rsid w:val="009F2690"/>
    <w:rsid w:val="009F2912"/>
    <w:rsid w:val="009F2E0D"/>
    <w:rsid w:val="009F2E53"/>
    <w:rsid w:val="009F34C2"/>
    <w:rsid w:val="009F4038"/>
    <w:rsid w:val="009F44AF"/>
    <w:rsid w:val="009F63F4"/>
    <w:rsid w:val="00A02A2D"/>
    <w:rsid w:val="00A02CB5"/>
    <w:rsid w:val="00A03EE6"/>
    <w:rsid w:val="00A059AB"/>
    <w:rsid w:val="00A05B8D"/>
    <w:rsid w:val="00A0754B"/>
    <w:rsid w:val="00A07960"/>
    <w:rsid w:val="00A12514"/>
    <w:rsid w:val="00A12F2D"/>
    <w:rsid w:val="00A1325F"/>
    <w:rsid w:val="00A13DEB"/>
    <w:rsid w:val="00A155AF"/>
    <w:rsid w:val="00A15672"/>
    <w:rsid w:val="00A15964"/>
    <w:rsid w:val="00A15D4A"/>
    <w:rsid w:val="00A16EAC"/>
    <w:rsid w:val="00A1742E"/>
    <w:rsid w:val="00A20236"/>
    <w:rsid w:val="00A20328"/>
    <w:rsid w:val="00A20D20"/>
    <w:rsid w:val="00A219AC"/>
    <w:rsid w:val="00A21CF8"/>
    <w:rsid w:val="00A220F2"/>
    <w:rsid w:val="00A22A90"/>
    <w:rsid w:val="00A23CF9"/>
    <w:rsid w:val="00A23DC7"/>
    <w:rsid w:val="00A24D2F"/>
    <w:rsid w:val="00A25AE2"/>
    <w:rsid w:val="00A25F34"/>
    <w:rsid w:val="00A262E7"/>
    <w:rsid w:val="00A27C0A"/>
    <w:rsid w:val="00A30258"/>
    <w:rsid w:val="00A3043A"/>
    <w:rsid w:val="00A329CC"/>
    <w:rsid w:val="00A335B4"/>
    <w:rsid w:val="00A34323"/>
    <w:rsid w:val="00A3485E"/>
    <w:rsid w:val="00A35FB5"/>
    <w:rsid w:val="00A36033"/>
    <w:rsid w:val="00A36695"/>
    <w:rsid w:val="00A3695F"/>
    <w:rsid w:val="00A375B6"/>
    <w:rsid w:val="00A405CC"/>
    <w:rsid w:val="00A41EF9"/>
    <w:rsid w:val="00A42013"/>
    <w:rsid w:val="00A42617"/>
    <w:rsid w:val="00A446C5"/>
    <w:rsid w:val="00A45591"/>
    <w:rsid w:val="00A45BEB"/>
    <w:rsid w:val="00A469CF"/>
    <w:rsid w:val="00A477A3"/>
    <w:rsid w:val="00A47FEF"/>
    <w:rsid w:val="00A50C93"/>
    <w:rsid w:val="00A51B31"/>
    <w:rsid w:val="00A527D7"/>
    <w:rsid w:val="00A52EE4"/>
    <w:rsid w:val="00A53458"/>
    <w:rsid w:val="00A53B3E"/>
    <w:rsid w:val="00A5424E"/>
    <w:rsid w:val="00A545F3"/>
    <w:rsid w:val="00A54826"/>
    <w:rsid w:val="00A54EC4"/>
    <w:rsid w:val="00A553BC"/>
    <w:rsid w:val="00A5672C"/>
    <w:rsid w:val="00A5790B"/>
    <w:rsid w:val="00A60057"/>
    <w:rsid w:val="00A60DB0"/>
    <w:rsid w:val="00A60E03"/>
    <w:rsid w:val="00A60E94"/>
    <w:rsid w:val="00A61201"/>
    <w:rsid w:val="00A612AB"/>
    <w:rsid w:val="00A63CF2"/>
    <w:rsid w:val="00A65F15"/>
    <w:rsid w:val="00A66893"/>
    <w:rsid w:val="00A66D6E"/>
    <w:rsid w:val="00A6702B"/>
    <w:rsid w:val="00A725AE"/>
    <w:rsid w:val="00A74CD2"/>
    <w:rsid w:val="00A7501E"/>
    <w:rsid w:val="00A753AE"/>
    <w:rsid w:val="00A765B4"/>
    <w:rsid w:val="00A766BA"/>
    <w:rsid w:val="00A801D5"/>
    <w:rsid w:val="00A80551"/>
    <w:rsid w:val="00A809F2"/>
    <w:rsid w:val="00A813C0"/>
    <w:rsid w:val="00A81498"/>
    <w:rsid w:val="00A8178E"/>
    <w:rsid w:val="00A81E29"/>
    <w:rsid w:val="00A82473"/>
    <w:rsid w:val="00A82D12"/>
    <w:rsid w:val="00A83200"/>
    <w:rsid w:val="00A8377E"/>
    <w:rsid w:val="00A84469"/>
    <w:rsid w:val="00A855E0"/>
    <w:rsid w:val="00A8592C"/>
    <w:rsid w:val="00A85A33"/>
    <w:rsid w:val="00A87235"/>
    <w:rsid w:val="00A875F5"/>
    <w:rsid w:val="00A92F66"/>
    <w:rsid w:val="00A95BE7"/>
    <w:rsid w:val="00A96DA7"/>
    <w:rsid w:val="00A97104"/>
    <w:rsid w:val="00A97E79"/>
    <w:rsid w:val="00AA1255"/>
    <w:rsid w:val="00AA1A32"/>
    <w:rsid w:val="00AA3101"/>
    <w:rsid w:val="00AA4AC6"/>
    <w:rsid w:val="00AA7B75"/>
    <w:rsid w:val="00AB13EE"/>
    <w:rsid w:val="00AB1FC2"/>
    <w:rsid w:val="00AB2225"/>
    <w:rsid w:val="00AB3E17"/>
    <w:rsid w:val="00AB48FE"/>
    <w:rsid w:val="00AB734B"/>
    <w:rsid w:val="00AC040B"/>
    <w:rsid w:val="00AC2C5E"/>
    <w:rsid w:val="00AC3E80"/>
    <w:rsid w:val="00AC4271"/>
    <w:rsid w:val="00AC4AA0"/>
    <w:rsid w:val="00AC4AE7"/>
    <w:rsid w:val="00AC616B"/>
    <w:rsid w:val="00AC7B6E"/>
    <w:rsid w:val="00AD0230"/>
    <w:rsid w:val="00AD075A"/>
    <w:rsid w:val="00AD14E9"/>
    <w:rsid w:val="00AD5832"/>
    <w:rsid w:val="00AD68AE"/>
    <w:rsid w:val="00AD6D4E"/>
    <w:rsid w:val="00AE09FD"/>
    <w:rsid w:val="00AE1E49"/>
    <w:rsid w:val="00AE3EB0"/>
    <w:rsid w:val="00AE606B"/>
    <w:rsid w:val="00AE7309"/>
    <w:rsid w:val="00AE7320"/>
    <w:rsid w:val="00AE761F"/>
    <w:rsid w:val="00AE7745"/>
    <w:rsid w:val="00AE78E8"/>
    <w:rsid w:val="00AF027B"/>
    <w:rsid w:val="00AF136F"/>
    <w:rsid w:val="00AF1764"/>
    <w:rsid w:val="00AF237B"/>
    <w:rsid w:val="00AF2394"/>
    <w:rsid w:val="00AF25F1"/>
    <w:rsid w:val="00AF2670"/>
    <w:rsid w:val="00AF2D9B"/>
    <w:rsid w:val="00AF3219"/>
    <w:rsid w:val="00AF3927"/>
    <w:rsid w:val="00AF3BBE"/>
    <w:rsid w:val="00AF4F05"/>
    <w:rsid w:val="00AF5249"/>
    <w:rsid w:val="00AF7AC9"/>
    <w:rsid w:val="00B0069E"/>
    <w:rsid w:val="00B0152D"/>
    <w:rsid w:val="00B020EF"/>
    <w:rsid w:val="00B02A9F"/>
    <w:rsid w:val="00B02EA4"/>
    <w:rsid w:val="00B03770"/>
    <w:rsid w:val="00B05812"/>
    <w:rsid w:val="00B0583F"/>
    <w:rsid w:val="00B05C66"/>
    <w:rsid w:val="00B06C42"/>
    <w:rsid w:val="00B100A7"/>
    <w:rsid w:val="00B10898"/>
    <w:rsid w:val="00B117F4"/>
    <w:rsid w:val="00B1341D"/>
    <w:rsid w:val="00B13ED3"/>
    <w:rsid w:val="00B14281"/>
    <w:rsid w:val="00B144A4"/>
    <w:rsid w:val="00B14A36"/>
    <w:rsid w:val="00B14DEB"/>
    <w:rsid w:val="00B15842"/>
    <w:rsid w:val="00B16D2C"/>
    <w:rsid w:val="00B21F45"/>
    <w:rsid w:val="00B21FAE"/>
    <w:rsid w:val="00B22562"/>
    <w:rsid w:val="00B229EC"/>
    <w:rsid w:val="00B2329E"/>
    <w:rsid w:val="00B238FB"/>
    <w:rsid w:val="00B25036"/>
    <w:rsid w:val="00B25D4E"/>
    <w:rsid w:val="00B26EE6"/>
    <w:rsid w:val="00B27550"/>
    <w:rsid w:val="00B30CB0"/>
    <w:rsid w:val="00B31D5C"/>
    <w:rsid w:val="00B3251A"/>
    <w:rsid w:val="00B32793"/>
    <w:rsid w:val="00B33A26"/>
    <w:rsid w:val="00B359D9"/>
    <w:rsid w:val="00B36E53"/>
    <w:rsid w:val="00B37A0B"/>
    <w:rsid w:val="00B41BBD"/>
    <w:rsid w:val="00B429B6"/>
    <w:rsid w:val="00B43E79"/>
    <w:rsid w:val="00B43FEC"/>
    <w:rsid w:val="00B44187"/>
    <w:rsid w:val="00B44290"/>
    <w:rsid w:val="00B452C0"/>
    <w:rsid w:val="00B463E1"/>
    <w:rsid w:val="00B47888"/>
    <w:rsid w:val="00B516F6"/>
    <w:rsid w:val="00B538B6"/>
    <w:rsid w:val="00B53B50"/>
    <w:rsid w:val="00B54984"/>
    <w:rsid w:val="00B55F25"/>
    <w:rsid w:val="00B56823"/>
    <w:rsid w:val="00B56F11"/>
    <w:rsid w:val="00B61704"/>
    <w:rsid w:val="00B619B0"/>
    <w:rsid w:val="00B61B51"/>
    <w:rsid w:val="00B621F8"/>
    <w:rsid w:val="00B63775"/>
    <w:rsid w:val="00B63879"/>
    <w:rsid w:val="00B63B56"/>
    <w:rsid w:val="00B65040"/>
    <w:rsid w:val="00B66755"/>
    <w:rsid w:val="00B6687F"/>
    <w:rsid w:val="00B673A2"/>
    <w:rsid w:val="00B673B3"/>
    <w:rsid w:val="00B7119E"/>
    <w:rsid w:val="00B73334"/>
    <w:rsid w:val="00B74833"/>
    <w:rsid w:val="00B754F9"/>
    <w:rsid w:val="00B75517"/>
    <w:rsid w:val="00B75C2E"/>
    <w:rsid w:val="00B765FA"/>
    <w:rsid w:val="00B77851"/>
    <w:rsid w:val="00B77BD9"/>
    <w:rsid w:val="00B807BE"/>
    <w:rsid w:val="00B80858"/>
    <w:rsid w:val="00B819CF"/>
    <w:rsid w:val="00B8247F"/>
    <w:rsid w:val="00B83211"/>
    <w:rsid w:val="00B836B7"/>
    <w:rsid w:val="00B83989"/>
    <w:rsid w:val="00B8553E"/>
    <w:rsid w:val="00B87269"/>
    <w:rsid w:val="00B90461"/>
    <w:rsid w:val="00B906FA"/>
    <w:rsid w:val="00B90798"/>
    <w:rsid w:val="00B90998"/>
    <w:rsid w:val="00B921E8"/>
    <w:rsid w:val="00B92AC6"/>
    <w:rsid w:val="00B93AE3"/>
    <w:rsid w:val="00B94B97"/>
    <w:rsid w:val="00B9784F"/>
    <w:rsid w:val="00BA0259"/>
    <w:rsid w:val="00BA0602"/>
    <w:rsid w:val="00BA077B"/>
    <w:rsid w:val="00BA1517"/>
    <w:rsid w:val="00BA1B8D"/>
    <w:rsid w:val="00BA3ECF"/>
    <w:rsid w:val="00BA43CC"/>
    <w:rsid w:val="00BA4C1C"/>
    <w:rsid w:val="00BA4F7D"/>
    <w:rsid w:val="00BA5D21"/>
    <w:rsid w:val="00BA6BE5"/>
    <w:rsid w:val="00BA6C79"/>
    <w:rsid w:val="00BA743E"/>
    <w:rsid w:val="00BA787E"/>
    <w:rsid w:val="00BB183E"/>
    <w:rsid w:val="00BB1CFF"/>
    <w:rsid w:val="00BB3839"/>
    <w:rsid w:val="00BB4683"/>
    <w:rsid w:val="00BB7719"/>
    <w:rsid w:val="00BC104A"/>
    <w:rsid w:val="00BC3FE5"/>
    <w:rsid w:val="00BC43DB"/>
    <w:rsid w:val="00BC4B78"/>
    <w:rsid w:val="00BC6372"/>
    <w:rsid w:val="00BC6AE7"/>
    <w:rsid w:val="00BD0AAF"/>
    <w:rsid w:val="00BD234B"/>
    <w:rsid w:val="00BD2531"/>
    <w:rsid w:val="00BD2D3A"/>
    <w:rsid w:val="00BD30D5"/>
    <w:rsid w:val="00BD3231"/>
    <w:rsid w:val="00BD365F"/>
    <w:rsid w:val="00BD37C0"/>
    <w:rsid w:val="00BD4D64"/>
    <w:rsid w:val="00BD6A4C"/>
    <w:rsid w:val="00BD6ABE"/>
    <w:rsid w:val="00BD6B95"/>
    <w:rsid w:val="00BD7BFE"/>
    <w:rsid w:val="00BE0A1D"/>
    <w:rsid w:val="00BE19A8"/>
    <w:rsid w:val="00BE1B95"/>
    <w:rsid w:val="00BE612F"/>
    <w:rsid w:val="00BE67AE"/>
    <w:rsid w:val="00BF02E5"/>
    <w:rsid w:val="00BF1632"/>
    <w:rsid w:val="00BF22EF"/>
    <w:rsid w:val="00BF2896"/>
    <w:rsid w:val="00BF32AB"/>
    <w:rsid w:val="00BF42CD"/>
    <w:rsid w:val="00BF4CD9"/>
    <w:rsid w:val="00BF54A2"/>
    <w:rsid w:val="00BF578B"/>
    <w:rsid w:val="00BF62BF"/>
    <w:rsid w:val="00BF6521"/>
    <w:rsid w:val="00BF754E"/>
    <w:rsid w:val="00C00AAF"/>
    <w:rsid w:val="00C00BE0"/>
    <w:rsid w:val="00C00EB5"/>
    <w:rsid w:val="00C01069"/>
    <w:rsid w:val="00C02619"/>
    <w:rsid w:val="00C02D69"/>
    <w:rsid w:val="00C0460A"/>
    <w:rsid w:val="00C049A4"/>
    <w:rsid w:val="00C05E28"/>
    <w:rsid w:val="00C0769E"/>
    <w:rsid w:val="00C10783"/>
    <w:rsid w:val="00C10E41"/>
    <w:rsid w:val="00C121CF"/>
    <w:rsid w:val="00C1275E"/>
    <w:rsid w:val="00C13CC9"/>
    <w:rsid w:val="00C14895"/>
    <w:rsid w:val="00C14A67"/>
    <w:rsid w:val="00C1577A"/>
    <w:rsid w:val="00C164C2"/>
    <w:rsid w:val="00C1665B"/>
    <w:rsid w:val="00C16B9C"/>
    <w:rsid w:val="00C16DC2"/>
    <w:rsid w:val="00C20927"/>
    <w:rsid w:val="00C2127B"/>
    <w:rsid w:val="00C2564F"/>
    <w:rsid w:val="00C2797C"/>
    <w:rsid w:val="00C316D2"/>
    <w:rsid w:val="00C320A3"/>
    <w:rsid w:val="00C33E87"/>
    <w:rsid w:val="00C35458"/>
    <w:rsid w:val="00C3706A"/>
    <w:rsid w:val="00C37316"/>
    <w:rsid w:val="00C3747D"/>
    <w:rsid w:val="00C40BF8"/>
    <w:rsid w:val="00C40EFA"/>
    <w:rsid w:val="00C4397B"/>
    <w:rsid w:val="00C43D1D"/>
    <w:rsid w:val="00C452C0"/>
    <w:rsid w:val="00C46AF5"/>
    <w:rsid w:val="00C518D1"/>
    <w:rsid w:val="00C52934"/>
    <w:rsid w:val="00C53DF7"/>
    <w:rsid w:val="00C54BEA"/>
    <w:rsid w:val="00C54CAA"/>
    <w:rsid w:val="00C54F35"/>
    <w:rsid w:val="00C573D7"/>
    <w:rsid w:val="00C6007B"/>
    <w:rsid w:val="00C60C93"/>
    <w:rsid w:val="00C60E45"/>
    <w:rsid w:val="00C6102B"/>
    <w:rsid w:val="00C62254"/>
    <w:rsid w:val="00C642B3"/>
    <w:rsid w:val="00C64848"/>
    <w:rsid w:val="00C65E30"/>
    <w:rsid w:val="00C66328"/>
    <w:rsid w:val="00C6740F"/>
    <w:rsid w:val="00C674F1"/>
    <w:rsid w:val="00C6783F"/>
    <w:rsid w:val="00C704E7"/>
    <w:rsid w:val="00C72F63"/>
    <w:rsid w:val="00C72FC8"/>
    <w:rsid w:val="00C736A0"/>
    <w:rsid w:val="00C73A01"/>
    <w:rsid w:val="00C73C1D"/>
    <w:rsid w:val="00C7454D"/>
    <w:rsid w:val="00C747F5"/>
    <w:rsid w:val="00C74EC4"/>
    <w:rsid w:val="00C74FED"/>
    <w:rsid w:val="00C75B94"/>
    <w:rsid w:val="00C75C58"/>
    <w:rsid w:val="00C75F0D"/>
    <w:rsid w:val="00C76CC3"/>
    <w:rsid w:val="00C771B8"/>
    <w:rsid w:val="00C771C1"/>
    <w:rsid w:val="00C77DA6"/>
    <w:rsid w:val="00C77E05"/>
    <w:rsid w:val="00C8141E"/>
    <w:rsid w:val="00C822D5"/>
    <w:rsid w:val="00C82C23"/>
    <w:rsid w:val="00C82F6F"/>
    <w:rsid w:val="00C847A9"/>
    <w:rsid w:val="00C857F3"/>
    <w:rsid w:val="00C85872"/>
    <w:rsid w:val="00C8611C"/>
    <w:rsid w:val="00C86504"/>
    <w:rsid w:val="00C87651"/>
    <w:rsid w:val="00C877AB"/>
    <w:rsid w:val="00C91614"/>
    <w:rsid w:val="00C92D06"/>
    <w:rsid w:val="00C93CF1"/>
    <w:rsid w:val="00C94F5E"/>
    <w:rsid w:val="00C952C9"/>
    <w:rsid w:val="00C963F7"/>
    <w:rsid w:val="00C96E45"/>
    <w:rsid w:val="00C9771A"/>
    <w:rsid w:val="00C97CC8"/>
    <w:rsid w:val="00C97FF1"/>
    <w:rsid w:val="00CA0892"/>
    <w:rsid w:val="00CA0B3D"/>
    <w:rsid w:val="00CA181D"/>
    <w:rsid w:val="00CA3004"/>
    <w:rsid w:val="00CA380E"/>
    <w:rsid w:val="00CA3E99"/>
    <w:rsid w:val="00CA4ECE"/>
    <w:rsid w:val="00CA4F80"/>
    <w:rsid w:val="00CA684B"/>
    <w:rsid w:val="00CB1F9E"/>
    <w:rsid w:val="00CB252E"/>
    <w:rsid w:val="00CB4129"/>
    <w:rsid w:val="00CB447B"/>
    <w:rsid w:val="00CB4DA3"/>
    <w:rsid w:val="00CB5054"/>
    <w:rsid w:val="00CB5098"/>
    <w:rsid w:val="00CB51EC"/>
    <w:rsid w:val="00CB5723"/>
    <w:rsid w:val="00CB6242"/>
    <w:rsid w:val="00CB664D"/>
    <w:rsid w:val="00CC109D"/>
    <w:rsid w:val="00CC187C"/>
    <w:rsid w:val="00CC1FA1"/>
    <w:rsid w:val="00CC256B"/>
    <w:rsid w:val="00CC3E26"/>
    <w:rsid w:val="00CC4481"/>
    <w:rsid w:val="00CC4955"/>
    <w:rsid w:val="00CC4E76"/>
    <w:rsid w:val="00CC5ECE"/>
    <w:rsid w:val="00CC5F10"/>
    <w:rsid w:val="00CC7911"/>
    <w:rsid w:val="00CC7DF2"/>
    <w:rsid w:val="00CD06F4"/>
    <w:rsid w:val="00CD14E8"/>
    <w:rsid w:val="00CD1BC6"/>
    <w:rsid w:val="00CD2974"/>
    <w:rsid w:val="00CD332B"/>
    <w:rsid w:val="00CD3C8E"/>
    <w:rsid w:val="00CD3FF0"/>
    <w:rsid w:val="00CD5017"/>
    <w:rsid w:val="00CD58C5"/>
    <w:rsid w:val="00CD73A0"/>
    <w:rsid w:val="00CD7CBF"/>
    <w:rsid w:val="00CE1F49"/>
    <w:rsid w:val="00CE22DB"/>
    <w:rsid w:val="00CE3379"/>
    <w:rsid w:val="00CE39A5"/>
    <w:rsid w:val="00CE49BA"/>
    <w:rsid w:val="00CE4BC1"/>
    <w:rsid w:val="00CE5426"/>
    <w:rsid w:val="00CE6373"/>
    <w:rsid w:val="00CE6C11"/>
    <w:rsid w:val="00CE6EEC"/>
    <w:rsid w:val="00CE737B"/>
    <w:rsid w:val="00CF0466"/>
    <w:rsid w:val="00CF04AD"/>
    <w:rsid w:val="00CF2199"/>
    <w:rsid w:val="00CF23B7"/>
    <w:rsid w:val="00CF39AC"/>
    <w:rsid w:val="00CF7024"/>
    <w:rsid w:val="00D01541"/>
    <w:rsid w:val="00D01F5C"/>
    <w:rsid w:val="00D06484"/>
    <w:rsid w:val="00D06A59"/>
    <w:rsid w:val="00D07D04"/>
    <w:rsid w:val="00D07EB3"/>
    <w:rsid w:val="00D10406"/>
    <w:rsid w:val="00D12001"/>
    <w:rsid w:val="00D12D0F"/>
    <w:rsid w:val="00D13AE2"/>
    <w:rsid w:val="00D142DA"/>
    <w:rsid w:val="00D15E18"/>
    <w:rsid w:val="00D15F22"/>
    <w:rsid w:val="00D16DBE"/>
    <w:rsid w:val="00D16E76"/>
    <w:rsid w:val="00D17259"/>
    <w:rsid w:val="00D17983"/>
    <w:rsid w:val="00D22787"/>
    <w:rsid w:val="00D255C2"/>
    <w:rsid w:val="00D27386"/>
    <w:rsid w:val="00D30212"/>
    <w:rsid w:val="00D3064B"/>
    <w:rsid w:val="00D3187C"/>
    <w:rsid w:val="00D365D6"/>
    <w:rsid w:val="00D37A31"/>
    <w:rsid w:val="00D402B0"/>
    <w:rsid w:val="00D40754"/>
    <w:rsid w:val="00D41442"/>
    <w:rsid w:val="00D41913"/>
    <w:rsid w:val="00D4234D"/>
    <w:rsid w:val="00D424E3"/>
    <w:rsid w:val="00D42CFE"/>
    <w:rsid w:val="00D441C3"/>
    <w:rsid w:val="00D45148"/>
    <w:rsid w:val="00D451EA"/>
    <w:rsid w:val="00D46285"/>
    <w:rsid w:val="00D46D55"/>
    <w:rsid w:val="00D473B6"/>
    <w:rsid w:val="00D502A7"/>
    <w:rsid w:val="00D5048B"/>
    <w:rsid w:val="00D50574"/>
    <w:rsid w:val="00D505C3"/>
    <w:rsid w:val="00D52CE7"/>
    <w:rsid w:val="00D5398B"/>
    <w:rsid w:val="00D54630"/>
    <w:rsid w:val="00D54F47"/>
    <w:rsid w:val="00D555BA"/>
    <w:rsid w:val="00D604B2"/>
    <w:rsid w:val="00D61A41"/>
    <w:rsid w:val="00D61E6D"/>
    <w:rsid w:val="00D62E9E"/>
    <w:rsid w:val="00D63A8B"/>
    <w:rsid w:val="00D64541"/>
    <w:rsid w:val="00D64AA4"/>
    <w:rsid w:val="00D64DB3"/>
    <w:rsid w:val="00D6538C"/>
    <w:rsid w:val="00D6585A"/>
    <w:rsid w:val="00D66941"/>
    <w:rsid w:val="00D67496"/>
    <w:rsid w:val="00D67CD6"/>
    <w:rsid w:val="00D70F78"/>
    <w:rsid w:val="00D71A49"/>
    <w:rsid w:val="00D73326"/>
    <w:rsid w:val="00D779CC"/>
    <w:rsid w:val="00D77CB5"/>
    <w:rsid w:val="00D806C9"/>
    <w:rsid w:val="00D81AEE"/>
    <w:rsid w:val="00D824BC"/>
    <w:rsid w:val="00D82CB6"/>
    <w:rsid w:val="00D831C2"/>
    <w:rsid w:val="00D8485D"/>
    <w:rsid w:val="00D85157"/>
    <w:rsid w:val="00D86BA9"/>
    <w:rsid w:val="00D915DD"/>
    <w:rsid w:val="00D9277E"/>
    <w:rsid w:val="00D94001"/>
    <w:rsid w:val="00D941C4"/>
    <w:rsid w:val="00D94F6A"/>
    <w:rsid w:val="00D96A92"/>
    <w:rsid w:val="00D9756F"/>
    <w:rsid w:val="00DA3925"/>
    <w:rsid w:val="00DA39C8"/>
    <w:rsid w:val="00DA3BDB"/>
    <w:rsid w:val="00DA4D06"/>
    <w:rsid w:val="00DA5349"/>
    <w:rsid w:val="00DA5394"/>
    <w:rsid w:val="00DA5F90"/>
    <w:rsid w:val="00DA6656"/>
    <w:rsid w:val="00DA67F4"/>
    <w:rsid w:val="00DA7739"/>
    <w:rsid w:val="00DB0EC5"/>
    <w:rsid w:val="00DB0F83"/>
    <w:rsid w:val="00DB11BE"/>
    <w:rsid w:val="00DB1878"/>
    <w:rsid w:val="00DB25AB"/>
    <w:rsid w:val="00DB26D4"/>
    <w:rsid w:val="00DB272B"/>
    <w:rsid w:val="00DB2A6F"/>
    <w:rsid w:val="00DB3CA7"/>
    <w:rsid w:val="00DB439F"/>
    <w:rsid w:val="00DB7161"/>
    <w:rsid w:val="00DB72AA"/>
    <w:rsid w:val="00DC02A5"/>
    <w:rsid w:val="00DC2FC5"/>
    <w:rsid w:val="00DC51E7"/>
    <w:rsid w:val="00DC78CA"/>
    <w:rsid w:val="00DC7C28"/>
    <w:rsid w:val="00DD03AF"/>
    <w:rsid w:val="00DD062C"/>
    <w:rsid w:val="00DD0748"/>
    <w:rsid w:val="00DD1012"/>
    <w:rsid w:val="00DD29BA"/>
    <w:rsid w:val="00DD2A41"/>
    <w:rsid w:val="00DD2D27"/>
    <w:rsid w:val="00DD50BF"/>
    <w:rsid w:val="00DD61B7"/>
    <w:rsid w:val="00DD6C5C"/>
    <w:rsid w:val="00DD7DBA"/>
    <w:rsid w:val="00DE0B28"/>
    <w:rsid w:val="00DE0E0B"/>
    <w:rsid w:val="00DE19F5"/>
    <w:rsid w:val="00DE1D93"/>
    <w:rsid w:val="00DE2049"/>
    <w:rsid w:val="00DE2174"/>
    <w:rsid w:val="00DE3AA5"/>
    <w:rsid w:val="00DE484C"/>
    <w:rsid w:val="00DE53F2"/>
    <w:rsid w:val="00DE59BA"/>
    <w:rsid w:val="00DE5AEA"/>
    <w:rsid w:val="00DE5B1B"/>
    <w:rsid w:val="00DE5C64"/>
    <w:rsid w:val="00DE7B87"/>
    <w:rsid w:val="00DF0B8F"/>
    <w:rsid w:val="00DF0D88"/>
    <w:rsid w:val="00DF10FB"/>
    <w:rsid w:val="00DF2985"/>
    <w:rsid w:val="00DF317D"/>
    <w:rsid w:val="00DF329F"/>
    <w:rsid w:val="00DF35B5"/>
    <w:rsid w:val="00DF47D7"/>
    <w:rsid w:val="00DF4C74"/>
    <w:rsid w:val="00DF7E08"/>
    <w:rsid w:val="00E009A6"/>
    <w:rsid w:val="00E0132C"/>
    <w:rsid w:val="00E02BEA"/>
    <w:rsid w:val="00E03BB8"/>
    <w:rsid w:val="00E03EB9"/>
    <w:rsid w:val="00E05071"/>
    <w:rsid w:val="00E057C2"/>
    <w:rsid w:val="00E06D5D"/>
    <w:rsid w:val="00E07768"/>
    <w:rsid w:val="00E07D90"/>
    <w:rsid w:val="00E12B04"/>
    <w:rsid w:val="00E132FB"/>
    <w:rsid w:val="00E13A60"/>
    <w:rsid w:val="00E13BFF"/>
    <w:rsid w:val="00E14A9D"/>
    <w:rsid w:val="00E15F66"/>
    <w:rsid w:val="00E167E2"/>
    <w:rsid w:val="00E16B51"/>
    <w:rsid w:val="00E17193"/>
    <w:rsid w:val="00E17DCE"/>
    <w:rsid w:val="00E21394"/>
    <w:rsid w:val="00E21519"/>
    <w:rsid w:val="00E21E05"/>
    <w:rsid w:val="00E2350C"/>
    <w:rsid w:val="00E24683"/>
    <w:rsid w:val="00E2586A"/>
    <w:rsid w:val="00E26E59"/>
    <w:rsid w:val="00E27248"/>
    <w:rsid w:val="00E27254"/>
    <w:rsid w:val="00E2775A"/>
    <w:rsid w:val="00E30CB2"/>
    <w:rsid w:val="00E31304"/>
    <w:rsid w:val="00E3210B"/>
    <w:rsid w:val="00E3237E"/>
    <w:rsid w:val="00E32924"/>
    <w:rsid w:val="00E3322F"/>
    <w:rsid w:val="00E3369D"/>
    <w:rsid w:val="00E33F94"/>
    <w:rsid w:val="00E340AE"/>
    <w:rsid w:val="00E36231"/>
    <w:rsid w:val="00E40C0B"/>
    <w:rsid w:val="00E41C0A"/>
    <w:rsid w:val="00E427FC"/>
    <w:rsid w:val="00E42B42"/>
    <w:rsid w:val="00E45E39"/>
    <w:rsid w:val="00E47123"/>
    <w:rsid w:val="00E5052F"/>
    <w:rsid w:val="00E51168"/>
    <w:rsid w:val="00E51783"/>
    <w:rsid w:val="00E52CAB"/>
    <w:rsid w:val="00E53066"/>
    <w:rsid w:val="00E554A5"/>
    <w:rsid w:val="00E55BF8"/>
    <w:rsid w:val="00E5685D"/>
    <w:rsid w:val="00E57289"/>
    <w:rsid w:val="00E5756D"/>
    <w:rsid w:val="00E578C1"/>
    <w:rsid w:val="00E57F2F"/>
    <w:rsid w:val="00E600EE"/>
    <w:rsid w:val="00E6096F"/>
    <w:rsid w:val="00E609AA"/>
    <w:rsid w:val="00E60B27"/>
    <w:rsid w:val="00E6163B"/>
    <w:rsid w:val="00E61844"/>
    <w:rsid w:val="00E635A7"/>
    <w:rsid w:val="00E6368F"/>
    <w:rsid w:val="00E6392A"/>
    <w:rsid w:val="00E67381"/>
    <w:rsid w:val="00E702C7"/>
    <w:rsid w:val="00E71ABB"/>
    <w:rsid w:val="00E720AA"/>
    <w:rsid w:val="00E72918"/>
    <w:rsid w:val="00E7334C"/>
    <w:rsid w:val="00E733E7"/>
    <w:rsid w:val="00E75961"/>
    <w:rsid w:val="00E75B89"/>
    <w:rsid w:val="00E7643A"/>
    <w:rsid w:val="00E76CF8"/>
    <w:rsid w:val="00E77428"/>
    <w:rsid w:val="00E77595"/>
    <w:rsid w:val="00E77BCB"/>
    <w:rsid w:val="00E8011B"/>
    <w:rsid w:val="00E8022B"/>
    <w:rsid w:val="00E816B1"/>
    <w:rsid w:val="00E837CB"/>
    <w:rsid w:val="00E84C79"/>
    <w:rsid w:val="00E84E24"/>
    <w:rsid w:val="00E8508A"/>
    <w:rsid w:val="00E8547C"/>
    <w:rsid w:val="00E85C93"/>
    <w:rsid w:val="00E86248"/>
    <w:rsid w:val="00E86AA0"/>
    <w:rsid w:val="00E876A7"/>
    <w:rsid w:val="00E90869"/>
    <w:rsid w:val="00E9156B"/>
    <w:rsid w:val="00E92218"/>
    <w:rsid w:val="00E92FCA"/>
    <w:rsid w:val="00E93364"/>
    <w:rsid w:val="00E9401A"/>
    <w:rsid w:val="00E954FF"/>
    <w:rsid w:val="00E97EB8"/>
    <w:rsid w:val="00EA17F9"/>
    <w:rsid w:val="00EA2407"/>
    <w:rsid w:val="00EA3528"/>
    <w:rsid w:val="00EA4A3E"/>
    <w:rsid w:val="00EA4B80"/>
    <w:rsid w:val="00EA4F2E"/>
    <w:rsid w:val="00EA4FCB"/>
    <w:rsid w:val="00EA5793"/>
    <w:rsid w:val="00EA5E44"/>
    <w:rsid w:val="00EA673C"/>
    <w:rsid w:val="00EA7144"/>
    <w:rsid w:val="00EB0883"/>
    <w:rsid w:val="00EB0CA9"/>
    <w:rsid w:val="00EB0DC5"/>
    <w:rsid w:val="00EB19A7"/>
    <w:rsid w:val="00EB2457"/>
    <w:rsid w:val="00EB270E"/>
    <w:rsid w:val="00EB2C3D"/>
    <w:rsid w:val="00EB2E1F"/>
    <w:rsid w:val="00EB3891"/>
    <w:rsid w:val="00EB4305"/>
    <w:rsid w:val="00EB5466"/>
    <w:rsid w:val="00EB5560"/>
    <w:rsid w:val="00EB6DBD"/>
    <w:rsid w:val="00EC0196"/>
    <w:rsid w:val="00EC2124"/>
    <w:rsid w:val="00EC41E4"/>
    <w:rsid w:val="00EC644D"/>
    <w:rsid w:val="00EC65BA"/>
    <w:rsid w:val="00EC78B6"/>
    <w:rsid w:val="00ED39DB"/>
    <w:rsid w:val="00ED41EC"/>
    <w:rsid w:val="00ED43D7"/>
    <w:rsid w:val="00ED4CCF"/>
    <w:rsid w:val="00ED4CD8"/>
    <w:rsid w:val="00ED55A1"/>
    <w:rsid w:val="00ED6B2B"/>
    <w:rsid w:val="00EE0968"/>
    <w:rsid w:val="00EE180F"/>
    <w:rsid w:val="00EE65FD"/>
    <w:rsid w:val="00EE6BF5"/>
    <w:rsid w:val="00EE7A8B"/>
    <w:rsid w:val="00EE7D12"/>
    <w:rsid w:val="00EF00ED"/>
    <w:rsid w:val="00EF4852"/>
    <w:rsid w:val="00EF7833"/>
    <w:rsid w:val="00F000CA"/>
    <w:rsid w:val="00F01EF5"/>
    <w:rsid w:val="00F040EB"/>
    <w:rsid w:val="00F04ECA"/>
    <w:rsid w:val="00F05899"/>
    <w:rsid w:val="00F05DB0"/>
    <w:rsid w:val="00F06A61"/>
    <w:rsid w:val="00F117D8"/>
    <w:rsid w:val="00F1415D"/>
    <w:rsid w:val="00F14FE5"/>
    <w:rsid w:val="00F15900"/>
    <w:rsid w:val="00F15BBA"/>
    <w:rsid w:val="00F15DEF"/>
    <w:rsid w:val="00F161DA"/>
    <w:rsid w:val="00F1658D"/>
    <w:rsid w:val="00F16B9A"/>
    <w:rsid w:val="00F21F44"/>
    <w:rsid w:val="00F23C80"/>
    <w:rsid w:val="00F257B6"/>
    <w:rsid w:val="00F25AC1"/>
    <w:rsid w:val="00F26EEA"/>
    <w:rsid w:val="00F270B8"/>
    <w:rsid w:val="00F320CF"/>
    <w:rsid w:val="00F3228D"/>
    <w:rsid w:val="00F334D9"/>
    <w:rsid w:val="00F359BB"/>
    <w:rsid w:val="00F36F4F"/>
    <w:rsid w:val="00F427D6"/>
    <w:rsid w:val="00F4299F"/>
    <w:rsid w:val="00F44A10"/>
    <w:rsid w:val="00F44C80"/>
    <w:rsid w:val="00F45730"/>
    <w:rsid w:val="00F46120"/>
    <w:rsid w:val="00F46D9D"/>
    <w:rsid w:val="00F47CD7"/>
    <w:rsid w:val="00F5040C"/>
    <w:rsid w:val="00F5051C"/>
    <w:rsid w:val="00F505FE"/>
    <w:rsid w:val="00F52175"/>
    <w:rsid w:val="00F5281F"/>
    <w:rsid w:val="00F52D9F"/>
    <w:rsid w:val="00F53241"/>
    <w:rsid w:val="00F53367"/>
    <w:rsid w:val="00F53B03"/>
    <w:rsid w:val="00F55599"/>
    <w:rsid w:val="00F5631F"/>
    <w:rsid w:val="00F62180"/>
    <w:rsid w:val="00F629F0"/>
    <w:rsid w:val="00F62CF9"/>
    <w:rsid w:val="00F63188"/>
    <w:rsid w:val="00F64503"/>
    <w:rsid w:val="00F66F59"/>
    <w:rsid w:val="00F66F9B"/>
    <w:rsid w:val="00F677A7"/>
    <w:rsid w:val="00F728C5"/>
    <w:rsid w:val="00F74B35"/>
    <w:rsid w:val="00F7614C"/>
    <w:rsid w:val="00F76196"/>
    <w:rsid w:val="00F76EAB"/>
    <w:rsid w:val="00F77BDD"/>
    <w:rsid w:val="00F83161"/>
    <w:rsid w:val="00F83506"/>
    <w:rsid w:val="00F84430"/>
    <w:rsid w:val="00F84490"/>
    <w:rsid w:val="00F84743"/>
    <w:rsid w:val="00F93022"/>
    <w:rsid w:val="00F93026"/>
    <w:rsid w:val="00F93525"/>
    <w:rsid w:val="00F94BDF"/>
    <w:rsid w:val="00F9529B"/>
    <w:rsid w:val="00F95D5A"/>
    <w:rsid w:val="00F96A69"/>
    <w:rsid w:val="00F97AAE"/>
    <w:rsid w:val="00FA0749"/>
    <w:rsid w:val="00FA1319"/>
    <w:rsid w:val="00FA1BAC"/>
    <w:rsid w:val="00FA36C2"/>
    <w:rsid w:val="00FA3DC3"/>
    <w:rsid w:val="00FA3EEE"/>
    <w:rsid w:val="00FA3FB1"/>
    <w:rsid w:val="00FA4BAF"/>
    <w:rsid w:val="00FB052B"/>
    <w:rsid w:val="00FB2166"/>
    <w:rsid w:val="00FB39E9"/>
    <w:rsid w:val="00FB3E5C"/>
    <w:rsid w:val="00FB4848"/>
    <w:rsid w:val="00FB517F"/>
    <w:rsid w:val="00FB5A82"/>
    <w:rsid w:val="00FB6C32"/>
    <w:rsid w:val="00FC00F5"/>
    <w:rsid w:val="00FC0B46"/>
    <w:rsid w:val="00FC0DB6"/>
    <w:rsid w:val="00FC3DFA"/>
    <w:rsid w:val="00FC3E25"/>
    <w:rsid w:val="00FC42F6"/>
    <w:rsid w:val="00FC4397"/>
    <w:rsid w:val="00FC54EE"/>
    <w:rsid w:val="00FC57C3"/>
    <w:rsid w:val="00FC68F7"/>
    <w:rsid w:val="00FC7A3C"/>
    <w:rsid w:val="00FD05CD"/>
    <w:rsid w:val="00FD0D5D"/>
    <w:rsid w:val="00FD2A4F"/>
    <w:rsid w:val="00FD3F37"/>
    <w:rsid w:val="00FE1ABC"/>
    <w:rsid w:val="00FE21B5"/>
    <w:rsid w:val="00FE4B46"/>
    <w:rsid w:val="00FE4DDD"/>
    <w:rsid w:val="00FE507B"/>
    <w:rsid w:val="00FE564A"/>
    <w:rsid w:val="00FE72B1"/>
    <w:rsid w:val="00FE7DC5"/>
    <w:rsid w:val="00FF0156"/>
    <w:rsid w:val="00FF3601"/>
    <w:rsid w:val="00FF4074"/>
    <w:rsid w:val="00FF4663"/>
    <w:rsid w:val="00FF4B0E"/>
    <w:rsid w:val="00FF5568"/>
    <w:rsid w:val="00FF708D"/>
    <w:rsid w:val="00FF718F"/>
    <w:rsid w:val="00FF7F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327401"/>
  <w15:docId w15:val="{A0095303-8388-4D03-96A6-504EE6FDB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950151"/>
    <w:rPr>
      <w:rFonts w:ascii="Times New Roman" w:eastAsia="新細明體" w:hAnsi="Times New Roman" w:cs="Times New Roman"/>
      <w:szCs w:val="24"/>
    </w:rPr>
  </w:style>
  <w:style w:type="paragraph" w:styleId="1">
    <w:name w:val="heading 1"/>
    <w:aliases w:val=" 字元9"/>
    <w:basedOn w:val="a4"/>
    <w:next w:val="a4"/>
    <w:link w:val="10"/>
    <w:qFormat/>
    <w:rsid w:val="0078100D"/>
    <w:pPr>
      <w:keepNext/>
      <w:spacing w:line="500" w:lineRule="exact"/>
      <w:jc w:val="both"/>
      <w:outlineLvl w:val="0"/>
    </w:pPr>
    <w:rPr>
      <w:rFonts w:ascii="Arial" w:eastAsia="標楷體" w:hAnsi="Arial"/>
      <w:b/>
      <w:bCs/>
      <w:kern w:val="52"/>
      <w:sz w:val="28"/>
      <w:szCs w:val="52"/>
    </w:rPr>
  </w:style>
  <w:style w:type="paragraph" w:styleId="2">
    <w:name w:val="heading 2"/>
    <w:aliases w:val=" 字元8,標題 2-16字,（二）標題 2"/>
    <w:basedOn w:val="a4"/>
    <w:next w:val="a4"/>
    <w:link w:val="20"/>
    <w:qFormat/>
    <w:rsid w:val="0078100D"/>
    <w:pPr>
      <w:keepNext/>
      <w:spacing w:line="500" w:lineRule="exact"/>
      <w:ind w:leftChars="250" w:left="250"/>
      <w:jc w:val="both"/>
      <w:outlineLvl w:val="1"/>
    </w:pPr>
    <w:rPr>
      <w:rFonts w:ascii="Arial" w:eastAsia="標楷體" w:hAnsi="Arial"/>
      <w:bCs/>
      <w:sz w:val="28"/>
      <w:szCs w:val="48"/>
    </w:rPr>
  </w:style>
  <w:style w:type="paragraph" w:styleId="3">
    <w:name w:val="heading 3"/>
    <w:aliases w:val=" 字元"/>
    <w:basedOn w:val="a4"/>
    <w:next w:val="a4"/>
    <w:link w:val="30"/>
    <w:qFormat/>
    <w:rsid w:val="0078100D"/>
    <w:pPr>
      <w:keepNext/>
      <w:spacing w:line="500" w:lineRule="exact"/>
      <w:ind w:leftChars="380" w:left="480" w:hangingChars="100" w:hanging="100"/>
      <w:jc w:val="both"/>
      <w:outlineLvl w:val="2"/>
    </w:pPr>
    <w:rPr>
      <w:rFonts w:ascii="Arial" w:eastAsia="標楷體" w:hAnsi="Arial"/>
      <w:bCs/>
      <w:sz w:val="28"/>
      <w:szCs w:val="36"/>
    </w:rPr>
  </w:style>
  <w:style w:type="paragraph" w:styleId="40">
    <w:name w:val="heading 4"/>
    <w:basedOn w:val="a4"/>
    <w:next w:val="a4"/>
    <w:link w:val="41"/>
    <w:unhideWhenUsed/>
    <w:qFormat/>
    <w:rsid w:val="0078100D"/>
    <w:pPr>
      <w:keepNext/>
      <w:adjustRightInd w:val="0"/>
      <w:snapToGrid w:val="0"/>
      <w:spacing w:line="720" w:lineRule="auto"/>
      <w:outlineLvl w:val="3"/>
    </w:pPr>
    <w:rPr>
      <w:rFonts w:ascii="Cambria" w:hAnsi="Cambria" w:cs="新細明體"/>
      <w:sz w:val="36"/>
      <w:szCs w:val="36"/>
    </w:rPr>
  </w:style>
  <w:style w:type="paragraph" w:styleId="5">
    <w:name w:val="heading 5"/>
    <w:basedOn w:val="a4"/>
    <w:next w:val="a4"/>
    <w:link w:val="50"/>
    <w:unhideWhenUsed/>
    <w:qFormat/>
    <w:rsid w:val="0078100D"/>
    <w:pPr>
      <w:keepNext/>
      <w:spacing w:line="720" w:lineRule="auto"/>
      <w:ind w:leftChars="200" w:left="200"/>
      <w:outlineLvl w:val="4"/>
    </w:pPr>
    <w:rPr>
      <w:rFonts w:ascii="Cambria" w:hAnsi="Cambria"/>
      <w:b/>
      <w:bCs/>
      <w:sz w:val="36"/>
      <w:szCs w:val="36"/>
    </w:rPr>
  </w:style>
  <w:style w:type="paragraph" w:styleId="6">
    <w:name w:val="heading 6"/>
    <w:basedOn w:val="a4"/>
    <w:next w:val="a4"/>
    <w:link w:val="60"/>
    <w:unhideWhenUsed/>
    <w:qFormat/>
    <w:rsid w:val="005718F6"/>
    <w:pPr>
      <w:keepNext/>
      <w:spacing w:line="720" w:lineRule="auto"/>
      <w:ind w:leftChars="200" w:left="200"/>
      <w:outlineLvl w:val="5"/>
    </w:pPr>
    <w:rPr>
      <w:rFonts w:ascii="Cambria" w:hAnsi="Cambria"/>
      <w:kern w:val="0"/>
      <w:sz w:val="36"/>
      <w:szCs w:val="36"/>
    </w:rPr>
  </w:style>
  <w:style w:type="paragraph" w:styleId="9">
    <w:name w:val="heading 9"/>
    <w:basedOn w:val="a4"/>
    <w:next w:val="a4"/>
    <w:link w:val="90"/>
    <w:uiPriority w:val="9"/>
    <w:semiHidden/>
    <w:unhideWhenUsed/>
    <w:qFormat/>
    <w:rsid w:val="001949A3"/>
    <w:pPr>
      <w:keepNext/>
      <w:spacing w:line="720" w:lineRule="auto"/>
      <w:ind w:leftChars="400" w:left="400"/>
      <w:outlineLvl w:val="8"/>
    </w:pPr>
    <w:rPr>
      <w:rFonts w:asciiTheme="majorHAnsi" w:eastAsiaTheme="majorEastAsia" w:hAnsiTheme="majorHAnsi" w:cstheme="majorBidi"/>
      <w:sz w:val="36"/>
      <w:szCs w:val="36"/>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unhideWhenUsed/>
    <w:rsid w:val="000D37B1"/>
    <w:pPr>
      <w:tabs>
        <w:tab w:val="center" w:pos="4153"/>
        <w:tab w:val="right" w:pos="8306"/>
      </w:tabs>
      <w:snapToGrid w:val="0"/>
    </w:pPr>
    <w:rPr>
      <w:sz w:val="20"/>
      <w:szCs w:val="20"/>
    </w:rPr>
  </w:style>
  <w:style w:type="character" w:customStyle="1" w:styleId="a9">
    <w:name w:val="頁首 字元"/>
    <w:basedOn w:val="a5"/>
    <w:link w:val="a8"/>
    <w:uiPriority w:val="99"/>
    <w:rsid w:val="000D37B1"/>
    <w:rPr>
      <w:rFonts w:ascii="Times New Roman" w:eastAsia="新細明體" w:hAnsi="Times New Roman" w:cs="Times New Roman"/>
      <w:sz w:val="20"/>
      <w:szCs w:val="20"/>
    </w:rPr>
  </w:style>
  <w:style w:type="paragraph" w:styleId="aa">
    <w:name w:val="footer"/>
    <w:aliases w:val=" 字元3 字元 字元"/>
    <w:basedOn w:val="a4"/>
    <w:link w:val="ab"/>
    <w:uiPriority w:val="99"/>
    <w:unhideWhenUsed/>
    <w:rsid w:val="000D37B1"/>
    <w:pPr>
      <w:tabs>
        <w:tab w:val="center" w:pos="4153"/>
        <w:tab w:val="right" w:pos="8306"/>
      </w:tabs>
      <w:snapToGrid w:val="0"/>
    </w:pPr>
    <w:rPr>
      <w:sz w:val="20"/>
      <w:szCs w:val="20"/>
    </w:rPr>
  </w:style>
  <w:style w:type="character" w:customStyle="1" w:styleId="ab">
    <w:name w:val="頁尾 字元"/>
    <w:aliases w:val=" 字元3 字元 字元 字元1"/>
    <w:basedOn w:val="a5"/>
    <w:link w:val="aa"/>
    <w:uiPriority w:val="99"/>
    <w:rsid w:val="000D37B1"/>
    <w:rPr>
      <w:rFonts w:ascii="Times New Roman" w:eastAsia="新細明體" w:hAnsi="Times New Roman" w:cs="Times New Roman"/>
      <w:sz w:val="20"/>
      <w:szCs w:val="20"/>
    </w:rPr>
  </w:style>
  <w:style w:type="character" w:customStyle="1" w:styleId="10">
    <w:name w:val="標題 1 字元"/>
    <w:aliases w:val=" 字元9 字元"/>
    <w:basedOn w:val="a5"/>
    <w:link w:val="1"/>
    <w:rsid w:val="0078100D"/>
    <w:rPr>
      <w:rFonts w:ascii="Arial" w:eastAsia="標楷體" w:hAnsi="Arial" w:cs="Times New Roman"/>
      <w:b/>
      <w:bCs/>
      <w:kern w:val="52"/>
      <w:sz w:val="28"/>
      <w:szCs w:val="52"/>
    </w:rPr>
  </w:style>
  <w:style w:type="character" w:customStyle="1" w:styleId="20">
    <w:name w:val="標題 2 字元"/>
    <w:aliases w:val=" 字元8 字元,標題 2-16字 字元,（二）標題 2 字元"/>
    <w:basedOn w:val="a5"/>
    <w:link w:val="2"/>
    <w:rsid w:val="0078100D"/>
    <w:rPr>
      <w:rFonts w:ascii="Arial" w:eastAsia="標楷體" w:hAnsi="Arial" w:cs="Times New Roman"/>
      <w:bCs/>
      <w:sz w:val="28"/>
      <w:szCs w:val="48"/>
    </w:rPr>
  </w:style>
  <w:style w:type="character" w:customStyle="1" w:styleId="30">
    <w:name w:val="標題 3 字元"/>
    <w:aliases w:val=" 字元 字元"/>
    <w:basedOn w:val="a5"/>
    <w:link w:val="3"/>
    <w:rsid w:val="0078100D"/>
    <w:rPr>
      <w:rFonts w:ascii="Arial" w:eastAsia="標楷體" w:hAnsi="Arial" w:cs="Times New Roman"/>
      <w:bCs/>
      <w:sz w:val="28"/>
      <w:szCs w:val="36"/>
    </w:rPr>
  </w:style>
  <w:style w:type="character" w:customStyle="1" w:styleId="41">
    <w:name w:val="標題 4 字元"/>
    <w:basedOn w:val="a5"/>
    <w:link w:val="40"/>
    <w:rsid w:val="0078100D"/>
    <w:rPr>
      <w:rFonts w:ascii="Cambria" w:eastAsia="新細明體" w:hAnsi="Cambria" w:cs="新細明體"/>
      <w:sz w:val="36"/>
      <w:szCs w:val="36"/>
    </w:rPr>
  </w:style>
  <w:style w:type="character" w:customStyle="1" w:styleId="50">
    <w:name w:val="標題 5 字元"/>
    <w:basedOn w:val="a5"/>
    <w:link w:val="5"/>
    <w:rsid w:val="0078100D"/>
    <w:rPr>
      <w:rFonts w:ascii="Cambria" w:eastAsia="新細明體" w:hAnsi="Cambria" w:cs="Times New Roman"/>
      <w:b/>
      <w:bCs/>
      <w:sz w:val="36"/>
      <w:szCs w:val="36"/>
    </w:rPr>
  </w:style>
  <w:style w:type="paragraph" w:styleId="ac">
    <w:name w:val="Balloon Text"/>
    <w:aliases w:val=" 字元3"/>
    <w:basedOn w:val="a4"/>
    <w:link w:val="ad"/>
    <w:uiPriority w:val="99"/>
    <w:rsid w:val="0078100D"/>
    <w:rPr>
      <w:rFonts w:ascii="Arial" w:hAnsi="Arial"/>
      <w:sz w:val="18"/>
      <w:szCs w:val="18"/>
    </w:rPr>
  </w:style>
  <w:style w:type="character" w:customStyle="1" w:styleId="ad">
    <w:name w:val="註解方塊文字 字元"/>
    <w:aliases w:val=" 字元3 字元"/>
    <w:basedOn w:val="a5"/>
    <w:link w:val="ac"/>
    <w:uiPriority w:val="99"/>
    <w:rsid w:val="0078100D"/>
    <w:rPr>
      <w:rFonts w:ascii="Arial" w:eastAsia="新細明體" w:hAnsi="Arial" w:cs="Times New Roman"/>
      <w:sz w:val="18"/>
      <w:szCs w:val="18"/>
    </w:rPr>
  </w:style>
  <w:style w:type="table" w:styleId="ae">
    <w:name w:val="Table Grid"/>
    <w:basedOn w:val="a6"/>
    <w:uiPriority w:val="59"/>
    <w:rsid w:val="0078100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Indent"/>
    <w:basedOn w:val="a4"/>
    <w:link w:val="af0"/>
    <w:uiPriority w:val="99"/>
    <w:rsid w:val="0078100D"/>
    <w:pPr>
      <w:spacing w:line="500" w:lineRule="exact"/>
      <w:ind w:left="1400" w:hangingChars="500" w:hanging="1400"/>
    </w:pPr>
    <w:rPr>
      <w:rFonts w:eastAsia="標楷體"/>
      <w:sz w:val="28"/>
      <w:szCs w:val="20"/>
    </w:rPr>
  </w:style>
  <w:style w:type="character" w:customStyle="1" w:styleId="af0">
    <w:name w:val="本文縮排 字元"/>
    <w:basedOn w:val="a5"/>
    <w:link w:val="af"/>
    <w:uiPriority w:val="99"/>
    <w:rsid w:val="0078100D"/>
    <w:rPr>
      <w:rFonts w:ascii="Times New Roman" w:eastAsia="標楷體" w:hAnsi="Times New Roman" w:cs="Times New Roman"/>
      <w:sz w:val="28"/>
      <w:szCs w:val="20"/>
    </w:rPr>
  </w:style>
  <w:style w:type="paragraph" w:styleId="af1">
    <w:name w:val="Body Text"/>
    <w:basedOn w:val="a4"/>
    <w:link w:val="af2"/>
    <w:rsid w:val="0078100D"/>
    <w:pPr>
      <w:spacing w:line="440" w:lineRule="exact"/>
    </w:pPr>
    <w:rPr>
      <w:rFonts w:ascii="華康楷書體W5" w:eastAsia="標楷體"/>
      <w:bCs/>
      <w:spacing w:val="20"/>
      <w:sz w:val="28"/>
      <w:szCs w:val="20"/>
    </w:rPr>
  </w:style>
  <w:style w:type="character" w:customStyle="1" w:styleId="af2">
    <w:name w:val="本文 字元"/>
    <w:basedOn w:val="a5"/>
    <w:link w:val="af1"/>
    <w:rsid w:val="0078100D"/>
    <w:rPr>
      <w:rFonts w:ascii="華康楷書體W5" w:eastAsia="標楷體" w:hAnsi="Times New Roman" w:cs="Times New Roman"/>
      <w:bCs/>
      <w:spacing w:val="20"/>
      <w:sz w:val="28"/>
      <w:szCs w:val="20"/>
    </w:rPr>
  </w:style>
  <w:style w:type="paragraph" w:styleId="21">
    <w:name w:val="Body Text Indent 2"/>
    <w:basedOn w:val="a4"/>
    <w:link w:val="22"/>
    <w:uiPriority w:val="99"/>
    <w:rsid w:val="0078100D"/>
    <w:pPr>
      <w:spacing w:line="440" w:lineRule="exact"/>
      <w:ind w:left="1440"/>
    </w:pPr>
    <w:rPr>
      <w:rFonts w:ascii="華康楷書體W5" w:eastAsia="標楷體"/>
      <w:bCs/>
      <w:spacing w:val="20"/>
      <w:sz w:val="32"/>
      <w:szCs w:val="20"/>
    </w:rPr>
  </w:style>
  <w:style w:type="character" w:customStyle="1" w:styleId="22">
    <w:name w:val="本文縮排 2 字元"/>
    <w:basedOn w:val="a5"/>
    <w:link w:val="21"/>
    <w:uiPriority w:val="99"/>
    <w:rsid w:val="0078100D"/>
    <w:rPr>
      <w:rFonts w:ascii="華康楷書體W5" w:eastAsia="標楷體" w:hAnsi="Times New Roman" w:cs="Times New Roman"/>
      <w:bCs/>
      <w:spacing w:val="20"/>
      <w:sz w:val="32"/>
      <w:szCs w:val="20"/>
    </w:rPr>
  </w:style>
  <w:style w:type="paragraph" w:styleId="23">
    <w:name w:val="Body Text 2"/>
    <w:basedOn w:val="a4"/>
    <w:link w:val="24"/>
    <w:rsid w:val="0078100D"/>
    <w:pPr>
      <w:adjustRightInd w:val="0"/>
      <w:spacing w:line="440" w:lineRule="exact"/>
      <w:textAlignment w:val="baseline"/>
    </w:pPr>
    <w:rPr>
      <w:rFonts w:ascii="華康楷書體W5" w:eastAsia="標楷體"/>
      <w:b/>
      <w:spacing w:val="20"/>
      <w:kern w:val="0"/>
      <w:sz w:val="32"/>
      <w:szCs w:val="20"/>
    </w:rPr>
  </w:style>
  <w:style w:type="character" w:customStyle="1" w:styleId="24">
    <w:name w:val="本文 2 字元"/>
    <w:basedOn w:val="a5"/>
    <w:link w:val="23"/>
    <w:rsid w:val="0078100D"/>
    <w:rPr>
      <w:rFonts w:ascii="華康楷書體W5" w:eastAsia="標楷體" w:hAnsi="Times New Roman" w:cs="Times New Roman"/>
      <w:b/>
      <w:spacing w:val="20"/>
      <w:kern w:val="0"/>
      <w:sz w:val="32"/>
      <w:szCs w:val="20"/>
    </w:rPr>
  </w:style>
  <w:style w:type="paragraph" w:customStyle="1" w:styleId="af3">
    <w:name w:val="章戳"/>
    <w:basedOn w:val="a4"/>
    <w:rsid w:val="0078100D"/>
    <w:pPr>
      <w:adjustRightInd w:val="0"/>
      <w:spacing w:line="360" w:lineRule="auto"/>
      <w:ind w:left="7200" w:firstLine="480"/>
      <w:textAlignment w:val="baseline"/>
    </w:pPr>
    <w:rPr>
      <w:rFonts w:ascii="華康楷書體W5" w:eastAsia="華康楷書體W5"/>
      <w:spacing w:val="30"/>
      <w:kern w:val="0"/>
      <w:sz w:val="40"/>
      <w:szCs w:val="20"/>
    </w:rPr>
  </w:style>
  <w:style w:type="paragraph" w:styleId="31">
    <w:name w:val="Body Text Indent 3"/>
    <w:basedOn w:val="a4"/>
    <w:link w:val="32"/>
    <w:rsid w:val="0078100D"/>
    <w:pPr>
      <w:spacing w:line="440" w:lineRule="exact"/>
      <w:ind w:leftChars="150" w:left="2280" w:hangingChars="600" w:hanging="1920"/>
    </w:pPr>
    <w:rPr>
      <w:rFonts w:ascii="華康楷書體W5" w:eastAsia="標楷體"/>
      <w:bCs/>
      <w:spacing w:val="20"/>
      <w:sz w:val="28"/>
      <w:szCs w:val="20"/>
    </w:rPr>
  </w:style>
  <w:style w:type="character" w:customStyle="1" w:styleId="32">
    <w:name w:val="本文縮排 3 字元"/>
    <w:basedOn w:val="a5"/>
    <w:link w:val="31"/>
    <w:rsid w:val="0078100D"/>
    <w:rPr>
      <w:rFonts w:ascii="華康楷書體W5" w:eastAsia="標楷體" w:hAnsi="Times New Roman" w:cs="Times New Roman"/>
      <w:bCs/>
      <w:spacing w:val="20"/>
      <w:sz w:val="28"/>
      <w:szCs w:val="20"/>
    </w:rPr>
  </w:style>
  <w:style w:type="paragraph" w:customStyle="1" w:styleId="a0">
    <w:name w:val="說明一、"/>
    <w:basedOn w:val="a4"/>
    <w:rsid w:val="0078100D"/>
    <w:pPr>
      <w:numPr>
        <w:numId w:val="1"/>
      </w:numPr>
      <w:adjustRightInd w:val="0"/>
      <w:spacing w:line="360" w:lineRule="auto"/>
      <w:ind w:left="1191" w:hanging="851"/>
      <w:textAlignment w:val="baseline"/>
    </w:pPr>
    <w:rPr>
      <w:rFonts w:ascii="華康楷書體W5" w:eastAsia="華康楷書體W5"/>
      <w:b/>
      <w:spacing w:val="30"/>
      <w:kern w:val="0"/>
      <w:sz w:val="32"/>
      <w:szCs w:val="20"/>
    </w:rPr>
  </w:style>
  <w:style w:type="paragraph" w:styleId="af4">
    <w:name w:val="Block Text"/>
    <w:basedOn w:val="a4"/>
    <w:rsid w:val="0078100D"/>
    <w:pPr>
      <w:adjustRightInd w:val="0"/>
      <w:spacing w:line="440" w:lineRule="exact"/>
      <w:ind w:leftChars="133" w:left="319" w:rightChars="56" w:right="134"/>
      <w:textAlignment w:val="baseline"/>
    </w:pPr>
    <w:rPr>
      <w:rFonts w:eastAsia="標楷體"/>
      <w:kern w:val="0"/>
      <w:sz w:val="32"/>
      <w:szCs w:val="20"/>
    </w:rPr>
  </w:style>
  <w:style w:type="paragraph" w:customStyle="1" w:styleId="af5">
    <w:name w:val="立法院公文(開會事由)"/>
    <w:basedOn w:val="a4"/>
    <w:rsid w:val="0078100D"/>
    <w:pPr>
      <w:spacing w:line="560" w:lineRule="exact"/>
      <w:ind w:left="1661" w:hanging="1661"/>
    </w:pPr>
    <w:rPr>
      <w:rFonts w:ascii="標楷體" w:eastAsia="標楷體" w:hAnsi="標楷體"/>
      <w:sz w:val="32"/>
    </w:rPr>
  </w:style>
  <w:style w:type="character" w:styleId="af6">
    <w:name w:val="Hyperlink"/>
    <w:uiPriority w:val="99"/>
    <w:rsid w:val="0078100D"/>
    <w:rPr>
      <w:color w:val="0000FF"/>
      <w:u w:val="single"/>
    </w:rPr>
  </w:style>
  <w:style w:type="character" w:styleId="af7">
    <w:name w:val="FollowedHyperlink"/>
    <w:rsid w:val="0078100D"/>
    <w:rPr>
      <w:color w:val="800080"/>
      <w:u w:val="single"/>
    </w:rPr>
  </w:style>
  <w:style w:type="character" w:styleId="af8">
    <w:name w:val="page number"/>
    <w:basedOn w:val="a5"/>
    <w:uiPriority w:val="99"/>
    <w:rsid w:val="0078100D"/>
  </w:style>
  <w:style w:type="paragraph" w:styleId="33">
    <w:name w:val="Body Text 3"/>
    <w:basedOn w:val="a4"/>
    <w:link w:val="34"/>
    <w:rsid w:val="0078100D"/>
    <w:pPr>
      <w:snapToGrid w:val="0"/>
      <w:spacing w:line="400" w:lineRule="exact"/>
    </w:pPr>
    <w:rPr>
      <w:rFonts w:ascii="標楷體" w:eastAsia="標楷體" w:hAnsi="標楷體"/>
      <w:bCs/>
      <w:spacing w:val="-2"/>
      <w:sz w:val="32"/>
      <w:szCs w:val="32"/>
    </w:rPr>
  </w:style>
  <w:style w:type="character" w:customStyle="1" w:styleId="34">
    <w:name w:val="本文 3 字元"/>
    <w:basedOn w:val="a5"/>
    <w:link w:val="33"/>
    <w:rsid w:val="0078100D"/>
    <w:rPr>
      <w:rFonts w:ascii="標楷體" w:eastAsia="標楷體" w:hAnsi="標楷體" w:cs="Times New Roman"/>
      <w:bCs/>
      <w:spacing w:val="-2"/>
      <w:sz w:val="32"/>
      <w:szCs w:val="32"/>
    </w:rPr>
  </w:style>
  <w:style w:type="paragraph" w:styleId="af9">
    <w:name w:val="Date"/>
    <w:basedOn w:val="a4"/>
    <w:next w:val="a4"/>
    <w:link w:val="afa"/>
    <w:uiPriority w:val="99"/>
    <w:rsid w:val="0078100D"/>
    <w:pPr>
      <w:spacing w:line="400" w:lineRule="exact"/>
      <w:ind w:firstLine="567"/>
      <w:jc w:val="right"/>
    </w:pPr>
    <w:rPr>
      <w:rFonts w:eastAsia="標楷體"/>
      <w:sz w:val="28"/>
      <w:szCs w:val="20"/>
    </w:rPr>
  </w:style>
  <w:style w:type="character" w:customStyle="1" w:styleId="afa">
    <w:name w:val="日期 字元"/>
    <w:basedOn w:val="a5"/>
    <w:link w:val="af9"/>
    <w:uiPriority w:val="99"/>
    <w:rsid w:val="0078100D"/>
    <w:rPr>
      <w:rFonts w:ascii="Times New Roman" w:eastAsia="標楷體" w:hAnsi="Times New Roman" w:cs="Times New Roman"/>
      <w:sz w:val="28"/>
      <w:szCs w:val="20"/>
    </w:rPr>
  </w:style>
  <w:style w:type="paragraph" w:styleId="afb">
    <w:name w:val="Normal Indent"/>
    <w:basedOn w:val="a4"/>
    <w:rsid w:val="0078100D"/>
    <w:pPr>
      <w:spacing w:line="400" w:lineRule="exact"/>
      <w:ind w:left="851" w:hanging="851"/>
      <w:jc w:val="both"/>
    </w:pPr>
    <w:rPr>
      <w:rFonts w:eastAsia="標楷體"/>
      <w:sz w:val="28"/>
      <w:szCs w:val="20"/>
    </w:rPr>
  </w:style>
  <w:style w:type="paragraph" w:styleId="HTML">
    <w:name w:val="HTML Preformatted"/>
    <w:aliases w:val=" 字元1"/>
    <w:basedOn w:val="a4"/>
    <w:link w:val="HTML0"/>
    <w:uiPriority w:val="99"/>
    <w:rsid w:val="00781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rPr>
  </w:style>
  <w:style w:type="character" w:customStyle="1" w:styleId="HTML0">
    <w:name w:val="HTML 預設格式 字元"/>
    <w:aliases w:val=" 字元1 字元1"/>
    <w:basedOn w:val="a5"/>
    <w:link w:val="HTML"/>
    <w:uiPriority w:val="99"/>
    <w:rsid w:val="0078100D"/>
    <w:rPr>
      <w:rFonts w:ascii="細明體" w:eastAsia="細明體" w:hAnsi="Courier New" w:cs="Times New Roman"/>
      <w:kern w:val="0"/>
      <w:sz w:val="20"/>
      <w:szCs w:val="20"/>
    </w:rPr>
  </w:style>
  <w:style w:type="paragraph" w:customStyle="1" w:styleId="afc">
    <w:name w:val="內容"/>
    <w:basedOn w:val="af9"/>
    <w:rsid w:val="0078100D"/>
    <w:pPr>
      <w:spacing w:line="240" w:lineRule="auto"/>
      <w:ind w:firstLine="0"/>
      <w:jc w:val="left"/>
    </w:pPr>
    <w:rPr>
      <w:rFonts w:eastAsia="華康仿宋體W2"/>
      <w:sz w:val="24"/>
      <w:szCs w:val="24"/>
    </w:rPr>
  </w:style>
  <w:style w:type="paragraph" w:styleId="afd">
    <w:name w:val="Plain Text"/>
    <w:aliases w:val=" 字元2"/>
    <w:basedOn w:val="a4"/>
    <w:link w:val="afe"/>
    <w:rsid w:val="0078100D"/>
    <w:rPr>
      <w:rFonts w:ascii="細明體" w:eastAsia="細明體" w:hAnsi="Courier New" w:cs="華康楷書體W5外字集"/>
    </w:rPr>
  </w:style>
  <w:style w:type="character" w:customStyle="1" w:styleId="afe">
    <w:name w:val="純文字 字元"/>
    <w:aliases w:val=" 字元2 字元1"/>
    <w:basedOn w:val="a5"/>
    <w:link w:val="afd"/>
    <w:rsid w:val="0078100D"/>
    <w:rPr>
      <w:rFonts w:ascii="細明體" w:eastAsia="細明體" w:hAnsi="Courier New" w:cs="華康楷書體W5外字集"/>
      <w:szCs w:val="24"/>
    </w:rPr>
  </w:style>
  <w:style w:type="paragraph" w:customStyle="1" w:styleId="aff">
    <w:name w:val="立法院公文(備註)"/>
    <w:basedOn w:val="a4"/>
    <w:rsid w:val="0078100D"/>
    <w:pPr>
      <w:snapToGrid w:val="0"/>
      <w:spacing w:line="240" w:lineRule="atLeast"/>
      <w:ind w:left="714" w:hanging="714"/>
    </w:pPr>
    <w:rPr>
      <w:rFonts w:ascii="標楷體" w:eastAsia="標楷體" w:hAnsi="標楷體"/>
    </w:rPr>
  </w:style>
  <w:style w:type="paragraph" w:customStyle="1" w:styleId="aff0">
    <w:name w:val="立法院(會議名稱)"/>
    <w:basedOn w:val="a4"/>
    <w:rsid w:val="0078100D"/>
    <w:pPr>
      <w:snapToGrid w:val="0"/>
      <w:spacing w:line="500" w:lineRule="exact"/>
      <w:ind w:left="1620" w:hanging="1620"/>
    </w:pPr>
    <w:rPr>
      <w:rFonts w:ascii="標楷體" w:eastAsia="標楷體"/>
      <w:sz w:val="32"/>
      <w:szCs w:val="32"/>
    </w:rPr>
  </w:style>
  <w:style w:type="paragraph" w:customStyle="1" w:styleId="space">
    <w:name w:val="立法院(備註space)"/>
    <w:basedOn w:val="a4"/>
    <w:rsid w:val="0078100D"/>
    <w:pPr>
      <w:kinsoku w:val="0"/>
      <w:snapToGrid w:val="0"/>
      <w:ind w:left="731" w:hanging="731"/>
    </w:pPr>
    <w:rPr>
      <w:rFonts w:ascii="標楷體" w:eastAsia="標楷體" w:hAnsi="標楷體"/>
    </w:rPr>
  </w:style>
  <w:style w:type="paragraph" w:customStyle="1" w:styleId="aff1">
    <w:name w:val="立法院(副本)"/>
    <w:basedOn w:val="a4"/>
    <w:rsid w:val="0078100D"/>
    <w:pPr>
      <w:spacing w:line="280" w:lineRule="exact"/>
    </w:pPr>
    <w:rPr>
      <w:rFonts w:ascii="標楷體" w:eastAsia="標楷體"/>
    </w:rPr>
  </w:style>
  <w:style w:type="paragraph" w:customStyle="1" w:styleId="11">
    <w:name w:val="標題1"/>
    <w:basedOn w:val="a4"/>
    <w:rsid w:val="0078100D"/>
    <w:pPr>
      <w:spacing w:line="440" w:lineRule="exact"/>
    </w:pPr>
    <w:rPr>
      <w:rFonts w:ascii="標楷體" w:eastAsia="標楷體" w:hAnsi="標楷體" w:cs="新細明體"/>
      <w:b/>
      <w:sz w:val="28"/>
      <w:szCs w:val="20"/>
    </w:rPr>
  </w:style>
  <w:style w:type="paragraph" w:customStyle="1" w:styleId="25">
    <w:name w:val="標題2"/>
    <w:basedOn w:val="a4"/>
    <w:rsid w:val="0078100D"/>
    <w:pPr>
      <w:spacing w:line="500" w:lineRule="exact"/>
      <w:ind w:leftChars="250" w:left="600"/>
    </w:pPr>
    <w:rPr>
      <w:rFonts w:ascii="標楷體" w:eastAsia="標楷體" w:hAnsi="標楷體"/>
      <w:sz w:val="28"/>
      <w:szCs w:val="28"/>
    </w:rPr>
  </w:style>
  <w:style w:type="paragraph" w:customStyle="1" w:styleId="35">
    <w:name w:val="標題3"/>
    <w:basedOn w:val="a4"/>
    <w:link w:val="36"/>
    <w:rsid w:val="0078100D"/>
    <w:pPr>
      <w:spacing w:line="500" w:lineRule="exact"/>
      <w:ind w:leftChars="400" w:left="960"/>
    </w:pPr>
    <w:rPr>
      <w:rFonts w:ascii="標楷體" w:eastAsia="標楷體" w:hAnsi="標楷體" w:cs="細明體"/>
      <w:sz w:val="28"/>
      <w:szCs w:val="28"/>
    </w:rPr>
  </w:style>
  <w:style w:type="character" w:customStyle="1" w:styleId="36">
    <w:name w:val="標題3 字元"/>
    <w:link w:val="35"/>
    <w:rsid w:val="0078100D"/>
    <w:rPr>
      <w:rFonts w:ascii="標楷體" w:eastAsia="標楷體" w:hAnsi="標楷體" w:cs="細明體"/>
      <w:sz w:val="28"/>
      <w:szCs w:val="28"/>
    </w:rPr>
  </w:style>
  <w:style w:type="paragraph" w:styleId="12">
    <w:name w:val="toc 1"/>
    <w:basedOn w:val="a4"/>
    <w:next w:val="a4"/>
    <w:link w:val="13"/>
    <w:autoRedefine/>
    <w:uiPriority w:val="39"/>
    <w:qFormat/>
    <w:rsid w:val="00D13AE2"/>
    <w:pPr>
      <w:tabs>
        <w:tab w:val="right" w:leader="middleDot" w:pos="8789"/>
      </w:tabs>
      <w:adjustRightInd w:val="0"/>
      <w:snapToGrid w:val="0"/>
      <w:spacing w:beforeLines="20" w:before="72" w:afterLines="20" w:after="72" w:line="500" w:lineRule="exact"/>
      <w:jc w:val="both"/>
    </w:pPr>
    <w:rPr>
      <w:rFonts w:ascii="標楷體" w:eastAsia="標楷體" w:hAnsi="標楷體"/>
      <w:b/>
      <w:noProof/>
      <w:kern w:val="52"/>
      <w:sz w:val="28"/>
      <w:szCs w:val="28"/>
      <w:shd w:val="clear" w:color="auto" w:fill="FFFFFF" w:themeFill="background1"/>
    </w:rPr>
  </w:style>
  <w:style w:type="paragraph" w:styleId="26">
    <w:name w:val="toc 2"/>
    <w:basedOn w:val="a4"/>
    <w:next w:val="a4"/>
    <w:autoRedefine/>
    <w:uiPriority w:val="39"/>
    <w:qFormat/>
    <w:rsid w:val="009F2E0D"/>
    <w:pPr>
      <w:tabs>
        <w:tab w:val="right" w:leader="middleDot" w:pos="8789"/>
      </w:tabs>
      <w:adjustRightInd w:val="0"/>
      <w:snapToGrid w:val="0"/>
      <w:spacing w:beforeLines="20" w:before="72" w:afterLines="20" w:after="72" w:line="500" w:lineRule="exact"/>
      <w:ind w:leftChars="296" w:left="758" w:hangingChars="17" w:hanging="48"/>
    </w:pPr>
    <w:rPr>
      <w:rFonts w:ascii="標楷體" w:eastAsia="標楷體" w:hAnsi="標楷體"/>
      <w:bCs/>
      <w:iCs/>
      <w:noProof/>
      <w:sz w:val="28"/>
      <w:szCs w:val="28"/>
      <w:shd w:val="clear" w:color="auto" w:fill="FFFFFF" w:themeFill="background1"/>
    </w:rPr>
  </w:style>
  <w:style w:type="paragraph" w:styleId="37">
    <w:name w:val="toc 3"/>
    <w:basedOn w:val="a4"/>
    <w:next w:val="a4"/>
    <w:autoRedefine/>
    <w:uiPriority w:val="39"/>
    <w:qFormat/>
    <w:rsid w:val="005666DC"/>
    <w:pPr>
      <w:tabs>
        <w:tab w:val="right" w:leader="middleDot" w:pos="8789"/>
      </w:tabs>
      <w:overflowPunct w:val="0"/>
      <w:adjustRightInd w:val="0"/>
      <w:snapToGrid w:val="0"/>
      <w:spacing w:beforeLines="20" w:before="72" w:afterLines="20" w:after="72" w:line="400" w:lineRule="exact"/>
      <w:ind w:leftChars="541" w:left="1312" w:rightChars="300" w:right="720" w:hangingChars="5" w:hanging="14"/>
      <w:jc w:val="both"/>
    </w:pPr>
    <w:rPr>
      <w:rFonts w:ascii="標楷體" w:eastAsia="標楷體" w:hAnsi="標楷體"/>
      <w:bCs/>
      <w:noProof/>
      <w:spacing w:val="-4"/>
      <w:w w:val="98"/>
      <w:sz w:val="28"/>
      <w:szCs w:val="28"/>
    </w:rPr>
  </w:style>
  <w:style w:type="numbering" w:customStyle="1" w:styleId="27">
    <w:name w:val="樣式2"/>
    <w:rsid w:val="0078100D"/>
  </w:style>
  <w:style w:type="paragraph" w:styleId="aff2">
    <w:name w:val="Document Map"/>
    <w:basedOn w:val="a4"/>
    <w:link w:val="aff3"/>
    <w:semiHidden/>
    <w:rsid w:val="0078100D"/>
    <w:pPr>
      <w:shd w:val="clear" w:color="auto" w:fill="000080"/>
      <w:adjustRightInd w:val="0"/>
      <w:spacing w:line="360" w:lineRule="atLeast"/>
      <w:textAlignment w:val="baseline"/>
    </w:pPr>
    <w:rPr>
      <w:rFonts w:ascii="Arial" w:hAnsi="Arial"/>
      <w:kern w:val="0"/>
      <w:szCs w:val="20"/>
    </w:rPr>
  </w:style>
  <w:style w:type="character" w:customStyle="1" w:styleId="aff3">
    <w:name w:val="文件引導模式 字元"/>
    <w:basedOn w:val="a5"/>
    <w:link w:val="aff2"/>
    <w:semiHidden/>
    <w:rsid w:val="0078100D"/>
    <w:rPr>
      <w:rFonts w:ascii="Arial" w:eastAsia="新細明體" w:hAnsi="Arial" w:cs="Times New Roman"/>
      <w:kern w:val="0"/>
      <w:szCs w:val="20"/>
      <w:shd w:val="clear" w:color="auto" w:fill="000080"/>
    </w:rPr>
  </w:style>
  <w:style w:type="numbering" w:customStyle="1" w:styleId="14">
    <w:name w:val="樣式1"/>
    <w:rsid w:val="0078100D"/>
  </w:style>
  <w:style w:type="character" w:customStyle="1" w:styleId="text1">
    <w:name w:val="text1"/>
    <w:rsid w:val="0078100D"/>
    <w:rPr>
      <w:rFonts w:ascii="Arial" w:hAnsi="Arial" w:cs="Arial" w:hint="default"/>
      <w:i w:val="0"/>
      <w:iCs w:val="0"/>
      <w:color w:val="000000"/>
      <w:sz w:val="18"/>
      <w:szCs w:val="18"/>
    </w:rPr>
  </w:style>
  <w:style w:type="paragraph" w:customStyle="1" w:styleId="aff4">
    <w:name w:val="一般項目符號"/>
    <w:basedOn w:val="a4"/>
    <w:next w:val="a4"/>
    <w:rsid w:val="0078100D"/>
    <w:pPr>
      <w:kinsoku w:val="0"/>
      <w:overflowPunct w:val="0"/>
      <w:autoSpaceDE w:val="0"/>
      <w:autoSpaceDN w:val="0"/>
      <w:spacing w:line="315" w:lineRule="exact"/>
      <w:jc w:val="both"/>
      <w:textAlignment w:val="center"/>
    </w:pPr>
    <w:rPr>
      <w:rFonts w:eastAsia="華康細明體"/>
      <w:sz w:val="21"/>
    </w:rPr>
  </w:style>
  <w:style w:type="paragraph" w:customStyle="1" w:styleId="29">
    <w:name w:val="字元 字元2 字元 字元 字元"/>
    <w:basedOn w:val="a4"/>
    <w:semiHidden/>
    <w:rsid w:val="0078100D"/>
    <w:pPr>
      <w:spacing w:after="160" w:line="240" w:lineRule="exact"/>
    </w:pPr>
    <w:rPr>
      <w:rFonts w:ascii="Verdana" w:eastAsia="Times New Roman" w:hAnsi="Verdana"/>
      <w:kern w:val="0"/>
      <w:sz w:val="20"/>
      <w:szCs w:val="20"/>
      <w:lang w:eastAsia="en-US"/>
    </w:rPr>
  </w:style>
  <w:style w:type="paragraph" w:customStyle="1" w:styleId="aff5">
    <w:name w:val="報告事項次目錄(項目符號)"/>
    <w:basedOn w:val="a4"/>
    <w:next w:val="a4"/>
    <w:rsid w:val="0078100D"/>
    <w:pPr>
      <w:kinsoku w:val="0"/>
      <w:wordWrap w:val="0"/>
      <w:overflowPunct w:val="0"/>
      <w:autoSpaceDE w:val="0"/>
      <w:ind w:leftChars="200" w:left="1120" w:rightChars="100" w:right="280" w:hangingChars="200" w:hanging="560"/>
      <w:jc w:val="both"/>
    </w:pPr>
    <w:rPr>
      <w:rFonts w:ascii="華康楷書體W5" w:eastAsia="華康楷書體W5"/>
      <w:kern w:val="0"/>
      <w:sz w:val="28"/>
    </w:rPr>
  </w:style>
  <w:style w:type="paragraph" w:customStyle="1" w:styleId="39">
    <w:name w:val="標題3 字元 字元"/>
    <w:basedOn w:val="a4"/>
    <w:link w:val="3a"/>
    <w:rsid w:val="0078100D"/>
    <w:pPr>
      <w:spacing w:line="500" w:lineRule="exact"/>
      <w:ind w:leftChars="400" w:left="960"/>
    </w:pPr>
    <w:rPr>
      <w:rFonts w:ascii="標楷體" w:eastAsia="標楷體" w:hAnsi="標楷體" w:cs="細明體"/>
      <w:sz w:val="28"/>
      <w:szCs w:val="28"/>
    </w:rPr>
  </w:style>
  <w:style w:type="character" w:customStyle="1" w:styleId="3a">
    <w:name w:val="標題3 字元 字元 字元"/>
    <w:link w:val="39"/>
    <w:rsid w:val="0078100D"/>
    <w:rPr>
      <w:rFonts w:ascii="標楷體" w:eastAsia="標楷體" w:hAnsi="標楷體" w:cs="細明體"/>
      <w:sz w:val="28"/>
      <w:szCs w:val="28"/>
    </w:rPr>
  </w:style>
  <w:style w:type="paragraph" w:customStyle="1" w:styleId="15">
    <w:name w:val="報告事項次目錄(原件見1)"/>
    <w:basedOn w:val="a4"/>
    <w:next w:val="a4"/>
    <w:rsid w:val="0078100D"/>
    <w:pPr>
      <w:kinsoku w:val="0"/>
      <w:wordWrap w:val="0"/>
      <w:overflowPunct w:val="0"/>
      <w:autoSpaceDE w:val="0"/>
      <w:ind w:leftChars="400" w:left="500" w:rightChars="100" w:right="100" w:hangingChars="100" w:hanging="100"/>
      <w:jc w:val="both"/>
    </w:pPr>
    <w:rPr>
      <w:rFonts w:ascii="華康中黑體" w:eastAsia="華康中黑體"/>
      <w:kern w:val="0"/>
      <w:sz w:val="21"/>
    </w:rPr>
  </w:style>
  <w:style w:type="paragraph" w:customStyle="1" w:styleId="2a">
    <w:name w:val="報告事項次目錄(原件見2)"/>
    <w:basedOn w:val="a4"/>
    <w:next w:val="a4"/>
    <w:rsid w:val="0078100D"/>
    <w:pPr>
      <w:kinsoku w:val="0"/>
      <w:wordWrap w:val="0"/>
      <w:overflowPunct w:val="0"/>
      <w:autoSpaceDE w:val="0"/>
      <w:ind w:leftChars="475" w:left="1330"/>
    </w:pPr>
    <w:rPr>
      <w:rFonts w:ascii="華康中黑體" w:eastAsia="華康中黑體"/>
      <w:kern w:val="0"/>
      <w:sz w:val="21"/>
    </w:rPr>
  </w:style>
  <w:style w:type="paragraph" w:customStyle="1" w:styleId="aff6">
    <w:name w:val="報告事項次目錄(程序委員會意見)"/>
    <w:basedOn w:val="a4"/>
    <w:next w:val="a4"/>
    <w:rsid w:val="0078100D"/>
    <w:pPr>
      <w:kinsoku w:val="0"/>
      <w:wordWrap w:val="0"/>
      <w:overflowPunct w:val="0"/>
      <w:autoSpaceDE w:val="0"/>
      <w:ind w:leftChars="400" w:left="3374" w:rightChars="100" w:right="280" w:hangingChars="805" w:hanging="2254"/>
      <w:jc w:val="both"/>
    </w:pPr>
    <w:rPr>
      <w:rFonts w:ascii="華康楷書體W5" w:eastAsia="華康楷書體W5"/>
      <w:kern w:val="0"/>
      <w:sz w:val="28"/>
    </w:rPr>
  </w:style>
  <w:style w:type="paragraph" w:customStyle="1" w:styleId="3b">
    <w:name w:val="報告事項次目錄(原件見3)"/>
    <w:basedOn w:val="a4"/>
    <w:next w:val="a4"/>
    <w:rsid w:val="0078100D"/>
    <w:pPr>
      <w:kinsoku w:val="0"/>
      <w:wordWrap w:val="0"/>
      <w:overflowPunct w:val="0"/>
      <w:autoSpaceDE w:val="0"/>
      <w:ind w:leftChars="400" w:left="1120"/>
    </w:pPr>
    <w:rPr>
      <w:rFonts w:ascii="華康中黑體" w:eastAsia="華康中黑體"/>
      <w:kern w:val="0"/>
      <w:sz w:val="21"/>
    </w:rPr>
  </w:style>
  <w:style w:type="paragraph" w:customStyle="1" w:styleId="140">
    <w:name w:val="第二層(14號字) 字元"/>
    <w:link w:val="141"/>
    <w:rsid w:val="0078100D"/>
    <w:pPr>
      <w:spacing w:line="500" w:lineRule="exact"/>
      <w:ind w:left="200" w:hangingChars="200" w:hanging="200"/>
      <w:jc w:val="both"/>
    </w:pPr>
    <w:rPr>
      <w:rFonts w:ascii="標楷體" w:eastAsia="標楷體" w:hAnsi="Times New Roman" w:cs="Times New Roman"/>
      <w:b/>
      <w:snapToGrid w:val="0"/>
      <w:sz w:val="28"/>
      <w:szCs w:val="24"/>
    </w:rPr>
  </w:style>
  <w:style w:type="character" w:customStyle="1" w:styleId="141">
    <w:name w:val="第二層(14號字) 字元 字元"/>
    <w:link w:val="140"/>
    <w:rsid w:val="0078100D"/>
    <w:rPr>
      <w:rFonts w:ascii="標楷體" w:eastAsia="標楷體" w:hAnsi="Times New Roman" w:cs="Times New Roman"/>
      <w:b/>
      <w:snapToGrid w:val="0"/>
      <w:sz w:val="28"/>
      <w:szCs w:val="24"/>
    </w:rPr>
  </w:style>
  <w:style w:type="paragraph" w:customStyle="1" w:styleId="aff7">
    <w:name w:val="(一)(二)(三) 字元 字元"/>
    <w:basedOn w:val="a4"/>
    <w:link w:val="aff8"/>
    <w:rsid w:val="0078100D"/>
    <w:pPr>
      <w:spacing w:line="500" w:lineRule="exact"/>
      <w:ind w:leftChars="200" w:left="300" w:hangingChars="100" w:hanging="100"/>
      <w:jc w:val="both"/>
    </w:pPr>
    <w:rPr>
      <w:rFonts w:ascii="標楷體" w:eastAsia="標楷體"/>
      <w:snapToGrid w:val="0"/>
      <w:sz w:val="28"/>
      <w:szCs w:val="28"/>
    </w:rPr>
  </w:style>
  <w:style w:type="character" w:customStyle="1" w:styleId="aff8">
    <w:name w:val="(一)(二)(三) 字元 字元 字元"/>
    <w:link w:val="aff7"/>
    <w:rsid w:val="0078100D"/>
    <w:rPr>
      <w:rFonts w:ascii="標楷體" w:eastAsia="標楷體" w:hAnsi="Times New Roman" w:cs="Times New Roman"/>
      <w:snapToGrid w:val="0"/>
      <w:sz w:val="28"/>
      <w:szCs w:val="28"/>
    </w:rPr>
  </w:style>
  <w:style w:type="paragraph" w:customStyle="1" w:styleId="aff9">
    <w:name w:val="結論"/>
    <w:basedOn w:val="a4"/>
    <w:rsid w:val="0078100D"/>
    <w:pPr>
      <w:spacing w:line="500" w:lineRule="exact"/>
      <w:ind w:leftChars="200" w:left="200"/>
      <w:jc w:val="both"/>
    </w:pPr>
    <w:rPr>
      <w:rFonts w:ascii="標楷體" w:eastAsia="標楷體"/>
      <w:snapToGrid w:val="0"/>
      <w:sz w:val="28"/>
      <w:szCs w:val="28"/>
    </w:rPr>
  </w:style>
  <w:style w:type="paragraph" w:customStyle="1" w:styleId="123">
    <w:name w:val="1.2.3."/>
    <w:basedOn w:val="a4"/>
    <w:rsid w:val="0078100D"/>
    <w:pPr>
      <w:spacing w:line="500" w:lineRule="exact"/>
      <w:ind w:leftChars="300" w:left="400" w:hangingChars="100" w:hanging="100"/>
      <w:jc w:val="both"/>
    </w:pPr>
    <w:rPr>
      <w:rFonts w:ascii="標楷體" w:eastAsia="標楷體"/>
      <w:snapToGrid w:val="0"/>
      <w:sz w:val="28"/>
      <w:szCs w:val="28"/>
    </w:rPr>
  </w:style>
  <w:style w:type="paragraph" w:customStyle="1" w:styleId="142">
    <w:name w:val="表格內文(14行高) 字元 字元"/>
    <w:basedOn w:val="affa"/>
    <w:link w:val="143"/>
    <w:rsid w:val="0078100D"/>
    <w:pPr>
      <w:spacing w:line="280" w:lineRule="exact"/>
      <w:ind w:leftChars="0" w:left="0" w:firstLineChars="0" w:firstLine="0"/>
    </w:pPr>
    <w:rPr>
      <w:rFonts w:ascii="標楷體" w:eastAsia="標楷體"/>
      <w:snapToGrid w:val="0"/>
      <w:szCs w:val="28"/>
    </w:rPr>
  </w:style>
  <w:style w:type="paragraph" w:styleId="affa">
    <w:name w:val="table of figures"/>
    <w:basedOn w:val="a4"/>
    <w:next w:val="a4"/>
    <w:uiPriority w:val="99"/>
    <w:semiHidden/>
    <w:rsid w:val="0078100D"/>
    <w:pPr>
      <w:ind w:leftChars="400" w:left="960" w:hangingChars="200" w:hanging="480"/>
    </w:pPr>
  </w:style>
  <w:style w:type="character" w:customStyle="1" w:styleId="143">
    <w:name w:val="表格內文(14行高) 字元 字元 字元"/>
    <w:link w:val="142"/>
    <w:rsid w:val="0078100D"/>
    <w:rPr>
      <w:rFonts w:ascii="標楷體" w:eastAsia="標楷體" w:hAnsi="Times New Roman" w:cs="Times New Roman"/>
      <w:snapToGrid w:val="0"/>
      <w:szCs w:val="28"/>
    </w:rPr>
  </w:style>
  <w:style w:type="paragraph" w:customStyle="1" w:styleId="200">
    <w:name w:val="表格內文(20行高) 字元 字元"/>
    <w:basedOn w:val="142"/>
    <w:link w:val="201"/>
    <w:rsid w:val="0078100D"/>
    <w:pPr>
      <w:spacing w:line="400" w:lineRule="exact"/>
    </w:pPr>
  </w:style>
  <w:style w:type="character" w:customStyle="1" w:styleId="201">
    <w:name w:val="表格內文(20行高) 字元 字元 字元"/>
    <w:basedOn w:val="143"/>
    <w:link w:val="200"/>
    <w:rsid w:val="0078100D"/>
    <w:rPr>
      <w:rFonts w:ascii="標楷體" w:eastAsia="標楷體" w:hAnsi="Times New Roman" w:cs="Times New Roman"/>
      <w:snapToGrid w:val="0"/>
      <w:szCs w:val="28"/>
    </w:rPr>
  </w:style>
  <w:style w:type="paragraph" w:customStyle="1" w:styleId="affb">
    <w:name w:val="(一)(二)(三)"/>
    <w:basedOn w:val="a4"/>
    <w:qFormat/>
    <w:rsid w:val="0078100D"/>
    <w:pPr>
      <w:spacing w:line="500" w:lineRule="exact"/>
      <w:ind w:leftChars="200" w:left="300" w:hangingChars="100" w:hanging="100"/>
      <w:jc w:val="both"/>
    </w:pPr>
    <w:rPr>
      <w:rFonts w:ascii="標楷體" w:eastAsia="標楷體"/>
      <w:snapToGrid w:val="0"/>
      <w:sz w:val="28"/>
      <w:szCs w:val="28"/>
    </w:rPr>
  </w:style>
  <w:style w:type="paragraph" w:customStyle="1" w:styleId="144">
    <w:name w:val="表格內文(14行高)"/>
    <w:basedOn w:val="affa"/>
    <w:link w:val="1410"/>
    <w:qFormat/>
    <w:rsid w:val="0078100D"/>
    <w:pPr>
      <w:spacing w:line="280" w:lineRule="exact"/>
      <w:ind w:leftChars="0" w:left="0" w:firstLineChars="0" w:firstLine="0"/>
    </w:pPr>
    <w:rPr>
      <w:rFonts w:ascii="標楷體" w:eastAsia="標楷體"/>
      <w:snapToGrid w:val="0"/>
      <w:szCs w:val="28"/>
    </w:rPr>
  </w:style>
  <w:style w:type="paragraph" w:customStyle="1" w:styleId="affc">
    <w:name w:val="(一)下內文"/>
    <w:basedOn w:val="affb"/>
    <w:rsid w:val="0078100D"/>
    <w:pPr>
      <w:adjustRightInd w:val="0"/>
      <w:ind w:leftChars="300" w:firstLineChars="0" w:firstLine="0"/>
    </w:pPr>
  </w:style>
  <w:style w:type="paragraph" w:customStyle="1" w:styleId="affd">
    <w:name w:val="一、說明（首行縮排）"/>
    <w:basedOn w:val="afd"/>
    <w:rsid w:val="0078100D"/>
    <w:pPr>
      <w:spacing w:line="400" w:lineRule="atLeast"/>
      <w:ind w:left="794" w:firstLine="624"/>
      <w:jc w:val="both"/>
    </w:pPr>
    <w:rPr>
      <w:rFonts w:ascii="Times New Roman" w:eastAsia="華康楷書體W5" w:hAnsi="Times New Roman" w:cs="Times New Roman"/>
      <w:spacing w:val="10"/>
      <w:sz w:val="28"/>
      <w:szCs w:val="20"/>
    </w:rPr>
  </w:style>
  <w:style w:type="paragraph" w:styleId="affe">
    <w:name w:val="List Paragraph"/>
    <w:aliases w:val="01清單段落,lp1,FooterText,numbered,List Paragraph1,Paragraphe de liste1,標1,1.1.1.1清單段落,列點,(二),List Paragraph,圖標號,標題 (4),Recommendation,Footnote Sam,List Paragraph (numbered (a)),Text,Noise heading,RUS List,Rec para,Dot pt,F5 List Paragraph,No Spacing1"/>
    <w:basedOn w:val="a4"/>
    <w:link w:val="afff"/>
    <w:qFormat/>
    <w:rsid w:val="0078100D"/>
    <w:pPr>
      <w:ind w:leftChars="200" w:left="480"/>
    </w:pPr>
    <w:rPr>
      <w:rFonts w:ascii="Calibri" w:hAnsi="Calibri"/>
      <w:szCs w:val="22"/>
    </w:rPr>
  </w:style>
  <w:style w:type="paragraph" w:customStyle="1" w:styleId="afff0">
    <w:name w:val="報告事項次目錄(內文)"/>
    <w:basedOn w:val="a4"/>
    <w:next w:val="a4"/>
    <w:rsid w:val="0078100D"/>
    <w:pPr>
      <w:kinsoku w:val="0"/>
      <w:wordWrap w:val="0"/>
      <w:overflowPunct w:val="0"/>
      <w:autoSpaceDE w:val="0"/>
      <w:ind w:leftChars="400" w:left="400" w:rightChars="100" w:right="100"/>
      <w:jc w:val="both"/>
    </w:pPr>
    <w:rPr>
      <w:rFonts w:ascii="華康楷書體W5" w:eastAsia="華康楷書體W5"/>
      <w:kern w:val="0"/>
      <w:sz w:val="28"/>
    </w:rPr>
  </w:style>
  <w:style w:type="numbering" w:customStyle="1" w:styleId="3c">
    <w:name w:val="樣式3"/>
    <w:basedOn w:val="a7"/>
    <w:rsid w:val="0078100D"/>
  </w:style>
  <w:style w:type="paragraph" w:customStyle="1" w:styleId="a2">
    <w:name w:val="函件(主旨)"/>
    <w:basedOn w:val="a4"/>
    <w:next w:val="a4"/>
    <w:rsid w:val="0078100D"/>
    <w:pPr>
      <w:numPr>
        <w:numId w:val="10"/>
      </w:numPr>
      <w:kinsoku w:val="0"/>
      <w:overflowPunct w:val="0"/>
      <w:spacing w:line="420" w:lineRule="exact"/>
      <w:jc w:val="both"/>
      <w:textAlignment w:val="center"/>
    </w:pPr>
    <w:rPr>
      <w:rFonts w:eastAsia="華康細明體"/>
      <w:noProof/>
      <w:kern w:val="0"/>
      <w:sz w:val="21"/>
    </w:rPr>
  </w:style>
  <w:style w:type="paragraph" w:customStyle="1" w:styleId="afff1">
    <w:name w:val="案由(議)"/>
    <w:basedOn w:val="a4"/>
    <w:next w:val="a4"/>
    <w:rsid w:val="0078100D"/>
    <w:pPr>
      <w:kinsoku w:val="0"/>
      <w:overflowPunct w:val="0"/>
      <w:spacing w:line="480" w:lineRule="exact"/>
      <w:ind w:leftChars="250" w:left="550" w:hangingChars="300" w:hanging="300"/>
      <w:jc w:val="both"/>
      <w:textAlignment w:val="center"/>
    </w:pPr>
    <w:rPr>
      <w:rFonts w:eastAsia="華康楷書體W5"/>
      <w:noProof/>
      <w:spacing w:val="2"/>
      <w:kern w:val="0"/>
      <w:sz w:val="28"/>
    </w:rPr>
  </w:style>
  <w:style w:type="paragraph" w:customStyle="1" w:styleId="afff2">
    <w:name w:val="說明"/>
    <w:basedOn w:val="a4"/>
    <w:next w:val="a4"/>
    <w:rsid w:val="0078100D"/>
    <w:pPr>
      <w:kinsoku w:val="0"/>
      <w:overflowPunct w:val="0"/>
      <w:spacing w:line="420" w:lineRule="exact"/>
      <w:ind w:left="300" w:hangingChars="300" w:hanging="300"/>
      <w:jc w:val="both"/>
    </w:pPr>
    <w:rPr>
      <w:rFonts w:eastAsia="華康細明體"/>
      <w:noProof/>
      <w:kern w:val="0"/>
      <w:sz w:val="21"/>
    </w:rPr>
  </w:style>
  <w:style w:type="paragraph" w:customStyle="1" w:styleId="msolistparagraph0">
    <w:name w:val="msolistparagraph"/>
    <w:basedOn w:val="a4"/>
    <w:rsid w:val="0078100D"/>
    <w:pPr>
      <w:snapToGrid w:val="0"/>
      <w:ind w:leftChars="200" w:left="480"/>
    </w:pPr>
    <w:rPr>
      <w:rFonts w:ascii="Calibri" w:hAnsi="Calibri" w:cs="新細明體"/>
      <w:kern w:val="0"/>
      <w:sz w:val="28"/>
      <w:szCs w:val="28"/>
    </w:rPr>
  </w:style>
  <w:style w:type="character" w:customStyle="1" w:styleId="topictitle">
    <w:name w:val="topictitle"/>
    <w:basedOn w:val="a5"/>
    <w:rsid w:val="0078100D"/>
  </w:style>
  <w:style w:type="paragraph" w:customStyle="1" w:styleId="afff3">
    <w:name w:val="字元 字元"/>
    <w:basedOn w:val="a4"/>
    <w:semiHidden/>
    <w:rsid w:val="0078100D"/>
    <w:pPr>
      <w:spacing w:after="160" w:line="240" w:lineRule="exact"/>
    </w:pPr>
    <w:rPr>
      <w:rFonts w:ascii="Verdana" w:eastAsia="Times New Roman" w:hAnsi="Verdana"/>
      <w:kern w:val="0"/>
      <w:sz w:val="20"/>
      <w:szCs w:val="20"/>
      <w:lang w:eastAsia="en-US"/>
    </w:rPr>
  </w:style>
  <w:style w:type="paragraph" w:customStyle="1" w:styleId="3d">
    <w:name w:val="標題3 字元 字元 字元 字元 字元"/>
    <w:basedOn w:val="a4"/>
    <w:link w:val="3e"/>
    <w:rsid w:val="0078100D"/>
    <w:pPr>
      <w:spacing w:line="500" w:lineRule="exact"/>
      <w:ind w:leftChars="400" w:left="960"/>
    </w:pPr>
    <w:rPr>
      <w:rFonts w:ascii="標楷體" w:eastAsia="標楷體" w:hAnsi="標楷體" w:cs="細明體"/>
      <w:sz w:val="28"/>
      <w:szCs w:val="28"/>
    </w:rPr>
  </w:style>
  <w:style w:type="character" w:customStyle="1" w:styleId="3e">
    <w:name w:val="標題3 字元 字元 字元 字元 字元 字元"/>
    <w:link w:val="3d"/>
    <w:rsid w:val="0078100D"/>
    <w:rPr>
      <w:rFonts w:ascii="標楷體" w:eastAsia="標楷體" w:hAnsi="標楷體" w:cs="細明體"/>
      <w:sz w:val="28"/>
      <w:szCs w:val="28"/>
    </w:rPr>
  </w:style>
  <w:style w:type="paragraph" w:customStyle="1" w:styleId="afff4">
    <w:name w:val="函件(受文者)"/>
    <w:basedOn w:val="a4"/>
    <w:next w:val="a4"/>
    <w:rsid w:val="0078100D"/>
    <w:pPr>
      <w:kinsoku w:val="0"/>
      <w:overflowPunct w:val="0"/>
      <w:spacing w:line="420" w:lineRule="exact"/>
      <w:ind w:left="400" w:hangingChars="400" w:hanging="400"/>
      <w:jc w:val="both"/>
      <w:textAlignment w:val="center"/>
    </w:pPr>
    <w:rPr>
      <w:rFonts w:eastAsia="華康細明體"/>
      <w:noProof/>
      <w:kern w:val="0"/>
      <w:sz w:val="21"/>
    </w:rPr>
  </w:style>
  <w:style w:type="paragraph" w:customStyle="1" w:styleId="afff5">
    <w:name w:val="函件(附件)"/>
    <w:basedOn w:val="a4"/>
    <w:rsid w:val="0078100D"/>
    <w:pPr>
      <w:kinsoku w:val="0"/>
      <w:overflowPunct w:val="0"/>
      <w:spacing w:line="420" w:lineRule="exact"/>
      <w:ind w:left="300" w:hangingChars="300" w:hanging="300"/>
      <w:jc w:val="both"/>
      <w:textAlignment w:val="center"/>
    </w:pPr>
    <w:rPr>
      <w:rFonts w:eastAsia="華康細明體"/>
      <w:noProof/>
      <w:kern w:val="0"/>
      <w:sz w:val="21"/>
    </w:rPr>
  </w:style>
  <w:style w:type="paragraph" w:customStyle="1" w:styleId="afff6">
    <w:name w:val="函件(密等及解密條件)"/>
    <w:basedOn w:val="a4"/>
    <w:next w:val="a4"/>
    <w:rsid w:val="0078100D"/>
    <w:pPr>
      <w:kinsoku w:val="0"/>
      <w:overflowPunct w:val="0"/>
      <w:spacing w:line="420" w:lineRule="exact"/>
      <w:ind w:left="800" w:hangingChars="800" w:hanging="800"/>
      <w:jc w:val="both"/>
      <w:textAlignment w:val="center"/>
    </w:pPr>
    <w:rPr>
      <w:rFonts w:eastAsia="華康細明體"/>
      <w:noProof/>
      <w:kern w:val="0"/>
      <w:sz w:val="21"/>
    </w:rPr>
  </w:style>
  <w:style w:type="paragraph" w:customStyle="1" w:styleId="afff7">
    <w:name w:val="函件(速別)"/>
    <w:basedOn w:val="a4"/>
    <w:next w:val="a4"/>
    <w:rsid w:val="0078100D"/>
    <w:pPr>
      <w:kinsoku w:val="0"/>
      <w:overflowPunct w:val="0"/>
      <w:spacing w:line="420" w:lineRule="exact"/>
      <w:ind w:left="300" w:hangingChars="300" w:hanging="300"/>
      <w:jc w:val="both"/>
      <w:textAlignment w:val="center"/>
    </w:pPr>
    <w:rPr>
      <w:rFonts w:eastAsia="華康細明體"/>
      <w:noProof/>
      <w:kern w:val="0"/>
      <w:sz w:val="21"/>
    </w:rPr>
  </w:style>
  <w:style w:type="paragraph" w:customStyle="1" w:styleId="afff8">
    <w:name w:val="函件(單位)"/>
    <w:basedOn w:val="a4"/>
    <w:next w:val="a4"/>
    <w:rsid w:val="0078100D"/>
    <w:pPr>
      <w:kinsoku w:val="0"/>
      <w:overflowPunct w:val="0"/>
      <w:jc w:val="both"/>
      <w:textAlignment w:val="center"/>
    </w:pPr>
    <w:rPr>
      <w:rFonts w:eastAsia="華康楷書體W5"/>
      <w:noProof/>
      <w:kern w:val="0"/>
      <w:sz w:val="28"/>
    </w:rPr>
  </w:style>
  <w:style w:type="paragraph" w:customStyle="1" w:styleId="afff9">
    <w:name w:val="函件(發文日期與字號)"/>
    <w:basedOn w:val="a4"/>
    <w:next w:val="a4"/>
    <w:rsid w:val="0078100D"/>
    <w:pPr>
      <w:kinsoku w:val="0"/>
      <w:overflowPunct w:val="0"/>
      <w:spacing w:line="420" w:lineRule="exact"/>
      <w:ind w:left="500" w:hangingChars="500" w:hanging="500"/>
      <w:jc w:val="both"/>
      <w:textAlignment w:val="center"/>
    </w:pPr>
    <w:rPr>
      <w:rFonts w:eastAsia="華康細明體"/>
      <w:noProof/>
      <w:kern w:val="0"/>
      <w:sz w:val="21"/>
    </w:rPr>
  </w:style>
  <w:style w:type="paragraph" w:customStyle="1" w:styleId="afffa">
    <w:name w:val="函件(說明)"/>
    <w:basedOn w:val="a4"/>
    <w:next w:val="a4"/>
    <w:rsid w:val="0078100D"/>
    <w:pPr>
      <w:kinsoku w:val="0"/>
      <w:overflowPunct w:val="0"/>
      <w:spacing w:line="420" w:lineRule="exact"/>
      <w:ind w:left="300" w:hangingChars="300" w:hanging="300"/>
      <w:jc w:val="both"/>
      <w:textAlignment w:val="center"/>
    </w:pPr>
    <w:rPr>
      <w:rFonts w:eastAsia="華康細明體"/>
      <w:noProof/>
      <w:kern w:val="0"/>
      <w:sz w:val="21"/>
    </w:rPr>
  </w:style>
  <w:style w:type="paragraph" w:customStyle="1" w:styleId="afffb">
    <w:name w:val="審查報告(內文)"/>
    <w:basedOn w:val="a4"/>
    <w:next w:val="a4"/>
    <w:rsid w:val="0078100D"/>
    <w:pPr>
      <w:kinsoku w:val="0"/>
      <w:overflowPunct w:val="0"/>
      <w:spacing w:line="420" w:lineRule="exact"/>
      <w:ind w:firstLineChars="200" w:firstLine="200"/>
      <w:jc w:val="both"/>
      <w:textAlignment w:val="center"/>
    </w:pPr>
    <w:rPr>
      <w:rFonts w:eastAsia="華康細明體"/>
      <w:noProof/>
      <w:sz w:val="21"/>
    </w:rPr>
  </w:style>
  <w:style w:type="paragraph" w:styleId="42">
    <w:name w:val="toc 4"/>
    <w:basedOn w:val="a4"/>
    <w:next w:val="a4"/>
    <w:autoRedefine/>
    <w:uiPriority w:val="39"/>
    <w:unhideWhenUsed/>
    <w:rsid w:val="00477ACB"/>
    <w:pPr>
      <w:tabs>
        <w:tab w:val="right" w:leader="middleDot" w:pos="8789"/>
      </w:tabs>
      <w:adjustRightInd w:val="0"/>
      <w:snapToGrid w:val="0"/>
      <w:spacing w:beforeLines="20" w:before="48" w:line="500" w:lineRule="exact"/>
      <w:ind w:left="851" w:rightChars="-139" w:right="-334"/>
    </w:pPr>
    <w:rPr>
      <w:rFonts w:ascii="標楷體" w:eastAsia="標楷體" w:hAnsi="標楷體"/>
      <w:noProof/>
      <w:sz w:val="28"/>
      <w:szCs w:val="28"/>
    </w:rPr>
  </w:style>
  <w:style w:type="paragraph" w:styleId="51">
    <w:name w:val="toc 5"/>
    <w:basedOn w:val="a4"/>
    <w:next w:val="a4"/>
    <w:autoRedefine/>
    <w:uiPriority w:val="39"/>
    <w:unhideWhenUsed/>
    <w:rsid w:val="0078100D"/>
    <w:pPr>
      <w:tabs>
        <w:tab w:val="right" w:leader="middleDot" w:pos="8789"/>
        <w:tab w:val="right" w:leader="dot" w:pos="10173"/>
      </w:tabs>
      <w:adjustRightInd w:val="0"/>
      <w:snapToGrid w:val="0"/>
      <w:spacing w:beforeLines="20" w:before="48" w:afterLines="20" w:after="48" w:line="480" w:lineRule="exact"/>
      <w:ind w:leftChars="632" w:left="2161" w:rightChars="-139" w:right="-334" w:hangingChars="230" w:hanging="644"/>
    </w:pPr>
    <w:rPr>
      <w:rFonts w:ascii="標楷體" w:eastAsia="標楷體" w:hAnsi="標楷體"/>
      <w:noProof/>
      <w:sz w:val="28"/>
      <w:szCs w:val="28"/>
    </w:rPr>
  </w:style>
  <w:style w:type="paragraph" w:styleId="61">
    <w:name w:val="toc 6"/>
    <w:basedOn w:val="a4"/>
    <w:next w:val="a4"/>
    <w:autoRedefine/>
    <w:uiPriority w:val="39"/>
    <w:unhideWhenUsed/>
    <w:rsid w:val="0078100D"/>
    <w:pPr>
      <w:tabs>
        <w:tab w:val="right" w:leader="middleDot" w:pos="8789"/>
        <w:tab w:val="right" w:leader="dot" w:pos="10173"/>
        <w:tab w:val="right" w:leader="middleDot" w:pos="11040"/>
      </w:tabs>
      <w:adjustRightInd w:val="0"/>
      <w:snapToGrid w:val="0"/>
      <w:spacing w:beforeLines="20" w:before="48" w:afterLines="20" w:after="48" w:line="480" w:lineRule="exact"/>
      <w:ind w:leftChars="750" w:left="2340" w:rightChars="-139" w:right="-334" w:hangingChars="300" w:hanging="540"/>
    </w:pPr>
    <w:rPr>
      <w:rFonts w:ascii="標楷體" w:eastAsia="標楷體" w:hAnsi="標楷體"/>
      <w:noProof/>
      <w:sz w:val="28"/>
      <w:szCs w:val="28"/>
    </w:rPr>
  </w:style>
  <w:style w:type="paragraph" w:styleId="7">
    <w:name w:val="toc 7"/>
    <w:basedOn w:val="a4"/>
    <w:next w:val="a4"/>
    <w:autoRedefine/>
    <w:uiPriority w:val="39"/>
    <w:unhideWhenUsed/>
    <w:rsid w:val="0078100D"/>
    <w:pPr>
      <w:ind w:left="1440"/>
    </w:pPr>
    <w:rPr>
      <w:rFonts w:ascii="Calibri" w:hAnsi="Calibri"/>
      <w:sz w:val="18"/>
      <w:szCs w:val="18"/>
    </w:rPr>
  </w:style>
  <w:style w:type="paragraph" w:styleId="8">
    <w:name w:val="toc 8"/>
    <w:basedOn w:val="a4"/>
    <w:next w:val="a4"/>
    <w:autoRedefine/>
    <w:uiPriority w:val="39"/>
    <w:unhideWhenUsed/>
    <w:rsid w:val="0078100D"/>
    <w:pPr>
      <w:ind w:left="1680"/>
    </w:pPr>
    <w:rPr>
      <w:rFonts w:ascii="Calibri" w:hAnsi="Calibri"/>
      <w:sz w:val="18"/>
      <w:szCs w:val="18"/>
    </w:rPr>
  </w:style>
  <w:style w:type="paragraph" w:styleId="91">
    <w:name w:val="toc 9"/>
    <w:basedOn w:val="a4"/>
    <w:next w:val="a4"/>
    <w:autoRedefine/>
    <w:uiPriority w:val="39"/>
    <w:unhideWhenUsed/>
    <w:rsid w:val="0078100D"/>
    <w:pPr>
      <w:ind w:left="1920"/>
    </w:pPr>
    <w:rPr>
      <w:rFonts w:ascii="Calibri" w:hAnsi="Calibri"/>
      <w:sz w:val="18"/>
      <w:szCs w:val="18"/>
    </w:rPr>
  </w:style>
  <w:style w:type="character" w:customStyle="1" w:styleId="16">
    <w:name w:val="頁尾 字元1"/>
    <w:aliases w:val="頁尾 字元 字元, 字元3 字元 字元 字元"/>
    <w:uiPriority w:val="99"/>
    <w:rsid w:val="0078100D"/>
    <w:rPr>
      <w:rFonts w:eastAsia="細明體"/>
      <w:lang w:val="en-US" w:eastAsia="zh-TW" w:bidi="ar-SA"/>
    </w:rPr>
  </w:style>
  <w:style w:type="paragraph" w:customStyle="1" w:styleId="afffc">
    <w:name w:val="議事錄標題"/>
    <w:basedOn w:val="1"/>
    <w:link w:val="afffd"/>
    <w:qFormat/>
    <w:rsid w:val="0078100D"/>
    <w:pPr>
      <w:adjustRightInd w:val="0"/>
      <w:snapToGrid w:val="0"/>
      <w:spacing w:beforeLines="50" w:before="180" w:afterLines="50" w:after="180" w:line="240" w:lineRule="auto"/>
      <w:jc w:val="left"/>
    </w:pPr>
    <w:rPr>
      <w:rFonts w:ascii="Times New Roman" w:hAnsi="標楷體"/>
      <w:sz w:val="32"/>
      <w:szCs w:val="32"/>
    </w:rPr>
  </w:style>
  <w:style w:type="character" w:customStyle="1" w:styleId="afffd">
    <w:name w:val="議事錄標題 字元"/>
    <w:link w:val="afffc"/>
    <w:rsid w:val="0078100D"/>
    <w:rPr>
      <w:rFonts w:ascii="Times New Roman" w:eastAsia="標楷體" w:hAnsi="標楷體" w:cs="Times New Roman"/>
      <w:b/>
      <w:bCs/>
      <w:kern w:val="52"/>
      <w:sz w:val="32"/>
      <w:szCs w:val="32"/>
    </w:rPr>
  </w:style>
  <w:style w:type="character" w:customStyle="1" w:styleId="1411">
    <w:name w:val="第二層(14號字) 字元1"/>
    <w:rsid w:val="0078100D"/>
    <w:rPr>
      <w:rFonts w:ascii="標楷體" w:eastAsia="標楷體" w:hAnsi="Arial"/>
      <w:b/>
      <w:snapToGrid w:val="0"/>
      <w:color w:val="000000"/>
      <w:kern w:val="2"/>
      <w:sz w:val="28"/>
      <w:szCs w:val="28"/>
      <w:lang w:bidi="ar-SA"/>
    </w:rPr>
  </w:style>
  <w:style w:type="paragraph" w:customStyle="1" w:styleId="17">
    <w:name w:val="字元 字元1"/>
    <w:basedOn w:val="a4"/>
    <w:semiHidden/>
    <w:rsid w:val="0078100D"/>
    <w:pPr>
      <w:spacing w:after="160" w:line="240" w:lineRule="exact"/>
    </w:pPr>
    <w:rPr>
      <w:rFonts w:ascii="Verdana" w:eastAsia="Times New Roman" w:hAnsi="Verdana" w:cs="Mangal"/>
      <w:sz w:val="20"/>
      <w:lang w:eastAsia="en-US" w:bidi="hi-IN"/>
    </w:rPr>
  </w:style>
  <w:style w:type="paragraph" w:customStyle="1" w:styleId="2b">
    <w:name w:val="(一)下內文縮2"/>
    <w:basedOn w:val="a4"/>
    <w:link w:val="2c"/>
    <w:qFormat/>
    <w:rsid w:val="0078100D"/>
    <w:pPr>
      <w:adjustRightInd w:val="0"/>
      <w:snapToGrid w:val="0"/>
      <w:spacing w:line="500" w:lineRule="exact"/>
      <w:ind w:leftChars="300" w:left="300" w:firstLineChars="200" w:firstLine="200"/>
      <w:jc w:val="both"/>
    </w:pPr>
    <w:rPr>
      <w:rFonts w:ascii="標楷體" w:eastAsia="標楷體" w:hAnsi="標楷體"/>
      <w:sz w:val="28"/>
    </w:rPr>
  </w:style>
  <w:style w:type="paragraph" w:customStyle="1" w:styleId="afffe">
    <w:name w:val="字元 字元 字元"/>
    <w:basedOn w:val="a4"/>
    <w:semiHidden/>
    <w:rsid w:val="0078100D"/>
    <w:pPr>
      <w:spacing w:after="160" w:line="240" w:lineRule="exact"/>
    </w:pPr>
    <w:rPr>
      <w:rFonts w:ascii="Tahoma" w:hAnsi="Tahoma" w:cs="Tahoma"/>
      <w:kern w:val="0"/>
      <w:sz w:val="20"/>
      <w:szCs w:val="20"/>
      <w:lang w:eastAsia="en-US"/>
    </w:rPr>
  </w:style>
  <w:style w:type="numbering" w:customStyle="1" w:styleId="110">
    <w:name w:val="樣式11"/>
    <w:rsid w:val="0078100D"/>
  </w:style>
  <w:style w:type="paragraph" w:customStyle="1" w:styleId="-2">
    <w:name w:val="總說明-標題2"/>
    <w:basedOn w:val="2"/>
    <w:next w:val="a4"/>
    <w:link w:val="-20"/>
    <w:qFormat/>
    <w:rsid w:val="0078100D"/>
    <w:pPr>
      <w:adjustRightInd w:val="0"/>
      <w:snapToGrid w:val="0"/>
      <w:spacing w:afterLines="150" w:after="502" w:line="240" w:lineRule="auto"/>
      <w:ind w:leftChars="0" w:left="0"/>
      <w:jc w:val="left"/>
    </w:pPr>
    <w:rPr>
      <w:rFonts w:ascii="標楷體" w:hAnsi="標楷體"/>
      <w:b/>
      <w:sz w:val="40"/>
      <w:szCs w:val="40"/>
    </w:rPr>
  </w:style>
  <w:style w:type="character" w:customStyle="1" w:styleId="-20">
    <w:name w:val="總說明-標題2 字元"/>
    <w:link w:val="-2"/>
    <w:rsid w:val="0078100D"/>
    <w:rPr>
      <w:rFonts w:ascii="標楷體" w:eastAsia="標楷體" w:hAnsi="標楷體" w:cs="Times New Roman"/>
      <w:b/>
      <w:bCs/>
      <w:sz w:val="40"/>
      <w:szCs w:val="40"/>
    </w:rPr>
  </w:style>
  <w:style w:type="character" w:customStyle="1" w:styleId="62">
    <w:name w:val="字元6 字元"/>
    <w:semiHidden/>
    <w:rsid w:val="0078100D"/>
    <w:rPr>
      <w:rFonts w:ascii="Cambria" w:eastAsia="新細明體" w:hAnsi="Cambria" w:cs="Times New Roman"/>
      <w:b/>
      <w:bCs/>
      <w:sz w:val="48"/>
      <w:szCs w:val="48"/>
    </w:rPr>
  </w:style>
  <w:style w:type="character" w:customStyle="1" w:styleId="43">
    <w:name w:val="字元4 字元"/>
    <w:rsid w:val="0078100D"/>
    <w:rPr>
      <w:kern w:val="2"/>
    </w:rPr>
  </w:style>
  <w:style w:type="paragraph" w:customStyle="1" w:styleId="-">
    <w:name w:val="審議概況-標題一 字元"/>
    <w:basedOn w:val="1"/>
    <w:link w:val="-0"/>
    <w:qFormat/>
    <w:rsid w:val="0078100D"/>
    <w:pPr>
      <w:tabs>
        <w:tab w:val="left" w:pos="709"/>
        <w:tab w:val="left" w:pos="5954"/>
      </w:tabs>
      <w:adjustRightInd w:val="0"/>
      <w:snapToGrid w:val="0"/>
      <w:spacing w:beforeLines="50" w:before="190" w:afterLines="50" w:after="190" w:line="240" w:lineRule="auto"/>
    </w:pPr>
    <w:rPr>
      <w:rFonts w:ascii="Times New Roman" w:hAnsi="標楷體"/>
      <w:sz w:val="32"/>
      <w:szCs w:val="32"/>
    </w:rPr>
  </w:style>
  <w:style w:type="character" w:customStyle="1" w:styleId="-0">
    <w:name w:val="審議概況-標題一 字元 字元"/>
    <w:link w:val="-"/>
    <w:rsid w:val="0078100D"/>
    <w:rPr>
      <w:rFonts w:ascii="Times New Roman" w:eastAsia="標楷體" w:hAnsi="標楷體" w:cs="Times New Roman"/>
      <w:b/>
      <w:bCs/>
      <w:kern w:val="52"/>
      <w:sz w:val="32"/>
      <w:szCs w:val="32"/>
    </w:rPr>
  </w:style>
  <w:style w:type="character" w:customStyle="1" w:styleId="70">
    <w:name w:val="字元7 字元"/>
    <w:rsid w:val="0078100D"/>
    <w:rPr>
      <w:rFonts w:ascii="Cambria" w:eastAsia="新細明體" w:hAnsi="Cambria" w:cs="Times New Roman"/>
      <w:b/>
      <w:bCs/>
      <w:kern w:val="52"/>
      <w:sz w:val="52"/>
      <w:szCs w:val="52"/>
    </w:rPr>
  </w:style>
  <w:style w:type="paragraph" w:customStyle="1" w:styleId="-1">
    <w:name w:val="二、審議概況-標題二"/>
    <w:basedOn w:val="2"/>
    <w:next w:val="a4"/>
    <w:link w:val="-3"/>
    <w:qFormat/>
    <w:rsid w:val="0078100D"/>
    <w:pPr>
      <w:tabs>
        <w:tab w:val="left" w:pos="851"/>
      </w:tabs>
      <w:adjustRightInd w:val="0"/>
      <w:snapToGrid w:val="0"/>
      <w:spacing w:beforeLines="50" w:before="180" w:afterLines="50" w:after="180" w:line="240" w:lineRule="auto"/>
      <w:ind w:leftChars="0" w:left="1320" w:hanging="894"/>
    </w:pPr>
    <w:rPr>
      <w:b/>
    </w:rPr>
  </w:style>
  <w:style w:type="character" w:customStyle="1" w:styleId="-3">
    <w:name w:val="二、審議概況-標題二 字元"/>
    <w:link w:val="-1"/>
    <w:rsid w:val="0078100D"/>
    <w:rPr>
      <w:rFonts w:ascii="Arial" w:eastAsia="標楷體" w:hAnsi="Arial" w:cs="Times New Roman"/>
      <w:b/>
      <w:bCs/>
      <w:sz w:val="28"/>
      <w:szCs w:val="48"/>
    </w:rPr>
  </w:style>
  <w:style w:type="paragraph" w:customStyle="1" w:styleId="3f">
    <w:name w:val="3. 審議概況–標題三"/>
    <w:basedOn w:val="3"/>
    <w:next w:val="a4"/>
    <w:link w:val="3f0"/>
    <w:qFormat/>
    <w:rsid w:val="0078100D"/>
    <w:pPr>
      <w:tabs>
        <w:tab w:val="left" w:pos="1276"/>
      </w:tabs>
      <w:adjustRightInd w:val="0"/>
      <w:snapToGrid w:val="0"/>
      <w:spacing w:beforeLines="50" w:before="180" w:afterLines="50" w:after="180" w:line="240" w:lineRule="auto"/>
      <w:ind w:leftChars="0" w:left="967" w:firstLineChars="0" w:hanging="116"/>
    </w:pPr>
    <w:rPr>
      <w:rFonts w:ascii="標楷體" w:hAnsi="標楷體"/>
      <w:b/>
    </w:rPr>
  </w:style>
  <w:style w:type="character" w:customStyle="1" w:styleId="3f0">
    <w:name w:val="3. 審議概況–標題三 字元"/>
    <w:link w:val="3f"/>
    <w:rsid w:val="0078100D"/>
    <w:rPr>
      <w:rFonts w:ascii="標楷體" w:eastAsia="標楷體" w:hAnsi="標楷體" w:cs="Times New Roman"/>
      <w:b/>
      <w:bCs/>
      <w:sz w:val="28"/>
      <w:szCs w:val="36"/>
    </w:rPr>
  </w:style>
  <w:style w:type="character" w:customStyle="1" w:styleId="52">
    <w:name w:val="字元5 字元"/>
    <w:semiHidden/>
    <w:rsid w:val="0078100D"/>
    <w:rPr>
      <w:rFonts w:ascii="Cambria" w:eastAsia="新細明體" w:hAnsi="Cambria" w:cs="Times New Roman"/>
      <w:b/>
      <w:bCs/>
      <w:kern w:val="2"/>
      <w:sz w:val="36"/>
      <w:szCs w:val="36"/>
    </w:rPr>
  </w:style>
  <w:style w:type="numbering" w:customStyle="1" w:styleId="19">
    <w:name w:val="無清單1"/>
    <w:next w:val="a7"/>
    <w:uiPriority w:val="99"/>
    <w:semiHidden/>
    <w:unhideWhenUsed/>
    <w:rsid w:val="0078100D"/>
  </w:style>
  <w:style w:type="table" w:customStyle="1" w:styleId="1a">
    <w:name w:val="表格格線1"/>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annotation reference"/>
    <w:uiPriority w:val="99"/>
    <w:semiHidden/>
    <w:unhideWhenUsed/>
    <w:rsid w:val="0078100D"/>
    <w:rPr>
      <w:sz w:val="18"/>
      <w:szCs w:val="18"/>
    </w:rPr>
  </w:style>
  <w:style w:type="paragraph" w:styleId="affff0">
    <w:name w:val="annotation text"/>
    <w:aliases w:val=" 字元2 字元"/>
    <w:basedOn w:val="a4"/>
    <w:link w:val="affff1"/>
    <w:uiPriority w:val="99"/>
    <w:unhideWhenUsed/>
    <w:rsid w:val="0078100D"/>
    <w:rPr>
      <w:szCs w:val="22"/>
    </w:rPr>
  </w:style>
  <w:style w:type="character" w:customStyle="1" w:styleId="affff1">
    <w:name w:val="註解文字 字元"/>
    <w:aliases w:val=" 字元2 字元 字元"/>
    <w:basedOn w:val="a5"/>
    <w:link w:val="affff0"/>
    <w:uiPriority w:val="99"/>
    <w:rsid w:val="0078100D"/>
    <w:rPr>
      <w:rFonts w:ascii="Times New Roman" w:eastAsia="新細明體" w:hAnsi="Times New Roman" w:cs="Times New Roman"/>
    </w:rPr>
  </w:style>
  <w:style w:type="paragraph" w:styleId="affff2">
    <w:name w:val="annotation subject"/>
    <w:aliases w:val=" 字元1 字元"/>
    <w:basedOn w:val="affff0"/>
    <w:next w:val="affff0"/>
    <w:link w:val="affff3"/>
    <w:uiPriority w:val="99"/>
    <w:semiHidden/>
    <w:unhideWhenUsed/>
    <w:rsid w:val="0078100D"/>
    <w:rPr>
      <w:b/>
      <w:bCs/>
    </w:rPr>
  </w:style>
  <w:style w:type="character" w:customStyle="1" w:styleId="affff3">
    <w:name w:val="註解主旨 字元"/>
    <w:aliases w:val=" 字元1 字元 字元"/>
    <w:basedOn w:val="affff1"/>
    <w:link w:val="affff2"/>
    <w:uiPriority w:val="99"/>
    <w:semiHidden/>
    <w:rsid w:val="0078100D"/>
    <w:rPr>
      <w:rFonts w:ascii="Times New Roman" w:eastAsia="新細明體" w:hAnsi="Times New Roman" w:cs="Times New Roman"/>
      <w:b/>
      <w:bCs/>
    </w:rPr>
  </w:style>
  <w:style w:type="paragraph" w:styleId="affff4">
    <w:name w:val="footnote text"/>
    <w:basedOn w:val="a4"/>
    <w:link w:val="affff5"/>
    <w:uiPriority w:val="99"/>
    <w:semiHidden/>
    <w:unhideWhenUsed/>
    <w:rsid w:val="0078100D"/>
    <w:pPr>
      <w:snapToGrid w:val="0"/>
    </w:pPr>
  </w:style>
  <w:style w:type="character" w:customStyle="1" w:styleId="affff5">
    <w:name w:val="註腳文字 字元"/>
    <w:basedOn w:val="a5"/>
    <w:link w:val="affff4"/>
    <w:uiPriority w:val="99"/>
    <w:semiHidden/>
    <w:rsid w:val="0078100D"/>
    <w:rPr>
      <w:rFonts w:ascii="Times New Roman" w:eastAsia="新細明體" w:hAnsi="Times New Roman" w:cs="Times New Roman"/>
      <w:szCs w:val="24"/>
    </w:rPr>
  </w:style>
  <w:style w:type="character" w:styleId="affff6">
    <w:name w:val="footnote reference"/>
    <w:uiPriority w:val="99"/>
    <w:semiHidden/>
    <w:unhideWhenUsed/>
    <w:rsid w:val="0078100D"/>
    <w:rPr>
      <w:vertAlign w:val="superscript"/>
    </w:rPr>
  </w:style>
  <w:style w:type="numbering" w:customStyle="1" w:styleId="111">
    <w:name w:val="無清單11"/>
    <w:next w:val="a7"/>
    <w:uiPriority w:val="99"/>
    <w:semiHidden/>
    <w:unhideWhenUsed/>
    <w:rsid w:val="0078100D"/>
  </w:style>
  <w:style w:type="paragraph" w:customStyle="1" w:styleId="-4">
    <w:name w:val="審議概況-標題二 字元 字元 字元"/>
    <w:basedOn w:val="2"/>
    <w:next w:val="a4"/>
    <w:link w:val="-5"/>
    <w:qFormat/>
    <w:rsid w:val="0078100D"/>
    <w:pPr>
      <w:tabs>
        <w:tab w:val="left" w:pos="851"/>
      </w:tabs>
      <w:adjustRightInd w:val="0"/>
      <w:snapToGrid w:val="0"/>
      <w:spacing w:beforeLines="50" w:before="180" w:afterLines="50" w:after="180" w:line="240" w:lineRule="auto"/>
      <w:ind w:leftChars="0" w:left="1320" w:hanging="894"/>
    </w:pPr>
    <w:rPr>
      <w:b/>
      <w:sz w:val="32"/>
    </w:rPr>
  </w:style>
  <w:style w:type="character" w:customStyle="1" w:styleId="-5">
    <w:name w:val="審議概況-標題二 字元 字元 字元 字元"/>
    <w:link w:val="-4"/>
    <w:rsid w:val="0078100D"/>
    <w:rPr>
      <w:rFonts w:ascii="Arial" w:eastAsia="標楷體" w:hAnsi="Arial" w:cs="Times New Roman"/>
      <w:b/>
      <w:bCs/>
      <w:sz w:val="32"/>
      <w:szCs w:val="48"/>
    </w:rPr>
  </w:style>
  <w:style w:type="paragraph" w:styleId="affff7">
    <w:name w:val="Revision"/>
    <w:hidden/>
    <w:uiPriority w:val="99"/>
    <w:semiHidden/>
    <w:rsid w:val="0078100D"/>
    <w:rPr>
      <w:rFonts w:ascii="Calibri" w:eastAsia="新細明體" w:hAnsi="Calibri" w:cs="Times New Roman"/>
    </w:rPr>
  </w:style>
  <w:style w:type="paragraph" w:styleId="affff8">
    <w:name w:val="TOC Heading"/>
    <w:basedOn w:val="1"/>
    <w:next w:val="a4"/>
    <w:uiPriority w:val="39"/>
    <w:qFormat/>
    <w:rsid w:val="0078100D"/>
    <w:pPr>
      <w:keepLines/>
      <w:spacing w:before="480" w:line="276" w:lineRule="auto"/>
      <w:jc w:val="left"/>
      <w:outlineLvl w:val="9"/>
    </w:pPr>
    <w:rPr>
      <w:rFonts w:ascii="Cambria" w:eastAsia="新細明體" w:hAnsi="Cambria"/>
      <w:color w:val="365F91"/>
      <w:kern w:val="0"/>
      <w:szCs w:val="28"/>
    </w:rPr>
  </w:style>
  <w:style w:type="character" w:customStyle="1" w:styleId="145">
    <w:name w:val="字元14"/>
    <w:rsid w:val="0078100D"/>
    <w:rPr>
      <w:rFonts w:ascii="Times New Roman" w:eastAsia="標楷體" w:hAnsi="Times New Roman" w:cs="Times New Roman"/>
      <w:sz w:val="20"/>
      <w:szCs w:val="20"/>
    </w:rPr>
  </w:style>
  <w:style w:type="character" w:customStyle="1" w:styleId="130">
    <w:name w:val="字元13"/>
    <w:rsid w:val="0078100D"/>
    <w:rPr>
      <w:rFonts w:ascii="Times New Roman" w:eastAsia="標楷體" w:hAnsi="Times New Roman" w:cs="Times New Roman"/>
      <w:sz w:val="20"/>
      <w:szCs w:val="20"/>
    </w:rPr>
  </w:style>
  <w:style w:type="character" w:customStyle="1" w:styleId="120">
    <w:name w:val="字元12"/>
    <w:rsid w:val="0078100D"/>
    <w:rPr>
      <w:rFonts w:ascii="Times New Roman" w:eastAsia="標楷體" w:hAnsi="Times New Roman" w:cs="Times New Roman"/>
      <w:sz w:val="28"/>
    </w:rPr>
  </w:style>
  <w:style w:type="character" w:customStyle="1" w:styleId="112">
    <w:name w:val="字元11"/>
    <w:semiHidden/>
    <w:rsid w:val="0078100D"/>
    <w:rPr>
      <w:rFonts w:ascii="Times New Roman" w:eastAsia="標楷體" w:hAnsi="Times New Roman" w:cs="Times New Roman"/>
      <w:b/>
      <w:bCs/>
      <w:sz w:val="28"/>
    </w:rPr>
  </w:style>
  <w:style w:type="character" w:customStyle="1" w:styleId="100">
    <w:name w:val="字元10"/>
    <w:rsid w:val="0078100D"/>
    <w:rPr>
      <w:rFonts w:ascii="Cambria" w:eastAsia="新細明體" w:hAnsi="Cambria" w:cs="Times New Roman"/>
      <w:sz w:val="18"/>
      <w:szCs w:val="18"/>
    </w:rPr>
  </w:style>
  <w:style w:type="character" w:customStyle="1" w:styleId="210">
    <w:name w:val="字元21"/>
    <w:rsid w:val="0078100D"/>
    <w:rPr>
      <w:rFonts w:ascii="新細明體" w:hAnsi="Times New Roman"/>
      <w:kern w:val="2"/>
      <w:sz w:val="18"/>
      <w:szCs w:val="18"/>
    </w:rPr>
  </w:style>
  <w:style w:type="character" w:customStyle="1" w:styleId="170">
    <w:name w:val="字元17"/>
    <w:rsid w:val="0078100D"/>
    <w:rPr>
      <w:rFonts w:ascii="Cambria" w:eastAsia="新細明體" w:hAnsi="Cambria" w:cs="Times New Roman"/>
      <w:b/>
      <w:bCs/>
      <w:kern w:val="52"/>
      <w:sz w:val="52"/>
      <w:szCs w:val="52"/>
    </w:rPr>
  </w:style>
  <w:style w:type="character" w:customStyle="1" w:styleId="160">
    <w:name w:val="字元16"/>
    <w:rsid w:val="0078100D"/>
    <w:rPr>
      <w:rFonts w:ascii="Cambria" w:eastAsia="新細明體" w:hAnsi="Cambria" w:cs="Times New Roman"/>
      <w:b/>
      <w:bCs/>
      <w:kern w:val="2"/>
      <w:sz w:val="48"/>
      <w:szCs w:val="48"/>
    </w:rPr>
  </w:style>
  <w:style w:type="paragraph" w:customStyle="1" w:styleId="a1">
    <w:name w:val="審議概況–標題三"/>
    <w:basedOn w:val="3"/>
    <w:next w:val="a4"/>
    <w:link w:val="affff9"/>
    <w:qFormat/>
    <w:rsid w:val="0078100D"/>
    <w:pPr>
      <w:numPr>
        <w:numId w:val="8"/>
      </w:numPr>
      <w:tabs>
        <w:tab w:val="left" w:pos="1276"/>
      </w:tabs>
      <w:adjustRightInd w:val="0"/>
      <w:snapToGrid w:val="0"/>
      <w:spacing w:beforeLines="50" w:before="190" w:afterLines="50" w:after="190" w:line="240" w:lineRule="auto"/>
      <w:ind w:leftChars="0" w:left="0" w:firstLineChars="0" w:hanging="116"/>
    </w:pPr>
    <w:rPr>
      <w:rFonts w:ascii="Times New Roman" w:hAnsi="Times New Roman"/>
      <w:b/>
    </w:rPr>
  </w:style>
  <w:style w:type="character" w:customStyle="1" w:styleId="150">
    <w:name w:val="字元15"/>
    <w:rsid w:val="0078100D"/>
    <w:rPr>
      <w:rFonts w:ascii="Cambria" w:eastAsia="新細明體" w:hAnsi="Cambria" w:cs="Times New Roman"/>
      <w:b/>
      <w:bCs/>
      <w:kern w:val="2"/>
      <w:sz w:val="36"/>
      <w:szCs w:val="36"/>
    </w:rPr>
  </w:style>
  <w:style w:type="numbering" w:customStyle="1" w:styleId="1110">
    <w:name w:val="無清單111"/>
    <w:next w:val="a7"/>
    <w:semiHidden/>
    <w:unhideWhenUsed/>
    <w:rsid w:val="0078100D"/>
  </w:style>
  <w:style w:type="numbering" w:customStyle="1" w:styleId="1111">
    <w:name w:val="無清單1111"/>
    <w:next w:val="a7"/>
    <w:semiHidden/>
    <w:unhideWhenUsed/>
    <w:rsid w:val="0078100D"/>
  </w:style>
  <w:style w:type="table" w:customStyle="1" w:styleId="113">
    <w:name w:val="表格格線11"/>
    <w:basedOn w:val="a6"/>
    <w:next w:val="ae"/>
    <w:uiPriority w:val="59"/>
    <w:rsid w:val="0078100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0">
    <w:name w:val="字元19"/>
    <w:rsid w:val="0078100D"/>
    <w:rPr>
      <w:rFonts w:ascii="華康楷書體W5" w:eastAsia="標楷體" w:hAnsi="Times New Roman"/>
      <w:bCs/>
      <w:spacing w:val="20"/>
      <w:kern w:val="2"/>
      <w:sz w:val="28"/>
    </w:rPr>
  </w:style>
  <w:style w:type="character" w:customStyle="1" w:styleId="3f1">
    <w:name w:val="標題3 字元 字元 字元 字元 字元 字元 字元"/>
    <w:rsid w:val="0078100D"/>
    <w:rPr>
      <w:rFonts w:ascii="標楷體" w:eastAsia="標楷體" w:hAnsi="標楷體" w:cs="細明體"/>
      <w:kern w:val="2"/>
      <w:sz w:val="28"/>
      <w:szCs w:val="28"/>
    </w:rPr>
  </w:style>
  <w:style w:type="character" w:customStyle="1" w:styleId="affff9">
    <w:name w:val="審議概況–標題三 字元"/>
    <w:link w:val="a1"/>
    <w:rsid w:val="0078100D"/>
    <w:rPr>
      <w:rFonts w:ascii="Times New Roman" w:eastAsia="標楷體" w:hAnsi="Times New Roman" w:cs="Times New Roman"/>
      <w:b/>
      <w:bCs/>
      <w:sz w:val="28"/>
      <w:szCs w:val="36"/>
    </w:rPr>
  </w:style>
  <w:style w:type="numbering" w:customStyle="1" w:styleId="2d">
    <w:name w:val="無清單2"/>
    <w:next w:val="a7"/>
    <w:uiPriority w:val="99"/>
    <w:semiHidden/>
    <w:unhideWhenUsed/>
    <w:rsid w:val="0078100D"/>
  </w:style>
  <w:style w:type="numbering" w:customStyle="1" w:styleId="121">
    <w:name w:val="無清單12"/>
    <w:next w:val="a7"/>
    <w:uiPriority w:val="99"/>
    <w:semiHidden/>
    <w:unhideWhenUsed/>
    <w:rsid w:val="0078100D"/>
  </w:style>
  <w:style w:type="numbering" w:customStyle="1" w:styleId="11111">
    <w:name w:val="無清單11111"/>
    <w:next w:val="a7"/>
    <w:semiHidden/>
    <w:unhideWhenUsed/>
    <w:rsid w:val="0078100D"/>
  </w:style>
  <w:style w:type="numbering" w:customStyle="1" w:styleId="211">
    <w:name w:val="樣式21"/>
    <w:rsid w:val="0078100D"/>
  </w:style>
  <w:style w:type="numbering" w:customStyle="1" w:styleId="310">
    <w:name w:val="樣式31"/>
    <w:basedOn w:val="a7"/>
    <w:rsid w:val="0078100D"/>
  </w:style>
  <w:style w:type="table" w:customStyle="1" w:styleId="2e">
    <w:name w:val="表格格線2"/>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
    <w:name w:val="目錄-議事錄"/>
    <w:basedOn w:val="12"/>
    <w:link w:val="-7"/>
    <w:qFormat/>
    <w:rsid w:val="0078100D"/>
    <w:pPr>
      <w:tabs>
        <w:tab w:val="right" w:leader="dot" w:pos="9600"/>
      </w:tabs>
      <w:spacing w:afterLines="50" w:after="190" w:line="240" w:lineRule="auto"/>
      <w:ind w:left="280" w:hangingChars="100" w:hanging="280"/>
      <w:jc w:val="center"/>
    </w:pPr>
    <w:rPr>
      <w:rFonts w:ascii="Times New Roman" w:hAnsi="Times New Roman"/>
      <w:noProof w:val="0"/>
    </w:rPr>
  </w:style>
  <w:style w:type="character" w:customStyle="1" w:styleId="13">
    <w:name w:val="目錄 1 字元"/>
    <w:link w:val="12"/>
    <w:uiPriority w:val="39"/>
    <w:rsid w:val="00D13AE2"/>
    <w:rPr>
      <w:rFonts w:ascii="標楷體" w:eastAsia="標楷體" w:hAnsi="標楷體" w:cs="Times New Roman"/>
      <w:b/>
      <w:noProof/>
      <w:kern w:val="52"/>
      <w:sz w:val="28"/>
      <w:szCs w:val="28"/>
    </w:rPr>
  </w:style>
  <w:style w:type="character" w:customStyle="1" w:styleId="-7">
    <w:name w:val="目錄-議事錄 字元"/>
    <w:link w:val="-6"/>
    <w:rsid w:val="0078100D"/>
    <w:rPr>
      <w:rFonts w:ascii="Times New Roman" w:eastAsia="標楷體" w:hAnsi="Times New Roman" w:cs="Times New Roman"/>
      <w:b/>
      <w:sz w:val="28"/>
      <w:szCs w:val="28"/>
    </w:rPr>
  </w:style>
  <w:style w:type="numbering" w:styleId="111111">
    <w:name w:val="Outline List 2"/>
    <w:basedOn w:val="a7"/>
    <w:rsid w:val="0078100D"/>
  </w:style>
  <w:style w:type="paragraph" w:customStyle="1" w:styleId="2f">
    <w:name w:val="字元 字元2 字元 字元 字元 字元 字元"/>
    <w:basedOn w:val="a4"/>
    <w:semiHidden/>
    <w:rsid w:val="0078100D"/>
    <w:pPr>
      <w:spacing w:after="160" w:line="240" w:lineRule="exact"/>
    </w:pPr>
    <w:rPr>
      <w:rFonts w:ascii="Verdana" w:eastAsia="Times New Roman" w:hAnsi="Verdana"/>
      <w:kern w:val="0"/>
      <w:sz w:val="20"/>
      <w:szCs w:val="20"/>
      <w:lang w:eastAsia="en-US"/>
    </w:rPr>
  </w:style>
  <w:style w:type="paragraph" w:customStyle="1" w:styleId="affffa">
    <w:name w:val="（一）"/>
    <w:basedOn w:val="a4"/>
    <w:link w:val="affffb"/>
    <w:qFormat/>
    <w:rsid w:val="0078100D"/>
    <w:pPr>
      <w:snapToGrid w:val="0"/>
      <w:spacing w:line="440" w:lineRule="exact"/>
      <w:ind w:leftChars="300" w:left="1680" w:hangingChars="300" w:hanging="960"/>
      <w:jc w:val="both"/>
    </w:pPr>
    <w:rPr>
      <w:rFonts w:ascii="標楷體" w:eastAsia="標楷體" w:hAnsi="標楷體"/>
      <w:sz w:val="32"/>
      <w:szCs w:val="32"/>
    </w:rPr>
  </w:style>
  <w:style w:type="paragraph" w:customStyle="1" w:styleId="affffc">
    <w:name w:val="一、決議"/>
    <w:basedOn w:val="a4"/>
    <w:link w:val="affffd"/>
    <w:qFormat/>
    <w:rsid w:val="0078100D"/>
    <w:pPr>
      <w:snapToGrid w:val="0"/>
      <w:spacing w:line="440" w:lineRule="exact"/>
      <w:ind w:leftChars="150" w:left="1000" w:hangingChars="200" w:hanging="640"/>
      <w:jc w:val="both"/>
    </w:pPr>
    <w:rPr>
      <w:rFonts w:ascii="標楷體" w:eastAsia="標楷體" w:hAnsi="標楷體"/>
      <w:sz w:val="32"/>
      <w:szCs w:val="32"/>
    </w:rPr>
  </w:style>
  <w:style w:type="character" w:customStyle="1" w:styleId="affffb">
    <w:name w:val="（一） 字元"/>
    <w:link w:val="affffa"/>
    <w:rsid w:val="0078100D"/>
    <w:rPr>
      <w:rFonts w:ascii="標楷體" w:eastAsia="標楷體" w:hAnsi="標楷體" w:cs="Times New Roman"/>
      <w:sz w:val="32"/>
      <w:szCs w:val="32"/>
    </w:rPr>
  </w:style>
  <w:style w:type="paragraph" w:customStyle="1" w:styleId="affffe">
    <w:name w:val="第一項條文"/>
    <w:basedOn w:val="a4"/>
    <w:link w:val="afffff"/>
    <w:qFormat/>
    <w:rsid w:val="0078100D"/>
    <w:pPr>
      <w:tabs>
        <w:tab w:val="left" w:pos="1560"/>
      </w:tabs>
      <w:snapToGrid w:val="0"/>
      <w:spacing w:line="440" w:lineRule="exact"/>
      <w:ind w:leftChars="700" w:left="1680"/>
      <w:jc w:val="both"/>
    </w:pPr>
    <w:rPr>
      <w:rFonts w:ascii="標楷體" w:eastAsia="標楷體" w:hAnsi="標楷體"/>
      <w:color w:val="000000"/>
      <w:sz w:val="32"/>
      <w:szCs w:val="32"/>
    </w:rPr>
  </w:style>
  <w:style w:type="character" w:customStyle="1" w:styleId="affffd">
    <w:name w:val="一、決議 字元"/>
    <w:link w:val="affffc"/>
    <w:rsid w:val="0078100D"/>
    <w:rPr>
      <w:rFonts w:ascii="標楷體" w:eastAsia="標楷體" w:hAnsi="標楷體" w:cs="Times New Roman"/>
      <w:sz w:val="32"/>
      <w:szCs w:val="32"/>
    </w:rPr>
  </w:style>
  <w:style w:type="paragraph" w:customStyle="1" w:styleId="afffff0">
    <w:name w:val="第二項條文"/>
    <w:basedOn w:val="affffe"/>
    <w:link w:val="afffff1"/>
    <w:qFormat/>
    <w:rsid w:val="0078100D"/>
    <w:pPr>
      <w:ind w:firstLineChars="200" w:firstLine="640"/>
    </w:pPr>
  </w:style>
  <w:style w:type="character" w:customStyle="1" w:styleId="afffff">
    <w:name w:val="第一項條文 字元"/>
    <w:link w:val="affffe"/>
    <w:rsid w:val="0078100D"/>
    <w:rPr>
      <w:rFonts w:ascii="標楷體" w:eastAsia="標楷體" w:hAnsi="標楷體" w:cs="Times New Roman"/>
      <w:color w:val="000000"/>
      <w:sz w:val="32"/>
      <w:szCs w:val="32"/>
    </w:rPr>
  </w:style>
  <w:style w:type="paragraph" w:customStyle="1" w:styleId="2f0">
    <w:name w:val="字元 字元2 字元 字元 字元 字元 字元 字元 字元"/>
    <w:basedOn w:val="a4"/>
    <w:semiHidden/>
    <w:rsid w:val="0078100D"/>
    <w:pPr>
      <w:spacing w:after="160" w:line="240" w:lineRule="exact"/>
    </w:pPr>
    <w:rPr>
      <w:rFonts w:ascii="Verdana" w:eastAsia="Times New Roman" w:hAnsi="Verdana"/>
      <w:kern w:val="0"/>
      <w:sz w:val="20"/>
      <w:szCs w:val="20"/>
      <w:lang w:eastAsia="en-US"/>
    </w:rPr>
  </w:style>
  <w:style w:type="character" w:customStyle="1" w:styleId="afffff1">
    <w:name w:val="第二項條文 字元"/>
    <w:link w:val="afffff0"/>
    <w:rsid w:val="0078100D"/>
    <w:rPr>
      <w:rFonts w:ascii="標楷體" w:eastAsia="標楷體" w:hAnsi="標楷體" w:cs="Times New Roman"/>
      <w:color w:val="000000"/>
      <w:sz w:val="32"/>
      <w:szCs w:val="32"/>
    </w:rPr>
  </w:style>
  <w:style w:type="paragraph" w:customStyle="1" w:styleId="53">
    <w:name w:val="縮排5字元"/>
    <w:basedOn w:val="a4"/>
    <w:rsid w:val="0078100D"/>
    <w:pPr>
      <w:spacing w:line="440" w:lineRule="exact"/>
      <w:ind w:left="1600" w:hangingChars="500" w:hanging="1600"/>
    </w:pPr>
    <w:rPr>
      <w:rFonts w:ascii="標楷體" w:eastAsia="標楷體" w:hAnsi="標楷體"/>
      <w:sz w:val="32"/>
      <w:szCs w:val="32"/>
    </w:rPr>
  </w:style>
  <w:style w:type="paragraph" w:customStyle="1" w:styleId="afffff2">
    <w:name w:val="立法院(決行)"/>
    <w:basedOn w:val="a4"/>
    <w:rsid w:val="0078100D"/>
    <w:rPr>
      <w:rFonts w:ascii="標楷體" w:eastAsia="標楷體" w:cs="標楷體"/>
    </w:rPr>
  </w:style>
  <w:style w:type="paragraph" w:customStyle="1" w:styleId="2f1">
    <w:name w:val="字元 字元2 字元 字元 字元 字元 字元 字元 字元 字元"/>
    <w:basedOn w:val="a4"/>
    <w:semiHidden/>
    <w:rsid w:val="0078100D"/>
    <w:pPr>
      <w:spacing w:after="160" w:line="240" w:lineRule="exact"/>
    </w:pPr>
    <w:rPr>
      <w:rFonts w:ascii="Verdana" w:eastAsia="Times New Roman" w:hAnsi="Verdana"/>
      <w:kern w:val="0"/>
      <w:sz w:val="20"/>
      <w:szCs w:val="20"/>
      <w:lang w:eastAsia="en-US"/>
    </w:rPr>
  </w:style>
  <w:style w:type="paragraph" w:customStyle="1" w:styleId="Web3">
    <w:name w:val="內文 (Web)3"/>
    <w:basedOn w:val="a4"/>
    <w:rsid w:val="0078100D"/>
    <w:pPr>
      <w:spacing w:before="180" w:after="180" w:line="375" w:lineRule="atLeast"/>
    </w:pPr>
    <w:rPr>
      <w:rFonts w:ascii="新細明體" w:hAnsi="新細明體" w:cs="新細明體"/>
      <w:kern w:val="0"/>
      <w:lang w:bidi="hi-IN"/>
    </w:rPr>
  </w:style>
  <w:style w:type="paragraph" w:customStyle="1" w:styleId="101">
    <w:name w:val="樣式10"/>
    <w:basedOn w:val="a4"/>
    <w:qFormat/>
    <w:rsid w:val="0078100D"/>
    <w:pPr>
      <w:spacing w:line="480" w:lineRule="exact"/>
      <w:ind w:leftChars="119" w:left="1132" w:hangingChars="302" w:hanging="846"/>
      <w:jc w:val="both"/>
    </w:pPr>
    <w:rPr>
      <w:rFonts w:ascii="標楷體" w:eastAsia="標楷體" w:hAnsi="標楷體"/>
      <w:sz w:val="28"/>
      <w:szCs w:val="28"/>
    </w:rPr>
  </w:style>
  <w:style w:type="paragraph" w:customStyle="1" w:styleId="2f2">
    <w:name w:val="字元 字元2 字元 字元 字元 字元 字元 字元 字元 字元 字元"/>
    <w:basedOn w:val="a4"/>
    <w:semiHidden/>
    <w:rsid w:val="0078100D"/>
    <w:pPr>
      <w:spacing w:after="160" w:line="240" w:lineRule="exact"/>
    </w:pPr>
    <w:rPr>
      <w:rFonts w:ascii="Verdana" w:eastAsia="Times New Roman" w:hAnsi="Verdana"/>
      <w:kern w:val="0"/>
      <w:sz w:val="20"/>
      <w:szCs w:val="20"/>
      <w:lang w:eastAsia="en-US"/>
    </w:rPr>
  </w:style>
  <w:style w:type="paragraph" w:customStyle="1" w:styleId="2f3">
    <w:name w:val="字元 字元2 字元 字元 字元 字元 字元 字元 字元 字元 字元 字元"/>
    <w:basedOn w:val="a4"/>
    <w:semiHidden/>
    <w:rsid w:val="0078100D"/>
    <w:pPr>
      <w:spacing w:after="160" w:line="240" w:lineRule="exact"/>
    </w:pPr>
    <w:rPr>
      <w:rFonts w:ascii="Verdana" w:eastAsia="Times New Roman" w:hAnsi="Verdana"/>
      <w:kern w:val="0"/>
      <w:sz w:val="20"/>
      <w:szCs w:val="20"/>
      <w:lang w:eastAsia="en-US"/>
    </w:rPr>
  </w:style>
  <w:style w:type="character" w:customStyle="1" w:styleId="1b">
    <w:name w:val="樣式1 字元"/>
    <w:locked/>
    <w:rsid w:val="0078100D"/>
    <w:rPr>
      <w:rFonts w:ascii="標楷體" w:eastAsia="標楷體" w:hAnsi="標楷體"/>
      <w:kern w:val="2"/>
      <w:sz w:val="28"/>
      <w:szCs w:val="28"/>
    </w:rPr>
  </w:style>
  <w:style w:type="numbering" w:customStyle="1" w:styleId="3f2">
    <w:name w:val="無清單3"/>
    <w:next w:val="a7"/>
    <w:uiPriority w:val="99"/>
    <w:semiHidden/>
    <w:unhideWhenUsed/>
    <w:rsid w:val="0078100D"/>
  </w:style>
  <w:style w:type="table" w:customStyle="1" w:styleId="3f3">
    <w:name w:val="表格格線3"/>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無清單13"/>
    <w:next w:val="a7"/>
    <w:uiPriority w:val="99"/>
    <w:semiHidden/>
    <w:unhideWhenUsed/>
    <w:rsid w:val="0078100D"/>
  </w:style>
  <w:style w:type="numbering" w:customStyle="1" w:styleId="1120">
    <w:name w:val="無清單112"/>
    <w:next w:val="a7"/>
    <w:uiPriority w:val="99"/>
    <w:semiHidden/>
    <w:unhideWhenUsed/>
    <w:rsid w:val="0078100D"/>
  </w:style>
  <w:style w:type="numbering" w:customStyle="1" w:styleId="1112">
    <w:name w:val="無清單1112"/>
    <w:next w:val="a7"/>
    <w:uiPriority w:val="99"/>
    <w:semiHidden/>
    <w:unhideWhenUsed/>
    <w:rsid w:val="0078100D"/>
  </w:style>
  <w:style w:type="numbering" w:customStyle="1" w:styleId="11112">
    <w:name w:val="無清單11112"/>
    <w:next w:val="a7"/>
    <w:uiPriority w:val="99"/>
    <w:semiHidden/>
    <w:unhideWhenUsed/>
    <w:rsid w:val="0078100D"/>
  </w:style>
  <w:style w:type="numbering" w:customStyle="1" w:styleId="1111110">
    <w:name w:val="無清單111111"/>
    <w:next w:val="a7"/>
    <w:uiPriority w:val="99"/>
    <w:semiHidden/>
    <w:unhideWhenUsed/>
    <w:rsid w:val="0078100D"/>
  </w:style>
  <w:style w:type="numbering" w:customStyle="1" w:styleId="1111111">
    <w:name w:val="無清單1111111"/>
    <w:next w:val="a7"/>
    <w:uiPriority w:val="99"/>
    <w:semiHidden/>
    <w:unhideWhenUsed/>
    <w:rsid w:val="0078100D"/>
  </w:style>
  <w:style w:type="numbering" w:customStyle="1" w:styleId="11111111">
    <w:name w:val="無清單11111111"/>
    <w:next w:val="a7"/>
    <w:uiPriority w:val="99"/>
    <w:semiHidden/>
    <w:unhideWhenUsed/>
    <w:rsid w:val="0078100D"/>
  </w:style>
  <w:style w:type="paragraph" w:customStyle="1" w:styleId="afffff3">
    <w:name w:val="一、會議內容"/>
    <w:basedOn w:val="a4"/>
    <w:link w:val="afffff4"/>
    <w:qFormat/>
    <w:rsid w:val="0078100D"/>
    <w:pPr>
      <w:adjustRightInd w:val="0"/>
      <w:snapToGrid w:val="0"/>
      <w:spacing w:line="360" w:lineRule="exact"/>
      <w:ind w:left="560" w:hangingChars="200" w:hanging="560"/>
      <w:jc w:val="both"/>
    </w:pPr>
    <w:rPr>
      <w:rFonts w:ascii="標楷體" w:eastAsia="標楷體" w:hAnsi="標楷體"/>
      <w:kern w:val="0"/>
      <w:sz w:val="28"/>
      <w:szCs w:val="28"/>
    </w:rPr>
  </w:style>
  <w:style w:type="character" w:customStyle="1" w:styleId="afffff4">
    <w:name w:val="一、會議內容 字元"/>
    <w:link w:val="afffff3"/>
    <w:rsid w:val="0078100D"/>
    <w:rPr>
      <w:rFonts w:ascii="標楷體" w:eastAsia="標楷體" w:hAnsi="標楷體" w:cs="Times New Roman"/>
      <w:kern w:val="0"/>
      <w:sz w:val="28"/>
      <w:szCs w:val="28"/>
    </w:rPr>
  </w:style>
  <w:style w:type="character" w:customStyle="1" w:styleId="212">
    <w:name w:val="標題 2 字元1"/>
    <w:aliases w:val="標題 2-16字 字元1,（二）標題 2 字元1"/>
    <w:uiPriority w:val="9"/>
    <w:semiHidden/>
    <w:rsid w:val="0078100D"/>
    <w:rPr>
      <w:rFonts w:ascii="Cambria" w:eastAsia="新細明體" w:hAnsi="Cambria" w:cs="Times New Roman"/>
      <w:b/>
      <w:bCs/>
      <w:kern w:val="2"/>
      <w:sz w:val="48"/>
      <w:szCs w:val="48"/>
    </w:rPr>
  </w:style>
  <w:style w:type="paragraph" w:customStyle="1" w:styleId="240">
    <w:name w:val="字元 字元2 字元 字元 字元4"/>
    <w:basedOn w:val="a4"/>
    <w:semiHidden/>
    <w:rsid w:val="0078100D"/>
    <w:pPr>
      <w:spacing w:after="160" w:line="240" w:lineRule="exact"/>
    </w:pPr>
    <w:rPr>
      <w:rFonts w:ascii="Verdana" w:eastAsia="Times New Roman" w:hAnsi="Verdana"/>
      <w:kern w:val="0"/>
      <w:sz w:val="20"/>
      <w:szCs w:val="20"/>
      <w:lang w:eastAsia="en-US"/>
    </w:rPr>
  </w:style>
  <w:style w:type="character" w:customStyle="1" w:styleId="-8">
    <w:name w:val="時間-議事錄 字元"/>
    <w:link w:val="-9"/>
    <w:locked/>
    <w:rsid w:val="0078100D"/>
    <w:rPr>
      <w:rFonts w:eastAsia="標楷體"/>
      <w:sz w:val="32"/>
      <w:szCs w:val="24"/>
    </w:rPr>
  </w:style>
  <w:style w:type="paragraph" w:customStyle="1" w:styleId="-9">
    <w:name w:val="時間-議事錄"/>
    <w:basedOn w:val="a4"/>
    <w:link w:val="-8"/>
    <w:qFormat/>
    <w:rsid w:val="0078100D"/>
    <w:pPr>
      <w:adjustRightInd w:val="0"/>
      <w:snapToGrid w:val="0"/>
      <w:spacing w:line="440" w:lineRule="exact"/>
      <w:ind w:left="1558" w:hangingChars="487" w:hanging="1558"/>
      <w:jc w:val="both"/>
    </w:pPr>
    <w:rPr>
      <w:rFonts w:asciiTheme="minorHAnsi" w:eastAsia="標楷體" w:hAnsiTheme="minorHAnsi" w:cstheme="minorBidi"/>
      <w:sz w:val="32"/>
    </w:rPr>
  </w:style>
  <w:style w:type="character" w:customStyle="1" w:styleId="-a">
    <w:name w:val="報告事項-議事錄 字元"/>
    <w:link w:val="-b"/>
    <w:locked/>
    <w:rsid w:val="0078100D"/>
    <w:rPr>
      <w:rFonts w:eastAsia="標楷體"/>
      <w:sz w:val="32"/>
      <w:szCs w:val="24"/>
    </w:rPr>
  </w:style>
  <w:style w:type="paragraph" w:customStyle="1" w:styleId="-b">
    <w:name w:val="報告事項-議事錄"/>
    <w:basedOn w:val="a4"/>
    <w:link w:val="-a"/>
    <w:qFormat/>
    <w:rsid w:val="0078100D"/>
    <w:pPr>
      <w:snapToGrid w:val="0"/>
      <w:spacing w:line="400" w:lineRule="exact"/>
      <w:ind w:rightChars="-286" w:right="-686" w:firstLineChars="400" w:firstLine="1280"/>
    </w:pPr>
    <w:rPr>
      <w:rFonts w:asciiTheme="minorHAnsi" w:eastAsia="標楷體" w:hAnsiTheme="minorHAnsi" w:cstheme="minorBidi"/>
      <w:sz w:val="32"/>
    </w:rPr>
  </w:style>
  <w:style w:type="character" w:customStyle="1" w:styleId="afffff5">
    <w:name w:val="決定 字元"/>
    <w:link w:val="afffff6"/>
    <w:locked/>
    <w:rsid w:val="0078100D"/>
    <w:rPr>
      <w:rFonts w:eastAsia="標楷體"/>
      <w:sz w:val="32"/>
      <w:szCs w:val="24"/>
    </w:rPr>
  </w:style>
  <w:style w:type="paragraph" w:customStyle="1" w:styleId="afffff6">
    <w:name w:val="決定"/>
    <w:basedOn w:val="a4"/>
    <w:link w:val="afffff5"/>
    <w:qFormat/>
    <w:rsid w:val="0078100D"/>
    <w:pPr>
      <w:adjustRightInd w:val="0"/>
      <w:snapToGrid w:val="0"/>
      <w:spacing w:line="440" w:lineRule="exact"/>
      <w:ind w:leftChars="166" w:left="1358" w:rightChars="-286" w:right="-686" w:hangingChars="300" w:hanging="960"/>
    </w:pPr>
    <w:rPr>
      <w:rFonts w:asciiTheme="minorHAnsi" w:eastAsia="標楷體" w:hAnsiTheme="minorHAnsi" w:cstheme="minorBidi"/>
      <w:sz w:val="32"/>
    </w:rPr>
  </w:style>
  <w:style w:type="character" w:customStyle="1" w:styleId="afffff7">
    <w:name w:val="一、報告事項 字元"/>
    <w:link w:val="afffff8"/>
    <w:locked/>
    <w:rsid w:val="0078100D"/>
    <w:rPr>
      <w:rFonts w:eastAsia="標楷體"/>
      <w:sz w:val="32"/>
      <w:szCs w:val="24"/>
    </w:rPr>
  </w:style>
  <w:style w:type="paragraph" w:customStyle="1" w:styleId="afffff8">
    <w:name w:val="一、報告事項"/>
    <w:basedOn w:val="a4"/>
    <w:link w:val="afffff7"/>
    <w:qFormat/>
    <w:rsid w:val="0078100D"/>
    <w:pPr>
      <w:adjustRightInd w:val="0"/>
      <w:snapToGrid w:val="0"/>
      <w:spacing w:line="440" w:lineRule="exact"/>
      <w:ind w:left="640" w:hangingChars="200" w:hanging="640"/>
    </w:pPr>
    <w:rPr>
      <w:rFonts w:asciiTheme="minorHAnsi" w:eastAsia="標楷體" w:hAnsiTheme="minorHAnsi" w:cstheme="minorBidi"/>
      <w:sz w:val="32"/>
    </w:rPr>
  </w:style>
  <w:style w:type="paragraph" w:customStyle="1" w:styleId="260">
    <w:name w:val="字元 字元2 字元 字元 字元 字元 字元6"/>
    <w:basedOn w:val="a4"/>
    <w:semiHidden/>
    <w:rsid w:val="0078100D"/>
    <w:pPr>
      <w:spacing w:after="160" w:line="240" w:lineRule="exact"/>
    </w:pPr>
    <w:rPr>
      <w:rFonts w:ascii="Verdana" w:hAnsi="Verdana" w:cs="Verdana"/>
      <w:kern w:val="0"/>
      <w:sz w:val="20"/>
      <w:szCs w:val="20"/>
      <w:lang w:eastAsia="en-US"/>
    </w:rPr>
  </w:style>
  <w:style w:type="character" w:customStyle="1" w:styleId="-c">
    <w:name w:val="預算-項 字元"/>
    <w:link w:val="-d"/>
    <w:locked/>
    <w:rsid w:val="0078100D"/>
    <w:rPr>
      <w:rFonts w:eastAsia="標楷體"/>
      <w:sz w:val="32"/>
      <w:szCs w:val="24"/>
    </w:rPr>
  </w:style>
  <w:style w:type="paragraph" w:customStyle="1" w:styleId="-d">
    <w:name w:val="預算-項"/>
    <w:basedOn w:val="afffff8"/>
    <w:link w:val="-c"/>
    <w:qFormat/>
    <w:rsid w:val="0078100D"/>
    <w:pPr>
      <w:spacing w:line="480" w:lineRule="exact"/>
      <w:ind w:leftChars="118" w:left="638" w:hangingChars="111" w:hanging="355"/>
    </w:pPr>
  </w:style>
  <w:style w:type="character" w:customStyle="1" w:styleId="-e">
    <w:name w:val="預算-款 字元"/>
    <w:link w:val="-f"/>
    <w:locked/>
    <w:rsid w:val="0078100D"/>
    <w:rPr>
      <w:rFonts w:eastAsia="標楷體"/>
      <w:sz w:val="32"/>
      <w:szCs w:val="24"/>
    </w:rPr>
  </w:style>
  <w:style w:type="paragraph" w:customStyle="1" w:styleId="-f">
    <w:name w:val="預算-款"/>
    <w:basedOn w:val="-d"/>
    <w:link w:val="-e"/>
    <w:qFormat/>
    <w:rsid w:val="0078100D"/>
    <w:pPr>
      <w:ind w:leftChars="1" w:left="639" w:hangingChars="199" w:hanging="637"/>
    </w:pPr>
  </w:style>
  <w:style w:type="character" w:customStyle="1" w:styleId="afffff9">
    <w:name w:val="臨時提案 字元"/>
    <w:link w:val="afffffa"/>
    <w:locked/>
    <w:rsid w:val="0078100D"/>
    <w:rPr>
      <w:rFonts w:ascii="標楷體" w:eastAsia="標楷體" w:hAnsi="標楷體" w:cs="新細明體"/>
      <w:color w:val="000000"/>
      <w:sz w:val="32"/>
      <w:szCs w:val="32"/>
    </w:rPr>
  </w:style>
  <w:style w:type="paragraph" w:customStyle="1" w:styleId="afffffa">
    <w:name w:val="臨時提案"/>
    <w:basedOn w:val="a4"/>
    <w:link w:val="afffff9"/>
    <w:qFormat/>
    <w:rsid w:val="0078100D"/>
    <w:pPr>
      <w:spacing w:line="480" w:lineRule="exact"/>
      <w:ind w:leftChars="267" w:left="961" w:hangingChars="100" w:hanging="320"/>
    </w:pPr>
    <w:rPr>
      <w:rFonts w:ascii="標楷體" w:eastAsia="標楷體" w:hAnsi="標楷體" w:cs="新細明體"/>
      <w:color w:val="000000"/>
      <w:sz w:val="32"/>
      <w:szCs w:val="32"/>
    </w:rPr>
  </w:style>
  <w:style w:type="character" w:customStyle="1" w:styleId="afffffb">
    <w:name w:val="提案人 字元"/>
    <w:link w:val="afffffc"/>
    <w:locked/>
    <w:rsid w:val="0078100D"/>
    <w:rPr>
      <w:rFonts w:ascii="標楷體" w:eastAsia="標楷體" w:hAnsi="標楷體" w:cs="新細明體"/>
      <w:color w:val="000000"/>
      <w:sz w:val="32"/>
      <w:szCs w:val="32"/>
    </w:rPr>
  </w:style>
  <w:style w:type="paragraph" w:customStyle="1" w:styleId="afffffc">
    <w:name w:val="提案人"/>
    <w:basedOn w:val="afffffa"/>
    <w:link w:val="afffffb"/>
    <w:qFormat/>
    <w:rsid w:val="0078100D"/>
    <w:pPr>
      <w:ind w:leftChars="400" w:left="960" w:firstLineChars="0" w:firstLine="0"/>
    </w:pPr>
  </w:style>
  <w:style w:type="character" w:customStyle="1" w:styleId="afffffd">
    <w:name w:val="（一）討論事項 字元"/>
    <w:link w:val="afffffe"/>
    <w:locked/>
    <w:rsid w:val="0078100D"/>
    <w:rPr>
      <w:rFonts w:eastAsia="標楷體"/>
      <w:sz w:val="32"/>
      <w:szCs w:val="24"/>
    </w:rPr>
  </w:style>
  <w:style w:type="paragraph" w:customStyle="1" w:styleId="afffffe">
    <w:name w:val="（一）討論事項"/>
    <w:basedOn w:val="afffff8"/>
    <w:link w:val="afffffd"/>
    <w:qFormat/>
    <w:rsid w:val="0078100D"/>
    <w:pPr>
      <w:spacing w:line="480" w:lineRule="exact"/>
      <w:ind w:left="800" w:hangingChars="250" w:hanging="800"/>
    </w:pPr>
  </w:style>
  <w:style w:type="paragraph" w:customStyle="1" w:styleId="54">
    <w:name w:val="字元 字元5"/>
    <w:basedOn w:val="a4"/>
    <w:semiHidden/>
    <w:rsid w:val="0078100D"/>
    <w:pPr>
      <w:spacing w:after="160" w:line="240" w:lineRule="exact"/>
    </w:pPr>
    <w:rPr>
      <w:rFonts w:ascii="Tahoma" w:hAnsi="Tahoma" w:cs="Tahoma"/>
      <w:kern w:val="0"/>
      <w:sz w:val="20"/>
      <w:szCs w:val="20"/>
      <w:lang w:eastAsia="en-US"/>
    </w:rPr>
  </w:style>
  <w:style w:type="paragraph" w:customStyle="1" w:styleId="146">
    <w:name w:val="第二層(14號字)"/>
    <w:rsid w:val="0078100D"/>
    <w:pPr>
      <w:snapToGrid w:val="0"/>
      <w:spacing w:line="500" w:lineRule="exact"/>
      <w:ind w:left="200" w:hangingChars="200" w:hanging="200"/>
      <w:jc w:val="both"/>
    </w:pPr>
    <w:rPr>
      <w:rFonts w:ascii="標楷體" w:eastAsia="標楷體" w:hAnsi="標楷體" w:cs="Times New Roman" w:hint="eastAsia"/>
      <w:b/>
      <w:sz w:val="28"/>
      <w:szCs w:val="24"/>
    </w:rPr>
  </w:style>
  <w:style w:type="paragraph" w:customStyle="1" w:styleId="affffff">
    <w:name w:val="(一)(二)(三) 字元"/>
    <w:basedOn w:val="a4"/>
    <w:rsid w:val="0078100D"/>
    <w:pPr>
      <w:snapToGrid w:val="0"/>
      <w:spacing w:line="500" w:lineRule="exact"/>
      <w:ind w:leftChars="200" w:left="300" w:hangingChars="100" w:hanging="100"/>
      <w:jc w:val="both"/>
    </w:pPr>
    <w:rPr>
      <w:rFonts w:ascii="標楷體" w:eastAsia="標楷體" w:hAnsi="標楷體" w:hint="eastAsia"/>
      <w:sz w:val="28"/>
      <w:szCs w:val="28"/>
    </w:rPr>
  </w:style>
  <w:style w:type="paragraph" w:customStyle="1" w:styleId="147">
    <w:name w:val="表格內文(14行高) 字元"/>
    <w:basedOn w:val="affa"/>
    <w:rsid w:val="0078100D"/>
    <w:pPr>
      <w:snapToGrid w:val="0"/>
      <w:spacing w:line="280" w:lineRule="exact"/>
      <w:ind w:leftChars="0" w:left="0" w:firstLineChars="0" w:firstLine="0"/>
    </w:pPr>
    <w:rPr>
      <w:rFonts w:ascii="標楷體" w:eastAsia="標楷體" w:hAnsi="標楷體" w:hint="eastAsia"/>
      <w:szCs w:val="28"/>
    </w:rPr>
  </w:style>
  <w:style w:type="paragraph" w:customStyle="1" w:styleId="202">
    <w:name w:val="表格內文(20行高) 字元"/>
    <w:basedOn w:val="147"/>
    <w:rsid w:val="0078100D"/>
    <w:pPr>
      <w:spacing w:line="400" w:lineRule="exact"/>
    </w:pPr>
    <w:rPr>
      <w:rFonts w:ascii="Times New Roman" w:eastAsia="新細明體" w:hAnsi="Times New Roman" w:hint="default"/>
      <w:kern w:val="0"/>
      <w:sz w:val="20"/>
      <w:szCs w:val="20"/>
    </w:rPr>
  </w:style>
  <w:style w:type="paragraph" w:customStyle="1" w:styleId="63">
    <w:name w:val="字元 字元 字元6"/>
    <w:basedOn w:val="a4"/>
    <w:semiHidden/>
    <w:rsid w:val="0078100D"/>
    <w:pPr>
      <w:spacing w:after="160" w:line="240" w:lineRule="exact"/>
    </w:pPr>
    <w:rPr>
      <w:rFonts w:ascii="Tahoma" w:hAnsi="Tahoma" w:cs="Tahoma"/>
      <w:kern w:val="0"/>
      <w:sz w:val="20"/>
      <w:szCs w:val="20"/>
      <w:lang w:eastAsia="en-US"/>
    </w:rPr>
  </w:style>
  <w:style w:type="character" w:customStyle="1" w:styleId="-110">
    <w:name w:val="預算-110項 字元"/>
    <w:link w:val="-1100"/>
    <w:locked/>
    <w:rsid w:val="0078100D"/>
    <w:rPr>
      <w:rFonts w:ascii="標楷體" w:eastAsia="標楷體" w:hAnsi="標楷體"/>
      <w:sz w:val="32"/>
      <w:szCs w:val="32"/>
    </w:rPr>
  </w:style>
  <w:style w:type="paragraph" w:customStyle="1" w:styleId="-1100">
    <w:name w:val="預算-110項"/>
    <w:basedOn w:val="-d"/>
    <w:link w:val="-110"/>
    <w:qFormat/>
    <w:rsid w:val="0078100D"/>
    <w:pPr>
      <w:ind w:leftChars="355" w:left="2266" w:hangingChars="442" w:hanging="1414"/>
    </w:pPr>
    <w:rPr>
      <w:rFonts w:ascii="標楷體" w:hAnsi="標楷體"/>
      <w:szCs w:val="32"/>
    </w:rPr>
  </w:style>
  <w:style w:type="character" w:customStyle="1" w:styleId="-10">
    <w:name w:val="預算-第1項 字元"/>
    <w:link w:val="-11"/>
    <w:locked/>
    <w:rsid w:val="0078100D"/>
    <w:rPr>
      <w:rFonts w:ascii="標楷體" w:eastAsia="標楷體" w:hAnsi="標楷體"/>
      <w:sz w:val="32"/>
      <w:szCs w:val="24"/>
    </w:rPr>
  </w:style>
  <w:style w:type="paragraph" w:customStyle="1" w:styleId="-11">
    <w:name w:val="預算-第1項"/>
    <w:basedOn w:val="-d"/>
    <w:link w:val="-10"/>
    <w:qFormat/>
    <w:rsid w:val="0078100D"/>
    <w:pPr>
      <w:ind w:left="1560" w:hangingChars="399" w:hanging="1277"/>
    </w:pPr>
    <w:rPr>
      <w:rFonts w:ascii="標楷體" w:hAnsi="標楷體"/>
    </w:rPr>
  </w:style>
  <w:style w:type="paragraph" w:customStyle="1" w:styleId="241">
    <w:name w:val="字元 字元2 字元 字元 字元 字元 字元 字元 字元4"/>
    <w:basedOn w:val="a4"/>
    <w:semiHidden/>
    <w:rsid w:val="0078100D"/>
    <w:pPr>
      <w:spacing w:after="160" w:line="240" w:lineRule="exact"/>
    </w:pPr>
    <w:rPr>
      <w:rFonts w:ascii="Verdana" w:eastAsia="Times New Roman" w:hAnsi="Verdana"/>
      <w:kern w:val="0"/>
      <w:sz w:val="20"/>
      <w:szCs w:val="20"/>
      <w:lang w:eastAsia="en-US"/>
    </w:rPr>
  </w:style>
  <w:style w:type="paragraph" w:customStyle="1" w:styleId="2f4">
    <w:name w:val="字元 字元2 字元 字元 字元 字元 字元 字元"/>
    <w:basedOn w:val="a4"/>
    <w:semiHidden/>
    <w:rsid w:val="0078100D"/>
    <w:pPr>
      <w:spacing w:after="160" w:line="240" w:lineRule="exact"/>
    </w:pPr>
    <w:rPr>
      <w:rFonts w:ascii="Verdana" w:eastAsia="Times New Roman" w:hAnsi="Verdana"/>
      <w:kern w:val="0"/>
      <w:sz w:val="20"/>
      <w:szCs w:val="20"/>
      <w:lang w:eastAsia="en-US"/>
    </w:rPr>
  </w:style>
  <w:style w:type="paragraph" w:customStyle="1" w:styleId="261">
    <w:name w:val="字元 字元2 字元 字元 字元 字元 字元 字元 字元 字元6"/>
    <w:basedOn w:val="a4"/>
    <w:semiHidden/>
    <w:rsid w:val="0078100D"/>
    <w:pPr>
      <w:spacing w:after="160" w:line="240" w:lineRule="exact"/>
    </w:pPr>
    <w:rPr>
      <w:rFonts w:ascii="Verdana" w:eastAsia="Times New Roman" w:hAnsi="Verdana"/>
      <w:kern w:val="0"/>
      <w:sz w:val="20"/>
      <w:szCs w:val="20"/>
      <w:lang w:eastAsia="en-US"/>
    </w:rPr>
  </w:style>
  <w:style w:type="paragraph" w:customStyle="1" w:styleId="2f5">
    <w:name w:val="字元 字元2"/>
    <w:basedOn w:val="a4"/>
    <w:semiHidden/>
    <w:rsid w:val="0078100D"/>
    <w:pPr>
      <w:spacing w:after="160" w:line="240" w:lineRule="exact"/>
    </w:pPr>
    <w:rPr>
      <w:rFonts w:ascii="Verdana" w:eastAsia="Times New Roman" w:hAnsi="Verdana" w:cs="Mangal"/>
      <w:sz w:val="20"/>
      <w:lang w:eastAsia="en-US" w:bidi="hi-IN"/>
    </w:rPr>
  </w:style>
  <w:style w:type="paragraph" w:customStyle="1" w:styleId="2f6">
    <w:name w:val="字元 字元2 字元 字元 字元 字元"/>
    <w:basedOn w:val="a4"/>
    <w:semiHidden/>
    <w:rsid w:val="0078100D"/>
    <w:pPr>
      <w:spacing w:after="160" w:line="240" w:lineRule="exact"/>
    </w:pPr>
    <w:rPr>
      <w:rFonts w:ascii="Verdana" w:eastAsia="Times New Roman" w:hAnsi="Verdana"/>
      <w:kern w:val="0"/>
      <w:sz w:val="20"/>
      <w:szCs w:val="20"/>
      <w:lang w:eastAsia="en-US"/>
    </w:rPr>
  </w:style>
  <w:style w:type="paragraph" w:customStyle="1" w:styleId="242">
    <w:name w:val="字元 字元2 字元 字元 字元 字元 字元 字元 字元 字元 字元 字元4"/>
    <w:basedOn w:val="a4"/>
    <w:semiHidden/>
    <w:rsid w:val="0078100D"/>
    <w:pPr>
      <w:spacing w:after="160" w:line="240" w:lineRule="exact"/>
    </w:pPr>
    <w:rPr>
      <w:rFonts w:ascii="Verdana" w:eastAsia="Times New Roman" w:hAnsi="Verdana"/>
      <w:kern w:val="0"/>
      <w:sz w:val="20"/>
      <w:szCs w:val="20"/>
      <w:lang w:eastAsia="en-US"/>
    </w:rPr>
  </w:style>
  <w:style w:type="character" w:customStyle="1" w:styleId="71">
    <w:name w:val="字元 字元7"/>
    <w:rsid w:val="0078100D"/>
    <w:rPr>
      <w:rFonts w:ascii="Arial" w:eastAsia="新細明體" w:hAnsi="Arial" w:cs="Arial" w:hint="default"/>
      <w:b/>
      <w:bCs/>
      <w:sz w:val="36"/>
      <w:szCs w:val="36"/>
      <w:lang w:val="x-none" w:eastAsia="x-none" w:bidi="ar-SA"/>
    </w:rPr>
  </w:style>
  <w:style w:type="numbering" w:customStyle="1" w:styleId="44">
    <w:name w:val="無清單4"/>
    <w:next w:val="a7"/>
    <w:uiPriority w:val="99"/>
    <w:semiHidden/>
    <w:unhideWhenUsed/>
    <w:rsid w:val="0078100D"/>
  </w:style>
  <w:style w:type="paragraph" w:customStyle="1" w:styleId="1-16">
    <w:name w:val="標題1-16字"/>
    <w:basedOn w:val="1"/>
    <w:link w:val="1-160"/>
    <w:qFormat/>
    <w:rsid w:val="0078100D"/>
    <w:pPr>
      <w:adjustRightInd w:val="0"/>
      <w:snapToGrid w:val="0"/>
    </w:pPr>
    <w:rPr>
      <w:rFonts w:ascii="標楷體" w:hAnsi="標楷體"/>
      <w:sz w:val="32"/>
      <w:szCs w:val="32"/>
    </w:rPr>
  </w:style>
  <w:style w:type="character" w:customStyle="1" w:styleId="1-160">
    <w:name w:val="標題1-16字 字元"/>
    <w:link w:val="1-16"/>
    <w:rsid w:val="0078100D"/>
    <w:rPr>
      <w:rFonts w:ascii="標楷體" w:eastAsia="標楷體" w:hAnsi="標楷體" w:cs="Times New Roman"/>
      <w:b/>
      <w:bCs/>
      <w:kern w:val="52"/>
      <w:sz w:val="32"/>
      <w:szCs w:val="32"/>
    </w:rPr>
  </w:style>
  <w:style w:type="table" w:customStyle="1" w:styleId="45">
    <w:name w:val="表格格線4"/>
    <w:basedOn w:val="a6"/>
    <w:next w:val="ae"/>
    <w:uiPriority w:val="59"/>
    <w:rsid w:val="0078100D"/>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
    <w:name w:val="無清單5"/>
    <w:next w:val="a7"/>
    <w:uiPriority w:val="99"/>
    <w:semiHidden/>
    <w:unhideWhenUsed/>
    <w:rsid w:val="0078100D"/>
  </w:style>
  <w:style w:type="table" w:customStyle="1" w:styleId="56">
    <w:name w:val="表格格線5"/>
    <w:basedOn w:val="a6"/>
    <w:next w:val="ae"/>
    <w:uiPriority w:val="59"/>
    <w:rsid w:val="0078100D"/>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3">
    <w:name w:val="字元 字元2 字元 字元 字元 字元 字元 字元4"/>
    <w:basedOn w:val="a4"/>
    <w:semiHidden/>
    <w:rsid w:val="0078100D"/>
    <w:pPr>
      <w:spacing w:after="160" w:line="240" w:lineRule="exact"/>
    </w:pPr>
    <w:rPr>
      <w:rFonts w:ascii="Verdana" w:eastAsia="Times New Roman" w:hAnsi="Verdana"/>
      <w:kern w:val="0"/>
      <w:sz w:val="20"/>
      <w:szCs w:val="20"/>
      <w:lang w:eastAsia="en-US"/>
    </w:rPr>
  </w:style>
  <w:style w:type="character" w:customStyle="1" w:styleId="-f0">
    <w:name w:val="時間-議事錄 字元 字元"/>
    <w:locked/>
    <w:rsid w:val="0078100D"/>
    <w:rPr>
      <w:rFonts w:eastAsia="標楷體"/>
      <w:sz w:val="32"/>
      <w:szCs w:val="24"/>
    </w:rPr>
  </w:style>
  <w:style w:type="paragraph" w:customStyle="1" w:styleId="1-161">
    <w:name w:val="一、標題1-16字"/>
    <w:basedOn w:val="1"/>
    <w:link w:val="1-162"/>
    <w:qFormat/>
    <w:rsid w:val="0078100D"/>
    <w:pPr>
      <w:adjustRightInd w:val="0"/>
      <w:snapToGrid w:val="0"/>
    </w:pPr>
    <w:rPr>
      <w:rFonts w:ascii="標楷體" w:hAnsi="標楷體"/>
      <w:sz w:val="32"/>
      <w:szCs w:val="32"/>
    </w:rPr>
  </w:style>
  <w:style w:type="character" w:customStyle="1" w:styleId="1-162">
    <w:name w:val="一、標題1-16字 字元"/>
    <w:link w:val="1-161"/>
    <w:rsid w:val="0078100D"/>
    <w:rPr>
      <w:rFonts w:ascii="標楷體" w:eastAsia="標楷體" w:hAnsi="標楷體" w:cs="Times New Roman"/>
      <w:b/>
      <w:bCs/>
      <w:kern w:val="52"/>
      <w:sz w:val="32"/>
      <w:szCs w:val="32"/>
    </w:rPr>
  </w:style>
  <w:style w:type="paragraph" w:customStyle="1" w:styleId="-f1">
    <w:name w:val="【壹】審議概況-標題一 字元"/>
    <w:basedOn w:val="1"/>
    <w:link w:val="-f2"/>
    <w:qFormat/>
    <w:rsid w:val="0078100D"/>
    <w:pPr>
      <w:tabs>
        <w:tab w:val="left" w:pos="709"/>
        <w:tab w:val="left" w:pos="5954"/>
      </w:tabs>
      <w:adjustRightInd w:val="0"/>
      <w:snapToGrid w:val="0"/>
      <w:spacing w:beforeLines="50" w:before="190" w:afterLines="50" w:after="190" w:line="240" w:lineRule="auto"/>
    </w:pPr>
    <w:rPr>
      <w:rFonts w:ascii="Times New Roman" w:hAnsi="Times New Roman"/>
      <w:sz w:val="32"/>
      <w:szCs w:val="32"/>
    </w:rPr>
  </w:style>
  <w:style w:type="character" w:customStyle="1" w:styleId="-f2">
    <w:name w:val="【壹】審議概況-標題一 字元 字元"/>
    <w:link w:val="-f1"/>
    <w:rsid w:val="0078100D"/>
    <w:rPr>
      <w:rFonts w:ascii="Times New Roman" w:eastAsia="標楷體" w:hAnsi="Times New Roman" w:cs="Times New Roman"/>
      <w:b/>
      <w:bCs/>
      <w:kern w:val="52"/>
      <w:sz w:val="32"/>
      <w:szCs w:val="32"/>
    </w:rPr>
  </w:style>
  <w:style w:type="paragraph" w:customStyle="1" w:styleId="-f3">
    <w:name w:val="壹、審議概況-標題二"/>
    <w:basedOn w:val="2"/>
    <w:next w:val="a4"/>
    <w:link w:val="-f4"/>
    <w:qFormat/>
    <w:rsid w:val="0078100D"/>
    <w:pPr>
      <w:tabs>
        <w:tab w:val="left" w:pos="851"/>
      </w:tabs>
      <w:adjustRightInd w:val="0"/>
      <w:snapToGrid w:val="0"/>
      <w:spacing w:beforeLines="50" w:before="190" w:afterLines="50" w:after="190" w:line="240" w:lineRule="auto"/>
      <w:ind w:leftChars="0" w:left="284"/>
    </w:pPr>
    <w:rPr>
      <w:rFonts w:ascii="Times New Roman" w:hAnsi="Times New Roman"/>
      <w:b/>
    </w:rPr>
  </w:style>
  <w:style w:type="character" w:customStyle="1" w:styleId="-f4">
    <w:name w:val="壹、審議概況-標題二 字元"/>
    <w:link w:val="-f3"/>
    <w:rsid w:val="0078100D"/>
    <w:rPr>
      <w:rFonts w:ascii="Times New Roman" w:eastAsia="標楷體" w:hAnsi="Times New Roman" w:cs="Times New Roman"/>
      <w:b/>
      <w:bCs/>
      <w:sz w:val="28"/>
      <w:szCs w:val="48"/>
    </w:rPr>
  </w:style>
  <w:style w:type="paragraph" w:customStyle="1" w:styleId="affffff0">
    <w:name w:val="一、審議概況–標題三"/>
    <w:basedOn w:val="3"/>
    <w:next w:val="a4"/>
    <w:link w:val="affffff1"/>
    <w:qFormat/>
    <w:rsid w:val="0078100D"/>
    <w:pPr>
      <w:tabs>
        <w:tab w:val="left" w:pos="1276"/>
      </w:tabs>
      <w:adjustRightInd w:val="0"/>
      <w:snapToGrid w:val="0"/>
      <w:spacing w:beforeLines="50" w:before="190" w:afterLines="50" w:after="190" w:line="240" w:lineRule="auto"/>
      <w:ind w:leftChars="0" w:left="567" w:firstLineChars="0" w:firstLine="0"/>
    </w:pPr>
    <w:rPr>
      <w:rFonts w:ascii="標楷體" w:hAnsi="標楷體"/>
      <w:b/>
    </w:rPr>
  </w:style>
  <w:style w:type="paragraph" w:customStyle="1" w:styleId="-40">
    <w:name w:val="（一）總統府-階層4"/>
    <w:basedOn w:val="40"/>
    <w:qFormat/>
    <w:rsid w:val="0078100D"/>
    <w:pPr>
      <w:spacing w:beforeLines="50" w:before="190" w:afterLines="50" w:after="190" w:line="240" w:lineRule="auto"/>
      <w:ind w:left="851"/>
      <w:jc w:val="both"/>
    </w:pPr>
    <w:rPr>
      <w:rFonts w:ascii="標楷體" w:eastAsia="標楷體" w:hAnsi="標楷體" w:cs="Times New Roman"/>
      <w:b/>
      <w:sz w:val="28"/>
      <w:szCs w:val="28"/>
    </w:rPr>
  </w:style>
  <w:style w:type="paragraph" w:customStyle="1" w:styleId="1-5">
    <w:name w:val="1.審查委員會-階層5"/>
    <w:basedOn w:val="5"/>
    <w:qFormat/>
    <w:rsid w:val="0078100D"/>
    <w:pPr>
      <w:adjustRightInd w:val="0"/>
      <w:snapToGrid w:val="0"/>
      <w:spacing w:beforeLines="50" w:before="190" w:afterLines="50" w:after="190" w:line="360" w:lineRule="auto"/>
      <w:ind w:leftChars="0" w:left="1134"/>
      <w:jc w:val="both"/>
    </w:pPr>
    <w:rPr>
      <w:rFonts w:ascii="標楷體" w:eastAsia="標楷體" w:hAnsi="標楷體"/>
      <w:sz w:val="28"/>
      <w:szCs w:val="28"/>
    </w:rPr>
  </w:style>
  <w:style w:type="paragraph" w:customStyle="1" w:styleId="1-6">
    <w:name w:val="（1）部會-階層6"/>
    <w:basedOn w:val="1-5"/>
    <w:qFormat/>
    <w:rsid w:val="0078100D"/>
    <w:pPr>
      <w:ind w:left="1418"/>
      <w:outlineLvl w:val="5"/>
    </w:pPr>
  </w:style>
  <w:style w:type="character" w:customStyle="1" w:styleId="affffff1">
    <w:name w:val="一、審議概況–標題三 字元"/>
    <w:link w:val="affffff0"/>
    <w:rsid w:val="0078100D"/>
    <w:rPr>
      <w:rFonts w:ascii="標楷體" w:eastAsia="標楷體" w:hAnsi="標楷體" w:cs="Times New Roman"/>
      <w:b/>
      <w:bCs/>
      <w:sz w:val="28"/>
      <w:szCs w:val="36"/>
    </w:rPr>
  </w:style>
  <w:style w:type="paragraph" w:customStyle="1" w:styleId="affffff2">
    <w:name w:val="剪報標題一"/>
    <w:basedOn w:val="1"/>
    <w:next w:val="a4"/>
    <w:link w:val="affffff3"/>
    <w:qFormat/>
    <w:rsid w:val="0078100D"/>
    <w:pPr>
      <w:wordWrap w:val="0"/>
      <w:autoSpaceDE w:val="0"/>
      <w:autoSpaceDN w:val="0"/>
      <w:spacing w:before="180" w:after="180" w:line="240" w:lineRule="auto"/>
    </w:pPr>
    <w:rPr>
      <w:rFonts w:ascii="Papyrus" w:hAnsi="Papyrus"/>
      <w:color w:val="548DD4"/>
      <w:sz w:val="32"/>
      <w:szCs w:val="32"/>
      <w:lang w:eastAsia="ko-KR"/>
    </w:rPr>
  </w:style>
  <w:style w:type="character" w:customStyle="1" w:styleId="affffff3">
    <w:name w:val="剪報標題一 字元"/>
    <w:link w:val="affffff2"/>
    <w:rsid w:val="0078100D"/>
    <w:rPr>
      <w:rFonts w:ascii="Papyrus" w:eastAsia="標楷體" w:hAnsi="Papyrus" w:cs="Times New Roman"/>
      <w:b/>
      <w:bCs/>
      <w:color w:val="548DD4"/>
      <w:kern w:val="52"/>
      <w:sz w:val="32"/>
      <w:szCs w:val="32"/>
      <w:lang w:eastAsia="ko-KR"/>
    </w:rPr>
  </w:style>
  <w:style w:type="paragraph" w:customStyle="1" w:styleId="pop">
    <w:name w:val="標題二pop"/>
    <w:basedOn w:val="2"/>
    <w:next w:val="a4"/>
    <w:link w:val="pop0"/>
    <w:autoRedefine/>
    <w:qFormat/>
    <w:rsid w:val="0078100D"/>
    <w:pPr>
      <w:adjustRightInd w:val="0"/>
      <w:snapToGrid w:val="0"/>
      <w:spacing w:line="440" w:lineRule="exact"/>
      <w:ind w:leftChars="0" w:left="0"/>
      <w:jc w:val="left"/>
    </w:pPr>
    <w:rPr>
      <w:rFonts w:ascii="Papyrus" w:eastAsia="華康POP1體W5(P)" w:hAnsi="Papyrus"/>
      <w:b/>
      <w:szCs w:val="32"/>
    </w:rPr>
  </w:style>
  <w:style w:type="character" w:customStyle="1" w:styleId="pop0">
    <w:name w:val="標題二pop 字元"/>
    <w:link w:val="pop"/>
    <w:rsid w:val="0078100D"/>
    <w:rPr>
      <w:rFonts w:ascii="Papyrus" w:eastAsia="華康POP1體W5(P)" w:hAnsi="Papyrus" w:cs="Times New Roman"/>
      <w:b/>
      <w:bCs/>
      <w:sz w:val="28"/>
      <w:szCs w:val="32"/>
    </w:rPr>
  </w:style>
  <w:style w:type="paragraph" w:styleId="affffff4">
    <w:name w:val="Note Heading"/>
    <w:basedOn w:val="a4"/>
    <w:next w:val="a4"/>
    <w:link w:val="affffff5"/>
    <w:uiPriority w:val="99"/>
    <w:unhideWhenUsed/>
    <w:rsid w:val="0078100D"/>
    <w:pPr>
      <w:jc w:val="center"/>
    </w:pPr>
    <w:rPr>
      <w:rFonts w:eastAsia="標楷體"/>
      <w:b/>
      <w:sz w:val="32"/>
      <w:szCs w:val="32"/>
    </w:rPr>
  </w:style>
  <w:style w:type="character" w:customStyle="1" w:styleId="affffff5">
    <w:name w:val="註釋標題 字元"/>
    <w:basedOn w:val="a5"/>
    <w:link w:val="affffff4"/>
    <w:uiPriority w:val="99"/>
    <w:rsid w:val="0078100D"/>
    <w:rPr>
      <w:rFonts w:ascii="Times New Roman" w:eastAsia="標楷體" w:hAnsi="Times New Roman" w:cs="Times New Roman"/>
      <w:b/>
      <w:sz w:val="32"/>
      <w:szCs w:val="32"/>
    </w:rPr>
  </w:style>
  <w:style w:type="paragraph" w:styleId="affffff6">
    <w:name w:val="Closing"/>
    <w:basedOn w:val="a4"/>
    <w:link w:val="affffff7"/>
    <w:uiPriority w:val="99"/>
    <w:unhideWhenUsed/>
    <w:rsid w:val="0078100D"/>
    <w:pPr>
      <w:ind w:leftChars="1800" w:left="100"/>
    </w:pPr>
    <w:rPr>
      <w:rFonts w:eastAsia="標楷體"/>
      <w:b/>
      <w:sz w:val="32"/>
      <w:szCs w:val="32"/>
    </w:rPr>
  </w:style>
  <w:style w:type="character" w:customStyle="1" w:styleId="affffff7">
    <w:name w:val="結語 字元"/>
    <w:basedOn w:val="a5"/>
    <w:link w:val="affffff6"/>
    <w:uiPriority w:val="99"/>
    <w:rsid w:val="0078100D"/>
    <w:rPr>
      <w:rFonts w:ascii="Times New Roman" w:eastAsia="標楷體" w:hAnsi="Times New Roman" w:cs="Times New Roman"/>
      <w:b/>
      <w:sz w:val="32"/>
      <w:szCs w:val="32"/>
    </w:rPr>
  </w:style>
  <w:style w:type="character" w:customStyle="1" w:styleId="affffff8">
    <w:name w:val="內文文字_"/>
    <w:link w:val="affffff9"/>
    <w:rsid w:val="0078100D"/>
    <w:rPr>
      <w:rFonts w:ascii="細明體" w:eastAsia="細明體" w:hAnsi="細明體" w:cs="細明體"/>
      <w:spacing w:val="-10"/>
      <w:sz w:val="25"/>
      <w:szCs w:val="25"/>
      <w:shd w:val="clear" w:color="auto" w:fill="FFFFFF"/>
    </w:rPr>
  </w:style>
  <w:style w:type="character" w:customStyle="1" w:styleId="-1pt">
    <w:name w:val="內文文字 + 間距 -1 pt"/>
    <w:rsid w:val="0078100D"/>
    <w:rPr>
      <w:rFonts w:ascii="細明體" w:eastAsia="細明體" w:hAnsi="細明體" w:cs="細明體"/>
      <w:b w:val="0"/>
      <w:bCs w:val="0"/>
      <w:i w:val="0"/>
      <w:iCs w:val="0"/>
      <w:smallCaps w:val="0"/>
      <w:strike w:val="0"/>
      <w:color w:val="000000"/>
      <w:spacing w:val="-30"/>
      <w:w w:val="100"/>
      <w:position w:val="0"/>
      <w:sz w:val="25"/>
      <w:szCs w:val="25"/>
      <w:u w:val="none"/>
      <w:lang w:val="zh-TW"/>
    </w:rPr>
  </w:style>
  <w:style w:type="character" w:customStyle="1" w:styleId="-2pt">
    <w:name w:val="內文文字 + 間距 -2 pt"/>
    <w:rsid w:val="0078100D"/>
    <w:rPr>
      <w:rFonts w:ascii="細明體" w:eastAsia="細明體" w:hAnsi="細明體" w:cs="細明體"/>
      <w:b w:val="0"/>
      <w:bCs w:val="0"/>
      <w:i w:val="0"/>
      <w:iCs w:val="0"/>
      <w:smallCaps w:val="0"/>
      <w:strike w:val="0"/>
      <w:color w:val="000000"/>
      <w:spacing w:val="-40"/>
      <w:w w:val="100"/>
      <w:position w:val="0"/>
      <w:sz w:val="25"/>
      <w:szCs w:val="25"/>
      <w:u w:val="none"/>
      <w:lang w:val="zh-TW"/>
    </w:rPr>
  </w:style>
  <w:style w:type="character" w:customStyle="1" w:styleId="145pt">
    <w:name w:val="內文文字 + 14.5 pt"/>
    <w:aliases w:val="間距 0 pt"/>
    <w:rsid w:val="0078100D"/>
    <w:rPr>
      <w:rFonts w:ascii="細明體" w:eastAsia="細明體" w:hAnsi="細明體" w:cs="細明體"/>
      <w:b w:val="0"/>
      <w:bCs w:val="0"/>
      <w:i w:val="0"/>
      <w:iCs w:val="0"/>
      <w:smallCaps w:val="0"/>
      <w:strike w:val="0"/>
      <w:color w:val="000000"/>
      <w:spacing w:val="0"/>
      <w:w w:val="100"/>
      <w:position w:val="0"/>
      <w:sz w:val="29"/>
      <w:szCs w:val="29"/>
      <w:u w:val="none"/>
    </w:rPr>
  </w:style>
  <w:style w:type="paragraph" w:customStyle="1" w:styleId="affffff9">
    <w:name w:val="內文文字"/>
    <w:basedOn w:val="a4"/>
    <w:link w:val="affffff8"/>
    <w:rsid w:val="0078100D"/>
    <w:pPr>
      <w:shd w:val="clear" w:color="auto" w:fill="FFFFFF"/>
      <w:spacing w:after="720" w:line="349" w:lineRule="exact"/>
      <w:jc w:val="distribute"/>
    </w:pPr>
    <w:rPr>
      <w:rFonts w:ascii="細明體" w:eastAsia="細明體" w:hAnsi="細明體" w:cs="細明體"/>
      <w:spacing w:val="-10"/>
      <w:sz w:val="25"/>
      <w:szCs w:val="25"/>
    </w:rPr>
  </w:style>
  <w:style w:type="paragraph" w:customStyle="1" w:styleId="font5">
    <w:name w:val="font5"/>
    <w:basedOn w:val="a4"/>
    <w:rsid w:val="0078100D"/>
    <w:pPr>
      <w:spacing w:before="100" w:beforeAutospacing="1" w:after="100" w:afterAutospacing="1"/>
    </w:pPr>
    <w:rPr>
      <w:rFonts w:ascii="新細明體" w:hAnsi="新細明體" w:cs="新細明體"/>
      <w:kern w:val="0"/>
      <w:sz w:val="18"/>
      <w:szCs w:val="18"/>
    </w:rPr>
  </w:style>
  <w:style w:type="paragraph" w:customStyle="1" w:styleId="xl63">
    <w:name w:val="xl63"/>
    <w:basedOn w:val="a4"/>
    <w:rsid w:val="0078100D"/>
    <w:pPr>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64">
    <w:name w:val="xl64"/>
    <w:basedOn w:val="a4"/>
    <w:rsid w:val="0078100D"/>
    <w:pPr>
      <w:spacing w:before="100" w:beforeAutospacing="1" w:after="100" w:afterAutospacing="1"/>
    </w:pPr>
    <w:rPr>
      <w:kern w:val="0"/>
    </w:rPr>
  </w:style>
  <w:style w:type="paragraph" w:customStyle="1" w:styleId="xl65">
    <w:name w:val="xl65"/>
    <w:basedOn w:val="a4"/>
    <w:rsid w:val="0078100D"/>
    <w:pPr>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66">
    <w:name w:val="xl66"/>
    <w:basedOn w:val="a4"/>
    <w:rsid w:val="0078100D"/>
    <w:pPr>
      <w:pBdr>
        <w:bottom w:val="single" w:sz="8"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67">
    <w:name w:val="xl67"/>
    <w:basedOn w:val="a4"/>
    <w:rsid w:val="0078100D"/>
    <w:pPr>
      <w:pBdr>
        <w:bottom w:val="single" w:sz="8" w:space="0" w:color="auto"/>
        <w:right w:val="single" w:sz="8" w:space="0" w:color="auto"/>
      </w:pBdr>
      <w:spacing w:before="100" w:beforeAutospacing="1" w:after="100" w:afterAutospacing="1"/>
      <w:jc w:val="right"/>
    </w:pPr>
    <w:rPr>
      <w:rFonts w:ascii="標楷體" w:eastAsia="標楷體" w:hAnsi="標楷體" w:cs="新細明體"/>
      <w:kern w:val="0"/>
    </w:rPr>
  </w:style>
  <w:style w:type="paragraph" w:customStyle="1" w:styleId="xl68">
    <w:name w:val="xl68"/>
    <w:basedOn w:val="a4"/>
    <w:rsid w:val="0078100D"/>
    <w:pPr>
      <w:pBdr>
        <w:bottom w:val="single" w:sz="8" w:space="0" w:color="auto"/>
        <w:right w:val="single" w:sz="8" w:space="0" w:color="auto"/>
      </w:pBdr>
      <w:spacing w:before="100" w:beforeAutospacing="1" w:after="100" w:afterAutospacing="1"/>
      <w:ind w:firstLineChars="100" w:firstLine="100"/>
      <w:textAlignment w:val="bottom"/>
    </w:pPr>
    <w:rPr>
      <w:rFonts w:ascii="標楷體" w:eastAsia="標楷體" w:hAnsi="標楷體" w:cs="新細明體"/>
      <w:kern w:val="0"/>
    </w:rPr>
  </w:style>
  <w:style w:type="paragraph" w:customStyle="1" w:styleId="xl69">
    <w:name w:val="xl69"/>
    <w:basedOn w:val="a4"/>
    <w:rsid w:val="0078100D"/>
    <w:pPr>
      <w:pBdr>
        <w:bottom w:val="single" w:sz="8" w:space="0" w:color="auto"/>
        <w:right w:val="single" w:sz="8" w:space="0" w:color="auto"/>
      </w:pBdr>
      <w:spacing w:before="100" w:beforeAutospacing="1" w:after="100" w:afterAutospacing="1"/>
      <w:ind w:firstLineChars="200" w:firstLine="200"/>
      <w:textAlignment w:val="bottom"/>
    </w:pPr>
    <w:rPr>
      <w:rFonts w:ascii="標楷體" w:eastAsia="標楷體" w:hAnsi="標楷體" w:cs="新細明體"/>
      <w:kern w:val="0"/>
    </w:rPr>
  </w:style>
  <w:style w:type="paragraph" w:customStyle="1" w:styleId="xl70">
    <w:name w:val="xl70"/>
    <w:basedOn w:val="a4"/>
    <w:rsid w:val="0078100D"/>
    <w:pPr>
      <w:pBdr>
        <w:bottom w:val="single" w:sz="8" w:space="0" w:color="auto"/>
        <w:right w:val="single" w:sz="8" w:space="0" w:color="auto"/>
      </w:pBdr>
      <w:spacing w:before="100" w:beforeAutospacing="1" w:after="100" w:afterAutospacing="1"/>
      <w:ind w:firstLineChars="300" w:firstLine="300"/>
    </w:pPr>
    <w:rPr>
      <w:rFonts w:ascii="標楷體" w:eastAsia="標楷體" w:hAnsi="標楷體" w:cs="新細明體"/>
      <w:kern w:val="0"/>
    </w:rPr>
  </w:style>
  <w:style w:type="paragraph" w:customStyle="1" w:styleId="xl71">
    <w:name w:val="xl71"/>
    <w:basedOn w:val="a4"/>
    <w:rsid w:val="0078100D"/>
    <w:pPr>
      <w:pBdr>
        <w:top w:val="single" w:sz="8" w:space="0" w:color="auto"/>
        <w:left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72">
    <w:name w:val="xl72"/>
    <w:basedOn w:val="a4"/>
    <w:rsid w:val="0078100D"/>
    <w:pPr>
      <w:pBdr>
        <w:top w:val="single" w:sz="8" w:space="0" w:color="auto"/>
        <w:left w:val="single" w:sz="8" w:space="0" w:color="auto"/>
        <w:right w:val="single" w:sz="8" w:space="0" w:color="auto"/>
      </w:pBdr>
      <w:spacing w:before="100" w:beforeAutospacing="1" w:after="100" w:afterAutospacing="1"/>
    </w:pPr>
    <w:rPr>
      <w:rFonts w:ascii="標楷體" w:eastAsia="標楷體" w:hAnsi="標楷體" w:cs="新細明體"/>
      <w:kern w:val="0"/>
    </w:rPr>
  </w:style>
  <w:style w:type="paragraph" w:customStyle="1" w:styleId="xl73">
    <w:name w:val="xl73"/>
    <w:basedOn w:val="a4"/>
    <w:rsid w:val="0078100D"/>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74">
    <w:name w:val="xl74"/>
    <w:basedOn w:val="a4"/>
    <w:rsid w:val="0078100D"/>
    <w:pPr>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rPr>
  </w:style>
  <w:style w:type="paragraph" w:customStyle="1" w:styleId="xl75">
    <w:name w:val="xl75"/>
    <w:basedOn w:val="a4"/>
    <w:rsid w:val="0078100D"/>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標楷體" w:eastAsia="標楷體" w:hAnsi="標楷體" w:cs="新細明體"/>
      <w:kern w:val="0"/>
    </w:rPr>
  </w:style>
  <w:style w:type="paragraph" w:customStyle="1" w:styleId="xl76">
    <w:name w:val="xl76"/>
    <w:basedOn w:val="a4"/>
    <w:rsid w:val="0078100D"/>
    <w:pPr>
      <w:pBdr>
        <w:bottom w:val="single" w:sz="8" w:space="0" w:color="auto"/>
        <w:right w:val="single" w:sz="8" w:space="0" w:color="auto"/>
      </w:pBdr>
      <w:shd w:val="clear" w:color="000000" w:fill="FFFFFF"/>
      <w:spacing w:before="100" w:beforeAutospacing="1" w:after="100" w:afterAutospacing="1"/>
      <w:jc w:val="right"/>
    </w:pPr>
    <w:rPr>
      <w:rFonts w:ascii="標楷體" w:eastAsia="標楷體" w:hAnsi="標楷體" w:cs="新細明體"/>
      <w:kern w:val="0"/>
    </w:rPr>
  </w:style>
  <w:style w:type="character" w:customStyle="1" w:styleId="affffffa">
    <w:name w:val="決定 字元 字元"/>
    <w:locked/>
    <w:rsid w:val="0078100D"/>
    <w:rPr>
      <w:rFonts w:eastAsia="標楷體"/>
      <w:sz w:val="32"/>
      <w:szCs w:val="24"/>
    </w:rPr>
  </w:style>
  <w:style w:type="character" w:customStyle="1" w:styleId="affffffb">
    <w:name w:val="一、報告事項 字元 字元"/>
    <w:locked/>
    <w:rsid w:val="0078100D"/>
    <w:rPr>
      <w:rFonts w:eastAsia="標楷體"/>
      <w:sz w:val="32"/>
      <w:szCs w:val="24"/>
    </w:rPr>
  </w:style>
  <w:style w:type="character" w:customStyle="1" w:styleId="-f5">
    <w:name w:val="預算-項 字元 字元"/>
    <w:locked/>
    <w:rsid w:val="0078100D"/>
    <w:rPr>
      <w:rFonts w:eastAsia="標楷體"/>
      <w:sz w:val="32"/>
      <w:szCs w:val="24"/>
    </w:rPr>
  </w:style>
  <w:style w:type="character" w:customStyle="1" w:styleId="-f6">
    <w:name w:val="預算-款 字元 字元"/>
    <w:locked/>
    <w:rsid w:val="0078100D"/>
    <w:rPr>
      <w:rFonts w:eastAsia="標楷體"/>
      <w:sz w:val="32"/>
      <w:szCs w:val="24"/>
    </w:rPr>
  </w:style>
  <w:style w:type="character" w:customStyle="1" w:styleId="highlight">
    <w:name w:val="highlight"/>
    <w:rsid w:val="0078100D"/>
  </w:style>
  <w:style w:type="character" w:customStyle="1" w:styleId="1410">
    <w:name w:val="表格內文(14行高) 字元1"/>
    <w:link w:val="144"/>
    <w:rsid w:val="0078100D"/>
    <w:rPr>
      <w:rFonts w:ascii="標楷體" w:eastAsia="標楷體" w:hAnsi="Times New Roman" w:cs="Times New Roman"/>
      <w:snapToGrid w:val="0"/>
      <w:szCs w:val="28"/>
    </w:rPr>
  </w:style>
  <w:style w:type="paragraph" w:customStyle="1" w:styleId="affffffc">
    <w:name w:val="法律目錄"/>
    <w:basedOn w:val="a4"/>
    <w:rsid w:val="0078100D"/>
    <w:pPr>
      <w:adjustRightInd w:val="0"/>
      <w:ind w:leftChars="260" w:left="728"/>
      <w:jc w:val="distribute"/>
      <w:textAlignment w:val="baseline"/>
    </w:pPr>
    <w:rPr>
      <w:rFonts w:eastAsia="標楷體"/>
      <w:kern w:val="0"/>
      <w:sz w:val="32"/>
      <w:szCs w:val="20"/>
    </w:rPr>
  </w:style>
  <w:style w:type="character" w:customStyle="1" w:styleId="tit51">
    <w:name w:val="tit_51"/>
    <w:rsid w:val="0078100D"/>
    <w:rPr>
      <w:b/>
      <w:bCs/>
      <w:vanish w:val="0"/>
      <w:webHidden w:val="0"/>
      <w:color w:val="333333"/>
      <w:specVanish w:val="0"/>
    </w:rPr>
  </w:style>
  <w:style w:type="numbering" w:customStyle="1" w:styleId="64">
    <w:name w:val="無清單6"/>
    <w:next w:val="a7"/>
    <w:uiPriority w:val="99"/>
    <w:semiHidden/>
    <w:unhideWhenUsed/>
    <w:rsid w:val="0078100D"/>
  </w:style>
  <w:style w:type="table" w:customStyle="1" w:styleId="65">
    <w:name w:val="表格格線6"/>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無清單14"/>
    <w:next w:val="a7"/>
    <w:uiPriority w:val="99"/>
    <w:semiHidden/>
    <w:unhideWhenUsed/>
    <w:rsid w:val="0078100D"/>
  </w:style>
  <w:style w:type="table" w:customStyle="1" w:styleId="410">
    <w:name w:val="表格格線41"/>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格格線51"/>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表格格線7"/>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表格格線8"/>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表格格線9"/>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表格格線10"/>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表格格線111"/>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格格線12"/>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表格格線13"/>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表格格線14"/>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格格線15"/>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表格格線16"/>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無清單21"/>
    <w:next w:val="a7"/>
    <w:uiPriority w:val="99"/>
    <w:semiHidden/>
    <w:unhideWhenUsed/>
    <w:rsid w:val="0078100D"/>
  </w:style>
  <w:style w:type="table" w:customStyle="1" w:styleId="171">
    <w:name w:val="表格格線17"/>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表格格線18"/>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表格格線19"/>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表格格線20"/>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表格格線21"/>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表格格線22"/>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表格格線23"/>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表格格線24"/>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表格格線25"/>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表格格線26"/>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無清單31"/>
    <w:next w:val="a7"/>
    <w:uiPriority w:val="99"/>
    <w:semiHidden/>
    <w:unhideWhenUsed/>
    <w:rsid w:val="0078100D"/>
  </w:style>
  <w:style w:type="table" w:customStyle="1" w:styleId="270">
    <w:name w:val="表格格線27"/>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無清單41"/>
    <w:next w:val="a7"/>
    <w:uiPriority w:val="99"/>
    <w:semiHidden/>
    <w:unhideWhenUsed/>
    <w:rsid w:val="0078100D"/>
  </w:style>
  <w:style w:type="table" w:customStyle="1" w:styleId="280">
    <w:name w:val="表格格線28"/>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表格格線29"/>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表格格線30"/>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無清單51"/>
    <w:next w:val="a7"/>
    <w:uiPriority w:val="99"/>
    <w:semiHidden/>
    <w:unhideWhenUsed/>
    <w:rsid w:val="0078100D"/>
  </w:style>
  <w:style w:type="table" w:customStyle="1" w:styleId="312">
    <w:name w:val="表格格線31"/>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無清單61"/>
    <w:next w:val="a7"/>
    <w:uiPriority w:val="99"/>
    <w:semiHidden/>
    <w:unhideWhenUsed/>
    <w:rsid w:val="0078100D"/>
  </w:style>
  <w:style w:type="table" w:customStyle="1" w:styleId="320">
    <w:name w:val="表格格線32"/>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表格格線33"/>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無清單7"/>
    <w:next w:val="a7"/>
    <w:uiPriority w:val="99"/>
    <w:semiHidden/>
    <w:unhideWhenUsed/>
    <w:rsid w:val="0078100D"/>
  </w:style>
  <w:style w:type="table" w:customStyle="1" w:styleId="340">
    <w:name w:val="表格格線34"/>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表格格線35"/>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表格格線36"/>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表格格線37"/>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表格格線38"/>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無清單8"/>
    <w:next w:val="a7"/>
    <w:uiPriority w:val="99"/>
    <w:semiHidden/>
    <w:unhideWhenUsed/>
    <w:rsid w:val="0078100D"/>
  </w:style>
  <w:style w:type="table" w:customStyle="1" w:styleId="390">
    <w:name w:val="表格格線39"/>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表格格線40"/>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無清單9"/>
    <w:next w:val="a7"/>
    <w:uiPriority w:val="99"/>
    <w:semiHidden/>
    <w:unhideWhenUsed/>
    <w:rsid w:val="0078100D"/>
  </w:style>
  <w:style w:type="table" w:customStyle="1" w:styleId="420">
    <w:name w:val="表格格線42"/>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d">
    <w:name w:val="字元"/>
    <w:basedOn w:val="a4"/>
    <w:rsid w:val="0078100D"/>
    <w:pPr>
      <w:spacing w:after="160" w:line="240" w:lineRule="exact"/>
    </w:pPr>
    <w:rPr>
      <w:rFonts w:ascii="Arial" w:eastAsia="Times New Roman" w:hAnsi="Arial" w:cs="Arial"/>
      <w:kern w:val="0"/>
      <w:sz w:val="20"/>
      <w:szCs w:val="20"/>
      <w:lang w:eastAsia="en-US"/>
    </w:rPr>
  </w:style>
  <w:style w:type="character" w:customStyle="1" w:styleId="2c">
    <w:name w:val="(一)下內文縮2 字元"/>
    <w:link w:val="2b"/>
    <w:rsid w:val="0078100D"/>
    <w:rPr>
      <w:rFonts w:ascii="標楷體" w:eastAsia="標楷體" w:hAnsi="標楷體" w:cs="Times New Roman"/>
      <w:sz w:val="28"/>
      <w:szCs w:val="24"/>
    </w:rPr>
  </w:style>
  <w:style w:type="paragraph" w:styleId="affffffe">
    <w:name w:val="Salutation"/>
    <w:basedOn w:val="a4"/>
    <w:next w:val="a4"/>
    <w:link w:val="afffffff"/>
    <w:uiPriority w:val="99"/>
    <w:unhideWhenUsed/>
    <w:rsid w:val="0078100D"/>
    <w:rPr>
      <w:rFonts w:ascii="Calibri" w:hAnsi="Calibri"/>
      <w:szCs w:val="22"/>
    </w:rPr>
  </w:style>
  <w:style w:type="character" w:customStyle="1" w:styleId="afffffff">
    <w:name w:val="問候 字元"/>
    <w:basedOn w:val="a5"/>
    <w:link w:val="affffffe"/>
    <w:uiPriority w:val="99"/>
    <w:rsid w:val="0078100D"/>
    <w:rPr>
      <w:rFonts w:ascii="Calibri" w:eastAsia="新細明體" w:hAnsi="Calibri" w:cs="Times New Roman"/>
    </w:rPr>
  </w:style>
  <w:style w:type="character" w:styleId="afffffff0">
    <w:name w:val="Emphasis"/>
    <w:qFormat/>
    <w:rsid w:val="0078100D"/>
    <w:rPr>
      <w:i/>
      <w:iCs/>
    </w:rPr>
  </w:style>
  <w:style w:type="table" w:customStyle="1" w:styleId="430">
    <w:name w:val="表格格線43"/>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
    <w:name w:val="無清單10"/>
    <w:next w:val="a7"/>
    <w:uiPriority w:val="99"/>
    <w:semiHidden/>
    <w:unhideWhenUsed/>
    <w:rsid w:val="0078100D"/>
  </w:style>
  <w:style w:type="table" w:customStyle="1" w:styleId="440">
    <w:name w:val="表格格線44"/>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表格格線45"/>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表格格線46"/>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表格格線47"/>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表格格線48"/>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表格格線49"/>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表格格線50"/>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格格線52"/>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表格格線54"/>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表格格線55"/>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表格格線56"/>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表格格線57"/>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表格格線58"/>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表格格線59"/>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表格格線60"/>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表格格線61"/>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表格格線62"/>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表格格線63"/>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表格格線64"/>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表格格線65"/>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表格格線66"/>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表格格線67"/>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表格格線68"/>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表格格線69"/>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表格格線70"/>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表格格線71"/>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表格格線72"/>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表格格線73"/>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表格格線74"/>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格格線75"/>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表格格線76"/>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表格格線77"/>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表格格線78"/>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表格格線79"/>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表格格線80"/>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表格格線81"/>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a">
    <w:name w:val="字元 字元14"/>
    <w:basedOn w:val="a4"/>
    <w:semiHidden/>
    <w:rsid w:val="0078100D"/>
    <w:pPr>
      <w:spacing w:after="160" w:line="240" w:lineRule="exact"/>
    </w:pPr>
    <w:rPr>
      <w:rFonts w:ascii="Verdana" w:eastAsia="Times New Roman" w:hAnsi="Verdana" w:cs="Mangal"/>
      <w:sz w:val="20"/>
      <w:lang w:eastAsia="en-US" w:bidi="hi-IN"/>
    </w:rPr>
  </w:style>
  <w:style w:type="character" w:customStyle="1" w:styleId="641">
    <w:name w:val="字元6 字元4"/>
    <w:semiHidden/>
    <w:rsid w:val="0078100D"/>
    <w:rPr>
      <w:rFonts w:ascii="Cambria" w:eastAsia="新細明體" w:hAnsi="Cambria" w:cs="Times New Roman"/>
      <w:b/>
      <w:bCs/>
      <w:sz w:val="48"/>
      <w:szCs w:val="48"/>
    </w:rPr>
  </w:style>
  <w:style w:type="character" w:customStyle="1" w:styleId="441">
    <w:name w:val="字元4 字元4"/>
    <w:rsid w:val="0078100D"/>
    <w:rPr>
      <w:kern w:val="2"/>
    </w:rPr>
  </w:style>
  <w:style w:type="character" w:customStyle="1" w:styleId="740">
    <w:name w:val="字元7 字元4"/>
    <w:rsid w:val="0078100D"/>
    <w:rPr>
      <w:rFonts w:ascii="Cambria" w:eastAsia="新細明體" w:hAnsi="Cambria" w:cs="Times New Roman"/>
      <w:b/>
      <w:bCs/>
      <w:kern w:val="52"/>
      <w:sz w:val="52"/>
      <w:szCs w:val="52"/>
    </w:rPr>
  </w:style>
  <w:style w:type="character" w:customStyle="1" w:styleId="541">
    <w:name w:val="字元5 字元4"/>
    <w:semiHidden/>
    <w:rsid w:val="0078100D"/>
    <w:rPr>
      <w:rFonts w:ascii="Cambria" w:eastAsia="新細明體" w:hAnsi="Cambria" w:cs="Times New Roman"/>
      <w:b/>
      <w:bCs/>
      <w:kern w:val="2"/>
      <w:sz w:val="36"/>
      <w:szCs w:val="36"/>
    </w:rPr>
  </w:style>
  <w:style w:type="character" w:customStyle="1" w:styleId="1440">
    <w:name w:val="字元144"/>
    <w:rsid w:val="0078100D"/>
    <w:rPr>
      <w:rFonts w:ascii="Times New Roman" w:eastAsia="標楷體" w:hAnsi="Times New Roman" w:cs="Times New Roman"/>
      <w:sz w:val="20"/>
      <w:szCs w:val="20"/>
    </w:rPr>
  </w:style>
  <w:style w:type="character" w:customStyle="1" w:styleId="134">
    <w:name w:val="字元134"/>
    <w:rsid w:val="0078100D"/>
    <w:rPr>
      <w:rFonts w:ascii="Times New Roman" w:eastAsia="標楷體" w:hAnsi="Times New Roman" w:cs="Times New Roman"/>
      <w:sz w:val="20"/>
      <w:szCs w:val="20"/>
    </w:rPr>
  </w:style>
  <w:style w:type="character" w:customStyle="1" w:styleId="124">
    <w:name w:val="字元124"/>
    <w:rsid w:val="0078100D"/>
    <w:rPr>
      <w:rFonts w:ascii="Times New Roman" w:eastAsia="標楷體" w:hAnsi="Times New Roman" w:cs="Times New Roman"/>
      <w:sz w:val="28"/>
    </w:rPr>
  </w:style>
  <w:style w:type="character" w:customStyle="1" w:styleId="114">
    <w:name w:val="字元114"/>
    <w:semiHidden/>
    <w:rsid w:val="0078100D"/>
    <w:rPr>
      <w:rFonts w:ascii="Times New Roman" w:eastAsia="標楷體" w:hAnsi="Times New Roman" w:cs="Times New Roman"/>
      <w:b/>
      <w:bCs/>
      <w:sz w:val="28"/>
    </w:rPr>
  </w:style>
  <w:style w:type="character" w:customStyle="1" w:styleId="104">
    <w:name w:val="字元104"/>
    <w:rsid w:val="0078100D"/>
    <w:rPr>
      <w:rFonts w:ascii="Cambria" w:eastAsia="新細明體" w:hAnsi="Cambria" w:cs="Times New Roman"/>
      <w:sz w:val="18"/>
      <w:szCs w:val="18"/>
    </w:rPr>
  </w:style>
  <w:style w:type="character" w:customStyle="1" w:styleId="2140">
    <w:name w:val="字元214"/>
    <w:rsid w:val="0078100D"/>
    <w:rPr>
      <w:rFonts w:ascii="新細明體" w:hAnsi="Times New Roman"/>
      <w:kern w:val="2"/>
      <w:sz w:val="18"/>
      <w:szCs w:val="18"/>
    </w:rPr>
  </w:style>
  <w:style w:type="character" w:customStyle="1" w:styleId="174">
    <w:name w:val="字元174"/>
    <w:rsid w:val="0078100D"/>
    <w:rPr>
      <w:rFonts w:ascii="Cambria" w:eastAsia="新細明體" w:hAnsi="Cambria" w:cs="Times New Roman"/>
      <w:b/>
      <w:bCs/>
      <w:kern w:val="52"/>
      <w:sz w:val="52"/>
      <w:szCs w:val="52"/>
    </w:rPr>
  </w:style>
  <w:style w:type="character" w:customStyle="1" w:styleId="164">
    <w:name w:val="字元164"/>
    <w:rsid w:val="0078100D"/>
    <w:rPr>
      <w:rFonts w:ascii="Cambria" w:eastAsia="新細明體" w:hAnsi="Cambria" w:cs="Times New Roman"/>
      <w:b/>
      <w:bCs/>
      <w:kern w:val="2"/>
      <w:sz w:val="48"/>
      <w:szCs w:val="48"/>
    </w:rPr>
  </w:style>
  <w:style w:type="character" w:customStyle="1" w:styleId="154">
    <w:name w:val="字元154"/>
    <w:rsid w:val="0078100D"/>
    <w:rPr>
      <w:rFonts w:ascii="Cambria" w:eastAsia="新細明體" w:hAnsi="Cambria" w:cs="Times New Roman"/>
      <w:b/>
      <w:bCs/>
      <w:kern w:val="2"/>
      <w:sz w:val="36"/>
      <w:szCs w:val="36"/>
    </w:rPr>
  </w:style>
  <w:style w:type="character" w:customStyle="1" w:styleId="194">
    <w:name w:val="字元194"/>
    <w:rsid w:val="0078100D"/>
    <w:rPr>
      <w:rFonts w:ascii="華康楷書體W5" w:eastAsia="標楷體" w:hAnsi="Times New Roman"/>
      <w:bCs/>
      <w:spacing w:val="20"/>
      <w:kern w:val="2"/>
      <w:sz w:val="28"/>
    </w:rPr>
  </w:style>
  <w:style w:type="paragraph" w:customStyle="1" w:styleId="245">
    <w:name w:val="字元 字元2 字元 字元 字元 字元 字元 字元 字元 字元 字元4"/>
    <w:basedOn w:val="a4"/>
    <w:semiHidden/>
    <w:rsid w:val="0078100D"/>
    <w:pPr>
      <w:spacing w:after="160" w:line="240" w:lineRule="exact"/>
    </w:pPr>
    <w:rPr>
      <w:rFonts w:ascii="Verdana" w:eastAsia="Times New Roman" w:hAnsi="Verdana"/>
      <w:kern w:val="0"/>
      <w:sz w:val="20"/>
      <w:szCs w:val="20"/>
      <w:lang w:eastAsia="en-US"/>
    </w:rPr>
  </w:style>
  <w:style w:type="table" w:customStyle="1" w:styleId="82">
    <w:name w:val="表格格線82"/>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表格格線83"/>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表格格線84"/>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無清單15"/>
    <w:next w:val="a7"/>
    <w:uiPriority w:val="99"/>
    <w:semiHidden/>
    <w:unhideWhenUsed/>
    <w:rsid w:val="0078100D"/>
  </w:style>
  <w:style w:type="table" w:customStyle="1" w:styleId="85">
    <w:name w:val="表格格線85"/>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4">
    <w:name w:val="表格內文(20行高)"/>
    <w:basedOn w:val="a4"/>
    <w:rsid w:val="0078100D"/>
    <w:pPr>
      <w:spacing w:line="400" w:lineRule="exact"/>
    </w:pPr>
    <w:rPr>
      <w:rFonts w:ascii="標楷體" w:eastAsia="標楷體"/>
      <w:snapToGrid w:val="0"/>
      <w:szCs w:val="28"/>
    </w:rPr>
  </w:style>
  <w:style w:type="paragraph" w:customStyle="1" w:styleId="afffffff1">
    <w:name w:val="預算提案用"/>
    <w:basedOn w:val="a4"/>
    <w:link w:val="afffffff2"/>
    <w:qFormat/>
    <w:rsid w:val="0078100D"/>
    <w:pPr>
      <w:spacing w:line="380" w:lineRule="exact"/>
      <w:ind w:leftChars="117" w:left="761" w:hangingChars="200" w:hanging="480"/>
      <w:contextualSpacing/>
      <w:jc w:val="both"/>
    </w:pPr>
    <w:rPr>
      <w:rFonts w:ascii="華康細明體" w:eastAsia="華康細明體"/>
    </w:rPr>
  </w:style>
  <w:style w:type="character" w:customStyle="1" w:styleId="afffffff2">
    <w:name w:val="預算提案用 字元"/>
    <w:link w:val="afffffff1"/>
    <w:rsid w:val="0078100D"/>
    <w:rPr>
      <w:rFonts w:ascii="華康細明體" w:eastAsia="華康細明體" w:hAnsi="Times New Roman" w:cs="Times New Roman"/>
      <w:szCs w:val="24"/>
    </w:rPr>
  </w:style>
  <w:style w:type="paragraph" w:customStyle="1" w:styleId="Default">
    <w:name w:val="Default"/>
    <w:rsid w:val="0078100D"/>
    <w:pPr>
      <w:widowControl w:val="0"/>
      <w:autoSpaceDE w:val="0"/>
      <w:autoSpaceDN w:val="0"/>
      <w:adjustRightInd w:val="0"/>
    </w:pPr>
    <w:rPr>
      <w:rFonts w:ascii="Times New Roman" w:eastAsia="新細明體" w:hAnsi="Times New Roman" w:cs="Times New Roman"/>
      <w:color w:val="000000"/>
      <w:kern w:val="0"/>
      <w:szCs w:val="24"/>
    </w:rPr>
  </w:style>
  <w:style w:type="numbering" w:customStyle="1" w:styleId="162">
    <w:name w:val="無清單16"/>
    <w:next w:val="a7"/>
    <w:uiPriority w:val="99"/>
    <w:semiHidden/>
    <w:unhideWhenUsed/>
    <w:rsid w:val="0078100D"/>
  </w:style>
  <w:style w:type="table" w:customStyle="1" w:styleId="86">
    <w:name w:val="表格格線86"/>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表格格線87"/>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表格格線88"/>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表格格線89"/>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0">
    <w:name w:val="表格格線90"/>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表格格線91"/>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表格格線92"/>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表格格線93"/>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表格格線94"/>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表格格線95"/>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表格格線96"/>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表格格線97"/>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表格格線98"/>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表格格線99"/>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0">
    <w:name w:val="表格格線100"/>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表格格線101"/>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表格格線102"/>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無清單17"/>
    <w:next w:val="a7"/>
    <w:uiPriority w:val="99"/>
    <w:semiHidden/>
    <w:unhideWhenUsed/>
    <w:rsid w:val="0078100D"/>
  </w:style>
  <w:style w:type="table" w:customStyle="1" w:styleId="1030">
    <w:name w:val="表格格線103"/>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表格格線104"/>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表格格線105"/>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表格格線106"/>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表格格線107"/>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表格格線108"/>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表格格線109"/>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表格格線110"/>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無清單18"/>
    <w:next w:val="a7"/>
    <w:uiPriority w:val="99"/>
    <w:semiHidden/>
    <w:unhideWhenUsed/>
    <w:rsid w:val="0078100D"/>
  </w:style>
  <w:style w:type="table" w:customStyle="1" w:styleId="1121">
    <w:name w:val="表格格線112"/>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表格格線113"/>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無清單19"/>
    <w:next w:val="a7"/>
    <w:uiPriority w:val="99"/>
    <w:semiHidden/>
    <w:unhideWhenUsed/>
    <w:rsid w:val="0078100D"/>
  </w:style>
  <w:style w:type="table" w:customStyle="1" w:styleId="1140">
    <w:name w:val="表格格線114"/>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表格格線115"/>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表格格線116"/>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表格格線117"/>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表格格線118"/>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表格格線119"/>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表格格線120"/>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表格格線121"/>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表格格線122"/>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表格格線123"/>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5">
    <w:name w:val="無清單20"/>
    <w:next w:val="a7"/>
    <w:uiPriority w:val="99"/>
    <w:semiHidden/>
    <w:unhideWhenUsed/>
    <w:rsid w:val="0078100D"/>
  </w:style>
  <w:style w:type="table" w:customStyle="1" w:styleId="1240">
    <w:name w:val="表格格線124"/>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表格格線125"/>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表格格線126"/>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表格格線127"/>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表格格線128"/>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表格格線129"/>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表格格線130"/>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表格格線131"/>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表格格線132"/>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表格格線133"/>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表格格線134"/>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無清單22"/>
    <w:next w:val="a7"/>
    <w:uiPriority w:val="99"/>
    <w:semiHidden/>
    <w:unhideWhenUsed/>
    <w:rsid w:val="0078100D"/>
  </w:style>
  <w:style w:type="table" w:customStyle="1" w:styleId="135">
    <w:name w:val="表格格線135"/>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表格格線136"/>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表格格線137"/>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表格格線138"/>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
    <w:name w:val="表格格線139"/>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0">
    <w:name w:val="表格格線140"/>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表格格線141"/>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無清單23"/>
    <w:next w:val="a7"/>
    <w:uiPriority w:val="99"/>
    <w:semiHidden/>
    <w:unhideWhenUsed/>
    <w:rsid w:val="0078100D"/>
  </w:style>
  <w:style w:type="table" w:customStyle="1" w:styleId="1420">
    <w:name w:val="表格格線142"/>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6">
    <w:name w:val="無清單24"/>
    <w:next w:val="a7"/>
    <w:uiPriority w:val="99"/>
    <w:semiHidden/>
    <w:unhideWhenUsed/>
    <w:rsid w:val="0078100D"/>
  </w:style>
  <w:style w:type="table" w:customStyle="1" w:styleId="1430">
    <w:name w:val="表格格線143"/>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表格格線144"/>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0">
    <w:name w:val="表格格線145"/>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表格格線146"/>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0">
    <w:name w:val="表格格線147"/>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0">
    <w:name w:val="表格格線148"/>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0">
    <w:name w:val="表格格線149"/>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0">
    <w:name w:val="表格格線150"/>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無清單25"/>
    <w:next w:val="a7"/>
    <w:uiPriority w:val="99"/>
    <w:semiHidden/>
    <w:unhideWhenUsed/>
    <w:rsid w:val="0078100D"/>
  </w:style>
  <w:style w:type="table" w:customStyle="1" w:styleId="1510">
    <w:name w:val="表格格線151"/>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
    <w:name w:val="無清單26"/>
    <w:next w:val="a7"/>
    <w:uiPriority w:val="99"/>
    <w:semiHidden/>
    <w:unhideWhenUsed/>
    <w:rsid w:val="0078100D"/>
  </w:style>
  <w:style w:type="table" w:customStyle="1" w:styleId="1520">
    <w:name w:val="表格格線152"/>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無清單27"/>
    <w:next w:val="a7"/>
    <w:uiPriority w:val="99"/>
    <w:semiHidden/>
    <w:unhideWhenUsed/>
    <w:rsid w:val="0078100D"/>
  </w:style>
  <w:style w:type="table" w:customStyle="1" w:styleId="153">
    <w:name w:val="表格格線153"/>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
    <w:name w:val="無清單28"/>
    <w:next w:val="a7"/>
    <w:uiPriority w:val="99"/>
    <w:semiHidden/>
    <w:unhideWhenUsed/>
    <w:rsid w:val="0078100D"/>
  </w:style>
  <w:style w:type="table" w:customStyle="1" w:styleId="1540">
    <w:name w:val="表格格線154"/>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表格格線155"/>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表格格線156"/>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
    <w:name w:val="表格格線157"/>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表格格線158"/>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9">
    <w:name w:val="表格格線159"/>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0">
    <w:name w:val="表格格線160"/>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無清單29"/>
    <w:next w:val="a7"/>
    <w:uiPriority w:val="99"/>
    <w:semiHidden/>
    <w:unhideWhenUsed/>
    <w:rsid w:val="0078100D"/>
  </w:style>
  <w:style w:type="table" w:customStyle="1" w:styleId="1610">
    <w:name w:val="表格格線161"/>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表格格線162"/>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表格格線163"/>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0">
    <w:name w:val="表格格線164"/>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表格格線165"/>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表格格線166"/>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表格格線167"/>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
    <w:name w:val="表格格線168"/>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9">
    <w:name w:val="表格格線169"/>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0">
    <w:name w:val="表格格線170"/>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表格格線171"/>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表格格線172"/>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表格格線173"/>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表格格線174"/>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表格格線175"/>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無清單30"/>
    <w:next w:val="a7"/>
    <w:uiPriority w:val="99"/>
    <w:semiHidden/>
    <w:unhideWhenUsed/>
    <w:rsid w:val="0078100D"/>
  </w:style>
  <w:style w:type="table" w:customStyle="1" w:styleId="176">
    <w:name w:val="表格格線176"/>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
    <w:name w:val="表格格線177"/>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8">
    <w:name w:val="表格格線178"/>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9">
    <w:name w:val="表格格線179"/>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0">
    <w:name w:val="表格格線180"/>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表格格線181"/>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表格格線182"/>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表格格線183"/>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表格格線184"/>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
    <w:name w:val="表格格線185"/>
    <w:basedOn w:val="a6"/>
    <w:next w:val="ae"/>
    <w:uiPriority w:val="59"/>
    <w:rsid w:val="0078100D"/>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無清單32"/>
    <w:next w:val="a7"/>
    <w:uiPriority w:val="99"/>
    <w:semiHidden/>
    <w:unhideWhenUsed/>
    <w:rsid w:val="0078100D"/>
  </w:style>
  <w:style w:type="paragraph" w:customStyle="1" w:styleId="Afffffff3">
    <w:name w:val="內文 A"/>
    <w:rsid w:val="0078100D"/>
    <w:pPr>
      <w:widowControl w:val="0"/>
      <w:pBdr>
        <w:top w:val="nil"/>
        <w:left w:val="nil"/>
        <w:bottom w:val="nil"/>
        <w:right w:val="nil"/>
        <w:between w:val="nil"/>
        <w:bar w:val="nil"/>
      </w:pBdr>
    </w:pPr>
    <w:rPr>
      <w:rFonts w:ascii="Arial Unicode MS" w:eastAsia="Times New Roman" w:hAnsi="Arial Unicode MS" w:cs="Arial Unicode MS" w:hint="eastAsia"/>
      <w:color w:val="000000"/>
      <w:szCs w:val="24"/>
      <w:u w:color="000000"/>
      <w:bdr w:val="nil"/>
    </w:rPr>
  </w:style>
  <w:style w:type="table" w:customStyle="1" w:styleId="186">
    <w:name w:val="表格格線186"/>
    <w:basedOn w:val="a6"/>
    <w:next w:val="ae"/>
    <w:uiPriority w:val="59"/>
    <w:rsid w:val="0078100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無清單33"/>
    <w:next w:val="a7"/>
    <w:uiPriority w:val="99"/>
    <w:semiHidden/>
    <w:unhideWhenUsed/>
    <w:rsid w:val="0078100D"/>
  </w:style>
  <w:style w:type="numbering" w:customStyle="1" w:styleId="341">
    <w:name w:val="無清單34"/>
    <w:next w:val="a7"/>
    <w:uiPriority w:val="99"/>
    <w:semiHidden/>
    <w:unhideWhenUsed/>
    <w:rsid w:val="0078100D"/>
  </w:style>
  <w:style w:type="numbering" w:customStyle="1" w:styleId="351">
    <w:name w:val="無清單35"/>
    <w:next w:val="a7"/>
    <w:uiPriority w:val="99"/>
    <w:semiHidden/>
    <w:unhideWhenUsed/>
    <w:rsid w:val="0078100D"/>
  </w:style>
  <w:style w:type="numbering" w:customStyle="1" w:styleId="361">
    <w:name w:val="無清單36"/>
    <w:next w:val="a7"/>
    <w:uiPriority w:val="99"/>
    <w:semiHidden/>
    <w:unhideWhenUsed/>
    <w:rsid w:val="0078100D"/>
  </w:style>
  <w:style w:type="numbering" w:customStyle="1" w:styleId="371">
    <w:name w:val="無清單37"/>
    <w:next w:val="a7"/>
    <w:uiPriority w:val="99"/>
    <w:semiHidden/>
    <w:unhideWhenUsed/>
    <w:rsid w:val="0078100D"/>
  </w:style>
  <w:style w:type="table" w:customStyle="1" w:styleId="187">
    <w:name w:val="表格格線187"/>
    <w:basedOn w:val="a6"/>
    <w:next w:val="ae"/>
    <w:uiPriority w:val="59"/>
    <w:rsid w:val="0078100D"/>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4"/>
    <w:uiPriority w:val="99"/>
    <w:unhideWhenUsed/>
    <w:rsid w:val="0078100D"/>
    <w:pPr>
      <w:spacing w:before="100" w:beforeAutospacing="1" w:after="100" w:afterAutospacing="1"/>
    </w:pPr>
    <w:rPr>
      <w:rFonts w:ascii="新細明體" w:hAnsi="新細明體" w:cs="新細明體"/>
      <w:kern w:val="0"/>
    </w:rPr>
  </w:style>
  <w:style w:type="paragraph" w:customStyle="1" w:styleId="0-">
    <w:name w:val="0-提案(一)"/>
    <w:basedOn w:val="a4"/>
    <w:link w:val="0-0"/>
    <w:qFormat/>
    <w:rsid w:val="0078100D"/>
    <w:pPr>
      <w:snapToGrid w:val="0"/>
      <w:spacing w:line="360" w:lineRule="exact"/>
      <w:ind w:leftChars="200" w:left="1040" w:hangingChars="200" w:hanging="560"/>
      <w:jc w:val="both"/>
    </w:pPr>
    <w:rPr>
      <w:rFonts w:ascii="標楷體" w:eastAsia="標楷體" w:hAnsi="標楷體"/>
      <w:kern w:val="0"/>
      <w:sz w:val="28"/>
      <w:szCs w:val="28"/>
    </w:rPr>
  </w:style>
  <w:style w:type="paragraph" w:customStyle="1" w:styleId="1-10">
    <w:name w:val="1-提案1."/>
    <w:basedOn w:val="a4"/>
    <w:link w:val="1-11"/>
    <w:qFormat/>
    <w:rsid w:val="0078100D"/>
    <w:pPr>
      <w:spacing w:line="360" w:lineRule="exact"/>
      <w:ind w:leftChars="450" w:left="1360" w:hangingChars="100" w:hanging="280"/>
      <w:jc w:val="both"/>
    </w:pPr>
    <w:rPr>
      <w:rFonts w:ascii="標楷體" w:eastAsia="標楷體" w:hAnsi="標楷體"/>
      <w:sz w:val="28"/>
      <w:szCs w:val="28"/>
    </w:rPr>
  </w:style>
  <w:style w:type="character" w:customStyle="1" w:styleId="0-0">
    <w:name w:val="0-提案(一) 字元"/>
    <w:link w:val="0-"/>
    <w:rsid w:val="0078100D"/>
    <w:rPr>
      <w:rFonts w:ascii="標楷體" w:eastAsia="標楷體" w:hAnsi="標楷體" w:cs="Times New Roman"/>
      <w:kern w:val="0"/>
      <w:sz w:val="28"/>
      <w:szCs w:val="28"/>
    </w:rPr>
  </w:style>
  <w:style w:type="paragraph" w:customStyle="1" w:styleId="1-12">
    <w:name w:val="1-提案1.(2段)"/>
    <w:basedOn w:val="a4"/>
    <w:link w:val="1-120"/>
    <w:qFormat/>
    <w:rsid w:val="0078100D"/>
    <w:pPr>
      <w:spacing w:line="360" w:lineRule="exact"/>
      <w:ind w:leftChars="550" w:left="1320" w:firstLineChars="200" w:firstLine="560"/>
      <w:jc w:val="both"/>
    </w:pPr>
    <w:rPr>
      <w:rFonts w:ascii="標楷體" w:eastAsia="標楷體" w:hAnsi="標楷體"/>
      <w:sz w:val="28"/>
      <w:szCs w:val="28"/>
    </w:rPr>
  </w:style>
  <w:style w:type="character" w:customStyle="1" w:styleId="1-11">
    <w:name w:val="1-提案1. 字元"/>
    <w:link w:val="1-10"/>
    <w:rsid w:val="0078100D"/>
    <w:rPr>
      <w:rFonts w:ascii="標楷體" w:eastAsia="標楷體" w:hAnsi="標楷體" w:cs="Times New Roman"/>
      <w:sz w:val="28"/>
      <w:szCs w:val="28"/>
    </w:rPr>
  </w:style>
  <w:style w:type="paragraph" w:customStyle="1" w:styleId="0-2">
    <w:name w:val="0-提案(一)(2段)"/>
    <w:basedOn w:val="0-"/>
    <w:link w:val="0-20"/>
    <w:qFormat/>
    <w:rsid w:val="0078100D"/>
    <w:pPr>
      <w:ind w:leftChars="450" w:left="1080" w:firstLineChars="200" w:firstLine="560"/>
    </w:pPr>
  </w:style>
  <w:style w:type="character" w:customStyle="1" w:styleId="1-120">
    <w:name w:val="1-提案1.(2段) 字元"/>
    <w:link w:val="1-12"/>
    <w:rsid w:val="0078100D"/>
    <w:rPr>
      <w:rFonts w:ascii="標楷體" w:eastAsia="標楷體" w:hAnsi="標楷體" w:cs="Times New Roman"/>
      <w:sz w:val="28"/>
      <w:szCs w:val="28"/>
    </w:rPr>
  </w:style>
  <w:style w:type="paragraph" w:customStyle="1" w:styleId="2-1">
    <w:name w:val="2-提案人1"/>
    <w:basedOn w:val="a4"/>
    <w:link w:val="2-10"/>
    <w:qFormat/>
    <w:rsid w:val="0078100D"/>
    <w:pPr>
      <w:spacing w:line="360" w:lineRule="exact"/>
      <w:ind w:leftChars="1441" w:left="4704" w:hangingChars="445" w:hanging="1246"/>
      <w:jc w:val="both"/>
    </w:pPr>
    <w:rPr>
      <w:rFonts w:ascii="標楷體" w:eastAsia="標楷體" w:hAnsi="標楷體"/>
      <w:sz w:val="28"/>
      <w:szCs w:val="28"/>
    </w:rPr>
  </w:style>
  <w:style w:type="character" w:customStyle="1" w:styleId="0-20">
    <w:name w:val="0-提案(一)(2段) 字元"/>
    <w:link w:val="0-2"/>
    <w:rsid w:val="0078100D"/>
    <w:rPr>
      <w:rFonts w:ascii="標楷體" w:eastAsia="標楷體" w:hAnsi="標楷體" w:cs="Times New Roman"/>
      <w:kern w:val="0"/>
      <w:sz w:val="28"/>
      <w:szCs w:val="28"/>
    </w:rPr>
  </w:style>
  <w:style w:type="paragraph" w:customStyle="1" w:styleId="2-2">
    <w:name w:val="2-提案人2"/>
    <w:basedOn w:val="a4"/>
    <w:link w:val="2-20"/>
    <w:qFormat/>
    <w:rsid w:val="0078100D"/>
    <w:pPr>
      <w:spacing w:line="360" w:lineRule="exact"/>
      <w:ind w:leftChars="1884" w:left="4704" w:hangingChars="65" w:hanging="182"/>
      <w:jc w:val="both"/>
    </w:pPr>
    <w:rPr>
      <w:rFonts w:ascii="標楷體" w:eastAsia="標楷體" w:hAnsi="標楷體"/>
      <w:sz w:val="28"/>
      <w:szCs w:val="28"/>
    </w:rPr>
  </w:style>
  <w:style w:type="character" w:customStyle="1" w:styleId="2-10">
    <w:name w:val="2-提案人1 字元"/>
    <w:link w:val="2-1"/>
    <w:rsid w:val="0078100D"/>
    <w:rPr>
      <w:rFonts w:ascii="標楷體" w:eastAsia="標楷體" w:hAnsi="標楷體" w:cs="Times New Roman"/>
      <w:sz w:val="28"/>
      <w:szCs w:val="28"/>
    </w:rPr>
  </w:style>
  <w:style w:type="character" w:customStyle="1" w:styleId="2-20">
    <w:name w:val="2-提案人2 字元"/>
    <w:link w:val="2-2"/>
    <w:rsid w:val="0078100D"/>
    <w:rPr>
      <w:rFonts w:ascii="標楷體" w:eastAsia="標楷體" w:hAnsi="標楷體" w:cs="Times New Roman"/>
      <w:sz w:val="28"/>
      <w:szCs w:val="28"/>
    </w:rPr>
  </w:style>
  <w:style w:type="paragraph" w:customStyle="1" w:styleId="3-">
    <w:name w:val="3-款"/>
    <w:basedOn w:val="a4"/>
    <w:link w:val="3-0"/>
    <w:qFormat/>
    <w:rsid w:val="0078100D"/>
    <w:pPr>
      <w:spacing w:line="360" w:lineRule="exact"/>
      <w:ind w:leftChars="100" w:left="100"/>
      <w:jc w:val="both"/>
    </w:pPr>
    <w:rPr>
      <w:rFonts w:ascii="標楷體" w:eastAsia="標楷體" w:hAnsi="標楷體"/>
      <w:sz w:val="28"/>
      <w:szCs w:val="28"/>
    </w:rPr>
  </w:style>
  <w:style w:type="character" w:customStyle="1" w:styleId="3-0">
    <w:name w:val="3-款 字元"/>
    <w:link w:val="3-"/>
    <w:rsid w:val="0078100D"/>
    <w:rPr>
      <w:rFonts w:ascii="標楷體" w:eastAsia="標楷體" w:hAnsi="標楷體" w:cs="Times New Roman"/>
      <w:sz w:val="28"/>
      <w:szCs w:val="28"/>
    </w:rPr>
  </w:style>
  <w:style w:type="paragraph" w:customStyle="1" w:styleId="3-1">
    <w:name w:val="3-項"/>
    <w:basedOn w:val="a4"/>
    <w:link w:val="3-2"/>
    <w:qFormat/>
    <w:rsid w:val="0078100D"/>
    <w:pPr>
      <w:spacing w:line="360" w:lineRule="exact"/>
      <w:ind w:leftChars="200" w:left="200" w:hangingChars="400" w:hanging="403"/>
      <w:jc w:val="both"/>
    </w:pPr>
    <w:rPr>
      <w:rFonts w:ascii="標楷體" w:eastAsia="標楷體" w:hAnsi="標楷體"/>
      <w:sz w:val="28"/>
      <w:szCs w:val="28"/>
    </w:rPr>
  </w:style>
  <w:style w:type="character" w:customStyle="1" w:styleId="3-2">
    <w:name w:val="3-項 字元"/>
    <w:link w:val="3-1"/>
    <w:rsid w:val="0078100D"/>
    <w:rPr>
      <w:rFonts w:ascii="標楷體" w:eastAsia="標楷體" w:hAnsi="標楷體" w:cs="Times New Roman"/>
      <w:sz w:val="28"/>
      <w:szCs w:val="28"/>
    </w:rPr>
  </w:style>
  <w:style w:type="paragraph" w:customStyle="1" w:styleId="4-">
    <w:name w:val="4-非(一)"/>
    <w:basedOn w:val="a4"/>
    <w:link w:val="4-0"/>
    <w:qFormat/>
    <w:rsid w:val="0078100D"/>
    <w:pPr>
      <w:spacing w:line="360" w:lineRule="exact"/>
      <w:ind w:leftChars="200" w:left="200" w:hangingChars="200" w:hanging="561"/>
      <w:jc w:val="both"/>
    </w:pPr>
    <w:rPr>
      <w:rFonts w:ascii="標楷體" w:eastAsia="標楷體" w:hAnsi="標楷體"/>
      <w:color w:val="000000"/>
      <w:sz w:val="28"/>
      <w:szCs w:val="28"/>
    </w:rPr>
  </w:style>
  <w:style w:type="paragraph" w:customStyle="1" w:styleId="4-1">
    <w:name w:val="4-非1."/>
    <w:basedOn w:val="a4"/>
    <w:link w:val="4-10"/>
    <w:qFormat/>
    <w:rsid w:val="0078100D"/>
    <w:pPr>
      <w:spacing w:line="360" w:lineRule="exact"/>
      <w:ind w:leftChars="450" w:left="1360" w:hangingChars="100" w:hanging="280"/>
      <w:jc w:val="both"/>
    </w:pPr>
    <w:rPr>
      <w:rFonts w:ascii="標楷體" w:eastAsia="標楷體" w:hAnsi="標楷體"/>
      <w:sz w:val="28"/>
      <w:szCs w:val="28"/>
    </w:rPr>
  </w:style>
  <w:style w:type="character" w:customStyle="1" w:styleId="4-0">
    <w:name w:val="4-非(一) 字元"/>
    <w:link w:val="4-"/>
    <w:rsid w:val="0078100D"/>
    <w:rPr>
      <w:rFonts w:ascii="標楷體" w:eastAsia="標楷體" w:hAnsi="標楷體" w:cs="Times New Roman"/>
      <w:color w:val="000000"/>
      <w:sz w:val="28"/>
      <w:szCs w:val="28"/>
    </w:rPr>
  </w:style>
  <w:style w:type="paragraph" w:customStyle="1" w:styleId="412">
    <w:name w:val="4.非1.(2段)"/>
    <w:basedOn w:val="4-1"/>
    <w:link w:val="4120"/>
    <w:qFormat/>
    <w:rsid w:val="0078100D"/>
    <w:pPr>
      <w:ind w:leftChars="550" w:left="1320" w:firstLineChars="200" w:firstLine="560"/>
    </w:pPr>
  </w:style>
  <w:style w:type="character" w:customStyle="1" w:styleId="4-10">
    <w:name w:val="4-非1. 字元"/>
    <w:link w:val="4-1"/>
    <w:rsid w:val="0078100D"/>
    <w:rPr>
      <w:rFonts w:ascii="標楷體" w:eastAsia="標楷體" w:hAnsi="標楷體" w:cs="Times New Roman"/>
      <w:sz w:val="28"/>
      <w:szCs w:val="28"/>
    </w:rPr>
  </w:style>
  <w:style w:type="paragraph" w:customStyle="1" w:styleId="4-11">
    <w:name w:val="4-非(1)"/>
    <w:basedOn w:val="a4"/>
    <w:link w:val="4-12"/>
    <w:qFormat/>
    <w:rsid w:val="0078100D"/>
    <w:pPr>
      <w:kinsoku w:val="0"/>
      <w:overflowPunct w:val="0"/>
      <w:spacing w:line="360" w:lineRule="exact"/>
      <w:ind w:leftChars="600" w:left="1860" w:hangingChars="150" w:hanging="420"/>
      <w:jc w:val="both"/>
    </w:pPr>
    <w:rPr>
      <w:rFonts w:ascii="標楷體" w:eastAsia="標楷體" w:hAnsi="標楷體"/>
      <w:sz w:val="28"/>
      <w:szCs w:val="28"/>
    </w:rPr>
  </w:style>
  <w:style w:type="character" w:customStyle="1" w:styleId="4120">
    <w:name w:val="4.非1.(2段) 字元"/>
    <w:link w:val="412"/>
    <w:rsid w:val="0078100D"/>
    <w:rPr>
      <w:rFonts w:ascii="標楷體" w:eastAsia="標楷體" w:hAnsi="標楷體" w:cs="Times New Roman"/>
      <w:sz w:val="28"/>
      <w:szCs w:val="28"/>
    </w:rPr>
  </w:style>
  <w:style w:type="paragraph" w:customStyle="1" w:styleId="4-120">
    <w:name w:val="4-非(1)(2段)"/>
    <w:basedOn w:val="a4"/>
    <w:link w:val="4-121"/>
    <w:qFormat/>
    <w:rsid w:val="0078100D"/>
    <w:pPr>
      <w:kinsoku w:val="0"/>
      <w:overflowPunct w:val="0"/>
      <w:spacing w:line="360" w:lineRule="exact"/>
      <w:ind w:leftChars="800" w:left="1920" w:firstLineChars="200" w:firstLine="560"/>
      <w:jc w:val="both"/>
    </w:pPr>
    <w:rPr>
      <w:rFonts w:ascii="標楷體" w:eastAsia="標楷體" w:hAnsi="標楷體"/>
      <w:sz w:val="28"/>
      <w:szCs w:val="28"/>
    </w:rPr>
  </w:style>
  <w:style w:type="character" w:customStyle="1" w:styleId="4-12">
    <w:name w:val="4-非(1) 字元"/>
    <w:link w:val="4-11"/>
    <w:rsid w:val="0078100D"/>
    <w:rPr>
      <w:rFonts w:ascii="標楷體" w:eastAsia="標楷體" w:hAnsi="標楷體" w:cs="Times New Roman"/>
      <w:sz w:val="28"/>
      <w:szCs w:val="28"/>
    </w:rPr>
  </w:style>
  <w:style w:type="character" w:customStyle="1" w:styleId="4-121">
    <w:name w:val="4-非(1)(2段) 字元"/>
    <w:link w:val="4-120"/>
    <w:rsid w:val="0078100D"/>
    <w:rPr>
      <w:rFonts w:ascii="標楷體" w:eastAsia="標楷體" w:hAnsi="標楷體" w:cs="Times New Roman"/>
      <w:sz w:val="28"/>
      <w:szCs w:val="28"/>
    </w:rPr>
  </w:style>
  <w:style w:type="table" w:customStyle="1" w:styleId="188">
    <w:name w:val="表格格線188"/>
    <w:basedOn w:val="a6"/>
    <w:next w:val="ae"/>
    <w:uiPriority w:val="59"/>
    <w:rsid w:val="0078100D"/>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9">
    <w:name w:val="表格格線189"/>
    <w:basedOn w:val="a6"/>
    <w:next w:val="ae"/>
    <w:uiPriority w:val="59"/>
    <w:rsid w:val="0078100D"/>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會議紀錄--標題壹"/>
    <w:basedOn w:val="affe"/>
    <w:link w:val="--0"/>
    <w:qFormat/>
    <w:rsid w:val="0078100D"/>
    <w:pPr>
      <w:numPr>
        <w:numId w:val="11"/>
      </w:numPr>
      <w:spacing w:line="520" w:lineRule="exact"/>
      <w:ind w:leftChars="0" w:left="0" w:firstLine="0"/>
      <w:jc w:val="both"/>
      <w:textDirection w:val="lrTbV"/>
    </w:pPr>
    <w:rPr>
      <w:rFonts w:ascii="標楷體" w:eastAsia="標楷體" w:hAnsi="標楷體"/>
      <w:b/>
      <w:spacing w:val="20"/>
      <w:sz w:val="32"/>
      <w:szCs w:val="32"/>
    </w:rPr>
  </w:style>
  <w:style w:type="character" w:customStyle="1" w:styleId="--0">
    <w:name w:val="會議紀錄--標題壹 字元"/>
    <w:link w:val="--"/>
    <w:rsid w:val="0078100D"/>
    <w:rPr>
      <w:rFonts w:ascii="標楷體" w:eastAsia="標楷體" w:hAnsi="標楷體" w:cs="Times New Roman"/>
      <w:b/>
      <w:spacing w:val="20"/>
      <w:sz w:val="32"/>
      <w:szCs w:val="32"/>
    </w:rPr>
  </w:style>
  <w:style w:type="paragraph" w:customStyle="1" w:styleId="0-1">
    <w:name w:val="0-左右對齊"/>
    <w:basedOn w:val="a4"/>
    <w:link w:val="0-3"/>
    <w:qFormat/>
    <w:rsid w:val="0078100D"/>
    <w:pPr>
      <w:kinsoku w:val="0"/>
      <w:overflowPunct w:val="0"/>
      <w:spacing w:line="300" w:lineRule="exact"/>
      <w:jc w:val="both"/>
    </w:pPr>
    <w:rPr>
      <w:rFonts w:ascii="標楷體" w:eastAsia="標楷體" w:hAnsi="標楷體"/>
      <w:color w:val="000000"/>
      <w:kern w:val="0"/>
    </w:rPr>
  </w:style>
  <w:style w:type="paragraph" w:customStyle="1" w:styleId="14b">
    <w:name w:val="1樣式4"/>
    <w:basedOn w:val="a4"/>
    <w:link w:val="14c"/>
    <w:qFormat/>
    <w:rsid w:val="0078100D"/>
    <w:pPr>
      <w:kinsoku w:val="0"/>
      <w:spacing w:line="260" w:lineRule="exact"/>
    </w:pPr>
    <w:rPr>
      <w:rFonts w:ascii="標楷體" w:eastAsia="標楷體" w:hAnsi="標楷體"/>
    </w:rPr>
  </w:style>
  <w:style w:type="character" w:customStyle="1" w:styleId="0-3">
    <w:name w:val="0-左右對齊 字元"/>
    <w:link w:val="0-1"/>
    <w:rsid w:val="0078100D"/>
    <w:rPr>
      <w:rFonts w:ascii="標楷體" w:eastAsia="標楷體" w:hAnsi="標楷體" w:cs="Times New Roman"/>
      <w:color w:val="000000"/>
      <w:kern w:val="0"/>
      <w:szCs w:val="24"/>
    </w:rPr>
  </w:style>
  <w:style w:type="paragraph" w:customStyle="1" w:styleId="04">
    <w:name w:val="0樣式4"/>
    <w:basedOn w:val="a4"/>
    <w:link w:val="040"/>
    <w:qFormat/>
    <w:rsid w:val="0078100D"/>
    <w:pPr>
      <w:kinsoku w:val="0"/>
      <w:adjustRightInd w:val="0"/>
      <w:snapToGrid w:val="0"/>
      <w:spacing w:line="260" w:lineRule="exact"/>
    </w:pPr>
    <w:rPr>
      <w:rFonts w:ascii="標楷體" w:eastAsia="標楷體" w:hAnsi="標楷體"/>
      <w:color w:val="000000"/>
    </w:rPr>
  </w:style>
  <w:style w:type="character" w:customStyle="1" w:styleId="14c">
    <w:name w:val="1樣式4 字元"/>
    <w:link w:val="14b"/>
    <w:rsid w:val="0078100D"/>
    <w:rPr>
      <w:rFonts w:ascii="標楷體" w:eastAsia="標楷體" w:hAnsi="標楷體" w:cs="Times New Roman"/>
      <w:szCs w:val="24"/>
    </w:rPr>
  </w:style>
  <w:style w:type="numbering" w:customStyle="1" w:styleId="381">
    <w:name w:val="無清單38"/>
    <w:next w:val="a7"/>
    <w:uiPriority w:val="99"/>
    <w:semiHidden/>
    <w:unhideWhenUsed/>
    <w:rsid w:val="0078100D"/>
  </w:style>
  <w:style w:type="character" w:customStyle="1" w:styleId="040">
    <w:name w:val="0樣式4 字元"/>
    <w:link w:val="04"/>
    <w:rsid w:val="0078100D"/>
    <w:rPr>
      <w:rFonts w:ascii="標楷體" w:eastAsia="標楷體" w:hAnsi="標楷體" w:cs="Times New Roman"/>
      <w:color w:val="000000"/>
      <w:szCs w:val="24"/>
    </w:rPr>
  </w:style>
  <w:style w:type="character" w:customStyle="1" w:styleId="1c">
    <w:name w:val="未解析的提及1"/>
    <w:basedOn w:val="a5"/>
    <w:uiPriority w:val="99"/>
    <w:semiHidden/>
    <w:unhideWhenUsed/>
    <w:rsid w:val="002826CA"/>
    <w:rPr>
      <w:color w:val="605E5C"/>
      <w:shd w:val="clear" w:color="auto" w:fill="E1DFDD"/>
    </w:rPr>
  </w:style>
  <w:style w:type="character" w:customStyle="1" w:styleId="90">
    <w:name w:val="標題 9 字元"/>
    <w:basedOn w:val="a5"/>
    <w:link w:val="9"/>
    <w:uiPriority w:val="9"/>
    <w:semiHidden/>
    <w:rsid w:val="001949A3"/>
    <w:rPr>
      <w:rFonts w:asciiTheme="majorHAnsi" w:eastAsiaTheme="majorEastAsia" w:hAnsiTheme="majorHAnsi" w:cstheme="majorBidi"/>
      <w:sz w:val="36"/>
      <w:szCs w:val="36"/>
    </w:rPr>
  </w:style>
  <w:style w:type="paragraph" w:customStyle="1" w:styleId="232">
    <w:name w:val="字元 字元2 字元 字元 字元3"/>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47">
    <w:name w:val="字元 字元2 字元 字元 字元 字元 字元4"/>
    <w:basedOn w:val="a4"/>
    <w:semiHidden/>
    <w:rsid w:val="001949A3"/>
    <w:pPr>
      <w:spacing w:after="160" w:line="240" w:lineRule="exact"/>
    </w:pPr>
    <w:rPr>
      <w:rFonts w:ascii="Verdana" w:hAnsi="Verdana" w:cs="Verdana"/>
      <w:kern w:val="0"/>
      <w:sz w:val="20"/>
      <w:szCs w:val="20"/>
      <w:lang w:eastAsia="en-US"/>
    </w:rPr>
  </w:style>
  <w:style w:type="paragraph" w:customStyle="1" w:styleId="4a">
    <w:name w:val="字元 字元4"/>
    <w:basedOn w:val="a4"/>
    <w:semiHidden/>
    <w:rsid w:val="001949A3"/>
    <w:pPr>
      <w:spacing w:after="160" w:line="240" w:lineRule="exact"/>
    </w:pPr>
    <w:rPr>
      <w:rFonts w:ascii="Tahoma" w:hAnsi="Tahoma" w:cs="Tahoma"/>
      <w:kern w:val="0"/>
      <w:sz w:val="20"/>
      <w:szCs w:val="20"/>
      <w:lang w:eastAsia="en-US"/>
    </w:rPr>
  </w:style>
  <w:style w:type="paragraph" w:customStyle="1" w:styleId="4b">
    <w:name w:val="字元 字元 字元4"/>
    <w:basedOn w:val="a4"/>
    <w:semiHidden/>
    <w:rsid w:val="001949A3"/>
    <w:pPr>
      <w:spacing w:after="160" w:line="240" w:lineRule="exact"/>
    </w:pPr>
    <w:rPr>
      <w:rFonts w:ascii="Tahoma" w:hAnsi="Tahoma" w:cs="Tahoma"/>
      <w:kern w:val="0"/>
      <w:sz w:val="20"/>
      <w:szCs w:val="20"/>
      <w:lang w:eastAsia="en-US"/>
    </w:rPr>
  </w:style>
  <w:style w:type="paragraph" w:customStyle="1" w:styleId="233">
    <w:name w:val="字元 字元2 字元 字元 字元 字元 字元 字元 字元3"/>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48">
    <w:name w:val="字元 字元2 字元 字元 字元 字元 字元 字元 字元 字元4"/>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34">
    <w:name w:val="字元 字元2 字元 字元 字元 字元 字元 字元 字元 字元 字元 字元3"/>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35">
    <w:name w:val="字元 字元2 字元 字元 字元 字元 字元 字元3"/>
    <w:basedOn w:val="a4"/>
    <w:semiHidden/>
    <w:rsid w:val="001949A3"/>
    <w:pPr>
      <w:spacing w:after="160" w:line="240" w:lineRule="exact"/>
    </w:pPr>
    <w:rPr>
      <w:rFonts w:ascii="Verdana" w:eastAsia="Times New Roman" w:hAnsi="Verdana"/>
      <w:kern w:val="0"/>
      <w:sz w:val="20"/>
      <w:szCs w:val="20"/>
      <w:lang w:eastAsia="en-US"/>
    </w:rPr>
  </w:style>
  <w:style w:type="paragraph" w:customStyle="1" w:styleId="13a">
    <w:name w:val="字元 字元13"/>
    <w:basedOn w:val="a4"/>
    <w:semiHidden/>
    <w:rsid w:val="001949A3"/>
    <w:pPr>
      <w:spacing w:after="160" w:line="240" w:lineRule="exact"/>
    </w:pPr>
    <w:rPr>
      <w:rFonts w:ascii="Verdana" w:eastAsia="Times New Roman" w:hAnsi="Verdana" w:cs="Mangal"/>
      <w:sz w:val="20"/>
      <w:lang w:eastAsia="en-US" w:bidi="hi-IN"/>
    </w:rPr>
  </w:style>
  <w:style w:type="character" w:customStyle="1" w:styleId="631">
    <w:name w:val="字元6 字元3"/>
    <w:semiHidden/>
    <w:rsid w:val="001949A3"/>
    <w:rPr>
      <w:rFonts w:ascii="Cambria" w:eastAsia="新細明體" w:hAnsi="Cambria" w:cs="Times New Roman"/>
      <w:b/>
      <w:bCs/>
      <w:sz w:val="48"/>
      <w:szCs w:val="48"/>
    </w:rPr>
  </w:style>
  <w:style w:type="character" w:customStyle="1" w:styleId="431">
    <w:name w:val="字元4 字元3"/>
    <w:rsid w:val="001949A3"/>
    <w:rPr>
      <w:kern w:val="2"/>
    </w:rPr>
  </w:style>
  <w:style w:type="character" w:customStyle="1" w:styleId="731">
    <w:name w:val="字元7 字元3"/>
    <w:rsid w:val="001949A3"/>
    <w:rPr>
      <w:rFonts w:ascii="Cambria" w:eastAsia="新細明體" w:hAnsi="Cambria" w:cs="Times New Roman"/>
      <w:b/>
      <w:bCs/>
      <w:kern w:val="52"/>
      <w:sz w:val="52"/>
      <w:szCs w:val="52"/>
    </w:rPr>
  </w:style>
  <w:style w:type="character" w:customStyle="1" w:styleId="531">
    <w:name w:val="字元5 字元3"/>
    <w:semiHidden/>
    <w:rsid w:val="001949A3"/>
    <w:rPr>
      <w:rFonts w:ascii="Cambria" w:eastAsia="新細明體" w:hAnsi="Cambria" w:cs="Times New Roman"/>
      <w:b/>
      <w:bCs/>
      <w:kern w:val="2"/>
      <w:sz w:val="36"/>
      <w:szCs w:val="36"/>
    </w:rPr>
  </w:style>
  <w:style w:type="character" w:customStyle="1" w:styleId="1431">
    <w:name w:val="字元143"/>
    <w:rsid w:val="001949A3"/>
    <w:rPr>
      <w:rFonts w:ascii="Times New Roman" w:eastAsia="標楷體" w:hAnsi="Times New Roman" w:cs="Times New Roman"/>
      <w:sz w:val="20"/>
      <w:szCs w:val="20"/>
    </w:rPr>
  </w:style>
  <w:style w:type="character" w:customStyle="1" w:styleId="1330">
    <w:name w:val="字元133"/>
    <w:rsid w:val="001949A3"/>
    <w:rPr>
      <w:rFonts w:ascii="Times New Roman" w:eastAsia="標楷體" w:hAnsi="Times New Roman" w:cs="Times New Roman"/>
      <w:sz w:val="20"/>
      <w:szCs w:val="20"/>
    </w:rPr>
  </w:style>
  <w:style w:type="character" w:customStyle="1" w:styleId="1231">
    <w:name w:val="字元123"/>
    <w:rsid w:val="001949A3"/>
    <w:rPr>
      <w:rFonts w:ascii="Times New Roman" w:eastAsia="標楷體" w:hAnsi="Times New Roman" w:cs="Times New Roman"/>
      <w:sz w:val="28"/>
    </w:rPr>
  </w:style>
  <w:style w:type="character" w:customStyle="1" w:styleId="1131">
    <w:name w:val="字元113"/>
    <w:semiHidden/>
    <w:rsid w:val="001949A3"/>
    <w:rPr>
      <w:rFonts w:ascii="Times New Roman" w:eastAsia="標楷體" w:hAnsi="Times New Roman" w:cs="Times New Roman"/>
      <w:b/>
      <w:bCs/>
      <w:sz w:val="28"/>
    </w:rPr>
  </w:style>
  <w:style w:type="character" w:customStyle="1" w:styleId="1031">
    <w:name w:val="字元103"/>
    <w:rsid w:val="001949A3"/>
    <w:rPr>
      <w:rFonts w:ascii="Cambria" w:eastAsia="新細明體" w:hAnsi="Cambria" w:cs="Times New Roman"/>
      <w:sz w:val="18"/>
      <w:szCs w:val="18"/>
    </w:rPr>
  </w:style>
  <w:style w:type="character" w:customStyle="1" w:styleId="2130">
    <w:name w:val="字元213"/>
    <w:rsid w:val="001949A3"/>
    <w:rPr>
      <w:rFonts w:ascii="新細明體" w:hAnsi="Times New Roman"/>
      <w:kern w:val="2"/>
      <w:sz w:val="18"/>
      <w:szCs w:val="18"/>
    </w:rPr>
  </w:style>
  <w:style w:type="character" w:customStyle="1" w:styleId="1730">
    <w:name w:val="字元173"/>
    <w:rsid w:val="001949A3"/>
    <w:rPr>
      <w:rFonts w:ascii="Cambria" w:eastAsia="新細明體" w:hAnsi="Cambria" w:cs="Times New Roman"/>
      <w:b/>
      <w:bCs/>
      <w:kern w:val="52"/>
      <w:sz w:val="52"/>
      <w:szCs w:val="52"/>
    </w:rPr>
  </w:style>
  <w:style w:type="character" w:customStyle="1" w:styleId="1630">
    <w:name w:val="字元163"/>
    <w:rsid w:val="001949A3"/>
    <w:rPr>
      <w:rFonts w:ascii="Cambria" w:eastAsia="新細明體" w:hAnsi="Cambria" w:cs="Times New Roman"/>
      <w:b/>
      <w:bCs/>
      <w:kern w:val="2"/>
      <w:sz w:val="48"/>
      <w:szCs w:val="48"/>
    </w:rPr>
  </w:style>
  <w:style w:type="character" w:customStyle="1" w:styleId="1530">
    <w:name w:val="字元153"/>
    <w:rsid w:val="001949A3"/>
    <w:rPr>
      <w:rFonts w:ascii="Cambria" w:eastAsia="新細明體" w:hAnsi="Cambria" w:cs="Times New Roman"/>
      <w:b/>
      <w:bCs/>
      <w:kern w:val="2"/>
      <w:sz w:val="36"/>
      <w:szCs w:val="36"/>
    </w:rPr>
  </w:style>
  <w:style w:type="character" w:customStyle="1" w:styleId="193">
    <w:name w:val="字元193"/>
    <w:rsid w:val="001949A3"/>
    <w:rPr>
      <w:rFonts w:ascii="華康楷書體W5" w:eastAsia="標楷體" w:hAnsi="Times New Roman"/>
      <w:bCs/>
      <w:spacing w:val="20"/>
      <w:kern w:val="2"/>
      <w:sz w:val="28"/>
    </w:rPr>
  </w:style>
  <w:style w:type="paragraph" w:customStyle="1" w:styleId="236">
    <w:name w:val="字元 字元2 字元 字元 字元 字元 字元 字元 字元 字元 字元3"/>
    <w:basedOn w:val="a4"/>
    <w:semiHidden/>
    <w:rsid w:val="001949A3"/>
    <w:pPr>
      <w:spacing w:after="160" w:line="240" w:lineRule="exact"/>
    </w:pPr>
    <w:rPr>
      <w:rFonts w:ascii="Verdana" w:eastAsia="Times New Roman" w:hAnsi="Verdana"/>
      <w:kern w:val="0"/>
      <w:sz w:val="20"/>
      <w:szCs w:val="20"/>
      <w:lang w:eastAsia="en-US"/>
    </w:rPr>
  </w:style>
  <w:style w:type="paragraph" w:customStyle="1" w:styleId="afffffff4">
    <w:name w:val="欄位"/>
    <w:basedOn w:val="a4"/>
    <w:rsid w:val="001949A3"/>
    <w:pPr>
      <w:adjustRightInd w:val="0"/>
      <w:spacing w:line="360" w:lineRule="atLeast"/>
      <w:ind w:right="284" w:firstLine="284"/>
      <w:jc w:val="distribute"/>
      <w:textAlignment w:val="baseline"/>
    </w:pPr>
    <w:rPr>
      <w:rFonts w:eastAsia="標楷體"/>
      <w:color w:val="FF0000"/>
      <w:kern w:val="0"/>
      <w:sz w:val="32"/>
      <w:szCs w:val="20"/>
    </w:rPr>
  </w:style>
  <w:style w:type="paragraph" w:styleId="afffffff5">
    <w:name w:val="No Spacing"/>
    <w:uiPriority w:val="1"/>
    <w:qFormat/>
    <w:rsid w:val="001949A3"/>
    <w:pPr>
      <w:widowControl w:val="0"/>
    </w:pPr>
  </w:style>
  <w:style w:type="paragraph" w:customStyle="1" w:styleId="01">
    <w:name w:val="01待審"/>
    <w:basedOn w:val="a4"/>
    <w:link w:val="010"/>
    <w:qFormat/>
    <w:rsid w:val="001949A3"/>
    <w:pPr>
      <w:spacing w:line="360" w:lineRule="exact"/>
      <w:jc w:val="both"/>
    </w:pPr>
    <w:rPr>
      <w:rFonts w:ascii="標楷體" w:eastAsia="標楷體" w:hAnsiTheme="minorHAnsi" w:cstheme="minorBidi"/>
      <w:sz w:val="28"/>
      <w:szCs w:val="22"/>
    </w:rPr>
  </w:style>
  <w:style w:type="character" w:customStyle="1" w:styleId="010">
    <w:name w:val="01待審 字元"/>
    <w:basedOn w:val="a5"/>
    <w:link w:val="01"/>
    <w:rsid w:val="001949A3"/>
    <w:rPr>
      <w:rFonts w:ascii="標楷體" w:eastAsia="標楷體"/>
      <w:sz w:val="28"/>
    </w:rPr>
  </w:style>
  <w:style w:type="paragraph" w:customStyle="1" w:styleId="afffffff6">
    <w:name w:val="審查情形"/>
    <w:basedOn w:val="a4"/>
    <w:qFormat/>
    <w:rsid w:val="001949A3"/>
    <w:pPr>
      <w:kinsoku w:val="0"/>
      <w:wordWrap w:val="0"/>
      <w:adjustRightInd w:val="0"/>
      <w:snapToGrid w:val="0"/>
      <w:spacing w:line="300" w:lineRule="exact"/>
      <w:ind w:left="240" w:hangingChars="100" w:hanging="240"/>
      <w:jc w:val="both"/>
    </w:pPr>
    <w:rPr>
      <w:rFonts w:ascii="標楷體" w:eastAsia="標楷體" w:hAnsi="標楷體"/>
      <w:color w:val="000000"/>
      <w:kern w:val="0"/>
    </w:rPr>
  </w:style>
  <w:style w:type="paragraph" w:customStyle="1" w:styleId="5a">
    <w:name w:val="字元 字元5 字元 字元 字元 字元 字元 字元"/>
    <w:basedOn w:val="a4"/>
    <w:semiHidden/>
    <w:rsid w:val="001949A3"/>
    <w:pPr>
      <w:spacing w:after="160" w:line="240" w:lineRule="exact"/>
    </w:pPr>
    <w:rPr>
      <w:rFonts w:ascii="Tahoma" w:hAnsi="Tahoma" w:cs="Tahoma"/>
      <w:kern w:val="0"/>
      <w:sz w:val="20"/>
      <w:szCs w:val="20"/>
      <w:lang w:eastAsia="en-US"/>
    </w:rPr>
  </w:style>
  <w:style w:type="table" w:customStyle="1" w:styleId="1900">
    <w:name w:val="表格格線190"/>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表格格線191"/>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表格格線192"/>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0">
    <w:name w:val="表格格線193"/>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0">
    <w:name w:val="表格格線194"/>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5">
    <w:name w:val="表格格線195"/>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
    <w:name w:val="表格格線196"/>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7">
    <w:name w:val="表格格線197"/>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8">
    <w:name w:val="表格格線198"/>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9">
    <w:name w:val="表格格線199"/>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0">
    <w:name w:val="表格格線200"/>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表格格線201"/>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表格格線202"/>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0">
    <w:name w:val="表格格線203"/>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無清單39"/>
    <w:next w:val="a7"/>
    <w:uiPriority w:val="99"/>
    <w:semiHidden/>
    <w:unhideWhenUsed/>
    <w:rsid w:val="001949A3"/>
  </w:style>
  <w:style w:type="table" w:customStyle="1" w:styleId="2040">
    <w:name w:val="表格格線204"/>
    <w:basedOn w:val="a6"/>
    <w:next w:val="ae"/>
    <w:uiPriority w:val="59"/>
    <w:rsid w:val="00194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4"/>
    <w:rsid w:val="001949A3"/>
    <w:pPr>
      <w:spacing w:before="100" w:beforeAutospacing="1" w:after="100" w:afterAutospacing="1"/>
    </w:pPr>
    <w:rPr>
      <w:rFonts w:ascii="新細明體" w:hAnsi="新細明體" w:cs="新細明體"/>
      <w:kern w:val="0"/>
    </w:rPr>
  </w:style>
  <w:style w:type="paragraph" w:customStyle="1" w:styleId="afffffff7">
    <w:name w:val="議案名稱"/>
    <w:basedOn w:val="01"/>
    <w:link w:val="afffffff8"/>
    <w:qFormat/>
    <w:rsid w:val="001949A3"/>
    <w:pPr>
      <w:jc w:val="left"/>
    </w:pPr>
    <w:rPr>
      <w:b/>
    </w:rPr>
  </w:style>
  <w:style w:type="character" w:customStyle="1" w:styleId="afffffff8">
    <w:name w:val="議案名稱 字元"/>
    <w:basedOn w:val="010"/>
    <w:link w:val="afffffff7"/>
    <w:rsid w:val="001949A3"/>
    <w:rPr>
      <w:rFonts w:ascii="標楷體" w:eastAsia="標楷體"/>
      <w:b/>
      <w:sz w:val="28"/>
    </w:rPr>
  </w:style>
  <w:style w:type="table" w:customStyle="1" w:styleId="2050">
    <w:name w:val="表格格線205"/>
    <w:basedOn w:val="a6"/>
    <w:next w:val="ae"/>
    <w:uiPriority w:val="39"/>
    <w:rsid w:val="001949A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6">
    <w:name w:val="表格格線206"/>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字元 字元2 字元 字元 字元2"/>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23">
    <w:name w:val="字元 字元2 字元 字元 字元 字元 字元2"/>
    <w:basedOn w:val="a4"/>
    <w:semiHidden/>
    <w:rsid w:val="001949A3"/>
    <w:pPr>
      <w:spacing w:after="160" w:line="240" w:lineRule="exact"/>
    </w:pPr>
    <w:rPr>
      <w:rFonts w:ascii="Verdana" w:hAnsi="Verdana" w:cs="Verdana"/>
      <w:kern w:val="0"/>
      <w:sz w:val="20"/>
      <w:szCs w:val="20"/>
      <w:lang w:eastAsia="en-US"/>
    </w:rPr>
  </w:style>
  <w:style w:type="paragraph" w:customStyle="1" w:styleId="3f4">
    <w:name w:val="字元 字元3"/>
    <w:basedOn w:val="a4"/>
    <w:semiHidden/>
    <w:rsid w:val="001949A3"/>
    <w:pPr>
      <w:spacing w:after="160" w:line="240" w:lineRule="exact"/>
    </w:pPr>
    <w:rPr>
      <w:rFonts w:ascii="Tahoma" w:hAnsi="Tahoma" w:cs="Tahoma"/>
      <w:kern w:val="0"/>
      <w:sz w:val="20"/>
      <w:szCs w:val="20"/>
      <w:lang w:eastAsia="en-US"/>
    </w:rPr>
  </w:style>
  <w:style w:type="paragraph" w:customStyle="1" w:styleId="2f7">
    <w:name w:val="字元 字元 字元2"/>
    <w:basedOn w:val="a4"/>
    <w:semiHidden/>
    <w:rsid w:val="001949A3"/>
    <w:pPr>
      <w:spacing w:after="160" w:line="240" w:lineRule="exact"/>
    </w:pPr>
    <w:rPr>
      <w:rFonts w:ascii="Tahoma" w:hAnsi="Tahoma" w:cs="Tahoma"/>
      <w:kern w:val="0"/>
      <w:sz w:val="20"/>
      <w:szCs w:val="20"/>
      <w:lang w:eastAsia="en-US"/>
    </w:rPr>
  </w:style>
  <w:style w:type="paragraph" w:customStyle="1" w:styleId="224">
    <w:name w:val="字元 字元2 字元 字元 字元 字元 字元 字元 字元2"/>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25">
    <w:name w:val="字元 字元2 字元 字元 字元 字元 字元 字元 字元 字元2"/>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26">
    <w:name w:val="字元 字元2 字元 字元 字元 字元 字元 字元 字元 字元 字元 字元2"/>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27">
    <w:name w:val="字元 字元2 字元 字元 字元 字元 字元 字元2"/>
    <w:basedOn w:val="a4"/>
    <w:semiHidden/>
    <w:rsid w:val="001949A3"/>
    <w:pPr>
      <w:spacing w:after="160" w:line="240" w:lineRule="exact"/>
    </w:pPr>
    <w:rPr>
      <w:rFonts w:ascii="Verdana" w:eastAsia="Times New Roman" w:hAnsi="Verdana"/>
      <w:kern w:val="0"/>
      <w:sz w:val="20"/>
      <w:szCs w:val="20"/>
      <w:lang w:eastAsia="en-US"/>
    </w:rPr>
  </w:style>
  <w:style w:type="paragraph" w:customStyle="1" w:styleId="12a">
    <w:name w:val="字元 字元12"/>
    <w:basedOn w:val="a4"/>
    <w:semiHidden/>
    <w:rsid w:val="001949A3"/>
    <w:pPr>
      <w:spacing w:after="160" w:line="240" w:lineRule="exact"/>
    </w:pPr>
    <w:rPr>
      <w:rFonts w:ascii="Verdana" w:eastAsia="Times New Roman" w:hAnsi="Verdana" w:cs="Mangal"/>
      <w:sz w:val="20"/>
      <w:lang w:eastAsia="en-US" w:bidi="hi-IN"/>
    </w:rPr>
  </w:style>
  <w:style w:type="character" w:customStyle="1" w:styleId="621">
    <w:name w:val="字元6 字元2"/>
    <w:semiHidden/>
    <w:rsid w:val="001949A3"/>
    <w:rPr>
      <w:rFonts w:ascii="Cambria" w:eastAsia="新細明體" w:hAnsi="Cambria" w:cs="Times New Roman"/>
      <w:b/>
      <w:bCs/>
      <w:sz w:val="48"/>
      <w:szCs w:val="48"/>
    </w:rPr>
  </w:style>
  <w:style w:type="character" w:customStyle="1" w:styleId="421">
    <w:name w:val="字元4 字元2"/>
    <w:rsid w:val="001949A3"/>
    <w:rPr>
      <w:kern w:val="2"/>
    </w:rPr>
  </w:style>
  <w:style w:type="character" w:customStyle="1" w:styleId="721">
    <w:name w:val="字元7 字元2"/>
    <w:rsid w:val="001949A3"/>
    <w:rPr>
      <w:rFonts w:ascii="Cambria" w:eastAsia="新細明體" w:hAnsi="Cambria" w:cs="Times New Roman"/>
      <w:b/>
      <w:bCs/>
      <w:kern w:val="52"/>
      <w:sz w:val="52"/>
      <w:szCs w:val="52"/>
    </w:rPr>
  </w:style>
  <w:style w:type="character" w:customStyle="1" w:styleId="521">
    <w:name w:val="字元5 字元2"/>
    <w:semiHidden/>
    <w:rsid w:val="001949A3"/>
    <w:rPr>
      <w:rFonts w:ascii="Cambria" w:eastAsia="新細明體" w:hAnsi="Cambria" w:cs="Times New Roman"/>
      <w:b/>
      <w:bCs/>
      <w:kern w:val="2"/>
      <w:sz w:val="36"/>
      <w:szCs w:val="36"/>
    </w:rPr>
  </w:style>
  <w:style w:type="character" w:customStyle="1" w:styleId="1421">
    <w:name w:val="字元142"/>
    <w:rsid w:val="001949A3"/>
    <w:rPr>
      <w:rFonts w:ascii="Times New Roman" w:eastAsia="標楷體" w:hAnsi="Times New Roman" w:cs="Times New Roman"/>
      <w:sz w:val="20"/>
      <w:szCs w:val="20"/>
    </w:rPr>
  </w:style>
  <w:style w:type="character" w:customStyle="1" w:styleId="1321">
    <w:name w:val="字元132"/>
    <w:rsid w:val="001949A3"/>
    <w:rPr>
      <w:rFonts w:ascii="Times New Roman" w:eastAsia="標楷體" w:hAnsi="Times New Roman" w:cs="Times New Roman"/>
      <w:sz w:val="20"/>
      <w:szCs w:val="20"/>
    </w:rPr>
  </w:style>
  <w:style w:type="character" w:customStyle="1" w:styleId="1221">
    <w:name w:val="字元122"/>
    <w:rsid w:val="001949A3"/>
    <w:rPr>
      <w:rFonts w:ascii="Times New Roman" w:eastAsia="標楷體" w:hAnsi="Times New Roman" w:cs="Times New Roman"/>
      <w:sz w:val="28"/>
    </w:rPr>
  </w:style>
  <w:style w:type="character" w:customStyle="1" w:styleId="1122">
    <w:name w:val="字元112"/>
    <w:semiHidden/>
    <w:rsid w:val="001949A3"/>
    <w:rPr>
      <w:rFonts w:ascii="Times New Roman" w:eastAsia="標楷體" w:hAnsi="Times New Roman" w:cs="Times New Roman"/>
      <w:b/>
      <w:bCs/>
      <w:sz w:val="28"/>
    </w:rPr>
  </w:style>
  <w:style w:type="character" w:customStyle="1" w:styleId="1021">
    <w:name w:val="字元102"/>
    <w:rsid w:val="001949A3"/>
    <w:rPr>
      <w:rFonts w:ascii="Cambria" w:eastAsia="新細明體" w:hAnsi="Cambria" w:cs="Times New Roman"/>
      <w:sz w:val="18"/>
      <w:szCs w:val="18"/>
    </w:rPr>
  </w:style>
  <w:style w:type="character" w:customStyle="1" w:styleId="2120">
    <w:name w:val="字元212"/>
    <w:rsid w:val="001949A3"/>
    <w:rPr>
      <w:rFonts w:ascii="新細明體" w:hAnsi="Times New Roman"/>
      <w:kern w:val="2"/>
      <w:sz w:val="18"/>
      <w:szCs w:val="18"/>
    </w:rPr>
  </w:style>
  <w:style w:type="character" w:customStyle="1" w:styleId="1721">
    <w:name w:val="字元172"/>
    <w:rsid w:val="001949A3"/>
    <w:rPr>
      <w:rFonts w:ascii="Cambria" w:eastAsia="新細明體" w:hAnsi="Cambria" w:cs="Times New Roman"/>
      <w:b/>
      <w:bCs/>
      <w:kern w:val="52"/>
      <w:sz w:val="52"/>
      <w:szCs w:val="52"/>
    </w:rPr>
  </w:style>
  <w:style w:type="character" w:customStyle="1" w:styleId="1621">
    <w:name w:val="字元162"/>
    <w:rsid w:val="001949A3"/>
    <w:rPr>
      <w:rFonts w:ascii="Cambria" w:eastAsia="新細明體" w:hAnsi="Cambria" w:cs="Times New Roman"/>
      <w:b/>
      <w:bCs/>
      <w:kern w:val="2"/>
      <w:sz w:val="48"/>
      <w:szCs w:val="48"/>
    </w:rPr>
  </w:style>
  <w:style w:type="character" w:customStyle="1" w:styleId="1521">
    <w:name w:val="字元152"/>
    <w:rsid w:val="001949A3"/>
    <w:rPr>
      <w:rFonts w:ascii="Cambria" w:eastAsia="新細明體" w:hAnsi="Cambria" w:cs="Times New Roman"/>
      <w:b/>
      <w:bCs/>
      <w:kern w:val="2"/>
      <w:sz w:val="36"/>
      <w:szCs w:val="36"/>
    </w:rPr>
  </w:style>
  <w:style w:type="character" w:customStyle="1" w:styleId="1921">
    <w:name w:val="字元192"/>
    <w:rsid w:val="001949A3"/>
    <w:rPr>
      <w:rFonts w:ascii="華康楷書體W5" w:eastAsia="標楷體" w:hAnsi="Times New Roman"/>
      <w:bCs/>
      <w:spacing w:val="20"/>
      <w:kern w:val="2"/>
      <w:sz w:val="28"/>
    </w:rPr>
  </w:style>
  <w:style w:type="paragraph" w:customStyle="1" w:styleId="228">
    <w:name w:val="字元 字元2 字元 字元 字元 字元 字元 字元 字元 字元 字元2"/>
    <w:basedOn w:val="a4"/>
    <w:semiHidden/>
    <w:rsid w:val="001949A3"/>
    <w:pPr>
      <w:spacing w:after="160" w:line="240" w:lineRule="exact"/>
    </w:pPr>
    <w:rPr>
      <w:rFonts w:ascii="Verdana" w:eastAsia="Times New Roman" w:hAnsi="Verdana"/>
      <w:kern w:val="0"/>
      <w:sz w:val="20"/>
      <w:szCs w:val="20"/>
      <w:lang w:eastAsia="en-US"/>
    </w:rPr>
  </w:style>
  <w:style w:type="paragraph" w:customStyle="1" w:styleId="afffffff9">
    <w:name w:val="時　　間：凸五"/>
    <w:autoRedefine/>
    <w:qFormat/>
    <w:rsid w:val="001949A3"/>
    <w:pPr>
      <w:snapToGrid w:val="0"/>
      <w:spacing w:line="240" w:lineRule="atLeast"/>
      <w:ind w:left="2520" w:hangingChars="900" w:hanging="2520"/>
      <w:jc w:val="both"/>
    </w:pPr>
    <w:rPr>
      <w:rFonts w:ascii="Times New Roman" w:eastAsia="標楷體" w:hAnsi="Times New Roman" w:cs="Times New Roman"/>
      <w:sz w:val="28"/>
      <w:szCs w:val="24"/>
    </w:rPr>
  </w:style>
  <w:style w:type="numbering" w:customStyle="1" w:styleId="229">
    <w:name w:val="樣式22"/>
    <w:rsid w:val="001949A3"/>
  </w:style>
  <w:style w:type="numbering" w:customStyle="1" w:styleId="12b">
    <w:name w:val="樣式12"/>
    <w:rsid w:val="001949A3"/>
  </w:style>
  <w:style w:type="numbering" w:customStyle="1" w:styleId="322">
    <w:name w:val="樣式32"/>
    <w:basedOn w:val="a7"/>
    <w:rsid w:val="001949A3"/>
  </w:style>
  <w:style w:type="numbering" w:customStyle="1" w:styleId="1114">
    <w:name w:val="樣式111"/>
    <w:rsid w:val="001949A3"/>
  </w:style>
  <w:style w:type="numbering" w:customStyle="1" w:styleId="1101">
    <w:name w:val="無清單110"/>
    <w:next w:val="a7"/>
    <w:uiPriority w:val="99"/>
    <w:semiHidden/>
    <w:unhideWhenUsed/>
    <w:rsid w:val="001949A3"/>
  </w:style>
  <w:style w:type="numbering" w:customStyle="1" w:styleId="1132">
    <w:name w:val="無清單113"/>
    <w:next w:val="a7"/>
    <w:uiPriority w:val="99"/>
    <w:semiHidden/>
    <w:unhideWhenUsed/>
    <w:rsid w:val="001949A3"/>
  </w:style>
  <w:style w:type="numbering" w:customStyle="1" w:styleId="11130">
    <w:name w:val="無清單1113"/>
    <w:next w:val="a7"/>
    <w:semiHidden/>
    <w:unhideWhenUsed/>
    <w:rsid w:val="001949A3"/>
  </w:style>
  <w:style w:type="numbering" w:customStyle="1" w:styleId="11113">
    <w:name w:val="無清單11113"/>
    <w:next w:val="a7"/>
    <w:semiHidden/>
    <w:unhideWhenUsed/>
    <w:rsid w:val="001949A3"/>
  </w:style>
  <w:style w:type="table" w:customStyle="1" w:styleId="11100">
    <w:name w:val="表格格線1110"/>
    <w:basedOn w:val="a6"/>
    <w:next w:val="ae"/>
    <w:uiPriority w:val="59"/>
    <w:rsid w:val="001949A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0">
    <w:name w:val="無清單210"/>
    <w:next w:val="a7"/>
    <w:uiPriority w:val="99"/>
    <w:semiHidden/>
    <w:unhideWhenUsed/>
    <w:rsid w:val="001949A3"/>
  </w:style>
  <w:style w:type="numbering" w:customStyle="1" w:styleId="1211">
    <w:name w:val="無清單121"/>
    <w:next w:val="a7"/>
    <w:uiPriority w:val="99"/>
    <w:semiHidden/>
    <w:unhideWhenUsed/>
    <w:rsid w:val="001949A3"/>
  </w:style>
  <w:style w:type="numbering" w:customStyle="1" w:styleId="111112">
    <w:name w:val="無清單111112"/>
    <w:next w:val="a7"/>
    <w:semiHidden/>
    <w:unhideWhenUsed/>
    <w:rsid w:val="001949A3"/>
  </w:style>
  <w:style w:type="numbering" w:customStyle="1" w:styleId="2110">
    <w:name w:val="樣式211"/>
    <w:rsid w:val="001949A3"/>
  </w:style>
  <w:style w:type="numbering" w:customStyle="1" w:styleId="3110">
    <w:name w:val="樣式311"/>
    <w:basedOn w:val="a7"/>
    <w:rsid w:val="001949A3"/>
  </w:style>
  <w:style w:type="table" w:customStyle="1" w:styleId="2101">
    <w:name w:val="表格格線2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
    <w:name w:val="1 / 1.1 / 1.1.11"/>
    <w:basedOn w:val="a7"/>
    <w:next w:val="111111"/>
    <w:rsid w:val="001949A3"/>
  </w:style>
  <w:style w:type="table" w:customStyle="1" w:styleId="3100">
    <w:name w:val="表格格線3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無清單131"/>
    <w:next w:val="a7"/>
    <w:uiPriority w:val="99"/>
    <w:semiHidden/>
    <w:unhideWhenUsed/>
    <w:rsid w:val="001949A3"/>
  </w:style>
  <w:style w:type="numbering" w:customStyle="1" w:styleId="11210">
    <w:name w:val="無清單1121"/>
    <w:next w:val="a7"/>
    <w:uiPriority w:val="99"/>
    <w:semiHidden/>
    <w:unhideWhenUsed/>
    <w:rsid w:val="001949A3"/>
  </w:style>
  <w:style w:type="numbering" w:customStyle="1" w:styleId="11121">
    <w:name w:val="無清單11121"/>
    <w:next w:val="a7"/>
    <w:uiPriority w:val="99"/>
    <w:semiHidden/>
    <w:unhideWhenUsed/>
    <w:rsid w:val="001949A3"/>
  </w:style>
  <w:style w:type="numbering" w:customStyle="1" w:styleId="111121">
    <w:name w:val="無清單111121"/>
    <w:next w:val="a7"/>
    <w:uiPriority w:val="99"/>
    <w:semiHidden/>
    <w:unhideWhenUsed/>
    <w:rsid w:val="001949A3"/>
  </w:style>
  <w:style w:type="numbering" w:customStyle="1" w:styleId="1111112">
    <w:name w:val="無清單1111112"/>
    <w:next w:val="a7"/>
    <w:uiPriority w:val="99"/>
    <w:semiHidden/>
    <w:unhideWhenUsed/>
    <w:rsid w:val="001949A3"/>
  </w:style>
  <w:style w:type="numbering" w:customStyle="1" w:styleId="11111112">
    <w:name w:val="無清單11111112"/>
    <w:next w:val="a7"/>
    <w:uiPriority w:val="99"/>
    <w:semiHidden/>
    <w:unhideWhenUsed/>
    <w:rsid w:val="001949A3"/>
  </w:style>
  <w:style w:type="numbering" w:customStyle="1" w:styleId="111111111">
    <w:name w:val="無清單111111111"/>
    <w:next w:val="a7"/>
    <w:uiPriority w:val="99"/>
    <w:semiHidden/>
    <w:unhideWhenUsed/>
    <w:rsid w:val="001949A3"/>
  </w:style>
  <w:style w:type="numbering" w:customStyle="1" w:styleId="422">
    <w:name w:val="無清單42"/>
    <w:next w:val="a7"/>
    <w:uiPriority w:val="99"/>
    <w:semiHidden/>
    <w:unhideWhenUsed/>
    <w:rsid w:val="001949A3"/>
  </w:style>
  <w:style w:type="table" w:customStyle="1" w:styleId="4100">
    <w:name w:val="表格格線410"/>
    <w:basedOn w:val="a6"/>
    <w:next w:val="ae"/>
    <w:uiPriority w:val="59"/>
    <w:rsid w:val="001949A3"/>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無清單52"/>
    <w:next w:val="a7"/>
    <w:uiPriority w:val="99"/>
    <w:semiHidden/>
    <w:unhideWhenUsed/>
    <w:rsid w:val="001949A3"/>
  </w:style>
  <w:style w:type="table" w:customStyle="1" w:styleId="5100">
    <w:name w:val="表格格線510"/>
    <w:basedOn w:val="a6"/>
    <w:next w:val="ae"/>
    <w:uiPriority w:val="59"/>
    <w:rsid w:val="001949A3"/>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無清單62"/>
    <w:next w:val="a7"/>
    <w:uiPriority w:val="99"/>
    <w:semiHidden/>
    <w:unhideWhenUsed/>
    <w:rsid w:val="001949A3"/>
  </w:style>
  <w:style w:type="table" w:customStyle="1" w:styleId="6100">
    <w:name w:val="表格格線6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3">
    <w:name w:val="無清單141"/>
    <w:next w:val="a7"/>
    <w:uiPriority w:val="99"/>
    <w:semiHidden/>
    <w:unhideWhenUsed/>
    <w:rsid w:val="001949A3"/>
  </w:style>
  <w:style w:type="table" w:customStyle="1" w:styleId="4110">
    <w:name w:val="表格格線4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表格格線5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0">
    <w:name w:val="表格格線7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0">
    <w:name w:val="表格格線8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0">
    <w:name w:val="表格格線9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0">
    <w:name w:val="表格格線10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表格格線11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表格格線12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表格格線13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0">
    <w:name w:val="表格格線14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0">
    <w:name w:val="表格格線15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0">
    <w:name w:val="表格格線16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無清單211"/>
    <w:next w:val="a7"/>
    <w:uiPriority w:val="99"/>
    <w:semiHidden/>
    <w:unhideWhenUsed/>
    <w:rsid w:val="001949A3"/>
  </w:style>
  <w:style w:type="table" w:customStyle="1" w:styleId="17100">
    <w:name w:val="表格格線17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0">
    <w:name w:val="表格格線1810"/>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表格格線2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表格格線22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表格格線23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表格格線24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0">
    <w:name w:val="表格格線25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0">
    <w:name w:val="表格格線26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無清單311"/>
    <w:next w:val="a7"/>
    <w:uiPriority w:val="99"/>
    <w:semiHidden/>
    <w:unhideWhenUsed/>
    <w:rsid w:val="001949A3"/>
  </w:style>
  <w:style w:type="table" w:customStyle="1" w:styleId="2710">
    <w:name w:val="表格格線27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無清單411"/>
    <w:next w:val="a7"/>
    <w:uiPriority w:val="99"/>
    <w:semiHidden/>
    <w:unhideWhenUsed/>
    <w:rsid w:val="001949A3"/>
  </w:style>
  <w:style w:type="table" w:customStyle="1" w:styleId="2810">
    <w:name w:val="表格格線28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0">
    <w:name w:val="表格格線29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表格格線30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無清單511"/>
    <w:next w:val="a7"/>
    <w:uiPriority w:val="99"/>
    <w:semiHidden/>
    <w:unhideWhenUsed/>
    <w:rsid w:val="001949A3"/>
  </w:style>
  <w:style w:type="table" w:customStyle="1" w:styleId="3112">
    <w:name w:val="表格格線3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無清單611"/>
    <w:next w:val="a7"/>
    <w:uiPriority w:val="99"/>
    <w:semiHidden/>
    <w:unhideWhenUsed/>
    <w:rsid w:val="001949A3"/>
  </w:style>
  <w:style w:type="table" w:customStyle="1" w:styleId="3210">
    <w:name w:val="表格格線32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表格格線33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無清單71"/>
    <w:next w:val="a7"/>
    <w:uiPriority w:val="99"/>
    <w:semiHidden/>
    <w:unhideWhenUsed/>
    <w:rsid w:val="001949A3"/>
  </w:style>
  <w:style w:type="table" w:customStyle="1" w:styleId="3410">
    <w:name w:val="表格格線34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表格格線35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表格格線36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表格格線37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0">
    <w:name w:val="表格格線38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無清單81"/>
    <w:next w:val="a7"/>
    <w:uiPriority w:val="99"/>
    <w:semiHidden/>
    <w:unhideWhenUsed/>
    <w:rsid w:val="001949A3"/>
  </w:style>
  <w:style w:type="table" w:customStyle="1" w:styleId="3910">
    <w:name w:val="表格格線39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表格格線40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無清單91"/>
    <w:next w:val="a7"/>
    <w:uiPriority w:val="99"/>
    <w:semiHidden/>
    <w:unhideWhenUsed/>
    <w:rsid w:val="001949A3"/>
  </w:style>
  <w:style w:type="table" w:customStyle="1" w:styleId="4210">
    <w:name w:val="表格格線42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表格格線43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無清單101"/>
    <w:next w:val="a7"/>
    <w:uiPriority w:val="99"/>
    <w:semiHidden/>
    <w:unhideWhenUsed/>
    <w:rsid w:val="001949A3"/>
  </w:style>
  <w:style w:type="table" w:customStyle="1" w:styleId="4410">
    <w:name w:val="表格格線44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表格格線45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表格格線46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表格格線47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1">
    <w:name w:val="表格格線48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1">
    <w:name w:val="表格格線49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表格格線50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表格格線52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表格格線53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0">
    <w:name w:val="表格格線54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表格格線55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表格格線56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表格格線57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1">
    <w:name w:val="表格格線58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1">
    <w:name w:val="表格格線59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1">
    <w:name w:val="表格格線60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表格格線6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表格格線62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0">
    <w:name w:val="表格格線63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0">
    <w:name w:val="表格格線64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表格格線65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表格格線66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表格格線67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1">
    <w:name w:val="表格格線68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1">
    <w:name w:val="表格格線69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表格格線70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表格格線7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表格格線72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表格格線73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表格格線74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表格格線75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表格格線76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表格格線77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表格格線78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
    <w:name w:val="表格格線79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1">
    <w:name w:val="表格格線80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表格格線8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表格格線82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表格格線83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表格格線84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無清單151"/>
    <w:next w:val="a7"/>
    <w:uiPriority w:val="99"/>
    <w:semiHidden/>
    <w:unhideWhenUsed/>
    <w:rsid w:val="001949A3"/>
  </w:style>
  <w:style w:type="table" w:customStyle="1" w:styleId="851">
    <w:name w:val="表格格線85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1">
    <w:name w:val="表格格線1371"/>
    <w:basedOn w:val="a6"/>
    <w:next w:val="ae"/>
    <w:uiPriority w:val="59"/>
    <w:rsid w:val="001949A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2">
    <w:name w:val="無清單40"/>
    <w:next w:val="a7"/>
    <w:uiPriority w:val="99"/>
    <w:semiHidden/>
    <w:unhideWhenUsed/>
    <w:rsid w:val="001949A3"/>
  </w:style>
  <w:style w:type="numbering" w:customStyle="1" w:styleId="237">
    <w:name w:val="樣式23"/>
    <w:rsid w:val="001949A3"/>
  </w:style>
  <w:style w:type="numbering" w:customStyle="1" w:styleId="13b">
    <w:name w:val="樣式13"/>
    <w:rsid w:val="001949A3"/>
  </w:style>
  <w:style w:type="numbering" w:customStyle="1" w:styleId="332">
    <w:name w:val="樣式33"/>
    <w:basedOn w:val="a7"/>
    <w:rsid w:val="001949A3"/>
  </w:style>
  <w:style w:type="numbering" w:customStyle="1" w:styleId="1123">
    <w:name w:val="樣式112"/>
    <w:rsid w:val="001949A3"/>
  </w:style>
  <w:style w:type="numbering" w:customStyle="1" w:styleId="1141">
    <w:name w:val="無清單114"/>
    <w:next w:val="a7"/>
    <w:uiPriority w:val="99"/>
    <w:semiHidden/>
    <w:unhideWhenUsed/>
    <w:rsid w:val="001949A3"/>
  </w:style>
  <w:style w:type="numbering" w:customStyle="1" w:styleId="1150">
    <w:name w:val="無清單115"/>
    <w:next w:val="a7"/>
    <w:uiPriority w:val="99"/>
    <w:semiHidden/>
    <w:unhideWhenUsed/>
    <w:rsid w:val="001949A3"/>
  </w:style>
  <w:style w:type="numbering" w:customStyle="1" w:styleId="11140">
    <w:name w:val="無清單1114"/>
    <w:next w:val="a7"/>
    <w:semiHidden/>
    <w:unhideWhenUsed/>
    <w:rsid w:val="001949A3"/>
  </w:style>
  <w:style w:type="numbering" w:customStyle="1" w:styleId="11114">
    <w:name w:val="無清單11114"/>
    <w:next w:val="a7"/>
    <w:semiHidden/>
    <w:unhideWhenUsed/>
    <w:rsid w:val="001949A3"/>
  </w:style>
  <w:style w:type="table" w:customStyle="1" w:styleId="11120">
    <w:name w:val="表格格線1112"/>
    <w:basedOn w:val="a6"/>
    <w:next w:val="ae"/>
    <w:uiPriority w:val="59"/>
    <w:rsid w:val="001949A3"/>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無清單212"/>
    <w:next w:val="a7"/>
    <w:uiPriority w:val="99"/>
    <w:semiHidden/>
    <w:unhideWhenUsed/>
    <w:rsid w:val="001949A3"/>
  </w:style>
  <w:style w:type="numbering" w:customStyle="1" w:styleId="1222">
    <w:name w:val="無清單122"/>
    <w:next w:val="a7"/>
    <w:uiPriority w:val="99"/>
    <w:semiHidden/>
    <w:unhideWhenUsed/>
    <w:rsid w:val="001949A3"/>
  </w:style>
  <w:style w:type="numbering" w:customStyle="1" w:styleId="111113">
    <w:name w:val="無清單111113"/>
    <w:next w:val="a7"/>
    <w:semiHidden/>
    <w:unhideWhenUsed/>
    <w:rsid w:val="001949A3"/>
  </w:style>
  <w:style w:type="numbering" w:customStyle="1" w:styleId="2122">
    <w:name w:val="樣式212"/>
    <w:rsid w:val="001949A3"/>
  </w:style>
  <w:style w:type="numbering" w:customStyle="1" w:styleId="3120">
    <w:name w:val="樣式312"/>
    <w:basedOn w:val="a7"/>
    <w:rsid w:val="001949A3"/>
  </w:style>
  <w:style w:type="table" w:customStyle="1" w:styleId="2123">
    <w:name w:val="表格格線21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0">
    <w:name w:val="1 / 1.1 / 1.1.12"/>
    <w:basedOn w:val="a7"/>
    <w:next w:val="111111"/>
    <w:rsid w:val="001949A3"/>
  </w:style>
  <w:style w:type="numbering" w:customStyle="1" w:styleId="3101">
    <w:name w:val="無清單310"/>
    <w:next w:val="a7"/>
    <w:uiPriority w:val="99"/>
    <w:semiHidden/>
    <w:unhideWhenUsed/>
    <w:rsid w:val="001949A3"/>
  </w:style>
  <w:style w:type="table" w:customStyle="1" w:styleId="3121">
    <w:name w:val="表格格線31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
    <w:name w:val="無清單132"/>
    <w:next w:val="a7"/>
    <w:uiPriority w:val="99"/>
    <w:semiHidden/>
    <w:unhideWhenUsed/>
    <w:rsid w:val="001949A3"/>
  </w:style>
  <w:style w:type="numbering" w:customStyle="1" w:styleId="11220">
    <w:name w:val="無清單1122"/>
    <w:next w:val="a7"/>
    <w:uiPriority w:val="99"/>
    <w:semiHidden/>
    <w:unhideWhenUsed/>
    <w:rsid w:val="001949A3"/>
  </w:style>
  <w:style w:type="numbering" w:customStyle="1" w:styleId="11122">
    <w:name w:val="無清單11122"/>
    <w:next w:val="a7"/>
    <w:uiPriority w:val="99"/>
    <w:semiHidden/>
    <w:unhideWhenUsed/>
    <w:rsid w:val="001949A3"/>
  </w:style>
  <w:style w:type="numbering" w:customStyle="1" w:styleId="111122">
    <w:name w:val="無清單111122"/>
    <w:next w:val="a7"/>
    <w:uiPriority w:val="99"/>
    <w:semiHidden/>
    <w:unhideWhenUsed/>
    <w:rsid w:val="001949A3"/>
  </w:style>
  <w:style w:type="numbering" w:customStyle="1" w:styleId="1111113">
    <w:name w:val="無清單1111113"/>
    <w:next w:val="a7"/>
    <w:uiPriority w:val="99"/>
    <w:semiHidden/>
    <w:unhideWhenUsed/>
    <w:rsid w:val="001949A3"/>
  </w:style>
  <w:style w:type="numbering" w:customStyle="1" w:styleId="11111113">
    <w:name w:val="無清單11111113"/>
    <w:next w:val="a7"/>
    <w:uiPriority w:val="99"/>
    <w:semiHidden/>
    <w:unhideWhenUsed/>
    <w:rsid w:val="001949A3"/>
  </w:style>
  <w:style w:type="numbering" w:customStyle="1" w:styleId="111111112">
    <w:name w:val="無清單111111112"/>
    <w:next w:val="a7"/>
    <w:uiPriority w:val="99"/>
    <w:semiHidden/>
    <w:unhideWhenUsed/>
    <w:rsid w:val="001949A3"/>
  </w:style>
  <w:style w:type="numbering" w:customStyle="1" w:styleId="432">
    <w:name w:val="無清單43"/>
    <w:next w:val="a7"/>
    <w:uiPriority w:val="99"/>
    <w:semiHidden/>
    <w:unhideWhenUsed/>
    <w:rsid w:val="001949A3"/>
  </w:style>
  <w:style w:type="table" w:customStyle="1" w:styleId="4121">
    <w:name w:val="表格格線412"/>
    <w:basedOn w:val="a6"/>
    <w:next w:val="ae"/>
    <w:uiPriority w:val="59"/>
    <w:rsid w:val="001949A3"/>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
    <w:name w:val="無清單53"/>
    <w:next w:val="a7"/>
    <w:uiPriority w:val="99"/>
    <w:semiHidden/>
    <w:unhideWhenUsed/>
    <w:rsid w:val="001949A3"/>
  </w:style>
  <w:style w:type="table" w:customStyle="1" w:styleId="512">
    <w:name w:val="表格格線512"/>
    <w:basedOn w:val="a6"/>
    <w:next w:val="ae"/>
    <w:uiPriority w:val="59"/>
    <w:rsid w:val="001949A3"/>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2">
    <w:name w:val="無清單63"/>
    <w:next w:val="a7"/>
    <w:uiPriority w:val="99"/>
    <w:semiHidden/>
    <w:unhideWhenUsed/>
    <w:rsid w:val="001949A3"/>
  </w:style>
  <w:style w:type="table" w:customStyle="1" w:styleId="612">
    <w:name w:val="表格格線61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
    <w:name w:val="無清單142"/>
    <w:next w:val="a7"/>
    <w:uiPriority w:val="99"/>
    <w:semiHidden/>
    <w:unhideWhenUsed/>
    <w:rsid w:val="001949A3"/>
  </w:style>
  <w:style w:type="table" w:customStyle="1" w:styleId="413">
    <w:name w:val="表格格線413"/>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表格格線513"/>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表格格線71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表格格線81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表格格線9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表格格線10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表格格線1113"/>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表格格線12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表格格線13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表格格線14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表格格線15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表格格線16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無清單213"/>
    <w:next w:val="a7"/>
    <w:uiPriority w:val="99"/>
    <w:semiHidden/>
    <w:unhideWhenUsed/>
    <w:rsid w:val="001949A3"/>
  </w:style>
  <w:style w:type="table" w:customStyle="1" w:styleId="1711">
    <w:name w:val="表格格線17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表格格線1811"/>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表格格線213"/>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表格格線22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表格格線23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表格格線24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表格格線25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0">
    <w:name w:val="表格格線26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
    <w:name w:val="無清單312"/>
    <w:next w:val="a7"/>
    <w:uiPriority w:val="99"/>
    <w:semiHidden/>
    <w:unhideWhenUsed/>
    <w:rsid w:val="001949A3"/>
  </w:style>
  <w:style w:type="table" w:customStyle="1" w:styleId="272">
    <w:name w:val="表格格線27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2">
    <w:name w:val="無清單412"/>
    <w:next w:val="a7"/>
    <w:uiPriority w:val="99"/>
    <w:semiHidden/>
    <w:unhideWhenUsed/>
    <w:rsid w:val="001949A3"/>
  </w:style>
  <w:style w:type="table" w:customStyle="1" w:styleId="282">
    <w:name w:val="表格格線28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表格格線29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表格格線30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無清單512"/>
    <w:next w:val="a7"/>
    <w:uiPriority w:val="99"/>
    <w:semiHidden/>
    <w:unhideWhenUsed/>
    <w:rsid w:val="001949A3"/>
  </w:style>
  <w:style w:type="table" w:customStyle="1" w:styleId="313">
    <w:name w:val="表格格線313"/>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0">
    <w:name w:val="無清單612"/>
    <w:next w:val="a7"/>
    <w:uiPriority w:val="99"/>
    <w:semiHidden/>
    <w:unhideWhenUsed/>
    <w:rsid w:val="001949A3"/>
  </w:style>
  <w:style w:type="table" w:customStyle="1" w:styleId="3220">
    <w:name w:val="表格格線32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表格格線33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無清單72"/>
    <w:next w:val="a7"/>
    <w:uiPriority w:val="99"/>
    <w:semiHidden/>
    <w:unhideWhenUsed/>
    <w:rsid w:val="001949A3"/>
  </w:style>
  <w:style w:type="table" w:customStyle="1" w:styleId="342">
    <w:name w:val="表格格線34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表格格線35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表格格線36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表格格線37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
    <w:name w:val="表格格線38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無清單82"/>
    <w:next w:val="a7"/>
    <w:uiPriority w:val="99"/>
    <w:semiHidden/>
    <w:unhideWhenUsed/>
    <w:rsid w:val="001949A3"/>
  </w:style>
  <w:style w:type="table" w:customStyle="1" w:styleId="392">
    <w:name w:val="表格格線39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0">
    <w:name w:val="表格格線40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無清單92"/>
    <w:next w:val="a7"/>
    <w:uiPriority w:val="99"/>
    <w:semiHidden/>
    <w:unhideWhenUsed/>
    <w:rsid w:val="001949A3"/>
  </w:style>
  <w:style w:type="table" w:customStyle="1" w:styleId="4220">
    <w:name w:val="表格格線42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0">
    <w:name w:val="表格格線43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
    <w:name w:val="無清單102"/>
    <w:next w:val="a7"/>
    <w:uiPriority w:val="99"/>
    <w:semiHidden/>
    <w:unhideWhenUsed/>
    <w:rsid w:val="001949A3"/>
  </w:style>
  <w:style w:type="table" w:customStyle="1" w:styleId="442">
    <w:name w:val="表格格線44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表格格線45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表格格線46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表格格線47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2">
    <w:name w:val="表格格線48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2">
    <w:name w:val="表格格線49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2">
    <w:name w:val="表格格線50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表格格線52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表格格線53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表格格線54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表格格線55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表格格線56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2">
    <w:name w:val="表格格線57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2">
    <w:name w:val="表格格線58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2">
    <w:name w:val="表格格線59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2">
    <w:name w:val="表格格線60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表格格線613"/>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表格格線62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表格格線63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表格格線64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表格格線65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表格格線66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2">
    <w:name w:val="表格格線67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2">
    <w:name w:val="表格格線68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2">
    <w:name w:val="表格格線69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2">
    <w:name w:val="表格格線70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表格格線713"/>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表格格線72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表格格線73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表格格線74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表格格線75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表格格線76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表格格線77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2">
    <w:name w:val="表格格線78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2">
    <w:name w:val="表格格線79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2">
    <w:name w:val="表格格線80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表格格線813"/>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表格格線82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表格格線83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表格格線84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無清單152"/>
    <w:next w:val="a7"/>
    <w:uiPriority w:val="99"/>
    <w:semiHidden/>
    <w:unhideWhenUsed/>
    <w:rsid w:val="001949A3"/>
  </w:style>
  <w:style w:type="table" w:customStyle="1" w:styleId="852">
    <w:name w:val="表格格線852"/>
    <w:basedOn w:val="a6"/>
    <w:next w:val="ae"/>
    <w:uiPriority w:val="59"/>
    <w:rsid w:val="001949A3"/>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2">
    <w:name w:val="表格格線1372"/>
    <w:basedOn w:val="a6"/>
    <w:next w:val="ae"/>
    <w:uiPriority w:val="59"/>
    <w:rsid w:val="001949A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3">
    <w:name w:val="無清單44"/>
    <w:next w:val="a7"/>
    <w:uiPriority w:val="99"/>
    <w:semiHidden/>
    <w:unhideWhenUsed/>
    <w:rsid w:val="001949A3"/>
  </w:style>
  <w:style w:type="numbering" w:customStyle="1" w:styleId="453">
    <w:name w:val="無清單45"/>
    <w:next w:val="a7"/>
    <w:uiPriority w:val="99"/>
    <w:semiHidden/>
    <w:unhideWhenUsed/>
    <w:rsid w:val="001949A3"/>
  </w:style>
  <w:style w:type="table" w:customStyle="1" w:styleId="1961">
    <w:name w:val="表格格線1961"/>
    <w:basedOn w:val="a6"/>
    <w:next w:val="ae"/>
    <w:uiPriority w:val="59"/>
    <w:rsid w:val="001949A3"/>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4">
    <w:name w:val="字元3 字元 字元 字元1"/>
    <w:basedOn w:val="a5"/>
    <w:uiPriority w:val="99"/>
    <w:rsid w:val="001949A3"/>
    <w:rPr>
      <w:rFonts w:ascii="Times New Roman" w:eastAsia="新細明體" w:hAnsi="Times New Roman" w:cs="Times New Roman"/>
      <w:sz w:val="20"/>
      <w:szCs w:val="20"/>
    </w:rPr>
  </w:style>
  <w:style w:type="paragraph" w:customStyle="1" w:styleId="a3">
    <w:name w:val="一、"/>
    <w:link w:val="afffffffa"/>
    <w:autoRedefine/>
    <w:qFormat/>
    <w:rsid w:val="001949A3"/>
    <w:pPr>
      <w:numPr>
        <w:numId w:val="12"/>
      </w:numPr>
      <w:tabs>
        <w:tab w:val="left" w:pos="2552"/>
      </w:tabs>
      <w:spacing w:line="360" w:lineRule="exact"/>
      <w:ind w:left="546" w:hanging="560"/>
      <w:jc w:val="both"/>
    </w:pPr>
    <w:rPr>
      <w:rFonts w:ascii="標楷體" w:eastAsia="標楷體" w:hAnsi="標楷體" w:cs="Times New Roman"/>
      <w:kern w:val="0"/>
      <w:sz w:val="28"/>
      <w:szCs w:val="28"/>
    </w:rPr>
  </w:style>
  <w:style w:type="character" w:customStyle="1" w:styleId="afffffffa">
    <w:name w:val="一、 字元"/>
    <w:link w:val="a3"/>
    <w:rsid w:val="001949A3"/>
    <w:rPr>
      <w:rFonts w:ascii="標楷體" w:eastAsia="標楷體" w:hAnsi="標楷體" w:cs="Times New Roman"/>
      <w:kern w:val="0"/>
      <w:sz w:val="28"/>
      <w:szCs w:val="28"/>
    </w:rPr>
  </w:style>
  <w:style w:type="paragraph" w:customStyle="1" w:styleId="0-4">
    <w:name w:val="0-點"/>
    <w:basedOn w:val="a4"/>
    <w:link w:val="0-5"/>
    <w:qFormat/>
    <w:rsid w:val="001949A3"/>
    <w:pPr>
      <w:adjustRightInd w:val="0"/>
      <w:snapToGrid w:val="0"/>
      <w:spacing w:line="360" w:lineRule="exact"/>
      <w:jc w:val="both"/>
    </w:pPr>
    <w:rPr>
      <w:rFonts w:ascii="標楷體" w:eastAsia="標楷體" w:hAnsi="標楷體"/>
      <w:sz w:val="28"/>
      <w:szCs w:val="28"/>
    </w:rPr>
  </w:style>
  <w:style w:type="character" w:customStyle="1" w:styleId="0-5">
    <w:name w:val="0-點 字元"/>
    <w:link w:val="0-4"/>
    <w:rsid w:val="001949A3"/>
    <w:rPr>
      <w:rFonts w:ascii="標楷體" w:eastAsia="標楷體" w:hAnsi="標楷體" w:cs="Times New Roman"/>
      <w:sz w:val="28"/>
      <w:szCs w:val="28"/>
    </w:rPr>
  </w:style>
  <w:style w:type="paragraph" w:customStyle="1" w:styleId="5-1">
    <w:name w:val="5-提案1"/>
    <w:basedOn w:val="a4"/>
    <w:link w:val="5-10"/>
    <w:qFormat/>
    <w:rsid w:val="001949A3"/>
    <w:pPr>
      <w:snapToGrid w:val="0"/>
      <w:spacing w:line="240" w:lineRule="atLeast"/>
      <w:ind w:leftChars="1400" w:left="4480" w:hangingChars="400" w:hanging="1120"/>
      <w:jc w:val="both"/>
    </w:pPr>
    <w:rPr>
      <w:rFonts w:eastAsia="標楷體"/>
      <w:sz w:val="28"/>
    </w:rPr>
  </w:style>
  <w:style w:type="character" w:customStyle="1" w:styleId="5-10">
    <w:name w:val="5-提案1 字元"/>
    <w:link w:val="5-1"/>
    <w:rsid w:val="001949A3"/>
    <w:rPr>
      <w:rFonts w:ascii="Times New Roman" w:eastAsia="標楷體" w:hAnsi="Times New Roman" w:cs="Times New Roman"/>
      <w:sz w:val="28"/>
      <w:szCs w:val="24"/>
    </w:rPr>
  </w:style>
  <w:style w:type="paragraph" w:customStyle="1" w:styleId="afffffffb">
    <w:name w:val="報討提"/>
    <w:link w:val="afffffffc"/>
    <w:autoRedefine/>
    <w:qFormat/>
    <w:rsid w:val="001949A3"/>
    <w:pPr>
      <w:snapToGrid w:val="0"/>
      <w:spacing w:beforeLines="50" w:before="180" w:line="240" w:lineRule="atLeast"/>
      <w:ind w:leftChars="472" w:left="1133"/>
      <w:jc w:val="both"/>
    </w:pPr>
    <w:rPr>
      <w:rFonts w:ascii="標楷體" w:eastAsia="標楷體" w:hAnsi="標楷體" w:cs="Times New Roman"/>
      <w:b/>
      <w:kern w:val="0"/>
      <w:sz w:val="28"/>
      <w:szCs w:val="28"/>
    </w:rPr>
  </w:style>
  <w:style w:type="character" w:customStyle="1" w:styleId="afffffffc">
    <w:name w:val="報討提 字元"/>
    <w:link w:val="afffffffb"/>
    <w:rsid w:val="001949A3"/>
    <w:rPr>
      <w:rFonts w:ascii="標楷體" w:eastAsia="標楷體" w:hAnsi="標楷體" w:cs="Times New Roman"/>
      <w:b/>
      <w:kern w:val="0"/>
      <w:sz w:val="28"/>
      <w:szCs w:val="28"/>
    </w:rPr>
  </w:style>
  <w:style w:type="paragraph" w:customStyle="1" w:styleId="afffffffd">
    <w:name w:val="提案人："/>
    <w:basedOn w:val="a4"/>
    <w:link w:val="afffffffe"/>
    <w:autoRedefine/>
    <w:qFormat/>
    <w:rsid w:val="001949A3"/>
    <w:pPr>
      <w:snapToGrid w:val="0"/>
      <w:spacing w:line="240" w:lineRule="atLeast"/>
      <w:ind w:leftChars="1859" w:left="4462" w:firstLineChars="6" w:firstLine="17"/>
      <w:jc w:val="both"/>
    </w:pPr>
    <w:rPr>
      <w:rFonts w:eastAsia="標楷體"/>
      <w:sz w:val="28"/>
    </w:rPr>
  </w:style>
  <w:style w:type="character" w:customStyle="1" w:styleId="afffffffe">
    <w:name w:val="提案人： 字元"/>
    <w:link w:val="afffffffd"/>
    <w:rsid w:val="001949A3"/>
    <w:rPr>
      <w:rFonts w:ascii="Times New Roman" w:eastAsia="標楷體" w:hAnsi="Times New Roman" w:cs="Times New Roman"/>
      <w:sz w:val="28"/>
      <w:szCs w:val="24"/>
    </w:rPr>
  </w:style>
  <w:style w:type="paragraph" w:customStyle="1" w:styleId="affffffff">
    <w:name w:val="提案人：內文齊"/>
    <w:link w:val="affffffff0"/>
    <w:autoRedefine/>
    <w:qFormat/>
    <w:rsid w:val="001949A3"/>
    <w:pPr>
      <w:snapToGrid w:val="0"/>
      <w:spacing w:line="240" w:lineRule="atLeast"/>
      <w:ind w:leftChars="1889" w:left="4534" w:firstLine="2"/>
    </w:pPr>
    <w:rPr>
      <w:rFonts w:ascii="Times New Roman" w:eastAsia="標楷體" w:hAnsi="Times New Roman" w:cs="Times New Roman"/>
      <w:sz w:val="28"/>
      <w:szCs w:val="24"/>
    </w:rPr>
  </w:style>
  <w:style w:type="character" w:customStyle="1" w:styleId="affffffff0">
    <w:name w:val="提案人：內文齊 字元"/>
    <w:link w:val="affffffff"/>
    <w:rsid w:val="001949A3"/>
    <w:rPr>
      <w:rFonts w:ascii="Times New Roman" w:eastAsia="標楷體" w:hAnsi="Times New Roman" w:cs="Times New Roman"/>
      <w:sz w:val="28"/>
      <w:szCs w:val="24"/>
    </w:rPr>
  </w:style>
  <w:style w:type="paragraph" w:customStyle="1" w:styleId="affffffff1">
    <w:name w:val="(一)"/>
    <w:link w:val="affffffff2"/>
    <w:autoRedefine/>
    <w:qFormat/>
    <w:rsid w:val="001949A3"/>
    <w:pPr>
      <w:tabs>
        <w:tab w:val="left" w:pos="709"/>
        <w:tab w:val="left" w:pos="7655"/>
      </w:tabs>
      <w:snapToGrid w:val="0"/>
      <w:spacing w:line="240" w:lineRule="atLeast"/>
      <w:ind w:firstLineChars="202" w:firstLine="566"/>
      <w:contextualSpacing/>
      <w:jc w:val="both"/>
    </w:pPr>
    <w:rPr>
      <w:rFonts w:ascii="標楷體" w:eastAsia="標楷體" w:hAnsi="標楷體" w:cs="Times New Roman"/>
      <w:sz w:val="28"/>
      <w:szCs w:val="28"/>
    </w:rPr>
  </w:style>
  <w:style w:type="character" w:customStyle="1" w:styleId="affffffff2">
    <w:name w:val="(一) 字元"/>
    <w:link w:val="affffffff1"/>
    <w:rsid w:val="001949A3"/>
    <w:rPr>
      <w:rFonts w:ascii="標楷體" w:eastAsia="標楷體" w:hAnsi="標楷體" w:cs="Times New Roman"/>
      <w:sz w:val="28"/>
      <w:szCs w:val="28"/>
    </w:rPr>
  </w:style>
  <w:style w:type="character" w:styleId="affffffff3">
    <w:name w:val="Subtle Emphasis"/>
    <w:uiPriority w:val="19"/>
    <w:qFormat/>
    <w:rsid w:val="001949A3"/>
    <w:rPr>
      <w:i/>
      <w:iCs/>
      <w:color w:val="808080"/>
    </w:rPr>
  </w:style>
  <w:style w:type="paragraph" w:customStyle="1" w:styleId="1d">
    <w:name w:val="分列提案理由1"/>
    <w:basedOn w:val="a4"/>
    <w:qFormat/>
    <w:rsid w:val="001949A3"/>
    <w:pPr>
      <w:adjustRightInd w:val="0"/>
      <w:snapToGrid w:val="0"/>
      <w:spacing w:line="362" w:lineRule="exact"/>
      <w:ind w:leftChars="413" w:left="1274" w:hangingChars="101" w:hanging="283"/>
      <w:jc w:val="both"/>
    </w:pPr>
    <w:rPr>
      <w:rFonts w:ascii="標楷體" w:eastAsia="標楷體" w:hAnsi="標楷體"/>
      <w:kern w:val="0"/>
      <w:sz w:val="28"/>
      <w:szCs w:val="28"/>
    </w:rPr>
  </w:style>
  <w:style w:type="paragraph" w:customStyle="1" w:styleId="affffffff4">
    <w:name w:val="分列提案理由（總）"/>
    <w:basedOn w:val="a4"/>
    <w:qFormat/>
    <w:rsid w:val="001949A3"/>
    <w:pPr>
      <w:adjustRightInd w:val="0"/>
      <w:snapToGrid w:val="0"/>
      <w:spacing w:line="362" w:lineRule="exact"/>
      <w:ind w:leftChars="178" w:left="967" w:hangingChars="193" w:hanging="540"/>
      <w:jc w:val="both"/>
    </w:pPr>
    <w:rPr>
      <w:rFonts w:ascii="標楷體" w:eastAsia="標楷體" w:hAnsi="標楷體"/>
      <w:sz w:val="28"/>
      <w:szCs w:val="28"/>
    </w:rPr>
  </w:style>
  <w:style w:type="paragraph" w:customStyle="1" w:styleId="215">
    <w:name w:val="字元 字元2 字元 字元 字元1"/>
    <w:basedOn w:val="a4"/>
    <w:semiHidden/>
    <w:rsid w:val="001949A3"/>
    <w:pPr>
      <w:spacing w:after="160" w:line="240" w:lineRule="exact"/>
    </w:pPr>
    <w:rPr>
      <w:rFonts w:ascii="Verdana" w:eastAsia="Times New Roman" w:hAnsi="Verdana"/>
      <w:kern w:val="0"/>
      <w:sz w:val="20"/>
      <w:szCs w:val="20"/>
      <w:lang w:eastAsia="en-US"/>
    </w:rPr>
  </w:style>
  <w:style w:type="paragraph" w:customStyle="1" w:styleId="11a">
    <w:name w:val="字元 字元11"/>
    <w:basedOn w:val="a4"/>
    <w:semiHidden/>
    <w:rsid w:val="001949A3"/>
    <w:pPr>
      <w:spacing w:after="160" w:line="240" w:lineRule="exact"/>
    </w:pPr>
    <w:rPr>
      <w:rFonts w:ascii="Verdana" w:eastAsia="Times New Roman" w:hAnsi="Verdana" w:cs="Mangal"/>
      <w:sz w:val="20"/>
      <w:lang w:eastAsia="en-US" w:bidi="hi-IN"/>
    </w:rPr>
  </w:style>
  <w:style w:type="paragraph" w:customStyle="1" w:styleId="1e">
    <w:name w:val="字元 字元 字元1"/>
    <w:basedOn w:val="a4"/>
    <w:semiHidden/>
    <w:rsid w:val="001949A3"/>
    <w:pPr>
      <w:spacing w:after="160" w:line="240" w:lineRule="exact"/>
    </w:pPr>
    <w:rPr>
      <w:rFonts w:ascii="Tahoma" w:hAnsi="Tahoma" w:cs="Tahoma"/>
      <w:kern w:val="0"/>
      <w:sz w:val="20"/>
      <w:szCs w:val="20"/>
      <w:lang w:eastAsia="en-US"/>
    </w:rPr>
  </w:style>
  <w:style w:type="character" w:customStyle="1" w:styleId="614">
    <w:name w:val="字元6 字元1"/>
    <w:semiHidden/>
    <w:rsid w:val="001949A3"/>
    <w:rPr>
      <w:rFonts w:ascii="Cambria" w:eastAsia="新細明體" w:hAnsi="Cambria" w:cs="Times New Roman"/>
      <w:b/>
      <w:bCs/>
      <w:sz w:val="48"/>
      <w:szCs w:val="48"/>
    </w:rPr>
  </w:style>
  <w:style w:type="character" w:customStyle="1" w:styleId="414">
    <w:name w:val="字元4 字元1"/>
    <w:rsid w:val="001949A3"/>
    <w:rPr>
      <w:kern w:val="2"/>
    </w:rPr>
  </w:style>
  <w:style w:type="character" w:customStyle="1" w:styleId="714">
    <w:name w:val="字元7 字元1"/>
    <w:rsid w:val="001949A3"/>
    <w:rPr>
      <w:rFonts w:ascii="Cambria" w:eastAsia="新細明體" w:hAnsi="Cambria" w:cs="Times New Roman"/>
      <w:b/>
      <w:bCs/>
      <w:kern w:val="52"/>
      <w:sz w:val="52"/>
      <w:szCs w:val="52"/>
    </w:rPr>
  </w:style>
  <w:style w:type="character" w:customStyle="1" w:styleId="514">
    <w:name w:val="字元5 字元1"/>
    <w:semiHidden/>
    <w:rsid w:val="001949A3"/>
    <w:rPr>
      <w:rFonts w:ascii="Cambria" w:eastAsia="新細明體" w:hAnsi="Cambria" w:cs="Times New Roman"/>
      <w:b/>
      <w:bCs/>
      <w:kern w:val="2"/>
      <w:sz w:val="36"/>
      <w:szCs w:val="36"/>
    </w:rPr>
  </w:style>
  <w:style w:type="character" w:customStyle="1" w:styleId="1414">
    <w:name w:val="字元141"/>
    <w:rsid w:val="001949A3"/>
    <w:rPr>
      <w:rFonts w:ascii="Times New Roman" w:eastAsia="標楷體" w:hAnsi="Times New Roman" w:cs="Times New Roman"/>
      <w:sz w:val="20"/>
      <w:szCs w:val="20"/>
    </w:rPr>
  </w:style>
  <w:style w:type="character" w:customStyle="1" w:styleId="1312">
    <w:name w:val="字元131"/>
    <w:rsid w:val="001949A3"/>
    <w:rPr>
      <w:rFonts w:ascii="Times New Roman" w:eastAsia="標楷體" w:hAnsi="Times New Roman" w:cs="Times New Roman"/>
      <w:sz w:val="20"/>
      <w:szCs w:val="20"/>
    </w:rPr>
  </w:style>
  <w:style w:type="character" w:customStyle="1" w:styleId="1212">
    <w:name w:val="字元121"/>
    <w:rsid w:val="001949A3"/>
    <w:rPr>
      <w:rFonts w:ascii="Times New Roman" w:eastAsia="標楷體" w:hAnsi="Times New Roman" w:cs="Times New Roman"/>
      <w:sz w:val="28"/>
    </w:rPr>
  </w:style>
  <w:style w:type="character" w:customStyle="1" w:styleId="1115">
    <w:name w:val="字元111"/>
    <w:semiHidden/>
    <w:rsid w:val="001949A3"/>
    <w:rPr>
      <w:rFonts w:ascii="Times New Roman" w:eastAsia="標楷體" w:hAnsi="Times New Roman" w:cs="Times New Roman"/>
      <w:b/>
      <w:bCs/>
      <w:sz w:val="28"/>
    </w:rPr>
  </w:style>
  <w:style w:type="character" w:customStyle="1" w:styleId="1012">
    <w:name w:val="字元101"/>
    <w:rsid w:val="001949A3"/>
    <w:rPr>
      <w:rFonts w:ascii="Cambria" w:eastAsia="新細明體" w:hAnsi="Cambria" w:cs="Times New Roman"/>
      <w:sz w:val="18"/>
      <w:szCs w:val="18"/>
    </w:rPr>
  </w:style>
  <w:style w:type="character" w:customStyle="1" w:styleId="2113">
    <w:name w:val="字元211"/>
    <w:rsid w:val="001949A3"/>
    <w:rPr>
      <w:rFonts w:ascii="新細明體" w:hAnsi="Times New Roman"/>
      <w:kern w:val="2"/>
      <w:sz w:val="18"/>
      <w:szCs w:val="18"/>
    </w:rPr>
  </w:style>
  <w:style w:type="character" w:customStyle="1" w:styleId="1712">
    <w:name w:val="字元171"/>
    <w:rsid w:val="001949A3"/>
    <w:rPr>
      <w:rFonts w:ascii="Cambria" w:eastAsia="新細明體" w:hAnsi="Cambria" w:cs="Times New Roman"/>
      <w:b/>
      <w:bCs/>
      <w:kern w:val="52"/>
      <w:sz w:val="52"/>
      <w:szCs w:val="52"/>
    </w:rPr>
  </w:style>
  <w:style w:type="character" w:customStyle="1" w:styleId="1612">
    <w:name w:val="字元161"/>
    <w:rsid w:val="001949A3"/>
    <w:rPr>
      <w:rFonts w:ascii="Cambria" w:eastAsia="新細明體" w:hAnsi="Cambria" w:cs="Times New Roman"/>
      <w:b/>
      <w:bCs/>
      <w:kern w:val="2"/>
      <w:sz w:val="48"/>
      <w:szCs w:val="48"/>
    </w:rPr>
  </w:style>
  <w:style w:type="character" w:customStyle="1" w:styleId="1512">
    <w:name w:val="字元151"/>
    <w:rsid w:val="001949A3"/>
    <w:rPr>
      <w:rFonts w:ascii="Cambria" w:eastAsia="新細明體" w:hAnsi="Cambria" w:cs="Times New Roman"/>
      <w:b/>
      <w:bCs/>
      <w:kern w:val="2"/>
      <w:sz w:val="36"/>
      <w:szCs w:val="36"/>
    </w:rPr>
  </w:style>
  <w:style w:type="character" w:customStyle="1" w:styleId="1911">
    <w:name w:val="字元191"/>
    <w:rsid w:val="001949A3"/>
    <w:rPr>
      <w:rFonts w:ascii="華康楷書體W5" w:eastAsia="標楷體" w:hAnsi="Times New Roman"/>
      <w:bCs/>
      <w:spacing w:val="20"/>
      <w:kern w:val="2"/>
      <w:sz w:val="28"/>
    </w:rPr>
  </w:style>
  <w:style w:type="paragraph" w:customStyle="1" w:styleId="216">
    <w:name w:val="字元 字元2 字元 字元 字元 字元 字元1"/>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18">
    <w:name w:val="字元 字元2 字元 字元 字元 字元 字元 字元 字元1"/>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19">
    <w:name w:val="字元 字元2 字元 字元 字元 字元 字元 字元 字元 字元1"/>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1a">
    <w:name w:val="字元 字元2 字元 字元 字元 字元 字元 字元 字元 字元 字元1"/>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1b">
    <w:name w:val="字元 字元2 字元 字元 字元 字元 字元 字元 字元 字元 字元 字元1"/>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1c">
    <w:name w:val="字元 字元2 字元 字元 字元 字元 字元 字元1"/>
    <w:basedOn w:val="a4"/>
    <w:semiHidden/>
    <w:rsid w:val="001949A3"/>
    <w:pPr>
      <w:spacing w:after="160" w:line="240" w:lineRule="exact"/>
    </w:pPr>
    <w:rPr>
      <w:rFonts w:ascii="Verdana" w:eastAsia="Times New Roman" w:hAnsi="Verdana"/>
      <w:kern w:val="0"/>
      <w:sz w:val="20"/>
      <w:szCs w:val="20"/>
      <w:lang w:eastAsia="en-US"/>
    </w:rPr>
  </w:style>
  <w:style w:type="numbering" w:customStyle="1" w:styleId="2311">
    <w:name w:val="樣式231"/>
    <w:rsid w:val="001949A3"/>
  </w:style>
  <w:style w:type="numbering" w:customStyle="1" w:styleId="1313">
    <w:name w:val="樣式131"/>
    <w:rsid w:val="001949A3"/>
  </w:style>
  <w:style w:type="numbering" w:customStyle="1" w:styleId="3311">
    <w:name w:val="樣式331"/>
    <w:basedOn w:val="a7"/>
    <w:rsid w:val="001949A3"/>
  </w:style>
  <w:style w:type="numbering" w:customStyle="1" w:styleId="11211">
    <w:name w:val="樣式1121"/>
    <w:rsid w:val="001949A3"/>
  </w:style>
  <w:style w:type="numbering" w:customStyle="1" w:styleId="21210">
    <w:name w:val="樣式2121"/>
    <w:rsid w:val="001949A3"/>
  </w:style>
  <w:style w:type="numbering" w:customStyle="1" w:styleId="31210">
    <w:name w:val="樣式3121"/>
    <w:basedOn w:val="a7"/>
    <w:rsid w:val="001949A3"/>
  </w:style>
  <w:style w:type="numbering" w:customStyle="1" w:styleId="11111121">
    <w:name w:val="1 / 1.1 / 1.1.121"/>
    <w:basedOn w:val="a7"/>
    <w:next w:val="111111"/>
    <w:rsid w:val="001949A3"/>
  </w:style>
  <w:style w:type="paragraph" w:customStyle="1" w:styleId="4-2">
    <w:name w:val="4-附帶2"/>
    <w:basedOn w:val="a4"/>
    <w:link w:val="4-20"/>
    <w:qFormat/>
    <w:rsid w:val="001949A3"/>
    <w:pPr>
      <w:snapToGrid w:val="0"/>
      <w:spacing w:line="240" w:lineRule="atLeast"/>
      <w:ind w:leftChars="350" w:left="840" w:firstLineChars="200" w:firstLine="560"/>
      <w:jc w:val="both"/>
    </w:pPr>
    <w:rPr>
      <w:rFonts w:ascii="標楷體" w:eastAsia="標楷體" w:hAnsi="標楷體"/>
      <w:sz w:val="28"/>
      <w:szCs w:val="28"/>
    </w:rPr>
  </w:style>
  <w:style w:type="character" w:customStyle="1" w:styleId="4-20">
    <w:name w:val="4-附帶2 字元"/>
    <w:link w:val="4-2"/>
    <w:rsid w:val="001949A3"/>
    <w:rPr>
      <w:rFonts w:ascii="標楷體" w:eastAsia="標楷體" w:hAnsi="標楷體" w:cs="Times New Roman"/>
      <w:sz w:val="28"/>
      <w:szCs w:val="28"/>
    </w:rPr>
  </w:style>
  <w:style w:type="paragraph" w:customStyle="1" w:styleId="affffffff5">
    <w:name w:val="一、內文齊"/>
    <w:link w:val="affffffff6"/>
    <w:autoRedefine/>
    <w:qFormat/>
    <w:rsid w:val="00A42617"/>
    <w:pPr>
      <w:snapToGrid w:val="0"/>
      <w:spacing w:line="360" w:lineRule="atLeast"/>
      <w:ind w:left="756" w:hangingChars="270" w:hanging="756"/>
      <w:jc w:val="both"/>
    </w:pPr>
    <w:rPr>
      <w:rFonts w:ascii="Calibri" w:eastAsia="標楷體" w:hAnsi="Calibri" w:cs="Times New Roman"/>
      <w:kern w:val="0"/>
      <w:sz w:val="28"/>
      <w:szCs w:val="24"/>
    </w:rPr>
  </w:style>
  <w:style w:type="character" w:customStyle="1" w:styleId="affffffff6">
    <w:name w:val="一、內文齊 字元"/>
    <w:link w:val="affffffff5"/>
    <w:rsid w:val="00A42617"/>
    <w:rPr>
      <w:rFonts w:ascii="Calibri" w:eastAsia="標楷體" w:hAnsi="Calibri" w:cs="Times New Roman"/>
      <w:kern w:val="0"/>
      <w:sz w:val="28"/>
      <w:szCs w:val="24"/>
    </w:rPr>
  </w:style>
  <w:style w:type="numbering" w:customStyle="1" w:styleId="460">
    <w:name w:val="無清單46"/>
    <w:next w:val="a7"/>
    <w:uiPriority w:val="99"/>
    <w:semiHidden/>
    <w:unhideWhenUsed/>
    <w:rsid w:val="001949A3"/>
  </w:style>
  <w:style w:type="numbering" w:customStyle="1" w:styleId="470">
    <w:name w:val="無清單47"/>
    <w:next w:val="a7"/>
    <w:uiPriority w:val="99"/>
    <w:semiHidden/>
    <w:unhideWhenUsed/>
    <w:rsid w:val="001949A3"/>
  </w:style>
  <w:style w:type="paragraph" w:customStyle="1" w:styleId="238">
    <w:name w:val="字元 字元2 字元 字元 字元 字元 字元3"/>
    <w:basedOn w:val="a4"/>
    <w:semiHidden/>
    <w:rsid w:val="001949A3"/>
    <w:pPr>
      <w:spacing w:after="160" w:line="240" w:lineRule="exact"/>
    </w:pPr>
    <w:rPr>
      <w:rFonts w:ascii="Verdana" w:eastAsia="Times New Roman" w:hAnsi="Verdana"/>
      <w:kern w:val="0"/>
      <w:sz w:val="20"/>
      <w:szCs w:val="20"/>
      <w:lang w:eastAsia="en-US"/>
    </w:rPr>
  </w:style>
  <w:style w:type="paragraph" w:customStyle="1" w:styleId="239">
    <w:name w:val="字元 字元2 字元 字元 字元 字元 字元 字元 字元 字元3"/>
    <w:basedOn w:val="a4"/>
    <w:semiHidden/>
    <w:rsid w:val="001949A3"/>
    <w:pPr>
      <w:spacing w:after="160" w:line="240" w:lineRule="exact"/>
    </w:pPr>
    <w:rPr>
      <w:rFonts w:ascii="Verdana" w:eastAsia="Times New Roman" w:hAnsi="Verdana"/>
      <w:kern w:val="0"/>
      <w:sz w:val="20"/>
      <w:szCs w:val="20"/>
      <w:lang w:eastAsia="en-US"/>
    </w:rPr>
  </w:style>
  <w:style w:type="paragraph" w:customStyle="1" w:styleId="3f5">
    <w:name w:val="字元 字元 字元3"/>
    <w:basedOn w:val="a4"/>
    <w:semiHidden/>
    <w:rsid w:val="001949A3"/>
    <w:pPr>
      <w:spacing w:after="160" w:line="240" w:lineRule="exact"/>
    </w:pPr>
    <w:rPr>
      <w:rFonts w:ascii="Verdana" w:eastAsia="Times New Roman" w:hAnsi="Verdana" w:cs="Mangal"/>
      <w:sz w:val="20"/>
      <w:lang w:eastAsia="en-US" w:bidi="hi-IN"/>
    </w:rPr>
  </w:style>
  <w:style w:type="paragraph" w:customStyle="1" w:styleId="affffffff7">
    <w:name w:val="時　　間：凸五齊"/>
    <w:autoRedefine/>
    <w:qFormat/>
    <w:rsid w:val="001949A3"/>
    <w:pPr>
      <w:snapToGrid w:val="0"/>
      <w:spacing w:line="240" w:lineRule="atLeast"/>
      <w:jc w:val="both"/>
    </w:pPr>
    <w:rPr>
      <w:rFonts w:ascii="標楷體" w:eastAsia="標楷體" w:hAnsi="Times New Roman" w:cs="Times New Roman"/>
      <w:color w:val="000000"/>
      <w:sz w:val="28"/>
      <w:szCs w:val="28"/>
    </w:rPr>
  </w:style>
  <w:style w:type="numbering" w:customStyle="1" w:styleId="1111111111">
    <w:name w:val="無清單1111111111"/>
    <w:next w:val="a7"/>
    <w:uiPriority w:val="99"/>
    <w:semiHidden/>
    <w:unhideWhenUsed/>
    <w:rsid w:val="001949A3"/>
  </w:style>
  <w:style w:type="paragraph" w:customStyle="1" w:styleId="Textbody">
    <w:name w:val="Text body"/>
    <w:basedOn w:val="a4"/>
    <w:rsid w:val="001949A3"/>
    <w:pPr>
      <w:suppressAutoHyphens/>
      <w:autoSpaceDN w:val="0"/>
      <w:spacing w:after="140" w:line="288" w:lineRule="auto"/>
      <w:textAlignment w:val="baseline"/>
    </w:pPr>
    <w:rPr>
      <w:rFonts w:eastAsia="新細明體, PMingLiU"/>
      <w:kern w:val="3"/>
      <w:szCs w:val="20"/>
    </w:rPr>
  </w:style>
  <w:style w:type="paragraph" w:customStyle="1" w:styleId="affffffff8">
    <w:name w:val="開會時間"/>
    <w:rsid w:val="001949A3"/>
    <w:pPr>
      <w:widowControl w:val="0"/>
      <w:suppressAutoHyphens/>
      <w:overflowPunct w:val="0"/>
      <w:autoSpaceDN w:val="0"/>
      <w:spacing w:line="600" w:lineRule="exact"/>
      <w:textAlignment w:val="baseline"/>
    </w:pPr>
    <w:rPr>
      <w:rFonts w:ascii="標楷體" w:eastAsia="標楷體" w:hAnsi="標楷體" w:cs="標楷體"/>
      <w:kern w:val="3"/>
      <w:sz w:val="32"/>
      <w:szCs w:val="20"/>
    </w:rPr>
  </w:style>
  <w:style w:type="character" w:customStyle="1" w:styleId="60">
    <w:name w:val="標題 6 字元"/>
    <w:basedOn w:val="a5"/>
    <w:link w:val="6"/>
    <w:rsid w:val="005718F6"/>
    <w:rPr>
      <w:rFonts w:ascii="Cambria" w:eastAsia="新細明體" w:hAnsi="Cambria" w:cs="Times New Roman"/>
      <w:kern w:val="0"/>
      <w:sz w:val="36"/>
      <w:szCs w:val="36"/>
    </w:rPr>
  </w:style>
  <w:style w:type="paragraph" w:customStyle="1" w:styleId="cjk">
    <w:name w:val="cjk"/>
    <w:basedOn w:val="a4"/>
    <w:rsid w:val="005718F6"/>
    <w:pPr>
      <w:suppressAutoHyphens/>
      <w:overflowPunct w:val="0"/>
      <w:autoSpaceDN w:val="0"/>
      <w:spacing w:before="280" w:after="142" w:line="288" w:lineRule="auto"/>
      <w:textAlignment w:val="baseline"/>
    </w:pPr>
    <w:rPr>
      <w:rFonts w:ascii="新細明體, PMingLiU" w:eastAsia="新細明體, PMingLiU" w:hAnsi="新細明體, PMingLiU" w:cs="新細明體, PMingLiU"/>
      <w:color w:val="000000"/>
      <w:kern w:val="3"/>
      <w:szCs w:val="20"/>
    </w:rPr>
  </w:style>
  <w:style w:type="character" w:styleId="affffffff9">
    <w:name w:val="Strong"/>
    <w:uiPriority w:val="22"/>
    <w:qFormat/>
    <w:rsid w:val="005718F6"/>
    <w:rPr>
      <w:b/>
      <w:bCs/>
    </w:rPr>
  </w:style>
  <w:style w:type="character" w:customStyle="1" w:styleId="usetext1">
    <w:name w:val="use_text1"/>
    <w:rsid w:val="005718F6"/>
    <w:rPr>
      <w:rFonts w:ascii="sөũ" w:hAnsi="sөũ" w:cs="Arial" w:hint="default"/>
      <w:sz w:val="20"/>
      <w:szCs w:val="20"/>
    </w:rPr>
  </w:style>
  <w:style w:type="paragraph" w:customStyle="1" w:styleId="affffffffa">
    <w:name w:val="會議標題"/>
    <w:basedOn w:val="a4"/>
    <w:qFormat/>
    <w:rsid w:val="005718F6"/>
    <w:pPr>
      <w:spacing w:line="480" w:lineRule="exact"/>
      <w:jc w:val="center"/>
    </w:pPr>
    <w:rPr>
      <w:rFonts w:ascii="標楷體" w:eastAsia="標楷體" w:hAnsi="標楷體"/>
      <w:b/>
      <w:color w:val="000000"/>
      <w:sz w:val="40"/>
      <w:szCs w:val="40"/>
    </w:rPr>
  </w:style>
  <w:style w:type="paragraph" w:customStyle="1" w:styleId="615">
    <w:name w:val="標題 61"/>
    <w:basedOn w:val="a4"/>
    <w:next w:val="a4"/>
    <w:unhideWhenUsed/>
    <w:qFormat/>
    <w:rsid w:val="005718F6"/>
    <w:pPr>
      <w:keepNext/>
      <w:spacing w:line="720" w:lineRule="auto"/>
      <w:ind w:leftChars="200" w:left="200"/>
      <w:outlineLvl w:val="5"/>
    </w:pPr>
    <w:rPr>
      <w:rFonts w:ascii="Cambria" w:hAnsi="Cambria"/>
      <w:sz w:val="36"/>
      <w:szCs w:val="36"/>
    </w:rPr>
  </w:style>
  <w:style w:type="numbering" w:customStyle="1" w:styleId="480">
    <w:name w:val="無清單48"/>
    <w:next w:val="a7"/>
    <w:uiPriority w:val="99"/>
    <w:semiHidden/>
    <w:unhideWhenUsed/>
    <w:rsid w:val="005718F6"/>
  </w:style>
  <w:style w:type="table" w:customStyle="1" w:styleId="207">
    <w:name w:val="表格格線207"/>
    <w:basedOn w:val="a6"/>
    <w:next w:val="ae"/>
    <w:uiPriority w:val="39"/>
    <w:rsid w:val="005718F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0">
    <w:name w:val="表格格線1100"/>
    <w:basedOn w:val="a6"/>
    <w:next w:val="ae"/>
    <w:uiPriority w:val="59"/>
    <w:rsid w:val="005718F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表格格線214"/>
    <w:basedOn w:val="a6"/>
    <w:next w:val="ae"/>
    <w:uiPriority w:val="39"/>
    <w:rsid w:val="005718F6"/>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c">
    <w:name w:val="標題4"/>
    <w:next w:val="affffffffb"/>
    <w:link w:val="affffffffc"/>
    <w:qFormat/>
    <w:rsid w:val="005718F6"/>
    <w:rPr>
      <w:rFonts w:ascii="Times New Roman" w:eastAsia="新細明體" w:hAnsi="Times New Roman" w:cs="Times New Roman"/>
      <w:color w:val="120A02"/>
      <w:kern w:val="0"/>
      <w:sz w:val="48"/>
      <w:szCs w:val="48"/>
    </w:rPr>
  </w:style>
  <w:style w:type="character" w:customStyle="1" w:styleId="affffffffc">
    <w:name w:val="標題 字元"/>
    <w:basedOn w:val="a5"/>
    <w:link w:val="4c"/>
    <w:rsid w:val="005718F6"/>
    <w:rPr>
      <w:rFonts w:ascii="Times New Roman" w:eastAsia="新細明體" w:hAnsi="Times New Roman" w:cs="Times New Roman"/>
      <w:color w:val="120A02"/>
      <w:kern w:val="0"/>
      <w:sz w:val="48"/>
      <w:szCs w:val="48"/>
    </w:rPr>
  </w:style>
  <w:style w:type="character" w:customStyle="1" w:styleId="616">
    <w:name w:val="標題 6 字元1"/>
    <w:basedOn w:val="a5"/>
    <w:uiPriority w:val="9"/>
    <w:semiHidden/>
    <w:rsid w:val="005718F6"/>
    <w:rPr>
      <w:rFonts w:asciiTheme="majorHAnsi" w:eastAsiaTheme="majorEastAsia" w:hAnsiTheme="majorHAnsi" w:cstheme="majorBidi"/>
      <w:kern w:val="2"/>
      <w:sz w:val="36"/>
      <w:szCs w:val="36"/>
    </w:rPr>
  </w:style>
  <w:style w:type="paragraph" w:styleId="affffffffb">
    <w:name w:val="Title"/>
    <w:basedOn w:val="a4"/>
    <w:next w:val="a4"/>
    <w:link w:val="1f"/>
    <w:qFormat/>
    <w:rsid w:val="005718F6"/>
    <w:pPr>
      <w:spacing w:before="240" w:after="60"/>
      <w:jc w:val="center"/>
      <w:outlineLvl w:val="0"/>
    </w:pPr>
    <w:rPr>
      <w:rFonts w:asciiTheme="majorHAnsi" w:eastAsiaTheme="majorEastAsia" w:hAnsiTheme="majorHAnsi" w:cstheme="majorBidi"/>
      <w:b/>
      <w:bCs/>
      <w:sz w:val="32"/>
      <w:szCs w:val="32"/>
    </w:rPr>
  </w:style>
  <w:style w:type="character" w:customStyle="1" w:styleId="1f">
    <w:name w:val="標題 字元1"/>
    <w:basedOn w:val="a5"/>
    <w:link w:val="affffffffb"/>
    <w:uiPriority w:val="10"/>
    <w:rsid w:val="005718F6"/>
    <w:rPr>
      <w:rFonts w:asciiTheme="majorHAnsi" w:eastAsiaTheme="majorEastAsia" w:hAnsiTheme="majorHAnsi" w:cstheme="majorBidi"/>
      <w:b/>
      <w:bCs/>
      <w:sz w:val="32"/>
      <w:szCs w:val="32"/>
    </w:rPr>
  </w:style>
  <w:style w:type="numbering" w:customStyle="1" w:styleId="249">
    <w:name w:val="樣式24"/>
    <w:rsid w:val="00C82C23"/>
  </w:style>
  <w:style w:type="numbering" w:customStyle="1" w:styleId="14d">
    <w:name w:val="樣式14"/>
    <w:rsid w:val="00C82C23"/>
  </w:style>
  <w:style w:type="numbering" w:customStyle="1" w:styleId="343">
    <w:name w:val="樣式34"/>
    <w:basedOn w:val="a7"/>
    <w:rsid w:val="00C82C23"/>
  </w:style>
  <w:style w:type="numbering" w:customStyle="1" w:styleId="1133">
    <w:name w:val="樣式113"/>
    <w:rsid w:val="00C82C23"/>
  </w:style>
  <w:style w:type="numbering" w:customStyle="1" w:styleId="2133">
    <w:name w:val="樣式213"/>
    <w:rsid w:val="00C82C23"/>
  </w:style>
  <w:style w:type="numbering" w:customStyle="1" w:styleId="3130">
    <w:name w:val="樣式313"/>
    <w:basedOn w:val="a7"/>
    <w:rsid w:val="00C82C23"/>
  </w:style>
  <w:style w:type="numbering" w:customStyle="1" w:styleId="11111130">
    <w:name w:val="1 / 1.1 / 1.1.13"/>
    <w:basedOn w:val="a7"/>
    <w:next w:val="111111"/>
    <w:rsid w:val="00C82C23"/>
  </w:style>
  <w:style w:type="numbering" w:customStyle="1" w:styleId="253">
    <w:name w:val="樣式25"/>
    <w:rsid w:val="00C82C23"/>
  </w:style>
  <w:style w:type="numbering" w:customStyle="1" w:styleId="15a">
    <w:name w:val="樣式15"/>
    <w:rsid w:val="00C82C23"/>
  </w:style>
  <w:style w:type="numbering" w:customStyle="1" w:styleId="353">
    <w:name w:val="樣式35"/>
    <w:basedOn w:val="a7"/>
    <w:rsid w:val="00C82C23"/>
  </w:style>
  <w:style w:type="numbering" w:customStyle="1" w:styleId="1142">
    <w:name w:val="樣式114"/>
    <w:rsid w:val="00C82C23"/>
  </w:style>
  <w:style w:type="numbering" w:customStyle="1" w:styleId="2142">
    <w:name w:val="樣式214"/>
    <w:rsid w:val="00C82C23"/>
  </w:style>
  <w:style w:type="numbering" w:customStyle="1" w:styleId="3140">
    <w:name w:val="樣式314"/>
    <w:basedOn w:val="a7"/>
    <w:rsid w:val="00C82C23"/>
  </w:style>
  <w:style w:type="numbering" w:customStyle="1" w:styleId="1111114">
    <w:name w:val="1 / 1.1 / 1.1.14"/>
    <w:basedOn w:val="a7"/>
    <w:next w:val="111111"/>
    <w:rsid w:val="00C82C23"/>
  </w:style>
  <w:style w:type="numbering" w:customStyle="1" w:styleId="2411">
    <w:name w:val="樣式241"/>
    <w:rsid w:val="00C82C23"/>
  </w:style>
  <w:style w:type="numbering" w:customStyle="1" w:styleId="1415">
    <w:name w:val="樣式141"/>
    <w:rsid w:val="00C82C23"/>
  </w:style>
  <w:style w:type="numbering" w:customStyle="1" w:styleId="3411">
    <w:name w:val="樣式341"/>
    <w:basedOn w:val="a7"/>
    <w:rsid w:val="00C82C23"/>
  </w:style>
  <w:style w:type="numbering" w:customStyle="1" w:styleId="11310">
    <w:name w:val="樣式1131"/>
    <w:rsid w:val="00C82C23"/>
  </w:style>
  <w:style w:type="numbering" w:customStyle="1" w:styleId="21310">
    <w:name w:val="樣式2131"/>
    <w:rsid w:val="00C82C23"/>
  </w:style>
  <w:style w:type="numbering" w:customStyle="1" w:styleId="3131">
    <w:name w:val="樣式3131"/>
    <w:basedOn w:val="a7"/>
    <w:rsid w:val="00C82C23"/>
  </w:style>
  <w:style w:type="numbering" w:customStyle="1" w:styleId="11111131">
    <w:name w:val="1 / 1.1 / 1.1.131"/>
    <w:basedOn w:val="a7"/>
    <w:next w:val="111111"/>
    <w:rsid w:val="00C82C23"/>
  </w:style>
  <w:style w:type="character" w:customStyle="1" w:styleId="2f8">
    <w:name w:val="未解析的提及2"/>
    <w:basedOn w:val="a5"/>
    <w:uiPriority w:val="99"/>
    <w:semiHidden/>
    <w:unhideWhenUsed/>
    <w:rsid w:val="00117815"/>
    <w:rPr>
      <w:color w:val="605E5C"/>
      <w:shd w:val="clear" w:color="auto" w:fill="E1DFDD"/>
    </w:rPr>
  </w:style>
  <w:style w:type="numbering" w:customStyle="1" w:styleId="1111115">
    <w:name w:val="1 / 1.1 / 1.1.15"/>
    <w:basedOn w:val="a7"/>
    <w:next w:val="111111"/>
    <w:rsid w:val="008126E8"/>
  </w:style>
  <w:style w:type="paragraph" w:customStyle="1" w:styleId="912">
    <w:name w:val="標題 91"/>
    <w:basedOn w:val="a4"/>
    <w:next w:val="a4"/>
    <w:uiPriority w:val="9"/>
    <w:semiHidden/>
    <w:unhideWhenUsed/>
    <w:qFormat/>
    <w:rsid w:val="006268B5"/>
    <w:pPr>
      <w:keepNext/>
      <w:spacing w:line="720" w:lineRule="auto"/>
      <w:ind w:leftChars="400" w:left="400"/>
      <w:outlineLvl w:val="8"/>
    </w:pPr>
    <w:rPr>
      <w:rFonts w:ascii="Calibri Light" w:hAnsi="Calibri Light"/>
      <w:sz w:val="36"/>
      <w:szCs w:val="36"/>
    </w:rPr>
  </w:style>
  <w:style w:type="paragraph" w:customStyle="1" w:styleId="21d">
    <w:name w:val="目錄 21"/>
    <w:basedOn w:val="a4"/>
    <w:next w:val="a4"/>
    <w:autoRedefine/>
    <w:uiPriority w:val="39"/>
    <w:qFormat/>
    <w:rsid w:val="006268B5"/>
    <w:pPr>
      <w:tabs>
        <w:tab w:val="right" w:leader="middleDot" w:pos="8789"/>
      </w:tabs>
      <w:adjustRightInd w:val="0"/>
      <w:snapToGrid w:val="0"/>
      <w:spacing w:beforeLines="20" w:before="72" w:afterLines="20" w:after="72" w:line="500" w:lineRule="exact"/>
      <w:ind w:leftChars="200" w:left="760" w:hangingChars="100" w:hanging="280"/>
    </w:pPr>
    <w:rPr>
      <w:rFonts w:ascii="標楷體" w:eastAsia="標楷體" w:hAnsi="標楷體"/>
      <w:bCs/>
      <w:iCs/>
      <w:noProof/>
      <w:sz w:val="28"/>
      <w:szCs w:val="28"/>
      <w:shd w:val="clear" w:color="auto" w:fill="FFFFFF"/>
    </w:rPr>
  </w:style>
  <w:style w:type="paragraph" w:customStyle="1" w:styleId="1f0">
    <w:name w:val="無間距1"/>
    <w:next w:val="afffffff5"/>
    <w:uiPriority w:val="1"/>
    <w:qFormat/>
    <w:rsid w:val="006268B5"/>
    <w:pPr>
      <w:widowControl w:val="0"/>
    </w:pPr>
  </w:style>
  <w:style w:type="numbering" w:customStyle="1" w:styleId="11111111111">
    <w:name w:val="無清單11111111111"/>
    <w:next w:val="a7"/>
    <w:uiPriority w:val="99"/>
    <w:semiHidden/>
    <w:unhideWhenUsed/>
    <w:rsid w:val="006268B5"/>
  </w:style>
  <w:style w:type="paragraph" w:customStyle="1" w:styleId="5b">
    <w:name w:val="標題5"/>
    <w:basedOn w:val="a4"/>
    <w:next w:val="a4"/>
    <w:uiPriority w:val="10"/>
    <w:qFormat/>
    <w:rsid w:val="006268B5"/>
    <w:pPr>
      <w:spacing w:before="240" w:after="60"/>
      <w:jc w:val="center"/>
      <w:outlineLvl w:val="0"/>
    </w:pPr>
    <w:rPr>
      <w:rFonts w:ascii="Calibri Light" w:hAnsi="Calibri Light"/>
      <w:b/>
      <w:bCs/>
      <w:sz w:val="32"/>
      <w:szCs w:val="32"/>
    </w:rPr>
  </w:style>
  <w:style w:type="character" w:customStyle="1" w:styleId="913">
    <w:name w:val="標題 9 字元1"/>
    <w:basedOn w:val="a5"/>
    <w:uiPriority w:val="9"/>
    <w:semiHidden/>
    <w:rsid w:val="006268B5"/>
    <w:rPr>
      <w:rFonts w:asciiTheme="majorHAnsi" w:eastAsiaTheme="majorEastAsia" w:hAnsiTheme="majorHAnsi" w:cstheme="majorBidi"/>
      <w:sz w:val="36"/>
      <w:szCs w:val="36"/>
    </w:rPr>
  </w:style>
  <w:style w:type="character" w:customStyle="1" w:styleId="2f9">
    <w:name w:val="標題 字元2"/>
    <w:basedOn w:val="a5"/>
    <w:uiPriority w:val="10"/>
    <w:rsid w:val="006268B5"/>
    <w:rPr>
      <w:rFonts w:asciiTheme="majorHAnsi" w:eastAsiaTheme="majorEastAsia" w:hAnsiTheme="majorHAnsi" w:cstheme="majorBidi"/>
      <w:b/>
      <w:bCs/>
      <w:sz w:val="32"/>
      <w:szCs w:val="32"/>
    </w:rPr>
  </w:style>
  <w:style w:type="numbering" w:customStyle="1" w:styleId="490">
    <w:name w:val="無清單49"/>
    <w:next w:val="a7"/>
    <w:uiPriority w:val="99"/>
    <w:semiHidden/>
    <w:unhideWhenUsed/>
    <w:rsid w:val="006268B5"/>
  </w:style>
  <w:style w:type="character" w:customStyle="1" w:styleId="afff">
    <w:name w:val="清單段落 字元"/>
    <w:aliases w:val="01清單段落 字元,lp1 字元,FooterText 字元,numbered 字元,List Paragraph1 字元,Paragraphe de liste1 字元,標1 字元,1.1.1.1清單段落 字元,列點 字元,(二) 字元,List Paragraph 字元,圖標號 字元,標題 (4) 字元,Recommendation 字元,Footnote Sam 字元,List Paragraph (numbered (a)) 字元,Text 字元,RUS List 字元"/>
    <w:link w:val="affe"/>
    <w:uiPriority w:val="34"/>
    <w:qFormat/>
    <w:locked/>
    <w:rsid w:val="00595F1B"/>
    <w:rPr>
      <w:rFonts w:ascii="Calibri" w:eastAsia="新細明體" w:hAnsi="Calibri" w:cs="Times New Roman"/>
    </w:rPr>
  </w:style>
  <w:style w:type="paragraph" w:customStyle="1" w:styleId="Web4">
    <w:name w:val="內文 (Web)4"/>
    <w:basedOn w:val="a4"/>
    <w:rsid w:val="00595F1B"/>
    <w:pPr>
      <w:wordWrap w:val="0"/>
      <w:spacing w:before="100" w:beforeAutospacing="1" w:after="100" w:afterAutospacing="1" w:line="360" w:lineRule="atLeast"/>
    </w:pPr>
    <w:rPr>
      <w:rFonts w:ascii="新細明體" w:hAnsi="新細明體" w:cs="新細明體"/>
      <w:kern w:val="0"/>
    </w:rPr>
  </w:style>
  <w:style w:type="paragraph" w:customStyle="1" w:styleId="author1">
    <w:name w:val="author1"/>
    <w:basedOn w:val="a4"/>
    <w:rsid w:val="00595F1B"/>
    <w:pPr>
      <w:shd w:val="clear" w:color="auto" w:fill="F4F4F4"/>
      <w:wordWrap w:val="0"/>
      <w:spacing w:after="60" w:line="360" w:lineRule="atLeast"/>
      <w:ind w:left="1920" w:right="1920"/>
    </w:pPr>
    <w:rPr>
      <w:rFonts w:ascii="新細明體" w:hAnsi="新細明體" w:cs="新細明體"/>
      <w:color w:val="000000"/>
      <w:kern w:val="0"/>
    </w:rPr>
  </w:style>
  <w:style w:type="paragraph" w:customStyle="1" w:styleId="21e">
    <w:name w:val="標題 21"/>
    <w:basedOn w:val="a4"/>
    <w:rsid w:val="00595F1B"/>
    <w:pPr>
      <w:spacing w:before="100" w:beforeAutospacing="1" w:after="100" w:afterAutospacing="1"/>
      <w:outlineLvl w:val="2"/>
    </w:pPr>
    <w:rPr>
      <w:rFonts w:ascii="新細明體" w:hAnsi="新細明體" w:cs="新細明體"/>
      <w:b/>
      <w:bCs/>
      <w:kern w:val="0"/>
      <w:sz w:val="30"/>
      <w:szCs w:val="30"/>
    </w:rPr>
  </w:style>
  <w:style w:type="paragraph" w:customStyle="1" w:styleId="yiv2094076071ecxmsonormal">
    <w:name w:val="yiv2094076071ecxmsonormal"/>
    <w:basedOn w:val="a4"/>
    <w:rsid w:val="00595F1B"/>
    <w:pPr>
      <w:spacing w:before="100" w:beforeAutospacing="1" w:after="100" w:afterAutospacing="1"/>
    </w:pPr>
    <w:rPr>
      <w:rFonts w:ascii="新細明體" w:hAnsi="新細明體" w:cs="新細明體"/>
      <w:kern w:val="0"/>
    </w:rPr>
  </w:style>
  <w:style w:type="character" w:customStyle="1" w:styleId="1f1">
    <w:name w:val="內文1"/>
    <w:rsid w:val="00595F1B"/>
    <w:rPr>
      <w:strike w:val="0"/>
      <w:dstrike w:val="0"/>
      <w:color w:val="666666"/>
      <w:sz w:val="24"/>
      <w:szCs w:val="24"/>
      <w:u w:val="none"/>
      <w:effect w:val="none"/>
    </w:rPr>
  </w:style>
  <w:style w:type="character" w:customStyle="1" w:styleId="post-timestamp1">
    <w:name w:val="post-timestamp1"/>
    <w:rsid w:val="00595F1B"/>
    <w:rPr>
      <w:color w:val="666666"/>
      <w:sz w:val="22"/>
      <w:szCs w:val="22"/>
      <w:bdr w:val="single" w:sz="4" w:space="0" w:color="DDDDDD" w:frame="1"/>
      <w:shd w:val="clear" w:color="auto" w:fill="F9F9F9"/>
    </w:rPr>
  </w:style>
  <w:style w:type="character" w:customStyle="1" w:styleId="4d">
    <w:name w:val="強調粗體4"/>
    <w:rsid w:val="00595F1B"/>
    <w:rPr>
      <w:b/>
      <w:bCs/>
      <w:i w:val="0"/>
      <w:iCs w:val="0"/>
      <w:strike w:val="0"/>
      <w:dstrike w:val="0"/>
      <w:sz w:val="24"/>
      <w:szCs w:val="24"/>
      <w:u w:val="none"/>
      <w:effect w:val="none"/>
    </w:rPr>
  </w:style>
  <w:style w:type="character" w:customStyle="1" w:styleId="concept1">
    <w:name w:val="concept1"/>
    <w:rsid w:val="00595F1B"/>
    <w:rPr>
      <w:rFonts w:ascii="細明體" w:eastAsia="細明體" w:hAnsi="細明體" w:hint="eastAsia"/>
      <w:color w:val="3D3D3D"/>
      <w:sz w:val="22"/>
      <w:szCs w:val="22"/>
    </w:rPr>
  </w:style>
  <w:style w:type="paragraph" w:customStyle="1" w:styleId="Web2">
    <w:name w:val="內文 (Web)2"/>
    <w:basedOn w:val="a4"/>
    <w:rsid w:val="00595F1B"/>
    <w:pPr>
      <w:spacing w:before="100" w:beforeAutospacing="1" w:after="288"/>
    </w:pPr>
    <w:rPr>
      <w:rFonts w:ascii="新細明體" w:hAnsi="新細明體" w:cs="新細明體"/>
      <w:kern w:val="0"/>
    </w:rPr>
  </w:style>
  <w:style w:type="character" w:customStyle="1" w:styleId="st1">
    <w:name w:val="st1"/>
    <w:basedOn w:val="a5"/>
    <w:rsid w:val="00595F1B"/>
  </w:style>
  <w:style w:type="paragraph" w:customStyle="1" w:styleId="1f2">
    <w:name w:val="清單段落1"/>
    <w:basedOn w:val="a4"/>
    <w:rsid w:val="00595F1B"/>
    <w:pPr>
      <w:ind w:leftChars="200" w:left="200"/>
    </w:pPr>
    <w:rPr>
      <w:rFonts w:ascii="Calibri" w:hAnsi="Calibri"/>
      <w:szCs w:val="22"/>
    </w:rPr>
  </w:style>
  <w:style w:type="character" w:customStyle="1" w:styleId="gray011">
    <w:name w:val="gray011"/>
    <w:rsid w:val="00595F1B"/>
    <w:rPr>
      <w:rFonts w:ascii="Times New Roman" w:hAnsi="Times New Roman" w:cs="Times New Roman" w:hint="default"/>
      <w:strike w:val="0"/>
      <w:dstrike w:val="0"/>
      <w:color w:val="666666"/>
      <w:u w:val="none"/>
      <w:effect w:val="none"/>
    </w:rPr>
  </w:style>
  <w:style w:type="paragraph" w:customStyle="1" w:styleId="affffffffd">
    <w:name w:val="Ａ４函主旨段"/>
    <w:next w:val="a4"/>
    <w:autoRedefine/>
    <w:rsid w:val="00595F1B"/>
    <w:pPr>
      <w:tabs>
        <w:tab w:val="left" w:pos="8897"/>
      </w:tabs>
      <w:kinsoku w:val="0"/>
      <w:overflowPunct w:val="0"/>
      <w:spacing w:line="360" w:lineRule="auto"/>
      <w:ind w:leftChars="-236" w:left="-236" w:rightChars="5" w:right="5" w:hangingChars="177" w:hanging="566"/>
    </w:pPr>
    <w:rPr>
      <w:rFonts w:ascii="標楷體" w:eastAsia="標楷體" w:hAnsi="Times New Roman" w:cs="Times New Roman"/>
      <w:sz w:val="32"/>
      <w:szCs w:val="20"/>
    </w:rPr>
  </w:style>
  <w:style w:type="paragraph" w:customStyle="1" w:styleId="c">
    <w:name w:val="c"/>
    <w:basedOn w:val="a4"/>
    <w:rsid w:val="00595F1B"/>
    <w:pPr>
      <w:spacing w:before="100" w:beforeAutospacing="1" w:after="100" w:afterAutospacing="1"/>
    </w:pPr>
    <w:rPr>
      <w:rFonts w:ascii="標楷體" w:eastAsia="標楷體" w:hAnsi="標楷體" w:cs="新細明體"/>
      <w:kern w:val="0"/>
      <w:sz w:val="30"/>
      <w:szCs w:val="30"/>
    </w:rPr>
  </w:style>
  <w:style w:type="paragraph" w:customStyle="1" w:styleId="Standard">
    <w:name w:val="Standard"/>
    <w:uiPriority w:val="99"/>
    <w:rsid w:val="004E44CD"/>
    <w:pPr>
      <w:widowControl w:val="0"/>
      <w:suppressAutoHyphens/>
      <w:autoSpaceDN w:val="0"/>
      <w:textAlignment w:val="baseline"/>
    </w:pPr>
    <w:rPr>
      <w:rFonts w:ascii="Times New Roman" w:eastAsia="新細明體" w:hAnsi="Times New Roman" w:cs="Times New Roman"/>
      <w:kern w:val="3"/>
      <w:szCs w:val="24"/>
    </w:rPr>
  </w:style>
  <w:style w:type="character" w:customStyle="1" w:styleId="9w3cq8r">
    <w:name w:val="預9w設3]段cq落8?字r?型?"/>
    <w:rsid w:val="004E44CD"/>
  </w:style>
  <w:style w:type="numbering" w:customStyle="1" w:styleId="503">
    <w:name w:val="無清單50"/>
    <w:next w:val="a7"/>
    <w:uiPriority w:val="99"/>
    <w:semiHidden/>
    <w:unhideWhenUsed/>
    <w:rsid w:val="00E6368F"/>
  </w:style>
  <w:style w:type="paragraph" w:customStyle="1" w:styleId="254">
    <w:name w:val="字元 字元2 字元 字元 字元 字元 字元5"/>
    <w:basedOn w:val="a4"/>
    <w:semiHidden/>
    <w:rsid w:val="007A2022"/>
    <w:pPr>
      <w:spacing w:after="160" w:line="240" w:lineRule="exact"/>
      <w:ind w:leftChars="6" w:left="206" w:hangingChars="200" w:hanging="200"/>
    </w:pPr>
    <w:rPr>
      <w:rFonts w:ascii="Verdana" w:eastAsia="Times New Roman" w:hAnsi="Verdana"/>
      <w:kern w:val="0"/>
      <w:sz w:val="20"/>
      <w:szCs w:val="20"/>
      <w:lang w:eastAsia="en-US"/>
    </w:rPr>
  </w:style>
  <w:style w:type="paragraph" w:customStyle="1" w:styleId="255">
    <w:name w:val="字元 字元2 字元 字元 字元 字元 字元 字元 字元 字元5"/>
    <w:basedOn w:val="a4"/>
    <w:semiHidden/>
    <w:rsid w:val="007A2022"/>
    <w:pPr>
      <w:spacing w:after="160" w:line="240" w:lineRule="exact"/>
      <w:ind w:leftChars="6" w:left="206" w:hangingChars="200" w:hanging="200"/>
    </w:pPr>
    <w:rPr>
      <w:rFonts w:ascii="Verdana" w:eastAsia="Times New Roman" w:hAnsi="Verdana"/>
      <w:kern w:val="0"/>
      <w:sz w:val="20"/>
      <w:szCs w:val="20"/>
      <w:lang w:eastAsia="en-US"/>
    </w:rPr>
  </w:style>
  <w:style w:type="paragraph" w:customStyle="1" w:styleId="5c">
    <w:name w:val="字元 字元 字元5"/>
    <w:basedOn w:val="a4"/>
    <w:semiHidden/>
    <w:rsid w:val="007A2022"/>
    <w:pPr>
      <w:spacing w:after="160" w:line="240" w:lineRule="exact"/>
      <w:ind w:leftChars="6" w:left="206" w:hangingChars="200" w:hanging="200"/>
    </w:pPr>
    <w:rPr>
      <w:rFonts w:ascii="Verdana" w:eastAsia="Times New Roman" w:hAnsi="Verdana" w:cs="Mangal"/>
      <w:sz w:val="20"/>
      <w:lang w:eastAsia="en-US" w:bidi="hi-IN"/>
    </w:rPr>
  </w:style>
  <w:style w:type="numbering" w:customStyle="1" w:styleId="543">
    <w:name w:val="無清單54"/>
    <w:next w:val="a7"/>
    <w:uiPriority w:val="99"/>
    <w:semiHidden/>
    <w:unhideWhenUsed/>
    <w:rsid w:val="00B44290"/>
  </w:style>
  <w:style w:type="numbering" w:customStyle="1" w:styleId="553">
    <w:name w:val="無清單55"/>
    <w:next w:val="a7"/>
    <w:uiPriority w:val="99"/>
    <w:semiHidden/>
    <w:unhideWhenUsed/>
    <w:rsid w:val="00122DB1"/>
  </w:style>
  <w:style w:type="table" w:customStyle="1" w:styleId="208">
    <w:name w:val="表格格線208"/>
    <w:basedOn w:val="a6"/>
    <w:next w:val="ae"/>
    <w:uiPriority w:val="59"/>
    <w:rsid w:val="00122DB1"/>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4">
    <w:name w:val="樣式26"/>
    <w:rsid w:val="00122DB1"/>
  </w:style>
  <w:style w:type="numbering" w:customStyle="1" w:styleId="16a">
    <w:name w:val="樣式16"/>
    <w:rsid w:val="00122DB1"/>
  </w:style>
  <w:style w:type="numbering" w:customStyle="1" w:styleId="363">
    <w:name w:val="樣式36"/>
    <w:basedOn w:val="a7"/>
    <w:rsid w:val="00122DB1"/>
  </w:style>
  <w:style w:type="numbering" w:customStyle="1" w:styleId="1151">
    <w:name w:val="樣式115"/>
    <w:rsid w:val="00122DB1"/>
  </w:style>
  <w:style w:type="numbering" w:customStyle="1" w:styleId="1160">
    <w:name w:val="無清單116"/>
    <w:next w:val="a7"/>
    <w:uiPriority w:val="99"/>
    <w:semiHidden/>
    <w:unhideWhenUsed/>
    <w:rsid w:val="00122DB1"/>
  </w:style>
  <w:style w:type="table" w:customStyle="1" w:styleId="11010">
    <w:name w:val="表格格線1101"/>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無清單117"/>
    <w:next w:val="a7"/>
    <w:uiPriority w:val="99"/>
    <w:semiHidden/>
    <w:unhideWhenUsed/>
    <w:rsid w:val="00122DB1"/>
  </w:style>
  <w:style w:type="numbering" w:customStyle="1" w:styleId="11150">
    <w:name w:val="無清單1115"/>
    <w:next w:val="a7"/>
    <w:semiHidden/>
    <w:unhideWhenUsed/>
    <w:rsid w:val="00122DB1"/>
  </w:style>
  <w:style w:type="numbering" w:customStyle="1" w:styleId="11115">
    <w:name w:val="無清單11115"/>
    <w:next w:val="a7"/>
    <w:semiHidden/>
    <w:unhideWhenUsed/>
    <w:rsid w:val="00122DB1"/>
  </w:style>
  <w:style w:type="table" w:customStyle="1" w:styleId="11141">
    <w:name w:val="表格格線1114"/>
    <w:basedOn w:val="a6"/>
    <w:next w:val="ae"/>
    <w:uiPriority w:val="59"/>
    <w:rsid w:val="00122DB1"/>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
    <w:name w:val="無清單214"/>
    <w:next w:val="a7"/>
    <w:uiPriority w:val="99"/>
    <w:semiHidden/>
    <w:unhideWhenUsed/>
    <w:rsid w:val="00122DB1"/>
  </w:style>
  <w:style w:type="numbering" w:customStyle="1" w:styleId="1232">
    <w:name w:val="無清單123"/>
    <w:next w:val="a7"/>
    <w:uiPriority w:val="99"/>
    <w:semiHidden/>
    <w:unhideWhenUsed/>
    <w:rsid w:val="00122DB1"/>
  </w:style>
  <w:style w:type="numbering" w:customStyle="1" w:styleId="111114">
    <w:name w:val="無清單111114"/>
    <w:next w:val="a7"/>
    <w:semiHidden/>
    <w:unhideWhenUsed/>
    <w:rsid w:val="00122DB1"/>
  </w:style>
  <w:style w:type="numbering" w:customStyle="1" w:styleId="2150">
    <w:name w:val="樣式215"/>
    <w:rsid w:val="00122DB1"/>
  </w:style>
  <w:style w:type="numbering" w:customStyle="1" w:styleId="315">
    <w:name w:val="樣式315"/>
    <w:basedOn w:val="a7"/>
    <w:rsid w:val="00122DB1"/>
  </w:style>
  <w:style w:type="table" w:customStyle="1" w:styleId="2151">
    <w:name w:val="表格格線215"/>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6">
    <w:name w:val="1 / 1.1 / 1.1.16"/>
    <w:basedOn w:val="a7"/>
    <w:next w:val="111111"/>
    <w:rsid w:val="00122DB1"/>
  </w:style>
  <w:style w:type="numbering" w:customStyle="1" w:styleId="3132">
    <w:name w:val="無清單313"/>
    <w:next w:val="a7"/>
    <w:uiPriority w:val="99"/>
    <w:semiHidden/>
    <w:unhideWhenUsed/>
    <w:rsid w:val="00122DB1"/>
  </w:style>
  <w:style w:type="table" w:customStyle="1" w:styleId="3141">
    <w:name w:val="表格格線314"/>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
    <w:name w:val="無清單133"/>
    <w:next w:val="a7"/>
    <w:uiPriority w:val="99"/>
    <w:semiHidden/>
    <w:unhideWhenUsed/>
    <w:rsid w:val="00122DB1"/>
  </w:style>
  <w:style w:type="numbering" w:customStyle="1" w:styleId="11230">
    <w:name w:val="無清單1123"/>
    <w:next w:val="a7"/>
    <w:uiPriority w:val="99"/>
    <w:semiHidden/>
    <w:unhideWhenUsed/>
    <w:rsid w:val="00122DB1"/>
  </w:style>
  <w:style w:type="numbering" w:customStyle="1" w:styleId="11123">
    <w:name w:val="無清單11123"/>
    <w:next w:val="a7"/>
    <w:uiPriority w:val="99"/>
    <w:semiHidden/>
    <w:unhideWhenUsed/>
    <w:rsid w:val="00122DB1"/>
  </w:style>
  <w:style w:type="numbering" w:customStyle="1" w:styleId="111123">
    <w:name w:val="無清單111123"/>
    <w:next w:val="a7"/>
    <w:uiPriority w:val="99"/>
    <w:semiHidden/>
    <w:unhideWhenUsed/>
    <w:rsid w:val="00122DB1"/>
  </w:style>
  <w:style w:type="numbering" w:customStyle="1" w:styleId="11111140">
    <w:name w:val="無清單1111114"/>
    <w:next w:val="a7"/>
    <w:uiPriority w:val="99"/>
    <w:semiHidden/>
    <w:unhideWhenUsed/>
    <w:rsid w:val="00122DB1"/>
  </w:style>
  <w:style w:type="numbering" w:customStyle="1" w:styleId="11111114">
    <w:name w:val="無清單11111114"/>
    <w:next w:val="a7"/>
    <w:uiPriority w:val="99"/>
    <w:semiHidden/>
    <w:unhideWhenUsed/>
    <w:rsid w:val="00122DB1"/>
  </w:style>
  <w:style w:type="numbering" w:customStyle="1" w:styleId="111111113">
    <w:name w:val="無清單111111113"/>
    <w:next w:val="a7"/>
    <w:uiPriority w:val="99"/>
    <w:semiHidden/>
    <w:unhideWhenUsed/>
    <w:rsid w:val="00122DB1"/>
  </w:style>
  <w:style w:type="numbering" w:customStyle="1" w:styleId="4101">
    <w:name w:val="無清單410"/>
    <w:next w:val="a7"/>
    <w:uiPriority w:val="99"/>
    <w:semiHidden/>
    <w:unhideWhenUsed/>
    <w:rsid w:val="00122DB1"/>
  </w:style>
  <w:style w:type="table" w:customStyle="1" w:styleId="4140">
    <w:name w:val="表格格線414"/>
    <w:basedOn w:val="a6"/>
    <w:next w:val="ae"/>
    <w:uiPriority w:val="59"/>
    <w:rsid w:val="00122DB1"/>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
    <w:name w:val="無清單56"/>
    <w:next w:val="a7"/>
    <w:uiPriority w:val="99"/>
    <w:semiHidden/>
    <w:unhideWhenUsed/>
    <w:rsid w:val="00122DB1"/>
  </w:style>
  <w:style w:type="table" w:customStyle="1" w:styleId="5140">
    <w:name w:val="表格格線514"/>
    <w:basedOn w:val="a6"/>
    <w:next w:val="ae"/>
    <w:uiPriority w:val="59"/>
    <w:rsid w:val="00122DB1"/>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3">
    <w:name w:val="無清單64"/>
    <w:next w:val="a7"/>
    <w:uiPriority w:val="99"/>
    <w:semiHidden/>
    <w:unhideWhenUsed/>
    <w:rsid w:val="00122DB1"/>
  </w:style>
  <w:style w:type="table" w:customStyle="1" w:styleId="6140">
    <w:name w:val="表格格線614"/>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2">
    <w:name w:val="無清單143"/>
    <w:next w:val="a7"/>
    <w:uiPriority w:val="99"/>
    <w:semiHidden/>
    <w:unhideWhenUsed/>
    <w:rsid w:val="00122DB1"/>
  </w:style>
  <w:style w:type="table" w:customStyle="1" w:styleId="415">
    <w:name w:val="表格格線415"/>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表格格線515"/>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0">
    <w:name w:val="表格格線714"/>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表格格線814"/>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表格格線912"/>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0">
    <w:name w:val="表格格線1012"/>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表格格線1115"/>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表格格線1212"/>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表格格線1312"/>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表格格線1412"/>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0">
    <w:name w:val="表格格線1512"/>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0">
    <w:name w:val="表格格線1612"/>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無清單215"/>
    <w:next w:val="a7"/>
    <w:uiPriority w:val="99"/>
    <w:semiHidden/>
    <w:unhideWhenUsed/>
    <w:rsid w:val="00122DB1"/>
  </w:style>
  <w:style w:type="table" w:customStyle="1" w:styleId="17120">
    <w:name w:val="表格格線1712"/>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2">
    <w:name w:val="表格格線1812"/>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0">
    <w:name w:val="表格格線1910"/>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9">
    <w:name w:val="表格格線209"/>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表格格線216"/>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表格格線22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表格格線23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0">
    <w:name w:val="表格格線24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0">
    <w:name w:val="表格格線25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0">
    <w:name w:val="表格格線26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2">
    <w:name w:val="無清單314"/>
    <w:next w:val="a7"/>
    <w:uiPriority w:val="99"/>
    <w:semiHidden/>
    <w:unhideWhenUsed/>
    <w:rsid w:val="00122DB1"/>
  </w:style>
  <w:style w:type="table" w:customStyle="1" w:styleId="273">
    <w:name w:val="表格格線27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0">
    <w:name w:val="無清單413"/>
    <w:next w:val="a7"/>
    <w:uiPriority w:val="99"/>
    <w:semiHidden/>
    <w:unhideWhenUsed/>
    <w:rsid w:val="00122DB1"/>
  </w:style>
  <w:style w:type="table" w:customStyle="1" w:styleId="283">
    <w:name w:val="表格格線28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表格格線29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表格格線30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無清單513"/>
    <w:next w:val="a7"/>
    <w:uiPriority w:val="99"/>
    <w:semiHidden/>
    <w:unhideWhenUsed/>
    <w:rsid w:val="00122DB1"/>
  </w:style>
  <w:style w:type="table" w:customStyle="1" w:styleId="3150">
    <w:name w:val="表格格線315"/>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0">
    <w:name w:val="無清單613"/>
    <w:next w:val="a7"/>
    <w:uiPriority w:val="99"/>
    <w:semiHidden/>
    <w:unhideWhenUsed/>
    <w:rsid w:val="00122DB1"/>
  </w:style>
  <w:style w:type="table" w:customStyle="1" w:styleId="323">
    <w:name w:val="表格格線32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表格格線33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無清單73"/>
    <w:next w:val="a7"/>
    <w:uiPriority w:val="99"/>
    <w:semiHidden/>
    <w:unhideWhenUsed/>
    <w:rsid w:val="00122DB1"/>
  </w:style>
  <w:style w:type="table" w:customStyle="1" w:styleId="3430">
    <w:name w:val="表格格線34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0">
    <w:name w:val="表格格線35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0">
    <w:name w:val="表格格線36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表格格線37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表格格線38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無清單83"/>
    <w:next w:val="a7"/>
    <w:uiPriority w:val="99"/>
    <w:semiHidden/>
    <w:unhideWhenUsed/>
    <w:rsid w:val="00122DB1"/>
  </w:style>
  <w:style w:type="table" w:customStyle="1" w:styleId="393">
    <w:name w:val="表格格線39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表格格線40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
    <w:name w:val="無清單93"/>
    <w:next w:val="a7"/>
    <w:uiPriority w:val="99"/>
    <w:semiHidden/>
    <w:unhideWhenUsed/>
    <w:rsid w:val="00122DB1"/>
  </w:style>
  <w:style w:type="table" w:customStyle="1" w:styleId="423">
    <w:name w:val="表格格線42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表格格線43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2">
    <w:name w:val="無清單103"/>
    <w:next w:val="a7"/>
    <w:uiPriority w:val="99"/>
    <w:semiHidden/>
    <w:unhideWhenUsed/>
    <w:rsid w:val="00122DB1"/>
  </w:style>
  <w:style w:type="table" w:customStyle="1" w:styleId="4430">
    <w:name w:val="表格格線44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30">
    <w:name w:val="表格格線45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表格格線46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3">
    <w:name w:val="表格格線47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3">
    <w:name w:val="表格格線48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3">
    <w:name w:val="表格格線49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30">
    <w:name w:val="表格格線50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表格格線52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表格格線53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0">
    <w:name w:val="表格格線54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30">
    <w:name w:val="表格格線55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30">
    <w:name w:val="表格格線56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3">
    <w:name w:val="表格格線57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3">
    <w:name w:val="表格格線58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3">
    <w:name w:val="表格格線59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3">
    <w:name w:val="表格格線60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0">
    <w:name w:val="表格格線615"/>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表格格線62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表格格線63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30">
    <w:name w:val="表格格線64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3">
    <w:name w:val="表格格線65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3">
    <w:name w:val="表格格線66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3">
    <w:name w:val="表格格線67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3">
    <w:name w:val="表格格線68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3">
    <w:name w:val="表格格線69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3">
    <w:name w:val="表格格線70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表格格線715"/>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表格格線72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0">
    <w:name w:val="表格格線73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表格格線74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3">
    <w:name w:val="表格格線75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3">
    <w:name w:val="表格格線76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3">
    <w:name w:val="表格格線77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3">
    <w:name w:val="表格格線78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3">
    <w:name w:val="表格格線79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3">
    <w:name w:val="表格格線80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表格格線815"/>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表格格線82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表格格線83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表格格線84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1">
    <w:name w:val="無清單153"/>
    <w:next w:val="a7"/>
    <w:uiPriority w:val="99"/>
    <w:semiHidden/>
    <w:unhideWhenUsed/>
    <w:rsid w:val="00122DB1"/>
  </w:style>
  <w:style w:type="table" w:customStyle="1" w:styleId="853">
    <w:name w:val="表格格線853"/>
    <w:basedOn w:val="a6"/>
    <w:next w:val="ae"/>
    <w:uiPriority w:val="59"/>
    <w:rsid w:val="00122DB1"/>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3">
    <w:name w:val="表格格線1373"/>
    <w:basedOn w:val="a6"/>
    <w:next w:val="ae"/>
    <w:uiPriority w:val="59"/>
    <w:rsid w:val="00122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e">
    <w:name w:val="主席"/>
    <w:basedOn w:val="a4"/>
    <w:qFormat/>
    <w:rsid w:val="00010440"/>
    <w:pPr>
      <w:widowControl w:val="0"/>
      <w:spacing w:line="480" w:lineRule="exact"/>
      <w:ind w:left="641" w:hanging="641"/>
      <w:jc w:val="both"/>
    </w:pPr>
    <w:rPr>
      <w:rFonts w:eastAsia="標楷體"/>
      <w:b/>
      <w:sz w:val="32"/>
    </w:rPr>
  </w:style>
  <w:style w:type="paragraph" w:customStyle="1" w:styleId="afffffffff">
    <w:name w:val="出席人員"/>
    <w:basedOn w:val="a4"/>
    <w:rsid w:val="00010440"/>
    <w:pPr>
      <w:widowControl w:val="0"/>
      <w:spacing w:line="480" w:lineRule="atLeast"/>
      <w:ind w:leftChars="200" w:left="640" w:firstLineChars="300" w:firstLine="960"/>
      <w:jc w:val="both"/>
    </w:pPr>
    <w:rPr>
      <w:rFonts w:ascii="標楷體" w:eastAsia="標楷體" w:hAnsi="標楷體" w:cs="新細明體"/>
      <w:kern w:val="0"/>
      <w:sz w:val="32"/>
      <w:szCs w:val="20"/>
    </w:rPr>
  </w:style>
  <w:style w:type="paragraph" w:customStyle="1" w:styleId="afffffffff0">
    <w:name w:val="會議名稱"/>
    <w:basedOn w:val="a4"/>
    <w:autoRedefine/>
    <w:qFormat/>
    <w:rsid w:val="00010440"/>
    <w:pPr>
      <w:widowControl w:val="0"/>
      <w:spacing w:after="100" w:afterAutospacing="1" w:line="480" w:lineRule="exact"/>
      <w:jc w:val="center"/>
    </w:pPr>
    <w:rPr>
      <w:rFonts w:ascii="標楷體" w:eastAsia="標楷體" w:hAnsi="標楷體"/>
      <w:b/>
      <w:color w:val="000000"/>
      <w:spacing w:val="-10"/>
      <w:sz w:val="36"/>
      <w:szCs w:val="36"/>
    </w:rPr>
  </w:style>
  <w:style w:type="paragraph" w:customStyle="1" w:styleId="1f3">
    <w:name w:val="標題1內文"/>
    <w:basedOn w:val="a4"/>
    <w:autoRedefine/>
    <w:qFormat/>
    <w:rsid w:val="00010440"/>
    <w:pPr>
      <w:widowControl w:val="0"/>
      <w:spacing w:before="180" w:after="180" w:line="480" w:lineRule="exact"/>
      <w:ind w:leftChars="200" w:left="200"/>
      <w:jc w:val="both"/>
    </w:pPr>
    <w:rPr>
      <w:rFonts w:ascii="標楷體" w:eastAsia="標楷體" w:hAnsi="標楷體"/>
      <w:color w:val="000000"/>
      <w:sz w:val="32"/>
      <w:szCs w:val="32"/>
    </w:rPr>
  </w:style>
  <w:style w:type="paragraph" w:customStyle="1" w:styleId="afffffffff1">
    <w:name w:val="出席人員內文"/>
    <w:basedOn w:val="afffffffff"/>
    <w:qFormat/>
    <w:rsid w:val="00010440"/>
  </w:style>
  <w:style w:type="paragraph" w:customStyle="1" w:styleId="2fa">
    <w:name w:val="標題2內文"/>
    <w:basedOn w:val="a4"/>
    <w:autoRedefine/>
    <w:qFormat/>
    <w:rsid w:val="00010440"/>
    <w:pPr>
      <w:widowControl w:val="0"/>
      <w:spacing w:before="180" w:after="180" w:line="480" w:lineRule="exact"/>
      <w:ind w:leftChars="200" w:left="200"/>
      <w:jc w:val="both"/>
    </w:pPr>
    <w:rPr>
      <w:rFonts w:ascii="標楷體" w:eastAsia="標楷體" w:hAnsi="標楷體"/>
      <w:color w:val="000000"/>
      <w:sz w:val="32"/>
      <w:szCs w:val="32"/>
    </w:rPr>
  </w:style>
  <w:style w:type="paragraph" w:customStyle="1" w:styleId="afffffffff2">
    <w:name w:val="會議標題一、二內文"/>
    <w:basedOn w:val="2fa"/>
    <w:autoRedefine/>
    <w:rsid w:val="00010440"/>
    <w:pPr>
      <w:ind w:left="640"/>
    </w:pPr>
    <w:rPr>
      <w:rFonts w:cs="新細明體"/>
      <w:szCs w:val="20"/>
    </w:rPr>
  </w:style>
  <w:style w:type="paragraph" w:customStyle="1" w:styleId="1f4">
    <w:name w:val="會議標題1、"/>
    <w:basedOn w:val="12c"/>
    <w:qFormat/>
    <w:rsid w:val="00010440"/>
    <w:pPr>
      <w:ind w:leftChars="350" w:left="1760" w:hangingChars="200" w:hanging="640"/>
    </w:pPr>
  </w:style>
  <w:style w:type="paragraph" w:customStyle="1" w:styleId="12c">
    <w:name w:val="會議標題（1）（2）"/>
    <w:basedOn w:val="a4"/>
    <w:autoRedefine/>
    <w:qFormat/>
    <w:rsid w:val="00010440"/>
    <w:pPr>
      <w:widowControl w:val="0"/>
      <w:spacing w:line="480" w:lineRule="exact"/>
      <w:ind w:firstLineChars="350" w:firstLine="1120"/>
      <w:jc w:val="both"/>
    </w:pPr>
    <w:rPr>
      <w:rFonts w:ascii="標楷體" w:eastAsia="標楷體" w:hAnsi="標楷體"/>
      <w:color w:val="000000"/>
      <w:sz w:val="32"/>
      <w:szCs w:val="32"/>
    </w:rPr>
  </w:style>
  <w:style w:type="paragraph" w:customStyle="1" w:styleId="2124">
    <w:name w:val="標題2內文1.2"/>
    <w:basedOn w:val="a4"/>
    <w:autoRedefine/>
    <w:qFormat/>
    <w:rsid w:val="00010440"/>
    <w:pPr>
      <w:widowControl w:val="0"/>
      <w:spacing w:line="480" w:lineRule="exact"/>
      <w:ind w:leftChars="300" w:left="500"/>
      <w:jc w:val="both"/>
    </w:pPr>
    <w:rPr>
      <w:rFonts w:ascii="標楷體" w:eastAsia="標楷體" w:hAnsi="標楷體"/>
      <w:color w:val="000000"/>
      <w:sz w:val="32"/>
      <w:szCs w:val="32"/>
    </w:rPr>
  </w:style>
  <w:style w:type="paragraph" w:customStyle="1" w:styleId="afffffffff3">
    <w:name w:val="會議名稱內文"/>
    <w:basedOn w:val="a4"/>
    <w:autoRedefine/>
    <w:rsid w:val="00010440"/>
    <w:pPr>
      <w:widowControl w:val="0"/>
      <w:spacing w:line="480" w:lineRule="exact"/>
      <w:ind w:left="1600" w:hangingChars="500" w:hanging="1600"/>
      <w:jc w:val="both"/>
    </w:pPr>
    <w:rPr>
      <w:rFonts w:ascii="標楷體" w:eastAsia="標楷體" w:hAnsi="標楷體" w:cs="新細明體"/>
      <w:color w:val="000000"/>
      <w:sz w:val="32"/>
      <w:szCs w:val="20"/>
    </w:rPr>
  </w:style>
  <w:style w:type="paragraph" w:customStyle="1" w:styleId="afffffffff4">
    <w:name w:val="會議標題壹"/>
    <w:basedOn w:val="a4"/>
    <w:autoRedefine/>
    <w:rsid w:val="00010440"/>
    <w:pPr>
      <w:widowControl w:val="0"/>
      <w:spacing w:line="480" w:lineRule="exact"/>
      <w:ind w:left="641" w:hanging="641"/>
      <w:jc w:val="both"/>
    </w:pPr>
    <w:rPr>
      <w:rFonts w:ascii="標楷體" w:eastAsia="標楷體" w:hAnsi="標楷體" w:cs="新細明體"/>
      <w:b/>
      <w:bCs/>
      <w:color w:val="000000"/>
      <w:sz w:val="32"/>
      <w:szCs w:val="20"/>
    </w:rPr>
  </w:style>
  <w:style w:type="paragraph" w:customStyle="1" w:styleId="afffffffff5">
    <w:name w:val="會議標題壹內文"/>
    <w:basedOn w:val="1f3"/>
    <w:autoRedefine/>
    <w:rsid w:val="00010440"/>
    <w:pPr>
      <w:spacing w:before="0" w:after="0"/>
      <w:ind w:left="640"/>
    </w:pPr>
    <w:rPr>
      <w:rFonts w:cs="新細明體"/>
      <w:kern w:val="0"/>
      <w:szCs w:val="20"/>
    </w:rPr>
  </w:style>
  <w:style w:type="paragraph" w:customStyle="1" w:styleId="12d">
    <w:name w:val="會議標題1.2."/>
    <w:basedOn w:val="2124"/>
    <w:autoRedefine/>
    <w:rsid w:val="00010440"/>
    <w:pPr>
      <w:ind w:leftChars="250" w:left="1440" w:hanging="640"/>
    </w:pPr>
    <w:rPr>
      <w:rFonts w:cs="新細明體"/>
      <w:szCs w:val="20"/>
    </w:rPr>
  </w:style>
  <w:style w:type="paragraph" w:customStyle="1" w:styleId="afffffffff6">
    <w:name w:val="會議標題、內文"/>
    <w:basedOn w:val="12c"/>
    <w:autoRedefine/>
    <w:qFormat/>
    <w:rsid w:val="00010440"/>
    <w:pPr>
      <w:ind w:leftChars="350" w:left="1760" w:hangingChars="200" w:hanging="640"/>
    </w:pPr>
  </w:style>
  <w:style w:type="paragraph" w:customStyle="1" w:styleId="afffffffff7">
    <w:name w:val="壹"/>
    <w:basedOn w:val="a4"/>
    <w:rsid w:val="00010440"/>
    <w:pPr>
      <w:widowControl w:val="0"/>
      <w:spacing w:line="480" w:lineRule="exact"/>
      <w:jc w:val="both"/>
    </w:pPr>
    <w:rPr>
      <w:rFonts w:ascii="標楷體" w:eastAsia="標楷體" w:hAnsi="標楷體" w:cs="新細明體"/>
      <w:b/>
      <w:bCs/>
      <w:sz w:val="32"/>
      <w:szCs w:val="20"/>
    </w:rPr>
  </w:style>
  <w:style w:type="character" w:customStyle="1" w:styleId="afffffffff8">
    <w:name w:val="會議標題一"/>
    <w:rsid w:val="00010440"/>
    <w:rPr>
      <w:rFonts w:ascii="標楷體" w:hAnsi="標楷體"/>
      <w:b/>
      <w:bCs/>
    </w:rPr>
  </w:style>
  <w:style w:type="paragraph" w:customStyle="1" w:styleId="afffffffff9">
    <w:name w:val="會議標題（一）"/>
    <w:basedOn w:val="a4"/>
    <w:rsid w:val="00010440"/>
    <w:pPr>
      <w:widowControl w:val="0"/>
      <w:spacing w:line="480" w:lineRule="exact"/>
      <w:ind w:leftChars="100" w:left="960" w:hanging="640"/>
      <w:jc w:val="both"/>
    </w:pPr>
    <w:rPr>
      <w:rFonts w:ascii="標楷體" w:eastAsia="標楷體" w:hAnsi="標楷體" w:cs="新細明體"/>
      <w:sz w:val="32"/>
      <w:szCs w:val="20"/>
    </w:rPr>
  </w:style>
  <w:style w:type="paragraph" w:customStyle="1" w:styleId="1f5">
    <w:name w:val="1"/>
    <w:basedOn w:val="a4"/>
    <w:rsid w:val="00010440"/>
    <w:pPr>
      <w:widowControl w:val="0"/>
      <w:spacing w:line="480" w:lineRule="exact"/>
      <w:ind w:leftChars="250" w:left="1280" w:hangingChars="150" w:hanging="480"/>
      <w:jc w:val="both"/>
    </w:pPr>
    <w:rPr>
      <w:rFonts w:eastAsia="標楷體" w:cs="新細明體"/>
      <w:sz w:val="32"/>
      <w:szCs w:val="20"/>
    </w:rPr>
  </w:style>
  <w:style w:type="paragraph" w:customStyle="1" w:styleId="afffffffffa">
    <w:name w:val="會議標題一、二"/>
    <w:basedOn w:val="a4"/>
    <w:autoRedefine/>
    <w:qFormat/>
    <w:rsid w:val="00010440"/>
    <w:pPr>
      <w:widowControl w:val="0"/>
      <w:spacing w:before="180" w:after="180" w:line="480" w:lineRule="exact"/>
      <w:jc w:val="both"/>
    </w:pPr>
    <w:rPr>
      <w:rFonts w:ascii="標楷體" w:eastAsia="標楷體" w:hAnsi="標楷體"/>
      <w:b/>
      <w:color w:val="000000"/>
      <w:sz w:val="32"/>
      <w:szCs w:val="32"/>
    </w:rPr>
  </w:style>
  <w:style w:type="paragraph" w:customStyle="1" w:styleId="afffffffffb">
    <w:name w:val="大項"/>
    <w:basedOn w:val="a4"/>
    <w:rsid w:val="00010440"/>
    <w:pPr>
      <w:widowControl w:val="0"/>
      <w:kinsoku w:val="0"/>
      <w:adjustRightInd w:val="0"/>
      <w:spacing w:line="440" w:lineRule="atLeast"/>
      <w:ind w:left="1260" w:hanging="644"/>
      <w:textAlignment w:val="baseline"/>
    </w:pPr>
    <w:rPr>
      <w:rFonts w:ascii="標楷體" w:eastAsia="標楷體"/>
      <w:kern w:val="0"/>
      <w:sz w:val="32"/>
      <w:szCs w:val="20"/>
    </w:rPr>
  </w:style>
  <w:style w:type="numbering" w:customStyle="1" w:styleId="570">
    <w:name w:val="無清單57"/>
    <w:next w:val="a7"/>
    <w:uiPriority w:val="99"/>
    <w:semiHidden/>
    <w:unhideWhenUsed/>
    <w:rsid w:val="00F93525"/>
  </w:style>
  <w:style w:type="table" w:customStyle="1" w:styleId="2170">
    <w:name w:val="表格格線217"/>
    <w:basedOn w:val="a6"/>
    <w:next w:val="ae"/>
    <w:uiPriority w:val="59"/>
    <w:rsid w:val="00F935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表格格線1102"/>
    <w:basedOn w:val="a6"/>
    <w:next w:val="ae"/>
    <w:uiPriority w:val="59"/>
    <w:rsid w:val="00F935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表格格線218"/>
    <w:basedOn w:val="a6"/>
    <w:next w:val="ae"/>
    <w:uiPriority w:val="39"/>
    <w:rsid w:val="00F935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0">
    <w:name w:val="無清單118"/>
    <w:next w:val="a7"/>
    <w:uiPriority w:val="99"/>
    <w:semiHidden/>
    <w:unhideWhenUsed/>
    <w:rsid w:val="00F93525"/>
  </w:style>
  <w:style w:type="numbering" w:customStyle="1" w:styleId="2161">
    <w:name w:val="無清單216"/>
    <w:next w:val="a7"/>
    <w:uiPriority w:val="99"/>
    <w:semiHidden/>
    <w:unhideWhenUsed/>
    <w:rsid w:val="00F93525"/>
  </w:style>
  <w:style w:type="table" w:customStyle="1" w:styleId="316">
    <w:name w:val="表格格線316"/>
    <w:basedOn w:val="a6"/>
    <w:next w:val="ae"/>
    <w:locked/>
    <w:rsid w:val="00F93525"/>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表格格線1116"/>
    <w:basedOn w:val="a6"/>
    <w:next w:val="ae"/>
    <w:uiPriority w:val="39"/>
    <w:rsid w:val="00F93525"/>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無清單58"/>
    <w:next w:val="a7"/>
    <w:uiPriority w:val="99"/>
    <w:semiHidden/>
    <w:unhideWhenUsed/>
    <w:rsid w:val="008804E9"/>
  </w:style>
  <w:style w:type="table" w:customStyle="1" w:styleId="2190">
    <w:name w:val="表格格線219"/>
    <w:basedOn w:val="a6"/>
    <w:next w:val="ae"/>
    <w:uiPriority w:val="3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3">
    <w:name w:val="表格格線1103"/>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表格格線220"/>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無清單119"/>
    <w:next w:val="a7"/>
    <w:uiPriority w:val="99"/>
    <w:semiHidden/>
    <w:unhideWhenUsed/>
    <w:rsid w:val="008804E9"/>
  </w:style>
  <w:style w:type="table" w:customStyle="1" w:styleId="3170">
    <w:name w:val="表格格線317"/>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表格格線416"/>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表格格線516"/>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表格格線616"/>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表格格線716"/>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
    <w:name w:val="表格格線816"/>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表格格線913"/>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表格格線1013"/>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表格格線1117"/>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表格格線1213"/>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表格格線1313"/>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0">
    <w:name w:val="表格格線1413"/>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表格格線1513"/>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表格格線1613"/>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
    <w:name w:val="無清單217"/>
    <w:next w:val="a7"/>
    <w:uiPriority w:val="99"/>
    <w:semiHidden/>
    <w:unhideWhenUsed/>
    <w:rsid w:val="008804E9"/>
  </w:style>
  <w:style w:type="table" w:customStyle="1" w:styleId="1713">
    <w:name w:val="表格格線1713"/>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3">
    <w:name w:val="表格格線1813"/>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0">
    <w:name w:val="表格格線1911"/>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0">
    <w:name w:val="表格格線2010"/>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表格格線2110"/>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表格格線22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表格格線23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表格格線24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0">
    <w:name w:val="表格格線25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0">
    <w:name w:val="表格格線26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
    <w:name w:val="無清單315"/>
    <w:next w:val="a7"/>
    <w:uiPriority w:val="99"/>
    <w:semiHidden/>
    <w:unhideWhenUsed/>
    <w:rsid w:val="008804E9"/>
  </w:style>
  <w:style w:type="table" w:customStyle="1" w:styleId="274">
    <w:name w:val="表格格線27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1">
    <w:name w:val="無清單414"/>
    <w:next w:val="a7"/>
    <w:uiPriority w:val="99"/>
    <w:semiHidden/>
    <w:unhideWhenUsed/>
    <w:rsid w:val="008804E9"/>
  </w:style>
  <w:style w:type="table" w:customStyle="1" w:styleId="284">
    <w:name w:val="表格格線28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表格格線29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
    <w:name w:val="表格格線30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無清單59"/>
    <w:next w:val="a7"/>
    <w:uiPriority w:val="99"/>
    <w:semiHidden/>
    <w:unhideWhenUsed/>
    <w:rsid w:val="008804E9"/>
  </w:style>
  <w:style w:type="table" w:customStyle="1" w:styleId="318">
    <w:name w:val="表格格線318"/>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4">
    <w:name w:val="無清單65"/>
    <w:next w:val="a7"/>
    <w:uiPriority w:val="99"/>
    <w:semiHidden/>
    <w:unhideWhenUsed/>
    <w:rsid w:val="008804E9"/>
  </w:style>
  <w:style w:type="table" w:customStyle="1" w:styleId="324">
    <w:name w:val="表格格線32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表格格線33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4">
    <w:name w:val="無清單74"/>
    <w:next w:val="a7"/>
    <w:uiPriority w:val="99"/>
    <w:semiHidden/>
    <w:unhideWhenUsed/>
    <w:rsid w:val="008804E9"/>
  </w:style>
  <w:style w:type="table" w:customStyle="1" w:styleId="344">
    <w:name w:val="表格格線34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4">
    <w:name w:val="表格格線35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表格格線36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表格格線37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4">
    <w:name w:val="表格格線38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無清單84"/>
    <w:next w:val="a7"/>
    <w:uiPriority w:val="99"/>
    <w:semiHidden/>
    <w:unhideWhenUsed/>
    <w:rsid w:val="008804E9"/>
  </w:style>
  <w:style w:type="table" w:customStyle="1" w:styleId="394">
    <w:name w:val="表格格線39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4">
    <w:name w:val="表格格線40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無清單94"/>
    <w:next w:val="a7"/>
    <w:uiPriority w:val="99"/>
    <w:semiHidden/>
    <w:unhideWhenUsed/>
    <w:rsid w:val="008804E9"/>
  </w:style>
  <w:style w:type="table" w:customStyle="1" w:styleId="417">
    <w:name w:val="表格格線417"/>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表格格線42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表格格線43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1">
    <w:name w:val="無清單104"/>
    <w:next w:val="a7"/>
    <w:uiPriority w:val="99"/>
    <w:semiHidden/>
    <w:unhideWhenUsed/>
    <w:rsid w:val="008804E9"/>
  </w:style>
  <w:style w:type="table" w:customStyle="1" w:styleId="444">
    <w:name w:val="表格格線44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4">
    <w:name w:val="表格格線45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4">
    <w:name w:val="表格格線46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4">
    <w:name w:val="表格格線47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4">
    <w:name w:val="表格格線48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4">
    <w:name w:val="表格格線49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4">
    <w:name w:val="表格格線50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表格格線517"/>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1">
    <w:name w:val="無清單1110"/>
    <w:next w:val="a7"/>
    <w:uiPriority w:val="99"/>
    <w:semiHidden/>
    <w:unhideWhenUsed/>
    <w:rsid w:val="008804E9"/>
  </w:style>
  <w:style w:type="table" w:customStyle="1" w:styleId="524">
    <w:name w:val="表格格線52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表格格線53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4">
    <w:name w:val="表格格線54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4">
    <w:name w:val="表格格線55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4">
    <w:name w:val="表格格線56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4">
    <w:name w:val="表格格線57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4">
    <w:name w:val="表格格線58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4">
    <w:name w:val="表格格線59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無清單124"/>
    <w:next w:val="a7"/>
    <w:uiPriority w:val="99"/>
    <w:semiHidden/>
    <w:unhideWhenUsed/>
    <w:rsid w:val="008804E9"/>
  </w:style>
  <w:style w:type="table" w:customStyle="1" w:styleId="604">
    <w:name w:val="表格格線60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
    <w:name w:val="表格格線617"/>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表格格線62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表格格線63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4">
    <w:name w:val="表格格線64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40">
    <w:name w:val="表格格線65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4">
    <w:name w:val="表格格線66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4">
    <w:name w:val="表格格線67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4">
    <w:name w:val="表格格線68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4">
    <w:name w:val="表格格線69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
    <w:name w:val="無清單134"/>
    <w:next w:val="a7"/>
    <w:uiPriority w:val="99"/>
    <w:semiHidden/>
    <w:unhideWhenUsed/>
    <w:rsid w:val="008804E9"/>
  </w:style>
  <w:style w:type="table" w:customStyle="1" w:styleId="704">
    <w:name w:val="表格格線70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表格格線717"/>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表格格線72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表格格線73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0">
    <w:name w:val="表格格線74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4">
    <w:name w:val="表格格線75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4">
    <w:name w:val="表格格線76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4">
    <w:name w:val="表格格線77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4">
    <w:name w:val="表格格線78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4">
    <w:name w:val="表格格線79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4">
    <w:name w:val="表格格線80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2">
    <w:name w:val="無清單144"/>
    <w:next w:val="a7"/>
    <w:uiPriority w:val="99"/>
    <w:semiHidden/>
    <w:unhideWhenUsed/>
    <w:rsid w:val="008804E9"/>
  </w:style>
  <w:style w:type="table" w:customStyle="1" w:styleId="817">
    <w:name w:val="表格格線817"/>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表格格線82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表格格線83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表格格線84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1">
    <w:name w:val="無清單154"/>
    <w:next w:val="a7"/>
    <w:uiPriority w:val="99"/>
    <w:semiHidden/>
    <w:unhideWhenUsed/>
    <w:rsid w:val="008804E9"/>
  </w:style>
  <w:style w:type="table" w:customStyle="1" w:styleId="854">
    <w:name w:val="表格格線854"/>
    <w:basedOn w:val="a6"/>
    <w:next w:val="ae"/>
    <w:uiPriority w:val="59"/>
    <w:rsid w:val="008804E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4">
    <w:name w:val="無清單161"/>
    <w:next w:val="a7"/>
    <w:uiPriority w:val="99"/>
    <w:semiHidden/>
    <w:unhideWhenUsed/>
    <w:rsid w:val="008804E9"/>
  </w:style>
  <w:style w:type="table" w:customStyle="1" w:styleId="861">
    <w:name w:val="表格格線86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表格格線87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表格格線8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1">
    <w:name w:val="表格格線8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1">
    <w:name w:val="表格格線90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表格格線914"/>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表格格線9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0">
    <w:name w:val="表格格線9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表格格線9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表格格線95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表格格線96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表格格線97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表格格線9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1">
    <w:name w:val="表格格線9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1">
    <w:name w:val="表格格線100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表格格線1014"/>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表格格線10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4">
    <w:name w:val="無清單171"/>
    <w:next w:val="a7"/>
    <w:uiPriority w:val="99"/>
    <w:semiHidden/>
    <w:unhideWhenUsed/>
    <w:rsid w:val="008804E9"/>
  </w:style>
  <w:style w:type="table" w:customStyle="1" w:styleId="10310">
    <w:name w:val="表格格線10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0">
    <w:name w:val="表格格線10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表格格線105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表格格線106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表格格線107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表格格線10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1">
    <w:name w:val="表格格線10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4">
    <w:name w:val="表格格線1104"/>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4">
    <w:name w:val="無清單181"/>
    <w:next w:val="a7"/>
    <w:uiPriority w:val="99"/>
    <w:semiHidden/>
    <w:unhideWhenUsed/>
    <w:rsid w:val="008804E9"/>
  </w:style>
  <w:style w:type="table" w:customStyle="1" w:styleId="1118">
    <w:name w:val="表格格線1118"/>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表格格線11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表格格線11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2">
    <w:name w:val="無清單191"/>
    <w:next w:val="a7"/>
    <w:uiPriority w:val="99"/>
    <w:semiHidden/>
    <w:unhideWhenUsed/>
    <w:rsid w:val="008804E9"/>
  </w:style>
  <w:style w:type="table" w:customStyle="1" w:styleId="11410">
    <w:name w:val="表格格線11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表格格線115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表格格線116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表格格線117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表格格線11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表格格線11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表格格線120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表格格線1214"/>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表格格線12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表格格線12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
    <w:name w:val="無清單201"/>
    <w:next w:val="a7"/>
    <w:uiPriority w:val="99"/>
    <w:semiHidden/>
    <w:unhideWhenUsed/>
    <w:rsid w:val="008804E9"/>
  </w:style>
  <w:style w:type="table" w:customStyle="1" w:styleId="12410">
    <w:name w:val="表格格線12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表格格線125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
    <w:name w:val="表格格線126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1">
    <w:name w:val="表格格線127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1">
    <w:name w:val="表格格線12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1">
    <w:name w:val="表格格線12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1">
    <w:name w:val="表格格線130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表格格線1314"/>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表格格線13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
    <w:name w:val="無清單218"/>
    <w:next w:val="a7"/>
    <w:uiPriority w:val="99"/>
    <w:semiHidden/>
    <w:unhideWhenUsed/>
    <w:rsid w:val="008804E9"/>
  </w:style>
  <w:style w:type="table" w:customStyle="1" w:styleId="13310">
    <w:name w:val="表格格線13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表格格線13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
    <w:name w:val="無清單221"/>
    <w:next w:val="a7"/>
    <w:uiPriority w:val="99"/>
    <w:semiHidden/>
    <w:unhideWhenUsed/>
    <w:rsid w:val="008804E9"/>
  </w:style>
  <w:style w:type="table" w:customStyle="1" w:styleId="1351">
    <w:name w:val="表格格線135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1">
    <w:name w:val="表格格線136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4">
    <w:name w:val="表格格線1374"/>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1">
    <w:name w:val="表格格線13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1">
    <w:name w:val="表格格線13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1">
    <w:name w:val="表格格線140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0">
    <w:name w:val="表格格線1414"/>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2">
    <w:name w:val="無清單231"/>
    <w:next w:val="a7"/>
    <w:uiPriority w:val="99"/>
    <w:semiHidden/>
    <w:unhideWhenUsed/>
    <w:rsid w:val="008804E9"/>
  </w:style>
  <w:style w:type="table" w:customStyle="1" w:styleId="14210">
    <w:name w:val="表格格線14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2">
    <w:name w:val="無清單241"/>
    <w:next w:val="a7"/>
    <w:uiPriority w:val="99"/>
    <w:semiHidden/>
    <w:unhideWhenUsed/>
    <w:rsid w:val="008804E9"/>
  </w:style>
  <w:style w:type="table" w:customStyle="1" w:styleId="14310">
    <w:name w:val="表格格線14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表格格線14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表格格線145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1">
    <w:name w:val="表格格線146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1">
    <w:name w:val="表格格線147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1">
    <w:name w:val="表格格線14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1">
    <w:name w:val="表格格線14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1">
    <w:name w:val="表格格線150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無清單251"/>
    <w:next w:val="a7"/>
    <w:uiPriority w:val="99"/>
    <w:semiHidden/>
    <w:unhideWhenUsed/>
    <w:rsid w:val="008804E9"/>
  </w:style>
  <w:style w:type="table" w:customStyle="1" w:styleId="1514">
    <w:name w:val="表格格線1514"/>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無清單261"/>
    <w:next w:val="a7"/>
    <w:uiPriority w:val="99"/>
    <w:semiHidden/>
    <w:unhideWhenUsed/>
    <w:rsid w:val="008804E9"/>
  </w:style>
  <w:style w:type="table" w:customStyle="1" w:styleId="15210">
    <w:name w:val="表格格線15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1">
    <w:name w:val="無清單271"/>
    <w:next w:val="a7"/>
    <w:uiPriority w:val="99"/>
    <w:semiHidden/>
    <w:unhideWhenUsed/>
    <w:rsid w:val="008804E9"/>
  </w:style>
  <w:style w:type="table" w:customStyle="1" w:styleId="15310">
    <w:name w:val="表格格線15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11">
    <w:name w:val="無清單281"/>
    <w:next w:val="a7"/>
    <w:uiPriority w:val="99"/>
    <w:semiHidden/>
    <w:unhideWhenUsed/>
    <w:rsid w:val="008804E9"/>
  </w:style>
  <w:style w:type="table" w:customStyle="1" w:styleId="15410">
    <w:name w:val="表格格線15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表格格線155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1">
    <w:name w:val="表格格線156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1">
    <w:name w:val="表格格線157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1">
    <w:name w:val="表格格線15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91">
    <w:name w:val="表格格線15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1">
    <w:name w:val="表格格線160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
    <w:name w:val="無清單291"/>
    <w:next w:val="a7"/>
    <w:uiPriority w:val="99"/>
    <w:semiHidden/>
    <w:unhideWhenUsed/>
    <w:rsid w:val="008804E9"/>
  </w:style>
  <w:style w:type="table" w:customStyle="1" w:styleId="16140">
    <w:name w:val="表格格線1614"/>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0">
    <w:name w:val="表格格線16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表格格線16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表格格線16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表格格線165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1">
    <w:name w:val="表格格線166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1">
    <w:name w:val="表格格線167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1">
    <w:name w:val="表格格線16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91">
    <w:name w:val="表格格線16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1">
    <w:name w:val="表格格線170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40">
    <w:name w:val="表格格線1714"/>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0">
    <w:name w:val="表格格線17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表格格線17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表格格線17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1">
    <w:name w:val="表格格線175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1">
    <w:name w:val="無清單301"/>
    <w:next w:val="a7"/>
    <w:uiPriority w:val="99"/>
    <w:semiHidden/>
    <w:unhideWhenUsed/>
    <w:rsid w:val="008804E9"/>
  </w:style>
  <w:style w:type="table" w:customStyle="1" w:styleId="1761">
    <w:name w:val="表格格線176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1">
    <w:name w:val="表格格線177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81">
    <w:name w:val="表格格線17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91">
    <w:name w:val="表格格線17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1">
    <w:name w:val="表格格線180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40">
    <w:name w:val="表格格線1814"/>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表格格線18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表格格線18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1">
    <w:name w:val="表格格線18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1">
    <w:name w:val="表格格線185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1">
    <w:name w:val="表格格線186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71">
    <w:name w:val="表格格線187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無清單316"/>
    <w:next w:val="a7"/>
    <w:uiPriority w:val="99"/>
    <w:semiHidden/>
    <w:unhideWhenUsed/>
    <w:rsid w:val="008804E9"/>
  </w:style>
  <w:style w:type="table" w:customStyle="1" w:styleId="1881">
    <w:name w:val="表格格線18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無清單321"/>
    <w:next w:val="a7"/>
    <w:uiPriority w:val="99"/>
    <w:semiHidden/>
    <w:unhideWhenUsed/>
    <w:rsid w:val="008804E9"/>
  </w:style>
  <w:style w:type="table" w:customStyle="1" w:styleId="1891">
    <w:name w:val="表格格線18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1">
    <w:name w:val="表格格線190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無清單331"/>
    <w:next w:val="a7"/>
    <w:uiPriority w:val="99"/>
    <w:semiHidden/>
    <w:unhideWhenUsed/>
    <w:rsid w:val="008804E9"/>
  </w:style>
  <w:style w:type="table" w:customStyle="1" w:styleId="19120">
    <w:name w:val="表格格線1912"/>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0">
    <w:name w:val="表格格線19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1">
    <w:name w:val="表格格線19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1">
    <w:name w:val="表格格線19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2">
    <w:name w:val="無清單341"/>
    <w:next w:val="a7"/>
    <w:uiPriority w:val="99"/>
    <w:semiHidden/>
    <w:unhideWhenUsed/>
    <w:rsid w:val="008804E9"/>
  </w:style>
  <w:style w:type="table" w:customStyle="1" w:styleId="1951">
    <w:name w:val="表格格線195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
    <w:name w:val="無清單351"/>
    <w:next w:val="a7"/>
    <w:uiPriority w:val="99"/>
    <w:semiHidden/>
    <w:unhideWhenUsed/>
    <w:rsid w:val="008804E9"/>
  </w:style>
  <w:style w:type="table" w:customStyle="1" w:styleId="1962">
    <w:name w:val="表格格線1962"/>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71">
    <w:name w:val="表格格線197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81">
    <w:name w:val="表格格線198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91">
    <w:name w:val="表格格線199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無清單361"/>
    <w:next w:val="a7"/>
    <w:uiPriority w:val="99"/>
    <w:semiHidden/>
    <w:unhideWhenUsed/>
    <w:rsid w:val="008804E9"/>
  </w:style>
  <w:style w:type="table" w:customStyle="1" w:styleId="2001">
    <w:name w:val="表格格線200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0">
    <w:name w:val="表格格線201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1">
    <w:name w:val="無清單371"/>
    <w:next w:val="a7"/>
    <w:uiPriority w:val="99"/>
    <w:semiHidden/>
    <w:unhideWhenUsed/>
    <w:rsid w:val="008804E9"/>
  </w:style>
  <w:style w:type="table" w:customStyle="1" w:styleId="2021">
    <w:name w:val="表格格線202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1">
    <w:name w:val="無清單381"/>
    <w:next w:val="a7"/>
    <w:uiPriority w:val="99"/>
    <w:semiHidden/>
    <w:unhideWhenUsed/>
    <w:rsid w:val="008804E9"/>
  </w:style>
  <w:style w:type="table" w:customStyle="1" w:styleId="2031">
    <w:name w:val="表格格線203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1">
    <w:name w:val="無清單391"/>
    <w:next w:val="a7"/>
    <w:uiPriority w:val="99"/>
    <w:semiHidden/>
    <w:unhideWhenUsed/>
    <w:rsid w:val="008804E9"/>
  </w:style>
  <w:style w:type="table" w:customStyle="1" w:styleId="2041">
    <w:name w:val="表格格線2041"/>
    <w:basedOn w:val="a6"/>
    <w:next w:val="ae"/>
    <w:uiPriority w:val="59"/>
    <w:rsid w:val="008804E9"/>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5">
    <w:name w:val="無清單60"/>
    <w:next w:val="a7"/>
    <w:uiPriority w:val="99"/>
    <w:semiHidden/>
    <w:unhideWhenUsed/>
    <w:rsid w:val="00A262E7"/>
  </w:style>
  <w:style w:type="table" w:customStyle="1" w:styleId="2250">
    <w:name w:val="表格格線225"/>
    <w:basedOn w:val="a6"/>
    <w:next w:val="ae"/>
    <w:uiPriority w:val="3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5">
    <w:name w:val="表格格線110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表格格線226"/>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
    <w:name w:val="無清單120"/>
    <w:next w:val="a7"/>
    <w:uiPriority w:val="99"/>
    <w:semiHidden/>
    <w:unhideWhenUsed/>
    <w:rsid w:val="00A262E7"/>
  </w:style>
  <w:style w:type="table" w:customStyle="1" w:styleId="319">
    <w:name w:val="表格格線319"/>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表格格線418"/>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8">
    <w:name w:val="表格格線518"/>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
    <w:name w:val="表格格線618"/>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
    <w:name w:val="表格格線718"/>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8">
    <w:name w:val="表格格線818"/>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表格格線91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表格格線101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9">
    <w:name w:val="表格格線1119"/>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表格格線121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
    <w:name w:val="表格格線131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表格格線141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
    <w:name w:val="表格格線151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
    <w:name w:val="表格格線161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
    <w:name w:val="無清單219"/>
    <w:next w:val="a7"/>
    <w:uiPriority w:val="99"/>
    <w:semiHidden/>
    <w:unhideWhenUsed/>
    <w:rsid w:val="00A262E7"/>
  </w:style>
  <w:style w:type="table" w:customStyle="1" w:styleId="1715">
    <w:name w:val="表格格線171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5">
    <w:name w:val="表格格線181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3">
    <w:name w:val="表格格線1913"/>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2">
    <w:name w:val="表格格線2012"/>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表格格線2111"/>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表格格線227"/>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0">
    <w:name w:val="表格格線23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0">
    <w:name w:val="表格格線24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0">
    <w:name w:val="表格格線25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表格格線26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71">
    <w:name w:val="無清單317"/>
    <w:next w:val="a7"/>
    <w:uiPriority w:val="99"/>
    <w:semiHidden/>
    <w:unhideWhenUsed/>
    <w:rsid w:val="00A262E7"/>
  </w:style>
  <w:style w:type="table" w:customStyle="1" w:styleId="275">
    <w:name w:val="表格格線27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0">
    <w:name w:val="無清單415"/>
    <w:next w:val="a7"/>
    <w:uiPriority w:val="99"/>
    <w:semiHidden/>
    <w:unhideWhenUsed/>
    <w:rsid w:val="00A262E7"/>
  </w:style>
  <w:style w:type="table" w:customStyle="1" w:styleId="285">
    <w:name w:val="表格格線28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5">
    <w:name w:val="表格格線29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5">
    <w:name w:val="表格格線30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無清單510"/>
    <w:next w:val="a7"/>
    <w:uiPriority w:val="99"/>
    <w:semiHidden/>
    <w:unhideWhenUsed/>
    <w:rsid w:val="00A262E7"/>
  </w:style>
  <w:style w:type="table" w:customStyle="1" w:styleId="31100">
    <w:name w:val="表格格線3110"/>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0">
    <w:name w:val="無清單66"/>
    <w:next w:val="a7"/>
    <w:uiPriority w:val="99"/>
    <w:semiHidden/>
    <w:unhideWhenUsed/>
    <w:rsid w:val="00A262E7"/>
  </w:style>
  <w:style w:type="table" w:customStyle="1" w:styleId="325">
    <w:name w:val="表格格線32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表格格線33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0">
    <w:name w:val="無清單75"/>
    <w:next w:val="a7"/>
    <w:uiPriority w:val="99"/>
    <w:semiHidden/>
    <w:unhideWhenUsed/>
    <w:rsid w:val="00A262E7"/>
  </w:style>
  <w:style w:type="table" w:customStyle="1" w:styleId="345">
    <w:name w:val="表格格線34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5">
    <w:name w:val="表格格線35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5">
    <w:name w:val="表格格線36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5">
    <w:name w:val="表格格線37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5">
    <w:name w:val="表格格線38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0">
    <w:name w:val="無清單85"/>
    <w:next w:val="a7"/>
    <w:uiPriority w:val="99"/>
    <w:semiHidden/>
    <w:unhideWhenUsed/>
    <w:rsid w:val="00A262E7"/>
  </w:style>
  <w:style w:type="table" w:customStyle="1" w:styleId="395">
    <w:name w:val="表格格線39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5">
    <w:name w:val="表格格線40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0">
    <w:name w:val="無清單95"/>
    <w:next w:val="a7"/>
    <w:uiPriority w:val="99"/>
    <w:semiHidden/>
    <w:unhideWhenUsed/>
    <w:rsid w:val="00A262E7"/>
  </w:style>
  <w:style w:type="table" w:customStyle="1" w:styleId="419">
    <w:name w:val="表格格線419"/>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表格格線42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表格格線43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0">
    <w:name w:val="無清單105"/>
    <w:next w:val="a7"/>
    <w:uiPriority w:val="99"/>
    <w:semiHidden/>
    <w:unhideWhenUsed/>
    <w:rsid w:val="00A262E7"/>
  </w:style>
  <w:style w:type="table" w:customStyle="1" w:styleId="445">
    <w:name w:val="表格格線44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5">
    <w:name w:val="表格格線45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5">
    <w:name w:val="表格格線46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5">
    <w:name w:val="表格格線47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5">
    <w:name w:val="表格格線48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5">
    <w:name w:val="表格格線49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5">
    <w:name w:val="表格格線50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9">
    <w:name w:val="表格格線519"/>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無清單1116"/>
    <w:next w:val="a7"/>
    <w:uiPriority w:val="99"/>
    <w:semiHidden/>
    <w:unhideWhenUsed/>
    <w:rsid w:val="00A262E7"/>
  </w:style>
  <w:style w:type="table" w:customStyle="1" w:styleId="525">
    <w:name w:val="表格格線52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表格格線53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5">
    <w:name w:val="表格格線54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5">
    <w:name w:val="表格格線55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5">
    <w:name w:val="表格格線56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5">
    <w:name w:val="表格格線57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5">
    <w:name w:val="表格格線58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5">
    <w:name w:val="表格格線59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無清單125"/>
    <w:next w:val="a7"/>
    <w:uiPriority w:val="99"/>
    <w:semiHidden/>
    <w:unhideWhenUsed/>
    <w:rsid w:val="00A262E7"/>
  </w:style>
  <w:style w:type="table" w:customStyle="1" w:styleId="6050">
    <w:name w:val="表格格線60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9">
    <w:name w:val="表格格線619"/>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表格格線62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表格格線63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5">
    <w:name w:val="表格格線64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5">
    <w:name w:val="表格格線65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5">
    <w:name w:val="表格格線66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5">
    <w:name w:val="表格格線67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5">
    <w:name w:val="表格格線68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5">
    <w:name w:val="表格格線69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無清單135"/>
    <w:next w:val="a7"/>
    <w:uiPriority w:val="99"/>
    <w:semiHidden/>
    <w:unhideWhenUsed/>
    <w:rsid w:val="00A262E7"/>
  </w:style>
  <w:style w:type="table" w:customStyle="1" w:styleId="705">
    <w:name w:val="表格格線70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
    <w:name w:val="表格格線719"/>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表格格線72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表格格線73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表格格線74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5">
    <w:name w:val="表格格線75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5">
    <w:name w:val="表格格線76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5">
    <w:name w:val="表格格線77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5">
    <w:name w:val="表格格線78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5">
    <w:name w:val="表格格線79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5">
    <w:name w:val="表格格線80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2">
    <w:name w:val="無清單145"/>
    <w:next w:val="a7"/>
    <w:uiPriority w:val="99"/>
    <w:semiHidden/>
    <w:unhideWhenUsed/>
    <w:rsid w:val="00A262E7"/>
  </w:style>
  <w:style w:type="table" w:customStyle="1" w:styleId="819">
    <w:name w:val="表格格線819"/>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表格格線82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表格格線83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表格格線84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50">
    <w:name w:val="無清單155"/>
    <w:next w:val="a7"/>
    <w:uiPriority w:val="99"/>
    <w:semiHidden/>
    <w:unhideWhenUsed/>
    <w:rsid w:val="00A262E7"/>
  </w:style>
  <w:style w:type="table" w:customStyle="1" w:styleId="855">
    <w:name w:val="表格格線855"/>
    <w:basedOn w:val="a6"/>
    <w:next w:val="ae"/>
    <w:uiPriority w:val="59"/>
    <w:rsid w:val="00A262E7"/>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2">
    <w:name w:val="無清單162"/>
    <w:next w:val="a7"/>
    <w:uiPriority w:val="99"/>
    <w:semiHidden/>
    <w:unhideWhenUsed/>
    <w:rsid w:val="00A262E7"/>
  </w:style>
  <w:style w:type="table" w:customStyle="1" w:styleId="862">
    <w:name w:val="表格格線86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表格格線87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2">
    <w:name w:val="表格格線8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2">
    <w:name w:val="表格格線8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2">
    <w:name w:val="表格格線90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
    <w:name w:val="表格格線916"/>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表格格線9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表格格線9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表格格線9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表格格線95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表格格線96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表格格線97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2">
    <w:name w:val="表格格線9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2">
    <w:name w:val="表格格線9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2">
    <w:name w:val="表格格線100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
    <w:name w:val="表格格線1016"/>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表格格線10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2">
    <w:name w:val="無清單172"/>
    <w:next w:val="a7"/>
    <w:uiPriority w:val="99"/>
    <w:semiHidden/>
    <w:unhideWhenUsed/>
    <w:rsid w:val="00A262E7"/>
  </w:style>
  <w:style w:type="table" w:customStyle="1" w:styleId="10320">
    <w:name w:val="表格格線10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表格格線10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表格格線105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表格格線106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表格格線107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2">
    <w:name w:val="表格格線10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2">
    <w:name w:val="表格格線10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6">
    <w:name w:val="表格格線1106"/>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0">
    <w:name w:val="無清單182"/>
    <w:next w:val="a7"/>
    <w:uiPriority w:val="99"/>
    <w:semiHidden/>
    <w:unhideWhenUsed/>
    <w:rsid w:val="00A262E7"/>
  </w:style>
  <w:style w:type="table" w:customStyle="1" w:styleId="111100">
    <w:name w:val="表格格線11110"/>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表格格線11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0">
    <w:name w:val="表格格線11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2">
    <w:name w:val="無清單192"/>
    <w:next w:val="a7"/>
    <w:uiPriority w:val="99"/>
    <w:semiHidden/>
    <w:unhideWhenUsed/>
    <w:rsid w:val="00A262E7"/>
  </w:style>
  <w:style w:type="table" w:customStyle="1" w:styleId="11420">
    <w:name w:val="表格格線11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表格格線115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2">
    <w:name w:val="表格格線116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表格格線117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表格格線11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表格格線11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0">
    <w:name w:val="表格格線120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6">
    <w:name w:val="表格格線1216"/>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表格格線12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表格格線12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2">
    <w:name w:val="無清單202"/>
    <w:next w:val="a7"/>
    <w:uiPriority w:val="99"/>
    <w:semiHidden/>
    <w:unhideWhenUsed/>
    <w:rsid w:val="00A262E7"/>
  </w:style>
  <w:style w:type="table" w:customStyle="1" w:styleId="1242">
    <w:name w:val="表格格線12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2">
    <w:name w:val="表格格線125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2">
    <w:name w:val="表格格線126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2">
    <w:name w:val="表格格線127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2">
    <w:name w:val="表格格線12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2">
    <w:name w:val="表格格線12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2">
    <w:name w:val="表格格線130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6">
    <w:name w:val="表格格線1316"/>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0">
    <w:name w:val="表格格線13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
    <w:name w:val="無清單2110"/>
    <w:next w:val="a7"/>
    <w:uiPriority w:val="99"/>
    <w:semiHidden/>
    <w:unhideWhenUsed/>
    <w:rsid w:val="00A262E7"/>
  </w:style>
  <w:style w:type="table" w:customStyle="1" w:styleId="1332">
    <w:name w:val="表格格線13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表格格線13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
    <w:name w:val="無清單222"/>
    <w:next w:val="a7"/>
    <w:uiPriority w:val="99"/>
    <w:semiHidden/>
    <w:unhideWhenUsed/>
    <w:rsid w:val="00A262E7"/>
  </w:style>
  <w:style w:type="table" w:customStyle="1" w:styleId="1352">
    <w:name w:val="表格格線135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2">
    <w:name w:val="表格格線136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5">
    <w:name w:val="表格格線1375"/>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2">
    <w:name w:val="表格格線13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2">
    <w:name w:val="表格格線13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2">
    <w:name w:val="表格格線140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6">
    <w:name w:val="表格格線1416"/>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
    <w:name w:val="無清單232"/>
    <w:next w:val="a7"/>
    <w:uiPriority w:val="99"/>
    <w:semiHidden/>
    <w:unhideWhenUsed/>
    <w:rsid w:val="00A262E7"/>
  </w:style>
  <w:style w:type="table" w:customStyle="1" w:styleId="14220">
    <w:name w:val="表格格線14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1">
    <w:name w:val="無清單242"/>
    <w:next w:val="a7"/>
    <w:uiPriority w:val="99"/>
    <w:semiHidden/>
    <w:unhideWhenUsed/>
    <w:rsid w:val="00A262E7"/>
  </w:style>
  <w:style w:type="table" w:customStyle="1" w:styleId="14320">
    <w:name w:val="表格格線14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0">
    <w:name w:val="表格格線14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20">
    <w:name w:val="表格格線145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2">
    <w:name w:val="表格格線146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2">
    <w:name w:val="表格格線147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2">
    <w:name w:val="表格格線14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2">
    <w:name w:val="表格格線14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2">
    <w:name w:val="表格格線150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無清單252"/>
    <w:next w:val="a7"/>
    <w:uiPriority w:val="99"/>
    <w:semiHidden/>
    <w:unhideWhenUsed/>
    <w:rsid w:val="00A262E7"/>
  </w:style>
  <w:style w:type="table" w:customStyle="1" w:styleId="1516">
    <w:name w:val="表格格線1516"/>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1">
    <w:name w:val="無清單262"/>
    <w:next w:val="a7"/>
    <w:uiPriority w:val="99"/>
    <w:semiHidden/>
    <w:unhideWhenUsed/>
    <w:rsid w:val="00A262E7"/>
  </w:style>
  <w:style w:type="table" w:customStyle="1" w:styleId="15220">
    <w:name w:val="表格格線15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0">
    <w:name w:val="無清單272"/>
    <w:next w:val="a7"/>
    <w:uiPriority w:val="99"/>
    <w:semiHidden/>
    <w:unhideWhenUsed/>
    <w:rsid w:val="00A262E7"/>
  </w:style>
  <w:style w:type="table" w:customStyle="1" w:styleId="1532">
    <w:name w:val="表格格線15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20">
    <w:name w:val="無清單282"/>
    <w:next w:val="a7"/>
    <w:uiPriority w:val="99"/>
    <w:semiHidden/>
    <w:unhideWhenUsed/>
    <w:rsid w:val="00A262E7"/>
  </w:style>
  <w:style w:type="table" w:customStyle="1" w:styleId="1542">
    <w:name w:val="表格格線15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2">
    <w:name w:val="表格格線155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2">
    <w:name w:val="表格格線156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2">
    <w:name w:val="表格格線157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2">
    <w:name w:val="表格格線15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92">
    <w:name w:val="表格格線15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2">
    <w:name w:val="表格格線160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無清單292"/>
    <w:next w:val="a7"/>
    <w:uiPriority w:val="99"/>
    <w:semiHidden/>
    <w:unhideWhenUsed/>
    <w:rsid w:val="00A262E7"/>
  </w:style>
  <w:style w:type="table" w:customStyle="1" w:styleId="1616">
    <w:name w:val="表格格線1616"/>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0">
    <w:name w:val="表格格線16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表格格線16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表格格線16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2">
    <w:name w:val="表格格線165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2">
    <w:name w:val="表格格線166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2">
    <w:name w:val="表格格線167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2">
    <w:name w:val="表格格線16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92">
    <w:name w:val="表格格線16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2">
    <w:name w:val="表格格線170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6">
    <w:name w:val="表格格線1716"/>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0">
    <w:name w:val="表格格線17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表格格線17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2">
    <w:name w:val="表格格線17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2">
    <w:name w:val="表格格線175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0">
    <w:name w:val="無清單302"/>
    <w:next w:val="a7"/>
    <w:uiPriority w:val="99"/>
    <w:semiHidden/>
    <w:unhideWhenUsed/>
    <w:rsid w:val="00A262E7"/>
  </w:style>
  <w:style w:type="table" w:customStyle="1" w:styleId="1762">
    <w:name w:val="表格格線176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2">
    <w:name w:val="表格格線177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82">
    <w:name w:val="表格格線17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92">
    <w:name w:val="表格格線17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2">
    <w:name w:val="表格格線180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6">
    <w:name w:val="表格格線1816"/>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2">
    <w:name w:val="表格格線18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2">
    <w:name w:val="表格格線18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2">
    <w:name w:val="表格格線18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2">
    <w:name w:val="表格格線185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2">
    <w:name w:val="表格格線186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72">
    <w:name w:val="表格格線187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0">
    <w:name w:val="無清單318"/>
    <w:next w:val="a7"/>
    <w:uiPriority w:val="99"/>
    <w:semiHidden/>
    <w:unhideWhenUsed/>
    <w:rsid w:val="00A262E7"/>
  </w:style>
  <w:style w:type="table" w:customStyle="1" w:styleId="1882">
    <w:name w:val="表格格線18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
    <w:name w:val="無清單322"/>
    <w:next w:val="a7"/>
    <w:uiPriority w:val="99"/>
    <w:semiHidden/>
    <w:unhideWhenUsed/>
    <w:rsid w:val="00A262E7"/>
  </w:style>
  <w:style w:type="table" w:customStyle="1" w:styleId="1892">
    <w:name w:val="表格格線18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2">
    <w:name w:val="表格格線190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無清單332"/>
    <w:next w:val="a7"/>
    <w:uiPriority w:val="99"/>
    <w:semiHidden/>
    <w:unhideWhenUsed/>
    <w:rsid w:val="00A262E7"/>
  </w:style>
  <w:style w:type="table" w:customStyle="1" w:styleId="1914">
    <w:name w:val="表格格線1914"/>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20">
    <w:name w:val="表格格線19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2">
    <w:name w:val="表格格線19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2">
    <w:name w:val="表格格線19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0">
    <w:name w:val="無清單342"/>
    <w:next w:val="a7"/>
    <w:uiPriority w:val="99"/>
    <w:semiHidden/>
    <w:unhideWhenUsed/>
    <w:rsid w:val="00A262E7"/>
  </w:style>
  <w:style w:type="table" w:customStyle="1" w:styleId="1952">
    <w:name w:val="表格格線195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0">
    <w:name w:val="無清單352"/>
    <w:next w:val="a7"/>
    <w:uiPriority w:val="99"/>
    <w:semiHidden/>
    <w:unhideWhenUsed/>
    <w:rsid w:val="00A262E7"/>
  </w:style>
  <w:style w:type="table" w:customStyle="1" w:styleId="1963">
    <w:name w:val="表格格線1963"/>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72">
    <w:name w:val="表格格線197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82">
    <w:name w:val="表格格線198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92">
    <w:name w:val="表格格線199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0">
    <w:name w:val="無清單362"/>
    <w:next w:val="a7"/>
    <w:uiPriority w:val="99"/>
    <w:semiHidden/>
    <w:unhideWhenUsed/>
    <w:rsid w:val="00A262E7"/>
  </w:style>
  <w:style w:type="table" w:customStyle="1" w:styleId="2002">
    <w:name w:val="表格格線200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3">
    <w:name w:val="表格格線2013"/>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20">
    <w:name w:val="無清單372"/>
    <w:next w:val="a7"/>
    <w:uiPriority w:val="99"/>
    <w:semiHidden/>
    <w:unhideWhenUsed/>
    <w:rsid w:val="00A262E7"/>
  </w:style>
  <w:style w:type="table" w:customStyle="1" w:styleId="20220">
    <w:name w:val="表格格線202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20">
    <w:name w:val="無清單382"/>
    <w:next w:val="a7"/>
    <w:uiPriority w:val="99"/>
    <w:semiHidden/>
    <w:unhideWhenUsed/>
    <w:rsid w:val="00A262E7"/>
  </w:style>
  <w:style w:type="table" w:customStyle="1" w:styleId="2032">
    <w:name w:val="表格格線203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20">
    <w:name w:val="無清單392"/>
    <w:next w:val="a7"/>
    <w:uiPriority w:val="99"/>
    <w:semiHidden/>
    <w:unhideWhenUsed/>
    <w:rsid w:val="00A262E7"/>
  </w:style>
  <w:style w:type="table" w:customStyle="1" w:styleId="2042">
    <w:name w:val="表格格線2042"/>
    <w:basedOn w:val="a6"/>
    <w:next w:val="ae"/>
    <w:uiPriority w:val="59"/>
    <w:rsid w:val="00A262E7"/>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c">
    <w:name w:val="Unresolved Mention"/>
    <w:basedOn w:val="a5"/>
    <w:uiPriority w:val="99"/>
    <w:semiHidden/>
    <w:unhideWhenUsed/>
    <w:rsid w:val="00477ACB"/>
    <w:rPr>
      <w:color w:val="605E5C"/>
      <w:shd w:val="clear" w:color="auto" w:fill="E1DFDD"/>
    </w:rPr>
  </w:style>
  <w:style w:type="table" w:customStyle="1" w:styleId="2280">
    <w:name w:val="表格格線228"/>
    <w:basedOn w:val="a6"/>
    <w:next w:val="ae"/>
    <w:uiPriority w:val="59"/>
    <w:rsid w:val="005632E1"/>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0">
    <w:name w:val="表格格線229"/>
    <w:basedOn w:val="a6"/>
    <w:next w:val="ae"/>
    <w:uiPriority w:val="59"/>
    <w:rsid w:val="00832F6C"/>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表格格線230"/>
    <w:basedOn w:val="a6"/>
    <w:next w:val="ae"/>
    <w:uiPriority w:val="59"/>
    <w:rsid w:val="000152B9"/>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51">
    <w:name w:val="表格格線2051"/>
    <w:basedOn w:val="a6"/>
    <w:next w:val="ae"/>
    <w:uiPriority w:val="39"/>
    <w:rsid w:val="00141F4F"/>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0">
    <w:name w:val="無清單67"/>
    <w:next w:val="a7"/>
    <w:uiPriority w:val="99"/>
    <w:semiHidden/>
    <w:unhideWhenUsed/>
    <w:rsid w:val="005A76C8"/>
  </w:style>
  <w:style w:type="numbering" w:customStyle="1" w:styleId="680">
    <w:name w:val="無清單68"/>
    <w:next w:val="a7"/>
    <w:uiPriority w:val="99"/>
    <w:semiHidden/>
    <w:unhideWhenUsed/>
    <w:rsid w:val="009548F9"/>
  </w:style>
  <w:style w:type="numbering" w:customStyle="1" w:styleId="690">
    <w:name w:val="無清單69"/>
    <w:next w:val="a7"/>
    <w:uiPriority w:val="99"/>
    <w:semiHidden/>
    <w:unhideWhenUsed/>
    <w:rsid w:val="00FB3E5C"/>
  </w:style>
  <w:style w:type="numbering" w:customStyle="1" w:styleId="706">
    <w:name w:val="無清單70"/>
    <w:next w:val="a7"/>
    <w:uiPriority w:val="99"/>
    <w:semiHidden/>
    <w:unhideWhenUsed/>
    <w:rsid w:val="00AF4F05"/>
  </w:style>
  <w:style w:type="numbering" w:customStyle="1" w:styleId="276">
    <w:name w:val="樣式27"/>
    <w:rsid w:val="00AF4F05"/>
  </w:style>
  <w:style w:type="numbering" w:customStyle="1" w:styleId="17a">
    <w:name w:val="樣式17"/>
    <w:rsid w:val="00AF4F05"/>
  </w:style>
  <w:style w:type="numbering" w:customStyle="1" w:styleId="376">
    <w:name w:val="樣式37"/>
    <w:basedOn w:val="a7"/>
    <w:rsid w:val="00AF4F05"/>
  </w:style>
  <w:style w:type="numbering" w:customStyle="1" w:styleId="1163">
    <w:name w:val="樣式116"/>
    <w:rsid w:val="00AF4F05"/>
  </w:style>
  <w:style w:type="numbering" w:customStyle="1" w:styleId="1260">
    <w:name w:val="無清單126"/>
    <w:next w:val="a7"/>
    <w:uiPriority w:val="99"/>
    <w:semiHidden/>
    <w:unhideWhenUsed/>
    <w:rsid w:val="00AF4F05"/>
  </w:style>
  <w:style w:type="numbering" w:customStyle="1" w:styleId="11170">
    <w:name w:val="無清單1117"/>
    <w:next w:val="a7"/>
    <w:uiPriority w:val="99"/>
    <w:semiHidden/>
    <w:unhideWhenUsed/>
    <w:rsid w:val="00AF4F05"/>
  </w:style>
  <w:style w:type="numbering" w:customStyle="1" w:styleId="11180">
    <w:name w:val="無清單1118"/>
    <w:next w:val="a7"/>
    <w:semiHidden/>
    <w:unhideWhenUsed/>
    <w:rsid w:val="00AF4F05"/>
  </w:style>
  <w:style w:type="numbering" w:customStyle="1" w:styleId="11116">
    <w:name w:val="無清單11116"/>
    <w:next w:val="a7"/>
    <w:semiHidden/>
    <w:unhideWhenUsed/>
    <w:rsid w:val="00AF4F05"/>
  </w:style>
  <w:style w:type="numbering" w:customStyle="1" w:styleId="2201">
    <w:name w:val="無清單220"/>
    <w:next w:val="a7"/>
    <w:uiPriority w:val="99"/>
    <w:semiHidden/>
    <w:unhideWhenUsed/>
    <w:rsid w:val="00AF4F05"/>
  </w:style>
  <w:style w:type="numbering" w:customStyle="1" w:styleId="1270">
    <w:name w:val="無清單127"/>
    <w:next w:val="a7"/>
    <w:uiPriority w:val="99"/>
    <w:semiHidden/>
    <w:unhideWhenUsed/>
    <w:rsid w:val="00AF4F05"/>
  </w:style>
  <w:style w:type="numbering" w:customStyle="1" w:styleId="111115">
    <w:name w:val="無清單111115"/>
    <w:next w:val="a7"/>
    <w:semiHidden/>
    <w:unhideWhenUsed/>
    <w:rsid w:val="00AF4F05"/>
  </w:style>
  <w:style w:type="numbering" w:customStyle="1" w:styleId="2162">
    <w:name w:val="樣式216"/>
    <w:rsid w:val="00AF4F05"/>
  </w:style>
  <w:style w:type="numbering" w:customStyle="1" w:styleId="3161">
    <w:name w:val="樣式316"/>
    <w:basedOn w:val="a7"/>
    <w:rsid w:val="00AF4F05"/>
  </w:style>
  <w:style w:type="numbering" w:customStyle="1" w:styleId="1111117">
    <w:name w:val="1 / 1.1 / 1.1.17"/>
    <w:basedOn w:val="a7"/>
    <w:next w:val="111111"/>
    <w:rsid w:val="00AF4F05"/>
  </w:style>
  <w:style w:type="numbering" w:customStyle="1" w:styleId="3190">
    <w:name w:val="無清單319"/>
    <w:next w:val="a7"/>
    <w:uiPriority w:val="99"/>
    <w:semiHidden/>
    <w:unhideWhenUsed/>
    <w:rsid w:val="00AF4F05"/>
  </w:style>
  <w:style w:type="numbering" w:customStyle="1" w:styleId="1360">
    <w:name w:val="無清單136"/>
    <w:next w:val="a7"/>
    <w:uiPriority w:val="99"/>
    <w:semiHidden/>
    <w:unhideWhenUsed/>
    <w:rsid w:val="00AF4F05"/>
  </w:style>
  <w:style w:type="numbering" w:customStyle="1" w:styleId="1124">
    <w:name w:val="無清單1124"/>
    <w:next w:val="a7"/>
    <w:uiPriority w:val="99"/>
    <w:semiHidden/>
    <w:unhideWhenUsed/>
    <w:rsid w:val="00AF4F05"/>
  </w:style>
  <w:style w:type="numbering" w:customStyle="1" w:styleId="11124">
    <w:name w:val="無清單11124"/>
    <w:next w:val="a7"/>
    <w:uiPriority w:val="99"/>
    <w:semiHidden/>
    <w:unhideWhenUsed/>
    <w:rsid w:val="00AF4F05"/>
  </w:style>
  <w:style w:type="numbering" w:customStyle="1" w:styleId="111124">
    <w:name w:val="無清單111124"/>
    <w:next w:val="a7"/>
    <w:uiPriority w:val="99"/>
    <w:semiHidden/>
    <w:unhideWhenUsed/>
    <w:rsid w:val="00AF4F05"/>
  </w:style>
  <w:style w:type="numbering" w:customStyle="1" w:styleId="11111150">
    <w:name w:val="無清單1111115"/>
    <w:next w:val="a7"/>
    <w:uiPriority w:val="99"/>
    <w:semiHidden/>
    <w:unhideWhenUsed/>
    <w:rsid w:val="00AF4F05"/>
  </w:style>
  <w:style w:type="numbering" w:customStyle="1" w:styleId="11111115">
    <w:name w:val="無清單11111115"/>
    <w:next w:val="a7"/>
    <w:uiPriority w:val="99"/>
    <w:semiHidden/>
    <w:unhideWhenUsed/>
    <w:rsid w:val="00AF4F05"/>
  </w:style>
  <w:style w:type="numbering" w:customStyle="1" w:styleId="111111114">
    <w:name w:val="無清單111111114"/>
    <w:next w:val="a7"/>
    <w:uiPriority w:val="99"/>
    <w:semiHidden/>
    <w:unhideWhenUsed/>
    <w:rsid w:val="00AF4F05"/>
  </w:style>
  <w:style w:type="numbering" w:customStyle="1" w:styleId="4160">
    <w:name w:val="無清單416"/>
    <w:next w:val="a7"/>
    <w:uiPriority w:val="99"/>
    <w:semiHidden/>
    <w:unhideWhenUsed/>
    <w:rsid w:val="00AF4F05"/>
  </w:style>
  <w:style w:type="numbering" w:customStyle="1" w:styleId="5141">
    <w:name w:val="無清單514"/>
    <w:next w:val="a7"/>
    <w:uiPriority w:val="99"/>
    <w:semiHidden/>
    <w:unhideWhenUsed/>
    <w:rsid w:val="00AF4F05"/>
  </w:style>
  <w:style w:type="numbering" w:customStyle="1" w:styleId="6101">
    <w:name w:val="無清單610"/>
    <w:next w:val="a7"/>
    <w:uiPriority w:val="99"/>
    <w:semiHidden/>
    <w:unhideWhenUsed/>
    <w:rsid w:val="00AF4F05"/>
  </w:style>
  <w:style w:type="numbering" w:customStyle="1" w:styleId="1463">
    <w:name w:val="無清單146"/>
    <w:next w:val="a7"/>
    <w:uiPriority w:val="99"/>
    <w:semiHidden/>
    <w:unhideWhenUsed/>
    <w:rsid w:val="00AF4F05"/>
  </w:style>
  <w:style w:type="numbering" w:customStyle="1" w:styleId="21111">
    <w:name w:val="無清單2111"/>
    <w:next w:val="a7"/>
    <w:uiPriority w:val="99"/>
    <w:semiHidden/>
    <w:unhideWhenUsed/>
    <w:rsid w:val="00AF4F05"/>
  </w:style>
  <w:style w:type="numbering" w:customStyle="1" w:styleId="31101">
    <w:name w:val="無清單3110"/>
    <w:next w:val="a7"/>
    <w:uiPriority w:val="99"/>
    <w:semiHidden/>
    <w:unhideWhenUsed/>
    <w:rsid w:val="00AF4F05"/>
  </w:style>
  <w:style w:type="numbering" w:customStyle="1" w:styleId="4170">
    <w:name w:val="無清單417"/>
    <w:next w:val="a7"/>
    <w:uiPriority w:val="99"/>
    <w:semiHidden/>
    <w:unhideWhenUsed/>
    <w:rsid w:val="00AF4F05"/>
  </w:style>
  <w:style w:type="numbering" w:customStyle="1" w:styleId="5150">
    <w:name w:val="無清單515"/>
    <w:next w:val="a7"/>
    <w:uiPriority w:val="99"/>
    <w:semiHidden/>
    <w:unhideWhenUsed/>
    <w:rsid w:val="00AF4F05"/>
  </w:style>
  <w:style w:type="numbering" w:customStyle="1" w:styleId="6141">
    <w:name w:val="無清單614"/>
    <w:next w:val="a7"/>
    <w:uiPriority w:val="99"/>
    <w:semiHidden/>
    <w:unhideWhenUsed/>
    <w:rsid w:val="00AF4F05"/>
  </w:style>
  <w:style w:type="numbering" w:customStyle="1" w:styleId="760">
    <w:name w:val="無清單76"/>
    <w:next w:val="a7"/>
    <w:uiPriority w:val="99"/>
    <w:semiHidden/>
    <w:unhideWhenUsed/>
    <w:rsid w:val="00AF4F05"/>
  </w:style>
  <w:style w:type="numbering" w:customStyle="1" w:styleId="860">
    <w:name w:val="無清單86"/>
    <w:next w:val="a7"/>
    <w:uiPriority w:val="99"/>
    <w:semiHidden/>
    <w:unhideWhenUsed/>
    <w:rsid w:val="00AF4F05"/>
  </w:style>
  <w:style w:type="numbering" w:customStyle="1" w:styleId="960">
    <w:name w:val="無清單96"/>
    <w:next w:val="a7"/>
    <w:uiPriority w:val="99"/>
    <w:semiHidden/>
    <w:unhideWhenUsed/>
    <w:rsid w:val="00AF4F05"/>
  </w:style>
  <w:style w:type="numbering" w:customStyle="1" w:styleId="1060">
    <w:name w:val="無清單106"/>
    <w:next w:val="a7"/>
    <w:uiPriority w:val="99"/>
    <w:semiHidden/>
    <w:unhideWhenUsed/>
    <w:rsid w:val="00AF4F05"/>
  </w:style>
  <w:style w:type="numbering" w:customStyle="1" w:styleId="1560">
    <w:name w:val="無清單156"/>
    <w:next w:val="a7"/>
    <w:uiPriority w:val="99"/>
    <w:semiHidden/>
    <w:unhideWhenUsed/>
    <w:rsid w:val="00AF4F05"/>
  </w:style>
  <w:style w:type="table" w:customStyle="1" w:styleId="1376">
    <w:name w:val="表格格線1376"/>
    <w:basedOn w:val="a6"/>
    <w:next w:val="ae"/>
    <w:uiPriority w:val="59"/>
    <w:rsid w:val="00AF4F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0">
    <w:name w:val="無清單77"/>
    <w:next w:val="a7"/>
    <w:uiPriority w:val="99"/>
    <w:semiHidden/>
    <w:unhideWhenUsed/>
    <w:rsid w:val="00B05C66"/>
  </w:style>
  <w:style w:type="numbering" w:customStyle="1" w:styleId="780">
    <w:name w:val="無清單78"/>
    <w:next w:val="a7"/>
    <w:uiPriority w:val="99"/>
    <w:semiHidden/>
    <w:unhideWhenUsed/>
    <w:rsid w:val="00B05C66"/>
  </w:style>
  <w:style w:type="numbering" w:customStyle="1" w:styleId="790">
    <w:name w:val="無清單79"/>
    <w:next w:val="a7"/>
    <w:uiPriority w:val="99"/>
    <w:semiHidden/>
    <w:unhideWhenUsed/>
    <w:rsid w:val="00114D45"/>
  </w:style>
  <w:style w:type="numbering" w:customStyle="1" w:styleId="28">
    <w:name w:val="樣式28"/>
    <w:rsid w:val="00114D45"/>
    <w:pPr>
      <w:numPr>
        <w:numId w:val="2"/>
      </w:numPr>
    </w:pPr>
  </w:style>
  <w:style w:type="numbering" w:customStyle="1" w:styleId="18">
    <w:name w:val="樣式18"/>
    <w:rsid w:val="00114D45"/>
    <w:pPr>
      <w:numPr>
        <w:numId w:val="3"/>
      </w:numPr>
    </w:pPr>
  </w:style>
  <w:style w:type="numbering" w:customStyle="1" w:styleId="38">
    <w:name w:val="樣式38"/>
    <w:basedOn w:val="a7"/>
    <w:rsid w:val="00114D45"/>
    <w:pPr>
      <w:numPr>
        <w:numId w:val="4"/>
      </w:numPr>
    </w:pPr>
  </w:style>
  <w:style w:type="numbering" w:customStyle="1" w:styleId="117">
    <w:name w:val="樣式117"/>
    <w:rsid w:val="00114D45"/>
    <w:pPr>
      <w:numPr>
        <w:numId w:val="7"/>
      </w:numPr>
    </w:pPr>
  </w:style>
  <w:style w:type="numbering" w:customStyle="1" w:styleId="1280">
    <w:name w:val="無清單128"/>
    <w:next w:val="a7"/>
    <w:uiPriority w:val="99"/>
    <w:semiHidden/>
    <w:unhideWhenUsed/>
    <w:rsid w:val="00114D45"/>
  </w:style>
  <w:style w:type="numbering" w:customStyle="1" w:styleId="11190">
    <w:name w:val="無清單1119"/>
    <w:next w:val="a7"/>
    <w:uiPriority w:val="99"/>
    <w:semiHidden/>
    <w:unhideWhenUsed/>
    <w:rsid w:val="00114D45"/>
  </w:style>
  <w:style w:type="numbering" w:customStyle="1" w:styleId="111101">
    <w:name w:val="無清單11110"/>
    <w:next w:val="a7"/>
    <w:semiHidden/>
    <w:unhideWhenUsed/>
    <w:rsid w:val="00114D45"/>
  </w:style>
  <w:style w:type="numbering" w:customStyle="1" w:styleId="11117">
    <w:name w:val="無清單11117"/>
    <w:next w:val="a7"/>
    <w:semiHidden/>
    <w:unhideWhenUsed/>
    <w:rsid w:val="00114D45"/>
  </w:style>
  <w:style w:type="numbering" w:customStyle="1" w:styleId="2231">
    <w:name w:val="無清單223"/>
    <w:next w:val="a7"/>
    <w:uiPriority w:val="99"/>
    <w:semiHidden/>
    <w:unhideWhenUsed/>
    <w:rsid w:val="00114D45"/>
  </w:style>
  <w:style w:type="numbering" w:customStyle="1" w:styleId="1290">
    <w:name w:val="無清單129"/>
    <w:next w:val="a7"/>
    <w:uiPriority w:val="99"/>
    <w:semiHidden/>
    <w:unhideWhenUsed/>
    <w:rsid w:val="00114D45"/>
  </w:style>
  <w:style w:type="numbering" w:customStyle="1" w:styleId="111116">
    <w:name w:val="無清單111116"/>
    <w:next w:val="a7"/>
    <w:semiHidden/>
    <w:unhideWhenUsed/>
    <w:rsid w:val="00114D45"/>
  </w:style>
  <w:style w:type="numbering" w:customStyle="1" w:styleId="217">
    <w:name w:val="樣式217"/>
    <w:rsid w:val="00114D45"/>
    <w:pPr>
      <w:numPr>
        <w:numId w:val="5"/>
      </w:numPr>
    </w:pPr>
  </w:style>
  <w:style w:type="numbering" w:customStyle="1" w:styleId="317">
    <w:name w:val="樣式317"/>
    <w:basedOn w:val="a7"/>
    <w:rsid w:val="00114D45"/>
    <w:pPr>
      <w:numPr>
        <w:numId w:val="6"/>
      </w:numPr>
    </w:pPr>
  </w:style>
  <w:style w:type="numbering" w:customStyle="1" w:styleId="1111118">
    <w:name w:val="1 / 1.1 / 1.1.18"/>
    <w:basedOn w:val="a7"/>
    <w:next w:val="111111"/>
    <w:rsid w:val="00114D45"/>
    <w:pPr>
      <w:numPr>
        <w:numId w:val="9"/>
      </w:numPr>
    </w:pPr>
  </w:style>
  <w:style w:type="numbering" w:customStyle="1" w:styleId="3200">
    <w:name w:val="無清單320"/>
    <w:next w:val="a7"/>
    <w:uiPriority w:val="99"/>
    <w:semiHidden/>
    <w:unhideWhenUsed/>
    <w:rsid w:val="00114D45"/>
  </w:style>
  <w:style w:type="numbering" w:customStyle="1" w:styleId="1370">
    <w:name w:val="無清單137"/>
    <w:next w:val="a7"/>
    <w:uiPriority w:val="99"/>
    <w:semiHidden/>
    <w:unhideWhenUsed/>
    <w:rsid w:val="00114D45"/>
  </w:style>
  <w:style w:type="numbering" w:customStyle="1" w:styleId="1125">
    <w:name w:val="無清單1125"/>
    <w:next w:val="a7"/>
    <w:uiPriority w:val="99"/>
    <w:semiHidden/>
    <w:unhideWhenUsed/>
    <w:rsid w:val="00114D45"/>
  </w:style>
  <w:style w:type="numbering" w:customStyle="1" w:styleId="11125">
    <w:name w:val="無清單11125"/>
    <w:next w:val="a7"/>
    <w:uiPriority w:val="99"/>
    <w:semiHidden/>
    <w:unhideWhenUsed/>
    <w:rsid w:val="00114D45"/>
  </w:style>
  <w:style w:type="numbering" w:customStyle="1" w:styleId="111125">
    <w:name w:val="無清單111125"/>
    <w:next w:val="a7"/>
    <w:uiPriority w:val="99"/>
    <w:semiHidden/>
    <w:unhideWhenUsed/>
    <w:rsid w:val="00114D45"/>
  </w:style>
  <w:style w:type="numbering" w:customStyle="1" w:styleId="11111160">
    <w:name w:val="無清單1111116"/>
    <w:next w:val="a7"/>
    <w:uiPriority w:val="99"/>
    <w:semiHidden/>
    <w:unhideWhenUsed/>
    <w:rsid w:val="00114D45"/>
  </w:style>
  <w:style w:type="numbering" w:customStyle="1" w:styleId="11111116">
    <w:name w:val="無清單11111116"/>
    <w:next w:val="a7"/>
    <w:uiPriority w:val="99"/>
    <w:semiHidden/>
    <w:unhideWhenUsed/>
    <w:rsid w:val="00114D45"/>
  </w:style>
  <w:style w:type="numbering" w:customStyle="1" w:styleId="111111115">
    <w:name w:val="無清單111111115"/>
    <w:next w:val="a7"/>
    <w:uiPriority w:val="99"/>
    <w:semiHidden/>
    <w:unhideWhenUsed/>
    <w:rsid w:val="00114D45"/>
  </w:style>
  <w:style w:type="numbering" w:customStyle="1" w:styleId="4180">
    <w:name w:val="無清單418"/>
    <w:next w:val="a7"/>
    <w:uiPriority w:val="99"/>
    <w:semiHidden/>
    <w:unhideWhenUsed/>
    <w:rsid w:val="00114D45"/>
  </w:style>
  <w:style w:type="numbering" w:customStyle="1" w:styleId="5160">
    <w:name w:val="無清單516"/>
    <w:next w:val="a7"/>
    <w:uiPriority w:val="99"/>
    <w:semiHidden/>
    <w:unhideWhenUsed/>
    <w:rsid w:val="00114D45"/>
  </w:style>
  <w:style w:type="numbering" w:customStyle="1" w:styleId="6151">
    <w:name w:val="無清單615"/>
    <w:next w:val="a7"/>
    <w:uiPriority w:val="99"/>
    <w:semiHidden/>
    <w:unhideWhenUsed/>
    <w:rsid w:val="00114D45"/>
  </w:style>
  <w:style w:type="numbering" w:customStyle="1" w:styleId="1473">
    <w:name w:val="無清單147"/>
    <w:next w:val="a7"/>
    <w:uiPriority w:val="99"/>
    <w:semiHidden/>
    <w:unhideWhenUsed/>
    <w:rsid w:val="00114D45"/>
  </w:style>
  <w:style w:type="numbering" w:customStyle="1" w:styleId="21120">
    <w:name w:val="無清單2112"/>
    <w:next w:val="a7"/>
    <w:uiPriority w:val="99"/>
    <w:semiHidden/>
    <w:unhideWhenUsed/>
    <w:rsid w:val="00114D45"/>
  </w:style>
  <w:style w:type="numbering" w:customStyle="1" w:styleId="31110">
    <w:name w:val="無清單3111"/>
    <w:next w:val="a7"/>
    <w:uiPriority w:val="99"/>
    <w:semiHidden/>
    <w:unhideWhenUsed/>
    <w:rsid w:val="00114D45"/>
  </w:style>
  <w:style w:type="numbering" w:customStyle="1" w:styleId="4190">
    <w:name w:val="無清單419"/>
    <w:next w:val="a7"/>
    <w:uiPriority w:val="99"/>
    <w:semiHidden/>
    <w:unhideWhenUsed/>
    <w:rsid w:val="00114D45"/>
  </w:style>
  <w:style w:type="numbering" w:customStyle="1" w:styleId="5170">
    <w:name w:val="無清單517"/>
    <w:next w:val="a7"/>
    <w:uiPriority w:val="99"/>
    <w:semiHidden/>
    <w:unhideWhenUsed/>
    <w:rsid w:val="00114D45"/>
  </w:style>
  <w:style w:type="numbering" w:customStyle="1" w:styleId="6161">
    <w:name w:val="無清單616"/>
    <w:next w:val="a7"/>
    <w:uiPriority w:val="99"/>
    <w:semiHidden/>
    <w:unhideWhenUsed/>
    <w:rsid w:val="00114D45"/>
  </w:style>
  <w:style w:type="numbering" w:customStyle="1" w:styleId="7101">
    <w:name w:val="無清單710"/>
    <w:next w:val="a7"/>
    <w:uiPriority w:val="99"/>
    <w:semiHidden/>
    <w:unhideWhenUsed/>
    <w:rsid w:val="00114D45"/>
  </w:style>
  <w:style w:type="numbering" w:customStyle="1" w:styleId="870">
    <w:name w:val="無清單87"/>
    <w:next w:val="a7"/>
    <w:uiPriority w:val="99"/>
    <w:semiHidden/>
    <w:unhideWhenUsed/>
    <w:rsid w:val="00114D45"/>
  </w:style>
  <w:style w:type="numbering" w:customStyle="1" w:styleId="970">
    <w:name w:val="無清單97"/>
    <w:next w:val="a7"/>
    <w:uiPriority w:val="99"/>
    <w:semiHidden/>
    <w:unhideWhenUsed/>
    <w:rsid w:val="00114D45"/>
  </w:style>
  <w:style w:type="numbering" w:customStyle="1" w:styleId="1070">
    <w:name w:val="無清單107"/>
    <w:next w:val="a7"/>
    <w:uiPriority w:val="99"/>
    <w:semiHidden/>
    <w:unhideWhenUsed/>
    <w:rsid w:val="00114D45"/>
  </w:style>
  <w:style w:type="numbering" w:customStyle="1" w:styleId="1570">
    <w:name w:val="無清單157"/>
    <w:next w:val="a7"/>
    <w:uiPriority w:val="99"/>
    <w:semiHidden/>
    <w:unhideWhenUsed/>
    <w:rsid w:val="00114D45"/>
  </w:style>
  <w:style w:type="table" w:customStyle="1" w:styleId="1377">
    <w:name w:val="表格格線1377"/>
    <w:basedOn w:val="a6"/>
    <w:next w:val="ae"/>
    <w:uiPriority w:val="59"/>
    <w:rsid w:val="00114D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6">
    <w:name w:val="1.第一段"/>
    <w:basedOn w:val="a"/>
    <w:qFormat/>
    <w:rsid w:val="00B53B50"/>
    <w:pPr>
      <w:ind w:left="924" w:hanging="567"/>
    </w:pPr>
  </w:style>
  <w:style w:type="paragraph" w:customStyle="1" w:styleId="1f7">
    <w:name w:val="1.第二段"/>
    <w:basedOn w:val="a"/>
    <w:qFormat/>
    <w:rsid w:val="00B53B50"/>
    <w:pPr>
      <w:numPr>
        <w:numId w:val="0"/>
      </w:numPr>
      <w:ind w:left="924" w:firstLineChars="200" w:firstLine="560"/>
    </w:pPr>
  </w:style>
  <w:style w:type="paragraph" w:customStyle="1" w:styleId="afffffffffd">
    <w:name w:val="第一段(二)"/>
    <w:basedOn w:val="a4"/>
    <w:link w:val="afffffffffe"/>
    <w:qFormat/>
    <w:rsid w:val="00B53B50"/>
    <w:pPr>
      <w:widowControl w:val="0"/>
      <w:snapToGrid w:val="0"/>
      <w:spacing w:line="380" w:lineRule="exact"/>
      <w:ind w:left="1038" w:firstLineChars="200" w:firstLine="560"/>
      <w:jc w:val="both"/>
    </w:pPr>
    <w:rPr>
      <w:rFonts w:ascii="標楷體" w:eastAsia="標楷體" w:hAnsi="標楷體"/>
      <w:color w:val="000000"/>
      <w:sz w:val="28"/>
      <w:szCs w:val="28"/>
    </w:rPr>
  </w:style>
  <w:style w:type="character" w:customStyle="1" w:styleId="afffffffffe">
    <w:name w:val="第一段(二) 字元"/>
    <w:basedOn w:val="a5"/>
    <w:link w:val="afffffffffd"/>
    <w:rsid w:val="00B53B50"/>
    <w:rPr>
      <w:rFonts w:ascii="標楷體" w:eastAsia="標楷體" w:hAnsi="標楷體" w:cs="Times New Roman"/>
      <w:color w:val="000000"/>
      <w:sz w:val="28"/>
      <w:szCs w:val="28"/>
    </w:rPr>
  </w:style>
  <w:style w:type="paragraph" w:customStyle="1" w:styleId="a">
    <w:name w:val="第一段(一)"/>
    <w:basedOn w:val="a4"/>
    <w:link w:val="affffffffff"/>
    <w:qFormat/>
    <w:rsid w:val="00B53B50"/>
    <w:pPr>
      <w:widowControl w:val="0"/>
      <w:numPr>
        <w:numId w:val="33"/>
      </w:numPr>
      <w:snapToGrid w:val="0"/>
      <w:spacing w:line="380" w:lineRule="exact"/>
      <w:jc w:val="both"/>
    </w:pPr>
    <w:rPr>
      <w:rFonts w:ascii="標楷體" w:eastAsia="標楷體" w:hAnsi="標楷體"/>
      <w:color w:val="000000"/>
      <w:sz w:val="28"/>
      <w:szCs w:val="28"/>
    </w:rPr>
  </w:style>
  <w:style w:type="paragraph" w:customStyle="1" w:styleId="1003">
    <w:name w:val="樣式100"/>
    <w:basedOn w:val="afffffffffd"/>
    <w:link w:val="1004"/>
    <w:qFormat/>
    <w:rsid w:val="00B53B50"/>
    <w:pPr>
      <w:ind w:leftChars="17" w:left="1301" w:hangingChars="450" w:hanging="1260"/>
    </w:pPr>
  </w:style>
  <w:style w:type="character" w:customStyle="1" w:styleId="1004">
    <w:name w:val="樣式100 字元"/>
    <w:basedOn w:val="afffffffffe"/>
    <w:link w:val="1003"/>
    <w:rsid w:val="00B53B50"/>
    <w:rPr>
      <w:rFonts w:ascii="標楷體" w:eastAsia="標楷體" w:hAnsi="標楷體" w:cs="Times New Roman"/>
      <w:color w:val="000000"/>
      <w:sz w:val="28"/>
      <w:szCs w:val="28"/>
    </w:rPr>
  </w:style>
  <w:style w:type="paragraph" w:customStyle="1" w:styleId="2fb">
    <w:name w:val="2.提案人"/>
    <w:basedOn w:val="a4"/>
    <w:qFormat/>
    <w:rsid w:val="00B53B50"/>
    <w:pPr>
      <w:widowControl w:val="0"/>
      <w:snapToGrid w:val="0"/>
      <w:ind w:leftChars="1500" w:left="4776" w:hangingChars="420" w:hanging="1176"/>
      <w:jc w:val="both"/>
    </w:pPr>
    <w:rPr>
      <w:rFonts w:ascii="標楷體" w:eastAsia="標楷體" w:hAnsi="標楷體" w:cstheme="minorBidi"/>
      <w:color w:val="000000"/>
      <w:sz w:val="28"/>
      <w:szCs w:val="28"/>
    </w:rPr>
  </w:style>
  <w:style w:type="character" w:styleId="affffffffff0">
    <w:name w:val="Placeholder Text"/>
    <w:basedOn w:val="a5"/>
    <w:uiPriority w:val="99"/>
    <w:semiHidden/>
    <w:rsid w:val="00B53B50"/>
    <w:rPr>
      <w:color w:val="808080"/>
    </w:rPr>
  </w:style>
  <w:style w:type="character" w:customStyle="1" w:styleId="affffffffff">
    <w:name w:val="第一段(一) 字元"/>
    <w:basedOn w:val="a5"/>
    <w:link w:val="a"/>
    <w:rsid w:val="00B53B50"/>
    <w:rPr>
      <w:rFonts w:ascii="標楷體" w:eastAsia="標楷體" w:hAnsi="標楷體" w:cs="Times New Roman"/>
      <w:color w:val="000000"/>
      <w:sz w:val="28"/>
      <w:szCs w:val="28"/>
    </w:rPr>
  </w:style>
  <w:style w:type="paragraph" w:customStyle="1" w:styleId="1-1">
    <w:name w:val="1.第一段-1"/>
    <w:basedOn w:val="a"/>
    <w:qFormat/>
    <w:rsid w:val="00B53B50"/>
    <w:pPr>
      <w:numPr>
        <w:numId w:val="4"/>
      </w:numPr>
      <w:overflowPunct w:val="0"/>
      <w:ind w:left="924" w:hanging="567"/>
    </w:pPr>
  </w:style>
  <w:style w:type="paragraph" w:customStyle="1" w:styleId="4">
    <w:name w:val="4.第一段"/>
    <w:basedOn w:val="a4"/>
    <w:qFormat/>
    <w:rsid w:val="00B53B50"/>
    <w:pPr>
      <w:widowControl w:val="0"/>
      <w:numPr>
        <w:numId w:val="51"/>
      </w:numPr>
      <w:overflowPunct w:val="0"/>
      <w:snapToGrid w:val="0"/>
      <w:ind w:leftChars="178" w:left="987" w:hangingChars="200" w:hanging="560"/>
      <w:jc w:val="both"/>
    </w:pPr>
    <w:rPr>
      <w:rFonts w:ascii="標楷體" w:eastAsia="標楷體" w:hAnsi="標楷體"/>
      <w:color w:val="000000"/>
      <w:sz w:val="28"/>
      <w:szCs w:val="28"/>
    </w:rPr>
  </w:style>
  <w:style w:type="numbering" w:customStyle="1" w:styleId="806">
    <w:name w:val="無清單80"/>
    <w:next w:val="a7"/>
    <w:uiPriority w:val="99"/>
    <w:semiHidden/>
    <w:unhideWhenUsed/>
    <w:rsid w:val="00B921E8"/>
  </w:style>
  <w:style w:type="table" w:customStyle="1" w:styleId="2360">
    <w:name w:val="表格格線236"/>
    <w:basedOn w:val="a6"/>
    <w:next w:val="ae"/>
    <w:uiPriority w:val="59"/>
    <w:rsid w:val="00B92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7">
    <w:name w:val="表格格線1107"/>
    <w:basedOn w:val="a6"/>
    <w:next w:val="ae"/>
    <w:uiPriority w:val="59"/>
    <w:rsid w:val="00B92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0">
    <w:name w:val="表格格線237"/>
    <w:basedOn w:val="a6"/>
    <w:next w:val="ae"/>
    <w:uiPriority w:val="39"/>
    <w:rsid w:val="00B92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3">
    <w:name w:val="無清單130"/>
    <w:next w:val="a7"/>
    <w:uiPriority w:val="99"/>
    <w:semiHidden/>
    <w:unhideWhenUsed/>
    <w:rsid w:val="00B921E8"/>
  </w:style>
  <w:style w:type="numbering" w:customStyle="1" w:styleId="2241">
    <w:name w:val="無清單224"/>
    <w:next w:val="a7"/>
    <w:uiPriority w:val="99"/>
    <w:semiHidden/>
    <w:unhideWhenUsed/>
    <w:rsid w:val="00B921E8"/>
  </w:style>
  <w:style w:type="table" w:customStyle="1" w:styleId="3201">
    <w:name w:val="表格格線320"/>
    <w:basedOn w:val="a6"/>
    <w:next w:val="ae"/>
    <w:locked/>
    <w:rsid w:val="00B921E8"/>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0">
    <w:name w:val="表格格線1120"/>
    <w:basedOn w:val="a6"/>
    <w:next w:val="ae"/>
    <w:uiPriority w:val="39"/>
    <w:rsid w:val="00B921E8"/>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8">
    <w:name w:val="鮮明參考1"/>
    <w:basedOn w:val="a5"/>
    <w:uiPriority w:val="32"/>
    <w:qFormat/>
    <w:rsid w:val="00B921E8"/>
    <w:rPr>
      <w:b/>
      <w:bCs/>
      <w:smallCaps/>
      <w:color w:val="0F4761"/>
      <w:spacing w:val="5"/>
    </w:rPr>
  </w:style>
  <w:style w:type="character" w:customStyle="1" w:styleId="2fc">
    <w:name w:val="鮮明參考2"/>
    <w:basedOn w:val="a5"/>
    <w:uiPriority w:val="32"/>
    <w:qFormat/>
    <w:rsid w:val="00B921E8"/>
    <w:rPr>
      <w:b/>
      <w:bCs/>
      <w:smallCaps/>
      <w:color w:val="4F81BD"/>
      <w:spacing w:val="5"/>
    </w:rPr>
  </w:style>
  <w:style w:type="character" w:styleId="affffffffff1">
    <w:name w:val="Intense Reference"/>
    <w:basedOn w:val="a5"/>
    <w:uiPriority w:val="32"/>
    <w:qFormat/>
    <w:rsid w:val="00B921E8"/>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540275">
      <w:bodyDiv w:val="1"/>
      <w:marLeft w:val="0"/>
      <w:marRight w:val="0"/>
      <w:marTop w:val="0"/>
      <w:marBottom w:val="0"/>
      <w:divBdr>
        <w:top w:val="none" w:sz="0" w:space="0" w:color="auto"/>
        <w:left w:val="none" w:sz="0" w:space="0" w:color="auto"/>
        <w:bottom w:val="none" w:sz="0" w:space="0" w:color="auto"/>
        <w:right w:val="none" w:sz="0" w:space="0" w:color="auto"/>
      </w:divBdr>
    </w:div>
    <w:div w:id="1458258350">
      <w:bodyDiv w:val="1"/>
      <w:marLeft w:val="0"/>
      <w:marRight w:val="0"/>
      <w:marTop w:val="0"/>
      <w:marBottom w:val="0"/>
      <w:divBdr>
        <w:top w:val="none" w:sz="0" w:space="0" w:color="auto"/>
        <w:left w:val="none" w:sz="0" w:space="0" w:color="auto"/>
        <w:bottom w:val="none" w:sz="0" w:space="0" w:color="auto"/>
        <w:right w:val="none" w:sz="0" w:space="0" w:color="auto"/>
      </w:divBdr>
    </w:div>
    <w:div w:id="1643196716">
      <w:bodyDiv w:val="1"/>
      <w:marLeft w:val="0"/>
      <w:marRight w:val="0"/>
      <w:marTop w:val="0"/>
      <w:marBottom w:val="0"/>
      <w:divBdr>
        <w:top w:val="none" w:sz="0" w:space="0" w:color="auto"/>
        <w:left w:val="none" w:sz="0" w:space="0" w:color="auto"/>
        <w:bottom w:val="none" w:sz="0" w:space="0" w:color="auto"/>
        <w:right w:val="none" w:sz="0" w:space="0" w:color="auto"/>
      </w:divBdr>
    </w:div>
    <w:div w:id="207088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image" Target="media/image5.png"/><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8.xml"/><Relationship Id="rId10" Type="http://schemas.openxmlformats.org/officeDocument/2006/relationships/footer" Target="footer3.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2.png"/><Relationship Id="rId22" Type="http://schemas.openxmlformats.org/officeDocument/2006/relationships/hyperlink" Target="http://www.ly.gov.tw/ly/01_introduce/0105_comm/comm_ver02/comm_news/comm_news_01.jsp?ItemNO=01050101&amp;Unit=15" TargetMode="External"/><Relationship Id="rId27"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01E1B-C4EC-4D96-ACF7-2C2445085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728</Pages>
  <Words>75212</Words>
  <Characters>428709</Characters>
  <Application>Microsoft Office Word</Application>
  <DocSecurity>0</DocSecurity>
  <Lines>3572</Lines>
  <Paragraphs>1005</Paragraphs>
  <ScaleCrop>false</ScaleCrop>
  <Company/>
  <LinksUpToDate>false</LinksUpToDate>
  <CharactersWithSpaces>502916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19</cp:revision>
  <cp:lastPrinted>2026-02-24T07:19:00Z</cp:lastPrinted>
  <dcterms:created xsi:type="dcterms:W3CDTF">2026-09-10T09:45:00Z</dcterms:created>
  <dcterms:modified xsi:type="dcterms:W3CDTF">2026-09-30T02:03:00Z</dcterms:modified>
</cp:coreProperties>
</file>